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E2" w:rsidRPr="003818E2" w:rsidRDefault="003818E2" w:rsidP="003818E2">
      <w:pPr>
        <w:spacing w:line="256" w:lineRule="auto"/>
        <w:jc w:val="center"/>
        <w:rPr>
          <w:rFonts w:ascii="Arial" w:eastAsia="Calibri" w:hAnsi="Arial" w:cs="Arial"/>
          <w:b/>
          <w:sz w:val="24"/>
          <w:szCs w:val="24"/>
        </w:rPr>
      </w:pPr>
      <w:r w:rsidRPr="003818E2">
        <w:rPr>
          <w:rFonts w:ascii="Arial" w:eastAsia="Calibri" w:hAnsi="Arial" w:cs="Arial"/>
          <w:b/>
          <w:sz w:val="24"/>
          <w:szCs w:val="24"/>
        </w:rPr>
        <w:t>REPUBLIC OF NAMIBIA</w:t>
      </w:r>
    </w:p>
    <w:p w:rsidR="003818E2" w:rsidRPr="003818E2" w:rsidRDefault="003818E2" w:rsidP="003818E2">
      <w:pPr>
        <w:spacing w:line="256" w:lineRule="auto"/>
        <w:jc w:val="center"/>
        <w:rPr>
          <w:rFonts w:ascii="Arial" w:eastAsia="Calibri" w:hAnsi="Arial" w:cs="Arial"/>
          <w:b/>
          <w:sz w:val="24"/>
          <w:szCs w:val="24"/>
        </w:rPr>
      </w:pPr>
      <w:r w:rsidRPr="003818E2">
        <w:rPr>
          <w:rFonts w:ascii="Arial" w:eastAsia="Calibri" w:hAnsi="Arial" w:cs="Arial"/>
          <w:b/>
          <w:noProof/>
          <w:sz w:val="24"/>
          <w:szCs w:val="24"/>
        </w:rPr>
        <w:drawing>
          <wp:inline distT="0" distB="0" distL="0" distR="0">
            <wp:extent cx="112776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p>
    <w:p w:rsidR="003818E2" w:rsidRPr="003818E2" w:rsidRDefault="003818E2" w:rsidP="003818E2">
      <w:pPr>
        <w:spacing w:line="256" w:lineRule="auto"/>
        <w:jc w:val="center"/>
        <w:rPr>
          <w:rFonts w:ascii="Arial" w:eastAsia="Calibri" w:hAnsi="Arial" w:cs="Arial"/>
          <w:b/>
          <w:sz w:val="24"/>
          <w:szCs w:val="24"/>
        </w:rPr>
      </w:pPr>
    </w:p>
    <w:p w:rsidR="003818E2" w:rsidRPr="003818E2" w:rsidRDefault="003818E2" w:rsidP="003818E2">
      <w:pPr>
        <w:spacing w:line="256" w:lineRule="auto"/>
        <w:jc w:val="center"/>
        <w:rPr>
          <w:rFonts w:ascii="Arial" w:eastAsia="Calibri" w:hAnsi="Arial" w:cs="Arial"/>
          <w:b/>
          <w:sz w:val="24"/>
          <w:szCs w:val="24"/>
        </w:rPr>
      </w:pPr>
      <w:r w:rsidRPr="003818E2">
        <w:rPr>
          <w:rFonts w:ascii="Arial" w:eastAsia="Calibri" w:hAnsi="Arial" w:cs="Arial"/>
          <w:b/>
          <w:sz w:val="24"/>
          <w:szCs w:val="24"/>
        </w:rPr>
        <w:t>IN THE HIGH COURT OF NAMIBIA, MAIN DIVISION, WINDHOEK</w:t>
      </w:r>
    </w:p>
    <w:p w:rsidR="003818E2" w:rsidRPr="003818E2" w:rsidRDefault="003818E2" w:rsidP="003818E2">
      <w:pPr>
        <w:spacing w:line="256" w:lineRule="auto"/>
        <w:jc w:val="center"/>
        <w:rPr>
          <w:rFonts w:ascii="Arial" w:eastAsia="Calibri" w:hAnsi="Arial" w:cs="Arial"/>
          <w:b/>
          <w:sz w:val="24"/>
          <w:szCs w:val="24"/>
        </w:rPr>
      </w:pPr>
      <w:r>
        <w:rPr>
          <w:rFonts w:ascii="Arial" w:eastAsia="Calibri" w:hAnsi="Arial" w:cs="Arial"/>
          <w:b/>
          <w:sz w:val="24"/>
          <w:szCs w:val="24"/>
        </w:rPr>
        <w:t>R</w:t>
      </w:r>
      <w:r w:rsidRPr="003818E2">
        <w:rPr>
          <w:rFonts w:ascii="Arial" w:eastAsia="Calibri" w:hAnsi="Arial" w:cs="Arial"/>
          <w:b/>
          <w:sz w:val="24"/>
          <w:szCs w:val="24"/>
        </w:rPr>
        <w:t>ULING ON SUMMARY JUDGMENT APPLICATION</w:t>
      </w:r>
    </w:p>
    <w:p w:rsidR="003818E2" w:rsidRPr="003818E2" w:rsidRDefault="003818E2" w:rsidP="003818E2">
      <w:pPr>
        <w:spacing w:line="254" w:lineRule="auto"/>
        <w:rPr>
          <w:rFonts w:ascii="Calibri" w:eastAsia="Calibri" w:hAnsi="Calibri" w:cs="Times New Roman"/>
          <w:lang w:val="en-ZA"/>
        </w:rPr>
      </w:pPr>
      <w:r w:rsidRPr="003818E2">
        <w:rPr>
          <w:rFonts w:ascii="Calibri" w:eastAsia="Calibri" w:hAnsi="Calibri" w:cs="Times New Roman"/>
          <w:lang w:val="en-ZA"/>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68"/>
        <w:gridCol w:w="4394"/>
      </w:tblGrid>
      <w:tr w:rsidR="003818E2" w:rsidRPr="003818E2" w:rsidTr="00DE6189">
        <w:trPr>
          <w:trHeight w:val="326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3818E2" w:rsidRDefault="003818E2" w:rsidP="003818E2">
            <w:pPr>
              <w:spacing w:after="0" w:line="360" w:lineRule="auto"/>
              <w:jc w:val="both"/>
              <w:rPr>
                <w:rFonts w:ascii="Arial" w:eastAsia="Calibri" w:hAnsi="Arial" w:cs="Arial"/>
                <w:b/>
                <w:sz w:val="24"/>
                <w:szCs w:val="24"/>
                <w:lang w:val="en-ZA"/>
              </w:rPr>
            </w:pPr>
            <w:r w:rsidRPr="003818E2">
              <w:rPr>
                <w:rFonts w:ascii="Arial" w:eastAsia="Calibri" w:hAnsi="Arial" w:cs="Arial"/>
                <w:b/>
                <w:sz w:val="24"/>
                <w:szCs w:val="24"/>
                <w:lang w:val="en-ZA"/>
              </w:rPr>
              <w:t>Case Title:</w:t>
            </w:r>
          </w:p>
          <w:p w:rsidR="00DE6189" w:rsidRPr="003818E2" w:rsidRDefault="00DE6189" w:rsidP="003818E2">
            <w:pPr>
              <w:spacing w:after="0" w:line="360" w:lineRule="auto"/>
              <w:jc w:val="both"/>
              <w:rPr>
                <w:rFonts w:ascii="Arial" w:eastAsia="Calibri" w:hAnsi="Arial" w:cs="Arial"/>
                <w:b/>
                <w:sz w:val="24"/>
                <w:szCs w:val="24"/>
                <w:lang w:val="en-ZA"/>
              </w:rPr>
            </w:pPr>
          </w:p>
          <w:p w:rsidR="00DE6189" w:rsidRPr="005035CD" w:rsidRDefault="00A33DA8" w:rsidP="00DE6189">
            <w:pPr>
              <w:spacing w:after="0" w:line="360" w:lineRule="auto"/>
              <w:jc w:val="both"/>
              <w:rPr>
                <w:rFonts w:ascii="Arial" w:eastAsia="Calibri" w:hAnsi="Arial" w:cs="Arial"/>
                <w:iCs/>
                <w:sz w:val="24"/>
                <w:szCs w:val="24"/>
                <w:lang w:val="en-ZA"/>
              </w:rPr>
            </w:pPr>
            <w:r>
              <w:rPr>
                <w:rFonts w:ascii="Arial" w:eastAsia="Calibri" w:hAnsi="Arial" w:cs="Arial"/>
                <w:iCs/>
                <w:sz w:val="24"/>
                <w:szCs w:val="24"/>
                <w:lang w:val="en-ZA"/>
              </w:rPr>
              <w:t xml:space="preserve">STANDARD BANK </w:t>
            </w:r>
            <w:r w:rsidR="00C87239">
              <w:rPr>
                <w:rFonts w:ascii="Arial" w:eastAsia="Calibri" w:hAnsi="Arial" w:cs="Arial"/>
                <w:iCs/>
                <w:sz w:val="24"/>
                <w:szCs w:val="24"/>
                <w:lang w:val="en-ZA"/>
              </w:rPr>
              <w:t xml:space="preserve">NAMIBIA LTD      </w:t>
            </w:r>
            <w:r w:rsidR="00DE6189" w:rsidRPr="005035CD">
              <w:rPr>
                <w:rFonts w:ascii="Arial" w:eastAsia="Calibri" w:hAnsi="Arial" w:cs="Arial"/>
                <w:iCs/>
                <w:sz w:val="24"/>
                <w:szCs w:val="24"/>
                <w:lang w:val="en-ZA"/>
              </w:rPr>
              <w:t xml:space="preserve">PLAINTIFF </w:t>
            </w:r>
          </w:p>
          <w:p w:rsidR="005035CD" w:rsidRDefault="005035CD" w:rsidP="00DE6189">
            <w:pPr>
              <w:spacing w:after="0" w:line="360" w:lineRule="auto"/>
              <w:jc w:val="both"/>
              <w:rPr>
                <w:rFonts w:ascii="Arial" w:eastAsia="Calibri" w:hAnsi="Arial" w:cs="Arial"/>
                <w:iCs/>
                <w:sz w:val="24"/>
                <w:szCs w:val="24"/>
                <w:lang w:val="en-ZA"/>
              </w:rPr>
            </w:pPr>
          </w:p>
          <w:p w:rsidR="00DE6189" w:rsidRPr="005035CD" w:rsidRDefault="00DE6189" w:rsidP="00DE6189">
            <w:pPr>
              <w:spacing w:after="0" w:line="360" w:lineRule="auto"/>
              <w:jc w:val="both"/>
              <w:rPr>
                <w:rFonts w:ascii="Arial" w:eastAsia="Calibri" w:hAnsi="Arial" w:cs="Arial"/>
                <w:iCs/>
                <w:sz w:val="24"/>
                <w:szCs w:val="24"/>
                <w:lang w:val="en-ZA"/>
              </w:rPr>
            </w:pPr>
            <w:r w:rsidRPr="005035CD">
              <w:rPr>
                <w:rFonts w:ascii="Arial" w:eastAsia="Calibri" w:hAnsi="Arial" w:cs="Arial"/>
                <w:iCs/>
                <w:sz w:val="24"/>
                <w:szCs w:val="24"/>
                <w:lang w:val="en-ZA"/>
              </w:rPr>
              <w:t>and</w:t>
            </w:r>
          </w:p>
          <w:p w:rsidR="005035CD" w:rsidRDefault="005035CD" w:rsidP="00DE6189">
            <w:pPr>
              <w:spacing w:after="0" w:line="360" w:lineRule="auto"/>
              <w:rPr>
                <w:rFonts w:ascii="Arial" w:eastAsia="Calibri" w:hAnsi="Arial" w:cs="Arial"/>
                <w:iCs/>
                <w:sz w:val="24"/>
                <w:szCs w:val="24"/>
                <w:lang w:val="en-ZA"/>
              </w:rPr>
            </w:pPr>
          </w:p>
          <w:p w:rsidR="00C87239" w:rsidRDefault="00C87239" w:rsidP="00DE6189">
            <w:pPr>
              <w:spacing w:after="0" w:line="360" w:lineRule="auto"/>
              <w:rPr>
                <w:rFonts w:ascii="Arial" w:eastAsia="Calibri" w:hAnsi="Arial" w:cs="Arial"/>
                <w:iCs/>
                <w:sz w:val="24"/>
                <w:szCs w:val="24"/>
                <w:lang w:val="en-ZA"/>
              </w:rPr>
            </w:pPr>
            <w:r>
              <w:rPr>
                <w:rFonts w:ascii="Arial" w:eastAsia="Calibri" w:hAnsi="Arial" w:cs="Arial"/>
                <w:iCs/>
                <w:sz w:val="24"/>
                <w:szCs w:val="24"/>
                <w:lang w:val="en-ZA"/>
              </w:rPr>
              <w:t xml:space="preserve">BIP CONTAINER </w:t>
            </w:r>
          </w:p>
          <w:p w:rsidR="00C87239" w:rsidRDefault="00C87239" w:rsidP="00DE6189">
            <w:pPr>
              <w:spacing w:after="0" w:line="360" w:lineRule="auto"/>
              <w:rPr>
                <w:rFonts w:ascii="Arial" w:eastAsia="Calibri" w:hAnsi="Arial" w:cs="Arial"/>
                <w:iCs/>
                <w:sz w:val="24"/>
                <w:szCs w:val="24"/>
                <w:lang w:val="en-ZA"/>
              </w:rPr>
            </w:pPr>
            <w:r>
              <w:rPr>
                <w:rFonts w:ascii="Arial" w:eastAsia="Calibri" w:hAnsi="Arial" w:cs="Arial"/>
                <w:iCs/>
                <w:sz w:val="24"/>
                <w:szCs w:val="24"/>
                <w:lang w:val="en-ZA"/>
              </w:rPr>
              <w:t>TERMINAL CC                           1</w:t>
            </w:r>
            <w:r w:rsidRPr="00C87239">
              <w:rPr>
                <w:rFonts w:ascii="Arial" w:eastAsia="Calibri" w:hAnsi="Arial" w:cs="Arial"/>
                <w:iCs/>
                <w:sz w:val="24"/>
                <w:szCs w:val="24"/>
                <w:vertAlign w:val="superscript"/>
                <w:lang w:val="en-ZA"/>
              </w:rPr>
              <w:t>ST</w:t>
            </w:r>
            <w:r>
              <w:rPr>
                <w:rFonts w:ascii="Arial" w:eastAsia="Calibri" w:hAnsi="Arial" w:cs="Arial"/>
                <w:iCs/>
                <w:sz w:val="24"/>
                <w:szCs w:val="24"/>
                <w:lang w:val="en-ZA"/>
              </w:rPr>
              <w:t xml:space="preserve"> DEFENDANT  </w:t>
            </w:r>
          </w:p>
          <w:p w:rsidR="00C87239" w:rsidRDefault="00C87239" w:rsidP="00DE6189">
            <w:pPr>
              <w:spacing w:after="0" w:line="360" w:lineRule="auto"/>
              <w:rPr>
                <w:rFonts w:ascii="Arial" w:eastAsia="Calibri" w:hAnsi="Arial" w:cs="Arial"/>
                <w:iCs/>
                <w:sz w:val="24"/>
                <w:szCs w:val="24"/>
                <w:lang w:val="en-ZA"/>
              </w:rPr>
            </w:pPr>
            <w:r>
              <w:rPr>
                <w:rFonts w:ascii="Arial" w:eastAsia="Calibri" w:hAnsi="Arial" w:cs="Arial"/>
                <w:iCs/>
                <w:sz w:val="24"/>
                <w:szCs w:val="24"/>
                <w:lang w:val="en-ZA"/>
              </w:rPr>
              <w:t>WARREN LIONEL OCKHUYS  2</w:t>
            </w:r>
            <w:r w:rsidRPr="00C87239">
              <w:rPr>
                <w:rFonts w:ascii="Arial" w:eastAsia="Calibri" w:hAnsi="Arial" w:cs="Arial"/>
                <w:iCs/>
                <w:sz w:val="24"/>
                <w:szCs w:val="24"/>
                <w:vertAlign w:val="superscript"/>
                <w:lang w:val="en-ZA"/>
              </w:rPr>
              <w:t>ND</w:t>
            </w:r>
            <w:r>
              <w:rPr>
                <w:rFonts w:ascii="Arial" w:eastAsia="Calibri" w:hAnsi="Arial" w:cs="Arial"/>
                <w:iCs/>
                <w:sz w:val="24"/>
                <w:szCs w:val="24"/>
                <w:lang w:val="en-ZA"/>
              </w:rPr>
              <w:t xml:space="preserve"> DEFENDANT</w:t>
            </w:r>
          </w:p>
          <w:p w:rsidR="00C87239" w:rsidRDefault="00C87239" w:rsidP="00DE6189">
            <w:pPr>
              <w:spacing w:after="0" w:line="360" w:lineRule="auto"/>
              <w:rPr>
                <w:rFonts w:ascii="Arial" w:eastAsia="Calibri" w:hAnsi="Arial" w:cs="Arial"/>
                <w:iCs/>
                <w:sz w:val="24"/>
                <w:szCs w:val="24"/>
                <w:lang w:val="en-ZA"/>
              </w:rPr>
            </w:pPr>
            <w:r>
              <w:rPr>
                <w:rFonts w:ascii="Arial" w:eastAsia="Calibri" w:hAnsi="Arial" w:cs="Arial"/>
                <w:iCs/>
                <w:sz w:val="24"/>
                <w:szCs w:val="24"/>
                <w:lang w:val="en-ZA"/>
              </w:rPr>
              <w:t>ISAI ZIMINA HAISHONGA        3</w:t>
            </w:r>
            <w:r w:rsidRPr="00C87239">
              <w:rPr>
                <w:rFonts w:ascii="Arial" w:eastAsia="Calibri" w:hAnsi="Arial" w:cs="Arial"/>
                <w:iCs/>
                <w:sz w:val="24"/>
                <w:szCs w:val="24"/>
                <w:vertAlign w:val="superscript"/>
                <w:lang w:val="en-ZA"/>
              </w:rPr>
              <w:t>RD</w:t>
            </w:r>
            <w:r>
              <w:rPr>
                <w:rFonts w:ascii="Arial" w:eastAsia="Calibri" w:hAnsi="Arial" w:cs="Arial"/>
                <w:iCs/>
                <w:sz w:val="24"/>
                <w:szCs w:val="24"/>
                <w:lang w:val="en-ZA"/>
              </w:rPr>
              <w:t xml:space="preserve"> DEFENDANT</w:t>
            </w:r>
          </w:p>
          <w:p w:rsidR="00C87239" w:rsidRDefault="00C87239" w:rsidP="00DE6189">
            <w:pPr>
              <w:spacing w:after="0" w:line="360" w:lineRule="auto"/>
              <w:rPr>
                <w:rFonts w:ascii="Arial" w:eastAsia="Calibri" w:hAnsi="Arial" w:cs="Arial"/>
                <w:iCs/>
                <w:sz w:val="24"/>
                <w:szCs w:val="24"/>
                <w:lang w:val="en-ZA"/>
              </w:rPr>
            </w:pPr>
            <w:r>
              <w:rPr>
                <w:rFonts w:ascii="Arial" w:eastAsia="Calibri" w:hAnsi="Arial" w:cs="Arial"/>
                <w:iCs/>
                <w:sz w:val="24"/>
                <w:szCs w:val="24"/>
                <w:lang w:val="en-ZA"/>
              </w:rPr>
              <w:t xml:space="preserve">CORNELIUS PETRUS </w:t>
            </w:r>
          </w:p>
          <w:p w:rsidR="00C87239" w:rsidRDefault="00C87239" w:rsidP="00DE6189">
            <w:pPr>
              <w:spacing w:after="0" w:line="360" w:lineRule="auto"/>
              <w:rPr>
                <w:rFonts w:ascii="Arial" w:eastAsia="Calibri" w:hAnsi="Arial" w:cs="Arial"/>
                <w:iCs/>
                <w:sz w:val="24"/>
                <w:szCs w:val="24"/>
                <w:lang w:val="en-ZA"/>
              </w:rPr>
            </w:pPr>
            <w:r>
              <w:rPr>
                <w:rFonts w:ascii="Arial" w:eastAsia="Calibri" w:hAnsi="Arial" w:cs="Arial"/>
                <w:iCs/>
                <w:sz w:val="24"/>
                <w:szCs w:val="24"/>
                <w:lang w:val="en-ZA"/>
              </w:rPr>
              <w:t>WILLEMSE                                4</w:t>
            </w:r>
            <w:r w:rsidRPr="00C87239">
              <w:rPr>
                <w:rFonts w:ascii="Arial" w:eastAsia="Calibri" w:hAnsi="Arial" w:cs="Arial"/>
                <w:iCs/>
                <w:sz w:val="24"/>
                <w:szCs w:val="24"/>
                <w:vertAlign w:val="superscript"/>
                <w:lang w:val="en-ZA"/>
              </w:rPr>
              <w:t>TH</w:t>
            </w:r>
            <w:r>
              <w:rPr>
                <w:rFonts w:ascii="Arial" w:eastAsia="Calibri" w:hAnsi="Arial" w:cs="Arial"/>
                <w:iCs/>
                <w:sz w:val="24"/>
                <w:szCs w:val="24"/>
                <w:lang w:val="en-ZA"/>
              </w:rPr>
              <w:t xml:space="preserve"> DEFENDANT</w:t>
            </w:r>
          </w:p>
          <w:p w:rsidR="00C87239" w:rsidRDefault="00C87239" w:rsidP="00DE6189">
            <w:pPr>
              <w:spacing w:after="0" w:line="360" w:lineRule="auto"/>
              <w:rPr>
                <w:rFonts w:ascii="Arial" w:eastAsia="Calibri" w:hAnsi="Arial" w:cs="Arial"/>
                <w:iCs/>
                <w:sz w:val="24"/>
                <w:szCs w:val="24"/>
                <w:lang w:val="en-ZA"/>
              </w:rPr>
            </w:pPr>
            <w:r>
              <w:rPr>
                <w:rFonts w:ascii="Arial" w:eastAsia="Calibri" w:hAnsi="Arial" w:cs="Arial"/>
                <w:iCs/>
                <w:sz w:val="24"/>
                <w:szCs w:val="24"/>
                <w:lang w:val="en-ZA"/>
              </w:rPr>
              <w:t xml:space="preserve">CHERYL NICOLETTE </w:t>
            </w:r>
          </w:p>
          <w:p w:rsidR="003818E2" w:rsidRPr="003818E2" w:rsidRDefault="00C87239" w:rsidP="00C87239">
            <w:pPr>
              <w:spacing w:after="0" w:line="360" w:lineRule="auto"/>
              <w:rPr>
                <w:rFonts w:ascii="Arial" w:eastAsia="Calibri" w:hAnsi="Arial" w:cs="Arial"/>
                <w:iCs/>
                <w:sz w:val="24"/>
                <w:szCs w:val="24"/>
                <w:lang w:val="en-ZA"/>
              </w:rPr>
            </w:pPr>
            <w:r>
              <w:rPr>
                <w:rFonts w:ascii="Arial" w:eastAsia="Calibri" w:hAnsi="Arial" w:cs="Arial"/>
                <w:iCs/>
                <w:sz w:val="24"/>
                <w:szCs w:val="24"/>
                <w:lang w:val="en-ZA"/>
              </w:rPr>
              <w:t>WILLEMSE                                5</w:t>
            </w:r>
            <w:r w:rsidRPr="00C87239">
              <w:rPr>
                <w:rFonts w:ascii="Arial" w:eastAsia="Calibri" w:hAnsi="Arial" w:cs="Arial"/>
                <w:iCs/>
                <w:sz w:val="24"/>
                <w:szCs w:val="24"/>
                <w:vertAlign w:val="superscript"/>
                <w:lang w:val="en-ZA"/>
              </w:rPr>
              <w:t>TH</w:t>
            </w:r>
            <w:r>
              <w:rPr>
                <w:rFonts w:ascii="Arial" w:eastAsia="Calibri" w:hAnsi="Arial" w:cs="Arial"/>
                <w:iCs/>
                <w:sz w:val="24"/>
                <w:szCs w:val="24"/>
                <w:lang w:val="en-ZA"/>
              </w:rPr>
              <w:t xml:space="preserve"> DEFENDANT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818E2" w:rsidRPr="003818E2" w:rsidRDefault="003818E2" w:rsidP="00DE6189">
            <w:pPr>
              <w:spacing w:after="0" w:line="360" w:lineRule="auto"/>
              <w:ind w:left="34" w:right="-108"/>
              <w:rPr>
                <w:rFonts w:ascii="Arial" w:eastAsia="Calibri" w:hAnsi="Arial" w:cs="Arial"/>
                <w:sz w:val="24"/>
                <w:szCs w:val="24"/>
                <w:lang w:val="en-ZA"/>
              </w:rPr>
            </w:pPr>
            <w:r w:rsidRPr="003818E2">
              <w:rPr>
                <w:rFonts w:ascii="Arial" w:eastAsia="Calibri" w:hAnsi="Arial" w:cs="Arial"/>
                <w:b/>
                <w:sz w:val="24"/>
                <w:szCs w:val="24"/>
                <w:lang w:val="en-ZA"/>
              </w:rPr>
              <w:t xml:space="preserve">Case No: </w:t>
            </w:r>
            <w:r w:rsidR="00DE6189">
              <w:rPr>
                <w:rFonts w:ascii="Arial" w:eastAsia="Calibri" w:hAnsi="Arial" w:cs="Arial"/>
                <w:bCs/>
                <w:sz w:val="24"/>
                <w:szCs w:val="24"/>
              </w:rPr>
              <w:t>HC-MD-CIV-ACT-CON-</w:t>
            </w:r>
            <w:r w:rsidR="00DE6189" w:rsidRPr="00DE6189">
              <w:rPr>
                <w:rFonts w:ascii="Arial" w:eastAsia="Calibri" w:hAnsi="Arial" w:cs="Arial"/>
                <w:bCs/>
                <w:sz w:val="24"/>
                <w:szCs w:val="24"/>
              </w:rPr>
              <w:t>2023/0</w:t>
            </w:r>
            <w:r w:rsidR="00C87239">
              <w:rPr>
                <w:rFonts w:ascii="Arial" w:eastAsia="Calibri" w:hAnsi="Arial" w:cs="Arial"/>
                <w:bCs/>
                <w:sz w:val="24"/>
                <w:szCs w:val="24"/>
              </w:rPr>
              <w:t>4438</w:t>
            </w:r>
          </w:p>
          <w:p w:rsidR="003818E2" w:rsidRPr="003818E2" w:rsidRDefault="003818E2" w:rsidP="003818E2">
            <w:pPr>
              <w:spacing w:after="0" w:line="360" w:lineRule="auto"/>
              <w:jc w:val="both"/>
              <w:rPr>
                <w:rFonts w:ascii="Arial" w:eastAsia="Calibri" w:hAnsi="Arial" w:cs="Arial"/>
                <w:sz w:val="24"/>
                <w:szCs w:val="24"/>
                <w:lang w:val="en-ZA"/>
              </w:rPr>
            </w:pPr>
          </w:p>
        </w:tc>
      </w:tr>
      <w:tr w:rsidR="003818E2" w:rsidRPr="003818E2" w:rsidTr="00DE6189">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8E2" w:rsidRPr="003818E2" w:rsidRDefault="003818E2" w:rsidP="003818E2">
            <w:pPr>
              <w:spacing w:after="0" w:line="360" w:lineRule="auto"/>
              <w:jc w:val="both"/>
              <w:rPr>
                <w:rFonts w:ascii="Arial" w:eastAsia="Calibri" w:hAnsi="Arial" w:cs="Arial"/>
                <w:b/>
                <w:sz w:val="24"/>
                <w:szCs w:val="24"/>
                <w:lang w:val="en-ZA"/>
              </w:rPr>
            </w:pPr>
            <w:r w:rsidRPr="003818E2">
              <w:rPr>
                <w:rFonts w:ascii="Arial" w:eastAsia="Calibri" w:hAnsi="Arial" w:cs="Arial"/>
                <w:b/>
                <w:sz w:val="24"/>
                <w:szCs w:val="24"/>
                <w:lang w:val="en-ZA"/>
              </w:rPr>
              <w:t xml:space="preserve">Heard before:  </w:t>
            </w:r>
          </w:p>
          <w:p w:rsidR="003818E2" w:rsidRPr="003818E2" w:rsidRDefault="003818E2" w:rsidP="003818E2">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 xml:space="preserve">Honourable Justice Sibeya </w:t>
            </w:r>
          </w:p>
          <w:p w:rsidR="003818E2" w:rsidRPr="003818E2" w:rsidRDefault="003818E2" w:rsidP="003818E2">
            <w:pPr>
              <w:spacing w:after="0" w:line="240" w:lineRule="auto"/>
              <w:rPr>
                <w:rFonts w:ascii="Arial" w:eastAsia="Calibri" w:hAnsi="Arial" w:cs="Arial"/>
                <w:sz w:val="24"/>
                <w:szCs w:val="24"/>
                <w:lang w:val="en-ZA"/>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818E2" w:rsidRPr="003818E2" w:rsidRDefault="003818E2" w:rsidP="003818E2">
            <w:pPr>
              <w:spacing w:after="0" w:line="360" w:lineRule="auto"/>
              <w:jc w:val="both"/>
              <w:rPr>
                <w:rFonts w:ascii="Arial" w:eastAsia="Calibri" w:hAnsi="Arial" w:cs="Arial"/>
                <w:b/>
                <w:sz w:val="24"/>
                <w:szCs w:val="24"/>
                <w:lang w:val="en-ZA"/>
              </w:rPr>
            </w:pPr>
            <w:r w:rsidRPr="003818E2">
              <w:rPr>
                <w:rFonts w:ascii="Arial" w:eastAsia="Calibri" w:hAnsi="Arial" w:cs="Arial"/>
                <w:b/>
                <w:sz w:val="24"/>
                <w:szCs w:val="24"/>
                <w:lang w:val="en-ZA"/>
              </w:rPr>
              <w:t xml:space="preserve">Division of Court: </w:t>
            </w:r>
            <w:r w:rsidR="00DE6189" w:rsidRPr="00FD2A0F">
              <w:rPr>
                <w:rFonts w:ascii="Arial" w:eastAsia="Calibri" w:hAnsi="Arial" w:cs="Arial"/>
                <w:sz w:val="24"/>
                <w:szCs w:val="24"/>
                <w:lang w:val="en-ZA"/>
              </w:rPr>
              <w:t>High C</w:t>
            </w:r>
            <w:r w:rsidRPr="00FD2A0F">
              <w:rPr>
                <w:rFonts w:ascii="Arial" w:eastAsia="Calibri" w:hAnsi="Arial" w:cs="Arial"/>
                <w:sz w:val="24"/>
                <w:szCs w:val="24"/>
                <w:lang w:val="en-ZA"/>
              </w:rPr>
              <w:t>ourt</w:t>
            </w:r>
          </w:p>
          <w:p w:rsidR="003818E2" w:rsidRPr="003818E2" w:rsidRDefault="003818E2" w:rsidP="003818E2">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(Main Division)</w:t>
            </w:r>
          </w:p>
        </w:tc>
      </w:tr>
      <w:tr w:rsidR="003818E2" w:rsidRPr="003818E2" w:rsidTr="00DE6189">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3818E2" w:rsidRPr="003818E2" w:rsidRDefault="003818E2" w:rsidP="003818E2">
            <w:pPr>
              <w:spacing w:after="0" w:line="360" w:lineRule="auto"/>
              <w:jc w:val="both"/>
              <w:rPr>
                <w:rFonts w:ascii="Arial" w:eastAsia="Calibri" w:hAnsi="Arial" w:cs="Arial"/>
                <w:sz w:val="24"/>
                <w:szCs w:val="24"/>
                <w:lang w:val="en-ZA"/>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818E2" w:rsidRPr="003818E2" w:rsidRDefault="00DE6189" w:rsidP="003818E2">
            <w:pPr>
              <w:spacing w:after="0" w:line="360" w:lineRule="auto"/>
              <w:jc w:val="both"/>
              <w:rPr>
                <w:rFonts w:ascii="Arial" w:eastAsia="Calibri" w:hAnsi="Arial" w:cs="Arial"/>
                <w:b/>
                <w:sz w:val="24"/>
                <w:szCs w:val="24"/>
                <w:lang w:val="en-ZA"/>
              </w:rPr>
            </w:pPr>
            <w:r>
              <w:rPr>
                <w:rFonts w:ascii="Arial" w:eastAsia="Calibri" w:hAnsi="Arial" w:cs="Arial"/>
                <w:b/>
                <w:sz w:val="24"/>
                <w:szCs w:val="24"/>
                <w:lang w:val="en-ZA"/>
              </w:rPr>
              <w:t xml:space="preserve">Heard on: </w:t>
            </w:r>
            <w:r w:rsidR="00022F26">
              <w:rPr>
                <w:rFonts w:ascii="Arial" w:eastAsia="Calibri" w:hAnsi="Arial" w:cs="Arial"/>
                <w:b/>
                <w:sz w:val="24"/>
                <w:szCs w:val="24"/>
                <w:lang w:val="en-ZA"/>
              </w:rPr>
              <w:t xml:space="preserve">     </w:t>
            </w:r>
            <w:r w:rsidR="00F57418">
              <w:rPr>
                <w:rFonts w:ascii="Arial" w:eastAsia="Calibri" w:hAnsi="Arial" w:cs="Arial"/>
                <w:b/>
                <w:sz w:val="24"/>
                <w:szCs w:val="24"/>
                <w:lang w:val="en-ZA"/>
              </w:rPr>
              <w:t xml:space="preserve"> </w:t>
            </w:r>
            <w:r w:rsidR="00022F26">
              <w:rPr>
                <w:rFonts w:ascii="Arial" w:eastAsia="Calibri" w:hAnsi="Arial" w:cs="Arial"/>
                <w:iCs/>
                <w:sz w:val="24"/>
                <w:szCs w:val="24"/>
                <w:lang w:val="en-ZA"/>
              </w:rPr>
              <w:t xml:space="preserve">15 March </w:t>
            </w:r>
            <w:r>
              <w:rPr>
                <w:rFonts w:ascii="Arial" w:eastAsia="Calibri" w:hAnsi="Arial" w:cs="Arial"/>
                <w:iCs/>
                <w:sz w:val="24"/>
                <w:szCs w:val="24"/>
                <w:lang w:val="en-ZA"/>
              </w:rPr>
              <w:t>2024</w:t>
            </w:r>
          </w:p>
          <w:p w:rsidR="00D23974" w:rsidRPr="003818E2" w:rsidRDefault="003818E2" w:rsidP="00F57418">
            <w:pPr>
              <w:spacing w:after="0" w:line="360" w:lineRule="auto"/>
              <w:jc w:val="both"/>
              <w:rPr>
                <w:rFonts w:ascii="Arial" w:eastAsia="Calibri" w:hAnsi="Arial" w:cs="Arial"/>
                <w:iCs/>
                <w:sz w:val="24"/>
                <w:szCs w:val="24"/>
                <w:lang w:val="en-ZA"/>
              </w:rPr>
            </w:pPr>
            <w:r w:rsidRPr="003818E2">
              <w:rPr>
                <w:rFonts w:ascii="Arial" w:eastAsia="Calibri" w:hAnsi="Arial" w:cs="Arial"/>
                <w:b/>
                <w:sz w:val="24"/>
                <w:szCs w:val="24"/>
                <w:lang w:val="en-ZA"/>
              </w:rPr>
              <w:t>Delivered on:</w:t>
            </w:r>
            <w:r w:rsidR="00F57418">
              <w:rPr>
                <w:rFonts w:ascii="Arial" w:eastAsia="Calibri" w:hAnsi="Arial" w:cs="Arial"/>
                <w:b/>
                <w:sz w:val="24"/>
                <w:szCs w:val="24"/>
                <w:lang w:val="en-ZA"/>
              </w:rPr>
              <w:t xml:space="preserve"> </w:t>
            </w:r>
            <w:r w:rsidR="00F57418">
              <w:rPr>
                <w:rFonts w:ascii="Arial" w:eastAsia="Calibri" w:hAnsi="Arial" w:cs="Arial"/>
                <w:iCs/>
                <w:sz w:val="24"/>
                <w:szCs w:val="24"/>
                <w:lang w:val="en-ZA"/>
              </w:rPr>
              <w:t xml:space="preserve">10 April </w:t>
            </w:r>
            <w:r w:rsidR="00DE6189">
              <w:rPr>
                <w:rFonts w:ascii="Arial" w:eastAsia="Calibri" w:hAnsi="Arial" w:cs="Arial"/>
                <w:iCs/>
                <w:sz w:val="24"/>
                <w:szCs w:val="24"/>
                <w:lang w:val="en-ZA"/>
              </w:rPr>
              <w:t>2024</w:t>
            </w:r>
          </w:p>
        </w:tc>
      </w:tr>
      <w:tr w:rsidR="003818E2" w:rsidRPr="003818E2" w:rsidTr="00397462">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3818E2" w:rsidRPr="003818E2" w:rsidRDefault="003818E2" w:rsidP="00B4680E">
            <w:pPr>
              <w:spacing w:after="0" w:line="360" w:lineRule="auto"/>
              <w:ind w:left="2161" w:hanging="2127"/>
              <w:jc w:val="both"/>
              <w:rPr>
                <w:rFonts w:ascii="Arial" w:eastAsia="Calibri" w:hAnsi="Arial" w:cs="Arial"/>
                <w:iCs/>
                <w:sz w:val="24"/>
                <w:szCs w:val="24"/>
                <w:lang w:val="en-ZA"/>
              </w:rPr>
            </w:pPr>
            <w:r w:rsidRPr="003818E2">
              <w:rPr>
                <w:rFonts w:ascii="Arial" w:eastAsia="Calibri" w:hAnsi="Arial" w:cs="Arial"/>
                <w:b/>
                <w:sz w:val="24"/>
                <w:szCs w:val="24"/>
                <w:lang w:val="en-ZA"/>
              </w:rPr>
              <w:t xml:space="preserve">Neutral citation: </w:t>
            </w:r>
            <w:r w:rsidRPr="003818E2">
              <w:rPr>
                <w:rFonts w:ascii="Arial" w:eastAsia="Calibri" w:hAnsi="Arial" w:cs="Arial"/>
                <w:i/>
                <w:sz w:val="24"/>
                <w:szCs w:val="24"/>
                <w:lang w:val="en-ZA"/>
              </w:rPr>
              <w:t xml:space="preserve"> </w:t>
            </w:r>
            <w:bookmarkStart w:id="0" w:name="_GoBack"/>
            <w:r w:rsidR="00F57418">
              <w:rPr>
                <w:rFonts w:ascii="Arial" w:eastAsia="Calibri" w:hAnsi="Arial" w:cs="Arial"/>
                <w:i/>
                <w:sz w:val="24"/>
                <w:szCs w:val="24"/>
                <w:lang w:val="en-ZA"/>
              </w:rPr>
              <w:t xml:space="preserve">Standard  Bank Namibia Ltd </w:t>
            </w:r>
            <w:r w:rsidR="00DE6189">
              <w:rPr>
                <w:rFonts w:ascii="Arial" w:eastAsia="Calibri" w:hAnsi="Arial" w:cs="Arial"/>
                <w:i/>
                <w:sz w:val="24"/>
                <w:szCs w:val="24"/>
                <w:lang w:val="en-ZA"/>
              </w:rPr>
              <w:t xml:space="preserve">v </w:t>
            </w:r>
            <w:r w:rsidR="00F57418">
              <w:rPr>
                <w:rFonts w:ascii="Arial" w:eastAsia="Calibri" w:hAnsi="Arial" w:cs="Arial"/>
                <w:i/>
                <w:sz w:val="24"/>
                <w:szCs w:val="24"/>
                <w:lang w:val="en-ZA"/>
              </w:rPr>
              <w:t xml:space="preserve">BIP Container Terminal CC </w:t>
            </w:r>
            <w:r w:rsidRPr="003818E2">
              <w:rPr>
                <w:rFonts w:ascii="Arial" w:eastAsia="Calibri" w:hAnsi="Arial" w:cs="Arial"/>
                <w:iCs/>
                <w:sz w:val="24"/>
                <w:szCs w:val="24"/>
                <w:lang w:val="en-ZA"/>
              </w:rPr>
              <w:t>(</w:t>
            </w:r>
            <w:r w:rsidR="00DE6189">
              <w:rPr>
                <w:rFonts w:ascii="Arial" w:eastAsia="Calibri" w:hAnsi="Arial" w:cs="Arial"/>
                <w:bCs/>
                <w:sz w:val="24"/>
                <w:szCs w:val="24"/>
              </w:rPr>
              <w:t>HC-MD-CIV-ACT-CON-</w:t>
            </w:r>
            <w:r w:rsidR="00DE6189" w:rsidRPr="00DE6189">
              <w:rPr>
                <w:rFonts w:ascii="Arial" w:eastAsia="Calibri" w:hAnsi="Arial" w:cs="Arial"/>
                <w:bCs/>
                <w:sz w:val="24"/>
                <w:szCs w:val="24"/>
              </w:rPr>
              <w:t>2023/0</w:t>
            </w:r>
            <w:r w:rsidR="00F57418">
              <w:rPr>
                <w:rFonts w:ascii="Arial" w:eastAsia="Calibri" w:hAnsi="Arial" w:cs="Arial"/>
                <w:bCs/>
                <w:sz w:val="24"/>
                <w:szCs w:val="24"/>
              </w:rPr>
              <w:t>4438</w:t>
            </w:r>
            <w:r w:rsidR="00DE6189">
              <w:rPr>
                <w:rFonts w:ascii="Arial" w:eastAsia="Calibri" w:hAnsi="Arial" w:cs="Arial"/>
                <w:iCs/>
                <w:sz w:val="24"/>
                <w:szCs w:val="24"/>
                <w:lang w:val="en-ZA"/>
              </w:rPr>
              <w:t>) [2024</w:t>
            </w:r>
            <w:r w:rsidRPr="003818E2">
              <w:rPr>
                <w:rFonts w:ascii="Arial" w:eastAsia="Calibri" w:hAnsi="Arial" w:cs="Arial"/>
                <w:iCs/>
                <w:sz w:val="24"/>
                <w:szCs w:val="24"/>
                <w:lang w:val="en-ZA"/>
              </w:rPr>
              <w:t xml:space="preserve">] NAHCMD </w:t>
            </w:r>
            <w:r w:rsidR="00B4680E">
              <w:rPr>
                <w:rFonts w:ascii="Arial" w:eastAsia="Calibri" w:hAnsi="Arial" w:cs="Arial"/>
                <w:iCs/>
                <w:sz w:val="24"/>
                <w:szCs w:val="24"/>
                <w:lang w:val="en-ZA"/>
              </w:rPr>
              <w:t>164</w:t>
            </w:r>
            <w:r w:rsidRPr="003818E2">
              <w:rPr>
                <w:rFonts w:ascii="Arial" w:eastAsia="Calibri" w:hAnsi="Arial" w:cs="Arial"/>
                <w:iCs/>
                <w:sz w:val="24"/>
                <w:szCs w:val="24"/>
                <w:lang w:val="en-ZA"/>
              </w:rPr>
              <w:t xml:space="preserve"> (</w:t>
            </w:r>
            <w:r w:rsidR="00F57418">
              <w:rPr>
                <w:rFonts w:ascii="Arial" w:eastAsia="Calibri" w:hAnsi="Arial" w:cs="Arial"/>
                <w:iCs/>
                <w:sz w:val="24"/>
                <w:szCs w:val="24"/>
                <w:lang w:val="en-ZA"/>
              </w:rPr>
              <w:t xml:space="preserve">10 April </w:t>
            </w:r>
            <w:r w:rsidR="00DE6189">
              <w:rPr>
                <w:rFonts w:ascii="Arial" w:eastAsia="Calibri" w:hAnsi="Arial" w:cs="Arial"/>
                <w:iCs/>
                <w:sz w:val="24"/>
                <w:szCs w:val="24"/>
                <w:lang w:val="en-ZA"/>
              </w:rPr>
              <w:t>2024</w:t>
            </w:r>
            <w:r w:rsidRPr="003818E2">
              <w:rPr>
                <w:rFonts w:ascii="Arial" w:eastAsia="Calibri" w:hAnsi="Arial" w:cs="Arial"/>
                <w:iCs/>
                <w:sz w:val="24"/>
                <w:szCs w:val="24"/>
                <w:lang w:val="en-ZA"/>
              </w:rPr>
              <w:t>)</w:t>
            </w:r>
            <w:bookmarkEnd w:id="0"/>
          </w:p>
        </w:tc>
      </w:tr>
      <w:tr w:rsidR="003818E2" w:rsidRPr="003818E2" w:rsidTr="00397462">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3818E2" w:rsidRPr="003818E2" w:rsidRDefault="003818E2" w:rsidP="00DE6189">
            <w:pPr>
              <w:spacing w:after="0" w:line="360" w:lineRule="auto"/>
              <w:jc w:val="both"/>
              <w:rPr>
                <w:rFonts w:ascii="Arial" w:eastAsia="Calibri" w:hAnsi="Arial" w:cs="Arial"/>
                <w:b/>
                <w:sz w:val="24"/>
                <w:szCs w:val="24"/>
                <w:lang w:val="en-ZA"/>
              </w:rPr>
            </w:pPr>
            <w:r w:rsidRPr="003818E2">
              <w:rPr>
                <w:rFonts w:ascii="Arial" w:eastAsia="Calibri" w:hAnsi="Arial" w:cs="Arial"/>
                <w:b/>
                <w:sz w:val="24"/>
                <w:szCs w:val="24"/>
                <w:lang w:val="en-ZA"/>
              </w:rPr>
              <w:lastRenderedPageBreak/>
              <w:t xml:space="preserve">The order: </w:t>
            </w:r>
            <w:r w:rsidRPr="003818E2">
              <w:rPr>
                <w:rFonts w:ascii="Arial" w:eastAsia="Calibri" w:hAnsi="Arial" w:cs="Arial"/>
                <w:sz w:val="24"/>
                <w:szCs w:val="24"/>
              </w:rPr>
              <w:t xml:space="preserve"> </w:t>
            </w:r>
          </w:p>
          <w:p w:rsidR="003818E2" w:rsidRPr="00DE6189" w:rsidRDefault="00DE6189" w:rsidP="00DE6189">
            <w:pPr>
              <w:pStyle w:val="ListParagraph"/>
              <w:numPr>
                <w:ilvl w:val="0"/>
                <w:numId w:val="3"/>
              </w:numPr>
              <w:spacing w:after="0" w:line="360" w:lineRule="auto"/>
              <w:jc w:val="both"/>
              <w:rPr>
                <w:rFonts w:ascii="Arial" w:eastAsia="Calibri" w:hAnsi="Arial" w:cs="Arial"/>
                <w:sz w:val="24"/>
                <w:szCs w:val="24"/>
                <w:lang w:val="en-ZA"/>
              </w:rPr>
            </w:pPr>
            <w:r w:rsidRPr="00DE6189">
              <w:rPr>
                <w:rFonts w:ascii="Arial" w:eastAsia="Calibri" w:hAnsi="Arial" w:cs="Arial"/>
                <w:sz w:val="24"/>
                <w:szCs w:val="24"/>
                <w:lang w:val="en-ZA"/>
              </w:rPr>
              <w:t xml:space="preserve">The summary judgment application is refused. </w:t>
            </w:r>
          </w:p>
          <w:p w:rsidR="00DE6189" w:rsidRDefault="00DD42E3" w:rsidP="00DE6189">
            <w:pPr>
              <w:pStyle w:val="ListParagraph"/>
              <w:numPr>
                <w:ilvl w:val="0"/>
                <w:numId w:val="3"/>
              </w:num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The plaintiff must pay the defendant</w:t>
            </w:r>
            <w:r w:rsidR="00DE6189">
              <w:rPr>
                <w:rFonts w:ascii="Arial" w:eastAsia="Calibri" w:hAnsi="Arial" w:cs="Arial"/>
                <w:sz w:val="24"/>
                <w:szCs w:val="24"/>
                <w:lang w:val="en-ZA"/>
              </w:rPr>
              <w:t>s</w:t>
            </w:r>
            <w:r>
              <w:rPr>
                <w:rFonts w:ascii="Arial" w:eastAsia="Calibri" w:hAnsi="Arial" w:cs="Arial"/>
                <w:sz w:val="24"/>
                <w:szCs w:val="24"/>
                <w:lang w:val="en-ZA"/>
              </w:rPr>
              <w:t>’</w:t>
            </w:r>
            <w:r w:rsidR="00DE6189">
              <w:rPr>
                <w:rFonts w:ascii="Arial" w:eastAsia="Calibri" w:hAnsi="Arial" w:cs="Arial"/>
                <w:sz w:val="24"/>
                <w:szCs w:val="24"/>
                <w:lang w:val="en-ZA"/>
              </w:rPr>
              <w:t xml:space="preserve"> costs of </w:t>
            </w:r>
            <w:r>
              <w:rPr>
                <w:rFonts w:ascii="Arial" w:eastAsia="Calibri" w:hAnsi="Arial" w:cs="Arial"/>
                <w:sz w:val="24"/>
                <w:szCs w:val="24"/>
                <w:lang w:val="en-ZA"/>
              </w:rPr>
              <w:t xml:space="preserve">opposing </w:t>
            </w:r>
            <w:r w:rsidR="00DE6189">
              <w:rPr>
                <w:rFonts w:ascii="Arial" w:eastAsia="Calibri" w:hAnsi="Arial" w:cs="Arial"/>
                <w:sz w:val="24"/>
                <w:szCs w:val="24"/>
                <w:lang w:val="en-ZA"/>
              </w:rPr>
              <w:t xml:space="preserve">the application </w:t>
            </w:r>
            <w:r>
              <w:rPr>
                <w:rFonts w:ascii="Arial" w:eastAsia="Calibri" w:hAnsi="Arial" w:cs="Arial"/>
                <w:sz w:val="24"/>
                <w:szCs w:val="24"/>
                <w:lang w:val="en-ZA"/>
              </w:rPr>
              <w:t xml:space="preserve">for summary judgment </w:t>
            </w:r>
            <w:r w:rsidR="00DE6189">
              <w:rPr>
                <w:rFonts w:ascii="Arial" w:eastAsia="Calibri" w:hAnsi="Arial" w:cs="Arial"/>
                <w:sz w:val="24"/>
                <w:szCs w:val="24"/>
                <w:lang w:val="en-ZA"/>
              </w:rPr>
              <w:t>on a party-party scale,</w:t>
            </w:r>
            <w:r>
              <w:rPr>
                <w:rFonts w:ascii="Arial" w:eastAsia="Calibri" w:hAnsi="Arial" w:cs="Arial"/>
                <w:sz w:val="24"/>
                <w:szCs w:val="24"/>
                <w:lang w:val="en-ZA"/>
              </w:rPr>
              <w:t xml:space="preserve"> </w:t>
            </w:r>
            <w:r w:rsidR="00DE6189">
              <w:rPr>
                <w:rFonts w:ascii="Arial" w:eastAsia="Calibri" w:hAnsi="Arial" w:cs="Arial"/>
                <w:sz w:val="24"/>
                <w:szCs w:val="24"/>
                <w:lang w:val="en-ZA"/>
              </w:rPr>
              <w:t>subject to rule 32(11).</w:t>
            </w:r>
          </w:p>
          <w:p w:rsidR="00DE6189" w:rsidRDefault="00DE6189" w:rsidP="00DE6189">
            <w:pPr>
              <w:pStyle w:val="ListParagraph"/>
              <w:numPr>
                <w:ilvl w:val="0"/>
                <w:numId w:val="3"/>
              </w:num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The parties must file a joint case plan </w:t>
            </w:r>
            <w:r w:rsidR="00DD42E3">
              <w:rPr>
                <w:rFonts w:ascii="Arial" w:eastAsia="Calibri" w:hAnsi="Arial" w:cs="Arial"/>
                <w:sz w:val="24"/>
                <w:szCs w:val="24"/>
                <w:lang w:val="en-ZA"/>
              </w:rPr>
              <w:t xml:space="preserve">on or before 15 April </w:t>
            </w:r>
            <w:r w:rsidR="005C7E28">
              <w:rPr>
                <w:rFonts w:ascii="Arial" w:eastAsia="Calibri" w:hAnsi="Arial" w:cs="Arial"/>
                <w:sz w:val="24"/>
                <w:szCs w:val="24"/>
                <w:lang w:val="en-ZA"/>
              </w:rPr>
              <w:t xml:space="preserve">2024, </w:t>
            </w:r>
            <w:r>
              <w:rPr>
                <w:rFonts w:ascii="Arial" w:eastAsia="Calibri" w:hAnsi="Arial" w:cs="Arial"/>
                <w:sz w:val="24"/>
                <w:szCs w:val="24"/>
                <w:lang w:val="en-ZA"/>
              </w:rPr>
              <w:t>for the further filing of pleadings.</w:t>
            </w:r>
          </w:p>
          <w:p w:rsidR="00DE6189" w:rsidRPr="00DE6189" w:rsidRDefault="00DD42E3" w:rsidP="00DE6189">
            <w:pPr>
              <w:pStyle w:val="ListParagraph"/>
              <w:numPr>
                <w:ilvl w:val="0"/>
                <w:numId w:val="3"/>
              </w:num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The matter is postponed to 18 April </w:t>
            </w:r>
            <w:r w:rsidR="00A33DA8">
              <w:rPr>
                <w:rFonts w:ascii="Arial" w:eastAsia="Calibri" w:hAnsi="Arial" w:cs="Arial"/>
                <w:sz w:val="24"/>
                <w:szCs w:val="24"/>
                <w:lang w:val="en-ZA"/>
              </w:rPr>
              <w:t>2024 at 08h</w:t>
            </w:r>
            <w:r w:rsidR="00DE6189">
              <w:rPr>
                <w:rFonts w:ascii="Arial" w:eastAsia="Calibri" w:hAnsi="Arial" w:cs="Arial"/>
                <w:sz w:val="24"/>
                <w:szCs w:val="24"/>
                <w:lang w:val="en-ZA"/>
              </w:rPr>
              <w:t>30 for a Case Planning Conference hearing.</w:t>
            </w:r>
          </w:p>
          <w:p w:rsidR="003818E2" w:rsidRPr="003818E2" w:rsidRDefault="003818E2" w:rsidP="00DE6189">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 xml:space="preserve">   </w:t>
            </w:r>
          </w:p>
        </w:tc>
      </w:tr>
      <w:tr w:rsidR="003818E2" w:rsidRPr="003818E2" w:rsidTr="00397462">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FD2A0F" w:rsidRDefault="00FD2A0F" w:rsidP="003818E2">
            <w:pPr>
              <w:spacing w:after="0" w:line="360" w:lineRule="auto"/>
              <w:rPr>
                <w:rFonts w:ascii="Arial" w:eastAsia="Calibri" w:hAnsi="Arial" w:cs="Arial"/>
                <w:sz w:val="24"/>
                <w:szCs w:val="24"/>
              </w:rPr>
            </w:pPr>
          </w:p>
          <w:p w:rsidR="003818E2" w:rsidRPr="003818E2" w:rsidRDefault="003818E2" w:rsidP="003818E2">
            <w:pPr>
              <w:spacing w:after="0" w:line="360" w:lineRule="auto"/>
              <w:rPr>
                <w:rFonts w:ascii="Arial" w:eastAsia="Calibri" w:hAnsi="Arial" w:cs="Arial"/>
                <w:sz w:val="24"/>
                <w:szCs w:val="24"/>
              </w:rPr>
            </w:pPr>
            <w:r w:rsidRPr="003818E2">
              <w:rPr>
                <w:rFonts w:ascii="Arial" w:eastAsia="Calibri" w:hAnsi="Arial" w:cs="Arial"/>
                <w:sz w:val="24"/>
                <w:szCs w:val="24"/>
              </w:rPr>
              <w:t xml:space="preserve">SIBEYA J </w:t>
            </w:r>
          </w:p>
          <w:p w:rsidR="003818E2" w:rsidRPr="003818E2" w:rsidRDefault="003818E2" w:rsidP="003818E2">
            <w:pPr>
              <w:spacing w:after="0" w:line="360" w:lineRule="auto"/>
              <w:jc w:val="both"/>
              <w:rPr>
                <w:rFonts w:ascii="Arial" w:eastAsia="Calibri" w:hAnsi="Arial" w:cs="Arial"/>
                <w:sz w:val="24"/>
                <w:szCs w:val="24"/>
                <w:lang w:val="en-ZA"/>
              </w:rPr>
            </w:pPr>
          </w:p>
          <w:p w:rsidR="003818E2" w:rsidRPr="003818E2" w:rsidRDefault="003818E2" w:rsidP="003818E2">
            <w:pPr>
              <w:spacing w:after="0" w:line="360" w:lineRule="auto"/>
              <w:jc w:val="both"/>
              <w:rPr>
                <w:rFonts w:ascii="Arial" w:eastAsia="Calibri" w:hAnsi="Arial" w:cs="Arial"/>
                <w:sz w:val="24"/>
                <w:szCs w:val="24"/>
                <w:u w:val="single"/>
                <w:lang w:val="en-ZA"/>
              </w:rPr>
            </w:pPr>
            <w:r w:rsidRPr="003818E2">
              <w:rPr>
                <w:rFonts w:ascii="Arial" w:eastAsia="Calibri" w:hAnsi="Arial" w:cs="Arial"/>
                <w:sz w:val="24"/>
                <w:szCs w:val="24"/>
                <w:u w:val="single"/>
                <w:lang w:val="en-ZA"/>
              </w:rPr>
              <w:t>Introduction</w:t>
            </w:r>
          </w:p>
          <w:p w:rsidR="003818E2" w:rsidRPr="003818E2" w:rsidRDefault="003818E2" w:rsidP="003818E2">
            <w:pPr>
              <w:spacing w:after="0" w:line="360" w:lineRule="auto"/>
              <w:jc w:val="both"/>
              <w:rPr>
                <w:rFonts w:ascii="Arial" w:eastAsia="Calibri" w:hAnsi="Arial" w:cs="Arial"/>
                <w:sz w:val="24"/>
                <w:lang w:val="en-ZA"/>
              </w:rPr>
            </w:pPr>
            <w:r w:rsidRPr="003818E2">
              <w:rPr>
                <w:rFonts w:ascii="Arial" w:eastAsia="Calibri" w:hAnsi="Arial" w:cs="Arial"/>
                <w:sz w:val="24"/>
                <w:szCs w:val="24"/>
                <w:lang w:val="en-ZA"/>
              </w:rPr>
              <w:tab/>
            </w:r>
          </w:p>
          <w:p w:rsidR="003818E2" w:rsidRPr="003818E2" w:rsidRDefault="003818E2" w:rsidP="003818E2">
            <w:pPr>
              <w:spacing w:after="0" w:line="360" w:lineRule="auto"/>
              <w:jc w:val="both"/>
              <w:rPr>
                <w:rFonts w:ascii="Arial" w:eastAsia="Calibri" w:hAnsi="Arial" w:cs="Arial"/>
                <w:sz w:val="24"/>
                <w:lang w:val="en-ZA"/>
              </w:rPr>
            </w:pPr>
            <w:r w:rsidRPr="003818E2">
              <w:rPr>
                <w:rFonts w:ascii="Arial" w:eastAsia="Calibri" w:hAnsi="Arial" w:cs="Arial"/>
                <w:sz w:val="24"/>
                <w:lang w:val="en-ZA"/>
              </w:rPr>
              <w:t>[1]</w:t>
            </w:r>
            <w:r w:rsidRPr="003818E2">
              <w:rPr>
                <w:rFonts w:ascii="Arial" w:eastAsia="Calibri" w:hAnsi="Arial" w:cs="Arial"/>
                <w:sz w:val="24"/>
                <w:lang w:val="en-ZA"/>
              </w:rPr>
              <w:tab/>
            </w:r>
            <w:r w:rsidR="008656FA">
              <w:rPr>
                <w:rFonts w:ascii="Arial" w:eastAsia="Calibri" w:hAnsi="Arial" w:cs="Arial"/>
                <w:sz w:val="24"/>
                <w:lang w:val="en-ZA"/>
              </w:rPr>
              <w:t xml:space="preserve">Serving before court is an </w:t>
            </w:r>
            <w:r w:rsidR="00DE6189" w:rsidRPr="00DE6189">
              <w:rPr>
                <w:rFonts w:ascii="Arial" w:eastAsia="MS Mincho" w:hAnsi="Arial" w:cs="Times New Roman"/>
                <w:sz w:val="24"/>
                <w:szCs w:val="24"/>
                <w:lang w:val="en-GB"/>
              </w:rPr>
              <w:t>opposed ap</w:t>
            </w:r>
            <w:r w:rsidR="008656FA">
              <w:rPr>
                <w:rFonts w:ascii="Arial" w:eastAsia="MS Mincho" w:hAnsi="Arial" w:cs="Times New Roman"/>
                <w:sz w:val="24"/>
                <w:szCs w:val="24"/>
                <w:lang w:val="en-GB"/>
              </w:rPr>
              <w:t xml:space="preserve">plication for summary judgment. The court must, therefore, determined whether or not the plaintiff is entitled to the relief sought. </w:t>
            </w:r>
            <w:r w:rsidR="00782F93">
              <w:rPr>
                <w:rFonts w:ascii="Arial" w:eastAsia="MS Mincho" w:hAnsi="Arial" w:cs="Times New Roman"/>
                <w:sz w:val="24"/>
                <w:szCs w:val="24"/>
                <w:lang w:val="en-GB"/>
              </w:rPr>
              <w:t xml:space="preserve"> </w:t>
            </w:r>
          </w:p>
          <w:p w:rsidR="003818E2" w:rsidRPr="003818E2" w:rsidRDefault="003818E2" w:rsidP="003818E2">
            <w:pPr>
              <w:spacing w:after="0" w:line="360" w:lineRule="auto"/>
              <w:jc w:val="both"/>
              <w:rPr>
                <w:rFonts w:ascii="Arial" w:eastAsia="Calibri" w:hAnsi="Arial" w:cs="Arial"/>
                <w:sz w:val="24"/>
                <w:szCs w:val="24"/>
                <w:lang w:val="en-ZA"/>
              </w:rPr>
            </w:pPr>
          </w:p>
          <w:p w:rsidR="007031C3" w:rsidRDefault="00DE6189" w:rsidP="003818E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[2</w:t>
            </w:r>
            <w:r w:rsidR="003818E2" w:rsidRPr="003818E2">
              <w:rPr>
                <w:rFonts w:ascii="Arial" w:eastAsia="Calibri" w:hAnsi="Arial" w:cs="Arial"/>
                <w:sz w:val="24"/>
                <w:szCs w:val="24"/>
                <w:lang w:val="en-ZA"/>
              </w:rPr>
              <w:t xml:space="preserve">] </w:t>
            </w:r>
            <w:r>
              <w:rPr>
                <w:rFonts w:ascii="Arial" w:eastAsia="Calibri" w:hAnsi="Arial" w:cs="Arial"/>
                <w:sz w:val="24"/>
                <w:szCs w:val="24"/>
                <w:lang w:val="en-ZA"/>
              </w:rPr>
              <w:tab/>
            </w:r>
            <w:r w:rsidR="008656FA">
              <w:rPr>
                <w:rFonts w:ascii="Arial" w:eastAsia="Calibri" w:hAnsi="Arial" w:cs="Arial"/>
                <w:sz w:val="24"/>
                <w:szCs w:val="24"/>
                <w:lang w:val="en-ZA"/>
              </w:rPr>
              <w:t>The action is defended and the defendants opposed the application for summary judgment</w:t>
            </w:r>
            <w:r w:rsidR="007031C3">
              <w:rPr>
                <w:rFonts w:ascii="Arial" w:eastAsia="Calibri" w:hAnsi="Arial" w:cs="Arial"/>
                <w:sz w:val="24"/>
                <w:szCs w:val="24"/>
                <w:lang w:val="en-ZA"/>
              </w:rPr>
              <w:t xml:space="preserve">. The fourth defendant, in his personal capacity and in the capacity of being a member of the first defendant, deposed to the affidavit filed in opposition to the application for summary judgment. </w:t>
            </w:r>
          </w:p>
          <w:p w:rsidR="003818E2" w:rsidRPr="003818E2" w:rsidRDefault="003818E2" w:rsidP="003818E2">
            <w:pPr>
              <w:spacing w:after="0" w:line="360" w:lineRule="auto"/>
              <w:jc w:val="both"/>
              <w:rPr>
                <w:rFonts w:ascii="Arial" w:eastAsia="Calibri" w:hAnsi="Arial" w:cs="Arial"/>
                <w:sz w:val="24"/>
                <w:szCs w:val="24"/>
                <w:lang w:val="en-ZA"/>
              </w:rPr>
            </w:pPr>
          </w:p>
          <w:p w:rsidR="003818E2" w:rsidRPr="003818E2" w:rsidRDefault="00290A91" w:rsidP="003818E2">
            <w:pPr>
              <w:spacing w:after="0" w:line="360" w:lineRule="auto"/>
              <w:jc w:val="both"/>
              <w:rPr>
                <w:rFonts w:ascii="Arial" w:eastAsia="Calibri" w:hAnsi="Arial" w:cs="Arial"/>
                <w:sz w:val="24"/>
                <w:szCs w:val="24"/>
                <w:u w:val="single"/>
                <w:lang w:val="en-ZA"/>
              </w:rPr>
            </w:pPr>
            <w:r>
              <w:rPr>
                <w:rFonts w:ascii="Arial" w:eastAsia="Calibri" w:hAnsi="Arial" w:cs="Arial"/>
                <w:sz w:val="24"/>
                <w:szCs w:val="24"/>
                <w:u w:val="single"/>
                <w:lang w:val="en-ZA"/>
              </w:rPr>
              <w:t>The parties and r</w:t>
            </w:r>
            <w:r w:rsidR="003818E2" w:rsidRPr="003818E2">
              <w:rPr>
                <w:rFonts w:ascii="Arial" w:eastAsia="Calibri" w:hAnsi="Arial" w:cs="Arial"/>
                <w:sz w:val="24"/>
                <w:szCs w:val="24"/>
                <w:u w:val="single"/>
                <w:lang w:val="en-ZA"/>
              </w:rPr>
              <w:t>epresentation</w:t>
            </w:r>
          </w:p>
          <w:p w:rsidR="003818E2" w:rsidRPr="003818E2" w:rsidRDefault="003818E2" w:rsidP="003818E2">
            <w:pPr>
              <w:spacing w:after="0" w:line="360" w:lineRule="auto"/>
              <w:jc w:val="both"/>
              <w:rPr>
                <w:rFonts w:ascii="Arial" w:eastAsia="Calibri" w:hAnsi="Arial" w:cs="Arial"/>
                <w:sz w:val="24"/>
                <w:szCs w:val="24"/>
                <w:lang w:val="en-ZA"/>
              </w:rPr>
            </w:pPr>
          </w:p>
          <w:p w:rsidR="00F00C50" w:rsidRDefault="003818E2" w:rsidP="003818E2">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w:t>
            </w:r>
            <w:r w:rsidR="00DE6189">
              <w:rPr>
                <w:rFonts w:ascii="Arial" w:eastAsia="Calibri" w:hAnsi="Arial" w:cs="Arial"/>
                <w:sz w:val="24"/>
                <w:szCs w:val="24"/>
                <w:lang w:val="en-ZA"/>
              </w:rPr>
              <w:t>3</w:t>
            </w:r>
            <w:r w:rsidR="00F731BD">
              <w:rPr>
                <w:rFonts w:ascii="Arial" w:eastAsia="Calibri" w:hAnsi="Arial" w:cs="Arial"/>
                <w:sz w:val="24"/>
                <w:szCs w:val="24"/>
                <w:lang w:val="en-ZA"/>
              </w:rPr>
              <w:t>]</w:t>
            </w:r>
            <w:r w:rsidR="00F731BD">
              <w:rPr>
                <w:rFonts w:ascii="Arial" w:eastAsia="Calibri" w:hAnsi="Arial" w:cs="Arial"/>
                <w:sz w:val="24"/>
                <w:szCs w:val="24"/>
                <w:lang w:val="en-ZA"/>
              </w:rPr>
              <w:tab/>
            </w:r>
            <w:r w:rsidR="00F00C50">
              <w:rPr>
                <w:rFonts w:ascii="Arial" w:eastAsia="Calibri" w:hAnsi="Arial" w:cs="Arial"/>
                <w:sz w:val="24"/>
                <w:szCs w:val="24"/>
                <w:lang w:val="en-ZA"/>
              </w:rPr>
              <w:t xml:space="preserve">The plaintiff is Standard Bank Namibia Limited, a </w:t>
            </w:r>
            <w:r w:rsidR="009A0A62">
              <w:rPr>
                <w:rFonts w:ascii="Arial" w:eastAsia="Calibri" w:hAnsi="Arial" w:cs="Arial"/>
                <w:sz w:val="24"/>
                <w:szCs w:val="24"/>
                <w:lang w:val="en-ZA"/>
              </w:rPr>
              <w:t xml:space="preserve">duly </w:t>
            </w:r>
            <w:r w:rsidR="00F00C50">
              <w:rPr>
                <w:rFonts w:ascii="Arial" w:eastAsia="Calibri" w:hAnsi="Arial" w:cs="Arial"/>
                <w:sz w:val="24"/>
                <w:szCs w:val="24"/>
                <w:lang w:val="en-ZA"/>
              </w:rPr>
              <w:t>registered bank in terms of the laws of the Republic with its principal place of business situated at No. 1 Chasie Street, Windhoek.</w:t>
            </w:r>
          </w:p>
          <w:p w:rsidR="00F00C50" w:rsidRDefault="00F00C50" w:rsidP="003818E2">
            <w:pPr>
              <w:spacing w:after="0" w:line="360" w:lineRule="auto"/>
              <w:jc w:val="both"/>
              <w:rPr>
                <w:rFonts w:ascii="Arial" w:eastAsia="Calibri" w:hAnsi="Arial" w:cs="Arial"/>
                <w:sz w:val="24"/>
                <w:szCs w:val="24"/>
                <w:lang w:val="en-ZA"/>
              </w:rPr>
            </w:pPr>
          </w:p>
          <w:p w:rsidR="00F00C50" w:rsidRDefault="00F00C50" w:rsidP="003818E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397462">
              <w:rPr>
                <w:rFonts w:ascii="Arial" w:eastAsia="Calibri" w:hAnsi="Arial" w:cs="Arial"/>
                <w:sz w:val="24"/>
                <w:szCs w:val="24"/>
                <w:lang w:val="en-ZA"/>
              </w:rPr>
              <w:t>4</w:t>
            </w:r>
            <w:r>
              <w:rPr>
                <w:rFonts w:ascii="Arial" w:eastAsia="Calibri" w:hAnsi="Arial" w:cs="Arial"/>
                <w:sz w:val="24"/>
                <w:szCs w:val="24"/>
                <w:lang w:val="en-ZA"/>
              </w:rPr>
              <w:t>]</w:t>
            </w:r>
            <w:r w:rsidR="009A0A62">
              <w:rPr>
                <w:rFonts w:ascii="Arial" w:eastAsia="Calibri" w:hAnsi="Arial" w:cs="Arial"/>
                <w:sz w:val="24"/>
                <w:szCs w:val="24"/>
                <w:lang w:val="en-ZA"/>
              </w:rPr>
              <w:t xml:space="preserve">         The first defendant is BIP Container Terminal CC, a close corporation duly registered in terms of the laws of the Republic, with its address of service situated at Erf 4501 Langer Heinrich Street, Walvis Bay.</w:t>
            </w:r>
          </w:p>
          <w:p w:rsidR="009A0A62" w:rsidRDefault="009A0A62" w:rsidP="003818E2">
            <w:pPr>
              <w:spacing w:after="0" w:line="360" w:lineRule="auto"/>
              <w:jc w:val="both"/>
              <w:rPr>
                <w:rFonts w:ascii="Arial" w:eastAsia="Calibri" w:hAnsi="Arial" w:cs="Arial"/>
                <w:sz w:val="24"/>
                <w:szCs w:val="24"/>
                <w:lang w:val="en-ZA"/>
              </w:rPr>
            </w:pPr>
          </w:p>
          <w:p w:rsidR="009A0A62" w:rsidRDefault="009A0A62" w:rsidP="003818E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397462">
              <w:rPr>
                <w:rFonts w:ascii="Arial" w:eastAsia="Calibri" w:hAnsi="Arial" w:cs="Arial"/>
                <w:sz w:val="24"/>
                <w:szCs w:val="24"/>
                <w:lang w:val="en-ZA"/>
              </w:rPr>
              <w:t>5</w:t>
            </w:r>
            <w:r>
              <w:rPr>
                <w:rFonts w:ascii="Arial" w:eastAsia="Calibri" w:hAnsi="Arial" w:cs="Arial"/>
                <w:sz w:val="24"/>
                <w:szCs w:val="24"/>
                <w:lang w:val="en-ZA"/>
              </w:rPr>
              <w:t xml:space="preserve">]       The second defendant is Mr Warren Lionel Ockhuys, a major male resident of Walvis Bay. </w:t>
            </w:r>
          </w:p>
          <w:p w:rsidR="009A0A62" w:rsidRDefault="009A0A62" w:rsidP="003818E2">
            <w:pPr>
              <w:spacing w:after="0" w:line="360" w:lineRule="auto"/>
              <w:jc w:val="both"/>
              <w:rPr>
                <w:rFonts w:ascii="Arial" w:eastAsia="Calibri" w:hAnsi="Arial" w:cs="Arial"/>
                <w:sz w:val="24"/>
                <w:szCs w:val="24"/>
                <w:lang w:val="en-ZA"/>
              </w:rPr>
            </w:pPr>
          </w:p>
          <w:p w:rsidR="009A0A62" w:rsidRDefault="009A0A62" w:rsidP="003818E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397462">
              <w:rPr>
                <w:rFonts w:ascii="Arial" w:eastAsia="Calibri" w:hAnsi="Arial" w:cs="Arial"/>
                <w:sz w:val="24"/>
                <w:szCs w:val="24"/>
                <w:lang w:val="en-ZA"/>
              </w:rPr>
              <w:t>6</w:t>
            </w:r>
            <w:r>
              <w:rPr>
                <w:rFonts w:ascii="Arial" w:eastAsia="Calibri" w:hAnsi="Arial" w:cs="Arial"/>
                <w:sz w:val="24"/>
                <w:szCs w:val="24"/>
                <w:lang w:val="en-ZA"/>
              </w:rPr>
              <w:t xml:space="preserve">]        The third defendant is Mr Isai Zimina Haishonga, a major male </w:t>
            </w:r>
            <w:r w:rsidR="005934E6">
              <w:rPr>
                <w:rFonts w:ascii="Arial" w:eastAsia="Calibri" w:hAnsi="Arial" w:cs="Arial"/>
                <w:sz w:val="24"/>
                <w:szCs w:val="24"/>
                <w:lang w:val="en-ZA"/>
              </w:rPr>
              <w:t xml:space="preserve">resident of Walvis Bay. </w:t>
            </w:r>
          </w:p>
          <w:p w:rsidR="005934E6" w:rsidRDefault="005934E6" w:rsidP="003818E2">
            <w:pPr>
              <w:spacing w:after="0" w:line="360" w:lineRule="auto"/>
              <w:jc w:val="both"/>
              <w:rPr>
                <w:rFonts w:ascii="Arial" w:eastAsia="Calibri" w:hAnsi="Arial" w:cs="Arial"/>
                <w:sz w:val="24"/>
                <w:szCs w:val="24"/>
                <w:lang w:val="en-ZA"/>
              </w:rPr>
            </w:pPr>
          </w:p>
          <w:p w:rsidR="005934E6" w:rsidRDefault="005934E6" w:rsidP="003818E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397462">
              <w:rPr>
                <w:rFonts w:ascii="Arial" w:eastAsia="Calibri" w:hAnsi="Arial" w:cs="Arial"/>
                <w:sz w:val="24"/>
                <w:szCs w:val="24"/>
                <w:lang w:val="en-ZA"/>
              </w:rPr>
              <w:t>7</w:t>
            </w:r>
            <w:r>
              <w:rPr>
                <w:rFonts w:ascii="Arial" w:eastAsia="Calibri" w:hAnsi="Arial" w:cs="Arial"/>
                <w:sz w:val="24"/>
                <w:szCs w:val="24"/>
                <w:lang w:val="en-ZA"/>
              </w:rPr>
              <w:t xml:space="preserve">]       The fourth defendant is Mr Cornelius Petrus Willemse, a major male married in community of property to the fifth defendant and </w:t>
            </w:r>
            <w:r w:rsidR="008904CF">
              <w:rPr>
                <w:rFonts w:ascii="Arial" w:eastAsia="Calibri" w:hAnsi="Arial" w:cs="Arial"/>
                <w:sz w:val="24"/>
                <w:szCs w:val="24"/>
                <w:lang w:val="en-ZA"/>
              </w:rPr>
              <w:t xml:space="preserve">a </w:t>
            </w:r>
            <w:r>
              <w:rPr>
                <w:rFonts w:ascii="Arial" w:eastAsia="Calibri" w:hAnsi="Arial" w:cs="Arial"/>
                <w:sz w:val="24"/>
                <w:szCs w:val="24"/>
                <w:lang w:val="en-ZA"/>
              </w:rPr>
              <w:t>resident of Walvis Bay.</w:t>
            </w:r>
          </w:p>
          <w:p w:rsidR="005934E6" w:rsidRDefault="005934E6" w:rsidP="003818E2">
            <w:pPr>
              <w:spacing w:after="0" w:line="360" w:lineRule="auto"/>
              <w:jc w:val="both"/>
              <w:rPr>
                <w:rFonts w:ascii="Arial" w:eastAsia="Calibri" w:hAnsi="Arial" w:cs="Arial"/>
                <w:sz w:val="24"/>
                <w:szCs w:val="24"/>
                <w:lang w:val="en-ZA"/>
              </w:rPr>
            </w:pPr>
          </w:p>
          <w:p w:rsidR="005934E6" w:rsidRDefault="005934E6" w:rsidP="003818E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397462">
              <w:rPr>
                <w:rFonts w:ascii="Arial" w:eastAsia="Calibri" w:hAnsi="Arial" w:cs="Arial"/>
                <w:sz w:val="24"/>
                <w:szCs w:val="24"/>
                <w:lang w:val="en-ZA"/>
              </w:rPr>
              <w:t>8</w:t>
            </w:r>
            <w:r>
              <w:rPr>
                <w:rFonts w:ascii="Arial" w:eastAsia="Calibri" w:hAnsi="Arial" w:cs="Arial"/>
                <w:sz w:val="24"/>
                <w:szCs w:val="24"/>
                <w:lang w:val="en-ZA"/>
              </w:rPr>
              <w:t xml:space="preserve">]         The fifth defendant is Ms Cheryl Nicolette Willemse, a major female married in community of property to the fourth defendant and </w:t>
            </w:r>
            <w:r w:rsidR="008904CF">
              <w:rPr>
                <w:rFonts w:ascii="Arial" w:eastAsia="Calibri" w:hAnsi="Arial" w:cs="Arial"/>
                <w:sz w:val="24"/>
                <w:szCs w:val="24"/>
                <w:lang w:val="en-ZA"/>
              </w:rPr>
              <w:t xml:space="preserve">a </w:t>
            </w:r>
            <w:r>
              <w:rPr>
                <w:rFonts w:ascii="Arial" w:eastAsia="Calibri" w:hAnsi="Arial" w:cs="Arial"/>
                <w:sz w:val="24"/>
                <w:szCs w:val="24"/>
                <w:lang w:val="en-ZA"/>
              </w:rPr>
              <w:t xml:space="preserve">resident </w:t>
            </w:r>
            <w:r w:rsidR="00E95AA3">
              <w:rPr>
                <w:rFonts w:ascii="Arial" w:eastAsia="Calibri" w:hAnsi="Arial" w:cs="Arial"/>
                <w:sz w:val="24"/>
                <w:szCs w:val="24"/>
                <w:lang w:val="en-ZA"/>
              </w:rPr>
              <w:t>of Walvis Bay.</w:t>
            </w:r>
          </w:p>
          <w:p w:rsidR="00F00C50" w:rsidRDefault="00F00C50" w:rsidP="003818E2">
            <w:pPr>
              <w:spacing w:after="0" w:line="360" w:lineRule="auto"/>
              <w:jc w:val="both"/>
              <w:rPr>
                <w:rFonts w:ascii="Arial" w:eastAsia="Calibri" w:hAnsi="Arial" w:cs="Arial"/>
                <w:sz w:val="24"/>
                <w:szCs w:val="24"/>
                <w:lang w:val="en-ZA"/>
              </w:rPr>
            </w:pPr>
          </w:p>
          <w:p w:rsidR="003818E2" w:rsidRPr="003818E2" w:rsidRDefault="00F00C50" w:rsidP="003818E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397462">
              <w:rPr>
                <w:rFonts w:ascii="Arial" w:eastAsia="Calibri" w:hAnsi="Arial" w:cs="Arial"/>
                <w:sz w:val="24"/>
                <w:szCs w:val="24"/>
                <w:lang w:val="en-ZA"/>
              </w:rPr>
              <w:t>9</w:t>
            </w:r>
            <w:r>
              <w:rPr>
                <w:rFonts w:ascii="Arial" w:eastAsia="Calibri" w:hAnsi="Arial" w:cs="Arial"/>
                <w:sz w:val="24"/>
                <w:szCs w:val="24"/>
                <w:lang w:val="en-ZA"/>
              </w:rPr>
              <w:t>]</w:t>
            </w:r>
            <w:r w:rsidR="00587D20">
              <w:rPr>
                <w:rFonts w:ascii="Arial" w:eastAsia="Calibri" w:hAnsi="Arial" w:cs="Arial"/>
                <w:sz w:val="24"/>
                <w:szCs w:val="24"/>
                <w:lang w:val="en-ZA"/>
              </w:rPr>
              <w:t xml:space="preserve">           </w:t>
            </w:r>
            <w:r w:rsidR="00F731BD">
              <w:rPr>
                <w:rFonts w:ascii="Arial" w:eastAsia="Calibri" w:hAnsi="Arial" w:cs="Arial"/>
                <w:sz w:val="24"/>
                <w:szCs w:val="24"/>
                <w:lang w:val="en-ZA"/>
              </w:rPr>
              <w:t xml:space="preserve">Ms Griffiths </w:t>
            </w:r>
            <w:r w:rsidR="003818E2" w:rsidRPr="003818E2">
              <w:rPr>
                <w:rFonts w:ascii="Arial" w:eastAsia="Calibri" w:hAnsi="Arial" w:cs="Arial"/>
                <w:sz w:val="24"/>
                <w:szCs w:val="24"/>
                <w:lang w:val="en-ZA"/>
              </w:rPr>
              <w:t>appears for the plaintiff</w:t>
            </w:r>
            <w:r w:rsidR="000064C8">
              <w:rPr>
                <w:rFonts w:ascii="Arial" w:eastAsia="Calibri" w:hAnsi="Arial" w:cs="Arial"/>
                <w:sz w:val="24"/>
                <w:szCs w:val="24"/>
                <w:lang w:val="en-ZA"/>
              </w:rPr>
              <w:t>,</w:t>
            </w:r>
            <w:r w:rsidR="003818E2" w:rsidRPr="003818E2">
              <w:rPr>
                <w:rFonts w:ascii="Arial" w:eastAsia="Calibri" w:hAnsi="Arial" w:cs="Arial"/>
                <w:sz w:val="24"/>
                <w:szCs w:val="24"/>
                <w:lang w:val="en-ZA"/>
              </w:rPr>
              <w:t xml:space="preserve"> while Mr </w:t>
            </w:r>
            <w:r w:rsidR="00F731BD">
              <w:rPr>
                <w:rFonts w:ascii="Arial" w:eastAsia="Calibri" w:hAnsi="Arial" w:cs="Arial"/>
                <w:sz w:val="24"/>
                <w:szCs w:val="24"/>
                <w:lang w:val="en-ZA"/>
              </w:rPr>
              <w:t xml:space="preserve">Karsten </w:t>
            </w:r>
            <w:r w:rsidR="003818E2" w:rsidRPr="003818E2">
              <w:rPr>
                <w:rFonts w:ascii="Arial" w:eastAsia="Calibri" w:hAnsi="Arial" w:cs="Arial"/>
                <w:sz w:val="24"/>
                <w:szCs w:val="24"/>
                <w:lang w:val="en-ZA"/>
              </w:rPr>
              <w:t>appears for the defendant</w:t>
            </w:r>
            <w:r w:rsidR="00F731BD">
              <w:rPr>
                <w:rFonts w:ascii="Arial" w:eastAsia="Calibri" w:hAnsi="Arial" w:cs="Arial"/>
                <w:sz w:val="24"/>
                <w:szCs w:val="24"/>
                <w:lang w:val="en-ZA"/>
              </w:rPr>
              <w:t>s</w:t>
            </w:r>
            <w:r w:rsidR="003818E2" w:rsidRPr="003818E2">
              <w:rPr>
                <w:rFonts w:ascii="Arial" w:eastAsia="Calibri" w:hAnsi="Arial" w:cs="Arial"/>
                <w:sz w:val="24"/>
                <w:szCs w:val="24"/>
                <w:lang w:val="en-ZA"/>
              </w:rPr>
              <w:t xml:space="preserve">.  </w:t>
            </w:r>
          </w:p>
          <w:p w:rsidR="003818E2" w:rsidRPr="003818E2" w:rsidRDefault="003818E2" w:rsidP="003818E2">
            <w:pPr>
              <w:spacing w:after="0" w:line="360" w:lineRule="auto"/>
              <w:jc w:val="both"/>
              <w:rPr>
                <w:rFonts w:ascii="Arial" w:eastAsia="Calibri" w:hAnsi="Arial" w:cs="Arial"/>
                <w:sz w:val="24"/>
                <w:szCs w:val="24"/>
                <w:lang w:val="en-ZA"/>
              </w:rPr>
            </w:pPr>
          </w:p>
          <w:p w:rsidR="003818E2" w:rsidRPr="003818E2" w:rsidRDefault="003818E2" w:rsidP="003818E2">
            <w:pPr>
              <w:spacing w:after="0" w:line="360" w:lineRule="auto"/>
              <w:jc w:val="both"/>
              <w:rPr>
                <w:rFonts w:ascii="Arial" w:eastAsia="Calibri" w:hAnsi="Arial" w:cs="Arial"/>
                <w:sz w:val="24"/>
                <w:szCs w:val="24"/>
                <w:u w:val="single"/>
                <w:lang w:val="en-ZA"/>
              </w:rPr>
            </w:pPr>
            <w:r w:rsidRPr="003818E2">
              <w:rPr>
                <w:rFonts w:ascii="Arial" w:eastAsia="Calibri" w:hAnsi="Arial" w:cs="Arial"/>
                <w:sz w:val="24"/>
                <w:szCs w:val="24"/>
                <w:u w:val="single"/>
                <w:lang w:val="en-ZA"/>
              </w:rPr>
              <w:t xml:space="preserve">The </w:t>
            </w:r>
            <w:r w:rsidR="00DE6189">
              <w:rPr>
                <w:rFonts w:ascii="Arial" w:eastAsia="Calibri" w:hAnsi="Arial" w:cs="Arial"/>
                <w:sz w:val="24"/>
                <w:szCs w:val="24"/>
                <w:u w:val="single"/>
                <w:lang w:val="en-ZA"/>
              </w:rPr>
              <w:t>relief sought</w:t>
            </w:r>
          </w:p>
          <w:p w:rsidR="003818E2" w:rsidRPr="003818E2" w:rsidRDefault="003818E2" w:rsidP="003818E2">
            <w:pPr>
              <w:spacing w:after="0" w:line="360" w:lineRule="auto"/>
              <w:jc w:val="both"/>
              <w:rPr>
                <w:rFonts w:ascii="Arial" w:eastAsia="Calibri" w:hAnsi="Arial" w:cs="Arial"/>
                <w:sz w:val="24"/>
                <w:szCs w:val="24"/>
                <w:lang w:val="en-ZA"/>
              </w:rPr>
            </w:pPr>
          </w:p>
          <w:p w:rsidR="003818E2" w:rsidRDefault="00397462" w:rsidP="003818E2">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10</w:t>
            </w:r>
            <w:r w:rsidR="003818E2" w:rsidRPr="003818E2">
              <w:rPr>
                <w:rFonts w:ascii="Arial" w:eastAsia="Calibri" w:hAnsi="Arial" w:cs="Arial"/>
                <w:sz w:val="24"/>
                <w:szCs w:val="24"/>
                <w:lang w:val="en-ZA"/>
              </w:rPr>
              <w:t>]</w:t>
            </w:r>
            <w:r w:rsidR="003818E2" w:rsidRPr="003818E2">
              <w:rPr>
                <w:rFonts w:ascii="Arial" w:eastAsia="Calibri" w:hAnsi="Arial" w:cs="Arial"/>
                <w:sz w:val="24"/>
                <w:szCs w:val="24"/>
                <w:lang w:val="en-ZA"/>
              </w:rPr>
              <w:tab/>
              <w:t>The plaintiff, in the main action,</w:t>
            </w:r>
            <w:r w:rsidR="00DE6189">
              <w:rPr>
                <w:rFonts w:ascii="Arial" w:eastAsia="Calibri" w:hAnsi="Arial" w:cs="Arial"/>
                <w:sz w:val="24"/>
                <w:szCs w:val="24"/>
                <w:lang w:val="en-ZA"/>
              </w:rPr>
              <w:t xml:space="preserve"> </w:t>
            </w:r>
            <w:r w:rsidR="00DE6189" w:rsidRPr="003818E2">
              <w:rPr>
                <w:rFonts w:ascii="Arial" w:eastAsia="Calibri" w:hAnsi="Arial" w:cs="Arial"/>
                <w:sz w:val="24"/>
                <w:szCs w:val="24"/>
                <w:lang w:val="en-ZA"/>
              </w:rPr>
              <w:t>sought</w:t>
            </w:r>
            <w:r w:rsidR="003818E2" w:rsidRPr="003818E2">
              <w:rPr>
                <w:rFonts w:ascii="Arial" w:eastAsia="Calibri" w:hAnsi="Arial" w:cs="Arial"/>
                <w:sz w:val="24"/>
                <w:szCs w:val="24"/>
                <w:lang w:val="en-ZA"/>
              </w:rPr>
              <w:t xml:space="preserve"> the following </w:t>
            </w:r>
            <w:r w:rsidR="00C55423">
              <w:rPr>
                <w:rFonts w:ascii="Arial" w:eastAsia="Calibri" w:hAnsi="Arial" w:cs="Arial"/>
                <w:sz w:val="24"/>
                <w:szCs w:val="24"/>
                <w:lang w:val="en-ZA"/>
              </w:rPr>
              <w:t>relief against the defendants:</w:t>
            </w:r>
          </w:p>
          <w:p w:rsidR="003818E2" w:rsidRPr="003818E2" w:rsidRDefault="003818E2" w:rsidP="003818E2">
            <w:pPr>
              <w:spacing w:after="0" w:line="360" w:lineRule="auto"/>
              <w:jc w:val="both"/>
              <w:rPr>
                <w:rFonts w:ascii="Arial" w:eastAsia="Calibri" w:hAnsi="Arial" w:cs="Arial"/>
                <w:sz w:val="24"/>
                <w:szCs w:val="24"/>
                <w:lang w:val="en-ZA"/>
              </w:rPr>
            </w:pPr>
          </w:p>
          <w:p w:rsidR="00DE6189" w:rsidRDefault="003818E2" w:rsidP="00DE6189">
            <w:pPr>
              <w:spacing w:after="0" w:line="360" w:lineRule="auto"/>
              <w:jc w:val="both"/>
              <w:rPr>
                <w:rFonts w:ascii="Arial" w:eastAsia="Calibri" w:hAnsi="Arial" w:cs="Arial"/>
                <w:lang w:val="en-ZA"/>
              </w:rPr>
            </w:pPr>
            <w:r w:rsidRPr="003818E2">
              <w:rPr>
                <w:rFonts w:ascii="Arial" w:eastAsia="Calibri" w:hAnsi="Arial" w:cs="Arial"/>
                <w:lang w:val="en-ZA"/>
              </w:rPr>
              <w:t xml:space="preserve">          ‘</w:t>
            </w:r>
            <w:r w:rsidR="00DE6189">
              <w:rPr>
                <w:rFonts w:ascii="Arial" w:eastAsia="Calibri" w:hAnsi="Arial" w:cs="Arial"/>
                <w:lang w:val="en-ZA"/>
              </w:rPr>
              <w:t>1.</w:t>
            </w:r>
            <w:r w:rsidR="00DE6189">
              <w:rPr>
                <w:rFonts w:ascii="Arial" w:eastAsia="Calibri" w:hAnsi="Arial" w:cs="Arial"/>
                <w:lang w:val="en-ZA"/>
              </w:rPr>
              <w:tab/>
              <w:t xml:space="preserve"> </w:t>
            </w:r>
            <w:r w:rsidR="00C55423">
              <w:rPr>
                <w:rFonts w:ascii="Arial" w:eastAsia="Calibri" w:hAnsi="Arial" w:cs="Arial"/>
                <w:lang w:val="en-ZA"/>
              </w:rPr>
              <w:t>Payment in the amount of N$1 151 977,45 (One Million One Hundred and Fifty-One Thousand Nine Hundred and Seventy-Seven Namibia Dollars and Forty-Five Cents) together with interest at 16% per annum as from 27</w:t>
            </w:r>
            <w:r w:rsidR="00C55423" w:rsidRPr="00C55423">
              <w:rPr>
                <w:rFonts w:ascii="Arial" w:eastAsia="Calibri" w:hAnsi="Arial" w:cs="Arial"/>
                <w:vertAlign w:val="superscript"/>
                <w:lang w:val="en-ZA"/>
              </w:rPr>
              <w:t>th</w:t>
            </w:r>
            <w:r w:rsidR="00C55423">
              <w:rPr>
                <w:rFonts w:ascii="Arial" w:eastAsia="Calibri" w:hAnsi="Arial" w:cs="Arial"/>
                <w:lang w:val="en-ZA"/>
              </w:rPr>
              <w:t xml:space="preserve"> of June 2023 until date of full and final payment;</w:t>
            </w:r>
          </w:p>
          <w:p w:rsidR="00C55423" w:rsidRPr="00DE6189" w:rsidRDefault="00C55423" w:rsidP="00DE6189">
            <w:pPr>
              <w:spacing w:after="0" w:line="360" w:lineRule="auto"/>
              <w:jc w:val="both"/>
              <w:rPr>
                <w:rFonts w:ascii="Arial" w:eastAsia="Calibri" w:hAnsi="Arial" w:cs="Arial"/>
                <w:lang w:val="en-ZA"/>
              </w:rPr>
            </w:pPr>
          </w:p>
          <w:p w:rsidR="00C55423" w:rsidRDefault="00C55423" w:rsidP="00DE6189">
            <w:pPr>
              <w:spacing w:after="0" w:line="360" w:lineRule="auto"/>
              <w:jc w:val="both"/>
              <w:rPr>
                <w:rFonts w:ascii="Arial" w:eastAsia="Calibri" w:hAnsi="Arial" w:cs="Arial"/>
                <w:lang w:val="en-ZA"/>
              </w:rPr>
            </w:pPr>
            <w:r>
              <w:rPr>
                <w:rFonts w:ascii="Arial" w:eastAsia="Calibri" w:hAnsi="Arial" w:cs="Arial"/>
                <w:lang w:val="en-ZA"/>
              </w:rPr>
              <w:t xml:space="preserve">2.      Costs of  suit on a scale as between attorney and client; and </w:t>
            </w:r>
          </w:p>
          <w:p w:rsidR="00C55423" w:rsidRDefault="00C55423" w:rsidP="00DE6189">
            <w:pPr>
              <w:spacing w:after="0" w:line="360" w:lineRule="auto"/>
              <w:jc w:val="both"/>
              <w:rPr>
                <w:rFonts w:ascii="Arial" w:eastAsia="Calibri" w:hAnsi="Arial" w:cs="Arial"/>
                <w:lang w:val="en-ZA"/>
              </w:rPr>
            </w:pPr>
          </w:p>
          <w:p w:rsidR="00C55423" w:rsidRDefault="00C55423" w:rsidP="00DE6189">
            <w:pPr>
              <w:spacing w:after="0" w:line="360" w:lineRule="auto"/>
              <w:jc w:val="both"/>
              <w:rPr>
                <w:rFonts w:ascii="Arial" w:eastAsia="Calibri" w:hAnsi="Arial" w:cs="Arial"/>
                <w:lang w:val="en-ZA"/>
              </w:rPr>
            </w:pPr>
            <w:r>
              <w:rPr>
                <w:rFonts w:ascii="Arial" w:eastAsia="Calibri" w:hAnsi="Arial" w:cs="Arial"/>
                <w:lang w:val="en-ZA"/>
              </w:rPr>
              <w:t>3.      Further and/or alternative relief.’</w:t>
            </w:r>
          </w:p>
          <w:p w:rsidR="003818E2" w:rsidRPr="003818E2" w:rsidRDefault="003818E2" w:rsidP="003818E2">
            <w:pPr>
              <w:spacing w:after="0" w:line="360" w:lineRule="auto"/>
              <w:jc w:val="both"/>
              <w:rPr>
                <w:rFonts w:ascii="Arial" w:eastAsia="Calibri" w:hAnsi="Arial" w:cs="Arial"/>
                <w:sz w:val="24"/>
                <w:szCs w:val="24"/>
                <w:lang w:val="en-ZA"/>
              </w:rPr>
            </w:pPr>
          </w:p>
          <w:p w:rsidR="00DE6189" w:rsidRPr="00DE6189" w:rsidRDefault="00DE6189" w:rsidP="00DE6189">
            <w:pPr>
              <w:spacing w:after="0" w:line="360" w:lineRule="auto"/>
              <w:jc w:val="both"/>
              <w:rPr>
                <w:rFonts w:ascii="Arial" w:eastAsia="Calibri" w:hAnsi="Arial" w:cs="Arial"/>
                <w:sz w:val="24"/>
                <w:szCs w:val="24"/>
                <w:u w:val="single"/>
                <w:lang w:val="en-ZA"/>
              </w:rPr>
            </w:pPr>
            <w:r w:rsidRPr="00DE6189">
              <w:rPr>
                <w:rFonts w:ascii="Arial" w:eastAsia="Calibri" w:hAnsi="Arial" w:cs="Arial"/>
                <w:sz w:val="24"/>
                <w:szCs w:val="24"/>
                <w:u w:val="single"/>
                <w:lang w:val="en-ZA"/>
              </w:rPr>
              <w:t>Background</w:t>
            </w:r>
          </w:p>
          <w:p w:rsidR="00DE6189" w:rsidRDefault="00DE6189" w:rsidP="00DE6189">
            <w:pPr>
              <w:spacing w:after="0" w:line="360" w:lineRule="auto"/>
              <w:jc w:val="both"/>
              <w:rPr>
                <w:rFonts w:ascii="Arial" w:eastAsia="Calibri" w:hAnsi="Arial" w:cs="Arial"/>
                <w:sz w:val="24"/>
                <w:szCs w:val="24"/>
                <w:lang w:val="en-ZA"/>
              </w:rPr>
            </w:pPr>
          </w:p>
          <w:p w:rsidR="00423768" w:rsidRDefault="00397462" w:rsidP="00DE618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11</w:t>
            </w:r>
            <w:r w:rsidR="003818E2" w:rsidRPr="003818E2">
              <w:rPr>
                <w:rFonts w:ascii="Arial" w:eastAsia="Calibri" w:hAnsi="Arial" w:cs="Arial"/>
                <w:sz w:val="24"/>
                <w:szCs w:val="24"/>
                <w:lang w:val="en-ZA"/>
              </w:rPr>
              <w:t xml:space="preserve">]   </w:t>
            </w:r>
            <w:r w:rsidR="00423768">
              <w:rPr>
                <w:rFonts w:ascii="Arial" w:eastAsia="Calibri" w:hAnsi="Arial" w:cs="Arial"/>
                <w:sz w:val="24"/>
                <w:szCs w:val="24"/>
                <w:lang w:val="en-ZA"/>
              </w:rPr>
              <w:t>On 24 January 2019, the first defendant obtained a business revolving credit loan from the plaintiff for the amount of N$2 300 000 at the floating interest rate of 14</w:t>
            </w:r>
            <w:r w:rsidR="00A33DA8">
              <w:rPr>
                <w:rFonts w:ascii="Arial" w:eastAsia="Calibri" w:hAnsi="Arial" w:cs="Arial"/>
                <w:sz w:val="24"/>
                <w:szCs w:val="24"/>
                <w:lang w:val="en-ZA"/>
              </w:rPr>
              <w:t xml:space="preserve"> percent </w:t>
            </w:r>
            <w:r w:rsidR="00A123F2">
              <w:rPr>
                <w:rFonts w:ascii="Arial" w:eastAsia="Calibri" w:hAnsi="Arial" w:cs="Arial"/>
                <w:sz w:val="24"/>
                <w:szCs w:val="24"/>
                <w:lang w:val="en-ZA"/>
              </w:rPr>
              <w:lastRenderedPageBreak/>
              <w:t>p</w:t>
            </w:r>
            <w:r w:rsidR="00423768">
              <w:rPr>
                <w:rFonts w:ascii="Arial" w:eastAsia="Calibri" w:hAnsi="Arial" w:cs="Arial"/>
                <w:sz w:val="24"/>
                <w:szCs w:val="24"/>
                <w:lang w:val="en-ZA"/>
              </w:rPr>
              <w:t>er annum, repayable in monthly instalments of N$57 918,76</w:t>
            </w:r>
            <w:r w:rsidR="00643624">
              <w:rPr>
                <w:rFonts w:ascii="Arial" w:eastAsia="Calibri" w:hAnsi="Arial" w:cs="Arial"/>
                <w:sz w:val="24"/>
                <w:szCs w:val="24"/>
                <w:lang w:val="en-ZA"/>
              </w:rPr>
              <w:t xml:space="preserve">, plus 3.5% prime overdraft rate. </w:t>
            </w:r>
          </w:p>
          <w:p w:rsidR="00423768" w:rsidRDefault="00423768" w:rsidP="00DE6189">
            <w:pPr>
              <w:spacing w:after="0" w:line="360" w:lineRule="auto"/>
              <w:jc w:val="both"/>
              <w:rPr>
                <w:rFonts w:ascii="Arial" w:eastAsia="Calibri" w:hAnsi="Arial" w:cs="Arial"/>
                <w:sz w:val="24"/>
                <w:szCs w:val="24"/>
                <w:lang w:val="en-ZA"/>
              </w:rPr>
            </w:pPr>
          </w:p>
          <w:p w:rsidR="00652EB9" w:rsidRDefault="00423768" w:rsidP="00DE618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 </w:t>
            </w:r>
            <w:r w:rsidR="002E7A74">
              <w:rPr>
                <w:rFonts w:ascii="Arial" w:eastAsia="Calibri" w:hAnsi="Arial" w:cs="Arial"/>
                <w:sz w:val="24"/>
                <w:szCs w:val="24"/>
                <w:lang w:val="en-ZA"/>
              </w:rPr>
              <w:t>[</w:t>
            </w:r>
            <w:r w:rsidR="00397462">
              <w:rPr>
                <w:rFonts w:ascii="Arial" w:eastAsia="Calibri" w:hAnsi="Arial" w:cs="Arial"/>
                <w:sz w:val="24"/>
                <w:szCs w:val="24"/>
                <w:lang w:val="en-ZA"/>
              </w:rPr>
              <w:t>12</w:t>
            </w:r>
            <w:r w:rsidR="002E7A74">
              <w:rPr>
                <w:rFonts w:ascii="Arial" w:eastAsia="Calibri" w:hAnsi="Arial" w:cs="Arial"/>
                <w:sz w:val="24"/>
                <w:szCs w:val="24"/>
                <w:lang w:val="en-ZA"/>
              </w:rPr>
              <w:t xml:space="preserve">]          </w:t>
            </w:r>
            <w:r w:rsidR="00CE78A7">
              <w:rPr>
                <w:rFonts w:ascii="Arial" w:eastAsia="Calibri" w:hAnsi="Arial" w:cs="Arial"/>
                <w:sz w:val="24"/>
                <w:szCs w:val="24"/>
                <w:lang w:val="en-ZA"/>
              </w:rPr>
              <w:t xml:space="preserve">The plaintiff and the first defendant agreed that the first defendant would maintain a business operational account with the plaintiff </w:t>
            </w:r>
            <w:r w:rsidR="00652EB9">
              <w:rPr>
                <w:rFonts w:ascii="Arial" w:eastAsia="Calibri" w:hAnsi="Arial" w:cs="Arial"/>
                <w:sz w:val="24"/>
                <w:szCs w:val="24"/>
                <w:lang w:val="en-ZA"/>
              </w:rPr>
              <w:t xml:space="preserve">where the plaintiff was authorised to debit the said monthly instalments for the duration of the loan. They further agreed that should the account be in debt, the indebtedness of the first defendant should be determined and proven by a written certificate signed by a manager of any branch of the plaintiff and the amount stated therein shall be due and payable. </w:t>
            </w:r>
          </w:p>
          <w:p w:rsidR="00B00312" w:rsidRDefault="00B00312" w:rsidP="00DE6189">
            <w:pPr>
              <w:spacing w:after="0" w:line="360" w:lineRule="auto"/>
              <w:jc w:val="both"/>
              <w:rPr>
                <w:rFonts w:ascii="Arial" w:eastAsia="Calibri" w:hAnsi="Arial" w:cs="Arial"/>
                <w:sz w:val="24"/>
                <w:szCs w:val="24"/>
                <w:lang w:val="en-ZA"/>
              </w:rPr>
            </w:pPr>
          </w:p>
          <w:p w:rsidR="001620DA" w:rsidRDefault="00B00312" w:rsidP="00DE618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397462">
              <w:rPr>
                <w:rFonts w:ascii="Arial" w:eastAsia="Calibri" w:hAnsi="Arial" w:cs="Arial"/>
                <w:sz w:val="24"/>
                <w:szCs w:val="24"/>
                <w:lang w:val="en-ZA"/>
              </w:rPr>
              <w:t>13</w:t>
            </w:r>
            <w:r>
              <w:rPr>
                <w:rFonts w:ascii="Arial" w:eastAsia="Calibri" w:hAnsi="Arial" w:cs="Arial"/>
                <w:sz w:val="24"/>
                <w:szCs w:val="24"/>
                <w:lang w:val="en-ZA"/>
              </w:rPr>
              <w:t xml:space="preserve">]       </w:t>
            </w:r>
            <w:r w:rsidR="00CB732F">
              <w:rPr>
                <w:rFonts w:ascii="Arial" w:eastAsia="Calibri" w:hAnsi="Arial" w:cs="Arial"/>
                <w:sz w:val="24"/>
                <w:szCs w:val="24"/>
                <w:lang w:val="en-ZA"/>
              </w:rPr>
              <w:t xml:space="preserve">The plaintiff advanced the loan to the first defendant. The first defendant </w:t>
            </w:r>
            <w:r w:rsidR="001C590B">
              <w:rPr>
                <w:rFonts w:ascii="Arial" w:eastAsia="Calibri" w:hAnsi="Arial" w:cs="Arial"/>
                <w:sz w:val="24"/>
                <w:szCs w:val="24"/>
                <w:lang w:val="en-ZA"/>
              </w:rPr>
              <w:t xml:space="preserve">is alleged to have </w:t>
            </w:r>
            <w:r w:rsidR="00CB732F">
              <w:rPr>
                <w:rFonts w:ascii="Arial" w:eastAsia="Calibri" w:hAnsi="Arial" w:cs="Arial"/>
                <w:sz w:val="24"/>
                <w:szCs w:val="24"/>
                <w:lang w:val="en-ZA"/>
              </w:rPr>
              <w:t>breached the loan agreement by failure to pay the monthly instalments resulting in the account being overdrawn.  In terms of the certificate of balance issued by the  plaintiff,</w:t>
            </w:r>
            <w:r w:rsidR="001C590B">
              <w:rPr>
                <w:rFonts w:ascii="Arial" w:eastAsia="Calibri" w:hAnsi="Arial" w:cs="Arial"/>
                <w:sz w:val="24"/>
                <w:szCs w:val="24"/>
                <w:lang w:val="en-ZA"/>
              </w:rPr>
              <w:t xml:space="preserve"> it is claimed  that</w:t>
            </w:r>
            <w:r w:rsidR="00CB732F">
              <w:rPr>
                <w:rFonts w:ascii="Arial" w:eastAsia="Calibri" w:hAnsi="Arial" w:cs="Arial"/>
                <w:sz w:val="24"/>
                <w:szCs w:val="24"/>
                <w:lang w:val="en-ZA"/>
              </w:rPr>
              <w:t xml:space="preserve"> the first defendant is indebted to the plaintiff in the amount of N$</w:t>
            </w:r>
            <w:r w:rsidR="001620DA">
              <w:rPr>
                <w:rFonts w:ascii="Arial" w:eastAsia="Calibri" w:hAnsi="Arial" w:cs="Arial"/>
                <w:sz w:val="24"/>
                <w:szCs w:val="24"/>
                <w:lang w:val="en-ZA"/>
              </w:rPr>
              <w:t>1 151 977,45 plus interest at the rate of 16</w:t>
            </w:r>
            <w:r w:rsidR="00A33DA8">
              <w:rPr>
                <w:rFonts w:ascii="Arial" w:eastAsia="Calibri" w:hAnsi="Arial" w:cs="Arial"/>
                <w:sz w:val="24"/>
                <w:szCs w:val="24"/>
                <w:lang w:val="en-ZA"/>
              </w:rPr>
              <w:t xml:space="preserve"> percent </w:t>
            </w:r>
            <w:r w:rsidR="001620DA">
              <w:rPr>
                <w:rFonts w:ascii="Arial" w:eastAsia="Calibri" w:hAnsi="Arial" w:cs="Arial"/>
                <w:sz w:val="24"/>
                <w:szCs w:val="24"/>
                <w:lang w:val="en-ZA"/>
              </w:rPr>
              <w:t xml:space="preserve">per annum calculated from 27 June 2023, to date of final payment. </w:t>
            </w:r>
          </w:p>
          <w:p w:rsidR="001620DA" w:rsidRDefault="001620DA" w:rsidP="00DE6189">
            <w:pPr>
              <w:spacing w:after="0" w:line="360" w:lineRule="auto"/>
              <w:jc w:val="both"/>
              <w:rPr>
                <w:rFonts w:ascii="Arial" w:eastAsia="Calibri" w:hAnsi="Arial" w:cs="Arial"/>
                <w:sz w:val="24"/>
                <w:szCs w:val="24"/>
                <w:lang w:val="en-ZA"/>
              </w:rPr>
            </w:pPr>
          </w:p>
          <w:p w:rsidR="00B00312" w:rsidRDefault="001620DA" w:rsidP="00DE618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397462">
              <w:rPr>
                <w:rFonts w:ascii="Arial" w:eastAsia="Calibri" w:hAnsi="Arial" w:cs="Arial"/>
                <w:sz w:val="24"/>
                <w:szCs w:val="24"/>
                <w:lang w:val="en-ZA"/>
              </w:rPr>
              <w:t>14</w:t>
            </w:r>
            <w:r>
              <w:rPr>
                <w:rFonts w:ascii="Arial" w:eastAsia="Calibri" w:hAnsi="Arial" w:cs="Arial"/>
                <w:sz w:val="24"/>
                <w:szCs w:val="24"/>
                <w:lang w:val="en-ZA"/>
              </w:rPr>
              <w:t xml:space="preserve">]       </w:t>
            </w:r>
            <w:r w:rsidR="00FA14C8">
              <w:rPr>
                <w:rFonts w:ascii="Arial" w:eastAsia="Calibri" w:hAnsi="Arial" w:cs="Arial"/>
                <w:sz w:val="24"/>
                <w:szCs w:val="24"/>
                <w:lang w:val="en-ZA"/>
              </w:rPr>
              <w:t>The second to the fourth defendants bound themselves, in suretyship agreements, as sureties and co-principal debtors of the first defendant for an unlimited amou</w:t>
            </w:r>
            <w:r w:rsidR="000B7566">
              <w:rPr>
                <w:rFonts w:ascii="Arial" w:eastAsia="Calibri" w:hAnsi="Arial" w:cs="Arial"/>
                <w:sz w:val="24"/>
                <w:szCs w:val="24"/>
                <w:lang w:val="en-ZA"/>
              </w:rPr>
              <w:t xml:space="preserve">nt in respect of all debts due to the plaintiff by the first defendant. </w:t>
            </w:r>
            <w:r w:rsidR="00C64D03">
              <w:rPr>
                <w:rFonts w:ascii="Arial" w:eastAsia="Calibri" w:hAnsi="Arial" w:cs="Arial"/>
                <w:sz w:val="24"/>
                <w:szCs w:val="24"/>
                <w:lang w:val="en-ZA"/>
              </w:rPr>
              <w:t xml:space="preserve">The fifth defendant is cited by virtue of her marriage to the fourth defendant in community of property, in terms of which she co-signed the suretyship agreement and consented to the fourth defendant binding their joint estate. </w:t>
            </w:r>
          </w:p>
          <w:p w:rsidR="00652EB9" w:rsidRDefault="00652EB9" w:rsidP="00DE6189">
            <w:pPr>
              <w:spacing w:after="0" w:line="360" w:lineRule="auto"/>
              <w:jc w:val="both"/>
              <w:rPr>
                <w:rFonts w:ascii="Arial" w:eastAsia="Calibri" w:hAnsi="Arial" w:cs="Arial"/>
                <w:sz w:val="24"/>
                <w:szCs w:val="24"/>
                <w:lang w:val="en-ZA"/>
              </w:rPr>
            </w:pPr>
          </w:p>
          <w:p w:rsidR="00DE6189" w:rsidRDefault="002D34D9" w:rsidP="0041360A">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w:t>
            </w:r>
            <w:r w:rsidR="00397462">
              <w:rPr>
                <w:rFonts w:ascii="Arial" w:eastAsia="Calibri" w:hAnsi="Arial" w:cs="Arial"/>
                <w:sz w:val="24"/>
                <w:szCs w:val="24"/>
                <w:lang w:val="en-ZA"/>
              </w:rPr>
              <w:t>15</w:t>
            </w:r>
            <w:r>
              <w:rPr>
                <w:rFonts w:ascii="Arial" w:eastAsia="Calibri" w:hAnsi="Arial" w:cs="Arial"/>
                <w:sz w:val="24"/>
                <w:szCs w:val="24"/>
                <w:lang w:val="en-ZA"/>
              </w:rPr>
              <w:t xml:space="preserve">]        </w:t>
            </w:r>
            <w:r w:rsidR="00775CA2">
              <w:rPr>
                <w:rFonts w:ascii="Arial" w:eastAsia="Calibri" w:hAnsi="Arial" w:cs="Arial"/>
                <w:sz w:val="24"/>
                <w:szCs w:val="24"/>
                <w:lang w:val="en-ZA"/>
              </w:rPr>
              <w:t xml:space="preserve">It is on the basis of the suretyship agreements that the second to the fifth defendants are </w:t>
            </w:r>
            <w:r w:rsidR="002E0D24">
              <w:rPr>
                <w:rFonts w:ascii="Arial" w:eastAsia="Calibri" w:hAnsi="Arial" w:cs="Arial"/>
                <w:sz w:val="24"/>
                <w:szCs w:val="24"/>
                <w:lang w:val="en-ZA"/>
              </w:rPr>
              <w:t xml:space="preserve">alleged to be jointly and severally liable for the debt of the first defendant. </w:t>
            </w:r>
            <w:r w:rsidR="00775CA2">
              <w:rPr>
                <w:rFonts w:ascii="Arial" w:eastAsia="Calibri" w:hAnsi="Arial" w:cs="Arial"/>
                <w:sz w:val="24"/>
                <w:szCs w:val="24"/>
                <w:lang w:val="en-ZA"/>
              </w:rPr>
              <w:t xml:space="preserve"> </w:t>
            </w:r>
          </w:p>
          <w:p w:rsidR="00DE6189" w:rsidRDefault="00DE6189" w:rsidP="00DE6189">
            <w:pPr>
              <w:spacing w:after="0" w:line="360" w:lineRule="auto"/>
              <w:jc w:val="both"/>
              <w:rPr>
                <w:rFonts w:ascii="Arial" w:eastAsia="Calibri" w:hAnsi="Arial" w:cs="Arial"/>
                <w:sz w:val="24"/>
                <w:szCs w:val="24"/>
                <w:lang w:val="en-ZA"/>
              </w:rPr>
            </w:pPr>
          </w:p>
          <w:p w:rsidR="003818E2" w:rsidRPr="003818E2" w:rsidRDefault="00397462" w:rsidP="00DE6189">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[16</w:t>
            </w:r>
            <w:r w:rsidR="00DE6189">
              <w:rPr>
                <w:rFonts w:ascii="Arial" w:eastAsia="Calibri" w:hAnsi="Arial" w:cs="Arial"/>
                <w:sz w:val="24"/>
                <w:szCs w:val="24"/>
                <w:lang w:val="en-ZA"/>
              </w:rPr>
              <w:t>]</w:t>
            </w:r>
            <w:r w:rsidR="00DE6189">
              <w:rPr>
                <w:rFonts w:ascii="Arial" w:eastAsia="Calibri" w:hAnsi="Arial" w:cs="Arial"/>
                <w:sz w:val="24"/>
                <w:szCs w:val="24"/>
                <w:lang w:val="en-ZA"/>
              </w:rPr>
              <w:tab/>
            </w:r>
            <w:r w:rsidR="003818E2" w:rsidRPr="003818E2">
              <w:rPr>
                <w:rFonts w:ascii="Arial" w:eastAsia="Dotum" w:hAnsi="Arial" w:cs="Arial"/>
                <w:sz w:val="24"/>
                <w:szCs w:val="24"/>
                <w:lang w:val="en-ZA"/>
              </w:rPr>
              <w:t xml:space="preserve">The </w:t>
            </w:r>
            <w:r w:rsidR="00BB16AD">
              <w:rPr>
                <w:rFonts w:ascii="Arial" w:eastAsia="Dotum" w:hAnsi="Arial" w:cs="Arial"/>
                <w:sz w:val="24"/>
                <w:szCs w:val="24"/>
                <w:lang w:val="en-ZA"/>
              </w:rPr>
              <w:t xml:space="preserve">plaintiff filed an </w:t>
            </w:r>
            <w:r w:rsidR="00DE6189">
              <w:rPr>
                <w:rFonts w:ascii="Arial" w:eastAsia="Dotum" w:hAnsi="Arial" w:cs="Arial"/>
                <w:sz w:val="24"/>
                <w:szCs w:val="24"/>
                <w:lang w:val="en-ZA"/>
              </w:rPr>
              <w:t>affidavit in support of th</w:t>
            </w:r>
            <w:r w:rsidR="00BB16AD">
              <w:rPr>
                <w:rFonts w:ascii="Arial" w:eastAsia="Dotum" w:hAnsi="Arial" w:cs="Arial"/>
                <w:sz w:val="24"/>
                <w:szCs w:val="24"/>
                <w:lang w:val="en-ZA"/>
              </w:rPr>
              <w:t>e a</w:t>
            </w:r>
            <w:r w:rsidR="00DE6189">
              <w:rPr>
                <w:rFonts w:ascii="Arial" w:eastAsia="Dotum" w:hAnsi="Arial" w:cs="Arial"/>
                <w:sz w:val="24"/>
                <w:szCs w:val="24"/>
                <w:lang w:val="en-ZA"/>
              </w:rPr>
              <w:t>pplication</w:t>
            </w:r>
            <w:r w:rsidR="00BB16AD">
              <w:rPr>
                <w:rFonts w:ascii="Arial" w:eastAsia="Dotum" w:hAnsi="Arial" w:cs="Arial"/>
                <w:sz w:val="24"/>
                <w:szCs w:val="24"/>
                <w:lang w:val="en-ZA"/>
              </w:rPr>
              <w:t xml:space="preserve"> for summary judgment deposed to by Mr Derick William Colmer, a manager of Specialised Recoveries at the plaintiff. </w:t>
            </w:r>
            <w:r w:rsidR="00F704DA">
              <w:rPr>
                <w:rFonts w:ascii="Arial" w:eastAsia="Dotum" w:hAnsi="Arial" w:cs="Arial"/>
                <w:sz w:val="24"/>
                <w:szCs w:val="24"/>
                <w:lang w:val="en-ZA"/>
              </w:rPr>
              <w:t xml:space="preserve">Mr Colmer deposed, </w:t>
            </w:r>
            <w:r w:rsidR="00F704DA" w:rsidRPr="00F704DA">
              <w:rPr>
                <w:rFonts w:ascii="Arial" w:eastAsia="Dotum" w:hAnsi="Arial" w:cs="Arial"/>
                <w:i/>
                <w:sz w:val="24"/>
                <w:szCs w:val="24"/>
                <w:lang w:val="en-ZA"/>
              </w:rPr>
              <w:t>inter alia</w:t>
            </w:r>
            <w:r w:rsidR="00F704DA">
              <w:rPr>
                <w:rFonts w:ascii="Arial" w:eastAsia="Dotum" w:hAnsi="Arial" w:cs="Arial"/>
                <w:sz w:val="24"/>
                <w:szCs w:val="24"/>
                <w:lang w:val="en-ZA"/>
              </w:rPr>
              <w:t xml:space="preserve">, that </w:t>
            </w:r>
            <w:r w:rsidR="00096EAB">
              <w:rPr>
                <w:rFonts w:ascii="Arial" w:eastAsia="Dotum" w:hAnsi="Arial" w:cs="Arial"/>
                <w:sz w:val="24"/>
                <w:szCs w:val="24"/>
                <w:lang w:val="en-ZA"/>
              </w:rPr>
              <w:t xml:space="preserve">he verified the defendants’ indebtedness to the plaintiff in the amount claimed together with interest. He further deposed that </w:t>
            </w:r>
            <w:r w:rsidR="00DE6189">
              <w:rPr>
                <w:rFonts w:ascii="Arial" w:eastAsia="Dotum" w:hAnsi="Arial" w:cs="Arial"/>
                <w:sz w:val="24"/>
                <w:szCs w:val="24"/>
                <w:lang w:val="en-ZA"/>
              </w:rPr>
              <w:t xml:space="preserve">the </w:t>
            </w:r>
            <w:r w:rsidR="00DE6189">
              <w:rPr>
                <w:rFonts w:ascii="Arial" w:eastAsia="Dotum" w:hAnsi="Arial" w:cs="Arial"/>
                <w:sz w:val="24"/>
                <w:szCs w:val="24"/>
                <w:lang w:val="en-ZA"/>
              </w:rPr>
              <w:lastRenderedPageBreak/>
              <w:t>defendant</w:t>
            </w:r>
            <w:r w:rsidR="00096EAB">
              <w:rPr>
                <w:rFonts w:ascii="Arial" w:eastAsia="Dotum" w:hAnsi="Arial" w:cs="Arial"/>
                <w:sz w:val="24"/>
                <w:szCs w:val="24"/>
                <w:lang w:val="en-ZA"/>
              </w:rPr>
              <w:t>s have</w:t>
            </w:r>
            <w:r w:rsidR="00DE6189">
              <w:rPr>
                <w:rFonts w:ascii="Arial" w:eastAsia="Dotum" w:hAnsi="Arial" w:cs="Arial"/>
                <w:sz w:val="24"/>
                <w:szCs w:val="24"/>
                <w:lang w:val="en-ZA"/>
              </w:rPr>
              <w:t xml:space="preserve"> no </w:t>
            </w:r>
            <w:r w:rsidR="00DE6189" w:rsidRPr="00DE6189">
              <w:rPr>
                <w:rFonts w:ascii="Arial" w:eastAsia="Dotum" w:hAnsi="Arial" w:cs="Arial"/>
                <w:i/>
                <w:sz w:val="24"/>
                <w:szCs w:val="24"/>
                <w:lang w:val="en-ZA"/>
              </w:rPr>
              <w:t>bona fide</w:t>
            </w:r>
            <w:r w:rsidR="00DE6189">
              <w:rPr>
                <w:rFonts w:ascii="Arial" w:eastAsia="Dotum" w:hAnsi="Arial" w:cs="Arial"/>
                <w:sz w:val="24"/>
                <w:szCs w:val="24"/>
                <w:lang w:val="en-ZA"/>
              </w:rPr>
              <w:t xml:space="preserve"> defence </w:t>
            </w:r>
            <w:r w:rsidR="00096EAB">
              <w:rPr>
                <w:rFonts w:ascii="Arial" w:eastAsia="Dotum" w:hAnsi="Arial" w:cs="Arial"/>
                <w:sz w:val="24"/>
                <w:szCs w:val="24"/>
                <w:lang w:val="en-ZA"/>
              </w:rPr>
              <w:t xml:space="preserve">to the claim and have entered appearance to </w:t>
            </w:r>
            <w:r w:rsidR="00DE6189">
              <w:rPr>
                <w:rFonts w:ascii="Arial" w:eastAsia="Dotum" w:hAnsi="Arial" w:cs="Arial"/>
                <w:sz w:val="24"/>
                <w:szCs w:val="24"/>
                <w:lang w:val="en-ZA"/>
              </w:rPr>
              <w:t>defend solely for the purpose of delaying the matter.</w:t>
            </w:r>
          </w:p>
          <w:p w:rsidR="003818E2" w:rsidRPr="003818E2" w:rsidRDefault="003818E2" w:rsidP="003818E2">
            <w:pPr>
              <w:spacing w:after="0" w:line="360" w:lineRule="auto"/>
              <w:jc w:val="both"/>
              <w:rPr>
                <w:rFonts w:ascii="Arial" w:eastAsia="Dotum" w:hAnsi="Arial" w:cs="Arial"/>
                <w:sz w:val="24"/>
                <w:szCs w:val="24"/>
                <w:lang w:val="en-ZA"/>
              </w:rPr>
            </w:pPr>
          </w:p>
          <w:p w:rsidR="00C8340E" w:rsidRDefault="003818E2" w:rsidP="003818E2">
            <w:pPr>
              <w:spacing w:after="0" w:line="360" w:lineRule="auto"/>
              <w:jc w:val="both"/>
              <w:rPr>
                <w:rFonts w:ascii="Arial" w:eastAsia="Dotum" w:hAnsi="Arial" w:cs="Arial"/>
                <w:sz w:val="24"/>
                <w:szCs w:val="24"/>
                <w:lang w:val="en-ZA"/>
              </w:rPr>
            </w:pPr>
            <w:r w:rsidRPr="003818E2">
              <w:rPr>
                <w:rFonts w:ascii="Arial" w:eastAsia="Dotum" w:hAnsi="Arial" w:cs="Arial"/>
                <w:sz w:val="24"/>
                <w:szCs w:val="24"/>
                <w:lang w:val="en-ZA"/>
              </w:rPr>
              <w:t>[</w:t>
            </w:r>
            <w:r w:rsidR="00397462">
              <w:rPr>
                <w:rFonts w:ascii="Arial" w:eastAsia="Dotum" w:hAnsi="Arial" w:cs="Arial"/>
                <w:sz w:val="24"/>
                <w:szCs w:val="24"/>
                <w:lang w:val="en-ZA"/>
              </w:rPr>
              <w:t>1</w:t>
            </w:r>
            <w:r w:rsidR="00DE6189">
              <w:rPr>
                <w:rFonts w:ascii="Arial" w:eastAsia="Dotum" w:hAnsi="Arial" w:cs="Arial"/>
                <w:sz w:val="24"/>
                <w:szCs w:val="24"/>
                <w:lang w:val="en-ZA"/>
              </w:rPr>
              <w:t>7</w:t>
            </w:r>
            <w:r w:rsidRPr="003818E2">
              <w:rPr>
                <w:rFonts w:ascii="Arial" w:eastAsia="Dotum" w:hAnsi="Arial" w:cs="Arial"/>
                <w:sz w:val="24"/>
                <w:szCs w:val="24"/>
                <w:lang w:val="en-ZA"/>
              </w:rPr>
              <w:t xml:space="preserve">]     </w:t>
            </w:r>
            <w:r w:rsidR="00C272BC">
              <w:rPr>
                <w:rFonts w:ascii="Arial" w:eastAsia="Dotum" w:hAnsi="Arial" w:cs="Arial"/>
                <w:sz w:val="24"/>
                <w:szCs w:val="24"/>
                <w:lang w:val="en-ZA"/>
              </w:rPr>
              <w:t xml:space="preserve">The </w:t>
            </w:r>
            <w:r w:rsidR="00432876">
              <w:rPr>
                <w:rFonts w:ascii="Arial" w:eastAsia="Dotum" w:hAnsi="Arial" w:cs="Arial"/>
                <w:sz w:val="24"/>
                <w:szCs w:val="24"/>
                <w:lang w:val="en-ZA"/>
              </w:rPr>
              <w:t xml:space="preserve">defendants, in the affidavit resisting summary judgment deposed to by the fourth defendant </w:t>
            </w:r>
            <w:r w:rsidR="00045525">
              <w:rPr>
                <w:rFonts w:ascii="Arial" w:eastAsia="Dotum" w:hAnsi="Arial" w:cs="Arial"/>
                <w:sz w:val="24"/>
                <w:szCs w:val="24"/>
                <w:lang w:val="en-ZA"/>
              </w:rPr>
              <w:t xml:space="preserve">denied liability for the plaintiff’s claim, </w:t>
            </w:r>
            <w:r w:rsidR="007D566A">
              <w:rPr>
                <w:rFonts w:ascii="Arial" w:eastAsia="Dotum" w:hAnsi="Arial" w:cs="Arial"/>
                <w:sz w:val="24"/>
                <w:szCs w:val="24"/>
                <w:lang w:val="en-ZA"/>
              </w:rPr>
              <w:t xml:space="preserve">denied that they entered appearance to defend </w:t>
            </w:r>
            <w:r w:rsidR="00045525">
              <w:rPr>
                <w:rFonts w:ascii="Arial" w:eastAsia="Dotum" w:hAnsi="Arial" w:cs="Arial"/>
                <w:sz w:val="24"/>
                <w:szCs w:val="24"/>
                <w:lang w:val="en-ZA"/>
              </w:rPr>
              <w:t>for the purpose of d</w:t>
            </w:r>
            <w:r w:rsidR="007D566A">
              <w:rPr>
                <w:rFonts w:ascii="Arial" w:eastAsia="Dotum" w:hAnsi="Arial" w:cs="Arial"/>
                <w:sz w:val="24"/>
                <w:szCs w:val="24"/>
                <w:lang w:val="en-ZA"/>
              </w:rPr>
              <w:t>elay</w:t>
            </w:r>
            <w:r w:rsidR="00045525">
              <w:rPr>
                <w:rFonts w:ascii="Arial" w:eastAsia="Dotum" w:hAnsi="Arial" w:cs="Arial"/>
                <w:sz w:val="24"/>
                <w:szCs w:val="24"/>
                <w:lang w:val="en-ZA"/>
              </w:rPr>
              <w:t>ing</w:t>
            </w:r>
            <w:r w:rsidR="007D566A">
              <w:rPr>
                <w:rFonts w:ascii="Arial" w:eastAsia="Dotum" w:hAnsi="Arial" w:cs="Arial"/>
                <w:sz w:val="24"/>
                <w:szCs w:val="24"/>
                <w:lang w:val="en-ZA"/>
              </w:rPr>
              <w:t xml:space="preserve"> the matter,</w:t>
            </w:r>
            <w:r w:rsidR="00045525">
              <w:rPr>
                <w:rFonts w:ascii="Arial" w:eastAsia="Dotum" w:hAnsi="Arial" w:cs="Arial"/>
                <w:sz w:val="24"/>
                <w:szCs w:val="24"/>
                <w:lang w:val="en-ZA"/>
              </w:rPr>
              <w:t xml:space="preserve"> </w:t>
            </w:r>
            <w:r w:rsidR="007D566A">
              <w:rPr>
                <w:rFonts w:ascii="Arial" w:eastAsia="Dotum" w:hAnsi="Arial" w:cs="Arial"/>
                <w:sz w:val="24"/>
                <w:szCs w:val="24"/>
                <w:lang w:val="en-ZA"/>
              </w:rPr>
              <w:t xml:space="preserve">and raised </w:t>
            </w:r>
            <w:r w:rsidR="009125AF">
              <w:rPr>
                <w:rFonts w:ascii="Arial" w:eastAsia="Dotum" w:hAnsi="Arial" w:cs="Arial"/>
                <w:sz w:val="24"/>
                <w:szCs w:val="24"/>
                <w:lang w:val="en-ZA"/>
              </w:rPr>
              <w:t xml:space="preserve">a barrage of </w:t>
            </w:r>
            <w:r w:rsidR="00432876">
              <w:rPr>
                <w:rFonts w:ascii="Arial" w:eastAsia="Dotum" w:hAnsi="Arial" w:cs="Arial"/>
                <w:sz w:val="24"/>
                <w:szCs w:val="24"/>
                <w:lang w:val="en-ZA"/>
              </w:rPr>
              <w:t>grounds on which their opposition to summary judgment is based</w:t>
            </w:r>
            <w:r w:rsidR="00C8340E">
              <w:rPr>
                <w:rFonts w:ascii="Arial" w:eastAsia="Dotum" w:hAnsi="Arial" w:cs="Arial"/>
                <w:sz w:val="24"/>
                <w:szCs w:val="24"/>
                <w:lang w:val="en-ZA"/>
              </w:rPr>
              <w:t xml:space="preserve"> together with points </w:t>
            </w:r>
            <w:r w:rsidR="00C8340E" w:rsidRPr="00C8340E">
              <w:rPr>
                <w:rFonts w:ascii="Arial" w:eastAsia="Dotum" w:hAnsi="Arial" w:cs="Arial"/>
                <w:i/>
                <w:sz w:val="24"/>
                <w:szCs w:val="24"/>
                <w:lang w:val="en-ZA"/>
              </w:rPr>
              <w:t>in limine</w:t>
            </w:r>
            <w:r w:rsidR="00C8340E">
              <w:rPr>
                <w:rFonts w:ascii="Arial" w:eastAsia="Dotum" w:hAnsi="Arial" w:cs="Arial"/>
                <w:sz w:val="24"/>
                <w:szCs w:val="24"/>
                <w:lang w:val="en-ZA"/>
              </w:rPr>
              <w:t xml:space="preserve">. </w:t>
            </w:r>
          </w:p>
          <w:p w:rsidR="00C8340E" w:rsidRDefault="00C8340E" w:rsidP="003818E2">
            <w:pPr>
              <w:spacing w:after="0" w:line="360" w:lineRule="auto"/>
              <w:jc w:val="both"/>
              <w:rPr>
                <w:rFonts w:ascii="Arial" w:eastAsia="Dotum" w:hAnsi="Arial" w:cs="Arial"/>
                <w:sz w:val="24"/>
                <w:szCs w:val="24"/>
                <w:lang w:val="en-ZA"/>
              </w:rPr>
            </w:pPr>
          </w:p>
          <w:p w:rsidR="00DE6189" w:rsidRPr="00DE6189" w:rsidRDefault="00952E64" w:rsidP="003818E2">
            <w:pPr>
              <w:spacing w:after="0" w:line="360" w:lineRule="auto"/>
              <w:jc w:val="both"/>
              <w:rPr>
                <w:rFonts w:ascii="Arial" w:eastAsia="Calibri" w:hAnsi="Arial" w:cs="Arial"/>
                <w:sz w:val="24"/>
                <w:szCs w:val="24"/>
                <w:u w:val="single"/>
                <w:lang w:val="en-ZA"/>
              </w:rPr>
            </w:pPr>
            <w:r>
              <w:rPr>
                <w:rFonts w:ascii="Arial" w:eastAsia="Calibri" w:hAnsi="Arial" w:cs="Arial"/>
                <w:sz w:val="24"/>
                <w:szCs w:val="24"/>
                <w:u w:val="single"/>
                <w:lang w:val="en-ZA"/>
              </w:rPr>
              <w:t>A</w:t>
            </w:r>
            <w:r w:rsidR="006A3DD3">
              <w:rPr>
                <w:rFonts w:ascii="Arial" w:eastAsia="Calibri" w:hAnsi="Arial" w:cs="Arial"/>
                <w:sz w:val="24"/>
                <w:szCs w:val="24"/>
                <w:u w:val="single"/>
                <w:lang w:val="en-ZA"/>
              </w:rPr>
              <w:t>rguments</w:t>
            </w:r>
          </w:p>
          <w:p w:rsidR="00DE6189" w:rsidRDefault="00DE6189" w:rsidP="003818E2">
            <w:pPr>
              <w:spacing w:after="0" w:line="360" w:lineRule="auto"/>
              <w:jc w:val="both"/>
              <w:rPr>
                <w:rFonts w:ascii="Arial" w:eastAsia="Calibri" w:hAnsi="Arial" w:cs="Arial"/>
                <w:sz w:val="24"/>
                <w:szCs w:val="24"/>
                <w:lang w:val="en-ZA"/>
              </w:rPr>
            </w:pPr>
          </w:p>
          <w:p w:rsidR="00952E64" w:rsidRDefault="003818E2" w:rsidP="00952E64">
            <w:pPr>
              <w:spacing w:after="0" w:line="360" w:lineRule="auto"/>
              <w:jc w:val="both"/>
              <w:rPr>
                <w:rFonts w:ascii="Arial" w:eastAsia="Dotum" w:hAnsi="Arial" w:cs="Arial"/>
                <w:sz w:val="24"/>
                <w:szCs w:val="24"/>
                <w:lang w:val="en-ZA"/>
              </w:rPr>
            </w:pPr>
            <w:r w:rsidRPr="003818E2">
              <w:rPr>
                <w:rFonts w:ascii="Arial" w:eastAsia="Calibri" w:hAnsi="Arial" w:cs="Arial"/>
                <w:sz w:val="24"/>
                <w:szCs w:val="24"/>
                <w:lang w:val="en-ZA"/>
              </w:rPr>
              <w:t>[</w:t>
            </w:r>
            <w:r w:rsidR="00397462">
              <w:rPr>
                <w:rFonts w:ascii="Arial" w:eastAsia="Calibri" w:hAnsi="Arial" w:cs="Arial"/>
                <w:sz w:val="24"/>
                <w:szCs w:val="24"/>
                <w:lang w:val="en-ZA"/>
              </w:rPr>
              <w:t>18</w:t>
            </w:r>
            <w:r w:rsidR="00DE6189">
              <w:rPr>
                <w:rFonts w:ascii="Arial" w:eastAsia="Calibri" w:hAnsi="Arial" w:cs="Arial"/>
                <w:sz w:val="24"/>
                <w:szCs w:val="24"/>
                <w:lang w:val="en-ZA"/>
              </w:rPr>
              <w:t>]</w:t>
            </w:r>
            <w:r w:rsidR="00DE6189">
              <w:rPr>
                <w:rFonts w:ascii="Arial" w:eastAsia="Calibri" w:hAnsi="Arial" w:cs="Arial"/>
                <w:sz w:val="24"/>
                <w:szCs w:val="24"/>
                <w:lang w:val="en-ZA"/>
              </w:rPr>
              <w:tab/>
            </w:r>
            <w:r w:rsidR="009F1BEC">
              <w:rPr>
                <w:rFonts w:ascii="Arial" w:eastAsia="Dotum" w:hAnsi="Arial" w:cs="Arial"/>
                <w:sz w:val="24"/>
                <w:szCs w:val="24"/>
                <w:lang w:val="en-ZA"/>
              </w:rPr>
              <w:t xml:space="preserve">The defendants contend that </w:t>
            </w:r>
            <w:r w:rsidR="00952E64">
              <w:rPr>
                <w:rFonts w:ascii="Arial" w:eastAsia="Dotum" w:hAnsi="Arial" w:cs="Arial"/>
                <w:sz w:val="24"/>
                <w:szCs w:val="24"/>
                <w:lang w:val="en-ZA"/>
              </w:rPr>
              <w:t>Annexure ‘C’ to the plaintiff’s particulars of claim</w:t>
            </w:r>
            <w:r w:rsidR="009F1BEC">
              <w:rPr>
                <w:rFonts w:ascii="Arial" w:eastAsia="Dotum" w:hAnsi="Arial" w:cs="Arial"/>
                <w:sz w:val="24"/>
                <w:szCs w:val="24"/>
                <w:lang w:val="en-ZA"/>
              </w:rPr>
              <w:t xml:space="preserve">, the loan agreement, </w:t>
            </w:r>
            <w:r w:rsidR="00952E64">
              <w:rPr>
                <w:rFonts w:ascii="Arial" w:eastAsia="Dotum" w:hAnsi="Arial" w:cs="Arial"/>
                <w:sz w:val="24"/>
                <w:szCs w:val="24"/>
                <w:lang w:val="en-ZA"/>
              </w:rPr>
              <w:t xml:space="preserve">is incomplete and does not constitute the entire agreement concluded between the plaintiff and the first defendant. </w:t>
            </w:r>
          </w:p>
          <w:p w:rsidR="00952E64" w:rsidRDefault="00952E64" w:rsidP="00952E64">
            <w:pPr>
              <w:spacing w:after="0" w:line="360" w:lineRule="auto"/>
              <w:jc w:val="both"/>
              <w:rPr>
                <w:rFonts w:ascii="Arial" w:eastAsia="Dotum" w:hAnsi="Arial" w:cs="Arial"/>
                <w:sz w:val="24"/>
                <w:szCs w:val="24"/>
                <w:lang w:val="en-ZA"/>
              </w:rPr>
            </w:pPr>
          </w:p>
          <w:p w:rsidR="00952E64" w:rsidRDefault="00397462" w:rsidP="00952E64">
            <w:pPr>
              <w:spacing w:after="0" w:line="360" w:lineRule="auto"/>
              <w:jc w:val="both"/>
              <w:rPr>
                <w:rFonts w:ascii="Arial" w:eastAsia="Dotum" w:hAnsi="Arial" w:cs="Arial"/>
                <w:sz w:val="24"/>
                <w:szCs w:val="24"/>
                <w:lang w:val="en-ZA"/>
              </w:rPr>
            </w:pPr>
            <w:r>
              <w:rPr>
                <w:rFonts w:ascii="Arial" w:eastAsia="Dotum" w:hAnsi="Arial" w:cs="Arial"/>
                <w:sz w:val="24"/>
                <w:szCs w:val="24"/>
                <w:lang w:val="en-ZA"/>
              </w:rPr>
              <w:t>[19]</w:t>
            </w:r>
            <w:r w:rsidR="00A33DA8">
              <w:rPr>
                <w:rFonts w:ascii="Arial" w:eastAsia="Dotum" w:hAnsi="Arial" w:cs="Arial"/>
                <w:sz w:val="24"/>
                <w:szCs w:val="24"/>
                <w:lang w:val="en-ZA"/>
              </w:rPr>
              <w:t xml:space="preserve">     The defendants take</w:t>
            </w:r>
            <w:r w:rsidR="00952E64">
              <w:rPr>
                <w:rFonts w:ascii="Arial" w:eastAsia="Dotum" w:hAnsi="Arial" w:cs="Arial"/>
                <w:sz w:val="24"/>
                <w:szCs w:val="24"/>
                <w:lang w:val="en-ZA"/>
              </w:rPr>
              <w:t xml:space="preserve"> issue with the accuracy of the calculation of the indebtedness in respect of the amount and the related interest. The defendants contend that the relief sought by the plaintiff, in respect of interest, differs substantially from the business revolving credit loan application and agreement annexed as ‘C’ to the particulars of claim.</w:t>
            </w:r>
            <w:r w:rsidR="009F1BEC">
              <w:rPr>
                <w:rFonts w:ascii="Arial" w:eastAsia="Dotum" w:hAnsi="Arial" w:cs="Arial"/>
                <w:sz w:val="24"/>
                <w:szCs w:val="24"/>
                <w:lang w:val="en-ZA"/>
              </w:rPr>
              <w:t xml:space="preserve"> On this basis, Mr Karsten submitted that the plaintiff’s papers are technically not in order. </w:t>
            </w:r>
            <w:r w:rsidR="00952E64">
              <w:rPr>
                <w:rFonts w:ascii="Arial" w:eastAsia="Dotum" w:hAnsi="Arial" w:cs="Arial"/>
                <w:sz w:val="24"/>
                <w:szCs w:val="24"/>
                <w:lang w:val="en-ZA"/>
              </w:rPr>
              <w:t xml:space="preserve"> </w:t>
            </w:r>
          </w:p>
          <w:p w:rsidR="00952E64" w:rsidRDefault="00952E64" w:rsidP="00952E64">
            <w:pPr>
              <w:spacing w:after="0" w:line="360" w:lineRule="auto"/>
              <w:jc w:val="both"/>
              <w:rPr>
                <w:rFonts w:ascii="Arial" w:eastAsia="Dotum" w:hAnsi="Arial" w:cs="Arial"/>
                <w:sz w:val="24"/>
                <w:szCs w:val="24"/>
                <w:lang w:val="en-ZA"/>
              </w:rPr>
            </w:pPr>
          </w:p>
          <w:p w:rsidR="00952E64" w:rsidRDefault="00952E64" w:rsidP="00952E64">
            <w:pPr>
              <w:spacing w:after="0" w:line="360" w:lineRule="auto"/>
              <w:jc w:val="both"/>
              <w:rPr>
                <w:rFonts w:ascii="Arial" w:eastAsia="Dotum" w:hAnsi="Arial" w:cs="Arial"/>
                <w:sz w:val="24"/>
                <w:szCs w:val="24"/>
                <w:lang w:val="en-ZA"/>
              </w:rPr>
            </w:pPr>
            <w:r>
              <w:rPr>
                <w:rFonts w:ascii="Arial" w:eastAsia="Dotum" w:hAnsi="Arial" w:cs="Arial"/>
                <w:sz w:val="24"/>
                <w:szCs w:val="24"/>
                <w:lang w:val="en-ZA"/>
              </w:rPr>
              <w:t>[</w:t>
            </w:r>
            <w:r w:rsidR="00397462">
              <w:rPr>
                <w:rFonts w:ascii="Arial" w:eastAsia="Dotum" w:hAnsi="Arial" w:cs="Arial"/>
                <w:sz w:val="24"/>
                <w:szCs w:val="24"/>
                <w:lang w:val="en-ZA"/>
              </w:rPr>
              <w:t>20</w:t>
            </w:r>
            <w:r>
              <w:rPr>
                <w:rFonts w:ascii="Arial" w:eastAsia="Dotum" w:hAnsi="Arial" w:cs="Arial"/>
                <w:sz w:val="24"/>
                <w:szCs w:val="24"/>
                <w:lang w:val="en-ZA"/>
              </w:rPr>
              <w:t xml:space="preserve">]        The defendants proceeded to dispute the correctness of the amount and calculations provided for in the certificate of balance. </w:t>
            </w:r>
          </w:p>
          <w:p w:rsidR="00952E64" w:rsidRDefault="00952E64" w:rsidP="00952E64">
            <w:pPr>
              <w:spacing w:after="0" w:line="360" w:lineRule="auto"/>
              <w:jc w:val="both"/>
              <w:rPr>
                <w:rFonts w:ascii="Arial" w:eastAsia="Dotum" w:hAnsi="Arial" w:cs="Arial"/>
                <w:sz w:val="24"/>
                <w:szCs w:val="24"/>
                <w:lang w:val="en-ZA"/>
              </w:rPr>
            </w:pPr>
          </w:p>
          <w:p w:rsidR="00952E64" w:rsidRDefault="00952E64" w:rsidP="00952E64">
            <w:pPr>
              <w:spacing w:after="0" w:line="360" w:lineRule="auto"/>
              <w:jc w:val="both"/>
              <w:rPr>
                <w:rFonts w:ascii="Arial" w:eastAsia="Dotum" w:hAnsi="Arial" w:cs="Arial"/>
                <w:sz w:val="24"/>
                <w:szCs w:val="24"/>
                <w:lang w:val="en-ZA"/>
              </w:rPr>
            </w:pPr>
            <w:r>
              <w:rPr>
                <w:rFonts w:ascii="Arial" w:eastAsia="Dotum" w:hAnsi="Arial" w:cs="Arial"/>
                <w:sz w:val="24"/>
                <w:szCs w:val="24"/>
                <w:lang w:val="en-ZA"/>
              </w:rPr>
              <w:t>[</w:t>
            </w:r>
            <w:r w:rsidR="00397462">
              <w:rPr>
                <w:rFonts w:ascii="Arial" w:eastAsia="Dotum" w:hAnsi="Arial" w:cs="Arial"/>
                <w:sz w:val="24"/>
                <w:szCs w:val="24"/>
                <w:lang w:val="en-ZA"/>
              </w:rPr>
              <w:t>21</w:t>
            </w:r>
            <w:r>
              <w:rPr>
                <w:rFonts w:ascii="Arial" w:eastAsia="Dotum" w:hAnsi="Arial" w:cs="Arial"/>
                <w:sz w:val="24"/>
                <w:szCs w:val="24"/>
                <w:lang w:val="en-ZA"/>
              </w:rPr>
              <w:t xml:space="preserve">]         The defendants further contended that the plaintiff failed to state, in the particulars of claim, the names of the persons who concluded the loan agreement, neither did the plaintiff state that a representative of the plaintiff was duly authorised to enter into the agreement. </w:t>
            </w:r>
          </w:p>
          <w:p w:rsidR="00952E64" w:rsidRDefault="00952E64" w:rsidP="00952E64">
            <w:pPr>
              <w:spacing w:after="0" w:line="360" w:lineRule="auto"/>
              <w:jc w:val="both"/>
              <w:rPr>
                <w:rFonts w:ascii="Arial" w:eastAsia="Dotum" w:hAnsi="Arial" w:cs="Arial"/>
                <w:sz w:val="24"/>
                <w:szCs w:val="24"/>
                <w:lang w:val="en-ZA"/>
              </w:rPr>
            </w:pPr>
          </w:p>
          <w:p w:rsidR="00952E64" w:rsidRDefault="00952E64" w:rsidP="00952E64">
            <w:pPr>
              <w:spacing w:after="0" w:line="360" w:lineRule="auto"/>
              <w:jc w:val="both"/>
              <w:rPr>
                <w:rFonts w:ascii="Arial" w:eastAsia="Dotum" w:hAnsi="Arial" w:cs="Arial"/>
                <w:sz w:val="24"/>
                <w:szCs w:val="24"/>
                <w:lang w:val="en-ZA"/>
              </w:rPr>
            </w:pPr>
            <w:r>
              <w:rPr>
                <w:rFonts w:ascii="Arial" w:eastAsia="Dotum" w:hAnsi="Arial" w:cs="Arial"/>
                <w:sz w:val="24"/>
                <w:szCs w:val="24"/>
                <w:lang w:val="en-ZA"/>
              </w:rPr>
              <w:t>[</w:t>
            </w:r>
            <w:r w:rsidR="00397462">
              <w:rPr>
                <w:rFonts w:ascii="Arial" w:eastAsia="Dotum" w:hAnsi="Arial" w:cs="Arial"/>
                <w:sz w:val="24"/>
                <w:szCs w:val="24"/>
                <w:lang w:val="en-ZA"/>
              </w:rPr>
              <w:t>22</w:t>
            </w:r>
            <w:r>
              <w:rPr>
                <w:rFonts w:ascii="Arial" w:eastAsia="Dotum" w:hAnsi="Arial" w:cs="Arial"/>
                <w:sz w:val="24"/>
                <w:szCs w:val="24"/>
                <w:lang w:val="en-ZA"/>
              </w:rPr>
              <w:t xml:space="preserve">]      The defendants contend further nowhere was it agreed in the loan agreement that the monthly instalments would be an of N$57 918,76. </w:t>
            </w:r>
          </w:p>
          <w:p w:rsidR="009F1BEC" w:rsidRDefault="009F1BEC" w:rsidP="00952E64">
            <w:pPr>
              <w:spacing w:after="0" w:line="360" w:lineRule="auto"/>
              <w:jc w:val="both"/>
              <w:rPr>
                <w:rFonts w:ascii="Arial" w:eastAsia="Dotum" w:hAnsi="Arial" w:cs="Arial"/>
                <w:sz w:val="24"/>
                <w:szCs w:val="24"/>
                <w:lang w:val="en-ZA"/>
              </w:rPr>
            </w:pPr>
          </w:p>
          <w:p w:rsidR="00DA6872" w:rsidRDefault="009F1BEC" w:rsidP="00952E64">
            <w:pPr>
              <w:spacing w:after="0" w:line="360" w:lineRule="auto"/>
              <w:jc w:val="both"/>
              <w:rPr>
                <w:rFonts w:ascii="Arial" w:eastAsia="Dotum" w:hAnsi="Arial" w:cs="Arial"/>
                <w:sz w:val="24"/>
                <w:szCs w:val="24"/>
                <w:lang w:val="en-ZA"/>
              </w:rPr>
            </w:pPr>
            <w:r>
              <w:rPr>
                <w:rFonts w:ascii="Arial" w:eastAsia="Dotum" w:hAnsi="Arial" w:cs="Arial"/>
                <w:sz w:val="24"/>
                <w:szCs w:val="24"/>
                <w:lang w:val="en-ZA"/>
              </w:rPr>
              <w:t>[</w:t>
            </w:r>
            <w:r w:rsidR="00397462">
              <w:rPr>
                <w:rFonts w:ascii="Arial" w:eastAsia="Dotum" w:hAnsi="Arial" w:cs="Arial"/>
                <w:sz w:val="24"/>
                <w:szCs w:val="24"/>
                <w:lang w:val="en-ZA"/>
              </w:rPr>
              <w:t>23</w:t>
            </w:r>
            <w:r>
              <w:rPr>
                <w:rFonts w:ascii="Arial" w:eastAsia="Dotum" w:hAnsi="Arial" w:cs="Arial"/>
                <w:sz w:val="24"/>
                <w:szCs w:val="24"/>
                <w:lang w:val="en-ZA"/>
              </w:rPr>
              <w:t>]    The plaintiff engaged the defendants pound for pound as it were. For the purpose of this ruling, I have no intention</w:t>
            </w:r>
            <w:r w:rsidR="00396A83">
              <w:rPr>
                <w:rFonts w:ascii="Arial" w:eastAsia="Dotum" w:hAnsi="Arial" w:cs="Arial"/>
                <w:sz w:val="24"/>
                <w:szCs w:val="24"/>
                <w:lang w:val="en-ZA"/>
              </w:rPr>
              <w:t xml:space="preserve">, time or energy to engage into each and every argument raised by the parties. That should not be perceived as taking a dim view towards the arguments raised but rather as unnecessary for the decision reached. </w:t>
            </w:r>
          </w:p>
          <w:p w:rsidR="00DA6872" w:rsidRDefault="00DA6872" w:rsidP="00952E64">
            <w:pPr>
              <w:spacing w:after="0" w:line="360" w:lineRule="auto"/>
              <w:jc w:val="both"/>
              <w:rPr>
                <w:rFonts w:ascii="Arial" w:eastAsia="Dotum" w:hAnsi="Arial" w:cs="Arial"/>
                <w:sz w:val="24"/>
                <w:szCs w:val="24"/>
                <w:lang w:val="en-ZA"/>
              </w:rPr>
            </w:pPr>
          </w:p>
          <w:p w:rsidR="0065108C" w:rsidRDefault="00DA6872" w:rsidP="00952E64">
            <w:pPr>
              <w:spacing w:after="0" w:line="360" w:lineRule="auto"/>
              <w:jc w:val="both"/>
              <w:rPr>
                <w:rFonts w:ascii="Arial" w:eastAsia="Dotum" w:hAnsi="Arial" w:cs="Arial"/>
                <w:sz w:val="24"/>
                <w:szCs w:val="24"/>
                <w:lang w:val="en-ZA"/>
              </w:rPr>
            </w:pPr>
            <w:r>
              <w:rPr>
                <w:rFonts w:ascii="Arial" w:eastAsia="Dotum" w:hAnsi="Arial" w:cs="Arial"/>
                <w:sz w:val="24"/>
                <w:szCs w:val="24"/>
                <w:lang w:val="en-ZA"/>
              </w:rPr>
              <w:t>[</w:t>
            </w:r>
            <w:r w:rsidR="00397462">
              <w:rPr>
                <w:rFonts w:ascii="Arial" w:eastAsia="Dotum" w:hAnsi="Arial" w:cs="Arial"/>
                <w:sz w:val="24"/>
                <w:szCs w:val="24"/>
                <w:lang w:val="en-ZA"/>
              </w:rPr>
              <w:t>24</w:t>
            </w:r>
            <w:r>
              <w:rPr>
                <w:rFonts w:ascii="Arial" w:eastAsia="Dotum" w:hAnsi="Arial" w:cs="Arial"/>
                <w:sz w:val="24"/>
                <w:szCs w:val="24"/>
                <w:lang w:val="en-ZA"/>
              </w:rPr>
              <w:t>]</w:t>
            </w:r>
            <w:r w:rsidR="009F1BEC">
              <w:rPr>
                <w:rFonts w:ascii="Arial" w:eastAsia="Dotum" w:hAnsi="Arial" w:cs="Arial"/>
                <w:sz w:val="24"/>
                <w:szCs w:val="24"/>
                <w:lang w:val="en-ZA"/>
              </w:rPr>
              <w:t xml:space="preserve"> </w:t>
            </w:r>
            <w:r w:rsidR="00250308">
              <w:rPr>
                <w:rFonts w:ascii="Arial" w:eastAsia="Dotum" w:hAnsi="Arial" w:cs="Arial"/>
                <w:sz w:val="24"/>
                <w:szCs w:val="24"/>
                <w:lang w:val="en-ZA"/>
              </w:rPr>
              <w:t xml:space="preserve">     In respect of the attack mounted by the defendants to the certificate of balance, Ms Griffiths argued that no strong factual basis was laid down by the defendants to succeed to dismantle the certificate of balance, which should, therefore, be accepted for what it provides. This, she argued against the backdrop of the clause in the loan agreement </w:t>
            </w:r>
            <w:r w:rsidR="0065108C">
              <w:rPr>
                <w:rFonts w:ascii="Arial" w:eastAsia="Dotum" w:hAnsi="Arial" w:cs="Arial"/>
                <w:sz w:val="24"/>
                <w:szCs w:val="24"/>
                <w:lang w:val="en-ZA"/>
              </w:rPr>
              <w:t>where it was agreed to that the</w:t>
            </w:r>
            <w:r w:rsidR="00250308">
              <w:rPr>
                <w:rFonts w:ascii="Arial" w:eastAsia="Dotum" w:hAnsi="Arial" w:cs="Arial"/>
                <w:sz w:val="24"/>
                <w:szCs w:val="24"/>
                <w:lang w:val="en-ZA"/>
              </w:rPr>
              <w:t xml:space="preserve"> certificate of balance shall be prima facie proof of the indebtedness. </w:t>
            </w:r>
          </w:p>
          <w:p w:rsidR="0065108C" w:rsidRDefault="0065108C" w:rsidP="00952E64">
            <w:pPr>
              <w:spacing w:after="0" w:line="360" w:lineRule="auto"/>
              <w:jc w:val="both"/>
              <w:rPr>
                <w:rFonts w:ascii="Arial" w:eastAsia="Dotum" w:hAnsi="Arial" w:cs="Arial"/>
                <w:sz w:val="24"/>
                <w:szCs w:val="24"/>
                <w:lang w:val="en-ZA"/>
              </w:rPr>
            </w:pPr>
          </w:p>
          <w:p w:rsidR="0065108C" w:rsidRDefault="0065108C" w:rsidP="00952E64">
            <w:pPr>
              <w:spacing w:after="0" w:line="360" w:lineRule="auto"/>
              <w:jc w:val="both"/>
              <w:rPr>
                <w:rFonts w:ascii="Arial" w:eastAsia="Dotum" w:hAnsi="Arial" w:cs="Arial"/>
                <w:sz w:val="24"/>
                <w:szCs w:val="24"/>
                <w:lang w:val="en-ZA"/>
              </w:rPr>
            </w:pPr>
            <w:r>
              <w:rPr>
                <w:rFonts w:ascii="Arial" w:eastAsia="Dotum" w:hAnsi="Arial" w:cs="Arial"/>
                <w:sz w:val="24"/>
                <w:szCs w:val="24"/>
                <w:lang w:val="en-ZA"/>
              </w:rPr>
              <w:t>[</w:t>
            </w:r>
            <w:r w:rsidR="00397462">
              <w:rPr>
                <w:rFonts w:ascii="Arial" w:eastAsia="Dotum" w:hAnsi="Arial" w:cs="Arial"/>
                <w:sz w:val="24"/>
                <w:szCs w:val="24"/>
                <w:lang w:val="en-ZA"/>
              </w:rPr>
              <w:t>25</w:t>
            </w:r>
            <w:r>
              <w:rPr>
                <w:rFonts w:ascii="Arial" w:eastAsia="Dotum" w:hAnsi="Arial" w:cs="Arial"/>
                <w:sz w:val="24"/>
                <w:szCs w:val="24"/>
                <w:lang w:val="en-ZA"/>
              </w:rPr>
              <w:t xml:space="preserve">]       In respect of interest, Ms Griffiths submitted that the defendants were charged interest in terms of the provisions of the agreement and further that no penalty interest was charged. </w:t>
            </w:r>
          </w:p>
          <w:p w:rsidR="009F1BEC" w:rsidRDefault="0065108C" w:rsidP="00952E64">
            <w:pPr>
              <w:spacing w:after="0" w:line="360" w:lineRule="auto"/>
              <w:jc w:val="both"/>
              <w:rPr>
                <w:rFonts w:ascii="Arial" w:eastAsia="Dotum" w:hAnsi="Arial" w:cs="Arial"/>
                <w:sz w:val="24"/>
                <w:szCs w:val="24"/>
                <w:lang w:val="en-ZA"/>
              </w:rPr>
            </w:pPr>
            <w:r>
              <w:rPr>
                <w:rFonts w:ascii="Arial" w:eastAsia="Dotum" w:hAnsi="Arial" w:cs="Arial"/>
                <w:sz w:val="24"/>
                <w:szCs w:val="24"/>
                <w:lang w:val="en-ZA"/>
              </w:rPr>
              <w:t>Mr Karsten argued the contrary that the account statements reveal that over and above the interest charged, the plaintiff charged the defendants penalty interest on the overdraft while no such agreeme</w:t>
            </w:r>
            <w:r w:rsidR="001823DF">
              <w:rPr>
                <w:rFonts w:ascii="Arial" w:eastAsia="Dotum" w:hAnsi="Arial" w:cs="Arial"/>
                <w:sz w:val="24"/>
                <w:szCs w:val="24"/>
                <w:lang w:val="en-ZA"/>
              </w:rPr>
              <w:t xml:space="preserve">nt for penalty interest exists between the parties. </w:t>
            </w:r>
            <w:r w:rsidR="00250308">
              <w:rPr>
                <w:rFonts w:ascii="Arial" w:eastAsia="Dotum" w:hAnsi="Arial" w:cs="Arial"/>
                <w:sz w:val="24"/>
                <w:szCs w:val="24"/>
                <w:lang w:val="en-ZA"/>
              </w:rPr>
              <w:t xml:space="preserve"> </w:t>
            </w:r>
          </w:p>
          <w:p w:rsidR="00952E64" w:rsidRDefault="00952E64" w:rsidP="006A3DD3">
            <w:pPr>
              <w:spacing w:after="0" w:line="360" w:lineRule="auto"/>
              <w:jc w:val="both"/>
              <w:rPr>
                <w:rFonts w:ascii="Arial" w:eastAsia="Calibri" w:hAnsi="Arial" w:cs="Arial"/>
                <w:sz w:val="24"/>
                <w:szCs w:val="24"/>
                <w:lang w:val="en-ZA"/>
              </w:rPr>
            </w:pPr>
          </w:p>
          <w:p w:rsidR="003818E2" w:rsidRDefault="003818E2" w:rsidP="003818E2">
            <w:pPr>
              <w:spacing w:after="0" w:line="360" w:lineRule="auto"/>
              <w:jc w:val="both"/>
              <w:rPr>
                <w:rFonts w:ascii="Arial" w:eastAsia="Calibri" w:hAnsi="Arial" w:cs="Arial"/>
                <w:sz w:val="24"/>
                <w:szCs w:val="24"/>
                <w:u w:val="single"/>
                <w:lang w:val="en-ZA"/>
              </w:rPr>
            </w:pPr>
            <w:r w:rsidRPr="003818E2">
              <w:rPr>
                <w:rFonts w:ascii="Arial" w:eastAsia="Calibri" w:hAnsi="Arial" w:cs="Arial"/>
                <w:sz w:val="24"/>
                <w:szCs w:val="24"/>
                <w:u w:val="single"/>
                <w:lang w:val="en-ZA"/>
              </w:rPr>
              <w:t>Analysis</w:t>
            </w:r>
          </w:p>
          <w:p w:rsidR="003818E2" w:rsidRPr="003818E2" w:rsidRDefault="003818E2" w:rsidP="003818E2">
            <w:pPr>
              <w:spacing w:line="254" w:lineRule="auto"/>
              <w:contextualSpacing/>
              <w:rPr>
                <w:rFonts w:ascii="Arial" w:eastAsia="Calibri" w:hAnsi="Arial" w:cs="Arial"/>
                <w:sz w:val="24"/>
                <w:szCs w:val="24"/>
                <w:lang w:val="en-ZA"/>
              </w:rPr>
            </w:pPr>
          </w:p>
          <w:p w:rsidR="003818E2" w:rsidRPr="003818E2" w:rsidRDefault="00FD2A0F" w:rsidP="003818E2">
            <w:pPr>
              <w:spacing w:after="0" w:line="360" w:lineRule="auto"/>
              <w:jc w:val="both"/>
              <w:rPr>
                <w:rFonts w:ascii="Arial" w:eastAsia="Calibri" w:hAnsi="Arial" w:cs="Arial"/>
                <w:sz w:val="24"/>
                <w:szCs w:val="24"/>
                <w:lang w:val="en-ZA"/>
              </w:rPr>
            </w:pPr>
            <w:r>
              <w:rPr>
                <w:rFonts w:ascii="Arial" w:eastAsia="Dotum" w:hAnsi="Arial" w:cs="Arial"/>
                <w:sz w:val="24"/>
                <w:szCs w:val="24"/>
                <w:lang w:val="en-ZA"/>
              </w:rPr>
              <w:t>[</w:t>
            </w:r>
            <w:r w:rsidR="00397462">
              <w:rPr>
                <w:rFonts w:ascii="Arial" w:eastAsia="Dotum" w:hAnsi="Arial" w:cs="Arial"/>
                <w:sz w:val="24"/>
                <w:szCs w:val="24"/>
                <w:lang w:val="en-ZA"/>
              </w:rPr>
              <w:t>26</w:t>
            </w:r>
            <w:r w:rsidR="003818E2" w:rsidRPr="003818E2">
              <w:rPr>
                <w:rFonts w:ascii="Arial" w:eastAsia="Dotum" w:hAnsi="Arial" w:cs="Arial"/>
                <w:sz w:val="24"/>
                <w:szCs w:val="24"/>
                <w:lang w:val="en-ZA"/>
              </w:rPr>
              <w:t>]</w:t>
            </w:r>
            <w:r w:rsidR="003818E2" w:rsidRPr="003818E2">
              <w:rPr>
                <w:rFonts w:ascii="Arial" w:eastAsia="Dotum" w:hAnsi="Arial" w:cs="Arial"/>
                <w:sz w:val="24"/>
                <w:szCs w:val="24"/>
                <w:lang w:val="en-ZA"/>
              </w:rPr>
              <w:tab/>
              <w:t>The</w:t>
            </w:r>
            <w:r w:rsidR="003818E2" w:rsidRPr="003818E2">
              <w:rPr>
                <w:rFonts w:ascii="Arial" w:eastAsia="Calibri" w:hAnsi="Arial" w:cs="Arial"/>
                <w:sz w:val="24"/>
                <w:szCs w:val="24"/>
                <w:lang w:val="en-ZA"/>
              </w:rPr>
              <w:t xml:space="preserve"> law on summary judgment applications </w:t>
            </w:r>
            <w:r w:rsidR="00A33DA8">
              <w:rPr>
                <w:rFonts w:ascii="Arial" w:eastAsia="Calibri" w:hAnsi="Arial" w:cs="Arial"/>
                <w:sz w:val="24"/>
                <w:szCs w:val="24"/>
                <w:lang w:val="en-ZA"/>
              </w:rPr>
              <w:t xml:space="preserve">is </w:t>
            </w:r>
            <w:r w:rsidR="0079132E">
              <w:rPr>
                <w:rFonts w:ascii="Arial" w:eastAsia="Calibri" w:hAnsi="Arial" w:cs="Arial"/>
                <w:sz w:val="24"/>
                <w:szCs w:val="24"/>
                <w:lang w:val="en-ZA"/>
              </w:rPr>
              <w:t xml:space="preserve">well settled and calls for no repetition. A reminder will suffice that </w:t>
            </w:r>
            <w:r w:rsidR="00DE6189">
              <w:rPr>
                <w:rFonts w:ascii="Arial" w:eastAsia="Calibri" w:hAnsi="Arial" w:cs="Arial"/>
                <w:sz w:val="24"/>
                <w:szCs w:val="24"/>
                <w:lang w:val="en-ZA"/>
              </w:rPr>
              <w:t>rule</w:t>
            </w:r>
            <w:r w:rsidR="003818E2" w:rsidRPr="003818E2">
              <w:rPr>
                <w:rFonts w:ascii="Arial" w:eastAsia="Calibri" w:hAnsi="Arial" w:cs="Arial"/>
                <w:sz w:val="24"/>
                <w:szCs w:val="24"/>
                <w:lang w:val="en-ZA"/>
              </w:rPr>
              <w:t xml:space="preserve"> 60 regulates applications for summary judgment where the claim is based on a liquid document; where the claim is for a liquidated amount in money; where the claim is for delivery of specified movable property; and where the claim is for ejectment. </w:t>
            </w:r>
          </w:p>
          <w:p w:rsidR="003818E2" w:rsidRPr="003818E2" w:rsidRDefault="003818E2" w:rsidP="003818E2">
            <w:pPr>
              <w:spacing w:after="0" w:line="360" w:lineRule="auto"/>
              <w:jc w:val="both"/>
              <w:rPr>
                <w:rFonts w:ascii="Arial" w:eastAsia="Calibri" w:hAnsi="Arial" w:cs="Arial"/>
                <w:sz w:val="24"/>
                <w:szCs w:val="24"/>
                <w:lang w:val="en-ZA"/>
              </w:rPr>
            </w:pPr>
          </w:p>
          <w:p w:rsidR="003818E2" w:rsidRPr="00D83E63" w:rsidRDefault="00397462" w:rsidP="003818E2">
            <w:pPr>
              <w:spacing w:after="0" w:line="360" w:lineRule="auto"/>
              <w:jc w:val="both"/>
              <w:rPr>
                <w:rFonts w:ascii="Arial" w:eastAsia="Calibri" w:hAnsi="Arial" w:cs="Arial"/>
                <w:sz w:val="24"/>
                <w:szCs w:val="24"/>
                <w:lang w:val="af-ZA"/>
              </w:rPr>
            </w:pPr>
            <w:r>
              <w:rPr>
                <w:rFonts w:ascii="Arial" w:eastAsia="Calibri" w:hAnsi="Arial" w:cs="Arial"/>
                <w:sz w:val="24"/>
                <w:szCs w:val="24"/>
                <w:lang w:val="en-ZA"/>
              </w:rPr>
              <w:t>[27</w:t>
            </w:r>
            <w:r w:rsidR="003818E2" w:rsidRPr="003818E2">
              <w:rPr>
                <w:rFonts w:ascii="Arial" w:eastAsia="Calibri" w:hAnsi="Arial" w:cs="Arial"/>
                <w:sz w:val="24"/>
                <w:szCs w:val="24"/>
                <w:lang w:val="en-ZA"/>
              </w:rPr>
              <w:t xml:space="preserve">]     The general approach </w:t>
            </w:r>
            <w:r w:rsidR="00D83E63">
              <w:rPr>
                <w:rFonts w:ascii="Arial" w:eastAsia="Calibri" w:hAnsi="Arial" w:cs="Arial"/>
                <w:sz w:val="24"/>
                <w:szCs w:val="24"/>
                <w:lang w:val="en-ZA"/>
              </w:rPr>
              <w:t xml:space="preserve">to </w:t>
            </w:r>
            <w:r w:rsidR="003818E2" w:rsidRPr="003818E2">
              <w:rPr>
                <w:rFonts w:ascii="Arial" w:eastAsia="Calibri" w:hAnsi="Arial" w:cs="Arial"/>
                <w:sz w:val="24"/>
                <w:szCs w:val="24"/>
                <w:lang w:val="en-ZA"/>
              </w:rPr>
              <w:t>summary judgment</w:t>
            </w:r>
            <w:r w:rsidR="00D83E63">
              <w:rPr>
                <w:rFonts w:ascii="Arial" w:eastAsia="Calibri" w:hAnsi="Arial" w:cs="Arial"/>
                <w:sz w:val="24"/>
                <w:szCs w:val="24"/>
                <w:lang w:val="en-ZA"/>
              </w:rPr>
              <w:t xml:space="preserve"> applications was set out in the celebrated judgment</w:t>
            </w:r>
            <w:r w:rsidR="003818E2" w:rsidRPr="003818E2">
              <w:rPr>
                <w:rFonts w:ascii="Arial" w:eastAsia="Calibri" w:hAnsi="Arial" w:cs="Arial"/>
                <w:sz w:val="24"/>
                <w:szCs w:val="24"/>
                <w:lang w:val="af-ZA"/>
              </w:rPr>
              <w:t xml:space="preserve"> </w:t>
            </w:r>
            <w:r w:rsidR="003818E2" w:rsidRPr="003818E2">
              <w:rPr>
                <w:rFonts w:ascii="Arial" w:eastAsia="Calibri" w:hAnsi="Arial" w:cs="Arial"/>
                <w:i/>
                <w:sz w:val="24"/>
                <w:szCs w:val="24"/>
                <w:lang w:val="af-ZA"/>
              </w:rPr>
              <w:t xml:space="preserve">Maharaj v Barclays </w:t>
            </w:r>
            <w:r w:rsidR="00D83E63">
              <w:rPr>
                <w:rFonts w:ascii="Arial" w:eastAsia="Calibri" w:hAnsi="Arial" w:cs="Arial"/>
                <w:i/>
                <w:sz w:val="24"/>
                <w:szCs w:val="24"/>
                <w:lang w:val="af-ZA"/>
              </w:rPr>
              <w:t>National Bank Ltd,</w:t>
            </w:r>
            <w:r w:rsidR="003818E2" w:rsidRPr="003818E2">
              <w:rPr>
                <w:rFonts w:ascii="Arial" w:eastAsia="Calibri" w:hAnsi="Arial" w:cs="Arial"/>
                <w:i/>
                <w:sz w:val="24"/>
                <w:szCs w:val="24"/>
                <w:vertAlign w:val="superscript"/>
                <w:lang w:val="af-ZA"/>
              </w:rPr>
              <w:footnoteReference w:id="1"/>
            </w:r>
            <w:r w:rsidR="00D83E63">
              <w:rPr>
                <w:rFonts w:ascii="Arial" w:eastAsia="Calibri" w:hAnsi="Arial" w:cs="Arial"/>
                <w:i/>
                <w:sz w:val="24"/>
                <w:szCs w:val="24"/>
                <w:lang w:val="af-ZA"/>
              </w:rPr>
              <w:t xml:space="preserve"> </w:t>
            </w:r>
            <w:r w:rsidR="00D83E63">
              <w:rPr>
                <w:rFonts w:ascii="Arial" w:eastAsia="Calibri" w:hAnsi="Arial" w:cs="Arial"/>
                <w:sz w:val="24"/>
                <w:szCs w:val="24"/>
                <w:lang w:val="af-ZA"/>
              </w:rPr>
              <w:t xml:space="preserve">where Corbett JA remarked as follows: </w:t>
            </w:r>
          </w:p>
          <w:p w:rsidR="003818E2" w:rsidRPr="003818E2" w:rsidRDefault="003818E2" w:rsidP="003818E2">
            <w:pPr>
              <w:spacing w:after="0" w:line="360" w:lineRule="auto"/>
              <w:jc w:val="both"/>
              <w:rPr>
                <w:rFonts w:ascii="Arial" w:eastAsia="Calibri" w:hAnsi="Arial" w:cs="Arial"/>
                <w:sz w:val="24"/>
                <w:szCs w:val="24"/>
                <w:lang w:val="af-ZA"/>
              </w:rPr>
            </w:pPr>
          </w:p>
          <w:p w:rsidR="003818E2" w:rsidRPr="003818E2" w:rsidRDefault="003818E2" w:rsidP="003818E2">
            <w:pPr>
              <w:spacing w:after="0" w:line="360" w:lineRule="auto"/>
              <w:jc w:val="both"/>
              <w:rPr>
                <w:rFonts w:ascii="Arial" w:eastAsia="Calibri" w:hAnsi="Arial" w:cs="Arial"/>
                <w:szCs w:val="24"/>
                <w:lang w:val="af-ZA"/>
              </w:rPr>
            </w:pPr>
            <w:r w:rsidRPr="003818E2">
              <w:rPr>
                <w:rFonts w:ascii="Arial" w:eastAsia="Calibri" w:hAnsi="Arial" w:cs="Arial"/>
                <w:sz w:val="24"/>
                <w:szCs w:val="24"/>
                <w:lang w:val="af-ZA"/>
              </w:rPr>
              <w:t xml:space="preserve">           </w:t>
            </w:r>
            <w:r w:rsidRPr="003818E2">
              <w:rPr>
                <w:rFonts w:ascii="Arial" w:eastAsia="Calibri" w:hAnsi="Arial" w:cs="Arial"/>
                <w:szCs w:val="24"/>
                <w:lang w:val="af-ZA"/>
              </w:rPr>
              <w:t xml:space="preserve">‘Accordingly, one of the ways in which the defendant may successfully oppose a claim for summary judgment is by satisfying the Court by affidavit that he has a </w:t>
            </w:r>
            <w:r w:rsidRPr="003818E2">
              <w:rPr>
                <w:rFonts w:ascii="Arial" w:eastAsia="Calibri" w:hAnsi="Arial" w:cs="Arial"/>
                <w:i/>
                <w:szCs w:val="24"/>
                <w:lang w:val="af-ZA"/>
              </w:rPr>
              <w:t>bona fide</w:t>
            </w:r>
            <w:r w:rsidRPr="003818E2">
              <w:rPr>
                <w:rFonts w:ascii="Arial" w:eastAsia="Calibri" w:hAnsi="Arial" w:cs="Arial"/>
                <w:szCs w:val="24"/>
                <w:lang w:val="af-ZA"/>
              </w:rPr>
              <w:t xml:space="preserv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w:t>
            </w:r>
          </w:p>
          <w:p w:rsidR="003818E2" w:rsidRPr="003818E2" w:rsidRDefault="003818E2" w:rsidP="003818E2">
            <w:pPr>
              <w:spacing w:after="0" w:line="360" w:lineRule="auto"/>
              <w:jc w:val="both"/>
              <w:rPr>
                <w:rFonts w:ascii="Arial" w:eastAsia="Calibri" w:hAnsi="Arial" w:cs="Arial"/>
                <w:szCs w:val="24"/>
                <w:lang w:val="af-ZA"/>
              </w:rPr>
            </w:pPr>
          </w:p>
          <w:p w:rsidR="003818E2" w:rsidRPr="003818E2" w:rsidRDefault="003818E2" w:rsidP="003818E2">
            <w:pPr>
              <w:spacing w:after="0" w:line="360" w:lineRule="auto"/>
              <w:jc w:val="both"/>
              <w:rPr>
                <w:rFonts w:ascii="Arial" w:eastAsia="Calibri" w:hAnsi="Arial" w:cs="Arial"/>
                <w:szCs w:val="24"/>
                <w:lang w:val="af-ZA"/>
              </w:rPr>
            </w:pPr>
            <w:r w:rsidRPr="003818E2">
              <w:rPr>
                <w:rFonts w:ascii="Arial" w:eastAsia="Calibri" w:hAnsi="Arial" w:cs="Arial"/>
                <w:szCs w:val="24"/>
                <w:lang w:val="af-ZA"/>
              </w:rPr>
              <w:t xml:space="preserve">All that the Court enquires into is: </w:t>
            </w:r>
          </w:p>
          <w:p w:rsidR="003818E2" w:rsidRPr="003818E2" w:rsidRDefault="003818E2" w:rsidP="003818E2">
            <w:pPr>
              <w:spacing w:after="0" w:line="360" w:lineRule="auto"/>
              <w:jc w:val="both"/>
              <w:rPr>
                <w:rFonts w:ascii="Arial" w:eastAsia="Calibri" w:hAnsi="Arial" w:cs="Arial"/>
                <w:szCs w:val="24"/>
                <w:lang w:val="af-ZA"/>
              </w:rPr>
            </w:pPr>
          </w:p>
          <w:p w:rsidR="003818E2" w:rsidRPr="003818E2" w:rsidRDefault="003818E2" w:rsidP="003818E2">
            <w:pPr>
              <w:spacing w:after="0" w:line="360" w:lineRule="auto"/>
              <w:jc w:val="both"/>
              <w:rPr>
                <w:rFonts w:ascii="Arial" w:eastAsia="Calibri" w:hAnsi="Arial" w:cs="Arial"/>
                <w:szCs w:val="24"/>
                <w:lang w:val="af-ZA"/>
              </w:rPr>
            </w:pPr>
            <w:r w:rsidRPr="003818E2">
              <w:rPr>
                <w:rFonts w:ascii="Arial" w:eastAsia="Calibri" w:hAnsi="Arial" w:cs="Arial"/>
                <w:szCs w:val="24"/>
                <w:lang w:val="af-ZA"/>
              </w:rPr>
              <w:t xml:space="preserve">(a) whether the defendant has fully disclosed the nature and the grounds of his defence and the material facts upon which it is founded, and </w:t>
            </w:r>
          </w:p>
          <w:p w:rsidR="003818E2" w:rsidRPr="003818E2" w:rsidRDefault="003818E2" w:rsidP="003818E2">
            <w:pPr>
              <w:spacing w:after="0" w:line="360" w:lineRule="auto"/>
              <w:jc w:val="both"/>
              <w:rPr>
                <w:rFonts w:ascii="Arial" w:eastAsia="Calibri" w:hAnsi="Arial" w:cs="Arial"/>
                <w:szCs w:val="24"/>
                <w:lang w:val="af-ZA"/>
              </w:rPr>
            </w:pPr>
          </w:p>
          <w:p w:rsidR="003818E2" w:rsidRPr="003818E2" w:rsidRDefault="003818E2" w:rsidP="003818E2">
            <w:pPr>
              <w:spacing w:after="0" w:line="360" w:lineRule="auto"/>
              <w:jc w:val="both"/>
              <w:rPr>
                <w:rFonts w:ascii="Arial" w:eastAsia="Calibri" w:hAnsi="Arial" w:cs="Arial"/>
                <w:szCs w:val="24"/>
                <w:lang w:val="af-ZA"/>
              </w:rPr>
            </w:pPr>
            <w:r w:rsidRPr="003818E2">
              <w:rPr>
                <w:rFonts w:ascii="Arial" w:eastAsia="Calibri" w:hAnsi="Arial" w:cs="Arial"/>
                <w:szCs w:val="24"/>
                <w:lang w:val="af-ZA"/>
              </w:rPr>
              <w:t xml:space="preserve">(b) whether on the facts so disclosed the defendant appears to have, as to either the whole or part of the claim, a defence which is </w:t>
            </w:r>
            <w:r w:rsidRPr="002E24F7">
              <w:rPr>
                <w:rFonts w:ascii="Arial" w:eastAsia="Calibri" w:hAnsi="Arial" w:cs="Arial"/>
                <w:i/>
                <w:szCs w:val="24"/>
                <w:lang w:val="af-ZA"/>
              </w:rPr>
              <w:t>bona fide</w:t>
            </w:r>
            <w:r w:rsidRPr="003818E2">
              <w:rPr>
                <w:rFonts w:ascii="Arial" w:eastAsia="Calibri" w:hAnsi="Arial" w:cs="Arial"/>
                <w:szCs w:val="24"/>
                <w:lang w:val="af-ZA"/>
              </w:rPr>
              <w:t xml:space="preserve"> and good in law. </w:t>
            </w:r>
          </w:p>
          <w:p w:rsidR="003818E2" w:rsidRPr="003818E2" w:rsidRDefault="003818E2" w:rsidP="003818E2">
            <w:pPr>
              <w:spacing w:after="0" w:line="360" w:lineRule="auto"/>
              <w:jc w:val="both"/>
              <w:rPr>
                <w:rFonts w:ascii="Arial" w:eastAsia="Calibri" w:hAnsi="Arial" w:cs="Arial"/>
                <w:szCs w:val="24"/>
                <w:lang w:val="af-ZA"/>
              </w:rPr>
            </w:pPr>
          </w:p>
          <w:p w:rsidR="003818E2" w:rsidRPr="003818E2" w:rsidRDefault="003818E2" w:rsidP="005035CD">
            <w:pPr>
              <w:spacing w:after="0" w:line="360" w:lineRule="auto"/>
              <w:jc w:val="both"/>
              <w:rPr>
                <w:rFonts w:ascii="Arial" w:eastAsia="Calibri" w:hAnsi="Arial" w:cs="Arial"/>
                <w:szCs w:val="24"/>
                <w:lang w:val="af-ZA"/>
              </w:rPr>
            </w:pPr>
            <w:r w:rsidRPr="003818E2">
              <w:rPr>
                <w:rFonts w:ascii="Arial" w:eastAsia="Calibri" w:hAnsi="Arial" w:cs="Arial"/>
                <w:szCs w:val="24"/>
                <w:lang w:val="af-ZA"/>
              </w:rPr>
              <w:t>If satisfied on these matters</w:t>
            </w:r>
            <w:r w:rsidR="00FD2A0F">
              <w:rPr>
                <w:rFonts w:ascii="Arial" w:eastAsia="Calibri" w:hAnsi="Arial" w:cs="Arial"/>
                <w:szCs w:val="24"/>
                <w:lang w:val="af-ZA"/>
              </w:rPr>
              <w:t>,</w:t>
            </w:r>
            <w:r w:rsidRPr="003818E2">
              <w:rPr>
                <w:rFonts w:ascii="Arial" w:eastAsia="Calibri" w:hAnsi="Arial" w:cs="Arial"/>
                <w:szCs w:val="24"/>
                <w:lang w:val="af-ZA"/>
              </w:rPr>
              <w:t xml:space="preserve"> the Court must refuse summary judgment, 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bona fide defence.’</w:t>
            </w:r>
          </w:p>
          <w:p w:rsidR="003818E2" w:rsidRPr="003818E2" w:rsidRDefault="003818E2" w:rsidP="003818E2">
            <w:pPr>
              <w:spacing w:after="0" w:line="360" w:lineRule="auto"/>
              <w:jc w:val="both"/>
              <w:rPr>
                <w:rFonts w:ascii="Arial" w:eastAsia="Calibri" w:hAnsi="Arial" w:cs="Arial"/>
                <w:sz w:val="24"/>
                <w:szCs w:val="24"/>
                <w:lang w:val="en-ZA"/>
              </w:rPr>
            </w:pPr>
          </w:p>
          <w:p w:rsidR="004D0382" w:rsidRDefault="003818E2" w:rsidP="003818E2">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w:t>
            </w:r>
            <w:r w:rsidR="00397462">
              <w:rPr>
                <w:rFonts w:ascii="Arial" w:eastAsia="Calibri" w:hAnsi="Arial" w:cs="Arial"/>
                <w:sz w:val="24"/>
                <w:szCs w:val="24"/>
                <w:lang w:val="en-ZA"/>
              </w:rPr>
              <w:t>28</w:t>
            </w:r>
            <w:r w:rsidRPr="003818E2">
              <w:rPr>
                <w:rFonts w:ascii="Arial" w:eastAsia="Calibri" w:hAnsi="Arial" w:cs="Arial"/>
                <w:sz w:val="24"/>
                <w:szCs w:val="24"/>
                <w:lang w:val="en-ZA"/>
              </w:rPr>
              <w:t xml:space="preserve">]    </w:t>
            </w:r>
            <w:r w:rsidR="004D0382">
              <w:rPr>
                <w:rFonts w:ascii="Arial" w:eastAsia="Calibri" w:hAnsi="Arial" w:cs="Arial"/>
                <w:sz w:val="24"/>
                <w:szCs w:val="24"/>
                <w:lang w:val="en-ZA"/>
              </w:rPr>
              <w:t xml:space="preserve">The above remarks are a correct disposition of our law, which I endorse without hesitation. </w:t>
            </w:r>
          </w:p>
          <w:p w:rsidR="004D0382" w:rsidRDefault="004D0382" w:rsidP="003818E2">
            <w:pPr>
              <w:spacing w:after="0" w:line="360" w:lineRule="auto"/>
              <w:jc w:val="both"/>
              <w:rPr>
                <w:rFonts w:ascii="Arial" w:eastAsia="Calibri" w:hAnsi="Arial" w:cs="Arial"/>
                <w:sz w:val="24"/>
                <w:szCs w:val="24"/>
                <w:lang w:val="en-ZA"/>
              </w:rPr>
            </w:pPr>
          </w:p>
          <w:p w:rsidR="00A123F2" w:rsidRDefault="00A123F2" w:rsidP="00DE6189">
            <w:pPr>
              <w:spacing w:after="0" w:line="360" w:lineRule="auto"/>
              <w:jc w:val="both"/>
              <w:rPr>
                <w:rFonts w:ascii="Arial" w:eastAsia="Calibri" w:hAnsi="Arial" w:cs="Arial"/>
                <w:sz w:val="24"/>
                <w:szCs w:val="24"/>
                <w:lang w:val="en-ZA"/>
              </w:rPr>
            </w:pPr>
          </w:p>
          <w:p w:rsidR="00E4164D" w:rsidRDefault="003818E2" w:rsidP="00DE6189">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w:t>
            </w:r>
            <w:r w:rsidR="00397462">
              <w:rPr>
                <w:rFonts w:ascii="Arial" w:eastAsia="Calibri" w:hAnsi="Arial" w:cs="Arial"/>
                <w:sz w:val="24"/>
                <w:szCs w:val="24"/>
                <w:lang w:val="en-ZA"/>
              </w:rPr>
              <w:t>29</w:t>
            </w:r>
            <w:r w:rsidRPr="003818E2">
              <w:rPr>
                <w:rFonts w:ascii="Arial" w:eastAsia="Calibri" w:hAnsi="Arial" w:cs="Arial"/>
                <w:sz w:val="24"/>
                <w:szCs w:val="24"/>
                <w:lang w:val="en-ZA"/>
              </w:rPr>
              <w:t xml:space="preserve">]     </w:t>
            </w:r>
            <w:r w:rsidR="00E4164D">
              <w:rPr>
                <w:rFonts w:ascii="Arial" w:eastAsia="Calibri" w:hAnsi="Arial" w:cs="Arial"/>
                <w:sz w:val="24"/>
                <w:szCs w:val="24"/>
                <w:lang w:val="en-ZA"/>
              </w:rPr>
              <w:t xml:space="preserve">The defendants attacked the correctness of the plaintiff’s certificate of balance. In the same vein, the defendants challenged the correctness of the amount and the calculation contained in the certificate of balance. </w:t>
            </w:r>
          </w:p>
          <w:p w:rsidR="00E4164D" w:rsidRDefault="00E4164D" w:rsidP="00DE6189">
            <w:pPr>
              <w:spacing w:after="0" w:line="360" w:lineRule="auto"/>
              <w:jc w:val="both"/>
              <w:rPr>
                <w:rFonts w:ascii="Arial" w:eastAsia="Calibri" w:hAnsi="Arial" w:cs="Arial"/>
                <w:sz w:val="24"/>
                <w:szCs w:val="24"/>
                <w:lang w:val="en-ZA"/>
              </w:rPr>
            </w:pPr>
          </w:p>
          <w:p w:rsidR="003D203A" w:rsidRDefault="00E4164D" w:rsidP="00585599">
            <w:pPr>
              <w:spacing w:after="0" w:line="360" w:lineRule="auto"/>
              <w:jc w:val="both"/>
              <w:rPr>
                <w:rFonts w:ascii="Arial" w:hAnsi="Arial" w:cs="Arial"/>
                <w:sz w:val="24"/>
                <w:szCs w:val="24"/>
              </w:rPr>
            </w:pPr>
            <w:r>
              <w:rPr>
                <w:rFonts w:ascii="Arial" w:eastAsia="Calibri" w:hAnsi="Arial" w:cs="Arial"/>
                <w:sz w:val="24"/>
                <w:szCs w:val="24"/>
                <w:lang w:val="en-ZA"/>
              </w:rPr>
              <w:t>[</w:t>
            </w:r>
            <w:r w:rsidR="00397462">
              <w:rPr>
                <w:rFonts w:ascii="Arial" w:eastAsia="Calibri" w:hAnsi="Arial" w:cs="Arial"/>
                <w:sz w:val="24"/>
                <w:szCs w:val="24"/>
                <w:lang w:val="en-ZA"/>
              </w:rPr>
              <w:t>30</w:t>
            </w:r>
            <w:r>
              <w:rPr>
                <w:rFonts w:ascii="Arial" w:eastAsia="Calibri" w:hAnsi="Arial" w:cs="Arial"/>
                <w:sz w:val="24"/>
                <w:szCs w:val="24"/>
                <w:lang w:val="en-ZA"/>
              </w:rPr>
              <w:t xml:space="preserve">]        The submission made by Ms Griffiths that the parties agreed that the certificate of balance shall be prima facie proof of the indebtedness of the defendants, is correct. </w:t>
            </w:r>
            <w:r w:rsidR="00585599">
              <w:rPr>
                <w:rFonts w:ascii="Arial" w:eastAsia="Calibri" w:hAnsi="Arial" w:cs="Arial"/>
                <w:sz w:val="24"/>
                <w:szCs w:val="24"/>
                <w:lang w:val="en-ZA"/>
              </w:rPr>
              <w:t xml:space="preserve">It should, therefore, be determined whether the defendants laid a proper basis for </w:t>
            </w:r>
            <w:r w:rsidR="00585599" w:rsidRPr="00585599">
              <w:rPr>
                <w:rFonts w:ascii="Arial" w:hAnsi="Arial" w:cs="Arial"/>
                <w:sz w:val="24"/>
                <w:szCs w:val="24"/>
              </w:rPr>
              <w:t>challenging the correctness of the calculations and amounts set out in the certificate of</w:t>
            </w:r>
            <w:r w:rsidR="00A33DA8">
              <w:rPr>
                <w:rFonts w:ascii="Arial" w:hAnsi="Arial" w:cs="Arial"/>
                <w:sz w:val="24"/>
                <w:szCs w:val="24"/>
              </w:rPr>
              <w:t xml:space="preserve"> balance.</w:t>
            </w:r>
            <w:r w:rsidR="00585599" w:rsidRPr="00585599">
              <w:rPr>
                <w:rFonts w:ascii="Arial" w:hAnsi="Arial" w:cs="Arial"/>
                <w:sz w:val="24"/>
                <w:szCs w:val="24"/>
              </w:rPr>
              <w:t xml:space="preserve"> </w:t>
            </w:r>
          </w:p>
          <w:p w:rsidR="003D203A" w:rsidRDefault="003D203A" w:rsidP="00585599">
            <w:pPr>
              <w:spacing w:after="0" w:line="360" w:lineRule="auto"/>
              <w:jc w:val="both"/>
              <w:rPr>
                <w:rFonts w:ascii="Arial" w:hAnsi="Arial" w:cs="Arial"/>
                <w:sz w:val="24"/>
                <w:szCs w:val="24"/>
              </w:rPr>
            </w:pPr>
          </w:p>
          <w:p w:rsidR="00585599" w:rsidRDefault="003D203A" w:rsidP="00585599">
            <w:pPr>
              <w:spacing w:after="0" w:line="360" w:lineRule="auto"/>
              <w:jc w:val="both"/>
              <w:rPr>
                <w:rFonts w:ascii="Arial" w:hAnsi="Arial" w:cs="Arial"/>
                <w:sz w:val="24"/>
                <w:szCs w:val="24"/>
              </w:rPr>
            </w:pPr>
            <w:r>
              <w:rPr>
                <w:rFonts w:ascii="Arial" w:hAnsi="Arial" w:cs="Arial"/>
                <w:sz w:val="24"/>
                <w:szCs w:val="24"/>
              </w:rPr>
              <w:t>[</w:t>
            </w:r>
            <w:r w:rsidR="00397462">
              <w:rPr>
                <w:rFonts w:ascii="Arial" w:hAnsi="Arial" w:cs="Arial"/>
                <w:sz w:val="24"/>
                <w:szCs w:val="24"/>
              </w:rPr>
              <w:t>31</w:t>
            </w:r>
            <w:r>
              <w:rPr>
                <w:rFonts w:ascii="Arial" w:hAnsi="Arial" w:cs="Arial"/>
                <w:sz w:val="24"/>
                <w:szCs w:val="24"/>
              </w:rPr>
              <w:t xml:space="preserve">]       The </w:t>
            </w:r>
            <w:r w:rsidR="00B41DFD">
              <w:rPr>
                <w:rFonts w:ascii="Arial" w:hAnsi="Arial" w:cs="Arial"/>
                <w:sz w:val="24"/>
                <w:szCs w:val="24"/>
              </w:rPr>
              <w:t>defendant</w:t>
            </w:r>
            <w:r>
              <w:rPr>
                <w:rFonts w:ascii="Arial" w:hAnsi="Arial" w:cs="Arial"/>
                <w:sz w:val="24"/>
                <w:szCs w:val="24"/>
              </w:rPr>
              <w:t>s</w:t>
            </w:r>
            <w:r w:rsidR="00B41DFD">
              <w:rPr>
                <w:rFonts w:ascii="Arial" w:hAnsi="Arial" w:cs="Arial"/>
                <w:sz w:val="24"/>
                <w:szCs w:val="24"/>
              </w:rPr>
              <w:t xml:space="preserve"> contend that </w:t>
            </w:r>
            <w:r>
              <w:rPr>
                <w:rFonts w:ascii="Arial" w:hAnsi="Arial" w:cs="Arial"/>
                <w:sz w:val="24"/>
                <w:szCs w:val="24"/>
              </w:rPr>
              <w:t>the plaintiffs relied on the certificate of balance to claim the amount of N$1 151 977,45 together with interest at the rate of 16</w:t>
            </w:r>
            <w:r w:rsidR="00A33DA8">
              <w:rPr>
                <w:rFonts w:ascii="Arial" w:hAnsi="Arial" w:cs="Arial"/>
                <w:sz w:val="24"/>
                <w:szCs w:val="24"/>
              </w:rPr>
              <w:t xml:space="preserve"> percent </w:t>
            </w:r>
            <w:r>
              <w:rPr>
                <w:rFonts w:ascii="Arial" w:hAnsi="Arial" w:cs="Arial"/>
                <w:sz w:val="24"/>
                <w:szCs w:val="24"/>
              </w:rPr>
              <w:t>per annum calculated from 27 J</w:t>
            </w:r>
            <w:r w:rsidR="007C2DE1">
              <w:rPr>
                <w:rFonts w:ascii="Arial" w:hAnsi="Arial" w:cs="Arial"/>
                <w:sz w:val="24"/>
                <w:szCs w:val="24"/>
              </w:rPr>
              <w:t xml:space="preserve">une 2023, while the said interest rate is not provided for in the loan agreement. </w:t>
            </w:r>
            <w:r w:rsidR="00AA58E2">
              <w:rPr>
                <w:rFonts w:ascii="Arial" w:hAnsi="Arial" w:cs="Arial"/>
                <w:sz w:val="24"/>
                <w:szCs w:val="24"/>
              </w:rPr>
              <w:t xml:space="preserve">Mr Karsten submitted that the loan agreement provides for interest </w:t>
            </w:r>
            <w:r w:rsidR="00367070">
              <w:rPr>
                <w:rFonts w:ascii="Arial" w:hAnsi="Arial" w:cs="Arial"/>
                <w:sz w:val="24"/>
                <w:szCs w:val="24"/>
              </w:rPr>
              <w:t xml:space="preserve">at the rate </w:t>
            </w:r>
            <w:r w:rsidR="00AA58E2">
              <w:rPr>
                <w:rFonts w:ascii="Arial" w:hAnsi="Arial" w:cs="Arial"/>
                <w:sz w:val="24"/>
                <w:szCs w:val="24"/>
              </w:rPr>
              <w:t>of 14</w:t>
            </w:r>
            <w:r w:rsidR="00A33DA8">
              <w:rPr>
                <w:rFonts w:ascii="Arial" w:hAnsi="Arial" w:cs="Arial"/>
                <w:sz w:val="24"/>
                <w:szCs w:val="24"/>
              </w:rPr>
              <w:t xml:space="preserve"> percent</w:t>
            </w:r>
            <w:r w:rsidR="00AA58E2">
              <w:rPr>
                <w:rFonts w:ascii="Arial" w:hAnsi="Arial" w:cs="Arial"/>
                <w:sz w:val="24"/>
                <w:szCs w:val="24"/>
              </w:rPr>
              <w:t xml:space="preserve">. </w:t>
            </w:r>
          </w:p>
          <w:p w:rsidR="00367070" w:rsidRDefault="00367070" w:rsidP="00585599">
            <w:pPr>
              <w:spacing w:after="0" w:line="360" w:lineRule="auto"/>
              <w:jc w:val="both"/>
              <w:rPr>
                <w:rFonts w:ascii="Arial" w:hAnsi="Arial" w:cs="Arial"/>
                <w:sz w:val="24"/>
                <w:szCs w:val="24"/>
              </w:rPr>
            </w:pPr>
          </w:p>
          <w:p w:rsidR="00367070" w:rsidRDefault="00367070" w:rsidP="00585599">
            <w:pPr>
              <w:spacing w:after="0" w:line="360" w:lineRule="auto"/>
              <w:jc w:val="both"/>
              <w:rPr>
                <w:rFonts w:ascii="Arial" w:hAnsi="Arial" w:cs="Arial"/>
                <w:sz w:val="24"/>
                <w:szCs w:val="24"/>
              </w:rPr>
            </w:pPr>
            <w:r>
              <w:rPr>
                <w:rFonts w:ascii="Arial" w:hAnsi="Arial" w:cs="Arial"/>
                <w:sz w:val="24"/>
                <w:szCs w:val="24"/>
              </w:rPr>
              <w:t>[</w:t>
            </w:r>
            <w:r w:rsidR="00397462">
              <w:rPr>
                <w:rFonts w:ascii="Arial" w:hAnsi="Arial" w:cs="Arial"/>
                <w:sz w:val="24"/>
                <w:szCs w:val="24"/>
              </w:rPr>
              <w:t>32</w:t>
            </w:r>
            <w:r>
              <w:rPr>
                <w:rFonts w:ascii="Arial" w:hAnsi="Arial" w:cs="Arial"/>
                <w:sz w:val="24"/>
                <w:szCs w:val="24"/>
              </w:rPr>
              <w:t>]</w:t>
            </w:r>
            <w:r w:rsidR="008B7E41">
              <w:rPr>
                <w:rFonts w:ascii="Arial" w:hAnsi="Arial" w:cs="Arial"/>
                <w:sz w:val="24"/>
                <w:szCs w:val="24"/>
              </w:rPr>
              <w:t xml:space="preserve">       The loan agreement provides for interest to be charged on the loan amount at the initial rate of 14</w:t>
            </w:r>
            <w:r w:rsidR="00A33DA8">
              <w:rPr>
                <w:rFonts w:ascii="Arial" w:hAnsi="Arial" w:cs="Arial"/>
                <w:sz w:val="24"/>
                <w:szCs w:val="24"/>
              </w:rPr>
              <w:t xml:space="preserve"> percent</w:t>
            </w:r>
            <w:r w:rsidR="008B7E41">
              <w:rPr>
                <w:rFonts w:ascii="Arial" w:hAnsi="Arial" w:cs="Arial"/>
                <w:sz w:val="24"/>
                <w:szCs w:val="24"/>
              </w:rPr>
              <w:t xml:space="preserve"> and the prima overdraft interest rate of 3,5</w:t>
            </w:r>
            <w:r w:rsidR="00A33DA8">
              <w:rPr>
                <w:rFonts w:ascii="Arial" w:hAnsi="Arial" w:cs="Arial"/>
                <w:sz w:val="24"/>
                <w:szCs w:val="24"/>
              </w:rPr>
              <w:t xml:space="preserve"> percent. This </w:t>
            </w:r>
            <w:r w:rsidR="008B7E41">
              <w:rPr>
                <w:rFonts w:ascii="Arial" w:hAnsi="Arial" w:cs="Arial"/>
                <w:sz w:val="24"/>
                <w:szCs w:val="24"/>
              </w:rPr>
              <w:t>appears to be different from 16</w:t>
            </w:r>
            <w:r w:rsidR="00A33DA8">
              <w:rPr>
                <w:rFonts w:ascii="Arial" w:hAnsi="Arial" w:cs="Arial"/>
                <w:sz w:val="24"/>
                <w:szCs w:val="24"/>
              </w:rPr>
              <w:t xml:space="preserve"> percent </w:t>
            </w:r>
            <w:r w:rsidR="008B7E41">
              <w:rPr>
                <w:rFonts w:ascii="Arial" w:hAnsi="Arial" w:cs="Arial"/>
                <w:sz w:val="24"/>
                <w:szCs w:val="24"/>
              </w:rPr>
              <w:t>interest provided for in the certificate of balance</w:t>
            </w:r>
            <w:r w:rsidR="008957FA">
              <w:rPr>
                <w:rFonts w:ascii="Arial" w:hAnsi="Arial" w:cs="Arial"/>
                <w:sz w:val="24"/>
                <w:szCs w:val="24"/>
              </w:rPr>
              <w:t xml:space="preserve">. </w:t>
            </w:r>
            <w:r w:rsidR="00F232E4">
              <w:rPr>
                <w:rFonts w:ascii="Arial" w:hAnsi="Arial" w:cs="Arial"/>
                <w:sz w:val="24"/>
                <w:szCs w:val="24"/>
              </w:rPr>
              <w:t xml:space="preserve">Questions are, therefore, raised regarding the correctness of the certificate of balance. </w:t>
            </w:r>
            <w:r w:rsidR="002205A9">
              <w:rPr>
                <w:rFonts w:ascii="Arial" w:hAnsi="Arial" w:cs="Arial"/>
                <w:sz w:val="24"/>
                <w:szCs w:val="24"/>
              </w:rPr>
              <w:t>I hold the view, on this basis, that the defendants did not make bare averments in disputing the correctness of the certificate of balance but lai</w:t>
            </w:r>
            <w:r w:rsidR="00855C39">
              <w:rPr>
                <w:rFonts w:ascii="Arial" w:hAnsi="Arial" w:cs="Arial"/>
                <w:sz w:val="24"/>
                <w:szCs w:val="24"/>
              </w:rPr>
              <w:t xml:space="preserve">d a basis for such challenge. </w:t>
            </w:r>
          </w:p>
          <w:p w:rsidR="00855C39" w:rsidRDefault="00855C39" w:rsidP="00585599">
            <w:pPr>
              <w:spacing w:after="0" w:line="360" w:lineRule="auto"/>
              <w:jc w:val="both"/>
              <w:rPr>
                <w:rFonts w:ascii="Arial" w:hAnsi="Arial" w:cs="Arial"/>
                <w:sz w:val="24"/>
                <w:szCs w:val="24"/>
              </w:rPr>
            </w:pPr>
          </w:p>
          <w:p w:rsidR="007D6B3E" w:rsidRDefault="00801151" w:rsidP="00585599">
            <w:pPr>
              <w:spacing w:after="0" w:line="360" w:lineRule="auto"/>
              <w:jc w:val="both"/>
              <w:rPr>
                <w:rFonts w:ascii="Arial" w:hAnsi="Arial" w:cs="Arial"/>
                <w:sz w:val="24"/>
                <w:szCs w:val="24"/>
              </w:rPr>
            </w:pPr>
            <w:r>
              <w:rPr>
                <w:rFonts w:ascii="Arial" w:hAnsi="Arial" w:cs="Arial"/>
                <w:sz w:val="24"/>
                <w:szCs w:val="24"/>
              </w:rPr>
              <w:t>[</w:t>
            </w:r>
            <w:r w:rsidR="00397462">
              <w:rPr>
                <w:rFonts w:ascii="Arial" w:hAnsi="Arial" w:cs="Arial"/>
                <w:sz w:val="24"/>
                <w:szCs w:val="24"/>
              </w:rPr>
              <w:t>33</w:t>
            </w:r>
            <w:r>
              <w:rPr>
                <w:rFonts w:ascii="Arial" w:hAnsi="Arial" w:cs="Arial"/>
                <w:sz w:val="24"/>
                <w:szCs w:val="24"/>
              </w:rPr>
              <w:t xml:space="preserve">]      </w:t>
            </w:r>
            <w:r w:rsidR="001F1942">
              <w:rPr>
                <w:rFonts w:ascii="Arial" w:hAnsi="Arial" w:cs="Arial"/>
                <w:sz w:val="24"/>
                <w:szCs w:val="24"/>
              </w:rPr>
              <w:t xml:space="preserve">When further challenged that the amount on the certificate of balance and the statement of the loan account differs materially, Ms Griffiths submitted in oral argument that the difference was not material as it only amounted to about N$10 000. </w:t>
            </w:r>
            <w:r w:rsidR="00642456">
              <w:rPr>
                <w:rFonts w:ascii="Arial" w:hAnsi="Arial" w:cs="Arial"/>
                <w:sz w:val="24"/>
                <w:szCs w:val="24"/>
              </w:rPr>
              <w:t xml:space="preserve">I find that the said difference of about N$10 000 in the statement of the loan account prepared by the plaintiff and the certificate of balance prepared by the plaintiff, is too much of a difference to be wished away. </w:t>
            </w:r>
            <w:r w:rsidR="00A317ED">
              <w:rPr>
                <w:rFonts w:ascii="Arial" w:hAnsi="Arial" w:cs="Arial"/>
                <w:sz w:val="24"/>
                <w:szCs w:val="24"/>
              </w:rPr>
              <w:t>I</w:t>
            </w:r>
            <w:r w:rsidR="002E081C">
              <w:rPr>
                <w:rFonts w:ascii="Arial" w:hAnsi="Arial" w:cs="Arial"/>
                <w:sz w:val="24"/>
                <w:szCs w:val="24"/>
              </w:rPr>
              <w:t xml:space="preserve">, therefore, find on the basis of the above conclusions that the plaintiff’s papers are not technically correct. </w:t>
            </w:r>
          </w:p>
          <w:p w:rsidR="007D6B3E" w:rsidRDefault="007D6B3E" w:rsidP="00585599">
            <w:pPr>
              <w:spacing w:after="0" w:line="360" w:lineRule="auto"/>
              <w:jc w:val="both"/>
              <w:rPr>
                <w:rFonts w:ascii="Arial" w:hAnsi="Arial" w:cs="Arial"/>
                <w:sz w:val="24"/>
                <w:szCs w:val="24"/>
              </w:rPr>
            </w:pPr>
          </w:p>
          <w:p w:rsidR="00A123F2" w:rsidRDefault="00A123F2" w:rsidP="00585599">
            <w:pPr>
              <w:spacing w:after="0" w:line="360" w:lineRule="auto"/>
              <w:jc w:val="both"/>
              <w:rPr>
                <w:rFonts w:ascii="Arial" w:hAnsi="Arial" w:cs="Arial"/>
                <w:sz w:val="24"/>
                <w:szCs w:val="24"/>
              </w:rPr>
            </w:pPr>
          </w:p>
          <w:p w:rsidR="005B3D19" w:rsidRDefault="007D6B3E" w:rsidP="00585599">
            <w:pPr>
              <w:spacing w:after="0" w:line="360" w:lineRule="auto"/>
              <w:jc w:val="both"/>
              <w:rPr>
                <w:rFonts w:ascii="Arial" w:hAnsi="Arial" w:cs="Arial"/>
                <w:sz w:val="24"/>
                <w:szCs w:val="24"/>
              </w:rPr>
            </w:pPr>
            <w:r>
              <w:rPr>
                <w:rFonts w:ascii="Arial" w:hAnsi="Arial" w:cs="Arial"/>
                <w:sz w:val="24"/>
                <w:szCs w:val="24"/>
              </w:rPr>
              <w:t>[</w:t>
            </w:r>
            <w:r w:rsidR="00397462">
              <w:rPr>
                <w:rFonts w:ascii="Arial" w:hAnsi="Arial" w:cs="Arial"/>
                <w:sz w:val="24"/>
                <w:szCs w:val="24"/>
              </w:rPr>
              <w:t>34</w:t>
            </w:r>
            <w:r>
              <w:rPr>
                <w:rFonts w:ascii="Arial" w:hAnsi="Arial" w:cs="Arial"/>
                <w:sz w:val="24"/>
                <w:szCs w:val="24"/>
              </w:rPr>
              <w:t>]</w:t>
            </w:r>
            <w:r w:rsidR="00BF29C1">
              <w:rPr>
                <w:rFonts w:ascii="Arial" w:hAnsi="Arial" w:cs="Arial"/>
                <w:sz w:val="24"/>
                <w:szCs w:val="24"/>
              </w:rPr>
              <w:t xml:space="preserve">       </w:t>
            </w:r>
            <w:r w:rsidR="005B3D19">
              <w:rPr>
                <w:rFonts w:ascii="Arial" w:hAnsi="Arial" w:cs="Arial"/>
                <w:sz w:val="24"/>
                <w:szCs w:val="24"/>
              </w:rPr>
              <w:t xml:space="preserve">This court in </w:t>
            </w:r>
            <w:r w:rsidR="00A33DA8">
              <w:rPr>
                <w:rFonts w:ascii="Arial" w:hAnsi="Arial" w:cs="Arial"/>
                <w:i/>
                <w:sz w:val="24"/>
                <w:szCs w:val="24"/>
              </w:rPr>
              <w:t xml:space="preserve">Marenga </w:t>
            </w:r>
            <w:r w:rsidR="005B3D19" w:rsidRPr="00431646">
              <w:rPr>
                <w:rFonts w:ascii="Arial" w:hAnsi="Arial" w:cs="Arial"/>
                <w:i/>
                <w:sz w:val="24"/>
                <w:szCs w:val="24"/>
              </w:rPr>
              <w:t>and Another v Tjikar</w:t>
            </w:r>
            <w:r w:rsidR="00431646">
              <w:rPr>
                <w:rStyle w:val="FootnoteReference"/>
                <w:rFonts w:ascii="Arial" w:hAnsi="Arial" w:cs="Arial"/>
                <w:i/>
                <w:sz w:val="24"/>
                <w:szCs w:val="24"/>
              </w:rPr>
              <w:footnoteReference w:id="2"/>
            </w:r>
            <w:r w:rsidR="005B3D19">
              <w:rPr>
                <w:rFonts w:ascii="Arial" w:hAnsi="Arial" w:cs="Arial"/>
                <w:sz w:val="24"/>
                <w:szCs w:val="24"/>
              </w:rPr>
              <w:t xml:space="preserve"> remarked as follows:</w:t>
            </w:r>
          </w:p>
          <w:p w:rsidR="005B3D19" w:rsidRDefault="005B3D19" w:rsidP="00585599">
            <w:pPr>
              <w:spacing w:after="0" w:line="360" w:lineRule="auto"/>
              <w:jc w:val="both"/>
              <w:rPr>
                <w:rFonts w:ascii="Arial" w:hAnsi="Arial" w:cs="Arial"/>
                <w:sz w:val="24"/>
                <w:szCs w:val="24"/>
              </w:rPr>
            </w:pPr>
          </w:p>
          <w:p w:rsidR="00855C39" w:rsidRPr="005B3D19" w:rsidRDefault="005B3D19" w:rsidP="00585599">
            <w:pPr>
              <w:spacing w:after="0" w:line="360" w:lineRule="auto"/>
              <w:jc w:val="both"/>
              <w:rPr>
                <w:rFonts w:ascii="Arial" w:hAnsi="Arial" w:cs="Arial"/>
              </w:rPr>
            </w:pPr>
            <w:r w:rsidRPr="005B3D19">
              <w:rPr>
                <w:rFonts w:ascii="Arial" w:hAnsi="Arial" w:cs="Arial"/>
              </w:rPr>
              <w:t xml:space="preserve">         ‘[1</w:t>
            </w:r>
            <w:r w:rsidRPr="005B3D19">
              <w:rPr>
                <w:rFonts w:ascii="Arial" w:hAnsi="Arial" w:cs="Arial"/>
                <w:color w:val="242121"/>
                <w:shd w:val="clear" w:color="auto" w:fill="FFFFFF"/>
              </w:rPr>
              <w:t>0] </w:t>
            </w:r>
            <w:r w:rsidRPr="005B3D19">
              <w:rPr>
                <w:rFonts w:ascii="Arial" w:hAnsi="Arial" w:cs="Arial"/>
                <w:i/>
                <w:iCs/>
                <w:color w:val="242121"/>
                <w:shd w:val="clear" w:color="auto" w:fill="FFFFFF"/>
              </w:rPr>
              <w:t>(iv)</w:t>
            </w:r>
            <w:r w:rsidRPr="005B3D19">
              <w:rPr>
                <w:rFonts w:ascii="Arial" w:hAnsi="Arial" w:cs="Arial"/>
                <w:color w:val="242121"/>
                <w:shd w:val="clear" w:color="auto" w:fill="FFFFFF"/>
              </w:rPr>
              <w:t> </w:t>
            </w:r>
            <w:r w:rsidRPr="005B3D19">
              <w:rPr>
                <w:rFonts w:ascii="Arial" w:hAnsi="Arial" w:cs="Arial"/>
                <w:iCs/>
                <w:color w:val="242121"/>
                <w:shd w:val="clear" w:color="auto" w:fill="FFFFFF"/>
              </w:rPr>
              <w:t>In determining a summary judgment application the court is restricted to the manner in which the Plaintiff has presented its case. </w:t>
            </w:r>
            <w:r w:rsidRPr="005B3D19">
              <w:rPr>
                <w:rFonts w:ascii="Arial" w:hAnsi="Arial" w:cs="Arial"/>
                <w:color w:val="242121"/>
                <w:shd w:val="clear" w:color="auto" w:fill="FFFFFF"/>
              </w:rPr>
              <w:t>It is trite that a court must insist on strict compliance with the Rule by a Plaintiff. To this extent a Plaintiff is bound by the manner in which it has presented its case and a court will not entertain an application for summary judgment moved on technically incorrect papers. </w:t>
            </w:r>
            <w:r w:rsidRPr="005B3D19">
              <w:rPr>
                <w:rFonts w:ascii="Arial" w:hAnsi="Arial" w:cs="Arial"/>
                <w:i/>
                <w:iCs/>
                <w:color w:val="242121"/>
                <w:shd w:val="clear" w:color="auto" w:fill="FFFFFF"/>
              </w:rPr>
              <w:t>(Western Bank Beperk v De Beer, </w:t>
            </w:r>
            <w:hyperlink r:id="rId12" w:tooltip="View LawCiteRecord" w:history="1">
              <w:r w:rsidRPr="005B3D19">
                <w:rPr>
                  <w:rStyle w:val="Hyperlink"/>
                  <w:rFonts w:ascii="Arial" w:hAnsi="Arial" w:cs="Arial"/>
                  <w:b/>
                  <w:bCs/>
                  <w:color w:val="0B4B0B"/>
                  <w:shd w:val="clear" w:color="auto" w:fill="FFFFFF"/>
                </w:rPr>
                <w:t>1975 (3) SA 772</w:t>
              </w:r>
            </w:hyperlink>
            <w:r w:rsidRPr="005B3D19">
              <w:rPr>
                <w:rFonts w:ascii="Arial" w:hAnsi="Arial" w:cs="Arial"/>
                <w:i/>
                <w:iCs/>
                <w:color w:val="242121"/>
                <w:shd w:val="clear" w:color="auto" w:fill="FFFFFF"/>
              </w:rPr>
              <w:t> (T); Credcor Bank v Thompson, </w:t>
            </w:r>
            <w:hyperlink r:id="rId13" w:tooltip="View LawCiteRecord" w:history="1">
              <w:r w:rsidRPr="005B3D19">
                <w:rPr>
                  <w:rStyle w:val="Hyperlink"/>
                  <w:rFonts w:ascii="Arial" w:hAnsi="Arial" w:cs="Arial"/>
                  <w:b/>
                  <w:bCs/>
                  <w:color w:val="0B4B0B"/>
                  <w:shd w:val="clear" w:color="auto" w:fill="FFFFFF"/>
                </w:rPr>
                <w:t>1975 (3) SA 916</w:t>
              </w:r>
            </w:hyperlink>
            <w:r w:rsidRPr="005B3D19">
              <w:rPr>
                <w:rFonts w:ascii="Arial" w:hAnsi="Arial" w:cs="Arial"/>
                <w:i/>
                <w:iCs/>
                <w:color w:val="242121"/>
                <w:shd w:val="clear" w:color="auto" w:fill="FFFFFF"/>
              </w:rPr>
              <w:t>; Visser v De La Ray, </w:t>
            </w:r>
            <w:hyperlink r:id="rId14" w:tooltip="View LawCiteRecord" w:history="1">
              <w:r w:rsidRPr="005B3D19">
                <w:rPr>
                  <w:rStyle w:val="Hyperlink"/>
                  <w:rFonts w:ascii="Arial" w:hAnsi="Arial" w:cs="Arial"/>
                  <w:b/>
                  <w:bCs/>
                  <w:color w:val="0B4B0B"/>
                  <w:shd w:val="clear" w:color="auto" w:fill="FFFFFF"/>
                </w:rPr>
                <w:t>1980 (3) SA 147</w:t>
              </w:r>
            </w:hyperlink>
            <w:r w:rsidRPr="005B3D19">
              <w:rPr>
                <w:rFonts w:ascii="Arial" w:hAnsi="Arial" w:cs="Arial"/>
                <w:i/>
                <w:iCs/>
                <w:color w:val="242121"/>
                <w:shd w:val="clear" w:color="auto" w:fill="FFFFFF"/>
              </w:rPr>
              <w:t> (T)’</w:t>
            </w:r>
            <w:r w:rsidR="00A317ED" w:rsidRPr="005B3D19">
              <w:rPr>
                <w:rFonts w:ascii="Arial" w:hAnsi="Arial" w:cs="Arial"/>
              </w:rPr>
              <w:t xml:space="preserve"> </w:t>
            </w:r>
          </w:p>
          <w:p w:rsidR="00585599" w:rsidRDefault="00585599" w:rsidP="00585599">
            <w:pPr>
              <w:spacing w:after="0" w:line="360" w:lineRule="auto"/>
              <w:jc w:val="both"/>
              <w:rPr>
                <w:rFonts w:ascii="Arial" w:hAnsi="Arial" w:cs="Arial"/>
                <w:sz w:val="24"/>
                <w:szCs w:val="24"/>
              </w:rPr>
            </w:pPr>
          </w:p>
          <w:p w:rsidR="00D8319E" w:rsidRDefault="005D07A1" w:rsidP="00D8319E">
            <w:pPr>
              <w:spacing w:after="0" w:line="360" w:lineRule="auto"/>
              <w:jc w:val="both"/>
              <w:rPr>
                <w:rFonts w:ascii="Arial" w:hAnsi="Arial" w:cs="Arial"/>
                <w:sz w:val="24"/>
                <w:szCs w:val="24"/>
              </w:rPr>
            </w:pPr>
            <w:r>
              <w:rPr>
                <w:rFonts w:ascii="Arial" w:hAnsi="Arial" w:cs="Arial"/>
                <w:sz w:val="24"/>
                <w:szCs w:val="24"/>
              </w:rPr>
              <w:t>[</w:t>
            </w:r>
            <w:r w:rsidR="00203321">
              <w:rPr>
                <w:rFonts w:ascii="Arial" w:hAnsi="Arial" w:cs="Arial"/>
                <w:sz w:val="24"/>
                <w:szCs w:val="24"/>
              </w:rPr>
              <w:t>35</w:t>
            </w:r>
            <w:r>
              <w:rPr>
                <w:rFonts w:ascii="Arial" w:hAnsi="Arial" w:cs="Arial"/>
                <w:sz w:val="24"/>
                <w:szCs w:val="24"/>
              </w:rPr>
              <w:t xml:space="preserve">]     </w:t>
            </w:r>
            <w:r w:rsidR="00D8319E">
              <w:rPr>
                <w:rFonts w:ascii="Arial" w:hAnsi="Arial" w:cs="Arial"/>
                <w:sz w:val="24"/>
                <w:szCs w:val="24"/>
              </w:rPr>
              <w:t>I find that the challenge to the</w:t>
            </w:r>
            <w:r w:rsidR="00A33DA8">
              <w:rPr>
                <w:rFonts w:ascii="Arial" w:hAnsi="Arial" w:cs="Arial"/>
                <w:sz w:val="24"/>
                <w:szCs w:val="24"/>
              </w:rPr>
              <w:t xml:space="preserve"> correctness of the certificate</w:t>
            </w:r>
            <w:r w:rsidR="00D8319E">
              <w:rPr>
                <w:rFonts w:ascii="Arial" w:hAnsi="Arial" w:cs="Arial"/>
                <w:sz w:val="24"/>
                <w:szCs w:val="24"/>
              </w:rPr>
              <w:t xml:space="preserve"> of balance  referred to above  demonstrates the existence of a foundation on which the </w:t>
            </w:r>
            <w:r w:rsidR="00D8319E" w:rsidRPr="00D8319E">
              <w:rPr>
                <w:rFonts w:ascii="Arial" w:hAnsi="Arial" w:cs="Arial"/>
                <w:i/>
                <w:sz w:val="24"/>
                <w:szCs w:val="24"/>
              </w:rPr>
              <w:t>prima facie</w:t>
            </w:r>
            <w:r w:rsidR="00D8319E">
              <w:rPr>
                <w:rFonts w:ascii="Arial" w:hAnsi="Arial" w:cs="Arial"/>
                <w:sz w:val="24"/>
                <w:szCs w:val="24"/>
              </w:rPr>
              <w:t xml:space="preserve"> proof of the certificate of balance is questionable.</w:t>
            </w:r>
            <w:r w:rsidR="00585599" w:rsidRPr="00585599">
              <w:rPr>
                <w:rFonts w:ascii="Arial" w:hAnsi="Arial" w:cs="Arial"/>
                <w:sz w:val="24"/>
                <w:szCs w:val="24"/>
              </w:rPr>
              <w:t xml:space="preserve"> </w:t>
            </w:r>
            <w:r w:rsidR="00D8319E">
              <w:rPr>
                <w:rFonts w:ascii="Arial" w:hAnsi="Arial" w:cs="Arial"/>
                <w:sz w:val="24"/>
                <w:szCs w:val="24"/>
              </w:rPr>
              <w:t xml:space="preserve">On this basis, it cannot be said that no bona fide defence is raised by the defendants. </w:t>
            </w:r>
          </w:p>
          <w:p w:rsidR="00D8319E" w:rsidRDefault="00D8319E" w:rsidP="00D8319E">
            <w:pPr>
              <w:spacing w:after="0" w:line="360" w:lineRule="auto"/>
              <w:jc w:val="both"/>
              <w:rPr>
                <w:rFonts w:ascii="Arial" w:hAnsi="Arial" w:cs="Arial"/>
                <w:sz w:val="24"/>
                <w:szCs w:val="24"/>
              </w:rPr>
            </w:pPr>
          </w:p>
          <w:p w:rsidR="003818E2" w:rsidRPr="003818E2" w:rsidRDefault="00585599" w:rsidP="003818E2">
            <w:pPr>
              <w:spacing w:after="0" w:line="360" w:lineRule="auto"/>
              <w:jc w:val="both"/>
              <w:rPr>
                <w:rFonts w:ascii="Arial" w:eastAsia="Calibri" w:hAnsi="Arial" w:cs="Arial"/>
                <w:sz w:val="24"/>
                <w:szCs w:val="24"/>
                <w:u w:val="single"/>
                <w:lang w:val="en-ZA"/>
              </w:rPr>
            </w:pPr>
            <w:r w:rsidRPr="00585599">
              <w:rPr>
                <w:rFonts w:ascii="Arial" w:hAnsi="Arial" w:cs="Arial"/>
                <w:sz w:val="24"/>
                <w:szCs w:val="24"/>
              </w:rPr>
              <w:t xml:space="preserve"> </w:t>
            </w:r>
            <w:r w:rsidR="003818E2" w:rsidRPr="003818E2">
              <w:rPr>
                <w:rFonts w:ascii="Arial" w:eastAsia="Calibri" w:hAnsi="Arial" w:cs="Arial"/>
                <w:sz w:val="24"/>
                <w:szCs w:val="24"/>
                <w:u w:val="single"/>
                <w:lang w:val="en-ZA"/>
              </w:rPr>
              <w:t>Conclusion</w:t>
            </w:r>
          </w:p>
          <w:p w:rsidR="003818E2" w:rsidRPr="003818E2" w:rsidRDefault="003818E2" w:rsidP="003818E2">
            <w:pPr>
              <w:spacing w:after="0" w:line="360" w:lineRule="auto"/>
              <w:jc w:val="both"/>
              <w:rPr>
                <w:rFonts w:ascii="Arial" w:eastAsia="Calibri" w:hAnsi="Arial" w:cs="Arial"/>
                <w:sz w:val="24"/>
                <w:szCs w:val="24"/>
                <w:lang w:val="en-ZA"/>
              </w:rPr>
            </w:pPr>
          </w:p>
          <w:p w:rsidR="003818E2" w:rsidRPr="003818E2" w:rsidRDefault="003818E2" w:rsidP="003818E2">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w:t>
            </w:r>
            <w:r w:rsidR="00203321">
              <w:rPr>
                <w:rFonts w:ascii="Arial" w:eastAsia="Calibri" w:hAnsi="Arial" w:cs="Arial"/>
                <w:sz w:val="24"/>
                <w:szCs w:val="24"/>
                <w:lang w:val="en-ZA"/>
              </w:rPr>
              <w:t>36</w:t>
            </w:r>
            <w:r w:rsidRPr="003818E2">
              <w:rPr>
                <w:rFonts w:ascii="Arial" w:eastAsia="Calibri" w:hAnsi="Arial" w:cs="Arial"/>
                <w:sz w:val="24"/>
                <w:szCs w:val="24"/>
                <w:lang w:val="en-ZA"/>
              </w:rPr>
              <w:t xml:space="preserve">]      In view of the findings and conclusions </w:t>
            </w:r>
            <w:r w:rsidR="00514DA1">
              <w:rPr>
                <w:rFonts w:ascii="Arial" w:eastAsia="Calibri" w:hAnsi="Arial" w:cs="Arial"/>
                <w:sz w:val="24"/>
                <w:szCs w:val="24"/>
                <w:lang w:val="en-ZA"/>
              </w:rPr>
              <w:t xml:space="preserve">made hereinabove, </w:t>
            </w:r>
            <w:r w:rsidRPr="003818E2">
              <w:rPr>
                <w:rFonts w:ascii="Arial" w:eastAsia="Calibri" w:hAnsi="Arial" w:cs="Arial"/>
                <w:sz w:val="24"/>
                <w:szCs w:val="24"/>
                <w:lang w:val="en-ZA"/>
              </w:rPr>
              <w:t xml:space="preserve">I find that the </w:t>
            </w:r>
            <w:r w:rsidR="00514DA1">
              <w:rPr>
                <w:rFonts w:ascii="Arial" w:eastAsia="Calibri" w:hAnsi="Arial" w:cs="Arial"/>
                <w:sz w:val="24"/>
                <w:szCs w:val="24"/>
                <w:lang w:val="en-ZA"/>
              </w:rPr>
              <w:t xml:space="preserve">papers in the applicant’s application are not technically correct. I further find that the </w:t>
            </w:r>
            <w:r w:rsidR="004B0F4F">
              <w:rPr>
                <w:rFonts w:ascii="Arial" w:eastAsia="Calibri" w:hAnsi="Arial" w:cs="Arial"/>
                <w:sz w:val="24"/>
                <w:szCs w:val="24"/>
                <w:lang w:val="en-ZA"/>
              </w:rPr>
              <w:t>defe</w:t>
            </w:r>
            <w:r w:rsidRPr="003818E2">
              <w:rPr>
                <w:rFonts w:ascii="Arial" w:eastAsia="Calibri" w:hAnsi="Arial" w:cs="Arial"/>
                <w:sz w:val="24"/>
                <w:szCs w:val="24"/>
                <w:lang w:val="en-ZA"/>
              </w:rPr>
              <w:t>ndant</w:t>
            </w:r>
            <w:r w:rsidR="00514DA1">
              <w:rPr>
                <w:rFonts w:ascii="Arial" w:eastAsia="Calibri" w:hAnsi="Arial" w:cs="Arial"/>
                <w:sz w:val="24"/>
                <w:szCs w:val="24"/>
                <w:lang w:val="en-ZA"/>
              </w:rPr>
              <w:t>s</w:t>
            </w:r>
            <w:r w:rsidR="004B0F4F">
              <w:rPr>
                <w:rFonts w:ascii="Arial" w:eastAsia="Calibri" w:hAnsi="Arial" w:cs="Arial"/>
                <w:sz w:val="24"/>
                <w:szCs w:val="24"/>
                <w:lang w:val="en-ZA"/>
              </w:rPr>
              <w:t xml:space="preserve">, as a result, managed to ward-off the </w:t>
            </w:r>
            <w:r w:rsidR="00035C33">
              <w:rPr>
                <w:rFonts w:ascii="Arial" w:eastAsia="Calibri" w:hAnsi="Arial" w:cs="Arial"/>
                <w:sz w:val="24"/>
                <w:szCs w:val="24"/>
                <w:lang w:val="en-ZA"/>
              </w:rPr>
              <w:t>plaintiff</w:t>
            </w:r>
            <w:r w:rsidR="004B0F4F">
              <w:rPr>
                <w:rFonts w:ascii="Arial" w:eastAsia="Calibri" w:hAnsi="Arial" w:cs="Arial"/>
                <w:sz w:val="24"/>
                <w:szCs w:val="24"/>
                <w:lang w:val="en-ZA"/>
              </w:rPr>
              <w:t>’</w:t>
            </w:r>
            <w:r w:rsidR="00035C33">
              <w:rPr>
                <w:rFonts w:ascii="Arial" w:eastAsia="Calibri" w:hAnsi="Arial" w:cs="Arial"/>
                <w:sz w:val="24"/>
                <w:szCs w:val="24"/>
                <w:lang w:val="en-ZA"/>
              </w:rPr>
              <w:t xml:space="preserve">s </w:t>
            </w:r>
            <w:r w:rsidR="00514DA1">
              <w:rPr>
                <w:rFonts w:ascii="Arial" w:eastAsia="Calibri" w:hAnsi="Arial" w:cs="Arial"/>
                <w:sz w:val="24"/>
                <w:szCs w:val="24"/>
                <w:lang w:val="en-ZA"/>
              </w:rPr>
              <w:t xml:space="preserve">application for summary judgment. Resultantly, and </w:t>
            </w:r>
            <w:r w:rsidR="00E06EB3">
              <w:rPr>
                <w:rFonts w:ascii="Arial" w:eastAsia="Calibri" w:hAnsi="Arial" w:cs="Arial"/>
                <w:sz w:val="24"/>
                <w:szCs w:val="24"/>
                <w:lang w:val="en-ZA"/>
              </w:rPr>
              <w:t xml:space="preserve">in the exercise of my judicial discretion, I find that the application </w:t>
            </w:r>
            <w:r w:rsidR="00514DA1">
              <w:rPr>
                <w:rFonts w:ascii="Arial" w:eastAsia="Calibri" w:hAnsi="Arial" w:cs="Arial"/>
                <w:sz w:val="24"/>
                <w:szCs w:val="24"/>
                <w:lang w:val="en-ZA"/>
              </w:rPr>
              <w:t xml:space="preserve">for summary judgment ought to be refused. </w:t>
            </w:r>
            <w:r w:rsidRPr="003818E2">
              <w:rPr>
                <w:rFonts w:ascii="Arial" w:eastAsia="Calibri" w:hAnsi="Arial" w:cs="Arial"/>
                <w:sz w:val="24"/>
                <w:szCs w:val="24"/>
                <w:lang w:val="en-ZA"/>
              </w:rPr>
              <w:t xml:space="preserve"> </w:t>
            </w:r>
          </w:p>
          <w:p w:rsidR="003818E2" w:rsidRPr="003818E2" w:rsidRDefault="003818E2" w:rsidP="003818E2">
            <w:pPr>
              <w:spacing w:after="0" w:line="360" w:lineRule="auto"/>
              <w:jc w:val="both"/>
              <w:rPr>
                <w:rFonts w:ascii="Arial" w:eastAsia="Calibri" w:hAnsi="Arial" w:cs="Arial"/>
                <w:sz w:val="24"/>
                <w:szCs w:val="24"/>
                <w:u w:val="single"/>
                <w:lang w:val="en-ZA"/>
              </w:rPr>
            </w:pPr>
          </w:p>
          <w:p w:rsidR="003818E2" w:rsidRPr="003818E2" w:rsidRDefault="003818E2" w:rsidP="003818E2">
            <w:pPr>
              <w:spacing w:after="0" w:line="360" w:lineRule="auto"/>
              <w:jc w:val="both"/>
              <w:rPr>
                <w:rFonts w:ascii="Arial" w:eastAsia="Calibri" w:hAnsi="Arial" w:cs="Arial"/>
                <w:sz w:val="24"/>
                <w:szCs w:val="24"/>
                <w:u w:val="single"/>
                <w:lang w:val="en-ZA"/>
              </w:rPr>
            </w:pPr>
            <w:r w:rsidRPr="003818E2">
              <w:rPr>
                <w:rFonts w:ascii="Arial" w:eastAsia="Calibri" w:hAnsi="Arial" w:cs="Arial"/>
                <w:sz w:val="24"/>
                <w:szCs w:val="24"/>
                <w:u w:val="single"/>
                <w:lang w:val="en-ZA"/>
              </w:rPr>
              <w:t>Costs</w:t>
            </w:r>
          </w:p>
          <w:p w:rsidR="003818E2" w:rsidRPr="003818E2" w:rsidRDefault="003818E2" w:rsidP="003818E2">
            <w:pPr>
              <w:spacing w:after="0" w:line="360" w:lineRule="auto"/>
              <w:jc w:val="both"/>
              <w:rPr>
                <w:rFonts w:ascii="Arial" w:eastAsia="Calibri" w:hAnsi="Arial" w:cs="Arial"/>
                <w:sz w:val="24"/>
                <w:szCs w:val="24"/>
                <w:lang w:val="en-ZA"/>
              </w:rPr>
            </w:pPr>
          </w:p>
          <w:p w:rsidR="003818E2" w:rsidRPr="003818E2" w:rsidRDefault="003818E2" w:rsidP="003818E2">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w:t>
            </w:r>
            <w:r w:rsidR="00203321">
              <w:rPr>
                <w:rFonts w:ascii="Arial" w:eastAsia="Calibri" w:hAnsi="Arial" w:cs="Arial"/>
                <w:sz w:val="24"/>
                <w:szCs w:val="24"/>
                <w:lang w:val="en-ZA"/>
              </w:rPr>
              <w:t>37</w:t>
            </w:r>
            <w:r w:rsidRPr="003818E2">
              <w:rPr>
                <w:rFonts w:ascii="Arial" w:eastAsia="Calibri" w:hAnsi="Arial" w:cs="Arial"/>
                <w:sz w:val="24"/>
                <w:szCs w:val="24"/>
                <w:lang w:val="en-ZA"/>
              </w:rPr>
              <w:t xml:space="preserve">]    It is </w:t>
            </w:r>
            <w:r w:rsidR="001A1D91">
              <w:rPr>
                <w:rFonts w:ascii="Arial" w:eastAsia="Calibri" w:hAnsi="Arial" w:cs="Arial"/>
                <w:sz w:val="24"/>
                <w:szCs w:val="24"/>
                <w:lang w:val="en-ZA"/>
              </w:rPr>
              <w:t xml:space="preserve">well-established </w:t>
            </w:r>
            <w:r w:rsidRPr="003818E2">
              <w:rPr>
                <w:rFonts w:ascii="Arial" w:eastAsia="Calibri" w:hAnsi="Arial" w:cs="Arial"/>
                <w:sz w:val="24"/>
                <w:szCs w:val="24"/>
                <w:lang w:val="en-ZA"/>
              </w:rPr>
              <w:t>l</w:t>
            </w:r>
            <w:r w:rsidR="001A1D91">
              <w:rPr>
                <w:rFonts w:ascii="Arial" w:eastAsia="Calibri" w:hAnsi="Arial" w:cs="Arial"/>
                <w:sz w:val="24"/>
                <w:szCs w:val="24"/>
                <w:lang w:val="en-ZA"/>
              </w:rPr>
              <w:t xml:space="preserve">aw that costs follow the result.  The contrary was not argued, neither could I deduce same from the documents filed of record. </w:t>
            </w:r>
            <w:r w:rsidR="005035CD">
              <w:rPr>
                <w:rFonts w:ascii="Arial" w:eastAsia="Calibri" w:hAnsi="Arial" w:cs="Arial"/>
                <w:sz w:val="24"/>
                <w:szCs w:val="24"/>
                <w:lang w:val="en-ZA"/>
              </w:rPr>
              <w:t>The defendant</w:t>
            </w:r>
            <w:r w:rsidRPr="003818E2">
              <w:rPr>
                <w:rFonts w:ascii="Arial" w:eastAsia="Calibri" w:hAnsi="Arial" w:cs="Arial"/>
                <w:sz w:val="24"/>
                <w:szCs w:val="24"/>
                <w:lang w:val="en-ZA"/>
              </w:rPr>
              <w:t xml:space="preserve"> will, therefore, be awarded costs. </w:t>
            </w:r>
            <w:r w:rsidR="00D8319E">
              <w:rPr>
                <w:rFonts w:ascii="Arial" w:eastAsia="Calibri" w:hAnsi="Arial" w:cs="Arial"/>
                <w:sz w:val="24"/>
                <w:szCs w:val="24"/>
                <w:lang w:val="en-ZA"/>
              </w:rPr>
              <w:t xml:space="preserve">This ruling is, in my view, interlocutory in nature and, </w:t>
            </w:r>
            <w:r w:rsidR="00A33DA8">
              <w:rPr>
                <w:rFonts w:ascii="Arial" w:eastAsia="Calibri" w:hAnsi="Arial" w:cs="Arial"/>
                <w:sz w:val="24"/>
                <w:szCs w:val="24"/>
                <w:lang w:val="en-ZA"/>
              </w:rPr>
              <w:lastRenderedPageBreak/>
              <w:t xml:space="preserve">therefore, rule 32(11) </w:t>
            </w:r>
            <w:r w:rsidR="00D8319E">
              <w:rPr>
                <w:rFonts w:ascii="Arial" w:eastAsia="Calibri" w:hAnsi="Arial" w:cs="Arial"/>
                <w:sz w:val="24"/>
                <w:szCs w:val="24"/>
                <w:lang w:val="en-ZA"/>
              </w:rPr>
              <w:t>find</w:t>
            </w:r>
            <w:r w:rsidR="00A33DA8">
              <w:rPr>
                <w:rFonts w:ascii="Arial" w:eastAsia="Calibri" w:hAnsi="Arial" w:cs="Arial"/>
                <w:sz w:val="24"/>
                <w:szCs w:val="24"/>
                <w:lang w:val="en-ZA"/>
              </w:rPr>
              <w:t>s</w:t>
            </w:r>
            <w:r w:rsidR="00D8319E">
              <w:rPr>
                <w:rFonts w:ascii="Arial" w:eastAsia="Calibri" w:hAnsi="Arial" w:cs="Arial"/>
                <w:sz w:val="24"/>
                <w:szCs w:val="24"/>
                <w:lang w:val="en-ZA"/>
              </w:rPr>
              <w:t xml:space="preserve"> application</w:t>
            </w:r>
            <w:r w:rsidR="00A33DA8">
              <w:rPr>
                <w:rFonts w:ascii="Arial" w:eastAsia="Calibri" w:hAnsi="Arial" w:cs="Arial"/>
                <w:sz w:val="24"/>
                <w:szCs w:val="24"/>
                <w:lang w:val="en-ZA"/>
              </w:rPr>
              <w:t xml:space="preserve">, unless the court states otherwise. </w:t>
            </w:r>
            <w:r w:rsidR="00D8319E">
              <w:rPr>
                <w:rFonts w:ascii="Arial" w:eastAsia="Calibri" w:hAnsi="Arial" w:cs="Arial"/>
                <w:sz w:val="24"/>
                <w:szCs w:val="24"/>
                <w:lang w:val="en-ZA"/>
              </w:rPr>
              <w:t>Despite the submissions made by Mr Karsten not to invoke the provisions of rule 32(11) in this matter, I am not convinced that a case was made out for the award of costs to exceed the rule 32(11) cap. Resultantly, costs will be subject to rule 32(11).</w:t>
            </w:r>
          </w:p>
          <w:p w:rsidR="003818E2" w:rsidRPr="003818E2" w:rsidRDefault="003818E2" w:rsidP="003818E2">
            <w:pPr>
              <w:spacing w:after="0" w:line="360" w:lineRule="auto"/>
              <w:jc w:val="both"/>
              <w:rPr>
                <w:rFonts w:ascii="Arial" w:eastAsia="Calibri" w:hAnsi="Arial" w:cs="Arial"/>
                <w:sz w:val="24"/>
                <w:szCs w:val="24"/>
                <w:lang w:val="en-ZA"/>
              </w:rPr>
            </w:pPr>
          </w:p>
          <w:p w:rsidR="003818E2" w:rsidRPr="003818E2" w:rsidRDefault="003818E2" w:rsidP="003818E2">
            <w:pPr>
              <w:spacing w:after="0" w:line="360" w:lineRule="auto"/>
              <w:jc w:val="both"/>
              <w:rPr>
                <w:rFonts w:ascii="Arial" w:eastAsia="Calibri" w:hAnsi="Arial" w:cs="Arial"/>
                <w:sz w:val="24"/>
                <w:szCs w:val="24"/>
                <w:u w:val="single"/>
                <w:lang w:val="en-ZA"/>
              </w:rPr>
            </w:pPr>
            <w:r w:rsidRPr="003818E2">
              <w:rPr>
                <w:rFonts w:ascii="Arial" w:eastAsia="Calibri" w:hAnsi="Arial" w:cs="Arial"/>
                <w:sz w:val="24"/>
                <w:szCs w:val="24"/>
                <w:u w:val="single"/>
                <w:lang w:val="en-ZA"/>
              </w:rPr>
              <w:t>Order</w:t>
            </w:r>
          </w:p>
          <w:p w:rsidR="003818E2" w:rsidRPr="003818E2" w:rsidRDefault="003818E2" w:rsidP="003818E2">
            <w:pPr>
              <w:spacing w:after="0" w:line="360" w:lineRule="auto"/>
              <w:jc w:val="both"/>
              <w:rPr>
                <w:rFonts w:ascii="Arial" w:eastAsia="Calibri" w:hAnsi="Arial" w:cs="Arial"/>
                <w:sz w:val="24"/>
                <w:szCs w:val="24"/>
                <w:u w:val="single"/>
                <w:lang w:val="en-ZA"/>
              </w:rPr>
            </w:pPr>
          </w:p>
          <w:p w:rsidR="003818E2" w:rsidRPr="003818E2" w:rsidRDefault="003818E2" w:rsidP="003818E2">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w:t>
            </w:r>
            <w:r w:rsidR="00203321">
              <w:rPr>
                <w:rFonts w:ascii="Arial" w:eastAsia="Calibri" w:hAnsi="Arial" w:cs="Arial"/>
                <w:sz w:val="24"/>
                <w:szCs w:val="24"/>
                <w:lang w:val="en-ZA"/>
              </w:rPr>
              <w:t>38</w:t>
            </w:r>
            <w:r w:rsidRPr="003818E2">
              <w:rPr>
                <w:rFonts w:ascii="Arial" w:eastAsia="Calibri" w:hAnsi="Arial" w:cs="Arial"/>
                <w:sz w:val="24"/>
                <w:szCs w:val="24"/>
                <w:lang w:val="en-ZA"/>
              </w:rPr>
              <w:t xml:space="preserve">]     In the result, judgment is granted in favour of the </w:t>
            </w:r>
            <w:r w:rsidR="00DE6189">
              <w:rPr>
                <w:rFonts w:ascii="Arial" w:eastAsia="Calibri" w:hAnsi="Arial" w:cs="Arial"/>
                <w:sz w:val="24"/>
                <w:szCs w:val="24"/>
                <w:lang w:val="en-ZA"/>
              </w:rPr>
              <w:t>defendant</w:t>
            </w:r>
            <w:r w:rsidRPr="003818E2">
              <w:rPr>
                <w:rFonts w:ascii="Arial" w:eastAsia="Calibri" w:hAnsi="Arial" w:cs="Arial"/>
                <w:sz w:val="24"/>
                <w:szCs w:val="24"/>
                <w:lang w:val="en-ZA"/>
              </w:rPr>
              <w:t xml:space="preserve"> against the </w:t>
            </w:r>
            <w:r w:rsidR="00DE6189">
              <w:rPr>
                <w:rFonts w:ascii="Arial" w:eastAsia="Calibri" w:hAnsi="Arial" w:cs="Arial"/>
                <w:sz w:val="24"/>
                <w:szCs w:val="24"/>
                <w:lang w:val="en-ZA"/>
              </w:rPr>
              <w:t>plaintiffs</w:t>
            </w:r>
            <w:r w:rsidRPr="003818E2">
              <w:rPr>
                <w:rFonts w:ascii="Arial" w:eastAsia="Calibri" w:hAnsi="Arial" w:cs="Arial"/>
                <w:sz w:val="24"/>
                <w:szCs w:val="24"/>
                <w:lang w:val="en-ZA"/>
              </w:rPr>
              <w:t xml:space="preserve"> in the following terms:  </w:t>
            </w:r>
          </w:p>
          <w:p w:rsidR="003818E2" w:rsidRPr="003818E2" w:rsidRDefault="003818E2" w:rsidP="003818E2">
            <w:pPr>
              <w:spacing w:after="0" w:line="360" w:lineRule="auto"/>
              <w:jc w:val="both"/>
              <w:rPr>
                <w:rFonts w:ascii="Arial" w:eastAsia="Calibri" w:hAnsi="Arial" w:cs="Arial"/>
                <w:sz w:val="24"/>
                <w:szCs w:val="24"/>
                <w:lang w:val="en-ZA"/>
              </w:rPr>
            </w:pPr>
          </w:p>
          <w:p w:rsidR="00DD42E3" w:rsidRPr="00DE6189" w:rsidRDefault="00DD42E3" w:rsidP="00DD42E3">
            <w:pPr>
              <w:pStyle w:val="ListParagraph"/>
              <w:numPr>
                <w:ilvl w:val="0"/>
                <w:numId w:val="5"/>
              </w:numPr>
              <w:spacing w:after="0" w:line="360" w:lineRule="auto"/>
              <w:jc w:val="both"/>
              <w:rPr>
                <w:rFonts w:ascii="Arial" w:eastAsia="Calibri" w:hAnsi="Arial" w:cs="Arial"/>
                <w:sz w:val="24"/>
                <w:szCs w:val="24"/>
                <w:lang w:val="en-ZA"/>
              </w:rPr>
            </w:pPr>
            <w:r w:rsidRPr="00DE6189">
              <w:rPr>
                <w:rFonts w:ascii="Arial" w:eastAsia="Calibri" w:hAnsi="Arial" w:cs="Arial"/>
                <w:sz w:val="24"/>
                <w:szCs w:val="24"/>
                <w:lang w:val="en-ZA"/>
              </w:rPr>
              <w:t xml:space="preserve">The summary judgment application is refused. </w:t>
            </w:r>
          </w:p>
          <w:p w:rsidR="00DD42E3" w:rsidRDefault="00DD42E3" w:rsidP="00DD42E3">
            <w:pPr>
              <w:pStyle w:val="ListParagraph"/>
              <w:numPr>
                <w:ilvl w:val="0"/>
                <w:numId w:val="5"/>
              </w:num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The plaintiff must pay the defendants’ costs of opposing the application for summary judgment on a party-party scale, subject to rule 32(11).</w:t>
            </w:r>
          </w:p>
          <w:p w:rsidR="00DD42E3" w:rsidRDefault="00DD42E3" w:rsidP="00DD42E3">
            <w:pPr>
              <w:pStyle w:val="ListParagraph"/>
              <w:numPr>
                <w:ilvl w:val="0"/>
                <w:numId w:val="5"/>
              </w:num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The parties must file a joint case plan on or before 15 April 2024, for the further filing of pleadings.</w:t>
            </w:r>
          </w:p>
          <w:p w:rsidR="00DE6189" w:rsidRPr="00DD42E3" w:rsidRDefault="00DD42E3" w:rsidP="00397462">
            <w:pPr>
              <w:pStyle w:val="ListParagraph"/>
              <w:numPr>
                <w:ilvl w:val="0"/>
                <w:numId w:val="5"/>
              </w:numPr>
              <w:spacing w:after="0" w:line="360" w:lineRule="auto"/>
              <w:jc w:val="both"/>
              <w:rPr>
                <w:rFonts w:ascii="Arial" w:eastAsia="Calibri" w:hAnsi="Arial" w:cs="Arial"/>
                <w:sz w:val="24"/>
                <w:szCs w:val="24"/>
                <w:lang w:val="en-ZA"/>
              </w:rPr>
            </w:pPr>
            <w:r w:rsidRPr="00DD42E3">
              <w:rPr>
                <w:rFonts w:ascii="Arial" w:eastAsia="Calibri" w:hAnsi="Arial" w:cs="Arial"/>
                <w:sz w:val="24"/>
                <w:szCs w:val="24"/>
                <w:lang w:val="en-ZA"/>
              </w:rPr>
              <w:t>The matter is p</w:t>
            </w:r>
            <w:r w:rsidR="00A33DA8">
              <w:rPr>
                <w:rFonts w:ascii="Arial" w:eastAsia="Calibri" w:hAnsi="Arial" w:cs="Arial"/>
                <w:sz w:val="24"/>
                <w:szCs w:val="24"/>
                <w:lang w:val="en-ZA"/>
              </w:rPr>
              <w:t>ostponed to 18 April 2024 at 08h</w:t>
            </w:r>
            <w:r w:rsidRPr="00DD42E3">
              <w:rPr>
                <w:rFonts w:ascii="Arial" w:eastAsia="Calibri" w:hAnsi="Arial" w:cs="Arial"/>
                <w:sz w:val="24"/>
                <w:szCs w:val="24"/>
                <w:lang w:val="en-ZA"/>
              </w:rPr>
              <w:t>30 for a Case Planning Conference hearing.</w:t>
            </w:r>
          </w:p>
          <w:p w:rsidR="003818E2" w:rsidRPr="003818E2" w:rsidRDefault="003818E2" w:rsidP="003818E2">
            <w:pPr>
              <w:spacing w:after="200" w:line="360" w:lineRule="auto"/>
              <w:contextualSpacing/>
              <w:jc w:val="both"/>
              <w:rPr>
                <w:rFonts w:ascii="Arial" w:eastAsia="Calibri" w:hAnsi="Arial" w:cs="Arial"/>
                <w:sz w:val="24"/>
                <w:lang w:val="en-ZA"/>
              </w:rPr>
            </w:pPr>
          </w:p>
        </w:tc>
      </w:tr>
      <w:tr w:rsidR="003818E2" w:rsidRPr="003818E2" w:rsidTr="00397462">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rsidR="003818E2" w:rsidRPr="003818E2" w:rsidRDefault="003818E2" w:rsidP="003818E2">
            <w:pPr>
              <w:spacing w:after="0" w:line="360" w:lineRule="auto"/>
              <w:ind w:left="601"/>
              <w:contextualSpacing/>
              <w:rPr>
                <w:rFonts w:ascii="Arial" w:eastAsia="Calibri" w:hAnsi="Arial" w:cs="Arial"/>
                <w:b/>
                <w:color w:val="FF0000"/>
                <w:sz w:val="24"/>
                <w:szCs w:val="24"/>
                <w:lang w:val="en-ZA"/>
              </w:rPr>
            </w:pPr>
          </w:p>
        </w:tc>
      </w:tr>
      <w:tr w:rsidR="003818E2" w:rsidRPr="003818E2" w:rsidTr="00397462">
        <w:trPr>
          <w:trHeight w:val="95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3818E2" w:rsidRPr="003818E2" w:rsidRDefault="003818E2" w:rsidP="003818E2">
            <w:pPr>
              <w:spacing w:after="0" w:line="360" w:lineRule="auto"/>
              <w:jc w:val="both"/>
              <w:rPr>
                <w:rFonts w:ascii="Arial" w:eastAsia="Calibri" w:hAnsi="Arial" w:cs="Arial"/>
                <w:b/>
                <w:bCs/>
                <w:sz w:val="24"/>
                <w:szCs w:val="24"/>
                <w:lang w:val="en-ZA"/>
              </w:rPr>
            </w:pPr>
            <w:r w:rsidRPr="003818E2">
              <w:rPr>
                <w:rFonts w:ascii="Arial" w:eastAsia="Calibri" w:hAnsi="Arial" w:cs="Arial"/>
                <w:b/>
                <w:bCs/>
                <w:sz w:val="24"/>
                <w:szCs w:val="24"/>
                <w:lang w:val="en-ZA"/>
              </w:rPr>
              <w:t>Judge’s signature: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3818E2" w:rsidRPr="003818E2" w:rsidRDefault="003818E2" w:rsidP="003818E2">
            <w:pPr>
              <w:spacing w:after="0" w:line="360" w:lineRule="auto"/>
              <w:jc w:val="both"/>
              <w:rPr>
                <w:rFonts w:ascii="Arial" w:eastAsia="Calibri" w:hAnsi="Arial" w:cs="Arial"/>
                <w:sz w:val="24"/>
                <w:szCs w:val="24"/>
                <w:lang w:val="en-ZA"/>
              </w:rPr>
            </w:pPr>
            <w:r w:rsidRPr="003818E2">
              <w:rPr>
                <w:rFonts w:ascii="Arial" w:eastAsia="Calibri" w:hAnsi="Arial" w:cs="Arial"/>
                <w:sz w:val="24"/>
                <w:szCs w:val="24"/>
                <w:lang w:val="en-ZA"/>
              </w:rPr>
              <w:t>Note to parties:</w:t>
            </w:r>
          </w:p>
        </w:tc>
      </w:tr>
      <w:tr w:rsidR="003818E2" w:rsidRPr="003818E2" w:rsidTr="00397462">
        <w:trPr>
          <w:trHeight w:val="95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3818E2" w:rsidRDefault="003818E2" w:rsidP="003818E2">
            <w:pPr>
              <w:spacing w:after="0" w:line="360" w:lineRule="auto"/>
              <w:jc w:val="both"/>
              <w:rPr>
                <w:rFonts w:ascii="Arial" w:eastAsia="Calibri" w:hAnsi="Arial" w:cs="Arial"/>
                <w:b/>
                <w:bCs/>
                <w:sz w:val="24"/>
                <w:szCs w:val="24"/>
                <w:lang w:val="en-ZA"/>
              </w:rPr>
            </w:pPr>
            <w:r w:rsidRPr="003818E2">
              <w:rPr>
                <w:rFonts w:ascii="Arial" w:eastAsia="Calibri" w:hAnsi="Arial" w:cs="Arial"/>
                <w:b/>
                <w:bCs/>
                <w:sz w:val="24"/>
                <w:szCs w:val="24"/>
                <w:lang w:val="en-ZA"/>
              </w:rPr>
              <w:t xml:space="preserve">                   </w:t>
            </w:r>
          </w:p>
          <w:p w:rsidR="00A123F2" w:rsidRPr="003818E2" w:rsidRDefault="00A123F2" w:rsidP="003818E2">
            <w:pPr>
              <w:spacing w:after="0" w:line="360" w:lineRule="auto"/>
              <w:jc w:val="both"/>
              <w:rPr>
                <w:rFonts w:ascii="Arial" w:eastAsia="Calibri" w:hAnsi="Arial" w:cs="Arial"/>
                <w:b/>
                <w:bCs/>
                <w:sz w:val="24"/>
                <w:szCs w:val="24"/>
                <w:lang w:val="en-ZA"/>
              </w:rPr>
            </w:pPr>
          </w:p>
          <w:p w:rsidR="003818E2" w:rsidRPr="003818E2" w:rsidRDefault="003818E2" w:rsidP="003818E2">
            <w:pPr>
              <w:spacing w:after="0" w:line="360" w:lineRule="auto"/>
              <w:jc w:val="center"/>
              <w:rPr>
                <w:rFonts w:ascii="Arial" w:eastAsia="Calibri" w:hAnsi="Arial" w:cs="Arial"/>
                <w:b/>
                <w:bCs/>
                <w:sz w:val="24"/>
                <w:szCs w:val="24"/>
                <w:lang w:val="en-ZA"/>
              </w:rPr>
            </w:pPr>
            <w:r w:rsidRPr="003818E2">
              <w:rPr>
                <w:rFonts w:ascii="Arial" w:eastAsia="Calibri" w:hAnsi="Arial" w:cs="Arial"/>
                <w:b/>
                <w:bCs/>
                <w:sz w:val="24"/>
                <w:szCs w:val="24"/>
                <w:lang w:val="en-ZA"/>
              </w:rPr>
              <w:t>O S SIBEYA</w:t>
            </w:r>
          </w:p>
          <w:p w:rsidR="003818E2" w:rsidRPr="003818E2" w:rsidRDefault="003818E2" w:rsidP="003818E2">
            <w:pPr>
              <w:spacing w:after="0" w:line="360" w:lineRule="auto"/>
              <w:jc w:val="center"/>
              <w:rPr>
                <w:rFonts w:ascii="Arial" w:eastAsia="Calibri" w:hAnsi="Arial" w:cs="Arial"/>
                <w:sz w:val="24"/>
                <w:szCs w:val="24"/>
                <w:lang w:val="en-ZA"/>
              </w:rPr>
            </w:pPr>
            <w:r w:rsidRPr="003818E2">
              <w:rPr>
                <w:rFonts w:ascii="Arial" w:eastAsia="Calibri" w:hAnsi="Arial" w:cs="Arial"/>
                <w:b/>
                <w:bCs/>
                <w:sz w:val="24"/>
                <w:szCs w:val="24"/>
                <w:lang w:val="en-ZA"/>
              </w:rPr>
              <w:t>JUDGE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3818E2" w:rsidRPr="003818E2" w:rsidRDefault="003818E2" w:rsidP="003818E2">
            <w:pPr>
              <w:spacing w:after="0" w:line="360" w:lineRule="auto"/>
              <w:jc w:val="both"/>
              <w:rPr>
                <w:rFonts w:ascii="Arial" w:eastAsia="Calibri" w:hAnsi="Arial" w:cs="Arial"/>
                <w:sz w:val="24"/>
                <w:szCs w:val="24"/>
                <w:lang w:val="en-ZA"/>
              </w:rPr>
            </w:pPr>
          </w:p>
        </w:tc>
      </w:tr>
      <w:tr w:rsidR="003818E2" w:rsidRPr="003818E2" w:rsidTr="00397462">
        <w:trPr>
          <w:trHeight w:val="984"/>
        </w:trPr>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3818E2" w:rsidRPr="003818E2" w:rsidRDefault="003818E2" w:rsidP="003818E2">
            <w:pPr>
              <w:spacing w:after="0" w:line="360" w:lineRule="auto"/>
              <w:jc w:val="center"/>
              <w:rPr>
                <w:rFonts w:ascii="Arial" w:eastAsia="Calibri" w:hAnsi="Arial" w:cs="Arial"/>
                <w:b/>
                <w:sz w:val="24"/>
                <w:szCs w:val="24"/>
                <w:lang w:val="en-ZA"/>
              </w:rPr>
            </w:pPr>
          </w:p>
          <w:p w:rsidR="003818E2" w:rsidRPr="003818E2" w:rsidRDefault="003818E2" w:rsidP="003818E2">
            <w:pPr>
              <w:spacing w:after="0" w:line="360" w:lineRule="auto"/>
              <w:jc w:val="center"/>
              <w:rPr>
                <w:rFonts w:ascii="Arial" w:eastAsia="Calibri" w:hAnsi="Arial" w:cs="Arial"/>
                <w:b/>
                <w:sz w:val="24"/>
                <w:szCs w:val="24"/>
                <w:lang w:val="en-ZA"/>
              </w:rPr>
            </w:pPr>
            <w:r w:rsidRPr="003818E2">
              <w:rPr>
                <w:rFonts w:ascii="Arial" w:eastAsia="Calibri" w:hAnsi="Arial" w:cs="Arial"/>
                <w:b/>
                <w:sz w:val="24"/>
                <w:szCs w:val="24"/>
                <w:lang w:val="en-ZA"/>
              </w:rPr>
              <w:t>For the plaintiff:</w:t>
            </w:r>
          </w:p>
          <w:p w:rsidR="003818E2" w:rsidRPr="003818E2" w:rsidRDefault="00A2520B" w:rsidP="00A2520B">
            <w:pPr>
              <w:spacing w:after="0" w:line="360" w:lineRule="auto"/>
              <w:rPr>
                <w:rFonts w:ascii="Arial" w:eastAsia="Calibri" w:hAnsi="Arial" w:cs="Arial"/>
                <w:sz w:val="24"/>
                <w:szCs w:val="24"/>
                <w:lang w:val="en-ZA"/>
              </w:rPr>
            </w:pPr>
            <w:r>
              <w:rPr>
                <w:rFonts w:ascii="Arial" w:eastAsia="Calibri" w:hAnsi="Arial" w:cs="Arial"/>
                <w:sz w:val="24"/>
                <w:szCs w:val="24"/>
                <w:lang w:val="en-ZA"/>
              </w:rPr>
              <w:t xml:space="preserve">                         N Griffi</w:t>
            </w:r>
            <w:r w:rsidR="006054C6">
              <w:rPr>
                <w:rFonts w:ascii="Arial" w:eastAsia="Calibri" w:hAnsi="Arial" w:cs="Arial"/>
                <w:sz w:val="24"/>
                <w:szCs w:val="24"/>
                <w:lang w:val="en-ZA"/>
              </w:rPr>
              <w:t>ths</w:t>
            </w:r>
            <w:r w:rsidR="003818E2" w:rsidRPr="003818E2">
              <w:rPr>
                <w:rFonts w:ascii="Arial" w:eastAsia="Calibri" w:hAnsi="Arial" w:cs="Arial"/>
                <w:sz w:val="24"/>
                <w:szCs w:val="24"/>
                <w:lang w:val="en-ZA"/>
              </w:rPr>
              <w:t>,</w:t>
            </w:r>
          </w:p>
          <w:p w:rsidR="003818E2" w:rsidRPr="003818E2" w:rsidRDefault="00B27EC5" w:rsidP="00B27EC5">
            <w:pPr>
              <w:spacing w:after="0" w:line="360" w:lineRule="auto"/>
              <w:jc w:val="center"/>
              <w:rPr>
                <w:rFonts w:ascii="Arial" w:eastAsia="Calibri" w:hAnsi="Arial" w:cs="Arial"/>
                <w:sz w:val="24"/>
                <w:szCs w:val="24"/>
                <w:lang w:val="en-ZA"/>
              </w:rPr>
            </w:pPr>
            <w:r>
              <w:rPr>
                <w:rFonts w:ascii="Arial" w:eastAsia="Calibri" w:hAnsi="Arial" w:cs="Arial"/>
                <w:sz w:val="24"/>
                <w:szCs w:val="24"/>
                <w:lang w:val="en-ZA"/>
              </w:rPr>
              <w:t xml:space="preserve">Of Koep &amp; Partners, </w:t>
            </w:r>
            <w:r w:rsidR="003818E2" w:rsidRPr="003818E2">
              <w:rPr>
                <w:rFonts w:ascii="Arial" w:eastAsia="Calibri" w:hAnsi="Arial" w:cs="Arial"/>
                <w:sz w:val="24"/>
                <w:szCs w:val="24"/>
                <w:lang w:val="en-ZA"/>
              </w:rPr>
              <w:t>Windhoek</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rsidR="003818E2" w:rsidRPr="003818E2" w:rsidRDefault="003818E2" w:rsidP="003818E2">
            <w:pPr>
              <w:spacing w:after="0" w:line="360" w:lineRule="auto"/>
              <w:jc w:val="center"/>
              <w:rPr>
                <w:rFonts w:ascii="Arial" w:eastAsia="Calibri" w:hAnsi="Arial" w:cs="Arial"/>
                <w:b/>
                <w:sz w:val="24"/>
                <w:szCs w:val="24"/>
                <w:lang w:val="en-ZA"/>
              </w:rPr>
            </w:pPr>
          </w:p>
          <w:p w:rsidR="003818E2" w:rsidRPr="003818E2" w:rsidRDefault="003818E2" w:rsidP="003818E2">
            <w:pPr>
              <w:spacing w:after="0" w:line="360" w:lineRule="auto"/>
              <w:jc w:val="center"/>
              <w:rPr>
                <w:rFonts w:ascii="Arial" w:eastAsia="Calibri" w:hAnsi="Arial" w:cs="Arial"/>
                <w:b/>
                <w:sz w:val="24"/>
                <w:szCs w:val="24"/>
                <w:lang w:val="en-ZA"/>
              </w:rPr>
            </w:pPr>
            <w:r w:rsidRPr="003818E2">
              <w:rPr>
                <w:rFonts w:ascii="Arial" w:eastAsia="Calibri" w:hAnsi="Arial" w:cs="Arial"/>
                <w:b/>
                <w:sz w:val="24"/>
                <w:szCs w:val="24"/>
                <w:lang w:val="en-ZA"/>
              </w:rPr>
              <w:t>For the defendant</w:t>
            </w:r>
            <w:r w:rsidR="00A2520B">
              <w:rPr>
                <w:rFonts w:ascii="Arial" w:eastAsia="Calibri" w:hAnsi="Arial" w:cs="Arial"/>
                <w:b/>
                <w:sz w:val="24"/>
                <w:szCs w:val="24"/>
                <w:lang w:val="en-ZA"/>
              </w:rPr>
              <w:t>s</w:t>
            </w:r>
            <w:r w:rsidRPr="003818E2">
              <w:rPr>
                <w:rFonts w:ascii="Arial" w:eastAsia="Calibri" w:hAnsi="Arial" w:cs="Arial"/>
                <w:b/>
                <w:sz w:val="24"/>
                <w:szCs w:val="24"/>
                <w:lang w:val="en-ZA"/>
              </w:rPr>
              <w:t>:</w:t>
            </w:r>
          </w:p>
          <w:p w:rsidR="003818E2" w:rsidRDefault="00A2520B" w:rsidP="003818E2">
            <w:pPr>
              <w:spacing w:after="0" w:line="360" w:lineRule="auto"/>
              <w:jc w:val="center"/>
              <w:rPr>
                <w:rFonts w:ascii="Arial" w:eastAsia="Calibri" w:hAnsi="Arial" w:cs="Arial"/>
                <w:sz w:val="24"/>
                <w:szCs w:val="24"/>
                <w:lang w:val="en-ZA"/>
              </w:rPr>
            </w:pPr>
            <w:r>
              <w:rPr>
                <w:rFonts w:ascii="Arial" w:eastAsia="Calibri" w:hAnsi="Arial" w:cs="Arial"/>
                <w:sz w:val="24"/>
                <w:szCs w:val="24"/>
                <w:lang w:val="en-ZA"/>
              </w:rPr>
              <w:t>L Karsten</w:t>
            </w:r>
            <w:r w:rsidR="00DE6189">
              <w:rPr>
                <w:rFonts w:ascii="Arial" w:eastAsia="Calibri" w:hAnsi="Arial" w:cs="Arial"/>
                <w:sz w:val="24"/>
                <w:szCs w:val="24"/>
                <w:lang w:val="en-ZA"/>
              </w:rPr>
              <w:t xml:space="preserve">, </w:t>
            </w:r>
          </w:p>
          <w:p w:rsidR="00DE6189" w:rsidRPr="003818E2" w:rsidRDefault="00A2520B" w:rsidP="003818E2">
            <w:pPr>
              <w:spacing w:after="0" w:line="360" w:lineRule="auto"/>
              <w:jc w:val="center"/>
              <w:rPr>
                <w:rFonts w:ascii="Arial" w:eastAsia="Calibri" w:hAnsi="Arial" w:cs="Arial"/>
                <w:sz w:val="24"/>
                <w:szCs w:val="24"/>
                <w:lang w:val="en-ZA"/>
              </w:rPr>
            </w:pPr>
            <w:r>
              <w:rPr>
                <w:rFonts w:ascii="Arial" w:eastAsia="Calibri" w:hAnsi="Arial" w:cs="Arial"/>
                <w:sz w:val="24"/>
                <w:szCs w:val="24"/>
                <w:lang w:val="en-ZA"/>
              </w:rPr>
              <w:t xml:space="preserve">Of Karsten-Lardelli Inc, </w:t>
            </w:r>
            <w:r w:rsidR="00DE6189">
              <w:rPr>
                <w:rFonts w:ascii="Arial" w:eastAsia="Calibri" w:hAnsi="Arial" w:cs="Arial"/>
                <w:sz w:val="24"/>
                <w:szCs w:val="24"/>
                <w:lang w:val="en-ZA"/>
              </w:rPr>
              <w:t>Windhoek</w:t>
            </w:r>
          </w:p>
          <w:p w:rsidR="003818E2" w:rsidRPr="003818E2" w:rsidRDefault="003818E2" w:rsidP="003818E2">
            <w:pPr>
              <w:spacing w:after="0" w:line="360" w:lineRule="auto"/>
              <w:jc w:val="center"/>
              <w:rPr>
                <w:rFonts w:ascii="Arial" w:eastAsia="Calibri" w:hAnsi="Arial" w:cs="Arial"/>
                <w:sz w:val="24"/>
                <w:szCs w:val="24"/>
                <w:lang w:val="en-ZA"/>
              </w:rPr>
            </w:pPr>
          </w:p>
        </w:tc>
      </w:tr>
    </w:tbl>
    <w:p w:rsidR="00C441D4" w:rsidRDefault="00C441D4"/>
    <w:sectPr w:rsidR="00C441D4" w:rsidSect="00397462">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48" w:rsidRDefault="00F16048" w:rsidP="003818E2">
      <w:pPr>
        <w:spacing w:after="0" w:line="240" w:lineRule="auto"/>
      </w:pPr>
      <w:r>
        <w:separator/>
      </w:r>
    </w:p>
  </w:endnote>
  <w:endnote w:type="continuationSeparator" w:id="0">
    <w:p w:rsidR="00F16048" w:rsidRDefault="00F16048" w:rsidP="0038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48" w:rsidRDefault="00F16048" w:rsidP="003818E2">
      <w:pPr>
        <w:spacing w:after="0" w:line="240" w:lineRule="auto"/>
      </w:pPr>
      <w:r>
        <w:separator/>
      </w:r>
    </w:p>
  </w:footnote>
  <w:footnote w:type="continuationSeparator" w:id="0">
    <w:p w:rsidR="00F16048" w:rsidRDefault="00F16048" w:rsidP="003818E2">
      <w:pPr>
        <w:spacing w:after="0" w:line="240" w:lineRule="auto"/>
      </w:pPr>
      <w:r>
        <w:continuationSeparator/>
      </w:r>
    </w:p>
  </w:footnote>
  <w:footnote w:id="1">
    <w:p w:rsidR="00397462" w:rsidRPr="00D17FE3" w:rsidRDefault="00397462" w:rsidP="003818E2">
      <w:pPr>
        <w:pStyle w:val="FootnoteText"/>
        <w:jc w:val="both"/>
        <w:rPr>
          <w:rFonts w:ascii="Arial" w:hAnsi="Arial" w:cs="Arial"/>
        </w:rPr>
      </w:pPr>
      <w:r w:rsidRPr="00D17FE3">
        <w:rPr>
          <w:rStyle w:val="FootnoteReference"/>
          <w:rFonts w:ascii="Arial" w:hAnsi="Arial" w:cs="Arial"/>
        </w:rPr>
        <w:footnoteRef/>
      </w:r>
      <w:r w:rsidRPr="00D17FE3">
        <w:rPr>
          <w:rFonts w:ascii="Arial" w:hAnsi="Arial" w:cs="Arial"/>
        </w:rPr>
        <w:t xml:space="preserve"> </w:t>
      </w:r>
      <w:r w:rsidRPr="00D17FE3">
        <w:rPr>
          <w:rFonts w:ascii="Arial" w:hAnsi="Arial" w:cs="Arial"/>
          <w:i/>
          <w:lang w:val="af-ZA"/>
        </w:rPr>
        <w:t>Maharaj v Barclays National Bank Ltd</w:t>
      </w:r>
      <w:r w:rsidRPr="00D17FE3">
        <w:rPr>
          <w:rFonts w:ascii="Arial" w:hAnsi="Arial" w:cs="Arial"/>
        </w:rPr>
        <w:t xml:space="preserve"> 1976 (1) SA 418 (A) at 426A.</w:t>
      </w:r>
      <w:r>
        <w:rPr>
          <w:rFonts w:ascii="Arial" w:hAnsi="Arial" w:cs="Arial"/>
        </w:rPr>
        <w:t xml:space="preserve"> See also: </w:t>
      </w:r>
      <w:r w:rsidRPr="004F68CA">
        <w:rPr>
          <w:rFonts w:ascii="Arial" w:hAnsi="Arial" w:cs="Arial"/>
          <w:i/>
        </w:rPr>
        <w:t>Di Savino v Nedbank Namibia Limited</w:t>
      </w:r>
      <w:r>
        <w:rPr>
          <w:rFonts w:ascii="Arial" w:hAnsi="Arial" w:cs="Arial"/>
        </w:rPr>
        <w:t xml:space="preserve"> (SA 24/2010) [2012] NASC 3 (21 June 2012) paras 24-27.</w:t>
      </w:r>
    </w:p>
  </w:footnote>
  <w:footnote w:id="2">
    <w:p w:rsidR="00431646" w:rsidRPr="00431646" w:rsidRDefault="00431646" w:rsidP="00431646">
      <w:pPr>
        <w:pStyle w:val="Heading2"/>
        <w:shd w:val="clear" w:color="auto" w:fill="FFFFFF"/>
        <w:spacing w:before="240" w:after="180" w:line="288" w:lineRule="atLeast"/>
        <w:jc w:val="both"/>
        <w:rPr>
          <w:rFonts w:ascii="Arial" w:eastAsia="Times New Roman" w:hAnsi="Arial" w:cs="Arial"/>
          <w:color w:val="64473A"/>
          <w:sz w:val="20"/>
          <w:szCs w:val="20"/>
        </w:rPr>
      </w:pPr>
      <w:r w:rsidRPr="00431646">
        <w:rPr>
          <w:rStyle w:val="FootnoteReference"/>
          <w:rFonts w:ascii="Arial" w:hAnsi="Arial" w:cs="Arial"/>
          <w:color w:val="auto"/>
          <w:sz w:val="20"/>
          <w:szCs w:val="20"/>
        </w:rPr>
        <w:footnoteRef/>
      </w:r>
      <w:r w:rsidRPr="00431646">
        <w:rPr>
          <w:rFonts w:ascii="Arial" w:hAnsi="Arial" w:cs="Arial"/>
          <w:color w:val="auto"/>
          <w:sz w:val="20"/>
          <w:szCs w:val="20"/>
        </w:rPr>
        <w:t xml:space="preserve"> </w:t>
      </w:r>
      <w:r w:rsidRPr="00431646">
        <w:rPr>
          <w:rFonts w:ascii="Arial" w:eastAsia="Times New Roman" w:hAnsi="Arial" w:cs="Arial"/>
          <w:i/>
          <w:color w:val="64473A"/>
          <w:sz w:val="20"/>
          <w:szCs w:val="20"/>
        </w:rPr>
        <w:t xml:space="preserve">Marenga and Another v Tjikari </w:t>
      </w:r>
      <w:r w:rsidRPr="00431646">
        <w:rPr>
          <w:rFonts w:ascii="Arial" w:eastAsia="Times New Roman" w:hAnsi="Arial" w:cs="Arial"/>
          <w:color w:val="64473A"/>
          <w:sz w:val="20"/>
          <w:szCs w:val="20"/>
        </w:rPr>
        <w:t>((P) I 1841 / 2011) [2011] NAHC 317 (21 October 2011)</w:t>
      </w:r>
      <w:r>
        <w:rPr>
          <w:rFonts w:ascii="Arial" w:eastAsia="Times New Roman" w:hAnsi="Arial" w:cs="Arial"/>
          <w:color w:val="64473A"/>
          <w:sz w:val="20"/>
          <w:szCs w:val="20"/>
        </w:rPr>
        <w:t xml:space="preserve"> para [10]</w:t>
      </w:r>
      <w:r w:rsidRPr="00431646">
        <w:rPr>
          <w:rFonts w:ascii="Arial" w:eastAsia="Times New Roman" w:hAnsi="Arial" w:cs="Arial"/>
          <w:i/>
          <w:color w:val="64473A"/>
          <w:sz w:val="20"/>
          <w:szCs w:val="20"/>
        </w:rPr>
        <w:t>(iv).</w:t>
      </w:r>
    </w:p>
    <w:p w:rsidR="00431646" w:rsidRPr="00431646" w:rsidRDefault="0043164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62" w:rsidRDefault="00397462">
    <w:pPr>
      <w:pStyle w:val="Header"/>
      <w:jc w:val="right"/>
    </w:pPr>
    <w:r>
      <w:fldChar w:fldCharType="begin"/>
    </w:r>
    <w:r>
      <w:instrText xml:space="preserve"> PAGE   \* MERGEFORMAT </w:instrText>
    </w:r>
    <w:r>
      <w:fldChar w:fldCharType="separate"/>
    </w:r>
    <w:r w:rsidR="00893534">
      <w:rPr>
        <w:noProof/>
      </w:rPr>
      <w:t>2</w:t>
    </w:r>
    <w:r>
      <w:rPr>
        <w:noProof/>
      </w:rPr>
      <w:fldChar w:fldCharType="end"/>
    </w:r>
  </w:p>
  <w:p w:rsidR="00397462" w:rsidRDefault="00397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7F6"/>
    <w:multiLevelType w:val="hybridMultilevel"/>
    <w:tmpl w:val="8C86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04D0"/>
    <w:multiLevelType w:val="hybridMultilevel"/>
    <w:tmpl w:val="B6D458CA"/>
    <w:lvl w:ilvl="0" w:tplc="2D487A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776C4D"/>
    <w:multiLevelType w:val="hybridMultilevel"/>
    <w:tmpl w:val="8C86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A6523"/>
    <w:multiLevelType w:val="hybridMultilevel"/>
    <w:tmpl w:val="195C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439A2"/>
    <w:multiLevelType w:val="hybridMultilevel"/>
    <w:tmpl w:val="9D344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C614A"/>
    <w:multiLevelType w:val="hybridMultilevel"/>
    <w:tmpl w:val="2B2A580A"/>
    <w:lvl w:ilvl="0" w:tplc="AD566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E2"/>
    <w:rsid w:val="00002D3A"/>
    <w:rsid w:val="00006256"/>
    <w:rsid w:val="000064C8"/>
    <w:rsid w:val="0001156E"/>
    <w:rsid w:val="00022F26"/>
    <w:rsid w:val="000247ED"/>
    <w:rsid w:val="00035C33"/>
    <w:rsid w:val="00045525"/>
    <w:rsid w:val="000849F8"/>
    <w:rsid w:val="00096EAB"/>
    <w:rsid w:val="000B7566"/>
    <w:rsid w:val="00101DAA"/>
    <w:rsid w:val="001521D7"/>
    <w:rsid w:val="001620DA"/>
    <w:rsid w:val="001823DF"/>
    <w:rsid w:val="001A1D91"/>
    <w:rsid w:val="001A2100"/>
    <w:rsid w:val="001C590B"/>
    <w:rsid w:val="001F1942"/>
    <w:rsid w:val="00203321"/>
    <w:rsid w:val="00205895"/>
    <w:rsid w:val="002205A9"/>
    <w:rsid w:val="00250308"/>
    <w:rsid w:val="00262EA6"/>
    <w:rsid w:val="00290A91"/>
    <w:rsid w:val="002A5511"/>
    <w:rsid w:val="002C48F4"/>
    <w:rsid w:val="002D34D9"/>
    <w:rsid w:val="002E081C"/>
    <w:rsid w:val="002E0D24"/>
    <w:rsid w:val="002E24F7"/>
    <w:rsid w:val="002E7A74"/>
    <w:rsid w:val="00363810"/>
    <w:rsid w:val="00367070"/>
    <w:rsid w:val="003818E2"/>
    <w:rsid w:val="00396A83"/>
    <w:rsid w:val="00397462"/>
    <w:rsid w:val="003D203A"/>
    <w:rsid w:val="0041360A"/>
    <w:rsid w:val="004214B2"/>
    <w:rsid w:val="00423768"/>
    <w:rsid w:val="00431646"/>
    <w:rsid w:val="00432876"/>
    <w:rsid w:val="004351DD"/>
    <w:rsid w:val="00474FC5"/>
    <w:rsid w:val="00484096"/>
    <w:rsid w:val="004A57B2"/>
    <w:rsid w:val="004B0F4F"/>
    <w:rsid w:val="004D0382"/>
    <w:rsid w:val="004F68CA"/>
    <w:rsid w:val="005019E0"/>
    <w:rsid w:val="005035CD"/>
    <w:rsid w:val="00514DA1"/>
    <w:rsid w:val="00530C84"/>
    <w:rsid w:val="00571C3D"/>
    <w:rsid w:val="00585599"/>
    <w:rsid w:val="00587D20"/>
    <w:rsid w:val="005934E6"/>
    <w:rsid w:val="005B3D19"/>
    <w:rsid w:val="005C2FC2"/>
    <w:rsid w:val="005C7E28"/>
    <w:rsid w:val="005D07A1"/>
    <w:rsid w:val="006054C6"/>
    <w:rsid w:val="00642456"/>
    <w:rsid w:val="00643624"/>
    <w:rsid w:val="0065108C"/>
    <w:rsid w:val="00651BE7"/>
    <w:rsid w:val="00652EB9"/>
    <w:rsid w:val="006A3DD3"/>
    <w:rsid w:val="006D5D5A"/>
    <w:rsid w:val="006F59D4"/>
    <w:rsid w:val="007031C3"/>
    <w:rsid w:val="00704353"/>
    <w:rsid w:val="007623C4"/>
    <w:rsid w:val="00775CA2"/>
    <w:rsid w:val="00782F93"/>
    <w:rsid w:val="0079132E"/>
    <w:rsid w:val="007C2DE1"/>
    <w:rsid w:val="007C5132"/>
    <w:rsid w:val="007D1C03"/>
    <w:rsid w:val="007D566A"/>
    <w:rsid w:val="007D6B3E"/>
    <w:rsid w:val="007E561C"/>
    <w:rsid w:val="00801151"/>
    <w:rsid w:val="008506A5"/>
    <w:rsid w:val="00855C39"/>
    <w:rsid w:val="008656FA"/>
    <w:rsid w:val="008904CF"/>
    <w:rsid w:val="00893534"/>
    <w:rsid w:val="008957FA"/>
    <w:rsid w:val="008B0C90"/>
    <w:rsid w:val="008B7E41"/>
    <w:rsid w:val="008D2852"/>
    <w:rsid w:val="00903B24"/>
    <w:rsid w:val="009125AF"/>
    <w:rsid w:val="00952E64"/>
    <w:rsid w:val="009A0A62"/>
    <w:rsid w:val="009A1D38"/>
    <w:rsid w:val="009A695A"/>
    <w:rsid w:val="009B34ED"/>
    <w:rsid w:val="009C21AE"/>
    <w:rsid w:val="009F1BEC"/>
    <w:rsid w:val="00A123F2"/>
    <w:rsid w:val="00A2520B"/>
    <w:rsid w:val="00A317ED"/>
    <w:rsid w:val="00A33DA8"/>
    <w:rsid w:val="00A74DD9"/>
    <w:rsid w:val="00AA58E2"/>
    <w:rsid w:val="00AE4621"/>
    <w:rsid w:val="00B00312"/>
    <w:rsid w:val="00B057E5"/>
    <w:rsid w:val="00B27EC5"/>
    <w:rsid w:val="00B41DFD"/>
    <w:rsid w:val="00B4680E"/>
    <w:rsid w:val="00BB16AD"/>
    <w:rsid w:val="00BC5EEF"/>
    <w:rsid w:val="00BF29C1"/>
    <w:rsid w:val="00C272BC"/>
    <w:rsid w:val="00C441D4"/>
    <w:rsid w:val="00C55423"/>
    <w:rsid w:val="00C64D03"/>
    <w:rsid w:val="00C81CB6"/>
    <w:rsid w:val="00C8340E"/>
    <w:rsid w:val="00C87239"/>
    <w:rsid w:val="00CB732F"/>
    <w:rsid w:val="00CE78A7"/>
    <w:rsid w:val="00D23974"/>
    <w:rsid w:val="00D60883"/>
    <w:rsid w:val="00D777FF"/>
    <w:rsid w:val="00D8319E"/>
    <w:rsid w:val="00D83E63"/>
    <w:rsid w:val="00D84F38"/>
    <w:rsid w:val="00DA6872"/>
    <w:rsid w:val="00DC47E2"/>
    <w:rsid w:val="00DD42E3"/>
    <w:rsid w:val="00DE3599"/>
    <w:rsid w:val="00DE6189"/>
    <w:rsid w:val="00E06EB3"/>
    <w:rsid w:val="00E276C9"/>
    <w:rsid w:val="00E4164D"/>
    <w:rsid w:val="00E77301"/>
    <w:rsid w:val="00E95AA3"/>
    <w:rsid w:val="00EB6638"/>
    <w:rsid w:val="00EE4B58"/>
    <w:rsid w:val="00F00C50"/>
    <w:rsid w:val="00F16048"/>
    <w:rsid w:val="00F232E4"/>
    <w:rsid w:val="00F368FB"/>
    <w:rsid w:val="00F57418"/>
    <w:rsid w:val="00F704DA"/>
    <w:rsid w:val="00F72471"/>
    <w:rsid w:val="00F731BD"/>
    <w:rsid w:val="00FA14C8"/>
    <w:rsid w:val="00FD2A0F"/>
    <w:rsid w:val="00FE0E4E"/>
    <w:rsid w:val="00F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0703D-7DC4-4DC0-8FB2-115999B4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31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8E2"/>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3818E2"/>
    <w:pPr>
      <w:spacing w:after="0" w:line="240" w:lineRule="auto"/>
    </w:pPr>
    <w:rPr>
      <w:rFonts w:ascii="Calibri" w:eastAsia="Calibri" w:hAnsi="Calibri" w:cs="Times New Roman"/>
      <w:sz w:val="20"/>
      <w:szCs w:val="20"/>
      <w:lang w:val="en-ZA"/>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3818E2"/>
    <w:rPr>
      <w:rFonts w:ascii="Calibri" w:eastAsia="Calibri" w:hAnsi="Calibri" w:cs="Times New Roman"/>
      <w:sz w:val="20"/>
      <w:szCs w:val="20"/>
      <w:lang w:val="en-ZA"/>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3818E2"/>
    <w:rPr>
      <w:vertAlign w:val="superscript"/>
    </w:rPr>
  </w:style>
  <w:style w:type="paragraph" w:styleId="ListParagraph">
    <w:name w:val="List Paragraph"/>
    <w:basedOn w:val="Normal"/>
    <w:uiPriority w:val="34"/>
    <w:qFormat/>
    <w:rsid w:val="00DE6189"/>
    <w:pPr>
      <w:ind w:left="720"/>
      <w:contextualSpacing/>
    </w:pPr>
  </w:style>
  <w:style w:type="paragraph" w:styleId="BalloonText">
    <w:name w:val="Balloon Text"/>
    <w:basedOn w:val="Normal"/>
    <w:link w:val="BalloonTextChar"/>
    <w:uiPriority w:val="99"/>
    <w:semiHidden/>
    <w:unhideWhenUsed/>
    <w:rsid w:val="00D8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38"/>
    <w:rPr>
      <w:rFonts w:ascii="Tahoma" w:hAnsi="Tahoma" w:cs="Tahoma"/>
      <w:sz w:val="16"/>
      <w:szCs w:val="16"/>
    </w:rPr>
  </w:style>
  <w:style w:type="character" w:styleId="Hyperlink">
    <w:name w:val="Hyperlink"/>
    <w:basedOn w:val="DefaultParagraphFont"/>
    <w:uiPriority w:val="99"/>
    <w:semiHidden/>
    <w:unhideWhenUsed/>
    <w:rsid w:val="005B3D19"/>
    <w:rPr>
      <w:color w:val="0000FF"/>
      <w:u w:val="single"/>
    </w:rPr>
  </w:style>
  <w:style w:type="character" w:customStyle="1" w:styleId="Heading2Char">
    <w:name w:val="Heading 2 Char"/>
    <w:basedOn w:val="DefaultParagraphFont"/>
    <w:link w:val="Heading2"/>
    <w:uiPriority w:val="9"/>
    <w:semiHidden/>
    <w:rsid w:val="004316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lii.org/cgi-bin/LawCite?cit=1975%20%283%29%20SA%209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lii.org/cgi-bin/LawCite?cit=1975%20%283%29%20SA%207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lii.org/cgi-bin/LawCite?cit=1980%20%283%29%20SA%20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2024-04-09T18:30:00+00:00</Judgment_x0020_Date>
    <Year xmlns="c1afb1bd-f2fb-40fd-9abb-aea55b4d7662">2024</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E086-9B13-464B-BDE3-A9007DC9C98F}"/>
</file>

<file path=customXml/itemProps2.xml><?xml version="1.0" encoding="utf-8"?>
<ds:datastoreItem xmlns:ds="http://schemas.openxmlformats.org/officeDocument/2006/customXml" ds:itemID="{955E8839-0561-4D7A-9C3D-335427391B7E}"/>
</file>

<file path=customXml/itemProps3.xml><?xml version="1.0" encoding="utf-8"?>
<ds:datastoreItem xmlns:ds="http://schemas.openxmlformats.org/officeDocument/2006/customXml" ds:itemID="{77DBF891-3C1D-45CC-8717-B15E0F09C2A0}"/>
</file>

<file path=customXml/itemProps4.xml><?xml version="1.0" encoding="utf-8"?>
<ds:datastoreItem xmlns:ds="http://schemas.openxmlformats.org/officeDocument/2006/customXml" ds:itemID="{EE659919-6DEA-492A-A761-514A6C464CD7}"/>
</file>

<file path=docProps/app.xml><?xml version="1.0" encoding="utf-8"?>
<Properties xmlns="http://schemas.openxmlformats.org/officeDocument/2006/extended-properties" xmlns:vt="http://schemas.openxmlformats.org/officeDocument/2006/docPropsVTypes">
  <Template>Normal</Template>
  <TotalTime>0</TotalTime>
  <Pages>10</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Ockhuizen v Shamrock Holdings (Pty) Ltd (HC-MD-CIV-ACT-CON-2023-03902) [2024] NAHCMD 80 (4 March 2024)</vt:lpstr>
    </vt:vector>
  </TitlesOfParts>
  <Company/>
  <LinksUpToDate>false</LinksUpToDate>
  <CharactersWithSpaces>15920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Ltd v BIP Container Terminal CC (HC-MD-CIV-ACT-CON-2023-04438) [2024] NAHCMD 164 (10 April 2024)</dc:title>
  <dc:creator>Pafnutia Booysen</dc:creator>
  <cp:lastModifiedBy>Pafnutia Booysen</cp:lastModifiedBy>
  <cp:revision>2</cp:revision>
  <cp:lastPrinted>2024-04-10T10:39:00Z</cp:lastPrinted>
  <dcterms:created xsi:type="dcterms:W3CDTF">2024-04-10T12:27:00Z</dcterms:created>
  <dcterms:modified xsi:type="dcterms:W3CDTF">2024-04-10T12:27:00Z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