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7E1F" w:rsidRPr="006E026B" w:rsidRDefault="00A86A3A" w:rsidP="00AD545C">
      <w:pPr>
        <w:spacing w:after="0" w:line="360" w:lineRule="auto"/>
        <w:jc w:val="center"/>
        <w:rPr>
          <w:rFonts w:ascii="Arial" w:hAnsi="Arial" w:cs="Arial"/>
          <w:b/>
          <w:sz w:val="24"/>
          <w:szCs w:val="24"/>
        </w:rPr>
      </w:pPr>
      <w:bookmarkStart w:id="0" w:name="_GoBack"/>
      <w:bookmarkEnd w:id="0"/>
      <w:r>
        <w:rPr>
          <w:rFonts w:ascii="Arial" w:hAnsi="Arial" w:cs="Arial"/>
          <w:b/>
          <w:noProof/>
          <w:sz w:val="24"/>
          <w:szCs w:val="24"/>
        </w:rPr>
        <mc:AlternateContent>
          <mc:Choice Requires="wps">
            <w:drawing>
              <wp:anchor distT="0" distB="0" distL="114300" distR="114300" simplePos="0" relativeHeight="251660288" behindDoc="0" locked="0" layoutInCell="1" allowOverlap="1">
                <wp:simplePos x="0" y="0"/>
                <wp:positionH relativeFrom="column">
                  <wp:posOffset>4552950</wp:posOffset>
                </wp:positionH>
                <wp:positionV relativeFrom="paragraph">
                  <wp:posOffset>-57150</wp:posOffset>
                </wp:positionV>
                <wp:extent cx="1562100" cy="2476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chemeClr val="bg1">
                              <a:lumMod val="100000"/>
                              <a:lumOff val="0"/>
                            </a:schemeClr>
                          </a:solidFill>
                          <a:miter lim="800000"/>
                          <a:headEnd/>
                          <a:tailEnd/>
                        </a:ln>
                      </wps:spPr>
                      <wps:txbx>
                        <w:txbxContent>
                          <w:p w:rsidR="004E3F97" w:rsidRPr="00851714" w:rsidRDefault="004E3F97" w:rsidP="001B7E1F">
                            <w:pPr>
                              <w:jc w:val="right"/>
                              <w:rPr>
                                <w:rFonts w:ascii="Arial" w:hAnsi="Arial" w:cs="Arial"/>
                              </w:rPr>
                            </w:pPr>
                            <w:r w:rsidRPr="00851714">
                              <w:rPr>
                                <w:rFonts w:ascii="Arial" w:hAnsi="Arial" w:cs="Arial"/>
                              </w:rPr>
                              <w:t>REPORTABLE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" strokecolor="white [3212]">
                <v:textbox>
                  <w:txbxContent>
                    <w:p w:rsidR="004E3F97" w:rsidRPr="00851714" w:rsidRDefault="004E3F97" w:rsidP="001B7E1F">
                      <w:pPr>
                        <w:jc w:val="right"/>
                        <w:rPr>
                          <w:rFonts w:ascii="Arial" w:hAnsi="Arial" w:cs="Arial"/>
                        </w:rPr>
                      </w:pPr>
                      <w:r w:rsidRPr="00851714">
                        <w:rPr>
                          <w:rFonts w:ascii="Arial" w:hAnsi="Arial" w:cs="Arial"/>
                        </w:rPr>
                        <w:t>REPORTABLE</w:t>
                      </w:r>
                    </w:p>
                  </w:txbxContent>
                </v:textbox>
              </v:shape>
            </w:pict>
          </mc:Fallback>
        </mc:AlternateContent>
      </w:r>
      <w:r w:rsidR="001B7E1F" w:rsidRPr="006E026B">
        <w:rPr>
          <w:rFonts w:ascii="Arial" w:hAnsi="Arial" w:cs="Arial"/>
          <w:b/>
          <w:sz w:val="24"/>
          <w:szCs w:val="24"/>
        </w:rPr>
        <w:t>REPUBLIC OF NAMIBIA</w:t>
      </w:r>
    </w:p>
    <w:p w:rsidR="001B7E1F" w:rsidRDefault="001B7E1F" w:rsidP="00AD545C">
      <w:pPr>
        <w:spacing w:after="0" w:line="360" w:lineRule="auto"/>
        <w:jc w:val="center"/>
        <w:rPr>
          <w:b/>
          <w:sz w:val="32"/>
          <w:szCs w:val="32"/>
        </w:rPr>
      </w:pPr>
      <w:r>
        <w:rPr>
          <w:b/>
          <w:noProof/>
          <w:sz w:val="32"/>
          <w:szCs w:val="32"/>
        </w:rPr>
        <w:drawing>
          <wp:inline distT="0" distB="0" distL="0" distR="0">
            <wp:extent cx="1276350" cy="1329024"/>
            <wp:effectExtent l="19050" t="0" r="0" b="0"/>
            <wp:docPr id="3"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t of Arms.bmp"/>
                    <pic:cNvPicPr/>
                  </pic:nvPicPr>
                  <pic:blipFill>
                    <a:blip r:embed="rId11" cstate="print"/>
                    <a:stretch>
                      <a:fillRect/>
                    </a:stretch>
                  </pic:blipFill>
                  <pic:spPr>
                    <a:xfrm>
                      <a:off x="0" y="0"/>
                      <a:ext cx="1276350" cy="1329024"/>
                    </a:xfrm>
                    <a:prstGeom prst="rect">
                      <a:avLst/>
                    </a:prstGeom>
                  </pic:spPr>
                </pic:pic>
              </a:graphicData>
            </a:graphic>
          </wp:inline>
        </w:drawing>
      </w:r>
    </w:p>
    <w:p w:rsidR="001B7E1F" w:rsidRDefault="00F87CEB" w:rsidP="00F87CEB">
      <w:pPr>
        <w:tabs>
          <w:tab w:val="left" w:pos="5880"/>
        </w:tabs>
        <w:spacing w:after="0" w:line="360" w:lineRule="auto"/>
        <w:rPr>
          <w:rFonts w:ascii="Arial" w:hAnsi="Arial" w:cs="Arial"/>
          <w:b/>
          <w:sz w:val="28"/>
          <w:szCs w:val="32"/>
        </w:rPr>
      </w:pPr>
      <w:r>
        <w:rPr>
          <w:rFonts w:ascii="Arial" w:hAnsi="Arial" w:cs="Arial"/>
          <w:b/>
          <w:sz w:val="28"/>
          <w:szCs w:val="32"/>
        </w:rPr>
        <w:tab/>
      </w:r>
    </w:p>
    <w:p w:rsidR="001B7E1F" w:rsidRPr="006E026B" w:rsidRDefault="001B7E1F" w:rsidP="00AD545C">
      <w:pPr>
        <w:spacing w:after="0" w:line="360" w:lineRule="auto"/>
        <w:jc w:val="center"/>
        <w:rPr>
          <w:rFonts w:ascii="Arial" w:hAnsi="Arial" w:cs="Arial"/>
          <w:bCs/>
          <w:sz w:val="24"/>
          <w:szCs w:val="24"/>
        </w:rPr>
      </w:pPr>
      <w:r w:rsidRPr="006E026B">
        <w:rPr>
          <w:rFonts w:ascii="Arial" w:hAnsi="Arial" w:cs="Arial"/>
          <w:b/>
          <w:sz w:val="24"/>
          <w:szCs w:val="24"/>
        </w:rPr>
        <w:t>HIGH COURT OF NAMIBIA MAIN DIVISION, WINDHOEK</w:t>
      </w:r>
    </w:p>
    <w:p w:rsidR="00C91085" w:rsidRDefault="00C91085" w:rsidP="00AD545C">
      <w:pPr>
        <w:spacing w:after="0" w:line="360" w:lineRule="auto"/>
        <w:jc w:val="center"/>
        <w:rPr>
          <w:rFonts w:ascii="Arial" w:hAnsi="Arial" w:cs="Arial"/>
          <w:b/>
          <w:sz w:val="24"/>
          <w:szCs w:val="24"/>
        </w:rPr>
      </w:pPr>
    </w:p>
    <w:p w:rsidR="001B7E1F" w:rsidRDefault="003B1C3A" w:rsidP="00AD545C">
      <w:pPr>
        <w:spacing w:after="0" w:line="360" w:lineRule="auto"/>
        <w:jc w:val="center"/>
        <w:rPr>
          <w:rFonts w:ascii="Arial" w:hAnsi="Arial" w:cs="Arial"/>
          <w:b/>
          <w:sz w:val="24"/>
          <w:szCs w:val="24"/>
        </w:rPr>
      </w:pPr>
      <w:r>
        <w:rPr>
          <w:rFonts w:ascii="Arial" w:hAnsi="Arial" w:cs="Arial"/>
          <w:b/>
          <w:sz w:val="24"/>
          <w:szCs w:val="24"/>
        </w:rPr>
        <w:t>JUDGMENT</w:t>
      </w:r>
    </w:p>
    <w:p w:rsidR="001B7E1F" w:rsidRPr="001B7E1F" w:rsidRDefault="001B7E1F" w:rsidP="00AD545C">
      <w:pPr>
        <w:tabs>
          <w:tab w:val="right" w:pos="9000"/>
        </w:tabs>
        <w:spacing w:after="0" w:line="360" w:lineRule="auto"/>
        <w:jc w:val="center"/>
        <w:rPr>
          <w:rFonts w:ascii="Arial" w:hAnsi="Arial" w:cs="Arial"/>
          <w:b/>
          <w:sz w:val="24"/>
          <w:szCs w:val="24"/>
        </w:rPr>
      </w:pPr>
      <w:r>
        <w:rPr>
          <w:rFonts w:ascii="Arial" w:hAnsi="Arial" w:cs="Arial"/>
          <w:b/>
          <w:sz w:val="24"/>
          <w:szCs w:val="24"/>
        </w:rPr>
        <w:tab/>
      </w:r>
      <w:r w:rsidRPr="006E026B">
        <w:rPr>
          <w:rFonts w:ascii="Arial" w:hAnsi="Arial" w:cs="Arial"/>
          <w:sz w:val="24"/>
          <w:szCs w:val="24"/>
        </w:rPr>
        <w:t>Case no</w:t>
      </w:r>
      <w:r>
        <w:rPr>
          <w:rFonts w:ascii="Arial" w:hAnsi="Arial" w:cs="Arial"/>
          <w:sz w:val="24"/>
          <w:szCs w:val="24"/>
        </w:rPr>
        <w:t xml:space="preserve">: </w:t>
      </w:r>
      <w:r w:rsidR="00671013">
        <w:rPr>
          <w:rFonts w:ascii="Arial" w:hAnsi="Arial" w:cs="Arial"/>
          <w:sz w:val="24"/>
          <w:szCs w:val="24"/>
        </w:rPr>
        <w:t>I</w:t>
      </w:r>
      <w:r>
        <w:rPr>
          <w:rFonts w:ascii="Arial" w:hAnsi="Arial" w:cs="Arial"/>
          <w:sz w:val="24"/>
          <w:szCs w:val="24"/>
        </w:rPr>
        <w:t xml:space="preserve"> </w:t>
      </w:r>
      <w:r w:rsidR="00306AF4">
        <w:rPr>
          <w:rFonts w:ascii="Arial" w:hAnsi="Arial" w:cs="Arial"/>
          <w:sz w:val="24"/>
          <w:szCs w:val="24"/>
        </w:rPr>
        <w:t>1912</w:t>
      </w:r>
      <w:r>
        <w:rPr>
          <w:rFonts w:ascii="Arial" w:hAnsi="Arial" w:cs="Arial"/>
          <w:sz w:val="24"/>
          <w:szCs w:val="24"/>
        </w:rPr>
        <w:t>/20</w:t>
      </w:r>
      <w:r w:rsidR="00671013">
        <w:rPr>
          <w:rFonts w:ascii="Arial" w:hAnsi="Arial" w:cs="Arial"/>
          <w:sz w:val="24"/>
          <w:szCs w:val="24"/>
        </w:rPr>
        <w:t>1</w:t>
      </w:r>
      <w:r w:rsidR="008F293C">
        <w:rPr>
          <w:rFonts w:ascii="Arial" w:hAnsi="Arial" w:cs="Arial"/>
          <w:sz w:val="24"/>
          <w:szCs w:val="24"/>
        </w:rPr>
        <w:t>3</w:t>
      </w:r>
    </w:p>
    <w:p w:rsidR="001B7E1F" w:rsidRPr="006E026B" w:rsidRDefault="001B7E1F" w:rsidP="00AD545C">
      <w:pPr>
        <w:spacing w:after="0" w:line="360" w:lineRule="auto"/>
        <w:rPr>
          <w:rFonts w:ascii="Arial" w:hAnsi="Arial" w:cs="Arial"/>
          <w:sz w:val="24"/>
          <w:szCs w:val="24"/>
        </w:rPr>
      </w:pPr>
    </w:p>
    <w:p w:rsidR="001B7E1F" w:rsidRPr="006E026B" w:rsidRDefault="001B7E1F" w:rsidP="00AD545C">
      <w:pPr>
        <w:spacing w:after="0" w:line="360" w:lineRule="auto"/>
        <w:rPr>
          <w:rFonts w:ascii="Arial" w:hAnsi="Arial" w:cs="Arial"/>
          <w:sz w:val="24"/>
          <w:szCs w:val="24"/>
        </w:rPr>
      </w:pPr>
      <w:r w:rsidRPr="006E026B">
        <w:rPr>
          <w:rFonts w:ascii="Arial" w:hAnsi="Arial" w:cs="Arial"/>
          <w:sz w:val="24"/>
          <w:szCs w:val="24"/>
        </w:rPr>
        <w:t>In the matter between:</w:t>
      </w:r>
    </w:p>
    <w:p w:rsidR="001B7E1F" w:rsidRPr="006E026B" w:rsidRDefault="001B7E1F" w:rsidP="00AD545C">
      <w:pPr>
        <w:spacing w:after="0" w:line="360" w:lineRule="auto"/>
        <w:rPr>
          <w:rFonts w:ascii="Arial" w:hAnsi="Arial" w:cs="Arial"/>
          <w:sz w:val="24"/>
          <w:szCs w:val="24"/>
        </w:rPr>
      </w:pPr>
    </w:p>
    <w:p w:rsidR="001B7E1F" w:rsidRPr="006E026B" w:rsidRDefault="00306AF4" w:rsidP="00AD545C">
      <w:pPr>
        <w:pStyle w:val="Heading4"/>
        <w:tabs>
          <w:tab w:val="right" w:pos="9000"/>
        </w:tabs>
        <w:spacing w:line="360" w:lineRule="auto"/>
        <w:jc w:val="both"/>
        <w:rPr>
          <w:rFonts w:cs="Arial"/>
          <w:b/>
          <w:sz w:val="24"/>
        </w:rPr>
      </w:pPr>
      <w:r>
        <w:rPr>
          <w:rFonts w:cs="Arial"/>
          <w:b/>
          <w:sz w:val="24"/>
        </w:rPr>
        <w:t>STANDARD BANK NAMIBIA LIMITED</w:t>
      </w:r>
      <w:r w:rsidR="004A2C49">
        <w:rPr>
          <w:rFonts w:cs="Arial"/>
          <w:b/>
          <w:sz w:val="24"/>
        </w:rPr>
        <w:tab/>
      </w:r>
      <w:r w:rsidR="00195925">
        <w:rPr>
          <w:rFonts w:cs="Arial"/>
          <w:b/>
          <w:sz w:val="24"/>
        </w:rPr>
        <w:t>APPLICANT</w:t>
      </w:r>
      <w:r>
        <w:rPr>
          <w:rFonts w:cs="Arial"/>
          <w:b/>
          <w:sz w:val="24"/>
        </w:rPr>
        <w:t>/PLAINTIFF</w:t>
      </w:r>
    </w:p>
    <w:p w:rsidR="00C91085" w:rsidRDefault="00C91085" w:rsidP="00AD545C">
      <w:pPr>
        <w:spacing w:after="0" w:line="360" w:lineRule="auto"/>
        <w:jc w:val="both"/>
        <w:rPr>
          <w:rFonts w:ascii="Arial" w:hAnsi="Arial" w:cs="Arial"/>
          <w:sz w:val="24"/>
          <w:szCs w:val="24"/>
        </w:rPr>
      </w:pPr>
    </w:p>
    <w:p w:rsidR="001B7E1F" w:rsidRPr="006E026B" w:rsidRDefault="001B7E1F" w:rsidP="00AD545C">
      <w:pPr>
        <w:spacing w:after="0" w:line="360" w:lineRule="auto"/>
        <w:jc w:val="both"/>
        <w:rPr>
          <w:rFonts w:ascii="Arial" w:hAnsi="Arial" w:cs="Arial"/>
          <w:sz w:val="24"/>
          <w:szCs w:val="24"/>
        </w:rPr>
      </w:pPr>
      <w:r w:rsidRPr="006E026B">
        <w:rPr>
          <w:rFonts w:ascii="Arial" w:hAnsi="Arial" w:cs="Arial"/>
          <w:sz w:val="24"/>
          <w:szCs w:val="24"/>
        </w:rPr>
        <w:t>and</w:t>
      </w:r>
    </w:p>
    <w:p w:rsidR="00C91085" w:rsidRDefault="00C91085" w:rsidP="00AD545C">
      <w:pPr>
        <w:tabs>
          <w:tab w:val="right" w:pos="9000"/>
        </w:tabs>
        <w:spacing w:after="0" w:line="360" w:lineRule="auto"/>
        <w:jc w:val="both"/>
        <w:rPr>
          <w:rFonts w:ascii="Arial" w:hAnsi="Arial" w:cs="Arial"/>
          <w:b/>
          <w:sz w:val="24"/>
          <w:szCs w:val="24"/>
        </w:rPr>
      </w:pPr>
    </w:p>
    <w:p w:rsidR="00F60C12" w:rsidRDefault="00306AF4" w:rsidP="00AD545C">
      <w:pPr>
        <w:tabs>
          <w:tab w:val="right" w:pos="9000"/>
        </w:tabs>
        <w:spacing w:after="0" w:line="360" w:lineRule="auto"/>
        <w:rPr>
          <w:rFonts w:ascii="Arial" w:hAnsi="Arial" w:cs="Arial"/>
          <w:b/>
          <w:sz w:val="24"/>
          <w:szCs w:val="24"/>
        </w:rPr>
      </w:pPr>
      <w:r>
        <w:rPr>
          <w:rFonts w:ascii="Arial" w:hAnsi="Arial" w:cs="Arial"/>
          <w:b/>
          <w:sz w:val="24"/>
          <w:szCs w:val="24"/>
        </w:rPr>
        <w:t>RONALD MOSEMENTLA SOMAEB</w:t>
      </w:r>
      <w:r w:rsidR="00671013">
        <w:rPr>
          <w:rFonts w:ascii="Arial" w:hAnsi="Arial" w:cs="Arial"/>
          <w:b/>
          <w:sz w:val="24"/>
          <w:szCs w:val="24"/>
        </w:rPr>
        <w:tab/>
      </w:r>
      <w:r w:rsidR="00195925">
        <w:rPr>
          <w:rFonts w:ascii="Arial" w:hAnsi="Arial" w:cs="Arial"/>
          <w:b/>
          <w:sz w:val="24"/>
          <w:szCs w:val="24"/>
        </w:rPr>
        <w:t>RESPONDENT</w:t>
      </w:r>
      <w:r>
        <w:rPr>
          <w:rFonts w:ascii="Arial" w:hAnsi="Arial" w:cs="Arial"/>
          <w:b/>
          <w:sz w:val="24"/>
          <w:szCs w:val="24"/>
        </w:rPr>
        <w:t>/DEFENDENT</w:t>
      </w:r>
    </w:p>
    <w:p w:rsidR="00195925" w:rsidRDefault="00195925" w:rsidP="00AD545C">
      <w:pPr>
        <w:tabs>
          <w:tab w:val="right" w:pos="9000"/>
        </w:tabs>
        <w:spacing w:after="0" w:line="360" w:lineRule="auto"/>
        <w:rPr>
          <w:rFonts w:ascii="Arial" w:hAnsi="Arial" w:cs="Arial"/>
          <w:b/>
          <w:sz w:val="24"/>
          <w:szCs w:val="24"/>
        </w:rPr>
      </w:pPr>
    </w:p>
    <w:p w:rsidR="001B7E1F" w:rsidRPr="005D6C92" w:rsidRDefault="001B7E1F" w:rsidP="0019276C">
      <w:pPr>
        <w:spacing w:after="0" w:line="360" w:lineRule="auto"/>
        <w:jc w:val="both"/>
        <w:rPr>
          <w:rFonts w:ascii="Arial" w:hAnsi="Arial" w:cs="Arial"/>
          <w:sz w:val="24"/>
          <w:szCs w:val="24"/>
        </w:rPr>
      </w:pPr>
      <w:r>
        <w:rPr>
          <w:rFonts w:ascii="Arial" w:hAnsi="Arial" w:cs="Arial"/>
          <w:b/>
          <w:sz w:val="24"/>
          <w:szCs w:val="24"/>
        </w:rPr>
        <w:t xml:space="preserve">Neutral citation: </w:t>
      </w:r>
      <w:r w:rsidR="00D8646D">
        <w:rPr>
          <w:rFonts w:ascii="Arial" w:hAnsi="Arial" w:cs="Arial"/>
          <w:b/>
          <w:sz w:val="24"/>
          <w:szCs w:val="24"/>
        </w:rPr>
        <w:tab/>
      </w:r>
      <w:r w:rsidR="00306AF4">
        <w:rPr>
          <w:rFonts w:ascii="Arial" w:hAnsi="Arial" w:cs="Arial"/>
          <w:i/>
          <w:sz w:val="24"/>
          <w:szCs w:val="24"/>
        </w:rPr>
        <w:t>Standard Bank Namibia Limited</w:t>
      </w:r>
      <w:r>
        <w:rPr>
          <w:rFonts w:ascii="Arial" w:hAnsi="Arial" w:cs="Arial"/>
          <w:i/>
          <w:sz w:val="24"/>
          <w:szCs w:val="24"/>
        </w:rPr>
        <w:t xml:space="preserve"> v </w:t>
      </w:r>
      <w:r w:rsidR="00306AF4">
        <w:rPr>
          <w:rFonts w:ascii="Arial" w:hAnsi="Arial" w:cs="Arial"/>
          <w:i/>
          <w:sz w:val="24"/>
          <w:szCs w:val="24"/>
        </w:rPr>
        <w:t>Somaeb</w:t>
      </w:r>
      <w:r w:rsidR="008F293C">
        <w:rPr>
          <w:rFonts w:ascii="Arial" w:hAnsi="Arial" w:cs="Arial"/>
          <w:i/>
          <w:sz w:val="24"/>
          <w:szCs w:val="24"/>
        </w:rPr>
        <w:t xml:space="preserve"> </w:t>
      </w:r>
      <w:r w:rsidRPr="005D6C92">
        <w:rPr>
          <w:rFonts w:ascii="Arial" w:hAnsi="Arial" w:cs="Arial"/>
          <w:sz w:val="24"/>
          <w:szCs w:val="24"/>
        </w:rPr>
        <w:t>(</w:t>
      </w:r>
      <w:r w:rsidR="00671013">
        <w:rPr>
          <w:rFonts w:ascii="Arial" w:hAnsi="Arial" w:cs="Arial"/>
          <w:sz w:val="24"/>
          <w:szCs w:val="24"/>
        </w:rPr>
        <w:t>I</w:t>
      </w:r>
      <w:r>
        <w:rPr>
          <w:rFonts w:ascii="Arial" w:hAnsi="Arial" w:cs="Arial"/>
          <w:sz w:val="24"/>
          <w:szCs w:val="24"/>
        </w:rPr>
        <w:t xml:space="preserve"> </w:t>
      </w:r>
      <w:r w:rsidR="00306AF4">
        <w:rPr>
          <w:rFonts w:ascii="Arial" w:hAnsi="Arial" w:cs="Arial"/>
          <w:sz w:val="24"/>
          <w:szCs w:val="24"/>
        </w:rPr>
        <w:t>1912</w:t>
      </w:r>
      <w:r w:rsidR="00C91085">
        <w:rPr>
          <w:rFonts w:ascii="Arial" w:hAnsi="Arial" w:cs="Arial"/>
          <w:sz w:val="24"/>
          <w:szCs w:val="24"/>
        </w:rPr>
        <w:t>/</w:t>
      </w:r>
      <w:r w:rsidR="004A2C49">
        <w:rPr>
          <w:rFonts w:ascii="Arial" w:hAnsi="Arial" w:cs="Arial"/>
          <w:sz w:val="24"/>
          <w:szCs w:val="24"/>
        </w:rPr>
        <w:t>20</w:t>
      </w:r>
      <w:r w:rsidR="00671013">
        <w:rPr>
          <w:rFonts w:ascii="Arial" w:hAnsi="Arial" w:cs="Arial"/>
          <w:sz w:val="24"/>
          <w:szCs w:val="24"/>
        </w:rPr>
        <w:t>1</w:t>
      </w:r>
      <w:r w:rsidR="008F293C">
        <w:rPr>
          <w:rFonts w:ascii="Arial" w:hAnsi="Arial" w:cs="Arial"/>
          <w:sz w:val="24"/>
          <w:szCs w:val="24"/>
        </w:rPr>
        <w:t>3</w:t>
      </w:r>
      <w:r w:rsidRPr="005D6C92">
        <w:rPr>
          <w:rFonts w:ascii="Arial" w:hAnsi="Arial" w:cs="Arial"/>
          <w:sz w:val="24"/>
          <w:szCs w:val="24"/>
        </w:rPr>
        <w:t>) [20</w:t>
      </w:r>
      <w:r w:rsidR="00C91085">
        <w:rPr>
          <w:rFonts w:ascii="Arial" w:hAnsi="Arial" w:cs="Arial"/>
          <w:sz w:val="24"/>
          <w:szCs w:val="24"/>
        </w:rPr>
        <w:t>1</w:t>
      </w:r>
      <w:r w:rsidR="00D666A4">
        <w:rPr>
          <w:rFonts w:ascii="Arial" w:hAnsi="Arial" w:cs="Arial"/>
          <w:sz w:val="24"/>
          <w:szCs w:val="24"/>
        </w:rPr>
        <w:t>4</w:t>
      </w:r>
      <w:r w:rsidRPr="005D6C92">
        <w:rPr>
          <w:rFonts w:ascii="Arial" w:hAnsi="Arial" w:cs="Arial"/>
          <w:sz w:val="24"/>
          <w:szCs w:val="24"/>
        </w:rPr>
        <w:t>] NAHC</w:t>
      </w:r>
      <w:r w:rsidR="00C91085">
        <w:rPr>
          <w:rFonts w:ascii="Arial" w:hAnsi="Arial" w:cs="Arial"/>
          <w:sz w:val="24"/>
          <w:szCs w:val="24"/>
        </w:rPr>
        <w:t>M</w:t>
      </w:r>
      <w:r w:rsidRPr="005D6C92">
        <w:rPr>
          <w:rFonts w:ascii="Arial" w:hAnsi="Arial" w:cs="Arial"/>
          <w:sz w:val="24"/>
          <w:szCs w:val="24"/>
        </w:rPr>
        <w:t>D</w:t>
      </w:r>
      <w:r w:rsidR="00D666A4">
        <w:rPr>
          <w:rFonts w:ascii="Arial" w:hAnsi="Arial" w:cs="Arial"/>
          <w:sz w:val="24"/>
          <w:szCs w:val="24"/>
        </w:rPr>
        <w:t xml:space="preserve"> </w:t>
      </w:r>
      <w:r w:rsidR="00793F90">
        <w:rPr>
          <w:rFonts w:ascii="Arial" w:hAnsi="Arial" w:cs="Arial"/>
          <w:sz w:val="24"/>
          <w:szCs w:val="24"/>
        </w:rPr>
        <w:t xml:space="preserve">98 </w:t>
      </w:r>
      <w:r w:rsidRPr="005D6C92">
        <w:rPr>
          <w:rFonts w:ascii="Arial" w:hAnsi="Arial" w:cs="Arial"/>
          <w:sz w:val="24"/>
          <w:szCs w:val="24"/>
        </w:rPr>
        <w:t>(</w:t>
      </w:r>
      <w:r w:rsidR="00306AF4">
        <w:rPr>
          <w:rFonts w:ascii="Arial" w:hAnsi="Arial" w:cs="Arial"/>
          <w:sz w:val="24"/>
          <w:szCs w:val="24"/>
        </w:rPr>
        <w:t xml:space="preserve"> </w:t>
      </w:r>
      <w:r w:rsidR="00380094">
        <w:rPr>
          <w:rFonts w:ascii="Arial" w:hAnsi="Arial" w:cs="Arial"/>
          <w:sz w:val="24"/>
          <w:szCs w:val="24"/>
        </w:rPr>
        <w:t>26</w:t>
      </w:r>
      <w:r w:rsidR="00696F40">
        <w:rPr>
          <w:rFonts w:ascii="Arial" w:hAnsi="Arial" w:cs="Arial"/>
          <w:sz w:val="24"/>
          <w:szCs w:val="24"/>
        </w:rPr>
        <w:t xml:space="preserve"> March</w:t>
      </w:r>
      <w:r w:rsidR="004362B5">
        <w:rPr>
          <w:rFonts w:ascii="Arial" w:hAnsi="Arial" w:cs="Arial"/>
          <w:sz w:val="24"/>
          <w:szCs w:val="24"/>
        </w:rPr>
        <w:t xml:space="preserve"> </w:t>
      </w:r>
      <w:r w:rsidRPr="005D6C92">
        <w:rPr>
          <w:rFonts w:ascii="Arial" w:hAnsi="Arial" w:cs="Arial"/>
          <w:sz w:val="24"/>
          <w:szCs w:val="24"/>
        </w:rPr>
        <w:t>20</w:t>
      </w:r>
      <w:r w:rsidR="00C91085">
        <w:rPr>
          <w:rFonts w:ascii="Arial" w:hAnsi="Arial" w:cs="Arial"/>
          <w:sz w:val="24"/>
          <w:szCs w:val="24"/>
        </w:rPr>
        <w:t>1</w:t>
      </w:r>
      <w:r w:rsidR="009944F5">
        <w:rPr>
          <w:rFonts w:ascii="Arial" w:hAnsi="Arial" w:cs="Arial"/>
          <w:sz w:val="24"/>
          <w:szCs w:val="24"/>
        </w:rPr>
        <w:t>4</w:t>
      </w:r>
      <w:r w:rsidRPr="005D6C92">
        <w:rPr>
          <w:rFonts w:ascii="Arial" w:hAnsi="Arial" w:cs="Arial"/>
          <w:sz w:val="24"/>
          <w:szCs w:val="24"/>
        </w:rPr>
        <w:t>)</w:t>
      </w:r>
    </w:p>
    <w:p w:rsidR="001B7E1F" w:rsidRPr="006E026B" w:rsidRDefault="001B7E1F" w:rsidP="00AD545C">
      <w:pPr>
        <w:spacing w:after="0" w:line="360" w:lineRule="auto"/>
        <w:ind w:left="2160" w:hanging="2160"/>
        <w:jc w:val="both"/>
        <w:rPr>
          <w:rFonts w:ascii="Arial" w:hAnsi="Arial" w:cs="Arial"/>
          <w:sz w:val="24"/>
          <w:szCs w:val="24"/>
        </w:rPr>
      </w:pPr>
    </w:p>
    <w:p w:rsidR="001B7E1F" w:rsidRPr="006E026B" w:rsidRDefault="001B7E1F" w:rsidP="00AD545C">
      <w:pPr>
        <w:spacing w:after="0" w:line="360" w:lineRule="auto"/>
        <w:ind w:left="1440" w:hanging="1440"/>
        <w:jc w:val="both"/>
        <w:rPr>
          <w:rFonts w:ascii="Arial" w:hAnsi="Arial" w:cs="Arial"/>
          <w:b/>
          <w:i/>
          <w:sz w:val="24"/>
          <w:szCs w:val="24"/>
        </w:rPr>
      </w:pPr>
      <w:r w:rsidRPr="006E026B">
        <w:rPr>
          <w:rFonts w:ascii="Arial" w:hAnsi="Arial" w:cs="Arial"/>
          <w:b/>
          <w:sz w:val="24"/>
          <w:szCs w:val="24"/>
        </w:rPr>
        <w:t>Coram:</w:t>
      </w:r>
      <w:r w:rsidRPr="006E026B">
        <w:rPr>
          <w:rFonts w:ascii="Arial" w:hAnsi="Arial" w:cs="Arial"/>
          <w:sz w:val="24"/>
          <w:szCs w:val="24"/>
        </w:rPr>
        <w:tab/>
      </w:r>
      <w:r w:rsidR="00DB05C6">
        <w:rPr>
          <w:rFonts w:ascii="Arial" w:hAnsi="Arial" w:cs="Arial"/>
          <w:sz w:val="24"/>
          <w:szCs w:val="24"/>
        </w:rPr>
        <w:t>CHEDA</w:t>
      </w:r>
      <w:r w:rsidR="003746E3">
        <w:rPr>
          <w:rFonts w:ascii="Arial" w:hAnsi="Arial" w:cs="Arial"/>
          <w:sz w:val="24"/>
          <w:szCs w:val="24"/>
        </w:rPr>
        <w:t xml:space="preserve"> J</w:t>
      </w:r>
    </w:p>
    <w:p w:rsidR="001B7E1F" w:rsidRPr="006E026B" w:rsidRDefault="001B7E1F" w:rsidP="00AD545C">
      <w:pPr>
        <w:spacing w:after="0" w:line="360" w:lineRule="auto"/>
        <w:rPr>
          <w:rFonts w:ascii="Arial" w:hAnsi="Arial" w:cs="Arial"/>
          <w:b/>
          <w:sz w:val="24"/>
          <w:szCs w:val="24"/>
        </w:rPr>
      </w:pPr>
      <w:r w:rsidRPr="006E026B">
        <w:rPr>
          <w:rFonts w:ascii="Arial" w:hAnsi="Arial" w:cs="Arial"/>
          <w:b/>
          <w:bCs/>
          <w:sz w:val="24"/>
          <w:szCs w:val="24"/>
        </w:rPr>
        <w:t>Heard</w:t>
      </w:r>
      <w:r w:rsidRPr="006E026B">
        <w:rPr>
          <w:rFonts w:ascii="Arial" w:hAnsi="Arial" w:cs="Arial"/>
          <w:sz w:val="24"/>
          <w:szCs w:val="24"/>
        </w:rPr>
        <w:t>:</w:t>
      </w:r>
      <w:r w:rsidRPr="006E026B">
        <w:rPr>
          <w:rFonts w:ascii="Arial" w:hAnsi="Arial" w:cs="Arial"/>
          <w:sz w:val="24"/>
          <w:szCs w:val="24"/>
        </w:rPr>
        <w:tab/>
      </w:r>
      <w:r w:rsidR="00306AF4">
        <w:rPr>
          <w:rFonts w:ascii="Arial" w:hAnsi="Arial" w:cs="Arial"/>
          <w:sz w:val="24"/>
          <w:szCs w:val="24"/>
        </w:rPr>
        <w:t>12 March</w:t>
      </w:r>
      <w:r w:rsidR="00195925">
        <w:rPr>
          <w:rFonts w:ascii="Arial" w:hAnsi="Arial" w:cs="Arial"/>
          <w:sz w:val="24"/>
          <w:szCs w:val="24"/>
        </w:rPr>
        <w:t xml:space="preserve"> 2014</w:t>
      </w:r>
    </w:p>
    <w:p w:rsidR="001B7E1F" w:rsidRPr="006E026B" w:rsidRDefault="001B7E1F" w:rsidP="00AD545C">
      <w:pPr>
        <w:spacing w:after="0" w:line="360" w:lineRule="auto"/>
        <w:rPr>
          <w:rFonts w:ascii="Arial" w:hAnsi="Arial" w:cs="Arial"/>
          <w:b/>
          <w:sz w:val="24"/>
          <w:szCs w:val="24"/>
        </w:rPr>
      </w:pPr>
      <w:r w:rsidRPr="006E026B">
        <w:rPr>
          <w:rFonts w:ascii="Arial" w:hAnsi="Arial" w:cs="Arial"/>
          <w:b/>
          <w:bCs/>
          <w:sz w:val="24"/>
          <w:szCs w:val="24"/>
        </w:rPr>
        <w:t>Delivered</w:t>
      </w:r>
      <w:r w:rsidRPr="006E026B">
        <w:rPr>
          <w:rFonts w:ascii="Arial" w:hAnsi="Arial" w:cs="Arial"/>
          <w:sz w:val="24"/>
          <w:szCs w:val="24"/>
        </w:rPr>
        <w:t>:</w:t>
      </w:r>
      <w:r w:rsidRPr="006E026B">
        <w:rPr>
          <w:rFonts w:ascii="Arial" w:hAnsi="Arial" w:cs="Arial"/>
          <w:sz w:val="24"/>
          <w:szCs w:val="24"/>
        </w:rPr>
        <w:tab/>
      </w:r>
      <w:r w:rsidR="001868AC">
        <w:rPr>
          <w:rFonts w:ascii="Arial" w:hAnsi="Arial" w:cs="Arial"/>
          <w:sz w:val="24"/>
          <w:szCs w:val="24"/>
        </w:rPr>
        <w:t>26</w:t>
      </w:r>
      <w:r w:rsidR="00696F40">
        <w:rPr>
          <w:rFonts w:ascii="Arial" w:hAnsi="Arial" w:cs="Arial"/>
          <w:sz w:val="24"/>
          <w:szCs w:val="24"/>
        </w:rPr>
        <w:t xml:space="preserve"> March </w:t>
      </w:r>
      <w:r w:rsidR="009944F5" w:rsidRPr="00FE0BCA">
        <w:rPr>
          <w:rFonts w:ascii="Arial" w:hAnsi="Arial" w:cs="Arial"/>
          <w:sz w:val="24"/>
          <w:szCs w:val="24"/>
        </w:rPr>
        <w:t>2014</w:t>
      </w:r>
    </w:p>
    <w:p w:rsidR="00610DEA" w:rsidRDefault="00610DEA" w:rsidP="00AD545C">
      <w:pPr>
        <w:spacing w:after="0" w:line="360" w:lineRule="auto"/>
        <w:jc w:val="both"/>
        <w:rPr>
          <w:rFonts w:ascii="Arial" w:hAnsi="Arial" w:cs="Arial"/>
          <w:b/>
          <w:sz w:val="24"/>
          <w:szCs w:val="24"/>
        </w:rPr>
      </w:pPr>
    </w:p>
    <w:p w:rsidR="007F002B" w:rsidRDefault="00A42B1E" w:rsidP="009944F5">
      <w:pPr>
        <w:spacing w:after="0" w:line="360" w:lineRule="auto"/>
        <w:ind w:left="1440" w:hanging="1440"/>
        <w:jc w:val="both"/>
        <w:rPr>
          <w:rFonts w:ascii="Arial" w:hAnsi="Arial" w:cs="Arial"/>
          <w:sz w:val="24"/>
          <w:szCs w:val="24"/>
        </w:rPr>
      </w:pPr>
      <w:r w:rsidRPr="00A42B1E">
        <w:rPr>
          <w:rFonts w:ascii="Arial" w:hAnsi="Arial" w:cs="Arial"/>
          <w:b/>
          <w:sz w:val="24"/>
          <w:szCs w:val="24"/>
        </w:rPr>
        <w:t>Flynote:</w:t>
      </w:r>
      <w:r w:rsidRPr="00A42B1E">
        <w:rPr>
          <w:rFonts w:ascii="Arial" w:hAnsi="Arial" w:cs="Arial"/>
          <w:b/>
          <w:sz w:val="24"/>
          <w:szCs w:val="24"/>
        </w:rPr>
        <w:tab/>
      </w:r>
      <w:r w:rsidR="001868AC" w:rsidRPr="001868AC">
        <w:rPr>
          <w:rFonts w:ascii="Arial" w:hAnsi="Arial" w:cs="Arial"/>
          <w:sz w:val="24"/>
          <w:szCs w:val="24"/>
        </w:rPr>
        <w:t xml:space="preserve">The </w:t>
      </w:r>
      <w:r w:rsidR="001868AC">
        <w:rPr>
          <w:rFonts w:ascii="Arial" w:hAnsi="Arial" w:cs="Arial"/>
          <w:sz w:val="24"/>
          <w:szCs w:val="24"/>
        </w:rPr>
        <w:t xml:space="preserve">owner of the immovable property is entitled to proceed against a possessor of </w:t>
      </w:r>
      <w:r w:rsidR="00384A01">
        <w:rPr>
          <w:rFonts w:ascii="Arial" w:hAnsi="Arial" w:cs="Arial"/>
          <w:sz w:val="24"/>
          <w:szCs w:val="24"/>
        </w:rPr>
        <w:t>his/her</w:t>
      </w:r>
      <w:r w:rsidR="001868AC">
        <w:rPr>
          <w:rFonts w:ascii="Arial" w:hAnsi="Arial" w:cs="Arial"/>
          <w:sz w:val="24"/>
          <w:szCs w:val="24"/>
        </w:rPr>
        <w:t xml:space="preserve"> property</w:t>
      </w:r>
      <w:r w:rsidR="00384A01">
        <w:rPr>
          <w:rFonts w:ascii="Arial" w:hAnsi="Arial" w:cs="Arial"/>
          <w:sz w:val="24"/>
          <w:szCs w:val="24"/>
        </w:rPr>
        <w:t>.</w:t>
      </w:r>
      <w:r w:rsidR="001868AC">
        <w:rPr>
          <w:rFonts w:ascii="Arial" w:hAnsi="Arial" w:cs="Arial"/>
          <w:sz w:val="24"/>
          <w:szCs w:val="24"/>
        </w:rPr>
        <w:t xml:space="preserve"> - </w:t>
      </w:r>
      <w:r w:rsidR="00384A01">
        <w:rPr>
          <w:rFonts w:ascii="Arial" w:hAnsi="Arial" w:cs="Arial"/>
          <w:sz w:val="24"/>
          <w:szCs w:val="24"/>
        </w:rPr>
        <w:t>A</w:t>
      </w:r>
      <w:r w:rsidR="001868AC">
        <w:rPr>
          <w:rFonts w:ascii="Arial" w:hAnsi="Arial" w:cs="Arial"/>
          <w:sz w:val="24"/>
          <w:szCs w:val="24"/>
        </w:rPr>
        <w:t xml:space="preserve"> party who elects to proceed under the common law principle of </w:t>
      </w:r>
      <w:r w:rsidR="001868AC" w:rsidRPr="001868AC">
        <w:rPr>
          <w:rFonts w:ascii="Arial" w:hAnsi="Arial" w:cs="Arial"/>
          <w:i/>
          <w:sz w:val="24"/>
          <w:szCs w:val="24"/>
        </w:rPr>
        <w:t>rei vindicatio</w:t>
      </w:r>
      <w:r w:rsidR="001868AC">
        <w:rPr>
          <w:rFonts w:ascii="Arial" w:hAnsi="Arial" w:cs="Arial"/>
          <w:sz w:val="24"/>
          <w:szCs w:val="24"/>
        </w:rPr>
        <w:t xml:space="preserve"> is entitled to repossess its property provided that it proves that</w:t>
      </w:r>
      <w:r w:rsidR="00384A01">
        <w:rPr>
          <w:rFonts w:ascii="Arial" w:hAnsi="Arial" w:cs="Arial"/>
          <w:sz w:val="24"/>
          <w:szCs w:val="24"/>
        </w:rPr>
        <w:t>,</w:t>
      </w:r>
      <w:r w:rsidR="001868AC">
        <w:rPr>
          <w:rFonts w:ascii="Arial" w:hAnsi="Arial" w:cs="Arial"/>
          <w:sz w:val="24"/>
          <w:szCs w:val="24"/>
        </w:rPr>
        <w:t xml:space="preserve"> it is the owner and that defendant is in possession of it</w:t>
      </w:r>
      <w:r w:rsidR="00384A01">
        <w:rPr>
          <w:rFonts w:ascii="Arial" w:hAnsi="Arial" w:cs="Arial"/>
          <w:sz w:val="24"/>
          <w:szCs w:val="24"/>
        </w:rPr>
        <w:t>.</w:t>
      </w:r>
      <w:r w:rsidR="001868AC">
        <w:rPr>
          <w:rFonts w:ascii="Arial" w:hAnsi="Arial" w:cs="Arial"/>
          <w:sz w:val="24"/>
          <w:szCs w:val="24"/>
        </w:rPr>
        <w:t xml:space="preserve"> – In rare circumstances the court will bend backwards to allow a lay person to file his/her papers out of time as long as there is no prejudice to the other party – De</w:t>
      </w:r>
      <w:r w:rsidR="00384A01">
        <w:rPr>
          <w:rFonts w:ascii="Arial" w:hAnsi="Arial" w:cs="Arial"/>
          <w:sz w:val="24"/>
          <w:szCs w:val="24"/>
        </w:rPr>
        <w:t>fendant in a summary judgment is</w:t>
      </w:r>
      <w:r w:rsidR="001868AC">
        <w:rPr>
          <w:rFonts w:ascii="Arial" w:hAnsi="Arial" w:cs="Arial"/>
          <w:sz w:val="24"/>
          <w:szCs w:val="24"/>
        </w:rPr>
        <w:t xml:space="preserve"> not allowed to introduce new matters other than through a proper application -  An order of co</w:t>
      </w:r>
      <w:r w:rsidR="001A5E1C">
        <w:rPr>
          <w:rFonts w:ascii="Arial" w:hAnsi="Arial" w:cs="Arial"/>
          <w:sz w:val="24"/>
          <w:szCs w:val="24"/>
        </w:rPr>
        <w:t>urt should be obeyed even if the affected party is not happy with it</w:t>
      </w:r>
      <w:r w:rsidR="007F002B">
        <w:rPr>
          <w:rFonts w:ascii="Arial" w:hAnsi="Arial" w:cs="Arial"/>
          <w:sz w:val="24"/>
          <w:szCs w:val="24"/>
        </w:rPr>
        <w:t>.</w:t>
      </w:r>
    </w:p>
    <w:p w:rsidR="00A42B1E" w:rsidRPr="00A42B1E" w:rsidRDefault="001A5E1C" w:rsidP="007F002B">
      <w:pPr>
        <w:spacing w:after="0" w:line="360" w:lineRule="auto"/>
        <w:ind w:left="1440"/>
        <w:jc w:val="both"/>
        <w:rPr>
          <w:rFonts w:ascii="Arial" w:hAnsi="Arial" w:cs="Arial"/>
          <w:sz w:val="24"/>
          <w:szCs w:val="24"/>
        </w:rPr>
      </w:pPr>
      <w:r>
        <w:rPr>
          <w:rFonts w:ascii="Arial" w:hAnsi="Arial" w:cs="Arial"/>
          <w:sz w:val="24"/>
          <w:szCs w:val="24"/>
        </w:rPr>
        <w:lastRenderedPageBreak/>
        <w:t xml:space="preserve">The Deputy Sherriff in </w:t>
      </w:r>
      <w:r w:rsidR="00206D06">
        <w:rPr>
          <w:rFonts w:ascii="Arial" w:hAnsi="Arial" w:cs="Arial"/>
          <w:sz w:val="24"/>
          <w:szCs w:val="24"/>
        </w:rPr>
        <w:t xml:space="preserve">executing an order of the court does so as an officer of the court and is accordingly not carrying out an administrative function </w:t>
      </w:r>
      <w:r w:rsidR="00384A01">
        <w:rPr>
          <w:rFonts w:ascii="Arial" w:hAnsi="Arial" w:cs="Arial"/>
          <w:sz w:val="24"/>
          <w:szCs w:val="24"/>
        </w:rPr>
        <w:t>as he</w:t>
      </w:r>
      <w:r w:rsidR="00206D06">
        <w:rPr>
          <w:rFonts w:ascii="Arial" w:hAnsi="Arial" w:cs="Arial"/>
          <w:sz w:val="24"/>
          <w:szCs w:val="24"/>
        </w:rPr>
        <w:t xml:space="preserve"> does so as an officer of the court – Defendant failed to prove a </w:t>
      </w:r>
      <w:r w:rsidR="00206D06" w:rsidRPr="00206D06">
        <w:rPr>
          <w:rFonts w:ascii="Arial" w:hAnsi="Arial" w:cs="Arial"/>
          <w:i/>
          <w:sz w:val="24"/>
          <w:szCs w:val="24"/>
        </w:rPr>
        <w:t>bona fide</w:t>
      </w:r>
      <w:r w:rsidR="00206D06">
        <w:rPr>
          <w:rFonts w:ascii="Arial" w:hAnsi="Arial" w:cs="Arial"/>
          <w:sz w:val="24"/>
          <w:szCs w:val="24"/>
        </w:rPr>
        <w:t xml:space="preserve"> defence – Application for summary judgment is granted with costs.</w:t>
      </w:r>
    </w:p>
    <w:p w:rsidR="00A42B1E" w:rsidRDefault="00A42B1E" w:rsidP="00A42B1E">
      <w:pPr>
        <w:spacing w:after="0" w:line="360" w:lineRule="auto"/>
        <w:jc w:val="both"/>
        <w:rPr>
          <w:rFonts w:ascii="Arial" w:hAnsi="Arial" w:cs="Arial"/>
          <w:b/>
          <w:sz w:val="24"/>
          <w:szCs w:val="24"/>
        </w:rPr>
      </w:pPr>
    </w:p>
    <w:p w:rsidR="000202D1" w:rsidRPr="00206D06" w:rsidRDefault="00A42B1E" w:rsidP="00CB44FD">
      <w:pPr>
        <w:spacing w:after="0" w:line="360" w:lineRule="auto"/>
        <w:ind w:left="1440" w:hanging="1440"/>
        <w:jc w:val="both"/>
        <w:rPr>
          <w:rFonts w:ascii="Arial" w:hAnsi="Arial" w:cs="Arial"/>
          <w:sz w:val="24"/>
          <w:szCs w:val="24"/>
        </w:rPr>
      </w:pPr>
      <w:r w:rsidRPr="00A42B1E">
        <w:rPr>
          <w:rFonts w:ascii="Arial" w:hAnsi="Arial" w:cs="Arial"/>
          <w:b/>
          <w:sz w:val="24"/>
          <w:szCs w:val="24"/>
        </w:rPr>
        <w:t>Summary:</w:t>
      </w:r>
      <w:r w:rsidRPr="00A42B1E">
        <w:rPr>
          <w:rFonts w:ascii="Arial" w:hAnsi="Arial" w:cs="Arial"/>
          <w:b/>
          <w:sz w:val="24"/>
          <w:szCs w:val="24"/>
        </w:rPr>
        <w:tab/>
      </w:r>
      <w:r w:rsidR="00206D06">
        <w:rPr>
          <w:rFonts w:ascii="Arial" w:hAnsi="Arial" w:cs="Arial"/>
          <w:sz w:val="24"/>
          <w:szCs w:val="24"/>
        </w:rPr>
        <w:t>Applicant sued respondent who defended the matter. Applicant had the immovable property already transferred to itself. Applica</w:t>
      </w:r>
      <w:r w:rsidR="00797FB7">
        <w:rPr>
          <w:rFonts w:ascii="Arial" w:hAnsi="Arial" w:cs="Arial"/>
          <w:sz w:val="24"/>
          <w:szCs w:val="24"/>
        </w:rPr>
        <w:t>tion</w:t>
      </w:r>
      <w:r w:rsidR="00206D06">
        <w:rPr>
          <w:rFonts w:ascii="Arial" w:hAnsi="Arial" w:cs="Arial"/>
          <w:sz w:val="24"/>
          <w:szCs w:val="24"/>
        </w:rPr>
        <w:t xml:space="preserve"> for a </w:t>
      </w:r>
      <w:r w:rsidR="00206D06" w:rsidRPr="00206D06">
        <w:rPr>
          <w:rFonts w:ascii="Arial" w:hAnsi="Arial" w:cs="Arial"/>
          <w:i/>
          <w:sz w:val="24"/>
          <w:szCs w:val="24"/>
        </w:rPr>
        <w:t>rei vindication</w:t>
      </w:r>
      <w:r w:rsidR="00206D06">
        <w:rPr>
          <w:rFonts w:ascii="Arial" w:hAnsi="Arial" w:cs="Arial"/>
          <w:sz w:val="24"/>
          <w:szCs w:val="24"/>
        </w:rPr>
        <w:t xml:space="preserve"> was made. Applicant </w:t>
      </w:r>
      <w:r w:rsidR="00384A01">
        <w:rPr>
          <w:rFonts w:ascii="Arial" w:hAnsi="Arial" w:cs="Arial"/>
          <w:sz w:val="24"/>
          <w:szCs w:val="24"/>
        </w:rPr>
        <w:t>proved</w:t>
      </w:r>
      <w:r w:rsidR="00206D06">
        <w:rPr>
          <w:rFonts w:ascii="Arial" w:hAnsi="Arial" w:cs="Arial"/>
          <w:sz w:val="24"/>
          <w:szCs w:val="24"/>
        </w:rPr>
        <w:t xml:space="preserve"> that the property was registered under its name and respondent was refusing to give vacant possession. Respondent sought to introduce a new matter in an unprocedural manner. Respondent argued that the Deputy Sheriff acted unlawfully as he was acting</w:t>
      </w:r>
      <w:r w:rsidR="00384A01">
        <w:rPr>
          <w:rFonts w:ascii="Arial" w:hAnsi="Arial" w:cs="Arial"/>
          <w:sz w:val="24"/>
          <w:szCs w:val="24"/>
        </w:rPr>
        <w:t xml:space="preserve"> in an administrative capacity.</w:t>
      </w:r>
    </w:p>
    <w:p w:rsidR="009E51DA" w:rsidRPr="00A42B1E" w:rsidRDefault="009E51DA" w:rsidP="00A42B1E">
      <w:pPr>
        <w:spacing w:after="0" w:line="360" w:lineRule="auto"/>
        <w:jc w:val="both"/>
        <w:rPr>
          <w:rFonts w:ascii="Arial" w:hAnsi="Arial" w:cs="Arial"/>
          <w:sz w:val="24"/>
          <w:szCs w:val="24"/>
        </w:rPr>
      </w:pPr>
    </w:p>
    <w:p w:rsidR="00A41625" w:rsidRPr="006E026B" w:rsidRDefault="00720315" w:rsidP="00AD545C">
      <w:pPr>
        <w:spacing w:after="0" w:line="360" w:lineRule="auto"/>
        <w:jc w:val="both"/>
        <w:rPr>
          <w:rFonts w:ascii="Arial" w:hAnsi="Arial" w:cs="Arial"/>
          <w:bCs/>
          <w:sz w:val="24"/>
          <w:szCs w:val="24"/>
        </w:rPr>
      </w:pPr>
      <w:r>
        <w:rPr>
          <w:rFonts w:ascii="Arial" w:hAnsi="Arial" w:cs="Arial"/>
          <w:bCs/>
          <w:sz w:val="24"/>
          <w:szCs w:val="24"/>
        </w:rPr>
        <w:pict>
          <v:rect id="_x0000_i1025" style="width:0;height:1.5pt" o:hralign="center" o:hrstd="t" o:hr="t" fillcolor="#a0a0a0" stroked="f"/>
        </w:pict>
      </w:r>
    </w:p>
    <w:p w:rsidR="00A41625" w:rsidRPr="006E026B" w:rsidRDefault="00A41625" w:rsidP="00AD545C">
      <w:pPr>
        <w:spacing w:after="0" w:line="360" w:lineRule="auto"/>
        <w:jc w:val="center"/>
        <w:rPr>
          <w:rFonts w:ascii="Arial" w:hAnsi="Arial" w:cs="Arial"/>
          <w:b/>
          <w:bCs/>
          <w:sz w:val="24"/>
          <w:szCs w:val="24"/>
        </w:rPr>
      </w:pPr>
      <w:r w:rsidRPr="006E026B">
        <w:rPr>
          <w:rFonts w:ascii="Arial" w:hAnsi="Arial" w:cs="Arial"/>
          <w:b/>
          <w:bCs/>
          <w:sz w:val="24"/>
          <w:szCs w:val="24"/>
        </w:rPr>
        <w:t>ORDER</w:t>
      </w:r>
    </w:p>
    <w:p w:rsidR="00A41625" w:rsidRPr="006E026B" w:rsidRDefault="00720315" w:rsidP="00AD545C">
      <w:pPr>
        <w:spacing w:after="0" w:line="360" w:lineRule="auto"/>
        <w:jc w:val="center"/>
        <w:rPr>
          <w:rFonts w:ascii="Arial" w:hAnsi="Arial" w:cs="Arial"/>
          <w:b/>
          <w:bCs/>
          <w:sz w:val="24"/>
          <w:szCs w:val="24"/>
        </w:rPr>
      </w:pPr>
      <w:r>
        <w:rPr>
          <w:rFonts w:ascii="Arial" w:hAnsi="Arial" w:cs="Arial"/>
          <w:bCs/>
          <w:sz w:val="24"/>
          <w:szCs w:val="24"/>
        </w:rPr>
        <w:pict>
          <v:rect id="_x0000_i1026" style="width:0;height:1.5pt" o:hralign="center" o:hrstd="t" o:hr="t" fillcolor="#a0a0a0" stroked="f"/>
        </w:pict>
      </w:r>
    </w:p>
    <w:p w:rsidR="00CB44FD" w:rsidRDefault="00CB44FD" w:rsidP="00AD545C">
      <w:pPr>
        <w:spacing w:after="0" w:line="360" w:lineRule="auto"/>
        <w:jc w:val="both"/>
        <w:rPr>
          <w:rFonts w:ascii="Arial" w:hAnsi="Arial" w:cs="Arial"/>
          <w:sz w:val="24"/>
          <w:szCs w:val="24"/>
        </w:rPr>
      </w:pPr>
    </w:p>
    <w:p w:rsidR="0022023E" w:rsidRPr="0022023E" w:rsidRDefault="0022023E" w:rsidP="0022023E">
      <w:pPr>
        <w:spacing w:after="0" w:line="360" w:lineRule="auto"/>
        <w:jc w:val="both"/>
        <w:rPr>
          <w:rFonts w:ascii="Arial" w:hAnsi="Arial" w:cs="Arial"/>
          <w:sz w:val="24"/>
          <w:szCs w:val="24"/>
        </w:rPr>
      </w:pPr>
      <w:r w:rsidRPr="0022023E">
        <w:rPr>
          <w:rFonts w:ascii="Arial" w:hAnsi="Arial" w:cs="Arial"/>
          <w:sz w:val="24"/>
          <w:szCs w:val="24"/>
        </w:rPr>
        <w:t>1)</w:t>
      </w:r>
      <w:r w:rsidRPr="0022023E">
        <w:rPr>
          <w:rFonts w:ascii="Arial" w:hAnsi="Arial" w:cs="Arial"/>
          <w:sz w:val="24"/>
          <w:szCs w:val="24"/>
        </w:rPr>
        <w:tab/>
        <w:t>The application for summary judgment succeeds</w:t>
      </w:r>
      <w:r>
        <w:rPr>
          <w:rFonts w:ascii="Arial" w:hAnsi="Arial" w:cs="Arial"/>
          <w:sz w:val="24"/>
          <w:szCs w:val="24"/>
        </w:rPr>
        <w:t>;</w:t>
      </w:r>
    </w:p>
    <w:p w:rsidR="00195925" w:rsidRDefault="0022023E" w:rsidP="0022023E">
      <w:pPr>
        <w:spacing w:after="0" w:line="360" w:lineRule="auto"/>
        <w:ind w:left="720" w:hanging="720"/>
        <w:jc w:val="both"/>
        <w:rPr>
          <w:rFonts w:ascii="Arial" w:hAnsi="Arial" w:cs="Arial"/>
          <w:sz w:val="24"/>
          <w:szCs w:val="24"/>
        </w:rPr>
      </w:pPr>
      <w:r w:rsidRPr="0022023E">
        <w:rPr>
          <w:rFonts w:ascii="Arial" w:hAnsi="Arial" w:cs="Arial"/>
          <w:sz w:val="24"/>
          <w:szCs w:val="24"/>
        </w:rPr>
        <w:t>2)</w:t>
      </w:r>
      <w:r w:rsidRPr="0022023E">
        <w:rPr>
          <w:rFonts w:ascii="Arial" w:hAnsi="Arial" w:cs="Arial"/>
          <w:sz w:val="24"/>
          <w:szCs w:val="24"/>
        </w:rPr>
        <w:tab/>
        <w:t>Respondent be and is hereby ordered to pay costs of this application and such costs shall be for one instructing and one instructed counsel.</w:t>
      </w:r>
    </w:p>
    <w:p w:rsidR="001B7E1F" w:rsidRPr="006E026B" w:rsidRDefault="00720315" w:rsidP="00AD545C">
      <w:pPr>
        <w:spacing w:after="0" w:line="360" w:lineRule="auto"/>
        <w:jc w:val="both"/>
        <w:rPr>
          <w:rFonts w:ascii="Arial" w:hAnsi="Arial" w:cs="Arial"/>
          <w:bCs/>
          <w:sz w:val="24"/>
          <w:szCs w:val="24"/>
        </w:rPr>
      </w:pPr>
      <w:r>
        <w:rPr>
          <w:rFonts w:ascii="Arial" w:hAnsi="Arial" w:cs="Arial"/>
          <w:bCs/>
          <w:sz w:val="24"/>
          <w:szCs w:val="24"/>
        </w:rPr>
        <w:pict>
          <v:rect id="_x0000_i1027" style="width:0;height:1.5pt" o:hralign="center" o:hrstd="t" o:hr="t" fillcolor="#a0a0a0" stroked="f"/>
        </w:pict>
      </w:r>
    </w:p>
    <w:p w:rsidR="001B7E1F" w:rsidRPr="006E026B" w:rsidRDefault="00E84878" w:rsidP="00AD545C">
      <w:pPr>
        <w:spacing w:after="0" w:line="360" w:lineRule="auto"/>
        <w:jc w:val="center"/>
        <w:rPr>
          <w:rFonts w:ascii="Arial" w:hAnsi="Arial" w:cs="Arial"/>
          <w:b/>
          <w:sz w:val="24"/>
          <w:szCs w:val="24"/>
        </w:rPr>
      </w:pPr>
      <w:r>
        <w:rPr>
          <w:rFonts w:ascii="Arial" w:hAnsi="Arial" w:cs="Arial"/>
          <w:b/>
          <w:sz w:val="24"/>
          <w:szCs w:val="24"/>
        </w:rPr>
        <w:t>JUDGMENT</w:t>
      </w:r>
    </w:p>
    <w:p w:rsidR="001B7E1F" w:rsidRDefault="00720315" w:rsidP="00AD545C">
      <w:pPr>
        <w:spacing w:after="0" w:line="360" w:lineRule="auto"/>
        <w:jc w:val="center"/>
        <w:rPr>
          <w:rFonts w:ascii="Arial" w:hAnsi="Arial" w:cs="Arial"/>
          <w:bCs/>
          <w:sz w:val="24"/>
          <w:szCs w:val="24"/>
        </w:rPr>
      </w:pPr>
      <w:r>
        <w:rPr>
          <w:rFonts w:ascii="Arial" w:hAnsi="Arial" w:cs="Arial"/>
          <w:bCs/>
          <w:sz w:val="24"/>
          <w:szCs w:val="24"/>
        </w:rPr>
        <w:pict>
          <v:rect id="_x0000_i1028" style="width:0;height:1.5pt" o:hralign="center" o:hrstd="t" o:hr="t" fillcolor="#a0a0a0" stroked="f"/>
        </w:pict>
      </w:r>
    </w:p>
    <w:p w:rsidR="008E3021" w:rsidRPr="006E026B" w:rsidRDefault="008E3021" w:rsidP="00352902">
      <w:pPr>
        <w:spacing w:after="0" w:line="360" w:lineRule="auto"/>
        <w:jc w:val="both"/>
        <w:rPr>
          <w:rFonts w:ascii="Arial" w:hAnsi="Arial" w:cs="Arial"/>
          <w:sz w:val="24"/>
          <w:szCs w:val="24"/>
        </w:rPr>
      </w:pPr>
    </w:p>
    <w:p w:rsidR="00970464" w:rsidRDefault="00DB05C6" w:rsidP="00970464">
      <w:pPr>
        <w:spacing w:after="0" w:line="360" w:lineRule="auto"/>
        <w:jc w:val="both"/>
        <w:rPr>
          <w:rFonts w:ascii="Arial" w:hAnsi="Arial" w:cs="Arial"/>
          <w:sz w:val="24"/>
          <w:szCs w:val="24"/>
        </w:rPr>
      </w:pPr>
      <w:r>
        <w:rPr>
          <w:rFonts w:ascii="Arial" w:hAnsi="Arial" w:cs="Arial"/>
          <w:b/>
          <w:sz w:val="24"/>
          <w:szCs w:val="24"/>
        </w:rPr>
        <w:t>CHEDA</w:t>
      </w:r>
      <w:r w:rsidR="00C91085">
        <w:rPr>
          <w:rFonts w:ascii="Arial" w:hAnsi="Arial" w:cs="Arial"/>
          <w:b/>
          <w:sz w:val="24"/>
          <w:szCs w:val="24"/>
        </w:rPr>
        <w:t xml:space="preserve"> J</w:t>
      </w:r>
      <w:r w:rsidR="00C91085" w:rsidRPr="006E026B">
        <w:rPr>
          <w:rFonts w:ascii="Arial" w:hAnsi="Arial" w:cs="Arial"/>
          <w:sz w:val="24"/>
          <w:szCs w:val="24"/>
        </w:rPr>
        <w:t xml:space="preserve"> </w:t>
      </w:r>
      <w:r w:rsidR="00255F24">
        <w:rPr>
          <w:rFonts w:ascii="Arial" w:hAnsi="Arial" w:cs="Arial"/>
          <w:sz w:val="24"/>
          <w:szCs w:val="24"/>
        </w:rPr>
        <w:t>[1]</w:t>
      </w:r>
      <w:r w:rsidR="00255F24">
        <w:rPr>
          <w:rFonts w:ascii="Arial" w:hAnsi="Arial" w:cs="Arial"/>
          <w:sz w:val="24"/>
          <w:szCs w:val="24"/>
        </w:rPr>
        <w:tab/>
      </w:r>
      <w:r w:rsidR="00306AF4">
        <w:rPr>
          <w:rFonts w:ascii="Arial" w:hAnsi="Arial" w:cs="Arial"/>
          <w:sz w:val="24"/>
          <w:szCs w:val="24"/>
        </w:rPr>
        <w:t>This is an application for summary judgment.</w:t>
      </w:r>
      <w:r w:rsidR="009D286F">
        <w:rPr>
          <w:rFonts w:ascii="Arial" w:hAnsi="Arial" w:cs="Arial"/>
          <w:sz w:val="24"/>
          <w:szCs w:val="24"/>
        </w:rPr>
        <w:t>.</w:t>
      </w:r>
    </w:p>
    <w:p w:rsidR="00FD2F0A" w:rsidRDefault="00FD2F0A" w:rsidP="00FD2F0A">
      <w:pPr>
        <w:spacing w:after="0" w:line="360" w:lineRule="auto"/>
        <w:jc w:val="both"/>
        <w:rPr>
          <w:rFonts w:ascii="Arial" w:hAnsi="Arial" w:cs="Arial"/>
          <w:sz w:val="24"/>
          <w:szCs w:val="24"/>
        </w:rPr>
      </w:pPr>
    </w:p>
    <w:p w:rsidR="00FD2F0A" w:rsidRPr="00FD2F0A" w:rsidRDefault="00FD2F0A" w:rsidP="00FD2F0A">
      <w:pPr>
        <w:spacing w:after="0"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00306AF4">
        <w:rPr>
          <w:rFonts w:ascii="Arial" w:hAnsi="Arial" w:cs="Arial"/>
          <w:sz w:val="24"/>
          <w:szCs w:val="24"/>
        </w:rPr>
        <w:t xml:space="preserve">The background of this application is that plaintiff is a </w:t>
      </w:r>
      <w:r w:rsidR="0085003C">
        <w:rPr>
          <w:rFonts w:ascii="Arial" w:hAnsi="Arial" w:cs="Arial"/>
          <w:sz w:val="24"/>
          <w:szCs w:val="24"/>
        </w:rPr>
        <w:t xml:space="preserve">registered </w:t>
      </w:r>
      <w:r w:rsidR="00306AF4">
        <w:rPr>
          <w:rFonts w:ascii="Arial" w:hAnsi="Arial" w:cs="Arial"/>
          <w:sz w:val="24"/>
          <w:szCs w:val="24"/>
        </w:rPr>
        <w:t xml:space="preserve">financial institution </w:t>
      </w:r>
      <w:r w:rsidR="0085003C">
        <w:rPr>
          <w:rFonts w:ascii="Arial" w:hAnsi="Arial" w:cs="Arial"/>
          <w:sz w:val="24"/>
          <w:szCs w:val="24"/>
        </w:rPr>
        <w:t>and operating as such under the Banking Laws of Namibia</w:t>
      </w:r>
      <w:r w:rsidR="00306AF4">
        <w:rPr>
          <w:rFonts w:ascii="Arial" w:hAnsi="Arial" w:cs="Arial"/>
          <w:sz w:val="24"/>
          <w:szCs w:val="24"/>
        </w:rPr>
        <w:t xml:space="preserve">[hereinafter referred to as “the bank”]. </w:t>
      </w:r>
      <w:r w:rsidR="00B006CF">
        <w:rPr>
          <w:rFonts w:ascii="Arial" w:hAnsi="Arial" w:cs="Arial"/>
          <w:sz w:val="24"/>
          <w:szCs w:val="24"/>
        </w:rPr>
        <w:t>R</w:t>
      </w:r>
      <w:r w:rsidR="00306AF4">
        <w:rPr>
          <w:rFonts w:ascii="Arial" w:hAnsi="Arial" w:cs="Arial"/>
          <w:sz w:val="24"/>
          <w:szCs w:val="24"/>
        </w:rPr>
        <w:t xml:space="preserve">espondent/defendant was a borrower from the said bank. Applicant issued out summons </w:t>
      </w:r>
      <w:r w:rsidR="00696F40">
        <w:rPr>
          <w:rFonts w:ascii="Arial" w:hAnsi="Arial" w:cs="Arial"/>
          <w:sz w:val="24"/>
          <w:szCs w:val="24"/>
        </w:rPr>
        <w:t xml:space="preserve">out of this court </w:t>
      </w:r>
      <w:r w:rsidR="00B006CF">
        <w:rPr>
          <w:rFonts w:ascii="Arial" w:hAnsi="Arial" w:cs="Arial"/>
          <w:sz w:val="24"/>
          <w:szCs w:val="24"/>
        </w:rPr>
        <w:t>for defendant’s eviction and the said summons was duly served</w:t>
      </w:r>
      <w:r w:rsidR="00696F40">
        <w:rPr>
          <w:rFonts w:ascii="Arial" w:hAnsi="Arial" w:cs="Arial"/>
          <w:sz w:val="24"/>
          <w:szCs w:val="24"/>
        </w:rPr>
        <w:t>.</w:t>
      </w:r>
    </w:p>
    <w:p w:rsidR="005D6B51" w:rsidRDefault="005D6B51" w:rsidP="00970464">
      <w:pPr>
        <w:spacing w:after="0" w:line="360" w:lineRule="auto"/>
        <w:ind w:right="27"/>
        <w:jc w:val="both"/>
        <w:rPr>
          <w:rFonts w:ascii="Arial" w:hAnsi="Arial" w:cs="Arial"/>
          <w:sz w:val="24"/>
          <w:szCs w:val="24"/>
        </w:rPr>
      </w:pPr>
    </w:p>
    <w:p w:rsidR="002C07AC" w:rsidRDefault="002C07AC" w:rsidP="00970464">
      <w:pPr>
        <w:spacing w:after="0" w:line="360" w:lineRule="auto"/>
        <w:ind w:right="27"/>
        <w:jc w:val="both"/>
        <w:rPr>
          <w:rFonts w:ascii="Arial" w:hAnsi="Arial" w:cs="Arial"/>
          <w:sz w:val="24"/>
          <w:szCs w:val="24"/>
        </w:rPr>
      </w:pPr>
    </w:p>
    <w:p w:rsidR="002C07AC" w:rsidRPr="00970464" w:rsidRDefault="002C07AC" w:rsidP="00970464">
      <w:pPr>
        <w:spacing w:after="0" w:line="360" w:lineRule="auto"/>
        <w:ind w:right="27"/>
        <w:jc w:val="both"/>
        <w:rPr>
          <w:rFonts w:ascii="Arial" w:hAnsi="Arial" w:cs="Arial"/>
          <w:sz w:val="24"/>
          <w:szCs w:val="24"/>
        </w:rPr>
      </w:pPr>
    </w:p>
    <w:p w:rsidR="003961DA" w:rsidRDefault="004C6BD5" w:rsidP="004C6BD5">
      <w:pPr>
        <w:spacing w:after="0" w:line="360" w:lineRule="auto"/>
        <w:ind w:right="27"/>
        <w:jc w:val="both"/>
        <w:rPr>
          <w:rFonts w:ascii="Arial" w:hAnsi="Arial" w:cs="Arial"/>
          <w:sz w:val="24"/>
          <w:szCs w:val="24"/>
        </w:rPr>
      </w:pPr>
      <w:r>
        <w:rPr>
          <w:rFonts w:ascii="Arial" w:hAnsi="Arial" w:cs="Arial"/>
          <w:sz w:val="24"/>
          <w:szCs w:val="24"/>
        </w:rPr>
        <w:lastRenderedPageBreak/>
        <w:t>[3]</w:t>
      </w:r>
      <w:r>
        <w:rPr>
          <w:rFonts w:ascii="Arial" w:hAnsi="Arial" w:cs="Arial"/>
          <w:sz w:val="24"/>
          <w:szCs w:val="24"/>
        </w:rPr>
        <w:tab/>
        <w:t>Respondent/defendant entered an appearance to defend on the 12</w:t>
      </w:r>
      <w:r w:rsidRPr="004C6BD5">
        <w:rPr>
          <w:rFonts w:ascii="Arial" w:hAnsi="Arial" w:cs="Arial"/>
          <w:sz w:val="24"/>
          <w:szCs w:val="24"/>
          <w:vertAlign w:val="superscript"/>
        </w:rPr>
        <w:t>th</w:t>
      </w:r>
      <w:r>
        <w:rPr>
          <w:rFonts w:ascii="Arial" w:hAnsi="Arial" w:cs="Arial"/>
          <w:sz w:val="24"/>
          <w:szCs w:val="24"/>
        </w:rPr>
        <w:t xml:space="preserve"> of August 2013 and served it on applicant on the same day. </w:t>
      </w:r>
    </w:p>
    <w:p w:rsidR="003961DA" w:rsidRDefault="003961DA" w:rsidP="004C6BD5">
      <w:pPr>
        <w:spacing w:after="0" w:line="360" w:lineRule="auto"/>
        <w:ind w:right="27"/>
        <w:jc w:val="both"/>
        <w:rPr>
          <w:rFonts w:ascii="Arial" w:hAnsi="Arial" w:cs="Arial"/>
          <w:sz w:val="24"/>
          <w:szCs w:val="24"/>
        </w:rPr>
      </w:pPr>
    </w:p>
    <w:p w:rsidR="0097276E" w:rsidRDefault="003961DA" w:rsidP="004C6BD5">
      <w:pPr>
        <w:spacing w:after="0" w:line="360" w:lineRule="auto"/>
        <w:ind w:right="27"/>
        <w:jc w:val="both"/>
        <w:rPr>
          <w:rFonts w:ascii="Arial" w:hAnsi="Arial" w:cs="Arial"/>
          <w:sz w:val="24"/>
          <w:szCs w:val="24"/>
        </w:rPr>
      </w:pPr>
      <w:r>
        <w:rPr>
          <w:rFonts w:ascii="Arial" w:hAnsi="Arial" w:cs="Arial"/>
          <w:sz w:val="24"/>
          <w:szCs w:val="24"/>
        </w:rPr>
        <w:t>[4]</w:t>
      </w:r>
      <w:r>
        <w:rPr>
          <w:rFonts w:ascii="Arial" w:hAnsi="Arial" w:cs="Arial"/>
          <w:sz w:val="24"/>
          <w:szCs w:val="24"/>
        </w:rPr>
        <w:tab/>
      </w:r>
      <w:r w:rsidR="0085003C">
        <w:rPr>
          <w:rFonts w:ascii="Arial" w:hAnsi="Arial" w:cs="Arial"/>
          <w:sz w:val="24"/>
          <w:szCs w:val="24"/>
        </w:rPr>
        <w:t xml:space="preserve">Applicant applied for summary judgment which is opposed. </w:t>
      </w:r>
      <w:r w:rsidR="004C6BD5">
        <w:rPr>
          <w:rFonts w:ascii="Arial" w:hAnsi="Arial" w:cs="Arial"/>
          <w:sz w:val="24"/>
          <w:szCs w:val="24"/>
        </w:rPr>
        <w:t xml:space="preserve">The opposition for </w:t>
      </w:r>
      <w:r>
        <w:rPr>
          <w:rFonts w:ascii="Arial" w:hAnsi="Arial" w:cs="Arial"/>
          <w:sz w:val="24"/>
          <w:szCs w:val="24"/>
        </w:rPr>
        <w:t xml:space="preserve">the said </w:t>
      </w:r>
      <w:r w:rsidR="004C6BD5">
        <w:rPr>
          <w:rFonts w:ascii="Arial" w:hAnsi="Arial" w:cs="Arial"/>
          <w:sz w:val="24"/>
          <w:szCs w:val="24"/>
        </w:rPr>
        <w:t xml:space="preserve">summary judgment was initially set down for </w:t>
      </w:r>
      <w:r w:rsidR="0085003C">
        <w:rPr>
          <w:rFonts w:ascii="Arial" w:hAnsi="Arial" w:cs="Arial"/>
          <w:sz w:val="24"/>
          <w:szCs w:val="24"/>
        </w:rPr>
        <w:t xml:space="preserve">the </w:t>
      </w:r>
      <w:r w:rsidR="004C6BD5">
        <w:rPr>
          <w:rFonts w:ascii="Arial" w:hAnsi="Arial" w:cs="Arial"/>
          <w:sz w:val="24"/>
          <w:szCs w:val="24"/>
        </w:rPr>
        <w:t xml:space="preserve">13 September 2013. On </w:t>
      </w:r>
      <w:r w:rsidR="00696F40">
        <w:rPr>
          <w:rFonts w:ascii="Arial" w:hAnsi="Arial" w:cs="Arial"/>
          <w:sz w:val="24"/>
          <w:szCs w:val="24"/>
        </w:rPr>
        <w:t>that day r</w:t>
      </w:r>
      <w:r w:rsidR="004C6BD5">
        <w:rPr>
          <w:rFonts w:ascii="Arial" w:hAnsi="Arial" w:cs="Arial"/>
          <w:sz w:val="24"/>
          <w:szCs w:val="24"/>
        </w:rPr>
        <w:t xml:space="preserve">espondent served applicant </w:t>
      </w:r>
      <w:r w:rsidR="00696F40">
        <w:rPr>
          <w:rFonts w:ascii="Arial" w:hAnsi="Arial" w:cs="Arial"/>
          <w:sz w:val="24"/>
          <w:szCs w:val="24"/>
        </w:rPr>
        <w:t xml:space="preserve">with </w:t>
      </w:r>
      <w:r w:rsidR="004C6BD5">
        <w:rPr>
          <w:rFonts w:ascii="Arial" w:hAnsi="Arial" w:cs="Arial"/>
          <w:sz w:val="24"/>
          <w:szCs w:val="24"/>
        </w:rPr>
        <w:t>a notice of opposition and the matter was then set down for hearing on the 4</w:t>
      </w:r>
      <w:r w:rsidR="004C6BD5" w:rsidRPr="004C6BD5">
        <w:rPr>
          <w:rFonts w:ascii="Arial" w:hAnsi="Arial" w:cs="Arial"/>
          <w:sz w:val="24"/>
          <w:szCs w:val="24"/>
          <w:vertAlign w:val="superscript"/>
        </w:rPr>
        <w:t>th</w:t>
      </w:r>
      <w:r w:rsidR="004C6BD5">
        <w:rPr>
          <w:rFonts w:ascii="Arial" w:hAnsi="Arial" w:cs="Arial"/>
          <w:sz w:val="24"/>
          <w:szCs w:val="24"/>
        </w:rPr>
        <w:t xml:space="preserve"> of March 2014.</w:t>
      </w:r>
    </w:p>
    <w:p w:rsidR="004C6BD5" w:rsidRDefault="004C6BD5" w:rsidP="004C6BD5">
      <w:pPr>
        <w:spacing w:after="0" w:line="360" w:lineRule="auto"/>
        <w:ind w:right="27"/>
        <w:jc w:val="both"/>
        <w:rPr>
          <w:rFonts w:ascii="Arial" w:hAnsi="Arial" w:cs="Arial"/>
          <w:sz w:val="24"/>
          <w:szCs w:val="24"/>
        </w:rPr>
      </w:pPr>
    </w:p>
    <w:p w:rsidR="004C6BD5" w:rsidRDefault="004C6BD5" w:rsidP="004C6BD5">
      <w:pPr>
        <w:spacing w:after="0" w:line="360" w:lineRule="auto"/>
        <w:ind w:right="27"/>
        <w:jc w:val="both"/>
        <w:rPr>
          <w:rFonts w:ascii="Arial" w:hAnsi="Arial" w:cs="Arial"/>
          <w:sz w:val="24"/>
          <w:szCs w:val="24"/>
        </w:rPr>
      </w:pPr>
      <w:r>
        <w:rPr>
          <w:rFonts w:ascii="Arial" w:hAnsi="Arial" w:cs="Arial"/>
          <w:sz w:val="24"/>
          <w:szCs w:val="24"/>
        </w:rPr>
        <w:t>[</w:t>
      </w:r>
      <w:r w:rsidR="003961DA">
        <w:rPr>
          <w:rFonts w:ascii="Arial" w:hAnsi="Arial" w:cs="Arial"/>
          <w:sz w:val="24"/>
          <w:szCs w:val="24"/>
        </w:rPr>
        <w:t>5</w:t>
      </w:r>
      <w:r>
        <w:rPr>
          <w:rFonts w:ascii="Arial" w:hAnsi="Arial" w:cs="Arial"/>
          <w:sz w:val="24"/>
          <w:szCs w:val="24"/>
        </w:rPr>
        <w:t>]</w:t>
      </w:r>
      <w:r>
        <w:rPr>
          <w:rFonts w:ascii="Arial" w:hAnsi="Arial" w:cs="Arial"/>
          <w:sz w:val="24"/>
          <w:szCs w:val="24"/>
        </w:rPr>
        <w:tab/>
        <w:t>On the date of the hearing, respondent applied for a postponement in order to prepare</w:t>
      </w:r>
      <w:r w:rsidR="00696F40">
        <w:rPr>
          <w:rFonts w:ascii="Arial" w:hAnsi="Arial" w:cs="Arial"/>
          <w:sz w:val="24"/>
          <w:szCs w:val="24"/>
        </w:rPr>
        <w:t xml:space="preserve"> his documents</w:t>
      </w:r>
      <w:r>
        <w:rPr>
          <w:rFonts w:ascii="Arial" w:hAnsi="Arial" w:cs="Arial"/>
          <w:sz w:val="24"/>
          <w:szCs w:val="24"/>
        </w:rPr>
        <w:t xml:space="preserve"> as he alleged that  he wanted more time to prepare his heads of argument in light of the fact that he had only been served with applicant’s heads of argument on the 28</w:t>
      </w:r>
      <w:r w:rsidRPr="004C6BD5">
        <w:rPr>
          <w:rFonts w:ascii="Arial" w:hAnsi="Arial" w:cs="Arial"/>
          <w:sz w:val="24"/>
          <w:szCs w:val="24"/>
          <w:vertAlign w:val="superscript"/>
        </w:rPr>
        <w:t>th</w:t>
      </w:r>
      <w:r>
        <w:rPr>
          <w:rFonts w:ascii="Arial" w:hAnsi="Arial" w:cs="Arial"/>
          <w:sz w:val="24"/>
          <w:szCs w:val="24"/>
        </w:rPr>
        <w:t xml:space="preserve"> of February 2014.</w:t>
      </w:r>
    </w:p>
    <w:p w:rsidR="00C06640" w:rsidRDefault="00C06640" w:rsidP="004C6BD5">
      <w:pPr>
        <w:spacing w:after="0" w:line="360" w:lineRule="auto"/>
        <w:ind w:right="27"/>
        <w:jc w:val="both"/>
        <w:rPr>
          <w:rFonts w:ascii="Arial" w:hAnsi="Arial" w:cs="Arial"/>
          <w:sz w:val="24"/>
          <w:szCs w:val="24"/>
        </w:rPr>
      </w:pPr>
    </w:p>
    <w:p w:rsidR="004C6BD5" w:rsidRDefault="004C6BD5" w:rsidP="004C6BD5">
      <w:pPr>
        <w:spacing w:after="0" w:line="360" w:lineRule="auto"/>
        <w:ind w:right="27"/>
        <w:jc w:val="both"/>
        <w:rPr>
          <w:rFonts w:ascii="Arial" w:hAnsi="Arial" w:cs="Arial"/>
          <w:sz w:val="24"/>
          <w:szCs w:val="24"/>
        </w:rPr>
      </w:pPr>
      <w:r>
        <w:rPr>
          <w:rFonts w:ascii="Arial" w:hAnsi="Arial" w:cs="Arial"/>
          <w:sz w:val="24"/>
          <w:szCs w:val="24"/>
        </w:rPr>
        <w:t>[</w:t>
      </w:r>
      <w:r w:rsidR="003961DA">
        <w:rPr>
          <w:rFonts w:ascii="Arial" w:hAnsi="Arial" w:cs="Arial"/>
          <w:sz w:val="24"/>
          <w:szCs w:val="24"/>
        </w:rPr>
        <w:t>6</w:t>
      </w:r>
      <w:r>
        <w:rPr>
          <w:rFonts w:ascii="Arial" w:hAnsi="Arial" w:cs="Arial"/>
          <w:sz w:val="24"/>
          <w:szCs w:val="24"/>
        </w:rPr>
        <w:t>]</w:t>
      </w:r>
      <w:r>
        <w:rPr>
          <w:rFonts w:ascii="Arial" w:hAnsi="Arial" w:cs="Arial"/>
          <w:sz w:val="24"/>
          <w:szCs w:val="24"/>
        </w:rPr>
        <w:tab/>
        <w:t xml:space="preserve">There is no requirement that respondent should file heads of argument in this type of application. However, bearing in mind that applicant is a lay-person and a self-actor, I </w:t>
      </w:r>
      <w:r w:rsidR="0002535F">
        <w:rPr>
          <w:rFonts w:ascii="Arial" w:hAnsi="Arial" w:cs="Arial"/>
          <w:sz w:val="24"/>
          <w:szCs w:val="24"/>
        </w:rPr>
        <w:t>exercised</w:t>
      </w:r>
      <w:r>
        <w:rPr>
          <w:rFonts w:ascii="Arial" w:hAnsi="Arial" w:cs="Arial"/>
          <w:sz w:val="24"/>
          <w:szCs w:val="24"/>
        </w:rPr>
        <w:t xml:space="preserve"> my </w:t>
      </w:r>
      <w:r w:rsidR="00512F7F">
        <w:rPr>
          <w:rFonts w:ascii="Arial" w:hAnsi="Arial" w:cs="Arial"/>
          <w:sz w:val="24"/>
          <w:szCs w:val="24"/>
        </w:rPr>
        <w:t xml:space="preserve">judicial </w:t>
      </w:r>
      <w:r w:rsidR="0002535F">
        <w:rPr>
          <w:rFonts w:ascii="Arial" w:hAnsi="Arial" w:cs="Arial"/>
          <w:sz w:val="24"/>
          <w:szCs w:val="24"/>
        </w:rPr>
        <w:t>discretion</w:t>
      </w:r>
      <w:r>
        <w:rPr>
          <w:rFonts w:ascii="Arial" w:hAnsi="Arial" w:cs="Arial"/>
          <w:sz w:val="24"/>
          <w:szCs w:val="24"/>
        </w:rPr>
        <w:t xml:space="preserve"> and postponed the matter to 12 March 2014</w:t>
      </w:r>
      <w:r w:rsidR="0002535F">
        <w:rPr>
          <w:rFonts w:ascii="Arial" w:hAnsi="Arial" w:cs="Arial"/>
          <w:sz w:val="24"/>
          <w:szCs w:val="24"/>
        </w:rPr>
        <w:t>, despite</w:t>
      </w:r>
      <w:r>
        <w:rPr>
          <w:rFonts w:ascii="Arial" w:hAnsi="Arial" w:cs="Arial"/>
          <w:sz w:val="24"/>
          <w:szCs w:val="24"/>
        </w:rPr>
        <w:t xml:space="preserve"> applicant</w:t>
      </w:r>
      <w:r w:rsidR="0002535F">
        <w:rPr>
          <w:rFonts w:ascii="Arial" w:hAnsi="Arial" w:cs="Arial"/>
          <w:sz w:val="24"/>
          <w:szCs w:val="24"/>
        </w:rPr>
        <w:t>’s</w:t>
      </w:r>
      <w:r>
        <w:rPr>
          <w:rFonts w:ascii="Arial" w:hAnsi="Arial" w:cs="Arial"/>
          <w:sz w:val="24"/>
          <w:szCs w:val="24"/>
        </w:rPr>
        <w:t xml:space="preserve"> vigorous opposition to such a postponement.</w:t>
      </w:r>
    </w:p>
    <w:p w:rsidR="004C6BD5" w:rsidRDefault="004C6BD5" w:rsidP="004C6BD5">
      <w:pPr>
        <w:spacing w:after="0" w:line="360" w:lineRule="auto"/>
        <w:ind w:right="27"/>
        <w:jc w:val="both"/>
        <w:rPr>
          <w:rFonts w:ascii="Arial" w:hAnsi="Arial" w:cs="Arial"/>
          <w:sz w:val="24"/>
          <w:szCs w:val="24"/>
        </w:rPr>
      </w:pPr>
    </w:p>
    <w:p w:rsidR="004C6BD5" w:rsidRDefault="004C6BD5" w:rsidP="004C6BD5">
      <w:pPr>
        <w:spacing w:after="0" w:line="360" w:lineRule="auto"/>
        <w:ind w:right="27"/>
        <w:jc w:val="both"/>
        <w:rPr>
          <w:rFonts w:ascii="Arial" w:hAnsi="Arial" w:cs="Arial"/>
          <w:sz w:val="24"/>
          <w:szCs w:val="24"/>
        </w:rPr>
      </w:pPr>
      <w:r>
        <w:rPr>
          <w:rFonts w:ascii="Arial" w:hAnsi="Arial" w:cs="Arial"/>
          <w:sz w:val="24"/>
          <w:szCs w:val="24"/>
        </w:rPr>
        <w:t>[</w:t>
      </w:r>
      <w:r w:rsidR="003961DA">
        <w:rPr>
          <w:rFonts w:ascii="Arial" w:hAnsi="Arial" w:cs="Arial"/>
          <w:sz w:val="24"/>
          <w:szCs w:val="24"/>
        </w:rPr>
        <w:t>7</w:t>
      </w:r>
      <w:r>
        <w:rPr>
          <w:rFonts w:ascii="Arial" w:hAnsi="Arial" w:cs="Arial"/>
          <w:sz w:val="24"/>
          <w:szCs w:val="24"/>
        </w:rPr>
        <w:t>]</w:t>
      </w:r>
      <w:r>
        <w:rPr>
          <w:rFonts w:ascii="Arial" w:hAnsi="Arial" w:cs="Arial"/>
          <w:sz w:val="24"/>
          <w:szCs w:val="24"/>
        </w:rPr>
        <w:tab/>
        <w:t>Applicant seeks the return of possession and ejectment of the respondent from Erf 4785 (a portion of Erf</w:t>
      </w:r>
      <w:r w:rsidR="001729FA">
        <w:rPr>
          <w:rFonts w:ascii="Arial" w:hAnsi="Arial" w:cs="Arial"/>
          <w:sz w:val="24"/>
          <w:szCs w:val="24"/>
        </w:rPr>
        <w:t xml:space="preserve"> 8446, Katutura, Ext 15, Windhoek, Republic of Namibia</w:t>
      </w:r>
      <w:r w:rsidR="0002535F">
        <w:rPr>
          <w:rFonts w:ascii="Arial" w:hAnsi="Arial" w:cs="Arial"/>
          <w:sz w:val="24"/>
          <w:szCs w:val="24"/>
        </w:rPr>
        <w:t>)</w:t>
      </w:r>
      <w:r w:rsidR="001729FA">
        <w:rPr>
          <w:rFonts w:ascii="Arial" w:hAnsi="Arial" w:cs="Arial"/>
          <w:sz w:val="24"/>
          <w:szCs w:val="24"/>
        </w:rPr>
        <w:t xml:space="preserve"> [hereinafter referred to as “the property”]. Applicant seeks to regain possession of its immovable property on the basis of the principle of </w:t>
      </w:r>
      <w:r w:rsidR="00512F7F">
        <w:rPr>
          <w:rFonts w:ascii="Arial" w:hAnsi="Arial" w:cs="Arial"/>
          <w:i/>
          <w:sz w:val="24"/>
          <w:szCs w:val="24"/>
        </w:rPr>
        <w:t>rei vindicatio</w:t>
      </w:r>
      <w:r w:rsidR="001729FA">
        <w:rPr>
          <w:rFonts w:ascii="Arial" w:hAnsi="Arial" w:cs="Arial"/>
          <w:sz w:val="24"/>
          <w:szCs w:val="24"/>
        </w:rPr>
        <w:t xml:space="preserve">. A litigant relying on this common </w:t>
      </w:r>
      <w:r w:rsidR="00C06640">
        <w:rPr>
          <w:rFonts w:ascii="Arial" w:hAnsi="Arial" w:cs="Arial"/>
          <w:sz w:val="24"/>
          <w:szCs w:val="24"/>
        </w:rPr>
        <w:t xml:space="preserve">law </w:t>
      </w:r>
      <w:r w:rsidR="001729FA">
        <w:rPr>
          <w:rFonts w:ascii="Arial" w:hAnsi="Arial" w:cs="Arial"/>
          <w:sz w:val="24"/>
          <w:szCs w:val="24"/>
        </w:rPr>
        <w:t>principle is entitled to repossess its property provided that it fulfills certain requirements, namely that:</w:t>
      </w:r>
    </w:p>
    <w:p w:rsidR="00512F7F" w:rsidRDefault="00512F7F" w:rsidP="004C6BD5">
      <w:pPr>
        <w:spacing w:after="0" w:line="360" w:lineRule="auto"/>
        <w:ind w:right="27"/>
        <w:jc w:val="both"/>
        <w:rPr>
          <w:rFonts w:ascii="Arial" w:hAnsi="Arial" w:cs="Arial"/>
          <w:sz w:val="24"/>
          <w:szCs w:val="24"/>
        </w:rPr>
      </w:pPr>
    </w:p>
    <w:p w:rsidR="001729FA" w:rsidRDefault="0002535F" w:rsidP="001729FA">
      <w:pPr>
        <w:pStyle w:val="ListParagraph"/>
        <w:numPr>
          <w:ilvl w:val="0"/>
          <w:numId w:val="30"/>
        </w:numPr>
        <w:spacing w:after="0" w:line="360" w:lineRule="auto"/>
        <w:ind w:right="27"/>
        <w:jc w:val="both"/>
        <w:rPr>
          <w:rFonts w:ascii="Arial" w:hAnsi="Arial" w:cs="Arial"/>
          <w:sz w:val="24"/>
          <w:szCs w:val="24"/>
        </w:rPr>
      </w:pPr>
      <w:r>
        <w:rPr>
          <w:rFonts w:ascii="Arial" w:hAnsi="Arial" w:cs="Arial"/>
          <w:sz w:val="24"/>
          <w:szCs w:val="24"/>
        </w:rPr>
        <w:t>h</w:t>
      </w:r>
      <w:r w:rsidR="001729FA">
        <w:rPr>
          <w:rFonts w:ascii="Arial" w:hAnsi="Arial" w:cs="Arial"/>
          <w:sz w:val="24"/>
          <w:szCs w:val="24"/>
        </w:rPr>
        <w:t>e is the owner and;</w:t>
      </w:r>
    </w:p>
    <w:p w:rsidR="001729FA" w:rsidRDefault="0002535F" w:rsidP="001729FA">
      <w:pPr>
        <w:pStyle w:val="ListParagraph"/>
        <w:numPr>
          <w:ilvl w:val="0"/>
          <w:numId w:val="30"/>
        </w:numPr>
        <w:spacing w:after="0" w:line="360" w:lineRule="auto"/>
        <w:ind w:right="27"/>
        <w:jc w:val="both"/>
        <w:rPr>
          <w:rFonts w:ascii="Arial" w:hAnsi="Arial" w:cs="Arial"/>
          <w:sz w:val="24"/>
          <w:szCs w:val="24"/>
        </w:rPr>
      </w:pPr>
      <w:r>
        <w:rPr>
          <w:rFonts w:ascii="Arial" w:hAnsi="Arial" w:cs="Arial"/>
          <w:sz w:val="24"/>
          <w:szCs w:val="24"/>
        </w:rPr>
        <w:t>t</w:t>
      </w:r>
      <w:r w:rsidR="001729FA">
        <w:rPr>
          <w:rFonts w:ascii="Arial" w:hAnsi="Arial" w:cs="Arial"/>
          <w:sz w:val="24"/>
          <w:szCs w:val="24"/>
        </w:rPr>
        <w:t>hat defendant is in possession of it;</w:t>
      </w:r>
    </w:p>
    <w:p w:rsidR="001729FA" w:rsidRDefault="001729FA" w:rsidP="001729FA">
      <w:pPr>
        <w:spacing w:after="0" w:line="360" w:lineRule="auto"/>
        <w:ind w:right="27"/>
        <w:jc w:val="both"/>
        <w:rPr>
          <w:rFonts w:ascii="Arial" w:hAnsi="Arial" w:cs="Arial"/>
          <w:sz w:val="24"/>
          <w:szCs w:val="24"/>
        </w:rPr>
      </w:pPr>
    </w:p>
    <w:p w:rsidR="001729FA" w:rsidRDefault="00905BDC" w:rsidP="001729FA">
      <w:pPr>
        <w:spacing w:after="0" w:line="360" w:lineRule="auto"/>
        <w:ind w:right="27"/>
        <w:jc w:val="both"/>
        <w:rPr>
          <w:rFonts w:ascii="Arial" w:hAnsi="Arial" w:cs="Arial"/>
          <w:sz w:val="24"/>
          <w:szCs w:val="24"/>
        </w:rPr>
      </w:pPr>
      <w:r>
        <w:rPr>
          <w:rFonts w:ascii="Arial" w:hAnsi="Arial" w:cs="Arial"/>
          <w:sz w:val="24"/>
          <w:szCs w:val="24"/>
        </w:rPr>
        <w:t>[</w:t>
      </w:r>
      <w:r w:rsidR="003961DA">
        <w:rPr>
          <w:rFonts w:ascii="Arial" w:hAnsi="Arial" w:cs="Arial"/>
          <w:sz w:val="24"/>
          <w:szCs w:val="24"/>
        </w:rPr>
        <w:t>8</w:t>
      </w:r>
      <w:r>
        <w:rPr>
          <w:rFonts w:ascii="Arial" w:hAnsi="Arial" w:cs="Arial"/>
          <w:sz w:val="24"/>
          <w:szCs w:val="24"/>
        </w:rPr>
        <w:t>]</w:t>
      </w:r>
      <w:r>
        <w:rPr>
          <w:rFonts w:ascii="Arial" w:hAnsi="Arial" w:cs="Arial"/>
          <w:sz w:val="24"/>
          <w:szCs w:val="24"/>
        </w:rPr>
        <w:tab/>
      </w:r>
      <w:r w:rsidR="0002535F">
        <w:rPr>
          <w:rFonts w:ascii="Arial" w:hAnsi="Arial" w:cs="Arial"/>
          <w:sz w:val="24"/>
          <w:szCs w:val="24"/>
        </w:rPr>
        <w:t>In that instance</w:t>
      </w:r>
      <w:r w:rsidR="001729FA">
        <w:rPr>
          <w:rFonts w:ascii="Arial" w:hAnsi="Arial" w:cs="Arial"/>
          <w:sz w:val="24"/>
          <w:szCs w:val="24"/>
        </w:rPr>
        <w:t xml:space="preserve"> applicant/plaintiff will be entitled to an order </w:t>
      </w:r>
      <w:r w:rsidR="0002535F">
        <w:rPr>
          <w:rFonts w:ascii="Arial" w:hAnsi="Arial" w:cs="Arial"/>
          <w:sz w:val="24"/>
          <w:szCs w:val="24"/>
        </w:rPr>
        <w:t>for</w:t>
      </w:r>
      <w:r w:rsidR="001729FA">
        <w:rPr>
          <w:rFonts w:ascii="Arial" w:hAnsi="Arial" w:cs="Arial"/>
          <w:sz w:val="24"/>
          <w:szCs w:val="24"/>
        </w:rPr>
        <w:t xml:space="preserve"> ejectment u</w:t>
      </w:r>
      <w:r w:rsidR="000E7E6E">
        <w:rPr>
          <w:rFonts w:ascii="Arial" w:hAnsi="Arial" w:cs="Arial"/>
          <w:sz w:val="24"/>
          <w:szCs w:val="24"/>
        </w:rPr>
        <w:t xml:space="preserve">nless respondent/defendant is </w:t>
      </w:r>
      <w:r w:rsidR="001729FA">
        <w:rPr>
          <w:rFonts w:ascii="Arial" w:hAnsi="Arial" w:cs="Arial"/>
          <w:sz w:val="24"/>
          <w:szCs w:val="24"/>
        </w:rPr>
        <w:t xml:space="preserve">able to prove that he is entitled to </w:t>
      </w:r>
      <w:r w:rsidR="000E7E6E">
        <w:rPr>
          <w:rFonts w:ascii="Arial" w:hAnsi="Arial" w:cs="Arial"/>
          <w:sz w:val="24"/>
          <w:szCs w:val="24"/>
        </w:rPr>
        <w:t xml:space="preserve">a </w:t>
      </w:r>
      <w:r w:rsidR="001729FA">
        <w:rPr>
          <w:rFonts w:ascii="Arial" w:hAnsi="Arial" w:cs="Arial"/>
          <w:sz w:val="24"/>
          <w:szCs w:val="24"/>
        </w:rPr>
        <w:t>continued possession/occupation</w:t>
      </w:r>
      <w:r w:rsidR="000E7E6E">
        <w:rPr>
          <w:rFonts w:ascii="Arial" w:hAnsi="Arial" w:cs="Arial"/>
          <w:sz w:val="24"/>
          <w:szCs w:val="24"/>
        </w:rPr>
        <w:t xml:space="preserve"> of the said property</w:t>
      </w:r>
      <w:r w:rsidR="001729FA">
        <w:rPr>
          <w:rFonts w:ascii="Arial" w:hAnsi="Arial" w:cs="Arial"/>
          <w:sz w:val="24"/>
          <w:szCs w:val="24"/>
        </w:rPr>
        <w:t xml:space="preserve">, see </w:t>
      </w:r>
      <w:r w:rsidR="001729FA" w:rsidRPr="001729FA">
        <w:rPr>
          <w:rFonts w:ascii="Arial" w:hAnsi="Arial" w:cs="Arial"/>
          <w:i/>
          <w:sz w:val="24"/>
          <w:szCs w:val="24"/>
        </w:rPr>
        <w:t>Chetty v Naidoo</w:t>
      </w:r>
      <w:r w:rsidR="001729FA">
        <w:rPr>
          <w:rStyle w:val="FootnoteReference"/>
          <w:rFonts w:ascii="Arial" w:hAnsi="Arial" w:cs="Arial"/>
          <w:i/>
          <w:sz w:val="24"/>
          <w:szCs w:val="24"/>
        </w:rPr>
        <w:footnoteReference w:id="1"/>
      </w:r>
      <w:r>
        <w:rPr>
          <w:rFonts w:ascii="Arial" w:hAnsi="Arial" w:cs="Arial"/>
          <w:i/>
          <w:sz w:val="24"/>
          <w:szCs w:val="24"/>
        </w:rPr>
        <w:t>.</w:t>
      </w:r>
      <w:r w:rsidR="001729FA">
        <w:rPr>
          <w:rFonts w:ascii="Arial" w:hAnsi="Arial" w:cs="Arial"/>
          <w:sz w:val="24"/>
          <w:szCs w:val="24"/>
        </w:rPr>
        <w:t xml:space="preserve"> It was also stated in Chetty’s case that the owner may claim his property</w:t>
      </w:r>
      <w:r w:rsidR="009846B9">
        <w:rPr>
          <w:rFonts w:ascii="Arial" w:hAnsi="Arial" w:cs="Arial"/>
          <w:sz w:val="24"/>
          <w:szCs w:val="24"/>
        </w:rPr>
        <w:t>,</w:t>
      </w:r>
      <w:r w:rsidR="001729FA">
        <w:rPr>
          <w:rFonts w:ascii="Arial" w:hAnsi="Arial" w:cs="Arial"/>
          <w:sz w:val="24"/>
          <w:szCs w:val="24"/>
        </w:rPr>
        <w:t xml:space="preserve"> wherever</w:t>
      </w:r>
      <w:r w:rsidR="009846B9">
        <w:rPr>
          <w:rFonts w:ascii="Arial" w:hAnsi="Arial" w:cs="Arial"/>
          <w:sz w:val="24"/>
          <w:szCs w:val="24"/>
        </w:rPr>
        <w:t xml:space="preserve"> found and</w:t>
      </w:r>
      <w:r w:rsidR="001729FA">
        <w:rPr>
          <w:rFonts w:ascii="Arial" w:hAnsi="Arial" w:cs="Arial"/>
          <w:sz w:val="24"/>
          <w:szCs w:val="24"/>
        </w:rPr>
        <w:t xml:space="preserve"> from whomsoever</w:t>
      </w:r>
      <w:r>
        <w:rPr>
          <w:rFonts w:ascii="Arial" w:hAnsi="Arial" w:cs="Arial"/>
          <w:sz w:val="24"/>
          <w:szCs w:val="24"/>
        </w:rPr>
        <w:t xml:space="preserve"> </w:t>
      </w:r>
      <w:r w:rsidR="009846B9">
        <w:rPr>
          <w:rFonts w:ascii="Arial" w:hAnsi="Arial" w:cs="Arial"/>
          <w:sz w:val="24"/>
          <w:szCs w:val="24"/>
        </w:rPr>
        <w:t xml:space="preserve">is </w:t>
      </w:r>
      <w:r>
        <w:rPr>
          <w:rFonts w:ascii="Arial" w:hAnsi="Arial" w:cs="Arial"/>
          <w:sz w:val="24"/>
          <w:szCs w:val="24"/>
        </w:rPr>
        <w:t>holding it. It therefore</w:t>
      </w:r>
      <w:r w:rsidR="009846B9">
        <w:rPr>
          <w:rFonts w:ascii="Arial" w:hAnsi="Arial" w:cs="Arial"/>
          <w:sz w:val="24"/>
          <w:szCs w:val="24"/>
        </w:rPr>
        <w:t>,</w:t>
      </w:r>
      <w:r>
        <w:rPr>
          <w:rFonts w:ascii="Arial" w:hAnsi="Arial" w:cs="Arial"/>
          <w:sz w:val="24"/>
          <w:szCs w:val="24"/>
        </w:rPr>
        <w:t xml:space="preserve"> stands to reason that no other person may withhold it from the owner unless he is vested with some right enforceable against the owner, eg. a right </w:t>
      </w:r>
      <w:r w:rsidR="00FC56CB">
        <w:rPr>
          <w:rFonts w:ascii="Arial" w:hAnsi="Arial" w:cs="Arial"/>
          <w:sz w:val="24"/>
          <w:szCs w:val="24"/>
        </w:rPr>
        <w:t>of</w:t>
      </w:r>
      <w:r>
        <w:rPr>
          <w:rFonts w:ascii="Arial" w:hAnsi="Arial" w:cs="Arial"/>
          <w:sz w:val="24"/>
          <w:szCs w:val="24"/>
        </w:rPr>
        <w:t xml:space="preserve"> retention or a contractual right.</w:t>
      </w:r>
    </w:p>
    <w:p w:rsidR="00905BDC" w:rsidRDefault="00905BDC" w:rsidP="001729FA">
      <w:pPr>
        <w:spacing w:after="0" w:line="360" w:lineRule="auto"/>
        <w:ind w:right="27"/>
        <w:jc w:val="both"/>
        <w:rPr>
          <w:rFonts w:ascii="Arial" w:hAnsi="Arial" w:cs="Arial"/>
          <w:sz w:val="24"/>
          <w:szCs w:val="24"/>
        </w:rPr>
      </w:pPr>
    </w:p>
    <w:p w:rsidR="00905BDC" w:rsidRPr="001729FA" w:rsidRDefault="00905BDC" w:rsidP="001729FA">
      <w:pPr>
        <w:spacing w:after="0" w:line="360" w:lineRule="auto"/>
        <w:ind w:right="27"/>
        <w:jc w:val="both"/>
        <w:rPr>
          <w:rFonts w:ascii="Arial" w:hAnsi="Arial" w:cs="Arial"/>
          <w:sz w:val="24"/>
          <w:szCs w:val="24"/>
        </w:rPr>
      </w:pPr>
      <w:r>
        <w:rPr>
          <w:rFonts w:ascii="Arial" w:hAnsi="Arial" w:cs="Arial"/>
          <w:sz w:val="24"/>
          <w:szCs w:val="24"/>
        </w:rPr>
        <w:t>[</w:t>
      </w:r>
      <w:r w:rsidR="003961DA">
        <w:rPr>
          <w:rFonts w:ascii="Arial" w:hAnsi="Arial" w:cs="Arial"/>
          <w:sz w:val="24"/>
          <w:szCs w:val="24"/>
        </w:rPr>
        <w:t>9</w:t>
      </w:r>
      <w:r>
        <w:rPr>
          <w:rFonts w:ascii="Arial" w:hAnsi="Arial" w:cs="Arial"/>
          <w:sz w:val="24"/>
          <w:szCs w:val="24"/>
        </w:rPr>
        <w:t>]</w:t>
      </w:r>
      <w:r>
        <w:rPr>
          <w:rFonts w:ascii="Arial" w:hAnsi="Arial" w:cs="Arial"/>
          <w:sz w:val="24"/>
          <w:szCs w:val="24"/>
        </w:rPr>
        <w:tab/>
        <w:t xml:space="preserve">In instituting a </w:t>
      </w:r>
      <w:r w:rsidRPr="00905BDC">
        <w:rPr>
          <w:rFonts w:ascii="Arial" w:hAnsi="Arial" w:cs="Arial"/>
          <w:i/>
          <w:sz w:val="24"/>
          <w:szCs w:val="24"/>
        </w:rPr>
        <w:t>rei vidi</w:t>
      </w:r>
      <w:r w:rsidR="00FC56CB">
        <w:rPr>
          <w:rFonts w:ascii="Arial" w:hAnsi="Arial" w:cs="Arial"/>
          <w:i/>
          <w:sz w:val="24"/>
          <w:szCs w:val="24"/>
        </w:rPr>
        <w:t>c</w:t>
      </w:r>
      <w:r w:rsidRPr="00905BDC">
        <w:rPr>
          <w:rFonts w:ascii="Arial" w:hAnsi="Arial" w:cs="Arial"/>
          <w:i/>
          <w:sz w:val="24"/>
          <w:szCs w:val="24"/>
        </w:rPr>
        <w:t>atio</w:t>
      </w:r>
      <w:r>
        <w:rPr>
          <w:rFonts w:ascii="Arial" w:hAnsi="Arial" w:cs="Arial"/>
          <w:sz w:val="24"/>
          <w:szCs w:val="24"/>
        </w:rPr>
        <w:t xml:space="preserve">, applicant only needs to allege and prove that he is the owner and that the defendant is holding the </w:t>
      </w:r>
      <w:r w:rsidR="009846B9">
        <w:rPr>
          <w:rFonts w:ascii="Arial" w:hAnsi="Arial" w:cs="Arial"/>
          <w:sz w:val="24"/>
          <w:szCs w:val="24"/>
        </w:rPr>
        <w:t>property</w:t>
      </w:r>
      <w:r>
        <w:rPr>
          <w:rFonts w:ascii="Arial" w:hAnsi="Arial" w:cs="Arial"/>
          <w:sz w:val="24"/>
          <w:szCs w:val="24"/>
        </w:rPr>
        <w:t xml:space="preserve">. The onus then shifts to the defendant/respondent to allege and prove any right to continue to hold </w:t>
      </w:r>
      <w:r w:rsidR="00134D44">
        <w:rPr>
          <w:rFonts w:ascii="Arial" w:hAnsi="Arial" w:cs="Arial"/>
          <w:sz w:val="24"/>
          <w:szCs w:val="24"/>
        </w:rPr>
        <w:t xml:space="preserve">the property </w:t>
      </w:r>
      <w:r>
        <w:rPr>
          <w:rFonts w:ascii="Arial" w:hAnsi="Arial" w:cs="Arial"/>
          <w:sz w:val="24"/>
          <w:szCs w:val="24"/>
        </w:rPr>
        <w:t xml:space="preserve">against the owner, see </w:t>
      </w:r>
      <w:r w:rsidRPr="00905BDC">
        <w:rPr>
          <w:rFonts w:ascii="Arial" w:hAnsi="Arial" w:cs="Arial"/>
          <w:i/>
          <w:sz w:val="24"/>
          <w:szCs w:val="24"/>
        </w:rPr>
        <w:t>Jeena v Minister of Lands</w:t>
      </w:r>
      <w:r>
        <w:rPr>
          <w:rStyle w:val="FootnoteReference"/>
          <w:rFonts w:ascii="Arial" w:hAnsi="Arial" w:cs="Arial"/>
          <w:i/>
          <w:sz w:val="24"/>
          <w:szCs w:val="24"/>
        </w:rPr>
        <w:footnoteReference w:id="2"/>
      </w:r>
      <w:r w:rsidRPr="00905BDC">
        <w:rPr>
          <w:rFonts w:ascii="Arial" w:hAnsi="Arial" w:cs="Arial"/>
          <w:sz w:val="24"/>
          <w:szCs w:val="24"/>
        </w:rPr>
        <w:t xml:space="preserve"> </w:t>
      </w:r>
      <w:r>
        <w:rPr>
          <w:rFonts w:ascii="Arial" w:hAnsi="Arial" w:cs="Arial"/>
          <w:sz w:val="24"/>
          <w:szCs w:val="24"/>
        </w:rPr>
        <w:t xml:space="preserve">and </w:t>
      </w:r>
      <w:r w:rsidRPr="00905BDC">
        <w:rPr>
          <w:rFonts w:ascii="Arial" w:hAnsi="Arial" w:cs="Arial"/>
          <w:i/>
          <w:sz w:val="24"/>
          <w:szCs w:val="24"/>
        </w:rPr>
        <w:t xml:space="preserve">Dreyer and another v </w:t>
      </w:r>
      <w:r w:rsidR="009846B9" w:rsidRPr="00905BDC">
        <w:rPr>
          <w:rFonts w:ascii="Arial" w:hAnsi="Arial" w:cs="Arial"/>
          <w:i/>
          <w:sz w:val="24"/>
          <w:szCs w:val="24"/>
        </w:rPr>
        <w:t xml:space="preserve">AXZS </w:t>
      </w:r>
      <w:r w:rsidRPr="00905BDC">
        <w:rPr>
          <w:rFonts w:ascii="Arial" w:hAnsi="Arial" w:cs="Arial"/>
          <w:i/>
          <w:sz w:val="24"/>
          <w:szCs w:val="24"/>
        </w:rPr>
        <w:t>industries (Pty) Ltd</w:t>
      </w:r>
      <w:r>
        <w:rPr>
          <w:rStyle w:val="FootnoteReference"/>
          <w:rFonts w:ascii="Arial" w:hAnsi="Arial" w:cs="Arial"/>
          <w:i/>
          <w:sz w:val="24"/>
          <w:szCs w:val="24"/>
        </w:rPr>
        <w:footnoteReference w:id="3"/>
      </w:r>
      <w:r>
        <w:rPr>
          <w:rFonts w:ascii="Arial" w:hAnsi="Arial" w:cs="Arial"/>
          <w:sz w:val="24"/>
          <w:szCs w:val="24"/>
        </w:rPr>
        <w:t>.</w:t>
      </w:r>
    </w:p>
    <w:p w:rsidR="004C6BD5" w:rsidRDefault="004C6BD5" w:rsidP="004C6BD5">
      <w:pPr>
        <w:spacing w:after="0" w:line="360" w:lineRule="auto"/>
        <w:ind w:right="27"/>
        <w:jc w:val="both"/>
        <w:rPr>
          <w:rFonts w:ascii="Arial" w:hAnsi="Arial" w:cs="Arial"/>
          <w:sz w:val="24"/>
          <w:szCs w:val="24"/>
        </w:rPr>
      </w:pPr>
    </w:p>
    <w:p w:rsidR="00905BDC" w:rsidRDefault="00AB71AF" w:rsidP="00236470">
      <w:pPr>
        <w:spacing w:after="0" w:line="360" w:lineRule="auto"/>
        <w:ind w:left="720" w:right="27" w:hanging="720"/>
        <w:jc w:val="both"/>
        <w:rPr>
          <w:rFonts w:ascii="Arial" w:hAnsi="Arial" w:cs="Arial"/>
          <w:sz w:val="24"/>
          <w:szCs w:val="24"/>
        </w:rPr>
      </w:pPr>
      <w:r>
        <w:rPr>
          <w:rFonts w:ascii="Arial" w:hAnsi="Arial" w:cs="Arial"/>
          <w:sz w:val="24"/>
          <w:szCs w:val="24"/>
        </w:rPr>
        <w:t>[</w:t>
      </w:r>
      <w:r w:rsidR="003961DA">
        <w:rPr>
          <w:rFonts w:ascii="Arial" w:hAnsi="Arial" w:cs="Arial"/>
          <w:sz w:val="24"/>
          <w:szCs w:val="24"/>
        </w:rPr>
        <w:t>10</w:t>
      </w:r>
      <w:r w:rsidR="0090719E">
        <w:rPr>
          <w:rFonts w:ascii="Arial" w:hAnsi="Arial" w:cs="Arial"/>
          <w:sz w:val="24"/>
          <w:szCs w:val="24"/>
        </w:rPr>
        <w:t>]</w:t>
      </w:r>
      <w:r w:rsidR="0090719E">
        <w:rPr>
          <w:rFonts w:ascii="Arial" w:hAnsi="Arial" w:cs="Arial"/>
          <w:sz w:val="24"/>
          <w:szCs w:val="24"/>
        </w:rPr>
        <w:tab/>
        <w:t xml:space="preserve">Applicant has proved that it is the owner of the property as evidenced by the </w:t>
      </w:r>
      <w:r w:rsidR="00685CD3">
        <w:rPr>
          <w:rFonts w:ascii="Arial" w:hAnsi="Arial" w:cs="Arial"/>
          <w:sz w:val="24"/>
          <w:szCs w:val="24"/>
        </w:rPr>
        <w:t>T</w:t>
      </w:r>
      <w:r w:rsidR="000E7E6E">
        <w:rPr>
          <w:rFonts w:ascii="Arial" w:hAnsi="Arial" w:cs="Arial"/>
          <w:sz w:val="24"/>
          <w:szCs w:val="24"/>
        </w:rPr>
        <w:t>itle</w:t>
      </w:r>
      <w:r w:rsidR="00236470">
        <w:rPr>
          <w:rFonts w:ascii="Arial" w:hAnsi="Arial" w:cs="Arial"/>
          <w:sz w:val="24"/>
          <w:szCs w:val="24"/>
        </w:rPr>
        <w:t xml:space="preserve"> Deed</w:t>
      </w:r>
      <w:r w:rsidR="000E7E6E">
        <w:rPr>
          <w:rFonts w:ascii="Arial" w:hAnsi="Arial" w:cs="Arial"/>
          <w:sz w:val="24"/>
          <w:szCs w:val="24"/>
        </w:rPr>
        <w:t>,</w:t>
      </w:r>
      <w:r w:rsidR="00236470">
        <w:rPr>
          <w:rFonts w:ascii="Arial" w:hAnsi="Arial" w:cs="Arial"/>
          <w:sz w:val="24"/>
          <w:szCs w:val="24"/>
        </w:rPr>
        <w:t xml:space="preserve"> copy of which is filed of record</w:t>
      </w:r>
      <w:r w:rsidR="0090719E">
        <w:rPr>
          <w:rFonts w:ascii="Arial" w:hAnsi="Arial" w:cs="Arial"/>
          <w:sz w:val="24"/>
          <w:szCs w:val="24"/>
        </w:rPr>
        <w:t xml:space="preserve">. </w:t>
      </w:r>
      <w:r w:rsidR="00236470">
        <w:rPr>
          <w:rFonts w:ascii="Arial" w:hAnsi="Arial" w:cs="Arial"/>
          <w:sz w:val="24"/>
          <w:szCs w:val="24"/>
        </w:rPr>
        <w:t>It is common cause</w:t>
      </w:r>
      <w:r w:rsidR="0090719E">
        <w:rPr>
          <w:rFonts w:ascii="Arial" w:hAnsi="Arial" w:cs="Arial"/>
          <w:sz w:val="24"/>
          <w:szCs w:val="24"/>
        </w:rPr>
        <w:t xml:space="preserve"> that respondent is in possessi</w:t>
      </w:r>
      <w:r w:rsidR="00134D44">
        <w:rPr>
          <w:rFonts w:ascii="Arial" w:hAnsi="Arial" w:cs="Arial"/>
          <w:sz w:val="24"/>
          <w:szCs w:val="24"/>
        </w:rPr>
        <w:t>on of the property and despite d</w:t>
      </w:r>
      <w:r w:rsidR="0090719E">
        <w:rPr>
          <w:rFonts w:ascii="Arial" w:hAnsi="Arial" w:cs="Arial"/>
          <w:sz w:val="24"/>
          <w:szCs w:val="24"/>
        </w:rPr>
        <w:t>emand is refusing to vacate it.</w:t>
      </w:r>
    </w:p>
    <w:p w:rsidR="0090719E" w:rsidRDefault="0090719E" w:rsidP="004C6BD5">
      <w:pPr>
        <w:spacing w:after="0" w:line="360" w:lineRule="auto"/>
        <w:ind w:right="27"/>
        <w:jc w:val="both"/>
        <w:rPr>
          <w:rFonts w:ascii="Arial" w:hAnsi="Arial" w:cs="Arial"/>
          <w:sz w:val="24"/>
          <w:szCs w:val="24"/>
        </w:rPr>
      </w:pPr>
    </w:p>
    <w:p w:rsidR="0090719E" w:rsidRDefault="0090719E" w:rsidP="004C6BD5">
      <w:pPr>
        <w:spacing w:after="0" w:line="360" w:lineRule="auto"/>
        <w:ind w:right="27"/>
        <w:jc w:val="both"/>
        <w:rPr>
          <w:rFonts w:ascii="Arial" w:hAnsi="Arial" w:cs="Arial"/>
          <w:sz w:val="24"/>
          <w:szCs w:val="24"/>
        </w:rPr>
      </w:pPr>
      <w:r>
        <w:rPr>
          <w:rFonts w:ascii="Arial" w:hAnsi="Arial" w:cs="Arial"/>
          <w:sz w:val="24"/>
          <w:szCs w:val="24"/>
        </w:rPr>
        <w:t>[</w:t>
      </w:r>
      <w:r w:rsidR="003961DA">
        <w:rPr>
          <w:rFonts w:ascii="Arial" w:hAnsi="Arial" w:cs="Arial"/>
          <w:sz w:val="24"/>
          <w:szCs w:val="24"/>
        </w:rPr>
        <w:t>11</w:t>
      </w:r>
      <w:r>
        <w:rPr>
          <w:rFonts w:ascii="Arial" w:hAnsi="Arial" w:cs="Arial"/>
          <w:sz w:val="24"/>
          <w:szCs w:val="24"/>
        </w:rPr>
        <w:t>]</w:t>
      </w:r>
      <w:r>
        <w:rPr>
          <w:rFonts w:ascii="Arial" w:hAnsi="Arial" w:cs="Arial"/>
          <w:sz w:val="24"/>
          <w:szCs w:val="24"/>
        </w:rPr>
        <w:tab/>
        <w:t xml:space="preserve">One of the rights that arise out of ownership is the right to possession. Ownership </w:t>
      </w:r>
      <w:r w:rsidR="00BD0F3A">
        <w:rPr>
          <w:rFonts w:ascii="Arial" w:hAnsi="Arial" w:cs="Arial"/>
          <w:sz w:val="24"/>
          <w:szCs w:val="24"/>
        </w:rPr>
        <w:t>consists</w:t>
      </w:r>
      <w:r>
        <w:rPr>
          <w:rFonts w:ascii="Arial" w:hAnsi="Arial" w:cs="Arial"/>
          <w:sz w:val="24"/>
          <w:szCs w:val="24"/>
        </w:rPr>
        <w:t xml:space="preserve"> in the right to recover lost possession. It </w:t>
      </w:r>
      <w:r w:rsidR="00BD0F3A">
        <w:rPr>
          <w:rFonts w:ascii="Arial" w:hAnsi="Arial" w:cs="Arial"/>
          <w:sz w:val="24"/>
          <w:szCs w:val="24"/>
        </w:rPr>
        <w:t>logically</w:t>
      </w:r>
      <w:r>
        <w:rPr>
          <w:rFonts w:ascii="Arial" w:hAnsi="Arial" w:cs="Arial"/>
          <w:sz w:val="24"/>
          <w:szCs w:val="24"/>
        </w:rPr>
        <w:t xml:space="preserve"> follows that </w:t>
      </w:r>
      <w:r w:rsidRPr="000D7F57">
        <w:rPr>
          <w:rFonts w:ascii="Arial" w:hAnsi="Arial" w:cs="Arial"/>
          <w:i/>
          <w:sz w:val="24"/>
          <w:szCs w:val="24"/>
        </w:rPr>
        <w:t>prima facie</w:t>
      </w:r>
      <w:r>
        <w:rPr>
          <w:rFonts w:ascii="Arial" w:hAnsi="Arial" w:cs="Arial"/>
          <w:sz w:val="24"/>
          <w:szCs w:val="24"/>
        </w:rPr>
        <w:t xml:space="preserve"> proof that applicant is the owner and that respondent is in possession </w:t>
      </w:r>
      <w:r w:rsidR="000D7F57">
        <w:rPr>
          <w:rFonts w:ascii="Arial" w:hAnsi="Arial" w:cs="Arial"/>
          <w:sz w:val="24"/>
          <w:szCs w:val="24"/>
        </w:rPr>
        <w:t xml:space="preserve">of the property </w:t>
      </w:r>
      <w:r>
        <w:rPr>
          <w:rFonts w:ascii="Arial" w:hAnsi="Arial" w:cs="Arial"/>
          <w:sz w:val="24"/>
          <w:szCs w:val="24"/>
        </w:rPr>
        <w:t>entitles applicant to an order for ejectment.</w:t>
      </w:r>
      <w:r w:rsidR="000D7F57">
        <w:rPr>
          <w:rFonts w:ascii="Arial" w:hAnsi="Arial" w:cs="Arial"/>
          <w:sz w:val="24"/>
          <w:szCs w:val="24"/>
        </w:rPr>
        <w:t xml:space="preserve"> The vindication by the owner is against the possessor and is so ha</w:t>
      </w:r>
      <w:r w:rsidR="003961DA">
        <w:rPr>
          <w:rFonts w:ascii="Arial" w:hAnsi="Arial" w:cs="Arial"/>
          <w:sz w:val="24"/>
          <w:szCs w:val="24"/>
        </w:rPr>
        <w:t>r</w:t>
      </w:r>
      <w:r w:rsidR="000D7F57">
        <w:rPr>
          <w:rFonts w:ascii="Arial" w:hAnsi="Arial" w:cs="Arial"/>
          <w:sz w:val="24"/>
          <w:szCs w:val="24"/>
        </w:rPr>
        <w:t xml:space="preserve">sh that it does not matter whether the possessor is a </w:t>
      </w:r>
      <w:r w:rsidR="000D7F57" w:rsidRPr="000D7F57">
        <w:rPr>
          <w:rFonts w:ascii="Arial" w:hAnsi="Arial" w:cs="Arial"/>
          <w:i/>
          <w:sz w:val="24"/>
          <w:szCs w:val="24"/>
        </w:rPr>
        <w:t>bona fide</w:t>
      </w:r>
      <w:r w:rsidR="000D7F57">
        <w:rPr>
          <w:rFonts w:ascii="Arial" w:hAnsi="Arial" w:cs="Arial"/>
          <w:sz w:val="24"/>
          <w:szCs w:val="24"/>
        </w:rPr>
        <w:t xml:space="preserve"> or </w:t>
      </w:r>
      <w:r w:rsidR="000D7F57" w:rsidRPr="000D7F57">
        <w:rPr>
          <w:rFonts w:ascii="Arial" w:hAnsi="Arial" w:cs="Arial"/>
          <w:i/>
          <w:sz w:val="24"/>
          <w:szCs w:val="24"/>
        </w:rPr>
        <w:t>mala</w:t>
      </w:r>
      <w:r w:rsidR="003961DA">
        <w:rPr>
          <w:rFonts w:ascii="Arial" w:hAnsi="Arial" w:cs="Arial"/>
          <w:i/>
          <w:sz w:val="24"/>
          <w:szCs w:val="24"/>
        </w:rPr>
        <w:t xml:space="preserve"> </w:t>
      </w:r>
      <w:r w:rsidR="000D7F57" w:rsidRPr="000D7F57">
        <w:rPr>
          <w:rFonts w:ascii="Arial" w:hAnsi="Arial" w:cs="Arial"/>
          <w:i/>
          <w:sz w:val="24"/>
          <w:szCs w:val="24"/>
        </w:rPr>
        <w:t>fide</w:t>
      </w:r>
      <w:r w:rsidR="000D7F57">
        <w:rPr>
          <w:rFonts w:ascii="Arial" w:hAnsi="Arial" w:cs="Arial"/>
          <w:sz w:val="24"/>
          <w:szCs w:val="24"/>
        </w:rPr>
        <w:t xml:space="preserve"> possessor or occupier and the owner need not compensate the possessor for its value</w:t>
      </w:r>
      <w:r w:rsidR="003961DA">
        <w:rPr>
          <w:rFonts w:ascii="Arial" w:hAnsi="Arial" w:cs="Arial"/>
          <w:sz w:val="24"/>
          <w:szCs w:val="24"/>
        </w:rPr>
        <w:t>,</w:t>
      </w:r>
      <w:r w:rsidR="000D7F57">
        <w:rPr>
          <w:rFonts w:ascii="Arial" w:hAnsi="Arial" w:cs="Arial"/>
          <w:sz w:val="24"/>
          <w:szCs w:val="24"/>
        </w:rPr>
        <w:t xml:space="preserve"> even where the latter has acquired it for consideration (</w:t>
      </w:r>
      <w:r w:rsidR="000D7F57" w:rsidRPr="000D7F57">
        <w:rPr>
          <w:rFonts w:ascii="Arial" w:hAnsi="Arial" w:cs="Arial"/>
          <w:i/>
          <w:sz w:val="24"/>
          <w:szCs w:val="24"/>
        </w:rPr>
        <w:t>ex cause onerosa</w:t>
      </w:r>
      <w:r w:rsidR="003961DA">
        <w:rPr>
          <w:rFonts w:ascii="Arial" w:hAnsi="Arial" w:cs="Arial"/>
          <w:sz w:val="24"/>
          <w:szCs w:val="24"/>
        </w:rPr>
        <w:t>), see Sil</w:t>
      </w:r>
      <w:r w:rsidR="000D7F57">
        <w:rPr>
          <w:rFonts w:ascii="Arial" w:hAnsi="Arial" w:cs="Arial"/>
          <w:sz w:val="24"/>
          <w:szCs w:val="24"/>
        </w:rPr>
        <w:t>ber</w:t>
      </w:r>
      <w:r w:rsidR="003961DA">
        <w:rPr>
          <w:rFonts w:ascii="Arial" w:hAnsi="Arial" w:cs="Arial"/>
          <w:sz w:val="24"/>
          <w:szCs w:val="24"/>
        </w:rPr>
        <w:t>ber</w:t>
      </w:r>
      <w:r w:rsidR="000D7F57">
        <w:rPr>
          <w:rFonts w:ascii="Arial" w:hAnsi="Arial" w:cs="Arial"/>
          <w:sz w:val="24"/>
          <w:szCs w:val="24"/>
        </w:rPr>
        <w:t>g and Schoemans’s Law of Property 5</w:t>
      </w:r>
      <w:r w:rsidR="000D7F57" w:rsidRPr="000D7F57">
        <w:rPr>
          <w:rFonts w:ascii="Arial" w:hAnsi="Arial" w:cs="Arial"/>
          <w:sz w:val="24"/>
          <w:szCs w:val="24"/>
          <w:vertAlign w:val="superscript"/>
        </w:rPr>
        <w:t>th</w:t>
      </w:r>
      <w:r w:rsidR="000D7F57">
        <w:rPr>
          <w:rFonts w:ascii="Arial" w:hAnsi="Arial" w:cs="Arial"/>
          <w:sz w:val="24"/>
          <w:szCs w:val="24"/>
        </w:rPr>
        <w:t xml:space="preserve"> ed. -  Badenhorst.</w:t>
      </w:r>
    </w:p>
    <w:p w:rsidR="0090719E" w:rsidRDefault="0090719E" w:rsidP="004C6BD5">
      <w:pPr>
        <w:spacing w:after="0" w:line="360" w:lineRule="auto"/>
        <w:ind w:right="27"/>
        <w:jc w:val="both"/>
        <w:rPr>
          <w:rFonts w:ascii="Arial" w:hAnsi="Arial" w:cs="Arial"/>
          <w:sz w:val="24"/>
          <w:szCs w:val="24"/>
        </w:rPr>
      </w:pPr>
    </w:p>
    <w:p w:rsidR="0090719E" w:rsidRDefault="0090719E" w:rsidP="004C6BD5">
      <w:pPr>
        <w:spacing w:after="0" w:line="360" w:lineRule="auto"/>
        <w:ind w:right="27"/>
        <w:jc w:val="both"/>
        <w:rPr>
          <w:rFonts w:ascii="Arial" w:hAnsi="Arial" w:cs="Arial"/>
          <w:sz w:val="24"/>
          <w:szCs w:val="24"/>
        </w:rPr>
      </w:pPr>
      <w:r>
        <w:rPr>
          <w:rFonts w:ascii="Arial" w:hAnsi="Arial" w:cs="Arial"/>
          <w:sz w:val="24"/>
          <w:szCs w:val="24"/>
        </w:rPr>
        <w:t>Respon</w:t>
      </w:r>
      <w:r w:rsidR="00A750DA">
        <w:rPr>
          <w:rFonts w:ascii="Arial" w:hAnsi="Arial" w:cs="Arial"/>
          <w:sz w:val="24"/>
          <w:szCs w:val="24"/>
        </w:rPr>
        <w:t>dent opposes this application on</w:t>
      </w:r>
      <w:r>
        <w:rPr>
          <w:rFonts w:ascii="Arial" w:hAnsi="Arial" w:cs="Arial"/>
          <w:sz w:val="24"/>
          <w:szCs w:val="24"/>
        </w:rPr>
        <w:t xml:space="preserve"> the ground</w:t>
      </w:r>
      <w:r w:rsidR="00685CD3">
        <w:rPr>
          <w:rFonts w:ascii="Arial" w:hAnsi="Arial" w:cs="Arial"/>
          <w:sz w:val="24"/>
          <w:szCs w:val="24"/>
        </w:rPr>
        <w:t>s</w:t>
      </w:r>
      <w:r>
        <w:rPr>
          <w:rFonts w:ascii="Arial" w:hAnsi="Arial" w:cs="Arial"/>
          <w:sz w:val="24"/>
          <w:szCs w:val="24"/>
        </w:rPr>
        <w:t xml:space="preserve"> that:</w:t>
      </w:r>
    </w:p>
    <w:p w:rsidR="00A85471" w:rsidRDefault="00A85471" w:rsidP="004C6BD5">
      <w:pPr>
        <w:spacing w:after="0" w:line="360" w:lineRule="auto"/>
        <w:ind w:right="27"/>
        <w:jc w:val="both"/>
        <w:rPr>
          <w:rFonts w:ascii="Arial" w:hAnsi="Arial" w:cs="Arial"/>
          <w:sz w:val="24"/>
          <w:szCs w:val="24"/>
        </w:rPr>
      </w:pPr>
    </w:p>
    <w:p w:rsidR="00A85471" w:rsidRDefault="00A85471" w:rsidP="00A85471">
      <w:pPr>
        <w:pStyle w:val="ListParagraph"/>
        <w:numPr>
          <w:ilvl w:val="0"/>
          <w:numId w:val="31"/>
        </w:numPr>
        <w:spacing w:after="0" w:line="360" w:lineRule="auto"/>
        <w:ind w:right="27"/>
        <w:jc w:val="both"/>
        <w:rPr>
          <w:rFonts w:ascii="Arial" w:hAnsi="Arial" w:cs="Arial"/>
          <w:sz w:val="24"/>
          <w:szCs w:val="24"/>
        </w:rPr>
      </w:pPr>
      <w:r>
        <w:rPr>
          <w:rFonts w:ascii="Arial" w:hAnsi="Arial" w:cs="Arial"/>
          <w:sz w:val="24"/>
          <w:szCs w:val="24"/>
        </w:rPr>
        <w:t>the judgment obtained by applicant is a nullity;</w:t>
      </w:r>
    </w:p>
    <w:p w:rsidR="00A85471" w:rsidRDefault="00A85471" w:rsidP="00A85471">
      <w:pPr>
        <w:pStyle w:val="ListParagraph"/>
        <w:numPr>
          <w:ilvl w:val="0"/>
          <w:numId w:val="31"/>
        </w:numPr>
        <w:spacing w:after="0" w:line="360" w:lineRule="auto"/>
        <w:ind w:right="27"/>
        <w:jc w:val="both"/>
        <w:rPr>
          <w:rFonts w:ascii="Arial" w:hAnsi="Arial" w:cs="Arial"/>
          <w:sz w:val="24"/>
          <w:szCs w:val="24"/>
        </w:rPr>
      </w:pPr>
      <w:r>
        <w:rPr>
          <w:rFonts w:ascii="Arial" w:hAnsi="Arial" w:cs="Arial"/>
          <w:sz w:val="24"/>
          <w:szCs w:val="24"/>
        </w:rPr>
        <w:t>applicant enriched itself without justification; and</w:t>
      </w:r>
    </w:p>
    <w:p w:rsidR="00A85471" w:rsidRDefault="00B0573B" w:rsidP="00A85471">
      <w:pPr>
        <w:pStyle w:val="ListParagraph"/>
        <w:numPr>
          <w:ilvl w:val="0"/>
          <w:numId w:val="31"/>
        </w:numPr>
        <w:spacing w:after="0" w:line="360" w:lineRule="auto"/>
        <w:ind w:right="27"/>
        <w:jc w:val="both"/>
        <w:rPr>
          <w:rFonts w:ascii="Arial" w:hAnsi="Arial" w:cs="Arial"/>
          <w:sz w:val="24"/>
          <w:szCs w:val="24"/>
        </w:rPr>
      </w:pPr>
      <w:r>
        <w:rPr>
          <w:rFonts w:ascii="Arial" w:hAnsi="Arial" w:cs="Arial"/>
          <w:sz w:val="24"/>
          <w:szCs w:val="24"/>
        </w:rPr>
        <w:t xml:space="preserve">that </w:t>
      </w:r>
      <w:r w:rsidR="00A85471">
        <w:rPr>
          <w:rFonts w:ascii="Arial" w:hAnsi="Arial" w:cs="Arial"/>
          <w:sz w:val="24"/>
          <w:szCs w:val="24"/>
        </w:rPr>
        <w:t xml:space="preserve">the Deputy Sherriff disregarded the provision of the delegated </w:t>
      </w:r>
      <w:r w:rsidR="00875E6A">
        <w:rPr>
          <w:rFonts w:ascii="Arial" w:hAnsi="Arial" w:cs="Arial"/>
          <w:sz w:val="24"/>
          <w:szCs w:val="24"/>
        </w:rPr>
        <w:t>legislation</w:t>
      </w:r>
      <w:r w:rsidR="00A85471">
        <w:rPr>
          <w:rFonts w:ascii="Arial" w:hAnsi="Arial" w:cs="Arial"/>
          <w:sz w:val="24"/>
          <w:szCs w:val="24"/>
        </w:rPr>
        <w:t xml:space="preserve"> </w:t>
      </w:r>
      <w:r w:rsidR="00E26D7A">
        <w:rPr>
          <w:rFonts w:ascii="Arial" w:hAnsi="Arial" w:cs="Arial"/>
          <w:sz w:val="24"/>
          <w:szCs w:val="24"/>
        </w:rPr>
        <w:t>more</w:t>
      </w:r>
      <w:r>
        <w:rPr>
          <w:rFonts w:ascii="Arial" w:hAnsi="Arial" w:cs="Arial"/>
          <w:sz w:val="24"/>
          <w:szCs w:val="24"/>
        </w:rPr>
        <w:t xml:space="preserve"> specifically rule 46 of the R</w:t>
      </w:r>
      <w:r w:rsidR="00A85471">
        <w:rPr>
          <w:rFonts w:ascii="Arial" w:hAnsi="Arial" w:cs="Arial"/>
          <w:sz w:val="24"/>
          <w:szCs w:val="24"/>
        </w:rPr>
        <w:t>ule</w:t>
      </w:r>
      <w:r>
        <w:rPr>
          <w:rFonts w:ascii="Arial" w:hAnsi="Arial" w:cs="Arial"/>
          <w:sz w:val="24"/>
          <w:szCs w:val="24"/>
        </w:rPr>
        <w:t>s</w:t>
      </w:r>
      <w:r w:rsidR="00A85471">
        <w:rPr>
          <w:rFonts w:ascii="Arial" w:hAnsi="Arial" w:cs="Arial"/>
          <w:sz w:val="24"/>
          <w:szCs w:val="24"/>
        </w:rPr>
        <w:t xml:space="preserve"> of the High Court.</w:t>
      </w:r>
    </w:p>
    <w:p w:rsidR="008871FB" w:rsidRDefault="008871FB" w:rsidP="008871FB">
      <w:pPr>
        <w:pStyle w:val="ListParagraph"/>
        <w:spacing w:after="0" w:line="360" w:lineRule="auto"/>
        <w:ind w:right="27"/>
        <w:jc w:val="both"/>
        <w:rPr>
          <w:rFonts w:ascii="Arial" w:hAnsi="Arial" w:cs="Arial"/>
          <w:sz w:val="24"/>
          <w:szCs w:val="24"/>
        </w:rPr>
      </w:pPr>
    </w:p>
    <w:p w:rsidR="00B85B32" w:rsidRDefault="008871FB" w:rsidP="00A85471">
      <w:pPr>
        <w:spacing w:after="0" w:line="360" w:lineRule="auto"/>
        <w:ind w:right="27"/>
        <w:jc w:val="both"/>
        <w:rPr>
          <w:rFonts w:ascii="Arial" w:hAnsi="Arial" w:cs="Arial"/>
          <w:sz w:val="24"/>
          <w:szCs w:val="24"/>
        </w:rPr>
      </w:pPr>
      <w:r>
        <w:rPr>
          <w:rFonts w:ascii="Arial" w:hAnsi="Arial" w:cs="Arial"/>
          <w:sz w:val="24"/>
          <w:szCs w:val="24"/>
        </w:rPr>
        <w:t>[</w:t>
      </w:r>
      <w:r w:rsidR="00396D11">
        <w:rPr>
          <w:rFonts w:ascii="Arial" w:hAnsi="Arial" w:cs="Arial"/>
          <w:sz w:val="24"/>
          <w:szCs w:val="24"/>
        </w:rPr>
        <w:t>12</w:t>
      </w:r>
      <w:r>
        <w:rPr>
          <w:rFonts w:ascii="Arial" w:hAnsi="Arial" w:cs="Arial"/>
          <w:sz w:val="24"/>
          <w:szCs w:val="24"/>
        </w:rPr>
        <w:t>]</w:t>
      </w:r>
      <w:r>
        <w:rPr>
          <w:rFonts w:ascii="Arial" w:hAnsi="Arial" w:cs="Arial"/>
          <w:sz w:val="24"/>
          <w:szCs w:val="24"/>
        </w:rPr>
        <w:tab/>
        <w:t>In essence respondent has n</w:t>
      </w:r>
      <w:r w:rsidR="001D08D9">
        <w:rPr>
          <w:rFonts w:ascii="Arial" w:hAnsi="Arial" w:cs="Arial"/>
          <w:sz w:val="24"/>
          <w:szCs w:val="24"/>
        </w:rPr>
        <w:t>ow sought to challenge the sale and</w:t>
      </w:r>
      <w:r>
        <w:rPr>
          <w:rFonts w:ascii="Arial" w:hAnsi="Arial" w:cs="Arial"/>
          <w:sz w:val="24"/>
          <w:szCs w:val="24"/>
        </w:rPr>
        <w:t xml:space="preserve"> the functions of </w:t>
      </w:r>
      <w:r w:rsidR="005218CF">
        <w:rPr>
          <w:rFonts w:ascii="Arial" w:hAnsi="Arial" w:cs="Arial"/>
          <w:sz w:val="24"/>
          <w:szCs w:val="24"/>
        </w:rPr>
        <w:t xml:space="preserve">the Deputy Sheriff </w:t>
      </w:r>
      <w:r>
        <w:rPr>
          <w:rFonts w:ascii="Arial" w:hAnsi="Arial" w:cs="Arial"/>
          <w:sz w:val="24"/>
          <w:szCs w:val="24"/>
        </w:rPr>
        <w:t>of the High Court</w:t>
      </w:r>
      <w:r w:rsidR="005218CF">
        <w:rPr>
          <w:rFonts w:ascii="Arial" w:hAnsi="Arial" w:cs="Arial"/>
          <w:sz w:val="24"/>
          <w:szCs w:val="24"/>
        </w:rPr>
        <w:t xml:space="preserve"> in executing the order emanating from the summary judgment. The Deputy Sheriff is not an administrative official</w:t>
      </w:r>
      <w:r w:rsidR="003961DA">
        <w:rPr>
          <w:rFonts w:ascii="Arial" w:hAnsi="Arial" w:cs="Arial"/>
          <w:sz w:val="24"/>
          <w:szCs w:val="24"/>
        </w:rPr>
        <w:t>,</w:t>
      </w:r>
      <w:r w:rsidR="00BA7A91">
        <w:rPr>
          <w:rFonts w:ascii="Arial" w:hAnsi="Arial" w:cs="Arial"/>
          <w:sz w:val="24"/>
          <w:szCs w:val="24"/>
        </w:rPr>
        <w:t xml:space="preserve"> but</w:t>
      </w:r>
      <w:r w:rsidR="003961DA">
        <w:rPr>
          <w:rFonts w:ascii="Arial" w:hAnsi="Arial" w:cs="Arial"/>
          <w:sz w:val="24"/>
          <w:szCs w:val="24"/>
        </w:rPr>
        <w:t>,</w:t>
      </w:r>
      <w:r w:rsidR="00BA7A91">
        <w:rPr>
          <w:rFonts w:ascii="Arial" w:hAnsi="Arial" w:cs="Arial"/>
          <w:sz w:val="24"/>
          <w:szCs w:val="24"/>
        </w:rPr>
        <w:t xml:space="preserve"> a court official who executes a court order. </w:t>
      </w:r>
    </w:p>
    <w:p w:rsidR="00B85B32" w:rsidRDefault="00B85B32" w:rsidP="00A85471">
      <w:pPr>
        <w:spacing w:after="0" w:line="360" w:lineRule="auto"/>
        <w:ind w:right="27"/>
        <w:jc w:val="both"/>
        <w:rPr>
          <w:rFonts w:ascii="Arial" w:hAnsi="Arial" w:cs="Arial"/>
          <w:sz w:val="24"/>
          <w:szCs w:val="24"/>
        </w:rPr>
      </w:pPr>
    </w:p>
    <w:p w:rsidR="00A85471" w:rsidRDefault="00396D11" w:rsidP="00A85471">
      <w:pPr>
        <w:spacing w:after="0" w:line="360" w:lineRule="auto"/>
        <w:ind w:right="27"/>
        <w:jc w:val="both"/>
        <w:rPr>
          <w:rFonts w:ascii="Arial" w:hAnsi="Arial" w:cs="Arial"/>
          <w:sz w:val="24"/>
          <w:szCs w:val="24"/>
        </w:rPr>
      </w:pPr>
      <w:r>
        <w:rPr>
          <w:rFonts w:ascii="Arial" w:hAnsi="Arial" w:cs="Arial"/>
          <w:sz w:val="24"/>
          <w:szCs w:val="24"/>
        </w:rPr>
        <w:lastRenderedPageBreak/>
        <w:t>[13]</w:t>
      </w:r>
      <w:r>
        <w:rPr>
          <w:rFonts w:ascii="Arial" w:hAnsi="Arial" w:cs="Arial"/>
          <w:sz w:val="24"/>
          <w:szCs w:val="24"/>
        </w:rPr>
        <w:tab/>
      </w:r>
      <w:r w:rsidR="00BA7A91">
        <w:rPr>
          <w:rFonts w:ascii="Arial" w:hAnsi="Arial" w:cs="Arial"/>
          <w:sz w:val="24"/>
          <w:szCs w:val="24"/>
        </w:rPr>
        <w:t>Therefore, if he does not execute the order he is held to be in contempt of that order</w:t>
      </w:r>
      <w:r w:rsidR="008871FB">
        <w:rPr>
          <w:rFonts w:ascii="Arial" w:hAnsi="Arial" w:cs="Arial"/>
          <w:sz w:val="24"/>
          <w:szCs w:val="24"/>
        </w:rPr>
        <w:t>. Respondent is unrepresented and appears to be a lay person, it is for that reason that I allowed the postponement of this application from the 4</w:t>
      </w:r>
      <w:r w:rsidR="008871FB" w:rsidRPr="00C271F8">
        <w:rPr>
          <w:rFonts w:ascii="Arial" w:hAnsi="Arial" w:cs="Arial"/>
          <w:sz w:val="24"/>
          <w:szCs w:val="24"/>
          <w:vertAlign w:val="superscript"/>
        </w:rPr>
        <w:t>th</w:t>
      </w:r>
      <w:r w:rsidR="008871FB">
        <w:rPr>
          <w:rFonts w:ascii="Arial" w:hAnsi="Arial" w:cs="Arial"/>
          <w:sz w:val="24"/>
          <w:szCs w:val="24"/>
        </w:rPr>
        <w:t xml:space="preserve"> of March 2014 to the 12</w:t>
      </w:r>
      <w:r w:rsidR="008871FB" w:rsidRPr="00C271F8">
        <w:rPr>
          <w:rFonts w:ascii="Arial" w:hAnsi="Arial" w:cs="Arial"/>
          <w:sz w:val="24"/>
          <w:szCs w:val="24"/>
          <w:vertAlign w:val="superscript"/>
        </w:rPr>
        <w:t>th</w:t>
      </w:r>
      <w:r w:rsidR="008871FB">
        <w:rPr>
          <w:rFonts w:ascii="Arial" w:hAnsi="Arial" w:cs="Arial"/>
          <w:sz w:val="24"/>
          <w:szCs w:val="24"/>
        </w:rPr>
        <w:t xml:space="preserve"> of March 2014 in order </w:t>
      </w:r>
      <w:r w:rsidR="00616DFC">
        <w:rPr>
          <w:rFonts w:ascii="Arial" w:hAnsi="Arial" w:cs="Arial"/>
          <w:sz w:val="24"/>
          <w:szCs w:val="24"/>
        </w:rPr>
        <w:t>to allow</w:t>
      </w:r>
      <w:r w:rsidR="008871FB">
        <w:rPr>
          <w:rFonts w:ascii="Arial" w:hAnsi="Arial" w:cs="Arial"/>
          <w:sz w:val="24"/>
          <w:szCs w:val="24"/>
        </w:rPr>
        <w:t xml:space="preserve"> him to present his case according to his best ability. </w:t>
      </w:r>
      <w:r w:rsidR="00677728" w:rsidRPr="00677728">
        <w:rPr>
          <w:rFonts w:ascii="Arial" w:hAnsi="Arial" w:cs="Arial"/>
          <w:sz w:val="24"/>
          <w:szCs w:val="24"/>
        </w:rPr>
        <w:t>The sale of this property took place in November 2012 and transfer took place in April 2013, but</w:t>
      </w:r>
      <w:r w:rsidR="00616DFC">
        <w:rPr>
          <w:rFonts w:ascii="Arial" w:hAnsi="Arial" w:cs="Arial"/>
          <w:sz w:val="24"/>
          <w:szCs w:val="24"/>
        </w:rPr>
        <w:t>,</w:t>
      </w:r>
      <w:r w:rsidR="00677728" w:rsidRPr="00677728">
        <w:rPr>
          <w:rFonts w:ascii="Arial" w:hAnsi="Arial" w:cs="Arial"/>
          <w:sz w:val="24"/>
          <w:szCs w:val="24"/>
        </w:rPr>
        <w:t xml:space="preserve"> to date</w:t>
      </w:r>
      <w:r w:rsidR="00616DFC">
        <w:rPr>
          <w:rFonts w:ascii="Arial" w:hAnsi="Arial" w:cs="Arial"/>
          <w:sz w:val="24"/>
          <w:szCs w:val="24"/>
        </w:rPr>
        <w:t>,</w:t>
      </w:r>
      <w:r w:rsidR="00677728" w:rsidRPr="00677728">
        <w:rPr>
          <w:rFonts w:ascii="Arial" w:hAnsi="Arial" w:cs="Arial"/>
          <w:sz w:val="24"/>
          <w:szCs w:val="24"/>
        </w:rPr>
        <w:t xml:space="preserve"> respondent has not taken steps to set </w:t>
      </w:r>
      <w:r>
        <w:rPr>
          <w:rFonts w:ascii="Arial" w:hAnsi="Arial" w:cs="Arial"/>
          <w:sz w:val="24"/>
          <w:szCs w:val="24"/>
        </w:rPr>
        <w:t>the sale</w:t>
      </w:r>
      <w:r w:rsidR="00677728" w:rsidRPr="00677728">
        <w:rPr>
          <w:rFonts w:ascii="Arial" w:hAnsi="Arial" w:cs="Arial"/>
          <w:sz w:val="24"/>
          <w:szCs w:val="24"/>
        </w:rPr>
        <w:t xml:space="preserve"> aside</w:t>
      </w:r>
      <w:r>
        <w:rPr>
          <w:rFonts w:ascii="Arial" w:hAnsi="Arial" w:cs="Arial"/>
          <w:sz w:val="24"/>
          <w:szCs w:val="24"/>
        </w:rPr>
        <w:t>,</w:t>
      </w:r>
      <w:r w:rsidR="00677728" w:rsidRPr="00677728">
        <w:rPr>
          <w:rFonts w:ascii="Arial" w:hAnsi="Arial" w:cs="Arial"/>
          <w:sz w:val="24"/>
          <w:szCs w:val="24"/>
        </w:rPr>
        <w:t xml:space="preserve"> as is expected of a disgruntled litigant.</w:t>
      </w:r>
      <w:r w:rsidR="00F1436E">
        <w:rPr>
          <w:rFonts w:ascii="Arial" w:hAnsi="Arial" w:cs="Arial"/>
          <w:sz w:val="24"/>
          <w:szCs w:val="24"/>
        </w:rPr>
        <w:t xml:space="preserve"> </w:t>
      </w:r>
      <w:r w:rsidR="008871FB">
        <w:rPr>
          <w:rFonts w:ascii="Arial" w:hAnsi="Arial" w:cs="Arial"/>
          <w:sz w:val="24"/>
          <w:szCs w:val="24"/>
        </w:rPr>
        <w:t>It has been the practice of this court to bend a little bit backwards in order to accommodate genuine lay persons as justice is for all citizens of this country.</w:t>
      </w:r>
    </w:p>
    <w:p w:rsidR="008871FB" w:rsidRDefault="008871FB" w:rsidP="00A85471">
      <w:pPr>
        <w:spacing w:after="0" w:line="360" w:lineRule="auto"/>
        <w:ind w:right="27"/>
        <w:jc w:val="both"/>
        <w:rPr>
          <w:rFonts w:ascii="Arial" w:hAnsi="Arial" w:cs="Arial"/>
          <w:sz w:val="24"/>
          <w:szCs w:val="24"/>
        </w:rPr>
      </w:pPr>
    </w:p>
    <w:p w:rsidR="00A85471" w:rsidRDefault="00A85471" w:rsidP="00A85471">
      <w:pPr>
        <w:spacing w:after="0" w:line="360" w:lineRule="auto"/>
        <w:ind w:right="27"/>
        <w:jc w:val="both"/>
        <w:rPr>
          <w:rFonts w:ascii="Arial" w:hAnsi="Arial" w:cs="Arial"/>
          <w:sz w:val="24"/>
          <w:szCs w:val="24"/>
        </w:rPr>
      </w:pPr>
      <w:r>
        <w:rPr>
          <w:rFonts w:ascii="Arial" w:hAnsi="Arial" w:cs="Arial"/>
          <w:sz w:val="24"/>
          <w:szCs w:val="24"/>
        </w:rPr>
        <w:t xml:space="preserve">These points were raised </w:t>
      </w:r>
      <w:r w:rsidRPr="00A85471">
        <w:rPr>
          <w:rFonts w:ascii="Arial" w:hAnsi="Arial" w:cs="Arial"/>
          <w:i/>
          <w:sz w:val="24"/>
          <w:szCs w:val="24"/>
        </w:rPr>
        <w:t>in limine</w:t>
      </w:r>
      <w:r w:rsidR="00E26D7A">
        <w:rPr>
          <w:rFonts w:ascii="Arial" w:hAnsi="Arial" w:cs="Arial"/>
          <w:sz w:val="24"/>
          <w:szCs w:val="24"/>
        </w:rPr>
        <w:t xml:space="preserve"> by respondent</w:t>
      </w:r>
      <w:r>
        <w:rPr>
          <w:rFonts w:ascii="Arial" w:hAnsi="Arial" w:cs="Arial"/>
          <w:sz w:val="24"/>
          <w:szCs w:val="24"/>
        </w:rPr>
        <w:t xml:space="preserve">. In fact </w:t>
      </w:r>
      <w:r w:rsidR="00194AA7">
        <w:rPr>
          <w:rFonts w:ascii="Arial" w:hAnsi="Arial" w:cs="Arial"/>
          <w:sz w:val="24"/>
          <w:szCs w:val="24"/>
        </w:rPr>
        <w:t>they</w:t>
      </w:r>
      <w:r>
        <w:rPr>
          <w:rFonts w:ascii="Arial" w:hAnsi="Arial" w:cs="Arial"/>
          <w:sz w:val="24"/>
          <w:szCs w:val="24"/>
        </w:rPr>
        <w:t xml:space="preserve"> actually turned out to be his arguments on </w:t>
      </w:r>
      <w:r w:rsidR="00194AA7">
        <w:rPr>
          <w:rFonts w:ascii="Arial" w:hAnsi="Arial" w:cs="Arial"/>
          <w:sz w:val="24"/>
          <w:szCs w:val="24"/>
        </w:rPr>
        <w:t xml:space="preserve">the </w:t>
      </w:r>
      <w:r>
        <w:rPr>
          <w:rFonts w:ascii="Arial" w:hAnsi="Arial" w:cs="Arial"/>
          <w:sz w:val="24"/>
          <w:szCs w:val="24"/>
        </w:rPr>
        <w:t>merit</w:t>
      </w:r>
      <w:r w:rsidR="00194AA7">
        <w:rPr>
          <w:rFonts w:ascii="Arial" w:hAnsi="Arial" w:cs="Arial"/>
          <w:sz w:val="24"/>
          <w:szCs w:val="24"/>
        </w:rPr>
        <w:t>s</w:t>
      </w:r>
      <w:r>
        <w:rPr>
          <w:rFonts w:ascii="Arial" w:hAnsi="Arial" w:cs="Arial"/>
          <w:sz w:val="24"/>
          <w:szCs w:val="24"/>
        </w:rPr>
        <w:t>.</w:t>
      </w:r>
    </w:p>
    <w:p w:rsidR="00A85471" w:rsidRDefault="00A85471" w:rsidP="00A85471">
      <w:pPr>
        <w:spacing w:after="0" w:line="360" w:lineRule="auto"/>
        <w:ind w:right="27"/>
        <w:jc w:val="both"/>
        <w:rPr>
          <w:rFonts w:ascii="Arial" w:hAnsi="Arial" w:cs="Arial"/>
          <w:sz w:val="24"/>
          <w:szCs w:val="24"/>
        </w:rPr>
      </w:pPr>
    </w:p>
    <w:p w:rsidR="00C271F8" w:rsidRDefault="00A85471" w:rsidP="00A85471">
      <w:pPr>
        <w:spacing w:after="0" w:line="360" w:lineRule="auto"/>
        <w:ind w:right="27"/>
        <w:jc w:val="both"/>
        <w:rPr>
          <w:rFonts w:ascii="Arial" w:hAnsi="Arial" w:cs="Arial"/>
          <w:sz w:val="24"/>
          <w:szCs w:val="24"/>
        </w:rPr>
      </w:pPr>
      <w:r>
        <w:rPr>
          <w:rFonts w:ascii="Arial" w:hAnsi="Arial" w:cs="Arial"/>
          <w:sz w:val="24"/>
          <w:szCs w:val="24"/>
        </w:rPr>
        <w:t>[</w:t>
      </w:r>
      <w:r w:rsidR="00296D79">
        <w:rPr>
          <w:rFonts w:ascii="Arial" w:hAnsi="Arial" w:cs="Arial"/>
          <w:sz w:val="24"/>
          <w:szCs w:val="24"/>
        </w:rPr>
        <w:t>14</w:t>
      </w:r>
      <w:r>
        <w:rPr>
          <w:rFonts w:ascii="Arial" w:hAnsi="Arial" w:cs="Arial"/>
          <w:sz w:val="24"/>
          <w:szCs w:val="24"/>
        </w:rPr>
        <w:t>]</w:t>
      </w:r>
      <w:r>
        <w:rPr>
          <w:rFonts w:ascii="Arial" w:hAnsi="Arial" w:cs="Arial"/>
          <w:sz w:val="24"/>
          <w:szCs w:val="24"/>
        </w:rPr>
        <w:tab/>
        <w:t xml:space="preserve">Advocate Van Vuuren in response argued that applicant should not be allowed to </w:t>
      </w:r>
      <w:r w:rsidR="00C271F8">
        <w:rPr>
          <w:rFonts w:ascii="Arial" w:hAnsi="Arial" w:cs="Arial"/>
          <w:sz w:val="24"/>
          <w:szCs w:val="24"/>
        </w:rPr>
        <w:t xml:space="preserve">introduce new matters at this juncture </w:t>
      </w:r>
      <w:r w:rsidR="00296D79">
        <w:rPr>
          <w:rFonts w:ascii="Arial" w:hAnsi="Arial" w:cs="Arial"/>
          <w:sz w:val="24"/>
          <w:szCs w:val="24"/>
        </w:rPr>
        <w:t>t</w:t>
      </w:r>
      <w:r w:rsidR="008871FB">
        <w:rPr>
          <w:rFonts w:ascii="Arial" w:hAnsi="Arial" w:cs="Arial"/>
          <w:sz w:val="24"/>
          <w:szCs w:val="24"/>
        </w:rPr>
        <w:t xml:space="preserve">hrough an affidavit, I agree with his submissions. </w:t>
      </w:r>
      <w:r w:rsidR="00C271F8">
        <w:rPr>
          <w:rFonts w:ascii="Arial" w:hAnsi="Arial" w:cs="Arial"/>
          <w:sz w:val="24"/>
          <w:szCs w:val="24"/>
        </w:rPr>
        <w:t>He further argued that the Deputy Sherriff’s f</w:t>
      </w:r>
      <w:r w:rsidR="008871FB">
        <w:rPr>
          <w:rFonts w:ascii="Arial" w:hAnsi="Arial" w:cs="Arial"/>
          <w:sz w:val="24"/>
          <w:szCs w:val="24"/>
        </w:rPr>
        <w:t>unction is not an administrative</w:t>
      </w:r>
      <w:r w:rsidR="00C271F8">
        <w:rPr>
          <w:rFonts w:ascii="Arial" w:hAnsi="Arial" w:cs="Arial"/>
          <w:sz w:val="24"/>
          <w:szCs w:val="24"/>
        </w:rPr>
        <w:t xml:space="preserve"> function</w:t>
      </w:r>
      <w:r w:rsidR="008871FB">
        <w:rPr>
          <w:rFonts w:ascii="Arial" w:hAnsi="Arial" w:cs="Arial"/>
          <w:sz w:val="24"/>
          <w:szCs w:val="24"/>
        </w:rPr>
        <w:t>,</w:t>
      </w:r>
      <w:r w:rsidR="00296076">
        <w:rPr>
          <w:rFonts w:ascii="Arial" w:hAnsi="Arial" w:cs="Arial"/>
          <w:sz w:val="24"/>
          <w:szCs w:val="24"/>
        </w:rPr>
        <w:t xml:space="preserve"> but</w:t>
      </w:r>
      <w:r w:rsidR="008871FB">
        <w:rPr>
          <w:rFonts w:ascii="Arial" w:hAnsi="Arial" w:cs="Arial"/>
          <w:sz w:val="24"/>
          <w:szCs w:val="24"/>
        </w:rPr>
        <w:t>,</w:t>
      </w:r>
      <w:r w:rsidR="00296076">
        <w:rPr>
          <w:rFonts w:ascii="Arial" w:hAnsi="Arial" w:cs="Arial"/>
          <w:sz w:val="24"/>
          <w:szCs w:val="24"/>
        </w:rPr>
        <w:t xml:space="preserve"> a judicial one</w:t>
      </w:r>
      <w:r w:rsidR="00C271F8">
        <w:rPr>
          <w:rFonts w:ascii="Arial" w:hAnsi="Arial" w:cs="Arial"/>
          <w:sz w:val="24"/>
          <w:szCs w:val="24"/>
        </w:rPr>
        <w:t>.</w:t>
      </w:r>
      <w:r w:rsidR="00296D79">
        <w:rPr>
          <w:rFonts w:ascii="Arial" w:hAnsi="Arial" w:cs="Arial"/>
          <w:sz w:val="24"/>
          <w:szCs w:val="24"/>
        </w:rPr>
        <w:t xml:space="preserve"> I also agree with this submission.</w:t>
      </w:r>
    </w:p>
    <w:p w:rsidR="00C271F8" w:rsidRDefault="00C271F8" w:rsidP="00A85471">
      <w:pPr>
        <w:spacing w:after="0" w:line="360" w:lineRule="auto"/>
        <w:ind w:right="27"/>
        <w:jc w:val="both"/>
        <w:rPr>
          <w:rFonts w:ascii="Arial" w:hAnsi="Arial" w:cs="Arial"/>
          <w:sz w:val="24"/>
          <w:szCs w:val="24"/>
        </w:rPr>
      </w:pPr>
    </w:p>
    <w:p w:rsidR="0078327B" w:rsidRDefault="00C271F8" w:rsidP="00A85471">
      <w:pPr>
        <w:spacing w:after="0" w:line="360" w:lineRule="auto"/>
        <w:ind w:right="27"/>
        <w:jc w:val="both"/>
        <w:rPr>
          <w:rFonts w:ascii="Arial" w:hAnsi="Arial" w:cs="Arial"/>
          <w:sz w:val="24"/>
          <w:szCs w:val="24"/>
        </w:rPr>
      </w:pPr>
      <w:r>
        <w:rPr>
          <w:rFonts w:ascii="Arial" w:hAnsi="Arial" w:cs="Arial"/>
          <w:sz w:val="24"/>
          <w:szCs w:val="24"/>
        </w:rPr>
        <w:t>[</w:t>
      </w:r>
      <w:r w:rsidR="00296D79">
        <w:rPr>
          <w:rFonts w:ascii="Arial" w:hAnsi="Arial" w:cs="Arial"/>
          <w:sz w:val="24"/>
          <w:szCs w:val="24"/>
        </w:rPr>
        <w:t>15</w:t>
      </w:r>
      <w:r>
        <w:rPr>
          <w:rFonts w:ascii="Arial" w:hAnsi="Arial" w:cs="Arial"/>
          <w:sz w:val="24"/>
          <w:szCs w:val="24"/>
        </w:rPr>
        <w:t>]</w:t>
      </w:r>
      <w:r>
        <w:rPr>
          <w:rFonts w:ascii="Arial" w:hAnsi="Arial" w:cs="Arial"/>
          <w:sz w:val="24"/>
          <w:szCs w:val="24"/>
        </w:rPr>
        <w:tab/>
        <w:t xml:space="preserve">Respondent is not </w:t>
      </w:r>
      <w:r w:rsidR="00D401BF">
        <w:rPr>
          <w:rFonts w:ascii="Arial" w:hAnsi="Arial" w:cs="Arial"/>
          <w:sz w:val="24"/>
          <w:szCs w:val="24"/>
        </w:rPr>
        <w:t xml:space="preserve">permitted by law to </w:t>
      </w:r>
      <w:r>
        <w:rPr>
          <w:rFonts w:ascii="Arial" w:hAnsi="Arial" w:cs="Arial"/>
          <w:sz w:val="24"/>
          <w:szCs w:val="24"/>
        </w:rPr>
        <w:t xml:space="preserve">introduce </w:t>
      </w:r>
      <w:r w:rsidR="0012252A">
        <w:rPr>
          <w:rFonts w:ascii="Arial" w:hAnsi="Arial" w:cs="Arial"/>
          <w:sz w:val="24"/>
          <w:szCs w:val="24"/>
        </w:rPr>
        <w:t>a</w:t>
      </w:r>
      <w:r>
        <w:rPr>
          <w:rFonts w:ascii="Arial" w:hAnsi="Arial" w:cs="Arial"/>
          <w:sz w:val="24"/>
          <w:szCs w:val="24"/>
        </w:rPr>
        <w:t xml:space="preserve"> </w:t>
      </w:r>
      <w:r w:rsidR="002C3E3A">
        <w:rPr>
          <w:rFonts w:ascii="Arial" w:hAnsi="Arial" w:cs="Arial"/>
          <w:sz w:val="24"/>
          <w:szCs w:val="24"/>
        </w:rPr>
        <w:t>new</w:t>
      </w:r>
      <w:r>
        <w:rPr>
          <w:rFonts w:ascii="Arial" w:hAnsi="Arial" w:cs="Arial"/>
          <w:sz w:val="24"/>
          <w:szCs w:val="24"/>
        </w:rPr>
        <w:t xml:space="preserve"> matter at this juncture. If he is not happy with the sale of </w:t>
      </w:r>
      <w:r w:rsidR="00D401BF">
        <w:rPr>
          <w:rFonts w:ascii="Arial" w:hAnsi="Arial" w:cs="Arial"/>
          <w:sz w:val="24"/>
          <w:szCs w:val="24"/>
        </w:rPr>
        <w:t xml:space="preserve">the property for </w:t>
      </w:r>
      <w:r>
        <w:rPr>
          <w:rFonts w:ascii="Arial" w:hAnsi="Arial" w:cs="Arial"/>
          <w:sz w:val="24"/>
          <w:szCs w:val="24"/>
        </w:rPr>
        <w:t>whatever</w:t>
      </w:r>
      <w:r w:rsidR="00896350">
        <w:rPr>
          <w:rFonts w:ascii="Arial" w:hAnsi="Arial" w:cs="Arial"/>
          <w:sz w:val="24"/>
          <w:szCs w:val="24"/>
        </w:rPr>
        <w:t>,</w:t>
      </w:r>
      <w:r>
        <w:rPr>
          <w:rFonts w:ascii="Arial" w:hAnsi="Arial" w:cs="Arial"/>
          <w:sz w:val="24"/>
          <w:szCs w:val="24"/>
        </w:rPr>
        <w:t xml:space="preserve"> reason</w:t>
      </w:r>
      <w:r w:rsidR="00D401BF">
        <w:rPr>
          <w:rFonts w:ascii="Arial" w:hAnsi="Arial" w:cs="Arial"/>
          <w:sz w:val="24"/>
          <w:szCs w:val="24"/>
        </w:rPr>
        <w:t>,</w:t>
      </w:r>
      <w:r w:rsidR="00C800D3">
        <w:rPr>
          <w:rFonts w:ascii="Arial" w:hAnsi="Arial" w:cs="Arial"/>
          <w:sz w:val="24"/>
          <w:szCs w:val="24"/>
        </w:rPr>
        <w:t xml:space="preserve"> his b</w:t>
      </w:r>
      <w:r>
        <w:rPr>
          <w:rFonts w:ascii="Arial" w:hAnsi="Arial" w:cs="Arial"/>
          <w:sz w:val="24"/>
          <w:szCs w:val="24"/>
        </w:rPr>
        <w:t xml:space="preserve">est cause of action </w:t>
      </w:r>
      <w:r w:rsidR="002C3E3A">
        <w:rPr>
          <w:rFonts w:ascii="Arial" w:hAnsi="Arial" w:cs="Arial"/>
          <w:sz w:val="24"/>
          <w:szCs w:val="24"/>
        </w:rPr>
        <w:t>is</w:t>
      </w:r>
      <w:r>
        <w:rPr>
          <w:rFonts w:ascii="Arial" w:hAnsi="Arial" w:cs="Arial"/>
          <w:sz w:val="24"/>
          <w:szCs w:val="24"/>
        </w:rPr>
        <w:t xml:space="preserve"> an application to se</w:t>
      </w:r>
      <w:r w:rsidR="00C800D3">
        <w:rPr>
          <w:rFonts w:ascii="Arial" w:hAnsi="Arial" w:cs="Arial"/>
          <w:sz w:val="24"/>
          <w:szCs w:val="24"/>
        </w:rPr>
        <w:t>t the sale aside</w:t>
      </w:r>
      <w:r w:rsidR="00896350">
        <w:rPr>
          <w:rFonts w:ascii="Arial" w:hAnsi="Arial" w:cs="Arial"/>
          <w:sz w:val="24"/>
          <w:szCs w:val="24"/>
        </w:rPr>
        <w:t>,</w:t>
      </w:r>
      <w:r w:rsidR="00C800D3">
        <w:rPr>
          <w:rFonts w:ascii="Arial" w:hAnsi="Arial" w:cs="Arial"/>
          <w:sz w:val="24"/>
          <w:szCs w:val="24"/>
        </w:rPr>
        <w:t xml:space="preserve"> </w:t>
      </w:r>
      <w:r w:rsidR="00896350">
        <w:rPr>
          <w:rFonts w:ascii="Arial" w:hAnsi="Arial" w:cs="Arial"/>
          <w:sz w:val="24"/>
          <w:szCs w:val="24"/>
        </w:rPr>
        <w:t>s</w:t>
      </w:r>
      <w:r w:rsidR="002C3E3A">
        <w:rPr>
          <w:rFonts w:ascii="Arial" w:hAnsi="Arial" w:cs="Arial"/>
          <w:sz w:val="24"/>
          <w:szCs w:val="24"/>
        </w:rPr>
        <w:t>ee T</w:t>
      </w:r>
      <w:r w:rsidR="002C3E3A" w:rsidRPr="002C3E3A">
        <w:rPr>
          <w:rFonts w:ascii="Arial" w:hAnsi="Arial" w:cs="Arial"/>
          <w:i/>
          <w:sz w:val="24"/>
          <w:szCs w:val="24"/>
        </w:rPr>
        <w:t>odd v First Rand Bank Ltd and others</w:t>
      </w:r>
      <w:r w:rsidR="00852751">
        <w:rPr>
          <w:rStyle w:val="FootnoteReference"/>
          <w:rFonts w:ascii="Arial" w:hAnsi="Arial" w:cs="Arial"/>
          <w:i/>
          <w:sz w:val="24"/>
          <w:szCs w:val="24"/>
        </w:rPr>
        <w:footnoteReference w:id="4"/>
      </w:r>
      <w:r w:rsidR="002C3E3A">
        <w:rPr>
          <w:rFonts w:ascii="Arial" w:hAnsi="Arial" w:cs="Arial"/>
          <w:sz w:val="24"/>
          <w:szCs w:val="24"/>
        </w:rPr>
        <w:t xml:space="preserve"> and </w:t>
      </w:r>
      <w:r w:rsidR="002C3E3A" w:rsidRPr="002C3E3A">
        <w:rPr>
          <w:rFonts w:ascii="Arial" w:hAnsi="Arial" w:cs="Arial"/>
          <w:i/>
          <w:sz w:val="24"/>
          <w:szCs w:val="24"/>
        </w:rPr>
        <w:t>Mbanderu Traditional Authority and another v Kahuure and others</w:t>
      </w:r>
      <w:r w:rsidR="00852751">
        <w:rPr>
          <w:rStyle w:val="FootnoteReference"/>
          <w:rFonts w:ascii="Arial" w:hAnsi="Arial" w:cs="Arial"/>
          <w:i/>
          <w:sz w:val="24"/>
          <w:szCs w:val="24"/>
        </w:rPr>
        <w:footnoteReference w:id="5"/>
      </w:r>
      <w:r w:rsidR="00852751">
        <w:rPr>
          <w:rFonts w:ascii="Arial" w:hAnsi="Arial" w:cs="Arial"/>
          <w:i/>
          <w:sz w:val="24"/>
          <w:szCs w:val="24"/>
        </w:rPr>
        <w:t>.</w:t>
      </w:r>
      <w:r w:rsidR="002C3E3A">
        <w:rPr>
          <w:rFonts w:ascii="Arial" w:hAnsi="Arial" w:cs="Arial"/>
          <w:sz w:val="24"/>
          <w:szCs w:val="24"/>
        </w:rPr>
        <w:t xml:space="preserve"> </w:t>
      </w:r>
      <w:r w:rsidR="00C800D3">
        <w:rPr>
          <w:rFonts w:ascii="Arial" w:hAnsi="Arial" w:cs="Arial"/>
          <w:sz w:val="24"/>
          <w:szCs w:val="24"/>
        </w:rPr>
        <w:t xml:space="preserve">As it is, there </w:t>
      </w:r>
      <w:r>
        <w:rPr>
          <w:rFonts w:ascii="Arial" w:hAnsi="Arial" w:cs="Arial"/>
          <w:sz w:val="24"/>
          <w:szCs w:val="24"/>
        </w:rPr>
        <w:t>is an order of the court. It is trite that an order</w:t>
      </w:r>
      <w:r w:rsidR="00C800D3">
        <w:rPr>
          <w:rFonts w:ascii="Arial" w:hAnsi="Arial" w:cs="Arial"/>
          <w:sz w:val="24"/>
          <w:szCs w:val="24"/>
        </w:rPr>
        <w:t xml:space="preserve"> of the court</w:t>
      </w:r>
      <w:r>
        <w:rPr>
          <w:rFonts w:ascii="Arial" w:hAnsi="Arial" w:cs="Arial"/>
          <w:sz w:val="24"/>
          <w:szCs w:val="24"/>
        </w:rPr>
        <w:t xml:space="preserve"> remains in force until it is set aside by a competent court. Whoever</w:t>
      </w:r>
      <w:r w:rsidR="0078327B">
        <w:rPr>
          <w:rFonts w:ascii="Arial" w:hAnsi="Arial" w:cs="Arial"/>
          <w:sz w:val="24"/>
          <w:szCs w:val="24"/>
        </w:rPr>
        <w:t>,</w:t>
      </w:r>
      <w:r>
        <w:rPr>
          <w:rFonts w:ascii="Arial" w:hAnsi="Arial" w:cs="Arial"/>
          <w:sz w:val="24"/>
          <w:szCs w:val="24"/>
        </w:rPr>
        <w:t xml:space="preserve"> is offended </w:t>
      </w:r>
      <w:r w:rsidR="00C800D3">
        <w:rPr>
          <w:rFonts w:ascii="Arial" w:hAnsi="Arial" w:cs="Arial"/>
          <w:sz w:val="24"/>
          <w:szCs w:val="24"/>
        </w:rPr>
        <w:t xml:space="preserve">by that order is bound by it. </w:t>
      </w:r>
    </w:p>
    <w:p w:rsidR="0078327B" w:rsidRDefault="0078327B" w:rsidP="00A85471">
      <w:pPr>
        <w:spacing w:after="0" w:line="360" w:lineRule="auto"/>
        <w:ind w:right="27"/>
        <w:jc w:val="both"/>
        <w:rPr>
          <w:rFonts w:ascii="Arial" w:hAnsi="Arial" w:cs="Arial"/>
          <w:sz w:val="24"/>
          <w:szCs w:val="24"/>
        </w:rPr>
      </w:pPr>
    </w:p>
    <w:p w:rsidR="00C271F8" w:rsidRDefault="00C800D3" w:rsidP="00A85471">
      <w:pPr>
        <w:spacing w:after="0" w:line="360" w:lineRule="auto"/>
        <w:ind w:right="27"/>
        <w:jc w:val="both"/>
        <w:rPr>
          <w:rFonts w:ascii="Arial" w:hAnsi="Arial" w:cs="Arial"/>
          <w:sz w:val="24"/>
          <w:szCs w:val="24"/>
        </w:rPr>
      </w:pPr>
      <w:r>
        <w:rPr>
          <w:rFonts w:ascii="Arial" w:hAnsi="Arial" w:cs="Arial"/>
          <w:sz w:val="24"/>
          <w:szCs w:val="24"/>
        </w:rPr>
        <w:t>T</w:t>
      </w:r>
      <w:r w:rsidR="00C271F8">
        <w:rPr>
          <w:rFonts w:ascii="Arial" w:hAnsi="Arial" w:cs="Arial"/>
          <w:sz w:val="24"/>
          <w:szCs w:val="24"/>
        </w:rPr>
        <w:t xml:space="preserve">he judgment remains in force until it is set aside, see </w:t>
      </w:r>
      <w:r w:rsidR="00C271F8" w:rsidRPr="00C271F8">
        <w:rPr>
          <w:rFonts w:ascii="Arial" w:hAnsi="Arial" w:cs="Arial"/>
          <w:i/>
          <w:sz w:val="24"/>
          <w:szCs w:val="24"/>
        </w:rPr>
        <w:t>Hamutenya v Hamutenya</w:t>
      </w:r>
      <w:r w:rsidR="00C271F8">
        <w:rPr>
          <w:rStyle w:val="FootnoteReference"/>
          <w:rFonts w:ascii="Arial" w:hAnsi="Arial" w:cs="Arial"/>
          <w:i/>
          <w:sz w:val="24"/>
          <w:szCs w:val="24"/>
        </w:rPr>
        <w:footnoteReference w:id="6"/>
      </w:r>
      <w:r w:rsidR="00C271F8">
        <w:rPr>
          <w:rFonts w:ascii="Arial" w:hAnsi="Arial" w:cs="Arial"/>
          <w:sz w:val="24"/>
          <w:szCs w:val="24"/>
        </w:rPr>
        <w:t xml:space="preserve">  and </w:t>
      </w:r>
      <w:r w:rsidR="00C271F8" w:rsidRPr="00C271F8">
        <w:rPr>
          <w:rFonts w:ascii="Arial" w:hAnsi="Arial" w:cs="Arial"/>
          <w:i/>
          <w:sz w:val="24"/>
          <w:szCs w:val="24"/>
        </w:rPr>
        <w:t>Be</w:t>
      </w:r>
      <w:r w:rsidR="00E75C22">
        <w:rPr>
          <w:rFonts w:ascii="Arial" w:hAnsi="Arial" w:cs="Arial"/>
          <w:i/>
          <w:sz w:val="24"/>
          <w:szCs w:val="24"/>
        </w:rPr>
        <w:t>z</w:t>
      </w:r>
      <w:r w:rsidR="00C271F8" w:rsidRPr="00C271F8">
        <w:rPr>
          <w:rFonts w:ascii="Arial" w:hAnsi="Arial" w:cs="Arial"/>
          <w:i/>
          <w:sz w:val="24"/>
          <w:szCs w:val="24"/>
        </w:rPr>
        <w:t>uidenhout v Patensie S</w:t>
      </w:r>
      <w:r w:rsidR="00E75C22">
        <w:rPr>
          <w:rFonts w:ascii="Arial" w:hAnsi="Arial" w:cs="Arial"/>
          <w:i/>
          <w:sz w:val="24"/>
          <w:szCs w:val="24"/>
        </w:rPr>
        <w:t>i</w:t>
      </w:r>
      <w:r w:rsidR="00C271F8" w:rsidRPr="00C271F8">
        <w:rPr>
          <w:rFonts w:ascii="Arial" w:hAnsi="Arial" w:cs="Arial"/>
          <w:i/>
          <w:sz w:val="24"/>
          <w:szCs w:val="24"/>
        </w:rPr>
        <w:t>trus Beherend BPK</w:t>
      </w:r>
      <w:r w:rsidR="00DB7D05">
        <w:rPr>
          <w:rStyle w:val="FootnoteReference"/>
          <w:rFonts w:ascii="Arial" w:hAnsi="Arial" w:cs="Arial"/>
          <w:i/>
          <w:sz w:val="24"/>
          <w:szCs w:val="24"/>
        </w:rPr>
        <w:footnoteReference w:id="7"/>
      </w:r>
      <w:r w:rsidR="00C271F8">
        <w:rPr>
          <w:rFonts w:ascii="Arial" w:hAnsi="Arial" w:cs="Arial"/>
          <w:sz w:val="24"/>
          <w:szCs w:val="24"/>
        </w:rPr>
        <w:t xml:space="preserve"> where </w:t>
      </w:r>
      <w:r w:rsidR="00DB7D05">
        <w:rPr>
          <w:rFonts w:ascii="Arial" w:hAnsi="Arial" w:cs="Arial"/>
          <w:sz w:val="24"/>
          <w:szCs w:val="24"/>
        </w:rPr>
        <w:t>Froneman</w:t>
      </w:r>
      <w:r w:rsidR="00332C52">
        <w:rPr>
          <w:rFonts w:ascii="Arial" w:hAnsi="Arial" w:cs="Arial"/>
          <w:sz w:val="24"/>
          <w:szCs w:val="24"/>
        </w:rPr>
        <w:t>,</w:t>
      </w:r>
      <w:r w:rsidR="00DB7D05">
        <w:rPr>
          <w:rFonts w:ascii="Arial" w:hAnsi="Arial" w:cs="Arial"/>
          <w:sz w:val="24"/>
          <w:szCs w:val="24"/>
        </w:rPr>
        <w:t xml:space="preserve"> J</w:t>
      </w:r>
      <w:r w:rsidR="00332C52">
        <w:rPr>
          <w:rFonts w:ascii="Arial" w:hAnsi="Arial" w:cs="Arial"/>
          <w:sz w:val="24"/>
          <w:szCs w:val="24"/>
        </w:rPr>
        <w:t>.</w:t>
      </w:r>
      <w:r w:rsidR="00DB7D05">
        <w:rPr>
          <w:rFonts w:ascii="Arial" w:hAnsi="Arial" w:cs="Arial"/>
          <w:sz w:val="24"/>
          <w:szCs w:val="24"/>
        </w:rPr>
        <w:t xml:space="preserve"> stated:</w:t>
      </w:r>
    </w:p>
    <w:p w:rsidR="00DB7D05" w:rsidRDefault="00DB7D05" w:rsidP="00A85471">
      <w:pPr>
        <w:spacing w:after="0" w:line="360" w:lineRule="auto"/>
        <w:ind w:right="27"/>
        <w:jc w:val="both"/>
        <w:rPr>
          <w:rFonts w:ascii="Arial" w:hAnsi="Arial" w:cs="Arial"/>
          <w:sz w:val="24"/>
          <w:szCs w:val="24"/>
        </w:rPr>
      </w:pPr>
    </w:p>
    <w:p w:rsidR="00DB7D05" w:rsidRDefault="00DB7D05" w:rsidP="00DB7D05">
      <w:pPr>
        <w:spacing w:after="0" w:line="360" w:lineRule="auto"/>
        <w:ind w:left="720" w:right="1107"/>
        <w:jc w:val="both"/>
        <w:rPr>
          <w:rFonts w:ascii="Arial" w:hAnsi="Arial" w:cs="Arial"/>
          <w:i/>
          <w:sz w:val="24"/>
          <w:szCs w:val="24"/>
        </w:rPr>
      </w:pPr>
      <w:r w:rsidRPr="00DB7D05">
        <w:rPr>
          <w:rFonts w:ascii="Arial" w:hAnsi="Arial" w:cs="Arial"/>
          <w:i/>
          <w:sz w:val="24"/>
          <w:szCs w:val="24"/>
        </w:rPr>
        <w:t>“An order</w:t>
      </w:r>
      <w:r>
        <w:rPr>
          <w:rFonts w:ascii="Arial" w:hAnsi="Arial" w:cs="Arial"/>
          <w:i/>
          <w:sz w:val="24"/>
          <w:szCs w:val="24"/>
        </w:rPr>
        <w:t xml:space="preserve"> of a court of law stands until set aside by court of compete</w:t>
      </w:r>
      <w:r w:rsidR="0012252A">
        <w:rPr>
          <w:rFonts w:ascii="Arial" w:hAnsi="Arial" w:cs="Arial"/>
          <w:i/>
          <w:sz w:val="24"/>
          <w:szCs w:val="24"/>
        </w:rPr>
        <w:t>nt jurisdiction. Until that is d</w:t>
      </w:r>
      <w:r>
        <w:rPr>
          <w:rFonts w:ascii="Arial" w:hAnsi="Arial" w:cs="Arial"/>
          <w:i/>
          <w:sz w:val="24"/>
          <w:szCs w:val="24"/>
        </w:rPr>
        <w:t>one the court order must be obeyed even if it may be wrong (</w:t>
      </w:r>
      <w:r w:rsidR="00332C52">
        <w:rPr>
          <w:rFonts w:ascii="Arial" w:hAnsi="Arial" w:cs="Arial"/>
          <w:i/>
          <w:sz w:val="24"/>
          <w:szCs w:val="24"/>
        </w:rPr>
        <w:t>Culverwell</w:t>
      </w:r>
      <w:r>
        <w:rPr>
          <w:rFonts w:ascii="Arial" w:hAnsi="Arial" w:cs="Arial"/>
          <w:i/>
          <w:sz w:val="24"/>
          <w:szCs w:val="24"/>
        </w:rPr>
        <w:t xml:space="preserve"> v Beira 1992 (4) (SA 490 (W) at 494 A-C. A person may even be banned from </w:t>
      </w:r>
      <w:r>
        <w:rPr>
          <w:rFonts w:ascii="Arial" w:hAnsi="Arial" w:cs="Arial"/>
          <w:i/>
          <w:sz w:val="24"/>
          <w:szCs w:val="24"/>
        </w:rPr>
        <w:lastRenderedPageBreak/>
        <w:t xml:space="preserve">approaching the court until he or she has obeyed an order of court that has not been properly set aside (Hudkinson v Hudkinson (1952) 2 </w:t>
      </w:r>
      <w:r w:rsidR="0011025E">
        <w:rPr>
          <w:rFonts w:ascii="Arial" w:hAnsi="Arial" w:cs="Arial"/>
          <w:i/>
          <w:sz w:val="24"/>
          <w:szCs w:val="24"/>
        </w:rPr>
        <w:t>ALL ER</w:t>
      </w:r>
      <w:r>
        <w:rPr>
          <w:rFonts w:ascii="Arial" w:hAnsi="Arial" w:cs="Arial"/>
          <w:i/>
          <w:sz w:val="24"/>
          <w:szCs w:val="24"/>
        </w:rPr>
        <w:t xml:space="preserve"> 567 (CA); </w:t>
      </w:r>
      <w:r w:rsidR="0011025E">
        <w:rPr>
          <w:rFonts w:ascii="Arial" w:hAnsi="Arial" w:cs="Arial"/>
          <w:i/>
          <w:sz w:val="24"/>
          <w:szCs w:val="24"/>
        </w:rPr>
        <w:t>Byliefeldt</w:t>
      </w:r>
      <w:r>
        <w:rPr>
          <w:rFonts w:ascii="Arial" w:hAnsi="Arial" w:cs="Arial"/>
          <w:i/>
          <w:sz w:val="24"/>
          <w:szCs w:val="24"/>
        </w:rPr>
        <w:t xml:space="preserve"> v Redparth 1982 (1) SA 702 (A) at 714.”</w:t>
      </w:r>
    </w:p>
    <w:p w:rsidR="00DB7D05" w:rsidRPr="004423F4" w:rsidRDefault="00DB7D05" w:rsidP="00DB7D05">
      <w:pPr>
        <w:spacing w:after="0" w:line="360" w:lineRule="auto"/>
        <w:ind w:right="1107"/>
        <w:jc w:val="both"/>
        <w:rPr>
          <w:rFonts w:ascii="Arial" w:hAnsi="Arial" w:cs="Arial"/>
          <w:sz w:val="24"/>
          <w:szCs w:val="24"/>
        </w:rPr>
      </w:pPr>
    </w:p>
    <w:p w:rsidR="00DB7D05" w:rsidRDefault="004423F4" w:rsidP="00DB7D05">
      <w:pPr>
        <w:spacing w:after="0" w:line="360" w:lineRule="auto"/>
        <w:ind w:right="1107"/>
        <w:jc w:val="both"/>
        <w:rPr>
          <w:rFonts w:ascii="Arial" w:hAnsi="Arial" w:cs="Arial"/>
          <w:sz w:val="24"/>
          <w:szCs w:val="24"/>
        </w:rPr>
      </w:pPr>
      <w:r>
        <w:rPr>
          <w:rFonts w:ascii="Arial" w:hAnsi="Arial" w:cs="Arial"/>
          <w:sz w:val="24"/>
          <w:szCs w:val="24"/>
        </w:rPr>
        <w:t>[</w:t>
      </w:r>
      <w:r w:rsidR="00332C52">
        <w:rPr>
          <w:rFonts w:ascii="Arial" w:hAnsi="Arial" w:cs="Arial"/>
          <w:sz w:val="24"/>
          <w:szCs w:val="24"/>
        </w:rPr>
        <w:t>16</w:t>
      </w:r>
      <w:r>
        <w:rPr>
          <w:rFonts w:ascii="Arial" w:hAnsi="Arial" w:cs="Arial"/>
          <w:sz w:val="24"/>
          <w:szCs w:val="24"/>
        </w:rPr>
        <w:t>]</w:t>
      </w:r>
      <w:r>
        <w:rPr>
          <w:rFonts w:ascii="Arial" w:hAnsi="Arial" w:cs="Arial"/>
          <w:sz w:val="24"/>
          <w:szCs w:val="24"/>
        </w:rPr>
        <w:tab/>
      </w:r>
      <w:r w:rsidR="00DB7D05" w:rsidRPr="004423F4">
        <w:rPr>
          <w:rFonts w:ascii="Arial" w:hAnsi="Arial" w:cs="Arial"/>
          <w:sz w:val="24"/>
          <w:szCs w:val="24"/>
        </w:rPr>
        <w:t>It was</w:t>
      </w:r>
      <w:r w:rsidR="00810E35">
        <w:rPr>
          <w:rFonts w:ascii="Arial" w:hAnsi="Arial" w:cs="Arial"/>
          <w:sz w:val="24"/>
          <w:szCs w:val="24"/>
        </w:rPr>
        <w:t>,</w:t>
      </w:r>
      <w:r w:rsidR="00DB7D05" w:rsidRPr="004423F4">
        <w:rPr>
          <w:rFonts w:ascii="Arial" w:hAnsi="Arial" w:cs="Arial"/>
          <w:sz w:val="24"/>
          <w:szCs w:val="24"/>
        </w:rPr>
        <w:t xml:space="preserve"> therefore</w:t>
      </w:r>
      <w:r w:rsidR="00810E35">
        <w:rPr>
          <w:rFonts w:ascii="Arial" w:hAnsi="Arial" w:cs="Arial"/>
          <w:sz w:val="24"/>
          <w:szCs w:val="24"/>
        </w:rPr>
        <w:t>,</w:t>
      </w:r>
      <w:r w:rsidRPr="004423F4">
        <w:rPr>
          <w:rFonts w:ascii="Arial" w:hAnsi="Arial" w:cs="Arial"/>
          <w:sz w:val="24"/>
          <w:szCs w:val="24"/>
        </w:rPr>
        <w:t xml:space="preserve"> wrong </w:t>
      </w:r>
      <w:r>
        <w:rPr>
          <w:rFonts w:ascii="Arial" w:hAnsi="Arial" w:cs="Arial"/>
          <w:sz w:val="24"/>
          <w:szCs w:val="24"/>
        </w:rPr>
        <w:t>in law for respondent to seek to attack the sale in the manner he did as th</w:t>
      </w:r>
      <w:r w:rsidR="00810E35">
        <w:rPr>
          <w:rFonts w:ascii="Arial" w:hAnsi="Arial" w:cs="Arial"/>
          <w:sz w:val="24"/>
          <w:szCs w:val="24"/>
        </w:rPr>
        <w:t>ere is</w:t>
      </w:r>
      <w:r>
        <w:rPr>
          <w:rFonts w:ascii="Arial" w:hAnsi="Arial" w:cs="Arial"/>
          <w:sz w:val="24"/>
          <w:szCs w:val="24"/>
        </w:rPr>
        <w:t xml:space="preserve"> no legal basis </w:t>
      </w:r>
      <w:r w:rsidR="00810E35">
        <w:rPr>
          <w:rFonts w:ascii="Arial" w:hAnsi="Arial" w:cs="Arial"/>
          <w:sz w:val="24"/>
          <w:szCs w:val="24"/>
        </w:rPr>
        <w:t xml:space="preserve">for this procedure. This goes </w:t>
      </w:r>
      <w:r>
        <w:rPr>
          <w:rFonts w:ascii="Arial" w:hAnsi="Arial" w:cs="Arial"/>
          <w:sz w:val="24"/>
          <w:szCs w:val="24"/>
        </w:rPr>
        <w:t xml:space="preserve">against </w:t>
      </w:r>
      <w:r w:rsidR="00810E35">
        <w:rPr>
          <w:rFonts w:ascii="Arial" w:hAnsi="Arial" w:cs="Arial"/>
          <w:sz w:val="24"/>
          <w:szCs w:val="24"/>
        </w:rPr>
        <w:t xml:space="preserve">these courts’ well established </w:t>
      </w:r>
      <w:r>
        <w:rPr>
          <w:rFonts w:ascii="Arial" w:hAnsi="Arial" w:cs="Arial"/>
          <w:sz w:val="24"/>
          <w:szCs w:val="24"/>
        </w:rPr>
        <w:t xml:space="preserve">procedure for such relief. </w:t>
      </w:r>
      <w:r w:rsidR="00810E35">
        <w:rPr>
          <w:rFonts w:ascii="Arial" w:hAnsi="Arial" w:cs="Arial"/>
          <w:sz w:val="24"/>
          <w:szCs w:val="24"/>
        </w:rPr>
        <w:t>Respondent should have mounted a separate application for that kind of relief</w:t>
      </w:r>
      <w:r>
        <w:rPr>
          <w:rFonts w:ascii="Arial" w:hAnsi="Arial" w:cs="Arial"/>
          <w:sz w:val="24"/>
          <w:szCs w:val="24"/>
        </w:rPr>
        <w:t>.</w:t>
      </w:r>
    </w:p>
    <w:p w:rsidR="004423F4" w:rsidRDefault="004423F4" w:rsidP="00DB7D05">
      <w:pPr>
        <w:spacing w:after="0" w:line="360" w:lineRule="auto"/>
        <w:ind w:right="1107"/>
        <w:jc w:val="both"/>
        <w:rPr>
          <w:rFonts w:ascii="Arial" w:hAnsi="Arial" w:cs="Arial"/>
          <w:sz w:val="24"/>
          <w:szCs w:val="24"/>
        </w:rPr>
      </w:pPr>
    </w:p>
    <w:p w:rsidR="004423F4" w:rsidRDefault="004423F4" w:rsidP="00DB7D05">
      <w:pPr>
        <w:spacing w:after="0" w:line="360" w:lineRule="auto"/>
        <w:ind w:right="1107"/>
        <w:jc w:val="both"/>
        <w:rPr>
          <w:rFonts w:ascii="Arial" w:hAnsi="Arial" w:cs="Arial"/>
          <w:sz w:val="24"/>
          <w:szCs w:val="24"/>
        </w:rPr>
      </w:pPr>
      <w:r>
        <w:rPr>
          <w:rFonts w:ascii="Arial" w:hAnsi="Arial" w:cs="Arial"/>
          <w:sz w:val="24"/>
          <w:szCs w:val="24"/>
        </w:rPr>
        <w:t>[</w:t>
      </w:r>
      <w:r w:rsidR="00332C52">
        <w:rPr>
          <w:rFonts w:ascii="Arial" w:hAnsi="Arial" w:cs="Arial"/>
          <w:sz w:val="24"/>
          <w:szCs w:val="24"/>
        </w:rPr>
        <w:t>17</w:t>
      </w:r>
      <w:r>
        <w:rPr>
          <w:rFonts w:ascii="Arial" w:hAnsi="Arial" w:cs="Arial"/>
          <w:sz w:val="24"/>
          <w:szCs w:val="24"/>
        </w:rPr>
        <w:t>]</w:t>
      </w:r>
      <w:r>
        <w:rPr>
          <w:rFonts w:ascii="Arial" w:hAnsi="Arial" w:cs="Arial"/>
          <w:sz w:val="24"/>
          <w:szCs w:val="24"/>
        </w:rPr>
        <w:tab/>
        <w:t>Summary Judgment is a drastic method of debt collection a</w:t>
      </w:r>
      <w:r w:rsidR="006B666E">
        <w:rPr>
          <w:rFonts w:ascii="Arial" w:hAnsi="Arial" w:cs="Arial"/>
          <w:sz w:val="24"/>
          <w:szCs w:val="24"/>
        </w:rPr>
        <w:t>s once it is granted it entitles</w:t>
      </w:r>
      <w:r>
        <w:rPr>
          <w:rFonts w:ascii="Arial" w:hAnsi="Arial" w:cs="Arial"/>
          <w:sz w:val="24"/>
          <w:szCs w:val="24"/>
        </w:rPr>
        <w:t xml:space="preserve"> plaintiff final relief without a trial, thereby closing the doors of the court against the defendant, see </w:t>
      </w:r>
      <w:r w:rsidRPr="006B666E">
        <w:rPr>
          <w:rFonts w:ascii="Arial" w:hAnsi="Arial" w:cs="Arial"/>
          <w:i/>
          <w:sz w:val="24"/>
          <w:szCs w:val="24"/>
        </w:rPr>
        <w:t>Erasmus Superior Court Practice B1-206</w:t>
      </w:r>
      <w:r>
        <w:rPr>
          <w:rFonts w:ascii="Arial" w:hAnsi="Arial" w:cs="Arial"/>
          <w:sz w:val="24"/>
          <w:szCs w:val="24"/>
        </w:rPr>
        <w:t>. It is for that reason that these courts require strict compliance with the rules pertaining to</w:t>
      </w:r>
      <w:r w:rsidR="006B666E">
        <w:rPr>
          <w:rFonts w:ascii="Arial" w:hAnsi="Arial" w:cs="Arial"/>
          <w:sz w:val="24"/>
          <w:szCs w:val="24"/>
        </w:rPr>
        <w:t xml:space="preserve"> </w:t>
      </w:r>
      <w:r>
        <w:rPr>
          <w:rFonts w:ascii="Arial" w:hAnsi="Arial" w:cs="Arial"/>
          <w:sz w:val="24"/>
          <w:szCs w:val="24"/>
        </w:rPr>
        <w:t>that procedure. On that score these courts will</w:t>
      </w:r>
      <w:r w:rsidR="006B666E">
        <w:rPr>
          <w:rFonts w:ascii="Arial" w:hAnsi="Arial" w:cs="Arial"/>
          <w:sz w:val="24"/>
          <w:szCs w:val="24"/>
        </w:rPr>
        <w:t xml:space="preserve"> not grant Summary Judgment wher</w:t>
      </w:r>
      <w:r>
        <w:rPr>
          <w:rFonts w:ascii="Arial" w:hAnsi="Arial" w:cs="Arial"/>
          <w:sz w:val="24"/>
          <w:szCs w:val="24"/>
        </w:rPr>
        <w:t>e plaintiff has not made a clear case against defendant and has not complied with the rules of court.</w:t>
      </w:r>
    </w:p>
    <w:p w:rsidR="004423F4" w:rsidRDefault="004423F4" w:rsidP="00DB7D05">
      <w:pPr>
        <w:spacing w:after="0" w:line="360" w:lineRule="auto"/>
        <w:ind w:right="1107"/>
        <w:jc w:val="both"/>
        <w:rPr>
          <w:rFonts w:ascii="Arial" w:hAnsi="Arial" w:cs="Arial"/>
          <w:sz w:val="24"/>
          <w:szCs w:val="24"/>
        </w:rPr>
      </w:pPr>
    </w:p>
    <w:p w:rsidR="004423F4" w:rsidRDefault="004423F4" w:rsidP="00DB7D05">
      <w:pPr>
        <w:spacing w:after="0" w:line="360" w:lineRule="auto"/>
        <w:ind w:right="1107"/>
        <w:jc w:val="both"/>
        <w:rPr>
          <w:rFonts w:ascii="Arial" w:hAnsi="Arial" w:cs="Arial"/>
          <w:sz w:val="24"/>
          <w:szCs w:val="24"/>
        </w:rPr>
      </w:pPr>
      <w:r>
        <w:rPr>
          <w:rFonts w:ascii="Arial" w:hAnsi="Arial" w:cs="Arial"/>
          <w:sz w:val="24"/>
          <w:szCs w:val="24"/>
        </w:rPr>
        <w:t>[</w:t>
      </w:r>
      <w:r w:rsidR="00332C52">
        <w:rPr>
          <w:rFonts w:ascii="Arial" w:hAnsi="Arial" w:cs="Arial"/>
          <w:sz w:val="24"/>
          <w:szCs w:val="24"/>
        </w:rPr>
        <w:t>18</w:t>
      </w:r>
      <w:r>
        <w:rPr>
          <w:rFonts w:ascii="Arial" w:hAnsi="Arial" w:cs="Arial"/>
          <w:sz w:val="24"/>
          <w:szCs w:val="24"/>
        </w:rPr>
        <w:t>]</w:t>
      </w:r>
      <w:r>
        <w:rPr>
          <w:rFonts w:ascii="Arial" w:hAnsi="Arial" w:cs="Arial"/>
          <w:sz w:val="24"/>
          <w:szCs w:val="24"/>
        </w:rPr>
        <w:tab/>
        <w:t xml:space="preserve">In order for defendant/respondent to succeed in resisting summary judgment, he/she should show that he/she has a </w:t>
      </w:r>
      <w:r w:rsidRPr="004423F4">
        <w:rPr>
          <w:rFonts w:ascii="Arial" w:hAnsi="Arial" w:cs="Arial"/>
          <w:i/>
          <w:sz w:val="24"/>
          <w:szCs w:val="24"/>
        </w:rPr>
        <w:t>bona fide</w:t>
      </w:r>
      <w:r>
        <w:rPr>
          <w:rFonts w:ascii="Arial" w:hAnsi="Arial" w:cs="Arial"/>
          <w:sz w:val="24"/>
          <w:szCs w:val="24"/>
        </w:rPr>
        <w:t xml:space="preserve"> defence. In establishing a </w:t>
      </w:r>
      <w:r w:rsidRPr="004423F4">
        <w:rPr>
          <w:rFonts w:ascii="Arial" w:hAnsi="Arial" w:cs="Arial"/>
          <w:i/>
          <w:sz w:val="24"/>
          <w:szCs w:val="24"/>
        </w:rPr>
        <w:t>bona fide</w:t>
      </w:r>
      <w:r>
        <w:rPr>
          <w:rFonts w:ascii="Arial" w:hAnsi="Arial" w:cs="Arial"/>
          <w:sz w:val="24"/>
          <w:szCs w:val="24"/>
        </w:rPr>
        <w:t xml:space="preserve"> defence, he must at least disclose sufficient par</w:t>
      </w:r>
      <w:r w:rsidR="009B4BD7">
        <w:rPr>
          <w:rFonts w:ascii="Arial" w:hAnsi="Arial" w:cs="Arial"/>
          <w:sz w:val="24"/>
          <w:szCs w:val="24"/>
        </w:rPr>
        <w:t>ti</w:t>
      </w:r>
      <w:r>
        <w:rPr>
          <w:rFonts w:ascii="Arial" w:hAnsi="Arial" w:cs="Arial"/>
          <w:sz w:val="24"/>
          <w:szCs w:val="24"/>
        </w:rPr>
        <w:t xml:space="preserve">cularity to enable the court to judge that the opposing affidavit discloses </w:t>
      </w:r>
      <w:r w:rsidR="006B666E">
        <w:rPr>
          <w:rFonts w:ascii="Arial" w:hAnsi="Arial" w:cs="Arial"/>
          <w:sz w:val="24"/>
          <w:szCs w:val="24"/>
        </w:rPr>
        <w:t xml:space="preserve">a </w:t>
      </w:r>
      <w:r w:rsidRPr="004423F4">
        <w:rPr>
          <w:rFonts w:ascii="Arial" w:hAnsi="Arial" w:cs="Arial"/>
          <w:i/>
          <w:sz w:val="24"/>
          <w:szCs w:val="24"/>
        </w:rPr>
        <w:t>bona fide</w:t>
      </w:r>
      <w:r>
        <w:rPr>
          <w:rFonts w:ascii="Arial" w:hAnsi="Arial" w:cs="Arial"/>
          <w:sz w:val="24"/>
          <w:szCs w:val="24"/>
        </w:rPr>
        <w:t xml:space="preserve"> defence, see </w:t>
      </w:r>
      <w:r w:rsidRPr="004423F4">
        <w:rPr>
          <w:rFonts w:ascii="Arial" w:hAnsi="Arial" w:cs="Arial"/>
          <w:i/>
          <w:sz w:val="24"/>
          <w:szCs w:val="24"/>
        </w:rPr>
        <w:t>Maharaj v Baclays National Bank Ltd</w:t>
      </w:r>
      <w:r w:rsidR="00E2019B">
        <w:rPr>
          <w:rStyle w:val="FootnoteReference"/>
          <w:rFonts w:ascii="Arial" w:hAnsi="Arial" w:cs="Arial"/>
          <w:i/>
          <w:sz w:val="24"/>
          <w:szCs w:val="24"/>
        </w:rPr>
        <w:footnoteReference w:id="8"/>
      </w:r>
      <w:r>
        <w:rPr>
          <w:rFonts w:ascii="Arial" w:hAnsi="Arial" w:cs="Arial"/>
          <w:sz w:val="24"/>
          <w:szCs w:val="24"/>
        </w:rPr>
        <w:t xml:space="preserve"> and </w:t>
      </w:r>
      <w:r w:rsidR="00E2019B" w:rsidRPr="00E2019B">
        <w:rPr>
          <w:rFonts w:ascii="Arial" w:hAnsi="Arial" w:cs="Arial"/>
          <w:i/>
          <w:sz w:val="24"/>
          <w:szCs w:val="24"/>
        </w:rPr>
        <w:t>D</w:t>
      </w:r>
      <w:r w:rsidRPr="00E2019B">
        <w:rPr>
          <w:rFonts w:ascii="Arial" w:hAnsi="Arial" w:cs="Arial"/>
          <w:i/>
          <w:sz w:val="24"/>
          <w:szCs w:val="24"/>
        </w:rPr>
        <w:t>istrict Bank Ltd v Hoosain</w:t>
      </w:r>
      <w:r>
        <w:rPr>
          <w:rFonts w:ascii="Arial" w:hAnsi="Arial" w:cs="Arial"/>
          <w:sz w:val="24"/>
          <w:szCs w:val="24"/>
        </w:rPr>
        <w:t xml:space="preserve"> </w:t>
      </w:r>
      <w:r w:rsidR="00E2019B">
        <w:rPr>
          <w:rStyle w:val="FootnoteReference"/>
          <w:rFonts w:ascii="Arial" w:hAnsi="Arial" w:cs="Arial"/>
          <w:sz w:val="24"/>
          <w:szCs w:val="24"/>
        </w:rPr>
        <w:footnoteReference w:id="9"/>
      </w:r>
      <w:r>
        <w:rPr>
          <w:rFonts w:ascii="Arial" w:hAnsi="Arial" w:cs="Arial"/>
          <w:sz w:val="24"/>
          <w:szCs w:val="24"/>
        </w:rPr>
        <w:t>.</w:t>
      </w:r>
    </w:p>
    <w:p w:rsidR="006B666E" w:rsidRDefault="006B666E" w:rsidP="00DB7D05">
      <w:pPr>
        <w:spacing w:after="0" w:line="360" w:lineRule="auto"/>
        <w:ind w:right="1107"/>
        <w:jc w:val="both"/>
        <w:rPr>
          <w:rFonts w:ascii="Arial" w:hAnsi="Arial" w:cs="Arial"/>
          <w:sz w:val="24"/>
          <w:szCs w:val="24"/>
        </w:rPr>
      </w:pPr>
    </w:p>
    <w:p w:rsidR="00E2019B" w:rsidRDefault="00E2019B" w:rsidP="00DB7D05">
      <w:pPr>
        <w:spacing w:after="0" w:line="360" w:lineRule="auto"/>
        <w:ind w:right="1107"/>
        <w:jc w:val="both"/>
        <w:rPr>
          <w:rFonts w:ascii="Arial" w:hAnsi="Arial" w:cs="Arial"/>
          <w:sz w:val="24"/>
          <w:szCs w:val="24"/>
        </w:rPr>
      </w:pPr>
      <w:r>
        <w:rPr>
          <w:rFonts w:ascii="Arial" w:hAnsi="Arial" w:cs="Arial"/>
          <w:sz w:val="24"/>
          <w:szCs w:val="24"/>
        </w:rPr>
        <w:t>[</w:t>
      </w:r>
      <w:r w:rsidR="00332C52">
        <w:rPr>
          <w:rFonts w:ascii="Arial" w:hAnsi="Arial" w:cs="Arial"/>
          <w:sz w:val="24"/>
          <w:szCs w:val="24"/>
        </w:rPr>
        <w:t>19</w:t>
      </w:r>
      <w:r>
        <w:rPr>
          <w:rFonts w:ascii="Arial" w:hAnsi="Arial" w:cs="Arial"/>
          <w:sz w:val="24"/>
          <w:szCs w:val="24"/>
        </w:rPr>
        <w:t>]</w:t>
      </w:r>
      <w:r>
        <w:rPr>
          <w:rFonts w:ascii="Arial" w:hAnsi="Arial" w:cs="Arial"/>
          <w:sz w:val="24"/>
          <w:szCs w:val="24"/>
        </w:rPr>
        <w:tab/>
      </w:r>
      <w:r w:rsidR="0007321B">
        <w:rPr>
          <w:rFonts w:ascii="Arial" w:hAnsi="Arial" w:cs="Arial"/>
          <w:sz w:val="24"/>
          <w:szCs w:val="24"/>
        </w:rPr>
        <w:t>Respondent</w:t>
      </w:r>
      <w:r>
        <w:rPr>
          <w:rFonts w:ascii="Arial" w:hAnsi="Arial" w:cs="Arial"/>
          <w:sz w:val="24"/>
          <w:szCs w:val="24"/>
        </w:rPr>
        <w:t xml:space="preserve"> does not have to prove his defence to the same extent as that of </w:t>
      </w:r>
      <w:r w:rsidR="0007321B">
        <w:rPr>
          <w:rFonts w:ascii="Arial" w:hAnsi="Arial" w:cs="Arial"/>
          <w:sz w:val="24"/>
          <w:szCs w:val="24"/>
        </w:rPr>
        <w:t>applicant</w:t>
      </w:r>
      <w:r w:rsidR="009B4BD7">
        <w:rPr>
          <w:rFonts w:ascii="Arial" w:hAnsi="Arial" w:cs="Arial"/>
          <w:sz w:val="24"/>
          <w:szCs w:val="24"/>
        </w:rPr>
        <w:t xml:space="preserve"> on</w:t>
      </w:r>
      <w:r>
        <w:rPr>
          <w:rFonts w:ascii="Arial" w:hAnsi="Arial" w:cs="Arial"/>
          <w:sz w:val="24"/>
          <w:szCs w:val="24"/>
        </w:rPr>
        <w:t xml:space="preserve"> opposed application. He must depose to facts which, if accepted as the truth or which can be proved at the trial with </w:t>
      </w:r>
      <w:r w:rsidR="009B4BD7">
        <w:rPr>
          <w:rFonts w:ascii="Arial" w:hAnsi="Arial" w:cs="Arial"/>
          <w:sz w:val="24"/>
          <w:szCs w:val="24"/>
        </w:rPr>
        <w:t>admissible</w:t>
      </w:r>
      <w:r>
        <w:rPr>
          <w:rFonts w:ascii="Arial" w:hAnsi="Arial" w:cs="Arial"/>
          <w:sz w:val="24"/>
          <w:szCs w:val="24"/>
        </w:rPr>
        <w:t xml:space="preserve"> evidence, disclose</w:t>
      </w:r>
      <w:r w:rsidR="009B4BD7">
        <w:rPr>
          <w:rFonts w:ascii="Arial" w:hAnsi="Arial" w:cs="Arial"/>
          <w:sz w:val="24"/>
          <w:szCs w:val="24"/>
        </w:rPr>
        <w:t>s</w:t>
      </w:r>
      <w:r>
        <w:rPr>
          <w:rFonts w:ascii="Arial" w:hAnsi="Arial" w:cs="Arial"/>
          <w:sz w:val="24"/>
          <w:szCs w:val="24"/>
        </w:rPr>
        <w:t xml:space="preserve"> a defence, see </w:t>
      </w:r>
      <w:r w:rsidRPr="00E2019B">
        <w:rPr>
          <w:rFonts w:ascii="Arial" w:hAnsi="Arial" w:cs="Arial"/>
          <w:i/>
          <w:sz w:val="24"/>
          <w:szCs w:val="24"/>
        </w:rPr>
        <w:t>Estate Potgieter v Elliot</w:t>
      </w:r>
      <w:r>
        <w:rPr>
          <w:rStyle w:val="FootnoteReference"/>
          <w:rFonts w:ascii="Arial" w:hAnsi="Arial" w:cs="Arial"/>
          <w:i/>
          <w:sz w:val="24"/>
          <w:szCs w:val="24"/>
        </w:rPr>
        <w:footnoteReference w:id="10"/>
      </w:r>
      <w:r>
        <w:rPr>
          <w:rFonts w:ascii="Arial" w:hAnsi="Arial" w:cs="Arial"/>
          <w:sz w:val="24"/>
          <w:szCs w:val="24"/>
        </w:rPr>
        <w:t xml:space="preserve"> and </w:t>
      </w:r>
      <w:r w:rsidRPr="00E2019B">
        <w:rPr>
          <w:rFonts w:ascii="Arial" w:hAnsi="Arial" w:cs="Arial"/>
          <w:i/>
          <w:sz w:val="24"/>
          <w:szCs w:val="24"/>
        </w:rPr>
        <w:t>Sheptone v Sheptone</w:t>
      </w:r>
      <w:r>
        <w:rPr>
          <w:rFonts w:ascii="Arial" w:hAnsi="Arial" w:cs="Arial"/>
          <w:sz w:val="24"/>
          <w:szCs w:val="24"/>
        </w:rPr>
        <w:t xml:space="preserve"> </w:t>
      </w:r>
      <w:r>
        <w:rPr>
          <w:rStyle w:val="FootnoteReference"/>
          <w:rFonts w:ascii="Arial" w:hAnsi="Arial" w:cs="Arial"/>
          <w:sz w:val="24"/>
          <w:szCs w:val="24"/>
        </w:rPr>
        <w:footnoteReference w:id="11"/>
      </w:r>
      <w:r>
        <w:rPr>
          <w:rFonts w:ascii="Arial" w:hAnsi="Arial" w:cs="Arial"/>
          <w:sz w:val="24"/>
          <w:szCs w:val="24"/>
        </w:rPr>
        <w:t>.</w:t>
      </w:r>
    </w:p>
    <w:p w:rsidR="00E2019B" w:rsidRDefault="00E2019B" w:rsidP="00DB7D05">
      <w:pPr>
        <w:spacing w:after="0" w:line="360" w:lineRule="auto"/>
        <w:ind w:right="1107"/>
        <w:jc w:val="both"/>
        <w:rPr>
          <w:rFonts w:ascii="Arial" w:hAnsi="Arial" w:cs="Arial"/>
          <w:sz w:val="24"/>
          <w:szCs w:val="24"/>
        </w:rPr>
      </w:pPr>
    </w:p>
    <w:p w:rsidR="00787312" w:rsidRDefault="00787312" w:rsidP="00DB7D05">
      <w:pPr>
        <w:spacing w:after="0" w:line="360" w:lineRule="auto"/>
        <w:ind w:right="1107"/>
        <w:jc w:val="both"/>
        <w:rPr>
          <w:rFonts w:ascii="Arial" w:hAnsi="Arial" w:cs="Arial"/>
          <w:sz w:val="24"/>
          <w:szCs w:val="24"/>
        </w:rPr>
      </w:pPr>
    </w:p>
    <w:p w:rsidR="00E2019B" w:rsidRDefault="00332C52" w:rsidP="00DB7D05">
      <w:pPr>
        <w:spacing w:after="0" w:line="360" w:lineRule="auto"/>
        <w:ind w:right="1107"/>
        <w:jc w:val="both"/>
        <w:rPr>
          <w:rFonts w:ascii="Arial" w:hAnsi="Arial" w:cs="Arial"/>
          <w:sz w:val="24"/>
          <w:szCs w:val="24"/>
        </w:rPr>
      </w:pPr>
      <w:r>
        <w:rPr>
          <w:rFonts w:ascii="Arial" w:hAnsi="Arial" w:cs="Arial"/>
          <w:sz w:val="24"/>
          <w:szCs w:val="24"/>
        </w:rPr>
        <w:t>[20]</w:t>
      </w:r>
      <w:r>
        <w:rPr>
          <w:rFonts w:ascii="Arial" w:hAnsi="Arial" w:cs="Arial"/>
          <w:sz w:val="24"/>
          <w:szCs w:val="24"/>
        </w:rPr>
        <w:tab/>
      </w:r>
      <w:r w:rsidR="00E2019B">
        <w:rPr>
          <w:rFonts w:ascii="Arial" w:hAnsi="Arial" w:cs="Arial"/>
          <w:sz w:val="24"/>
          <w:szCs w:val="24"/>
        </w:rPr>
        <w:t xml:space="preserve">Respondent has failed to </w:t>
      </w:r>
      <w:r w:rsidR="009B4BD7">
        <w:rPr>
          <w:rFonts w:ascii="Arial" w:hAnsi="Arial" w:cs="Arial"/>
          <w:sz w:val="24"/>
          <w:szCs w:val="24"/>
        </w:rPr>
        <w:t xml:space="preserve">prove a </w:t>
      </w:r>
      <w:r w:rsidR="009B4BD7" w:rsidRPr="009B4BD7">
        <w:rPr>
          <w:rFonts w:ascii="Arial" w:hAnsi="Arial" w:cs="Arial"/>
          <w:i/>
          <w:sz w:val="24"/>
          <w:szCs w:val="24"/>
        </w:rPr>
        <w:t>bona fide</w:t>
      </w:r>
      <w:r w:rsidR="009B4BD7">
        <w:rPr>
          <w:rFonts w:ascii="Arial" w:hAnsi="Arial" w:cs="Arial"/>
          <w:sz w:val="24"/>
          <w:szCs w:val="24"/>
        </w:rPr>
        <w:t xml:space="preserve"> defence in this matter</w:t>
      </w:r>
      <w:r w:rsidR="00E2019B">
        <w:rPr>
          <w:rFonts w:ascii="Arial" w:hAnsi="Arial" w:cs="Arial"/>
          <w:sz w:val="24"/>
          <w:szCs w:val="24"/>
        </w:rPr>
        <w:t xml:space="preserve">. All he did </w:t>
      </w:r>
      <w:r>
        <w:rPr>
          <w:rFonts w:ascii="Arial" w:hAnsi="Arial" w:cs="Arial"/>
          <w:sz w:val="24"/>
          <w:szCs w:val="24"/>
        </w:rPr>
        <w:t>was</w:t>
      </w:r>
      <w:r w:rsidR="00E2019B">
        <w:rPr>
          <w:rFonts w:ascii="Arial" w:hAnsi="Arial" w:cs="Arial"/>
          <w:sz w:val="24"/>
          <w:szCs w:val="24"/>
        </w:rPr>
        <w:t xml:space="preserve"> to introduce new matters without leave of the court. On the basis of this</w:t>
      </w:r>
      <w:r w:rsidR="006414A7">
        <w:rPr>
          <w:rFonts w:ascii="Arial" w:hAnsi="Arial" w:cs="Arial"/>
          <w:sz w:val="24"/>
          <w:szCs w:val="24"/>
        </w:rPr>
        <w:t>,</w:t>
      </w:r>
      <w:r w:rsidR="00E2019B">
        <w:rPr>
          <w:rFonts w:ascii="Arial" w:hAnsi="Arial" w:cs="Arial"/>
          <w:sz w:val="24"/>
          <w:szCs w:val="24"/>
        </w:rPr>
        <w:t xml:space="preserve"> respondent has not raised any defence in order to successfully resist this application for summary judgment. In other words, he has not raised a </w:t>
      </w:r>
      <w:r w:rsidR="00E2019B" w:rsidRPr="00E2019B">
        <w:rPr>
          <w:rFonts w:ascii="Arial" w:hAnsi="Arial" w:cs="Arial"/>
          <w:i/>
          <w:sz w:val="24"/>
          <w:szCs w:val="24"/>
        </w:rPr>
        <w:t>bona fide</w:t>
      </w:r>
      <w:r w:rsidR="00E2019B">
        <w:rPr>
          <w:rFonts w:ascii="Arial" w:hAnsi="Arial" w:cs="Arial"/>
          <w:sz w:val="24"/>
          <w:szCs w:val="24"/>
        </w:rPr>
        <w:t xml:space="preserve"> defence.</w:t>
      </w:r>
      <w:r w:rsidR="006414A7">
        <w:rPr>
          <w:rFonts w:ascii="Arial" w:hAnsi="Arial" w:cs="Arial"/>
          <w:sz w:val="24"/>
          <w:szCs w:val="24"/>
        </w:rPr>
        <w:t xml:space="preserve"> Respondent is required to set out his opposing papers on material facts upon which the defence is based. The court cannot rely on speculation.</w:t>
      </w:r>
    </w:p>
    <w:p w:rsidR="00E2019B" w:rsidRDefault="00E2019B" w:rsidP="00DB7D05">
      <w:pPr>
        <w:spacing w:after="0" w:line="360" w:lineRule="auto"/>
        <w:ind w:right="1107"/>
        <w:jc w:val="both"/>
        <w:rPr>
          <w:rFonts w:ascii="Arial" w:hAnsi="Arial" w:cs="Arial"/>
          <w:sz w:val="24"/>
          <w:szCs w:val="24"/>
        </w:rPr>
      </w:pPr>
    </w:p>
    <w:p w:rsidR="00E2019B" w:rsidRDefault="00332C52" w:rsidP="00DB7D05">
      <w:pPr>
        <w:spacing w:after="0" w:line="360" w:lineRule="auto"/>
        <w:ind w:right="1107"/>
        <w:jc w:val="both"/>
        <w:rPr>
          <w:rFonts w:ascii="Arial" w:hAnsi="Arial" w:cs="Arial"/>
          <w:sz w:val="24"/>
          <w:szCs w:val="24"/>
        </w:rPr>
      </w:pPr>
      <w:r>
        <w:rPr>
          <w:rFonts w:ascii="Arial" w:hAnsi="Arial" w:cs="Arial"/>
          <w:sz w:val="24"/>
          <w:szCs w:val="24"/>
        </w:rPr>
        <w:t>[21]</w:t>
      </w:r>
      <w:r>
        <w:rPr>
          <w:rFonts w:ascii="Arial" w:hAnsi="Arial" w:cs="Arial"/>
          <w:sz w:val="24"/>
          <w:szCs w:val="24"/>
        </w:rPr>
        <w:tab/>
      </w:r>
      <w:r w:rsidR="00E2019B">
        <w:rPr>
          <w:rFonts w:ascii="Arial" w:hAnsi="Arial" w:cs="Arial"/>
          <w:sz w:val="24"/>
          <w:szCs w:val="24"/>
        </w:rPr>
        <w:t xml:space="preserve">I agree with Advocate Van Vuuren that applicant has made </w:t>
      </w:r>
      <w:r w:rsidR="006414A7">
        <w:rPr>
          <w:rFonts w:ascii="Arial" w:hAnsi="Arial" w:cs="Arial"/>
          <w:sz w:val="24"/>
          <w:szCs w:val="24"/>
        </w:rPr>
        <w:t>out a</w:t>
      </w:r>
      <w:r w:rsidR="00E2019B">
        <w:rPr>
          <w:rFonts w:ascii="Arial" w:hAnsi="Arial" w:cs="Arial"/>
          <w:sz w:val="24"/>
          <w:szCs w:val="24"/>
        </w:rPr>
        <w:t xml:space="preserve"> case for itself in the circumstances.</w:t>
      </w:r>
    </w:p>
    <w:p w:rsidR="00E2019B" w:rsidRDefault="00E2019B" w:rsidP="00DB7D05">
      <w:pPr>
        <w:spacing w:after="0" w:line="360" w:lineRule="auto"/>
        <w:ind w:right="1107"/>
        <w:jc w:val="both"/>
        <w:rPr>
          <w:rFonts w:ascii="Arial" w:hAnsi="Arial" w:cs="Arial"/>
          <w:sz w:val="24"/>
          <w:szCs w:val="24"/>
        </w:rPr>
      </w:pPr>
    </w:p>
    <w:p w:rsidR="00E2019B" w:rsidRDefault="00E2019B" w:rsidP="00DB7D05">
      <w:pPr>
        <w:spacing w:after="0" w:line="360" w:lineRule="auto"/>
        <w:ind w:right="1107"/>
        <w:jc w:val="both"/>
        <w:rPr>
          <w:rFonts w:ascii="Arial" w:hAnsi="Arial" w:cs="Arial"/>
          <w:sz w:val="24"/>
          <w:szCs w:val="24"/>
        </w:rPr>
      </w:pPr>
      <w:r>
        <w:rPr>
          <w:rFonts w:ascii="Arial" w:hAnsi="Arial" w:cs="Arial"/>
          <w:sz w:val="24"/>
          <w:szCs w:val="24"/>
        </w:rPr>
        <w:t>In the result the following order is made:</w:t>
      </w:r>
    </w:p>
    <w:p w:rsidR="00E2019B" w:rsidRDefault="00E2019B" w:rsidP="00DB7D05">
      <w:pPr>
        <w:spacing w:after="0" w:line="360" w:lineRule="auto"/>
        <w:ind w:right="1107"/>
        <w:jc w:val="both"/>
        <w:rPr>
          <w:rFonts w:ascii="Arial" w:hAnsi="Arial" w:cs="Arial"/>
          <w:sz w:val="24"/>
          <w:szCs w:val="24"/>
        </w:rPr>
      </w:pPr>
    </w:p>
    <w:p w:rsidR="00E2019B" w:rsidRDefault="00E2019B" w:rsidP="00E2019B">
      <w:pPr>
        <w:pStyle w:val="ListParagraph"/>
        <w:numPr>
          <w:ilvl w:val="0"/>
          <w:numId w:val="32"/>
        </w:numPr>
        <w:spacing w:after="0" w:line="360" w:lineRule="auto"/>
        <w:ind w:right="1107"/>
        <w:jc w:val="both"/>
        <w:rPr>
          <w:rFonts w:ascii="Arial" w:hAnsi="Arial" w:cs="Arial"/>
          <w:sz w:val="24"/>
          <w:szCs w:val="24"/>
        </w:rPr>
      </w:pPr>
      <w:r w:rsidRPr="00E2019B">
        <w:rPr>
          <w:rFonts w:ascii="Arial" w:hAnsi="Arial" w:cs="Arial"/>
          <w:sz w:val="24"/>
          <w:szCs w:val="24"/>
        </w:rPr>
        <w:t>The application for summary judgment succeeds</w:t>
      </w:r>
      <w:r w:rsidR="00840613">
        <w:rPr>
          <w:rFonts w:ascii="Arial" w:hAnsi="Arial" w:cs="Arial"/>
          <w:sz w:val="24"/>
          <w:szCs w:val="24"/>
        </w:rPr>
        <w:t>;</w:t>
      </w:r>
    </w:p>
    <w:p w:rsidR="00E2019B" w:rsidRPr="00E2019B" w:rsidRDefault="00E863CA" w:rsidP="00E2019B">
      <w:pPr>
        <w:pStyle w:val="ListParagraph"/>
        <w:numPr>
          <w:ilvl w:val="0"/>
          <w:numId w:val="32"/>
        </w:numPr>
        <w:spacing w:after="0" w:line="360" w:lineRule="auto"/>
        <w:ind w:right="1107"/>
        <w:jc w:val="both"/>
        <w:rPr>
          <w:rFonts w:ascii="Arial" w:hAnsi="Arial" w:cs="Arial"/>
          <w:sz w:val="24"/>
          <w:szCs w:val="24"/>
        </w:rPr>
      </w:pPr>
      <w:r>
        <w:rPr>
          <w:rFonts w:ascii="Arial" w:hAnsi="Arial" w:cs="Arial"/>
          <w:sz w:val="24"/>
          <w:szCs w:val="24"/>
        </w:rPr>
        <w:t>Respondent be and is hereby ordered to pay costs of this application and such costs shall be for one instructing and one instructed counsel.</w:t>
      </w:r>
    </w:p>
    <w:p w:rsidR="00E2019B" w:rsidRPr="004423F4" w:rsidRDefault="00E2019B" w:rsidP="00DB7D05">
      <w:pPr>
        <w:spacing w:after="0" w:line="360" w:lineRule="auto"/>
        <w:ind w:right="1107"/>
        <w:jc w:val="both"/>
        <w:rPr>
          <w:rFonts w:ascii="Arial" w:hAnsi="Arial" w:cs="Arial"/>
          <w:sz w:val="24"/>
          <w:szCs w:val="24"/>
        </w:rPr>
      </w:pPr>
    </w:p>
    <w:p w:rsidR="00D23F2A" w:rsidRDefault="00D23F2A" w:rsidP="0017583F">
      <w:pPr>
        <w:spacing w:after="0" w:line="360" w:lineRule="auto"/>
        <w:jc w:val="right"/>
        <w:rPr>
          <w:rFonts w:ascii="Arial" w:hAnsi="Arial" w:cs="Arial"/>
          <w:sz w:val="24"/>
          <w:szCs w:val="24"/>
        </w:rPr>
      </w:pPr>
    </w:p>
    <w:p w:rsidR="00D23F2A" w:rsidRDefault="00D23F2A" w:rsidP="0017583F">
      <w:pPr>
        <w:spacing w:after="0" w:line="360" w:lineRule="auto"/>
        <w:jc w:val="right"/>
        <w:rPr>
          <w:rFonts w:ascii="Arial" w:hAnsi="Arial" w:cs="Arial"/>
          <w:sz w:val="24"/>
          <w:szCs w:val="24"/>
        </w:rPr>
      </w:pPr>
    </w:p>
    <w:p w:rsidR="0097276E" w:rsidRDefault="0097276E" w:rsidP="0017583F">
      <w:pPr>
        <w:spacing w:after="0" w:line="360" w:lineRule="auto"/>
        <w:jc w:val="right"/>
        <w:rPr>
          <w:rFonts w:ascii="Arial" w:hAnsi="Arial" w:cs="Arial"/>
          <w:sz w:val="24"/>
          <w:szCs w:val="24"/>
        </w:rPr>
      </w:pPr>
    </w:p>
    <w:p w:rsidR="008F2C6F" w:rsidRDefault="0017583F" w:rsidP="0017583F">
      <w:pPr>
        <w:spacing w:after="0" w:line="360" w:lineRule="auto"/>
        <w:jc w:val="right"/>
        <w:rPr>
          <w:rFonts w:ascii="Arial" w:hAnsi="Arial" w:cs="Arial"/>
          <w:sz w:val="24"/>
          <w:szCs w:val="24"/>
        </w:rPr>
      </w:pPr>
      <w:r>
        <w:rPr>
          <w:rFonts w:ascii="Arial" w:hAnsi="Arial" w:cs="Arial"/>
          <w:sz w:val="24"/>
          <w:szCs w:val="24"/>
        </w:rPr>
        <w:t>--------------------------------</w:t>
      </w:r>
    </w:p>
    <w:p w:rsidR="001B7E1F" w:rsidRPr="006E026B" w:rsidRDefault="003A2D86" w:rsidP="0017583F">
      <w:pPr>
        <w:spacing w:after="0" w:line="360" w:lineRule="auto"/>
        <w:jc w:val="right"/>
        <w:rPr>
          <w:rFonts w:ascii="Arial" w:hAnsi="Arial" w:cs="Arial"/>
          <w:sz w:val="24"/>
          <w:szCs w:val="24"/>
        </w:rPr>
      </w:pPr>
      <w:r>
        <w:rPr>
          <w:rFonts w:ascii="Arial" w:hAnsi="Arial" w:cs="Arial"/>
          <w:sz w:val="24"/>
          <w:szCs w:val="24"/>
        </w:rPr>
        <w:t xml:space="preserve">M </w:t>
      </w:r>
      <w:r w:rsidR="0017583F">
        <w:rPr>
          <w:rFonts w:ascii="Arial" w:hAnsi="Arial" w:cs="Arial"/>
          <w:sz w:val="24"/>
          <w:szCs w:val="24"/>
        </w:rPr>
        <w:t>Cheda</w:t>
      </w:r>
    </w:p>
    <w:p w:rsidR="001B7E1F" w:rsidRDefault="00741B0B" w:rsidP="00AD545C">
      <w:pPr>
        <w:spacing w:after="0" w:line="360" w:lineRule="auto"/>
        <w:jc w:val="right"/>
        <w:rPr>
          <w:rFonts w:ascii="Arial" w:hAnsi="Arial" w:cs="Arial"/>
        </w:rPr>
      </w:pPr>
      <w:r>
        <w:rPr>
          <w:rFonts w:ascii="Arial" w:hAnsi="Arial" w:cs="Arial"/>
          <w:sz w:val="24"/>
          <w:szCs w:val="24"/>
        </w:rPr>
        <w:t>Judge</w:t>
      </w:r>
      <w:r w:rsidR="001B7E1F" w:rsidRPr="006E026B">
        <w:rPr>
          <w:rFonts w:ascii="Arial" w:hAnsi="Arial" w:cs="Arial"/>
          <w:sz w:val="24"/>
          <w:szCs w:val="24"/>
        </w:rPr>
        <w:br w:type="page"/>
      </w:r>
    </w:p>
    <w:p w:rsidR="001B7E1F" w:rsidRDefault="001B7E1F" w:rsidP="00AD545C">
      <w:pPr>
        <w:pStyle w:val="BodyText"/>
        <w:autoSpaceDE w:val="0"/>
        <w:autoSpaceDN w:val="0"/>
        <w:adjustRightInd w:val="0"/>
        <w:spacing w:line="360" w:lineRule="auto"/>
        <w:jc w:val="both"/>
        <w:rPr>
          <w:rFonts w:ascii="Arial" w:hAnsi="Arial" w:cs="Arial"/>
        </w:rPr>
      </w:pPr>
    </w:p>
    <w:p w:rsidR="001B7E1F" w:rsidRDefault="001B7E1F" w:rsidP="00AD545C">
      <w:pPr>
        <w:pStyle w:val="BodyText"/>
        <w:autoSpaceDE w:val="0"/>
        <w:autoSpaceDN w:val="0"/>
        <w:adjustRightInd w:val="0"/>
        <w:spacing w:line="360" w:lineRule="auto"/>
        <w:jc w:val="both"/>
        <w:rPr>
          <w:rFonts w:ascii="Arial" w:hAnsi="Arial" w:cs="Arial"/>
          <w:b/>
        </w:rPr>
      </w:pPr>
      <w:r w:rsidRPr="000868F9">
        <w:rPr>
          <w:rFonts w:ascii="Arial" w:hAnsi="Arial" w:cs="Arial"/>
          <w:b/>
        </w:rPr>
        <w:t>APPEARANCES</w:t>
      </w:r>
    </w:p>
    <w:p w:rsidR="005B3FEE" w:rsidRDefault="005B3FEE" w:rsidP="00AD545C">
      <w:pPr>
        <w:pStyle w:val="BodyText"/>
        <w:autoSpaceDE w:val="0"/>
        <w:autoSpaceDN w:val="0"/>
        <w:adjustRightInd w:val="0"/>
        <w:spacing w:line="360" w:lineRule="auto"/>
        <w:jc w:val="both"/>
        <w:rPr>
          <w:rFonts w:ascii="Arial" w:hAnsi="Arial" w:cs="Arial"/>
          <w:b/>
        </w:rPr>
      </w:pPr>
    </w:p>
    <w:p w:rsidR="005B3FEE" w:rsidRDefault="009B1538" w:rsidP="005B3FEE">
      <w:pPr>
        <w:tabs>
          <w:tab w:val="left" w:pos="1394"/>
          <w:tab w:val="left" w:pos="2528"/>
          <w:tab w:val="left" w:pos="3780"/>
        </w:tabs>
        <w:spacing w:after="0" w:line="360" w:lineRule="auto"/>
        <w:jc w:val="both"/>
        <w:rPr>
          <w:rFonts w:ascii="Arial" w:hAnsi="Arial" w:cs="Arial"/>
          <w:sz w:val="24"/>
          <w:szCs w:val="24"/>
        </w:rPr>
      </w:pPr>
      <w:r>
        <w:rPr>
          <w:rFonts w:ascii="Arial" w:hAnsi="Arial" w:cs="Arial"/>
          <w:b/>
          <w:sz w:val="24"/>
          <w:szCs w:val="24"/>
        </w:rPr>
        <w:t>APPLICANT</w:t>
      </w:r>
      <w:r w:rsidR="00866D6C">
        <w:rPr>
          <w:rFonts w:ascii="Arial" w:hAnsi="Arial" w:cs="Arial"/>
          <w:b/>
          <w:sz w:val="24"/>
          <w:szCs w:val="24"/>
        </w:rPr>
        <w:tab/>
      </w:r>
      <w:r w:rsidR="005B3FEE" w:rsidRPr="000E7777">
        <w:rPr>
          <w:rFonts w:ascii="Arial" w:hAnsi="Arial" w:cs="Arial"/>
          <w:sz w:val="24"/>
          <w:szCs w:val="24"/>
        </w:rPr>
        <w:t>:</w:t>
      </w:r>
      <w:r w:rsidR="005B3FEE">
        <w:rPr>
          <w:rFonts w:ascii="Arial" w:hAnsi="Arial" w:cs="Arial"/>
          <w:sz w:val="24"/>
          <w:szCs w:val="24"/>
        </w:rPr>
        <w:tab/>
      </w:r>
      <w:r w:rsidR="005B3FEE" w:rsidRPr="000E7777">
        <w:rPr>
          <w:rFonts w:ascii="Arial" w:hAnsi="Arial" w:cs="Arial"/>
          <w:sz w:val="24"/>
          <w:szCs w:val="24"/>
        </w:rPr>
        <w:tab/>
      </w:r>
      <w:r w:rsidR="00922CD8">
        <w:rPr>
          <w:rFonts w:ascii="Arial" w:hAnsi="Arial" w:cs="Arial"/>
          <w:sz w:val="24"/>
          <w:szCs w:val="24"/>
        </w:rPr>
        <w:t>Advocate Van Vuuren</w:t>
      </w:r>
    </w:p>
    <w:p w:rsidR="008C314C" w:rsidRDefault="008C314C" w:rsidP="005B3FEE">
      <w:pPr>
        <w:tabs>
          <w:tab w:val="left" w:pos="1394"/>
          <w:tab w:val="left" w:pos="2528"/>
          <w:tab w:val="left" w:pos="3780"/>
        </w:tabs>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00922CD8">
        <w:rPr>
          <w:rFonts w:ascii="Arial" w:hAnsi="Arial" w:cs="Arial"/>
          <w:sz w:val="24"/>
          <w:szCs w:val="24"/>
        </w:rPr>
        <w:t>Instructed by Behrens &amp; Pfeiffer</w:t>
      </w:r>
    </w:p>
    <w:p w:rsidR="00866D6C" w:rsidRDefault="00866D6C" w:rsidP="005B3FEE">
      <w:pPr>
        <w:tabs>
          <w:tab w:val="left" w:pos="1394"/>
          <w:tab w:val="left" w:pos="2528"/>
          <w:tab w:val="left" w:pos="3780"/>
        </w:tabs>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Windhoek</w:t>
      </w:r>
    </w:p>
    <w:p w:rsidR="00FB17DD" w:rsidRPr="00FB17DD" w:rsidRDefault="00FB17DD" w:rsidP="005B3FEE">
      <w:pPr>
        <w:tabs>
          <w:tab w:val="left" w:pos="1394"/>
          <w:tab w:val="left" w:pos="2528"/>
          <w:tab w:val="left" w:pos="3780"/>
        </w:tabs>
        <w:spacing w:after="0" w:line="360" w:lineRule="auto"/>
        <w:jc w:val="both"/>
        <w:rPr>
          <w:rFonts w:ascii="Arial" w:hAnsi="Arial" w:cs="Arial"/>
          <w:b/>
          <w:sz w:val="24"/>
          <w:szCs w:val="24"/>
        </w:rPr>
      </w:pPr>
    </w:p>
    <w:p w:rsidR="00FB17DD" w:rsidRDefault="00FB17DD" w:rsidP="00922CD8">
      <w:pPr>
        <w:tabs>
          <w:tab w:val="left" w:pos="1394"/>
          <w:tab w:val="left" w:pos="2528"/>
          <w:tab w:val="left" w:pos="3780"/>
        </w:tabs>
        <w:spacing w:after="0" w:line="360" w:lineRule="auto"/>
        <w:jc w:val="both"/>
        <w:rPr>
          <w:rFonts w:ascii="Arial" w:hAnsi="Arial" w:cs="Arial"/>
          <w:sz w:val="24"/>
          <w:szCs w:val="24"/>
        </w:rPr>
      </w:pPr>
      <w:r w:rsidRPr="00FB17DD">
        <w:rPr>
          <w:rFonts w:ascii="Arial" w:hAnsi="Arial" w:cs="Arial"/>
          <w:b/>
          <w:sz w:val="24"/>
          <w:szCs w:val="24"/>
        </w:rPr>
        <w:t>DEFENDANT</w:t>
      </w:r>
      <w:r>
        <w:rPr>
          <w:rFonts w:ascii="Arial" w:hAnsi="Arial" w:cs="Arial"/>
          <w:sz w:val="24"/>
          <w:szCs w:val="24"/>
        </w:rPr>
        <w:t>:</w:t>
      </w:r>
      <w:r>
        <w:rPr>
          <w:rFonts w:ascii="Arial" w:hAnsi="Arial" w:cs="Arial"/>
          <w:sz w:val="24"/>
          <w:szCs w:val="24"/>
        </w:rPr>
        <w:tab/>
      </w:r>
      <w:r w:rsidR="009B1538">
        <w:rPr>
          <w:rFonts w:ascii="Arial" w:hAnsi="Arial" w:cs="Arial"/>
          <w:sz w:val="24"/>
          <w:szCs w:val="24"/>
        </w:rPr>
        <w:tab/>
      </w:r>
      <w:r w:rsidR="00922CD8">
        <w:rPr>
          <w:rFonts w:ascii="Arial" w:hAnsi="Arial" w:cs="Arial"/>
          <w:sz w:val="24"/>
          <w:szCs w:val="24"/>
        </w:rPr>
        <w:t>In Person</w:t>
      </w:r>
    </w:p>
    <w:p w:rsidR="00FB17DD" w:rsidRDefault="00FB17DD" w:rsidP="005B3FEE">
      <w:pPr>
        <w:tabs>
          <w:tab w:val="left" w:pos="1394"/>
          <w:tab w:val="left" w:pos="2528"/>
          <w:tab w:val="left" w:pos="3780"/>
        </w:tabs>
        <w:spacing w:after="0" w:line="360" w:lineRule="auto"/>
        <w:jc w:val="both"/>
        <w:rPr>
          <w:rFonts w:ascii="Arial" w:hAnsi="Arial" w:cs="Arial"/>
          <w:sz w:val="24"/>
          <w:szCs w:val="24"/>
        </w:rPr>
      </w:pPr>
    </w:p>
    <w:sectPr w:rsidR="00FB17DD" w:rsidSect="00F90770">
      <w:headerReference w:type="default" r:id="rId12"/>
      <w:pgSz w:w="11907" w:h="16839" w:code="9"/>
      <w:pgMar w:top="810" w:right="1440" w:bottom="450" w:left="1440" w:header="720" w:footer="4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0315" w:rsidRDefault="00720315" w:rsidP="00741B0B">
      <w:pPr>
        <w:spacing w:after="0" w:line="240" w:lineRule="auto"/>
      </w:pPr>
      <w:r>
        <w:separator/>
      </w:r>
    </w:p>
  </w:endnote>
  <w:endnote w:type="continuationSeparator" w:id="0">
    <w:p w:rsidR="00720315" w:rsidRDefault="00720315" w:rsidP="00741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0315" w:rsidRDefault="00720315" w:rsidP="00741B0B">
      <w:pPr>
        <w:spacing w:after="0" w:line="240" w:lineRule="auto"/>
      </w:pPr>
      <w:r>
        <w:separator/>
      </w:r>
    </w:p>
  </w:footnote>
  <w:footnote w:type="continuationSeparator" w:id="0">
    <w:p w:rsidR="00720315" w:rsidRDefault="00720315" w:rsidP="00741B0B">
      <w:pPr>
        <w:spacing w:after="0" w:line="240" w:lineRule="auto"/>
      </w:pPr>
      <w:r>
        <w:continuationSeparator/>
      </w:r>
    </w:p>
  </w:footnote>
  <w:footnote w:id="1">
    <w:p w:rsidR="001729FA" w:rsidRDefault="001729FA">
      <w:pPr>
        <w:pStyle w:val="FootnoteText"/>
      </w:pPr>
      <w:r>
        <w:rPr>
          <w:rStyle w:val="FootnoteReference"/>
        </w:rPr>
        <w:footnoteRef/>
      </w:r>
      <w:r>
        <w:t xml:space="preserve"> </w:t>
      </w:r>
      <w:r w:rsidRPr="001729FA">
        <w:t>Chetty v Naidoo  1974/4 SA 13 (A).</w:t>
      </w:r>
    </w:p>
  </w:footnote>
  <w:footnote w:id="2">
    <w:p w:rsidR="00905BDC" w:rsidRDefault="00905BDC">
      <w:pPr>
        <w:pStyle w:val="FootnoteText"/>
      </w:pPr>
      <w:r>
        <w:rPr>
          <w:rStyle w:val="FootnoteReference"/>
        </w:rPr>
        <w:footnoteRef/>
      </w:r>
      <w:r>
        <w:t xml:space="preserve"> </w:t>
      </w:r>
      <w:r w:rsidRPr="00905BDC">
        <w:t>Jeena v Minister of Lands  1952 (2) SA 380</w:t>
      </w:r>
    </w:p>
  </w:footnote>
  <w:footnote w:id="3">
    <w:p w:rsidR="00905BDC" w:rsidRDefault="00905BDC">
      <w:pPr>
        <w:pStyle w:val="FootnoteText"/>
      </w:pPr>
      <w:r>
        <w:rPr>
          <w:rStyle w:val="FootnoteReference"/>
        </w:rPr>
        <w:footnoteRef/>
      </w:r>
      <w:r>
        <w:t xml:space="preserve"> </w:t>
      </w:r>
      <w:r w:rsidRPr="00905BDC">
        <w:t>Dreyer and another v Axzs industries (Pty) Ltd  2006 (5) SA 548</w:t>
      </w:r>
    </w:p>
  </w:footnote>
  <w:footnote w:id="4">
    <w:p w:rsidR="00852751" w:rsidRDefault="00852751">
      <w:pPr>
        <w:pStyle w:val="FootnoteText"/>
      </w:pPr>
      <w:r>
        <w:rPr>
          <w:rStyle w:val="FootnoteReference"/>
        </w:rPr>
        <w:footnoteRef/>
      </w:r>
      <w:r>
        <w:t xml:space="preserve"> </w:t>
      </w:r>
      <w:r w:rsidRPr="00852751">
        <w:t>Todd v First Rand Bank Ltd and others  (2013) (3) ALL SA 500 (SCA)</w:t>
      </w:r>
    </w:p>
  </w:footnote>
  <w:footnote w:id="5">
    <w:p w:rsidR="00852751" w:rsidRDefault="00852751">
      <w:pPr>
        <w:pStyle w:val="FootnoteText"/>
      </w:pPr>
      <w:r>
        <w:rPr>
          <w:rStyle w:val="FootnoteReference"/>
        </w:rPr>
        <w:footnoteRef/>
      </w:r>
      <w:r>
        <w:t xml:space="preserve"> </w:t>
      </w:r>
      <w:r w:rsidRPr="00852751">
        <w:t>Mbanderu Traditional Authority and another v Kahuure and others  2008 (1) NR 55 (SC)</w:t>
      </w:r>
    </w:p>
  </w:footnote>
  <w:footnote w:id="6">
    <w:p w:rsidR="00C271F8" w:rsidRDefault="00C271F8">
      <w:pPr>
        <w:pStyle w:val="FootnoteText"/>
      </w:pPr>
      <w:r>
        <w:rPr>
          <w:rStyle w:val="FootnoteReference"/>
        </w:rPr>
        <w:footnoteRef/>
      </w:r>
      <w:r>
        <w:t xml:space="preserve"> </w:t>
      </w:r>
      <w:r w:rsidRPr="00C271F8">
        <w:t>Hamutenya v Hamutenya  2005 NR 76 at 78</w:t>
      </w:r>
    </w:p>
  </w:footnote>
  <w:footnote w:id="7">
    <w:p w:rsidR="00DB7D05" w:rsidRDefault="00DB7D05">
      <w:pPr>
        <w:pStyle w:val="FootnoteText"/>
      </w:pPr>
      <w:r>
        <w:rPr>
          <w:rStyle w:val="FootnoteReference"/>
        </w:rPr>
        <w:footnoteRef/>
      </w:r>
      <w:r>
        <w:t xml:space="preserve"> </w:t>
      </w:r>
      <w:r w:rsidR="0012252A">
        <w:t>Bez</w:t>
      </w:r>
      <w:r w:rsidRPr="00DB7D05">
        <w:t>uidenhout v Patensie S</w:t>
      </w:r>
      <w:r w:rsidR="0012252A">
        <w:t>i</w:t>
      </w:r>
      <w:r w:rsidRPr="00DB7D05">
        <w:t>trus Beherend BPK 2001 (2) SA 224 E at 229 B-D</w:t>
      </w:r>
    </w:p>
  </w:footnote>
  <w:footnote w:id="8">
    <w:p w:rsidR="00E2019B" w:rsidRDefault="00E2019B">
      <w:pPr>
        <w:pStyle w:val="FootnoteText"/>
      </w:pPr>
      <w:r>
        <w:rPr>
          <w:rStyle w:val="FootnoteReference"/>
        </w:rPr>
        <w:footnoteRef/>
      </w:r>
      <w:r>
        <w:t xml:space="preserve"> </w:t>
      </w:r>
      <w:r w:rsidRPr="00E2019B">
        <w:t>Maharaj v Baclays National Bank Ltd  1976 (1) SA 418 at 426 C-D</w:t>
      </w:r>
    </w:p>
  </w:footnote>
  <w:footnote w:id="9">
    <w:p w:rsidR="00E2019B" w:rsidRDefault="00E2019B">
      <w:pPr>
        <w:pStyle w:val="FootnoteText"/>
      </w:pPr>
      <w:r>
        <w:rPr>
          <w:rStyle w:val="FootnoteReference"/>
        </w:rPr>
        <w:footnoteRef/>
      </w:r>
      <w:r>
        <w:t xml:space="preserve"> </w:t>
      </w:r>
      <w:r w:rsidRPr="00E2019B">
        <w:t>District Bank Ltd v Hoosain  1984 (4) SA 544 (C) at 547 G</w:t>
      </w:r>
    </w:p>
  </w:footnote>
  <w:footnote w:id="10">
    <w:p w:rsidR="00E2019B" w:rsidRDefault="00E2019B">
      <w:pPr>
        <w:pStyle w:val="FootnoteText"/>
      </w:pPr>
      <w:r>
        <w:rPr>
          <w:rStyle w:val="FootnoteReference"/>
        </w:rPr>
        <w:footnoteRef/>
      </w:r>
      <w:r>
        <w:t xml:space="preserve"> </w:t>
      </w:r>
      <w:r w:rsidRPr="00E2019B">
        <w:t>Estate Potgieter v Elliot  1948 (1) SA 1084 (C) 1087</w:t>
      </w:r>
    </w:p>
  </w:footnote>
  <w:footnote w:id="11">
    <w:p w:rsidR="00E2019B" w:rsidRDefault="00E2019B">
      <w:pPr>
        <w:pStyle w:val="FootnoteText"/>
      </w:pPr>
      <w:r>
        <w:rPr>
          <w:rStyle w:val="FootnoteReference"/>
        </w:rPr>
        <w:footnoteRef/>
      </w:r>
      <w:r>
        <w:t xml:space="preserve"> </w:t>
      </w:r>
      <w:r w:rsidRPr="00E2019B">
        <w:t>Sheptone v Sheptone  1974 (2) SA 462 (N) 466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92026"/>
      <w:docPartObj>
        <w:docPartGallery w:val="Page Numbers (Top of Page)"/>
        <w:docPartUnique/>
      </w:docPartObj>
    </w:sdtPr>
    <w:sdtEndPr/>
    <w:sdtContent>
      <w:p w:rsidR="004E3F97" w:rsidRDefault="00BD158A">
        <w:pPr>
          <w:pStyle w:val="Header"/>
          <w:jc w:val="right"/>
        </w:pPr>
        <w:r>
          <w:fldChar w:fldCharType="begin"/>
        </w:r>
        <w:r w:rsidR="0064549F">
          <w:instrText xml:space="preserve"> PAGE   \* MERGEFORMAT </w:instrText>
        </w:r>
        <w:r>
          <w:fldChar w:fldCharType="separate"/>
        </w:r>
        <w:r w:rsidR="0019276C">
          <w:rPr>
            <w:noProof/>
          </w:rPr>
          <w:t>8</w:t>
        </w:r>
        <w:r>
          <w:rPr>
            <w:noProof/>
          </w:rPr>
          <w:fldChar w:fldCharType="end"/>
        </w:r>
      </w:p>
    </w:sdtContent>
  </w:sdt>
  <w:p w:rsidR="004E3F97" w:rsidRDefault="004E3F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61899"/>
    <w:multiLevelType w:val="hybridMultilevel"/>
    <w:tmpl w:val="FC027F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A449F3"/>
    <w:multiLevelType w:val="hybridMultilevel"/>
    <w:tmpl w:val="065A18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6E070E"/>
    <w:multiLevelType w:val="hybridMultilevel"/>
    <w:tmpl w:val="6F34C1D0"/>
    <w:lvl w:ilvl="0" w:tplc="EB444A6A">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16125E"/>
    <w:multiLevelType w:val="multilevel"/>
    <w:tmpl w:val="8BFCD2E4"/>
    <w:lvl w:ilvl="0">
      <w:start w:val="1"/>
      <w:numFmt w:val="decimal"/>
      <w:lvlText w:val="%1"/>
      <w:lvlJc w:val="left"/>
      <w:pPr>
        <w:ind w:left="1440" w:hanging="1440"/>
      </w:pPr>
      <w:rPr>
        <w:rFonts w:hint="default"/>
      </w:rPr>
    </w:lvl>
    <w:lvl w:ilvl="1">
      <w:start w:val="1"/>
      <w:numFmt w:val="decimal"/>
      <w:lvlText w:val="%1.%2"/>
      <w:lvlJc w:val="left"/>
      <w:pPr>
        <w:ind w:left="2160" w:hanging="1440"/>
      </w:pPr>
      <w:rPr>
        <w:rFonts w:hint="default"/>
      </w:rPr>
    </w:lvl>
    <w:lvl w:ilvl="2">
      <w:start w:val="1"/>
      <w:numFmt w:val="decimal"/>
      <w:lvlText w:val="%1.%2.%3"/>
      <w:lvlJc w:val="left"/>
      <w:pPr>
        <w:ind w:left="2880" w:hanging="144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A4C43FE"/>
    <w:multiLevelType w:val="hybridMultilevel"/>
    <w:tmpl w:val="812C0AF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C62FDF"/>
    <w:multiLevelType w:val="hybridMultilevel"/>
    <w:tmpl w:val="685ABF26"/>
    <w:lvl w:ilvl="0" w:tplc="CAC6A88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3A41FDE"/>
    <w:multiLevelType w:val="hybridMultilevel"/>
    <w:tmpl w:val="05B4407A"/>
    <w:lvl w:ilvl="0" w:tplc="4970DE7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411E74"/>
    <w:multiLevelType w:val="hybridMultilevel"/>
    <w:tmpl w:val="A2A28964"/>
    <w:lvl w:ilvl="0" w:tplc="600048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FFA0116"/>
    <w:multiLevelType w:val="hybridMultilevel"/>
    <w:tmpl w:val="6366CB16"/>
    <w:lvl w:ilvl="0" w:tplc="7B5008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41C0913"/>
    <w:multiLevelType w:val="hybridMultilevel"/>
    <w:tmpl w:val="2D3248B6"/>
    <w:lvl w:ilvl="0" w:tplc="8FE606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342E0E"/>
    <w:multiLevelType w:val="hybridMultilevel"/>
    <w:tmpl w:val="528402A0"/>
    <w:lvl w:ilvl="0" w:tplc="F8E2A1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5439A2"/>
    <w:multiLevelType w:val="hybridMultilevel"/>
    <w:tmpl w:val="9D3440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3171F2"/>
    <w:multiLevelType w:val="hybridMultilevel"/>
    <w:tmpl w:val="50424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3C682C"/>
    <w:multiLevelType w:val="hybridMultilevel"/>
    <w:tmpl w:val="1A6640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BD6C7C"/>
    <w:multiLevelType w:val="hybridMultilevel"/>
    <w:tmpl w:val="3568410E"/>
    <w:lvl w:ilvl="0" w:tplc="C90EBA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5A222E"/>
    <w:multiLevelType w:val="hybridMultilevel"/>
    <w:tmpl w:val="5E8CB554"/>
    <w:lvl w:ilvl="0" w:tplc="AF7822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AE4C77"/>
    <w:multiLevelType w:val="hybridMultilevel"/>
    <w:tmpl w:val="0B0408F0"/>
    <w:lvl w:ilvl="0" w:tplc="BDC252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BA00460"/>
    <w:multiLevelType w:val="hybridMultilevel"/>
    <w:tmpl w:val="259C2438"/>
    <w:lvl w:ilvl="0" w:tplc="C73E3F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E26A65"/>
    <w:multiLevelType w:val="hybridMultilevel"/>
    <w:tmpl w:val="A6884B60"/>
    <w:lvl w:ilvl="0" w:tplc="0C28CFD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EE1F81"/>
    <w:multiLevelType w:val="hybridMultilevel"/>
    <w:tmpl w:val="DD406E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851D02"/>
    <w:multiLevelType w:val="hybridMultilevel"/>
    <w:tmpl w:val="A5486AA8"/>
    <w:lvl w:ilvl="0" w:tplc="AB6491B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2B2E87"/>
    <w:multiLevelType w:val="hybridMultilevel"/>
    <w:tmpl w:val="AB4644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A24146"/>
    <w:multiLevelType w:val="hybridMultilevel"/>
    <w:tmpl w:val="A4D633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DD7C47"/>
    <w:multiLevelType w:val="hybridMultilevel"/>
    <w:tmpl w:val="79E25E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2B0001"/>
    <w:multiLevelType w:val="hybridMultilevel"/>
    <w:tmpl w:val="92322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D43FD9"/>
    <w:multiLevelType w:val="hybridMultilevel"/>
    <w:tmpl w:val="BD7AA5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586A50"/>
    <w:multiLevelType w:val="hybridMultilevel"/>
    <w:tmpl w:val="7C0C4E9E"/>
    <w:lvl w:ilvl="0" w:tplc="1DD624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44041D3"/>
    <w:multiLevelType w:val="hybridMultilevel"/>
    <w:tmpl w:val="12F823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3545B6"/>
    <w:multiLevelType w:val="hybridMultilevel"/>
    <w:tmpl w:val="100CE2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41A4BBC"/>
    <w:multiLevelType w:val="hybridMultilevel"/>
    <w:tmpl w:val="7BCE00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1B5CD8"/>
    <w:multiLevelType w:val="hybridMultilevel"/>
    <w:tmpl w:val="0C46314A"/>
    <w:lvl w:ilvl="0" w:tplc="EB94465E">
      <w:start w:val="2"/>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A514A61"/>
    <w:multiLevelType w:val="hybridMultilevel"/>
    <w:tmpl w:val="9E049D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2"/>
  </w:num>
  <w:num w:numId="3">
    <w:abstractNumId w:val="17"/>
  </w:num>
  <w:num w:numId="4">
    <w:abstractNumId w:val="7"/>
  </w:num>
  <w:num w:numId="5">
    <w:abstractNumId w:val="10"/>
  </w:num>
  <w:num w:numId="6">
    <w:abstractNumId w:val="30"/>
  </w:num>
  <w:num w:numId="7">
    <w:abstractNumId w:val="9"/>
  </w:num>
  <w:num w:numId="8">
    <w:abstractNumId w:val="18"/>
  </w:num>
  <w:num w:numId="9">
    <w:abstractNumId w:val="24"/>
  </w:num>
  <w:num w:numId="10">
    <w:abstractNumId w:val="8"/>
  </w:num>
  <w:num w:numId="11">
    <w:abstractNumId w:val="2"/>
  </w:num>
  <w:num w:numId="12">
    <w:abstractNumId w:val="15"/>
  </w:num>
  <w:num w:numId="13">
    <w:abstractNumId w:val="21"/>
  </w:num>
  <w:num w:numId="14">
    <w:abstractNumId w:val="29"/>
  </w:num>
  <w:num w:numId="15">
    <w:abstractNumId w:val="27"/>
  </w:num>
  <w:num w:numId="16">
    <w:abstractNumId w:val="1"/>
  </w:num>
  <w:num w:numId="17">
    <w:abstractNumId w:val="16"/>
  </w:num>
  <w:num w:numId="18">
    <w:abstractNumId w:val="19"/>
  </w:num>
  <w:num w:numId="19">
    <w:abstractNumId w:val="14"/>
  </w:num>
  <w:num w:numId="20">
    <w:abstractNumId w:val="23"/>
  </w:num>
  <w:num w:numId="21">
    <w:abstractNumId w:val="26"/>
  </w:num>
  <w:num w:numId="22">
    <w:abstractNumId w:val="31"/>
  </w:num>
  <w:num w:numId="23">
    <w:abstractNumId w:val="0"/>
  </w:num>
  <w:num w:numId="24">
    <w:abstractNumId w:val="25"/>
  </w:num>
  <w:num w:numId="25">
    <w:abstractNumId w:val="3"/>
  </w:num>
  <w:num w:numId="26">
    <w:abstractNumId w:val="28"/>
  </w:num>
  <w:num w:numId="27">
    <w:abstractNumId w:val="6"/>
  </w:num>
  <w:num w:numId="28">
    <w:abstractNumId w:val="20"/>
  </w:num>
  <w:num w:numId="29">
    <w:abstractNumId w:val="22"/>
  </w:num>
  <w:num w:numId="30">
    <w:abstractNumId w:val="11"/>
  </w:num>
  <w:num w:numId="31">
    <w:abstractNumId w:val="4"/>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085"/>
    <w:rsid w:val="00001DAF"/>
    <w:rsid w:val="0000283E"/>
    <w:rsid w:val="00007DAC"/>
    <w:rsid w:val="0001101E"/>
    <w:rsid w:val="000158CC"/>
    <w:rsid w:val="00016C1E"/>
    <w:rsid w:val="000202D1"/>
    <w:rsid w:val="00021279"/>
    <w:rsid w:val="00024C6B"/>
    <w:rsid w:val="0002535F"/>
    <w:rsid w:val="0003007D"/>
    <w:rsid w:val="0003090D"/>
    <w:rsid w:val="00031CBA"/>
    <w:rsid w:val="00040565"/>
    <w:rsid w:val="000420EA"/>
    <w:rsid w:val="00044A47"/>
    <w:rsid w:val="00045947"/>
    <w:rsid w:val="00051F9B"/>
    <w:rsid w:val="00053CCB"/>
    <w:rsid w:val="00056577"/>
    <w:rsid w:val="00056F99"/>
    <w:rsid w:val="00057CCC"/>
    <w:rsid w:val="000616F7"/>
    <w:rsid w:val="0006716D"/>
    <w:rsid w:val="000727C3"/>
    <w:rsid w:val="0007321B"/>
    <w:rsid w:val="0007395D"/>
    <w:rsid w:val="000744B8"/>
    <w:rsid w:val="0007535D"/>
    <w:rsid w:val="00075D81"/>
    <w:rsid w:val="00080854"/>
    <w:rsid w:val="000810DA"/>
    <w:rsid w:val="000826D7"/>
    <w:rsid w:val="00082DA1"/>
    <w:rsid w:val="000868F9"/>
    <w:rsid w:val="00087A74"/>
    <w:rsid w:val="000A46A5"/>
    <w:rsid w:val="000B0F31"/>
    <w:rsid w:val="000B5442"/>
    <w:rsid w:val="000B68E0"/>
    <w:rsid w:val="000C0B9B"/>
    <w:rsid w:val="000C3019"/>
    <w:rsid w:val="000C5C13"/>
    <w:rsid w:val="000C76B3"/>
    <w:rsid w:val="000D1524"/>
    <w:rsid w:val="000D64E5"/>
    <w:rsid w:val="000D7874"/>
    <w:rsid w:val="000D7D43"/>
    <w:rsid w:val="000D7F57"/>
    <w:rsid w:val="000E1274"/>
    <w:rsid w:val="000E1D98"/>
    <w:rsid w:val="000E3591"/>
    <w:rsid w:val="000E78B3"/>
    <w:rsid w:val="000E7E6E"/>
    <w:rsid w:val="000F2935"/>
    <w:rsid w:val="000F4113"/>
    <w:rsid w:val="000F428F"/>
    <w:rsid w:val="00100962"/>
    <w:rsid w:val="00100C5D"/>
    <w:rsid w:val="00101627"/>
    <w:rsid w:val="0010219F"/>
    <w:rsid w:val="0011025E"/>
    <w:rsid w:val="0011421D"/>
    <w:rsid w:val="00114CD6"/>
    <w:rsid w:val="0011500A"/>
    <w:rsid w:val="001208DB"/>
    <w:rsid w:val="0012178A"/>
    <w:rsid w:val="0012252A"/>
    <w:rsid w:val="00131F82"/>
    <w:rsid w:val="00134D44"/>
    <w:rsid w:val="00135E62"/>
    <w:rsid w:val="00137C1F"/>
    <w:rsid w:val="001404C2"/>
    <w:rsid w:val="00146572"/>
    <w:rsid w:val="001572FF"/>
    <w:rsid w:val="00165675"/>
    <w:rsid w:val="00165E9F"/>
    <w:rsid w:val="00171CA7"/>
    <w:rsid w:val="001724BE"/>
    <w:rsid w:val="001729FA"/>
    <w:rsid w:val="00174FB4"/>
    <w:rsid w:val="0017583F"/>
    <w:rsid w:val="00175DF8"/>
    <w:rsid w:val="00182483"/>
    <w:rsid w:val="001868AC"/>
    <w:rsid w:val="00190C30"/>
    <w:rsid w:val="001911A2"/>
    <w:rsid w:val="0019276C"/>
    <w:rsid w:val="00192DD4"/>
    <w:rsid w:val="00194AA7"/>
    <w:rsid w:val="00195925"/>
    <w:rsid w:val="00197EE7"/>
    <w:rsid w:val="001A255A"/>
    <w:rsid w:val="001A5E1C"/>
    <w:rsid w:val="001B3BBA"/>
    <w:rsid w:val="001B4B83"/>
    <w:rsid w:val="001B646C"/>
    <w:rsid w:val="001B7E1F"/>
    <w:rsid w:val="001B7E8F"/>
    <w:rsid w:val="001C536A"/>
    <w:rsid w:val="001C54CF"/>
    <w:rsid w:val="001C569C"/>
    <w:rsid w:val="001C60AA"/>
    <w:rsid w:val="001C7E59"/>
    <w:rsid w:val="001D08D9"/>
    <w:rsid w:val="001D2BD9"/>
    <w:rsid w:val="001D36E2"/>
    <w:rsid w:val="001D743D"/>
    <w:rsid w:val="001D76DF"/>
    <w:rsid w:val="001D7AED"/>
    <w:rsid w:val="001E2723"/>
    <w:rsid w:val="001E3403"/>
    <w:rsid w:val="001E7C74"/>
    <w:rsid w:val="001F08C4"/>
    <w:rsid w:val="001F1B03"/>
    <w:rsid w:val="001F1D5F"/>
    <w:rsid w:val="001F23CA"/>
    <w:rsid w:val="001F354B"/>
    <w:rsid w:val="001F5B66"/>
    <w:rsid w:val="00202AB5"/>
    <w:rsid w:val="0020581E"/>
    <w:rsid w:val="00206D06"/>
    <w:rsid w:val="00210FB6"/>
    <w:rsid w:val="0021654D"/>
    <w:rsid w:val="0022023E"/>
    <w:rsid w:val="002205A9"/>
    <w:rsid w:val="00221488"/>
    <w:rsid w:val="002252ED"/>
    <w:rsid w:val="00231935"/>
    <w:rsid w:val="002324DC"/>
    <w:rsid w:val="00236470"/>
    <w:rsid w:val="00237272"/>
    <w:rsid w:val="00237D3D"/>
    <w:rsid w:val="0024086B"/>
    <w:rsid w:val="002423EA"/>
    <w:rsid w:val="00242BC2"/>
    <w:rsid w:val="0024399A"/>
    <w:rsid w:val="002473C3"/>
    <w:rsid w:val="00255C84"/>
    <w:rsid w:val="00255F24"/>
    <w:rsid w:val="0025720E"/>
    <w:rsid w:val="00260D45"/>
    <w:rsid w:val="00261E4E"/>
    <w:rsid w:val="00261FFE"/>
    <w:rsid w:val="0026596C"/>
    <w:rsid w:val="00266045"/>
    <w:rsid w:val="00273220"/>
    <w:rsid w:val="00276184"/>
    <w:rsid w:val="002775AB"/>
    <w:rsid w:val="0028232C"/>
    <w:rsid w:val="0028312D"/>
    <w:rsid w:val="002871A4"/>
    <w:rsid w:val="00290527"/>
    <w:rsid w:val="00291024"/>
    <w:rsid w:val="002931B7"/>
    <w:rsid w:val="00293E6A"/>
    <w:rsid w:val="002944BB"/>
    <w:rsid w:val="00296076"/>
    <w:rsid w:val="00296D79"/>
    <w:rsid w:val="002A2A6A"/>
    <w:rsid w:val="002A4D9C"/>
    <w:rsid w:val="002A68D0"/>
    <w:rsid w:val="002A7B30"/>
    <w:rsid w:val="002B1839"/>
    <w:rsid w:val="002B32F7"/>
    <w:rsid w:val="002B3F73"/>
    <w:rsid w:val="002B4DC9"/>
    <w:rsid w:val="002B6458"/>
    <w:rsid w:val="002B7E85"/>
    <w:rsid w:val="002C07AC"/>
    <w:rsid w:val="002C103A"/>
    <w:rsid w:val="002C18FE"/>
    <w:rsid w:val="002C3E3A"/>
    <w:rsid w:val="002D6097"/>
    <w:rsid w:val="002D7ECD"/>
    <w:rsid w:val="002E5A3E"/>
    <w:rsid w:val="002E7169"/>
    <w:rsid w:val="002F1C41"/>
    <w:rsid w:val="002F41CC"/>
    <w:rsid w:val="002F59A6"/>
    <w:rsid w:val="0030405B"/>
    <w:rsid w:val="003058BD"/>
    <w:rsid w:val="00306AF4"/>
    <w:rsid w:val="0030746E"/>
    <w:rsid w:val="00307A71"/>
    <w:rsid w:val="0031088E"/>
    <w:rsid w:val="0031400E"/>
    <w:rsid w:val="00316830"/>
    <w:rsid w:val="00316875"/>
    <w:rsid w:val="00317EEB"/>
    <w:rsid w:val="00320023"/>
    <w:rsid w:val="00322E97"/>
    <w:rsid w:val="00327871"/>
    <w:rsid w:val="003325D8"/>
    <w:rsid w:val="00332C52"/>
    <w:rsid w:val="00332F84"/>
    <w:rsid w:val="00336ADA"/>
    <w:rsid w:val="003400F1"/>
    <w:rsid w:val="003409E6"/>
    <w:rsid w:val="0034302D"/>
    <w:rsid w:val="00344254"/>
    <w:rsid w:val="00350E06"/>
    <w:rsid w:val="00351E05"/>
    <w:rsid w:val="00352902"/>
    <w:rsid w:val="00355A9E"/>
    <w:rsid w:val="00355E25"/>
    <w:rsid w:val="00356C16"/>
    <w:rsid w:val="00360185"/>
    <w:rsid w:val="003621E0"/>
    <w:rsid w:val="003658A8"/>
    <w:rsid w:val="00370591"/>
    <w:rsid w:val="003746E3"/>
    <w:rsid w:val="00376B77"/>
    <w:rsid w:val="00380094"/>
    <w:rsid w:val="0038024B"/>
    <w:rsid w:val="00381A99"/>
    <w:rsid w:val="003821AE"/>
    <w:rsid w:val="003824B0"/>
    <w:rsid w:val="00384A01"/>
    <w:rsid w:val="00384D10"/>
    <w:rsid w:val="0039207F"/>
    <w:rsid w:val="00392356"/>
    <w:rsid w:val="00392886"/>
    <w:rsid w:val="00393696"/>
    <w:rsid w:val="0039485C"/>
    <w:rsid w:val="00395E04"/>
    <w:rsid w:val="003961DA"/>
    <w:rsid w:val="00396D11"/>
    <w:rsid w:val="003A1666"/>
    <w:rsid w:val="003A2D86"/>
    <w:rsid w:val="003A5E74"/>
    <w:rsid w:val="003A6ECB"/>
    <w:rsid w:val="003B1C3A"/>
    <w:rsid w:val="003B5ABF"/>
    <w:rsid w:val="003B5B79"/>
    <w:rsid w:val="003C19CD"/>
    <w:rsid w:val="003C35E2"/>
    <w:rsid w:val="003C365F"/>
    <w:rsid w:val="003C6022"/>
    <w:rsid w:val="003D0F94"/>
    <w:rsid w:val="003D58DC"/>
    <w:rsid w:val="003D5BE6"/>
    <w:rsid w:val="003D5F09"/>
    <w:rsid w:val="003F56F0"/>
    <w:rsid w:val="004044CB"/>
    <w:rsid w:val="004060C3"/>
    <w:rsid w:val="004111D4"/>
    <w:rsid w:val="00411C0E"/>
    <w:rsid w:val="00415D5F"/>
    <w:rsid w:val="004227D3"/>
    <w:rsid w:val="00422BB9"/>
    <w:rsid w:val="004362B5"/>
    <w:rsid w:val="00440F50"/>
    <w:rsid w:val="00441D4E"/>
    <w:rsid w:val="004423F4"/>
    <w:rsid w:val="00443DE9"/>
    <w:rsid w:val="004451DA"/>
    <w:rsid w:val="00446AED"/>
    <w:rsid w:val="00446B1B"/>
    <w:rsid w:val="004542BA"/>
    <w:rsid w:val="0045740F"/>
    <w:rsid w:val="00462103"/>
    <w:rsid w:val="00467152"/>
    <w:rsid w:val="004671F1"/>
    <w:rsid w:val="00473F8D"/>
    <w:rsid w:val="004749FE"/>
    <w:rsid w:val="00476127"/>
    <w:rsid w:val="00484D0C"/>
    <w:rsid w:val="00485553"/>
    <w:rsid w:val="0048727B"/>
    <w:rsid w:val="00491830"/>
    <w:rsid w:val="0049278C"/>
    <w:rsid w:val="004A0324"/>
    <w:rsid w:val="004A23E1"/>
    <w:rsid w:val="004A2C49"/>
    <w:rsid w:val="004A3851"/>
    <w:rsid w:val="004A41E6"/>
    <w:rsid w:val="004B1AEB"/>
    <w:rsid w:val="004B29BA"/>
    <w:rsid w:val="004B7A7A"/>
    <w:rsid w:val="004C4A68"/>
    <w:rsid w:val="004C6BD5"/>
    <w:rsid w:val="004C7B98"/>
    <w:rsid w:val="004D0E43"/>
    <w:rsid w:val="004E3C67"/>
    <w:rsid w:val="004E3F97"/>
    <w:rsid w:val="004E62ED"/>
    <w:rsid w:val="004F4697"/>
    <w:rsid w:val="004F7BED"/>
    <w:rsid w:val="004F7D0F"/>
    <w:rsid w:val="005045B7"/>
    <w:rsid w:val="005108D4"/>
    <w:rsid w:val="00510FB7"/>
    <w:rsid w:val="00512F7F"/>
    <w:rsid w:val="00513968"/>
    <w:rsid w:val="00514BB8"/>
    <w:rsid w:val="0052189F"/>
    <w:rsid w:val="005218CF"/>
    <w:rsid w:val="005233A2"/>
    <w:rsid w:val="00526512"/>
    <w:rsid w:val="005352DA"/>
    <w:rsid w:val="00536592"/>
    <w:rsid w:val="0054009A"/>
    <w:rsid w:val="00540FA1"/>
    <w:rsid w:val="005425CB"/>
    <w:rsid w:val="005467AD"/>
    <w:rsid w:val="005511C5"/>
    <w:rsid w:val="00557C99"/>
    <w:rsid w:val="0056470A"/>
    <w:rsid w:val="00566C04"/>
    <w:rsid w:val="005740FC"/>
    <w:rsid w:val="005841F4"/>
    <w:rsid w:val="00596E21"/>
    <w:rsid w:val="005A2315"/>
    <w:rsid w:val="005A24E1"/>
    <w:rsid w:val="005A55CF"/>
    <w:rsid w:val="005A6A40"/>
    <w:rsid w:val="005A791D"/>
    <w:rsid w:val="005B3FEE"/>
    <w:rsid w:val="005B65B1"/>
    <w:rsid w:val="005B6D77"/>
    <w:rsid w:val="005C2AD7"/>
    <w:rsid w:val="005C2DB7"/>
    <w:rsid w:val="005C3A97"/>
    <w:rsid w:val="005C4537"/>
    <w:rsid w:val="005D1543"/>
    <w:rsid w:val="005D3618"/>
    <w:rsid w:val="005D39F7"/>
    <w:rsid w:val="005D4262"/>
    <w:rsid w:val="005D4D53"/>
    <w:rsid w:val="005D6B51"/>
    <w:rsid w:val="005E126C"/>
    <w:rsid w:val="005E302D"/>
    <w:rsid w:val="005E5305"/>
    <w:rsid w:val="005E7D99"/>
    <w:rsid w:val="005F1509"/>
    <w:rsid w:val="005F1E79"/>
    <w:rsid w:val="005F7392"/>
    <w:rsid w:val="00600E8E"/>
    <w:rsid w:val="00604264"/>
    <w:rsid w:val="00606648"/>
    <w:rsid w:val="00610DEA"/>
    <w:rsid w:val="0061543A"/>
    <w:rsid w:val="00615F8A"/>
    <w:rsid w:val="00616DFC"/>
    <w:rsid w:val="00617D2C"/>
    <w:rsid w:val="00620C8E"/>
    <w:rsid w:val="006218CA"/>
    <w:rsid w:val="00633B88"/>
    <w:rsid w:val="00634307"/>
    <w:rsid w:val="00635386"/>
    <w:rsid w:val="006414A7"/>
    <w:rsid w:val="0064353C"/>
    <w:rsid w:val="006435BE"/>
    <w:rsid w:val="0064549F"/>
    <w:rsid w:val="00651FE2"/>
    <w:rsid w:val="006536D1"/>
    <w:rsid w:val="006559F3"/>
    <w:rsid w:val="00657352"/>
    <w:rsid w:val="0065743A"/>
    <w:rsid w:val="00660211"/>
    <w:rsid w:val="00665770"/>
    <w:rsid w:val="00667FEE"/>
    <w:rsid w:val="00670256"/>
    <w:rsid w:val="00671013"/>
    <w:rsid w:val="006743B4"/>
    <w:rsid w:val="00674447"/>
    <w:rsid w:val="00676C46"/>
    <w:rsid w:val="00677728"/>
    <w:rsid w:val="00681A82"/>
    <w:rsid w:val="00685CD3"/>
    <w:rsid w:val="006919DB"/>
    <w:rsid w:val="00692CF3"/>
    <w:rsid w:val="00695C87"/>
    <w:rsid w:val="00696F40"/>
    <w:rsid w:val="006A0AE8"/>
    <w:rsid w:val="006A4D38"/>
    <w:rsid w:val="006A6248"/>
    <w:rsid w:val="006A6D0E"/>
    <w:rsid w:val="006B0E22"/>
    <w:rsid w:val="006B20F8"/>
    <w:rsid w:val="006B37CE"/>
    <w:rsid w:val="006B666E"/>
    <w:rsid w:val="006C1A4D"/>
    <w:rsid w:val="006C1EA8"/>
    <w:rsid w:val="006D10DC"/>
    <w:rsid w:val="006D17A5"/>
    <w:rsid w:val="006D4D52"/>
    <w:rsid w:val="006D7D63"/>
    <w:rsid w:val="006E025B"/>
    <w:rsid w:val="006E284F"/>
    <w:rsid w:val="006E347F"/>
    <w:rsid w:val="006E7594"/>
    <w:rsid w:val="006F3A78"/>
    <w:rsid w:val="006F42E0"/>
    <w:rsid w:val="006F50E9"/>
    <w:rsid w:val="006F70E6"/>
    <w:rsid w:val="006F70FC"/>
    <w:rsid w:val="006F7D45"/>
    <w:rsid w:val="0070037C"/>
    <w:rsid w:val="00701EDC"/>
    <w:rsid w:val="0070203D"/>
    <w:rsid w:val="00712571"/>
    <w:rsid w:val="0071294A"/>
    <w:rsid w:val="00713405"/>
    <w:rsid w:val="00716D38"/>
    <w:rsid w:val="00720315"/>
    <w:rsid w:val="00721055"/>
    <w:rsid w:val="00721E06"/>
    <w:rsid w:val="00723B32"/>
    <w:rsid w:val="00723DAE"/>
    <w:rsid w:val="00727569"/>
    <w:rsid w:val="0072759E"/>
    <w:rsid w:val="007302D6"/>
    <w:rsid w:val="00733855"/>
    <w:rsid w:val="00733C66"/>
    <w:rsid w:val="0074189F"/>
    <w:rsid w:val="00741B0B"/>
    <w:rsid w:val="00742BBA"/>
    <w:rsid w:val="007449BC"/>
    <w:rsid w:val="00745C05"/>
    <w:rsid w:val="007462A1"/>
    <w:rsid w:val="00750E2E"/>
    <w:rsid w:val="00754945"/>
    <w:rsid w:val="007620F2"/>
    <w:rsid w:val="00772BA9"/>
    <w:rsid w:val="00776204"/>
    <w:rsid w:val="007827FE"/>
    <w:rsid w:val="0078327B"/>
    <w:rsid w:val="0078358B"/>
    <w:rsid w:val="00784625"/>
    <w:rsid w:val="007856FB"/>
    <w:rsid w:val="007863C2"/>
    <w:rsid w:val="00787312"/>
    <w:rsid w:val="00791A18"/>
    <w:rsid w:val="00793F90"/>
    <w:rsid w:val="00795B1B"/>
    <w:rsid w:val="007972DB"/>
    <w:rsid w:val="00797FB7"/>
    <w:rsid w:val="007A22A2"/>
    <w:rsid w:val="007A323F"/>
    <w:rsid w:val="007A35D9"/>
    <w:rsid w:val="007B0970"/>
    <w:rsid w:val="007B2E8C"/>
    <w:rsid w:val="007C10F7"/>
    <w:rsid w:val="007C263C"/>
    <w:rsid w:val="007C2B5F"/>
    <w:rsid w:val="007C2F28"/>
    <w:rsid w:val="007C31F8"/>
    <w:rsid w:val="007C4F5B"/>
    <w:rsid w:val="007C682E"/>
    <w:rsid w:val="007D0531"/>
    <w:rsid w:val="007D1790"/>
    <w:rsid w:val="007D57DE"/>
    <w:rsid w:val="007D5E8E"/>
    <w:rsid w:val="007D6E67"/>
    <w:rsid w:val="007D6FE6"/>
    <w:rsid w:val="007E1C87"/>
    <w:rsid w:val="007E23FE"/>
    <w:rsid w:val="007E26CE"/>
    <w:rsid w:val="007E4975"/>
    <w:rsid w:val="007E7D50"/>
    <w:rsid w:val="007E7DA3"/>
    <w:rsid w:val="007F002B"/>
    <w:rsid w:val="007F6945"/>
    <w:rsid w:val="007F6E41"/>
    <w:rsid w:val="007F7B62"/>
    <w:rsid w:val="00807D7D"/>
    <w:rsid w:val="00807F16"/>
    <w:rsid w:val="00810E35"/>
    <w:rsid w:val="00815F5B"/>
    <w:rsid w:val="00827B49"/>
    <w:rsid w:val="00832728"/>
    <w:rsid w:val="0083280C"/>
    <w:rsid w:val="00840613"/>
    <w:rsid w:val="008433BA"/>
    <w:rsid w:val="008440F2"/>
    <w:rsid w:val="0085003C"/>
    <w:rsid w:val="00851714"/>
    <w:rsid w:val="00852751"/>
    <w:rsid w:val="00854603"/>
    <w:rsid w:val="00855934"/>
    <w:rsid w:val="00855BCA"/>
    <w:rsid w:val="00857C20"/>
    <w:rsid w:val="00860396"/>
    <w:rsid w:val="00860FF7"/>
    <w:rsid w:val="008623C6"/>
    <w:rsid w:val="00863514"/>
    <w:rsid w:val="00866D6C"/>
    <w:rsid w:val="00873A99"/>
    <w:rsid w:val="00875E6A"/>
    <w:rsid w:val="00876411"/>
    <w:rsid w:val="0087684C"/>
    <w:rsid w:val="0088023C"/>
    <w:rsid w:val="0088214F"/>
    <w:rsid w:val="008871FB"/>
    <w:rsid w:val="0089079D"/>
    <w:rsid w:val="00894C8A"/>
    <w:rsid w:val="00896350"/>
    <w:rsid w:val="00897077"/>
    <w:rsid w:val="008A0C9B"/>
    <w:rsid w:val="008A102A"/>
    <w:rsid w:val="008A362F"/>
    <w:rsid w:val="008A5A78"/>
    <w:rsid w:val="008A5FB7"/>
    <w:rsid w:val="008B14F9"/>
    <w:rsid w:val="008B1E72"/>
    <w:rsid w:val="008B314B"/>
    <w:rsid w:val="008B3441"/>
    <w:rsid w:val="008B4AA2"/>
    <w:rsid w:val="008B63FD"/>
    <w:rsid w:val="008C314C"/>
    <w:rsid w:val="008C60B7"/>
    <w:rsid w:val="008C6A53"/>
    <w:rsid w:val="008C7786"/>
    <w:rsid w:val="008D3570"/>
    <w:rsid w:val="008D574D"/>
    <w:rsid w:val="008E17FF"/>
    <w:rsid w:val="008E3021"/>
    <w:rsid w:val="008E62C0"/>
    <w:rsid w:val="008F0C8D"/>
    <w:rsid w:val="008F12A5"/>
    <w:rsid w:val="008F293C"/>
    <w:rsid w:val="008F2C6F"/>
    <w:rsid w:val="008F46E8"/>
    <w:rsid w:val="00902FBE"/>
    <w:rsid w:val="00905BDC"/>
    <w:rsid w:val="009067E3"/>
    <w:rsid w:val="0090719E"/>
    <w:rsid w:val="00910A9E"/>
    <w:rsid w:val="00913100"/>
    <w:rsid w:val="009201DD"/>
    <w:rsid w:val="00922CD8"/>
    <w:rsid w:val="0092468A"/>
    <w:rsid w:val="0092555F"/>
    <w:rsid w:val="009373F1"/>
    <w:rsid w:val="00944446"/>
    <w:rsid w:val="00945DCE"/>
    <w:rsid w:val="00946FB0"/>
    <w:rsid w:val="009502FB"/>
    <w:rsid w:val="009505E6"/>
    <w:rsid w:val="009513E5"/>
    <w:rsid w:val="00951E2A"/>
    <w:rsid w:val="00955AE2"/>
    <w:rsid w:val="00956128"/>
    <w:rsid w:val="009561BC"/>
    <w:rsid w:val="009564F0"/>
    <w:rsid w:val="00962A01"/>
    <w:rsid w:val="00962AEA"/>
    <w:rsid w:val="009639B7"/>
    <w:rsid w:val="00963C06"/>
    <w:rsid w:val="00970464"/>
    <w:rsid w:val="00972267"/>
    <w:rsid w:val="0097276E"/>
    <w:rsid w:val="00972CCA"/>
    <w:rsid w:val="009736A6"/>
    <w:rsid w:val="00982997"/>
    <w:rsid w:val="009841E1"/>
    <w:rsid w:val="009846B9"/>
    <w:rsid w:val="00987527"/>
    <w:rsid w:val="009944F5"/>
    <w:rsid w:val="009946DB"/>
    <w:rsid w:val="009951DF"/>
    <w:rsid w:val="00995208"/>
    <w:rsid w:val="009963D2"/>
    <w:rsid w:val="0099716B"/>
    <w:rsid w:val="009A3705"/>
    <w:rsid w:val="009A3E32"/>
    <w:rsid w:val="009A44AA"/>
    <w:rsid w:val="009A497D"/>
    <w:rsid w:val="009B0AEE"/>
    <w:rsid w:val="009B1538"/>
    <w:rsid w:val="009B4BD7"/>
    <w:rsid w:val="009C2B50"/>
    <w:rsid w:val="009C4F72"/>
    <w:rsid w:val="009C677B"/>
    <w:rsid w:val="009D069F"/>
    <w:rsid w:val="009D286F"/>
    <w:rsid w:val="009D346C"/>
    <w:rsid w:val="009D605F"/>
    <w:rsid w:val="009E3255"/>
    <w:rsid w:val="009E51DA"/>
    <w:rsid w:val="009F191F"/>
    <w:rsid w:val="009F249A"/>
    <w:rsid w:val="00A03E32"/>
    <w:rsid w:val="00A0485D"/>
    <w:rsid w:val="00A129FD"/>
    <w:rsid w:val="00A13612"/>
    <w:rsid w:val="00A14AB1"/>
    <w:rsid w:val="00A1502C"/>
    <w:rsid w:val="00A17EF9"/>
    <w:rsid w:val="00A17EFA"/>
    <w:rsid w:val="00A24F0C"/>
    <w:rsid w:val="00A325D6"/>
    <w:rsid w:val="00A3322A"/>
    <w:rsid w:val="00A33EE2"/>
    <w:rsid w:val="00A35170"/>
    <w:rsid w:val="00A414B3"/>
    <w:rsid w:val="00A41625"/>
    <w:rsid w:val="00A42B1E"/>
    <w:rsid w:val="00A4441A"/>
    <w:rsid w:val="00A455DD"/>
    <w:rsid w:val="00A45662"/>
    <w:rsid w:val="00A46567"/>
    <w:rsid w:val="00A54878"/>
    <w:rsid w:val="00A56722"/>
    <w:rsid w:val="00A57E55"/>
    <w:rsid w:val="00A60D44"/>
    <w:rsid w:val="00A66193"/>
    <w:rsid w:val="00A66FBE"/>
    <w:rsid w:val="00A72392"/>
    <w:rsid w:val="00A750DA"/>
    <w:rsid w:val="00A85471"/>
    <w:rsid w:val="00A86A3A"/>
    <w:rsid w:val="00A9475A"/>
    <w:rsid w:val="00A94D72"/>
    <w:rsid w:val="00A97B20"/>
    <w:rsid w:val="00A97CA4"/>
    <w:rsid w:val="00AA117E"/>
    <w:rsid w:val="00AA4D77"/>
    <w:rsid w:val="00AA6E18"/>
    <w:rsid w:val="00AB13D4"/>
    <w:rsid w:val="00AB2100"/>
    <w:rsid w:val="00AB71AF"/>
    <w:rsid w:val="00AB7A12"/>
    <w:rsid w:val="00AC0C91"/>
    <w:rsid w:val="00AC4A21"/>
    <w:rsid w:val="00AC607B"/>
    <w:rsid w:val="00AD1FB7"/>
    <w:rsid w:val="00AD256C"/>
    <w:rsid w:val="00AD35E5"/>
    <w:rsid w:val="00AD545C"/>
    <w:rsid w:val="00AD6239"/>
    <w:rsid w:val="00AD6766"/>
    <w:rsid w:val="00AE1C2D"/>
    <w:rsid w:val="00AE2292"/>
    <w:rsid w:val="00AE7009"/>
    <w:rsid w:val="00AF28CA"/>
    <w:rsid w:val="00AF2EE1"/>
    <w:rsid w:val="00AF3DFA"/>
    <w:rsid w:val="00B006CF"/>
    <w:rsid w:val="00B0573B"/>
    <w:rsid w:val="00B05A85"/>
    <w:rsid w:val="00B0601F"/>
    <w:rsid w:val="00B15439"/>
    <w:rsid w:val="00B179F0"/>
    <w:rsid w:val="00B234F3"/>
    <w:rsid w:val="00B24E0D"/>
    <w:rsid w:val="00B30118"/>
    <w:rsid w:val="00B3101F"/>
    <w:rsid w:val="00B35723"/>
    <w:rsid w:val="00B36969"/>
    <w:rsid w:val="00B36E88"/>
    <w:rsid w:val="00B402C8"/>
    <w:rsid w:val="00B41401"/>
    <w:rsid w:val="00B45BF6"/>
    <w:rsid w:val="00B5155F"/>
    <w:rsid w:val="00B54769"/>
    <w:rsid w:val="00B54EFC"/>
    <w:rsid w:val="00B60194"/>
    <w:rsid w:val="00B614BA"/>
    <w:rsid w:val="00B62A16"/>
    <w:rsid w:val="00B6440C"/>
    <w:rsid w:val="00B70B9E"/>
    <w:rsid w:val="00B71C60"/>
    <w:rsid w:val="00B745ED"/>
    <w:rsid w:val="00B74CB7"/>
    <w:rsid w:val="00B75CC4"/>
    <w:rsid w:val="00B774CE"/>
    <w:rsid w:val="00B77C9B"/>
    <w:rsid w:val="00B8114C"/>
    <w:rsid w:val="00B843B3"/>
    <w:rsid w:val="00B846ED"/>
    <w:rsid w:val="00B85B32"/>
    <w:rsid w:val="00B85C8F"/>
    <w:rsid w:val="00B870BC"/>
    <w:rsid w:val="00B9030E"/>
    <w:rsid w:val="00B92F3E"/>
    <w:rsid w:val="00B936A9"/>
    <w:rsid w:val="00B9411B"/>
    <w:rsid w:val="00B9527B"/>
    <w:rsid w:val="00B9565F"/>
    <w:rsid w:val="00B95C9F"/>
    <w:rsid w:val="00B97ACF"/>
    <w:rsid w:val="00BA479F"/>
    <w:rsid w:val="00BA5527"/>
    <w:rsid w:val="00BA6375"/>
    <w:rsid w:val="00BA7A91"/>
    <w:rsid w:val="00BB2629"/>
    <w:rsid w:val="00BB3C19"/>
    <w:rsid w:val="00BB7A0F"/>
    <w:rsid w:val="00BC1796"/>
    <w:rsid w:val="00BC18FC"/>
    <w:rsid w:val="00BD0F3A"/>
    <w:rsid w:val="00BD158A"/>
    <w:rsid w:val="00BD2BC6"/>
    <w:rsid w:val="00BD5787"/>
    <w:rsid w:val="00BD60A1"/>
    <w:rsid w:val="00BE03FB"/>
    <w:rsid w:val="00BE1B03"/>
    <w:rsid w:val="00BE3013"/>
    <w:rsid w:val="00BE4DAB"/>
    <w:rsid w:val="00BF1252"/>
    <w:rsid w:val="00BF190B"/>
    <w:rsid w:val="00BF3A6D"/>
    <w:rsid w:val="00BF48CC"/>
    <w:rsid w:val="00BF5293"/>
    <w:rsid w:val="00C00F22"/>
    <w:rsid w:val="00C015BD"/>
    <w:rsid w:val="00C02ADD"/>
    <w:rsid w:val="00C06640"/>
    <w:rsid w:val="00C066DB"/>
    <w:rsid w:val="00C13C6C"/>
    <w:rsid w:val="00C13FC2"/>
    <w:rsid w:val="00C15E5B"/>
    <w:rsid w:val="00C17D12"/>
    <w:rsid w:val="00C221A2"/>
    <w:rsid w:val="00C24AD5"/>
    <w:rsid w:val="00C271F8"/>
    <w:rsid w:val="00C321C3"/>
    <w:rsid w:val="00C3304D"/>
    <w:rsid w:val="00C379ED"/>
    <w:rsid w:val="00C42849"/>
    <w:rsid w:val="00C5201E"/>
    <w:rsid w:val="00C54430"/>
    <w:rsid w:val="00C56F35"/>
    <w:rsid w:val="00C5796D"/>
    <w:rsid w:val="00C61210"/>
    <w:rsid w:val="00C661AC"/>
    <w:rsid w:val="00C7146C"/>
    <w:rsid w:val="00C74558"/>
    <w:rsid w:val="00C75FA1"/>
    <w:rsid w:val="00C800D3"/>
    <w:rsid w:val="00C908A4"/>
    <w:rsid w:val="00C91085"/>
    <w:rsid w:val="00C91201"/>
    <w:rsid w:val="00C926B5"/>
    <w:rsid w:val="00C958F8"/>
    <w:rsid w:val="00CA2703"/>
    <w:rsid w:val="00CA3336"/>
    <w:rsid w:val="00CA4E31"/>
    <w:rsid w:val="00CA56EC"/>
    <w:rsid w:val="00CA6017"/>
    <w:rsid w:val="00CB0270"/>
    <w:rsid w:val="00CB151D"/>
    <w:rsid w:val="00CB44FD"/>
    <w:rsid w:val="00CB5C64"/>
    <w:rsid w:val="00CC1EA0"/>
    <w:rsid w:val="00CC2E16"/>
    <w:rsid w:val="00CC3055"/>
    <w:rsid w:val="00CD0F5F"/>
    <w:rsid w:val="00CD1774"/>
    <w:rsid w:val="00CD23B8"/>
    <w:rsid w:val="00CD310C"/>
    <w:rsid w:val="00CD44F9"/>
    <w:rsid w:val="00CE31C3"/>
    <w:rsid w:val="00CE6419"/>
    <w:rsid w:val="00CF4DBF"/>
    <w:rsid w:val="00CF680D"/>
    <w:rsid w:val="00D01550"/>
    <w:rsid w:val="00D04013"/>
    <w:rsid w:val="00D07A62"/>
    <w:rsid w:val="00D118F1"/>
    <w:rsid w:val="00D1211B"/>
    <w:rsid w:val="00D12E30"/>
    <w:rsid w:val="00D20014"/>
    <w:rsid w:val="00D23B9F"/>
    <w:rsid w:val="00D23F2A"/>
    <w:rsid w:val="00D3283A"/>
    <w:rsid w:val="00D401BF"/>
    <w:rsid w:val="00D41C10"/>
    <w:rsid w:val="00D4702F"/>
    <w:rsid w:val="00D47C44"/>
    <w:rsid w:val="00D50A01"/>
    <w:rsid w:val="00D52B55"/>
    <w:rsid w:val="00D532C3"/>
    <w:rsid w:val="00D620D2"/>
    <w:rsid w:val="00D64292"/>
    <w:rsid w:val="00D65EFC"/>
    <w:rsid w:val="00D666A4"/>
    <w:rsid w:val="00D72303"/>
    <w:rsid w:val="00D74F53"/>
    <w:rsid w:val="00D77E22"/>
    <w:rsid w:val="00D81D03"/>
    <w:rsid w:val="00D8646D"/>
    <w:rsid w:val="00D87C01"/>
    <w:rsid w:val="00D92100"/>
    <w:rsid w:val="00D93F98"/>
    <w:rsid w:val="00D96BBB"/>
    <w:rsid w:val="00DA123D"/>
    <w:rsid w:val="00DA402F"/>
    <w:rsid w:val="00DA70E2"/>
    <w:rsid w:val="00DB03EA"/>
    <w:rsid w:val="00DB05C6"/>
    <w:rsid w:val="00DB087D"/>
    <w:rsid w:val="00DB56E9"/>
    <w:rsid w:val="00DB7D05"/>
    <w:rsid w:val="00DC01EA"/>
    <w:rsid w:val="00DC09BE"/>
    <w:rsid w:val="00DC17F7"/>
    <w:rsid w:val="00DC3809"/>
    <w:rsid w:val="00DC5E5D"/>
    <w:rsid w:val="00DC5ED8"/>
    <w:rsid w:val="00DC60C2"/>
    <w:rsid w:val="00DC6489"/>
    <w:rsid w:val="00DC702B"/>
    <w:rsid w:val="00DD0794"/>
    <w:rsid w:val="00DD0C2E"/>
    <w:rsid w:val="00DD786C"/>
    <w:rsid w:val="00DE1DE2"/>
    <w:rsid w:val="00DE261F"/>
    <w:rsid w:val="00DF3062"/>
    <w:rsid w:val="00E00BA6"/>
    <w:rsid w:val="00E02465"/>
    <w:rsid w:val="00E026FE"/>
    <w:rsid w:val="00E05068"/>
    <w:rsid w:val="00E061B6"/>
    <w:rsid w:val="00E12013"/>
    <w:rsid w:val="00E2019B"/>
    <w:rsid w:val="00E25002"/>
    <w:rsid w:val="00E26D7A"/>
    <w:rsid w:val="00E30447"/>
    <w:rsid w:val="00E30589"/>
    <w:rsid w:val="00E343EC"/>
    <w:rsid w:val="00E3476D"/>
    <w:rsid w:val="00E40DEA"/>
    <w:rsid w:val="00E40F50"/>
    <w:rsid w:val="00E41EF2"/>
    <w:rsid w:val="00E430B6"/>
    <w:rsid w:val="00E44524"/>
    <w:rsid w:val="00E53725"/>
    <w:rsid w:val="00E55FE6"/>
    <w:rsid w:val="00E56EAC"/>
    <w:rsid w:val="00E570BD"/>
    <w:rsid w:val="00E60E27"/>
    <w:rsid w:val="00E61522"/>
    <w:rsid w:val="00E633F6"/>
    <w:rsid w:val="00E6587B"/>
    <w:rsid w:val="00E67B92"/>
    <w:rsid w:val="00E75C22"/>
    <w:rsid w:val="00E776F6"/>
    <w:rsid w:val="00E82F76"/>
    <w:rsid w:val="00E8480F"/>
    <w:rsid w:val="00E84878"/>
    <w:rsid w:val="00E863CA"/>
    <w:rsid w:val="00E87571"/>
    <w:rsid w:val="00E91349"/>
    <w:rsid w:val="00E94AA2"/>
    <w:rsid w:val="00EA0033"/>
    <w:rsid w:val="00EA039B"/>
    <w:rsid w:val="00EA1A11"/>
    <w:rsid w:val="00EA314F"/>
    <w:rsid w:val="00EA4361"/>
    <w:rsid w:val="00EA7E24"/>
    <w:rsid w:val="00EB322E"/>
    <w:rsid w:val="00EB474B"/>
    <w:rsid w:val="00EB5F1D"/>
    <w:rsid w:val="00EC3771"/>
    <w:rsid w:val="00ED5548"/>
    <w:rsid w:val="00EE03E5"/>
    <w:rsid w:val="00EE15C0"/>
    <w:rsid w:val="00EE3D68"/>
    <w:rsid w:val="00EE548B"/>
    <w:rsid w:val="00EE54A0"/>
    <w:rsid w:val="00EE7314"/>
    <w:rsid w:val="00EF0302"/>
    <w:rsid w:val="00EF07F1"/>
    <w:rsid w:val="00EF1BC5"/>
    <w:rsid w:val="00EF1D75"/>
    <w:rsid w:val="00EF1E7F"/>
    <w:rsid w:val="00EF510E"/>
    <w:rsid w:val="00EF51DD"/>
    <w:rsid w:val="00EF5EF8"/>
    <w:rsid w:val="00EF62EC"/>
    <w:rsid w:val="00F01E6E"/>
    <w:rsid w:val="00F0649D"/>
    <w:rsid w:val="00F10F6C"/>
    <w:rsid w:val="00F11BFB"/>
    <w:rsid w:val="00F1436E"/>
    <w:rsid w:val="00F1575B"/>
    <w:rsid w:val="00F17AAD"/>
    <w:rsid w:val="00F239F4"/>
    <w:rsid w:val="00F23E14"/>
    <w:rsid w:val="00F240CB"/>
    <w:rsid w:val="00F31E7D"/>
    <w:rsid w:val="00F32971"/>
    <w:rsid w:val="00F46C5F"/>
    <w:rsid w:val="00F52299"/>
    <w:rsid w:val="00F54F29"/>
    <w:rsid w:val="00F60C12"/>
    <w:rsid w:val="00F62BBF"/>
    <w:rsid w:val="00F6756C"/>
    <w:rsid w:val="00F67FC2"/>
    <w:rsid w:val="00F73F2D"/>
    <w:rsid w:val="00F7693F"/>
    <w:rsid w:val="00F80A6C"/>
    <w:rsid w:val="00F83777"/>
    <w:rsid w:val="00F86EF1"/>
    <w:rsid w:val="00F8740A"/>
    <w:rsid w:val="00F87CEB"/>
    <w:rsid w:val="00F90770"/>
    <w:rsid w:val="00F91154"/>
    <w:rsid w:val="00F95128"/>
    <w:rsid w:val="00FA4B18"/>
    <w:rsid w:val="00FA4F90"/>
    <w:rsid w:val="00FA64A6"/>
    <w:rsid w:val="00FB17DD"/>
    <w:rsid w:val="00FB7609"/>
    <w:rsid w:val="00FC056F"/>
    <w:rsid w:val="00FC56CB"/>
    <w:rsid w:val="00FC7963"/>
    <w:rsid w:val="00FD2EAA"/>
    <w:rsid w:val="00FD2F0A"/>
    <w:rsid w:val="00FE0BCA"/>
    <w:rsid w:val="00FE0E5E"/>
    <w:rsid w:val="00FE0F48"/>
    <w:rsid w:val="00FE1E46"/>
    <w:rsid w:val="00FE626A"/>
    <w:rsid w:val="00FF0C5D"/>
    <w:rsid w:val="00FF2835"/>
    <w:rsid w:val="00FF3213"/>
    <w:rsid w:val="00FF5655"/>
    <w:rsid w:val="00FF6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351A68-0DA2-4880-83FC-05955A43D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next w:val="Normal"/>
    <w:link w:val="Heading4Char"/>
    <w:qFormat/>
    <w:rsid w:val="001B7E1F"/>
    <w:pPr>
      <w:keepNext/>
      <w:spacing w:after="0" w:line="240" w:lineRule="auto"/>
      <w:outlineLvl w:val="3"/>
    </w:pPr>
    <w:rPr>
      <w:rFonts w:ascii="Arial" w:eastAsia="Times New Roman" w:hAnsi="Arial" w:cs="Times New Roman"/>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1B7E1F"/>
    <w:rPr>
      <w:rFonts w:ascii="Arial" w:eastAsia="Times New Roman" w:hAnsi="Arial" w:cs="Times New Roman"/>
      <w:sz w:val="28"/>
      <w:szCs w:val="24"/>
      <w:lang w:val="en-GB"/>
    </w:rPr>
  </w:style>
  <w:style w:type="paragraph" w:styleId="BodyText">
    <w:name w:val="Body Text"/>
    <w:basedOn w:val="Normal"/>
    <w:link w:val="BodyTextChar"/>
    <w:rsid w:val="001B7E1F"/>
    <w:pPr>
      <w:spacing w:after="0" w:line="240" w:lineRule="auto"/>
      <w:jc w:val="center"/>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1B7E1F"/>
    <w:rPr>
      <w:rFonts w:ascii="Times New Roman" w:eastAsia="Times New Roman" w:hAnsi="Times New Roman" w:cs="Times New Roman"/>
      <w:sz w:val="24"/>
      <w:szCs w:val="24"/>
      <w:lang w:val="en-GB"/>
    </w:rPr>
  </w:style>
  <w:style w:type="paragraph" w:styleId="BodyTextIndent">
    <w:name w:val="Body Text Indent"/>
    <w:basedOn w:val="Normal"/>
    <w:link w:val="BodyTextIndentChar"/>
    <w:rsid w:val="001B7E1F"/>
    <w:pPr>
      <w:spacing w:after="0" w:line="240" w:lineRule="auto"/>
      <w:ind w:left="1440"/>
    </w:pPr>
    <w:rPr>
      <w:rFonts w:ascii="Times New Roman" w:eastAsia="Times New Roman" w:hAnsi="Times New Roman" w:cs="Times New Roman"/>
      <w:sz w:val="24"/>
      <w:szCs w:val="24"/>
      <w:lang w:val="en-GB"/>
    </w:rPr>
  </w:style>
  <w:style w:type="character" w:customStyle="1" w:styleId="BodyTextIndentChar">
    <w:name w:val="Body Text Indent Char"/>
    <w:basedOn w:val="DefaultParagraphFont"/>
    <w:link w:val="BodyTextIndent"/>
    <w:rsid w:val="001B7E1F"/>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1B7E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7E1F"/>
  </w:style>
  <w:style w:type="paragraph" w:styleId="BalloonText">
    <w:name w:val="Balloon Text"/>
    <w:basedOn w:val="Normal"/>
    <w:link w:val="BalloonTextChar"/>
    <w:uiPriority w:val="99"/>
    <w:semiHidden/>
    <w:unhideWhenUsed/>
    <w:rsid w:val="001B7E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7E1F"/>
    <w:rPr>
      <w:rFonts w:ascii="Tahoma" w:hAnsi="Tahoma" w:cs="Tahoma"/>
      <w:sz w:val="16"/>
      <w:szCs w:val="16"/>
    </w:rPr>
  </w:style>
  <w:style w:type="paragraph" w:styleId="Header">
    <w:name w:val="header"/>
    <w:basedOn w:val="Normal"/>
    <w:link w:val="HeaderChar"/>
    <w:uiPriority w:val="99"/>
    <w:unhideWhenUsed/>
    <w:rsid w:val="00741B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1B0B"/>
  </w:style>
  <w:style w:type="paragraph" w:styleId="ListParagraph">
    <w:name w:val="List Paragraph"/>
    <w:basedOn w:val="Normal"/>
    <w:uiPriority w:val="34"/>
    <w:qFormat/>
    <w:rsid w:val="00DD786C"/>
    <w:pPr>
      <w:ind w:left="720"/>
      <w:contextualSpacing/>
    </w:pPr>
  </w:style>
  <w:style w:type="paragraph" w:styleId="FootnoteText">
    <w:name w:val="footnote text"/>
    <w:basedOn w:val="Normal"/>
    <w:link w:val="FootnoteTextChar"/>
    <w:uiPriority w:val="99"/>
    <w:semiHidden/>
    <w:unhideWhenUsed/>
    <w:rsid w:val="00044A4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44A47"/>
    <w:rPr>
      <w:sz w:val="20"/>
      <w:szCs w:val="20"/>
    </w:rPr>
  </w:style>
  <w:style w:type="character" w:styleId="FootnoteReference">
    <w:name w:val="footnote reference"/>
    <w:basedOn w:val="DefaultParagraphFont"/>
    <w:uiPriority w:val="99"/>
    <w:semiHidden/>
    <w:unhideWhenUsed/>
    <w:rsid w:val="00044A47"/>
    <w:rPr>
      <w:vertAlign w:val="superscript"/>
    </w:rPr>
  </w:style>
  <w:style w:type="character" w:styleId="Hyperlink">
    <w:name w:val="Hyperlink"/>
    <w:basedOn w:val="DefaultParagraphFont"/>
    <w:uiPriority w:val="99"/>
    <w:unhideWhenUsed/>
    <w:rsid w:val="00E56EA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olivier\Desktop\Judgment%20Style%20-%20template\Templates\JUDG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2014-03-25T18:30:00+00:00</Judgment_x0020_Date>
    <Year xmlns="c1afb1bd-f2fb-40fd-9abb-aea55b4d7662">2014</Yea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CC0D95-0F0A-4F32-BAFA-1C0C676831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0f4bd-1162-49ac-b85f-dfe96a90bc01"/>
    <ds:schemaRef ds:uri="c1afb1bd-f2fb-40fd-9abb-aea55b4d76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0A3F69-06E3-40F8-A9E8-B06177A5C5EB}">
  <ds:schemaRefs>
    <ds:schemaRef ds:uri="http://schemas.microsoft.com/office/2006/metadata/properties"/>
    <ds:schemaRef ds:uri="http://schemas.microsoft.com/office/infopath/2007/PartnerControls"/>
    <ds:schemaRef ds:uri="17a0f4bd-1162-49ac-b85f-dfe96a90bc01"/>
    <ds:schemaRef ds:uri="c1afb1bd-f2fb-40fd-9abb-aea55b4d7662"/>
  </ds:schemaRefs>
</ds:datastoreItem>
</file>

<file path=customXml/itemProps3.xml><?xml version="1.0" encoding="utf-8"?>
<ds:datastoreItem xmlns:ds="http://schemas.openxmlformats.org/officeDocument/2006/customXml" ds:itemID="{C11CC080-7D9D-471A-B1D4-654DFE19E094}">
  <ds:schemaRefs>
    <ds:schemaRef ds:uri="http://schemas.microsoft.com/sharepoint/v3/contenttype/forms"/>
  </ds:schemaRefs>
</ds:datastoreItem>
</file>

<file path=customXml/itemProps4.xml><?xml version="1.0" encoding="utf-8"?>
<ds:datastoreItem xmlns:ds="http://schemas.openxmlformats.org/officeDocument/2006/customXml" ds:itemID="{336803D6-67AD-4FE2-9706-7F7767782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 TEMPLATE</Template>
  <TotalTime>1</TotalTime>
  <Pages>8</Pages>
  <Words>1685</Words>
  <Characters>9611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omuleke</dc:creator>
  <cp:lastModifiedBy>Carmel</cp:lastModifiedBy>
  <cp:revision>2</cp:revision>
  <cp:lastPrinted>2014-03-26T07:45:00Z</cp:lastPrinted>
  <dcterms:created xsi:type="dcterms:W3CDTF">2018-07-05T23:23:00Z</dcterms:created>
  <dcterms:modified xsi:type="dcterms:W3CDTF">2018-07-05T23:23:00Z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