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FCC" w:rsidRPr="00606A36" w:rsidRDefault="00106FCC" w:rsidP="00106FCC">
      <w:pPr>
        <w:tabs>
          <w:tab w:val="center" w:pos="4513"/>
          <w:tab w:val="left" w:pos="8220"/>
        </w:tabs>
        <w:spacing w:after="0" w:line="360" w:lineRule="auto"/>
        <w:jc w:val="center"/>
        <w:rPr>
          <w:rFonts w:ascii="Arial" w:eastAsia="Calibri" w:hAnsi="Arial" w:cs="Arial"/>
          <w:b/>
          <w:sz w:val="24"/>
          <w:szCs w:val="24"/>
          <w:lang w:val="en-US"/>
        </w:rPr>
      </w:pPr>
      <w:r w:rsidRPr="00606A36">
        <w:rPr>
          <w:rFonts w:ascii="Arial" w:eastAsia="Calibri" w:hAnsi="Arial" w:cs="Arial"/>
          <w:b/>
          <w:sz w:val="24"/>
          <w:szCs w:val="24"/>
          <w:lang w:val="en-US"/>
        </w:rPr>
        <w:t>REPUBLIC OF NAMIBIA</w:t>
      </w:r>
    </w:p>
    <w:p w:rsidR="00106FCC" w:rsidRPr="00606A36" w:rsidRDefault="004D0FA3" w:rsidP="00106FCC">
      <w:pPr>
        <w:spacing w:after="0" w:line="360" w:lineRule="auto"/>
        <w:jc w:val="center"/>
        <w:rPr>
          <w:rFonts w:ascii="Arial" w:eastAsia="Calibri" w:hAnsi="Arial" w:cs="Arial"/>
          <w:b/>
          <w:sz w:val="32"/>
          <w:szCs w:val="32"/>
          <w:lang w:val="en-US"/>
        </w:rPr>
      </w:pPr>
      <w:r>
        <w:rPr>
          <w:rFonts w:ascii="Arial" w:eastAsia="Calibri" w:hAnsi="Arial" w:cs="Arial"/>
          <w:b/>
          <w:noProof/>
          <w:sz w:val="32"/>
          <w:szCs w:val="32"/>
          <w:lang w:eastAsia="en-ZA"/>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06FCC" w:rsidRPr="00606A36" w:rsidRDefault="00106FCC" w:rsidP="00106FCC">
      <w:pPr>
        <w:spacing w:after="0" w:line="360" w:lineRule="auto"/>
        <w:jc w:val="center"/>
        <w:rPr>
          <w:rFonts w:ascii="Arial" w:eastAsia="Calibri" w:hAnsi="Arial" w:cs="Arial"/>
          <w:b/>
          <w:sz w:val="28"/>
          <w:szCs w:val="32"/>
          <w:lang w:val="en-US"/>
        </w:rPr>
      </w:pPr>
    </w:p>
    <w:p w:rsidR="00106FCC" w:rsidRPr="00606A36" w:rsidRDefault="00106FCC" w:rsidP="00106FCC">
      <w:pPr>
        <w:spacing w:after="0" w:line="360" w:lineRule="auto"/>
        <w:jc w:val="center"/>
        <w:rPr>
          <w:rFonts w:ascii="Arial" w:eastAsia="Calibri" w:hAnsi="Arial" w:cs="Arial"/>
          <w:bCs/>
          <w:sz w:val="24"/>
          <w:szCs w:val="24"/>
          <w:lang w:val="en-US"/>
        </w:rPr>
      </w:pPr>
      <w:r w:rsidRPr="00606A36">
        <w:rPr>
          <w:rFonts w:ascii="Arial" w:eastAsia="Calibri" w:hAnsi="Arial" w:cs="Arial"/>
          <w:b/>
          <w:sz w:val="24"/>
          <w:szCs w:val="24"/>
          <w:lang w:val="en-US"/>
        </w:rPr>
        <w:t>HIGH COURT OF NAMIBIA MAIN DIVISION, WINDHOEK</w:t>
      </w:r>
    </w:p>
    <w:p w:rsidR="00106FCC" w:rsidRDefault="00106FCC" w:rsidP="00106FCC">
      <w:pPr>
        <w:spacing w:after="0" w:line="360" w:lineRule="auto"/>
        <w:jc w:val="center"/>
        <w:rPr>
          <w:rFonts w:ascii="Arial" w:eastAsia="Calibri" w:hAnsi="Arial" w:cs="Arial"/>
          <w:b/>
          <w:sz w:val="24"/>
          <w:szCs w:val="24"/>
          <w:lang w:val="en-US"/>
        </w:rPr>
      </w:pPr>
    </w:p>
    <w:p w:rsidR="00106FCC" w:rsidRPr="00606A36" w:rsidRDefault="00106FCC" w:rsidP="00106FCC">
      <w:pPr>
        <w:spacing w:after="0" w:line="360" w:lineRule="auto"/>
        <w:jc w:val="center"/>
        <w:rPr>
          <w:rFonts w:ascii="Arial" w:eastAsia="Calibri" w:hAnsi="Arial" w:cs="Arial"/>
          <w:b/>
          <w:sz w:val="24"/>
          <w:szCs w:val="24"/>
          <w:lang w:val="en-US"/>
        </w:rPr>
      </w:pPr>
      <w:r>
        <w:rPr>
          <w:rFonts w:ascii="Arial" w:eastAsia="Calibri" w:hAnsi="Arial" w:cs="Arial"/>
          <w:b/>
          <w:sz w:val="24"/>
          <w:szCs w:val="24"/>
          <w:lang w:val="en-US"/>
        </w:rPr>
        <w:t>JUDGMENT</w:t>
      </w:r>
    </w:p>
    <w:p w:rsidR="00106FCC" w:rsidRPr="00606A36" w:rsidRDefault="00106FCC" w:rsidP="00106FCC">
      <w:pPr>
        <w:tabs>
          <w:tab w:val="left" w:pos="3270"/>
          <w:tab w:val="center" w:pos="4513"/>
        </w:tabs>
        <w:spacing w:after="0" w:line="360" w:lineRule="auto"/>
        <w:rPr>
          <w:rFonts w:ascii="Arial" w:eastAsia="Calibri" w:hAnsi="Arial" w:cs="Arial"/>
          <w:b/>
          <w:sz w:val="24"/>
          <w:szCs w:val="24"/>
          <w:lang w:val="en-US"/>
        </w:rPr>
      </w:pPr>
      <w:r w:rsidRPr="00606A36">
        <w:rPr>
          <w:rFonts w:ascii="Arial" w:eastAsia="Calibri" w:hAnsi="Arial" w:cs="Arial"/>
          <w:b/>
          <w:sz w:val="24"/>
          <w:szCs w:val="24"/>
          <w:lang w:val="en-US"/>
        </w:rPr>
        <w:tab/>
      </w:r>
    </w:p>
    <w:p w:rsidR="00106FCC" w:rsidRPr="00606A36" w:rsidRDefault="00106FCC" w:rsidP="00106FCC">
      <w:pPr>
        <w:tabs>
          <w:tab w:val="right" w:pos="9000"/>
        </w:tabs>
        <w:spacing w:after="0" w:line="360" w:lineRule="auto"/>
        <w:jc w:val="center"/>
        <w:rPr>
          <w:rFonts w:ascii="Arial" w:eastAsia="Calibri" w:hAnsi="Arial" w:cs="Arial"/>
          <w:b/>
          <w:sz w:val="24"/>
          <w:szCs w:val="24"/>
          <w:lang w:val="en-US"/>
        </w:rPr>
      </w:pPr>
      <w:r w:rsidRPr="00606A36">
        <w:rPr>
          <w:rFonts w:ascii="Arial" w:eastAsia="Calibri" w:hAnsi="Arial" w:cs="Arial"/>
          <w:b/>
          <w:sz w:val="24"/>
          <w:szCs w:val="24"/>
          <w:lang w:val="en-US"/>
        </w:rPr>
        <w:tab/>
      </w:r>
    </w:p>
    <w:p w:rsidR="00106FCC" w:rsidRPr="005E4FA3" w:rsidRDefault="00106FCC" w:rsidP="00106FCC">
      <w:pPr>
        <w:tabs>
          <w:tab w:val="right" w:pos="9000"/>
        </w:tabs>
        <w:spacing w:after="0" w:line="360" w:lineRule="auto"/>
        <w:jc w:val="center"/>
        <w:rPr>
          <w:rFonts w:ascii="Arial" w:hAnsi="Arial" w:cs="Arial"/>
          <w:b/>
          <w:sz w:val="24"/>
          <w:szCs w:val="24"/>
        </w:rPr>
      </w:pPr>
      <w:r w:rsidRPr="005E4FA3">
        <w:rPr>
          <w:rFonts w:ascii="Arial" w:hAnsi="Arial" w:cs="Arial"/>
          <w:b/>
          <w:sz w:val="24"/>
          <w:szCs w:val="24"/>
        </w:rPr>
        <w:tab/>
      </w:r>
      <w:r w:rsidRPr="005E4FA3">
        <w:rPr>
          <w:rFonts w:ascii="Arial" w:hAnsi="Arial" w:cs="Arial"/>
          <w:sz w:val="24"/>
          <w:szCs w:val="24"/>
        </w:rPr>
        <w:t xml:space="preserve">Case no: I </w:t>
      </w:r>
      <w:r>
        <w:rPr>
          <w:rFonts w:ascii="Arial" w:hAnsi="Arial" w:cs="Arial"/>
          <w:sz w:val="24"/>
          <w:szCs w:val="24"/>
        </w:rPr>
        <w:t>2097/2014</w:t>
      </w:r>
    </w:p>
    <w:p w:rsidR="00106FCC" w:rsidRPr="005E4FA3" w:rsidRDefault="00106FCC" w:rsidP="00106FCC">
      <w:pPr>
        <w:spacing w:after="0" w:line="360" w:lineRule="auto"/>
        <w:rPr>
          <w:rFonts w:ascii="Arial" w:hAnsi="Arial" w:cs="Arial"/>
          <w:sz w:val="24"/>
          <w:szCs w:val="24"/>
        </w:rPr>
      </w:pPr>
    </w:p>
    <w:p w:rsidR="00106FCC" w:rsidRPr="005E4FA3" w:rsidRDefault="00106FCC" w:rsidP="00106FCC">
      <w:pPr>
        <w:spacing w:after="0" w:line="360" w:lineRule="auto"/>
        <w:rPr>
          <w:rFonts w:ascii="Arial" w:hAnsi="Arial" w:cs="Arial"/>
          <w:sz w:val="24"/>
          <w:szCs w:val="24"/>
        </w:rPr>
      </w:pPr>
      <w:r w:rsidRPr="005E4FA3">
        <w:rPr>
          <w:rFonts w:ascii="Arial" w:hAnsi="Arial" w:cs="Arial"/>
          <w:sz w:val="24"/>
          <w:szCs w:val="24"/>
        </w:rPr>
        <w:t>In the matter between:</w:t>
      </w:r>
    </w:p>
    <w:p w:rsidR="00106FCC" w:rsidRPr="005E4FA3" w:rsidRDefault="00106FCC" w:rsidP="00106FCC">
      <w:pPr>
        <w:spacing w:after="0" w:line="360" w:lineRule="auto"/>
        <w:rPr>
          <w:rFonts w:ascii="Arial" w:hAnsi="Arial" w:cs="Arial"/>
          <w:sz w:val="24"/>
          <w:szCs w:val="24"/>
        </w:rPr>
      </w:pPr>
    </w:p>
    <w:p w:rsidR="00106FCC" w:rsidRPr="005E4FA3" w:rsidRDefault="00106FCC" w:rsidP="00106FCC">
      <w:pPr>
        <w:pStyle w:val="Heading4"/>
        <w:tabs>
          <w:tab w:val="right" w:pos="9000"/>
        </w:tabs>
        <w:spacing w:line="360" w:lineRule="auto"/>
        <w:jc w:val="both"/>
        <w:rPr>
          <w:rFonts w:cs="Arial"/>
          <w:b/>
          <w:sz w:val="24"/>
        </w:rPr>
      </w:pPr>
      <w:r>
        <w:rPr>
          <w:rFonts w:cs="Arial"/>
          <w:b/>
          <w:sz w:val="24"/>
        </w:rPr>
        <w:t>RAIMO NAANDA                                                                       FIRST APPLICANT</w:t>
      </w:r>
    </w:p>
    <w:p w:rsidR="00106FCC" w:rsidRPr="00C334E1" w:rsidRDefault="00106FCC" w:rsidP="00106FCC">
      <w:pPr>
        <w:spacing w:after="0" w:line="360" w:lineRule="auto"/>
        <w:jc w:val="both"/>
        <w:rPr>
          <w:rFonts w:ascii="Arial" w:hAnsi="Arial" w:cs="Arial"/>
          <w:b/>
          <w:sz w:val="24"/>
          <w:szCs w:val="24"/>
        </w:rPr>
      </w:pPr>
      <w:r w:rsidRPr="00C334E1">
        <w:rPr>
          <w:rFonts w:ascii="Arial" w:hAnsi="Arial" w:cs="Arial"/>
          <w:b/>
          <w:sz w:val="24"/>
          <w:szCs w:val="24"/>
        </w:rPr>
        <w:t>IRMA NDATEGA NAANDA</w:t>
      </w:r>
      <w:r w:rsidRPr="00C334E1">
        <w:rPr>
          <w:rFonts w:ascii="Arial" w:hAnsi="Arial" w:cs="Arial"/>
          <w:b/>
          <w:sz w:val="24"/>
          <w:szCs w:val="24"/>
        </w:rPr>
        <w:tab/>
      </w:r>
      <w:r w:rsidRPr="00C334E1">
        <w:rPr>
          <w:rFonts w:ascii="Arial" w:hAnsi="Arial" w:cs="Arial"/>
          <w:b/>
          <w:sz w:val="24"/>
          <w:szCs w:val="24"/>
        </w:rPr>
        <w:tab/>
      </w:r>
      <w:r w:rsidRPr="00C334E1">
        <w:rPr>
          <w:rFonts w:ascii="Arial" w:hAnsi="Arial" w:cs="Arial"/>
          <w:b/>
          <w:sz w:val="24"/>
          <w:szCs w:val="24"/>
        </w:rPr>
        <w:tab/>
      </w:r>
      <w:r w:rsidRPr="00C334E1">
        <w:rPr>
          <w:rFonts w:ascii="Arial" w:hAnsi="Arial" w:cs="Arial"/>
          <w:b/>
          <w:sz w:val="24"/>
          <w:szCs w:val="24"/>
        </w:rPr>
        <w:tab/>
      </w:r>
      <w:r w:rsidR="00EF77F3">
        <w:rPr>
          <w:rFonts w:ascii="Arial" w:hAnsi="Arial" w:cs="Arial"/>
          <w:b/>
          <w:sz w:val="24"/>
          <w:szCs w:val="24"/>
        </w:rPr>
        <w:t xml:space="preserve">         </w:t>
      </w:r>
      <w:r w:rsidRPr="00C334E1">
        <w:rPr>
          <w:rFonts w:ascii="Arial" w:hAnsi="Arial" w:cs="Arial"/>
          <w:b/>
          <w:sz w:val="24"/>
          <w:szCs w:val="24"/>
        </w:rPr>
        <w:t>SECOND APPLICANT</w:t>
      </w:r>
    </w:p>
    <w:p w:rsidR="00106FCC" w:rsidRDefault="00106FCC" w:rsidP="00106FCC">
      <w:pPr>
        <w:spacing w:after="0" w:line="360" w:lineRule="auto"/>
        <w:jc w:val="both"/>
        <w:rPr>
          <w:rFonts w:ascii="Arial" w:hAnsi="Arial" w:cs="Arial"/>
          <w:sz w:val="24"/>
          <w:szCs w:val="24"/>
        </w:rPr>
      </w:pPr>
    </w:p>
    <w:p w:rsidR="00106FCC" w:rsidRPr="005E4FA3" w:rsidRDefault="00106FCC" w:rsidP="00106FCC">
      <w:pPr>
        <w:spacing w:after="0" w:line="360" w:lineRule="auto"/>
        <w:jc w:val="both"/>
        <w:rPr>
          <w:rFonts w:ascii="Arial" w:hAnsi="Arial" w:cs="Arial"/>
          <w:sz w:val="24"/>
          <w:szCs w:val="24"/>
        </w:rPr>
      </w:pPr>
      <w:r w:rsidRPr="005E4FA3">
        <w:rPr>
          <w:rFonts w:ascii="Arial" w:hAnsi="Arial" w:cs="Arial"/>
          <w:sz w:val="24"/>
          <w:szCs w:val="24"/>
        </w:rPr>
        <w:t>and</w:t>
      </w:r>
    </w:p>
    <w:p w:rsidR="00106FCC" w:rsidRPr="005E4FA3" w:rsidRDefault="00106FCC" w:rsidP="00106FCC">
      <w:pPr>
        <w:tabs>
          <w:tab w:val="right" w:pos="9000"/>
        </w:tabs>
        <w:spacing w:after="0" w:line="360" w:lineRule="auto"/>
        <w:jc w:val="both"/>
        <w:rPr>
          <w:rFonts w:ascii="Arial" w:hAnsi="Arial" w:cs="Arial"/>
          <w:b/>
          <w:sz w:val="24"/>
          <w:szCs w:val="24"/>
        </w:rPr>
      </w:pPr>
    </w:p>
    <w:p w:rsidR="00106FCC" w:rsidRDefault="00106FCC" w:rsidP="00106FCC">
      <w:pPr>
        <w:tabs>
          <w:tab w:val="right" w:pos="9000"/>
        </w:tabs>
        <w:spacing w:after="0" w:line="360" w:lineRule="auto"/>
        <w:jc w:val="both"/>
        <w:rPr>
          <w:rFonts w:ascii="Arial" w:hAnsi="Arial" w:cs="Arial"/>
          <w:b/>
          <w:sz w:val="24"/>
          <w:szCs w:val="24"/>
        </w:rPr>
      </w:pPr>
      <w:r>
        <w:rPr>
          <w:rFonts w:ascii="Arial" w:hAnsi="Arial" w:cs="Arial"/>
          <w:b/>
          <w:sz w:val="24"/>
          <w:szCs w:val="24"/>
        </w:rPr>
        <w:t>ALBINUS INDILA EDWARD</w:t>
      </w:r>
      <w:r w:rsidRPr="005E4FA3">
        <w:rPr>
          <w:rFonts w:ascii="Arial" w:hAnsi="Arial" w:cs="Arial"/>
          <w:b/>
          <w:sz w:val="24"/>
          <w:szCs w:val="24"/>
        </w:rPr>
        <w:tab/>
      </w:r>
      <w:r>
        <w:rPr>
          <w:rFonts w:ascii="Arial" w:hAnsi="Arial" w:cs="Arial"/>
          <w:b/>
          <w:sz w:val="24"/>
          <w:szCs w:val="24"/>
        </w:rPr>
        <w:t>FIRST RESPONDENT</w:t>
      </w:r>
    </w:p>
    <w:p w:rsidR="00106FCC" w:rsidRDefault="00106FCC" w:rsidP="00106FCC">
      <w:pPr>
        <w:tabs>
          <w:tab w:val="right" w:pos="9000"/>
        </w:tabs>
        <w:spacing w:after="0" w:line="360" w:lineRule="auto"/>
        <w:jc w:val="both"/>
        <w:rPr>
          <w:rFonts w:ascii="Arial" w:hAnsi="Arial" w:cs="Arial"/>
          <w:b/>
          <w:sz w:val="24"/>
          <w:szCs w:val="24"/>
        </w:rPr>
      </w:pPr>
      <w:r>
        <w:rPr>
          <w:rFonts w:ascii="Arial" w:hAnsi="Arial" w:cs="Arial"/>
          <w:b/>
          <w:sz w:val="24"/>
          <w:szCs w:val="24"/>
        </w:rPr>
        <w:t>BERTHA INODHIMBWANDJE KADHILA</w:t>
      </w:r>
      <w:r>
        <w:rPr>
          <w:rFonts w:ascii="Arial" w:hAnsi="Arial" w:cs="Arial"/>
          <w:b/>
          <w:sz w:val="24"/>
          <w:szCs w:val="24"/>
        </w:rPr>
        <w:tab/>
        <w:t>SECOND RESPONDENT</w:t>
      </w:r>
    </w:p>
    <w:p w:rsidR="00106FCC" w:rsidRDefault="00106FCC" w:rsidP="00106FCC">
      <w:pPr>
        <w:tabs>
          <w:tab w:val="right" w:pos="9000"/>
        </w:tabs>
        <w:spacing w:after="0" w:line="360" w:lineRule="auto"/>
        <w:jc w:val="both"/>
        <w:rPr>
          <w:rFonts w:ascii="Arial" w:hAnsi="Arial" w:cs="Arial"/>
          <w:b/>
          <w:sz w:val="24"/>
          <w:szCs w:val="24"/>
        </w:rPr>
      </w:pPr>
      <w:r>
        <w:rPr>
          <w:rFonts w:ascii="Arial" w:hAnsi="Arial" w:cs="Arial"/>
          <w:b/>
          <w:sz w:val="24"/>
          <w:szCs w:val="24"/>
        </w:rPr>
        <w:t>SUAMA NDATAAMBA KAPOLO</w:t>
      </w:r>
      <w:r>
        <w:rPr>
          <w:rFonts w:ascii="Arial" w:hAnsi="Arial" w:cs="Arial"/>
          <w:b/>
          <w:sz w:val="24"/>
          <w:szCs w:val="24"/>
        </w:rPr>
        <w:tab/>
        <w:t>THIRD RESPONDENT</w:t>
      </w:r>
    </w:p>
    <w:p w:rsidR="00106FCC" w:rsidRDefault="00106FCC" w:rsidP="00106FCC">
      <w:pPr>
        <w:tabs>
          <w:tab w:val="right" w:pos="9000"/>
        </w:tabs>
        <w:spacing w:after="0" w:line="360" w:lineRule="auto"/>
        <w:jc w:val="both"/>
        <w:rPr>
          <w:rFonts w:ascii="Arial" w:hAnsi="Arial" w:cs="Arial"/>
          <w:b/>
          <w:sz w:val="24"/>
          <w:szCs w:val="24"/>
        </w:rPr>
      </w:pPr>
      <w:r>
        <w:rPr>
          <w:rFonts w:ascii="Arial" w:hAnsi="Arial" w:cs="Arial"/>
          <w:b/>
          <w:sz w:val="24"/>
          <w:szCs w:val="24"/>
        </w:rPr>
        <w:t>HUMAN CAPITAL FISHING COMPANY CC</w:t>
      </w:r>
      <w:r>
        <w:rPr>
          <w:rFonts w:ascii="Arial" w:hAnsi="Arial" w:cs="Arial"/>
          <w:b/>
          <w:sz w:val="24"/>
          <w:szCs w:val="24"/>
        </w:rPr>
        <w:tab/>
        <w:t>FOURTH RESPONDENT</w:t>
      </w:r>
    </w:p>
    <w:p w:rsidR="00106FCC" w:rsidRDefault="00106FCC" w:rsidP="00106FCC">
      <w:pPr>
        <w:tabs>
          <w:tab w:val="right" w:pos="9000"/>
        </w:tabs>
        <w:spacing w:after="0" w:line="360" w:lineRule="auto"/>
        <w:jc w:val="both"/>
        <w:rPr>
          <w:rFonts w:ascii="Arial" w:hAnsi="Arial" w:cs="Arial"/>
          <w:b/>
          <w:sz w:val="24"/>
          <w:szCs w:val="24"/>
        </w:rPr>
      </w:pPr>
    </w:p>
    <w:p w:rsidR="00106FCC" w:rsidRDefault="00106FCC" w:rsidP="00106FCC">
      <w:pPr>
        <w:tabs>
          <w:tab w:val="right" w:pos="9000"/>
        </w:tabs>
        <w:spacing w:after="0" w:line="360" w:lineRule="auto"/>
        <w:jc w:val="both"/>
        <w:rPr>
          <w:rFonts w:ascii="Arial" w:hAnsi="Arial" w:cs="Arial"/>
          <w:b/>
          <w:sz w:val="24"/>
          <w:szCs w:val="24"/>
        </w:rPr>
      </w:pPr>
    </w:p>
    <w:p w:rsidR="00106FCC" w:rsidRDefault="002A5A36" w:rsidP="00106FCC">
      <w:pPr>
        <w:tabs>
          <w:tab w:val="right" w:pos="9000"/>
        </w:tabs>
        <w:spacing w:after="0" w:line="360" w:lineRule="auto"/>
        <w:jc w:val="both"/>
        <w:rPr>
          <w:rFonts w:ascii="Arial" w:hAnsi="Arial" w:cs="Arial"/>
          <w:i/>
          <w:sz w:val="24"/>
          <w:szCs w:val="24"/>
          <w:lang w:val="en-US"/>
        </w:rPr>
      </w:pPr>
      <w:r w:rsidRPr="002A5A36">
        <w:rPr>
          <w:rFonts w:ascii="Arial" w:hAnsi="Arial" w:cs="Arial"/>
          <w:b/>
          <w:i/>
          <w:sz w:val="24"/>
          <w:szCs w:val="24"/>
        </w:rPr>
        <w:t>Neutral Citation:</w:t>
      </w:r>
      <w:r w:rsidR="00C023FC">
        <w:rPr>
          <w:rFonts w:ascii="Arial" w:hAnsi="Arial" w:cs="Arial"/>
          <w:b/>
          <w:i/>
          <w:sz w:val="24"/>
          <w:szCs w:val="24"/>
        </w:rPr>
        <w:tab/>
      </w:r>
      <w:r w:rsidR="00EF77F3">
        <w:rPr>
          <w:rFonts w:ascii="Arial" w:hAnsi="Arial" w:cs="Arial"/>
          <w:b/>
          <w:i/>
          <w:sz w:val="24"/>
          <w:szCs w:val="24"/>
        </w:rPr>
        <w:t xml:space="preserve"> </w:t>
      </w:r>
      <w:r w:rsidR="00106FCC">
        <w:rPr>
          <w:rFonts w:ascii="Arial" w:hAnsi="Arial" w:cs="Arial"/>
          <w:i/>
          <w:sz w:val="24"/>
          <w:szCs w:val="24"/>
        </w:rPr>
        <w:t>Naanda v Edward (</w:t>
      </w:r>
      <w:r w:rsidR="00106FCC" w:rsidRPr="001E3BCF">
        <w:rPr>
          <w:rFonts w:ascii="Arial" w:hAnsi="Arial" w:cs="Arial"/>
          <w:i/>
          <w:sz w:val="24"/>
          <w:szCs w:val="24"/>
          <w:lang w:val="en-US"/>
        </w:rPr>
        <w:t xml:space="preserve">I </w:t>
      </w:r>
      <w:r w:rsidR="00106FCC">
        <w:rPr>
          <w:rFonts w:ascii="Arial" w:hAnsi="Arial" w:cs="Arial"/>
          <w:i/>
          <w:sz w:val="24"/>
          <w:szCs w:val="24"/>
          <w:lang w:val="en-US"/>
        </w:rPr>
        <w:t xml:space="preserve">2097//2014) [2017] NAHCMD </w:t>
      </w:r>
      <w:r w:rsidR="00DB3737">
        <w:rPr>
          <w:rFonts w:ascii="Arial" w:hAnsi="Arial" w:cs="Arial"/>
          <w:i/>
          <w:sz w:val="24"/>
          <w:szCs w:val="24"/>
          <w:lang w:val="en-US"/>
        </w:rPr>
        <w:t>107</w:t>
      </w:r>
      <w:r w:rsidR="00106FCC" w:rsidRPr="001E3BCF">
        <w:rPr>
          <w:rFonts w:ascii="Arial" w:hAnsi="Arial" w:cs="Arial"/>
          <w:i/>
          <w:sz w:val="24"/>
          <w:szCs w:val="24"/>
          <w:lang w:val="en-US"/>
        </w:rPr>
        <w:t xml:space="preserve"> (</w:t>
      </w:r>
      <w:r w:rsidR="00C07E0E">
        <w:rPr>
          <w:rFonts w:ascii="Arial" w:hAnsi="Arial" w:cs="Arial"/>
          <w:i/>
          <w:sz w:val="24"/>
          <w:szCs w:val="24"/>
          <w:lang w:val="en-US"/>
        </w:rPr>
        <w:t>22</w:t>
      </w:r>
      <w:r w:rsidR="00106FCC" w:rsidRPr="001E3BCF">
        <w:rPr>
          <w:rFonts w:ascii="Arial" w:hAnsi="Arial" w:cs="Arial"/>
          <w:i/>
          <w:sz w:val="24"/>
          <w:szCs w:val="24"/>
          <w:lang w:val="en-US"/>
        </w:rPr>
        <w:t xml:space="preserve"> March 2017)</w:t>
      </w:r>
    </w:p>
    <w:p w:rsidR="006B4FDD" w:rsidRDefault="006B4FDD" w:rsidP="00106FCC">
      <w:pPr>
        <w:tabs>
          <w:tab w:val="right" w:pos="9000"/>
        </w:tabs>
        <w:spacing w:after="0" w:line="360" w:lineRule="auto"/>
        <w:jc w:val="both"/>
        <w:rPr>
          <w:rFonts w:ascii="Arial" w:hAnsi="Arial" w:cs="Arial"/>
          <w:i/>
          <w:sz w:val="24"/>
          <w:szCs w:val="24"/>
          <w:lang w:val="en-US"/>
        </w:rPr>
      </w:pPr>
    </w:p>
    <w:p w:rsidR="00106FCC" w:rsidRPr="00106FCC" w:rsidRDefault="002A5A36" w:rsidP="00106FCC">
      <w:pPr>
        <w:tabs>
          <w:tab w:val="right" w:pos="9000"/>
        </w:tabs>
        <w:spacing w:after="0" w:line="360" w:lineRule="auto"/>
        <w:jc w:val="both"/>
        <w:rPr>
          <w:rFonts w:ascii="Arial" w:hAnsi="Arial" w:cs="Arial"/>
          <w:b/>
          <w:sz w:val="24"/>
          <w:szCs w:val="24"/>
        </w:rPr>
      </w:pPr>
      <w:r w:rsidRPr="002A5A36">
        <w:rPr>
          <w:rFonts w:ascii="Arial" w:hAnsi="Arial" w:cs="Arial"/>
          <w:b/>
          <w:sz w:val="24"/>
          <w:szCs w:val="24"/>
          <w:lang w:val="en-US"/>
        </w:rPr>
        <w:t>Coram:</w:t>
      </w:r>
      <w:r w:rsidR="00EF77F3">
        <w:rPr>
          <w:rFonts w:ascii="Arial" w:hAnsi="Arial" w:cs="Arial"/>
          <w:b/>
          <w:sz w:val="24"/>
          <w:szCs w:val="24"/>
          <w:lang w:val="en-US"/>
        </w:rPr>
        <w:t xml:space="preserve"> </w:t>
      </w:r>
      <w:r w:rsidR="00E67B8D">
        <w:rPr>
          <w:rFonts w:ascii="Arial" w:hAnsi="Arial" w:cs="Arial"/>
          <w:b/>
          <w:sz w:val="24"/>
          <w:szCs w:val="24"/>
          <w:lang w:val="en-US"/>
        </w:rPr>
        <w:t xml:space="preserve">       </w:t>
      </w:r>
      <w:r w:rsidRPr="002A5A36">
        <w:rPr>
          <w:rFonts w:ascii="Arial" w:hAnsi="Arial" w:cs="Arial"/>
          <w:b/>
          <w:sz w:val="24"/>
          <w:szCs w:val="24"/>
          <w:lang w:val="en-US"/>
        </w:rPr>
        <w:t>Prinsloo</w:t>
      </w:r>
      <w:r w:rsidR="00C07E0E">
        <w:rPr>
          <w:rFonts w:ascii="Arial" w:hAnsi="Arial" w:cs="Arial"/>
          <w:b/>
          <w:sz w:val="24"/>
          <w:szCs w:val="24"/>
          <w:lang w:val="en-US"/>
        </w:rPr>
        <w:t>,</w:t>
      </w:r>
      <w:r w:rsidRPr="002A5A36">
        <w:rPr>
          <w:rFonts w:ascii="Arial" w:hAnsi="Arial" w:cs="Arial"/>
          <w:b/>
          <w:sz w:val="24"/>
          <w:szCs w:val="24"/>
          <w:lang w:val="en-US"/>
        </w:rPr>
        <w:t xml:space="preserve"> AJ</w:t>
      </w:r>
      <w:bookmarkStart w:id="0" w:name="_GoBack"/>
      <w:bookmarkEnd w:id="0"/>
    </w:p>
    <w:p w:rsidR="00C334E1" w:rsidRDefault="00C334E1" w:rsidP="00C334E1">
      <w:pPr>
        <w:tabs>
          <w:tab w:val="right" w:pos="9000"/>
        </w:tabs>
        <w:spacing w:after="0" w:line="360" w:lineRule="auto"/>
        <w:jc w:val="both"/>
        <w:rPr>
          <w:rFonts w:ascii="Arial" w:hAnsi="Arial" w:cs="Arial"/>
          <w:b/>
          <w:sz w:val="24"/>
          <w:szCs w:val="24"/>
        </w:rPr>
      </w:pPr>
      <w:r>
        <w:rPr>
          <w:rFonts w:ascii="Arial" w:hAnsi="Arial" w:cs="Arial"/>
          <w:b/>
          <w:sz w:val="24"/>
          <w:szCs w:val="24"/>
        </w:rPr>
        <w:t xml:space="preserve">Heard: </w:t>
      </w:r>
      <w:r w:rsidR="00E67B8D">
        <w:rPr>
          <w:rFonts w:ascii="Arial" w:hAnsi="Arial" w:cs="Arial"/>
          <w:b/>
          <w:sz w:val="24"/>
          <w:szCs w:val="24"/>
        </w:rPr>
        <w:t xml:space="preserve">        </w:t>
      </w:r>
      <w:r>
        <w:rPr>
          <w:rFonts w:ascii="Arial" w:hAnsi="Arial" w:cs="Arial"/>
          <w:b/>
          <w:sz w:val="24"/>
          <w:szCs w:val="24"/>
        </w:rPr>
        <w:t>2017/03/08</w:t>
      </w:r>
    </w:p>
    <w:p w:rsidR="00D63C9D" w:rsidRDefault="00D63C9D" w:rsidP="00C334E1">
      <w:pPr>
        <w:tabs>
          <w:tab w:val="right" w:pos="9000"/>
        </w:tabs>
        <w:spacing w:after="0" w:line="360" w:lineRule="auto"/>
        <w:jc w:val="both"/>
        <w:rPr>
          <w:rFonts w:ascii="Arial" w:hAnsi="Arial" w:cs="Arial"/>
          <w:b/>
          <w:sz w:val="24"/>
          <w:szCs w:val="24"/>
        </w:rPr>
      </w:pPr>
      <w:r>
        <w:rPr>
          <w:rFonts w:ascii="Arial" w:hAnsi="Arial" w:cs="Arial"/>
          <w:b/>
          <w:sz w:val="24"/>
          <w:szCs w:val="24"/>
        </w:rPr>
        <w:t>Delivered:</w:t>
      </w:r>
      <w:r w:rsidR="00E67B8D">
        <w:rPr>
          <w:rFonts w:ascii="Arial" w:hAnsi="Arial" w:cs="Arial"/>
          <w:b/>
          <w:sz w:val="24"/>
          <w:szCs w:val="24"/>
        </w:rPr>
        <w:t xml:space="preserve">    </w:t>
      </w:r>
      <w:r>
        <w:rPr>
          <w:rFonts w:ascii="Arial" w:hAnsi="Arial" w:cs="Arial"/>
          <w:b/>
          <w:sz w:val="24"/>
          <w:szCs w:val="24"/>
        </w:rPr>
        <w:t>2017/03/22</w:t>
      </w:r>
    </w:p>
    <w:p w:rsidR="006B4FDD" w:rsidRDefault="006B4FDD" w:rsidP="00C334E1">
      <w:pPr>
        <w:tabs>
          <w:tab w:val="right" w:pos="9000"/>
        </w:tabs>
        <w:spacing w:after="0" w:line="360" w:lineRule="auto"/>
        <w:jc w:val="both"/>
        <w:rPr>
          <w:rFonts w:ascii="Arial" w:hAnsi="Arial" w:cs="Arial"/>
          <w:b/>
          <w:sz w:val="24"/>
          <w:szCs w:val="24"/>
        </w:rPr>
      </w:pPr>
    </w:p>
    <w:p w:rsidR="006B4FDD" w:rsidRDefault="006B4FDD" w:rsidP="00C334E1">
      <w:pPr>
        <w:tabs>
          <w:tab w:val="right" w:pos="9000"/>
        </w:tabs>
        <w:spacing w:after="0" w:line="360" w:lineRule="auto"/>
        <w:jc w:val="both"/>
        <w:rPr>
          <w:rFonts w:ascii="Arial" w:hAnsi="Arial" w:cs="Arial"/>
          <w:b/>
          <w:sz w:val="24"/>
          <w:szCs w:val="24"/>
        </w:rPr>
      </w:pPr>
    </w:p>
    <w:p w:rsidR="006B4FDD" w:rsidRPr="006B4FDD" w:rsidRDefault="002413F4" w:rsidP="006B4FDD">
      <w:pPr>
        <w:tabs>
          <w:tab w:val="right" w:pos="9000"/>
        </w:tabs>
        <w:spacing w:after="0" w:line="360" w:lineRule="auto"/>
        <w:jc w:val="both"/>
        <w:rPr>
          <w:rFonts w:ascii="Arial" w:eastAsia="Calibri" w:hAnsi="Arial" w:cs="Arial"/>
          <w:sz w:val="24"/>
          <w:szCs w:val="24"/>
        </w:rPr>
      </w:pPr>
      <w:r w:rsidRPr="007550A1">
        <w:rPr>
          <w:rFonts w:ascii="Arial" w:eastAsia="Calibri" w:hAnsi="Arial" w:cs="Arial"/>
          <w:b/>
          <w:sz w:val="24"/>
          <w:szCs w:val="24"/>
        </w:rPr>
        <w:t>Flynote:</w:t>
      </w:r>
      <w:r w:rsidR="00EF77F3">
        <w:rPr>
          <w:rFonts w:ascii="Arial" w:eastAsia="Calibri" w:hAnsi="Arial" w:cs="Arial"/>
          <w:b/>
          <w:sz w:val="24"/>
          <w:szCs w:val="24"/>
        </w:rPr>
        <w:t xml:space="preserve"> </w:t>
      </w:r>
      <w:r w:rsidR="00C023FC" w:rsidRPr="00C023FC">
        <w:rPr>
          <w:rFonts w:ascii="Arial" w:eastAsia="Calibri" w:hAnsi="Arial" w:cs="Arial"/>
          <w:sz w:val="24"/>
          <w:szCs w:val="24"/>
        </w:rPr>
        <w:t xml:space="preserve">Civil Practice – Application to compel discovery – Rule 28(8) – It is interlocutory in nature – Rule 32(9) and (10) regulates interlocutory matters and applications for directions – The provisions applied in terms of this Rule to interlocutory applications and applications for directives are peremptory in nature and that failure to comply with them is fatal </w:t>
      </w:r>
      <w:r w:rsidR="006B4FDD">
        <w:rPr>
          <w:rFonts w:ascii="Arial" w:eastAsia="Calibri" w:hAnsi="Arial" w:cs="Arial"/>
          <w:sz w:val="24"/>
          <w:szCs w:val="24"/>
        </w:rPr>
        <w:t>–T</w:t>
      </w:r>
      <w:r w:rsidR="006B4FDD" w:rsidRPr="006B4FDD">
        <w:rPr>
          <w:rFonts w:ascii="Arial" w:eastAsia="Calibri" w:hAnsi="Arial" w:cs="Arial"/>
          <w:sz w:val="24"/>
          <w:szCs w:val="24"/>
        </w:rPr>
        <w:t>he</w:t>
      </w:r>
      <w:r w:rsidR="00EF77F3">
        <w:rPr>
          <w:rFonts w:ascii="Arial" w:eastAsia="Calibri" w:hAnsi="Arial" w:cs="Arial"/>
          <w:sz w:val="24"/>
          <w:szCs w:val="24"/>
        </w:rPr>
        <w:t xml:space="preserve"> </w:t>
      </w:r>
      <w:r w:rsidR="006B4FDD" w:rsidRPr="006B4FDD">
        <w:rPr>
          <w:rFonts w:ascii="Arial" w:eastAsia="Calibri" w:hAnsi="Arial" w:cs="Arial"/>
          <w:sz w:val="24"/>
          <w:szCs w:val="24"/>
        </w:rPr>
        <w:t>purpose of the</w:t>
      </w:r>
      <w:r w:rsidR="006B4FDD">
        <w:rPr>
          <w:rFonts w:ascii="Arial" w:eastAsia="Calibri" w:hAnsi="Arial" w:cs="Arial"/>
          <w:sz w:val="24"/>
          <w:szCs w:val="24"/>
        </w:rPr>
        <w:t>se</w:t>
      </w:r>
      <w:r w:rsidR="00EF77F3">
        <w:rPr>
          <w:rFonts w:ascii="Arial" w:eastAsia="Calibri" w:hAnsi="Arial" w:cs="Arial"/>
          <w:sz w:val="24"/>
          <w:szCs w:val="24"/>
        </w:rPr>
        <w:t xml:space="preserve"> </w:t>
      </w:r>
      <w:r w:rsidR="006B4FDD" w:rsidRPr="006B4FDD">
        <w:rPr>
          <w:rFonts w:ascii="Arial" w:eastAsia="Calibri" w:hAnsi="Arial" w:cs="Arial"/>
          <w:sz w:val="24"/>
          <w:szCs w:val="24"/>
        </w:rPr>
        <w:t>sub rules is to ensure that in interlocutory proceedings, the parties seek to first amicably resolve the dispute before setting it down</w:t>
      </w:r>
      <w:r w:rsidR="006B4FDD">
        <w:rPr>
          <w:rFonts w:ascii="Arial" w:eastAsia="Calibri" w:hAnsi="Arial" w:cs="Arial"/>
          <w:sz w:val="24"/>
          <w:szCs w:val="24"/>
        </w:rPr>
        <w:t xml:space="preserve"> for determination by the court –</w:t>
      </w:r>
      <w:r w:rsidR="006B4FDD" w:rsidRPr="006B4FDD">
        <w:rPr>
          <w:rFonts w:ascii="Arial" w:eastAsia="Calibri" w:hAnsi="Arial" w:cs="Arial"/>
          <w:sz w:val="24"/>
          <w:szCs w:val="24"/>
        </w:rPr>
        <w:t>One</w:t>
      </w:r>
      <w:r w:rsidR="00EF77F3">
        <w:rPr>
          <w:rFonts w:ascii="Arial" w:eastAsia="Calibri" w:hAnsi="Arial" w:cs="Arial"/>
          <w:sz w:val="24"/>
          <w:szCs w:val="24"/>
        </w:rPr>
        <w:t xml:space="preserve"> </w:t>
      </w:r>
      <w:r w:rsidR="006B4FDD" w:rsidRPr="006B4FDD">
        <w:rPr>
          <w:rFonts w:ascii="Arial" w:eastAsia="Calibri" w:hAnsi="Arial" w:cs="Arial"/>
          <w:sz w:val="24"/>
          <w:szCs w:val="24"/>
        </w:rPr>
        <w:t xml:space="preserve">can surely not say that </w:t>
      </w:r>
      <w:r w:rsidR="006B4FDD">
        <w:rPr>
          <w:rFonts w:ascii="Arial" w:eastAsia="Calibri" w:hAnsi="Arial" w:cs="Arial"/>
          <w:sz w:val="24"/>
          <w:szCs w:val="24"/>
        </w:rPr>
        <w:t xml:space="preserve">the </w:t>
      </w:r>
      <w:r w:rsidR="006B4FDD" w:rsidRPr="006B4FDD">
        <w:rPr>
          <w:rFonts w:ascii="Arial" w:eastAsia="Calibri" w:hAnsi="Arial" w:cs="Arial"/>
          <w:sz w:val="24"/>
          <w:szCs w:val="24"/>
        </w:rPr>
        <w:t>applicant sought amicable solution by writing a letter and then wait nine (9) months to launch the application without takin</w:t>
      </w:r>
      <w:r w:rsidR="006B4FDD">
        <w:rPr>
          <w:rFonts w:ascii="Arial" w:eastAsia="Calibri" w:hAnsi="Arial" w:cs="Arial"/>
          <w:sz w:val="24"/>
          <w:szCs w:val="24"/>
        </w:rPr>
        <w:t>g any positive steps in between – The application to compel further discovery is struck from the roll.</w:t>
      </w:r>
    </w:p>
    <w:p w:rsidR="00C023FC" w:rsidRPr="00C023FC" w:rsidRDefault="00C023FC" w:rsidP="00C023FC">
      <w:pPr>
        <w:tabs>
          <w:tab w:val="right" w:pos="9000"/>
        </w:tabs>
        <w:spacing w:after="0" w:line="360" w:lineRule="auto"/>
        <w:jc w:val="both"/>
        <w:rPr>
          <w:rFonts w:ascii="Arial" w:eastAsia="Calibri" w:hAnsi="Arial" w:cs="Arial"/>
          <w:sz w:val="24"/>
          <w:szCs w:val="24"/>
        </w:rPr>
      </w:pPr>
    </w:p>
    <w:p w:rsidR="00C334E1" w:rsidRPr="00C023FC" w:rsidRDefault="00C334E1" w:rsidP="00C334E1">
      <w:pPr>
        <w:tabs>
          <w:tab w:val="right" w:pos="9000"/>
        </w:tabs>
        <w:spacing w:after="0" w:line="360" w:lineRule="auto"/>
        <w:jc w:val="both"/>
        <w:rPr>
          <w:rFonts w:ascii="Arial" w:hAnsi="Arial" w:cs="Arial"/>
          <w:sz w:val="24"/>
          <w:szCs w:val="24"/>
        </w:rPr>
      </w:pPr>
    </w:p>
    <w:p w:rsidR="00C334E1" w:rsidRPr="005E4FA3" w:rsidRDefault="00925FB8" w:rsidP="00C334E1">
      <w:pPr>
        <w:tabs>
          <w:tab w:val="right" w:pos="9000"/>
        </w:tabs>
        <w:spacing w:after="0" w:line="360" w:lineRule="auto"/>
        <w:jc w:val="both"/>
        <w:rPr>
          <w:rFonts w:ascii="Arial" w:hAnsi="Arial" w:cs="Arial"/>
          <w:b/>
          <w:sz w:val="24"/>
          <w:szCs w:val="24"/>
        </w:rPr>
      </w:pPr>
      <w:r>
        <w:rPr>
          <w:rFonts w:ascii="Arial" w:hAnsi="Arial" w:cs="Arial"/>
          <w:b/>
          <w:sz w:val="24"/>
          <w:szCs w:val="24"/>
        </w:rPr>
        <w:t>_________________________________________________________________</w:t>
      </w:r>
      <w:r w:rsidR="00106FCC">
        <w:rPr>
          <w:rFonts w:ascii="Arial" w:hAnsi="Arial" w:cs="Arial"/>
          <w:b/>
          <w:sz w:val="24"/>
          <w:szCs w:val="24"/>
        </w:rPr>
        <w:t>__</w:t>
      </w:r>
    </w:p>
    <w:p w:rsidR="006B4FDD" w:rsidRDefault="00925FB8">
      <w:pPr>
        <w:pStyle w:val="BodyText"/>
        <w:spacing w:line="36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EA76F1" w:rsidRDefault="00925FB8">
      <w:pPr>
        <w:pStyle w:val="BodyText"/>
        <w:spacing w:line="360" w:lineRule="auto"/>
        <w:rPr>
          <w:rFonts w:ascii="Arial" w:hAnsi="Arial" w:cs="Arial"/>
          <w:b/>
        </w:rPr>
      </w:pPr>
      <w:r>
        <w:rPr>
          <w:rFonts w:ascii="Arial" w:hAnsi="Arial" w:cs="Arial"/>
          <w:b/>
        </w:rPr>
        <w:t>ORDE</w:t>
      </w:r>
      <w:r w:rsidR="00106FCC">
        <w:rPr>
          <w:rFonts w:ascii="Arial" w:hAnsi="Arial" w:cs="Arial"/>
          <w:b/>
        </w:rPr>
        <w:t>R</w:t>
      </w:r>
    </w:p>
    <w:p w:rsidR="00572B7C" w:rsidRDefault="00106FCC">
      <w:pPr>
        <w:pStyle w:val="BodyText"/>
        <w:spacing w:line="360" w:lineRule="auto"/>
        <w:jc w:val="both"/>
        <w:rPr>
          <w:rFonts w:ascii="Arial" w:hAnsi="Arial" w:cs="Arial"/>
        </w:rPr>
      </w:pPr>
      <w:r>
        <w:rPr>
          <w:rFonts w:ascii="Arial" w:hAnsi="Arial" w:cs="Arial"/>
        </w:rPr>
        <w:t>___________________________________________________________________</w:t>
      </w:r>
    </w:p>
    <w:p w:rsidR="00572B7C" w:rsidRDefault="00572B7C">
      <w:pPr>
        <w:pStyle w:val="BodyText"/>
        <w:spacing w:line="360" w:lineRule="auto"/>
        <w:jc w:val="both"/>
        <w:rPr>
          <w:rFonts w:ascii="Arial" w:hAnsi="Arial" w:cs="Arial"/>
        </w:rPr>
      </w:pPr>
    </w:p>
    <w:p w:rsidR="00572B7C" w:rsidRDefault="00925FB8">
      <w:pPr>
        <w:pStyle w:val="BodyText"/>
        <w:numPr>
          <w:ilvl w:val="0"/>
          <w:numId w:val="3"/>
        </w:numPr>
        <w:spacing w:line="360" w:lineRule="auto"/>
        <w:jc w:val="both"/>
        <w:rPr>
          <w:rFonts w:ascii="Arial" w:hAnsi="Arial" w:cs="Arial"/>
        </w:rPr>
      </w:pPr>
      <w:r>
        <w:rPr>
          <w:rFonts w:ascii="Arial" w:hAnsi="Arial" w:cs="Arial"/>
        </w:rPr>
        <w:t xml:space="preserve">The application to compel </w:t>
      </w:r>
      <w:r w:rsidR="00656A12">
        <w:rPr>
          <w:rFonts w:ascii="Arial" w:hAnsi="Arial" w:cs="Arial"/>
        </w:rPr>
        <w:t xml:space="preserve">further </w:t>
      </w:r>
      <w:r>
        <w:rPr>
          <w:rFonts w:ascii="Arial" w:hAnsi="Arial" w:cs="Arial"/>
        </w:rPr>
        <w:t>discovery in terms of rule 28(8) is struck from the roll.</w:t>
      </w:r>
    </w:p>
    <w:p w:rsidR="00EA76F1" w:rsidRDefault="00EA76F1">
      <w:pPr>
        <w:pStyle w:val="BodyText"/>
        <w:spacing w:line="360" w:lineRule="auto"/>
        <w:ind w:left="720"/>
        <w:jc w:val="both"/>
        <w:rPr>
          <w:rFonts w:ascii="Arial" w:hAnsi="Arial" w:cs="Arial"/>
        </w:rPr>
      </w:pPr>
    </w:p>
    <w:p w:rsidR="00572B7C" w:rsidRDefault="002A5A36">
      <w:pPr>
        <w:pStyle w:val="BodyText"/>
        <w:numPr>
          <w:ilvl w:val="0"/>
          <w:numId w:val="3"/>
        </w:numPr>
        <w:spacing w:line="360" w:lineRule="auto"/>
        <w:jc w:val="both"/>
        <w:rPr>
          <w:rFonts w:ascii="Arial" w:hAnsi="Arial" w:cs="Arial"/>
        </w:rPr>
      </w:pPr>
      <w:r>
        <w:rPr>
          <w:rFonts w:ascii="Arial" w:hAnsi="Arial" w:cs="Arial"/>
        </w:rPr>
        <w:t>The first and second applicant</w:t>
      </w:r>
      <w:r w:rsidR="006F64C0">
        <w:rPr>
          <w:rFonts w:ascii="Arial" w:hAnsi="Arial" w:cs="Arial"/>
        </w:rPr>
        <w:t>s</w:t>
      </w:r>
      <w:r w:rsidR="00EF77F3">
        <w:rPr>
          <w:rFonts w:ascii="Arial" w:hAnsi="Arial" w:cs="Arial"/>
        </w:rPr>
        <w:t xml:space="preserve"> </w:t>
      </w:r>
      <w:r w:rsidR="006F64C0">
        <w:rPr>
          <w:rFonts w:ascii="Arial" w:hAnsi="Arial" w:cs="Arial"/>
        </w:rPr>
        <w:t xml:space="preserve">are </w:t>
      </w:r>
      <w:r>
        <w:rPr>
          <w:rFonts w:ascii="Arial" w:hAnsi="Arial" w:cs="Arial"/>
        </w:rPr>
        <w:t>ordered to pay the respondents cost of</w:t>
      </w:r>
      <w:r w:rsidR="00EF77F3">
        <w:rPr>
          <w:rFonts w:ascii="Arial" w:hAnsi="Arial" w:cs="Arial"/>
        </w:rPr>
        <w:t xml:space="preserve"> </w:t>
      </w:r>
      <w:r>
        <w:rPr>
          <w:rFonts w:ascii="Arial" w:hAnsi="Arial" w:cs="Arial"/>
        </w:rPr>
        <w:t>this application jointly and severally, the one paying the other to be</w:t>
      </w:r>
      <w:r w:rsidR="00EF77F3">
        <w:rPr>
          <w:rFonts w:ascii="Arial" w:hAnsi="Arial" w:cs="Arial"/>
        </w:rPr>
        <w:t xml:space="preserve"> </w:t>
      </w:r>
      <w:r>
        <w:rPr>
          <w:rFonts w:ascii="Arial" w:hAnsi="Arial" w:cs="Arial"/>
        </w:rPr>
        <w:t>absolved.</w:t>
      </w:r>
    </w:p>
    <w:p w:rsidR="00EA76F1" w:rsidRDefault="00EA76F1">
      <w:pPr>
        <w:pStyle w:val="BodyText"/>
        <w:spacing w:line="360" w:lineRule="auto"/>
        <w:jc w:val="both"/>
        <w:rPr>
          <w:rFonts w:ascii="Arial" w:hAnsi="Arial" w:cs="Arial"/>
        </w:rPr>
      </w:pPr>
    </w:p>
    <w:p w:rsidR="00572B7C" w:rsidRDefault="002A5A36">
      <w:pPr>
        <w:pStyle w:val="BodyText"/>
        <w:numPr>
          <w:ilvl w:val="0"/>
          <w:numId w:val="3"/>
        </w:numPr>
        <w:spacing w:line="360" w:lineRule="auto"/>
        <w:jc w:val="both"/>
        <w:rPr>
          <w:rFonts w:ascii="Arial" w:hAnsi="Arial" w:cs="Arial"/>
        </w:rPr>
      </w:pPr>
      <w:r>
        <w:rPr>
          <w:rFonts w:ascii="Arial" w:hAnsi="Arial" w:cs="Arial"/>
        </w:rPr>
        <w:t>Matter is postponed for 04/04/2017 at 8:30 for pre-trial on the case management roll of Geier J for allocation of a new trial date.</w:t>
      </w:r>
    </w:p>
    <w:p w:rsidR="00925FB8" w:rsidRDefault="00925FB8" w:rsidP="00C334E1">
      <w:pPr>
        <w:spacing w:after="0" w:line="360" w:lineRule="auto"/>
        <w:jc w:val="both"/>
        <w:rPr>
          <w:rFonts w:ascii="Arial" w:hAnsi="Arial" w:cs="Arial"/>
          <w:b/>
          <w:sz w:val="24"/>
          <w:szCs w:val="24"/>
        </w:rPr>
      </w:pPr>
    </w:p>
    <w:p w:rsidR="00925FB8" w:rsidRDefault="00925FB8" w:rsidP="00C334E1">
      <w:pPr>
        <w:spacing w:after="0" w:line="36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_________________________________________________________________</w:t>
      </w:r>
      <w:r w:rsidR="00106FCC">
        <w:rPr>
          <w:rFonts w:ascii="Arial" w:hAnsi="Arial" w:cs="Arial"/>
          <w:color w:val="000000" w:themeColor="text1"/>
          <w:sz w:val="24"/>
          <w:szCs w:val="24"/>
          <w:u w:val="single"/>
        </w:rPr>
        <w:t>__</w:t>
      </w:r>
    </w:p>
    <w:p w:rsidR="00106FCC" w:rsidRDefault="00925FB8" w:rsidP="00C334E1">
      <w:pPr>
        <w:pBdr>
          <w:bottom w:val="single" w:sz="12" w:space="1" w:color="auto"/>
        </w:pBd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72B7C" w:rsidRDefault="002A5A36">
      <w:pPr>
        <w:pBdr>
          <w:bottom w:val="single" w:sz="12" w:space="1" w:color="auto"/>
        </w:pBdr>
        <w:spacing w:after="0" w:line="360" w:lineRule="auto"/>
        <w:jc w:val="center"/>
        <w:rPr>
          <w:rFonts w:ascii="Arial" w:hAnsi="Arial" w:cs="Arial"/>
          <w:b/>
          <w:sz w:val="24"/>
          <w:szCs w:val="24"/>
        </w:rPr>
      </w:pPr>
      <w:r w:rsidRPr="002A5A36">
        <w:rPr>
          <w:rFonts w:ascii="Arial" w:hAnsi="Arial" w:cs="Arial"/>
          <w:b/>
          <w:sz w:val="24"/>
          <w:szCs w:val="24"/>
        </w:rPr>
        <w:t>JUDGMENT</w:t>
      </w:r>
    </w:p>
    <w:p w:rsidR="0071415F" w:rsidRDefault="0071415F">
      <w:pPr>
        <w:pBdr>
          <w:bottom w:val="single" w:sz="12" w:space="1" w:color="auto"/>
        </w:pBdr>
        <w:spacing w:after="0" w:line="360" w:lineRule="auto"/>
        <w:jc w:val="center"/>
        <w:rPr>
          <w:rFonts w:ascii="Arial" w:hAnsi="Arial" w:cs="Arial"/>
          <w:b/>
          <w:sz w:val="24"/>
          <w:szCs w:val="24"/>
        </w:rPr>
      </w:pPr>
    </w:p>
    <w:p w:rsidR="00106FCC" w:rsidRDefault="00106FCC" w:rsidP="00C334E1">
      <w:pPr>
        <w:spacing w:after="0" w:line="360" w:lineRule="auto"/>
        <w:jc w:val="both"/>
        <w:rPr>
          <w:rFonts w:ascii="Arial" w:hAnsi="Arial" w:cs="Arial"/>
          <w:sz w:val="24"/>
          <w:szCs w:val="24"/>
        </w:rPr>
      </w:pPr>
      <w:r>
        <w:rPr>
          <w:rFonts w:ascii="Arial" w:hAnsi="Arial" w:cs="Arial"/>
          <w:sz w:val="24"/>
          <w:szCs w:val="24"/>
        </w:rPr>
        <w:t>P</w:t>
      </w:r>
      <w:r w:rsidR="0071415F">
        <w:rPr>
          <w:rFonts w:ascii="Arial" w:hAnsi="Arial" w:cs="Arial"/>
          <w:sz w:val="24"/>
          <w:szCs w:val="24"/>
        </w:rPr>
        <w:t>rinsloo</w:t>
      </w:r>
      <w:r>
        <w:rPr>
          <w:rFonts w:ascii="Arial" w:hAnsi="Arial" w:cs="Arial"/>
          <w:sz w:val="24"/>
          <w:szCs w:val="24"/>
        </w:rPr>
        <w:t>, AJ</w:t>
      </w:r>
      <w:r w:rsidR="0071415F">
        <w:rPr>
          <w:rFonts w:ascii="Arial" w:hAnsi="Arial" w:cs="Arial"/>
          <w:sz w:val="24"/>
          <w:szCs w:val="24"/>
        </w:rPr>
        <w:t>;</w:t>
      </w:r>
    </w:p>
    <w:p w:rsidR="00106FCC" w:rsidRDefault="00106FCC" w:rsidP="00C334E1">
      <w:pPr>
        <w:spacing w:after="0" w:line="360" w:lineRule="auto"/>
        <w:jc w:val="both"/>
        <w:rPr>
          <w:rFonts w:ascii="Arial" w:hAnsi="Arial" w:cs="Arial"/>
          <w:sz w:val="24"/>
          <w:szCs w:val="24"/>
        </w:rPr>
      </w:pPr>
    </w:p>
    <w:p w:rsidR="00106FCC" w:rsidRDefault="00106FCC" w:rsidP="00C334E1">
      <w:pPr>
        <w:spacing w:after="0" w:line="360" w:lineRule="auto"/>
        <w:jc w:val="both"/>
        <w:rPr>
          <w:rFonts w:ascii="Arial" w:hAnsi="Arial" w:cs="Arial"/>
          <w:sz w:val="24"/>
          <w:szCs w:val="24"/>
        </w:rPr>
      </w:pPr>
    </w:p>
    <w:p w:rsidR="00142A05" w:rsidRDefault="00142A05" w:rsidP="00C334E1">
      <w:pPr>
        <w:spacing w:after="0" w:line="360" w:lineRule="auto"/>
        <w:jc w:val="both"/>
        <w:rPr>
          <w:rFonts w:ascii="Arial" w:hAnsi="Arial" w:cs="Arial"/>
          <w:sz w:val="24"/>
          <w:szCs w:val="24"/>
        </w:rPr>
      </w:pPr>
      <w:r>
        <w:rPr>
          <w:rFonts w:ascii="Arial" w:hAnsi="Arial" w:cs="Arial"/>
          <w:sz w:val="24"/>
          <w:szCs w:val="24"/>
        </w:rPr>
        <w:t xml:space="preserve">[1] </w:t>
      </w:r>
      <w:r w:rsidR="00925FB8">
        <w:rPr>
          <w:rFonts w:ascii="Arial" w:hAnsi="Arial" w:cs="Arial"/>
          <w:sz w:val="24"/>
          <w:szCs w:val="24"/>
        </w:rPr>
        <w:tab/>
      </w:r>
      <w:r>
        <w:rPr>
          <w:rFonts w:ascii="Arial" w:hAnsi="Arial" w:cs="Arial"/>
          <w:sz w:val="24"/>
          <w:szCs w:val="24"/>
        </w:rPr>
        <w:t>This matter came before me for trial on 0</w:t>
      </w:r>
      <w:r w:rsidR="00DD59BD">
        <w:rPr>
          <w:rFonts w:ascii="Arial" w:hAnsi="Arial" w:cs="Arial"/>
          <w:sz w:val="24"/>
          <w:szCs w:val="24"/>
        </w:rPr>
        <w:t>6</w:t>
      </w:r>
      <w:r>
        <w:rPr>
          <w:rFonts w:ascii="Arial" w:hAnsi="Arial" w:cs="Arial"/>
          <w:sz w:val="24"/>
          <w:szCs w:val="24"/>
        </w:rPr>
        <w:t xml:space="preserve"> March 2017. This matter dates back to 03 June 2014 when proceedings were instituted. </w:t>
      </w:r>
      <w:r w:rsidR="000C16E2">
        <w:rPr>
          <w:rFonts w:ascii="Arial" w:hAnsi="Arial" w:cs="Arial"/>
          <w:sz w:val="24"/>
          <w:szCs w:val="24"/>
        </w:rPr>
        <w:t xml:space="preserve">The matter became defended on 30 July 2014 when a notice of intention to defend was filed. </w:t>
      </w:r>
    </w:p>
    <w:p w:rsidR="00320548" w:rsidRDefault="00320548" w:rsidP="00C334E1">
      <w:pPr>
        <w:spacing w:after="0" w:line="360" w:lineRule="auto"/>
        <w:jc w:val="both"/>
        <w:rPr>
          <w:rFonts w:ascii="Arial" w:hAnsi="Arial" w:cs="Arial"/>
          <w:sz w:val="24"/>
          <w:szCs w:val="24"/>
        </w:rPr>
      </w:pPr>
    </w:p>
    <w:p w:rsidR="00106FCC" w:rsidRDefault="00106FCC" w:rsidP="00C334E1">
      <w:pPr>
        <w:spacing w:after="0" w:line="360" w:lineRule="auto"/>
        <w:jc w:val="both"/>
        <w:rPr>
          <w:rFonts w:ascii="Arial" w:hAnsi="Arial" w:cs="Arial"/>
          <w:sz w:val="24"/>
          <w:szCs w:val="24"/>
        </w:rPr>
      </w:pPr>
    </w:p>
    <w:p w:rsidR="00142A05" w:rsidRDefault="00142A05" w:rsidP="005A2AFB">
      <w:pPr>
        <w:spacing w:after="0" w:line="360" w:lineRule="auto"/>
        <w:jc w:val="both"/>
        <w:rPr>
          <w:rFonts w:ascii="Arial" w:hAnsi="Arial" w:cs="Arial"/>
          <w:sz w:val="24"/>
          <w:szCs w:val="24"/>
        </w:rPr>
      </w:pPr>
      <w:r>
        <w:rPr>
          <w:rFonts w:ascii="Arial" w:hAnsi="Arial" w:cs="Arial"/>
          <w:sz w:val="24"/>
          <w:szCs w:val="24"/>
        </w:rPr>
        <w:t xml:space="preserve">[2] </w:t>
      </w:r>
      <w:r w:rsidR="00925FB8">
        <w:rPr>
          <w:rFonts w:ascii="Arial" w:hAnsi="Arial" w:cs="Arial"/>
          <w:sz w:val="24"/>
          <w:szCs w:val="24"/>
        </w:rPr>
        <w:tab/>
      </w:r>
      <w:r w:rsidR="000C16E2">
        <w:rPr>
          <w:rFonts w:ascii="Arial" w:hAnsi="Arial" w:cs="Arial"/>
          <w:sz w:val="24"/>
          <w:szCs w:val="24"/>
        </w:rPr>
        <w:t>Since that date</w:t>
      </w:r>
      <w:r w:rsidR="00106FCC">
        <w:rPr>
          <w:rFonts w:ascii="Arial" w:hAnsi="Arial" w:cs="Arial"/>
          <w:sz w:val="24"/>
          <w:szCs w:val="24"/>
        </w:rPr>
        <w:t>,</w:t>
      </w:r>
      <w:r w:rsidR="000C16E2">
        <w:rPr>
          <w:rFonts w:ascii="Arial" w:hAnsi="Arial" w:cs="Arial"/>
          <w:sz w:val="24"/>
          <w:szCs w:val="24"/>
        </w:rPr>
        <w:t xml:space="preserve"> the matter </w:t>
      </w:r>
      <w:r>
        <w:rPr>
          <w:rFonts w:ascii="Arial" w:hAnsi="Arial" w:cs="Arial"/>
          <w:sz w:val="24"/>
          <w:szCs w:val="24"/>
        </w:rPr>
        <w:t>was duly</w:t>
      </w:r>
      <w:r w:rsidR="000C16E2">
        <w:rPr>
          <w:rFonts w:ascii="Arial" w:hAnsi="Arial" w:cs="Arial"/>
          <w:sz w:val="24"/>
          <w:szCs w:val="24"/>
        </w:rPr>
        <w:t xml:space="preserve"> case managed until a date</w:t>
      </w:r>
      <w:r w:rsidR="00CE3BDE">
        <w:rPr>
          <w:rFonts w:ascii="Arial" w:hAnsi="Arial" w:cs="Arial"/>
          <w:sz w:val="24"/>
          <w:szCs w:val="24"/>
        </w:rPr>
        <w:t xml:space="preserve"> ofhearing </w:t>
      </w:r>
      <w:r w:rsidR="000C16E2">
        <w:rPr>
          <w:rFonts w:ascii="Arial" w:hAnsi="Arial" w:cs="Arial"/>
          <w:sz w:val="24"/>
          <w:szCs w:val="24"/>
        </w:rPr>
        <w:t xml:space="preserve">was set </w:t>
      </w:r>
      <w:r w:rsidR="00DD59BD">
        <w:rPr>
          <w:rFonts w:ascii="Arial" w:hAnsi="Arial" w:cs="Arial"/>
          <w:sz w:val="24"/>
          <w:szCs w:val="24"/>
        </w:rPr>
        <w:t xml:space="preserve">in terms of </w:t>
      </w:r>
      <w:r w:rsidR="000C16E2">
        <w:rPr>
          <w:rFonts w:ascii="Arial" w:hAnsi="Arial" w:cs="Arial"/>
          <w:sz w:val="24"/>
          <w:szCs w:val="24"/>
        </w:rPr>
        <w:t xml:space="preserve">the pre-trial order dated 23 June 2016. </w:t>
      </w:r>
    </w:p>
    <w:p w:rsidR="00106FCC" w:rsidRDefault="00106FCC" w:rsidP="005A2AFB">
      <w:pPr>
        <w:spacing w:after="0" w:line="360" w:lineRule="auto"/>
        <w:jc w:val="both"/>
        <w:rPr>
          <w:rFonts w:ascii="Arial" w:hAnsi="Arial" w:cs="Arial"/>
          <w:sz w:val="24"/>
          <w:szCs w:val="24"/>
        </w:rPr>
      </w:pPr>
    </w:p>
    <w:p w:rsidR="00320548" w:rsidRDefault="00320548" w:rsidP="005A2AFB">
      <w:pPr>
        <w:spacing w:after="0" w:line="360" w:lineRule="auto"/>
        <w:jc w:val="both"/>
        <w:rPr>
          <w:rFonts w:ascii="Arial" w:hAnsi="Arial" w:cs="Arial"/>
          <w:sz w:val="24"/>
          <w:szCs w:val="24"/>
        </w:rPr>
      </w:pPr>
    </w:p>
    <w:p w:rsidR="00DD59BD" w:rsidRDefault="00DD59BD" w:rsidP="005A2AFB">
      <w:pPr>
        <w:spacing w:after="0" w:line="360" w:lineRule="auto"/>
        <w:jc w:val="both"/>
        <w:rPr>
          <w:rFonts w:ascii="Arial" w:hAnsi="Arial" w:cs="Arial"/>
          <w:sz w:val="24"/>
          <w:szCs w:val="24"/>
        </w:rPr>
      </w:pPr>
      <w:r>
        <w:rPr>
          <w:rFonts w:ascii="Arial" w:hAnsi="Arial" w:cs="Arial"/>
          <w:sz w:val="24"/>
          <w:szCs w:val="24"/>
        </w:rPr>
        <w:t xml:space="preserve">[3] </w:t>
      </w:r>
      <w:r w:rsidR="00925FB8">
        <w:rPr>
          <w:rFonts w:ascii="Arial" w:hAnsi="Arial" w:cs="Arial"/>
          <w:sz w:val="24"/>
          <w:szCs w:val="24"/>
        </w:rPr>
        <w:tab/>
      </w:r>
      <w:r>
        <w:rPr>
          <w:rFonts w:ascii="Arial" w:hAnsi="Arial" w:cs="Arial"/>
          <w:sz w:val="24"/>
          <w:szCs w:val="24"/>
        </w:rPr>
        <w:t>On 03 March 2017</w:t>
      </w:r>
      <w:r w:rsidR="00CE3BDE">
        <w:rPr>
          <w:rFonts w:ascii="Arial" w:hAnsi="Arial" w:cs="Arial"/>
          <w:sz w:val="24"/>
          <w:szCs w:val="24"/>
        </w:rPr>
        <w:t xml:space="preserve"> the plaintiffs (</w:t>
      </w:r>
      <w:r w:rsidR="00A40238">
        <w:rPr>
          <w:rFonts w:ascii="Arial" w:hAnsi="Arial" w:cs="Arial"/>
          <w:sz w:val="24"/>
          <w:szCs w:val="24"/>
        </w:rPr>
        <w:t>hereinafter referred to as the applicant(s)) filed</w:t>
      </w:r>
      <w:r>
        <w:rPr>
          <w:rFonts w:ascii="Arial" w:hAnsi="Arial" w:cs="Arial"/>
          <w:sz w:val="24"/>
          <w:szCs w:val="24"/>
        </w:rPr>
        <w:t xml:space="preserve"> an application to compel additional discovery</w:t>
      </w:r>
      <w:r w:rsidR="00EF77F3">
        <w:rPr>
          <w:rFonts w:ascii="Arial" w:hAnsi="Arial" w:cs="Arial"/>
          <w:sz w:val="24"/>
          <w:szCs w:val="24"/>
        </w:rPr>
        <w:t xml:space="preserve"> </w:t>
      </w:r>
      <w:r>
        <w:rPr>
          <w:rFonts w:ascii="Arial" w:hAnsi="Arial" w:cs="Arial"/>
          <w:sz w:val="24"/>
          <w:szCs w:val="24"/>
        </w:rPr>
        <w:t>in terms of Rule 28(8).</w:t>
      </w:r>
    </w:p>
    <w:p w:rsidR="0071415F" w:rsidRDefault="0071415F" w:rsidP="005A2AFB">
      <w:pPr>
        <w:spacing w:after="0" w:line="360" w:lineRule="auto"/>
        <w:jc w:val="both"/>
        <w:rPr>
          <w:rFonts w:ascii="Arial" w:hAnsi="Arial" w:cs="Arial"/>
          <w:sz w:val="24"/>
          <w:szCs w:val="24"/>
        </w:rPr>
      </w:pPr>
    </w:p>
    <w:p w:rsidR="00106FCC" w:rsidRDefault="00106FCC" w:rsidP="005A2AFB">
      <w:pPr>
        <w:spacing w:after="0" w:line="360" w:lineRule="auto"/>
        <w:jc w:val="both"/>
        <w:rPr>
          <w:rFonts w:ascii="Arial" w:hAnsi="Arial" w:cs="Arial"/>
          <w:sz w:val="24"/>
          <w:szCs w:val="24"/>
        </w:rPr>
      </w:pPr>
    </w:p>
    <w:p w:rsidR="00DD59BD" w:rsidRDefault="00DD59BD" w:rsidP="005A2AFB">
      <w:pPr>
        <w:spacing w:after="0" w:line="360" w:lineRule="auto"/>
        <w:jc w:val="both"/>
        <w:rPr>
          <w:rFonts w:ascii="Arial" w:hAnsi="Arial" w:cs="Arial"/>
          <w:sz w:val="24"/>
          <w:szCs w:val="24"/>
        </w:rPr>
      </w:pPr>
      <w:r>
        <w:rPr>
          <w:rFonts w:ascii="Arial" w:hAnsi="Arial" w:cs="Arial"/>
          <w:sz w:val="24"/>
          <w:szCs w:val="24"/>
        </w:rPr>
        <w:t xml:space="preserve">[4] </w:t>
      </w:r>
      <w:r w:rsidR="00925FB8">
        <w:rPr>
          <w:rFonts w:ascii="Arial" w:hAnsi="Arial" w:cs="Arial"/>
          <w:sz w:val="24"/>
          <w:szCs w:val="24"/>
        </w:rPr>
        <w:tab/>
      </w:r>
      <w:r>
        <w:rPr>
          <w:rFonts w:ascii="Arial" w:hAnsi="Arial" w:cs="Arial"/>
          <w:sz w:val="24"/>
          <w:szCs w:val="24"/>
        </w:rPr>
        <w:t xml:space="preserve">This application was opposed by the </w:t>
      </w:r>
      <w:r w:rsidR="00A40238">
        <w:rPr>
          <w:rFonts w:ascii="Arial" w:hAnsi="Arial" w:cs="Arial"/>
          <w:sz w:val="24"/>
          <w:szCs w:val="24"/>
        </w:rPr>
        <w:t xml:space="preserve">Defendants (herein after referred to as the </w:t>
      </w:r>
      <w:r w:rsidR="00E87C3F">
        <w:rPr>
          <w:rFonts w:ascii="Arial" w:hAnsi="Arial" w:cs="Arial"/>
          <w:sz w:val="24"/>
          <w:szCs w:val="24"/>
        </w:rPr>
        <w:t>respondent</w:t>
      </w:r>
      <w:r w:rsidR="00A40238">
        <w:rPr>
          <w:rFonts w:ascii="Arial" w:hAnsi="Arial" w:cs="Arial"/>
          <w:sz w:val="24"/>
          <w:szCs w:val="24"/>
        </w:rPr>
        <w:t>(s))</w:t>
      </w:r>
      <w:r>
        <w:rPr>
          <w:rFonts w:ascii="Arial" w:hAnsi="Arial" w:cs="Arial"/>
          <w:sz w:val="24"/>
          <w:szCs w:val="24"/>
        </w:rPr>
        <w:t xml:space="preserve"> and once applicant’s replying affidavit was filed, a further application was l</w:t>
      </w:r>
      <w:r w:rsidR="00867441">
        <w:rPr>
          <w:rFonts w:ascii="Arial" w:hAnsi="Arial" w:cs="Arial"/>
          <w:sz w:val="24"/>
          <w:szCs w:val="24"/>
        </w:rPr>
        <w:t>odged</w:t>
      </w:r>
      <w:r>
        <w:rPr>
          <w:rFonts w:ascii="Arial" w:hAnsi="Arial" w:cs="Arial"/>
          <w:sz w:val="24"/>
          <w:szCs w:val="24"/>
        </w:rPr>
        <w:t xml:space="preserve"> by the respondents to strike out </w:t>
      </w:r>
      <w:r w:rsidR="00867441">
        <w:rPr>
          <w:rFonts w:ascii="Arial" w:hAnsi="Arial" w:cs="Arial"/>
          <w:sz w:val="24"/>
          <w:szCs w:val="24"/>
        </w:rPr>
        <w:t>certain allegation</w:t>
      </w:r>
      <w:r w:rsidR="00106FCC">
        <w:rPr>
          <w:rFonts w:ascii="Arial" w:hAnsi="Arial" w:cs="Arial"/>
          <w:sz w:val="24"/>
          <w:szCs w:val="24"/>
        </w:rPr>
        <w:t>,</w:t>
      </w:r>
      <w:r w:rsidR="00867441">
        <w:rPr>
          <w:rFonts w:ascii="Arial" w:hAnsi="Arial" w:cs="Arial"/>
          <w:sz w:val="24"/>
          <w:szCs w:val="24"/>
        </w:rPr>
        <w:t xml:space="preserve"> said to be new</w:t>
      </w:r>
      <w:r w:rsidR="00106FCC">
        <w:rPr>
          <w:rFonts w:ascii="Arial" w:hAnsi="Arial" w:cs="Arial"/>
          <w:sz w:val="24"/>
          <w:szCs w:val="24"/>
        </w:rPr>
        <w:t>,</w:t>
      </w:r>
      <w:r>
        <w:rPr>
          <w:rFonts w:ascii="Arial" w:hAnsi="Arial" w:cs="Arial"/>
          <w:sz w:val="24"/>
          <w:szCs w:val="24"/>
        </w:rPr>
        <w:t xml:space="preserve"> from the said replying affidavit.</w:t>
      </w:r>
    </w:p>
    <w:p w:rsidR="00106FCC" w:rsidRDefault="00106FCC" w:rsidP="005A2AFB">
      <w:pPr>
        <w:spacing w:after="0" w:line="360" w:lineRule="auto"/>
        <w:jc w:val="both"/>
        <w:rPr>
          <w:rFonts w:ascii="Arial" w:hAnsi="Arial" w:cs="Arial"/>
          <w:sz w:val="24"/>
          <w:szCs w:val="24"/>
        </w:rPr>
      </w:pPr>
    </w:p>
    <w:p w:rsidR="00320548" w:rsidRDefault="00320548" w:rsidP="005A2AFB">
      <w:pPr>
        <w:spacing w:after="0" w:line="360" w:lineRule="auto"/>
        <w:jc w:val="both"/>
        <w:rPr>
          <w:rFonts w:ascii="Arial" w:hAnsi="Arial" w:cs="Arial"/>
          <w:sz w:val="24"/>
          <w:szCs w:val="24"/>
        </w:rPr>
      </w:pPr>
    </w:p>
    <w:p w:rsidR="00DD59BD" w:rsidRDefault="00DD59BD" w:rsidP="005A2AFB">
      <w:pPr>
        <w:spacing w:after="0" w:line="360" w:lineRule="auto"/>
        <w:jc w:val="both"/>
        <w:rPr>
          <w:rFonts w:ascii="Arial" w:hAnsi="Arial" w:cs="Arial"/>
          <w:sz w:val="24"/>
          <w:szCs w:val="24"/>
        </w:rPr>
      </w:pPr>
      <w:r>
        <w:rPr>
          <w:rFonts w:ascii="Arial" w:hAnsi="Arial" w:cs="Arial"/>
          <w:sz w:val="24"/>
          <w:szCs w:val="24"/>
        </w:rPr>
        <w:t xml:space="preserve">[5] </w:t>
      </w:r>
      <w:r w:rsidR="00925FB8">
        <w:rPr>
          <w:rFonts w:ascii="Arial" w:hAnsi="Arial" w:cs="Arial"/>
          <w:sz w:val="24"/>
          <w:szCs w:val="24"/>
        </w:rPr>
        <w:tab/>
      </w:r>
      <w:r>
        <w:rPr>
          <w:rFonts w:ascii="Arial" w:hAnsi="Arial" w:cs="Arial"/>
          <w:sz w:val="24"/>
          <w:szCs w:val="24"/>
        </w:rPr>
        <w:t>It was agreed</w:t>
      </w:r>
      <w:r w:rsidR="00E87C3F">
        <w:rPr>
          <w:rFonts w:ascii="Arial" w:hAnsi="Arial" w:cs="Arial"/>
          <w:sz w:val="24"/>
          <w:szCs w:val="24"/>
        </w:rPr>
        <w:t xml:space="preserve"> between coun</w:t>
      </w:r>
      <w:r w:rsidR="00106FCC">
        <w:rPr>
          <w:rFonts w:ascii="Arial" w:hAnsi="Arial" w:cs="Arial"/>
          <w:sz w:val="24"/>
          <w:szCs w:val="24"/>
        </w:rPr>
        <w:t>se</w:t>
      </w:r>
      <w:r w:rsidR="00E87C3F">
        <w:rPr>
          <w:rFonts w:ascii="Arial" w:hAnsi="Arial" w:cs="Arial"/>
          <w:sz w:val="24"/>
          <w:szCs w:val="24"/>
        </w:rPr>
        <w:t>l</w:t>
      </w:r>
      <w:r w:rsidR="00C334E1">
        <w:rPr>
          <w:rFonts w:ascii="Arial" w:hAnsi="Arial" w:cs="Arial"/>
          <w:sz w:val="24"/>
          <w:szCs w:val="24"/>
        </w:rPr>
        <w:t xml:space="preserve">, </w:t>
      </w:r>
      <w:r w:rsidR="00C334E1" w:rsidRPr="00C334E1">
        <w:rPr>
          <w:rFonts w:ascii="Arial" w:hAnsi="Arial" w:cs="Arial"/>
          <w:sz w:val="24"/>
          <w:szCs w:val="24"/>
        </w:rPr>
        <w:t>M</w:t>
      </w:r>
      <w:r w:rsidR="00106FCC">
        <w:rPr>
          <w:rFonts w:ascii="Arial" w:hAnsi="Arial" w:cs="Arial"/>
          <w:sz w:val="24"/>
          <w:szCs w:val="24"/>
        </w:rPr>
        <w:t>s</w:t>
      </w:r>
      <w:r w:rsidR="00EF77F3">
        <w:rPr>
          <w:rFonts w:ascii="Arial" w:hAnsi="Arial" w:cs="Arial"/>
          <w:sz w:val="24"/>
          <w:szCs w:val="24"/>
        </w:rPr>
        <w:t xml:space="preserve"> </w:t>
      </w:r>
      <w:r w:rsidR="00C334E1" w:rsidRPr="00C334E1">
        <w:rPr>
          <w:rFonts w:ascii="Arial" w:eastAsia="Dotum" w:hAnsi="Arial" w:cs="Arial"/>
          <w:sz w:val="24"/>
          <w:szCs w:val="24"/>
        </w:rPr>
        <w:t>Bassingthwait</w:t>
      </w:r>
      <w:r w:rsidR="00106FCC">
        <w:rPr>
          <w:rFonts w:ascii="Arial" w:eastAsia="Dotum" w:hAnsi="Arial" w:cs="Arial"/>
          <w:sz w:val="24"/>
          <w:szCs w:val="24"/>
        </w:rPr>
        <w:t>e</w:t>
      </w:r>
      <w:r w:rsidR="00C334E1" w:rsidRPr="00C334E1">
        <w:rPr>
          <w:rFonts w:ascii="Arial" w:eastAsia="Dotum" w:hAnsi="Arial" w:cs="Arial"/>
          <w:sz w:val="24"/>
          <w:szCs w:val="24"/>
        </w:rPr>
        <w:t xml:space="preserve"> on behalf of the applicants and Mr Obbes on behalf of the respondents</w:t>
      </w:r>
      <w:r w:rsidR="00C334E1">
        <w:rPr>
          <w:rFonts w:ascii="Arial" w:eastAsia="Dotum" w:hAnsi="Arial" w:cs="Arial"/>
          <w:sz w:val="24"/>
          <w:szCs w:val="24"/>
        </w:rPr>
        <w:t>,</w:t>
      </w:r>
      <w:r>
        <w:rPr>
          <w:rFonts w:ascii="Arial" w:hAnsi="Arial" w:cs="Arial"/>
          <w:sz w:val="24"/>
          <w:szCs w:val="24"/>
        </w:rPr>
        <w:t xml:space="preserve"> that both issues will be argued simultaneously. </w:t>
      </w:r>
    </w:p>
    <w:p w:rsidR="00106FCC" w:rsidRDefault="00106FCC" w:rsidP="005A2AFB">
      <w:pPr>
        <w:spacing w:after="0" w:line="360" w:lineRule="auto"/>
        <w:jc w:val="both"/>
        <w:rPr>
          <w:rFonts w:ascii="Arial" w:hAnsi="Arial" w:cs="Arial"/>
          <w:sz w:val="24"/>
          <w:szCs w:val="24"/>
        </w:rPr>
      </w:pPr>
    </w:p>
    <w:p w:rsidR="00FC5816" w:rsidRDefault="00FC5816" w:rsidP="005A2AFB">
      <w:pPr>
        <w:spacing w:after="0" w:line="360" w:lineRule="auto"/>
        <w:jc w:val="both"/>
        <w:rPr>
          <w:rFonts w:ascii="Arial" w:hAnsi="Arial" w:cs="Arial"/>
          <w:sz w:val="24"/>
          <w:szCs w:val="24"/>
        </w:rPr>
      </w:pPr>
    </w:p>
    <w:p w:rsidR="00476FF9" w:rsidRDefault="00476FF9" w:rsidP="005A2AFB">
      <w:pPr>
        <w:spacing w:after="0" w:line="360" w:lineRule="auto"/>
        <w:jc w:val="both"/>
        <w:rPr>
          <w:rFonts w:ascii="Arial" w:hAnsi="Arial" w:cs="Arial"/>
          <w:sz w:val="24"/>
          <w:szCs w:val="24"/>
        </w:rPr>
      </w:pPr>
      <w:r>
        <w:rPr>
          <w:rFonts w:ascii="Arial" w:hAnsi="Arial" w:cs="Arial"/>
          <w:sz w:val="24"/>
          <w:szCs w:val="24"/>
        </w:rPr>
        <w:t xml:space="preserve">[6] </w:t>
      </w:r>
      <w:r w:rsidR="00925FB8">
        <w:rPr>
          <w:rFonts w:ascii="Arial" w:hAnsi="Arial" w:cs="Arial"/>
          <w:sz w:val="24"/>
          <w:szCs w:val="24"/>
        </w:rPr>
        <w:tab/>
      </w:r>
      <w:r>
        <w:rPr>
          <w:rFonts w:ascii="Arial" w:hAnsi="Arial" w:cs="Arial"/>
          <w:sz w:val="24"/>
          <w:szCs w:val="24"/>
        </w:rPr>
        <w:t xml:space="preserve">In the answering affidavit filed on behalf of the respondents a point </w:t>
      </w:r>
      <w:r w:rsidRPr="00D63C9D">
        <w:rPr>
          <w:rFonts w:ascii="Arial" w:hAnsi="Arial" w:cs="Arial"/>
          <w:i/>
          <w:sz w:val="24"/>
          <w:szCs w:val="24"/>
        </w:rPr>
        <w:t>in limine</w:t>
      </w:r>
      <w:r>
        <w:rPr>
          <w:rFonts w:ascii="Arial" w:hAnsi="Arial" w:cs="Arial"/>
          <w:sz w:val="24"/>
          <w:szCs w:val="24"/>
        </w:rPr>
        <w:t xml:space="preserve"> was raised that the applicant </w:t>
      </w:r>
      <w:r w:rsidR="00C334E1">
        <w:rPr>
          <w:rFonts w:ascii="Arial" w:hAnsi="Arial" w:cs="Arial"/>
          <w:sz w:val="24"/>
          <w:szCs w:val="24"/>
        </w:rPr>
        <w:t xml:space="preserve">failed to </w:t>
      </w:r>
      <w:r>
        <w:rPr>
          <w:rFonts w:ascii="Arial" w:hAnsi="Arial" w:cs="Arial"/>
          <w:sz w:val="24"/>
          <w:szCs w:val="24"/>
        </w:rPr>
        <w:t>compl</w:t>
      </w:r>
      <w:r w:rsidR="00C334E1">
        <w:rPr>
          <w:rFonts w:ascii="Arial" w:hAnsi="Arial" w:cs="Arial"/>
          <w:sz w:val="24"/>
          <w:szCs w:val="24"/>
        </w:rPr>
        <w:t>y</w:t>
      </w:r>
      <w:r>
        <w:rPr>
          <w:rFonts w:ascii="Arial" w:hAnsi="Arial" w:cs="Arial"/>
          <w:sz w:val="24"/>
          <w:szCs w:val="24"/>
        </w:rPr>
        <w:t xml:space="preserve"> with the provisions of  rule 32 (9) and (10) of the Rules of Court. </w:t>
      </w:r>
    </w:p>
    <w:p w:rsidR="00106FCC" w:rsidRDefault="00106FCC" w:rsidP="005A2AFB">
      <w:pPr>
        <w:spacing w:after="0" w:line="360" w:lineRule="auto"/>
        <w:jc w:val="both"/>
        <w:rPr>
          <w:rFonts w:ascii="Arial" w:hAnsi="Arial" w:cs="Arial"/>
          <w:sz w:val="24"/>
          <w:szCs w:val="24"/>
        </w:rPr>
      </w:pPr>
    </w:p>
    <w:p w:rsidR="00DD59BD" w:rsidRDefault="00DD59BD" w:rsidP="005A2AFB">
      <w:pPr>
        <w:spacing w:after="0" w:line="360" w:lineRule="auto"/>
        <w:jc w:val="both"/>
        <w:rPr>
          <w:rFonts w:ascii="Arial" w:hAnsi="Arial" w:cs="Arial"/>
          <w:sz w:val="24"/>
          <w:szCs w:val="24"/>
        </w:rPr>
      </w:pPr>
    </w:p>
    <w:p w:rsidR="0071415F" w:rsidRDefault="0071415F" w:rsidP="005A2AFB">
      <w:pPr>
        <w:spacing w:after="0" w:line="360" w:lineRule="auto"/>
        <w:jc w:val="both"/>
        <w:rPr>
          <w:rFonts w:ascii="Arial" w:hAnsi="Arial" w:cs="Arial"/>
          <w:sz w:val="24"/>
          <w:szCs w:val="24"/>
        </w:rPr>
      </w:pPr>
    </w:p>
    <w:p w:rsidR="0071415F" w:rsidRDefault="0071415F" w:rsidP="005A2AFB">
      <w:pPr>
        <w:spacing w:after="0" w:line="360" w:lineRule="auto"/>
        <w:jc w:val="both"/>
        <w:rPr>
          <w:rFonts w:ascii="Arial" w:hAnsi="Arial" w:cs="Arial"/>
          <w:sz w:val="24"/>
          <w:szCs w:val="24"/>
        </w:rPr>
      </w:pPr>
    </w:p>
    <w:p w:rsidR="00476FF9" w:rsidRDefault="002A5A36" w:rsidP="005A2AFB">
      <w:pPr>
        <w:spacing w:after="0" w:line="360" w:lineRule="auto"/>
        <w:jc w:val="both"/>
        <w:rPr>
          <w:rFonts w:ascii="Arial" w:hAnsi="Arial" w:cs="Arial"/>
          <w:i/>
          <w:sz w:val="24"/>
          <w:szCs w:val="24"/>
        </w:rPr>
      </w:pPr>
      <w:r w:rsidRPr="002A5A36">
        <w:rPr>
          <w:rFonts w:ascii="Arial" w:hAnsi="Arial" w:cs="Arial"/>
          <w:i/>
          <w:sz w:val="24"/>
          <w:szCs w:val="24"/>
        </w:rPr>
        <w:t xml:space="preserve">Point in limine: </w:t>
      </w:r>
    </w:p>
    <w:p w:rsidR="00106FCC" w:rsidRPr="00106FCC" w:rsidRDefault="00106FCC" w:rsidP="005A2AFB">
      <w:pPr>
        <w:spacing w:after="0" w:line="360" w:lineRule="auto"/>
        <w:jc w:val="both"/>
        <w:rPr>
          <w:rFonts w:ascii="Arial" w:hAnsi="Arial" w:cs="Arial"/>
          <w:i/>
          <w:sz w:val="24"/>
          <w:szCs w:val="24"/>
        </w:rPr>
      </w:pPr>
    </w:p>
    <w:p w:rsidR="00106FCC" w:rsidRPr="00320548" w:rsidRDefault="00106FCC" w:rsidP="005A2AFB">
      <w:pPr>
        <w:spacing w:after="0" w:line="360" w:lineRule="auto"/>
        <w:jc w:val="both"/>
        <w:rPr>
          <w:rFonts w:ascii="Arial" w:hAnsi="Arial" w:cs="Arial"/>
          <w:sz w:val="24"/>
          <w:szCs w:val="24"/>
          <w:u w:val="single"/>
        </w:rPr>
      </w:pPr>
    </w:p>
    <w:p w:rsidR="00476FF9" w:rsidRPr="000436B3" w:rsidRDefault="00DD59BD" w:rsidP="005A2AFB">
      <w:pPr>
        <w:spacing w:after="0" w:line="360" w:lineRule="auto"/>
        <w:jc w:val="both"/>
        <w:rPr>
          <w:rFonts w:ascii="Arial" w:hAnsi="Arial" w:cs="Arial"/>
          <w:sz w:val="24"/>
          <w:szCs w:val="24"/>
        </w:rPr>
      </w:pPr>
      <w:r>
        <w:rPr>
          <w:rFonts w:ascii="Arial" w:hAnsi="Arial" w:cs="Arial"/>
          <w:sz w:val="24"/>
          <w:szCs w:val="24"/>
        </w:rPr>
        <w:t>[</w:t>
      </w:r>
      <w:r w:rsidR="00476FF9">
        <w:rPr>
          <w:rFonts w:ascii="Arial" w:hAnsi="Arial" w:cs="Arial"/>
          <w:sz w:val="24"/>
          <w:szCs w:val="24"/>
        </w:rPr>
        <w:t>7</w:t>
      </w:r>
      <w:r>
        <w:rPr>
          <w:rFonts w:ascii="Arial" w:hAnsi="Arial" w:cs="Arial"/>
          <w:sz w:val="24"/>
          <w:szCs w:val="24"/>
        </w:rPr>
        <w:t>]</w:t>
      </w:r>
      <w:r w:rsidR="00106FCC">
        <w:rPr>
          <w:rFonts w:ascii="Arial" w:hAnsi="Arial" w:cs="Arial"/>
          <w:sz w:val="24"/>
          <w:szCs w:val="24"/>
        </w:rPr>
        <w:tab/>
      </w:r>
      <w:r w:rsidR="00476FF9" w:rsidRPr="000436B3">
        <w:rPr>
          <w:rFonts w:ascii="Arial" w:hAnsi="Arial" w:cs="Arial"/>
          <w:sz w:val="24"/>
          <w:szCs w:val="24"/>
        </w:rPr>
        <w:t xml:space="preserve">Rule 32 </w:t>
      </w:r>
      <w:r w:rsidR="00476FF9">
        <w:rPr>
          <w:rFonts w:ascii="Arial" w:hAnsi="Arial" w:cs="Arial"/>
          <w:sz w:val="24"/>
          <w:szCs w:val="24"/>
        </w:rPr>
        <w:t>regulates</w:t>
      </w:r>
      <w:r w:rsidR="00EF77F3">
        <w:rPr>
          <w:rFonts w:ascii="Arial" w:hAnsi="Arial" w:cs="Arial"/>
          <w:sz w:val="24"/>
          <w:szCs w:val="24"/>
        </w:rPr>
        <w:t xml:space="preserve"> </w:t>
      </w:r>
      <w:r w:rsidR="00476FF9">
        <w:rPr>
          <w:rFonts w:ascii="Arial" w:hAnsi="Arial" w:cs="Arial"/>
          <w:sz w:val="24"/>
          <w:szCs w:val="24"/>
        </w:rPr>
        <w:t>i</w:t>
      </w:r>
      <w:r w:rsidR="00476FF9" w:rsidRPr="000436B3">
        <w:rPr>
          <w:rFonts w:ascii="Arial" w:hAnsi="Arial" w:cs="Arial"/>
          <w:sz w:val="24"/>
          <w:szCs w:val="24"/>
        </w:rPr>
        <w:t xml:space="preserve">nterlocutory matters and applications for directions. Rule 32(9) and (10), </w:t>
      </w:r>
      <w:r w:rsidR="00476FF9">
        <w:rPr>
          <w:rFonts w:ascii="Arial" w:hAnsi="Arial" w:cs="Arial"/>
          <w:sz w:val="24"/>
          <w:szCs w:val="24"/>
        </w:rPr>
        <w:t>read as follows</w:t>
      </w:r>
      <w:r w:rsidR="00476FF9" w:rsidRPr="000436B3">
        <w:rPr>
          <w:rFonts w:ascii="Arial" w:hAnsi="Arial" w:cs="Arial"/>
          <w:sz w:val="24"/>
          <w:szCs w:val="24"/>
        </w:rPr>
        <w:t>:</w:t>
      </w:r>
    </w:p>
    <w:p w:rsidR="00476FF9" w:rsidRDefault="00476FF9" w:rsidP="005A2AFB">
      <w:pPr>
        <w:spacing w:after="0" w:line="360" w:lineRule="auto"/>
        <w:jc w:val="both"/>
        <w:rPr>
          <w:rFonts w:ascii="Arial" w:hAnsi="Arial" w:cs="Arial"/>
          <w:sz w:val="24"/>
          <w:szCs w:val="24"/>
        </w:rPr>
      </w:pPr>
    </w:p>
    <w:p w:rsidR="00106FCC" w:rsidRPr="000436B3" w:rsidRDefault="00106FCC" w:rsidP="005A2AFB">
      <w:pPr>
        <w:spacing w:after="0" w:line="360" w:lineRule="auto"/>
        <w:jc w:val="both"/>
        <w:rPr>
          <w:rFonts w:ascii="Arial" w:hAnsi="Arial" w:cs="Arial"/>
          <w:sz w:val="24"/>
          <w:szCs w:val="24"/>
        </w:rPr>
      </w:pPr>
    </w:p>
    <w:p w:rsidR="00476FF9" w:rsidRPr="00106FCC" w:rsidRDefault="002A5A36" w:rsidP="005A2AFB">
      <w:pPr>
        <w:spacing w:after="0" w:line="360" w:lineRule="auto"/>
        <w:ind w:left="720"/>
        <w:jc w:val="both"/>
        <w:rPr>
          <w:rFonts w:ascii="Arial" w:hAnsi="Arial" w:cs="Arial"/>
          <w:i/>
        </w:rPr>
      </w:pPr>
      <w:r w:rsidRPr="002A5A36">
        <w:rPr>
          <w:rFonts w:ascii="Arial" w:hAnsi="Arial" w:cs="Arial"/>
          <w:i/>
        </w:rPr>
        <w:t>‘(9) In relation to any proceeding referred to in this rule, a party wishing to bring such proceeding must, before launching it, seek an amicable resolution thereof with the other party or parties and only after the parties have failed to resolve their dispute may such proceeding be delivered for adjudication by the court.</w:t>
      </w:r>
    </w:p>
    <w:p w:rsidR="00106FCC" w:rsidRPr="00106FCC" w:rsidRDefault="00106FCC" w:rsidP="005A2AFB">
      <w:pPr>
        <w:spacing w:after="0" w:line="360" w:lineRule="auto"/>
        <w:ind w:left="720"/>
        <w:jc w:val="both"/>
        <w:rPr>
          <w:rFonts w:ascii="Arial" w:hAnsi="Arial" w:cs="Arial"/>
          <w:i/>
        </w:rPr>
      </w:pPr>
    </w:p>
    <w:p w:rsidR="00476FF9" w:rsidRPr="00106FCC" w:rsidRDefault="002A5A36" w:rsidP="005A2AFB">
      <w:pPr>
        <w:spacing w:after="0" w:line="360" w:lineRule="auto"/>
        <w:ind w:left="720"/>
        <w:jc w:val="both"/>
        <w:rPr>
          <w:rFonts w:ascii="Arial" w:hAnsi="Arial" w:cs="Arial"/>
          <w:i/>
        </w:rPr>
      </w:pPr>
      <w:r w:rsidRPr="002A5A36">
        <w:rPr>
          <w:rFonts w:ascii="Arial" w:hAnsi="Arial" w:cs="Arial"/>
          <w:i/>
        </w:rPr>
        <w:t>(10) The party bringing any proceeding contemplated in this rule must before, instituting the proceeding, file with the registrar details of the steps taken to have the  matter amicably resolved as contemplated in subrule (9) without disclosing privileged information.’</w:t>
      </w:r>
    </w:p>
    <w:p w:rsidR="00106FCC" w:rsidRDefault="00106FCC" w:rsidP="005A2AFB">
      <w:pPr>
        <w:spacing w:after="0" w:line="360" w:lineRule="auto"/>
        <w:ind w:left="720"/>
        <w:jc w:val="both"/>
        <w:rPr>
          <w:rFonts w:ascii="Arial" w:hAnsi="Arial" w:cs="Arial"/>
        </w:rPr>
      </w:pPr>
    </w:p>
    <w:p w:rsidR="00320548" w:rsidRPr="000436B3" w:rsidRDefault="00320548" w:rsidP="005A2AFB">
      <w:pPr>
        <w:spacing w:after="0" w:line="360" w:lineRule="auto"/>
        <w:ind w:left="720"/>
        <w:jc w:val="both"/>
        <w:rPr>
          <w:rFonts w:ascii="Arial" w:hAnsi="Arial" w:cs="Arial"/>
        </w:rPr>
      </w:pPr>
    </w:p>
    <w:p w:rsidR="00476FF9" w:rsidRDefault="00476FF9" w:rsidP="005A2AFB">
      <w:pPr>
        <w:spacing w:after="0" w:line="360" w:lineRule="auto"/>
        <w:jc w:val="both"/>
        <w:rPr>
          <w:rFonts w:ascii="Arial" w:hAnsi="Arial" w:cs="Arial"/>
          <w:sz w:val="24"/>
          <w:szCs w:val="24"/>
        </w:rPr>
      </w:pPr>
      <w:r>
        <w:rPr>
          <w:rFonts w:ascii="Arial" w:hAnsi="Arial" w:cs="Arial"/>
          <w:sz w:val="24"/>
          <w:szCs w:val="24"/>
        </w:rPr>
        <w:t>[8]</w:t>
      </w:r>
      <w:r w:rsidR="00106FCC">
        <w:rPr>
          <w:rFonts w:ascii="Arial" w:hAnsi="Arial" w:cs="Arial"/>
          <w:sz w:val="24"/>
          <w:szCs w:val="24"/>
        </w:rPr>
        <w:tab/>
      </w:r>
      <w:r>
        <w:rPr>
          <w:rFonts w:ascii="Arial" w:hAnsi="Arial" w:cs="Arial"/>
          <w:sz w:val="24"/>
          <w:szCs w:val="24"/>
        </w:rPr>
        <w:t>There can be no opposition if I say that the application to compel discovery in terms of rule 28(8) is indeed interlocutory in nature and that rule 32(9) and (10) would apply.</w:t>
      </w:r>
    </w:p>
    <w:p w:rsidR="00106FCC" w:rsidRDefault="00106FCC" w:rsidP="005A2AFB">
      <w:pPr>
        <w:spacing w:after="0" w:line="360" w:lineRule="auto"/>
        <w:jc w:val="both"/>
        <w:rPr>
          <w:rFonts w:ascii="Arial" w:hAnsi="Arial" w:cs="Arial"/>
          <w:sz w:val="24"/>
          <w:szCs w:val="24"/>
        </w:rPr>
      </w:pPr>
    </w:p>
    <w:p w:rsidR="00320548" w:rsidRDefault="00320548" w:rsidP="005A2AFB">
      <w:pPr>
        <w:spacing w:after="0" w:line="360" w:lineRule="auto"/>
        <w:jc w:val="both"/>
        <w:rPr>
          <w:rFonts w:ascii="Arial" w:hAnsi="Arial" w:cs="Arial"/>
          <w:sz w:val="24"/>
          <w:szCs w:val="24"/>
        </w:rPr>
      </w:pPr>
    </w:p>
    <w:p w:rsidR="00476FF9" w:rsidRDefault="00476FF9" w:rsidP="005A2AFB">
      <w:pPr>
        <w:spacing w:after="0" w:line="360" w:lineRule="auto"/>
        <w:jc w:val="both"/>
        <w:rPr>
          <w:rFonts w:ascii="Arial" w:hAnsi="Arial" w:cs="Arial"/>
          <w:sz w:val="24"/>
          <w:szCs w:val="24"/>
        </w:rPr>
      </w:pPr>
      <w:r>
        <w:rPr>
          <w:rFonts w:ascii="Arial" w:hAnsi="Arial" w:cs="Arial"/>
          <w:sz w:val="24"/>
          <w:szCs w:val="24"/>
        </w:rPr>
        <w:t>[9]</w:t>
      </w:r>
      <w:r w:rsidR="00106FCC">
        <w:rPr>
          <w:rFonts w:ascii="Arial" w:hAnsi="Arial" w:cs="Arial"/>
          <w:sz w:val="24"/>
          <w:szCs w:val="24"/>
        </w:rPr>
        <w:tab/>
      </w:r>
      <w:r>
        <w:rPr>
          <w:rFonts w:ascii="Arial" w:hAnsi="Arial" w:cs="Arial"/>
          <w:sz w:val="24"/>
          <w:szCs w:val="24"/>
        </w:rPr>
        <w:t>The court was referred the matter of</w:t>
      </w:r>
      <w:r w:rsidR="00EF77F3">
        <w:rPr>
          <w:rFonts w:ascii="Arial" w:hAnsi="Arial" w:cs="Arial"/>
          <w:sz w:val="24"/>
          <w:szCs w:val="24"/>
        </w:rPr>
        <w:t xml:space="preserve"> </w:t>
      </w:r>
      <w:r w:rsidRPr="000436B3">
        <w:rPr>
          <w:rFonts w:ascii="Arial" w:hAnsi="Arial" w:cs="Arial"/>
          <w:i/>
          <w:sz w:val="24"/>
          <w:szCs w:val="24"/>
        </w:rPr>
        <w:t>Mukata v Appollos</w:t>
      </w:r>
      <w:r w:rsidRPr="000436B3">
        <w:rPr>
          <w:rStyle w:val="FootnoteReference"/>
          <w:rFonts w:ascii="Arial" w:hAnsi="Arial" w:cs="Arial"/>
          <w:i/>
          <w:sz w:val="24"/>
          <w:szCs w:val="24"/>
        </w:rPr>
        <w:footnoteReference w:id="1"/>
      </w:r>
      <w:r w:rsidRPr="000436B3">
        <w:rPr>
          <w:rFonts w:ascii="Arial" w:hAnsi="Arial" w:cs="Arial"/>
          <w:sz w:val="24"/>
          <w:szCs w:val="24"/>
        </w:rPr>
        <w:t xml:space="preserve"> where the learned Parker AJ held that the above provisions applied to interlocutory applications and applications for directives</w:t>
      </w:r>
      <w:r>
        <w:rPr>
          <w:rFonts w:ascii="Arial" w:hAnsi="Arial" w:cs="Arial"/>
          <w:sz w:val="24"/>
          <w:szCs w:val="24"/>
        </w:rPr>
        <w:t xml:space="preserve"> and </w:t>
      </w:r>
      <w:r w:rsidRPr="000436B3">
        <w:rPr>
          <w:rFonts w:ascii="Arial" w:hAnsi="Arial" w:cs="Arial"/>
          <w:sz w:val="24"/>
          <w:szCs w:val="24"/>
        </w:rPr>
        <w:t>that the said provisions were peremptory in nature and that failure to comply with them was fatal</w:t>
      </w:r>
      <w:r>
        <w:rPr>
          <w:rFonts w:ascii="Arial" w:hAnsi="Arial" w:cs="Arial"/>
          <w:sz w:val="24"/>
          <w:szCs w:val="24"/>
        </w:rPr>
        <w:t>.</w:t>
      </w:r>
    </w:p>
    <w:p w:rsidR="00106FCC" w:rsidRDefault="00106FCC" w:rsidP="005A2AFB">
      <w:pPr>
        <w:spacing w:after="0" w:line="360" w:lineRule="auto"/>
        <w:jc w:val="both"/>
        <w:rPr>
          <w:rFonts w:ascii="Arial" w:hAnsi="Arial" w:cs="Arial"/>
          <w:sz w:val="24"/>
          <w:szCs w:val="24"/>
        </w:rPr>
      </w:pPr>
    </w:p>
    <w:p w:rsidR="00320548" w:rsidRDefault="00320548" w:rsidP="005A2AFB">
      <w:pPr>
        <w:spacing w:after="0" w:line="360" w:lineRule="auto"/>
        <w:jc w:val="both"/>
        <w:rPr>
          <w:rFonts w:ascii="Arial" w:hAnsi="Arial" w:cs="Arial"/>
          <w:sz w:val="24"/>
          <w:szCs w:val="24"/>
        </w:rPr>
      </w:pPr>
    </w:p>
    <w:p w:rsidR="00320548" w:rsidRDefault="00476FF9" w:rsidP="005A2AFB">
      <w:pPr>
        <w:spacing w:after="0" w:line="360" w:lineRule="auto"/>
        <w:jc w:val="both"/>
        <w:rPr>
          <w:rFonts w:ascii="Arial" w:eastAsia="Dotum" w:hAnsi="Arial" w:cs="Arial"/>
          <w:sz w:val="24"/>
          <w:szCs w:val="24"/>
        </w:rPr>
      </w:pPr>
      <w:r>
        <w:rPr>
          <w:rFonts w:ascii="Arial" w:hAnsi="Arial" w:cs="Arial"/>
          <w:sz w:val="24"/>
          <w:szCs w:val="24"/>
        </w:rPr>
        <w:t>[10]</w:t>
      </w:r>
      <w:r w:rsidR="00925FB8">
        <w:rPr>
          <w:rFonts w:ascii="Arial" w:hAnsi="Arial" w:cs="Arial"/>
          <w:sz w:val="24"/>
          <w:szCs w:val="24"/>
        </w:rPr>
        <w:tab/>
      </w:r>
      <w:r>
        <w:rPr>
          <w:rFonts w:ascii="Arial" w:hAnsi="Arial" w:cs="Arial"/>
          <w:sz w:val="24"/>
          <w:szCs w:val="24"/>
        </w:rPr>
        <w:t xml:space="preserve"> The sentiments of Parker AJ was </w:t>
      </w:r>
      <w:r w:rsidR="00320548">
        <w:rPr>
          <w:rFonts w:ascii="Arial" w:hAnsi="Arial" w:cs="Arial"/>
          <w:sz w:val="24"/>
          <w:szCs w:val="24"/>
        </w:rPr>
        <w:t xml:space="preserve">readily </w:t>
      </w:r>
      <w:r>
        <w:rPr>
          <w:rFonts w:ascii="Arial" w:hAnsi="Arial" w:cs="Arial"/>
          <w:sz w:val="24"/>
          <w:szCs w:val="24"/>
        </w:rPr>
        <w:t xml:space="preserve">accepted by the applicant but it was argued by </w:t>
      </w:r>
      <w:r w:rsidR="00E87C3F">
        <w:rPr>
          <w:rFonts w:ascii="Arial" w:hAnsi="Arial" w:cs="Arial"/>
          <w:sz w:val="24"/>
          <w:szCs w:val="24"/>
        </w:rPr>
        <w:t>M</w:t>
      </w:r>
      <w:r w:rsidR="00106FCC">
        <w:rPr>
          <w:rFonts w:ascii="Arial" w:hAnsi="Arial" w:cs="Arial"/>
          <w:sz w:val="24"/>
          <w:szCs w:val="24"/>
        </w:rPr>
        <w:t>s</w:t>
      </w:r>
      <w:r w:rsidR="00EF77F3">
        <w:rPr>
          <w:rFonts w:ascii="Arial" w:hAnsi="Arial" w:cs="Arial"/>
          <w:sz w:val="24"/>
          <w:szCs w:val="24"/>
        </w:rPr>
        <w:t xml:space="preserve"> </w:t>
      </w:r>
      <w:r w:rsidR="00E87C3F" w:rsidRPr="00B95BC5">
        <w:rPr>
          <w:rFonts w:ascii="Arial" w:eastAsia="Dotum" w:hAnsi="Arial" w:cs="Arial"/>
          <w:sz w:val="24"/>
          <w:szCs w:val="24"/>
        </w:rPr>
        <w:t>Bassingthwait</w:t>
      </w:r>
      <w:r w:rsidR="00106FCC">
        <w:rPr>
          <w:rFonts w:ascii="Arial" w:eastAsia="Dotum" w:hAnsi="Arial" w:cs="Arial"/>
          <w:sz w:val="24"/>
          <w:szCs w:val="24"/>
        </w:rPr>
        <w:t>e</w:t>
      </w:r>
      <w:r w:rsidR="00E87C3F">
        <w:rPr>
          <w:rFonts w:ascii="Arial" w:eastAsia="Dotum" w:hAnsi="Arial" w:cs="Arial"/>
          <w:sz w:val="24"/>
          <w:szCs w:val="24"/>
        </w:rPr>
        <w:t xml:space="preserve"> that there was indeed substantive compliance with the said rules even though no report was filed with the Registrar in terms of rule 32(10)</w:t>
      </w:r>
      <w:r w:rsidR="00320548">
        <w:rPr>
          <w:rFonts w:ascii="Arial" w:eastAsia="Dotum" w:hAnsi="Arial" w:cs="Arial"/>
          <w:sz w:val="24"/>
          <w:szCs w:val="24"/>
        </w:rPr>
        <w:t>.</w:t>
      </w:r>
      <w:r w:rsidR="00106FCC">
        <w:rPr>
          <w:rFonts w:ascii="Arial" w:eastAsia="Dotum" w:hAnsi="Arial" w:cs="Arial"/>
          <w:sz w:val="24"/>
          <w:szCs w:val="24"/>
        </w:rPr>
        <w:t xml:space="preserve">The </w:t>
      </w:r>
      <w:r w:rsidR="00320548">
        <w:rPr>
          <w:rFonts w:ascii="Arial" w:eastAsia="Dotum" w:hAnsi="Arial" w:cs="Arial"/>
          <w:sz w:val="24"/>
          <w:szCs w:val="24"/>
        </w:rPr>
        <w:t>C</w:t>
      </w:r>
      <w:r w:rsidR="00E87C3F">
        <w:rPr>
          <w:rFonts w:ascii="Arial" w:eastAsia="Dotum" w:hAnsi="Arial" w:cs="Arial"/>
          <w:sz w:val="24"/>
          <w:szCs w:val="24"/>
        </w:rPr>
        <w:t xml:space="preserve">ourt was </w:t>
      </w:r>
      <w:r w:rsidR="00320548">
        <w:rPr>
          <w:rFonts w:ascii="Arial" w:eastAsia="Dotum" w:hAnsi="Arial" w:cs="Arial"/>
          <w:sz w:val="24"/>
          <w:szCs w:val="24"/>
        </w:rPr>
        <w:t>invited</w:t>
      </w:r>
      <w:r w:rsidR="00E87C3F">
        <w:rPr>
          <w:rFonts w:ascii="Arial" w:eastAsia="Dotum" w:hAnsi="Arial" w:cs="Arial"/>
          <w:sz w:val="24"/>
          <w:szCs w:val="24"/>
        </w:rPr>
        <w:t xml:space="preserve"> to consider the documentation </w:t>
      </w:r>
      <w:r w:rsidR="00320548">
        <w:rPr>
          <w:rFonts w:ascii="Arial" w:eastAsia="Dotum" w:hAnsi="Arial" w:cs="Arial"/>
          <w:sz w:val="24"/>
          <w:szCs w:val="24"/>
        </w:rPr>
        <w:t>filed in support of the founding affidavit in substantiating the argument.</w:t>
      </w:r>
    </w:p>
    <w:p w:rsidR="00106FCC" w:rsidRDefault="00106FCC" w:rsidP="005A2AFB">
      <w:pPr>
        <w:spacing w:after="0" w:line="360" w:lineRule="auto"/>
        <w:jc w:val="both"/>
        <w:rPr>
          <w:rFonts w:ascii="Arial" w:eastAsia="Dotum" w:hAnsi="Arial" w:cs="Arial"/>
          <w:sz w:val="24"/>
          <w:szCs w:val="24"/>
        </w:rPr>
      </w:pPr>
    </w:p>
    <w:p w:rsidR="00320548" w:rsidRDefault="00320548" w:rsidP="005A2AFB">
      <w:pPr>
        <w:spacing w:after="0" w:line="360" w:lineRule="auto"/>
        <w:jc w:val="both"/>
        <w:rPr>
          <w:rFonts w:ascii="Arial" w:eastAsia="Dotum" w:hAnsi="Arial" w:cs="Arial"/>
          <w:sz w:val="24"/>
          <w:szCs w:val="24"/>
        </w:rPr>
      </w:pPr>
    </w:p>
    <w:p w:rsidR="00CE3BDE" w:rsidRDefault="00E87C3F" w:rsidP="005A2AFB">
      <w:pPr>
        <w:spacing w:after="0" w:line="360" w:lineRule="auto"/>
        <w:jc w:val="both"/>
        <w:rPr>
          <w:rFonts w:ascii="Arial" w:eastAsia="Dotum" w:hAnsi="Arial" w:cs="Arial"/>
          <w:sz w:val="24"/>
          <w:szCs w:val="24"/>
        </w:rPr>
      </w:pPr>
      <w:r>
        <w:rPr>
          <w:rFonts w:ascii="Arial" w:eastAsia="Dotum" w:hAnsi="Arial" w:cs="Arial"/>
          <w:sz w:val="24"/>
          <w:szCs w:val="24"/>
        </w:rPr>
        <w:t>[11]</w:t>
      </w:r>
      <w:r w:rsidR="00925FB8">
        <w:rPr>
          <w:rFonts w:ascii="Arial" w:eastAsia="Dotum" w:hAnsi="Arial" w:cs="Arial"/>
          <w:sz w:val="24"/>
          <w:szCs w:val="24"/>
        </w:rPr>
        <w:tab/>
      </w:r>
      <w:r>
        <w:rPr>
          <w:rFonts w:ascii="Arial" w:eastAsia="Dotum" w:hAnsi="Arial" w:cs="Arial"/>
          <w:sz w:val="24"/>
          <w:szCs w:val="24"/>
        </w:rPr>
        <w:t xml:space="preserve"> It is thus necessary to consider the origin </w:t>
      </w:r>
      <w:r w:rsidR="00CE3BDE">
        <w:rPr>
          <w:rFonts w:ascii="Arial" w:eastAsia="Dotum" w:hAnsi="Arial" w:cs="Arial"/>
          <w:sz w:val="24"/>
          <w:szCs w:val="24"/>
        </w:rPr>
        <w:t xml:space="preserve">of the application before </w:t>
      </w:r>
      <w:r w:rsidR="00106FCC">
        <w:rPr>
          <w:rFonts w:ascii="Arial" w:eastAsia="Dotum" w:hAnsi="Arial" w:cs="Arial"/>
          <w:sz w:val="24"/>
          <w:szCs w:val="24"/>
        </w:rPr>
        <w:t>C</w:t>
      </w:r>
      <w:r w:rsidR="00CE3BDE">
        <w:rPr>
          <w:rFonts w:ascii="Arial" w:eastAsia="Dotum" w:hAnsi="Arial" w:cs="Arial"/>
          <w:sz w:val="24"/>
          <w:szCs w:val="24"/>
        </w:rPr>
        <w:t>ourt in order to determine if there was compliance with the relevant sub</w:t>
      </w:r>
      <w:r w:rsidR="00C334E1">
        <w:rPr>
          <w:rFonts w:ascii="Arial" w:eastAsia="Dotum" w:hAnsi="Arial" w:cs="Arial"/>
          <w:sz w:val="24"/>
          <w:szCs w:val="24"/>
        </w:rPr>
        <w:t>-</w:t>
      </w:r>
      <w:r w:rsidR="00CE3BDE">
        <w:rPr>
          <w:rFonts w:ascii="Arial" w:eastAsia="Dotum" w:hAnsi="Arial" w:cs="Arial"/>
          <w:sz w:val="24"/>
          <w:szCs w:val="24"/>
        </w:rPr>
        <w:t>rules.</w:t>
      </w:r>
    </w:p>
    <w:p w:rsidR="00106FCC" w:rsidRDefault="00106FCC" w:rsidP="005A2AFB">
      <w:pPr>
        <w:spacing w:after="0" w:line="360" w:lineRule="auto"/>
        <w:jc w:val="both"/>
        <w:rPr>
          <w:rFonts w:ascii="Arial" w:eastAsia="Dotum" w:hAnsi="Arial" w:cs="Arial"/>
          <w:sz w:val="24"/>
          <w:szCs w:val="24"/>
        </w:rPr>
      </w:pPr>
    </w:p>
    <w:p w:rsidR="00320548" w:rsidRDefault="00320548" w:rsidP="005A2AFB">
      <w:pPr>
        <w:spacing w:after="0" w:line="360" w:lineRule="auto"/>
        <w:jc w:val="both"/>
        <w:rPr>
          <w:rFonts w:ascii="Arial" w:eastAsia="Dotum" w:hAnsi="Arial" w:cs="Arial"/>
          <w:sz w:val="24"/>
          <w:szCs w:val="24"/>
        </w:rPr>
      </w:pPr>
    </w:p>
    <w:p w:rsidR="00DD59BD" w:rsidRDefault="00CE3BDE" w:rsidP="005A2AFB">
      <w:pPr>
        <w:spacing w:after="0" w:line="360" w:lineRule="auto"/>
        <w:jc w:val="both"/>
        <w:rPr>
          <w:rFonts w:ascii="Arial" w:hAnsi="Arial" w:cs="Arial"/>
          <w:sz w:val="24"/>
          <w:szCs w:val="24"/>
        </w:rPr>
      </w:pPr>
      <w:r>
        <w:rPr>
          <w:rFonts w:ascii="Arial" w:eastAsia="Dotum" w:hAnsi="Arial" w:cs="Arial"/>
          <w:sz w:val="24"/>
          <w:szCs w:val="24"/>
        </w:rPr>
        <w:t>[12]</w:t>
      </w:r>
      <w:r w:rsidR="00925FB8">
        <w:rPr>
          <w:rFonts w:ascii="Arial" w:eastAsia="Dotum" w:hAnsi="Arial" w:cs="Arial"/>
          <w:sz w:val="24"/>
          <w:szCs w:val="24"/>
        </w:rPr>
        <w:tab/>
      </w:r>
      <w:r w:rsidR="00DD59BD">
        <w:rPr>
          <w:rFonts w:ascii="Arial" w:hAnsi="Arial" w:cs="Arial"/>
          <w:sz w:val="24"/>
          <w:szCs w:val="24"/>
        </w:rPr>
        <w:t xml:space="preserve">This application </w:t>
      </w:r>
      <w:r>
        <w:rPr>
          <w:rFonts w:ascii="Arial" w:hAnsi="Arial" w:cs="Arial"/>
          <w:sz w:val="24"/>
          <w:szCs w:val="24"/>
        </w:rPr>
        <w:t>found</w:t>
      </w:r>
      <w:r w:rsidR="00DD59BD">
        <w:rPr>
          <w:rFonts w:ascii="Arial" w:hAnsi="Arial" w:cs="Arial"/>
          <w:sz w:val="24"/>
          <w:szCs w:val="24"/>
        </w:rPr>
        <w:t xml:space="preserve"> it</w:t>
      </w:r>
      <w:r>
        <w:rPr>
          <w:rFonts w:ascii="Arial" w:hAnsi="Arial" w:cs="Arial"/>
          <w:sz w:val="24"/>
          <w:szCs w:val="24"/>
        </w:rPr>
        <w:t>s</w:t>
      </w:r>
      <w:r w:rsidR="00DD59BD">
        <w:rPr>
          <w:rFonts w:ascii="Arial" w:hAnsi="Arial" w:cs="Arial"/>
          <w:sz w:val="24"/>
          <w:szCs w:val="24"/>
        </w:rPr>
        <w:t xml:space="preserve"> origin in the fact that on 29 April 2016 the </w:t>
      </w:r>
      <w:r w:rsidR="00A40238">
        <w:rPr>
          <w:rFonts w:ascii="Arial" w:hAnsi="Arial" w:cs="Arial"/>
          <w:sz w:val="24"/>
          <w:szCs w:val="24"/>
        </w:rPr>
        <w:t xml:space="preserve">applicants </w:t>
      </w:r>
      <w:r w:rsidR="00DD59BD">
        <w:rPr>
          <w:rFonts w:ascii="Arial" w:hAnsi="Arial" w:cs="Arial"/>
          <w:sz w:val="24"/>
          <w:szCs w:val="24"/>
        </w:rPr>
        <w:t xml:space="preserve">filed a notice on the respondents under the heading: </w:t>
      </w:r>
      <w:r w:rsidR="00DD59BD" w:rsidRPr="0043340E">
        <w:rPr>
          <w:rFonts w:ascii="Arial" w:hAnsi="Arial" w:cs="Arial"/>
          <w:b/>
          <w:sz w:val="24"/>
          <w:szCs w:val="24"/>
        </w:rPr>
        <w:t>RULE 28(8)(a) DISCOVERY: ADDITIONAL DOCUMENTS TO BE DISCLOSED</w:t>
      </w:r>
      <w:r w:rsidR="00DD59BD" w:rsidRPr="0043340E">
        <w:rPr>
          <w:rFonts w:ascii="Arial" w:hAnsi="Arial" w:cs="Arial"/>
          <w:sz w:val="24"/>
          <w:szCs w:val="24"/>
        </w:rPr>
        <w:t>.</w:t>
      </w:r>
      <w:r w:rsidR="00EF77F3">
        <w:rPr>
          <w:rFonts w:ascii="Arial" w:hAnsi="Arial" w:cs="Arial"/>
          <w:sz w:val="24"/>
          <w:szCs w:val="24"/>
        </w:rPr>
        <w:t xml:space="preserve"> </w:t>
      </w:r>
      <w:r w:rsidR="00DD59BD">
        <w:rPr>
          <w:rFonts w:ascii="Arial" w:hAnsi="Arial" w:cs="Arial"/>
          <w:sz w:val="24"/>
          <w:szCs w:val="24"/>
        </w:rPr>
        <w:t xml:space="preserve">It proceeded to set out the parties </w:t>
      </w:r>
      <w:r w:rsidR="00FA28DF">
        <w:rPr>
          <w:rFonts w:ascii="Arial" w:hAnsi="Arial" w:cs="Arial"/>
          <w:sz w:val="24"/>
          <w:szCs w:val="24"/>
        </w:rPr>
        <w:t xml:space="preserve">to the matter </w:t>
      </w:r>
      <w:r w:rsidR="00DD59BD">
        <w:rPr>
          <w:rFonts w:ascii="Arial" w:hAnsi="Arial" w:cs="Arial"/>
          <w:sz w:val="24"/>
          <w:szCs w:val="24"/>
        </w:rPr>
        <w:t xml:space="preserve">and it called upon the respondents to discover </w:t>
      </w:r>
      <w:r w:rsidR="00FA28DF">
        <w:rPr>
          <w:rFonts w:ascii="Arial" w:hAnsi="Arial" w:cs="Arial"/>
          <w:sz w:val="24"/>
          <w:szCs w:val="24"/>
        </w:rPr>
        <w:t xml:space="preserve">bank account statements of the first three respondents for the period 2012 </w:t>
      </w:r>
      <w:r w:rsidR="00106FCC">
        <w:rPr>
          <w:rFonts w:ascii="Arial" w:hAnsi="Arial" w:cs="Arial"/>
          <w:sz w:val="24"/>
          <w:szCs w:val="24"/>
        </w:rPr>
        <w:t xml:space="preserve">- </w:t>
      </w:r>
      <w:r w:rsidR="00FA28DF">
        <w:rPr>
          <w:rFonts w:ascii="Arial" w:hAnsi="Arial" w:cs="Arial"/>
          <w:sz w:val="24"/>
          <w:szCs w:val="24"/>
        </w:rPr>
        <w:t xml:space="preserve">2016 </w:t>
      </w:r>
      <w:r w:rsidR="00DD59BD">
        <w:rPr>
          <w:rFonts w:ascii="Arial" w:hAnsi="Arial" w:cs="Arial"/>
          <w:sz w:val="24"/>
          <w:szCs w:val="24"/>
        </w:rPr>
        <w:t>on or before 30 May 2016.</w:t>
      </w:r>
      <w:r w:rsidR="00FA28DF">
        <w:rPr>
          <w:rFonts w:ascii="Arial" w:hAnsi="Arial" w:cs="Arial"/>
          <w:sz w:val="24"/>
          <w:szCs w:val="24"/>
        </w:rPr>
        <w:t xml:space="preserve"> The notice was served for purposes of the Pre-Trial Conference date</w:t>
      </w:r>
      <w:r w:rsidR="00106FCC">
        <w:rPr>
          <w:rFonts w:ascii="Arial" w:hAnsi="Arial" w:cs="Arial"/>
          <w:sz w:val="24"/>
          <w:szCs w:val="24"/>
        </w:rPr>
        <w:t>d</w:t>
      </w:r>
      <w:r w:rsidR="00FA28DF">
        <w:rPr>
          <w:rFonts w:ascii="Arial" w:hAnsi="Arial" w:cs="Arial"/>
          <w:sz w:val="24"/>
          <w:szCs w:val="24"/>
        </w:rPr>
        <w:t xml:space="preserve"> 02 June 2016 according to the heading thereof.</w:t>
      </w:r>
    </w:p>
    <w:p w:rsidR="0071415F" w:rsidRDefault="0071415F" w:rsidP="005A2AFB">
      <w:pPr>
        <w:spacing w:after="0" w:line="360" w:lineRule="auto"/>
        <w:jc w:val="both"/>
        <w:rPr>
          <w:rFonts w:ascii="Arial" w:hAnsi="Arial" w:cs="Arial"/>
          <w:sz w:val="24"/>
          <w:szCs w:val="24"/>
        </w:rPr>
      </w:pPr>
    </w:p>
    <w:p w:rsidR="00320548" w:rsidRDefault="00320548" w:rsidP="005A2AFB">
      <w:pPr>
        <w:spacing w:after="0" w:line="360" w:lineRule="auto"/>
        <w:jc w:val="both"/>
        <w:rPr>
          <w:rFonts w:ascii="Arial" w:hAnsi="Arial" w:cs="Arial"/>
          <w:sz w:val="24"/>
          <w:szCs w:val="24"/>
        </w:rPr>
      </w:pPr>
    </w:p>
    <w:p w:rsidR="00FA28DF" w:rsidRDefault="00FA28DF" w:rsidP="005A2AFB">
      <w:pPr>
        <w:spacing w:after="0" w:line="360" w:lineRule="auto"/>
        <w:jc w:val="both"/>
        <w:rPr>
          <w:rFonts w:ascii="Arial" w:hAnsi="Arial" w:cs="Arial"/>
          <w:sz w:val="24"/>
          <w:szCs w:val="24"/>
        </w:rPr>
      </w:pPr>
      <w:r>
        <w:rPr>
          <w:rFonts w:ascii="Arial" w:hAnsi="Arial" w:cs="Arial"/>
          <w:sz w:val="24"/>
          <w:szCs w:val="24"/>
        </w:rPr>
        <w:t>[</w:t>
      </w:r>
      <w:r w:rsidR="00320548">
        <w:rPr>
          <w:rFonts w:ascii="Arial" w:hAnsi="Arial" w:cs="Arial"/>
          <w:sz w:val="24"/>
          <w:szCs w:val="24"/>
        </w:rPr>
        <w:t>13</w:t>
      </w:r>
      <w:r>
        <w:rPr>
          <w:rFonts w:ascii="Arial" w:hAnsi="Arial" w:cs="Arial"/>
          <w:sz w:val="24"/>
          <w:szCs w:val="24"/>
        </w:rPr>
        <w:t>]</w:t>
      </w:r>
      <w:r w:rsidR="00925FB8">
        <w:rPr>
          <w:rFonts w:ascii="Arial" w:hAnsi="Arial" w:cs="Arial"/>
          <w:sz w:val="24"/>
          <w:szCs w:val="24"/>
        </w:rPr>
        <w:tab/>
      </w:r>
      <w:r>
        <w:rPr>
          <w:rFonts w:ascii="Arial" w:hAnsi="Arial" w:cs="Arial"/>
          <w:sz w:val="24"/>
          <w:szCs w:val="24"/>
        </w:rPr>
        <w:t xml:space="preserve"> Respondents were informed by this notice that if they fail to discover the aforementioned documents an application would be made to court for and order compelling them to do so.</w:t>
      </w:r>
    </w:p>
    <w:p w:rsidR="00106FCC" w:rsidRDefault="00106FCC" w:rsidP="005A2AFB">
      <w:pPr>
        <w:spacing w:after="0" w:line="360" w:lineRule="auto"/>
        <w:jc w:val="both"/>
        <w:rPr>
          <w:rFonts w:ascii="Arial" w:hAnsi="Arial" w:cs="Arial"/>
          <w:sz w:val="24"/>
          <w:szCs w:val="24"/>
        </w:rPr>
      </w:pPr>
    </w:p>
    <w:p w:rsidR="00320548" w:rsidRDefault="00320548" w:rsidP="005A2AFB">
      <w:pPr>
        <w:spacing w:after="0" w:line="360" w:lineRule="auto"/>
        <w:jc w:val="both"/>
        <w:rPr>
          <w:rFonts w:ascii="Arial" w:hAnsi="Arial" w:cs="Arial"/>
          <w:sz w:val="24"/>
          <w:szCs w:val="24"/>
        </w:rPr>
      </w:pPr>
    </w:p>
    <w:p w:rsidR="00320548" w:rsidRDefault="00FA28DF" w:rsidP="005A2AFB">
      <w:pPr>
        <w:spacing w:after="0" w:line="360" w:lineRule="auto"/>
        <w:jc w:val="both"/>
        <w:rPr>
          <w:rFonts w:ascii="Arial" w:hAnsi="Arial" w:cs="Arial"/>
          <w:sz w:val="24"/>
          <w:szCs w:val="24"/>
        </w:rPr>
      </w:pPr>
      <w:r>
        <w:rPr>
          <w:rFonts w:ascii="Arial" w:hAnsi="Arial" w:cs="Arial"/>
          <w:sz w:val="24"/>
          <w:szCs w:val="24"/>
        </w:rPr>
        <w:t>[</w:t>
      </w:r>
      <w:r w:rsidR="00320548">
        <w:rPr>
          <w:rFonts w:ascii="Arial" w:hAnsi="Arial" w:cs="Arial"/>
          <w:sz w:val="24"/>
          <w:szCs w:val="24"/>
        </w:rPr>
        <w:t>14]</w:t>
      </w:r>
      <w:r w:rsidR="00925FB8">
        <w:rPr>
          <w:rFonts w:ascii="Arial" w:hAnsi="Arial" w:cs="Arial"/>
          <w:sz w:val="24"/>
          <w:szCs w:val="24"/>
        </w:rPr>
        <w:tab/>
      </w:r>
      <w:r>
        <w:rPr>
          <w:rFonts w:ascii="Arial" w:hAnsi="Arial" w:cs="Arial"/>
          <w:sz w:val="24"/>
          <w:szCs w:val="24"/>
        </w:rPr>
        <w:t>The notice served on the respondents was not in the format of Form 11 as per rule 28(8) but in free format as dra</w:t>
      </w:r>
      <w:r w:rsidR="003F4487">
        <w:rPr>
          <w:rFonts w:ascii="Arial" w:hAnsi="Arial" w:cs="Arial"/>
          <w:sz w:val="24"/>
          <w:szCs w:val="24"/>
        </w:rPr>
        <w:t>fted</w:t>
      </w:r>
      <w:r>
        <w:rPr>
          <w:rFonts w:ascii="Arial" w:hAnsi="Arial" w:cs="Arial"/>
          <w:sz w:val="24"/>
          <w:szCs w:val="24"/>
        </w:rPr>
        <w:t xml:space="preserve"> by the legal representative for the applicants.</w:t>
      </w:r>
    </w:p>
    <w:p w:rsidR="00106FCC" w:rsidRDefault="00106FCC" w:rsidP="005A2AFB">
      <w:pPr>
        <w:spacing w:after="0" w:line="360" w:lineRule="auto"/>
        <w:jc w:val="both"/>
        <w:rPr>
          <w:rFonts w:ascii="Arial" w:hAnsi="Arial" w:cs="Arial"/>
          <w:sz w:val="24"/>
          <w:szCs w:val="24"/>
        </w:rPr>
      </w:pPr>
    </w:p>
    <w:p w:rsidR="00925FB8" w:rsidRDefault="00925FB8" w:rsidP="005A2AFB">
      <w:pPr>
        <w:spacing w:after="0" w:line="360" w:lineRule="auto"/>
        <w:jc w:val="both"/>
        <w:rPr>
          <w:rFonts w:ascii="Arial" w:hAnsi="Arial" w:cs="Arial"/>
          <w:sz w:val="24"/>
          <w:szCs w:val="24"/>
        </w:rPr>
      </w:pPr>
    </w:p>
    <w:p w:rsidR="00A40238" w:rsidRDefault="00FA28DF" w:rsidP="005A2AFB">
      <w:pPr>
        <w:spacing w:after="0" w:line="360" w:lineRule="auto"/>
        <w:jc w:val="both"/>
        <w:rPr>
          <w:rFonts w:ascii="Arial" w:hAnsi="Arial" w:cs="Arial"/>
          <w:sz w:val="24"/>
          <w:szCs w:val="24"/>
        </w:rPr>
      </w:pPr>
      <w:r>
        <w:rPr>
          <w:rFonts w:ascii="Arial" w:hAnsi="Arial" w:cs="Arial"/>
          <w:sz w:val="24"/>
          <w:szCs w:val="24"/>
        </w:rPr>
        <w:t>[</w:t>
      </w:r>
      <w:r w:rsidR="00320548">
        <w:rPr>
          <w:rFonts w:ascii="Arial" w:hAnsi="Arial" w:cs="Arial"/>
          <w:sz w:val="24"/>
          <w:szCs w:val="24"/>
        </w:rPr>
        <w:t>15</w:t>
      </w:r>
      <w:r>
        <w:rPr>
          <w:rFonts w:ascii="Arial" w:hAnsi="Arial" w:cs="Arial"/>
          <w:sz w:val="24"/>
          <w:szCs w:val="24"/>
        </w:rPr>
        <w:t>]</w:t>
      </w:r>
      <w:r w:rsidR="00925FB8">
        <w:rPr>
          <w:rFonts w:ascii="Arial" w:hAnsi="Arial" w:cs="Arial"/>
          <w:sz w:val="24"/>
          <w:szCs w:val="24"/>
        </w:rPr>
        <w:tab/>
      </w:r>
      <w:r w:rsidR="00A40238">
        <w:rPr>
          <w:rFonts w:ascii="Arial" w:hAnsi="Arial" w:cs="Arial"/>
          <w:sz w:val="24"/>
          <w:szCs w:val="24"/>
        </w:rPr>
        <w:t xml:space="preserve">It is not clear from the case management order if the issue of additional discovery was addressed during case management on 02 June 2016 but it seems doubtful as only Mr Haraseb on behalf the defendants(respondents) made an appearance. </w:t>
      </w:r>
    </w:p>
    <w:p w:rsidR="00106FCC" w:rsidRDefault="00106FCC" w:rsidP="005A2AFB">
      <w:pPr>
        <w:spacing w:after="0" w:line="360" w:lineRule="auto"/>
        <w:jc w:val="both"/>
        <w:rPr>
          <w:rFonts w:ascii="Arial" w:hAnsi="Arial" w:cs="Arial"/>
          <w:sz w:val="24"/>
          <w:szCs w:val="24"/>
        </w:rPr>
      </w:pPr>
    </w:p>
    <w:p w:rsidR="00320548" w:rsidRDefault="00320548" w:rsidP="005A2AFB">
      <w:pPr>
        <w:spacing w:after="0" w:line="360" w:lineRule="auto"/>
        <w:jc w:val="both"/>
        <w:rPr>
          <w:rFonts w:ascii="Arial" w:hAnsi="Arial" w:cs="Arial"/>
          <w:sz w:val="24"/>
          <w:szCs w:val="24"/>
        </w:rPr>
      </w:pPr>
    </w:p>
    <w:p w:rsidR="00106FCC" w:rsidRDefault="00A40238" w:rsidP="005A2AFB">
      <w:pPr>
        <w:spacing w:after="0" w:line="360" w:lineRule="auto"/>
        <w:jc w:val="both"/>
        <w:rPr>
          <w:rFonts w:ascii="Arial" w:hAnsi="Arial" w:cs="Arial"/>
          <w:sz w:val="24"/>
          <w:szCs w:val="24"/>
        </w:rPr>
      </w:pPr>
      <w:r>
        <w:rPr>
          <w:rFonts w:ascii="Arial" w:hAnsi="Arial" w:cs="Arial"/>
          <w:sz w:val="24"/>
          <w:szCs w:val="24"/>
        </w:rPr>
        <w:t>[1</w:t>
      </w:r>
      <w:r w:rsidR="00320548">
        <w:rPr>
          <w:rFonts w:ascii="Arial" w:hAnsi="Arial" w:cs="Arial"/>
          <w:sz w:val="24"/>
          <w:szCs w:val="24"/>
        </w:rPr>
        <w:t>6</w:t>
      </w:r>
      <w:r>
        <w:rPr>
          <w:rFonts w:ascii="Arial" w:hAnsi="Arial" w:cs="Arial"/>
          <w:sz w:val="24"/>
          <w:szCs w:val="24"/>
        </w:rPr>
        <w:t>]</w:t>
      </w:r>
      <w:r w:rsidR="00925FB8">
        <w:rPr>
          <w:rFonts w:ascii="Arial" w:hAnsi="Arial" w:cs="Arial"/>
          <w:sz w:val="24"/>
          <w:szCs w:val="24"/>
        </w:rPr>
        <w:tab/>
      </w:r>
      <w:r>
        <w:rPr>
          <w:rFonts w:ascii="Arial" w:hAnsi="Arial" w:cs="Arial"/>
          <w:sz w:val="24"/>
          <w:szCs w:val="24"/>
        </w:rPr>
        <w:t xml:space="preserve"> On 02 June</w:t>
      </w:r>
      <w:r w:rsidR="00106FCC">
        <w:rPr>
          <w:rFonts w:ascii="Arial" w:hAnsi="Arial" w:cs="Arial"/>
          <w:sz w:val="24"/>
          <w:szCs w:val="24"/>
        </w:rPr>
        <w:t xml:space="preserve"> 2016,</w:t>
      </w:r>
      <w:r>
        <w:rPr>
          <w:rFonts w:ascii="Arial" w:hAnsi="Arial" w:cs="Arial"/>
          <w:sz w:val="24"/>
          <w:szCs w:val="24"/>
        </w:rPr>
        <w:t xml:space="preserve"> a letter was addressed to </w:t>
      </w:r>
      <w:r w:rsidR="00106FCC">
        <w:rPr>
          <w:rFonts w:ascii="Arial" w:hAnsi="Arial" w:cs="Arial"/>
          <w:sz w:val="24"/>
          <w:szCs w:val="24"/>
        </w:rPr>
        <w:t xml:space="preserve">the </w:t>
      </w:r>
      <w:r>
        <w:rPr>
          <w:rFonts w:ascii="Arial" w:hAnsi="Arial" w:cs="Arial"/>
          <w:sz w:val="24"/>
          <w:szCs w:val="24"/>
        </w:rPr>
        <w:t xml:space="preserve">legal representative for the respondents and the </w:t>
      </w:r>
      <w:r w:rsidR="00106FCC">
        <w:rPr>
          <w:rFonts w:ascii="Arial" w:hAnsi="Arial" w:cs="Arial"/>
          <w:sz w:val="24"/>
          <w:szCs w:val="24"/>
        </w:rPr>
        <w:t>C</w:t>
      </w:r>
      <w:r>
        <w:rPr>
          <w:rFonts w:ascii="Arial" w:hAnsi="Arial" w:cs="Arial"/>
          <w:sz w:val="24"/>
          <w:szCs w:val="24"/>
        </w:rPr>
        <w:t>ourt will repeat t</w:t>
      </w:r>
      <w:r w:rsidRPr="000436B3">
        <w:rPr>
          <w:rFonts w:ascii="Arial" w:hAnsi="Arial" w:cs="Arial"/>
          <w:sz w:val="24"/>
          <w:szCs w:val="24"/>
        </w:rPr>
        <w:t xml:space="preserve">he contents of the said letter </w:t>
      </w:r>
      <w:r>
        <w:rPr>
          <w:rFonts w:ascii="Arial" w:hAnsi="Arial" w:cs="Arial"/>
          <w:sz w:val="24"/>
          <w:szCs w:val="24"/>
        </w:rPr>
        <w:t>as it is</w:t>
      </w:r>
      <w:r w:rsidRPr="000436B3">
        <w:rPr>
          <w:rFonts w:ascii="Arial" w:hAnsi="Arial" w:cs="Arial"/>
          <w:sz w:val="24"/>
          <w:szCs w:val="24"/>
        </w:rPr>
        <w:t xml:space="preserve"> important</w:t>
      </w:r>
      <w:r>
        <w:rPr>
          <w:rFonts w:ascii="Arial" w:hAnsi="Arial" w:cs="Arial"/>
          <w:sz w:val="24"/>
          <w:szCs w:val="24"/>
        </w:rPr>
        <w:t>:</w:t>
      </w:r>
    </w:p>
    <w:p w:rsidR="00106FCC" w:rsidRDefault="00106FCC" w:rsidP="005A2AFB">
      <w:pPr>
        <w:spacing w:after="0" w:line="360" w:lineRule="auto"/>
        <w:jc w:val="both"/>
        <w:rPr>
          <w:rFonts w:ascii="Arial" w:hAnsi="Arial" w:cs="Arial"/>
          <w:sz w:val="24"/>
          <w:szCs w:val="24"/>
        </w:rPr>
      </w:pPr>
    </w:p>
    <w:p w:rsidR="00A40238" w:rsidRDefault="002A5A36" w:rsidP="005A2AFB">
      <w:pPr>
        <w:spacing w:after="0" w:line="360" w:lineRule="auto"/>
        <w:ind w:left="720"/>
        <w:jc w:val="both"/>
        <w:rPr>
          <w:rFonts w:ascii="Arial" w:hAnsi="Arial" w:cs="Arial"/>
          <w:b/>
          <w:i/>
        </w:rPr>
      </w:pPr>
      <w:r w:rsidRPr="002A5A36">
        <w:rPr>
          <w:rFonts w:ascii="Arial" w:hAnsi="Arial" w:cs="Arial"/>
          <w:b/>
          <w:i/>
        </w:rPr>
        <w:lastRenderedPageBreak/>
        <w:t>‘RULE 32(9) &amp;(10): RAIMO NDAPEWA NAANDA &amp; IRMAN NDATEGA NAANDA // ALBINUS INDILA EDWARD &amp; 3 OTHERS</w:t>
      </w:r>
    </w:p>
    <w:p w:rsidR="0071415F" w:rsidRPr="00106FCC" w:rsidRDefault="0071415F" w:rsidP="005A2AFB">
      <w:pPr>
        <w:spacing w:after="0" w:line="360" w:lineRule="auto"/>
        <w:ind w:left="720"/>
        <w:jc w:val="both"/>
        <w:rPr>
          <w:rFonts w:ascii="Arial" w:hAnsi="Arial" w:cs="Arial"/>
          <w:b/>
          <w:i/>
        </w:rPr>
      </w:pPr>
    </w:p>
    <w:p w:rsidR="00A40238" w:rsidRPr="00106FCC" w:rsidRDefault="002A5A36" w:rsidP="005A2AFB">
      <w:pPr>
        <w:spacing w:after="0" w:line="360" w:lineRule="auto"/>
        <w:jc w:val="both"/>
        <w:rPr>
          <w:rFonts w:ascii="Arial" w:hAnsi="Arial" w:cs="Arial"/>
          <w:i/>
        </w:rPr>
      </w:pPr>
      <w:r w:rsidRPr="002A5A36">
        <w:rPr>
          <w:rFonts w:ascii="Arial" w:hAnsi="Arial" w:cs="Arial"/>
          <w:i/>
        </w:rPr>
        <w:tab/>
        <w:t xml:space="preserve">The above matter and our notice in terms of rule 28(8)(a) refers. </w:t>
      </w:r>
    </w:p>
    <w:p w:rsidR="00A40238" w:rsidRPr="00106FCC" w:rsidRDefault="00A40238" w:rsidP="005A2AFB">
      <w:pPr>
        <w:spacing w:after="0" w:line="360" w:lineRule="auto"/>
        <w:jc w:val="both"/>
        <w:rPr>
          <w:rFonts w:ascii="Arial" w:hAnsi="Arial" w:cs="Arial"/>
          <w:i/>
        </w:rPr>
      </w:pPr>
    </w:p>
    <w:p w:rsidR="00A40238" w:rsidRPr="00106FCC" w:rsidRDefault="002A5A36" w:rsidP="005A2AFB">
      <w:pPr>
        <w:spacing w:after="0" w:line="360" w:lineRule="auto"/>
        <w:ind w:left="720"/>
        <w:jc w:val="both"/>
        <w:rPr>
          <w:rFonts w:ascii="Arial" w:hAnsi="Arial" w:cs="Arial"/>
          <w:i/>
        </w:rPr>
      </w:pPr>
      <w:r w:rsidRPr="002A5A36">
        <w:rPr>
          <w:rFonts w:ascii="Arial" w:hAnsi="Arial" w:cs="Arial"/>
          <w:i/>
        </w:rPr>
        <w:t xml:space="preserve">Kindly take notice that you have failed to comply with the aforementioned notice, thereby prejudicing our clients in their preparations. </w:t>
      </w:r>
    </w:p>
    <w:p w:rsidR="00A40238" w:rsidRPr="00106FCC" w:rsidRDefault="002A5A36" w:rsidP="005A2AFB">
      <w:pPr>
        <w:spacing w:after="0" w:line="360" w:lineRule="auto"/>
        <w:ind w:left="720"/>
        <w:jc w:val="both"/>
        <w:rPr>
          <w:rFonts w:ascii="Arial" w:hAnsi="Arial" w:cs="Arial"/>
          <w:i/>
        </w:rPr>
      </w:pPr>
      <w:r w:rsidRPr="002A5A36">
        <w:rPr>
          <w:rFonts w:ascii="Arial" w:hAnsi="Arial" w:cs="Arial"/>
          <w:i/>
        </w:rPr>
        <w:t xml:space="preserve">As a result, we therefore intend to invoke our right in terms of rule 28(9), </w:t>
      </w:r>
      <w:r w:rsidRPr="002A5A36">
        <w:rPr>
          <w:rFonts w:ascii="Arial" w:hAnsi="Arial" w:cs="Arial"/>
          <w:i/>
          <w:u w:val="single"/>
        </w:rPr>
        <w:t xml:space="preserve">unless you can provide us </w:t>
      </w:r>
      <w:r w:rsidRPr="002A5A36">
        <w:rPr>
          <w:rFonts w:ascii="Arial" w:hAnsi="Arial" w:cs="Arial"/>
          <w:i/>
        </w:rPr>
        <w:t>with an amicable resolution to this matter in compliance with rule 32(9). (</w:t>
      </w:r>
      <w:r>
        <w:rPr>
          <w:rFonts w:ascii="Arial" w:hAnsi="Arial" w:cs="Arial"/>
          <w:i/>
        </w:rPr>
        <w:t>Emphasises</w:t>
      </w:r>
      <w:r w:rsidRPr="002A5A36">
        <w:rPr>
          <w:rFonts w:ascii="Arial" w:hAnsi="Arial" w:cs="Arial"/>
          <w:i/>
        </w:rPr>
        <w:t xml:space="preserve"> added)</w:t>
      </w:r>
    </w:p>
    <w:p w:rsidR="00A40238" w:rsidRPr="00106FCC" w:rsidRDefault="00A40238" w:rsidP="005A2AFB">
      <w:pPr>
        <w:spacing w:after="0" w:line="360" w:lineRule="auto"/>
        <w:jc w:val="both"/>
        <w:rPr>
          <w:rFonts w:ascii="Arial" w:hAnsi="Arial" w:cs="Arial"/>
          <w:i/>
        </w:rPr>
      </w:pPr>
    </w:p>
    <w:p w:rsidR="00A40238" w:rsidRDefault="002A5A36" w:rsidP="005A2AFB">
      <w:pPr>
        <w:spacing w:after="0" w:line="360" w:lineRule="auto"/>
        <w:ind w:firstLine="720"/>
        <w:jc w:val="both"/>
        <w:rPr>
          <w:rFonts w:ascii="Arial" w:hAnsi="Arial" w:cs="Arial"/>
          <w:i/>
        </w:rPr>
      </w:pPr>
      <w:r w:rsidRPr="002A5A36">
        <w:rPr>
          <w:rFonts w:ascii="Arial" w:hAnsi="Arial" w:cs="Arial"/>
          <w:i/>
        </w:rPr>
        <w:t xml:space="preserve">We await your response hereto.’ </w:t>
      </w:r>
    </w:p>
    <w:p w:rsidR="00106FCC" w:rsidRPr="00106FCC" w:rsidRDefault="00106FCC" w:rsidP="005A2AFB">
      <w:pPr>
        <w:spacing w:after="0" w:line="360" w:lineRule="auto"/>
        <w:ind w:firstLine="720"/>
        <w:jc w:val="both"/>
        <w:rPr>
          <w:rFonts w:ascii="Arial" w:hAnsi="Arial" w:cs="Arial"/>
          <w:sz w:val="24"/>
          <w:szCs w:val="24"/>
        </w:rPr>
      </w:pPr>
    </w:p>
    <w:p w:rsidR="00B85481" w:rsidRPr="00A40238" w:rsidRDefault="00B85481" w:rsidP="005A2AFB">
      <w:pPr>
        <w:spacing w:after="0" w:line="360" w:lineRule="auto"/>
        <w:ind w:firstLine="720"/>
        <w:jc w:val="both"/>
        <w:rPr>
          <w:rFonts w:ascii="Arial" w:hAnsi="Arial" w:cs="Arial"/>
        </w:rPr>
      </w:pPr>
    </w:p>
    <w:p w:rsidR="00106FCC" w:rsidRDefault="008C1A35" w:rsidP="00925FB8">
      <w:pPr>
        <w:spacing w:after="0" w:line="360" w:lineRule="auto"/>
        <w:jc w:val="both"/>
        <w:rPr>
          <w:rFonts w:ascii="Arial" w:hAnsi="Arial" w:cs="Arial"/>
          <w:sz w:val="24"/>
          <w:szCs w:val="24"/>
        </w:rPr>
      </w:pPr>
      <w:r>
        <w:rPr>
          <w:rFonts w:ascii="Arial" w:hAnsi="Arial" w:cs="Arial"/>
          <w:sz w:val="24"/>
          <w:szCs w:val="24"/>
        </w:rPr>
        <w:t>[1</w:t>
      </w:r>
      <w:r w:rsidR="00320548">
        <w:rPr>
          <w:rFonts w:ascii="Arial" w:hAnsi="Arial" w:cs="Arial"/>
          <w:sz w:val="24"/>
          <w:szCs w:val="24"/>
        </w:rPr>
        <w:t>7</w:t>
      </w:r>
      <w:r>
        <w:rPr>
          <w:rFonts w:ascii="Arial" w:hAnsi="Arial" w:cs="Arial"/>
          <w:sz w:val="24"/>
          <w:szCs w:val="24"/>
        </w:rPr>
        <w:t>]</w:t>
      </w:r>
      <w:r w:rsidR="00925FB8">
        <w:rPr>
          <w:rFonts w:ascii="Arial" w:hAnsi="Arial" w:cs="Arial"/>
          <w:sz w:val="24"/>
          <w:szCs w:val="24"/>
        </w:rPr>
        <w:tab/>
      </w:r>
      <w:r>
        <w:rPr>
          <w:rFonts w:ascii="Arial" w:hAnsi="Arial" w:cs="Arial"/>
          <w:sz w:val="24"/>
          <w:szCs w:val="24"/>
        </w:rPr>
        <w:t xml:space="preserve"> It is common cause that both the notice dated 29 April 2016 and the letter dated 02 June 2016 were received by the respondents. </w:t>
      </w:r>
      <w:r w:rsidR="00925FB8">
        <w:rPr>
          <w:rFonts w:ascii="Arial" w:hAnsi="Arial" w:cs="Arial"/>
          <w:sz w:val="24"/>
          <w:szCs w:val="24"/>
        </w:rPr>
        <w:t xml:space="preserve">Respondents however elected not to respond to either the notice or subsequent correspondence. </w:t>
      </w:r>
    </w:p>
    <w:p w:rsidR="006B4FDD" w:rsidRDefault="006B4FDD" w:rsidP="00925FB8">
      <w:pPr>
        <w:spacing w:after="0" w:line="360" w:lineRule="auto"/>
        <w:jc w:val="both"/>
        <w:rPr>
          <w:rFonts w:ascii="Arial" w:hAnsi="Arial" w:cs="Arial"/>
          <w:sz w:val="24"/>
          <w:szCs w:val="24"/>
        </w:rPr>
      </w:pPr>
    </w:p>
    <w:p w:rsidR="00AB519E" w:rsidRDefault="00AB519E" w:rsidP="00925FB8">
      <w:pPr>
        <w:spacing w:after="0" w:line="360" w:lineRule="auto"/>
        <w:jc w:val="both"/>
        <w:rPr>
          <w:rFonts w:ascii="Arial" w:hAnsi="Arial" w:cs="Arial"/>
          <w:sz w:val="24"/>
          <w:szCs w:val="24"/>
        </w:rPr>
      </w:pPr>
    </w:p>
    <w:p w:rsidR="008C1A35" w:rsidRDefault="008C1A35" w:rsidP="005A2AFB">
      <w:pPr>
        <w:spacing w:after="0" w:line="360" w:lineRule="auto"/>
        <w:jc w:val="both"/>
        <w:rPr>
          <w:rFonts w:ascii="Arial" w:eastAsia="Dotum" w:hAnsi="Arial" w:cs="Arial"/>
          <w:sz w:val="24"/>
          <w:szCs w:val="24"/>
        </w:rPr>
      </w:pPr>
      <w:r>
        <w:rPr>
          <w:rFonts w:ascii="Arial" w:hAnsi="Arial" w:cs="Arial"/>
          <w:sz w:val="24"/>
          <w:szCs w:val="24"/>
        </w:rPr>
        <w:t>[1</w:t>
      </w:r>
      <w:r w:rsidR="00320548">
        <w:rPr>
          <w:rFonts w:ascii="Arial" w:hAnsi="Arial" w:cs="Arial"/>
          <w:sz w:val="24"/>
          <w:szCs w:val="24"/>
        </w:rPr>
        <w:t>8</w:t>
      </w:r>
      <w:r>
        <w:rPr>
          <w:rFonts w:ascii="Arial" w:hAnsi="Arial" w:cs="Arial"/>
          <w:sz w:val="24"/>
          <w:szCs w:val="24"/>
        </w:rPr>
        <w:t xml:space="preserve">] </w:t>
      </w:r>
      <w:r w:rsidR="00925FB8">
        <w:rPr>
          <w:rFonts w:ascii="Arial" w:hAnsi="Arial" w:cs="Arial"/>
          <w:sz w:val="24"/>
          <w:szCs w:val="24"/>
        </w:rPr>
        <w:tab/>
      </w:r>
      <w:r>
        <w:rPr>
          <w:rFonts w:ascii="Arial" w:hAnsi="Arial" w:cs="Arial"/>
          <w:sz w:val="24"/>
          <w:szCs w:val="24"/>
        </w:rPr>
        <w:t>M</w:t>
      </w:r>
      <w:r w:rsidR="00106FCC">
        <w:rPr>
          <w:rFonts w:ascii="Arial" w:hAnsi="Arial" w:cs="Arial"/>
          <w:sz w:val="24"/>
          <w:szCs w:val="24"/>
        </w:rPr>
        <w:t>s</w:t>
      </w:r>
      <w:r w:rsidR="00EF77F3">
        <w:rPr>
          <w:rFonts w:ascii="Arial" w:hAnsi="Arial" w:cs="Arial"/>
          <w:sz w:val="24"/>
          <w:szCs w:val="24"/>
        </w:rPr>
        <w:t xml:space="preserve"> </w:t>
      </w:r>
      <w:r w:rsidRPr="00B95BC5">
        <w:rPr>
          <w:rFonts w:ascii="Arial" w:eastAsia="Dotum" w:hAnsi="Arial" w:cs="Arial"/>
          <w:sz w:val="24"/>
          <w:szCs w:val="24"/>
        </w:rPr>
        <w:t>Bassingthwait</w:t>
      </w:r>
      <w:r w:rsidR="00106FCC">
        <w:rPr>
          <w:rFonts w:ascii="Arial" w:eastAsia="Dotum" w:hAnsi="Arial" w:cs="Arial"/>
          <w:sz w:val="24"/>
          <w:szCs w:val="24"/>
        </w:rPr>
        <w:t>e</w:t>
      </w:r>
      <w:r>
        <w:rPr>
          <w:rFonts w:ascii="Arial" w:eastAsia="Dotum" w:hAnsi="Arial" w:cs="Arial"/>
          <w:sz w:val="24"/>
          <w:szCs w:val="24"/>
        </w:rPr>
        <w:t xml:space="preserve"> argued that the </w:t>
      </w:r>
      <w:r w:rsidR="00106FCC">
        <w:rPr>
          <w:rFonts w:ascii="Arial" w:eastAsia="Dotum" w:hAnsi="Arial" w:cs="Arial"/>
          <w:sz w:val="24"/>
          <w:szCs w:val="24"/>
        </w:rPr>
        <w:t>C</w:t>
      </w:r>
      <w:r>
        <w:rPr>
          <w:rFonts w:ascii="Arial" w:eastAsia="Dotum" w:hAnsi="Arial" w:cs="Arial"/>
          <w:sz w:val="24"/>
          <w:szCs w:val="24"/>
        </w:rPr>
        <w:t>ourt can condone the non-compliance with the rule for two reasons, i</w:t>
      </w:r>
      <w:r w:rsidR="0043340E">
        <w:rPr>
          <w:rFonts w:ascii="Arial" w:eastAsia="Dotum" w:hAnsi="Arial" w:cs="Arial"/>
          <w:sz w:val="24"/>
          <w:szCs w:val="24"/>
        </w:rPr>
        <w:t>.</w:t>
      </w:r>
      <w:r>
        <w:rPr>
          <w:rFonts w:ascii="Arial" w:eastAsia="Dotum" w:hAnsi="Arial" w:cs="Arial"/>
          <w:sz w:val="24"/>
          <w:szCs w:val="24"/>
        </w:rPr>
        <w:t>e. i) there is not prejudice to the parties and ii) the purpose of the rule is to reach an amicable solution between the parties and same would not have been reached even if the rule was followed</w:t>
      </w:r>
      <w:r w:rsidR="0033247F">
        <w:rPr>
          <w:rFonts w:ascii="Arial" w:eastAsia="Dotum" w:hAnsi="Arial" w:cs="Arial"/>
          <w:sz w:val="24"/>
          <w:szCs w:val="24"/>
        </w:rPr>
        <w:t xml:space="preserve">. </w:t>
      </w:r>
    </w:p>
    <w:p w:rsidR="000D784F" w:rsidRDefault="000D784F" w:rsidP="005A2AFB">
      <w:pPr>
        <w:spacing w:after="0" w:line="360" w:lineRule="auto"/>
        <w:jc w:val="both"/>
        <w:rPr>
          <w:rFonts w:ascii="Arial" w:eastAsia="Dotum" w:hAnsi="Arial" w:cs="Arial"/>
          <w:sz w:val="24"/>
          <w:szCs w:val="24"/>
        </w:rPr>
      </w:pPr>
    </w:p>
    <w:p w:rsidR="00320548" w:rsidRDefault="00320548" w:rsidP="005A2AFB">
      <w:pPr>
        <w:spacing w:after="0" w:line="360" w:lineRule="auto"/>
        <w:jc w:val="both"/>
        <w:rPr>
          <w:rFonts w:ascii="Arial" w:eastAsia="Dotum" w:hAnsi="Arial" w:cs="Arial"/>
          <w:sz w:val="24"/>
          <w:szCs w:val="24"/>
        </w:rPr>
      </w:pPr>
    </w:p>
    <w:p w:rsidR="002413F4" w:rsidRDefault="0033247F" w:rsidP="005A2AFB">
      <w:pPr>
        <w:spacing w:after="0" w:line="360" w:lineRule="auto"/>
        <w:jc w:val="both"/>
        <w:rPr>
          <w:rFonts w:ascii="Arial" w:hAnsi="Arial" w:cs="Arial"/>
          <w:i/>
          <w:sz w:val="24"/>
          <w:szCs w:val="24"/>
        </w:rPr>
      </w:pPr>
      <w:r>
        <w:rPr>
          <w:rFonts w:ascii="Arial" w:eastAsia="Dotum" w:hAnsi="Arial" w:cs="Arial"/>
          <w:sz w:val="24"/>
          <w:szCs w:val="24"/>
        </w:rPr>
        <w:t>[1</w:t>
      </w:r>
      <w:r w:rsidR="00320548">
        <w:rPr>
          <w:rFonts w:ascii="Arial" w:eastAsia="Dotum" w:hAnsi="Arial" w:cs="Arial"/>
          <w:sz w:val="24"/>
          <w:szCs w:val="24"/>
        </w:rPr>
        <w:t>9</w:t>
      </w:r>
      <w:r>
        <w:rPr>
          <w:rFonts w:ascii="Arial" w:eastAsia="Dotum" w:hAnsi="Arial" w:cs="Arial"/>
          <w:sz w:val="24"/>
          <w:szCs w:val="24"/>
        </w:rPr>
        <w:t xml:space="preserve">] </w:t>
      </w:r>
      <w:r w:rsidR="00925FB8">
        <w:rPr>
          <w:rFonts w:ascii="Arial" w:eastAsia="Dotum" w:hAnsi="Arial" w:cs="Arial"/>
          <w:sz w:val="24"/>
          <w:szCs w:val="24"/>
        </w:rPr>
        <w:tab/>
      </w:r>
      <w:r w:rsidR="002413F4">
        <w:rPr>
          <w:rFonts w:ascii="Arial" w:eastAsia="Dotum" w:hAnsi="Arial" w:cs="Arial"/>
          <w:sz w:val="24"/>
          <w:szCs w:val="24"/>
        </w:rPr>
        <w:t>On the latter proposition</w:t>
      </w:r>
      <w:r w:rsidR="000D784F">
        <w:rPr>
          <w:rFonts w:ascii="Arial" w:eastAsia="Dotum" w:hAnsi="Arial" w:cs="Arial"/>
          <w:sz w:val="24"/>
          <w:szCs w:val="24"/>
        </w:rPr>
        <w:t>,</w:t>
      </w:r>
      <w:r w:rsidR="002413F4">
        <w:rPr>
          <w:rFonts w:ascii="Arial" w:eastAsia="Dotum" w:hAnsi="Arial" w:cs="Arial"/>
          <w:sz w:val="24"/>
          <w:szCs w:val="24"/>
        </w:rPr>
        <w:t xml:space="preserve"> I must emphasize right off the bat that the judgments in this jurisdiction have many times over expressed the view that parties cannot decide whether they wish to follow the rule or not</w:t>
      </w:r>
      <w:r w:rsidR="006F64C0">
        <w:rPr>
          <w:rFonts w:ascii="Arial" w:eastAsia="Dotum" w:hAnsi="Arial" w:cs="Arial"/>
          <w:sz w:val="24"/>
          <w:szCs w:val="24"/>
        </w:rPr>
        <w:t>,</w:t>
      </w:r>
      <w:r w:rsidR="002413F4">
        <w:rPr>
          <w:rFonts w:ascii="Arial" w:eastAsia="Dotum" w:hAnsi="Arial" w:cs="Arial"/>
          <w:sz w:val="24"/>
          <w:szCs w:val="24"/>
        </w:rPr>
        <w:t xml:space="preserve"> merely because they are of the view that there is no prospects of an amicable solution to be reached. This was made very clear by Masuku J in the matter of </w:t>
      </w:r>
      <w:r w:rsidR="002A5A36" w:rsidRPr="002A5A36">
        <w:rPr>
          <w:rFonts w:ascii="Arial" w:hAnsi="Arial" w:cs="Arial"/>
          <w:i/>
          <w:sz w:val="24"/>
          <w:szCs w:val="24"/>
        </w:rPr>
        <w:t>Kondjeni</w:t>
      </w:r>
      <w:r w:rsidR="00EF77F3">
        <w:rPr>
          <w:rFonts w:ascii="Arial" w:hAnsi="Arial" w:cs="Arial"/>
          <w:i/>
          <w:sz w:val="24"/>
          <w:szCs w:val="24"/>
        </w:rPr>
        <w:t xml:space="preserve"> </w:t>
      </w:r>
      <w:r w:rsidR="002A5A36" w:rsidRPr="002A5A36">
        <w:rPr>
          <w:rFonts w:ascii="Arial" w:hAnsi="Arial" w:cs="Arial"/>
          <w:i/>
          <w:sz w:val="24"/>
          <w:szCs w:val="24"/>
        </w:rPr>
        <w:t>Nkandi Architects v The Namibian Airports Company Limited</w:t>
      </w:r>
      <w:r w:rsidR="002413F4" w:rsidRPr="002413F4">
        <w:rPr>
          <w:rStyle w:val="FootnoteReference"/>
          <w:rFonts w:ascii="Arial" w:hAnsi="Arial" w:cs="Arial"/>
          <w:sz w:val="24"/>
          <w:szCs w:val="24"/>
        </w:rPr>
        <w:footnoteReference w:id="2"/>
      </w:r>
      <w:r w:rsidR="002413F4" w:rsidRPr="002413F4">
        <w:rPr>
          <w:rFonts w:ascii="Arial" w:hAnsi="Arial" w:cs="Arial"/>
          <w:sz w:val="24"/>
          <w:szCs w:val="24"/>
        </w:rPr>
        <w:t xml:space="preserve"> where he remarked as follows</w:t>
      </w:r>
      <w:r w:rsidR="002413F4">
        <w:rPr>
          <w:rFonts w:ascii="Arial" w:hAnsi="Arial" w:cs="Arial"/>
          <w:i/>
          <w:sz w:val="24"/>
          <w:szCs w:val="24"/>
        </w:rPr>
        <w:t>:</w:t>
      </w:r>
    </w:p>
    <w:p w:rsidR="000D784F" w:rsidRDefault="000D784F" w:rsidP="005A2AFB">
      <w:pPr>
        <w:spacing w:after="0" w:line="360" w:lineRule="auto"/>
        <w:jc w:val="both"/>
        <w:rPr>
          <w:rFonts w:ascii="Arial" w:hAnsi="Arial" w:cs="Arial"/>
          <w:i/>
          <w:sz w:val="24"/>
          <w:szCs w:val="24"/>
        </w:rPr>
      </w:pPr>
    </w:p>
    <w:p w:rsidR="000D784F" w:rsidRDefault="000D784F" w:rsidP="005A2AFB">
      <w:pPr>
        <w:spacing w:after="0" w:line="360" w:lineRule="auto"/>
        <w:jc w:val="both"/>
        <w:rPr>
          <w:rFonts w:ascii="Arial" w:hAnsi="Arial" w:cs="Arial"/>
          <w:i/>
          <w:sz w:val="24"/>
          <w:szCs w:val="24"/>
        </w:rPr>
      </w:pPr>
    </w:p>
    <w:p w:rsidR="000D784F" w:rsidRDefault="002413F4" w:rsidP="002413F4">
      <w:pPr>
        <w:spacing w:after="0" w:line="360" w:lineRule="auto"/>
        <w:jc w:val="both"/>
        <w:rPr>
          <w:rFonts w:ascii="Arial" w:hAnsi="Arial" w:cs="Arial"/>
          <w:i/>
        </w:rPr>
      </w:pPr>
      <w:r>
        <w:rPr>
          <w:rFonts w:ascii="Arial" w:eastAsia="Dotum" w:hAnsi="Arial" w:cs="Arial"/>
          <w:sz w:val="24"/>
          <w:szCs w:val="24"/>
        </w:rPr>
        <w:tab/>
      </w:r>
      <w:r w:rsidR="002A5A36" w:rsidRPr="002A5A36">
        <w:rPr>
          <w:rFonts w:ascii="Arial" w:eastAsia="Dotum" w:hAnsi="Arial" w:cs="Arial"/>
          <w:i/>
        </w:rPr>
        <w:t>‘</w:t>
      </w:r>
      <w:r w:rsidR="002A5A36" w:rsidRPr="002A5A36">
        <w:rPr>
          <w:rFonts w:ascii="Arial" w:hAnsi="Arial" w:cs="Arial"/>
          <w:i/>
        </w:rPr>
        <w:t>My reading of the subrule does not leave it to the parties to agree or disagree to comply with what are clearly mandatory provisions.  Parties cannot be allowed to opt out and to choose which rules to comply with and which ones not to comply with. Such an election would be perilous and result in anarchy and a complete breakdown in the orderly conduct of litigation</w:t>
      </w:r>
      <w:r w:rsidR="000D784F">
        <w:rPr>
          <w:rFonts w:ascii="Arial" w:hAnsi="Arial" w:cs="Arial"/>
          <w:i/>
        </w:rPr>
        <w:t>.</w:t>
      </w:r>
      <w:r w:rsidR="002A5A36" w:rsidRPr="002A5A36">
        <w:rPr>
          <w:rFonts w:ascii="Arial" w:hAnsi="Arial" w:cs="Arial"/>
          <w:i/>
        </w:rPr>
        <w:t>’</w:t>
      </w:r>
    </w:p>
    <w:p w:rsidR="002413F4" w:rsidRPr="000D784F" w:rsidRDefault="002413F4" w:rsidP="002413F4">
      <w:pPr>
        <w:spacing w:after="0" w:line="360" w:lineRule="auto"/>
        <w:jc w:val="both"/>
        <w:rPr>
          <w:rFonts w:ascii="Arial" w:hAnsi="Arial" w:cs="Arial"/>
          <w:i/>
        </w:rPr>
      </w:pPr>
    </w:p>
    <w:p w:rsidR="002413F4" w:rsidRDefault="002413F4" w:rsidP="005A2AFB">
      <w:pPr>
        <w:spacing w:after="0" w:line="360" w:lineRule="auto"/>
        <w:jc w:val="both"/>
        <w:rPr>
          <w:rFonts w:ascii="Arial" w:eastAsia="Dotum" w:hAnsi="Arial" w:cs="Arial"/>
          <w:sz w:val="24"/>
          <w:szCs w:val="24"/>
        </w:rPr>
      </w:pPr>
    </w:p>
    <w:p w:rsidR="003F4487" w:rsidRDefault="002413F4" w:rsidP="005A2AFB">
      <w:pPr>
        <w:spacing w:after="0" w:line="360" w:lineRule="auto"/>
        <w:jc w:val="both"/>
        <w:rPr>
          <w:rFonts w:ascii="Arial" w:eastAsia="Dotum" w:hAnsi="Arial" w:cs="Arial"/>
          <w:sz w:val="24"/>
          <w:szCs w:val="24"/>
        </w:rPr>
      </w:pPr>
      <w:r>
        <w:rPr>
          <w:rFonts w:ascii="Arial" w:eastAsia="Dotum" w:hAnsi="Arial" w:cs="Arial"/>
          <w:sz w:val="24"/>
          <w:szCs w:val="24"/>
        </w:rPr>
        <w:t>[20]</w:t>
      </w:r>
      <w:r>
        <w:rPr>
          <w:rFonts w:ascii="Arial" w:eastAsia="Dotum" w:hAnsi="Arial" w:cs="Arial"/>
          <w:sz w:val="24"/>
          <w:szCs w:val="24"/>
        </w:rPr>
        <w:tab/>
      </w:r>
      <w:r w:rsidR="000D784F">
        <w:rPr>
          <w:rFonts w:ascii="Arial" w:eastAsia="Dotum" w:hAnsi="Arial" w:cs="Arial"/>
          <w:sz w:val="24"/>
          <w:szCs w:val="24"/>
        </w:rPr>
        <w:t xml:space="preserve">The </w:t>
      </w:r>
      <w:r w:rsidR="0033247F">
        <w:rPr>
          <w:rFonts w:ascii="Arial" w:eastAsia="Dotum" w:hAnsi="Arial" w:cs="Arial"/>
          <w:sz w:val="24"/>
          <w:szCs w:val="24"/>
        </w:rPr>
        <w:t>Court was referred to the matter</w:t>
      </w:r>
      <w:r w:rsidR="000D784F">
        <w:rPr>
          <w:rFonts w:ascii="Arial" w:eastAsia="Dotum" w:hAnsi="Arial" w:cs="Arial"/>
          <w:sz w:val="24"/>
          <w:szCs w:val="24"/>
        </w:rPr>
        <w:t xml:space="preserve"> of</w:t>
      </w:r>
      <w:r w:rsidR="002A5A36" w:rsidRPr="002A5A36">
        <w:rPr>
          <w:rFonts w:ascii="Arial" w:hAnsi="Arial" w:cs="Arial"/>
          <w:i/>
          <w:sz w:val="24"/>
          <w:szCs w:val="24"/>
        </w:rPr>
        <w:t>Old Mutual Life Assurance Company of Namibia Ltd v Hasheela</w:t>
      </w:r>
      <w:r w:rsidR="003F4487">
        <w:rPr>
          <w:rStyle w:val="FootnoteReference"/>
          <w:rFonts w:ascii="Arial" w:hAnsi="Arial" w:cs="Arial"/>
          <w:sz w:val="24"/>
          <w:szCs w:val="24"/>
        </w:rPr>
        <w:footnoteReference w:id="3"/>
      </w:r>
      <w:r w:rsidR="003F4487">
        <w:rPr>
          <w:rFonts w:ascii="Arial" w:eastAsia="Dotum" w:hAnsi="Arial" w:cs="Arial"/>
          <w:sz w:val="24"/>
          <w:szCs w:val="24"/>
        </w:rPr>
        <w:t>where Masuku J</w:t>
      </w:r>
      <w:r w:rsidR="00FC7046">
        <w:rPr>
          <w:rFonts w:ascii="Arial" w:eastAsia="Dotum" w:hAnsi="Arial" w:cs="Arial"/>
          <w:sz w:val="24"/>
          <w:szCs w:val="24"/>
        </w:rPr>
        <w:t xml:space="preserve"> sa</w:t>
      </w:r>
      <w:r w:rsidR="007018E9">
        <w:rPr>
          <w:rFonts w:ascii="Arial" w:eastAsia="Dotum" w:hAnsi="Arial" w:cs="Arial"/>
          <w:sz w:val="24"/>
          <w:szCs w:val="24"/>
        </w:rPr>
        <w:t>id</w:t>
      </w:r>
      <w:r w:rsidR="00FC7046">
        <w:rPr>
          <w:rFonts w:ascii="Arial" w:eastAsia="Dotum" w:hAnsi="Arial" w:cs="Arial"/>
          <w:sz w:val="24"/>
          <w:szCs w:val="24"/>
        </w:rPr>
        <w:t xml:space="preserve"> the following on substantial compliance with the rule</w:t>
      </w:r>
      <w:r w:rsidR="0043340E">
        <w:rPr>
          <w:rStyle w:val="FootnoteReference"/>
          <w:rFonts w:ascii="Arial" w:eastAsia="Dotum" w:hAnsi="Arial" w:cs="Arial"/>
          <w:sz w:val="24"/>
          <w:szCs w:val="24"/>
        </w:rPr>
        <w:footnoteReference w:id="4"/>
      </w:r>
      <w:r w:rsidR="00FC7046">
        <w:rPr>
          <w:rFonts w:ascii="Arial" w:eastAsia="Dotum" w:hAnsi="Arial" w:cs="Arial"/>
          <w:sz w:val="24"/>
          <w:szCs w:val="24"/>
        </w:rPr>
        <w:t xml:space="preserve">: </w:t>
      </w:r>
    </w:p>
    <w:p w:rsidR="0071415F" w:rsidRDefault="0071415F" w:rsidP="005A2AFB">
      <w:pPr>
        <w:spacing w:after="0" w:line="360" w:lineRule="auto"/>
        <w:jc w:val="both"/>
        <w:rPr>
          <w:rFonts w:ascii="Arial" w:eastAsia="Dotum" w:hAnsi="Arial" w:cs="Arial"/>
          <w:sz w:val="24"/>
          <w:szCs w:val="24"/>
        </w:rPr>
      </w:pPr>
    </w:p>
    <w:p w:rsidR="000D784F" w:rsidRDefault="000D784F" w:rsidP="005A2AFB">
      <w:pPr>
        <w:spacing w:after="0" w:line="360" w:lineRule="auto"/>
        <w:jc w:val="both"/>
        <w:rPr>
          <w:rFonts w:ascii="Arial" w:eastAsia="Dotum" w:hAnsi="Arial" w:cs="Arial"/>
          <w:sz w:val="24"/>
          <w:szCs w:val="24"/>
        </w:rPr>
      </w:pPr>
    </w:p>
    <w:p w:rsidR="00572B7C" w:rsidRDefault="002A5A36">
      <w:pPr>
        <w:spacing w:after="0" w:line="360" w:lineRule="auto"/>
        <w:ind w:left="720"/>
        <w:jc w:val="both"/>
        <w:rPr>
          <w:rFonts w:ascii="Arial" w:hAnsi="Arial" w:cs="Arial"/>
          <w:i/>
        </w:rPr>
      </w:pPr>
      <w:r w:rsidRPr="002A5A36">
        <w:rPr>
          <w:rFonts w:ascii="Arial" w:hAnsi="Arial" w:cs="Arial"/>
          <w:i/>
        </w:rPr>
        <w:t>‘In the instant case, the purpose of the subrules in question, as stated earlier, is to ensure that in interlocutory proceedings, the parties seek to first amicably resolve the dispute before setting it down for determination by the court. It is clear from what I have said above that that purpose was met and the only deficiency was not placing the evidence of the attempts to amicably resolve the matter before the registrar. I therefore find that there has been substantial compliance with rule 32 (9) and (10) and for that reason, this court is at large to consider the interlocutory application without further ado.’</w:t>
      </w:r>
    </w:p>
    <w:p w:rsidR="00572B7C" w:rsidRDefault="00572B7C">
      <w:pPr>
        <w:spacing w:after="0" w:line="360" w:lineRule="auto"/>
        <w:ind w:left="720"/>
        <w:jc w:val="both"/>
        <w:rPr>
          <w:rFonts w:ascii="Arial" w:eastAsia="Dotum" w:hAnsi="Arial" w:cs="Arial"/>
          <w:i/>
        </w:rPr>
      </w:pPr>
    </w:p>
    <w:p w:rsidR="0033247F" w:rsidRPr="000D784F" w:rsidRDefault="0033247F" w:rsidP="005A2AFB">
      <w:pPr>
        <w:spacing w:after="0" w:line="360" w:lineRule="auto"/>
        <w:jc w:val="both"/>
        <w:rPr>
          <w:rFonts w:ascii="Arial" w:hAnsi="Arial" w:cs="Arial"/>
          <w:i/>
          <w:sz w:val="24"/>
          <w:szCs w:val="24"/>
        </w:rPr>
      </w:pPr>
    </w:p>
    <w:p w:rsidR="00FC7046" w:rsidRDefault="0033247F" w:rsidP="005A2AFB">
      <w:pPr>
        <w:spacing w:after="0" w:line="360" w:lineRule="auto"/>
        <w:jc w:val="both"/>
        <w:rPr>
          <w:rFonts w:ascii="Arial" w:hAnsi="Arial" w:cs="Arial"/>
          <w:sz w:val="24"/>
          <w:szCs w:val="24"/>
        </w:rPr>
      </w:pPr>
      <w:r>
        <w:rPr>
          <w:rFonts w:ascii="Arial" w:hAnsi="Arial" w:cs="Arial"/>
          <w:sz w:val="24"/>
          <w:szCs w:val="24"/>
        </w:rPr>
        <w:t>[</w:t>
      </w:r>
      <w:r w:rsidR="002413F4">
        <w:rPr>
          <w:rFonts w:ascii="Arial" w:hAnsi="Arial" w:cs="Arial"/>
          <w:sz w:val="24"/>
          <w:szCs w:val="24"/>
        </w:rPr>
        <w:t>21</w:t>
      </w:r>
      <w:r>
        <w:rPr>
          <w:rFonts w:ascii="Arial" w:hAnsi="Arial" w:cs="Arial"/>
          <w:sz w:val="24"/>
          <w:szCs w:val="24"/>
        </w:rPr>
        <w:t>]</w:t>
      </w:r>
      <w:r w:rsidR="00925FB8">
        <w:rPr>
          <w:rFonts w:ascii="Arial" w:hAnsi="Arial" w:cs="Arial"/>
          <w:sz w:val="24"/>
          <w:szCs w:val="24"/>
        </w:rPr>
        <w:tab/>
      </w:r>
      <w:r w:rsidR="00FC7046">
        <w:rPr>
          <w:rFonts w:ascii="Arial" w:hAnsi="Arial" w:cs="Arial"/>
          <w:sz w:val="24"/>
          <w:szCs w:val="24"/>
        </w:rPr>
        <w:t xml:space="preserve">It is thus clear that </w:t>
      </w:r>
      <w:r w:rsidR="00DA6E16">
        <w:rPr>
          <w:rFonts w:ascii="Arial" w:hAnsi="Arial" w:cs="Arial"/>
          <w:sz w:val="24"/>
          <w:szCs w:val="24"/>
        </w:rPr>
        <w:t>if</w:t>
      </w:r>
      <w:r w:rsidR="00FC7046">
        <w:rPr>
          <w:rFonts w:ascii="Arial" w:hAnsi="Arial" w:cs="Arial"/>
          <w:sz w:val="24"/>
          <w:szCs w:val="24"/>
        </w:rPr>
        <w:t xml:space="preserve"> the </w:t>
      </w:r>
      <w:r w:rsidR="007C70EB">
        <w:rPr>
          <w:rFonts w:ascii="Arial" w:hAnsi="Arial" w:cs="Arial"/>
          <w:sz w:val="24"/>
          <w:szCs w:val="24"/>
        </w:rPr>
        <w:t>C</w:t>
      </w:r>
      <w:r w:rsidR="00FC7046">
        <w:rPr>
          <w:rFonts w:ascii="Arial" w:hAnsi="Arial" w:cs="Arial"/>
          <w:sz w:val="24"/>
          <w:szCs w:val="24"/>
        </w:rPr>
        <w:t xml:space="preserve">ourt is satisfied that there </w:t>
      </w:r>
      <w:r w:rsidR="001E272E">
        <w:rPr>
          <w:rFonts w:ascii="Arial" w:hAnsi="Arial" w:cs="Arial"/>
          <w:sz w:val="24"/>
          <w:szCs w:val="24"/>
        </w:rPr>
        <w:t>is</w:t>
      </w:r>
      <w:r w:rsidR="00FC7046">
        <w:rPr>
          <w:rFonts w:ascii="Arial" w:hAnsi="Arial" w:cs="Arial"/>
          <w:sz w:val="24"/>
          <w:szCs w:val="24"/>
        </w:rPr>
        <w:t xml:space="preserve"> substantial compliance with the rule the </w:t>
      </w:r>
      <w:r w:rsidR="007C70EB">
        <w:rPr>
          <w:rFonts w:ascii="Arial" w:hAnsi="Arial" w:cs="Arial"/>
          <w:sz w:val="24"/>
          <w:szCs w:val="24"/>
        </w:rPr>
        <w:t>C</w:t>
      </w:r>
      <w:r w:rsidR="00FC7046">
        <w:rPr>
          <w:rFonts w:ascii="Arial" w:hAnsi="Arial" w:cs="Arial"/>
          <w:sz w:val="24"/>
          <w:szCs w:val="24"/>
        </w:rPr>
        <w:t xml:space="preserve">ourt will not let formalism dictate over </w:t>
      </w:r>
      <w:r w:rsidR="001E272E">
        <w:rPr>
          <w:rFonts w:ascii="Arial" w:hAnsi="Arial" w:cs="Arial"/>
          <w:sz w:val="24"/>
          <w:szCs w:val="24"/>
        </w:rPr>
        <w:t>common sense.</w:t>
      </w:r>
    </w:p>
    <w:p w:rsidR="007C70EB" w:rsidRDefault="007C70EB" w:rsidP="005A2AFB">
      <w:pPr>
        <w:spacing w:after="0" w:line="360" w:lineRule="auto"/>
        <w:jc w:val="both"/>
        <w:rPr>
          <w:rFonts w:ascii="Arial" w:hAnsi="Arial" w:cs="Arial"/>
          <w:sz w:val="24"/>
          <w:szCs w:val="24"/>
        </w:rPr>
      </w:pPr>
    </w:p>
    <w:p w:rsidR="00FC7046" w:rsidRDefault="00FC7046" w:rsidP="005A2AFB">
      <w:pPr>
        <w:spacing w:after="0" w:line="360" w:lineRule="auto"/>
        <w:jc w:val="both"/>
        <w:rPr>
          <w:rFonts w:ascii="Arial" w:hAnsi="Arial" w:cs="Arial"/>
          <w:sz w:val="24"/>
          <w:szCs w:val="24"/>
        </w:rPr>
      </w:pPr>
    </w:p>
    <w:p w:rsidR="00A40238" w:rsidRDefault="001E272E" w:rsidP="005A2AFB">
      <w:pPr>
        <w:spacing w:after="0" w:line="360" w:lineRule="auto"/>
        <w:jc w:val="both"/>
        <w:rPr>
          <w:rFonts w:ascii="Arial" w:hAnsi="Arial" w:cs="Arial"/>
          <w:sz w:val="24"/>
          <w:szCs w:val="24"/>
        </w:rPr>
      </w:pPr>
      <w:r>
        <w:rPr>
          <w:rFonts w:ascii="Arial" w:hAnsi="Arial" w:cs="Arial"/>
          <w:sz w:val="24"/>
          <w:szCs w:val="24"/>
        </w:rPr>
        <w:t>[</w:t>
      </w:r>
      <w:r w:rsidR="002413F4">
        <w:rPr>
          <w:rFonts w:ascii="Arial" w:hAnsi="Arial" w:cs="Arial"/>
          <w:sz w:val="24"/>
          <w:szCs w:val="24"/>
        </w:rPr>
        <w:t>22</w:t>
      </w:r>
      <w:r>
        <w:rPr>
          <w:rFonts w:ascii="Arial" w:hAnsi="Arial" w:cs="Arial"/>
          <w:sz w:val="24"/>
          <w:szCs w:val="24"/>
        </w:rPr>
        <w:t>]</w:t>
      </w:r>
      <w:r w:rsidR="00925FB8">
        <w:rPr>
          <w:rFonts w:ascii="Arial" w:hAnsi="Arial" w:cs="Arial"/>
          <w:sz w:val="24"/>
          <w:szCs w:val="24"/>
        </w:rPr>
        <w:tab/>
      </w:r>
      <w:r w:rsidR="0033247F" w:rsidRPr="0033247F">
        <w:rPr>
          <w:rFonts w:ascii="Arial" w:hAnsi="Arial" w:cs="Arial"/>
          <w:sz w:val="24"/>
          <w:szCs w:val="24"/>
        </w:rPr>
        <w:t>The question for determination is</w:t>
      </w:r>
      <w:r>
        <w:rPr>
          <w:rFonts w:ascii="Arial" w:hAnsi="Arial" w:cs="Arial"/>
          <w:sz w:val="24"/>
          <w:szCs w:val="24"/>
        </w:rPr>
        <w:t xml:space="preserve"> thus</w:t>
      </w:r>
      <w:r w:rsidR="0033247F" w:rsidRPr="0033247F">
        <w:rPr>
          <w:rFonts w:ascii="Arial" w:hAnsi="Arial" w:cs="Arial"/>
          <w:sz w:val="24"/>
          <w:szCs w:val="24"/>
        </w:rPr>
        <w:t xml:space="preserve"> whether the documents referred to</w:t>
      </w:r>
      <w:r>
        <w:rPr>
          <w:rFonts w:ascii="Arial" w:hAnsi="Arial" w:cs="Arial"/>
          <w:sz w:val="24"/>
          <w:szCs w:val="24"/>
        </w:rPr>
        <w:t xml:space="preserve"> by the applicant</w:t>
      </w:r>
      <w:r w:rsidR="0033247F" w:rsidRPr="0033247F">
        <w:rPr>
          <w:rFonts w:ascii="Arial" w:hAnsi="Arial" w:cs="Arial"/>
          <w:sz w:val="24"/>
          <w:szCs w:val="24"/>
        </w:rPr>
        <w:t>, whether considered individually or collectively, do comply fully or substantially with the requirements of the said sub-rules</w:t>
      </w:r>
      <w:r>
        <w:rPr>
          <w:rFonts w:ascii="Arial" w:hAnsi="Arial" w:cs="Arial"/>
          <w:sz w:val="24"/>
          <w:szCs w:val="24"/>
        </w:rPr>
        <w:t xml:space="preserve"> 32 (9) specifically as it is common cause that no report was filed with the registrar setting out the steps taken to amicably resolve the matter.</w:t>
      </w:r>
    </w:p>
    <w:p w:rsidR="007C70EB" w:rsidRDefault="007C70EB" w:rsidP="005A2AFB">
      <w:pPr>
        <w:spacing w:after="0" w:line="360" w:lineRule="auto"/>
        <w:jc w:val="both"/>
        <w:rPr>
          <w:rFonts w:ascii="Arial" w:hAnsi="Arial" w:cs="Arial"/>
          <w:sz w:val="24"/>
          <w:szCs w:val="24"/>
        </w:rPr>
      </w:pPr>
    </w:p>
    <w:p w:rsidR="001E272E" w:rsidRDefault="001E272E" w:rsidP="005A2AFB">
      <w:pPr>
        <w:spacing w:after="0" w:line="360" w:lineRule="auto"/>
        <w:jc w:val="both"/>
        <w:rPr>
          <w:rFonts w:ascii="Arial" w:hAnsi="Arial" w:cs="Arial"/>
          <w:sz w:val="24"/>
          <w:szCs w:val="24"/>
        </w:rPr>
      </w:pPr>
    </w:p>
    <w:p w:rsidR="00A40238" w:rsidRDefault="00874069" w:rsidP="0070783F">
      <w:pPr>
        <w:spacing w:after="0" w:line="360" w:lineRule="auto"/>
        <w:jc w:val="both"/>
        <w:rPr>
          <w:rFonts w:ascii="Arial" w:hAnsi="Arial" w:cs="Arial"/>
          <w:sz w:val="24"/>
          <w:szCs w:val="24"/>
        </w:rPr>
      </w:pPr>
      <w:r>
        <w:rPr>
          <w:rFonts w:ascii="Arial" w:hAnsi="Arial" w:cs="Arial"/>
          <w:sz w:val="24"/>
          <w:szCs w:val="24"/>
        </w:rPr>
        <w:lastRenderedPageBreak/>
        <w:t>[</w:t>
      </w:r>
      <w:r w:rsidR="002413F4">
        <w:rPr>
          <w:rFonts w:ascii="Arial" w:hAnsi="Arial" w:cs="Arial"/>
          <w:sz w:val="24"/>
          <w:szCs w:val="24"/>
        </w:rPr>
        <w:t>23</w:t>
      </w:r>
      <w:r>
        <w:rPr>
          <w:rFonts w:ascii="Arial" w:hAnsi="Arial" w:cs="Arial"/>
          <w:sz w:val="24"/>
          <w:szCs w:val="24"/>
        </w:rPr>
        <w:t xml:space="preserve">] </w:t>
      </w:r>
      <w:r w:rsidR="00925FB8">
        <w:rPr>
          <w:rFonts w:ascii="Arial" w:hAnsi="Arial" w:cs="Arial"/>
          <w:sz w:val="24"/>
          <w:szCs w:val="24"/>
        </w:rPr>
        <w:tab/>
      </w:r>
      <w:r w:rsidR="002F5EAC">
        <w:rPr>
          <w:rFonts w:ascii="Arial" w:hAnsi="Arial" w:cs="Arial"/>
          <w:sz w:val="24"/>
          <w:szCs w:val="24"/>
        </w:rPr>
        <w:t>At the time of drafting the notice and the letter to respondent’s legal practitioner</w:t>
      </w:r>
      <w:r w:rsidR="007C70EB">
        <w:rPr>
          <w:rFonts w:ascii="Arial" w:hAnsi="Arial" w:cs="Arial"/>
          <w:sz w:val="24"/>
          <w:szCs w:val="24"/>
        </w:rPr>
        <w:t>,</w:t>
      </w:r>
      <w:r w:rsidR="002F5EAC">
        <w:rPr>
          <w:rFonts w:ascii="Arial" w:hAnsi="Arial" w:cs="Arial"/>
          <w:sz w:val="24"/>
          <w:szCs w:val="24"/>
        </w:rPr>
        <w:t xml:space="preserve"> this matter was still very much under case management as is evident from case management orders dated 9 June, 16 June and 23 June 2016. Applicants proceeded to set the case down for hearing well knowing that the issue of further discovery has not been laid to rest.</w:t>
      </w:r>
    </w:p>
    <w:p w:rsidR="007C70EB" w:rsidRPr="00874069" w:rsidRDefault="007C70EB" w:rsidP="0070783F">
      <w:pPr>
        <w:spacing w:after="0" w:line="360" w:lineRule="auto"/>
        <w:jc w:val="both"/>
        <w:rPr>
          <w:rFonts w:ascii="Arial" w:hAnsi="Arial" w:cs="Arial"/>
        </w:rPr>
      </w:pPr>
    </w:p>
    <w:p w:rsidR="002F5EAC" w:rsidRDefault="002F5EAC" w:rsidP="005A2AFB">
      <w:pPr>
        <w:spacing w:after="0" w:line="360" w:lineRule="auto"/>
        <w:jc w:val="both"/>
        <w:rPr>
          <w:rFonts w:ascii="Arial" w:hAnsi="Arial" w:cs="Arial"/>
          <w:sz w:val="24"/>
          <w:szCs w:val="24"/>
        </w:rPr>
      </w:pPr>
    </w:p>
    <w:p w:rsidR="0070464B" w:rsidRDefault="0070464B" w:rsidP="005A2AFB">
      <w:pPr>
        <w:spacing w:after="0" w:line="360" w:lineRule="auto"/>
        <w:jc w:val="both"/>
        <w:rPr>
          <w:rFonts w:ascii="Arial" w:hAnsi="Arial" w:cs="Arial"/>
          <w:sz w:val="24"/>
          <w:szCs w:val="24"/>
        </w:rPr>
      </w:pPr>
      <w:r>
        <w:rPr>
          <w:rFonts w:ascii="Arial" w:hAnsi="Arial" w:cs="Arial"/>
          <w:sz w:val="24"/>
          <w:szCs w:val="24"/>
        </w:rPr>
        <w:t>[</w:t>
      </w:r>
      <w:r w:rsidR="002413F4">
        <w:rPr>
          <w:rFonts w:ascii="Arial" w:hAnsi="Arial" w:cs="Arial"/>
          <w:sz w:val="24"/>
          <w:szCs w:val="24"/>
        </w:rPr>
        <w:t>24</w:t>
      </w:r>
      <w:r>
        <w:rPr>
          <w:rFonts w:ascii="Arial" w:hAnsi="Arial" w:cs="Arial"/>
          <w:sz w:val="24"/>
          <w:szCs w:val="24"/>
        </w:rPr>
        <w:t xml:space="preserve">]  </w:t>
      </w:r>
      <w:r w:rsidR="002F5EAC">
        <w:rPr>
          <w:rFonts w:ascii="Arial" w:hAnsi="Arial" w:cs="Arial"/>
          <w:sz w:val="24"/>
          <w:szCs w:val="24"/>
        </w:rPr>
        <w:tab/>
        <w:t>The applicant did not proceed in terms of rule 28(9)</w:t>
      </w:r>
      <w:r w:rsidR="002F5EAC">
        <w:rPr>
          <w:rStyle w:val="FootnoteReference"/>
          <w:rFonts w:ascii="Arial" w:hAnsi="Arial" w:cs="Arial"/>
          <w:sz w:val="24"/>
          <w:szCs w:val="24"/>
        </w:rPr>
        <w:footnoteReference w:id="5"/>
      </w:r>
      <w:r w:rsidR="002F5EAC">
        <w:rPr>
          <w:rFonts w:ascii="Arial" w:hAnsi="Arial" w:cs="Arial"/>
          <w:sz w:val="24"/>
          <w:szCs w:val="24"/>
        </w:rPr>
        <w:t xml:space="preserve"> as they alluded to in their letter to the respondents.</w:t>
      </w:r>
    </w:p>
    <w:p w:rsidR="007C70EB" w:rsidRDefault="007C70EB" w:rsidP="005A2AFB">
      <w:pPr>
        <w:spacing w:after="0" w:line="360" w:lineRule="auto"/>
        <w:jc w:val="both"/>
        <w:rPr>
          <w:rFonts w:ascii="Arial" w:hAnsi="Arial" w:cs="Arial"/>
          <w:sz w:val="24"/>
          <w:szCs w:val="24"/>
        </w:rPr>
      </w:pPr>
    </w:p>
    <w:p w:rsidR="00FC629F" w:rsidRDefault="00FC629F" w:rsidP="005A2AFB">
      <w:pPr>
        <w:spacing w:after="0" w:line="360" w:lineRule="auto"/>
        <w:jc w:val="both"/>
        <w:rPr>
          <w:rFonts w:ascii="Arial" w:hAnsi="Arial" w:cs="Arial"/>
          <w:sz w:val="24"/>
          <w:szCs w:val="24"/>
        </w:rPr>
      </w:pPr>
    </w:p>
    <w:p w:rsidR="001E272E" w:rsidRDefault="0070464B" w:rsidP="005A2AF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2413F4">
        <w:rPr>
          <w:rFonts w:ascii="Arial" w:hAnsi="Arial" w:cs="Arial"/>
          <w:sz w:val="24"/>
          <w:szCs w:val="24"/>
        </w:rPr>
        <w:t>25</w:t>
      </w:r>
      <w:r w:rsidR="002F5EAC">
        <w:rPr>
          <w:rFonts w:ascii="Arial" w:hAnsi="Arial" w:cs="Arial"/>
          <w:sz w:val="24"/>
          <w:szCs w:val="24"/>
        </w:rPr>
        <w:t>]</w:t>
      </w:r>
      <w:r w:rsidR="002F5EAC">
        <w:rPr>
          <w:rFonts w:ascii="Arial" w:hAnsi="Arial" w:cs="Arial"/>
          <w:sz w:val="24"/>
          <w:szCs w:val="24"/>
        </w:rPr>
        <w:tab/>
      </w:r>
      <w:r w:rsidR="007C70EB">
        <w:rPr>
          <w:rFonts w:ascii="Arial" w:hAnsi="Arial" w:cs="Arial"/>
          <w:sz w:val="24"/>
          <w:szCs w:val="24"/>
        </w:rPr>
        <w:t>Applicants were</w:t>
      </w:r>
      <w:r w:rsidR="002F5EAC">
        <w:rPr>
          <w:rFonts w:ascii="Arial" w:hAnsi="Arial" w:cs="Arial"/>
          <w:sz w:val="24"/>
          <w:szCs w:val="24"/>
        </w:rPr>
        <w:t xml:space="preserve"> merely paying lip service to sub rule (9) by having a heading to their letter as ‘</w:t>
      </w:r>
      <w:r w:rsidR="002F5EAC" w:rsidRPr="00B77039">
        <w:rPr>
          <w:rFonts w:ascii="Arial" w:hAnsi="Arial" w:cs="Arial"/>
          <w:b/>
          <w:sz w:val="24"/>
          <w:szCs w:val="24"/>
        </w:rPr>
        <w:t>RULE 32(9) and (10)</w:t>
      </w:r>
      <w:r w:rsidR="002F5EAC">
        <w:rPr>
          <w:rFonts w:ascii="Arial" w:hAnsi="Arial" w:cs="Arial"/>
          <w:b/>
          <w:sz w:val="24"/>
          <w:szCs w:val="24"/>
        </w:rPr>
        <w:t xml:space="preserve">’. </w:t>
      </w:r>
      <w:r w:rsidR="002F5EAC">
        <w:rPr>
          <w:rFonts w:ascii="Arial" w:hAnsi="Arial" w:cs="Arial"/>
          <w:sz w:val="24"/>
          <w:szCs w:val="24"/>
        </w:rPr>
        <w:t xml:space="preserve"> One can surely not say that applicant sought amicable solution by writing a letter and then wait </w:t>
      </w:r>
      <w:r w:rsidR="006F64C0">
        <w:rPr>
          <w:rFonts w:ascii="Arial" w:hAnsi="Arial" w:cs="Arial"/>
          <w:sz w:val="24"/>
          <w:szCs w:val="24"/>
        </w:rPr>
        <w:t>nine (</w:t>
      </w:r>
      <w:r w:rsidR="002F5EAC">
        <w:rPr>
          <w:rFonts w:ascii="Arial" w:hAnsi="Arial" w:cs="Arial"/>
          <w:sz w:val="24"/>
          <w:szCs w:val="24"/>
        </w:rPr>
        <w:t>9</w:t>
      </w:r>
      <w:r w:rsidR="006F64C0">
        <w:rPr>
          <w:rFonts w:ascii="Arial" w:hAnsi="Arial" w:cs="Arial"/>
          <w:sz w:val="24"/>
          <w:szCs w:val="24"/>
        </w:rPr>
        <w:t>)</w:t>
      </w:r>
      <w:r w:rsidR="002F5EAC">
        <w:rPr>
          <w:rFonts w:ascii="Arial" w:hAnsi="Arial" w:cs="Arial"/>
          <w:sz w:val="24"/>
          <w:szCs w:val="24"/>
        </w:rPr>
        <w:t xml:space="preserve"> months to launch the application without taking any positive steps in between.</w:t>
      </w:r>
    </w:p>
    <w:p w:rsidR="0071415F" w:rsidRDefault="0071415F" w:rsidP="005A2AFB">
      <w:pPr>
        <w:autoSpaceDE w:val="0"/>
        <w:autoSpaceDN w:val="0"/>
        <w:adjustRightInd w:val="0"/>
        <w:spacing w:after="0" w:line="360" w:lineRule="auto"/>
        <w:jc w:val="both"/>
        <w:rPr>
          <w:rFonts w:ascii="Arial" w:hAnsi="Arial" w:cs="Arial"/>
          <w:sz w:val="24"/>
          <w:szCs w:val="24"/>
        </w:rPr>
      </w:pPr>
    </w:p>
    <w:p w:rsidR="0047319F" w:rsidRDefault="0047319F" w:rsidP="005A2AFB">
      <w:pPr>
        <w:autoSpaceDE w:val="0"/>
        <w:autoSpaceDN w:val="0"/>
        <w:adjustRightInd w:val="0"/>
        <w:spacing w:after="0" w:line="360" w:lineRule="auto"/>
        <w:jc w:val="both"/>
        <w:rPr>
          <w:rFonts w:ascii="Arial" w:hAnsi="Arial" w:cs="Arial"/>
          <w:sz w:val="24"/>
          <w:szCs w:val="24"/>
        </w:rPr>
      </w:pPr>
    </w:p>
    <w:p w:rsidR="002F5EAC" w:rsidRDefault="0047319F" w:rsidP="002F5EA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2413F4">
        <w:rPr>
          <w:rFonts w:ascii="Arial" w:hAnsi="Arial" w:cs="Arial"/>
          <w:sz w:val="24"/>
          <w:szCs w:val="24"/>
        </w:rPr>
        <w:t>26</w:t>
      </w:r>
      <w:r>
        <w:rPr>
          <w:rFonts w:ascii="Arial" w:hAnsi="Arial" w:cs="Arial"/>
          <w:sz w:val="24"/>
          <w:szCs w:val="24"/>
        </w:rPr>
        <w:t xml:space="preserve">] </w:t>
      </w:r>
      <w:r w:rsidR="00FC629F">
        <w:rPr>
          <w:rFonts w:ascii="Arial" w:hAnsi="Arial" w:cs="Arial"/>
          <w:sz w:val="24"/>
          <w:szCs w:val="24"/>
        </w:rPr>
        <w:tab/>
      </w:r>
      <w:r w:rsidR="002F5EAC">
        <w:rPr>
          <w:rFonts w:ascii="Arial" w:hAnsi="Arial" w:cs="Arial"/>
          <w:sz w:val="24"/>
          <w:szCs w:val="24"/>
        </w:rPr>
        <w:t xml:space="preserve">On this issue I can do no better than to refer the discussion by Masuku J in the matter of </w:t>
      </w:r>
      <w:r w:rsidR="002A5A36" w:rsidRPr="002A5A36">
        <w:rPr>
          <w:rFonts w:ascii="Arial" w:hAnsi="Arial" w:cs="Arial"/>
          <w:i/>
          <w:sz w:val="24"/>
          <w:szCs w:val="24"/>
        </w:rPr>
        <w:t>Bank Windhoek Limited v Benlin Investment CC</w:t>
      </w:r>
      <w:r w:rsidR="002F5EAC">
        <w:rPr>
          <w:rStyle w:val="FootnoteReference"/>
          <w:rFonts w:ascii="Arial" w:hAnsi="Arial" w:cs="Arial"/>
          <w:sz w:val="24"/>
          <w:szCs w:val="24"/>
        </w:rPr>
        <w:footnoteReference w:id="6"/>
      </w:r>
      <w:r w:rsidR="002F5EAC">
        <w:rPr>
          <w:rFonts w:ascii="Arial" w:hAnsi="Arial" w:cs="Arial"/>
          <w:sz w:val="24"/>
          <w:szCs w:val="24"/>
        </w:rPr>
        <w:t xml:space="preserve"> regarding the exchange of letters where he said as follows:</w:t>
      </w:r>
    </w:p>
    <w:p w:rsidR="007C70EB" w:rsidRDefault="007C70EB" w:rsidP="002F5EAC">
      <w:pPr>
        <w:autoSpaceDE w:val="0"/>
        <w:autoSpaceDN w:val="0"/>
        <w:adjustRightInd w:val="0"/>
        <w:spacing w:after="0" w:line="360" w:lineRule="auto"/>
        <w:jc w:val="both"/>
        <w:rPr>
          <w:rFonts w:ascii="Arial" w:hAnsi="Arial" w:cs="Arial"/>
          <w:sz w:val="24"/>
          <w:szCs w:val="24"/>
        </w:rPr>
      </w:pPr>
    </w:p>
    <w:p w:rsidR="007C70EB" w:rsidRDefault="007C70EB" w:rsidP="002F5EAC">
      <w:pPr>
        <w:autoSpaceDE w:val="0"/>
        <w:autoSpaceDN w:val="0"/>
        <w:adjustRightInd w:val="0"/>
        <w:spacing w:after="0" w:line="360" w:lineRule="auto"/>
        <w:jc w:val="both"/>
        <w:rPr>
          <w:rFonts w:ascii="Arial" w:hAnsi="Arial" w:cs="Arial"/>
          <w:sz w:val="24"/>
          <w:szCs w:val="24"/>
        </w:rPr>
      </w:pPr>
    </w:p>
    <w:p w:rsidR="002F5EAC" w:rsidRPr="007C70EB" w:rsidRDefault="002A5A36" w:rsidP="002F5EAC">
      <w:pPr>
        <w:autoSpaceDE w:val="0"/>
        <w:autoSpaceDN w:val="0"/>
        <w:adjustRightInd w:val="0"/>
        <w:spacing w:after="0" w:line="360" w:lineRule="auto"/>
        <w:ind w:firstLine="720"/>
        <w:jc w:val="both"/>
        <w:rPr>
          <w:rFonts w:ascii="Arial" w:hAnsi="Arial" w:cs="Arial"/>
          <w:i/>
        </w:rPr>
      </w:pPr>
      <w:r w:rsidRPr="002A5A36">
        <w:rPr>
          <w:rFonts w:ascii="Arial" w:hAnsi="Arial" w:cs="Arial"/>
          <w:i/>
        </w:rPr>
        <w:t xml:space="preserve">‘[12]...As indicated earlier, the onus to move the matter for amicable resolution, lies with the party seeking to move the interlocutory application before delivery of the application. I am of the view that the mere writing of a letter, calling on the other party to say ‘how </w:t>
      </w:r>
      <w:r w:rsidRPr="002A5A36">
        <w:rPr>
          <w:rFonts w:ascii="Arial" w:hAnsi="Arial" w:cs="Arial"/>
          <w:i/>
          <w:u w:val="single"/>
        </w:rPr>
        <w:t>you</w:t>
      </w:r>
      <w:r w:rsidRPr="002A5A36">
        <w:rPr>
          <w:rFonts w:ascii="Arial" w:hAnsi="Arial" w:cs="Arial"/>
          <w:i/>
        </w:rPr>
        <w:t xml:space="preserve"> intend to resolve the matter amicably’, cannot, even with the widest stretch of the imagination, amount to compliance with the rules. (Emphasis added)</w:t>
      </w:r>
    </w:p>
    <w:p w:rsidR="007C70EB" w:rsidRPr="007C70EB" w:rsidRDefault="007C70EB" w:rsidP="002F5EAC">
      <w:pPr>
        <w:autoSpaceDE w:val="0"/>
        <w:autoSpaceDN w:val="0"/>
        <w:adjustRightInd w:val="0"/>
        <w:spacing w:after="0" w:line="360" w:lineRule="auto"/>
        <w:ind w:firstLine="720"/>
        <w:jc w:val="both"/>
        <w:rPr>
          <w:rFonts w:ascii="Arial" w:hAnsi="Arial" w:cs="Arial"/>
          <w:i/>
        </w:rPr>
      </w:pPr>
    </w:p>
    <w:p w:rsidR="002F5EAC" w:rsidRPr="007C70EB" w:rsidRDefault="002A5A36" w:rsidP="002F5EAC">
      <w:pPr>
        <w:autoSpaceDE w:val="0"/>
        <w:autoSpaceDN w:val="0"/>
        <w:adjustRightInd w:val="0"/>
        <w:spacing w:after="0" w:line="360" w:lineRule="auto"/>
        <w:ind w:firstLine="720"/>
        <w:jc w:val="both"/>
        <w:rPr>
          <w:rFonts w:ascii="Arial" w:hAnsi="Arial" w:cs="Arial"/>
          <w:i/>
        </w:rPr>
      </w:pPr>
      <w:r w:rsidRPr="002A5A36">
        <w:rPr>
          <w:rFonts w:ascii="Arial" w:hAnsi="Arial" w:cs="Arial"/>
          <w:i/>
        </w:rPr>
        <w:t xml:space="preserve">And further </w:t>
      </w:r>
    </w:p>
    <w:p w:rsidR="007C70EB" w:rsidRPr="007C70EB" w:rsidRDefault="007C70EB" w:rsidP="002F5EAC">
      <w:pPr>
        <w:autoSpaceDE w:val="0"/>
        <w:autoSpaceDN w:val="0"/>
        <w:adjustRightInd w:val="0"/>
        <w:spacing w:after="0" w:line="360" w:lineRule="auto"/>
        <w:ind w:firstLine="720"/>
        <w:jc w:val="both"/>
        <w:rPr>
          <w:rFonts w:ascii="Arial" w:hAnsi="Arial" w:cs="Arial"/>
          <w:i/>
        </w:rPr>
      </w:pPr>
    </w:p>
    <w:p w:rsidR="00883963" w:rsidRPr="007C70EB" w:rsidRDefault="002A5A36" w:rsidP="002F5EAC">
      <w:pPr>
        <w:autoSpaceDE w:val="0"/>
        <w:autoSpaceDN w:val="0"/>
        <w:adjustRightInd w:val="0"/>
        <w:spacing w:after="0" w:line="360" w:lineRule="auto"/>
        <w:ind w:firstLine="720"/>
        <w:jc w:val="both"/>
        <w:rPr>
          <w:rFonts w:ascii="Arial" w:hAnsi="Arial" w:cs="Arial"/>
          <w:i/>
        </w:rPr>
      </w:pPr>
      <w:r w:rsidRPr="002A5A36">
        <w:rPr>
          <w:rFonts w:ascii="Arial" w:hAnsi="Arial" w:cs="Arial"/>
          <w:i/>
        </w:rPr>
        <w:lastRenderedPageBreak/>
        <w:t>[16</w:t>
      </w:r>
      <w:r>
        <w:rPr>
          <w:rFonts w:ascii="Arial" w:hAnsi="Arial" w:cs="Arial"/>
          <w:i/>
        </w:rPr>
        <w:t>]</w:t>
      </w:r>
      <w:r w:rsidR="0071415F">
        <w:rPr>
          <w:rFonts w:ascii="Arial" w:hAnsi="Arial" w:cs="Arial"/>
          <w:i/>
        </w:rPr>
        <w:tab/>
      </w:r>
      <w:r>
        <w:rPr>
          <w:rFonts w:ascii="Arial" w:hAnsi="Arial" w:cs="Arial"/>
          <w:i/>
        </w:rPr>
        <w:t>The</w:t>
      </w:r>
      <w:r w:rsidRPr="002A5A36">
        <w:rPr>
          <w:rFonts w:ascii="Arial" w:hAnsi="Arial" w:cs="Arial"/>
          <w:i/>
        </w:rPr>
        <w:t xml:space="preserve"> writing of letters provides a very easy way of being shallow in consideration of issues, dismissive in approach and polarized in engagement. This becomes so even if there are matters that may be canvassed, even it not eventually settled in full or at all. The face to face</w:t>
      </w:r>
      <w:r w:rsidR="00EF77F3">
        <w:rPr>
          <w:rFonts w:ascii="Arial" w:hAnsi="Arial" w:cs="Arial"/>
          <w:i/>
        </w:rPr>
        <w:t xml:space="preserve"> </w:t>
      </w:r>
      <w:r w:rsidRPr="002A5A36">
        <w:rPr>
          <w:rFonts w:ascii="Arial" w:hAnsi="Arial" w:cs="Arial"/>
          <w:i/>
        </w:rPr>
        <w:t>engagement on such issues brings such cursory and perfunctory approach to a screeching halt. After the meeting, you understand your case better as that of your opponent, which assists the resolution or approach to the live issues going forward. This benefit must not be lost behind the veil of avoiding active engagement by the mere superficial exchange of letters.’</w:t>
      </w:r>
    </w:p>
    <w:p w:rsidR="007C70EB" w:rsidRDefault="007C70EB" w:rsidP="002F5EAC">
      <w:pPr>
        <w:autoSpaceDE w:val="0"/>
        <w:autoSpaceDN w:val="0"/>
        <w:adjustRightInd w:val="0"/>
        <w:spacing w:after="0" w:line="360" w:lineRule="auto"/>
        <w:ind w:firstLine="720"/>
        <w:jc w:val="both"/>
        <w:rPr>
          <w:rFonts w:ascii="Arial" w:hAnsi="Arial" w:cs="Arial"/>
          <w:sz w:val="24"/>
          <w:szCs w:val="24"/>
        </w:rPr>
      </w:pPr>
    </w:p>
    <w:p w:rsidR="00883963" w:rsidRDefault="00883963" w:rsidP="005A2AFB">
      <w:pPr>
        <w:autoSpaceDE w:val="0"/>
        <w:autoSpaceDN w:val="0"/>
        <w:adjustRightInd w:val="0"/>
        <w:spacing w:after="0" w:line="360" w:lineRule="auto"/>
        <w:jc w:val="both"/>
        <w:rPr>
          <w:rFonts w:ascii="Arial" w:hAnsi="Arial" w:cs="Arial"/>
          <w:sz w:val="24"/>
          <w:szCs w:val="24"/>
        </w:rPr>
      </w:pPr>
    </w:p>
    <w:p w:rsidR="00282187" w:rsidRDefault="0070464B" w:rsidP="005A2AF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2413F4">
        <w:rPr>
          <w:rFonts w:ascii="Arial" w:hAnsi="Arial" w:cs="Arial"/>
          <w:sz w:val="24"/>
          <w:szCs w:val="24"/>
        </w:rPr>
        <w:t>27</w:t>
      </w:r>
      <w:r>
        <w:rPr>
          <w:rFonts w:ascii="Arial" w:hAnsi="Arial" w:cs="Arial"/>
          <w:sz w:val="24"/>
          <w:szCs w:val="24"/>
        </w:rPr>
        <w:t xml:space="preserve">]  </w:t>
      </w:r>
      <w:r w:rsidR="00FC629F">
        <w:rPr>
          <w:rFonts w:ascii="Arial" w:hAnsi="Arial" w:cs="Arial"/>
          <w:sz w:val="24"/>
          <w:szCs w:val="24"/>
        </w:rPr>
        <w:tab/>
      </w:r>
      <w:r w:rsidR="002F5EAC">
        <w:rPr>
          <w:rFonts w:ascii="Arial" w:hAnsi="Arial" w:cs="Arial"/>
          <w:sz w:val="24"/>
          <w:szCs w:val="24"/>
        </w:rPr>
        <w:t>I</w:t>
      </w:r>
      <w:r w:rsidR="00B77039">
        <w:rPr>
          <w:rFonts w:ascii="Arial" w:hAnsi="Arial" w:cs="Arial"/>
          <w:sz w:val="24"/>
          <w:szCs w:val="24"/>
        </w:rPr>
        <w:t xml:space="preserve">fully </w:t>
      </w:r>
      <w:r>
        <w:rPr>
          <w:rFonts w:ascii="Arial" w:hAnsi="Arial" w:cs="Arial"/>
          <w:sz w:val="24"/>
          <w:szCs w:val="24"/>
        </w:rPr>
        <w:t>agree</w:t>
      </w:r>
      <w:r w:rsidR="00883963">
        <w:rPr>
          <w:rFonts w:ascii="Arial" w:hAnsi="Arial" w:cs="Arial"/>
          <w:sz w:val="24"/>
          <w:szCs w:val="24"/>
        </w:rPr>
        <w:t xml:space="preserve"> with </w:t>
      </w:r>
      <w:r w:rsidR="007C70EB">
        <w:rPr>
          <w:rFonts w:ascii="Arial" w:hAnsi="Arial" w:cs="Arial"/>
          <w:sz w:val="24"/>
          <w:szCs w:val="24"/>
        </w:rPr>
        <w:t xml:space="preserve">the </w:t>
      </w:r>
      <w:r w:rsidR="00883963">
        <w:rPr>
          <w:rFonts w:ascii="Arial" w:hAnsi="Arial" w:cs="Arial"/>
          <w:sz w:val="24"/>
          <w:szCs w:val="24"/>
        </w:rPr>
        <w:t xml:space="preserve">applicant </w:t>
      </w:r>
      <w:r>
        <w:rPr>
          <w:rFonts w:ascii="Arial" w:hAnsi="Arial" w:cs="Arial"/>
          <w:sz w:val="24"/>
          <w:szCs w:val="24"/>
        </w:rPr>
        <w:t xml:space="preserve">that </w:t>
      </w:r>
      <w:r w:rsidR="007C70EB">
        <w:rPr>
          <w:rFonts w:ascii="Arial" w:hAnsi="Arial" w:cs="Arial"/>
          <w:sz w:val="24"/>
          <w:szCs w:val="24"/>
        </w:rPr>
        <w:t xml:space="preserve">the </w:t>
      </w:r>
      <w:r>
        <w:rPr>
          <w:rFonts w:ascii="Arial" w:hAnsi="Arial" w:cs="Arial"/>
          <w:sz w:val="24"/>
          <w:szCs w:val="24"/>
        </w:rPr>
        <w:t>respondents</w:t>
      </w:r>
      <w:r w:rsidR="007C70EB">
        <w:rPr>
          <w:rFonts w:ascii="Arial" w:hAnsi="Arial" w:cs="Arial"/>
          <w:sz w:val="24"/>
          <w:szCs w:val="24"/>
        </w:rPr>
        <w:t>’</w:t>
      </w:r>
      <w:r>
        <w:rPr>
          <w:rFonts w:ascii="Arial" w:hAnsi="Arial" w:cs="Arial"/>
          <w:sz w:val="24"/>
          <w:szCs w:val="24"/>
        </w:rPr>
        <w:t xml:space="preserve"> legal practitioner </w:t>
      </w:r>
      <w:r w:rsidR="002F5EAC">
        <w:rPr>
          <w:rFonts w:ascii="Arial" w:hAnsi="Arial" w:cs="Arial"/>
          <w:sz w:val="24"/>
          <w:szCs w:val="24"/>
        </w:rPr>
        <w:t>had an obligation to respond</w:t>
      </w:r>
      <w:r w:rsidR="00EF77F3">
        <w:rPr>
          <w:rFonts w:ascii="Arial" w:hAnsi="Arial" w:cs="Arial"/>
          <w:sz w:val="24"/>
          <w:szCs w:val="24"/>
        </w:rPr>
        <w:t xml:space="preserve"> </w:t>
      </w:r>
      <w:r w:rsidR="007C70EB">
        <w:rPr>
          <w:rFonts w:ascii="Arial" w:hAnsi="Arial" w:cs="Arial"/>
          <w:sz w:val="24"/>
          <w:szCs w:val="24"/>
        </w:rPr>
        <w:t xml:space="preserve">to </w:t>
      </w:r>
      <w:r>
        <w:rPr>
          <w:rFonts w:ascii="Arial" w:hAnsi="Arial" w:cs="Arial"/>
          <w:sz w:val="24"/>
          <w:szCs w:val="24"/>
        </w:rPr>
        <w:t>the notice issued in April 2016 or the further letter</w:t>
      </w:r>
      <w:r w:rsidR="002F5EAC">
        <w:rPr>
          <w:rFonts w:ascii="Arial" w:hAnsi="Arial" w:cs="Arial"/>
          <w:sz w:val="24"/>
          <w:szCs w:val="24"/>
        </w:rPr>
        <w:t xml:space="preserve"> received</w:t>
      </w:r>
      <w:r>
        <w:rPr>
          <w:rFonts w:ascii="Arial" w:hAnsi="Arial" w:cs="Arial"/>
          <w:sz w:val="24"/>
          <w:szCs w:val="24"/>
        </w:rPr>
        <w:t xml:space="preserve"> in June 2016</w:t>
      </w:r>
      <w:r w:rsidR="00883963">
        <w:rPr>
          <w:rFonts w:ascii="Arial" w:hAnsi="Arial" w:cs="Arial"/>
          <w:sz w:val="24"/>
          <w:szCs w:val="24"/>
        </w:rPr>
        <w:t xml:space="preserve">, </w:t>
      </w:r>
      <w:r w:rsidR="002F5EAC">
        <w:rPr>
          <w:rFonts w:ascii="Arial" w:hAnsi="Arial" w:cs="Arial"/>
          <w:sz w:val="24"/>
          <w:szCs w:val="24"/>
        </w:rPr>
        <w:t>regardless</w:t>
      </w:r>
      <w:r w:rsidR="00883963">
        <w:rPr>
          <w:rFonts w:ascii="Arial" w:hAnsi="Arial" w:cs="Arial"/>
          <w:sz w:val="24"/>
          <w:szCs w:val="24"/>
        </w:rPr>
        <w:t xml:space="preserve"> if</w:t>
      </w:r>
      <w:r w:rsidR="002F5EAC">
        <w:rPr>
          <w:rFonts w:ascii="Arial" w:hAnsi="Arial" w:cs="Arial"/>
          <w:sz w:val="24"/>
          <w:szCs w:val="24"/>
        </w:rPr>
        <w:t xml:space="preserve"> he/she was of the opinion that the </w:t>
      </w:r>
      <w:r w:rsidR="00883963">
        <w:rPr>
          <w:rFonts w:ascii="Arial" w:hAnsi="Arial" w:cs="Arial"/>
          <w:sz w:val="24"/>
          <w:szCs w:val="24"/>
        </w:rPr>
        <w:t>notice was not on the prescribe</w:t>
      </w:r>
      <w:r w:rsidR="007C70EB">
        <w:rPr>
          <w:rFonts w:ascii="Arial" w:hAnsi="Arial" w:cs="Arial"/>
          <w:sz w:val="24"/>
          <w:szCs w:val="24"/>
        </w:rPr>
        <w:t>d</w:t>
      </w:r>
      <w:r w:rsidR="00883963">
        <w:rPr>
          <w:rFonts w:ascii="Arial" w:hAnsi="Arial" w:cs="Arial"/>
          <w:sz w:val="24"/>
          <w:szCs w:val="24"/>
        </w:rPr>
        <w:t xml:space="preserve"> form 11 as set out in the rules. </w:t>
      </w:r>
      <w:r w:rsidR="00282187">
        <w:rPr>
          <w:rFonts w:ascii="Arial" w:hAnsi="Arial" w:cs="Arial"/>
          <w:sz w:val="24"/>
          <w:szCs w:val="24"/>
        </w:rPr>
        <w:t xml:space="preserve"> Rule 19 sets out the </w:t>
      </w:r>
      <w:r w:rsidR="002A5A36" w:rsidRPr="002A5A36">
        <w:rPr>
          <w:rFonts w:ascii="Arial" w:hAnsi="Arial" w:cs="Arial"/>
          <w:bCs/>
          <w:sz w:val="24"/>
          <w:szCs w:val="24"/>
        </w:rPr>
        <w:t>obligations of parties and legal practitioners in relation to judicial case management</w:t>
      </w:r>
      <w:r w:rsidR="002A5A36">
        <w:rPr>
          <w:rFonts w:ascii="Arial" w:hAnsi="Arial" w:cs="Arial"/>
          <w:sz w:val="24"/>
          <w:szCs w:val="24"/>
        </w:rPr>
        <w:t xml:space="preserve">s and more specifically rule 19(i) which places a duty on the parties </w:t>
      </w:r>
      <w:r w:rsidR="007C70EB">
        <w:rPr>
          <w:rFonts w:ascii="Arial" w:hAnsi="Arial" w:cs="Arial"/>
          <w:sz w:val="24"/>
          <w:szCs w:val="24"/>
        </w:rPr>
        <w:t>“</w:t>
      </w:r>
      <w:r w:rsidR="002A5A36" w:rsidRPr="002A5A36">
        <w:rPr>
          <w:rFonts w:ascii="Arial" w:hAnsi="Arial" w:cs="Arial"/>
          <w:sz w:val="24"/>
          <w:szCs w:val="24"/>
        </w:rPr>
        <w:t>(i</w:t>
      </w:r>
      <w:r w:rsidR="002A5A36">
        <w:rPr>
          <w:rFonts w:ascii="Arial" w:hAnsi="Arial" w:cs="Arial"/>
          <w:sz w:val="24"/>
          <w:szCs w:val="24"/>
        </w:rPr>
        <w:t>) to</w:t>
      </w:r>
      <w:r w:rsidR="002A5A36" w:rsidRPr="002A5A36">
        <w:rPr>
          <w:rFonts w:ascii="Arial" w:hAnsi="Arial" w:cs="Arial"/>
          <w:sz w:val="24"/>
          <w:szCs w:val="24"/>
        </w:rPr>
        <w:t xml:space="preserve"> act promptly and minimise delay</w:t>
      </w:r>
      <w:r w:rsidR="007C70EB">
        <w:rPr>
          <w:rFonts w:ascii="Arial" w:hAnsi="Arial" w:cs="Arial"/>
          <w:sz w:val="24"/>
          <w:szCs w:val="24"/>
        </w:rPr>
        <w:t>”</w:t>
      </w:r>
      <w:r w:rsidR="002A5A36" w:rsidRPr="002A5A36">
        <w:rPr>
          <w:rFonts w:ascii="Arial" w:hAnsi="Arial" w:cs="Arial"/>
          <w:sz w:val="24"/>
          <w:szCs w:val="24"/>
        </w:rPr>
        <w:t>.</w:t>
      </w:r>
    </w:p>
    <w:p w:rsidR="007C70EB" w:rsidRPr="007C70EB" w:rsidRDefault="007C70EB" w:rsidP="005A2AFB">
      <w:pPr>
        <w:autoSpaceDE w:val="0"/>
        <w:autoSpaceDN w:val="0"/>
        <w:adjustRightInd w:val="0"/>
        <w:spacing w:after="0" w:line="360" w:lineRule="auto"/>
        <w:jc w:val="both"/>
        <w:rPr>
          <w:rFonts w:ascii="Arial" w:hAnsi="Arial" w:cs="Arial"/>
          <w:sz w:val="24"/>
          <w:szCs w:val="24"/>
        </w:rPr>
      </w:pPr>
    </w:p>
    <w:p w:rsidR="00354A0A" w:rsidRDefault="00354A0A" w:rsidP="005A2AFB">
      <w:pPr>
        <w:autoSpaceDE w:val="0"/>
        <w:autoSpaceDN w:val="0"/>
        <w:adjustRightInd w:val="0"/>
        <w:spacing w:after="0" w:line="360" w:lineRule="auto"/>
        <w:jc w:val="both"/>
        <w:rPr>
          <w:rFonts w:ascii="Arial" w:hAnsi="Arial" w:cs="Arial"/>
          <w:sz w:val="24"/>
          <w:szCs w:val="24"/>
        </w:rPr>
      </w:pPr>
    </w:p>
    <w:p w:rsidR="0070464B" w:rsidRDefault="00883963" w:rsidP="005A2AF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2413F4">
        <w:rPr>
          <w:rFonts w:ascii="Arial" w:hAnsi="Arial" w:cs="Arial"/>
          <w:sz w:val="24"/>
          <w:szCs w:val="24"/>
        </w:rPr>
        <w:t>28</w:t>
      </w:r>
      <w:r>
        <w:rPr>
          <w:rFonts w:ascii="Arial" w:hAnsi="Arial" w:cs="Arial"/>
          <w:sz w:val="24"/>
          <w:szCs w:val="24"/>
        </w:rPr>
        <w:t xml:space="preserve">] </w:t>
      </w:r>
      <w:r w:rsidR="00354A0A">
        <w:rPr>
          <w:rFonts w:ascii="Arial" w:hAnsi="Arial" w:cs="Arial"/>
          <w:sz w:val="24"/>
          <w:szCs w:val="24"/>
        </w:rPr>
        <w:tab/>
      </w:r>
      <w:r>
        <w:rPr>
          <w:rFonts w:ascii="Arial" w:hAnsi="Arial" w:cs="Arial"/>
          <w:sz w:val="24"/>
          <w:szCs w:val="24"/>
        </w:rPr>
        <w:t xml:space="preserve">The </w:t>
      </w:r>
      <w:r w:rsidR="007C70EB">
        <w:rPr>
          <w:rFonts w:ascii="Arial" w:hAnsi="Arial" w:cs="Arial"/>
          <w:sz w:val="24"/>
          <w:szCs w:val="24"/>
        </w:rPr>
        <w:t>C</w:t>
      </w:r>
      <w:r>
        <w:rPr>
          <w:rFonts w:ascii="Arial" w:hAnsi="Arial" w:cs="Arial"/>
          <w:sz w:val="24"/>
          <w:szCs w:val="24"/>
        </w:rPr>
        <w:t>ourt hear</w:t>
      </w:r>
      <w:r w:rsidR="003915C8">
        <w:rPr>
          <w:rFonts w:ascii="Arial" w:hAnsi="Arial" w:cs="Arial"/>
          <w:sz w:val="24"/>
          <w:szCs w:val="24"/>
        </w:rPr>
        <w:t>d an</w:t>
      </w:r>
      <w:r>
        <w:rPr>
          <w:rFonts w:ascii="Arial" w:hAnsi="Arial" w:cs="Arial"/>
          <w:sz w:val="24"/>
          <w:szCs w:val="24"/>
        </w:rPr>
        <w:t xml:space="preserve"> argument </w:t>
      </w:r>
      <w:r w:rsidR="003915C8">
        <w:rPr>
          <w:rFonts w:ascii="Arial" w:hAnsi="Arial" w:cs="Arial"/>
          <w:sz w:val="24"/>
          <w:szCs w:val="24"/>
        </w:rPr>
        <w:t>that</w:t>
      </w:r>
      <w:r>
        <w:rPr>
          <w:rFonts w:ascii="Arial" w:hAnsi="Arial" w:cs="Arial"/>
          <w:sz w:val="24"/>
          <w:szCs w:val="24"/>
        </w:rPr>
        <w:t xml:space="preserve"> these </w:t>
      </w:r>
      <w:r w:rsidR="00290A8B">
        <w:rPr>
          <w:rFonts w:ascii="Arial" w:hAnsi="Arial" w:cs="Arial"/>
          <w:sz w:val="24"/>
          <w:szCs w:val="24"/>
        </w:rPr>
        <w:t>sub-</w:t>
      </w:r>
      <w:r>
        <w:rPr>
          <w:rFonts w:ascii="Arial" w:hAnsi="Arial" w:cs="Arial"/>
          <w:sz w:val="24"/>
          <w:szCs w:val="24"/>
        </w:rPr>
        <w:t xml:space="preserve">rules </w:t>
      </w:r>
      <w:r w:rsidR="00290A8B">
        <w:rPr>
          <w:rFonts w:ascii="Arial" w:hAnsi="Arial" w:cs="Arial"/>
          <w:sz w:val="24"/>
          <w:szCs w:val="24"/>
        </w:rPr>
        <w:t xml:space="preserve">under discussion </w:t>
      </w:r>
      <w:r>
        <w:rPr>
          <w:rFonts w:ascii="Arial" w:hAnsi="Arial" w:cs="Arial"/>
          <w:sz w:val="24"/>
          <w:szCs w:val="24"/>
        </w:rPr>
        <w:t>are sterile form</w:t>
      </w:r>
      <w:r w:rsidR="00290A8B">
        <w:rPr>
          <w:rFonts w:ascii="Arial" w:hAnsi="Arial" w:cs="Arial"/>
          <w:sz w:val="24"/>
          <w:szCs w:val="24"/>
        </w:rPr>
        <w:t>a</w:t>
      </w:r>
      <w:r>
        <w:rPr>
          <w:rFonts w:ascii="Arial" w:hAnsi="Arial" w:cs="Arial"/>
          <w:sz w:val="24"/>
          <w:szCs w:val="24"/>
        </w:rPr>
        <w:t>lism</w:t>
      </w:r>
      <w:r w:rsidR="00290A8B">
        <w:rPr>
          <w:rFonts w:ascii="Arial" w:hAnsi="Arial" w:cs="Arial"/>
          <w:sz w:val="24"/>
          <w:szCs w:val="24"/>
        </w:rPr>
        <w:t>. However these sub-rules are in place to avoid</w:t>
      </w:r>
      <w:r w:rsidR="003915C8">
        <w:rPr>
          <w:rFonts w:ascii="Arial" w:hAnsi="Arial" w:cs="Arial"/>
          <w:sz w:val="24"/>
          <w:szCs w:val="24"/>
        </w:rPr>
        <w:t xml:space="preserve"> protracted and costly </w:t>
      </w:r>
      <w:r w:rsidR="003915C8" w:rsidRPr="000436B3">
        <w:rPr>
          <w:rFonts w:ascii="Arial" w:hAnsi="Arial" w:cs="Arial"/>
          <w:sz w:val="24"/>
          <w:szCs w:val="24"/>
        </w:rPr>
        <w:t>interlocutory proceedings</w:t>
      </w:r>
      <w:r w:rsidR="007C70EB">
        <w:rPr>
          <w:rFonts w:ascii="Arial" w:hAnsi="Arial" w:cs="Arial"/>
          <w:sz w:val="24"/>
          <w:szCs w:val="24"/>
        </w:rPr>
        <w:t>,</w:t>
      </w:r>
      <w:r w:rsidR="003915C8">
        <w:rPr>
          <w:rFonts w:ascii="Arial" w:hAnsi="Arial" w:cs="Arial"/>
          <w:sz w:val="24"/>
          <w:szCs w:val="24"/>
        </w:rPr>
        <w:t>with the aim</w:t>
      </w:r>
      <w:r w:rsidR="003915C8" w:rsidRPr="000436B3">
        <w:rPr>
          <w:rFonts w:ascii="Arial" w:hAnsi="Arial" w:cs="Arial"/>
          <w:sz w:val="24"/>
          <w:szCs w:val="24"/>
        </w:rPr>
        <w:t xml:space="preserve"> to achieve a fair and timely disposal of matters and causes</w:t>
      </w:r>
      <w:r w:rsidR="00DA6E16">
        <w:rPr>
          <w:rStyle w:val="FootnoteReference"/>
          <w:rFonts w:ascii="Arial" w:hAnsi="Arial" w:cs="Arial"/>
          <w:sz w:val="24"/>
          <w:szCs w:val="24"/>
        </w:rPr>
        <w:footnoteReference w:id="7"/>
      </w:r>
      <w:r w:rsidR="003915C8" w:rsidRPr="000436B3">
        <w:rPr>
          <w:rFonts w:ascii="Arial" w:hAnsi="Arial" w:cs="Arial"/>
          <w:sz w:val="24"/>
          <w:szCs w:val="24"/>
        </w:rPr>
        <w:t xml:space="preserve">. </w:t>
      </w:r>
      <w:r w:rsidR="00122FA9">
        <w:rPr>
          <w:rFonts w:ascii="Arial" w:hAnsi="Arial" w:cs="Arial"/>
          <w:sz w:val="24"/>
          <w:szCs w:val="24"/>
        </w:rPr>
        <w:t>I can only repeat</w:t>
      </w:r>
      <w:r w:rsidR="0010611D">
        <w:rPr>
          <w:rFonts w:ascii="Arial" w:hAnsi="Arial" w:cs="Arial"/>
          <w:sz w:val="24"/>
          <w:szCs w:val="24"/>
        </w:rPr>
        <w:t xml:space="preserve"> Masuku J sentiments i</w:t>
      </w:r>
      <w:r w:rsidR="00354A0A">
        <w:rPr>
          <w:rFonts w:ascii="Arial" w:hAnsi="Arial" w:cs="Arial"/>
          <w:sz w:val="24"/>
          <w:szCs w:val="24"/>
        </w:rPr>
        <w:t xml:space="preserve">n </w:t>
      </w:r>
      <w:r w:rsidR="002A5A36" w:rsidRPr="002A5A36">
        <w:rPr>
          <w:rFonts w:ascii="Arial" w:hAnsi="Arial" w:cs="Arial"/>
          <w:i/>
          <w:sz w:val="24"/>
          <w:szCs w:val="24"/>
        </w:rPr>
        <w:t>Bank Windhoek Limited v Benlin Investment CC</w:t>
      </w:r>
      <w:r w:rsidR="00354A0A">
        <w:rPr>
          <w:rStyle w:val="FootnoteReference"/>
          <w:rFonts w:ascii="Arial" w:hAnsi="Arial" w:cs="Arial"/>
          <w:sz w:val="24"/>
          <w:szCs w:val="24"/>
        </w:rPr>
        <w:footnoteReference w:id="8"/>
      </w:r>
      <w:r w:rsidR="00C11037">
        <w:rPr>
          <w:rFonts w:ascii="Arial" w:hAnsi="Arial" w:cs="Arial"/>
          <w:sz w:val="24"/>
          <w:szCs w:val="24"/>
        </w:rPr>
        <w:t xml:space="preserve">regarding the </w:t>
      </w:r>
      <w:r w:rsidR="00354A0A">
        <w:rPr>
          <w:rFonts w:ascii="Arial" w:hAnsi="Arial" w:cs="Arial"/>
          <w:sz w:val="24"/>
          <w:szCs w:val="24"/>
        </w:rPr>
        <w:t>sub</w:t>
      </w:r>
      <w:r w:rsidR="0071415F">
        <w:rPr>
          <w:rFonts w:ascii="Arial" w:hAnsi="Arial" w:cs="Arial"/>
          <w:sz w:val="24"/>
          <w:szCs w:val="24"/>
        </w:rPr>
        <w:t>-</w:t>
      </w:r>
      <w:r w:rsidR="00354A0A">
        <w:rPr>
          <w:rFonts w:ascii="Arial" w:hAnsi="Arial" w:cs="Arial"/>
          <w:sz w:val="24"/>
          <w:szCs w:val="24"/>
        </w:rPr>
        <w:t>rule</w:t>
      </w:r>
      <w:r w:rsidR="0071415F">
        <w:rPr>
          <w:rFonts w:ascii="Arial" w:hAnsi="Arial" w:cs="Arial"/>
          <w:sz w:val="24"/>
          <w:szCs w:val="24"/>
        </w:rPr>
        <w:t>s</w:t>
      </w:r>
      <w:r w:rsidR="00EF77F3">
        <w:rPr>
          <w:rFonts w:ascii="Arial" w:hAnsi="Arial" w:cs="Arial"/>
          <w:sz w:val="24"/>
          <w:szCs w:val="24"/>
        </w:rPr>
        <w:t xml:space="preserve"> </w:t>
      </w:r>
      <w:r w:rsidR="00354A0A">
        <w:rPr>
          <w:rFonts w:ascii="Arial" w:hAnsi="Arial" w:cs="Arial"/>
          <w:sz w:val="24"/>
          <w:szCs w:val="24"/>
        </w:rPr>
        <w:t>as follows</w:t>
      </w:r>
      <w:r w:rsidR="00C11037">
        <w:rPr>
          <w:rFonts w:ascii="Arial" w:hAnsi="Arial" w:cs="Arial"/>
          <w:sz w:val="24"/>
          <w:szCs w:val="24"/>
        </w:rPr>
        <w:t>:</w:t>
      </w:r>
    </w:p>
    <w:p w:rsidR="007C70EB" w:rsidRDefault="007C70EB" w:rsidP="005A2AFB">
      <w:pPr>
        <w:autoSpaceDE w:val="0"/>
        <w:autoSpaceDN w:val="0"/>
        <w:adjustRightInd w:val="0"/>
        <w:spacing w:after="0" w:line="360" w:lineRule="auto"/>
        <w:jc w:val="both"/>
        <w:rPr>
          <w:rFonts w:ascii="Arial" w:hAnsi="Arial" w:cs="Arial"/>
          <w:sz w:val="24"/>
          <w:szCs w:val="24"/>
        </w:rPr>
      </w:pPr>
    </w:p>
    <w:p w:rsidR="007C70EB" w:rsidRDefault="007C70EB" w:rsidP="005A2AFB">
      <w:pPr>
        <w:autoSpaceDE w:val="0"/>
        <w:autoSpaceDN w:val="0"/>
        <w:adjustRightInd w:val="0"/>
        <w:spacing w:after="0" w:line="360" w:lineRule="auto"/>
        <w:jc w:val="both"/>
        <w:rPr>
          <w:rFonts w:ascii="Arial" w:hAnsi="Arial" w:cs="Arial"/>
          <w:sz w:val="24"/>
          <w:szCs w:val="24"/>
        </w:rPr>
      </w:pPr>
    </w:p>
    <w:p w:rsidR="00354A0A" w:rsidRPr="007C70EB" w:rsidRDefault="00354A0A" w:rsidP="005A2AFB">
      <w:pPr>
        <w:autoSpaceDE w:val="0"/>
        <w:autoSpaceDN w:val="0"/>
        <w:adjustRightInd w:val="0"/>
        <w:spacing w:after="0" w:line="360" w:lineRule="auto"/>
        <w:jc w:val="both"/>
        <w:rPr>
          <w:rFonts w:ascii="Arial" w:hAnsi="Arial" w:cs="Arial"/>
          <w:i/>
        </w:rPr>
      </w:pPr>
      <w:r>
        <w:rPr>
          <w:rFonts w:ascii="Arial" w:hAnsi="Arial" w:cs="Arial"/>
          <w:sz w:val="24"/>
          <w:szCs w:val="24"/>
        </w:rPr>
        <w:tab/>
      </w:r>
      <w:r w:rsidR="002A5A36" w:rsidRPr="002A5A36">
        <w:rPr>
          <w:rFonts w:ascii="Arial" w:hAnsi="Arial" w:cs="Arial"/>
          <w:i/>
        </w:rPr>
        <w:t>‘It must be mentioned and pertinently so, the rule 32 (9) and (10) are not merely incidental rules. They actually go to the core of the edifice that should keep judicial case management standing tall and strong. The two subrules fully resonates with and give expression to the overriding core values of judicial case management as found in rule 1(3).....’</w:t>
      </w:r>
    </w:p>
    <w:p w:rsidR="007C70EB" w:rsidRPr="00354A0A" w:rsidRDefault="007C70EB" w:rsidP="005A2AFB">
      <w:pPr>
        <w:autoSpaceDE w:val="0"/>
        <w:autoSpaceDN w:val="0"/>
        <w:adjustRightInd w:val="0"/>
        <w:spacing w:after="0" w:line="360" w:lineRule="auto"/>
        <w:jc w:val="both"/>
        <w:rPr>
          <w:rFonts w:ascii="Arial" w:hAnsi="Arial" w:cs="Arial"/>
        </w:rPr>
      </w:pPr>
    </w:p>
    <w:p w:rsidR="003915C8" w:rsidRDefault="003915C8" w:rsidP="005A2AFB">
      <w:pPr>
        <w:autoSpaceDE w:val="0"/>
        <w:autoSpaceDN w:val="0"/>
        <w:adjustRightInd w:val="0"/>
        <w:spacing w:after="0" w:line="360" w:lineRule="auto"/>
        <w:jc w:val="both"/>
        <w:rPr>
          <w:rFonts w:ascii="Arial" w:hAnsi="Arial" w:cs="Arial"/>
          <w:sz w:val="24"/>
          <w:szCs w:val="24"/>
        </w:rPr>
      </w:pPr>
    </w:p>
    <w:p w:rsidR="00C7190A" w:rsidRDefault="003915C8" w:rsidP="00C7190A">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w:t>
      </w:r>
      <w:r w:rsidR="002413F4">
        <w:rPr>
          <w:rFonts w:ascii="Arial" w:hAnsi="Arial" w:cs="Arial"/>
          <w:sz w:val="24"/>
          <w:szCs w:val="24"/>
        </w:rPr>
        <w:t>29</w:t>
      </w:r>
      <w:r>
        <w:rPr>
          <w:rFonts w:ascii="Arial" w:hAnsi="Arial" w:cs="Arial"/>
          <w:sz w:val="24"/>
          <w:szCs w:val="24"/>
        </w:rPr>
        <w:t xml:space="preserve">] </w:t>
      </w:r>
      <w:r w:rsidR="00282187">
        <w:rPr>
          <w:rFonts w:ascii="Arial" w:hAnsi="Arial" w:cs="Arial"/>
          <w:sz w:val="24"/>
          <w:szCs w:val="24"/>
        </w:rPr>
        <w:tab/>
      </w:r>
      <w:r w:rsidR="00C7190A">
        <w:rPr>
          <w:rFonts w:ascii="Arial" w:hAnsi="Arial" w:cs="Arial"/>
          <w:sz w:val="24"/>
          <w:szCs w:val="24"/>
        </w:rPr>
        <w:t xml:space="preserve">Having considered the preceding authorities, I am satisfied that there was no substantive compliance with the sub- rules </w:t>
      </w:r>
      <w:r w:rsidR="00C7190A" w:rsidRPr="00C11037">
        <w:rPr>
          <w:rFonts w:ascii="Arial" w:hAnsi="Arial" w:cs="Arial"/>
          <w:i/>
          <w:sz w:val="24"/>
          <w:szCs w:val="24"/>
        </w:rPr>
        <w:t>in casu</w:t>
      </w:r>
      <w:r w:rsidR="00C7190A">
        <w:rPr>
          <w:rFonts w:ascii="Arial" w:hAnsi="Arial" w:cs="Arial"/>
          <w:sz w:val="24"/>
          <w:szCs w:val="24"/>
        </w:rPr>
        <w:t xml:space="preserve"> and as sub-rule (9) and (10) </w:t>
      </w:r>
      <w:r w:rsidR="00656A12">
        <w:rPr>
          <w:rFonts w:ascii="Arial" w:hAnsi="Arial" w:cs="Arial"/>
          <w:sz w:val="24"/>
          <w:szCs w:val="24"/>
        </w:rPr>
        <w:t>are</w:t>
      </w:r>
      <w:r w:rsidR="00C7190A">
        <w:rPr>
          <w:rFonts w:ascii="Arial" w:hAnsi="Arial" w:cs="Arial"/>
          <w:sz w:val="24"/>
          <w:szCs w:val="24"/>
        </w:rPr>
        <w:t xml:space="preserve"> peremptory </w:t>
      </w:r>
      <w:r w:rsidR="00C7190A" w:rsidRPr="000436B3">
        <w:rPr>
          <w:rFonts w:ascii="Arial" w:hAnsi="Arial" w:cs="Arial"/>
          <w:sz w:val="24"/>
          <w:szCs w:val="24"/>
        </w:rPr>
        <w:t>in nature</w:t>
      </w:r>
      <w:r w:rsidR="00656A12">
        <w:rPr>
          <w:rFonts w:ascii="Arial" w:hAnsi="Arial" w:cs="Arial"/>
          <w:sz w:val="24"/>
          <w:szCs w:val="24"/>
        </w:rPr>
        <w:t>,</w:t>
      </w:r>
      <w:r w:rsidR="0071415F">
        <w:rPr>
          <w:rFonts w:ascii="Arial" w:hAnsi="Arial" w:cs="Arial"/>
          <w:sz w:val="24"/>
          <w:szCs w:val="24"/>
        </w:rPr>
        <w:t xml:space="preserve"> and</w:t>
      </w:r>
      <w:r w:rsidR="00EF77F3">
        <w:rPr>
          <w:rFonts w:ascii="Arial" w:hAnsi="Arial" w:cs="Arial"/>
          <w:sz w:val="24"/>
          <w:szCs w:val="24"/>
        </w:rPr>
        <w:t xml:space="preserve"> </w:t>
      </w:r>
      <w:r w:rsidR="00C7190A">
        <w:rPr>
          <w:rFonts w:ascii="Arial" w:hAnsi="Arial" w:cs="Arial"/>
          <w:sz w:val="24"/>
          <w:szCs w:val="24"/>
        </w:rPr>
        <w:t xml:space="preserve">the </w:t>
      </w:r>
      <w:r w:rsidR="00C7190A" w:rsidRPr="000436B3">
        <w:rPr>
          <w:rFonts w:ascii="Arial" w:hAnsi="Arial" w:cs="Arial"/>
          <w:sz w:val="24"/>
          <w:szCs w:val="24"/>
        </w:rPr>
        <w:t xml:space="preserve">failure </w:t>
      </w:r>
      <w:r w:rsidR="00C7190A">
        <w:rPr>
          <w:rFonts w:ascii="Arial" w:hAnsi="Arial" w:cs="Arial"/>
          <w:sz w:val="24"/>
          <w:szCs w:val="24"/>
        </w:rPr>
        <w:t xml:space="preserve">of the applicant </w:t>
      </w:r>
      <w:r w:rsidR="00C7190A" w:rsidRPr="000436B3">
        <w:rPr>
          <w:rFonts w:ascii="Arial" w:hAnsi="Arial" w:cs="Arial"/>
          <w:sz w:val="24"/>
          <w:szCs w:val="24"/>
        </w:rPr>
        <w:t xml:space="preserve">to comply with them </w:t>
      </w:r>
      <w:r w:rsidR="00656A12">
        <w:rPr>
          <w:rFonts w:ascii="Arial" w:hAnsi="Arial" w:cs="Arial"/>
          <w:sz w:val="24"/>
          <w:szCs w:val="24"/>
        </w:rPr>
        <w:t>are</w:t>
      </w:r>
      <w:r w:rsidR="00C7190A" w:rsidRPr="000436B3">
        <w:rPr>
          <w:rFonts w:ascii="Arial" w:hAnsi="Arial" w:cs="Arial"/>
          <w:sz w:val="24"/>
          <w:szCs w:val="24"/>
        </w:rPr>
        <w:t xml:space="preserve"> fatal</w:t>
      </w:r>
      <w:r w:rsidR="00C7190A">
        <w:rPr>
          <w:rFonts w:ascii="Arial" w:hAnsi="Arial" w:cs="Arial"/>
          <w:sz w:val="24"/>
          <w:szCs w:val="24"/>
        </w:rPr>
        <w:t>. I thus do not deem it necessary to rule on the application to strike or the application for additional discovery.</w:t>
      </w:r>
    </w:p>
    <w:p w:rsidR="00A964AF" w:rsidRDefault="00A964AF" w:rsidP="005A2AFB">
      <w:pPr>
        <w:autoSpaceDE w:val="0"/>
        <w:autoSpaceDN w:val="0"/>
        <w:adjustRightInd w:val="0"/>
        <w:spacing w:after="0" w:line="360" w:lineRule="auto"/>
        <w:jc w:val="both"/>
        <w:rPr>
          <w:rFonts w:ascii="Arial" w:hAnsi="Arial" w:cs="Arial"/>
          <w:sz w:val="24"/>
          <w:szCs w:val="24"/>
        </w:rPr>
      </w:pPr>
    </w:p>
    <w:p w:rsidR="00C7190A" w:rsidRDefault="00C7190A" w:rsidP="005A2AFB">
      <w:pPr>
        <w:autoSpaceDE w:val="0"/>
        <w:autoSpaceDN w:val="0"/>
        <w:adjustRightInd w:val="0"/>
        <w:spacing w:after="0" w:line="360" w:lineRule="auto"/>
        <w:jc w:val="both"/>
        <w:rPr>
          <w:rFonts w:ascii="Arial" w:hAnsi="Arial" w:cs="Arial"/>
          <w:sz w:val="24"/>
          <w:szCs w:val="24"/>
        </w:rPr>
      </w:pPr>
    </w:p>
    <w:p w:rsidR="00C7190A" w:rsidRDefault="00925FB8" w:rsidP="00C7190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2413F4">
        <w:rPr>
          <w:rFonts w:ascii="Arial" w:hAnsi="Arial" w:cs="Arial"/>
          <w:sz w:val="24"/>
          <w:szCs w:val="24"/>
        </w:rPr>
        <w:t>30</w:t>
      </w:r>
      <w:r>
        <w:rPr>
          <w:rFonts w:ascii="Arial" w:hAnsi="Arial" w:cs="Arial"/>
          <w:sz w:val="24"/>
          <w:szCs w:val="24"/>
        </w:rPr>
        <w:t xml:space="preserve">] </w:t>
      </w:r>
      <w:r w:rsidR="00656A12">
        <w:rPr>
          <w:rFonts w:ascii="Arial" w:hAnsi="Arial" w:cs="Arial"/>
          <w:sz w:val="24"/>
          <w:szCs w:val="24"/>
        </w:rPr>
        <w:tab/>
      </w:r>
      <w:r w:rsidR="00C7190A" w:rsidRPr="00C7190A">
        <w:rPr>
          <w:rFonts w:ascii="Arial" w:hAnsi="Arial" w:cs="Arial"/>
          <w:sz w:val="24"/>
          <w:szCs w:val="24"/>
        </w:rPr>
        <w:t xml:space="preserve">In conclusion, the </w:t>
      </w:r>
      <w:r w:rsidR="0071415F">
        <w:rPr>
          <w:rFonts w:ascii="Arial" w:hAnsi="Arial" w:cs="Arial"/>
          <w:sz w:val="24"/>
          <w:szCs w:val="24"/>
        </w:rPr>
        <w:t>C</w:t>
      </w:r>
      <w:r w:rsidR="00C7190A" w:rsidRPr="00C7190A">
        <w:rPr>
          <w:rFonts w:ascii="Arial" w:hAnsi="Arial" w:cs="Arial"/>
          <w:sz w:val="24"/>
          <w:szCs w:val="24"/>
        </w:rPr>
        <w:t xml:space="preserve">ourt must comment on the point which was raised that there would be no prejudice to the parties should the </w:t>
      </w:r>
      <w:r w:rsidR="0071415F">
        <w:rPr>
          <w:rFonts w:ascii="Arial" w:hAnsi="Arial" w:cs="Arial"/>
          <w:sz w:val="24"/>
          <w:szCs w:val="24"/>
        </w:rPr>
        <w:t>C</w:t>
      </w:r>
      <w:r w:rsidR="00C7190A" w:rsidRPr="00C7190A">
        <w:rPr>
          <w:rFonts w:ascii="Arial" w:hAnsi="Arial" w:cs="Arial"/>
          <w:sz w:val="24"/>
          <w:szCs w:val="24"/>
        </w:rPr>
        <w:t xml:space="preserve">ourt condone the non-compliance of the rules. I respectfully disagree with that proposition. Five (5) court days </w:t>
      </w:r>
      <w:r w:rsidR="006F64C0" w:rsidRPr="00C7190A">
        <w:rPr>
          <w:rFonts w:ascii="Arial" w:hAnsi="Arial" w:cs="Arial"/>
          <w:sz w:val="24"/>
          <w:szCs w:val="24"/>
        </w:rPr>
        <w:t>w</w:t>
      </w:r>
      <w:r w:rsidR="006F64C0">
        <w:rPr>
          <w:rFonts w:ascii="Arial" w:hAnsi="Arial" w:cs="Arial"/>
          <w:sz w:val="24"/>
          <w:szCs w:val="24"/>
        </w:rPr>
        <w:t>ere</w:t>
      </w:r>
      <w:r w:rsidR="00EF77F3">
        <w:rPr>
          <w:rFonts w:ascii="Arial" w:hAnsi="Arial" w:cs="Arial"/>
          <w:sz w:val="24"/>
          <w:szCs w:val="24"/>
        </w:rPr>
        <w:t xml:space="preserve"> </w:t>
      </w:r>
      <w:r w:rsidR="00C7190A" w:rsidRPr="00C7190A">
        <w:rPr>
          <w:rFonts w:ascii="Arial" w:hAnsi="Arial" w:cs="Arial"/>
          <w:sz w:val="24"/>
          <w:szCs w:val="24"/>
        </w:rPr>
        <w:t xml:space="preserve">allocated to the hearing of the main matter. </w:t>
      </w:r>
      <w:r w:rsidR="002F6340">
        <w:rPr>
          <w:rFonts w:ascii="Arial" w:hAnsi="Arial" w:cs="Arial"/>
          <w:sz w:val="24"/>
          <w:szCs w:val="24"/>
        </w:rPr>
        <w:t>Due to</w:t>
      </w:r>
      <w:r w:rsidR="00C7190A" w:rsidRPr="00C7190A">
        <w:rPr>
          <w:rFonts w:ascii="Arial" w:hAnsi="Arial" w:cs="Arial"/>
          <w:sz w:val="24"/>
          <w:szCs w:val="24"/>
        </w:rPr>
        <w:t xml:space="preserve"> the applicant’s failure to fully comply with the relevant rules timorously, these days had to be vacated. In the overriding core values of judicial case management</w:t>
      </w:r>
      <w:r w:rsidR="006F64C0">
        <w:rPr>
          <w:rFonts w:ascii="Arial" w:hAnsi="Arial" w:cs="Arial"/>
          <w:sz w:val="24"/>
          <w:szCs w:val="24"/>
        </w:rPr>
        <w:t>,</w:t>
      </w:r>
      <w:r w:rsidR="00C7190A" w:rsidRPr="00C7190A">
        <w:rPr>
          <w:rFonts w:ascii="Arial" w:hAnsi="Arial" w:cs="Arial"/>
          <w:sz w:val="24"/>
          <w:szCs w:val="24"/>
        </w:rPr>
        <w:t xml:space="preserve"> rule 1(3)(e)  recognises the fact that </w:t>
      </w:r>
      <w:r w:rsidR="00656A12">
        <w:rPr>
          <w:rFonts w:ascii="Arial" w:hAnsi="Arial" w:cs="Arial"/>
          <w:sz w:val="24"/>
          <w:szCs w:val="24"/>
        </w:rPr>
        <w:t>“</w:t>
      </w:r>
      <w:r w:rsidR="00C7190A" w:rsidRPr="00C7190A">
        <w:rPr>
          <w:rFonts w:ascii="Arial" w:hAnsi="Arial" w:cs="Arial"/>
          <w:sz w:val="24"/>
          <w:szCs w:val="24"/>
        </w:rPr>
        <w:t xml:space="preserve">judicial time and resources are limited and therefore allotting to each cause an appropriate share of the </w:t>
      </w:r>
      <w:r w:rsidR="0071415F">
        <w:rPr>
          <w:rFonts w:ascii="Arial" w:hAnsi="Arial" w:cs="Arial"/>
          <w:sz w:val="24"/>
          <w:szCs w:val="24"/>
        </w:rPr>
        <w:t>C</w:t>
      </w:r>
      <w:r w:rsidR="00C7190A" w:rsidRPr="00C7190A">
        <w:rPr>
          <w:rFonts w:ascii="Arial" w:hAnsi="Arial" w:cs="Arial"/>
          <w:sz w:val="24"/>
          <w:szCs w:val="24"/>
        </w:rPr>
        <w:t>ourt’s time and resources, while at the same time taking into account the need to allot resources to other causes</w:t>
      </w:r>
      <w:r w:rsidR="00656A12">
        <w:rPr>
          <w:rFonts w:ascii="Arial" w:hAnsi="Arial" w:cs="Arial"/>
          <w:sz w:val="24"/>
          <w:szCs w:val="24"/>
        </w:rPr>
        <w:t>”</w:t>
      </w:r>
      <w:r w:rsidR="00C7190A" w:rsidRPr="00C7190A">
        <w:rPr>
          <w:rFonts w:ascii="Arial" w:hAnsi="Arial" w:cs="Arial"/>
          <w:sz w:val="24"/>
          <w:szCs w:val="24"/>
        </w:rPr>
        <w:t xml:space="preserve">. It is thus crystal clear that prejudice is not just limited to the litigating parties but it also includes the </w:t>
      </w:r>
      <w:r w:rsidR="0071415F">
        <w:rPr>
          <w:rFonts w:ascii="Arial" w:hAnsi="Arial" w:cs="Arial"/>
          <w:sz w:val="24"/>
          <w:szCs w:val="24"/>
        </w:rPr>
        <w:t>C</w:t>
      </w:r>
      <w:r w:rsidR="00C7190A" w:rsidRPr="00C7190A">
        <w:rPr>
          <w:rFonts w:ascii="Arial" w:hAnsi="Arial" w:cs="Arial"/>
          <w:sz w:val="24"/>
          <w:szCs w:val="24"/>
        </w:rPr>
        <w:t>ourts.</w:t>
      </w:r>
      <w:r w:rsidR="00656A12">
        <w:rPr>
          <w:rFonts w:ascii="Arial" w:hAnsi="Arial" w:cs="Arial"/>
          <w:sz w:val="24"/>
          <w:szCs w:val="24"/>
        </w:rPr>
        <w:tab/>
      </w:r>
    </w:p>
    <w:p w:rsidR="00656A12" w:rsidRDefault="00656A12" w:rsidP="00C7190A">
      <w:pPr>
        <w:autoSpaceDE w:val="0"/>
        <w:autoSpaceDN w:val="0"/>
        <w:adjustRightInd w:val="0"/>
        <w:spacing w:after="0" w:line="360" w:lineRule="auto"/>
        <w:jc w:val="both"/>
        <w:rPr>
          <w:rFonts w:ascii="Arial" w:hAnsi="Arial" w:cs="Arial"/>
          <w:sz w:val="24"/>
          <w:szCs w:val="24"/>
        </w:rPr>
      </w:pPr>
    </w:p>
    <w:p w:rsidR="002F6340" w:rsidRPr="00C7190A" w:rsidRDefault="002F6340" w:rsidP="00C7190A">
      <w:pPr>
        <w:autoSpaceDE w:val="0"/>
        <w:autoSpaceDN w:val="0"/>
        <w:adjustRightInd w:val="0"/>
        <w:spacing w:after="0" w:line="360" w:lineRule="auto"/>
        <w:jc w:val="both"/>
        <w:rPr>
          <w:rFonts w:ascii="Arial" w:hAnsi="Arial" w:cs="Arial"/>
          <w:sz w:val="24"/>
          <w:szCs w:val="24"/>
        </w:rPr>
      </w:pPr>
    </w:p>
    <w:p w:rsidR="00A964AF" w:rsidRDefault="00A964AF" w:rsidP="00A964AF">
      <w:pPr>
        <w:pStyle w:val="BodyText"/>
        <w:spacing w:line="360" w:lineRule="auto"/>
        <w:jc w:val="both"/>
        <w:rPr>
          <w:rFonts w:ascii="Arial" w:hAnsi="Arial" w:cs="Arial"/>
        </w:rPr>
      </w:pPr>
      <w:r>
        <w:rPr>
          <w:rFonts w:ascii="Arial" w:hAnsi="Arial" w:cs="Arial"/>
        </w:rPr>
        <w:t>[</w:t>
      </w:r>
      <w:r w:rsidR="002413F4">
        <w:rPr>
          <w:rFonts w:ascii="Arial" w:hAnsi="Arial" w:cs="Arial"/>
        </w:rPr>
        <w:t>31</w:t>
      </w:r>
      <w:r>
        <w:rPr>
          <w:rFonts w:ascii="Arial" w:hAnsi="Arial" w:cs="Arial"/>
        </w:rPr>
        <w:t>]</w:t>
      </w:r>
      <w:r w:rsidR="007C70EB">
        <w:rPr>
          <w:rFonts w:ascii="Arial" w:hAnsi="Arial" w:cs="Arial"/>
        </w:rPr>
        <w:tab/>
      </w:r>
      <w:r>
        <w:rPr>
          <w:rFonts w:ascii="Arial" w:hAnsi="Arial" w:cs="Arial"/>
        </w:rPr>
        <w:t>In the result I make the following order:</w:t>
      </w:r>
    </w:p>
    <w:p w:rsidR="00A964AF" w:rsidRDefault="00A964AF" w:rsidP="00A964AF">
      <w:pPr>
        <w:pStyle w:val="BodyText"/>
        <w:spacing w:line="360" w:lineRule="auto"/>
        <w:jc w:val="both"/>
        <w:rPr>
          <w:rFonts w:ascii="Arial" w:hAnsi="Arial" w:cs="Arial"/>
        </w:rPr>
      </w:pPr>
    </w:p>
    <w:p w:rsidR="00572B7C" w:rsidRDefault="00572B7C">
      <w:pPr>
        <w:pStyle w:val="BodyText"/>
        <w:spacing w:line="360" w:lineRule="auto"/>
        <w:jc w:val="both"/>
        <w:rPr>
          <w:rFonts w:ascii="Arial" w:hAnsi="Arial" w:cs="Arial"/>
        </w:rPr>
      </w:pPr>
    </w:p>
    <w:p w:rsidR="00572B7C" w:rsidRDefault="00A964AF">
      <w:pPr>
        <w:pStyle w:val="BodyText"/>
        <w:numPr>
          <w:ilvl w:val="0"/>
          <w:numId w:val="2"/>
        </w:numPr>
        <w:spacing w:line="360" w:lineRule="auto"/>
        <w:jc w:val="both"/>
        <w:rPr>
          <w:rFonts w:ascii="Arial" w:hAnsi="Arial" w:cs="Arial"/>
        </w:rPr>
      </w:pPr>
      <w:r>
        <w:rPr>
          <w:rFonts w:ascii="Arial" w:hAnsi="Arial" w:cs="Arial"/>
        </w:rPr>
        <w:t>The application to compel</w:t>
      </w:r>
      <w:r w:rsidR="00656A12">
        <w:rPr>
          <w:rFonts w:ascii="Arial" w:hAnsi="Arial" w:cs="Arial"/>
        </w:rPr>
        <w:t xml:space="preserve"> further</w:t>
      </w:r>
      <w:r>
        <w:rPr>
          <w:rFonts w:ascii="Arial" w:hAnsi="Arial" w:cs="Arial"/>
        </w:rPr>
        <w:t xml:space="preserve"> discovery in terms of rule 28(8) is struck from the roll.</w:t>
      </w:r>
    </w:p>
    <w:p w:rsidR="00572B7C" w:rsidRDefault="00572B7C">
      <w:pPr>
        <w:pStyle w:val="BodyText"/>
        <w:spacing w:line="360" w:lineRule="auto"/>
        <w:ind w:left="1080"/>
        <w:jc w:val="both"/>
        <w:rPr>
          <w:rFonts w:ascii="Arial" w:hAnsi="Arial" w:cs="Arial"/>
        </w:rPr>
      </w:pPr>
    </w:p>
    <w:p w:rsidR="00572B7C" w:rsidRPr="00C7190A" w:rsidRDefault="004C7751">
      <w:pPr>
        <w:pStyle w:val="BodyText"/>
        <w:numPr>
          <w:ilvl w:val="0"/>
          <w:numId w:val="2"/>
        </w:numPr>
        <w:spacing w:line="360" w:lineRule="auto"/>
        <w:jc w:val="both"/>
        <w:rPr>
          <w:rFonts w:ascii="Arial" w:hAnsi="Arial" w:cs="Arial"/>
        </w:rPr>
      </w:pPr>
      <w:r>
        <w:rPr>
          <w:rFonts w:ascii="Arial" w:hAnsi="Arial" w:cs="Arial"/>
        </w:rPr>
        <w:t>The first and second applicant</w:t>
      </w:r>
      <w:r w:rsidR="00656A12">
        <w:rPr>
          <w:rFonts w:ascii="Arial" w:hAnsi="Arial" w:cs="Arial"/>
        </w:rPr>
        <w:t>s</w:t>
      </w:r>
      <w:r>
        <w:rPr>
          <w:rFonts w:ascii="Arial" w:hAnsi="Arial" w:cs="Arial"/>
        </w:rPr>
        <w:t xml:space="preserve"> are</w:t>
      </w:r>
      <w:r w:rsidR="00A964AF" w:rsidRPr="00A964AF">
        <w:rPr>
          <w:rFonts w:ascii="Arial" w:hAnsi="Arial" w:cs="Arial"/>
        </w:rPr>
        <w:t xml:space="preserve"> ordered</w:t>
      </w:r>
      <w:r w:rsidR="00EF77F3">
        <w:rPr>
          <w:rFonts w:ascii="Arial" w:hAnsi="Arial" w:cs="Arial"/>
        </w:rPr>
        <w:t xml:space="preserve"> </w:t>
      </w:r>
      <w:r w:rsidR="00A964AF" w:rsidRPr="00A964AF">
        <w:rPr>
          <w:rFonts w:ascii="Arial" w:hAnsi="Arial" w:cs="Arial"/>
        </w:rPr>
        <w:t>to pay the respondents cost</w:t>
      </w:r>
      <w:r>
        <w:rPr>
          <w:rFonts w:ascii="Arial" w:hAnsi="Arial" w:cs="Arial"/>
        </w:rPr>
        <w:t>s</w:t>
      </w:r>
      <w:r w:rsidR="00EF77F3">
        <w:rPr>
          <w:rFonts w:ascii="Arial" w:hAnsi="Arial" w:cs="Arial"/>
        </w:rPr>
        <w:t xml:space="preserve"> </w:t>
      </w:r>
      <w:r w:rsidR="002A5A36">
        <w:rPr>
          <w:rFonts w:ascii="Arial" w:hAnsi="Arial" w:cs="Arial"/>
        </w:rPr>
        <w:t xml:space="preserve">of this application jointly and severally, the one paying the other to be </w:t>
      </w:r>
      <w:r w:rsidR="00C7190A" w:rsidRPr="00C7190A">
        <w:rPr>
          <w:rFonts w:ascii="Arial" w:hAnsi="Arial" w:cs="Arial"/>
        </w:rPr>
        <w:t>absolved</w:t>
      </w:r>
      <w:r w:rsidR="002A5A36" w:rsidRPr="00C7190A">
        <w:rPr>
          <w:rFonts w:ascii="Arial" w:hAnsi="Arial" w:cs="Arial"/>
        </w:rPr>
        <w:t>.</w:t>
      </w:r>
    </w:p>
    <w:p w:rsidR="00572B7C" w:rsidRPr="00C7190A" w:rsidRDefault="00572B7C">
      <w:pPr>
        <w:pStyle w:val="BodyText"/>
        <w:spacing w:line="360" w:lineRule="auto"/>
        <w:ind w:left="1080"/>
        <w:jc w:val="both"/>
        <w:rPr>
          <w:rFonts w:ascii="Arial" w:hAnsi="Arial" w:cs="Arial"/>
        </w:rPr>
      </w:pPr>
    </w:p>
    <w:p w:rsidR="00572B7C" w:rsidRDefault="00D63C9D">
      <w:pPr>
        <w:pStyle w:val="BodyText"/>
        <w:numPr>
          <w:ilvl w:val="0"/>
          <w:numId w:val="2"/>
        </w:numPr>
        <w:spacing w:line="360" w:lineRule="auto"/>
        <w:jc w:val="both"/>
        <w:rPr>
          <w:rFonts w:ascii="Arial" w:hAnsi="Arial" w:cs="Arial"/>
        </w:rPr>
      </w:pPr>
      <w:r w:rsidRPr="00C7190A">
        <w:rPr>
          <w:rFonts w:ascii="Arial" w:hAnsi="Arial" w:cs="Arial"/>
        </w:rPr>
        <w:t xml:space="preserve">Matter is postponed </w:t>
      </w:r>
      <w:r w:rsidR="004C7751" w:rsidRPr="00C7190A">
        <w:rPr>
          <w:rFonts w:ascii="Arial" w:hAnsi="Arial" w:cs="Arial"/>
        </w:rPr>
        <w:t>to</w:t>
      </w:r>
      <w:r w:rsidRPr="00C7190A">
        <w:rPr>
          <w:rFonts w:ascii="Arial" w:hAnsi="Arial" w:cs="Arial"/>
        </w:rPr>
        <w:t xml:space="preserve"> 04</w:t>
      </w:r>
      <w:r w:rsidR="004C7751" w:rsidRPr="00C7190A">
        <w:rPr>
          <w:rFonts w:ascii="Arial" w:hAnsi="Arial" w:cs="Arial"/>
        </w:rPr>
        <w:t xml:space="preserve"> April </w:t>
      </w:r>
      <w:r w:rsidRPr="00C7190A">
        <w:rPr>
          <w:rFonts w:ascii="Arial" w:hAnsi="Arial" w:cs="Arial"/>
        </w:rPr>
        <w:t>2017 at 8:30 for pre-trial on the case manageme</w:t>
      </w:r>
      <w:r>
        <w:rPr>
          <w:rFonts w:ascii="Arial" w:hAnsi="Arial" w:cs="Arial"/>
        </w:rPr>
        <w:t>nt roll of Geier J for allocation of a new trial date.</w:t>
      </w:r>
    </w:p>
    <w:p w:rsidR="00572B7C" w:rsidRDefault="00572B7C">
      <w:pPr>
        <w:pStyle w:val="BodyText"/>
        <w:spacing w:line="360" w:lineRule="auto"/>
        <w:jc w:val="both"/>
        <w:rPr>
          <w:rFonts w:ascii="Arial" w:hAnsi="Arial" w:cs="Arial"/>
        </w:rPr>
      </w:pPr>
    </w:p>
    <w:p w:rsidR="00572B7C" w:rsidRDefault="00572B7C">
      <w:pPr>
        <w:pStyle w:val="BodyText"/>
        <w:spacing w:line="360" w:lineRule="auto"/>
        <w:jc w:val="both"/>
        <w:rPr>
          <w:rFonts w:ascii="Arial" w:hAnsi="Arial" w:cs="Arial"/>
        </w:rPr>
      </w:pPr>
    </w:p>
    <w:p w:rsidR="00572B7C" w:rsidRDefault="00572B7C">
      <w:pPr>
        <w:pStyle w:val="BodyText"/>
        <w:spacing w:line="360" w:lineRule="auto"/>
        <w:jc w:val="both"/>
        <w:rPr>
          <w:rFonts w:ascii="Arial" w:hAnsi="Arial" w:cs="Arial"/>
        </w:rPr>
      </w:pPr>
    </w:p>
    <w:p w:rsidR="00A964AF" w:rsidRPr="00C56C4F" w:rsidRDefault="00A964AF" w:rsidP="00A964AF">
      <w:pPr>
        <w:spacing w:after="0" w:line="360" w:lineRule="auto"/>
        <w:jc w:val="both"/>
        <w:rPr>
          <w:rFonts w:ascii="Arial" w:hAnsi="Arial" w:cs="Arial"/>
          <w:sz w:val="24"/>
          <w:szCs w:val="24"/>
        </w:rPr>
      </w:pPr>
    </w:p>
    <w:p w:rsidR="00A964AF" w:rsidRPr="006E026B" w:rsidRDefault="00A964AF" w:rsidP="00A964AF">
      <w:pPr>
        <w:spacing w:after="0" w:line="360" w:lineRule="auto"/>
        <w:jc w:val="right"/>
        <w:rPr>
          <w:rFonts w:ascii="Arial" w:hAnsi="Arial" w:cs="Arial"/>
          <w:sz w:val="24"/>
          <w:szCs w:val="24"/>
        </w:rPr>
      </w:pPr>
      <w:r w:rsidRPr="006E026B">
        <w:rPr>
          <w:rFonts w:ascii="Arial" w:hAnsi="Arial" w:cs="Arial"/>
          <w:sz w:val="24"/>
          <w:szCs w:val="24"/>
        </w:rPr>
        <w:t>---------------</w:t>
      </w:r>
      <w:r>
        <w:rPr>
          <w:rFonts w:ascii="Arial" w:hAnsi="Arial" w:cs="Arial"/>
          <w:sz w:val="24"/>
          <w:szCs w:val="24"/>
        </w:rPr>
        <w:t>--</w:t>
      </w:r>
      <w:r w:rsidRPr="006E026B">
        <w:rPr>
          <w:rFonts w:ascii="Arial" w:hAnsi="Arial" w:cs="Arial"/>
          <w:sz w:val="24"/>
          <w:szCs w:val="24"/>
        </w:rPr>
        <w:t>-----------</w:t>
      </w:r>
    </w:p>
    <w:p w:rsidR="00A964AF" w:rsidRPr="006E026B" w:rsidRDefault="00C334E1" w:rsidP="00A964AF">
      <w:pPr>
        <w:spacing w:after="0" w:line="360" w:lineRule="auto"/>
        <w:jc w:val="right"/>
        <w:rPr>
          <w:rFonts w:ascii="Arial" w:hAnsi="Arial" w:cs="Arial"/>
          <w:sz w:val="24"/>
          <w:szCs w:val="24"/>
        </w:rPr>
      </w:pPr>
      <w:r>
        <w:rPr>
          <w:rFonts w:ascii="Arial" w:hAnsi="Arial" w:cs="Arial"/>
          <w:sz w:val="24"/>
          <w:szCs w:val="24"/>
        </w:rPr>
        <w:t>JS Prinsloo</w:t>
      </w:r>
    </w:p>
    <w:p w:rsidR="00A964AF" w:rsidRPr="006E026B" w:rsidRDefault="00A964AF" w:rsidP="00A964AF">
      <w:pPr>
        <w:spacing w:after="0" w:line="360" w:lineRule="auto"/>
        <w:jc w:val="right"/>
        <w:rPr>
          <w:rFonts w:ascii="Arial" w:hAnsi="Arial" w:cs="Arial"/>
          <w:sz w:val="24"/>
          <w:szCs w:val="24"/>
        </w:rPr>
      </w:pPr>
      <w:r>
        <w:rPr>
          <w:rFonts w:ascii="Arial" w:hAnsi="Arial" w:cs="Arial"/>
          <w:sz w:val="24"/>
          <w:szCs w:val="24"/>
        </w:rPr>
        <w:t>Acting Judge</w:t>
      </w:r>
    </w:p>
    <w:p w:rsidR="007309C0" w:rsidRDefault="007309C0" w:rsidP="005A2AFB">
      <w:pPr>
        <w:jc w:val="both"/>
        <w:rPr>
          <w:rFonts w:ascii="Arial" w:hAnsi="Arial" w:cs="Arial"/>
          <w:sz w:val="24"/>
          <w:szCs w:val="24"/>
        </w:rPr>
      </w:pPr>
    </w:p>
    <w:p w:rsidR="00C334E1" w:rsidRDefault="00C334E1" w:rsidP="005A2AFB">
      <w:pPr>
        <w:jc w:val="both"/>
        <w:rPr>
          <w:rFonts w:ascii="Arial" w:hAnsi="Arial" w:cs="Arial"/>
          <w:sz w:val="24"/>
          <w:szCs w:val="24"/>
        </w:rPr>
      </w:pPr>
    </w:p>
    <w:p w:rsidR="007C70EB" w:rsidRDefault="007C70EB" w:rsidP="005A2AFB">
      <w:pPr>
        <w:jc w:val="both"/>
        <w:rPr>
          <w:rFonts w:ascii="Arial" w:hAnsi="Arial" w:cs="Arial"/>
          <w:sz w:val="24"/>
          <w:szCs w:val="24"/>
        </w:rPr>
      </w:pPr>
    </w:p>
    <w:p w:rsidR="007C70EB" w:rsidRDefault="007C70EB" w:rsidP="005A2AFB">
      <w:pPr>
        <w:jc w:val="both"/>
        <w:rPr>
          <w:rFonts w:ascii="Arial" w:hAnsi="Arial" w:cs="Arial"/>
          <w:sz w:val="24"/>
          <w:szCs w:val="24"/>
        </w:rPr>
      </w:pPr>
    </w:p>
    <w:p w:rsidR="007C70EB" w:rsidRDefault="007C70EB" w:rsidP="005A2AFB">
      <w:pPr>
        <w:jc w:val="both"/>
        <w:rPr>
          <w:rFonts w:ascii="Arial" w:hAnsi="Arial" w:cs="Arial"/>
          <w:sz w:val="24"/>
          <w:szCs w:val="24"/>
        </w:rPr>
      </w:pPr>
    </w:p>
    <w:p w:rsidR="007C70EB" w:rsidRDefault="007C70EB" w:rsidP="005A2AFB">
      <w:pPr>
        <w:jc w:val="both"/>
        <w:rPr>
          <w:rFonts w:ascii="Arial" w:hAnsi="Arial" w:cs="Arial"/>
          <w:sz w:val="24"/>
          <w:szCs w:val="24"/>
        </w:rPr>
      </w:pPr>
    </w:p>
    <w:p w:rsidR="007C70EB" w:rsidRDefault="007C70EB" w:rsidP="005A2AFB">
      <w:pPr>
        <w:jc w:val="both"/>
        <w:rPr>
          <w:rFonts w:ascii="Arial" w:hAnsi="Arial" w:cs="Arial"/>
          <w:sz w:val="24"/>
          <w:szCs w:val="24"/>
        </w:rPr>
      </w:pPr>
    </w:p>
    <w:p w:rsidR="007C70EB" w:rsidRDefault="007C70EB" w:rsidP="005A2AFB">
      <w:pPr>
        <w:jc w:val="both"/>
        <w:rPr>
          <w:rFonts w:ascii="Arial" w:hAnsi="Arial" w:cs="Arial"/>
          <w:sz w:val="24"/>
          <w:szCs w:val="24"/>
        </w:rPr>
      </w:pPr>
    </w:p>
    <w:p w:rsidR="007C70EB" w:rsidRDefault="007C70EB" w:rsidP="005A2AFB">
      <w:pPr>
        <w:jc w:val="both"/>
        <w:rPr>
          <w:rFonts w:ascii="Arial" w:hAnsi="Arial" w:cs="Arial"/>
          <w:sz w:val="24"/>
          <w:szCs w:val="24"/>
        </w:rPr>
      </w:pPr>
    </w:p>
    <w:p w:rsidR="00656A12" w:rsidRDefault="00656A12" w:rsidP="005A2AFB">
      <w:pPr>
        <w:jc w:val="both"/>
        <w:rPr>
          <w:rFonts w:ascii="Arial" w:hAnsi="Arial" w:cs="Arial"/>
          <w:sz w:val="24"/>
          <w:szCs w:val="24"/>
        </w:rPr>
      </w:pPr>
    </w:p>
    <w:p w:rsidR="00656A12" w:rsidRDefault="00656A12" w:rsidP="005A2AFB">
      <w:pPr>
        <w:jc w:val="both"/>
        <w:rPr>
          <w:rFonts w:ascii="Arial" w:hAnsi="Arial" w:cs="Arial"/>
          <w:sz w:val="24"/>
          <w:szCs w:val="24"/>
        </w:rPr>
      </w:pPr>
    </w:p>
    <w:p w:rsidR="007C70EB" w:rsidRDefault="007C70EB" w:rsidP="005A2AFB">
      <w:pPr>
        <w:jc w:val="both"/>
        <w:rPr>
          <w:rFonts w:ascii="Arial" w:hAnsi="Arial" w:cs="Arial"/>
          <w:sz w:val="24"/>
          <w:szCs w:val="24"/>
        </w:rPr>
      </w:pPr>
    </w:p>
    <w:p w:rsidR="0071415F" w:rsidRDefault="0071415F" w:rsidP="005A2AFB">
      <w:pPr>
        <w:jc w:val="both"/>
        <w:rPr>
          <w:rFonts w:ascii="Arial" w:hAnsi="Arial" w:cs="Arial"/>
          <w:sz w:val="24"/>
          <w:szCs w:val="24"/>
        </w:rPr>
      </w:pPr>
    </w:p>
    <w:p w:rsidR="0071415F" w:rsidRDefault="0071415F" w:rsidP="005A2AFB">
      <w:pPr>
        <w:jc w:val="both"/>
        <w:rPr>
          <w:rFonts w:ascii="Arial" w:hAnsi="Arial" w:cs="Arial"/>
          <w:sz w:val="24"/>
          <w:szCs w:val="24"/>
        </w:rPr>
      </w:pPr>
    </w:p>
    <w:p w:rsidR="0071415F" w:rsidRDefault="0071415F" w:rsidP="005A2AFB">
      <w:pPr>
        <w:jc w:val="both"/>
        <w:rPr>
          <w:rFonts w:ascii="Arial" w:hAnsi="Arial" w:cs="Arial"/>
          <w:sz w:val="24"/>
          <w:szCs w:val="24"/>
        </w:rPr>
      </w:pPr>
    </w:p>
    <w:p w:rsidR="0071415F" w:rsidRDefault="0071415F" w:rsidP="005A2AFB">
      <w:pPr>
        <w:jc w:val="both"/>
        <w:rPr>
          <w:rFonts w:ascii="Arial" w:hAnsi="Arial" w:cs="Arial"/>
          <w:sz w:val="24"/>
          <w:szCs w:val="24"/>
        </w:rPr>
      </w:pPr>
    </w:p>
    <w:p w:rsidR="0071415F" w:rsidRDefault="0071415F" w:rsidP="005A2AFB">
      <w:pPr>
        <w:jc w:val="both"/>
        <w:rPr>
          <w:rFonts w:ascii="Arial" w:hAnsi="Arial" w:cs="Arial"/>
          <w:sz w:val="24"/>
          <w:szCs w:val="24"/>
        </w:rPr>
      </w:pPr>
    </w:p>
    <w:p w:rsidR="007C70EB" w:rsidRDefault="007C70EB" w:rsidP="005A2AFB">
      <w:pPr>
        <w:jc w:val="both"/>
        <w:rPr>
          <w:rFonts w:ascii="Arial" w:hAnsi="Arial" w:cs="Arial"/>
          <w:sz w:val="24"/>
          <w:szCs w:val="24"/>
        </w:rPr>
      </w:pPr>
      <w:r>
        <w:rPr>
          <w:rFonts w:ascii="Arial" w:hAnsi="Arial" w:cs="Arial"/>
          <w:sz w:val="24"/>
          <w:szCs w:val="24"/>
        </w:rPr>
        <w:t>APPEARANCE:</w:t>
      </w:r>
    </w:p>
    <w:p w:rsidR="007C70EB" w:rsidRDefault="007C70EB" w:rsidP="005A2AFB">
      <w:pPr>
        <w:jc w:val="both"/>
        <w:rPr>
          <w:rFonts w:ascii="Arial" w:hAnsi="Arial" w:cs="Arial"/>
          <w:sz w:val="24"/>
          <w:szCs w:val="24"/>
        </w:rPr>
      </w:pPr>
    </w:p>
    <w:p w:rsidR="007C70EB" w:rsidRDefault="007C70EB" w:rsidP="005A2AFB">
      <w:pPr>
        <w:jc w:val="both"/>
        <w:rPr>
          <w:rFonts w:ascii="Arial" w:hAnsi="Arial" w:cs="Arial"/>
          <w:sz w:val="24"/>
          <w:szCs w:val="24"/>
        </w:rPr>
      </w:pPr>
      <w:r>
        <w:rPr>
          <w:rFonts w:ascii="Arial" w:hAnsi="Arial" w:cs="Arial"/>
          <w:sz w:val="24"/>
          <w:szCs w:val="24"/>
        </w:rPr>
        <w:t>FOR THE PLAINTIFF:</w:t>
      </w:r>
      <w:r w:rsidR="0071415F">
        <w:rPr>
          <w:rFonts w:ascii="Arial" w:hAnsi="Arial" w:cs="Arial"/>
          <w:sz w:val="24"/>
          <w:szCs w:val="24"/>
        </w:rPr>
        <w:tab/>
      </w:r>
      <w:r w:rsidR="0071415F">
        <w:rPr>
          <w:rFonts w:ascii="Arial" w:hAnsi="Arial" w:cs="Arial"/>
          <w:sz w:val="24"/>
          <w:szCs w:val="24"/>
        </w:rPr>
        <w:tab/>
      </w:r>
      <w:r w:rsidR="0071415F">
        <w:rPr>
          <w:rFonts w:ascii="Arial" w:hAnsi="Arial" w:cs="Arial"/>
          <w:sz w:val="24"/>
          <w:szCs w:val="24"/>
        </w:rPr>
        <w:tab/>
        <w:t xml:space="preserve">Adv. N. </w:t>
      </w:r>
      <w:r w:rsidR="00656A12" w:rsidRPr="00B95BC5">
        <w:rPr>
          <w:rFonts w:ascii="Arial" w:eastAsia="Dotum" w:hAnsi="Arial" w:cs="Arial"/>
          <w:sz w:val="24"/>
          <w:szCs w:val="24"/>
        </w:rPr>
        <w:t>Bassingthwait</w:t>
      </w:r>
      <w:r w:rsidR="00656A12">
        <w:rPr>
          <w:rFonts w:ascii="Arial" w:eastAsia="Dotum" w:hAnsi="Arial" w:cs="Arial"/>
          <w:sz w:val="24"/>
          <w:szCs w:val="24"/>
        </w:rPr>
        <w:t>e</w:t>
      </w:r>
    </w:p>
    <w:p w:rsidR="007C70EB" w:rsidRDefault="0071415F" w:rsidP="005A2AFB">
      <w:pPr>
        <w:jc w:val="both"/>
        <w:rPr>
          <w:rFonts w:ascii="Arial" w:hAnsi="Arial" w:cs="Arial"/>
          <w:sz w:val="24"/>
          <w:szCs w:val="24"/>
        </w:rPr>
      </w:pPr>
      <w:r>
        <w:rPr>
          <w:rFonts w:ascii="Arial" w:hAnsi="Arial" w:cs="Arial"/>
          <w:sz w:val="24"/>
          <w:szCs w:val="24"/>
        </w:rPr>
        <w:t>INSTRUCTED BY</w:t>
      </w:r>
      <w:r w:rsidR="007C70EB">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56A12">
        <w:rPr>
          <w:rFonts w:ascii="Arial" w:hAnsi="Arial" w:cs="Arial"/>
          <w:sz w:val="24"/>
          <w:szCs w:val="24"/>
        </w:rPr>
        <w:t xml:space="preserve">Angula Co. </w:t>
      </w:r>
      <w:r w:rsidR="004D0FA3">
        <w:rPr>
          <w:rFonts w:ascii="Arial" w:eastAsia="Dotum" w:hAnsi="Arial" w:cs="Arial"/>
          <w:sz w:val="24"/>
          <w:szCs w:val="24"/>
        </w:rPr>
        <w:t>Incorporated</w:t>
      </w:r>
      <w:r>
        <w:rPr>
          <w:rFonts w:ascii="Arial" w:eastAsia="Dotum" w:hAnsi="Arial" w:cs="Arial"/>
          <w:sz w:val="24"/>
          <w:szCs w:val="24"/>
        </w:rPr>
        <w:t>, Windhoek</w:t>
      </w:r>
    </w:p>
    <w:p w:rsidR="007C70EB" w:rsidRDefault="007C70EB" w:rsidP="005A2AFB">
      <w:pPr>
        <w:jc w:val="both"/>
        <w:rPr>
          <w:rFonts w:ascii="Arial" w:hAnsi="Arial" w:cs="Arial"/>
          <w:sz w:val="24"/>
          <w:szCs w:val="24"/>
        </w:rPr>
      </w:pPr>
    </w:p>
    <w:p w:rsidR="007C70EB" w:rsidRDefault="007C70EB" w:rsidP="005A2AFB">
      <w:pPr>
        <w:jc w:val="both"/>
        <w:rPr>
          <w:rFonts w:ascii="Arial" w:hAnsi="Arial" w:cs="Arial"/>
          <w:sz w:val="24"/>
          <w:szCs w:val="24"/>
        </w:rPr>
      </w:pPr>
      <w:r>
        <w:rPr>
          <w:rFonts w:ascii="Arial" w:hAnsi="Arial" w:cs="Arial"/>
          <w:sz w:val="24"/>
          <w:szCs w:val="24"/>
        </w:rPr>
        <w:t>FOR THE DEFENDANT:</w:t>
      </w:r>
      <w:r w:rsidR="0071415F">
        <w:rPr>
          <w:rFonts w:ascii="Arial" w:hAnsi="Arial" w:cs="Arial"/>
          <w:sz w:val="24"/>
          <w:szCs w:val="24"/>
        </w:rPr>
        <w:tab/>
      </w:r>
      <w:r w:rsidR="0071415F">
        <w:rPr>
          <w:rFonts w:ascii="Arial" w:hAnsi="Arial" w:cs="Arial"/>
          <w:sz w:val="24"/>
          <w:szCs w:val="24"/>
        </w:rPr>
        <w:tab/>
      </w:r>
      <w:r w:rsidR="0071415F">
        <w:rPr>
          <w:rFonts w:ascii="Arial" w:hAnsi="Arial" w:cs="Arial"/>
          <w:sz w:val="24"/>
          <w:szCs w:val="24"/>
        </w:rPr>
        <w:tab/>
        <w:t xml:space="preserve">Adv </w:t>
      </w:r>
      <w:r w:rsidR="00EF77F3">
        <w:rPr>
          <w:rFonts w:ascii="Arial" w:hAnsi="Arial" w:cs="Arial"/>
          <w:sz w:val="24"/>
          <w:szCs w:val="24"/>
        </w:rPr>
        <w:t>.</w:t>
      </w:r>
      <w:r w:rsidR="00656A12">
        <w:rPr>
          <w:rFonts w:ascii="Arial" w:hAnsi="Arial" w:cs="Arial"/>
          <w:sz w:val="24"/>
          <w:szCs w:val="24"/>
        </w:rPr>
        <w:t>Obbes</w:t>
      </w:r>
    </w:p>
    <w:p w:rsidR="007C70EB" w:rsidRPr="00A964AF" w:rsidRDefault="0071415F" w:rsidP="005A2AFB">
      <w:pPr>
        <w:jc w:val="both"/>
        <w:rPr>
          <w:rFonts w:ascii="Arial" w:hAnsi="Arial" w:cs="Arial"/>
          <w:sz w:val="24"/>
          <w:szCs w:val="24"/>
        </w:rPr>
      </w:pPr>
      <w:r>
        <w:rPr>
          <w:rFonts w:ascii="Arial" w:hAnsi="Arial" w:cs="Arial"/>
          <w:sz w:val="24"/>
          <w:szCs w:val="24"/>
        </w:rPr>
        <w:t>INSTRUCTED BY</w:t>
      </w:r>
      <w:r w:rsidR="007C70EB">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D0FA3">
        <w:rPr>
          <w:rFonts w:ascii="Arial" w:eastAsia="Dotum" w:hAnsi="Arial" w:cs="Arial"/>
          <w:sz w:val="24"/>
          <w:szCs w:val="24"/>
        </w:rPr>
        <w:t>M</w:t>
      </w:r>
      <w:r w:rsidR="004D0FA3">
        <w:rPr>
          <w:rFonts w:ascii="Arial" w:hAnsi="Arial" w:cs="Arial"/>
          <w:sz w:val="24"/>
          <w:szCs w:val="24"/>
        </w:rPr>
        <w:t>etcalfe Attorneys</w:t>
      </w:r>
      <w:r>
        <w:rPr>
          <w:rFonts w:ascii="Arial" w:hAnsi="Arial" w:cs="Arial"/>
          <w:sz w:val="24"/>
          <w:szCs w:val="24"/>
        </w:rPr>
        <w:t>, Windhoek</w:t>
      </w:r>
    </w:p>
    <w:sectPr w:rsidR="007C70EB" w:rsidRPr="00A964AF" w:rsidSect="00385A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588" w:rsidRDefault="00B40588" w:rsidP="007309C0">
      <w:pPr>
        <w:spacing w:after="0" w:line="240" w:lineRule="auto"/>
      </w:pPr>
      <w:r>
        <w:separator/>
      </w:r>
    </w:p>
  </w:endnote>
  <w:endnote w:type="continuationSeparator" w:id="0">
    <w:p w:rsidR="00B40588" w:rsidRDefault="00B40588" w:rsidP="0073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588" w:rsidRDefault="00B40588" w:rsidP="007309C0">
      <w:pPr>
        <w:spacing w:after="0" w:line="240" w:lineRule="auto"/>
      </w:pPr>
      <w:r>
        <w:separator/>
      </w:r>
    </w:p>
  </w:footnote>
  <w:footnote w:type="continuationSeparator" w:id="0">
    <w:p w:rsidR="00B40588" w:rsidRDefault="00B40588" w:rsidP="007309C0">
      <w:pPr>
        <w:spacing w:after="0" w:line="240" w:lineRule="auto"/>
      </w:pPr>
      <w:r>
        <w:continuationSeparator/>
      </w:r>
    </w:p>
  </w:footnote>
  <w:footnote w:id="1">
    <w:p w:rsidR="00476FF9" w:rsidRPr="000436B3" w:rsidRDefault="00476FF9" w:rsidP="00476FF9">
      <w:pPr>
        <w:pStyle w:val="FootnoteText"/>
        <w:rPr>
          <w:rFonts w:ascii="Arial" w:hAnsi="Arial" w:cs="Arial"/>
        </w:rPr>
      </w:pPr>
      <w:r w:rsidRPr="000436B3">
        <w:rPr>
          <w:rStyle w:val="FootnoteReference"/>
          <w:rFonts w:ascii="Arial" w:hAnsi="Arial" w:cs="Arial"/>
        </w:rPr>
        <w:footnoteRef/>
      </w:r>
      <w:r w:rsidRPr="000436B3">
        <w:rPr>
          <w:rFonts w:ascii="Arial" w:hAnsi="Arial" w:cs="Arial"/>
        </w:rPr>
        <w:t xml:space="preserve"> Case No. I 3396/2014.</w:t>
      </w:r>
    </w:p>
  </w:footnote>
  <w:footnote w:id="2">
    <w:p w:rsidR="002413F4" w:rsidRPr="000048B0" w:rsidRDefault="002413F4" w:rsidP="002413F4">
      <w:pPr>
        <w:rPr>
          <w:rFonts w:ascii="Arial" w:hAnsi="Arial" w:cs="Arial"/>
          <w:sz w:val="20"/>
          <w:szCs w:val="20"/>
        </w:rPr>
      </w:pPr>
      <w:r>
        <w:rPr>
          <w:rStyle w:val="FootnoteReference"/>
        </w:rPr>
        <w:footnoteRef/>
      </w:r>
      <w:r w:rsidRPr="000048B0">
        <w:rPr>
          <w:rFonts w:ascii="Arial" w:hAnsi="Arial" w:cs="Arial"/>
          <w:sz w:val="20"/>
          <w:szCs w:val="20"/>
        </w:rPr>
        <w:t>(I 3622-2014) [2015] NAHCMD 223 (11 September 2015)</w:t>
      </w:r>
      <w:r>
        <w:rPr>
          <w:rFonts w:ascii="Arial" w:hAnsi="Arial" w:cs="Arial"/>
          <w:sz w:val="20"/>
          <w:szCs w:val="20"/>
        </w:rPr>
        <w:t xml:space="preserve"> paragraph [18]</w:t>
      </w:r>
    </w:p>
    <w:p w:rsidR="002413F4" w:rsidRDefault="002413F4">
      <w:pPr>
        <w:pStyle w:val="FootnoteText"/>
      </w:pPr>
    </w:p>
  </w:footnote>
  <w:footnote w:id="3">
    <w:p w:rsidR="003F4487" w:rsidRPr="00DA6E16" w:rsidRDefault="003F4487">
      <w:pPr>
        <w:pStyle w:val="FootnoteText"/>
        <w:rPr>
          <w:rFonts w:ascii="Arial" w:hAnsi="Arial" w:cs="Arial"/>
        </w:rPr>
      </w:pPr>
      <w:r>
        <w:rPr>
          <w:rStyle w:val="FootnoteReference"/>
        </w:rPr>
        <w:footnoteRef/>
      </w:r>
      <w:r w:rsidRPr="00DA6E16">
        <w:rPr>
          <w:rFonts w:ascii="Arial" w:hAnsi="Arial" w:cs="Arial"/>
        </w:rPr>
        <w:t>(I 2359-2014) [2015] NAHCMD 152 (26 June 2015)</w:t>
      </w:r>
    </w:p>
  </w:footnote>
  <w:footnote w:id="4">
    <w:p w:rsidR="0043340E" w:rsidRDefault="0043340E">
      <w:pPr>
        <w:pStyle w:val="FootnoteText"/>
      </w:pPr>
      <w:r w:rsidRPr="00DA6E16">
        <w:rPr>
          <w:rStyle w:val="FootnoteReference"/>
          <w:rFonts w:ascii="Arial" w:hAnsi="Arial" w:cs="Arial"/>
        </w:rPr>
        <w:footnoteRef/>
      </w:r>
      <w:r w:rsidRPr="00DA6E16">
        <w:rPr>
          <w:rFonts w:ascii="Arial" w:hAnsi="Arial" w:cs="Arial"/>
        </w:rPr>
        <w:t xml:space="preserve"> Paragraph [22]</w:t>
      </w:r>
    </w:p>
  </w:footnote>
  <w:footnote w:id="5">
    <w:p w:rsidR="002F5EAC" w:rsidRPr="00DA6E16" w:rsidRDefault="002F5EAC" w:rsidP="002F5EAC">
      <w:pPr>
        <w:autoSpaceDE w:val="0"/>
        <w:autoSpaceDN w:val="0"/>
        <w:adjustRightInd w:val="0"/>
        <w:spacing w:after="0" w:line="240" w:lineRule="auto"/>
        <w:jc w:val="both"/>
        <w:rPr>
          <w:rFonts w:ascii="Arial" w:hAnsi="Arial" w:cs="Arial"/>
          <w:sz w:val="20"/>
          <w:szCs w:val="20"/>
        </w:rPr>
      </w:pPr>
      <w:r w:rsidRPr="00DA6E16">
        <w:rPr>
          <w:rStyle w:val="FootnoteReference"/>
          <w:rFonts w:ascii="Arial" w:hAnsi="Arial" w:cs="Arial"/>
        </w:rPr>
        <w:footnoteRef/>
      </w:r>
      <w:r w:rsidRPr="00DA6E16">
        <w:rPr>
          <w:rFonts w:ascii="Arial" w:hAnsi="Arial" w:cs="Arial"/>
          <w:sz w:val="20"/>
          <w:szCs w:val="20"/>
        </w:rPr>
        <w:t>(9) If a party believes that the reason given by the other party as to why any document,  analogue or digital recording is protected from discovery is not sufficient, that party may apply in terms of rule 32(4) to the managing judge for an order that such a document must be discovered.</w:t>
      </w:r>
    </w:p>
  </w:footnote>
  <w:footnote w:id="6">
    <w:p w:rsidR="002F5EAC" w:rsidRPr="00DA6E16" w:rsidRDefault="002F5EAC" w:rsidP="002F5EAC">
      <w:pPr>
        <w:pStyle w:val="FootnoteText"/>
        <w:rPr>
          <w:rFonts w:ascii="Arial" w:hAnsi="Arial" w:cs="Arial"/>
        </w:rPr>
      </w:pPr>
      <w:r w:rsidRPr="00DA6E16">
        <w:rPr>
          <w:rStyle w:val="FootnoteReference"/>
          <w:rFonts w:ascii="Arial" w:hAnsi="Arial" w:cs="Arial"/>
        </w:rPr>
        <w:footnoteRef/>
      </w:r>
      <w:r w:rsidRPr="00DA6E16">
        <w:rPr>
          <w:rFonts w:ascii="Arial" w:hAnsi="Arial" w:cs="Arial"/>
        </w:rPr>
        <w:t xml:space="preserve"> [2017] NAHMD 78 (15 March 2017) para 12.</w:t>
      </w:r>
    </w:p>
  </w:footnote>
  <w:footnote w:id="7">
    <w:p w:rsidR="00DA6E16" w:rsidRPr="00DA6E16" w:rsidRDefault="00DA6E16" w:rsidP="00DA6E16">
      <w:pPr>
        <w:autoSpaceDE w:val="0"/>
        <w:autoSpaceDN w:val="0"/>
        <w:adjustRightInd w:val="0"/>
        <w:spacing w:after="0" w:line="240" w:lineRule="auto"/>
        <w:rPr>
          <w:rFonts w:ascii="Arial" w:hAnsi="Arial" w:cs="Arial"/>
          <w:sz w:val="20"/>
          <w:szCs w:val="20"/>
        </w:rPr>
      </w:pPr>
      <w:r>
        <w:rPr>
          <w:rStyle w:val="FootnoteReference"/>
        </w:rPr>
        <w:footnoteRef/>
      </w:r>
      <w:r w:rsidRPr="00DA6E16">
        <w:rPr>
          <w:rFonts w:ascii="Arial" w:hAnsi="Arial" w:cs="Arial"/>
          <w:sz w:val="20"/>
          <w:szCs w:val="20"/>
        </w:rPr>
        <w:t>With reference to Rule 1(3)(b): (b) saving costs by, among others, limiting interlocutory proceedings to what is strictly necessary in order to achieve a fair and timely disposal of a cause or matter</w:t>
      </w:r>
      <w:r>
        <w:rPr>
          <w:rFonts w:ascii="Arial" w:hAnsi="Arial" w:cs="Arial"/>
          <w:sz w:val="20"/>
          <w:szCs w:val="20"/>
        </w:rPr>
        <w:t>.</w:t>
      </w:r>
    </w:p>
  </w:footnote>
  <w:footnote w:id="8">
    <w:p w:rsidR="00354A0A" w:rsidRPr="00DA6E16" w:rsidRDefault="00354A0A">
      <w:pPr>
        <w:pStyle w:val="FootnoteText"/>
        <w:rPr>
          <w:rFonts w:ascii="Arial" w:hAnsi="Arial" w:cs="Arial"/>
        </w:rPr>
      </w:pPr>
      <w:r w:rsidRPr="00DA6E16">
        <w:rPr>
          <w:rStyle w:val="FootnoteReference"/>
          <w:rFonts w:ascii="Arial" w:hAnsi="Arial" w:cs="Arial"/>
        </w:rPr>
        <w:footnoteRef/>
      </w:r>
      <w:r w:rsidRPr="00DA6E16">
        <w:rPr>
          <w:rFonts w:ascii="Arial" w:hAnsi="Arial" w:cs="Arial"/>
        </w:rPr>
        <w:t xml:space="preserve"> Paragraph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C1E9E"/>
    <w:multiLevelType w:val="hybridMultilevel"/>
    <w:tmpl w:val="7174F08C"/>
    <w:lvl w:ilvl="0" w:tplc="ACC23C30">
      <w:start w:val="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ECF4C08"/>
    <w:multiLevelType w:val="hybridMultilevel"/>
    <w:tmpl w:val="E9923EC2"/>
    <w:lvl w:ilvl="0" w:tplc="0BC8465A">
      <w:start w:val="1"/>
      <w:numFmt w:val="decimal"/>
      <w:lvlText w:val="%1."/>
      <w:lvlJc w:val="left"/>
      <w:pPr>
        <w:ind w:left="1080" w:hanging="360"/>
      </w:pPr>
      <w:rPr>
        <w:rFonts w:ascii="Arial" w:eastAsia="Times New Roman"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4B9B45D7"/>
    <w:multiLevelType w:val="hybridMultilevel"/>
    <w:tmpl w:val="257A134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C0"/>
    <w:rsid w:val="00063D47"/>
    <w:rsid w:val="000C16E2"/>
    <w:rsid w:val="000D784F"/>
    <w:rsid w:val="00104927"/>
    <w:rsid w:val="00104C2A"/>
    <w:rsid w:val="0010611D"/>
    <w:rsid w:val="00106FCC"/>
    <w:rsid w:val="00122FA9"/>
    <w:rsid w:val="00142A05"/>
    <w:rsid w:val="001502D5"/>
    <w:rsid w:val="001E272E"/>
    <w:rsid w:val="002413F4"/>
    <w:rsid w:val="00247093"/>
    <w:rsid w:val="00282187"/>
    <w:rsid w:val="00290A8B"/>
    <w:rsid w:val="002A5A36"/>
    <w:rsid w:val="002F5EAC"/>
    <w:rsid w:val="002F6340"/>
    <w:rsid w:val="00320548"/>
    <w:rsid w:val="0033247F"/>
    <w:rsid w:val="00332BA0"/>
    <w:rsid w:val="003414A3"/>
    <w:rsid w:val="00354A0A"/>
    <w:rsid w:val="00385A5E"/>
    <w:rsid w:val="003915C8"/>
    <w:rsid w:val="003F3091"/>
    <w:rsid w:val="003F4487"/>
    <w:rsid w:val="0043340E"/>
    <w:rsid w:val="0044698D"/>
    <w:rsid w:val="0047319F"/>
    <w:rsid w:val="00476FF9"/>
    <w:rsid w:val="004C7751"/>
    <w:rsid w:val="004D0FA3"/>
    <w:rsid w:val="004F214A"/>
    <w:rsid w:val="00572B7C"/>
    <w:rsid w:val="005A2AFB"/>
    <w:rsid w:val="005A2B87"/>
    <w:rsid w:val="005A5D72"/>
    <w:rsid w:val="005F3D0D"/>
    <w:rsid w:val="006304B0"/>
    <w:rsid w:val="00656A12"/>
    <w:rsid w:val="00657EF2"/>
    <w:rsid w:val="00670706"/>
    <w:rsid w:val="006B4FDD"/>
    <w:rsid w:val="006F64C0"/>
    <w:rsid w:val="007018E9"/>
    <w:rsid w:val="0070464B"/>
    <w:rsid w:val="0070783F"/>
    <w:rsid w:val="0071415F"/>
    <w:rsid w:val="00715FCB"/>
    <w:rsid w:val="007309C0"/>
    <w:rsid w:val="0079790F"/>
    <w:rsid w:val="007A2B47"/>
    <w:rsid w:val="007B361F"/>
    <w:rsid w:val="007C70EB"/>
    <w:rsid w:val="008058B0"/>
    <w:rsid w:val="00815A92"/>
    <w:rsid w:val="00867441"/>
    <w:rsid w:val="008700BF"/>
    <w:rsid w:val="00874069"/>
    <w:rsid w:val="00883963"/>
    <w:rsid w:val="008C1A35"/>
    <w:rsid w:val="0091438F"/>
    <w:rsid w:val="00925FB8"/>
    <w:rsid w:val="00A40238"/>
    <w:rsid w:val="00A9264F"/>
    <w:rsid w:val="00A964AF"/>
    <w:rsid w:val="00AB31D8"/>
    <w:rsid w:val="00AB519E"/>
    <w:rsid w:val="00AE559A"/>
    <w:rsid w:val="00B40588"/>
    <w:rsid w:val="00B77039"/>
    <w:rsid w:val="00B85481"/>
    <w:rsid w:val="00B95BC5"/>
    <w:rsid w:val="00C023FC"/>
    <w:rsid w:val="00C07E0E"/>
    <w:rsid w:val="00C11037"/>
    <w:rsid w:val="00C14B5F"/>
    <w:rsid w:val="00C334E1"/>
    <w:rsid w:val="00C64349"/>
    <w:rsid w:val="00C7190A"/>
    <w:rsid w:val="00CB6B99"/>
    <w:rsid w:val="00CE3BDE"/>
    <w:rsid w:val="00CF1A2E"/>
    <w:rsid w:val="00D36F46"/>
    <w:rsid w:val="00D63C9D"/>
    <w:rsid w:val="00DA6E16"/>
    <w:rsid w:val="00DB3737"/>
    <w:rsid w:val="00DD59BD"/>
    <w:rsid w:val="00E67B8D"/>
    <w:rsid w:val="00E87C3F"/>
    <w:rsid w:val="00EA76F1"/>
    <w:rsid w:val="00EE1921"/>
    <w:rsid w:val="00EF77F3"/>
    <w:rsid w:val="00F777C8"/>
    <w:rsid w:val="00FA28DF"/>
    <w:rsid w:val="00FC5816"/>
    <w:rsid w:val="00FC629F"/>
    <w:rsid w:val="00FC704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4E185-1EF1-4D34-B03A-8668ADC1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A5E"/>
  </w:style>
  <w:style w:type="paragraph" w:styleId="Heading4">
    <w:name w:val="heading 4"/>
    <w:basedOn w:val="Normal"/>
    <w:next w:val="Normal"/>
    <w:link w:val="Heading4Char"/>
    <w:semiHidden/>
    <w:unhideWhenUsed/>
    <w:qFormat/>
    <w:rsid w:val="00C334E1"/>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09C0"/>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309C0"/>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7309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9C0"/>
    <w:rPr>
      <w:sz w:val="20"/>
      <w:szCs w:val="20"/>
    </w:rPr>
  </w:style>
  <w:style w:type="character" w:styleId="FootnoteReference">
    <w:name w:val="footnote reference"/>
    <w:basedOn w:val="DefaultParagraphFont"/>
    <w:uiPriority w:val="99"/>
    <w:semiHidden/>
    <w:unhideWhenUsed/>
    <w:rsid w:val="007309C0"/>
    <w:rPr>
      <w:vertAlign w:val="superscript"/>
    </w:rPr>
  </w:style>
  <w:style w:type="paragraph" w:styleId="NormalWeb">
    <w:name w:val="Normal (Web)"/>
    <w:basedOn w:val="Normal"/>
    <w:uiPriority w:val="99"/>
    <w:unhideWhenUsed/>
    <w:rsid w:val="0087406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874069"/>
    <w:rPr>
      <w:color w:val="0000FF"/>
      <w:u w:val="single"/>
    </w:rPr>
  </w:style>
  <w:style w:type="character" w:customStyle="1" w:styleId="Heading4Char">
    <w:name w:val="Heading 4 Char"/>
    <w:basedOn w:val="DefaultParagraphFont"/>
    <w:link w:val="Heading4"/>
    <w:semiHidden/>
    <w:rsid w:val="00C334E1"/>
    <w:rPr>
      <w:rFonts w:ascii="Arial" w:eastAsia="Times New Roman" w:hAnsi="Arial" w:cs="Times New Roman"/>
      <w:sz w:val="28"/>
      <w:szCs w:val="24"/>
      <w:lang w:val="en-GB"/>
    </w:rPr>
  </w:style>
  <w:style w:type="paragraph" w:styleId="BalloonText">
    <w:name w:val="Balloon Text"/>
    <w:basedOn w:val="Normal"/>
    <w:link w:val="BalloonTextChar"/>
    <w:uiPriority w:val="99"/>
    <w:semiHidden/>
    <w:unhideWhenUsed/>
    <w:rsid w:val="00914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8F"/>
    <w:rPr>
      <w:rFonts w:ascii="Tahoma" w:hAnsi="Tahoma" w:cs="Tahoma"/>
      <w:sz w:val="16"/>
      <w:szCs w:val="16"/>
    </w:rPr>
  </w:style>
  <w:style w:type="paragraph" w:styleId="ListParagraph">
    <w:name w:val="List Paragraph"/>
    <w:basedOn w:val="Normal"/>
    <w:uiPriority w:val="34"/>
    <w:qFormat/>
    <w:rsid w:val="006B4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2017-03-21T18:30:00+00:00</Judgment_x0020_Date>
    <Year xmlns="c1afb1bd-f2fb-40fd-9abb-aea55b4d7662">2017</Year>
  </documentManagement>
</p:properties>
</file>

<file path=customXml/itemProps1.xml><?xml version="1.0" encoding="utf-8"?>
<ds:datastoreItem xmlns:ds="http://schemas.openxmlformats.org/officeDocument/2006/customXml" ds:itemID="{4D341259-FEE2-4845-8A14-0A6DDF3A4613}"/>
</file>

<file path=customXml/itemProps2.xml><?xml version="1.0" encoding="utf-8"?>
<ds:datastoreItem xmlns:ds="http://schemas.openxmlformats.org/officeDocument/2006/customXml" ds:itemID="{D1781048-A760-47C3-BF05-C09D812E3FEF}"/>
</file>

<file path=customXml/itemProps3.xml><?xml version="1.0" encoding="utf-8"?>
<ds:datastoreItem xmlns:ds="http://schemas.openxmlformats.org/officeDocument/2006/customXml" ds:itemID="{D37AAE15-BBE1-4F0C-A2E7-B0F008F10CFC}"/>
</file>

<file path=customXml/itemProps4.xml><?xml version="1.0" encoding="utf-8"?>
<ds:datastoreItem xmlns:ds="http://schemas.openxmlformats.org/officeDocument/2006/customXml" ds:itemID="{6C54C364-760D-43AD-AED4-502205751624}"/>
</file>

<file path=docProps/app.xml><?xml version="1.0" encoding="utf-8"?>
<Properties xmlns="http://schemas.openxmlformats.org/officeDocument/2006/extended-properties" xmlns:vt="http://schemas.openxmlformats.org/officeDocument/2006/docPropsVTypes">
  <Template>Normal</Template>
  <TotalTime>1</TotalTime>
  <Pages>11</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hprinsloo</dc:creator>
  <cp:lastModifiedBy>Lotta Ambunda</cp:lastModifiedBy>
  <cp:revision>3</cp:revision>
  <cp:lastPrinted>2017-04-21T13:26:00Z</cp:lastPrinted>
  <dcterms:created xsi:type="dcterms:W3CDTF">2017-04-21T13:27:00Z</dcterms:created>
  <dcterms:modified xsi:type="dcterms:W3CDTF">2017-04-21T13:30:00Z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