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E8" w:rsidRPr="00D15D4C" w:rsidRDefault="00806C0F" w:rsidP="000D2719">
      <w:pPr>
        <w:spacing w:after="0" w:line="360" w:lineRule="auto"/>
        <w:jc w:val="center"/>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83CDF" w:rsidRDefault="00B83CDF" w:rsidP="00316CE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" strokecolor="white [3212]">
                <v:textbox>
                  <w:txbxContent>
                    <w:p w:rsidR="00B83CDF" w:rsidRDefault="00B83CDF" w:rsidP="00316CE8">
                      <w:pPr>
                        <w:jc w:val="right"/>
                      </w:pPr>
                      <w:r>
                        <w:t>NOT REPORTABLE</w:t>
                      </w:r>
                    </w:p>
                  </w:txbxContent>
                </v:textbox>
              </v:shape>
            </w:pict>
          </mc:Fallback>
        </mc:AlternateContent>
      </w:r>
      <w:r w:rsidR="00316CE8" w:rsidRPr="00D15D4C">
        <w:rPr>
          <w:rFonts w:ascii="Arial" w:hAnsi="Arial" w:cs="Arial"/>
          <w:b/>
          <w:sz w:val="24"/>
          <w:szCs w:val="24"/>
          <w:lang w:val="en-GB"/>
        </w:rPr>
        <w:t>REPUBLIC OF NAMIBIA</w:t>
      </w:r>
    </w:p>
    <w:p w:rsidR="00316CE8" w:rsidRPr="00C621E1" w:rsidRDefault="00316CE8" w:rsidP="00E80076">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316CE8" w:rsidRDefault="00316CE8" w:rsidP="00E80076">
      <w:pPr>
        <w:spacing w:after="0" w:line="360" w:lineRule="auto"/>
        <w:jc w:val="center"/>
        <w:rPr>
          <w:rFonts w:ascii="Arial" w:hAnsi="Arial" w:cs="Arial"/>
          <w:bCs/>
          <w:sz w:val="24"/>
          <w:szCs w:val="24"/>
          <w:lang w:val="en-GB"/>
        </w:rPr>
      </w:pPr>
      <w:r w:rsidRPr="00D15D4C">
        <w:rPr>
          <w:rFonts w:ascii="Arial" w:hAnsi="Arial" w:cs="Arial"/>
          <w:b/>
          <w:sz w:val="24"/>
          <w:szCs w:val="24"/>
          <w:lang w:val="en-GB"/>
        </w:rPr>
        <w:t>HIGH COURT OF NAMIBIA MAIN DIVISION, WINDHOEK</w:t>
      </w:r>
    </w:p>
    <w:p w:rsidR="00316CE8" w:rsidRDefault="00316CE8" w:rsidP="00E80076">
      <w:pPr>
        <w:spacing w:after="0" w:line="360" w:lineRule="auto"/>
        <w:rPr>
          <w:rFonts w:ascii="Arial" w:hAnsi="Arial" w:cs="Arial"/>
          <w:bCs/>
          <w:sz w:val="24"/>
          <w:szCs w:val="24"/>
          <w:lang w:val="en-GB"/>
        </w:rPr>
      </w:pPr>
    </w:p>
    <w:p w:rsidR="00316CE8" w:rsidRDefault="00316CE8" w:rsidP="00E80076">
      <w:pPr>
        <w:spacing w:after="0" w:line="360" w:lineRule="auto"/>
        <w:jc w:val="right"/>
        <w:rPr>
          <w:rFonts w:ascii="Arial" w:hAnsi="Arial" w:cs="Arial"/>
          <w:bCs/>
          <w:sz w:val="24"/>
          <w:szCs w:val="24"/>
          <w:lang w:val="en-GB"/>
        </w:rPr>
      </w:pPr>
      <w:r>
        <w:rPr>
          <w:rFonts w:ascii="Arial" w:hAnsi="Arial" w:cs="Arial"/>
          <w:bCs/>
          <w:sz w:val="24"/>
          <w:szCs w:val="24"/>
          <w:lang w:val="en-GB"/>
        </w:rPr>
        <w:t>Case No.: CA 108/2016</w:t>
      </w:r>
    </w:p>
    <w:p w:rsidR="00316CE8" w:rsidRDefault="00316CE8" w:rsidP="00E80076">
      <w:pPr>
        <w:spacing w:after="0" w:line="360" w:lineRule="auto"/>
        <w:jc w:val="both"/>
        <w:rPr>
          <w:rFonts w:ascii="Arial" w:hAnsi="Arial" w:cs="Arial"/>
          <w:bCs/>
          <w:sz w:val="24"/>
          <w:szCs w:val="24"/>
          <w:lang w:val="en-GB"/>
        </w:rPr>
      </w:pPr>
    </w:p>
    <w:p w:rsidR="00316CE8" w:rsidRDefault="00316CE8" w:rsidP="00E80076">
      <w:pPr>
        <w:pStyle w:val="Heading4"/>
        <w:tabs>
          <w:tab w:val="right" w:pos="9360"/>
        </w:tabs>
        <w:spacing w:line="360" w:lineRule="auto"/>
        <w:jc w:val="both"/>
        <w:rPr>
          <w:rFonts w:cs="Arial"/>
          <w:b/>
          <w:sz w:val="24"/>
        </w:rPr>
      </w:pPr>
      <w:r>
        <w:rPr>
          <w:rFonts w:cs="Arial"/>
          <w:b/>
          <w:sz w:val="24"/>
        </w:rPr>
        <w:t xml:space="preserve">THOMSON MONOMONO                                                                      </w:t>
      </w:r>
      <w:r>
        <w:rPr>
          <w:rFonts w:cs="Arial"/>
          <w:b/>
          <w:sz w:val="24"/>
        </w:rPr>
        <w:tab/>
        <w:t>APPELLANT</w:t>
      </w:r>
    </w:p>
    <w:p w:rsidR="00316CE8" w:rsidRPr="00E14139" w:rsidRDefault="00316CE8" w:rsidP="00E80076">
      <w:pPr>
        <w:pStyle w:val="Heading4"/>
        <w:tabs>
          <w:tab w:val="right" w:pos="9000"/>
        </w:tabs>
        <w:spacing w:line="360" w:lineRule="auto"/>
        <w:jc w:val="both"/>
        <w:rPr>
          <w:rFonts w:cs="Arial"/>
          <w:b/>
          <w:sz w:val="24"/>
        </w:rPr>
      </w:pPr>
      <w:r w:rsidRPr="00D15D4C">
        <w:rPr>
          <w:rFonts w:cs="Arial"/>
          <w:b/>
          <w:sz w:val="24"/>
        </w:rPr>
        <w:tab/>
      </w:r>
    </w:p>
    <w:p w:rsidR="00316CE8" w:rsidRPr="00D15D4C" w:rsidRDefault="00316CE8" w:rsidP="00E80076">
      <w:pPr>
        <w:spacing w:after="0" w:line="360" w:lineRule="auto"/>
        <w:jc w:val="both"/>
        <w:rPr>
          <w:rFonts w:ascii="Arial" w:hAnsi="Arial" w:cs="Arial"/>
          <w:sz w:val="24"/>
          <w:szCs w:val="24"/>
          <w:lang w:val="en-GB"/>
        </w:rPr>
      </w:pPr>
      <w:r>
        <w:rPr>
          <w:rFonts w:ascii="Arial" w:hAnsi="Arial" w:cs="Arial"/>
          <w:sz w:val="24"/>
          <w:szCs w:val="24"/>
          <w:lang w:val="en-GB"/>
        </w:rPr>
        <w:t>And</w:t>
      </w:r>
    </w:p>
    <w:p w:rsidR="00316CE8" w:rsidRPr="00D15D4C" w:rsidRDefault="00316CE8" w:rsidP="00E80076">
      <w:pPr>
        <w:spacing w:after="0" w:line="360" w:lineRule="auto"/>
        <w:jc w:val="both"/>
        <w:rPr>
          <w:rFonts w:ascii="Arial" w:hAnsi="Arial" w:cs="Arial"/>
          <w:sz w:val="24"/>
          <w:szCs w:val="24"/>
          <w:lang w:val="en-GB"/>
        </w:rPr>
      </w:pPr>
    </w:p>
    <w:p w:rsidR="00316CE8" w:rsidRPr="00D15D4C" w:rsidRDefault="00316CE8" w:rsidP="00E80076">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THE STATE</w:t>
      </w:r>
      <w:r>
        <w:rPr>
          <w:rFonts w:ascii="Arial" w:hAnsi="Arial" w:cs="Arial"/>
          <w:b/>
          <w:sz w:val="24"/>
          <w:szCs w:val="24"/>
          <w:lang w:val="en-GB"/>
        </w:rPr>
        <w:tab/>
        <w:t>RESPONDENT</w:t>
      </w:r>
    </w:p>
    <w:p w:rsidR="00316CE8" w:rsidRPr="00D15D4C" w:rsidRDefault="00316CE8" w:rsidP="00E80076">
      <w:pPr>
        <w:spacing w:after="0" w:line="360" w:lineRule="auto"/>
        <w:jc w:val="both"/>
        <w:rPr>
          <w:rFonts w:ascii="Arial" w:hAnsi="Arial" w:cs="Arial"/>
          <w:sz w:val="24"/>
          <w:szCs w:val="24"/>
          <w:lang w:val="en-GB"/>
        </w:rPr>
      </w:pPr>
    </w:p>
    <w:p w:rsidR="00316CE8" w:rsidRPr="00D15D4C" w:rsidRDefault="00316CE8" w:rsidP="00E80076">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 xml:space="preserve">Neutral citation: </w:t>
      </w:r>
      <w:r w:rsidRPr="00D15D4C">
        <w:rPr>
          <w:rFonts w:ascii="Arial" w:hAnsi="Arial" w:cs="Arial"/>
          <w:i/>
          <w:sz w:val="24"/>
          <w:szCs w:val="24"/>
          <w:lang w:val="en-GB"/>
        </w:rPr>
        <w:t xml:space="preserve"> </w:t>
      </w:r>
      <w:bookmarkStart w:id="0" w:name="_GoBack"/>
      <w:proofErr w:type="spellStart"/>
      <w:r w:rsidR="00B7656E">
        <w:rPr>
          <w:rFonts w:ascii="Arial" w:hAnsi="Arial" w:cs="Arial"/>
          <w:i/>
          <w:sz w:val="24"/>
          <w:szCs w:val="24"/>
          <w:lang w:val="en-GB"/>
        </w:rPr>
        <w:t>Monomono</w:t>
      </w:r>
      <w:proofErr w:type="spellEnd"/>
      <w:r w:rsidR="00B7656E">
        <w:rPr>
          <w:rFonts w:ascii="Arial" w:hAnsi="Arial" w:cs="Arial"/>
          <w:i/>
          <w:sz w:val="24"/>
          <w:szCs w:val="24"/>
          <w:lang w:val="en-GB"/>
        </w:rPr>
        <w:t xml:space="preserve"> v S</w:t>
      </w:r>
      <w:r w:rsidRPr="00D15D4C">
        <w:rPr>
          <w:rFonts w:ascii="Arial" w:hAnsi="Arial" w:cs="Arial"/>
          <w:i/>
          <w:sz w:val="24"/>
          <w:szCs w:val="24"/>
          <w:lang w:val="en-GB"/>
        </w:rPr>
        <w:t xml:space="preserve"> </w:t>
      </w:r>
      <w:r w:rsidRPr="00D15D4C">
        <w:rPr>
          <w:rFonts w:ascii="Arial" w:hAnsi="Arial" w:cs="Arial"/>
          <w:sz w:val="24"/>
          <w:szCs w:val="24"/>
          <w:lang w:val="en-GB"/>
        </w:rPr>
        <w:t>(</w:t>
      </w:r>
      <w:r>
        <w:rPr>
          <w:rFonts w:ascii="Arial" w:hAnsi="Arial" w:cs="Arial"/>
          <w:sz w:val="24"/>
          <w:szCs w:val="24"/>
          <w:lang w:val="en-GB"/>
        </w:rPr>
        <w:t>CA 108-</w:t>
      </w:r>
      <w:r w:rsidRPr="00D15D4C">
        <w:rPr>
          <w:rFonts w:ascii="Arial" w:hAnsi="Arial" w:cs="Arial"/>
          <w:sz w:val="24"/>
          <w:szCs w:val="24"/>
          <w:lang w:val="en-GB"/>
        </w:rPr>
        <w:t>20</w:t>
      </w:r>
      <w:r>
        <w:rPr>
          <w:rFonts w:ascii="Arial" w:hAnsi="Arial" w:cs="Arial"/>
          <w:sz w:val="24"/>
          <w:szCs w:val="24"/>
          <w:lang w:val="en-GB"/>
        </w:rPr>
        <w:t>16</w:t>
      </w:r>
      <w:r w:rsidRPr="00D15D4C">
        <w:rPr>
          <w:rFonts w:ascii="Arial" w:hAnsi="Arial" w:cs="Arial"/>
          <w:sz w:val="24"/>
          <w:szCs w:val="24"/>
          <w:lang w:val="en-GB"/>
        </w:rPr>
        <w:t>) [20</w:t>
      </w:r>
      <w:r>
        <w:rPr>
          <w:rFonts w:ascii="Arial" w:hAnsi="Arial" w:cs="Arial"/>
          <w:sz w:val="24"/>
          <w:szCs w:val="24"/>
          <w:lang w:val="en-GB"/>
        </w:rPr>
        <w:t>17</w:t>
      </w:r>
      <w:r w:rsidRPr="00D15D4C">
        <w:rPr>
          <w:rFonts w:ascii="Arial" w:hAnsi="Arial" w:cs="Arial"/>
          <w:sz w:val="24"/>
          <w:szCs w:val="24"/>
          <w:lang w:val="en-GB"/>
        </w:rPr>
        <w:t>] NAHCM</w:t>
      </w:r>
      <w:r>
        <w:rPr>
          <w:rFonts w:ascii="Arial" w:hAnsi="Arial" w:cs="Arial"/>
          <w:sz w:val="24"/>
          <w:szCs w:val="24"/>
          <w:lang w:val="en-GB"/>
        </w:rPr>
        <w:t>D</w:t>
      </w:r>
      <w:r w:rsidR="00B7656E">
        <w:rPr>
          <w:rFonts w:ascii="Arial" w:hAnsi="Arial" w:cs="Arial"/>
          <w:sz w:val="24"/>
          <w:szCs w:val="24"/>
          <w:lang w:val="en-GB"/>
        </w:rPr>
        <w:t xml:space="preserve"> </w:t>
      </w:r>
      <w:r w:rsidR="0057743C">
        <w:rPr>
          <w:rFonts w:ascii="Arial" w:hAnsi="Arial" w:cs="Arial"/>
          <w:sz w:val="24"/>
          <w:szCs w:val="24"/>
          <w:lang w:val="en-GB"/>
        </w:rPr>
        <w:t>111</w:t>
      </w:r>
      <w:r>
        <w:rPr>
          <w:rFonts w:ascii="Arial" w:hAnsi="Arial" w:cs="Arial"/>
          <w:sz w:val="24"/>
          <w:szCs w:val="24"/>
          <w:lang w:val="en-GB"/>
        </w:rPr>
        <w:t xml:space="preserve"> (7 April </w:t>
      </w:r>
      <w:r w:rsidRPr="00D15D4C">
        <w:rPr>
          <w:rFonts w:ascii="Arial" w:hAnsi="Arial" w:cs="Arial"/>
          <w:sz w:val="24"/>
          <w:szCs w:val="24"/>
          <w:lang w:val="en-GB"/>
        </w:rPr>
        <w:t>201</w:t>
      </w:r>
      <w:r>
        <w:rPr>
          <w:rFonts w:ascii="Arial" w:hAnsi="Arial" w:cs="Arial"/>
          <w:sz w:val="24"/>
          <w:szCs w:val="24"/>
          <w:lang w:val="en-GB"/>
        </w:rPr>
        <w:t>7</w:t>
      </w:r>
      <w:r w:rsidRPr="00D15D4C">
        <w:rPr>
          <w:rFonts w:ascii="Arial" w:hAnsi="Arial" w:cs="Arial"/>
          <w:sz w:val="24"/>
          <w:szCs w:val="24"/>
          <w:lang w:val="en-GB"/>
        </w:rPr>
        <w:t>)</w:t>
      </w:r>
    </w:p>
    <w:bookmarkEnd w:id="0"/>
    <w:p w:rsidR="00316CE8" w:rsidRPr="00104E58" w:rsidRDefault="00316CE8" w:rsidP="00E80076">
      <w:pPr>
        <w:spacing w:after="0" w:line="360" w:lineRule="auto"/>
        <w:ind w:left="2160" w:hanging="2160"/>
        <w:jc w:val="both"/>
        <w:rPr>
          <w:rFonts w:ascii="Arial" w:hAnsi="Arial" w:cs="Arial"/>
          <w:b/>
          <w:sz w:val="24"/>
          <w:szCs w:val="24"/>
          <w:lang w:val="en-GB"/>
        </w:rPr>
      </w:pPr>
    </w:p>
    <w:p w:rsidR="00316CE8" w:rsidRPr="00104E58" w:rsidRDefault="00316CE8" w:rsidP="00E80076">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Coram:</w:t>
      </w:r>
      <w:r>
        <w:rPr>
          <w:rFonts w:ascii="Arial" w:hAnsi="Arial" w:cs="Arial"/>
          <w:b/>
          <w:sz w:val="24"/>
          <w:szCs w:val="24"/>
          <w:lang w:val="en-GB"/>
        </w:rPr>
        <w:tab/>
        <w:t>NDAUENDAPO</w:t>
      </w:r>
      <w:r w:rsidRPr="00104E58">
        <w:rPr>
          <w:rFonts w:ascii="Arial" w:hAnsi="Arial" w:cs="Arial"/>
          <w:b/>
          <w:sz w:val="24"/>
          <w:szCs w:val="24"/>
          <w:lang w:val="en-GB"/>
        </w:rPr>
        <w:t xml:space="preserve">, J </w:t>
      </w:r>
      <w:proofErr w:type="gramStart"/>
      <w:r>
        <w:rPr>
          <w:rFonts w:ascii="Arial" w:hAnsi="Arial" w:cs="Arial"/>
          <w:b/>
          <w:i/>
          <w:sz w:val="24"/>
          <w:szCs w:val="24"/>
          <w:lang w:val="en-GB"/>
        </w:rPr>
        <w:t>et</w:t>
      </w:r>
      <w:proofErr w:type="gramEnd"/>
      <w:r>
        <w:rPr>
          <w:rFonts w:ascii="Arial" w:hAnsi="Arial" w:cs="Arial"/>
          <w:b/>
          <w:sz w:val="24"/>
          <w:szCs w:val="24"/>
          <w:lang w:val="en-GB"/>
        </w:rPr>
        <w:t xml:space="preserve"> LIEBENBERG</w:t>
      </w:r>
      <w:r w:rsidRPr="00104E58">
        <w:rPr>
          <w:rFonts w:ascii="Arial" w:hAnsi="Arial" w:cs="Arial"/>
          <w:b/>
          <w:sz w:val="24"/>
          <w:szCs w:val="24"/>
          <w:lang w:val="en-GB"/>
        </w:rPr>
        <w:t>, J</w:t>
      </w:r>
    </w:p>
    <w:p w:rsidR="00316CE8" w:rsidRPr="00D15D4C" w:rsidRDefault="00316CE8" w:rsidP="009F1D6F">
      <w:pPr>
        <w:spacing w:after="0" w:line="360" w:lineRule="auto"/>
        <w:rPr>
          <w:rFonts w:ascii="Arial" w:hAnsi="Arial" w:cs="Arial"/>
          <w:b/>
          <w:sz w:val="24"/>
          <w:szCs w:val="24"/>
          <w:lang w:val="en-GB"/>
        </w:rPr>
      </w:pPr>
      <w:r w:rsidRPr="00104E58">
        <w:rPr>
          <w:rFonts w:ascii="Arial" w:hAnsi="Arial" w:cs="Arial"/>
          <w:b/>
          <w:bCs/>
          <w:sz w:val="24"/>
          <w:szCs w:val="24"/>
          <w:lang w:val="en-GB"/>
        </w:rPr>
        <w:t>Heard</w:t>
      </w:r>
      <w:r w:rsidRPr="00104E58">
        <w:rPr>
          <w:rFonts w:ascii="Arial" w:hAnsi="Arial" w:cs="Arial"/>
          <w:b/>
          <w:sz w:val="24"/>
          <w:szCs w:val="24"/>
          <w:lang w:val="en-GB"/>
        </w:rPr>
        <w:t>:</w:t>
      </w:r>
      <w:r w:rsidRPr="00104E58">
        <w:rPr>
          <w:rFonts w:ascii="Arial" w:hAnsi="Arial" w:cs="Arial"/>
          <w:b/>
          <w:sz w:val="24"/>
          <w:szCs w:val="24"/>
          <w:lang w:val="en-GB"/>
        </w:rPr>
        <w:tab/>
      </w:r>
      <w:r>
        <w:rPr>
          <w:rFonts w:ascii="Arial" w:hAnsi="Arial" w:cs="Arial"/>
          <w:b/>
          <w:sz w:val="24"/>
          <w:szCs w:val="24"/>
          <w:lang w:val="en-GB"/>
        </w:rPr>
        <w:t>14 December 2016</w:t>
      </w:r>
      <w:r w:rsidRPr="00D15D4C">
        <w:rPr>
          <w:rFonts w:ascii="Arial" w:hAnsi="Arial" w:cs="Arial"/>
          <w:b/>
          <w:sz w:val="24"/>
          <w:szCs w:val="24"/>
          <w:lang w:val="en-GB"/>
        </w:rPr>
        <w:tab/>
      </w:r>
    </w:p>
    <w:p w:rsidR="008470CB" w:rsidRDefault="00316CE8" w:rsidP="00E80076">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Pr>
          <w:rFonts w:ascii="Arial" w:hAnsi="Arial" w:cs="Arial"/>
          <w:b/>
          <w:sz w:val="24"/>
          <w:szCs w:val="24"/>
          <w:lang w:val="en-GB"/>
        </w:rPr>
        <w:t>7 April 2017</w:t>
      </w:r>
    </w:p>
    <w:p w:rsidR="008470CB" w:rsidRDefault="008470CB" w:rsidP="00E80076">
      <w:pPr>
        <w:spacing w:after="0" w:line="360" w:lineRule="auto"/>
        <w:jc w:val="both"/>
        <w:rPr>
          <w:rFonts w:ascii="Arial" w:hAnsi="Arial" w:cs="Arial"/>
          <w:bCs/>
          <w:sz w:val="24"/>
          <w:szCs w:val="24"/>
          <w:lang w:val="en-GB"/>
        </w:rPr>
      </w:pPr>
    </w:p>
    <w:p w:rsidR="008470CB" w:rsidRDefault="008470CB" w:rsidP="00E80076">
      <w:pPr>
        <w:spacing w:after="0" w:line="360" w:lineRule="auto"/>
        <w:jc w:val="both"/>
        <w:rPr>
          <w:rFonts w:ascii="Arial" w:hAnsi="Arial" w:cs="Arial"/>
          <w:bCs/>
          <w:sz w:val="24"/>
          <w:szCs w:val="24"/>
          <w:lang w:val="en-GB"/>
        </w:rPr>
      </w:pPr>
      <w:proofErr w:type="spellStart"/>
      <w:r w:rsidRPr="009F1D6F">
        <w:rPr>
          <w:rFonts w:ascii="Arial" w:hAnsi="Arial" w:cs="Arial"/>
          <w:b/>
          <w:bCs/>
          <w:sz w:val="24"/>
          <w:szCs w:val="24"/>
          <w:lang w:val="en-GB"/>
        </w:rPr>
        <w:t>Flynote</w:t>
      </w:r>
      <w:proofErr w:type="spellEnd"/>
      <w:r w:rsidRPr="009F1D6F">
        <w:rPr>
          <w:rFonts w:ascii="Arial" w:hAnsi="Arial" w:cs="Arial"/>
          <w:b/>
          <w:bCs/>
          <w:sz w:val="24"/>
          <w:szCs w:val="24"/>
          <w:lang w:val="en-GB"/>
        </w:rPr>
        <w:t>:</w:t>
      </w:r>
      <w:r>
        <w:rPr>
          <w:rFonts w:ascii="Arial" w:hAnsi="Arial" w:cs="Arial"/>
          <w:bCs/>
          <w:sz w:val="24"/>
          <w:szCs w:val="24"/>
          <w:lang w:val="en-GB"/>
        </w:rPr>
        <w:tab/>
        <w:t>Rules of the Court – Notice of set down directed that appellant file his heads of argument six days before the hearing –</w:t>
      </w:r>
      <w:r w:rsidR="009F1D6F">
        <w:rPr>
          <w:rFonts w:ascii="Arial" w:hAnsi="Arial" w:cs="Arial"/>
          <w:bCs/>
          <w:sz w:val="24"/>
          <w:szCs w:val="24"/>
          <w:lang w:val="en-GB"/>
        </w:rPr>
        <w:t xml:space="preserve"> A</w:t>
      </w:r>
      <w:r>
        <w:rPr>
          <w:rFonts w:ascii="Arial" w:hAnsi="Arial" w:cs="Arial"/>
          <w:bCs/>
          <w:sz w:val="24"/>
          <w:szCs w:val="24"/>
          <w:lang w:val="en-GB"/>
        </w:rPr>
        <w:t>ppellant file</w:t>
      </w:r>
      <w:r w:rsidR="009F1D6F">
        <w:rPr>
          <w:rFonts w:ascii="Arial" w:hAnsi="Arial" w:cs="Arial"/>
          <w:bCs/>
          <w:sz w:val="24"/>
          <w:szCs w:val="24"/>
          <w:lang w:val="en-GB"/>
        </w:rPr>
        <w:t>d</w:t>
      </w:r>
      <w:r>
        <w:rPr>
          <w:rFonts w:ascii="Arial" w:hAnsi="Arial" w:cs="Arial"/>
          <w:bCs/>
          <w:sz w:val="24"/>
          <w:szCs w:val="24"/>
          <w:lang w:val="en-GB"/>
        </w:rPr>
        <w:t xml:space="preserve"> his heads only two days before the hearing – Appellant filed an application for condonation for the late filing - Respondent does not oppose the application for condonation – No prejudice to the respondent – Satisfactory explanation for the failure to file the heads on time – The late filing is condoned.</w:t>
      </w:r>
    </w:p>
    <w:p w:rsidR="00B7656E" w:rsidRDefault="00B7656E" w:rsidP="00E80076">
      <w:pPr>
        <w:spacing w:after="0" w:line="360" w:lineRule="auto"/>
        <w:jc w:val="both"/>
        <w:rPr>
          <w:rFonts w:ascii="Arial" w:hAnsi="Arial" w:cs="Arial"/>
          <w:bCs/>
          <w:sz w:val="24"/>
          <w:szCs w:val="24"/>
          <w:lang w:val="en-GB"/>
        </w:rPr>
      </w:pPr>
    </w:p>
    <w:p w:rsidR="003111D4" w:rsidRDefault="008470CB" w:rsidP="00E80076">
      <w:pPr>
        <w:spacing w:after="0" w:line="360" w:lineRule="auto"/>
        <w:jc w:val="both"/>
        <w:rPr>
          <w:rFonts w:ascii="Arial" w:hAnsi="Arial" w:cs="Arial"/>
          <w:bCs/>
          <w:sz w:val="24"/>
          <w:szCs w:val="24"/>
          <w:lang w:val="en-GB"/>
        </w:rPr>
      </w:pPr>
      <w:r w:rsidRPr="00B7656E">
        <w:rPr>
          <w:rFonts w:ascii="Arial" w:hAnsi="Arial" w:cs="Arial"/>
          <w:b/>
          <w:bCs/>
          <w:sz w:val="24"/>
          <w:szCs w:val="24"/>
          <w:lang w:val="en-GB"/>
        </w:rPr>
        <w:t>Criminal Procedure</w:t>
      </w:r>
      <w:r w:rsidR="003111D4">
        <w:rPr>
          <w:rFonts w:ascii="Arial" w:hAnsi="Arial" w:cs="Arial"/>
          <w:bCs/>
          <w:sz w:val="24"/>
          <w:szCs w:val="24"/>
          <w:lang w:val="en-GB"/>
        </w:rPr>
        <w:t xml:space="preserve">: Appeal against conviction and sentence – Appellant convicted of inserting his finger into the vagina of an eight year old </w:t>
      </w:r>
      <w:r w:rsidR="009F1D6F">
        <w:rPr>
          <w:rFonts w:ascii="Arial" w:hAnsi="Arial" w:cs="Arial"/>
          <w:bCs/>
          <w:sz w:val="24"/>
          <w:szCs w:val="24"/>
          <w:lang w:val="en-GB"/>
        </w:rPr>
        <w:t>complainant</w:t>
      </w:r>
      <w:r w:rsidR="003111D4">
        <w:rPr>
          <w:rFonts w:ascii="Arial" w:hAnsi="Arial" w:cs="Arial"/>
          <w:bCs/>
          <w:sz w:val="24"/>
          <w:szCs w:val="24"/>
          <w:lang w:val="en-GB"/>
        </w:rPr>
        <w:t xml:space="preserve"> when he was more </w:t>
      </w:r>
      <w:r w:rsidR="003111D4">
        <w:rPr>
          <w:rFonts w:ascii="Arial" w:hAnsi="Arial" w:cs="Arial"/>
          <w:bCs/>
          <w:sz w:val="24"/>
          <w:szCs w:val="24"/>
          <w:lang w:val="en-GB"/>
        </w:rPr>
        <w:lastRenderedPageBreak/>
        <w:t xml:space="preserve">than three years older than the complainant – The complainant was asleep and woke up to the feeling of </w:t>
      </w:r>
      <w:r w:rsidR="00F64487">
        <w:rPr>
          <w:rFonts w:ascii="Arial" w:hAnsi="Arial" w:cs="Arial"/>
          <w:bCs/>
          <w:sz w:val="24"/>
          <w:szCs w:val="24"/>
          <w:lang w:val="en-GB"/>
        </w:rPr>
        <w:t xml:space="preserve">the appellant’s finger moving in her vagina – Appellant </w:t>
      </w:r>
      <w:r w:rsidR="009F1D6F">
        <w:rPr>
          <w:rFonts w:ascii="Arial" w:hAnsi="Arial" w:cs="Arial"/>
          <w:bCs/>
          <w:sz w:val="24"/>
          <w:szCs w:val="24"/>
          <w:lang w:val="en-GB"/>
        </w:rPr>
        <w:t>kissed complainant</w:t>
      </w:r>
      <w:r w:rsidR="00F64487">
        <w:rPr>
          <w:rFonts w:ascii="Arial" w:hAnsi="Arial" w:cs="Arial"/>
          <w:bCs/>
          <w:sz w:val="24"/>
          <w:szCs w:val="24"/>
          <w:lang w:val="en-GB"/>
        </w:rPr>
        <w:t xml:space="preserve"> to prevent her from calling for help – Minor bruise found by doctor on the complainant’s genital organs – The bruise constituted redness of the para-urethral fort and was still visible after 72 hours since the incident – Penetration although slight </w:t>
      </w:r>
      <w:r w:rsidR="009F1D6F">
        <w:rPr>
          <w:rFonts w:ascii="Arial" w:hAnsi="Arial" w:cs="Arial"/>
          <w:bCs/>
          <w:sz w:val="24"/>
          <w:szCs w:val="24"/>
          <w:lang w:val="en-GB"/>
        </w:rPr>
        <w:t xml:space="preserve">was </w:t>
      </w:r>
      <w:r w:rsidR="00F64487">
        <w:rPr>
          <w:rFonts w:ascii="Arial" w:hAnsi="Arial" w:cs="Arial"/>
          <w:bCs/>
          <w:sz w:val="24"/>
          <w:szCs w:val="24"/>
          <w:lang w:val="en-GB"/>
        </w:rPr>
        <w:t>proven beyond a reasonable doubt – Appeal dismissed.</w:t>
      </w:r>
    </w:p>
    <w:p w:rsidR="009F1D6F" w:rsidRDefault="009F1D6F" w:rsidP="00E80076">
      <w:pPr>
        <w:spacing w:after="0" w:line="360" w:lineRule="auto"/>
        <w:jc w:val="both"/>
        <w:rPr>
          <w:rFonts w:ascii="Arial" w:hAnsi="Arial" w:cs="Arial"/>
          <w:bCs/>
          <w:sz w:val="24"/>
          <w:szCs w:val="24"/>
          <w:lang w:val="en-GB"/>
        </w:rPr>
      </w:pPr>
    </w:p>
    <w:p w:rsidR="008470CB" w:rsidRDefault="003111D4" w:rsidP="00E80076">
      <w:pPr>
        <w:spacing w:after="0" w:line="360" w:lineRule="auto"/>
        <w:jc w:val="both"/>
        <w:rPr>
          <w:rFonts w:ascii="Arial" w:hAnsi="Arial" w:cs="Arial"/>
          <w:bCs/>
          <w:sz w:val="24"/>
          <w:szCs w:val="24"/>
          <w:lang w:val="en-GB"/>
        </w:rPr>
      </w:pPr>
      <w:r w:rsidRPr="009F1D6F">
        <w:rPr>
          <w:rFonts w:ascii="Arial" w:hAnsi="Arial" w:cs="Arial"/>
          <w:b/>
          <w:bCs/>
          <w:sz w:val="24"/>
          <w:szCs w:val="24"/>
          <w:lang w:val="en-GB"/>
        </w:rPr>
        <w:t>Summary:</w:t>
      </w:r>
      <w:r>
        <w:rPr>
          <w:rFonts w:ascii="Arial" w:hAnsi="Arial" w:cs="Arial"/>
          <w:bCs/>
          <w:sz w:val="24"/>
          <w:szCs w:val="24"/>
          <w:lang w:val="en-GB"/>
        </w:rPr>
        <w:tab/>
      </w:r>
      <w:r w:rsidR="008470CB">
        <w:rPr>
          <w:rFonts w:ascii="Arial" w:hAnsi="Arial" w:cs="Arial"/>
          <w:bCs/>
          <w:sz w:val="24"/>
          <w:szCs w:val="24"/>
          <w:lang w:val="en-GB"/>
        </w:rPr>
        <w:t>Appellant was convicted of rape in the Regional court</w:t>
      </w:r>
      <w:r>
        <w:rPr>
          <w:rFonts w:ascii="Arial" w:hAnsi="Arial" w:cs="Arial"/>
          <w:bCs/>
          <w:sz w:val="24"/>
          <w:szCs w:val="24"/>
          <w:lang w:val="en-GB"/>
        </w:rPr>
        <w:t xml:space="preserve">. </w:t>
      </w:r>
      <w:r w:rsidR="008470CB">
        <w:rPr>
          <w:rFonts w:ascii="Arial" w:hAnsi="Arial" w:cs="Arial"/>
          <w:bCs/>
          <w:sz w:val="24"/>
          <w:szCs w:val="24"/>
          <w:lang w:val="en-GB"/>
        </w:rPr>
        <w:t>He was sentenc</w:t>
      </w:r>
      <w:r w:rsidR="009F1D6F">
        <w:rPr>
          <w:rFonts w:ascii="Arial" w:hAnsi="Arial" w:cs="Arial"/>
          <w:bCs/>
          <w:sz w:val="24"/>
          <w:szCs w:val="24"/>
          <w:lang w:val="en-GB"/>
        </w:rPr>
        <w:t>ed to 15 years of which five y</w:t>
      </w:r>
      <w:r w:rsidR="008470CB">
        <w:rPr>
          <w:rFonts w:ascii="Arial" w:hAnsi="Arial" w:cs="Arial"/>
          <w:bCs/>
          <w:sz w:val="24"/>
          <w:szCs w:val="24"/>
          <w:lang w:val="en-GB"/>
        </w:rPr>
        <w:t>ears were conditionally suspended for five years</w:t>
      </w:r>
      <w:r>
        <w:rPr>
          <w:rFonts w:ascii="Arial" w:hAnsi="Arial" w:cs="Arial"/>
          <w:bCs/>
          <w:sz w:val="24"/>
          <w:szCs w:val="24"/>
          <w:lang w:val="en-GB"/>
        </w:rPr>
        <w:t xml:space="preserve">. The appellant alleges that the respondent had not proven penetration beyond a reasonable doubt and that he was not guilty of rape, but of indecent assault and that his sentence should not therefore be that </w:t>
      </w:r>
      <w:r w:rsidR="009F1D6F">
        <w:rPr>
          <w:rFonts w:ascii="Arial" w:hAnsi="Arial" w:cs="Arial"/>
          <w:bCs/>
          <w:sz w:val="24"/>
          <w:szCs w:val="24"/>
          <w:lang w:val="en-GB"/>
        </w:rPr>
        <w:t xml:space="preserve">which is </w:t>
      </w:r>
      <w:r>
        <w:rPr>
          <w:rFonts w:ascii="Arial" w:hAnsi="Arial" w:cs="Arial"/>
          <w:bCs/>
          <w:sz w:val="24"/>
          <w:szCs w:val="24"/>
          <w:lang w:val="en-GB"/>
        </w:rPr>
        <w:t xml:space="preserve">prescribed </w:t>
      </w:r>
      <w:r w:rsidR="000F679F">
        <w:rPr>
          <w:rFonts w:ascii="Arial" w:hAnsi="Arial" w:cs="Arial"/>
          <w:bCs/>
          <w:sz w:val="24"/>
          <w:szCs w:val="24"/>
          <w:lang w:val="en-GB"/>
        </w:rPr>
        <w:t xml:space="preserve">by </w:t>
      </w:r>
      <w:r>
        <w:rPr>
          <w:rFonts w:ascii="Arial" w:hAnsi="Arial" w:cs="Arial"/>
          <w:bCs/>
          <w:sz w:val="24"/>
          <w:szCs w:val="24"/>
          <w:lang w:val="en-GB"/>
        </w:rPr>
        <w:t xml:space="preserve">the Combating of Rape act 8 of 2000. </w:t>
      </w:r>
    </w:p>
    <w:p w:rsidR="003111D4" w:rsidRDefault="003111D4"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 xml:space="preserve">that the labia </w:t>
      </w:r>
      <w:proofErr w:type="spellStart"/>
      <w:r>
        <w:rPr>
          <w:rFonts w:ascii="Arial" w:hAnsi="Arial" w:cs="Arial"/>
          <w:bCs/>
          <w:sz w:val="24"/>
          <w:szCs w:val="24"/>
          <w:lang w:val="en-GB"/>
        </w:rPr>
        <w:t>minora</w:t>
      </w:r>
      <w:proofErr w:type="spellEnd"/>
      <w:r>
        <w:rPr>
          <w:rFonts w:ascii="Arial" w:hAnsi="Arial" w:cs="Arial"/>
          <w:bCs/>
          <w:sz w:val="24"/>
          <w:szCs w:val="24"/>
          <w:lang w:val="en-GB"/>
        </w:rPr>
        <w:t xml:space="preserve">, labia </w:t>
      </w:r>
      <w:proofErr w:type="spellStart"/>
      <w:r>
        <w:rPr>
          <w:rFonts w:ascii="Arial" w:hAnsi="Arial" w:cs="Arial"/>
          <w:bCs/>
          <w:sz w:val="24"/>
          <w:szCs w:val="24"/>
          <w:lang w:val="en-GB"/>
        </w:rPr>
        <w:t>mijora</w:t>
      </w:r>
      <w:proofErr w:type="spellEnd"/>
      <w:r>
        <w:rPr>
          <w:rFonts w:ascii="Arial" w:hAnsi="Arial" w:cs="Arial"/>
          <w:bCs/>
          <w:sz w:val="24"/>
          <w:szCs w:val="24"/>
          <w:lang w:val="en-GB"/>
        </w:rPr>
        <w:t xml:space="preserve"> and the para-urethral fort all form part of the complainant’s genital organs and therefore satisfy the definition</w:t>
      </w:r>
      <w:r w:rsidR="000F679F">
        <w:rPr>
          <w:rFonts w:ascii="Arial" w:hAnsi="Arial" w:cs="Arial"/>
          <w:bCs/>
          <w:sz w:val="24"/>
          <w:szCs w:val="24"/>
          <w:lang w:val="en-GB"/>
        </w:rPr>
        <w:t xml:space="preserve"> of vagina in the Combating of R</w:t>
      </w:r>
      <w:r>
        <w:rPr>
          <w:rFonts w:ascii="Arial" w:hAnsi="Arial" w:cs="Arial"/>
          <w:bCs/>
          <w:sz w:val="24"/>
          <w:szCs w:val="24"/>
          <w:lang w:val="en-GB"/>
        </w:rPr>
        <w:t>ape Act, 8 of 2000;</w:t>
      </w:r>
    </w:p>
    <w:p w:rsidR="003111D4" w:rsidRDefault="003111D4"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that the redness on the para-urethral fort of the complainant’s genital organs was caused by the movements the</w:t>
      </w:r>
      <w:r w:rsidR="009F1D6F">
        <w:rPr>
          <w:rFonts w:ascii="Arial" w:hAnsi="Arial" w:cs="Arial"/>
          <w:bCs/>
          <w:sz w:val="24"/>
          <w:szCs w:val="24"/>
          <w:lang w:val="en-GB"/>
        </w:rPr>
        <w:t xml:space="preserve"> appellant made with his finger</w:t>
      </w:r>
      <w:r>
        <w:rPr>
          <w:rFonts w:ascii="Arial" w:hAnsi="Arial" w:cs="Arial"/>
          <w:bCs/>
          <w:sz w:val="24"/>
          <w:szCs w:val="24"/>
          <w:lang w:val="en-GB"/>
        </w:rPr>
        <w:t xml:space="preserve"> when he inserted </w:t>
      </w:r>
      <w:r w:rsidR="009F1D6F">
        <w:rPr>
          <w:rFonts w:ascii="Arial" w:hAnsi="Arial" w:cs="Arial"/>
          <w:bCs/>
          <w:sz w:val="24"/>
          <w:szCs w:val="24"/>
          <w:lang w:val="en-GB"/>
        </w:rPr>
        <w:t xml:space="preserve">it </w:t>
      </w:r>
      <w:r>
        <w:rPr>
          <w:rFonts w:ascii="Arial" w:hAnsi="Arial" w:cs="Arial"/>
          <w:bCs/>
          <w:sz w:val="24"/>
          <w:szCs w:val="24"/>
          <w:lang w:val="en-GB"/>
        </w:rPr>
        <w:t>into the complainant’s genital organs;</w:t>
      </w:r>
    </w:p>
    <w:p w:rsidR="003111D4" w:rsidRDefault="003111D4"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 xml:space="preserve">that the respondent proved slight penetration into the complainant’s vagina </w:t>
      </w:r>
      <w:r w:rsidR="000F679F">
        <w:rPr>
          <w:rFonts w:ascii="Arial" w:hAnsi="Arial" w:cs="Arial"/>
          <w:bCs/>
          <w:sz w:val="24"/>
          <w:szCs w:val="24"/>
          <w:lang w:val="en-GB"/>
        </w:rPr>
        <w:t>as defined by the Combating of Rape A</w:t>
      </w:r>
      <w:r>
        <w:rPr>
          <w:rFonts w:ascii="Arial" w:hAnsi="Arial" w:cs="Arial"/>
          <w:bCs/>
          <w:sz w:val="24"/>
          <w:szCs w:val="24"/>
          <w:lang w:val="en-GB"/>
        </w:rPr>
        <w:t>ct, 8 of 2000 beyond a reasonable doubt.</w:t>
      </w:r>
    </w:p>
    <w:p w:rsidR="003111D4" w:rsidRDefault="003111D4"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that the appeal against the conviction and the</w:t>
      </w:r>
      <w:r w:rsidR="009F1D6F">
        <w:rPr>
          <w:rFonts w:ascii="Arial" w:hAnsi="Arial" w:cs="Arial"/>
          <w:bCs/>
          <w:sz w:val="24"/>
          <w:szCs w:val="24"/>
          <w:lang w:val="en-GB"/>
        </w:rPr>
        <w:t xml:space="preserve"> sentence must be dismissed</w:t>
      </w:r>
      <w:r>
        <w:rPr>
          <w:rFonts w:ascii="Arial" w:hAnsi="Arial" w:cs="Arial"/>
          <w:bCs/>
          <w:sz w:val="24"/>
          <w:szCs w:val="24"/>
          <w:lang w:val="en-GB"/>
        </w:rPr>
        <w:t>.</w:t>
      </w:r>
    </w:p>
    <w:p w:rsidR="009F1D6F" w:rsidRDefault="009F1D6F" w:rsidP="00E80076">
      <w:pPr>
        <w:spacing w:after="0" w:line="360" w:lineRule="auto"/>
        <w:jc w:val="both"/>
        <w:rPr>
          <w:rFonts w:ascii="Arial" w:hAnsi="Arial" w:cs="Arial"/>
          <w:bCs/>
          <w:sz w:val="24"/>
          <w:szCs w:val="24"/>
          <w:lang w:val="en-GB"/>
        </w:rPr>
      </w:pPr>
    </w:p>
    <w:p w:rsidR="00316CE8" w:rsidRPr="003111D4" w:rsidRDefault="00852BD2" w:rsidP="00E8007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5" style="width:0;height:1.5pt" o:hralign="center" o:hrstd="t" o:hr="t" fillcolor="#a0a0a0" stroked="f"/>
        </w:pict>
      </w:r>
    </w:p>
    <w:p w:rsidR="00316CE8" w:rsidRPr="00D15D4C" w:rsidRDefault="00316CE8" w:rsidP="00E8007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316CE8" w:rsidRDefault="00852BD2" w:rsidP="00E8007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16CE8" w:rsidRDefault="00316CE8" w:rsidP="00E80076">
      <w:pPr>
        <w:spacing w:after="0" w:line="360" w:lineRule="auto"/>
        <w:jc w:val="both"/>
        <w:rPr>
          <w:rFonts w:ascii="Arial" w:hAnsi="Arial" w:cs="Arial"/>
          <w:b/>
          <w:sz w:val="24"/>
          <w:szCs w:val="24"/>
          <w:lang w:val="en-GB"/>
        </w:rPr>
      </w:pPr>
    </w:p>
    <w:p w:rsidR="00316CE8" w:rsidRPr="007D2730" w:rsidRDefault="00F64487" w:rsidP="00E80076">
      <w:pPr>
        <w:spacing w:after="0" w:line="360" w:lineRule="auto"/>
        <w:jc w:val="both"/>
        <w:rPr>
          <w:rFonts w:ascii="Arial" w:hAnsi="Arial" w:cs="Arial"/>
          <w:b/>
          <w:sz w:val="24"/>
          <w:szCs w:val="24"/>
          <w:lang w:val="en-GB"/>
        </w:rPr>
      </w:pPr>
      <w:r>
        <w:rPr>
          <w:rFonts w:ascii="Arial" w:hAnsi="Arial" w:cs="Arial"/>
          <w:sz w:val="24"/>
          <w:szCs w:val="24"/>
          <w:lang w:val="en-GB"/>
        </w:rPr>
        <w:t>In the result, the appeal is dismissed.</w:t>
      </w:r>
      <w:r w:rsidR="00852BD2">
        <w:rPr>
          <w:rFonts w:ascii="Arial" w:hAnsi="Arial" w:cs="Arial"/>
          <w:bCs/>
          <w:sz w:val="24"/>
          <w:szCs w:val="24"/>
          <w:lang w:val="en-GB"/>
        </w:rPr>
        <w:pict>
          <v:rect id="_x0000_i1027" style="width:0;height:1.5pt" o:hralign="center" o:hrstd="t" o:hr="t" fillcolor="#a0a0a0" stroked="f"/>
        </w:pict>
      </w:r>
    </w:p>
    <w:p w:rsidR="00316CE8" w:rsidRPr="00D15D4C" w:rsidRDefault="00316CE8" w:rsidP="00E80076">
      <w:pPr>
        <w:spacing w:after="0" w:line="360" w:lineRule="auto"/>
        <w:jc w:val="center"/>
        <w:rPr>
          <w:rFonts w:ascii="Arial" w:hAnsi="Arial" w:cs="Arial"/>
          <w:b/>
          <w:sz w:val="24"/>
          <w:szCs w:val="24"/>
          <w:lang w:val="en-GB"/>
        </w:rPr>
      </w:pPr>
      <w:r>
        <w:rPr>
          <w:rFonts w:ascii="Arial" w:hAnsi="Arial" w:cs="Arial"/>
          <w:b/>
          <w:sz w:val="24"/>
          <w:szCs w:val="24"/>
          <w:lang w:val="en-GB"/>
        </w:rPr>
        <w:t>APPEAL JUDGMENT</w:t>
      </w:r>
    </w:p>
    <w:p w:rsidR="00316CE8" w:rsidRPr="00D15D4C" w:rsidRDefault="00852BD2" w:rsidP="00E8007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16CE8" w:rsidRPr="00D15D4C" w:rsidRDefault="00316CE8" w:rsidP="00E80076">
      <w:pPr>
        <w:spacing w:after="0" w:line="360" w:lineRule="auto"/>
        <w:jc w:val="both"/>
        <w:rPr>
          <w:rFonts w:ascii="Arial" w:hAnsi="Arial" w:cs="Arial"/>
          <w:b/>
          <w:i/>
          <w:sz w:val="24"/>
          <w:szCs w:val="24"/>
          <w:lang w:val="en-GB"/>
        </w:rPr>
      </w:pPr>
      <w:r>
        <w:rPr>
          <w:rFonts w:ascii="Arial" w:hAnsi="Arial" w:cs="Arial"/>
          <w:b/>
          <w:sz w:val="24"/>
          <w:szCs w:val="24"/>
          <w:lang w:val="en-GB"/>
        </w:rPr>
        <w:t>NDAUENDAPO,</w:t>
      </w:r>
      <w:r w:rsidRPr="00D15D4C">
        <w:rPr>
          <w:rFonts w:ascii="Arial" w:hAnsi="Arial" w:cs="Arial"/>
          <w:b/>
          <w:sz w:val="24"/>
          <w:szCs w:val="24"/>
          <w:lang w:val="en-GB"/>
        </w:rPr>
        <w:t xml:space="preserve"> J</w:t>
      </w:r>
      <w:r>
        <w:rPr>
          <w:rFonts w:ascii="Arial" w:hAnsi="Arial" w:cs="Arial"/>
          <w:b/>
          <w:sz w:val="24"/>
          <w:szCs w:val="24"/>
          <w:lang w:val="en-GB"/>
        </w:rPr>
        <w:t xml:space="preserve"> (LIEBENBERG, J concurring):</w:t>
      </w:r>
    </w:p>
    <w:p w:rsidR="00DF67C7" w:rsidRDefault="00DF67C7" w:rsidP="00E80076">
      <w:pPr>
        <w:spacing w:line="360" w:lineRule="auto"/>
        <w:rPr>
          <w:rFonts w:ascii="Arial" w:hAnsi="Arial" w:cs="Arial"/>
          <w:sz w:val="24"/>
          <w:szCs w:val="24"/>
        </w:rPr>
      </w:pPr>
    </w:p>
    <w:p w:rsidR="00B71514" w:rsidRPr="00B71514" w:rsidRDefault="00B71514" w:rsidP="00E80076">
      <w:pPr>
        <w:spacing w:line="360" w:lineRule="auto"/>
        <w:rPr>
          <w:rFonts w:ascii="Arial" w:hAnsi="Arial" w:cs="Arial"/>
          <w:sz w:val="24"/>
          <w:szCs w:val="24"/>
          <w:u w:val="single"/>
        </w:rPr>
      </w:pPr>
      <w:r w:rsidRPr="00B71514">
        <w:rPr>
          <w:rFonts w:ascii="Arial" w:hAnsi="Arial" w:cs="Arial"/>
          <w:sz w:val="24"/>
          <w:szCs w:val="24"/>
          <w:u w:val="single"/>
        </w:rPr>
        <w:t>Introduction</w:t>
      </w:r>
    </w:p>
    <w:p w:rsidR="00F03596" w:rsidRDefault="00F03596" w:rsidP="00E8007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appeal hails from the Regional Court sitting at Reh</w:t>
      </w:r>
      <w:r w:rsidR="005B1773">
        <w:rPr>
          <w:rFonts w:ascii="Arial" w:hAnsi="Arial" w:cs="Arial"/>
          <w:sz w:val="24"/>
          <w:szCs w:val="24"/>
        </w:rPr>
        <w:t>oboth where the appellant was charged with the following offences</w:t>
      </w:r>
      <w:r>
        <w:rPr>
          <w:rFonts w:ascii="Arial" w:hAnsi="Arial" w:cs="Arial"/>
          <w:sz w:val="24"/>
          <w:szCs w:val="24"/>
        </w:rPr>
        <w:t>:</w:t>
      </w:r>
    </w:p>
    <w:p w:rsidR="00F03596" w:rsidRDefault="00F03596" w:rsidP="00E80076">
      <w:pPr>
        <w:spacing w:line="360" w:lineRule="auto"/>
        <w:ind w:firstLine="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Contravention of s 2(1)(a) read with </w:t>
      </w:r>
      <w:proofErr w:type="spellStart"/>
      <w:r>
        <w:rPr>
          <w:rFonts w:ascii="Arial" w:hAnsi="Arial" w:cs="Arial"/>
          <w:sz w:val="24"/>
          <w:szCs w:val="24"/>
        </w:rPr>
        <w:t>ss</w:t>
      </w:r>
      <w:proofErr w:type="spellEnd"/>
      <w:r>
        <w:rPr>
          <w:rFonts w:ascii="Arial" w:hAnsi="Arial" w:cs="Arial"/>
          <w:sz w:val="24"/>
          <w:szCs w:val="24"/>
        </w:rPr>
        <w:t xml:space="preserve"> 1, 2(2), 2(3), 3, 4, 5, 6 and 7 of the Combating of Rape Act</w:t>
      </w:r>
      <w:r>
        <w:rPr>
          <w:rStyle w:val="FootnoteReference"/>
          <w:rFonts w:ascii="Arial" w:hAnsi="Arial" w:cs="Arial"/>
          <w:sz w:val="24"/>
          <w:szCs w:val="24"/>
        </w:rPr>
        <w:footnoteReference w:id="1"/>
      </w:r>
      <w:r>
        <w:rPr>
          <w:rFonts w:ascii="Arial" w:hAnsi="Arial" w:cs="Arial"/>
          <w:sz w:val="24"/>
          <w:szCs w:val="24"/>
        </w:rPr>
        <w:t>;</w:t>
      </w:r>
    </w:p>
    <w:p w:rsidR="005B1773" w:rsidRDefault="005B1773" w:rsidP="00E80076">
      <w:pPr>
        <w:spacing w:line="360" w:lineRule="auto"/>
        <w:ind w:firstLine="720"/>
        <w:jc w:val="both"/>
        <w:rPr>
          <w:rFonts w:ascii="Arial" w:hAnsi="Arial" w:cs="Arial"/>
          <w:sz w:val="24"/>
          <w:szCs w:val="24"/>
        </w:rPr>
      </w:pPr>
      <w:r>
        <w:rPr>
          <w:rFonts w:ascii="Arial" w:hAnsi="Arial" w:cs="Arial"/>
          <w:sz w:val="24"/>
          <w:szCs w:val="24"/>
        </w:rPr>
        <w:t>1.2</w:t>
      </w:r>
      <w:r>
        <w:rPr>
          <w:rFonts w:ascii="Arial" w:hAnsi="Arial" w:cs="Arial"/>
          <w:sz w:val="24"/>
          <w:szCs w:val="24"/>
        </w:rPr>
        <w:tab/>
        <w:t>Indecent Assault.</w:t>
      </w:r>
    </w:p>
    <w:p w:rsidR="00F03596" w:rsidRDefault="005B1773" w:rsidP="00E80076">
      <w:pPr>
        <w:spacing w:line="360" w:lineRule="auto"/>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t>The appellant who was represented during the proceedings in the trial court pleaded not guilty to both charges. He was subsequently convicted on the charge of statutory rape and acquitted on the charge of indecent assault. The trial court found there to be substantial and compelling circumstances which justified a deviation from the prescribed minimum sentence of fifteen years and sentenced the appellant to fifteen years of which five years were</w:t>
      </w:r>
      <w:r w:rsidR="009F1D6F">
        <w:rPr>
          <w:rFonts w:ascii="Arial" w:hAnsi="Arial" w:cs="Arial"/>
          <w:sz w:val="24"/>
          <w:szCs w:val="24"/>
        </w:rPr>
        <w:t xml:space="preserve"> conditionally</w:t>
      </w:r>
      <w:r>
        <w:rPr>
          <w:rFonts w:ascii="Arial" w:hAnsi="Arial" w:cs="Arial"/>
          <w:sz w:val="24"/>
          <w:szCs w:val="24"/>
        </w:rPr>
        <w:t xml:space="preserve"> suspended for five years. </w:t>
      </w:r>
    </w:p>
    <w:p w:rsidR="005B1773" w:rsidRDefault="005B1773" w:rsidP="00E80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aggrieved by his conviction and sentence now appeals to this court against both the conviction and the sentence. On appeal, the appellant is represented by Mr. Christians, who also represented h</w:t>
      </w:r>
      <w:r w:rsidR="00F04BEA">
        <w:rPr>
          <w:rFonts w:ascii="Arial" w:hAnsi="Arial" w:cs="Arial"/>
          <w:sz w:val="24"/>
          <w:szCs w:val="24"/>
        </w:rPr>
        <w:t>im during the proceedings in the</w:t>
      </w:r>
      <w:r>
        <w:rPr>
          <w:rFonts w:ascii="Arial" w:hAnsi="Arial" w:cs="Arial"/>
          <w:sz w:val="24"/>
          <w:szCs w:val="24"/>
        </w:rPr>
        <w:t xml:space="preserve"> trial court. The respondent is represented by </w:t>
      </w:r>
      <w:r w:rsidR="00F04BEA">
        <w:rPr>
          <w:rFonts w:ascii="Arial" w:hAnsi="Arial" w:cs="Arial"/>
          <w:sz w:val="24"/>
          <w:szCs w:val="24"/>
        </w:rPr>
        <w:t xml:space="preserve">Mr. </w:t>
      </w:r>
      <w:proofErr w:type="spellStart"/>
      <w:r w:rsidR="00F04BEA">
        <w:rPr>
          <w:rFonts w:ascii="Arial" w:hAnsi="Arial" w:cs="Arial"/>
          <w:sz w:val="24"/>
          <w:szCs w:val="24"/>
        </w:rPr>
        <w:t>Moyo</w:t>
      </w:r>
      <w:proofErr w:type="spellEnd"/>
      <w:r w:rsidR="00F04BEA">
        <w:rPr>
          <w:rFonts w:ascii="Arial" w:hAnsi="Arial" w:cs="Arial"/>
          <w:sz w:val="24"/>
          <w:szCs w:val="24"/>
        </w:rPr>
        <w:t>.</w:t>
      </w:r>
      <w:r w:rsidR="00044301">
        <w:rPr>
          <w:rFonts w:ascii="Arial" w:hAnsi="Arial" w:cs="Arial"/>
          <w:sz w:val="24"/>
          <w:szCs w:val="24"/>
        </w:rPr>
        <w:t xml:space="preserve"> The appellant also seeks an order condoning the late filing of his heads.</w:t>
      </w:r>
    </w:p>
    <w:p w:rsidR="002D0616" w:rsidRDefault="00DF1439" w:rsidP="00E80076">
      <w:pPr>
        <w:spacing w:line="360" w:lineRule="auto"/>
        <w:jc w:val="both"/>
        <w:rPr>
          <w:rFonts w:ascii="Arial" w:hAnsi="Arial" w:cs="Arial"/>
          <w:sz w:val="24"/>
          <w:szCs w:val="24"/>
        </w:rPr>
      </w:pPr>
      <w:r>
        <w:rPr>
          <w:rFonts w:ascii="Arial" w:hAnsi="Arial" w:cs="Arial"/>
          <w:sz w:val="24"/>
          <w:szCs w:val="24"/>
        </w:rPr>
        <w:t>[</w:t>
      </w:r>
      <w:r w:rsidR="002D0616">
        <w:rPr>
          <w:rFonts w:ascii="Arial" w:hAnsi="Arial" w:cs="Arial"/>
          <w:sz w:val="24"/>
          <w:szCs w:val="24"/>
        </w:rPr>
        <w:t>4</w:t>
      </w:r>
      <w:r>
        <w:rPr>
          <w:rFonts w:ascii="Arial" w:hAnsi="Arial" w:cs="Arial"/>
          <w:sz w:val="24"/>
          <w:szCs w:val="24"/>
        </w:rPr>
        <w:t>]</w:t>
      </w:r>
      <w:r>
        <w:rPr>
          <w:rFonts w:ascii="Arial" w:hAnsi="Arial" w:cs="Arial"/>
          <w:sz w:val="24"/>
          <w:szCs w:val="24"/>
        </w:rPr>
        <w:tab/>
        <w:t>For purposes of convenience as well as the tender age of the appellant, this court will refer to the appellant as the appellant, the victim as the complainant and the witnesses will be referred to by their initials.</w:t>
      </w:r>
    </w:p>
    <w:p w:rsidR="00044301" w:rsidRPr="00B71514" w:rsidRDefault="00B71514" w:rsidP="00E80076">
      <w:pPr>
        <w:spacing w:line="360" w:lineRule="auto"/>
        <w:jc w:val="both"/>
        <w:rPr>
          <w:rFonts w:ascii="Arial" w:hAnsi="Arial" w:cs="Arial"/>
          <w:sz w:val="24"/>
          <w:szCs w:val="24"/>
          <w:u w:val="single"/>
        </w:rPr>
      </w:pPr>
      <w:r>
        <w:rPr>
          <w:rFonts w:ascii="Arial" w:hAnsi="Arial" w:cs="Arial"/>
          <w:sz w:val="24"/>
          <w:szCs w:val="24"/>
          <w:u w:val="single"/>
        </w:rPr>
        <w:t>The Application for c</w:t>
      </w:r>
      <w:r w:rsidR="00044301" w:rsidRPr="00B71514">
        <w:rPr>
          <w:rFonts w:ascii="Arial" w:hAnsi="Arial" w:cs="Arial"/>
          <w:sz w:val="24"/>
          <w:szCs w:val="24"/>
          <w:u w:val="single"/>
        </w:rPr>
        <w:t>ondonation</w:t>
      </w:r>
    </w:p>
    <w:p w:rsidR="002C695D" w:rsidRDefault="00C41044" w:rsidP="00E80076">
      <w:pPr>
        <w:spacing w:line="360" w:lineRule="auto"/>
        <w:jc w:val="both"/>
        <w:rPr>
          <w:rFonts w:ascii="Arial" w:hAnsi="Arial" w:cs="Arial"/>
          <w:sz w:val="24"/>
          <w:szCs w:val="24"/>
        </w:rPr>
      </w:pPr>
      <w:r>
        <w:rPr>
          <w:rFonts w:ascii="Arial" w:hAnsi="Arial" w:cs="Arial"/>
          <w:sz w:val="24"/>
          <w:szCs w:val="24"/>
        </w:rPr>
        <w:t>[</w:t>
      </w:r>
      <w:r w:rsidR="00F64487">
        <w:rPr>
          <w:rFonts w:ascii="Arial" w:hAnsi="Arial" w:cs="Arial"/>
          <w:sz w:val="24"/>
          <w:szCs w:val="24"/>
        </w:rPr>
        <w:t>5</w:t>
      </w:r>
      <w:r>
        <w:rPr>
          <w:rFonts w:ascii="Arial" w:hAnsi="Arial" w:cs="Arial"/>
          <w:sz w:val="24"/>
          <w:szCs w:val="24"/>
        </w:rPr>
        <w:t>]</w:t>
      </w:r>
      <w:r>
        <w:rPr>
          <w:rFonts w:ascii="Arial" w:hAnsi="Arial" w:cs="Arial"/>
          <w:sz w:val="24"/>
          <w:szCs w:val="24"/>
        </w:rPr>
        <w:tab/>
        <w:t xml:space="preserve">In terms of the Notice of set down, the appellant was to file his heads of argument six court days before the hearing of his appeal and the respondent had to file its heads of argument three court days before the hearing of the appeal. </w:t>
      </w:r>
      <w:r w:rsidR="002C695D">
        <w:rPr>
          <w:rFonts w:ascii="Arial" w:hAnsi="Arial" w:cs="Arial"/>
          <w:sz w:val="24"/>
          <w:szCs w:val="24"/>
        </w:rPr>
        <w:t xml:space="preserve"> </w:t>
      </w:r>
      <w:r>
        <w:rPr>
          <w:rFonts w:ascii="Arial" w:hAnsi="Arial" w:cs="Arial"/>
          <w:sz w:val="24"/>
          <w:szCs w:val="24"/>
        </w:rPr>
        <w:t xml:space="preserve">The respondent complied with this </w:t>
      </w:r>
      <w:r w:rsidR="00495146">
        <w:rPr>
          <w:rFonts w:ascii="Arial" w:hAnsi="Arial" w:cs="Arial"/>
          <w:sz w:val="24"/>
          <w:szCs w:val="24"/>
        </w:rPr>
        <w:t>requirement</w:t>
      </w:r>
      <w:r>
        <w:rPr>
          <w:rFonts w:ascii="Arial" w:hAnsi="Arial" w:cs="Arial"/>
          <w:sz w:val="24"/>
          <w:szCs w:val="24"/>
        </w:rPr>
        <w:t xml:space="preserve">. The appellant however, only filed his heads two court days before the hearing of the appeal. The appellant filed an application for </w:t>
      </w:r>
      <w:r w:rsidR="00B71514">
        <w:rPr>
          <w:rFonts w:ascii="Arial" w:hAnsi="Arial" w:cs="Arial"/>
          <w:sz w:val="24"/>
          <w:szCs w:val="24"/>
        </w:rPr>
        <w:t>c</w:t>
      </w:r>
      <w:r>
        <w:rPr>
          <w:rFonts w:ascii="Arial" w:hAnsi="Arial" w:cs="Arial"/>
          <w:sz w:val="24"/>
          <w:szCs w:val="24"/>
        </w:rPr>
        <w:t>ondonation for the late filing of his heads together with an affidavit deposed to by his legal practitioner. The legal practitioner explain</w:t>
      </w:r>
      <w:r w:rsidR="00B71514">
        <w:rPr>
          <w:rFonts w:ascii="Arial" w:hAnsi="Arial" w:cs="Arial"/>
          <w:sz w:val="24"/>
          <w:szCs w:val="24"/>
        </w:rPr>
        <w:t>ed</w:t>
      </w:r>
      <w:r>
        <w:rPr>
          <w:rFonts w:ascii="Arial" w:hAnsi="Arial" w:cs="Arial"/>
          <w:sz w:val="24"/>
          <w:szCs w:val="24"/>
        </w:rPr>
        <w:t xml:space="preserve"> that the delay was</w:t>
      </w:r>
      <w:r w:rsidR="00B71514">
        <w:rPr>
          <w:rFonts w:ascii="Arial" w:hAnsi="Arial" w:cs="Arial"/>
          <w:sz w:val="24"/>
          <w:szCs w:val="24"/>
        </w:rPr>
        <w:t xml:space="preserve"> due</w:t>
      </w:r>
      <w:r w:rsidR="00786894">
        <w:rPr>
          <w:rFonts w:ascii="Arial" w:hAnsi="Arial" w:cs="Arial"/>
          <w:sz w:val="24"/>
          <w:szCs w:val="24"/>
        </w:rPr>
        <w:t xml:space="preserve"> to the fact that</w:t>
      </w:r>
      <w:r w:rsidR="009F1D6F">
        <w:rPr>
          <w:rFonts w:ascii="Arial" w:hAnsi="Arial" w:cs="Arial"/>
          <w:sz w:val="24"/>
          <w:szCs w:val="24"/>
        </w:rPr>
        <w:t xml:space="preserve"> the</w:t>
      </w:r>
      <w:r w:rsidR="00786894">
        <w:rPr>
          <w:rFonts w:ascii="Arial" w:hAnsi="Arial" w:cs="Arial"/>
          <w:sz w:val="24"/>
          <w:szCs w:val="24"/>
        </w:rPr>
        <w:t xml:space="preserve"> record is voluminous and that he had </w:t>
      </w:r>
      <w:r>
        <w:rPr>
          <w:rFonts w:ascii="Arial" w:hAnsi="Arial" w:cs="Arial"/>
          <w:sz w:val="24"/>
          <w:szCs w:val="24"/>
        </w:rPr>
        <w:t>o</w:t>
      </w:r>
      <w:r w:rsidR="00B71514">
        <w:rPr>
          <w:rFonts w:ascii="Arial" w:hAnsi="Arial" w:cs="Arial"/>
          <w:sz w:val="24"/>
          <w:szCs w:val="24"/>
        </w:rPr>
        <w:t>ther commitments</w:t>
      </w:r>
      <w:r>
        <w:rPr>
          <w:rFonts w:ascii="Arial" w:hAnsi="Arial" w:cs="Arial"/>
          <w:sz w:val="24"/>
          <w:szCs w:val="24"/>
        </w:rPr>
        <w:t xml:space="preserve"> </w:t>
      </w:r>
      <w:r w:rsidR="009F1D6F">
        <w:rPr>
          <w:rFonts w:ascii="Arial" w:hAnsi="Arial" w:cs="Arial"/>
          <w:sz w:val="24"/>
          <w:szCs w:val="24"/>
        </w:rPr>
        <w:t>and as such</w:t>
      </w:r>
      <w:r w:rsidR="00786894">
        <w:rPr>
          <w:rFonts w:ascii="Arial" w:hAnsi="Arial" w:cs="Arial"/>
          <w:sz w:val="24"/>
          <w:szCs w:val="24"/>
        </w:rPr>
        <w:t xml:space="preserve"> was </w:t>
      </w:r>
      <w:r>
        <w:rPr>
          <w:rFonts w:ascii="Arial" w:hAnsi="Arial" w:cs="Arial"/>
          <w:sz w:val="24"/>
          <w:szCs w:val="24"/>
        </w:rPr>
        <w:t>pressed for time to meet the deadline.</w:t>
      </w:r>
      <w:r w:rsidR="00B71514">
        <w:rPr>
          <w:rFonts w:ascii="Arial" w:hAnsi="Arial" w:cs="Arial"/>
          <w:sz w:val="24"/>
          <w:szCs w:val="24"/>
        </w:rPr>
        <w:t xml:space="preserve"> </w:t>
      </w:r>
      <w:r>
        <w:rPr>
          <w:rFonts w:ascii="Arial" w:hAnsi="Arial" w:cs="Arial"/>
          <w:sz w:val="24"/>
          <w:szCs w:val="24"/>
        </w:rPr>
        <w:t>Furthermore, that he had to negotiate with the Directorate of Legal Aid in respect of this appeal. Counsel for the respondent did not oppose</w:t>
      </w:r>
      <w:r w:rsidR="00786894">
        <w:rPr>
          <w:rFonts w:ascii="Arial" w:hAnsi="Arial" w:cs="Arial"/>
          <w:sz w:val="24"/>
          <w:szCs w:val="24"/>
        </w:rPr>
        <w:t xml:space="preserve"> the application for condonation</w:t>
      </w:r>
      <w:r>
        <w:rPr>
          <w:rFonts w:ascii="Arial" w:hAnsi="Arial" w:cs="Arial"/>
          <w:sz w:val="24"/>
          <w:szCs w:val="24"/>
        </w:rPr>
        <w:t>.</w:t>
      </w:r>
    </w:p>
    <w:p w:rsidR="00C41044" w:rsidRDefault="00C41044" w:rsidP="00E80076">
      <w:pPr>
        <w:spacing w:line="360" w:lineRule="auto"/>
        <w:jc w:val="both"/>
        <w:rPr>
          <w:rFonts w:ascii="Arial" w:hAnsi="Arial" w:cs="Arial"/>
          <w:sz w:val="24"/>
          <w:szCs w:val="24"/>
        </w:rPr>
      </w:pPr>
      <w:r>
        <w:rPr>
          <w:rFonts w:ascii="Arial" w:hAnsi="Arial" w:cs="Arial"/>
          <w:sz w:val="24"/>
          <w:szCs w:val="24"/>
        </w:rPr>
        <w:t>[</w:t>
      </w:r>
      <w:r w:rsidR="00F64487">
        <w:rPr>
          <w:rFonts w:ascii="Arial" w:hAnsi="Arial" w:cs="Arial"/>
          <w:sz w:val="24"/>
          <w:szCs w:val="24"/>
        </w:rPr>
        <w:t>6</w:t>
      </w:r>
      <w:r>
        <w:rPr>
          <w:rFonts w:ascii="Arial" w:hAnsi="Arial" w:cs="Arial"/>
          <w:sz w:val="24"/>
          <w:szCs w:val="24"/>
        </w:rPr>
        <w:t>]</w:t>
      </w:r>
      <w:r>
        <w:rPr>
          <w:rFonts w:ascii="Arial" w:hAnsi="Arial" w:cs="Arial"/>
          <w:sz w:val="24"/>
          <w:szCs w:val="24"/>
        </w:rPr>
        <w:tab/>
      </w:r>
      <w:r w:rsidR="00005C77">
        <w:rPr>
          <w:rFonts w:ascii="Arial" w:hAnsi="Arial" w:cs="Arial"/>
          <w:sz w:val="24"/>
          <w:szCs w:val="24"/>
        </w:rPr>
        <w:t>‘‘</w:t>
      </w:r>
      <w:r w:rsidR="00005C77" w:rsidRPr="00005C77">
        <w:rPr>
          <w:rFonts w:ascii="Arial" w:hAnsi="Arial" w:cs="Arial"/>
        </w:rPr>
        <w:t>It is trite that a litigant seeking condonation bears the onus to satisfy the court that there is sufficient cause to warrant the grant</w:t>
      </w:r>
      <w:r w:rsidR="001A2FD4">
        <w:rPr>
          <w:rFonts w:ascii="Arial" w:hAnsi="Arial" w:cs="Arial"/>
        </w:rPr>
        <w:t>ing</w:t>
      </w:r>
      <w:r w:rsidR="00005C77" w:rsidRPr="00005C77">
        <w:rPr>
          <w:rFonts w:ascii="Arial" w:hAnsi="Arial" w:cs="Arial"/>
        </w:rPr>
        <w:t xml:space="preserve"> of Condonation. Moreover, it is also clear that a litigant should launch a condonation application without delay. . . In determining whether to grant condonation, a court will consider whether the explanation is sufficient to warrant the grant of condonation, and will also consider the litigant’s prospects of success on appeal. .</w:t>
      </w:r>
      <w:r w:rsidR="00005C77">
        <w:rPr>
          <w:rFonts w:ascii="Arial" w:hAnsi="Arial" w:cs="Arial"/>
          <w:sz w:val="24"/>
          <w:szCs w:val="24"/>
        </w:rPr>
        <w:t xml:space="preserve"> .’’</w:t>
      </w:r>
      <w:r w:rsidR="00005C77">
        <w:rPr>
          <w:rStyle w:val="FootnoteReference"/>
          <w:rFonts w:ascii="Arial" w:hAnsi="Arial" w:cs="Arial"/>
          <w:sz w:val="24"/>
          <w:szCs w:val="24"/>
        </w:rPr>
        <w:footnoteReference w:id="2"/>
      </w:r>
      <w:r w:rsidR="00005C77">
        <w:rPr>
          <w:rFonts w:ascii="Arial" w:hAnsi="Arial" w:cs="Arial"/>
          <w:sz w:val="24"/>
          <w:szCs w:val="24"/>
        </w:rPr>
        <w:t xml:space="preserve">  </w:t>
      </w:r>
    </w:p>
    <w:p w:rsidR="00005C77" w:rsidRDefault="00005C77" w:rsidP="00E80076">
      <w:pPr>
        <w:spacing w:line="360" w:lineRule="auto"/>
        <w:jc w:val="both"/>
        <w:rPr>
          <w:rFonts w:ascii="Arial" w:hAnsi="Arial" w:cs="Arial"/>
          <w:sz w:val="24"/>
          <w:szCs w:val="24"/>
        </w:rPr>
      </w:pPr>
      <w:r>
        <w:rPr>
          <w:rFonts w:ascii="Arial" w:hAnsi="Arial" w:cs="Arial"/>
          <w:sz w:val="24"/>
          <w:szCs w:val="24"/>
        </w:rPr>
        <w:t>[</w:t>
      </w:r>
      <w:r w:rsidR="00F64487">
        <w:rPr>
          <w:rFonts w:ascii="Arial" w:hAnsi="Arial" w:cs="Arial"/>
          <w:sz w:val="24"/>
          <w:szCs w:val="24"/>
        </w:rPr>
        <w:t>7</w:t>
      </w:r>
      <w:r>
        <w:rPr>
          <w:rFonts w:ascii="Arial" w:hAnsi="Arial" w:cs="Arial"/>
          <w:sz w:val="24"/>
          <w:szCs w:val="24"/>
        </w:rPr>
        <w:t>]</w:t>
      </w:r>
      <w:r>
        <w:rPr>
          <w:rFonts w:ascii="Arial" w:hAnsi="Arial" w:cs="Arial"/>
          <w:sz w:val="24"/>
          <w:szCs w:val="24"/>
        </w:rPr>
        <w:tab/>
        <w:t>In this matter, it appears that the application for co</w:t>
      </w:r>
      <w:r w:rsidR="009F1D6F">
        <w:rPr>
          <w:rFonts w:ascii="Arial" w:hAnsi="Arial" w:cs="Arial"/>
          <w:sz w:val="24"/>
          <w:szCs w:val="24"/>
        </w:rPr>
        <w:t xml:space="preserve">ndonation was filed </w:t>
      </w:r>
      <w:r>
        <w:rPr>
          <w:rFonts w:ascii="Arial" w:hAnsi="Arial" w:cs="Arial"/>
          <w:sz w:val="24"/>
          <w:szCs w:val="24"/>
        </w:rPr>
        <w:t xml:space="preserve">two court days before the hearing date. Although, the respondent did not have the opportunity to peruse the appellant’s heads before preparing its own, there is no prejudice to it as it covered all grounds based on the notice of appeal. The court is not satisfied that the appellant’s legal practitioner raises time constraints </w:t>
      </w:r>
      <w:r w:rsidR="00B71514">
        <w:rPr>
          <w:rFonts w:ascii="Arial" w:hAnsi="Arial" w:cs="Arial"/>
          <w:sz w:val="24"/>
          <w:szCs w:val="24"/>
        </w:rPr>
        <w:t xml:space="preserve">as an excuse </w:t>
      </w:r>
      <w:r>
        <w:rPr>
          <w:rFonts w:ascii="Arial" w:hAnsi="Arial" w:cs="Arial"/>
          <w:sz w:val="24"/>
          <w:szCs w:val="24"/>
        </w:rPr>
        <w:t xml:space="preserve">as </w:t>
      </w:r>
      <w:r w:rsidR="00B71514">
        <w:rPr>
          <w:rFonts w:ascii="Arial" w:hAnsi="Arial" w:cs="Arial"/>
          <w:sz w:val="24"/>
          <w:szCs w:val="24"/>
        </w:rPr>
        <w:t>the notice of set down was received timeously.</w:t>
      </w:r>
      <w:r>
        <w:rPr>
          <w:rFonts w:ascii="Arial" w:hAnsi="Arial" w:cs="Arial"/>
          <w:sz w:val="24"/>
          <w:szCs w:val="24"/>
        </w:rPr>
        <w:t xml:space="preserve"> </w:t>
      </w:r>
      <w:r w:rsidR="00B71514">
        <w:rPr>
          <w:rFonts w:ascii="Arial" w:hAnsi="Arial" w:cs="Arial"/>
          <w:sz w:val="24"/>
          <w:szCs w:val="24"/>
        </w:rPr>
        <w:t xml:space="preserve">However, the court is </w:t>
      </w:r>
      <w:r>
        <w:rPr>
          <w:rFonts w:ascii="Arial" w:hAnsi="Arial" w:cs="Arial"/>
          <w:sz w:val="24"/>
          <w:szCs w:val="24"/>
        </w:rPr>
        <w:t xml:space="preserve">satisfied that the appellant’s counsel </w:t>
      </w:r>
      <w:r w:rsidR="001A2FD4">
        <w:rPr>
          <w:rFonts w:ascii="Arial" w:hAnsi="Arial" w:cs="Arial"/>
          <w:sz w:val="24"/>
          <w:szCs w:val="24"/>
        </w:rPr>
        <w:t>does not have control over the Directorate of Legal A</w:t>
      </w:r>
      <w:r>
        <w:rPr>
          <w:rFonts w:ascii="Arial" w:hAnsi="Arial" w:cs="Arial"/>
          <w:sz w:val="24"/>
          <w:szCs w:val="24"/>
        </w:rPr>
        <w:t>id</w:t>
      </w:r>
      <w:r w:rsidR="00B71514">
        <w:rPr>
          <w:rFonts w:ascii="Arial" w:hAnsi="Arial" w:cs="Arial"/>
          <w:sz w:val="24"/>
          <w:szCs w:val="24"/>
        </w:rPr>
        <w:t xml:space="preserve"> and that he would not have been able to proceed with the appeal without the approval of the Directorate. It is for these reasons that the court condones the late filing of the appellant’s heads of argument.</w:t>
      </w:r>
    </w:p>
    <w:p w:rsidR="00B71514" w:rsidRDefault="00B71514" w:rsidP="00E80076">
      <w:pPr>
        <w:spacing w:line="360" w:lineRule="auto"/>
        <w:jc w:val="both"/>
        <w:rPr>
          <w:rFonts w:ascii="Arial" w:hAnsi="Arial" w:cs="Arial"/>
          <w:sz w:val="24"/>
          <w:szCs w:val="24"/>
          <w:u w:val="single"/>
        </w:rPr>
      </w:pPr>
      <w:r w:rsidRPr="00B71514">
        <w:rPr>
          <w:rFonts w:ascii="Arial" w:hAnsi="Arial" w:cs="Arial"/>
          <w:sz w:val="24"/>
          <w:szCs w:val="24"/>
          <w:u w:val="single"/>
        </w:rPr>
        <w:t>The appeal</w:t>
      </w:r>
      <w:r w:rsidR="00786894">
        <w:rPr>
          <w:rFonts w:ascii="Arial" w:hAnsi="Arial" w:cs="Arial"/>
          <w:sz w:val="24"/>
          <w:szCs w:val="24"/>
          <w:u w:val="single"/>
        </w:rPr>
        <w:t xml:space="preserve"> against the conviction</w:t>
      </w:r>
    </w:p>
    <w:p w:rsidR="009F1D6F" w:rsidRPr="009F1D6F" w:rsidRDefault="009F1D6F" w:rsidP="00E80076">
      <w:pPr>
        <w:spacing w:line="360" w:lineRule="auto"/>
        <w:jc w:val="both"/>
        <w:rPr>
          <w:rFonts w:ascii="Arial" w:hAnsi="Arial" w:cs="Arial"/>
          <w:i/>
          <w:sz w:val="24"/>
          <w:szCs w:val="24"/>
        </w:rPr>
      </w:pPr>
      <w:r w:rsidRPr="009F1D6F">
        <w:rPr>
          <w:rFonts w:ascii="Arial" w:hAnsi="Arial" w:cs="Arial"/>
          <w:i/>
          <w:sz w:val="24"/>
          <w:szCs w:val="24"/>
        </w:rPr>
        <w:t>Grounds of appeal</w:t>
      </w:r>
    </w:p>
    <w:p w:rsidR="00E95FCC" w:rsidRDefault="00DF1439" w:rsidP="00E80076">
      <w:pPr>
        <w:spacing w:line="360" w:lineRule="auto"/>
        <w:jc w:val="both"/>
        <w:rPr>
          <w:rFonts w:ascii="Arial" w:hAnsi="Arial" w:cs="Arial"/>
          <w:sz w:val="24"/>
          <w:szCs w:val="24"/>
        </w:rPr>
      </w:pPr>
      <w:r>
        <w:rPr>
          <w:rFonts w:ascii="Arial" w:hAnsi="Arial" w:cs="Arial"/>
          <w:sz w:val="24"/>
          <w:szCs w:val="24"/>
        </w:rPr>
        <w:t>[</w:t>
      </w:r>
      <w:r w:rsidR="00F64487">
        <w:rPr>
          <w:rFonts w:ascii="Arial" w:hAnsi="Arial" w:cs="Arial"/>
          <w:sz w:val="24"/>
          <w:szCs w:val="24"/>
        </w:rPr>
        <w:t>8</w:t>
      </w:r>
      <w:r w:rsidR="009F1D6F">
        <w:rPr>
          <w:rFonts w:ascii="Arial" w:hAnsi="Arial" w:cs="Arial"/>
          <w:sz w:val="24"/>
          <w:szCs w:val="24"/>
        </w:rPr>
        <w:t>]</w:t>
      </w:r>
      <w:r w:rsidR="00FF2DAD">
        <w:rPr>
          <w:rFonts w:ascii="Arial" w:hAnsi="Arial" w:cs="Arial"/>
          <w:sz w:val="24"/>
          <w:szCs w:val="24"/>
        </w:rPr>
        <w:tab/>
        <w:t>The appellant</w:t>
      </w:r>
      <w:r w:rsidR="001A2FD4">
        <w:rPr>
          <w:rFonts w:ascii="Arial" w:hAnsi="Arial" w:cs="Arial"/>
          <w:sz w:val="24"/>
          <w:szCs w:val="24"/>
        </w:rPr>
        <w:t>’</w:t>
      </w:r>
      <w:r w:rsidR="00FF2DAD">
        <w:rPr>
          <w:rFonts w:ascii="Arial" w:hAnsi="Arial" w:cs="Arial"/>
          <w:sz w:val="24"/>
          <w:szCs w:val="24"/>
        </w:rPr>
        <w:t>s first ground of appeal is ‘that the learned magistrate er</w:t>
      </w:r>
      <w:r w:rsidR="00E95FCC">
        <w:rPr>
          <w:rFonts w:ascii="Arial" w:hAnsi="Arial" w:cs="Arial"/>
          <w:sz w:val="24"/>
          <w:szCs w:val="24"/>
        </w:rPr>
        <w:t>red and/ or misdirected himself</w:t>
      </w:r>
      <w:r w:rsidR="00FF2DAD">
        <w:rPr>
          <w:rFonts w:ascii="Arial" w:hAnsi="Arial" w:cs="Arial"/>
          <w:sz w:val="24"/>
          <w:szCs w:val="24"/>
        </w:rPr>
        <w:t xml:space="preserve"> by finding on the available evidence, that the State proved the offence of Rape beyond a reasonable doubt</w:t>
      </w:r>
      <w:r w:rsidR="00E95FCC">
        <w:rPr>
          <w:rFonts w:ascii="Arial" w:hAnsi="Arial" w:cs="Arial"/>
          <w:sz w:val="24"/>
          <w:szCs w:val="24"/>
        </w:rPr>
        <w:t xml:space="preserve">.’ This ground is no ground </w:t>
      </w:r>
      <w:r>
        <w:rPr>
          <w:rFonts w:ascii="Arial" w:hAnsi="Arial" w:cs="Arial"/>
          <w:sz w:val="24"/>
          <w:szCs w:val="24"/>
        </w:rPr>
        <w:t>as</w:t>
      </w:r>
      <w:r w:rsidR="00E95FCC">
        <w:rPr>
          <w:rFonts w:ascii="Arial" w:hAnsi="Arial" w:cs="Arial"/>
          <w:sz w:val="24"/>
          <w:szCs w:val="24"/>
        </w:rPr>
        <w:t xml:space="preserve"> ‘. . . </w:t>
      </w:r>
      <w:r w:rsidR="00E95FCC" w:rsidRPr="00E95FCC">
        <w:rPr>
          <w:rFonts w:ascii="Arial" w:hAnsi="Arial" w:cs="Arial"/>
        </w:rPr>
        <w:t>these are not grounds of appeal at all but are conclusions drawn by the draftsman of the notice witho</w:t>
      </w:r>
      <w:r w:rsidR="00E95FCC">
        <w:rPr>
          <w:rFonts w:ascii="Arial" w:hAnsi="Arial" w:cs="Arial"/>
        </w:rPr>
        <w:t>ut setting out the reasons or</w:t>
      </w:r>
      <w:r w:rsidR="009F1D6F">
        <w:rPr>
          <w:rFonts w:ascii="Arial" w:hAnsi="Arial" w:cs="Arial"/>
        </w:rPr>
        <w:t xml:space="preserve"> grounds therefor s</w:t>
      </w:r>
      <w:r w:rsidR="00E95FCC" w:rsidRPr="00E95FCC">
        <w:rPr>
          <w:rFonts w:ascii="Arial" w:hAnsi="Arial" w:cs="Arial"/>
        </w:rPr>
        <w:t>uch grounds do not inform either the State, the magistrate or this Court of the grounds on which the judgment is attacked</w:t>
      </w:r>
      <w:r w:rsidR="00E95FCC" w:rsidRPr="00E95FCC">
        <w:rPr>
          <w:rFonts w:ascii="Arial" w:hAnsi="Arial" w:cs="Arial"/>
          <w:sz w:val="24"/>
          <w:szCs w:val="24"/>
        </w:rPr>
        <w:t>.</w:t>
      </w:r>
      <w:r w:rsidR="00E95FCC">
        <w:rPr>
          <w:rFonts w:ascii="Arial" w:hAnsi="Arial" w:cs="Arial"/>
          <w:sz w:val="24"/>
          <w:szCs w:val="24"/>
        </w:rPr>
        <w:t>’</w:t>
      </w:r>
      <w:r w:rsidR="00E95FCC">
        <w:rPr>
          <w:rStyle w:val="FootnoteReference"/>
          <w:rFonts w:ascii="Arial" w:hAnsi="Arial" w:cs="Arial"/>
          <w:sz w:val="24"/>
          <w:szCs w:val="24"/>
        </w:rPr>
        <w:footnoteReference w:id="3"/>
      </w:r>
      <w:r w:rsidR="00E95FCC">
        <w:rPr>
          <w:rFonts w:ascii="Arial" w:hAnsi="Arial" w:cs="Arial"/>
        </w:rPr>
        <w:t xml:space="preserve"> </w:t>
      </w:r>
      <w:r w:rsidR="00E95FCC">
        <w:rPr>
          <w:rFonts w:ascii="Arial" w:hAnsi="Arial" w:cs="Arial"/>
          <w:sz w:val="24"/>
          <w:szCs w:val="24"/>
        </w:rPr>
        <w:t>This court will therefore only deal with grounds two a</w:t>
      </w:r>
      <w:r w:rsidR="009F1D6F">
        <w:rPr>
          <w:rFonts w:ascii="Arial" w:hAnsi="Arial" w:cs="Arial"/>
          <w:sz w:val="24"/>
          <w:szCs w:val="24"/>
        </w:rPr>
        <w:t>nd three of the notice of appeal</w:t>
      </w:r>
      <w:r w:rsidR="00E95FCC">
        <w:rPr>
          <w:rFonts w:ascii="Arial" w:hAnsi="Arial" w:cs="Arial"/>
          <w:sz w:val="24"/>
          <w:szCs w:val="24"/>
        </w:rPr>
        <w:t xml:space="preserve">. </w:t>
      </w:r>
    </w:p>
    <w:p w:rsidR="00E95FCC" w:rsidRDefault="00E95FCC"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9</w:t>
      </w:r>
      <w:r w:rsidR="00DF1439">
        <w:rPr>
          <w:rFonts w:ascii="Arial" w:hAnsi="Arial" w:cs="Arial"/>
          <w:sz w:val="24"/>
          <w:szCs w:val="24"/>
        </w:rPr>
        <w:t>]</w:t>
      </w:r>
      <w:r w:rsidR="00DF1439">
        <w:rPr>
          <w:rFonts w:ascii="Arial" w:hAnsi="Arial" w:cs="Arial"/>
          <w:sz w:val="24"/>
          <w:szCs w:val="24"/>
        </w:rPr>
        <w:tab/>
        <w:t xml:space="preserve">Grounds of appeal two and three may be summarized as follows: that the </w:t>
      </w:r>
      <w:r>
        <w:rPr>
          <w:rFonts w:ascii="Arial" w:hAnsi="Arial" w:cs="Arial"/>
          <w:sz w:val="24"/>
          <w:szCs w:val="24"/>
        </w:rPr>
        <w:t xml:space="preserve"> trial court erred in law and or fact by finding that penetration as provided in the Combating of Rape Act, had been proven ‘</w:t>
      </w:r>
      <w:proofErr w:type="spellStart"/>
      <w:r>
        <w:rPr>
          <w:rFonts w:ascii="Arial" w:hAnsi="Arial" w:cs="Arial"/>
          <w:sz w:val="24"/>
          <w:szCs w:val="24"/>
        </w:rPr>
        <w:t>inspite</w:t>
      </w:r>
      <w:proofErr w:type="spellEnd"/>
      <w:r>
        <w:rPr>
          <w:rFonts w:ascii="Arial" w:hAnsi="Arial" w:cs="Arial"/>
          <w:sz w:val="24"/>
          <w:szCs w:val="24"/>
        </w:rPr>
        <w:t xml:space="preserve"> of Dr. </w:t>
      </w:r>
      <w:proofErr w:type="spellStart"/>
      <w:r>
        <w:rPr>
          <w:rFonts w:ascii="Arial" w:hAnsi="Arial" w:cs="Arial"/>
          <w:sz w:val="24"/>
          <w:szCs w:val="24"/>
        </w:rPr>
        <w:t>Ndolo’s</w:t>
      </w:r>
      <w:proofErr w:type="spellEnd"/>
      <w:r>
        <w:rPr>
          <w:rFonts w:ascii="Arial" w:hAnsi="Arial" w:cs="Arial"/>
          <w:sz w:val="24"/>
          <w:szCs w:val="24"/>
        </w:rPr>
        <w:t xml:space="preserve"> evidence that there were only minor bruises on the outside of the complainant’s private parts.’</w:t>
      </w:r>
      <w:r w:rsidR="0022612A">
        <w:rPr>
          <w:rFonts w:ascii="Arial" w:hAnsi="Arial" w:cs="Arial"/>
          <w:sz w:val="24"/>
          <w:szCs w:val="24"/>
        </w:rPr>
        <w:t xml:space="preserve"> Secondly that, the court erred in law and or fact </w:t>
      </w:r>
      <w:r w:rsidR="002473E7">
        <w:rPr>
          <w:rFonts w:ascii="Arial" w:hAnsi="Arial" w:cs="Arial"/>
          <w:sz w:val="24"/>
          <w:szCs w:val="24"/>
        </w:rPr>
        <w:t>‘</w:t>
      </w:r>
      <w:r w:rsidR="0022612A">
        <w:rPr>
          <w:rFonts w:ascii="Arial" w:hAnsi="Arial" w:cs="Arial"/>
          <w:sz w:val="24"/>
          <w:szCs w:val="24"/>
        </w:rPr>
        <w:t xml:space="preserve">by </w:t>
      </w:r>
      <w:r w:rsidR="002473E7">
        <w:rPr>
          <w:rFonts w:ascii="Arial" w:hAnsi="Arial" w:cs="Arial"/>
          <w:sz w:val="24"/>
          <w:szCs w:val="24"/>
        </w:rPr>
        <w:t>finding the appellant</w:t>
      </w:r>
      <w:r w:rsidR="001A2FD4">
        <w:rPr>
          <w:rFonts w:ascii="Arial" w:hAnsi="Arial" w:cs="Arial"/>
          <w:sz w:val="24"/>
          <w:szCs w:val="24"/>
        </w:rPr>
        <w:t xml:space="preserve"> </w:t>
      </w:r>
      <w:r w:rsidR="0022612A">
        <w:rPr>
          <w:rFonts w:ascii="Arial" w:hAnsi="Arial" w:cs="Arial"/>
          <w:sz w:val="24"/>
          <w:szCs w:val="24"/>
        </w:rPr>
        <w:t>guilty o</w:t>
      </w:r>
      <w:r w:rsidR="00920693">
        <w:rPr>
          <w:rFonts w:ascii="Arial" w:hAnsi="Arial" w:cs="Arial"/>
          <w:sz w:val="24"/>
          <w:szCs w:val="24"/>
        </w:rPr>
        <w:t>n</w:t>
      </w:r>
      <w:r w:rsidR="0022612A">
        <w:rPr>
          <w:rFonts w:ascii="Arial" w:hAnsi="Arial" w:cs="Arial"/>
          <w:sz w:val="24"/>
          <w:szCs w:val="24"/>
        </w:rPr>
        <w:t xml:space="preserve"> the offence of rape in</w:t>
      </w:r>
      <w:r w:rsidR="001A2FD4">
        <w:rPr>
          <w:rFonts w:ascii="Arial" w:hAnsi="Arial" w:cs="Arial"/>
          <w:sz w:val="24"/>
          <w:szCs w:val="24"/>
        </w:rPr>
        <w:t xml:space="preserve"> </w:t>
      </w:r>
      <w:r w:rsidR="0022612A">
        <w:rPr>
          <w:rFonts w:ascii="Arial" w:hAnsi="Arial" w:cs="Arial"/>
          <w:sz w:val="24"/>
          <w:szCs w:val="24"/>
        </w:rPr>
        <w:t>spite of the concussions by the appellant that she was not quite sure what happened to her.’</w:t>
      </w:r>
    </w:p>
    <w:p w:rsidR="00786894" w:rsidRPr="00786894" w:rsidRDefault="00786894" w:rsidP="00E80076">
      <w:pPr>
        <w:spacing w:line="360" w:lineRule="auto"/>
        <w:jc w:val="both"/>
        <w:rPr>
          <w:rFonts w:ascii="Arial" w:hAnsi="Arial" w:cs="Arial"/>
          <w:sz w:val="24"/>
          <w:szCs w:val="24"/>
          <w:u w:val="single"/>
        </w:rPr>
      </w:pPr>
      <w:r w:rsidRPr="00786894">
        <w:rPr>
          <w:rFonts w:ascii="Arial" w:hAnsi="Arial" w:cs="Arial"/>
          <w:sz w:val="24"/>
          <w:szCs w:val="24"/>
          <w:u w:val="single"/>
        </w:rPr>
        <w:t>The evidence</w:t>
      </w:r>
    </w:p>
    <w:p w:rsidR="00B7145E" w:rsidRDefault="0022612A"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10</w:t>
      </w:r>
      <w:r>
        <w:rPr>
          <w:rFonts w:ascii="Arial" w:hAnsi="Arial" w:cs="Arial"/>
          <w:sz w:val="24"/>
          <w:szCs w:val="24"/>
        </w:rPr>
        <w:t>]</w:t>
      </w:r>
      <w:r>
        <w:rPr>
          <w:rFonts w:ascii="Arial" w:hAnsi="Arial" w:cs="Arial"/>
          <w:sz w:val="24"/>
          <w:szCs w:val="24"/>
        </w:rPr>
        <w:tab/>
        <w:t xml:space="preserve">The complainant testified that, on the night in question she and her sister fell asleep on the sofa where the accused was </w:t>
      </w:r>
      <w:r w:rsidR="005712E3">
        <w:rPr>
          <w:rFonts w:ascii="Arial" w:hAnsi="Arial" w:cs="Arial"/>
          <w:sz w:val="24"/>
          <w:szCs w:val="24"/>
        </w:rPr>
        <w:t>seated</w:t>
      </w:r>
      <w:r>
        <w:rPr>
          <w:rFonts w:ascii="Arial" w:hAnsi="Arial" w:cs="Arial"/>
          <w:sz w:val="24"/>
          <w:szCs w:val="24"/>
        </w:rPr>
        <w:t xml:space="preserve"> after their parent</w:t>
      </w:r>
      <w:r w:rsidR="007460BE">
        <w:rPr>
          <w:rFonts w:ascii="Arial" w:hAnsi="Arial" w:cs="Arial"/>
          <w:sz w:val="24"/>
          <w:szCs w:val="24"/>
        </w:rPr>
        <w:t>s had left to sleep in their room</w:t>
      </w:r>
      <w:r w:rsidR="005712E3">
        <w:rPr>
          <w:rFonts w:ascii="Arial" w:hAnsi="Arial" w:cs="Arial"/>
          <w:sz w:val="24"/>
          <w:szCs w:val="24"/>
        </w:rPr>
        <w:t xml:space="preserve">. She further testified that, </w:t>
      </w:r>
      <w:r w:rsidR="001F5897">
        <w:rPr>
          <w:rFonts w:ascii="Arial" w:hAnsi="Arial" w:cs="Arial"/>
          <w:sz w:val="24"/>
          <w:szCs w:val="24"/>
        </w:rPr>
        <w:t>while</w:t>
      </w:r>
      <w:r w:rsidR="007460BE">
        <w:rPr>
          <w:rFonts w:ascii="Arial" w:hAnsi="Arial" w:cs="Arial"/>
          <w:sz w:val="24"/>
          <w:szCs w:val="24"/>
        </w:rPr>
        <w:t xml:space="preserve"> sleeping she felt the appellant shift her</w:t>
      </w:r>
      <w:r w:rsidR="005712E3">
        <w:rPr>
          <w:rFonts w:ascii="Arial" w:hAnsi="Arial" w:cs="Arial"/>
          <w:sz w:val="24"/>
          <w:szCs w:val="24"/>
        </w:rPr>
        <w:t xml:space="preserve"> panty to the side and insert his finger into her vagina</w:t>
      </w:r>
      <w:r w:rsidR="007460BE">
        <w:rPr>
          <w:rFonts w:ascii="Arial" w:hAnsi="Arial" w:cs="Arial"/>
          <w:sz w:val="24"/>
          <w:szCs w:val="24"/>
        </w:rPr>
        <w:t xml:space="preserve"> moving around his finger in her vagina. She wanted to call her parents but the appellant kissed </w:t>
      </w:r>
      <w:r w:rsidR="005712E3">
        <w:rPr>
          <w:rFonts w:ascii="Arial" w:hAnsi="Arial" w:cs="Arial"/>
          <w:sz w:val="24"/>
          <w:szCs w:val="24"/>
        </w:rPr>
        <w:t xml:space="preserve">her </w:t>
      </w:r>
      <w:r w:rsidR="007460BE">
        <w:rPr>
          <w:rFonts w:ascii="Arial" w:hAnsi="Arial" w:cs="Arial"/>
          <w:sz w:val="24"/>
          <w:szCs w:val="24"/>
        </w:rPr>
        <w:t>on her mouth</w:t>
      </w:r>
      <w:r w:rsidR="005712E3">
        <w:rPr>
          <w:rFonts w:ascii="Arial" w:hAnsi="Arial" w:cs="Arial"/>
          <w:sz w:val="24"/>
          <w:szCs w:val="24"/>
        </w:rPr>
        <w:t xml:space="preserve">. It was her testimony that when all this was happening, she was alone with the appellant on the couch in the sitting room. </w:t>
      </w:r>
      <w:r w:rsidR="007460BE">
        <w:rPr>
          <w:rFonts w:ascii="Arial" w:hAnsi="Arial" w:cs="Arial"/>
          <w:sz w:val="24"/>
          <w:szCs w:val="24"/>
        </w:rPr>
        <w:t xml:space="preserve">She then left the couch, went to the toilet and </w:t>
      </w:r>
      <w:r w:rsidR="00B7145E">
        <w:rPr>
          <w:rFonts w:ascii="Arial" w:hAnsi="Arial" w:cs="Arial"/>
          <w:sz w:val="24"/>
          <w:szCs w:val="24"/>
        </w:rPr>
        <w:t>then to her parents</w:t>
      </w:r>
      <w:r w:rsidR="00016A6B">
        <w:rPr>
          <w:rFonts w:ascii="Arial" w:hAnsi="Arial" w:cs="Arial"/>
          <w:sz w:val="24"/>
          <w:szCs w:val="24"/>
        </w:rPr>
        <w:t>’</w:t>
      </w:r>
      <w:r w:rsidR="00B7145E">
        <w:rPr>
          <w:rFonts w:ascii="Arial" w:hAnsi="Arial" w:cs="Arial"/>
          <w:sz w:val="24"/>
          <w:szCs w:val="24"/>
        </w:rPr>
        <w:t xml:space="preserve"> room.</w:t>
      </w:r>
      <w:r w:rsidR="005712E3">
        <w:rPr>
          <w:rFonts w:ascii="Arial" w:hAnsi="Arial" w:cs="Arial"/>
          <w:sz w:val="24"/>
          <w:szCs w:val="24"/>
        </w:rPr>
        <w:t xml:space="preserve"> </w:t>
      </w:r>
    </w:p>
    <w:p w:rsidR="005712E3" w:rsidRDefault="005712E3"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11</w:t>
      </w:r>
      <w:r>
        <w:rPr>
          <w:rFonts w:ascii="Arial" w:hAnsi="Arial" w:cs="Arial"/>
          <w:sz w:val="24"/>
          <w:szCs w:val="24"/>
        </w:rPr>
        <w:t>]</w:t>
      </w:r>
      <w:r>
        <w:rPr>
          <w:rFonts w:ascii="Arial" w:hAnsi="Arial" w:cs="Arial"/>
          <w:sz w:val="24"/>
          <w:szCs w:val="24"/>
        </w:rPr>
        <w:tab/>
        <w:t xml:space="preserve">The complainant’s younger sister testified that she and her sister fell asleep on the couch while watching soccer and that the appellant was seated on the same couch at the time. She felt her father’s friend trying to remove her shorts and touching her private parts so she </w:t>
      </w:r>
      <w:r w:rsidR="00016A6B">
        <w:rPr>
          <w:rFonts w:ascii="Arial" w:hAnsi="Arial" w:cs="Arial"/>
          <w:sz w:val="24"/>
          <w:szCs w:val="24"/>
        </w:rPr>
        <w:t>stood up and went to her parent</w:t>
      </w:r>
      <w:r>
        <w:rPr>
          <w:rFonts w:ascii="Arial" w:hAnsi="Arial" w:cs="Arial"/>
          <w:sz w:val="24"/>
          <w:szCs w:val="24"/>
        </w:rPr>
        <w:t>s</w:t>
      </w:r>
      <w:r w:rsidR="00016A6B">
        <w:rPr>
          <w:rFonts w:ascii="Arial" w:hAnsi="Arial" w:cs="Arial"/>
          <w:sz w:val="24"/>
          <w:szCs w:val="24"/>
        </w:rPr>
        <w:t>’</w:t>
      </w:r>
      <w:r>
        <w:rPr>
          <w:rFonts w:ascii="Arial" w:hAnsi="Arial" w:cs="Arial"/>
          <w:sz w:val="24"/>
          <w:szCs w:val="24"/>
        </w:rPr>
        <w:t xml:space="preserve"> room. She was able to tell it was the appellant, because when she stood up she saw him. Further that, when she left the couch, her sister the complainant was still on the couch. The next day, she and her sister went to their grandmother’s house. At her grandmother’s house, her sister the complainant informed their cousin that their father’s friend wanted to rape them. Her cousin informed their grandmother who subsequently informed their mother who took them to the clinic.</w:t>
      </w:r>
    </w:p>
    <w:p w:rsidR="005712E3" w:rsidRDefault="005712E3"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12</w:t>
      </w:r>
      <w:r>
        <w:rPr>
          <w:rFonts w:ascii="Arial" w:hAnsi="Arial" w:cs="Arial"/>
          <w:sz w:val="24"/>
          <w:szCs w:val="24"/>
        </w:rPr>
        <w:t>]</w:t>
      </w:r>
      <w:r>
        <w:rPr>
          <w:rFonts w:ascii="Arial" w:hAnsi="Arial" w:cs="Arial"/>
          <w:sz w:val="24"/>
          <w:szCs w:val="24"/>
        </w:rPr>
        <w:tab/>
        <w:t xml:space="preserve"> State witness JRW</w:t>
      </w:r>
      <w:r w:rsidR="009F1D6F">
        <w:rPr>
          <w:rFonts w:ascii="Arial" w:hAnsi="Arial" w:cs="Arial"/>
          <w:sz w:val="24"/>
          <w:szCs w:val="24"/>
        </w:rPr>
        <w:t xml:space="preserve"> ( the complainant’s cousin)</w:t>
      </w:r>
      <w:r>
        <w:rPr>
          <w:rFonts w:ascii="Arial" w:hAnsi="Arial" w:cs="Arial"/>
          <w:sz w:val="24"/>
          <w:szCs w:val="24"/>
        </w:rPr>
        <w:t>, testified that on 25 August 2012 when they were sitting around the fire, that the complainant told her that she was almost raped by a Zimbabwean man that came to their house</w:t>
      </w:r>
      <w:r w:rsidR="009F1D6F">
        <w:rPr>
          <w:rFonts w:ascii="Arial" w:hAnsi="Arial" w:cs="Arial"/>
          <w:sz w:val="24"/>
          <w:szCs w:val="24"/>
        </w:rPr>
        <w:t>. That, the appellant put</w:t>
      </w:r>
      <w:r>
        <w:rPr>
          <w:rFonts w:ascii="Arial" w:hAnsi="Arial" w:cs="Arial"/>
          <w:sz w:val="24"/>
          <w:szCs w:val="24"/>
        </w:rPr>
        <w:t xml:space="preserve"> his fingers into her vagina. JRW then informed the grandmother of what the complainant told her and the next day the grandmother told the complainant’s mother. </w:t>
      </w:r>
    </w:p>
    <w:p w:rsidR="0022612A" w:rsidRDefault="00B7145E"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13</w:t>
      </w:r>
      <w:r>
        <w:rPr>
          <w:rFonts w:ascii="Arial" w:hAnsi="Arial" w:cs="Arial"/>
          <w:sz w:val="24"/>
          <w:szCs w:val="24"/>
        </w:rPr>
        <w:t>]</w:t>
      </w:r>
      <w:r>
        <w:rPr>
          <w:rFonts w:ascii="Arial" w:hAnsi="Arial" w:cs="Arial"/>
          <w:sz w:val="24"/>
          <w:szCs w:val="24"/>
        </w:rPr>
        <w:tab/>
      </w:r>
      <w:r w:rsidR="007460BE">
        <w:rPr>
          <w:rFonts w:ascii="Arial" w:hAnsi="Arial" w:cs="Arial"/>
          <w:sz w:val="24"/>
          <w:szCs w:val="24"/>
        </w:rPr>
        <w:t xml:space="preserve"> </w:t>
      </w:r>
      <w:r w:rsidR="002E7694">
        <w:rPr>
          <w:rFonts w:ascii="Arial" w:hAnsi="Arial" w:cs="Arial"/>
          <w:sz w:val="24"/>
          <w:szCs w:val="24"/>
        </w:rPr>
        <w:t xml:space="preserve">It was the testimony of the doctor that </w:t>
      </w:r>
      <w:r w:rsidR="007E3B13">
        <w:rPr>
          <w:rFonts w:ascii="Arial" w:hAnsi="Arial" w:cs="Arial"/>
          <w:sz w:val="24"/>
          <w:szCs w:val="24"/>
        </w:rPr>
        <w:t>there were mi</w:t>
      </w:r>
      <w:r w:rsidR="005712E3">
        <w:rPr>
          <w:rFonts w:ascii="Arial" w:hAnsi="Arial" w:cs="Arial"/>
          <w:sz w:val="24"/>
          <w:szCs w:val="24"/>
        </w:rPr>
        <w:t>nor bruises</w:t>
      </w:r>
      <w:r w:rsidR="00016A6B">
        <w:rPr>
          <w:rFonts w:ascii="Arial" w:hAnsi="Arial" w:cs="Arial"/>
          <w:sz w:val="24"/>
          <w:szCs w:val="24"/>
        </w:rPr>
        <w:t>,</w:t>
      </w:r>
      <w:r w:rsidR="005712E3">
        <w:rPr>
          <w:rFonts w:ascii="Arial" w:hAnsi="Arial" w:cs="Arial"/>
          <w:sz w:val="24"/>
          <w:szCs w:val="24"/>
        </w:rPr>
        <w:t xml:space="preserve"> which bruises constituted </w:t>
      </w:r>
      <w:r w:rsidR="007E3B13">
        <w:rPr>
          <w:rFonts w:ascii="Arial" w:hAnsi="Arial" w:cs="Arial"/>
          <w:sz w:val="24"/>
          <w:szCs w:val="24"/>
        </w:rPr>
        <w:t>redness on the left side of the para-urethral fort of the complainant. The para-urethral fort is found on the female gen</w:t>
      </w:r>
      <w:r w:rsidR="009A10F4">
        <w:rPr>
          <w:rFonts w:ascii="Arial" w:hAnsi="Arial" w:cs="Arial"/>
          <w:sz w:val="24"/>
          <w:szCs w:val="24"/>
        </w:rPr>
        <w:t xml:space="preserve">ital organ when the </w:t>
      </w:r>
      <w:r w:rsidR="007E3B13">
        <w:rPr>
          <w:rFonts w:ascii="Arial" w:hAnsi="Arial" w:cs="Arial"/>
          <w:sz w:val="24"/>
          <w:szCs w:val="24"/>
        </w:rPr>
        <w:t>labia majora and the labia minora</w:t>
      </w:r>
      <w:r w:rsidR="009A10F4">
        <w:rPr>
          <w:rFonts w:ascii="Arial" w:hAnsi="Arial" w:cs="Arial"/>
          <w:sz w:val="24"/>
          <w:szCs w:val="24"/>
        </w:rPr>
        <w:t xml:space="preserve"> </w:t>
      </w:r>
      <w:r w:rsidR="009F1D6F">
        <w:rPr>
          <w:rFonts w:ascii="Arial" w:hAnsi="Arial" w:cs="Arial"/>
          <w:sz w:val="24"/>
          <w:szCs w:val="24"/>
        </w:rPr>
        <w:t xml:space="preserve">are </w:t>
      </w:r>
      <w:r w:rsidR="009A10F4">
        <w:rPr>
          <w:rFonts w:ascii="Arial" w:hAnsi="Arial" w:cs="Arial"/>
          <w:sz w:val="24"/>
          <w:szCs w:val="24"/>
        </w:rPr>
        <w:t>pushed away</w:t>
      </w:r>
      <w:r w:rsidR="007E3B13">
        <w:rPr>
          <w:rFonts w:ascii="Arial" w:hAnsi="Arial" w:cs="Arial"/>
          <w:sz w:val="24"/>
          <w:szCs w:val="24"/>
        </w:rPr>
        <w:t xml:space="preserve">. Both the labia majora and labia minora </w:t>
      </w:r>
      <w:r w:rsidR="009A10F4">
        <w:rPr>
          <w:rFonts w:ascii="Arial" w:hAnsi="Arial" w:cs="Arial"/>
          <w:sz w:val="24"/>
          <w:szCs w:val="24"/>
        </w:rPr>
        <w:t xml:space="preserve">form </w:t>
      </w:r>
      <w:r w:rsidR="007E3B13">
        <w:rPr>
          <w:rFonts w:ascii="Arial" w:hAnsi="Arial" w:cs="Arial"/>
          <w:sz w:val="24"/>
          <w:szCs w:val="24"/>
        </w:rPr>
        <w:t>part of the female genital organ. The doctor further testified, that the minor bruises could be caused by a finger or any oth</w:t>
      </w:r>
      <w:r w:rsidR="009A10F4">
        <w:rPr>
          <w:rFonts w:ascii="Arial" w:hAnsi="Arial" w:cs="Arial"/>
          <w:sz w:val="24"/>
          <w:szCs w:val="24"/>
        </w:rPr>
        <w:t>er thing. Finally, that the injuries (referring to the redness on the para-urethral fort of the complainant)</w:t>
      </w:r>
      <w:r w:rsidR="007E3B13">
        <w:rPr>
          <w:rFonts w:ascii="Arial" w:hAnsi="Arial" w:cs="Arial"/>
          <w:sz w:val="24"/>
          <w:szCs w:val="24"/>
        </w:rPr>
        <w:t xml:space="preserve"> fit the time and circumstances of the alleged incident. </w:t>
      </w:r>
      <w:r w:rsidR="009A10F4">
        <w:rPr>
          <w:rFonts w:ascii="Arial" w:hAnsi="Arial" w:cs="Arial"/>
          <w:sz w:val="24"/>
          <w:szCs w:val="24"/>
        </w:rPr>
        <w:t>According to the doctor’s testimony, the medical examination of the complainant only took place more or less 72 hours after the alleged incident.</w:t>
      </w:r>
    </w:p>
    <w:p w:rsidR="00786894" w:rsidRPr="00786894" w:rsidRDefault="00786894" w:rsidP="00E80076">
      <w:pPr>
        <w:spacing w:line="360" w:lineRule="auto"/>
        <w:jc w:val="both"/>
        <w:rPr>
          <w:rFonts w:ascii="Arial" w:hAnsi="Arial" w:cs="Arial"/>
          <w:sz w:val="24"/>
          <w:szCs w:val="24"/>
          <w:u w:val="single"/>
        </w:rPr>
      </w:pPr>
      <w:r w:rsidRPr="00786894">
        <w:rPr>
          <w:rFonts w:ascii="Arial" w:hAnsi="Arial" w:cs="Arial"/>
          <w:sz w:val="24"/>
          <w:szCs w:val="24"/>
          <w:u w:val="single"/>
        </w:rPr>
        <w:t>Submissions before this court</w:t>
      </w:r>
    </w:p>
    <w:p w:rsidR="00F04BEA" w:rsidRDefault="00F04BEA" w:rsidP="00E80076">
      <w:pPr>
        <w:spacing w:line="360" w:lineRule="auto"/>
        <w:jc w:val="both"/>
        <w:rPr>
          <w:rFonts w:ascii="Arial" w:hAnsi="Arial" w:cs="Arial"/>
          <w:sz w:val="24"/>
          <w:szCs w:val="24"/>
        </w:rPr>
      </w:pPr>
      <w:r>
        <w:rPr>
          <w:rFonts w:ascii="Arial" w:hAnsi="Arial" w:cs="Arial"/>
          <w:sz w:val="24"/>
          <w:szCs w:val="24"/>
        </w:rPr>
        <w:t>[</w:t>
      </w:r>
      <w:r w:rsidR="009F1D6F">
        <w:rPr>
          <w:rFonts w:ascii="Arial" w:hAnsi="Arial" w:cs="Arial"/>
          <w:sz w:val="24"/>
          <w:szCs w:val="24"/>
        </w:rPr>
        <w:t>14</w:t>
      </w:r>
      <w:r>
        <w:rPr>
          <w:rFonts w:ascii="Arial" w:hAnsi="Arial" w:cs="Arial"/>
          <w:sz w:val="24"/>
          <w:szCs w:val="24"/>
        </w:rPr>
        <w:t>]</w:t>
      </w:r>
      <w:r>
        <w:rPr>
          <w:rFonts w:ascii="Arial" w:hAnsi="Arial" w:cs="Arial"/>
          <w:sz w:val="24"/>
          <w:szCs w:val="24"/>
        </w:rPr>
        <w:tab/>
        <w:t>During the appeal hearing on 14 December 2016, the following submissions were made:</w:t>
      </w:r>
    </w:p>
    <w:p w:rsidR="00F04BEA" w:rsidRPr="00786894" w:rsidRDefault="00F04BEA" w:rsidP="00E80076">
      <w:pPr>
        <w:spacing w:line="360" w:lineRule="auto"/>
        <w:jc w:val="both"/>
        <w:rPr>
          <w:rFonts w:ascii="Arial" w:hAnsi="Arial" w:cs="Arial"/>
          <w:i/>
          <w:sz w:val="24"/>
          <w:szCs w:val="24"/>
        </w:rPr>
      </w:pPr>
      <w:r w:rsidRPr="00786894">
        <w:rPr>
          <w:rFonts w:ascii="Arial" w:hAnsi="Arial" w:cs="Arial"/>
          <w:i/>
          <w:sz w:val="24"/>
          <w:szCs w:val="24"/>
        </w:rPr>
        <w:t>Counsel for the Appellant</w:t>
      </w:r>
    </w:p>
    <w:p w:rsidR="009A10F4" w:rsidRDefault="001D133B" w:rsidP="00E80076">
      <w:pPr>
        <w:spacing w:line="360" w:lineRule="auto"/>
        <w:jc w:val="both"/>
        <w:rPr>
          <w:rFonts w:ascii="Arial" w:hAnsi="Arial" w:cs="Arial"/>
          <w:sz w:val="24"/>
          <w:szCs w:val="24"/>
        </w:rPr>
      </w:pPr>
      <w:r>
        <w:rPr>
          <w:rFonts w:ascii="Arial" w:hAnsi="Arial" w:cs="Arial"/>
          <w:sz w:val="24"/>
          <w:szCs w:val="24"/>
        </w:rPr>
        <w:t>[15</w:t>
      </w:r>
      <w:r w:rsidR="00F64487">
        <w:rPr>
          <w:rFonts w:ascii="Arial" w:hAnsi="Arial" w:cs="Arial"/>
          <w:sz w:val="24"/>
          <w:szCs w:val="24"/>
        </w:rPr>
        <w:t>]</w:t>
      </w:r>
      <w:r w:rsidR="00F64487">
        <w:rPr>
          <w:rFonts w:ascii="Arial" w:hAnsi="Arial" w:cs="Arial"/>
          <w:sz w:val="24"/>
          <w:szCs w:val="24"/>
        </w:rPr>
        <w:tab/>
      </w:r>
      <w:r>
        <w:rPr>
          <w:rFonts w:ascii="Arial" w:hAnsi="Arial" w:cs="Arial"/>
          <w:sz w:val="24"/>
          <w:szCs w:val="24"/>
        </w:rPr>
        <w:t>Mr. Christi</w:t>
      </w:r>
      <w:r w:rsidR="009A10F4">
        <w:rPr>
          <w:rFonts w:ascii="Arial" w:hAnsi="Arial" w:cs="Arial"/>
          <w:sz w:val="24"/>
          <w:szCs w:val="24"/>
        </w:rPr>
        <w:t>ans conceded that an act of an indecent nature occurred on the couch on the evening in question, but was adamant that that act did not constitute penetration as provided in the Combating of Rape Act</w:t>
      </w:r>
      <w:r>
        <w:rPr>
          <w:rStyle w:val="FootnoteReference"/>
          <w:rFonts w:ascii="Arial" w:hAnsi="Arial" w:cs="Arial"/>
          <w:sz w:val="24"/>
          <w:szCs w:val="24"/>
        </w:rPr>
        <w:footnoteReference w:id="4"/>
      </w:r>
      <w:r>
        <w:rPr>
          <w:rFonts w:ascii="Arial" w:hAnsi="Arial" w:cs="Arial"/>
          <w:sz w:val="24"/>
          <w:szCs w:val="24"/>
        </w:rPr>
        <w:t xml:space="preserve"> (hereafter the Act)</w:t>
      </w:r>
      <w:r w:rsidR="009A10F4">
        <w:rPr>
          <w:rFonts w:ascii="Arial" w:hAnsi="Arial" w:cs="Arial"/>
          <w:sz w:val="24"/>
          <w:szCs w:val="24"/>
        </w:rPr>
        <w:t xml:space="preserve">. It was his submission that the appellant should have been convicted of indecent assault and not rape. </w:t>
      </w:r>
      <w:r w:rsidR="00C97009">
        <w:rPr>
          <w:rFonts w:ascii="Arial" w:hAnsi="Arial" w:cs="Arial"/>
          <w:sz w:val="24"/>
          <w:szCs w:val="24"/>
        </w:rPr>
        <w:t>Furthermore, that the appellant should accordingly not have been sentenced to fifteen years of which five years were conditionally suspended.</w:t>
      </w:r>
    </w:p>
    <w:p w:rsidR="000D2719" w:rsidRDefault="000D2719" w:rsidP="00E80076">
      <w:pPr>
        <w:spacing w:line="360" w:lineRule="auto"/>
        <w:jc w:val="both"/>
        <w:rPr>
          <w:rFonts w:ascii="Arial" w:hAnsi="Arial" w:cs="Arial"/>
          <w:sz w:val="24"/>
          <w:szCs w:val="24"/>
        </w:rPr>
      </w:pPr>
    </w:p>
    <w:p w:rsidR="000D2719" w:rsidRDefault="000D2719" w:rsidP="00E80076">
      <w:pPr>
        <w:spacing w:line="360" w:lineRule="auto"/>
        <w:jc w:val="both"/>
        <w:rPr>
          <w:rFonts w:ascii="Arial" w:hAnsi="Arial" w:cs="Arial"/>
          <w:sz w:val="24"/>
          <w:szCs w:val="24"/>
        </w:rPr>
      </w:pPr>
    </w:p>
    <w:p w:rsidR="00F04BEA" w:rsidRPr="00786894" w:rsidRDefault="00F04BEA" w:rsidP="00E80076">
      <w:pPr>
        <w:spacing w:line="360" w:lineRule="auto"/>
        <w:jc w:val="both"/>
        <w:rPr>
          <w:rFonts w:ascii="Arial" w:hAnsi="Arial" w:cs="Arial"/>
          <w:i/>
          <w:sz w:val="24"/>
          <w:szCs w:val="24"/>
        </w:rPr>
      </w:pPr>
      <w:r w:rsidRPr="00786894">
        <w:rPr>
          <w:rFonts w:ascii="Arial" w:hAnsi="Arial" w:cs="Arial"/>
          <w:i/>
          <w:sz w:val="24"/>
          <w:szCs w:val="24"/>
        </w:rPr>
        <w:t>Counsel for the Respondent</w:t>
      </w:r>
    </w:p>
    <w:p w:rsidR="00C97009" w:rsidRDefault="001D133B" w:rsidP="00E80076">
      <w:pPr>
        <w:spacing w:line="360" w:lineRule="auto"/>
        <w:jc w:val="both"/>
        <w:rPr>
          <w:rFonts w:ascii="Arial" w:hAnsi="Arial" w:cs="Arial"/>
          <w:sz w:val="24"/>
          <w:szCs w:val="24"/>
        </w:rPr>
      </w:pPr>
      <w:r>
        <w:rPr>
          <w:rFonts w:ascii="Arial" w:hAnsi="Arial" w:cs="Arial"/>
          <w:sz w:val="24"/>
          <w:szCs w:val="24"/>
        </w:rPr>
        <w:t>[16</w:t>
      </w:r>
      <w:r w:rsidR="00F64487">
        <w:rPr>
          <w:rFonts w:ascii="Arial" w:hAnsi="Arial" w:cs="Arial"/>
          <w:sz w:val="24"/>
          <w:szCs w:val="24"/>
        </w:rPr>
        <w:t>]</w:t>
      </w:r>
      <w:r w:rsidR="00F64487">
        <w:rPr>
          <w:rFonts w:ascii="Arial" w:hAnsi="Arial" w:cs="Arial"/>
          <w:sz w:val="24"/>
          <w:szCs w:val="24"/>
        </w:rPr>
        <w:tab/>
      </w:r>
      <w:r w:rsidR="009A10F4">
        <w:rPr>
          <w:rFonts w:ascii="Arial" w:hAnsi="Arial" w:cs="Arial"/>
          <w:sz w:val="24"/>
          <w:szCs w:val="24"/>
        </w:rPr>
        <w:t xml:space="preserve">On the flip side of the coin, Mr. </w:t>
      </w:r>
      <w:proofErr w:type="spellStart"/>
      <w:r w:rsidR="009A10F4">
        <w:rPr>
          <w:rFonts w:ascii="Arial" w:hAnsi="Arial" w:cs="Arial"/>
          <w:sz w:val="24"/>
          <w:szCs w:val="24"/>
        </w:rPr>
        <w:t>Moyo</w:t>
      </w:r>
      <w:proofErr w:type="spellEnd"/>
      <w:r w:rsidR="009A10F4">
        <w:rPr>
          <w:rFonts w:ascii="Arial" w:hAnsi="Arial" w:cs="Arial"/>
          <w:sz w:val="24"/>
          <w:szCs w:val="24"/>
        </w:rPr>
        <w:t xml:space="preserve"> argued that, penetration as pr</w:t>
      </w:r>
      <w:r>
        <w:rPr>
          <w:rFonts w:ascii="Arial" w:hAnsi="Arial" w:cs="Arial"/>
          <w:sz w:val="24"/>
          <w:szCs w:val="24"/>
        </w:rPr>
        <w:t xml:space="preserve">ovided by the </w:t>
      </w:r>
      <w:r w:rsidR="009A10F4">
        <w:rPr>
          <w:rFonts w:ascii="Arial" w:hAnsi="Arial" w:cs="Arial"/>
          <w:sz w:val="24"/>
          <w:szCs w:val="24"/>
        </w:rPr>
        <w:t>Act did take place</w:t>
      </w:r>
      <w:r>
        <w:rPr>
          <w:rFonts w:ascii="Arial" w:hAnsi="Arial" w:cs="Arial"/>
          <w:sz w:val="24"/>
          <w:szCs w:val="24"/>
        </w:rPr>
        <w:t xml:space="preserve"> and was proven beyond a reasonable doubt</w:t>
      </w:r>
      <w:r w:rsidR="00016A6B">
        <w:rPr>
          <w:rFonts w:ascii="Arial" w:hAnsi="Arial" w:cs="Arial"/>
          <w:sz w:val="24"/>
          <w:szCs w:val="24"/>
        </w:rPr>
        <w:t>. It was his submission that</w:t>
      </w:r>
      <w:r w:rsidR="009A10F4">
        <w:rPr>
          <w:rFonts w:ascii="Arial" w:hAnsi="Arial" w:cs="Arial"/>
          <w:sz w:val="24"/>
          <w:szCs w:val="24"/>
        </w:rPr>
        <w:t xml:space="preserve"> the appellant inserted moved around his finger into the vagina of</w:t>
      </w:r>
      <w:r w:rsidR="00016A6B">
        <w:rPr>
          <w:rFonts w:ascii="Arial" w:hAnsi="Arial" w:cs="Arial"/>
          <w:sz w:val="24"/>
          <w:szCs w:val="24"/>
        </w:rPr>
        <w:t xml:space="preserve"> the complainant. The</w:t>
      </w:r>
      <w:r>
        <w:rPr>
          <w:rFonts w:ascii="Arial" w:hAnsi="Arial" w:cs="Arial"/>
          <w:sz w:val="24"/>
          <w:szCs w:val="24"/>
        </w:rPr>
        <w:t xml:space="preserve"> in</w:t>
      </w:r>
      <w:r w:rsidR="00016A6B">
        <w:rPr>
          <w:rFonts w:ascii="Arial" w:hAnsi="Arial" w:cs="Arial"/>
          <w:sz w:val="24"/>
          <w:szCs w:val="24"/>
        </w:rPr>
        <w:t>sertion</w:t>
      </w:r>
      <w:r>
        <w:rPr>
          <w:rFonts w:ascii="Arial" w:hAnsi="Arial" w:cs="Arial"/>
          <w:sz w:val="24"/>
          <w:szCs w:val="24"/>
        </w:rPr>
        <w:t xml:space="preserve"> and mov</w:t>
      </w:r>
      <w:r w:rsidR="00016A6B">
        <w:rPr>
          <w:rFonts w:ascii="Arial" w:hAnsi="Arial" w:cs="Arial"/>
          <w:sz w:val="24"/>
          <w:szCs w:val="24"/>
        </w:rPr>
        <w:t>ing</w:t>
      </w:r>
      <w:r w:rsidR="009A10F4">
        <w:rPr>
          <w:rFonts w:ascii="Arial" w:hAnsi="Arial" w:cs="Arial"/>
          <w:sz w:val="24"/>
          <w:szCs w:val="24"/>
        </w:rPr>
        <w:t xml:space="preserve"> around of the appellant’s finger in the complainant’s vagina caused redness on her para-urethral and this redness was on</w:t>
      </w:r>
      <w:r>
        <w:rPr>
          <w:rFonts w:ascii="Arial" w:hAnsi="Arial" w:cs="Arial"/>
          <w:sz w:val="24"/>
          <w:szCs w:val="24"/>
        </w:rPr>
        <w:t xml:space="preserve">ly visible ones the labia </w:t>
      </w:r>
      <w:proofErr w:type="spellStart"/>
      <w:r>
        <w:rPr>
          <w:rFonts w:ascii="Arial" w:hAnsi="Arial" w:cs="Arial"/>
          <w:sz w:val="24"/>
          <w:szCs w:val="24"/>
        </w:rPr>
        <w:t>minora</w:t>
      </w:r>
      <w:proofErr w:type="spellEnd"/>
      <w:r w:rsidR="009A10F4">
        <w:rPr>
          <w:rFonts w:ascii="Arial" w:hAnsi="Arial" w:cs="Arial"/>
          <w:sz w:val="24"/>
          <w:szCs w:val="24"/>
        </w:rPr>
        <w:t xml:space="preserve"> and labia </w:t>
      </w:r>
      <w:proofErr w:type="spellStart"/>
      <w:r w:rsidR="009A10F4">
        <w:rPr>
          <w:rFonts w:ascii="Arial" w:hAnsi="Arial" w:cs="Arial"/>
          <w:sz w:val="24"/>
          <w:szCs w:val="24"/>
        </w:rPr>
        <w:t>mijora</w:t>
      </w:r>
      <w:proofErr w:type="spellEnd"/>
      <w:r w:rsidR="009A10F4">
        <w:rPr>
          <w:rFonts w:ascii="Arial" w:hAnsi="Arial" w:cs="Arial"/>
          <w:sz w:val="24"/>
          <w:szCs w:val="24"/>
        </w:rPr>
        <w:t xml:space="preserve"> were opened. In support of </w:t>
      </w:r>
      <w:r>
        <w:rPr>
          <w:rFonts w:ascii="Arial" w:hAnsi="Arial" w:cs="Arial"/>
          <w:sz w:val="24"/>
          <w:szCs w:val="24"/>
        </w:rPr>
        <w:t xml:space="preserve">his </w:t>
      </w:r>
      <w:r w:rsidR="009A10F4">
        <w:rPr>
          <w:rFonts w:ascii="Arial" w:hAnsi="Arial" w:cs="Arial"/>
          <w:sz w:val="24"/>
          <w:szCs w:val="24"/>
        </w:rPr>
        <w:t>submission</w:t>
      </w:r>
      <w:r w:rsidR="001B63CD">
        <w:rPr>
          <w:rFonts w:ascii="Arial" w:hAnsi="Arial" w:cs="Arial"/>
          <w:sz w:val="24"/>
          <w:szCs w:val="24"/>
        </w:rPr>
        <w:t>,</w:t>
      </w:r>
      <w:r w:rsidR="009A10F4">
        <w:rPr>
          <w:rFonts w:ascii="Arial" w:hAnsi="Arial" w:cs="Arial"/>
          <w:sz w:val="24"/>
          <w:szCs w:val="24"/>
        </w:rPr>
        <w:t xml:space="preserve"> Mr</w:t>
      </w:r>
      <w:r w:rsidR="00C97009">
        <w:rPr>
          <w:rFonts w:ascii="Arial" w:hAnsi="Arial" w:cs="Arial"/>
          <w:sz w:val="24"/>
          <w:szCs w:val="24"/>
        </w:rPr>
        <w:t>.</w:t>
      </w:r>
      <w:r w:rsidR="009A10F4">
        <w:rPr>
          <w:rFonts w:ascii="Arial" w:hAnsi="Arial" w:cs="Arial"/>
          <w:sz w:val="24"/>
          <w:szCs w:val="24"/>
        </w:rPr>
        <w:t xml:space="preserve"> </w:t>
      </w:r>
      <w:proofErr w:type="spellStart"/>
      <w:r w:rsidR="009A10F4">
        <w:rPr>
          <w:rFonts w:ascii="Arial" w:hAnsi="Arial" w:cs="Arial"/>
          <w:sz w:val="24"/>
          <w:szCs w:val="24"/>
        </w:rPr>
        <w:t>Moyo</w:t>
      </w:r>
      <w:proofErr w:type="spellEnd"/>
      <w:r w:rsidR="009A10F4">
        <w:rPr>
          <w:rFonts w:ascii="Arial" w:hAnsi="Arial" w:cs="Arial"/>
          <w:sz w:val="24"/>
          <w:szCs w:val="24"/>
        </w:rPr>
        <w:t xml:space="preserve"> referred to </w:t>
      </w:r>
      <w:proofErr w:type="spellStart"/>
      <w:r w:rsidR="009A10F4">
        <w:rPr>
          <w:rFonts w:ascii="Arial" w:hAnsi="Arial" w:cs="Arial"/>
          <w:sz w:val="24"/>
          <w:szCs w:val="24"/>
        </w:rPr>
        <w:t>ss</w:t>
      </w:r>
      <w:proofErr w:type="spellEnd"/>
      <w:r w:rsidR="009A10F4">
        <w:rPr>
          <w:rFonts w:ascii="Arial" w:hAnsi="Arial" w:cs="Arial"/>
          <w:sz w:val="24"/>
          <w:szCs w:val="24"/>
        </w:rPr>
        <w:t xml:space="preserve"> 1(1</w:t>
      </w:r>
      <w:proofErr w:type="gramStart"/>
      <w:r w:rsidR="001B63CD">
        <w:rPr>
          <w:rFonts w:ascii="Arial" w:hAnsi="Arial" w:cs="Arial"/>
          <w:sz w:val="24"/>
          <w:szCs w:val="24"/>
        </w:rPr>
        <w:t>)(</w:t>
      </w:r>
      <w:proofErr w:type="gramEnd"/>
      <w:r w:rsidR="001B63CD">
        <w:rPr>
          <w:rFonts w:ascii="Arial" w:hAnsi="Arial" w:cs="Arial"/>
          <w:sz w:val="24"/>
          <w:szCs w:val="24"/>
        </w:rPr>
        <w:t>a) and (b) of the</w:t>
      </w:r>
      <w:r w:rsidR="009A10F4">
        <w:rPr>
          <w:rFonts w:ascii="Arial" w:hAnsi="Arial" w:cs="Arial"/>
          <w:sz w:val="24"/>
          <w:szCs w:val="24"/>
        </w:rPr>
        <w:t xml:space="preserve"> Rape Act. </w:t>
      </w:r>
      <w:r w:rsidR="00C97009">
        <w:rPr>
          <w:rFonts w:ascii="Arial" w:hAnsi="Arial" w:cs="Arial"/>
          <w:sz w:val="24"/>
          <w:szCs w:val="24"/>
        </w:rPr>
        <w:t xml:space="preserve">On the sentence, it was submitted that the trial court committed no misdirection in sentencing the appellant. </w:t>
      </w:r>
    </w:p>
    <w:p w:rsidR="009D0644" w:rsidRPr="000D2719" w:rsidRDefault="00786894" w:rsidP="00E80076">
      <w:pPr>
        <w:spacing w:line="360" w:lineRule="auto"/>
        <w:jc w:val="both"/>
        <w:rPr>
          <w:rFonts w:ascii="Arial" w:hAnsi="Arial" w:cs="Arial"/>
          <w:sz w:val="24"/>
          <w:szCs w:val="24"/>
          <w:u w:val="single"/>
        </w:rPr>
      </w:pPr>
      <w:r w:rsidRPr="000D2719">
        <w:rPr>
          <w:rFonts w:ascii="Arial" w:hAnsi="Arial" w:cs="Arial"/>
          <w:sz w:val="24"/>
          <w:szCs w:val="24"/>
          <w:u w:val="single"/>
        </w:rPr>
        <w:t>Applicable legal p</w:t>
      </w:r>
      <w:r w:rsidR="009D0644" w:rsidRPr="000D2719">
        <w:rPr>
          <w:rFonts w:ascii="Arial" w:hAnsi="Arial" w:cs="Arial"/>
          <w:sz w:val="24"/>
          <w:szCs w:val="24"/>
          <w:u w:val="single"/>
        </w:rPr>
        <w:t>rinciples</w:t>
      </w:r>
    </w:p>
    <w:p w:rsidR="00F04BEA" w:rsidRPr="002D0616" w:rsidRDefault="00F04BEA" w:rsidP="00E80076">
      <w:pPr>
        <w:spacing w:line="360" w:lineRule="auto"/>
        <w:jc w:val="both"/>
        <w:rPr>
          <w:rFonts w:ascii="Arial" w:hAnsi="Arial" w:cs="Arial"/>
        </w:rPr>
      </w:pPr>
      <w:r w:rsidRPr="002D0616">
        <w:rPr>
          <w:rFonts w:ascii="Arial" w:hAnsi="Arial" w:cs="Arial"/>
        </w:rPr>
        <w:t>[</w:t>
      </w:r>
      <w:r w:rsidR="00F64487">
        <w:rPr>
          <w:rFonts w:ascii="Arial" w:hAnsi="Arial" w:cs="Arial"/>
        </w:rPr>
        <w:t>1</w:t>
      </w:r>
      <w:r w:rsidR="001B63CD">
        <w:rPr>
          <w:rFonts w:ascii="Arial" w:hAnsi="Arial" w:cs="Arial"/>
        </w:rPr>
        <w:t>7</w:t>
      </w:r>
      <w:r w:rsidRPr="002D0616">
        <w:rPr>
          <w:rFonts w:ascii="Arial" w:hAnsi="Arial" w:cs="Arial"/>
        </w:rPr>
        <w:t>]</w:t>
      </w:r>
      <w:r w:rsidRPr="002D0616">
        <w:rPr>
          <w:rFonts w:ascii="Arial" w:hAnsi="Arial" w:cs="Arial"/>
        </w:rPr>
        <w:tab/>
      </w:r>
      <w:r w:rsidR="00226842" w:rsidRPr="002D0616">
        <w:rPr>
          <w:rFonts w:ascii="Arial" w:hAnsi="Arial" w:cs="Arial"/>
        </w:rPr>
        <w:t xml:space="preserve"> </w:t>
      </w:r>
      <w:r w:rsidR="009D0644" w:rsidRPr="001B63CD">
        <w:rPr>
          <w:rFonts w:ascii="Arial" w:hAnsi="Arial" w:cs="Arial"/>
          <w:sz w:val="24"/>
          <w:szCs w:val="24"/>
        </w:rPr>
        <w:t>S</w:t>
      </w:r>
      <w:r w:rsidR="00016A6B">
        <w:rPr>
          <w:rFonts w:ascii="Arial" w:hAnsi="Arial" w:cs="Arial"/>
          <w:sz w:val="24"/>
          <w:szCs w:val="24"/>
        </w:rPr>
        <w:t>ection</w:t>
      </w:r>
      <w:r w:rsidR="009D0644" w:rsidRPr="001B63CD">
        <w:rPr>
          <w:rFonts w:ascii="Arial" w:hAnsi="Arial" w:cs="Arial"/>
          <w:sz w:val="24"/>
          <w:szCs w:val="24"/>
        </w:rPr>
        <w:t xml:space="preserve"> 1(1</w:t>
      </w:r>
      <w:proofErr w:type="gramStart"/>
      <w:r w:rsidR="009D0644" w:rsidRPr="001B63CD">
        <w:rPr>
          <w:rFonts w:ascii="Arial" w:hAnsi="Arial" w:cs="Arial"/>
          <w:sz w:val="24"/>
          <w:szCs w:val="24"/>
        </w:rPr>
        <w:t>)(</w:t>
      </w:r>
      <w:proofErr w:type="gramEnd"/>
      <w:r w:rsidR="009D0644" w:rsidRPr="001B63CD">
        <w:rPr>
          <w:rFonts w:ascii="Arial" w:hAnsi="Arial" w:cs="Arial"/>
          <w:sz w:val="24"/>
          <w:szCs w:val="24"/>
        </w:rPr>
        <w:t>b) a</w:t>
      </w:r>
      <w:r w:rsidR="001B63CD">
        <w:rPr>
          <w:rFonts w:ascii="Arial" w:hAnsi="Arial" w:cs="Arial"/>
          <w:sz w:val="24"/>
          <w:szCs w:val="24"/>
        </w:rPr>
        <w:t xml:space="preserve">nd (c) of the </w:t>
      </w:r>
      <w:r w:rsidR="009D0644" w:rsidRPr="001B63CD">
        <w:rPr>
          <w:rFonts w:ascii="Arial" w:hAnsi="Arial" w:cs="Arial"/>
          <w:sz w:val="24"/>
          <w:szCs w:val="24"/>
        </w:rPr>
        <w:t>Act provides the following</w:t>
      </w:r>
      <w:r w:rsidR="009D0644" w:rsidRPr="002D0616">
        <w:rPr>
          <w:rFonts w:ascii="Arial" w:hAnsi="Arial" w:cs="Arial"/>
        </w:rPr>
        <w:t>:</w:t>
      </w:r>
    </w:p>
    <w:p w:rsidR="009D0644" w:rsidRPr="002D0616" w:rsidRDefault="009D0644" w:rsidP="00E80076">
      <w:pPr>
        <w:spacing w:after="0" w:line="360" w:lineRule="auto"/>
        <w:rPr>
          <w:rFonts w:ascii="Arial" w:hAnsi="Arial" w:cs="Arial"/>
        </w:rPr>
      </w:pPr>
      <w:r w:rsidRPr="00F64487">
        <w:rPr>
          <w:rFonts w:ascii="Arial" w:hAnsi="Arial" w:cs="Arial"/>
          <w:bCs/>
        </w:rPr>
        <w:t>‘"</w:t>
      </w:r>
      <w:proofErr w:type="gramStart"/>
      <w:r w:rsidRPr="00F64487">
        <w:rPr>
          <w:rFonts w:ascii="Arial" w:hAnsi="Arial" w:cs="Arial"/>
          <w:bCs/>
        </w:rPr>
        <w:t>sexual</w:t>
      </w:r>
      <w:proofErr w:type="gramEnd"/>
      <w:r w:rsidRPr="00F64487">
        <w:rPr>
          <w:rFonts w:ascii="Arial" w:hAnsi="Arial" w:cs="Arial"/>
          <w:bCs/>
        </w:rPr>
        <w:t xml:space="preserve"> act</w:t>
      </w:r>
      <w:r w:rsidRPr="002D0616">
        <w:rPr>
          <w:rFonts w:ascii="Arial" w:hAnsi="Arial" w:cs="Arial"/>
          <w:b/>
          <w:bCs/>
        </w:rPr>
        <w:t>"</w:t>
      </w:r>
      <w:r w:rsidRPr="002D0616">
        <w:rPr>
          <w:rFonts w:ascii="Arial" w:hAnsi="Arial" w:cs="Arial"/>
        </w:rPr>
        <w:t xml:space="preserve"> means-</w:t>
      </w:r>
    </w:p>
    <w:p w:rsidR="009D0644" w:rsidRPr="002D0616" w:rsidRDefault="009D0644" w:rsidP="00E80076">
      <w:pPr>
        <w:pStyle w:val="TI"/>
        <w:tabs>
          <w:tab w:val="clear" w:pos="283"/>
          <w:tab w:val="clear" w:pos="861"/>
          <w:tab w:val="clear" w:pos="1293"/>
          <w:tab w:val="left" w:pos="0"/>
          <w:tab w:val="left" w:pos="851"/>
        </w:tabs>
        <w:spacing w:line="360" w:lineRule="auto"/>
        <w:ind w:left="0" w:firstLine="0"/>
        <w:jc w:val="both"/>
        <w:rPr>
          <w:rFonts w:ascii="Arial" w:hAnsi="Arial" w:cs="Arial"/>
          <w:color w:val="000000"/>
          <w:sz w:val="22"/>
          <w:szCs w:val="22"/>
        </w:rPr>
      </w:pPr>
      <w:r w:rsidRPr="002D0616">
        <w:rPr>
          <w:rFonts w:ascii="Arial" w:hAnsi="Arial" w:cs="Arial"/>
          <w:iCs/>
          <w:color w:val="000000"/>
          <w:sz w:val="22"/>
          <w:szCs w:val="22"/>
        </w:rPr>
        <w:t>(b</w:t>
      </w:r>
      <w:r w:rsidRPr="002D0616">
        <w:rPr>
          <w:rFonts w:ascii="Arial" w:hAnsi="Arial" w:cs="Arial"/>
          <w:iCs/>
          <w:color w:val="000000"/>
          <w:sz w:val="22"/>
          <w:szCs w:val="22"/>
          <w:u w:val="single"/>
        </w:rPr>
        <w:t>)</w:t>
      </w:r>
      <w:r w:rsidR="002D0616">
        <w:rPr>
          <w:rFonts w:ascii="Arial" w:hAnsi="Arial" w:cs="Arial"/>
          <w:i/>
          <w:iCs/>
          <w:color w:val="000000"/>
          <w:sz w:val="22"/>
          <w:szCs w:val="22"/>
        </w:rPr>
        <w:tab/>
      </w:r>
      <w:r w:rsidRPr="002D0616">
        <w:rPr>
          <w:rFonts w:ascii="Arial" w:hAnsi="Arial" w:cs="Arial"/>
          <w:color w:val="000000"/>
          <w:sz w:val="22"/>
          <w:szCs w:val="22"/>
          <w:u w:val="single"/>
        </w:rPr>
        <w:t>the insertion of any other part of the body of a person or of an</w:t>
      </w:r>
      <w:r w:rsidR="002D0616" w:rsidRPr="002D0616">
        <w:rPr>
          <w:rFonts w:ascii="Arial" w:hAnsi="Arial" w:cs="Arial"/>
          <w:color w:val="000000"/>
          <w:sz w:val="22"/>
          <w:szCs w:val="22"/>
          <w:u w:val="single"/>
        </w:rPr>
        <w:t xml:space="preserve">y part of the body of an animal </w:t>
      </w:r>
      <w:r w:rsidRPr="002D0616">
        <w:rPr>
          <w:rFonts w:ascii="Arial" w:hAnsi="Arial" w:cs="Arial"/>
          <w:color w:val="000000"/>
          <w:sz w:val="22"/>
          <w:szCs w:val="22"/>
          <w:u w:val="single"/>
        </w:rPr>
        <w:t>or of any object into the vagina or anus of another person</w:t>
      </w:r>
      <w:proofErr w:type="gramStart"/>
      <w:r w:rsidRPr="002D0616">
        <w:rPr>
          <w:rFonts w:ascii="Arial" w:hAnsi="Arial" w:cs="Arial"/>
          <w:color w:val="000000"/>
          <w:sz w:val="22"/>
          <w:szCs w:val="22"/>
        </w:rPr>
        <w:t>,</w:t>
      </w:r>
      <w:r w:rsidR="00E80076">
        <w:rPr>
          <w:rFonts w:ascii="Arial" w:hAnsi="Arial" w:cs="Arial"/>
          <w:color w:val="000000"/>
          <w:sz w:val="22"/>
          <w:szCs w:val="22"/>
        </w:rPr>
        <w:t>[</w:t>
      </w:r>
      <w:proofErr w:type="gramEnd"/>
      <w:r w:rsidR="00E80076">
        <w:rPr>
          <w:rFonts w:ascii="Arial" w:hAnsi="Arial" w:cs="Arial"/>
          <w:color w:val="000000"/>
          <w:sz w:val="22"/>
          <w:szCs w:val="22"/>
        </w:rPr>
        <w:t>my emphasis]</w:t>
      </w:r>
      <w:r w:rsidRPr="002D0616">
        <w:rPr>
          <w:rFonts w:ascii="Arial" w:hAnsi="Arial" w:cs="Arial"/>
          <w:color w:val="000000"/>
          <w:sz w:val="22"/>
          <w:szCs w:val="22"/>
        </w:rPr>
        <w:t xml:space="preserve"> except where such insertion of any part of the body (other than the penis) of a person or of any object into the vagina or anus of another person is, consistent with sound medical practices, carried out for proper medical purposes; or</w:t>
      </w:r>
    </w:p>
    <w:p w:rsidR="009D0644" w:rsidRPr="002D0616" w:rsidRDefault="009D0644" w:rsidP="00E80076">
      <w:pPr>
        <w:pStyle w:val="TI"/>
        <w:spacing w:line="360" w:lineRule="auto"/>
        <w:jc w:val="both"/>
        <w:rPr>
          <w:rFonts w:ascii="Arial" w:hAnsi="Arial" w:cs="Arial"/>
          <w:color w:val="000000"/>
          <w:sz w:val="22"/>
          <w:szCs w:val="22"/>
        </w:rPr>
      </w:pPr>
      <w:r w:rsidRPr="002D0616">
        <w:rPr>
          <w:rFonts w:ascii="Arial" w:hAnsi="Arial" w:cs="Arial"/>
          <w:iCs/>
          <w:color w:val="000000"/>
          <w:sz w:val="22"/>
          <w:szCs w:val="22"/>
        </w:rPr>
        <w:t>(c)</w:t>
      </w:r>
      <w:r w:rsidRPr="002D0616">
        <w:rPr>
          <w:rFonts w:ascii="Arial" w:hAnsi="Arial" w:cs="Arial"/>
          <w:i/>
          <w:iCs/>
          <w:color w:val="000000"/>
          <w:sz w:val="22"/>
          <w:szCs w:val="22"/>
        </w:rPr>
        <w:tab/>
      </w:r>
      <w:r w:rsidR="002D0616">
        <w:rPr>
          <w:rFonts w:ascii="Arial" w:hAnsi="Arial" w:cs="Arial"/>
          <w:i/>
          <w:iCs/>
          <w:color w:val="000000"/>
          <w:sz w:val="22"/>
          <w:szCs w:val="22"/>
        </w:rPr>
        <w:tab/>
      </w:r>
      <w:proofErr w:type="gramStart"/>
      <w:r w:rsidRPr="002D0616">
        <w:rPr>
          <w:rFonts w:ascii="Arial" w:hAnsi="Arial" w:cs="Arial"/>
          <w:color w:val="000000"/>
          <w:sz w:val="22"/>
          <w:szCs w:val="22"/>
        </w:rPr>
        <w:t>cunnilingus</w:t>
      </w:r>
      <w:proofErr w:type="gramEnd"/>
      <w:r w:rsidRPr="002D0616">
        <w:rPr>
          <w:rFonts w:ascii="Arial" w:hAnsi="Arial" w:cs="Arial"/>
          <w:color w:val="000000"/>
          <w:sz w:val="22"/>
          <w:szCs w:val="22"/>
        </w:rPr>
        <w:t xml:space="preserve"> or any other form of genital stimulation;</w:t>
      </w:r>
    </w:p>
    <w:p w:rsidR="009D0644" w:rsidRDefault="009D0644" w:rsidP="00E80076">
      <w:pPr>
        <w:spacing w:after="0" w:line="360" w:lineRule="auto"/>
        <w:jc w:val="both"/>
        <w:rPr>
          <w:rFonts w:ascii="Arial" w:hAnsi="Arial" w:cs="Arial"/>
          <w:u w:val="single"/>
        </w:rPr>
      </w:pPr>
      <w:r w:rsidRPr="00F64487">
        <w:rPr>
          <w:rFonts w:ascii="Arial" w:hAnsi="Arial" w:cs="Arial"/>
          <w:bCs/>
          <w:u w:val="single"/>
        </w:rPr>
        <w:t>"</w:t>
      </w:r>
      <w:proofErr w:type="gramStart"/>
      <w:r w:rsidRPr="00F64487">
        <w:rPr>
          <w:rFonts w:ascii="Arial" w:hAnsi="Arial" w:cs="Arial"/>
          <w:bCs/>
          <w:u w:val="single"/>
        </w:rPr>
        <w:t>vagina</w:t>
      </w:r>
      <w:proofErr w:type="gramEnd"/>
      <w:r w:rsidRPr="00F64487">
        <w:rPr>
          <w:rFonts w:ascii="Arial" w:hAnsi="Arial" w:cs="Arial"/>
          <w:bCs/>
          <w:u w:val="single"/>
        </w:rPr>
        <w:t>"</w:t>
      </w:r>
      <w:r w:rsidRPr="002D0616">
        <w:rPr>
          <w:rFonts w:ascii="Arial" w:hAnsi="Arial" w:cs="Arial"/>
          <w:u w:val="single"/>
        </w:rPr>
        <w:t xml:space="preserve"> includes any part of the female genital organ.’</w:t>
      </w:r>
      <w:r w:rsidR="00E80076">
        <w:rPr>
          <w:rFonts w:ascii="Arial" w:hAnsi="Arial" w:cs="Arial"/>
          <w:u w:val="single"/>
        </w:rPr>
        <w:t>[</w:t>
      </w:r>
      <w:proofErr w:type="gramStart"/>
      <w:r w:rsidR="00E80076">
        <w:rPr>
          <w:rFonts w:ascii="Arial" w:hAnsi="Arial" w:cs="Arial"/>
          <w:u w:val="single"/>
        </w:rPr>
        <w:t>my</w:t>
      </w:r>
      <w:proofErr w:type="gramEnd"/>
      <w:r w:rsidR="00E80076">
        <w:rPr>
          <w:rFonts w:ascii="Arial" w:hAnsi="Arial" w:cs="Arial"/>
          <w:u w:val="single"/>
        </w:rPr>
        <w:t xml:space="preserve"> emphasis]</w:t>
      </w:r>
    </w:p>
    <w:p w:rsidR="00E80076" w:rsidRPr="00E80076" w:rsidRDefault="00E80076" w:rsidP="00E80076">
      <w:pPr>
        <w:spacing w:after="0" w:line="360" w:lineRule="auto"/>
        <w:jc w:val="both"/>
        <w:rPr>
          <w:rFonts w:ascii="Arial" w:hAnsi="Arial" w:cs="Arial"/>
          <w:u w:val="single"/>
        </w:rPr>
      </w:pPr>
    </w:p>
    <w:p w:rsidR="009D0644" w:rsidRPr="00016A6B" w:rsidRDefault="00E80076" w:rsidP="00E80076">
      <w:pPr>
        <w:spacing w:line="360" w:lineRule="auto"/>
        <w:jc w:val="both"/>
        <w:rPr>
          <w:rFonts w:ascii="Arial" w:hAnsi="Arial" w:cs="Arial"/>
          <w:sz w:val="24"/>
          <w:szCs w:val="24"/>
        </w:rPr>
      </w:pPr>
      <w:r w:rsidRPr="00016A6B">
        <w:rPr>
          <w:rFonts w:ascii="Arial" w:hAnsi="Arial" w:cs="Arial"/>
          <w:sz w:val="24"/>
          <w:szCs w:val="24"/>
        </w:rPr>
        <w:t>[</w:t>
      </w:r>
      <w:r w:rsidR="001B63CD" w:rsidRPr="00016A6B">
        <w:rPr>
          <w:rFonts w:ascii="Arial" w:hAnsi="Arial" w:cs="Arial"/>
          <w:sz w:val="24"/>
          <w:szCs w:val="24"/>
        </w:rPr>
        <w:t>18</w:t>
      </w:r>
      <w:r w:rsidRPr="00016A6B">
        <w:rPr>
          <w:rFonts w:ascii="Arial" w:hAnsi="Arial" w:cs="Arial"/>
          <w:sz w:val="24"/>
          <w:szCs w:val="24"/>
        </w:rPr>
        <w:t>]</w:t>
      </w:r>
      <w:r w:rsidRPr="00016A6B">
        <w:rPr>
          <w:rFonts w:ascii="Arial" w:hAnsi="Arial" w:cs="Arial"/>
          <w:sz w:val="24"/>
          <w:szCs w:val="24"/>
        </w:rPr>
        <w:tab/>
      </w:r>
      <w:r w:rsidR="001B63CD" w:rsidRPr="00016A6B">
        <w:rPr>
          <w:rFonts w:ascii="Arial" w:hAnsi="Arial" w:cs="Arial"/>
          <w:sz w:val="24"/>
          <w:szCs w:val="24"/>
        </w:rPr>
        <w:t>S</w:t>
      </w:r>
      <w:r w:rsidR="00016A6B" w:rsidRPr="00016A6B">
        <w:rPr>
          <w:rFonts w:ascii="Arial" w:hAnsi="Arial" w:cs="Arial"/>
          <w:sz w:val="24"/>
          <w:szCs w:val="24"/>
        </w:rPr>
        <w:t>ection</w:t>
      </w:r>
      <w:r w:rsidR="001B63CD" w:rsidRPr="00016A6B">
        <w:rPr>
          <w:rFonts w:ascii="Arial" w:hAnsi="Arial" w:cs="Arial"/>
          <w:sz w:val="24"/>
          <w:szCs w:val="24"/>
        </w:rPr>
        <w:t xml:space="preserve"> 2 (1) of the</w:t>
      </w:r>
      <w:r w:rsidR="00BD662E" w:rsidRPr="00016A6B">
        <w:rPr>
          <w:rFonts w:ascii="Arial" w:hAnsi="Arial" w:cs="Arial"/>
          <w:sz w:val="24"/>
          <w:szCs w:val="24"/>
        </w:rPr>
        <w:t xml:space="preserve"> Act provides the following:</w:t>
      </w:r>
    </w:p>
    <w:p w:rsidR="00BD662E" w:rsidRPr="00016A6B" w:rsidRDefault="009800F4" w:rsidP="00E80076">
      <w:pPr>
        <w:spacing w:after="0" w:line="360" w:lineRule="auto"/>
        <w:jc w:val="both"/>
        <w:rPr>
          <w:rFonts w:ascii="Arial" w:hAnsi="Arial" w:cs="Arial"/>
        </w:rPr>
      </w:pPr>
      <w:r w:rsidRPr="00016A6B">
        <w:rPr>
          <w:rFonts w:ascii="Arial" w:hAnsi="Arial" w:cs="Arial"/>
        </w:rPr>
        <w:t>‘</w:t>
      </w:r>
      <w:r w:rsidR="00BD662E" w:rsidRPr="00016A6B">
        <w:rPr>
          <w:rFonts w:ascii="Arial" w:hAnsi="Arial" w:cs="Arial"/>
        </w:rPr>
        <w:t>Any person (in this Act referred to as a perpetrator) who intentionally under coercive circumstances-</w:t>
      </w:r>
    </w:p>
    <w:p w:rsidR="009800F4" w:rsidRPr="00016A6B" w:rsidRDefault="00BD662E" w:rsidP="009800F4">
      <w:pPr>
        <w:pStyle w:val="TI"/>
        <w:numPr>
          <w:ilvl w:val="0"/>
          <w:numId w:val="1"/>
        </w:numPr>
        <w:tabs>
          <w:tab w:val="clear" w:pos="283"/>
          <w:tab w:val="clear" w:pos="861"/>
          <w:tab w:val="clear" w:pos="1293"/>
          <w:tab w:val="left" w:pos="900"/>
        </w:tabs>
        <w:spacing w:line="360" w:lineRule="auto"/>
        <w:ind w:hanging="1260"/>
        <w:jc w:val="both"/>
        <w:rPr>
          <w:rFonts w:ascii="Arial" w:hAnsi="Arial" w:cs="Arial"/>
          <w:color w:val="000000"/>
        </w:rPr>
      </w:pPr>
      <w:proofErr w:type="gramStart"/>
      <w:r w:rsidRPr="00016A6B">
        <w:rPr>
          <w:rFonts w:ascii="Arial" w:hAnsi="Arial" w:cs="Arial"/>
          <w:color w:val="000000"/>
        </w:rPr>
        <w:t>commits</w:t>
      </w:r>
      <w:proofErr w:type="gramEnd"/>
      <w:r w:rsidRPr="00016A6B">
        <w:rPr>
          <w:rFonts w:ascii="Arial" w:hAnsi="Arial" w:cs="Arial"/>
          <w:color w:val="000000"/>
        </w:rPr>
        <w:t xml:space="preserve"> or continues to commit a se</w:t>
      </w:r>
      <w:r w:rsidR="009800F4" w:rsidRPr="00016A6B">
        <w:rPr>
          <w:rFonts w:ascii="Arial" w:hAnsi="Arial" w:cs="Arial"/>
          <w:color w:val="000000"/>
        </w:rPr>
        <w:t xml:space="preserve">xual act with another person.’ </w:t>
      </w:r>
    </w:p>
    <w:p w:rsidR="00BD662E" w:rsidRPr="00016A6B" w:rsidRDefault="009800F4" w:rsidP="009800F4">
      <w:pPr>
        <w:pStyle w:val="TI"/>
        <w:tabs>
          <w:tab w:val="clear" w:pos="283"/>
          <w:tab w:val="clear" w:pos="861"/>
          <w:tab w:val="clear" w:pos="1293"/>
          <w:tab w:val="clear" w:pos="1865"/>
          <w:tab w:val="left" w:pos="0"/>
          <w:tab w:val="left" w:pos="900"/>
        </w:tabs>
        <w:spacing w:line="360" w:lineRule="auto"/>
        <w:ind w:left="0" w:firstLine="0"/>
        <w:jc w:val="both"/>
        <w:rPr>
          <w:rFonts w:ascii="Arial" w:hAnsi="Arial" w:cs="Arial"/>
          <w:color w:val="000000"/>
        </w:rPr>
      </w:pPr>
      <w:r w:rsidRPr="00016A6B">
        <w:rPr>
          <w:rFonts w:ascii="Arial" w:hAnsi="Arial" w:cs="Arial"/>
          <w:color w:val="000000"/>
        </w:rPr>
        <w:t>[</w:t>
      </w:r>
      <w:r w:rsidR="001B63CD" w:rsidRPr="00016A6B">
        <w:rPr>
          <w:rFonts w:ascii="Arial" w:hAnsi="Arial" w:cs="Arial"/>
          <w:color w:val="000000"/>
        </w:rPr>
        <w:t>19</w:t>
      </w:r>
      <w:r w:rsidRPr="00016A6B">
        <w:rPr>
          <w:rFonts w:ascii="Arial" w:hAnsi="Arial" w:cs="Arial"/>
          <w:color w:val="000000"/>
        </w:rPr>
        <w:t>]</w:t>
      </w:r>
      <w:r w:rsidRPr="00016A6B">
        <w:rPr>
          <w:rFonts w:ascii="Arial" w:hAnsi="Arial" w:cs="Arial"/>
          <w:color w:val="000000"/>
        </w:rPr>
        <w:tab/>
        <w:t>In terms of s 2(2) of th</w:t>
      </w:r>
      <w:r w:rsidR="001B63CD" w:rsidRPr="00016A6B">
        <w:rPr>
          <w:rFonts w:ascii="Arial" w:hAnsi="Arial" w:cs="Arial"/>
          <w:color w:val="000000"/>
        </w:rPr>
        <w:t xml:space="preserve">e </w:t>
      </w:r>
      <w:r w:rsidRPr="00016A6B">
        <w:rPr>
          <w:rFonts w:ascii="Arial" w:hAnsi="Arial" w:cs="Arial"/>
          <w:color w:val="000000"/>
        </w:rPr>
        <w:t xml:space="preserve">Act </w:t>
      </w:r>
      <w:r w:rsidR="001B63CD" w:rsidRPr="00016A6B">
        <w:rPr>
          <w:rFonts w:ascii="Arial" w:hAnsi="Arial" w:cs="Arial"/>
        </w:rPr>
        <w:t>c</w:t>
      </w:r>
      <w:r w:rsidR="00BD662E" w:rsidRPr="00016A6B">
        <w:rPr>
          <w:rFonts w:ascii="Arial" w:hAnsi="Arial" w:cs="Arial"/>
        </w:rPr>
        <w:t>oercive circumstances</w:t>
      </w:r>
      <w:r w:rsidRPr="00016A6B">
        <w:rPr>
          <w:rFonts w:ascii="Arial" w:hAnsi="Arial" w:cs="Arial"/>
        </w:rPr>
        <w:t xml:space="preserve"> to include, but are </w:t>
      </w:r>
      <w:r w:rsidR="00BD662E" w:rsidRPr="00016A6B">
        <w:rPr>
          <w:rFonts w:ascii="Arial" w:hAnsi="Arial" w:cs="Arial"/>
        </w:rPr>
        <w:t>not limited to the following:</w:t>
      </w:r>
    </w:p>
    <w:p w:rsidR="00BD662E" w:rsidRPr="00016A6B" w:rsidRDefault="009800F4" w:rsidP="009800F4">
      <w:pPr>
        <w:pStyle w:val="TI"/>
        <w:tabs>
          <w:tab w:val="clear" w:pos="861"/>
          <w:tab w:val="clear" w:pos="1293"/>
          <w:tab w:val="left" w:pos="900"/>
        </w:tabs>
        <w:spacing w:line="360" w:lineRule="auto"/>
        <w:ind w:left="0" w:firstLine="0"/>
        <w:jc w:val="both"/>
        <w:rPr>
          <w:rFonts w:ascii="Arial" w:hAnsi="Arial" w:cs="Arial"/>
          <w:color w:val="000000"/>
        </w:rPr>
      </w:pPr>
      <w:r w:rsidRPr="00016A6B">
        <w:rPr>
          <w:rFonts w:ascii="Arial" w:hAnsi="Arial" w:cs="Arial"/>
        </w:rPr>
        <w:t xml:space="preserve"> a)</w:t>
      </w:r>
      <w:r w:rsidRPr="00016A6B">
        <w:rPr>
          <w:rFonts w:ascii="Arial" w:hAnsi="Arial" w:cs="Arial"/>
        </w:rPr>
        <w:tab/>
      </w:r>
      <w:r w:rsidRPr="00016A6B">
        <w:rPr>
          <w:rFonts w:ascii="Arial" w:hAnsi="Arial" w:cs="Arial"/>
        </w:rPr>
        <w:tab/>
      </w:r>
      <w:r w:rsidR="00BD662E" w:rsidRPr="00016A6B">
        <w:rPr>
          <w:rFonts w:ascii="Arial" w:hAnsi="Arial" w:cs="Arial"/>
          <w:color w:val="000000"/>
        </w:rPr>
        <w:t>circumstances where the complainant is under th</w:t>
      </w:r>
      <w:r w:rsidR="00E80076" w:rsidRPr="00016A6B">
        <w:rPr>
          <w:rFonts w:ascii="Arial" w:hAnsi="Arial" w:cs="Arial"/>
          <w:color w:val="000000"/>
        </w:rPr>
        <w:t xml:space="preserve">e age of fourteen years and the </w:t>
      </w:r>
      <w:r w:rsidR="00BD662E" w:rsidRPr="00016A6B">
        <w:rPr>
          <w:rFonts w:ascii="Arial" w:hAnsi="Arial" w:cs="Arial"/>
          <w:color w:val="000000"/>
        </w:rPr>
        <w:t>perpetrator is more than three years older than the complainant;</w:t>
      </w:r>
      <w:r w:rsidRPr="00016A6B">
        <w:rPr>
          <w:rFonts w:ascii="Arial" w:hAnsi="Arial" w:cs="Arial"/>
          <w:color w:val="000000"/>
        </w:rPr>
        <w:t>’ and</w:t>
      </w:r>
    </w:p>
    <w:p w:rsidR="00BD662E" w:rsidRPr="00016A6B" w:rsidRDefault="009800F4" w:rsidP="009800F4">
      <w:pPr>
        <w:pStyle w:val="TRI"/>
        <w:tabs>
          <w:tab w:val="clear" w:pos="283"/>
          <w:tab w:val="clear" w:pos="861"/>
          <w:tab w:val="left" w:pos="900"/>
          <w:tab w:val="decimal" w:pos="1260"/>
        </w:tabs>
        <w:spacing w:line="360" w:lineRule="auto"/>
        <w:jc w:val="both"/>
        <w:rPr>
          <w:rFonts w:ascii="Arial" w:hAnsi="Arial" w:cs="Arial"/>
          <w:color w:val="000000"/>
        </w:rPr>
      </w:pPr>
      <w:r w:rsidRPr="00016A6B">
        <w:rPr>
          <w:rFonts w:ascii="Arial" w:hAnsi="Arial" w:cs="Arial"/>
        </w:rPr>
        <w:t>b)</w:t>
      </w:r>
      <w:r w:rsidRPr="00016A6B">
        <w:rPr>
          <w:rFonts w:ascii="Arial" w:hAnsi="Arial" w:cs="Arial"/>
        </w:rPr>
        <w:tab/>
        <w:t>‘</w:t>
      </w:r>
      <w:proofErr w:type="gramStart"/>
      <w:r w:rsidR="00BD662E" w:rsidRPr="00016A6B">
        <w:rPr>
          <w:rFonts w:ascii="Arial" w:hAnsi="Arial" w:cs="Arial"/>
          <w:color w:val="000000"/>
        </w:rPr>
        <w:t>sleep</w:t>
      </w:r>
      <w:proofErr w:type="gramEnd"/>
      <w:r w:rsidR="00BD662E" w:rsidRPr="00016A6B">
        <w:rPr>
          <w:rFonts w:ascii="Arial" w:hAnsi="Arial" w:cs="Arial"/>
          <w:color w:val="000000"/>
        </w:rPr>
        <w:t>,</w:t>
      </w:r>
    </w:p>
    <w:p w:rsidR="001B63CD" w:rsidRPr="00016A6B" w:rsidRDefault="00BD662E" w:rsidP="00E80076">
      <w:pPr>
        <w:pStyle w:val="TI"/>
        <w:tabs>
          <w:tab w:val="clear" w:pos="861"/>
          <w:tab w:val="clear" w:pos="1293"/>
          <w:tab w:val="left" w:pos="0"/>
        </w:tabs>
        <w:spacing w:line="360" w:lineRule="auto"/>
        <w:ind w:left="0" w:firstLine="0"/>
        <w:jc w:val="both"/>
        <w:rPr>
          <w:rFonts w:ascii="Arial" w:hAnsi="Arial" w:cs="Arial"/>
          <w:color w:val="000000"/>
        </w:rPr>
      </w:pPr>
      <w:proofErr w:type="gramStart"/>
      <w:r w:rsidRPr="00016A6B">
        <w:rPr>
          <w:rFonts w:ascii="Arial" w:hAnsi="Arial" w:cs="Arial"/>
          <w:color w:val="000000"/>
        </w:rPr>
        <w:t>to</w:t>
      </w:r>
      <w:proofErr w:type="gramEnd"/>
      <w:r w:rsidRPr="00016A6B">
        <w:rPr>
          <w:rFonts w:ascii="Arial" w:hAnsi="Arial" w:cs="Arial"/>
          <w:color w:val="000000"/>
        </w:rPr>
        <w:t xml:space="preserve"> such an extent that the complainant is rendered incapable of understanding the nature of the sexual act or is deprived of the opportunity to communicate unwillingness to submit to or to commit the sexual act;</w:t>
      </w:r>
      <w:r w:rsidR="009800F4" w:rsidRPr="00016A6B">
        <w:rPr>
          <w:rFonts w:ascii="Arial" w:hAnsi="Arial" w:cs="Arial"/>
          <w:color w:val="000000"/>
        </w:rPr>
        <w:t>’</w:t>
      </w:r>
    </w:p>
    <w:p w:rsidR="00786894" w:rsidRPr="00016A6B" w:rsidRDefault="00786894" w:rsidP="00E80076">
      <w:pPr>
        <w:pStyle w:val="TI"/>
        <w:tabs>
          <w:tab w:val="clear" w:pos="861"/>
          <w:tab w:val="clear" w:pos="1293"/>
          <w:tab w:val="left" w:pos="0"/>
        </w:tabs>
        <w:spacing w:line="360" w:lineRule="auto"/>
        <w:ind w:left="0" w:firstLine="0"/>
        <w:jc w:val="both"/>
        <w:rPr>
          <w:rFonts w:ascii="Arial" w:hAnsi="Arial" w:cs="Arial"/>
          <w:color w:val="000000"/>
        </w:rPr>
      </w:pPr>
    </w:p>
    <w:p w:rsidR="00BD662E" w:rsidRPr="00016A6B" w:rsidRDefault="00786894" w:rsidP="00E80076">
      <w:pPr>
        <w:spacing w:line="360" w:lineRule="auto"/>
        <w:jc w:val="both"/>
        <w:rPr>
          <w:rFonts w:ascii="Arial" w:hAnsi="Arial" w:cs="Arial"/>
          <w:sz w:val="24"/>
          <w:szCs w:val="24"/>
          <w:u w:val="single"/>
        </w:rPr>
      </w:pPr>
      <w:r w:rsidRPr="00016A6B">
        <w:rPr>
          <w:rFonts w:ascii="Arial" w:hAnsi="Arial" w:cs="Arial"/>
          <w:sz w:val="24"/>
          <w:szCs w:val="24"/>
          <w:u w:val="single"/>
        </w:rPr>
        <w:t>Application of the law to the evidence</w:t>
      </w:r>
    </w:p>
    <w:p w:rsidR="00BD662E" w:rsidRDefault="00BD662E"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20</w:t>
      </w:r>
      <w:r>
        <w:rPr>
          <w:rFonts w:ascii="Arial" w:hAnsi="Arial" w:cs="Arial"/>
          <w:sz w:val="24"/>
          <w:szCs w:val="24"/>
        </w:rPr>
        <w:t>]</w:t>
      </w:r>
      <w:r>
        <w:rPr>
          <w:rFonts w:ascii="Arial" w:hAnsi="Arial" w:cs="Arial"/>
          <w:sz w:val="24"/>
          <w:szCs w:val="24"/>
        </w:rPr>
        <w:tab/>
        <w:t xml:space="preserve">What is clear from the </w:t>
      </w:r>
      <w:r w:rsidR="008F24AD">
        <w:rPr>
          <w:rFonts w:ascii="Arial" w:hAnsi="Arial" w:cs="Arial"/>
          <w:sz w:val="24"/>
          <w:szCs w:val="24"/>
        </w:rPr>
        <w:t>testimonies</w:t>
      </w:r>
      <w:r w:rsidR="00BE2779">
        <w:rPr>
          <w:rFonts w:ascii="Arial" w:hAnsi="Arial" w:cs="Arial"/>
          <w:sz w:val="24"/>
          <w:szCs w:val="24"/>
        </w:rPr>
        <w:t xml:space="preserve"> of the complainant</w:t>
      </w:r>
      <w:r>
        <w:rPr>
          <w:rFonts w:ascii="Arial" w:hAnsi="Arial" w:cs="Arial"/>
          <w:sz w:val="24"/>
          <w:szCs w:val="24"/>
        </w:rPr>
        <w:t xml:space="preserve">, her minor sister, the cousin as well as the doctor is that, the complainant was eight years old at </w:t>
      </w:r>
      <w:r w:rsidR="00BE2779">
        <w:rPr>
          <w:rFonts w:ascii="Arial" w:hAnsi="Arial" w:cs="Arial"/>
          <w:sz w:val="24"/>
          <w:szCs w:val="24"/>
        </w:rPr>
        <w:t>the time of</w:t>
      </w:r>
      <w:r w:rsidR="001B63CD">
        <w:rPr>
          <w:rFonts w:ascii="Arial" w:hAnsi="Arial" w:cs="Arial"/>
          <w:sz w:val="24"/>
          <w:szCs w:val="24"/>
        </w:rPr>
        <w:t xml:space="preserve"> the incident. That on</w:t>
      </w:r>
      <w:r w:rsidR="00BE2779">
        <w:rPr>
          <w:rFonts w:ascii="Arial" w:hAnsi="Arial" w:cs="Arial"/>
          <w:sz w:val="24"/>
          <w:szCs w:val="24"/>
        </w:rPr>
        <w:t xml:space="preserve"> </w:t>
      </w:r>
      <w:r w:rsidR="008F24AD">
        <w:rPr>
          <w:rFonts w:ascii="Arial" w:hAnsi="Arial" w:cs="Arial"/>
          <w:sz w:val="24"/>
          <w:szCs w:val="24"/>
        </w:rPr>
        <w:t>a day in August 2012</w:t>
      </w:r>
      <w:r w:rsidR="00BE2779">
        <w:rPr>
          <w:rFonts w:ascii="Arial" w:hAnsi="Arial" w:cs="Arial"/>
          <w:sz w:val="24"/>
          <w:szCs w:val="24"/>
        </w:rPr>
        <w:t>, a Zimbabwean man</w:t>
      </w:r>
      <w:r>
        <w:rPr>
          <w:rFonts w:ascii="Arial" w:hAnsi="Arial" w:cs="Arial"/>
          <w:sz w:val="24"/>
          <w:szCs w:val="24"/>
        </w:rPr>
        <w:t xml:space="preserve"> came to their house to watch a soc</w:t>
      </w:r>
      <w:r w:rsidR="00BE2779">
        <w:rPr>
          <w:rFonts w:ascii="Arial" w:hAnsi="Arial" w:cs="Arial"/>
          <w:sz w:val="24"/>
          <w:szCs w:val="24"/>
        </w:rPr>
        <w:t>cer match. In the evening of the same day, the 20</w:t>
      </w:r>
      <w:r w:rsidR="00BE2779" w:rsidRPr="00BE2779">
        <w:rPr>
          <w:rFonts w:ascii="Arial" w:hAnsi="Arial" w:cs="Arial"/>
          <w:sz w:val="24"/>
          <w:szCs w:val="24"/>
          <w:vertAlign w:val="superscript"/>
        </w:rPr>
        <w:t>th</w:t>
      </w:r>
      <w:r w:rsidR="00BE2779">
        <w:rPr>
          <w:rFonts w:ascii="Arial" w:hAnsi="Arial" w:cs="Arial"/>
          <w:sz w:val="24"/>
          <w:szCs w:val="24"/>
        </w:rPr>
        <w:t xml:space="preserve"> August 2012</w:t>
      </w:r>
      <w:r w:rsidR="00D030D5">
        <w:rPr>
          <w:rFonts w:ascii="Arial" w:hAnsi="Arial" w:cs="Arial"/>
          <w:sz w:val="24"/>
          <w:szCs w:val="24"/>
        </w:rPr>
        <w:t>, the complainant and her sister were</w:t>
      </w:r>
      <w:r w:rsidR="00BE2779">
        <w:rPr>
          <w:rFonts w:ascii="Arial" w:hAnsi="Arial" w:cs="Arial"/>
          <w:sz w:val="24"/>
          <w:szCs w:val="24"/>
        </w:rPr>
        <w:t xml:space="preserve"> watching the match with their parents and the appellant. The two girls</w:t>
      </w:r>
      <w:r w:rsidR="00D030D5">
        <w:rPr>
          <w:rFonts w:ascii="Arial" w:hAnsi="Arial" w:cs="Arial"/>
          <w:sz w:val="24"/>
          <w:szCs w:val="24"/>
        </w:rPr>
        <w:t xml:space="preserve"> </w:t>
      </w:r>
      <w:r w:rsidR="00BE2779">
        <w:rPr>
          <w:rFonts w:ascii="Arial" w:hAnsi="Arial" w:cs="Arial"/>
          <w:sz w:val="24"/>
          <w:szCs w:val="24"/>
        </w:rPr>
        <w:t xml:space="preserve">were </w:t>
      </w:r>
      <w:r w:rsidR="00D030D5">
        <w:rPr>
          <w:rFonts w:ascii="Arial" w:hAnsi="Arial" w:cs="Arial"/>
          <w:sz w:val="24"/>
          <w:szCs w:val="24"/>
        </w:rPr>
        <w:t>sittin</w:t>
      </w:r>
      <w:r w:rsidR="00BE2779">
        <w:rPr>
          <w:rFonts w:ascii="Arial" w:hAnsi="Arial" w:cs="Arial"/>
          <w:sz w:val="24"/>
          <w:szCs w:val="24"/>
        </w:rPr>
        <w:t xml:space="preserve">g </w:t>
      </w:r>
      <w:r w:rsidR="00D030D5">
        <w:rPr>
          <w:rFonts w:ascii="Arial" w:hAnsi="Arial" w:cs="Arial"/>
          <w:sz w:val="24"/>
          <w:szCs w:val="24"/>
        </w:rPr>
        <w:t>on the sam</w:t>
      </w:r>
      <w:r w:rsidR="00BE2779">
        <w:rPr>
          <w:rFonts w:ascii="Arial" w:hAnsi="Arial" w:cs="Arial"/>
          <w:sz w:val="24"/>
          <w:szCs w:val="24"/>
        </w:rPr>
        <w:t>e couch as the appellant throughout.</w:t>
      </w:r>
      <w:r w:rsidR="00D030D5">
        <w:rPr>
          <w:rFonts w:ascii="Arial" w:hAnsi="Arial" w:cs="Arial"/>
          <w:sz w:val="24"/>
          <w:szCs w:val="24"/>
        </w:rPr>
        <w:t xml:space="preserve"> At some point before the match had ended their parents went to their room to sleep. The two girls and the appellan</w:t>
      </w:r>
      <w:r w:rsidR="00BE2779">
        <w:rPr>
          <w:rFonts w:ascii="Arial" w:hAnsi="Arial" w:cs="Arial"/>
          <w:sz w:val="24"/>
          <w:szCs w:val="24"/>
        </w:rPr>
        <w:t>t continued to watch the match. The two minors fell asleep on the couch while watching the match. It was while asleep on the same couch as th</w:t>
      </w:r>
      <w:r w:rsidR="008F24AD">
        <w:rPr>
          <w:rFonts w:ascii="Arial" w:hAnsi="Arial" w:cs="Arial"/>
          <w:sz w:val="24"/>
          <w:szCs w:val="24"/>
        </w:rPr>
        <w:t>e appellant</w:t>
      </w:r>
      <w:r w:rsidR="00BE2779">
        <w:rPr>
          <w:rFonts w:ascii="Arial" w:hAnsi="Arial" w:cs="Arial"/>
          <w:sz w:val="24"/>
          <w:szCs w:val="24"/>
        </w:rPr>
        <w:t>, that t</w:t>
      </w:r>
      <w:r w:rsidR="00D030D5">
        <w:rPr>
          <w:rFonts w:ascii="Arial" w:hAnsi="Arial" w:cs="Arial"/>
          <w:sz w:val="24"/>
          <w:szCs w:val="24"/>
        </w:rPr>
        <w:t>he c</w:t>
      </w:r>
      <w:r w:rsidR="00BE2779">
        <w:rPr>
          <w:rFonts w:ascii="Arial" w:hAnsi="Arial" w:cs="Arial"/>
          <w:sz w:val="24"/>
          <w:szCs w:val="24"/>
        </w:rPr>
        <w:t>omplainant’s younger sister felt</w:t>
      </w:r>
      <w:r w:rsidR="00D030D5">
        <w:rPr>
          <w:rFonts w:ascii="Arial" w:hAnsi="Arial" w:cs="Arial"/>
          <w:sz w:val="24"/>
          <w:szCs w:val="24"/>
        </w:rPr>
        <w:t xml:space="preserve"> something touching her vagina so she</w:t>
      </w:r>
      <w:r w:rsidR="00BE2779">
        <w:rPr>
          <w:rFonts w:ascii="Arial" w:hAnsi="Arial" w:cs="Arial"/>
          <w:sz w:val="24"/>
          <w:szCs w:val="24"/>
        </w:rPr>
        <w:t xml:space="preserve"> got up and went to her parents’ </w:t>
      </w:r>
      <w:r w:rsidR="00D030D5">
        <w:rPr>
          <w:rFonts w:ascii="Arial" w:hAnsi="Arial" w:cs="Arial"/>
          <w:sz w:val="24"/>
          <w:szCs w:val="24"/>
        </w:rPr>
        <w:t>room. However, before she left for her parents</w:t>
      </w:r>
      <w:r w:rsidR="00BE2779">
        <w:rPr>
          <w:rFonts w:ascii="Arial" w:hAnsi="Arial" w:cs="Arial"/>
          <w:sz w:val="24"/>
          <w:szCs w:val="24"/>
        </w:rPr>
        <w:t>’</w:t>
      </w:r>
      <w:r w:rsidR="00D030D5">
        <w:rPr>
          <w:rFonts w:ascii="Arial" w:hAnsi="Arial" w:cs="Arial"/>
          <w:sz w:val="24"/>
          <w:szCs w:val="24"/>
        </w:rPr>
        <w:t xml:space="preserve"> room, she turned</w:t>
      </w:r>
      <w:r w:rsidR="00BE2779">
        <w:rPr>
          <w:rFonts w:ascii="Arial" w:hAnsi="Arial" w:cs="Arial"/>
          <w:sz w:val="24"/>
          <w:szCs w:val="24"/>
        </w:rPr>
        <w:t xml:space="preserve"> around after getting up and</w:t>
      </w:r>
      <w:r w:rsidR="00D030D5">
        <w:rPr>
          <w:rFonts w:ascii="Arial" w:hAnsi="Arial" w:cs="Arial"/>
          <w:sz w:val="24"/>
          <w:szCs w:val="24"/>
        </w:rPr>
        <w:t xml:space="preserve"> saw the appellant and the complainant lying on the couch. After the younger sister had left, the complainant was woken up by the appellant’s finger that was moving around in her private part</w:t>
      </w:r>
      <w:r w:rsidR="00BE2779">
        <w:rPr>
          <w:rFonts w:ascii="Arial" w:hAnsi="Arial" w:cs="Arial"/>
          <w:sz w:val="24"/>
          <w:szCs w:val="24"/>
        </w:rPr>
        <w:t>s</w:t>
      </w:r>
      <w:r w:rsidR="00D030D5">
        <w:rPr>
          <w:rFonts w:ascii="Arial" w:hAnsi="Arial" w:cs="Arial"/>
          <w:sz w:val="24"/>
          <w:szCs w:val="24"/>
        </w:rPr>
        <w:t>. She</w:t>
      </w:r>
      <w:r w:rsidR="001B63CD">
        <w:rPr>
          <w:rFonts w:ascii="Arial" w:hAnsi="Arial" w:cs="Arial"/>
          <w:sz w:val="24"/>
          <w:szCs w:val="24"/>
        </w:rPr>
        <w:t xml:space="preserve"> could not</w:t>
      </w:r>
      <w:r w:rsidR="00D030D5">
        <w:rPr>
          <w:rFonts w:ascii="Arial" w:hAnsi="Arial" w:cs="Arial"/>
          <w:sz w:val="24"/>
          <w:szCs w:val="24"/>
        </w:rPr>
        <w:t xml:space="preserve"> ca</w:t>
      </w:r>
      <w:r w:rsidR="00BE2779">
        <w:rPr>
          <w:rFonts w:ascii="Arial" w:hAnsi="Arial" w:cs="Arial"/>
          <w:sz w:val="24"/>
          <w:szCs w:val="24"/>
        </w:rPr>
        <w:t>ll for help as the appellant started</w:t>
      </w:r>
      <w:r w:rsidR="00D030D5">
        <w:rPr>
          <w:rFonts w:ascii="Arial" w:hAnsi="Arial" w:cs="Arial"/>
          <w:sz w:val="24"/>
          <w:szCs w:val="24"/>
        </w:rPr>
        <w:t xml:space="preserve"> kissing her. </w:t>
      </w:r>
      <w:r w:rsidR="001B63CD">
        <w:rPr>
          <w:rFonts w:ascii="Arial" w:hAnsi="Arial" w:cs="Arial"/>
          <w:sz w:val="24"/>
          <w:szCs w:val="24"/>
        </w:rPr>
        <w:t>The next day they went to their grandmother’s house. It was at the grandmother’s house that</w:t>
      </w:r>
      <w:r w:rsidR="00D030D5">
        <w:rPr>
          <w:rFonts w:ascii="Arial" w:hAnsi="Arial" w:cs="Arial"/>
          <w:sz w:val="24"/>
          <w:szCs w:val="24"/>
        </w:rPr>
        <w:t>, the appellant told her cousin about the finger that was inserted into her vagina and the narrative was relayed to the grandmother who then informed the complainant’s mother who took the complainant to the clinic. The doc</w:t>
      </w:r>
      <w:r w:rsidR="003C63D0">
        <w:rPr>
          <w:rFonts w:ascii="Arial" w:hAnsi="Arial" w:cs="Arial"/>
          <w:sz w:val="24"/>
          <w:szCs w:val="24"/>
        </w:rPr>
        <w:t>tor found that the hymen was in</w:t>
      </w:r>
      <w:r w:rsidR="00D030D5">
        <w:rPr>
          <w:rFonts w:ascii="Arial" w:hAnsi="Arial" w:cs="Arial"/>
          <w:sz w:val="24"/>
          <w:szCs w:val="24"/>
        </w:rPr>
        <w:t>tact and that everything was normal apart from the redness on the para-urethral fort.</w:t>
      </w:r>
    </w:p>
    <w:p w:rsidR="00120872" w:rsidRDefault="003C63D0"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21</w:t>
      </w:r>
      <w:r>
        <w:rPr>
          <w:rFonts w:ascii="Arial" w:hAnsi="Arial" w:cs="Arial"/>
          <w:sz w:val="24"/>
          <w:szCs w:val="24"/>
        </w:rPr>
        <w:t>]</w:t>
      </w:r>
      <w:r>
        <w:rPr>
          <w:rFonts w:ascii="Arial" w:hAnsi="Arial" w:cs="Arial"/>
          <w:sz w:val="24"/>
          <w:szCs w:val="24"/>
        </w:rPr>
        <w:tab/>
        <w:t>The question is, can</w:t>
      </w:r>
      <w:r w:rsidR="00D030D5">
        <w:rPr>
          <w:rFonts w:ascii="Arial" w:hAnsi="Arial" w:cs="Arial"/>
          <w:sz w:val="24"/>
          <w:szCs w:val="24"/>
        </w:rPr>
        <w:t xml:space="preserve"> the para-urethral fort </w:t>
      </w:r>
      <w:r>
        <w:rPr>
          <w:rFonts w:ascii="Arial" w:hAnsi="Arial" w:cs="Arial"/>
          <w:sz w:val="24"/>
          <w:szCs w:val="24"/>
        </w:rPr>
        <w:t xml:space="preserve">be considered to be part of the </w:t>
      </w:r>
      <w:r w:rsidR="001B63CD">
        <w:rPr>
          <w:rFonts w:ascii="Arial" w:hAnsi="Arial" w:cs="Arial"/>
          <w:sz w:val="24"/>
          <w:szCs w:val="24"/>
        </w:rPr>
        <w:t xml:space="preserve">definition of </w:t>
      </w:r>
      <w:r>
        <w:rPr>
          <w:rFonts w:ascii="Arial" w:hAnsi="Arial" w:cs="Arial"/>
          <w:sz w:val="24"/>
          <w:szCs w:val="24"/>
        </w:rPr>
        <w:t>vagina</w:t>
      </w:r>
      <w:r w:rsidR="001B63CD">
        <w:rPr>
          <w:rFonts w:ascii="Arial" w:hAnsi="Arial" w:cs="Arial"/>
          <w:sz w:val="24"/>
          <w:szCs w:val="24"/>
        </w:rPr>
        <w:t xml:space="preserve"> in terms of the Act?</w:t>
      </w:r>
      <w:r>
        <w:rPr>
          <w:rFonts w:ascii="Arial" w:hAnsi="Arial" w:cs="Arial"/>
          <w:sz w:val="24"/>
          <w:szCs w:val="24"/>
        </w:rPr>
        <w:t xml:space="preserve"> The definition of vagina in the Act as well as the doctor’s testimony makes it clear that it is indeed part </w:t>
      </w:r>
      <w:r w:rsidR="00B60DB7">
        <w:rPr>
          <w:rFonts w:ascii="Arial" w:hAnsi="Arial" w:cs="Arial"/>
          <w:sz w:val="24"/>
          <w:szCs w:val="24"/>
        </w:rPr>
        <w:t>of the f</w:t>
      </w:r>
      <w:r w:rsidR="00120872">
        <w:rPr>
          <w:rFonts w:ascii="Arial" w:hAnsi="Arial" w:cs="Arial"/>
          <w:sz w:val="24"/>
          <w:szCs w:val="24"/>
        </w:rPr>
        <w:t>emale genital organ</w:t>
      </w:r>
      <w:r>
        <w:rPr>
          <w:rFonts w:ascii="Arial" w:hAnsi="Arial" w:cs="Arial"/>
          <w:sz w:val="24"/>
          <w:szCs w:val="24"/>
        </w:rPr>
        <w:t>. This act by the appellant could not have been a mere touching. If after 72 hours since the incident, redness is still visible</w:t>
      </w:r>
      <w:r w:rsidR="00B60DB7">
        <w:rPr>
          <w:rFonts w:ascii="Arial" w:hAnsi="Arial" w:cs="Arial"/>
          <w:sz w:val="24"/>
          <w:szCs w:val="24"/>
        </w:rPr>
        <w:t xml:space="preserve"> on the complainant’s genital organ</w:t>
      </w:r>
      <w:r w:rsidR="00120872">
        <w:rPr>
          <w:rFonts w:ascii="Arial" w:hAnsi="Arial" w:cs="Arial"/>
          <w:sz w:val="24"/>
          <w:szCs w:val="24"/>
        </w:rPr>
        <w:t>s, that is the para-urethral fort,</w:t>
      </w:r>
      <w:r w:rsidR="005352F8">
        <w:rPr>
          <w:rFonts w:ascii="Arial" w:hAnsi="Arial" w:cs="Arial"/>
          <w:sz w:val="24"/>
          <w:szCs w:val="24"/>
        </w:rPr>
        <w:t xml:space="preserve"> then this court </w:t>
      </w:r>
      <w:r w:rsidR="008F24AD">
        <w:rPr>
          <w:rFonts w:ascii="Arial" w:hAnsi="Arial" w:cs="Arial"/>
          <w:sz w:val="24"/>
          <w:szCs w:val="24"/>
        </w:rPr>
        <w:t>can</w:t>
      </w:r>
      <w:r>
        <w:rPr>
          <w:rFonts w:ascii="Arial" w:hAnsi="Arial" w:cs="Arial"/>
          <w:sz w:val="24"/>
          <w:szCs w:val="24"/>
        </w:rPr>
        <w:t xml:space="preserve">not </w:t>
      </w:r>
      <w:r w:rsidR="008F24AD">
        <w:rPr>
          <w:rFonts w:ascii="Arial" w:hAnsi="Arial" w:cs="Arial"/>
          <w:sz w:val="24"/>
          <w:szCs w:val="24"/>
        </w:rPr>
        <w:t xml:space="preserve">be </w:t>
      </w:r>
      <w:r>
        <w:rPr>
          <w:rFonts w:ascii="Arial" w:hAnsi="Arial" w:cs="Arial"/>
          <w:sz w:val="24"/>
          <w:szCs w:val="24"/>
        </w:rPr>
        <w:t>convinced that what happened that evening was a mere touching. This court is satisfied that the appellant in fact inserted his finger although not deep enough into the complainant’s vagina to cause substantial injuries or bruises, but certainly deep enough to constitute in</w:t>
      </w:r>
      <w:r w:rsidR="00B60DB7">
        <w:rPr>
          <w:rFonts w:ascii="Arial" w:hAnsi="Arial" w:cs="Arial"/>
          <w:sz w:val="24"/>
          <w:szCs w:val="24"/>
        </w:rPr>
        <w:t>sertion</w:t>
      </w:r>
      <w:r w:rsidR="005352F8">
        <w:rPr>
          <w:rFonts w:ascii="Arial" w:hAnsi="Arial" w:cs="Arial"/>
          <w:sz w:val="24"/>
          <w:szCs w:val="24"/>
        </w:rPr>
        <w:t xml:space="preserve"> into her genital organ and enough </w:t>
      </w:r>
      <w:r w:rsidR="00B60DB7">
        <w:rPr>
          <w:rFonts w:ascii="Arial" w:hAnsi="Arial" w:cs="Arial"/>
          <w:sz w:val="24"/>
          <w:szCs w:val="24"/>
        </w:rPr>
        <w:t xml:space="preserve">to cause redness on her genital organ. </w:t>
      </w:r>
    </w:p>
    <w:p w:rsidR="00B60DB7" w:rsidRDefault="00B60DB7"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22</w:t>
      </w:r>
      <w:r>
        <w:rPr>
          <w:rFonts w:ascii="Arial" w:hAnsi="Arial" w:cs="Arial"/>
          <w:sz w:val="24"/>
          <w:szCs w:val="24"/>
        </w:rPr>
        <w:t>]</w:t>
      </w:r>
      <w:r>
        <w:rPr>
          <w:rFonts w:ascii="Arial" w:hAnsi="Arial" w:cs="Arial"/>
          <w:sz w:val="24"/>
          <w:szCs w:val="24"/>
        </w:rPr>
        <w:tab/>
        <w:t>At the time of this incident the complainant was eight years old</w:t>
      </w:r>
      <w:r w:rsidR="00120872">
        <w:rPr>
          <w:rFonts w:ascii="Arial" w:hAnsi="Arial" w:cs="Arial"/>
          <w:sz w:val="24"/>
          <w:szCs w:val="24"/>
        </w:rPr>
        <w:t xml:space="preserve"> and the appellant was more than three years older than her. At the particular moment this eight year old girl</w:t>
      </w:r>
      <w:r>
        <w:rPr>
          <w:rFonts w:ascii="Arial" w:hAnsi="Arial" w:cs="Arial"/>
          <w:sz w:val="24"/>
          <w:szCs w:val="24"/>
        </w:rPr>
        <w:t xml:space="preserve"> was asl</w:t>
      </w:r>
      <w:r w:rsidR="00120872">
        <w:rPr>
          <w:rFonts w:ascii="Arial" w:hAnsi="Arial" w:cs="Arial"/>
          <w:sz w:val="24"/>
          <w:szCs w:val="24"/>
        </w:rPr>
        <w:t>eep when the appellant decided to take advantage of her minor age and sleeping state</w:t>
      </w:r>
      <w:r>
        <w:rPr>
          <w:rFonts w:ascii="Arial" w:hAnsi="Arial" w:cs="Arial"/>
          <w:sz w:val="24"/>
          <w:szCs w:val="24"/>
        </w:rPr>
        <w:t xml:space="preserve">. She woke up to find the appellant’s finger moving around in her genital organ. </w:t>
      </w:r>
      <w:r w:rsidR="00120872">
        <w:rPr>
          <w:rFonts w:ascii="Arial" w:hAnsi="Arial" w:cs="Arial"/>
          <w:sz w:val="24"/>
          <w:szCs w:val="24"/>
        </w:rPr>
        <w:t>The complainant was not unconscious, she was able to relay that she was alone with the appellant on the couch at the relevant time, that her panty was moved aside and that the appellant inserted his finger into her although not deep enough. She was able to relay that the lights in the room were off, but the television was on</w:t>
      </w:r>
      <w:r w:rsidR="00016A6B">
        <w:rPr>
          <w:rFonts w:ascii="Arial" w:hAnsi="Arial" w:cs="Arial"/>
          <w:sz w:val="24"/>
          <w:szCs w:val="24"/>
        </w:rPr>
        <w:t>,</w:t>
      </w:r>
      <w:r w:rsidR="00120872">
        <w:rPr>
          <w:rFonts w:ascii="Arial" w:hAnsi="Arial" w:cs="Arial"/>
          <w:sz w:val="24"/>
          <w:szCs w:val="24"/>
        </w:rPr>
        <w:t xml:space="preserve"> and that the appellant kissed her about five times as a result </w:t>
      </w:r>
      <w:r w:rsidR="00016A6B">
        <w:rPr>
          <w:rFonts w:ascii="Arial" w:hAnsi="Arial" w:cs="Arial"/>
          <w:sz w:val="24"/>
          <w:szCs w:val="24"/>
        </w:rPr>
        <w:t xml:space="preserve">of which </w:t>
      </w:r>
      <w:r w:rsidR="00120872">
        <w:rPr>
          <w:rFonts w:ascii="Arial" w:hAnsi="Arial" w:cs="Arial"/>
          <w:sz w:val="24"/>
          <w:szCs w:val="24"/>
        </w:rPr>
        <w:t xml:space="preserve">she could not call her mom. Perhaps she was confused because she did not </w:t>
      </w:r>
      <w:r w:rsidR="001B63CD">
        <w:rPr>
          <w:rFonts w:ascii="Arial" w:hAnsi="Arial" w:cs="Arial"/>
          <w:sz w:val="24"/>
          <w:szCs w:val="24"/>
        </w:rPr>
        <w:t>understand why the appellant had inserted and moved</w:t>
      </w:r>
      <w:r w:rsidR="00120872">
        <w:rPr>
          <w:rFonts w:ascii="Arial" w:hAnsi="Arial" w:cs="Arial"/>
          <w:sz w:val="24"/>
          <w:szCs w:val="24"/>
        </w:rPr>
        <w:t xml:space="preserve"> his </w:t>
      </w:r>
      <w:r w:rsidR="006A4D75">
        <w:rPr>
          <w:rFonts w:ascii="Arial" w:hAnsi="Arial" w:cs="Arial"/>
          <w:sz w:val="24"/>
          <w:szCs w:val="24"/>
        </w:rPr>
        <w:t>finger</w:t>
      </w:r>
      <w:r w:rsidR="001B63CD">
        <w:rPr>
          <w:rFonts w:ascii="Arial" w:hAnsi="Arial" w:cs="Arial"/>
          <w:sz w:val="24"/>
          <w:szCs w:val="24"/>
        </w:rPr>
        <w:t xml:space="preserve"> around</w:t>
      </w:r>
      <w:r w:rsidR="006A4D75">
        <w:rPr>
          <w:rFonts w:ascii="Arial" w:hAnsi="Arial" w:cs="Arial"/>
          <w:sz w:val="24"/>
          <w:szCs w:val="24"/>
        </w:rPr>
        <w:t xml:space="preserve"> in her vagina, but she definitely was not suffering from a concussion as the appellant alleges in his notice of appeal and heads of argument.</w:t>
      </w:r>
    </w:p>
    <w:p w:rsidR="00BE7B20" w:rsidRDefault="00BE7B20"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23</w:t>
      </w:r>
      <w:r>
        <w:rPr>
          <w:rFonts w:ascii="Arial" w:hAnsi="Arial" w:cs="Arial"/>
          <w:sz w:val="24"/>
          <w:szCs w:val="24"/>
        </w:rPr>
        <w:t>]</w:t>
      </w:r>
      <w:r>
        <w:rPr>
          <w:rFonts w:ascii="Arial" w:hAnsi="Arial" w:cs="Arial"/>
          <w:sz w:val="24"/>
          <w:szCs w:val="24"/>
        </w:rPr>
        <w:tab/>
      </w:r>
      <w:r w:rsidR="00E80076">
        <w:rPr>
          <w:rFonts w:ascii="Arial" w:hAnsi="Arial" w:cs="Arial"/>
          <w:sz w:val="24"/>
          <w:szCs w:val="24"/>
        </w:rPr>
        <w:t>‘</w:t>
      </w:r>
      <w:r w:rsidRPr="00E80076">
        <w:rPr>
          <w:rFonts w:ascii="Arial" w:hAnsi="Arial" w:cs="Arial"/>
        </w:rPr>
        <w:t>Where there ha</w:t>
      </w:r>
      <w:r w:rsidR="00E80076" w:rsidRPr="00E80076">
        <w:rPr>
          <w:rFonts w:ascii="Arial" w:hAnsi="Arial" w:cs="Arial"/>
        </w:rPr>
        <w:t>s</w:t>
      </w:r>
      <w:r w:rsidRPr="00E80076">
        <w:rPr>
          <w:rFonts w:ascii="Arial" w:hAnsi="Arial" w:cs="Arial"/>
        </w:rPr>
        <w:t xml:space="preserve"> been no misdirection on fact by the trial judge, the presumption </w:t>
      </w:r>
      <w:r w:rsidR="00E80076" w:rsidRPr="00E80076">
        <w:rPr>
          <w:rFonts w:ascii="Arial" w:hAnsi="Arial" w:cs="Arial"/>
        </w:rPr>
        <w:t>is that his conclusion is correct; the appellate court will only reverse where it is convinced that it is wrong</w:t>
      </w:r>
      <w:r w:rsidR="00E80076">
        <w:rPr>
          <w:rFonts w:ascii="Arial" w:hAnsi="Arial" w:cs="Arial"/>
          <w:sz w:val="24"/>
          <w:szCs w:val="24"/>
        </w:rPr>
        <w:t>.’</w:t>
      </w:r>
      <w:r w:rsidR="00E80076">
        <w:rPr>
          <w:rStyle w:val="FootnoteReference"/>
          <w:rFonts w:ascii="Arial" w:hAnsi="Arial" w:cs="Arial"/>
          <w:sz w:val="24"/>
          <w:szCs w:val="24"/>
        </w:rPr>
        <w:footnoteReference w:id="5"/>
      </w:r>
      <w:r w:rsidR="00E80076">
        <w:rPr>
          <w:rFonts w:ascii="Arial" w:hAnsi="Arial" w:cs="Arial"/>
          <w:sz w:val="24"/>
          <w:szCs w:val="24"/>
        </w:rPr>
        <w:t xml:space="preserve"> On the evidence before the trial court, this court is not satisfied that the trial court erred in law and or fact or that it mi</w:t>
      </w:r>
      <w:r w:rsidR="001B63CD">
        <w:rPr>
          <w:rFonts w:ascii="Arial" w:hAnsi="Arial" w:cs="Arial"/>
          <w:sz w:val="24"/>
          <w:szCs w:val="24"/>
        </w:rPr>
        <w:t>sdirected itself at all or</w:t>
      </w:r>
      <w:r w:rsidR="00E80076">
        <w:rPr>
          <w:rFonts w:ascii="Arial" w:hAnsi="Arial" w:cs="Arial"/>
          <w:sz w:val="24"/>
          <w:szCs w:val="24"/>
        </w:rPr>
        <w:t xml:space="preserve"> to such extent that it would warr</w:t>
      </w:r>
      <w:r w:rsidR="001B63CD">
        <w:rPr>
          <w:rFonts w:ascii="Arial" w:hAnsi="Arial" w:cs="Arial"/>
          <w:sz w:val="24"/>
          <w:szCs w:val="24"/>
        </w:rPr>
        <w:t>ant interference by this court with the trial court’s conclusion.</w:t>
      </w:r>
    </w:p>
    <w:p w:rsidR="00786894" w:rsidRDefault="00B60DB7"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24</w:t>
      </w:r>
      <w:r>
        <w:rPr>
          <w:rFonts w:ascii="Arial" w:hAnsi="Arial" w:cs="Arial"/>
          <w:sz w:val="24"/>
          <w:szCs w:val="24"/>
        </w:rPr>
        <w:t>]</w:t>
      </w:r>
      <w:r>
        <w:rPr>
          <w:rFonts w:ascii="Arial" w:hAnsi="Arial" w:cs="Arial"/>
          <w:sz w:val="24"/>
          <w:szCs w:val="24"/>
        </w:rPr>
        <w:tab/>
        <w:t>The appellant was thus correctly convicted of rape in term</w:t>
      </w:r>
      <w:r w:rsidR="002C4D7A">
        <w:rPr>
          <w:rFonts w:ascii="Arial" w:hAnsi="Arial" w:cs="Arial"/>
          <w:sz w:val="24"/>
          <w:szCs w:val="24"/>
        </w:rPr>
        <w:t>s of the Act</w:t>
      </w:r>
      <w:r w:rsidR="002C4D7A">
        <w:rPr>
          <w:rStyle w:val="FootnoteReference"/>
          <w:rFonts w:ascii="Arial" w:hAnsi="Arial" w:cs="Arial"/>
          <w:sz w:val="24"/>
          <w:szCs w:val="24"/>
        </w:rPr>
        <w:footnoteReference w:id="6"/>
      </w:r>
      <w:r w:rsidR="002C4D7A">
        <w:rPr>
          <w:rFonts w:ascii="Arial" w:hAnsi="Arial" w:cs="Arial"/>
          <w:sz w:val="24"/>
          <w:szCs w:val="24"/>
        </w:rPr>
        <w:t>.</w:t>
      </w:r>
    </w:p>
    <w:p w:rsidR="00786894" w:rsidRPr="00786894" w:rsidRDefault="00786894" w:rsidP="00E80076">
      <w:pPr>
        <w:spacing w:line="360" w:lineRule="auto"/>
        <w:jc w:val="both"/>
        <w:rPr>
          <w:rFonts w:ascii="Arial" w:hAnsi="Arial" w:cs="Arial"/>
          <w:sz w:val="24"/>
          <w:szCs w:val="24"/>
          <w:u w:val="single"/>
        </w:rPr>
      </w:pPr>
      <w:r w:rsidRPr="00786894">
        <w:rPr>
          <w:rFonts w:ascii="Arial" w:hAnsi="Arial" w:cs="Arial"/>
          <w:sz w:val="24"/>
          <w:szCs w:val="24"/>
          <w:u w:val="single"/>
        </w:rPr>
        <w:t xml:space="preserve">The </w:t>
      </w:r>
      <w:r>
        <w:rPr>
          <w:rFonts w:ascii="Arial" w:hAnsi="Arial" w:cs="Arial"/>
          <w:sz w:val="24"/>
          <w:szCs w:val="24"/>
          <w:u w:val="single"/>
        </w:rPr>
        <w:t xml:space="preserve">appeal against the </w:t>
      </w:r>
      <w:r w:rsidRPr="00786894">
        <w:rPr>
          <w:rFonts w:ascii="Arial" w:hAnsi="Arial" w:cs="Arial"/>
          <w:sz w:val="24"/>
          <w:szCs w:val="24"/>
          <w:u w:val="single"/>
        </w:rPr>
        <w:t>sentence</w:t>
      </w:r>
    </w:p>
    <w:p w:rsidR="00B60DB7" w:rsidRDefault="00786894"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25</w:t>
      </w:r>
      <w:r>
        <w:rPr>
          <w:rFonts w:ascii="Arial" w:hAnsi="Arial" w:cs="Arial"/>
          <w:sz w:val="24"/>
          <w:szCs w:val="24"/>
        </w:rPr>
        <w:t>]</w:t>
      </w:r>
      <w:r>
        <w:rPr>
          <w:rFonts w:ascii="Arial" w:hAnsi="Arial" w:cs="Arial"/>
          <w:sz w:val="24"/>
          <w:szCs w:val="24"/>
        </w:rPr>
        <w:tab/>
        <w:t>Ordinarily the appellant</w:t>
      </w:r>
      <w:r w:rsidR="00B60DB7">
        <w:rPr>
          <w:rFonts w:ascii="Arial" w:hAnsi="Arial" w:cs="Arial"/>
          <w:sz w:val="24"/>
          <w:szCs w:val="24"/>
        </w:rPr>
        <w:t xml:space="preserve"> would h</w:t>
      </w:r>
      <w:r w:rsidR="008E7051">
        <w:rPr>
          <w:rFonts w:ascii="Arial" w:hAnsi="Arial" w:cs="Arial"/>
          <w:sz w:val="24"/>
          <w:szCs w:val="24"/>
        </w:rPr>
        <w:t>ave been sentenced to a prescribed minimum</w:t>
      </w:r>
      <w:r w:rsidR="002C4D7A">
        <w:rPr>
          <w:rFonts w:ascii="Arial" w:hAnsi="Arial" w:cs="Arial"/>
          <w:sz w:val="24"/>
          <w:szCs w:val="24"/>
        </w:rPr>
        <w:t xml:space="preserve"> </w:t>
      </w:r>
      <w:r w:rsidR="00B60DB7">
        <w:rPr>
          <w:rFonts w:ascii="Arial" w:hAnsi="Arial" w:cs="Arial"/>
          <w:sz w:val="24"/>
          <w:szCs w:val="24"/>
        </w:rPr>
        <w:t xml:space="preserve">prison term of fifteen years, however the court suspended this by five years because it found there to be compelling </w:t>
      </w:r>
      <w:r w:rsidR="001B63CD">
        <w:rPr>
          <w:rFonts w:ascii="Arial" w:hAnsi="Arial" w:cs="Arial"/>
          <w:sz w:val="24"/>
          <w:szCs w:val="24"/>
        </w:rPr>
        <w:t xml:space="preserve">and substantial circumstances which justify a deviation </w:t>
      </w:r>
      <w:r w:rsidR="00B60DB7">
        <w:rPr>
          <w:rFonts w:ascii="Arial" w:hAnsi="Arial" w:cs="Arial"/>
          <w:sz w:val="24"/>
          <w:szCs w:val="24"/>
        </w:rPr>
        <w:t>from the prescribed minimum sentence.</w:t>
      </w:r>
    </w:p>
    <w:p w:rsidR="00B60DB7" w:rsidRDefault="00B60DB7"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26</w:t>
      </w:r>
      <w:r>
        <w:rPr>
          <w:rFonts w:ascii="Arial" w:hAnsi="Arial" w:cs="Arial"/>
          <w:sz w:val="24"/>
          <w:szCs w:val="24"/>
        </w:rPr>
        <w:t>]</w:t>
      </w:r>
      <w:r>
        <w:rPr>
          <w:rFonts w:ascii="Arial" w:hAnsi="Arial" w:cs="Arial"/>
          <w:sz w:val="24"/>
          <w:szCs w:val="24"/>
        </w:rPr>
        <w:tab/>
        <w:t>The appellant appeals against the sentence on the grounds that he should not have been convicted of rape</w:t>
      </w:r>
      <w:r w:rsidR="00016A6B">
        <w:rPr>
          <w:rFonts w:ascii="Arial" w:hAnsi="Arial" w:cs="Arial"/>
          <w:sz w:val="24"/>
          <w:szCs w:val="24"/>
        </w:rPr>
        <w:t>,</w:t>
      </w:r>
      <w:r>
        <w:rPr>
          <w:rFonts w:ascii="Arial" w:hAnsi="Arial" w:cs="Arial"/>
          <w:sz w:val="24"/>
          <w:szCs w:val="24"/>
        </w:rPr>
        <w:t xml:space="preserve"> and that he was </w:t>
      </w:r>
      <w:r w:rsidR="00786894">
        <w:rPr>
          <w:rFonts w:ascii="Arial" w:hAnsi="Arial" w:cs="Arial"/>
          <w:sz w:val="24"/>
          <w:szCs w:val="24"/>
        </w:rPr>
        <w:t xml:space="preserve">not </w:t>
      </w:r>
      <w:r>
        <w:rPr>
          <w:rFonts w:ascii="Arial" w:hAnsi="Arial" w:cs="Arial"/>
          <w:sz w:val="24"/>
          <w:szCs w:val="24"/>
        </w:rPr>
        <w:t>subject to be sentenced in terms of the Combating of Rape Act</w:t>
      </w:r>
      <w:r w:rsidR="00E80076">
        <w:rPr>
          <w:rStyle w:val="FootnoteReference"/>
          <w:rFonts w:ascii="Arial" w:hAnsi="Arial" w:cs="Arial"/>
          <w:sz w:val="24"/>
          <w:szCs w:val="24"/>
        </w:rPr>
        <w:footnoteReference w:id="7"/>
      </w:r>
      <w:r>
        <w:rPr>
          <w:rFonts w:ascii="Arial" w:hAnsi="Arial" w:cs="Arial"/>
          <w:sz w:val="24"/>
          <w:szCs w:val="24"/>
        </w:rPr>
        <w:t xml:space="preserve">, but was subject to a lesser sentence. Counsel for the </w:t>
      </w:r>
      <w:r w:rsidR="00016A6B">
        <w:rPr>
          <w:rFonts w:ascii="Arial" w:hAnsi="Arial" w:cs="Arial"/>
          <w:sz w:val="24"/>
          <w:szCs w:val="24"/>
        </w:rPr>
        <w:t>Respondent</w:t>
      </w:r>
      <w:r>
        <w:rPr>
          <w:rFonts w:ascii="Arial" w:hAnsi="Arial" w:cs="Arial"/>
          <w:sz w:val="24"/>
          <w:szCs w:val="24"/>
        </w:rPr>
        <w:t xml:space="preserve"> submitted that the sentence of fifteen years</w:t>
      </w:r>
      <w:r w:rsidR="00786894">
        <w:rPr>
          <w:rFonts w:ascii="Arial" w:hAnsi="Arial" w:cs="Arial"/>
          <w:sz w:val="24"/>
          <w:szCs w:val="24"/>
        </w:rPr>
        <w:t xml:space="preserve"> of which five years were conditionally suspended</w:t>
      </w:r>
      <w:r w:rsidR="00016A6B">
        <w:rPr>
          <w:rFonts w:ascii="Arial" w:hAnsi="Arial" w:cs="Arial"/>
          <w:sz w:val="24"/>
          <w:szCs w:val="24"/>
        </w:rPr>
        <w:t>,</w:t>
      </w:r>
      <w:r>
        <w:rPr>
          <w:rFonts w:ascii="Arial" w:hAnsi="Arial" w:cs="Arial"/>
          <w:sz w:val="24"/>
          <w:szCs w:val="24"/>
        </w:rPr>
        <w:t xml:space="preserve"> was appropriate</w:t>
      </w:r>
      <w:r w:rsidR="001B63CD">
        <w:rPr>
          <w:rFonts w:ascii="Arial" w:hAnsi="Arial" w:cs="Arial"/>
          <w:sz w:val="24"/>
          <w:szCs w:val="24"/>
        </w:rPr>
        <w:t xml:space="preserve"> in the circumstances</w:t>
      </w:r>
      <w:r>
        <w:rPr>
          <w:rFonts w:ascii="Arial" w:hAnsi="Arial" w:cs="Arial"/>
          <w:sz w:val="24"/>
          <w:szCs w:val="24"/>
        </w:rPr>
        <w:t xml:space="preserve">. </w:t>
      </w:r>
    </w:p>
    <w:p w:rsidR="0028386B" w:rsidRDefault="00B60DB7"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27</w:t>
      </w:r>
      <w:r>
        <w:rPr>
          <w:rFonts w:ascii="Arial" w:hAnsi="Arial" w:cs="Arial"/>
          <w:sz w:val="24"/>
          <w:szCs w:val="24"/>
        </w:rPr>
        <w:t>]</w:t>
      </w:r>
      <w:r>
        <w:rPr>
          <w:rFonts w:ascii="Arial" w:hAnsi="Arial" w:cs="Arial"/>
          <w:sz w:val="24"/>
          <w:szCs w:val="24"/>
        </w:rPr>
        <w:tab/>
        <w:t xml:space="preserve"> Sentencing is within the discretion of the trial court.</w:t>
      </w:r>
      <w:r w:rsidR="009B7840">
        <w:rPr>
          <w:rFonts w:ascii="Arial" w:hAnsi="Arial" w:cs="Arial"/>
          <w:sz w:val="24"/>
          <w:szCs w:val="24"/>
        </w:rPr>
        <w:t xml:space="preserve"> ‘</w:t>
      </w:r>
      <w:r w:rsidR="009B7840" w:rsidRPr="009B7840">
        <w:rPr>
          <w:rFonts w:ascii="Arial" w:hAnsi="Arial" w:cs="Arial"/>
        </w:rPr>
        <w:t xml:space="preserve">It is trite law that a Court of Appeal can only interfere with the discretion of the trial Court regarding sentence on very limited grounds, </w:t>
      </w:r>
      <w:r w:rsidR="009B7840" w:rsidRPr="009B7840">
        <w:rPr>
          <w:rFonts w:ascii="Arial" w:hAnsi="Arial" w:cs="Arial"/>
          <w:i/>
        </w:rPr>
        <w:t xml:space="preserve">vis </w:t>
      </w:r>
      <w:r w:rsidR="009B7840" w:rsidRPr="009B7840">
        <w:rPr>
          <w:rFonts w:ascii="Arial" w:hAnsi="Arial" w:cs="Arial"/>
        </w:rPr>
        <w:t>when the trial Court has not exercised its discretion judiciously or properly.  This occurs when the trial Court has misdirected itself on facts material to sentencing.  This will also be inferred where the trial Court acted unreasonably and it can be said that the sentence induces a sense of shock or there exist</w:t>
      </w:r>
      <w:r w:rsidR="00016A6B">
        <w:rPr>
          <w:rFonts w:ascii="Arial" w:hAnsi="Arial" w:cs="Arial"/>
        </w:rPr>
        <w:t>s</w:t>
      </w:r>
      <w:r w:rsidR="009B7840" w:rsidRPr="009B7840">
        <w:rPr>
          <w:rFonts w:ascii="Arial" w:hAnsi="Arial" w:cs="Arial"/>
        </w:rPr>
        <w:t xml:space="preserve"> a striking disparity between the sentence this court would have passed or if the sentence appealed against appear t</w:t>
      </w:r>
      <w:r w:rsidR="00564BB9">
        <w:rPr>
          <w:rFonts w:ascii="Arial" w:hAnsi="Arial" w:cs="Arial"/>
        </w:rPr>
        <w:t>o this court to be so disturbing</w:t>
      </w:r>
      <w:r w:rsidR="009B7840" w:rsidRPr="009B7840">
        <w:rPr>
          <w:rFonts w:ascii="Arial" w:hAnsi="Arial" w:cs="Arial"/>
        </w:rPr>
        <w:t xml:space="preserve"> or inappropriate as to warrant interference by this court</w:t>
      </w:r>
      <w:r w:rsidR="009B7840">
        <w:rPr>
          <w:rFonts w:ascii="Arial" w:hAnsi="Arial" w:cs="Arial"/>
          <w:sz w:val="24"/>
          <w:szCs w:val="24"/>
        </w:rPr>
        <w:t>.’</w:t>
      </w:r>
      <w:r w:rsidR="009B7840">
        <w:rPr>
          <w:rStyle w:val="FootnoteReference"/>
          <w:rFonts w:ascii="Arial" w:hAnsi="Arial" w:cs="Arial"/>
          <w:sz w:val="24"/>
          <w:szCs w:val="24"/>
        </w:rPr>
        <w:footnoteReference w:id="8"/>
      </w:r>
      <w:r w:rsidR="009B7840">
        <w:rPr>
          <w:rFonts w:ascii="Arial" w:hAnsi="Arial" w:cs="Arial"/>
          <w:sz w:val="24"/>
          <w:szCs w:val="24"/>
        </w:rPr>
        <w:t xml:space="preserve"> </w:t>
      </w:r>
    </w:p>
    <w:p w:rsidR="0028386B" w:rsidRDefault="0028386B"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28</w:t>
      </w:r>
      <w:r>
        <w:rPr>
          <w:rFonts w:ascii="Arial" w:hAnsi="Arial" w:cs="Arial"/>
          <w:sz w:val="24"/>
          <w:szCs w:val="24"/>
        </w:rPr>
        <w:t>]</w:t>
      </w:r>
      <w:r>
        <w:rPr>
          <w:rFonts w:ascii="Arial" w:hAnsi="Arial" w:cs="Arial"/>
          <w:sz w:val="24"/>
          <w:szCs w:val="24"/>
        </w:rPr>
        <w:tab/>
        <w:t>In the proceedings in the trial court,</w:t>
      </w:r>
      <w:r w:rsidR="00B60DB7">
        <w:rPr>
          <w:rFonts w:ascii="Arial" w:hAnsi="Arial" w:cs="Arial"/>
          <w:sz w:val="24"/>
          <w:szCs w:val="24"/>
        </w:rPr>
        <w:t xml:space="preserve"> the m</w:t>
      </w:r>
      <w:r w:rsidR="009B7840">
        <w:rPr>
          <w:rFonts w:ascii="Arial" w:hAnsi="Arial" w:cs="Arial"/>
          <w:sz w:val="24"/>
          <w:szCs w:val="24"/>
        </w:rPr>
        <w:t xml:space="preserve">agistrate took into account the interest of society, appellant’s personal circumstances and the offence committed. The court </w:t>
      </w:r>
      <w:r w:rsidR="001B63CD">
        <w:rPr>
          <w:rFonts w:ascii="Arial" w:hAnsi="Arial" w:cs="Arial"/>
          <w:sz w:val="24"/>
          <w:szCs w:val="24"/>
        </w:rPr>
        <w:t xml:space="preserve">also </w:t>
      </w:r>
      <w:r w:rsidR="009B7840">
        <w:rPr>
          <w:rFonts w:ascii="Arial" w:hAnsi="Arial" w:cs="Arial"/>
          <w:sz w:val="24"/>
          <w:szCs w:val="24"/>
        </w:rPr>
        <w:t>took into account the aims of punishment, being rehabilitation, retribution, deterrence and prevention. The court thus took into account that the appellant was a first offender, that children are vulnerable me</w:t>
      </w:r>
      <w:r>
        <w:rPr>
          <w:rFonts w:ascii="Arial" w:hAnsi="Arial" w:cs="Arial"/>
          <w:sz w:val="24"/>
          <w:szCs w:val="24"/>
        </w:rPr>
        <w:t>m</w:t>
      </w:r>
      <w:r w:rsidR="009B7840">
        <w:rPr>
          <w:rFonts w:ascii="Arial" w:hAnsi="Arial" w:cs="Arial"/>
          <w:sz w:val="24"/>
          <w:szCs w:val="24"/>
        </w:rPr>
        <w:t>bers of society and should be protected from adult invasion, that the offence of rape was a serious one and prevalent in the country and that the complainant was only eight years old at the relevant time and that the penetration by finger was slight. The court took into account that no pain was reported to the doctor and that no permanent injury was caused</w:t>
      </w:r>
      <w:r w:rsidR="008F24AD">
        <w:rPr>
          <w:rFonts w:ascii="Arial" w:hAnsi="Arial" w:cs="Arial"/>
          <w:sz w:val="24"/>
          <w:szCs w:val="24"/>
        </w:rPr>
        <w:t xml:space="preserve"> to the complainant</w:t>
      </w:r>
      <w:r w:rsidR="009B7840">
        <w:rPr>
          <w:rFonts w:ascii="Arial" w:hAnsi="Arial" w:cs="Arial"/>
          <w:sz w:val="24"/>
          <w:szCs w:val="24"/>
        </w:rPr>
        <w:t>.</w:t>
      </w:r>
      <w:r w:rsidR="008F24AD">
        <w:rPr>
          <w:rFonts w:ascii="Arial" w:hAnsi="Arial" w:cs="Arial"/>
          <w:sz w:val="24"/>
          <w:szCs w:val="24"/>
        </w:rPr>
        <w:t xml:space="preserve"> The court also took into account</w:t>
      </w:r>
      <w:r>
        <w:rPr>
          <w:rFonts w:ascii="Arial" w:hAnsi="Arial" w:cs="Arial"/>
          <w:sz w:val="24"/>
          <w:szCs w:val="24"/>
        </w:rPr>
        <w:t xml:space="preserve"> that the appellant was denied bail as he was a foreigner and had spent more or less four years incarcerated since his arrest</w:t>
      </w:r>
      <w:r w:rsidR="00746AB7">
        <w:rPr>
          <w:rFonts w:ascii="Arial" w:hAnsi="Arial" w:cs="Arial"/>
          <w:sz w:val="24"/>
          <w:szCs w:val="24"/>
        </w:rPr>
        <w:t xml:space="preserve">. The court regarded this latter consideration </w:t>
      </w:r>
      <w:r>
        <w:rPr>
          <w:rFonts w:ascii="Arial" w:hAnsi="Arial" w:cs="Arial"/>
          <w:sz w:val="24"/>
          <w:szCs w:val="24"/>
        </w:rPr>
        <w:t>as a substantial and compelling circumstance to warrant a deviation from the prescribed minimum sentence.</w:t>
      </w:r>
    </w:p>
    <w:p w:rsidR="00B60DB7" w:rsidRDefault="0028386B"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29</w:t>
      </w:r>
      <w:r>
        <w:rPr>
          <w:rFonts w:ascii="Arial" w:hAnsi="Arial" w:cs="Arial"/>
          <w:sz w:val="24"/>
          <w:szCs w:val="24"/>
        </w:rPr>
        <w:t>]</w:t>
      </w:r>
      <w:r>
        <w:rPr>
          <w:rFonts w:ascii="Arial" w:hAnsi="Arial" w:cs="Arial"/>
          <w:sz w:val="24"/>
          <w:szCs w:val="24"/>
        </w:rPr>
        <w:tab/>
      </w:r>
      <w:r w:rsidR="00B60DB7">
        <w:rPr>
          <w:rFonts w:ascii="Arial" w:hAnsi="Arial" w:cs="Arial"/>
          <w:sz w:val="24"/>
          <w:szCs w:val="24"/>
        </w:rPr>
        <w:t>In the r</w:t>
      </w:r>
      <w:r>
        <w:rPr>
          <w:rFonts w:ascii="Arial" w:hAnsi="Arial" w:cs="Arial"/>
          <w:sz w:val="24"/>
          <w:szCs w:val="24"/>
        </w:rPr>
        <w:t>esult</w:t>
      </w:r>
      <w:r w:rsidR="00677AA2">
        <w:rPr>
          <w:rFonts w:ascii="Arial" w:hAnsi="Arial" w:cs="Arial"/>
          <w:sz w:val="24"/>
          <w:szCs w:val="24"/>
        </w:rPr>
        <w:t>,</w:t>
      </w:r>
      <w:r>
        <w:rPr>
          <w:rFonts w:ascii="Arial" w:hAnsi="Arial" w:cs="Arial"/>
          <w:sz w:val="24"/>
          <w:szCs w:val="24"/>
        </w:rPr>
        <w:t xml:space="preserve"> this court is not satisfied that the trial court misdirected itself or exercised its sentencing discretion in a manner that can be said not to be judicious. This court is thus not inclined</w:t>
      </w:r>
      <w:r w:rsidR="00B60DB7">
        <w:rPr>
          <w:rFonts w:ascii="Arial" w:hAnsi="Arial" w:cs="Arial"/>
          <w:sz w:val="24"/>
          <w:szCs w:val="24"/>
        </w:rPr>
        <w:t xml:space="preserve"> to interfere with the trial court’s sentence</w:t>
      </w:r>
      <w:r>
        <w:rPr>
          <w:rFonts w:ascii="Arial" w:hAnsi="Arial" w:cs="Arial"/>
          <w:sz w:val="24"/>
          <w:szCs w:val="24"/>
        </w:rPr>
        <w:t xml:space="preserve"> in this matter</w:t>
      </w:r>
      <w:r w:rsidR="00B60DB7">
        <w:rPr>
          <w:rFonts w:ascii="Arial" w:hAnsi="Arial" w:cs="Arial"/>
          <w:sz w:val="24"/>
          <w:szCs w:val="24"/>
        </w:rPr>
        <w:t>.</w:t>
      </w:r>
      <w:r>
        <w:rPr>
          <w:rFonts w:ascii="Arial" w:hAnsi="Arial" w:cs="Arial"/>
          <w:sz w:val="24"/>
          <w:szCs w:val="24"/>
        </w:rPr>
        <w:t xml:space="preserve"> </w:t>
      </w:r>
      <w:r w:rsidR="00B60DB7">
        <w:rPr>
          <w:rFonts w:ascii="Arial" w:hAnsi="Arial" w:cs="Arial"/>
          <w:sz w:val="24"/>
          <w:szCs w:val="24"/>
        </w:rPr>
        <w:t xml:space="preserve"> </w:t>
      </w:r>
    </w:p>
    <w:p w:rsidR="000A7B1C" w:rsidRDefault="00896895" w:rsidP="00E80076">
      <w:pPr>
        <w:spacing w:line="360" w:lineRule="auto"/>
        <w:jc w:val="both"/>
        <w:rPr>
          <w:rFonts w:ascii="Arial" w:hAnsi="Arial" w:cs="Arial"/>
          <w:sz w:val="24"/>
          <w:szCs w:val="24"/>
        </w:rPr>
      </w:pPr>
      <w:r>
        <w:rPr>
          <w:rFonts w:ascii="Arial" w:hAnsi="Arial" w:cs="Arial"/>
          <w:sz w:val="24"/>
          <w:szCs w:val="24"/>
        </w:rPr>
        <w:t>[</w:t>
      </w:r>
      <w:r w:rsidR="001B63CD">
        <w:rPr>
          <w:rFonts w:ascii="Arial" w:hAnsi="Arial" w:cs="Arial"/>
          <w:sz w:val="24"/>
          <w:szCs w:val="24"/>
        </w:rPr>
        <w:t>30]</w:t>
      </w:r>
      <w:r w:rsidR="001B63CD">
        <w:rPr>
          <w:rFonts w:ascii="Arial" w:hAnsi="Arial" w:cs="Arial"/>
          <w:sz w:val="24"/>
          <w:szCs w:val="24"/>
        </w:rPr>
        <w:tab/>
        <w:t>In conclusion, a</w:t>
      </w:r>
      <w:r>
        <w:rPr>
          <w:rFonts w:ascii="Arial" w:hAnsi="Arial" w:cs="Arial"/>
          <w:sz w:val="24"/>
          <w:szCs w:val="24"/>
        </w:rPr>
        <w:t xml:space="preserve">ny act of sexual assault </w:t>
      </w:r>
      <w:r w:rsidR="00B83CDF">
        <w:rPr>
          <w:rFonts w:ascii="Arial" w:hAnsi="Arial" w:cs="Arial"/>
          <w:sz w:val="24"/>
          <w:szCs w:val="24"/>
        </w:rPr>
        <w:t xml:space="preserve">on another person is </w:t>
      </w:r>
      <w:r w:rsidR="009F62FC">
        <w:rPr>
          <w:rFonts w:ascii="Arial" w:hAnsi="Arial" w:cs="Arial"/>
          <w:sz w:val="24"/>
          <w:szCs w:val="24"/>
        </w:rPr>
        <w:t xml:space="preserve">a heinous and </w:t>
      </w:r>
      <w:r w:rsidR="00B83CDF">
        <w:rPr>
          <w:rFonts w:ascii="Arial" w:hAnsi="Arial" w:cs="Arial"/>
          <w:sz w:val="24"/>
          <w:szCs w:val="24"/>
        </w:rPr>
        <w:t>unacceptable breach of that persons</w:t>
      </w:r>
      <w:r w:rsidR="009B7840">
        <w:rPr>
          <w:rFonts w:ascii="Arial" w:hAnsi="Arial" w:cs="Arial"/>
          <w:sz w:val="24"/>
          <w:szCs w:val="24"/>
        </w:rPr>
        <w:t>’</w:t>
      </w:r>
      <w:r w:rsidR="00016A6B">
        <w:rPr>
          <w:rFonts w:ascii="Arial" w:hAnsi="Arial" w:cs="Arial"/>
          <w:sz w:val="24"/>
          <w:szCs w:val="24"/>
        </w:rPr>
        <w:t xml:space="preserve"> dignity</w:t>
      </w:r>
      <w:r w:rsidR="00B83CDF">
        <w:rPr>
          <w:rFonts w:ascii="Arial" w:hAnsi="Arial" w:cs="Arial"/>
          <w:sz w:val="24"/>
          <w:szCs w:val="24"/>
        </w:rPr>
        <w:t xml:space="preserve">. However, where the victim is a child, the English language is feeble to describe such an act. It is therefore, the duty of courts to protect </w:t>
      </w:r>
      <w:r w:rsidR="000A7B1C">
        <w:rPr>
          <w:rFonts w:ascii="Arial" w:hAnsi="Arial" w:cs="Arial"/>
          <w:sz w:val="24"/>
          <w:szCs w:val="24"/>
        </w:rPr>
        <w:t>the most vulnerable members of our society being;</w:t>
      </w:r>
      <w:r w:rsidR="00B83CDF">
        <w:rPr>
          <w:rFonts w:ascii="Arial" w:hAnsi="Arial" w:cs="Arial"/>
          <w:sz w:val="24"/>
          <w:szCs w:val="24"/>
        </w:rPr>
        <w:t xml:space="preserve"> women, children, those differently abled and our elderly. </w:t>
      </w:r>
      <w:r w:rsidR="000A7B1C">
        <w:rPr>
          <w:rFonts w:ascii="Arial" w:hAnsi="Arial" w:cs="Arial"/>
          <w:sz w:val="24"/>
          <w:szCs w:val="24"/>
        </w:rPr>
        <w:t>This is therefore such a case, where this court makes clear its stance. The court concedes that however heinous an offence may be, the ultimate and ideal situation is that the perpetrators will reform in their time away from society and become valuable members of society upon their return. This remains the hope of this court, even for the appellant in this matter.</w:t>
      </w:r>
    </w:p>
    <w:p w:rsidR="008E7051" w:rsidRDefault="00B60DB7" w:rsidP="00E80076">
      <w:pPr>
        <w:spacing w:line="360" w:lineRule="auto"/>
        <w:jc w:val="both"/>
        <w:rPr>
          <w:rFonts w:ascii="Arial" w:hAnsi="Arial" w:cs="Arial"/>
          <w:sz w:val="24"/>
          <w:szCs w:val="24"/>
        </w:rPr>
      </w:pPr>
      <w:r>
        <w:rPr>
          <w:rFonts w:ascii="Arial" w:hAnsi="Arial" w:cs="Arial"/>
          <w:sz w:val="24"/>
          <w:szCs w:val="24"/>
        </w:rPr>
        <w:t>[</w:t>
      </w:r>
      <w:r w:rsidR="000A7B1C">
        <w:rPr>
          <w:rFonts w:ascii="Arial" w:hAnsi="Arial" w:cs="Arial"/>
          <w:sz w:val="24"/>
          <w:szCs w:val="24"/>
        </w:rPr>
        <w:t>31</w:t>
      </w:r>
      <w:r w:rsidR="00F64487">
        <w:rPr>
          <w:rFonts w:ascii="Arial" w:hAnsi="Arial" w:cs="Arial"/>
          <w:sz w:val="24"/>
          <w:szCs w:val="24"/>
        </w:rPr>
        <w:t>]</w:t>
      </w:r>
      <w:r w:rsidR="00F64487">
        <w:rPr>
          <w:rFonts w:ascii="Arial" w:hAnsi="Arial" w:cs="Arial"/>
          <w:sz w:val="24"/>
          <w:szCs w:val="24"/>
        </w:rPr>
        <w:tab/>
        <w:t xml:space="preserve">In the result, the </w:t>
      </w:r>
      <w:r w:rsidR="00E62687">
        <w:rPr>
          <w:rFonts w:ascii="Arial" w:hAnsi="Arial" w:cs="Arial"/>
          <w:sz w:val="24"/>
          <w:szCs w:val="24"/>
        </w:rPr>
        <w:t>appeal is dismissed</w:t>
      </w:r>
      <w:r w:rsidR="00F64487">
        <w:rPr>
          <w:rFonts w:ascii="Arial" w:hAnsi="Arial" w:cs="Arial"/>
          <w:sz w:val="24"/>
          <w:szCs w:val="24"/>
        </w:rPr>
        <w:t>.</w:t>
      </w:r>
    </w:p>
    <w:p w:rsidR="00452A75" w:rsidRDefault="00452A75" w:rsidP="00E80076">
      <w:pPr>
        <w:spacing w:line="360" w:lineRule="auto"/>
        <w:jc w:val="both"/>
        <w:rPr>
          <w:rFonts w:ascii="Arial" w:hAnsi="Arial" w:cs="Arial"/>
          <w:sz w:val="24"/>
          <w:szCs w:val="24"/>
        </w:rPr>
      </w:pPr>
    </w:p>
    <w:p w:rsidR="00452A75" w:rsidRDefault="00452A75" w:rsidP="00E80076">
      <w:pPr>
        <w:spacing w:line="360" w:lineRule="auto"/>
        <w:jc w:val="both"/>
        <w:rPr>
          <w:rFonts w:ascii="Arial" w:hAnsi="Arial" w:cs="Arial"/>
          <w:sz w:val="24"/>
          <w:szCs w:val="24"/>
        </w:rPr>
      </w:pPr>
    </w:p>
    <w:p w:rsidR="00452A75" w:rsidRDefault="00452A75" w:rsidP="00452A75">
      <w:pPr>
        <w:spacing w:line="360" w:lineRule="auto"/>
        <w:jc w:val="right"/>
        <w:rPr>
          <w:rFonts w:ascii="Arial" w:hAnsi="Arial" w:cs="Arial"/>
          <w:sz w:val="24"/>
          <w:szCs w:val="24"/>
        </w:rPr>
      </w:pPr>
      <w:r>
        <w:rPr>
          <w:rFonts w:ascii="Arial" w:hAnsi="Arial" w:cs="Arial"/>
          <w:sz w:val="24"/>
          <w:szCs w:val="24"/>
        </w:rPr>
        <w:t>____________________</w:t>
      </w:r>
    </w:p>
    <w:p w:rsidR="00452A75" w:rsidRDefault="00452A75" w:rsidP="00452A75">
      <w:pPr>
        <w:spacing w:line="360" w:lineRule="auto"/>
        <w:jc w:val="right"/>
        <w:rPr>
          <w:rFonts w:ascii="Arial" w:hAnsi="Arial" w:cs="Arial"/>
          <w:sz w:val="24"/>
          <w:szCs w:val="24"/>
        </w:rPr>
      </w:pPr>
      <w:r>
        <w:rPr>
          <w:rFonts w:ascii="Arial" w:hAnsi="Arial" w:cs="Arial"/>
          <w:sz w:val="24"/>
          <w:szCs w:val="24"/>
        </w:rPr>
        <w:t>NDAUENDAPO</w:t>
      </w:r>
      <w:r w:rsidR="006B2163">
        <w:rPr>
          <w:rFonts w:ascii="Arial" w:hAnsi="Arial" w:cs="Arial"/>
          <w:sz w:val="24"/>
          <w:szCs w:val="24"/>
        </w:rPr>
        <w:t xml:space="preserve">, </w:t>
      </w:r>
      <w:r>
        <w:rPr>
          <w:rFonts w:ascii="Arial" w:hAnsi="Arial" w:cs="Arial"/>
          <w:sz w:val="24"/>
          <w:szCs w:val="24"/>
        </w:rPr>
        <w:t>J</w:t>
      </w:r>
    </w:p>
    <w:p w:rsidR="00452A75" w:rsidRDefault="00452A75" w:rsidP="00452A75">
      <w:pPr>
        <w:spacing w:line="360" w:lineRule="auto"/>
        <w:jc w:val="right"/>
        <w:rPr>
          <w:rFonts w:ascii="Arial" w:hAnsi="Arial" w:cs="Arial"/>
          <w:sz w:val="24"/>
          <w:szCs w:val="24"/>
        </w:rPr>
      </w:pPr>
    </w:p>
    <w:p w:rsidR="00452A75" w:rsidRDefault="00452A75" w:rsidP="00452A75">
      <w:pPr>
        <w:spacing w:line="360" w:lineRule="auto"/>
        <w:jc w:val="right"/>
        <w:rPr>
          <w:rFonts w:ascii="Arial" w:hAnsi="Arial" w:cs="Arial"/>
          <w:sz w:val="24"/>
          <w:szCs w:val="24"/>
        </w:rPr>
      </w:pPr>
    </w:p>
    <w:p w:rsidR="00452A75" w:rsidRDefault="00452A75" w:rsidP="00452A75">
      <w:pPr>
        <w:spacing w:line="360" w:lineRule="auto"/>
        <w:jc w:val="right"/>
        <w:rPr>
          <w:rFonts w:ascii="Arial" w:hAnsi="Arial" w:cs="Arial"/>
          <w:sz w:val="24"/>
          <w:szCs w:val="24"/>
        </w:rPr>
      </w:pPr>
      <w:r>
        <w:rPr>
          <w:rFonts w:ascii="Arial" w:hAnsi="Arial" w:cs="Arial"/>
          <w:sz w:val="24"/>
          <w:szCs w:val="24"/>
        </w:rPr>
        <w:t>____________________</w:t>
      </w:r>
    </w:p>
    <w:p w:rsidR="00452A75" w:rsidRDefault="00452A75" w:rsidP="00452A75">
      <w:pPr>
        <w:spacing w:line="360" w:lineRule="auto"/>
        <w:jc w:val="right"/>
        <w:rPr>
          <w:rFonts w:ascii="Arial" w:hAnsi="Arial" w:cs="Arial"/>
          <w:sz w:val="24"/>
          <w:szCs w:val="24"/>
        </w:rPr>
      </w:pPr>
      <w:r>
        <w:rPr>
          <w:rFonts w:ascii="Arial" w:hAnsi="Arial" w:cs="Arial"/>
          <w:sz w:val="24"/>
          <w:szCs w:val="24"/>
        </w:rPr>
        <w:t>LIEBENBERG, J</w:t>
      </w:r>
    </w:p>
    <w:p w:rsidR="008E7051" w:rsidRDefault="008E7051">
      <w:pPr>
        <w:spacing w:after="160" w:line="259" w:lineRule="auto"/>
        <w:rPr>
          <w:rFonts w:ascii="Arial" w:hAnsi="Arial" w:cs="Arial"/>
          <w:sz w:val="24"/>
          <w:szCs w:val="24"/>
        </w:rPr>
      </w:pPr>
      <w:r>
        <w:rPr>
          <w:rFonts w:ascii="Arial" w:hAnsi="Arial" w:cs="Arial"/>
          <w:sz w:val="24"/>
          <w:szCs w:val="24"/>
        </w:rPr>
        <w:br w:type="page"/>
      </w:r>
    </w:p>
    <w:p w:rsidR="008E7051" w:rsidRDefault="008E7051" w:rsidP="00E80076">
      <w:pPr>
        <w:spacing w:line="360" w:lineRule="auto"/>
        <w:jc w:val="both"/>
        <w:rPr>
          <w:rFonts w:ascii="Arial" w:hAnsi="Arial" w:cs="Arial"/>
          <w:b/>
          <w:sz w:val="24"/>
          <w:szCs w:val="24"/>
        </w:rPr>
      </w:pPr>
      <w:r w:rsidRPr="00CD1B3B">
        <w:rPr>
          <w:rFonts w:ascii="Arial" w:hAnsi="Arial" w:cs="Arial"/>
          <w:b/>
          <w:sz w:val="24"/>
          <w:szCs w:val="24"/>
        </w:rPr>
        <w:t>APPEARANCES</w:t>
      </w:r>
    </w:p>
    <w:p w:rsidR="00CD1B3B" w:rsidRPr="00CD1B3B" w:rsidRDefault="00CD1B3B" w:rsidP="00E80076">
      <w:pPr>
        <w:spacing w:line="360" w:lineRule="auto"/>
        <w:jc w:val="both"/>
        <w:rPr>
          <w:rFonts w:ascii="Arial" w:hAnsi="Arial" w:cs="Arial"/>
          <w:b/>
          <w:sz w:val="24"/>
          <w:szCs w:val="24"/>
        </w:rPr>
      </w:pPr>
    </w:p>
    <w:p w:rsidR="008E7051" w:rsidRDefault="00CD1B3B" w:rsidP="008E7051">
      <w:pPr>
        <w:tabs>
          <w:tab w:val="right" w:pos="9360"/>
        </w:tabs>
        <w:spacing w:line="360" w:lineRule="auto"/>
        <w:jc w:val="both"/>
        <w:rPr>
          <w:rFonts w:ascii="Arial" w:hAnsi="Arial" w:cs="Arial"/>
          <w:sz w:val="24"/>
          <w:szCs w:val="24"/>
        </w:rPr>
      </w:pPr>
      <w:r>
        <w:rPr>
          <w:rFonts w:ascii="Arial" w:hAnsi="Arial" w:cs="Arial"/>
          <w:sz w:val="24"/>
          <w:szCs w:val="24"/>
        </w:rPr>
        <w:t>APPELLANT:</w:t>
      </w:r>
      <w:r w:rsidR="008E7051">
        <w:rPr>
          <w:rFonts w:ascii="Arial" w:hAnsi="Arial" w:cs="Arial"/>
          <w:sz w:val="24"/>
          <w:szCs w:val="24"/>
        </w:rPr>
        <w:tab/>
        <w:t xml:space="preserve">Mr. </w:t>
      </w:r>
      <w:r>
        <w:rPr>
          <w:rFonts w:ascii="Arial" w:hAnsi="Arial" w:cs="Arial"/>
          <w:sz w:val="24"/>
          <w:szCs w:val="24"/>
        </w:rPr>
        <w:t>W. T. Christians</w:t>
      </w:r>
    </w:p>
    <w:p w:rsidR="00CD1B3B" w:rsidRDefault="00CD1B3B" w:rsidP="00CD1B3B">
      <w:pPr>
        <w:tabs>
          <w:tab w:val="right" w:pos="9360"/>
        </w:tabs>
        <w:spacing w:line="360" w:lineRule="auto"/>
        <w:jc w:val="right"/>
        <w:rPr>
          <w:rFonts w:ascii="Arial" w:hAnsi="Arial" w:cs="Arial"/>
          <w:sz w:val="24"/>
          <w:szCs w:val="24"/>
        </w:rPr>
      </w:pPr>
      <w:r>
        <w:rPr>
          <w:rFonts w:ascii="Arial" w:hAnsi="Arial" w:cs="Arial"/>
          <w:sz w:val="24"/>
          <w:szCs w:val="24"/>
        </w:rPr>
        <w:t>Instructed by: W. T Christians Legal Practitioners</w:t>
      </w:r>
    </w:p>
    <w:p w:rsidR="00CD1B3B" w:rsidRDefault="00CD1B3B" w:rsidP="00CD1B3B">
      <w:pPr>
        <w:tabs>
          <w:tab w:val="right" w:pos="9360"/>
        </w:tabs>
        <w:spacing w:line="360" w:lineRule="auto"/>
        <w:jc w:val="right"/>
        <w:rPr>
          <w:rFonts w:ascii="Arial" w:hAnsi="Arial" w:cs="Arial"/>
          <w:sz w:val="24"/>
          <w:szCs w:val="24"/>
        </w:rPr>
      </w:pPr>
    </w:p>
    <w:p w:rsidR="008E7051" w:rsidRDefault="00CD1B3B" w:rsidP="00CD1B3B">
      <w:pPr>
        <w:tabs>
          <w:tab w:val="right" w:pos="9360"/>
        </w:tabs>
        <w:spacing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t xml:space="preserve">Mr. E </w:t>
      </w:r>
      <w:proofErr w:type="spellStart"/>
      <w:r>
        <w:rPr>
          <w:rFonts w:ascii="Arial" w:hAnsi="Arial" w:cs="Arial"/>
          <w:sz w:val="24"/>
          <w:szCs w:val="24"/>
        </w:rPr>
        <w:t>Moyo</w:t>
      </w:r>
      <w:proofErr w:type="spellEnd"/>
    </w:p>
    <w:p w:rsidR="00CD1B3B" w:rsidRPr="00316CE8" w:rsidRDefault="00CD1B3B" w:rsidP="00CD1B3B">
      <w:pPr>
        <w:tabs>
          <w:tab w:val="right" w:pos="9360"/>
        </w:tabs>
        <w:spacing w:line="360" w:lineRule="auto"/>
        <w:jc w:val="right"/>
        <w:rPr>
          <w:rFonts w:ascii="Arial" w:hAnsi="Arial" w:cs="Arial"/>
          <w:sz w:val="24"/>
          <w:szCs w:val="24"/>
        </w:rPr>
      </w:pPr>
      <w:r>
        <w:rPr>
          <w:rFonts w:ascii="Arial" w:hAnsi="Arial" w:cs="Arial"/>
          <w:sz w:val="24"/>
          <w:szCs w:val="24"/>
        </w:rPr>
        <w:t xml:space="preserve">Instructed by: Office of the Prosecutor General </w:t>
      </w:r>
    </w:p>
    <w:sectPr w:rsidR="00CD1B3B" w:rsidRPr="00316CE8" w:rsidSect="0089689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D2" w:rsidRDefault="00852BD2" w:rsidP="00F03596">
      <w:pPr>
        <w:spacing w:after="0" w:line="240" w:lineRule="auto"/>
      </w:pPr>
      <w:r>
        <w:separator/>
      </w:r>
    </w:p>
  </w:endnote>
  <w:endnote w:type="continuationSeparator" w:id="0">
    <w:p w:rsidR="00852BD2" w:rsidRDefault="00852BD2" w:rsidP="00F0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D2" w:rsidRDefault="00852BD2" w:rsidP="00F03596">
      <w:pPr>
        <w:spacing w:after="0" w:line="240" w:lineRule="auto"/>
      </w:pPr>
      <w:r>
        <w:separator/>
      </w:r>
    </w:p>
  </w:footnote>
  <w:footnote w:type="continuationSeparator" w:id="0">
    <w:p w:rsidR="00852BD2" w:rsidRDefault="00852BD2" w:rsidP="00F03596">
      <w:pPr>
        <w:spacing w:after="0" w:line="240" w:lineRule="auto"/>
      </w:pPr>
      <w:r>
        <w:continuationSeparator/>
      </w:r>
    </w:p>
  </w:footnote>
  <w:footnote w:id="1">
    <w:p w:rsidR="00B83CDF" w:rsidRDefault="00B83CDF">
      <w:pPr>
        <w:pStyle w:val="FootnoteText"/>
      </w:pPr>
      <w:r>
        <w:rPr>
          <w:rStyle w:val="FootnoteReference"/>
        </w:rPr>
        <w:footnoteRef/>
      </w:r>
      <w:r>
        <w:t xml:space="preserve"> </w:t>
      </w:r>
      <w:r w:rsidRPr="00E80076">
        <w:rPr>
          <w:rFonts w:ascii="Arial" w:hAnsi="Arial" w:cs="Arial"/>
        </w:rPr>
        <w:t>Combating of Rape Act, 8 of 2000.</w:t>
      </w:r>
    </w:p>
  </w:footnote>
  <w:footnote w:id="2">
    <w:p w:rsidR="00005C77" w:rsidRDefault="00005C77">
      <w:pPr>
        <w:pStyle w:val="FootnoteText"/>
      </w:pPr>
      <w:r>
        <w:rPr>
          <w:rStyle w:val="FootnoteReference"/>
        </w:rPr>
        <w:footnoteRef/>
      </w:r>
      <w:r>
        <w:t xml:space="preserve"> </w:t>
      </w:r>
      <w:proofErr w:type="spellStart"/>
      <w:r w:rsidRPr="00005C77">
        <w:rPr>
          <w:i/>
        </w:rPr>
        <w:t>Doeseb</w:t>
      </w:r>
      <w:proofErr w:type="spellEnd"/>
      <w:r w:rsidRPr="00005C77">
        <w:rPr>
          <w:i/>
        </w:rPr>
        <w:t xml:space="preserve"> v The State</w:t>
      </w:r>
      <w:r>
        <w:t xml:space="preserve"> (CA 25-2015) [2015] NAHCMD 199 (25 August 2015).</w:t>
      </w:r>
    </w:p>
  </w:footnote>
  <w:footnote w:id="3">
    <w:p w:rsidR="00B83CDF" w:rsidRDefault="00B83CDF" w:rsidP="00E95FCC">
      <w:pPr>
        <w:pStyle w:val="FootnoteText"/>
      </w:pPr>
      <w:r>
        <w:rPr>
          <w:rStyle w:val="FootnoteReference"/>
        </w:rPr>
        <w:footnoteRef/>
      </w:r>
      <w:r>
        <w:t xml:space="preserve"> </w:t>
      </w:r>
      <w:r w:rsidRPr="00E80076">
        <w:rPr>
          <w:rFonts w:ascii="Arial" w:hAnsi="Arial" w:cs="Arial"/>
          <w:i/>
        </w:rPr>
        <w:t xml:space="preserve">S v </w:t>
      </w:r>
      <w:proofErr w:type="spellStart"/>
      <w:r w:rsidRPr="00E80076">
        <w:rPr>
          <w:rFonts w:ascii="Arial" w:hAnsi="Arial" w:cs="Arial"/>
          <w:i/>
        </w:rPr>
        <w:t>Gey</w:t>
      </w:r>
      <w:proofErr w:type="spellEnd"/>
      <w:r w:rsidRPr="00E80076">
        <w:rPr>
          <w:rFonts w:ascii="Arial" w:hAnsi="Arial" w:cs="Arial"/>
          <w:i/>
        </w:rPr>
        <w:t xml:space="preserve"> van </w:t>
      </w:r>
      <w:proofErr w:type="spellStart"/>
      <w:r w:rsidRPr="00E80076">
        <w:rPr>
          <w:rFonts w:ascii="Arial" w:hAnsi="Arial" w:cs="Arial"/>
          <w:i/>
        </w:rPr>
        <w:t>Pittius</w:t>
      </w:r>
      <w:proofErr w:type="spellEnd"/>
      <w:r w:rsidRPr="00E80076">
        <w:rPr>
          <w:rFonts w:ascii="Arial" w:hAnsi="Arial" w:cs="Arial"/>
          <w:i/>
        </w:rPr>
        <w:t xml:space="preserve"> and </w:t>
      </w:r>
      <w:proofErr w:type="gramStart"/>
      <w:r w:rsidRPr="00E80076">
        <w:rPr>
          <w:rFonts w:ascii="Arial" w:hAnsi="Arial" w:cs="Arial"/>
          <w:i/>
        </w:rPr>
        <w:t>Another</w:t>
      </w:r>
      <w:proofErr w:type="gramEnd"/>
      <w:r w:rsidRPr="00E80076">
        <w:rPr>
          <w:rFonts w:ascii="Arial" w:hAnsi="Arial" w:cs="Arial"/>
        </w:rPr>
        <w:t xml:space="preserve"> 1990 NR 35 at 36F-G.</w:t>
      </w:r>
    </w:p>
  </w:footnote>
  <w:footnote w:id="4">
    <w:p w:rsidR="001D133B" w:rsidRDefault="001D133B">
      <w:pPr>
        <w:pStyle w:val="FootnoteText"/>
      </w:pPr>
      <w:r>
        <w:rPr>
          <w:rStyle w:val="FootnoteReference"/>
        </w:rPr>
        <w:footnoteRef/>
      </w:r>
      <w:r>
        <w:t xml:space="preserve"> Combating of Rape Act, 8 of 2000.</w:t>
      </w:r>
    </w:p>
  </w:footnote>
  <w:footnote w:id="5">
    <w:p w:rsidR="00E80076" w:rsidRPr="00E80076" w:rsidRDefault="00E80076">
      <w:pPr>
        <w:pStyle w:val="FootnoteText"/>
        <w:rPr>
          <w:rFonts w:ascii="Arial" w:hAnsi="Arial" w:cs="Arial"/>
        </w:rPr>
      </w:pPr>
      <w:r w:rsidRPr="00E80076">
        <w:rPr>
          <w:rStyle w:val="FootnoteReference"/>
          <w:rFonts w:ascii="Arial" w:hAnsi="Arial" w:cs="Arial"/>
        </w:rPr>
        <w:footnoteRef/>
      </w:r>
      <w:r w:rsidRPr="00E80076">
        <w:rPr>
          <w:rFonts w:ascii="Arial" w:hAnsi="Arial" w:cs="Arial"/>
        </w:rPr>
        <w:t xml:space="preserve"> </w:t>
      </w:r>
      <w:r w:rsidRPr="00E80076">
        <w:rPr>
          <w:rFonts w:ascii="Arial" w:hAnsi="Arial" w:cs="Arial"/>
          <w:i/>
        </w:rPr>
        <w:t xml:space="preserve">R v </w:t>
      </w:r>
      <w:proofErr w:type="spellStart"/>
      <w:r w:rsidRPr="00E80076">
        <w:rPr>
          <w:rFonts w:ascii="Arial" w:hAnsi="Arial" w:cs="Arial"/>
          <w:i/>
        </w:rPr>
        <w:t>Dhlumayo</w:t>
      </w:r>
      <w:proofErr w:type="spellEnd"/>
      <w:r w:rsidRPr="00E80076">
        <w:rPr>
          <w:rFonts w:ascii="Arial" w:hAnsi="Arial" w:cs="Arial"/>
          <w:i/>
        </w:rPr>
        <w:t xml:space="preserve"> and Another</w:t>
      </w:r>
      <w:r w:rsidRPr="00E80076">
        <w:rPr>
          <w:rFonts w:ascii="Arial" w:hAnsi="Arial" w:cs="Arial"/>
        </w:rPr>
        <w:t xml:space="preserve"> 1948 (2) SA 677 (AD) at 706.</w:t>
      </w:r>
    </w:p>
  </w:footnote>
  <w:footnote w:id="6">
    <w:p w:rsidR="002C4D7A" w:rsidRDefault="002C4D7A">
      <w:pPr>
        <w:pStyle w:val="FootnoteText"/>
      </w:pPr>
      <w:r>
        <w:rPr>
          <w:rStyle w:val="FootnoteReference"/>
        </w:rPr>
        <w:footnoteRef/>
      </w:r>
      <w:r>
        <w:t xml:space="preserve"> </w:t>
      </w:r>
      <w:r w:rsidR="00016A6B">
        <w:rPr>
          <w:rFonts w:ascii="Arial" w:hAnsi="Arial" w:cs="Arial"/>
        </w:rPr>
        <w:t>Combating of R</w:t>
      </w:r>
      <w:r w:rsidRPr="002C4D7A">
        <w:rPr>
          <w:rFonts w:ascii="Arial" w:hAnsi="Arial" w:cs="Arial"/>
        </w:rPr>
        <w:t>ape Act, 8 of 2000.</w:t>
      </w:r>
    </w:p>
  </w:footnote>
  <w:footnote w:id="7">
    <w:p w:rsidR="00E80076" w:rsidRPr="00E80076" w:rsidRDefault="00E80076">
      <w:pPr>
        <w:pStyle w:val="FootnoteText"/>
        <w:rPr>
          <w:rFonts w:ascii="Arial" w:hAnsi="Arial" w:cs="Arial"/>
        </w:rPr>
      </w:pPr>
      <w:r w:rsidRPr="00E80076">
        <w:rPr>
          <w:rStyle w:val="FootnoteReference"/>
          <w:rFonts w:ascii="Arial" w:hAnsi="Arial" w:cs="Arial"/>
        </w:rPr>
        <w:footnoteRef/>
      </w:r>
      <w:r w:rsidRPr="00E80076">
        <w:rPr>
          <w:rFonts w:ascii="Arial" w:hAnsi="Arial" w:cs="Arial"/>
        </w:rPr>
        <w:t xml:space="preserve"> Combating of Rape Act, 8 of 2000.</w:t>
      </w:r>
    </w:p>
  </w:footnote>
  <w:footnote w:id="8">
    <w:p w:rsidR="009B7840" w:rsidRDefault="009B7840">
      <w:pPr>
        <w:pStyle w:val="FootnoteText"/>
      </w:pPr>
      <w:r w:rsidRPr="00E80076">
        <w:rPr>
          <w:rStyle w:val="FootnoteReference"/>
          <w:rFonts w:ascii="Arial" w:hAnsi="Arial" w:cs="Arial"/>
        </w:rPr>
        <w:footnoteRef/>
      </w:r>
      <w:r w:rsidRPr="00E80076">
        <w:rPr>
          <w:rFonts w:ascii="Arial" w:hAnsi="Arial" w:cs="Arial"/>
        </w:rPr>
        <w:t xml:space="preserve"> </w:t>
      </w:r>
      <w:proofErr w:type="spellStart"/>
      <w:r w:rsidRPr="00E80076">
        <w:rPr>
          <w:rFonts w:ascii="Arial" w:hAnsi="Arial" w:cs="Arial"/>
          <w:i/>
        </w:rPr>
        <w:t>Kambindu</w:t>
      </w:r>
      <w:proofErr w:type="spellEnd"/>
      <w:r w:rsidRPr="00E80076">
        <w:rPr>
          <w:rFonts w:ascii="Arial" w:hAnsi="Arial" w:cs="Arial"/>
          <w:i/>
        </w:rPr>
        <w:t xml:space="preserve"> v </w:t>
      </w:r>
      <w:r w:rsidR="008E7051">
        <w:rPr>
          <w:rFonts w:ascii="Arial" w:hAnsi="Arial" w:cs="Arial"/>
          <w:i/>
        </w:rPr>
        <w:t xml:space="preserve">The </w:t>
      </w:r>
      <w:r w:rsidRPr="00E80076">
        <w:rPr>
          <w:rFonts w:ascii="Arial" w:hAnsi="Arial" w:cs="Arial"/>
          <w:i/>
        </w:rPr>
        <w:t>State</w:t>
      </w:r>
      <w:r w:rsidRPr="00E80076">
        <w:rPr>
          <w:rFonts w:ascii="Arial" w:hAnsi="Arial" w:cs="Arial"/>
        </w:rPr>
        <w:t xml:space="preserve"> (CA 4-2016) [2016] NAHCMD 256 (9 September 2016)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275"/>
      <w:docPartObj>
        <w:docPartGallery w:val="Page Numbers (Top of Page)"/>
        <w:docPartUnique/>
      </w:docPartObj>
    </w:sdtPr>
    <w:sdtEndPr/>
    <w:sdtContent>
      <w:p w:rsidR="00B83CDF" w:rsidRDefault="00344E42">
        <w:pPr>
          <w:pStyle w:val="Header"/>
          <w:jc w:val="right"/>
        </w:pPr>
        <w:r>
          <w:fldChar w:fldCharType="begin"/>
        </w:r>
        <w:r>
          <w:instrText xml:space="preserve"> PAGE   \* MERGEFORMAT </w:instrText>
        </w:r>
        <w:r>
          <w:fldChar w:fldCharType="separate"/>
        </w:r>
        <w:r w:rsidR="0057743C">
          <w:rPr>
            <w:noProof/>
          </w:rPr>
          <w:t>12</w:t>
        </w:r>
        <w:r>
          <w:rPr>
            <w:noProof/>
          </w:rPr>
          <w:fldChar w:fldCharType="end"/>
        </w:r>
      </w:p>
    </w:sdtContent>
  </w:sdt>
  <w:p w:rsidR="00B83CDF" w:rsidRDefault="00B8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7443"/>
    <w:multiLevelType w:val="hybridMultilevel"/>
    <w:tmpl w:val="9E943586"/>
    <w:lvl w:ilvl="0" w:tplc="BFF8453C">
      <w:start w:val="1"/>
      <w:numFmt w:val="lowerLetter"/>
      <w:lvlText w:val="(%1)"/>
      <w:lvlJc w:val="left"/>
      <w:pPr>
        <w:ind w:left="1260" w:hanging="9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E8"/>
    <w:rsid w:val="00001A0F"/>
    <w:rsid w:val="00005C77"/>
    <w:rsid w:val="00016A6B"/>
    <w:rsid w:val="00044301"/>
    <w:rsid w:val="000A7B1C"/>
    <w:rsid w:val="000D2719"/>
    <w:rsid w:val="000F679F"/>
    <w:rsid w:val="00120872"/>
    <w:rsid w:val="001A2FD4"/>
    <w:rsid w:val="001B63CD"/>
    <w:rsid w:val="001D133B"/>
    <w:rsid w:val="001E0C40"/>
    <w:rsid w:val="001F5897"/>
    <w:rsid w:val="001F719A"/>
    <w:rsid w:val="0022612A"/>
    <w:rsid w:val="00226842"/>
    <w:rsid w:val="002473E7"/>
    <w:rsid w:val="002604CE"/>
    <w:rsid w:val="0028386B"/>
    <w:rsid w:val="002C4113"/>
    <w:rsid w:val="002C4D7A"/>
    <w:rsid w:val="002C695D"/>
    <w:rsid w:val="002D0616"/>
    <w:rsid w:val="002E7694"/>
    <w:rsid w:val="003111D4"/>
    <w:rsid w:val="00316CE8"/>
    <w:rsid w:val="00344E42"/>
    <w:rsid w:val="003C63D0"/>
    <w:rsid w:val="004225CB"/>
    <w:rsid w:val="004338C5"/>
    <w:rsid w:val="00452A75"/>
    <w:rsid w:val="00495146"/>
    <w:rsid w:val="004D6052"/>
    <w:rsid w:val="005352F8"/>
    <w:rsid w:val="00564BB9"/>
    <w:rsid w:val="005712E3"/>
    <w:rsid w:val="0057743C"/>
    <w:rsid w:val="005B1773"/>
    <w:rsid w:val="005D3087"/>
    <w:rsid w:val="00641B03"/>
    <w:rsid w:val="006453BD"/>
    <w:rsid w:val="00677AA2"/>
    <w:rsid w:val="006A4D75"/>
    <w:rsid w:val="006B2163"/>
    <w:rsid w:val="00737214"/>
    <w:rsid w:val="007460BE"/>
    <w:rsid w:val="00746AB7"/>
    <w:rsid w:val="00773F9A"/>
    <w:rsid w:val="00786894"/>
    <w:rsid w:val="00795DED"/>
    <w:rsid w:val="007E3B13"/>
    <w:rsid w:val="007E4B54"/>
    <w:rsid w:val="00801072"/>
    <w:rsid w:val="00806C0F"/>
    <w:rsid w:val="008470CB"/>
    <w:rsid w:val="00852BD2"/>
    <w:rsid w:val="0085636C"/>
    <w:rsid w:val="00896895"/>
    <w:rsid w:val="008E7051"/>
    <w:rsid w:val="008F24AD"/>
    <w:rsid w:val="0090688E"/>
    <w:rsid w:val="00920693"/>
    <w:rsid w:val="009800F4"/>
    <w:rsid w:val="009A10F4"/>
    <w:rsid w:val="009B7840"/>
    <w:rsid w:val="009D0644"/>
    <w:rsid w:val="009F1D6F"/>
    <w:rsid w:val="009F62FC"/>
    <w:rsid w:val="00A1228F"/>
    <w:rsid w:val="00A21EE5"/>
    <w:rsid w:val="00A6614C"/>
    <w:rsid w:val="00AE150C"/>
    <w:rsid w:val="00B60DB7"/>
    <w:rsid w:val="00B7145E"/>
    <w:rsid w:val="00B71514"/>
    <w:rsid w:val="00B7656E"/>
    <w:rsid w:val="00B83CDF"/>
    <w:rsid w:val="00BD662E"/>
    <w:rsid w:val="00BE2779"/>
    <w:rsid w:val="00BE7B20"/>
    <w:rsid w:val="00BF6BD0"/>
    <w:rsid w:val="00C41044"/>
    <w:rsid w:val="00C858F7"/>
    <w:rsid w:val="00C97009"/>
    <w:rsid w:val="00CA39CD"/>
    <w:rsid w:val="00CB4441"/>
    <w:rsid w:val="00CD1B3B"/>
    <w:rsid w:val="00CD2830"/>
    <w:rsid w:val="00D030D5"/>
    <w:rsid w:val="00D314E0"/>
    <w:rsid w:val="00DF1439"/>
    <w:rsid w:val="00DF6620"/>
    <w:rsid w:val="00DF67C7"/>
    <w:rsid w:val="00E25A67"/>
    <w:rsid w:val="00E27915"/>
    <w:rsid w:val="00E42BD4"/>
    <w:rsid w:val="00E62687"/>
    <w:rsid w:val="00E80076"/>
    <w:rsid w:val="00E95FCC"/>
    <w:rsid w:val="00F03596"/>
    <w:rsid w:val="00F04BEA"/>
    <w:rsid w:val="00F3784F"/>
    <w:rsid w:val="00F526CA"/>
    <w:rsid w:val="00F64487"/>
    <w:rsid w:val="00F84B34"/>
    <w:rsid w:val="00FF2DAD"/>
    <w:rsid w:val="00FF52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E8"/>
    <w:pPr>
      <w:spacing w:after="200" w:line="276" w:lineRule="auto"/>
    </w:pPr>
  </w:style>
  <w:style w:type="paragraph" w:styleId="Heading4">
    <w:name w:val="heading 4"/>
    <w:basedOn w:val="Normal"/>
    <w:next w:val="Normal"/>
    <w:link w:val="Heading4Char"/>
    <w:qFormat/>
    <w:rsid w:val="00316CE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6CE8"/>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F03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596"/>
    <w:rPr>
      <w:sz w:val="20"/>
      <w:szCs w:val="20"/>
    </w:rPr>
  </w:style>
  <w:style w:type="character" w:styleId="FootnoteReference">
    <w:name w:val="footnote reference"/>
    <w:basedOn w:val="DefaultParagraphFont"/>
    <w:uiPriority w:val="99"/>
    <w:semiHidden/>
    <w:unhideWhenUsed/>
    <w:rsid w:val="00F03596"/>
    <w:rPr>
      <w:vertAlign w:val="superscript"/>
    </w:rPr>
  </w:style>
  <w:style w:type="paragraph" w:styleId="BalloonText">
    <w:name w:val="Balloon Text"/>
    <w:basedOn w:val="Normal"/>
    <w:link w:val="BalloonTextChar"/>
    <w:uiPriority w:val="99"/>
    <w:semiHidden/>
    <w:unhideWhenUsed/>
    <w:rsid w:val="00DF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39"/>
    <w:rPr>
      <w:rFonts w:ascii="Tahoma" w:hAnsi="Tahoma" w:cs="Tahoma"/>
      <w:sz w:val="16"/>
      <w:szCs w:val="16"/>
    </w:rPr>
  </w:style>
  <w:style w:type="paragraph" w:customStyle="1" w:styleId="TI">
    <w:name w:val="TI"/>
    <w:uiPriority w:val="99"/>
    <w:rsid w:val="009D0644"/>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paragraph" w:customStyle="1" w:styleId="TRI">
    <w:name w:val="TRI"/>
    <w:uiPriority w:val="99"/>
    <w:rsid w:val="00BD662E"/>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9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95"/>
  </w:style>
  <w:style w:type="paragraph" w:styleId="Footer">
    <w:name w:val="footer"/>
    <w:basedOn w:val="Normal"/>
    <w:link w:val="FooterChar"/>
    <w:uiPriority w:val="99"/>
    <w:semiHidden/>
    <w:unhideWhenUsed/>
    <w:rsid w:val="008968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E8"/>
    <w:pPr>
      <w:spacing w:after="200" w:line="276" w:lineRule="auto"/>
    </w:pPr>
  </w:style>
  <w:style w:type="paragraph" w:styleId="Heading4">
    <w:name w:val="heading 4"/>
    <w:basedOn w:val="Normal"/>
    <w:next w:val="Normal"/>
    <w:link w:val="Heading4Char"/>
    <w:qFormat/>
    <w:rsid w:val="00316CE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6CE8"/>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F03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596"/>
    <w:rPr>
      <w:sz w:val="20"/>
      <w:szCs w:val="20"/>
    </w:rPr>
  </w:style>
  <w:style w:type="character" w:styleId="FootnoteReference">
    <w:name w:val="footnote reference"/>
    <w:basedOn w:val="DefaultParagraphFont"/>
    <w:uiPriority w:val="99"/>
    <w:semiHidden/>
    <w:unhideWhenUsed/>
    <w:rsid w:val="00F03596"/>
    <w:rPr>
      <w:vertAlign w:val="superscript"/>
    </w:rPr>
  </w:style>
  <w:style w:type="paragraph" w:styleId="BalloonText">
    <w:name w:val="Balloon Text"/>
    <w:basedOn w:val="Normal"/>
    <w:link w:val="BalloonTextChar"/>
    <w:uiPriority w:val="99"/>
    <w:semiHidden/>
    <w:unhideWhenUsed/>
    <w:rsid w:val="00DF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39"/>
    <w:rPr>
      <w:rFonts w:ascii="Tahoma" w:hAnsi="Tahoma" w:cs="Tahoma"/>
      <w:sz w:val="16"/>
      <w:szCs w:val="16"/>
    </w:rPr>
  </w:style>
  <w:style w:type="paragraph" w:customStyle="1" w:styleId="TI">
    <w:name w:val="TI"/>
    <w:uiPriority w:val="99"/>
    <w:rsid w:val="009D0644"/>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paragraph" w:customStyle="1" w:styleId="TRI">
    <w:name w:val="TRI"/>
    <w:uiPriority w:val="99"/>
    <w:rsid w:val="00BD662E"/>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9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95"/>
  </w:style>
  <w:style w:type="paragraph" w:styleId="Footer">
    <w:name w:val="footer"/>
    <w:basedOn w:val="Normal"/>
    <w:link w:val="FooterChar"/>
    <w:uiPriority w:val="99"/>
    <w:semiHidden/>
    <w:unhideWhenUsed/>
    <w:rsid w:val="008968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2017-04-06T18:30:00+00:00</Judgment_x0020_Date>
  </documentManagement>
</p:properties>
</file>

<file path=customXml/itemProps1.xml><?xml version="1.0" encoding="utf-8"?>
<ds:datastoreItem xmlns:ds="http://schemas.openxmlformats.org/officeDocument/2006/customXml" ds:itemID="{027AA449-A30B-4379-9B47-158FA33F956D}"/>
</file>

<file path=customXml/itemProps2.xml><?xml version="1.0" encoding="utf-8"?>
<ds:datastoreItem xmlns:ds="http://schemas.openxmlformats.org/officeDocument/2006/customXml" ds:itemID="{881C8B57-6490-4D8A-A9DB-106F8CBFF1FB}"/>
</file>

<file path=customXml/itemProps3.xml><?xml version="1.0" encoding="utf-8"?>
<ds:datastoreItem xmlns:ds="http://schemas.openxmlformats.org/officeDocument/2006/customXml" ds:itemID="{312FB4D9-3DB3-4E2D-848D-CED1A6AFD83F}"/>
</file>

<file path=customXml/itemProps4.xml><?xml version="1.0" encoding="utf-8"?>
<ds:datastoreItem xmlns:ds="http://schemas.openxmlformats.org/officeDocument/2006/customXml" ds:itemID="{34D19619-43EF-479A-B7C3-B54C7F252851}"/>
</file>

<file path=docProps/app.xml><?xml version="1.0" encoding="utf-8"?>
<Properties xmlns="http://schemas.openxmlformats.org/officeDocument/2006/extended-properties" xmlns:vt="http://schemas.openxmlformats.org/officeDocument/2006/docPropsVTypes">
  <Template>Normal</Template>
  <TotalTime>2</TotalTime>
  <Pages>12</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3</cp:revision>
  <cp:lastPrinted>2017-03-29T07:28:00Z</cp:lastPrinted>
  <dcterms:created xsi:type="dcterms:W3CDTF">2017-04-19T09:34:00Z</dcterms:created>
  <dcterms:modified xsi:type="dcterms:W3CDTF">2017-04-19T09:51:00Z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