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46" w:rsidRPr="00470E7C" w:rsidRDefault="00170268" w:rsidP="00170268">
      <w:pPr>
        <w:jc w:val="center"/>
        <w:rPr>
          <w:rFonts w:ascii="Arial" w:hAnsi="Arial" w:cs="Arial"/>
          <w:b/>
          <w:sz w:val="24"/>
          <w:szCs w:val="24"/>
        </w:rPr>
      </w:pPr>
      <w:r w:rsidRPr="00470E7C">
        <w:rPr>
          <w:rFonts w:ascii="Arial" w:hAnsi="Arial" w:cs="Arial"/>
          <w:b/>
          <w:sz w:val="24"/>
          <w:szCs w:val="24"/>
        </w:rPr>
        <w:t>REPUBLIC OF NAMIBIA</w:t>
      </w:r>
    </w:p>
    <w:p w:rsidR="00170268" w:rsidRPr="00470E7C" w:rsidRDefault="006A4186" w:rsidP="00170268">
      <w:pPr>
        <w:jc w:val="right"/>
        <w:rPr>
          <w:rFonts w:ascii="Arial" w:hAnsi="Arial" w:cs="Arial"/>
          <w:sz w:val="24"/>
          <w:szCs w:val="24"/>
        </w:rPr>
      </w:pPr>
      <w:r>
        <w:rPr>
          <w:rFonts w:ascii="Arial" w:hAnsi="Arial" w:cs="Arial"/>
          <w:sz w:val="24"/>
          <w:szCs w:val="24"/>
        </w:rPr>
        <w:t xml:space="preserve">NOT </w:t>
      </w:r>
      <w:r w:rsidR="00170268" w:rsidRPr="00470E7C">
        <w:rPr>
          <w:rFonts w:ascii="Arial" w:hAnsi="Arial" w:cs="Arial"/>
          <w:sz w:val="24"/>
          <w:szCs w:val="24"/>
        </w:rPr>
        <w:t>REPORTABLE</w:t>
      </w:r>
    </w:p>
    <w:p w:rsidR="00170268" w:rsidRPr="00470E7C" w:rsidRDefault="00170268" w:rsidP="00170268">
      <w:pPr>
        <w:jc w:val="center"/>
        <w:rPr>
          <w:rFonts w:ascii="Arial" w:hAnsi="Arial" w:cs="Arial"/>
          <w:sz w:val="24"/>
          <w:szCs w:val="24"/>
        </w:rPr>
      </w:pPr>
      <w:r w:rsidRPr="00470E7C">
        <w:rPr>
          <w:rFonts w:ascii="Arial" w:hAnsi="Arial" w:cs="Arial"/>
          <w:noProof/>
          <w:sz w:val="24"/>
          <w:szCs w:val="24"/>
          <w:lang w:eastAsia="en-ZA"/>
        </w:rPr>
        <w:drawing>
          <wp:inline distT="0" distB="0" distL="0" distR="0" wp14:anchorId="7CE564D3" wp14:editId="0759EA2B">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rPr>
          <w:rFonts w:ascii="Arial" w:hAnsi="Arial" w:cs="Arial"/>
          <w:sz w:val="16"/>
          <w:szCs w:val="16"/>
        </w:rPr>
      </w:pP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170268" w:rsidP="00170268">
      <w:pPr>
        <w:spacing w:after="0" w:line="360" w:lineRule="auto"/>
        <w:rPr>
          <w:rFonts w:ascii="Arial" w:hAnsi="Arial" w:cs="Arial"/>
          <w:sz w:val="16"/>
          <w:szCs w:val="16"/>
        </w:rPr>
      </w:pP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AE7707">
        <w:rPr>
          <w:rFonts w:ascii="Arial" w:hAnsi="Arial" w:cs="Arial"/>
          <w:b/>
          <w:sz w:val="24"/>
          <w:szCs w:val="24"/>
        </w:rPr>
        <w:t xml:space="preserve"> 28</w:t>
      </w:r>
      <w:r w:rsidR="00B86B40">
        <w:rPr>
          <w:rFonts w:ascii="Arial" w:hAnsi="Arial" w:cs="Arial"/>
          <w:b/>
          <w:sz w:val="24"/>
          <w:szCs w:val="24"/>
        </w:rPr>
        <w:t>/2017</w:t>
      </w:r>
    </w:p>
    <w:p w:rsidR="00170268" w:rsidRPr="00470E7C" w:rsidRDefault="00170268">
      <w:pPr>
        <w:rPr>
          <w:rFonts w:ascii="Arial" w:hAnsi="Arial" w:cs="Arial"/>
          <w:sz w:val="24"/>
          <w:szCs w:val="24"/>
        </w:rPr>
      </w:pPr>
    </w:p>
    <w:p w:rsidR="00170268" w:rsidRPr="00470E7C" w:rsidRDefault="00170268" w:rsidP="00D52600">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9D25EC" w:rsidRPr="00470E7C">
        <w:rPr>
          <w:rFonts w:ascii="Arial" w:hAnsi="Arial" w:cs="Arial"/>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roofErr w:type="gramStart"/>
      <w:r w:rsidRPr="00470E7C">
        <w:rPr>
          <w:rFonts w:ascii="Arial" w:hAnsi="Arial" w:cs="Arial"/>
          <w:sz w:val="24"/>
          <w:szCs w:val="24"/>
        </w:rPr>
        <w:t>and</w:t>
      </w:r>
      <w:proofErr w:type="gramEnd"/>
    </w:p>
    <w:p w:rsidR="00170268" w:rsidRPr="00470E7C" w:rsidRDefault="00170268" w:rsidP="00D52600">
      <w:pPr>
        <w:spacing w:line="360" w:lineRule="auto"/>
        <w:rPr>
          <w:rFonts w:ascii="Arial" w:hAnsi="Arial" w:cs="Arial"/>
          <w:sz w:val="24"/>
          <w:szCs w:val="24"/>
        </w:rPr>
      </w:pPr>
    </w:p>
    <w:p w:rsidR="00170268" w:rsidRPr="00470E7C" w:rsidRDefault="006A4186" w:rsidP="00D52600">
      <w:pPr>
        <w:spacing w:line="360" w:lineRule="auto"/>
        <w:rPr>
          <w:rFonts w:ascii="Arial" w:hAnsi="Arial" w:cs="Arial"/>
          <w:b/>
          <w:sz w:val="24"/>
          <w:szCs w:val="24"/>
        </w:rPr>
      </w:pPr>
      <w:r>
        <w:rPr>
          <w:rFonts w:ascii="Arial" w:hAnsi="Arial" w:cs="Arial"/>
          <w:b/>
          <w:sz w:val="24"/>
          <w:szCs w:val="24"/>
        </w:rPr>
        <w:t>JOSEF GERTZE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center"/>
        <w:rPr>
          <w:rFonts w:ascii="Arial" w:hAnsi="Arial" w:cs="Arial"/>
          <w:b/>
          <w:sz w:val="24"/>
          <w:szCs w:val="24"/>
        </w:rPr>
      </w:pPr>
      <w:r w:rsidRPr="00470E7C">
        <w:rPr>
          <w:rFonts w:ascii="Arial" w:hAnsi="Arial" w:cs="Arial"/>
          <w:b/>
          <w:sz w:val="24"/>
          <w:szCs w:val="24"/>
        </w:rPr>
        <w:t>HIGH COURT MD REVIEW CASE NO</w:t>
      </w:r>
      <w:r w:rsidR="006A4186">
        <w:rPr>
          <w:rFonts w:ascii="Arial" w:hAnsi="Arial" w:cs="Arial"/>
          <w:b/>
          <w:sz w:val="24"/>
          <w:szCs w:val="24"/>
        </w:rPr>
        <w:t xml:space="preserve"> 1459/2016</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i/>
          <w:sz w:val="24"/>
          <w:szCs w:val="24"/>
        </w:rPr>
        <w:t>Neutral citation:</w:t>
      </w:r>
      <w:r w:rsidRPr="00470E7C">
        <w:rPr>
          <w:rFonts w:ascii="Arial" w:hAnsi="Arial" w:cs="Arial"/>
          <w:sz w:val="24"/>
          <w:szCs w:val="24"/>
        </w:rPr>
        <w:t xml:space="preserve"> </w:t>
      </w:r>
      <w:bookmarkStart w:id="0" w:name="_GoBack"/>
      <w:r w:rsidR="00347952">
        <w:rPr>
          <w:rFonts w:ascii="Arial" w:hAnsi="Arial" w:cs="Arial"/>
          <w:i/>
          <w:sz w:val="24"/>
          <w:szCs w:val="24"/>
        </w:rPr>
        <w:t>S</w:t>
      </w:r>
      <w:r w:rsidR="006A4186">
        <w:rPr>
          <w:rFonts w:ascii="Arial" w:hAnsi="Arial" w:cs="Arial"/>
          <w:i/>
          <w:sz w:val="24"/>
          <w:szCs w:val="24"/>
        </w:rPr>
        <w:t xml:space="preserve"> v </w:t>
      </w:r>
      <w:proofErr w:type="spellStart"/>
      <w:r w:rsidR="006A4186">
        <w:rPr>
          <w:rFonts w:ascii="Arial" w:hAnsi="Arial" w:cs="Arial"/>
          <w:i/>
          <w:sz w:val="24"/>
          <w:szCs w:val="24"/>
        </w:rPr>
        <w:t>Gertze</w:t>
      </w:r>
      <w:proofErr w:type="spellEnd"/>
      <w:r w:rsidR="00CB0D30" w:rsidRPr="00470E7C">
        <w:rPr>
          <w:rFonts w:ascii="Arial" w:hAnsi="Arial" w:cs="Arial"/>
          <w:i/>
          <w:sz w:val="24"/>
          <w:szCs w:val="24"/>
        </w:rPr>
        <w:t xml:space="preserve"> </w:t>
      </w:r>
      <w:r w:rsidR="00AE7707">
        <w:rPr>
          <w:rFonts w:ascii="Arial" w:hAnsi="Arial" w:cs="Arial"/>
          <w:sz w:val="24"/>
          <w:szCs w:val="24"/>
        </w:rPr>
        <w:t>(CR 28</w:t>
      </w:r>
      <w:r w:rsidR="009B3A6D">
        <w:rPr>
          <w:rFonts w:ascii="Arial" w:hAnsi="Arial" w:cs="Arial"/>
          <w:sz w:val="24"/>
          <w:szCs w:val="24"/>
        </w:rPr>
        <w:t xml:space="preserve">/2017) [2017] </w:t>
      </w:r>
      <w:r w:rsidR="00AE7707">
        <w:rPr>
          <w:rFonts w:ascii="Arial" w:hAnsi="Arial" w:cs="Arial"/>
          <w:sz w:val="24"/>
          <w:szCs w:val="24"/>
        </w:rPr>
        <w:t>NAHCMD 121</w:t>
      </w:r>
      <w:r w:rsidR="009B3A6D">
        <w:rPr>
          <w:rFonts w:ascii="Arial" w:hAnsi="Arial" w:cs="Arial"/>
          <w:sz w:val="24"/>
          <w:szCs w:val="24"/>
        </w:rPr>
        <w:t xml:space="preserve"> (21</w:t>
      </w:r>
      <w:r w:rsidR="006A4186">
        <w:rPr>
          <w:rFonts w:ascii="Arial" w:hAnsi="Arial" w:cs="Arial"/>
          <w:sz w:val="24"/>
          <w:szCs w:val="24"/>
        </w:rPr>
        <w:t xml:space="preserve"> April</w:t>
      </w:r>
      <w:r w:rsidR="00B86B40">
        <w:rPr>
          <w:rFonts w:ascii="Arial" w:hAnsi="Arial" w:cs="Arial"/>
          <w:sz w:val="24"/>
          <w:szCs w:val="24"/>
        </w:rPr>
        <w:t xml:space="preserve"> 2017</w:t>
      </w:r>
      <w:r w:rsidRPr="00470E7C">
        <w:rPr>
          <w:rFonts w:ascii="Arial" w:hAnsi="Arial" w:cs="Arial"/>
          <w:sz w:val="24"/>
          <w:szCs w:val="24"/>
        </w:rPr>
        <w:t>)</w:t>
      </w:r>
    </w:p>
    <w:bookmarkEnd w:id="0"/>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ind w:left="1710" w:hanging="1710"/>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t xml:space="preserve">LIEBENBERG J </w:t>
      </w:r>
      <w:proofErr w:type="gramStart"/>
      <w:r w:rsidRPr="00470E7C">
        <w:rPr>
          <w:rFonts w:ascii="Arial" w:hAnsi="Arial" w:cs="Arial"/>
          <w:b/>
          <w:i/>
          <w:sz w:val="24"/>
          <w:szCs w:val="24"/>
        </w:rPr>
        <w:t>et</w:t>
      </w:r>
      <w:proofErr w:type="gramEnd"/>
      <w:r w:rsidRPr="00470E7C">
        <w:rPr>
          <w:rFonts w:ascii="Arial" w:hAnsi="Arial" w:cs="Arial"/>
          <w:b/>
          <w:sz w:val="24"/>
          <w:szCs w:val="24"/>
        </w:rPr>
        <w:t xml:space="preserve"> </w:t>
      </w:r>
      <w:r w:rsidR="006A4186">
        <w:rPr>
          <w:rFonts w:ascii="Arial" w:hAnsi="Arial" w:cs="Arial"/>
          <w:b/>
          <w:sz w:val="24"/>
          <w:szCs w:val="24"/>
        </w:rPr>
        <w:t>SHIVUTE J</w:t>
      </w:r>
    </w:p>
    <w:p w:rsidR="00170268" w:rsidRPr="00470E7C" w:rsidRDefault="009B3A6D" w:rsidP="00D52600">
      <w:pPr>
        <w:spacing w:line="360" w:lineRule="auto"/>
        <w:ind w:left="1710" w:hanging="1710"/>
        <w:rPr>
          <w:rFonts w:ascii="Arial" w:hAnsi="Arial" w:cs="Arial"/>
          <w:b/>
          <w:sz w:val="24"/>
          <w:szCs w:val="24"/>
        </w:rPr>
      </w:pPr>
      <w:r>
        <w:rPr>
          <w:rFonts w:ascii="Arial" w:hAnsi="Arial" w:cs="Arial"/>
          <w:b/>
          <w:sz w:val="24"/>
          <w:szCs w:val="24"/>
        </w:rPr>
        <w:lastRenderedPageBreak/>
        <w:t>DELIVERED:</w:t>
      </w:r>
      <w:r>
        <w:rPr>
          <w:rFonts w:ascii="Arial" w:hAnsi="Arial" w:cs="Arial"/>
          <w:b/>
          <w:sz w:val="24"/>
          <w:szCs w:val="24"/>
        </w:rPr>
        <w:tab/>
        <w:t>21</w:t>
      </w:r>
      <w:r w:rsidR="006A4186">
        <w:rPr>
          <w:rFonts w:ascii="Arial" w:hAnsi="Arial" w:cs="Arial"/>
          <w:b/>
          <w:sz w:val="24"/>
          <w:szCs w:val="24"/>
        </w:rPr>
        <w:t xml:space="preserve"> April</w:t>
      </w:r>
      <w:r w:rsidR="00B86B40">
        <w:rPr>
          <w:rFonts w:ascii="Arial" w:hAnsi="Arial" w:cs="Arial"/>
          <w:b/>
          <w:sz w:val="24"/>
          <w:szCs w:val="24"/>
        </w:rPr>
        <w:t xml:space="preserve"> 2017</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9208E5" w:rsidRPr="009208E5" w:rsidRDefault="009208E5" w:rsidP="009208E5">
      <w:pPr>
        <w:pStyle w:val="ListParagraph"/>
        <w:numPr>
          <w:ilvl w:val="0"/>
          <w:numId w:val="1"/>
        </w:numPr>
        <w:spacing w:line="360" w:lineRule="auto"/>
        <w:jc w:val="both"/>
        <w:rPr>
          <w:rFonts w:ascii="Arial" w:hAnsi="Arial" w:cs="Arial"/>
          <w:sz w:val="24"/>
          <w:szCs w:val="24"/>
        </w:rPr>
      </w:pPr>
      <w:r w:rsidRPr="009208E5">
        <w:rPr>
          <w:rFonts w:ascii="Arial" w:hAnsi="Arial" w:cs="Arial"/>
          <w:sz w:val="24"/>
          <w:szCs w:val="24"/>
        </w:rPr>
        <w:t>The conviction and sentence are set aside.</w:t>
      </w:r>
    </w:p>
    <w:p w:rsidR="009208E5" w:rsidRPr="009208E5" w:rsidRDefault="009208E5" w:rsidP="009208E5">
      <w:pPr>
        <w:pStyle w:val="ListParagraph"/>
        <w:numPr>
          <w:ilvl w:val="0"/>
          <w:numId w:val="1"/>
        </w:numPr>
        <w:spacing w:line="360" w:lineRule="auto"/>
        <w:jc w:val="both"/>
        <w:rPr>
          <w:rFonts w:ascii="Arial" w:hAnsi="Arial" w:cs="Arial"/>
          <w:sz w:val="24"/>
          <w:szCs w:val="24"/>
        </w:rPr>
      </w:pPr>
      <w:r w:rsidRPr="009208E5">
        <w:rPr>
          <w:rFonts w:ascii="Arial" w:hAnsi="Arial" w:cs="Arial"/>
          <w:sz w:val="24"/>
          <w:szCs w:val="24"/>
        </w:rPr>
        <w:t>The matter is reverted to the trial court in terms of s 312(1) of Act 51 of 1977 with the direction to note a plea of not guilty and to bring proceedings to its natural conclusion.</w:t>
      </w:r>
    </w:p>
    <w:p w:rsidR="009208E5" w:rsidRPr="009208E5" w:rsidRDefault="009208E5" w:rsidP="009208E5">
      <w:pPr>
        <w:pStyle w:val="ListParagraph"/>
        <w:numPr>
          <w:ilvl w:val="0"/>
          <w:numId w:val="1"/>
        </w:numPr>
        <w:spacing w:line="360" w:lineRule="auto"/>
        <w:jc w:val="both"/>
        <w:rPr>
          <w:rFonts w:ascii="Arial" w:hAnsi="Arial" w:cs="Arial"/>
          <w:sz w:val="24"/>
          <w:szCs w:val="24"/>
        </w:rPr>
      </w:pPr>
      <w:r w:rsidRPr="009208E5">
        <w:rPr>
          <w:rFonts w:ascii="Arial" w:hAnsi="Arial" w:cs="Arial"/>
          <w:sz w:val="24"/>
          <w:szCs w:val="24"/>
        </w:rPr>
        <w:t>In the event of a conviction the trial court in sentencing must have regard to any part of the sentence already served by the accused.</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6A4186">
        <w:rPr>
          <w:rFonts w:ascii="Arial" w:hAnsi="Arial" w:cs="Arial"/>
          <w:sz w:val="24"/>
          <w:szCs w:val="24"/>
        </w:rPr>
        <w:t>IEBENBERG J: (Concurring SHIVUTE</w:t>
      </w:r>
      <w:r w:rsidR="00D741DA">
        <w:rPr>
          <w:rFonts w:ascii="Arial" w:hAnsi="Arial" w:cs="Arial"/>
          <w:sz w:val="24"/>
          <w:szCs w:val="24"/>
        </w:rPr>
        <w:t xml:space="preserve"> </w:t>
      </w:r>
      <w:r w:rsidRPr="00470E7C">
        <w:rPr>
          <w:rFonts w:ascii="Arial" w:hAnsi="Arial" w:cs="Arial"/>
          <w:sz w:val="24"/>
          <w:szCs w:val="24"/>
        </w:rPr>
        <w:t>J)</w:t>
      </w:r>
    </w:p>
    <w:p w:rsidR="00170268" w:rsidRPr="00470E7C" w:rsidRDefault="00170268" w:rsidP="00D52600">
      <w:pPr>
        <w:spacing w:line="360" w:lineRule="auto"/>
        <w:rPr>
          <w:rFonts w:ascii="Arial" w:hAnsi="Arial" w:cs="Arial"/>
          <w:sz w:val="24"/>
          <w:szCs w:val="24"/>
        </w:rPr>
      </w:pPr>
    </w:p>
    <w:p w:rsidR="00170268" w:rsidRDefault="00170268" w:rsidP="006A4186">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6A4186">
        <w:rPr>
          <w:rFonts w:ascii="Arial" w:hAnsi="Arial" w:cs="Arial"/>
          <w:sz w:val="24"/>
          <w:szCs w:val="24"/>
        </w:rPr>
        <w:t>The accused was convicted on a plea of guilty on a charge of assault with intent to do grievous bodily harm and sentenced to a fine, partly suspended. There is no indication on the record that the fine was paid subsequent thereto.</w:t>
      </w:r>
    </w:p>
    <w:p w:rsidR="006A4186" w:rsidRDefault="006A4186" w:rsidP="006A4186">
      <w:pPr>
        <w:spacing w:line="360" w:lineRule="auto"/>
        <w:jc w:val="both"/>
        <w:rPr>
          <w:rFonts w:ascii="Arial" w:hAnsi="Arial" w:cs="Arial"/>
          <w:sz w:val="24"/>
          <w:szCs w:val="24"/>
        </w:rPr>
      </w:pPr>
    </w:p>
    <w:p w:rsidR="006A4186" w:rsidRDefault="006A4186" w:rsidP="006A4186">
      <w:pPr>
        <w:spacing w:line="360" w:lineRule="auto"/>
        <w:jc w:val="both"/>
        <w:rPr>
          <w:rFonts w:ascii="Arial" w:hAnsi="Arial" w:cs="Arial"/>
          <w:sz w:val="24"/>
          <w:szCs w:val="24"/>
        </w:rPr>
      </w:pPr>
      <w:r>
        <w:rPr>
          <w:rFonts w:ascii="Arial" w:hAnsi="Arial" w:cs="Arial"/>
          <w:sz w:val="24"/>
          <w:szCs w:val="24"/>
        </w:rPr>
        <w:t xml:space="preserve">[2]   When the matter came on review I directed a query to the trial magistrate enquiring whether the conviction was in accordance with justice as the accused, when asked why he assaulted the complainant, replied that he could not remember as he was drunk. In the magistrate’s replying statement it is conceded that the court should have noted a plea </w:t>
      </w:r>
      <w:r>
        <w:rPr>
          <w:rFonts w:ascii="Arial" w:hAnsi="Arial" w:cs="Arial"/>
          <w:sz w:val="24"/>
          <w:szCs w:val="24"/>
        </w:rPr>
        <w:lastRenderedPageBreak/>
        <w:t>of not guilty in view of the accused’s answer</w:t>
      </w:r>
      <w:r w:rsidR="009B3A6D">
        <w:rPr>
          <w:rFonts w:ascii="Arial" w:hAnsi="Arial" w:cs="Arial"/>
          <w:sz w:val="24"/>
          <w:szCs w:val="24"/>
        </w:rPr>
        <w:t>,</w:t>
      </w:r>
      <w:r>
        <w:rPr>
          <w:rFonts w:ascii="Arial" w:hAnsi="Arial" w:cs="Arial"/>
          <w:sz w:val="24"/>
          <w:szCs w:val="24"/>
        </w:rPr>
        <w:t xml:space="preserve"> and implores the court to set aside the conviction and sentence and revert the matter to the trial court. </w:t>
      </w:r>
    </w:p>
    <w:p w:rsidR="006A4186" w:rsidRDefault="006A4186" w:rsidP="006A4186">
      <w:pPr>
        <w:spacing w:line="360" w:lineRule="auto"/>
        <w:jc w:val="both"/>
        <w:rPr>
          <w:rFonts w:ascii="Arial" w:hAnsi="Arial" w:cs="Arial"/>
          <w:sz w:val="24"/>
          <w:szCs w:val="24"/>
        </w:rPr>
      </w:pPr>
    </w:p>
    <w:p w:rsidR="006A4186" w:rsidRDefault="006A4186" w:rsidP="006A4186">
      <w:pPr>
        <w:spacing w:line="360" w:lineRule="auto"/>
        <w:jc w:val="both"/>
        <w:rPr>
          <w:rFonts w:ascii="Arial" w:hAnsi="Arial" w:cs="Arial"/>
          <w:sz w:val="24"/>
          <w:szCs w:val="24"/>
        </w:rPr>
      </w:pPr>
      <w:r>
        <w:rPr>
          <w:rFonts w:ascii="Arial" w:hAnsi="Arial" w:cs="Arial"/>
          <w:sz w:val="24"/>
          <w:szCs w:val="24"/>
        </w:rPr>
        <w:t xml:space="preserve">[3]   </w:t>
      </w:r>
      <w:r w:rsidR="00A61539">
        <w:rPr>
          <w:rFonts w:ascii="Arial" w:hAnsi="Arial" w:cs="Arial"/>
          <w:sz w:val="24"/>
          <w:szCs w:val="24"/>
        </w:rPr>
        <w:t>It is trite that the primary purpose of questioning the unrepresented accused in terms of s 112(1</w:t>
      </w:r>
      <w:proofErr w:type="gramStart"/>
      <w:r w:rsidR="00A61539">
        <w:rPr>
          <w:rFonts w:ascii="Arial" w:hAnsi="Arial" w:cs="Arial"/>
          <w:sz w:val="24"/>
          <w:szCs w:val="24"/>
        </w:rPr>
        <w:t>)</w:t>
      </w:r>
      <w:r w:rsidR="00A61539">
        <w:rPr>
          <w:rFonts w:ascii="Arial" w:hAnsi="Arial" w:cs="Arial"/>
          <w:i/>
          <w:sz w:val="24"/>
          <w:szCs w:val="24"/>
        </w:rPr>
        <w:t>(</w:t>
      </w:r>
      <w:proofErr w:type="gramEnd"/>
      <w:r w:rsidR="00A61539">
        <w:rPr>
          <w:rFonts w:ascii="Arial" w:hAnsi="Arial" w:cs="Arial"/>
          <w:i/>
          <w:sz w:val="24"/>
          <w:szCs w:val="24"/>
        </w:rPr>
        <w:t xml:space="preserve">b) </w:t>
      </w:r>
      <w:r w:rsidR="00A61539">
        <w:rPr>
          <w:rFonts w:ascii="Arial" w:hAnsi="Arial" w:cs="Arial"/>
          <w:sz w:val="24"/>
          <w:szCs w:val="24"/>
        </w:rPr>
        <w:t>of the Criminal Procedure Act 51 of 1977 is to safeguard the accused against the result of an unjustified plea of guilty. If it becomes evident from the accused’s answers that he in fact wants to advance a defence or excuse, then a plea of not guilty must be noted. In the present instance the accused said he was drunk and could therefore not explain why he assaulted the complainant</w:t>
      </w:r>
      <w:r w:rsidR="009208E5">
        <w:rPr>
          <w:rFonts w:ascii="Arial" w:hAnsi="Arial" w:cs="Arial"/>
          <w:sz w:val="24"/>
          <w:szCs w:val="24"/>
        </w:rPr>
        <w:t>,</w:t>
      </w:r>
      <w:r w:rsidR="00A61539">
        <w:rPr>
          <w:rFonts w:ascii="Arial" w:hAnsi="Arial" w:cs="Arial"/>
          <w:sz w:val="24"/>
          <w:szCs w:val="24"/>
        </w:rPr>
        <w:t xml:space="preserve"> from which it must have been </w:t>
      </w:r>
      <w:r w:rsidR="009B3A6D">
        <w:rPr>
          <w:rFonts w:ascii="Arial" w:hAnsi="Arial" w:cs="Arial"/>
          <w:sz w:val="24"/>
          <w:szCs w:val="24"/>
        </w:rPr>
        <w:t>clear to the court</w:t>
      </w:r>
      <w:r w:rsidR="00A61539">
        <w:rPr>
          <w:rFonts w:ascii="Arial" w:hAnsi="Arial" w:cs="Arial"/>
          <w:sz w:val="24"/>
          <w:szCs w:val="24"/>
        </w:rPr>
        <w:t xml:space="preserve"> that the accused</w:t>
      </w:r>
      <w:r w:rsidR="00773C14">
        <w:rPr>
          <w:rFonts w:ascii="Arial" w:hAnsi="Arial" w:cs="Arial"/>
          <w:sz w:val="24"/>
          <w:szCs w:val="24"/>
        </w:rPr>
        <w:t xml:space="preserve"> raised the defence </w:t>
      </w:r>
      <w:r w:rsidR="009208E5">
        <w:rPr>
          <w:rFonts w:ascii="Arial" w:hAnsi="Arial" w:cs="Arial"/>
          <w:sz w:val="24"/>
          <w:szCs w:val="24"/>
        </w:rPr>
        <w:t xml:space="preserve">of </w:t>
      </w:r>
      <w:r w:rsidR="00773C14">
        <w:rPr>
          <w:rFonts w:ascii="Arial" w:hAnsi="Arial" w:cs="Arial"/>
          <w:sz w:val="24"/>
          <w:szCs w:val="24"/>
        </w:rPr>
        <w:t xml:space="preserve">lack of criminal responsibility due to intoxication. </w:t>
      </w:r>
      <w:r w:rsidR="009208E5">
        <w:rPr>
          <w:rFonts w:ascii="Arial" w:hAnsi="Arial" w:cs="Arial"/>
          <w:sz w:val="24"/>
          <w:szCs w:val="24"/>
        </w:rPr>
        <w:t>By continuing to question the accused the court misdirected itself as a plea of not guilty should have been noted and the prosecution required to prove the charge against the accused. The conviction and sentence therefore fall to be set aside.</w:t>
      </w:r>
    </w:p>
    <w:p w:rsidR="009208E5" w:rsidRDefault="009208E5" w:rsidP="006A4186">
      <w:pPr>
        <w:spacing w:line="360" w:lineRule="auto"/>
        <w:jc w:val="both"/>
        <w:rPr>
          <w:rFonts w:ascii="Arial" w:hAnsi="Arial" w:cs="Arial"/>
          <w:sz w:val="24"/>
          <w:szCs w:val="24"/>
        </w:rPr>
      </w:pPr>
    </w:p>
    <w:p w:rsidR="009208E5" w:rsidRDefault="009208E5" w:rsidP="006A4186">
      <w:pPr>
        <w:spacing w:line="360" w:lineRule="auto"/>
        <w:jc w:val="both"/>
        <w:rPr>
          <w:rFonts w:ascii="Arial" w:hAnsi="Arial" w:cs="Arial"/>
          <w:sz w:val="24"/>
          <w:szCs w:val="24"/>
        </w:rPr>
      </w:pPr>
      <w:r>
        <w:rPr>
          <w:rFonts w:ascii="Arial" w:hAnsi="Arial" w:cs="Arial"/>
          <w:sz w:val="24"/>
          <w:szCs w:val="24"/>
        </w:rPr>
        <w:t>[4]   In the result, it is ordered:</w:t>
      </w:r>
    </w:p>
    <w:p w:rsidR="009208E5" w:rsidRDefault="009208E5" w:rsidP="006A4186">
      <w:pPr>
        <w:spacing w:line="360" w:lineRule="auto"/>
        <w:jc w:val="both"/>
        <w:rPr>
          <w:rFonts w:ascii="Arial" w:hAnsi="Arial" w:cs="Arial"/>
          <w:sz w:val="24"/>
          <w:szCs w:val="24"/>
        </w:rPr>
      </w:pPr>
    </w:p>
    <w:p w:rsidR="009208E5" w:rsidRPr="009208E5" w:rsidRDefault="009208E5" w:rsidP="009208E5">
      <w:pPr>
        <w:pStyle w:val="ListParagraph"/>
        <w:numPr>
          <w:ilvl w:val="0"/>
          <w:numId w:val="2"/>
        </w:numPr>
        <w:spacing w:line="360" w:lineRule="auto"/>
        <w:jc w:val="both"/>
        <w:rPr>
          <w:rFonts w:ascii="Arial" w:hAnsi="Arial" w:cs="Arial"/>
          <w:sz w:val="24"/>
          <w:szCs w:val="24"/>
        </w:rPr>
      </w:pPr>
      <w:r w:rsidRPr="009208E5">
        <w:rPr>
          <w:rFonts w:ascii="Arial" w:hAnsi="Arial" w:cs="Arial"/>
          <w:sz w:val="24"/>
          <w:szCs w:val="24"/>
        </w:rPr>
        <w:t>The conviction and sentence are set aside.</w:t>
      </w:r>
    </w:p>
    <w:p w:rsidR="009208E5" w:rsidRPr="009208E5" w:rsidRDefault="009208E5" w:rsidP="009208E5">
      <w:pPr>
        <w:pStyle w:val="ListParagraph"/>
        <w:numPr>
          <w:ilvl w:val="0"/>
          <w:numId w:val="2"/>
        </w:numPr>
        <w:spacing w:line="360" w:lineRule="auto"/>
        <w:jc w:val="both"/>
        <w:rPr>
          <w:rFonts w:ascii="Arial" w:hAnsi="Arial" w:cs="Arial"/>
          <w:sz w:val="24"/>
          <w:szCs w:val="24"/>
        </w:rPr>
      </w:pPr>
      <w:r w:rsidRPr="009208E5">
        <w:rPr>
          <w:rFonts w:ascii="Arial" w:hAnsi="Arial" w:cs="Arial"/>
          <w:sz w:val="24"/>
          <w:szCs w:val="24"/>
        </w:rPr>
        <w:t>The matter is reverted to the trial court in terms of s 312(1) of Act 51 of 1977 with the direction to note a plea of not guilty and to bring proceedings to its natural conclusion.</w:t>
      </w:r>
    </w:p>
    <w:p w:rsidR="009208E5" w:rsidRPr="009208E5" w:rsidRDefault="009208E5" w:rsidP="009208E5">
      <w:pPr>
        <w:pStyle w:val="ListParagraph"/>
        <w:numPr>
          <w:ilvl w:val="0"/>
          <w:numId w:val="2"/>
        </w:numPr>
        <w:spacing w:line="360" w:lineRule="auto"/>
        <w:jc w:val="both"/>
        <w:rPr>
          <w:rFonts w:ascii="Arial" w:hAnsi="Arial" w:cs="Arial"/>
          <w:sz w:val="24"/>
          <w:szCs w:val="24"/>
        </w:rPr>
      </w:pPr>
      <w:r w:rsidRPr="009208E5">
        <w:rPr>
          <w:rFonts w:ascii="Arial" w:hAnsi="Arial" w:cs="Arial"/>
          <w:sz w:val="24"/>
          <w:szCs w:val="24"/>
        </w:rPr>
        <w:t>In the event of a conviction the trial court in sentencing must have regard to any part of the sentence already served by the accused.</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 C LIEBENBERG</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470E7C" w:rsidRDefault="009208E5" w:rsidP="00170268">
      <w:pPr>
        <w:jc w:val="right"/>
        <w:rPr>
          <w:rFonts w:ascii="Arial" w:hAnsi="Arial" w:cs="Arial"/>
          <w:b/>
          <w:sz w:val="24"/>
          <w:szCs w:val="24"/>
        </w:rPr>
      </w:pPr>
      <w:r>
        <w:rPr>
          <w:rFonts w:ascii="Arial" w:hAnsi="Arial" w:cs="Arial"/>
          <w:b/>
          <w:sz w:val="24"/>
          <w:szCs w:val="24"/>
        </w:rPr>
        <w:t xml:space="preserve">N </w:t>
      </w:r>
      <w:proofErr w:type="spellStart"/>
      <w:r>
        <w:rPr>
          <w:rFonts w:ascii="Arial" w:hAnsi="Arial" w:cs="Arial"/>
          <w:b/>
          <w:sz w:val="24"/>
          <w:szCs w:val="24"/>
        </w:rPr>
        <w:t>N</w:t>
      </w:r>
      <w:proofErr w:type="spellEnd"/>
      <w:r>
        <w:rPr>
          <w:rFonts w:ascii="Arial" w:hAnsi="Arial" w:cs="Arial"/>
          <w:b/>
          <w:sz w:val="24"/>
          <w:szCs w:val="24"/>
        </w:rPr>
        <w:t xml:space="preserve"> SHIVUTE</w:t>
      </w:r>
    </w:p>
    <w:p w:rsidR="00170268" w:rsidRPr="00470E7C" w:rsidRDefault="00170268" w:rsidP="00170268">
      <w:pPr>
        <w:jc w:val="right"/>
        <w:rPr>
          <w:rFonts w:ascii="Arial" w:hAnsi="Arial" w:cs="Arial"/>
          <w:b/>
          <w:sz w:val="24"/>
          <w:szCs w:val="24"/>
        </w:rPr>
      </w:pPr>
      <w:r w:rsidRPr="00470E7C">
        <w:rPr>
          <w:rFonts w:ascii="Arial" w:hAnsi="Arial" w:cs="Arial"/>
          <w:b/>
          <w:sz w:val="24"/>
          <w:szCs w:val="24"/>
        </w:rPr>
        <w:t>JUDGE</w:t>
      </w:r>
    </w:p>
    <w:p w:rsidR="00170268" w:rsidRPr="00470E7C" w:rsidRDefault="00170268">
      <w:pPr>
        <w:rPr>
          <w:rFonts w:ascii="Arial" w:hAnsi="Arial" w:cs="Arial"/>
          <w:sz w:val="24"/>
          <w:szCs w:val="24"/>
        </w:rPr>
      </w:pPr>
    </w:p>
    <w:p w:rsidR="00170268" w:rsidRPr="00170268" w:rsidRDefault="00170268">
      <w:pPr>
        <w:rPr>
          <w:rFonts w:ascii="Arial" w:hAnsi="Arial" w:cs="Arial"/>
          <w:sz w:val="24"/>
          <w:szCs w:val="24"/>
        </w:rPr>
      </w:pPr>
    </w:p>
    <w:sectPr w:rsidR="00170268" w:rsidRPr="00170268" w:rsidSect="009D25EC">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D9A" w:rsidRDefault="00A25D9A" w:rsidP="0048420C">
      <w:pPr>
        <w:spacing w:after="0" w:line="240" w:lineRule="auto"/>
      </w:pPr>
      <w:r>
        <w:separator/>
      </w:r>
    </w:p>
  </w:endnote>
  <w:endnote w:type="continuationSeparator" w:id="0">
    <w:p w:rsidR="00A25D9A" w:rsidRDefault="00A25D9A"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D9A" w:rsidRDefault="00A25D9A" w:rsidP="0048420C">
      <w:pPr>
        <w:spacing w:after="0" w:line="240" w:lineRule="auto"/>
      </w:pPr>
      <w:r>
        <w:separator/>
      </w:r>
    </w:p>
  </w:footnote>
  <w:footnote w:type="continuationSeparator" w:id="0">
    <w:p w:rsidR="00A25D9A" w:rsidRDefault="00A25D9A" w:rsidP="0048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347952">
          <w:rPr>
            <w:noProof/>
          </w:rPr>
          <w:t>4</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A1AFD"/>
    <w:multiLevelType w:val="hybridMultilevel"/>
    <w:tmpl w:val="4190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039BC"/>
    <w:multiLevelType w:val="hybridMultilevel"/>
    <w:tmpl w:val="36BC3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170268"/>
    <w:rsid w:val="00347952"/>
    <w:rsid w:val="003B39C3"/>
    <w:rsid w:val="00470E7C"/>
    <w:rsid w:val="0048420C"/>
    <w:rsid w:val="00581E8A"/>
    <w:rsid w:val="00594428"/>
    <w:rsid w:val="006A4186"/>
    <w:rsid w:val="006B7C1C"/>
    <w:rsid w:val="00773C14"/>
    <w:rsid w:val="007D5ABE"/>
    <w:rsid w:val="008F1AC9"/>
    <w:rsid w:val="009208E5"/>
    <w:rsid w:val="009B3A6D"/>
    <w:rsid w:val="009D25EC"/>
    <w:rsid w:val="00A25D9A"/>
    <w:rsid w:val="00A34327"/>
    <w:rsid w:val="00A44EE8"/>
    <w:rsid w:val="00A61539"/>
    <w:rsid w:val="00AE2289"/>
    <w:rsid w:val="00AE7707"/>
    <w:rsid w:val="00B7175E"/>
    <w:rsid w:val="00B86B40"/>
    <w:rsid w:val="00CB0D30"/>
    <w:rsid w:val="00D46569"/>
    <w:rsid w:val="00D52600"/>
    <w:rsid w:val="00D741DA"/>
    <w:rsid w:val="00D804EC"/>
    <w:rsid w:val="00E23B50"/>
    <w:rsid w:val="00E401CB"/>
    <w:rsid w:val="00E54E5B"/>
    <w:rsid w:val="00EE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9208E5"/>
    <w:pPr>
      <w:ind w:left="720"/>
      <w:contextualSpacing/>
    </w:pPr>
  </w:style>
  <w:style w:type="paragraph" w:styleId="BalloonText">
    <w:name w:val="Balloon Text"/>
    <w:basedOn w:val="Normal"/>
    <w:link w:val="BalloonTextChar"/>
    <w:uiPriority w:val="99"/>
    <w:semiHidden/>
    <w:unhideWhenUsed/>
    <w:rsid w:val="009B3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A6D"/>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2017-04-20T18:30:00+00:00</Judgment_x0020_Date>
  </documentManagement>
</p:properties>
</file>

<file path=customXml/itemProps1.xml><?xml version="1.0" encoding="utf-8"?>
<ds:datastoreItem xmlns:ds="http://schemas.openxmlformats.org/officeDocument/2006/customXml" ds:itemID="{66FE3E29-3C3E-41EA-9213-4A6A216639C4}"/>
</file>

<file path=customXml/itemProps2.xml><?xml version="1.0" encoding="utf-8"?>
<ds:datastoreItem xmlns:ds="http://schemas.openxmlformats.org/officeDocument/2006/customXml" ds:itemID="{1C19227E-A70E-4D67-BB8B-BB4F45DDA4DC}"/>
</file>

<file path=customXml/itemProps3.xml><?xml version="1.0" encoding="utf-8"?>
<ds:datastoreItem xmlns:ds="http://schemas.openxmlformats.org/officeDocument/2006/customXml" ds:itemID="{1447A865-5F81-461C-B2B0-960D61F70250}"/>
</file>

<file path=docProps/app.xml><?xml version="1.0" encoding="utf-8"?>
<Properties xmlns="http://schemas.openxmlformats.org/officeDocument/2006/extended-properties" xmlns:vt="http://schemas.openxmlformats.org/officeDocument/2006/docPropsVTypes">
  <Template>Normal</Template>
  <TotalTime>1</TotalTime>
  <Pages>4</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Ambunda</cp:lastModifiedBy>
  <cp:revision>2</cp:revision>
  <cp:lastPrinted>2017-04-21T06:51:00Z</cp:lastPrinted>
  <dcterms:created xsi:type="dcterms:W3CDTF">2017-04-21T09:54:00Z</dcterms:created>
  <dcterms:modified xsi:type="dcterms:W3CDTF">2017-04-21T09:54:00Z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