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E8" w:rsidRPr="00D15D4C" w:rsidRDefault="00806C0F" w:rsidP="000D2719">
      <w:pPr>
        <w:spacing w:after="0" w:line="360" w:lineRule="auto"/>
        <w:jc w:val="center"/>
        <w:rPr>
          <w:rFonts w:ascii="Arial" w:hAnsi="Arial" w:cs="Arial"/>
          <w:b/>
          <w:sz w:val="24"/>
          <w:szCs w:val="24"/>
          <w:lang w:val="en-GB"/>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A65BC" w:rsidRDefault="008A65BC" w:rsidP="00316CE8">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" strokecolor="white [3212]">
                <v:textbox>
                  <w:txbxContent>
                    <w:p w:rsidR="008A65BC" w:rsidRDefault="008A65BC" w:rsidP="00316CE8">
                      <w:pPr>
                        <w:jc w:val="right"/>
                      </w:pPr>
                      <w:r>
                        <w:t>NOT REPORTABLE</w:t>
                      </w:r>
                    </w:p>
                  </w:txbxContent>
                </v:textbox>
              </v:shape>
            </w:pict>
          </mc:Fallback>
        </mc:AlternateContent>
      </w:r>
      <w:r w:rsidR="00316CE8" w:rsidRPr="00D15D4C">
        <w:rPr>
          <w:rFonts w:ascii="Arial" w:hAnsi="Arial" w:cs="Arial"/>
          <w:b/>
          <w:sz w:val="24"/>
          <w:szCs w:val="24"/>
          <w:lang w:val="en-GB"/>
        </w:rPr>
        <w:t>REPUBLIC OF NAMIBIA</w:t>
      </w:r>
    </w:p>
    <w:p w:rsidR="00316CE8" w:rsidRPr="00C621E1" w:rsidRDefault="00316CE8" w:rsidP="00E80076">
      <w:pPr>
        <w:spacing w:after="0" w:line="360" w:lineRule="auto"/>
        <w:jc w:val="center"/>
        <w:rPr>
          <w:b/>
          <w:sz w:val="32"/>
          <w:szCs w:val="32"/>
          <w:lang w:val="en-GB"/>
        </w:rPr>
      </w:pPr>
      <w:r w:rsidRPr="00D15D4C">
        <w:rPr>
          <w:b/>
          <w:noProof/>
          <w:sz w:val="32"/>
          <w:szCs w:val="32"/>
          <w:lang w:val="en-ZA" w:eastAsia="en-ZA"/>
        </w:rPr>
        <w:drawing>
          <wp:inline distT="0" distB="0" distL="0" distR="0">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316CE8" w:rsidRDefault="00316CE8" w:rsidP="00E80076">
      <w:pPr>
        <w:spacing w:after="0" w:line="360" w:lineRule="auto"/>
        <w:jc w:val="center"/>
        <w:rPr>
          <w:rFonts w:ascii="Arial" w:hAnsi="Arial" w:cs="Arial"/>
          <w:bCs/>
          <w:sz w:val="24"/>
          <w:szCs w:val="24"/>
          <w:lang w:val="en-GB"/>
        </w:rPr>
      </w:pPr>
      <w:r w:rsidRPr="00D15D4C">
        <w:rPr>
          <w:rFonts w:ascii="Arial" w:hAnsi="Arial" w:cs="Arial"/>
          <w:b/>
          <w:sz w:val="24"/>
          <w:szCs w:val="24"/>
          <w:lang w:val="en-GB"/>
        </w:rPr>
        <w:t>HIGH COURT OF NAMIBIA MAIN DIVISION, WINDHOEK</w:t>
      </w:r>
    </w:p>
    <w:p w:rsidR="00316CE8" w:rsidRPr="008C0FDB" w:rsidRDefault="008C0FDB" w:rsidP="008C0FDB">
      <w:pPr>
        <w:spacing w:after="0" w:line="360" w:lineRule="auto"/>
        <w:jc w:val="center"/>
        <w:rPr>
          <w:rFonts w:ascii="Arial" w:hAnsi="Arial" w:cs="Arial"/>
          <w:b/>
          <w:bCs/>
          <w:sz w:val="24"/>
          <w:szCs w:val="24"/>
          <w:lang w:val="en-GB"/>
        </w:rPr>
      </w:pPr>
      <w:r w:rsidRPr="008C0FDB">
        <w:rPr>
          <w:rFonts w:ascii="Arial" w:hAnsi="Arial" w:cs="Arial"/>
          <w:b/>
          <w:bCs/>
          <w:sz w:val="24"/>
          <w:szCs w:val="24"/>
          <w:lang w:val="en-GB"/>
        </w:rPr>
        <w:t>APPEAL JUDGMENT</w:t>
      </w:r>
    </w:p>
    <w:p w:rsidR="00316CE8" w:rsidRDefault="001116C5" w:rsidP="00E80076">
      <w:pPr>
        <w:spacing w:after="0" w:line="360" w:lineRule="auto"/>
        <w:jc w:val="right"/>
        <w:rPr>
          <w:rFonts w:ascii="Arial" w:hAnsi="Arial" w:cs="Arial"/>
          <w:bCs/>
          <w:sz w:val="24"/>
          <w:szCs w:val="24"/>
          <w:lang w:val="en-GB"/>
        </w:rPr>
      </w:pPr>
      <w:r>
        <w:rPr>
          <w:rFonts w:ascii="Arial" w:hAnsi="Arial" w:cs="Arial"/>
          <w:bCs/>
          <w:sz w:val="24"/>
          <w:szCs w:val="24"/>
          <w:lang w:val="en-GB"/>
        </w:rPr>
        <w:t>Case No.: CA 33</w:t>
      </w:r>
      <w:r w:rsidR="00316CE8">
        <w:rPr>
          <w:rFonts w:ascii="Arial" w:hAnsi="Arial" w:cs="Arial"/>
          <w:bCs/>
          <w:sz w:val="24"/>
          <w:szCs w:val="24"/>
          <w:lang w:val="en-GB"/>
        </w:rPr>
        <w:t>/2016</w:t>
      </w:r>
    </w:p>
    <w:p w:rsidR="00316CE8" w:rsidRDefault="00316CE8" w:rsidP="00E80076">
      <w:pPr>
        <w:spacing w:after="0" w:line="360" w:lineRule="auto"/>
        <w:jc w:val="both"/>
        <w:rPr>
          <w:rFonts w:ascii="Arial" w:hAnsi="Arial" w:cs="Arial"/>
          <w:bCs/>
          <w:sz w:val="24"/>
          <w:szCs w:val="24"/>
          <w:lang w:val="en-GB"/>
        </w:rPr>
      </w:pPr>
    </w:p>
    <w:p w:rsidR="00316CE8" w:rsidRDefault="001116C5" w:rsidP="004E1D19">
      <w:pPr>
        <w:pStyle w:val="Heading4"/>
        <w:tabs>
          <w:tab w:val="right" w:pos="9360"/>
        </w:tabs>
        <w:spacing w:line="360" w:lineRule="auto"/>
        <w:jc w:val="both"/>
        <w:rPr>
          <w:rFonts w:cs="Arial"/>
          <w:b/>
          <w:sz w:val="24"/>
        </w:rPr>
      </w:pPr>
      <w:r>
        <w:rPr>
          <w:rFonts w:cs="Arial"/>
          <w:b/>
          <w:sz w:val="24"/>
        </w:rPr>
        <w:t>SIMON NANGAKU</w:t>
      </w:r>
      <w:r w:rsidR="00316CE8">
        <w:rPr>
          <w:rFonts w:cs="Arial"/>
          <w:b/>
          <w:sz w:val="24"/>
        </w:rPr>
        <w:t xml:space="preserve">                                                                      </w:t>
      </w:r>
      <w:r w:rsidR="00316CE8">
        <w:rPr>
          <w:rFonts w:cs="Arial"/>
          <w:b/>
          <w:sz w:val="24"/>
        </w:rPr>
        <w:tab/>
        <w:t>APPELLANT</w:t>
      </w:r>
    </w:p>
    <w:p w:rsidR="00316CE8" w:rsidRPr="00E14139" w:rsidRDefault="00316CE8" w:rsidP="004E1D19">
      <w:pPr>
        <w:pStyle w:val="Heading4"/>
        <w:tabs>
          <w:tab w:val="right" w:pos="9000"/>
        </w:tabs>
        <w:spacing w:line="360" w:lineRule="auto"/>
        <w:jc w:val="both"/>
        <w:rPr>
          <w:rFonts w:cs="Arial"/>
          <w:b/>
          <w:sz w:val="24"/>
        </w:rPr>
      </w:pPr>
      <w:r w:rsidRPr="00D15D4C">
        <w:rPr>
          <w:rFonts w:cs="Arial"/>
          <w:b/>
          <w:sz w:val="24"/>
        </w:rPr>
        <w:tab/>
      </w:r>
    </w:p>
    <w:p w:rsidR="00316CE8" w:rsidRPr="00D15D4C" w:rsidRDefault="00316CE8" w:rsidP="004E1D19">
      <w:pPr>
        <w:spacing w:after="0" w:line="360" w:lineRule="auto"/>
        <w:jc w:val="both"/>
        <w:rPr>
          <w:rFonts w:ascii="Arial" w:hAnsi="Arial" w:cs="Arial"/>
          <w:sz w:val="24"/>
          <w:szCs w:val="24"/>
          <w:lang w:val="en-GB"/>
        </w:rPr>
      </w:pPr>
      <w:r>
        <w:rPr>
          <w:rFonts w:ascii="Arial" w:hAnsi="Arial" w:cs="Arial"/>
          <w:sz w:val="24"/>
          <w:szCs w:val="24"/>
          <w:lang w:val="en-GB"/>
        </w:rPr>
        <w:t>And</w:t>
      </w:r>
    </w:p>
    <w:p w:rsidR="00316CE8" w:rsidRPr="00D15D4C" w:rsidRDefault="00316CE8" w:rsidP="004E1D19">
      <w:pPr>
        <w:spacing w:after="0" w:line="360" w:lineRule="auto"/>
        <w:jc w:val="both"/>
        <w:rPr>
          <w:rFonts w:ascii="Arial" w:hAnsi="Arial" w:cs="Arial"/>
          <w:sz w:val="24"/>
          <w:szCs w:val="24"/>
          <w:lang w:val="en-GB"/>
        </w:rPr>
      </w:pPr>
    </w:p>
    <w:p w:rsidR="00316CE8" w:rsidRPr="00D15D4C" w:rsidRDefault="00316CE8" w:rsidP="004E1D19">
      <w:pPr>
        <w:tabs>
          <w:tab w:val="right" w:pos="9360"/>
        </w:tabs>
        <w:spacing w:after="0" w:line="360" w:lineRule="auto"/>
        <w:jc w:val="both"/>
        <w:rPr>
          <w:rFonts w:ascii="Arial" w:hAnsi="Arial" w:cs="Arial"/>
          <w:b/>
          <w:sz w:val="24"/>
          <w:szCs w:val="24"/>
          <w:lang w:val="en-GB"/>
        </w:rPr>
      </w:pPr>
      <w:r>
        <w:rPr>
          <w:rFonts w:ascii="Arial" w:hAnsi="Arial" w:cs="Arial"/>
          <w:b/>
          <w:sz w:val="24"/>
          <w:szCs w:val="24"/>
          <w:lang w:val="en-GB"/>
        </w:rPr>
        <w:t>THE STATE</w:t>
      </w:r>
      <w:r>
        <w:rPr>
          <w:rFonts w:ascii="Arial" w:hAnsi="Arial" w:cs="Arial"/>
          <w:b/>
          <w:sz w:val="24"/>
          <w:szCs w:val="24"/>
          <w:lang w:val="en-GB"/>
        </w:rPr>
        <w:tab/>
        <w:t>RESPONDENT</w:t>
      </w:r>
    </w:p>
    <w:p w:rsidR="00316CE8" w:rsidRPr="00D15D4C" w:rsidRDefault="00316CE8" w:rsidP="004E1D19">
      <w:pPr>
        <w:spacing w:after="0" w:line="360" w:lineRule="auto"/>
        <w:jc w:val="both"/>
        <w:rPr>
          <w:rFonts w:ascii="Arial" w:hAnsi="Arial" w:cs="Arial"/>
          <w:sz w:val="24"/>
          <w:szCs w:val="24"/>
          <w:lang w:val="en-GB"/>
        </w:rPr>
      </w:pPr>
    </w:p>
    <w:p w:rsidR="00316CE8" w:rsidRPr="00D15D4C" w:rsidRDefault="00316CE8" w:rsidP="00E80076">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 xml:space="preserve">Neutral citation: </w:t>
      </w:r>
      <w:r w:rsidRPr="00D15D4C">
        <w:rPr>
          <w:rFonts w:ascii="Arial" w:hAnsi="Arial" w:cs="Arial"/>
          <w:i/>
          <w:sz w:val="24"/>
          <w:szCs w:val="24"/>
          <w:lang w:val="en-GB"/>
        </w:rPr>
        <w:t xml:space="preserve"> </w:t>
      </w:r>
      <w:bookmarkStart w:id="0" w:name="_GoBack"/>
      <w:r w:rsidR="001116C5">
        <w:rPr>
          <w:rFonts w:ascii="Arial" w:hAnsi="Arial" w:cs="Arial"/>
          <w:i/>
          <w:sz w:val="24"/>
          <w:szCs w:val="24"/>
          <w:lang w:val="en-GB"/>
        </w:rPr>
        <w:t>Nangaku</w:t>
      </w:r>
      <w:r>
        <w:rPr>
          <w:rFonts w:ascii="Arial" w:hAnsi="Arial" w:cs="Arial"/>
          <w:i/>
          <w:sz w:val="24"/>
          <w:szCs w:val="24"/>
          <w:lang w:val="en-GB"/>
        </w:rPr>
        <w:t xml:space="preserve"> v </w:t>
      </w:r>
      <w:r w:rsidR="00AC6764">
        <w:rPr>
          <w:rFonts w:ascii="Arial" w:hAnsi="Arial" w:cs="Arial"/>
          <w:i/>
          <w:sz w:val="24"/>
          <w:szCs w:val="24"/>
          <w:lang w:val="en-GB"/>
        </w:rPr>
        <w:t>S</w:t>
      </w:r>
      <w:r w:rsidRPr="00D15D4C">
        <w:rPr>
          <w:rFonts w:ascii="Arial" w:hAnsi="Arial" w:cs="Arial"/>
          <w:i/>
          <w:sz w:val="24"/>
          <w:szCs w:val="24"/>
          <w:lang w:val="en-GB"/>
        </w:rPr>
        <w:t xml:space="preserve"> </w:t>
      </w:r>
      <w:r w:rsidRPr="00D15D4C">
        <w:rPr>
          <w:rFonts w:ascii="Arial" w:hAnsi="Arial" w:cs="Arial"/>
          <w:sz w:val="24"/>
          <w:szCs w:val="24"/>
          <w:lang w:val="en-GB"/>
        </w:rPr>
        <w:t>(</w:t>
      </w:r>
      <w:r w:rsidR="001116C5">
        <w:rPr>
          <w:rFonts w:ascii="Arial" w:hAnsi="Arial" w:cs="Arial"/>
          <w:sz w:val="24"/>
          <w:szCs w:val="24"/>
          <w:lang w:val="en-GB"/>
        </w:rPr>
        <w:t>CA 33</w:t>
      </w:r>
      <w:r>
        <w:rPr>
          <w:rFonts w:ascii="Arial" w:hAnsi="Arial" w:cs="Arial"/>
          <w:sz w:val="24"/>
          <w:szCs w:val="24"/>
          <w:lang w:val="en-GB"/>
        </w:rPr>
        <w:t>-</w:t>
      </w:r>
      <w:r w:rsidRPr="00D15D4C">
        <w:rPr>
          <w:rFonts w:ascii="Arial" w:hAnsi="Arial" w:cs="Arial"/>
          <w:sz w:val="24"/>
          <w:szCs w:val="24"/>
          <w:lang w:val="en-GB"/>
        </w:rPr>
        <w:t>20</w:t>
      </w:r>
      <w:r>
        <w:rPr>
          <w:rFonts w:ascii="Arial" w:hAnsi="Arial" w:cs="Arial"/>
          <w:sz w:val="24"/>
          <w:szCs w:val="24"/>
          <w:lang w:val="en-GB"/>
        </w:rPr>
        <w:t>16</w:t>
      </w:r>
      <w:r w:rsidRPr="00D15D4C">
        <w:rPr>
          <w:rFonts w:ascii="Arial" w:hAnsi="Arial" w:cs="Arial"/>
          <w:sz w:val="24"/>
          <w:szCs w:val="24"/>
          <w:lang w:val="en-GB"/>
        </w:rPr>
        <w:t>) [20</w:t>
      </w:r>
      <w:r>
        <w:rPr>
          <w:rFonts w:ascii="Arial" w:hAnsi="Arial" w:cs="Arial"/>
          <w:sz w:val="24"/>
          <w:szCs w:val="24"/>
          <w:lang w:val="en-GB"/>
        </w:rPr>
        <w:t>17</w:t>
      </w:r>
      <w:r w:rsidRPr="00D15D4C">
        <w:rPr>
          <w:rFonts w:ascii="Arial" w:hAnsi="Arial" w:cs="Arial"/>
          <w:sz w:val="24"/>
          <w:szCs w:val="24"/>
          <w:lang w:val="en-GB"/>
        </w:rPr>
        <w:t>] NAHCM</w:t>
      </w:r>
      <w:r w:rsidR="001116C5">
        <w:rPr>
          <w:rFonts w:ascii="Arial" w:hAnsi="Arial" w:cs="Arial"/>
          <w:sz w:val="24"/>
          <w:szCs w:val="24"/>
          <w:lang w:val="en-GB"/>
        </w:rPr>
        <w:t>D</w:t>
      </w:r>
      <w:r w:rsidR="006C4DE3">
        <w:rPr>
          <w:rFonts w:ascii="Arial" w:hAnsi="Arial" w:cs="Arial"/>
          <w:sz w:val="24"/>
          <w:szCs w:val="24"/>
          <w:lang w:val="en-GB"/>
        </w:rPr>
        <w:t xml:space="preserve"> 123</w:t>
      </w:r>
      <w:r w:rsidR="001116C5">
        <w:rPr>
          <w:rFonts w:ascii="Arial" w:hAnsi="Arial" w:cs="Arial"/>
          <w:sz w:val="24"/>
          <w:szCs w:val="24"/>
          <w:lang w:val="en-GB"/>
        </w:rPr>
        <w:t xml:space="preserve"> (21</w:t>
      </w:r>
      <w:r>
        <w:rPr>
          <w:rFonts w:ascii="Arial" w:hAnsi="Arial" w:cs="Arial"/>
          <w:sz w:val="24"/>
          <w:szCs w:val="24"/>
          <w:lang w:val="en-GB"/>
        </w:rPr>
        <w:t xml:space="preserve"> April </w:t>
      </w:r>
      <w:r w:rsidRPr="00D15D4C">
        <w:rPr>
          <w:rFonts w:ascii="Arial" w:hAnsi="Arial" w:cs="Arial"/>
          <w:sz w:val="24"/>
          <w:szCs w:val="24"/>
          <w:lang w:val="en-GB"/>
        </w:rPr>
        <w:t>201</w:t>
      </w:r>
      <w:r>
        <w:rPr>
          <w:rFonts w:ascii="Arial" w:hAnsi="Arial" w:cs="Arial"/>
          <w:sz w:val="24"/>
          <w:szCs w:val="24"/>
          <w:lang w:val="en-GB"/>
        </w:rPr>
        <w:t>7</w:t>
      </w:r>
      <w:r w:rsidRPr="00D15D4C">
        <w:rPr>
          <w:rFonts w:ascii="Arial" w:hAnsi="Arial" w:cs="Arial"/>
          <w:sz w:val="24"/>
          <w:szCs w:val="24"/>
          <w:lang w:val="en-GB"/>
        </w:rPr>
        <w:t>)</w:t>
      </w:r>
      <w:bookmarkEnd w:id="0"/>
    </w:p>
    <w:p w:rsidR="00316CE8" w:rsidRPr="00104E58" w:rsidRDefault="00316CE8" w:rsidP="00E80076">
      <w:pPr>
        <w:spacing w:after="0" w:line="360" w:lineRule="auto"/>
        <w:ind w:left="2160" w:hanging="2160"/>
        <w:jc w:val="both"/>
        <w:rPr>
          <w:rFonts w:ascii="Arial" w:hAnsi="Arial" w:cs="Arial"/>
          <w:b/>
          <w:sz w:val="24"/>
          <w:szCs w:val="24"/>
          <w:lang w:val="en-GB"/>
        </w:rPr>
      </w:pPr>
    </w:p>
    <w:p w:rsidR="00316CE8" w:rsidRPr="00104E58" w:rsidRDefault="00316CE8" w:rsidP="00E80076">
      <w:pPr>
        <w:spacing w:after="0" w:line="360" w:lineRule="auto"/>
        <w:ind w:left="1440" w:hanging="1440"/>
        <w:jc w:val="both"/>
        <w:rPr>
          <w:rFonts w:ascii="Arial" w:hAnsi="Arial" w:cs="Arial"/>
          <w:b/>
          <w:sz w:val="24"/>
          <w:szCs w:val="24"/>
          <w:lang w:val="en-GB"/>
        </w:rPr>
      </w:pPr>
      <w:r>
        <w:rPr>
          <w:rFonts w:ascii="Arial" w:hAnsi="Arial" w:cs="Arial"/>
          <w:b/>
          <w:sz w:val="24"/>
          <w:szCs w:val="24"/>
          <w:lang w:val="en-GB"/>
        </w:rPr>
        <w:t>Coram:</w:t>
      </w:r>
      <w:r>
        <w:rPr>
          <w:rFonts w:ascii="Arial" w:hAnsi="Arial" w:cs="Arial"/>
          <w:b/>
          <w:sz w:val="24"/>
          <w:szCs w:val="24"/>
          <w:lang w:val="en-GB"/>
        </w:rPr>
        <w:tab/>
      </w:r>
      <w:r w:rsidRPr="004E1D19">
        <w:rPr>
          <w:rFonts w:ascii="Arial" w:hAnsi="Arial" w:cs="Arial"/>
          <w:sz w:val="24"/>
          <w:szCs w:val="24"/>
          <w:lang w:val="en-GB"/>
        </w:rPr>
        <w:t xml:space="preserve">NDAUENDAPO, J </w:t>
      </w:r>
      <w:r w:rsidRPr="004E1D19">
        <w:rPr>
          <w:rFonts w:ascii="Arial" w:hAnsi="Arial" w:cs="Arial"/>
          <w:i/>
          <w:sz w:val="24"/>
          <w:szCs w:val="24"/>
          <w:lang w:val="en-GB"/>
        </w:rPr>
        <w:t>et</w:t>
      </w:r>
      <w:r w:rsidR="001116C5" w:rsidRPr="004E1D19">
        <w:rPr>
          <w:rFonts w:ascii="Arial" w:hAnsi="Arial" w:cs="Arial"/>
          <w:sz w:val="24"/>
          <w:szCs w:val="24"/>
          <w:lang w:val="en-GB"/>
        </w:rPr>
        <w:t xml:space="preserve"> SHIVUTE</w:t>
      </w:r>
      <w:r w:rsidRPr="004E1D19">
        <w:rPr>
          <w:rFonts w:ascii="Arial" w:hAnsi="Arial" w:cs="Arial"/>
          <w:sz w:val="24"/>
          <w:szCs w:val="24"/>
          <w:lang w:val="en-GB"/>
        </w:rPr>
        <w:t>, J</w:t>
      </w:r>
    </w:p>
    <w:p w:rsidR="00316CE8" w:rsidRPr="00D15D4C" w:rsidRDefault="00316CE8" w:rsidP="009F1D6F">
      <w:pPr>
        <w:spacing w:after="0" w:line="360" w:lineRule="auto"/>
        <w:rPr>
          <w:rFonts w:ascii="Arial" w:hAnsi="Arial" w:cs="Arial"/>
          <w:b/>
          <w:sz w:val="24"/>
          <w:szCs w:val="24"/>
          <w:lang w:val="en-GB"/>
        </w:rPr>
      </w:pPr>
      <w:r w:rsidRPr="00104E58">
        <w:rPr>
          <w:rFonts w:ascii="Arial" w:hAnsi="Arial" w:cs="Arial"/>
          <w:b/>
          <w:bCs/>
          <w:sz w:val="24"/>
          <w:szCs w:val="24"/>
          <w:lang w:val="en-GB"/>
        </w:rPr>
        <w:t>Heard</w:t>
      </w:r>
      <w:r w:rsidR="001116C5">
        <w:rPr>
          <w:rFonts w:ascii="Arial" w:hAnsi="Arial" w:cs="Arial"/>
          <w:b/>
          <w:sz w:val="24"/>
          <w:szCs w:val="24"/>
          <w:lang w:val="en-GB"/>
        </w:rPr>
        <w:t>:</w:t>
      </w:r>
      <w:r w:rsidR="001116C5">
        <w:rPr>
          <w:rFonts w:ascii="Arial" w:hAnsi="Arial" w:cs="Arial"/>
          <w:b/>
          <w:sz w:val="24"/>
          <w:szCs w:val="24"/>
          <w:lang w:val="en-GB"/>
        </w:rPr>
        <w:tab/>
        <w:t>23 January 2017</w:t>
      </w:r>
    </w:p>
    <w:p w:rsidR="008470CB" w:rsidRDefault="00316CE8" w:rsidP="00E80076">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1116C5">
        <w:rPr>
          <w:rFonts w:ascii="Arial" w:hAnsi="Arial" w:cs="Arial"/>
          <w:b/>
          <w:sz w:val="24"/>
          <w:szCs w:val="24"/>
          <w:lang w:val="en-GB"/>
        </w:rPr>
        <w:t>21</w:t>
      </w:r>
      <w:r>
        <w:rPr>
          <w:rFonts w:ascii="Arial" w:hAnsi="Arial" w:cs="Arial"/>
          <w:b/>
          <w:sz w:val="24"/>
          <w:szCs w:val="24"/>
          <w:lang w:val="en-GB"/>
        </w:rPr>
        <w:t xml:space="preserve"> April 2017</w:t>
      </w:r>
    </w:p>
    <w:p w:rsidR="008470CB" w:rsidRDefault="008470CB" w:rsidP="00E80076">
      <w:pPr>
        <w:spacing w:after="0" w:line="360" w:lineRule="auto"/>
        <w:jc w:val="both"/>
        <w:rPr>
          <w:rFonts w:ascii="Arial" w:hAnsi="Arial" w:cs="Arial"/>
          <w:bCs/>
          <w:sz w:val="24"/>
          <w:szCs w:val="24"/>
          <w:lang w:val="en-GB"/>
        </w:rPr>
      </w:pPr>
    </w:p>
    <w:p w:rsidR="001116C5" w:rsidRDefault="001116C5" w:rsidP="00E80076">
      <w:pPr>
        <w:spacing w:after="0" w:line="360" w:lineRule="auto"/>
        <w:jc w:val="both"/>
        <w:rPr>
          <w:rFonts w:ascii="Arial" w:hAnsi="Arial" w:cs="Arial"/>
          <w:bCs/>
          <w:sz w:val="24"/>
          <w:szCs w:val="24"/>
          <w:lang w:val="en-GB"/>
        </w:rPr>
      </w:pPr>
    </w:p>
    <w:p w:rsidR="009F1D6F" w:rsidRDefault="008470CB" w:rsidP="00E80076">
      <w:pPr>
        <w:spacing w:after="0" w:line="360" w:lineRule="auto"/>
        <w:jc w:val="both"/>
        <w:rPr>
          <w:rFonts w:ascii="Arial" w:hAnsi="Arial" w:cs="Arial"/>
          <w:bCs/>
          <w:sz w:val="24"/>
          <w:szCs w:val="24"/>
          <w:lang w:val="en-GB"/>
        </w:rPr>
      </w:pPr>
      <w:r w:rsidRPr="009F1D6F">
        <w:rPr>
          <w:rFonts w:ascii="Arial" w:hAnsi="Arial" w:cs="Arial"/>
          <w:b/>
          <w:bCs/>
          <w:sz w:val="24"/>
          <w:szCs w:val="24"/>
          <w:lang w:val="en-GB"/>
        </w:rPr>
        <w:t>Flynote:</w:t>
      </w:r>
      <w:r>
        <w:rPr>
          <w:rFonts w:ascii="Arial" w:hAnsi="Arial" w:cs="Arial"/>
          <w:bCs/>
          <w:sz w:val="24"/>
          <w:szCs w:val="24"/>
          <w:lang w:val="en-GB"/>
        </w:rPr>
        <w:tab/>
      </w:r>
      <w:r w:rsidR="00F56FE3">
        <w:rPr>
          <w:rFonts w:ascii="Arial" w:hAnsi="Arial" w:cs="Arial"/>
          <w:bCs/>
          <w:sz w:val="24"/>
          <w:szCs w:val="24"/>
          <w:lang w:val="en-GB"/>
        </w:rPr>
        <w:t>Criminal Procedure – Appeal – Convic</w:t>
      </w:r>
      <w:r w:rsidR="004E1D19">
        <w:rPr>
          <w:rFonts w:ascii="Arial" w:hAnsi="Arial" w:cs="Arial"/>
          <w:bCs/>
          <w:sz w:val="24"/>
          <w:szCs w:val="24"/>
          <w:lang w:val="en-GB"/>
        </w:rPr>
        <w:t>tion and Sentence – Dealing in c</w:t>
      </w:r>
      <w:r w:rsidR="00F56FE3">
        <w:rPr>
          <w:rFonts w:ascii="Arial" w:hAnsi="Arial" w:cs="Arial"/>
          <w:bCs/>
          <w:sz w:val="24"/>
          <w:szCs w:val="24"/>
          <w:lang w:val="en-GB"/>
        </w:rPr>
        <w:t>annabis – Considering the evidence against the appellant – Dealing proven beyond a reasonable doubt – Sentence of twelve years is not shocking nor startlingly inappropriate – Appeal against conviction and sentence dismissed.</w:t>
      </w:r>
    </w:p>
    <w:p w:rsidR="001116C5" w:rsidRDefault="001116C5" w:rsidP="00E80076">
      <w:pPr>
        <w:spacing w:after="0" w:line="360" w:lineRule="auto"/>
        <w:jc w:val="both"/>
        <w:rPr>
          <w:rFonts w:ascii="Arial" w:hAnsi="Arial" w:cs="Arial"/>
          <w:bCs/>
          <w:sz w:val="24"/>
          <w:szCs w:val="24"/>
          <w:lang w:val="en-GB"/>
        </w:rPr>
      </w:pPr>
    </w:p>
    <w:p w:rsidR="00A079B2" w:rsidRDefault="003111D4" w:rsidP="00E80076">
      <w:pPr>
        <w:spacing w:after="0" w:line="360" w:lineRule="auto"/>
        <w:jc w:val="both"/>
        <w:rPr>
          <w:rFonts w:ascii="Arial" w:hAnsi="Arial" w:cs="Arial"/>
          <w:bCs/>
          <w:sz w:val="24"/>
          <w:szCs w:val="24"/>
          <w:lang w:val="en-GB"/>
        </w:rPr>
      </w:pPr>
      <w:r w:rsidRPr="009F1D6F">
        <w:rPr>
          <w:rFonts w:ascii="Arial" w:hAnsi="Arial" w:cs="Arial"/>
          <w:b/>
          <w:bCs/>
          <w:sz w:val="24"/>
          <w:szCs w:val="24"/>
          <w:lang w:val="en-GB"/>
        </w:rPr>
        <w:t>Summary:</w:t>
      </w:r>
      <w:r>
        <w:rPr>
          <w:rFonts w:ascii="Arial" w:hAnsi="Arial" w:cs="Arial"/>
          <w:bCs/>
          <w:sz w:val="24"/>
          <w:szCs w:val="24"/>
          <w:lang w:val="en-GB"/>
        </w:rPr>
        <w:tab/>
      </w:r>
      <w:r w:rsidR="00F56FE3">
        <w:rPr>
          <w:rFonts w:ascii="Arial" w:hAnsi="Arial" w:cs="Arial"/>
          <w:bCs/>
          <w:sz w:val="24"/>
          <w:szCs w:val="24"/>
          <w:lang w:val="en-GB"/>
        </w:rPr>
        <w:t xml:space="preserve">The appellant was convicted in the trial court of dealing </w:t>
      </w:r>
      <w:r w:rsidR="00B95048">
        <w:rPr>
          <w:rFonts w:ascii="Arial" w:hAnsi="Arial" w:cs="Arial"/>
          <w:bCs/>
          <w:sz w:val="24"/>
          <w:szCs w:val="24"/>
          <w:lang w:val="en-GB"/>
        </w:rPr>
        <w:t>in cannabis. The cannabis weighing 406 830 Kg</w:t>
      </w:r>
      <w:r w:rsidR="00F56FE3">
        <w:rPr>
          <w:rFonts w:ascii="Arial" w:hAnsi="Arial" w:cs="Arial"/>
          <w:bCs/>
          <w:sz w:val="24"/>
          <w:szCs w:val="24"/>
          <w:lang w:val="en-GB"/>
        </w:rPr>
        <w:t xml:space="preserve"> was worth N$ 1 220 490.</w:t>
      </w:r>
      <w:r w:rsidR="000063C8">
        <w:rPr>
          <w:rFonts w:ascii="Arial" w:hAnsi="Arial" w:cs="Arial"/>
          <w:bCs/>
          <w:sz w:val="24"/>
          <w:szCs w:val="24"/>
          <w:lang w:val="en-GB"/>
        </w:rPr>
        <w:t>00</w:t>
      </w:r>
      <w:r w:rsidR="00B95048">
        <w:rPr>
          <w:rFonts w:ascii="Arial" w:hAnsi="Arial" w:cs="Arial"/>
          <w:bCs/>
          <w:sz w:val="24"/>
          <w:szCs w:val="24"/>
          <w:lang w:val="en-GB"/>
        </w:rPr>
        <w:t>.</w:t>
      </w:r>
      <w:r w:rsidR="00F56FE3">
        <w:rPr>
          <w:rFonts w:ascii="Arial" w:hAnsi="Arial" w:cs="Arial"/>
          <w:bCs/>
          <w:sz w:val="24"/>
          <w:szCs w:val="24"/>
          <w:lang w:val="en-GB"/>
        </w:rPr>
        <w:t xml:space="preserve"> The appellant averred that he was not resident at the house where the cannabis was found however, his son referred </w:t>
      </w:r>
      <w:r w:rsidR="00F56FE3">
        <w:rPr>
          <w:rFonts w:ascii="Arial" w:hAnsi="Arial" w:cs="Arial"/>
          <w:bCs/>
          <w:sz w:val="24"/>
          <w:szCs w:val="24"/>
          <w:lang w:val="en-GB"/>
        </w:rPr>
        <w:lastRenderedPageBreak/>
        <w:t xml:space="preserve">to the room where the cannabis was found as his father’s room. The police officers who arrested the appellant also maintained that the appellant had the keys to the house where the cannabis was found and unlocked the door to the house and the door to the bedroom where the cannabis was found. </w:t>
      </w:r>
      <w:r w:rsidR="00A079B2">
        <w:rPr>
          <w:rFonts w:ascii="Arial" w:hAnsi="Arial" w:cs="Arial"/>
          <w:bCs/>
          <w:sz w:val="24"/>
          <w:szCs w:val="24"/>
          <w:lang w:val="en-GB"/>
        </w:rPr>
        <w:t>At the time of this discovery</w:t>
      </w:r>
      <w:r w:rsidR="00371B2F">
        <w:rPr>
          <w:rFonts w:ascii="Arial" w:hAnsi="Arial" w:cs="Arial"/>
          <w:bCs/>
          <w:sz w:val="24"/>
          <w:szCs w:val="24"/>
          <w:lang w:val="en-GB"/>
        </w:rPr>
        <w:t>,</w:t>
      </w:r>
      <w:r w:rsidR="00A079B2">
        <w:rPr>
          <w:rFonts w:ascii="Arial" w:hAnsi="Arial" w:cs="Arial"/>
          <w:bCs/>
          <w:sz w:val="24"/>
          <w:szCs w:val="24"/>
          <w:lang w:val="en-GB"/>
        </w:rPr>
        <w:t xml:space="preserve"> the appellant did not ones attempt to deny his ownership of this cannabis nor did he inform the police officers that his brother might be the owner of the same. It was only after the brother had died that the appellant conveniently tried to pin the cannabis on his deceased brother. The appellant had two bail applications before the matter went to trial, but even during these two bail applications the appellant failed to mention the fact that the cannabis was not his, but was his brother’s. </w:t>
      </w:r>
    </w:p>
    <w:p w:rsidR="001116C5" w:rsidRDefault="00A079B2" w:rsidP="00E80076">
      <w:pPr>
        <w:spacing w:after="0" w:line="360" w:lineRule="auto"/>
        <w:jc w:val="both"/>
        <w:rPr>
          <w:rFonts w:ascii="Arial" w:hAnsi="Arial" w:cs="Arial"/>
          <w:bCs/>
          <w:sz w:val="24"/>
          <w:szCs w:val="24"/>
          <w:lang w:val="en-GB"/>
        </w:rPr>
      </w:pPr>
      <w:r>
        <w:rPr>
          <w:rFonts w:ascii="Arial" w:hAnsi="Arial" w:cs="Arial"/>
          <w:bCs/>
          <w:sz w:val="24"/>
          <w:szCs w:val="24"/>
          <w:lang w:val="en-GB"/>
        </w:rPr>
        <w:t>Held;</w:t>
      </w:r>
      <w:r>
        <w:rPr>
          <w:rFonts w:ascii="Arial" w:hAnsi="Arial" w:cs="Arial"/>
          <w:bCs/>
          <w:sz w:val="24"/>
          <w:szCs w:val="24"/>
          <w:lang w:val="en-GB"/>
        </w:rPr>
        <w:tab/>
        <w:t>in the circumstances the court is satisfied that the trial court cannot be faulted for convicting the appellant as charged.</w:t>
      </w:r>
    </w:p>
    <w:p w:rsidR="009F1D6F" w:rsidRDefault="00A079B2" w:rsidP="00E80076">
      <w:pPr>
        <w:spacing w:after="0" w:line="360" w:lineRule="auto"/>
        <w:jc w:val="both"/>
        <w:rPr>
          <w:rFonts w:ascii="Arial" w:hAnsi="Arial" w:cs="Arial"/>
          <w:bCs/>
          <w:sz w:val="24"/>
          <w:szCs w:val="24"/>
          <w:lang w:val="en-GB"/>
        </w:rPr>
      </w:pPr>
      <w:r>
        <w:rPr>
          <w:rFonts w:ascii="Arial" w:hAnsi="Arial" w:cs="Arial"/>
          <w:bCs/>
          <w:sz w:val="24"/>
          <w:szCs w:val="24"/>
          <w:lang w:val="en-GB"/>
        </w:rPr>
        <w:t>Held;</w:t>
      </w:r>
      <w:r>
        <w:rPr>
          <w:rFonts w:ascii="Arial" w:hAnsi="Arial" w:cs="Arial"/>
          <w:bCs/>
          <w:sz w:val="24"/>
          <w:szCs w:val="24"/>
          <w:lang w:val="en-GB"/>
        </w:rPr>
        <w:tab/>
        <w:t>the sentence of twelve years of which four years were conditionally suspended was appropriate and this court will not interfere.</w:t>
      </w:r>
    </w:p>
    <w:p w:rsidR="00316CE8" w:rsidRPr="003111D4" w:rsidRDefault="005B34B4" w:rsidP="00E80076">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5" style="width:0;height:1.5pt" o:hralign="center" o:hrstd="t" o:hr="t" fillcolor="#a0a0a0" stroked="f"/>
        </w:pict>
      </w:r>
    </w:p>
    <w:p w:rsidR="00316CE8" w:rsidRPr="00D15D4C" w:rsidRDefault="00316CE8" w:rsidP="00E8007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316CE8" w:rsidRDefault="005B34B4" w:rsidP="00E80076">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A079B2" w:rsidRDefault="00A079B2" w:rsidP="00E80076">
      <w:pPr>
        <w:spacing w:after="0" w:line="360" w:lineRule="auto"/>
        <w:jc w:val="both"/>
        <w:rPr>
          <w:rFonts w:ascii="Arial" w:hAnsi="Arial" w:cs="Arial"/>
          <w:sz w:val="24"/>
          <w:szCs w:val="24"/>
          <w:lang w:val="en-GB"/>
        </w:rPr>
      </w:pPr>
      <w:r w:rsidRPr="00A079B2">
        <w:rPr>
          <w:rFonts w:ascii="Arial" w:hAnsi="Arial" w:cs="Arial"/>
          <w:sz w:val="24"/>
          <w:szCs w:val="24"/>
          <w:lang w:val="en-GB"/>
        </w:rPr>
        <w:t xml:space="preserve">In the result, </w:t>
      </w:r>
    </w:p>
    <w:p w:rsidR="00A079B2" w:rsidRPr="00A079B2" w:rsidRDefault="00A079B2" w:rsidP="00A079B2">
      <w:pPr>
        <w:pStyle w:val="ListParagraph"/>
        <w:numPr>
          <w:ilvl w:val="0"/>
          <w:numId w:val="3"/>
        </w:numPr>
        <w:spacing w:after="0" w:line="360" w:lineRule="auto"/>
        <w:ind w:hanging="720"/>
        <w:jc w:val="both"/>
        <w:rPr>
          <w:rFonts w:ascii="Arial" w:hAnsi="Arial" w:cs="Arial"/>
          <w:sz w:val="24"/>
          <w:szCs w:val="24"/>
          <w:lang w:val="en-GB"/>
        </w:rPr>
      </w:pPr>
      <w:r>
        <w:rPr>
          <w:rFonts w:ascii="Arial" w:hAnsi="Arial" w:cs="Arial"/>
          <w:sz w:val="24"/>
          <w:szCs w:val="24"/>
          <w:lang w:val="en-GB"/>
        </w:rPr>
        <w:t>The appeal against the c</w:t>
      </w:r>
      <w:r w:rsidRPr="00A079B2">
        <w:rPr>
          <w:rFonts w:ascii="Arial" w:hAnsi="Arial" w:cs="Arial"/>
          <w:sz w:val="24"/>
          <w:szCs w:val="24"/>
          <w:lang w:val="en-GB"/>
        </w:rPr>
        <w:t>onviction is dismissed</w:t>
      </w:r>
      <w:r w:rsidR="00371B2F">
        <w:rPr>
          <w:rFonts w:ascii="Arial" w:hAnsi="Arial" w:cs="Arial"/>
          <w:sz w:val="24"/>
          <w:szCs w:val="24"/>
          <w:lang w:val="en-GB"/>
        </w:rPr>
        <w:t>.</w:t>
      </w:r>
    </w:p>
    <w:p w:rsidR="00316CE8" w:rsidRPr="00A079B2" w:rsidRDefault="00A079B2" w:rsidP="00A079B2">
      <w:pPr>
        <w:pStyle w:val="ListParagraph"/>
        <w:numPr>
          <w:ilvl w:val="0"/>
          <w:numId w:val="3"/>
        </w:numPr>
        <w:spacing w:after="0" w:line="360" w:lineRule="auto"/>
        <w:ind w:hanging="720"/>
        <w:jc w:val="both"/>
        <w:rPr>
          <w:rFonts w:ascii="Arial" w:hAnsi="Arial" w:cs="Arial"/>
          <w:sz w:val="24"/>
          <w:szCs w:val="24"/>
          <w:lang w:val="en-GB"/>
        </w:rPr>
      </w:pPr>
      <w:r>
        <w:rPr>
          <w:rFonts w:ascii="Arial" w:hAnsi="Arial" w:cs="Arial"/>
          <w:sz w:val="24"/>
          <w:szCs w:val="24"/>
          <w:lang w:val="en-GB"/>
        </w:rPr>
        <w:t>The appeal against the s</w:t>
      </w:r>
      <w:r w:rsidRPr="00A079B2">
        <w:rPr>
          <w:rFonts w:ascii="Arial" w:hAnsi="Arial" w:cs="Arial"/>
          <w:sz w:val="24"/>
          <w:szCs w:val="24"/>
          <w:lang w:val="en-GB"/>
        </w:rPr>
        <w:t>entence is dismissed.</w:t>
      </w:r>
    </w:p>
    <w:p w:rsidR="00316CE8" w:rsidRPr="007D2730" w:rsidRDefault="005B34B4" w:rsidP="00E8007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316CE8" w:rsidRPr="00D15D4C" w:rsidRDefault="00316CE8" w:rsidP="00E80076">
      <w:pPr>
        <w:spacing w:after="0" w:line="360" w:lineRule="auto"/>
        <w:jc w:val="center"/>
        <w:rPr>
          <w:rFonts w:ascii="Arial" w:hAnsi="Arial" w:cs="Arial"/>
          <w:b/>
          <w:sz w:val="24"/>
          <w:szCs w:val="24"/>
          <w:lang w:val="en-GB"/>
        </w:rPr>
      </w:pPr>
      <w:r>
        <w:rPr>
          <w:rFonts w:ascii="Arial" w:hAnsi="Arial" w:cs="Arial"/>
          <w:b/>
          <w:sz w:val="24"/>
          <w:szCs w:val="24"/>
          <w:lang w:val="en-GB"/>
        </w:rPr>
        <w:t>APPEAL JUDGMENT</w:t>
      </w:r>
    </w:p>
    <w:p w:rsidR="00316CE8" w:rsidRPr="00D15D4C" w:rsidRDefault="005B34B4" w:rsidP="00E8007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316CE8" w:rsidRPr="00371B2F" w:rsidRDefault="00316CE8" w:rsidP="00E80076">
      <w:pPr>
        <w:spacing w:after="0" w:line="360" w:lineRule="auto"/>
        <w:jc w:val="both"/>
        <w:rPr>
          <w:rFonts w:ascii="Arial" w:hAnsi="Arial" w:cs="Arial"/>
          <w:i/>
          <w:sz w:val="24"/>
          <w:szCs w:val="24"/>
          <w:lang w:val="en-GB"/>
        </w:rPr>
      </w:pPr>
      <w:r w:rsidRPr="00371B2F">
        <w:rPr>
          <w:rFonts w:ascii="Arial" w:hAnsi="Arial" w:cs="Arial"/>
          <w:sz w:val="24"/>
          <w:szCs w:val="24"/>
          <w:lang w:val="en-GB"/>
        </w:rPr>
        <w:t>NDAUENDAPO, J</w:t>
      </w:r>
      <w:r w:rsidR="001116C5" w:rsidRPr="00371B2F">
        <w:rPr>
          <w:rFonts w:ascii="Arial" w:hAnsi="Arial" w:cs="Arial"/>
          <w:sz w:val="24"/>
          <w:szCs w:val="24"/>
          <w:lang w:val="en-GB"/>
        </w:rPr>
        <w:t xml:space="preserve"> (SHIVUTE</w:t>
      </w:r>
      <w:r w:rsidRPr="00371B2F">
        <w:rPr>
          <w:rFonts w:ascii="Arial" w:hAnsi="Arial" w:cs="Arial"/>
          <w:sz w:val="24"/>
          <w:szCs w:val="24"/>
          <w:lang w:val="en-GB"/>
        </w:rPr>
        <w:t>, J concurring):</w:t>
      </w:r>
    </w:p>
    <w:p w:rsidR="00DF67C7" w:rsidRDefault="00DF67C7" w:rsidP="00E80076">
      <w:pPr>
        <w:spacing w:line="360" w:lineRule="auto"/>
        <w:rPr>
          <w:rFonts w:ascii="Arial" w:hAnsi="Arial" w:cs="Arial"/>
          <w:sz w:val="24"/>
          <w:szCs w:val="24"/>
        </w:rPr>
      </w:pPr>
    </w:p>
    <w:p w:rsidR="00B71514" w:rsidRPr="00B71514" w:rsidRDefault="00B71514" w:rsidP="00E80076">
      <w:pPr>
        <w:spacing w:line="360" w:lineRule="auto"/>
        <w:rPr>
          <w:rFonts w:ascii="Arial" w:hAnsi="Arial" w:cs="Arial"/>
          <w:sz w:val="24"/>
          <w:szCs w:val="24"/>
          <w:u w:val="single"/>
        </w:rPr>
      </w:pPr>
      <w:r w:rsidRPr="00B71514">
        <w:rPr>
          <w:rFonts w:ascii="Arial" w:hAnsi="Arial" w:cs="Arial"/>
          <w:sz w:val="24"/>
          <w:szCs w:val="24"/>
          <w:u w:val="single"/>
        </w:rPr>
        <w:t>Introduction</w:t>
      </w:r>
    </w:p>
    <w:p w:rsidR="005B1773" w:rsidRDefault="00F03596" w:rsidP="001116C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116C5">
        <w:rPr>
          <w:rFonts w:ascii="Arial" w:hAnsi="Arial" w:cs="Arial"/>
          <w:sz w:val="24"/>
          <w:szCs w:val="24"/>
        </w:rPr>
        <w:t>The appellant was convicted and sentenced on 12 February 2016 in the Windhoek Regional Court of:</w:t>
      </w:r>
    </w:p>
    <w:p w:rsidR="001116C5" w:rsidRDefault="001116C5" w:rsidP="001116C5">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Dealing in </w:t>
      </w:r>
      <w:r w:rsidR="00E60EA5">
        <w:rPr>
          <w:rFonts w:ascii="Arial" w:hAnsi="Arial" w:cs="Arial"/>
          <w:sz w:val="24"/>
          <w:szCs w:val="24"/>
        </w:rPr>
        <w:t xml:space="preserve">a </w:t>
      </w:r>
      <w:r>
        <w:rPr>
          <w:rFonts w:ascii="Arial" w:hAnsi="Arial" w:cs="Arial"/>
          <w:sz w:val="24"/>
          <w:szCs w:val="24"/>
        </w:rPr>
        <w:t>depend</w:t>
      </w:r>
      <w:r w:rsidR="004C2CEE">
        <w:rPr>
          <w:rFonts w:ascii="Arial" w:hAnsi="Arial" w:cs="Arial"/>
          <w:sz w:val="24"/>
          <w:szCs w:val="24"/>
        </w:rPr>
        <w:t>ence producing substance, to wit:</w:t>
      </w:r>
      <w:r>
        <w:rPr>
          <w:rFonts w:ascii="Arial" w:hAnsi="Arial" w:cs="Arial"/>
          <w:sz w:val="24"/>
          <w:szCs w:val="24"/>
        </w:rPr>
        <w:t xml:space="preserve"> cannabis, weighing 406 830 Kg and valued at N$ 1 220 490.00, in contravention of s 2(a) read with ss 1, 2(i), 2 (ii), 8, </w:t>
      </w:r>
      <w:r>
        <w:rPr>
          <w:rFonts w:ascii="Arial" w:hAnsi="Arial" w:cs="Arial"/>
          <w:sz w:val="24"/>
          <w:szCs w:val="24"/>
        </w:rPr>
        <w:lastRenderedPageBreak/>
        <w:t xml:space="preserve">10, 14 and Part 1 of the Schedule of </w:t>
      </w:r>
      <w:r w:rsidR="004C2CEE">
        <w:rPr>
          <w:rFonts w:ascii="Arial" w:hAnsi="Arial" w:cs="Arial"/>
          <w:sz w:val="24"/>
          <w:szCs w:val="24"/>
        </w:rPr>
        <w:t xml:space="preserve">the </w:t>
      </w:r>
      <w:r w:rsidR="00371B2F">
        <w:rPr>
          <w:rFonts w:ascii="Arial" w:hAnsi="Arial" w:cs="Arial"/>
          <w:sz w:val="24"/>
          <w:szCs w:val="24"/>
        </w:rPr>
        <w:t xml:space="preserve">Abuse of Dependence Producing Substances and Rehabilitation Centres </w:t>
      </w:r>
      <w:r>
        <w:rPr>
          <w:rFonts w:ascii="Arial" w:hAnsi="Arial" w:cs="Arial"/>
          <w:sz w:val="24"/>
          <w:szCs w:val="24"/>
        </w:rPr>
        <w:t>Act 41 of 1971</w:t>
      </w:r>
      <w:r w:rsidR="00371B2F">
        <w:rPr>
          <w:rFonts w:ascii="Arial" w:hAnsi="Arial" w:cs="Arial"/>
          <w:sz w:val="24"/>
          <w:szCs w:val="24"/>
        </w:rPr>
        <w:t xml:space="preserve"> (hereafter, the Act)</w:t>
      </w:r>
      <w:r>
        <w:rPr>
          <w:rFonts w:ascii="Arial" w:hAnsi="Arial" w:cs="Arial"/>
          <w:sz w:val="24"/>
          <w:szCs w:val="24"/>
        </w:rPr>
        <w:t>.</w:t>
      </w:r>
      <w:r w:rsidR="004C2CEE">
        <w:rPr>
          <w:rStyle w:val="FootnoteReference"/>
          <w:rFonts w:ascii="Arial" w:hAnsi="Arial" w:cs="Arial"/>
          <w:sz w:val="24"/>
          <w:szCs w:val="24"/>
        </w:rPr>
        <w:footnoteReference w:id="1"/>
      </w:r>
      <w:r>
        <w:rPr>
          <w:rFonts w:ascii="Arial" w:hAnsi="Arial" w:cs="Arial"/>
          <w:sz w:val="24"/>
          <w:szCs w:val="24"/>
        </w:rPr>
        <w:t xml:space="preserve"> </w:t>
      </w:r>
    </w:p>
    <w:p w:rsidR="00F03596" w:rsidRDefault="005B1773" w:rsidP="00E800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116C5">
        <w:rPr>
          <w:rFonts w:ascii="Arial" w:hAnsi="Arial" w:cs="Arial"/>
          <w:sz w:val="24"/>
          <w:szCs w:val="24"/>
        </w:rPr>
        <w:t>The appellant was sentenced to 12 years imprisonment of which 4 years were conditionally suspended.</w:t>
      </w:r>
      <w:r>
        <w:rPr>
          <w:rFonts w:ascii="Arial" w:hAnsi="Arial" w:cs="Arial"/>
          <w:sz w:val="24"/>
          <w:szCs w:val="24"/>
        </w:rPr>
        <w:t xml:space="preserve"> </w:t>
      </w:r>
    </w:p>
    <w:p w:rsidR="005B1773" w:rsidRDefault="005B1773" w:rsidP="00E8007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116C5">
        <w:rPr>
          <w:rFonts w:ascii="Arial" w:hAnsi="Arial" w:cs="Arial"/>
          <w:sz w:val="24"/>
          <w:szCs w:val="24"/>
        </w:rPr>
        <w:t>On 26 February 2016, the appellant lodged an appeal against both the conviction and the sentence.</w:t>
      </w:r>
      <w:r w:rsidR="00A079B2">
        <w:rPr>
          <w:rFonts w:ascii="Arial" w:hAnsi="Arial" w:cs="Arial"/>
          <w:sz w:val="24"/>
          <w:szCs w:val="24"/>
        </w:rPr>
        <w:t xml:space="preserve"> The appellant appeared in person while Mr. Nduna appeared for the respondent.</w:t>
      </w:r>
    </w:p>
    <w:p w:rsidR="00371B2F" w:rsidRPr="00371B2F" w:rsidRDefault="00DF1439" w:rsidP="00E80076">
      <w:pPr>
        <w:spacing w:line="360" w:lineRule="auto"/>
        <w:jc w:val="both"/>
        <w:rPr>
          <w:rFonts w:ascii="Arial" w:hAnsi="Arial" w:cs="Arial"/>
          <w:sz w:val="24"/>
          <w:szCs w:val="24"/>
          <w:u w:val="single"/>
        </w:rPr>
      </w:pPr>
      <w:r>
        <w:rPr>
          <w:rFonts w:ascii="Arial" w:hAnsi="Arial" w:cs="Arial"/>
          <w:sz w:val="24"/>
          <w:szCs w:val="24"/>
        </w:rPr>
        <w:t>[</w:t>
      </w:r>
      <w:r w:rsidR="002D0616">
        <w:rPr>
          <w:rFonts w:ascii="Arial" w:hAnsi="Arial" w:cs="Arial"/>
          <w:sz w:val="24"/>
          <w:szCs w:val="24"/>
        </w:rPr>
        <w:t>4</w:t>
      </w:r>
      <w:r>
        <w:rPr>
          <w:rFonts w:ascii="Arial" w:hAnsi="Arial" w:cs="Arial"/>
          <w:sz w:val="24"/>
          <w:szCs w:val="24"/>
        </w:rPr>
        <w:t>]</w:t>
      </w:r>
      <w:r>
        <w:rPr>
          <w:rFonts w:ascii="Arial" w:hAnsi="Arial" w:cs="Arial"/>
          <w:sz w:val="24"/>
          <w:szCs w:val="24"/>
        </w:rPr>
        <w:tab/>
      </w:r>
      <w:r w:rsidR="001116C5" w:rsidRPr="00371B2F">
        <w:rPr>
          <w:rFonts w:ascii="Arial" w:hAnsi="Arial" w:cs="Arial"/>
          <w:sz w:val="24"/>
          <w:szCs w:val="24"/>
          <w:u w:val="single"/>
        </w:rPr>
        <w:t>The appellant’s grounds of appeal are:</w:t>
      </w:r>
    </w:p>
    <w:p w:rsidR="001116C5" w:rsidRPr="00371B2F" w:rsidRDefault="001116C5" w:rsidP="00E80076">
      <w:pPr>
        <w:spacing w:line="360" w:lineRule="auto"/>
        <w:jc w:val="both"/>
        <w:rPr>
          <w:rFonts w:ascii="Arial" w:hAnsi="Arial" w:cs="Arial"/>
          <w:i/>
          <w:sz w:val="24"/>
          <w:szCs w:val="24"/>
        </w:rPr>
      </w:pPr>
      <w:r w:rsidRPr="00371B2F">
        <w:rPr>
          <w:rFonts w:ascii="Arial" w:hAnsi="Arial" w:cs="Arial"/>
          <w:i/>
          <w:sz w:val="24"/>
          <w:szCs w:val="24"/>
        </w:rPr>
        <w:t>Ad Conviction</w:t>
      </w:r>
    </w:p>
    <w:p w:rsidR="000D1FC6" w:rsidRDefault="000D1FC6" w:rsidP="00E80076">
      <w:pPr>
        <w:spacing w:line="360" w:lineRule="auto"/>
        <w:jc w:val="both"/>
        <w:rPr>
          <w:rFonts w:ascii="Arial" w:hAnsi="Arial" w:cs="Arial"/>
          <w:sz w:val="24"/>
          <w:szCs w:val="24"/>
        </w:rPr>
      </w:pPr>
      <w:r>
        <w:rPr>
          <w:rFonts w:ascii="Arial" w:hAnsi="Arial" w:cs="Arial"/>
          <w:sz w:val="24"/>
          <w:szCs w:val="24"/>
        </w:rPr>
        <w:t xml:space="preserve">That the learned magistrate erred in law and/ or facts </w:t>
      </w:r>
      <w:r w:rsidR="00E60EA5">
        <w:rPr>
          <w:rFonts w:ascii="Arial" w:hAnsi="Arial" w:cs="Arial"/>
          <w:sz w:val="24"/>
          <w:szCs w:val="24"/>
        </w:rPr>
        <w:t>by:</w:t>
      </w:r>
    </w:p>
    <w:p w:rsidR="001116C5" w:rsidRDefault="00371B2F" w:rsidP="00E80076">
      <w:pPr>
        <w:spacing w:line="360" w:lineRule="auto"/>
        <w:jc w:val="both"/>
        <w:rPr>
          <w:rFonts w:ascii="Arial" w:hAnsi="Arial" w:cs="Arial"/>
          <w:sz w:val="24"/>
          <w:szCs w:val="24"/>
        </w:rPr>
      </w:pPr>
      <w:r>
        <w:rPr>
          <w:rFonts w:ascii="Arial" w:hAnsi="Arial" w:cs="Arial"/>
          <w:sz w:val="24"/>
          <w:szCs w:val="24"/>
        </w:rPr>
        <w:t>a)</w:t>
      </w:r>
      <w:r w:rsidR="001116C5">
        <w:rPr>
          <w:rFonts w:ascii="Arial" w:hAnsi="Arial" w:cs="Arial"/>
          <w:sz w:val="24"/>
          <w:szCs w:val="24"/>
        </w:rPr>
        <w:tab/>
      </w:r>
      <w:r w:rsidR="00E60EA5">
        <w:rPr>
          <w:rFonts w:ascii="Arial" w:hAnsi="Arial" w:cs="Arial"/>
          <w:sz w:val="24"/>
          <w:szCs w:val="24"/>
        </w:rPr>
        <w:t>C</w:t>
      </w:r>
      <w:r w:rsidR="000D1FC6">
        <w:rPr>
          <w:rFonts w:ascii="Arial" w:hAnsi="Arial" w:cs="Arial"/>
          <w:sz w:val="24"/>
          <w:szCs w:val="24"/>
        </w:rPr>
        <w:t>onvicting the appellant on the charge of dealing in dependence producing drugs</w:t>
      </w:r>
      <w:r w:rsidR="00E60EA5">
        <w:rPr>
          <w:rFonts w:ascii="Arial" w:hAnsi="Arial" w:cs="Arial"/>
          <w:sz w:val="24"/>
          <w:szCs w:val="24"/>
        </w:rPr>
        <w:t>;</w:t>
      </w:r>
    </w:p>
    <w:p w:rsidR="000D1FC6" w:rsidRDefault="00371B2F" w:rsidP="00E80076">
      <w:pPr>
        <w:spacing w:line="360" w:lineRule="auto"/>
        <w:jc w:val="both"/>
        <w:rPr>
          <w:rFonts w:ascii="Arial" w:hAnsi="Arial" w:cs="Arial"/>
          <w:sz w:val="24"/>
          <w:szCs w:val="24"/>
        </w:rPr>
      </w:pPr>
      <w:r>
        <w:rPr>
          <w:rFonts w:ascii="Arial" w:hAnsi="Arial" w:cs="Arial"/>
          <w:sz w:val="24"/>
          <w:szCs w:val="24"/>
        </w:rPr>
        <w:t>b)</w:t>
      </w:r>
      <w:r w:rsidR="00025C94">
        <w:rPr>
          <w:rFonts w:ascii="Arial" w:hAnsi="Arial" w:cs="Arial"/>
          <w:sz w:val="24"/>
          <w:szCs w:val="24"/>
        </w:rPr>
        <w:tab/>
      </w:r>
      <w:r w:rsidR="00E60EA5">
        <w:rPr>
          <w:rFonts w:ascii="Arial" w:hAnsi="Arial" w:cs="Arial"/>
          <w:sz w:val="24"/>
          <w:szCs w:val="24"/>
        </w:rPr>
        <w:t>R</w:t>
      </w:r>
      <w:r w:rsidR="000D1FC6">
        <w:rPr>
          <w:rFonts w:ascii="Arial" w:hAnsi="Arial" w:cs="Arial"/>
          <w:sz w:val="24"/>
          <w:szCs w:val="24"/>
        </w:rPr>
        <w:t xml:space="preserve">ejecting the appellant’s and </w:t>
      </w:r>
      <w:r w:rsidR="00E60EA5">
        <w:rPr>
          <w:rFonts w:ascii="Arial" w:hAnsi="Arial" w:cs="Arial"/>
          <w:sz w:val="24"/>
          <w:szCs w:val="24"/>
        </w:rPr>
        <w:t>his witnesses’ evidence totally;</w:t>
      </w:r>
    </w:p>
    <w:p w:rsidR="000D1FC6" w:rsidRDefault="00371B2F" w:rsidP="00E80076">
      <w:pPr>
        <w:spacing w:line="360" w:lineRule="auto"/>
        <w:jc w:val="both"/>
        <w:rPr>
          <w:rFonts w:ascii="Arial" w:hAnsi="Arial" w:cs="Arial"/>
          <w:sz w:val="24"/>
          <w:szCs w:val="24"/>
        </w:rPr>
      </w:pPr>
      <w:r>
        <w:rPr>
          <w:rFonts w:ascii="Arial" w:hAnsi="Arial" w:cs="Arial"/>
          <w:sz w:val="24"/>
          <w:szCs w:val="24"/>
        </w:rPr>
        <w:t>c)</w:t>
      </w:r>
      <w:r w:rsidR="00025C94">
        <w:rPr>
          <w:rFonts w:ascii="Arial" w:hAnsi="Arial" w:cs="Arial"/>
          <w:sz w:val="24"/>
          <w:szCs w:val="24"/>
        </w:rPr>
        <w:tab/>
      </w:r>
      <w:r w:rsidR="00E60EA5">
        <w:rPr>
          <w:rFonts w:ascii="Arial" w:hAnsi="Arial" w:cs="Arial"/>
          <w:sz w:val="24"/>
          <w:szCs w:val="24"/>
        </w:rPr>
        <w:t>F</w:t>
      </w:r>
      <w:r w:rsidR="000D1FC6">
        <w:rPr>
          <w:rFonts w:ascii="Arial" w:hAnsi="Arial" w:cs="Arial"/>
          <w:sz w:val="24"/>
          <w:szCs w:val="24"/>
        </w:rPr>
        <w:t>ailing to find that the appellant was not staying at the house where the drugs were found</w:t>
      </w:r>
      <w:r w:rsidR="00E60EA5">
        <w:rPr>
          <w:rFonts w:ascii="Arial" w:hAnsi="Arial" w:cs="Arial"/>
          <w:sz w:val="24"/>
          <w:szCs w:val="24"/>
        </w:rPr>
        <w:t>;</w:t>
      </w:r>
      <w:r w:rsidR="000D1FC6">
        <w:rPr>
          <w:rFonts w:ascii="Arial" w:hAnsi="Arial" w:cs="Arial"/>
          <w:sz w:val="24"/>
          <w:szCs w:val="24"/>
        </w:rPr>
        <w:t xml:space="preserve"> </w:t>
      </w:r>
    </w:p>
    <w:p w:rsidR="006A23E9" w:rsidRDefault="00371B2F" w:rsidP="00E80076">
      <w:pPr>
        <w:spacing w:line="360" w:lineRule="auto"/>
        <w:jc w:val="both"/>
        <w:rPr>
          <w:rFonts w:ascii="Arial" w:hAnsi="Arial" w:cs="Arial"/>
          <w:sz w:val="24"/>
          <w:szCs w:val="24"/>
        </w:rPr>
      </w:pPr>
      <w:r>
        <w:rPr>
          <w:rFonts w:ascii="Arial" w:hAnsi="Arial" w:cs="Arial"/>
          <w:sz w:val="24"/>
          <w:szCs w:val="24"/>
        </w:rPr>
        <w:t>d)</w:t>
      </w:r>
      <w:r w:rsidR="00025C94">
        <w:rPr>
          <w:rFonts w:ascii="Arial" w:hAnsi="Arial" w:cs="Arial"/>
          <w:sz w:val="24"/>
          <w:szCs w:val="24"/>
        </w:rPr>
        <w:tab/>
      </w:r>
      <w:r w:rsidR="00E60EA5">
        <w:rPr>
          <w:rFonts w:ascii="Arial" w:hAnsi="Arial" w:cs="Arial"/>
          <w:sz w:val="24"/>
          <w:szCs w:val="24"/>
        </w:rPr>
        <w:t xml:space="preserve"> T</w:t>
      </w:r>
      <w:r w:rsidR="006A23E9">
        <w:rPr>
          <w:rFonts w:ascii="Arial" w:hAnsi="Arial" w:cs="Arial"/>
          <w:sz w:val="24"/>
          <w:szCs w:val="24"/>
        </w:rPr>
        <w:t>otally</w:t>
      </w:r>
      <w:r w:rsidR="00E60EA5">
        <w:rPr>
          <w:rFonts w:ascii="Arial" w:hAnsi="Arial" w:cs="Arial"/>
          <w:sz w:val="24"/>
          <w:szCs w:val="24"/>
        </w:rPr>
        <w:t xml:space="preserve"> ignoring the death certificate;</w:t>
      </w:r>
    </w:p>
    <w:p w:rsidR="006A23E9" w:rsidRDefault="00371B2F" w:rsidP="00E80076">
      <w:pPr>
        <w:spacing w:line="360" w:lineRule="auto"/>
        <w:jc w:val="both"/>
        <w:rPr>
          <w:rFonts w:ascii="Arial" w:hAnsi="Arial" w:cs="Arial"/>
          <w:sz w:val="24"/>
          <w:szCs w:val="24"/>
        </w:rPr>
      </w:pPr>
      <w:r>
        <w:rPr>
          <w:rFonts w:ascii="Arial" w:hAnsi="Arial" w:cs="Arial"/>
          <w:sz w:val="24"/>
          <w:szCs w:val="24"/>
        </w:rPr>
        <w:t>e)</w:t>
      </w:r>
      <w:r w:rsidR="00025C94">
        <w:rPr>
          <w:rFonts w:ascii="Arial" w:hAnsi="Arial" w:cs="Arial"/>
          <w:sz w:val="24"/>
          <w:szCs w:val="24"/>
        </w:rPr>
        <w:tab/>
      </w:r>
      <w:r w:rsidR="00E60EA5">
        <w:rPr>
          <w:rFonts w:ascii="Arial" w:hAnsi="Arial" w:cs="Arial"/>
          <w:sz w:val="24"/>
          <w:szCs w:val="24"/>
        </w:rPr>
        <w:t>F</w:t>
      </w:r>
      <w:r>
        <w:rPr>
          <w:rFonts w:ascii="Arial" w:hAnsi="Arial" w:cs="Arial"/>
          <w:sz w:val="24"/>
          <w:szCs w:val="24"/>
        </w:rPr>
        <w:t>inding that the respondent</w:t>
      </w:r>
      <w:r w:rsidR="006A23E9">
        <w:rPr>
          <w:rFonts w:ascii="Arial" w:hAnsi="Arial" w:cs="Arial"/>
          <w:sz w:val="24"/>
          <w:szCs w:val="24"/>
        </w:rPr>
        <w:t xml:space="preserve"> had proven its case</w:t>
      </w:r>
      <w:r w:rsidR="00137015">
        <w:rPr>
          <w:rFonts w:ascii="Arial" w:hAnsi="Arial" w:cs="Arial"/>
          <w:sz w:val="24"/>
          <w:szCs w:val="24"/>
        </w:rPr>
        <w:t>;</w:t>
      </w:r>
    </w:p>
    <w:p w:rsidR="006A23E9" w:rsidRDefault="00371B2F" w:rsidP="00E80076">
      <w:pPr>
        <w:spacing w:line="360" w:lineRule="auto"/>
        <w:jc w:val="both"/>
        <w:rPr>
          <w:rFonts w:ascii="Arial" w:hAnsi="Arial" w:cs="Arial"/>
          <w:sz w:val="24"/>
          <w:szCs w:val="24"/>
        </w:rPr>
      </w:pPr>
      <w:r>
        <w:rPr>
          <w:rFonts w:ascii="Arial" w:hAnsi="Arial" w:cs="Arial"/>
          <w:sz w:val="24"/>
          <w:szCs w:val="24"/>
        </w:rPr>
        <w:t>f)</w:t>
      </w:r>
      <w:r w:rsidR="00025C94">
        <w:rPr>
          <w:rFonts w:ascii="Arial" w:hAnsi="Arial" w:cs="Arial"/>
          <w:sz w:val="24"/>
          <w:szCs w:val="24"/>
        </w:rPr>
        <w:tab/>
      </w:r>
      <w:r w:rsidR="00E60EA5">
        <w:rPr>
          <w:rFonts w:ascii="Arial" w:hAnsi="Arial" w:cs="Arial"/>
          <w:sz w:val="24"/>
          <w:szCs w:val="24"/>
        </w:rPr>
        <w:t>F</w:t>
      </w:r>
      <w:r w:rsidR="006A23E9">
        <w:rPr>
          <w:rFonts w:ascii="Arial" w:hAnsi="Arial" w:cs="Arial"/>
          <w:sz w:val="24"/>
          <w:szCs w:val="24"/>
        </w:rPr>
        <w:t>aili</w:t>
      </w:r>
      <w:r>
        <w:rPr>
          <w:rFonts w:ascii="Arial" w:hAnsi="Arial" w:cs="Arial"/>
          <w:sz w:val="24"/>
          <w:szCs w:val="24"/>
        </w:rPr>
        <w:t>ng to properly analyze the respondent</w:t>
      </w:r>
      <w:r w:rsidR="006A23E9">
        <w:rPr>
          <w:rFonts w:ascii="Arial" w:hAnsi="Arial" w:cs="Arial"/>
          <w:sz w:val="24"/>
          <w:szCs w:val="24"/>
        </w:rPr>
        <w:t>’s case</w:t>
      </w:r>
      <w:r w:rsidR="00137015">
        <w:rPr>
          <w:rFonts w:ascii="Arial" w:hAnsi="Arial" w:cs="Arial"/>
          <w:sz w:val="24"/>
          <w:szCs w:val="24"/>
        </w:rPr>
        <w:t>.</w:t>
      </w:r>
    </w:p>
    <w:p w:rsidR="006A23E9" w:rsidRPr="00371B2F" w:rsidRDefault="006A23E9" w:rsidP="00E80076">
      <w:pPr>
        <w:spacing w:line="360" w:lineRule="auto"/>
        <w:jc w:val="both"/>
        <w:rPr>
          <w:rFonts w:ascii="Arial" w:hAnsi="Arial" w:cs="Arial"/>
          <w:i/>
          <w:sz w:val="24"/>
          <w:szCs w:val="24"/>
        </w:rPr>
      </w:pPr>
      <w:r w:rsidRPr="00371B2F">
        <w:rPr>
          <w:rFonts w:ascii="Arial" w:hAnsi="Arial" w:cs="Arial"/>
          <w:i/>
          <w:sz w:val="24"/>
          <w:szCs w:val="24"/>
        </w:rPr>
        <w:t xml:space="preserve"> Ad Sentence</w:t>
      </w:r>
    </w:p>
    <w:p w:rsidR="006A23E9" w:rsidRDefault="006A23E9" w:rsidP="00E80076">
      <w:pPr>
        <w:spacing w:line="360" w:lineRule="auto"/>
        <w:jc w:val="both"/>
        <w:rPr>
          <w:rFonts w:ascii="Arial" w:hAnsi="Arial" w:cs="Arial"/>
          <w:sz w:val="24"/>
          <w:szCs w:val="24"/>
        </w:rPr>
      </w:pPr>
      <w:r>
        <w:rPr>
          <w:rFonts w:ascii="Arial" w:hAnsi="Arial" w:cs="Arial"/>
          <w:sz w:val="24"/>
          <w:szCs w:val="24"/>
        </w:rPr>
        <w:t>That the learned magistrate erred in fact and or law by:</w:t>
      </w:r>
    </w:p>
    <w:p w:rsidR="006A23E9" w:rsidRDefault="00371B2F" w:rsidP="00E80076">
      <w:pPr>
        <w:spacing w:line="360" w:lineRule="auto"/>
        <w:jc w:val="both"/>
        <w:rPr>
          <w:rFonts w:ascii="Arial" w:hAnsi="Arial" w:cs="Arial"/>
          <w:sz w:val="24"/>
          <w:szCs w:val="24"/>
        </w:rPr>
      </w:pPr>
      <w:r>
        <w:rPr>
          <w:rFonts w:ascii="Arial" w:hAnsi="Arial" w:cs="Arial"/>
          <w:sz w:val="24"/>
          <w:szCs w:val="24"/>
        </w:rPr>
        <w:t>a)</w:t>
      </w:r>
      <w:r w:rsidR="00E60EA5">
        <w:rPr>
          <w:rFonts w:ascii="Arial" w:hAnsi="Arial" w:cs="Arial"/>
          <w:sz w:val="24"/>
          <w:szCs w:val="24"/>
        </w:rPr>
        <w:tab/>
        <w:t>O</w:t>
      </w:r>
      <w:r w:rsidR="006A23E9">
        <w:rPr>
          <w:rFonts w:ascii="Arial" w:hAnsi="Arial" w:cs="Arial"/>
          <w:sz w:val="24"/>
          <w:szCs w:val="24"/>
        </w:rPr>
        <w:t xml:space="preserve">ver-emphasizing the seriousness of the offence </w:t>
      </w:r>
      <w:r w:rsidR="00E60EA5">
        <w:rPr>
          <w:rFonts w:ascii="Arial" w:hAnsi="Arial" w:cs="Arial"/>
          <w:sz w:val="24"/>
          <w:szCs w:val="24"/>
        </w:rPr>
        <w:t>and the interests of society</w:t>
      </w:r>
      <w:r w:rsidR="00137015">
        <w:rPr>
          <w:rFonts w:ascii="Arial" w:hAnsi="Arial" w:cs="Arial"/>
          <w:sz w:val="24"/>
          <w:szCs w:val="24"/>
        </w:rPr>
        <w:t>;</w:t>
      </w:r>
    </w:p>
    <w:p w:rsidR="006A23E9" w:rsidRDefault="00371B2F" w:rsidP="00E80076">
      <w:pPr>
        <w:spacing w:line="360" w:lineRule="auto"/>
        <w:jc w:val="both"/>
        <w:rPr>
          <w:rFonts w:ascii="Arial" w:hAnsi="Arial" w:cs="Arial"/>
          <w:sz w:val="24"/>
          <w:szCs w:val="24"/>
        </w:rPr>
      </w:pPr>
      <w:r>
        <w:rPr>
          <w:rFonts w:ascii="Arial" w:hAnsi="Arial" w:cs="Arial"/>
          <w:sz w:val="24"/>
          <w:szCs w:val="24"/>
        </w:rPr>
        <w:t>b)</w:t>
      </w:r>
      <w:r w:rsidR="00E60EA5">
        <w:rPr>
          <w:rFonts w:ascii="Arial" w:hAnsi="Arial" w:cs="Arial"/>
          <w:sz w:val="24"/>
          <w:szCs w:val="24"/>
        </w:rPr>
        <w:tab/>
        <w:t>Not imposing a fine or a suspended sentence coupled with a fine</w:t>
      </w:r>
      <w:r w:rsidR="00137015">
        <w:rPr>
          <w:rFonts w:ascii="Arial" w:hAnsi="Arial" w:cs="Arial"/>
          <w:sz w:val="24"/>
          <w:szCs w:val="24"/>
        </w:rPr>
        <w:t>.</w:t>
      </w:r>
    </w:p>
    <w:p w:rsidR="00E60EA5" w:rsidRPr="00E60EA5" w:rsidRDefault="00E60EA5" w:rsidP="00E80076">
      <w:pPr>
        <w:spacing w:line="360" w:lineRule="auto"/>
        <w:jc w:val="both"/>
        <w:rPr>
          <w:rFonts w:ascii="Arial" w:hAnsi="Arial" w:cs="Arial"/>
          <w:sz w:val="24"/>
          <w:szCs w:val="24"/>
          <w:u w:val="single"/>
        </w:rPr>
      </w:pPr>
      <w:r w:rsidRPr="00E60EA5">
        <w:rPr>
          <w:rFonts w:ascii="Arial" w:hAnsi="Arial" w:cs="Arial"/>
          <w:sz w:val="24"/>
          <w:szCs w:val="24"/>
          <w:u w:val="single"/>
        </w:rPr>
        <w:lastRenderedPageBreak/>
        <w:t>Point in Limine</w:t>
      </w:r>
    </w:p>
    <w:p w:rsidR="008A65BC" w:rsidRPr="00371B2F" w:rsidRDefault="00025C94" w:rsidP="00371B2F">
      <w:pPr>
        <w:spacing w:line="360" w:lineRule="auto"/>
        <w:jc w:val="both"/>
        <w:rPr>
          <w:rFonts w:ascii="Arial" w:eastAsia="Calibri" w:hAnsi="Arial" w:cs="Arial"/>
          <w:sz w:val="24"/>
          <w:szCs w:val="24"/>
        </w:rPr>
      </w:pPr>
      <w:r>
        <w:rPr>
          <w:rFonts w:ascii="Arial" w:hAnsi="Arial" w:cs="Arial"/>
          <w:sz w:val="24"/>
          <w:szCs w:val="24"/>
        </w:rPr>
        <w:t>[</w:t>
      </w:r>
      <w:r w:rsidR="00F64487">
        <w:rPr>
          <w:rFonts w:ascii="Arial" w:hAnsi="Arial" w:cs="Arial"/>
          <w:sz w:val="24"/>
          <w:szCs w:val="24"/>
        </w:rPr>
        <w:t>5</w:t>
      </w:r>
      <w:r w:rsidR="00E60EA5">
        <w:rPr>
          <w:rFonts w:ascii="Arial" w:hAnsi="Arial" w:cs="Arial"/>
          <w:sz w:val="24"/>
          <w:szCs w:val="24"/>
        </w:rPr>
        <w:t>]</w:t>
      </w:r>
      <w:r w:rsidR="00E60EA5">
        <w:rPr>
          <w:rFonts w:ascii="Arial" w:hAnsi="Arial" w:cs="Arial"/>
          <w:sz w:val="24"/>
          <w:szCs w:val="24"/>
        </w:rPr>
        <w:tab/>
        <w:t>The respondent raised a po</w:t>
      </w:r>
      <w:r w:rsidR="00371B2F">
        <w:rPr>
          <w:rFonts w:ascii="Arial" w:hAnsi="Arial" w:cs="Arial"/>
          <w:sz w:val="24"/>
          <w:szCs w:val="24"/>
        </w:rPr>
        <w:t>int in limine that grounds (a), (e) and (f)</w:t>
      </w:r>
      <w:r w:rsidR="008A65BC">
        <w:rPr>
          <w:rFonts w:ascii="Arial" w:hAnsi="Arial" w:cs="Arial"/>
          <w:sz w:val="24"/>
          <w:szCs w:val="24"/>
        </w:rPr>
        <w:t xml:space="preserve"> above </w:t>
      </w:r>
      <w:r w:rsidR="00B13178">
        <w:rPr>
          <w:rFonts w:ascii="Arial" w:hAnsi="Arial" w:cs="Arial"/>
          <w:sz w:val="24"/>
          <w:szCs w:val="24"/>
        </w:rPr>
        <w:t>be struck off</w:t>
      </w:r>
      <w:r w:rsidR="00E60EA5">
        <w:rPr>
          <w:rFonts w:ascii="Arial" w:hAnsi="Arial" w:cs="Arial"/>
          <w:sz w:val="24"/>
          <w:szCs w:val="24"/>
        </w:rPr>
        <w:t xml:space="preserve"> as they do not comply with Rule 67(1) of the Rules of the Magistrate Court. The purpose of a notice of appeal is to inform the respondent what case it has to meet. Furthermore, it ‘crystallizes the dispute and determines the parameters within which the court of appeal will have to decide the case</w:t>
      </w:r>
      <w:r w:rsidR="00FF047E">
        <w:rPr>
          <w:rFonts w:ascii="Arial" w:hAnsi="Arial" w:cs="Arial"/>
          <w:sz w:val="24"/>
          <w:szCs w:val="24"/>
        </w:rPr>
        <w:t>’</w:t>
      </w:r>
      <w:r w:rsidR="00E60EA5">
        <w:rPr>
          <w:rFonts w:ascii="Arial" w:hAnsi="Arial" w:cs="Arial"/>
          <w:sz w:val="24"/>
          <w:szCs w:val="24"/>
        </w:rPr>
        <w:t>.</w:t>
      </w:r>
      <w:r w:rsidR="00FF047E">
        <w:rPr>
          <w:rStyle w:val="FootnoteReference"/>
          <w:rFonts w:ascii="Arial" w:hAnsi="Arial" w:cs="Arial"/>
          <w:sz w:val="24"/>
          <w:szCs w:val="24"/>
        </w:rPr>
        <w:footnoteReference w:id="2"/>
      </w:r>
      <w:r w:rsidR="00E60EA5">
        <w:rPr>
          <w:rFonts w:ascii="Arial" w:hAnsi="Arial" w:cs="Arial"/>
          <w:sz w:val="24"/>
          <w:szCs w:val="24"/>
        </w:rPr>
        <w:t xml:space="preserve"> </w:t>
      </w:r>
      <w:r w:rsidR="00FF047E" w:rsidRPr="00FF047E">
        <w:rPr>
          <w:rFonts w:ascii="Arial" w:eastAsia="Calibri" w:hAnsi="Arial" w:cs="Arial"/>
          <w:sz w:val="24"/>
          <w:szCs w:val="24"/>
        </w:rPr>
        <w:t>The court is alive to the fact that the appellant is acting in person and that the notice of appeal filed by him should thus be construed generously in the light most favorable to the appellant.</w:t>
      </w:r>
      <w:r w:rsidR="00FF047E" w:rsidRPr="00FF047E">
        <w:rPr>
          <w:rFonts w:ascii="Arial" w:eastAsia="Calibri" w:hAnsi="Arial" w:cs="Arial"/>
          <w:sz w:val="24"/>
          <w:szCs w:val="24"/>
          <w:vertAlign w:val="superscript"/>
        </w:rPr>
        <w:footnoteReference w:id="3"/>
      </w:r>
      <w:r w:rsidR="00FF047E" w:rsidRPr="00FF047E">
        <w:rPr>
          <w:rFonts w:ascii="Arial" w:eastAsia="Calibri" w:hAnsi="Arial" w:cs="Arial"/>
          <w:sz w:val="24"/>
          <w:szCs w:val="24"/>
        </w:rPr>
        <w:t xml:space="preserve"> However, the court cannot take this proposition ‘too far, as to cover… situations where a peremptory statutory provision has not been complied with’.</w:t>
      </w:r>
      <w:r w:rsidR="00FF047E" w:rsidRPr="00FF047E">
        <w:rPr>
          <w:rFonts w:ascii="Arial" w:eastAsia="Calibri" w:hAnsi="Arial" w:cs="Arial"/>
          <w:sz w:val="24"/>
          <w:szCs w:val="24"/>
          <w:vertAlign w:val="superscript"/>
        </w:rPr>
        <w:footnoteReference w:id="4"/>
      </w:r>
      <w:r w:rsidR="00FF047E" w:rsidRPr="00FF047E">
        <w:rPr>
          <w:rFonts w:ascii="Arial" w:eastAsia="Calibri" w:hAnsi="Arial" w:cs="Arial"/>
          <w:sz w:val="24"/>
          <w:szCs w:val="24"/>
        </w:rPr>
        <w:t xml:space="preserve"> Rule 67(1) of the Magistrates Court Rules provides that:</w:t>
      </w:r>
      <w:r w:rsidR="00371B2F">
        <w:rPr>
          <w:rFonts w:ascii="Arial" w:eastAsia="Calibri" w:hAnsi="Arial" w:cs="Arial"/>
          <w:sz w:val="24"/>
          <w:szCs w:val="24"/>
        </w:rPr>
        <w:tab/>
      </w:r>
      <w:r w:rsidR="00FF047E" w:rsidRPr="00FF047E">
        <w:rPr>
          <w:rFonts w:ascii="Arial" w:eastAsia="Calibri" w:hAnsi="Arial" w:cs="Arial"/>
          <w:sz w:val="24"/>
          <w:szCs w:val="24"/>
        </w:rPr>
        <w:t>‘</w:t>
      </w:r>
      <w:r w:rsidR="00FF047E" w:rsidRPr="00FF047E">
        <w:rPr>
          <w:rFonts w:ascii="Arial" w:hAnsi="Arial" w:cs="Arial"/>
        </w:rPr>
        <w:t xml:space="preserve">(1) A convicted person desiring to appeal under section 103 (1) of the Act, shall within 14 days after the date of conviction, sentence or order in question, lodge with the clerk of the court </w:t>
      </w:r>
      <w:r w:rsidR="00FF047E" w:rsidRPr="00FF047E">
        <w:rPr>
          <w:rFonts w:ascii="Arial" w:hAnsi="Arial" w:cs="Arial"/>
          <w:u w:val="single"/>
        </w:rPr>
        <w:t xml:space="preserve">a notice of appeal in writing in which he </w:t>
      </w:r>
      <w:r w:rsidR="00FF047E" w:rsidRPr="00FF047E">
        <w:rPr>
          <w:rFonts w:ascii="Arial" w:hAnsi="Arial" w:cs="Arial"/>
          <w:b/>
          <w:u w:val="single"/>
        </w:rPr>
        <w:t>shall</w:t>
      </w:r>
      <w:r w:rsidR="00FF047E" w:rsidRPr="00FF047E">
        <w:rPr>
          <w:rFonts w:ascii="Arial" w:hAnsi="Arial" w:cs="Arial"/>
          <w:u w:val="single"/>
        </w:rPr>
        <w:t xml:space="preserve"> set out clearly and specifically the grounds, whether of fact or law or both fact and law, on which the appeal is based </w:t>
      </w:r>
      <w:r w:rsidR="00FF047E" w:rsidRPr="00FF047E">
        <w:rPr>
          <w:rFonts w:ascii="Arial" w:hAnsi="Arial" w:cs="Arial"/>
        </w:rPr>
        <w:t>[my emphasis]: Provided that if such appeal is noted by a legal practitioner on behalf of a convicted person he shall simultaneously with the lodging of the notice of appeal lodge a power of attorney authorizing him to note an appeal and to act on behalf of the convicted person. A convicted person who, after a judge of the court of appeal has refused to certify that there are reasonable grounds for appeal, still desires to prosecute an appeal which he has noted shall, within 14 days after being notified of such refusal, in writing indicate or cause to be indicated to the clerk of the court whether he intends</w:t>
      </w:r>
      <w:r w:rsidR="008A65BC">
        <w:rPr>
          <w:rFonts w:ascii="Arial" w:hAnsi="Arial" w:cs="Arial"/>
        </w:rPr>
        <w:t xml:space="preserve"> </w:t>
      </w:r>
      <w:r w:rsidR="00FF047E" w:rsidRPr="00FF047E">
        <w:rPr>
          <w:rFonts w:ascii="Arial" w:hAnsi="Arial" w:cs="Arial"/>
        </w:rPr>
        <w:t>prosecuting the appeal other than in person and unless he so indicates and takes the necessary steps to prosecute the appeal within the said period, the noted appeal shall be deemed to have lapsed.’</w:t>
      </w:r>
    </w:p>
    <w:p w:rsidR="001116C5" w:rsidRPr="00371B2F" w:rsidRDefault="00C41044" w:rsidP="00371B2F">
      <w:pPr>
        <w:autoSpaceDE w:val="0"/>
        <w:autoSpaceDN w:val="0"/>
        <w:adjustRightInd w:val="0"/>
        <w:spacing w:after="0" w:line="360" w:lineRule="auto"/>
        <w:jc w:val="both"/>
        <w:rPr>
          <w:rFonts w:ascii="Arial" w:hAnsi="Arial" w:cs="Arial"/>
        </w:rPr>
      </w:pPr>
      <w:r>
        <w:rPr>
          <w:rFonts w:ascii="Arial" w:hAnsi="Arial" w:cs="Arial"/>
          <w:sz w:val="24"/>
          <w:szCs w:val="24"/>
        </w:rPr>
        <w:t>[</w:t>
      </w:r>
      <w:r w:rsidR="00F64487">
        <w:rPr>
          <w:rFonts w:ascii="Arial" w:hAnsi="Arial" w:cs="Arial"/>
          <w:sz w:val="24"/>
          <w:szCs w:val="24"/>
        </w:rPr>
        <w:t>6</w:t>
      </w:r>
      <w:r>
        <w:rPr>
          <w:rFonts w:ascii="Arial" w:hAnsi="Arial" w:cs="Arial"/>
          <w:sz w:val="24"/>
          <w:szCs w:val="24"/>
        </w:rPr>
        <w:t>]</w:t>
      </w:r>
      <w:r>
        <w:rPr>
          <w:rFonts w:ascii="Arial" w:hAnsi="Arial" w:cs="Arial"/>
          <w:sz w:val="24"/>
          <w:szCs w:val="24"/>
        </w:rPr>
        <w:tab/>
      </w:r>
      <w:r w:rsidR="008A65BC" w:rsidRPr="00FF047E">
        <w:rPr>
          <w:rFonts w:ascii="Arial" w:eastAsia="Calibri" w:hAnsi="Arial" w:cs="Arial"/>
          <w:sz w:val="24"/>
          <w:szCs w:val="24"/>
        </w:rPr>
        <w:t xml:space="preserve">Rule 67(1) of the </w:t>
      </w:r>
      <w:r w:rsidR="008A65BC" w:rsidRPr="00371B2F">
        <w:rPr>
          <w:rFonts w:ascii="Arial" w:eastAsia="Calibri" w:hAnsi="Arial" w:cs="Arial"/>
          <w:sz w:val="24"/>
          <w:szCs w:val="24"/>
        </w:rPr>
        <w:t>Rules of the Magistrates Court</w:t>
      </w:r>
      <w:r w:rsidR="008A65BC" w:rsidRPr="00FF047E">
        <w:rPr>
          <w:rFonts w:ascii="Arial" w:eastAsia="Calibri" w:hAnsi="Arial" w:cs="Arial"/>
          <w:sz w:val="24"/>
          <w:szCs w:val="24"/>
        </w:rPr>
        <w:t xml:space="preserve"> is a peremptory requirement.</w:t>
      </w:r>
      <w:r w:rsidR="008A65BC" w:rsidRPr="00FF047E">
        <w:rPr>
          <w:rFonts w:ascii="Arial" w:eastAsia="Calibri" w:hAnsi="Arial" w:cs="Arial"/>
          <w:sz w:val="24"/>
          <w:szCs w:val="24"/>
          <w:vertAlign w:val="superscript"/>
        </w:rPr>
        <w:footnoteReference w:id="5"/>
      </w:r>
      <w:r w:rsidR="00AC3D5A">
        <w:rPr>
          <w:rFonts w:ascii="Arial" w:eastAsia="Calibri" w:hAnsi="Arial" w:cs="Arial"/>
          <w:sz w:val="24"/>
          <w:szCs w:val="24"/>
        </w:rPr>
        <w:t xml:space="preserve"> The appellant did not object</w:t>
      </w:r>
      <w:r w:rsidR="000063C8">
        <w:rPr>
          <w:rFonts w:ascii="Arial" w:eastAsia="Calibri" w:hAnsi="Arial" w:cs="Arial"/>
          <w:sz w:val="24"/>
          <w:szCs w:val="24"/>
        </w:rPr>
        <w:t xml:space="preserve"> to the application by the respondent</w:t>
      </w:r>
      <w:r w:rsidR="00AC3D5A">
        <w:rPr>
          <w:rFonts w:ascii="Arial" w:eastAsia="Calibri" w:hAnsi="Arial" w:cs="Arial"/>
          <w:sz w:val="24"/>
          <w:szCs w:val="24"/>
        </w:rPr>
        <w:t xml:space="preserve"> to have the three grounds of appeal struck. It is for the above reasons that </w:t>
      </w:r>
      <w:r w:rsidR="008A65BC">
        <w:rPr>
          <w:rFonts w:ascii="Arial" w:eastAsia="Calibri" w:hAnsi="Arial" w:cs="Arial"/>
          <w:sz w:val="24"/>
          <w:szCs w:val="24"/>
        </w:rPr>
        <w:t>grounds</w:t>
      </w:r>
      <w:r w:rsidR="00371B2F">
        <w:rPr>
          <w:rFonts w:ascii="Arial" w:hAnsi="Arial" w:cs="Arial"/>
          <w:sz w:val="24"/>
          <w:szCs w:val="24"/>
        </w:rPr>
        <w:t xml:space="preserve"> (a), (e) and (f)</w:t>
      </w:r>
      <w:r w:rsidR="008A65BC">
        <w:rPr>
          <w:rFonts w:ascii="Arial" w:hAnsi="Arial" w:cs="Arial"/>
          <w:sz w:val="24"/>
          <w:szCs w:val="24"/>
        </w:rPr>
        <w:t xml:space="preserve"> above are struck</w:t>
      </w:r>
      <w:r w:rsidR="00371B2F">
        <w:rPr>
          <w:rFonts w:ascii="Arial" w:hAnsi="Arial" w:cs="Arial"/>
          <w:sz w:val="24"/>
          <w:szCs w:val="24"/>
        </w:rPr>
        <w:t xml:space="preserve"> off</w:t>
      </w:r>
      <w:r w:rsidR="008A65BC">
        <w:rPr>
          <w:rFonts w:ascii="Arial" w:hAnsi="Arial" w:cs="Arial"/>
          <w:sz w:val="24"/>
          <w:szCs w:val="24"/>
        </w:rPr>
        <w:t xml:space="preserve"> as they are merely conclusions drawn by the appellant for reasons privy only to himself.</w:t>
      </w:r>
      <w:r w:rsidR="00AC3D5A">
        <w:rPr>
          <w:rFonts w:ascii="Arial" w:hAnsi="Arial" w:cs="Arial"/>
          <w:sz w:val="24"/>
          <w:szCs w:val="24"/>
        </w:rPr>
        <w:t xml:space="preserve"> </w:t>
      </w:r>
    </w:p>
    <w:p w:rsidR="00B71514" w:rsidRDefault="00B71514" w:rsidP="00E80076">
      <w:pPr>
        <w:spacing w:line="360" w:lineRule="auto"/>
        <w:jc w:val="both"/>
        <w:rPr>
          <w:rFonts w:ascii="Arial" w:hAnsi="Arial" w:cs="Arial"/>
          <w:sz w:val="24"/>
          <w:szCs w:val="24"/>
          <w:u w:val="single"/>
        </w:rPr>
      </w:pPr>
      <w:r w:rsidRPr="00B71514">
        <w:rPr>
          <w:rFonts w:ascii="Arial" w:hAnsi="Arial" w:cs="Arial"/>
          <w:sz w:val="24"/>
          <w:szCs w:val="24"/>
          <w:u w:val="single"/>
        </w:rPr>
        <w:lastRenderedPageBreak/>
        <w:t>The appeal</w:t>
      </w:r>
      <w:r w:rsidR="00786894">
        <w:rPr>
          <w:rFonts w:ascii="Arial" w:hAnsi="Arial" w:cs="Arial"/>
          <w:sz w:val="24"/>
          <w:szCs w:val="24"/>
          <w:u w:val="single"/>
        </w:rPr>
        <w:t xml:space="preserve"> against the convi</w:t>
      </w:r>
      <w:r w:rsidR="00AC3D5A">
        <w:rPr>
          <w:rFonts w:ascii="Arial" w:hAnsi="Arial" w:cs="Arial"/>
          <w:sz w:val="24"/>
          <w:szCs w:val="24"/>
          <w:u w:val="single"/>
        </w:rPr>
        <w:t>ction on the remaining grounds of appeal</w:t>
      </w:r>
    </w:p>
    <w:p w:rsidR="00626734" w:rsidRPr="00626734" w:rsidRDefault="00626734" w:rsidP="00626734">
      <w:pPr>
        <w:spacing w:line="360" w:lineRule="auto"/>
        <w:jc w:val="both"/>
        <w:rPr>
          <w:rFonts w:ascii="Arial" w:hAnsi="Arial" w:cs="Arial"/>
          <w:i/>
          <w:sz w:val="24"/>
          <w:szCs w:val="24"/>
        </w:rPr>
      </w:pPr>
      <w:r w:rsidRPr="00626734">
        <w:rPr>
          <w:rFonts w:ascii="Arial" w:hAnsi="Arial" w:cs="Arial"/>
          <w:i/>
          <w:sz w:val="24"/>
          <w:szCs w:val="24"/>
        </w:rPr>
        <w:t>Submissions by the appellant</w:t>
      </w:r>
    </w:p>
    <w:p w:rsidR="00A467D7" w:rsidRDefault="00626734" w:rsidP="00626734">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AC3D5A">
        <w:rPr>
          <w:rFonts w:ascii="Arial" w:hAnsi="Arial" w:cs="Arial"/>
          <w:sz w:val="24"/>
          <w:szCs w:val="24"/>
        </w:rPr>
        <w:t>The appellant submitted that the house where the cannabis was found, erf 114, Hakahana was his house, but that he was not residing at that house at the time the cannabis was found there. It was his submission that</w:t>
      </w:r>
      <w:r w:rsidR="00D01A73">
        <w:rPr>
          <w:rFonts w:ascii="Arial" w:hAnsi="Arial" w:cs="Arial"/>
          <w:sz w:val="24"/>
          <w:szCs w:val="24"/>
        </w:rPr>
        <w:t xml:space="preserve"> at the relevant time</w:t>
      </w:r>
      <w:r w:rsidR="00AC3D5A">
        <w:rPr>
          <w:rFonts w:ascii="Arial" w:hAnsi="Arial" w:cs="Arial"/>
          <w:sz w:val="24"/>
          <w:szCs w:val="24"/>
        </w:rPr>
        <w:t xml:space="preserve"> his brother resided a</w:t>
      </w:r>
      <w:r w:rsidR="00D01A73">
        <w:rPr>
          <w:rFonts w:ascii="Arial" w:hAnsi="Arial" w:cs="Arial"/>
          <w:sz w:val="24"/>
          <w:szCs w:val="24"/>
        </w:rPr>
        <w:t>t that house with other people</w:t>
      </w:r>
      <w:r w:rsidR="00AC3D5A">
        <w:rPr>
          <w:rFonts w:ascii="Arial" w:hAnsi="Arial" w:cs="Arial"/>
          <w:sz w:val="24"/>
          <w:szCs w:val="24"/>
        </w:rPr>
        <w:t>. Further</w:t>
      </w:r>
      <w:r w:rsidR="00971F9B">
        <w:rPr>
          <w:rFonts w:ascii="Arial" w:hAnsi="Arial" w:cs="Arial"/>
          <w:sz w:val="24"/>
          <w:szCs w:val="24"/>
        </w:rPr>
        <w:t>more</w:t>
      </w:r>
      <w:r w:rsidR="00D01A73">
        <w:rPr>
          <w:rFonts w:ascii="Arial" w:hAnsi="Arial" w:cs="Arial"/>
          <w:sz w:val="24"/>
          <w:szCs w:val="24"/>
        </w:rPr>
        <w:t>, that</w:t>
      </w:r>
      <w:r w:rsidR="00AC3D5A">
        <w:rPr>
          <w:rFonts w:ascii="Arial" w:hAnsi="Arial" w:cs="Arial"/>
          <w:sz w:val="24"/>
          <w:szCs w:val="24"/>
        </w:rPr>
        <w:t xml:space="preserve"> at the time of the appellant’s conviction, his</w:t>
      </w:r>
      <w:r w:rsidR="00971F9B">
        <w:rPr>
          <w:rFonts w:ascii="Arial" w:hAnsi="Arial" w:cs="Arial"/>
          <w:sz w:val="24"/>
          <w:szCs w:val="24"/>
        </w:rPr>
        <w:t xml:space="preserve"> brother was alive, however at the time of his sentence the brother had passed on.</w:t>
      </w:r>
      <w:r w:rsidR="00971F9B">
        <w:rPr>
          <w:rStyle w:val="FootnoteReference"/>
          <w:rFonts w:ascii="Arial" w:hAnsi="Arial" w:cs="Arial"/>
          <w:sz w:val="24"/>
          <w:szCs w:val="24"/>
        </w:rPr>
        <w:footnoteReference w:id="6"/>
      </w:r>
      <w:r w:rsidR="00971F9B">
        <w:rPr>
          <w:rFonts w:ascii="Arial" w:hAnsi="Arial" w:cs="Arial"/>
          <w:sz w:val="24"/>
          <w:szCs w:val="24"/>
        </w:rPr>
        <w:t xml:space="preserve"> This submission by the appellant cannot be correct as he was convicted and sentenced on the same day</w:t>
      </w:r>
      <w:r w:rsidR="001F1710">
        <w:rPr>
          <w:rFonts w:ascii="Arial" w:hAnsi="Arial" w:cs="Arial"/>
          <w:sz w:val="24"/>
          <w:szCs w:val="24"/>
        </w:rPr>
        <w:t>, being 19 February 2016</w:t>
      </w:r>
      <w:r w:rsidR="00971F9B">
        <w:rPr>
          <w:rFonts w:ascii="Arial" w:hAnsi="Arial" w:cs="Arial"/>
          <w:sz w:val="24"/>
          <w:szCs w:val="24"/>
        </w:rPr>
        <w:t xml:space="preserve"> and according to the record of proceedings of the trial court, the appellant’s brother had p</w:t>
      </w:r>
      <w:r w:rsidR="001F1710">
        <w:rPr>
          <w:rFonts w:ascii="Arial" w:hAnsi="Arial" w:cs="Arial"/>
          <w:sz w:val="24"/>
          <w:szCs w:val="24"/>
        </w:rPr>
        <w:t>assed away on 18 September 2012.</w:t>
      </w:r>
      <w:r w:rsidR="00971F9B">
        <w:rPr>
          <w:rStyle w:val="FootnoteReference"/>
          <w:rFonts w:ascii="Arial" w:hAnsi="Arial" w:cs="Arial"/>
          <w:sz w:val="24"/>
          <w:szCs w:val="24"/>
        </w:rPr>
        <w:footnoteReference w:id="7"/>
      </w:r>
      <w:r w:rsidR="001F1710">
        <w:rPr>
          <w:rFonts w:ascii="Arial" w:hAnsi="Arial" w:cs="Arial"/>
          <w:sz w:val="24"/>
          <w:szCs w:val="24"/>
        </w:rPr>
        <w:t xml:space="preserve"> The appellant further submitted that, although he had informed his lawyer during the bail application that his brother (who is now deceased) occupied Erf 114, Hakahana, he faile</w:t>
      </w:r>
      <w:r w:rsidR="00B13178">
        <w:rPr>
          <w:rFonts w:ascii="Arial" w:hAnsi="Arial" w:cs="Arial"/>
          <w:sz w:val="24"/>
          <w:szCs w:val="24"/>
        </w:rPr>
        <w:t>d to inform the arresting</w:t>
      </w:r>
      <w:r w:rsidR="001F1710">
        <w:rPr>
          <w:rFonts w:ascii="Arial" w:hAnsi="Arial" w:cs="Arial"/>
          <w:sz w:val="24"/>
          <w:szCs w:val="24"/>
        </w:rPr>
        <w:t xml:space="preserve"> officers</w:t>
      </w:r>
      <w:r w:rsidR="00D01A73">
        <w:rPr>
          <w:rFonts w:ascii="Arial" w:hAnsi="Arial" w:cs="Arial"/>
          <w:sz w:val="24"/>
          <w:szCs w:val="24"/>
        </w:rPr>
        <w:t xml:space="preserve"> of this fact</w:t>
      </w:r>
      <w:r w:rsidR="000063C8">
        <w:rPr>
          <w:rFonts w:ascii="Arial" w:hAnsi="Arial" w:cs="Arial"/>
          <w:sz w:val="24"/>
          <w:szCs w:val="24"/>
        </w:rPr>
        <w:t>. He further submitted that</w:t>
      </w:r>
      <w:r w:rsidR="001F1710">
        <w:rPr>
          <w:rFonts w:ascii="Arial" w:hAnsi="Arial" w:cs="Arial"/>
          <w:sz w:val="24"/>
          <w:szCs w:val="24"/>
        </w:rPr>
        <w:t xml:space="preserve"> when the police officer</w:t>
      </w:r>
      <w:r w:rsidR="00B13178">
        <w:rPr>
          <w:rFonts w:ascii="Arial" w:hAnsi="Arial" w:cs="Arial"/>
          <w:sz w:val="24"/>
          <w:szCs w:val="24"/>
        </w:rPr>
        <w:t>s</w:t>
      </w:r>
      <w:r w:rsidR="001F1710">
        <w:rPr>
          <w:rFonts w:ascii="Arial" w:hAnsi="Arial" w:cs="Arial"/>
          <w:sz w:val="24"/>
          <w:szCs w:val="24"/>
        </w:rPr>
        <w:t xml:space="preserve"> fetched him at his pla</w:t>
      </w:r>
      <w:r w:rsidR="00D01A73">
        <w:rPr>
          <w:rFonts w:ascii="Arial" w:hAnsi="Arial" w:cs="Arial"/>
          <w:sz w:val="24"/>
          <w:szCs w:val="24"/>
        </w:rPr>
        <w:t>ce of employment and they arrived at</w:t>
      </w:r>
      <w:r w:rsidR="001F1710">
        <w:rPr>
          <w:rFonts w:ascii="Arial" w:hAnsi="Arial" w:cs="Arial"/>
          <w:sz w:val="24"/>
          <w:szCs w:val="24"/>
        </w:rPr>
        <w:t xml:space="preserve"> erf 114, Hakahana the police had a key and unlocked the house themselves. When the court enquired why he never mentioned that the cannabis belonged to his brother while he was still alive, the appellant responded that, </w:t>
      </w:r>
      <w:r w:rsidR="00A467D7">
        <w:rPr>
          <w:rFonts w:ascii="Arial" w:hAnsi="Arial" w:cs="Arial"/>
          <w:sz w:val="24"/>
          <w:szCs w:val="24"/>
        </w:rPr>
        <w:t xml:space="preserve">he only told his lawyer during the bail application and was not sure whether or not the lawyer brought this information to the attention of the magistrate. </w:t>
      </w:r>
    </w:p>
    <w:p w:rsidR="00A467D7" w:rsidRPr="00A467D7" w:rsidRDefault="00A467D7" w:rsidP="00626734">
      <w:pPr>
        <w:spacing w:line="360" w:lineRule="auto"/>
        <w:jc w:val="both"/>
        <w:rPr>
          <w:rFonts w:ascii="Arial" w:hAnsi="Arial" w:cs="Arial"/>
          <w:i/>
          <w:sz w:val="24"/>
          <w:szCs w:val="24"/>
        </w:rPr>
      </w:pPr>
      <w:r w:rsidRPr="00A467D7">
        <w:rPr>
          <w:rFonts w:ascii="Arial" w:hAnsi="Arial" w:cs="Arial"/>
          <w:i/>
          <w:sz w:val="24"/>
          <w:szCs w:val="24"/>
        </w:rPr>
        <w:t>Submissi</w:t>
      </w:r>
      <w:r w:rsidR="00B13178">
        <w:rPr>
          <w:rFonts w:ascii="Arial" w:hAnsi="Arial" w:cs="Arial"/>
          <w:i/>
          <w:sz w:val="24"/>
          <w:szCs w:val="24"/>
        </w:rPr>
        <w:t>ons by</w:t>
      </w:r>
      <w:r w:rsidR="000063C8">
        <w:rPr>
          <w:rFonts w:ascii="Arial" w:hAnsi="Arial" w:cs="Arial"/>
          <w:i/>
          <w:sz w:val="24"/>
          <w:szCs w:val="24"/>
        </w:rPr>
        <w:t xml:space="preserve"> counsel for the respondent</w:t>
      </w:r>
      <w:r>
        <w:rPr>
          <w:rFonts w:ascii="Arial" w:hAnsi="Arial" w:cs="Arial"/>
          <w:i/>
          <w:sz w:val="24"/>
          <w:szCs w:val="24"/>
        </w:rPr>
        <w:t>.</w:t>
      </w:r>
    </w:p>
    <w:p w:rsidR="001116C5" w:rsidRDefault="00DF1439" w:rsidP="0070430F">
      <w:pPr>
        <w:spacing w:line="360" w:lineRule="auto"/>
        <w:jc w:val="both"/>
        <w:rPr>
          <w:rFonts w:ascii="Arial" w:hAnsi="Arial" w:cs="Arial"/>
          <w:sz w:val="24"/>
          <w:szCs w:val="24"/>
        </w:rPr>
      </w:pPr>
      <w:r>
        <w:rPr>
          <w:rFonts w:ascii="Arial" w:hAnsi="Arial" w:cs="Arial"/>
          <w:sz w:val="24"/>
          <w:szCs w:val="24"/>
        </w:rPr>
        <w:t>[</w:t>
      </w:r>
      <w:r w:rsidR="00F64487">
        <w:rPr>
          <w:rFonts w:ascii="Arial" w:hAnsi="Arial" w:cs="Arial"/>
          <w:sz w:val="24"/>
          <w:szCs w:val="24"/>
        </w:rPr>
        <w:t>8</w:t>
      </w:r>
      <w:r w:rsidR="009F1D6F">
        <w:rPr>
          <w:rFonts w:ascii="Arial" w:hAnsi="Arial" w:cs="Arial"/>
          <w:sz w:val="24"/>
          <w:szCs w:val="24"/>
        </w:rPr>
        <w:t>]</w:t>
      </w:r>
      <w:r w:rsidR="00FF2DAD">
        <w:rPr>
          <w:rFonts w:ascii="Arial" w:hAnsi="Arial" w:cs="Arial"/>
          <w:sz w:val="24"/>
          <w:szCs w:val="24"/>
        </w:rPr>
        <w:tab/>
      </w:r>
      <w:r w:rsidR="000E2599">
        <w:rPr>
          <w:rFonts w:ascii="Arial" w:hAnsi="Arial" w:cs="Arial"/>
          <w:sz w:val="24"/>
          <w:szCs w:val="24"/>
        </w:rPr>
        <w:t>It was</w:t>
      </w:r>
      <w:r w:rsidR="007C7ED2">
        <w:rPr>
          <w:rFonts w:ascii="Arial" w:hAnsi="Arial" w:cs="Arial"/>
          <w:sz w:val="24"/>
          <w:szCs w:val="24"/>
        </w:rPr>
        <w:t xml:space="preserve"> counsel’</w:t>
      </w:r>
      <w:r w:rsidR="000E2599">
        <w:rPr>
          <w:rFonts w:ascii="Arial" w:hAnsi="Arial" w:cs="Arial"/>
          <w:sz w:val="24"/>
          <w:szCs w:val="24"/>
        </w:rPr>
        <w:t xml:space="preserve">s submission that the appellant omitted to mention </w:t>
      </w:r>
      <w:r w:rsidR="0070430F">
        <w:rPr>
          <w:rFonts w:ascii="Arial" w:hAnsi="Arial" w:cs="Arial"/>
          <w:sz w:val="24"/>
          <w:szCs w:val="24"/>
        </w:rPr>
        <w:t xml:space="preserve">the fact that his </w:t>
      </w:r>
      <w:r w:rsidR="000E2599">
        <w:rPr>
          <w:rFonts w:ascii="Arial" w:hAnsi="Arial" w:cs="Arial"/>
          <w:sz w:val="24"/>
          <w:szCs w:val="24"/>
        </w:rPr>
        <w:t xml:space="preserve">brother might be the owner of the cannabis found at erf 114, Hakahana. Counsel further submitted that, during the first bail application the appellant’s brother was still alive and his failure to mention his brother’s involvement could be due to sibling loyalty, however at the time of the subsequent bail application, the appellant’s brother had already been late, so nothing stopped him from raising his brother’s involvement at this subsequent bail application. </w:t>
      </w:r>
      <w:r w:rsidR="0070430F">
        <w:rPr>
          <w:rFonts w:ascii="Arial" w:hAnsi="Arial" w:cs="Arial"/>
          <w:sz w:val="24"/>
          <w:szCs w:val="24"/>
        </w:rPr>
        <w:t xml:space="preserve">Regarding the appellant’s son who was his first witness, there were </w:t>
      </w:r>
      <w:r w:rsidR="0070430F">
        <w:rPr>
          <w:rFonts w:ascii="Arial" w:hAnsi="Arial" w:cs="Arial"/>
          <w:sz w:val="24"/>
          <w:szCs w:val="24"/>
        </w:rPr>
        <w:lastRenderedPageBreak/>
        <w:t>contradictions between the testimony of the ap</w:t>
      </w:r>
      <w:r w:rsidR="00B13178">
        <w:rPr>
          <w:rFonts w:ascii="Arial" w:hAnsi="Arial" w:cs="Arial"/>
          <w:sz w:val="24"/>
          <w:szCs w:val="24"/>
        </w:rPr>
        <w:t>pellant and his son. Whereas the appellant’s son</w:t>
      </w:r>
      <w:r w:rsidR="0070430F">
        <w:rPr>
          <w:rFonts w:ascii="Arial" w:hAnsi="Arial" w:cs="Arial"/>
          <w:sz w:val="24"/>
          <w:szCs w:val="24"/>
        </w:rPr>
        <w:t xml:space="preserve"> testified that the appellant never returned to erf 114 afte</w:t>
      </w:r>
      <w:r w:rsidR="00B13178">
        <w:rPr>
          <w:rFonts w:ascii="Arial" w:hAnsi="Arial" w:cs="Arial"/>
          <w:sz w:val="24"/>
          <w:szCs w:val="24"/>
        </w:rPr>
        <w:t xml:space="preserve">r he moved to erf 290, the appellant testified that he </w:t>
      </w:r>
      <w:r w:rsidR="0070430F">
        <w:rPr>
          <w:rFonts w:ascii="Arial" w:hAnsi="Arial" w:cs="Arial"/>
          <w:sz w:val="24"/>
          <w:szCs w:val="24"/>
        </w:rPr>
        <w:t xml:space="preserve">occasionally went to erf 114 to drop off groceries for his children. The appellant’s colleague also testified that only he and the appellant lived at erf 290 Hakahana, however the appellant testified that, he lived at erf 209 with his wife and two children one of whom died in 2011. </w:t>
      </w:r>
      <w:r w:rsidR="001E4F83">
        <w:rPr>
          <w:rFonts w:ascii="Arial" w:hAnsi="Arial" w:cs="Arial"/>
          <w:sz w:val="24"/>
          <w:szCs w:val="24"/>
        </w:rPr>
        <w:t>Regarding the death certificate, counsel argued that, the a</w:t>
      </w:r>
      <w:r w:rsidR="00D01A73">
        <w:rPr>
          <w:rFonts w:ascii="Arial" w:hAnsi="Arial" w:cs="Arial"/>
          <w:sz w:val="24"/>
          <w:szCs w:val="24"/>
        </w:rPr>
        <w:t>ppellant conveniently adduced the death certificate as</w:t>
      </w:r>
      <w:r w:rsidR="001E4F83">
        <w:rPr>
          <w:rFonts w:ascii="Arial" w:hAnsi="Arial" w:cs="Arial"/>
          <w:sz w:val="24"/>
          <w:szCs w:val="24"/>
        </w:rPr>
        <w:t xml:space="preserve"> evidence to ‘bo</w:t>
      </w:r>
      <w:r w:rsidR="00D01A73">
        <w:rPr>
          <w:rFonts w:ascii="Arial" w:hAnsi="Arial" w:cs="Arial"/>
          <w:sz w:val="24"/>
          <w:szCs w:val="24"/>
        </w:rPr>
        <w:t>l</w:t>
      </w:r>
      <w:r w:rsidR="001E4F83">
        <w:rPr>
          <w:rFonts w:ascii="Arial" w:hAnsi="Arial" w:cs="Arial"/>
          <w:sz w:val="24"/>
          <w:szCs w:val="24"/>
        </w:rPr>
        <w:t xml:space="preserve">ster a false defence’, because there was no mention of a brother at the two bail applications nor to the police officers who arrested the appellant. </w:t>
      </w:r>
    </w:p>
    <w:p w:rsidR="000B4649" w:rsidRPr="000B4649" w:rsidRDefault="000B4649" w:rsidP="00D46DBE">
      <w:pPr>
        <w:spacing w:line="360" w:lineRule="auto"/>
        <w:jc w:val="both"/>
        <w:rPr>
          <w:rFonts w:ascii="Arial" w:hAnsi="Arial" w:cs="Arial"/>
          <w:sz w:val="24"/>
          <w:szCs w:val="24"/>
          <w:u w:val="single"/>
        </w:rPr>
      </w:pPr>
      <w:r w:rsidRPr="000B4649">
        <w:rPr>
          <w:rFonts w:ascii="Arial" w:hAnsi="Arial" w:cs="Arial"/>
          <w:sz w:val="24"/>
          <w:szCs w:val="24"/>
          <w:u w:val="single"/>
        </w:rPr>
        <w:t>Briefly the facts which lead to this appeal.</w:t>
      </w:r>
    </w:p>
    <w:p w:rsidR="0021394E" w:rsidRDefault="00D01A73" w:rsidP="00E60EA5">
      <w:pPr>
        <w:spacing w:line="360" w:lineRule="auto"/>
        <w:jc w:val="both"/>
        <w:rPr>
          <w:rFonts w:ascii="Arial" w:hAnsi="Arial" w:cs="Arial"/>
          <w:sz w:val="24"/>
          <w:szCs w:val="24"/>
        </w:rPr>
      </w:pPr>
      <w:r>
        <w:rPr>
          <w:rFonts w:ascii="Arial" w:hAnsi="Arial" w:cs="Arial"/>
          <w:sz w:val="24"/>
          <w:szCs w:val="24"/>
        </w:rPr>
        <w:t>[9</w:t>
      </w:r>
      <w:r w:rsidR="00D46DBE">
        <w:rPr>
          <w:rFonts w:ascii="Arial" w:hAnsi="Arial" w:cs="Arial"/>
          <w:sz w:val="24"/>
          <w:szCs w:val="24"/>
        </w:rPr>
        <w:t>]</w:t>
      </w:r>
      <w:r w:rsidR="00D46DBE">
        <w:rPr>
          <w:rFonts w:ascii="Arial" w:hAnsi="Arial" w:cs="Arial"/>
          <w:sz w:val="24"/>
          <w:szCs w:val="24"/>
        </w:rPr>
        <w:tab/>
      </w:r>
      <w:r w:rsidR="000B4649">
        <w:rPr>
          <w:rFonts w:ascii="Arial" w:hAnsi="Arial" w:cs="Arial"/>
          <w:sz w:val="24"/>
          <w:szCs w:val="24"/>
        </w:rPr>
        <w:t>On 5 August 2011, the appellant was fetched by police officer Matali. Upon their arrival at erf 114, Hakahana, the appellant unlocked the door of the main house and then the door to the main bedroom, which by the way the appellant’s son in his testimony referred to as his father’s room.</w:t>
      </w:r>
      <w:r w:rsidR="006B4B88">
        <w:rPr>
          <w:rStyle w:val="FootnoteReference"/>
          <w:rFonts w:ascii="Arial" w:hAnsi="Arial" w:cs="Arial"/>
          <w:sz w:val="24"/>
          <w:szCs w:val="24"/>
        </w:rPr>
        <w:footnoteReference w:id="8"/>
      </w:r>
      <w:r w:rsidR="000B4649">
        <w:rPr>
          <w:rFonts w:ascii="Arial" w:hAnsi="Arial" w:cs="Arial"/>
          <w:sz w:val="24"/>
          <w:szCs w:val="24"/>
        </w:rPr>
        <w:t xml:space="preserve"> </w:t>
      </w:r>
      <w:r w:rsidR="008F2090">
        <w:rPr>
          <w:rFonts w:ascii="Arial" w:hAnsi="Arial" w:cs="Arial"/>
          <w:sz w:val="24"/>
          <w:szCs w:val="24"/>
        </w:rPr>
        <w:t xml:space="preserve">Officer Matali testified in the trial court that </w:t>
      </w:r>
      <w:r>
        <w:rPr>
          <w:rFonts w:ascii="Arial" w:hAnsi="Arial" w:cs="Arial"/>
          <w:sz w:val="24"/>
          <w:szCs w:val="24"/>
        </w:rPr>
        <w:t xml:space="preserve">when </w:t>
      </w:r>
      <w:r w:rsidR="008F2090">
        <w:rPr>
          <w:rFonts w:ascii="Arial" w:hAnsi="Arial" w:cs="Arial"/>
          <w:sz w:val="24"/>
          <w:szCs w:val="24"/>
        </w:rPr>
        <w:t>the door to the bedroom</w:t>
      </w:r>
      <w:r>
        <w:rPr>
          <w:rFonts w:ascii="Arial" w:hAnsi="Arial" w:cs="Arial"/>
          <w:sz w:val="24"/>
          <w:szCs w:val="24"/>
        </w:rPr>
        <w:t xml:space="preserve"> was opened</w:t>
      </w:r>
      <w:r w:rsidR="008F2090">
        <w:rPr>
          <w:rFonts w:ascii="Arial" w:hAnsi="Arial" w:cs="Arial"/>
          <w:sz w:val="24"/>
          <w:szCs w:val="24"/>
        </w:rPr>
        <w:t xml:space="preserve">, he noticed multi </w:t>
      </w:r>
      <w:r>
        <w:rPr>
          <w:rFonts w:ascii="Arial" w:hAnsi="Arial" w:cs="Arial"/>
          <w:sz w:val="24"/>
          <w:szCs w:val="24"/>
        </w:rPr>
        <w:t>colored</w:t>
      </w:r>
      <w:r w:rsidR="008F2090">
        <w:rPr>
          <w:rFonts w:ascii="Arial" w:hAnsi="Arial" w:cs="Arial"/>
          <w:sz w:val="24"/>
          <w:szCs w:val="24"/>
        </w:rPr>
        <w:t xml:space="preserve"> bags in the room and when he opened the bags he realized that these bags contained cannabis</w:t>
      </w:r>
      <w:r w:rsidR="00B13178">
        <w:rPr>
          <w:rFonts w:ascii="Arial" w:hAnsi="Arial" w:cs="Arial"/>
          <w:sz w:val="24"/>
          <w:szCs w:val="24"/>
        </w:rPr>
        <w:t>, which weighed</w:t>
      </w:r>
      <w:r w:rsidR="006B4B88">
        <w:rPr>
          <w:rFonts w:ascii="Arial" w:hAnsi="Arial" w:cs="Arial"/>
          <w:sz w:val="24"/>
          <w:szCs w:val="24"/>
        </w:rPr>
        <w:t xml:space="preserve"> 406 830 Kg and was worth N$ 1 220 490.00</w:t>
      </w:r>
      <w:r w:rsidR="008F2090">
        <w:rPr>
          <w:rFonts w:ascii="Arial" w:hAnsi="Arial" w:cs="Arial"/>
          <w:sz w:val="24"/>
          <w:szCs w:val="24"/>
        </w:rPr>
        <w:t xml:space="preserve">. The son of the appellant also testified to having assisted the police officers to carry these bags out of the room. Officer Matali enquired from the appellant, to whom the cannabis belonged, but the appellant only said that they should talk ‘man to man’. After his arrest, the appellant had applied for bail twice. At both these bail applications the appellant did not mention a brother nor the fact that the cannabis belonged to his brother. </w:t>
      </w:r>
    </w:p>
    <w:p w:rsidR="0021394E" w:rsidRDefault="00D01A73" w:rsidP="00E60EA5">
      <w:pPr>
        <w:spacing w:line="360" w:lineRule="auto"/>
        <w:jc w:val="both"/>
        <w:rPr>
          <w:rFonts w:ascii="Arial" w:hAnsi="Arial" w:cs="Arial"/>
          <w:sz w:val="24"/>
          <w:szCs w:val="24"/>
        </w:rPr>
      </w:pPr>
      <w:r>
        <w:rPr>
          <w:rFonts w:ascii="Arial" w:hAnsi="Arial" w:cs="Arial"/>
          <w:sz w:val="24"/>
          <w:szCs w:val="24"/>
        </w:rPr>
        <w:t>[10</w:t>
      </w:r>
      <w:r w:rsidR="0021394E">
        <w:rPr>
          <w:rFonts w:ascii="Arial" w:hAnsi="Arial" w:cs="Arial"/>
          <w:sz w:val="24"/>
          <w:szCs w:val="24"/>
        </w:rPr>
        <w:t>]</w:t>
      </w:r>
      <w:r w:rsidR="0021394E">
        <w:rPr>
          <w:rFonts w:ascii="Arial" w:hAnsi="Arial" w:cs="Arial"/>
          <w:sz w:val="24"/>
          <w:szCs w:val="24"/>
        </w:rPr>
        <w:tab/>
        <w:t>The appellant</w:t>
      </w:r>
      <w:r w:rsidR="008F2090">
        <w:rPr>
          <w:rFonts w:ascii="Arial" w:hAnsi="Arial" w:cs="Arial"/>
          <w:sz w:val="24"/>
          <w:szCs w:val="24"/>
        </w:rPr>
        <w:t xml:space="preserve"> also never disclosed to the police that the cannabis found at erf 114, Hakahana belonged to his brother. It was only during</w:t>
      </w:r>
      <w:r w:rsidR="0021394E">
        <w:rPr>
          <w:rFonts w:ascii="Arial" w:hAnsi="Arial" w:cs="Arial"/>
          <w:sz w:val="24"/>
          <w:szCs w:val="24"/>
        </w:rPr>
        <w:t xml:space="preserve"> the</w:t>
      </w:r>
      <w:r w:rsidR="008F2090">
        <w:rPr>
          <w:rFonts w:ascii="Arial" w:hAnsi="Arial" w:cs="Arial"/>
          <w:sz w:val="24"/>
          <w:szCs w:val="24"/>
        </w:rPr>
        <w:t xml:space="preserve"> trial that</w:t>
      </w:r>
      <w:r w:rsidR="0021394E">
        <w:rPr>
          <w:rFonts w:ascii="Arial" w:hAnsi="Arial" w:cs="Arial"/>
          <w:sz w:val="24"/>
          <w:szCs w:val="24"/>
        </w:rPr>
        <w:t xml:space="preserve"> this brother was mentioned, who</w:t>
      </w:r>
      <w:r w:rsidR="006B4B88">
        <w:rPr>
          <w:rFonts w:ascii="Arial" w:hAnsi="Arial" w:cs="Arial"/>
          <w:sz w:val="24"/>
          <w:szCs w:val="24"/>
        </w:rPr>
        <w:t xml:space="preserve"> </w:t>
      </w:r>
      <w:r w:rsidR="0021394E">
        <w:rPr>
          <w:rFonts w:ascii="Arial" w:hAnsi="Arial" w:cs="Arial"/>
          <w:sz w:val="24"/>
          <w:szCs w:val="24"/>
        </w:rPr>
        <w:t>conveniently</w:t>
      </w:r>
      <w:r w:rsidR="008F2090">
        <w:rPr>
          <w:rFonts w:ascii="Arial" w:hAnsi="Arial" w:cs="Arial"/>
          <w:sz w:val="24"/>
          <w:szCs w:val="24"/>
        </w:rPr>
        <w:t xml:space="preserve"> at that time </w:t>
      </w:r>
      <w:r w:rsidR="0021394E">
        <w:rPr>
          <w:rFonts w:ascii="Arial" w:hAnsi="Arial" w:cs="Arial"/>
          <w:sz w:val="24"/>
          <w:szCs w:val="24"/>
        </w:rPr>
        <w:t xml:space="preserve">was </w:t>
      </w:r>
      <w:r w:rsidR="006B4B88">
        <w:rPr>
          <w:rFonts w:ascii="Arial" w:hAnsi="Arial" w:cs="Arial"/>
          <w:sz w:val="24"/>
          <w:szCs w:val="24"/>
        </w:rPr>
        <w:t xml:space="preserve">already </w:t>
      </w:r>
      <w:r w:rsidR="008F2090">
        <w:rPr>
          <w:rFonts w:ascii="Arial" w:hAnsi="Arial" w:cs="Arial"/>
          <w:sz w:val="24"/>
          <w:szCs w:val="24"/>
        </w:rPr>
        <w:t>deceased. During their testimonies, the appellant’s witnesses clearly tried to divorce the appellant from any involvement with erf 114 and the cannabis found there. The appellant’s son testified that his father never returned to erf 114 since he left in 2000,</w:t>
      </w:r>
      <w:r w:rsidR="006B4B88">
        <w:rPr>
          <w:rStyle w:val="FootnoteReference"/>
          <w:rFonts w:ascii="Arial" w:hAnsi="Arial" w:cs="Arial"/>
          <w:sz w:val="24"/>
          <w:szCs w:val="24"/>
        </w:rPr>
        <w:footnoteReference w:id="9"/>
      </w:r>
      <w:r w:rsidR="008F2090">
        <w:rPr>
          <w:rFonts w:ascii="Arial" w:hAnsi="Arial" w:cs="Arial"/>
          <w:sz w:val="24"/>
          <w:szCs w:val="24"/>
        </w:rPr>
        <w:t xml:space="preserve"> whereas</w:t>
      </w:r>
      <w:r w:rsidR="006B4B88">
        <w:rPr>
          <w:rFonts w:ascii="Arial" w:hAnsi="Arial" w:cs="Arial"/>
          <w:sz w:val="24"/>
          <w:szCs w:val="24"/>
        </w:rPr>
        <w:t xml:space="preserve"> the appellant testified that the he would </w:t>
      </w:r>
      <w:r w:rsidR="006B4B88">
        <w:rPr>
          <w:rFonts w:ascii="Arial" w:hAnsi="Arial" w:cs="Arial"/>
          <w:sz w:val="24"/>
          <w:szCs w:val="24"/>
        </w:rPr>
        <w:lastRenderedPageBreak/>
        <w:t xml:space="preserve">usually </w:t>
      </w:r>
      <w:r w:rsidR="008F2090">
        <w:rPr>
          <w:rFonts w:ascii="Arial" w:hAnsi="Arial" w:cs="Arial"/>
          <w:sz w:val="24"/>
          <w:szCs w:val="24"/>
        </w:rPr>
        <w:t>drop off groceries at erf 114</w:t>
      </w:r>
      <w:r w:rsidR="00745C84">
        <w:rPr>
          <w:rFonts w:ascii="Arial" w:hAnsi="Arial" w:cs="Arial"/>
          <w:sz w:val="24"/>
          <w:szCs w:val="24"/>
        </w:rPr>
        <w:t xml:space="preserve"> for the children</w:t>
      </w:r>
      <w:r w:rsidR="008F2090">
        <w:rPr>
          <w:rFonts w:ascii="Arial" w:hAnsi="Arial" w:cs="Arial"/>
          <w:sz w:val="24"/>
          <w:szCs w:val="24"/>
        </w:rPr>
        <w:t xml:space="preserve">. </w:t>
      </w:r>
      <w:r w:rsidR="006B4B88">
        <w:rPr>
          <w:rFonts w:ascii="Arial" w:hAnsi="Arial" w:cs="Arial"/>
          <w:sz w:val="24"/>
          <w:szCs w:val="24"/>
        </w:rPr>
        <w:t>Furthermore, the appellant’s colleague Mr. Nuhonja testified that, only he and the appellant lived at erf 290, Hakahana, whereas the appellant testified that he lived at that address with his wife and children.</w:t>
      </w:r>
      <w:r w:rsidR="006B4B88">
        <w:rPr>
          <w:rStyle w:val="FootnoteReference"/>
          <w:rFonts w:ascii="Arial" w:hAnsi="Arial" w:cs="Arial"/>
          <w:sz w:val="24"/>
          <w:szCs w:val="24"/>
        </w:rPr>
        <w:footnoteReference w:id="10"/>
      </w:r>
      <w:r w:rsidR="006B4B88">
        <w:rPr>
          <w:rFonts w:ascii="Arial" w:hAnsi="Arial" w:cs="Arial"/>
          <w:sz w:val="24"/>
          <w:szCs w:val="24"/>
        </w:rPr>
        <w:t xml:space="preserve">  If indeed the appellant lived at erf 290, one would expect that both the appellant and </w:t>
      </w:r>
      <w:r w:rsidR="007B19B1">
        <w:rPr>
          <w:rFonts w:ascii="Arial" w:hAnsi="Arial" w:cs="Arial"/>
          <w:sz w:val="24"/>
          <w:szCs w:val="24"/>
        </w:rPr>
        <w:t xml:space="preserve">Mr. </w:t>
      </w:r>
      <w:r w:rsidR="006B4B88">
        <w:rPr>
          <w:rFonts w:ascii="Arial" w:hAnsi="Arial" w:cs="Arial"/>
          <w:sz w:val="24"/>
          <w:szCs w:val="24"/>
        </w:rPr>
        <w:t xml:space="preserve">Nuhonja would give the same account of all the people who reside there with them. </w:t>
      </w:r>
      <w:r w:rsidR="0021394E">
        <w:rPr>
          <w:rFonts w:ascii="Arial" w:hAnsi="Arial" w:cs="Arial"/>
          <w:sz w:val="24"/>
          <w:szCs w:val="24"/>
        </w:rPr>
        <w:t xml:space="preserve">This was not the case. </w:t>
      </w:r>
    </w:p>
    <w:p w:rsidR="00E60EA5" w:rsidRDefault="0021394E" w:rsidP="00E60EA5">
      <w:pPr>
        <w:spacing w:line="360" w:lineRule="auto"/>
        <w:jc w:val="both"/>
        <w:rPr>
          <w:rFonts w:ascii="Arial" w:hAnsi="Arial" w:cs="Arial"/>
          <w:sz w:val="24"/>
          <w:szCs w:val="24"/>
        </w:rPr>
      </w:pPr>
      <w:r>
        <w:rPr>
          <w:rFonts w:ascii="Arial" w:hAnsi="Arial" w:cs="Arial"/>
          <w:sz w:val="24"/>
          <w:szCs w:val="24"/>
        </w:rPr>
        <w:t>[1</w:t>
      </w:r>
      <w:r w:rsidR="00D01A73">
        <w:rPr>
          <w:rFonts w:ascii="Arial" w:hAnsi="Arial" w:cs="Arial"/>
          <w:sz w:val="24"/>
          <w:szCs w:val="24"/>
        </w:rPr>
        <w:t>1</w:t>
      </w:r>
      <w:r>
        <w:rPr>
          <w:rFonts w:ascii="Arial" w:hAnsi="Arial" w:cs="Arial"/>
          <w:sz w:val="24"/>
          <w:szCs w:val="24"/>
        </w:rPr>
        <w:t>]</w:t>
      </w:r>
      <w:r>
        <w:rPr>
          <w:rFonts w:ascii="Arial" w:hAnsi="Arial" w:cs="Arial"/>
          <w:sz w:val="24"/>
          <w:szCs w:val="24"/>
        </w:rPr>
        <w:tab/>
        <w:t>Considering the contradictions in the appellant’s case, the fact that the appellant only raised the issue that the cannabis belonged to his brother (wh</w:t>
      </w:r>
      <w:r w:rsidR="007B19B1">
        <w:rPr>
          <w:rFonts w:ascii="Arial" w:hAnsi="Arial" w:cs="Arial"/>
          <w:sz w:val="24"/>
          <w:szCs w:val="24"/>
        </w:rPr>
        <w:t>o is now deceased) after the brother’s demise</w:t>
      </w:r>
      <w:r w:rsidR="001F50B3">
        <w:rPr>
          <w:rFonts w:ascii="Arial" w:hAnsi="Arial" w:cs="Arial"/>
          <w:sz w:val="24"/>
          <w:szCs w:val="24"/>
        </w:rPr>
        <w:t>,</w:t>
      </w:r>
      <w:r w:rsidR="007B19B1">
        <w:rPr>
          <w:rFonts w:ascii="Arial" w:hAnsi="Arial" w:cs="Arial"/>
          <w:sz w:val="24"/>
          <w:szCs w:val="24"/>
        </w:rPr>
        <w:t xml:space="preserve"> </w:t>
      </w:r>
      <w:r>
        <w:rPr>
          <w:rFonts w:ascii="Arial" w:hAnsi="Arial" w:cs="Arial"/>
          <w:sz w:val="24"/>
          <w:szCs w:val="24"/>
        </w:rPr>
        <w:t xml:space="preserve">the weight and value of the cannabis found at erf 114, the trial court convicted the appellant of dealing in potentially dangerous dependence producing substances and subsequently sentenced him to twelve years </w:t>
      </w:r>
      <w:r w:rsidR="001F50B3">
        <w:rPr>
          <w:rFonts w:ascii="Arial" w:hAnsi="Arial" w:cs="Arial"/>
          <w:sz w:val="24"/>
          <w:szCs w:val="24"/>
        </w:rPr>
        <w:t xml:space="preserve">imprisonment </w:t>
      </w:r>
      <w:r>
        <w:rPr>
          <w:rFonts w:ascii="Arial" w:hAnsi="Arial" w:cs="Arial"/>
          <w:sz w:val="24"/>
          <w:szCs w:val="24"/>
        </w:rPr>
        <w:t xml:space="preserve">of which four years were </w:t>
      </w:r>
      <w:r w:rsidR="00745C84">
        <w:rPr>
          <w:rFonts w:ascii="Arial" w:hAnsi="Arial" w:cs="Arial"/>
          <w:sz w:val="24"/>
          <w:szCs w:val="24"/>
        </w:rPr>
        <w:t xml:space="preserve">conditionally </w:t>
      </w:r>
      <w:r>
        <w:rPr>
          <w:rFonts w:ascii="Arial" w:hAnsi="Arial" w:cs="Arial"/>
          <w:sz w:val="24"/>
          <w:szCs w:val="24"/>
        </w:rPr>
        <w:t>suspended as no previous convictions were proven against the appellant at the time.</w:t>
      </w:r>
    </w:p>
    <w:p w:rsidR="000953CD" w:rsidRDefault="00D01A73" w:rsidP="00E80076">
      <w:pPr>
        <w:spacing w:line="360" w:lineRule="auto"/>
        <w:jc w:val="both"/>
        <w:rPr>
          <w:rFonts w:ascii="Arial" w:hAnsi="Arial" w:cs="Arial"/>
          <w:sz w:val="24"/>
          <w:szCs w:val="24"/>
        </w:rPr>
      </w:pPr>
      <w:r>
        <w:rPr>
          <w:rFonts w:ascii="Arial" w:hAnsi="Arial" w:cs="Arial"/>
          <w:sz w:val="24"/>
          <w:szCs w:val="24"/>
        </w:rPr>
        <w:t>[12</w:t>
      </w:r>
      <w:r w:rsidR="0021394E">
        <w:rPr>
          <w:rFonts w:ascii="Arial" w:hAnsi="Arial" w:cs="Arial"/>
          <w:sz w:val="24"/>
          <w:szCs w:val="24"/>
        </w:rPr>
        <w:t>]</w:t>
      </w:r>
      <w:r w:rsidR="0021394E">
        <w:rPr>
          <w:rFonts w:ascii="Arial" w:hAnsi="Arial" w:cs="Arial"/>
          <w:sz w:val="24"/>
          <w:szCs w:val="24"/>
        </w:rPr>
        <w:tab/>
      </w:r>
      <w:r w:rsidR="003A5DCC">
        <w:rPr>
          <w:rFonts w:ascii="Arial" w:hAnsi="Arial" w:cs="Arial"/>
          <w:sz w:val="24"/>
          <w:szCs w:val="24"/>
        </w:rPr>
        <w:t xml:space="preserve">Throughout the </w:t>
      </w:r>
      <w:r w:rsidR="00745C84">
        <w:rPr>
          <w:rFonts w:ascii="Arial" w:hAnsi="Arial" w:cs="Arial"/>
          <w:sz w:val="24"/>
          <w:szCs w:val="24"/>
        </w:rPr>
        <w:t xml:space="preserve">whole </w:t>
      </w:r>
      <w:r w:rsidR="003A5DCC">
        <w:rPr>
          <w:rFonts w:ascii="Arial" w:hAnsi="Arial" w:cs="Arial"/>
          <w:sz w:val="24"/>
          <w:szCs w:val="24"/>
        </w:rPr>
        <w:t>ordeal of being fetched at hi</w:t>
      </w:r>
      <w:r w:rsidR="000063C8">
        <w:rPr>
          <w:rFonts w:ascii="Arial" w:hAnsi="Arial" w:cs="Arial"/>
          <w:sz w:val="24"/>
          <w:szCs w:val="24"/>
        </w:rPr>
        <w:t>s place of employment by a police officer</w:t>
      </w:r>
      <w:r w:rsidR="003A5DCC">
        <w:rPr>
          <w:rFonts w:ascii="Arial" w:hAnsi="Arial" w:cs="Arial"/>
          <w:sz w:val="24"/>
          <w:szCs w:val="24"/>
        </w:rPr>
        <w:t>, going to the house which is registered in his name and witnessing the police find cannabis in that house, the appellant not ones told the police officers that the cannabis was not his and that he in fact does not live at that house. A person who has no knowledge of a crimi</w:t>
      </w:r>
      <w:r w:rsidR="000063C8">
        <w:rPr>
          <w:rFonts w:ascii="Arial" w:hAnsi="Arial" w:cs="Arial"/>
          <w:sz w:val="24"/>
          <w:szCs w:val="24"/>
        </w:rPr>
        <w:t>nal act which if he was implicated</w:t>
      </w:r>
      <w:r w:rsidR="003A5DCC">
        <w:rPr>
          <w:rFonts w:ascii="Arial" w:hAnsi="Arial" w:cs="Arial"/>
          <w:sz w:val="24"/>
          <w:szCs w:val="24"/>
        </w:rPr>
        <w:t xml:space="preserve"> in it would cause him to los</w:t>
      </w:r>
      <w:r w:rsidR="00745C84">
        <w:rPr>
          <w:rFonts w:ascii="Arial" w:hAnsi="Arial" w:cs="Arial"/>
          <w:sz w:val="24"/>
          <w:szCs w:val="24"/>
        </w:rPr>
        <w:t>e his employment, get a</w:t>
      </w:r>
      <w:r w:rsidR="003A5DCC">
        <w:rPr>
          <w:rFonts w:ascii="Arial" w:hAnsi="Arial" w:cs="Arial"/>
          <w:sz w:val="24"/>
          <w:szCs w:val="24"/>
        </w:rPr>
        <w:t xml:space="preserve"> criminal record and even </w:t>
      </w:r>
      <w:r w:rsidR="00745C84">
        <w:rPr>
          <w:rFonts w:ascii="Arial" w:hAnsi="Arial" w:cs="Arial"/>
          <w:sz w:val="24"/>
          <w:szCs w:val="24"/>
        </w:rPr>
        <w:t xml:space="preserve">subject him to </w:t>
      </w:r>
      <w:r w:rsidR="003A5DCC">
        <w:rPr>
          <w:rFonts w:ascii="Arial" w:hAnsi="Arial" w:cs="Arial"/>
          <w:sz w:val="24"/>
          <w:szCs w:val="24"/>
        </w:rPr>
        <w:t>incarceration would not be slow to point out that he does not live at the house in ques</w:t>
      </w:r>
      <w:r w:rsidR="00745C84">
        <w:rPr>
          <w:rFonts w:ascii="Arial" w:hAnsi="Arial" w:cs="Arial"/>
          <w:sz w:val="24"/>
          <w:szCs w:val="24"/>
        </w:rPr>
        <w:t>tion and that someone else lives</w:t>
      </w:r>
      <w:r w:rsidR="003A5DCC">
        <w:rPr>
          <w:rFonts w:ascii="Arial" w:hAnsi="Arial" w:cs="Arial"/>
          <w:sz w:val="24"/>
          <w:szCs w:val="24"/>
        </w:rPr>
        <w:t xml:space="preserve"> there. The appellant failed to inform the police the moment the cannabis was discovered that it was not his and could be his brother’</w:t>
      </w:r>
      <w:r w:rsidR="00745C84">
        <w:rPr>
          <w:rFonts w:ascii="Arial" w:hAnsi="Arial" w:cs="Arial"/>
          <w:sz w:val="24"/>
          <w:szCs w:val="24"/>
        </w:rPr>
        <w:t>s</w:t>
      </w:r>
      <w:r w:rsidR="003A5DCC">
        <w:rPr>
          <w:rFonts w:ascii="Arial" w:hAnsi="Arial" w:cs="Arial"/>
          <w:sz w:val="24"/>
          <w:szCs w:val="24"/>
        </w:rPr>
        <w:t xml:space="preserve">. </w:t>
      </w:r>
      <w:r w:rsidR="000953CD">
        <w:rPr>
          <w:rFonts w:ascii="Arial" w:hAnsi="Arial" w:cs="Arial"/>
          <w:sz w:val="24"/>
          <w:szCs w:val="24"/>
        </w:rPr>
        <w:t xml:space="preserve">Even if his silence </w:t>
      </w:r>
      <w:r w:rsidR="00A52A6C">
        <w:rPr>
          <w:rFonts w:ascii="Arial" w:hAnsi="Arial" w:cs="Arial"/>
          <w:sz w:val="24"/>
          <w:szCs w:val="24"/>
        </w:rPr>
        <w:t xml:space="preserve">during the first bail application </w:t>
      </w:r>
      <w:r w:rsidR="000953CD">
        <w:rPr>
          <w:rFonts w:ascii="Arial" w:hAnsi="Arial" w:cs="Arial"/>
          <w:sz w:val="24"/>
          <w:szCs w:val="24"/>
        </w:rPr>
        <w:t xml:space="preserve">was owing to sibling loyalty, </w:t>
      </w:r>
      <w:r w:rsidR="00B13178">
        <w:rPr>
          <w:rFonts w:ascii="Arial" w:hAnsi="Arial" w:cs="Arial"/>
          <w:sz w:val="24"/>
          <w:szCs w:val="24"/>
        </w:rPr>
        <w:t>this court is in agreement with</w:t>
      </w:r>
      <w:r w:rsidR="00A52A6C">
        <w:rPr>
          <w:rFonts w:ascii="Arial" w:hAnsi="Arial" w:cs="Arial"/>
          <w:sz w:val="24"/>
          <w:szCs w:val="24"/>
        </w:rPr>
        <w:t xml:space="preserve"> </w:t>
      </w:r>
      <w:r w:rsidR="000953CD">
        <w:rPr>
          <w:rFonts w:ascii="Arial" w:hAnsi="Arial" w:cs="Arial"/>
          <w:sz w:val="24"/>
          <w:szCs w:val="24"/>
        </w:rPr>
        <w:t>counsel for the respondent in that, according to the death certificate the appellant’</w:t>
      </w:r>
      <w:r w:rsidR="00A52A6C">
        <w:rPr>
          <w:rFonts w:ascii="Arial" w:hAnsi="Arial" w:cs="Arial"/>
          <w:sz w:val="24"/>
          <w:szCs w:val="24"/>
        </w:rPr>
        <w:t>s brother was already deceased when the second bail application took place, the appellant’s silence at this subsequent bail application cannot thus be attributed to sibling loyalty. This court cannot therefore fault the conviction by the trial court.</w:t>
      </w:r>
    </w:p>
    <w:p w:rsidR="001F50B3" w:rsidRDefault="001F50B3" w:rsidP="00E80076">
      <w:pPr>
        <w:spacing w:line="360" w:lineRule="auto"/>
        <w:jc w:val="both"/>
        <w:rPr>
          <w:rFonts w:ascii="Arial" w:hAnsi="Arial" w:cs="Arial"/>
          <w:sz w:val="24"/>
          <w:szCs w:val="24"/>
        </w:rPr>
      </w:pPr>
    </w:p>
    <w:p w:rsidR="00D01A73" w:rsidRDefault="00D01A73" w:rsidP="00D01A73">
      <w:pPr>
        <w:spacing w:line="360" w:lineRule="auto"/>
        <w:jc w:val="both"/>
        <w:rPr>
          <w:rFonts w:ascii="Arial" w:hAnsi="Arial" w:cs="Arial"/>
          <w:sz w:val="24"/>
          <w:szCs w:val="24"/>
          <w:u w:val="single"/>
        </w:rPr>
      </w:pPr>
      <w:r>
        <w:rPr>
          <w:rFonts w:ascii="Arial" w:hAnsi="Arial" w:cs="Arial"/>
          <w:sz w:val="24"/>
          <w:szCs w:val="24"/>
          <w:u w:val="single"/>
        </w:rPr>
        <w:lastRenderedPageBreak/>
        <w:t>Submissions relevant to the appeal against the sentence</w:t>
      </w:r>
    </w:p>
    <w:p w:rsidR="00D01A73" w:rsidRPr="00D46DBE" w:rsidRDefault="00D01A73" w:rsidP="00D01A73">
      <w:pPr>
        <w:spacing w:line="360" w:lineRule="auto"/>
        <w:jc w:val="both"/>
        <w:rPr>
          <w:rFonts w:ascii="Arial" w:hAnsi="Arial" w:cs="Arial"/>
          <w:i/>
          <w:sz w:val="24"/>
          <w:szCs w:val="24"/>
        </w:rPr>
      </w:pPr>
      <w:r w:rsidRPr="00D46DBE">
        <w:rPr>
          <w:rFonts w:ascii="Arial" w:hAnsi="Arial" w:cs="Arial"/>
          <w:i/>
          <w:sz w:val="24"/>
          <w:szCs w:val="24"/>
        </w:rPr>
        <w:t>The Appellant</w:t>
      </w:r>
    </w:p>
    <w:p w:rsidR="00D01A73" w:rsidRDefault="00D01A73" w:rsidP="00D01A73">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Regarding the appeal against the sentence, the appellant submitted that he had been in custody awaiting trial for four years and when he was sentenced, he was sentenced to twelve years of which four years were conditionally suspended. He is desirous of having this custodial sentence set aside and replaced with either a fine or a suspended sentence. </w:t>
      </w:r>
    </w:p>
    <w:p w:rsidR="00D01A73" w:rsidRPr="00D46DBE" w:rsidRDefault="00D01A73" w:rsidP="00D01A73">
      <w:pPr>
        <w:spacing w:line="360" w:lineRule="auto"/>
        <w:jc w:val="both"/>
        <w:rPr>
          <w:rFonts w:ascii="Arial" w:hAnsi="Arial" w:cs="Arial"/>
          <w:i/>
          <w:sz w:val="24"/>
          <w:szCs w:val="24"/>
        </w:rPr>
      </w:pPr>
      <w:r>
        <w:rPr>
          <w:rFonts w:ascii="Arial" w:hAnsi="Arial" w:cs="Arial"/>
          <w:i/>
          <w:sz w:val="24"/>
          <w:szCs w:val="24"/>
        </w:rPr>
        <w:t>Counsel for the</w:t>
      </w:r>
      <w:r w:rsidRPr="00D46DBE">
        <w:rPr>
          <w:rFonts w:ascii="Arial" w:hAnsi="Arial" w:cs="Arial"/>
          <w:i/>
          <w:sz w:val="24"/>
          <w:szCs w:val="24"/>
        </w:rPr>
        <w:t xml:space="preserve"> Respondent</w:t>
      </w:r>
    </w:p>
    <w:p w:rsidR="00D01A73" w:rsidRDefault="00D01A73" w:rsidP="00E80076">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Regarding the sentence, it was counsel’s argument that if the trial court erred in its sentence, it erred on the side of leniency, considering similar cases of dealing in cannabis where the quantity of the cannabis was lesser than the quantity of the cannabis in this case.</w:t>
      </w:r>
    </w:p>
    <w:p w:rsidR="00A52A6C" w:rsidRPr="00A52A6C" w:rsidRDefault="00A52A6C" w:rsidP="00E80076">
      <w:pPr>
        <w:spacing w:line="360" w:lineRule="auto"/>
        <w:jc w:val="both"/>
        <w:rPr>
          <w:rFonts w:ascii="Arial" w:hAnsi="Arial" w:cs="Arial"/>
          <w:sz w:val="24"/>
          <w:szCs w:val="24"/>
          <w:u w:val="single"/>
        </w:rPr>
      </w:pPr>
      <w:r w:rsidRPr="00A52A6C">
        <w:rPr>
          <w:rFonts w:ascii="Arial" w:hAnsi="Arial" w:cs="Arial"/>
          <w:sz w:val="24"/>
          <w:szCs w:val="24"/>
          <w:u w:val="single"/>
        </w:rPr>
        <w:t>The appeal against the sentence</w:t>
      </w:r>
    </w:p>
    <w:p w:rsidR="006169C8" w:rsidRDefault="00A52A6C" w:rsidP="00E80076">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169C8">
        <w:rPr>
          <w:rFonts w:ascii="Arial" w:hAnsi="Arial" w:cs="Arial"/>
          <w:sz w:val="24"/>
          <w:szCs w:val="24"/>
        </w:rPr>
        <w:t xml:space="preserve">A court of appeal has limited power to interfere with the sentencing discretion of the trial court. The court of appeal may only interfere with this discretion in following circumstances: </w:t>
      </w:r>
    </w:p>
    <w:p w:rsidR="006169C8" w:rsidRPr="001F50B3" w:rsidRDefault="006169C8" w:rsidP="001F50B3">
      <w:pPr>
        <w:pStyle w:val="ListParagraph"/>
        <w:numPr>
          <w:ilvl w:val="0"/>
          <w:numId w:val="2"/>
        </w:numPr>
        <w:spacing w:line="360" w:lineRule="auto"/>
        <w:ind w:left="1170" w:hanging="1170"/>
        <w:jc w:val="both"/>
        <w:rPr>
          <w:rFonts w:ascii="Arial" w:hAnsi="Arial" w:cs="Arial"/>
        </w:rPr>
      </w:pPr>
      <w:r w:rsidRPr="001F50B3">
        <w:rPr>
          <w:rFonts w:ascii="Arial" w:hAnsi="Arial" w:cs="Arial"/>
        </w:rPr>
        <w:t xml:space="preserve">‘when there was a material irregularity; or </w:t>
      </w:r>
    </w:p>
    <w:p w:rsidR="006169C8" w:rsidRPr="006169C8" w:rsidRDefault="006169C8" w:rsidP="001F50B3">
      <w:pPr>
        <w:pStyle w:val="ListParagraph"/>
        <w:numPr>
          <w:ilvl w:val="0"/>
          <w:numId w:val="2"/>
        </w:numPr>
        <w:spacing w:line="360" w:lineRule="auto"/>
        <w:ind w:left="1170" w:hanging="1170"/>
        <w:jc w:val="both"/>
        <w:rPr>
          <w:rFonts w:ascii="Arial" w:hAnsi="Arial" w:cs="Arial"/>
        </w:rPr>
      </w:pPr>
      <w:r w:rsidRPr="006169C8">
        <w:rPr>
          <w:rFonts w:ascii="Arial" w:hAnsi="Arial" w:cs="Arial"/>
        </w:rPr>
        <w:t>a material misdirection on the facts or on the law; or</w:t>
      </w:r>
    </w:p>
    <w:p w:rsidR="006169C8" w:rsidRPr="006169C8" w:rsidRDefault="006169C8" w:rsidP="001F50B3">
      <w:pPr>
        <w:pStyle w:val="ListParagraph"/>
        <w:numPr>
          <w:ilvl w:val="0"/>
          <w:numId w:val="2"/>
        </w:numPr>
        <w:spacing w:line="360" w:lineRule="auto"/>
        <w:ind w:left="1170" w:hanging="1170"/>
        <w:jc w:val="both"/>
        <w:rPr>
          <w:rFonts w:ascii="Arial" w:hAnsi="Arial" w:cs="Arial"/>
        </w:rPr>
      </w:pPr>
      <w:r w:rsidRPr="006169C8">
        <w:rPr>
          <w:rFonts w:ascii="Arial" w:hAnsi="Arial" w:cs="Arial"/>
        </w:rPr>
        <w:t>where the sentence was startlingly inappropriate;</w:t>
      </w:r>
      <w:r w:rsidR="005D77F2">
        <w:rPr>
          <w:rFonts w:ascii="Arial" w:hAnsi="Arial" w:cs="Arial"/>
        </w:rPr>
        <w:t>or</w:t>
      </w:r>
    </w:p>
    <w:p w:rsidR="006169C8" w:rsidRPr="006169C8" w:rsidRDefault="006169C8" w:rsidP="001F50B3">
      <w:pPr>
        <w:pStyle w:val="ListParagraph"/>
        <w:numPr>
          <w:ilvl w:val="0"/>
          <w:numId w:val="2"/>
        </w:numPr>
        <w:spacing w:line="360" w:lineRule="auto"/>
        <w:ind w:left="1170" w:hanging="1170"/>
        <w:jc w:val="both"/>
        <w:rPr>
          <w:rFonts w:ascii="Arial" w:hAnsi="Arial" w:cs="Arial"/>
        </w:rPr>
      </w:pPr>
      <w:r w:rsidRPr="006169C8">
        <w:rPr>
          <w:rFonts w:ascii="Arial" w:hAnsi="Arial" w:cs="Arial"/>
        </w:rPr>
        <w:t xml:space="preserve"> induced a sense of shock; or</w:t>
      </w:r>
    </w:p>
    <w:p w:rsidR="006169C8" w:rsidRPr="006169C8" w:rsidRDefault="006169C8" w:rsidP="001F50B3">
      <w:pPr>
        <w:pStyle w:val="ListParagraph"/>
        <w:numPr>
          <w:ilvl w:val="0"/>
          <w:numId w:val="2"/>
        </w:numPr>
        <w:spacing w:line="360" w:lineRule="auto"/>
        <w:ind w:left="1170" w:hanging="1170"/>
        <w:jc w:val="both"/>
        <w:rPr>
          <w:rFonts w:ascii="Arial" w:hAnsi="Arial" w:cs="Arial"/>
        </w:rPr>
      </w:pPr>
      <w:r w:rsidRPr="006169C8">
        <w:rPr>
          <w:rFonts w:ascii="Arial" w:hAnsi="Arial" w:cs="Arial"/>
        </w:rPr>
        <w:t>was such that a striking disparity exists between the sentence imposed by the trial Court and that which the Court of appeal would have imposed had it sat in first instance in that;</w:t>
      </w:r>
    </w:p>
    <w:p w:rsidR="006169C8" w:rsidRPr="006169C8" w:rsidRDefault="006169C8" w:rsidP="001F50B3">
      <w:pPr>
        <w:pStyle w:val="ListParagraph"/>
        <w:numPr>
          <w:ilvl w:val="0"/>
          <w:numId w:val="2"/>
        </w:numPr>
        <w:spacing w:line="360" w:lineRule="auto"/>
        <w:ind w:left="1080" w:hanging="1080"/>
        <w:jc w:val="both"/>
        <w:rPr>
          <w:rFonts w:ascii="Arial" w:hAnsi="Arial" w:cs="Arial"/>
          <w:sz w:val="24"/>
          <w:szCs w:val="24"/>
        </w:rPr>
      </w:pPr>
      <w:r w:rsidRPr="006169C8">
        <w:rPr>
          <w:rFonts w:ascii="Arial" w:hAnsi="Arial" w:cs="Arial"/>
        </w:rPr>
        <w:t xml:space="preserve"> </w:t>
      </w:r>
      <w:r w:rsidR="00C3674B" w:rsidRPr="006169C8">
        <w:rPr>
          <w:rFonts w:ascii="Arial" w:hAnsi="Arial" w:cs="Arial"/>
        </w:rPr>
        <w:t>Irrelevant</w:t>
      </w:r>
      <w:r w:rsidRPr="006169C8">
        <w:rPr>
          <w:rFonts w:ascii="Arial" w:hAnsi="Arial" w:cs="Arial"/>
        </w:rPr>
        <w:t xml:space="preserve"> factors were considered and when the court </w:t>
      </w:r>
      <w:r w:rsidRPr="006169C8">
        <w:rPr>
          <w:rFonts w:ascii="Arial" w:hAnsi="Arial" w:cs="Arial"/>
          <w:i/>
        </w:rPr>
        <w:t xml:space="preserve">a quo </w:t>
      </w:r>
      <w:r w:rsidRPr="006169C8">
        <w:rPr>
          <w:rFonts w:ascii="Arial" w:hAnsi="Arial" w:cs="Arial"/>
        </w:rPr>
        <w:t xml:space="preserve">failed to consider relevant </w:t>
      </w:r>
      <w:r w:rsidR="001F50B3">
        <w:rPr>
          <w:rFonts w:ascii="Arial" w:hAnsi="Arial" w:cs="Arial"/>
        </w:rPr>
        <w:t xml:space="preserve">  </w:t>
      </w:r>
      <w:r w:rsidRPr="006169C8">
        <w:rPr>
          <w:rFonts w:ascii="Arial" w:hAnsi="Arial" w:cs="Arial"/>
        </w:rPr>
        <w:t>factors</w:t>
      </w:r>
      <w:r>
        <w:rPr>
          <w:rFonts w:ascii="Arial" w:hAnsi="Arial" w:cs="Arial"/>
          <w:sz w:val="24"/>
          <w:szCs w:val="24"/>
        </w:rPr>
        <w:t>.’</w:t>
      </w:r>
      <w:r>
        <w:rPr>
          <w:rStyle w:val="FootnoteReference"/>
          <w:rFonts w:ascii="Arial" w:hAnsi="Arial" w:cs="Arial"/>
          <w:sz w:val="24"/>
          <w:szCs w:val="24"/>
        </w:rPr>
        <w:footnoteReference w:id="11"/>
      </w:r>
      <w:r>
        <w:rPr>
          <w:rFonts w:ascii="Arial" w:hAnsi="Arial" w:cs="Arial"/>
          <w:sz w:val="24"/>
          <w:szCs w:val="24"/>
        </w:rPr>
        <w:t xml:space="preserve"> </w:t>
      </w:r>
    </w:p>
    <w:p w:rsidR="00CA2E88" w:rsidRDefault="006169C8" w:rsidP="00E80076">
      <w:pPr>
        <w:spacing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t>The penalty clause s 2(i)</w:t>
      </w:r>
      <w:r w:rsidR="00745C84">
        <w:rPr>
          <w:rFonts w:ascii="Arial" w:hAnsi="Arial" w:cs="Arial"/>
          <w:sz w:val="24"/>
          <w:szCs w:val="24"/>
        </w:rPr>
        <w:t xml:space="preserve"> of </w:t>
      </w:r>
      <w:r w:rsidR="001F50B3">
        <w:rPr>
          <w:rFonts w:ascii="Arial" w:hAnsi="Arial" w:cs="Arial"/>
          <w:sz w:val="24"/>
          <w:szCs w:val="24"/>
        </w:rPr>
        <w:t>the Act</w:t>
      </w:r>
      <w:r w:rsidR="00745C84">
        <w:rPr>
          <w:rFonts w:ascii="Arial" w:hAnsi="Arial" w:cs="Arial"/>
          <w:sz w:val="24"/>
          <w:szCs w:val="24"/>
        </w:rPr>
        <w:t>,</w:t>
      </w:r>
      <w:r w:rsidR="00745C84">
        <w:rPr>
          <w:rStyle w:val="FootnoteReference"/>
          <w:rFonts w:ascii="Arial" w:hAnsi="Arial" w:cs="Arial"/>
          <w:sz w:val="24"/>
          <w:szCs w:val="24"/>
        </w:rPr>
        <w:footnoteReference w:id="12"/>
      </w:r>
      <w:r w:rsidR="00745C84">
        <w:rPr>
          <w:rFonts w:ascii="Arial" w:hAnsi="Arial" w:cs="Arial"/>
          <w:sz w:val="24"/>
          <w:szCs w:val="24"/>
        </w:rPr>
        <w:t xml:space="preserve"> </w:t>
      </w:r>
      <w:r w:rsidR="001F50B3">
        <w:rPr>
          <w:rFonts w:ascii="Arial" w:hAnsi="Arial" w:cs="Arial"/>
          <w:sz w:val="24"/>
          <w:szCs w:val="24"/>
        </w:rPr>
        <w:t>provides that</w:t>
      </w:r>
      <w:r w:rsidR="001F50B3">
        <w:rPr>
          <w:rFonts w:ascii="Arial" w:hAnsi="Arial" w:cs="Arial"/>
          <w:sz w:val="24"/>
          <w:szCs w:val="24"/>
        </w:rPr>
        <w:tab/>
      </w:r>
      <w:r>
        <w:rPr>
          <w:rFonts w:ascii="Arial" w:hAnsi="Arial" w:cs="Arial"/>
          <w:sz w:val="24"/>
          <w:szCs w:val="24"/>
        </w:rPr>
        <w:t>‘</w:t>
      </w:r>
      <w:r w:rsidRPr="006169C8">
        <w:rPr>
          <w:rFonts w:ascii="Arial" w:hAnsi="Arial" w:cs="Arial"/>
        </w:rPr>
        <w:t>in the case of a first conviction for a contravention of any provision of paragraph (a) or (c), to a fine not exceeding thirty thousand rands or to imprisonment for a period not exceeding 15 years or to both such fine and such imprisonment</w:t>
      </w:r>
      <w:r>
        <w:rPr>
          <w:rFonts w:ascii="Arial" w:hAnsi="Arial" w:cs="Arial"/>
        </w:rPr>
        <w:t>.</w:t>
      </w:r>
      <w:r>
        <w:rPr>
          <w:rFonts w:ascii="Arial" w:hAnsi="Arial" w:cs="Arial"/>
          <w:sz w:val="24"/>
          <w:szCs w:val="24"/>
        </w:rPr>
        <w:t>’ The fact that this clause provides that the court may impose a fine, does not mean that a fine should necessarily be imposed in all case</w:t>
      </w:r>
      <w:r w:rsidR="00954540">
        <w:rPr>
          <w:rFonts w:ascii="Arial" w:hAnsi="Arial" w:cs="Arial"/>
          <w:sz w:val="24"/>
          <w:szCs w:val="24"/>
        </w:rPr>
        <w:t>s</w:t>
      </w:r>
      <w:r>
        <w:rPr>
          <w:rFonts w:ascii="Arial" w:hAnsi="Arial" w:cs="Arial"/>
          <w:sz w:val="24"/>
          <w:szCs w:val="24"/>
        </w:rPr>
        <w:t>.</w:t>
      </w:r>
      <w:r>
        <w:rPr>
          <w:rStyle w:val="FootnoteReference"/>
          <w:rFonts w:ascii="Arial" w:hAnsi="Arial" w:cs="Arial"/>
          <w:sz w:val="24"/>
          <w:szCs w:val="24"/>
        </w:rPr>
        <w:footnoteReference w:id="13"/>
      </w:r>
      <w:r w:rsidR="004366E3">
        <w:rPr>
          <w:rFonts w:ascii="Arial" w:hAnsi="Arial" w:cs="Arial"/>
          <w:sz w:val="24"/>
          <w:szCs w:val="24"/>
        </w:rPr>
        <w:t xml:space="preserve"> Furthermore, the offence of dealing in cannabis is a serious one and</w:t>
      </w:r>
      <w:r w:rsidR="00F07FE1">
        <w:rPr>
          <w:rFonts w:ascii="Arial" w:hAnsi="Arial" w:cs="Arial"/>
          <w:sz w:val="24"/>
          <w:szCs w:val="24"/>
        </w:rPr>
        <w:t xml:space="preserve"> the scourge of drugs on our communities is devastating. To</w:t>
      </w:r>
      <w:r w:rsidR="004366E3">
        <w:rPr>
          <w:rFonts w:ascii="Arial" w:hAnsi="Arial" w:cs="Arial"/>
          <w:sz w:val="24"/>
          <w:szCs w:val="24"/>
        </w:rPr>
        <w:t xml:space="preserve"> merely impose a fine might create the wrong impression that those with money can avoid jail time. Considering, the value of the cannabis in this case</w:t>
      </w:r>
      <w:r w:rsidR="00F07FE1">
        <w:rPr>
          <w:rFonts w:ascii="Arial" w:hAnsi="Arial" w:cs="Arial"/>
          <w:sz w:val="24"/>
          <w:szCs w:val="24"/>
        </w:rPr>
        <w:t>,</w:t>
      </w:r>
      <w:r w:rsidR="00FB5100">
        <w:rPr>
          <w:rFonts w:ascii="Arial" w:hAnsi="Arial" w:cs="Arial"/>
          <w:sz w:val="24"/>
          <w:szCs w:val="24"/>
        </w:rPr>
        <w:t xml:space="preserve"> a fine would not have been an appropriate sentence. One of the object</w:t>
      </w:r>
      <w:r w:rsidR="00954540">
        <w:rPr>
          <w:rFonts w:ascii="Arial" w:hAnsi="Arial" w:cs="Arial"/>
          <w:sz w:val="24"/>
          <w:szCs w:val="24"/>
        </w:rPr>
        <w:t>s</w:t>
      </w:r>
      <w:r w:rsidR="00FB5100">
        <w:rPr>
          <w:rFonts w:ascii="Arial" w:hAnsi="Arial" w:cs="Arial"/>
          <w:sz w:val="24"/>
          <w:szCs w:val="24"/>
        </w:rPr>
        <w:t xml:space="preserve"> of punishment is deterrence. This presupposes that, crime should never be profitable. Considering the quantity and value of the cannabis in this case, this court is not satisfied that a fine would disclose the futility of </w:t>
      </w:r>
      <w:r w:rsidR="00954540">
        <w:rPr>
          <w:rFonts w:ascii="Arial" w:hAnsi="Arial" w:cs="Arial"/>
          <w:sz w:val="24"/>
          <w:szCs w:val="24"/>
        </w:rPr>
        <w:t xml:space="preserve">the </w:t>
      </w:r>
      <w:r w:rsidR="00FB5100">
        <w:rPr>
          <w:rFonts w:ascii="Arial" w:hAnsi="Arial" w:cs="Arial"/>
          <w:sz w:val="24"/>
          <w:szCs w:val="24"/>
        </w:rPr>
        <w:t>crime</w:t>
      </w:r>
      <w:r w:rsidR="00954540">
        <w:rPr>
          <w:rFonts w:ascii="Arial" w:hAnsi="Arial" w:cs="Arial"/>
          <w:sz w:val="24"/>
          <w:szCs w:val="24"/>
        </w:rPr>
        <w:t xml:space="preserve"> in question</w:t>
      </w:r>
      <w:r w:rsidR="00FB5100">
        <w:rPr>
          <w:rFonts w:ascii="Arial" w:hAnsi="Arial" w:cs="Arial"/>
          <w:sz w:val="24"/>
          <w:szCs w:val="24"/>
        </w:rPr>
        <w:t>, in fact i</w:t>
      </w:r>
      <w:r w:rsidR="00F07FE1">
        <w:rPr>
          <w:rFonts w:ascii="Arial" w:hAnsi="Arial" w:cs="Arial"/>
          <w:sz w:val="24"/>
          <w:szCs w:val="24"/>
        </w:rPr>
        <w:t>t might have the opposite effect. It</w:t>
      </w:r>
      <w:r w:rsidR="00FB5100">
        <w:rPr>
          <w:rFonts w:ascii="Arial" w:hAnsi="Arial" w:cs="Arial"/>
          <w:sz w:val="24"/>
          <w:szCs w:val="24"/>
        </w:rPr>
        <w:t xml:space="preserve"> might </w:t>
      </w:r>
      <w:r w:rsidR="0027305F">
        <w:rPr>
          <w:rFonts w:ascii="Arial" w:hAnsi="Arial" w:cs="Arial"/>
          <w:sz w:val="24"/>
          <w:szCs w:val="24"/>
        </w:rPr>
        <w:t xml:space="preserve">even </w:t>
      </w:r>
      <w:r w:rsidR="00FB5100">
        <w:rPr>
          <w:rFonts w:ascii="Arial" w:hAnsi="Arial" w:cs="Arial"/>
          <w:sz w:val="24"/>
          <w:szCs w:val="24"/>
        </w:rPr>
        <w:t>create</w:t>
      </w:r>
      <w:r w:rsidR="00954540">
        <w:rPr>
          <w:rFonts w:ascii="Arial" w:hAnsi="Arial" w:cs="Arial"/>
          <w:sz w:val="24"/>
          <w:szCs w:val="24"/>
        </w:rPr>
        <w:t xml:space="preserve"> an</w:t>
      </w:r>
      <w:r w:rsidR="00FB5100">
        <w:rPr>
          <w:rFonts w:ascii="Arial" w:hAnsi="Arial" w:cs="Arial"/>
          <w:sz w:val="24"/>
          <w:szCs w:val="24"/>
        </w:rPr>
        <w:t xml:space="preserve"> incentive for others to engage in similar activities. Furthermore, considering the facts of this case, this court is not satisfied that the appell</w:t>
      </w:r>
      <w:r w:rsidR="00F07FE1">
        <w:rPr>
          <w:rFonts w:ascii="Arial" w:hAnsi="Arial" w:cs="Arial"/>
          <w:sz w:val="24"/>
          <w:szCs w:val="24"/>
        </w:rPr>
        <w:t>ant would be deterred from engaging</w:t>
      </w:r>
      <w:r w:rsidR="00FB5100">
        <w:rPr>
          <w:rFonts w:ascii="Arial" w:hAnsi="Arial" w:cs="Arial"/>
          <w:sz w:val="24"/>
          <w:szCs w:val="24"/>
        </w:rPr>
        <w:t xml:space="preserve"> in similar conduct in future, nor is there little hope of rehabilitation</w:t>
      </w:r>
      <w:r w:rsidR="00954540">
        <w:rPr>
          <w:rFonts w:ascii="Arial" w:hAnsi="Arial" w:cs="Arial"/>
          <w:sz w:val="24"/>
          <w:szCs w:val="24"/>
        </w:rPr>
        <w:t xml:space="preserve"> if a fine is imposed</w:t>
      </w:r>
      <w:r w:rsidR="00FB5100">
        <w:rPr>
          <w:rFonts w:ascii="Arial" w:hAnsi="Arial" w:cs="Arial"/>
          <w:sz w:val="24"/>
          <w:szCs w:val="24"/>
        </w:rPr>
        <w:t xml:space="preserve">. Some time away from society might </w:t>
      </w:r>
      <w:r w:rsidR="00CA2E88">
        <w:rPr>
          <w:rFonts w:ascii="Arial" w:hAnsi="Arial" w:cs="Arial"/>
          <w:sz w:val="24"/>
          <w:szCs w:val="24"/>
        </w:rPr>
        <w:t xml:space="preserve">give the appellant an opportunity to re-evaluate his life and decisions and perhaps return a reformed citizen. </w:t>
      </w:r>
    </w:p>
    <w:p w:rsidR="006169C8" w:rsidRDefault="00FB5100" w:rsidP="00E80076">
      <w:pPr>
        <w:spacing w:line="360" w:lineRule="auto"/>
        <w:jc w:val="both"/>
        <w:rPr>
          <w:rFonts w:ascii="Arial" w:hAnsi="Arial" w:cs="Arial"/>
          <w:sz w:val="24"/>
          <w:szCs w:val="24"/>
        </w:rPr>
      </w:pPr>
      <w:r>
        <w:rPr>
          <w:rFonts w:ascii="Arial" w:hAnsi="Arial" w:cs="Arial"/>
          <w:sz w:val="24"/>
          <w:szCs w:val="24"/>
        </w:rPr>
        <w:t xml:space="preserve"> </w:t>
      </w:r>
      <w:r w:rsidR="006169C8">
        <w:rPr>
          <w:rFonts w:ascii="Arial" w:hAnsi="Arial" w:cs="Arial"/>
          <w:sz w:val="24"/>
          <w:szCs w:val="24"/>
        </w:rPr>
        <w:t>[17]</w:t>
      </w:r>
      <w:r w:rsidR="006169C8">
        <w:rPr>
          <w:rFonts w:ascii="Arial" w:hAnsi="Arial" w:cs="Arial"/>
          <w:sz w:val="24"/>
          <w:szCs w:val="24"/>
        </w:rPr>
        <w:tab/>
      </w:r>
      <w:r w:rsidR="00CA2E88">
        <w:rPr>
          <w:rFonts w:ascii="Arial" w:hAnsi="Arial" w:cs="Arial"/>
          <w:sz w:val="24"/>
          <w:szCs w:val="24"/>
        </w:rPr>
        <w:t>The trial court was mindful of the appellant’s personal circumstances, the interest of society and the offence committed and sentenced the appellant to twelve years</w:t>
      </w:r>
      <w:r w:rsidR="00B13178">
        <w:rPr>
          <w:rFonts w:ascii="Arial" w:hAnsi="Arial" w:cs="Arial"/>
          <w:sz w:val="24"/>
          <w:szCs w:val="24"/>
        </w:rPr>
        <w:t xml:space="preserve">’ </w:t>
      </w:r>
      <w:r w:rsidR="00CA2E88">
        <w:rPr>
          <w:rFonts w:ascii="Arial" w:hAnsi="Arial" w:cs="Arial"/>
          <w:sz w:val="24"/>
          <w:szCs w:val="24"/>
        </w:rPr>
        <w:t xml:space="preserve">imprisonment of which four years were </w:t>
      </w:r>
      <w:r w:rsidR="00954540">
        <w:rPr>
          <w:rFonts w:ascii="Arial" w:hAnsi="Arial" w:cs="Arial"/>
          <w:sz w:val="24"/>
          <w:szCs w:val="24"/>
        </w:rPr>
        <w:t xml:space="preserve">conditionally </w:t>
      </w:r>
      <w:r w:rsidR="00CA2E88">
        <w:rPr>
          <w:rFonts w:ascii="Arial" w:hAnsi="Arial" w:cs="Arial"/>
          <w:sz w:val="24"/>
          <w:szCs w:val="24"/>
        </w:rPr>
        <w:t xml:space="preserve">suspended. </w:t>
      </w:r>
    </w:p>
    <w:p w:rsidR="00CA2E88" w:rsidRDefault="00CA2E88" w:rsidP="00E80076">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This court is not satisfied that the sentence imposed by the trial court</w:t>
      </w:r>
      <w:r w:rsidR="00954540">
        <w:rPr>
          <w:rFonts w:ascii="Arial" w:hAnsi="Arial" w:cs="Arial"/>
          <w:sz w:val="24"/>
          <w:szCs w:val="24"/>
        </w:rPr>
        <w:t xml:space="preserve"> was</w:t>
      </w:r>
      <w:r>
        <w:rPr>
          <w:rFonts w:ascii="Arial" w:hAnsi="Arial" w:cs="Arial"/>
          <w:sz w:val="24"/>
          <w:szCs w:val="24"/>
        </w:rPr>
        <w:t xml:space="preserve"> shocking or startlingly inappropriate or that the learned magistrate failed to exercise her discretion judiciously. </w:t>
      </w:r>
    </w:p>
    <w:p w:rsidR="00CA2E88" w:rsidRDefault="00CA2E88" w:rsidP="00E80076">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In the result, the appeal against the conviction and the sentence is dismissed.</w:t>
      </w:r>
    </w:p>
    <w:p w:rsidR="00CA2E88" w:rsidRDefault="00CA2E88" w:rsidP="00E80076">
      <w:pPr>
        <w:spacing w:line="360" w:lineRule="auto"/>
        <w:jc w:val="both"/>
        <w:rPr>
          <w:rFonts w:ascii="Arial" w:hAnsi="Arial" w:cs="Arial"/>
          <w:sz w:val="24"/>
          <w:szCs w:val="24"/>
        </w:rPr>
      </w:pPr>
    </w:p>
    <w:p w:rsidR="00CA2E88" w:rsidRDefault="00CA2E88" w:rsidP="00E80076">
      <w:pPr>
        <w:spacing w:line="360" w:lineRule="auto"/>
        <w:jc w:val="both"/>
        <w:rPr>
          <w:rFonts w:ascii="Arial" w:hAnsi="Arial" w:cs="Arial"/>
          <w:sz w:val="24"/>
          <w:szCs w:val="24"/>
        </w:rPr>
      </w:pPr>
    </w:p>
    <w:p w:rsidR="00452A75" w:rsidRDefault="00452A75" w:rsidP="00452A75">
      <w:pPr>
        <w:spacing w:line="360" w:lineRule="auto"/>
        <w:jc w:val="right"/>
        <w:rPr>
          <w:rFonts w:ascii="Arial" w:hAnsi="Arial" w:cs="Arial"/>
          <w:sz w:val="24"/>
          <w:szCs w:val="24"/>
        </w:rPr>
      </w:pPr>
      <w:r>
        <w:rPr>
          <w:rFonts w:ascii="Arial" w:hAnsi="Arial" w:cs="Arial"/>
          <w:sz w:val="24"/>
          <w:szCs w:val="24"/>
        </w:rPr>
        <w:lastRenderedPageBreak/>
        <w:t>____________________</w:t>
      </w:r>
    </w:p>
    <w:p w:rsidR="00B13178" w:rsidRDefault="00B13178" w:rsidP="00452A75">
      <w:pPr>
        <w:spacing w:line="360" w:lineRule="auto"/>
        <w:jc w:val="right"/>
        <w:rPr>
          <w:rFonts w:ascii="Arial" w:hAnsi="Arial" w:cs="Arial"/>
          <w:sz w:val="24"/>
          <w:szCs w:val="24"/>
        </w:rPr>
      </w:pPr>
      <w:r>
        <w:rPr>
          <w:rFonts w:ascii="Arial" w:hAnsi="Arial" w:cs="Arial"/>
          <w:sz w:val="24"/>
          <w:szCs w:val="24"/>
        </w:rPr>
        <w:t>G N NDAUENDAPO</w:t>
      </w:r>
    </w:p>
    <w:p w:rsidR="00452A75" w:rsidRDefault="00304C51" w:rsidP="00452A75">
      <w:pPr>
        <w:spacing w:line="360" w:lineRule="auto"/>
        <w:jc w:val="right"/>
        <w:rPr>
          <w:rFonts w:ascii="Arial" w:hAnsi="Arial" w:cs="Arial"/>
          <w:sz w:val="24"/>
          <w:szCs w:val="24"/>
        </w:rPr>
      </w:pPr>
      <w:r>
        <w:rPr>
          <w:rFonts w:ascii="Arial" w:hAnsi="Arial" w:cs="Arial"/>
          <w:sz w:val="24"/>
          <w:szCs w:val="24"/>
        </w:rPr>
        <w:t>Judge</w:t>
      </w:r>
    </w:p>
    <w:p w:rsidR="00452A75" w:rsidRDefault="00452A75" w:rsidP="00452A75">
      <w:pPr>
        <w:spacing w:line="360" w:lineRule="auto"/>
        <w:jc w:val="right"/>
        <w:rPr>
          <w:rFonts w:ascii="Arial" w:hAnsi="Arial" w:cs="Arial"/>
          <w:sz w:val="24"/>
          <w:szCs w:val="24"/>
        </w:rPr>
      </w:pPr>
    </w:p>
    <w:p w:rsidR="00452A75" w:rsidRDefault="00452A75" w:rsidP="00452A75">
      <w:pPr>
        <w:spacing w:line="360" w:lineRule="auto"/>
        <w:jc w:val="right"/>
        <w:rPr>
          <w:rFonts w:ascii="Arial" w:hAnsi="Arial" w:cs="Arial"/>
          <w:sz w:val="24"/>
          <w:szCs w:val="24"/>
        </w:rPr>
      </w:pPr>
    </w:p>
    <w:p w:rsidR="00452A75" w:rsidRDefault="00B13178" w:rsidP="00452A75">
      <w:pPr>
        <w:spacing w:line="360" w:lineRule="auto"/>
        <w:jc w:val="right"/>
        <w:rPr>
          <w:rFonts w:ascii="Arial" w:hAnsi="Arial" w:cs="Arial"/>
          <w:sz w:val="24"/>
          <w:szCs w:val="24"/>
        </w:rPr>
      </w:pPr>
      <w:r>
        <w:rPr>
          <w:rFonts w:ascii="Arial" w:hAnsi="Arial" w:cs="Arial"/>
          <w:sz w:val="24"/>
          <w:szCs w:val="24"/>
        </w:rPr>
        <w:t>___________________</w:t>
      </w:r>
    </w:p>
    <w:p w:rsidR="00452A75" w:rsidRDefault="00B13178" w:rsidP="00452A75">
      <w:pPr>
        <w:spacing w:line="360" w:lineRule="auto"/>
        <w:jc w:val="right"/>
        <w:rPr>
          <w:rFonts w:ascii="Arial" w:hAnsi="Arial" w:cs="Arial"/>
          <w:sz w:val="24"/>
          <w:szCs w:val="24"/>
        </w:rPr>
      </w:pPr>
      <w:r>
        <w:rPr>
          <w:rFonts w:ascii="Arial" w:hAnsi="Arial" w:cs="Arial"/>
          <w:sz w:val="24"/>
          <w:szCs w:val="24"/>
        </w:rPr>
        <w:t xml:space="preserve">N N </w:t>
      </w:r>
      <w:r w:rsidR="00CA2E88">
        <w:rPr>
          <w:rFonts w:ascii="Arial" w:hAnsi="Arial" w:cs="Arial"/>
          <w:sz w:val="24"/>
          <w:szCs w:val="24"/>
        </w:rPr>
        <w:t>SHIVUTE</w:t>
      </w:r>
    </w:p>
    <w:p w:rsidR="00B13178" w:rsidRDefault="00304C51" w:rsidP="00452A75">
      <w:pPr>
        <w:spacing w:line="360" w:lineRule="auto"/>
        <w:jc w:val="right"/>
        <w:rPr>
          <w:rFonts w:ascii="Arial" w:hAnsi="Arial" w:cs="Arial"/>
          <w:sz w:val="24"/>
          <w:szCs w:val="24"/>
        </w:rPr>
      </w:pPr>
      <w:r>
        <w:rPr>
          <w:rFonts w:ascii="Arial" w:hAnsi="Arial" w:cs="Arial"/>
          <w:sz w:val="24"/>
          <w:szCs w:val="24"/>
        </w:rPr>
        <w:t>Judge</w:t>
      </w:r>
    </w:p>
    <w:p w:rsidR="008E7051" w:rsidRDefault="008E7051">
      <w:pPr>
        <w:spacing w:after="160" w:line="259" w:lineRule="auto"/>
        <w:rPr>
          <w:rFonts w:ascii="Arial" w:hAnsi="Arial" w:cs="Arial"/>
          <w:sz w:val="24"/>
          <w:szCs w:val="24"/>
        </w:rPr>
      </w:pPr>
      <w:r>
        <w:rPr>
          <w:rFonts w:ascii="Arial" w:hAnsi="Arial" w:cs="Arial"/>
          <w:sz w:val="24"/>
          <w:szCs w:val="24"/>
        </w:rPr>
        <w:br w:type="page"/>
      </w:r>
    </w:p>
    <w:p w:rsidR="008E7051" w:rsidRDefault="008E7051" w:rsidP="00E80076">
      <w:pPr>
        <w:spacing w:line="360" w:lineRule="auto"/>
        <w:jc w:val="both"/>
        <w:rPr>
          <w:rFonts w:ascii="Arial" w:hAnsi="Arial" w:cs="Arial"/>
          <w:b/>
          <w:sz w:val="24"/>
          <w:szCs w:val="24"/>
        </w:rPr>
      </w:pPr>
      <w:r w:rsidRPr="00CD1B3B">
        <w:rPr>
          <w:rFonts w:ascii="Arial" w:hAnsi="Arial" w:cs="Arial"/>
          <w:b/>
          <w:sz w:val="24"/>
          <w:szCs w:val="24"/>
        </w:rPr>
        <w:lastRenderedPageBreak/>
        <w:t>APPEARANCES</w:t>
      </w:r>
    </w:p>
    <w:p w:rsidR="00CD1B3B" w:rsidRPr="00CD1B3B" w:rsidRDefault="00CD1B3B" w:rsidP="00E80076">
      <w:pPr>
        <w:spacing w:line="360" w:lineRule="auto"/>
        <w:jc w:val="both"/>
        <w:rPr>
          <w:rFonts w:ascii="Arial" w:hAnsi="Arial" w:cs="Arial"/>
          <w:b/>
          <w:sz w:val="24"/>
          <w:szCs w:val="24"/>
        </w:rPr>
      </w:pPr>
    </w:p>
    <w:p w:rsidR="008E7051" w:rsidRDefault="00CD1B3B" w:rsidP="00304C51">
      <w:pPr>
        <w:spacing w:line="360" w:lineRule="auto"/>
        <w:jc w:val="both"/>
        <w:rPr>
          <w:rFonts w:ascii="Arial" w:hAnsi="Arial" w:cs="Arial"/>
          <w:sz w:val="24"/>
          <w:szCs w:val="24"/>
        </w:rPr>
      </w:pPr>
      <w:r>
        <w:rPr>
          <w:rFonts w:ascii="Arial" w:hAnsi="Arial" w:cs="Arial"/>
          <w:sz w:val="24"/>
          <w:szCs w:val="24"/>
        </w:rPr>
        <w:t>APPELLANT:</w:t>
      </w:r>
      <w:r w:rsidR="008E7051">
        <w:rPr>
          <w:rFonts w:ascii="Arial" w:hAnsi="Arial" w:cs="Arial"/>
          <w:sz w:val="24"/>
          <w:szCs w:val="24"/>
        </w:rPr>
        <w:tab/>
      </w:r>
      <w:r w:rsidR="001F50B3">
        <w:rPr>
          <w:rFonts w:ascii="Arial" w:hAnsi="Arial" w:cs="Arial"/>
          <w:sz w:val="24"/>
          <w:szCs w:val="24"/>
        </w:rPr>
        <w:tab/>
      </w:r>
      <w:r w:rsidR="001F50B3">
        <w:rPr>
          <w:rFonts w:ascii="Arial" w:hAnsi="Arial" w:cs="Arial"/>
          <w:sz w:val="24"/>
          <w:szCs w:val="24"/>
        </w:rPr>
        <w:tab/>
      </w:r>
      <w:r w:rsidR="001F50B3">
        <w:rPr>
          <w:rFonts w:ascii="Arial" w:hAnsi="Arial" w:cs="Arial"/>
          <w:sz w:val="24"/>
          <w:szCs w:val="24"/>
        </w:rPr>
        <w:tab/>
      </w:r>
      <w:r w:rsidR="001F50B3">
        <w:rPr>
          <w:rFonts w:ascii="Arial" w:hAnsi="Arial" w:cs="Arial"/>
          <w:sz w:val="24"/>
          <w:szCs w:val="24"/>
        </w:rPr>
        <w:tab/>
      </w:r>
      <w:r w:rsidR="00225E45">
        <w:rPr>
          <w:rFonts w:ascii="Arial" w:hAnsi="Arial" w:cs="Arial"/>
          <w:sz w:val="24"/>
          <w:szCs w:val="24"/>
        </w:rPr>
        <w:t>S Nangaku</w:t>
      </w:r>
    </w:p>
    <w:p w:rsidR="00CD1B3B" w:rsidRDefault="00225E45" w:rsidP="001F50B3">
      <w:pPr>
        <w:spacing w:line="360" w:lineRule="auto"/>
        <w:ind w:left="4320" w:firstLine="720"/>
        <w:rPr>
          <w:rFonts w:ascii="Arial" w:hAnsi="Arial" w:cs="Arial"/>
          <w:sz w:val="24"/>
          <w:szCs w:val="24"/>
        </w:rPr>
      </w:pPr>
      <w:r>
        <w:rPr>
          <w:rFonts w:ascii="Arial" w:hAnsi="Arial" w:cs="Arial"/>
          <w:sz w:val="24"/>
          <w:szCs w:val="24"/>
        </w:rPr>
        <w:t>In Person</w:t>
      </w:r>
    </w:p>
    <w:p w:rsidR="00225E45" w:rsidRDefault="00225E45" w:rsidP="00CD1B3B">
      <w:pPr>
        <w:tabs>
          <w:tab w:val="right" w:pos="9360"/>
        </w:tabs>
        <w:spacing w:line="360" w:lineRule="auto"/>
        <w:jc w:val="right"/>
        <w:rPr>
          <w:rFonts w:ascii="Arial" w:hAnsi="Arial" w:cs="Arial"/>
          <w:sz w:val="24"/>
          <w:szCs w:val="24"/>
        </w:rPr>
      </w:pPr>
    </w:p>
    <w:p w:rsidR="008E7051" w:rsidRDefault="007F7612" w:rsidP="00304C51">
      <w:pPr>
        <w:spacing w:line="36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sidR="001F50B3">
        <w:rPr>
          <w:rFonts w:ascii="Arial" w:hAnsi="Arial" w:cs="Arial"/>
          <w:sz w:val="24"/>
          <w:szCs w:val="24"/>
        </w:rPr>
        <w:tab/>
      </w:r>
      <w:r w:rsidR="001F50B3">
        <w:rPr>
          <w:rFonts w:ascii="Arial" w:hAnsi="Arial" w:cs="Arial"/>
          <w:sz w:val="24"/>
          <w:szCs w:val="24"/>
        </w:rPr>
        <w:tab/>
      </w:r>
      <w:r w:rsidR="001F50B3">
        <w:rPr>
          <w:rFonts w:ascii="Arial" w:hAnsi="Arial" w:cs="Arial"/>
          <w:sz w:val="24"/>
          <w:szCs w:val="24"/>
        </w:rPr>
        <w:tab/>
      </w:r>
      <w:r w:rsidR="001F50B3">
        <w:rPr>
          <w:rFonts w:ascii="Arial" w:hAnsi="Arial" w:cs="Arial"/>
          <w:sz w:val="24"/>
          <w:szCs w:val="24"/>
        </w:rPr>
        <w:tab/>
      </w:r>
      <w:r w:rsidR="00225E45">
        <w:rPr>
          <w:rFonts w:ascii="Arial" w:hAnsi="Arial" w:cs="Arial"/>
          <w:sz w:val="24"/>
          <w:szCs w:val="24"/>
        </w:rPr>
        <w:t>S Nduna</w:t>
      </w:r>
    </w:p>
    <w:p w:rsidR="00CD1B3B" w:rsidRPr="00316CE8" w:rsidRDefault="001F50B3" w:rsidP="001F50B3">
      <w:pPr>
        <w:spacing w:line="360" w:lineRule="auto"/>
        <w:ind w:left="4320" w:firstLine="720"/>
        <w:rPr>
          <w:rFonts w:ascii="Arial" w:hAnsi="Arial" w:cs="Arial"/>
          <w:sz w:val="24"/>
          <w:szCs w:val="24"/>
        </w:rPr>
      </w:pPr>
      <w:r>
        <w:rPr>
          <w:rFonts w:ascii="Arial" w:hAnsi="Arial" w:cs="Arial"/>
          <w:sz w:val="24"/>
          <w:szCs w:val="24"/>
        </w:rPr>
        <w:t xml:space="preserve">Of </w:t>
      </w:r>
      <w:r w:rsidR="00CD1B3B">
        <w:rPr>
          <w:rFonts w:ascii="Arial" w:hAnsi="Arial" w:cs="Arial"/>
          <w:sz w:val="24"/>
          <w:szCs w:val="24"/>
        </w:rPr>
        <w:t>O</w:t>
      </w:r>
      <w:r w:rsidR="005D7B7B">
        <w:rPr>
          <w:rFonts w:ascii="Arial" w:hAnsi="Arial" w:cs="Arial"/>
          <w:sz w:val="24"/>
          <w:szCs w:val="24"/>
        </w:rPr>
        <w:t>ffice of the Prosecutor General</w:t>
      </w:r>
    </w:p>
    <w:sectPr w:rsidR="00CD1B3B" w:rsidRPr="00316CE8" w:rsidSect="0089689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B4" w:rsidRDefault="005B34B4" w:rsidP="00F03596">
      <w:pPr>
        <w:spacing w:after="0" w:line="240" w:lineRule="auto"/>
      </w:pPr>
      <w:r>
        <w:separator/>
      </w:r>
    </w:p>
  </w:endnote>
  <w:endnote w:type="continuationSeparator" w:id="0">
    <w:p w:rsidR="005B34B4" w:rsidRDefault="005B34B4" w:rsidP="00F0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B4" w:rsidRDefault="005B34B4" w:rsidP="00F03596">
      <w:pPr>
        <w:spacing w:after="0" w:line="240" w:lineRule="auto"/>
      </w:pPr>
      <w:r>
        <w:separator/>
      </w:r>
    </w:p>
  </w:footnote>
  <w:footnote w:type="continuationSeparator" w:id="0">
    <w:p w:rsidR="005B34B4" w:rsidRDefault="005B34B4" w:rsidP="00F03596">
      <w:pPr>
        <w:spacing w:after="0" w:line="240" w:lineRule="auto"/>
      </w:pPr>
      <w:r>
        <w:continuationSeparator/>
      </w:r>
    </w:p>
  </w:footnote>
  <w:footnote w:id="1">
    <w:p w:rsidR="004C2CEE" w:rsidRDefault="004C2CEE">
      <w:pPr>
        <w:pStyle w:val="FootnoteText"/>
      </w:pPr>
      <w:r>
        <w:rPr>
          <w:rStyle w:val="FootnoteReference"/>
        </w:rPr>
        <w:footnoteRef/>
      </w:r>
      <w:r>
        <w:t xml:space="preserve"> Abuse of Dependence-Producing Substances and Rehabilitation Centres Act, 41 of 1971 as amended.</w:t>
      </w:r>
    </w:p>
  </w:footnote>
  <w:footnote w:id="2">
    <w:p w:rsidR="008A65BC" w:rsidRDefault="008A65BC">
      <w:pPr>
        <w:pStyle w:val="FootnoteText"/>
      </w:pPr>
      <w:r>
        <w:rPr>
          <w:rStyle w:val="FootnoteReference"/>
        </w:rPr>
        <w:footnoteRef/>
      </w:r>
      <w:r>
        <w:t xml:space="preserve"> </w:t>
      </w:r>
      <w:r w:rsidRPr="00FF047E">
        <w:rPr>
          <w:i/>
        </w:rPr>
        <w:t>Samuel Mrajiandile v State</w:t>
      </w:r>
      <w:r>
        <w:t>, Case No.:54/2009 delivered on 26 October 2010.</w:t>
      </w:r>
    </w:p>
  </w:footnote>
  <w:footnote w:id="3">
    <w:p w:rsidR="008A65BC" w:rsidRDefault="008A65BC" w:rsidP="00FF047E">
      <w:pPr>
        <w:pStyle w:val="FootnoteText"/>
      </w:pPr>
      <w:r>
        <w:rPr>
          <w:rStyle w:val="FootnoteReference"/>
        </w:rPr>
        <w:footnoteRef/>
      </w:r>
      <w:r>
        <w:t xml:space="preserve"> </w:t>
      </w:r>
      <w:r w:rsidRPr="00233BEA">
        <w:rPr>
          <w:i/>
        </w:rPr>
        <w:t>Boois v State</w:t>
      </w:r>
      <w:r>
        <w:t xml:space="preserve"> (CA 76/2014) [2015] NAHCMD 131 (8 June 2015) at para. 2. </w:t>
      </w:r>
    </w:p>
  </w:footnote>
  <w:footnote w:id="4">
    <w:p w:rsidR="008A65BC" w:rsidRDefault="008A65BC" w:rsidP="00FF047E">
      <w:pPr>
        <w:pStyle w:val="FootnoteText"/>
      </w:pPr>
      <w:r>
        <w:rPr>
          <w:rStyle w:val="FootnoteReference"/>
        </w:rPr>
        <w:footnoteRef/>
      </w:r>
      <w:r>
        <w:t xml:space="preserve"> </w:t>
      </w:r>
      <w:r w:rsidRPr="00233BEA">
        <w:rPr>
          <w:i/>
        </w:rPr>
        <w:t>Boois v State</w:t>
      </w:r>
      <w:r w:rsidR="00137015">
        <w:t xml:space="preserve"> at para</w:t>
      </w:r>
      <w:r>
        <w:t xml:space="preserve"> 4.</w:t>
      </w:r>
    </w:p>
  </w:footnote>
  <w:footnote w:id="5">
    <w:p w:rsidR="008A65BC" w:rsidRDefault="008A65BC" w:rsidP="008A65BC">
      <w:pPr>
        <w:pStyle w:val="FootnoteText"/>
      </w:pPr>
      <w:r>
        <w:rPr>
          <w:rStyle w:val="FootnoteReference"/>
        </w:rPr>
        <w:footnoteRef/>
      </w:r>
      <w:r>
        <w:t xml:space="preserve"> </w:t>
      </w:r>
      <w:r w:rsidRPr="00233BEA">
        <w:rPr>
          <w:i/>
        </w:rPr>
        <w:t>Boois v State</w:t>
      </w:r>
      <w:r w:rsidR="00137015">
        <w:t xml:space="preserve"> at para </w:t>
      </w:r>
      <w:r w:rsidR="005D77F2">
        <w:t>4</w:t>
      </w:r>
      <w:r>
        <w:t>.</w:t>
      </w:r>
    </w:p>
    <w:p w:rsidR="008A65BC" w:rsidRDefault="008A65BC" w:rsidP="008A65BC">
      <w:pPr>
        <w:pStyle w:val="FootnoteText"/>
      </w:pPr>
    </w:p>
  </w:footnote>
  <w:footnote w:id="6">
    <w:p w:rsidR="00971F9B" w:rsidRDefault="00971F9B">
      <w:pPr>
        <w:pStyle w:val="FootnoteText"/>
      </w:pPr>
      <w:r>
        <w:rPr>
          <w:rStyle w:val="FootnoteReference"/>
        </w:rPr>
        <w:footnoteRef/>
      </w:r>
      <w:r>
        <w:t xml:space="preserve"> Page 7, lines 10-22 of the transcribed record of the appeal proceedings.</w:t>
      </w:r>
    </w:p>
  </w:footnote>
  <w:footnote w:id="7">
    <w:p w:rsidR="00971F9B" w:rsidRDefault="00971F9B">
      <w:pPr>
        <w:pStyle w:val="FootnoteText"/>
      </w:pPr>
      <w:r>
        <w:rPr>
          <w:rStyle w:val="FootnoteReference"/>
        </w:rPr>
        <w:footnoteRef/>
      </w:r>
      <w:r>
        <w:t xml:space="preserve"> Page 84, lines 10-20 of the transcribed record of the proceedings in the court a quo.</w:t>
      </w:r>
    </w:p>
  </w:footnote>
  <w:footnote w:id="8">
    <w:p w:rsidR="006B4B88" w:rsidRDefault="006B4B88">
      <w:pPr>
        <w:pStyle w:val="FootnoteText"/>
      </w:pPr>
      <w:r>
        <w:rPr>
          <w:rStyle w:val="FootnoteReference"/>
        </w:rPr>
        <w:footnoteRef/>
      </w:r>
      <w:r>
        <w:t xml:space="preserve"> Page 58 of the transcribed record of proceedings in the trial court.</w:t>
      </w:r>
    </w:p>
  </w:footnote>
  <w:footnote w:id="9">
    <w:p w:rsidR="006B4B88" w:rsidRDefault="006B4B88">
      <w:pPr>
        <w:pStyle w:val="FootnoteText"/>
      </w:pPr>
      <w:r>
        <w:rPr>
          <w:rStyle w:val="FootnoteReference"/>
        </w:rPr>
        <w:footnoteRef/>
      </w:r>
      <w:r>
        <w:t xml:space="preserve"> Page 69 of the transcribed record of proceedings in the trial court.</w:t>
      </w:r>
    </w:p>
  </w:footnote>
  <w:footnote w:id="10">
    <w:p w:rsidR="006B4B88" w:rsidRDefault="006B4B88">
      <w:pPr>
        <w:pStyle w:val="FootnoteText"/>
      </w:pPr>
      <w:r>
        <w:rPr>
          <w:rStyle w:val="FootnoteReference"/>
        </w:rPr>
        <w:footnoteRef/>
      </w:r>
      <w:r>
        <w:t xml:space="preserve"> Page 70 of the transcribed record of proceedings in the trial court.</w:t>
      </w:r>
    </w:p>
  </w:footnote>
  <w:footnote w:id="11">
    <w:p w:rsidR="006169C8" w:rsidRDefault="006169C8" w:rsidP="006169C8">
      <w:pPr>
        <w:pStyle w:val="FootnoteText"/>
      </w:pPr>
      <w:r>
        <w:rPr>
          <w:rStyle w:val="FootnoteReference"/>
        </w:rPr>
        <w:footnoteRef/>
      </w:r>
      <w:r>
        <w:t xml:space="preserve"> </w:t>
      </w:r>
      <w:r>
        <w:rPr>
          <w:i/>
        </w:rPr>
        <w:t>S v Kasita</w:t>
      </w:r>
      <w:r>
        <w:t xml:space="preserve"> 2007 (1) NR 190 (HC); </w:t>
      </w:r>
      <w:r>
        <w:rPr>
          <w:i/>
        </w:rPr>
        <w:t>S v Shapumba</w:t>
      </w:r>
      <w:r>
        <w:t xml:space="preserve"> 1999 NR 342 (SC) at 344 I to 345A; </w:t>
      </w:r>
      <w:r>
        <w:rPr>
          <w:i/>
        </w:rPr>
        <w:t>S v Jason &amp; another</w:t>
      </w:r>
      <w:r>
        <w:t xml:space="preserve"> 2008 NR 359 at 363 to 364G</w:t>
      </w:r>
      <w:r w:rsidR="004366E3">
        <w:t>.</w:t>
      </w:r>
    </w:p>
  </w:footnote>
  <w:footnote w:id="12">
    <w:p w:rsidR="00745C84" w:rsidRPr="00745C84" w:rsidRDefault="00745C84">
      <w:pPr>
        <w:pStyle w:val="FootnoteText"/>
      </w:pPr>
      <w:r>
        <w:rPr>
          <w:rStyle w:val="FootnoteReference"/>
        </w:rPr>
        <w:footnoteRef/>
      </w:r>
      <w:r>
        <w:t xml:space="preserve"> </w:t>
      </w:r>
      <w:r w:rsidRPr="00745C84">
        <w:rPr>
          <w:rFonts w:cs="Arial"/>
        </w:rPr>
        <w:t>Abuse of Dependence Producing Substances and Rehabilitation Centres Act, 41 of 1971</w:t>
      </w:r>
      <w:r>
        <w:rPr>
          <w:rFonts w:cs="Arial"/>
        </w:rPr>
        <w:t>.</w:t>
      </w:r>
    </w:p>
  </w:footnote>
  <w:footnote w:id="13">
    <w:p w:rsidR="006169C8" w:rsidRDefault="006169C8">
      <w:pPr>
        <w:pStyle w:val="FootnoteText"/>
      </w:pPr>
      <w:r>
        <w:rPr>
          <w:rStyle w:val="FootnoteReference"/>
        </w:rPr>
        <w:footnoteRef/>
      </w:r>
      <w:r>
        <w:t xml:space="preserve"> </w:t>
      </w:r>
      <w:r w:rsidR="004366E3" w:rsidRPr="004366E3">
        <w:rPr>
          <w:rFonts w:cs="Arial"/>
          <w:i/>
        </w:rPr>
        <w:t>Dlamini and Another v State</w:t>
      </w:r>
      <w:r w:rsidR="004366E3" w:rsidRPr="004366E3">
        <w:rPr>
          <w:rFonts w:cs="Arial"/>
        </w:rPr>
        <w:t xml:space="preserve"> (CA 126/2016) [2017] NAHCMD 75 (13 March 2017)</w:t>
      </w:r>
      <w:r w:rsidR="004366E3">
        <w:rPr>
          <w:rFonts w:cs="Arial"/>
        </w:rPr>
        <w:t>.</w:t>
      </w:r>
      <w:r w:rsidR="004366E3">
        <w:rPr>
          <w:rFonts w:ascii="Arial" w:hAnsi="Arial" w:cs="Arial"/>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6423"/>
      <w:docPartObj>
        <w:docPartGallery w:val="Page Numbers (Top of Page)"/>
        <w:docPartUnique/>
      </w:docPartObj>
    </w:sdtPr>
    <w:sdtEndPr>
      <w:rPr>
        <w:noProof/>
      </w:rPr>
    </w:sdtEndPr>
    <w:sdtContent>
      <w:p w:rsidR="00BF08B8" w:rsidRDefault="00BF08B8">
        <w:pPr>
          <w:pStyle w:val="Header"/>
          <w:jc w:val="right"/>
        </w:pPr>
        <w:r>
          <w:fldChar w:fldCharType="begin"/>
        </w:r>
        <w:r>
          <w:instrText xml:space="preserve"> PAGE   \* MERGEFORMAT </w:instrText>
        </w:r>
        <w:r>
          <w:fldChar w:fldCharType="separate"/>
        </w:r>
        <w:r w:rsidR="00AC6764">
          <w:rPr>
            <w:noProof/>
          </w:rPr>
          <w:t>11</w:t>
        </w:r>
        <w:r>
          <w:rPr>
            <w:noProof/>
          </w:rPr>
          <w:fldChar w:fldCharType="end"/>
        </w:r>
      </w:p>
    </w:sdtContent>
  </w:sdt>
  <w:p w:rsidR="008A65BC" w:rsidRDefault="008A6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6F7"/>
    <w:multiLevelType w:val="hybridMultilevel"/>
    <w:tmpl w:val="4262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97443"/>
    <w:multiLevelType w:val="hybridMultilevel"/>
    <w:tmpl w:val="9E943586"/>
    <w:lvl w:ilvl="0" w:tplc="BFF8453C">
      <w:start w:val="1"/>
      <w:numFmt w:val="lowerLetter"/>
      <w:lvlText w:val="(%1)"/>
      <w:lvlJc w:val="left"/>
      <w:pPr>
        <w:ind w:left="1260" w:hanging="9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52020"/>
    <w:multiLevelType w:val="hybridMultilevel"/>
    <w:tmpl w:val="C5CCA556"/>
    <w:lvl w:ilvl="0" w:tplc="56FA4DEC">
      <w:start w:val="1"/>
      <w:numFmt w:val="lowerLetter"/>
      <w:lvlText w:val="%1)"/>
      <w:lvlJc w:val="left"/>
      <w:pPr>
        <w:ind w:left="1500" w:hanging="360"/>
      </w:pPr>
      <w:rPr>
        <w:rFonts w:ascii="Arial" w:eastAsiaTheme="minorHAnsi" w:hAnsi="Arial" w:cs="Arial"/>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E8"/>
    <w:rsid w:val="00001A0F"/>
    <w:rsid w:val="00005C77"/>
    <w:rsid w:val="000063C8"/>
    <w:rsid w:val="00025C94"/>
    <w:rsid w:val="00044301"/>
    <w:rsid w:val="000953CD"/>
    <w:rsid w:val="000A7B1C"/>
    <w:rsid w:val="000B4649"/>
    <w:rsid w:val="000D1FC6"/>
    <w:rsid w:val="000D2719"/>
    <w:rsid w:val="000E2599"/>
    <w:rsid w:val="001116C5"/>
    <w:rsid w:val="00120872"/>
    <w:rsid w:val="00137015"/>
    <w:rsid w:val="001B63CD"/>
    <w:rsid w:val="001B7E0D"/>
    <w:rsid w:val="001D133B"/>
    <w:rsid w:val="001E0C40"/>
    <w:rsid w:val="001E4F83"/>
    <w:rsid w:val="001F1710"/>
    <w:rsid w:val="001F50B3"/>
    <w:rsid w:val="001F5897"/>
    <w:rsid w:val="0021394E"/>
    <w:rsid w:val="00225E45"/>
    <w:rsid w:val="0022612A"/>
    <w:rsid w:val="00226842"/>
    <w:rsid w:val="002604CE"/>
    <w:rsid w:val="0027305F"/>
    <w:rsid w:val="0028386B"/>
    <w:rsid w:val="002C4113"/>
    <w:rsid w:val="002C4D7A"/>
    <w:rsid w:val="002C695D"/>
    <w:rsid w:val="002D0616"/>
    <w:rsid w:val="002E7694"/>
    <w:rsid w:val="00302C6A"/>
    <w:rsid w:val="00304C51"/>
    <w:rsid w:val="003111D4"/>
    <w:rsid w:val="00316CE8"/>
    <w:rsid w:val="00344E42"/>
    <w:rsid w:val="00371B2F"/>
    <w:rsid w:val="00372F80"/>
    <w:rsid w:val="003A3CEB"/>
    <w:rsid w:val="003A5DCC"/>
    <w:rsid w:val="003C63D0"/>
    <w:rsid w:val="004225CB"/>
    <w:rsid w:val="004338C5"/>
    <w:rsid w:val="00434C7E"/>
    <w:rsid w:val="004366E3"/>
    <w:rsid w:val="00452A75"/>
    <w:rsid w:val="00456368"/>
    <w:rsid w:val="004C2CEE"/>
    <w:rsid w:val="004D6052"/>
    <w:rsid w:val="004E1D19"/>
    <w:rsid w:val="005352F8"/>
    <w:rsid w:val="00564BB9"/>
    <w:rsid w:val="005712E3"/>
    <w:rsid w:val="005B1773"/>
    <w:rsid w:val="005B34B4"/>
    <w:rsid w:val="005D3087"/>
    <w:rsid w:val="005D77F2"/>
    <w:rsid w:val="005D7B7B"/>
    <w:rsid w:val="006169C8"/>
    <w:rsid w:val="00626734"/>
    <w:rsid w:val="00641B03"/>
    <w:rsid w:val="006453BD"/>
    <w:rsid w:val="00677AA2"/>
    <w:rsid w:val="006A05A0"/>
    <w:rsid w:val="006A23E9"/>
    <w:rsid w:val="006A4D75"/>
    <w:rsid w:val="006B4B88"/>
    <w:rsid w:val="006C4DE3"/>
    <w:rsid w:val="006F2FBF"/>
    <w:rsid w:val="0070430F"/>
    <w:rsid w:val="00737214"/>
    <w:rsid w:val="00745C84"/>
    <w:rsid w:val="007460BE"/>
    <w:rsid w:val="00746AB7"/>
    <w:rsid w:val="00773F9A"/>
    <w:rsid w:val="00786894"/>
    <w:rsid w:val="00795DED"/>
    <w:rsid w:val="007B19B1"/>
    <w:rsid w:val="007C7ED2"/>
    <w:rsid w:val="007E3B13"/>
    <w:rsid w:val="007E4B54"/>
    <w:rsid w:val="007F7612"/>
    <w:rsid w:val="00806C0F"/>
    <w:rsid w:val="008470CB"/>
    <w:rsid w:val="0085636C"/>
    <w:rsid w:val="008765A5"/>
    <w:rsid w:val="00896895"/>
    <w:rsid w:val="008A65BC"/>
    <w:rsid w:val="008C0FDB"/>
    <w:rsid w:val="008E7051"/>
    <w:rsid w:val="008F2090"/>
    <w:rsid w:val="008F24AD"/>
    <w:rsid w:val="0090688E"/>
    <w:rsid w:val="00954540"/>
    <w:rsid w:val="00971F9B"/>
    <w:rsid w:val="009800F4"/>
    <w:rsid w:val="009A10F4"/>
    <w:rsid w:val="009B7840"/>
    <w:rsid w:val="009D0644"/>
    <w:rsid w:val="009E7697"/>
    <w:rsid w:val="009F1D6F"/>
    <w:rsid w:val="009F62FC"/>
    <w:rsid w:val="00A0476F"/>
    <w:rsid w:val="00A079B2"/>
    <w:rsid w:val="00A1228F"/>
    <w:rsid w:val="00A21EE5"/>
    <w:rsid w:val="00A34102"/>
    <w:rsid w:val="00A467D7"/>
    <w:rsid w:val="00A52A6C"/>
    <w:rsid w:val="00A6614C"/>
    <w:rsid w:val="00AB516B"/>
    <w:rsid w:val="00AC3D5A"/>
    <w:rsid w:val="00AC6764"/>
    <w:rsid w:val="00B1062A"/>
    <w:rsid w:val="00B13178"/>
    <w:rsid w:val="00B60DB7"/>
    <w:rsid w:val="00B7145E"/>
    <w:rsid w:val="00B71514"/>
    <w:rsid w:val="00B83CDF"/>
    <w:rsid w:val="00B95048"/>
    <w:rsid w:val="00BD662E"/>
    <w:rsid w:val="00BE2779"/>
    <w:rsid w:val="00BE7872"/>
    <w:rsid w:val="00BE7B20"/>
    <w:rsid w:val="00BF08B8"/>
    <w:rsid w:val="00C3674B"/>
    <w:rsid w:val="00C41044"/>
    <w:rsid w:val="00C858F7"/>
    <w:rsid w:val="00C97009"/>
    <w:rsid w:val="00CA2E88"/>
    <w:rsid w:val="00CA39CD"/>
    <w:rsid w:val="00CB4441"/>
    <w:rsid w:val="00CD1B3B"/>
    <w:rsid w:val="00CD2830"/>
    <w:rsid w:val="00D01A73"/>
    <w:rsid w:val="00D030D5"/>
    <w:rsid w:val="00D314E0"/>
    <w:rsid w:val="00D46DBE"/>
    <w:rsid w:val="00D9676E"/>
    <w:rsid w:val="00DA3245"/>
    <w:rsid w:val="00DF1439"/>
    <w:rsid w:val="00DF6620"/>
    <w:rsid w:val="00DF67C7"/>
    <w:rsid w:val="00E25A67"/>
    <w:rsid w:val="00E27915"/>
    <w:rsid w:val="00E42BD4"/>
    <w:rsid w:val="00E60EA5"/>
    <w:rsid w:val="00E62687"/>
    <w:rsid w:val="00E80076"/>
    <w:rsid w:val="00E95FCC"/>
    <w:rsid w:val="00F03596"/>
    <w:rsid w:val="00F04BEA"/>
    <w:rsid w:val="00F07FE1"/>
    <w:rsid w:val="00F3784F"/>
    <w:rsid w:val="00F56FE3"/>
    <w:rsid w:val="00F64487"/>
    <w:rsid w:val="00F84B34"/>
    <w:rsid w:val="00FB5100"/>
    <w:rsid w:val="00FF047E"/>
    <w:rsid w:val="00FF2D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1910F-064C-4ECB-98DC-A30ABA81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E8"/>
    <w:pPr>
      <w:spacing w:after="200" w:line="276" w:lineRule="auto"/>
    </w:pPr>
  </w:style>
  <w:style w:type="paragraph" w:styleId="Heading4">
    <w:name w:val="heading 4"/>
    <w:basedOn w:val="Normal"/>
    <w:next w:val="Normal"/>
    <w:link w:val="Heading4Char"/>
    <w:qFormat/>
    <w:rsid w:val="00316CE8"/>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16CE8"/>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F03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596"/>
    <w:rPr>
      <w:sz w:val="20"/>
      <w:szCs w:val="20"/>
    </w:rPr>
  </w:style>
  <w:style w:type="character" w:styleId="FootnoteReference">
    <w:name w:val="footnote reference"/>
    <w:basedOn w:val="DefaultParagraphFont"/>
    <w:uiPriority w:val="99"/>
    <w:semiHidden/>
    <w:unhideWhenUsed/>
    <w:rsid w:val="00F03596"/>
    <w:rPr>
      <w:vertAlign w:val="superscript"/>
    </w:rPr>
  </w:style>
  <w:style w:type="paragraph" w:styleId="BalloonText">
    <w:name w:val="Balloon Text"/>
    <w:basedOn w:val="Normal"/>
    <w:link w:val="BalloonTextChar"/>
    <w:uiPriority w:val="99"/>
    <w:semiHidden/>
    <w:unhideWhenUsed/>
    <w:rsid w:val="00DF1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439"/>
    <w:rPr>
      <w:rFonts w:ascii="Tahoma" w:hAnsi="Tahoma" w:cs="Tahoma"/>
      <w:sz w:val="16"/>
      <w:szCs w:val="16"/>
    </w:rPr>
  </w:style>
  <w:style w:type="paragraph" w:customStyle="1" w:styleId="TI">
    <w:name w:val="TI"/>
    <w:uiPriority w:val="99"/>
    <w:rsid w:val="009D0644"/>
    <w:pPr>
      <w:widowControl w:val="0"/>
      <w:tabs>
        <w:tab w:val="left" w:pos="283"/>
        <w:tab w:val="left" w:pos="861"/>
        <w:tab w:val="left" w:pos="1293"/>
        <w:tab w:val="left" w:pos="1865"/>
        <w:tab w:val="left" w:pos="2443"/>
        <w:tab w:val="left" w:pos="3163"/>
      </w:tabs>
      <w:autoSpaceDE w:val="0"/>
      <w:autoSpaceDN w:val="0"/>
      <w:adjustRightInd w:val="0"/>
      <w:spacing w:after="0" w:line="240" w:lineRule="auto"/>
      <w:ind w:left="861" w:hanging="861"/>
    </w:pPr>
    <w:rPr>
      <w:rFonts w:ascii="Times New Roman" w:eastAsiaTheme="minorEastAsia" w:hAnsi="Times New Roman" w:cs="Times New Roman"/>
      <w:sz w:val="24"/>
      <w:szCs w:val="24"/>
    </w:rPr>
  </w:style>
  <w:style w:type="paragraph" w:customStyle="1" w:styleId="TRI">
    <w:name w:val="TRI"/>
    <w:uiPriority w:val="99"/>
    <w:rsid w:val="00BD662E"/>
    <w:pPr>
      <w:widowControl w:val="0"/>
      <w:tabs>
        <w:tab w:val="left" w:pos="283"/>
        <w:tab w:val="decimal" w:pos="861"/>
        <w:tab w:val="left" w:pos="1293"/>
        <w:tab w:val="left" w:pos="1865"/>
        <w:tab w:val="left" w:pos="2443"/>
        <w:tab w:val="left" w:pos="3163"/>
      </w:tabs>
      <w:autoSpaceDE w:val="0"/>
      <w:autoSpaceDN w:val="0"/>
      <w:adjustRightInd w:val="0"/>
      <w:spacing w:after="0" w:line="240" w:lineRule="auto"/>
      <w:ind w:left="1293" w:hanging="1293"/>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9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895"/>
  </w:style>
  <w:style w:type="paragraph" w:styleId="Footer">
    <w:name w:val="footer"/>
    <w:basedOn w:val="Normal"/>
    <w:link w:val="FooterChar"/>
    <w:uiPriority w:val="99"/>
    <w:unhideWhenUsed/>
    <w:rsid w:val="0089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895"/>
  </w:style>
  <w:style w:type="paragraph" w:styleId="ListParagraph">
    <w:name w:val="List Paragraph"/>
    <w:basedOn w:val="Normal"/>
    <w:uiPriority w:val="34"/>
    <w:qFormat/>
    <w:rsid w:val="006169C8"/>
    <w:pPr>
      <w:ind w:left="720"/>
      <w:contextualSpacing/>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2017-04-20T18:30:00+00:00</Judgment_x0020_Date>
  </documentManagement>
</p:properties>
</file>

<file path=customXml/itemProps1.xml><?xml version="1.0" encoding="utf-8"?>
<ds:datastoreItem xmlns:ds="http://schemas.openxmlformats.org/officeDocument/2006/customXml" ds:itemID="{B7C887F9-5B0A-408E-9B0C-90FE9EC106BB}"/>
</file>

<file path=customXml/itemProps2.xml><?xml version="1.0" encoding="utf-8"?>
<ds:datastoreItem xmlns:ds="http://schemas.openxmlformats.org/officeDocument/2006/customXml" ds:itemID="{611128E6-1370-4BC6-BB5C-1B3C012315D9}"/>
</file>

<file path=customXml/itemProps3.xml><?xml version="1.0" encoding="utf-8"?>
<ds:datastoreItem xmlns:ds="http://schemas.openxmlformats.org/officeDocument/2006/customXml" ds:itemID="{BDB79E2F-8B58-4E7E-BAF0-EEF2929746A8}"/>
</file>

<file path=customXml/itemProps4.xml><?xml version="1.0" encoding="utf-8"?>
<ds:datastoreItem xmlns:ds="http://schemas.openxmlformats.org/officeDocument/2006/customXml" ds:itemID="{525D1F23-FE3E-475F-A0D8-4FA7E26AB332}"/>
</file>

<file path=docProps/app.xml><?xml version="1.0" encoding="utf-8"?>
<Properties xmlns="http://schemas.openxmlformats.org/officeDocument/2006/extended-properties" xmlns:vt="http://schemas.openxmlformats.org/officeDocument/2006/docPropsVTypes">
  <Template>Normal</Template>
  <TotalTime>0</TotalTime>
  <Pages>11</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shomany keister</dc:creator>
  <cp:lastModifiedBy>Lotta Ambunda</cp:lastModifiedBy>
  <cp:revision>2</cp:revision>
  <cp:lastPrinted>2017-04-21T08:46:00Z</cp:lastPrinted>
  <dcterms:created xsi:type="dcterms:W3CDTF">2017-04-24T09:26:00Z</dcterms:created>
  <dcterms:modified xsi:type="dcterms:W3CDTF">2017-04-24T09:26:00Z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