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A4" w:rsidRPr="00F36EA1" w:rsidRDefault="008562A4" w:rsidP="00B21A61">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8562A4" w:rsidRDefault="008562A4" w:rsidP="00B21A61">
      <w:pPr>
        <w:tabs>
          <w:tab w:val="center" w:pos="4513"/>
          <w:tab w:val="right" w:pos="9027"/>
        </w:tabs>
        <w:spacing w:after="0" w:line="360" w:lineRule="auto"/>
        <w:jc w:val="right"/>
        <w:rPr>
          <w:rFonts w:ascii="Arial" w:hAnsi="Arial" w:cs="Arial"/>
          <w:b/>
          <w:sz w:val="24"/>
          <w:szCs w:val="24"/>
        </w:rPr>
      </w:pPr>
    </w:p>
    <w:p w:rsidR="00EA0DED" w:rsidRPr="006E026B" w:rsidRDefault="00F34074" w:rsidP="00B21A61">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2EB190CA">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F34DC" w:rsidRPr="005713BA" w:rsidRDefault="007F34DC"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190C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7F34DC" w:rsidRPr="005713BA" w:rsidRDefault="007F34DC" w:rsidP="00EA0DED">
                      <w:pPr>
                        <w:jc w:val="center"/>
                      </w:pPr>
                    </w:p>
                  </w:txbxContent>
                </v:textbox>
              </v:shape>
            </w:pict>
          </mc:Fallback>
        </mc:AlternateContent>
      </w:r>
      <w:r w:rsidR="00EA0DED" w:rsidRPr="006E026B">
        <w:rPr>
          <w:rFonts w:ascii="Arial" w:hAnsi="Arial" w:cs="Arial"/>
          <w:b/>
          <w:sz w:val="24"/>
          <w:szCs w:val="24"/>
        </w:rPr>
        <w:t>REPUBLIC OF NAMIBIA</w:t>
      </w:r>
    </w:p>
    <w:p w:rsidR="00EA0DED" w:rsidRDefault="00EA0DED" w:rsidP="00B21A61">
      <w:pPr>
        <w:spacing w:after="0" w:line="360" w:lineRule="auto"/>
        <w:jc w:val="center"/>
        <w:rPr>
          <w:b/>
          <w:sz w:val="32"/>
          <w:szCs w:val="32"/>
        </w:rPr>
      </w:pPr>
      <w:r>
        <w:rPr>
          <w:b/>
          <w:noProof/>
          <w:sz w:val="32"/>
          <w:szCs w:val="32"/>
          <w:lang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EA0DED" w:rsidRPr="006E026B" w:rsidRDefault="00631B09" w:rsidP="00B21A61">
      <w:pPr>
        <w:spacing w:after="0" w:line="360" w:lineRule="auto"/>
        <w:jc w:val="center"/>
        <w:rPr>
          <w:rFonts w:ascii="Arial" w:hAnsi="Arial" w:cs="Arial"/>
          <w:bCs/>
          <w:sz w:val="24"/>
          <w:szCs w:val="24"/>
        </w:rPr>
      </w:pPr>
      <w:r>
        <w:rPr>
          <w:rFonts w:ascii="Arial" w:hAnsi="Arial" w:cs="Arial"/>
          <w:b/>
          <w:sz w:val="24"/>
          <w:szCs w:val="24"/>
        </w:rPr>
        <w:t>HIGH</w:t>
      </w:r>
      <w:r w:rsidR="00EA0DED" w:rsidRPr="006E026B">
        <w:rPr>
          <w:rFonts w:ascii="Arial" w:hAnsi="Arial" w:cs="Arial"/>
          <w:b/>
          <w:sz w:val="24"/>
          <w:szCs w:val="24"/>
        </w:rPr>
        <w:t>COURT OF NAMIBIA MAIN DIVISION, WINDHOEK</w:t>
      </w:r>
    </w:p>
    <w:p w:rsidR="00EA0DED" w:rsidRDefault="00EA0DED" w:rsidP="00B21A61">
      <w:pPr>
        <w:spacing w:after="0" w:line="360" w:lineRule="auto"/>
        <w:jc w:val="center"/>
        <w:rPr>
          <w:rFonts w:ascii="Arial" w:hAnsi="Arial" w:cs="Arial"/>
          <w:b/>
          <w:sz w:val="24"/>
          <w:szCs w:val="24"/>
        </w:rPr>
      </w:pPr>
    </w:p>
    <w:p w:rsidR="00EA0DED" w:rsidRDefault="00F84B80" w:rsidP="00B21A61">
      <w:pPr>
        <w:spacing w:after="0" w:line="360" w:lineRule="auto"/>
        <w:jc w:val="center"/>
        <w:rPr>
          <w:rFonts w:ascii="Arial" w:hAnsi="Arial" w:cs="Arial"/>
          <w:b/>
          <w:sz w:val="24"/>
          <w:szCs w:val="24"/>
        </w:rPr>
      </w:pPr>
      <w:r>
        <w:rPr>
          <w:rFonts w:ascii="Arial" w:hAnsi="Arial" w:cs="Arial"/>
          <w:b/>
          <w:sz w:val="24"/>
          <w:szCs w:val="24"/>
        </w:rPr>
        <w:t>RULING</w:t>
      </w:r>
    </w:p>
    <w:p w:rsidR="000C769A" w:rsidRDefault="000C769A" w:rsidP="00B21A61">
      <w:pPr>
        <w:spacing w:after="0" w:line="360" w:lineRule="auto"/>
        <w:jc w:val="center"/>
        <w:rPr>
          <w:rFonts w:ascii="Arial" w:hAnsi="Arial" w:cs="Arial"/>
          <w:b/>
          <w:sz w:val="24"/>
          <w:szCs w:val="24"/>
        </w:rPr>
      </w:pPr>
    </w:p>
    <w:p w:rsidR="00EA0DED" w:rsidRPr="001B7E1F" w:rsidRDefault="00EA0DED" w:rsidP="00B21A61">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9C1B18">
        <w:rPr>
          <w:rFonts w:ascii="Arial" w:hAnsi="Arial" w:cs="Arial"/>
          <w:sz w:val="24"/>
          <w:szCs w:val="24"/>
        </w:rPr>
        <w:t xml:space="preserve">:  </w:t>
      </w:r>
      <w:r w:rsidR="00F84B80">
        <w:rPr>
          <w:rFonts w:ascii="Arial" w:hAnsi="Arial" w:cs="Arial"/>
          <w:sz w:val="24"/>
          <w:szCs w:val="24"/>
        </w:rPr>
        <w:t xml:space="preserve">I </w:t>
      </w:r>
      <w:r w:rsidR="005534DE">
        <w:rPr>
          <w:rFonts w:ascii="Arial" w:hAnsi="Arial" w:cs="Arial"/>
          <w:sz w:val="24"/>
          <w:szCs w:val="24"/>
        </w:rPr>
        <w:t>1840/2015</w:t>
      </w:r>
    </w:p>
    <w:p w:rsidR="00EA0DED" w:rsidRPr="006E026B" w:rsidRDefault="00EA0DED" w:rsidP="00B21A61">
      <w:pPr>
        <w:spacing w:after="0" w:line="360" w:lineRule="auto"/>
        <w:rPr>
          <w:rFonts w:ascii="Arial" w:hAnsi="Arial" w:cs="Arial"/>
          <w:sz w:val="24"/>
          <w:szCs w:val="24"/>
        </w:rPr>
      </w:pPr>
    </w:p>
    <w:p w:rsidR="00EA0DED" w:rsidRPr="006E026B" w:rsidRDefault="00EA0DED" w:rsidP="00B21A61">
      <w:pPr>
        <w:spacing w:after="0" w:line="360" w:lineRule="auto"/>
        <w:rPr>
          <w:rFonts w:ascii="Arial" w:hAnsi="Arial" w:cs="Arial"/>
          <w:sz w:val="24"/>
          <w:szCs w:val="24"/>
        </w:rPr>
      </w:pPr>
      <w:r w:rsidRPr="006E026B">
        <w:rPr>
          <w:rFonts w:ascii="Arial" w:hAnsi="Arial" w:cs="Arial"/>
          <w:sz w:val="24"/>
          <w:szCs w:val="24"/>
        </w:rPr>
        <w:t xml:space="preserve">In the </w:t>
      </w:r>
      <w:r w:rsidR="00F84B80">
        <w:rPr>
          <w:rFonts w:ascii="Arial" w:hAnsi="Arial" w:cs="Arial"/>
          <w:sz w:val="24"/>
          <w:szCs w:val="24"/>
        </w:rPr>
        <w:t>application</w:t>
      </w:r>
      <w:r w:rsidRPr="006E026B">
        <w:rPr>
          <w:rFonts w:ascii="Arial" w:hAnsi="Arial" w:cs="Arial"/>
          <w:sz w:val="24"/>
          <w:szCs w:val="24"/>
        </w:rPr>
        <w:t xml:space="preserve"> between:</w:t>
      </w:r>
    </w:p>
    <w:p w:rsidR="00EA0DED" w:rsidRPr="006E026B" w:rsidRDefault="00EA0DED" w:rsidP="00B21A61">
      <w:pPr>
        <w:spacing w:after="0" w:line="360" w:lineRule="auto"/>
        <w:rPr>
          <w:rFonts w:ascii="Arial" w:hAnsi="Arial" w:cs="Arial"/>
          <w:sz w:val="24"/>
          <w:szCs w:val="24"/>
        </w:rPr>
      </w:pPr>
    </w:p>
    <w:p w:rsidR="00EA0DED" w:rsidRPr="00FD5D2B" w:rsidRDefault="00A45814" w:rsidP="00B21A61">
      <w:pPr>
        <w:pStyle w:val="Heading4"/>
        <w:tabs>
          <w:tab w:val="right" w:pos="9000"/>
        </w:tabs>
        <w:spacing w:line="360" w:lineRule="auto"/>
        <w:jc w:val="both"/>
        <w:rPr>
          <w:rFonts w:cs="Arial"/>
          <w:b/>
          <w:sz w:val="24"/>
        </w:rPr>
      </w:pPr>
      <w:r>
        <w:rPr>
          <w:rFonts w:cs="Arial"/>
          <w:b/>
          <w:sz w:val="24"/>
        </w:rPr>
        <w:t>RS</w:t>
      </w:r>
      <w:r w:rsidR="00EA0DED" w:rsidRPr="006E026B">
        <w:rPr>
          <w:rFonts w:cs="Arial"/>
          <w:b/>
          <w:sz w:val="24"/>
        </w:rPr>
        <w:tab/>
      </w:r>
      <w:r w:rsidR="00F84B80">
        <w:rPr>
          <w:rFonts w:cs="Arial"/>
          <w:b/>
          <w:sz w:val="24"/>
        </w:rPr>
        <w:t>APPLICANT</w:t>
      </w:r>
      <w:r w:rsidR="00631B09">
        <w:rPr>
          <w:rFonts w:cs="Arial"/>
          <w:b/>
          <w:sz w:val="24"/>
        </w:rPr>
        <w:t>/PLAINTIFF</w:t>
      </w:r>
    </w:p>
    <w:p w:rsidR="0017130D" w:rsidRDefault="0017130D" w:rsidP="00B21A61">
      <w:pPr>
        <w:spacing w:after="0" w:line="360" w:lineRule="auto"/>
        <w:jc w:val="both"/>
        <w:rPr>
          <w:rFonts w:ascii="Arial" w:hAnsi="Arial" w:cs="Arial"/>
          <w:sz w:val="24"/>
          <w:szCs w:val="24"/>
        </w:rPr>
      </w:pPr>
    </w:p>
    <w:p w:rsidR="00EA0DED" w:rsidRDefault="0017130D" w:rsidP="00B21A61">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B21A61">
      <w:pPr>
        <w:spacing w:after="0" w:line="360" w:lineRule="auto"/>
        <w:jc w:val="both"/>
        <w:rPr>
          <w:rFonts w:ascii="Arial" w:hAnsi="Arial" w:cs="Arial"/>
          <w:sz w:val="24"/>
          <w:szCs w:val="24"/>
        </w:rPr>
      </w:pPr>
    </w:p>
    <w:p w:rsidR="00EA0DED" w:rsidRDefault="00A45814" w:rsidP="00B21A61">
      <w:pPr>
        <w:tabs>
          <w:tab w:val="right" w:pos="9000"/>
        </w:tabs>
        <w:spacing w:after="0" w:line="360" w:lineRule="auto"/>
        <w:jc w:val="both"/>
        <w:rPr>
          <w:rFonts w:ascii="Arial" w:hAnsi="Arial" w:cs="Arial"/>
          <w:b/>
          <w:sz w:val="24"/>
          <w:szCs w:val="24"/>
        </w:rPr>
      </w:pPr>
      <w:r>
        <w:rPr>
          <w:rFonts w:ascii="Arial" w:hAnsi="Arial" w:cs="Arial"/>
          <w:b/>
          <w:sz w:val="24"/>
          <w:szCs w:val="24"/>
        </w:rPr>
        <w:t>RS</w:t>
      </w:r>
      <w:r w:rsidR="00EA0DED">
        <w:rPr>
          <w:rFonts w:ascii="Arial" w:hAnsi="Arial" w:cs="Arial"/>
          <w:b/>
          <w:sz w:val="24"/>
          <w:szCs w:val="24"/>
        </w:rPr>
        <w:tab/>
      </w:r>
      <w:r w:rsidR="00F84B80">
        <w:rPr>
          <w:rFonts w:ascii="Arial" w:hAnsi="Arial" w:cs="Arial"/>
          <w:b/>
          <w:sz w:val="24"/>
          <w:szCs w:val="24"/>
        </w:rPr>
        <w:t>RESPONDENT/</w:t>
      </w:r>
      <w:r w:rsidR="00631B09">
        <w:rPr>
          <w:rFonts w:ascii="Arial" w:hAnsi="Arial" w:cs="Arial"/>
          <w:b/>
          <w:sz w:val="24"/>
          <w:szCs w:val="24"/>
        </w:rPr>
        <w:t>DEFENDANT</w:t>
      </w:r>
    </w:p>
    <w:p w:rsidR="001A3BDC" w:rsidRPr="00F84B80" w:rsidRDefault="001A3BDC" w:rsidP="00B21A61">
      <w:pPr>
        <w:tabs>
          <w:tab w:val="right" w:pos="9000"/>
        </w:tabs>
        <w:spacing w:after="0" w:line="360" w:lineRule="auto"/>
        <w:jc w:val="both"/>
        <w:rPr>
          <w:rFonts w:ascii="Arial" w:hAnsi="Arial" w:cs="Arial"/>
          <w:b/>
          <w:sz w:val="24"/>
          <w:szCs w:val="24"/>
        </w:rPr>
      </w:pPr>
    </w:p>
    <w:p w:rsidR="00EA0DED" w:rsidRDefault="00EA0DED" w:rsidP="00B21A61">
      <w:pPr>
        <w:spacing w:after="0" w:line="360" w:lineRule="auto"/>
        <w:jc w:val="both"/>
        <w:rPr>
          <w:rFonts w:ascii="Arial" w:hAnsi="Arial" w:cs="Arial"/>
          <w:sz w:val="24"/>
          <w:szCs w:val="24"/>
        </w:rPr>
      </w:pPr>
    </w:p>
    <w:p w:rsidR="00E17BBB" w:rsidRPr="00E17BBB" w:rsidRDefault="00EA0DED" w:rsidP="00B21A61">
      <w:pPr>
        <w:spacing w:after="0" w:line="360" w:lineRule="auto"/>
        <w:ind w:left="2160" w:hanging="2160"/>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E17BBB" w:rsidRPr="00E17BBB">
        <w:rPr>
          <w:rFonts w:ascii="Arial" w:hAnsi="Arial" w:cs="Arial"/>
          <w:i/>
          <w:sz w:val="24"/>
          <w:szCs w:val="24"/>
        </w:rPr>
        <w:t xml:space="preserve">RS v RS (I 1840/2015) [2017] </w:t>
      </w:r>
      <w:r w:rsidR="00D976B6">
        <w:rPr>
          <w:rFonts w:ascii="Arial" w:hAnsi="Arial" w:cs="Arial"/>
          <w:i/>
          <w:sz w:val="24"/>
          <w:szCs w:val="24"/>
        </w:rPr>
        <w:t>NAHCMD 128</w:t>
      </w:r>
      <w:r w:rsidR="00E17BBB" w:rsidRPr="00E17BBB">
        <w:rPr>
          <w:rFonts w:ascii="Arial" w:hAnsi="Arial" w:cs="Arial"/>
          <w:i/>
          <w:sz w:val="24"/>
          <w:szCs w:val="24"/>
        </w:rPr>
        <w:t xml:space="preserve"> (12 April 2017)</w:t>
      </w:r>
    </w:p>
    <w:p w:rsidR="00EA0DED" w:rsidRDefault="00EA0DED" w:rsidP="00B21A61">
      <w:pPr>
        <w:spacing w:after="0" w:line="360" w:lineRule="auto"/>
        <w:ind w:left="2160" w:hanging="2160"/>
        <w:jc w:val="both"/>
        <w:rPr>
          <w:rFonts w:ascii="Arial" w:hAnsi="Arial" w:cs="Arial"/>
          <w:b/>
          <w:sz w:val="24"/>
          <w:szCs w:val="24"/>
        </w:rPr>
      </w:pPr>
    </w:p>
    <w:p w:rsidR="00EA0DED" w:rsidRPr="006E026B" w:rsidRDefault="00EA0DED" w:rsidP="00B21A61">
      <w:pPr>
        <w:spacing w:after="0" w:line="360" w:lineRule="auto"/>
        <w:jc w:val="both"/>
        <w:rPr>
          <w:rFonts w:ascii="Arial" w:hAnsi="Arial" w:cs="Arial"/>
          <w:sz w:val="24"/>
          <w:szCs w:val="24"/>
        </w:rPr>
      </w:pPr>
    </w:p>
    <w:p w:rsidR="003531C5" w:rsidRDefault="00EA0DED" w:rsidP="00B21A61">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5534DE">
        <w:rPr>
          <w:rFonts w:ascii="Arial" w:hAnsi="Arial" w:cs="Arial"/>
          <w:sz w:val="24"/>
          <w:szCs w:val="24"/>
        </w:rPr>
        <w:t>PRINSLOO</w:t>
      </w:r>
      <w:r>
        <w:rPr>
          <w:rFonts w:ascii="Arial" w:hAnsi="Arial" w:cs="Arial"/>
          <w:sz w:val="24"/>
          <w:szCs w:val="24"/>
        </w:rPr>
        <w:t xml:space="preserve"> AJ</w:t>
      </w:r>
    </w:p>
    <w:p w:rsidR="003531C5" w:rsidRPr="000C769A" w:rsidRDefault="00EA0DED" w:rsidP="00B21A61">
      <w:pPr>
        <w:spacing w:after="0" w:line="360" w:lineRule="auto"/>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5534DE" w:rsidRPr="000C769A">
        <w:rPr>
          <w:rFonts w:ascii="Arial" w:hAnsi="Arial" w:cs="Arial"/>
          <w:sz w:val="24"/>
          <w:szCs w:val="24"/>
        </w:rPr>
        <w:t>17 March 2017</w:t>
      </w:r>
    </w:p>
    <w:p w:rsidR="003531C5" w:rsidRPr="000C769A" w:rsidRDefault="00EA0DED" w:rsidP="00B21A61">
      <w:pPr>
        <w:spacing w:after="0" w:line="360" w:lineRule="auto"/>
        <w:rPr>
          <w:rFonts w:ascii="Arial" w:hAnsi="Arial" w:cs="Arial"/>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5534DE" w:rsidRPr="000C769A">
        <w:rPr>
          <w:rFonts w:ascii="Arial" w:hAnsi="Arial" w:cs="Arial"/>
          <w:sz w:val="24"/>
          <w:szCs w:val="24"/>
        </w:rPr>
        <w:t>12 April</w:t>
      </w:r>
      <w:r w:rsidR="00893642" w:rsidRPr="000C769A">
        <w:rPr>
          <w:rFonts w:ascii="Arial" w:hAnsi="Arial" w:cs="Arial"/>
          <w:sz w:val="24"/>
          <w:szCs w:val="24"/>
        </w:rPr>
        <w:t xml:space="preserve"> 2017</w:t>
      </w:r>
    </w:p>
    <w:p w:rsidR="00DA2A36" w:rsidRDefault="00696524" w:rsidP="00B21A61">
      <w:pPr>
        <w:spacing w:after="0" w:line="360" w:lineRule="auto"/>
        <w:rPr>
          <w:rFonts w:ascii="Arial" w:hAnsi="Arial" w:cs="Arial"/>
          <w:sz w:val="24"/>
          <w:szCs w:val="24"/>
        </w:rPr>
      </w:pPr>
      <w:r>
        <w:rPr>
          <w:rFonts w:ascii="Arial" w:hAnsi="Arial" w:cs="Arial"/>
          <w:b/>
          <w:sz w:val="24"/>
          <w:szCs w:val="24"/>
        </w:rPr>
        <w:t xml:space="preserve">Reasons provided: </w:t>
      </w:r>
      <w:r>
        <w:rPr>
          <w:rFonts w:ascii="Arial" w:hAnsi="Arial" w:cs="Arial"/>
          <w:sz w:val="24"/>
          <w:szCs w:val="24"/>
        </w:rPr>
        <w:t>28</w:t>
      </w:r>
      <w:r w:rsidR="002F0035" w:rsidRPr="002F0035">
        <w:rPr>
          <w:rFonts w:ascii="Arial" w:hAnsi="Arial" w:cs="Arial"/>
          <w:sz w:val="24"/>
          <w:szCs w:val="24"/>
        </w:rPr>
        <w:t xml:space="preserve"> April 2017</w:t>
      </w:r>
    </w:p>
    <w:p w:rsidR="00A45814" w:rsidRDefault="00A45814" w:rsidP="00B21A61">
      <w:pPr>
        <w:spacing w:after="0" w:line="360" w:lineRule="auto"/>
        <w:rPr>
          <w:rFonts w:ascii="Arial" w:hAnsi="Arial" w:cs="Arial"/>
          <w:b/>
          <w:sz w:val="24"/>
          <w:szCs w:val="24"/>
        </w:rPr>
      </w:pPr>
    </w:p>
    <w:p w:rsidR="00EA0DED" w:rsidRDefault="00EA0DED" w:rsidP="00B21A61">
      <w:pPr>
        <w:spacing w:after="0" w:line="360" w:lineRule="auto"/>
        <w:jc w:val="both"/>
        <w:rPr>
          <w:rFonts w:ascii="Arial" w:hAnsi="Arial" w:cs="Arial"/>
          <w:b/>
          <w:sz w:val="24"/>
          <w:szCs w:val="24"/>
        </w:rPr>
      </w:pPr>
    </w:p>
    <w:p w:rsidR="000C769A" w:rsidRDefault="00E663A1" w:rsidP="00B21A61">
      <w:pPr>
        <w:spacing w:after="0" w:line="360" w:lineRule="auto"/>
        <w:jc w:val="both"/>
        <w:rPr>
          <w:rFonts w:ascii="Arial" w:hAnsi="Arial" w:cs="Arial"/>
          <w:sz w:val="24"/>
          <w:szCs w:val="24"/>
        </w:rPr>
      </w:pPr>
      <w:proofErr w:type="spellStart"/>
      <w:r w:rsidRPr="00BE357B">
        <w:rPr>
          <w:rFonts w:ascii="Arial" w:hAnsi="Arial" w:cs="Arial"/>
          <w:b/>
          <w:sz w:val="24"/>
          <w:szCs w:val="24"/>
        </w:rPr>
        <w:t>Flynote</w:t>
      </w:r>
      <w:proofErr w:type="spellEnd"/>
      <w:r>
        <w:rPr>
          <w:rFonts w:ascii="Arial" w:hAnsi="Arial" w:cs="Arial"/>
          <w:sz w:val="24"/>
          <w:szCs w:val="24"/>
        </w:rPr>
        <w:t>:</w:t>
      </w:r>
      <w:r w:rsidR="000C769A">
        <w:rPr>
          <w:rFonts w:ascii="Arial" w:hAnsi="Arial" w:cs="Arial"/>
          <w:sz w:val="24"/>
          <w:szCs w:val="24"/>
        </w:rPr>
        <w:tab/>
      </w:r>
      <w:r w:rsidR="001A3BDC">
        <w:rPr>
          <w:rFonts w:ascii="Arial" w:hAnsi="Arial" w:cs="Arial"/>
          <w:sz w:val="24"/>
          <w:szCs w:val="24"/>
        </w:rPr>
        <w:t>Interlocutory – M</w:t>
      </w:r>
      <w:r w:rsidR="001A3BDC" w:rsidRPr="001A3BDC">
        <w:rPr>
          <w:rFonts w:ascii="Arial" w:hAnsi="Arial" w:cs="Arial"/>
          <w:sz w:val="24"/>
          <w:szCs w:val="24"/>
        </w:rPr>
        <w:t xml:space="preserve">atrimonial – </w:t>
      </w:r>
      <w:r w:rsidR="001A3BDC" w:rsidRPr="001A3BDC">
        <w:rPr>
          <w:rFonts w:ascii="Arial" w:hAnsi="Arial" w:cs="Arial"/>
          <w:i/>
          <w:sz w:val="24"/>
          <w:szCs w:val="24"/>
        </w:rPr>
        <w:t>Rule 90</w:t>
      </w:r>
      <w:r w:rsidR="001A3BDC">
        <w:rPr>
          <w:rFonts w:ascii="Arial" w:hAnsi="Arial" w:cs="Arial"/>
          <w:sz w:val="24"/>
          <w:szCs w:val="24"/>
        </w:rPr>
        <w:t xml:space="preserve"> application – P</w:t>
      </w:r>
      <w:r w:rsidR="001A3BDC" w:rsidRPr="001A3BDC">
        <w:rPr>
          <w:rFonts w:ascii="Arial" w:hAnsi="Arial" w:cs="Arial"/>
          <w:sz w:val="24"/>
          <w:szCs w:val="24"/>
        </w:rPr>
        <w:t xml:space="preserve">laintiff applied for maintenance </w:t>
      </w:r>
      <w:r w:rsidR="00353A27">
        <w:rPr>
          <w:rFonts w:ascii="Arial" w:hAnsi="Arial" w:cs="Arial"/>
          <w:i/>
          <w:sz w:val="24"/>
          <w:szCs w:val="24"/>
        </w:rPr>
        <w:t xml:space="preserve">pendent </w:t>
      </w:r>
      <w:proofErr w:type="spellStart"/>
      <w:r w:rsidR="001A3BDC" w:rsidRPr="001A3BDC">
        <w:rPr>
          <w:rFonts w:ascii="Arial" w:hAnsi="Arial" w:cs="Arial"/>
          <w:i/>
          <w:sz w:val="24"/>
          <w:szCs w:val="24"/>
        </w:rPr>
        <w:t>lite</w:t>
      </w:r>
      <w:proofErr w:type="spellEnd"/>
      <w:r w:rsidR="001A3BDC">
        <w:rPr>
          <w:rFonts w:ascii="Arial" w:hAnsi="Arial" w:cs="Arial"/>
          <w:i/>
          <w:sz w:val="24"/>
          <w:szCs w:val="24"/>
        </w:rPr>
        <w:t xml:space="preserve"> – </w:t>
      </w:r>
      <w:r w:rsidR="001A3BDC" w:rsidRPr="001A3BDC">
        <w:rPr>
          <w:rFonts w:ascii="Arial" w:hAnsi="Arial" w:cs="Arial"/>
          <w:sz w:val="24"/>
          <w:szCs w:val="24"/>
        </w:rPr>
        <w:t xml:space="preserve">An applicant must in the first instance make out a prima facie case in the main action. Should such an applicant fail to do so that is the end of </w:t>
      </w:r>
      <w:r w:rsidR="001A3BDC" w:rsidRPr="001A3BDC">
        <w:rPr>
          <w:rFonts w:ascii="Arial" w:hAnsi="Arial" w:cs="Arial"/>
          <w:sz w:val="24"/>
          <w:szCs w:val="24"/>
        </w:rPr>
        <w:lastRenderedPageBreak/>
        <w:t xml:space="preserve">the </w:t>
      </w:r>
      <w:proofErr w:type="gramStart"/>
      <w:r w:rsidR="001A3BDC" w:rsidRPr="001A3BDC">
        <w:rPr>
          <w:rFonts w:ascii="Arial" w:hAnsi="Arial" w:cs="Arial"/>
          <w:sz w:val="24"/>
          <w:szCs w:val="24"/>
        </w:rPr>
        <w:t>application.</w:t>
      </w:r>
      <w:proofErr w:type="gramEnd"/>
      <w:r w:rsidR="001A3BDC" w:rsidRPr="001A3BDC">
        <w:rPr>
          <w:rFonts w:ascii="Arial" w:hAnsi="Arial" w:cs="Arial"/>
          <w:sz w:val="24"/>
          <w:szCs w:val="24"/>
        </w:rPr>
        <w:t xml:space="preserve"> However should an applicant discharge this onus, the court would then consider the relief sought in the application</w:t>
      </w:r>
      <w:r w:rsidR="001A3BDC">
        <w:rPr>
          <w:rFonts w:ascii="Arial" w:hAnsi="Arial" w:cs="Arial"/>
          <w:sz w:val="24"/>
          <w:szCs w:val="24"/>
        </w:rPr>
        <w:t xml:space="preserve"> – The Court is not</w:t>
      </w:r>
      <w:r w:rsidR="001A3BDC" w:rsidRPr="001A3BDC">
        <w:rPr>
          <w:rFonts w:ascii="Arial" w:hAnsi="Arial" w:cs="Arial"/>
          <w:sz w:val="24"/>
          <w:szCs w:val="24"/>
        </w:rPr>
        <w:t xml:space="preserve"> persuaded that this is a matter of unusual complexities or exceptional circumstance and can find no justification for the inordinate prolixity in the papers on the part of both parties</w:t>
      </w:r>
      <w:r w:rsidR="001A3BDC">
        <w:rPr>
          <w:rFonts w:ascii="Arial" w:hAnsi="Arial" w:cs="Arial"/>
          <w:sz w:val="24"/>
          <w:szCs w:val="24"/>
        </w:rPr>
        <w:t>.</w:t>
      </w:r>
    </w:p>
    <w:p w:rsidR="001A3BDC" w:rsidRPr="001A3BDC" w:rsidRDefault="001A3BDC" w:rsidP="00B21A61">
      <w:pPr>
        <w:spacing w:after="0" w:line="360" w:lineRule="auto"/>
        <w:jc w:val="both"/>
        <w:rPr>
          <w:rFonts w:ascii="Arial" w:hAnsi="Arial" w:cs="Arial"/>
          <w:sz w:val="24"/>
          <w:szCs w:val="24"/>
        </w:rPr>
      </w:pPr>
    </w:p>
    <w:p w:rsidR="00DA2A36" w:rsidRDefault="00E663A1" w:rsidP="00B21A61">
      <w:pPr>
        <w:spacing w:after="0" w:line="360" w:lineRule="auto"/>
        <w:jc w:val="both"/>
        <w:rPr>
          <w:rFonts w:ascii="Arial" w:hAnsi="Arial" w:cs="Arial"/>
          <w:sz w:val="24"/>
          <w:szCs w:val="24"/>
        </w:rPr>
      </w:pPr>
      <w:r w:rsidRPr="00BE357B">
        <w:rPr>
          <w:rFonts w:ascii="Arial" w:hAnsi="Arial" w:cs="Arial"/>
          <w:b/>
          <w:sz w:val="24"/>
          <w:szCs w:val="24"/>
        </w:rPr>
        <w:t>Summary</w:t>
      </w:r>
      <w:r>
        <w:rPr>
          <w:rFonts w:ascii="Arial" w:hAnsi="Arial" w:cs="Arial"/>
          <w:sz w:val="24"/>
          <w:szCs w:val="24"/>
        </w:rPr>
        <w:t>:</w:t>
      </w:r>
      <w:r>
        <w:rPr>
          <w:rFonts w:ascii="Arial" w:hAnsi="Arial" w:cs="Arial"/>
          <w:sz w:val="24"/>
          <w:szCs w:val="24"/>
        </w:rPr>
        <w:tab/>
      </w:r>
      <w:r w:rsidR="001A3BDC" w:rsidRPr="001A3BDC">
        <w:rPr>
          <w:rFonts w:ascii="Arial" w:hAnsi="Arial" w:cs="Arial"/>
          <w:sz w:val="24"/>
          <w:szCs w:val="24"/>
        </w:rPr>
        <w:t>On the 24</w:t>
      </w:r>
      <w:r w:rsidR="001A3BDC" w:rsidRPr="001A3BDC">
        <w:rPr>
          <w:rFonts w:ascii="Arial" w:hAnsi="Arial" w:cs="Arial"/>
          <w:sz w:val="24"/>
          <w:szCs w:val="24"/>
          <w:vertAlign w:val="superscript"/>
        </w:rPr>
        <w:t>th</w:t>
      </w:r>
      <w:r w:rsidR="001A3BDC" w:rsidRPr="001A3BDC">
        <w:rPr>
          <w:rFonts w:ascii="Arial" w:hAnsi="Arial" w:cs="Arial"/>
          <w:sz w:val="24"/>
          <w:szCs w:val="24"/>
        </w:rPr>
        <w:t xml:space="preserve"> of October 2016 the applicant filed an application in terms of </w:t>
      </w:r>
      <w:r w:rsidR="001A3BDC" w:rsidRPr="001A3BDC">
        <w:rPr>
          <w:rFonts w:ascii="Arial" w:hAnsi="Arial" w:cs="Arial"/>
          <w:i/>
          <w:sz w:val="24"/>
          <w:szCs w:val="24"/>
        </w:rPr>
        <w:t xml:space="preserve">Rule 90(2) </w:t>
      </w:r>
      <w:r w:rsidR="001A3BDC" w:rsidRPr="001A3BDC">
        <w:rPr>
          <w:rFonts w:ascii="Arial" w:hAnsi="Arial" w:cs="Arial"/>
          <w:sz w:val="24"/>
          <w:szCs w:val="24"/>
        </w:rPr>
        <w:t>of the High Court Rules claiming interim maintenance for herself pending the finalization of their divorce</w:t>
      </w:r>
      <w:r w:rsidR="001A3BDC">
        <w:rPr>
          <w:rFonts w:ascii="Arial" w:hAnsi="Arial" w:cs="Arial"/>
          <w:sz w:val="24"/>
          <w:szCs w:val="24"/>
        </w:rPr>
        <w:t>. C</w:t>
      </w:r>
      <w:r w:rsidR="001A3BDC" w:rsidRPr="001A3BDC">
        <w:rPr>
          <w:rFonts w:ascii="Arial" w:hAnsi="Arial" w:cs="Arial"/>
          <w:sz w:val="24"/>
          <w:szCs w:val="24"/>
        </w:rPr>
        <w:t>ounsel for the respondent applied to have the application struck off the roll on the basis that it is an abuse of the process of this Court.</w:t>
      </w:r>
    </w:p>
    <w:p w:rsidR="001A3BDC" w:rsidRDefault="001A3BDC" w:rsidP="00B21A61">
      <w:pPr>
        <w:spacing w:after="0" w:line="360" w:lineRule="auto"/>
        <w:jc w:val="both"/>
        <w:rPr>
          <w:rFonts w:ascii="Arial" w:hAnsi="Arial" w:cs="Arial"/>
          <w:sz w:val="24"/>
          <w:szCs w:val="24"/>
        </w:rPr>
      </w:pPr>
    </w:p>
    <w:p w:rsidR="001A3BDC" w:rsidRDefault="001A3BDC" w:rsidP="00B21A61">
      <w:pPr>
        <w:spacing w:after="0" w:line="360" w:lineRule="auto"/>
        <w:jc w:val="both"/>
        <w:rPr>
          <w:rFonts w:ascii="Arial" w:hAnsi="Arial" w:cs="Arial"/>
          <w:sz w:val="24"/>
          <w:szCs w:val="24"/>
        </w:rPr>
      </w:pPr>
      <w:r>
        <w:rPr>
          <w:rFonts w:ascii="Arial" w:hAnsi="Arial" w:cs="Arial"/>
          <w:i/>
          <w:sz w:val="24"/>
          <w:szCs w:val="24"/>
        </w:rPr>
        <w:t>Court h</w:t>
      </w:r>
      <w:r w:rsidRPr="001A3BDC">
        <w:rPr>
          <w:rFonts w:ascii="Arial" w:hAnsi="Arial" w:cs="Arial"/>
          <w:i/>
          <w:sz w:val="24"/>
          <w:szCs w:val="24"/>
        </w:rPr>
        <w:t>eld:</w:t>
      </w:r>
      <w:r w:rsidRPr="001A3BDC">
        <w:rPr>
          <w:rFonts w:ascii="Arial" w:hAnsi="Arial" w:cs="Arial"/>
          <w:i/>
          <w:sz w:val="24"/>
          <w:szCs w:val="24"/>
        </w:rPr>
        <w:tab/>
      </w:r>
      <w:r w:rsidRPr="001A3BDC">
        <w:rPr>
          <w:rFonts w:ascii="Arial" w:hAnsi="Arial" w:cs="Arial"/>
          <w:sz w:val="24"/>
          <w:szCs w:val="24"/>
        </w:rPr>
        <w:t xml:space="preserve">The Purpose of Rule 90 </w:t>
      </w:r>
      <w:proofErr w:type="spellStart"/>
      <w:r w:rsidRPr="001A3BDC">
        <w:rPr>
          <w:rFonts w:ascii="Arial" w:hAnsi="Arial" w:cs="Arial"/>
          <w:sz w:val="24"/>
          <w:szCs w:val="24"/>
        </w:rPr>
        <w:t>applicationto</w:t>
      </w:r>
      <w:proofErr w:type="spellEnd"/>
      <w:r w:rsidRPr="001A3BDC">
        <w:rPr>
          <w:rFonts w:ascii="Arial" w:hAnsi="Arial" w:cs="Arial"/>
          <w:sz w:val="24"/>
          <w:szCs w:val="24"/>
        </w:rPr>
        <w:t xml:space="preserve"> demand that there should be only a very brief statement by the applicant of the reasons why he or she is asking for the relief claimed and an equally succinct reply by the respondent and that the Court is then to do its best to arrive expeditiously at a decision as to what order should be made </w:t>
      </w:r>
      <w:r w:rsidR="00353A27">
        <w:rPr>
          <w:rFonts w:ascii="Arial" w:hAnsi="Arial" w:cs="Arial"/>
          <w:i/>
          <w:sz w:val="24"/>
          <w:szCs w:val="24"/>
        </w:rPr>
        <w:t xml:space="preserve">pendent </w:t>
      </w:r>
      <w:proofErr w:type="spellStart"/>
      <w:r w:rsidRPr="001A3BDC">
        <w:rPr>
          <w:rFonts w:ascii="Arial" w:hAnsi="Arial" w:cs="Arial"/>
          <w:i/>
          <w:sz w:val="24"/>
          <w:szCs w:val="24"/>
        </w:rPr>
        <w:t>lite</w:t>
      </w:r>
      <w:proofErr w:type="spellEnd"/>
      <w:r w:rsidRPr="001A3BDC">
        <w:rPr>
          <w:rFonts w:ascii="Arial" w:hAnsi="Arial" w:cs="Arial"/>
          <w:sz w:val="24"/>
          <w:szCs w:val="24"/>
        </w:rPr>
        <w:t>. However</w:t>
      </w:r>
      <w:r w:rsidR="00BC2864">
        <w:rPr>
          <w:rFonts w:ascii="Arial" w:hAnsi="Arial" w:cs="Arial"/>
          <w:sz w:val="24"/>
          <w:szCs w:val="24"/>
        </w:rPr>
        <w:t xml:space="preserve"> t</w:t>
      </w:r>
      <w:r w:rsidRPr="001A3BDC">
        <w:rPr>
          <w:rFonts w:ascii="Arial" w:hAnsi="Arial" w:cs="Arial"/>
          <w:sz w:val="24"/>
          <w:szCs w:val="24"/>
        </w:rPr>
        <w:t xml:space="preserve">he Court must have a balanced and sensible approach to an application of this nature and each matter need to be treated on its merits.  </w:t>
      </w:r>
    </w:p>
    <w:p w:rsidR="001A3BDC" w:rsidRDefault="001A3BDC" w:rsidP="00B21A61">
      <w:pPr>
        <w:spacing w:after="0" w:line="360" w:lineRule="auto"/>
        <w:jc w:val="both"/>
        <w:rPr>
          <w:rFonts w:ascii="Arial" w:hAnsi="Arial" w:cs="Arial"/>
          <w:sz w:val="24"/>
          <w:szCs w:val="24"/>
        </w:rPr>
      </w:pPr>
    </w:p>
    <w:p w:rsidR="001A3BDC" w:rsidRPr="001A3BDC" w:rsidRDefault="001A3BDC" w:rsidP="00B21A61">
      <w:pPr>
        <w:spacing w:after="0" w:line="360" w:lineRule="auto"/>
        <w:jc w:val="both"/>
        <w:rPr>
          <w:rFonts w:ascii="Arial" w:hAnsi="Arial" w:cs="Arial"/>
          <w:sz w:val="24"/>
          <w:szCs w:val="24"/>
        </w:rPr>
      </w:pPr>
      <w:r>
        <w:rPr>
          <w:rFonts w:ascii="Arial" w:hAnsi="Arial" w:cs="Arial"/>
          <w:i/>
          <w:sz w:val="24"/>
          <w:szCs w:val="24"/>
        </w:rPr>
        <w:t xml:space="preserve">Court </w:t>
      </w:r>
      <w:r w:rsidRPr="001A3BDC">
        <w:rPr>
          <w:rFonts w:ascii="Arial" w:hAnsi="Arial" w:cs="Arial"/>
          <w:i/>
          <w:sz w:val="24"/>
          <w:szCs w:val="24"/>
        </w:rPr>
        <w:t>held</w:t>
      </w:r>
      <w:r>
        <w:rPr>
          <w:rFonts w:ascii="Arial" w:hAnsi="Arial" w:cs="Arial"/>
          <w:i/>
          <w:sz w:val="24"/>
          <w:szCs w:val="24"/>
        </w:rPr>
        <w:t xml:space="preserve"> further</w:t>
      </w:r>
      <w:r w:rsidRPr="001A3BDC">
        <w:rPr>
          <w:rFonts w:ascii="Arial" w:hAnsi="Arial" w:cs="Arial"/>
          <w:i/>
          <w:sz w:val="24"/>
          <w:szCs w:val="24"/>
        </w:rPr>
        <w:t>:</w:t>
      </w:r>
      <w:r w:rsidRPr="001A3BDC">
        <w:rPr>
          <w:rFonts w:ascii="Arial" w:hAnsi="Arial" w:cs="Arial"/>
          <w:i/>
          <w:sz w:val="24"/>
          <w:szCs w:val="24"/>
        </w:rPr>
        <w:tab/>
      </w:r>
      <w:r w:rsidRPr="001A3BDC">
        <w:rPr>
          <w:rFonts w:ascii="Arial" w:hAnsi="Arial" w:cs="Arial"/>
          <w:sz w:val="24"/>
          <w:szCs w:val="24"/>
        </w:rPr>
        <w:t xml:space="preserve">Maintenance </w:t>
      </w:r>
      <w:r w:rsidR="00353A27">
        <w:rPr>
          <w:rFonts w:ascii="Arial" w:hAnsi="Arial" w:cs="Arial"/>
          <w:i/>
          <w:sz w:val="24"/>
          <w:szCs w:val="24"/>
        </w:rPr>
        <w:t xml:space="preserve">pendent </w:t>
      </w:r>
      <w:proofErr w:type="spellStart"/>
      <w:r w:rsidRPr="001A3BDC">
        <w:rPr>
          <w:rFonts w:ascii="Arial" w:hAnsi="Arial" w:cs="Arial"/>
          <w:i/>
          <w:sz w:val="24"/>
          <w:szCs w:val="24"/>
        </w:rPr>
        <w:t>lite</w:t>
      </w:r>
      <w:proofErr w:type="spellEnd"/>
      <w:r w:rsidRPr="001A3BDC">
        <w:rPr>
          <w:rFonts w:ascii="Arial" w:hAnsi="Arial" w:cs="Arial"/>
          <w:sz w:val="24"/>
          <w:szCs w:val="24"/>
        </w:rPr>
        <w:t xml:space="preserve"> is intended to afford temporary relief; thus the Courts do not insist on the claim being presented with the same degree of precision and exactitude as is afforded by detailed evidence.</w:t>
      </w:r>
    </w:p>
    <w:p w:rsidR="005534DE" w:rsidRDefault="005534DE" w:rsidP="00B21A61">
      <w:pPr>
        <w:spacing w:after="0" w:line="360" w:lineRule="auto"/>
        <w:jc w:val="both"/>
        <w:rPr>
          <w:rFonts w:ascii="Arial" w:hAnsi="Arial" w:cs="Arial"/>
          <w:sz w:val="24"/>
          <w:szCs w:val="24"/>
        </w:rPr>
      </w:pPr>
    </w:p>
    <w:p w:rsidR="001A3BDC" w:rsidRDefault="001A3BDC" w:rsidP="00B21A61">
      <w:pPr>
        <w:spacing w:after="0" w:line="360" w:lineRule="auto"/>
        <w:jc w:val="both"/>
        <w:rPr>
          <w:rFonts w:ascii="Arial" w:hAnsi="Arial" w:cs="Arial"/>
          <w:sz w:val="24"/>
          <w:szCs w:val="24"/>
        </w:rPr>
      </w:pPr>
      <w:r w:rsidRPr="00BC2864">
        <w:rPr>
          <w:rFonts w:ascii="Arial" w:hAnsi="Arial" w:cs="Arial"/>
          <w:i/>
          <w:sz w:val="24"/>
          <w:szCs w:val="24"/>
        </w:rPr>
        <w:t>Court held further</w:t>
      </w:r>
      <w:r>
        <w:rPr>
          <w:rFonts w:ascii="Arial" w:hAnsi="Arial" w:cs="Arial"/>
          <w:sz w:val="24"/>
          <w:szCs w:val="24"/>
        </w:rPr>
        <w:t>:</w:t>
      </w:r>
      <w:r>
        <w:rPr>
          <w:rFonts w:ascii="Arial" w:hAnsi="Arial" w:cs="Arial"/>
          <w:sz w:val="24"/>
          <w:szCs w:val="24"/>
        </w:rPr>
        <w:tab/>
      </w:r>
      <w:r w:rsidRPr="001A3BDC">
        <w:rPr>
          <w:rFonts w:ascii="Arial" w:hAnsi="Arial" w:cs="Arial"/>
          <w:sz w:val="24"/>
          <w:szCs w:val="24"/>
        </w:rPr>
        <w:t xml:space="preserve">Prolixity in these proceeding is not in accordance with the spirit and purport of Rule 90 and </w:t>
      </w:r>
      <w:r w:rsidR="00BC2864">
        <w:rPr>
          <w:rFonts w:ascii="Arial" w:hAnsi="Arial" w:cs="Arial"/>
          <w:sz w:val="24"/>
          <w:szCs w:val="24"/>
        </w:rPr>
        <w:t xml:space="preserve">is </w:t>
      </w:r>
      <w:r w:rsidRPr="001A3BDC">
        <w:rPr>
          <w:rFonts w:ascii="Arial" w:hAnsi="Arial" w:cs="Arial"/>
          <w:sz w:val="24"/>
          <w:szCs w:val="24"/>
        </w:rPr>
        <w:t>an abuse of process because it defeats the purpose or object of the rule</w:t>
      </w:r>
      <w:r>
        <w:rPr>
          <w:rFonts w:ascii="Arial" w:hAnsi="Arial" w:cs="Arial"/>
          <w:sz w:val="24"/>
          <w:szCs w:val="24"/>
        </w:rPr>
        <w:t>. Application is struck.</w:t>
      </w:r>
    </w:p>
    <w:p w:rsidR="005534DE" w:rsidRDefault="005534DE" w:rsidP="00B21A61">
      <w:pPr>
        <w:spacing w:after="0" w:line="360" w:lineRule="auto"/>
        <w:jc w:val="both"/>
        <w:rPr>
          <w:rFonts w:ascii="Arial" w:hAnsi="Arial" w:cs="Arial"/>
          <w:sz w:val="24"/>
          <w:szCs w:val="24"/>
        </w:rPr>
      </w:pPr>
    </w:p>
    <w:p w:rsidR="00EA0DED" w:rsidRPr="006E026B" w:rsidRDefault="000329C5" w:rsidP="00B21A61">
      <w:pPr>
        <w:spacing w:after="0" w:line="360" w:lineRule="auto"/>
        <w:jc w:val="both"/>
        <w:rPr>
          <w:rFonts w:ascii="Arial" w:hAnsi="Arial" w:cs="Arial"/>
          <w:bCs/>
          <w:sz w:val="24"/>
          <w:szCs w:val="24"/>
        </w:rPr>
      </w:pPr>
      <w:r>
        <w:rPr>
          <w:rFonts w:ascii="Arial" w:hAnsi="Arial" w:cs="Arial"/>
          <w:bCs/>
          <w:sz w:val="24"/>
          <w:szCs w:val="24"/>
        </w:rPr>
        <w:pict w14:anchorId="080D2228">
          <v:rect id="_x0000_i1025" style="width:0;height:1.5pt" o:hralign="center" o:hrstd="t" o:hr="t" fillcolor="#a0a0a0" stroked="f"/>
        </w:pict>
      </w:r>
    </w:p>
    <w:p w:rsidR="00EA0DED" w:rsidRPr="006E026B" w:rsidRDefault="00EA0DED" w:rsidP="00B21A61">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0329C5" w:rsidP="00B21A61">
      <w:pPr>
        <w:spacing w:after="0" w:line="360" w:lineRule="auto"/>
        <w:jc w:val="center"/>
        <w:rPr>
          <w:rFonts w:ascii="Arial" w:hAnsi="Arial" w:cs="Arial"/>
          <w:b/>
          <w:bCs/>
          <w:sz w:val="24"/>
          <w:szCs w:val="24"/>
        </w:rPr>
      </w:pPr>
      <w:r>
        <w:rPr>
          <w:rFonts w:ascii="Arial" w:hAnsi="Arial" w:cs="Arial"/>
          <w:bCs/>
          <w:sz w:val="24"/>
          <w:szCs w:val="24"/>
        </w:rPr>
        <w:pict w14:anchorId="34CFB767">
          <v:rect id="_x0000_i1026" style="width:0;height:1.5pt" o:hralign="center" o:hrstd="t" o:hr="t" fillcolor="#a0a0a0" stroked="f"/>
        </w:pict>
      </w:r>
    </w:p>
    <w:p w:rsidR="006D2758" w:rsidRDefault="006D2758" w:rsidP="00B21A61">
      <w:pPr>
        <w:pStyle w:val="ListParagraph"/>
        <w:spacing w:after="0" w:line="360" w:lineRule="auto"/>
        <w:ind w:left="1080"/>
        <w:jc w:val="both"/>
        <w:rPr>
          <w:rFonts w:ascii="Arial" w:hAnsi="Arial" w:cs="Arial"/>
          <w:sz w:val="24"/>
          <w:szCs w:val="24"/>
        </w:rPr>
      </w:pPr>
    </w:p>
    <w:p w:rsidR="00BC2864" w:rsidRDefault="00BC2864" w:rsidP="00B21A61">
      <w:pPr>
        <w:pStyle w:val="ListParagraph"/>
        <w:numPr>
          <w:ilvl w:val="0"/>
          <w:numId w:val="22"/>
        </w:numPr>
        <w:spacing w:after="0" w:line="480" w:lineRule="auto"/>
        <w:jc w:val="both"/>
        <w:rPr>
          <w:rFonts w:ascii="Arial" w:hAnsi="Arial" w:cs="Arial"/>
          <w:sz w:val="24"/>
          <w:szCs w:val="24"/>
        </w:rPr>
      </w:pPr>
      <w:r w:rsidRPr="00514979">
        <w:rPr>
          <w:rFonts w:ascii="Arial" w:hAnsi="Arial" w:cs="Arial"/>
          <w:sz w:val="24"/>
          <w:szCs w:val="24"/>
        </w:rPr>
        <w:t xml:space="preserve">The matter is struck off the roll with costs. Such costs to be on the ordinary scale. </w:t>
      </w:r>
    </w:p>
    <w:p w:rsidR="00EE03E3" w:rsidRPr="00EE03E3" w:rsidRDefault="00EE03E3" w:rsidP="00B21A61">
      <w:pPr>
        <w:pStyle w:val="ListParagraph"/>
        <w:numPr>
          <w:ilvl w:val="0"/>
          <w:numId w:val="22"/>
        </w:numPr>
        <w:spacing w:after="0"/>
        <w:rPr>
          <w:rFonts w:ascii="Arial" w:hAnsi="Arial" w:cs="Arial"/>
          <w:sz w:val="24"/>
          <w:szCs w:val="24"/>
        </w:rPr>
      </w:pPr>
      <w:r w:rsidRPr="00EE03E3">
        <w:rPr>
          <w:rFonts w:ascii="Arial" w:hAnsi="Arial" w:cs="Arial"/>
          <w:sz w:val="24"/>
          <w:szCs w:val="24"/>
        </w:rPr>
        <w:t xml:space="preserve">The matter is postponed until 27 April 2017 at 15:30 for status hearing. </w:t>
      </w:r>
    </w:p>
    <w:p w:rsidR="00EE03E3" w:rsidRDefault="00EE03E3" w:rsidP="00B21A61">
      <w:pPr>
        <w:pStyle w:val="ListParagraph"/>
        <w:spacing w:after="0" w:line="480" w:lineRule="auto"/>
        <w:jc w:val="both"/>
        <w:rPr>
          <w:rFonts w:ascii="Arial" w:hAnsi="Arial" w:cs="Arial"/>
          <w:sz w:val="24"/>
          <w:szCs w:val="24"/>
        </w:rPr>
      </w:pPr>
    </w:p>
    <w:p w:rsidR="00EA0DED" w:rsidRPr="006E026B" w:rsidRDefault="000329C5" w:rsidP="00B21A61">
      <w:pPr>
        <w:spacing w:after="0" w:line="360" w:lineRule="auto"/>
        <w:jc w:val="both"/>
        <w:rPr>
          <w:rFonts w:ascii="Arial" w:hAnsi="Arial" w:cs="Arial"/>
          <w:bCs/>
          <w:sz w:val="24"/>
          <w:szCs w:val="24"/>
        </w:rPr>
      </w:pPr>
      <w:r>
        <w:rPr>
          <w:rFonts w:ascii="Arial" w:hAnsi="Arial" w:cs="Arial"/>
          <w:bCs/>
          <w:sz w:val="24"/>
          <w:szCs w:val="24"/>
        </w:rPr>
        <w:lastRenderedPageBreak/>
        <w:pict w14:anchorId="77723E11">
          <v:rect id="_x0000_i1027" style="width:0;height:1.5pt" o:hralign="center" o:hrstd="t" o:hr="t" fillcolor="#a0a0a0" stroked="f"/>
        </w:pict>
      </w:r>
    </w:p>
    <w:p w:rsidR="00EA0DED" w:rsidRPr="006E026B" w:rsidRDefault="00EA0DED" w:rsidP="00B21A61">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E026B" w:rsidRDefault="000329C5" w:rsidP="00B21A61">
      <w:pPr>
        <w:spacing w:after="0" w:line="360" w:lineRule="auto"/>
        <w:jc w:val="center"/>
        <w:rPr>
          <w:rFonts w:ascii="Arial" w:hAnsi="Arial" w:cs="Arial"/>
          <w:b/>
          <w:sz w:val="24"/>
          <w:szCs w:val="24"/>
        </w:rPr>
      </w:pPr>
      <w:r>
        <w:rPr>
          <w:rFonts w:ascii="Arial" w:hAnsi="Arial" w:cs="Arial"/>
          <w:bCs/>
          <w:sz w:val="24"/>
          <w:szCs w:val="24"/>
        </w:rPr>
        <w:pict w14:anchorId="223938B8">
          <v:rect id="_x0000_i1028" style="width:0;height:1.5pt" o:hralign="center" o:hrstd="t" o:hr="t" fillcolor="#a0a0a0" stroked="f"/>
        </w:pict>
      </w:r>
    </w:p>
    <w:p w:rsidR="005565C9" w:rsidRPr="006E026B" w:rsidRDefault="005534DE" w:rsidP="00B21A61">
      <w:pPr>
        <w:spacing w:after="0" w:line="360" w:lineRule="auto"/>
        <w:ind w:left="1440" w:hanging="1440"/>
        <w:jc w:val="both"/>
        <w:rPr>
          <w:rFonts w:ascii="Arial" w:hAnsi="Arial" w:cs="Arial"/>
          <w:sz w:val="24"/>
          <w:szCs w:val="24"/>
        </w:rPr>
      </w:pPr>
      <w:r>
        <w:rPr>
          <w:rFonts w:ascii="Arial" w:hAnsi="Arial" w:cs="Arial"/>
          <w:sz w:val="24"/>
          <w:szCs w:val="24"/>
        </w:rPr>
        <w:t>PRINSLOO</w:t>
      </w:r>
      <w:r w:rsidR="00EA0DED">
        <w:rPr>
          <w:rFonts w:ascii="Arial" w:hAnsi="Arial" w:cs="Arial"/>
          <w:sz w:val="24"/>
          <w:szCs w:val="24"/>
        </w:rPr>
        <w:t xml:space="preserve"> AJ</w:t>
      </w:r>
      <w:r w:rsidR="00EA0DED" w:rsidRPr="006E026B">
        <w:rPr>
          <w:rFonts w:ascii="Arial" w:hAnsi="Arial" w:cs="Arial"/>
          <w:sz w:val="24"/>
          <w:szCs w:val="24"/>
        </w:rPr>
        <w:t>:</w:t>
      </w:r>
    </w:p>
    <w:p w:rsidR="00182405" w:rsidRDefault="00182405" w:rsidP="00B21A61">
      <w:pPr>
        <w:spacing w:after="0" w:line="360" w:lineRule="auto"/>
        <w:ind w:left="1440" w:hanging="1440"/>
        <w:jc w:val="both"/>
        <w:rPr>
          <w:rFonts w:ascii="Arial" w:hAnsi="Arial" w:cs="Arial"/>
          <w:sz w:val="24"/>
          <w:szCs w:val="24"/>
          <w:u w:val="single"/>
        </w:rPr>
      </w:pPr>
      <w:r>
        <w:rPr>
          <w:rFonts w:ascii="Arial" w:hAnsi="Arial" w:cs="Arial"/>
          <w:sz w:val="24"/>
          <w:szCs w:val="24"/>
          <w:u w:val="single"/>
        </w:rPr>
        <w:t>Introduction</w:t>
      </w:r>
    </w:p>
    <w:p w:rsidR="000C769A" w:rsidRDefault="000C769A" w:rsidP="00B21A61">
      <w:pPr>
        <w:spacing w:after="0" w:line="360" w:lineRule="auto"/>
        <w:ind w:left="1440" w:hanging="1440"/>
        <w:jc w:val="both"/>
        <w:rPr>
          <w:rFonts w:ascii="Arial" w:hAnsi="Arial" w:cs="Arial"/>
          <w:b/>
          <w:i/>
          <w:sz w:val="24"/>
          <w:szCs w:val="24"/>
          <w:u w:val="single"/>
        </w:rPr>
      </w:pPr>
    </w:p>
    <w:p w:rsidR="00CF7FBC" w:rsidRDefault="00AF138D" w:rsidP="00B21A6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84B80">
        <w:rPr>
          <w:rFonts w:ascii="Arial" w:hAnsi="Arial" w:cs="Arial"/>
          <w:sz w:val="24"/>
          <w:szCs w:val="24"/>
        </w:rPr>
        <w:t xml:space="preserve">On the </w:t>
      </w:r>
      <w:r w:rsidR="009D398F">
        <w:rPr>
          <w:rFonts w:ascii="Arial" w:hAnsi="Arial" w:cs="Arial"/>
          <w:sz w:val="24"/>
          <w:szCs w:val="24"/>
        </w:rPr>
        <w:t>24</w:t>
      </w:r>
      <w:r w:rsidR="000C769A" w:rsidRPr="000C769A">
        <w:rPr>
          <w:rFonts w:ascii="Arial" w:hAnsi="Arial" w:cs="Arial"/>
          <w:sz w:val="24"/>
          <w:szCs w:val="24"/>
          <w:vertAlign w:val="superscript"/>
        </w:rPr>
        <w:t>th</w:t>
      </w:r>
      <w:r w:rsidR="000C769A">
        <w:rPr>
          <w:rFonts w:ascii="Arial" w:hAnsi="Arial" w:cs="Arial"/>
          <w:sz w:val="24"/>
          <w:szCs w:val="24"/>
        </w:rPr>
        <w:t xml:space="preserve"> </w:t>
      </w:r>
      <w:proofErr w:type="spellStart"/>
      <w:r w:rsidR="000C769A">
        <w:rPr>
          <w:rFonts w:ascii="Arial" w:hAnsi="Arial" w:cs="Arial"/>
          <w:sz w:val="24"/>
          <w:szCs w:val="24"/>
        </w:rPr>
        <w:t>of</w:t>
      </w:r>
      <w:r w:rsidR="009D398F">
        <w:rPr>
          <w:rFonts w:ascii="Arial" w:hAnsi="Arial" w:cs="Arial"/>
          <w:sz w:val="24"/>
          <w:szCs w:val="24"/>
        </w:rPr>
        <w:t>October</w:t>
      </w:r>
      <w:proofErr w:type="spellEnd"/>
      <w:r w:rsidR="009D398F">
        <w:rPr>
          <w:rFonts w:ascii="Arial" w:hAnsi="Arial" w:cs="Arial"/>
          <w:sz w:val="24"/>
          <w:szCs w:val="24"/>
        </w:rPr>
        <w:t xml:space="preserve"> 2016</w:t>
      </w:r>
      <w:r w:rsidR="00F84B80">
        <w:rPr>
          <w:rFonts w:ascii="Arial" w:hAnsi="Arial" w:cs="Arial"/>
          <w:sz w:val="24"/>
          <w:szCs w:val="24"/>
        </w:rPr>
        <w:t xml:space="preserve"> the applicant filed an application in terms of </w:t>
      </w:r>
      <w:r w:rsidR="00F84B80" w:rsidRPr="00F84B80">
        <w:rPr>
          <w:rFonts w:ascii="Arial" w:hAnsi="Arial" w:cs="Arial"/>
          <w:i/>
          <w:sz w:val="24"/>
          <w:szCs w:val="24"/>
        </w:rPr>
        <w:t xml:space="preserve">Rule 90(2) </w:t>
      </w:r>
      <w:r w:rsidR="00F84B80" w:rsidRPr="000C769A">
        <w:rPr>
          <w:rFonts w:ascii="Arial" w:hAnsi="Arial" w:cs="Arial"/>
          <w:sz w:val="24"/>
          <w:szCs w:val="24"/>
        </w:rPr>
        <w:t>of the High Court Rules</w:t>
      </w:r>
      <w:r w:rsidR="00F84B80">
        <w:rPr>
          <w:rFonts w:ascii="Arial" w:hAnsi="Arial" w:cs="Arial"/>
          <w:sz w:val="24"/>
          <w:szCs w:val="24"/>
        </w:rPr>
        <w:t xml:space="preserve"> (hereinafter referred to as the </w:t>
      </w:r>
      <w:r w:rsidR="00BB7DA6">
        <w:rPr>
          <w:rFonts w:ascii="Arial" w:hAnsi="Arial" w:cs="Arial"/>
          <w:sz w:val="24"/>
          <w:szCs w:val="24"/>
        </w:rPr>
        <w:t>‘</w:t>
      </w:r>
      <w:r w:rsidR="00F84B80">
        <w:rPr>
          <w:rFonts w:ascii="Arial" w:hAnsi="Arial" w:cs="Arial"/>
          <w:sz w:val="24"/>
          <w:szCs w:val="24"/>
        </w:rPr>
        <w:t>Rules</w:t>
      </w:r>
      <w:r w:rsidR="00BB7DA6">
        <w:rPr>
          <w:rFonts w:ascii="Arial" w:hAnsi="Arial" w:cs="Arial"/>
          <w:sz w:val="24"/>
          <w:szCs w:val="24"/>
        </w:rPr>
        <w:t>’</w:t>
      </w:r>
      <w:r w:rsidR="00F84B80">
        <w:rPr>
          <w:rFonts w:ascii="Arial" w:hAnsi="Arial" w:cs="Arial"/>
          <w:sz w:val="24"/>
          <w:szCs w:val="24"/>
        </w:rPr>
        <w:t xml:space="preserve">) claiming interim maintenance for herself pending the </w:t>
      </w:r>
      <w:r w:rsidR="00A62380">
        <w:rPr>
          <w:rFonts w:ascii="Arial" w:hAnsi="Arial" w:cs="Arial"/>
          <w:sz w:val="24"/>
          <w:szCs w:val="24"/>
        </w:rPr>
        <w:t>finalization</w:t>
      </w:r>
      <w:r w:rsidR="00F84B80">
        <w:rPr>
          <w:rFonts w:ascii="Arial" w:hAnsi="Arial" w:cs="Arial"/>
          <w:sz w:val="24"/>
          <w:szCs w:val="24"/>
        </w:rPr>
        <w:t xml:space="preserve"> of their divorce.</w:t>
      </w:r>
      <w:r w:rsidR="00F84B80">
        <w:rPr>
          <w:rStyle w:val="FootnoteReference"/>
          <w:rFonts w:ascii="Arial" w:hAnsi="Arial" w:cs="Arial"/>
          <w:sz w:val="24"/>
          <w:szCs w:val="24"/>
        </w:rPr>
        <w:footnoteReference w:id="1"/>
      </w:r>
    </w:p>
    <w:p w:rsidR="00A62380" w:rsidRDefault="00A62380" w:rsidP="00B21A61">
      <w:pPr>
        <w:spacing w:after="0" w:line="360" w:lineRule="auto"/>
        <w:jc w:val="both"/>
        <w:rPr>
          <w:rFonts w:ascii="Arial" w:hAnsi="Arial" w:cs="Arial"/>
          <w:sz w:val="24"/>
          <w:szCs w:val="24"/>
        </w:rPr>
      </w:pPr>
    </w:p>
    <w:p w:rsidR="00A62380" w:rsidRDefault="00A62380" w:rsidP="00B21A6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respect of this application, which is presently subject to adjudication before me, the applicant claims the following:</w:t>
      </w:r>
      <w:r w:rsidR="00BB7DA6">
        <w:rPr>
          <w:rStyle w:val="FootnoteReference"/>
          <w:rFonts w:ascii="Arial" w:hAnsi="Arial" w:cs="Arial"/>
          <w:sz w:val="24"/>
          <w:szCs w:val="24"/>
        </w:rPr>
        <w:footnoteReference w:id="2"/>
      </w:r>
    </w:p>
    <w:p w:rsidR="000C769A" w:rsidRDefault="000C769A" w:rsidP="00B21A61">
      <w:pPr>
        <w:spacing w:after="0" w:line="360" w:lineRule="auto"/>
        <w:jc w:val="both"/>
        <w:rPr>
          <w:rFonts w:ascii="Arial" w:hAnsi="Arial" w:cs="Arial"/>
          <w:sz w:val="24"/>
          <w:szCs w:val="24"/>
        </w:rPr>
      </w:pPr>
    </w:p>
    <w:p w:rsidR="00BB7DA6" w:rsidRPr="000C769A" w:rsidRDefault="00A62380" w:rsidP="00B21A61">
      <w:pPr>
        <w:spacing w:after="0" w:line="360" w:lineRule="auto"/>
        <w:ind w:firstLine="720"/>
        <w:jc w:val="both"/>
        <w:rPr>
          <w:rFonts w:ascii="Arial" w:hAnsi="Arial" w:cs="Arial"/>
          <w:i/>
        </w:rPr>
      </w:pPr>
      <w:r w:rsidRPr="000C769A">
        <w:rPr>
          <w:rFonts w:ascii="Arial" w:hAnsi="Arial" w:cs="Arial"/>
          <w:i/>
        </w:rPr>
        <w:t>‘1.</w:t>
      </w:r>
      <w:r w:rsidRPr="000C769A">
        <w:rPr>
          <w:rFonts w:ascii="Arial" w:hAnsi="Arial" w:cs="Arial"/>
          <w:i/>
        </w:rPr>
        <w:tab/>
        <w:t xml:space="preserve">That the </w:t>
      </w:r>
      <w:r w:rsidR="009D398F" w:rsidRPr="000C769A">
        <w:rPr>
          <w:rFonts w:ascii="Arial" w:hAnsi="Arial" w:cs="Arial"/>
          <w:i/>
        </w:rPr>
        <w:t>R</w:t>
      </w:r>
      <w:r w:rsidRPr="000C769A">
        <w:rPr>
          <w:rFonts w:ascii="Arial" w:hAnsi="Arial" w:cs="Arial"/>
          <w:i/>
        </w:rPr>
        <w:t xml:space="preserve">espondent </w:t>
      </w:r>
      <w:r w:rsidR="009D398F" w:rsidRPr="000C769A">
        <w:rPr>
          <w:rFonts w:ascii="Arial" w:hAnsi="Arial" w:cs="Arial"/>
          <w:i/>
        </w:rPr>
        <w:t xml:space="preserve">be ordered to pay maintenance pendent </w:t>
      </w:r>
      <w:proofErr w:type="spellStart"/>
      <w:r w:rsidR="009D398F" w:rsidRPr="000C769A">
        <w:rPr>
          <w:rFonts w:ascii="Arial" w:hAnsi="Arial" w:cs="Arial"/>
          <w:i/>
        </w:rPr>
        <w:t>lite</w:t>
      </w:r>
      <w:proofErr w:type="spellEnd"/>
      <w:r w:rsidR="009D398F" w:rsidRPr="000C769A">
        <w:rPr>
          <w:rFonts w:ascii="Arial" w:hAnsi="Arial" w:cs="Arial"/>
          <w:i/>
        </w:rPr>
        <w:t xml:space="preserve"> in respect of the applicant in the amount of N$ 12 000.00 per month, the first payment to be made on or before 1 December 2016 and thereafter on or before the 1</w:t>
      </w:r>
      <w:r w:rsidR="009D398F" w:rsidRPr="000C769A">
        <w:rPr>
          <w:rFonts w:ascii="Arial" w:hAnsi="Arial" w:cs="Arial"/>
          <w:i/>
          <w:vertAlign w:val="superscript"/>
        </w:rPr>
        <w:t>st</w:t>
      </w:r>
      <w:r w:rsidR="009D398F" w:rsidRPr="000C769A">
        <w:rPr>
          <w:rFonts w:ascii="Arial" w:hAnsi="Arial" w:cs="Arial"/>
          <w:i/>
        </w:rPr>
        <w:t xml:space="preserve"> day of each following month until the pending divorce action has been finalize. </w:t>
      </w:r>
    </w:p>
    <w:p w:rsidR="000C769A" w:rsidRPr="000C769A" w:rsidRDefault="000C769A" w:rsidP="00B21A61">
      <w:pPr>
        <w:spacing w:after="0" w:line="360" w:lineRule="auto"/>
        <w:ind w:firstLine="720"/>
        <w:jc w:val="both"/>
        <w:rPr>
          <w:rFonts w:ascii="Arial" w:hAnsi="Arial" w:cs="Arial"/>
          <w:i/>
        </w:rPr>
      </w:pPr>
    </w:p>
    <w:p w:rsidR="00BB7DA6" w:rsidRPr="000C769A" w:rsidRDefault="006D255C" w:rsidP="00B21A61">
      <w:pPr>
        <w:spacing w:after="0" w:line="360" w:lineRule="auto"/>
        <w:ind w:firstLine="720"/>
        <w:jc w:val="both"/>
        <w:rPr>
          <w:rFonts w:ascii="Arial" w:hAnsi="Arial" w:cs="Arial"/>
          <w:i/>
        </w:rPr>
      </w:pPr>
      <w:r w:rsidRPr="000C769A">
        <w:rPr>
          <w:rFonts w:ascii="Arial" w:hAnsi="Arial" w:cs="Arial"/>
          <w:i/>
        </w:rPr>
        <w:t>2</w:t>
      </w:r>
      <w:r w:rsidR="00BB7DA6" w:rsidRPr="000C769A">
        <w:rPr>
          <w:rFonts w:ascii="Arial" w:hAnsi="Arial" w:cs="Arial"/>
          <w:i/>
        </w:rPr>
        <w:t>.</w:t>
      </w:r>
      <w:r w:rsidR="00BB7DA6" w:rsidRPr="000C769A">
        <w:rPr>
          <w:rFonts w:ascii="Arial" w:hAnsi="Arial" w:cs="Arial"/>
          <w:i/>
        </w:rPr>
        <w:tab/>
        <w:t>Costs of the application</w:t>
      </w:r>
      <w:r w:rsidR="009D398F" w:rsidRPr="000C769A">
        <w:rPr>
          <w:rFonts w:ascii="Arial" w:hAnsi="Arial" w:cs="Arial"/>
          <w:i/>
        </w:rPr>
        <w:t>.</w:t>
      </w:r>
    </w:p>
    <w:p w:rsidR="000C769A" w:rsidRPr="000C769A" w:rsidRDefault="000C769A" w:rsidP="00B21A61">
      <w:pPr>
        <w:spacing w:after="0" w:line="360" w:lineRule="auto"/>
        <w:ind w:firstLine="720"/>
        <w:jc w:val="both"/>
        <w:rPr>
          <w:rFonts w:ascii="Arial" w:hAnsi="Arial" w:cs="Arial"/>
          <w:i/>
        </w:rPr>
      </w:pPr>
    </w:p>
    <w:p w:rsidR="00BB7DA6" w:rsidRPr="000C769A" w:rsidRDefault="006D255C" w:rsidP="00B21A61">
      <w:pPr>
        <w:spacing w:after="0" w:line="360" w:lineRule="auto"/>
        <w:ind w:firstLine="720"/>
        <w:jc w:val="both"/>
        <w:rPr>
          <w:rFonts w:ascii="Arial" w:hAnsi="Arial" w:cs="Arial"/>
          <w:i/>
        </w:rPr>
      </w:pPr>
      <w:r w:rsidRPr="000C769A">
        <w:rPr>
          <w:rFonts w:ascii="Arial" w:hAnsi="Arial" w:cs="Arial"/>
          <w:i/>
        </w:rPr>
        <w:t>3</w:t>
      </w:r>
      <w:r w:rsidR="00BB7DA6" w:rsidRPr="000C769A">
        <w:rPr>
          <w:rFonts w:ascii="Arial" w:hAnsi="Arial" w:cs="Arial"/>
          <w:i/>
        </w:rPr>
        <w:t>.</w:t>
      </w:r>
      <w:r w:rsidR="00BB7DA6" w:rsidRPr="000C769A">
        <w:rPr>
          <w:rFonts w:ascii="Arial" w:hAnsi="Arial" w:cs="Arial"/>
          <w:i/>
        </w:rPr>
        <w:tab/>
        <w:t xml:space="preserve">Further </w:t>
      </w:r>
      <w:r w:rsidR="009D398F" w:rsidRPr="000C769A">
        <w:rPr>
          <w:rFonts w:ascii="Arial" w:hAnsi="Arial" w:cs="Arial"/>
          <w:i/>
        </w:rPr>
        <w:t>and/</w:t>
      </w:r>
      <w:r w:rsidR="00BB7DA6" w:rsidRPr="000C769A">
        <w:rPr>
          <w:rFonts w:ascii="Arial" w:hAnsi="Arial" w:cs="Arial"/>
          <w:i/>
        </w:rPr>
        <w:t>or alternative relief.’</w:t>
      </w:r>
    </w:p>
    <w:p w:rsidR="000C769A" w:rsidRDefault="000C769A" w:rsidP="00B21A61">
      <w:pPr>
        <w:spacing w:after="0" w:line="360" w:lineRule="auto"/>
        <w:ind w:firstLine="720"/>
        <w:jc w:val="both"/>
        <w:rPr>
          <w:rFonts w:ascii="Arial" w:hAnsi="Arial" w:cs="Arial"/>
        </w:rPr>
      </w:pPr>
    </w:p>
    <w:p w:rsidR="00BB7DA6" w:rsidRDefault="00BB7DA6" w:rsidP="00B21A61">
      <w:pPr>
        <w:spacing w:after="0" w:line="360" w:lineRule="auto"/>
        <w:jc w:val="both"/>
        <w:rPr>
          <w:rFonts w:ascii="Arial" w:hAnsi="Arial" w:cs="Arial"/>
        </w:rPr>
      </w:pPr>
    </w:p>
    <w:p w:rsidR="00A45814" w:rsidRDefault="00BB7DA6" w:rsidP="00B21A6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D398F">
        <w:rPr>
          <w:rFonts w:ascii="Arial" w:hAnsi="Arial" w:cs="Arial"/>
          <w:sz w:val="24"/>
          <w:szCs w:val="24"/>
        </w:rPr>
        <w:t>The application was opposed and the matter was set down for hearing on 17 March 2017</w:t>
      </w:r>
      <w:r w:rsidR="005E4879">
        <w:rPr>
          <w:rFonts w:ascii="Arial" w:hAnsi="Arial" w:cs="Arial"/>
          <w:sz w:val="24"/>
          <w:szCs w:val="24"/>
        </w:rPr>
        <w:t>.</w:t>
      </w:r>
    </w:p>
    <w:p w:rsidR="00C93860" w:rsidRPr="00BB7DA6" w:rsidRDefault="00C93860" w:rsidP="00B21A61">
      <w:pPr>
        <w:spacing w:after="0" w:line="360" w:lineRule="auto"/>
        <w:jc w:val="both"/>
        <w:rPr>
          <w:rFonts w:ascii="Arial" w:hAnsi="Arial" w:cs="Arial"/>
          <w:sz w:val="24"/>
          <w:szCs w:val="24"/>
        </w:rPr>
      </w:pPr>
    </w:p>
    <w:p w:rsidR="000C769A" w:rsidRPr="00C93860" w:rsidRDefault="00C93860" w:rsidP="00B21A61">
      <w:pPr>
        <w:spacing w:after="0" w:line="360" w:lineRule="auto"/>
        <w:jc w:val="both"/>
        <w:rPr>
          <w:rFonts w:ascii="Arial" w:hAnsi="Arial" w:cs="Arial"/>
          <w:i/>
          <w:sz w:val="24"/>
          <w:szCs w:val="24"/>
        </w:rPr>
      </w:pPr>
      <w:r w:rsidRPr="00C93860">
        <w:rPr>
          <w:rFonts w:ascii="Arial" w:hAnsi="Arial" w:cs="Arial"/>
          <w:i/>
          <w:sz w:val="24"/>
          <w:szCs w:val="24"/>
        </w:rPr>
        <w:t xml:space="preserve">Point in </w:t>
      </w:r>
      <w:proofErr w:type="spellStart"/>
      <w:r w:rsidRPr="00C93860">
        <w:rPr>
          <w:rFonts w:ascii="Arial" w:hAnsi="Arial" w:cs="Arial"/>
          <w:i/>
          <w:sz w:val="24"/>
          <w:szCs w:val="24"/>
        </w:rPr>
        <w:t>Limine</w:t>
      </w:r>
      <w:proofErr w:type="spellEnd"/>
      <w:r w:rsidRPr="00C93860">
        <w:rPr>
          <w:rFonts w:ascii="Arial" w:hAnsi="Arial" w:cs="Arial"/>
          <w:i/>
          <w:sz w:val="24"/>
          <w:szCs w:val="24"/>
        </w:rPr>
        <w:t>: Law applicable to Rule 90 applications:</w:t>
      </w:r>
    </w:p>
    <w:p w:rsidR="00C93860" w:rsidRDefault="00C93860" w:rsidP="00B21A61">
      <w:pPr>
        <w:spacing w:after="0" w:line="360" w:lineRule="auto"/>
        <w:jc w:val="both"/>
        <w:rPr>
          <w:rFonts w:ascii="Arial" w:hAnsi="Arial" w:cs="Arial"/>
          <w:sz w:val="24"/>
          <w:szCs w:val="24"/>
        </w:rPr>
      </w:pPr>
    </w:p>
    <w:p w:rsidR="005B0072" w:rsidRDefault="005B0072" w:rsidP="00B21A61">
      <w:pPr>
        <w:spacing w:after="0" w:line="36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At the commencement of the hearing counsel for the respondent applied to have the application struck off the roll on the basis that it is a</w:t>
      </w:r>
      <w:r w:rsidR="000C769A">
        <w:rPr>
          <w:rFonts w:ascii="Arial" w:hAnsi="Arial" w:cs="Arial"/>
          <w:sz w:val="24"/>
          <w:szCs w:val="24"/>
        </w:rPr>
        <w:t>n abuse of the process of this Court.  The C</w:t>
      </w:r>
      <w:r>
        <w:rPr>
          <w:rFonts w:ascii="Arial" w:hAnsi="Arial" w:cs="Arial"/>
          <w:sz w:val="24"/>
          <w:szCs w:val="24"/>
        </w:rPr>
        <w:t xml:space="preserve">ourt was referred to Rule 90(2) and the relevant part reads as follows:  </w:t>
      </w:r>
    </w:p>
    <w:p w:rsidR="00B21A61" w:rsidRDefault="00B21A61" w:rsidP="00B21A61">
      <w:pPr>
        <w:spacing w:after="0" w:line="360" w:lineRule="auto"/>
        <w:ind w:firstLine="720"/>
        <w:jc w:val="both"/>
        <w:rPr>
          <w:rFonts w:ascii="Arial" w:hAnsi="Arial" w:cs="Arial"/>
          <w:i/>
        </w:rPr>
      </w:pPr>
    </w:p>
    <w:p w:rsidR="000C769A" w:rsidRPr="000C769A" w:rsidRDefault="005B0072" w:rsidP="00B21A61">
      <w:pPr>
        <w:spacing w:after="0" w:line="360" w:lineRule="auto"/>
        <w:ind w:firstLine="720"/>
        <w:jc w:val="both"/>
        <w:rPr>
          <w:rFonts w:ascii="Arial" w:hAnsi="Arial" w:cs="Arial"/>
          <w:i/>
        </w:rPr>
      </w:pPr>
      <w:r w:rsidRPr="000C769A">
        <w:rPr>
          <w:rFonts w:ascii="Arial" w:hAnsi="Arial" w:cs="Arial"/>
          <w:i/>
        </w:rPr>
        <w:lastRenderedPageBreak/>
        <w:t>‘(2) An applicant must deliver a sworn statement in the nature of particulars of claim setting out the relief claimed and the grounds therefor together with a notice to the respondent on Form 19</w:t>
      </w:r>
      <w:r w:rsidR="00967C72" w:rsidRPr="000C769A">
        <w:rPr>
          <w:rFonts w:ascii="Arial" w:hAnsi="Arial" w:cs="Arial"/>
          <w:i/>
        </w:rPr>
        <w:t>....</w:t>
      </w:r>
      <w:r w:rsidRPr="000C769A">
        <w:rPr>
          <w:rFonts w:ascii="Arial" w:hAnsi="Arial" w:cs="Arial"/>
          <w:i/>
        </w:rPr>
        <w:t>’</w:t>
      </w:r>
    </w:p>
    <w:p w:rsidR="005B0072" w:rsidRDefault="005B0072" w:rsidP="00B21A61">
      <w:pPr>
        <w:spacing w:after="0" w:line="360" w:lineRule="auto"/>
        <w:ind w:firstLine="720"/>
        <w:jc w:val="both"/>
        <w:rPr>
          <w:rFonts w:ascii="Arial" w:hAnsi="Arial" w:cs="Arial"/>
          <w:sz w:val="24"/>
          <w:szCs w:val="24"/>
        </w:rPr>
      </w:pPr>
    </w:p>
    <w:p w:rsidR="005B0072" w:rsidRDefault="005B0072" w:rsidP="00B21A61">
      <w:pPr>
        <w:spacing w:after="0" w:line="360" w:lineRule="auto"/>
        <w:jc w:val="both"/>
        <w:rPr>
          <w:rFonts w:ascii="Arial" w:hAnsi="Arial" w:cs="Arial"/>
          <w:sz w:val="24"/>
          <w:szCs w:val="24"/>
        </w:rPr>
      </w:pPr>
      <w:r>
        <w:rPr>
          <w:rFonts w:ascii="Arial" w:hAnsi="Arial" w:cs="Arial"/>
          <w:sz w:val="24"/>
          <w:szCs w:val="24"/>
        </w:rPr>
        <w:t>[5</w:t>
      </w:r>
      <w:r w:rsidR="0045116D">
        <w:rPr>
          <w:rFonts w:ascii="Arial" w:hAnsi="Arial" w:cs="Arial"/>
          <w:sz w:val="24"/>
          <w:szCs w:val="24"/>
        </w:rPr>
        <w:t>]</w:t>
      </w:r>
      <w:r>
        <w:rPr>
          <w:rFonts w:ascii="Arial" w:hAnsi="Arial" w:cs="Arial"/>
          <w:sz w:val="24"/>
          <w:szCs w:val="24"/>
        </w:rPr>
        <w:tab/>
      </w:r>
      <w:r w:rsidR="00967C72" w:rsidRPr="00967C72">
        <w:rPr>
          <w:rFonts w:ascii="Arial" w:hAnsi="Arial" w:cs="Arial"/>
          <w:sz w:val="24"/>
          <w:szCs w:val="24"/>
        </w:rPr>
        <w:t>The applicant’s papers are anything but brief and the respondent’s reply is less than succinct.</w:t>
      </w:r>
      <w:r w:rsidR="00B21A61">
        <w:rPr>
          <w:rFonts w:ascii="Arial" w:hAnsi="Arial" w:cs="Arial"/>
          <w:sz w:val="24"/>
          <w:szCs w:val="24"/>
        </w:rPr>
        <w:t xml:space="preserve"> </w:t>
      </w:r>
      <w:r w:rsidRPr="005B0072">
        <w:rPr>
          <w:rFonts w:ascii="Arial" w:hAnsi="Arial" w:cs="Arial"/>
          <w:sz w:val="24"/>
          <w:szCs w:val="24"/>
        </w:rPr>
        <w:t>The ap</w:t>
      </w:r>
      <w:r w:rsidR="000C769A">
        <w:rPr>
          <w:rFonts w:ascii="Arial" w:hAnsi="Arial" w:cs="Arial"/>
          <w:sz w:val="24"/>
          <w:szCs w:val="24"/>
        </w:rPr>
        <w:t>plicant's affidavit runs to a sum of</w:t>
      </w:r>
      <w:r w:rsidR="002F0035">
        <w:rPr>
          <w:rFonts w:ascii="Arial" w:hAnsi="Arial" w:cs="Arial"/>
          <w:sz w:val="24"/>
          <w:szCs w:val="24"/>
        </w:rPr>
        <w:t xml:space="preserve"> </w:t>
      </w:r>
      <w:r w:rsidR="00D12193">
        <w:rPr>
          <w:rFonts w:ascii="Arial" w:hAnsi="Arial" w:cs="Arial"/>
          <w:sz w:val="24"/>
          <w:szCs w:val="24"/>
        </w:rPr>
        <w:t>9</w:t>
      </w:r>
      <w:r w:rsidRPr="005B0072">
        <w:rPr>
          <w:rFonts w:ascii="Arial" w:hAnsi="Arial" w:cs="Arial"/>
          <w:sz w:val="24"/>
          <w:szCs w:val="24"/>
        </w:rPr>
        <w:t xml:space="preserve"> pages. It has </w:t>
      </w:r>
      <w:r w:rsidR="00D12193">
        <w:rPr>
          <w:rFonts w:ascii="Arial" w:hAnsi="Arial" w:cs="Arial"/>
          <w:sz w:val="24"/>
          <w:szCs w:val="24"/>
        </w:rPr>
        <w:t>7</w:t>
      </w:r>
      <w:r w:rsidRPr="005B0072">
        <w:rPr>
          <w:rFonts w:ascii="Arial" w:hAnsi="Arial" w:cs="Arial"/>
          <w:sz w:val="24"/>
          <w:szCs w:val="24"/>
        </w:rPr>
        <w:t xml:space="preserve"> annexures attached to it </w:t>
      </w:r>
      <w:r w:rsidR="002F0035">
        <w:rPr>
          <w:rFonts w:ascii="Arial" w:hAnsi="Arial" w:cs="Arial"/>
          <w:sz w:val="24"/>
          <w:szCs w:val="24"/>
        </w:rPr>
        <w:t xml:space="preserve">is </w:t>
      </w:r>
      <w:r w:rsidRPr="005B0072">
        <w:rPr>
          <w:rFonts w:ascii="Arial" w:hAnsi="Arial" w:cs="Arial"/>
          <w:sz w:val="24"/>
          <w:szCs w:val="24"/>
        </w:rPr>
        <w:t xml:space="preserve">running to </w:t>
      </w:r>
      <w:r w:rsidR="00D12193">
        <w:rPr>
          <w:rFonts w:ascii="Arial" w:hAnsi="Arial" w:cs="Arial"/>
          <w:sz w:val="24"/>
          <w:szCs w:val="24"/>
        </w:rPr>
        <w:t>120</w:t>
      </w:r>
      <w:r w:rsidRPr="005B0072">
        <w:rPr>
          <w:rFonts w:ascii="Arial" w:hAnsi="Arial" w:cs="Arial"/>
          <w:sz w:val="24"/>
          <w:szCs w:val="24"/>
        </w:rPr>
        <w:t xml:space="preserve"> pages and the contents of which are incorporated by reference.</w:t>
      </w:r>
    </w:p>
    <w:p w:rsidR="0045116D" w:rsidRDefault="0045116D" w:rsidP="00B21A61">
      <w:pPr>
        <w:spacing w:after="0" w:line="360" w:lineRule="auto"/>
        <w:jc w:val="both"/>
        <w:rPr>
          <w:rFonts w:ascii="Arial" w:hAnsi="Arial" w:cs="Arial"/>
          <w:sz w:val="24"/>
          <w:szCs w:val="24"/>
        </w:rPr>
      </w:pPr>
    </w:p>
    <w:p w:rsidR="00967C72" w:rsidRDefault="0045116D" w:rsidP="00B21A61">
      <w:pPr>
        <w:spacing w:after="0"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r>
      <w:r w:rsidR="00967C72" w:rsidRPr="00967C72">
        <w:rPr>
          <w:rFonts w:ascii="Arial" w:hAnsi="Arial" w:cs="Arial"/>
          <w:sz w:val="24"/>
          <w:szCs w:val="24"/>
        </w:rPr>
        <w:t xml:space="preserve">The respondent’s answering </w:t>
      </w:r>
      <w:r w:rsidR="00967C72">
        <w:rPr>
          <w:rFonts w:ascii="Arial" w:hAnsi="Arial" w:cs="Arial"/>
          <w:sz w:val="24"/>
          <w:szCs w:val="24"/>
        </w:rPr>
        <w:t>affidavit</w:t>
      </w:r>
      <w:r w:rsidR="00967C72" w:rsidRPr="00967C72">
        <w:rPr>
          <w:rFonts w:ascii="Arial" w:hAnsi="Arial" w:cs="Arial"/>
          <w:sz w:val="24"/>
          <w:szCs w:val="24"/>
        </w:rPr>
        <w:t xml:space="preserve"> of </w:t>
      </w:r>
      <w:r w:rsidR="00967C72">
        <w:rPr>
          <w:rFonts w:ascii="Arial" w:hAnsi="Arial" w:cs="Arial"/>
          <w:sz w:val="24"/>
          <w:szCs w:val="24"/>
        </w:rPr>
        <w:t>24 pages with 14 annexures attached to it</w:t>
      </w:r>
      <w:r w:rsidR="000C769A">
        <w:rPr>
          <w:rFonts w:ascii="Arial" w:hAnsi="Arial" w:cs="Arial"/>
          <w:sz w:val="24"/>
          <w:szCs w:val="24"/>
        </w:rPr>
        <w:t>,</w:t>
      </w:r>
      <w:r w:rsidR="00967C72">
        <w:rPr>
          <w:rFonts w:ascii="Arial" w:hAnsi="Arial" w:cs="Arial"/>
          <w:sz w:val="24"/>
          <w:szCs w:val="24"/>
        </w:rPr>
        <w:t xml:space="preserve"> running to 57 pages</w:t>
      </w:r>
      <w:r w:rsidR="002F0035">
        <w:rPr>
          <w:rFonts w:ascii="Arial" w:hAnsi="Arial" w:cs="Arial"/>
          <w:sz w:val="24"/>
          <w:szCs w:val="24"/>
        </w:rPr>
        <w:t>,</w:t>
      </w:r>
      <w:r w:rsidR="00967C72">
        <w:rPr>
          <w:rFonts w:ascii="Arial" w:hAnsi="Arial" w:cs="Arial"/>
          <w:sz w:val="24"/>
          <w:szCs w:val="24"/>
        </w:rPr>
        <w:t xml:space="preserve"> can perhaps be excused </w:t>
      </w:r>
      <w:r w:rsidR="00967C72" w:rsidRPr="00967C72">
        <w:rPr>
          <w:rFonts w:ascii="Arial" w:hAnsi="Arial" w:cs="Arial"/>
          <w:sz w:val="24"/>
          <w:szCs w:val="24"/>
        </w:rPr>
        <w:t>as being a response to a</w:t>
      </w:r>
      <w:r w:rsidR="000C769A">
        <w:rPr>
          <w:rFonts w:ascii="Arial" w:hAnsi="Arial" w:cs="Arial"/>
          <w:sz w:val="24"/>
          <w:szCs w:val="24"/>
        </w:rPr>
        <w:t xml:space="preserve">n overly detailed declaration. </w:t>
      </w:r>
      <w:r w:rsidR="00967C72" w:rsidRPr="00967C72">
        <w:rPr>
          <w:rFonts w:ascii="Arial" w:hAnsi="Arial" w:cs="Arial"/>
          <w:sz w:val="24"/>
          <w:szCs w:val="24"/>
        </w:rPr>
        <w:t>However, he too is given to verbosity and unnecessary statements.</w:t>
      </w:r>
    </w:p>
    <w:p w:rsidR="000C769A" w:rsidRPr="00967C72" w:rsidRDefault="000C769A" w:rsidP="00B21A61">
      <w:pPr>
        <w:spacing w:after="0" w:line="360" w:lineRule="auto"/>
        <w:jc w:val="both"/>
        <w:rPr>
          <w:rFonts w:ascii="Arial" w:hAnsi="Arial" w:cs="Arial"/>
          <w:sz w:val="24"/>
          <w:szCs w:val="24"/>
        </w:rPr>
      </w:pPr>
    </w:p>
    <w:p w:rsidR="0045116D" w:rsidRDefault="00427B5B" w:rsidP="00B21A6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5116D">
        <w:rPr>
          <w:rFonts w:ascii="Arial" w:hAnsi="Arial" w:cs="Arial"/>
          <w:sz w:val="24"/>
          <w:szCs w:val="24"/>
        </w:rPr>
        <w:t>The result of the voluminous affidavit filed by t</w:t>
      </w:r>
      <w:r w:rsidR="000C769A">
        <w:rPr>
          <w:rFonts w:ascii="Arial" w:hAnsi="Arial" w:cs="Arial"/>
          <w:sz w:val="24"/>
          <w:szCs w:val="24"/>
        </w:rPr>
        <w:t xml:space="preserve">he applicant </w:t>
      </w:r>
      <w:r w:rsidR="002F0035">
        <w:rPr>
          <w:rFonts w:ascii="Arial" w:hAnsi="Arial" w:cs="Arial"/>
          <w:sz w:val="24"/>
          <w:szCs w:val="24"/>
        </w:rPr>
        <w:t>and</w:t>
      </w:r>
      <w:r w:rsidR="000C769A">
        <w:rPr>
          <w:rFonts w:ascii="Arial" w:hAnsi="Arial" w:cs="Arial"/>
          <w:sz w:val="24"/>
          <w:szCs w:val="24"/>
        </w:rPr>
        <w:t xml:space="preserve"> equal</w:t>
      </w:r>
      <w:r w:rsidR="002F0035">
        <w:rPr>
          <w:rFonts w:ascii="Arial" w:hAnsi="Arial" w:cs="Arial"/>
          <w:sz w:val="24"/>
          <w:szCs w:val="24"/>
        </w:rPr>
        <w:t>ly</w:t>
      </w:r>
      <w:r w:rsidR="0045116D">
        <w:rPr>
          <w:rFonts w:ascii="Arial" w:hAnsi="Arial" w:cs="Arial"/>
          <w:sz w:val="24"/>
          <w:szCs w:val="24"/>
        </w:rPr>
        <w:t xml:space="preserve"> voluminous answering affidavit of the respondent </w:t>
      </w:r>
      <w:r w:rsidR="002F0035">
        <w:rPr>
          <w:rFonts w:ascii="Arial" w:hAnsi="Arial" w:cs="Arial"/>
          <w:sz w:val="24"/>
          <w:szCs w:val="24"/>
        </w:rPr>
        <w:t xml:space="preserve">is that this application </w:t>
      </w:r>
      <w:r w:rsidR="00B51D6E" w:rsidRPr="00B51D6E">
        <w:rPr>
          <w:rFonts w:ascii="Arial" w:hAnsi="Arial" w:cs="Arial"/>
          <w:sz w:val="24"/>
          <w:szCs w:val="24"/>
        </w:rPr>
        <w:t>comprise</w:t>
      </w:r>
      <w:r w:rsidR="002F0035">
        <w:rPr>
          <w:rFonts w:ascii="Arial" w:hAnsi="Arial" w:cs="Arial"/>
          <w:sz w:val="24"/>
          <w:szCs w:val="24"/>
        </w:rPr>
        <w:t>s</w:t>
      </w:r>
      <w:r w:rsidR="000C769A">
        <w:rPr>
          <w:rFonts w:ascii="Arial" w:hAnsi="Arial" w:cs="Arial"/>
          <w:sz w:val="24"/>
          <w:szCs w:val="24"/>
        </w:rPr>
        <w:t xml:space="preserve"> of</w:t>
      </w:r>
      <w:r w:rsidR="00B51D6E" w:rsidRPr="00B51D6E">
        <w:rPr>
          <w:rFonts w:ascii="Arial" w:hAnsi="Arial" w:cs="Arial"/>
          <w:sz w:val="24"/>
          <w:szCs w:val="24"/>
        </w:rPr>
        <w:t xml:space="preserve"> 2</w:t>
      </w:r>
      <w:r w:rsidR="00B51D6E">
        <w:rPr>
          <w:rFonts w:ascii="Arial" w:hAnsi="Arial" w:cs="Arial"/>
          <w:sz w:val="24"/>
          <w:szCs w:val="24"/>
        </w:rPr>
        <w:t>19</w:t>
      </w:r>
      <w:r w:rsidR="00B51D6E" w:rsidRPr="00B51D6E">
        <w:rPr>
          <w:rFonts w:ascii="Arial" w:hAnsi="Arial" w:cs="Arial"/>
          <w:sz w:val="24"/>
          <w:szCs w:val="24"/>
        </w:rPr>
        <w:t xml:space="preserve"> pages</w:t>
      </w:r>
      <w:r w:rsidR="00B51D6E">
        <w:rPr>
          <w:rFonts w:ascii="Arial" w:hAnsi="Arial" w:cs="Arial"/>
          <w:sz w:val="24"/>
          <w:szCs w:val="24"/>
        </w:rPr>
        <w:t xml:space="preserve"> in total</w:t>
      </w:r>
      <w:r w:rsidR="00B51D6E" w:rsidRPr="00B51D6E">
        <w:rPr>
          <w:rFonts w:ascii="Arial" w:hAnsi="Arial" w:cs="Arial"/>
          <w:sz w:val="24"/>
          <w:szCs w:val="24"/>
        </w:rPr>
        <w:t>.</w:t>
      </w:r>
    </w:p>
    <w:p w:rsidR="0045116D" w:rsidRDefault="0045116D" w:rsidP="00B21A61">
      <w:pPr>
        <w:spacing w:after="0" w:line="360" w:lineRule="auto"/>
        <w:jc w:val="both"/>
        <w:rPr>
          <w:rFonts w:ascii="Arial" w:hAnsi="Arial" w:cs="Arial"/>
          <w:sz w:val="24"/>
          <w:szCs w:val="24"/>
        </w:rPr>
      </w:pPr>
    </w:p>
    <w:p w:rsidR="00AE781E" w:rsidRDefault="0045116D" w:rsidP="00B21A61">
      <w:pPr>
        <w:spacing w:after="0" w:line="360" w:lineRule="auto"/>
        <w:jc w:val="both"/>
        <w:rPr>
          <w:rFonts w:ascii="Arial" w:hAnsi="Arial" w:cs="Arial"/>
          <w:sz w:val="24"/>
          <w:szCs w:val="24"/>
        </w:rPr>
      </w:pPr>
      <w:r>
        <w:rPr>
          <w:rFonts w:ascii="Arial" w:hAnsi="Arial" w:cs="Arial"/>
          <w:sz w:val="24"/>
          <w:szCs w:val="24"/>
        </w:rPr>
        <w:t>[</w:t>
      </w:r>
      <w:r w:rsidR="00427B5B">
        <w:rPr>
          <w:rFonts w:ascii="Arial" w:hAnsi="Arial" w:cs="Arial"/>
          <w:sz w:val="24"/>
          <w:szCs w:val="24"/>
        </w:rPr>
        <w:t>8</w:t>
      </w:r>
      <w:r>
        <w:rPr>
          <w:rFonts w:ascii="Arial" w:hAnsi="Arial" w:cs="Arial"/>
          <w:sz w:val="24"/>
          <w:szCs w:val="24"/>
        </w:rPr>
        <w:t>]</w:t>
      </w:r>
      <w:r>
        <w:rPr>
          <w:rFonts w:ascii="Arial" w:hAnsi="Arial" w:cs="Arial"/>
          <w:sz w:val="24"/>
          <w:szCs w:val="24"/>
        </w:rPr>
        <w:tab/>
      </w:r>
      <w:r w:rsidR="00AE781E">
        <w:rPr>
          <w:rFonts w:ascii="Arial" w:hAnsi="Arial" w:cs="Arial"/>
          <w:sz w:val="24"/>
          <w:szCs w:val="24"/>
        </w:rPr>
        <w:t xml:space="preserve">Muller J discussed the requirements of an application for maintenance </w:t>
      </w:r>
      <w:r w:rsidR="002F0035">
        <w:rPr>
          <w:rFonts w:ascii="Arial" w:hAnsi="Arial" w:cs="Arial"/>
          <w:i/>
          <w:sz w:val="24"/>
          <w:szCs w:val="24"/>
        </w:rPr>
        <w:t xml:space="preserve">pendent </w:t>
      </w:r>
      <w:proofErr w:type="spellStart"/>
      <w:r w:rsidR="00AE781E" w:rsidRPr="00CD2542">
        <w:rPr>
          <w:rFonts w:ascii="Arial" w:hAnsi="Arial" w:cs="Arial"/>
          <w:i/>
          <w:sz w:val="24"/>
          <w:szCs w:val="24"/>
        </w:rPr>
        <w:t>lite</w:t>
      </w:r>
      <w:proofErr w:type="spellEnd"/>
      <w:r w:rsidR="002F0035">
        <w:rPr>
          <w:rFonts w:ascii="Arial" w:hAnsi="Arial" w:cs="Arial"/>
          <w:i/>
          <w:sz w:val="24"/>
          <w:szCs w:val="24"/>
        </w:rPr>
        <w:t xml:space="preserve"> </w:t>
      </w:r>
      <w:r w:rsidR="00AE781E">
        <w:rPr>
          <w:rFonts w:ascii="Arial" w:hAnsi="Arial" w:cs="Arial"/>
          <w:sz w:val="24"/>
          <w:szCs w:val="24"/>
        </w:rPr>
        <w:t xml:space="preserve">in the matter of </w:t>
      </w:r>
      <w:r w:rsidR="00AE781E" w:rsidRPr="007967EA">
        <w:rPr>
          <w:rFonts w:ascii="Arial" w:hAnsi="Arial" w:cs="Arial"/>
          <w:i/>
          <w:sz w:val="24"/>
          <w:szCs w:val="24"/>
        </w:rPr>
        <w:t>RH v NS</w:t>
      </w:r>
      <w:r w:rsidR="002F0035">
        <w:rPr>
          <w:rFonts w:ascii="Arial" w:hAnsi="Arial" w:cs="Arial"/>
          <w:i/>
          <w:sz w:val="24"/>
          <w:szCs w:val="24"/>
        </w:rPr>
        <w:t xml:space="preserve"> </w:t>
      </w:r>
      <w:r w:rsidR="007967EA" w:rsidRPr="007967EA">
        <w:rPr>
          <w:rFonts w:ascii="Arial" w:hAnsi="Arial" w:cs="Arial"/>
          <w:sz w:val="24"/>
          <w:szCs w:val="24"/>
        </w:rPr>
        <w:t>2010 (2) NR 584 at p589</w:t>
      </w:r>
      <w:r w:rsidR="002F0035">
        <w:rPr>
          <w:rFonts w:ascii="Arial" w:hAnsi="Arial" w:cs="Arial"/>
          <w:sz w:val="24"/>
          <w:szCs w:val="24"/>
        </w:rPr>
        <w:t>,</w:t>
      </w:r>
      <w:r w:rsidR="002F0035" w:rsidRPr="002F0035">
        <w:rPr>
          <w:rFonts w:ascii="Arial" w:hAnsi="Arial" w:cs="Arial"/>
          <w:sz w:val="24"/>
          <w:szCs w:val="24"/>
        </w:rPr>
        <w:t xml:space="preserve"> </w:t>
      </w:r>
      <w:r w:rsidR="002F0035">
        <w:rPr>
          <w:rFonts w:ascii="Arial" w:hAnsi="Arial" w:cs="Arial"/>
          <w:sz w:val="24"/>
          <w:szCs w:val="24"/>
        </w:rPr>
        <w:t>as follows</w:t>
      </w:r>
      <w:r w:rsidR="00AE781E">
        <w:rPr>
          <w:rFonts w:ascii="Arial" w:hAnsi="Arial" w:cs="Arial"/>
          <w:sz w:val="24"/>
          <w:szCs w:val="24"/>
        </w:rPr>
        <w:t>:</w:t>
      </w:r>
    </w:p>
    <w:p w:rsidR="000C769A" w:rsidRDefault="000C769A" w:rsidP="00B21A61">
      <w:pPr>
        <w:spacing w:after="0" w:line="360" w:lineRule="auto"/>
        <w:jc w:val="both"/>
        <w:rPr>
          <w:rFonts w:ascii="Arial" w:hAnsi="Arial" w:cs="Arial"/>
          <w:sz w:val="24"/>
          <w:szCs w:val="24"/>
        </w:rPr>
      </w:pPr>
    </w:p>
    <w:p w:rsidR="0045116D" w:rsidRPr="000C769A" w:rsidRDefault="000C769A" w:rsidP="00B21A61">
      <w:pPr>
        <w:spacing w:after="0" w:line="360" w:lineRule="auto"/>
        <w:ind w:firstLine="720"/>
        <w:jc w:val="both"/>
        <w:rPr>
          <w:rFonts w:ascii="Arial" w:hAnsi="Arial" w:cs="Arial"/>
          <w:i/>
          <w:sz w:val="24"/>
          <w:szCs w:val="24"/>
        </w:rPr>
      </w:pPr>
      <w:r w:rsidRPr="000C769A">
        <w:rPr>
          <w:rFonts w:ascii="Arial" w:hAnsi="Arial" w:cs="Arial"/>
          <w:i/>
        </w:rPr>
        <w:t>‘</w:t>
      </w:r>
      <w:r w:rsidR="00AE781E" w:rsidRPr="000C769A">
        <w:rPr>
          <w:rFonts w:ascii="Arial" w:hAnsi="Arial" w:cs="Arial"/>
          <w:i/>
        </w:rPr>
        <w:t>[11] In the rule 43 application an applicant has to put facts before the court that, if proved, will ensure success in the main action</w:t>
      </w:r>
      <w:r w:rsidR="00AE781E" w:rsidRPr="000C769A">
        <w:rPr>
          <w:rStyle w:val="FootnoteReference"/>
          <w:rFonts w:ascii="Arial" w:hAnsi="Arial" w:cs="Arial"/>
          <w:i/>
        </w:rPr>
        <w:footnoteReference w:id="3"/>
      </w:r>
      <w:r w:rsidR="00AE781E" w:rsidRPr="000C769A">
        <w:rPr>
          <w:rFonts w:ascii="Arial" w:hAnsi="Arial" w:cs="Arial"/>
          <w:i/>
        </w:rPr>
        <w:t>. The rule does not prohibit annexures as long as they constitute admissible evidence</w:t>
      </w:r>
      <w:r w:rsidR="00AE781E" w:rsidRPr="000C769A">
        <w:rPr>
          <w:rStyle w:val="FootnoteReference"/>
          <w:rFonts w:ascii="Arial" w:hAnsi="Arial" w:cs="Arial"/>
          <w:i/>
        </w:rPr>
        <w:footnoteReference w:id="4"/>
      </w:r>
      <w:r w:rsidR="00AE781E" w:rsidRPr="000C769A">
        <w:rPr>
          <w:rFonts w:ascii="Arial" w:hAnsi="Arial" w:cs="Arial"/>
          <w:i/>
        </w:rPr>
        <w:t>. No replying affidavit is allowed</w:t>
      </w:r>
      <w:r w:rsidR="00AE781E" w:rsidRPr="000C769A">
        <w:rPr>
          <w:rStyle w:val="FootnoteReference"/>
          <w:rFonts w:ascii="Arial" w:hAnsi="Arial" w:cs="Arial"/>
          <w:i/>
        </w:rPr>
        <w:footnoteReference w:id="5"/>
      </w:r>
      <w:r w:rsidR="00AE781E" w:rsidRPr="000C769A">
        <w:rPr>
          <w:rFonts w:ascii="Arial" w:hAnsi="Arial" w:cs="Arial"/>
          <w:i/>
        </w:rPr>
        <w:t>. Each case depends on its own facts</w:t>
      </w:r>
      <w:r w:rsidR="00AE781E" w:rsidRPr="000C769A">
        <w:rPr>
          <w:rStyle w:val="FootnoteReference"/>
          <w:rFonts w:ascii="Arial" w:hAnsi="Arial" w:cs="Arial"/>
          <w:i/>
        </w:rPr>
        <w:footnoteReference w:id="6"/>
      </w:r>
      <w:r w:rsidR="00AE781E" w:rsidRPr="000C769A">
        <w:rPr>
          <w:rFonts w:ascii="Arial" w:hAnsi="Arial" w:cs="Arial"/>
          <w:i/>
        </w:rPr>
        <w:t>.  This type of application ca</w:t>
      </w:r>
      <w:r>
        <w:rPr>
          <w:rFonts w:ascii="Arial" w:hAnsi="Arial" w:cs="Arial"/>
          <w:i/>
        </w:rPr>
        <w:t>nnot be determined so precisely</w:t>
      </w:r>
      <w:r w:rsidR="00AE781E" w:rsidRPr="000C769A">
        <w:rPr>
          <w:rFonts w:ascii="Arial" w:hAnsi="Arial" w:cs="Arial"/>
          <w:i/>
        </w:rPr>
        <w:t xml:space="preserve"> as one where evidence is presented.</w:t>
      </w:r>
      <w:r w:rsidR="00AE781E" w:rsidRPr="000C769A">
        <w:rPr>
          <w:rStyle w:val="FootnoteReference"/>
          <w:rFonts w:ascii="Arial" w:hAnsi="Arial" w:cs="Arial"/>
          <w:i/>
        </w:rPr>
        <w:footnoteReference w:id="7"/>
      </w:r>
      <w:r w:rsidR="00AE781E" w:rsidRPr="000C769A">
        <w:rPr>
          <w:rFonts w:ascii="Arial" w:hAnsi="Arial" w:cs="Arial"/>
          <w:i/>
        </w:rPr>
        <w:t xml:space="preserve">  Because there are only two affidavits the court has to draw inferences and look at the probabilities as they emerge from the papers. Of course a finding of the court in respect of a rule 43 application is not binding on the trial court in the main action</w:t>
      </w:r>
      <w:r w:rsidR="00AE781E" w:rsidRPr="000C769A">
        <w:rPr>
          <w:rStyle w:val="FootnoteReference"/>
          <w:rFonts w:ascii="Arial" w:hAnsi="Arial" w:cs="Arial"/>
          <w:i/>
        </w:rPr>
        <w:footnoteReference w:id="8"/>
      </w:r>
      <w:r w:rsidR="00AE781E" w:rsidRPr="000C769A">
        <w:rPr>
          <w:rFonts w:ascii="Arial" w:hAnsi="Arial" w:cs="Arial"/>
          <w:i/>
        </w:rPr>
        <w:t xml:space="preserve">.  In order to evaluate the probabilities and to make a proper assessment, annexures to prove averments may be important. In the case of </w:t>
      </w:r>
      <w:proofErr w:type="spellStart"/>
      <w:r w:rsidR="00AE781E" w:rsidRPr="000C769A">
        <w:rPr>
          <w:rFonts w:ascii="Arial" w:hAnsi="Arial" w:cs="Arial"/>
          <w:i/>
        </w:rPr>
        <w:t>Taute</w:t>
      </w:r>
      <w:proofErr w:type="spellEnd"/>
      <w:r w:rsidR="00AE781E" w:rsidRPr="000C769A">
        <w:rPr>
          <w:rFonts w:ascii="Arial" w:hAnsi="Arial" w:cs="Arial"/>
          <w:i/>
        </w:rPr>
        <w:t xml:space="preserve"> v </w:t>
      </w:r>
      <w:proofErr w:type="spellStart"/>
      <w:r w:rsidR="00AE781E" w:rsidRPr="000C769A">
        <w:rPr>
          <w:rFonts w:ascii="Arial" w:hAnsi="Arial" w:cs="Arial"/>
          <w:i/>
        </w:rPr>
        <w:t>Taute</w:t>
      </w:r>
      <w:proofErr w:type="spellEnd"/>
      <w:r w:rsidR="00AE781E" w:rsidRPr="000C769A">
        <w:rPr>
          <w:rFonts w:ascii="Arial" w:hAnsi="Arial" w:cs="Arial"/>
          <w:i/>
        </w:rPr>
        <w:t xml:space="preserve">, supra, a balance sheet and tax assessments </w:t>
      </w:r>
      <w:r w:rsidR="00AE781E" w:rsidRPr="000C769A">
        <w:rPr>
          <w:rFonts w:ascii="Arial" w:hAnsi="Arial" w:cs="Arial"/>
          <w:i/>
        </w:rPr>
        <w:lastRenderedPageBreak/>
        <w:t>were provided to prove the income of the applicant</w:t>
      </w:r>
      <w:r w:rsidR="00AE781E" w:rsidRPr="000C769A">
        <w:rPr>
          <w:rStyle w:val="FootnoteReference"/>
          <w:rFonts w:ascii="Arial" w:hAnsi="Arial" w:cs="Arial"/>
          <w:i/>
        </w:rPr>
        <w:footnoteReference w:id="9"/>
      </w:r>
      <w:r w:rsidR="00AE781E" w:rsidRPr="000C769A">
        <w:rPr>
          <w:rFonts w:ascii="Arial" w:hAnsi="Arial" w:cs="Arial"/>
          <w:i/>
        </w:rPr>
        <w:t>.   Sufficient details must be given to enable the court to deal with the matter</w:t>
      </w:r>
      <w:r w:rsidR="00AE781E" w:rsidRPr="000C769A">
        <w:rPr>
          <w:rStyle w:val="FootnoteReference"/>
          <w:rFonts w:ascii="Arial" w:hAnsi="Arial" w:cs="Arial"/>
          <w:i/>
        </w:rPr>
        <w:footnoteReference w:id="10"/>
      </w:r>
      <w:r w:rsidR="00AE781E" w:rsidRPr="000C769A">
        <w:rPr>
          <w:rFonts w:ascii="Arial" w:hAnsi="Arial" w:cs="Arial"/>
          <w:i/>
        </w:rPr>
        <w:t>. In respect of further evidence a party must apply for leave to provide such evidence</w:t>
      </w:r>
      <w:r w:rsidR="00AE781E" w:rsidRPr="000C769A">
        <w:rPr>
          <w:rStyle w:val="FootnoteReference"/>
          <w:rFonts w:ascii="Arial" w:hAnsi="Arial" w:cs="Arial"/>
          <w:i/>
        </w:rPr>
        <w:footnoteReference w:id="11"/>
      </w:r>
      <w:r w:rsidR="00AE781E" w:rsidRPr="000C769A">
        <w:rPr>
          <w:rFonts w:ascii="Arial" w:hAnsi="Arial" w:cs="Arial"/>
          <w:i/>
        </w:rPr>
        <w:t>. Although the affidavits in a rule 43 a</w:t>
      </w:r>
      <w:r>
        <w:rPr>
          <w:rFonts w:ascii="Arial" w:hAnsi="Arial" w:cs="Arial"/>
          <w:i/>
        </w:rPr>
        <w:t>pplication should be similar to</w:t>
      </w:r>
      <w:r w:rsidR="00AE781E" w:rsidRPr="000C769A">
        <w:rPr>
          <w:rFonts w:ascii="Arial" w:hAnsi="Arial" w:cs="Arial"/>
          <w:i/>
        </w:rPr>
        <w:t xml:space="preserve"> pleadings, they cannot be similar in all respects. In certain instances where a respondent needs to prove the truth of his/her version, he or she may need to annex certain documents, which would normally in the main case be handed in as exhibits. In such circumstances exhibits may be annexed to the papers</w:t>
      </w:r>
      <w:r w:rsidR="00AE781E" w:rsidRPr="000C769A">
        <w:rPr>
          <w:rStyle w:val="FootnoteReference"/>
          <w:rFonts w:ascii="Arial" w:hAnsi="Arial" w:cs="Arial"/>
          <w:i/>
        </w:rPr>
        <w:footnoteReference w:id="12"/>
      </w:r>
      <w:r>
        <w:rPr>
          <w:rFonts w:ascii="Arial" w:hAnsi="Arial" w:cs="Arial"/>
          <w:i/>
        </w:rPr>
        <w:t>.’</w:t>
      </w:r>
    </w:p>
    <w:p w:rsidR="000C769A" w:rsidRDefault="000C769A" w:rsidP="00B21A61">
      <w:pPr>
        <w:spacing w:after="0" w:line="360" w:lineRule="auto"/>
        <w:jc w:val="both"/>
        <w:rPr>
          <w:rFonts w:ascii="Arial" w:hAnsi="Arial" w:cs="Arial"/>
          <w:sz w:val="24"/>
          <w:szCs w:val="24"/>
        </w:rPr>
      </w:pPr>
    </w:p>
    <w:p w:rsidR="00AE781E" w:rsidRDefault="00EB074E" w:rsidP="00B21A61">
      <w:pPr>
        <w:spacing w:after="0" w:line="360" w:lineRule="auto"/>
        <w:jc w:val="both"/>
        <w:rPr>
          <w:rFonts w:ascii="Arial" w:hAnsi="Arial" w:cs="Arial"/>
          <w:sz w:val="24"/>
          <w:szCs w:val="24"/>
        </w:rPr>
      </w:pPr>
      <w:r>
        <w:rPr>
          <w:rFonts w:ascii="Arial" w:hAnsi="Arial" w:cs="Arial"/>
          <w:sz w:val="24"/>
          <w:szCs w:val="24"/>
        </w:rPr>
        <w:t>[</w:t>
      </w:r>
      <w:r w:rsidR="00427B5B">
        <w:rPr>
          <w:rFonts w:ascii="Arial" w:hAnsi="Arial" w:cs="Arial"/>
          <w:sz w:val="24"/>
          <w:szCs w:val="24"/>
        </w:rPr>
        <w:t>9</w:t>
      </w:r>
      <w:r>
        <w:rPr>
          <w:rFonts w:ascii="Arial" w:hAnsi="Arial" w:cs="Arial"/>
          <w:sz w:val="24"/>
          <w:szCs w:val="24"/>
        </w:rPr>
        <w:t>]</w:t>
      </w:r>
      <w:r>
        <w:rPr>
          <w:rFonts w:ascii="Arial" w:hAnsi="Arial" w:cs="Arial"/>
          <w:sz w:val="24"/>
          <w:szCs w:val="24"/>
        </w:rPr>
        <w:tab/>
      </w:r>
      <w:r w:rsidR="00AE781E" w:rsidRPr="0045116D">
        <w:rPr>
          <w:rFonts w:ascii="Arial" w:hAnsi="Arial" w:cs="Arial"/>
          <w:sz w:val="24"/>
          <w:szCs w:val="24"/>
        </w:rPr>
        <w:t xml:space="preserve">The purpose of Rule </w:t>
      </w:r>
      <w:r w:rsidR="00AE781E">
        <w:rPr>
          <w:rFonts w:ascii="Arial" w:hAnsi="Arial" w:cs="Arial"/>
          <w:sz w:val="24"/>
          <w:szCs w:val="24"/>
        </w:rPr>
        <w:t>90 (old Rule 43)</w:t>
      </w:r>
      <w:r w:rsidR="00AE781E" w:rsidRPr="0045116D">
        <w:rPr>
          <w:rFonts w:ascii="Arial" w:hAnsi="Arial" w:cs="Arial"/>
          <w:sz w:val="24"/>
          <w:szCs w:val="24"/>
        </w:rPr>
        <w:t xml:space="preserve"> proceedings was captured in the words of Theron J in </w:t>
      </w:r>
      <w:r w:rsidR="00AE781E" w:rsidRPr="007967EA">
        <w:rPr>
          <w:rFonts w:ascii="Arial" w:hAnsi="Arial" w:cs="Arial"/>
          <w:i/>
          <w:sz w:val="24"/>
          <w:szCs w:val="24"/>
        </w:rPr>
        <w:t>Colman v Colman</w:t>
      </w:r>
      <w:r w:rsidR="00AE781E">
        <w:rPr>
          <w:rStyle w:val="FootnoteReference"/>
          <w:rFonts w:ascii="Arial" w:hAnsi="Arial" w:cs="Arial"/>
          <w:sz w:val="24"/>
          <w:szCs w:val="24"/>
        </w:rPr>
        <w:footnoteReference w:id="13"/>
      </w:r>
      <w:r w:rsidR="00AE781E" w:rsidRPr="0045116D">
        <w:rPr>
          <w:rFonts w:ascii="Arial" w:hAnsi="Arial" w:cs="Arial"/>
          <w:sz w:val="24"/>
          <w:szCs w:val="24"/>
        </w:rPr>
        <w:t> in which the learned Judge said:</w:t>
      </w:r>
    </w:p>
    <w:p w:rsidR="00514979" w:rsidRDefault="00514979" w:rsidP="00B21A61">
      <w:pPr>
        <w:spacing w:after="0" w:line="360" w:lineRule="auto"/>
        <w:jc w:val="both"/>
        <w:rPr>
          <w:rFonts w:ascii="Arial" w:hAnsi="Arial" w:cs="Arial"/>
          <w:sz w:val="24"/>
          <w:szCs w:val="24"/>
        </w:rPr>
      </w:pPr>
    </w:p>
    <w:p w:rsidR="00AE781E" w:rsidRPr="00514979" w:rsidRDefault="00AE781E" w:rsidP="00B21A61">
      <w:pPr>
        <w:spacing w:after="0" w:line="360" w:lineRule="auto"/>
        <w:jc w:val="both"/>
        <w:rPr>
          <w:rFonts w:ascii="Arial" w:hAnsi="Arial" w:cs="Arial"/>
          <w:i/>
        </w:rPr>
      </w:pPr>
      <w:r w:rsidRPr="0045116D">
        <w:rPr>
          <w:rFonts w:ascii="Arial" w:hAnsi="Arial" w:cs="Arial"/>
          <w:sz w:val="24"/>
          <w:szCs w:val="24"/>
        </w:rPr>
        <w:tab/>
      </w:r>
      <w:r w:rsidRPr="00514979">
        <w:rPr>
          <w:rFonts w:ascii="Arial" w:hAnsi="Arial" w:cs="Arial"/>
          <w:i/>
        </w:rPr>
        <w:t xml:space="preserve">'The whole spirit of Rule 43 seems to me to demand that there should be only a very brief statement by the applicant of the reasons why he or she is asking for the relief claimed and an equally succinct reply by the respondent and that the Court is then to do its best to arrive expeditiously at a decision as to what order should be made </w:t>
      </w:r>
      <w:r w:rsidR="00353A27">
        <w:rPr>
          <w:rFonts w:ascii="Arial" w:hAnsi="Arial" w:cs="Arial"/>
          <w:i/>
        </w:rPr>
        <w:t xml:space="preserve">pendent </w:t>
      </w:r>
      <w:proofErr w:type="spellStart"/>
      <w:r w:rsidRPr="00514979">
        <w:rPr>
          <w:rFonts w:ascii="Arial" w:hAnsi="Arial" w:cs="Arial"/>
          <w:i/>
        </w:rPr>
        <w:t>lite</w:t>
      </w:r>
      <w:proofErr w:type="spellEnd"/>
      <w:r w:rsidRPr="00514979">
        <w:rPr>
          <w:rFonts w:ascii="Arial" w:hAnsi="Arial" w:cs="Arial"/>
          <w:i/>
        </w:rPr>
        <w:t>.'</w:t>
      </w:r>
    </w:p>
    <w:p w:rsidR="005B0072" w:rsidRPr="00EB074E" w:rsidRDefault="005B0072" w:rsidP="00B21A61">
      <w:pPr>
        <w:spacing w:after="0" w:line="360" w:lineRule="auto"/>
        <w:jc w:val="both"/>
        <w:rPr>
          <w:rFonts w:ascii="Arial" w:hAnsi="Arial" w:cs="Arial"/>
        </w:rPr>
      </w:pPr>
    </w:p>
    <w:p w:rsidR="00427B5B" w:rsidRDefault="00C93860" w:rsidP="00B21A61">
      <w:pPr>
        <w:spacing w:after="0" w:line="360" w:lineRule="auto"/>
        <w:jc w:val="both"/>
        <w:rPr>
          <w:rFonts w:ascii="Arial" w:hAnsi="Arial" w:cs="Arial"/>
          <w:sz w:val="24"/>
          <w:szCs w:val="24"/>
        </w:rPr>
      </w:pPr>
      <w:r>
        <w:rPr>
          <w:rFonts w:ascii="Arial" w:hAnsi="Arial" w:cs="Arial"/>
          <w:sz w:val="24"/>
          <w:szCs w:val="24"/>
        </w:rPr>
        <w:t>[</w:t>
      </w:r>
      <w:r w:rsidR="00427B5B">
        <w:rPr>
          <w:rFonts w:ascii="Arial" w:hAnsi="Arial" w:cs="Arial"/>
          <w:sz w:val="24"/>
          <w:szCs w:val="24"/>
        </w:rPr>
        <w:t>10</w:t>
      </w:r>
      <w:r>
        <w:rPr>
          <w:rFonts w:ascii="Arial" w:hAnsi="Arial" w:cs="Arial"/>
          <w:sz w:val="24"/>
          <w:szCs w:val="24"/>
        </w:rPr>
        <w:t>]</w:t>
      </w:r>
      <w:r>
        <w:rPr>
          <w:rFonts w:ascii="Arial" w:hAnsi="Arial" w:cs="Arial"/>
          <w:sz w:val="24"/>
          <w:szCs w:val="24"/>
        </w:rPr>
        <w:tab/>
      </w:r>
      <w:r w:rsidR="00514979">
        <w:rPr>
          <w:rFonts w:ascii="Arial" w:hAnsi="Arial" w:cs="Arial"/>
          <w:sz w:val="24"/>
          <w:szCs w:val="24"/>
        </w:rPr>
        <w:t>The C</w:t>
      </w:r>
      <w:r w:rsidR="00672937">
        <w:rPr>
          <w:rFonts w:ascii="Arial" w:hAnsi="Arial" w:cs="Arial"/>
          <w:sz w:val="24"/>
          <w:szCs w:val="24"/>
        </w:rPr>
        <w:t xml:space="preserve">ourt must have a balanced and sensible approach to an application of this nature and each matter need to be treated on its merits. </w:t>
      </w:r>
      <w:r w:rsidR="001E69F6">
        <w:rPr>
          <w:rFonts w:ascii="Arial" w:hAnsi="Arial" w:cs="Arial"/>
          <w:sz w:val="24"/>
          <w:szCs w:val="24"/>
        </w:rPr>
        <w:t xml:space="preserve">This is evident from the matter of </w:t>
      </w:r>
      <w:r w:rsidR="001E69F6" w:rsidRPr="007967EA">
        <w:rPr>
          <w:rFonts w:ascii="Arial" w:hAnsi="Arial" w:cs="Arial"/>
          <w:i/>
          <w:sz w:val="24"/>
          <w:szCs w:val="24"/>
        </w:rPr>
        <w:t>Dreyer v Dreyer</w:t>
      </w:r>
      <w:r w:rsidR="007967EA">
        <w:rPr>
          <w:rStyle w:val="FootnoteReference"/>
          <w:rFonts w:ascii="Arial" w:hAnsi="Arial" w:cs="Arial"/>
          <w:sz w:val="24"/>
          <w:szCs w:val="24"/>
        </w:rPr>
        <w:footnoteReference w:id="14"/>
      </w:r>
      <w:r w:rsidR="00514979">
        <w:rPr>
          <w:rFonts w:ascii="Arial" w:hAnsi="Arial" w:cs="Arial"/>
          <w:sz w:val="24"/>
          <w:szCs w:val="24"/>
        </w:rPr>
        <w:t xml:space="preserve"> where the C</w:t>
      </w:r>
      <w:r w:rsidR="001E69F6">
        <w:rPr>
          <w:rFonts w:ascii="Arial" w:hAnsi="Arial" w:cs="Arial"/>
          <w:sz w:val="24"/>
          <w:szCs w:val="24"/>
        </w:rPr>
        <w:t xml:space="preserve">ourt deviated from the norm and accepted </w:t>
      </w:r>
      <w:r w:rsidR="007967EA">
        <w:rPr>
          <w:rFonts w:ascii="Arial" w:hAnsi="Arial" w:cs="Arial"/>
          <w:sz w:val="24"/>
          <w:szCs w:val="24"/>
        </w:rPr>
        <w:t xml:space="preserve">a </w:t>
      </w:r>
      <w:r w:rsidR="001E69F6">
        <w:rPr>
          <w:rFonts w:ascii="Arial" w:hAnsi="Arial" w:cs="Arial"/>
          <w:sz w:val="24"/>
          <w:szCs w:val="24"/>
        </w:rPr>
        <w:t>‘bulky and cumbersome’ reply</w:t>
      </w:r>
      <w:r w:rsidR="002F0035">
        <w:rPr>
          <w:rFonts w:ascii="Arial" w:hAnsi="Arial" w:cs="Arial"/>
          <w:sz w:val="24"/>
          <w:szCs w:val="24"/>
        </w:rPr>
        <w:t xml:space="preserve"> </w:t>
      </w:r>
      <w:r w:rsidR="00514979">
        <w:rPr>
          <w:rFonts w:ascii="Arial" w:hAnsi="Arial" w:cs="Arial"/>
          <w:sz w:val="24"/>
          <w:szCs w:val="24"/>
        </w:rPr>
        <w:t>as the C</w:t>
      </w:r>
      <w:r w:rsidR="001E69F6">
        <w:rPr>
          <w:rFonts w:ascii="Arial" w:hAnsi="Arial" w:cs="Arial"/>
          <w:sz w:val="24"/>
          <w:szCs w:val="24"/>
        </w:rPr>
        <w:t>ourt was of the opinion that the</w:t>
      </w:r>
      <w:r w:rsidR="001E69F6" w:rsidRPr="001E69F6">
        <w:rPr>
          <w:rFonts w:ascii="Arial" w:hAnsi="Arial" w:cs="Arial"/>
          <w:sz w:val="24"/>
          <w:szCs w:val="24"/>
        </w:rPr>
        <w:t xml:space="preserve"> annexures </w:t>
      </w:r>
      <w:r w:rsidR="001E69F6">
        <w:rPr>
          <w:rFonts w:ascii="Arial" w:hAnsi="Arial" w:cs="Arial"/>
          <w:sz w:val="24"/>
          <w:szCs w:val="24"/>
        </w:rPr>
        <w:t xml:space="preserve">were necessary for purposes of the application and that it simplified the issues. In this regard the </w:t>
      </w:r>
      <w:r w:rsidR="002F0035">
        <w:rPr>
          <w:rFonts w:ascii="Arial" w:hAnsi="Arial" w:cs="Arial"/>
          <w:sz w:val="24"/>
          <w:szCs w:val="24"/>
        </w:rPr>
        <w:t>C</w:t>
      </w:r>
      <w:r w:rsidR="001E69F6">
        <w:rPr>
          <w:rFonts w:ascii="Arial" w:hAnsi="Arial" w:cs="Arial"/>
          <w:sz w:val="24"/>
          <w:szCs w:val="24"/>
        </w:rPr>
        <w:t xml:space="preserve">ourt followed the approach of </w:t>
      </w:r>
      <w:r w:rsidR="006F3FBA" w:rsidRPr="007967EA">
        <w:rPr>
          <w:rFonts w:ascii="Arial" w:hAnsi="Arial" w:cs="Arial"/>
          <w:i/>
          <w:sz w:val="24"/>
          <w:szCs w:val="24"/>
        </w:rPr>
        <w:t>Dodo v Dodo</w:t>
      </w:r>
      <w:r w:rsidR="006F3FBA">
        <w:rPr>
          <w:rStyle w:val="FootnoteReference"/>
          <w:rFonts w:ascii="Arial" w:hAnsi="Arial" w:cs="Arial"/>
          <w:sz w:val="24"/>
          <w:szCs w:val="24"/>
        </w:rPr>
        <w:footnoteReference w:id="15"/>
      </w:r>
      <w:r w:rsidR="007967EA">
        <w:rPr>
          <w:rFonts w:ascii="Arial" w:hAnsi="Arial" w:cs="Arial"/>
          <w:sz w:val="24"/>
          <w:szCs w:val="24"/>
        </w:rPr>
        <w:t xml:space="preserve">. It is however important to note that the </w:t>
      </w:r>
      <w:r w:rsidR="000B5B47">
        <w:rPr>
          <w:rFonts w:ascii="Arial" w:hAnsi="Arial" w:cs="Arial"/>
          <w:sz w:val="24"/>
          <w:szCs w:val="24"/>
        </w:rPr>
        <w:t>Court</w:t>
      </w:r>
      <w:r w:rsidR="007967EA">
        <w:rPr>
          <w:rFonts w:ascii="Arial" w:hAnsi="Arial" w:cs="Arial"/>
          <w:sz w:val="24"/>
          <w:szCs w:val="24"/>
        </w:rPr>
        <w:t xml:space="preserve"> in the Dodo matter went further to qualify that</w:t>
      </w:r>
      <w:r w:rsidR="001E69F6">
        <w:rPr>
          <w:rFonts w:ascii="Arial" w:hAnsi="Arial" w:cs="Arial"/>
          <w:sz w:val="24"/>
          <w:szCs w:val="24"/>
        </w:rPr>
        <w:t xml:space="preserve"> the deviation applies </w:t>
      </w:r>
      <w:r w:rsidR="00514979">
        <w:rPr>
          <w:rFonts w:ascii="Arial" w:hAnsi="Arial" w:cs="Arial"/>
          <w:sz w:val="24"/>
          <w:szCs w:val="24"/>
        </w:rPr>
        <w:t>“</w:t>
      </w:r>
      <w:r w:rsidR="006F3FBA" w:rsidRPr="00427B5B">
        <w:rPr>
          <w:rFonts w:ascii="Arial" w:hAnsi="Arial" w:cs="Arial"/>
          <w:i/>
          <w:sz w:val="24"/>
          <w:szCs w:val="24"/>
        </w:rPr>
        <w:t xml:space="preserve">wherein complexities in </w:t>
      </w:r>
      <w:r w:rsidR="00514979">
        <w:rPr>
          <w:rFonts w:ascii="Arial" w:hAnsi="Arial" w:cs="Arial"/>
          <w:i/>
          <w:sz w:val="24"/>
          <w:szCs w:val="24"/>
        </w:rPr>
        <w:t>Rule 43 applications are unusual</w:t>
      </w:r>
      <w:r w:rsidR="00514979">
        <w:rPr>
          <w:rFonts w:ascii="Arial" w:hAnsi="Arial" w:cs="Arial"/>
          <w:sz w:val="24"/>
          <w:szCs w:val="24"/>
        </w:rPr>
        <w:t>”</w:t>
      </w:r>
      <w:r w:rsidR="007967EA">
        <w:rPr>
          <w:rStyle w:val="FootnoteReference"/>
          <w:rFonts w:ascii="Arial" w:hAnsi="Arial" w:cs="Arial"/>
          <w:sz w:val="24"/>
          <w:szCs w:val="24"/>
        </w:rPr>
        <w:footnoteReference w:id="16"/>
      </w:r>
      <w:r w:rsidR="007967EA">
        <w:rPr>
          <w:rFonts w:ascii="Arial" w:hAnsi="Arial" w:cs="Arial"/>
          <w:sz w:val="24"/>
          <w:szCs w:val="24"/>
        </w:rPr>
        <w:t>.</w:t>
      </w:r>
      <w:r w:rsidR="00A45814">
        <w:rPr>
          <w:rFonts w:ascii="Arial" w:hAnsi="Arial" w:cs="Arial"/>
          <w:sz w:val="24"/>
          <w:szCs w:val="24"/>
        </w:rPr>
        <w:t xml:space="preserve"> </w:t>
      </w:r>
      <w:r w:rsidR="00427B5B" w:rsidRPr="00514979">
        <w:rPr>
          <w:rFonts w:ascii="Arial" w:hAnsi="Arial" w:cs="Arial"/>
          <w:sz w:val="24"/>
          <w:szCs w:val="24"/>
        </w:rPr>
        <w:t>(</w:t>
      </w:r>
      <w:r w:rsidR="00514979" w:rsidRPr="00514979">
        <w:rPr>
          <w:rFonts w:ascii="Arial" w:hAnsi="Arial" w:cs="Arial"/>
          <w:sz w:val="24"/>
          <w:szCs w:val="24"/>
        </w:rPr>
        <w:t>My</w:t>
      </w:r>
      <w:r w:rsidR="00427B5B" w:rsidRPr="00514979">
        <w:rPr>
          <w:rFonts w:ascii="Arial" w:hAnsi="Arial" w:cs="Arial"/>
          <w:sz w:val="24"/>
          <w:szCs w:val="24"/>
        </w:rPr>
        <w:t xml:space="preserve"> emphasis)</w:t>
      </w:r>
    </w:p>
    <w:p w:rsidR="007967EA" w:rsidRDefault="007967EA" w:rsidP="00B21A61">
      <w:pPr>
        <w:spacing w:after="0" w:line="360" w:lineRule="auto"/>
        <w:jc w:val="both"/>
        <w:rPr>
          <w:rFonts w:ascii="Arial" w:hAnsi="Arial" w:cs="Arial"/>
          <w:sz w:val="24"/>
          <w:szCs w:val="24"/>
        </w:rPr>
      </w:pPr>
    </w:p>
    <w:p w:rsidR="00085A84" w:rsidRDefault="000B5B47" w:rsidP="00B21A61">
      <w:pPr>
        <w:spacing w:after="0" w:line="360" w:lineRule="auto"/>
        <w:jc w:val="both"/>
        <w:rPr>
          <w:rFonts w:ascii="Arial" w:hAnsi="Arial" w:cs="Arial"/>
          <w:sz w:val="24"/>
          <w:szCs w:val="24"/>
        </w:rPr>
      </w:pPr>
      <w:r w:rsidRPr="0028229D">
        <w:rPr>
          <w:rFonts w:ascii="Arial" w:hAnsi="Arial" w:cs="Arial"/>
        </w:rPr>
        <w:t>[11]</w:t>
      </w:r>
      <w:r>
        <w:rPr>
          <w:rFonts w:ascii="Arial" w:hAnsi="Arial" w:cs="Arial"/>
        </w:rPr>
        <w:tab/>
      </w:r>
      <w:r w:rsidR="00514979">
        <w:rPr>
          <w:rFonts w:ascii="Arial" w:hAnsi="Arial" w:cs="Arial"/>
          <w:sz w:val="24"/>
          <w:szCs w:val="24"/>
        </w:rPr>
        <w:t>Counsel</w:t>
      </w:r>
      <w:r w:rsidR="00980D64">
        <w:rPr>
          <w:rFonts w:ascii="Arial" w:hAnsi="Arial" w:cs="Arial"/>
          <w:sz w:val="24"/>
          <w:szCs w:val="24"/>
        </w:rPr>
        <w:t xml:space="preserve"> for the applicant submitted that all these annexures were filed to show some detail in the application and further to show the applicant’s prospects of success in the main action with reference to the matter of </w:t>
      </w:r>
      <w:proofErr w:type="spellStart"/>
      <w:r w:rsidR="00980D64" w:rsidRPr="00E11ED7">
        <w:rPr>
          <w:rFonts w:ascii="Arial" w:hAnsi="Arial" w:cs="Arial"/>
          <w:i/>
          <w:sz w:val="24"/>
          <w:szCs w:val="24"/>
        </w:rPr>
        <w:t>Stoman</w:t>
      </w:r>
      <w:proofErr w:type="spellEnd"/>
      <w:r w:rsidR="00980D64" w:rsidRPr="00E11ED7">
        <w:rPr>
          <w:rFonts w:ascii="Arial" w:hAnsi="Arial" w:cs="Arial"/>
          <w:i/>
          <w:sz w:val="24"/>
          <w:szCs w:val="24"/>
        </w:rPr>
        <w:t xml:space="preserve"> v </w:t>
      </w:r>
      <w:proofErr w:type="spellStart"/>
      <w:r w:rsidR="00980D64" w:rsidRPr="00E11ED7">
        <w:rPr>
          <w:rFonts w:ascii="Arial" w:hAnsi="Arial" w:cs="Arial"/>
          <w:i/>
          <w:sz w:val="24"/>
          <w:szCs w:val="24"/>
        </w:rPr>
        <w:t>Stoman</w:t>
      </w:r>
      <w:proofErr w:type="spellEnd"/>
      <w:r w:rsidR="00980D64">
        <w:rPr>
          <w:rStyle w:val="FootnoteReference"/>
          <w:rFonts w:ascii="Arial" w:hAnsi="Arial" w:cs="Arial"/>
          <w:sz w:val="24"/>
          <w:szCs w:val="24"/>
        </w:rPr>
        <w:footnoteReference w:id="17"/>
      </w:r>
      <w:r w:rsidR="00980D64">
        <w:rPr>
          <w:rFonts w:ascii="Arial" w:hAnsi="Arial" w:cs="Arial"/>
          <w:sz w:val="24"/>
          <w:szCs w:val="24"/>
        </w:rPr>
        <w:t>.</w:t>
      </w:r>
    </w:p>
    <w:p w:rsidR="00514979" w:rsidRDefault="00514979" w:rsidP="00B21A61">
      <w:pPr>
        <w:spacing w:after="0" w:line="360" w:lineRule="auto"/>
        <w:jc w:val="both"/>
        <w:rPr>
          <w:rFonts w:ascii="Arial" w:hAnsi="Arial" w:cs="Arial"/>
          <w:sz w:val="24"/>
          <w:szCs w:val="24"/>
        </w:rPr>
      </w:pPr>
    </w:p>
    <w:p w:rsidR="00FA7EF4" w:rsidRDefault="00085A84" w:rsidP="00B21A61">
      <w:pPr>
        <w:spacing w:after="0" w:line="360" w:lineRule="auto"/>
        <w:jc w:val="both"/>
        <w:rPr>
          <w:rFonts w:ascii="Arial" w:hAnsi="Arial" w:cs="Arial"/>
          <w:sz w:val="24"/>
          <w:szCs w:val="24"/>
        </w:rPr>
      </w:pPr>
      <w:r>
        <w:rPr>
          <w:rFonts w:ascii="Arial" w:hAnsi="Arial" w:cs="Arial"/>
          <w:sz w:val="24"/>
          <w:szCs w:val="24"/>
        </w:rPr>
        <w:lastRenderedPageBreak/>
        <w:t xml:space="preserve">[12] </w:t>
      </w:r>
      <w:r>
        <w:rPr>
          <w:rFonts w:ascii="Arial" w:hAnsi="Arial" w:cs="Arial"/>
          <w:sz w:val="24"/>
          <w:szCs w:val="24"/>
        </w:rPr>
        <w:tab/>
      </w:r>
      <w:r w:rsidR="00980D64">
        <w:rPr>
          <w:rFonts w:ascii="Arial" w:hAnsi="Arial" w:cs="Arial"/>
          <w:sz w:val="24"/>
          <w:szCs w:val="24"/>
        </w:rPr>
        <w:t xml:space="preserve">Court is in agreement with the fact that an application of this nature should show some detail </w:t>
      </w:r>
      <w:r w:rsidR="00980D64" w:rsidRPr="00980D64">
        <w:rPr>
          <w:rFonts w:ascii="Arial" w:hAnsi="Arial" w:cs="Arial"/>
          <w:sz w:val="24"/>
          <w:szCs w:val="24"/>
        </w:rPr>
        <w:t xml:space="preserve">to enable the court to deal with the application, </w:t>
      </w:r>
      <w:r w:rsidR="00980D64">
        <w:rPr>
          <w:rFonts w:ascii="Arial" w:hAnsi="Arial" w:cs="Arial"/>
          <w:sz w:val="24"/>
          <w:szCs w:val="24"/>
        </w:rPr>
        <w:t>and avoid</w:t>
      </w:r>
      <w:r w:rsidR="00980D64" w:rsidRPr="00980D64">
        <w:rPr>
          <w:rFonts w:ascii="Arial" w:hAnsi="Arial" w:cs="Arial"/>
          <w:sz w:val="24"/>
          <w:szCs w:val="24"/>
        </w:rPr>
        <w:t xml:space="preserve"> recourse to viva voce evidence</w:t>
      </w:r>
      <w:r w:rsidR="00980D64">
        <w:rPr>
          <w:rStyle w:val="FootnoteReference"/>
          <w:rFonts w:ascii="Arial" w:hAnsi="Arial" w:cs="Arial"/>
          <w:sz w:val="24"/>
          <w:szCs w:val="24"/>
        </w:rPr>
        <w:footnoteReference w:id="18"/>
      </w:r>
      <w:r w:rsidR="00980D64" w:rsidRPr="00980D64">
        <w:rPr>
          <w:rFonts w:ascii="Arial" w:hAnsi="Arial" w:cs="Arial"/>
          <w:sz w:val="24"/>
          <w:szCs w:val="24"/>
        </w:rPr>
        <w:t>.</w:t>
      </w:r>
      <w:r w:rsidR="00980D64">
        <w:rPr>
          <w:rFonts w:ascii="Arial" w:hAnsi="Arial" w:cs="Arial"/>
          <w:sz w:val="24"/>
          <w:szCs w:val="24"/>
        </w:rPr>
        <w:t xml:space="preserve"> The operative word however is </w:t>
      </w:r>
      <w:r w:rsidR="00980D64" w:rsidRPr="00514979">
        <w:rPr>
          <w:rFonts w:ascii="Arial" w:hAnsi="Arial" w:cs="Arial"/>
          <w:sz w:val="24"/>
          <w:szCs w:val="24"/>
          <w:u w:val="single"/>
        </w:rPr>
        <w:t>some</w:t>
      </w:r>
      <w:r w:rsidR="00980D64">
        <w:rPr>
          <w:rFonts w:ascii="Arial" w:hAnsi="Arial" w:cs="Arial"/>
          <w:sz w:val="24"/>
          <w:szCs w:val="24"/>
        </w:rPr>
        <w:t xml:space="preserve"> detail.</w:t>
      </w:r>
    </w:p>
    <w:p w:rsidR="00514979" w:rsidRDefault="00514979" w:rsidP="00B21A61">
      <w:pPr>
        <w:spacing w:after="0" w:line="360" w:lineRule="auto"/>
        <w:jc w:val="both"/>
        <w:rPr>
          <w:rFonts w:ascii="Arial" w:hAnsi="Arial" w:cs="Arial"/>
          <w:sz w:val="24"/>
          <w:szCs w:val="24"/>
        </w:rPr>
      </w:pPr>
    </w:p>
    <w:p w:rsidR="008A3D34" w:rsidRDefault="00085A84" w:rsidP="00B21A6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75087">
        <w:rPr>
          <w:rFonts w:ascii="Arial" w:hAnsi="Arial" w:cs="Arial"/>
          <w:sz w:val="24"/>
          <w:szCs w:val="24"/>
        </w:rPr>
        <w:t>T</w:t>
      </w:r>
      <w:r w:rsidR="00514979">
        <w:rPr>
          <w:rFonts w:ascii="Arial" w:hAnsi="Arial" w:cs="Arial"/>
          <w:sz w:val="24"/>
          <w:szCs w:val="24"/>
        </w:rPr>
        <w:t xml:space="preserve">he applicant’s </w:t>
      </w:r>
      <w:r w:rsidR="00375087" w:rsidRPr="00375087">
        <w:rPr>
          <w:rFonts w:ascii="Arial" w:hAnsi="Arial" w:cs="Arial"/>
          <w:sz w:val="24"/>
          <w:szCs w:val="24"/>
        </w:rPr>
        <w:t>affidavit</w:t>
      </w:r>
      <w:r w:rsidR="00375087">
        <w:rPr>
          <w:rFonts w:ascii="Arial" w:hAnsi="Arial" w:cs="Arial"/>
          <w:sz w:val="24"/>
          <w:szCs w:val="24"/>
        </w:rPr>
        <w:t xml:space="preserve"> is</w:t>
      </w:r>
      <w:r w:rsidR="00375087" w:rsidRPr="00375087">
        <w:rPr>
          <w:rFonts w:ascii="Arial" w:hAnsi="Arial" w:cs="Arial"/>
          <w:sz w:val="24"/>
          <w:szCs w:val="24"/>
        </w:rPr>
        <w:t xml:space="preserve"> prolix, verbose and contain</w:t>
      </w:r>
      <w:r w:rsidR="00956F65">
        <w:rPr>
          <w:rFonts w:ascii="Arial" w:hAnsi="Arial" w:cs="Arial"/>
          <w:sz w:val="24"/>
          <w:szCs w:val="24"/>
        </w:rPr>
        <w:t>s</w:t>
      </w:r>
      <w:r w:rsidR="00375087" w:rsidRPr="00375087">
        <w:rPr>
          <w:rFonts w:ascii="Arial" w:hAnsi="Arial" w:cs="Arial"/>
          <w:sz w:val="24"/>
          <w:szCs w:val="24"/>
        </w:rPr>
        <w:t xml:space="preserve"> unnecessary and irrelevant information. </w:t>
      </w:r>
      <w:r w:rsidR="00980D64" w:rsidRPr="00FA7EF4">
        <w:rPr>
          <w:rFonts w:ascii="Arial" w:hAnsi="Arial" w:cs="Arial"/>
          <w:sz w:val="24"/>
          <w:szCs w:val="24"/>
        </w:rPr>
        <w:t>Describing the affidavit</w:t>
      </w:r>
      <w:r w:rsidR="00353A27">
        <w:rPr>
          <w:rFonts w:ascii="Arial" w:hAnsi="Arial" w:cs="Arial"/>
          <w:sz w:val="24"/>
          <w:szCs w:val="24"/>
        </w:rPr>
        <w:t xml:space="preserve"> </w:t>
      </w:r>
      <w:r w:rsidR="00980D64" w:rsidRPr="00FA7EF4">
        <w:rPr>
          <w:rFonts w:ascii="Arial" w:hAnsi="Arial" w:cs="Arial"/>
          <w:sz w:val="24"/>
          <w:szCs w:val="24"/>
        </w:rPr>
        <w:t>and annexure thereto as bulky</w:t>
      </w:r>
      <w:r w:rsidR="00980D64">
        <w:rPr>
          <w:rFonts w:ascii="Arial" w:hAnsi="Arial" w:cs="Arial"/>
          <w:sz w:val="24"/>
          <w:szCs w:val="24"/>
        </w:rPr>
        <w:t xml:space="preserve"> and cumbersome would be putting it lightly. </w:t>
      </w:r>
      <w:r w:rsidR="00956F65">
        <w:rPr>
          <w:rFonts w:ascii="Arial" w:hAnsi="Arial" w:cs="Arial"/>
          <w:sz w:val="24"/>
          <w:szCs w:val="24"/>
        </w:rPr>
        <w:t>Annexed to the affidavit are</w:t>
      </w:r>
      <w:r w:rsidR="00980D64">
        <w:rPr>
          <w:rFonts w:ascii="Arial" w:hAnsi="Arial" w:cs="Arial"/>
          <w:sz w:val="24"/>
          <w:szCs w:val="24"/>
        </w:rPr>
        <w:t xml:space="preserve"> a multitude of receipts for pre-paid electricity, municipal accounts, receipts for prescribed medicine from the pharmacy</w:t>
      </w:r>
      <w:r w:rsidR="00B9593A">
        <w:rPr>
          <w:rFonts w:ascii="Arial" w:hAnsi="Arial" w:cs="Arial"/>
          <w:sz w:val="24"/>
          <w:szCs w:val="24"/>
        </w:rPr>
        <w:t>, petrol receipts</w:t>
      </w:r>
      <w:r w:rsidR="00980D64">
        <w:rPr>
          <w:rFonts w:ascii="Arial" w:hAnsi="Arial" w:cs="Arial"/>
          <w:sz w:val="24"/>
          <w:szCs w:val="24"/>
        </w:rPr>
        <w:t xml:space="preserve"> and bank statements (personal and in respect of the guest house)</w:t>
      </w:r>
      <w:r w:rsidR="00967C72">
        <w:rPr>
          <w:rFonts w:ascii="Arial" w:hAnsi="Arial" w:cs="Arial"/>
          <w:sz w:val="24"/>
          <w:szCs w:val="24"/>
        </w:rPr>
        <w:t>.</w:t>
      </w:r>
    </w:p>
    <w:p w:rsidR="00514979" w:rsidRDefault="00514979" w:rsidP="00B21A61">
      <w:pPr>
        <w:spacing w:after="0" w:line="360" w:lineRule="auto"/>
        <w:jc w:val="both"/>
        <w:rPr>
          <w:rFonts w:ascii="Arial" w:hAnsi="Arial" w:cs="Arial"/>
          <w:sz w:val="24"/>
          <w:szCs w:val="24"/>
        </w:rPr>
      </w:pPr>
    </w:p>
    <w:p w:rsidR="00980D64" w:rsidRDefault="00980D64" w:rsidP="00B21A61">
      <w:pPr>
        <w:spacing w:after="0" w:line="360" w:lineRule="auto"/>
        <w:jc w:val="both"/>
        <w:rPr>
          <w:rFonts w:ascii="Arial" w:hAnsi="Arial" w:cs="Arial"/>
          <w:sz w:val="24"/>
          <w:szCs w:val="24"/>
        </w:rPr>
      </w:pPr>
      <w:r>
        <w:rPr>
          <w:rFonts w:ascii="Arial" w:hAnsi="Arial" w:cs="Arial"/>
          <w:sz w:val="24"/>
          <w:szCs w:val="24"/>
        </w:rPr>
        <w:t xml:space="preserve">[14] </w:t>
      </w:r>
      <w:r>
        <w:rPr>
          <w:rFonts w:ascii="Arial" w:hAnsi="Arial" w:cs="Arial"/>
          <w:sz w:val="24"/>
          <w:szCs w:val="24"/>
        </w:rPr>
        <w:tab/>
      </w:r>
      <w:r w:rsidR="00956F65">
        <w:rPr>
          <w:rFonts w:ascii="Arial" w:hAnsi="Arial" w:cs="Arial"/>
          <w:sz w:val="24"/>
          <w:szCs w:val="24"/>
        </w:rPr>
        <w:t>Further</w:t>
      </w:r>
      <w:r w:rsidR="00B9593A">
        <w:rPr>
          <w:rFonts w:ascii="Arial" w:hAnsi="Arial" w:cs="Arial"/>
          <w:sz w:val="24"/>
          <w:szCs w:val="24"/>
        </w:rPr>
        <w:t xml:space="preserve"> amongst the annexures to the applicant’s affidavit is correspondence</w:t>
      </w:r>
      <w:r w:rsidR="00514979">
        <w:rPr>
          <w:rFonts w:ascii="Arial" w:hAnsi="Arial" w:cs="Arial"/>
          <w:sz w:val="24"/>
          <w:szCs w:val="24"/>
        </w:rPr>
        <w:t>s</w:t>
      </w:r>
      <w:r w:rsidR="00B9593A">
        <w:rPr>
          <w:rFonts w:ascii="Arial" w:hAnsi="Arial" w:cs="Arial"/>
          <w:sz w:val="24"/>
          <w:szCs w:val="24"/>
        </w:rPr>
        <w:t xml:space="preserve"> from applicant’s legal practitioner to respondent’s legal practitioner and </w:t>
      </w:r>
      <w:r w:rsidR="0080789C">
        <w:rPr>
          <w:rFonts w:ascii="Arial" w:hAnsi="Arial" w:cs="Arial"/>
          <w:sz w:val="24"/>
          <w:szCs w:val="24"/>
        </w:rPr>
        <w:t>a letter from the respondent directed to Bank Windhoek dating back as far as 2014.</w:t>
      </w:r>
    </w:p>
    <w:p w:rsidR="0080789C" w:rsidRDefault="0080789C" w:rsidP="00B21A61">
      <w:pPr>
        <w:spacing w:after="0" w:line="360" w:lineRule="auto"/>
        <w:jc w:val="both"/>
        <w:rPr>
          <w:rFonts w:ascii="Arial" w:hAnsi="Arial" w:cs="Arial"/>
          <w:sz w:val="24"/>
          <w:szCs w:val="24"/>
        </w:rPr>
      </w:pPr>
    </w:p>
    <w:p w:rsidR="0080789C" w:rsidRDefault="0080789C" w:rsidP="00B21A61">
      <w:pPr>
        <w:spacing w:after="0" w:line="360" w:lineRule="auto"/>
        <w:jc w:val="both"/>
        <w:rPr>
          <w:rFonts w:ascii="Arial" w:hAnsi="Arial" w:cs="Arial"/>
          <w:sz w:val="24"/>
          <w:szCs w:val="24"/>
        </w:rPr>
      </w:pPr>
      <w:r>
        <w:rPr>
          <w:rFonts w:ascii="Arial" w:hAnsi="Arial" w:cs="Arial"/>
          <w:sz w:val="24"/>
          <w:szCs w:val="24"/>
        </w:rPr>
        <w:t xml:space="preserve">[15] </w:t>
      </w:r>
      <w:r>
        <w:rPr>
          <w:rFonts w:ascii="Arial" w:hAnsi="Arial" w:cs="Arial"/>
          <w:sz w:val="24"/>
          <w:szCs w:val="24"/>
        </w:rPr>
        <w:tab/>
      </w:r>
      <w:r w:rsidR="00541993" w:rsidRPr="00541993">
        <w:rPr>
          <w:rFonts w:ascii="Arial" w:hAnsi="Arial" w:cs="Arial"/>
          <w:sz w:val="24"/>
          <w:szCs w:val="24"/>
        </w:rPr>
        <w:t>The</w:t>
      </w:r>
      <w:r w:rsidR="00353A27">
        <w:rPr>
          <w:rFonts w:ascii="Arial" w:hAnsi="Arial" w:cs="Arial"/>
          <w:sz w:val="24"/>
          <w:szCs w:val="24"/>
        </w:rPr>
        <w:t xml:space="preserve"> </w:t>
      </w:r>
      <w:r w:rsidR="00514979">
        <w:rPr>
          <w:rFonts w:ascii="Arial" w:hAnsi="Arial" w:cs="Arial"/>
          <w:sz w:val="24"/>
          <w:szCs w:val="24"/>
        </w:rPr>
        <w:t>parties’</w:t>
      </w:r>
      <w:r w:rsidR="00541993" w:rsidRPr="00541993">
        <w:rPr>
          <w:rFonts w:ascii="Arial" w:hAnsi="Arial" w:cs="Arial"/>
          <w:sz w:val="24"/>
          <w:szCs w:val="24"/>
        </w:rPr>
        <w:t xml:space="preserve"> anxiety to ventilate the issues in the pending divorce action </w:t>
      </w:r>
      <w:r w:rsidR="00514979">
        <w:rPr>
          <w:rFonts w:ascii="Arial" w:hAnsi="Arial" w:cs="Arial"/>
          <w:sz w:val="24"/>
          <w:szCs w:val="24"/>
        </w:rPr>
        <w:t>clearly manifests</w:t>
      </w:r>
      <w:r w:rsidR="00541993">
        <w:rPr>
          <w:rFonts w:ascii="Arial" w:hAnsi="Arial" w:cs="Arial"/>
          <w:sz w:val="24"/>
          <w:szCs w:val="24"/>
        </w:rPr>
        <w:t xml:space="preserve"> itself in the affidavits and annexures, </w:t>
      </w:r>
      <w:r w:rsidR="00514979">
        <w:rPr>
          <w:rFonts w:ascii="Arial" w:hAnsi="Arial" w:cs="Arial"/>
          <w:sz w:val="24"/>
          <w:szCs w:val="24"/>
        </w:rPr>
        <w:t>w</w:t>
      </w:r>
      <w:r w:rsidR="00541993" w:rsidRPr="00541993">
        <w:rPr>
          <w:rFonts w:ascii="Arial" w:hAnsi="Arial" w:cs="Arial"/>
          <w:sz w:val="24"/>
          <w:szCs w:val="24"/>
        </w:rPr>
        <w:t>ere many of such issues have no place.</w:t>
      </w:r>
      <w:r w:rsidR="00D452C7">
        <w:rPr>
          <w:rFonts w:ascii="Arial" w:hAnsi="Arial" w:cs="Arial"/>
          <w:sz w:val="24"/>
          <w:szCs w:val="24"/>
        </w:rPr>
        <w:t xml:space="preserve"> The issue of the fixed property and the</w:t>
      </w:r>
      <w:r w:rsidR="00F33BE3">
        <w:rPr>
          <w:rFonts w:ascii="Arial" w:hAnsi="Arial" w:cs="Arial"/>
          <w:sz w:val="24"/>
          <w:szCs w:val="24"/>
        </w:rPr>
        <w:t xml:space="preserve"> couple’s</w:t>
      </w:r>
      <w:r w:rsidR="00D452C7">
        <w:rPr>
          <w:rFonts w:ascii="Arial" w:hAnsi="Arial" w:cs="Arial"/>
          <w:sz w:val="24"/>
          <w:szCs w:val="24"/>
        </w:rPr>
        <w:t xml:space="preserve"> debt relating to it appears to the axis upon which this application is turning.</w:t>
      </w:r>
    </w:p>
    <w:p w:rsidR="00514979" w:rsidRPr="00980D64" w:rsidRDefault="00514979" w:rsidP="00B21A61">
      <w:pPr>
        <w:spacing w:after="0" w:line="360" w:lineRule="auto"/>
        <w:jc w:val="both"/>
        <w:rPr>
          <w:rFonts w:ascii="Arial" w:hAnsi="Arial" w:cs="Arial"/>
          <w:sz w:val="24"/>
          <w:szCs w:val="24"/>
        </w:rPr>
      </w:pPr>
    </w:p>
    <w:p w:rsidR="00691D24" w:rsidRDefault="00CF5DF0" w:rsidP="00B21A61">
      <w:pPr>
        <w:spacing w:after="0" w:line="360" w:lineRule="auto"/>
        <w:jc w:val="both"/>
      </w:pPr>
      <w:r>
        <w:rPr>
          <w:rFonts w:ascii="Arial" w:hAnsi="Arial" w:cs="Arial"/>
          <w:sz w:val="24"/>
          <w:szCs w:val="24"/>
        </w:rPr>
        <w:t xml:space="preserve">[16] </w:t>
      </w:r>
      <w:r>
        <w:rPr>
          <w:rFonts w:ascii="Arial" w:hAnsi="Arial" w:cs="Arial"/>
          <w:sz w:val="24"/>
          <w:szCs w:val="24"/>
        </w:rPr>
        <w:tab/>
      </w:r>
      <w:r w:rsidR="00800A9C">
        <w:rPr>
          <w:rFonts w:ascii="Arial" w:hAnsi="Arial" w:cs="Arial"/>
          <w:sz w:val="24"/>
          <w:szCs w:val="24"/>
        </w:rPr>
        <w:t>A</w:t>
      </w:r>
      <w:r w:rsidR="00800A9C" w:rsidRPr="006562A2">
        <w:rPr>
          <w:rFonts w:ascii="Arial" w:hAnsi="Arial" w:cs="Arial"/>
          <w:sz w:val="24"/>
          <w:szCs w:val="24"/>
        </w:rPr>
        <w:t xml:space="preserve">nnexures may be attached to the affidavit of the applicant and/or respondent. It is </w:t>
      </w:r>
      <w:r w:rsidR="00427B5B">
        <w:rPr>
          <w:rFonts w:ascii="Arial" w:hAnsi="Arial" w:cs="Arial"/>
          <w:sz w:val="24"/>
          <w:szCs w:val="24"/>
        </w:rPr>
        <w:t xml:space="preserve">however </w:t>
      </w:r>
      <w:r w:rsidR="00800A9C">
        <w:rPr>
          <w:rFonts w:ascii="Arial" w:hAnsi="Arial" w:cs="Arial"/>
          <w:sz w:val="24"/>
          <w:szCs w:val="24"/>
        </w:rPr>
        <w:t>notable</w:t>
      </w:r>
      <w:r w:rsidR="00800A9C" w:rsidRPr="006562A2">
        <w:rPr>
          <w:rFonts w:ascii="Arial" w:hAnsi="Arial" w:cs="Arial"/>
          <w:sz w:val="24"/>
          <w:szCs w:val="24"/>
        </w:rPr>
        <w:t xml:space="preserve"> that the </w:t>
      </w:r>
      <w:r w:rsidR="00800A9C">
        <w:rPr>
          <w:rFonts w:ascii="Arial" w:hAnsi="Arial" w:cs="Arial"/>
          <w:sz w:val="24"/>
          <w:szCs w:val="24"/>
        </w:rPr>
        <w:t xml:space="preserve">proviso is </w:t>
      </w:r>
      <w:r w:rsidR="00800A9C" w:rsidRPr="0028229D">
        <w:rPr>
          <w:rFonts w:ascii="Arial" w:hAnsi="Arial" w:cs="Arial"/>
          <w:sz w:val="24"/>
          <w:szCs w:val="24"/>
        </w:rPr>
        <w:t>that (a) the contents thereof constitute admissible evidence; and (b) they are documents which may be annexed to a pleading such as a declaration or a plea</w:t>
      </w:r>
      <w:r w:rsidR="00800A9C">
        <w:rPr>
          <w:rStyle w:val="FootnoteReference"/>
          <w:rFonts w:ascii="Arial" w:hAnsi="Arial" w:cs="Arial"/>
          <w:sz w:val="24"/>
          <w:szCs w:val="24"/>
        </w:rPr>
        <w:footnoteReference w:id="19"/>
      </w:r>
      <w:r w:rsidR="00800A9C">
        <w:t>.’</w:t>
      </w:r>
    </w:p>
    <w:p w:rsidR="00514979" w:rsidRDefault="00514979" w:rsidP="00B21A61">
      <w:pPr>
        <w:spacing w:after="0" w:line="360" w:lineRule="auto"/>
        <w:jc w:val="both"/>
        <w:rPr>
          <w:rFonts w:ascii="Arial" w:hAnsi="Arial" w:cs="Arial"/>
          <w:sz w:val="24"/>
          <w:szCs w:val="24"/>
        </w:rPr>
      </w:pPr>
    </w:p>
    <w:p w:rsidR="00800A9C" w:rsidRDefault="00B87187" w:rsidP="00B21A6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00A9C">
        <w:rPr>
          <w:rFonts w:ascii="Arial" w:hAnsi="Arial" w:cs="Arial"/>
          <w:sz w:val="24"/>
          <w:szCs w:val="24"/>
        </w:rPr>
        <w:t>I am of the opinion that</w:t>
      </w:r>
      <w:r w:rsidR="00F33BE3">
        <w:rPr>
          <w:rFonts w:ascii="Arial" w:hAnsi="Arial" w:cs="Arial"/>
          <w:sz w:val="24"/>
          <w:szCs w:val="24"/>
        </w:rPr>
        <w:t xml:space="preserve"> at</w:t>
      </w:r>
      <w:r w:rsidR="00800A9C">
        <w:rPr>
          <w:rFonts w:ascii="Arial" w:hAnsi="Arial" w:cs="Arial"/>
          <w:sz w:val="24"/>
          <w:szCs w:val="24"/>
        </w:rPr>
        <w:t xml:space="preserve"> this point it should be added that </w:t>
      </w:r>
      <w:r w:rsidR="00353A27">
        <w:rPr>
          <w:rFonts w:ascii="Arial" w:hAnsi="Arial" w:cs="Arial"/>
          <w:sz w:val="24"/>
          <w:szCs w:val="24"/>
        </w:rPr>
        <w:t xml:space="preserve">such documents annexed </w:t>
      </w:r>
      <w:r w:rsidR="00800A9C">
        <w:rPr>
          <w:rFonts w:ascii="Arial" w:hAnsi="Arial" w:cs="Arial"/>
          <w:sz w:val="24"/>
          <w:szCs w:val="24"/>
        </w:rPr>
        <w:t>should also be relevant. In order to be admissible it must be relevant although relevancy alone is not sufficient enough for admissibility under Rule 90</w:t>
      </w:r>
      <w:r w:rsidR="00427B5B">
        <w:rPr>
          <w:rFonts w:ascii="Arial" w:hAnsi="Arial" w:cs="Arial"/>
          <w:sz w:val="24"/>
          <w:szCs w:val="24"/>
        </w:rPr>
        <w:t>,</w:t>
      </w:r>
      <w:r w:rsidR="00800A9C">
        <w:rPr>
          <w:rFonts w:ascii="Arial" w:hAnsi="Arial" w:cs="Arial"/>
          <w:sz w:val="24"/>
          <w:szCs w:val="24"/>
        </w:rPr>
        <w:t xml:space="preserve"> as is clear from the Dreyer matter. The Court is expected to plough through the multitude of documents </w:t>
      </w:r>
      <w:r w:rsidR="00427B5B">
        <w:rPr>
          <w:rFonts w:ascii="Arial" w:hAnsi="Arial" w:cs="Arial"/>
          <w:sz w:val="24"/>
          <w:szCs w:val="24"/>
        </w:rPr>
        <w:t>which</w:t>
      </w:r>
      <w:r w:rsidR="00800A9C">
        <w:rPr>
          <w:rFonts w:ascii="Arial" w:hAnsi="Arial" w:cs="Arial"/>
          <w:sz w:val="24"/>
          <w:szCs w:val="24"/>
        </w:rPr>
        <w:t xml:space="preserve"> could have been prepared in summary fashion and although relevant </w:t>
      </w:r>
      <w:r w:rsidR="00E11ED7">
        <w:rPr>
          <w:rFonts w:ascii="Arial" w:hAnsi="Arial" w:cs="Arial"/>
          <w:sz w:val="24"/>
          <w:szCs w:val="24"/>
        </w:rPr>
        <w:t xml:space="preserve">in the main action, </w:t>
      </w:r>
      <w:r w:rsidR="00800A9C">
        <w:rPr>
          <w:rFonts w:ascii="Arial" w:hAnsi="Arial" w:cs="Arial"/>
          <w:sz w:val="24"/>
          <w:szCs w:val="24"/>
        </w:rPr>
        <w:t>the majority of the annexures are not relevant for these proceedings.</w:t>
      </w:r>
    </w:p>
    <w:p w:rsidR="00514979" w:rsidRDefault="00514979" w:rsidP="00B21A61">
      <w:pPr>
        <w:spacing w:after="0" w:line="360" w:lineRule="auto"/>
        <w:jc w:val="both"/>
      </w:pPr>
    </w:p>
    <w:p w:rsidR="006B5E28" w:rsidRDefault="00800A9C" w:rsidP="00B21A61">
      <w:pPr>
        <w:spacing w:after="0" w:line="360" w:lineRule="auto"/>
        <w:jc w:val="both"/>
        <w:rPr>
          <w:rFonts w:ascii="Arial" w:hAnsi="Arial" w:cs="Arial"/>
          <w:sz w:val="24"/>
          <w:szCs w:val="24"/>
        </w:rPr>
      </w:pPr>
      <w:r>
        <w:rPr>
          <w:rFonts w:ascii="Arial" w:hAnsi="Arial" w:cs="Arial"/>
          <w:sz w:val="24"/>
          <w:szCs w:val="24"/>
        </w:rPr>
        <w:lastRenderedPageBreak/>
        <w:t>[1</w:t>
      </w:r>
      <w:r w:rsidR="00427B5B">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7F34DC">
        <w:rPr>
          <w:rFonts w:ascii="Arial" w:hAnsi="Arial" w:cs="Arial"/>
          <w:sz w:val="24"/>
          <w:szCs w:val="24"/>
        </w:rPr>
        <w:t>A</w:t>
      </w:r>
      <w:r>
        <w:rPr>
          <w:rFonts w:ascii="Arial" w:hAnsi="Arial" w:cs="Arial"/>
          <w:sz w:val="24"/>
          <w:szCs w:val="24"/>
        </w:rPr>
        <w:t xml:space="preserve">n application in terms of Rule 90 should be self-contained </w:t>
      </w:r>
      <w:r w:rsidR="007F34DC">
        <w:rPr>
          <w:rFonts w:ascii="Arial" w:hAnsi="Arial" w:cs="Arial"/>
          <w:sz w:val="24"/>
          <w:szCs w:val="24"/>
        </w:rPr>
        <w:t xml:space="preserve">but </w:t>
      </w:r>
      <w:r w:rsidR="00514979">
        <w:rPr>
          <w:rFonts w:ascii="Arial" w:hAnsi="Arial" w:cs="Arial"/>
          <w:sz w:val="24"/>
          <w:szCs w:val="24"/>
        </w:rPr>
        <w:t>the C</w:t>
      </w:r>
      <w:r>
        <w:rPr>
          <w:rFonts w:ascii="Arial" w:hAnsi="Arial" w:cs="Arial"/>
          <w:sz w:val="24"/>
          <w:szCs w:val="24"/>
        </w:rPr>
        <w:t>ourt can be referred to the pleadings in the main action</w:t>
      </w:r>
      <w:r>
        <w:rPr>
          <w:rStyle w:val="FootnoteReference"/>
          <w:rFonts w:ascii="Arial" w:hAnsi="Arial" w:cs="Arial"/>
          <w:sz w:val="24"/>
          <w:szCs w:val="24"/>
        </w:rPr>
        <w:footnoteReference w:id="20"/>
      </w:r>
      <w:r>
        <w:rPr>
          <w:rFonts w:ascii="Arial" w:hAnsi="Arial" w:cs="Arial"/>
          <w:sz w:val="24"/>
          <w:szCs w:val="24"/>
        </w:rPr>
        <w:t xml:space="preserve"> and all need not be attached to the affidavit.  </w:t>
      </w:r>
    </w:p>
    <w:p w:rsidR="006B5E28" w:rsidRDefault="006B5E28" w:rsidP="00B21A61">
      <w:pPr>
        <w:spacing w:after="0" w:line="360" w:lineRule="auto"/>
        <w:jc w:val="both"/>
        <w:rPr>
          <w:rFonts w:ascii="Arial" w:hAnsi="Arial" w:cs="Arial"/>
          <w:sz w:val="24"/>
          <w:szCs w:val="24"/>
        </w:rPr>
      </w:pPr>
    </w:p>
    <w:p w:rsidR="00F33BE3" w:rsidRDefault="006B5E28" w:rsidP="00B21A61">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33BE3">
        <w:rPr>
          <w:rFonts w:ascii="Arial" w:hAnsi="Arial" w:cs="Arial"/>
          <w:sz w:val="24"/>
          <w:szCs w:val="24"/>
        </w:rPr>
        <w:t xml:space="preserve">This Court is fully in agreement with the test  </w:t>
      </w:r>
      <w:r w:rsidR="00514979">
        <w:rPr>
          <w:rFonts w:ascii="Arial" w:hAnsi="Arial" w:cs="Arial"/>
          <w:sz w:val="24"/>
          <w:szCs w:val="24"/>
        </w:rPr>
        <w:t xml:space="preserve">set in </w:t>
      </w:r>
      <w:r w:rsidR="00E11ED7">
        <w:rPr>
          <w:rFonts w:ascii="Arial" w:hAnsi="Arial" w:cs="Arial"/>
          <w:sz w:val="24"/>
          <w:szCs w:val="24"/>
        </w:rPr>
        <w:t xml:space="preserve">the </w:t>
      </w:r>
      <w:proofErr w:type="spellStart"/>
      <w:r w:rsidR="00E11ED7" w:rsidRPr="002F0035">
        <w:rPr>
          <w:rFonts w:ascii="Arial" w:hAnsi="Arial" w:cs="Arial"/>
          <w:i/>
          <w:sz w:val="24"/>
          <w:szCs w:val="24"/>
        </w:rPr>
        <w:t>Stoman</w:t>
      </w:r>
      <w:proofErr w:type="spellEnd"/>
      <w:r w:rsidR="00353A27">
        <w:rPr>
          <w:rFonts w:ascii="Arial" w:hAnsi="Arial" w:cs="Arial"/>
          <w:b/>
          <w:i/>
          <w:sz w:val="24"/>
          <w:szCs w:val="24"/>
        </w:rPr>
        <w:t xml:space="preserve"> </w:t>
      </w:r>
      <w:r w:rsidR="00E11ED7">
        <w:rPr>
          <w:rFonts w:ascii="Arial" w:hAnsi="Arial" w:cs="Arial"/>
          <w:sz w:val="24"/>
          <w:szCs w:val="24"/>
        </w:rPr>
        <w:t xml:space="preserve">matter </w:t>
      </w:r>
      <w:r w:rsidR="00F33BE3">
        <w:rPr>
          <w:rFonts w:ascii="Arial" w:hAnsi="Arial" w:cs="Arial"/>
          <w:sz w:val="24"/>
          <w:szCs w:val="24"/>
        </w:rPr>
        <w:t>in</w:t>
      </w:r>
      <w:r w:rsidR="00E11ED7">
        <w:rPr>
          <w:rFonts w:ascii="Arial" w:hAnsi="Arial" w:cs="Arial"/>
          <w:sz w:val="24"/>
          <w:szCs w:val="24"/>
        </w:rPr>
        <w:t xml:space="preserve"> respect of</w:t>
      </w:r>
      <w:r w:rsidR="00514979">
        <w:rPr>
          <w:rFonts w:ascii="Arial" w:hAnsi="Arial" w:cs="Arial"/>
          <w:sz w:val="24"/>
          <w:szCs w:val="24"/>
        </w:rPr>
        <w:t xml:space="preserve"> a Rule 90 </w:t>
      </w:r>
      <w:r w:rsidR="00F33BE3">
        <w:rPr>
          <w:rFonts w:ascii="Arial" w:hAnsi="Arial" w:cs="Arial"/>
          <w:sz w:val="24"/>
          <w:szCs w:val="24"/>
        </w:rPr>
        <w:t xml:space="preserve">application, as set </w:t>
      </w:r>
      <w:r w:rsidR="00514979">
        <w:rPr>
          <w:rFonts w:ascii="Arial" w:hAnsi="Arial" w:cs="Arial"/>
          <w:sz w:val="24"/>
          <w:szCs w:val="24"/>
        </w:rPr>
        <w:t xml:space="preserve">out by Hoff J (as he then was) </w:t>
      </w:r>
      <w:r w:rsidR="00F33BE3">
        <w:rPr>
          <w:rFonts w:ascii="Arial" w:hAnsi="Arial" w:cs="Arial"/>
          <w:sz w:val="24"/>
          <w:szCs w:val="24"/>
        </w:rPr>
        <w:t xml:space="preserve">as follows: </w:t>
      </w:r>
    </w:p>
    <w:p w:rsidR="001A3BDC" w:rsidRDefault="001A3BDC" w:rsidP="00B21A61">
      <w:pPr>
        <w:spacing w:after="0" w:line="360" w:lineRule="auto"/>
        <w:jc w:val="both"/>
        <w:rPr>
          <w:rFonts w:ascii="Arial" w:hAnsi="Arial" w:cs="Arial"/>
          <w:sz w:val="24"/>
          <w:szCs w:val="24"/>
        </w:rPr>
      </w:pPr>
    </w:p>
    <w:p w:rsidR="00F33BE3" w:rsidRPr="00514979" w:rsidRDefault="00F33BE3" w:rsidP="00B21A61">
      <w:pPr>
        <w:spacing w:after="0" w:line="360" w:lineRule="auto"/>
        <w:ind w:firstLine="720"/>
        <w:jc w:val="both"/>
        <w:rPr>
          <w:rFonts w:ascii="Arial" w:hAnsi="Arial" w:cs="Arial"/>
          <w:i/>
        </w:rPr>
      </w:pPr>
      <w:r w:rsidRPr="00514979">
        <w:rPr>
          <w:rFonts w:ascii="Arial" w:hAnsi="Arial" w:cs="Arial"/>
          <w:i/>
        </w:rPr>
        <w:t xml:space="preserve">‘It appears to me from these authorities that the test is twofold. </w:t>
      </w:r>
      <w:r w:rsidR="00427B5B" w:rsidRPr="00514979">
        <w:rPr>
          <w:rFonts w:ascii="Arial" w:hAnsi="Arial" w:cs="Arial"/>
          <w:i/>
        </w:rPr>
        <w:t xml:space="preserve">An applicant must in the first instance make out a prima facie case in the main action. Should such an applicant fail to do so that is the end of the </w:t>
      </w:r>
      <w:proofErr w:type="gramStart"/>
      <w:r w:rsidR="00427B5B" w:rsidRPr="00514979">
        <w:rPr>
          <w:rFonts w:ascii="Arial" w:hAnsi="Arial" w:cs="Arial"/>
          <w:i/>
        </w:rPr>
        <w:t>application</w:t>
      </w:r>
      <w:r w:rsidRPr="00514979">
        <w:rPr>
          <w:rFonts w:ascii="Arial" w:hAnsi="Arial" w:cs="Arial"/>
          <w:i/>
        </w:rPr>
        <w:t>.</w:t>
      </w:r>
      <w:proofErr w:type="gramEnd"/>
      <w:r w:rsidRPr="00514979">
        <w:rPr>
          <w:rFonts w:ascii="Arial" w:hAnsi="Arial" w:cs="Arial"/>
          <w:i/>
        </w:rPr>
        <w:t xml:space="preserve"> However should an applicant discharge this onus, the court would then consider the relief sought in the application </w:t>
      </w:r>
      <w:proofErr w:type="spellStart"/>
      <w:r w:rsidRPr="00514979">
        <w:rPr>
          <w:rFonts w:ascii="Arial" w:hAnsi="Arial" w:cs="Arial"/>
          <w:i/>
        </w:rPr>
        <w:t>eg</w:t>
      </w:r>
      <w:proofErr w:type="spellEnd"/>
      <w:r w:rsidRPr="00514979">
        <w:rPr>
          <w:rFonts w:ascii="Arial" w:hAnsi="Arial" w:cs="Arial"/>
          <w:i/>
        </w:rPr>
        <w:t xml:space="preserve"> maintenance </w:t>
      </w:r>
      <w:r w:rsidR="002F0035">
        <w:rPr>
          <w:rFonts w:ascii="Arial" w:hAnsi="Arial" w:cs="Arial"/>
          <w:i/>
        </w:rPr>
        <w:t xml:space="preserve">pendent </w:t>
      </w:r>
      <w:proofErr w:type="spellStart"/>
      <w:r w:rsidRPr="00514979">
        <w:rPr>
          <w:rFonts w:ascii="Arial" w:hAnsi="Arial" w:cs="Arial"/>
          <w:i/>
        </w:rPr>
        <w:t>lite</w:t>
      </w:r>
      <w:proofErr w:type="spellEnd"/>
      <w:r w:rsidRPr="00514979">
        <w:rPr>
          <w:rFonts w:ascii="Arial" w:hAnsi="Arial" w:cs="Arial"/>
          <w:i/>
        </w:rPr>
        <w:t xml:space="preserve"> and/or a contribution towards costs</w:t>
      </w:r>
      <w:r w:rsidR="00514979" w:rsidRPr="00514979">
        <w:rPr>
          <w:rFonts w:ascii="Arial" w:hAnsi="Arial" w:cs="Arial"/>
          <w:i/>
        </w:rPr>
        <w:t>.’</w:t>
      </w:r>
      <w:r w:rsidR="006B5E28" w:rsidRPr="00514979">
        <w:rPr>
          <w:rStyle w:val="FootnoteReference"/>
          <w:rFonts w:ascii="Arial" w:hAnsi="Arial" w:cs="Arial"/>
          <w:i/>
        </w:rPr>
        <w:footnoteReference w:id="21"/>
      </w:r>
    </w:p>
    <w:p w:rsidR="00F33BE3" w:rsidRPr="008A3D34" w:rsidRDefault="00F33BE3" w:rsidP="00B21A61">
      <w:pPr>
        <w:spacing w:after="0" w:line="360" w:lineRule="auto"/>
        <w:ind w:firstLine="720"/>
        <w:jc w:val="both"/>
        <w:rPr>
          <w:rFonts w:ascii="Arial" w:hAnsi="Arial" w:cs="Arial"/>
        </w:rPr>
      </w:pPr>
    </w:p>
    <w:p w:rsidR="00800A9C" w:rsidRDefault="00F33BE3" w:rsidP="00B21A6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C2864">
        <w:rPr>
          <w:rFonts w:ascii="Arial" w:hAnsi="Arial" w:cs="Arial"/>
          <w:sz w:val="24"/>
          <w:szCs w:val="24"/>
        </w:rPr>
        <w:t>In applicant’s</w:t>
      </w:r>
      <w:r>
        <w:rPr>
          <w:rFonts w:ascii="Arial" w:hAnsi="Arial" w:cs="Arial"/>
          <w:sz w:val="24"/>
          <w:szCs w:val="24"/>
        </w:rPr>
        <w:t xml:space="preserve"> endeavour to comply with the test set out, </w:t>
      </w:r>
      <w:r w:rsidR="00BC2864">
        <w:rPr>
          <w:rFonts w:ascii="Arial" w:hAnsi="Arial" w:cs="Arial"/>
          <w:sz w:val="24"/>
          <w:szCs w:val="24"/>
        </w:rPr>
        <w:t>she</w:t>
      </w:r>
      <w:r w:rsidR="007F34DC">
        <w:rPr>
          <w:rFonts w:ascii="Arial" w:hAnsi="Arial" w:cs="Arial"/>
          <w:sz w:val="24"/>
          <w:szCs w:val="24"/>
        </w:rPr>
        <w:t xml:space="preserve"> repeated her ground for divorce relied upon in respect </w:t>
      </w:r>
      <w:r w:rsidR="00514979">
        <w:rPr>
          <w:rFonts w:ascii="Arial" w:hAnsi="Arial" w:cs="Arial"/>
          <w:sz w:val="24"/>
          <w:szCs w:val="24"/>
        </w:rPr>
        <w:t xml:space="preserve">of </w:t>
      </w:r>
      <w:r w:rsidR="007F34DC">
        <w:rPr>
          <w:rFonts w:ascii="Arial" w:hAnsi="Arial" w:cs="Arial"/>
          <w:sz w:val="24"/>
          <w:szCs w:val="24"/>
        </w:rPr>
        <w:t>Claim 1 dealing with malicious and constructive desertion verbatim and also filed the whole summons with the said particulars of claim</w:t>
      </w:r>
      <w:r w:rsidR="00BC2864">
        <w:rPr>
          <w:rFonts w:ascii="Arial" w:hAnsi="Arial" w:cs="Arial"/>
          <w:sz w:val="24"/>
          <w:szCs w:val="24"/>
        </w:rPr>
        <w:t xml:space="preserve"> and annexures</w:t>
      </w:r>
      <w:r w:rsidR="007F34DC">
        <w:rPr>
          <w:rFonts w:ascii="Arial" w:hAnsi="Arial" w:cs="Arial"/>
          <w:sz w:val="24"/>
          <w:szCs w:val="24"/>
        </w:rPr>
        <w:t xml:space="preserve">, which was unnecessary. </w:t>
      </w:r>
    </w:p>
    <w:p w:rsidR="007F34DC" w:rsidRDefault="007F34DC" w:rsidP="00B21A61">
      <w:pPr>
        <w:spacing w:after="0" w:line="360" w:lineRule="auto"/>
        <w:jc w:val="both"/>
        <w:rPr>
          <w:rFonts w:ascii="Arial" w:hAnsi="Arial" w:cs="Arial"/>
          <w:sz w:val="24"/>
          <w:szCs w:val="24"/>
        </w:rPr>
      </w:pPr>
    </w:p>
    <w:p w:rsidR="00D452C7" w:rsidRDefault="007F34DC" w:rsidP="00B21A61">
      <w:pPr>
        <w:spacing w:after="0" w:line="360" w:lineRule="auto"/>
        <w:jc w:val="both"/>
        <w:rPr>
          <w:rFonts w:ascii="Arial" w:hAnsi="Arial" w:cs="Arial"/>
          <w:sz w:val="24"/>
          <w:szCs w:val="24"/>
        </w:rPr>
      </w:pPr>
      <w:r>
        <w:rPr>
          <w:rFonts w:ascii="Arial" w:hAnsi="Arial" w:cs="Arial"/>
          <w:sz w:val="24"/>
          <w:szCs w:val="24"/>
        </w:rPr>
        <w:t>[</w:t>
      </w:r>
      <w:r w:rsidR="00F33BE3">
        <w:rPr>
          <w:rFonts w:ascii="Arial" w:hAnsi="Arial" w:cs="Arial"/>
          <w:sz w:val="24"/>
          <w:szCs w:val="24"/>
        </w:rPr>
        <w:t>21</w:t>
      </w:r>
      <w:r>
        <w:rPr>
          <w:rFonts w:ascii="Arial" w:hAnsi="Arial" w:cs="Arial"/>
          <w:sz w:val="24"/>
          <w:szCs w:val="24"/>
        </w:rPr>
        <w:t>]</w:t>
      </w:r>
      <w:r>
        <w:rPr>
          <w:rFonts w:ascii="Arial" w:hAnsi="Arial" w:cs="Arial"/>
          <w:sz w:val="24"/>
          <w:szCs w:val="24"/>
        </w:rPr>
        <w:tab/>
      </w:r>
      <w:r w:rsidR="00800A9C">
        <w:rPr>
          <w:rFonts w:ascii="Arial" w:hAnsi="Arial" w:cs="Arial"/>
          <w:sz w:val="24"/>
          <w:szCs w:val="24"/>
        </w:rPr>
        <w:t>M</w:t>
      </w:r>
      <w:r w:rsidR="00800A9C" w:rsidRPr="00691D24">
        <w:rPr>
          <w:rFonts w:ascii="Arial" w:hAnsi="Arial" w:cs="Arial"/>
          <w:sz w:val="24"/>
          <w:szCs w:val="24"/>
        </w:rPr>
        <w:t xml:space="preserve">aintenance </w:t>
      </w:r>
      <w:r w:rsidR="00353A27">
        <w:rPr>
          <w:rFonts w:ascii="Arial" w:hAnsi="Arial" w:cs="Arial"/>
          <w:i/>
          <w:sz w:val="24"/>
          <w:szCs w:val="24"/>
        </w:rPr>
        <w:t xml:space="preserve">pendent </w:t>
      </w:r>
      <w:proofErr w:type="spellStart"/>
      <w:r w:rsidR="00800A9C" w:rsidRPr="00691D24">
        <w:rPr>
          <w:rFonts w:ascii="Arial" w:hAnsi="Arial" w:cs="Arial"/>
          <w:i/>
          <w:sz w:val="24"/>
          <w:szCs w:val="24"/>
        </w:rPr>
        <w:t>lite</w:t>
      </w:r>
      <w:proofErr w:type="spellEnd"/>
      <w:r w:rsidR="00800A9C" w:rsidRPr="00691D24">
        <w:rPr>
          <w:rFonts w:ascii="Arial" w:hAnsi="Arial" w:cs="Arial"/>
          <w:sz w:val="24"/>
          <w:szCs w:val="24"/>
        </w:rPr>
        <w:t xml:space="preserve"> is intended to afford temporary relief; thus the Courts do not insist on the claim being presented with the same degree of precision and exactitude as is afforded by detailed evidence.</w:t>
      </w:r>
    </w:p>
    <w:p w:rsidR="005D1C88" w:rsidRDefault="005D1C88" w:rsidP="00B21A61">
      <w:pPr>
        <w:spacing w:after="0" w:line="360" w:lineRule="auto"/>
        <w:jc w:val="both"/>
        <w:rPr>
          <w:rFonts w:ascii="Arial" w:hAnsi="Arial" w:cs="Arial"/>
          <w:sz w:val="24"/>
          <w:szCs w:val="24"/>
        </w:rPr>
      </w:pPr>
    </w:p>
    <w:p w:rsidR="00F33BE3" w:rsidRDefault="005D1C88" w:rsidP="00B21A61">
      <w:pPr>
        <w:spacing w:after="0" w:line="360" w:lineRule="auto"/>
        <w:jc w:val="both"/>
        <w:rPr>
          <w:rFonts w:ascii="Arial" w:hAnsi="Arial" w:cs="Arial"/>
          <w:sz w:val="24"/>
          <w:szCs w:val="24"/>
        </w:rPr>
      </w:pPr>
      <w:r>
        <w:rPr>
          <w:rFonts w:ascii="Arial" w:hAnsi="Arial" w:cs="Arial"/>
          <w:sz w:val="24"/>
          <w:szCs w:val="24"/>
        </w:rPr>
        <w:t>[2</w:t>
      </w:r>
      <w:r w:rsidR="00F33BE3">
        <w:rPr>
          <w:rFonts w:ascii="Arial" w:hAnsi="Arial" w:cs="Arial"/>
          <w:sz w:val="24"/>
          <w:szCs w:val="24"/>
        </w:rPr>
        <w:t>2</w:t>
      </w:r>
      <w:r>
        <w:rPr>
          <w:rFonts w:ascii="Arial" w:hAnsi="Arial" w:cs="Arial"/>
          <w:sz w:val="24"/>
          <w:szCs w:val="24"/>
        </w:rPr>
        <w:t>]</w:t>
      </w:r>
      <w:r>
        <w:rPr>
          <w:rFonts w:ascii="Arial" w:hAnsi="Arial" w:cs="Arial"/>
          <w:sz w:val="24"/>
          <w:szCs w:val="24"/>
        </w:rPr>
        <w:tab/>
      </w:r>
      <w:r w:rsidR="006B5E28" w:rsidRPr="00CF5DF0">
        <w:rPr>
          <w:rFonts w:ascii="Arial" w:hAnsi="Arial" w:cs="Arial"/>
          <w:sz w:val="24"/>
          <w:szCs w:val="24"/>
        </w:rPr>
        <w:t xml:space="preserve">The entitlement to maintenance </w:t>
      </w:r>
      <w:r w:rsidR="00353A27">
        <w:rPr>
          <w:rFonts w:ascii="Arial" w:hAnsi="Arial" w:cs="Arial"/>
          <w:i/>
          <w:sz w:val="24"/>
          <w:szCs w:val="24"/>
        </w:rPr>
        <w:t xml:space="preserve">pendent </w:t>
      </w:r>
      <w:proofErr w:type="spellStart"/>
      <w:r w:rsidR="006B5E28" w:rsidRPr="00956F65">
        <w:rPr>
          <w:rFonts w:ascii="Arial" w:hAnsi="Arial" w:cs="Arial"/>
          <w:i/>
          <w:sz w:val="24"/>
          <w:szCs w:val="24"/>
        </w:rPr>
        <w:t>lite</w:t>
      </w:r>
      <w:proofErr w:type="spellEnd"/>
      <w:r w:rsidR="006B5E28" w:rsidRPr="00CF5DF0">
        <w:rPr>
          <w:rFonts w:ascii="Arial" w:hAnsi="Arial" w:cs="Arial"/>
          <w:sz w:val="24"/>
          <w:szCs w:val="24"/>
        </w:rPr>
        <w:t xml:space="preserve"> arose from the general duty of a husband to support his wife</w:t>
      </w:r>
      <w:r w:rsidR="006B5E28">
        <w:rPr>
          <w:rFonts w:ascii="Arial" w:hAnsi="Arial" w:cs="Arial"/>
          <w:sz w:val="24"/>
          <w:szCs w:val="24"/>
        </w:rPr>
        <w:t xml:space="preserve">. </w:t>
      </w:r>
      <w:r w:rsidR="007F34DC">
        <w:rPr>
          <w:rFonts w:ascii="Arial" w:hAnsi="Arial" w:cs="Arial"/>
          <w:sz w:val="24"/>
          <w:szCs w:val="24"/>
        </w:rPr>
        <w:t xml:space="preserve">What is relevant in an application </w:t>
      </w:r>
      <w:r w:rsidR="00514979">
        <w:rPr>
          <w:rFonts w:ascii="Arial" w:hAnsi="Arial" w:cs="Arial"/>
          <w:sz w:val="24"/>
          <w:szCs w:val="24"/>
        </w:rPr>
        <w:t>in terms of Rule 90 is for the C</w:t>
      </w:r>
      <w:r w:rsidR="007F34DC">
        <w:rPr>
          <w:rFonts w:ascii="Arial" w:hAnsi="Arial" w:cs="Arial"/>
          <w:sz w:val="24"/>
          <w:szCs w:val="24"/>
        </w:rPr>
        <w:t>ourt to be placed in the position to consider</w:t>
      </w:r>
      <w:r w:rsidR="006B5E28">
        <w:rPr>
          <w:rFonts w:ascii="Arial" w:hAnsi="Arial" w:cs="Arial"/>
          <w:sz w:val="24"/>
          <w:szCs w:val="24"/>
        </w:rPr>
        <w:t xml:space="preserve"> the</w:t>
      </w:r>
      <w:r w:rsidR="00BC2864">
        <w:rPr>
          <w:rFonts w:ascii="Arial" w:hAnsi="Arial" w:cs="Arial"/>
          <w:sz w:val="24"/>
          <w:szCs w:val="24"/>
        </w:rPr>
        <w:t xml:space="preserve"> </w:t>
      </w:r>
      <w:r w:rsidR="007F34DC">
        <w:rPr>
          <w:rFonts w:ascii="Arial" w:hAnsi="Arial" w:cs="Arial"/>
          <w:sz w:val="24"/>
          <w:szCs w:val="24"/>
        </w:rPr>
        <w:t xml:space="preserve">factors that need to be taken into account </w:t>
      </w:r>
      <w:r w:rsidR="00956F65">
        <w:rPr>
          <w:rFonts w:ascii="Arial" w:hAnsi="Arial" w:cs="Arial"/>
          <w:sz w:val="24"/>
          <w:szCs w:val="24"/>
        </w:rPr>
        <w:t>in reaching a just decision, i.e.</w:t>
      </w:r>
      <w:r w:rsidR="007F34DC">
        <w:rPr>
          <w:rFonts w:ascii="Arial" w:hAnsi="Arial" w:cs="Arial"/>
          <w:sz w:val="24"/>
          <w:szCs w:val="24"/>
        </w:rPr>
        <w:t xml:space="preserve"> the standard of living of the parties during the marriage, the applicant’s actual and reasonable requirements, the income of the parties and the respondent</w:t>
      </w:r>
      <w:r w:rsidR="00514979">
        <w:rPr>
          <w:rFonts w:ascii="Arial" w:hAnsi="Arial" w:cs="Arial"/>
          <w:sz w:val="24"/>
          <w:szCs w:val="24"/>
        </w:rPr>
        <w:t>’</w:t>
      </w:r>
      <w:r w:rsidR="007F34DC">
        <w:rPr>
          <w:rFonts w:ascii="Arial" w:hAnsi="Arial" w:cs="Arial"/>
          <w:sz w:val="24"/>
          <w:szCs w:val="24"/>
        </w:rPr>
        <w:t xml:space="preserve">s ability to make payment. </w:t>
      </w:r>
      <w:r w:rsidR="007F34DC" w:rsidRPr="00514979">
        <w:rPr>
          <w:rFonts w:ascii="Arial" w:hAnsi="Arial" w:cs="Arial"/>
          <w:sz w:val="24"/>
          <w:szCs w:val="24"/>
        </w:rPr>
        <w:t xml:space="preserve">The documents in support </w:t>
      </w:r>
      <w:r w:rsidR="00BC2864">
        <w:rPr>
          <w:rFonts w:ascii="Arial" w:hAnsi="Arial" w:cs="Arial"/>
          <w:sz w:val="24"/>
          <w:szCs w:val="24"/>
        </w:rPr>
        <w:t xml:space="preserve">of these averments </w:t>
      </w:r>
      <w:r w:rsidR="007F34DC" w:rsidRPr="00514979">
        <w:rPr>
          <w:rFonts w:ascii="Arial" w:hAnsi="Arial" w:cs="Arial"/>
          <w:sz w:val="24"/>
          <w:szCs w:val="24"/>
        </w:rPr>
        <w:t>need to be filed. Applicant filed a</w:t>
      </w:r>
      <w:r w:rsidR="00514979" w:rsidRPr="00514979">
        <w:rPr>
          <w:rFonts w:ascii="Arial" w:hAnsi="Arial" w:cs="Arial"/>
          <w:sz w:val="24"/>
          <w:szCs w:val="24"/>
        </w:rPr>
        <w:t>n</w:t>
      </w:r>
      <w:r w:rsidR="007F34DC" w:rsidRPr="00514979">
        <w:rPr>
          <w:rFonts w:ascii="Arial" w:hAnsi="Arial" w:cs="Arial"/>
          <w:sz w:val="24"/>
          <w:szCs w:val="24"/>
        </w:rPr>
        <w:t xml:space="preserve"> annexure proposing to be her income and expenditure that almost got lost in the </w:t>
      </w:r>
      <w:r w:rsidR="00F33BE3" w:rsidRPr="00514979">
        <w:rPr>
          <w:rFonts w:ascii="Arial" w:hAnsi="Arial" w:cs="Arial"/>
          <w:sz w:val="24"/>
          <w:szCs w:val="24"/>
        </w:rPr>
        <w:t>magnitude</w:t>
      </w:r>
      <w:r w:rsidR="007F34DC" w:rsidRPr="00514979">
        <w:rPr>
          <w:rFonts w:ascii="Arial" w:hAnsi="Arial" w:cs="Arial"/>
          <w:sz w:val="24"/>
          <w:szCs w:val="24"/>
        </w:rPr>
        <w:t xml:space="preserve"> the </w:t>
      </w:r>
      <w:r w:rsidR="00BC2864">
        <w:rPr>
          <w:rFonts w:ascii="Arial" w:hAnsi="Arial" w:cs="Arial"/>
          <w:sz w:val="24"/>
          <w:szCs w:val="24"/>
        </w:rPr>
        <w:t xml:space="preserve">rest of the </w:t>
      </w:r>
      <w:r w:rsidR="007F34DC" w:rsidRPr="00514979">
        <w:rPr>
          <w:rFonts w:ascii="Arial" w:hAnsi="Arial" w:cs="Arial"/>
          <w:sz w:val="24"/>
          <w:szCs w:val="24"/>
        </w:rPr>
        <w:t>annexures.</w:t>
      </w:r>
    </w:p>
    <w:p w:rsidR="00514979" w:rsidRDefault="00514979" w:rsidP="00B21A61">
      <w:pPr>
        <w:spacing w:after="0" w:line="360" w:lineRule="auto"/>
        <w:jc w:val="both"/>
        <w:rPr>
          <w:rFonts w:ascii="Arial" w:hAnsi="Arial" w:cs="Arial"/>
          <w:sz w:val="24"/>
          <w:szCs w:val="24"/>
        </w:rPr>
      </w:pPr>
    </w:p>
    <w:p w:rsidR="00F33BE3" w:rsidRDefault="00F33BE3" w:rsidP="00B21A61">
      <w:pPr>
        <w:spacing w:after="0"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Pr="00F33BE3">
        <w:rPr>
          <w:rFonts w:ascii="Arial" w:hAnsi="Arial" w:cs="Arial"/>
          <w:sz w:val="24"/>
          <w:szCs w:val="24"/>
        </w:rPr>
        <w:t xml:space="preserve">I am </w:t>
      </w:r>
      <w:r>
        <w:rPr>
          <w:rFonts w:ascii="Arial" w:hAnsi="Arial" w:cs="Arial"/>
          <w:sz w:val="24"/>
          <w:szCs w:val="24"/>
        </w:rPr>
        <w:t xml:space="preserve">not persuaded that this is a matter of unusual complexities or exceptional circumstance and can find no </w:t>
      </w:r>
      <w:r w:rsidRPr="00F33BE3">
        <w:rPr>
          <w:rFonts w:ascii="Arial" w:hAnsi="Arial" w:cs="Arial"/>
          <w:sz w:val="24"/>
          <w:szCs w:val="24"/>
        </w:rPr>
        <w:t xml:space="preserve">justification for the inordinate prolixity in the papers on the part of both parties.  </w:t>
      </w:r>
    </w:p>
    <w:p w:rsidR="00F33BE3" w:rsidRDefault="00F33BE3" w:rsidP="00B21A61">
      <w:pPr>
        <w:spacing w:after="0" w:line="360" w:lineRule="auto"/>
        <w:jc w:val="both"/>
        <w:rPr>
          <w:rFonts w:ascii="Arial" w:hAnsi="Arial" w:cs="Arial"/>
          <w:sz w:val="24"/>
          <w:szCs w:val="24"/>
        </w:rPr>
      </w:pPr>
    </w:p>
    <w:p w:rsidR="00E11ED7" w:rsidRDefault="00956F65" w:rsidP="00B21A61">
      <w:pPr>
        <w:spacing w:after="0" w:line="360" w:lineRule="auto"/>
        <w:jc w:val="both"/>
        <w:rPr>
          <w:rFonts w:ascii="Arial" w:hAnsi="Arial" w:cs="Arial"/>
          <w:sz w:val="24"/>
          <w:szCs w:val="24"/>
        </w:rPr>
      </w:pPr>
      <w:r>
        <w:rPr>
          <w:rFonts w:ascii="Arial" w:hAnsi="Arial" w:cs="Arial"/>
          <w:sz w:val="24"/>
          <w:szCs w:val="24"/>
        </w:rPr>
        <w:t>[24</w:t>
      </w:r>
      <w:r w:rsidR="00E11ED7">
        <w:rPr>
          <w:rFonts w:ascii="Arial" w:hAnsi="Arial" w:cs="Arial"/>
          <w:sz w:val="24"/>
          <w:szCs w:val="24"/>
        </w:rPr>
        <w:t>]</w:t>
      </w:r>
      <w:r w:rsidR="00E11ED7">
        <w:rPr>
          <w:rFonts w:ascii="Arial" w:hAnsi="Arial" w:cs="Arial"/>
          <w:sz w:val="24"/>
          <w:szCs w:val="24"/>
        </w:rPr>
        <w:tab/>
      </w:r>
      <w:r w:rsidR="00E11ED7" w:rsidRPr="00E11ED7">
        <w:rPr>
          <w:rFonts w:ascii="Arial" w:hAnsi="Arial" w:cs="Arial"/>
          <w:sz w:val="24"/>
          <w:szCs w:val="24"/>
        </w:rPr>
        <w:t xml:space="preserve">Prolixity </w:t>
      </w:r>
      <w:r w:rsidR="00E11ED7">
        <w:rPr>
          <w:rFonts w:ascii="Arial" w:hAnsi="Arial" w:cs="Arial"/>
          <w:sz w:val="24"/>
          <w:szCs w:val="24"/>
        </w:rPr>
        <w:t>in these</w:t>
      </w:r>
      <w:r w:rsidR="00E11ED7" w:rsidRPr="00E11ED7">
        <w:rPr>
          <w:rFonts w:ascii="Arial" w:hAnsi="Arial" w:cs="Arial"/>
          <w:sz w:val="24"/>
          <w:szCs w:val="24"/>
        </w:rPr>
        <w:t xml:space="preserve"> proceeding is</w:t>
      </w:r>
      <w:r w:rsidR="00514979">
        <w:rPr>
          <w:rFonts w:ascii="Arial" w:hAnsi="Arial" w:cs="Arial"/>
          <w:sz w:val="24"/>
          <w:szCs w:val="24"/>
        </w:rPr>
        <w:t xml:space="preserve"> not</w:t>
      </w:r>
      <w:r w:rsidR="00BC2864">
        <w:rPr>
          <w:rFonts w:ascii="Arial" w:hAnsi="Arial" w:cs="Arial"/>
          <w:sz w:val="24"/>
          <w:szCs w:val="24"/>
        </w:rPr>
        <w:t xml:space="preserve"> </w:t>
      </w:r>
      <w:r w:rsidR="00E11ED7" w:rsidRPr="00995FA4">
        <w:rPr>
          <w:rFonts w:ascii="Arial" w:hAnsi="Arial" w:cs="Arial"/>
          <w:sz w:val="24"/>
          <w:szCs w:val="24"/>
        </w:rPr>
        <w:t>in accordance with the spirit and purport of Rule 90</w:t>
      </w:r>
      <w:r w:rsidR="00E11ED7">
        <w:rPr>
          <w:rFonts w:ascii="Arial" w:hAnsi="Arial" w:cs="Arial"/>
          <w:sz w:val="24"/>
          <w:szCs w:val="24"/>
        </w:rPr>
        <w:t xml:space="preserve"> and </w:t>
      </w:r>
      <w:r w:rsidR="00BC2864">
        <w:rPr>
          <w:rFonts w:ascii="Arial" w:hAnsi="Arial" w:cs="Arial"/>
          <w:sz w:val="24"/>
          <w:szCs w:val="24"/>
        </w:rPr>
        <w:t xml:space="preserve">is </w:t>
      </w:r>
      <w:r w:rsidR="00E11ED7">
        <w:rPr>
          <w:rFonts w:ascii="Arial" w:hAnsi="Arial" w:cs="Arial"/>
          <w:sz w:val="24"/>
          <w:szCs w:val="24"/>
        </w:rPr>
        <w:t>an</w:t>
      </w:r>
      <w:r w:rsidR="00E11ED7" w:rsidRPr="00E11ED7">
        <w:rPr>
          <w:rFonts w:ascii="Arial" w:hAnsi="Arial" w:cs="Arial"/>
          <w:sz w:val="24"/>
          <w:szCs w:val="24"/>
        </w:rPr>
        <w:t xml:space="preserve"> abuse of process because it defeats the purpose or object of the rule</w:t>
      </w:r>
      <w:r w:rsidR="00E11ED7">
        <w:rPr>
          <w:rStyle w:val="FootnoteReference"/>
          <w:rFonts w:ascii="Arial" w:hAnsi="Arial" w:cs="Arial"/>
          <w:sz w:val="24"/>
          <w:szCs w:val="24"/>
        </w:rPr>
        <w:footnoteReference w:id="22"/>
      </w:r>
      <w:r w:rsidR="00E11ED7">
        <w:rPr>
          <w:rFonts w:ascii="Arial" w:hAnsi="Arial" w:cs="Arial"/>
          <w:sz w:val="24"/>
          <w:szCs w:val="24"/>
        </w:rPr>
        <w:t>.</w:t>
      </w:r>
    </w:p>
    <w:p w:rsidR="00E11ED7" w:rsidRDefault="00E11ED7" w:rsidP="00B21A61">
      <w:pPr>
        <w:spacing w:after="0" w:line="360" w:lineRule="auto"/>
        <w:jc w:val="both"/>
        <w:rPr>
          <w:rFonts w:ascii="Arial" w:hAnsi="Arial" w:cs="Arial"/>
          <w:sz w:val="24"/>
          <w:szCs w:val="24"/>
        </w:rPr>
      </w:pPr>
    </w:p>
    <w:p w:rsidR="00514979" w:rsidRDefault="00995FA4" w:rsidP="00B21A61">
      <w:pPr>
        <w:spacing w:after="0" w:line="480" w:lineRule="auto"/>
        <w:ind w:left="720" w:hanging="720"/>
        <w:jc w:val="both"/>
        <w:rPr>
          <w:rFonts w:ascii="Arial" w:hAnsi="Arial" w:cs="Arial"/>
          <w:sz w:val="24"/>
          <w:szCs w:val="24"/>
        </w:rPr>
      </w:pPr>
      <w:r>
        <w:rPr>
          <w:rFonts w:ascii="Arial" w:hAnsi="Arial" w:cs="Arial"/>
          <w:sz w:val="24"/>
          <w:szCs w:val="24"/>
        </w:rPr>
        <w:t>[2</w:t>
      </w:r>
      <w:r w:rsidR="00956F65">
        <w:rPr>
          <w:rFonts w:ascii="Arial" w:hAnsi="Arial" w:cs="Arial"/>
          <w:sz w:val="24"/>
          <w:szCs w:val="24"/>
        </w:rPr>
        <w:t>5</w:t>
      </w:r>
      <w:r>
        <w:rPr>
          <w:rFonts w:ascii="Arial" w:hAnsi="Arial" w:cs="Arial"/>
          <w:sz w:val="24"/>
          <w:szCs w:val="24"/>
        </w:rPr>
        <w:t xml:space="preserve">] </w:t>
      </w:r>
      <w:r>
        <w:rPr>
          <w:rFonts w:ascii="Arial" w:hAnsi="Arial" w:cs="Arial"/>
          <w:sz w:val="24"/>
          <w:szCs w:val="24"/>
        </w:rPr>
        <w:tab/>
        <w:t>Th</w:t>
      </w:r>
      <w:r w:rsidRPr="00995FA4">
        <w:rPr>
          <w:rFonts w:ascii="Arial" w:hAnsi="Arial" w:cs="Arial"/>
          <w:sz w:val="24"/>
          <w:szCs w:val="24"/>
        </w:rPr>
        <w:t>e order which I make is the following:</w:t>
      </w:r>
    </w:p>
    <w:p w:rsidR="00EE03E3" w:rsidRDefault="00EE03E3" w:rsidP="00B21A61">
      <w:pPr>
        <w:spacing w:after="0" w:line="480" w:lineRule="auto"/>
        <w:jc w:val="both"/>
        <w:rPr>
          <w:rFonts w:ascii="Arial" w:hAnsi="Arial" w:cs="Arial"/>
          <w:sz w:val="24"/>
          <w:szCs w:val="24"/>
        </w:rPr>
      </w:pPr>
    </w:p>
    <w:p w:rsidR="00995FA4" w:rsidRDefault="00995FA4" w:rsidP="00B21A61">
      <w:pPr>
        <w:pStyle w:val="ListParagraph"/>
        <w:numPr>
          <w:ilvl w:val="0"/>
          <w:numId w:val="23"/>
        </w:numPr>
        <w:spacing w:after="0" w:line="480" w:lineRule="auto"/>
        <w:jc w:val="both"/>
        <w:rPr>
          <w:rFonts w:ascii="Arial" w:hAnsi="Arial" w:cs="Arial"/>
          <w:sz w:val="24"/>
          <w:szCs w:val="24"/>
        </w:rPr>
      </w:pPr>
      <w:r w:rsidRPr="00EE03E3">
        <w:rPr>
          <w:rFonts w:ascii="Arial" w:hAnsi="Arial" w:cs="Arial"/>
          <w:sz w:val="24"/>
          <w:szCs w:val="24"/>
        </w:rPr>
        <w:t xml:space="preserve">The matter is struck off the roll with costs. Such costs </w:t>
      </w:r>
      <w:r w:rsidR="00E11ED7" w:rsidRPr="00EE03E3">
        <w:rPr>
          <w:rFonts w:ascii="Arial" w:hAnsi="Arial" w:cs="Arial"/>
          <w:sz w:val="24"/>
          <w:szCs w:val="24"/>
        </w:rPr>
        <w:t xml:space="preserve">to be on the ordinary scale. </w:t>
      </w:r>
    </w:p>
    <w:p w:rsidR="00EE03E3" w:rsidRPr="00EE03E3" w:rsidRDefault="00EE03E3" w:rsidP="00B21A61">
      <w:pPr>
        <w:pStyle w:val="ListParagraph"/>
        <w:numPr>
          <w:ilvl w:val="0"/>
          <w:numId w:val="23"/>
        </w:numPr>
        <w:spacing w:after="0"/>
        <w:rPr>
          <w:rFonts w:ascii="Arial" w:hAnsi="Arial" w:cs="Arial"/>
          <w:sz w:val="24"/>
          <w:szCs w:val="24"/>
        </w:rPr>
      </w:pPr>
      <w:r w:rsidRPr="00EE03E3">
        <w:rPr>
          <w:rFonts w:ascii="Arial" w:hAnsi="Arial" w:cs="Arial"/>
          <w:sz w:val="24"/>
          <w:szCs w:val="24"/>
        </w:rPr>
        <w:t xml:space="preserve">The matter is postponed until 27 April 2017 at 15:30 for status hearing. </w:t>
      </w:r>
    </w:p>
    <w:p w:rsidR="00EE03E3" w:rsidRPr="00EE03E3" w:rsidRDefault="00EE03E3" w:rsidP="00B21A61">
      <w:pPr>
        <w:pStyle w:val="ListParagraph"/>
        <w:spacing w:after="0" w:line="480" w:lineRule="auto"/>
        <w:jc w:val="both"/>
        <w:rPr>
          <w:rFonts w:ascii="Arial" w:hAnsi="Arial" w:cs="Arial"/>
          <w:sz w:val="24"/>
          <w:szCs w:val="24"/>
        </w:rPr>
      </w:pPr>
    </w:p>
    <w:p w:rsidR="00514979" w:rsidRDefault="00514979" w:rsidP="00B21A61">
      <w:pPr>
        <w:spacing w:after="0" w:line="480" w:lineRule="auto"/>
        <w:jc w:val="both"/>
        <w:rPr>
          <w:rFonts w:ascii="Arial" w:hAnsi="Arial" w:cs="Arial"/>
          <w:sz w:val="24"/>
          <w:szCs w:val="24"/>
        </w:rPr>
      </w:pPr>
    </w:p>
    <w:p w:rsidR="00514979" w:rsidRDefault="00514979" w:rsidP="00B21A61">
      <w:pPr>
        <w:spacing w:after="0" w:line="480" w:lineRule="auto"/>
        <w:ind w:left="360"/>
        <w:jc w:val="right"/>
        <w:rPr>
          <w:rFonts w:ascii="Arial" w:hAnsi="Arial" w:cs="Arial"/>
          <w:sz w:val="24"/>
          <w:szCs w:val="24"/>
        </w:rPr>
      </w:pPr>
      <w:r>
        <w:rPr>
          <w:rFonts w:ascii="Arial" w:hAnsi="Arial" w:cs="Arial"/>
          <w:sz w:val="24"/>
          <w:szCs w:val="24"/>
        </w:rPr>
        <w:t>_____________________</w:t>
      </w:r>
    </w:p>
    <w:p w:rsidR="00B21A61" w:rsidRDefault="00353A27" w:rsidP="00B21A61">
      <w:pPr>
        <w:spacing w:after="0" w:line="480" w:lineRule="auto"/>
        <w:ind w:left="360"/>
        <w:jc w:val="right"/>
        <w:rPr>
          <w:rFonts w:ascii="Arial" w:hAnsi="Arial" w:cs="Arial"/>
          <w:sz w:val="24"/>
          <w:szCs w:val="24"/>
        </w:rPr>
      </w:pPr>
      <w:r>
        <w:rPr>
          <w:rFonts w:ascii="Arial" w:hAnsi="Arial" w:cs="Arial"/>
          <w:sz w:val="24"/>
          <w:szCs w:val="24"/>
        </w:rPr>
        <w:t>JS</w:t>
      </w:r>
      <w:r w:rsidR="00514979">
        <w:rPr>
          <w:rFonts w:ascii="Arial" w:hAnsi="Arial" w:cs="Arial"/>
          <w:sz w:val="24"/>
          <w:szCs w:val="24"/>
        </w:rPr>
        <w:t xml:space="preserve"> </w:t>
      </w:r>
      <w:proofErr w:type="spellStart"/>
      <w:r w:rsidR="00514979">
        <w:rPr>
          <w:rFonts w:ascii="Arial" w:hAnsi="Arial" w:cs="Arial"/>
          <w:sz w:val="24"/>
          <w:szCs w:val="24"/>
        </w:rPr>
        <w:t>Prinsloo</w:t>
      </w:r>
      <w:proofErr w:type="spellEnd"/>
      <w:r w:rsidR="00514979">
        <w:rPr>
          <w:rFonts w:ascii="Arial" w:hAnsi="Arial" w:cs="Arial"/>
          <w:sz w:val="24"/>
          <w:szCs w:val="24"/>
        </w:rPr>
        <w:t xml:space="preserve">, </w:t>
      </w:r>
    </w:p>
    <w:p w:rsidR="00514979" w:rsidRDefault="00514979" w:rsidP="00B21A61">
      <w:pPr>
        <w:spacing w:after="0" w:line="480" w:lineRule="auto"/>
        <w:ind w:left="360"/>
        <w:jc w:val="right"/>
        <w:rPr>
          <w:rFonts w:ascii="Arial" w:hAnsi="Arial" w:cs="Arial"/>
          <w:sz w:val="24"/>
          <w:szCs w:val="24"/>
        </w:rPr>
      </w:pPr>
      <w:r>
        <w:rPr>
          <w:rFonts w:ascii="Arial" w:hAnsi="Arial" w:cs="Arial"/>
          <w:sz w:val="24"/>
          <w:szCs w:val="24"/>
        </w:rPr>
        <w:t>Acting</w:t>
      </w:r>
    </w:p>
    <w:p w:rsidR="00514979" w:rsidRDefault="00514979" w:rsidP="00B21A61">
      <w:pPr>
        <w:spacing w:after="0" w:line="480" w:lineRule="auto"/>
        <w:ind w:left="360"/>
        <w:jc w:val="both"/>
        <w:rPr>
          <w:rFonts w:ascii="Arial" w:hAnsi="Arial" w:cs="Arial"/>
          <w:sz w:val="24"/>
          <w:szCs w:val="24"/>
        </w:rPr>
      </w:pPr>
    </w:p>
    <w:p w:rsidR="00514979" w:rsidRDefault="00514979" w:rsidP="00B21A61">
      <w:pPr>
        <w:spacing w:after="0" w:line="480" w:lineRule="auto"/>
        <w:ind w:left="360"/>
        <w:jc w:val="both"/>
        <w:rPr>
          <w:rFonts w:ascii="Arial" w:hAnsi="Arial" w:cs="Arial"/>
          <w:sz w:val="24"/>
          <w:szCs w:val="24"/>
        </w:rPr>
      </w:pPr>
    </w:p>
    <w:p w:rsidR="00514979" w:rsidRDefault="00514979" w:rsidP="00B21A61">
      <w:pPr>
        <w:spacing w:after="0" w:line="480" w:lineRule="auto"/>
        <w:ind w:left="360"/>
        <w:jc w:val="both"/>
        <w:rPr>
          <w:rFonts w:ascii="Arial" w:hAnsi="Arial" w:cs="Arial"/>
          <w:sz w:val="24"/>
          <w:szCs w:val="24"/>
        </w:rPr>
      </w:pPr>
    </w:p>
    <w:p w:rsidR="00514979" w:rsidRDefault="00514979" w:rsidP="00B21A61">
      <w:pPr>
        <w:spacing w:after="0" w:line="480" w:lineRule="auto"/>
        <w:ind w:left="360"/>
        <w:jc w:val="both"/>
        <w:rPr>
          <w:rFonts w:ascii="Arial" w:hAnsi="Arial" w:cs="Arial"/>
          <w:sz w:val="24"/>
          <w:szCs w:val="24"/>
        </w:rPr>
      </w:pPr>
    </w:p>
    <w:p w:rsidR="00B21A61" w:rsidRDefault="00B21A61">
      <w:pPr>
        <w:spacing w:after="160" w:line="259" w:lineRule="auto"/>
        <w:rPr>
          <w:rFonts w:ascii="Arial" w:hAnsi="Arial" w:cs="Arial"/>
          <w:sz w:val="24"/>
          <w:szCs w:val="24"/>
        </w:rPr>
      </w:pPr>
      <w:r>
        <w:rPr>
          <w:rFonts w:ascii="Arial" w:hAnsi="Arial" w:cs="Arial"/>
          <w:sz w:val="24"/>
          <w:szCs w:val="24"/>
        </w:rPr>
        <w:br w:type="page"/>
      </w:r>
    </w:p>
    <w:p w:rsidR="00A45814" w:rsidRDefault="00A45814" w:rsidP="00B21A61">
      <w:pPr>
        <w:spacing w:after="0" w:line="240" w:lineRule="auto"/>
        <w:jc w:val="both"/>
        <w:rPr>
          <w:rFonts w:ascii="Arial" w:hAnsi="Arial" w:cs="Arial"/>
          <w:sz w:val="24"/>
          <w:szCs w:val="24"/>
        </w:rPr>
      </w:pPr>
      <w:r>
        <w:rPr>
          <w:rFonts w:ascii="Arial" w:hAnsi="Arial" w:cs="Arial"/>
          <w:sz w:val="24"/>
          <w:szCs w:val="24"/>
        </w:rPr>
        <w:lastRenderedPageBreak/>
        <w:t>APPEARANCES:</w:t>
      </w:r>
    </w:p>
    <w:p w:rsidR="00A45814" w:rsidRDefault="00A45814" w:rsidP="00B21A61">
      <w:pPr>
        <w:spacing w:after="0" w:line="240" w:lineRule="auto"/>
        <w:jc w:val="both"/>
        <w:rPr>
          <w:rFonts w:ascii="Arial" w:hAnsi="Arial" w:cs="Arial"/>
          <w:sz w:val="24"/>
          <w:szCs w:val="24"/>
        </w:rPr>
      </w:pPr>
    </w:p>
    <w:p w:rsidR="00A45814" w:rsidRDefault="00A45814" w:rsidP="00B21A61">
      <w:pPr>
        <w:spacing w:after="0" w:line="240" w:lineRule="auto"/>
        <w:jc w:val="both"/>
        <w:rPr>
          <w:rFonts w:ascii="Arial" w:hAnsi="Arial" w:cs="Arial"/>
          <w:sz w:val="24"/>
          <w:szCs w:val="24"/>
        </w:rPr>
      </w:pPr>
    </w:p>
    <w:p w:rsidR="004558DF" w:rsidRDefault="00514979" w:rsidP="00B21A61">
      <w:pPr>
        <w:spacing w:after="0" w:line="240" w:lineRule="auto"/>
        <w:jc w:val="both"/>
        <w:rPr>
          <w:rFonts w:ascii="Arial" w:hAnsi="Arial" w:cs="Arial"/>
          <w:sz w:val="24"/>
          <w:szCs w:val="24"/>
        </w:rPr>
      </w:pPr>
      <w:r>
        <w:rPr>
          <w:rFonts w:ascii="Arial" w:hAnsi="Arial" w:cs="Arial"/>
          <w:sz w:val="24"/>
          <w:szCs w:val="24"/>
        </w:rPr>
        <w:t>PLAINTIFF</w:t>
      </w:r>
      <w:r w:rsidR="00BC2864">
        <w:rPr>
          <w:rFonts w:ascii="Arial" w:hAnsi="Arial" w:cs="Arial"/>
          <w:sz w:val="24"/>
          <w:szCs w:val="24"/>
        </w:rPr>
        <w:t>/ APPLICANT</w:t>
      </w:r>
      <w:r>
        <w:rPr>
          <w:rFonts w:ascii="Arial" w:hAnsi="Arial" w:cs="Arial"/>
          <w:sz w:val="24"/>
          <w:szCs w:val="24"/>
        </w:rPr>
        <w:t>:</w:t>
      </w:r>
      <w:r w:rsidR="00BC2864">
        <w:rPr>
          <w:rFonts w:ascii="Arial" w:hAnsi="Arial" w:cs="Arial"/>
          <w:sz w:val="24"/>
          <w:szCs w:val="24"/>
        </w:rPr>
        <w:t xml:space="preserve"> </w:t>
      </w:r>
      <w:r w:rsidR="004558DF">
        <w:rPr>
          <w:rFonts w:ascii="Arial" w:hAnsi="Arial" w:cs="Arial"/>
          <w:sz w:val="24"/>
          <w:szCs w:val="24"/>
        </w:rPr>
        <w:tab/>
      </w:r>
      <w:r w:rsidR="00A45814">
        <w:rPr>
          <w:rFonts w:ascii="Arial" w:hAnsi="Arial" w:cs="Arial"/>
          <w:sz w:val="24"/>
          <w:szCs w:val="24"/>
        </w:rPr>
        <w:tab/>
      </w:r>
      <w:r w:rsidR="00A45814">
        <w:rPr>
          <w:rFonts w:ascii="Arial" w:hAnsi="Arial" w:cs="Arial"/>
          <w:sz w:val="24"/>
          <w:szCs w:val="24"/>
        </w:rPr>
        <w:tab/>
      </w:r>
      <w:bookmarkStart w:id="0" w:name="_GoBack"/>
      <w:bookmarkEnd w:id="0"/>
      <w:proofErr w:type="spellStart"/>
      <w:r w:rsidR="00BC2864">
        <w:rPr>
          <w:rFonts w:ascii="Arial" w:hAnsi="Arial" w:cs="Arial"/>
          <w:sz w:val="24"/>
          <w:szCs w:val="24"/>
        </w:rPr>
        <w:t>Petherbridge</w:t>
      </w:r>
      <w:proofErr w:type="spellEnd"/>
      <w:r w:rsidR="003C3CD0">
        <w:rPr>
          <w:rFonts w:ascii="Arial" w:hAnsi="Arial" w:cs="Arial"/>
          <w:sz w:val="24"/>
          <w:szCs w:val="24"/>
        </w:rPr>
        <w:t xml:space="preserve"> </w:t>
      </w:r>
    </w:p>
    <w:p w:rsidR="00514979" w:rsidRDefault="00A45814" w:rsidP="00B21A61">
      <w:pPr>
        <w:spacing w:after="0" w:line="24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3C3CD0">
        <w:rPr>
          <w:rFonts w:ascii="Arial" w:hAnsi="Arial" w:cs="Arial"/>
          <w:sz w:val="24"/>
          <w:szCs w:val="24"/>
        </w:rPr>
        <w:t>Petherbridge</w:t>
      </w:r>
      <w:proofErr w:type="spellEnd"/>
      <w:r w:rsidR="003C3CD0">
        <w:rPr>
          <w:rFonts w:ascii="Arial" w:hAnsi="Arial" w:cs="Arial"/>
          <w:sz w:val="24"/>
          <w:szCs w:val="24"/>
        </w:rPr>
        <w:t xml:space="preserve"> Law Chambers</w:t>
      </w:r>
      <w:r>
        <w:rPr>
          <w:rFonts w:ascii="Arial" w:hAnsi="Arial" w:cs="Arial"/>
          <w:sz w:val="24"/>
          <w:szCs w:val="24"/>
        </w:rPr>
        <w:t>, Windhoek</w:t>
      </w:r>
    </w:p>
    <w:p w:rsidR="00514979" w:rsidRDefault="00514979" w:rsidP="00B21A61">
      <w:pPr>
        <w:spacing w:after="0" w:line="480" w:lineRule="auto"/>
        <w:ind w:left="360"/>
        <w:jc w:val="both"/>
        <w:rPr>
          <w:rFonts w:ascii="Arial" w:hAnsi="Arial" w:cs="Arial"/>
          <w:sz w:val="24"/>
          <w:szCs w:val="24"/>
        </w:rPr>
      </w:pPr>
    </w:p>
    <w:p w:rsidR="004558DF" w:rsidRDefault="00514979" w:rsidP="00B21A61">
      <w:pPr>
        <w:spacing w:after="0" w:line="240" w:lineRule="auto"/>
        <w:jc w:val="both"/>
        <w:rPr>
          <w:rFonts w:ascii="Arial" w:hAnsi="Arial" w:cs="Arial"/>
          <w:sz w:val="24"/>
          <w:szCs w:val="24"/>
        </w:rPr>
      </w:pPr>
      <w:r>
        <w:rPr>
          <w:rFonts w:ascii="Arial" w:hAnsi="Arial" w:cs="Arial"/>
          <w:sz w:val="24"/>
          <w:szCs w:val="24"/>
        </w:rPr>
        <w:t>DEFENDANT</w:t>
      </w:r>
      <w:r w:rsidR="00BC2864">
        <w:rPr>
          <w:rFonts w:ascii="Arial" w:hAnsi="Arial" w:cs="Arial"/>
          <w:sz w:val="24"/>
          <w:szCs w:val="24"/>
        </w:rPr>
        <w:t>/RESPONDENT</w:t>
      </w:r>
      <w:r>
        <w:rPr>
          <w:rFonts w:ascii="Arial" w:hAnsi="Arial" w:cs="Arial"/>
          <w:sz w:val="24"/>
          <w:szCs w:val="24"/>
        </w:rPr>
        <w:t>:</w:t>
      </w:r>
      <w:r w:rsidR="00A45814">
        <w:rPr>
          <w:rFonts w:ascii="Arial" w:hAnsi="Arial" w:cs="Arial"/>
          <w:sz w:val="24"/>
          <w:szCs w:val="24"/>
        </w:rPr>
        <w:tab/>
      </w:r>
      <w:r w:rsidR="00A45814">
        <w:rPr>
          <w:rFonts w:ascii="Arial" w:hAnsi="Arial" w:cs="Arial"/>
          <w:sz w:val="24"/>
          <w:szCs w:val="24"/>
        </w:rPr>
        <w:tab/>
      </w:r>
      <w:r w:rsidR="00B21A61">
        <w:rPr>
          <w:rFonts w:ascii="Arial" w:hAnsi="Arial" w:cs="Arial"/>
          <w:sz w:val="24"/>
          <w:szCs w:val="24"/>
        </w:rPr>
        <w:t xml:space="preserve">H </w:t>
      </w:r>
      <w:proofErr w:type="spellStart"/>
      <w:r w:rsidR="00BC2864">
        <w:rPr>
          <w:rFonts w:ascii="Arial" w:hAnsi="Arial" w:cs="Arial"/>
          <w:sz w:val="24"/>
          <w:szCs w:val="24"/>
        </w:rPr>
        <w:t>Gabers</w:t>
      </w:r>
      <w:proofErr w:type="spellEnd"/>
      <w:r w:rsidR="00BC2864">
        <w:rPr>
          <w:rFonts w:ascii="Arial" w:hAnsi="Arial" w:cs="Arial"/>
          <w:sz w:val="24"/>
          <w:szCs w:val="24"/>
        </w:rPr>
        <w:t xml:space="preserve">-Kirsten </w:t>
      </w:r>
    </w:p>
    <w:p w:rsidR="00995FA4" w:rsidRPr="00995FA4" w:rsidRDefault="00A45814" w:rsidP="00B21A61">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3C3CD0">
        <w:rPr>
          <w:rFonts w:ascii="Arial" w:hAnsi="Arial" w:cs="Arial"/>
          <w:sz w:val="24"/>
          <w:szCs w:val="24"/>
        </w:rPr>
        <w:t>Delport</w:t>
      </w:r>
      <w:proofErr w:type="spellEnd"/>
      <w:r w:rsidR="003C3CD0">
        <w:rPr>
          <w:rFonts w:ascii="Arial" w:hAnsi="Arial" w:cs="Arial"/>
          <w:sz w:val="24"/>
          <w:szCs w:val="24"/>
        </w:rPr>
        <w:t xml:space="preserve"> </w:t>
      </w:r>
      <w:proofErr w:type="spellStart"/>
      <w:r w:rsidR="003C3CD0">
        <w:rPr>
          <w:rFonts w:ascii="Arial" w:hAnsi="Arial" w:cs="Arial"/>
          <w:sz w:val="24"/>
          <w:szCs w:val="24"/>
        </w:rPr>
        <w:t>Nederlof</w:t>
      </w:r>
      <w:proofErr w:type="spellEnd"/>
      <w:r w:rsidR="003C3CD0">
        <w:rPr>
          <w:rFonts w:ascii="Arial" w:hAnsi="Arial" w:cs="Arial"/>
          <w:sz w:val="24"/>
          <w:szCs w:val="24"/>
        </w:rPr>
        <w:t xml:space="preserve"> Attorneys</w:t>
      </w:r>
      <w:r>
        <w:rPr>
          <w:rFonts w:ascii="Arial" w:hAnsi="Arial" w:cs="Arial"/>
          <w:sz w:val="24"/>
          <w:szCs w:val="24"/>
        </w:rPr>
        <w:t>, Windhoek</w:t>
      </w:r>
    </w:p>
    <w:p w:rsidR="00F33BE3" w:rsidRDefault="00F33BE3" w:rsidP="00B21A61">
      <w:pPr>
        <w:spacing w:after="0" w:line="360" w:lineRule="auto"/>
        <w:jc w:val="both"/>
        <w:rPr>
          <w:rFonts w:ascii="Arial" w:hAnsi="Arial" w:cs="Arial"/>
          <w:sz w:val="24"/>
          <w:szCs w:val="24"/>
        </w:rPr>
      </w:pPr>
    </w:p>
    <w:p w:rsidR="00F33BE3" w:rsidRDefault="00F33BE3" w:rsidP="00B21A61">
      <w:pPr>
        <w:spacing w:after="0" w:line="360" w:lineRule="auto"/>
        <w:jc w:val="both"/>
        <w:rPr>
          <w:rFonts w:ascii="Arial" w:hAnsi="Arial" w:cs="Arial"/>
          <w:sz w:val="24"/>
          <w:szCs w:val="24"/>
        </w:rPr>
      </w:pPr>
    </w:p>
    <w:p w:rsidR="00D452C7" w:rsidRDefault="00D452C7" w:rsidP="00B21A61">
      <w:pPr>
        <w:spacing w:after="0" w:line="360" w:lineRule="auto"/>
        <w:jc w:val="both"/>
        <w:rPr>
          <w:rFonts w:ascii="Arial" w:hAnsi="Arial" w:cs="Arial"/>
          <w:sz w:val="24"/>
          <w:szCs w:val="24"/>
        </w:rPr>
      </w:pPr>
    </w:p>
    <w:p w:rsidR="009E0751" w:rsidRDefault="009E0751" w:rsidP="00B21A61">
      <w:pPr>
        <w:pStyle w:val="BodyText"/>
        <w:autoSpaceDE w:val="0"/>
        <w:autoSpaceDN w:val="0"/>
        <w:adjustRightInd w:val="0"/>
        <w:spacing w:line="360" w:lineRule="auto"/>
        <w:jc w:val="both"/>
        <w:rPr>
          <w:rFonts w:ascii="Arial" w:hAnsi="Arial" w:cs="Arial"/>
        </w:rPr>
      </w:pPr>
    </w:p>
    <w:p w:rsidR="009E0751" w:rsidRDefault="009E0751" w:rsidP="00B21A61">
      <w:pPr>
        <w:pStyle w:val="BodyText"/>
        <w:autoSpaceDE w:val="0"/>
        <w:autoSpaceDN w:val="0"/>
        <w:adjustRightInd w:val="0"/>
        <w:spacing w:line="360" w:lineRule="auto"/>
        <w:jc w:val="both"/>
        <w:rPr>
          <w:rFonts w:ascii="Arial" w:hAnsi="Arial" w:cs="Arial"/>
        </w:rPr>
      </w:pPr>
    </w:p>
    <w:p w:rsidR="006362A0" w:rsidRDefault="006362A0" w:rsidP="00B21A61">
      <w:pPr>
        <w:pStyle w:val="BodyText"/>
        <w:autoSpaceDE w:val="0"/>
        <w:autoSpaceDN w:val="0"/>
        <w:adjustRightInd w:val="0"/>
        <w:spacing w:line="360" w:lineRule="auto"/>
        <w:jc w:val="both"/>
        <w:rPr>
          <w:rFonts w:ascii="Arial" w:hAnsi="Arial" w:cs="Arial"/>
        </w:rPr>
      </w:pPr>
    </w:p>
    <w:p w:rsidR="006362A0" w:rsidRDefault="006362A0" w:rsidP="00B21A61">
      <w:pPr>
        <w:pStyle w:val="BodyText"/>
        <w:autoSpaceDE w:val="0"/>
        <w:autoSpaceDN w:val="0"/>
        <w:adjustRightInd w:val="0"/>
        <w:spacing w:line="360" w:lineRule="auto"/>
        <w:jc w:val="both"/>
        <w:rPr>
          <w:rFonts w:ascii="Arial" w:hAnsi="Arial" w:cs="Arial"/>
        </w:rPr>
      </w:pPr>
    </w:p>
    <w:p w:rsidR="0043029F" w:rsidRDefault="0043029F" w:rsidP="00B21A61">
      <w:pPr>
        <w:pStyle w:val="BodyText"/>
        <w:autoSpaceDE w:val="0"/>
        <w:autoSpaceDN w:val="0"/>
        <w:adjustRightInd w:val="0"/>
        <w:spacing w:line="360" w:lineRule="auto"/>
        <w:jc w:val="both"/>
        <w:rPr>
          <w:rFonts w:ascii="Arial" w:hAnsi="Arial" w:cs="Arial"/>
        </w:rPr>
      </w:pPr>
    </w:p>
    <w:sectPr w:rsidR="0043029F" w:rsidSect="00460199">
      <w:headerReference w:type="default" r:id="rId12"/>
      <w:headerReference w:type="first" r:id="rId13"/>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C5" w:rsidRDefault="000329C5">
      <w:pPr>
        <w:spacing w:after="0" w:line="240" w:lineRule="auto"/>
      </w:pPr>
      <w:r>
        <w:separator/>
      </w:r>
    </w:p>
  </w:endnote>
  <w:endnote w:type="continuationSeparator" w:id="0">
    <w:p w:rsidR="000329C5" w:rsidRDefault="0003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C5" w:rsidRDefault="000329C5">
      <w:pPr>
        <w:spacing w:after="0" w:line="240" w:lineRule="auto"/>
      </w:pPr>
      <w:r>
        <w:separator/>
      </w:r>
    </w:p>
  </w:footnote>
  <w:footnote w:type="continuationSeparator" w:id="0">
    <w:p w:rsidR="000329C5" w:rsidRDefault="000329C5">
      <w:pPr>
        <w:spacing w:after="0" w:line="240" w:lineRule="auto"/>
      </w:pPr>
      <w:r>
        <w:continuationSeparator/>
      </w:r>
    </w:p>
  </w:footnote>
  <w:footnote w:id="1">
    <w:p w:rsidR="007F34DC" w:rsidRPr="00DB5F77" w:rsidRDefault="007F34DC" w:rsidP="00DB5F77">
      <w:pPr>
        <w:pStyle w:val="FootnoteText"/>
        <w:jc w:val="both"/>
        <w:rPr>
          <w:rFonts w:ascii="Arial" w:hAnsi="Arial" w:cs="Arial"/>
          <w:lang w:val="en-US"/>
        </w:rPr>
      </w:pPr>
      <w:r w:rsidRPr="00DB5F77">
        <w:rPr>
          <w:rStyle w:val="FootnoteReference"/>
          <w:rFonts w:ascii="Arial" w:hAnsi="Arial" w:cs="Arial"/>
        </w:rPr>
        <w:footnoteRef/>
      </w:r>
      <w:r w:rsidRPr="00DB5F77">
        <w:rPr>
          <w:rFonts w:ascii="Arial" w:hAnsi="Arial" w:cs="Arial"/>
          <w:i/>
        </w:rPr>
        <w:t>Rules of the High Court of Namibia:  High Court Act, 1990 – GN 14 of 2014</w:t>
      </w:r>
      <w:r w:rsidRPr="00DB5F77">
        <w:rPr>
          <w:rFonts w:ascii="Arial" w:hAnsi="Arial" w:cs="Arial"/>
        </w:rPr>
        <w:t>.</w:t>
      </w:r>
    </w:p>
  </w:footnote>
  <w:footnote w:id="2">
    <w:p w:rsidR="007F34DC" w:rsidRPr="00DB5F77" w:rsidRDefault="007F34DC" w:rsidP="00DB5F77">
      <w:pPr>
        <w:pStyle w:val="FootnoteText"/>
        <w:jc w:val="both"/>
        <w:rPr>
          <w:rFonts w:ascii="Arial" w:hAnsi="Arial" w:cs="Arial"/>
          <w:lang w:val="en-US"/>
        </w:rPr>
      </w:pPr>
      <w:r w:rsidRPr="00DB5F77">
        <w:rPr>
          <w:rStyle w:val="FootnoteReference"/>
          <w:rFonts w:ascii="Arial" w:hAnsi="Arial" w:cs="Arial"/>
        </w:rPr>
        <w:footnoteRef/>
      </w:r>
      <w:r>
        <w:rPr>
          <w:rFonts w:ascii="Arial" w:hAnsi="Arial" w:cs="Arial"/>
          <w:lang w:val="en-US"/>
        </w:rPr>
        <w:t xml:space="preserve"> Pleadings Bundle, p 146-147</w:t>
      </w:r>
    </w:p>
  </w:footnote>
  <w:footnote w:id="3">
    <w:p w:rsidR="007F34DC" w:rsidRPr="00672937" w:rsidRDefault="007F34DC" w:rsidP="00AE781E">
      <w:pPr>
        <w:pStyle w:val="FootnoteText"/>
        <w:rPr>
          <w:rFonts w:ascii="Arial" w:hAnsi="Arial" w:cs="Arial"/>
        </w:rPr>
      </w:pPr>
      <w:r w:rsidRPr="00672937">
        <w:rPr>
          <w:rStyle w:val="FootnoteReference"/>
          <w:rFonts w:ascii="Arial" w:hAnsi="Arial" w:cs="Arial"/>
        </w:rPr>
        <w:footnoteRef/>
      </w:r>
      <w:r w:rsidRPr="00672937">
        <w:rPr>
          <w:rFonts w:ascii="Arial" w:hAnsi="Arial" w:cs="Arial"/>
        </w:rPr>
        <w:t xml:space="preserve"> Du </w:t>
      </w:r>
      <w:proofErr w:type="spellStart"/>
      <w:r w:rsidRPr="00672937">
        <w:rPr>
          <w:rFonts w:ascii="Arial" w:hAnsi="Arial" w:cs="Arial"/>
        </w:rPr>
        <w:t>Plooy</w:t>
      </w:r>
      <w:proofErr w:type="spellEnd"/>
      <w:r w:rsidRPr="00672937">
        <w:rPr>
          <w:rFonts w:ascii="Arial" w:hAnsi="Arial" w:cs="Arial"/>
        </w:rPr>
        <w:t xml:space="preserve"> v Du </w:t>
      </w:r>
      <w:proofErr w:type="spellStart"/>
      <w:proofErr w:type="gramStart"/>
      <w:r w:rsidRPr="00672937">
        <w:rPr>
          <w:rFonts w:ascii="Arial" w:hAnsi="Arial" w:cs="Arial"/>
        </w:rPr>
        <w:t>Plooy</w:t>
      </w:r>
      <w:proofErr w:type="spellEnd"/>
      <w:r w:rsidRPr="00672937">
        <w:rPr>
          <w:rFonts w:ascii="Arial" w:hAnsi="Arial" w:cs="Arial"/>
        </w:rPr>
        <w:t xml:space="preserve">  1953</w:t>
      </w:r>
      <w:proofErr w:type="gramEnd"/>
      <w:r w:rsidRPr="00672937">
        <w:rPr>
          <w:rFonts w:ascii="Arial" w:hAnsi="Arial" w:cs="Arial"/>
        </w:rPr>
        <w:t xml:space="preserve"> (3) SA 848 (T) at 852D.</w:t>
      </w:r>
    </w:p>
  </w:footnote>
  <w:footnote w:id="4">
    <w:p w:rsidR="007F34DC" w:rsidRPr="004558DF" w:rsidRDefault="007F34DC" w:rsidP="00AE781E">
      <w:pPr>
        <w:pStyle w:val="FootnoteText"/>
        <w:rPr>
          <w:rFonts w:ascii="Arial" w:hAnsi="Arial" w:cs="Arial"/>
        </w:rPr>
      </w:pPr>
      <w:r w:rsidRPr="00672937">
        <w:rPr>
          <w:rStyle w:val="FootnoteReference"/>
          <w:rFonts w:ascii="Arial" w:hAnsi="Arial" w:cs="Arial"/>
        </w:rPr>
        <w:footnoteRef/>
      </w:r>
      <w:r w:rsidRPr="00672937">
        <w:rPr>
          <w:rFonts w:ascii="Arial" w:hAnsi="Arial" w:cs="Arial"/>
        </w:rPr>
        <w:t xml:space="preserve"> </w:t>
      </w:r>
      <w:r w:rsidRPr="004558DF">
        <w:rPr>
          <w:rFonts w:ascii="Arial" w:hAnsi="Arial" w:cs="Arial"/>
        </w:rPr>
        <w:t xml:space="preserve">Nathan, Barnett &amp; Brink Uniform Rules of Court 3 </w:t>
      </w:r>
      <w:proofErr w:type="spellStart"/>
      <w:proofErr w:type="gramStart"/>
      <w:r w:rsidRPr="004558DF">
        <w:rPr>
          <w:rFonts w:ascii="Arial" w:hAnsi="Arial" w:cs="Arial"/>
        </w:rPr>
        <w:t>ed</w:t>
      </w:r>
      <w:proofErr w:type="spellEnd"/>
      <w:proofErr w:type="gramEnd"/>
      <w:r w:rsidRPr="004558DF">
        <w:rPr>
          <w:rFonts w:ascii="Arial" w:hAnsi="Arial" w:cs="Arial"/>
        </w:rPr>
        <w:t xml:space="preserve"> at 270; </w:t>
      </w:r>
      <w:r w:rsidRPr="004558DF">
        <w:rPr>
          <w:rFonts w:ascii="Arial" w:hAnsi="Arial" w:cs="Arial"/>
          <w:i/>
        </w:rPr>
        <w:t>Williams v Williams</w:t>
      </w:r>
      <w:r w:rsidRPr="004558DF">
        <w:rPr>
          <w:rFonts w:ascii="Arial" w:hAnsi="Arial" w:cs="Arial"/>
        </w:rPr>
        <w:t xml:space="preserve"> 1971 (2) SA 620 (O); </w:t>
      </w:r>
      <w:r w:rsidRPr="004558DF">
        <w:rPr>
          <w:rFonts w:ascii="Arial" w:hAnsi="Arial" w:cs="Arial"/>
          <w:i/>
        </w:rPr>
        <w:t>Maree v Maree</w:t>
      </w:r>
      <w:r w:rsidRPr="004558DF">
        <w:rPr>
          <w:rFonts w:ascii="Arial" w:hAnsi="Arial" w:cs="Arial"/>
        </w:rPr>
        <w:t xml:space="preserve"> 1972 (1) SA 261 (O); Gerber v Gerber 1979 (1) SA 352 (C).</w:t>
      </w:r>
    </w:p>
  </w:footnote>
  <w:footnote w:id="5">
    <w:p w:rsidR="007F34DC" w:rsidRPr="004558DF" w:rsidRDefault="007F34DC" w:rsidP="00AE781E">
      <w:pPr>
        <w:pStyle w:val="FootnoteText"/>
        <w:rPr>
          <w:rFonts w:ascii="Arial" w:hAnsi="Arial" w:cs="Arial"/>
        </w:rPr>
      </w:pPr>
      <w:r w:rsidRPr="004558DF">
        <w:rPr>
          <w:rStyle w:val="FootnoteReference"/>
          <w:rFonts w:ascii="Arial" w:hAnsi="Arial" w:cs="Arial"/>
        </w:rPr>
        <w:footnoteRef/>
      </w:r>
      <w:r w:rsidRPr="004558DF">
        <w:rPr>
          <w:rFonts w:ascii="Arial" w:hAnsi="Arial" w:cs="Arial"/>
        </w:rPr>
        <w:t xml:space="preserve"> </w:t>
      </w:r>
      <w:r w:rsidRPr="004558DF">
        <w:rPr>
          <w:rFonts w:ascii="Arial" w:hAnsi="Arial" w:cs="Arial"/>
          <w:i/>
        </w:rPr>
        <w:t>Mather v Mather</w:t>
      </w:r>
      <w:r w:rsidRPr="004558DF">
        <w:rPr>
          <w:rFonts w:ascii="Arial" w:hAnsi="Arial" w:cs="Arial"/>
        </w:rPr>
        <w:t xml:space="preserve"> 1970 (4) SA 582 (E) at 585 B</w:t>
      </w:r>
    </w:p>
  </w:footnote>
  <w:footnote w:id="6">
    <w:p w:rsidR="007F34DC" w:rsidRPr="004558DF" w:rsidRDefault="007F34DC" w:rsidP="00AE781E">
      <w:pPr>
        <w:pStyle w:val="FootnoteText"/>
        <w:rPr>
          <w:rFonts w:ascii="Arial" w:hAnsi="Arial" w:cs="Arial"/>
        </w:rPr>
      </w:pPr>
      <w:r w:rsidRPr="004558DF">
        <w:rPr>
          <w:rStyle w:val="FootnoteReference"/>
          <w:rFonts w:ascii="Arial" w:hAnsi="Arial" w:cs="Arial"/>
        </w:rPr>
        <w:footnoteRef/>
      </w:r>
      <w:r w:rsidRPr="004558DF">
        <w:rPr>
          <w:rFonts w:ascii="Arial" w:hAnsi="Arial" w:cs="Arial"/>
        </w:rPr>
        <w:t xml:space="preserve"> </w:t>
      </w:r>
      <w:r w:rsidRPr="004558DF">
        <w:rPr>
          <w:rFonts w:ascii="Arial" w:hAnsi="Arial" w:cs="Arial"/>
          <w:i/>
        </w:rPr>
        <w:t>Mather v Mather</w:t>
      </w:r>
      <w:r w:rsidRPr="004558DF">
        <w:rPr>
          <w:rFonts w:ascii="Arial" w:hAnsi="Arial" w:cs="Arial"/>
        </w:rPr>
        <w:t xml:space="preserve"> 1970 (4) SA 582 (E) at 587H</w:t>
      </w:r>
    </w:p>
  </w:footnote>
  <w:footnote w:id="7">
    <w:p w:rsidR="007F34DC" w:rsidRPr="004558DF" w:rsidRDefault="007F34DC" w:rsidP="00AE781E">
      <w:pPr>
        <w:pStyle w:val="FootnoteText"/>
        <w:rPr>
          <w:rFonts w:ascii="Arial" w:hAnsi="Arial" w:cs="Arial"/>
        </w:rPr>
      </w:pPr>
      <w:r w:rsidRPr="004558DF">
        <w:rPr>
          <w:rStyle w:val="FootnoteReference"/>
          <w:rFonts w:ascii="Arial" w:hAnsi="Arial" w:cs="Arial"/>
        </w:rPr>
        <w:footnoteRef/>
      </w:r>
      <w:proofErr w:type="spellStart"/>
      <w:r w:rsidRPr="004558DF">
        <w:rPr>
          <w:rFonts w:ascii="Arial" w:hAnsi="Arial" w:cs="Arial"/>
          <w:i/>
        </w:rPr>
        <w:t>Taute</w:t>
      </w:r>
      <w:proofErr w:type="spellEnd"/>
      <w:r w:rsidRPr="004558DF">
        <w:rPr>
          <w:rFonts w:ascii="Arial" w:hAnsi="Arial" w:cs="Arial"/>
          <w:i/>
        </w:rPr>
        <w:t xml:space="preserve"> v </w:t>
      </w:r>
      <w:proofErr w:type="spellStart"/>
      <w:r w:rsidRPr="004558DF">
        <w:rPr>
          <w:rFonts w:ascii="Arial" w:hAnsi="Arial" w:cs="Arial"/>
          <w:i/>
        </w:rPr>
        <w:t>Taute</w:t>
      </w:r>
      <w:proofErr w:type="spellEnd"/>
      <w:r w:rsidRPr="004558DF">
        <w:rPr>
          <w:rFonts w:ascii="Arial" w:hAnsi="Arial" w:cs="Arial"/>
        </w:rPr>
        <w:t xml:space="preserve"> supra at 676B; Levin v Levin and Another 1962 (3) SA 330 (W) at 331D; </w:t>
      </w:r>
      <w:proofErr w:type="spellStart"/>
      <w:r w:rsidRPr="004558DF">
        <w:rPr>
          <w:rFonts w:ascii="Arial" w:hAnsi="Arial" w:cs="Arial"/>
        </w:rPr>
        <w:t>Herbstein</w:t>
      </w:r>
      <w:proofErr w:type="spellEnd"/>
      <w:r w:rsidR="00353A27" w:rsidRPr="004558DF">
        <w:rPr>
          <w:rFonts w:ascii="Arial" w:hAnsi="Arial" w:cs="Arial"/>
        </w:rPr>
        <w:t xml:space="preserve"> </w:t>
      </w:r>
      <w:r w:rsidRPr="004558DF">
        <w:rPr>
          <w:rFonts w:ascii="Arial" w:hAnsi="Arial" w:cs="Arial"/>
        </w:rPr>
        <w:t xml:space="preserve">&amp; Van </w:t>
      </w:r>
      <w:proofErr w:type="spellStart"/>
      <w:r w:rsidRPr="004558DF">
        <w:rPr>
          <w:rFonts w:ascii="Arial" w:hAnsi="Arial" w:cs="Arial"/>
        </w:rPr>
        <w:t>Winsen</w:t>
      </w:r>
      <w:proofErr w:type="spellEnd"/>
      <w:r w:rsidRPr="004558DF">
        <w:rPr>
          <w:rFonts w:ascii="Arial" w:hAnsi="Arial" w:cs="Arial"/>
        </w:rPr>
        <w:t xml:space="preserve"> The Civil Practice of the Supreme Court of South Africa 4 </w:t>
      </w:r>
      <w:proofErr w:type="spellStart"/>
      <w:r w:rsidRPr="004558DF">
        <w:rPr>
          <w:rFonts w:ascii="Arial" w:hAnsi="Arial" w:cs="Arial"/>
        </w:rPr>
        <w:t>ed</w:t>
      </w:r>
      <w:proofErr w:type="spellEnd"/>
      <w:r w:rsidRPr="004558DF">
        <w:rPr>
          <w:rFonts w:ascii="Arial" w:hAnsi="Arial" w:cs="Arial"/>
        </w:rPr>
        <w:t xml:space="preserve"> at 1118.</w:t>
      </w:r>
    </w:p>
  </w:footnote>
  <w:footnote w:id="8">
    <w:p w:rsidR="007F34DC" w:rsidRPr="004558DF" w:rsidRDefault="007F34DC" w:rsidP="00AE781E">
      <w:pPr>
        <w:pStyle w:val="FootnoteText"/>
        <w:rPr>
          <w:rFonts w:ascii="Arial" w:hAnsi="Arial" w:cs="Arial"/>
        </w:rPr>
      </w:pPr>
      <w:r w:rsidRPr="004558DF">
        <w:rPr>
          <w:rStyle w:val="FootnoteReference"/>
          <w:rFonts w:ascii="Arial" w:hAnsi="Arial" w:cs="Arial"/>
        </w:rPr>
        <w:footnoteRef/>
      </w:r>
      <w:proofErr w:type="spellStart"/>
      <w:r w:rsidRPr="004558DF">
        <w:rPr>
          <w:rFonts w:ascii="Arial" w:hAnsi="Arial" w:cs="Arial"/>
          <w:i/>
        </w:rPr>
        <w:t>Taute</w:t>
      </w:r>
      <w:proofErr w:type="spellEnd"/>
      <w:r w:rsidRPr="004558DF">
        <w:rPr>
          <w:rFonts w:ascii="Arial" w:hAnsi="Arial" w:cs="Arial"/>
          <w:i/>
        </w:rPr>
        <w:t xml:space="preserve"> v </w:t>
      </w:r>
      <w:proofErr w:type="spellStart"/>
      <w:r w:rsidRPr="004558DF">
        <w:rPr>
          <w:rFonts w:ascii="Arial" w:hAnsi="Arial" w:cs="Arial"/>
          <w:i/>
        </w:rPr>
        <w:t>Taute</w:t>
      </w:r>
      <w:proofErr w:type="spellEnd"/>
      <w:r w:rsidRPr="004558DF">
        <w:rPr>
          <w:rFonts w:ascii="Arial" w:hAnsi="Arial" w:cs="Arial"/>
        </w:rPr>
        <w:t xml:space="preserve"> supra at 676C – D.</w:t>
      </w:r>
    </w:p>
  </w:footnote>
  <w:footnote w:id="9">
    <w:p w:rsidR="007F34DC" w:rsidRPr="004558DF" w:rsidRDefault="007F34DC" w:rsidP="00AE781E">
      <w:pPr>
        <w:pStyle w:val="FootnoteText"/>
        <w:rPr>
          <w:rFonts w:ascii="Arial" w:hAnsi="Arial" w:cs="Arial"/>
        </w:rPr>
      </w:pPr>
      <w:r w:rsidRPr="004558DF">
        <w:rPr>
          <w:rStyle w:val="FootnoteReference"/>
          <w:rFonts w:ascii="Arial" w:hAnsi="Arial" w:cs="Arial"/>
        </w:rPr>
        <w:footnoteRef/>
      </w:r>
      <w:proofErr w:type="spellStart"/>
      <w:r w:rsidRPr="004558DF">
        <w:rPr>
          <w:rFonts w:ascii="Arial" w:hAnsi="Arial" w:cs="Arial"/>
          <w:i/>
        </w:rPr>
        <w:t>Taute</w:t>
      </w:r>
      <w:proofErr w:type="spellEnd"/>
      <w:r w:rsidRPr="004558DF">
        <w:rPr>
          <w:rFonts w:ascii="Arial" w:hAnsi="Arial" w:cs="Arial"/>
          <w:i/>
        </w:rPr>
        <w:t xml:space="preserve"> v </w:t>
      </w:r>
      <w:proofErr w:type="spellStart"/>
      <w:r w:rsidRPr="004558DF">
        <w:rPr>
          <w:rFonts w:ascii="Arial" w:hAnsi="Arial" w:cs="Arial"/>
          <w:i/>
        </w:rPr>
        <w:t>Taute</w:t>
      </w:r>
      <w:proofErr w:type="spellEnd"/>
      <w:r w:rsidRPr="004558DF">
        <w:rPr>
          <w:rFonts w:ascii="Arial" w:hAnsi="Arial" w:cs="Arial"/>
        </w:rPr>
        <w:t xml:space="preserve"> supra at 677A – B; Harms Civil Procedure in the Supreme Court at 463.</w:t>
      </w:r>
    </w:p>
  </w:footnote>
  <w:footnote w:id="10">
    <w:p w:rsidR="007F34DC" w:rsidRPr="004558DF" w:rsidRDefault="007F34DC" w:rsidP="00AE781E">
      <w:pPr>
        <w:pStyle w:val="FootnoteText"/>
        <w:rPr>
          <w:rFonts w:ascii="Arial" w:hAnsi="Arial" w:cs="Arial"/>
        </w:rPr>
      </w:pPr>
      <w:r w:rsidRPr="004558DF">
        <w:rPr>
          <w:rStyle w:val="FootnoteReference"/>
          <w:rFonts w:ascii="Arial" w:hAnsi="Arial" w:cs="Arial"/>
        </w:rPr>
        <w:footnoteRef/>
      </w:r>
      <w:r w:rsidRPr="004558DF">
        <w:rPr>
          <w:rFonts w:ascii="Arial" w:hAnsi="Arial" w:cs="Arial"/>
        </w:rPr>
        <w:t xml:space="preserve">  Nathan, Barnett &amp; Brink Uniform Rules of Court 3 </w:t>
      </w:r>
      <w:proofErr w:type="spellStart"/>
      <w:proofErr w:type="gramStart"/>
      <w:r w:rsidRPr="004558DF">
        <w:rPr>
          <w:rFonts w:ascii="Arial" w:hAnsi="Arial" w:cs="Arial"/>
        </w:rPr>
        <w:t>ed</w:t>
      </w:r>
      <w:proofErr w:type="spellEnd"/>
      <w:proofErr w:type="gramEnd"/>
      <w:r w:rsidRPr="004558DF">
        <w:rPr>
          <w:rFonts w:ascii="Arial" w:hAnsi="Arial" w:cs="Arial"/>
        </w:rPr>
        <w:t xml:space="preserve"> at 272.</w:t>
      </w:r>
    </w:p>
  </w:footnote>
  <w:footnote w:id="11">
    <w:p w:rsidR="007F34DC" w:rsidRPr="004558DF" w:rsidRDefault="007F34DC" w:rsidP="00AE781E">
      <w:pPr>
        <w:pStyle w:val="FootnoteText"/>
        <w:rPr>
          <w:rFonts w:ascii="Arial" w:hAnsi="Arial" w:cs="Arial"/>
        </w:rPr>
      </w:pPr>
      <w:r w:rsidRPr="004558DF">
        <w:rPr>
          <w:rStyle w:val="FootnoteReference"/>
          <w:rFonts w:ascii="Arial" w:hAnsi="Arial" w:cs="Arial"/>
        </w:rPr>
        <w:footnoteRef/>
      </w:r>
      <w:r w:rsidRPr="004558DF">
        <w:rPr>
          <w:rFonts w:ascii="Arial" w:hAnsi="Arial" w:cs="Arial"/>
        </w:rPr>
        <w:t xml:space="preserve"> Nathan, Barnett &amp; Brink supra at 272; </w:t>
      </w:r>
      <w:proofErr w:type="spellStart"/>
      <w:r w:rsidRPr="004558DF">
        <w:rPr>
          <w:rFonts w:ascii="Arial" w:hAnsi="Arial" w:cs="Arial"/>
          <w:i/>
        </w:rPr>
        <w:t>Vester</w:t>
      </w:r>
      <w:proofErr w:type="spellEnd"/>
      <w:r w:rsidRPr="004558DF">
        <w:rPr>
          <w:rFonts w:ascii="Arial" w:hAnsi="Arial" w:cs="Arial"/>
          <w:i/>
        </w:rPr>
        <w:t xml:space="preserve"> v </w:t>
      </w:r>
      <w:proofErr w:type="spellStart"/>
      <w:r w:rsidRPr="004558DF">
        <w:rPr>
          <w:rFonts w:ascii="Arial" w:hAnsi="Arial" w:cs="Arial"/>
          <w:i/>
        </w:rPr>
        <w:t>Vester</w:t>
      </w:r>
      <w:proofErr w:type="spellEnd"/>
      <w:r w:rsidRPr="004558DF">
        <w:rPr>
          <w:rFonts w:ascii="Arial" w:hAnsi="Arial" w:cs="Arial"/>
        </w:rPr>
        <w:t xml:space="preserve"> 1975 (3) SA 493 (W)</w:t>
      </w:r>
    </w:p>
  </w:footnote>
  <w:footnote w:id="12">
    <w:p w:rsidR="007F34DC" w:rsidRPr="004558DF" w:rsidRDefault="007F34DC" w:rsidP="00AE781E">
      <w:pPr>
        <w:pStyle w:val="FootnoteText"/>
        <w:rPr>
          <w:rFonts w:ascii="Arial" w:hAnsi="Arial" w:cs="Arial"/>
        </w:rPr>
      </w:pPr>
      <w:r w:rsidRPr="004558DF">
        <w:rPr>
          <w:rStyle w:val="FootnoteReference"/>
          <w:rFonts w:ascii="Arial" w:hAnsi="Arial" w:cs="Arial"/>
        </w:rPr>
        <w:footnoteRef/>
      </w:r>
      <w:r w:rsidRPr="004558DF">
        <w:rPr>
          <w:rFonts w:ascii="Arial" w:hAnsi="Arial" w:cs="Arial"/>
        </w:rPr>
        <w:t xml:space="preserve"> </w:t>
      </w:r>
      <w:r w:rsidRPr="004558DF">
        <w:rPr>
          <w:rFonts w:ascii="Arial" w:hAnsi="Arial" w:cs="Arial"/>
          <w:i/>
        </w:rPr>
        <w:t>Gerber v Gerber</w:t>
      </w:r>
      <w:r w:rsidRPr="004558DF">
        <w:rPr>
          <w:rFonts w:ascii="Arial" w:hAnsi="Arial" w:cs="Arial"/>
        </w:rPr>
        <w:t xml:space="preserve"> 1979 (1) SA 352 (C) at 353 E-F.</w:t>
      </w:r>
    </w:p>
  </w:footnote>
  <w:footnote w:id="13">
    <w:p w:rsidR="007F34DC" w:rsidRDefault="007F34DC" w:rsidP="00AE781E">
      <w:pPr>
        <w:pStyle w:val="FootnoteText"/>
      </w:pPr>
      <w:r w:rsidRPr="004558DF">
        <w:rPr>
          <w:rStyle w:val="FootnoteReference"/>
          <w:rFonts w:ascii="Arial" w:hAnsi="Arial" w:cs="Arial"/>
        </w:rPr>
        <w:footnoteRef/>
      </w:r>
      <w:r w:rsidRPr="004558DF">
        <w:rPr>
          <w:rFonts w:ascii="Arial" w:hAnsi="Arial" w:cs="Arial"/>
        </w:rPr>
        <w:t>1967 (1) SA 291 (C) at 292A</w:t>
      </w:r>
    </w:p>
  </w:footnote>
  <w:footnote w:id="14">
    <w:p w:rsidR="007F34DC" w:rsidRDefault="007F34DC">
      <w:pPr>
        <w:pStyle w:val="FootnoteText"/>
      </w:pPr>
      <w:r>
        <w:rPr>
          <w:rStyle w:val="FootnoteReference"/>
        </w:rPr>
        <w:footnoteRef/>
      </w:r>
      <w:r w:rsidR="004558DF">
        <w:rPr>
          <w:rFonts w:ascii="Arial" w:hAnsi="Arial" w:cs="Arial"/>
        </w:rPr>
        <w:t xml:space="preserve"> </w:t>
      </w:r>
      <w:r w:rsidRPr="004558DF">
        <w:rPr>
          <w:rFonts w:ascii="Arial" w:hAnsi="Arial" w:cs="Arial"/>
          <w:i/>
        </w:rPr>
        <w:t>Dreyer v Dreyer</w:t>
      </w:r>
      <w:r w:rsidR="004558DF">
        <w:rPr>
          <w:rFonts w:ascii="Arial" w:hAnsi="Arial" w:cs="Arial"/>
        </w:rPr>
        <w:t xml:space="preserve"> </w:t>
      </w:r>
      <w:r w:rsidRPr="0028229D">
        <w:rPr>
          <w:rFonts w:ascii="Arial" w:hAnsi="Arial" w:cs="Arial"/>
        </w:rPr>
        <w:t>2007 (2) NR 553 (HC)</w:t>
      </w:r>
      <w:r>
        <w:rPr>
          <w:rFonts w:ascii="Arial" w:hAnsi="Arial" w:cs="Arial"/>
        </w:rPr>
        <w:t xml:space="preserve"> at  556</w:t>
      </w:r>
    </w:p>
  </w:footnote>
  <w:footnote w:id="15">
    <w:p w:rsidR="007F34DC" w:rsidRDefault="007F34DC">
      <w:pPr>
        <w:pStyle w:val="FootnoteText"/>
      </w:pPr>
      <w:r>
        <w:rPr>
          <w:rStyle w:val="FootnoteReference"/>
        </w:rPr>
        <w:footnoteRef/>
      </w:r>
      <w:r w:rsidRPr="007967EA">
        <w:rPr>
          <w:rFonts w:ascii="Arial" w:hAnsi="Arial" w:cs="Arial"/>
        </w:rPr>
        <w:t>1990 (2) SA 77 (W) at p79</w:t>
      </w:r>
    </w:p>
  </w:footnote>
  <w:footnote w:id="16">
    <w:p w:rsidR="007F34DC" w:rsidRPr="008A3D34" w:rsidRDefault="007F34DC">
      <w:pPr>
        <w:pStyle w:val="FootnoteText"/>
        <w:rPr>
          <w:rFonts w:ascii="Arial" w:hAnsi="Arial" w:cs="Arial"/>
        </w:rPr>
      </w:pPr>
      <w:r w:rsidRPr="008A3D34">
        <w:rPr>
          <w:rStyle w:val="FootnoteReference"/>
          <w:rFonts w:ascii="Arial" w:hAnsi="Arial" w:cs="Arial"/>
        </w:rPr>
        <w:footnoteRef/>
      </w:r>
      <w:r w:rsidRPr="008A3D34">
        <w:rPr>
          <w:rFonts w:ascii="Arial" w:hAnsi="Arial" w:cs="Arial"/>
        </w:rPr>
        <w:t xml:space="preserve"> </w:t>
      </w:r>
      <w:r w:rsidRPr="004558DF">
        <w:rPr>
          <w:rFonts w:ascii="Arial" w:hAnsi="Arial" w:cs="Arial"/>
          <w:i/>
        </w:rPr>
        <w:t>Dodo v Dodo</w:t>
      </w:r>
      <w:r w:rsidRPr="008A3D34">
        <w:rPr>
          <w:rFonts w:ascii="Arial" w:hAnsi="Arial" w:cs="Arial"/>
        </w:rPr>
        <w:t xml:space="preserve"> supra at p 79 D:  “However, there should be no reason why special circumstances may not justify a deviation from that norm, wherein complexities in Rule 43 applications are unusual.”</w:t>
      </w:r>
    </w:p>
  </w:footnote>
  <w:footnote w:id="17">
    <w:p w:rsidR="007F34DC" w:rsidRPr="008A3D34" w:rsidRDefault="007F34DC" w:rsidP="00980D64">
      <w:pPr>
        <w:pStyle w:val="FootnoteText"/>
        <w:rPr>
          <w:rFonts w:ascii="Arial" w:hAnsi="Arial" w:cs="Arial"/>
        </w:rPr>
      </w:pPr>
      <w:r w:rsidRPr="008A3D34">
        <w:rPr>
          <w:rStyle w:val="FootnoteReference"/>
          <w:rFonts w:ascii="Arial" w:hAnsi="Arial" w:cs="Arial"/>
        </w:rPr>
        <w:footnoteRef/>
      </w:r>
      <w:r w:rsidRPr="008A3D34">
        <w:rPr>
          <w:rFonts w:ascii="Arial" w:hAnsi="Arial" w:cs="Arial"/>
        </w:rPr>
        <w:t xml:space="preserve"> (I 1209/2013) [2014] NAHCMD 116 (27 March 2014)</w:t>
      </w:r>
    </w:p>
  </w:footnote>
  <w:footnote w:id="18">
    <w:p w:rsidR="007F34DC" w:rsidRDefault="007F34DC" w:rsidP="00980D64">
      <w:pPr>
        <w:spacing w:after="0" w:line="360" w:lineRule="auto"/>
        <w:jc w:val="both"/>
      </w:pPr>
      <w:r>
        <w:rPr>
          <w:rStyle w:val="FootnoteReference"/>
        </w:rPr>
        <w:footnoteRef/>
      </w:r>
      <w:proofErr w:type="spellStart"/>
      <w:r w:rsidRPr="004558DF">
        <w:rPr>
          <w:rFonts w:ascii="Arial" w:hAnsi="Arial" w:cs="Arial"/>
          <w:i/>
          <w:sz w:val="20"/>
          <w:szCs w:val="20"/>
        </w:rPr>
        <w:t>Boulle</w:t>
      </w:r>
      <w:proofErr w:type="spellEnd"/>
      <w:r w:rsidRPr="004558DF">
        <w:rPr>
          <w:rFonts w:ascii="Arial" w:hAnsi="Arial" w:cs="Arial"/>
          <w:i/>
          <w:sz w:val="20"/>
          <w:szCs w:val="20"/>
        </w:rPr>
        <w:t xml:space="preserve"> v </w:t>
      </w:r>
      <w:proofErr w:type="spellStart"/>
      <w:r w:rsidRPr="004558DF">
        <w:rPr>
          <w:rFonts w:ascii="Arial" w:hAnsi="Arial" w:cs="Arial"/>
          <w:i/>
          <w:sz w:val="20"/>
          <w:szCs w:val="20"/>
        </w:rPr>
        <w:t>Boulle</w:t>
      </w:r>
      <w:proofErr w:type="spellEnd"/>
      <w:r w:rsidRPr="00980D64">
        <w:rPr>
          <w:rFonts w:ascii="Arial" w:hAnsi="Arial" w:cs="Arial"/>
          <w:sz w:val="20"/>
          <w:szCs w:val="20"/>
        </w:rPr>
        <w:t xml:space="preserve"> 1966 (1) SA 446 (D &amp; CLD) at 449H-450A-C</w:t>
      </w:r>
    </w:p>
  </w:footnote>
  <w:footnote w:id="19">
    <w:p w:rsidR="007F34DC" w:rsidRPr="004558DF" w:rsidRDefault="007F34DC" w:rsidP="00800A9C">
      <w:pPr>
        <w:pStyle w:val="FootnoteText"/>
        <w:rPr>
          <w:rFonts w:ascii="Arial" w:hAnsi="Arial" w:cs="Arial"/>
        </w:rPr>
      </w:pPr>
      <w:r w:rsidRPr="004558DF">
        <w:rPr>
          <w:rStyle w:val="FootnoteReference"/>
          <w:i/>
        </w:rPr>
        <w:footnoteRef/>
      </w:r>
      <w:r w:rsidRPr="004558DF">
        <w:rPr>
          <w:rFonts w:ascii="Arial" w:hAnsi="Arial" w:cs="Arial"/>
          <w:i/>
        </w:rPr>
        <w:t>Dreyer v Dreyer</w:t>
      </w:r>
      <w:r w:rsidRPr="004558DF">
        <w:rPr>
          <w:rFonts w:ascii="Arial" w:hAnsi="Arial" w:cs="Arial"/>
        </w:rPr>
        <w:t xml:space="preserve"> supra at [13]; Erasmus Superior Court Practice supra at B1-316A</w:t>
      </w:r>
    </w:p>
  </w:footnote>
  <w:footnote w:id="20">
    <w:p w:rsidR="007F34DC" w:rsidRDefault="007F34DC" w:rsidP="00800A9C">
      <w:pPr>
        <w:pStyle w:val="FootnoteText"/>
      </w:pPr>
      <w:r w:rsidRPr="004558DF">
        <w:rPr>
          <w:rStyle w:val="FootnoteReference"/>
          <w:rFonts w:ascii="Arial" w:hAnsi="Arial" w:cs="Arial"/>
          <w:i/>
        </w:rPr>
        <w:footnoteRef/>
      </w:r>
      <w:r w:rsidRPr="004558DF">
        <w:rPr>
          <w:rFonts w:ascii="Arial" w:hAnsi="Arial" w:cs="Arial"/>
          <w:i/>
        </w:rPr>
        <w:t xml:space="preserve"> Dodo v Dodo</w:t>
      </w:r>
      <w:r w:rsidRPr="004558DF">
        <w:rPr>
          <w:rFonts w:ascii="Arial" w:hAnsi="Arial" w:cs="Arial"/>
        </w:rPr>
        <w:t xml:space="preserve"> supra at p 89.</w:t>
      </w:r>
    </w:p>
  </w:footnote>
  <w:footnote w:id="21">
    <w:p w:rsidR="006B5E28" w:rsidRPr="003C3CD0" w:rsidRDefault="006B5E28">
      <w:pPr>
        <w:pStyle w:val="FootnoteText"/>
        <w:rPr>
          <w:rFonts w:ascii="Arial" w:hAnsi="Arial" w:cs="Arial"/>
        </w:rPr>
      </w:pPr>
      <w:r>
        <w:rPr>
          <w:rStyle w:val="FootnoteReference"/>
        </w:rPr>
        <w:footnoteRef/>
      </w:r>
      <w:proofErr w:type="spellStart"/>
      <w:r w:rsidRPr="003C3CD0">
        <w:rPr>
          <w:rFonts w:ascii="Arial" w:hAnsi="Arial" w:cs="Arial"/>
          <w:i/>
        </w:rPr>
        <w:t>Stoman</w:t>
      </w:r>
      <w:proofErr w:type="spellEnd"/>
      <w:r w:rsidRPr="003C3CD0">
        <w:rPr>
          <w:rFonts w:ascii="Arial" w:hAnsi="Arial" w:cs="Arial"/>
          <w:i/>
        </w:rPr>
        <w:t xml:space="preserve"> v </w:t>
      </w:r>
      <w:proofErr w:type="spellStart"/>
      <w:r w:rsidRPr="003C3CD0">
        <w:rPr>
          <w:rFonts w:ascii="Arial" w:hAnsi="Arial" w:cs="Arial"/>
          <w:i/>
        </w:rPr>
        <w:t>Stoman</w:t>
      </w:r>
      <w:proofErr w:type="spellEnd"/>
      <w:r w:rsidRPr="003C3CD0">
        <w:rPr>
          <w:rFonts w:ascii="Arial" w:hAnsi="Arial" w:cs="Arial"/>
        </w:rPr>
        <w:t xml:space="preserve"> supra at [26]</w:t>
      </w:r>
    </w:p>
  </w:footnote>
  <w:footnote w:id="22">
    <w:p w:rsidR="00E11ED7" w:rsidRDefault="00E11ED7">
      <w:pPr>
        <w:pStyle w:val="FootnoteText"/>
      </w:pPr>
      <w:r>
        <w:rPr>
          <w:rStyle w:val="FootnoteReference"/>
        </w:rPr>
        <w:footnoteRef/>
      </w:r>
      <w:proofErr w:type="spellStart"/>
      <w:r w:rsidRPr="00E11ED7">
        <w:rPr>
          <w:rFonts w:ascii="Arial" w:hAnsi="Arial" w:cs="Arial"/>
          <w:i/>
        </w:rPr>
        <w:t>Smit</w:t>
      </w:r>
      <w:proofErr w:type="spellEnd"/>
      <w:r w:rsidRPr="00E11ED7">
        <w:rPr>
          <w:rFonts w:ascii="Arial" w:hAnsi="Arial" w:cs="Arial"/>
          <w:i/>
        </w:rPr>
        <w:t xml:space="preserve"> v </w:t>
      </w:r>
      <w:proofErr w:type="spellStart"/>
      <w:r w:rsidRPr="00E11ED7">
        <w:rPr>
          <w:rFonts w:ascii="Arial" w:hAnsi="Arial" w:cs="Arial"/>
          <w:i/>
        </w:rPr>
        <w:t>Smit</w:t>
      </w:r>
      <w:proofErr w:type="spellEnd"/>
      <w:r w:rsidR="003C3CD0">
        <w:rPr>
          <w:rFonts w:ascii="Arial" w:hAnsi="Arial" w:cs="Arial"/>
          <w:i/>
        </w:rPr>
        <w:t xml:space="preserve"> </w:t>
      </w:r>
      <w:r w:rsidRPr="00E11ED7">
        <w:rPr>
          <w:rFonts w:ascii="Arial" w:hAnsi="Arial" w:cs="Arial"/>
        </w:rPr>
        <w:t>1978 (2) SA 720 (W) at 722G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595262"/>
      <w:docPartObj>
        <w:docPartGallery w:val="Page Numbers (Top of Page)"/>
        <w:docPartUnique/>
      </w:docPartObj>
    </w:sdtPr>
    <w:sdtEndPr>
      <w:rPr>
        <w:noProof/>
      </w:rPr>
    </w:sdtEndPr>
    <w:sdtContent>
      <w:p w:rsidR="00460199" w:rsidRDefault="00460199">
        <w:pPr>
          <w:pStyle w:val="Header"/>
          <w:jc w:val="right"/>
        </w:pPr>
        <w:r>
          <w:fldChar w:fldCharType="begin"/>
        </w:r>
        <w:r>
          <w:instrText xml:space="preserve"> PAGE   \* MERGEFORMAT </w:instrText>
        </w:r>
        <w:r>
          <w:fldChar w:fldCharType="separate"/>
        </w:r>
        <w:r w:rsidR="0030758C">
          <w:rPr>
            <w:noProof/>
          </w:rPr>
          <w:t>9</w:t>
        </w:r>
        <w:r>
          <w:rPr>
            <w:noProof/>
          </w:rPr>
          <w:fldChar w:fldCharType="end"/>
        </w:r>
      </w:p>
    </w:sdtContent>
  </w:sdt>
  <w:p w:rsidR="007F34DC" w:rsidRDefault="007F3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99" w:rsidRDefault="00460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1CA"/>
    <w:multiLevelType w:val="hybridMultilevel"/>
    <w:tmpl w:val="328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6DBC"/>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nsid w:val="0D496C4D"/>
    <w:multiLevelType w:val="hybridMultilevel"/>
    <w:tmpl w:val="1052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851D6"/>
    <w:multiLevelType w:val="hybridMultilevel"/>
    <w:tmpl w:val="893E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A75"/>
    <w:multiLevelType w:val="hybridMultilevel"/>
    <w:tmpl w:val="7CC4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D217D7"/>
    <w:multiLevelType w:val="hybridMultilevel"/>
    <w:tmpl w:val="7B0A9FBE"/>
    <w:lvl w:ilvl="0" w:tplc="D876B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975703"/>
    <w:multiLevelType w:val="hybridMultilevel"/>
    <w:tmpl w:val="066EF750"/>
    <w:lvl w:ilvl="0" w:tplc="8A80F5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D3F90"/>
    <w:multiLevelType w:val="hybridMultilevel"/>
    <w:tmpl w:val="729A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75FA3"/>
    <w:multiLevelType w:val="hybridMultilevel"/>
    <w:tmpl w:val="774A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903A39"/>
    <w:multiLevelType w:val="hybridMultilevel"/>
    <w:tmpl w:val="46C44A9A"/>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463C34"/>
    <w:multiLevelType w:val="hybridMultilevel"/>
    <w:tmpl w:val="CC30E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FA5F90"/>
    <w:multiLevelType w:val="hybridMultilevel"/>
    <w:tmpl w:val="F9A2407A"/>
    <w:lvl w:ilvl="0" w:tplc="72909364">
      <w:start w:val="3"/>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D3D26"/>
    <w:multiLevelType w:val="hybridMultilevel"/>
    <w:tmpl w:val="2EFE18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611957D4"/>
    <w:multiLevelType w:val="hybridMultilevel"/>
    <w:tmpl w:val="EEF2770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8F84093"/>
    <w:multiLevelType w:val="hybridMultilevel"/>
    <w:tmpl w:val="3136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44AC8"/>
    <w:multiLevelType w:val="hybridMultilevel"/>
    <w:tmpl w:val="852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747FF0"/>
    <w:multiLevelType w:val="hybridMultilevel"/>
    <w:tmpl w:val="774A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0"/>
  </w:num>
  <w:num w:numId="4">
    <w:abstractNumId w:val="2"/>
  </w:num>
  <w:num w:numId="5">
    <w:abstractNumId w:val="6"/>
  </w:num>
  <w:num w:numId="6">
    <w:abstractNumId w:val="21"/>
  </w:num>
  <w:num w:numId="7">
    <w:abstractNumId w:val="0"/>
  </w:num>
  <w:num w:numId="8">
    <w:abstractNumId w:val="13"/>
  </w:num>
  <w:num w:numId="9">
    <w:abstractNumId w:val="1"/>
  </w:num>
  <w:num w:numId="10">
    <w:abstractNumId w:val="12"/>
  </w:num>
  <w:num w:numId="11">
    <w:abstractNumId w:val="4"/>
  </w:num>
  <w:num w:numId="12">
    <w:abstractNumId w:val="18"/>
  </w:num>
  <w:num w:numId="13">
    <w:abstractNumId w:val="7"/>
  </w:num>
  <w:num w:numId="14">
    <w:abstractNumId w:val="8"/>
  </w:num>
  <w:num w:numId="15">
    <w:abstractNumId w:val="15"/>
  </w:num>
  <w:num w:numId="16">
    <w:abstractNumId w:val="9"/>
  </w:num>
  <w:num w:numId="17">
    <w:abstractNumId w:val="3"/>
  </w:num>
  <w:num w:numId="18">
    <w:abstractNumId w:val="10"/>
  </w:num>
  <w:num w:numId="19">
    <w:abstractNumId w:val="16"/>
  </w:num>
  <w:num w:numId="20">
    <w:abstractNumId w:val="22"/>
  </w:num>
  <w:num w:numId="21">
    <w:abstractNumId w:val="17"/>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D"/>
    <w:rsid w:val="00010803"/>
    <w:rsid w:val="00012C8F"/>
    <w:rsid w:val="00014214"/>
    <w:rsid w:val="00014CBD"/>
    <w:rsid w:val="000210A4"/>
    <w:rsid w:val="00025B9F"/>
    <w:rsid w:val="00027DC7"/>
    <w:rsid w:val="000329C5"/>
    <w:rsid w:val="00035849"/>
    <w:rsid w:val="00036189"/>
    <w:rsid w:val="000361D1"/>
    <w:rsid w:val="00043349"/>
    <w:rsid w:val="00045E59"/>
    <w:rsid w:val="000513F9"/>
    <w:rsid w:val="0006392C"/>
    <w:rsid w:val="00063F16"/>
    <w:rsid w:val="000643BF"/>
    <w:rsid w:val="00071868"/>
    <w:rsid w:val="00073AE6"/>
    <w:rsid w:val="00073D68"/>
    <w:rsid w:val="00073FDC"/>
    <w:rsid w:val="00074051"/>
    <w:rsid w:val="0007516F"/>
    <w:rsid w:val="00081E5A"/>
    <w:rsid w:val="00085A84"/>
    <w:rsid w:val="00090485"/>
    <w:rsid w:val="00096097"/>
    <w:rsid w:val="000A0B2D"/>
    <w:rsid w:val="000A323C"/>
    <w:rsid w:val="000A3712"/>
    <w:rsid w:val="000A6F66"/>
    <w:rsid w:val="000B1F8D"/>
    <w:rsid w:val="000B5B47"/>
    <w:rsid w:val="000B730A"/>
    <w:rsid w:val="000C1930"/>
    <w:rsid w:val="000C769A"/>
    <w:rsid w:val="000C7C30"/>
    <w:rsid w:val="000D16F7"/>
    <w:rsid w:val="000E23BC"/>
    <w:rsid w:val="000E5B5F"/>
    <w:rsid w:val="000F1228"/>
    <w:rsid w:val="000F1C2E"/>
    <w:rsid w:val="000F39D5"/>
    <w:rsid w:val="000F6BD9"/>
    <w:rsid w:val="00100237"/>
    <w:rsid w:val="00111FAD"/>
    <w:rsid w:val="00114DF8"/>
    <w:rsid w:val="00115AAE"/>
    <w:rsid w:val="00116845"/>
    <w:rsid w:val="001300EC"/>
    <w:rsid w:val="00131C86"/>
    <w:rsid w:val="00132065"/>
    <w:rsid w:val="00132969"/>
    <w:rsid w:val="00134D70"/>
    <w:rsid w:val="00141AB6"/>
    <w:rsid w:val="00144DFF"/>
    <w:rsid w:val="00147BBF"/>
    <w:rsid w:val="00151204"/>
    <w:rsid w:val="001514C4"/>
    <w:rsid w:val="001533BD"/>
    <w:rsid w:val="0015481B"/>
    <w:rsid w:val="0016268B"/>
    <w:rsid w:val="00164273"/>
    <w:rsid w:val="0016521D"/>
    <w:rsid w:val="00170B12"/>
    <w:rsid w:val="0017130D"/>
    <w:rsid w:val="001713D7"/>
    <w:rsid w:val="00173CDC"/>
    <w:rsid w:val="0017625B"/>
    <w:rsid w:val="00177153"/>
    <w:rsid w:val="00182405"/>
    <w:rsid w:val="001832C4"/>
    <w:rsid w:val="00186062"/>
    <w:rsid w:val="001A3B4C"/>
    <w:rsid w:val="001A3BDC"/>
    <w:rsid w:val="001B242E"/>
    <w:rsid w:val="001B2C65"/>
    <w:rsid w:val="001B38AB"/>
    <w:rsid w:val="001B416E"/>
    <w:rsid w:val="001B5B28"/>
    <w:rsid w:val="001C0D11"/>
    <w:rsid w:val="001C5BA9"/>
    <w:rsid w:val="001D1723"/>
    <w:rsid w:val="001D2F39"/>
    <w:rsid w:val="001D438D"/>
    <w:rsid w:val="001D589E"/>
    <w:rsid w:val="001D7C40"/>
    <w:rsid w:val="001E3480"/>
    <w:rsid w:val="001E6383"/>
    <w:rsid w:val="001E69F6"/>
    <w:rsid w:val="001F14DF"/>
    <w:rsid w:val="00207E28"/>
    <w:rsid w:val="00213D73"/>
    <w:rsid w:val="002156EF"/>
    <w:rsid w:val="00215D7E"/>
    <w:rsid w:val="00225611"/>
    <w:rsid w:val="00233D9D"/>
    <w:rsid w:val="0023672B"/>
    <w:rsid w:val="00241490"/>
    <w:rsid w:val="0025138C"/>
    <w:rsid w:val="002528A7"/>
    <w:rsid w:val="002567B7"/>
    <w:rsid w:val="00257F48"/>
    <w:rsid w:val="00271BF3"/>
    <w:rsid w:val="002723B7"/>
    <w:rsid w:val="00276396"/>
    <w:rsid w:val="00276832"/>
    <w:rsid w:val="00277882"/>
    <w:rsid w:val="0028229D"/>
    <w:rsid w:val="00283F26"/>
    <w:rsid w:val="002918CF"/>
    <w:rsid w:val="00297162"/>
    <w:rsid w:val="002B0286"/>
    <w:rsid w:val="002B0990"/>
    <w:rsid w:val="002B54AF"/>
    <w:rsid w:val="002C1D5A"/>
    <w:rsid w:val="002D19D9"/>
    <w:rsid w:val="002D39BB"/>
    <w:rsid w:val="002E5369"/>
    <w:rsid w:val="002E764A"/>
    <w:rsid w:val="002F0035"/>
    <w:rsid w:val="002F2509"/>
    <w:rsid w:val="002F26EE"/>
    <w:rsid w:val="002F563E"/>
    <w:rsid w:val="002F7BA5"/>
    <w:rsid w:val="00301DD1"/>
    <w:rsid w:val="00303BB0"/>
    <w:rsid w:val="003063CD"/>
    <w:rsid w:val="003068CF"/>
    <w:rsid w:val="00306A4E"/>
    <w:rsid w:val="0030758C"/>
    <w:rsid w:val="00310332"/>
    <w:rsid w:val="00315706"/>
    <w:rsid w:val="003209CC"/>
    <w:rsid w:val="00320A4C"/>
    <w:rsid w:val="0032127B"/>
    <w:rsid w:val="003226C2"/>
    <w:rsid w:val="003318D7"/>
    <w:rsid w:val="003331EE"/>
    <w:rsid w:val="003429A8"/>
    <w:rsid w:val="00343951"/>
    <w:rsid w:val="003440E9"/>
    <w:rsid w:val="0034489A"/>
    <w:rsid w:val="003530F6"/>
    <w:rsid w:val="003531C5"/>
    <w:rsid w:val="00353A27"/>
    <w:rsid w:val="00354C78"/>
    <w:rsid w:val="00355C18"/>
    <w:rsid w:val="00355DCB"/>
    <w:rsid w:val="00357D0B"/>
    <w:rsid w:val="00357F25"/>
    <w:rsid w:val="00366002"/>
    <w:rsid w:val="00366266"/>
    <w:rsid w:val="00367E05"/>
    <w:rsid w:val="00372CAA"/>
    <w:rsid w:val="0037491F"/>
    <w:rsid w:val="00375087"/>
    <w:rsid w:val="00376BA1"/>
    <w:rsid w:val="00377473"/>
    <w:rsid w:val="00380E1D"/>
    <w:rsid w:val="0038168B"/>
    <w:rsid w:val="00383AFF"/>
    <w:rsid w:val="00387F7F"/>
    <w:rsid w:val="00390A1B"/>
    <w:rsid w:val="00395FDE"/>
    <w:rsid w:val="003A0432"/>
    <w:rsid w:val="003A19DB"/>
    <w:rsid w:val="003A3695"/>
    <w:rsid w:val="003A7794"/>
    <w:rsid w:val="003A7F42"/>
    <w:rsid w:val="003B0EC2"/>
    <w:rsid w:val="003B0F90"/>
    <w:rsid w:val="003B2149"/>
    <w:rsid w:val="003B2FED"/>
    <w:rsid w:val="003B5652"/>
    <w:rsid w:val="003C3CD0"/>
    <w:rsid w:val="003C6613"/>
    <w:rsid w:val="003C6619"/>
    <w:rsid w:val="003D1498"/>
    <w:rsid w:val="003D300D"/>
    <w:rsid w:val="003E33FF"/>
    <w:rsid w:val="003F0341"/>
    <w:rsid w:val="003F3EE4"/>
    <w:rsid w:val="003F4E54"/>
    <w:rsid w:val="00403B1D"/>
    <w:rsid w:val="00405616"/>
    <w:rsid w:val="004072C0"/>
    <w:rsid w:val="004104C9"/>
    <w:rsid w:val="004119C9"/>
    <w:rsid w:val="0041695C"/>
    <w:rsid w:val="00421534"/>
    <w:rsid w:val="00427B5B"/>
    <w:rsid w:val="0043029F"/>
    <w:rsid w:val="00431BDA"/>
    <w:rsid w:val="004330C0"/>
    <w:rsid w:val="00435129"/>
    <w:rsid w:val="00441195"/>
    <w:rsid w:val="00444988"/>
    <w:rsid w:val="00445BBB"/>
    <w:rsid w:val="00450FAC"/>
    <w:rsid w:val="0045116D"/>
    <w:rsid w:val="004516A9"/>
    <w:rsid w:val="004558DF"/>
    <w:rsid w:val="00460199"/>
    <w:rsid w:val="00460704"/>
    <w:rsid w:val="00462091"/>
    <w:rsid w:val="00463456"/>
    <w:rsid w:val="004675FB"/>
    <w:rsid w:val="0047214A"/>
    <w:rsid w:val="00484DA2"/>
    <w:rsid w:val="00485A8E"/>
    <w:rsid w:val="00490716"/>
    <w:rsid w:val="00492E6D"/>
    <w:rsid w:val="004932B1"/>
    <w:rsid w:val="00493578"/>
    <w:rsid w:val="004A210F"/>
    <w:rsid w:val="004A7908"/>
    <w:rsid w:val="004B094C"/>
    <w:rsid w:val="004B1284"/>
    <w:rsid w:val="004B2820"/>
    <w:rsid w:val="004B5808"/>
    <w:rsid w:val="004C4D33"/>
    <w:rsid w:val="004D23D0"/>
    <w:rsid w:val="004D2F9C"/>
    <w:rsid w:val="004E6277"/>
    <w:rsid w:val="004E6817"/>
    <w:rsid w:val="004E78D5"/>
    <w:rsid w:val="004F5BBE"/>
    <w:rsid w:val="004F7BC8"/>
    <w:rsid w:val="00502887"/>
    <w:rsid w:val="0050579A"/>
    <w:rsid w:val="00513F74"/>
    <w:rsid w:val="00514979"/>
    <w:rsid w:val="005164BE"/>
    <w:rsid w:val="00516642"/>
    <w:rsid w:val="0052047B"/>
    <w:rsid w:val="005258F9"/>
    <w:rsid w:val="00530C03"/>
    <w:rsid w:val="0053559D"/>
    <w:rsid w:val="00541993"/>
    <w:rsid w:val="00543157"/>
    <w:rsid w:val="005534DE"/>
    <w:rsid w:val="005546D0"/>
    <w:rsid w:val="005565C9"/>
    <w:rsid w:val="00561344"/>
    <w:rsid w:val="005655CA"/>
    <w:rsid w:val="00566990"/>
    <w:rsid w:val="00571431"/>
    <w:rsid w:val="0057398F"/>
    <w:rsid w:val="00574D0C"/>
    <w:rsid w:val="0058494F"/>
    <w:rsid w:val="00586F7F"/>
    <w:rsid w:val="00587B9F"/>
    <w:rsid w:val="00594E65"/>
    <w:rsid w:val="005A28A3"/>
    <w:rsid w:val="005A4851"/>
    <w:rsid w:val="005A4D8A"/>
    <w:rsid w:val="005B0072"/>
    <w:rsid w:val="005B27EB"/>
    <w:rsid w:val="005B481F"/>
    <w:rsid w:val="005B69E2"/>
    <w:rsid w:val="005B6F98"/>
    <w:rsid w:val="005B76AF"/>
    <w:rsid w:val="005C5839"/>
    <w:rsid w:val="005C7178"/>
    <w:rsid w:val="005C745E"/>
    <w:rsid w:val="005D1C88"/>
    <w:rsid w:val="005D1F28"/>
    <w:rsid w:val="005D2132"/>
    <w:rsid w:val="005E3CEF"/>
    <w:rsid w:val="005E4879"/>
    <w:rsid w:val="005E604E"/>
    <w:rsid w:val="005E6C13"/>
    <w:rsid w:val="005F08BB"/>
    <w:rsid w:val="005F27D7"/>
    <w:rsid w:val="005F57EF"/>
    <w:rsid w:val="005F5B9C"/>
    <w:rsid w:val="005F7505"/>
    <w:rsid w:val="0060149F"/>
    <w:rsid w:val="00607358"/>
    <w:rsid w:val="0060771E"/>
    <w:rsid w:val="0060788A"/>
    <w:rsid w:val="006118F1"/>
    <w:rsid w:val="006123B4"/>
    <w:rsid w:val="006166A9"/>
    <w:rsid w:val="00625567"/>
    <w:rsid w:val="00631B09"/>
    <w:rsid w:val="006362A0"/>
    <w:rsid w:val="0064145C"/>
    <w:rsid w:val="006427D1"/>
    <w:rsid w:val="006562A2"/>
    <w:rsid w:val="00656D94"/>
    <w:rsid w:val="00661CA6"/>
    <w:rsid w:val="006621BB"/>
    <w:rsid w:val="00663613"/>
    <w:rsid w:val="00670051"/>
    <w:rsid w:val="0067129E"/>
    <w:rsid w:val="00671EC0"/>
    <w:rsid w:val="00672937"/>
    <w:rsid w:val="0067449D"/>
    <w:rsid w:val="00683867"/>
    <w:rsid w:val="006853B7"/>
    <w:rsid w:val="00685963"/>
    <w:rsid w:val="00691D24"/>
    <w:rsid w:val="00695731"/>
    <w:rsid w:val="00696524"/>
    <w:rsid w:val="00697DBC"/>
    <w:rsid w:val="006A24F0"/>
    <w:rsid w:val="006A349C"/>
    <w:rsid w:val="006A5B24"/>
    <w:rsid w:val="006B2FCC"/>
    <w:rsid w:val="006B5E28"/>
    <w:rsid w:val="006C3B27"/>
    <w:rsid w:val="006C4FFA"/>
    <w:rsid w:val="006C642A"/>
    <w:rsid w:val="006C6FFD"/>
    <w:rsid w:val="006D255C"/>
    <w:rsid w:val="006D2758"/>
    <w:rsid w:val="006D33DA"/>
    <w:rsid w:val="006E6042"/>
    <w:rsid w:val="006E7A15"/>
    <w:rsid w:val="006F3FBA"/>
    <w:rsid w:val="006F5218"/>
    <w:rsid w:val="006F6C16"/>
    <w:rsid w:val="006F7430"/>
    <w:rsid w:val="0070496C"/>
    <w:rsid w:val="00704C74"/>
    <w:rsid w:val="00705025"/>
    <w:rsid w:val="0071014B"/>
    <w:rsid w:val="00714D63"/>
    <w:rsid w:val="00720C79"/>
    <w:rsid w:val="00722F74"/>
    <w:rsid w:val="00725F29"/>
    <w:rsid w:val="00726A81"/>
    <w:rsid w:val="00730B3B"/>
    <w:rsid w:val="00736203"/>
    <w:rsid w:val="00741258"/>
    <w:rsid w:val="0074727A"/>
    <w:rsid w:val="007473E4"/>
    <w:rsid w:val="00747F08"/>
    <w:rsid w:val="0075410E"/>
    <w:rsid w:val="007702F9"/>
    <w:rsid w:val="0077032D"/>
    <w:rsid w:val="00772B0C"/>
    <w:rsid w:val="00774FBB"/>
    <w:rsid w:val="007768D5"/>
    <w:rsid w:val="00781CCD"/>
    <w:rsid w:val="00781EDD"/>
    <w:rsid w:val="00783C33"/>
    <w:rsid w:val="00784923"/>
    <w:rsid w:val="0079038B"/>
    <w:rsid w:val="00792799"/>
    <w:rsid w:val="007967EA"/>
    <w:rsid w:val="00797635"/>
    <w:rsid w:val="00797A46"/>
    <w:rsid w:val="00797E29"/>
    <w:rsid w:val="007A1CF1"/>
    <w:rsid w:val="007B0474"/>
    <w:rsid w:val="007B1553"/>
    <w:rsid w:val="007C58F0"/>
    <w:rsid w:val="007C6122"/>
    <w:rsid w:val="007D095F"/>
    <w:rsid w:val="007D1A5D"/>
    <w:rsid w:val="007D21B9"/>
    <w:rsid w:val="007D23C2"/>
    <w:rsid w:val="007D3342"/>
    <w:rsid w:val="007D518A"/>
    <w:rsid w:val="007E2883"/>
    <w:rsid w:val="007F242C"/>
    <w:rsid w:val="007F34DC"/>
    <w:rsid w:val="007F4103"/>
    <w:rsid w:val="007F5994"/>
    <w:rsid w:val="00800A9C"/>
    <w:rsid w:val="0080789C"/>
    <w:rsid w:val="008122E9"/>
    <w:rsid w:val="0082093D"/>
    <w:rsid w:val="00833D69"/>
    <w:rsid w:val="00833E96"/>
    <w:rsid w:val="00836ED4"/>
    <w:rsid w:val="00842C6A"/>
    <w:rsid w:val="00842C91"/>
    <w:rsid w:val="00850393"/>
    <w:rsid w:val="008509FE"/>
    <w:rsid w:val="00854681"/>
    <w:rsid w:val="00855771"/>
    <w:rsid w:val="008562A4"/>
    <w:rsid w:val="008605DF"/>
    <w:rsid w:val="00864E37"/>
    <w:rsid w:val="00872F17"/>
    <w:rsid w:val="00873093"/>
    <w:rsid w:val="008733E5"/>
    <w:rsid w:val="00883880"/>
    <w:rsid w:val="00883CFE"/>
    <w:rsid w:val="008841CD"/>
    <w:rsid w:val="00884A30"/>
    <w:rsid w:val="0089255D"/>
    <w:rsid w:val="00893642"/>
    <w:rsid w:val="008A3D34"/>
    <w:rsid w:val="008A79C4"/>
    <w:rsid w:val="008B4120"/>
    <w:rsid w:val="008B5E8A"/>
    <w:rsid w:val="008B60AC"/>
    <w:rsid w:val="008C0299"/>
    <w:rsid w:val="008C0DF3"/>
    <w:rsid w:val="008C3085"/>
    <w:rsid w:val="008C700C"/>
    <w:rsid w:val="008C741C"/>
    <w:rsid w:val="008D27BF"/>
    <w:rsid w:val="008D559F"/>
    <w:rsid w:val="008D59F2"/>
    <w:rsid w:val="008D7EEE"/>
    <w:rsid w:val="008E0285"/>
    <w:rsid w:val="008E4A71"/>
    <w:rsid w:val="008F0020"/>
    <w:rsid w:val="008F05AC"/>
    <w:rsid w:val="008F104D"/>
    <w:rsid w:val="008F1B47"/>
    <w:rsid w:val="008F2333"/>
    <w:rsid w:val="008F456E"/>
    <w:rsid w:val="008F475A"/>
    <w:rsid w:val="008F4C64"/>
    <w:rsid w:val="008F5BC7"/>
    <w:rsid w:val="008F6AF9"/>
    <w:rsid w:val="008F7E54"/>
    <w:rsid w:val="0090155F"/>
    <w:rsid w:val="009026A6"/>
    <w:rsid w:val="00916CA6"/>
    <w:rsid w:val="00922D97"/>
    <w:rsid w:val="0092326B"/>
    <w:rsid w:val="00925922"/>
    <w:rsid w:val="00925C91"/>
    <w:rsid w:val="009267B0"/>
    <w:rsid w:val="00930F14"/>
    <w:rsid w:val="00931A91"/>
    <w:rsid w:val="0093225B"/>
    <w:rsid w:val="00932E50"/>
    <w:rsid w:val="0093717C"/>
    <w:rsid w:val="009413B7"/>
    <w:rsid w:val="00945E3F"/>
    <w:rsid w:val="0095651F"/>
    <w:rsid w:val="00956F65"/>
    <w:rsid w:val="00964126"/>
    <w:rsid w:val="00967C72"/>
    <w:rsid w:val="00974F3D"/>
    <w:rsid w:val="00980D64"/>
    <w:rsid w:val="00980DF7"/>
    <w:rsid w:val="0098193D"/>
    <w:rsid w:val="0098200C"/>
    <w:rsid w:val="009828CD"/>
    <w:rsid w:val="0098358E"/>
    <w:rsid w:val="00984E9B"/>
    <w:rsid w:val="00991912"/>
    <w:rsid w:val="00992573"/>
    <w:rsid w:val="00994D0D"/>
    <w:rsid w:val="00995076"/>
    <w:rsid w:val="00995FA4"/>
    <w:rsid w:val="00996E10"/>
    <w:rsid w:val="009A25A0"/>
    <w:rsid w:val="009A3105"/>
    <w:rsid w:val="009A37E1"/>
    <w:rsid w:val="009A4338"/>
    <w:rsid w:val="009A4C0C"/>
    <w:rsid w:val="009A5E68"/>
    <w:rsid w:val="009A6FA1"/>
    <w:rsid w:val="009B363A"/>
    <w:rsid w:val="009C1B18"/>
    <w:rsid w:val="009D06FF"/>
    <w:rsid w:val="009D1008"/>
    <w:rsid w:val="009D210A"/>
    <w:rsid w:val="009D2151"/>
    <w:rsid w:val="009D398F"/>
    <w:rsid w:val="009D7A50"/>
    <w:rsid w:val="009E0221"/>
    <w:rsid w:val="009E0751"/>
    <w:rsid w:val="009E24C7"/>
    <w:rsid w:val="009E58CF"/>
    <w:rsid w:val="009E5B62"/>
    <w:rsid w:val="009E672D"/>
    <w:rsid w:val="009E6EA3"/>
    <w:rsid w:val="009F2817"/>
    <w:rsid w:val="009F2BBE"/>
    <w:rsid w:val="009F62A4"/>
    <w:rsid w:val="009F7290"/>
    <w:rsid w:val="00A03195"/>
    <w:rsid w:val="00A031AF"/>
    <w:rsid w:val="00A052D9"/>
    <w:rsid w:val="00A057A3"/>
    <w:rsid w:val="00A12D40"/>
    <w:rsid w:val="00A13E9D"/>
    <w:rsid w:val="00A14E14"/>
    <w:rsid w:val="00A16C4F"/>
    <w:rsid w:val="00A17E10"/>
    <w:rsid w:val="00A2170A"/>
    <w:rsid w:val="00A24A71"/>
    <w:rsid w:val="00A43158"/>
    <w:rsid w:val="00A43ACC"/>
    <w:rsid w:val="00A441DC"/>
    <w:rsid w:val="00A45814"/>
    <w:rsid w:val="00A459E1"/>
    <w:rsid w:val="00A512BC"/>
    <w:rsid w:val="00A51C39"/>
    <w:rsid w:val="00A535F1"/>
    <w:rsid w:val="00A5650D"/>
    <w:rsid w:val="00A56D10"/>
    <w:rsid w:val="00A60C8E"/>
    <w:rsid w:val="00A62380"/>
    <w:rsid w:val="00A66969"/>
    <w:rsid w:val="00A764DA"/>
    <w:rsid w:val="00A76BB0"/>
    <w:rsid w:val="00A85305"/>
    <w:rsid w:val="00A931C9"/>
    <w:rsid w:val="00A97B09"/>
    <w:rsid w:val="00AA639B"/>
    <w:rsid w:val="00AB1404"/>
    <w:rsid w:val="00AB15A1"/>
    <w:rsid w:val="00AB1791"/>
    <w:rsid w:val="00AB2FDD"/>
    <w:rsid w:val="00AB3D3E"/>
    <w:rsid w:val="00AB40F4"/>
    <w:rsid w:val="00AC07F3"/>
    <w:rsid w:val="00AC13DE"/>
    <w:rsid w:val="00AC2DF7"/>
    <w:rsid w:val="00AC3672"/>
    <w:rsid w:val="00AC751D"/>
    <w:rsid w:val="00AD0D8E"/>
    <w:rsid w:val="00AD6473"/>
    <w:rsid w:val="00AE1C1E"/>
    <w:rsid w:val="00AE781E"/>
    <w:rsid w:val="00AF05D7"/>
    <w:rsid w:val="00AF138D"/>
    <w:rsid w:val="00AF7B6D"/>
    <w:rsid w:val="00B02ACD"/>
    <w:rsid w:val="00B03A9A"/>
    <w:rsid w:val="00B04ED9"/>
    <w:rsid w:val="00B04FCE"/>
    <w:rsid w:val="00B21A61"/>
    <w:rsid w:val="00B336EB"/>
    <w:rsid w:val="00B33F8C"/>
    <w:rsid w:val="00B374D4"/>
    <w:rsid w:val="00B40B62"/>
    <w:rsid w:val="00B442FF"/>
    <w:rsid w:val="00B5198C"/>
    <w:rsid w:val="00B51D6E"/>
    <w:rsid w:val="00B5683A"/>
    <w:rsid w:val="00B60E58"/>
    <w:rsid w:val="00B61B01"/>
    <w:rsid w:val="00B61DA8"/>
    <w:rsid w:val="00B645C0"/>
    <w:rsid w:val="00B66A29"/>
    <w:rsid w:val="00B66B76"/>
    <w:rsid w:val="00B710CC"/>
    <w:rsid w:val="00B86B85"/>
    <w:rsid w:val="00B87187"/>
    <w:rsid w:val="00B942F1"/>
    <w:rsid w:val="00B9593A"/>
    <w:rsid w:val="00BA0C05"/>
    <w:rsid w:val="00BA2137"/>
    <w:rsid w:val="00BA6CFD"/>
    <w:rsid w:val="00BB2B2D"/>
    <w:rsid w:val="00BB5D8A"/>
    <w:rsid w:val="00BB7DA6"/>
    <w:rsid w:val="00BC2864"/>
    <w:rsid w:val="00BC2C0A"/>
    <w:rsid w:val="00BC61CC"/>
    <w:rsid w:val="00BC6230"/>
    <w:rsid w:val="00BD2773"/>
    <w:rsid w:val="00BD4915"/>
    <w:rsid w:val="00BE356E"/>
    <w:rsid w:val="00BF0165"/>
    <w:rsid w:val="00BF1945"/>
    <w:rsid w:val="00BF2AE9"/>
    <w:rsid w:val="00BF510C"/>
    <w:rsid w:val="00BF619E"/>
    <w:rsid w:val="00C010A7"/>
    <w:rsid w:val="00C02D4E"/>
    <w:rsid w:val="00C04AA7"/>
    <w:rsid w:val="00C04CE2"/>
    <w:rsid w:val="00C0550F"/>
    <w:rsid w:val="00C05632"/>
    <w:rsid w:val="00C11E22"/>
    <w:rsid w:val="00C1296C"/>
    <w:rsid w:val="00C13F91"/>
    <w:rsid w:val="00C142E5"/>
    <w:rsid w:val="00C22EC2"/>
    <w:rsid w:val="00C27DAB"/>
    <w:rsid w:val="00C34BD8"/>
    <w:rsid w:val="00C37AF4"/>
    <w:rsid w:val="00C427E1"/>
    <w:rsid w:val="00C52D78"/>
    <w:rsid w:val="00C53ED3"/>
    <w:rsid w:val="00C60EDE"/>
    <w:rsid w:val="00C6497E"/>
    <w:rsid w:val="00C65771"/>
    <w:rsid w:val="00C65999"/>
    <w:rsid w:val="00C66B8D"/>
    <w:rsid w:val="00C67E62"/>
    <w:rsid w:val="00C82BD6"/>
    <w:rsid w:val="00C82FC4"/>
    <w:rsid w:val="00C837CC"/>
    <w:rsid w:val="00C85806"/>
    <w:rsid w:val="00C86C3D"/>
    <w:rsid w:val="00C93860"/>
    <w:rsid w:val="00CA0431"/>
    <w:rsid w:val="00CA2D50"/>
    <w:rsid w:val="00CA7E08"/>
    <w:rsid w:val="00CD1F81"/>
    <w:rsid w:val="00CD2542"/>
    <w:rsid w:val="00CD5D1A"/>
    <w:rsid w:val="00CD7B4B"/>
    <w:rsid w:val="00CE0BED"/>
    <w:rsid w:val="00CE12CE"/>
    <w:rsid w:val="00CF5DF0"/>
    <w:rsid w:val="00CF5E82"/>
    <w:rsid w:val="00CF621A"/>
    <w:rsid w:val="00CF62F9"/>
    <w:rsid w:val="00CF634D"/>
    <w:rsid w:val="00CF7FBC"/>
    <w:rsid w:val="00D015F1"/>
    <w:rsid w:val="00D02EA8"/>
    <w:rsid w:val="00D03981"/>
    <w:rsid w:val="00D12193"/>
    <w:rsid w:val="00D154A5"/>
    <w:rsid w:val="00D21591"/>
    <w:rsid w:val="00D301DF"/>
    <w:rsid w:val="00D32928"/>
    <w:rsid w:val="00D41197"/>
    <w:rsid w:val="00D4124D"/>
    <w:rsid w:val="00D4137E"/>
    <w:rsid w:val="00D446C4"/>
    <w:rsid w:val="00D452C7"/>
    <w:rsid w:val="00D53875"/>
    <w:rsid w:val="00D57641"/>
    <w:rsid w:val="00D639D3"/>
    <w:rsid w:val="00D67C3F"/>
    <w:rsid w:val="00D717EC"/>
    <w:rsid w:val="00D73C29"/>
    <w:rsid w:val="00D808E5"/>
    <w:rsid w:val="00D820AA"/>
    <w:rsid w:val="00D840B2"/>
    <w:rsid w:val="00D912A3"/>
    <w:rsid w:val="00D942A0"/>
    <w:rsid w:val="00D95D46"/>
    <w:rsid w:val="00D976B6"/>
    <w:rsid w:val="00D97CB1"/>
    <w:rsid w:val="00DA1D34"/>
    <w:rsid w:val="00DA2A36"/>
    <w:rsid w:val="00DA2D15"/>
    <w:rsid w:val="00DB1B98"/>
    <w:rsid w:val="00DB4889"/>
    <w:rsid w:val="00DB5F77"/>
    <w:rsid w:val="00DD1F16"/>
    <w:rsid w:val="00DD3A96"/>
    <w:rsid w:val="00DD6425"/>
    <w:rsid w:val="00DE6EE7"/>
    <w:rsid w:val="00DE7A0A"/>
    <w:rsid w:val="00DF368D"/>
    <w:rsid w:val="00DF69C6"/>
    <w:rsid w:val="00DF7DD1"/>
    <w:rsid w:val="00E00BA1"/>
    <w:rsid w:val="00E0222C"/>
    <w:rsid w:val="00E05231"/>
    <w:rsid w:val="00E0791E"/>
    <w:rsid w:val="00E1052E"/>
    <w:rsid w:val="00E11917"/>
    <w:rsid w:val="00E11ED7"/>
    <w:rsid w:val="00E13660"/>
    <w:rsid w:val="00E14D3B"/>
    <w:rsid w:val="00E160E3"/>
    <w:rsid w:val="00E17BBB"/>
    <w:rsid w:val="00E2063A"/>
    <w:rsid w:val="00E21065"/>
    <w:rsid w:val="00E31D8C"/>
    <w:rsid w:val="00E31E15"/>
    <w:rsid w:val="00E32F80"/>
    <w:rsid w:val="00E34645"/>
    <w:rsid w:val="00E347A7"/>
    <w:rsid w:val="00E36C4D"/>
    <w:rsid w:val="00E56C4A"/>
    <w:rsid w:val="00E56E19"/>
    <w:rsid w:val="00E57325"/>
    <w:rsid w:val="00E60C9D"/>
    <w:rsid w:val="00E64708"/>
    <w:rsid w:val="00E663A1"/>
    <w:rsid w:val="00E739A4"/>
    <w:rsid w:val="00E74471"/>
    <w:rsid w:val="00E77386"/>
    <w:rsid w:val="00E80A96"/>
    <w:rsid w:val="00E822EC"/>
    <w:rsid w:val="00E8295B"/>
    <w:rsid w:val="00E847FE"/>
    <w:rsid w:val="00E85A1E"/>
    <w:rsid w:val="00E9058F"/>
    <w:rsid w:val="00E91E99"/>
    <w:rsid w:val="00E97122"/>
    <w:rsid w:val="00EA0DED"/>
    <w:rsid w:val="00EA1981"/>
    <w:rsid w:val="00EA2323"/>
    <w:rsid w:val="00EA3009"/>
    <w:rsid w:val="00EA4D9C"/>
    <w:rsid w:val="00EB074E"/>
    <w:rsid w:val="00EB0DB4"/>
    <w:rsid w:val="00EB1022"/>
    <w:rsid w:val="00EB13FA"/>
    <w:rsid w:val="00EB385A"/>
    <w:rsid w:val="00EB6563"/>
    <w:rsid w:val="00EB783B"/>
    <w:rsid w:val="00EC1520"/>
    <w:rsid w:val="00EC4BD9"/>
    <w:rsid w:val="00ED7534"/>
    <w:rsid w:val="00EE03E3"/>
    <w:rsid w:val="00EE2BC0"/>
    <w:rsid w:val="00EE6951"/>
    <w:rsid w:val="00EF258F"/>
    <w:rsid w:val="00F027A3"/>
    <w:rsid w:val="00F107BE"/>
    <w:rsid w:val="00F17959"/>
    <w:rsid w:val="00F17D48"/>
    <w:rsid w:val="00F23E7C"/>
    <w:rsid w:val="00F25D08"/>
    <w:rsid w:val="00F30921"/>
    <w:rsid w:val="00F311F0"/>
    <w:rsid w:val="00F32F8A"/>
    <w:rsid w:val="00F33BE3"/>
    <w:rsid w:val="00F34074"/>
    <w:rsid w:val="00F35913"/>
    <w:rsid w:val="00F36EA1"/>
    <w:rsid w:val="00F37BE3"/>
    <w:rsid w:val="00F42050"/>
    <w:rsid w:val="00F43173"/>
    <w:rsid w:val="00F439F2"/>
    <w:rsid w:val="00F43ADE"/>
    <w:rsid w:val="00F43D69"/>
    <w:rsid w:val="00F44C2B"/>
    <w:rsid w:val="00F45E57"/>
    <w:rsid w:val="00F51DFE"/>
    <w:rsid w:val="00F57166"/>
    <w:rsid w:val="00F65441"/>
    <w:rsid w:val="00F80180"/>
    <w:rsid w:val="00F81F30"/>
    <w:rsid w:val="00F84B80"/>
    <w:rsid w:val="00F8647C"/>
    <w:rsid w:val="00F86AD4"/>
    <w:rsid w:val="00F94431"/>
    <w:rsid w:val="00FA132D"/>
    <w:rsid w:val="00FA4E45"/>
    <w:rsid w:val="00FA625F"/>
    <w:rsid w:val="00FA7EF4"/>
    <w:rsid w:val="00FB1C23"/>
    <w:rsid w:val="00FB1FA6"/>
    <w:rsid w:val="00FC0421"/>
    <w:rsid w:val="00FC160D"/>
    <w:rsid w:val="00FC4646"/>
    <w:rsid w:val="00FD423B"/>
    <w:rsid w:val="00FD456F"/>
    <w:rsid w:val="00FD6638"/>
    <w:rsid w:val="00FE0C68"/>
    <w:rsid w:val="00FE19B7"/>
    <w:rsid w:val="00FE598A"/>
    <w:rsid w:val="00FE682E"/>
    <w:rsid w:val="00FF6F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619F-4DF8-413A-A379-C458DA8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semiHidden/>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D3"/>
    <w:rPr>
      <w:sz w:val="20"/>
      <w:szCs w:val="20"/>
    </w:rPr>
  </w:style>
  <w:style w:type="character" w:styleId="FootnoteReference">
    <w:name w:val="footnote reference"/>
    <w:basedOn w:val="DefaultParagraphFont"/>
    <w:uiPriority w:val="99"/>
    <w:semiHidden/>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 w:type="paragraph" w:styleId="BodyTextIndent">
    <w:name w:val="Body Text Indent"/>
    <w:basedOn w:val="Normal"/>
    <w:link w:val="BodyTextIndentChar"/>
    <w:uiPriority w:val="99"/>
    <w:unhideWhenUsed/>
    <w:rsid w:val="00A24A71"/>
    <w:pPr>
      <w:spacing w:after="120"/>
      <w:ind w:left="360"/>
    </w:pPr>
  </w:style>
  <w:style w:type="character" w:customStyle="1" w:styleId="BodyTextIndentChar">
    <w:name w:val="Body Text Indent Char"/>
    <w:basedOn w:val="DefaultParagraphFont"/>
    <w:link w:val="BodyTextIndent"/>
    <w:uiPriority w:val="99"/>
    <w:rsid w:val="00A24A71"/>
  </w:style>
  <w:style w:type="character" w:styleId="CommentReference">
    <w:name w:val="annotation reference"/>
    <w:basedOn w:val="DefaultParagraphFont"/>
    <w:uiPriority w:val="99"/>
    <w:semiHidden/>
    <w:unhideWhenUsed/>
    <w:rsid w:val="001A3BDC"/>
    <w:rPr>
      <w:sz w:val="16"/>
      <w:szCs w:val="16"/>
    </w:rPr>
  </w:style>
  <w:style w:type="paragraph" w:styleId="CommentText">
    <w:name w:val="annotation text"/>
    <w:basedOn w:val="Normal"/>
    <w:link w:val="CommentTextChar"/>
    <w:uiPriority w:val="99"/>
    <w:semiHidden/>
    <w:unhideWhenUsed/>
    <w:rsid w:val="001A3BDC"/>
    <w:pPr>
      <w:spacing w:line="240" w:lineRule="auto"/>
    </w:pPr>
    <w:rPr>
      <w:sz w:val="20"/>
      <w:szCs w:val="20"/>
    </w:rPr>
  </w:style>
  <w:style w:type="character" w:customStyle="1" w:styleId="CommentTextChar">
    <w:name w:val="Comment Text Char"/>
    <w:basedOn w:val="DefaultParagraphFont"/>
    <w:link w:val="CommentText"/>
    <w:uiPriority w:val="99"/>
    <w:semiHidden/>
    <w:rsid w:val="001A3BDC"/>
    <w:rPr>
      <w:sz w:val="20"/>
      <w:szCs w:val="20"/>
    </w:rPr>
  </w:style>
  <w:style w:type="paragraph" w:styleId="CommentSubject">
    <w:name w:val="annotation subject"/>
    <w:basedOn w:val="CommentText"/>
    <w:next w:val="CommentText"/>
    <w:link w:val="CommentSubjectChar"/>
    <w:uiPriority w:val="99"/>
    <w:semiHidden/>
    <w:unhideWhenUsed/>
    <w:rsid w:val="001A3BDC"/>
    <w:rPr>
      <w:b/>
      <w:bCs/>
    </w:rPr>
  </w:style>
  <w:style w:type="character" w:customStyle="1" w:styleId="CommentSubjectChar">
    <w:name w:val="Comment Subject Char"/>
    <w:basedOn w:val="CommentTextChar"/>
    <w:link w:val="CommentSubject"/>
    <w:uiPriority w:val="99"/>
    <w:semiHidden/>
    <w:rsid w:val="001A3BDC"/>
    <w:rPr>
      <w:b/>
      <w:bCs/>
      <w:sz w:val="20"/>
      <w:szCs w:val="20"/>
    </w:rPr>
  </w:style>
  <w:style w:type="paragraph" w:styleId="Footer">
    <w:name w:val="footer"/>
    <w:basedOn w:val="Normal"/>
    <w:link w:val="FooterChar"/>
    <w:uiPriority w:val="99"/>
    <w:unhideWhenUsed/>
    <w:rsid w:val="0046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2017-04-11T18:30:00+00:00</Judgment_x0020_Date>
    <Year xmlns="c1afb1bd-f2fb-40fd-9abb-aea55b4d7662">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A521-10E1-4851-9479-52AF4CCDFF34}"/>
</file>

<file path=customXml/itemProps2.xml><?xml version="1.0" encoding="utf-8"?>
<ds:datastoreItem xmlns:ds="http://schemas.openxmlformats.org/officeDocument/2006/customXml" ds:itemID="{6A664BE5-A726-409D-8AEB-06C544C488F0}"/>
</file>

<file path=customXml/itemProps3.xml><?xml version="1.0" encoding="utf-8"?>
<ds:datastoreItem xmlns:ds="http://schemas.openxmlformats.org/officeDocument/2006/customXml" ds:itemID="{CC86C455-59C0-43AA-8825-71CFDF68E012}"/>
</file>

<file path=customXml/itemProps4.xml><?xml version="1.0" encoding="utf-8"?>
<ds:datastoreItem xmlns:ds="http://schemas.openxmlformats.org/officeDocument/2006/customXml" ds:itemID="{46A4881F-2B25-471B-A6DC-CDE47284FC14}"/>
</file>

<file path=docProps/app.xml><?xml version="1.0" encoding="utf-8"?>
<Properties xmlns="http://schemas.openxmlformats.org/officeDocument/2006/extended-properties" xmlns:vt="http://schemas.openxmlformats.org/officeDocument/2006/docPropsVTypes">
  <Template>Normal</Template>
  <TotalTime>1</TotalTime>
  <Pages>9</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Ambunda</cp:lastModifiedBy>
  <cp:revision>2</cp:revision>
  <cp:lastPrinted>2017-04-28T07:49:00Z</cp:lastPrinted>
  <dcterms:created xsi:type="dcterms:W3CDTF">2017-05-09T11:12:00Z</dcterms:created>
  <dcterms:modified xsi:type="dcterms:W3CDTF">2017-05-09T11:12:00Z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