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74" w:rsidRPr="00D46572" w:rsidRDefault="00920574" w:rsidP="00920574">
      <w:pPr>
        <w:jc w:val="center"/>
        <w:rPr>
          <w:rFonts w:cs="Arial"/>
          <w:b/>
        </w:rPr>
      </w:pPr>
      <w:r w:rsidRPr="00D46572">
        <w:rPr>
          <w:rFonts w:cs="Arial"/>
          <w:noProof/>
          <w:lang w:val="en-ZA" w:eastAsia="en-ZA"/>
        </w:rPr>
        <mc:AlternateContent>
          <mc:Choice Requires="wps">
            <w:drawing>
              <wp:anchor distT="0" distB="0" distL="114300" distR="114300" simplePos="0" relativeHeight="251659264" behindDoc="0" locked="0" layoutInCell="1" allowOverlap="1" wp14:anchorId="064F8C28" wp14:editId="34C089D0">
                <wp:simplePos x="0" y="0"/>
                <wp:positionH relativeFrom="column">
                  <wp:posOffset>3971925</wp:posOffset>
                </wp:positionH>
                <wp:positionV relativeFrom="paragraph">
                  <wp:posOffset>-9525</wp:posOffset>
                </wp:positionV>
                <wp:extent cx="1981200" cy="2571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57175"/>
                        </a:xfrm>
                        <a:prstGeom prst="rect">
                          <a:avLst/>
                        </a:prstGeom>
                        <a:solidFill>
                          <a:srgbClr val="FFFFFF"/>
                        </a:solidFill>
                        <a:ln w="9525">
                          <a:solidFill>
                            <a:srgbClr val="FFFFFF"/>
                          </a:solidFill>
                          <a:miter lim="800000"/>
                          <a:headEnd/>
                          <a:tailEnd/>
                        </a:ln>
                      </wps:spPr>
                      <wps:txbx>
                        <w:txbxContent>
                          <w:p w:rsidR="0008028A" w:rsidRPr="006A7A08" w:rsidRDefault="0008028A" w:rsidP="00F20678">
                            <w:pPr>
                              <w:ind w:left="1170"/>
                              <w:rPr>
                                <w:rFonts w:cs="Arial"/>
                              </w:rPr>
                            </w:pPr>
                            <w:r w:rsidRPr="006A7A08">
                              <w:rPr>
                                <w:rFonts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F8C28" id="_x0000_t202" coordsize="21600,21600" o:spt="202" path="m,l,21600r21600,l21600,xe">
                <v:stroke joinstyle="miter"/>
                <v:path gradientshapeok="t" o:connecttype="rect"/>
              </v:shapetype>
              <v:shape id="Text Box 3" o:spid="_x0000_s1026" type="#_x0000_t202" style="position:absolute;left:0;text-align:left;margin-left:312.75pt;margin-top:-.75pt;width:15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" strokecolor="white">
                <v:textbox>
                  <w:txbxContent>
                    <w:p w:rsidR="0008028A" w:rsidRPr="006A7A08" w:rsidRDefault="0008028A" w:rsidP="00F20678">
                      <w:pPr>
                        <w:ind w:left="1170"/>
                        <w:rPr>
                          <w:rFonts w:cs="Arial"/>
                        </w:rPr>
                      </w:pPr>
                      <w:r w:rsidRPr="006A7A08">
                        <w:rPr>
                          <w:rFonts w:cs="Arial"/>
                        </w:rPr>
                        <w:t>REPORTABLE</w:t>
                      </w:r>
                    </w:p>
                  </w:txbxContent>
                </v:textbox>
              </v:shape>
            </w:pict>
          </mc:Fallback>
        </mc:AlternateContent>
      </w:r>
      <w:r w:rsidRPr="00D46572">
        <w:rPr>
          <w:rFonts w:cs="Arial"/>
          <w:b/>
        </w:rPr>
        <w:t>REPUBLIC OF NAMIBIA</w:t>
      </w:r>
    </w:p>
    <w:p w:rsidR="00920574" w:rsidRPr="00D46572" w:rsidRDefault="00920574" w:rsidP="00920574">
      <w:pPr>
        <w:jc w:val="center"/>
        <w:rPr>
          <w:rFonts w:cs="Arial"/>
          <w:b/>
          <w:noProof/>
        </w:rPr>
      </w:pPr>
      <w:r w:rsidRPr="00D46572">
        <w:rPr>
          <w:rFonts w:cs="Arial"/>
          <w:b/>
          <w:noProof/>
          <w:lang w:val="en-ZA" w:eastAsia="en-ZA"/>
        </w:rPr>
        <w:drawing>
          <wp:inline distT="0" distB="0" distL="0" distR="0" wp14:anchorId="5973BBA4" wp14:editId="47F25C91">
            <wp:extent cx="1276350" cy="13239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20574" w:rsidRPr="00D46572" w:rsidRDefault="003A6BD7" w:rsidP="00920574">
      <w:pPr>
        <w:jc w:val="center"/>
        <w:rPr>
          <w:rFonts w:cs="Arial"/>
          <w:b/>
          <w:bCs/>
        </w:rPr>
      </w:pPr>
      <w:r>
        <w:rPr>
          <w:rFonts w:cs="Arial"/>
          <w:b/>
        </w:rPr>
        <w:t xml:space="preserve">HIGH </w:t>
      </w:r>
      <w:r w:rsidR="00920574" w:rsidRPr="00D46572">
        <w:rPr>
          <w:rFonts w:cs="Arial"/>
          <w:b/>
        </w:rPr>
        <w:t>COURT OF NAMIBIA MAIN DIVISION, WINDHOEK</w:t>
      </w:r>
    </w:p>
    <w:p w:rsidR="00920574" w:rsidRDefault="00920574" w:rsidP="00920574">
      <w:pPr>
        <w:jc w:val="center"/>
        <w:rPr>
          <w:rFonts w:cs="Arial"/>
          <w:b/>
        </w:rPr>
      </w:pPr>
      <w:r w:rsidRPr="00D46572">
        <w:rPr>
          <w:rFonts w:cs="Arial"/>
          <w:b/>
        </w:rPr>
        <w:t>JUDGMENT</w:t>
      </w:r>
    </w:p>
    <w:p w:rsidR="009465EC" w:rsidRPr="00D46572" w:rsidRDefault="009465EC" w:rsidP="00920574">
      <w:pPr>
        <w:jc w:val="center"/>
        <w:rPr>
          <w:rFonts w:cs="Arial"/>
          <w:b/>
        </w:rPr>
      </w:pPr>
    </w:p>
    <w:p w:rsidR="00234727" w:rsidRDefault="00234727" w:rsidP="00234727">
      <w:pPr>
        <w:jc w:val="right"/>
        <w:rPr>
          <w:b/>
        </w:rPr>
      </w:pPr>
      <w:r>
        <w:rPr>
          <w:b/>
        </w:rPr>
        <w:t xml:space="preserve">CASE NO: </w:t>
      </w:r>
      <w:r w:rsidR="00E34B0C">
        <w:rPr>
          <w:b/>
        </w:rPr>
        <w:t xml:space="preserve"> A 293/2014</w:t>
      </w:r>
    </w:p>
    <w:p w:rsidR="009465EC" w:rsidRDefault="009465EC" w:rsidP="00234727"/>
    <w:p w:rsidR="00234727" w:rsidRDefault="00234727" w:rsidP="00234727">
      <w:r>
        <w:t>In the matter between:</w:t>
      </w:r>
    </w:p>
    <w:p w:rsidR="009465EC" w:rsidRDefault="009465EC" w:rsidP="009465EC">
      <w:pPr>
        <w:rPr>
          <w:rFonts w:cs="Arial"/>
          <w:b/>
          <w:bCs/>
          <w:szCs w:val="24"/>
        </w:rPr>
      </w:pPr>
    </w:p>
    <w:p w:rsidR="009465EC" w:rsidRPr="00C83D9D" w:rsidRDefault="009465EC" w:rsidP="009465EC">
      <w:pPr>
        <w:tabs>
          <w:tab w:val="left" w:pos="7380"/>
        </w:tabs>
        <w:rPr>
          <w:rFonts w:cs="Arial"/>
          <w:b/>
          <w:bCs/>
          <w:szCs w:val="24"/>
        </w:rPr>
      </w:pPr>
      <w:r w:rsidRPr="00C83D9D">
        <w:rPr>
          <w:rFonts w:cs="Arial"/>
          <w:b/>
          <w:bCs/>
          <w:szCs w:val="24"/>
        </w:rPr>
        <w:t>IMMANUEL FILLEMON WISE</w:t>
      </w:r>
      <w:r>
        <w:rPr>
          <w:rFonts w:cs="Arial"/>
          <w:b/>
          <w:bCs/>
          <w:szCs w:val="24"/>
        </w:rPr>
        <w:tab/>
      </w:r>
      <w:r w:rsidRPr="00C83D9D">
        <w:rPr>
          <w:rFonts w:cs="Arial"/>
          <w:b/>
          <w:bCs/>
          <w:szCs w:val="24"/>
        </w:rPr>
        <w:t>APPLICANT</w:t>
      </w:r>
    </w:p>
    <w:p w:rsidR="009465EC" w:rsidRPr="00C83D9D" w:rsidRDefault="009465EC" w:rsidP="009465EC">
      <w:pPr>
        <w:rPr>
          <w:rFonts w:cs="Arial"/>
          <w:b/>
          <w:bCs/>
          <w:szCs w:val="24"/>
        </w:rPr>
      </w:pPr>
    </w:p>
    <w:p w:rsidR="009465EC" w:rsidRPr="00C83D9D" w:rsidRDefault="009465EC" w:rsidP="009465EC">
      <w:pPr>
        <w:rPr>
          <w:rFonts w:cs="Arial"/>
          <w:bCs/>
          <w:szCs w:val="24"/>
        </w:rPr>
      </w:pPr>
      <w:proofErr w:type="gramStart"/>
      <w:r w:rsidRPr="00C83D9D">
        <w:rPr>
          <w:rFonts w:cs="Arial"/>
          <w:bCs/>
          <w:szCs w:val="24"/>
        </w:rPr>
        <w:t>and</w:t>
      </w:r>
      <w:proofErr w:type="gramEnd"/>
    </w:p>
    <w:p w:rsidR="009465EC" w:rsidRPr="00C83D9D" w:rsidRDefault="009465EC" w:rsidP="009465EC">
      <w:pPr>
        <w:rPr>
          <w:rFonts w:cs="Arial"/>
          <w:b/>
          <w:bCs/>
          <w:szCs w:val="24"/>
        </w:rPr>
      </w:pPr>
    </w:p>
    <w:p w:rsidR="009465EC" w:rsidRPr="00C83D9D" w:rsidRDefault="009465EC" w:rsidP="009465EC">
      <w:pPr>
        <w:tabs>
          <w:tab w:val="left" w:pos="6300"/>
        </w:tabs>
        <w:rPr>
          <w:rFonts w:cs="Arial"/>
          <w:b/>
          <w:bCs/>
          <w:szCs w:val="24"/>
        </w:rPr>
      </w:pPr>
      <w:r w:rsidRPr="00C83D9D">
        <w:rPr>
          <w:rFonts w:cs="Arial"/>
          <w:b/>
          <w:bCs/>
          <w:szCs w:val="24"/>
        </w:rPr>
        <w:t>IMMANUEL SHIKUAMBI N.O.</w:t>
      </w:r>
      <w:r w:rsidRPr="00C83D9D">
        <w:rPr>
          <w:rFonts w:cs="Arial"/>
          <w:b/>
          <w:bCs/>
          <w:szCs w:val="24"/>
        </w:rPr>
        <w:tab/>
        <w:t>FIRST RESPONDENT</w:t>
      </w:r>
    </w:p>
    <w:p w:rsidR="009465EC" w:rsidRPr="00C83D9D" w:rsidRDefault="009465EC" w:rsidP="009465EC">
      <w:pPr>
        <w:tabs>
          <w:tab w:val="left" w:pos="6120"/>
        </w:tabs>
        <w:rPr>
          <w:rFonts w:cs="Arial"/>
          <w:b/>
          <w:bCs/>
          <w:szCs w:val="24"/>
        </w:rPr>
      </w:pPr>
      <w:r w:rsidRPr="00C83D9D">
        <w:rPr>
          <w:rFonts w:cs="Arial"/>
          <w:b/>
          <w:bCs/>
          <w:szCs w:val="24"/>
        </w:rPr>
        <w:t>HENRY POTE</w:t>
      </w:r>
      <w:r>
        <w:rPr>
          <w:rFonts w:cs="Arial"/>
          <w:b/>
          <w:bCs/>
          <w:szCs w:val="24"/>
        </w:rPr>
        <w:tab/>
      </w:r>
      <w:r w:rsidRPr="00C83D9D">
        <w:rPr>
          <w:rFonts w:cs="Arial"/>
          <w:b/>
          <w:bCs/>
          <w:szCs w:val="24"/>
        </w:rPr>
        <w:t>SECOND RESPONDENT</w:t>
      </w:r>
    </w:p>
    <w:p w:rsidR="009465EC" w:rsidRDefault="009465EC" w:rsidP="00920574">
      <w:pPr>
        <w:rPr>
          <w:rFonts w:cs="Arial"/>
          <w:b/>
        </w:rPr>
      </w:pPr>
    </w:p>
    <w:p w:rsidR="00920574" w:rsidRPr="003824D3" w:rsidRDefault="00920574" w:rsidP="00920574">
      <w:pPr>
        <w:rPr>
          <w:rFonts w:cs="Arial"/>
        </w:rPr>
      </w:pPr>
      <w:r>
        <w:rPr>
          <w:rFonts w:cs="Arial"/>
          <w:b/>
        </w:rPr>
        <w:t>Neutral citation:</w:t>
      </w:r>
      <w:r w:rsidR="003824D3">
        <w:rPr>
          <w:rFonts w:cs="Arial"/>
          <w:b/>
        </w:rPr>
        <w:t xml:space="preserve"> </w:t>
      </w:r>
      <w:r w:rsidR="003824D3" w:rsidRPr="003824D3">
        <w:rPr>
          <w:rFonts w:cs="Arial"/>
          <w:i/>
        </w:rPr>
        <w:t xml:space="preserve">Wise v </w:t>
      </w:r>
      <w:proofErr w:type="spellStart"/>
      <w:r w:rsidR="003824D3" w:rsidRPr="003824D3">
        <w:rPr>
          <w:rFonts w:cs="Arial"/>
          <w:i/>
        </w:rPr>
        <w:t>Shikuambi</w:t>
      </w:r>
      <w:proofErr w:type="spellEnd"/>
      <w:r w:rsidR="003824D3" w:rsidRPr="003824D3">
        <w:rPr>
          <w:rFonts w:cs="Arial"/>
        </w:rPr>
        <w:t xml:space="preserve"> </w:t>
      </w:r>
      <w:r w:rsidR="00EB5F1F">
        <w:rPr>
          <w:rFonts w:cs="Arial"/>
        </w:rPr>
        <w:t xml:space="preserve">N.O </w:t>
      </w:r>
      <w:r w:rsidR="003824D3" w:rsidRPr="003824D3">
        <w:rPr>
          <w:rFonts w:cs="Arial"/>
        </w:rPr>
        <w:t>(A 293/2014</w:t>
      </w:r>
      <w:r w:rsidR="003824D3">
        <w:rPr>
          <w:rFonts w:cs="Arial"/>
        </w:rPr>
        <w:t>) [2017] NAHCMD 148 (24</w:t>
      </w:r>
      <w:r w:rsidR="003824D3" w:rsidRPr="003824D3">
        <w:rPr>
          <w:rFonts w:cs="Arial"/>
        </w:rPr>
        <w:t xml:space="preserve"> May 2017)  </w:t>
      </w:r>
    </w:p>
    <w:p w:rsidR="00920574" w:rsidRPr="0099068A" w:rsidRDefault="00920574" w:rsidP="00920574">
      <w:pPr>
        <w:rPr>
          <w:rFonts w:cs="Arial"/>
        </w:rPr>
      </w:pPr>
    </w:p>
    <w:p w:rsidR="00920574" w:rsidRPr="00D46572" w:rsidRDefault="00920574" w:rsidP="00920574">
      <w:pPr>
        <w:rPr>
          <w:rFonts w:cs="Arial"/>
          <w:b/>
        </w:rPr>
      </w:pPr>
      <w:r w:rsidRPr="00D46572">
        <w:rPr>
          <w:rFonts w:cs="Arial"/>
          <w:b/>
          <w:bCs/>
        </w:rPr>
        <w:t>Coram:</w:t>
      </w:r>
      <w:r w:rsidRPr="00D46572">
        <w:rPr>
          <w:rFonts w:cs="Arial"/>
          <w:b/>
        </w:rPr>
        <w:tab/>
      </w:r>
      <w:r w:rsidRPr="00D46572">
        <w:rPr>
          <w:rFonts w:cs="Arial"/>
          <w:b/>
        </w:rPr>
        <w:tab/>
        <w:t xml:space="preserve">UEITELE J </w:t>
      </w:r>
    </w:p>
    <w:p w:rsidR="009465EC" w:rsidRDefault="009465EC" w:rsidP="00920574">
      <w:pPr>
        <w:rPr>
          <w:rFonts w:cs="Arial"/>
        </w:rPr>
      </w:pPr>
    </w:p>
    <w:p w:rsidR="00920574" w:rsidRDefault="00920574" w:rsidP="00920574">
      <w:pPr>
        <w:rPr>
          <w:rFonts w:cs="Arial"/>
        </w:rPr>
      </w:pPr>
      <w:r w:rsidRPr="00D46572">
        <w:rPr>
          <w:rFonts w:cs="Arial"/>
        </w:rPr>
        <w:t>Heard:</w:t>
      </w:r>
      <w:r w:rsidRPr="00D46572">
        <w:rPr>
          <w:rFonts w:cs="Arial"/>
        </w:rPr>
        <w:tab/>
      </w:r>
      <w:r w:rsidRPr="00D46572">
        <w:rPr>
          <w:rFonts w:cs="Arial"/>
        </w:rPr>
        <w:tab/>
      </w:r>
      <w:r>
        <w:rPr>
          <w:rFonts w:cs="Arial"/>
        </w:rPr>
        <w:tab/>
      </w:r>
      <w:r w:rsidR="009465EC">
        <w:rPr>
          <w:rFonts w:cs="Arial"/>
        </w:rPr>
        <w:t>4 August 2016</w:t>
      </w:r>
    </w:p>
    <w:p w:rsidR="009465EC" w:rsidRDefault="009465EC" w:rsidP="00920574">
      <w:pPr>
        <w:rPr>
          <w:rFonts w:cs="Arial"/>
        </w:rPr>
      </w:pPr>
    </w:p>
    <w:p w:rsidR="00920574" w:rsidRDefault="008902B4" w:rsidP="00920574">
      <w:pPr>
        <w:rPr>
          <w:rFonts w:cs="Arial"/>
        </w:rPr>
      </w:pPr>
      <w:r>
        <w:rPr>
          <w:rFonts w:cs="Arial"/>
        </w:rPr>
        <w:t>Delivered</w:t>
      </w:r>
      <w:r w:rsidR="00920574">
        <w:rPr>
          <w:rFonts w:cs="Arial"/>
        </w:rPr>
        <w:t xml:space="preserve"> </w:t>
      </w:r>
      <w:r w:rsidR="00920574">
        <w:rPr>
          <w:rFonts w:cs="Arial"/>
        </w:rPr>
        <w:tab/>
      </w:r>
      <w:r w:rsidR="00920574">
        <w:rPr>
          <w:rFonts w:cs="Arial"/>
        </w:rPr>
        <w:tab/>
      </w:r>
      <w:r>
        <w:rPr>
          <w:rFonts w:cs="Arial"/>
        </w:rPr>
        <w:t>24 May 2017</w:t>
      </w:r>
    </w:p>
    <w:p w:rsidR="009465EC" w:rsidRDefault="009465EC" w:rsidP="00920574">
      <w:pPr>
        <w:rPr>
          <w:rFonts w:cs="Arial"/>
          <w:b/>
          <w:szCs w:val="24"/>
        </w:rPr>
      </w:pPr>
    </w:p>
    <w:p w:rsidR="00920574" w:rsidRDefault="00920574" w:rsidP="00920574">
      <w:pPr>
        <w:rPr>
          <w:rFonts w:cs="Arial"/>
          <w:b/>
          <w:szCs w:val="24"/>
        </w:rPr>
      </w:pPr>
      <w:proofErr w:type="spellStart"/>
      <w:r>
        <w:rPr>
          <w:rFonts w:cs="Arial"/>
          <w:b/>
          <w:szCs w:val="24"/>
        </w:rPr>
        <w:t>Flynote</w:t>
      </w:r>
      <w:proofErr w:type="spellEnd"/>
      <w:r>
        <w:rPr>
          <w:rFonts w:cs="Arial"/>
          <w:b/>
          <w:szCs w:val="24"/>
        </w:rPr>
        <w:t>:</w:t>
      </w:r>
      <w:r w:rsidR="009465EC">
        <w:rPr>
          <w:rFonts w:cs="Arial"/>
          <w:b/>
          <w:szCs w:val="24"/>
        </w:rPr>
        <w:tab/>
      </w:r>
      <w:r w:rsidR="009465EC" w:rsidRPr="009465EC">
        <w:rPr>
          <w:rFonts w:cs="Arial"/>
          <w:i/>
          <w:szCs w:val="24"/>
        </w:rPr>
        <w:t xml:space="preserve">Costs </w:t>
      </w:r>
      <w:r w:rsidR="009465EC" w:rsidRPr="009465EC">
        <w:rPr>
          <w:rFonts w:cs="Arial"/>
          <w:szCs w:val="24"/>
        </w:rPr>
        <w:t xml:space="preserve">- Taxation - Review of taxation - Grounds for review based on common law grounds for judicial review - Such grounds, however, wider parameters than common law grounds - Taxing Master functionary in taxation - </w:t>
      </w:r>
      <w:r w:rsidR="009465EC">
        <w:rPr>
          <w:rFonts w:cs="Arial"/>
          <w:szCs w:val="24"/>
        </w:rPr>
        <w:t>Court reluctant to interfere</w:t>
      </w:r>
      <w:r w:rsidR="009465EC" w:rsidRPr="009465EC">
        <w:rPr>
          <w:rFonts w:cs="Arial"/>
          <w:szCs w:val="24"/>
        </w:rPr>
        <w:t xml:space="preserve"> unless Taxing Master has exercised discretion improperly, has not brought </w:t>
      </w:r>
      <w:r w:rsidR="009465EC" w:rsidRPr="009465EC">
        <w:rPr>
          <w:rFonts w:cs="Arial"/>
          <w:szCs w:val="24"/>
        </w:rPr>
        <w:lastRenderedPageBreak/>
        <w:t>his mind to bear upon the issue, or has based his decision on wrong principles.</w:t>
      </w:r>
    </w:p>
    <w:p w:rsidR="00686783" w:rsidRDefault="00686783" w:rsidP="00920574">
      <w:pPr>
        <w:rPr>
          <w:rFonts w:cs="Arial"/>
          <w:b/>
          <w:szCs w:val="24"/>
        </w:rPr>
      </w:pPr>
    </w:p>
    <w:p w:rsidR="00C978C4" w:rsidRDefault="00920574" w:rsidP="00920574">
      <w:pPr>
        <w:rPr>
          <w:rFonts w:cs="Arial"/>
          <w:szCs w:val="24"/>
        </w:rPr>
      </w:pPr>
      <w:r w:rsidRPr="00852F0C">
        <w:rPr>
          <w:rFonts w:cs="Arial"/>
          <w:b/>
          <w:szCs w:val="24"/>
        </w:rPr>
        <w:t>Summary:</w:t>
      </w:r>
      <w:r w:rsidR="008902B4">
        <w:rPr>
          <w:rFonts w:cs="Arial"/>
          <w:b/>
          <w:szCs w:val="24"/>
        </w:rPr>
        <w:t xml:space="preserve"> </w:t>
      </w:r>
      <w:r w:rsidR="008902B4">
        <w:rPr>
          <w:rFonts w:cs="Arial"/>
          <w:szCs w:val="24"/>
        </w:rPr>
        <w:t xml:space="preserve">During October 2014 the, the plaintiff launched a review application for this court to review and set aside the </w:t>
      </w:r>
      <w:proofErr w:type="spellStart"/>
      <w:r w:rsidR="00C6647F" w:rsidRPr="001D66A1">
        <w:rPr>
          <w:i/>
        </w:rPr>
        <w:t>allocatur</w:t>
      </w:r>
      <w:proofErr w:type="spellEnd"/>
      <w:r w:rsidR="008902B4">
        <w:rPr>
          <w:rFonts w:cs="Arial"/>
          <w:szCs w:val="24"/>
        </w:rPr>
        <w:t xml:space="preserve"> issued on 9 September 2014</w:t>
      </w:r>
      <w:r w:rsidR="00D16E3F">
        <w:rPr>
          <w:rFonts w:cs="Arial"/>
          <w:szCs w:val="24"/>
        </w:rPr>
        <w:t xml:space="preserve">. The defendant opposes the application whereas the Taxing Master does not oppose the application he indicated that he will abide by the decision of the court. </w:t>
      </w:r>
    </w:p>
    <w:p w:rsidR="00D16E3F" w:rsidRDefault="00D16E3F" w:rsidP="00920574">
      <w:pPr>
        <w:rPr>
          <w:rFonts w:cs="Arial"/>
          <w:szCs w:val="24"/>
        </w:rPr>
      </w:pPr>
    </w:p>
    <w:p w:rsidR="00D16E3F" w:rsidRDefault="00D16E3F" w:rsidP="00920574">
      <w:pPr>
        <w:rPr>
          <w:rFonts w:cs="Arial"/>
          <w:szCs w:val="24"/>
        </w:rPr>
      </w:pPr>
      <w:r w:rsidRPr="00AD3FAB">
        <w:rPr>
          <w:rFonts w:cs="Arial"/>
          <w:i/>
          <w:szCs w:val="24"/>
        </w:rPr>
        <w:t>Held that</w:t>
      </w:r>
      <w:r>
        <w:rPr>
          <w:rFonts w:cs="Arial"/>
          <w:szCs w:val="24"/>
        </w:rPr>
        <w:t xml:space="preserve"> </w:t>
      </w:r>
      <w:r w:rsidR="00AD3FAB">
        <w:rPr>
          <w:rFonts w:cs="Arial"/>
          <w:szCs w:val="24"/>
        </w:rPr>
        <w:t>t</w:t>
      </w:r>
      <w:r w:rsidR="00AD3FAB" w:rsidRPr="00AD3FAB">
        <w:rPr>
          <w:rFonts w:cs="Arial"/>
          <w:szCs w:val="24"/>
        </w:rPr>
        <w:t>he exception was an intermediate step in that litigation and the case would not be concluded until an appeal Court would finally pronounce itself upon the merits or the upholding of the exception. The ruling made on 1 August 2014 related to a matter incidental to the main dispute and would seem, therefore, to fall</w:t>
      </w:r>
      <w:r w:rsidR="00AD3FAB">
        <w:rPr>
          <w:rFonts w:cs="Arial"/>
          <w:szCs w:val="24"/>
        </w:rPr>
        <w:t xml:space="preserve"> into the general category of ‘i</w:t>
      </w:r>
      <w:r w:rsidR="00AD3FAB" w:rsidRPr="00AD3FAB">
        <w:rPr>
          <w:rFonts w:cs="Arial"/>
          <w:szCs w:val="24"/>
        </w:rPr>
        <w:t>nterlocu</w:t>
      </w:r>
      <w:r w:rsidR="00AD3FAB">
        <w:rPr>
          <w:rFonts w:cs="Arial"/>
          <w:szCs w:val="24"/>
        </w:rPr>
        <w:t>tory’, in the wide sense. The court thus held</w:t>
      </w:r>
      <w:r w:rsidR="00AD3FAB" w:rsidRPr="00AD3FAB">
        <w:rPr>
          <w:rFonts w:cs="Arial"/>
          <w:szCs w:val="24"/>
        </w:rPr>
        <w:t xml:space="preserve"> that the exception raised by the defendant in this matter was an interlocutory proceeding as contemplated in Rule 32(11</w:t>
      </w:r>
      <w:r w:rsidR="00AD3FAB">
        <w:rPr>
          <w:rFonts w:cs="Arial"/>
          <w:szCs w:val="24"/>
        </w:rPr>
        <w:t xml:space="preserve">). </w:t>
      </w:r>
    </w:p>
    <w:p w:rsidR="00AD3FAB" w:rsidRDefault="00AD3FAB" w:rsidP="00920574">
      <w:pPr>
        <w:rPr>
          <w:rFonts w:cs="Arial"/>
          <w:szCs w:val="24"/>
        </w:rPr>
      </w:pPr>
    </w:p>
    <w:p w:rsidR="00C6647F" w:rsidRDefault="00AD3FAB" w:rsidP="00920574">
      <w:pPr>
        <w:rPr>
          <w:rFonts w:cs="Arial"/>
          <w:szCs w:val="24"/>
        </w:rPr>
      </w:pPr>
      <w:r w:rsidRPr="009568CC">
        <w:rPr>
          <w:rFonts w:cs="Arial"/>
          <w:i/>
          <w:szCs w:val="24"/>
        </w:rPr>
        <w:t>Held that</w:t>
      </w:r>
      <w:r>
        <w:rPr>
          <w:rFonts w:cs="Arial"/>
          <w:szCs w:val="24"/>
        </w:rPr>
        <w:t xml:space="preserve"> </w:t>
      </w:r>
      <w:r w:rsidR="009568CC">
        <w:rPr>
          <w:rFonts w:cs="Arial"/>
          <w:szCs w:val="24"/>
        </w:rPr>
        <w:t>t</w:t>
      </w:r>
      <w:r w:rsidR="009568CC" w:rsidRPr="009568CC">
        <w:rPr>
          <w:rFonts w:cs="Arial"/>
          <w:szCs w:val="24"/>
        </w:rPr>
        <w:t>he new Court Rules which, as an exception to the general rule, provide a ceiling in respect of the cost</w:t>
      </w:r>
      <w:r w:rsidR="009568CC">
        <w:rPr>
          <w:rFonts w:cs="Arial"/>
          <w:szCs w:val="24"/>
        </w:rPr>
        <w:t>s</w:t>
      </w:r>
      <w:r w:rsidR="009568CC" w:rsidRPr="009568CC">
        <w:rPr>
          <w:rFonts w:cs="Arial"/>
          <w:szCs w:val="24"/>
        </w:rPr>
        <w:t xml:space="preserve"> in interlocutory applications came into effect</w:t>
      </w:r>
      <w:r w:rsidR="009568CC">
        <w:rPr>
          <w:rFonts w:cs="Arial"/>
          <w:szCs w:val="24"/>
        </w:rPr>
        <w:t xml:space="preserve"> on 16 April 2014. </w:t>
      </w:r>
    </w:p>
    <w:p w:rsidR="00C6647F" w:rsidRDefault="00C6647F" w:rsidP="00920574">
      <w:pPr>
        <w:rPr>
          <w:rFonts w:cs="Arial"/>
          <w:szCs w:val="24"/>
        </w:rPr>
      </w:pPr>
    </w:p>
    <w:p w:rsidR="00AD3FAB" w:rsidRDefault="009568CC" w:rsidP="00920574">
      <w:pPr>
        <w:rPr>
          <w:rFonts w:cs="Arial"/>
          <w:szCs w:val="24"/>
        </w:rPr>
      </w:pPr>
      <w:r w:rsidRPr="009568CC">
        <w:rPr>
          <w:rFonts w:cs="Arial"/>
          <w:i/>
          <w:szCs w:val="24"/>
        </w:rPr>
        <w:t>Held further</w:t>
      </w:r>
      <w:r>
        <w:rPr>
          <w:rFonts w:cs="Arial"/>
          <w:szCs w:val="24"/>
        </w:rPr>
        <w:t xml:space="preserve"> that </w:t>
      </w:r>
      <w:r w:rsidRPr="009568CC">
        <w:rPr>
          <w:rFonts w:cs="Arial"/>
          <w:szCs w:val="24"/>
        </w:rPr>
        <w:t xml:space="preserve">in terms of rule 138(a) it is clear that although the exception was raised before the new </w:t>
      </w:r>
      <w:r w:rsidR="008B0578">
        <w:rPr>
          <w:rFonts w:cs="Arial"/>
          <w:szCs w:val="24"/>
        </w:rPr>
        <w:t>rules came in</w:t>
      </w:r>
      <w:r w:rsidRPr="009568CC">
        <w:rPr>
          <w:rFonts w:cs="Arial"/>
          <w:szCs w:val="24"/>
        </w:rPr>
        <w:t>to operation the exception is deemed to have been raised under the new rules and the case continued to proceed under the new Rules and Rule 32 applies to these proceedings with effect from 16 April 2014.  In case there was any doubt Rule 138(b) makes it clear that the exception continued under the new rules.</w:t>
      </w:r>
    </w:p>
    <w:p w:rsidR="009568CC" w:rsidRDefault="009568CC" w:rsidP="00920574">
      <w:pPr>
        <w:rPr>
          <w:rFonts w:cs="Arial"/>
          <w:szCs w:val="24"/>
        </w:rPr>
      </w:pPr>
    </w:p>
    <w:p w:rsidR="009568CC" w:rsidRDefault="009568CC" w:rsidP="00920574">
      <w:pPr>
        <w:rPr>
          <w:rFonts w:cs="Arial"/>
          <w:szCs w:val="24"/>
        </w:rPr>
      </w:pPr>
      <w:r w:rsidRPr="009568CC">
        <w:rPr>
          <w:rFonts w:cs="Arial"/>
          <w:i/>
          <w:szCs w:val="24"/>
        </w:rPr>
        <w:t xml:space="preserve">Held </w:t>
      </w:r>
      <w:r w:rsidR="00C6647F" w:rsidRPr="009568CC">
        <w:rPr>
          <w:rFonts w:cs="Arial"/>
          <w:i/>
          <w:szCs w:val="24"/>
        </w:rPr>
        <w:t>further</w:t>
      </w:r>
      <w:r w:rsidR="00C6647F">
        <w:rPr>
          <w:rFonts w:cs="Arial"/>
          <w:szCs w:val="24"/>
        </w:rPr>
        <w:t xml:space="preserve"> </w:t>
      </w:r>
      <w:r w:rsidR="00C6647F" w:rsidRPr="00C6647F">
        <w:rPr>
          <w:rFonts w:cs="Arial"/>
          <w:szCs w:val="24"/>
        </w:rPr>
        <w:t>t</w:t>
      </w:r>
      <w:r w:rsidRPr="00C6647F">
        <w:rPr>
          <w:rFonts w:cs="Arial"/>
          <w:szCs w:val="24"/>
        </w:rPr>
        <w:t xml:space="preserve">hat </w:t>
      </w:r>
      <w:r w:rsidRPr="009568CC">
        <w:rPr>
          <w:rFonts w:cs="Arial"/>
          <w:szCs w:val="24"/>
        </w:rPr>
        <w:t>the general legal principle that costs are awarded to a successful party in order to indemnify him or her for the expenses to which he or she has been put through having been unjustly compelled either to initiate or defend litigation, is not absolute.</w:t>
      </w:r>
      <w:r>
        <w:rPr>
          <w:rFonts w:cs="Arial"/>
          <w:szCs w:val="24"/>
        </w:rPr>
        <w:t xml:space="preserve"> </w:t>
      </w:r>
    </w:p>
    <w:p w:rsidR="009568CC" w:rsidRDefault="009568CC" w:rsidP="00920574">
      <w:pPr>
        <w:rPr>
          <w:rFonts w:cs="Arial"/>
          <w:szCs w:val="24"/>
        </w:rPr>
      </w:pPr>
    </w:p>
    <w:p w:rsidR="009568CC" w:rsidRDefault="009568CC" w:rsidP="00920574">
      <w:pPr>
        <w:rPr>
          <w:rFonts w:cs="Arial"/>
          <w:szCs w:val="24"/>
        </w:rPr>
      </w:pPr>
      <w:r w:rsidRPr="002A426D">
        <w:rPr>
          <w:rFonts w:cs="Arial"/>
          <w:i/>
          <w:szCs w:val="24"/>
        </w:rPr>
        <w:t xml:space="preserve">Held </w:t>
      </w:r>
      <w:r w:rsidR="00C6647F" w:rsidRPr="009568CC">
        <w:rPr>
          <w:rFonts w:cs="Arial"/>
          <w:i/>
          <w:szCs w:val="24"/>
        </w:rPr>
        <w:t>further</w:t>
      </w:r>
      <w:r w:rsidR="00C6647F">
        <w:rPr>
          <w:rFonts w:cs="Arial"/>
          <w:szCs w:val="24"/>
        </w:rPr>
        <w:t xml:space="preserve"> </w:t>
      </w:r>
      <w:r w:rsidRPr="00C6647F">
        <w:rPr>
          <w:rFonts w:cs="Arial"/>
          <w:szCs w:val="24"/>
        </w:rPr>
        <w:t xml:space="preserve">that </w:t>
      </w:r>
      <w:r w:rsidR="002A426D" w:rsidRPr="002A426D">
        <w:rPr>
          <w:rFonts w:cs="Arial"/>
          <w:szCs w:val="24"/>
        </w:rPr>
        <w:t xml:space="preserve">a party’s right to claim costs from his or her opponent which he or she has incurred in the process of litigation only arises upon the court ordering an opponent to pay a successful party’s costs. In this matter the Court, on 1 August 2014, ordered the plaintiff to pay the defendant’s costs for the exception. The defendant’s right to be </w:t>
      </w:r>
      <w:r w:rsidR="002A426D" w:rsidRPr="002A426D">
        <w:rPr>
          <w:rFonts w:cs="Arial"/>
          <w:szCs w:val="24"/>
        </w:rPr>
        <w:lastRenderedPageBreak/>
        <w:t>paid costs which he incurred as a result of the exception which he raised only arose when the Court gave its ruling and that was on 1 August 2014. By that time (i.e. by 1 August 2014) Rule 32(11) had already been in operation since 16 April 2014.</w:t>
      </w:r>
    </w:p>
    <w:p w:rsidR="002A426D" w:rsidRDefault="002A426D" w:rsidP="00920574">
      <w:pPr>
        <w:rPr>
          <w:rFonts w:cs="Arial"/>
          <w:szCs w:val="24"/>
        </w:rPr>
      </w:pPr>
    </w:p>
    <w:p w:rsidR="002A426D" w:rsidRDefault="00C6647F" w:rsidP="00920574">
      <w:pPr>
        <w:rPr>
          <w:rFonts w:cs="Arial"/>
          <w:szCs w:val="24"/>
        </w:rPr>
      </w:pPr>
      <w:r w:rsidRPr="002A426D">
        <w:rPr>
          <w:rFonts w:cs="Arial"/>
          <w:i/>
          <w:szCs w:val="24"/>
        </w:rPr>
        <w:t>Held</w:t>
      </w:r>
      <w:r w:rsidRPr="009568CC">
        <w:rPr>
          <w:rFonts w:cs="Arial"/>
          <w:i/>
          <w:szCs w:val="24"/>
        </w:rPr>
        <w:t xml:space="preserve"> further</w:t>
      </w:r>
      <w:r>
        <w:rPr>
          <w:rFonts w:cs="Arial"/>
          <w:szCs w:val="24"/>
        </w:rPr>
        <w:t xml:space="preserve"> </w:t>
      </w:r>
      <w:r w:rsidR="002A426D" w:rsidRPr="002A426D">
        <w:rPr>
          <w:rFonts w:cs="Arial"/>
          <w:i/>
          <w:szCs w:val="24"/>
        </w:rPr>
        <w:t>that</w:t>
      </w:r>
      <w:r w:rsidR="002A426D">
        <w:rPr>
          <w:rFonts w:cs="Arial"/>
          <w:szCs w:val="24"/>
        </w:rPr>
        <w:t xml:space="preserve"> </w:t>
      </w:r>
      <w:r w:rsidR="002A426D" w:rsidRPr="002A426D">
        <w:rPr>
          <w:rFonts w:cs="Arial"/>
          <w:szCs w:val="24"/>
        </w:rPr>
        <w:t xml:space="preserve">the duty to include in a bill of costs only those costs that are permissible under a court's costs order is borne, in the first instance, by counsel who submits the bill for taxation, in this matter it was the defendant. If the defendant wanted costs on a scale above the limit set in Rule 32(11) the </w:t>
      </w:r>
      <w:r w:rsidR="002A426D" w:rsidRPr="00C6647F">
        <w:rPr>
          <w:rFonts w:cs="Arial"/>
          <w:i/>
          <w:szCs w:val="24"/>
        </w:rPr>
        <w:t>onus</w:t>
      </w:r>
      <w:r w:rsidR="002A426D" w:rsidRPr="002A426D">
        <w:rPr>
          <w:rFonts w:cs="Arial"/>
          <w:szCs w:val="24"/>
        </w:rPr>
        <w:t xml:space="preserve"> was on the defendant to make out case for that want or need.</w:t>
      </w:r>
    </w:p>
    <w:p w:rsidR="002A426D" w:rsidRDefault="002A426D" w:rsidP="00920574">
      <w:pPr>
        <w:rPr>
          <w:rFonts w:cs="Arial"/>
          <w:szCs w:val="24"/>
        </w:rPr>
      </w:pPr>
    </w:p>
    <w:p w:rsidR="00C6647F" w:rsidRDefault="002A426D" w:rsidP="002A426D">
      <w:pPr>
        <w:rPr>
          <w:rFonts w:cs="Arial"/>
          <w:szCs w:val="24"/>
        </w:rPr>
      </w:pPr>
      <w:r w:rsidRPr="006D5FE4">
        <w:rPr>
          <w:rFonts w:cs="Arial"/>
          <w:i/>
          <w:szCs w:val="24"/>
        </w:rPr>
        <w:t>Held further</w:t>
      </w:r>
      <w:r>
        <w:rPr>
          <w:rFonts w:cs="Arial"/>
          <w:szCs w:val="24"/>
        </w:rPr>
        <w:t xml:space="preserve"> that </w:t>
      </w:r>
      <w:r w:rsidRPr="002A426D">
        <w:rPr>
          <w:rFonts w:cs="Arial"/>
          <w:szCs w:val="24"/>
        </w:rPr>
        <w:t xml:space="preserve">the power to determine whether or not a party is entitled to costs exceeding the upper limit set in Rule 32(11) is vested in the Court and not </w:t>
      </w:r>
      <w:r w:rsidR="006D5FE4">
        <w:rPr>
          <w:rFonts w:cs="Arial"/>
          <w:szCs w:val="24"/>
        </w:rPr>
        <w:t xml:space="preserve">in the Taxing Master. </w:t>
      </w:r>
    </w:p>
    <w:p w:rsidR="00C6647F" w:rsidRDefault="00C6647F" w:rsidP="002A426D">
      <w:pPr>
        <w:rPr>
          <w:rFonts w:cs="Arial"/>
          <w:szCs w:val="24"/>
        </w:rPr>
      </w:pPr>
    </w:p>
    <w:p w:rsidR="002A426D" w:rsidRDefault="006D5FE4" w:rsidP="002A426D">
      <w:pPr>
        <w:rPr>
          <w:rFonts w:cs="Arial"/>
          <w:szCs w:val="24"/>
        </w:rPr>
      </w:pPr>
      <w:r w:rsidRPr="006D5FE4">
        <w:rPr>
          <w:rFonts w:cs="Arial"/>
          <w:i/>
          <w:szCs w:val="24"/>
        </w:rPr>
        <w:t>Held furthermore</w:t>
      </w:r>
      <w:r>
        <w:rPr>
          <w:rFonts w:cs="Arial"/>
          <w:szCs w:val="24"/>
        </w:rPr>
        <w:t xml:space="preserve"> that i</w:t>
      </w:r>
      <w:r w:rsidR="002A426D" w:rsidRPr="002A426D">
        <w:rPr>
          <w:rFonts w:cs="Arial"/>
          <w:szCs w:val="24"/>
        </w:rPr>
        <w:t>n the cir</w:t>
      </w:r>
      <w:r>
        <w:rPr>
          <w:rFonts w:cs="Arial"/>
          <w:szCs w:val="24"/>
        </w:rPr>
        <w:t>cumstances,</w:t>
      </w:r>
      <w:r w:rsidR="002A426D" w:rsidRPr="002A426D">
        <w:rPr>
          <w:rFonts w:cs="Arial"/>
          <w:szCs w:val="24"/>
        </w:rPr>
        <w:t xml:space="preserve"> </w:t>
      </w:r>
      <w:r>
        <w:rPr>
          <w:rFonts w:cs="Arial"/>
          <w:szCs w:val="24"/>
        </w:rPr>
        <w:t xml:space="preserve">it is appropriate </w:t>
      </w:r>
      <w:r w:rsidR="002A426D" w:rsidRPr="002A426D">
        <w:rPr>
          <w:rFonts w:cs="Arial"/>
          <w:szCs w:val="24"/>
        </w:rPr>
        <w:t>for the Court to interfere with the exercise of the Taxing Master's discretion since there is no indication that he exercis</w:t>
      </w:r>
      <w:r>
        <w:rPr>
          <w:rFonts w:cs="Arial"/>
          <w:szCs w:val="24"/>
        </w:rPr>
        <w:t xml:space="preserve">ed any discretion at all. In the court’s </w:t>
      </w:r>
      <w:r w:rsidR="002A426D" w:rsidRPr="002A426D">
        <w:rPr>
          <w:rFonts w:cs="Arial"/>
          <w:szCs w:val="24"/>
        </w:rPr>
        <w:t>view, by acting contrary to the provisions of Rule 32 (11); allowing costs on a scale higher than the upper limit set in Rule 32(11) the Taxing Master not only a</w:t>
      </w:r>
      <w:r>
        <w:rPr>
          <w:rFonts w:cs="Arial"/>
          <w:szCs w:val="24"/>
        </w:rPr>
        <w:t xml:space="preserve">cted </w:t>
      </w:r>
      <w:r w:rsidRPr="006D5FE4">
        <w:rPr>
          <w:rFonts w:cs="Arial"/>
          <w:i/>
          <w:szCs w:val="24"/>
        </w:rPr>
        <w:t>ultra vires</w:t>
      </w:r>
      <w:r>
        <w:rPr>
          <w:rFonts w:cs="Arial"/>
          <w:szCs w:val="24"/>
        </w:rPr>
        <w:t xml:space="preserve"> his powers but</w:t>
      </w:r>
      <w:r w:rsidR="002A426D" w:rsidRPr="002A426D">
        <w:rPr>
          <w:rFonts w:cs="Arial"/>
          <w:szCs w:val="24"/>
        </w:rPr>
        <w:t xml:space="preserve"> he also usurped the Court’s powers. The </w:t>
      </w:r>
      <w:proofErr w:type="spellStart"/>
      <w:r w:rsidR="002A426D" w:rsidRPr="006D5FE4">
        <w:rPr>
          <w:rFonts w:cs="Arial"/>
          <w:i/>
          <w:szCs w:val="24"/>
        </w:rPr>
        <w:t>allocatur</w:t>
      </w:r>
      <w:proofErr w:type="spellEnd"/>
      <w:r w:rsidR="002A426D" w:rsidRPr="002A426D">
        <w:rPr>
          <w:rFonts w:cs="Arial"/>
          <w:szCs w:val="24"/>
        </w:rPr>
        <w:t xml:space="preserve"> issued by the Taxing Master on 9 September 2014 is therefore</w:t>
      </w:r>
      <w:r w:rsidR="00F607BA">
        <w:rPr>
          <w:rFonts w:cs="Arial"/>
          <w:szCs w:val="24"/>
        </w:rPr>
        <w:t xml:space="preserve"> reviewed and set aside.</w:t>
      </w:r>
    </w:p>
    <w:p w:rsidR="00C6647F" w:rsidRPr="006D5FE4" w:rsidRDefault="00C6647F" w:rsidP="002A426D">
      <w:pPr>
        <w:rPr>
          <w:rFonts w:cs="Arial"/>
          <w:szCs w:val="24"/>
        </w:rPr>
      </w:pPr>
    </w:p>
    <w:p w:rsidR="00920574" w:rsidRDefault="00C6411F" w:rsidP="00920574">
      <w:pPr>
        <w:jc w:val="center"/>
        <w:rPr>
          <w:rFonts w:cs="Arial"/>
          <w:bCs/>
          <w:szCs w:val="24"/>
        </w:rPr>
      </w:pPr>
      <w:r>
        <w:rPr>
          <w:rFonts w:cs="Arial"/>
          <w:bCs/>
          <w:szCs w:val="24"/>
        </w:rPr>
        <w:pict>
          <v:rect id="_x0000_i1025" style="width:451.3pt;height:1.8pt" o:hralign="center" o:hrstd="t" o:hr="t" fillcolor="#a0a0a0" stroked="f"/>
        </w:pict>
      </w:r>
    </w:p>
    <w:p w:rsidR="00920574" w:rsidRDefault="00920574" w:rsidP="00920574">
      <w:pPr>
        <w:jc w:val="center"/>
        <w:rPr>
          <w:rFonts w:cs="Arial"/>
          <w:b/>
          <w:bCs/>
          <w:szCs w:val="24"/>
        </w:rPr>
      </w:pPr>
      <w:r>
        <w:rPr>
          <w:rFonts w:cs="Arial"/>
          <w:b/>
          <w:bCs/>
          <w:szCs w:val="24"/>
        </w:rPr>
        <w:t>ORDER</w:t>
      </w:r>
    </w:p>
    <w:p w:rsidR="00920574" w:rsidRDefault="00C6411F" w:rsidP="00920574">
      <w:pPr>
        <w:jc w:val="center"/>
        <w:rPr>
          <w:rFonts w:cs="Arial"/>
          <w:bCs/>
          <w:szCs w:val="24"/>
        </w:rPr>
      </w:pPr>
      <w:r>
        <w:rPr>
          <w:rFonts w:cs="Arial"/>
          <w:bCs/>
          <w:szCs w:val="24"/>
        </w:rPr>
        <w:pict>
          <v:rect id="_x0000_i1026" style="width:451.3pt;height:1.8pt" o:hralign="center" o:hrstd="t" o:hr="t" fillcolor="#a0a0a0" stroked="f"/>
        </w:pict>
      </w:r>
    </w:p>
    <w:p w:rsidR="00C6647F" w:rsidRDefault="00C6647F" w:rsidP="001D66A1">
      <w:pPr>
        <w:tabs>
          <w:tab w:val="left" w:pos="540"/>
        </w:tabs>
        <w:ind w:left="540" w:hanging="540"/>
      </w:pPr>
    </w:p>
    <w:p w:rsidR="001D66A1" w:rsidRPr="00EE7209" w:rsidRDefault="001D66A1" w:rsidP="001D66A1">
      <w:pPr>
        <w:tabs>
          <w:tab w:val="left" w:pos="540"/>
        </w:tabs>
        <w:ind w:left="540" w:hanging="540"/>
      </w:pPr>
      <w:r w:rsidRPr="00EE7209">
        <w:t>1.</w:t>
      </w:r>
      <w:r w:rsidRPr="00EE7209">
        <w:tab/>
        <w:t xml:space="preserve">The review proceedings are successful and the </w:t>
      </w:r>
      <w:proofErr w:type="spellStart"/>
      <w:r w:rsidRPr="001D66A1">
        <w:rPr>
          <w:i/>
        </w:rPr>
        <w:t>allocatur</w:t>
      </w:r>
      <w:proofErr w:type="spellEnd"/>
      <w:r>
        <w:t xml:space="preserve"> issued by the </w:t>
      </w:r>
      <w:r w:rsidRPr="00EE7209">
        <w:t xml:space="preserve">Taxing Master </w:t>
      </w:r>
      <w:r>
        <w:t xml:space="preserve">on 9 September 2014 in the amount </w:t>
      </w:r>
      <w:r w:rsidRPr="0018421A">
        <w:rPr>
          <w:szCs w:val="24"/>
        </w:rPr>
        <w:t>of N$ 32</w:t>
      </w:r>
      <w:r>
        <w:rPr>
          <w:szCs w:val="24"/>
        </w:rPr>
        <w:t xml:space="preserve"> 259-75</w:t>
      </w:r>
      <w:r>
        <w:t xml:space="preserve"> </w:t>
      </w:r>
      <w:r w:rsidRPr="00EE7209">
        <w:t>is set aside.</w:t>
      </w:r>
    </w:p>
    <w:p w:rsidR="001D66A1" w:rsidRDefault="001D66A1" w:rsidP="001D66A1"/>
    <w:p w:rsidR="001D66A1" w:rsidRPr="00EE7209" w:rsidRDefault="001D66A1" w:rsidP="001D66A1">
      <w:pPr>
        <w:tabs>
          <w:tab w:val="left" w:pos="540"/>
        </w:tabs>
        <w:ind w:left="540" w:hanging="540"/>
      </w:pPr>
      <w:r w:rsidRPr="00EE7209">
        <w:t>2.</w:t>
      </w:r>
      <w:r w:rsidRPr="00EE7209">
        <w:tab/>
        <w:t>The applicant</w:t>
      </w:r>
      <w:r>
        <w:t xml:space="preserve"> (Plaintiff) must </w:t>
      </w:r>
      <w:r w:rsidRPr="00EE7209">
        <w:t xml:space="preserve">pay to the </w:t>
      </w:r>
      <w:r>
        <w:t>second</w:t>
      </w:r>
      <w:r w:rsidRPr="00EE7209">
        <w:t xml:space="preserve"> respondent</w:t>
      </w:r>
      <w:r>
        <w:t xml:space="preserve"> (the Defendant)</w:t>
      </w:r>
      <w:r w:rsidRPr="00EE7209">
        <w:t xml:space="preserve"> </w:t>
      </w:r>
      <w:r>
        <w:t>the costs in respect of the exception upheld on 1 August 2014 the costs being the amount of N$ 20 000</w:t>
      </w:r>
      <w:r w:rsidR="00C6647F">
        <w:t xml:space="preserve"> exclu</w:t>
      </w:r>
      <w:r w:rsidR="00185D1F">
        <w:t>sive of</w:t>
      </w:r>
      <w:r w:rsidR="00C6647F">
        <w:t xml:space="preserve"> Value Added Tax</w:t>
      </w:r>
      <w:r w:rsidRPr="00EE7209">
        <w:t>.</w:t>
      </w:r>
    </w:p>
    <w:p w:rsidR="001D66A1" w:rsidRDefault="001D66A1" w:rsidP="001D66A1"/>
    <w:p w:rsidR="001D66A1" w:rsidRPr="00EE7209" w:rsidRDefault="001D66A1" w:rsidP="001D66A1">
      <w:pPr>
        <w:tabs>
          <w:tab w:val="left" w:pos="540"/>
        </w:tabs>
        <w:ind w:left="540" w:hanging="540"/>
      </w:pPr>
      <w:r w:rsidRPr="00EE7209">
        <w:t>3.</w:t>
      </w:r>
      <w:r w:rsidRPr="00EE7209">
        <w:tab/>
        <w:t xml:space="preserve">There is no order as to the costs of this review. </w:t>
      </w:r>
    </w:p>
    <w:p w:rsidR="00A13484" w:rsidRDefault="00A13484" w:rsidP="00920574">
      <w:pPr>
        <w:ind w:left="630" w:hanging="630"/>
        <w:rPr>
          <w:rFonts w:cs="Arial"/>
          <w:szCs w:val="24"/>
        </w:rPr>
      </w:pPr>
    </w:p>
    <w:p w:rsidR="00920574" w:rsidRDefault="00C6411F" w:rsidP="00920574">
      <w:pPr>
        <w:jc w:val="center"/>
        <w:rPr>
          <w:rFonts w:cs="Arial"/>
          <w:bCs/>
          <w:szCs w:val="24"/>
        </w:rPr>
      </w:pPr>
      <w:r>
        <w:rPr>
          <w:rFonts w:cs="Arial"/>
          <w:bCs/>
          <w:szCs w:val="24"/>
        </w:rPr>
        <w:pict>
          <v:rect id="_x0000_i1027" style="width:451.3pt;height:1.8pt" o:hralign="center" o:hrstd="t" o:hr="t" fillcolor="#a0a0a0" stroked="f"/>
        </w:pict>
      </w:r>
    </w:p>
    <w:p w:rsidR="00920574" w:rsidRDefault="00920574" w:rsidP="00920574">
      <w:pPr>
        <w:jc w:val="center"/>
        <w:rPr>
          <w:rFonts w:cs="Arial"/>
          <w:b/>
          <w:szCs w:val="24"/>
        </w:rPr>
      </w:pPr>
      <w:r>
        <w:rPr>
          <w:rFonts w:cs="Arial"/>
          <w:b/>
          <w:szCs w:val="24"/>
        </w:rPr>
        <w:t>JUDGMENT</w:t>
      </w:r>
    </w:p>
    <w:p w:rsidR="00920574" w:rsidRDefault="00C6411F" w:rsidP="00920574">
      <w:pPr>
        <w:jc w:val="center"/>
        <w:rPr>
          <w:rFonts w:cs="Arial"/>
          <w:bCs/>
          <w:szCs w:val="24"/>
        </w:rPr>
      </w:pPr>
      <w:r>
        <w:rPr>
          <w:rFonts w:cs="Arial"/>
          <w:bCs/>
          <w:szCs w:val="24"/>
        </w:rPr>
        <w:pict>
          <v:rect id="_x0000_i1028" style="width:451.3pt;height:1.8pt" o:hralign="center" o:hrstd="t" o:hr="t" fillcolor="#a0a0a0" stroked="f"/>
        </w:pict>
      </w:r>
    </w:p>
    <w:p w:rsidR="00920574" w:rsidRDefault="00920574" w:rsidP="00920574">
      <w:pPr>
        <w:ind w:left="1440" w:hanging="1440"/>
        <w:rPr>
          <w:rFonts w:cs="Arial"/>
          <w:szCs w:val="24"/>
        </w:rPr>
      </w:pPr>
    </w:p>
    <w:p w:rsidR="00920574" w:rsidRDefault="00920574" w:rsidP="00920574">
      <w:pPr>
        <w:ind w:left="1440" w:hanging="1440"/>
        <w:rPr>
          <w:rFonts w:cs="Arial"/>
          <w:b/>
          <w:szCs w:val="24"/>
        </w:rPr>
      </w:pPr>
      <w:r>
        <w:rPr>
          <w:rFonts w:cs="Arial"/>
          <w:b/>
          <w:szCs w:val="24"/>
        </w:rPr>
        <w:t>UEITELE, J</w:t>
      </w:r>
    </w:p>
    <w:p w:rsidR="005271D2" w:rsidRPr="00852F0C" w:rsidRDefault="005271D2" w:rsidP="00920574">
      <w:pPr>
        <w:ind w:left="1440" w:hanging="1440"/>
        <w:rPr>
          <w:rFonts w:cs="Arial"/>
          <w:b/>
          <w:i/>
          <w:szCs w:val="24"/>
        </w:rPr>
      </w:pPr>
    </w:p>
    <w:p w:rsidR="00920574" w:rsidRPr="00852F0C" w:rsidRDefault="00920574" w:rsidP="00920574">
      <w:pPr>
        <w:rPr>
          <w:rFonts w:cs="Arial"/>
          <w:szCs w:val="24"/>
          <w:u w:val="single"/>
        </w:rPr>
      </w:pPr>
      <w:r w:rsidRPr="00852F0C">
        <w:rPr>
          <w:rFonts w:cs="Arial"/>
          <w:szCs w:val="24"/>
          <w:u w:val="single"/>
        </w:rPr>
        <w:t xml:space="preserve">Introduction </w:t>
      </w:r>
      <w:r w:rsidR="006B6E63">
        <w:rPr>
          <w:rFonts w:cs="Arial"/>
          <w:szCs w:val="24"/>
          <w:u w:val="single"/>
        </w:rPr>
        <w:t>and background</w:t>
      </w:r>
    </w:p>
    <w:p w:rsidR="00E24EED" w:rsidRDefault="00E24EED" w:rsidP="00E24EED"/>
    <w:p w:rsidR="00C11A87" w:rsidRDefault="00EB3D61" w:rsidP="00C11A87">
      <w:pPr>
        <w:pStyle w:val="Heading1"/>
        <w:numPr>
          <w:ilvl w:val="0"/>
          <w:numId w:val="0"/>
        </w:numPr>
      </w:pPr>
      <w:r>
        <w:t>[1]</w:t>
      </w:r>
      <w:r>
        <w:tab/>
      </w:r>
      <w:r w:rsidR="005271D2">
        <w:t>This matter has its</w:t>
      </w:r>
      <w:r>
        <w:t xml:space="preserve"> genesis in an action </w:t>
      </w:r>
      <w:r w:rsidR="00F65C0F">
        <w:t xml:space="preserve">instituted by </w:t>
      </w:r>
      <w:r>
        <w:t>Mr Wise, as plaintiff</w:t>
      </w:r>
      <w:r w:rsidR="00C11A87">
        <w:t xml:space="preserve">, </w:t>
      </w:r>
      <w:r w:rsidR="008D0506">
        <w:t xml:space="preserve">against Mr </w:t>
      </w:r>
      <w:proofErr w:type="spellStart"/>
      <w:r w:rsidR="008D0506">
        <w:t>Pote</w:t>
      </w:r>
      <w:proofErr w:type="spellEnd"/>
      <w:r w:rsidR="008D0506">
        <w:t>, as defendant</w:t>
      </w:r>
      <w:r w:rsidR="00F20678">
        <w:t>,</w:t>
      </w:r>
      <w:r w:rsidR="008D0506">
        <w:t xml:space="preserve"> in which </w:t>
      </w:r>
      <w:r w:rsidR="002D3320">
        <w:t xml:space="preserve">action </w:t>
      </w:r>
      <w:r w:rsidR="008D0506">
        <w:t xml:space="preserve">he </w:t>
      </w:r>
      <w:r w:rsidR="00A46242">
        <w:t>claim</w:t>
      </w:r>
      <w:r w:rsidR="008D0506">
        <w:t xml:space="preserve">ed </w:t>
      </w:r>
      <w:r w:rsidR="00A46242">
        <w:t xml:space="preserve">payment for an alleged breach of contract. </w:t>
      </w:r>
      <w:r w:rsidR="002D3320">
        <w:t xml:space="preserve">For ease of reference I will refer to the parties as they were in the substantive action, in other words, I will refer to Mr Wise as the plaintiff and Mr </w:t>
      </w:r>
      <w:proofErr w:type="spellStart"/>
      <w:r w:rsidR="002D3320">
        <w:t>Pote</w:t>
      </w:r>
      <w:proofErr w:type="spellEnd"/>
      <w:r w:rsidR="002D3320">
        <w:t xml:space="preserve"> as the defendant. </w:t>
      </w:r>
      <w:r w:rsidR="00A46242">
        <w:t>At the time when</w:t>
      </w:r>
      <w:r w:rsidR="00C11A87">
        <w:t xml:space="preserve"> Mr Wise instituted the action the now repealed rule</w:t>
      </w:r>
      <w:r w:rsidR="008D0506">
        <w:t>s</w:t>
      </w:r>
      <w:r w:rsidR="00C11A87">
        <w:t xml:space="preserve"> of this Court were still in operation. </w:t>
      </w:r>
    </w:p>
    <w:p w:rsidR="00C11A87" w:rsidRDefault="00C11A87" w:rsidP="00C11A87">
      <w:pPr>
        <w:pStyle w:val="Heading1"/>
        <w:numPr>
          <w:ilvl w:val="0"/>
          <w:numId w:val="0"/>
        </w:numPr>
      </w:pPr>
    </w:p>
    <w:p w:rsidR="00E964C3" w:rsidRDefault="00C11A87" w:rsidP="00C11A87">
      <w:pPr>
        <w:pStyle w:val="Heading1"/>
        <w:numPr>
          <w:ilvl w:val="0"/>
          <w:numId w:val="0"/>
        </w:numPr>
      </w:pPr>
      <w:r>
        <w:t>[2]</w:t>
      </w:r>
      <w:r>
        <w:tab/>
        <w:t>A</w:t>
      </w:r>
      <w:r w:rsidR="00E964C3">
        <w:t xml:space="preserve">s </w:t>
      </w:r>
      <w:r>
        <w:t>I have indicated above the plaintiff</w:t>
      </w:r>
      <w:r w:rsidR="00CA7E67">
        <w:t>,</w:t>
      </w:r>
      <w:r>
        <w:t xml:space="preserve"> during July 2012</w:t>
      </w:r>
      <w:r w:rsidR="00CA7E67">
        <w:t>,</w:t>
      </w:r>
      <w:r>
        <w:t xml:space="preserve"> instituted action against the defendant.</w:t>
      </w:r>
      <w:r w:rsidR="00E964C3">
        <w:t xml:space="preserve"> During February 2014 the plaintiff amended his particulars of claim.</w:t>
      </w:r>
      <w:r>
        <w:t xml:space="preserve"> </w:t>
      </w:r>
      <w:r w:rsidR="00E964C3">
        <w:t xml:space="preserve"> During March 2014 the defendant gave notice that he is excepting to the plaintiff’s </w:t>
      </w:r>
      <w:r w:rsidR="007D44D4">
        <w:t xml:space="preserve">amended </w:t>
      </w:r>
      <w:r w:rsidR="00E964C3">
        <w:t xml:space="preserve">particulars of claim on the ground that the </w:t>
      </w:r>
      <w:r w:rsidR="00F607BA">
        <w:t>amended particulars of claim do</w:t>
      </w:r>
      <w:r w:rsidR="00EB2CC0">
        <w:t xml:space="preserve"> </w:t>
      </w:r>
      <w:r w:rsidR="00E964C3">
        <w:t xml:space="preserve">not disclose a cause of action against the defendant. </w:t>
      </w:r>
      <w:r w:rsidR="006822C2">
        <w:t>Th</w:t>
      </w:r>
      <w:r w:rsidR="00E964C3">
        <w:t xml:space="preserve">e plaintiff opposed the exception and as a result the matter was placed on the opposed motion roll. </w:t>
      </w:r>
    </w:p>
    <w:p w:rsidR="00E964C3" w:rsidRDefault="00E964C3" w:rsidP="00C11A87">
      <w:pPr>
        <w:pStyle w:val="Heading1"/>
        <w:numPr>
          <w:ilvl w:val="0"/>
          <w:numId w:val="0"/>
        </w:numPr>
      </w:pPr>
    </w:p>
    <w:p w:rsidR="00E964C3" w:rsidRDefault="00E964C3" w:rsidP="00E964C3">
      <w:r>
        <w:t>[3]</w:t>
      </w:r>
      <w:r>
        <w:tab/>
        <w:t xml:space="preserve">The matter was set down for hearing </w:t>
      </w:r>
      <w:r w:rsidR="00C674DA">
        <w:t xml:space="preserve">the exception </w:t>
      </w:r>
      <w:r>
        <w:t>on 1 August 2014.</w:t>
      </w:r>
      <w:r w:rsidR="00C674DA">
        <w:t xml:space="preserve"> On that day (i.e. on 1 August 2014) after hearing the exception I made the following </w:t>
      </w:r>
      <w:r w:rsidR="009045ED">
        <w:t>ruling:</w:t>
      </w:r>
    </w:p>
    <w:p w:rsidR="00C674DA" w:rsidRDefault="00C674DA" w:rsidP="00E964C3"/>
    <w:p w:rsidR="00C674DA" w:rsidRDefault="00C674DA" w:rsidP="00C674DA">
      <w:pPr>
        <w:ind w:firstLine="720"/>
        <w:rPr>
          <w:sz w:val="22"/>
          <w:szCs w:val="22"/>
        </w:rPr>
      </w:pPr>
      <w:r w:rsidRPr="007D44D4">
        <w:rPr>
          <w:sz w:val="22"/>
          <w:szCs w:val="22"/>
        </w:rPr>
        <w:t>‘1.</w:t>
      </w:r>
      <w:r w:rsidRPr="007D44D4">
        <w:rPr>
          <w:sz w:val="22"/>
          <w:szCs w:val="22"/>
        </w:rPr>
        <w:tab/>
        <w:t>That the defendant’s exception is upheld with costs (such costs to include the costs of one instructing and one instructed counsel).</w:t>
      </w:r>
    </w:p>
    <w:p w:rsidR="00EB2CC0" w:rsidRPr="007D44D4" w:rsidRDefault="00EB2CC0" w:rsidP="00C674DA">
      <w:pPr>
        <w:ind w:firstLine="720"/>
        <w:rPr>
          <w:sz w:val="22"/>
          <w:szCs w:val="22"/>
        </w:rPr>
      </w:pPr>
    </w:p>
    <w:p w:rsidR="00C674DA" w:rsidRPr="007D44D4" w:rsidRDefault="00C674DA" w:rsidP="00C674DA">
      <w:pPr>
        <w:ind w:firstLine="720"/>
        <w:rPr>
          <w:sz w:val="22"/>
          <w:szCs w:val="22"/>
        </w:rPr>
      </w:pPr>
      <w:r w:rsidRPr="007D44D4">
        <w:rPr>
          <w:sz w:val="22"/>
          <w:szCs w:val="22"/>
        </w:rPr>
        <w:t>2</w:t>
      </w:r>
      <w:r w:rsidRPr="007D44D4">
        <w:rPr>
          <w:sz w:val="22"/>
          <w:szCs w:val="22"/>
        </w:rPr>
        <w:tab/>
        <w:t xml:space="preserve">That the particulars of claim are </w:t>
      </w:r>
      <w:r w:rsidR="00A97082" w:rsidRPr="007D44D4">
        <w:rPr>
          <w:sz w:val="22"/>
          <w:szCs w:val="22"/>
        </w:rPr>
        <w:t>set aside and the plaintiff is afforded an opportunity to amend its particulars of claim on or before 15 August 2014.</w:t>
      </w:r>
    </w:p>
    <w:p w:rsidR="00A97082" w:rsidRPr="007D44D4" w:rsidRDefault="00A97082" w:rsidP="00C674DA">
      <w:pPr>
        <w:ind w:firstLine="720"/>
        <w:rPr>
          <w:sz w:val="22"/>
          <w:szCs w:val="22"/>
        </w:rPr>
      </w:pPr>
    </w:p>
    <w:p w:rsidR="00A97082" w:rsidRPr="007D44D4" w:rsidRDefault="00A97082" w:rsidP="00C674DA">
      <w:pPr>
        <w:ind w:firstLine="720"/>
        <w:rPr>
          <w:sz w:val="22"/>
          <w:szCs w:val="22"/>
        </w:rPr>
      </w:pPr>
      <w:r w:rsidRPr="007D44D4">
        <w:rPr>
          <w:sz w:val="22"/>
          <w:szCs w:val="22"/>
        </w:rPr>
        <w:t>3.</w:t>
      </w:r>
      <w:r w:rsidRPr="007D44D4">
        <w:rPr>
          <w:sz w:val="22"/>
          <w:szCs w:val="22"/>
        </w:rPr>
        <w:tab/>
        <w:t>The matter is postponed to 24 September 2014 at 08h30 for a status hearing.’</w:t>
      </w:r>
    </w:p>
    <w:p w:rsidR="00A97082" w:rsidRPr="00E964C3" w:rsidRDefault="00A97082" w:rsidP="00C674DA">
      <w:pPr>
        <w:ind w:firstLine="720"/>
      </w:pPr>
    </w:p>
    <w:p w:rsidR="00A97082" w:rsidRPr="00886B1D" w:rsidRDefault="00A97082" w:rsidP="00C11A87">
      <w:pPr>
        <w:pStyle w:val="Heading1"/>
        <w:numPr>
          <w:ilvl w:val="0"/>
          <w:numId w:val="0"/>
        </w:numPr>
        <w:rPr>
          <w:rFonts w:cs="Arial"/>
          <w:szCs w:val="24"/>
        </w:rPr>
      </w:pPr>
      <w:r w:rsidRPr="00886B1D">
        <w:rPr>
          <w:rFonts w:cs="Arial"/>
          <w:szCs w:val="24"/>
        </w:rPr>
        <w:lastRenderedPageBreak/>
        <w:t>[4]</w:t>
      </w:r>
      <w:r w:rsidRPr="00886B1D">
        <w:rPr>
          <w:rFonts w:cs="Arial"/>
          <w:szCs w:val="24"/>
        </w:rPr>
        <w:tab/>
        <w:t xml:space="preserve">I find it appropriate to pause here and observe that during </w:t>
      </w:r>
      <w:r w:rsidR="008D0506" w:rsidRPr="00886B1D">
        <w:rPr>
          <w:rFonts w:cs="Arial"/>
          <w:szCs w:val="24"/>
        </w:rPr>
        <w:t>January 2014</w:t>
      </w:r>
      <w:r w:rsidRPr="00886B1D">
        <w:rPr>
          <w:rFonts w:cs="Arial"/>
          <w:szCs w:val="24"/>
        </w:rPr>
        <w:t xml:space="preserve"> the Judge President promulgated new </w:t>
      </w:r>
      <w:r w:rsidR="00CA7E67" w:rsidRPr="00886B1D">
        <w:rPr>
          <w:rFonts w:cs="Arial"/>
          <w:szCs w:val="24"/>
        </w:rPr>
        <w:t>R</w:t>
      </w:r>
      <w:r w:rsidRPr="00886B1D">
        <w:rPr>
          <w:rFonts w:cs="Arial"/>
          <w:szCs w:val="24"/>
        </w:rPr>
        <w:t>ules to govern the proceedings in this Court. The Rules promulgated</w:t>
      </w:r>
      <w:r w:rsidR="007D44D4" w:rsidRPr="00886B1D">
        <w:rPr>
          <w:rFonts w:cs="Arial"/>
          <w:szCs w:val="24"/>
        </w:rPr>
        <w:t xml:space="preserve"> during</w:t>
      </w:r>
      <w:r w:rsidRPr="00886B1D">
        <w:rPr>
          <w:rFonts w:cs="Arial"/>
          <w:szCs w:val="24"/>
        </w:rPr>
        <w:t xml:space="preserve"> </w:t>
      </w:r>
      <w:r w:rsidR="008D0506" w:rsidRPr="00886B1D">
        <w:rPr>
          <w:rFonts w:cs="Arial"/>
          <w:szCs w:val="24"/>
        </w:rPr>
        <w:t>January 2014</w:t>
      </w:r>
      <w:r w:rsidRPr="00886B1D">
        <w:rPr>
          <w:rFonts w:cs="Arial"/>
          <w:szCs w:val="24"/>
        </w:rPr>
        <w:t xml:space="preserve">, however, only came into operation on the </w:t>
      </w:r>
      <w:r w:rsidR="009045ED">
        <w:rPr>
          <w:rFonts w:cs="Arial"/>
          <w:szCs w:val="24"/>
        </w:rPr>
        <w:t>16</w:t>
      </w:r>
      <w:r w:rsidR="009045ED" w:rsidRPr="009045ED">
        <w:rPr>
          <w:rFonts w:cs="Arial"/>
          <w:szCs w:val="24"/>
          <w:vertAlign w:val="superscript"/>
        </w:rPr>
        <w:t>th</w:t>
      </w:r>
      <w:r w:rsidR="009045ED">
        <w:rPr>
          <w:rFonts w:cs="Arial"/>
          <w:szCs w:val="24"/>
        </w:rPr>
        <w:t xml:space="preserve"> </w:t>
      </w:r>
      <w:r w:rsidRPr="00886B1D">
        <w:rPr>
          <w:rFonts w:cs="Arial"/>
          <w:szCs w:val="24"/>
        </w:rPr>
        <w:t>of April 2014.</w:t>
      </w:r>
    </w:p>
    <w:p w:rsidR="00A97082" w:rsidRPr="00886B1D" w:rsidRDefault="00A97082" w:rsidP="00C11A87">
      <w:pPr>
        <w:pStyle w:val="Heading1"/>
        <w:numPr>
          <w:ilvl w:val="0"/>
          <w:numId w:val="0"/>
        </w:numPr>
        <w:rPr>
          <w:rFonts w:cs="Arial"/>
          <w:szCs w:val="24"/>
        </w:rPr>
      </w:pPr>
    </w:p>
    <w:p w:rsidR="00886B1D" w:rsidRPr="00886B1D" w:rsidRDefault="003817E9" w:rsidP="00886B1D">
      <w:pPr>
        <w:autoSpaceDE w:val="0"/>
        <w:autoSpaceDN w:val="0"/>
        <w:adjustRightInd w:val="0"/>
        <w:rPr>
          <w:rFonts w:cs="Arial"/>
          <w:spacing w:val="0"/>
          <w:szCs w:val="24"/>
        </w:rPr>
      </w:pPr>
      <w:r w:rsidRPr="00886B1D">
        <w:rPr>
          <w:rFonts w:cs="Arial"/>
          <w:szCs w:val="24"/>
        </w:rPr>
        <w:t>[5]</w:t>
      </w:r>
      <w:r w:rsidRPr="00886B1D">
        <w:rPr>
          <w:rFonts w:cs="Arial"/>
          <w:szCs w:val="24"/>
        </w:rPr>
        <w:tab/>
        <w:t xml:space="preserve">Pursuant to the </w:t>
      </w:r>
      <w:r w:rsidRPr="00EB2CC0">
        <w:rPr>
          <w:rFonts w:cs="Arial"/>
          <w:color w:val="000000" w:themeColor="text1"/>
          <w:szCs w:val="24"/>
        </w:rPr>
        <w:t>cost</w:t>
      </w:r>
      <w:r w:rsidR="00F607BA" w:rsidRPr="00EB2CC0">
        <w:rPr>
          <w:rFonts w:cs="Arial"/>
          <w:color w:val="000000" w:themeColor="text1"/>
          <w:szCs w:val="24"/>
        </w:rPr>
        <w:t>s</w:t>
      </w:r>
      <w:r w:rsidRPr="00EB2CC0">
        <w:rPr>
          <w:rFonts w:cs="Arial"/>
          <w:color w:val="000000" w:themeColor="text1"/>
          <w:szCs w:val="24"/>
        </w:rPr>
        <w:t xml:space="preserve"> order </w:t>
      </w:r>
      <w:r w:rsidRPr="00886B1D">
        <w:rPr>
          <w:rFonts w:cs="Arial"/>
          <w:szCs w:val="24"/>
        </w:rPr>
        <w:t>made in his favour the defendant</w:t>
      </w:r>
      <w:r w:rsidR="00607982" w:rsidRPr="00886B1D">
        <w:rPr>
          <w:rFonts w:cs="Arial"/>
          <w:szCs w:val="24"/>
        </w:rPr>
        <w:t>,</w:t>
      </w:r>
      <w:r w:rsidRPr="00886B1D">
        <w:rPr>
          <w:rFonts w:cs="Arial"/>
          <w:szCs w:val="24"/>
        </w:rPr>
        <w:t xml:space="preserve"> on 19 August 2014</w:t>
      </w:r>
      <w:r w:rsidR="00607982" w:rsidRPr="00886B1D">
        <w:rPr>
          <w:rFonts w:cs="Arial"/>
          <w:szCs w:val="24"/>
        </w:rPr>
        <w:t>,</w:t>
      </w:r>
      <w:r w:rsidRPr="00886B1D">
        <w:rPr>
          <w:rFonts w:cs="Arial"/>
          <w:szCs w:val="24"/>
        </w:rPr>
        <w:t xml:space="preserve"> served a notice of taxation (to be held on 09 September 2014) on the plaintiff. A bill of cost</w:t>
      </w:r>
      <w:r w:rsidR="00607982" w:rsidRPr="00886B1D">
        <w:rPr>
          <w:rFonts w:cs="Arial"/>
          <w:szCs w:val="24"/>
        </w:rPr>
        <w:t>s</w:t>
      </w:r>
      <w:r w:rsidRPr="00886B1D">
        <w:rPr>
          <w:rFonts w:cs="Arial"/>
          <w:szCs w:val="24"/>
        </w:rPr>
        <w:t xml:space="preserve"> was attached to the </w:t>
      </w:r>
      <w:r w:rsidR="008D0506" w:rsidRPr="00886B1D">
        <w:rPr>
          <w:rFonts w:cs="Arial"/>
          <w:szCs w:val="24"/>
        </w:rPr>
        <w:t>notice of taxation</w:t>
      </w:r>
      <w:r w:rsidRPr="00886B1D">
        <w:rPr>
          <w:rFonts w:cs="Arial"/>
          <w:szCs w:val="24"/>
        </w:rPr>
        <w:t xml:space="preserve">. The taxation was, as scheduled, held on </w:t>
      </w:r>
      <w:r w:rsidR="006822C2" w:rsidRPr="00886B1D">
        <w:rPr>
          <w:rFonts w:cs="Arial"/>
          <w:szCs w:val="24"/>
        </w:rPr>
        <w:t>9 September 2014</w:t>
      </w:r>
      <w:r w:rsidRPr="00886B1D">
        <w:rPr>
          <w:rFonts w:cs="Arial"/>
          <w:szCs w:val="24"/>
        </w:rPr>
        <w:t>.</w:t>
      </w:r>
      <w:r w:rsidR="00886B1D" w:rsidRPr="00886B1D">
        <w:rPr>
          <w:rFonts w:cs="Arial"/>
          <w:szCs w:val="24"/>
        </w:rPr>
        <w:t xml:space="preserve"> On </w:t>
      </w:r>
      <w:r w:rsidR="00886B1D">
        <w:rPr>
          <w:rFonts w:cs="Arial"/>
          <w:szCs w:val="24"/>
        </w:rPr>
        <w:t xml:space="preserve">that day (i.e. the </w:t>
      </w:r>
      <w:r w:rsidR="00886B1D" w:rsidRPr="00886B1D">
        <w:rPr>
          <w:rFonts w:cs="Arial"/>
          <w:szCs w:val="24"/>
        </w:rPr>
        <w:t>9</w:t>
      </w:r>
      <w:r w:rsidR="00886B1D" w:rsidRPr="00886B1D">
        <w:rPr>
          <w:rFonts w:cs="Arial"/>
          <w:szCs w:val="24"/>
          <w:vertAlign w:val="superscript"/>
        </w:rPr>
        <w:t>th</w:t>
      </w:r>
      <w:r w:rsidR="00886B1D">
        <w:rPr>
          <w:rFonts w:cs="Arial"/>
          <w:szCs w:val="24"/>
        </w:rPr>
        <w:t xml:space="preserve"> </w:t>
      </w:r>
      <w:r w:rsidR="00886B1D" w:rsidRPr="00886B1D">
        <w:rPr>
          <w:rFonts w:cs="Arial"/>
          <w:szCs w:val="24"/>
        </w:rPr>
        <w:t>September 2014</w:t>
      </w:r>
      <w:r w:rsidR="00886B1D">
        <w:rPr>
          <w:rFonts w:cs="Arial"/>
          <w:szCs w:val="24"/>
        </w:rPr>
        <w:t xml:space="preserve">) </w:t>
      </w:r>
      <w:r w:rsidR="00886B1D" w:rsidRPr="00886B1D">
        <w:rPr>
          <w:rFonts w:cs="Arial"/>
          <w:szCs w:val="24"/>
        </w:rPr>
        <w:t xml:space="preserve">Ms </w:t>
      </w:r>
      <w:proofErr w:type="spellStart"/>
      <w:r w:rsidR="00886B1D" w:rsidRPr="00886B1D">
        <w:rPr>
          <w:rFonts w:cs="Arial"/>
          <w:szCs w:val="24"/>
        </w:rPr>
        <w:t>Lubbe</w:t>
      </w:r>
      <w:proofErr w:type="spellEnd"/>
      <w:r w:rsidR="00886B1D">
        <w:rPr>
          <w:rFonts w:cs="Arial"/>
          <w:szCs w:val="24"/>
        </w:rPr>
        <w:t xml:space="preserve">, </w:t>
      </w:r>
      <w:r w:rsidR="00886B1D">
        <w:t>the defendant’s legal practitioner of record</w:t>
      </w:r>
      <w:r w:rsidR="00886B1D" w:rsidRPr="00886B1D">
        <w:rPr>
          <w:rFonts w:cs="Arial"/>
          <w:szCs w:val="24"/>
        </w:rPr>
        <w:t xml:space="preserve"> and Ms </w:t>
      </w:r>
      <w:proofErr w:type="spellStart"/>
      <w:r w:rsidR="00886B1D" w:rsidRPr="00886B1D">
        <w:rPr>
          <w:rFonts w:cs="Arial"/>
          <w:szCs w:val="24"/>
        </w:rPr>
        <w:t>Feris</w:t>
      </w:r>
      <w:proofErr w:type="spellEnd"/>
      <w:r w:rsidR="00886B1D">
        <w:rPr>
          <w:rFonts w:cs="Arial"/>
          <w:szCs w:val="24"/>
        </w:rPr>
        <w:t xml:space="preserve">, </w:t>
      </w:r>
      <w:r w:rsidR="00886B1D">
        <w:t>the plaintiff’s legal practitioner of record</w:t>
      </w:r>
      <w:r w:rsidR="00886B1D" w:rsidRPr="00886B1D">
        <w:rPr>
          <w:rFonts w:cs="Arial"/>
          <w:szCs w:val="24"/>
        </w:rPr>
        <w:t xml:space="preserve"> attended the Registrar’s General Office to meet the Taxing Master </w:t>
      </w:r>
      <w:r w:rsidR="00886B1D">
        <w:t xml:space="preserve">who is the first respondent (I will refer to him simply as the Taxing Master) </w:t>
      </w:r>
      <w:r w:rsidR="00886B1D" w:rsidRPr="00886B1D">
        <w:rPr>
          <w:rFonts w:cs="Arial"/>
          <w:szCs w:val="24"/>
        </w:rPr>
        <w:t>and discussed the bill of costs</w:t>
      </w:r>
      <w:r w:rsidR="00886B1D">
        <w:rPr>
          <w:rFonts w:cs="Arial"/>
          <w:szCs w:val="24"/>
        </w:rPr>
        <w:t>.</w:t>
      </w:r>
    </w:p>
    <w:p w:rsidR="00886B1D" w:rsidRPr="00886B1D" w:rsidRDefault="00886B1D" w:rsidP="00886B1D">
      <w:pPr>
        <w:pStyle w:val="ListParagraph"/>
        <w:rPr>
          <w:rFonts w:ascii="Arial" w:hAnsi="Arial" w:cs="Arial"/>
          <w:sz w:val="24"/>
          <w:szCs w:val="24"/>
          <w:lang w:val="en-GB"/>
        </w:rPr>
      </w:pPr>
    </w:p>
    <w:p w:rsidR="003817E9" w:rsidRPr="0018421A" w:rsidRDefault="00886B1D" w:rsidP="00886B1D">
      <w:pPr>
        <w:autoSpaceDE w:val="0"/>
        <w:autoSpaceDN w:val="0"/>
        <w:adjustRightInd w:val="0"/>
        <w:rPr>
          <w:szCs w:val="24"/>
        </w:rPr>
      </w:pPr>
      <w:r w:rsidRPr="0018421A">
        <w:rPr>
          <w:rFonts w:cs="Arial"/>
          <w:szCs w:val="24"/>
        </w:rPr>
        <w:t>[6]</w:t>
      </w:r>
      <w:r w:rsidRPr="0018421A">
        <w:rPr>
          <w:rFonts w:cs="Arial"/>
          <w:szCs w:val="24"/>
        </w:rPr>
        <w:tab/>
        <w:t xml:space="preserve">Ms </w:t>
      </w:r>
      <w:proofErr w:type="spellStart"/>
      <w:r w:rsidRPr="0018421A">
        <w:rPr>
          <w:rFonts w:cs="Arial"/>
          <w:szCs w:val="24"/>
        </w:rPr>
        <w:t>Feris</w:t>
      </w:r>
      <w:proofErr w:type="spellEnd"/>
      <w:r w:rsidRPr="0018421A">
        <w:rPr>
          <w:rFonts w:cs="Arial"/>
          <w:szCs w:val="24"/>
        </w:rPr>
        <w:t xml:space="preserve">, while with Ms </w:t>
      </w:r>
      <w:proofErr w:type="spellStart"/>
      <w:r w:rsidRPr="0018421A">
        <w:rPr>
          <w:rFonts w:cs="Arial"/>
          <w:szCs w:val="24"/>
        </w:rPr>
        <w:t>Lubbe</w:t>
      </w:r>
      <w:proofErr w:type="spellEnd"/>
      <w:r w:rsidRPr="0018421A">
        <w:rPr>
          <w:rFonts w:cs="Arial"/>
          <w:szCs w:val="24"/>
        </w:rPr>
        <w:t xml:space="preserve">, went through the bill of costs, in the absence of the Taxing Master and had a few queries which were addressed by Ms </w:t>
      </w:r>
      <w:proofErr w:type="spellStart"/>
      <w:r w:rsidRPr="0018421A">
        <w:rPr>
          <w:rFonts w:cs="Arial"/>
          <w:szCs w:val="24"/>
        </w:rPr>
        <w:t>Lubbe</w:t>
      </w:r>
      <w:proofErr w:type="spellEnd"/>
      <w:r w:rsidRPr="0018421A">
        <w:rPr>
          <w:rFonts w:cs="Arial"/>
          <w:szCs w:val="24"/>
        </w:rPr>
        <w:t xml:space="preserve"> to Ms </w:t>
      </w:r>
      <w:proofErr w:type="spellStart"/>
      <w:r w:rsidRPr="0018421A">
        <w:rPr>
          <w:rFonts w:cs="Arial"/>
          <w:szCs w:val="24"/>
        </w:rPr>
        <w:t>Feris</w:t>
      </w:r>
      <w:proofErr w:type="spellEnd"/>
      <w:r w:rsidRPr="0018421A">
        <w:rPr>
          <w:rFonts w:cs="Arial"/>
          <w:szCs w:val="24"/>
        </w:rPr>
        <w:t xml:space="preserve">’ satisfaction. After Ms </w:t>
      </w:r>
      <w:proofErr w:type="spellStart"/>
      <w:r w:rsidRPr="0018421A">
        <w:rPr>
          <w:rFonts w:cs="Arial"/>
          <w:szCs w:val="24"/>
        </w:rPr>
        <w:t>Feris</w:t>
      </w:r>
      <w:proofErr w:type="spellEnd"/>
      <w:r w:rsidRPr="0018421A">
        <w:rPr>
          <w:rFonts w:cs="Arial"/>
          <w:szCs w:val="24"/>
        </w:rPr>
        <w:t xml:space="preserve"> had gone through the bill of costs and was satisfied with the bill, she and Ms </w:t>
      </w:r>
      <w:proofErr w:type="spellStart"/>
      <w:r w:rsidRPr="0018421A">
        <w:rPr>
          <w:rFonts w:cs="Arial"/>
          <w:szCs w:val="24"/>
        </w:rPr>
        <w:t>Lubbe</w:t>
      </w:r>
      <w:proofErr w:type="spellEnd"/>
      <w:r w:rsidRPr="0018421A">
        <w:rPr>
          <w:rFonts w:cs="Arial"/>
          <w:szCs w:val="24"/>
        </w:rPr>
        <w:t xml:space="preserve"> attended to the taxation with the Taxing Master who enquired whether there were any items in dispute or any objections to which Ms </w:t>
      </w:r>
      <w:proofErr w:type="spellStart"/>
      <w:r w:rsidR="00F607BA">
        <w:rPr>
          <w:rFonts w:cs="Arial"/>
          <w:szCs w:val="24"/>
        </w:rPr>
        <w:t>Feris</w:t>
      </w:r>
      <w:proofErr w:type="spellEnd"/>
      <w:r w:rsidR="00F607BA">
        <w:rPr>
          <w:rFonts w:cs="Arial"/>
          <w:szCs w:val="24"/>
        </w:rPr>
        <w:t xml:space="preserve"> responded in the line of ‘</w:t>
      </w:r>
      <w:r w:rsidRPr="0018421A">
        <w:rPr>
          <w:rFonts w:cs="Arial"/>
          <w:szCs w:val="24"/>
        </w:rPr>
        <w:t>no, the b</w:t>
      </w:r>
      <w:r w:rsidR="00F607BA">
        <w:rPr>
          <w:rFonts w:cs="Arial"/>
          <w:szCs w:val="24"/>
        </w:rPr>
        <w:t>ills are actually up to scratch’</w:t>
      </w:r>
      <w:r w:rsidRPr="0018421A">
        <w:rPr>
          <w:rFonts w:cs="Arial"/>
          <w:szCs w:val="24"/>
        </w:rPr>
        <w:t xml:space="preserve">. In view of the reply given by Ms </w:t>
      </w:r>
      <w:proofErr w:type="spellStart"/>
      <w:r w:rsidRPr="0018421A">
        <w:rPr>
          <w:rFonts w:cs="Arial"/>
          <w:szCs w:val="24"/>
        </w:rPr>
        <w:t>Feris</w:t>
      </w:r>
      <w:proofErr w:type="spellEnd"/>
      <w:r w:rsidRPr="0018421A">
        <w:rPr>
          <w:rFonts w:cs="Arial"/>
          <w:szCs w:val="24"/>
        </w:rPr>
        <w:t xml:space="preserve"> the Taxing Master </w:t>
      </w:r>
      <w:r w:rsidRPr="0018421A">
        <w:rPr>
          <w:szCs w:val="24"/>
        </w:rPr>
        <w:t xml:space="preserve">confirmed that he would finalise the taxed </w:t>
      </w:r>
      <w:proofErr w:type="spellStart"/>
      <w:r w:rsidR="0018421A" w:rsidRPr="0018421A">
        <w:rPr>
          <w:rFonts w:cs="Arial"/>
          <w:i/>
          <w:iCs/>
          <w:spacing w:val="0"/>
          <w:szCs w:val="24"/>
          <w:lang w:val="en-US" w:eastAsia="en-ZA"/>
        </w:rPr>
        <w:t>allocatur</w:t>
      </w:r>
      <w:proofErr w:type="spellEnd"/>
      <w:r w:rsidRPr="0018421A">
        <w:rPr>
          <w:i/>
          <w:szCs w:val="24"/>
        </w:rPr>
        <w:t xml:space="preserve"> </w:t>
      </w:r>
      <w:r w:rsidRPr="0018421A">
        <w:rPr>
          <w:szCs w:val="24"/>
        </w:rPr>
        <w:t>and provide it to the parties’ representatives.</w:t>
      </w:r>
      <w:r w:rsidR="003817E9" w:rsidRPr="0018421A">
        <w:rPr>
          <w:szCs w:val="24"/>
        </w:rPr>
        <w:t xml:space="preserve"> After the taxation the Taxing Master </w:t>
      </w:r>
      <w:r w:rsidR="00322F61" w:rsidRPr="0018421A">
        <w:rPr>
          <w:szCs w:val="24"/>
        </w:rPr>
        <w:t xml:space="preserve">issued an </w:t>
      </w:r>
      <w:proofErr w:type="spellStart"/>
      <w:r w:rsidR="0018421A" w:rsidRPr="0018421A">
        <w:rPr>
          <w:rFonts w:cs="Arial"/>
          <w:i/>
          <w:iCs/>
          <w:spacing w:val="0"/>
          <w:szCs w:val="24"/>
          <w:lang w:val="en-US" w:eastAsia="en-ZA"/>
        </w:rPr>
        <w:t>allocatur</w:t>
      </w:r>
      <w:proofErr w:type="spellEnd"/>
      <w:r w:rsidR="00322F61" w:rsidRPr="0018421A">
        <w:rPr>
          <w:szCs w:val="24"/>
        </w:rPr>
        <w:t xml:space="preserve"> in the amount of N$</w:t>
      </w:r>
      <w:r w:rsidR="000C28A5" w:rsidRPr="0018421A">
        <w:rPr>
          <w:szCs w:val="24"/>
        </w:rPr>
        <w:t xml:space="preserve"> </w:t>
      </w:r>
      <w:r w:rsidR="00322F61" w:rsidRPr="0018421A">
        <w:rPr>
          <w:szCs w:val="24"/>
        </w:rPr>
        <w:t>32</w:t>
      </w:r>
      <w:r w:rsidR="003817E9" w:rsidRPr="0018421A">
        <w:rPr>
          <w:szCs w:val="24"/>
        </w:rPr>
        <w:t xml:space="preserve"> 259-75 in</w:t>
      </w:r>
      <w:r w:rsidR="00322F61" w:rsidRPr="0018421A">
        <w:rPr>
          <w:szCs w:val="24"/>
        </w:rPr>
        <w:t xml:space="preserve"> favour of the </w:t>
      </w:r>
      <w:r w:rsidR="003817E9" w:rsidRPr="0018421A">
        <w:rPr>
          <w:szCs w:val="24"/>
        </w:rPr>
        <w:t>defendant</w:t>
      </w:r>
      <w:r w:rsidR="00322F61" w:rsidRPr="0018421A">
        <w:rPr>
          <w:szCs w:val="24"/>
        </w:rPr>
        <w:t>.</w:t>
      </w:r>
      <w:r w:rsidR="000C28A5" w:rsidRPr="0018421A">
        <w:rPr>
          <w:szCs w:val="24"/>
        </w:rPr>
        <w:t xml:space="preserve"> </w:t>
      </w:r>
    </w:p>
    <w:p w:rsidR="003817E9" w:rsidRDefault="003817E9" w:rsidP="003817E9"/>
    <w:p w:rsidR="0022526E" w:rsidRDefault="003817E9" w:rsidP="0022526E">
      <w:r>
        <w:t>[</w:t>
      </w:r>
      <w:r w:rsidR="00886B1D">
        <w:t>7</w:t>
      </w:r>
      <w:r>
        <w:t>]</w:t>
      </w:r>
      <w:r>
        <w:tab/>
      </w:r>
      <w:r w:rsidR="000C28A5">
        <w:t xml:space="preserve">On </w:t>
      </w:r>
      <w:r w:rsidR="0030156B">
        <w:t>11</w:t>
      </w:r>
      <w:r w:rsidR="000C28A5">
        <w:t xml:space="preserve"> September 2014</w:t>
      </w:r>
      <w:r w:rsidR="000C28A5" w:rsidRPr="000C28A5">
        <w:t xml:space="preserve"> </w:t>
      </w:r>
      <w:r w:rsidR="0030156B">
        <w:t xml:space="preserve">Ms </w:t>
      </w:r>
      <w:proofErr w:type="spellStart"/>
      <w:r w:rsidR="0030156B">
        <w:t>Lubbe</w:t>
      </w:r>
      <w:proofErr w:type="spellEnd"/>
      <w:r w:rsidR="0030156B">
        <w:t xml:space="preserve"> addressed a letter to Ms </w:t>
      </w:r>
      <w:proofErr w:type="spellStart"/>
      <w:r w:rsidR="0030156B">
        <w:t>Feris</w:t>
      </w:r>
      <w:proofErr w:type="spellEnd"/>
      <w:r w:rsidR="0030156B">
        <w:t xml:space="preserve">, in which letter Ms </w:t>
      </w:r>
      <w:proofErr w:type="spellStart"/>
      <w:r w:rsidR="0030156B">
        <w:t>Lubbe</w:t>
      </w:r>
      <w:proofErr w:type="spellEnd"/>
      <w:r w:rsidR="0030156B">
        <w:t xml:space="preserve"> requested that the amount of N$ 32 259-75 contained in the </w:t>
      </w:r>
      <w:proofErr w:type="spellStart"/>
      <w:r w:rsidR="0018421A" w:rsidRPr="0018421A">
        <w:rPr>
          <w:rFonts w:cs="Arial"/>
          <w:i/>
          <w:iCs/>
          <w:spacing w:val="0"/>
          <w:szCs w:val="24"/>
          <w:lang w:val="en-US" w:eastAsia="en-ZA"/>
        </w:rPr>
        <w:t>allocatur</w:t>
      </w:r>
      <w:proofErr w:type="spellEnd"/>
      <w:r w:rsidR="0030156B" w:rsidRPr="008D0506">
        <w:rPr>
          <w:i/>
        </w:rPr>
        <w:t xml:space="preserve"> </w:t>
      </w:r>
      <w:r w:rsidR="0030156B">
        <w:t xml:space="preserve">be paid within a period of seven days. </w:t>
      </w:r>
      <w:r w:rsidR="00A9109D">
        <w:t xml:space="preserve"> </w:t>
      </w:r>
      <w:r w:rsidR="0030156B">
        <w:t xml:space="preserve">After receipt of the letter of 11 September 2014 Ms </w:t>
      </w:r>
      <w:proofErr w:type="spellStart"/>
      <w:r w:rsidR="0030156B">
        <w:t>Feris</w:t>
      </w:r>
      <w:proofErr w:type="spellEnd"/>
      <w:r w:rsidR="0030156B">
        <w:t xml:space="preserve"> contacted Ms </w:t>
      </w:r>
      <w:proofErr w:type="spellStart"/>
      <w:r w:rsidR="0030156B">
        <w:t>Lubbe</w:t>
      </w:r>
      <w:proofErr w:type="spellEnd"/>
      <w:r w:rsidR="0030156B">
        <w:t xml:space="preserve"> </w:t>
      </w:r>
      <w:r w:rsidR="0022526E">
        <w:t xml:space="preserve">and discussed the amount of the costs contained in the </w:t>
      </w:r>
      <w:proofErr w:type="spellStart"/>
      <w:r w:rsidR="0018421A" w:rsidRPr="0018421A">
        <w:rPr>
          <w:rFonts w:cs="Arial"/>
          <w:i/>
          <w:iCs/>
          <w:spacing w:val="0"/>
          <w:szCs w:val="24"/>
          <w:lang w:val="en-US" w:eastAsia="en-ZA"/>
        </w:rPr>
        <w:t>allocatur</w:t>
      </w:r>
      <w:proofErr w:type="spellEnd"/>
      <w:r w:rsidR="0018421A">
        <w:rPr>
          <w:rFonts w:cs="Arial"/>
          <w:i/>
          <w:iCs/>
          <w:spacing w:val="0"/>
          <w:szCs w:val="24"/>
          <w:lang w:val="en-US" w:eastAsia="en-ZA"/>
        </w:rPr>
        <w:t>.</w:t>
      </w:r>
      <w:r w:rsidR="0018421A">
        <w:t xml:space="preserve"> </w:t>
      </w:r>
      <w:r w:rsidR="0022526E">
        <w:t xml:space="preserve">On 25 September 2014 </w:t>
      </w:r>
      <w:r w:rsidR="000C28A5">
        <w:t xml:space="preserve">Ms </w:t>
      </w:r>
      <w:proofErr w:type="spellStart"/>
      <w:r w:rsidR="000C28A5">
        <w:t>Feris</w:t>
      </w:r>
      <w:proofErr w:type="spellEnd"/>
      <w:r w:rsidR="0022526E">
        <w:t xml:space="preserve"> </w:t>
      </w:r>
      <w:r w:rsidR="00A9109D">
        <w:t xml:space="preserve">replied to the </w:t>
      </w:r>
      <w:r w:rsidR="0022526E">
        <w:t xml:space="preserve">letter </w:t>
      </w:r>
      <w:r w:rsidR="00A9109D">
        <w:t xml:space="preserve">of </w:t>
      </w:r>
      <w:r w:rsidR="000C28A5">
        <w:t xml:space="preserve">Ms </w:t>
      </w:r>
      <w:proofErr w:type="spellStart"/>
      <w:r w:rsidR="000C28A5">
        <w:t>Lubbe</w:t>
      </w:r>
      <w:proofErr w:type="spellEnd"/>
      <w:r w:rsidR="0022526E">
        <w:t xml:space="preserve"> </w:t>
      </w:r>
      <w:r w:rsidR="00A9109D">
        <w:t>and in that reply</w:t>
      </w:r>
      <w:r w:rsidR="0022526E">
        <w:t xml:space="preserve"> informed Ms </w:t>
      </w:r>
      <w:proofErr w:type="spellStart"/>
      <w:r w:rsidR="0022526E">
        <w:t>Lubbe</w:t>
      </w:r>
      <w:proofErr w:type="spellEnd"/>
      <w:r w:rsidR="0022526E">
        <w:t xml:space="preserve"> that </w:t>
      </w:r>
      <w:r w:rsidR="000C28A5">
        <w:t xml:space="preserve">the costs of the exception </w:t>
      </w:r>
      <w:r>
        <w:t>ought to, in terms of Rule 32 (11) of the new Rules of Court which came into operation on 1</w:t>
      </w:r>
      <w:r w:rsidR="00EB2CC0">
        <w:t>6</w:t>
      </w:r>
      <w:r>
        <w:t xml:space="preserve"> April 2014,</w:t>
      </w:r>
      <w:r w:rsidR="000C28A5">
        <w:t xml:space="preserve"> have been limited</w:t>
      </w:r>
      <w:r w:rsidR="006822C2">
        <w:t xml:space="preserve"> to N$20</w:t>
      </w:r>
      <w:r>
        <w:t xml:space="preserve"> </w:t>
      </w:r>
      <w:r w:rsidR="006822C2">
        <w:t>000</w:t>
      </w:r>
      <w:r w:rsidR="0022526E">
        <w:t xml:space="preserve"> and on the instructions of the plaintiff made proposal to settle the </w:t>
      </w:r>
      <w:r w:rsidR="00A9109D">
        <w:t xml:space="preserve">defendant’s </w:t>
      </w:r>
      <w:r w:rsidR="0022526E">
        <w:t xml:space="preserve">cost </w:t>
      </w:r>
      <w:r w:rsidR="00A9109D">
        <w:t xml:space="preserve">of the exception </w:t>
      </w:r>
      <w:r w:rsidR="0022526E">
        <w:t xml:space="preserve">but limited to the amount </w:t>
      </w:r>
      <w:r w:rsidR="00A9109D">
        <w:t xml:space="preserve">(i.e. N$ 20 000) </w:t>
      </w:r>
      <w:r w:rsidR="0022526E">
        <w:t>contemplated in Rule 32(11)</w:t>
      </w:r>
      <w:r>
        <w:t>.</w:t>
      </w:r>
      <w:r w:rsidR="006822C2">
        <w:t xml:space="preserve"> </w:t>
      </w:r>
      <w:r w:rsidR="0022526E">
        <w:t xml:space="preserve"> </w:t>
      </w:r>
    </w:p>
    <w:p w:rsidR="0022526E" w:rsidRDefault="0022526E" w:rsidP="0022526E"/>
    <w:p w:rsidR="006822C2" w:rsidRDefault="0022526E" w:rsidP="0022526E">
      <w:r>
        <w:t>[8]</w:t>
      </w:r>
      <w:r>
        <w:tab/>
        <w:t xml:space="preserve">On 30 September 2014, the defendant through her legal practitioner of record rejected the proposal and demanded the full amount </w:t>
      </w:r>
      <w:r w:rsidR="009045ED">
        <w:t xml:space="preserve">(i.e. N$ 32 259-75) </w:t>
      </w:r>
      <w:r>
        <w:t>contained in the</w:t>
      </w:r>
      <w:r w:rsidRPr="008D0506">
        <w:rPr>
          <w:i/>
        </w:rPr>
        <w:t xml:space="preserve"> </w:t>
      </w:r>
      <w:proofErr w:type="spellStart"/>
      <w:r w:rsidR="0018421A" w:rsidRPr="0018421A">
        <w:rPr>
          <w:rFonts w:cs="Arial"/>
          <w:i/>
          <w:iCs/>
          <w:spacing w:val="0"/>
          <w:szCs w:val="24"/>
          <w:lang w:val="en-US" w:eastAsia="en-ZA"/>
        </w:rPr>
        <w:t>allocatur</w:t>
      </w:r>
      <w:proofErr w:type="spellEnd"/>
      <w:r>
        <w:t xml:space="preserve">. The defendant further threatened to issue a warrant of execution if the full amount contained in the </w:t>
      </w:r>
      <w:proofErr w:type="spellStart"/>
      <w:r w:rsidR="0018421A" w:rsidRPr="0018421A">
        <w:rPr>
          <w:rFonts w:cs="Arial"/>
          <w:i/>
          <w:iCs/>
          <w:spacing w:val="0"/>
          <w:szCs w:val="24"/>
          <w:lang w:val="en-US" w:eastAsia="en-ZA"/>
        </w:rPr>
        <w:t>allocatur</w:t>
      </w:r>
      <w:proofErr w:type="spellEnd"/>
      <w:r>
        <w:t xml:space="preserve"> was not paid. It is the</w:t>
      </w:r>
      <w:r w:rsidR="009045ED">
        <w:t xml:space="preserve">reafter </w:t>
      </w:r>
      <w:r>
        <w:t xml:space="preserve">that the plaintiff instructed his legal practitioner to launch this application for the review and setting aside the </w:t>
      </w:r>
      <w:proofErr w:type="spellStart"/>
      <w:r w:rsidR="0018421A" w:rsidRPr="0018421A">
        <w:rPr>
          <w:rFonts w:cs="Arial"/>
          <w:i/>
          <w:iCs/>
          <w:spacing w:val="0"/>
          <w:szCs w:val="24"/>
          <w:lang w:val="en-US" w:eastAsia="en-ZA"/>
        </w:rPr>
        <w:t>allocatur</w:t>
      </w:r>
      <w:proofErr w:type="spellEnd"/>
      <w:r w:rsidR="0018421A">
        <w:t xml:space="preserve"> </w:t>
      </w:r>
      <w:r>
        <w:t xml:space="preserve">issued </w:t>
      </w:r>
      <w:r w:rsidR="007E2E45">
        <w:t xml:space="preserve">on 9 September 2014. The application for review was launched during October 2014. The defendant opposes the application whereas the </w:t>
      </w:r>
      <w:r w:rsidR="00F607BA">
        <w:t>Taxi</w:t>
      </w:r>
      <w:r w:rsidR="00E36206">
        <w:t>ng Master does</w:t>
      </w:r>
      <w:r w:rsidR="007E2E45">
        <w:t xml:space="preserve"> not oppose the application he indicated that he will abide by the decision of the Court.</w:t>
      </w:r>
    </w:p>
    <w:p w:rsidR="007E2E45" w:rsidRPr="00C83D9D" w:rsidRDefault="007E2E45" w:rsidP="0022526E">
      <w:pPr>
        <w:rPr>
          <w:rFonts w:cs="Arial"/>
          <w:szCs w:val="24"/>
        </w:rPr>
      </w:pPr>
    </w:p>
    <w:p w:rsidR="00082552" w:rsidRDefault="007E2E45" w:rsidP="00082552">
      <w:pPr>
        <w:rPr>
          <w:u w:val="single"/>
        </w:rPr>
      </w:pPr>
      <w:r w:rsidRPr="007E2E45">
        <w:rPr>
          <w:u w:val="single"/>
        </w:rPr>
        <w:t xml:space="preserve">The grounds on which the plaintiff seeks the review and setting aside of the </w:t>
      </w:r>
      <w:proofErr w:type="spellStart"/>
      <w:r w:rsidR="0018421A">
        <w:rPr>
          <w:i/>
          <w:u w:val="single"/>
        </w:rPr>
        <w:t>allocatur</w:t>
      </w:r>
      <w:proofErr w:type="spellEnd"/>
      <w:r w:rsidRPr="00E36206">
        <w:rPr>
          <w:i/>
          <w:u w:val="single"/>
        </w:rPr>
        <w:t xml:space="preserve"> </w:t>
      </w:r>
      <w:r w:rsidR="006B6E63">
        <w:rPr>
          <w:u w:val="single"/>
        </w:rPr>
        <w:t>dated 9 September 2014</w:t>
      </w:r>
    </w:p>
    <w:p w:rsidR="007E2E45" w:rsidRDefault="007E2E45" w:rsidP="00082552">
      <w:pPr>
        <w:rPr>
          <w:u w:val="single"/>
        </w:rPr>
      </w:pPr>
    </w:p>
    <w:p w:rsidR="000C28A5" w:rsidRDefault="007E2E45" w:rsidP="006D3F39">
      <w:r w:rsidRPr="007E2E45">
        <w:t>[9]</w:t>
      </w:r>
      <w:r w:rsidRPr="007E2E45">
        <w:tab/>
      </w:r>
      <w:r w:rsidR="006D3F39">
        <w:t>T</w:t>
      </w:r>
      <w:r w:rsidR="006F4611">
        <w:t xml:space="preserve">he </w:t>
      </w:r>
      <w:r w:rsidR="006D3F39">
        <w:t xml:space="preserve">ground on which the plaintiff relies for the relief that he is seeking is </w:t>
      </w:r>
      <w:r w:rsidR="00761218">
        <w:t xml:space="preserve">that </w:t>
      </w:r>
      <w:r w:rsidR="006D3F39">
        <w:t xml:space="preserve">the </w:t>
      </w:r>
      <w:proofErr w:type="spellStart"/>
      <w:r w:rsidR="0018421A" w:rsidRPr="0018421A">
        <w:rPr>
          <w:rFonts w:cs="Arial"/>
          <w:i/>
          <w:iCs/>
          <w:spacing w:val="0"/>
          <w:szCs w:val="24"/>
          <w:lang w:val="en-US" w:eastAsia="en-ZA"/>
        </w:rPr>
        <w:t>allocatur</w:t>
      </w:r>
      <w:proofErr w:type="spellEnd"/>
      <w:r w:rsidR="006D3F39">
        <w:t xml:space="preserve"> is</w:t>
      </w:r>
      <w:r w:rsidR="000C28A5" w:rsidRPr="00566BC6">
        <w:t xml:space="preserve"> </w:t>
      </w:r>
      <w:r w:rsidR="000C28A5" w:rsidRPr="00566BC6">
        <w:rPr>
          <w:i/>
        </w:rPr>
        <w:t>ultra vires</w:t>
      </w:r>
      <w:r w:rsidR="000C28A5" w:rsidRPr="00566BC6">
        <w:t xml:space="preserve"> </w:t>
      </w:r>
      <w:r w:rsidR="001358FA">
        <w:t>R</w:t>
      </w:r>
      <w:r w:rsidR="000C28A5">
        <w:t xml:space="preserve">ule 32(11) of </w:t>
      </w:r>
      <w:r w:rsidR="006D3F39">
        <w:t>the Court Rules and</w:t>
      </w:r>
      <w:r w:rsidR="00761218">
        <w:t xml:space="preserve"> is</w:t>
      </w:r>
      <w:r w:rsidR="006D3F39">
        <w:t xml:space="preserve"> </w:t>
      </w:r>
      <w:r w:rsidR="00F13FC3">
        <w:t>therefore</w:t>
      </w:r>
      <w:r w:rsidR="000C28A5">
        <w:t xml:space="preserve"> a nullity.</w:t>
      </w:r>
    </w:p>
    <w:p w:rsidR="00C74B4D" w:rsidRDefault="00C74B4D" w:rsidP="006D3F39"/>
    <w:p w:rsidR="006D3F39" w:rsidRDefault="006D3F39" w:rsidP="006D3F39">
      <w:pPr>
        <w:widowControl/>
        <w:rPr>
          <w:rFonts w:cs="Arial"/>
          <w:szCs w:val="24"/>
        </w:rPr>
      </w:pPr>
      <w:r>
        <w:rPr>
          <w:rFonts w:cs="Arial"/>
          <w:szCs w:val="24"/>
        </w:rPr>
        <w:t>[10]</w:t>
      </w:r>
      <w:r>
        <w:rPr>
          <w:rFonts w:cs="Arial"/>
          <w:szCs w:val="24"/>
        </w:rPr>
        <w:tab/>
        <w:t xml:space="preserve"> The defendant opposes the application for review on the ground that the plaintiff’s legal practitioner did not</w:t>
      </w:r>
      <w:r w:rsidR="00E36206">
        <w:rPr>
          <w:rFonts w:cs="Arial"/>
          <w:szCs w:val="24"/>
        </w:rPr>
        <w:t>,</w:t>
      </w:r>
      <w:r>
        <w:rPr>
          <w:rFonts w:cs="Arial"/>
          <w:szCs w:val="24"/>
        </w:rPr>
        <w:t xml:space="preserve"> at the taxation hearing</w:t>
      </w:r>
      <w:r w:rsidR="00E36206">
        <w:rPr>
          <w:rFonts w:cs="Arial"/>
          <w:szCs w:val="24"/>
        </w:rPr>
        <w:t>,</w:t>
      </w:r>
      <w:r>
        <w:rPr>
          <w:rFonts w:cs="Arial"/>
          <w:szCs w:val="24"/>
        </w:rPr>
        <w:t xml:space="preserve"> </w:t>
      </w:r>
      <w:r w:rsidR="00323EB8" w:rsidRPr="000F597A">
        <w:rPr>
          <w:rFonts w:cs="Arial"/>
          <w:szCs w:val="24"/>
        </w:rPr>
        <w:t>object</w:t>
      </w:r>
      <w:r>
        <w:rPr>
          <w:rFonts w:cs="Arial"/>
          <w:szCs w:val="24"/>
        </w:rPr>
        <w:t xml:space="preserve"> to the items contained in the Bill of Taxation and is therefore bound by the </w:t>
      </w:r>
      <w:proofErr w:type="spellStart"/>
      <w:r w:rsidR="0018421A" w:rsidRPr="0018421A">
        <w:rPr>
          <w:rFonts w:cs="Arial"/>
          <w:i/>
          <w:iCs/>
          <w:spacing w:val="0"/>
          <w:szCs w:val="24"/>
          <w:lang w:val="en-US" w:eastAsia="en-ZA"/>
        </w:rPr>
        <w:t>allocatur</w:t>
      </w:r>
      <w:proofErr w:type="spellEnd"/>
      <w:r>
        <w:rPr>
          <w:rFonts w:cs="Arial"/>
          <w:szCs w:val="24"/>
        </w:rPr>
        <w:t>. The defendant further opposed the review application on the ground that Rule 32(11) is not applicable to the matter because the exception was raised prior to the new rules coming into operation.</w:t>
      </w:r>
    </w:p>
    <w:p w:rsidR="00082552" w:rsidRDefault="00082552" w:rsidP="006D3F39">
      <w:pPr>
        <w:widowControl/>
      </w:pPr>
    </w:p>
    <w:p w:rsidR="00A87AA3" w:rsidRPr="00A87AA3" w:rsidRDefault="00A87AA3" w:rsidP="00082552">
      <w:pPr>
        <w:rPr>
          <w:u w:val="single"/>
        </w:rPr>
      </w:pPr>
      <w:r w:rsidRPr="00A87AA3">
        <w:rPr>
          <w:u w:val="single"/>
        </w:rPr>
        <w:t xml:space="preserve">The </w:t>
      </w:r>
      <w:r w:rsidR="00490B6E">
        <w:rPr>
          <w:u w:val="single"/>
        </w:rPr>
        <w:t xml:space="preserve">legal principles </w:t>
      </w:r>
    </w:p>
    <w:p w:rsidR="003F72D4" w:rsidRDefault="003F72D4" w:rsidP="003F72D4"/>
    <w:p w:rsidR="00761218" w:rsidRDefault="00490B6E" w:rsidP="00490B6E">
      <w:pPr>
        <w:pStyle w:val="Heading1"/>
        <w:numPr>
          <w:ilvl w:val="0"/>
          <w:numId w:val="0"/>
        </w:numPr>
      </w:pPr>
      <w:r>
        <w:t>[11]</w:t>
      </w:r>
      <w:r>
        <w:tab/>
      </w:r>
      <w:r w:rsidR="00761218">
        <w:t>Rule 125</w:t>
      </w:r>
      <w:r w:rsidR="008D0506">
        <w:t xml:space="preserve"> </w:t>
      </w:r>
      <w:r w:rsidR="00761218">
        <w:t xml:space="preserve">(1) of the Rules of court empowers </w:t>
      </w:r>
      <w:r w:rsidR="008D0506">
        <w:t xml:space="preserve">a </w:t>
      </w:r>
      <w:r w:rsidR="00761218">
        <w:t xml:space="preserve">Taxing Master to tax any </w:t>
      </w:r>
      <w:r w:rsidR="00EB2CC0">
        <w:t>b</w:t>
      </w:r>
      <w:r w:rsidR="00761218">
        <w:t xml:space="preserve">ill of costs presented to </w:t>
      </w:r>
      <w:r w:rsidR="008D0506">
        <w:t xml:space="preserve">him or her </w:t>
      </w:r>
      <w:r w:rsidR="00761218">
        <w:t xml:space="preserve">for taxation. That Rule provides as follows: </w:t>
      </w:r>
    </w:p>
    <w:p w:rsidR="00761218" w:rsidRDefault="00761218" w:rsidP="00490B6E">
      <w:pPr>
        <w:pStyle w:val="Heading1"/>
        <w:numPr>
          <w:ilvl w:val="0"/>
          <w:numId w:val="0"/>
        </w:numPr>
      </w:pPr>
    </w:p>
    <w:p w:rsidR="00761218" w:rsidRPr="00761218" w:rsidRDefault="00761218" w:rsidP="001358FA">
      <w:pPr>
        <w:tabs>
          <w:tab w:val="left" w:pos="1350"/>
          <w:tab w:val="left" w:pos="1890"/>
        </w:tabs>
        <w:ind w:firstLine="720"/>
        <w:rPr>
          <w:sz w:val="22"/>
          <w:szCs w:val="22"/>
        </w:rPr>
      </w:pPr>
      <w:r>
        <w:rPr>
          <w:sz w:val="22"/>
          <w:szCs w:val="22"/>
        </w:rPr>
        <w:t>‘</w:t>
      </w:r>
      <w:r w:rsidRPr="00761218">
        <w:rPr>
          <w:sz w:val="22"/>
          <w:szCs w:val="22"/>
        </w:rPr>
        <w:t>125.</w:t>
      </w:r>
      <w:r>
        <w:rPr>
          <w:sz w:val="22"/>
          <w:szCs w:val="22"/>
        </w:rPr>
        <w:tab/>
      </w:r>
      <w:r w:rsidRPr="00761218">
        <w:rPr>
          <w:sz w:val="22"/>
          <w:szCs w:val="22"/>
        </w:rPr>
        <w:t>(1)</w:t>
      </w:r>
      <w:r>
        <w:rPr>
          <w:sz w:val="22"/>
          <w:szCs w:val="22"/>
        </w:rPr>
        <w:tab/>
      </w:r>
      <w:r w:rsidRPr="00761218">
        <w:rPr>
          <w:sz w:val="22"/>
          <w:szCs w:val="22"/>
        </w:rPr>
        <w:t>The taxing officer is, subject to rule 124, competent to tax a bill of costs for services actually rendered by a legal practitioner in connection with litigious work of the court and he or she must tax such bill, subject to sub rules (7), (8) and (11), in accordance with the provisions contained in Annexures D and E, except that the taxing officer may not tax costs in instances where some other officer is empowered to do so</w:t>
      </w:r>
      <w:r>
        <w:rPr>
          <w:sz w:val="22"/>
          <w:szCs w:val="22"/>
        </w:rPr>
        <w:t>.’</w:t>
      </w:r>
    </w:p>
    <w:p w:rsidR="00761218" w:rsidRPr="00761218" w:rsidRDefault="00761218" w:rsidP="00761218"/>
    <w:p w:rsidR="0042079E" w:rsidRDefault="00761218" w:rsidP="00490B6E">
      <w:pPr>
        <w:pStyle w:val="Heading1"/>
        <w:numPr>
          <w:ilvl w:val="0"/>
          <w:numId w:val="0"/>
        </w:numPr>
      </w:pPr>
      <w:r>
        <w:lastRenderedPageBreak/>
        <w:t>[12]</w:t>
      </w:r>
      <w:r>
        <w:tab/>
        <w:t xml:space="preserve">In the matter of </w:t>
      </w:r>
      <w:r w:rsidR="0042079E" w:rsidRPr="0042079E">
        <w:rPr>
          <w:i/>
        </w:rPr>
        <w:t>Texas Co (SA) Ltd v Cape Town Municipality</w:t>
      </w:r>
      <w:r w:rsidR="0042079E">
        <w:rPr>
          <w:rStyle w:val="FootnoteReference"/>
          <w:i/>
        </w:rPr>
        <w:footnoteReference w:id="1"/>
      </w:r>
      <w:r w:rsidR="0042079E" w:rsidRPr="0042079E">
        <w:t xml:space="preserve"> </w:t>
      </w:r>
      <w:r w:rsidR="0042079E">
        <w:t>it was held that:</w:t>
      </w:r>
    </w:p>
    <w:p w:rsidR="0042079E" w:rsidRPr="0042079E" w:rsidRDefault="0042079E" w:rsidP="0042079E"/>
    <w:p w:rsidR="0042079E" w:rsidRDefault="0042079E" w:rsidP="0042079E">
      <w:pPr>
        <w:pStyle w:val="Heading1"/>
        <w:numPr>
          <w:ilvl w:val="0"/>
          <w:numId w:val="0"/>
        </w:numPr>
        <w:ind w:firstLine="720"/>
        <w:rPr>
          <w:sz w:val="22"/>
          <w:szCs w:val="22"/>
        </w:rPr>
      </w:pPr>
      <w:r w:rsidRPr="0042079E">
        <w:rPr>
          <w:sz w:val="22"/>
          <w:szCs w:val="22"/>
        </w:rPr>
        <w:t xml:space="preserve">‘…costs </w:t>
      </w:r>
      <w:r>
        <w:rPr>
          <w:sz w:val="22"/>
          <w:szCs w:val="22"/>
        </w:rPr>
        <w:t xml:space="preserve">are awarded </w:t>
      </w:r>
      <w:r w:rsidR="009C6111">
        <w:rPr>
          <w:sz w:val="22"/>
          <w:szCs w:val="22"/>
        </w:rPr>
        <w:t xml:space="preserve">to a successful party in order to indemnify him for the expenses to which he has been put through having </w:t>
      </w:r>
      <w:r w:rsidR="00C74B4D">
        <w:rPr>
          <w:sz w:val="22"/>
          <w:szCs w:val="22"/>
        </w:rPr>
        <w:t xml:space="preserve">been </w:t>
      </w:r>
      <w:r w:rsidR="009C6111">
        <w:rPr>
          <w:sz w:val="22"/>
          <w:szCs w:val="22"/>
        </w:rPr>
        <w:t>unjustly compelled either to initiate or defend litigation, as the</w:t>
      </w:r>
      <w:r w:rsidR="00A85516">
        <w:rPr>
          <w:sz w:val="22"/>
          <w:szCs w:val="22"/>
        </w:rPr>
        <w:t xml:space="preserve"> case may be</w:t>
      </w:r>
      <w:r w:rsidR="009C6111">
        <w:rPr>
          <w:sz w:val="22"/>
          <w:szCs w:val="22"/>
        </w:rPr>
        <w:t xml:space="preserve">. Owing to the necessary operation of taxation, such an award is seldom a complete indemnity but that does </w:t>
      </w:r>
      <w:r w:rsidR="00C74B4D">
        <w:rPr>
          <w:sz w:val="22"/>
          <w:szCs w:val="22"/>
        </w:rPr>
        <w:t xml:space="preserve">not </w:t>
      </w:r>
      <w:r w:rsidR="009C6111">
        <w:rPr>
          <w:sz w:val="22"/>
          <w:szCs w:val="22"/>
        </w:rPr>
        <w:t>affect the principle on which it is based.’</w:t>
      </w:r>
    </w:p>
    <w:p w:rsidR="0042079E" w:rsidRPr="0042079E" w:rsidRDefault="0042079E" w:rsidP="0042079E"/>
    <w:p w:rsidR="00761218" w:rsidRDefault="00A33E45" w:rsidP="00490B6E">
      <w:pPr>
        <w:pStyle w:val="Heading1"/>
        <w:numPr>
          <w:ilvl w:val="0"/>
          <w:numId w:val="0"/>
        </w:numPr>
        <w:rPr>
          <w:lang w:val="en-US" w:eastAsia="en-ZA"/>
        </w:rPr>
      </w:pPr>
      <w:r w:rsidRPr="00A33E45">
        <w:rPr>
          <w:lang w:val="en-US" w:eastAsia="en-ZA"/>
        </w:rPr>
        <w:t>[13]</w:t>
      </w:r>
      <w:r w:rsidRPr="00A33E45">
        <w:rPr>
          <w:lang w:val="en-US" w:eastAsia="en-ZA"/>
        </w:rPr>
        <w:tab/>
      </w:r>
      <w:r>
        <w:rPr>
          <w:lang w:val="en-US" w:eastAsia="en-ZA"/>
        </w:rPr>
        <w:t xml:space="preserve">The objective of taxing a bill of costs was stated as follows in the matter of </w:t>
      </w:r>
      <w:r w:rsidR="00761218" w:rsidRPr="00D43E36">
        <w:rPr>
          <w:i/>
          <w:lang w:val="en-US" w:eastAsia="en-ZA"/>
        </w:rPr>
        <w:t xml:space="preserve">Pinkster </w:t>
      </w:r>
      <w:proofErr w:type="spellStart"/>
      <w:r w:rsidR="00761218" w:rsidRPr="00D43E36">
        <w:rPr>
          <w:i/>
          <w:lang w:val="en-US" w:eastAsia="en-ZA"/>
        </w:rPr>
        <w:t>Gemeente</w:t>
      </w:r>
      <w:proofErr w:type="spellEnd"/>
      <w:r w:rsidR="00761218" w:rsidRPr="00D43E36">
        <w:rPr>
          <w:i/>
          <w:lang w:val="en-US" w:eastAsia="en-ZA"/>
        </w:rPr>
        <w:t xml:space="preserve"> van Namibia (Previously South West Africa) v </w:t>
      </w:r>
      <w:proofErr w:type="spellStart"/>
      <w:r w:rsidR="00761218" w:rsidRPr="00D43E36">
        <w:rPr>
          <w:i/>
          <w:lang w:val="en-US" w:eastAsia="en-ZA"/>
        </w:rPr>
        <w:t>Navolgers</w:t>
      </w:r>
      <w:proofErr w:type="spellEnd"/>
      <w:r w:rsidR="00761218" w:rsidRPr="00D43E36">
        <w:rPr>
          <w:i/>
          <w:lang w:val="en-US" w:eastAsia="en-ZA"/>
        </w:rPr>
        <w:t xml:space="preserve"> Van </w:t>
      </w:r>
      <w:proofErr w:type="spellStart"/>
      <w:r w:rsidR="00761218" w:rsidRPr="00D43E36">
        <w:rPr>
          <w:i/>
          <w:lang w:val="en-US" w:eastAsia="en-ZA"/>
        </w:rPr>
        <w:t>Christus</w:t>
      </w:r>
      <w:proofErr w:type="spellEnd"/>
      <w:r w:rsidR="00761218" w:rsidRPr="00D43E36">
        <w:rPr>
          <w:i/>
          <w:lang w:val="en-US" w:eastAsia="en-ZA"/>
        </w:rPr>
        <w:t xml:space="preserve"> </w:t>
      </w:r>
      <w:proofErr w:type="spellStart"/>
      <w:r w:rsidR="00761218" w:rsidRPr="00D43E36">
        <w:rPr>
          <w:i/>
          <w:lang w:val="en-US" w:eastAsia="en-ZA"/>
        </w:rPr>
        <w:t>Kerk</w:t>
      </w:r>
      <w:proofErr w:type="spellEnd"/>
      <w:r w:rsidR="00E04035">
        <w:rPr>
          <w:i/>
          <w:lang w:val="en-US" w:eastAsia="en-ZA"/>
        </w:rPr>
        <w:t>.</w:t>
      </w:r>
      <w:r w:rsidR="00761218">
        <w:rPr>
          <w:rStyle w:val="FootnoteReference"/>
          <w:rFonts w:cs="Arial"/>
          <w:bCs/>
          <w:spacing w:val="0"/>
          <w:sz w:val="20"/>
          <w:lang w:val="en-US" w:eastAsia="en-ZA"/>
        </w:rPr>
        <w:footnoteReference w:id="2"/>
      </w:r>
    </w:p>
    <w:p w:rsidR="00761218" w:rsidRDefault="00761218" w:rsidP="00490B6E">
      <w:pPr>
        <w:pStyle w:val="Heading1"/>
        <w:numPr>
          <w:ilvl w:val="0"/>
          <w:numId w:val="0"/>
        </w:numPr>
        <w:rPr>
          <w:lang w:val="en-US" w:eastAsia="en-ZA"/>
        </w:rPr>
      </w:pPr>
    </w:p>
    <w:p w:rsidR="00761218" w:rsidRDefault="00761218" w:rsidP="00761218">
      <w:pPr>
        <w:pStyle w:val="Heading1"/>
        <w:numPr>
          <w:ilvl w:val="0"/>
          <w:numId w:val="0"/>
        </w:numPr>
        <w:ind w:firstLine="720"/>
        <w:rPr>
          <w:sz w:val="22"/>
          <w:szCs w:val="22"/>
          <w:lang w:val="en-US" w:eastAsia="en-ZA"/>
        </w:rPr>
      </w:pPr>
      <w:r>
        <w:rPr>
          <w:sz w:val="22"/>
          <w:szCs w:val="22"/>
          <w:lang w:val="en-US" w:eastAsia="en-ZA"/>
        </w:rPr>
        <w:t>‘</w:t>
      </w:r>
      <w:r w:rsidRPr="00761218">
        <w:rPr>
          <w:sz w:val="22"/>
          <w:szCs w:val="22"/>
          <w:lang w:val="en-US" w:eastAsia="en-ZA"/>
        </w:rPr>
        <w:t>Generally, the obj</w:t>
      </w:r>
      <w:r w:rsidR="00E42180">
        <w:rPr>
          <w:sz w:val="22"/>
          <w:szCs w:val="22"/>
          <w:lang w:val="en-US" w:eastAsia="en-ZA"/>
        </w:rPr>
        <w:t>ective of taxation is to award “</w:t>
      </w:r>
      <w:r w:rsidRPr="00761218">
        <w:rPr>
          <w:sz w:val="22"/>
          <w:szCs w:val="22"/>
          <w:lang w:val="en-US" w:eastAsia="en-ZA"/>
        </w:rPr>
        <w:t>the party who has been awarded an order for costs a full indemnity for all costs reasonably incurred by him or her in relation to his or her c</w:t>
      </w:r>
      <w:r w:rsidR="00EE060F">
        <w:rPr>
          <w:sz w:val="22"/>
          <w:szCs w:val="22"/>
          <w:lang w:val="en-US" w:eastAsia="en-ZA"/>
        </w:rPr>
        <w:t xml:space="preserve">laim or </w:t>
      </w:r>
      <w:proofErr w:type="spellStart"/>
      <w:r w:rsidR="00EE060F">
        <w:rPr>
          <w:sz w:val="22"/>
          <w:szCs w:val="22"/>
          <w:lang w:val="en-US" w:eastAsia="en-ZA"/>
        </w:rPr>
        <w:t>defence</w:t>
      </w:r>
      <w:proofErr w:type="spellEnd"/>
      <w:r w:rsidR="00EE060F">
        <w:rPr>
          <w:sz w:val="22"/>
          <w:szCs w:val="22"/>
          <w:lang w:val="en-US" w:eastAsia="en-ZA"/>
        </w:rPr>
        <w:t xml:space="preserve"> and to ensure</w:t>
      </w:r>
      <w:r w:rsidRPr="00761218">
        <w:rPr>
          <w:sz w:val="22"/>
          <w:szCs w:val="22"/>
          <w:lang w:val="en-US" w:eastAsia="en-ZA"/>
        </w:rPr>
        <w:t xml:space="preserve"> that all such costs shall be borne by the party against w</w:t>
      </w:r>
      <w:r w:rsidR="00E42180">
        <w:rPr>
          <w:sz w:val="22"/>
          <w:szCs w:val="22"/>
          <w:lang w:val="en-US" w:eastAsia="en-ZA"/>
        </w:rPr>
        <w:t>hom such order has been awarded”</w:t>
      </w:r>
      <w:r w:rsidR="00E20BBD">
        <w:rPr>
          <w:sz w:val="22"/>
          <w:szCs w:val="22"/>
          <w:lang w:val="en-US" w:eastAsia="en-ZA"/>
        </w:rPr>
        <w:t xml:space="preserve"> … </w:t>
      </w:r>
      <w:r w:rsidRPr="00761218">
        <w:rPr>
          <w:sz w:val="22"/>
          <w:szCs w:val="22"/>
          <w:lang w:val="en-US" w:eastAsia="en-ZA"/>
        </w:rPr>
        <w:t xml:space="preserve">If the costs have been awarded on a party-and-party basis, the Taxing Master is required to </w:t>
      </w:r>
      <w:r w:rsidR="00E42180">
        <w:rPr>
          <w:sz w:val="22"/>
          <w:szCs w:val="22"/>
          <w:lang w:val="en-US" w:eastAsia="en-ZA"/>
        </w:rPr>
        <w:t>“</w:t>
      </w:r>
      <w:r w:rsidRPr="00761218">
        <w:rPr>
          <w:sz w:val="22"/>
          <w:szCs w:val="22"/>
          <w:lang w:val="en-US" w:eastAsia="en-ZA"/>
        </w:rPr>
        <w:t xml:space="preserve">allow all such costs, charges and expenses as appear to him or her to have been necessary or proper for </w:t>
      </w:r>
      <w:r w:rsidR="00EE060F">
        <w:rPr>
          <w:sz w:val="22"/>
          <w:szCs w:val="22"/>
          <w:lang w:val="en-US" w:eastAsia="en-ZA"/>
        </w:rPr>
        <w:t>the attainment of justice or</w:t>
      </w:r>
      <w:r w:rsidRPr="00761218">
        <w:rPr>
          <w:sz w:val="22"/>
          <w:szCs w:val="22"/>
          <w:lang w:val="en-US" w:eastAsia="en-ZA"/>
        </w:rPr>
        <w:t xml:space="preserve"> for defending the rights of any party, but save as against the party who incurred the same, no costs shall be allowed which appear to the Taxing Master to have been incurred or increased through over-caution, negligence or mistake, or by payment of a special fee to counsel, or special charges and expen</w:t>
      </w:r>
      <w:r w:rsidR="00EE060F">
        <w:rPr>
          <w:sz w:val="22"/>
          <w:szCs w:val="22"/>
          <w:lang w:val="en-US" w:eastAsia="en-ZA"/>
        </w:rPr>
        <w:t xml:space="preserve">ses to witnesses or to other </w:t>
      </w:r>
      <w:r w:rsidRPr="00761218">
        <w:rPr>
          <w:sz w:val="22"/>
          <w:szCs w:val="22"/>
          <w:lang w:val="en-US" w:eastAsia="en-ZA"/>
        </w:rPr>
        <w:t xml:space="preserve"> perso</w:t>
      </w:r>
      <w:r w:rsidR="00E42180">
        <w:rPr>
          <w:sz w:val="22"/>
          <w:szCs w:val="22"/>
          <w:lang w:val="en-US" w:eastAsia="en-ZA"/>
        </w:rPr>
        <w:t xml:space="preserve">ns </w:t>
      </w:r>
      <w:r w:rsidR="00DF0BBA">
        <w:rPr>
          <w:sz w:val="22"/>
          <w:szCs w:val="22"/>
          <w:lang w:val="en-US" w:eastAsia="en-ZA"/>
        </w:rPr>
        <w:t>or by other unusual expenses”</w:t>
      </w:r>
      <w:r w:rsidRPr="00761218">
        <w:rPr>
          <w:sz w:val="22"/>
          <w:szCs w:val="22"/>
          <w:lang w:val="en-US" w:eastAsia="en-ZA"/>
        </w:rPr>
        <w:t>.</w:t>
      </w:r>
    </w:p>
    <w:p w:rsidR="00EE060F" w:rsidRPr="00EE060F" w:rsidRDefault="00EE060F" w:rsidP="00EE060F">
      <w:pPr>
        <w:rPr>
          <w:lang w:val="en-US" w:eastAsia="en-ZA"/>
        </w:rPr>
      </w:pPr>
    </w:p>
    <w:p w:rsidR="003F72D4" w:rsidRPr="003F72D4" w:rsidRDefault="004A665E" w:rsidP="00BA6CFD">
      <w:pPr>
        <w:pStyle w:val="Heading1"/>
        <w:numPr>
          <w:ilvl w:val="0"/>
          <w:numId w:val="0"/>
        </w:numPr>
        <w:rPr>
          <w:sz w:val="20"/>
        </w:rPr>
      </w:pPr>
      <w:r>
        <w:t>[1</w:t>
      </w:r>
      <w:r w:rsidR="00832456">
        <w:t>4</w:t>
      </w:r>
      <w:r>
        <w:t>]</w:t>
      </w:r>
      <w:r>
        <w:tab/>
        <w:t xml:space="preserve">In the </w:t>
      </w:r>
      <w:r w:rsidR="003F72D4" w:rsidRPr="00D43E36">
        <w:rPr>
          <w:i/>
          <w:lang w:val="en-US" w:eastAsia="en-ZA"/>
        </w:rPr>
        <w:t xml:space="preserve">Pinkster </w:t>
      </w:r>
      <w:proofErr w:type="spellStart"/>
      <w:r w:rsidR="003F72D4" w:rsidRPr="00D43E36">
        <w:rPr>
          <w:i/>
          <w:lang w:val="en-US" w:eastAsia="en-ZA"/>
        </w:rPr>
        <w:t>Gemeente</w:t>
      </w:r>
      <w:proofErr w:type="spellEnd"/>
      <w:r w:rsidR="003F72D4" w:rsidRPr="00D43E36">
        <w:rPr>
          <w:i/>
          <w:lang w:val="en-US" w:eastAsia="en-ZA"/>
        </w:rPr>
        <w:t xml:space="preserve"> van Namibia</w:t>
      </w:r>
      <w:r>
        <w:rPr>
          <w:rStyle w:val="FootnoteReference"/>
          <w:i/>
          <w:lang w:val="en-US" w:eastAsia="en-ZA"/>
        </w:rPr>
        <w:footnoteReference w:id="3"/>
      </w:r>
      <w:r w:rsidR="003F72D4" w:rsidRPr="00D43E36">
        <w:rPr>
          <w:i/>
          <w:lang w:val="en-US" w:eastAsia="en-ZA"/>
        </w:rPr>
        <w:t xml:space="preserve"> </w:t>
      </w:r>
      <w:r w:rsidR="00E42180">
        <w:rPr>
          <w:lang w:val="en-US" w:eastAsia="en-ZA"/>
        </w:rPr>
        <w:t xml:space="preserve">case </w:t>
      </w:r>
      <w:r w:rsidRPr="004A665E">
        <w:rPr>
          <w:lang w:val="en-US" w:eastAsia="en-ZA"/>
        </w:rPr>
        <w:t xml:space="preserve">the court </w:t>
      </w:r>
      <w:r w:rsidR="0061317A">
        <w:rPr>
          <w:lang w:val="en-US" w:eastAsia="en-ZA"/>
        </w:rPr>
        <w:t>explained that a legal practitioner who prepares a bill of costs on behalf of a successful litigant must do so keeping in mind the purpose of awarding a costs order and the objective of taxing a bill of costs. The learned judge said:</w:t>
      </w:r>
      <w:r w:rsidR="00826297">
        <w:rPr>
          <w:lang w:val="en-US" w:eastAsia="en-ZA"/>
        </w:rPr>
        <w:t xml:space="preserve"> </w:t>
      </w:r>
    </w:p>
    <w:p w:rsidR="00BA6CFD" w:rsidRDefault="00BA6CFD" w:rsidP="003F72D4">
      <w:pPr>
        <w:ind w:left="720"/>
        <w:rPr>
          <w:sz w:val="22"/>
          <w:szCs w:val="22"/>
        </w:rPr>
      </w:pPr>
    </w:p>
    <w:p w:rsidR="003F72D4" w:rsidRPr="003F72D4" w:rsidRDefault="00BA6CFD" w:rsidP="00BA6CFD">
      <w:pPr>
        <w:ind w:firstLine="720"/>
        <w:rPr>
          <w:sz w:val="22"/>
          <w:szCs w:val="22"/>
        </w:rPr>
      </w:pPr>
      <w:r>
        <w:rPr>
          <w:sz w:val="22"/>
          <w:szCs w:val="22"/>
        </w:rPr>
        <w:t>‘</w:t>
      </w:r>
      <w:r w:rsidR="003F72D4" w:rsidRPr="003F72D4">
        <w:rPr>
          <w:sz w:val="22"/>
          <w:szCs w:val="22"/>
        </w:rPr>
        <w:t xml:space="preserve">The responsibility to include in a bill of costs only those costs that are permissible under a court's costs order is borne, in the first instance, by counsel who submits the bill for taxation. </w:t>
      </w:r>
    </w:p>
    <w:p w:rsidR="00BA6CFD" w:rsidRDefault="00BA6CFD" w:rsidP="00BA6CFD">
      <w:pPr>
        <w:ind w:left="720"/>
        <w:rPr>
          <w:sz w:val="22"/>
          <w:szCs w:val="22"/>
        </w:rPr>
      </w:pPr>
    </w:p>
    <w:p w:rsidR="00A27512" w:rsidRPr="00832456" w:rsidRDefault="00A27512" w:rsidP="00832456">
      <w:pPr>
        <w:ind w:left="720"/>
        <w:rPr>
          <w:rFonts w:cs="Arial"/>
          <w:sz w:val="22"/>
          <w:szCs w:val="22"/>
        </w:rPr>
      </w:pPr>
      <w:r>
        <w:rPr>
          <w:sz w:val="22"/>
          <w:szCs w:val="22"/>
        </w:rPr>
        <w:t>“</w:t>
      </w:r>
      <w:r w:rsidRPr="00A27512">
        <w:rPr>
          <w:sz w:val="22"/>
          <w:szCs w:val="22"/>
        </w:rPr>
        <w:t xml:space="preserve">The attorney is his client's master of costs, often deciding, either on his own or in conjunction with counsel, what steps to take, what evidence to obtain for and use in the </w:t>
      </w:r>
      <w:r w:rsidRPr="00A27512">
        <w:rPr>
          <w:sz w:val="22"/>
          <w:szCs w:val="22"/>
        </w:rPr>
        <w:lastRenderedPageBreak/>
        <w:t xml:space="preserve">litigation, evaluating the work and effort involved in the matter and what the charges </w:t>
      </w:r>
      <w:r w:rsidRPr="00832456">
        <w:rPr>
          <w:rFonts w:cs="Arial"/>
          <w:sz w:val="22"/>
          <w:szCs w:val="22"/>
        </w:rPr>
        <w:t>therefor</w:t>
      </w:r>
      <w:r w:rsidR="00EF5551">
        <w:rPr>
          <w:rFonts w:cs="Arial"/>
          <w:sz w:val="22"/>
          <w:szCs w:val="22"/>
        </w:rPr>
        <w:t>e</w:t>
      </w:r>
      <w:r w:rsidRPr="00832456">
        <w:rPr>
          <w:rFonts w:cs="Arial"/>
          <w:sz w:val="22"/>
          <w:szCs w:val="22"/>
        </w:rPr>
        <w:t xml:space="preserve"> should be. ... </w:t>
      </w:r>
      <w:r w:rsidRPr="00E42180">
        <w:rPr>
          <w:rFonts w:cs="Arial"/>
          <w:sz w:val="22"/>
          <w:szCs w:val="22"/>
          <w:u w:val="single"/>
        </w:rPr>
        <w:t>As officer of the Court the attorney is enjoined to act responsibly and to draw his party-and-party bill of costs so as to include therein only what is permissible to recover from the party condemned in such costs</w:t>
      </w:r>
      <w:r w:rsidRPr="00832456">
        <w:rPr>
          <w:rFonts w:cs="Arial"/>
          <w:sz w:val="22"/>
          <w:szCs w:val="22"/>
        </w:rPr>
        <w:t>.”</w:t>
      </w:r>
    </w:p>
    <w:p w:rsidR="00A27512" w:rsidRPr="00832456" w:rsidRDefault="00A27512" w:rsidP="00832456">
      <w:pPr>
        <w:ind w:left="720"/>
        <w:rPr>
          <w:rFonts w:cs="Arial"/>
          <w:sz w:val="22"/>
          <w:szCs w:val="22"/>
        </w:rPr>
      </w:pPr>
    </w:p>
    <w:p w:rsidR="00BA6CFD" w:rsidRPr="00832456" w:rsidRDefault="00A27512" w:rsidP="00832456">
      <w:pPr>
        <w:ind w:firstLine="720"/>
        <w:rPr>
          <w:rFonts w:cs="Arial"/>
          <w:sz w:val="22"/>
          <w:szCs w:val="22"/>
        </w:rPr>
      </w:pPr>
      <w:r w:rsidRPr="00832456">
        <w:rPr>
          <w:rFonts w:cs="Arial"/>
          <w:sz w:val="22"/>
          <w:szCs w:val="22"/>
        </w:rPr>
        <w:t xml:space="preserve">It is to ensure that only those costs and nothing in excess of it will ultimately be recovered from the party </w:t>
      </w:r>
      <w:r w:rsidRPr="00E20BBD">
        <w:rPr>
          <w:rFonts w:cs="Arial"/>
          <w:color w:val="000000" w:themeColor="text1"/>
          <w:sz w:val="22"/>
          <w:szCs w:val="22"/>
        </w:rPr>
        <w:t>mulcted</w:t>
      </w:r>
      <w:r w:rsidRPr="00832456">
        <w:rPr>
          <w:rFonts w:cs="Arial"/>
          <w:sz w:val="22"/>
          <w:szCs w:val="22"/>
        </w:rPr>
        <w:t xml:space="preserve"> in costs by an adve</w:t>
      </w:r>
      <w:r w:rsidR="00EF5551">
        <w:rPr>
          <w:rFonts w:cs="Arial"/>
          <w:sz w:val="22"/>
          <w:szCs w:val="22"/>
        </w:rPr>
        <w:t>rse party-and-party costs order</w:t>
      </w:r>
      <w:r w:rsidRPr="00832456">
        <w:rPr>
          <w:rFonts w:cs="Arial"/>
          <w:sz w:val="22"/>
          <w:szCs w:val="22"/>
        </w:rPr>
        <w:t>.’</w:t>
      </w:r>
      <w:r w:rsidR="00E42180">
        <w:rPr>
          <w:rFonts w:cs="Arial"/>
          <w:sz w:val="22"/>
          <w:szCs w:val="22"/>
        </w:rPr>
        <w:t xml:space="preserve"> (</w:t>
      </w:r>
      <w:r w:rsidR="00E42180" w:rsidRPr="00E42180">
        <w:rPr>
          <w:rFonts w:cs="Arial"/>
          <w:szCs w:val="24"/>
        </w:rPr>
        <w:t>Underlined for emphasis</w:t>
      </w:r>
      <w:r w:rsidR="00E42180">
        <w:rPr>
          <w:rFonts w:cs="Arial"/>
          <w:sz w:val="22"/>
          <w:szCs w:val="22"/>
        </w:rPr>
        <w:t>).</w:t>
      </w:r>
    </w:p>
    <w:p w:rsidR="00A27512" w:rsidRPr="00832456" w:rsidRDefault="00A27512" w:rsidP="00832456">
      <w:pPr>
        <w:ind w:firstLine="720"/>
        <w:rPr>
          <w:rFonts w:cs="Arial"/>
          <w:sz w:val="22"/>
          <w:szCs w:val="22"/>
          <w:u w:val="single"/>
        </w:rPr>
      </w:pPr>
    </w:p>
    <w:p w:rsidR="00A27512" w:rsidRPr="00832456" w:rsidRDefault="00A27512" w:rsidP="00832456">
      <w:pPr>
        <w:rPr>
          <w:rFonts w:cs="Arial"/>
          <w:szCs w:val="24"/>
        </w:rPr>
      </w:pPr>
      <w:r w:rsidRPr="00832456">
        <w:rPr>
          <w:rFonts w:cs="Arial"/>
          <w:szCs w:val="24"/>
        </w:rPr>
        <w:t>[1</w:t>
      </w:r>
      <w:r w:rsidR="00832456" w:rsidRPr="00832456">
        <w:rPr>
          <w:rFonts w:cs="Arial"/>
          <w:szCs w:val="24"/>
        </w:rPr>
        <w:t>5</w:t>
      </w:r>
      <w:r w:rsidRPr="00832456">
        <w:rPr>
          <w:rFonts w:cs="Arial"/>
          <w:szCs w:val="24"/>
        </w:rPr>
        <w:t>]</w:t>
      </w:r>
      <w:r w:rsidRPr="00832456">
        <w:rPr>
          <w:rFonts w:cs="Arial"/>
          <w:szCs w:val="24"/>
        </w:rPr>
        <w:tab/>
        <w:t>A</w:t>
      </w:r>
      <w:r w:rsidR="00C56D3D" w:rsidRPr="00832456">
        <w:rPr>
          <w:rFonts w:cs="Arial"/>
          <w:szCs w:val="24"/>
        </w:rPr>
        <w:t xml:space="preserve">s </w:t>
      </w:r>
      <w:r w:rsidRPr="00832456">
        <w:rPr>
          <w:rFonts w:cs="Arial"/>
          <w:szCs w:val="24"/>
        </w:rPr>
        <w:t xml:space="preserve">regards the duties of the Taxing Master </w:t>
      </w:r>
      <w:r w:rsidR="00832456" w:rsidRPr="00832456">
        <w:rPr>
          <w:rFonts w:cs="Arial"/>
          <w:szCs w:val="24"/>
        </w:rPr>
        <w:t xml:space="preserve">at the taxation proceedings </w:t>
      </w:r>
      <w:r w:rsidRPr="00832456">
        <w:rPr>
          <w:rFonts w:cs="Arial"/>
          <w:szCs w:val="24"/>
        </w:rPr>
        <w:t>the learned judge said:</w:t>
      </w:r>
    </w:p>
    <w:p w:rsidR="00A27512" w:rsidRPr="00832456" w:rsidRDefault="00A27512" w:rsidP="00832456">
      <w:pPr>
        <w:rPr>
          <w:rFonts w:cs="Arial"/>
          <w:szCs w:val="24"/>
        </w:rPr>
      </w:pPr>
    </w:p>
    <w:p w:rsidR="003F72D4" w:rsidRPr="00832456" w:rsidRDefault="00A27512" w:rsidP="00832456">
      <w:pPr>
        <w:ind w:firstLine="720"/>
        <w:rPr>
          <w:rFonts w:cs="Arial"/>
          <w:sz w:val="22"/>
          <w:szCs w:val="22"/>
        </w:rPr>
      </w:pPr>
      <w:r w:rsidRPr="00832456">
        <w:rPr>
          <w:rFonts w:cs="Arial"/>
          <w:szCs w:val="24"/>
        </w:rPr>
        <w:t>‘</w:t>
      </w:r>
      <w:r w:rsidRPr="00832456">
        <w:rPr>
          <w:rFonts w:cs="Arial"/>
          <w:sz w:val="22"/>
          <w:szCs w:val="22"/>
        </w:rPr>
        <w:t xml:space="preserve">Ultimately, </w:t>
      </w:r>
      <w:r w:rsidRPr="00E42180">
        <w:rPr>
          <w:rFonts w:cs="Arial"/>
          <w:sz w:val="22"/>
          <w:szCs w:val="22"/>
          <w:u w:val="single"/>
        </w:rPr>
        <w:t>it is for the Taxing Master to decide which costs to allow by bringing an objective evaluation on the basis of the stipulated criteria to bear on the bill. At every taxation, the Taxing Master is the functionary enjoined with the obligation to ensure that only the costs,</w:t>
      </w:r>
      <w:r w:rsidRPr="00832456">
        <w:rPr>
          <w:rFonts w:cs="Arial"/>
          <w:sz w:val="22"/>
          <w:szCs w:val="22"/>
        </w:rPr>
        <w:t xml:space="preserve"> charges and expenses as appear to him or her to have been necessary or proper for the attainment of justice or for defending the rights of any party, are allowed.’</w:t>
      </w:r>
      <w:r w:rsidR="005C0B29" w:rsidRPr="00832456">
        <w:rPr>
          <w:rFonts w:cs="Arial"/>
          <w:sz w:val="22"/>
          <w:szCs w:val="22"/>
        </w:rPr>
        <w:t xml:space="preserve"> </w:t>
      </w:r>
      <w:r w:rsidR="00E42180">
        <w:rPr>
          <w:rFonts w:cs="Arial"/>
          <w:sz w:val="22"/>
          <w:szCs w:val="22"/>
        </w:rPr>
        <w:t>(</w:t>
      </w:r>
      <w:r w:rsidR="00E42180" w:rsidRPr="00E42180">
        <w:rPr>
          <w:rFonts w:cs="Arial"/>
          <w:szCs w:val="24"/>
        </w:rPr>
        <w:t>Underlined for emphasis</w:t>
      </w:r>
      <w:r w:rsidR="00E42180">
        <w:rPr>
          <w:rFonts w:cs="Arial"/>
          <w:sz w:val="22"/>
          <w:szCs w:val="22"/>
        </w:rPr>
        <w:t>).</w:t>
      </w:r>
    </w:p>
    <w:p w:rsidR="00AD3FAB" w:rsidRDefault="00AD3FAB" w:rsidP="00832456">
      <w:pPr>
        <w:rPr>
          <w:rFonts w:cs="Arial"/>
          <w:szCs w:val="24"/>
        </w:rPr>
      </w:pPr>
    </w:p>
    <w:p w:rsidR="00832456" w:rsidRDefault="00A27512" w:rsidP="00832456">
      <w:pPr>
        <w:rPr>
          <w:rFonts w:cs="Arial"/>
          <w:szCs w:val="24"/>
        </w:rPr>
      </w:pPr>
      <w:r w:rsidRPr="00832456">
        <w:rPr>
          <w:rFonts w:cs="Arial"/>
          <w:szCs w:val="24"/>
        </w:rPr>
        <w:t>[</w:t>
      </w:r>
      <w:r w:rsidR="00832456">
        <w:rPr>
          <w:rFonts w:cs="Arial"/>
          <w:szCs w:val="24"/>
        </w:rPr>
        <w:t>16</w:t>
      </w:r>
      <w:r w:rsidRPr="00832456">
        <w:rPr>
          <w:rFonts w:cs="Arial"/>
          <w:szCs w:val="24"/>
        </w:rPr>
        <w:t>]</w:t>
      </w:r>
      <w:r w:rsidRPr="00832456">
        <w:rPr>
          <w:rFonts w:cs="Arial"/>
          <w:szCs w:val="24"/>
        </w:rPr>
        <w:tab/>
        <w:t xml:space="preserve">The learned judge proceeded to explain </w:t>
      </w:r>
      <w:r w:rsidR="005D604B" w:rsidRPr="00832456">
        <w:rPr>
          <w:rFonts w:cs="Arial"/>
          <w:szCs w:val="24"/>
        </w:rPr>
        <w:t>that the taxation of a bill of costs is a court-annexed process and it is as such an integral part of the judicial process.  The learned judge stated that a Taxing Master presides on the taxation of a bill of costs not simply as an administrative official, but as an extension of the judiciary. It is for that purposes</w:t>
      </w:r>
      <w:r w:rsidR="00832456">
        <w:rPr>
          <w:rFonts w:cs="Arial"/>
          <w:szCs w:val="24"/>
        </w:rPr>
        <w:t>,</w:t>
      </w:r>
      <w:r w:rsidR="005D604B" w:rsidRPr="00832456">
        <w:rPr>
          <w:rFonts w:cs="Arial"/>
          <w:szCs w:val="24"/>
        </w:rPr>
        <w:t xml:space="preserve"> said the </w:t>
      </w:r>
      <w:proofErr w:type="gramStart"/>
      <w:r w:rsidR="00E20BBD">
        <w:rPr>
          <w:rFonts w:cs="Arial"/>
          <w:szCs w:val="24"/>
        </w:rPr>
        <w:t>Judge, that</w:t>
      </w:r>
      <w:proofErr w:type="gramEnd"/>
      <w:r w:rsidR="005D604B" w:rsidRPr="00832456">
        <w:rPr>
          <w:rFonts w:cs="Arial"/>
          <w:szCs w:val="24"/>
        </w:rPr>
        <w:t xml:space="preserve"> </w:t>
      </w:r>
      <w:r w:rsidRPr="00832456">
        <w:rPr>
          <w:rFonts w:cs="Arial"/>
          <w:szCs w:val="24"/>
        </w:rPr>
        <w:t>the</w:t>
      </w:r>
      <w:r w:rsidR="00832456">
        <w:rPr>
          <w:rFonts w:cs="Arial"/>
          <w:szCs w:val="24"/>
        </w:rPr>
        <w:t xml:space="preserve"> courts have recognised and reiterated that </w:t>
      </w:r>
      <w:r w:rsidR="00832456" w:rsidRPr="00832456">
        <w:rPr>
          <w:rFonts w:cs="Arial"/>
          <w:szCs w:val="24"/>
        </w:rPr>
        <w:t>the discretion to decide what costs have been necessarily or properly incurred is given in the first instance to the Taxing Master and not to the Court.</w:t>
      </w:r>
    </w:p>
    <w:p w:rsidR="0005419F" w:rsidRDefault="0005419F" w:rsidP="00832456">
      <w:pPr>
        <w:rPr>
          <w:rFonts w:cs="Arial"/>
          <w:szCs w:val="24"/>
        </w:rPr>
      </w:pPr>
    </w:p>
    <w:p w:rsidR="00E83E1D" w:rsidRDefault="0005419F" w:rsidP="0095445D">
      <w:pPr>
        <w:rPr>
          <w:rFonts w:cs="Arial"/>
          <w:szCs w:val="24"/>
        </w:rPr>
      </w:pPr>
      <w:r>
        <w:rPr>
          <w:rFonts w:cs="Arial"/>
          <w:szCs w:val="24"/>
        </w:rPr>
        <w:t>[17]</w:t>
      </w:r>
      <w:r>
        <w:rPr>
          <w:rFonts w:cs="Arial"/>
          <w:szCs w:val="24"/>
        </w:rPr>
        <w:tab/>
        <w:t xml:space="preserve">Because </w:t>
      </w:r>
      <w:r w:rsidR="00E36206">
        <w:rPr>
          <w:rFonts w:cs="Arial"/>
          <w:szCs w:val="24"/>
        </w:rPr>
        <w:t xml:space="preserve">the </w:t>
      </w:r>
      <w:r w:rsidR="00E36206" w:rsidRPr="00832456">
        <w:rPr>
          <w:rFonts w:cs="Arial"/>
          <w:szCs w:val="24"/>
        </w:rPr>
        <w:t>taxation of a bill of costs is a court-annexed process and is an integral part of the judicial process</w:t>
      </w:r>
      <w:r w:rsidR="00E36206">
        <w:rPr>
          <w:rFonts w:cs="Arial"/>
          <w:szCs w:val="24"/>
        </w:rPr>
        <w:t xml:space="preserve"> the courts, </w:t>
      </w:r>
      <w:r w:rsidR="00E83E1D">
        <w:rPr>
          <w:rFonts w:cs="Arial"/>
          <w:szCs w:val="24"/>
        </w:rPr>
        <w:t>through the</w:t>
      </w:r>
      <w:r w:rsidR="00E36206">
        <w:rPr>
          <w:rFonts w:cs="Arial"/>
          <w:szCs w:val="24"/>
        </w:rPr>
        <w:t xml:space="preserve"> process </w:t>
      </w:r>
      <w:r w:rsidR="00E83E1D">
        <w:rPr>
          <w:rFonts w:cs="Arial"/>
          <w:szCs w:val="24"/>
        </w:rPr>
        <w:t>of judicial</w:t>
      </w:r>
      <w:r w:rsidR="00E36206">
        <w:rPr>
          <w:rFonts w:cs="Arial"/>
          <w:szCs w:val="24"/>
        </w:rPr>
        <w:t xml:space="preserve"> review</w:t>
      </w:r>
      <w:r w:rsidR="00E83E1D">
        <w:rPr>
          <w:rFonts w:cs="Arial"/>
          <w:szCs w:val="24"/>
        </w:rPr>
        <w:t xml:space="preserve"> </w:t>
      </w:r>
      <w:r w:rsidR="00DF63D9">
        <w:rPr>
          <w:rFonts w:cs="Arial"/>
          <w:szCs w:val="24"/>
        </w:rPr>
        <w:t xml:space="preserve">exercise </w:t>
      </w:r>
      <w:r w:rsidR="00E83E1D">
        <w:rPr>
          <w:rFonts w:cs="Arial"/>
          <w:szCs w:val="24"/>
        </w:rPr>
        <w:t xml:space="preserve">supervisory </w:t>
      </w:r>
      <w:r w:rsidR="00DF63D9">
        <w:rPr>
          <w:rFonts w:cs="Arial"/>
          <w:szCs w:val="24"/>
        </w:rPr>
        <w:t>function</w:t>
      </w:r>
      <w:r w:rsidR="00E83E1D">
        <w:rPr>
          <w:rFonts w:cs="Arial"/>
          <w:szCs w:val="24"/>
        </w:rPr>
        <w:t xml:space="preserve"> </w:t>
      </w:r>
      <w:r w:rsidR="00DF63D9">
        <w:rPr>
          <w:rFonts w:cs="Arial"/>
          <w:szCs w:val="24"/>
        </w:rPr>
        <w:t>over th</w:t>
      </w:r>
      <w:r w:rsidR="001358FA">
        <w:rPr>
          <w:rFonts w:cs="Arial"/>
          <w:szCs w:val="24"/>
        </w:rPr>
        <w:t>at</w:t>
      </w:r>
      <w:r w:rsidR="00E83E1D">
        <w:rPr>
          <w:rFonts w:cs="Arial"/>
          <w:szCs w:val="24"/>
        </w:rPr>
        <w:t xml:space="preserve"> process.  The courts have reiterated the fact </w:t>
      </w:r>
      <w:r>
        <w:rPr>
          <w:rFonts w:cs="Arial"/>
          <w:szCs w:val="24"/>
        </w:rPr>
        <w:t xml:space="preserve">that </w:t>
      </w:r>
      <w:r w:rsidR="00E83E1D">
        <w:rPr>
          <w:rFonts w:cs="Arial"/>
          <w:szCs w:val="24"/>
        </w:rPr>
        <w:t xml:space="preserve">although </w:t>
      </w:r>
      <w:r w:rsidRPr="00832456">
        <w:rPr>
          <w:rFonts w:cs="Arial"/>
          <w:szCs w:val="24"/>
        </w:rPr>
        <w:t>the discretion to decide what costs have been necessarily or properly incurred is given to the Taxing Master</w:t>
      </w:r>
      <w:r>
        <w:rPr>
          <w:rFonts w:cs="Arial"/>
          <w:szCs w:val="24"/>
        </w:rPr>
        <w:t>,</w:t>
      </w:r>
      <w:r w:rsidRPr="00832456">
        <w:rPr>
          <w:rFonts w:cs="Arial"/>
          <w:szCs w:val="24"/>
        </w:rPr>
        <w:t xml:space="preserve"> </w:t>
      </w:r>
      <w:r w:rsidR="00DF63D9">
        <w:rPr>
          <w:rFonts w:cs="Arial"/>
          <w:szCs w:val="24"/>
        </w:rPr>
        <w:t>a</w:t>
      </w:r>
      <w:r w:rsidRPr="0005419F">
        <w:rPr>
          <w:rFonts w:cs="Arial"/>
          <w:szCs w:val="24"/>
        </w:rPr>
        <w:t xml:space="preserve"> Court </w:t>
      </w:r>
      <w:r w:rsidR="0095445D" w:rsidRPr="0005419F">
        <w:rPr>
          <w:rFonts w:cs="Arial"/>
          <w:szCs w:val="24"/>
        </w:rPr>
        <w:t>will,</w:t>
      </w:r>
      <w:r>
        <w:rPr>
          <w:rFonts w:cs="Arial"/>
          <w:szCs w:val="24"/>
        </w:rPr>
        <w:t xml:space="preserve"> when a decision of a Taxing Master is </w:t>
      </w:r>
      <w:r w:rsidR="0095445D">
        <w:rPr>
          <w:rFonts w:cs="Arial"/>
          <w:szCs w:val="24"/>
        </w:rPr>
        <w:t xml:space="preserve">sought to be </w:t>
      </w:r>
      <w:r>
        <w:rPr>
          <w:rFonts w:cs="Arial"/>
          <w:szCs w:val="24"/>
        </w:rPr>
        <w:t>review</w:t>
      </w:r>
      <w:r w:rsidR="0095445D">
        <w:rPr>
          <w:rFonts w:cs="Arial"/>
          <w:szCs w:val="24"/>
        </w:rPr>
        <w:t xml:space="preserve">ed, </w:t>
      </w:r>
      <w:r w:rsidRPr="0005419F">
        <w:rPr>
          <w:rFonts w:cs="Arial"/>
          <w:szCs w:val="24"/>
        </w:rPr>
        <w:t xml:space="preserve">allow the Taxing Master a significant degree of appreciation in the exercise of his or her discretion. </w:t>
      </w:r>
    </w:p>
    <w:p w:rsidR="0005419F" w:rsidRPr="0005419F" w:rsidRDefault="00E20BBD" w:rsidP="0095445D">
      <w:pPr>
        <w:rPr>
          <w:rFonts w:cs="Arial"/>
          <w:szCs w:val="24"/>
        </w:rPr>
      </w:pPr>
      <w:r>
        <w:rPr>
          <w:rFonts w:cs="Arial"/>
          <w:szCs w:val="24"/>
        </w:rPr>
        <w:lastRenderedPageBreak/>
        <w:t xml:space="preserve"> </w:t>
      </w:r>
      <w:r w:rsidR="00E83E1D">
        <w:rPr>
          <w:rFonts w:cs="Arial"/>
          <w:szCs w:val="24"/>
        </w:rPr>
        <w:t>[18]</w:t>
      </w:r>
      <w:r w:rsidR="00E83E1D">
        <w:rPr>
          <w:rFonts w:cs="Arial"/>
          <w:szCs w:val="24"/>
        </w:rPr>
        <w:tab/>
        <w:t xml:space="preserve">The Court in the performance of its supervisory function, is entitled to and will </w:t>
      </w:r>
      <w:r w:rsidR="0095445D" w:rsidRPr="0005419F">
        <w:rPr>
          <w:rFonts w:cs="Arial"/>
          <w:szCs w:val="24"/>
        </w:rPr>
        <w:t>interfere with the Taxing Master's rulings: 'If (a) he has not exercised his discretion judicially, that is if he has exercised it improperly; (b) he has not brought his mind to bear upon the question</w:t>
      </w:r>
      <w:r w:rsidR="0095445D">
        <w:rPr>
          <w:rFonts w:cs="Arial"/>
          <w:szCs w:val="24"/>
        </w:rPr>
        <w:t xml:space="preserve"> </w:t>
      </w:r>
      <w:r w:rsidR="0095445D" w:rsidRPr="0005419F">
        <w:rPr>
          <w:rFonts w:cs="Arial"/>
          <w:szCs w:val="24"/>
        </w:rPr>
        <w:t>or (c) he has acted on a wrong principle.</w:t>
      </w:r>
      <w:r w:rsidR="0095445D">
        <w:rPr>
          <w:rStyle w:val="FootnoteReference"/>
          <w:rFonts w:cs="Arial"/>
          <w:szCs w:val="24"/>
        </w:rPr>
        <w:footnoteReference w:id="4"/>
      </w:r>
      <w:r w:rsidR="00A13484">
        <w:rPr>
          <w:rFonts w:cs="Arial"/>
          <w:szCs w:val="24"/>
        </w:rPr>
        <w:t xml:space="preserve"> </w:t>
      </w:r>
      <w:r w:rsidR="0095445D">
        <w:rPr>
          <w:rFonts w:cs="Arial"/>
          <w:szCs w:val="24"/>
        </w:rPr>
        <w:t xml:space="preserve">Justice Maritz expressed this principle as follows: </w:t>
      </w:r>
    </w:p>
    <w:p w:rsidR="0095445D" w:rsidRDefault="0095445D" w:rsidP="0005419F">
      <w:pPr>
        <w:rPr>
          <w:rFonts w:cs="Arial"/>
          <w:szCs w:val="24"/>
        </w:rPr>
      </w:pPr>
    </w:p>
    <w:p w:rsidR="00E83E1D" w:rsidRDefault="00E83E1D" w:rsidP="00E83E1D">
      <w:pPr>
        <w:ind w:firstLine="720"/>
        <w:rPr>
          <w:rFonts w:cs="Arial"/>
          <w:sz w:val="22"/>
          <w:szCs w:val="22"/>
        </w:rPr>
      </w:pPr>
      <w:r>
        <w:rPr>
          <w:rFonts w:cs="Arial"/>
          <w:sz w:val="22"/>
          <w:szCs w:val="22"/>
        </w:rPr>
        <w:t>‘</w:t>
      </w:r>
      <w:r w:rsidR="0095445D" w:rsidRPr="00E83E1D">
        <w:rPr>
          <w:rFonts w:cs="Arial"/>
          <w:sz w:val="22"/>
          <w:szCs w:val="22"/>
        </w:rPr>
        <w:t>It should be borne in mind, however, that the review of the Taxing Master's decision on taxation is one going beyond the rather narrow common law parameters of judicial review applicable to the acts or omissions of public bodies. It is by its nature a review denoting 'a wider exercise of supervision and a gr</w:t>
      </w:r>
      <w:r>
        <w:rPr>
          <w:rFonts w:cs="Arial"/>
          <w:sz w:val="22"/>
          <w:szCs w:val="22"/>
        </w:rPr>
        <w:t>eater scope of authority than</w:t>
      </w:r>
      <w:r w:rsidR="0095445D" w:rsidRPr="00E83E1D">
        <w:rPr>
          <w:rFonts w:cs="Arial"/>
          <w:sz w:val="22"/>
          <w:szCs w:val="22"/>
        </w:rPr>
        <w:t xml:space="preserve"> those which the Court enjoyed' under either the review of the proceedings of lower courts or of public bodies acting irregularly, illegally or in disregard of important provisions of statute.</w:t>
      </w:r>
      <w:r w:rsidR="006B6E63">
        <w:rPr>
          <w:rFonts w:cs="Arial"/>
          <w:sz w:val="22"/>
          <w:szCs w:val="22"/>
        </w:rPr>
        <w:t>’</w:t>
      </w:r>
      <w:r w:rsidR="0095445D" w:rsidRPr="00E83E1D">
        <w:rPr>
          <w:rFonts w:cs="Arial"/>
          <w:sz w:val="22"/>
          <w:szCs w:val="22"/>
        </w:rPr>
        <w:t xml:space="preserve"> </w:t>
      </w:r>
    </w:p>
    <w:p w:rsidR="00E83E1D" w:rsidRDefault="00E83E1D" w:rsidP="00E83E1D">
      <w:pPr>
        <w:ind w:firstLine="720"/>
        <w:rPr>
          <w:rFonts w:cs="Arial"/>
          <w:sz w:val="22"/>
          <w:szCs w:val="22"/>
        </w:rPr>
      </w:pPr>
    </w:p>
    <w:p w:rsidR="00AB38BD" w:rsidRPr="00832456" w:rsidRDefault="00E83E1D" w:rsidP="00E83E1D">
      <w:pPr>
        <w:rPr>
          <w:rFonts w:cs="Arial"/>
          <w:szCs w:val="24"/>
        </w:rPr>
      </w:pPr>
      <w:r>
        <w:rPr>
          <w:rFonts w:cs="Arial"/>
          <w:szCs w:val="24"/>
          <w:lang w:val="en-US" w:eastAsia="en-ZA"/>
        </w:rPr>
        <w:t>[19]</w:t>
      </w:r>
      <w:r>
        <w:rPr>
          <w:rFonts w:cs="Arial"/>
          <w:szCs w:val="24"/>
          <w:lang w:val="en-US" w:eastAsia="en-ZA"/>
        </w:rPr>
        <w:tab/>
      </w:r>
      <w:r w:rsidR="00A44271" w:rsidRPr="00832456">
        <w:rPr>
          <w:rFonts w:cs="Arial"/>
          <w:szCs w:val="24"/>
          <w:lang w:val="en-US" w:eastAsia="en-ZA"/>
        </w:rPr>
        <w:t>It is clear from the authority above that, t</w:t>
      </w:r>
      <w:r w:rsidR="00573298" w:rsidRPr="00832456">
        <w:rPr>
          <w:rFonts w:cs="Arial"/>
          <w:szCs w:val="24"/>
          <w:lang w:val="en-US" w:eastAsia="en-ZA"/>
        </w:rPr>
        <w:t>his</w:t>
      </w:r>
      <w:r w:rsidR="0025276D" w:rsidRPr="00832456">
        <w:rPr>
          <w:rFonts w:cs="Arial"/>
          <w:szCs w:val="24"/>
          <w:lang w:val="en-US" w:eastAsia="en-ZA"/>
        </w:rPr>
        <w:t xml:space="preserve"> </w:t>
      </w:r>
      <w:r w:rsidR="003F28AD" w:rsidRPr="00832456">
        <w:rPr>
          <w:rFonts w:cs="Arial"/>
          <w:szCs w:val="24"/>
          <w:lang w:val="en-US" w:eastAsia="en-ZA"/>
        </w:rPr>
        <w:t>C</w:t>
      </w:r>
      <w:r w:rsidR="00573298" w:rsidRPr="00832456">
        <w:rPr>
          <w:rFonts w:cs="Arial"/>
          <w:szCs w:val="24"/>
          <w:lang w:val="en-US" w:eastAsia="en-ZA"/>
        </w:rPr>
        <w:t xml:space="preserve">ourt </w:t>
      </w:r>
      <w:r w:rsidR="00AB38BD" w:rsidRPr="00832456">
        <w:rPr>
          <w:rFonts w:cs="Arial"/>
          <w:szCs w:val="24"/>
          <w:lang w:val="en-US" w:eastAsia="en-ZA"/>
        </w:rPr>
        <w:t xml:space="preserve">has the power to correct the Taxing Master's ruling </w:t>
      </w:r>
      <w:r w:rsidR="004B52FA" w:rsidRPr="00832456">
        <w:rPr>
          <w:rFonts w:cs="Arial"/>
          <w:color w:val="000000"/>
          <w:szCs w:val="24"/>
        </w:rPr>
        <w:t>not only if he has acted</w:t>
      </w:r>
      <w:r w:rsidR="00DF63D9">
        <w:rPr>
          <w:rStyle w:val="apple-converted-space"/>
          <w:rFonts w:cs="Arial"/>
          <w:color w:val="000000"/>
          <w:szCs w:val="24"/>
        </w:rPr>
        <w:t xml:space="preserve"> </w:t>
      </w:r>
      <w:r w:rsidR="004B52FA" w:rsidRPr="00832456">
        <w:rPr>
          <w:rFonts w:cs="Arial"/>
          <w:i/>
          <w:iCs/>
          <w:color w:val="000000"/>
          <w:szCs w:val="24"/>
        </w:rPr>
        <w:t>mala fide</w:t>
      </w:r>
      <w:r w:rsidR="00DF63D9">
        <w:rPr>
          <w:rStyle w:val="apple-converted-space"/>
          <w:rFonts w:cs="Arial"/>
          <w:color w:val="000000"/>
          <w:szCs w:val="24"/>
        </w:rPr>
        <w:t xml:space="preserve"> </w:t>
      </w:r>
      <w:r w:rsidR="004B52FA" w:rsidRPr="00832456">
        <w:rPr>
          <w:rFonts w:cs="Arial"/>
          <w:color w:val="000000"/>
          <w:szCs w:val="24"/>
        </w:rPr>
        <w:t xml:space="preserve">or from ulterior and improper motives, if he has not applied his mind to the matter or exercised his discretion at all, </w:t>
      </w:r>
      <w:r w:rsidR="00A44271" w:rsidRPr="00832456">
        <w:rPr>
          <w:rFonts w:cs="Arial"/>
          <w:color w:val="000000"/>
          <w:szCs w:val="24"/>
        </w:rPr>
        <w:t xml:space="preserve">but also </w:t>
      </w:r>
      <w:r w:rsidR="00A44271" w:rsidRPr="00E83E1D">
        <w:rPr>
          <w:rFonts w:cs="Arial"/>
          <w:color w:val="000000"/>
          <w:szCs w:val="24"/>
        </w:rPr>
        <w:t xml:space="preserve">when </w:t>
      </w:r>
      <w:r w:rsidR="004B52FA" w:rsidRPr="00E83E1D">
        <w:rPr>
          <w:rFonts w:cs="Arial"/>
          <w:color w:val="000000"/>
          <w:szCs w:val="24"/>
        </w:rPr>
        <w:t>he has disregarded the express provisions of a statute</w:t>
      </w:r>
      <w:r w:rsidR="004B52FA" w:rsidRPr="00832456">
        <w:rPr>
          <w:rFonts w:cs="Arial"/>
          <w:color w:val="000000"/>
          <w:szCs w:val="24"/>
        </w:rPr>
        <w:t>.</w:t>
      </w:r>
      <w:r w:rsidR="00AB38BD" w:rsidRPr="00832456">
        <w:rPr>
          <w:rStyle w:val="FootnoteReference"/>
          <w:rFonts w:cs="Arial"/>
          <w:szCs w:val="24"/>
          <w:lang w:val="en-US" w:eastAsia="en-ZA"/>
        </w:rPr>
        <w:footnoteReference w:id="5"/>
      </w:r>
      <w:r>
        <w:rPr>
          <w:rFonts w:cs="Arial"/>
          <w:color w:val="000000"/>
          <w:szCs w:val="24"/>
        </w:rPr>
        <w:t xml:space="preserve"> Having set out the legal principles I will now proceed to apply the law to the facts at hand.</w:t>
      </w:r>
    </w:p>
    <w:p w:rsidR="00F85458" w:rsidRDefault="00F85458" w:rsidP="00E83E1D">
      <w:pPr>
        <w:rPr>
          <w:rFonts w:cs="Arial"/>
          <w:szCs w:val="24"/>
        </w:rPr>
      </w:pPr>
    </w:p>
    <w:p w:rsidR="00E83E1D" w:rsidRDefault="006B6E63" w:rsidP="00E83E1D">
      <w:pPr>
        <w:rPr>
          <w:rFonts w:cs="Arial"/>
          <w:szCs w:val="24"/>
          <w:u w:val="single"/>
        </w:rPr>
      </w:pPr>
      <w:r>
        <w:rPr>
          <w:rFonts w:cs="Arial"/>
          <w:szCs w:val="24"/>
          <w:u w:val="single"/>
        </w:rPr>
        <w:t>Discussion</w:t>
      </w:r>
    </w:p>
    <w:p w:rsidR="00E83E1D" w:rsidRDefault="00E83E1D" w:rsidP="00E83E1D">
      <w:pPr>
        <w:rPr>
          <w:rFonts w:cs="Arial"/>
          <w:szCs w:val="24"/>
          <w:u w:val="single"/>
        </w:rPr>
      </w:pPr>
    </w:p>
    <w:p w:rsidR="002200AF" w:rsidRDefault="002200AF" w:rsidP="002200AF">
      <w:pPr>
        <w:pStyle w:val="Heading1"/>
        <w:numPr>
          <w:ilvl w:val="0"/>
          <w:numId w:val="0"/>
        </w:numPr>
        <w:rPr>
          <w:lang w:val="en-US" w:eastAsia="en-ZA"/>
        </w:rPr>
      </w:pPr>
      <w:r w:rsidRPr="00A33E45">
        <w:rPr>
          <w:szCs w:val="24"/>
          <w:lang w:val="en-US" w:eastAsia="en-ZA"/>
        </w:rPr>
        <w:t>[</w:t>
      </w:r>
      <w:r>
        <w:rPr>
          <w:szCs w:val="24"/>
          <w:lang w:val="en-US" w:eastAsia="en-ZA"/>
        </w:rPr>
        <w:t>20</w:t>
      </w:r>
      <w:r w:rsidRPr="00A33E45">
        <w:rPr>
          <w:szCs w:val="24"/>
          <w:lang w:val="en-US" w:eastAsia="en-ZA"/>
        </w:rPr>
        <w:t>]</w:t>
      </w:r>
      <w:r w:rsidRPr="00A33E45">
        <w:rPr>
          <w:szCs w:val="24"/>
          <w:lang w:val="en-US" w:eastAsia="en-ZA"/>
        </w:rPr>
        <w:tab/>
      </w:r>
      <w:r>
        <w:rPr>
          <w:szCs w:val="24"/>
          <w:lang w:val="en-US" w:eastAsia="en-ZA"/>
        </w:rPr>
        <w:t>The</w:t>
      </w:r>
      <w:r w:rsidRPr="00A33E45">
        <w:rPr>
          <w:szCs w:val="24"/>
          <w:lang w:val="en-US" w:eastAsia="en-ZA"/>
        </w:rPr>
        <w:t xml:space="preserve"> authorities </w:t>
      </w:r>
      <w:r>
        <w:rPr>
          <w:szCs w:val="24"/>
          <w:lang w:val="en-US" w:eastAsia="en-ZA"/>
        </w:rPr>
        <w:t xml:space="preserve">are clear that </w:t>
      </w:r>
      <w:r w:rsidRPr="00A33E45">
        <w:rPr>
          <w:szCs w:val="24"/>
          <w:lang w:val="en-US" w:eastAsia="en-ZA"/>
        </w:rPr>
        <w:t xml:space="preserve">the </w:t>
      </w:r>
      <w:r>
        <w:rPr>
          <w:szCs w:val="24"/>
          <w:lang w:val="en-US" w:eastAsia="en-ZA"/>
        </w:rPr>
        <w:t>g</w:t>
      </w:r>
      <w:r w:rsidRPr="00A33E45">
        <w:rPr>
          <w:szCs w:val="24"/>
          <w:lang w:val="en-US" w:eastAsia="en-ZA"/>
        </w:rPr>
        <w:t>eneral rule is that a successful</w:t>
      </w:r>
      <w:r>
        <w:rPr>
          <w:szCs w:val="24"/>
          <w:lang w:val="en-US" w:eastAsia="en-ZA"/>
        </w:rPr>
        <w:t xml:space="preserve"> party</w:t>
      </w:r>
      <w:r w:rsidRPr="00A33E45">
        <w:rPr>
          <w:szCs w:val="24"/>
          <w:lang w:val="en-US" w:eastAsia="en-ZA"/>
        </w:rPr>
        <w:t xml:space="preserve"> must </w:t>
      </w:r>
      <w:r>
        <w:rPr>
          <w:szCs w:val="24"/>
          <w:lang w:val="en-US" w:eastAsia="en-ZA"/>
        </w:rPr>
        <w:t xml:space="preserve">be </w:t>
      </w:r>
      <w:r w:rsidRPr="00A33E45">
        <w:rPr>
          <w:szCs w:val="24"/>
          <w:lang w:val="en-US" w:eastAsia="en-ZA"/>
        </w:rPr>
        <w:t xml:space="preserve">indemnified </w:t>
      </w:r>
      <w:r>
        <w:rPr>
          <w:szCs w:val="24"/>
          <w:lang w:val="en-US" w:eastAsia="en-ZA"/>
        </w:rPr>
        <w:t>in respect of costs that he or she has incurred when he or she initiated or defended a matter. Implicit in that</w:t>
      </w:r>
      <w:r w:rsidRPr="00A33E45">
        <w:rPr>
          <w:szCs w:val="24"/>
          <w:lang w:val="en-US" w:eastAsia="en-ZA"/>
        </w:rPr>
        <w:t xml:space="preserve"> </w:t>
      </w:r>
      <w:r>
        <w:rPr>
          <w:szCs w:val="24"/>
          <w:lang w:val="en-US" w:eastAsia="en-ZA"/>
        </w:rPr>
        <w:t>statement is that there are exceptions to the general rule that a party must be indemnified in respect of costs that he or she has incurred in the process of litigation. One of the exceptions is found in Rule 32</w:t>
      </w:r>
      <w:r w:rsidR="001A061D">
        <w:rPr>
          <w:szCs w:val="24"/>
          <w:lang w:val="en-US" w:eastAsia="en-ZA"/>
        </w:rPr>
        <w:t xml:space="preserve"> </w:t>
      </w:r>
      <w:r>
        <w:rPr>
          <w:szCs w:val="24"/>
          <w:lang w:val="en-US" w:eastAsia="en-ZA"/>
        </w:rPr>
        <w:t>(11)</w:t>
      </w:r>
      <w:r>
        <w:rPr>
          <w:rStyle w:val="FootnoteReference"/>
          <w:szCs w:val="24"/>
          <w:lang w:val="en-US" w:eastAsia="en-ZA"/>
        </w:rPr>
        <w:footnoteReference w:id="6"/>
      </w:r>
      <w:r>
        <w:rPr>
          <w:szCs w:val="24"/>
          <w:lang w:val="en-US" w:eastAsia="en-ZA"/>
        </w:rPr>
        <w:t xml:space="preserve"> of this Court’s rules which reads as follows:</w:t>
      </w:r>
    </w:p>
    <w:p w:rsidR="002200AF" w:rsidRDefault="002200AF" w:rsidP="002200AF">
      <w:pPr>
        <w:rPr>
          <w:lang w:val="en-US" w:eastAsia="en-ZA"/>
        </w:rPr>
      </w:pPr>
      <w:bookmarkStart w:id="0" w:name="_GoBack"/>
      <w:bookmarkEnd w:id="0"/>
    </w:p>
    <w:p w:rsidR="002200AF" w:rsidRPr="002200AF" w:rsidRDefault="002200AF" w:rsidP="002200AF">
      <w:pPr>
        <w:widowControl/>
        <w:tabs>
          <w:tab w:val="left" w:pos="1440"/>
        </w:tabs>
        <w:autoSpaceDE w:val="0"/>
        <w:autoSpaceDN w:val="0"/>
        <w:adjustRightInd w:val="0"/>
        <w:ind w:right="29" w:firstLine="720"/>
        <w:rPr>
          <w:rFonts w:cs="Arial"/>
          <w:spacing w:val="0"/>
          <w:szCs w:val="24"/>
          <w:lang w:val="en-ZA" w:eastAsia="en-ZA"/>
        </w:rPr>
      </w:pPr>
      <w:r w:rsidRPr="00550A47">
        <w:rPr>
          <w:rFonts w:cs="Arial"/>
          <w:spacing w:val="0"/>
          <w:sz w:val="22"/>
          <w:szCs w:val="22"/>
          <w:lang w:val="en-ZA" w:eastAsia="en-ZA"/>
        </w:rPr>
        <w:lastRenderedPageBreak/>
        <w:t>‘(11)</w:t>
      </w:r>
      <w:r w:rsidRPr="00550A47">
        <w:rPr>
          <w:rFonts w:cs="Arial"/>
          <w:spacing w:val="0"/>
          <w:sz w:val="22"/>
          <w:szCs w:val="22"/>
          <w:lang w:val="en-ZA" w:eastAsia="en-ZA"/>
        </w:rPr>
        <w:tab/>
        <w:t xml:space="preserve">Despite anything to the contrary in these rules, whether or not instructing and instructed legal practitioners are engaged in a cause or matter, the costs that may be awarded to a successful party in </w:t>
      </w:r>
      <w:r w:rsidRPr="002200AF">
        <w:rPr>
          <w:rFonts w:cs="Arial"/>
          <w:i/>
          <w:spacing w:val="0"/>
          <w:sz w:val="22"/>
          <w:szCs w:val="22"/>
          <w:u w:val="single"/>
          <w:lang w:val="en-ZA" w:eastAsia="en-ZA"/>
        </w:rPr>
        <w:t>any interlocutory proceeding may not exceed N$20 000</w:t>
      </w:r>
      <w:r w:rsidRPr="002200AF">
        <w:rPr>
          <w:rFonts w:cs="Arial"/>
          <w:i/>
          <w:spacing w:val="0"/>
          <w:sz w:val="22"/>
          <w:szCs w:val="22"/>
          <w:lang w:val="en-ZA" w:eastAsia="en-ZA"/>
        </w:rPr>
        <w:t>.</w:t>
      </w:r>
      <w:r>
        <w:rPr>
          <w:rFonts w:cs="Arial"/>
          <w:spacing w:val="0"/>
          <w:sz w:val="22"/>
          <w:szCs w:val="22"/>
          <w:lang w:val="en-ZA" w:eastAsia="en-ZA"/>
        </w:rPr>
        <w:t xml:space="preserve">’ </w:t>
      </w:r>
      <w:r>
        <w:rPr>
          <w:rFonts w:cs="Arial"/>
          <w:spacing w:val="0"/>
          <w:szCs w:val="24"/>
          <w:lang w:val="en-ZA" w:eastAsia="en-ZA"/>
        </w:rPr>
        <w:t>(Italicised and underlined for emphasis).</w:t>
      </w:r>
    </w:p>
    <w:p w:rsidR="002200AF" w:rsidRPr="004B52FA" w:rsidRDefault="002200AF" w:rsidP="002200AF">
      <w:pPr>
        <w:widowControl/>
        <w:autoSpaceDE w:val="0"/>
        <w:autoSpaceDN w:val="0"/>
        <w:adjustRightInd w:val="0"/>
        <w:spacing w:line="276" w:lineRule="auto"/>
        <w:ind w:left="1440" w:right="1134"/>
        <w:rPr>
          <w:rFonts w:ascii="Times-Roman" w:hAnsi="Times-Roman" w:cs="Times-Roman"/>
          <w:spacing w:val="0"/>
          <w:sz w:val="22"/>
          <w:szCs w:val="22"/>
          <w:lang w:val="en-ZA" w:eastAsia="en-ZA"/>
        </w:rPr>
      </w:pPr>
    </w:p>
    <w:p w:rsidR="002200AF" w:rsidRPr="00AA73BD" w:rsidRDefault="002200AF" w:rsidP="002200AF">
      <w:pPr>
        <w:pStyle w:val="Heading1"/>
        <w:numPr>
          <w:ilvl w:val="0"/>
          <w:numId w:val="0"/>
        </w:numPr>
        <w:rPr>
          <w:rFonts w:cs="Arial"/>
        </w:rPr>
      </w:pPr>
      <w:r>
        <w:t>[21]</w:t>
      </w:r>
      <w:r>
        <w:tab/>
      </w:r>
      <w:r>
        <w:rPr>
          <w:rFonts w:cs="Arial"/>
        </w:rPr>
        <w:t>Rule 32 contemplates two types of proceedings, namely, first, applications for directions in respect of interlocutory applications (</w:t>
      </w:r>
      <w:proofErr w:type="spellStart"/>
      <w:r>
        <w:rPr>
          <w:rFonts w:cs="Arial"/>
        </w:rPr>
        <w:t>subrules</w:t>
      </w:r>
      <w:proofErr w:type="spellEnd"/>
      <w:r>
        <w:rPr>
          <w:rFonts w:cs="Arial"/>
        </w:rPr>
        <w:t xml:space="preserve"> (1), (4), (5), (6), (7) and (8)); and, second, interlocutory applications (</w:t>
      </w:r>
      <w:proofErr w:type="spellStart"/>
      <w:r>
        <w:rPr>
          <w:rFonts w:cs="Arial"/>
        </w:rPr>
        <w:t>subrules</w:t>
      </w:r>
      <w:proofErr w:type="spellEnd"/>
      <w:r>
        <w:rPr>
          <w:rFonts w:cs="Arial"/>
        </w:rPr>
        <w:t xml:space="preserve"> (2), (3) and (11)).  The starting point is thus to answer the questi</w:t>
      </w:r>
      <w:r w:rsidR="00AA73BD">
        <w:rPr>
          <w:rFonts w:cs="Arial"/>
        </w:rPr>
        <w:t xml:space="preserve">on whether an exception fits in </w:t>
      </w:r>
      <w:r>
        <w:rPr>
          <w:rFonts w:cs="Arial"/>
        </w:rPr>
        <w:t>in one or both the types of</w:t>
      </w:r>
      <w:r w:rsidR="00AA73BD">
        <w:rPr>
          <w:rFonts w:cs="Arial"/>
        </w:rPr>
        <w:t xml:space="preserve"> proceedings contemplated in that</w:t>
      </w:r>
      <w:r>
        <w:rPr>
          <w:rFonts w:cs="Arial"/>
        </w:rPr>
        <w:t xml:space="preserve"> Rule. </w:t>
      </w:r>
      <w:r w:rsidRPr="00AA73BD">
        <w:rPr>
          <w:rFonts w:cs="Arial"/>
        </w:rPr>
        <w:t>What is obvious is that an exception is not a proceeding in respect of which direction in respect of interlocutory proceedings is sought</w:t>
      </w:r>
      <w:r w:rsidR="003F28AD" w:rsidRPr="00AA73BD">
        <w:rPr>
          <w:rFonts w:cs="Arial"/>
        </w:rPr>
        <w:t xml:space="preserve"> from the managing judge</w:t>
      </w:r>
      <w:r w:rsidRPr="00AA73BD">
        <w:rPr>
          <w:rFonts w:cs="Arial"/>
        </w:rPr>
        <w:t>.  Is it an interlocutory application?</w:t>
      </w:r>
    </w:p>
    <w:p w:rsidR="002200AF" w:rsidRPr="00AA73BD" w:rsidRDefault="002200AF" w:rsidP="002200AF">
      <w:pPr>
        <w:pStyle w:val="Heading1"/>
        <w:numPr>
          <w:ilvl w:val="0"/>
          <w:numId w:val="0"/>
        </w:numPr>
        <w:rPr>
          <w:rFonts w:cs="Arial"/>
        </w:rPr>
      </w:pPr>
    </w:p>
    <w:p w:rsidR="002200AF" w:rsidRDefault="002200AF" w:rsidP="002200AF">
      <w:r>
        <w:rPr>
          <w:rFonts w:cs="Arial"/>
        </w:rPr>
        <w:t>[2</w:t>
      </w:r>
      <w:r w:rsidR="003F28AD">
        <w:rPr>
          <w:rFonts w:cs="Arial"/>
        </w:rPr>
        <w:t>2</w:t>
      </w:r>
      <w:r>
        <w:rPr>
          <w:rFonts w:cs="Arial"/>
        </w:rPr>
        <w:t>]</w:t>
      </w:r>
      <w:r>
        <w:rPr>
          <w:rFonts w:cs="Arial"/>
        </w:rPr>
        <w:tab/>
      </w:r>
      <w:r w:rsidRPr="00DA3E7B">
        <w:rPr>
          <w:rFonts w:cs="Arial"/>
          <w:szCs w:val="24"/>
        </w:rPr>
        <w:t xml:space="preserve">In </w:t>
      </w:r>
      <w:proofErr w:type="spellStart"/>
      <w:r w:rsidRPr="00DA3E7B">
        <w:rPr>
          <w:rFonts w:cs="Arial"/>
          <w:i/>
          <w:szCs w:val="24"/>
        </w:rPr>
        <w:t>Herbstein</w:t>
      </w:r>
      <w:proofErr w:type="spellEnd"/>
      <w:r w:rsidRPr="00DA3E7B">
        <w:rPr>
          <w:rFonts w:cs="Arial"/>
          <w:i/>
          <w:szCs w:val="24"/>
        </w:rPr>
        <w:t xml:space="preserve"> and Van </w:t>
      </w:r>
      <w:proofErr w:type="spellStart"/>
      <w:r w:rsidRPr="00DA3E7B">
        <w:rPr>
          <w:rFonts w:cs="Arial"/>
          <w:i/>
          <w:szCs w:val="24"/>
        </w:rPr>
        <w:t>Winsen</w:t>
      </w:r>
      <w:proofErr w:type="spellEnd"/>
      <w:r>
        <w:rPr>
          <w:rFonts w:cs="Arial"/>
          <w:i/>
          <w:szCs w:val="24"/>
        </w:rPr>
        <w:t xml:space="preserve">: </w:t>
      </w:r>
      <w:r w:rsidRPr="00DA3E7B">
        <w:rPr>
          <w:rFonts w:cs="Arial"/>
          <w:i/>
          <w:szCs w:val="24"/>
        </w:rPr>
        <w:t>Civil Practice of the Superior Courts of South Africa</w:t>
      </w:r>
      <w:r w:rsidRPr="00DA3E7B">
        <w:rPr>
          <w:rStyle w:val="FootnoteReference"/>
          <w:rFonts w:cs="Arial"/>
          <w:szCs w:val="24"/>
        </w:rPr>
        <w:footnoteReference w:id="7"/>
      </w:r>
      <w:r w:rsidRPr="00DA3E7B">
        <w:rPr>
          <w:rFonts w:cs="Arial"/>
          <w:szCs w:val="24"/>
        </w:rPr>
        <w:t xml:space="preserve">, the learned authors </w:t>
      </w:r>
      <w:r>
        <w:rPr>
          <w:rFonts w:cs="Arial"/>
          <w:szCs w:val="24"/>
        </w:rPr>
        <w:t xml:space="preserve">opine that an interlocutory order is an order granted by a court at an intermediate stage in the course of litigation, settling or giving directions with regard to some preliminary or procedural question that has arisen in the dispute between the parties. In the matter of </w:t>
      </w:r>
      <w:r w:rsidRPr="00920BEA">
        <w:rPr>
          <w:rFonts w:cs="Arial"/>
          <w:i/>
          <w:szCs w:val="24"/>
        </w:rPr>
        <w:t>South Cape Corporation (Pty) Ltd v Engineering Management Services (Pty) Ltd</w:t>
      </w:r>
      <w:r>
        <w:rPr>
          <w:rStyle w:val="FootnoteReference"/>
          <w:rFonts w:cs="Arial"/>
          <w:i/>
          <w:szCs w:val="24"/>
        </w:rPr>
        <w:footnoteReference w:id="8"/>
      </w:r>
      <w:r>
        <w:rPr>
          <w:rFonts w:cs="Arial"/>
          <w:i/>
          <w:szCs w:val="24"/>
        </w:rPr>
        <w:t xml:space="preserve"> </w:t>
      </w:r>
      <w:r>
        <w:t>Corbett JA summarized the principles that are useful in determining whether a matter is an interlocutory one or not as follows:</w:t>
      </w:r>
    </w:p>
    <w:p w:rsidR="002200AF" w:rsidRDefault="002200AF" w:rsidP="002200AF">
      <w:pPr>
        <w:pStyle w:val="Heading1"/>
        <w:numPr>
          <w:ilvl w:val="0"/>
          <w:numId w:val="0"/>
        </w:numPr>
        <w:rPr>
          <w:rFonts w:cs="Arial"/>
          <w:szCs w:val="24"/>
        </w:rPr>
      </w:pPr>
    </w:p>
    <w:p w:rsidR="002200AF" w:rsidRPr="00920BEA" w:rsidRDefault="002200AF" w:rsidP="002200AF">
      <w:pPr>
        <w:tabs>
          <w:tab w:val="left" w:pos="1440"/>
        </w:tabs>
        <w:ind w:firstLine="720"/>
        <w:rPr>
          <w:sz w:val="22"/>
          <w:szCs w:val="22"/>
        </w:rPr>
      </w:pPr>
      <w:r w:rsidRPr="00920BEA">
        <w:rPr>
          <w:sz w:val="22"/>
          <w:szCs w:val="22"/>
        </w:rPr>
        <w:t>‘(a)</w:t>
      </w:r>
      <w:r w:rsidRPr="00920BEA">
        <w:rPr>
          <w:sz w:val="22"/>
          <w:szCs w:val="22"/>
        </w:rPr>
        <w:tab/>
        <w:t>In a wide and general sense the term "interlocutory" refers to all orders pronounced by the Court, upon matters incidental to the main dispute, preparatory to, or during the progress of, the litigation. But orders of this kind are divided into two classes: (</w:t>
      </w:r>
      <w:proofErr w:type="spellStart"/>
      <w:r w:rsidRPr="00920BEA">
        <w:rPr>
          <w:sz w:val="22"/>
          <w:szCs w:val="22"/>
        </w:rPr>
        <w:t>i</w:t>
      </w:r>
      <w:proofErr w:type="spellEnd"/>
      <w:r w:rsidRPr="00920BEA">
        <w:rPr>
          <w:sz w:val="22"/>
          <w:szCs w:val="22"/>
        </w:rPr>
        <w:t>) those which have a final and definitive effect on the main action; and (ii) those, known as "simple (or purely) interlocutory orders" or "interl</w:t>
      </w:r>
      <w:r>
        <w:rPr>
          <w:sz w:val="22"/>
          <w:szCs w:val="22"/>
        </w:rPr>
        <w:t>ocutory orders proper", which do not….</w:t>
      </w:r>
    </w:p>
    <w:p w:rsidR="002200AF" w:rsidRDefault="002200AF" w:rsidP="002200AF">
      <w:pPr>
        <w:rPr>
          <w:sz w:val="22"/>
          <w:szCs w:val="22"/>
        </w:rPr>
      </w:pPr>
    </w:p>
    <w:p w:rsidR="002200AF" w:rsidRDefault="002200AF" w:rsidP="002200AF">
      <w:pPr>
        <w:ind w:firstLine="720"/>
        <w:rPr>
          <w:sz w:val="22"/>
          <w:szCs w:val="22"/>
        </w:rPr>
      </w:pPr>
      <w:r w:rsidRPr="00920BEA">
        <w:rPr>
          <w:sz w:val="22"/>
          <w:szCs w:val="22"/>
        </w:rPr>
        <w:t>(b)</w:t>
      </w:r>
      <w:r>
        <w:rPr>
          <w:sz w:val="22"/>
          <w:szCs w:val="22"/>
        </w:rPr>
        <w:tab/>
      </w:r>
      <w:r w:rsidRPr="00920BEA">
        <w:rPr>
          <w:sz w:val="22"/>
          <w:szCs w:val="22"/>
        </w:rPr>
        <w:t xml:space="preserve">Statutes relating to the </w:t>
      </w:r>
      <w:proofErr w:type="spellStart"/>
      <w:r w:rsidRPr="00920BEA">
        <w:rPr>
          <w:sz w:val="22"/>
          <w:szCs w:val="22"/>
        </w:rPr>
        <w:t>appealability</w:t>
      </w:r>
      <w:proofErr w:type="spellEnd"/>
      <w:r w:rsidRPr="00920BEA">
        <w:rPr>
          <w:sz w:val="22"/>
          <w:szCs w:val="22"/>
        </w:rPr>
        <w:t xml:space="preserve"> of judgments or orders (whether it be </w:t>
      </w:r>
      <w:proofErr w:type="spellStart"/>
      <w:r w:rsidRPr="00920BEA">
        <w:rPr>
          <w:sz w:val="22"/>
          <w:szCs w:val="22"/>
        </w:rPr>
        <w:t>appealability</w:t>
      </w:r>
      <w:proofErr w:type="spellEnd"/>
      <w:r w:rsidRPr="00920BEA">
        <w:rPr>
          <w:sz w:val="22"/>
          <w:szCs w:val="22"/>
        </w:rPr>
        <w:t xml:space="preserve"> with leave or </w:t>
      </w:r>
      <w:proofErr w:type="spellStart"/>
      <w:r w:rsidRPr="00920BEA">
        <w:rPr>
          <w:sz w:val="22"/>
          <w:szCs w:val="22"/>
        </w:rPr>
        <w:t>appealability</w:t>
      </w:r>
      <w:proofErr w:type="spellEnd"/>
      <w:r w:rsidRPr="00920BEA">
        <w:rPr>
          <w:sz w:val="22"/>
          <w:szCs w:val="22"/>
        </w:rPr>
        <w:t xml:space="preserve"> at all) which use the word "interlocutory", or other words of similar import, are taken to refer to simple interlocutory orders</w:t>
      </w:r>
      <w:r>
        <w:rPr>
          <w:sz w:val="22"/>
          <w:szCs w:val="22"/>
        </w:rPr>
        <w:t>…</w:t>
      </w:r>
    </w:p>
    <w:p w:rsidR="002200AF" w:rsidRPr="00920BEA" w:rsidRDefault="002200AF" w:rsidP="002200AF">
      <w:pPr>
        <w:ind w:firstLine="720"/>
        <w:rPr>
          <w:sz w:val="22"/>
          <w:szCs w:val="22"/>
        </w:rPr>
      </w:pPr>
    </w:p>
    <w:p w:rsidR="002200AF" w:rsidRPr="00920BEA" w:rsidRDefault="002200AF" w:rsidP="002200AF">
      <w:pPr>
        <w:ind w:firstLine="720"/>
        <w:rPr>
          <w:sz w:val="22"/>
          <w:szCs w:val="22"/>
        </w:rPr>
      </w:pPr>
      <w:r>
        <w:rPr>
          <w:sz w:val="22"/>
          <w:szCs w:val="22"/>
        </w:rPr>
        <w:t>(c)</w:t>
      </w:r>
      <w:r>
        <w:rPr>
          <w:sz w:val="22"/>
          <w:szCs w:val="22"/>
        </w:rPr>
        <w:tab/>
      </w:r>
      <w:r w:rsidRPr="00920BEA">
        <w:rPr>
          <w:sz w:val="22"/>
          <w:szCs w:val="22"/>
        </w:rPr>
        <w:t xml:space="preserve">The general test as to whether an order is a simple interlocutory one or not was stated by SCHREINER, J.A., in the Pretoria Garrison Institutes case, supra, as follows </w:t>
      </w:r>
    </w:p>
    <w:p w:rsidR="002200AF" w:rsidRDefault="002200AF" w:rsidP="002200AF">
      <w:pPr>
        <w:ind w:left="810"/>
        <w:rPr>
          <w:sz w:val="22"/>
          <w:szCs w:val="22"/>
        </w:rPr>
      </w:pPr>
      <w:r w:rsidRPr="00920BEA">
        <w:rPr>
          <w:sz w:val="22"/>
          <w:szCs w:val="22"/>
        </w:rPr>
        <w:lastRenderedPageBreak/>
        <w:t>"... a preparatory or p</w:t>
      </w:r>
      <w:r>
        <w:rPr>
          <w:sz w:val="22"/>
          <w:szCs w:val="22"/>
        </w:rPr>
        <w:t>rocedural order is a simple</w:t>
      </w:r>
      <w:r w:rsidRPr="00920BEA">
        <w:rPr>
          <w:sz w:val="22"/>
          <w:szCs w:val="22"/>
        </w:rPr>
        <w:t xml:space="preserve"> interlocutory order and therefore not appealable unless it is such as to 'dispose of any issue or any portion of the issue in the main action or suit' or, which amounts, I think, to the same thing, unless it 'irreparably anticipates or precludes some of the relief which would or might be given at the hearing'."</w:t>
      </w:r>
    </w:p>
    <w:p w:rsidR="002200AF" w:rsidRPr="00920BEA" w:rsidRDefault="002200AF" w:rsidP="002200AF">
      <w:pPr>
        <w:ind w:left="810"/>
        <w:rPr>
          <w:sz w:val="22"/>
          <w:szCs w:val="22"/>
        </w:rPr>
      </w:pPr>
    </w:p>
    <w:p w:rsidR="002200AF" w:rsidRDefault="002200AF" w:rsidP="002200AF">
      <w:pPr>
        <w:ind w:firstLine="720"/>
        <w:rPr>
          <w:sz w:val="22"/>
          <w:szCs w:val="22"/>
        </w:rPr>
      </w:pPr>
      <w:r w:rsidRPr="00920BEA">
        <w:rPr>
          <w:sz w:val="22"/>
          <w:szCs w:val="22"/>
        </w:rPr>
        <w:t>(d)</w:t>
      </w:r>
      <w:r>
        <w:rPr>
          <w:sz w:val="22"/>
          <w:szCs w:val="22"/>
        </w:rPr>
        <w:tab/>
        <w:t>…</w:t>
      </w:r>
    </w:p>
    <w:p w:rsidR="002200AF" w:rsidRPr="00920BEA" w:rsidRDefault="002200AF" w:rsidP="002200AF">
      <w:pPr>
        <w:ind w:firstLine="720"/>
        <w:rPr>
          <w:sz w:val="22"/>
          <w:szCs w:val="22"/>
        </w:rPr>
      </w:pPr>
    </w:p>
    <w:p w:rsidR="002200AF" w:rsidRDefault="002200AF" w:rsidP="002200AF">
      <w:pPr>
        <w:ind w:firstLine="720"/>
        <w:rPr>
          <w:sz w:val="22"/>
          <w:szCs w:val="22"/>
        </w:rPr>
      </w:pPr>
      <w:r w:rsidRPr="00920BEA">
        <w:rPr>
          <w:sz w:val="22"/>
          <w:szCs w:val="22"/>
        </w:rPr>
        <w:t>(e)</w:t>
      </w:r>
      <w:r>
        <w:rPr>
          <w:sz w:val="22"/>
          <w:szCs w:val="22"/>
        </w:rPr>
        <w:tab/>
      </w:r>
      <w:r w:rsidRPr="00920BEA">
        <w:rPr>
          <w:sz w:val="22"/>
          <w:szCs w:val="22"/>
        </w:rPr>
        <w:t>At common law a purely interlocutory order may be corrected, altered or set aside by the Judge who granted it at any time before final judgment; whereas an order which has final and definitive effect, even</w:t>
      </w:r>
      <w:r>
        <w:rPr>
          <w:sz w:val="22"/>
          <w:szCs w:val="22"/>
        </w:rPr>
        <w:t xml:space="preserve"> </w:t>
      </w:r>
      <w:r w:rsidRPr="00920BEA">
        <w:rPr>
          <w:sz w:val="22"/>
          <w:szCs w:val="22"/>
        </w:rPr>
        <w:t xml:space="preserve">though it may be interlocutory in the wide sense, </w:t>
      </w:r>
      <w:r w:rsidRPr="00920BEA">
        <w:rPr>
          <w:i/>
          <w:sz w:val="22"/>
          <w:szCs w:val="22"/>
        </w:rPr>
        <w:t>is res judicata</w:t>
      </w:r>
      <w:r w:rsidRPr="00920BEA">
        <w:rPr>
          <w:sz w:val="22"/>
          <w:szCs w:val="22"/>
        </w:rPr>
        <w:t xml:space="preserve"> </w:t>
      </w:r>
      <w:r>
        <w:rPr>
          <w:sz w:val="22"/>
          <w:szCs w:val="22"/>
        </w:rPr>
        <w:t>..’</w:t>
      </w:r>
    </w:p>
    <w:p w:rsidR="002200AF" w:rsidRPr="00920BEA" w:rsidRDefault="002200AF" w:rsidP="002200AF">
      <w:pPr>
        <w:ind w:firstLine="720"/>
        <w:rPr>
          <w:sz w:val="22"/>
          <w:szCs w:val="22"/>
        </w:rPr>
      </w:pPr>
    </w:p>
    <w:p w:rsidR="002200AF" w:rsidRDefault="002200AF" w:rsidP="002200AF">
      <w:pPr>
        <w:rPr>
          <w:szCs w:val="24"/>
        </w:rPr>
      </w:pPr>
      <w:r w:rsidRPr="00555291">
        <w:rPr>
          <w:szCs w:val="24"/>
        </w:rPr>
        <w:t>[</w:t>
      </w:r>
      <w:r>
        <w:rPr>
          <w:szCs w:val="24"/>
        </w:rPr>
        <w:t>2</w:t>
      </w:r>
      <w:r w:rsidR="003F28AD">
        <w:rPr>
          <w:szCs w:val="24"/>
        </w:rPr>
        <w:t>3</w:t>
      </w:r>
      <w:r w:rsidRPr="00555291">
        <w:rPr>
          <w:szCs w:val="24"/>
        </w:rPr>
        <w:t>]</w:t>
      </w:r>
      <w:r w:rsidRPr="00555291">
        <w:rPr>
          <w:szCs w:val="24"/>
        </w:rPr>
        <w:tab/>
      </w:r>
      <w:r w:rsidRPr="00AA73BD">
        <w:rPr>
          <w:szCs w:val="24"/>
        </w:rPr>
        <w:t xml:space="preserve">It remains to apply these principles to </w:t>
      </w:r>
      <w:r w:rsidR="000A09C8" w:rsidRPr="00AA73BD">
        <w:rPr>
          <w:szCs w:val="24"/>
        </w:rPr>
        <w:t>the facts of this case</w:t>
      </w:r>
      <w:r w:rsidR="00D73B22">
        <w:rPr>
          <w:szCs w:val="24"/>
        </w:rPr>
        <w:t>.</w:t>
      </w:r>
      <w:r w:rsidR="000A09C8">
        <w:rPr>
          <w:szCs w:val="24"/>
        </w:rPr>
        <w:t xml:space="preserve"> </w:t>
      </w:r>
      <w:r w:rsidR="00D73B22">
        <w:rPr>
          <w:szCs w:val="24"/>
        </w:rPr>
        <w:t>In this matter the defendant</w:t>
      </w:r>
      <w:r>
        <w:rPr>
          <w:szCs w:val="24"/>
        </w:rPr>
        <w:t xml:space="preserve"> </w:t>
      </w:r>
      <w:proofErr w:type="gramStart"/>
      <w:r>
        <w:rPr>
          <w:szCs w:val="24"/>
        </w:rPr>
        <w:t>except</w:t>
      </w:r>
      <w:r w:rsidR="00D73B22">
        <w:rPr>
          <w:szCs w:val="24"/>
        </w:rPr>
        <w:t>ed</w:t>
      </w:r>
      <w:proofErr w:type="gramEnd"/>
      <w:r>
        <w:rPr>
          <w:szCs w:val="24"/>
        </w:rPr>
        <w:t xml:space="preserve"> to the</w:t>
      </w:r>
      <w:r w:rsidR="00D73B22">
        <w:rPr>
          <w:szCs w:val="24"/>
        </w:rPr>
        <w:t xml:space="preserve"> plaintiff’s </w:t>
      </w:r>
      <w:r>
        <w:rPr>
          <w:szCs w:val="24"/>
        </w:rPr>
        <w:t xml:space="preserve">particulars of claim. </w:t>
      </w:r>
      <w:r w:rsidRPr="00555291">
        <w:rPr>
          <w:szCs w:val="24"/>
        </w:rPr>
        <w:t xml:space="preserve">It seems clear that the litigation which resulted in </w:t>
      </w:r>
      <w:r w:rsidR="00EF5551" w:rsidRPr="00E20BBD">
        <w:rPr>
          <w:color w:val="000000" w:themeColor="text1"/>
          <w:szCs w:val="24"/>
        </w:rPr>
        <w:t>a</w:t>
      </w:r>
      <w:r w:rsidR="00EF5551" w:rsidRPr="00EF5551">
        <w:rPr>
          <w:color w:val="FF0000"/>
          <w:szCs w:val="24"/>
        </w:rPr>
        <w:t xml:space="preserve"> </w:t>
      </w:r>
      <w:r>
        <w:rPr>
          <w:szCs w:val="24"/>
        </w:rPr>
        <w:t xml:space="preserve">ruling being </w:t>
      </w:r>
      <w:r w:rsidRPr="00555291">
        <w:rPr>
          <w:szCs w:val="24"/>
        </w:rPr>
        <w:t xml:space="preserve">given against the </w:t>
      </w:r>
      <w:r>
        <w:rPr>
          <w:szCs w:val="24"/>
        </w:rPr>
        <w:t>plaintiff</w:t>
      </w:r>
      <w:r w:rsidRPr="00555291">
        <w:rPr>
          <w:szCs w:val="24"/>
        </w:rPr>
        <w:t xml:space="preserve"> on 1 </w:t>
      </w:r>
      <w:r>
        <w:rPr>
          <w:szCs w:val="24"/>
        </w:rPr>
        <w:t>August 2014</w:t>
      </w:r>
      <w:r w:rsidRPr="00555291">
        <w:rPr>
          <w:szCs w:val="24"/>
        </w:rPr>
        <w:t xml:space="preserve"> (i.e., </w:t>
      </w:r>
      <w:r>
        <w:rPr>
          <w:szCs w:val="24"/>
        </w:rPr>
        <w:t>the upholding of the defendants exception</w:t>
      </w:r>
      <w:r w:rsidRPr="00555291">
        <w:rPr>
          <w:szCs w:val="24"/>
        </w:rPr>
        <w:t xml:space="preserve">) </w:t>
      </w:r>
      <w:r w:rsidR="00E01CC7">
        <w:rPr>
          <w:szCs w:val="24"/>
        </w:rPr>
        <w:t>did not cease with the upholding of the exception</w:t>
      </w:r>
      <w:r w:rsidRPr="00555291">
        <w:rPr>
          <w:szCs w:val="24"/>
        </w:rPr>
        <w:t xml:space="preserve">. The </w:t>
      </w:r>
      <w:r>
        <w:rPr>
          <w:szCs w:val="24"/>
        </w:rPr>
        <w:t xml:space="preserve">exception was </w:t>
      </w:r>
      <w:r w:rsidRPr="00555291">
        <w:rPr>
          <w:szCs w:val="24"/>
        </w:rPr>
        <w:t>a</w:t>
      </w:r>
      <w:r w:rsidR="006C0FD0">
        <w:rPr>
          <w:szCs w:val="24"/>
        </w:rPr>
        <w:t xml:space="preserve">n </w:t>
      </w:r>
      <w:r w:rsidR="006C0FD0">
        <w:rPr>
          <w:rFonts w:cs="Arial"/>
          <w:szCs w:val="24"/>
        </w:rPr>
        <w:t>intermediate</w:t>
      </w:r>
      <w:r w:rsidRPr="00555291">
        <w:rPr>
          <w:szCs w:val="24"/>
        </w:rPr>
        <w:t xml:space="preserve"> step in that litigation and the case </w:t>
      </w:r>
      <w:r w:rsidR="00D73B22">
        <w:rPr>
          <w:szCs w:val="24"/>
        </w:rPr>
        <w:t>w</w:t>
      </w:r>
      <w:r w:rsidR="006C0FD0">
        <w:rPr>
          <w:szCs w:val="24"/>
        </w:rPr>
        <w:t>ould</w:t>
      </w:r>
      <w:r w:rsidR="000A09C8">
        <w:rPr>
          <w:szCs w:val="24"/>
        </w:rPr>
        <w:t xml:space="preserve"> not </w:t>
      </w:r>
      <w:r w:rsidR="00D73B22">
        <w:rPr>
          <w:szCs w:val="24"/>
        </w:rPr>
        <w:t xml:space="preserve">be </w:t>
      </w:r>
      <w:r w:rsidRPr="00555291">
        <w:rPr>
          <w:szCs w:val="24"/>
        </w:rPr>
        <w:t xml:space="preserve">concluded until </w:t>
      </w:r>
      <w:r>
        <w:rPr>
          <w:szCs w:val="24"/>
        </w:rPr>
        <w:t xml:space="preserve">an appeal </w:t>
      </w:r>
      <w:r w:rsidRPr="00555291">
        <w:rPr>
          <w:szCs w:val="24"/>
        </w:rPr>
        <w:t xml:space="preserve">Court </w:t>
      </w:r>
      <w:r>
        <w:rPr>
          <w:szCs w:val="24"/>
        </w:rPr>
        <w:t xml:space="preserve">would </w:t>
      </w:r>
      <w:r w:rsidRPr="00555291">
        <w:rPr>
          <w:szCs w:val="24"/>
        </w:rPr>
        <w:t xml:space="preserve">finally </w:t>
      </w:r>
      <w:r w:rsidR="00D73B22" w:rsidRPr="00555291">
        <w:rPr>
          <w:szCs w:val="24"/>
        </w:rPr>
        <w:t>pronounce</w:t>
      </w:r>
      <w:r w:rsidR="00D73B22">
        <w:rPr>
          <w:szCs w:val="24"/>
        </w:rPr>
        <w:t xml:space="preserve"> itself</w:t>
      </w:r>
      <w:r w:rsidR="00D73B22" w:rsidRPr="00555291">
        <w:rPr>
          <w:szCs w:val="24"/>
        </w:rPr>
        <w:t xml:space="preserve"> </w:t>
      </w:r>
      <w:r w:rsidRPr="00555291">
        <w:rPr>
          <w:szCs w:val="24"/>
        </w:rPr>
        <w:t>upon th</w:t>
      </w:r>
      <w:r>
        <w:rPr>
          <w:szCs w:val="24"/>
        </w:rPr>
        <w:t>e merits or the upholding of the exception</w:t>
      </w:r>
      <w:r w:rsidRPr="00555291">
        <w:rPr>
          <w:szCs w:val="24"/>
        </w:rPr>
        <w:t xml:space="preserve">. The </w:t>
      </w:r>
      <w:r>
        <w:rPr>
          <w:szCs w:val="24"/>
        </w:rPr>
        <w:t xml:space="preserve">ruling made on 1 August 2014 </w:t>
      </w:r>
      <w:r w:rsidRPr="00555291">
        <w:rPr>
          <w:szCs w:val="24"/>
        </w:rPr>
        <w:t>related to a matter incidental to the main dispute and would seem, therefore, to fall into the general category of</w:t>
      </w:r>
      <w:r w:rsidR="00EF5551">
        <w:rPr>
          <w:szCs w:val="24"/>
        </w:rPr>
        <w:t xml:space="preserve"> ‘interlocutory’</w:t>
      </w:r>
      <w:r>
        <w:rPr>
          <w:szCs w:val="24"/>
        </w:rPr>
        <w:t xml:space="preserve">, in the wide sense. I have thus come to the conclusion that </w:t>
      </w:r>
      <w:r w:rsidR="006C0FD0">
        <w:rPr>
          <w:szCs w:val="24"/>
        </w:rPr>
        <w:t>the</w:t>
      </w:r>
      <w:r>
        <w:rPr>
          <w:szCs w:val="24"/>
        </w:rPr>
        <w:t xml:space="preserve"> exception </w:t>
      </w:r>
      <w:r w:rsidR="006C0FD0">
        <w:rPr>
          <w:szCs w:val="24"/>
        </w:rPr>
        <w:t xml:space="preserve">raised by the defendant in this matter was </w:t>
      </w:r>
      <w:r>
        <w:rPr>
          <w:szCs w:val="24"/>
        </w:rPr>
        <w:t>an interlocutory proceeding as contemplated in Rule 32(11).</w:t>
      </w:r>
      <w:r>
        <w:rPr>
          <w:rStyle w:val="FootnoteReference"/>
          <w:szCs w:val="24"/>
        </w:rPr>
        <w:footnoteReference w:id="9"/>
      </w:r>
    </w:p>
    <w:p w:rsidR="001D66A1" w:rsidRDefault="001D66A1" w:rsidP="002200AF">
      <w:pPr>
        <w:rPr>
          <w:szCs w:val="24"/>
        </w:rPr>
      </w:pPr>
    </w:p>
    <w:p w:rsidR="006C0FD0" w:rsidRDefault="005D2D0C" w:rsidP="00E83E1D">
      <w:pPr>
        <w:rPr>
          <w:rFonts w:cs="Arial"/>
          <w:szCs w:val="24"/>
        </w:rPr>
      </w:pPr>
      <w:r w:rsidRPr="005D2D0C">
        <w:rPr>
          <w:rFonts w:cs="Arial"/>
          <w:szCs w:val="24"/>
        </w:rPr>
        <w:t>[2</w:t>
      </w:r>
      <w:r w:rsidR="003F28AD">
        <w:rPr>
          <w:rFonts w:cs="Arial"/>
          <w:szCs w:val="24"/>
        </w:rPr>
        <w:t>4</w:t>
      </w:r>
      <w:r w:rsidRPr="005D2D0C">
        <w:rPr>
          <w:rFonts w:cs="Arial"/>
          <w:szCs w:val="24"/>
        </w:rPr>
        <w:t>]</w:t>
      </w:r>
      <w:r w:rsidRPr="005D2D0C">
        <w:rPr>
          <w:rFonts w:cs="Arial"/>
          <w:szCs w:val="24"/>
        </w:rPr>
        <w:tab/>
      </w:r>
      <w:r>
        <w:rPr>
          <w:rFonts w:cs="Arial"/>
          <w:szCs w:val="24"/>
        </w:rPr>
        <w:t>I have indicated above that one of the grounds on which the defendant opposed this review application was that Rule 32 (11) is not applicable to this matter. Mr van Vuuren who appeared for the defendant argued that:</w:t>
      </w:r>
    </w:p>
    <w:p w:rsidR="005D2D0C" w:rsidRDefault="005D2D0C" w:rsidP="00E83E1D">
      <w:pPr>
        <w:rPr>
          <w:rFonts w:cs="Arial"/>
          <w:szCs w:val="24"/>
        </w:rPr>
      </w:pPr>
    </w:p>
    <w:p w:rsidR="005D2D0C" w:rsidRPr="005D2D0C" w:rsidRDefault="005D2D0C" w:rsidP="005D2D0C">
      <w:pPr>
        <w:widowControl/>
        <w:ind w:firstLine="720"/>
        <w:rPr>
          <w:rFonts w:cs="Arial"/>
          <w:sz w:val="22"/>
          <w:szCs w:val="22"/>
        </w:rPr>
      </w:pPr>
      <w:r w:rsidRPr="005D2D0C">
        <w:rPr>
          <w:rFonts w:cs="Arial"/>
          <w:sz w:val="22"/>
          <w:szCs w:val="22"/>
        </w:rPr>
        <w:t>‘Since the exception was prepared and set down before the new rules came into operation (</w:t>
      </w:r>
      <w:r w:rsidR="00E01CC7">
        <w:rPr>
          <w:rFonts w:cs="Arial"/>
          <w:sz w:val="22"/>
          <w:szCs w:val="22"/>
        </w:rPr>
        <w:t xml:space="preserve">on </w:t>
      </w:r>
      <w:r w:rsidRPr="005D2D0C">
        <w:rPr>
          <w:rFonts w:cs="Arial"/>
          <w:sz w:val="22"/>
          <w:szCs w:val="22"/>
        </w:rPr>
        <w:t>16 April 2014)</w:t>
      </w:r>
      <w:r w:rsidR="00E01CC7">
        <w:rPr>
          <w:rFonts w:cs="Arial"/>
          <w:sz w:val="22"/>
          <w:szCs w:val="22"/>
        </w:rPr>
        <w:t xml:space="preserve"> </w:t>
      </w:r>
      <w:r w:rsidRPr="005D2D0C">
        <w:rPr>
          <w:rFonts w:cs="Arial"/>
          <w:sz w:val="22"/>
          <w:szCs w:val="22"/>
        </w:rPr>
        <w:t xml:space="preserve">the provisions of Rule 138 read with practice directive 64 is applicable. When the exception was drawn and set down, the second respondent did so while having the right to recover his full costs incurred (including the eventual costs of heads of </w:t>
      </w:r>
      <w:r w:rsidRPr="005D2D0C">
        <w:rPr>
          <w:rFonts w:cs="Arial"/>
          <w:sz w:val="22"/>
          <w:szCs w:val="22"/>
        </w:rPr>
        <w:lastRenderedPageBreak/>
        <w:t>argument and argument of the exception) without any limit to such costs, apart from the taxation of the costs on the scale of costs awarded (and on the then applicable legal principles).</w:t>
      </w:r>
    </w:p>
    <w:p w:rsidR="005D2D0C" w:rsidRPr="005D2D0C" w:rsidRDefault="005D2D0C" w:rsidP="005D2D0C">
      <w:pPr>
        <w:pStyle w:val="ListParagraph"/>
        <w:rPr>
          <w:rFonts w:ascii="Arial" w:hAnsi="Arial" w:cs="Arial"/>
          <w:sz w:val="22"/>
          <w:szCs w:val="22"/>
          <w:lang w:val="en-GB"/>
        </w:rPr>
      </w:pPr>
    </w:p>
    <w:p w:rsidR="005D2D0C" w:rsidRPr="005D2D0C" w:rsidRDefault="005D2D0C" w:rsidP="005D2D0C">
      <w:pPr>
        <w:widowControl/>
        <w:ind w:firstLine="720"/>
        <w:rPr>
          <w:rFonts w:cs="Arial"/>
          <w:sz w:val="22"/>
          <w:szCs w:val="22"/>
        </w:rPr>
      </w:pPr>
      <w:r w:rsidRPr="005D2D0C">
        <w:rPr>
          <w:rFonts w:cs="Arial"/>
          <w:sz w:val="22"/>
          <w:szCs w:val="22"/>
        </w:rPr>
        <w:t>Should the applicant have sought that the costs for the exception should be limited to N$ 20,000.00, submissions should have been made in such respect in order for the court to have been presented with proper argument and a proper adjudication thereof. The applicant failed to do so.</w:t>
      </w:r>
    </w:p>
    <w:p w:rsidR="005D2D0C" w:rsidRPr="005D2D0C" w:rsidRDefault="005D2D0C" w:rsidP="005D2D0C">
      <w:pPr>
        <w:pStyle w:val="ListParagraph"/>
        <w:rPr>
          <w:rFonts w:ascii="Arial" w:hAnsi="Arial" w:cs="Arial"/>
          <w:sz w:val="22"/>
          <w:szCs w:val="22"/>
          <w:lang w:val="en-GB"/>
        </w:rPr>
      </w:pPr>
    </w:p>
    <w:p w:rsidR="005D2D0C" w:rsidRPr="005D2D0C" w:rsidRDefault="005D2D0C" w:rsidP="005D2D0C">
      <w:pPr>
        <w:widowControl/>
        <w:ind w:firstLine="720"/>
        <w:rPr>
          <w:rFonts w:cs="Arial"/>
          <w:sz w:val="22"/>
          <w:szCs w:val="22"/>
        </w:rPr>
      </w:pPr>
      <w:r w:rsidRPr="005D2D0C">
        <w:rPr>
          <w:rFonts w:cs="Arial"/>
          <w:sz w:val="22"/>
          <w:szCs w:val="22"/>
        </w:rPr>
        <w:t>By virtue of the aforesaid circumstances a right had vested for the second respondent to recover his full costs (subject to taxation on the scale allowed).</w:t>
      </w:r>
    </w:p>
    <w:p w:rsidR="005D2D0C" w:rsidRPr="005D2D0C" w:rsidRDefault="005D2D0C" w:rsidP="005D2D0C">
      <w:pPr>
        <w:pStyle w:val="ListParagraph"/>
        <w:rPr>
          <w:rFonts w:ascii="Arial" w:hAnsi="Arial" w:cs="Arial"/>
          <w:sz w:val="22"/>
          <w:szCs w:val="22"/>
          <w:lang w:val="en-GB"/>
        </w:rPr>
      </w:pPr>
    </w:p>
    <w:p w:rsidR="005D2D0C" w:rsidRPr="005D2D0C" w:rsidRDefault="005D2D0C" w:rsidP="005D2D0C">
      <w:pPr>
        <w:widowControl/>
        <w:ind w:firstLine="720"/>
        <w:rPr>
          <w:rFonts w:cs="Arial"/>
          <w:sz w:val="22"/>
          <w:szCs w:val="22"/>
        </w:rPr>
      </w:pPr>
      <w:r w:rsidRPr="005D2D0C">
        <w:rPr>
          <w:rFonts w:cs="Arial"/>
          <w:sz w:val="22"/>
          <w:szCs w:val="22"/>
        </w:rPr>
        <w:t>The Rules of Court are made by the Judge-President with the approval of the President. The Rules constitute subordinate legislation.</w:t>
      </w:r>
    </w:p>
    <w:p w:rsidR="005D2D0C" w:rsidRDefault="005D2D0C" w:rsidP="005D2D0C">
      <w:pPr>
        <w:widowControl/>
        <w:rPr>
          <w:rFonts w:cs="Arial"/>
          <w:sz w:val="22"/>
          <w:szCs w:val="22"/>
        </w:rPr>
      </w:pPr>
    </w:p>
    <w:p w:rsidR="005D2D0C" w:rsidRPr="005D2D0C" w:rsidRDefault="005D2D0C" w:rsidP="005D2D0C">
      <w:pPr>
        <w:widowControl/>
        <w:ind w:firstLine="720"/>
        <w:rPr>
          <w:rFonts w:cs="Arial"/>
          <w:sz w:val="22"/>
          <w:szCs w:val="22"/>
        </w:rPr>
      </w:pPr>
      <w:r w:rsidRPr="005D2D0C">
        <w:rPr>
          <w:rFonts w:cs="Arial"/>
          <w:sz w:val="22"/>
          <w:szCs w:val="22"/>
        </w:rPr>
        <w:t>The Judge-President makes rules for regulating the conduct of the proceedings of the High Court. The Judge-President cannot make Rules that:</w:t>
      </w:r>
    </w:p>
    <w:p w:rsidR="005D2D0C" w:rsidRPr="005D2D0C" w:rsidRDefault="005D2D0C" w:rsidP="005D2D0C">
      <w:pPr>
        <w:ind w:left="720"/>
        <w:rPr>
          <w:rFonts w:cs="Arial"/>
          <w:sz w:val="22"/>
          <w:szCs w:val="22"/>
        </w:rPr>
      </w:pPr>
    </w:p>
    <w:p w:rsidR="005D2D0C" w:rsidRPr="005D2D0C" w:rsidRDefault="005D2D0C" w:rsidP="005D2D0C">
      <w:pPr>
        <w:widowControl/>
        <w:numPr>
          <w:ilvl w:val="0"/>
          <w:numId w:val="19"/>
        </w:numPr>
        <w:tabs>
          <w:tab w:val="left" w:pos="1260"/>
        </w:tabs>
        <w:ind w:left="709" w:firstLine="11"/>
        <w:rPr>
          <w:rFonts w:cs="Arial"/>
          <w:sz w:val="22"/>
          <w:szCs w:val="22"/>
        </w:rPr>
      </w:pPr>
      <w:r w:rsidRPr="005D2D0C">
        <w:rPr>
          <w:rFonts w:cs="Arial"/>
          <w:sz w:val="22"/>
          <w:szCs w:val="22"/>
        </w:rPr>
        <w:t>change the common law;</w:t>
      </w:r>
    </w:p>
    <w:p w:rsidR="005D2D0C" w:rsidRPr="005D2D0C" w:rsidRDefault="005D2D0C" w:rsidP="005D2D0C">
      <w:pPr>
        <w:widowControl/>
        <w:numPr>
          <w:ilvl w:val="0"/>
          <w:numId w:val="19"/>
        </w:numPr>
        <w:tabs>
          <w:tab w:val="left" w:pos="1260"/>
        </w:tabs>
        <w:ind w:left="1260" w:hanging="540"/>
        <w:rPr>
          <w:rFonts w:cs="Arial"/>
          <w:sz w:val="22"/>
          <w:szCs w:val="22"/>
        </w:rPr>
      </w:pPr>
      <w:r w:rsidRPr="005D2D0C">
        <w:rPr>
          <w:rFonts w:cs="Arial"/>
          <w:sz w:val="22"/>
          <w:szCs w:val="22"/>
        </w:rPr>
        <w:t>limit existing rights, including rights created by mutual agreement between parties;</w:t>
      </w:r>
    </w:p>
    <w:p w:rsidR="005D2D0C" w:rsidRPr="005D2D0C" w:rsidRDefault="005D2D0C" w:rsidP="005D2D0C">
      <w:pPr>
        <w:ind w:left="1080"/>
        <w:rPr>
          <w:rFonts w:cs="Arial"/>
          <w:sz w:val="22"/>
          <w:szCs w:val="22"/>
        </w:rPr>
      </w:pPr>
    </w:p>
    <w:p w:rsidR="005D2D0C" w:rsidRPr="005D2D0C" w:rsidRDefault="005D2D0C" w:rsidP="005D2D0C">
      <w:pPr>
        <w:widowControl/>
        <w:numPr>
          <w:ilvl w:val="0"/>
          <w:numId w:val="19"/>
        </w:numPr>
        <w:ind w:left="1260" w:hanging="540"/>
        <w:rPr>
          <w:rFonts w:cs="Arial"/>
          <w:sz w:val="22"/>
          <w:szCs w:val="22"/>
        </w:rPr>
      </w:pPr>
      <w:r w:rsidRPr="005D2D0C">
        <w:rPr>
          <w:rFonts w:cs="Arial"/>
          <w:sz w:val="22"/>
          <w:szCs w:val="22"/>
        </w:rPr>
        <w:t>create and impose an excessive burden upon persons affected by the Rules; and</w:t>
      </w:r>
    </w:p>
    <w:p w:rsidR="005D2D0C" w:rsidRPr="005D2D0C" w:rsidRDefault="005D2D0C" w:rsidP="005D2D0C">
      <w:pPr>
        <w:ind w:left="1080"/>
        <w:rPr>
          <w:rFonts w:cs="Arial"/>
          <w:sz w:val="22"/>
          <w:szCs w:val="22"/>
        </w:rPr>
      </w:pPr>
    </w:p>
    <w:p w:rsidR="005D2D0C" w:rsidRPr="005D2D0C" w:rsidRDefault="005D2D0C" w:rsidP="005D2D0C">
      <w:pPr>
        <w:widowControl/>
        <w:numPr>
          <w:ilvl w:val="0"/>
          <w:numId w:val="19"/>
        </w:numPr>
        <w:ind w:left="1260" w:hanging="540"/>
        <w:rPr>
          <w:rFonts w:cs="Arial"/>
          <w:sz w:val="22"/>
          <w:szCs w:val="22"/>
        </w:rPr>
      </w:pPr>
      <w:proofErr w:type="gramStart"/>
      <w:r w:rsidRPr="005D2D0C">
        <w:rPr>
          <w:rFonts w:cs="Arial"/>
          <w:sz w:val="22"/>
          <w:szCs w:val="22"/>
        </w:rPr>
        <w:t>have</w:t>
      </w:r>
      <w:proofErr w:type="gramEnd"/>
      <w:r w:rsidRPr="005D2D0C">
        <w:rPr>
          <w:rFonts w:cs="Arial"/>
          <w:sz w:val="22"/>
          <w:szCs w:val="22"/>
        </w:rPr>
        <w:t xml:space="preserve"> a retrospective effect.</w:t>
      </w:r>
    </w:p>
    <w:p w:rsidR="005D2D0C" w:rsidRPr="005D2D0C" w:rsidRDefault="005D2D0C" w:rsidP="005D2D0C">
      <w:pPr>
        <w:rPr>
          <w:rFonts w:cs="Arial"/>
          <w:sz w:val="22"/>
          <w:szCs w:val="22"/>
        </w:rPr>
      </w:pPr>
    </w:p>
    <w:p w:rsidR="005D2D0C" w:rsidRPr="005D2D0C" w:rsidRDefault="005D2D0C" w:rsidP="005D2D0C">
      <w:pPr>
        <w:widowControl/>
        <w:ind w:firstLine="720"/>
        <w:rPr>
          <w:rFonts w:cs="Arial"/>
          <w:sz w:val="22"/>
          <w:szCs w:val="22"/>
        </w:rPr>
      </w:pPr>
      <w:r w:rsidRPr="005D2D0C">
        <w:rPr>
          <w:rFonts w:cs="Arial"/>
          <w:sz w:val="22"/>
          <w:szCs w:val="22"/>
        </w:rPr>
        <w:t>It is respectfully submitted that the following is apposite in regard to the retrospective effect of legislation:</w:t>
      </w:r>
    </w:p>
    <w:p w:rsidR="005D2D0C" w:rsidRPr="005D2D0C" w:rsidRDefault="005D2D0C" w:rsidP="005D2D0C">
      <w:pPr>
        <w:ind w:left="720"/>
        <w:rPr>
          <w:rFonts w:cs="Arial"/>
          <w:sz w:val="22"/>
          <w:szCs w:val="22"/>
        </w:rPr>
      </w:pPr>
    </w:p>
    <w:p w:rsidR="005D2D0C" w:rsidRPr="005D2D0C" w:rsidRDefault="005D2D0C" w:rsidP="005D2D0C">
      <w:pPr>
        <w:ind w:left="720"/>
        <w:rPr>
          <w:rFonts w:cs="Arial"/>
          <w:i/>
          <w:sz w:val="22"/>
          <w:szCs w:val="22"/>
        </w:rPr>
      </w:pPr>
      <w:r w:rsidRPr="005D2D0C">
        <w:rPr>
          <w:rFonts w:cs="Arial"/>
          <w:i/>
          <w:sz w:val="22"/>
          <w:szCs w:val="22"/>
        </w:rPr>
        <w:t xml:space="preserve">“Observance of the presumption against retroactivity is a fundamental principle of the law-state and disregard of it reduces the law to an instrument of governmental anarchy” </w:t>
      </w:r>
    </w:p>
    <w:p w:rsidR="005D2D0C" w:rsidRPr="005D2D0C" w:rsidRDefault="005D2D0C" w:rsidP="005D2D0C">
      <w:pPr>
        <w:ind w:left="720"/>
        <w:rPr>
          <w:rFonts w:cs="Arial"/>
          <w:sz w:val="22"/>
          <w:szCs w:val="22"/>
        </w:rPr>
      </w:pPr>
    </w:p>
    <w:p w:rsidR="005D2D0C" w:rsidRPr="005D2D0C" w:rsidRDefault="005D2D0C" w:rsidP="00E812BB">
      <w:pPr>
        <w:widowControl/>
        <w:rPr>
          <w:rFonts w:cs="Arial"/>
          <w:sz w:val="22"/>
          <w:szCs w:val="22"/>
        </w:rPr>
      </w:pPr>
      <w:r w:rsidRPr="005D2D0C">
        <w:rPr>
          <w:rFonts w:cs="Arial"/>
          <w:sz w:val="22"/>
          <w:szCs w:val="22"/>
        </w:rPr>
        <w:t>Two presumptions exist in this regard:</w:t>
      </w:r>
    </w:p>
    <w:p w:rsidR="005D2D0C" w:rsidRPr="005D2D0C" w:rsidRDefault="005D2D0C" w:rsidP="00E812BB">
      <w:pPr>
        <w:rPr>
          <w:rFonts w:cs="Arial"/>
          <w:sz w:val="22"/>
          <w:szCs w:val="22"/>
        </w:rPr>
      </w:pPr>
    </w:p>
    <w:p w:rsidR="005D2D0C" w:rsidRPr="005D2D0C" w:rsidRDefault="005D2D0C" w:rsidP="00E812BB">
      <w:pPr>
        <w:widowControl/>
        <w:numPr>
          <w:ilvl w:val="0"/>
          <w:numId w:val="20"/>
        </w:numPr>
        <w:ind w:left="0" w:firstLine="11"/>
        <w:rPr>
          <w:rFonts w:cs="Arial"/>
          <w:sz w:val="22"/>
          <w:szCs w:val="22"/>
        </w:rPr>
      </w:pPr>
      <w:r w:rsidRPr="005D2D0C">
        <w:rPr>
          <w:rFonts w:cs="Arial"/>
          <w:sz w:val="22"/>
          <w:szCs w:val="22"/>
        </w:rPr>
        <w:t xml:space="preserve">one against </w:t>
      </w:r>
      <w:proofErr w:type="spellStart"/>
      <w:r w:rsidRPr="005D2D0C">
        <w:rPr>
          <w:rFonts w:cs="Arial"/>
          <w:sz w:val="22"/>
          <w:szCs w:val="22"/>
        </w:rPr>
        <w:t>retrospectivity</w:t>
      </w:r>
      <w:proofErr w:type="spellEnd"/>
      <w:r w:rsidRPr="005D2D0C">
        <w:rPr>
          <w:rFonts w:cs="Arial"/>
          <w:sz w:val="22"/>
          <w:szCs w:val="22"/>
        </w:rPr>
        <w:t>; and</w:t>
      </w:r>
    </w:p>
    <w:p w:rsidR="005D2D0C" w:rsidRPr="005D2D0C" w:rsidRDefault="005D2D0C" w:rsidP="00E812BB">
      <w:pPr>
        <w:rPr>
          <w:rFonts w:cs="Arial"/>
          <w:sz w:val="22"/>
          <w:szCs w:val="22"/>
        </w:rPr>
      </w:pPr>
    </w:p>
    <w:p w:rsidR="005D2D0C" w:rsidRPr="005D2D0C" w:rsidRDefault="005D2D0C" w:rsidP="00E812BB">
      <w:pPr>
        <w:widowControl/>
        <w:numPr>
          <w:ilvl w:val="0"/>
          <w:numId w:val="20"/>
        </w:numPr>
        <w:ind w:left="0" w:firstLine="11"/>
        <w:rPr>
          <w:rFonts w:cs="Arial"/>
          <w:sz w:val="22"/>
          <w:szCs w:val="22"/>
        </w:rPr>
      </w:pPr>
      <w:proofErr w:type="gramStart"/>
      <w:r w:rsidRPr="005D2D0C">
        <w:rPr>
          <w:rFonts w:cs="Arial"/>
          <w:sz w:val="22"/>
          <w:szCs w:val="22"/>
        </w:rPr>
        <w:t>the</w:t>
      </w:r>
      <w:proofErr w:type="gramEnd"/>
      <w:r w:rsidRPr="005D2D0C">
        <w:rPr>
          <w:rFonts w:cs="Arial"/>
          <w:sz w:val="22"/>
          <w:szCs w:val="22"/>
        </w:rPr>
        <w:t xml:space="preserve"> other against taking away a vested rights. </w:t>
      </w:r>
    </w:p>
    <w:p w:rsidR="005D2D0C" w:rsidRPr="005D2D0C" w:rsidRDefault="005D2D0C" w:rsidP="00E812BB">
      <w:pPr>
        <w:rPr>
          <w:rFonts w:cs="Arial"/>
          <w:sz w:val="22"/>
          <w:szCs w:val="22"/>
        </w:rPr>
      </w:pPr>
    </w:p>
    <w:p w:rsidR="005D2D0C" w:rsidRPr="005D2D0C" w:rsidRDefault="005D2D0C" w:rsidP="00E812BB">
      <w:pPr>
        <w:widowControl/>
        <w:ind w:firstLine="720"/>
        <w:rPr>
          <w:rFonts w:cs="Arial"/>
          <w:sz w:val="22"/>
          <w:szCs w:val="22"/>
        </w:rPr>
      </w:pPr>
      <w:r w:rsidRPr="005D2D0C">
        <w:rPr>
          <w:rFonts w:cs="Arial"/>
          <w:sz w:val="22"/>
          <w:szCs w:val="22"/>
        </w:rPr>
        <w:lastRenderedPageBreak/>
        <w:t>If the applicant’s argument in this matter is to be accepted, it would entail the taking away the second respondent’s vested right to recover his full costs in excess of the N$ 20,000</w:t>
      </w:r>
      <w:r w:rsidR="00E812BB">
        <w:rPr>
          <w:rFonts w:cs="Arial"/>
          <w:sz w:val="22"/>
          <w:szCs w:val="22"/>
        </w:rPr>
        <w:t xml:space="preserve"> </w:t>
      </w:r>
      <w:r w:rsidRPr="005D2D0C">
        <w:rPr>
          <w:rFonts w:cs="Arial"/>
          <w:sz w:val="22"/>
          <w:szCs w:val="22"/>
        </w:rPr>
        <w:t>provided for in Rule 32(11), the latter in any event serving no real purpose than to prevent litigants from properly ventilating the issues of their dispute. The effect of the amendment, should the applicant’s argument be accepted, would be retrospective. The presumption is against retrospective effect on vested rights.</w:t>
      </w:r>
    </w:p>
    <w:p w:rsidR="005D2D0C" w:rsidRPr="005D2D0C" w:rsidRDefault="005D2D0C" w:rsidP="005D2D0C">
      <w:pPr>
        <w:rPr>
          <w:rFonts w:cs="Arial"/>
          <w:sz w:val="22"/>
          <w:szCs w:val="22"/>
        </w:rPr>
      </w:pPr>
    </w:p>
    <w:p w:rsidR="005D2D0C" w:rsidRPr="005D2D0C" w:rsidRDefault="005D2D0C" w:rsidP="00E812BB">
      <w:pPr>
        <w:widowControl/>
        <w:ind w:firstLine="720"/>
        <w:rPr>
          <w:rFonts w:cs="Arial"/>
          <w:sz w:val="22"/>
          <w:szCs w:val="22"/>
        </w:rPr>
      </w:pPr>
      <w:r w:rsidRPr="005D2D0C">
        <w:rPr>
          <w:rFonts w:cs="Arial"/>
          <w:sz w:val="22"/>
          <w:szCs w:val="22"/>
        </w:rPr>
        <w:t>It is submitted that, in the unique circumstances of this matter, the rules should be interpreted not to have a retrospective effect that takes away the second respondent’s vested right to costs</w:t>
      </w:r>
      <w:r w:rsidR="00E812BB">
        <w:rPr>
          <w:rFonts w:cs="Arial"/>
          <w:sz w:val="22"/>
          <w:szCs w:val="22"/>
        </w:rPr>
        <w:t xml:space="preserve"> ... T</w:t>
      </w:r>
      <w:r w:rsidRPr="005D2D0C">
        <w:rPr>
          <w:rFonts w:cs="Arial"/>
          <w:sz w:val="22"/>
          <w:szCs w:val="22"/>
        </w:rPr>
        <w:t>here is no obligation on the second respondent’s legal representative to have limited the costs set out in the bill to N$ 20,000.00. The second respondent was and is entitled to recover the full amount for the costs incurred in the exception.</w:t>
      </w:r>
      <w:r w:rsidR="00E812BB">
        <w:rPr>
          <w:rFonts w:cs="Arial"/>
          <w:sz w:val="22"/>
          <w:szCs w:val="22"/>
        </w:rPr>
        <w:t xml:space="preserve"> </w:t>
      </w:r>
      <w:r w:rsidRPr="005D2D0C">
        <w:rPr>
          <w:rFonts w:cs="Arial"/>
          <w:sz w:val="22"/>
          <w:szCs w:val="22"/>
        </w:rPr>
        <w:t xml:space="preserve">The first respondent, in the circumstances, it is submitted, exercised his discretion properly, considering the prevailing facts, exercised such discretion judicially, applied his mind to the relevant facts and acted in the correct principles. </w:t>
      </w:r>
      <w:r w:rsidR="00E812BB">
        <w:rPr>
          <w:rFonts w:cs="Arial"/>
          <w:sz w:val="22"/>
          <w:szCs w:val="22"/>
        </w:rPr>
        <w:t xml:space="preserve"> </w:t>
      </w:r>
      <w:r w:rsidRPr="005D2D0C">
        <w:rPr>
          <w:rFonts w:cs="Arial"/>
          <w:sz w:val="22"/>
          <w:szCs w:val="22"/>
        </w:rPr>
        <w:t xml:space="preserve">In the circumstances it is submitted that the first respondent did not act </w:t>
      </w:r>
      <w:r w:rsidRPr="005D2D0C">
        <w:rPr>
          <w:rFonts w:cs="Arial"/>
          <w:i/>
          <w:sz w:val="22"/>
          <w:szCs w:val="22"/>
        </w:rPr>
        <w:t>ultra vires</w:t>
      </w:r>
      <w:r w:rsidRPr="005D2D0C">
        <w:rPr>
          <w:rFonts w:cs="Arial"/>
          <w:sz w:val="22"/>
          <w:szCs w:val="22"/>
        </w:rPr>
        <w:t xml:space="preserve"> the rules of court and acted properly by taxing the bill in the manner he did.</w:t>
      </w:r>
      <w:r w:rsidR="00E812BB">
        <w:rPr>
          <w:rFonts w:cs="Arial"/>
          <w:sz w:val="22"/>
          <w:szCs w:val="22"/>
        </w:rPr>
        <w:t>’</w:t>
      </w:r>
    </w:p>
    <w:p w:rsidR="005D2D0C" w:rsidRPr="005D2D0C" w:rsidRDefault="005D2D0C" w:rsidP="005D2D0C">
      <w:pPr>
        <w:pStyle w:val="ListParagraph"/>
        <w:rPr>
          <w:rFonts w:ascii="Arial" w:hAnsi="Arial" w:cs="Arial"/>
          <w:sz w:val="22"/>
          <w:szCs w:val="22"/>
          <w:lang w:val="en-GB"/>
        </w:rPr>
      </w:pPr>
    </w:p>
    <w:p w:rsidR="00E812BB" w:rsidRDefault="00E812BB" w:rsidP="00E812BB">
      <w:pPr>
        <w:pStyle w:val="Heading1"/>
        <w:numPr>
          <w:ilvl w:val="0"/>
          <w:numId w:val="0"/>
        </w:numPr>
      </w:pPr>
      <w:r>
        <w:rPr>
          <w:rFonts w:cs="Arial"/>
          <w:szCs w:val="24"/>
        </w:rPr>
        <w:t>[2</w:t>
      </w:r>
      <w:r w:rsidR="0008028A">
        <w:rPr>
          <w:rFonts w:cs="Arial"/>
          <w:szCs w:val="24"/>
        </w:rPr>
        <w:t>5</w:t>
      </w:r>
      <w:r>
        <w:rPr>
          <w:rFonts w:cs="Arial"/>
          <w:szCs w:val="24"/>
        </w:rPr>
        <w:t>]</w:t>
      </w:r>
      <w:r>
        <w:rPr>
          <w:rFonts w:cs="Arial"/>
          <w:szCs w:val="24"/>
        </w:rPr>
        <w:tab/>
      </w:r>
      <w:r w:rsidR="0008028A">
        <w:rPr>
          <w:rFonts w:cs="Arial"/>
          <w:szCs w:val="24"/>
        </w:rPr>
        <w:t xml:space="preserve">I do not agree with the submissions made by Mr Van Vuuren. My disagreement is based on the following reasons. </w:t>
      </w:r>
      <w:r>
        <w:t>The transitional period from the old Rules to the new Rules which came into effect on 1</w:t>
      </w:r>
      <w:r w:rsidR="0008028A">
        <w:t>6</w:t>
      </w:r>
      <w:r>
        <w:t xml:space="preserve"> April 2014 is provided for in Rule 138 of the new rules. That Rule in material terms provides as follows: </w:t>
      </w:r>
    </w:p>
    <w:p w:rsidR="00E812BB" w:rsidRDefault="00E812BB" w:rsidP="00E812BB">
      <w:pPr>
        <w:ind w:left="720" w:right="680"/>
        <w:rPr>
          <w:b/>
          <w:sz w:val="22"/>
          <w:szCs w:val="22"/>
        </w:rPr>
      </w:pPr>
    </w:p>
    <w:p w:rsidR="00E812BB" w:rsidRPr="0008028A" w:rsidRDefault="00E812BB" w:rsidP="00E812BB">
      <w:pPr>
        <w:ind w:left="720" w:right="680"/>
        <w:rPr>
          <w:b/>
          <w:sz w:val="22"/>
          <w:szCs w:val="22"/>
        </w:rPr>
      </w:pPr>
      <w:r w:rsidRPr="0008028A">
        <w:rPr>
          <w:b/>
          <w:sz w:val="22"/>
          <w:szCs w:val="22"/>
        </w:rPr>
        <w:t>‘138</w:t>
      </w:r>
      <w:r w:rsidRPr="0008028A">
        <w:rPr>
          <w:b/>
          <w:sz w:val="22"/>
          <w:szCs w:val="22"/>
        </w:rPr>
        <w:tab/>
        <w:t>Savings and transitional provisions</w:t>
      </w:r>
    </w:p>
    <w:p w:rsidR="00780750" w:rsidRPr="0008028A" w:rsidRDefault="00780750" w:rsidP="00E812BB">
      <w:pPr>
        <w:ind w:left="720" w:right="680"/>
        <w:rPr>
          <w:sz w:val="22"/>
          <w:szCs w:val="22"/>
        </w:rPr>
      </w:pPr>
    </w:p>
    <w:p w:rsidR="00E812BB" w:rsidRPr="0008028A" w:rsidRDefault="00E812BB" w:rsidP="00E812BB">
      <w:pPr>
        <w:ind w:left="720" w:right="680"/>
        <w:rPr>
          <w:sz w:val="22"/>
          <w:szCs w:val="22"/>
        </w:rPr>
      </w:pPr>
      <w:r w:rsidRPr="0008028A">
        <w:rPr>
          <w:sz w:val="22"/>
          <w:szCs w:val="22"/>
        </w:rPr>
        <w:t>Despite the repeal of the Rules of the High Court by these rules-</w:t>
      </w:r>
    </w:p>
    <w:p w:rsidR="00E812BB" w:rsidRPr="0008028A" w:rsidRDefault="00E812BB" w:rsidP="00E812BB">
      <w:pPr>
        <w:ind w:left="1440" w:right="680"/>
        <w:rPr>
          <w:sz w:val="22"/>
          <w:szCs w:val="22"/>
        </w:rPr>
      </w:pPr>
    </w:p>
    <w:p w:rsidR="00E812BB" w:rsidRPr="0008028A" w:rsidRDefault="00E812BB" w:rsidP="00780750">
      <w:pPr>
        <w:tabs>
          <w:tab w:val="left" w:pos="1260"/>
        </w:tabs>
        <w:ind w:right="680" w:firstLine="720"/>
        <w:rPr>
          <w:sz w:val="22"/>
          <w:szCs w:val="22"/>
        </w:rPr>
      </w:pPr>
      <w:r w:rsidRPr="0008028A">
        <w:rPr>
          <w:sz w:val="22"/>
          <w:szCs w:val="22"/>
        </w:rPr>
        <w:t>(a)</w:t>
      </w:r>
      <w:r w:rsidRPr="0008028A">
        <w:rPr>
          <w:sz w:val="22"/>
          <w:szCs w:val="22"/>
        </w:rPr>
        <w:tab/>
        <w:t xml:space="preserve">anything done under a provision of the repealed rules and which could have been done under a corresponding provision of these rules, </w:t>
      </w:r>
      <w:r w:rsidRPr="0008028A">
        <w:rPr>
          <w:i/>
          <w:sz w:val="22"/>
          <w:szCs w:val="22"/>
          <w:u w:val="single"/>
        </w:rPr>
        <w:t>is deemed to have been done under such corresponding provision of these rules</w:t>
      </w:r>
      <w:r w:rsidRPr="0008028A">
        <w:rPr>
          <w:sz w:val="22"/>
          <w:szCs w:val="22"/>
        </w:rPr>
        <w:t>;</w:t>
      </w:r>
    </w:p>
    <w:p w:rsidR="0008028A" w:rsidRPr="0008028A" w:rsidRDefault="0008028A" w:rsidP="00780750">
      <w:pPr>
        <w:tabs>
          <w:tab w:val="left" w:pos="1260"/>
        </w:tabs>
        <w:ind w:right="680" w:firstLine="720"/>
        <w:rPr>
          <w:sz w:val="22"/>
          <w:szCs w:val="22"/>
        </w:rPr>
      </w:pPr>
    </w:p>
    <w:p w:rsidR="00E812BB" w:rsidRPr="0008028A" w:rsidRDefault="00E812BB" w:rsidP="00780750">
      <w:pPr>
        <w:tabs>
          <w:tab w:val="left" w:pos="1260"/>
        </w:tabs>
        <w:ind w:right="680" w:firstLine="720"/>
        <w:rPr>
          <w:sz w:val="22"/>
          <w:szCs w:val="22"/>
        </w:rPr>
      </w:pPr>
      <w:r w:rsidRPr="0008028A">
        <w:rPr>
          <w:sz w:val="22"/>
          <w:szCs w:val="22"/>
        </w:rPr>
        <w:t>(b)</w:t>
      </w:r>
      <w:r w:rsidRPr="0008028A">
        <w:rPr>
          <w:sz w:val="22"/>
          <w:szCs w:val="22"/>
        </w:rPr>
        <w:tab/>
        <w:t xml:space="preserve">a case that has been registered with the registrar or has been allocated to a managing judge under the repealed rules </w:t>
      </w:r>
      <w:r w:rsidRPr="0008028A">
        <w:rPr>
          <w:i/>
          <w:sz w:val="22"/>
          <w:szCs w:val="22"/>
          <w:u w:val="single"/>
        </w:rPr>
        <w:t>continues under these rules</w:t>
      </w:r>
      <w:r w:rsidRPr="0008028A">
        <w:rPr>
          <w:sz w:val="22"/>
          <w:szCs w:val="22"/>
        </w:rPr>
        <w:t>, but if there is any uncertainty in this regard the managing judge must direct the appropriate procedure to be followed after considering representations from the parties; and</w:t>
      </w:r>
      <w:r w:rsidR="00780750" w:rsidRPr="0008028A">
        <w:rPr>
          <w:sz w:val="22"/>
          <w:szCs w:val="22"/>
        </w:rPr>
        <w:t xml:space="preserve"> …’ (Italicised and under lined for emphasis)</w:t>
      </w:r>
    </w:p>
    <w:p w:rsidR="00E812BB" w:rsidRDefault="00E812BB" w:rsidP="00E812BB">
      <w:pPr>
        <w:pStyle w:val="Heading1"/>
        <w:numPr>
          <w:ilvl w:val="0"/>
          <w:numId w:val="0"/>
        </w:numPr>
      </w:pPr>
    </w:p>
    <w:p w:rsidR="00780750" w:rsidRDefault="00780750" w:rsidP="00780750">
      <w:pPr>
        <w:pStyle w:val="Heading1"/>
        <w:numPr>
          <w:ilvl w:val="0"/>
          <w:numId w:val="0"/>
        </w:numPr>
      </w:pPr>
      <w:r>
        <w:lastRenderedPageBreak/>
        <w:t>[2</w:t>
      </w:r>
      <w:r w:rsidR="0008028A">
        <w:t>6</w:t>
      </w:r>
      <w:r>
        <w:t>]</w:t>
      </w:r>
      <w:r>
        <w:tab/>
        <w:t xml:space="preserve">The facts which are not in dispute in this matter are that the plaintiff amended his particulars of claim during February 2014, the defendant excepted to the amended particulars of claim during March 2014 and the exception was heard on 1 August 2014 and the </w:t>
      </w:r>
      <w:r w:rsidR="0008028A">
        <w:t>ruling</w:t>
      </w:r>
      <w:r>
        <w:t xml:space="preserve"> ordering the plaintiff to pay the defendant’s costs of the exception was made on 1 August 2014. The bill of costs was taxed on</w:t>
      </w:r>
      <w:r w:rsidR="00E812BB">
        <w:t xml:space="preserve"> 09 September 2014</w:t>
      </w:r>
      <w:r>
        <w:t xml:space="preserve"> </w:t>
      </w:r>
      <w:r w:rsidR="0008028A">
        <w:t>and</w:t>
      </w:r>
      <w:r>
        <w:t xml:space="preserve"> the </w:t>
      </w:r>
      <w:proofErr w:type="spellStart"/>
      <w:r w:rsidR="0018421A" w:rsidRPr="0018421A">
        <w:rPr>
          <w:rFonts w:cs="Arial"/>
          <w:i/>
          <w:iCs/>
          <w:spacing w:val="0"/>
          <w:szCs w:val="24"/>
          <w:lang w:val="en-US" w:eastAsia="en-ZA"/>
        </w:rPr>
        <w:t>allocatur</w:t>
      </w:r>
      <w:proofErr w:type="spellEnd"/>
      <w:r w:rsidR="0018421A">
        <w:t xml:space="preserve"> </w:t>
      </w:r>
      <w:r>
        <w:t>was issued on that date</w:t>
      </w:r>
      <w:r w:rsidR="0008028A">
        <w:t>.</w:t>
      </w:r>
    </w:p>
    <w:p w:rsidR="00780750" w:rsidRDefault="00780750" w:rsidP="00780750">
      <w:pPr>
        <w:pStyle w:val="Heading1"/>
        <w:numPr>
          <w:ilvl w:val="0"/>
          <w:numId w:val="0"/>
        </w:numPr>
      </w:pPr>
    </w:p>
    <w:p w:rsidR="00E812BB" w:rsidRDefault="00780750" w:rsidP="00780750">
      <w:pPr>
        <w:pStyle w:val="Heading1"/>
        <w:numPr>
          <w:ilvl w:val="0"/>
          <w:numId w:val="0"/>
        </w:numPr>
      </w:pPr>
      <w:r>
        <w:t>[2</w:t>
      </w:r>
      <w:r w:rsidR="0008028A">
        <w:t>7</w:t>
      </w:r>
      <w:r>
        <w:t>]</w:t>
      </w:r>
      <w:r>
        <w:tab/>
      </w:r>
      <w:r w:rsidR="00E812BB">
        <w:t xml:space="preserve">The new Court Rules </w:t>
      </w:r>
      <w:r>
        <w:t xml:space="preserve">which, as an exception to the general rule, </w:t>
      </w:r>
      <w:r w:rsidR="00E812BB">
        <w:t xml:space="preserve">provide </w:t>
      </w:r>
      <w:r>
        <w:t>a ceiling</w:t>
      </w:r>
      <w:r w:rsidR="00E812BB">
        <w:t xml:space="preserve"> in respect of the </w:t>
      </w:r>
      <w:r w:rsidR="00E812BB" w:rsidRPr="00E20BBD">
        <w:rPr>
          <w:color w:val="000000" w:themeColor="text1"/>
        </w:rPr>
        <w:t>cost</w:t>
      </w:r>
      <w:r w:rsidR="00EF5551" w:rsidRPr="00E20BBD">
        <w:rPr>
          <w:color w:val="000000" w:themeColor="text1"/>
        </w:rPr>
        <w:t>s</w:t>
      </w:r>
      <w:r w:rsidR="00E812BB">
        <w:t xml:space="preserve"> in interlocutory applications came into effect on 1</w:t>
      </w:r>
      <w:r w:rsidR="0008028A">
        <w:t>6</w:t>
      </w:r>
      <w:r w:rsidR="00E812BB">
        <w:t xml:space="preserve"> April 2014. In my view, in terms of rule 138(a)</w:t>
      </w:r>
      <w:r w:rsidR="0019689F">
        <w:t xml:space="preserve"> </w:t>
      </w:r>
      <w:r w:rsidR="00E812BB">
        <w:t xml:space="preserve">it is clear that </w:t>
      </w:r>
      <w:r w:rsidR="0019689F">
        <w:t>although the exception was rais</w:t>
      </w:r>
      <w:r w:rsidR="00EF5551">
        <w:t>ed before the new rules came in</w:t>
      </w:r>
      <w:r w:rsidR="0019689F">
        <w:t>to operation the exception is deemed to have been raised under the new rules and the</w:t>
      </w:r>
      <w:r w:rsidR="00E812BB">
        <w:t xml:space="preserve"> case continued to proceed under the new Rules and Rule 32 applies to these proceedings with effect from 1</w:t>
      </w:r>
      <w:r w:rsidR="0008028A">
        <w:t>6</w:t>
      </w:r>
      <w:r w:rsidR="00E812BB">
        <w:t xml:space="preserve"> April 2014.  In case there was any doubt </w:t>
      </w:r>
      <w:r w:rsidR="0019689F">
        <w:t>R</w:t>
      </w:r>
      <w:r w:rsidR="00E812BB">
        <w:t xml:space="preserve">ule 138(b) makes it clear that the exception </w:t>
      </w:r>
      <w:r w:rsidR="0019689F">
        <w:t>continued under the new rules. I have thus no doubt that Rule 32(11) applies to the exception which was argued and heard on 1 August 2014.</w:t>
      </w:r>
    </w:p>
    <w:p w:rsidR="00E812BB" w:rsidRPr="00590F1F" w:rsidRDefault="00E812BB" w:rsidP="00E812BB">
      <w:pPr>
        <w:rPr>
          <w:rFonts w:cs="Arial"/>
          <w:szCs w:val="24"/>
        </w:rPr>
      </w:pPr>
    </w:p>
    <w:p w:rsidR="00590F1F" w:rsidRPr="00590F1F" w:rsidRDefault="007D418D" w:rsidP="00590F1F">
      <w:pPr>
        <w:pStyle w:val="ListParagraph"/>
        <w:spacing w:line="360" w:lineRule="auto"/>
        <w:ind w:left="0"/>
        <w:jc w:val="both"/>
        <w:rPr>
          <w:rFonts w:ascii="Arial" w:hAnsi="Arial" w:cs="Arial"/>
          <w:sz w:val="24"/>
          <w:szCs w:val="24"/>
        </w:rPr>
      </w:pPr>
      <w:r>
        <w:rPr>
          <w:rFonts w:ascii="Arial" w:hAnsi="Arial" w:cs="Arial"/>
          <w:sz w:val="24"/>
          <w:szCs w:val="24"/>
          <w:lang w:val="en-GB"/>
        </w:rPr>
        <w:t>[28</w:t>
      </w:r>
      <w:r w:rsidR="00A538AD" w:rsidRPr="00590F1F">
        <w:rPr>
          <w:rFonts w:ascii="Arial" w:hAnsi="Arial" w:cs="Arial"/>
          <w:sz w:val="24"/>
          <w:szCs w:val="24"/>
          <w:lang w:val="en-GB"/>
        </w:rPr>
        <w:t>]</w:t>
      </w:r>
      <w:r w:rsidR="00A538AD" w:rsidRPr="00590F1F">
        <w:rPr>
          <w:rFonts w:ascii="Arial" w:hAnsi="Arial" w:cs="Arial"/>
          <w:sz w:val="24"/>
          <w:szCs w:val="24"/>
          <w:lang w:val="en-GB"/>
        </w:rPr>
        <w:tab/>
      </w:r>
      <w:r w:rsidR="0019689F" w:rsidRPr="00590F1F">
        <w:rPr>
          <w:rFonts w:ascii="Arial" w:hAnsi="Arial" w:cs="Arial"/>
          <w:sz w:val="24"/>
          <w:szCs w:val="24"/>
          <w:lang w:val="en-GB"/>
        </w:rPr>
        <w:t xml:space="preserve">Mr Van </w:t>
      </w:r>
      <w:proofErr w:type="spellStart"/>
      <w:r w:rsidR="0019689F" w:rsidRPr="00590F1F">
        <w:rPr>
          <w:rFonts w:ascii="Arial" w:hAnsi="Arial" w:cs="Arial"/>
          <w:sz w:val="24"/>
          <w:szCs w:val="24"/>
          <w:lang w:val="en-GB"/>
        </w:rPr>
        <w:t>Vuuren’s</w:t>
      </w:r>
      <w:proofErr w:type="spellEnd"/>
      <w:r w:rsidR="0019689F" w:rsidRPr="00590F1F">
        <w:rPr>
          <w:rFonts w:ascii="Arial" w:hAnsi="Arial" w:cs="Arial"/>
          <w:sz w:val="24"/>
          <w:szCs w:val="24"/>
          <w:lang w:val="en-GB"/>
        </w:rPr>
        <w:t xml:space="preserve"> argument with respect to the </w:t>
      </w:r>
      <w:proofErr w:type="spellStart"/>
      <w:r w:rsidR="0019689F" w:rsidRPr="00590F1F">
        <w:rPr>
          <w:rFonts w:ascii="Arial" w:hAnsi="Arial" w:cs="Arial"/>
          <w:sz w:val="24"/>
          <w:szCs w:val="24"/>
          <w:lang w:val="en-GB"/>
        </w:rPr>
        <w:t>retrospectivity</w:t>
      </w:r>
      <w:proofErr w:type="spellEnd"/>
      <w:r w:rsidR="0019689F" w:rsidRPr="00590F1F">
        <w:rPr>
          <w:rFonts w:ascii="Arial" w:hAnsi="Arial" w:cs="Arial"/>
          <w:sz w:val="24"/>
          <w:szCs w:val="24"/>
          <w:lang w:val="en-GB"/>
        </w:rPr>
        <w:t>, changing the existing common law and taking away vested rights is flawed.</w:t>
      </w:r>
      <w:r w:rsidR="00A85516" w:rsidRPr="00590F1F">
        <w:rPr>
          <w:rFonts w:ascii="Arial" w:hAnsi="Arial" w:cs="Arial"/>
          <w:sz w:val="24"/>
          <w:szCs w:val="24"/>
          <w:lang w:val="en-GB"/>
        </w:rPr>
        <w:t xml:space="preserve"> I say the argument is flawed for the following reasons. Firstly</w:t>
      </w:r>
      <w:r w:rsidR="009568CC">
        <w:rPr>
          <w:rFonts w:ascii="Arial" w:hAnsi="Arial" w:cs="Arial"/>
          <w:sz w:val="24"/>
          <w:szCs w:val="24"/>
          <w:lang w:val="en-GB"/>
        </w:rPr>
        <w:t>,</w:t>
      </w:r>
      <w:r w:rsidR="00A85516" w:rsidRPr="00590F1F">
        <w:rPr>
          <w:rFonts w:ascii="Arial" w:hAnsi="Arial" w:cs="Arial"/>
          <w:sz w:val="24"/>
          <w:szCs w:val="24"/>
          <w:lang w:val="en-GB"/>
        </w:rPr>
        <w:t xml:space="preserve"> the general legal principle that </w:t>
      </w:r>
      <w:r w:rsidR="00A85516" w:rsidRPr="00590F1F">
        <w:rPr>
          <w:rFonts w:ascii="Arial" w:hAnsi="Arial" w:cs="Arial"/>
          <w:sz w:val="24"/>
          <w:szCs w:val="24"/>
        </w:rPr>
        <w:t xml:space="preserve">costs are awarded to a successful party in order to indemnify him or her for the expenses to which he or she has been put through having </w:t>
      </w:r>
      <w:r w:rsidR="008742FA" w:rsidRPr="00590F1F">
        <w:rPr>
          <w:rFonts w:ascii="Arial" w:hAnsi="Arial" w:cs="Arial"/>
          <w:sz w:val="24"/>
          <w:szCs w:val="24"/>
        </w:rPr>
        <w:t xml:space="preserve">been </w:t>
      </w:r>
      <w:r w:rsidR="00A85516" w:rsidRPr="00590F1F">
        <w:rPr>
          <w:rFonts w:ascii="Arial" w:hAnsi="Arial" w:cs="Arial"/>
          <w:sz w:val="24"/>
          <w:szCs w:val="24"/>
        </w:rPr>
        <w:t>unjustly compelled either to initiate or defend litigation</w:t>
      </w:r>
      <w:r w:rsidR="00E01CC7" w:rsidRPr="00590F1F">
        <w:rPr>
          <w:rFonts w:ascii="Arial" w:hAnsi="Arial" w:cs="Arial"/>
          <w:sz w:val="24"/>
          <w:szCs w:val="24"/>
        </w:rPr>
        <w:t xml:space="preserve">, is not </w:t>
      </w:r>
      <w:r w:rsidR="00A85516" w:rsidRPr="00590F1F">
        <w:rPr>
          <w:rFonts w:ascii="Arial" w:hAnsi="Arial" w:cs="Arial"/>
          <w:sz w:val="24"/>
          <w:szCs w:val="24"/>
        </w:rPr>
        <w:t>absolute</w:t>
      </w:r>
      <w:r w:rsidR="00F367AA" w:rsidRPr="00590F1F">
        <w:rPr>
          <w:rFonts w:ascii="Arial" w:hAnsi="Arial" w:cs="Arial"/>
          <w:sz w:val="24"/>
          <w:szCs w:val="24"/>
        </w:rPr>
        <w:t>.</w:t>
      </w:r>
      <w:r w:rsidR="00590F1F" w:rsidRPr="00590F1F">
        <w:rPr>
          <w:rFonts w:ascii="Arial" w:hAnsi="Arial" w:cs="Arial"/>
          <w:sz w:val="24"/>
          <w:szCs w:val="24"/>
        </w:rPr>
        <w:t xml:space="preserve"> In the matter of </w:t>
      </w:r>
      <w:r w:rsidR="00590F1F" w:rsidRPr="00590F1F">
        <w:rPr>
          <w:rFonts w:ascii="Arial" w:hAnsi="Arial" w:cs="Arial"/>
          <w:i/>
          <w:sz w:val="24"/>
          <w:szCs w:val="24"/>
          <w:lang w:val="en-ZA" w:eastAsia="en-ZA"/>
        </w:rPr>
        <w:t>South African Poultry Association and Others v Ministry of Trade and Industry and Others</w:t>
      </w:r>
      <w:r w:rsidR="00590F1F" w:rsidRPr="00590F1F">
        <w:rPr>
          <w:rStyle w:val="FootnoteReference"/>
          <w:rFonts w:ascii="Arial" w:hAnsi="Arial" w:cs="Arial"/>
          <w:i/>
          <w:sz w:val="24"/>
          <w:szCs w:val="24"/>
          <w:lang w:val="en-ZA" w:eastAsia="en-ZA"/>
        </w:rPr>
        <w:footnoteReference w:id="10"/>
      </w:r>
      <w:r w:rsidR="00590F1F" w:rsidRPr="00590F1F">
        <w:rPr>
          <w:rFonts w:ascii="Arial" w:hAnsi="Arial" w:cs="Arial"/>
          <w:i/>
          <w:sz w:val="24"/>
          <w:szCs w:val="24"/>
          <w:lang w:val="en-ZA" w:eastAsia="en-ZA"/>
        </w:rPr>
        <w:t xml:space="preserve"> </w:t>
      </w:r>
      <w:proofErr w:type="spellStart"/>
      <w:r w:rsidR="00590F1F" w:rsidRPr="00590F1F">
        <w:rPr>
          <w:rFonts w:ascii="Arial" w:hAnsi="Arial" w:cs="Arial"/>
          <w:sz w:val="24"/>
          <w:szCs w:val="24"/>
          <w:lang w:val="en-ZA" w:eastAsia="en-ZA"/>
        </w:rPr>
        <w:t>Damaseb</w:t>
      </w:r>
      <w:proofErr w:type="spellEnd"/>
      <w:r w:rsidR="00590F1F" w:rsidRPr="00590F1F">
        <w:rPr>
          <w:rFonts w:ascii="Arial" w:hAnsi="Arial" w:cs="Arial"/>
          <w:sz w:val="24"/>
          <w:szCs w:val="24"/>
          <w:lang w:val="en-ZA" w:eastAsia="en-ZA"/>
        </w:rPr>
        <w:t xml:space="preserve"> JP</w:t>
      </w:r>
      <w:r w:rsidR="00590F1F" w:rsidRPr="00590F1F">
        <w:rPr>
          <w:rFonts w:ascii="Arial" w:hAnsi="Arial" w:cs="Arial"/>
          <w:i/>
          <w:sz w:val="24"/>
          <w:szCs w:val="24"/>
          <w:lang w:val="en-ZA" w:eastAsia="en-ZA"/>
        </w:rPr>
        <w:t xml:space="preserve"> </w:t>
      </w:r>
      <w:r w:rsidR="00590F1F" w:rsidRPr="00590F1F">
        <w:rPr>
          <w:rFonts w:ascii="Arial" w:hAnsi="Arial" w:cs="Arial"/>
          <w:sz w:val="24"/>
          <w:szCs w:val="24"/>
          <w:lang w:val="en-ZA" w:eastAsia="en-ZA"/>
        </w:rPr>
        <w:t xml:space="preserve">made it clear that the rationale behind Rule 32 (11) is to discourage a multiplicity of interlocutory motions which often increase costs. In the South African case of </w:t>
      </w:r>
      <w:proofErr w:type="spellStart"/>
      <w:r w:rsidR="00590F1F" w:rsidRPr="00590F1F">
        <w:rPr>
          <w:rFonts w:ascii="Arial" w:hAnsi="Arial" w:cs="Arial"/>
          <w:i/>
          <w:sz w:val="24"/>
          <w:szCs w:val="24"/>
        </w:rPr>
        <w:t>Payen</w:t>
      </w:r>
      <w:proofErr w:type="spellEnd"/>
      <w:r w:rsidR="00590F1F" w:rsidRPr="00590F1F">
        <w:rPr>
          <w:rFonts w:ascii="Arial" w:hAnsi="Arial" w:cs="Arial"/>
          <w:i/>
          <w:sz w:val="24"/>
          <w:szCs w:val="24"/>
        </w:rPr>
        <w:t xml:space="preserve"> components South Africa Ltd v </w:t>
      </w:r>
      <w:proofErr w:type="spellStart"/>
      <w:r w:rsidR="00590F1F" w:rsidRPr="00590F1F">
        <w:rPr>
          <w:rFonts w:ascii="Arial" w:hAnsi="Arial" w:cs="Arial"/>
          <w:i/>
          <w:sz w:val="24"/>
          <w:szCs w:val="24"/>
        </w:rPr>
        <w:t>Bovic</w:t>
      </w:r>
      <w:proofErr w:type="spellEnd"/>
      <w:r w:rsidR="00590F1F" w:rsidRPr="00590F1F">
        <w:rPr>
          <w:rFonts w:ascii="Arial" w:hAnsi="Arial" w:cs="Arial"/>
          <w:i/>
          <w:sz w:val="24"/>
          <w:szCs w:val="24"/>
        </w:rPr>
        <w:t xml:space="preserve"> Gaskets CC</w:t>
      </w:r>
      <w:r w:rsidR="00590F1F">
        <w:rPr>
          <w:rStyle w:val="FootnoteReference"/>
          <w:rFonts w:ascii="Arial" w:hAnsi="Arial" w:cs="Arial"/>
          <w:i/>
          <w:sz w:val="24"/>
          <w:szCs w:val="24"/>
        </w:rPr>
        <w:footnoteReference w:id="11"/>
      </w:r>
      <w:r w:rsidR="00590F1F" w:rsidRPr="00590F1F">
        <w:rPr>
          <w:rFonts w:ascii="Arial" w:hAnsi="Arial" w:cs="Arial"/>
          <w:sz w:val="24"/>
          <w:szCs w:val="24"/>
        </w:rPr>
        <w:t>  the Court at 417 said:</w:t>
      </w:r>
    </w:p>
    <w:p w:rsidR="00590F1F" w:rsidRPr="00590F1F" w:rsidRDefault="00590F1F" w:rsidP="00B36A1C">
      <w:pPr>
        <w:pStyle w:val="FootnoteText"/>
        <w:rPr>
          <w:lang w:val="en-US"/>
        </w:rPr>
      </w:pPr>
    </w:p>
    <w:p w:rsidR="00590F1F" w:rsidRPr="00590F1F" w:rsidRDefault="00590F1F" w:rsidP="00590F1F">
      <w:pPr>
        <w:pStyle w:val="ListParagraph"/>
        <w:spacing w:line="360" w:lineRule="auto"/>
        <w:ind w:left="0" w:firstLine="720"/>
        <w:jc w:val="both"/>
        <w:rPr>
          <w:rFonts w:ascii="Arial" w:hAnsi="Arial" w:cs="Arial"/>
          <w:sz w:val="22"/>
          <w:szCs w:val="22"/>
        </w:rPr>
      </w:pPr>
      <w:r w:rsidRPr="00590F1F">
        <w:rPr>
          <w:rFonts w:ascii="Arial" w:hAnsi="Arial" w:cs="Arial"/>
          <w:sz w:val="22"/>
          <w:szCs w:val="22"/>
        </w:rPr>
        <w:t>‘While one of the purposes of a costs a</w:t>
      </w:r>
      <w:r w:rsidR="00EF5551">
        <w:rPr>
          <w:rFonts w:ascii="Arial" w:hAnsi="Arial" w:cs="Arial"/>
          <w:sz w:val="22"/>
          <w:szCs w:val="22"/>
        </w:rPr>
        <w:t>ward to a successful party is “t</w:t>
      </w:r>
      <w:r w:rsidRPr="00590F1F">
        <w:rPr>
          <w:rFonts w:ascii="Arial" w:hAnsi="Arial" w:cs="Arial"/>
          <w:sz w:val="22"/>
          <w:szCs w:val="22"/>
        </w:rPr>
        <w:t>o indemnify him for the expense to which he has been put through having been unjustly compelled either to initiate or to defen</w:t>
      </w:r>
      <w:r w:rsidR="00EF5551">
        <w:rPr>
          <w:rFonts w:ascii="Arial" w:hAnsi="Arial" w:cs="Arial"/>
          <w:sz w:val="22"/>
          <w:szCs w:val="22"/>
        </w:rPr>
        <w:t>d litigation as the case may be”</w:t>
      </w:r>
      <w:r w:rsidRPr="00590F1F">
        <w:rPr>
          <w:rFonts w:ascii="Arial" w:hAnsi="Arial" w:cs="Arial"/>
          <w:sz w:val="22"/>
          <w:szCs w:val="22"/>
        </w:rPr>
        <w:t xml:space="preserve"> it is of equal importance that taxation </w:t>
      </w:r>
      <w:r w:rsidRPr="00590F1F">
        <w:rPr>
          <w:rFonts w:ascii="Arial" w:hAnsi="Arial" w:cs="Arial"/>
          <w:sz w:val="22"/>
          <w:szCs w:val="22"/>
        </w:rPr>
        <w:lastRenderedPageBreak/>
        <w:t>'ensures that the party who is condemned to pay the costs does not pay excessive … costs in respect of the litigation which resulted in the order for costs'.</w:t>
      </w:r>
    </w:p>
    <w:p w:rsidR="00590F1F" w:rsidRPr="00590F1F" w:rsidRDefault="00590F1F" w:rsidP="00A85516">
      <w:pPr>
        <w:pStyle w:val="ListParagraph"/>
        <w:spacing w:line="360" w:lineRule="auto"/>
        <w:ind w:left="0"/>
        <w:jc w:val="both"/>
        <w:rPr>
          <w:rFonts w:ascii="Arial" w:hAnsi="Arial" w:cs="Arial"/>
          <w:sz w:val="24"/>
          <w:szCs w:val="24"/>
        </w:rPr>
      </w:pPr>
    </w:p>
    <w:p w:rsidR="008742FA" w:rsidRPr="00590F1F" w:rsidRDefault="00F367AA" w:rsidP="00A85516">
      <w:pPr>
        <w:pStyle w:val="ListParagraph"/>
        <w:spacing w:line="360" w:lineRule="auto"/>
        <w:ind w:left="0"/>
        <w:jc w:val="both"/>
        <w:rPr>
          <w:rFonts w:ascii="Arial" w:hAnsi="Arial" w:cs="Arial"/>
          <w:sz w:val="24"/>
          <w:szCs w:val="24"/>
        </w:rPr>
      </w:pPr>
      <w:r w:rsidRPr="00590F1F">
        <w:rPr>
          <w:rFonts w:ascii="Arial" w:hAnsi="Arial" w:cs="Arial"/>
          <w:sz w:val="24"/>
          <w:szCs w:val="24"/>
        </w:rPr>
        <w:t>Secondly Rule 32(11) does not apply to the proceedings as a whole but to applications or proceedings which are incidental to the main proceedings. To that extent Rule 32(11) does not change the common law.</w:t>
      </w:r>
    </w:p>
    <w:p w:rsidR="008742FA" w:rsidRDefault="008742FA" w:rsidP="00A85516">
      <w:pPr>
        <w:pStyle w:val="ListParagraph"/>
        <w:spacing w:line="360" w:lineRule="auto"/>
        <w:ind w:left="0"/>
        <w:jc w:val="both"/>
        <w:rPr>
          <w:rFonts w:ascii="Arial" w:hAnsi="Arial" w:cs="Arial"/>
          <w:sz w:val="24"/>
          <w:szCs w:val="24"/>
        </w:rPr>
      </w:pPr>
    </w:p>
    <w:p w:rsidR="005D2D0C" w:rsidRPr="00A85516" w:rsidRDefault="008742FA" w:rsidP="00A538AD">
      <w:pPr>
        <w:pStyle w:val="ListParagraph"/>
        <w:tabs>
          <w:tab w:val="left" w:pos="720"/>
        </w:tabs>
        <w:spacing w:line="360" w:lineRule="auto"/>
        <w:ind w:left="0"/>
        <w:jc w:val="both"/>
        <w:rPr>
          <w:rFonts w:ascii="Arial" w:hAnsi="Arial" w:cs="Arial"/>
          <w:sz w:val="24"/>
          <w:szCs w:val="24"/>
          <w:lang w:val="en-GB"/>
        </w:rPr>
      </w:pPr>
      <w:r>
        <w:rPr>
          <w:rFonts w:ascii="Arial" w:hAnsi="Arial" w:cs="Arial"/>
          <w:sz w:val="24"/>
          <w:szCs w:val="24"/>
        </w:rPr>
        <w:t>[2</w:t>
      </w:r>
      <w:r w:rsidR="007D418D">
        <w:rPr>
          <w:rFonts w:ascii="Arial" w:hAnsi="Arial" w:cs="Arial"/>
          <w:sz w:val="24"/>
          <w:szCs w:val="24"/>
        </w:rPr>
        <w:t>9</w:t>
      </w:r>
      <w:r>
        <w:rPr>
          <w:rFonts w:ascii="Arial" w:hAnsi="Arial" w:cs="Arial"/>
          <w:sz w:val="24"/>
          <w:szCs w:val="24"/>
        </w:rPr>
        <w:t>]</w:t>
      </w:r>
      <w:r>
        <w:rPr>
          <w:rFonts w:ascii="Arial" w:hAnsi="Arial" w:cs="Arial"/>
          <w:sz w:val="24"/>
          <w:szCs w:val="24"/>
        </w:rPr>
        <w:tab/>
        <w:t>Thirdly</w:t>
      </w:r>
      <w:r w:rsidR="002A426D">
        <w:rPr>
          <w:rFonts w:ascii="Arial" w:hAnsi="Arial" w:cs="Arial"/>
          <w:sz w:val="24"/>
          <w:szCs w:val="24"/>
        </w:rPr>
        <w:t>,</w:t>
      </w:r>
      <w:r>
        <w:rPr>
          <w:rFonts w:ascii="Arial" w:hAnsi="Arial" w:cs="Arial"/>
          <w:sz w:val="24"/>
          <w:szCs w:val="24"/>
        </w:rPr>
        <w:t xml:space="preserve"> a party’s right </w:t>
      </w:r>
      <w:r w:rsidR="002A426D">
        <w:rPr>
          <w:rFonts w:ascii="Arial" w:hAnsi="Arial" w:cs="Arial"/>
          <w:sz w:val="24"/>
          <w:szCs w:val="24"/>
        </w:rPr>
        <w:t xml:space="preserve">to </w:t>
      </w:r>
      <w:r>
        <w:rPr>
          <w:rFonts w:ascii="Arial" w:hAnsi="Arial" w:cs="Arial"/>
          <w:sz w:val="24"/>
          <w:szCs w:val="24"/>
        </w:rPr>
        <w:t xml:space="preserve">claim costs </w:t>
      </w:r>
      <w:r w:rsidR="00F367AA">
        <w:rPr>
          <w:rFonts w:ascii="Arial" w:hAnsi="Arial" w:cs="Arial"/>
          <w:sz w:val="24"/>
          <w:szCs w:val="24"/>
        </w:rPr>
        <w:t xml:space="preserve">from his or her opponent </w:t>
      </w:r>
      <w:r>
        <w:rPr>
          <w:rFonts w:ascii="Arial" w:hAnsi="Arial" w:cs="Arial"/>
          <w:sz w:val="24"/>
          <w:szCs w:val="24"/>
        </w:rPr>
        <w:t>which he or she has incurred in the process of litigation only arise</w:t>
      </w:r>
      <w:r w:rsidR="00F367AA">
        <w:rPr>
          <w:rFonts w:ascii="Arial" w:hAnsi="Arial" w:cs="Arial"/>
          <w:sz w:val="24"/>
          <w:szCs w:val="24"/>
        </w:rPr>
        <w:t>s</w:t>
      </w:r>
      <w:r>
        <w:rPr>
          <w:rFonts w:ascii="Arial" w:hAnsi="Arial" w:cs="Arial"/>
          <w:sz w:val="24"/>
          <w:szCs w:val="24"/>
        </w:rPr>
        <w:t xml:space="preserve"> upon the court ordering an opponent to pay a successful party’s costs. </w:t>
      </w:r>
      <w:r w:rsidR="00F367AA">
        <w:rPr>
          <w:rFonts w:ascii="Arial" w:hAnsi="Arial" w:cs="Arial"/>
          <w:sz w:val="24"/>
          <w:szCs w:val="24"/>
        </w:rPr>
        <w:t>In this matter the Court</w:t>
      </w:r>
      <w:r w:rsidR="00CE2AFF">
        <w:rPr>
          <w:rFonts w:ascii="Arial" w:hAnsi="Arial" w:cs="Arial"/>
          <w:sz w:val="24"/>
          <w:szCs w:val="24"/>
        </w:rPr>
        <w:t>,</w:t>
      </w:r>
      <w:r w:rsidR="00CE2AFF" w:rsidRPr="00CE2AFF">
        <w:rPr>
          <w:rFonts w:ascii="Arial" w:hAnsi="Arial" w:cs="Arial"/>
          <w:sz w:val="24"/>
          <w:szCs w:val="24"/>
        </w:rPr>
        <w:t xml:space="preserve"> </w:t>
      </w:r>
      <w:r w:rsidR="00CE2AFF">
        <w:rPr>
          <w:rFonts w:ascii="Arial" w:hAnsi="Arial" w:cs="Arial"/>
          <w:sz w:val="24"/>
          <w:szCs w:val="24"/>
        </w:rPr>
        <w:t>on 1 August 2014,</w:t>
      </w:r>
      <w:r w:rsidR="00F367AA">
        <w:rPr>
          <w:rFonts w:ascii="Arial" w:hAnsi="Arial" w:cs="Arial"/>
          <w:sz w:val="24"/>
          <w:szCs w:val="24"/>
        </w:rPr>
        <w:t xml:space="preserve"> ordered the plaintiff to pay the defendant’s costs for the exception</w:t>
      </w:r>
      <w:r w:rsidR="00CE2AFF">
        <w:rPr>
          <w:rFonts w:ascii="Arial" w:hAnsi="Arial" w:cs="Arial"/>
          <w:sz w:val="24"/>
          <w:szCs w:val="24"/>
        </w:rPr>
        <w:t>.</w:t>
      </w:r>
      <w:r w:rsidR="007D418D">
        <w:rPr>
          <w:rFonts w:ascii="Arial" w:hAnsi="Arial" w:cs="Arial"/>
          <w:sz w:val="24"/>
          <w:szCs w:val="24"/>
        </w:rPr>
        <w:t xml:space="preserve"> The defendant’s right to be paid costs which he incurred as a result of the exception which he raised only arose when the Court gave its ruling and that was on 1 August 2014. By</w:t>
      </w:r>
      <w:r w:rsidR="00F367AA">
        <w:rPr>
          <w:rFonts w:ascii="Arial" w:hAnsi="Arial" w:cs="Arial"/>
          <w:sz w:val="24"/>
          <w:szCs w:val="24"/>
        </w:rPr>
        <w:t xml:space="preserve"> that time</w:t>
      </w:r>
      <w:r w:rsidR="00CE2AFF">
        <w:rPr>
          <w:rFonts w:ascii="Arial" w:hAnsi="Arial" w:cs="Arial"/>
          <w:sz w:val="24"/>
          <w:szCs w:val="24"/>
        </w:rPr>
        <w:t xml:space="preserve"> (i.e. by 1 August 2014) </w:t>
      </w:r>
      <w:r w:rsidR="00F367AA">
        <w:rPr>
          <w:rFonts w:ascii="Arial" w:hAnsi="Arial" w:cs="Arial"/>
          <w:sz w:val="24"/>
          <w:szCs w:val="24"/>
        </w:rPr>
        <w:t>Rule 32(11) had already been in operation</w:t>
      </w:r>
      <w:r w:rsidR="00DB1054">
        <w:rPr>
          <w:rFonts w:ascii="Arial" w:hAnsi="Arial" w:cs="Arial"/>
          <w:sz w:val="24"/>
          <w:szCs w:val="24"/>
        </w:rPr>
        <w:t xml:space="preserve"> since 1</w:t>
      </w:r>
      <w:r w:rsidR="007D418D">
        <w:rPr>
          <w:rFonts w:ascii="Arial" w:hAnsi="Arial" w:cs="Arial"/>
          <w:sz w:val="24"/>
          <w:szCs w:val="24"/>
        </w:rPr>
        <w:t>6</w:t>
      </w:r>
      <w:r w:rsidR="00DB1054">
        <w:rPr>
          <w:rFonts w:ascii="Arial" w:hAnsi="Arial" w:cs="Arial"/>
          <w:sz w:val="24"/>
          <w:szCs w:val="24"/>
        </w:rPr>
        <w:t xml:space="preserve"> April 2014. The question of </w:t>
      </w:r>
      <w:proofErr w:type="spellStart"/>
      <w:r w:rsidR="00DB1054">
        <w:rPr>
          <w:rFonts w:ascii="Arial" w:hAnsi="Arial" w:cs="Arial"/>
          <w:sz w:val="24"/>
          <w:szCs w:val="24"/>
        </w:rPr>
        <w:t>retrospectivity</w:t>
      </w:r>
      <w:proofErr w:type="spellEnd"/>
      <w:r w:rsidR="00DB1054">
        <w:rPr>
          <w:rFonts w:ascii="Arial" w:hAnsi="Arial" w:cs="Arial"/>
          <w:sz w:val="24"/>
          <w:szCs w:val="24"/>
        </w:rPr>
        <w:t xml:space="preserve"> or taking away a vesting right does therefore not come into play.</w:t>
      </w:r>
      <w:r w:rsidR="00F367AA">
        <w:rPr>
          <w:rFonts w:ascii="Arial" w:hAnsi="Arial" w:cs="Arial"/>
          <w:sz w:val="24"/>
          <w:szCs w:val="24"/>
        </w:rPr>
        <w:t xml:space="preserve"> </w:t>
      </w:r>
    </w:p>
    <w:p w:rsidR="00C11683" w:rsidRDefault="00C11683" w:rsidP="00A538AD">
      <w:pPr>
        <w:widowControl/>
        <w:autoSpaceDE w:val="0"/>
        <w:autoSpaceDN w:val="0"/>
        <w:adjustRightInd w:val="0"/>
        <w:ind w:right="1138"/>
        <w:rPr>
          <w:rFonts w:ascii="Times-Roman" w:hAnsi="Times-Roman" w:cs="Times-Roman"/>
          <w:spacing w:val="0"/>
          <w:sz w:val="22"/>
          <w:szCs w:val="22"/>
          <w:lang w:val="en-ZA" w:eastAsia="en-ZA"/>
        </w:rPr>
      </w:pPr>
    </w:p>
    <w:p w:rsidR="00146FBE" w:rsidRPr="00146FBE" w:rsidRDefault="00A538AD" w:rsidP="00146FBE">
      <w:pPr>
        <w:pStyle w:val="Heading1"/>
        <w:numPr>
          <w:ilvl w:val="0"/>
          <w:numId w:val="0"/>
        </w:numPr>
        <w:rPr>
          <w:szCs w:val="24"/>
        </w:rPr>
      </w:pPr>
      <w:r w:rsidRPr="00146FBE">
        <w:rPr>
          <w:rFonts w:cs="Arial"/>
          <w:spacing w:val="0"/>
          <w:szCs w:val="24"/>
          <w:lang w:val="en-ZA" w:eastAsia="en-ZA"/>
        </w:rPr>
        <w:t>[</w:t>
      </w:r>
      <w:r w:rsidR="007D418D">
        <w:rPr>
          <w:rFonts w:cs="Arial"/>
          <w:spacing w:val="0"/>
          <w:szCs w:val="24"/>
          <w:lang w:val="en-ZA" w:eastAsia="en-ZA"/>
        </w:rPr>
        <w:t>30</w:t>
      </w:r>
      <w:r w:rsidRPr="00146FBE">
        <w:rPr>
          <w:rFonts w:cs="Arial"/>
          <w:spacing w:val="0"/>
          <w:szCs w:val="24"/>
          <w:lang w:val="en-ZA" w:eastAsia="en-ZA"/>
        </w:rPr>
        <w:t>]</w:t>
      </w:r>
      <w:r w:rsidRPr="00146FBE">
        <w:rPr>
          <w:rFonts w:cs="Arial"/>
          <w:spacing w:val="0"/>
          <w:szCs w:val="24"/>
          <w:lang w:val="en-ZA" w:eastAsia="en-ZA"/>
        </w:rPr>
        <w:tab/>
      </w:r>
      <w:r w:rsidRPr="00146FBE">
        <w:rPr>
          <w:rFonts w:cs="Arial"/>
          <w:szCs w:val="24"/>
        </w:rPr>
        <w:t xml:space="preserve">Mr Van </w:t>
      </w:r>
      <w:proofErr w:type="spellStart"/>
      <w:r w:rsidRPr="00146FBE">
        <w:rPr>
          <w:rFonts w:cs="Arial"/>
          <w:szCs w:val="24"/>
        </w:rPr>
        <w:t>Vuuren’s</w:t>
      </w:r>
      <w:proofErr w:type="spellEnd"/>
      <w:r w:rsidRPr="00146FBE">
        <w:rPr>
          <w:rFonts w:cs="Arial"/>
          <w:szCs w:val="24"/>
        </w:rPr>
        <w:t xml:space="preserve"> argument to the effect that ‘[s]</w:t>
      </w:r>
      <w:proofErr w:type="spellStart"/>
      <w:r w:rsidRPr="00146FBE">
        <w:rPr>
          <w:rFonts w:cs="Arial"/>
          <w:szCs w:val="24"/>
        </w:rPr>
        <w:t>hould</w:t>
      </w:r>
      <w:proofErr w:type="spellEnd"/>
      <w:r w:rsidRPr="00146FBE">
        <w:rPr>
          <w:rFonts w:cs="Arial"/>
          <w:szCs w:val="24"/>
        </w:rPr>
        <w:t xml:space="preserve"> the applicant have sought that the costs for the exception should be limited to N$ 20,000 submissions should have been made in such respect in order for the court to have been presented with proper argument and a proper adjudication thereof’ is also </w:t>
      </w:r>
      <w:r w:rsidR="00146FBE" w:rsidRPr="00146FBE">
        <w:rPr>
          <w:rFonts w:cs="Arial"/>
          <w:szCs w:val="24"/>
        </w:rPr>
        <w:t xml:space="preserve">misplaced. I </w:t>
      </w:r>
      <w:r w:rsidR="007D418D">
        <w:rPr>
          <w:rFonts w:cs="Arial"/>
          <w:szCs w:val="24"/>
        </w:rPr>
        <w:t xml:space="preserve">say </w:t>
      </w:r>
      <w:r w:rsidR="00146FBE" w:rsidRPr="00146FBE">
        <w:rPr>
          <w:rFonts w:cs="Arial"/>
          <w:szCs w:val="24"/>
        </w:rPr>
        <w:t xml:space="preserve">so for the reason that in </w:t>
      </w:r>
      <w:r w:rsidR="00146FBE" w:rsidRPr="00146FBE">
        <w:rPr>
          <w:szCs w:val="24"/>
        </w:rPr>
        <w:t xml:space="preserve">the </w:t>
      </w:r>
      <w:r w:rsidR="00146FBE" w:rsidRPr="00146FBE">
        <w:rPr>
          <w:i/>
          <w:szCs w:val="24"/>
          <w:lang w:val="en-US" w:eastAsia="en-ZA"/>
        </w:rPr>
        <w:t xml:space="preserve">Pinkster </w:t>
      </w:r>
      <w:proofErr w:type="spellStart"/>
      <w:r w:rsidR="00146FBE" w:rsidRPr="00146FBE">
        <w:rPr>
          <w:i/>
          <w:szCs w:val="24"/>
          <w:lang w:val="en-US" w:eastAsia="en-ZA"/>
        </w:rPr>
        <w:t>Gemeente</w:t>
      </w:r>
      <w:proofErr w:type="spellEnd"/>
      <w:r w:rsidR="00146FBE" w:rsidRPr="00146FBE">
        <w:rPr>
          <w:i/>
          <w:szCs w:val="24"/>
          <w:lang w:val="en-US" w:eastAsia="en-ZA"/>
        </w:rPr>
        <w:t xml:space="preserve"> van Namibia</w:t>
      </w:r>
      <w:r w:rsidR="00146FBE" w:rsidRPr="00146FBE">
        <w:rPr>
          <w:rStyle w:val="FootnoteReference"/>
          <w:i/>
          <w:szCs w:val="24"/>
          <w:lang w:val="en-US" w:eastAsia="en-ZA"/>
        </w:rPr>
        <w:footnoteReference w:id="12"/>
      </w:r>
      <w:r w:rsidR="00146FBE" w:rsidRPr="00146FBE">
        <w:rPr>
          <w:i/>
          <w:szCs w:val="24"/>
          <w:lang w:val="en-US" w:eastAsia="en-ZA"/>
        </w:rPr>
        <w:t xml:space="preserve"> </w:t>
      </w:r>
      <w:r w:rsidR="00146FBE" w:rsidRPr="00146FBE">
        <w:rPr>
          <w:szCs w:val="24"/>
          <w:lang w:val="en-US" w:eastAsia="en-ZA"/>
        </w:rPr>
        <w:t xml:space="preserve">case </w:t>
      </w:r>
      <w:r w:rsidR="00CE2AFF">
        <w:rPr>
          <w:szCs w:val="24"/>
          <w:lang w:val="en-US" w:eastAsia="en-ZA"/>
        </w:rPr>
        <w:t>this C</w:t>
      </w:r>
      <w:r w:rsidR="00146FBE" w:rsidRPr="00146FBE">
        <w:rPr>
          <w:szCs w:val="24"/>
          <w:lang w:val="en-US" w:eastAsia="en-ZA"/>
        </w:rPr>
        <w:t xml:space="preserve">ourt made it clear that </w:t>
      </w:r>
      <w:r w:rsidR="00146FBE" w:rsidRPr="00146FBE">
        <w:rPr>
          <w:szCs w:val="24"/>
        </w:rPr>
        <w:t>‘</w:t>
      </w:r>
      <w:r w:rsidR="00CE2AFF">
        <w:rPr>
          <w:szCs w:val="24"/>
        </w:rPr>
        <w:t>[t]</w:t>
      </w:r>
      <w:r w:rsidR="00146FBE" w:rsidRPr="00146FBE">
        <w:rPr>
          <w:szCs w:val="24"/>
        </w:rPr>
        <w:t xml:space="preserve">he responsibility to include in a bill of costs only those costs that are permissible under a court's costs order is borne, in the first instance, by counsel who submits the bill for taxation.’ </w:t>
      </w:r>
    </w:p>
    <w:p w:rsidR="00A538AD" w:rsidRPr="00A538AD" w:rsidRDefault="00A538AD" w:rsidP="00A538AD">
      <w:pPr>
        <w:widowControl/>
        <w:autoSpaceDE w:val="0"/>
        <w:autoSpaceDN w:val="0"/>
        <w:adjustRightInd w:val="0"/>
        <w:rPr>
          <w:rFonts w:cs="Arial"/>
          <w:spacing w:val="0"/>
          <w:szCs w:val="24"/>
          <w:lang w:val="en-ZA" w:eastAsia="en-ZA"/>
        </w:rPr>
      </w:pPr>
    </w:p>
    <w:p w:rsidR="00146FBE" w:rsidRDefault="00146FBE" w:rsidP="00146FBE">
      <w:pPr>
        <w:widowControl/>
        <w:autoSpaceDE w:val="0"/>
        <w:autoSpaceDN w:val="0"/>
        <w:adjustRightInd w:val="0"/>
        <w:rPr>
          <w:rFonts w:cs="Arial"/>
          <w:spacing w:val="0"/>
          <w:szCs w:val="24"/>
          <w:lang w:val="en-ZA" w:eastAsia="en-ZA"/>
        </w:rPr>
      </w:pPr>
      <w:r w:rsidRPr="00146FBE">
        <w:rPr>
          <w:rFonts w:cs="Arial"/>
          <w:spacing w:val="0"/>
          <w:szCs w:val="24"/>
          <w:lang w:val="en-ZA" w:eastAsia="en-ZA"/>
        </w:rPr>
        <w:t>[3</w:t>
      </w:r>
      <w:r w:rsidR="007D418D">
        <w:rPr>
          <w:rFonts w:cs="Arial"/>
          <w:spacing w:val="0"/>
          <w:szCs w:val="24"/>
          <w:lang w:val="en-ZA" w:eastAsia="en-ZA"/>
        </w:rPr>
        <w:t>1</w:t>
      </w:r>
      <w:r w:rsidRPr="00146FBE">
        <w:rPr>
          <w:rFonts w:cs="Arial"/>
          <w:spacing w:val="0"/>
          <w:szCs w:val="24"/>
          <w:lang w:val="en-ZA" w:eastAsia="en-ZA"/>
        </w:rPr>
        <w:t>]</w:t>
      </w:r>
      <w:r w:rsidRPr="00146FBE">
        <w:rPr>
          <w:rFonts w:cs="Arial"/>
          <w:spacing w:val="0"/>
          <w:szCs w:val="24"/>
          <w:lang w:val="en-ZA" w:eastAsia="en-ZA"/>
        </w:rPr>
        <w:tab/>
      </w:r>
      <w:r>
        <w:rPr>
          <w:rFonts w:cs="Arial"/>
          <w:spacing w:val="0"/>
          <w:szCs w:val="24"/>
          <w:lang w:val="en-ZA" w:eastAsia="en-ZA"/>
        </w:rPr>
        <w:t xml:space="preserve">In the matter of </w:t>
      </w:r>
      <w:r w:rsidRPr="00146FBE">
        <w:rPr>
          <w:rFonts w:cs="Arial"/>
          <w:i/>
          <w:spacing w:val="0"/>
          <w:szCs w:val="24"/>
          <w:lang w:val="en-ZA" w:eastAsia="en-ZA"/>
        </w:rPr>
        <w:t>South African Poultry Association and Others v Ministry of Trade and Industry and Others</w:t>
      </w:r>
      <w:r>
        <w:rPr>
          <w:rStyle w:val="FootnoteReference"/>
          <w:rFonts w:cs="Arial"/>
          <w:i/>
          <w:spacing w:val="0"/>
          <w:szCs w:val="24"/>
          <w:lang w:val="en-ZA" w:eastAsia="en-ZA"/>
        </w:rPr>
        <w:footnoteReference w:id="13"/>
      </w:r>
      <w:r w:rsidRPr="00146FBE">
        <w:rPr>
          <w:rFonts w:cs="Arial"/>
          <w:spacing w:val="0"/>
          <w:szCs w:val="24"/>
          <w:lang w:val="en-ZA" w:eastAsia="en-ZA"/>
        </w:rPr>
        <w:t xml:space="preserve"> </w:t>
      </w:r>
      <w:r>
        <w:rPr>
          <w:rFonts w:cs="Arial"/>
          <w:spacing w:val="0"/>
          <w:szCs w:val="24"/>
          <w:lang w:val="en-ZA" w:eastAsia="en-ZA"/>
        </w:rPr>
        <w:t xml:space="preserve"> this Court (Per </w:t>
      </w:r>
      <w:proofErr w:type="spellStart"/>
      <w:r>
        <w:rPr>
          <w:rFonts w:cs="Arial"/>
          <w:spacing w:val="0"/>
          <w:szCs w:val="24"/>
          <w:lang w:val="en-ZA" w:eastAsia="en-ZA"/>
        </w:rPr>
        <w:t>Damaseb</w:t>
      </w:r>
      <w:proofErr w:type="spellEnd"/>
      <w:r>
        <w:rPr>
          <w:rFonts w:cs="Arial"/>
          <w:spacing w:val="0"/>
          <w:szCs w:val="24"/>
          <w:lang w:val="en-ZA" w:eastAsia="en-ZA"/>
        </w:rPr>
        <w:t xml:space="preserve"> JP) said:</w:t>
      </w:r>
    </w:p>
    <w:p w:rsidR="00146FBE" w:rsidRDefault="00146FBE" w:rsidP="00146FBE">
      <w:pPr>
        <w:widowControl/>
        <w:autoSpaceDE w:val="0"/>
        <w:autoSpaceDN w:val="0"/>
        <w:adjustRightInd w:val="0"/>
        <w:rPr>
          <w:rFonts w:cs="Arial"/>
          <w:spacing w:val="0"/>
          <w:szCs w:val="24"/>
          <w:lang w:val="en-ZA" w:eastAsia="en-ZA"/>
        </w:rPr>
      </w:pPr>
    </w:p>
    <w:p w:rsidR="00A538AD" w:rsidRDefault="00146FBE" w:rsidP="00146FBE">
      <w:pPr>
        <w:widowControl/>
        <w:autoSpaceDE w:val="0"/>
        <w:autoSpaceDN w:val="0"/>
        <w:adjustRightInd w:val="0"/>
        <w:ind w:firstLine="720"/>
        <w:rPr>
          <w:rFonts w:cs="Arial"/>
          <w:spacing w:val="0"/>
          <w:sz w:val="22"/>
          <w:szCs w:val="22"/>
          <w:lang w:val="en-ZA" w:eastAsia="en-ZA"/>
        </w:rPr>
      </w:pPr>
      <w:r w:rsidRPr="00146FBE">
        <w:rPr>
          <w:rFonts w:cs="Arial"/>
          <w:spacing w:val="0"/>
          <w:sz w:val="22"/>
          <w:szCs w:val="22"/>
          <w:lang w:val="en-ZA" w:eastAsia="en-ZA"/>
        </w:rPr>
        <w:t>‘The rationale of the rule</w:t>
      </w:r>
      <w:r>
        <w:rPr>
          <w:rFonts w:cs="Arial"/>
          <w:spacing w:val="0"/>
          <w:sz w:val="22"/>
          <w:szCs w:val="22"/>
          <w:lang w:val="en-ZA" w:eastAsia="en-ZA"/>
        </w:rPr>
        <w:t xml:space="preserve"> [i.e. Rule 32 (11)] </w:t>
      </w:r>
      <w:r w:rsidRPr="00146FBE">
        <w:rPr>
          <w:rFonts w:cs="Arial"/>
          <w:spacing w:val="0"/>
          <w:sz w:val="22"/>
          <w:szCs w:val="22"/>
          <w:lang w:val="en-ZA" w:eastAsia="en-ZA"/>
        </w:rPr>
        <w:t xml:space="preserve">is clear: to discourage a multiplicity of interlocutory motions which often increase costs and hamper the court from speedily getting </w:t>
      </w:r>
      <w:r w:rsidRPr="00146FBE">
        <w:rPr>
          <w:rFonts w:cs="Arial"/>
          <w:spacing w:val="0"/>
          <w:sz w:val="22"/>
          <w:szCs w:val="22"/>
          <w:lang w:val="en-ZA" w:eastAsia="en-ZA"/>
        </w:rPr>
        <w:lastRenderedPageBreak/>
        <w:t xml:space="preserve">to the real disputes in the case. A clear case must be made out if the court is to allow a scale of costs above the upper limit allowed in the rules. </w:t>
      </w:r>
      <w:r w:rsidR="00590F1F">
        <w:rPr>
          <w:rFonts w:cs="Arial"/>
          <w:spacing w:val="0"/>
          <w:sz w:val="22"/>
          <w:szCs w:val="22"/>
          <w:lang w:val="en-ZA" w:eastAsia="en-ZA"/>
        </w:rPr>
        <w:t>..</w:t>
      </w:r>
      <w:r w:rsidRPr="00146FBE">
        <w:rPr>
          <w:rFonts w:cs="Arial"/>
          <w:spacing w:val="0"/>
          <w:sz w:val="22"/>
          <w:szCs w:val="22"/>
          <w:lang w:val="en-ZA" w:eastAsia="en-ZA"/>
        </w:rPr>
        <w:t xml:space="preserve">. The </w:t>
      </w:r>
      <w:r w:rsidRPr="00590F1F">
        <w:rPr>
          <w:rFonts w:cs="Arial"/>
          <w:i/>
          <w:spacing w:val="0"/>
          <w:sz w:val="22"/>
          <w:szCs w:val="22"/>
          <w:lang w:val="en-ZA" w:eastAsia="en-ZA"/>
        </w:rPr>
        <w:t>onus</w:t>
      </w:r>
      <w:r w:rsidRPr="00146FBE">
        <w:rPr>
          <w:rFonts w:cs="Arial"/>
          <w:spacing w:val="0"/>
          <w:sz w:val="22"/>
          <w:szCs w:val="22"/>
          <w:lang w:val="en-ZA" w:eastAsia="en-ZA"/>
        </w:rPr>
        <w:t xml:space="preserve"> rests on the party who seeks a higher scale.</w:t>
      </w:r>
      <w:r w:rsidR="00590F1F">
        <w:rPr>
          <w:rFonts w:cs="Arial"/>
          <w:spacing w:val="0"/>
          <w:sz w:val="22"/>
          <w:szCs w:val="22"/>
          <w:lang w:val="en-ZA" w:eastAsia="en-ZA"/>
        </w:rPr>
        <w:t>’</w:t>
      </w:r>
    </w:p>
    <w:p w:rsidR="00590F1F" w:rsidRDefault="00590F1F" w:rsidP="00590F1F">
      <w:pPr>
        <w:widowControl/>
        <w:autoSpaceDE w:val="0"/>
        <w:autoSpaceDN w:val="0"/>
        <w:adjustRightInd w:val="0"/>
        <w:rPr>
          <w:rFonts w:cs="Arial"/>
          <w:spacing w:val="0"/>
          <w:sz w:val="22"/>
          <w:szCs w:val="22"/>
          <w:lang w:val="en-ZA" w:eastAsia="en-ZA"/>
        </w:rPr>
      </w:pPr>
    </w:p>
    <w:p w:rsidR="007D418D" w:rsidRDefault="007B65D5" w:rsidP="00590F1F">
      <w:pPr>
        <w:widowControl/>
        <w:autoSpaceDE w:val="0"/>
        <w:autoSpaceDN w:val="0"/>
        <w:adjustRightInd w:val="0"/>
        <w:rPr>
          <w:szCs w:val="24"/>
        </w:rPr>
      </w:pPr>
      <w:r>
        <w:rPr>
          <w:rFonts w:cs="Arial"/>
          <w:spacing w:val="0"/>
          <w:szCs w:val="24"/>
          <w:lang w:val="en-ZA" w:eastAsia="en-ZA"/>
        </w:rPr>
        <w:t>[32]</w:t>
      </w:r>
      <w:r>
        <w:rPr>
          <w:rFonts w:cs="Arial"/>
          <w:spacing w:val="0"/>
          <w:szCs w:val="24"/>
          <w:lang w:val="en-ZA" w:eastAsia="en-ZA"/>
        </w:rPr>
        <w:tab/>
      </w:r>
      <w:r w:rsidR="007D418D" w:rsidRPr="007B65D5">
        <w:rPr>
          <w:rFonts w:cs="Arial"/>
          <w:spacing w:val="0"/>
          <w:szCs w:val="24"/>
          <w:lang w:val="en-ZA" w:eastAsia="en-ZA"/>
        </w:rPr>
        <w:t xml:space="preserve">It is thus clear that on the authority of both the </w:t>
      </w:r>
      <w:r w:rsidR="007D418D" w:rsidRPr="007B65D5">
        <w:rPr>
          <w:i/>
          <w:szCs w:val="24"/>
          <w:lang w:val="en-US" w:eastAsia="en-ZA"/>
        </w:rPr>
        <w:t xml:space="preserve">Pinkster </w:t>
      </w:r>
      <w:proofErr w:type="spellStart"/>
      <w:r w:rsidR="007D418D" w:rsidRPr="007B65D5">
        <w:rPr>
          <w:i/>
          <w:szCs w:val="24"/>
          <w:lang w:val="en-US" w:eastAsia="en-ZA"/>
        </w:rPr>
        <w:t>Gemeente</w:t>
      </w:r>
      <w:proofErr w:type="spellEnd"/>
      <w:r w:rsidR="007D418D" w:rsidRPr="007B65D5">
        <w:rPr>
          <w:i/>
          <w:szCs w:val="24"/>
          <w:lang w:val="en-US" w:eastAsia="en-ZA"/>
        </w:rPr>
        <w:t xml:space="preserve"> van Namibia</w:t>
      </w:r>
      <w:r w:rsidRPr="007B65D5">
        <w:rPr>
          <w:i/>
          <w:szCs w:val="24"/>
          <w:lang w:val="en-US" w:eastAsia="en-ZA"/>
        </w:rPr>
        <w:t xml:space="preserve"> </w:t>
      </w:r>
      <w:r w:rsidRPr="007B65D5">
        <w:rPr>
          <w:szCs w:val="24"/>
          <w:lang w:val="en-US" w:eastAsia="en-ZA"/>
        </w:rPr>
        <w:t>and the</w:t>
      </w:r>
      <w:r w:rsidRPr="007B65D5">
        <w:rPr>
          <w:i/>
          <w:szCs w:val="24"/>
          <w:lang w:val="en-US" w:eastAsia="en-ZA"/>
        </w:rPr>
        <w:t xml:space="preserve"> </w:t>
      </w:r>
      <w:r w:rsidRPr="007B65D5">
        <w:rPr>
          <w:rFonts w:cs="Arial"/>
          <w:i/>
          <w:spacing w:val="0"/>
          <w:szCs w:val="24"/>
          <w:lang w:val="en-ZA" w:eastAsia="en-ZA"/>
        </w:rPr>
        <w:t xml:space="preserve">South African Poultry Association </w:t>
      </w:r>
      <w:r w:rsidRPr="007B65D5">
        <w:rPr>
          <w:rFonts w:cs="Arial"/>
          <w:spacing w:val="0"/>
          <w:szCs w:val="24"/>
          <w:lang w:val="en-ZA" w:eastAsia="en-ZA"/>
        </w:rPr>
        <w:t xml:space="preserve">matters the duty </w:t>
      </w:r>
      <w:r w:rsidRPr="007B65D5">
        <w:rPr>
          <w:szCs w:val="24"/>
        </w:rPr>
        <w:t xml:space="preserve">to include in a bill of costs only those costs that </w:t>
      </w:r>
      <w:r w:rsidRPr="007B65D5">
        <w:rPr>
          <w:szCs w:val="24"/>
          <w:u w:val="single"/>
        </w:rPr>
        <w:t>are permissible</w:t>
      </w:r>
      <w:r w:rsidRPr="007B65D5">
        <w:rPr>
          <w:szCs w:val="24"/>
        </w:rPr>
        <w:t xml:space="preserve"> under a court's costs order is borne, in the first instance, by counsel who submits the bill for taxation</w:t>
      </w:r>
      <w:r>
        <w:rPr>
          <w:szCs w:val="24"/>
        </w:rPr>
        <w:t>, in this matter it was the defendant. If the defendant wanted costs on a scale above the limit set in Rule 32(11) the onus was on the defendant to make out case for that want or need.</w:t>
      </w:r>
    </w:p>
    <w:p w:rsidR="007B65D5" w:rsidRPr="007B65D5" w:rsidRDefault="007B65D5" w:rsidP="00590F1F">
      <w:pPr>
        <w:widowControl/>
        <w:autoSpaceDE w:val="0"/>
        <w:autoSpaceDN w:val="0"/>
        <w:adjustRightInd w:val="0"/>
        <w:rPr>
          <w:rFonts w:cs="Arial"/>
          <w:spacing w:val="0"/>
          <w:szCs w:val="24"/>
          <w:lang w:val="en-ZA" w:eastAsia="en-ZA"/>
        </w:rPr>
      </w:pPr>
    </w:p>
    <w:p w:rsidR="00DB26E9" w:rsidRPr="00C83D9D" w:rsidRDefault="00CE2AFF" w:rsidP="00DB26E9">
      <w:pPr>
        <w:widowControl/>
        <w:rPr>
          <w:rFonts w:cs="Arial"/>
          <w:szCs w:val="24"/>
        </w:rPr>
      </w:pPr>
      <w:r>
        <w:rPr>
          <w:rFonts w:cs="Arial"/>
          <w:color w:val="000000"/>
          <w:szCs w:val="24"/>
        </w:rPr>
        <w:t>[3</w:t>
      </w:r>
      <w:r w:rsidR="007B65D5">
        <w:rPr>
          <w:rFonts w:cs="Arial"/>
          <w:color w:val="000000"/>
          <w:szCs w:val="24"/>
        </w:rPr>
        <w:t>3</w:t>
      </w:r>
      <w:r>
        <w:rPr>
          <w:rFonts w:cs="Arial"/>
          <w:color w:val="000000"/>
          <w:szCs w:val="24"/>
        </w:rPr>
        <w:t>]</w:t>
      </w:r>
      <w:r>
        <w:rPr>
          <w:rFonts w:cs="Arial"/>
          <w:color w:val="000000"/>
          <w:szCs w:val="24"/>
        </w:rPr>
        <w:tab/>
      </w:r>
      <w:r w:rsidR="00B13FCA">
        <w:rPr>
          <w:rFonts w:cs="Arial"/>
          <w:color w:val="000000"/>
          <w:szCs w:val="24"/>
        </w:rPr>
        <w:t>Another argument advance</w:t>
      </w:r>
      <w:r w:rsidR="00F9256A">
        <w:rPr>
          <w:rFonts w:cs="Arial"/>
          <w:color w:val="000000"/>
          <w:szCs w:val="24"/>
        </w:rPr>
        <w:t>d</w:t>
      </w:r>
      <w:r w:rsidR="00B13FCA">
        <w:rPr>
          <w:rFonts w:cs="Arial"/>
          <w:color w:val="000000"/>
          <w:szCs w:val="24"/>
        </w:rPr>
        <w:t xml:space="preserve"> by Mr Van Vuuren in opposition to the relief sought by the plaintiff is to the </w:t>
      </w:r>
      <w:r w:rsidR="00DB26E9">
        <w:rPr>
          <w:rFonts w:cs="Arial"/>
          <w:color w:val="000000"/>
          <w:szCs w:val="24"/>
        </w:rPr>
        <w:t xml:space="preserve">effect </w:t>
      </w:r>
      <w:r w:rsidR="00E20BBD">
        <w:rPr>
          <w:rFonts w:cs="Arial"/>
          <w:color w:val="000000"/>
          <w:szCs w:val="24"/>
        </w:rPr>
        <w:t xml:space="preserve">that, </w:t>
      </w:r>
      <w:r w:rsidR="00DB26E9">
        <w:rPr>
          <w:rFonts w:cs="Arial"/>
          <w:color w:val="000000"/>
          <w:szCs w:val="24"/>
        </w:rPr>
        <w:t>since</w:t>
      </w:r>
      <w:r w:rsidR="00DB26E9" w:rsidRPr="00C83D9D">
        <w:rPr>
          <w:rFonts w:cs="Arial"/>
          <w:szCs w:val="24"/>
        </w:rPr>
        <w:t xml:space="preserve"> not one item was objected to or in dispute, </w:t>
      </w:r>
      <w:r w:rsidR="00DB26E9">
        <w:rPr>
          <w:rFonts w:cs="Arial"/>
          <w:szCs w:val="24"/>
        </w:rPr>
        <w:t>at the taxation hearing t</w:t>
      </w:r>
      <w:r w:rsidR="00DB26E9" w:rsidRPr="00C83D9D">
        <w:rPr>
          <w:rFonts w:cs="Arial"/>
          <w:szCs w:val="24"/>
        </w:rPr>
        <w:t>he applicant is bound to the conduct of his matter by his legal representative, including any agreement concluded or failure to object.</w:t>
      </w:r>
      <w:r w:rsidR="00DB26E9">
        <w:rPr>
          <w:rFonts w:cs="Arial"/>
          <w:szCs w:val="24"/>
        </w:rPr>
        <w:t xml:space="preserve"> He cites as authority for that proposition the matter of </w:t>
      </w:r>
      <w:r w:rsidR="00DB26E9" w:rsidRPr="00DB26E9">
        <w:rPr>
          <w:rFonts w:cs="Arial"/>
          <w:i/>
          <w:szCs w:val="24"/>
        </w:rPr>
        <w:t>Kruger v Secretary for Inland Revenue</w:t>
      </w:r>
      <w:r w:rsidR="00DB26E9">
        <w:rPr>
          <w:rStyle w:val="FootnoteReference"/>
          <w:rFonts w:cs="Arial"/>
          <w:i/>
          <w:szCs w:val="24"/>
        </w:rPr>
        <w:footnoteReference w:id="14"/>
      </w:r>
      <w:r w:rsidR="00DB26E9">
        <w:rPr>
          <w:rFonts w:cs="Arial"/>
          <w:szCs w:val="24"/>
        </w:rPr>
        <w:t xml:space="preserve"> where the Court said:</w:t>
      </w:r>
    </w:p>
    <w:p w:rsidR="00F9256A" w:rsidRDefault="00F9256A" w:rsidP="00DB26E9">
      <w:pPr>
        <w:pStyle w:val="Heading1"/>
        <w:numPr>
          <w:ilvl w:val="0"/>
          <w:numId w:val="0"/>
        </w:numPr>
        <w:ind w:firstLine="720"/>
        <w:rPr>
          <w:rFonts w:cs="Arial"/>
          <w:color w:val="000000"/>
          <w:sz w:val="22"/>
          <w:szCs w:val="22"/>
        </w:rPr>
      </w:pPr>
    </w:p>
    <w:p w:rsidR="00DB26E9" w:rsidRPr="00DB26E9" w:rsidRDefault="00DB26E9" w:rsidP="00DB26E9">
      <w:pPr>
        <w:pStyle w:val="Heading1"/>
        <w:numPr>
          <w:ilvl w:val="0"/>
          <w:numId w:val="0"/>
        </w:numPr>
        <w:ind w:firstLine="720"/>
        <w:rPr>
          <w:rFonts w:cs="Arial"/>
          <w:color w:val="000000"/>
          <w:sz w:val="22"/>
          <w:szCs w:val="22"/>
        </w:rPr>
      </w:pPr>
      <w:r w:rsidRPr="00DB26E9">
        <w:rPr>
          <w:rFonts w:cs="Arial"/>
          <w:color w:val="000000"/>
          <w:sz w:val="22"/>
          <w:szCs w:val="22"/>
        </w:rPr>
        <w:t>‘I do not deal with the belated objection to item 16, since no objection was made to the Taxing Master's allowance of this at the time of taxation. It is accordingly not subject to review. (Rule 48 (1)).’</w:t>
      </w:r>
    </w:p>
    <w:p w:rsidR="00DB26E9" w:rsidRDefault="00DB26E9" w:rsidP="00DB26E9">
      <w:pPr>
        <w:ind w:firstLine="720"/>
      </w:pPr>
    </w:p>
    <w:p w:rsidR="00DB26E9" w:rsidRDefault="00295956" w:rsidP="00DB26E9">
      <w:r>
        <w:t>[3</w:t>
      </w:r>
      <w:r w:rsidR="007B65D5">
        <w:t>4</w:t>
      </w:r>
      <w:r>
        <w:t>]</w:t>
      </w:r>
      <w:r>
        <w:tab/>
        <w:t xml:space="preserve">My reading of the case of </w:t>
      </w:r>
      <w:r w:rsidRPr="00AC5DA4">
        <w:rPr>
          <w:i/>
        </w:rPr>
        <w:t>Kruger</w:t>
      </w:r>
      <w:r w:rsidR="00AC5DA4">
        <w:rPr>
          <w:rStyle w:val="FootnoteReference"/>
          <w:i/>
        </w:rPr>
        <w:footnoteReference w:id="15"/>
      </w:r>
      <w:r>
        <w:t xml:space="preserve"> is that the Court there dealt with a matter where part of the Taxing Master’s decision was being reviewed under Rule 48 </w:t>
      </w:r>
      <w:r w:rsidR="007B65D5">
        <w:t xml:space="preserve">(1) </w:t>
      </w:r>
      <w:r>
        <w:t>of the South African Rules of Court. The equivalent of Rule 48 (1) in our current Rules of the High Court is Rule 75(1) which provide as follows:</w:t>
      </w:r>
    </w:p>
    <w:p w:rsidR="00295956" w:rsidRDefault="00295956" w:rsidP="00DB26E9"/>
    <w:p w:rsidR="00295956" w:rsidRPr="00295956" w:rsidRDefault="00AC5DA4" w:rsidP="00AC5DA4">
      <w:pPr>
        <w:widowControl/>
        <w:tabs>
          <w:tab w:val="left" w:pos="1260"/>
          <w:tab w:val="left" w:pos="1800"/>
        </w:tabs>
        <w:autoSpaceDE w:val="0"/>
        <w:autoSpaceDN w:val="0"/>
        <w:adjustRightInd w:val="0"/>
        <w:ind w:firstLine="720"/>
        <w:rPr>
          <w:rFonts w:cs="Arial"/>
        </w:rPr>
      </w:pPr>
      <w:r>
        <w:rPr>
          <w:rFonts w:cs="Arial"/>
          <w:b/>
          <w:bCs/>
          <w:spacing w:val="0"/>
          <w:sz w:val="22"/>
          <w:szCs w:val="22"/>
          <w:lang w:val="en-US" w:eastAsia="en-ZA"/>
        </w:rPr>
        <w:t>‘</w:t>
      </w:r>
      <w:r w:rsidR="00295956" w:rsidRPr="00295956">
        <w:rPr>
          <w:rFonts w:cs="Arial"/>
          <w:b/>
          <w:bCs/>
          <w:spacing w:val="0"/>
          <w:sz w:val="22"/>
          <w:szCs w:val="22"/>
          <w:lang w:val="en-US" w:eastAsia="en-ZA"/>
        </w:rPr>
        <w:t>75.</w:t>
      </w:r>
      <w:r>
        <w:rPr>
          <w:rFonts w:cs="Arial"/>
          <w:b/>
          <w:bCs/>
          <w:spacing w:val="0"/>
          <w:sz w:val="22"/>
          <w:szCs w:val="22"/>
          <w:lang w:val="en-US" w:eastAsia="en-ZA"/>
        </w:rPr>
        <w:tab/>
      </w:r>
      <w:r w:rsidR="00295956" w:rsidRPr="00295956">
        <w:rPr>
          <w:rFonts w:cs="Arial"/>
          <w:spacing w:val="0"/>
          <w:sz w:val="22"/>
          <w:szCs w:val="22"/>
          <w:lang w:val="en-US" w:eastAsia="en-ZA"/>
        </w:rPr>
        <w:t>(1)</w:t>
      </w:r>
      <w:r>
        <w:rPr>
          <w:rFonts w:cs="Arial"/>
          <w:spacing w:val="0"/>
          <w:sz w:val="22"/>
          <w:szCs w:val="22"/>
          <w:lang w:val="en-US" w:eastAsia="en-ZA"/>
        </w:rPr>
        <w:tab/>
      </w:r>
      <w:r w:rsidR="00295956" w:rsidRPr="00295956">
        <w:rPr>
          <w:rFonts w:cs="Arial"/>
          <w:spacing w:val="0"/>
          <w:sz w:val="22"/>
          <w:szCs w:val="22"/>
          <w:lang w:val="en-US" w:eastAsia="en-ZA"/>
        </w:rPr>
        <w:t>A party dissatisfied with the ruling of the taxing officer as to any item or part of</w:t>
      </w:r>
      <w:r>
        <w:rPr>
          <w:rFonts w:cs="Arial"/>
          <w:spacing w:val="0"/>
          <w:sz w:val="22"/>
          <w:szCs w:val="22"/>
          <w:lang w:val="en-US" w:eastAsia="en-ZA"/>
        </w:rPr>
        <w:t xml:space="preserve"> </w:t>
      </w:r>
      <w:r w:rsidR="00295956" w:rsidRPr="00295956">
        <w:rPr>
          <w:rFonts w:cs="Arial"/>
          <w:spacing w:val="0"/>
          <w:sz w:val="22"/>
          <w:szCs w:val="22"/>
          <w:lang w:val="en-US" w:eastAsia="en-ZA"/>
        </w:rPr>
        <w:t xml:space="preserve">an item which was objected to or disallowed </w:t>
      </w:r>
      <w:proofErr w:type="spellStart"/>
      <w:r w:rsidR="00295956" w:rsidRPr="00295956">
        <w:rPr>
          <w:rFonts w:cs="Arial"/>
          <w:i/>
          <w:iCs/>
          <w:spacing w:val="0"/>
          <w:sz w:val="22"/>
          <w:szCs w:val="22"/>
          <w:lang w:val="en-US" w:eastAsia="en-ZA"/>
        </w:rPr>
        <w:t>mero</w:t>
      </w:r>
      <w:proofErr w:type="spellEnd"/>
      <w:r w:rsidR="00295956" w:rsidRPr="00295956">
        <w:rPr>
          <w:rFonts w:cs="Arial"/>
          <w:i/>
          <w:iCs/>
          <w:spacing w:val="0"/>
          <w:sz w:val="22"/>
          <w:szCs w:val="22"/>
          <w:lang w:val="en-US" w:eastAsia="en-ZA"/>
        </w:rPr>
        <w:t xml:space="preserve"> </w:t>
      </w:r>
      <w:proofErr w:type="spellStart"/>
      <w:r w:rsidR="00295956" w:rsidRPr="00295956">
        <w:rPr>
          <w:rFonts w:cs="Arial"/>
          <w:i/>
          <w:iCs/>
          <w:spacing w:val="0"/>
          <w:sz w:val="22"/>
          <w:szCs w:val="22"/>
          <w:lang w:val="en-US" w:eastAsia="en-ZA"/>
        </w:rPr>
        <w:t>motu</w:t>
      </w:r>
      <w:proofErr w:type="spellEnd"/>
      <w:r w:rsidR="00295956" w:rsidRPr="00295956">
        <w:rPr>
          <w:rFonts w:cs="Arial"/>
          <w:i/>
          <w:iCs/>
          <w:spacing w:val="0"/>
          <w:sz w:val="22"/>
          <w:szCs w:val="22"/>
          <w:lang w:val="en-US" w:eastAsia="en-ZA"/>
        </w:rPr>
        <w:t xml:space="preserve"> </w:t>
      </w:r>
      <w:r w:rsidR="00295956" w:rsidRPr="00295956">
        <w:rPr>
          <w:rFonts w:cs="Arial"/>
          <w:spacing w:val="0"/>
          <w:sz w:val="22"/>
          <w:szCs w:val="22"/>
          <w:lang w:val="en-US" w:eastAsia="en-ZA"/>
        </w:rPr>
        <w:t>by the taxing officer may, within 15 days after</w:t>
      </w:r>
      <w:r>
        <w:rPr>
          <w:rFonts w:cs="Arial"/>
          <w:spacing w:val="0"/>
          <w:sz w:val="22"/>
          <w:szCs w:val="22"/>
          <w:lang w:val="en-US" w:eastAsia="en-ZA"/>
        </w:rPr>
        <w:t xml:space="preserve"> </w:t>
      </w:r>
      <w:r w:rsidR="00295956" w:rsidRPr="00295956">
        <w:rPr>
          <w:rFonts w:cs="Arial"/>
          <w:spacing w:val="0"/>
          <w:sz w:val="22"/>
          <w:szCs w:val="22"/>
          <w:lang w:val="en-US" w:eastAsia="en-ZA"/>
        </w:rPr>
        <w:t xml:space="preserve">the </w:t>
      </w:r>
      <w:proofErr w:type="spellStart"/>
      <w:r w:rsidR="00295956" w:rsidRPr="00295956">
        <w:rPr>
          <w:rFonts w:cs="Arial"/>
          <w:i/>
          <w:iCs/>
          <w:spacing w:val="0"/>
          <w:sz w:val="22"/>
          <w:szCs w:val="22"/>
          <w:lang w:val="en-US" w:eastAsia="en-ZA"/>
        </w:rPr>
        <w:t>allocatur</w:t>
      </w:r>
      <w:proofErr w:type="spellEnd"/>
      <w:r w:rsidR="00295956" w:rsidRPr="00295956">
        <w:rPr>
          <w:rFonts w:cs="Arial"/>
          <w:i/>
          <w:iCs/>
          <w:spacing w:val="0"/>
          <w:sz w:val="22"/>
          <w:szCs w:val="22"/>
          <w:lang w:val="en-US" w:eastAsia="en-ZA"/>
        </w:rPr>
        <w:t xml:space="preserve"> </w:t>
      </w:r>
      <w:r w:rsidR="00295956" w:rsidRPr="00295956">
        <w:rPr>
          <w:rFonts w:cs="Arial"/>
          <w:spacing w:val="0"/>
          <w:sz w:val="22"/>
          <w:szCs w:val="22"/>
          <w:lang w:val="en-US" w:eastAsia="en-ZA"/>
        </w:rPr>
        <w:t>is issued, require the taxing officer to state a case for the decision of a judge.</w:t>
      </w:r>
      <w:r w:rsidR="00F9256A">
        <w:rPr>
          <w:rFonts w:cs="Arial"/>
          <w:spacing w:val="0"/>
          <w:sz w:val="22"/>
          <w:szCs w:val="22"/>
          <w:lang w:val="en-US" w:eastAsia="en-ZA"/>
        </w:rPr>
        <w:t>’</w:t>
      </w:r>
    </w:p>
    <w:p w:rsidR="00295956" w:rsidRDefault="00295956" w:rsidP="00DB26E9"/>
    <w:p w:rsidR="00AC5DA4" w:rsidRPr="007B65D5" w:rsidRDefault="00AC5DA4" w:rsidP="0018421A">
      <w:pPr>
        <w:pStyle w:val="Heading1"/>
        <w:numPr>
          <w:ilvl w:val="0"/>
          <w:numId w:val="0"/>
        </w:numPr>
        <w:rPr>
          <w:color w:val="000000"/>
          <w:szCs w:val="24"/>
        </w:rPr>
      </w:pPr>
      <w:r w:rsidRPr="007B65D5">
        <w:rPr>
          <w:szCs w:val="24"/>
        </w:rPr>
        <w:lastRenderedPageBreak/>
        <w:t>[3</w:t>
      </w:r>
      <w:r w:rsidR="007B65D5" w:rsidRPr="007B65D5">
        <w:rPr>
          <w:szCs w:val="24"/>
        </w:rPr>
        <w:t>5</w:t>
      </w:r>
      <w:r w:rsidRPr="007B65D5">
        <w:rPr>
          <w:szCs w:val="24"/>
        </w:rPr>
        <w:t>]</w:t>
      </w:r>
      <w:r w:rsidRPr="007B65D5">
        <w:rPr>
          <w:szCs w:val="24"/>
        </w:rPr>
        <w:tab/>
        <w:t xml:space="preserve">The plaintiff instituted this review application not in terms of Rule 75 (1) that is that he was </w:t>
      </w:r>
      <w:r w:rsidRPr="007B65D5">
        <w:rPr>
          <w:rFonts w:cs="Arial"/>
          <w:spacing w:val="0"/>
          <w:szCs w:val="24"/>
          <w:lang w:val="en-US" w:eastAsia="en-ZA"/>
        </w:rPr>
        <w:t xml:space="preserve">dissatisfied with the ruling of the taxing Master as to an item or part of an item to which </w:t>
      </w:r>
      <w:r w:rsidR="00F9256A">
        <w:rPr>
          <w:rFonts w:cs="Arial"/>
          <w:spacing w:val="0"/>
          <w:szCs w:val="24"/>
          <w:lang w:val="en-US" w:eastAsia="en-ZA"/>
        </w:rPr>
        <w:t xml:space="preserve">he </w:t>
      </w:r>
      <w:r w:rsidRPr="007B65D5">
        <w:rPr>
          <w:rFonts w:cs="Arial"/>
          <w:spacing w:val="0"/>
          <w:szCs w:val="24"/>
          <w:lang w:val="en-US" w:eastAsia="en-ZA"/>
        </w:rPr>
        <w:t>objected or which was disallowed</w:t>
      </w:r>
      <w:r w:rsidR="0018421A" w:rsidRPr="007B65D5">
        <w:rPr>
          <w:rFonts w:cs="Arial"/>
          <w:spacing w:val="0"/>
          <w:szCs w:val="24"/>
          <w:lang w:val="en-US" w:eastAsia="en-ZA"/>
        </w:rPr>
        <w:t xml:space="preserve"> by the Taxing Master.</w:t>
      </w:r>
      <w:r w:rsidRPr="007B65D5">
        <w:rPr>
          <w:color w:val="000000"/>
          <w:szCs w:val="24"/>
        </w:rPr>
        <w:t xml:space="preserve"> In this </w:t>
      </w:r>
      <w:r w:rsidR="00F9256A">
        <w:rPr>
          <w:color w:val="000000"/>
          <w:szCs w:val="24"/>
        </w:rPr>
        <w:t xml:space="preserve">matter, the applicant </w:t>
      </w:r>
      <w:r w:rsidR="00F9256A" w:rsidRPr="00E20BBD">
        <w:rPr>
          <w:color w:val="000000" w:themeColor="text1"/>
          <w:szCs w:val="24"/>
        </w:rPr>
        <w:t>has</w:t>
      </w:r>
      <w:r w:rsidRPr="00E20BBD">
        <w:rPr>
          <w:color w:val="000000" w:themeColor="text1"/>
          <w:szCs w:val="24"/>
        </w:rPr>
        <w:t xml:space="preserve"> </w:t>
      </w:r>
      <w:r w:rsidR="007B65D5">
        <w:rPr>
          <w:color w:val="000000"/>
          <w:szCs w:val="24"/>
        </w:rPr>
        <w:t xml:space="preserve">approached </w:t>
      </w:r>
      <w:r w:rsidRPr="007B65D5">
        <w:rPr>
          <w:color w:val="000000"/>
          <w:szCs w:val="24"/>
        </w:rPr>
        <w:t>court by way of a review in terms of Rule 76</w:t>
      </w:r>
      <w:r w:rsidR="0018421A" w:rsidRPr="007B65D5">
        <w:rPr>
          <w:color w:val="000000"/>
          <w:szCs w:val="24"/>
        </w:rPr>
        <w:t>.</w:t>
      </w:r>
      <w:r w:rsidRPr="007B65D5">
        <w:rPr>
          <w:color w:val="000000"/>
          <w:szCs w:val="24"/>
        </w:rPr>
        <w:t xml:space="preserve"> The attack in this matter relate to the whole </w:t>
      </w:r>
      <w:proofErr w:type="spellStart"/>
      <w:r w:rsidR="0018421A" w:rsidRPr="007B65D5">
        <w:rPr>
          <w:rFonts w:cs="Arial"/>
          <w:i/>
          <w:iCs/>
          <w:spacing w:val="0"/>
          <w:szCs w:val="24"/>
          <w:lang w:val="en-US" w:eastAsia="en-ZA"/>
        </w:rPr>
        <w:t>allocatur</w:t>
      </w:r>
      <w:proofErr w:type="spellEnd"/>
      <w:r w:rsidRPr="007B65D5">
        <w:rPr>
          <w:color w:val="000000"/>
          <w:szCs w:val="24"/>
        </w:rPr>
        <w:t xml:space="preserve"> on the basis that </w:t>
      </w:r>
      <w:r w:rsidR="0018421A" w:rsidRPr="007B65D5">
        <w:rPr>
          <w:color w:val="000000"/>
          <w:szCs w:val="24"/>
        </w:rPr>
        <w:t xml:space="preserve">it is </w:t>
      </w:r>
      <w:proofErr w:type="spellStart"/>
      <w:r w:rsidR="0018421A" w:rsidRPr="007B65D5">
        <w:rPr>
          <w:i/>
          <w:color w:val="000000"/>
          <w:szCs w:val="24"/>
        </w:rPr>
        <w:t>ultra virus</w:t>
      </w:r>
      <w:proofErr w:type="spellEnd"/>
      <w:r w:rsidR="0018421A" w:rsidRPr="007B65D5">
        <w:rPr>
          <w:color w:val="000000"/>
          <w:szCs w:val="24"/>
        </w:rPr>
        <w:t xml:space="preserve"> </w:t>
      </w:r>
      <w:r w:rsidR="00964E13">
        <w:rPr>
          <w:color w:val="000000"/>
          <w:szCs w:val="24"/>
        </w:rPr>
        <w:t xml:space="preserve">Rule 32(11). I </w:t>
      </w:r>
      <w:r w:rsidR="0018421A" w:rsidRPr="007B65D5">
        <w:rPr>
          <w:color w:val="000000"/>
          <w:szCs w:val="24"/>
        </w:rPr>
        <w:t xml:space="preserve">am therefore of the view that the </w:t>
      </w:r>
      <w:r w:rsidR="0018421A" w:rsidRPr="007B65D5">
        <w:rPr>
          <w:i/>
          <w:color w:val="000000"/>
          <w:szCs w:val="24"/>
        </w:rPr>
        <w:t xml:space="preserve">Kruger </w:t>
      </w:r>
      <w:r w:rsidR="007B65D5" w:rsidRPr="007B65D5">
        <w:rPr>
          <w:color w:val="000000"/>
          <w:szCs w:val="24"/>
        </w:rPr>
        <w:t>and the</w:t>
      </w:r>
      <w:r w:rsidR="007B65D5">
        <w:rPr>
          <w:color w:val="000000"/>
          <w:szCs w:val="24"/>
        </w:rPr>
        <w:t xml:space="preserve"> </w:t>
      </w:r>
      <w:proofErr w:type="spellStart"/>
      <w:r w:rsidR="007B65D5" w:rsidRPr="007B65D5">
        <w:rPr>
          <w:i/>
          <w:color w:val="000000"/>
          <w:szCs w:val="24"/>
        </w:rPr>
        <w:t>Witvlei</w:t>
      </w:r>
      <w:proofErr w:type="spellEnd"/>
      <w:r w:rsidR="007B65D5" w:rsidRPr="007B65D5">
        <w:rPr>
          <w:i/>
          <w:color w:val="000000"/>
          <w:szCs w:val="24"/>
        </w:rPr>
        <w:t xml:space="preserve"> Meat (Pty) Ltd v Agricultural Bank of Namibia</w:t>
      </w:r>
      <w:r w:rsidR="007B65D5">
        <w:rPr>
          <w:rStyle w:val="FootnoteReference"/>
          <w:i/>
          <w:color w:val="000000"/>
          <w:szCs w:val="24"/>
        </w:rPr>
        <w:footnoteReference w:id="16"/>
      </w:r>
      <w:r w:rsidR="007B65D5" w:rsidRPr="007B65D5">
        <w:rPr>
          <w:color w:val="000000"/>
          <w:szCs w:val="24"/>
        </w:rPr>
        <w:t xml:space="preserve"> </w:t>
      </w:r>
      <w:r w:rsidR="0018421A" w:rsidRPr="007B65D5">
        <w:rPr>
          <w:color w:val="000000"/>
          <w:szCs w:val="24"/>
        </w:rPr>
        <w:t>matter</w:t>
      </w:r>
      <w:r w:rsidR="007B65D5">
        <w:rPr>
          <w:color w:val="000000"/>
          <w:szCs w:val="24"/>
        </w:rPr>
        <w:t>s</w:t>
      </w:r>
      <w:r w:rsidR="0018421A" w:rsidRPr="007B65D5">
        <w:rPr>
          <w:color w:val="000000"/>
          <w:szCs w:val="24"/>
        </w:rPr>
        <w:t xml:space="preserve"> </w:t>
      </w:r>
      <w:r w:rsidR="007B65D5">
        <w:rPr>
          <w:color w:val="000000"/>
          <w:szCs w:val="24"/>
        </w:rPr>
        <w:t>are</w:t>
      </w:r>
      <w:r w:rsidR="0018421A" w:rsidRPr="007B65D5">
        <w:rPr>
          <w:color w:val="000000"/>
          <w:szCs w:val="24"/>
        </w:rPr>
        <w:t xml:space="preserve"> not applicable.</w:t>
      </w:r>
    </w:p>
    <w:p w:rsidR="0018421A" w:rsidRDefault="0018421A" w:rsidP="0018421A">
      <w:pPr>
        <w:pStyle w:val="Heading1"/>
        <w:numPr>
          <w:ilvl w:val="0"/>
          <w:numId w:val="0"/>
        </w:numPr>
        <w:rPr>
          <w:rFonts w:cs="Arial"/>
          <w:color w:val="000000"/>
          <w:szCs w:val="24"/>
        </w:rPr>
      </w:pPr>
    </w:p>
    <w:p w:rsidR="00B13FCA" w:rsidRPr="00B13FCA" w:rsidRDefault="0018421A" w:rsidP="00B36A1C">
      <w:pPr>
        <w:pStyle w:val="Heading1"/>
        <w:numPr>
          <w:ilvl w:val="0"/>
          <w:numId w:val="0"/>
        </w:numPr>
        <w:rPr>
          <w:rFonts w:cs="Arial"/>
          <w:color w:val="000000"/>
          <w:szCs w:val="24"/>
        </w:rPr>
      </w:pPr>
      <w:r>
        <w:rPr>
          <w:rFonts w:cs="Arial"/>
          <w:color w:val="000000"/>
          <w:szCs w:val="24"/>
        </w:rPr>
        <w:t>[3</w:t>
      </w:r>
      <w:r w:rsidR="007B65D5">
        <w:rPr>
          <w:rFonts w:cs="Arial"/>
          <w:color w:val="000000"/>
          <w:szCs w:val="24"/>
        </w:rPr>
        <w:t>6</w:t>
      </w:r>
      <w:r>
        <w:rPr>
          <w:rFonts w:cs="Arial"/>
          <w:color w:val="000000"/>
          <w:szCs w:val="24"/>
        </w:rPr>
        <w:t>]</w:t>
      </w:r>
      <w:r>
        <w:rPr>
          <w:rFonts w:cs="Arial"/>
          <w:color w:val="000000"/>
          <w:szCs w:val="24"/>
        </w:rPr>
        <w:tab/>
        <w:t xml:space="preserve">I have indicated above that in the exercise of its supervisory functions a </w:t>
      </w:r>
      <w:r w:rsidR="00B13FCA" w:rsidRPr="00B13FCA">
        <w:rPr>
          <w:rFonts w:cs="Arial"/>
          <w:color w:val="000000"/>
          <w:szCs w:val="24"/>
        </w:rPr>
        <w:t xml:space="preserve">Court has limited power to interfere with the Taxing Master's decision. It will only do so on limited grounds and where </w:t>
      </w:r>
      <w:r w:rsidR="00FC441A">
        <w:rPr>
          <w:rFonts w:cs="Arial"/>
          <w:color w:val="000000"/>
          <w:szCs w:val="24"/>
        </w:rPr>
        <w:t xml:space="preserve">it can be shown that the </w:t>
      </w:r>
      <w:r w:rsidR="00FC441A" w:rsidRPr="00B13FCA">
        <w:rPr>
          <w:rFonts w:cs="Arial"/>
          <w:color w:val="000000"/>
          <w:szCs w:val="24"/>
        </w:rPr>
        <w:t>Taxing Master</w:t>
      </w:r>
      <w:r w:rsidR="00B13FCA" w:rsidRPr="00B13FCA">
        <w:rPr>
          <w:rFonts w:cs="Arial"/>
          <w:color w:val="000000"/>
          <w:szCs w:val="24"/>
        </w:rPr>
        <w:t xml:space="preserve"> has improperly exercised that di</w:t>
      </w:r>
      <w:r w:rsidR="00B36A1C">
        <w:rPr>
          <w:rFonts w:cs="Arial"/>
          <w:color w:val="000000"/>
          <w:szCs w:val="24"/>
        </w:rPr>
        <w:t xml:space="preserve">scretion, or not exercised it </w:t>
      </w:r>
      <w:r w:rsidR="00B13FCA" w:rsidRPr="00B13FCA">
        <w:rPr>
          <w:rFonts w:cs="Arial"/>
          <w:color w:val="000000"/>
          <w:szCs w:val="24"/>
        </w:rPr>
        <w:t>at all</w:t>
      </w:r>
      <w:r w:rsidR="00A13484">
        <w:rPr>
          <w:rFonts w:cs="Arial"/>
          <w:color w:val="000000"/>
          <w:szCs w:val="24"/>
        </w:rPr>
        <w:t>.</w:t>
      </w:r>
      <w:r w:rsidR="00B36A1C">
        <w:rPr>
          <w:rStyle w:val="FootnoteReference"/>
          <w:rFonts w:cs="Arial"/>
          <w:color w:val="000000"/>
          <w:szCs w:val="24"/>
        </w:rPr>
        <w:footnoteReference w:id="17"/>
      </w:r>
      <w:r w:rsidR="00A13484">
        <w:rPr>
          <w:rFonts w:cs="Arial"/>
          <w:color w:val="000000"/>
          <w:szCs w:val="24"/>
        </w:rPr>
        <w:t xml:space="preserve"> </w:t>
      </w:r>
      <w:r w:rsidR="00B13FCA" w:rsidRPr="00B13FCA">
        <w:rPr>
          <w:rFonts w:cs="Arial"/>
          <w:color w:val="000000"/>
          <w:szCs w:val="24"/>
        </w:rPr>
        <w:t xml:space="preserve"> An example of such a ground would be a case where </w:t>
      </w:r>
      <w:r w:rsidR="00FC441A">
        <w:rPr>
          <w:rFonts w:cs="Arial"/>
          <w:color w:val="000000"/>
          <w:szCs w:val="24"/>
        </w:rPr>
        <w:t xml:space="preserve">the </w:t>
      </w:r>
      <w:r w:rsidR="00FC441A" w:rsidRPr="00B13FCA">
        <w:rPr>
          <w:rFonts w:cs="Arial"/>
          <w:color w:val="000000"/>
          <w:szCs w:val="24"/>
        </w:rPr>
        <w:t>Taxing Master</w:t>
      </w:r>
      <w:r w:rsidR="00B13FCA" w:rsidRPr="00B13FCA">
        <w:rPr>
          <w:rFonts w:cs="Arial"/>
          <w:color w:val="000000"/>
          <w:szCs w:val="24"/>
        </w:rPr>
        <w:t xml:space="preserve"> has had regard to factors to which he ought not to have had regard, or where he has failed to consider matters which he should properly have taken into consideration. </w:t>
      </w:r>
    </w:p>
    <w:p w:rsidR="005D7868" w:rsidRDefault="005D7868" w:rsidP="00CE2AFF">
      <w:pPr>
        <w:pStyle w:val="Heading1"/>
        <w:numPr>
          <w:ilvl w:val="0"/>
          <w:numId w:val="0"/>
        </w:numPr>
        <w:rPr>
          <w:rFonts w:cs="Arial"/>
          <w:color w:val="000000"/>
          <w:szCs w:val="24"/>
        </w:rPr>
      </w:pPr>
    </w:p>
    <w:p w:rsidR="00FC441A" w:rsidRDefault="005D7868" w:rsidP="00FC441A">
      <w:pPr>
        <w:pStyle w:val="Heading1"/>
        <w:numPr>
          <w:ilvl w:val="0"/>
          <w:numId w:val="0"/>
        </w:numPr>
        <w:rPr>
          <w:rFonts w:cs="Arial"/>
          <w:color w:val="000000"/>
          <w:szCs w:val="24"/>
        </w:rPr>
      </w:pPr>
      <w:r>
        <w:rPr>
          <w:rFonts w:cs="Arial"/>
          <w:color w:val="000000"/>
          <w:szCs w:val="24"/>
        </w:rPr>
        <w:t>[3</w:t>
      </w:r>
      <w:r w:rsidR="00FC441A">
        <w:rPr>
          <w:rFonts w:cs="Arial"/>
          <w:color w:val="000000"/>
          <w:szCs w:val="24"/>
        </w:rPr>
        <w:t>7</w:t>
      </w:r>
      <w:r>
        <w:rPr>
          <w:rFonts w:cs="Arial"/>
          <w:color w:val="000000"/>
          <w:szCs w:val="24"/>
        </w:rPr>
        <w:t>]</w:t>
      </w:r>
      <w:r>
        <w:rPr>
          <w:rFonts w:cs="Arial"/>
          <w:color w:val="000000"/>
          <w:szCs w:val="24"/>
        </w:rPr>
        <w:tab/>
      </w:r>
      <w:r w:rsidR="00661B77">
        <w:rPr>
          <w:rFonts w:cs="Arial"/>
          <w:color w:val="000000"/>
          <w:szCs w:val="24"/>
        </w:rPr>
        <w:t xml:space="preserve">I have indicated in this judgment that the main basis on which the plaintiff impugns the </w:t>
      </w:r>
      <w:proofErr w:type="spellStart"/>
      <w:r w:rsidR="00661B77" w:rsidRPr="00661B77">
        <w:rPr>
          <w:rFonts w:cs="Arial"/>
          <w:i/>
          <w:color w:val="000000"/>
          <w:szCs w:val="24"/>
        </w:rPr>
        <w:t>allocatur</w:t>
      </w:r>
      <w:proofErr w:type="spellEnd"/>
      <w:r w:rsidR="00661B77">
        <w:rPr>
          <w:rFonts w:cs="Arial"/>
          <w:color w:val="000000"/>
          <w:szCs w:val="24"/>
        </w:rPr>
        <w:t xml:space="preserve"> is the fact that it exceeds the amount limited by Rule 32</w:t>
      </w:r>
      <w:r w:rsidR="007C5AD7">
        <w:rPr>
          <w:rFonts w:cs="Arial"/>
          <w:color w:val="000000"/>
          <w:szCs w:val="24"/>
        </w:rPr>
        <w:t xml:space="preserve"> </w:t>
      </w:r>
      <w:r w:rsidR="00661B77">
        <w:rPr>
          <w:rFonts w:cs="Arial"/>
          <w:color w:val="000000"/>
          <w:szCs w:val="24"/>
        </w:rPr>
        <w:t xml:space="preserve">(11). </w:t>
      </w:r>
      <w:r w:rsidRPr="005D7868">
        <w:rPr>
          <w:rFonts w:cs="Arial"/>
          <w:color w:val="000000"/>
          <w:szCs w:val="24"/>
        </w:rPr>
        <w:t xml:space="preserve">In the present instance I can find no indication whatsoever </w:t>
      </w:r>
      <w:r>
        <w:rPr>
          <w:rFonts w:cs="Arial"/>
          <w:color w:val="000000"/>
          <w:szCs w:val="24"/>
        </w:rPr>
        <w:t>o</w:t>
      </w:r>
      <w:r w:rsidRPr="005D7868">
        <w:rPr>
          <w:rFonts w:cs="Arial"/>
          <w:color w:val="000000"/>
          <w:szCs w:val="24"/>
        </w:rPr>
        <w:t xml:space="preserve">n the </w:t>
      </w:r>
      <w:r>
        <w:rPr>
          <w:rFonts w:cs="Arial"/>
          <w:color w:val="000000"/>
          <w:szCs w:val="24"/>
        </w:rPr>
        <w:t xml:space="preserve">evidence that was placed before me that the </w:t>
      </w:r>
      <w:r w:rsidRPr="005D7868">
        <w:rPr>
          <w:rFonts w:cs="Arial"/>
          <w:color w:val="000000"/>
          <w:szCs w:val="24"/>
        </w:rPr>
        <w:t xml:space="preserve">Taxing Master gave any consideration at all to </w:t>
      </w:r>
      <w:r>
        <w:rPr>
          <w:rFonts w:cs="Arial"/>
          <w:color w:val="000000"/>
          <w:szCs w:val="24"/>
        </w:rPr>
        <w:t>the provisions of Rule 32(11)</w:t>
      </w:r>
      <w:r w:rsidRPr="005D7868">
        <w:rPr>
          <w:rFonts w:cs="Arial"/>
          <w:color w:val="000000"/>
          <w:szCs w:val="24"/>
        </w:rPr>
        <w:t xml:space="preserve">. Indeed, as I have already indicated, the </w:t>
      </w:r>
      <w:r>
        <w:rPr>
          <w:rFonts w:cs="Arial"/>
          <w:color w:val="000000"/>
          <w:szCs w:val="24"/>
        </w:rPr>
        <w:t>Taxing</w:t>
      </w:r>
      <w:r w:rsidRPr="005D7868">
        <w:rPr>
          <w:rFonts w:cs="Arial"/>
          <w:color w:val="000000"/>
          <w:szCs w:val="24"/>
        </w:rPr>
        <w:t xml:space="preserve"> Master </w:t>
      </w:r>
      <w:r>
        <w:rPr>
          <w:rFonts w:cs="Arial"/>
          <w:color w:val="000000"/>
          <w:szCs w:val="24"/>
        </w:rPr>
        <w:t>simpl</w:t>
      </w:r>
      <w:r w:rsidR="007C5AD7">
        <w:rPr>
          <w:rFonts w:cs="Arial"/>
          <w:color w:val="000000"/>
          <w:szCs w:val="24"/>
        </w:rPr>
        <w:t>y</w:t>
      </w:r>
      <w:r>
        <w:rPr>
          <w:rFonts w:cs="Arial"/>
          <w:color w:val="000000"/>
          <w:szCs w:val="24"/>
        </w:rPr>
        <w:t xml:space="preserve"> acted on the dictates of Ms </w:t>
      </w:r>
      <w:proofErr w:type="spellStart"/>
      <w:r>
        <w:rPr>
          <w:rFonts w:cs="Arial"/>
          <w:color w:val="000000"/>
          <w:szCs w:val="24"/>
        </w:rPr>
        <w:t>Lubbe</w:t>
      </w:r>
      <w:proofErr w:type="spellEnd"/>
      <w:r>
        <w:rPr>
          <w:rFonts w:cs="Arial"/>
          <w:color w:val="000000"/>
          <w:szCs w:val="24"/>
        </w:rPr>
        <w:t xml:space="preserve"> and Ms </w:t>
      </w:r>
      <w:proofErr w:type="spellStart"/>
      <w:r>
        <w:rPr>
          <w:rFonts w:cs="Arial"/>
          <w:color w:val="000000"/>
          <w:szCs w:val="24"/>
        </w:rPr>
        <w:t>Feris</w:t>
      </w:r>
      <w:proofErr w:type="spellEnd"/>
      <w:r>
        <w:rPr>
          <w:rFonts w:cs="Arial"/>
          <w:color w:val="000000"/>
          <w:szCs w:val="24"/>
        </w:rPr>
        <w:t xml:space="preserve">. The affidavits placed before </w:t>
      </w:r>
      <w:r w:rsidR="007C5AD7">
        <w:rPr>
          <w:rFonts w:cs="Arial"/>
          <w:color w:val="000000"/>
          <w:szCs w:val="24"/>
        </w:rPr>
        <w:t xml:space="preserve">me </w:t>
      </w:r>
      <w:r w:rsidRPr="005D7868">
        <w:rPr>
          <w:rFonts w:cs="Arial"/>
          <w:color w:val="000000"/>
          <w:szCs w:val="24"/>
        </w:rPr>
        <w:t>contain no discussion or reasoning or explanation for h</w:t>
      </w:r>
      <w:r w:rsidR="00FC441A">
        <w:rPr>
          <w:rFonts w:cs="Arial"/>
          <w:color w:val="000000"/>
          <w:szCs w:val="24"/>
        </w:rPr>
        <w:t xml:space="preserve">ow or why the </w:t>
      </w:r>
      <w:r w:rsidR="00FC441A" w:rsidRPr="00B13FCA">
        <w:rPr>
          <w:rFonts w:cs="Arial"/>
          <w:color w:val="000000"/>
          <w:szCs w:val="24"/>
        </w:rPr>
        <w:t>Taxing Master</w:t>
      </w:r>
      <w:r w:rsidRPr="005D7868">
        <w:rPr>
          <w:rFonts w:cs="Arial"/>
          <w:color w:val="000000"/>
          <w:szCs w:val="24"/>
        </w:rPr>
        <w:t xml:space="preserve"> exercise</w:t>
      </w:r>
      <w:r w:rsidR="00FC1B64">
        <w:rPr>
          <w:rFonts w:cs="Arial"/>
          <w:color w:val="000000"/>
          <w:szCs w:val="24"/>
        </w:rPr>
        <w:t>d</w:t>
      </w:r>
      <w:r w:rsidRPr="005D7868">
        <w:rPr>
          <w:rFonts w:cs="Arial"/>
          <w:color w:val="000000"/>
          <w:szCs w:val="24"/>
        </w:rPr>
        <w:t xml:space="preserve"> his discretion</w:t>
      </w:r>
      <w:r w:rsidR="00FC441A">
        <w:rPr>
          <w:rFonts w:cs="Arial"/>
          <w:color w:val="000000"/>
          <w:szCs w:val="24"/>
        </w:rPr>
        <w:t xml:space="preserve"> in the manner he did.</w:t>
      </w:r>
      <w:r w:rsidRPr="005D7868">
        <w:rPr>
          <w:rFonts w:cs="Arial"/>
          <w:color w:val="000000"/>
          <w:szCs w:val="24"/>
        </w:rPr>
        <w:t xml:space="preserve"> The basis of the decision of the Taxing Master</w:t>
      </w:r>
      <w:r>
        <w:rPr>
          <w:rFonts w:cs="Arial"/>
          <w:color w:val="000000"/>
          <w:szCs w:val="24"/>
        </w:rPr>
        <w:t xml:space="preserve"> to grant costs beyond the limits set by Rule 32 (11) </w:t>
      </w:r>
      <w:r w:rsidRPr="005D7868">
        <w:rPr>
          <w:rFonts w:cs="Arial"/>
          <w:color w:val="000000"/>
          <w:szCs w:val="24"/>
        </w:rPr>
        <w:t>is not revealed.</w:t>
      </w:r>
      <w:r w:rsidR="00FC441A">
        <w:rPr>
          <w:rFonts w:cs="Arial"/>
          <w:color w:val="000000"/>
          <w:szCs w:val="24"/>
        </w:rPr>
        <w:t xml:space="preserve"> After all the power to determine whether or not a party is entitled to costs exceeding the upper limit set in Rule 32(11) is vested in the Court and not in the Taxing Master.</w:t>
      </w:r>
    </w:p>
    <w:p w:rsidR="00FC441A" w:rsidRPr="00FC441A" w:rsidRDefault="00FC441A" w:rsidP="00FC441A"/>
    <w:p w:rsidR="00B30E3C" w:rsidRDefault="00FC441A" w:rsidP="00FC441A">
      <w:pPr>
        <w:pStyle w:val="Heading1"/>
        <w:numPr>
          <w:ilvl w:val="0"/>
          <w:numId w:val="0"/>
        </w:numPr>
      </w:pPr>
      <w:r>
        <w:rPr>
          <w:rFonts w:cs="Arial"/>
          <w:color w:val="000000"/>
          <w:szCs w:val="24"/>
        </w:rPr>
        <w:t>[38]</w:t>
      </w:r>
      <w:r>
        <w:rPr>
          <w:rFonts w:cs="Arial"/>
          <w:color w:val="000000"/>
          <w:szCs w:val="24"/>
        </w:rPr>
        <w:tab/>
      </w:r>
      <w:r w:rsidR="005D7868" w:rsidRPr="005D7868">
        <w:rPr>
          <w:rFonts w:cs="Arial"/>
          <w:color w:val="000000"/>
          <w:szCs w:val="24"/>
        </w:rPr>
        <w:t>In the circumstances, I believe this is an appropriate case for the Court to interfere with</w:t>
      </w:r>
      <w:r w:rsidR="007057DC">
        <w:rPr>
          <w:rFonts w:cs="Arial"/>
          <w:color w:val="000000"/>
          <w:szCs w:val="24"/>
        </w:rPr>
        <w:t xml:space="preserve"> the exercise of the Taxing</w:t>
      </w:r>
      <w:r w:rsidR="005D7868" w:rsidRPr="005D7868">
        <w:rPr>
          <w:rFonts w:cs="Arial"/>
          <w:color w:val="000000"/>
          <w:szCs w:val="24"/>
        </w:rPr>
        <w:t xml:space="preserve"> Master's discretion since there is no indication that he exercised any discretion at all.</w:t>
      </w:r>
      <w:r w:rsidR="00CB7A72">
        <w:t xml:space="preserve"> </w:t>
      </w:r>
      <w:r w:rsidR="00760321">
        <w:t>In my view,</w:t>
      </w:r>
      <w:r w:rsidR="00CB7A72">
        <w:t xml:space="preserve"> </w:t>
      </w:r>
      <w:r w:rsidR="00760321">
        <w:t xml:space="preserve">by acting contrary to the provisions </w:t>
      </w:r>
      <w:r w:rsidR="00760321">
        <w:lastRenderedPageBreak/>
        <w:t>of Rule 32 (11)</w:t>
      </w:r>
      <w:r w:rsidR="00475ABB">
        <w:t xml:space="preserve">; allowing costs on a scale higher than </w:t>
      </w:r>
      <w:r>
        <w:t xml:space="preserve">the upper limit set in Rule 32(11) </w:t>
      </w:r>
      <w:r w:rsidR="00475ABB">
        <w:t>th</w:t>
      </w:r>
      <w:r w:rsidR="00760321">
        <w:t>e Taxing Master</w:t>
      </w:r>
      <w:r>
        <w:t xml:space="preserve"> not only </w:t>
      </w:r>
      <w:r w:rsidR="00760321">
        <w:t>acted</w:t>
      </w:r>
      <w:r w:rsidR="00760321" w:rsidRPr="005F0AC9">
        <w:rPr>
          <w:i/>
        </w:rPr>
        <w:t xml:space="preserve"> ultra vires </w:t>
      </w:r>
      <w:r w:rsidR="00760321">
        <w:t xml:space="preserve">his </w:t>
      </w:r>
      <w:r w:rsidR="00475ABB">
        <w:t>powers</w:t>
      </w:r>
      <w:r>
        <w:t xml:space="preserve"> but  he also usurped the Court’s powers.</w:t>
      </w:r>
      <w:r w:rsidR="00475ABB">
        <w:t xml:space="preserve"> The</w:t>
      </w:r>
      <w:r w:rsidR="00760321">
        <w:t xml:space="preserve"> </w:t>
      </w:r>
      <w:proofErr w:type="spellStart"/>
      <w:r w:rsidR="00881B60" w:rsidRPr="00661B77">
        <w:rPr>
          <w:rFonts w:cs="Arial"/>
          <w:i/>
          <w:color w:val="000000"/>
          <w:szCs w:val="24"/>
        </w:rPr>
        <w:t>allocatur</w:t>
      </w:r>
      <w:proofErr w:type="spellEnd"/>
      <w:r w:rsidR="00881B60">
        <w:rPr>
          <w:rFonts w:cs="Arial"/>
          <w:color w:val="000000"/>
          <w:szCs w:val="24"/>
        </w:rPr>
        <w:t xml:space="preserve"> issued by the Taxing Master on 9 September 2014 </w:t>
      </w:r>
      <w:r w:rsidR="00760321">
        <w:t xml:space="preserve">is </w:t>
      </w:r>
      <w:r w:rsidR="00475ABB">
        <w:t>therefore review</w:t>
      </w:r>
      <w:r w:rsidR="00881B60">
        <w:t>ed</w:t>
      </w:r>
      <w:r w:rsidR="00B30E3C">
        <w:t xml:space="preserve"> </w:t>
      </w:r>
      <w:r w:rsidR="00F607BA">
        <w:t xml:space="preserve">and </w:t>
      </w:r>
      <w:r w:rsidR="00881B60">
        <w:t>set aside.</w:t>
      </w:r>
    </w:p>
    <w:p w:rsidR="006F1879" w:rsidRDefault="006F1879" w:rsidP="006F1879"/>
    <w:p w:rsidR="00EE7209" w:rsidRDefault="00EE7209" w:rsidP="00EE7209">
      <w:r w:rsidRPr="00EE7209">
        <w:t>[39]</w:t>
      </w:r>
      <w:r w:rsidRPr="00EE7209">
        <w:tab/>
        <w:t xml:space="preserve">Mr Jones in his submission requested me to </w:t>
      </w:r>
      <w:r w:rsidR="00C215FD">
        <w:t>order Taxing Master to re-tax the Bill of cost</w:t>
      </w:r>
      <w:r w:rsidR="00C4420C">
        <w:t>s</w:t>
      </w:r>
      <w:r w:rsidR="00C215FD">
        <w:t xml:space="preserve"> and that he must, in that process, bear in mind Rule 32(11). </w:t>
      </w:r>
      <w:r w:rsidR="00C4420C">
        <w:t>In the alternative</w:t>
      </w:r>
      <w:r w:rsidR="00C215FD">
        <w:t xml:space="preserve"> that the court exercises its inherent power and correct the </w:t>
      </w:r>
      <w:proofErr w:type="spellStart"/>
      <w:r w:rsidR="00C215FD" w:rsidRPr="00C215FD">
        <w:rPr>
          <w:i/>
        </w:rPr>
        <w:t>allocatur</w:t>
      </w:r>
      <w:proofErr w:type="spellEnd"/>
      <w:r w:rsidR="00C215FD">
        <w:rPr>
          <w:i/>
        </w:rPr>
        <w:t xml:space="preserve">. </w:t>
      </w:r>
      <w:r w:rsidRPr="00EE7209">
        <w:t xml:space="preserve">With the lengthy delays to which the parties have been subjected through no fault of their own I am </w:t>
      </w:r>
      <w:r w:rsidR="00C215FD">
        <w:t xml:space="preserve">of the view that I am in as good a position as the Taxing Master is to make an </w:t>
      </w:r>
      <w:r w:rsidRPr="00EE7209">
        <w:t>order I believe will 'best meet the justice of the case</w:t>
      </w:r>
      <w:r w:rsidR="00C215FD">
        <w:t>.</w:t>
      </w:r>
      <w:r w:rsidR="00AD6C7C">
        <w:t>’</w:t>
      </w:r>
    </w:p>
    <w:p w:rsidR="00C215FD" w:rsidRPr="00EE7209" w:rsidRDefault="00C215FD" w:rsidP="00EE7209"/>
    <w:p w:rsidR="00C215FD" w:rsidRDefault="00C215FD" w:rsidP="00EE7209">
      <w:r>
        <w:t>[40]</w:t>
      </w:r>
      <w:r>
        <w:tab/>
      </w:r>
      <w:r w:rsidR="00EE7209" w:rsidRPr="00EE7209">
        <w:t>In the result</w:t>
      </w:r>
      <w:r>
        <w:t xml:space="preserve"> I make</w:t>
      </w:r>
      <w:r w:rsidR="001D66A1">
        <w:t xml:space="preserve"> the following order</w:t>
      </w:r>
      <w:r>
        <w:t>:</w:t>
      </w:r>
    </w:p>
    <w:p w:rsidR="00C215FD" w:rsidRDefault="00C215FD" w:rsidP="00EE7209"/>
    <w:p w:rsidR="00EE7209" w:rsidRPr="00EE7209" w:rsidRDefault="00EE7209" w:rsidP="00C215FD">
      <w:pPr>
        <w:tabs>
          <w:tab w:val="left" w:pos="540"/>
        </w:tabs>
        <w:ind w:left="540" w:hanging="540"/>
      </w:pPr>
      <w:r w:rsidRPr="00EE7209">
        <w:t>1.</w:t>
      </w:r>
      <w:r w:rsidRPr="00EE7209">
        <w:tab/>
        <w:t xml:space="preserve">The review proceedings are successful and the </w:t>
      </w:r>
      <w:proofErr w:type="spellStart"/>
      <w:r w:rsidR="00C215FD" w:rsidRPr="001D66A1">
        <w:rPr>
          <w:i/>
        </w:rPr>
        <w:t>all</w:t>
      </w:r>
      <w:r w:rsidR="001D66A1" w:rsidRPr="001D66A1">
        <w:rPr>
          <w:i/>
        </w:rPr>
        <w:t>o</w:t>
      </w:r>
      <w:r w:rsidR="00C215FD" w:rsidRPr="001D66A1">
        <w:rPr>
          <w:i/>
        </w:rPr>
        <w:t>cat</w:t>
      </w:r>
      <w:r w:rsidR="001D66A1" w:rsidRPr="001D66A1">
        <w:rPr>
          <w:i/>
        </w:rPr>
        <w:t>u</w:t>
      </w:r>
      <w:r w:rsidR="00C215FD" w:rsidRPr="001D66A1">
        <w:rPr>
          <w:i/>
        </w:rPr>
        <w:t>r</w:t>
      </w:r>
      <w:proofErr w:type="spellEnd"/>
      <w:r w:rsidR="00C215FD">
        <w:t xml:space="preserve"> issued by the </w:t>
      </w:r>
      <w:r w:rsidRPr="00EE7209">
        <w:t xml:space="preserve">Taxing Master </w:t>
      </w:r>
      <w:r w:rsidR="00C215FD">
        <w:t xml:space="preserve">on 9 September 2014 in the amount </w:t>
      </w:r>
      <w:r w:rsidR="00C215FD" w:rsidRPr="0018421A">
        <w:rPr>
          <w:szCs w:val="24"/>
        </w:rPr>
        <w:t>of N$ 32</w:t>
      </w:r>
      <w:r w:rsidR="001D66A1">
        <w:rPr>
          <w:szCs w:val="24"/>
        </w:rPr>
        <w:t xml:space="preserve"> 259-75</w:t>
      </w:r>
      <w:r w:rsidR="00C215FD">
        <w:t xml:space="preserve"> </w:t>
      </w:r>
      <w:r w:rsidRPr="00EE7209">
        <w:t>is set aside.</w:t>
      </w:r>
    </w:p>
    <w:p w:rsidR="001D66A1" w:rsidRDefault="001D66A1" w:rsidP="00EE7209"/>
    <w:p w:rsidR="00EE7209" w:rsidRDefault="00EE7209" w:rsidP="001D66A1">
      <w:pPr>
        <w:tabs>
          <w:tab w:val="left" w:pos="540"/>
        </w:tabs>
        <w:ind w:left="540" w:hanging="540"/>
      </w:pPr>
      <w:r w:rsidRPr="00EE7209">
        <w:t>2.</w:t>
      </w:r>
      <w:r w:rsidRPr="00EE7209">
        <w:tab/>
        <w:t>The applicant</w:t>
      </w:r>
      <w:r w:rsidR="001D66A1">
        <w:t xml:space="preserve"> (Plaintiff) must </w:t>
      </w:r>
      <w:r w:rsidRPr="00EE7209">
        <w:t xml:space="preserve">pay to the </w:t>
      </w:r>
      <w:r w:rsidR="001D66A1">
        <w:t>second</w:t>
      </w:r>
      <w:r w:rsidRPr="00EE7209">
        <w:t xml:space="preserve"> respondent</w:t>
      </w:r>
      <w:r w:rsidR="001D66A1">
        <w:t xml:space="preserve"> (the Defendant)</w:t>
      </w:r>
      <w:r w:rsidRPr="00EE7209">
        <w:t xml:space="preserve"> </w:t>
      </w:r>
      <w:r w:rsidR="001D66A1">
        <w:t>the costs in respect of the exception upheld on 1 August 2014 the costs being the amount of N$ 20 000</w:t>
      </w:r>
      <w:r w:rsidR="00E20BBD">
        <w:t xml:space="preserve"> exclusive of Value Added Tax</w:t>
      </w:r>
      <w:r w:rsidRPr="00EE7209">
        <w:t>.</w:t>
      </w:r>
    </w:p>
    <w:p w:rsidR="00AD6C7C" w:rsidRPr="00EE7209" w:rsidRDefault="00AD6C7C" w:rsidP="001D66A1">
      <w:pPr>
        <w:tabs>
          <w:tab w:val="left" w:pos="540"/>
        </w:tabs>
        <w:ind w:left="540" w:hanging="540"/>
      </w:pPr>
    </w:p>
    <w:p w:rsidR="006F1879" w:rsidRPr="00EE7209" w:rsidRDefault="00EE7209" w:rsidP="001D66A1">
      <w:pPr>
        <w:tabs>
          <w:tab w:val="left" w:pos="540"/>
        </w:tabs>
        <w:ind w:left="540" w:hanging="540"/>
      </w:pPr>
      <w:r w:rsidRPr="00EE7209">
        <w:t>3.</w:t>
      </w:r>
      <w:r w:rsidRPr="00EE7209">
        <w:tab/>
        <w:t>There is no order as to the costs of this review.</w:t>
      </w:r>
      <w:r w:rsidR="005B0463" w:rsidRPr="00EE7209">
        <w:t xml:space="preserve"> </w:t>
      </w:r>
    </w:p>
    <w:p w:rsidR="00B30E3C" w:rsidRDefault="00B30E3C" w:rsidP="00B30E3C"/>
    <w:p w:rsidR="00370B17" w:rsidRDefault="00370B17" w:rsidP="00370B17"/>
    <w:p w:rsidR="00BE0481" w:rsidRDefault="00BE0481" w:rsidP="00370B17"/>
    <w:p w:rsidR="001D66A1" w:rsidRDefault="001D66A1" w:rsidP="001D66A1">
      <w:pPr>
        <w:tabs>
          <w:tab w:val="left" w:pos="1440"/>
        </w:tabs>
        <w:spacing w:line="276" w:lineRule="auto"/>
        <w:jc w:val="right"/>
        <w:rPr>
          <w:rFonts w:cs="Arial"/>
          <w:szCs w:val="24"/>
        </w:rPr>
      </w:pPr>
      <w:r>
        <w:rPr>
          <w:rFonts w:cs="Arial"/>
          <w:szCs w:val="24"/>
        </w:rPr>
        <w:t>---------------------------------</w:t>
      </w:r>
    </w:p>
    <w:p w:rsidR="001D66A1" w:rsidRDefault="001D66A1" w:rsidP="001D66A1">
      <w:pPr>
        <w:tabs>
          <w:tab w:val="left" w:pos="1440"/>
        </w:tabs>
        <w:spacing w:line="276" w:lineRule="auto"/>
        <w:jc w:val="right"/>
        <w:rPr>
          <w:rFonts w:cs="Arial"/>
          <w:szCs w:val="24"/>
        </w:rPr>
      </w:pPr>
      <w:r>
        <w:rPr>
          <w:rFonts w:cs="Arial"/>
          <w:szCs w:val="24"/>
        </w:rPr>
        <w:t xml:space="preserve">SFI </w:t>
      </w:r>
      <w:proofErr w:type="spellStart"/>
      <w:r>
        <w:rPr>
          <w:rFonts w:cs="Arial"/>
          <w:szCs w:val="24"/>
        </w:rPr>
        <w:t>Ueitele</w:t>
      </w:r>
      <w:proofErr w:type="spellEnd"/>
    </w:p>
    <w:p w:rsidR="001D66A1" w:rsidRDefault="001D66A1" w:rsidP="001D66A1">
      <w:pPr>
        <w:tabs>
          <w:tab w:val="left" w:pos="1440"/>
        </w:tabs>
        <w:spacing w:line="276" w:lineRule="auto"/>
        <w:jc w:val="right"/>
        <w:rPr>
          <w:rFonts w:cs="Arial"/>
          <w:szCs w:val="24"/>
        </w:rPr>
      </w:pPr>
      <w:r>
        <w:rPr>
          <w:rFonts w:cs="Arial"/>
          <w:szCs w:val="24"/>
        </w:rPr>
        <w:t>Judge</w:t>
      </w:r>
    </w:p>
    <w:p w:rsidR="001D66A1" w:rsidRDefault="001D66A1">
      <w:pPr>
        <w:widowControl/>
        <w:spacing w:line="240" w:lineRule="auto"/>
        <w:jc w:val="left"/>
        <w:rPr>
          <w:b/>
        </w:rPr>
      </w:pPr>
      <w:r>
        <w:rPr>
          <w:b/>
        </w:rPr>
        <w:br w:type="page"/>
      </w:r>
    </w:p>
    <w:p w:rsidR="00475ABB" w:rsidRDefault="00475ABB" w:rsidP="005B0463">
      <w:pPr>
        <w:rPr>
          <w:b/>
        </w:rPr>
      </w:pPr>
    </w:p>
    <w:p w:rsidR="005B0463" w:rsidRPr="00DD2214" w:rsidRDefault="005B0463" w:rsidP="001D66A1">
      <w:pPr>
        <w:spacing w:line="276" w:lineRule="auto"/>
        <w:rPr>
          <w:b/>
        </w:rPr>
      </w:pPr>
      <w:r w:rsidRPr="00DD2214">
        <w:rPr>
          <w:b/>
        </w:rPr>
        <w:t>APPEARANCES</w:t>
      </w:r>
      <w:r>
        <w:rPr>
          <w:b/>
        </w:rPr>
        <w:t>:</w:t>
      </w:r>
    </w:p>
    <w:p w:rsidR="005B0463" w:rsidRPr="00AA10AC" w:rsidRDefault="005B0463" w:rsidP="001D66A1">
      <w:pPr>
        <w:pStyle w:val="BodyText"/>
        <w:autoSpaceDE w:val="0"/>
        <w:autoSpaceDN w:val="0"/>
        <w:adjustRightInd w:val="0"/>
        <w:spacing w:line="276" w:lineRule="auto"/>
        <w:jc w:val="both"/>
        <w:rPr>
          <w:rFonts w:ascii="Arial" w:hAnsi="Arial" w:cs="Arial"/>
        </w:rPr>
      </w:pPr>
    </w:p>
    <w:p w:rsidR="00DC5B78" w:rsidRDefault="005B0463" w:rsidP="001D66A1">
      <w:pPr>
        <w:spacing w:line="276" w:lineRule="auto"/>
      </w:pPr>
      <w:r>
        <w:rPr>
          <w:b/>
        </w:rPr>
        <w:t>APPLICANT</w:t>
      </w:r>
      <w:r>
        <w:tab/>
      </w:r>
      <w:r w:rsidR="001D66A1">
        <w:tab/>
      </w:r>
      <w:r>
        <w:tab/>
      </w:r>
      <w:r>
        <w:tab/>
      </w:r>
      <w:r>
        <w:tab/>
      </w:r>
      <w:r>
        <w:tab/>
      </w:r>
      <w:r>
        <w:rPr>
          <w:b/>
        </w:rPr>
        <w:t>JPR JONES</w:t>
      </w:r>
    </w:p>
    <w:p w:rsidR="005B0463" w:rsidRDefault="005B0463" w:rsidP="001D66A1">
      <w:pPr>
        <w:spacing w:line="276" w:lineRule="auto"/>
        <w:ind w:left="4320" w:firstLine="720"/>
      </w:pPr>
      <w:r>
        <w:t xml:space="preserve">Instructed by </w:t>
      </w:r>
      <w:proofErr w:type="spellStart"/>
      <w:r>
        <w:t>Sisa</w:t>
      </w:r>
      <w:proofErr w:type="spellEnd"/>
      <w:r>
        <w:t xml:space="preserve"> </w:t>
      </w:r>
      <w:proofErr w:type="spellStart"/>
      <w:r>
        <w:t>Namandje</w:t>
      </w:r>
      <w:proofErr w:type="spellEnd"/>
      <w:r>
        <w:t xml:space="preserve"> &amp; Co</w:t>
      </w:r>
    </w:p>
    <w:p w:rsidR="001D66A1" w:rsidRPr="005B0463" w:rsidRDefault="001D66A1" w:rsidP="001D66A1">
      <w:pPr>
        <w:spacing w:line="276" w:lineRule="auto"/>
        <w:ind w:left="4320" w:firstLine="720"/>
      </w:pPr>
      <w:r>
        <w:t>Windhoek.</w:t>
      </w:r>
    </w:p>
    <w:p w:rsidR="00C2101E" w:rsidRPr="002F79CF" w:rsidRDefault="00C2101E" w:rsidP="001D66A1">
      <w:pPr>
        <w:spacing w:line="276" w:lineRule="auto"/>
      </w:pPr>
      <w:r>
        <w:tab/>
      </w:r>
    </w:p>
    <w:p w:rsidR="00C2101E" w:rsidRPr="005B0463" w:rsidRDefault="00C2101E" w:rsidP="001D66A1">
      <w:pPr>
        <w:spacing w:line="276" w:lineRule="auto"/>
        <w:rPr>
          <w:b/>
        </w:rPr>
      </w:pPr>
    </w:p>
    <w:p w:rsidR="005B0463" w:rsidRPr="005B0463" w:rsidRDefault="005B0463" w:rsidP="001D66A1">
      <w:pPr>
        <w:spacing w:line="276" w:lineRule="auto"/>
        <w:rPr>
          <w:rFonts w:cs="Arial"/>
          <w:b/>
          <w:szCs w:val="24"/>
        </w:rPr>
      </w:pPr>
      <w:r w:rsidRPr="005B0463">
        <w:rPr>
          <w:b/>
        </w:rPr>
        <w:t>2</w:t>
      </w:r>
      <w:r w:rsidRPr="005B0463">
        <w:rPr>
          <w:b/>
          <w:vertAlign w:val="superscript"/>
        </w:rPr>
        <w:t>nd</w:t>
      </w:r>
      <w:r w:rsidRPr="005B0463">
        <w:rPr>
          <w:b/>
        </w:rPr>
        <w:t xml:space="preserve"> RESPONDENT</w:t>
      </w:r>
      <w:r w:rsidRPr="005B0463">
        <w:rPr>
          <w:b/>
        </w:rPr>
        <w:tab/>
      </w:r>
      <w:r>
        <w:tab/>
      </w:r>
      <w:r>
        <w:tab/>
      </w:r>
      <w:r>
        <w:tab/>
      </w:r>
      <w:r w:rsidR="001D66A1">
        <w:tab/>
      </w:r>
      <w:r w:rsidRPr="00C83D9D">
        <w:rPr>
          <w:rFonts w:cs="Arial"/>
          <w:b/>
          <w:szCs w:val="24"/>
        </w:rPr>
        <w:t>A VAN VUUREN</w:t>
      </w:r>
    </w:p>
    <w:p w:rsidR="00C2101E" w:rsidRPr="005B0463" w:rsidRDefault="005B0463" w:rsidP="001D66A1">
      <w:pPr>
        <w:spacing w:line="276" w:lineRule="auto"/>
        <w:ind w:left="5040"/>
        <w:rPr>
          <w:rFonts w:cs="Arial"/>
          <w:szCs w:val="24"/>
        </w:rPr>
      </w:pPr>
      <w:r>
        <w:t xml:space="preserve">Instructed by </w:t>
      </w:r>
      <w:r w:rsidRPr="005B0463">
        <w:rPr>
          <w:rFonts w:cs="Arial"/>
          <w:szCs w:val="24"/>
        </w:rPr>
        <w:t xml:space="preserve">Du </w:t>
      </w:r>
      <w:proofErr w:type="spellStart"/>
      <w:r w:rsidRPr="005B0463">
        <w:rPr>
          <w:rFonts w:cs="Arial"/>
          <w:szCs w:val="24"/>
        </w:rPr>
        <w:t>Pisani</w:t>
      </w:r>
      <w:proofErr w:type="spellEnd"/>
      <w:r w:rsidRPr="005B0463">
        <w:rPr>
          <w:rFonts w:cs="Arial"/>
          <w:szCs w:val="24"/>
        </w:rPr>
        <w:t xml:space="preserve"> Legal Practitioners</w:t>
      </w:r>
      <w:r w:rsidR="001D66A1">
        <w:rPr>
          <w:rFonts w:cs="Arial"/>
          <w:szCs w:val="24"/>
        </w:rPr>
        <w:t>, Windhoek.</w:t>
      </w:r>
    </w:p>
    <w:sectPr w:rsidR="00C2101E" w:rsidRPr="005B0463" w:rsidSect="00550A47">
      <w:headerReference w:type="even" r:id="rId9"/>
      <w:headerReference w:type="default" r:id="rId10"/>
      <w:headerReference w:type="first" r:id="rId11"/>
      <w:type w:val="continuous"/>
      <w:pgSz w:w="11907" w:h="16840" w:code="9"/>
      <w:pgMar w:top="1440" w:right="1647" w:bottom="1440" w:left="144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1F" w:rsidRDefault="00C6411F" w:rsidP="00D3725F">
      <w:pPr>
        <w:spacing w:line="240" w:lineRule="auto"/>
      </w:pPr>
      <w:r>
        <w:separator/>
      </w:r>
    </w:p>
  </w:endnote>
  <w:endnote w:type="continuationSeparator" w:id="0">
    <w:p w:rsidR="00C6411F" w:rsidRDefault="00C6411F" w:rsidP="00D37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1F" w:rsidRDefault="00C6411F" w:rsidP="00D3725F">
      <w:pPr>
        <w:spacing w:line="240" w:lineRule="auto"/>
      </w:pPr>
      <w:r>
        <w:separator/>
      </w:r>
    </w:p>
  </w:footnote>
  <w:footnote w:type="continuationSeparator" w:id="0">
    <w:p w:rsidR="00C6411F" w:rsidRDefault="00C6411F" w:rsidP="00D3725F">
      <w:pPr>
        <w:spacing w:line="240" w:lineRule="auto"/>
      </w:pPr>
      <w:r>
        <w:continuationSeparator/>
      </w:r>
    </w:p>
  </w:footnote>
  <w:footnote w:id="1">
    <w:p w:rsidR="0008028A" w:rsidRPr="0042079E" w:rsidRDefault="0008028A" w:rsidP="00B36A1C">
      <w:pPr>
        <w:pStyle w:val="FootnoteText"/>
        <w:rPr>
          <w:lang w:val="en-US"/>
        </w:rPr>
      </w:pPr>
      <w:r>
        <w:rPr>
          <w:rStyle w:val="FootnoteReference"/>
        </w:rPr>
        <w:footnoteRef/>
      </w:r>
      <w:r>
        <w:t xml:space="preserve"> </w:t>
      </w:r>
      <w:r>
        <w:tab/>
      </w:r>
      <w:r w:rsidRPr="0042079E">
        <w:t>1926 AD 467 at 488</w:t>
      </w:r>
      <w:r w:rsidR="006B6E63">
        <w:t>.</w:t>
      </w:r>
    </w:p>
  </w:footnote>
  <w:footnote w:id="2">
    <w:p w:rsidR="0008028A" w:rsidRPr="00475ABB" w:rsidRDefault="0008028A" w:rsidP="0083634F">
      <w:pPr>
        <w:pStyle w:val="FootnoteText"/>
        <w:spacing w:before="0"/>
        <w:rPr>
          <w:lang w:val="en-US"/>
        </w:rPr>
      </w:pPr>
      <w:r w:rsidRPr="00475ABB">
        <w:rPr>
          <w:rStyle w:val="FootnoteReference"/>
          <w:rFonts w:cs="Arial"/>
        </w:rPr>
        <w:footnoteRef/>
      </w:r>
      <w:r w:rsidRPr="00475ABB">
        <w:t xml:space="preserve"> </w:t>
      </w:r>
      <w:r>
        <w:tab/>
      </w:r>
      <w:r w:rsidRPr="00475ABB">
        <w:rPr>
          <w:lang w:val="en-US" w:eastAsia="en-ZA"/>
        </w:rPr>
        <w:t>2002 NR 14 (HC) at 15I-17E</w:t>
      </w:r>
      <w:r>
        <w:rPr>
          <w:lang w:val="en-US" w:eastAsia="en-ZA"/>
        </w:rPr>
        <w:t xml:space="preserve"> by Maritz AJ (as he then was)</w:t>
      </w:r>
      <w:r w:rsidR="0083634F">
        <w:rPr>
          <w:lang w:val="en-US" w:eastAsia="en-ZA"/>
        </w:rPr>
        <w:t>.</w:t>
      </w:r>
    </w:p>
  </w:footnote>
  <w:footnote w:id="3">
    <w:p w:rsidR="0008028A" w:rsidRPr="004A665E" w:rsidRDefault="0008028A" w:rsidP="0083634F">
      <w:pPr>
        <w:pStyle w:val="FootnoteText"/>
        <w:spacing w:before="0"/>
        <w:ind w:left="0" w:firstLine="0"/>
        <w:rPr>
          <w:lang w:val="en-US"/>
        </w:rPr>
      </w:pPr>
      <w:r>
        <w:rPr>
          <w:rStyle w:val="FootnoteReference"/>
        </w:rPr>
        <w:footnoteRef/>
      </w:r>
      <w:r>
        <w:t xml:space="preserve"> </w:t>
      </w:r>
      <w:r>
        <w:tab/>
      </w:r>
      <w:r w:rsidRPr="00A27512">
        <w:rPr>
          <w:i/>
        </w:rPr>
        <w:t>Supra</w:t>
      </w:r>
      <w:r>
        <w:t xml:space="preserve"> at p 16.</w:t>
      </w:r>
    </w:p>
  </w:footnote>
  <w:footnote w:id="4">
    <w:p w:rsidR="0008028A" w:rsidRPr="0095445D" w:rsidRDefault="0008028A" w:rsidP="00B36A1C">
      <w:pPr>
        <w:pStyle w:val="FootnoteText"/>
        <w:rPr>
          <w:lang w:val="en-US"/>
        </w:rPr>
      </w:pPr>
      <w:r>
        <w:rPr>
          <w:rStyle w:val="FootnoteReference"/>
        </w:rPr>
        <w:footnoteRef/>
      </w:r>
      <w:r>
        <w:t xml:space="preserve"> </w:t>
      </w:r>
      <w:r>
        <w:tab/>
      </w:r>
      <w:proofErr w:type="spellStart"/>
      <w:r w:rsidRPr="0095445D">
        <w:rPr>
          <w:i/>
        </w:rPr>
        <w:t>Kock</w:t>
      </w:r>
      <w:proofErr w:type="spellEnd"/>
      <w:r w:rsidRPr="0095445D">
        <w:rPr>
          <w:i/>
        </w:rPr>
        <w:t xml:space="preserve"> v SKF Laboratories (Pty) Ltd</w:t>
      </w:r>
      <w:r w:rsidRPr="00475ABB">
        <w:t xml:space="preserve"> 1962 (3) SA 764 (E) at 765E</w:t>
      </w:r>
      <w:r w:rsidRPr="0005419F">
        <w:t xml:space="preserve">). See also </w:t>
      </w:r>
      <w:proofErr w:type="spellStart"/>
      <w:r w:rsidRPr="0095445D">
        <w:rPr>
          <w:i/>
        </w:rPr>
        <w:t>Preller</w:t>
      </w:r>
      <w:proofErr w:type="spellEnd"/>
      <w:r w:rsidRPr="0095445D">
        <w:rPr>
          <w:i/>
        </w:rPr>
        <w:t xml:space="preserve"> v </w:t>
      </w:r>
      <w:proofErr w:type="spellStart"/>
      <w:r w:rsidRPr="0095445D">
        <w:rPr>
          <w:i/>
        </w:rPr>
        <w:t>Jordaan</w:t>
      </w:r>
      <w:proofErr w:type="spellEnd"/>
      <w:r w:rsidRPr="0095445D">
        <w:rPr>
          <w:i/>
        </w:rPr>
        <w:t xml:space="preserve"> and Another</w:t>
      </w:r>
      <w:r w:rsidR="00EF5551">
        <w:t xml:space="preserve"> 1957 (3) SA 201 (O) at 203C-E.</w:t>
      </w:r>
    </w:p>
  </w:footnote>
  <w:footnote w:id="5">
    <w:p w:rsidR="0008028A" w:rsidRPr="00475ABB" w:rsidRDefault="0008028A" w:rsidP="001A061D">
      <w:pPr>
        <w:spacing w:line="240" w:lineRule="auto"/>
        <w:ind w:left="360" w:hanging="360"/>
        <w:rPr>
          <w:rFonts w:cs="Arial"/>
          <w:sz w:val="20"/>
        </w:rPr>
      </w:pPr>
      <w:r w:rsidRPr="00475ABB">
        <w:rPr>
          <w:rStyle w:val="FootnoteReference"/>
          <w:rFonts w:cs="Arial"/>
          <w:sz w:val="20"/>
        </w:rPr>
        <w:footnoteRef/>
      </w:r>
      <w:r w:rsidRPr="00475ABB">
        <w:rPr>
          <w:rFonts w:cs="Arial"/>
          <w:sz w:val="20"/>
        </w:rPr>
        <w:t xml:space="preserve"> </w:t>
      </w:r>
      <w:r>
        <w:rPr>
          <w:rFonts w:cs="Arial"/>
          <w:sz w:val="20"/>
        </w:rPr>
        <w:tab/>
      </w:r>
      <w:r w:rsidRPr="002200AF">
        <w:rPr>
          <w:rFonts w:cs="Arial"/>
          <w:bCs/>
          <w:i/>
          <w:spacing w:val="0"/>
          <w:sz w:val="20"/>
          <w:lang w:val="en-US" w:eastAsia="en-ZA"/>
        </w:rPr>
        <w:t xml:space="preserve">Legal And General Assurance Society Ltd v </w:t>
      </w:r>
      <w:proofErr w:type="spellStart"/>
      <w:r w:rsidRPr="002200AF">
        <w:rPr>
          <w:rFonts w:cs="Arial"/>
          <w:bCs/>
          <w:i/>
          <w:spacing w:val="0"/>
          <w:sz w:val="20"/>
          <w:lang w:val="en-US" w:eastAsia="en-ZA"/>
        </w:rPr>
        <w:t>Lieberum</w:t>
      </w:r>
      <w:proofErr w:type="spellEnd"/>
      <w:r w:rsidRPr="002200AF">
        <w:rPr>
          <w:rFonts w:cs="Arial"/>
          <w:bCs/>
          <w:i/>
          <w:spacing w:val="0"/>
          <w:sz w:val="20"/>
          <w:lang w:val="en-US" w:eastAsia="en-ZA"/>
        </w:rPr>
        <w:t xml:space="preserve"> N.O. and Another</w:t>
      </w:r>
      <w:r w:rsidRPr="00475ABB">
        <w:rPr>
          <w:rFonts w:cs="Arial"/>
          <w:bCs/>
          <w:spacing w:val="0"/>
          <w:sz w:val="20"/>
          <w:lang w:val="en-US" w:eastAsia="en-ZA"/>
        </w:rPr>
        <w:t xml:space="preserve"> 1968 (1) SA 473 (A) at 478</w:t>
      </w:r>
      <w:r w:rsidR="00EF5551">
        <w:rPr>
          <w:rFonts w:cs="Arial"/>
          <w:bCs/>
          <w:spacing w:val="0"/>
          <w:sz w:val="20"/>
          <w:lang w:val="en-US" w:eastAsia="en-ZA"/>
        </w:rPr>
        <w:t>.</w:t>
      </w:r>
    </w:p>
  </w:footnote>
  <w:footnote w:id="6">
    <w:p w:rsidR="0008028A" w:rsidRPr="007A66E7" w:rsidRDefault="0008028A" w:rsidP="001A061D">
      <w:pPr>
        <w:tabs>
          <w:tab w:val="left" w:pos="360"/>
        </w:tabs>
        <w:spacing w:line="240" w:lineRule="auto"/>
        <w:ind w:left="360" w:hanging="360"/>
        <w:rPr>
          <w:sz w:val="20"/>
          <w:lang w:val="en-US"/>
        </w:rPr>
      </w:pPr>
      <w:r w:rsidRPr="007A66E7">
        <w:rPr>
          <w:rStyle w:val="FootnoteReference"/>
          <w:sz w:val="20"/>
        </w:rPr>
        <w:footnoteRef/>
      </w:r>
      <w:r w:rsidRPr="007A66E7">
        <w:rPr>
          <w:sz w:val="20"/>
        </w:rPr>
        <w:t xml:space="preserve"> </w:t>
      </w:r>
      <w:r w:rsidRPr="007A66E7">
        <w:rPr>
          <w:sz w:val="20"/>
        </w:rPr>
        <w:tab/>
        <w:t xml:space="preserve">Rules of the High Court of Namibia: High Court Act, 1990 published in the Government </w:t>
      </w:r>
      <w:r w:rsidRPr="007A66E7">
        <w:rPr>
          <w:i/>
          <w:sz w:val="20"/>
        </w:rPr>
        <w:t>Gazette</w:t>
      </w:r>
      <w:r w:rsidRPr="007A66E7">
        <w:rPr>
          <w:sz w:val="20"/>
        </w:rPr>
        <w:t xml:space="preserve"> No. 5392 of 17 January 2014, under Government Notice No. 4 of 2014.</w:t>
      </w:r>
    </w:p>
  </w:footnote>
  <w:footnote w:id="7">
    <w:p w:rsidR="0008028A" w:rsidRDefault="0008028A" w:rsidP="00EF5551">
      <w:pPr>
        <w:pStyle w:val="FootnoteText"/>
        <w:spacing w:before="0"/>
      </w:pPr>
      <w:r w:rsidRPr="007A66E7">
        <w:rPr>
          <w:rStyle w:val="FootnoteReference"/>
          <w:rFonts w:cs="Arial"/>
        </w:rPr>
        <w:footnoteRef/>
      </w:r>
      <w:r w:rsidR="006B6E63">
        <w:t xml:space="preserve"> </w:t>
      </w:r>
      <w:r w:rsidR="006B6E63">
        <w:tab/>
        <w:t xml:space="preserve">By </w:t>
      </w:r>
      <w:proofErr w:type="spellStart"/>
      <w:r w:rsidR="006B6E63">
        <w:t>Cilliers</w:t>
      </w:r>
      <w:proofErr w:type="spellEnd"/>
      <w:r w:rsidR="006B6E63">
        <w:t xml:space="preserve">, Loots and </w:t>
      </w:r>
      <w:proofErr w:type="spellStart"/>
      <w:r w:rsidR="006B6E63">
        <w:t>Nel</w:t>
      </w:r>
      <w:proofErr w:type="spellEnd"/>
      <w:r w:rsidR="006B6E63">
        <w:t>,</w:t>
      </w:r>
      <w:r w:rsidRPr="007A66E7">
        <w:t xml:space="preserve"> 5</w:t>
      </w:r>
      <w:r w:rsidRPr="007A66E7">
        <w:rPr>
          <w:vertAlign w:val="superscript"/>
        </w:rPr>
        <w:t>th</w:t>
      </w:r>
      <w:r w:rsidRPr="007A66E7">
        <w:t xml:space="preserve"> </w:t>
      </w:r>
      <w:proofErr w:type="spellStart"/>
      <w:proofErr w:type="gramStart"/>
      <w:r w:rsidRPr="007A66E7">
        <w:t>ed</w:t>
      </w:r>
      <w:proofErr w:type="spellEnd"/>
      <w:proofErr w:type="gramEnd"/>
      <w:r w:rsidRPr="007A66E7">
        <w:t xml:space="preserve"> </w:t>
      </w:r>
      <w:proofErr w:type="spellStart"/>
      <w:r>
        <w:t>V</w:t>
      </w:r>
      <w:r w:rsidRPr="007A66E7">
        <w:t>ol</w:t>
      </w:r>
      <w:proofErr w:type="spellEnd"/>
      <w:r w:rsidRPr="007A66E7">
        <w:t xml:space="preserve"> </w:t>
      </w:r>
      <w:r>
        <w:t>2</w:t>
      </w:r>
      <w:r w:rsidRPr="007A66E7">
        <w:t xml:space="preserve"> at p </w:t>
      </w:r>
      <w:r>
        <w:t>1204.</w:t>
      </w:r>
    </w:p>
  </w:footnote>
  <w:footnote w:id="8">
    <w:p w:rsidR="0008028A" w:rsidRPr="00920BEA" w:rsidRDefault="0008028A" w:rsidP="00EF5551">
      <w:pPr>
        <w:pStyle w:val="FootnoteText"/>
        <w:spacing w:before="0"/>
        <w:rPr>
          <w:lang w:val="en-US"/>
        </w:rPr>
      </w:pPr>
      <w:r>
        <w:rPr>
          <w:rStyle w:val="FootnoteReference"/>
        </w:rPr>
        <w:footnoteRef/>
      </w:r>
      <w:r>
        <w:t xml:space="preserve"> </w:t>
      </w:r>
      <w:r>
        <w:tab/>
      </w:r>
      <w:r w:rsidRPr="00920BEA">
        <w:t>1977 (3) SA 534 (A)</w:t>
      </w:r>
      <w:r>
        <w:t>. 549F-550A.</w:t>
      </w:r>
    </w:p>
  </w:footnote>
  <w:footnote w:id="9">
    <w:p w:rsidR="0008028A" w:rsidRPr="004A665E" w:rsidRDefault="0008028A" w:rsidP="00A85516">
      <w:pPr>
        <w:tabs>
          <w:tab w:val="left" w:pos="360"/>
        </w:tabs>
        <w:spacing w:line="240" w:lineRule="auto"/>
        <w:ind w:left="360" w:hanging="360"/>
        <w:rPr>
          <w:sz w:val="20"/>
          <w:lang w:val="en-US"/>
        </w:rPr>
      </w:pPr>
      <w:r w:rsidRPr="004A665E">
        <w:rPr>
          <w:rStyle w:val="FootnoteReference"/>
          <w:sz w:val="20"/>
        </w:rPr>
        <w:footnoteRef/>
      </w:r>
      <w:r w:rsidRPr="004A665E">
        <w:rPr>
          <w:sz w:val="20"/>
        </w:rPr>
        <w:t xml:space="preserve"> </w:t>
      </w:r>
      <w:r w:rsidRPr="004A665E">
        <w:rPr>
          <w:sz w:val="20"/>
        </w:rPr>
        <w:tab/>
        <w:t xml:space="preserve">See the unreported judgment  of this Court in the matter of </w:t>
      </w:r>
      <w:r w:rsidRPr="004A665E">
        <w:rPr>
          <w:rFonts w:cs="Arial"/>
          <w:i/>
          <w:sz w:val="20"/>
        </w:rPr>
        <w:t xml:space="preserve">Old Mutual Life Assurance Company of Namibia Ltd v </w:t>
      </w:r>
      <w:proofErr w:type="spellStart"/>
      <w:r w:rsidRPr="004A665E">
        <w:rPr>
          <w:rFonts w:cs="Arial"/>
          <w:i/>
          <w:sz w:val="20"/>
        </w:rPr>
        <w:t>Hasheela</w:t>
      </w:r>
      <w:proofErr w:type="spellEnd"/>
      <w:r w:rsidRPr="004A665E">
        <w:rPr>
          <w:rFonts w:cs="Arial"/>
          <w:i/>
          <w:sz w:val="20"/>
        </w:rPr>
        <w:t xml:space="preserve"> </w:t>
      </w:r>
      <w:r w:rsidRPr="004A665E">
        <w:rPr>
          <w:rFonts w:cs="Arial"/>
          <w:sz w:val="20"/>
        </w:rPr>
        <w:t>(I 2359-2014) [2015] NAHCMD 152 (26 June 2015) at pa</w:t>
      </w:r>
      <w:r>
        <w:rPr>
          <w:rFonts w:cs="Arial"/>
          <w:sz w:val="20"/>
        </w:rPr>
        <w:t>ra</w:t>
      </w:r>
      <w:r w:rsidRPr="004A665E">
        <w:rPr>
          <w:rFonts w:cs="Arial"/>
          <w:sz w:val="20"/>
        </w:rPr>
        <w:t xml:space="preserve"> [12].</w:t>
      </w:r>
    </w:p>
  </w:footnote>
  <w:footnote w:id="10">
    <w:p w:rsidR="0008028A" w:rsidRPr="00590F1F" w:rsidRDefault="0008028A" w:rsidP="00AA73BD">
      <w:pPr>
        <w:pStyle w:val="FootnoteText"/>
        <w:spacing w:before="0"/>
        <w:rPr>
          <w:lang w:val="en-US"/>
        </w:rPr>
      </w:pPr>
      <w:r w:rsidRPr="00590F1F">
        <w:rPr>
          <w:rStyle w:val="FootnoteReference"/>
        </w:rPr>
        <w:footnoteRef/>
      </w:r>
      <w:r w:rsidRPr="00590F1F">
        <w:t xml:space="preserve"> </w:t>
      </w:r>
      <w:r w:rsidRPr="00590F1F">
        <w:tab/>
      </w:r>
      <w:r w:rsidRPr="00590F1F">
        <w:rPr>
          <w:lang w:val="en-ZA" w:eastAsia="en-ZA"/>
        </w:rPr>
        <w:t>2015 (1) NR 260 (HC) at 281.</w:t>
      </w:r>
    </w:p>
  </w:footnote>
  <w:footnote w:id="11">
    <w:p w:rsidR="0008028A" w:rsidRPr="00590F1F" w:rsidRDefault="0008028A" w:rsidP="00AA73BD">
      <w:pPr>
        <w:pStyle w:val="FootnoteText"/>
        <w:spacing w:before="0"/>
        <w:rPr>
          <w:lang w:val="en-US"/>
        </w:rPr>
      </w:pPr>
      <w:r w:rsidRPr="00590F1F">
        <w:rPr>
          <w:rStyle w:val="FootnoteReference"/>
        </w:rPr>
        <w:footnoteRef/>
      </w:r>
      <w:r w:rsidRPr="00590F1F">
        <w:t xml:space="preserve"> </w:t>
      </w:r>
      <w:r w:rsidRPr="00590F1F">
        <w:tab/>
        <w:t>1999 (2) SA 409 (W).</w:t>
      </w:r>
    </w:p>
  </w:footnote>
  <w:footnote w:id="12">
    <w:p w:rsidR="0008028A" w:rsidRPr="004A665E" w:rsidRDefault="0008028A" w:rsidP="00B36A1C">
      <w:pPr>
        <w:pStyle w:val="FootnoteText"/>
        <w:rPr>
          <w:lang w:val="en-US"/>
        </w:rPr>
      </w:pPr>
      <w:r>
        <w:rPr>
          <w:rStyle w:val="FootnoteReference"/>
        </w:rPr>
        <w:footnoteRef/>
      </w:r>
      <w:r>
        <w:t xml:space="preserve"> </w:t>
      </w:r>
      <w:r>
        <w:tab/>
      </w:r>
      <w:r w:rsidRPr="00A27512">
        <w:rPr>
          <w:i/>
        </w:rPr>
        <w:t>Supra</w:t>
      </w:r>
      <w:r>
        <w:t xml:space="preserve"> at p 16.</w:t>
      </w:r>
    </w:p>
  </w:footnote>
  <w:footnote w:id="13">
    <w:p w:rsidR="0008028A" w:rsidRPr="00146FBE" w:rsidRDefault="0008028A" w:rsidP="007B65D5">
      <w:pPr>
        <w:pStyle w:val="FootnoteText"/>
        <w:spacing w:before="0"/>
        <w:ind w:left="446" w:hanging="446"/>
        <w:rPr>
          <w:lang w:val="en-US"/>
        </w:rPr>
      </w:pPr>
      <w:r>
        <w:rPr>
          <w:rStyle w:val="FootnoteReference"/>
        </w:rPr>
        <w:footnoteRef/>
      </w:r>
      <w:r>
        <w:t xml:space="preserve"> </w:t>
      </w:r>
      <w:r>
        <w:tab/>
      </w:r>
      <w:r w:rsidRPr="00146FBE">
        <w:rPr>
          <w:lang w:val="en-ZA" w:eastAsia="en-ZA"/>
        </w:rPr>
        <w:t>2015 (1) NR 260 (HC)</w:t>
      </w:r>
      <w:r>
        <w:rPr>
          <w:lang w:val="en-ZA" w:eastAsia="en-ZA"/>
        </w:rPr>
        <w:t xml:space="preserve"> at 281.</w:t>
      </w:r>
    </w:p>
  </w:footnote>
  <w:footnote w:id="14">
    <w:p w:rsidR="0008028A" w:rsidRPr="00DB26E9" w:rsidRDefault="0008028A" w:rsidP="007B65D5">
      <w:pPr>
        <w:pStyle w:val="FootnoteText"/>
        <w:spacing w:before="0"/>
        <w:ind w:left="446" w:hanging="446"/>
        <w:rPr>
          <w:lang w:val="en-US"/>
        </w:rPr>
      </w:pPr>
      <w:r>
        <w:rPr>
          <w:rStyle w:val="FootnoteReference"/>
        </w:rPr>
        <w:footnoteRef/>
      </w:r>
      <w:r>
        <w:t xml:space="preserve"> </w:t>
      </w:r>
      <w:r>
        <w:rPr>
          <w:lang w:val="en-US"/>
        </w:rPr>
        <w:tab/>
      </w:r>
      <w:r w:rsidRPr="00DB26E9">
        <w:t>1972 (1) SA 749 (C)</w:t>
      </w:r>
      <w:r>
        <w:t xml:space="preserve"> at 750.</w:t>
      </w:r>
    </w:p>
  </w:footnote>
  <w:footnote w:id="15">
    <w:p w:rsidR="0008028A" w:rsidRPr="00AC5DA4" w:rsidRDefault="0008028A" w:rsidP="007B65D5">
      <w:pPr>
        <w:pStyle w:val="FootnoteText"/>
        <w:spacing w:before="0"/>
        <w:ind w:left="446" w:hanging="446"/>
        <w:rPr>
          <w:lang w:val="en-US"/>
        </w:rPr>
      </w:pPr>
      <w:r>
        <w:rPr>
          <w:rStyle w:val="FootnoteReference"/>
        </w:rPr>
        <w:footnoteRef/>
      </w:r>
      <w:r>
        <w:t xml:space="preserve"> </w:t>
      </w:r>
      <w:r>
        <w:rPr>
          <w:lang w:val="en-US"/>
        </w:rPr>
        <w:tab/>
      </w:r>
      <w:r w:rsidRPr="00AC5DA4">
        <w:rPr>
          <w:lang w:val="en-US"/>
        </w:rPr>
        <w:t>Ibid.</w:t>
      </w:r>
    </w:p>
  </w:footnote>
  <w:footnote w:id="16">
    <w:p w:rsidR="007B65D5" w:rsidRPr="007B65D5" w:rsidRDefault="007B65D5" w:rsidP="007B65D5">
      <w:pPr>
        <w:pStyle w:val="FootnoteText"/>
        <w:spacing w:before="0"/>
        <w:ind w:left="446" w:hanging="446"/>
        <w:rPr>
          <w:lang w:val="en-US"/>
        </w:rPr>
      </w:pPr>
      <w:r>
        <w:rPr>
          <w:rStyle w:val="FootnoteReference"/>
        </w:rPr>
        <w:footnoteRef/>
      </w:r>
      <w:r>
        <w:t xml:space="preserve"> </w:t>
      </w:r>
      <w:r>
        <w:tab/>
      </w:r>
      <w:r w:rsidRPr="007B65D5">
        <w:rPr>
          <w:color w:val="000000"/>
          <w:szCs w:val="24"/>
        </w:rPr>
        <w:t>2014 (2) NR 464 (SC)</w:t>
      </w:r>
      <w:r w:rsidR="00964E13">
        <w:rPr>
          <w:color w:val="000000"/>
          <w:szCs w:val="24"/>
        </w:rPr>
        <w:t>.</w:t>
      </w:r>
    </w:p>
  </w:footnote>
  <w:footnote w:id="17">
    <w:p w:rsidR="0008028A" w:rsidRPr="00B36A1C" w:rsidRDefault="0008028A" w:rsidP="007B65D5">
      <w:pPr>
        <w:pStyle w:val="FootnoteText"/>
        <w:spacing w:before="0"/>
        <w:ind w:left="446" w:hanging="446"/>
        <w:rPr>
          <w:lang w:val="en-US"/>
        </w:rPr>
      </w:pPr>
      <w:r>
        <w:rPr>
          <w:rStyle w:val="FootnoteReference"/>
        </w:rPr>
        <w:footnoteRef/>
      </w:r>
      <w:r>
        <w:t xml:space="preserve"> </w:t>
      </w:r>
      <w:r>
        <w:rPr>
          <w:lang w:val="en-US"/>
        </w:rPr>
        <w:tab/>
      </w:r>
      <w:r w:rsidRPr="00D43E36">
        <w:rPr>
          <w:lang w:val="en-US" w:eastAsia="en-ZA"/>
        </w:rPr>
        <w:t xml:space="preserve">Pinkster </w:t>
      </w:r>
      <w:proofErr w:type="spellStart"/>
      <w:r w:rsidRPr="00D43E36">
        <w:rPr>
          <w:lang w:val="en-US" w:eastAsia="en-ZA"/>
        </w:rPr>
        <w:t>Gemeente</w:t>
      </w:r>
      <w:proofErr w:type="spellEnd"/>
      <w:r w:rsidRPr="00D43E36">
        <w:rPr>
          <w:lang w:val="en-US" w:eastAsia="en-ZA"/>
        </w:rPr>
        <w:t xml:space="preserve"> van Namibia (Previously South West Africa) v </w:t>
      </w:r>
      <w:proofErr w:type="spellStart"/>
      <w:r w:rsidRPr="00D43E36">
        <w:rPr>
          <w:lang w:val="en-US" w:eastAsia="en-ZA"/>
        </w:rPr>
        <w:t>Navolgers</w:t>
      </w:r>
      <w:proofErr w:type="spellEnd"/>
      <w:r w:rsidRPr="00D43E36">
        <w:rPr>
          <w:lang w:val="en-US" w:eastAsia="en-ZA"/>
        </w:rPr>
        <w:t xml:space="preserve"> Van </w:t>
      </w:r>
      <w:proofErr w:type="spellStart"/>
      <w:r w:rsidRPr="00D43E36">
        <w:rPr>
          <w:lang w:val="en-US" w:eastAsia="en-ZA"/>
        </w:rPr>
        <w:t>Christus</w:t>
      </w:r>
      <w:proofErr w:type="spellEnd"/>
      <w:r w:rsidRPr="00D43E36">
        <w:rPr>
          <w:lang w:val="en-US" w:eastAsia="en-ZA"/>
        </w:rPr>
        <w:t xml:space="preserve"> </w:t>
      </w:r>
      <w:proofErr w:type="spellStart"/>
      <w:r w:rsidRPr="00D43E36">
        <w:rPr>
          <w:lang w:val="en-US" w:eastAsia="en-ZA"/>
        </w:rPr>
        <w:t>Kerk</w:t>
      </w:r>
      <w:proofErr w:type="spellEnd"/>
      <w:r>
        <w:rPr>
          <w:lang w:val="en-US" w:eastAsia="en-ZA"/>
        </w:rPr>
        <w:t xml:space="preserve"> (supra).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8A" w:rsidRDefault="000802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028A" w:rsidRDefault="0008028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8A" w:rsidRDefault="0008028A">
    <w:pPr>
      <w:ind w:right="360"/>
      <w:jc w:val="right"/>
    </w:pPr>
    <w:r>
      <w:rPr>
        <w:rStyle w:val="PageNumber"/>
      </w:rPr>
      <w:fldChar w:fldCharType="begin"/>
    </w:r>
    <w:r>
      <w:rPr>
        <w:rStyle w:val="PageNumber"/>
      </w:rPr>
      <w:instrText xml:space="preserve"> PAGE </w:instrText>
    </w:r>
    <w:r>
      <w:rPr>
        <w:rStyle w:val="PageNumber"/>
      </w:rPr>
      <w:fldChar w:fldCharType="separate"/>
    </w:r>
    <w:r w:rsidR="00DF0BBA">
      <w:rPr>
        <w:rStyle w:val="PageNumber"/>
        <w:noProof/>
      </w:rPr>
      <w:t>19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8A" w:rsidRDefault="0008028A" w:rsidP="00F533CF">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BA80808"/>
    <w:lvl w:ilvl="0">
      <w:start w:val="1"/>
      <w:numFmt w:val="decimal"/>
      <w:lvlText w:val="%1."/>
      <w:lvlJc w:val="left"/>
      <w:pPr>
        <w:tabs>
          <w:tab w:val="num" w:pos="360"/>
        </w:tabs>
        <w:ind w:left="360" w:hanging="360"/>
      </w:pPr>
    </w:lvl>
  </w:abstractNum>
  <w:abstractNum w:abstractNumId="1">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66D0B4E0"/>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3">
    <w:nsid w:val="275D5A87"/>
    <w:multiLevelType w:val="hybridMultilevel"/>
    <w:tmpl w:val="8DFC9C16"/>
    <w:lvl w:ilvl="0" w:tplc="CB1229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767517B"/>
    <w:multiLevelType w:val="hybridMultilevel"/>
    <w:tmpl w:val="4D2CFD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1839A7"/>
    <w:multiLevelType w:val="multilevel"/>
    <w:tmpl w:val="74D69B5E"/>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
    <w:nsid w:val="336D2254"/>
    <w:multiLevelType w:val="hybridMultilevel"/>
    <w:tmpl w:val="C03AF6AE"/>
    <w:lvl w:ilvl="0" w:tplc="42E0EA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FBD0316"/>
    <w:multiLevelType w:val="hybridMultilevel"/>
    <w:tmpl w:val="752A645E"/>
    <w:lvl w:ilvl="0" w:tplc="7898B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9">
    <w:nsid w:val="629D68C2"/>
    <w:multiLevelType w:val="multilevel"/>
    <w:tmpl w:val="EBBE7D7C"/>
    <w:lvl w:ilvl="0">
      <w:start w:val="1"/>
      <w:numFmt w:val="decimal"/>
      <w:lvlText w:val="%1."/>
      <w:lvlJc w:val="left"/>
      <w:pPr>
        <w:ind w:left="720" w:hanging="360"/>
      </w:pPr>
      <w:rPr>
        <w:b w:val="0"/>
        <w:i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8"/>
  </w:num>
  <w:num w:numId="13">
    <w:abstractNumId w:val="2"/>
  </w:num>
  <w:num w:numId="14">
    <w:abstractNumId w:val="7"/>
  </w:num>
  <w:num w:numId="15">
    <w:abstractNumId w:val="2"/>
    <w:lvlOverride w:ilvl="0">
      <w:startOverride w:val="1"/>
    </w:lvlOverride>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6"/>
  </w:num>
  <w:num w:numId="2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7"/>
    <w:rsid w:val="000320B4"/>
    <w:rsid w:val="00041B31"/>
    <w:rsid w:val="0005419F"/>
    <w:rsid w:val="000635AC"/>
    <w:rsid w:val="00066F4D"/>
    <w:rsid w:val="0008028A"/>
    <w:rsid w:val="00082552"/>
    <w:rsid w:val="000A09C8"/>
    <w:rsid w:val="000A1C33"/>
    <w:rsid w:val="000A3BD5"/>
    <w:rsid w:val="000B0AF8"/>
    <w:rsid w:val="000C1384"/>
    <w:rsid w:val="000C28A5"/>
    <w:rsid w:val="000E40B8"/>
    <w:rsid w:val="000F597A"/>
    <w:rsid w:val="00110B83"/>
    <w:rsid w:val="001132EB"/>
    <w:rsid w:val="001216F7"/>
    <w:rsid w:val="001358FA"/>
    <w:rsid w:val="00144FCC"/>
    <w:rsid w:val="00146FBE"/>
    <w:rsid w:val="0018421A"/>
    <w:rsid w:val="00185D1F"/>
    <w:rsid w:val="0019689F"/>
    <w:rsid w:val="001A061D"/>
    <w:rsid w:val="001B05E7"/>
    <w:rsid w:val="001C24C1"/>
    <w:rsid w:val="001C32C0"/>
    <w:rsid w:val="001D66A1"/>
    <w:rsid w:val="001E0E4C"/>
    <w:rsid w:val="001E0F42"/>
    <w:rsid w:val="00203C78"/>
    <w:rsid w:val="002200AF"/>
    <w:rsid w:val="002207F3"/>
    <w:rsid w:val="0022526E"/>
    <w:rsid w:val="0022612E"/>
    <w:rsid w:val="00234727"/>
    <w:rsid w:val="00241F5A"/>
    <w:rsid w:val="0024441E"/>
    <w:rsid w:val="00250CDF"/>
    <w:rsid w:val="0025276D"/>
    <w:rsid w:val="0025551A"/>
    <w:rsid w:val="00264C7D"/>
    <w:rsid w:val="0029091C"/>
    <w:rsid w:val="002958C7"/>
    <w:rsid w:val="00295956"/>
    <w:rsid w:val="002A426D"/>
    <w:rsid w:val="002B11DA"/>
    <w:rsid w:val="002D0445"/>
    <w:rsid w:val="002D3320"/>
    <w:rsid w:val="002D7DB4"/>
    <w:rsid w:val="002E07C2"/>
    <w:rsid w:val="002E1269"/>
    <w:rsid w:val="0030156B"/>
    <w:rsid w:val="00322F61"/>
    <w:rsid w:val="00323EB8"/>
    <w:rsid w:val="00330D15"/>
    <w:rsid w:val="00352B3A"/>
    <w:rsid w:val="00370B17"/>
    <w:rsid w:val="00373D37"/>
    <w:rsid w:val="003817E9"/>
    <w:rsid w:val="00382281"/>
    <w:rsid w:val="003824D3"/>
    <w:rsid w:val="0039593E"/>
    <w:rsid w:val="00396602"/>
    <w:rsid w:val="003A0E8B"/>
    <w:rsid w:val="003A63FC"/>
    <w:rsid w:val="003A6BD7"/>
    <w:rsid w:val="003B131C"/>
    <w:rsid w:val="003E6C39"/>
    <w:rsid w:val="003F28AD"/>
    <w:rsid w:val="003F72D4"/>
    <w:rsid w:val="00403B86"/>
    <w:rsid w:val="0042079E"/>
    <w:rsid w:val="0042544B"/>
    <w:rsid w:val="004468EB"/>
    <w:rsid w:val="00461037"/>
    <w:rsid w:val="0047151B"/>
    <w:rsid w:val="004730A1"/>
    <w:rsid w:val="00475ABB"/>
    <w:rsid w:val="00490B6E"/>
    <w:rsid w:val="004A665E"/>
    <w:rsid w:val="004A6BB8"/>
    <w:rsid w:val="004B52FA"/>
    <w:rsid w:val="004D32E7"/>
    <w:rsid w:val="00506705"/>
    <w:rsid w:val="00517C0B"/>
    <w:rsid w:val="005228CA"/>
    <w:rsid w:val="005271D2"/>
    <w:rsid w:val="00550A47"/>
    <w:rsid w:val="00555291"/>
    <w:rsid w:val="00566BC6"/>
    <w:rsid w:val="00573298"/>
    <w:rsid w:val="005807C6"/>
    <w:rsid w:val="00590F1F"/>
    <w:rsid w:val="005B0463"/>
    <w:rsid w:val="005C0B29"/>
    <w:rsid w:val="005D2D0C"/>
    <w:rsid w:val="005D604B"/>
    <w:rsid w:val="005D7868"/>
    <w:rsid w:val="005F0AC9"/>
    <w:rsid w:val="00607982"/>
    <w:rsid w:val="006113F0"/>
    <w:rsid w:val="0061317A"/>
    <w:rsid w:val="0061787B"/>
    <w:rsid w:val="0062465B"/>
    <w:rsid w:val="00631D60"/>
    <w:rsid w:val="00661B77"/>
    <w:rsid w:val="00672D6A"/>
    <w:rsid w:val="00677628"/>
    <w:rsid w:val="006814B2"/>
    <w:rsid w:val="006822C2"/>
    <w:rsid w:val="00686783"/>
    <w:rsid w:val="006B6E63"/>
    <w:rsid w:val="006C0FD0"/>
    <w:rsid w:val="006C2A2B"/>
    <w:rsid w:val="006C7ED1"/>
    <w:rsid w:val="006D3F39"/>
    <w:rsid w:val="006D5FE4"/>
    <w:rsid w:val="006F1879"/>
    <w:rsid w:val="006F4611"/>
    <w:rsid w:val="00701963"/>
    <w:rsid w:val="00704A99"/>
    <w:rsid w:val="007057DC"/>
    <w:rsid w:val="0070594D"/>
    <w:rsid w:val="007070B9"/>
    <w:rsid w:val="0071159E"/>
    <w:rsid w:val="00760321"/>
    <w:rsid w:val="00761218"/>
    <w:rsid w:val="00780750"/>
    <w:rsid w:val="007A66E7"/>
    <w:rsid w:val="007B65D5"/>
    <w:rsid w:val="007C5AD7"/>
    <w:rsid w:val="007D3215"/>
    <w:rsid w:val="007D418D"/>
    <w:rsid w:val="007D44D4"/>
    <w:rsid w:val="007E1299"/>
    <w:rsid w:val="007E2E45"/>
    <w:rsid w:val="007F139D"/>
    <w:rsid w:val="007F7ABD"/>
    <w:rsid w:val="008157EF"/>
    <w:rsid w:val="00826297"/>
    <w:rsid w:val="0083121E"/>
    <w:rsid w:val="00832456"/>
    <w:rsid w:val="008345B4"/>
    <w:rsid w:val="0083634F"/>
    <w:rsid w:val="00840978"/>
    <w:rsid w:val="00843778"/>
    <w:rsid w:val="008530C7"/>
    <w:rsid w:val="008742FA"/>
    <w:rsid w:val="00881B60"/>
    <w:rsid w:val="00886B1D"/>
    <w:rsid w:val="008902B4"/>
    <w:rsid w:val="00895C55"/>
    <w:rsid w:val="008B0578"/>
    <w:rsid w:val="008B207A"/>
    <w:rsid w:val="008C7029"/>
    <w:rsid w:val="008D0506"/>
    <w:rsid w:val="008E73D0"/>
    <w:rsid w:val="008F6C9D"/>
    <w:rsid w:val="00900462"/>
    <w:rsid w:val="009045ED"/>
    <w:rsid w:val="00904CCE"/>
    <w:rsid w:val="00906E6C"/>
    <w:rsid w:val="00907D2F"/>
    <w:rsid w:val="00920574"/>
    <w:rsid w:val="00920BEA"/>
    <w:rsid w:val="00942F45"/>
    <w:rsid w:val="009465EC"/>
    <w:rsid w:val="0095445D"/>
    <w:rsid w:val="009568CC"/>
    <w:rsid w:val="00964E13"/>
    <w:rsid w:val="00971DDC"/>
    <w:rsid w:val="009939C2"/>
    <w:rsid w:val="00994690"/>
    <w:rsid w:val="00996B86"/>
    <w:rsid w:val="009A5F70"/>
    <w:rsid w:val="009B1368"/>
    <w:rsid w:val="009C6111"/>
    <w:rsid w:val="009D1F46"/>
    <w:rsid w:val="009D4A03"/>
    <w:rsid w:val="009D4AE7"/>
    <w:rsid w:val="009E2584"/>
    <w:rsid w:val="009E4984"/>
    <w:rsid w:val="009E5440"/>
    <w:rsid w:val="00A13484"/>
    <w:rsid w:val="00A24C12"/>
    <w:rsid w:val="00A27512"/>
    <w:rsid w:val="00A3262C"/>
    <w:rsid w:val="00A33E45"/>
    <w:rsid w:val="00A44271"/>
    <w:rsid w:val="00A46242"/>
    <w:rsid w:val="00A53493"/>
    <w:rsid w:val="00A538AD"/>
    <w:rsid w:val="00A547E0"/>
    <w:rsid w:val="00A802EB"/>
    <w:rsid w:val="00A85516"/>
    <w:rsid w:val="00A87AA3"/>
    <w:rsid w:val="00A9109D"/>
    <w:rsid w:val="00A97082"/>
    <w:rsid w:val="00AA73BD"/>
    <w:rsid w:val="00AB38BD"/>
    <w:rsid w:val="00AC5DA4"/>
    <w:rsid w:val="00AC61FC"/>
    <w:rsid w:val="00AD10B3"/>
    <w:rsid w:val="00AD3FAB"/>
    <w:rsid w:val="00AD6C7C"/>
    <w:rsid w:val="00AE1137"/>
    <w:rsid w:val="00AF604D"/>
    <w:rsid w:val="00AF6DA7"/>
    <w:rsid w:val="00B076EE"/>
    <w:rsid w:val="00B13FCA"/>
    <w:rsid w:val="00B30E3C"/>
    <w:rsid w:val="00B36A1C"/>
    <w:rsid w:val="00B42575"/>
    <w:rsid w:val="00B56A6C"/>
    <w:rsid w:val="00B64839"/>
    <w:rsid w:val="00B954F5"/>
    <w:rsid w:val="00BA6CFD"/>
    <w:rsid w:val="00BE0481"/>
    <w:rsid w:val="00BE234D"/>
    <w:rsid w:val="00BE50BC"/>
    <w:rsid w:val="00C11683"/>
    <w:rsid w:val="00C11A87"/>
    <w:rsid w:val="00C2101E"/>
    <w:rsid w:val="00C21431"/>
    <w:rsid w:val="00C215FD"/>
    <w:rsid w:val="00C4420C"/>
    <w:rsid w:val="00C56D3D"/>
    <w:rsid w:val="00C60CA2"/>
    <w:rsid w:val="00C6411F"/>
    <w:rsid w:val="00C6647F"/>
    <w:rsid w:val="00C674DA"/>
    <w:rsid w:val="00C74B4D"/>
    <w:rsid w:val="00C93A2E"/>
    <w:rsid w:val="00C978C4"/>
    <w:rsid w:val="00CA7E67"/>
    <w:rsid w:val="00CB47EA"/>
    <w:rsid w:val="00CB7A72"/>
    <w:rsid w:val="00CE2AFF"/>
    <w:rsid w:val="00CE7E48"/>
    <w:rsid w:val="00CF1ED6"/>
    <w:rsid w:val="00CF2EC5"/>
    <w:rsid w:val="00D16E3F"/>
    <w:rsid w:val="00D3725F"/>
    <w:rsid w:val="00D43E36"/>
    <w:rsid w:val="00D65024"/>
    <w:rsid w:val="00D73B22"/>
    <w:rsid w:val="00DB1054"/>
    <w:rsid w:val="00DB26E9"/>
    <w:rsid w:val="00DB5D93"/>
    <w:rsid w:val="00DB6326"/>
    <w:rsid w:val="00DC5B78"/>
    <w:rsid w:val="00DC65FB"/>
    <w:rsid w:val="00DF0BBA"/>
    <w:rsid w:val="00DF63D9"/>
    <w:rsid w:val="00E01CC7"/>
    <w:rsid w:val="00E04035"/>
    <w:rsid w:val="00E20BBD"/>
    <w:rsid w:val="00E24EED"/>
    <w:rsid w:val="00E34B0C"/>
    <w:rsid w:val="00E36206"/>
    <w:rsid w:val="00E42180"/>
    <w:rsid w:val="00E70C9B"/>
    <w:rsid w:val="00E7425B"/>
    <w:rsid w:val="00E812BB"/>
    <w:rsid w:val="00E83E1D"/>
    <w:rsid w:val="00E849F1"/>
    <w:rsid w:val="00E8606E"/>
    <w:rsid w:val="00E868B3"/>
    <w:rsid w:val="00E964C3"/>
    <w:rsid w:val="00E97005"/>
    <w:rsid w:val="00EA1389"/>
    <w:rsid w:val="00EB2CC0"/>
    <w:rsid w:val="00EB3D61"/>
    <w:rsid w:val="00EB5F1F"/>
    <w:rsid w:val="00ED53C1"/>
    <w:rsid w:val="00ED782F"/>
    <w:rsid w:val="00EE060F"/>
    <w:rsid w:val="00EE7209"/>
    <w:rsid w:val="00EF39C8"/>
    <w:rsid w:val="00EF5551"/>
    <w:rsid w:val="00F13FC3"/>
    <w:rsid w:val="00F20678"/>
    <w:rsid w:val="00F31B11"/>
    <w:rsid w:val="00F32F5B"/>
    <w:rsid w:val="00F35357"/>
    <w:rsid w:val="00F367AA"/>
    <w:rsid w:val="00F533CF"/>
    <w:rsid w:val="00F607BA"/>
    <w:rsid w:val="00F65C0F"/>
    <w:rsid w:val="00F70374"/>
    <w:rsid w:val="00F75A67"/>
    <w:rsid w:val="00F85458"/>
    <w:rsid w:val="00F9256A"/>
    <w:rsid w:val="00FB3473"/>
    <w:rsid w:val="00FC1B64"/>
    <w:rsid w:val="00FC441A"/>
    <w:rsid w:val="00FD6CC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124538-C91F-4F0B-B1D0-30098195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F5"/>
    <w:pPr>
      <w:widowControl w:val="0"/>
      <w:spacing w:line="360" w:lineRule="auto"/>
      <w:jc w:val="both"/>
    </w:pPr>
    <w:rPr>
      <w:rFonts w:ascii="Arial" w:hAnsi="Arial"/>
      <w:spacing w:val="-3"/>
      <w:sz w:val="24"/>
      <w:lang w:val="en-GB" w:eastAsia="en-US"/>
    </w:rPr>
  </w:style>
  <w:style w:type="paragraph" w:styleId="Heading1">
    <w:name w:val="heading 1"/>
    <w:basedOn w:val="Normal"/>
    <w:next w:val="Normal"/>
    <w:link w:val="Heading1Char"/>
    <w:qFormat/>
    <w:rsid w:val="00F35357"/>
    <w:pPr>
      <w:numPr>
        <w:numId w:val="13"/>
      </w:numPr>
      <w:ind w:left="0" w:firstLine="0"/>
      <w:outlineLvl w:val="0"/>
    </w:pPr>
  </w:style>
  <w:style w:type="paragraph" w:styleId="Heading2">
    <w:name w:val="heading 2"/>
    <w:basedOn w:val="Normal"/>
    <w:next w:val="Normal"/>
    <w:qFormat/>
    <w:rsid w:val="00942F45"/>
    <w:pPr>
      <w:numPr>
        <w:ilvl w:val="1"/>
        <w:numId w:val="13"/>
      </w:numPr>
      <w:ind w:left="720" w:firstLine="0"/>
      <w:outlineLvl w:val="1"/>
    </w:pPr>
  </w:style>
  <w:style w:type="paragraph" w:styleId="Heading3">
    <w:name w:val="heading 3"/>
    <w:basedOn w:val="Normal"/>
    <w:next w:val="Normal"/>
    <w:qFormat/>
    <w:rsid w:val="00942F45"/>
    <w:pPr>
      <w:numPr>
        <w:ilvl w:val="2"/>
        <w:numId w:val="13"/>
      </w:numPr>
      <w:ind w:left="1440"/>
      <w:outlineLvl w:val="2"/>
    </w:pPr>
  </w:style>
  <w:style w:type="paragraph" w:styleId="Heading4">
    <w:name w:val="heading 4"/>
    <w:basedOn w:val="Normal"/>
    <w:next w:val="Normal"/>
    <w:qFormat/>
    <w:rsid w:val="00942F45"/>
    <w:pPr>
      <w:numPr>
        <w:ilvl w:val="3"/>
        <w:numId w:val="13"/>
      </w:numPr>
      <w:ind w:left="2880" w:firstLine="0"/>
      <w:outlineLvl w:val="3"/>
    </w:pPr>
  </w:style>
  <w:style w:type="paragraph" w:styleId="Heading5">
    <w:name w:val="heading 5"/>
    <w:basedOn w:val="Normal"/>
    <w:next w:val="Normal"/>
    <w:qFormat/>
    <w:rsid w:val="00B954F5"/>
    <w:pPr>
      <w:numPr>
        <w:ilvl w:val="4"/>
        <w:numId w:val="13"/>
      </w:numPr>
      <w:outlineLvl w:val="4"/>
    </w:pPr>
  </w:style>
  <w:style w:type="paragraph" w:styleId="Heading6">
    <w:name w:val="heading 6"/>
    <w:basedOn w:val="Normal"/>
    <w:next w:val="Normal"/>
    <w:qFormat/>
    <w:rsid w:val="00B954F5"/>
    <w:pPr>
      <w:numPr>
        <w:ilvl w:val="5"/>
        <w:numId w:val="13"/>
      </w:numPr>
      <w:outlineLvl w:val="5"/>
    </w:pPr>
    <w:rPr>
      <w:i/>
      <w:sz w:val="22"/>
    </w:rPr>
  </w:style>
  <w:style w:type="paragraph" w:styleId="Heading7">
    <w:name w:val="heading 7"/>
    <w:basedOn w:val="Normal"/>
    <w:next w:val="Normal"/>
    <w:qFormat/>
    <w:rsid w:val="00B954F5"/>
    <w:pPr>
      <w:numPr>
        <w:ilvl w:val="6"/>
        <w:numId w:val="13"/>
      </w:numPr>
      <w:outlineLvl w:val="6"/>
    </w:pPr>
  </w:style>
  <w:style w:type="paragraph" w:styleId="Heading8">
    <w:name w:val="heading 8"/>
    <w:basedOn w:val="Normal"/>
    <w:next w:val="Normal"/>
    <w:qFormat/>
    <w:rsid w:val="00B954F5"/>
    <w:pPr>
      <w:numPr>
        <w:ilvl w:val="7"/>
        <w:numId w:val="13"/>
      </w:numPr>
      <w:outlineLvl w:val="7"/>
    </w:pPr>
    <w:rPr>
      <w:i/>
    </w:rPr>
  </w:style>
  <w:style w:type="paragraph" w:styleId="Heading9">
    <w:name w:val="heading 9"/>
    <w:basedOn w:val="Normal"/>
    <w:next w:val="Normal"/>
    <w:qFormat/>
    <w:rsid w:val="00B954F5"/>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B954F5"/>
  </w:style>
  <w:style w:type="paragraph" w:styleId="EnvelopeReturn">
    <w:name w:val="envelope return"/>
    <w:basedOn w:val="Normal"/>
    <w:semiHidden/>
    <w:rsid w:val="00B954F5"/>
    <w:rPr>
      <w:sz w:val="16"/>
    </w:rPr>
  </w:style>
  <w:style w:type="paragraph" w:styleId="Footer">
    <w:name w:val="footer"/>
    <w:basedOn w:val="Normal"/>
    <w:semiHidden/>
    <w:rsid w:val="00B954F5"/>
    <w:pPr>
      <w:tabs>
        <w:tab w:val="center" w:pos="4320"/>
        <w:tab w:val="right" w:pos="8640"/>
      </w:tabs>
    </w:pPr>
  </w:style>
  <w:style w:type="paragraph" w:styleId="Header">
    <w:name w:val="header"/>
    <w:basedOn w:val="Normal"/>
    <w:semiHidden/>
    <w:rsid w:val="00B954F5"/>
    <w:pPr>
      <w:tabs>
        <w:tab w:val="center" w:pos="4320"/>
        <w:tab w:val="right" w:pos="8640"/>
      </w:tabs>
    </w:pPr>
  </w:style>
  <w:style w:type="paragraph" w:styleId="ListBullet">
    <w:name w:val="List Bullet"/>
    <w:basedOn w:val="Normal"/>
    <w:next w:val="Normal"/>
    <w:autoRedefine/>
    <w:semiHidden/>
    <w:rsid w:val="00B954F5"/>
    <w:pPr>
      <w:spacing w:after="360"/>
      <w:ind w:left="357" w:hanging="357"/>
    </w:pPr>
  </w:style>
  <w:style w:type="paragraph" w:styleId="ListNumber">
    <w:name w:val="List Number"/>
    <w:basedOn w:val="Normal"/>
    <w:semiHidden/>
    <w:rsid w:val="00B954F5"/>
    <w:pPr>
      <w:ind w:left="360" w:hanging="360"/>
    </w:pPr>
  </w:style>
  <w:style w:type="character" w:styleId="PageNumber">
    <w:name w:val="page number"/>
    <w:basedOn w:val="DefaultParagraphFont"/>
    <w:semiHidden/>
    <w:rsid w:val="00B954F5"/>
    <w:rPr>
      <w:rFonts w:ascii="Arial" w:hAnsi="Arial"/>
    </w:rPr>
  </w:style>
  <w:style w:type="paragraph" w:styleId="Subtitle">
    <w:name w:val="Subtitle"/>
    <w:basedOn w:val="Normal"/>
    <w:qFormat/>
    <w:rsid w:val="00B954F5"/>
    <w:pPr>
      <w:spacing w:after="60"/>
      <w:jc w:val="center"/>
    </w:pPr>
    <w:rPr>
      <w:i/>
    </w:rPr>
  </w:style>
  <w:style w:type="paragraph" w:styleId="FootnoteText">
    <w:name w:val="footnote text"/>
    <w:basedOn w:val="Normal"/>
    <w:link w:val="FootnoteTextChar"/>
    <w:autoRedefine/>
    <w:uiPriority w:val="99"/>
    <w:unhideWhenUsed/>
    <w:qFormat/>
    <w:rsid w:val="00B36A1C"/>
    <w:pPr>
      <w:tabs>
        <w:tab w:val="left" w:pos="450"/>
        <w:tab w:val="left" w:pos="720"/>
      </w:tabs>
      <w:spacing w:before="240" w:line="240" w:lineRule="auto"/>
      <w:ind w:left="450" w:hanging="450"/>
    </w:pPr>
    <w:rPr>
      <w:sz w:val="20"/>
    </w:rPr>
  </w:style>
  <w:style w:type="character" w:customStyle="1" w:styleId="FootnoteTextChar">
    <w:name w:val="Footnote Text Char"/>
    <w:basedOn w:val="DefaultParagraphFont"/>
    <w:link w:val="FootnoteText"/>
    <w:uiPriority w:val="99"/>
    <w:rsid w:val="00B36A1C"/>
    <w:rPr>
      <w:rFonts w:ascii="Arial" w:hAnsi="Arial"/>
      <w:spacing w:val="-3"/>
      <w:lang w:val="en-GB" w:eastAsia="en-US"/>
    </w:rPr>
  </w:style>
  <w:style w:type="character" w:styleId="FootnoteReference">
    <w:name w:val="footnote reference"/>
    <w:basedOn w:val="DefaultParagraphFont"/>
    <w:uiPriority w:val="99"/>
    <w:unhideWhenUsed/>
    <w:rsid w:val="00D3725F"/>
    <w:rPr>
      <w:vertAlign w:val="superscript"/>
    </w:rPr>
  </w:style>
  <w:style w:type="character" w:customStyle="1" w:styleId="Heading1Char">
    <w:name w:val="Heading 1 Char"/>
    <w:basedOn w:val="DefaultParagraphFont"/>
    <w:link w:val="Heading1"/>
    <w:rsid w:val="00D3725F"/>
    <w:rPr>
      <w:rFonts w:ascii="Arial" w:hAnsi="Arial"/>
      <w:spacing w:val="-3"/>
      <w:sz w:val="24"/>
      <w:lang w:val="en-GB" w:eastAsia="en-US"/>
    </w:rPr>
  </w:style>
  <w:style w:type="table" w:styleId="TableGrid">
    <w:name w:val="Table Grid"/>
    <w:basedOn w:val="TableNormal"/>
    <w:uiPriority w:val="59"/>
    <w:rsid w:val="00BE5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0B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17"/>
    <w:rPr>
      <w:rFonts w:ascii="Tahoma" w:hAnsi="Tahoma" w:cs="Tahoma"/>
      <w:spacing w:val="-3"/>
      <w:sz w:val="16"/>
      <w:szCs w:val="16"/>
      <w:lang w:val="en-GB" w:eastAsia="en-US"/>
    </w:rPr>
  </w:style>
  <w:style w:type="character" w:customStyle="1" w:styleId="apple-converted-space">
    <w:name w:val="apple-converted-space"/>
    <w:basedOn w:val="DefaultParagraphFont"/>
    <w:rsid w:val="004B52FA"/>
  </w:style>
  <w:style w:type="character" w:customStyle="1" w:styleId="mc">
    <w:name w:val="mc"/>
    <w:basedOn w:val="DefaultParagraphFont"/>
    <w:rsid w:val="004B52FA"/>
  </w:style>
  <w:style w:type="paragraph" w:styleId="BodyText">
    <w:name w:val="Body Text"/>
    <w:basedOn w:val="Normal"/>
    <w:link w:val="BodyTextChar"/>
    <w:uiPriority w:val="99"/>
    <w:rsid w:val="005B0463"/>
    <w:pPr>
      <w:widowControl/>
      <w:spacing w:line="240" w:lineRule="auto"/>
      <w:jc w:val="center"/>
    </w:pPr>
    <w:rPr>
      <w:rFonts w:ascii="Times New Roman" w:hAnsi="Times New Roman"/>
      <w:spacing w:val="0"/>
      <w:szCs w:val="24"/>
    </w:rPr>
  </w:style>
  <w:style w:type="character" w:customStyle="1" w:styleId="BodyTextChar">
    <w:name w:val="Body Text Char"/>
    <w:basedOn w:val="DefaultParagraphFont"/>
    <w:link w:val="BodyText"/>
    <w:uiPriority w:val="99"/>
    <w:rsid w:val="005B0463"/>
    <w:rPr>
      <w:sz w:val="24"/>
      <w:szCs w:val="24"/>
      <w:lang w:val="en-GB" w:eastAsia="en-US"/>
    </w:rPr>
  </w:style>
  <w:style w:type="paragraph" w:styleId="ListParagraph">
    <w:name w:val="List Paragraph"/>
    <w:basedOn w:val="Normal"/>
    <w:qFormat/>
    <w:rsid w:val="005D2D0C"/>
    <w:pPr>
      <w:widowControl/>
      <w:spacing w:line="240" w:lineRule="auto"/>
      <w:ind w:left="720"/>
      <w:jc w:val="left"/>
    </w:pPr>
    <w:rPr>
      <w:rFonts w:ascii="Times New Roman" w:hAnsi="Times New Roman"/>
      <w:spacing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6004">
      <w:bodyDiv w:val="1"/>
      <w:marLeft w:val="0"/>
      <w:marRight w:val="0"/>
      <w:marTop w:val="0"/>
      <w:marBottom w:val="0"/>
      <w:divBdr>
        <w:top w:val="none" w:sz="0" w:space="0" w:color="auto"/>
        <w:left w:val="none" w:sz="0" w:space="0" w:color="auto"/>
        <w:bottom w:val="none" w:sz="0" w:space="0" w:color="auto"/>
        <w:right w:val="none" w:sz="0" w:space="0" w:color="auto"/>
      </w:divBdr>
    </w:div>
    <w:div w:id="8012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AppData\Roaming\Microsoft\Templates\Hea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2017-05-23T18:30:00+00:00</Judgment_x0020_Date>
    <Year xmlns="c1afb1bd-f2fb-40fd-9abb-aea55b4d7662">2017</Year>
  </documentManagement>
</p:properties>
</file>

<file path=customXml/itemProps1.xml><?xml version="1.0" encoding="utf-8"?>
<ds:datastoreItem xmlns:ds="http://schemas.openxmlformats.org/officeDocument/2006/customXml" ds:itemID="{B8AD61FF-5734-4F0A-8F52-2CBC9E308670}"/>
</file>

<file path=customXml/itemProps2.xml><?xml version="1.0" encoding="utf-8"?>
<ds:datastoreItem xmlns:ds="http://schemas.openxmlformats.org/officeDocument/2006/customXml" ds:itemID="{993A6655-61C0-4C85-A00A-E325295809BF}"/>
</file>

<file path=customXml/itemProps3.xml><?xml version="1.0" encoding="utf-8"?>
<ds:datastoreItem xmlns:ds="http://schemas.openxmlformats.org/officeDocument/2006/customXml" ds:itemID="{1CC2D597-0318-41CD-AAC3-B8CC6850BF46}"/>
</file>

<file path=customXml/itemProps4.xml><?xml version="1.0" encoding="utf-8"?>
<ds:datastoreItem xmlns:ds="http://schemas.openxmlformats.org/officeDocument/2006/customXml" ds:itemID="{5C101B6B-0790-4CA5-AF99-EAA24ADCE57A}"/>
</file>

<file path=docProps/app.xml><?xml version="1.0" encoding="utf-8"?>
<Properties xmlns="http://schemas.openxmlformats.org/officeDocument/2006/extended-properties" xmlns:vt="http://schemas.openxmlformats.org/officeDocument/2006/docPropsVTypes">
  <Template>Heads</Template>
  <TotalTime>3</TotalTime>
  <Pages>19</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35425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subject/>
  <dc:creator>Monica</dc:creator>
  <cp:keywords/>
  <dc:description/>
  <cp:lastModifiedBy>Lotta Ambunda</cp:lastModifiedBy>
  <cp:revision>2</cp:revision>
  <cp:lastPrinted>2017-06-01T15:53:00Z</cp:lastPrinted>
  <dcterms:created xsi:type="dcterms:W3CDTF">2017-06-02T15:13:00Z</dcterms:created>
  <dcterms:modified xsi:type="dcterms:W3CDTF">2017-06-02T15:13:00Z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