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BC" w:rsidRPr="00491B8F" w:rsidRDefault="00617DBE" w:rsidP="00FD14BC">
      <w:pPr>
        <w:spacing w:line="360" w:lineRule="auto"/>
        <w:ind w:left="720" w:firstLine="720"/>
        <w:jc w:val="right"/>
        <w:rPr>
          <w:rFonts w:ascii="Arial" w:hAnsi="Arial" w:cs="Arial"/>
          <w:lang w:val="en-ZA"/>
        </w:rPr>
      </w:pPr>
      <w:bookmarkStart w:id="0" w:name="_GoBack"/>
      <w:bookmarkEnd w:id="0"/>
      <w:r w:rsidRPr="006B344C">
        <w:rPr>
          <w:rFonts w:ascii="Arial" w:hAnsi="Arial" w:cs="Arial"/>
          <w:b/>
          <w:lang w:val="en-ZA"/>
        </w:rPr>
        <w:t>REPUBLIC OF NAMIBIA</w:t>
      </w:r>
      <w:r w:rsidR="00FD14BC" w:rsidRPr="00FD14BC">
        <w:rPr>
          <w:rFonts w:ascii="Arial" w:hAnsi="Arial" w:cs="Arial"/>
          <w:lang w:val="en-ZA"/>
        </w:rPr>
        <w:t xml:space="preserve"> </w:t>
      </w:r>
      <w:r w:rsidR="00FD14BC">
        <w:rPr>
          <w:rFonts w:ascii="Arial" w:hAnsi="Arial" w:cs="Arial"/>
          <w:lang w:val="en-ZA"/>
        </w:rPr>
        <w:t xml:space="preserve">       NOT</w:t>
      </w:r>
      <w:r w:rsidR="00FD14BC" w:rsidRPr="00491B8F">
        <w:rPr>
          <w:rFonts w:ascii="Arial" w:hAnsi="Arial" w:cs="Arial"/>
          <w:lang w:val="en-ZA"/>
        </w:rPr>
        <w:t xml:space="preserve"> REPORTABLE</w:t>
      </w:r>
      <w:r w:rsidR="00FD14BC" w:rsidRPr="00491B8F">
        <w:rPr>
          <w:rFonts w:ascii="Arial" w:hAnsi="Arial" w:cs="Arial"/>
          <w:b/>
          <w:lang w:val="en-ZA"/>
        </w:rPr>
        <w:t xml:space="preserve">                                 </w:t>
      </w:r>
    </w:p>
    <w:p w:rsidR="00AB6605" w:rsidRPr="006B344C" w:rsidRDefault="00F46F77" w:rsidP="006B344C">
      <w:pPr>
        <w:spacing w:line="360" w:lineRule="auto"/>
        <w:ind w:left="720" w:hanging="11"/>
        <w:jc w:val="center"/>
        <w:rPr>
          <w:rFonts w:ascii="Arial" w:hAnsi="Arial" w:cs="Arial"/>
          <w:lang w:val="en-ZA"/>
        </w:rPr>
      </w:pPr>
      <w:r w:rsidRPr="006B344C">
        <w:rPr>
          <w:rFonts w:ascii="Arial" w:hAnsi="Arial" w:cs="Arial"/>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AB6605" w:rsidRPr="006B344C" w:rsidRDefault="00617DBE" w:rsidP="006B344C">
      <w:pPr>
        <w:spacing w:line="360" w:lineRule="auto"/>
        <w:ind w:left="720" w:hanging="720"/>
        <w:jc w:val="center"/>
        <w:rPr>
          <w:rFonts w:ascii="Arial" w:hAnsi="Arial" w:cs="Arial"/>
          <w:b/>
          <w:lang w:val="en-ZA"/>
        </w:rPr>
      </w:pPr>
      <w:r w:rsidRPr="006B344C">
        <w:rPr>
          <w:rFonts w:ascii="Arial" w:hAnsi="Arial" w:cs="Arial"/>
          <w:b/>
          <w:lang w:val="en-ZA"/>
        </w:rPr>
        <w:t xml:space="preserve">HIGH COURT OF NAMIBIA </w:t>
      </w:r>
      <w:r w:rsidR="00C86ACA">
        <w:rPr>
          <w:rFonts w:ascii="Arial" w:hAnsi="Arial" w:cs="Arial"/>
          <w:b/>
          <w:lang w:val="en-ZA"/>
        </w:rPr>
        <w:t>MAIN</w:t>
      </w:r>
      <w:r w:rsidRPr="006B344C">
        <w:rPr>
          <w:rFonts w:ascii="Arial" w:hAnsi="Arial" w:cs="Arial"/>
          <w:b/>
          <w:lang w:val="en-ZA"/>
        </w:rPr>
        <w:t xml:space="preserve"> DIVISION</w:t>
      </w:r>
      <w:r w:rsidR="00331F89" w:rsidRPr="006B344C">
        <w:rPr>
          <w:rFonts w:ascii="Arial" w:hAnsi="Arial" w:cs="Arial"/>
          <w:b/>
          <w:lang w:val="en-ZA"/>
        </w:rPr>
        <w:t xml:space="preserve">, </w:t>
      </w:r>
      <w:r w:rsidR="00C86ACA">
        <w:rPr>
          <w:rFonts w:ascii="Arial" w:hAnsi="Arial" w:cs="Arial"/>
          <w:b/>
          <w:lang w:val="en-ZA"/>
        </w:rPr>
        <w:t>WINDHOEK</w:t>
      </w:r>
    </w:p>
    <w:p w:rsidR="00331F89" w:rsidRPr="006B344C" w:rsidRDefault="00331F89" w:rsidP="006B344C">
      <w:pPr>
        <w:spacing w:line="360" w:lineRule="auto"/>
        <w:ind w:left="720" w:hanging="11"/>
        <w:jc w:val="center"/>
        <w:rPr>
          <w:rFonts w:ascii="Arial" w:hAnsi="Arial" w:cs="Arial"/>
          <w:b/>
          <w:lang w:val="en-ZA"/>
        </w:rPr>
      </w:pPr>
      <w:r w:rsidRPr="006B344C">
        <w:rPr>
          <w:rFonts w:ascii="Arial" w:hAnsi="Arial" w:cs="Arial"/>
          <w:b/>
          <w:lang w:val="en-ZA"/>
        </w:rPr>
        <w:t>JUDGMENT</w:t>
      </w:r>
    </w:p>
    <w:p w:rsidR="009B5ACD" w:rsidRPr="006B344C" w:rsidRDefault="00AB6605" w:rsidP="006B344C">
      <w:pPr>
        <w:spacing w:line="360" w:lineRule="auto"/>
        <w:ind w:left="720" w:firstLine="720"/>
        <w:jc w:val="right"/>
        <w:rPr>
          <w:rFonts w:ascii="Arial" w:hAnsi="Arial" w:cs="Arial"/>
          <w:b/>
          <w:lang w:val="en-ZA"/>
        </w:rPr>
      </w:pP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Pr="006B344C">
        <w:rPr>
          <w:rFonts w:ascii="Arial" w:hAnsi="Arial" w:cs="Arial"/>
          <w:b/>
          <w:lang w:val="en-ZA"/>
        </w:rPr>
        <w:tab/>
      </w:r>
      <w:r w:rsidR="000C626E" w:rsidRPr="006B344C">
        <w:rPr>
          <w:rFonts w:ascii="Arial" w:hAnsi="Arial" w:cs="Arial"/>
          <w:lang w:val="en-ZA"/>
        </w:rPr>
        <w:t>Case no</w:t>
      </w:r>
      <w:r w:rsidR="00A139F5" w:rsidRPr="006B344C">
        <w:rPr>
          <w:rFonts w:ascii="Arial" w:hAnsi="Arial" w:cs="Arial"/>
          <w:lang w:val="en-ZA"/>
        </w:rPr>
        <w:t>: CC</w:t>
      </w:r>
      <w:r w:rsidR="00991914">
        <w:rPr>
          <w:rFonts w:ascii="Arial" w:hAnsi="Arial" w:cs="Arial"/>
          <w:lang w:val="en-ZA"/>
        </w:rPr>
        <w:t xml:space="preserve"> 05</w:t>
      </w:r>
      <w:r w:rsidR="005C2A66" w:rsidRPr="006B344C">
        <w:rPr>
          <w:rFonts w:ascii="Arial" w:hAnsi="Arial" w:cs="Arial"/>
          <w:lang w:val="en-ZA"/>
        </w:rPr>
        <w:t>/201</w:t>
      </w:r>
      <w:r w:rsidR="00991914">
        <w:rPr>
          <w:rFonts w:ascii="Arial" w:hAnsi="Arial" w:cs="Arial"/>
          <w:lang w:val="en-ZA"/>
        </w:rPr>
        <w:t>7</w:t>
      </w:r>
    </w:p>
    <w:p w:rsidR="009B5ACD" w:rsidRPr="006B344C" w:rsidRDefault="009B5ACD" w:rsidP="006B344C">
      <w:pPr>
        <w:spacing w:line="360" w:lineRule="auto"/>
        <w:jc w:val="center"/>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In the matter between:</w:t>
      </w:r>
    </w:p>
    <w:p w:rsidR="009B5ACD" w:rsidRPr="006B344C" w:rsidRDefault="009B5ACD" w:rsidP="006B344C">
      <w:pP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r w:rsidRPr="006B344C">
        <w:rPr>
          <w:rFonts w:ascii="Arial" w:hAnsi="Arial" w:cs="Arial"/>
          <w:b/>
          <w:lang w:val="en-ZA"/>
        </w:rPr>
        <w:t>THE STATE</w:t>
      </w:r>
    </w:p>
    <w:p w:rsidR="001B0ADC" w:rsidRPr="006B344C" w:rsidRDefault="001B0ADC" w:rsidP="006B344C">
      <w:pPr>
        <w:spacing w:line="360" w:lineRule="auto"/>
        <w:jc w:val="both"/>
        <w:rPr>
          <w:rFonts w:ascii="Arial" w:hAnsi="Arial" w:cs="Arial"/>
          <w:b/>
          <w:lang w:val="en-ZA"/>
        </w:rPr>
      </w:pPr>
    </w:p>
    <w:p w:rsidR="009B5ACD" w:rsidRPr="006B344C" w:rsidRDefault="009B5ACD" w:rsidP="006B344C">
      <w:pPr>
        <w:spacing w:line="360" w:lineRule="auto"/>
        <w:jc w:val="both"/>
        <w:rPr>
          <w:rFonts w:ascii="Arial" w:hAnsi="Arial" w:cs="Arial"/>
          <w:lang w:val="en-ZA"/>
        </w:rPr>
      </w:pPr>
      <w:r w:rsidRPr="006B344C">
        <w:rPr>
          <w:rFonts w:ascii="Arial" w:hAnsi="Arial" w:cs="Arial"/>
          <w:lang w:val="en-ZA"/>
        </w:rPr>
        <w:t>and</w:t>
      </w:r>
    </w:p>
    <w:p w:rsidR="001B0ADC" w:rsidRPr="006B344C" w:rsidRDefault="001B0ADC" w:rsidP="006B344C">
      <w:pPr>
        <w:spacing w:line="360" w:lineRule="auto"/>
        <w:jc w:val="both"/>
        <w:rPr>
          <w:rFonts w:ascii="Arial" w:hAnsi="Arial" w:cs="Arial"/>
          <w:b/>
          <w:lang w:val="en-ZA"/>
        </w:rPr>
      </w:pPr>
    </w:p>
    <w:p w:rsidR="009B5ACD" w:rsidRPr="006B344C" w:rsidRDefault="00991914" w:rsidP="006B344C">
      <w:pPr>
        <w:spacing w:line="360" w:lineRule="auto"/>
        <w:jc w:val="both"/>
        <w:rPr>
          <w:rFonts w:ascii="Arial" w:hAnsi="Arial" w:cs="Arial"/>
          <w:b/>
          <w:lang w:val="en-ZA"/>
        </w:rPr>
      </w:pPr>
      <w:r>
        <w:rPr>
          <w:rFonts w:ascii="Arial" w:hAnsi="Arial" w:cs="Arial"/>
          <w:b/>
          <w:lang w:val="en-ZA"/>
        </w:rPr>
        <w:t>PLESIE GOWASEB</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00D5553F" w:rsidRPr="006B344C">
        <w:rPr>
          <w:rFonts w:ascii="Arial" w:hAnsi="Arial" w:cs="Arial"/>
          <w:b/>
          <w:lang w:val="en-ZA"/>
        </w:rPr>
        <w:t>ACCUSED</w:t>
      </w:r>
    </w:p>
    <w:p w:rsidR="009B5ACD" w:rsidRPr="006B344C" w:rsidRDefault="009B5ACD"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p>
    <w:p w:rsidR="00892190" w:rsidRPr="006B344C" w:rsidRDefault="00892190" w:rsidP="006B344C">
      <w:pPr>
        <w:spacing w:line="360" w:lineRule="auto"/>
        <w:rPr>
          <w:rFonts w:ascii="Arial" w:hAnsi="Arial" w:cs="Arial"/>
          <w:lang w:val="en-ZA"/>
        </w:rPr>
      </w:pPr>
      <w:r w:rsidRPr="006B344C">
        <w:rPr>
          <w:rFonts w:ascii="Arial" w:hAnsi="Arial" w:cs="Arial"/>
          <w:b/>
          <w:lang w:val="en-ZA"/>
        </w:rPr>
        <w:t xml:space="preserve">Neutral citation:  </w:t>
      </w:r>
      <w:r w:rsidR="00FD14BC">
        <w:rPr>
          <w:rFonts w:ascii="Arial" w:hAnsi="Arial" w:cs="Arial"/>
          <w:i/>
          <w:lang w:val="en-ZA"/>
        </w:rPr>
        <w:t>S</w:t>
      </w:r>
      <w:r w:rsidR="001B0ADC" w:rsidRPr="006B344C">
        <w:rPr>
          <w:rFonts w:ascii="Arial" w:hAnsi="Arial" w:cs="Arial"/>
          <w:i/>
          <w:lang w:val="en-ZA"/>
        </w:rPr>
        <w:t xml:space="preserve"> v </w:t>
      </w:r>
      <w:r w:rsidR="00991914">
        <w:rPr>
          <w:rFonts w:ascii="Arial" w:hAnsi="Arial" w:cs="Arial"/>
          <w:i/>
          <w:lang w:val="en-ZA"/>
        </w:rPr>
        <w:t>Gowaseb</w:t>
      </w:r>
      <w:r w:rsidR="00457DD2">
        <w:rPr>
          <w:rFonts w:ascii="Arial" w:hAnsi="Arial" w:cs="Arial"/>
          <w:lang w:val="en-ZA"/>
        </w:rPr>
        <w:t xml:space="preserve"> </w:t>
      </w:r>
      <w:r w:rsidR="00991914">
        <w:rPr>
          <w:rFonts w:ascii="Arial" w:hAnsi="Arial" w:cs="Arial"/>
          <w:lang w:val="en-ZA"/>
        </w:rPr>
        <w:t>(CC 05/2017</w:t>
      </w:r>
      <w:r w:rsidR="0028196B">
        <w:rPr>
          <w:rFonts w:ascii="Arial" w:hAnsi="Arial" w:cs="Arial"/>
          <w:lang w:val="en-ZA"/>
        </w:rPr>
        <w:t xml:space="preserve">) </w:t>
      </w:r>
      <w:r w:rsidR="006403DB">
        <w:rPr>
          <w:rFonts w:ascii="Arial" w:hAnsi="Arial" w:cs="Arial"/>
          <w:lang w:val="en-ZA"/>
        </w:rPr>
        <w:t>[2017</w:t>
      </w:r>
      <w:r w:rsidR="00C86ACA">
        <w:rPr>
          <w:rFonts w:ascii="Arial" w:hAnsi="Arial" w:cs="Arial"/>
          <w:lang w:val="en-ZA"/>
        </w:rPr>
        <w:t>] NAHCMD</w:t>
      </w:r>
      <w:r w:rsidR="00A717A0">
        <w:rPr>
          <w:rFonts w:ascii="Arial" w:hAnsi="Arial" w:cs="Arial"/>
          <w:lang w:val="en-ZA"/>
        </w:rPr>
        <w:t xml:space="preserve"> 193</w:t>
      </w:r>
      <w:r w:rsidR="00991914">
        <w:rPr>
          <w:rFonts w:ascii="Arial" w:hAnsi="Arial" w:cs="Arial"/>
          <w:lang w:val="en-ZA"/>
        </w:rPr>
        <w:t xml:space="preserve"> </w:t>
      </w:r>
      <w:r w:rsidR="00FD14BC">
        <w:rPr>
          <w:rFonts w:ascii="Arial" w:hAnsi="Arial" w:cs="Arial"/>
          <w:lang w:val="en-ZA"/>
        </w:rPr>
        <w:t xml:space="preserve"> </w:t>
      </w:r>
      <w:r w:rsidR="002241B4">
        <w:rPr>
          <w:rFonts w:ascii="Arial" w:hAnsi="Arial" w:cs="Arial"/>
          <w:lang w:val="en-ZA"/>
        </w:rPr>
        <w:t>(19</w:t>
      </w:r>
      <w:r w:rsidR="000050DA" w:rsidRPr="006B344C">
        <w:rPr>
          <w:rFonts w:ascii="Arial" w:hAnsi="Arial" w:cs="Arial"/>
          <w:lang w:val="en-ZA"/>
        </w:rPr>
        <w:t xml:space="preserve"> </w:t>
      </w:r>
      <w:r w:rsidR="00991914">
        <w:rPr>
          <w:rFonts w:ascii="Arial" w:hAnsi="Arial" w:cs="Arial"/>
          <w:lang w:val="en-ZA"/>
        </w:rPr>
        <w:t>July</w:t>
      </w:r>
      <w:r w:rsidR="006403DB">
        <w:rPr>
          <w:rFonts w:ascii="Arial" w:hAnsi="Arial" w:cs="Arial"/>
          <w:lang w:val="en-ZA"/>
        </w:rPr>
        <w:t xml:space="preserve"> 2017</w:t>
      </w:r>
      <w:r w:rsidR="000050DA" w:rsidRPr="006B344C">
        <w:rPr>
          <w:rFonts w:ascii="Arial" w:hAnsi="Arial" w:cs="Arial"/>
          <w:lang w:val="en-ZA"/>
        </w:rPr>
        <w:t>)</w:t>
      </w:r>
    </w:p>
    <w:p w:rsidR="00A92D68" w:rsidRPr="006B344C" w:rsidRDefault="00A92D68" w:rsidP="006B344C">
      <w:pPr>
        <w:spacing w:line="360" w:lineRule="auto"/>
        <w:jc w:val="both"/>
        <w:rPr>
          <w:rFonts w:ascii="Arial" w:hAnsi="Arial" w:cs="Arial"/>
          <w:b/>
          <w:i/>
          <w:lang w:val="en-ZA"/>
        </w:rPr>
      </w:pPr>
    </w:p>
    <w:p w:rsidR="009B5ACD" w:rsidRPr="006B344C" w:rsidRDefault="000C626E" w:rsidP="006B344C">
      <w:pPr>
        <w:spacing w:line="360" w:lineRule="auto"/>
        <w:jc w:val="both"/>
        <w:rPr>
          <w:rFonts w:ascii="Arial" w:hAnsi="Arial" w:cs="Arial"/>
          <w:lang w:val="en-ZA"/>
        </w:rPr>
      </w:pPr>
      <w:r w:rsidRPr="006B344C">
        <w:rPr>
          <w:rFonts w:ascii="Arial" w:hAnsi="Arial" w:cs="Arial"/>
          <w:b/>
          <w:lang w:val="en-ZA"/>
        </w:rPr>
        <w:t>Coram</w:t>
      </w:r>
      <w:r w:rsidR="009B5ACD" w:rsidRPr="006B344C">
        <w:rPr>
          <w:rFonts w:ascii="Arial" w:hAnsi="Arial" w:cs="Arial"/>
          <w:b/>
          <w:lang w:val="en-ZA"/>
        </w:rPr>
        <w:t xml:space="preserve">: </w:t>
      </w:r>
      <w:r w:rsidR="009B5ACD" w:rsidRPr="006B344C">
        <w:rPr>
          <w:rFonts w:ascii="Arial" w:hAnsi="Arial" w:cs="Arial"/>
          <w:b/>
          <w:lang w:val="en-ZA"/>
        </w:rPr>
        <w:tab/>
      </w:r>
      <w:r w:rsidR="00EA0B0D">
        <w:rPr>
          <w:rFonts w:ascii="Arial" w:hAnsi="Arial" w:cs="Arial"/>
          <w:lang w:val="en-ZA"/>
        </w:rPr>
        <w:t>LIEBENBERG</w:t>
      </w:r>
      <w:r w:rsidR="009D6566" w:rsidRPr="006B344C">
        <w:rPr>
          <w:rFonts w:ascii="Arial" w:hAnsi="Arial" w:cs="Arial"/>
          <w:lang w:val="en-ZA"/>
        </w:rPr>
        <w:t xml:space="preserve"> </w:t>
      </w:r>
      <w:r w:rsidR="00EA0B0D">
        <w:rPr>
          <w:rFonts w:ascii="Arial" w:hAnsi="Arial" w:cs="Arial"/>
          <w:lang w:val="en-ZA"/>
        </w:rPr>
        <w:t>J</w:t>
      </w:r>
    </w:p>
    <w:p w:rsidR="009B5ACD" w:rsidRPr="00457DD2" w:rsidRDefault="009B5ACD" w:rsidP="006B344C">
      <w:pPr>
        <w:spacing w:line="360" w:lineRule="auto"/>
        <w:jc w:val="both"/>
        <w:rPr>
          <w:rFonts w:ascii="Arial" w:hAnsi="Arial" w:cs="Arial"/>
          <w:lang w:val="en-ZA"/>
        </w:rPr>
      </w:pPr>
      <w:r w:rsidRPr="006B344C">
        <w:rPr>
          <w:rFonts w:ascii="Arial" w:hAnsi="Arial" w:cs="Arial"/>
          <w:b/>
          <w:lang w:val="en-ZA"/>
        </w:rPr>
        <w:t>Heard</w:t>
      </w:r>
      <w:r w:rsidR="001B0ADC" w:rsidRPr="006B344C">
        <w:rPr>
          <w:rFonts w:ascii="Arial" w:hAnsi="Arial" w:cs="Arial"/>
          <w:b/>
          <w:lang w:val="en-ZA"/>
        </w:rPr>
        <w:t>:</w:t>
      </w:r>
      <w:r w:rsidR="001B0ADC" w:rsidRPr="006B344C">
        <w:rPr>
          <w:rFonts w:ascii="Arial" w:hAnsi="Arial" w:cs="Arial"/>
          <w:b/>
          <w:lang w:val="en-ZA"/>
        </w:rPr>
        <w:tab/>
      </w:r>
      <w:r w:rsidR="00991914">
        <w:rPr>
          <w:rFonts w:ascii="Arial" w:hAnsi="Arial" w:cs="Arial"/>
          <w:lang w:val="en-ZA"/>
        </w:rPr>
        <w:t>28</w:t>
      </w:r>
      <w:r w:rsidR="006403DB">
        <w:rPr>
          <w:rFonts w:ascii="Arial" w:hAnsi="Arial" w:cs="Arial"/>
          <w:lang w:val="en-ZA"/>
        </w:rPr>
        <w:t xml:space="preserve"> June</w:t>
      </w:r>
      <w:r w:rsidR="00991914">
        <w:rPr>
          <w:rFonts w:ascii="Arial" w:hAnsi="Arial" w:cs="Arial"/>
          <w:lang w:val="en-ZA"/>
        </w:rPr>
        <w:t>; 13 – 14 July</w:t>
      </w:r>
      <w:r w:rsidR="006403DB">
        <w:rPr>
          <w:rFonts w:ascii="Arial" w:hAnsi="Arial" w:cs="Arial"/>
          <w:lang w:val="en-ZA"/>
        </w:rPr>
        <w:t xml:space="preserve"> 2017</w:t>
      </w:r>
    </w:p>
    <w:p w:rsidR="001B0ADC" w:rsidRPr="00457DD2" w:rsidRDefault="001B0ADC" w:rsidP="006B344C">
      <w:pPr>
        <w:spacing w:line="360" w:lineRule="auto"/>
        <w:jc w:val="both"/>
        <w:rPr>
          <w:rFonts w:ascii="Arial" w:hAnsi="Arial" w:cs="Arial"/>
          <w:lang w:val="en-ZA"/>
        </w:rPr>
      </w:pPr>
      <w:r w:rsidRPr="006B344C">
        <w:rPr>
          <w:rFonts w:ascii="Arial" w:hAnsi="Arial" w:cs="Arial"/>
          <w:b/>
          <w:lang w:val="en-ZA"/>
        </w:rPr>
        <w:t>Delivered:</w:t>
      </w:r>
      <w:r w:rsidR="009B5ACD" w:rsidRPr="006B344C">
        <w:rPr>
          <w:rFonts w:ascii="Arial" w:hAnsi="Arial" w:cs="Arial"/>
          <w:b/>
          <w:lang w:val="en-ZA"/>
        </w:rPr>
        <w:t xml:space="preserve"> </w:t>
      </w:r>
      <w:r w:rsidR="00766BBA" w:rsidRPr="006B344C">
        <w:rPr>
          <w:rFonts w:ascii="Arial" w:hAnsi="Arial" w:cs="Arial"/>
          <w:b/>
          <w:lang w:val="en-ZA"/>
        </w:rPr>
        <w:tab/>
      </w:r>
      <w:r w:rsidR="002241B4">
        <w:rPr>
          <w:rFonts w:ascii="Arial" w:hAnsi="Arial" w:cs="Arial"/>
          <w:lang w:val="en-ZA"/>
        </w:rPr>
        <w:t>19</w:t>
      </w:r>
      <w:r w:rsidR="00991914">
        <w:rPr>
          <w:rFonts w:ascii="Arial" w:hAnsi="Arial" w:cs="Arial"/>
          <w:lang w:val="en-ZA"/>
        </w:rPr>
        <w:t xml:space="preserve"> July</w:t>
      </w:r>
      <w:r w:rsidR="006403DB">
        <w:rPr>
          <w:rFonts w:ascii="Arial" w:hAnsi="Arial" w:cs="Arial"/>
          <w:lang w:val="en-ZA"/>
        </w:rPr>
        <w:t xml:space="preserve"> 2017</w:t>
      </w:r>
    </w:p>
    <w:p w:rsidR="001B0ADC" w:rsidRPr="006B344C" w:rsidRDefault="001B0ADC" w:rsidP="006B344C">
      <w:pPr>
        <w:spacing w:line="360" w:lineRule="auto"/>
        <w:jc w:val="both"/>
        <w:rPr>
          <w:rFonts w:ascii="Arial" w:hAnsi="Arial" w:cs="Arial"/>
          <w:lang w:val="en-ZA"/>
        </w:rPr>
      </w:pPr>
    </w:p>
    <w:p w:rsidR="002A2414" w:rsidRPr="002A2414" w:rsidRDefault="001B0ADC" w:rsidP="002A2414">
      <w:pPr>
        <w:spacing w:line="360" w:lineRule="auto"/>
        <w:jc w:val="both"/>
        <w:rPr>
          <w:rFonts w:ascii="Arial" w:hAnsi="Arial" w:cs="Arial"/>
          <w:lang w:val="en-ZA"/>
        </w:rPr>
      </w:pPr>
      <w:r w:rsidRPr="006B344C">
        <w:rPr>
          <w:rFonts w:ascii="Arial" w:hAnsi="Arial" w:cs="Arial"/>
          <w:b/>
          <w:lang w:val="en-ZA"/>
        </w:rPr>
        <w:t>Flynote:</w:t>
      </w:r>
      <w:r w:rsidR="002A2414">
        <w:rPr>
          <w:rFonts w:ascii="Arial" w:hAnsi="Arial" w:cs="Arial"/>
          <w:b/>
          <w:lang w:val="en-ZA"/>
        </w:rPr>
        <w:tab/>
      </w:r>
      <w:r w:rsidR="002A2414" w:rsidRPr="002A2414">
        <w:rPr>
          <w:rFonts w:ascii="Arial" w:hAnsi="Arial" w:cs="Arial"/>
          <w:lang w:val="en-ZA"/>
        </w:rPr>
        <w:t>Criminal Procedure – Sentence – Accused convicted of murder with direct intent</w:t>
      </w:r>
      <w:r w:rsidR="002A2414" w:rsidRPr="002A2414">
        <w:rPr>
          <w:rFonts w:ascii="Arial" w:hAnsi="Arial" w:cs="Arial"/>
        </w:rPr>
        <w:t xml:space="preserve"> committed in a domestic setting </w:t>
      </w:r>
      <w:r w:rsidR="002A2414" w:rsidRPr="002A2414">
        <w:rPr>
          <w:rFonts w:ascii="Arial" w:hAnsi="Arial" w:cs="Arial"/>
          <w:lang w:val="en-ZA"/>
        </w:rPr>
        <w:t>and arson – Aggravating and personal circumstances discussed – Accused a second offender – Plea of guilty – Accused remorseful.</w:t>
      </w:r>
    </w:p>
    <w:p w:rsidR="002A2414" w:rsidRPr="002A2414" w:rsidRDefault="002A2414" w:rsidP="002A2414">
      <w:pPr>
        <w:spacing w:line="360" w:lineRule="auto"/>
        <w:jc w:val="both"/>
        <w:rPr>
          <w:rFonts w:ascii="Arial" w:hAnsi="Arial" w:cs="Arial"/>
          <w:lang w:val="en-ZA"/>
        </w:rPr>
      </w:pPr>
    </w:p>
    <w:p w:rsidR="002A2414" w:rsidRPr="002A2414" w:rsidRDefault="002A2414" w:rsidP="002A2414">
      <w:pPr>
        <w:spacing w:line="360" w:lineRule="auto"/>
        <w:jc w:val="both"/>
        <w:rPr>
          <w:rFonts w:ascii="Arial" w:hAnsi="Arial" w:cs="Arial"/>
          <w:lang w:val="en-ZA"/>
        </w:rPr>
      </w:pPr>
      <w:r w:rsidRPr="002A2414">
        <w:rPr>
          <w:rFonts w:ascii="Arial" w:hAnsi="Arial" w:cs="Arial"/>
          <w:lang w:val="en-ZA"/>
        </w:rPr>
        <w:t>Sentence – Court to accord with accused’s moral blameworthiness – Accused’s conduct was irrational and unjustified – No justification exists that renders accused’s behaviour to be regarded as mitigating –</w:t>
      </w:r>
      <w:r>
        <w:rPr>
          <w:rFonts w:ascii="Arial" w:hAnsi="Arial" w:cs="Arial"/>
          <w:lang w:val="en-ZA"/>
        </w:rPr>
        <w:t xml:space="preserve"> Offences were </w:t>
      </w:r>
      <w:r>
        <w:rPr>
          <w:rFonts w:ascii="Arial" w:hAnsi="Arial" w:cs="Arial"/>
          <w:lang w:val="en-ZA"/>
        </w:rPr>
        <w:lastRenderedPageBreak/>
        <w:t>serious, premedita</w:t>
      </w:r>
      <w:r w:rsidRPr="002A2414">
        <w:rPr>
          <w:rFonts w:ascii="Arial" w:hAnsi="Arial" w:cs="Arial"/>
          <w:lang w:val="en-ZA"/>
        </w:rPr>
        <w:t>ted and prevalent – Objective of punishment – Retribution and deterrence.</w:t>
      </w:r>
    </w:p>
    <w:p w:rsidR="002A2414" w:rsidRPr="002A2414" w:rsidRDefault="002A2414" w:rsidP="002A2414">
      <w:pPr>
        <w:spacing w:line="360" w:lineRule="auto"/>
        <w:jc w:val="both"/>
        <w:rPr>
          <w:rFonts w:ascii="Arial" w:hAnsi="Arial" w:cs="Arial"/>
          <w:lang w:val="en-ZA"/>
        </w:rPr>
      </w:pPr>
      <w:r w:rsidRPr="002A2414">
        <w:rPr>
          <w:rFonts w:ascii="Arial" w:hAnsi="Arial" w:cs="Arial"/>
          <w:lang w:val="en-ZA"/>
        </w:rPr>
        <w:t>.</w:t>
      </w:r>
    </w:p>
    <w:p w:rsidR="002A2414" w:rsidRPr="002A2414" w:rsidRDefault="002A2414" w:rsidP="002A2414">
      <w:pPr>
        <w:spacing w:line="360" w:lineRule="auto"/>
        <w:jc w:val="both"/>
        <w:rPr>
          <w:rFonts w:ascii="Arial" w:hAnsi="Arial" w:cs="Arial"/>
          <w:lang w:val="en-ZA"/>
        </w:rPr>
      </w:pPr>
    </w:p>
    <w:p w:rsidR="002A2414" w:rsidRPr="002A2414" w:rsidRDefault="002A2414" w:rsidP="002A2414">
      <w:pPr>
        <w:spacing w:line="360" w:lineRule="auto"/>
        <w:jc w:val="both"/>
        <w:rPr>
          <w:rFonts w:ascii="Arial" w:hAnsi="Arial" w:cs="Arial"/>
          <w:lang w:val="en-ZA"/>
        </w:rPr>
      </w:pPr>
      <w:r w:rsidRPr="002A2414">
        <w:rPr>
          <w:rFonts w:ascii="Arial" w:hAnsi="Arial" w:cs="Arial"/>
          <w:b/>
          <w:lang w:val="en-ZA"/>
        </w:rPr>
        <w:t>Summary:</w:t>
      </w:r>
      <w:r w:rsidRPr="002A2414">
        <w:rPr>
          <w:rFonts w:ascii="Arial" w:hAnsi="Arial" w:cs="Arial"/>
          <w:lang w:val="en-ZA"/>
        </w:rPr>
        <w:t xml:space="preserve">   Accused pleaded guilty to a count of murder read with the provisions of the Combating of Domestic Violence Act 4 of 2003 and arson. Prior to committing the crimes, the accused earlier during the day had approached the deceased with an attempt to rekindle their broken relationship. When the deceased refused to do so, the accused returned during the night with the intent to kill her, locked the door of the deceased’s house from the outside with the padlock he had brought with. While the deceased was sleeping he entered through an open window, doused the room with paraffin and set it alight. He escaped through the window causing the deceased to suffer from burn wounds which she died from one week later. Court found that, his guilty plea coupled with the fact that he had apologized to the deceased’s parents in open court is indicative of genuine remorse. However, accused’s blameworthiness is exacerbated by the fact that his action was premedi</w:t>
      </w:r>
      <w:r>
        <w:rPr>
          <w:rFonts w:ascii="Arial" w:hAnsi="Arial" w:cs="Arial"/>
          <w:lang w:val="en-ZA"/>
        </w:rPr>
        <w:t>t</w:t>
      </w:r>
      <w:r w:rsidRPr="002A2414">
        <w:rPr>
          <w:rFonts w:ascii="Arial" w:hAnsi="Arial" w:cs="Arial"/>
          <w:lang w:val="en-ZA"/>
        </w:rPr>
        <w:t xml:space="preserve">ated and perpetrated against the mother of children for no apparent reason, such offences are serious and prevalent. For purposes of sentencing, the court took into consideration, the seriousness of the offences, the manner in which it was committed as well as the interest of society. The court found that the interests of society outweigh the interests of the accused significantly. </w:t>
      </w:r>
    </w:p>
    <w:p w:rsidR="0019345F" w:rsidRPr="006B344C" w:rsidRDefault="0019345F" w:rsidP="006B344C">
      <w:pPr>
        <w:pBdr>
          <w:bottom w:val="single" w:sz="12" w:space="1" w:color="auto"/>
        </w:pBdr>
        <w:spacing w:line="360" w:lineRule="auto"/>
        <w:jc w:val="both"/>
        <w:rPr>
          <w:rFonts w:ascii="Arial" w:hAnsi="Arial" w:cs="Arial"/>
          <w:lang w:val="en-ZA"/>
        </w:rPr>
      </w:pPr>
    </w:p>
    <w:p w:rsidR="009B5ACD" w:rsidRPr="006B344C" w:rsidRDefault="009B5ACD" w:rsidP="006B344C">
      <w:pPr>
        <w:spacing w:line="360" w:lineRule="auto"/>
        <w:jc w:val="both"/>
        <w:rPr>
          <w:rFonts w:ascii="Arial" w:hAnsi="Arial" w:cs="Arial"/>
          <w:b/>
          <w:lang w:val="en-ZA"/>
        </w:rPr>
      </w:pPr>
    </w:p>
    <w:p w:rsidR="0019345F" w:rsidRPr="006B344C" w:rsidRDefault="00630A10" w:rsidP="006B344C">
      <w:pPr>
        <w:pBdr>
          <w:bottom w:val="single" w:sz="12" w:space="1" w:color="auto"/>
        </w:pBdr>
        <w:spacing w:line="360" w:lineRule="auto"/>
        <w:jc w:val="center"/>
        <w:rPr>
          <w:rFonts w:ascii="Arial" w:hAnsi="Arial" w:cs="Arial"/>
          <w:b/>
          <w:lang w:val="en-ZA"/>
        </w:rPr>
      </w:pPr>
      <w:r w:rsidRPr="006B344C">
        <w:rPr>
          <w:rFonts w:ascii="Arial" w:hAnsi="Arial" w:cs="Arial"/>
          <w:b/>
          <w:lang w:val="en-ZA"/>
        </w:rPr>
        <w:t>ORDER</w:t>
      </w:r>
    </w:p>
    <w:p w:rsidR="00C062AF" w:rsidRPr="006B344C" w:rsidRDefault="00C062AF" w:rsidP="006B344C">
      <w:pPr>
        <w:spacing w:line="360" w:lineRule="auto"/>
        <w:jc w:val="both"/>
        <w:rPr>
          <w:rFonts w:ascii="Arial" w:hAnsi="Arial" w:cs="Arial"/>
          <w:b/>
          <w:lang w:val="en-ZA"/>
        </w:rPr>
      </w:pPr>
    </w:p>
    <w:p w:rsidR="002D0A16" w:rsidRDefault="002D0A16" w:rsidP="00AE53FC">
      <w:pPr>
        <w:spacing w:line="360" w:lineRule="auto"/>
        <w:jc w:val="both"/>
        <w:rPr>
          <w:rFonts w:ascii="Arial" w:hAnsi="Arial" w:cs="Arial"/>
          <w:lang w:val="en-ZA"/>
        </w:rPr>
      </w:pPr>
    </w:p>
    <w:p w:rsidR="00AE53FC" w:rsidRDefault="00AE53FC" w:rsidP="00AE53FC">
      <w:pPr>
        <w:spacing w:line="360" w:lineRule="auto"/>
        <w:jc w:val="both"/>
        <w:rPr>
          <w:rFonts w:ascii="Arial" w:hAnsi="Arial" w:cs="Arial"/>
        </w:rPr>
      </w:pPr>
      <w:r>
        <w:rPr>
          <w:rFonts w:ascii="Arial" w:hAnsi="Arial" w:cs="Arial"/>
        </w:rPr>
        <w:t>Count 1: Murder, read with the provisions of the Combating of Domestic Violence Act 4 of 2003 – 34 years’ imprisonment.</w:t>
      </w:r>
    </w:p>
    <w:p w:rsidR="00AE53FC" w:rsidRDefault="00AE53FC" w:rsidP="00AE53FC">
      <w:pPr>
        <w:spacing w:line="360" w:lineRule="auto"/>
        <w:jc w:val="both"/>
        <w:rPr>
          <w:rFonts w:ascii="Arial" w:hAnsi="Arial" w:cs="Arial"/>
        </w:rPr>
      </w:pPr>
    </w:p>
    <w:p w:rsidR="00AE53FC" w:rsidRDefault="00AE53FC" w:rsidP="00AE53FC">
      <w:pPr>
        <w:spacing w:line="360" w:lineRule="auto"/>
        <w:jc w:val="both"/>
        <w:rPr>
          <w:rFonts w:ascii="Arial" w:hAnsi="Arial" w:cs="Arial"/>
        </w:rPr>
      </w:pPr>
      <w:r>
        <w:rPr>
          <w:rFonts w:ascii="Arial" w:hAnsi="Arial" w:cs="Arial"/>
        </w:rPr>
        <w:t>Count 2: Arson – 8 years’ imprisonment.</w:t>
      </w:r>
    </w:p>
    <w:p w:rsidR="00AE53FC" w:rsidRDefault="00AE53FC" w:rsidP="00AE53FC">
      <w:pPr>
        <w:spacing w:line="360" w:lineRule="auto"/>
        <w:jc w:val="both"/>
        <w:rPr>
          <w:rFonts w:ascii="Arial" w:hAnsi="Arial" w:cs="Arial"/>
        </w:rPr>
      </w:pPr>
    </w:p>
    <w:p w:rsidR="00AE53FC" w:rsidRPr="006B344C" w:rsidRDefault="00AE53FC" w:rsidP="00AE53FC">
      <w:pPr>
        <w:spacing w:line="360" w:lineRule="auto"/>
        <w:jc w:val="both"/>
        <w:rPr>
          <w:rFonts w:ascii="Arial" w:hAnsi="Arial" w:cs="Arial"/>
        </w:rPr>
      </w:pPr>
      <w:r>
        <w:rPr>
          <w:rFonts w:ascii="Arial" w:hAnsi="Arial" w:cs="Arial"/>
        </w:rPr>
        <w:lastRenderedPageBreak/>
        <w:t>In terms of s 280 (2) of Act 51 of 1977 it is ordered that 4 years on count 2 be served concurrently with the sentence imposed on count 1.</w:t>
      </w:r>
    </w:p>
    <w:p w:rsidR="00A421AA" w:rsidRPr="006B344C" w:rsidRDefault="00A421AA" w:rsidP="006B344C">
      <w:pPr>
        <w:pBdr>
          <w:bottom w:val="single" w:sz="12" w:space="1" w:color="auto"/>
        </w:pBdr>
        <w:spacing w:line="360" w:lineRule="auto"/>
        <w:jc w:val="both"/>
        <w:rPr>
          <w:rFonts w:ascii="Arial" w:hAnsi="Arial" w:cs="Arial"/>
          <w:lang w:val="en-ZA"/>
        </w:rPr>
      </w:pPr>
    </w:p>
    <w:p w:rsidR="00A421AA" w:rsidRPr="006B344C" w:rsidRDefault="00A421AA" w:rsidP="006B344C">
      <w:pPr>
        <w:spacing w:line="360" w:lineRule="auto"/>
        <w:jc w:val="both"/>
        <w:rPr>
          <w:rFonts w:ascii="Arial" w:hAnsi="Arial" w:cs="Arial"/>
          <w:b/>
          <w:lang w:val="en-ZA"/>
        </w:rPr>
      </w:pPr>
    </w:p>
    <w:p w:rsidR="00A421AA" w:rsidRPr="006B344C" w:rsidRDefault="00427112" w:rsidP="006B344C">
      <w:pPr>
        <w:spacing w:line="360" w:lineRule="auto"/>
        <w:jc w:val="center"/>
        <w:rPr>
          <w:rFonts w:ascii="Arial" w:hAnsi="Arial" w:cs="Arial"/>
          <w:b/>
          <w:lang w:val="en-ZA"/>
        </w:rPr>
      </w:pPr>
      <w:r>
        <w:rPr>
          <w:rFonts w:ascii="Arial" w:hAnsi="Arial" w:cs="Arial"/>
          <w:b/>
          <w:lang w:val="en-ZA"/>
        </w:rPr>
        <w:t>SENTENCE</w:t>
      </w:r>
    </w:p>
    <w:p w:rsidR="00A421AA" w:rsidRPr="006B344C" w:rsidRDefault="00A421AA" w:rsidP="006B344C">
      <w:pPr>
        <w:spacing w:line="360" w:lineRule="auto"/>
        <w:jc w:val="both"/>
        <w:rPr>
          <w:rFonts w:ascii="Arial" w:hAnsi="Arial" w:cs="Arial"/>
          <w:b/>
          <w:lang w:val="en-ZA"/>
        </w:rPr>
      </w:pPr>
      <w:r w:rsidRPr="006B344C">
        <w:rPr>
          <w:rFonts w:ascii="Arial" w:hAnsi="Arial" w:cs="Arial"/>
          <w:b/>
          <w:lang w:val="en-ZA"/>
        </w:rPr>
        <w:t>______________________________________________________________</w:t>
      </w:r>
    </w:p>
    <w:p w:rsidR="00A421AA" w:rsidRPr="006B344C" w:rsidRDefault="00A421AA" w:rsidP="006B344C">
      <w:pPr>
        <w:spacing w:line="360" w:lineRule="auto"/>
        <w:jc w:val="both"/>
        <w:rPr>
          <w:rFonts w:ascii="Arial" w:hAnsi="Arial" w:cs="Arial"/>
          <w:b/>
          <w:u w:val="single"/>
          <w:lang w:val="en-ZA"/>
        </w:rPr>
      </w:pPr>
    </w:p>
    <w:p w:rsidR="00A421AA" w:rsidRPr="00EA0B0D" w:rsidRDefault="002B451A" w:rsidP="006B344C">
      <w:pPr>
        <w:spacing w:line="360" w:lineRule="auto"/>
        <w:jc w:val="both"/>
        <w:rPr>
          <w:rFonts w:ascii="Arial" w:hAnsi="Arial" w:cs="Arial"/>
          <w:lang w:val="en-ZA"/>
        </w:rPr>
      </w:pPr>
      <w:r w:rsidRPr="00EA0B0D">
        <w:rPr>
          <w:rFonts w:ascii="Arial" w:hAnsi="Arial" w:cs="Arial"/>
          <w:lang w:val="en-ZA"/>
        </w:rPr>
        <w:t>LIEBENBERG J</w:t>
      </w:r>
      <w:r w:rsidR="009B5ACD" w:rsidRPr="00EA0B0D">
        <w:rPr>
          <w:rFonts w:ascii="Arial" w:hAnsi="Arial" w:cs="Arial"/>
          <w:lang w:val="en-ZA"/>
        </w:rPr>
        <w:t xml:space="preserve">:    </w:t>
      </w:r>
    </w:p>
    <w:p w:rsidR="00A421AA" w:rsidRPr="006B344C" w:rsidRDefault="00A421AA" w:rsidP="006B344C">
      <w:pPr>
        <w:spacing w:line="360" w:lineRule="auto"/>
        <w:jc w:val="both"/>
        <w:rPr>
          <w:rFonts w:ascii="Arial" w:hAnsi="Arial" w:cs="Arial"/>
          <w:lang w:val="en-ZA"/>
        </w:rPr>
      </w:pPr>
    </w:p>
    <w:p w:rsidR="009B5ACD" w:rsidRPr="007A4F8A" w:rsidRDefault="009B5ACD" w:rsidP="00457DD2">
      <w:pPr>
        <w:spacing w:before="240" w:line="360" w:lineRule="auto"/>
        <w:jc w:val="both"/>
        <w:rPr>
          <w:rFonts w:ascii="Arial" w:hAnsi="Arial" w:cs="Arial"/>
          <w:lang w:val="en-ZA"/>
        </w:rPr>
      </w:pPr>
      <w:r w:rsidRPr="006B344C">
        <w:rPr>
          <w:rFonts w:ascii="Arial" w:hAnsi="Arial" w:cs="Arial"/>
          <w:lang w:val="en-ZA"/>
        </w:rPr>
        <w:t>[1]</w:t>
      </w:r>
      <w:r w:rsidR="001D36E3" w:rsidRPr="006B344C">
        <w:rPr>
          <w:rFonts w:ascii="Arial" w:hAnsi="Arial" w:cs="Arial"/>
          <w:lang w:val="en-ZA"/>
        </w:rPr>
        <w:t xml:space="preserve">   </w:t>
      </w:r>
      <w:r w:rsidR="00991914">
        <w:rPr>
          <w:rFonts w:ascii="Arial" w:hAnsi="Arial" w:cs="Arial"/>
          <w:lang w:val="en-ZA"/>
        </w:rPr>
        <w:t>Consequential to pleading guilty</w:t>
      </w:r>
      <w:r w:rsidR="0003736C">
        <w:rPr>
          <w:rFonts w:ascii="Arial" w:hAnsi="Arial" w:cs="Arial"/>
          <w:lang w:val="en-ZA"/>
        </w:rPr>
        <w:t xml:space="preserve"> the accused stands convicted of</w:t>
      </w:r>
      <w:r w:rsidR="00991914">
        <w:rPr>
          <w:rFonts w:ascii="Arial" w:hAnsi="Arial" w:cs="Arial"/>
          <w:lang w:val="en-ZA"/>
        </w:rPr>
        <w:t xml:space="preserve"> one count of murder, read with the provisions of the Combating of Domestic Violence Act, 2003</w:t>
      </w:r>
      <w:r w:rsidR="00991914">
        <w:rPr>
          <w:rStyle w:val="FootnoteReference"/>
          <w:rFonts w:ascii="Arial" w:hAnsi="Arial" w:cs="Arial"/>
          <w:lang w:val="en-ZA"/>
        </w:rPr>
        <w:footnoteReference w:id="1"/>
      </w:r>
      <w:r w:rsidR="002241B4">
        <w:rPr>
          <w:rFonts w:ascii="Arial" w:hAnsi="Arial" w:cs="Arial"/>
          <w:lang w:val="en-ZA"/>
        </w:rPr>
        <w:t xml:space="preserve"> (the Act) and one</w:t>
      </w:r>
      <w:r w:rsidR="00991914">
        <w:rPr>
          <w:rFonts w:ascii="Arial" w:hAnsi="Arial" w:cs="Arial"/>
          <w:lang w:val="en-ZA"/>
        </w:rPr>
        <w:t xml:space="preserve"> further count of arson. The offences were committed during the </w:t>
      </w:r>
      <w:r w:rsidR="002241B4">
        <w:rPr>
          <w:rFonts w:ascii="Arial" w:hAnsi="Arial" w:cs="Arial"/>
          <w:lang w:val="en-ZA"/>
        </w:rPr>
        <w:t>night of</w:t>
      </w:r>
      <w:r w:rsidR="00991914">
        <w:rPr>
          <w:rFonts w:ascii="Arial" w:hAnsi="Arial" w:cs="Arial"/>
          <w:lang w:val="en-ZA"/>
        </w:rPr>
        <w:t xml:space="preserve"> 13 – 14 October 2012 when </w:t>
      </w:r>
      <w:r w:rsidR="002241B4">
        <w:rPr>
          <w:rFonts w:ascii="Arial" w:hAnsi="Arial" w:cs="Arial"/>
          <w:lang w:val="en-ZA"/>
        </w:rPr>
        <w:t>t</w:t>
      </w:r>
      <w:r w:rsidR="00991914">
        <w:rPr>
          <w:rFonts w:ascii="Arial" w:hAnsi="Arial" w:cs="Arial"/>
          <w:lang w:val="en-ZA"/>
        </w:rPr>
        <w:t xml:space="preserve">he </w:t>
      </w:r>
      <w:r w:rsidR="002241B4">
        <w:rPr>
          <w:rFonts w:ascii="Arial" w:hAnsi="Arial" w:cs="Arial"/>
          <w:lang w:val="en-ZA"/>
        </w:rPr>
        <w:t xml:space="preserve">accused </w:t>
      </w:r>
      <w:r w:rsidR="00991914">
        <w:rPr>
          <w:rFonts w:ascii="Arial" w:hAnsi="Arial" w:cs="Arial"/>
          <w:lang w:val="en-ZA"/>
        </w:rPr>
        <w:t>set alight the house in whi</w:t>
      </w:r>
      <w:r w:rsidR="0003736C">
        <w:rPr>
          <w:rFonts w:ascii="Arial" w:hAnsi="Arial" w:cs="Arial"/>
          <w:lang w:val="en-ZA"/>
        </w:rPr>
        <w:t>ch the deceased was, causing</w:t>
      </w:r>
      <w:r w:rsidR="00991914">
        <w:rPr>
          <w:rFonts w:ascii="Arial" w:hAnsi="Arial" w:cs="Arial"/>
          <w:lang w:val="en-ZA"/>
        </w:rPr>
        <w:t xml:space="preserve"> injuries </w:t>
      </w:r>
      <w:r w:rsidR="0003736C">
        <w:rPr>
          <w:rFonts w:ascii="Arial" w:hAnsi="Arial" w:cs="Arial"/>
          <w:lang w:val="en-ZA"/>
        </w:rPr>
        <w:t xml:space="preserve">to her person </w:t>
      </w:r>
      <w:r w:rsidR="00991914">
        <w:rPr>
          <w:rFonts w:ascii="Arial" w:hAnsi="Arial" w:cs="Arial"/>
          <w:lang w:val="en-ZA"/>
        </w:rPr>
        <w:t xml:space="preserve">from which she died </w:t>
      </w:r>
      <w:r w:rsidR="0003736C">
        <w:rPr>
          <w:rFonts w:ascii="Arial" w:hAnsi="Arial" w:cs="Arial"/>
          <w:lang w:val="en-ZA"/>
        </w:rPr>
        <w:t xml:space="preserve">in hospital </w:t>
      </w:r>
      <w:r w:rsidR="00991914">
        <w:rPr>
          <w:rFonts w:ascii="Arial" w:hAnsi="Arial" w:cs="Arial"/>
          <w:lang w:val="en-ZA"/>
        </w:rPr>
        <w:t>one week later.</w:t>
      </w:r>
    </w:p>
    <w:p w:rsidR="00CB53B7" w:rsidRDefault="00CB53B7" w:rsidP="006B344C">
      <w:pPr>
        <w:spacing w:line="360" w:lineRule="auto"/>
        <w:jc w:val="both"/>
        <w:rPr>
          <w:rFonts w:ascii="Arial" w:hAnsi="Arial" w:cs="Arial"/>
          <w:lang w:val="en-ZA"/>
        </w:rPr>
      </w:pPr>
    </w:p>
    <w:p w:rsidR="00991914" w:rsidRDefault="00991914" w:rsidP="006B344C">
      <w:pPr>
        <w:spacing w:line="360" w:lineRule="auto"/>
        <w:jc w:val="both"/>
        <w:rPr>
          <w:rFonts w:ascii="Arial" w:hAnsi="Arial" w:cs="Arial"/>
          <w:lang w:val="en-ZA"/>
        </w:rPr>
      </w:pPr>
      <w:r>
        <w:rPr>
          <w:rFonts w:ascii="Arial" w:hAnsi="Arial" w:cs="Arial"/>
          <w:lang w:val="en-ZA"/>
        </w:rPr>
        <w:t xml:space="preserve">[2]   </w:t>
      </w:r>
      <w:r w:rsidR="00864423">
        <w:rPr>
          <w:rFonts w:ascii="Arial" w:hAnsi="Arial" w:cs="Arial"/>
          <w:lang w:val="en-ZA"/>
        </w:rPr>
        <w:t>In amplification of his plea the accused admit</w:t>
      </w:r>
      <w:r w:rsidR="0003736C">
        <w:rPr>
          <w:rFonts w:ascii="Arial" w:hAnsi="Arial" w:cs="Arial"/>
          <w:lang w:val="en-ZA"/>
        </w:rPr>
        <w:t>ted that he and the deceased were</w:t>
      </w:r>
      <w:r w:rsidR="00864423">
        <w:rPr>
          <w:rFonts w:ascii="Arial" w:hAnsi="Arial" w:cs="Arial"/>
          <w:lang w:val="en-ZA"/>
        </w:rPr>
        <w:t xml:space="preserve"> in a domestic relation</w:t>
      </w:r>
      <w:r w:rsidR="002241B4">
        <w:rPr>
          <w:rFonts w:ascii="Arial" w:hAnsi="Arial" w:cs="Arial"/>
          <w:lang w:val="en-ZA"/>
        </w:rPr>
        <w:t>ship as defined in the Act</w:t>
      </w:r>
      <w:r w:rsidR="00864423">
        <w:rPr>
          <w:rFonts w:ascii="Arial" w:hAnsi="Arial" w:cs="Arial"/>
          <w:lang w:val="en-ZA"/>
        </w:rPr>
        <w:t xml:space="preserve"> and that his </w:t>
      </w:r>
      <w:r w:rsidR="002241B4">
        <w:rPr>
          <w:rFonts w:ascii="Arial" w:hAnsi="Arial" w:cs="Arial"/>
          <w:lang w:val="en-ZA"/>
        </w:rPr>
        <w:t xml:space="preserve">unlawful </w:t>
      </w:r>
      <w:r w:rsidR="00864423">
        <w:rPr>
          <w:rFonts w:ascii="Arial" w:hAnsi="Arial" w:cs="Arial"/>
          <w:lang w:val="en-ZA"/>
        </w:rPr>
        <w:t>actions</w:t>
      </w:r>
      <w:r w:rsidR="0003736C">
        <w:rPr>
          <w:rFonts w:ascii="Arial" w:hAnsi="Arial" w:cs="Arial"/>
          <w:lang w:val="en-ZA"/>
        </w:rPr>
        <w:t xml:space="preserve"> towards the deceased</w:t>
      </w:r>
      <w:r w:rsidR="00864423">
        <w:rPr>
          <w:rFonts w:ascii="Arial" w:hAnsi="Arial" w:cs="Arial"/>
          <w:lang w:val="en-ZA"/>
        </w:rPr>
        <w:t xml:space="preserve"> had </w:t>
      </w:r>
      <w:r w:rsidR="002241B4">
        <w:rPr>
          <w:rFonts w:ascii="Arial" w:hAnsi="Arial" w:cs="Arial"/>
          <w:lang w:val="en-ZA"/>
        </w:rPr>
        <w:t>caused</w:t>
      </w:r>
      <w:r w:rsidR="0003736C">
        <w:rPr>
          <w:rFonts w:ascii="Arial" w:hAnsi="Arial" w:cs="Arial"/>
          <w:lang w:val="en-ZA"/>
        </w:rPr>
        <w:t xml:space="preserve"> her</w:t>
      </w:r>
      <w:r w:rsidR="00864423">
        <w:rPr>
          <w:rFonts w:ascii="Arial" w:hAnsi="Arial" w:cs="Arial"/>
          <w:lang w:val="en-ZA"/>
        </w:rPr>
        <w:t xml:space="preserve"> death. He explained that during the day of 13 October 2012 he approached the deceased in order to </w:t>
      </w:r>
      <w:r w:rsidR="002A2414">
        <w:rPr>
          <w:rFonts w:ascii="Arial" w:hAnsi="Arial" w:cs="Arial"/>
          <w:lang w:val="en-ZA"/>
        </w:rPr>
        <w:t>rekindle their relationship</w:t>
      </w:r>
      <w:r w:rsidR="00864423">
        <w:rPr>
          <w:rFonts w:ascii="Arial" w:hAnsi="Arial" w:cs="Arial"/>
          <w:lang w:val="en-ZA"/>
        </w:rPr>
        <w:t xml:space="preserve"> but </w:t>
      </w:r>
      <w:r w:rsidR="002241B4">
        <w:rPr>
          <w:rFonts w:ascii="Arial" w:hAnsi="Arial" w:cs="Arial"/>
          <w:lang w:val="en-ZA"/>
        </w:rPr>
        <w:t>that s</w:t>
      </w:r>
      <w:r w:rsidR="0003736C">
        <w:rPr>
          <w:rFonts w:ascii="Arial" w:hAnsi="Arial" w:cs="Arial"/>
          <w:lang w:val="en-ZA"/>
        </w:rPr>
        <w:t>he reacted by insulting</w:t>
      </w:r>
      <w:r w:rsidR="00864423">
        <w:rPr>
          <w:rFonts w:ascii="Arial" w:hAnsi="Arial" w:cs="Arial"/>
          <w:lang w:val="en-ZA"/>
        </w:rPr>
        <w:t xml:space="preserve"> him and </w:t>
      </w:r>
      <w:r w:rsidR="002241B4">
        <w:rPr>
          <w:rFonts w:ascii="Arial" w:hAnsi="Arial" w:cs="Arial"/>
          <w:lang w:val="en-ZA"/>
        </w:rPr>
        <w:t>told him to leave</w:t>
      </w:r>
      <w:r w:rsidR="00864423">
        <w:rPr>
          <w:rFonts w:ascii="Arial" w:hAnsi="Arial" w:cs="Arial"/>
          <w:lang w:val="en-ZA"/>
        </w:rPr>
        <w:t xml:space="preserve">. </w:t>
      </w:r>
      <w:r w:rsidR="002241B4">
        <w:rPr>
          <w:rFonts w:ascii="Arial" w:hAnsi="Arial" w:cs="Arial"/>
          <w:lang w:val="en-ZA"/>
        </w:rPr>
        <w:t>It is common cause that at the relevant time they were living separate. This angered the accused</w:t>
      </w:r>
      <w:r w:rsidR="00864423">
        <w:rPr>
          <w:rFonts w:ascii="Arial" w:hAnsi="Arial" w:cs="Arial"/>
          <w:lang w:val="en-ZA"/>
        </w:rPr>
        <w:t xml:space="preserve"> and during the night when everyone was asleep, he returned and locked the door from the outside </w:t>
      </w:r>
      <w:r w:rsidR="009432BA">
        <w:rPr>
          <w:rFonts w:ascii="Arial" w:hAnsi="Arial" w:cs="Arial"/>
          <w:lang w:val="en-ZA"/>
        </w:rPr>
        <w:t xml:space="preserve">with a padlock </w:t>
      </w:r>
      <w:r w:rsidR="00864423">
        <w:rPr>
          <w:rFonts w:ascii="Arial" w:hAnsi="Arial" w:cs="Arial"/>
          <w:lang w:val="en-ZA"/>
        </w:rPr>
        <w:t xml:space="preserve">where after he gained </w:t>
      </w:r>
      <w:r w:rsidR="0003736C">
        <w:rPr>
          <w:rFonts w:ascii="Arial" w:hAnsi="Arial" w:cs="Arial"/>
          <w:lang w:val="en-ZA"/>
        </w:rPr>
        <w:t xml:space="preserve">access </w:t>
      </w:r>
      <w:r w:rsidR="00864423">
        <w:rPr>
          <w:rFonts w:ascii="Arial" w:hAnsi="Arial" w:cs="Arial"/>
          <w:lang w:val="en-ZA"/>
        </w:rPr>
        <w:t xml:space="preserve">to the </w:t>
      </w:r>
      <w:r w:rsidR="009432BA">
        <w:rPr>
          <w:rFonts w:ascii="Arial" w:hAnsi="Arial" w:cs="Arial"/>
          <w:lang w:val="en-ZA"/>
        </w:rPr>
        <w:t>house</w:t>
      </w:r>
      <w:r w:rsidR="00864423">
        <w:rPr>
          <w:rFonts w:ascii="Arial" w:hAnsi="Arial" w:cs="Arial"/>
          <w:lang w:val="en-ZA"/>
        </w:rPr>
        <w:t xml:space="preserve"> through an open window</w:t>
      </w:r>
      <w:r w:rsidR="00D33DD4">
        <w:rPr>
          <w:rFonts w:ascii="Arial" w:hAnsi="Arial" w:cs="Arial"/>
          <w:lang w:val="en-ZA"/>
        </w:rPr>
        <w:t xml:space="preserve">. Once inside he </w:t>
      </w:r>
      <w:r w:rsidR="009432BA">
        <w:rPr>
          <w:rFonts w:ascii="Arial" w:hAnsi="Arial" w:cs="Arial"/>
          <w:lang w:val="en-ZA"/>
        </w:rPr>
        <w:t xml:space="preserve">doused the deceased’s room with paraffin he </w:t>
      </w:r>
      <w:r w:rsidR="0003736C">
        <w:rPr>
          <w:rFonts w:ascii="Arial" w:hAnsi="Arial" w:cs="Arial"/>
          <w:lang w:val="en-ZA"/>
        </w:rPr>
        <w:t xml:space="preserve">had </w:t>
      </w:r>
      <w:r w:rsidR="00D33DD4">
        <w:rPr>
          <w:rFonts w:ascii="Arial" w:hAnsi="Arial" w:cs="Arial"/>
          <w:lang w:val="en-ZA"/>
        </w:rPr>
        <w:t xml:space="preserve">found </w:t>
      </w:r>
      <w:r w:rsidR="009432BA">
        <w:rPr>
          <w:rFonts w:ascii="Arial" w:hAnsi="Arial" w:cs="Arial"/>
          <w:lang w:val="en-ZA"/>
        </w:rPr>
        <w:t>inside</w:t>
      </w:r>
      <w:r w:rsidR="00D33DD4">
        <w:rPr>
          <w:rFonts w:ascii="Arial" w:hAnsi="Arial" w:cs="Arial"/>
          <w:lang w:val="en-ZA"/>
        </w:rPr>
        <w:t xml:space="preserve"> </w:t>
      </w:r>
      <w:r w:rsidR="008D19A5">
        <w:rPr>
          <w:rFonts w:ascii="Arial" w:hAnsi="Arial" w:cs="Arial"/>
          <w:lang w:val="en-ZA"/>
        </w:rPr>
        <w:t xml:space="preserve">the </w:t>
      </w:r>
      <w:r w:rsidR="002241B4">
        <w:rPr>
          <w:rFonts w:ascii="Arial" w:hAnsi="Arial" w:cs="Arial"/>
          <w:lang w:val="en-ZA"/>
        </w:rPr>
        <w:t>room</w:t>
      </w:r>
      <w:r w:rsidR="008D19A5">
        <w:rPr>
          <w:rFonts w:ascii="Arial" w:hAnsi="Arial" w:cs="Arial"/>
          <w:lang w:val="en-ZA"/>
        </w:rPr>
        <w:t xml:space="preserve"> </w:t>
      </w:r>
      <w:r w:rsidR="00D33DD4">
        <w:rPr>
          <w:rFonts w:ascii="Arial" w:hAnsi="Arial" w:cs="Arial"/>
          <w:lang w:val="en-ZA"/>
        </w:rPr>
        <w:t xml:space="preserve">before setting it alight. He </w:t>
      </w:r>
      <w:r w:rsidR="0003736C">
        <w:rPr>
          <w:rFonts w:ascii="Arial" w:hAnsi="Arial" w:cs="Arial"/>
          <w:lang w:val="en-ZA"/>
        </w:rPr>
        <w:t xml:space="preserve">afterwards </w:t>
      </w:r>
      <w:r w:rsidR="009432BA">
        <w:rPr>
          <w:rFonts w:ascii="Arial" w:hAnsi="Arial" w:cs="Arial"/>
          <w:lang w:val="en-ZA"/>
        </w:rPr>
        <w:t>escaped</w:t>
      </w:r>
      <w:r w:rsidR="00D33DD4">
        <w:rPr>
          <w:rFonts w:ascii="Arial" w:hAnsi="Arial" w:cs="Arial"/>
          <w:lang w:val="en-ZA"/>
        </w:rPr>
        <w:t xml:space="preserve"> through the </w:t>
      </w:r>
      <w:r w:rsidR="002241B4">
        <w:rPr>
          <w:rFonts w:ascii="Arial" w:hAnsi="Arial" w:cs="Arial"/>
          <w:lang w:val="en-ZA"/>
        </w:rPr>
        <w:t>open window,</w:t>
      </w:r>
      <w:r w:rsidR="0003736C">
        <w:rPr>
          <w:rFonts w:ascii="Arial" w:hAnsi="Arial" w:cs="Arial"/>
          <w:lang w:val="en-ZA"/>
        </w:rPr>
        <w:t xml:space="preserve"> </w:t>
      </w:r>
      <w:r w:rsidR="002241B4">
        <w:rPr>
          <w:rFonts w:ascii="Arial" w:hAnsi="Arial" w:cs="Arial"/>
          <w:lang w:val="en-ZA"/>
        </w:rPr>
        <w:t>followed by the deceased who</w:t>
      </w:r>
      <w:r w:rsidR="002A2414">
        <w:rPr>
          <w:rFonts w:ascii="Arial" w:hAnsi="Arial" w:cs="Arial"/>
          <w:lang w:val="en-ZA"/>
        </w:rPr>
        <w:t>se body</w:t>
      </w:r>
      <w:r w:rsidR="002241B4">
        <w:rPr>
          <w:rFonts w:ascii="Arial" w:hAnsi="Arial" w:cs="Arial"/>
          <w:lang w:val="en-ZA"/>
        </w:rPr>
        <w:t xml:space="preserve"> by then</w:t>
      </w:r>
      <w:r w:rsidR="00D33DD4">
        <w:rPr>
          <w:rFonts w:ascii="Arial" w:hAnsi="Arial" w:cs="Arial"/>
          <w:lang w:val="en-ZA"/>
        </w:rPr>
        <w:t xml:space="preserve"> was on fire. It is common cause that the deceased sustained serious burn injuries and </w:t>
      </w:r>
      <w:r w:rsidR="002A2414">
        <w:rPr>
          <w:rFonts w:ascii="Arial" w:hAnsi="Arial" w:cs="Arial"/>
          <w:lang w:val="en-ZA"/>
        </w:rPr>
        <w:t xml:space="preserve">one week later </w:t>
      </w:r>
      <w:r w:rsidR="00D33DD4">
        <w:rPr>
          <w:rFonts w:ascii="Arial" w:hAnsi="Arial" w:cs="Arial"/>
          <w:lang w:val="en-ZA"/>
        </w:rPr>
        <w:t xml:space="preserve">died </w:t>
      </w:r>
      <w:r w:rsidR="002A2414">
        <w:rPr>
          <w:rFonts w:ascii="Arial" w:hAnsi="Arial" w:cs="Arial"/>
          <w:lang w:val="en-ZA"/>
        </w:rPr>
        <w:t xml:space="preserve">in hospital </w:t>
      </w:r>
      <w:r w:rsidR="0003736C">
        <w:rPr>
          <w:rFonts w:ascii="Arial" w:hAnsi="Arial" w:cs="Arial"/>
          <w:lang w:val="en-ZA"/>
        </w:rPr>
        <w:t>as a result thereof</w:t>
      </w:r>
      <w:r w:rsidR="00D33DD4">
        <w:rPr>
          <w:rFonts w:ascii="Arial" w:hAnsi="Arial" w:cs="Arial"/>
          <w:lang w:val="en-ZA"/>
        </w:rPr>
        <w:t>.</w:t>
      </w:r>
    </w:p>
    <w:p w:rsidR="00D33DD4" w:rsidRDefault="00D33DD4" w:rsidP="006B344C">
      <w:pPr>
        <w:spacing w:line="360" w:lineRule="auto"/>
        <w:jc w:val="both"/>
        <w:rPr>
          <w:rFonts w:ascii="Arial" w:hAnsi="Arial" w:cs="Arial"/>
          <w:lang w:val="en-ZA"/>
        </w:rPr>
      </w:pPr>
    </w:p>
    <w:p w:rsidR="00D33DD4" w:rsidRDefault="00D33DD4" w:rsidP="006B344C">
      <w:pPr>
        <w:spacing w:line="360" w:lineRule="auto"/>
        <w:jc w:val="both"/>
        <w:rPr>
          <w:rFonts w:ascii="Arial" w:hAnsi="Arial" w:cs="Arial"/>
          <w:lang w:val="en-ZA"/>
        </w:rPr>
      </w:pPr>
      <w:r>
        <w:rPr>
          <w:rFonts w:ascii="Arial" w:hAnsi="Arial" w:cs="Arial"/>
          <w:lang w:val="en-ZA"/>
        </w:rPr>
        <w:lastRenderedPageBreak/>
        <w:t xml:space="preserve">[3]   The accused stated that he was consumed by anger after he had been insulted and unable to control himself. </w:t>
      </w:r>
      <w:r w:rsidR="007A3700">
        <w:rPr>
          <w:rFonts w:ascii="Arial" w:hAnsi="Arial" w:cs="Arial"/>
          <w:lang w:val="en-ZA"/>
        </w:rPr>
        <w:t>He was regretful of committing these</w:t>
      </w:r>
      <w:r>
        <w:rPr>
          <w:rFonts w:ascii="Arial" w:hAnsi="Arial" w:cs="Arial"/>
          <w:lang w:val="en-ZA"/>
        </w:rPr>
        <w:t xml:space="preserve"> heinous crimes and appreciates </w:t>
      </w:r>
      <w:r w:rsidR="007A3700">
        <w:rPr>
          <w:rFonts w:ascii="Arial" w:hAnsi="Arial" w:cs="Arial"/>
          <w:lang w:val="en-ZA"/>
        </w:rPr>
        <w:t xml:space="preserve">that he </w:t>
      </w:r>
      <w:r w:rsidR="001375BF">
        <w:rPr>
          <w:rFonts w:ascii="Arial" w:hAnsi="Arial" w:cs="Arial"/>
          <w:lang w:val="en-ZA"/>
        </w:rPr>
        <w:t>employed</w:t>
      </w:r>
      <w:r w:rsidR="006A3922">
        <w:rPr>
          <w:rFonts w:ascii="Arial" w:hAnsi="Arial" w:cs="Arial"/>
          <w:lang w:val="en-ZA"/>
        </w:rPr>
        <w:t xml:space="preserve"> such violent and cruel manner </w:t>
      </w:r>
      <w:r w:rsidR="001375BF">
        <w:rPr>
          <w:rFonts w:ascii="Arial" w:hAnsi="Arial" w:cs="Arial"/>
          <w:lang w:val="en-ZA"/>
        </w:rPr>
        <w:t>to rob</w:t>
      </w:r>
      <w:r w:rsidR="006A3922">
        <w:rPr>
          <w:rFonts w:ascii="Arial" w:hAnsi="Arial" w:cs="Arial"/>
          <w:lang w:val="en-ZA"/>
        </w:rPr>
        <w:t xml:space="preserve"> </w:t>
      </w:r>
      <w:r w:rsidR="007A3700">
        <w:rPr>
          <w:rFonts w:ascii="Arial" w:hAnsi="Arial" w:cs="Arial"/>
          <w:lang w:val="en-ZA"/>
        </w:rPr>
        <w:t>the deceased of her life</w:t>
      </w:r>
      <w:r w:rsidR="006A3922">
        <w:rPr>
          <w:rFonts w:ascii="Arial" w:hAnsi="Arial" w:cs="Arial"/>
          <w:lang w:val="en-ZA"/>
        </w:rPr>
        <w:t>,</w:t>
      </w:r>
      <w:r w:rsidR="001375BF">
        <w:rPr>
          <w:rFonts w:ascii="Arial" w:hAnsi="Arial" w:cs="Arial"/>
          <w:lang w:val="en-ZA"/>
        </w:rPr>
        <w:t xml:space="preserve"> and their children of a</w:t>
      </w:r>
      <w:r w:rsidR="007A3700">
        <w:rPr>
          <w:rFonts w:ascii="Arial" w:hAnsi="Arial" w:cs="Arial"/>
          <w:lang w:val="en-ZA"/>
        </w:rPr>
        <w:t xml:space="preserve"> mother.</w:t>
      </w:r>
    </w:p>
    <w:p w:rsidR="007A3700" w:rsidRDefault="007A3700" w:rsidP="006B344C">
      <w:pPr>
        <w:spacing w:line="360" w:lineRule="auto"/>
        <w:jc w:val="both"/>
        <w:rPr>
          <w:rFonts w:ascii="Arial" w:hAnsi="Arial" w:cs="Arial"/>
          <w:lang w:val="en-ZA"/>
        </w:rPr>
      </w:pPr>
    </w:p>
    <w:p w:rsidR="006A3922" w:rsidRDefault="006A3922" w:rsidP="006B344C">
      <w:pPr>
        <w:spacing w:line="360" w:lineRule="auto"/>
        <w:jc w:val="both"/>
        <w:rPr>
          <w:rFonts w:ascii="Arial" w:hAnsi="Arial" w:cs="Arial"/>
          <w:lang w:val="en-ZA"/>
        </w:rPr>
      </w:pPr>
      <w:r>
        <w:rPr>
          <w:rFonts w:ascii="Arial" w:hAnsi="Arial" w:cs="Arial"/>
          <w:lang w:val="en-ZA"/>
        </w:rPr>
        <w:t>[4]   A photo plan of the scene of crime</w:t>
      </w:r>
      <w:r>
        <w:rPr>
          <w:rStyle w:val="FootnoteReference"/>
          <w:rFonts w:ascii="Arial" w:hAnsi="Arial" w:cs="Arial"/>
          <w:lang w:val="en-ZA"/>
        </w:rPr>
        <w:footnoteReference w:id="2"/>
      </w:r>
      <w:r>
        <w:rPr>
          <w:rFonts w:ascii="Arial" w:hAnsi="Arial" w:cs="Arial"/>
          <w:lang w:val="en-ZA"/>
        </w:rPr>
        <w:t xml:space="preserve"> and the post-mortem report compiled and issued by Dr Vasin,</w:t>
      </w:r>
      <w:r>
        <w:rPr>
          <w:rStyle w:val="FootnoteReference"/>
          <w:rFonts w:ascii="Arial" w:hAnsi="Arial" w:cs="Arial"/>
          <w:lang w:val="en-ZA"/>
        </w:rPr>
        <w:footnoteReference w:id="3"/>
      </w:r>
      <w:r>
        <w:rPr>
          <w:rFonts w:ascii="Arial" w:hAnsi="Arial" w:cs="Arial"/>
          <w:lang w:val="en-ZA"/>
        </w:rPr>
        <w:t xml:space="preserve"> a forensic pathologist attached to the Windhoek Central hospital, were received into evidence by agreement. According to the report the deceased had sustained an estimated 70 percent 2</w:t>
      </w:r>
      <w:r w:rsidRPr="006A3922">
        <w:rPr>
          <w:rFonts w:ascii="Arial" w:hAnsi="Arial" w:cs="Arial"/>
          <w:vertAlign w:val="superscript"/>
          <w:lang w:val="en-ZA"/>
        </w:rPr>
        <w:t>nd</w:t>
      </w:r>
      <w:r>
        <w:rPr>
          <w:rFonts w:ascii="Arial" w:hAnsi="Arial" w:cs="Arial"/>
          <w:lang w:val="en-ZA"/>
        </w:rPr>
        <w:t xml:space="preserve"> and 3</w:t>
      </w:r>
      <w:r w:rsidRPr="006A3922">
        <w:rPr>
          <w:rFonts w:ascii="Arial" w:hAnsi="Arial" w:cs="Arial"/>
          <w:vertAlign w:val="superscript"/>
          <w:lang w:val="en-ZA"/>
        </w:rPr>
        <w:t>rd</w:t>
      </w:r>
      <w:r>
        <w:rPr>
          <w:rFonts w:ascii="Arial" w:hAnsi="Arial" w:cs="Arial"/>
          <w:lang w:val="en-ZA"/>
        </w:rPr>
        <w:t xml:space="preserve"> degree ski</w:t>
      </w:r>
      <w:r w:rsidR="00B47771">
        <w:rPr>
          <w:rFonts w:ascii="Arial" w:hAnsi="Arial" w:cs="Arial"/>
          <w:lang w:val="en-ZA"/>
        </w:rPr>
        <w:t>n burns all over the body</w:t>
      </w:r>
      <w:r w:rsidR="001375BF">
        <w:rPr>
          <w:rFonts w:ascii="Arial" w:hAnsi="Arial" w:cs="Arial"/>
          <w:lang w:val="en-ZA"/>
        </w:rPr>
        <w:t>, being</w:t>
      </w:r>
      <w:r w:rsidR="00B47771">
        <w:rPr>
          <w:rFonts w:ascii="Arial" w:hAnsi="Arial" w:cs="Arial"/>
          <w:lang w:val="en-ZA"/>
        </w:rPr>
        <w:t xml:space="preserve"> the cause</w:t>
      </w:r>
      <w:r>
        <w:rPr>
          <w:rFonts w:ascii="Arial" w:hAnsi="Arial" w:cs="Arial"/>
          <w:lang w:val="en-ZA"/>
        </w:rPr>
        <w:t xml:space="preserve"> </w:t>
      </w:r>
      <w:r w:rsidR="001375BF">
        <w:rPr>
          <w:rFonts w:ascii="Arial" w:hAnsi="Arial" w:cs="Arial"/>
          <w:lang w:val="en-ZA"/>
        </w:rPr>
        <w:t xml:space="preserve">of </w:t>
      </w:r>
      <w:r>
        <w:rPr>
          <w:rFonts w:ascii="Arial" w:hAnsi="Arial" w:cs="Arial"/>
          <w:lang w:val="en-ZA"/>
        </w:rPr>
        <w:t>death.</w:t>
      </w:r>
    </w:p>
    <w:p w:rsidR="006A3922" w:rsidRDefault="006A3922" w:rsidP="006B344C">
      <w:pPr>
        <w:spacing w:line="360" w:lineRule="auto"/>
        <w:jc w:val="both"/>
        <w:rPr>
          <w:rFonts w:ascii="Arial" w:hAnsi="Arial" w:cs="Arial"/>
          <w:lang w:val="en-ZA"/>
        </w:rPr>
      </w:pPr>
    </w:p>
    <w:p w:rsidR="007A3700" w:rsidRDefault="006A3922" w:rsidP="006B344C">
      <w:pPr>
        <w:spacing w:line="360" w:lineRule="auto"/>
        <w:jc w:val="both"/>
        <w:rPr>
          <w:rFonts w:ascii="Arial" w:hAnsi="Arial" w:cs="Arial"/>
          <w:lang w:val="en-ZA"/>
        </w:rPr>
      </w:pPr>
      <w:r>
        <w:rPr>
          <w:rFonts w:ascii="Arial" w:hAnsi="Arial" w:cs="Arial"/>
          <w:lang w:val="en-ZA"/>
        </w:rPr>
        <w:t>[</w:t>
      </w:r>
      <w:r w:rsidR="0008138C">
        <w:rPr>
          <w:rFonts w:ascii="Arial" w:hAnsi="Arial" w:cs="Arial"/>
          <w:lang w:val="en-ZA"/>
        </w:rPr>
        <w:t>5</w:t>
      </w:r>
      <w:r w:rsidR="007A3700">
        <w:rPr>
          <w:rFonts w:ascii="Arial" w:hAnsi="Arial" w:cs="Arial"/>
          <w:lang w:val="en-ZA"/>
        </w:rPr>
        <w:t xml:space="preserve">]   The State in aggravation of </w:t>
      </w:r>
      <w:r w:rsidR="00B47771">
        <w:rPr>
          <w:rFonts w:ascii="Arial" w:hAnsi="Arial" w:cs="Arial"/>
          <w:lang w:val="en-ZA"/>
        </w:rPr>
        <w:t>sentence led the evidence of Ellie Go</w:t>
      </w:r>
      <w:r w:rsidR="001375BF">
        <w:rPr>
          <w:rFonts w:ascii="Arial" w:hAnsi="Arial" w:cs="Arial"/>
          <w:lang w:val="en-ZA"/>
        </w:rPr>
        <w:t>agoses, the biological mother to</w:t>
      </w:r>
      <w:r w:rsidR="00B47771">
        <w:rPr>
          <w:rFonts w:ascii="Arial" w:hAnsi="Arial" w:cs="Arial"/>
          <w:lang w:val="en-ZA"/>
        </w:rPr>
        <w:t xml:space="preserve"> the deceased. The thrust of her testimony is that the accused and the deceased were in a relationship from which three children were born. One child is deceased and the remaining two are aged </w:t>
      </w:r>
      <w:r w:rsidR="00434277">
        <w:rPr>
          <w:rFonts w:ascii="Arial" w:hAnsi="Arial" w:cs="Arial"/>
          <w:lang w:val="en-ZA"/>
        </w:rPr>
        <w:t>16 and 13 years</w:t>
      </w:r>
      <w:r w:rsidR="001375BF">
        <w:rPr>
          <w:rFonts w:ascii="Arial" w:hAnsi="Arial" w:cs="Arial"/>
          <w:lang w:val="en-ZA"/>
        </w:rPr>
        <w:t>, respectively. S</w:t>
      </w:r>
      <w:r w:rsidR="00434277">
        <w:rPr>
          <w:rFonts w:ascii="Arial" w:hAnsi="Arial" w:cs="Arial"/>
          <w:lang w:val="en-ZA"/>
        </w:rPr>
        <w:t xml:space="preserve">ince </w:t>
      </w:r>
      <w:r w:rsidR="00B47771">
        <w:rPr>
          <w:rFonts w:ascii="Arial" w:hAnsi="Arial" w:cs="Arial"/>
          <w:lang w:val="en-ZA"/>
        </w:rPr>
        <w:t xml:space="preserve">birth she had been </w:t>
      </w:r>
      <w:r w:rsidR="00434277">
        <w:rPr>
          <w:rFonts w:ascii="Arial" w:hAnsi="Arial" w:cs="Arial"/>
          <w:lang w:val="en-ZA"/>
        </w:rPr>
        <w:t>caring for them</w:t>
      </w:r>
      <w:r w:rsidR="001375BF">
        <w:rPr>
          <w:rFonts w:ascii="Arial" w:hAnsi="Arial" w:cs="Arial"/>
          <w:lang w:val="en-ZA"/>
        </w:rPr>
        <w:t xml:space="preserve"> and at present they are</w:t>
      </w:r>
      <w:r w:rsidR="002A2414">
        <w:rPr>
          <w:rFonts w:ascii="Arial" w:hAnsi="Arial" w:cs="Arial"/>
          <w:lang w:val="en-ZA"/>
        </w:rPr>
        <w:t xml:space="preserve"> still living</w:t>
      </w:r>
      <w:r w:rsidR="001375BF">
        <w:rPr>
          <w:rFonts w:ascii="Arial" w:hAnsi="Arial" w:cs="Arial"/>
          <w:lang w:val="en-ZA"/>
        </w:rPr>
        <w:t xml:space="preserve"> with her</w:t>
      </w:r>
      <w:r w:rsidR="00434277">
        <w:rPr>
          <w:rFonts w:ascii="Arial" w:hAnsi="Arial" w:cs="Arial"/>
          <w:lang w:val="en-ZA"/>
        </w:rPr>
        <w:t>. The reason,</w:t>
      </w:r>
      <w:r w:rsidR="00B47771">
        <w:rPr>
          <w:rFonts w:ascii="Arial" w:hAnsi="Arial" w:cs="Arial"/>
          <w:lang w:val="en-ZA"/>
        </w:rPr>
        <w:t xml:space="preserve"> she explained, was </w:t>
      </w:r>
      <w:r w:rsidR="00434277">
        <w:rPr>
          <w:rFonts w:ascii="Arial" w:hAnsi="Arial" w:cs="Arial"/>
          <w:lang w:val="en-ZA"/>
        </w:rPr>
        <w:t>due to</w:t>
      </w:r>
      <w:r w:rsidR="00B47771">
        <w:rPr>
          <w:rFonts w:ascii="Arial" w:hAnsi="Arial" w:cs="Arial"/>
          <w:lang w:val="en-ZA"/>
        </w:rPr>
        <w:t xml:space="preserve"> the </w:t>
      </w:r>
      <w:r w:rsidR="00434277">
        <w:rPr>
          <w:rFonts w:ascii="Arial" w:hAnsi="Arial" w:cs="Arial"/>
          <w:lang w:val="en-ZA"/>
        </w:rPr>
        <w:t>tempestuous</w:t>
      </w:r>
      <w:r w:rsidR="00B47771">
        <w:rPr>
          <w:rFonts w:ascii="Arial" w:hAnsi="Arial" w:cs="Arial"/>
          <w:lang w:val="en-ZA"/>
        </w:rPr>
        <w:t xml:space="preserve"> and unsettled relations</w:t>
      </w:r>
      <w:r w:rsidR="00434277">
        <w:rPr>
          <w:rFonts w:ascii="Arial" w:hAnsi="Arial" w:cs="Arial"/>
          <w:lang w:val="en-ZA"/>
        </w:rPr>
        <w:t xml:space="preserve">hip </w:t>
      </w:r>
      <w:r w:rsidR="001375BF">
        <w:rPr>
          <w:rFonts w:ascii="Arial" w:hAnsi="Arial" w:cs="Arial"/>
          <w:lang w:val="en-ZA"/>
        </w:rPr>
        <w:t xml:space="preserve">of </w:t>
      </w:r>
      <w:r w:rsidR="00434277">
        <w:rPr>
          <w:rFonts w:ascii="Arial" w:hAnsi="Arial" w:cs="Arial"/>
          <w:lang w:val="en-ZA"/>
        </w:rPr>
        <w:t>their</w:t>
      </w:r>
      <w:r w:rsidR="001375BF">
        <w:rPr>
          <w:rFonts w:ascii="Arial" w:hAnsi="Arial" w:cs="Arial"/>
          <w:lang w:val="en-ZA"/>
        </w:rPr>
        <w:t xml:space="preserve"> parents</w:t>
      </w:r>
      <w:r w:rsidR="00434277">
        <w:rPr>
          <w:rFonts w:ascii="Arial" w:hAnsi="Arial" w:cs="Arial"/>
          <w:lang w:val="en-ZA"/>
        </w:rPr>
        <w:t>, circumstances</w:t>
      </w:r>
      <w:r w:rsidR="00B47771">
        <w:rPr>
          <w:rFonts w:ascii="Arial" w:hAnsi="Arial" w:cs="Arial"/>
          <w:lang w:val="en-ZA"/>
        </w:rPr>
        <w:t xml:space="preserve"> not conducive to raise a child in. It was mainly driven by </w:t>
      </w:r>
      <w:r w:rsidR="00434277">
        <w:rPr>
          <w:rFonts w:ascii="Arial" w:hAnsi="Arial" w:cs="Arial"/>
          <w:lang w:val="en-ZA"/>
        </w:rPr>
        <w:t xml:space="preserve">mutual </w:t>
      </w:r>
      <w:r w:rsidR="00B47771">
        <w:rPr>
          <w:rFonts w:ascii="Arial" w:hAnsi="Arial" w:cs="Arial"/>
          <w:lang w:val="en-ZA"/>
        </w:rPr>
        <w:t>jealousy</w:t>
      </w:r>
      <w:r w:rsidR="0008138C">
        <w:rPr>
          <w:rFonts w:ascii="Arial" w:hAnsi="Arial" w:cs="Arial"/>
          <w:lang w:val="en-ZA"/>
        </w:rPr>
        <w:t xml:space="preserve"> </w:t>
      </w:r>
      <w:r w:rsidR="00434277">
        <w:rPr>
          <w:rFonts w:ascii="Arial" w:hAnsi="Arial" w:cs="Arial"/>
          <w:lang w:val="en-ZA"/>
        </w:rPr>
        <w:t>which</w:t>
      </w:r>
      <w:r w:rsidR="0008138C">
        <w:rPr>
          <w:rFonts w:ascii="Arial" w:hAnsi="Arial" w:cs="Arial"/>
          <w:lang w:val="en-ZA"/>
        </w:rPr>
        <w:t xml:space="preserve"> often ended in </w:t>
      </w:r>
      <w:r w:rsidR="00434277">
        <w:rPr>
          <w:rFonts w:ascii="Arial" w:hAnsi="Arial" w:cs="Arial"/>
          <w:lang w:val="en-ZA"/>
        </w:rPr>
        <w:t>physical fights and the opening and withdrawing of cases with the police</w:t>
      </w:r>
      <w:r w:rsidR="0008138C">
        <w:rPr>
          <w:rFonts w:ascii="Arial" w:hAnsi="Arial" w:cs="Arial"/>
          <w:lang w:val="en-ZA"/>
        </w:rPr>
        <w:t>. From her evidence it is clear that the relationship was marred by distrust and violent behaviour which, in the end, claimed the deceased’s life.</w:t>
      </w:r>
    </w:p>
    <w:p w:rsidR="007A3700" w:rsidRDefault="007A3700" w:rsidP="006B344C">
      <w:pPr>
        <w:spacing w:line="360" w:lineRule="auto"/>
        <w:jc w:val="both"/>
        <w:rPr>
          <w:rFonts w:ascii="Arial" w:hAnsi="Arial" w:cs="Arial"/>
          <w:lang w:val="en-ZA"/>
        </w:rPr>
      </w:pPr>
    </w:p>
    <w:p w:rsidR="00ED00F2" w:rsidRDefault="007A3700" w:rsidP="006B344C">
      <w:pPr>
        <w:spacing w:line="360" w:lineRule="auto"/>
        <w:jc w:val="both"/>
        <w:rPr>
          <w:rFonts w:ascii="Arial" w:hAnsi="Arial" w:cs="Arial"/>
          <w:lang w:val="en-ZA"/>
        </w:rPr>
      </w:pPr>
      <w:r>
        <w:rPr>
          <w:rFonts w:ascii="Arial" w:hAnsi="Arial" w:cs="Arial"/>
          <w:lang w:val="en-ZA"/>
        </w:rPr>
        <w:t>[</w:t>
      </w:r>
      <w:r w:rsidR="001375BF">
        <w:rPr>
          <w:rFonts w:ascii="Arial" w:hAnsi="Arial" w:cs="Arial"/>
          <w:lang w:val="en-ZA"/>
        </w:rPr>
        <w:t>6</w:t>
      </w:r>
      <w:r>
        <w:rPr>
          <w:rFonts w:ascii="Arial" w:hAnsi="Arial" w:cs="Arial"/>
          <w:lang w:val="en-ZA"/>
        </w:rPr>
        <w:t xml:space="preserve">]   The accused testified in mitigation of sentence and </w:t>
      </w:r>
      <w:r w:rsidR="0008138C">
        <w:rPr>
          <w:rFonts w:ascii="Arial" w:hAnsi="Arial" w:cs="Arial"/>
          <w:lang w:val="en-ZA"/>
        </w:rPr>
        <w:t xml:space="preserve">confirmed having had a poor relationship with the deceased. </w:t>
      </w:r>
      <w:r w:rsidR="00F606BB">
        <w:rPr>
          <w:rFonts w:ascii="Arial" w:hAnsi="Arial" w:cs="Arial"/>
          <w:lang w:val="en-ZA"/>
        </w:rPr>
        <w:t>It seemed to have reached a</w:t>
      </w:r>
      <w:r w:rsidR="00434277">
        <w:rPr>
          <w:rFonts w:ascii="Arial" w:hAnsi="Arial" w:cs="Arial"/>
          <w:lang w:val="en-ZA"/>
        </w:rPr>
        <w:t>n all-time low</w:t>
      </w:r>
      <w:r w:rsidR="00F606BB">
        <w:rPr>
          <w:rFonts w:ascii="Arial" w:hAnsi="Arial" w:cs="Arial"/>
          <w:b/>
          <w:lang w:val="en-ZA"/>
        </w:rPr>
        <w:t xml:space="preserve"> </w:t>
      </w:r>
      <w:r w:rsidR="00F606BB">
        <w:rPr>
          <w:rFonts w:ascii="Arial" w:hAnsi="Arial" w:cs="Arial"/>
          <w:lang w:val="en-ZA"/>
        </w:rPr>
        <w:t xml:space="preserve">approximately one month </w:t>
      </w:r>
      <w:r w:rsidR="00434277">
        <w:rPr>
          <w:rFonts w:ascii="Arial" w:hAnsi="Arial" w:cs="Arial"/>
          <w:lang w:val="en-ZA"/>
        </w:rPr>
        <w:t xml:space="preserve">prior to the incident when </w:t>
      </w:r>
      <w:r w:rsidR="00F606BB">
        <w:rPr>
          <w:rFonts w:ascii="Arial" w:hAnsi="Arial" w:cs="Arial"/>
          <w:lang w:val="en-ZA"/>
        </w:rPr>
        <w:t xml:space="preserve">he learned that he was HIV+ and </w:t>
      </w:r>
      <w:r w:rsidR="00434277">
        <w:rPr>
          <w:rFonts w:ascii="Arial" w:hAnsi="Arial" w:cs="Arial"/>
          <w:lang w:val="en-ZA"/>
        </w:rPr>
        <w:t xml:space="preserve">the deceased </w:t>
      </w:r>
      <w:r w:rsidR="001375BF">
        <w:rPr>
          <w:rFonts w:ascii="Arial" w:hAnsi="Arial" w:cs="Arial"/>
          <w:lang w:val="en-ZA"/>
        </w:rPr>
        <w:t xml:space="preserve">having been </w:t>
      </w:r>
      <w:r w:rsidR="00F606BB">
        <w:rPr>
          <w:rFonts w:ascii="Arial" w:hAnsi="Arial" w:cs="Arial"/>
          <w:lang w:val="en-ZA"/>
        </w:rPr>
        <w:t>informed</w:t>
      </w:r>
      <w:r w:rsidR="00434277" w:rsidRPr="00434277">
        <w:rPr>
          <w:rFonts w:ascii="Arial" w:hAnsi="Arial" w:cs="Arial"/>
          <w:lang w:val="en-ZA"/>
        </w:rPr>
        <w:t xml:space="preserve"> </w:t>
      </w:r>
      <w:r w:rsidR="00434277">
        <w:rPr>
          <w:rFonts w:ascii="Arial" w:hAnsi="Arial" w:cs="Arial"/>
          <w:lang w:val="en-ZA"/>
        </w:rPr>
        <w:t>accordingly</w:t>
      </w:r>
      <w:r w:rsidR="00F606BB">
        <w:rPr>
          <w:rFonts w:ascii="Arial" w:hAnsi="Arial" w:cs="Arial"/>
          <w:lang w:val="en-ZA"/>
        </w:rPr>
        <w:t xml:space="preserve">. By then they </w:t>
      </w:r>
      <w:r w:rsidR="001375BF">
        <w:rPr>
          <w:rFonts w:ascii="Arial" w:hAnsi="Arial" w:cs="Arial"/>
          <w:lang w:val="en-ZA"/>
        </w:rPr>
        <w:t>were already</w:t>
      </w:r>
      <w:r w:rsidR="00F606BB">
        <w:rPr>
          <w:rFonts w:ascii="Arial" w:hAnsi="Arial" w:cs="Arial"/>
          <w:lang w:val="en-ZA"/>
        </w:rPr>
        <w:t xml:space="preserve"> living apart</w:t>
      </w:r>
      <w:r w:rsidR="001375BF">
        <w:rPr>
          <w:rFonts w:ascii="Arial" w:hAnsi="Arial" w:cs="Arial"/>
          <w:lang w:val="en-ZA"/>
        </w:rPr>
        <w:t xml:space="preserve"> as the deceased had taken up employment</w:t>
      </w:r>
      <w:r w:rsidR="00CC315E">
        <w:rPr>
          <w:rFonts w:ascii="Arial" w:hAnsi="Arial" w:cs="Arial"/>
          <w:lang w:val="en-ZA"/>
        </w:rPr>
        <w:t>. Accused said he</w:t>
      </w:r>
      <w:r w:rsidR="00F606BB">
        <w:rPr>
          <w:rFonts w:ascii="Arial" w:hAnsi="Arial" w:cs="Arial"/>
          <w:lang w:val="en-ZA"/>
        </w:rPr>
        <w:t xml:space="preserve"> on that fateful day went to the deceased in order to try and </w:t>
      </w:r>
      <w:r w:rsidR="002A2414">
        <w:rPr>
          <w:rFonts w:ascii="Arial" w:hAnsi="Arial" w:cs="Arial"/>
          <w:lang w:val="en-ZA"/>
        </w:rPr>
        <w:t>rekindle</w:t>
      </w:r>
      <w:r w:rsidR="00F606BB">
        <w:rPr>
          <w:rFonts w:ascii="Arial" w:hAnsi="Arial" w:cs="Arial"/>
          <w:lang w:val="en-ZA"/>
        </w:rPr>
        <w:t xml:space="preserve"> their relationship</w:t>
      </w:r>
      <w:r w:rsidR="00CC315E">
        <w:rPr>
          <w:rFonts w:ascii="Arial" w:hAnsi="Arial" w:cs="Arial"/>
          <w:lang w:val="en-ZA"/>
        </w:rPr>
        <w:t>, but was turned down. He admits having become</w:t>
      </w:r>
      <w:r w:rsidR="00F606BB">
        <w:rPr>
          <w:rFonts w:ascii="Arial" w:hAnsi="Arial" w:cs="Arial"/>
          <w:lang w:val="en-ZA"/>
        </w:rPr>
        <w:t xml:space="preserve"> angry and returned to the deceased’s r</w:t>
      </w:r>
      <w:r w:rsidR="001375BF">
        <w:rPr>
          <w:rFonts w:ascii="Arial" w:hAnsi="Arial" w:cs="Arial"/>
          <w:lang w:val="en-ZA"/>
        </w:rPr>
        <w:t>oom</w:t>
      </w:r>
      <w:r w:rsidR="00CC315E">
        <w:rPr>
          <w:rFonts w:ascii="Arial" w:hAnsi="Arial" w:cs="Arial"/>
          <w:lang w:val="en-ZA"/>
        </w:rPr>
        <w:t xml:space="preserve"> after midnight when he locked</w:t>
      </w:r>
      <w:r w:rsidR="00ED00F2">
        <w:rPr>
          <w:rFonts w:ascii="Arial" w:hAnsi="Arial" w:cs="Arial"/>
          <w:lang w:val="en-ZA"/>
        </w:rPr>
        <w:t xml:space="preserve"> the door from the outside</w:t>
      </w:r>
      <w:r w:rsidR="00CC315E" w:rsidRPr="00CC315E">
        <w:rPr>
          <w:rFonts w:ascii="Arial" w:hAnsi="Arial" w:cs="Arial"/>
          <w:lang w:val="en-ZA"/>
        </w:rPr>
        <w:t xml:space="preserve"> </w:t>
      </w:r>
      <w:r w:rsidR="00CC315E">
        <w:rPr>
          <w:rFonts w:ascii="Arial" w:hAnsi="Arial" w:cs="Arial"/>
          <w:lang w:val="en-ZA"/>
        </w:rPr>
        <w:t xml:space="preserve">with a padlock he brought </w:t>
      </w:r>
      <w:r w:rsidR="002A2414">
        <w:rPr>
          <w:rFonts w:ascii="Arial" w:hAnsi="Arial" w:cs="Arial"/>
          <w:lang w:val="en-ZA"/>
        </w:rPr>
        <w:t>with</w:t>
      </w:r>
      <w:r w:rsidR="00ED00F2">
        <w:rPr>
          <w:rFonts w:ascii="Arial" w:hAnsi="Arial" w:cs="Arial"/>
          <w:lang w:val="en-ZA"/>
        </w:rPr>
        <w:t xml:space="preserve">, </w:t>
      </w:r>
      <w:r w:rsidR="001375BF">
        <w:rPr>
          <w:rFonts w:ascii="Arial" w:hAnsi="Arial" w:cs="Arial"/>
          <w:lang w:val="en-ZA"/>
        </w:rPr>
        <w:t>thereby ensuring</w:t>
      </w:r>
      <w:r w:rsidR="00ED00F2">
        <w:rPr>
          <w:rFonts w:ascii="Arial" w:hAnsi="Arial" w:cs="Arial"/>
          <w:lang w:val="en-ZA"/>
        </w:rPr>
        <w:t xml:space="preserve"> that she would </w:t>
      </w:r>
      <w:r w:rsidR="00CC315E">
        <w:rPr>
          <w:rFonts w:ascii="Arial" w:hAnsi="Arial" w:cs="Arial"/>
          <w:lang w:val="en-ZA"/>
        </w:rPr>
        <w:t xml:space="preserve">not be </w:t>
      </w:r>
      <w:r w:rsidR="00ED00F2">
        <w:rPr>
          <w:rFonts w:ascii="Arial" w:hAnsi="Arial" w:cs="Arial"/>
          <w:lang w:val="en-ZA"/>
        </w:rPr>
        <w:t>able to</w:t>
      </w:r>
      <w:r w:rsidR="001375BF">
        <w:rPr>
          <w:rFonts w:ascii="Arial" w:hAnsi="Arial" w:cs="Arial"/>
          <w:lang w:val="en-ZA"/>
        </w:rPr>
        <w:t xml:space="preserve"> </w:t>
      </w:r>
      <w:r w:rsidR="002A2414">
        <w:rPr>
          <w:rFonts w:ascii="Arial" w:hAnsi="Arial" w:cs="Arial"/>
          <w:lang w:val="en-ZA"/>
        </w:rPr>
        <w:t>leave the room</w:t>
      </w:r>
      <w:r w:rsidR="001375BF">
        <w:rPr>
          <w:rFonts w:ascii="Arial" w:hAnsi="Arial" w:cs="Arial"/>
          <w:lang w:val="en-ZA"/>
        </w:rPr>
        <w:t xml:space="preserve"> through the door</w:t>
      </w:r>
      <w:r w:rsidR="00ED00F2">
        <w:rPr>
          <w:rFonts w:ascii="Arial" w:hAnsi="Arial" w:cs="Arial"/>
          <w:lang w:val="en-ZA"/>
        </w:rPr>
        <w:t xml:space="preserve">. </w:t>
      </w:r>
    </w:p>
    <w:p w:rsidR="00ED00F2" w:rsidRDefault="00ED00F2" w:rsidP="006B344C">
      <w:pPr>
        <w:spacing w:line="360" w:lineRule="auto"/>
        <w:jc w:val="both"/>
        <w:rPr>
          <w:rFonts w:ascii="Arial" w:hAnsi="Arial" w:cs="Arial"/>
          <w:lang w:val="en-ZA"/>
        </w:rPr>
      </w:pPr>
    </w:p>
    <w:p w:rsidR="00A83196" w:rsidRDefault="00ED00F2" w:rsidP="006B344C">
      <w:pPr>
        <w:spacing w:line="360" w:lineRule="auto"/>
        <w:jc w:val="both"/>
        <w:rPr>
          <w:rFonts w:ascii="Arial" w:hAnsi="Arial" w:cs="Arial"/>
          <w:lang w:val="en-ZA"/>
        </w:rPr>
      </w:pPr>
      <w:r>
        <w:rPr>
          <w:rFonts w:ascii="Arial" w:hAnsi="Arial" w:cs="Arial"/>
          <w:lang w:val="en-ZA"/>
        </w:rPr>
        <w:t>[</w:t>
      </w:r>
      <w:r w:rsidR="001375BF">
        <w:rPr>
          <w:rFonts w:ascii="Arial" w:hAnsi="Arial" w:cs="Arial"/>
          <w:lang w:val="en-ZA"/>
        </w:rPr>
        <w:t>7</w:t>
      </w:r>
      <w:r>
        <w:rPr>
          <w:rFonts w:ascii="Arial" w:hAnsi="Arial" w:cs="Arial"/>
          <w:lang w:val="en-ZA"/>
        </w:rPr>
        <w:t xml:space="preserve">]   I pause to observe that the accused during his testimony proffered </w:t>
      </w:r>
      <w:r w:rsidR="00E85232">
        <w:rPr>
          <w:rFonts w:ascii="Arial" w:hAnsi="Arial" w:cs="Arial"/>
          <w:lang w:val="en-ZA"/>
        </w:rPr>
        <w:t>a different version from what is</w:t>
      </w:r>
      <w:r>
        <w:rPr>
          <w:rFonts w:ascii="Arial" w:hAnsi="Arial" w:cs="Arial"/>
          <w:lang w:val="en-ZA"/>
        </w:rPr>
        <w:t xml:space="preserve"> stated in his plea explanation where he said that after the first altercation he </w:t>
      </w:r>
      <w:r w:rsidRPr="00CC315E">
        <w:rPr>
          <w:rFonts w:ascii="Arial" w:hAnsi="Arial" w:cs="Arial"/>
          <w:i/>
          <w:lang w:val="en-ZA"/>
        </w:rPr>
        <w:t>pretended</w:t>
      </w:r>
      <w:r>
        <w:rPr>
          <w:rFonts w:ascii="Arial" w:hAnsi="Arial" w:cs="Arial"/>
          <w:lang w:val="en-ZA"/>
        </w:rPr>
        <w:t xml:space="preserve"> to leave and returned after a short while. Opposed thereto </w:t>
      </w:r>
      <w:r w:rsidR="00E85232">
        <w:rPr>
          <w:rFonts w:ascii="Arial" w:hAnsi="Arial" w:cs="Arial"/>
          <w:lang w:val="en-ZA"/>
        </w:rPr>
        <w:t>stands his testimony</w:t>
      </w:r>
      <w:r>
        <w:rPr>
          <w:rFonts w:ascii="Arial" w:hAnsi="Arial" w:cs="Arial"/>
          <w:lang w:val="en-ZA"/>
        </w:rPr>
        <w:t xml:space="preserve"> that he </w:t>
      </w:r>
      <w:r w:rsidR="001375BF">
        <w:rPr>
          <w:rFonts w:ascii="Arial" w:hAnsi="Arial" w:cs="Arial"/>
          <w:lang w:val="en-ZA"/>
        </w:rPr>
        <w:t>came on foot</w:t>
      </w:r>
      <w:r>
        <w:rPr>
          <w:rFonts w:ascii="Arial" w:hAnsi="Arial" w:cs="Arial"/>
          <w:lang w:val="en-ZA"/>
        </w:rPr>
        <w:t xml:space="preserve"> from </w:t>
      </w:r>
      <w:r w:rsidR="00CC315E">
        <w:rPr>
          <w:rFonts w:ascii="Arial" w:hAnsi="Arial" w:cs="Arial"/>
          <w:lang w:val="en-ZA"/>
        </w:rPr>
        <w:t>his house</w:t>
      </w:r>
      <w:r w:rsidR="00514E3B">
        <w:rPr>
          <w:rFonts w:ascii="Arial" w:hAnsi="Arial" w:cs="Arial"/>
          <w:lang w:val="en-ZA"/>
        </w:rPr>
        <w:t>,</w:t>
      </w:r>
      <w:r w:rsidR="00CC315E">
        <w:rPr>
          <w:rFonts w:ascii="Arial" w:hAnsi="Arial" w:cs="Arial"/>
          <w:lang w:val="en-ZA"/>
        </w:rPr>
        <w:t xml:space="preserve"> situated in Dordabis</w:t>
      </w:r>
      <w:r w:rsidR="00514E3B">
        <w:rPr>
          <w:rFonts w:ascii="Arial" w:hAnsi="Arial" w:cs="Arial"/>
          <w:lang w:val="en-ZA"/>
        </w:rPr>
        <w:t>,</w:t>
      </w:r>
      <w:r w:rsidR="00CC315E">
        <w:rPr>
          <w:rFonts w:ascii="Arial" w:hAnsi="Arial" w:cs="Arial"/>
          <w:lang w:val="en-ZA"/>
        </w:rPr>
        <w:t xml:space="preserve"> some two km away</w:t>
      </w:r>
      <w:r w:rsidR="00E85232">
        <w:rPr>
          <w:rFonts w:ascii="Arial" w:hAnsi="Arial" w:cs="Arial"/>
          <w:lang w:val="en-ZA"/>
        </w:rPr>
        <w:t>. He further testified that after he had entered the deceased’s room</w:t>
      </w:r>
      <w:r>
        <w:rPr>
          <w:rFonts w:ascii="Arial" w:hAnsi="Arial" w:cs="Arial"/>
          <w:lang w:val="en-ZA"/>
        </w:rPr>
        <w:t xml:space="preserve"> </w:t>
      </w:r>
      <w:r w:rsidR="00E85232">
        <w:rPr>
          <w:rFonts w:ascii="Arial" w:hAnsi="Arial" w:cs="Arial"/>
          <w:lang w:val="en-ZA"/>
        </w:rPr>
        <w:t xml:space="preserve">there was a physical </w:t>
      </w:r>
      <w:r w:rsidR="00CC315E">
        <w:rPr>
          <w:rFonts w:ascii="Arial" w:hAnsi="Arial" w:cs="Arial"/>
          <w:lang w:val="en-ZA"/>
        </w:rPr>
        <w:t>fight between him and the deceased</w:t>
      </w:r>
      <w:r w:rsidR="00E85232">
        <w:rPr>
          <w:rFonts w:ascii="Arial" w:hAnsi="Arial" w:cs="Arial"/>
          <w:lang w:val="en-ZA"/>
        </w:rPr>
        <w:t xml:space="preserve">. </w:t>
      </w:r>
      <w:r w:rsidR="0050207D">
        <w:rPr>
          <w:rFonts w:ascii="Arial" w:hAnsi="Arial" w:cs="Arial"/>
          <w:lang w:val="en-ZA"/>
        </w:rPr>
        <w:t xml:space="preserve">He </w:t>
      </w:r>
      <w:r w:rsidR="00514E3B">
        <w:rPr>
          <w:rFonts w:ascii="Arial" w:hAnsi="Arial" w:cs="Arial"/>
          <w:lang w:val="en-ZA"/>
        </w:rPr>
        <w:t>said he (by chance) found</w:t>
      </w:r>
      <w:r w:rsidR="0050207D">
        <w:rPr>
          <w:rFonts w:ascii="Arial" w:hAnsi="Arial" w:cs="Arial"/>
          <w:lang w:val="en-ZA"/>
        </w:rPr>
        <w:t xml:space="preserve"> paraffin on a table in the deceased’s room and on the spur of the moment decided to put the room on fire. However, nothing had been said in his plea explanation about a preceding fight between him and the deceased</w:t>
      </w:r>
      <w:r w:rsidR="00514E3B">
        <w:rPr>
          <w:rFonts w:ascii="Arial" w:hAnsi="Arial" w:cs="Arial"/>
          <w:lang w:val="en-ZA"/>
        </w:rPr>
        <w:t xml:space="preserve"> at that stage</w:t>
      </w:r>
      <w:r w:rsidR="0050207D">
        <w:rPr>
          <w:rFonts w:ascii="Arial" w:hAnsi="Arial" w:cs="Arial"/>
          <w:lang w:val="en-ZA"/>
        </w:rPr>
        <w:t xml:space="preserve">. </w:t>
      </w:r>
      <w:r w:rsidR="00E85232">
        <w:rPr>
          <w:rFonts w:ascii="Arial" w:hAnsi="Arial" w:cs="Arial"/>
          <w:lang w:val="en-ZA"/>
        </w:rPr>
        <w:t>On the contrary, the impression was gained that the deceased was asleep when he set the r</w:t>
      </w:r>
      <w:r w:rsidR="00514E3B">
        <w:rPr>
          <w:rFonts w:ascii="Arial" w:hAnsi="Arial" w:cs="Arial"/>
          <w:lang w:val="en-ZA"/>
        </w:rPr>
        <w:t>oom alight. When asked where he found the</w:t>
      </w:r>
      <w:r w:rsidR="00E85232">
        <w:rPr>
          <w:rFonts w:ascii="Arial" w:hAnsi="Arial" w:cs="Arial"/>
          <w:lang w:val="en-ZA"/>
        </w:rPr>
        <w:t xml:space="preserve"> padlock used to lock the door </w:t>
      </w:r>
      <w:r w:rsidR="0050207D">
        <w:rPr>
          <w:rFonts w:ascii="Arial" w:hAnsi="Arial" w:cs="Arial"/>
          <w:lang w:val="en-ZA"/>
        </w:rPr>
        <w:t>with</w:t>
      </w:r>
      <w:r w:rsidR="00E85232">
        <w:rPr>
          <w:rFonts w:ascii="Arial" w:hAnsi="Arial" w:cs="Arial"/>
          <w:lang w:val="en-ZA"/>
        </w:rPr>
        <w:t xml:space="preserve">, he explained that he had earlier picked it up in Dordabis. He </w:t>
      </w:r>
      <w:r w:rsidR="00A83196">
        <w:rPr>
          <w:rFonts w:ascii="Arial" w:hAnsi="Arial" w:cs="Arial"/>
          <w:lang w:val="en-ZA"/>
        </w:rPr>
        <w:t>said he had brought it along in order to use it</w:t>
      </w:r>
      <w:r w:rsidR="00514E3B">
        <w:rPr>
          <w:rFonts w:ascii="Arial" w:hAnsi="Arial" w:cs="Arial"/>
          <w:lang w:val="en-ZA"/>
        </w:rPr>
        <w:t>,</w:t>
      </w:r>
      <w:r w:rsidR="00A83196">
        <w:rPr>
          <w:rFonts w:ascii="Arial" w:hAnsi="Arial" w:cs="Arial"/>
          <w:lang w:val="en-ZA"/>
        </w:rPr>
        <w:t xml:space="preserve"> </w:t>
      </w:r>
      <w:r w:rsidR="00514E3B">
        <w:rPr>
          <w:rFonts w:ascii="Arial" w:hAnsi="Arial" w:cs="Arial"/>
          <w:lang w:val="en-ZA"/>
        </w:rPr>
        <w:t>though</w:t>
      </w:r>
      <w:r w:rsidR="00CC315E">
        <w:rPr>
          <w:rFonts w:ascii="Arial" w:hAnsi="Arial" w:cs="Arial"/>
          <w:lang w:val="en-ZA"/>
        </w:rPr>
        <w:t xml:space="preserve"> </w:t>
      </w:r>
      <w:r w:rsidR="00A83196">
        <w:rPr>
          <w:rFonts w:ascii="Arial" w:hAnsi="Arial" w:cs="Arial"/>
          <w:lang w:val="en-ZA"/>
        </w:rPr>
        <w:t>unable to explain</w:t>
      </w:r>
      <w:r w:rsidR="00E85232">
        <w:rPr>
          <w:rFonts w:ascii="Arial" w:hAnsi="Arial" w:cs="Arial"/>
          <w:lang w:val="en-ZA"/>
        </w:rPr>
        <w:t xml:space="preserve"> </w:t>
      </w:r>
      <w:r w:rsidR="00A83196">
        <w:rPr>
          <w:rFonts w:ascii="Arial" w:hAnsi="Arial" w:cs="Arial"/>
          <w:lang w:val="en-ZA"/>
        </w:rPr>
        <w:t>why h</w:t>
      </w:r>
      <w:r w:rsidR="00CC315E">
        <w:rPr>
          <w:rFonts w:ascii="Arial" w:hAnsi="Arial" w:cs="Arial"/>
          <w:lang w:val="en-ZA"/>
        </w:rPr>
        <w:t>e wanted to lock the door</w:t>
      </w:r>
      <w:r w:rsidR="00A83196">
        <w:rPr>
          <w:rFonts w:ascii="Arial" w:hAnsi="Arial" w:cs="Arial"/>
          <w:lang w:val="en-ZA"/>
        </w:rPr>
        <w:t xml:space="preserve">. </w:t>
      </w:r>
    </w:p>
    <w:p w:rsidR="00A83196" w:rsidRDefault="00A83196" w:rsidP="006B344C">
      <w:pPr>
        <w:spacing w:line="360" w:lineRule="auto"/>
        <w:jc w:val="both"/>
        <w:rPr>
          <w:rFonts w:ascii="Arial" w:hAnsi="Arial" w:cs="Arial"/>
          <w:lang w:val="en-ZA"/>
        </w:rPr>
      </w:pPr>
    </w:p>
    <w:p w:rsidR="00F606BB" w:rsidRDefault="00A83196" w:rsidP="006B344C">
      <w:pPr>
        <w:spacing w:line="360" w:lineRule="auto"/>
        <w:jc w:val="both"/>
        <w:rPr>
          <w:rFonts w:ascii="Arial" w:hAnsi="Arial" w:cs="Arial"/>
          <w:lang w:val="en-ZA"/>
        </w:rPr>
      </w:pPr>
      <w:r>
        <w:rPr>
          <w:rFonts w:ascii="Arial" w:hAnsi="Arial" w:cs="Arial"/>
          <w:lang w:val="en-ZA"/>
        </w:rPr>
        <w:t>[</w:t>
      </w:r>
      <w:r w:rsidR="00514E3B">
        <w:rPr>
          <w:rFonts w:ascii="Arial" w:hAnsi="Arial" w:cs="Arial"/>
          <w:lang w:val="en-ZA"/>
        </w:rPr>
        <w:t>8</w:t>
      </w:r>
      <w:r>
        <w:rPr>
          <w:rFonts w:ascii="Arial" w:hAnsi="Arial" w:cs="Arial"/>
          <w:lang w:val="en-ZA"/>
        </w:rPr>
        <w:t xml:space="preserve">]   There can be no doubt that the accused hatched his plan to kill the deceased prior to his return </w:t>
      </w:r>
      <w:r w:rsidR="00514E3B">
        <w:rPr>
          <w:rFonts w:ascii="Arial" w:hAnsi="Arial" w:cs="Arial"/>
          <w:lang w:val="en-ZA"/>
        </w:rPr>
        <w:t>late that night</w:t>
      </w:r>
      <w:r w:rsidR="00423319">
        <w:rPr>
          <w:rFonts w:ascii="Arial" w:hAnsi="Arial" w:cs="Arial"/>
          <w:lang w:val="en-ZA"/>
        </w:rPr>
        <w:t>; this</w:t>
      </w:r>
      <w:r>
        <w:rPr>
          <w:rFonts w:ascii="Arial" w:hAnsi="Arial" w:cs="Arial"/>
          <w:lang w:val="en-ZA"/>
        </w:rPr>
        <w:t xml:space="preserve"> is evident from the padlock he brought </w:t>
      </w:r>
      <w:r w:rsidR="00423319">
        <w:rPr>
          <w:rFonts w:ascii="Arial" w:hAnsi="Arial" w:cs="Arial"/>
          <w:lang w:val="en-ZA"/>
        </w:rPr>
        <w:t>with</w:t>
      </w:r>
      <w:r>
        <w:rPr>
          <w:rFonts w:ascii="Arial" w:hAnsi="Arial" w:cs="Arial"/>
          <w:lang w:val="en-ZA"/>
        </w:rPr>
        <w:t xml:space="preserve"> in order to lock the door from the outside. </w:t>
      </w:r>
      <w:r w:rsidR="00423319">
        <w:rPr>
          <w:rFonts w:ascii="Arial" w:hAnsi="Arial" w:cs="Arial"/>
          <w:lang w:val="en-ZA"/>
        </w:rPr>
        <w:t xml:space="preserve">It also suggests that his </w:t>
      </w:r>
      <w:r w:rsidR="00423319" w:rsidRPr="00423319">
        <w:rPr>
          <w:rFonts w:ascii="Arial" w:hAnsi="Arial" w:cs="Arial"/>
          <w:i/>
          <w:lang w:val="en-ZA"/>
        </w:rPr>
        <w:t>modus operandi</w:t>
      </w:r>
      <w:r w:rsidR="00423319">
        <w:rPr>
          <w:rFonts w:ascii="Arial" w:hAnsi="Arial" w:cs="Arial"/>
          <w:lang w:val="en-ZA"/>
        </w:rPr>
        <w:t xml:space="preserve"> would be to set the deceased’s room alight. </w:t>
      </w:r>
      <w:r>
        <w:rPr>
          <w:rFonts w:ascii="Arial" w:hAnsi="Arial" w:cs="Arial"/>
          <w:lang w:val="en-ZA"/>
        </w:rPr>
        <w:t>T</w:t>
      </w:r>
      <w:r w:rsidR="00737777">
        <w:rPr>
          <w:rFonts w:ascii="Arial" w:hAnsi="Arial" w:cs="Arial"/>
          <w:lang w:val="en-ZA"/>
        </w:rPr>
        <w:t xml:space="preserve">he only reasonable inference to draw </w:t>
      </w:r>
      <w:r w:rsidR="0050207D">
        <w:rPr>
          <w:rFonts w:ascii="Arial" w:hAnsi="Arial" w:cs="Arial"/>
          <w:lang w:val="en-ZA"/>
        </w:rPr>
        <w:t xml:space="preserve">from his explanation </w:t>
      </w:r>
      <w:r w:rsidR="00737777">
        <w:rPr>
          <w:rFonts w:ascii="Arial" w:hAnsi="Arial" w:cs="Arial"/>
          <w:lang w:val="en-ZA"/>
        </w:rPr>
        <w:t xml:space="preserve">is that it would prevent the deceased from escaping through the door. I find the accused’s testimony about a preceding fight </w:t>
      </w:r>
      <w:r w:rsidR="0050207D">
        <w:rPr>
          <w:rFonts w:ascii="Arial" w:hAnsi="Arial" w:cs="Arial"/>
          <w:lang w:val="en-ZA"/>
        </w:rPr>
        <w:t>implausible; also that he</w:t>
      </w:r>
      <w:r w:rsidR="00737777">
        <w:rPr>
          <w:rFonts w:ascii="Arial" w:hAnsi="Arial" w:cs="Arial"/>
          <w:lang w:val="en-ZA"/>
        </w:rPr>
        <w:t xml:space="preserve"> by chance came upon the bottle of paraffin and in the heat of the moment decided to set the </w:t>
      </w:r>
      <w:r w:rsidR="0050207D">
        <w:rPr>
          <w:rFonts w:ascii="Arial" w:hAnsi="Arial" w:cs="Arial"/>
          <w:lang w:val="en-ZA"/>
        </w:rPr>
        <w:t>room on fire</w:t>
      </w:r>
      <w:r w:rsidR="00737777">
        <w:rPr>
          <w:rFonts w:ascii="Arial" w:hAnsi="Arial" w:cs="Arial"/>
          <w:lang w:val="en-ZA"/>
        </w:rPr>
        <w:t>. If that were to be the truth, why then did he lock the door in the first place and how did he intend to vent his anger</w:t>
      </w:r>
      <w:r w:rsidR="0050207D">
        <w:rPr>
          <w:rFonts w:ascii="Arial" w:hAnsi="Arial" w:cs="Arial"/>
          <w:lang w:val="en-ZA"/>
        </w:rPr>
        <w:t xml:space="preserve"> – the sole reason for returning at night</w:t>
      </w:r>
      <w:r w:rsidR="00737777">
        <w:rPr>
          <w:rFonts w:ascii="Arial" w:hAnsi="Arial" w:cs="Arial"/>
          <w:lang w:val="en-ZA"/>
        </w:rPr>
        <w:t xml:space="preserve">? On his own admission he entered the deceased’s room whilst she was asleep, </w:t>
      </w:r>
      <w:r w:rsidR="0050207D">
        <w:rPr>
          <w:rFonts w:ascii="Arial" w:hAnsi="Arial" w:cs="Arial"/>
          <w:lang w:val="en-ZA"/>
        </w:rPr>
        <w:t>doused the room in</w:t>
      </w:r>
      <w:r w:rsidR="00737777">
        <w:rPr>
          <w:rFonts w:ascii="Arial" w:hAnsi="Arial" w:cs="Arial"/>
          <w:lang w:val="en-ZA"/>
        </w:rPr>
        <w:t xml:space="preserve"> paraffin and set it alight. </w:t>
      </w:r>
      <w:r w:rsidR="00A0335B">
        <w:rPr>
          <w:rFonts w:ascii="Arial" w:hAnsi="Arial" w:cs="Arial"/>
          <w:lang w:val="en-ZA"/>
        </w:rPr>
        <w:t xml:space="preserve">On the latter version it would explain why he had earlier locked the door from the outside namely, to prevent her from escaping </w:t>
      </w:r>
      <w:r w:rsidR="00ED00F2">
        <w:rPr>
          <w:rFonts w:ascii="Arial" w:hAnsi="Arial" w:cs="Arial"/>
          <w:lang w:val="en-ZA"/>
        </w:rPr>
        <w:t xml:space="preserve">the flames. </w:t>
      </w:r>
      <w:r w:rsidR="00A0335B">
        <w:rPr>
          <w:rFonts w:ascii="Arial" w:hAnsi="Arial" w:cs="Arial"/>
          <w:lang w:val="en-ZA"/>
        </w:rPr>
        <w:t xml:space="preserve">I accordingly reject the accused’s testimony on this point as false </w:t>
      </w:r>
      <w:r w:rsidR="00514E3B">
        <w:rPr>
          <w:rFonts w:ascii="Arial" w:hAnsi="Arial" w:cs="Arial"/>
          <w:lang w:val="en-ZA"/>
        </w:rPr>
        <w:t>beyond reasonable doubt as it</w:t>
      </w:r>
      <w:r w:rsidR="0050207D">
        <w:rPr>
          <w:rFonts w:ascii="Arial" w:hAnsi="Arial" w:cs="Arial"/>
          <w:lang w:val="en-ZA"/>
        </w:rPr>
        <w:t xml:space="preserve"> clearly has the making of</w:t>
      </w:r>
      <w:r w:rsidR="00A0335B">
        <w:rPr>
          <w:rFonts w:ascii="Arial" w:hAnsi="Arial" w:cs="Arial"/>
          <w:lang w:val="en-ZA"/>
        </w:rPr>
        <w:t xml:space="preserve"> an afterthought. </w:t>
      </w:r>
    </w:p>
    <w:p w:rsidR="00505882" w:rsidRDefault="00505882" w:rsidP="006B344C">
      <w:pPr>
        <w:spacing w:line="360" w:lineRule="auto"/>
        <w:jc w:val="both"/>
        <w:rPr>
          <w:rFonts w:ascii="Arial" w:hAnsi="Arial" w:cs="Arial"/>
          <w:lang w:val="en-ZA"/>
        </w:rPr>
      </w:pPr>
    </w:p>
    <w:p w:rsidR="008128A6" w:rsidRDefault="00505882" w:rsidP="008128A6">
      <w:pPr>
        <w:spacing w:line="360" w:lineRule="auto"/>
        <w:jc w:val="both"/>
        <w:rPr>
          <w:rFonts w:ascii="Arial" w:hAnsi="Arial" w:cs="Arial"/>
          <w:lang w:val="en-ZA"/>
        </w:rPr>
      </w:pPr>
      <w:r>
        <w:rPr>
          <w:rFonts w:ascii="Arial" w:hAnsi="Arial" w:cs="Arial"/>
          <w:lang w:val="en-ZA"/>
        </w:rPr>
        <w:t>[</w:t>
      </w:r>
      <w:r w:rsidR="00514E3B">
        <w:rPr>
          <w:rFonts w:ascii="Arial" w:hAnsi="Arial" w:cs="Arial"/>
          <w:lang w:val="en-ZA"/>
        </w:rPr>
        <w:t>9</w:t>
      </w:r>
      <w:r>
        <w:rPr>
          <w:rFonts w:ascii="Arial" w:hAnsi="Arial" w:cs="Arial"/>
          <w:lang w:val="en-ZA"/>
        </w:rPr>
        <w:t xml:space="preserve">]   </w:t>
      </w:r>
      <w:r w:rsidR="00811AB6">
        <w:rPr>
          <w:rFonts w:ascii="Arial" w:hAnsi="Arial" w:cs="Arial"/>
          <w:lang w:val="en-ZA"/>
        </w:rPr>
        <w:t>What is most</w:t>
      </w:r>
      <w:r w:rsidR="00CA2853">
        <w:rPr>
          <w:rFonts w:ascii="Arial" w:hAnsi="Arial" w:cs="Arial"/>
          <w:lang w:val="en-ZA"/>
        </w:rPr>
        <w:t xml:space="preserve"> aggravating is that the crimes were not committed on the spur of the </w:t>
      </w:r>
      <w:r w:rsidR="001F5657">
        <w:rPr>
          <w:rFonts w:ascii="Arial" w:hAnsi="Arial" w:cs="Arial"/>
          <w:lang w:val="en-ZA"/>
        </w:rPr>
        <w:t>moment</w:t>
      </w:r>
      <w:r w:rsidR="00514E3B">
        <w:rPr>
          <w:rFonts w:ascii="Arial" w:hAnsi="Arial" w:cs="Arial"/>
          <w:lang w:val="en-ZA"/>
        </w:rPr>
        <w:t>,</w:t>
      </w:r>
      <w:r w:rsidR="001F5657">
        <w:rPr>
          <w:rFonts w:ascii="Arial" w:hAnsi="Arial" w:cs="Arial"/>
          <w:lang w:val="en-ZA"/>
        </w:rPr>
        <w:t xml:space="preserve"> but required some degree of</w:t>
      </w:r>
      <w:r w:rsidR="00514E3B">
        <w:rPr>
          <w:rFonts w:ascii="Arial" w:hAnsi="Arial" w:cs="Arial"/>
          <w:lang w:val="en-ZA"/>
        </w:rPr>
        <w:t xml:space="preserve"> planning;</w:t>
      </w:r>
      <w:r w:rsidR="00CA2853">
        <w:rPr>
          <w:rFonts w:ascii="Arial" w:hAnsi="Arial" w:cs="Arial"/>
          <w:lang w:val="en-ZA"/>
        </w:rPr>
        <w:t xml:space="preserve"> making the accused’s criminal behaviour even more reprehensible.</w:t>
      </w:r>
      <w:r w:rsidR="00CA2853">
        <w:rPr>
          <w:rStyle w:val="FootnoteReference"/>
          <w:rFonts w:ascii="Arial" w:hAnsi="Arial" w:cs="Arial"/>
          <w:lang w:val="en-ZA"/>
        </w:rPr>
        <w:footnoteReference w:id="4"/>
      </w:r>
      <w:r w:rsidR="00CA2853">
        <w:rPr>
          <w:rFonts w:ascii="Arial" w:hAnsi="Arial" w:cs="Arial"/>
          <w:lang w:val="en-ZA"/>
        </w:rPr>
        <w:t xml:space="preserve"> </w:t>
      </w:r>
      <w:r w:rsidR="00811AB6">
        <w:rPr>
          <w:rFonts w:ascii="Arial" w:hAnsi="Arial" w:cs="Arial"/>
          <w:lang w:val="en-ZA"/>
        </w:rPr>
        <w:t>He waited until the deceased was asleep before he set his evil plan in motion. According to the accused the deceased rejected him because of his HIV status which angered him to the point where he was unable to control himself. It seems to me that in these circumstances the deceased’s reaction could a</w:t>
      </w:r>
      <w:r w:rsidR="008128A6">
        <w:rPr>
          <w:rFonts w:ascii="Arial" w:hAnsi="Arial" w:cs="Arial"/>
          <w:lang w:val="en-ZA"/>
        </w:rPr>
        <w:t>t least have been</w:t>
      </w:r>
      <w:r w:rsidR="00514E3B">
        <w:rPr>
          <w:rFonts w:ascii="Arial" w:hAnsi="Arial" w:cs="Arial"/>
          <w:lang w:val="en-ZA"/>
        </w:rPr>
        <w:t xml:space="preserve"> </w:t>
      </w:r>
      <w:r w:rsidR="008128A6">
        <w:rPr>
          <w:rFonts w:ascii="Arial" w:hAnsi="Arial" w:cs="Arial"/>
          <w:lang w:val="en-ZA"/>
        </w:rPr>
        <w:t>expected</w:t>
      </w:r>
      <w:r w:rsidR="00514E3B">
        <w:rPr>
          <w:rFonts w:ascii="Arial" w:hAnsi="Arial" w:cs="Arial"/>
          <w:lang w:val="en-ZA"/>
        </w:rPr>
        <w:t>,</w:t>
      </w:r>
      <w:r w:rsidR="008128A6">
        <w:rPr>
          <w:rFonts w:ascii="Arial" w:hAnsi="Arial" w:cs="Arial"/>
          <w:lang w:val="en-ZA"/>
        </w:rPr>
        <w:t xml:space="preserve"> and</w:t>
      </w:r>
      <w:r w:rsidR="00811AB6">
        <w:rPr>
          <w:rFonts w:ascii="Arial" w:hAnsi="Arial" w:cs="Arial"/>
          <w:lang w:val="en-ZA"/>
        </w:rPr>
        <w:t xml:space="preserve"> the accused’s response clearly </w:t>
      </w:r>
      <w:r w:rsidR="00423319">
        <w:rPr>
          <w:rFonts w:ascii="Arial" w:hAnsi="Arial" w:cs="Arial"/>
          <w:lang w:val="en-ZA"/>
        </w:rPr>
        <w:t xml:space="preserve">being </w:t>
      </w:r>
      <w:r w:rsidR="00514E3B">
        <w:rPr>
          <w:rFonts w:ascii="Arial" w:hAnsi="Arial" w:cs="Arial"/>
          <w:lang w:val="en-ZA"/>
        </w:rPr>
        <w:t xml:space="preserve">irrational and </w:t>
      </w:r>
      <w:r w:rsidR="00811AB6">
        <w:rPr>
          <w:rFonts w:ascii="Arial" w:hAnsi="Arial" w:cs="Arial"/>
          <w:lang w:val="en-ZA"/>
        </w:rPr>
        <w:t xml:space="preserve">unjustified. </w:t>
      </w:r>
      <w:r w:rsidR="008128A6">
        <w:rPr>
          <w:rFonts w:ascii="Arial" w:hAnsi="Arial" w:cs="Arial"/>
          <w:lang w:val="en-ZA"/>
        </w:rPr>
        <w:t xml:space="preserve">The deceased made her intentions of no longer being interested in the </w:t>
      </w:r>
      <w:r w:rsidR="00193ACB">
        <w:rPr>
          <w:rFonts w:ascii="Arial" w:hAnsi="Arial" w:cs="Arial"/>
          <w:lang w:val="en-ZA"/>
        </w:rPr>
        <w:t>relationship</w:t>
      </w:r>
      <w:r w:rsidR="008128A6">
        <w:rPr>
          <w:rFonts w:ascii="Arial" w:hAnsi="Arial" w:cs="Arial"/>
          <w:lang w:val="en-ZA"/>
        </w:rPr>
        <w:t xml:space="preserve"> known to him and</w:t>
      </w:r>
      <w:r w:rsidR="00423319">
        <w:rPr>
          <w:rFonts w:ascii="Arial" w:hAnsi="Arial" w:cs="Arial"/>
          <w:lang w:val="en-ZA"/>
        </w:rPr>
        <w:t>,</w:t>
      </w:r>
      <w:r w:rsidR="008128A6">
        <w:rPr>
          <w:rFonts w:ascii="Arial" w:hAnsi="Arial" w:cs="Arial"/>
          <w:lang w:val="en-ZA"/>
        </w:rPr>
        <w:t xml:space="preserve"> seemingly</w:t>
      </w:r>
      <w:r w:rsidR="00423319">
        <w:rPr>
          <w:rFonts w:ascii="Arial" w:hAnsi="Arial" w:cs="Arial"/>
          <w:lang w:val="en-ZA"/>
        </w:rPr>
        <w:t>,</w:t>
      </w:r>
      <w:r w:rsidR="008128A6">
        <w:rPr>
          <w:rFonts w:ascii="Arial" w:hAnsi="Arial" w:cs="Arial"/>
          <w:lang w:val="en-ZA"/>
        </w:rPr>
        <w:t xml:space="preserve"> for good reason. </w:t>
      </w:r>
    </w:p>
    <w:p w:rsidR="008128A6" w:rsidRDefault="008128A6" w:rsidP="008128A6">
      <w:pPr>
        <w:spacing w:line="360" w:lineRule="auto"/>
        <w:jc w:val="both"/>
        <w:rPr>
          <w:rFonts w:ascii="Arial" w:hAnsi="Arial" w:cs="Arial"/>
          <w:lang w:val="en-ZA"/>
        </w:rPr>
      </w:pPr>
      <w:r>
        <w:rPr>
          <w:rFonts w:ascii="Arial" w:hAnsi="Arial" w:cs="Arial"/>
          <w:lang w:val="en-ZA"/>
        </w:rPr>
        <w:t xml:space="preserve"> </w:t>
      </w:r>
    </w:p>
    <w:p w:rsidR="001D6E96" w:rsidRDefault="001F5657" w:rsidP="008128A6">
      <w:pPr>
        <w:spacing w:line="360" w:lineRule="auto"/>
        <w:jc w:val="both"/>
        <w:rPr>
          <w:rFonts w:ascii="Arial" w:hAnsi="Arial" w:cs="Arial"/>
          <w:lang w:val="en-ZA"/>
        </w:rPr>
      </w:pPr>
      <w:r>
        <w:rPr>
          <w:rFonts w:ascii="Arial" w:hAnsi="Arial" w:cs="Arial"/>
          <w:lang w:val="en-ZA"/>
        </w:rPr>
        <w:t>[</w:t>
      </w:r>
      <w:r w:rsidR="00514E3B">
        <w:rPr>
          <w:rFonts w:ascii="Arial" w:hAnsi="Arial" w:cs="Arial"/>
          <w:lang w:val="en-ZA"/>
        </w:rPr>
        <w:t>10</w:t>
      </w:r>
      <w:r w:rsidR="00193ACB">
        <w:rPr>
          <w:rFonts w:ascii="Arial" w:hAnsi="Arial" w:cs="Arial"/>
          <w:lang w:val="en-ZA"/>
        </w:rPr>
        <w:t>]   T</w:t>
      </w:r>
      <w:r w:rsidR="00505882">
        <w:rPr>
          <w:rFonts w:ascii="Arial" w:hAnsi="Arial" w:cs="Arial"/>
          <w:lang w:val="en-ZA"/>
        </w:rPr>
        <w:t>he</w:t>
      </w:r>
      <w:r>
        <w:rPr>
          <w:rFonts w:ascii="Arial" w:hAnsi="Arial" w:cs="Arial"/>
          <w:lang w:val="en-ZA"/>
        </w:rPr>
        <w:t>se crimes were</w:t>
      </w:r>
      <w:r w:rsidR="00505882">
        <w:rPr>
          <w:rFonts w:ascii="Arial" w:hAnsi="Arial" w:cs="Arial"/>
          <w:lang w:val="en-ZA"/>
        </w:rPr>
        <w:t xml:space="preserve"> committed in the con</w:t>
      </w:r>
      <w:r>
        <w:rPr>
          <w:rFonts w:ascii="Arial" w:hAnsi="Arial" w:cs="Arial"/>
          <w:lang w:val="en-ZA"/>
        </w:rPr>
        <w:t>text of a domestic relationship</w:t>
      </w:r>
      <w:r w:rsidR="00505882">
        <w:rPr>
          <w:rFonts w:ascii="Arial" w:hAnsi="Arial" w:cs="Arial"/>
          <w:lang w:val="en-ZA"/>
        </w:rPr>
        <w:t xml:space="preserve"> as defined in the Combating of Domestic Violence Act, 2003.  This Court in </w:t>
      </w:r>
      <w:r>
        <w:rPr>
          <w:rFonts w:ascii="Arial" w:hAnsi="Arial" w:cs="Arial"/>
          <w:lang w:val="en-ZA"/>
        </w:rPr>
        <w:t>past</w:t>
      </w:r>
      <w:r w:rsidR="00505882">
        <w:rPr>
          <w:rFonts w:ascii="Arial" w:hAnsi="Arial" w:cs="Arial"/>
          <w:lang w:val="en-ZA"/>
        </w:rPr>
        <w:t xml:space="preserve"> judgments made it clear that it considers c</w:t>
      </w:r>
      <w:r w:rsidR="00514E3B">
        <w:rPr>
          <w:rFonts w:ascii="Arial" w:hAnsi="Arial" w:cs="Arial"/>
          <w:lang w:val="en-ZA"/>
        </w:rPr>
        <w:t>rimes</w:t>
      </w:r>
      <w:r w:rsidR="00193ACB">
        <w:rPr>
          <w:rFonts w:ascii="Arial" w:hAnsi="Arial" w:cs="Arial"/>
          <w:lang w:val="en-ZA"/>
        </w:rPr>
        <w:t xml:space="preserve"> committed in a domestic setting</w:t>
      </w:r>
      <w:r>
        <w:rPr>
          <w:rFonts w:ascii="Arial" w:hAnsi="Arial" w:cs="Arial"/>
          <w:lang w:val="en-ZA"/>
        </w:rPr>
        <w:t xml:space="preserve"> in a serious light</w:t>
      </w:r>
      <w:r w:rsidR="00505882">
        <w:rPr>
          <w:rFonts w:ascii="Arial" w:hAnsi="Arial" w:cs="Arial"/>
          <w:lang w:val="en-ZA"/>
        </w:rPr>
        <w:t xml:space="preserve"> and would increasingly impose heavier sentences in order</w:t>
      </w:r>
      <w:r w:rsidR="00514E3B">
        <w:rPr>
          <w:rFonts w:ascii="Arial" w:hAnsi="Arial" w:cs="Arial"/>
          <w:lang w:val="en-ZA"/>
        </w:rPr>
        <w:t xml:space="preserve"> to bring an end </w:t>
      </w:r>
      <w:r>
        <w:rPr>
          <w:rFonts w:ascii="Arial" w:hAnsi="Arial" w:cs="Arial"/>
          <w:lang w:val="en-ZA"/>
        </w:rPr>
        <w:t>to</w:t>
      </w:r>
      <w:r w:rsidR="00514E3B">
        <w:rPr>
          <w:rFonts w:ascii="Arial" w:hAnsi="Arial" w:cs="Arial"/>
          <w:lang w:val="en-ZA"/>
        </w:rPr>
        <w:t xml:space="preserve"> the spate of murders currently experienced</w:t>
      </w:r>
      <w:r>
        <w:rPr>
          <w:rFonts w:ascii="Arial" w:hAnsi="Arial" w:cs="Arial"/>
          <w:lang w:val="en-ZA"/>
        </w:rPr>
        <w:t>.   T</w:t>
      </w:r>
      <w:r w:rsidR="00505882">
        <w:rPr>
          <w:rFonts w:ascii="Arial" w:hAnsi="Arial" w:cs="Arial"/>
          <w:lang w:val="en-ZA"/>
        </w:rPr>
        <w:t>he present instance</w:t>
      </w:r>
      <w:r>
        <w:rPr>
          <w:rFonts w:ascii="Arial" w:hAnsi="Arial" w:cs="Arial"/>
          <w:lang w:val="en-ZA"/>
        </w:rPr>
        <w:t xml:space="preserve"> is just another example of the extent of abuse </w:t>
      </w:r>
      <w:r w:rsidR="0003736C">
        <w:rPr>
          <w:rFonts w:ascii="Arial" w:hAnsi="Arial" w:cs="Arial"/>
          <w:lang w:val="en-ZA"/>
        </w:rPr>
        <w:t xml:space="preserve">and crimes </w:t>
      </w:r>
      <w:r w:rsidR="009676D1">
        <w:rPr>
          <w:rFonts w:ascii="Arial" w:hAnsi="Arial" w:cs="Arial"/>
          <w:lang w:val="en-ZA"/>
        </w:rPr>
        <w:t>committed</w:t>
      </w:r>
      <w:r>
        <w:rPr>
          <w:rFonts w:ascii="Arial" w:hAnsi="Arial" w:cs="Arial"/>
          <w:lang w:val="en-ZA"/>
        </w:rPr>
        <w:t xml:space="preserve"> on a daily basis in our society</w:t>
      </w:r>
      <w:r w:rsidR="00193ACB">
        <w:rPr>
          <w:rFonts w:ascii="Arial" w:hAnsi="Arial" w:cs="Arial"/>
          <w:lang w:val="en-ZA"/>
        </w:rPr>
        <w:t>,</w:t>
      </w:r>
      <w:r>
        <w:rPr>
          <w:rFonts w:ascii="Arial" w:hAnsi="Arial" w:cs="Arial"/>
          <w:lang w:val="en-ZA"/>
        </w:rPr>
        <w:t xml:space="preserve"> where the weak and vulnerable often pay with their lives for no reason</w:t>
      </w:r>
      <w:r w:rsidR="009676D1">
        <w:rPr>
          <w:rFonts w:ascii="Arial" w:hAnsi="Arial" w:cs="Arial"/>
          <w:lang w:val="en-ZA"/>
        </w:rPr>
        <w:t xml:space="preserve"> at all</w:t>
      </w:r>
      <w:r>
        <w:rPr>
          <w:rFonts w:ascii="Arial" w:hAnsi="Arial" w:cs="Arial"/>
          <w:lang w:val="en-ZA"/>
        </w:rPr>
        <w:t xml:space="preserve">. Differences between persons in </w:t>
      </w:r>
      <w:r w:rsidR="001C4D65">
        <w:rPr>
          <w:rFonts w:ascii="Arial" w:hAnsi="Arial" w:cs="Arial"/>
          <w:lang w:val="en-ZA"/>
        </w:rPr>
        <w:t xml:space="preserve">virtually </w:t>
      </w:r>
      <w:r>
        <w:rPr>
          <w:rFonts w:ascii="Arial" w:hAnsi="Arial" w:cs="Arial"/>
          <w:lang w:val="en-ZA"/>
        </w:rPr>
        <w:t>a</w:t>
      </w:r>
      <w:r w:rsidR="001C4D65">
        <w:rPr>
          <w:rFonts w:ascii="Arial" w:hAnsi="Arial" w:cs="Arial"/>
          <w:lang w:val="en-ZA"/>
        </w:rPr>
        <w:t xml:space="preserve">ny relationship, moreover when of romantic </w:t>
      </w:r>
      <w:r w:rsidR="009676D1">
        <w:rPr>
          <w:rFonts w:ascii="Arial" w:hAnsi="Arial" w:cs="Arial"/>
          <w:lang w:val="en-ZA"/>
        </w:rPr>
        <w:t xml:space="preserve">nature, are likely to arise and as </w:t>
      </w:r>
      <w:r w:rsidR="00193ACB">
        <w:rPr>
          <w:rFonts w:ascii="Arial" w:hAnsi="Arial" w:cs="Arial"/>
          <w:lang w:val="en-ZA"/>
        </w:rPr>
        <w:t xml:space="preserve">independent </w:t>
      </w:r>
      <w:r w:rsidR="009676D1">
        <w:rPr>
          <w:rFonts w:ascii="Arial" w:hAnsi="Arial" w:cs="Arial"/>
          <w:lang w:val="en-ZA"/>
        </w:rPr>
        <w:t>human beings</w:t>
      </w:r>
      <w:r w:rsidR="001C4D65">
        <w:rPr>
          <w:rFonts w:ascii="Arial" w:hAnsi="Arial" w:cs="Arial"/>
          <w:lang w:val="en-ZA"/>
        </w:rPr>
        <w:t xml:space="preserve"> we </w:t>
      </w:r>
      <w:r w:rsidR="009676D1">
        <w:rPr>
          <w:rFonts w:ascii="Arial" w:hAnsi="Arial" w:cs="Arial"/>
          <w:lang w:val="en-ZA"/>
        </w:rPr>
        <w:t>are often confronted with difficult situations which require emotional decision making</w:t>
      </w:r>
      <w:r w:rsidR="001C4D65">
        <w:rPr>
          <w:rFonts w:ascii="Arial" w:hAnsi="Arial" w:cs="Arial"/>
          <w:lang w:val="en-ZA"/>
        </w:rPr>
        <w:t xml:space="preserve"> – it is </w:t>
      </w:r>
      <w:r w:rsidR="009676D1">
        <w:rPr>
          <w:rFonts w:ascii="Arial" w:hAnsi="Arial" w:cs="Arial"/>
          <w:lang w:val="en-ZA"/>
        </w:rPr>
        <w:t xml:space="preserve">simply </w:t>
      </w:r>
      <w:r w:rsidR="001C4D65">
        <w:rPr>
          <w:rFonts w:ascii="Arial" w:hAnsi="Arial" w:cs="Arial"/>
          <w:lang w:val="en-ZA"/>
        </w:rPr>
        <w:t xml:space="preserve">part of life. That obviously includes breakups in relationships and </w:t>
      </w:r>
      <w:r w:rsidR="00DC7712">
        <w:rPr>
          <w:rFonts w:ascii="Arial" w:hAnsi="Arial" w:cs="Arial"/>
          <w:lang w:val="en-ZA"/>
        </w:rPr>
        <w:t xml:space="preserve">irrespective of </w:t>
      </w:r>
      <w:r w:rsidR="001C4D65">
        <w:rPr>
          <w:rFonts w:ascii="Arial" w:hAnsi="Arial" w:cs="Arial"/>
          <w:lang w:val="en-ZA"/>
        </w:rPr>
        <w:t xml:space="preserve">how difficult </w:t>
      </w:r>
      <w:r w:rsidR="00DC7712">
        <w:rPr>
          <w:rFonts w:ascii="Arial" w:hAnsi="Arial" w:cs="Arial"/>
          <w:lang w:val="en-ZA"/>
        </w:rPr>
        <w:t xml:space="preserve">and painful </w:t>
      </w:r>
      <w:r w:rsidR="00423319">
        <w:rPr>
          <w:rFonts w:ascii="Arial" w:hAnsi="Arial" w:cs="Arial"/>
          <w:lang w:val="en-ZA"/>
        </w:rPr>
        <w:t>the process</w:t>
      </w:r>
      <w:r w:rsidR="001C4D65">
        <w:rPr>
          <w:rFonts w:ascii="Arial" w:hAnsi="Arial" w:cs="Arial"/>
          <w:lang w:val="en-ZA"/>
        </w:rPr>
        <w:t xml:space="preserve"> may be to the affected parties, </w:t>
      </w:r>
      <w:r w:rsidR="00505882">
        <w:rPr>
          <w:rFonts w:ascii="Arial" w:hAnsi="Arial" w:cs="Arial"/>
          <w:lang w:val="en-ZA"/>
        </w:rPr>
        <w:t>the</w:t>
      </w:r>
      <w:r w:rsidR="00DC7712">
        <w:rPr>
          <w:rFonts w:ascii="Arial" w:hAnsi="Arial" w:cs="Arial"/>
          <w:lang w:val="en-ZA"/>
        </w:rPr>
        <w:t xml:space="preserve">y are bound by the fundamental rights enshrined in our Constitution, </w:t>
      </w:r>
      <w:r w:rsidR="00423319">
        <w:rPr>
          <w:rFonts w:ascii="Arial" w:hAnsi="Arial" w:cs="Arial"/>
          <w:lang w:val="en-ZA"/>
        </w:rPr>
        <w:t>including</w:t>
      </w:r>
      <w:r w:rsidR="00DC7712">
        <w:rPr>
          <w:rFonts w:ascii="Arial" w:hAnsi="Arial" w:cs="Arial"/>
          <w:lang w:val="en-ZA"/>
        </w:rPr>
        <w:t xml:space="preserve"> </w:t>
      </w:r>
      <w:r w:rsidR="00193ACB">
        <w:rPr>
          <w:rFonts w:ascii="Arial" w:hAnsi="Arial" w:cs="Arial"/>
          <w:lang w:val="en-ZA"/>
        </w:rPr>
        <w:t xml:space="preserve">the </w:t>
      </w:r>
      <w:r w:rsidR="00DC7712">
        <w:rPr>
          <w:rFonts w:ascii="Arial" w:hAnsi="Arial" w:cs="Arial"/>
          <w:lang w:val="en-ZA"/>
        </w:rPr>
        <w:t>moral values</w:t>
      </w:r>
      <w:r w:rsidR="00505882">
        <w:rPr>
          <w:rFonts w:ascii="Arial" w:hAnsi="Arial" w:cs="Arial"/>
          <w:lang w:val="en-ZA"/>
        </w:rPr>
        <w:t xml:space="preserve"> </w:t>
      </w:r>
      <w:r w:rsidR="00193ACB">
        <w:rPr>
          <w:rFonts w:ascii="Arial" w:hAnsi="Arial" w:cs="Arial"/>
          <w:lang w:val="en-ZA"/>
        </w:rPr>
        <w:t>endorsed</w:t>
      </w:r>
      <w:r w:rsidR="00DC7712">
        <w:rPr>
          <w:rFonts w:ascii="Arial" w:hAnsi="Arial" w:cs="Arial"/>
          <w:lang w:val="en-ZA"/>
        </w:rPr>
        <w:t xml:space="preserve"> </w:t>
      </w:r>
      <w:r w:rsidR="00193ACB">
        <w:rPr>
          <w:rFonts w:ascii="Arial" w:hAnsi="Arial" w:cs="Arial"/>
          <w:lang w:val="en-ZA"/>
        </w:rPr>
        <w:t>and upheld by</w:t>
      </w:r>
      <w:r w:rsidR="00DC7712">
        <w:rPr>
          <w:rFonts w:ascii="Arial" w:hAnsi="Arial" w:cs="Arial"/>
          <w:lang w:val="en-ZA"/>
        </w:rPr>
        <w:t xml:space="preserve"> society. It is therefore in the interest of </w:t>
      </w:r>
      <w:r w:rsidR="00193ACB">
        <w:rPr>
          <w:rFonts w:ascii="Arial" w:hAnsi="Arial" w:cs="Arial"/>
          <w:lang w:val="en-ZA"/>
        </w:rPr>
        <w:t>justice</w:t>
      </w:r>
      <w:r w:rsidR="00DC7712">
        <w:rPr>
          <w:rFonts w:ascii="Arial" w:hAnsi="Arial" w:cs="Arial"/>
          <w:lang w:val="en-ZA"/>
        </w:rPr>
        <w:t xml:space="preserve"> that these rights and mutual respect for one another be protected and </w:t>
      </w:r>
      <w:r w:rsidR="0047281D">
        <w:rPr>
          <w:rFonts w:ascii="Arial" w:hAnsi="Arial" w:cs="Arial"/>
          <w:lang w:val="en-ZA"/>
        </w:rPr>
        <w:t xml:space="preserve">upheld </w:t>
      </w:r>
      <w:r w:rsidR="001D6E96">
        <w:rPr>
          <w:rFonts w:ascii="Arial" w:hAnsi="Arial" w:cs="Arial"/>
          <w:lang w:val="en-ZA"/>
        </w:rPr>
        <w:t>at all cost.</w:t>
      </w:r>
      <w:r w:rsidR="0047281D">
        <w:rPr>
          <w:rFonts w:ascii="Arial" w:hAnsi="Arial" w:cs="Arial"/>
          <w:lang w:val="en-ZA"/>
        </w:rPr>
        <w:t xml:space="preserve"> To this end the court plays an important role in upholding the rule of law through its decisions and the sentences </w:t>
      </w:r>
      <w:r w:rsidR="00423319">
        <w:rPr>
          <w:rFonts w:ascii="Arial" w:hAnsi="Arial" w:cs="Arial"/>
          <w:lang w:val="en-ZA"/>
        </w:rPr>
        <w:t>it imposes</w:t>
      </w:r>
      <w:r w:rsidR="0047281D">
        <w:rPr>
          <w:rFonts w:ascii="Arial" w:hAnsi="Arial" w:cs="Arial"/>
          <w:lang w:val="en-ZA"/>
        </w:rPr>
        <w:t>.</w:t>
      </w:r>
    </w:p>
    <w:p w:rsidR="001D6E96" w:rsidRDefault="001D6E96" w:rsidP="00505882">
      <w:pPr>
        <w:spacing w:line="360" w:lineRule="auto"/>
        <w:jc w:val="both"/>
        <w:rPr>
          <w:rFonts w:ascii="Arial" w:hAnsi="Arial" w:cs="Arial"/>
          <w:lang w:val="en-ZA"/>
        </w:rPr>
      </w:pPr>
    </w:p>
    <w:p w:rsidR="00505882" w:rsidRDefault="001D6E96" w:rsidP="00505882">
      <w:pPr>
        <w:spacing w:line="360" w:lineRule="auto"/>
        <w:jc w:val="both"/>
        <w:rPr>
          <w:rFonts w:ascii="Arial" w:hAnsi="Arial" w:cs="Arial"/>
          <w:lang w:val="en-ZA"/>
        </w:rPr>
      </w:pPr>
      <w:r>
        <w:rPr>
          <w:rFonts w:ascii="Arial" w:hAnsi="Arial" w:cs="Arial"/>
          <w:lang w:val="en-ZA"/>
        </w:rPr>
        <w:t>[</w:t>
      </w:r>
      <w:r w:rsidR="00776BC5">
        <w:rPr>
          <w:rFonts w:ascii="Arial" w:hAnsi="Arial" w:cs="Arial"/>
          <w:lang w:val="en-ZA"/>
        </w:rPr>
        <w:t>11</w:t>
      </w:r>
      <w:r>
        <w:rPr>
          <w:rFonts w:ascii="Arial" w:hAnsi="Arial" w:cs="Arial"/>
          <w:lang w:val="en-ZA"/>
        </w:rPr>
        <w:t xml:space="preserve">]   In the present instance the deceased </w:t>
      </w:r>
      <w:r w:rsidR="00505882">
        <w:rPr>
          <w:rFonts w:ascii="Arial" w:hAnsi="Arial" w:cs="Arial"/>
          <w:lang w:val="en-ZA"/>
        </w:rPr>
        <w:t xml:space="preserve">had all the right to terminate her relationship with the accused </w:t>
      </w:r>
      <w:r w:rsidR="00193ACB">
        <w:rPr>
          <w:rFonts w:ascii="Arial" w:hAnsi="Arial" w:cs="Arial"/>
          <w:lang w:val="en-ZA"/>
        </w:rPr>
        <w:t>for whatever reason</w:t>
      </w:r>
      <w:r w:rsidR="00776BC5">
        <w:rPr>
          <w:rFonts w:ascii="Arial" w:hAnsi="Arial" w:cs="Arial"/>
          <w:lang w:val="en-ZA"/>
        </w:rPr>
        <w:t>,</w:t>
      </w:r>
      <w:r w:rsidR="00505882">
        <w:rPr>
          <w:rFonts w:ascii="Arial" w:hAnsi="Arial" w:cs="Arial"/>
          <w:lang w:val="en-ZA"/>
        </w:rPr>
        <w:t xml:space="preserve"> without her becoming a victim for having </w:t>
      </w:r>
      <w:r w:rsidR="00193ACB">
        <w:rPr>
          <w:rFonts w:ascii="Arial" w:hAnsi="Arial" w:cs="Arial"/>
          <w:lang w:val="en-ZA"/>
        </w:rPr>
        <w:t>done so.  T</w:t>
      </w:r>
      <w:r w:rsidR="00505882">
        <w:rPr>
          <w:rFonts w:ascii="Arial" w:hAnsi="Arial" w:cs="Arial"/>
          <w:lang w:val="en-ZA"/>
        </w:rPr>
        <w:t xml:space="preserve">he accused was </w:t>
      </w:r>
      <w:r>
        <w:rPr>
          <w:rFonts w:ascii="Arial" w:hAnsi="Arial" w:cs="Arial"/>
          <w:lang w:val="en-ZA"/>
        </w:rPr>
        <w:t xml:space="preserve">enraged by the deceased’s decision and </w:t>
      </w:r>
      <w:r w:rsidR="00505882">
        <w:rPr>
          <w:rFonts w:ascii="Arial" w:hAnsi="Arial" w:cs="Arial"/>
          <w:lang w:val="en-ZA"/>
        </w:rPr>
        <w:t xml:space="preserve">driven by nothing else but </w:t>
      </w:r>
      <w:r>
        <w:rPr>
          <w:rFonts w:ascii="Arial" w:hAnsi="Arial" w:cs="Arial"/>
          <w:lang w:val="en-ZA"/>
        </w:rPr>
        <w:t xml:space="preserve">hatred </w:t>
      </w:r>
      <w:r w:rsidR="00193ACB">
        <w:rPr>
          <w:rFonts w:ascii="Arial" w:hAnsi="Arial" w:cs="Arial"/>
          <w:lang w:val="en-ZA"/>
        </w:rPr>
        <w:t xml:space="preserve">or jealousy </w:t>
      </w:r>
      <w:r>
        <w:rPr>
          <w:rFonts w:ascii="Arial" w:hAnsi="Arial" w:cs="Arial"/>
          <w:lang w:val="en-ZA"/>
        </w:rPr>
        <w:t>when deciding to en</w:t>
      </w:r>
      <w:r w:rsidR="00193ACB">
        <w:rPr>
          <w:rFonts w:ascii="Arial" w:hAnsi="Arial" w:cs="Arial"/>
          <w:lang w:val="en-ZA"/>
        </w:rPr>
        <w:t>d the</w:t>
      </w:r>
      <w:r>
        <w:rPr>
          <w:rFonts w:ascii="Arial" w:hAnsi="Arial" w:cs="Arial"/>
          <w:lang w:val="en-ZA"/>
        </w:rPr>
        <w:t xml:space="preserve"> </w:t>
      </w:r>
      <w:r w:rsidR="00193ACB">
        <w:rPr>
          <w:rFonts w:ascii="Arial" w:hAnsi="Arial" w:cs="Arial"/>
          <w:lang w:val="en-ZA"/>
        </w:rPr>
        <w:t xml:space="preserve">deceased’s </w:t>
      </w:r>
      <w:r>
        <w:rPr>
          <w:rFonts w:ascii="Arial" w:hAnsi="Arial" w:cs="Arial"/>
          <w:lang w:val="en-ZA"/>
        </w:rPr>
        <w:t>life.</w:t>
      </w:r>
      <w:r w:rsidR="00505882">
        <w:rPr>
          <w:rFonts w:ascii="Arial" w:hAnsi="Arial" w:cs="Arial"/>
          <w:lang w:val="en-ZA"/>
        </w:rPr>
        <w:t xml:space="preserve"> </w:t>
      </w:r>
      <w:r>
        <w:rPr>
          <w:rFonts w:ascii="Arial" w:hAnsi="Arial" w:cs="Arial"/>
          <w:lang w:val="en-ZA"/>
        </w:rPr>
        <w:t xml:space="preserve">Though </w:t>
      </w:r>
      <w:r w:rsidR="00505882">
        <w:rPr>
          <w:rFonts w:ascii="Arial" w:hAnsi="Arial" w:cs="Arial"/>
          <w:lang w:val="en-ZA"/>
        </w:rPr>
        <w:t xml:space="preserve">there is </w:t>
      </w:r>
      <w:r>
        <w:rPr>
          <w:rFonts w:ascii="Arial" w:hAnsi="Arial" w:cs="Arial"/>
          <w:lang w:val="en-ZA"/>
        </w:rPr>
        <w:t xml:space="preserve">some undertone </w:t>
      </w:r>
      <w:r w:rsidR="00E00933">
        <w:rPr>
          <w:rFonts w:ascii="Arial" w:hAnsi="Arial" w:cs="Arial"/>
          <w:lang w:val="en-ZA"/>
        </w:rPr>
        <w:t>in the accused’s plea explanation that he was provoked by the deceased’s accusations resulting in her terminating the relationsh</w:t>
      </w:r>
      <w:r w:rsidR="00193ACB">
        <w:rPr>
          <w:rFonts w:ascii="Arial" w:hAnsi="Arial" w:cs="Arial"/>
          <w:lang w:val="en-ZA"/>
        </w:rPr>
        <w:t>ip, this factor,</w:t>
      </w:r>
      <w:r w:rsidR="009F2EB6">
        <w:rPr>
          <w:rFonts w:ascii="Arial" w:hAnsi="Arial" w:cs="Arial"/>
          <w:lang w:val="en-ZA"/>
        </w:rPr>
        <w:t xml:space="preserve"> </w:t>
      </w:r>
      <w:r w:rsidR="00A46618">
        <w:rPr>
          <w:rFonts w:ascii="Arial" w:hAnsi="Arial" w:cs="Arial"/>
          <w:lang w:val="en-ZA"/>
        </w:rPr>
        <w:t xml:space="preserve">clearly </w:t>
      </w:r>
      <w:r w:rsidR="009F2EB6">
        <w:rPr>
          <w:rFonts w:ascii="Arial" w:hAnsi="Arial" w:cs="Arial"/>
          <w:lang w:val="en-ZA"/>
        </w:rPr>
        <w:t xml:space="preserve">aimed at explaining and mitigating the accused’s </w:t>
      </w:r>
      <w:r w:rsidR="00193ACB">
        <w:rPr>
          <w:rFonts w:ascii="Arial" w:hAnsi="Arial" w:cs="Arial"/>
          <w:lang w:val="en-ZA"/>
        </w:rPr>
        <w:t>unlawful actions</w:t>
      </w:r>
      <w:r w:rsidR="009F2EB6">
        <w:rPr>
          <w:rFonts w:ascii="Arial" w:hAnsi="Arial" w:cs="Arial"/>
          <w:lang w:val="en-ZA"/>
        </w:rPr>
        <w:t>, significantly loses weight</w:t>
      </w:r>
      <w:r w:rsidR="00E00933">
        <w:rPr>
          <w:rFonts w:ascii="Arial" w:hAnsi="Arial" w:cs="Arial"/>
          <w:lang w:val="en-ZA"/>
        </w:rPr>
        <w:t xml:space="preserve"> </w:t>
      </w:r>
      <w:r w:rsidR="009F2EB6">
        <w:rPr>
          <w:rFonts w:ascii="Arial" w:hAnsi="Arial" w:cs="Arial"/>
          <w:lang w:val="en-ZA"/>
        </w:rPr>
        <w:t xml:space="preserve">in the </w:t>
      </w:r>
      <w:r w:rsidR="00193ACB">
        <w:rPr>
          <w:rFonts w:ascii="Arial" w:hAnsi="Arial" w:cs="Arial"/>
          <w:lang w:val="en-ZA"/>
        </w:rPr>
        <w:t>light of the accused’s admitted HIV status</w:t>
      </w:r>
      <w:r w:rsidR="009F2EB6">
        <w:rPr>
          <w:rFonts w:ascii="Arial" w:hAnsi="Arial" w:cs="Arial"/>
          <w:lang w:val="en-ZA"/>
        </w:rPr>
        <w:t>. In any event,</w:t>
      </w:r>
      <w:r w:rsidR="00A46618">
        <w:rPr>
          <w:rFonts w:ascii="Arial" w:hAnsi="Arial" w:cs="Arial"/>
          <w:lang w:val="en-ZA"/>
        </w:rPr>
        <w:t xml:space="preserve"> there could</w:t>
      </w:r>
      <w:r w:rsidR="009F2EB6">
        <w:rPr>
          <w:rFonts w:ascii="Arial" w:hAnsi="Arial" w:cs="Arial"/>
          <w:lang w:val="en-ZA"/>
        </w:rPr>
        <w:t xml:space="preserve"> be </w:t>
      </w:r>
      <w:r w:rsidR="00776BC5">
        <w:rPr>
          <w:rFonts w:ascii="Arial" w:hAnsi="Arial" w:cs="Arial"/>
          <w:lang w:val="en-ZA"/>
        </w:rPr>
        <w:t>no</w:t>
      </w:r>
      <w:r w:rsidR="00A46618">
        <w:rPr>
          <w:rFonts w:ascii="Arial" w:hAnsi="Arial" w:cs="Arial"/>
          <w:lang w:val="en-ZA"/>
        </w:rPr>
        <w:t xml:space="preserve"> justificat</w:t>
      </w:r>
      <w:r w:rsidR="00193ACB">
        <w:rPr>
          <w:rFonts w:ascii="Arial" w:hAnsi="Arial" w:cs="Arial"/>
          <w:lang w:val="en-ZA"/>
        </w:rPr>
        <w:t>ion for the accused’s</w:t>
      </w:r>
      <w:r w:rsidR="00A46618">
        <w:rPr>
          <w:rFonts w:ascii="Arial" w:hAnsi="Arial" w:cs="Arial"/>
          <w:lang w:val="en-ZA"/>
        </w:rPr>
        <w:t xml:space="preserve"> behaviour</w:t>
      </w:r>
      <w:r w:rsidR="00193ACB">
        <w:rPr>
          <w:rFonts w:ascii="Arial" w:hAnsi="Arial" w:cs="Arial"/>
          <w:lang w:val="en-ZA"/>
        </w:rPr>
        <w:t xml:space="preserve"> that could </w:t>
      </w:r>
      <w:r w:rsidR="00776BC5">
        <w:rPr>
          <w:rFonts w:ascii="Arial" w:hAnsi="Arial" w:cs="Arial"/>
          <w:lang w:val="en-ZA"/>
        </w:rPr>
        <w:t xml:space="preserve">possibly </w:t>
      </w:r>
      <w:r w:rsidR="00193ACB">
        <w:rPr>
          <w:rFonts w:ascii="Arial" w:hAnsi="Arial" w:cs="Arial"/>
          <w:lang w:val="en-ZA"/>
        </w:rPr>
        <w:t>be regarded as mitigation</w:t>
      </w:r>
      <w:r w:rsidR="00A46618">
        <w:rPr>
          <w:rFonts w:ascii="Arial" w:hAnsi="Arial" w:cs="Arial"/>
          <w:lang w:val="en-ZA"/>
        </w:rPr>
        <w:t>.</w:t>
      </w:r>
    </w:p>
    <w:p w:rsidR="0047281D" w:rsidRDefault="0047281D" w:rsidP="00505882">
      <w:pPr>
        <w:spacing w:line="360" w:lineRule="auto"/>
        <w:jc w:val="both"/>
        <w:rPr>
          <w:rFonts w:ascii="Arial" w:hAnsi="Arial" w:cs="Arial"/>
          <w:lang w:val="en-ZA"/>
        </w:rPr>
      </w:pPr>
    </w:p>
    <w:p w:rsidR="008128A6" w:rsidRDefault="008128A6" w:rsidP="008128A6">
      <w:pPr>
        <w:spacing w:line="360" w:lineRule="auto"/>
        <w:jc w:val="both"/>
        <w:rPr>
          <w:rFonts w:ascii="Arial" w:hAnsi="Arial" w:cs="Arial"/>
          <w:lang w:val="en-ZA"/>
        </w:rPr>
      </w:pPr>
      <w:r>
        <w:rPr>
          <w:rFonts w:ascii="Arial" w:hAnsi="Arial" w:cs="Arial"/>
          <w:lang w:val="en-ZA"/>
        </w:rPr>
        <w:t>[</w:t>
      </w:r>
      <w:r w:rsidR="00776BC5">
        <w:rPr>
          <w:rFonts w:ascii="Arial" w:hAnsi="Arial" w:cs="Arial"/>
          <w:lang w:val="en-ZA"/>
        </w:rPr>
        <w:t>12</w:t>
      </w:r>
      <w:r>
        <w:rPr>
          <w:rFonts w:ascii="Arial" w:hAnsi="Arial" w:cs="Arial"/>
          <w:lang w:val="en-ZA"/>
        </w:rPr>
        <w:t>]   There can be no doubt that both crimes comm</w:t>
      </w:r>
      <w:r w:rsidR="00776BC5">
        <w:rPr>
          <w:rFonts w:ascii="Arial" w:hAnsi="Arial" w:cs="Arial"/>
          <w:lang w:val="en-ZA"/>
        </w:rPr>
        <w:t>itted are</w:t>
      </w:r>
      <w:r>
        <w:rPr>
          <w:rFonts w:ascii="Arial" w:hAnsi="Arial" w:cs="Arial"/>
          <w:lang w:val="en-ZA"/>
        </w:rPr>
        <w:t xml:space="preserve"> serious, particularly when regard is had to the brutal and merciless </w:t>
      </w:r>
      <w:r w:rsidR="00733A83">
        <w:rPr>
          <w:rFonts w:ascii="Arial" w:hAnsi="Arial" w:cs="Arial"/>
          <w:lang w:val="en-ZA"/>
        </w:rPr>
        <w:t>nature of the attack on</w:t>
      </w:r>
      <w:r>
        <w:rPr>
          <w:rFonts w:ascii="Arial" w:hAnsi="Arial" w:cs="Arial"/>
          <w:lang w:val="en-ZA"/>
        </w:rPr>
        <w:t xml:space="preserve"> a vulnerable person in the safety of her </w:t>
      </w:r>
      <w:r w:rsidR="00D023B3">
        <w:rPr>
          <w:rFonts w:ascii="Arial" w:hAnsi="Arial" w:cs="Arial"/>
          <w:lang w:val="en-ZA"/>
        </w:rPr>
        <w:t xml:space="preserve">own </w:t>
      </w:r>
      <w:r>
        <w:rPr>
          <w:rFonts w:ascii="Arial" w:hAnsi="Arial" w:cs="Arial"/>
          <w:lang w:val="en-ZA"/>
        </w:rPr>
        <w:t>home</w:t>
      </w:r>
      <w:r w:rsidR="00733A83">
        <w:rPr>
          <w:rFonts w:ascii="Arial" w:hAnsi="Arial" w:cs="Arial"/>
          <w:lang w:val="en-ZA"/>
        </w:rPr>
        <w:t xml:space="preserve"> – the mother of his children</w:t>
      </w:r>
      <w:r>
        <w:rPr>
          <w:rFonts w:ascii="Arial" w:hAnsi="Arial" w:cs="Arial"/>
          <w:lang w:val="en-ZA"/>
        </w:rPr>
        <w:t xml:space="preserve">. I can hardly imagine something more horrid happening to a person who is set alight – more so, when the innocent victim is </w:t>
      </w:r>
      <w:r w:rsidR="00776BC5">
        <w:rPr>
          <w:rFonts w:ascii="Arial" w:hAnsi="Arial" w:cs="Arial"/>
          <w:lang w:val="en-ZA"/>
        </w:rPr>
        <w:t>a defenceless and helpless person</w:t>
      </w:r>
      <w:r>
        <w:rPr>
          <w:rFonts w:ascii="Arial" w:hAnsi="Arial" w:cs="Arial"/>
          <w:lang w:val="en-ZA"/>
        </w:rPr>
        <w:t>. His actions were unexpected and callous, perpetrated with direct intent to kill. This is yet another senseless killing which could have been avoided</w:t>
      </w:r>
      <w:r w:rsidR="00776BC5">
        <w:rPr>
          <w:rFonts w:ascii="Arial" w:hAnsi="Arial" w:cs="Arial"/>
          <w:lang w:val="en-ZA"/>
        </w:rPr>
        <w:t>,</w:t>
      </w:r>
      <w:r>
        <w:rPr>
          <w:rFonts w:ascii="Arial" w:hAnsi="Arial" w:cs="Arial"/>
          <w:lang w:val="en-ZA"/>
        </w:rPr>
        <w:t xml:space="preserve"> had the accused not </w:t>
      </w:r>
      <w:r w:rsidR="00733A83">
        <w:rPr>
          <w:rFonts w:ascii="Arial" w:hAnsi="Arial" w:cs="Arial"/>
          <w:lang w:val="en-ZA"/>
        </w:rPr>
        <w:t>served his own interests</w:t>
      </w:r>
      <w:r>
        <w:rPr>
          <w:rFonts w:ascii="Arial" w:hAnsi="Arial" w:cs="Arial"/>
          <w:lang w:val="en-ZA"/>
        </w:rPr>
        <w:t xml:space="preserve"> at</w:t>
      </w:r>
      <w:r w:rsidR="00733A83">
        <w:rPr>
          <w:rFonts w:ascii="Arial" w:hAnsi="Arial" w:cs="Arial"/>
          <w:lang w:val="en-ZA"/>
        </w:rPr>
        <w:t xml:space="preserve"> the expense of others</w:t>
      </w:r>
      <w:r>
        <w:rPr>
          <w:rFonts w:ascii="Arial" w:hAnsi="Arial" w:cs="Arial"/>
          <w:lang w:val="en-ZA"/>
        </w:rPr>
        <w:t>.</w:t>
      </w:r>
    </w:p>
    <w:p w:rsidR="008128A6" w:rsidRDefault="008128A6" w:rsidP="008128A6">
      <w:pPr>
        <w:spacing w:line="360" w:lineRule="auto"/>
        <w:jc w:val="both"/>
        <w:rPr>
          <w:rFonts w:ascii="Arial" w:hAnsi="Arial" w:cs="Arial"/>
          <w:lang w:val="en-ZA"/>
        </w:rPr>
      </w:pPr>
      <w:r>
        <w:rPr>
          <w:rFonts w:ascii="Arial" w:hAnsi="Arial" w:cs="Arial"/>
          <w:lang w:val="en-ZA"/>
        </w:rPr>
        <w:t xml:space="preserve"> </w:t>
      </w:r>
    </w:p>
    <w:p w:rsidR="0047281D" w:rsidRDefault="0047281D" w:rsidP="008128A6">
      <w:pPr>
        <w:spacing w:line="360" w:lineRule="auto"/>
        <w:jc w:val="both"/>
        <w:rPr>
          <w:rFonts w:ascii="Arial" w:hAnsi="Arial" w:cs="Arial"/>
          <w:lang w:val="en-ZA"/>
        </w:rPr>
      </w:pPr>
      <w:r>
        <w:rPr>
          <w:rFonts w:ascii="Arial" w:hAnsi="Arial" w:cs="Arial"/>
          <w:lang w:val="en-ZA"/>
        </w:rPr>
        <w:t>[</w:t>
      </w:r>
      <w:r w:rsidR="00776BC5">
        <w:rPr>
          <w:rFonts w:ascii="Arial" w:hAnsi="Arial" w:cs="Arial"/>
          <w:lang w:val="en-ZA"/>
        </w:rPr>
        <w:t>13</w:t>
      </w:r>
      <w:r>
        <w:rPr>
          <w:rFonts w:ascii="Arial" w:hAnsi="Arial" w:cs="Arial"/>
          <w:lang w:val="en-ZA"/>
        </w:rPr>
        <w:t xml:space="preserve">]   One of the sentencing principles is that for a sentence to be appropriate, it should accord with the accused person’s </w:t>
      </w:r>
      <w:r w:rsidR="0020373F">
        <w:rPr>
          <w:rFonts w:ascii="Arial" w:hAnsi="Arial" w:cs="Arial"/>
          <w:lang w:val="en-ZA"/>
        </w:rPr>
        <w:t xml:space="preserve">moral </w:t>
      </w:r>
      <w:r>
        <w:rPr>
          <w:rFonts w:ascii="Arial" w:hAnsi="Arial" w:cs="Arial"/>
          <w:lang w:val="en-ZA"/>
        </w:rPr>
        <w:t>blameworthiness.</w:t>
      </w:r>
      <w:r>
        <w:rPr>
          <w:rStyle w:val="FootnoteReference"/>
          <w:rFonts w:ascii="Arial" w:hAnsi="Arial" w:cs="Arial"/>
          <w:lang w:val="en-ZA"/>
        </w:rPr>
        <w:footnoteReference w:id="5"/>
      </w:r>
      <w:r w:rsidR="0020373F">
        <w:rPr>
          <w:rFonts w:ascii="Arial" w:hAnsi="Arial" w:cs="Arial"/>
          <w:lang w:val="en-ZA"/>
        </w:rPr>
        <w:t xml:space="preserve"> In the present instance the accused’s blameworthiness is exacerbated by the fact that the murder was premeditated, directed at a defenceless victim who was attacked whilst in the safety of her home</w:t>
      </w:r>
      <w:r w:rsidR="00FB2A7F">
        <w:rPr>
          <w:rFonts w:ascii="Arial" w:hAnsi="Arial" w:cs="Arial"/>
          <w:lang w:val="en-ZA"/>
        </w:rPr>
        <w:t>,</w:t>
      </w:r>
      <w:r w:rsidR="0020373F">
        <w:rPr>
          <w:rFonts w:ascii="Arial" w:hAnsi="Arial" w:cs="Arial"/>
          <w:lang w:val="en-ZA"/>
        </w:rPr>
        <w:t xml:space="preserve"> and </w:t>
      </w:r>
      <w:r w:rsidR="00FB2A7F">
        <w:rPr>
          <w:rFonts w:ascii="Arial" w:hAnsi="Arial" w:cs="Arial"/>
          <w:lang w:val="en-ZA"/>
        </w:rPr>
        <w:t xml:space="preserve">that </w:t>
      </w:r>
      <w:r w:rsidR="0020373F">
        <w:rPr>
          <w:rFonts w:ascii="Arial" w:hAnsi="Arial" w:cs="Arial"/>
          <w:lang w:val="en-ZA"/>
        </w:rPr>
        <w:t>the offence being committed in a domestic setting.</w:t>
      </w:r>
      <w:r w:rsidR="00FB2A7F">
        <w:rPr>
          <w:rFonts w:ascii="Arial" w:hAnsi="Arial" w:cs="Arial"/>
          <w:lang w:val="en-ZA"/>
        </w:rPr>
        <w:t xml:space="preserve"> As admitted by the accused</w:t>
      </w:r>
      <w:r w:rsidR="00733A83">
        <w:rPr>
          <w:rFonts w:ascii="Arial" w:hAnsi="Arial" w:cs="Arial"/>
          <w:lang w:val="en-ZA"/>
        </w:rPr>
        <w:t>, he killed the mother of their</w:t>
      </w:r>
      <w:r w:rsidR="00860552">
        <w:rPr>
          <w:rFonts w:ascii="Arial" w:hAnsi="Arial" w:cs="Arial"/>
          <w:lang w:val="en-ZA"/>
        </w:rPr>
        <w:t xml:space="preserve"> </w:t>
      </w:r>
      <w:r w:rsidR="00FB2A7F">
        <w:rPr>
          <w:rFonts w:ascii="Arial" w:hAnsi="Arial" w:cs="Arial"/>
          <w:lang w:val="en-ZA"/>
        </w:rPr>
        <w:t>ch</w:t>
      </w:r>
      <w:r w:rsidR="00D023B3">
        <w:rPr>
          <w:rFonts w:ascii="Arial" w:hAnsi="Arial" w:cs="Arial"/>
          <w:lang w:val="en-ZA"/>
        </w:rPr>
        <w:t>ildren which undoubtedly will bring</w:t>
      </w:r>
      <w:r w:rsidR="00FB2A7F">
        <w:rPr>
          <w:rFonts w:ascii="Arial" w:hAnsi="Arial" w:cs="Arial"/>
          <w:lang w:val="en-ZA"/>
        </w:rPr>
        <w:t xml:space="preserve"> about disruption and unnecessary hardship to the family</w:t>
      </w:r>
      <w:r w:rsidR="00D023B3">
        <w:rPr>
          <w:rFonts w:ascii="Arial" w:hAnsi="Arial" w:cs="Arial"/>
          <w:lang w:val="en-ZA"/>
        </w:rPr>
        <w:t xml:space="preserve"> for years to come</w:t>
      </w:r>
      <w:r w:rsidR="00FB2A7F">
        <w:rPr>
          <w:rFonts w:ascii="Arial" w:hAnsi="Arial" w:cs="Arial"/>
          <w:lang w:val="en-ZA"/>
        </w:rPr>
        <w:t>.</w:t>
      </w:r>
      <w:r w:rsidR="009432BA">
        <w:rPr>
          <w:rFonts w:ascii="Arial" w:hAnsi="Arial" w:cs="Arial"/>
          <w:lang w:val="en-ZA"/>
        </w:rPr>
        <w:t xml:space="preserve"> </w:t>
      </w:r>
      <w:r w:rsidR="00FB2A7F">
        <w:rPr>
          <w:rFonts w:ascii="Arial" w:hAnsi="Arial" w:cs="Arial"/>
          <w:lang w:val="en-ZA"/>
        </w:rPr>
        <w:t>The cumulative effect of these factors is that it considerably outweighs</w:t>
      </w:r>
      <w:r w:rsidR="009432BA">
        <w:rPr>
          <w:rFonts w:ascii="Arial" w:hAnsi="Arial" w:cs="Arial"/>
          <w:lang w:val="en-ZA"/>
        </w:rPr>
        <w:t xml:space="preserve"> any</w:t>
      </w:r>
      <w:r w:rsidR="00FB2A7F">
        <w:rPr>
          <w:rFonts w:ascii="Arial" w:hAnsi="Arial" w:cs="Arial"/>
          <w:lang w:val="en-ZA"/>
        </w:rPr>
        <w:t xml:space="preserve"> mitigating factors placed on record and should </w:t>
      </w:r>
      <w:r w:rsidR="009432BA">
        <w:rPr>
          <w:rFonts w:ascii="Arial" w:hAnsi="Arial" w:cs="Arial"/>
          <w:lang w:val="en-ZA"/>
        </w:rPr>
        <w:t xml:space="preserve">therefore </w:t>
      </w:r>
      <w:r w:rsidR="00FB2A7F">
        <w:rPr>
          <w:rFonts w:ascii="Arial" w:hAnsi="Arial" w:cs="Arial"/>
          <w:lang w:val="en-ZA"/>
        </w:rPr>
        <w:t>reflect in the punishment meted out.</w:t>
      </w:r>
    </w:p>
    <w:p w:rsidR="00860552" w:rsidRDefault="00860552" w:rsidP="00505882">
      <w:pPr>
        <w:spacing w:line="360" w:lineRule="auto"/>
        <w:jc w:val="both"/>
        <w:rPr>
          <w:rFonts w:ascii="Arial" w:hAnsi="Arial" w:cs="Arial"/>
          <w:lang w:val="en-ZA"/>
        </w:rPr>
      </w:pPr>
    </w:p>
    <w:p w:rsidR="00733A83" w:rsidRDefault="00860552" w:rsidP="00505882">
      <w:pPr>
        <w:spacing w:line="360" w:lineRule="auto"/>
        <w:jc w:val="both"/>
        <w:rPr>
          <w:rFonts w:ascii="Arial" w:hAnsi="Arial" w:cs="Arial"/>
          <w:lang w:val="en-ZA"/>
        </w:rPr>
      </w:pPr>
      <w:r>
        <w:rPr>
          <w:rFonts w:ascii="Arial" w:hAnsi="Arial" w:cs="Arial"/>
          <w:lang w:val="en-ZA"/>
        </w:rPr>
        <w:t>[</w:t>
      </w:r>
      <w:r w:rsidR="00776BC5">
        <w:rPr>
          <w:rFonts w:ascii="Arial" w:hAnsi="Arial" w:cs="Arial"/>
          <w:lang w:val="en-ZA"/>
        </w:rPr>
        <w:t>14</w:t>
      </w:r>
      <w:r>
        <w:rPr>
          <w:rFonts w:ascii="Arial" w:hAnsi="Arial" w:cs="Arial"/>
          <w:lang w:val="en-ZA"/>
        </w:rPr>
        <w:t xml:space="preserve">]   </w:t>
      </w:r>
      <w:r w:rsidR="00432E53">
        <w:rPr>
          <w:rFonts w:ascii="Arial" w:hAnsi="Arial" w:cs="Arial"/>
          <w:lang w:val="en-ZA"/>
        </w:rPr>
        <w:t xml:space="preserve">Turning to the plea of guilty offered by the accused on both counts as </w:t>
      </w:r>
      <w:r w:rsidR="00974563">
        <w:rPr>
          <w:rFonts w:ascii="Arial" w:hAnsi="Arial" w:cs="Arial"/>
          <w:lang w:val="en-ZA"/>
        </w:rPr>
        <w:t xml:space="preserve">being </w:t>
      </w:r>
      <w:r w:rsidR="00432E53">
        <w:rPr>
          <w:rFonts w:ascii="Arial" w:hAnsi="Arial" w:cs="Arial"/>
          <w:lang w:val="en-ZA"/>
        </w:rPr>
        <w:t xml:space="preserve">a </w:t>
      </w:r>
      <w:r w:rsidR="00974563">
        <w:rPr>
          <w:rFonts w:ascii="Arial" w:hAnsi="Arial" w:cs="Arial"/>
          <w:lang w:val="en-ZA"/>
        </w:rPr>
        <w:t>sign of</w:t>
      </w:r>
      <w:r w:rsidR="00432E53">
        <w:rPr>
          <w:rFonts w:ascii="Arial" w:hAnsi="Arial" w:cs="Arial"/>
          <w:lang w:val="en-ZA"/>
        </w:rPr>
        <w:t xml:space="preserve"> remorse, </w:t>
      </w:r>
      <w:r w:rsidR="00733A83">
        <w:rPr>
          <w:rFonts w:ascii="Arial" w:hAnsi="Arial" w:cs="Arial"/>
          <w:lang w:val="en-ZA"/>
        </w:rPr>
        <w:t>coupled with apologising to the parents of the deceased</w:t>
      </w:r>
      <w:r w:rsidR="00776BC5">
        <w:rPr>
          <w:rFonts w:ascii="Arial" w:hAnsi="Arial" w:cs="Arial"/>
          <w:lang w:val="en-ZA"/>
        </w:rPr>
        <w:t xml:space="preserve"> in open court</w:t>
      </w:r>
      <w:r w:rsidR="00733A83">
        <w:rPr>
          <w:rFonts w:ascii="Arial" w:hAnsi="Arial" w:cs="Arial"/>
          <w:lang w:val="en-ZA"/>
        </w:rPr>
        <w:t xml:space="preserve">, it was argued by State counsel that he was not sincere and therefore, should not be </w:t>
      </w:r>
      <w:r w:rsidR="00432E53">
        <w:rPr>
          <w:rFonts w:ascii="Arial" w:hAnsi="Arial" w:cs="Arial"/>
          <w:lang w:val="en-ZA"/>
        </w:rPr>
        <w:t xml:space="preserve">considered </w:t>
      </w:r>
      <w:r w:rsidR="00D023B3">
        <w:rPr>
          <w:rFonts w:ascii="Arial" w:hAnsi="Arial" w:cs="Arial"/>
          <w:lang w:val="en-ZA"/>
        </w:rPr>
        <w:t>as mitigation</w:t>
      </w:r>
      <w:r w:rsidR="00733A83">
        <w:rPr>
          <w:rFonts w:ascii="Arial" w:hAnsi="Arial" w:cs="Arial"/>
          <w:lang w:val="en-ZA"/>
        </w:rPr>
        <w:t>. Only</w:t>
      </w:r>
      <w:r w:rsidR="00432E53">
        <w:rPr>
          <w:rFonts w:ascii="Arial" w:hAnsi="Arial" w:cs="Arial"/>
          <w:lang w:val="en-ZA"/>
        </w:rPr>
        <w:t xml:space="preserve"> if it can be deduced from his actions that he is deeply and sincerely remorseful for his wrongdoing</w:t>
      </w:r>
      <w:r w:rsidR="00776BC5">
        <w:rPr>
          <w:rFonts w:ascii="Arial" w:hAnsi="Arial" w:cs="Arial"/>
          <w:lang w:val="en-ZA"/>
        </w:rPr>
        <w:t>,</w:t>
      </w:r>
      <w:r w:rsidR="00193B3C">
        <w:rPr>
          <w:rFonts w:ascii="Arial" w:hAnsi="Arial" w:cs="Arial"/>
          <w:lang w:val="en-ZA"/>
        </w:rPr>
        <w:t xml:space="preserve"> </w:t>
      </w:r>
      <w:r w:rsidR="00733A83">
        <w:rPr>
          <w:rFonts w:ascii="Arial" w:hAnsi="Arial" w:cs="Arial"/>
          <w:lang w:val="en-ZA"/>
        </w:rPr>
        <w:t xml:space="preserve">the court </w:t>
      </w:r>
      <w:r w:rsidR="00193B3C">
        <w:rPr>
          <w:rFonts w:ascii="Arial" w:hAnsi="Arial" w:cs="Arial"/>
          <w:lang w:val="en-ZA"/>
        </w:rPr>
        <w:t xml:space="preserve">may </w:t>
      </w:r>
      <w:r w:rsidR="00733A83">
        <w:rPr>
          <w:rFonts w:ascii="Arial" w:hAnsi="Arial" w:cs="Arial"/>
          <w:lang w:val="en-ZA"/>
        </w:rPr>
        <w:t>consider that a mitigating factor</w:t>
      </w:r>
      <w:r w:rsidR="00432E53">
        <w:rPr>
          <w:rFonts w:ascii="Arial" w:hAnsi="Arial" w:cs="Arial"/>
          <w:lang w:val="en-ZA"/>
        </w:rPr>
        <w:t>.</w:t>
      </w:r>
      <w:r w:rsidR="00974563">
        <w:rPr>
          <w:rStyle w:val="FootnoteReference"/>
          <w:rFonts w:ascii="Arial" w:hAnsi="Arial" w:cs="Arial"/>
          <w:lang w:val="en-ZA"/>
        </w:rPr>
        <w:footnoteReference w:id="6"/>
      </w:r>
      <w:r w:rsidR="00432E53">
        <w:rPr>
          <w:rFonts w:ascii="Arial" w:hAnsi="Arial" w:cs="Arial"/>
          <w:lang w:val="en-ZA"/>
        </w:rPr>
        <w:t xml:space="preserve"> </w:t>
      </w:r>
    </w:p>
    <w:p w:rsidR="00733A83" w:rsidRDefault="00733A83" w:rsidP="00505882">
      <w:pPr>
        <w:spacing w:line="360" w:lineRule="auto"/>
        <w:jc w:val="both"/>
        <w:rPr>
          <w:rFonts w:ascii="Arial" w:hAnsi="Arial" w:cs="Arial"/>
          <w:lang w:val="en-ZA"/>
        </w:rPr>
      </w:pPr>
    </w:p>
    <w:p w:rsidR="00860552" w:rsidRDefault="00733A83" w:rsidP="00505882">
      <w:pPr>
        <w:spacing w:line="360" w:lineRule="auto"/>
        <w:jc w:val="both"/>
        <w:rPr>
          <w:rFonts w:ascii="Arial" w:hAnsi="Arial" w:cs="Arial"/>
          <w:lang w:val="en-ZA"/>
        </w:rPr>
      </w:pPr>
      <w:r>
        <w:rPr>
          <w:rFonts w:ascii="Arial" w:hAnsi="Arial" w:cs="Arial"/>
          <w:lang w:val="en-ZA"/>
        </w:rPr>
        <w:t>[</w:t>
      </w:r>
      <w:r w:rsidR="00776BC5">
        <w:rPr>
          <w:rFonts w:ascii="Arial" w:hAnsi="Arial" w:cs="Arial"/>
          <w:lang w:val="en-ZA"/>
        </w:rPr>
        <w:t>15</w:t>
      </w:r>
      <w:r>
        <w:rPr>
          <w:rFonts w:ascii="Arial" w:hAnsi="Arial" w:cs="Arial"/>
          <w:lang w:val="en-ZA"/>
        </w:rPr>
        <w:t xml:space="preserve">]   </w:t>
      </w:r>
      <w:r w:rsidR="00974563">
        <w:rPr>
          <w:rFonts w:ascii="Arial" w:hAnsi="Arial" w:cs="Arial"/>
          <w:lang w:val="en-ZA"/>
        </w:rPr>
        <w:t xml:space="preserve">The accused in his plea explanation acknowledged the extent of his ‘horrible, cruel and chilling act’ and expressed his remorse and shame for </w:t>
      </w:r>
      <w:r>
        <w:rPr>
          <w:rFonts w:ascii="Arial" w:hAnsi="Arial" w:cs="Arial"/>
          <w:lang w:val="en-ZA"/>
        </w:rPr>
        <w:t xml:space="preserve">what he </w:t>
      </w:r>
      <w:r w:rsidR="00974563">
        <w:rPr>
          <w:rFonts w:ascii="Arial" w:hAnsi="Arial" w:cs="Arial"/>
          <w:lang w:val="en-ZA"/>
        </w:rPr>
        <w:t>put his family through</w:t>
      </w:r>
      <w:r w:rsidR="00776BC5">
        <w:rPr>
          <w:rFonts w:ascii="Arial" w:hAnsi="Arial" w:cs="Arial"/>
          <w:lang w:val="en-ZA"/>
        </w:rPr>
        <w:t>,</w:t>
      </w:r>
      <w:r w:rsidR="00974563">
        <w:rPr>
          <w:rFonts w:ascii="Arial" w:hAnsi="Arial" w:cs="Arial"/>
          <w:lang w:val="en-ZA"/>
        </w:rPr>
        <w:t xml:space="preserve"> as a result thereof. </w:t>
      </w:r>
      <w:r w:rsidR="00263FAF">
        <w:rPr>
          <w:rFonts w:ascii="Arial" w:hAnsi="Arial" w:cs="Arial"/>
          <w:lang w:val="en-ZA"/>
        </w:rPr>
        <w:t xml:space="preserve">By testifying and confirming these sentiments in support of his plea of guilty, he </w:t>
      </w:r>
      <w:r w:rsidR="00D023B3">
        <w:rPr>
          <w:rFonts w:ascii="Arial" w:hAnsi="Arial" w:cs="Arial"/>
          <w:lang w:val="en-ZA"/>
        </w:rPr>
        <w:t>in my view</w:t>
      </w:r>
      <w:r w:rsidR="00263FAF">
        <w:rPr>
          <w:rFonts w:ascii="Arial" w:hAnsi="Arial" w:cs="Arial"/>
          <w:lang w:val="en-ZA"/>
        </w:rPr>
        <w:t xml:space="preserve"> took the court </w:t>
      </w:r>
      <w:r w:rsidR="00855A47">
        <w:rPr>
          <w:rFonts w:ascii="Arial" w:hAnsi="Arial" w:cs="Arial"/>
          <w:lang w:val="en-ZA"/>
        </w:rPr>
        <w:t>into his confidence</w:t>
      </w:r>
      <w:r w:rsidR="00D023B3">
        <w:rPr>
          <w:rFonts w:ascii="Arial" w:hAnsi="Arial" w:cs="Arial"/>
          <w:lang w:val="en-ZA"/>
        </w:rPr>
        <w:t xml:space="preserve"> as regards his intentions, despite during his testimony painting a somewhat different picture as to the circumstances under which the crimes were committed</w:t>
      </w:r>
      <w:r w:rsidR="00694B65">
        <w:rPr>
          <w:rFonts w:ascii="Arial" w:hAnsi="Arial" w:cs="Arial"/>
          <w:lang w:val="en-ZA"/>
        </w:rPr>
        <w:t>.</w:t>
      </w:r>
      <w:r w:rsidR="00855A47">
        <w:rPr>
          <w:rFonts w:ascii="Arial" w:hAnsi="Arial" w:cs="Arial"/>
          <w:lang w:val="en-ZA"/>
        </w:rPr>
        <w:t xml:space="preserve"> </w:t>
      </w:r>
      <w:r w:rsidR="00694B65">
        <w:rPr>
          <w:rFonts w:ascii="Arial" w:hAnsi="Arial" w:cs="Arial"/>
          <w:lang w:val="en-ZA"/>
        </w:rPr>
        <w:t xml:space="preserve">Besides </w:t>
      </w:r>
      <w:r w:rsidR="00776BC5">
        <w:rPr>
          <w:rFonts w:ascii="Arial" w:hAnsi="Arial" w:cs="Arial"/>
          <w:lang w:val="en-ZA"/>
        </w:rPr>
        <w:t>having earlier apologised</w:t>
      </w:r>
      <w:r w:rsidR="00694B65">
        <w:rPr>
          <w:rFonts w:ascii="Arial" w:hAnsi="Arial" w:cs="Arial"/>
          <w:lang w:val="en-ZA"/>
        </w:rPr>
        <w:t xml:space="preserve"> to the deceased’s father when he was still in police custody, he again sought forgiveness from the family in open court. What more was he required to do to show that his remorse was genuine? This is not an instance where the accused at the end of the trial and </w:t>
      </w:r>
      <w:r w:rsidR="00D023B3">
        <w:rPr>
          <w:rFonts w:ascii="Arial" w:hAnsi="Arial" w:cs="Arial"/>
          <w:lang w:val="en-ZA"/>
        </w:rPr>
        <w:t xml:space="preserve">only </w:t>
      </w:r>
      <w:r w:rsidR="00694B65">
        <w:rPr>
          <w:rFonts w:ascii="Arial" w:hAnsi="Arial" w:cs="Arial"/>
          <w:lang w:val="en-ZA"/>
        </w:rPr>
        <w:t xml:space="preserve">after being convicted </w:t>
      </w:r>
      <w:r w:rsidR="00776BC5">
        <w:rPr>
          <w:rFonts w:ascii="Arial" w:hAnsi="Arial" w:cs="Arial"/>
          <w:lang w:val="en-ZA"/>
        </w:rPr>
        <w:t>suddenly claims to be remorseful. I</w:t>
      </w:r>
      <w:r w:rsidR="00694B65">
        <w:rPr>
          <w:rFonts w:ascii="Arial" w:hAnsi="Arial" w:cs="Arial"/>
          <w:lang w:val="en-ZA"/>
        </w:rPr>
        <w:t xml:space="preserve">n this court </w:t>
      </w:r>
      <w:r w:rsidR="00776BC5">
        <w:rPr>
          <w:rFonts w:ascii="Arial" w:hAnsi="Arial" w:cs="Arial"/>
          <w:lang w:val="en-ZA"/>
        </w:rPr>
        <w:t xml:space="preserve">he from the outset </w:t>
      </w:r>
      <w:r w:rsidR="00694B65">
        <w:rPr>
          <w:rFonts w:ascii="Arial" w:hAnsi="Arial" w:cs="Arial"/>
          <w:lang w:val="en-ZA"/>
        </w:rPr>
        <w:t>pleaded guilty and when cou</w:t>
      </w:r>
      <w:r w:rsidR="00D023B3">
        <w:rPr>
          <w:rFonts w:ascii="Arial" w:hAnsi="Arial" w:cs="Arial"/>
          <w:lang w:val="en-ZA"/>
        </w:rPr>
        <w:t xml:space="preserve">pled with his expression of </w:t>
      </w:r>
      <w:r w:rsidR="00694B65">
        <w:rPr>
          <w:rFonts w:ascii="Arial" w:hAnsi="Arial" w:cs="Arial"/>
          <w:lang w:val="en-ZA"/>
        </w:rPr>
        <w:t xml:space="preserve">remorse under oath, </w:t>
      </w:r>
      <w:r w:rsidR="00855A47">
        <w:rPr>
          <w:rFonts w:ascii="Arial" w:hAnsi="Arial" w:cs="Arial"/>
          <w:lang w:val="en-ZA"/>
        </w:rPr>
        <w:t xml:space="preserve">there is no reason to doubt that he is </w:t>
      </w:r>
      <w:r w:rsidR="00694B65">
        <w:rPr>
          <w:rFonts w:ascii="Arial" w:hAnsi="Arial" w:cs="Arial"/>
          <w:lang w:val="en-ZA"/>
        </w:rPr>
        <w:t xml:space="preserve">sincere and </w:t>
      </w:r>
      <w:r w:rsidR="00855A47">
        <w:rPr>
          <w:rFonts w:ascii="Arial" w:hAnsi="Arial" w:cs="Arial"/>
          <w:lang w:val="en-ZA"/>
        </w:rPr>
        <w:t xml:space="preserve">deeply remorseful. </w:t>
      </w:r>
      <w:r w:rsidR="00694B65">
        <w:rPr>
          <w:rFonts w:ascii="Arial" w:hAnsi="Arial" w:cs="Arial"/>
          <w:lang w:val="en-ZA"/>
        </w:rPr>
        <w:t>I accordingly find this a factor to be taken into account in sentencing.</w:t>
      </w:r>
    </w:p>
    <w:p w:rsidR="009B5ACD" w:rsidRPr="006B344C" w:rsidRDefault="009B5ACD" w:rsidP="006B344C">
      <w:pPr>
        <w:spacing w:line="360" w:lineRule="auto"/>
        <w:rPr>
          <w:rFonts w:ascii="Arial" w:hAnsi="Arial" w:cs="Arial"/>
        </w:rPr>
      </w:pPr>
    </w:p>
    <w:p w:rsidR="007F60A3" w:rsidRDefault="00694B65" w:rsidP="00756A5C">
      <w:pPr>
        <w:spacing w:line="360" w:lineRule="auto"/>
        <w:jc w:val="both"/>
        <w:rPr>
          <w:rFonts w:ascii="Arial" w:hAnsi="Arial" w:cs="Arial"/>
        </w:rPr>
      </w:pPr>
      <w:r>
        <w:rPr>
          <w:rFonts w:ascii="Arial" w:hAnsi="Arial" w:cs="Arial"/>
        </w:rPr>
        <w:t>[</w:t>
      </w:r>
      <w:r w:rsidR="00776BC5">
        <w:rPr>
          <w:rFonts w:ascii="Arial" w:hAnsi="Arial" w:cs="Arial"/>
        </w:rPr>
        <w:t>16</w:t>
      </w:r>
      <w:r>
        <w:rPr>
          <w:rFonts w:ascii="Arial" w:hAnsi="Arial" w:cs="Arial"/>
        </w:rPr>
        <w:t xml:space="preserve">]   </w:t>
      </w:r>
      <w:r w:rsidR="00756A5C">
        <w:rPr>
          <w:rFonts w:ascii="Arial" w:hAnsi="Arial" w:cs="Arial"/>
        </w:rPr>
        <w:t>In deciding what would in the circumstances of the case constitute suitable punishment, regard must be had to the personal circumstances of the offender, the crime</w:t>
      </w:r>
      <w:r w:rsidR="00D023B3">
        <w:rPr>
          <w:rFonts w:ascii="Arial" w:hAnsi="Arial" w:cs="Arial"/>
        </w:rPr>
        <w:t>,</w:t>
      </w:r>
      <w:r w:rsidR="00756A5C">
        <w:rPr>
          <w:rFonts w:ascii="Arial" w:hAnsi="Arial" w:cs="Arial"/>
        </w:rPr>
        <w:t xml:space="preserve"> with specific reference to the seriousness thereof and the circumstance</w:t>
      </w:r>
      <w:r w:rsidR="00776BC5">
        <w:rPr>
          <w:rFonts w:ascii="Arial" w:hAnsi="Arial" w:cs="Arial"/>
        </w:rPr>
        <w:t>s in which it was committed, as well as</w:t>
      </w:r>
      <w:r w:rsidR="00756A5C">
        <w:rPr>
          <w:rFonts w:ascii="Arial" w:hAnsi="Arial" w:cs="Arial"/>
        </w:rPr>
        <w:t xml:space="preserve"> the interest of society. A well-balanced sentence would reflect that proper consideration was given</w:t>
      </w:r>
      <w:r w:rsidR="00776BC5">
        <w:rPr>
          <w:rFonts w:ascii="Arial" w:hAnsi="Arial" w:cs="Arial"/>
        </w:rPr>
        <w:t>,</w:t>
      </w:r>
      <w:r w:rsidR="00756A5C">
        <w:rPr>
          <w:rFonts w:ascii="Arial" w:hAnsi="Arial" w:cs="Arial"/>
        </w:rPr>
        <w:t xml:space="preserve"> not only to the personal interests of the accused person, but also to the legitimate interest and expectations of society. Though society expe</w:t>
      </w:r>
      <w:r w:rsidR="00D33A89">
        <w:rPr>
          <w:rFonts w:ascii="Arial" w:hAnsi="Arial" w:cs="Arial"/>
        </w:rPr>
        <w:t>cts that those making them guilty of committing serious crime</w:t>
      </w:r>
      <w:r w:rsidR="00776BC5">
        <w:rPr>
          <w:rFonts w:ascii="Arial" w:hAnsi="Arial" w:cs="Arial"/>
        </w:rPr>
        <w:t>s</w:t>
      </w:r>
      <w:r w:rsidR="00D33A89">
        <w:rPr>
          <w:rFonts w:ascii="Arial" w:hAnsi="Arial" w:cs="Arial"/>
        </w:rPr>
        <w:t xml:space="preserve"> must receive sufficient punishment, it is equally in its interest that the personal circumstances of the offender before court </w:t>
      </w:r>
      <w:r w:rsidR="00D023B3">
        <w:rPr>
          <w:rFonts w:ascii="Arial" w:hAnsi="Arial" w:cs="Arial"/>
        </w:rPr>
        <w:t xml:space="preserve">must </w:t>
      </w:r>
      <w:r w:rsidR="00D33A89">
        <w:rPr>
          <w:rFonts w:ascii="Arial" w:hAnsi="Arial" w:cs="Arial"/>
        </w:rPr>
        <w:t xml:space="preserve">not be overlooked and </w:t>
      </w:r>
      <w:r w:rsidR="00D023B3">
        <w:rPr>
          <w:rFonts w:ascii="Arial" w:hAnsi="Arial" w:cs="Arial"/>
        </w:rPr>
        <w:t>be given proper</w:t>
      </w:r>
      <w:r w:rsidR="00D33A89">
        <w:rPr>
          <w:rFonts w:ascii="Arial" w:hAnsi="Arial" w:cs="Arial"/>
        </w:rPr>
        <w:t xml:space="preserve"> consideration.</w:t>
      </w:r>
    </w:p>
    <w:p w:rsidR="00D33A89" w:rsidRDefault="00D33A89" w:rsidP="00756A5C">
      <w:pPr>
        <w:spacing w:line="360" w:lineRule="auto"/>
        <w:jc w:val="both"/>
        <w:rPr>
          <w:rFonts w:ascii="Arial" w:hAnsi="Arial" w:cs="Arial"/>
        </w:rPr>
      </w:pPr>
    </w:p>
    <w:p w:rsidR="00D33A89" w:rsidRDefault="00D33A89" w:rsidP="00756A5C">
      <w:pPr>
        <w:spacing w:line="360" w:lineRule="auto"/>
        <w:jc w:val="both"/>
        <w:rPr>
          <w:rFonts w:ascii="Arial" w:hAnsi="Arial" w:cs="Arial"/>
        </w:rPr>
      </w:pPr>
      <w:r>
        <w:rPr>
          <w:rFonts w:ascii="Arial" w:hAnsi="Arial" w:cs="Arial"/>
        </w:rPr>
        <w:t>[</w:t>
      </w:r>
      <w:r w:rsidR="00776BC5">
        <w:rPr>
          <w:rFonts w:ascii="Arial" w:hAnsi="Arial" w:cs="Arial"/>
        </w:rPr>
        <w:t>17</w:t>
      </w:r>
      <w:r>
        <w:rPr>
          <w:rFonts w:ascii="Arial" w:hAnsi="Arial" w:cs="Arial"/>
        </w:rPr>
        <w:t>]   The accused is currently 41 years of age, not married and the father of five</w:t>
      </w:r>
      <w:r w:rsidR="00776BC5">
        <w:rPr>
          <w:rFonts w:ascii="Arial" w:hAnsi="Arial" w:cs="Arial"/>
        </w:rPr>
        <w:t xml:space="preserve"> children with ages ranging between 21 and</w:t>
      </w:r>
      <w:r>
        <w:rPr>
          <w:rFonts w:ascii="Arial" w:hAnsi="Arial" w:cs="Arial"/>
        </w:rPr>
        <w:t xml:space="preserve"> 13 years. At the time of </w:t>
      </w:r>
      <w:r w:rsidR="00776BC5">
        <w:rPr>
          <w:rFonts w:ascii="Arial" w:hAnsi="Arial" w:cs="Arial"/>
        </w:rPr>
        <w:t xml:space="preserve">committing </w:t>
      </w:r>
      <w:r>
        <w:rPr>
          <w:rFonts w:ascii="Arial" w:hAnsi="Arial" w:cs="Arial"/>
        </w:rPr>
        <w:t xml:space="preserve">the offence he was employed and had been </w:t>
      </w:r>
      <w:r w:rsidR="000A3A37">
        <w:rPr>
          <w:rFonts w:ascii="Arial" w:hAnsi="Arial" w:cs="Arial"/>
        </w:rPr>
        <w:t>supporting</w:t>
      </w:r>
      <w:r>
        <w:rPr>
          <w:rFonts w:ascii="Arial" w:hAnsi="Arial" w:cs="Arial"/>
        </w:rPr>
        <w:t xml:space="preserve"> his children, including the two children he has with the deceased. Though the deceased’s mother testified that it was only the deceased who maintained the children, the accused said that money had been paid into the savings account of the deceased’s sister which was for the benefit an</w:t>
      </w:r>
      <w:r w:rsidR="000A3A37">
        <w:rPr>
          <w:rFonts w:ascii="Arial" w:hAnsi="Arial" w:cs="Arial"/>
        </w:rPr>
        <w:t>d maintenance of the children. In the absence of evidence to the contrary, t</w:t>
      </w:r>
      <w:r>
        <w:rPr>
          <w:rFonts w:ascii="Arial" w:hAnsi="Arial" w:cs="Arial"/>
        </w:rPr>
        <w:t xml:space="preserve">here is no reason to doubt his version on this score. </w:t>
      </w:r>
    </w:p>
    <w:p w:rsidR="00D33A89" w:rsidRDefault="00D33A89" w:rsidP="00756A5C">
      <w:pPr>
        <w:spacing w:line="360" w:lineRule="auto"/>
        <w:jc w:val="both"/>
        <w:rPr>
          <w:rFonts w:ascii="Arial" w:hAnsi="Arial" w:cs="Arial"/>
        </w:rPr>
      </w:pPr>
    </w:p>
    <w:p w:rsidR="00D33A89" w:rsidRDefault="00D33A89" w:rsidP="00756A5C">
      <w:pPr>
        <w:spacing w:line="360" w:lineRule="auto"/>
        <w:jc w:val="both"/>
        <w:rPr>
          <w:rFonts w:ascii="Arial" w:hAnsi="Arial" w:cs="Arial"/>
        </w:rPr>
      </w:pPr>
      <w:r>
        <w:rPr>
          <w:rFonts w:ascii="Arial" w:hAnsi="Arial" w:cs="Arial"/>
        </w:rPr>
        <w:t>[</w:t>
      </w:r>
      <w:r w:rsidR="000A3A37">
        <w:rPr>
          <w:rFonts w:ascii="Arial" w:hAnsi="Arial" w:cs="Arial"/>
        </w:rPr>
        <w:t>18</w:t>
      </w:r>
      <w:r>
        <w:rPr>
          <w:rFonts w:ascii="Arial" w:hAnsi="Arial" w:cs="Arial"/>
        </w:rPr>
        <w:t xml:space="preserve">]   The </w:t>
      </w:r>
      <w:r w:rsidR="00AB22E8">
        <w:rPr>
          <w:rFonts w:ascii="Arial" w:hAnsi="Arial" w:cs="Arial"/>
        </w:rPr>
        <w:t>accused was arrested on 14 October 2012 and only released on bail three years later. Where the accused is in custody pending trial this period would usually lead to a reduction in sentence,</w:t>
      </w:r>
      <w:r w:rsidR="000A3A37">
        <w:rPr>
          <w:rFonts w:ascii="Arial" w:hAnsi="Arial" w:cs="Arial"/>
        </w:rPr>
        <w:t xml:space="preserve"> particularly if it has been</w:t>
      </w:r>
      <w:r w:rsidR="00AB22E8">
        <w:rPr>
          <w:rFonts w:ascii="Arial" w:hAnsi="Arial" w:cs="Arial"/>
        </w:rPr>
        <w:t xml:space="preserve"> a </w:t>
      </w:r>
      <w:r w:rsidR="000A3A37">
        <w:rPr>
          <w:rFonts w:ascii="Arial" w:hAnsi="Arial" w:cs="Arial"/>
        </w:rPr>
        <w:t>substantial</w:t>
      </w:r>
      <w:r w:rsidR="00AB22E8">
        <w:rPr>
          <w:rFonts w:ascii="Arial" w:hAnsi="Arial" w:cs="Arial"/>
        </w:rPr>
        <w:t xml:space="preserve"> period.</w:t>
      </w:r>
      <w:r w:rsidR="00AB22E8">
        <w:rPr>
          <w:rStyle w:val="FootnoteReference"/>
          <w:rFonts w:ascii="Arial" w:hAnsi="Arial" w:cs="Arial"/>
        </w:rPr>
        <w:footnoteReference w:id="7"/>
      </w:r>
    </w:p>
    <w:p w:rsidR="00AB22E8" w:rsidRDefault="00AB22E8" w:rsidP="00756A5C">
      <w:pPr>
        <w:spacing w:line="360" w:lineRule="auto"/>
        <w:jc w:val="both"/>
        <w:rPr>
          <w:rFonts w:ascii="Arial" w:hAnsi="Arial" w:cs="Arial"/>
        </w:rPr>
      </w:pPr>
    </w:p>
    <w:p w:rsidR="00AB22E8" w:rsidRDefault="00AB22E8" w:rsidP="00756A5C">
      <w:pPr>
        <w:spacing w:line="360" w:lineRule="auto"/>
        <w:jc w:val="both"/>
        <w:rPr>
          <w:rFonts w:ascii="Arial" w:hAnsi="Arial" w:cs="Arial"/>
        </w:rPr>
      </w:pPr>
      <w:r>
        <w:rPr>
          <w:rFonts w:ascii="Arial" w:hAnsi="Arial" w:cs="Arial"/>
        </w:rPr>
        <w:t>[</w:t>
      </w:r>
      <w:r w:rsidR="000A3A37">
        <w:rPr>
          <w:rFonts w:ascii="Arial" w:hAnsi="Arial" w:cs="Arial"/>
        </w:rPr>
        <w:t>19</w:t>
      </w:r>
      <w:r>
        <w:rPr>
          <w:rFonts w:ascii="Arial" w:hAnsi="Arial" w:cs="Arial"/>
        </w:rPr>
        <w:t>]   From the accused’s report of previous convictions he has one relevant previous conviction for which he on 18 May 2011</w:t>
      </w:r>
      <w:r w:rsidR="000A3A37">
        <w:rPr>
          <w:rFonts w:ascii="Arial" w:hAnsi="Arial" w:cs="Arial"/>
        </w:rPr>
        <w:t xml:space="preserve"> was sentenced to a fine</w:t>
      </w:r>
      <w:r>
        <w:rPr>
          <w:rFonts w:ascii="Arial" w:hAnsi="Arial" w:cs="Arial"/>
        </w:rPr>
        <w:t xml:space="preserve">. He was </w:t>
      </w:r>
      <w:r w:rsidR="000A3A37">
        <w:rPr>
          <w:rFonts w:ascii="Arial" w:hAnsi="Arial" w:cs="Arial"/>
        </w:rPr>
        <w:t xml:space="preserve">then </w:t>
      </w:r>
      <w:r>
        <w:rPr>
          <w:rFonts w:ascii="Arial" w:hAnsi="Arial" w:cs="Arial"/>
        </w:rPr>
        <w:t xml:space="preserve">convicted of assault with intent to do grievous bodily harm where the victim was a 39 year old female who was struck on the head with a stone. Though a previous conviction would in appropriate cases lead to the imposition of a heavier sentence, it is trite that </w:t>
      </w:r>
      <w:r w:rsidR="00FE10ED">
        <w:rPr>
          <w:rFonts w:ascii="Arial" w:hAnsi="Arial" w:cs="Arial"/>
        </w:rPr>
        <w:t>the sentence to be imposed must still be reasonable in relation to the seriousness of the offence under consideration. A sentencing court must guard against according too much weight to a previous conviction and must remember that the accused has already been punished for the previous conviction.</w:t>
      </w:r>
      <w:r w:rsidR="00FE10ED">
        <w:rPr>
          <w:rStyle w:val="FootnoteReference"/>
          <w:rFonts w:ascii="Arial" w:hAnsi="Arial" w:cs="Arial"/>
        </w:rPr>
        <w:footnoteReference w:id="8"/>
      </w:r>
      <w:r w:rsidR="000A3A37">
        <w:rPr>
          <w:rFonts w:ascii="Arial" w:hAnsi="Arial" w:cs="Arial"/>
        </w:rPr>
        <w:t xml:space="preserve"> For purposes of sentencing in the present matter, I am satisfied that the accused is not a first offender and that his previous conviction is </w:t>
      </w:r>
      <w:r w:rsidR="00890FFE">
        <w:rPr>
          <w:rFonts w:ascii="Arial" w:hAnsi="Arial" w:cs="Arial"/>
        </w:rPr>
        <w:t xml:space="preserve">indeed </w:t>
      </w:r>
      <w:r w:rsidR="000A3A37">
        <w:rPr>
          <w:rFonts w:ascii="Arial" w:hAnsi="Arial" w:cs="Arial"/>
        </w:rPr>
        <w:t>a relevant factor.</w:t>
      </w:r>
    </w:p>
    <w:p w:rsidR="00FE10ED" w:rsidRDefault="00FE10ED" w:rsidP="00756A5C">
      <w:pPr>
        <w:spacing w:line="360" w:lineRule="auto"/>
        <w:jc w:val="both"/>
        <w:rPr>
          <w:rFonts w:ascii="Arial" w:hAnsi="Arial" w:cs="Arial"/>
        </w:rPr>
      </w:pPr>
    </w:p>
    <w:p w:rsidR="00FE10ED" w:rsidRDefault="00FE10ED" w:rsidP="00756A5C">
      <w:pPr>
        <w:spacing w:line="360" w:lineRule="auto"/>
        <w:jc w:val="both"/>
        <w:rPr>
          <w:rFonts w:ascii="Arial" w:hAnsi="Arial" w:cs="Arial"/>
        </w:rPr>
      </w:pPr>
      <w:r>
        <w:rPr>
          <w:rFonts w:ascii="Arial" w:hAnsi="Arial" w:cs="Arial"/>
        </w:rPr>
        <w:t>[</w:t>
      </w:r>
      <w:r w:rsidR="000A3A37">
        <w:rPr>
          <w:rFonts w:ascii="Arial" w:hAnsi="Arial" w:cs="Arial"/>
        </w:rPr>
        <w:t>20</w:t>
      </w:r>
      <w:r>
        <w:rPr>
          <w:rFonts w:ascii="Arial" w:hAnsi="Arial" w:cs="Arial"/>
        </w:rPr>
        <w:t>]   Turning to the objectives of p</w:t>
      </w:r>
      <w:r w:rsidR="00890FFE">
        <w:rPr>
          <w:rFonts w:ascii="Arial" w:hAnsi="Arial" w:cs="Arial"/>
        </w:rPr>
        <w:t>unishment and regard being had to</w:t>
      </w:r>
      <w:r>
        <w:rPr>
          <w:rFonts w:ascii="Arial" w:hAnsi="Arial" w:cs="Arial"/>
        </w:rPr>
        <w:t xml:space="preserve"> the seriousness of the crimes</w:t>
      </w:r>
      <w:r w:rsidR="00890FFE">
        <w:rPr>
          <w:rFonts w:ascii="Arial" w:hAnsi="Arial" w:cs="Arial"/>
        </w:rPr>
        <w:t xml:space="preserve"> the accused stands convicted o</w:t>
      </w:r>
      <w:r>
        <w:rPr>
          <w:rFonts w:ascii="Arial" w:hAnsi="Arial" w:cs="Arial"/>
        </w:rPr>
        <w:t xml:space="preserve">f, </w:t>
      </w:r>
      <w:r w:rsidR="00890FFE">
        <w:rPr>
          <w:rFonts w:ascii="Arial" w:hAnsi="Arial" w:cs="Arial"/>
        </w:rPr>
        <w:t xml:space="preserve">I am of the view </w:t>
      </w:r>
      <w:r>
        <w:rPr>
          <w:rFonts w:ascii="Arial" w:hAnsi="Arial" w:cs="Arial"/>
        </w:rPr>
        <w:t>that deterrence and retribution should come to the fore. In this instance the in</w:t>
      </w:r>
      <w:r w:rsidR="000A3A37">
        <w:rPr>
          <w:rFonts w:ascii="Arial" w:hAnsi="Arial" w:cs="Arial"/>
        </w:rPr>
        <w:t>terest of society outweighs the interests</w:t>
      </w:r>
      <w:r>
        <w:rPr>
          <w:rFonts w:ascii="Arial" w:hAnsi="Arial" w:cs="Arial"/>
        </w:rPr>
        <w:t xml:space="preserve"> of the accused significantly </w:t>
      </w:r>
      <w:r w:rsidR="000A3A37">
        <w:rPr>
          <w:rFonts w:ascii="Arial" w:hAnsi="Arial" w:cs="Arial"/>
        </w:rPr>
        <w:t>and should reflect</w:t>
      </w:r>
      <w:r>
        <w:rPr>
          <w:rFonts w:ascii="Arial" w:hAnsi="Arial" w:cs="Arial"/>
        </w:rPr>
        <w:t xml:space="preserve"> in the sentence imposed. </w:t>
      </w:r>
      <w:r w:rsidR="00521E6E">
        <w:rPr>
          <w:rFonts w:ascii="Arial" w:hAnsi="Arial" w:cs="Arial"/>
        </w:rPr>
        <w:t xml:space="preserve">Given the circumstances of the case set out hereinbefore, a lengthy custodial sentence seems inevitable. </w:t>
      </w:r>
      <w:r>
        <w:rPr>
          <w:rFonts w:ascii="Arial" w:hAnsi="Arial" w:cs="Arial"/>
        </w:rPr>
        <w:t>I am however equally of the view that the accused’</w:t>
      </w:r>
      <w:r w:rsidR="00521E6E">
        <w:rPr>
          <w:rFonts w:ascii="Arial" w:hAnsi="Arial" w:cs="Arial"/>
        </w:rPr>
        <w:t>s plea</w:t>
      </w:r>
      <w:r>
        <w:rPr>
          <w:rFonts w:ascii="Arial" w:hAnsi="Arial" w:cs="Arial"/>
        </w:rPr>
        <w:t xml:space="preserve"> of guilty </w:t>
      </w:r>
      <w:r w:rsidR="00521E6E">
        <w:rPr>
          <w:rFonts w:ascii="Arial" w:hAnsi="Arial" w:cs="Arial"/>
        </w:rPr>
        <w:t xml:space="preserve">on both counts </w:t>
      </w:r>
      <w:r>
        <w:rPr>
          <w:rFonts w:ascii="Arial" w:hAnsi="Arial" w:cs="Arial"/>
        </w:rPr>
        <w:t xml:space="preserve">must be accorded </w:t>
      </w:r>
      <w:r w:rsidR="000A3A37">
        <w:rPr>
          <w:rFonts w:ascii="Arial" w:hAnsi="Arial" w:cs="Arial"/>
        </w:rPr>
        <w:t>significant weight</w:t>
      </w:r>
      <w:r w:rsidR="00521E6E">
        <w:rPr>
          <w:rFonts w:ascii="Arial" w:hAnsi="Arial" w:cs="Arial"/>
        </w:rPr>
        <w:t xml:space="preserve"> and</w:t>
      </w:r>
      <w:r w:rsidR="00890FFE">
        <w:rPr>
          <w:rFonts w:ascii="Arial" w:hAnsi="Arial" w:cs="Arial"/>
        </w:rPr>
        <w:t xml:space="preserve"> impact favourably on the magnitude</w:t>
      </w:r>
      <w:r w:rsidR="00521E6E">
        <w:rPr>
          <w:rFonts w:ascii="Arial" w:hAnsi="Arial" w:cs="Arial"/>
        </w:rPr>
        <w:t xml:space="preserve"> of the sentence to be imposed.</w:t>
      </w:r>
    </w:p>
    <w:p w:rsidR="00521E6E" w:rsidRDefault="00521E6E" w:rsidP="00756A5C">
      <w:pPr>
        <w:spacing w:line="360" w:lineRule="auto"/>
        <w:jc w:val="both"/>
        <w:rPr>
          <w:rFonts w:ascii="Arial" w:hAnsi="Arial" w:cs="Arial"/>
        </w:rPr>
      </w:pPr>
    </w:p>
    <w:p w:rsidR="000E417C" w:rsidRDefault="00521E6E" w:rsidP="00756A5C">
      <w:pPr>
        <w:spacing w:line="360" w:lineRule="auto"/>
        <w:jc w:val="both"/>
        <w:rPr>
          <w:rFonts w:ascii="Arial" w:hAnsi="Arial" w:cs="Arial"/>
        </w:rPr>
      </w:pPr>
      <w:r>
        <w:rPr>
          <w:rFonts w:ascii="Arial" w:hAnsi="Arial" w:cs="Arial"/>
        </w:rPr>
        <w:t>[</w:t>
      </w:r>
      <w:r w:rsidR="000A3A37">
        <w:rPr>
          <w:rFonts w:ascii="Arial" w:hAnsi="Arial" w:cs="Arial"/>
        </w:rPr>
        <w:t>21</w:t>
      </w:r>
      <w:r>
        <w:rPr>
          <w:rFonts w:ascii="Arial" w:hAnsi="Arial" w:cs="Arial"/>
        </w:rPr>
        <w:t>]   Opposing submissions were made for and against the imposition of a partly suspended sentence. Though the court in terms of s 297 of the Criminal Procedure Act 1977</w:t>
      </w:r>
      <w:r w:rsidR="000A3A37">
        <w:rPr>
          <w:rFonts w:ascii="Arial" w:hAnsi="Arial" w:cs="Arial"/>
        </w:rPr>
        <w:t>,</w:t>
      </w:r>
      <w:r w:rsidR="000A3A37">
        <w:rPr>
          <w:rStyle w:val="FootnoteReference"/>
          <w:rFonts w:ascii="Arial" w:hAnsi="Arial" w:cs="Arial"/>
        </w:rPr>
        <w:footnoteReference w:id="9"/>
      </w:r>
      <w:r>
        <w:rPr>
          <w:rFonts w:ascii="Arial" w:hAnsi="Arial" w:cs="Arial"/>
        </w:rPr>
        <w:t xml:space="preserve"> has a discretion to suspend part of a sentence, it still requires of the court to exercise its discretion judiciously. </w:t>
      </w:r>
      <w:r w:rsidR="003C3D01">
        <w:rPr>
          <w:rFonts w:ascii="Arial" w:hAnsi="Arial" w:cs="Arial"/>
        </w:rPr>
        <w:t xml:space="preserve">In the matter of </w:t>
      </w:r>
      <w:r w:rsidR="003C3D01">
        <w:rPr>
          <w:rFonts w:ascii="Arial" w:hAnsi="Arial" w:cs="Arial"/>
          <w:i/>
        </w:rPr>
        <w:t>Muuamuhona Karirao</w:t>
      </w:r>
      <w:r w:rsidR="003C3D01">
        <w:rPr>
          <w:rStyle w:val="FootnoteReference"/>
          <w:rFonts w:ascii="Arial" w:hAnsi="Arial" w:cs="Arial"/>
          <w:i/>
        </w:rPr>
        <w:footnoteReference w:id="10"/>
      </w:r>
      <w:r w:rsidR="003C3D01">
        <w:rPr>
          <w:rFonts w:ascii="Arial" w:hAnsi="Arial" w:cs="Arial"/>
          <w:i/>
        </w:rPr>
        <w:t xml:space="preserve"> </w:t>
      </w:r>
      <w:r w:rsidR="000E417C">
        <w:rPr>
          <w:rFonts w:ascii="Arial" w:hAnsi="Arial" w:cs="Arial"/>
        </w:rPr>
        <w:t>the court</w:t>
      </w:r>
      <w:r w:rsidR="000A3A37">
        <w:rPr>
          <w:rFonts w:ascii="Arial" w:hAnsi="Arial" w:cs="Arial"/>
        </w:rPr>
        <w:t>,</w:t>
      </w:r>
      <w:r w:rsidR="000E417C">
        <w:rPr>
          <w:rFonts w:ascii="Arial" w:hAnsi="Arial" w:cs="Arial"/>
        </w:rPr>
        <w:t xml:space="preserve"> as per Strydom AJA</w:t>
      </w:r>
      <w:r w:rsidR="000A3A37">
        <w:rPr>
          <w:rFonts w:ascii="Arial" w:hAnsi="Arial" w:cs="Arial"/>
        </w:rPr>
        <w:t>,</w:t>
      </w:r>
      <w:r w:rsidR="000E417C">
        <w:rPr>
          <w:rFonts w:ascii="Arial" w:hAnsi="Arial" w:cs="Arial"/>
        </w:rPr>
        <w:t xml:space="preserve"> found that ‘where a long term of imprisonment is imposed it is not appropriate to impose a further suspended sentence’ and in such instances ‘that consideration must yield to the sentencing objective of rehabilitation and the principle that there should also be finality and certainty in regard to the punishment meted out’. </w:t>
      </w:r>
    </w:p>
    <w:p w:rsidR="000E417C" w:rsidRDefault="000E417C" w:rsidP="00756A5C">
      <w:pPr>
        <w:spacing w:line="360" w:lineRule="auto"/>
        <w:jc w:val="both"/>
        <w:rPr>
          <w:rFonts w:ascii="Arial" w:hAnsi="Arial" w:cs="Arial"/>
        </w:rPr>
      </w:pPr>
    </w:p>
    <w:p w:rsidR="00521E6E" w:rsidRDefault="000E417C" w:rsidP="00756A5C">
      <w:pPr>
        <w:spacing w:line="360" w:lineRule="auto"/>
        <w:jc w:val="both"/>
        <w:rPr>
          <w:rFonts w:ascii="Arial" w:hAnsi="Arial" w:cs="Arial"/>
        </w:rPr>
      </w:pPr>
      <w:r>
        <w:rPr>
          <w:rFonts w:ascii="Arial" w:hAnsi="Arial" w:cs="Arial"/>
        </w:rPr>
        <w:t>[</w:t>
      </w:r>
      <w:r w:rsidR="00134659">
        <w:rPr>
          <w:rFonts w:ascii="Arial" w:hAnsi="Arial" w:cs="Arial"/>
        </w:rPr>
        <w:t>22</w:t>
      </w:r>
      <w:r>
        <w:rPr>
          <w:rFonts w:ascii="Arial" w:hAnsi="Arial" w:cs="Arial"/>
        </w:rPr>
        <w:t>]   Though a partly suspended sentence for the aforesaid reasons may not seem appropriate i</w:t>
      </w:r>
      <w:r w:rsidR="00C81894">
        <w:rPr>
          <w:rFonts w:ascii="Arial" w:hAnsi="Arial" w:cs="Arial"/>
        </w:rPr>
        <w:t xml:space="preserve">n the present instance </w:t>
      </w:r>
      <w:r>
        <w:rPr>
          <w:rFonts w:ascii="Arial" w:hAnsi="Arial" w:cs="Arial"/>
        </w:rPr>
        <w:t>where the impositi</w:t>
      </w:r>
      <w:r w:rsidR="00134659">
        <w:rPr>
          <w:rFonts w:ascii="Arial" w:hAnsi="Arial" w:cs="Arial"/>
        </w:rPr>
        <w:t>on of lengthy custodial sentences are</w:t>
      </w:r>
      <w:r>
        <w:rPr>
          <w:rFonts w:ascii="Arial" w:hAnsi="Arial" w:cs="Arial"/>
        </w:rPr>
        <w:t xml:space="preserve"> inevitable, it is my considered opinion, </w:t>
      </w:r>
      <w:r w:rsidR="00C81894">
        <w:rPr>
          <w:rFonts w:ascii="Arial" w:hAnsi="Arial" w:cs="Arial"/>
        </w:rPr>
        <w:t xml:space="preserve">particularly where the accused has pleaded guilty to the offences charged and has shown sincere remorse, that the circumstances justify a </w:t>
      </w:r>
      <w:r w:rsidR="00134659">
        <w:rPr>
          <w:rFonts w:ascii="Arial" w:hAnsi="Arial" w:cs="Arial"/>
        </w:rPr>
        <w:t xml:space="preserve">significant </w:t>
      </w:r>
      <w:r>
        <w:rPr>
          <w:rFonts w:ascii="Arial" w:hAnsi="Arial" w:cs="Arial"/>
        </w:rPr>
        <w:t>reduction in</w:t>
      </w:r>
      <w:r w:rsidR="00C81894">
        <w:rPr>
          <w:rFonts w:ascii="Arial" w:hAnsi="Arial" w:cs="Arial"/>
        </w:rPr>
        <w:t xml:space="preserve"> sentence.</w:t>
      </w:r>
    </w:p>
    <w:p w:rsidR="00C81894" w:rsidRDefault="00C81894" w:rsidP="00756A5C">
      <w:pPr>
        <w:spacing w:line="360" w:lineRule="auto"/>
        <w:jc w:val="both"/>
        <w:rPr>
          <w:rFonts w:ascii="Arial" w:hAnsi="Arial" w:cs="Arial"/>
        </w:rPr>
      </w:pPr>
    </w:p>
    <w:p w:rsidR="00C81894" w:rsidRDefault="00C81894" w:rsidP="00756A5C">
      <w:pPr>
        <w:spacing w:line="360" w:lineRule="auto"/>
        <w:jc w:val="both"/>
        <w:rPr>
          <w:rFonts w:ascii="Arial" w:hAnsi="Arial" w:cs="Arial"/>
        </w:rPr>
      </w:pPr>
      <w:r>
        <w:rPr>
          <w:rFonts w:ascii="Arial" w:hAnsi="Arial" w:cs="Arial"/>
        </w:rPr>
        <w:t>[</w:t>
      </w:r>
      <w:r w:rsidR="00134659">
        <w:rPr>
          <w:rFonts w:ascii="Arial" w:hAnsi="Arial" w:cs="Arial"/>
        </w:rPr>
        <w:t>23</w:t>
      </w:r>
      <w:r>
        <w:rPr>
          <w:rFonts w:ascii="Arial" w:hAnsi="Arial" w:cs="Arial"/>
        </w:rPr>
        <w:t>]   No evidence had been led as to the extent of damages c</w:t>
      </w:r>
      <w:r w:rsidR="00134659">
        <w:rPr>
          <w:rFonts w:ascii="Arial" w:hAnsi="Arial" w:cs="Arial"/>
        </w:rPr>
        <w:t>aused to the property and loss</w:t>
      </w:r>
      <w:r>
        <w:rPr>
          <w:rFonts w:ascii="Arial" w:hAnsi="Arial" w:cs="Arial"/>
        </w:rPr>
        <w:t xml:space="preserve"> suffered</w:t>
      </w:r>
      <w:r w:rsidR="00134659">
        <w:rPr>
          <w:rFonts w:ascii="Arial" w:hAnsi="Arial" w:cs="Arial"/>
        </w:rPr>
        <w:t xml:space="preserve"> by the owners</w:t>
      </w:r>
      <w:r w:rsidR="00890FFE">
        <w:rPr>
          <w:rFonts w:ascii="Arial" w:hAnsi="Arial" w:cs="Arial"/>
        </w:rPr>
        <w:t xml:space="preserve"> of the room</w:t>
      </w:r>
      <w:r>
        <w:rPr>
          <w:rFonts w:ascii="Arial" w:hAnsi="Arial" w:cs="Arial"/>
        </w:rPr>
        <w:t xml:space="preserve">. Be that as it may, the offence in itself, as already stated, is serious and usually attracts punishment in the form of a lengthy term of imprisonment. </w:t>
      </w:r>
      <w:r w:rsidR="00752481">
        <w:rPr>
          <w:rFonts w:ascii="Arial" w:hAnsi="Arial" w:cs="Arial"/>
        </w:rPr>
        <w:t xml:space="preserve">Bearing in mind that the accused set alight the room </w:t>
      </w:r>
      <w:r w:rsidR="00134659">
        <w:rPr>
          <w:rFonts w:ascii="Arial" w:hAnsi="Arial" w:cs="Arial"/>
        </w:rPr>
        <w:t>occupied by</w:t>
      </w:r>
      <w:r w:rsidR="00752481">
        <w:rPr>
          <w:rFonts w:ascii="Arial" w:hAnsi="Arial" w:cs="Arial"/>
        </w:rPr>
        <w:t xml:space="preserve"> the deceased which was home to her and a place of safety, I find no reason to break </w:t>
      </w:r>
      <w:r w:rsidR="00134659">
        <w:rPr>
          <w:rFonts w:ascii="Arial" w:hAnsi="Arial" w:cs="Arial"/>
        </w:rPr>
        <w:t xml:space="preserve">away from </w:t>
      </w:r>
      <w:r w:rsidR="00752481">
        <w:rPr>
          <w:rFonts w:ascii="Arial" w:hAnsi="Arial" w:cs="Arial"/>
        </w:rPr>
        <w:t xml:space="preserve">the norm of </w:t>
      </w:r>
      <w:r w:rsidR="00890FFE">
        <w:rPr>
          <w:rFonts w:ascii="Arial" w:hAnsi="Arial" w:cs="Arial"/>
        </w:rPr>
        <w:t>sentences usually imposed</w:t>
      </w:r>
      <w:r w:rsidR="00752481">
        <w:rPr>
          <w:rFonts w:ascii="Arial" w:hAnsi="Arial" w:cs="Arial"/>
        </w:rPr>
        <w:t xml:space="preserve"> in cases of this nature. </w:t>
      </w:r>
    </w:p>
    <w:p w:rsidR="00752481" w:rsidRDefault="00752481" w:rsidP="00756A5C">
      <w:pPr>
        <w:spacing w:line="360" w:lineRule="auto"/>
        <w:jc w:val="both"/>
        <w:rPr>
          <w:rFonts w:ascii="Arial" w:hAnsi="Arial" w:cs="Arial"/>
        </w:rPr>
      </w:pPr>
    </w:p>
    <w:p w:rsidR="00752481" w:rsidRDefault="00752481" w:rsidP="00756A5C">
      <w:pPr>
        <w:spacing w:line="360" w:lineRule="auto"/>
        <w:jc w:val="both"/>
        <w:rPr>
          <w:rFonts w:ascii="Arial" w:hAnsi="Arial" w:cs="Arial"/>
        </w:rPr>
      </w:pPr>
      <w:r>
        <w:rPr>
          <w:rFonts w:ascii="Arial" w:hAnsi="Arial" w:cs="Arial"/>
        </w:rPr>
        <w:t>[</w:t>
      </w:r>
      <w:r w:rsidR="00134659">
        <w:rPr>
          <w:rFonts w:ascii="Arial" w:hAnsi="Arial" w:cs="Arial"/>
        </w:rPr>
        <w:t>24</w:t>
      </w:r>
      <w:r>
        <w:rPr>
          <w:rFonts w:ascii="Arial" w:hAnsi="Arial" w:cs="Arial"/>
        </w:rPr>
        <w:t xml:space="preserve">]   </w:t>
      </w:r>
      <w:r w:rsidR="000E417C">
        <w:rPr>
          <w:rFonts w:ascii="Arial" w:hAnsi="Arial" w:cs="Arial"/>
        </w:rPr>
        <w:t xml:space="preserve">Where an accused is sentenced in respect of two or more related offences, </w:t>
      </w:r>
      <w:r w:rsidR="005418B9">
        <w:rPr>
          <w:rFonts w:ascii="Arial" w:hAnsi="Arial" w:cs="Arial"/>
        </w:rPr>
        <w:t>the accepted practice is that regard should be had to the cumulative effect of the sentences imposed in order to ensure that the total sentence is not disproportionate to the accused’s blameworthiness in relation to the offences committed.</w:t>
      </w:r>
      <w:r w:rsidR="005418B9">
        <w:rPr>
          <w:rStyle w:val="FootnoteReference"/>
          <w:rFonts w:ascii="Arial" w:hAnsi="Arial" w:cs="Arial"/>
        </w:rPr>
        <w:footnoteReference w:id="11"/>
      </w:r>
      <w:r w:rsidR="005418B9">
        <w:rPr>
          <w:rFonts w:ascii="Arial" w:hAnsi="Arial" w:cs="Arial"/>
        </w:rPr>
        <w:t xml:space="preserve"> Section 280 (2) of the CPA allows the court to order the concurrent running of sentences, or part thereof, which would sufficiently ameliorate the severity of the cumulative effect of the individual sentences imposed.</w:t>
      </w:r>
    </w:p>
    <w:p w:rsidR="005418B9" w:rsidRDefault="005418B9" w:rsidP="00756A5C">
      <w:pPr>
        <w:spacing w:line="360" w:lineRule="auto"/>
        <w:jc w:val="both"/>
        <w:rPr>
          <w:rFonts w:ascii="Arial" w:hAnsi="Arial" w:cs="Arial"/>
        </w:rPr>
      </w:pPr>
    </w:p>
    <w:p w:rsidR="005418B9" w:rsidRDefault="005418B9" w:rsidP="00756A5C">
      <w:pPr>
        <w:spacing w:line="360" w:lineRule="auto"/>
        <w:jc w:val="both"/>
        <w:rPr>
          <w:rFonts w:ascii="Arial" w:hAnsi="Arial" w:cs="Arial"/>
        </w:rPr>
      </w:pPr>
      <w:r>
        <w:rPr>
          <w:rFonts w:ascii="Arial" w:hAnsi="Arial" w:cs="Arial"/>
        </w:rPr>
        <w:t>[</w:t>
      </w:r>
      <w:r w:rsidR="00134659">
        <w:rPr>
          <w:rFonts w:ascii="Arial" w:hAnsi="Arial" w:cs="Arial"/>
        </w:rPr>
        <w:t>25</w:t>
      </w:r>
      <w:r>
        <w:rPr>
          <w:rFonts w:ascii="Arial" w:hAnsi="Arial" w:cs="Arial"/>
        </w:rPr>
        <w:t xml:space="preserve">]   </w:t>
      </w:r>
      <w:r w:rsidR="003D13A8">
        <w:rPr>
          <w:rFonts w:ascii="Arial" w:hAnsi="Arial" w:cs="Arial"/>
        </w:rPr>
        <w:t xml:space="preserve">Given the personal circumstances of the accused, the gravity of the offences the accused was found guilty of, the legitimate interest of society, and the emphasis on specific and general deterrence, </w:t>
      </w:r>
      <w:r>
        <w:rPr>
          <w:rFonts w:ascii="Arial" w:hAnsi="Arial" w:cs="Arial"/>
        </w:rPr>
        <w:t xml:space="preserve">I </w:t>
      </w:r>
      <w:r w:rsidR="003D13A8">
        <w:rPr>
          <w:rFonts w:ascii="Arial" w:hAnsi="Arial" w:cs="Arial"/>
        </w:rPr>
        <w:t>find</w:t>
      </w:r>
      <w:r>
        <w:rPr>
          <w:rFonts w:ascii="Arial" w:hAnsi="Arial" w:cs="Arial"/>
        </w:rPr>
        <w:t xml:space="preserve"> the following sentences appropriate</w:t>
      </w:r>
      <w:r w:rsidR="003D13A8">
        <w:rPr>
          <w:rFonts w:ascii="Arial" w:hAnsi="Arial" w:cs="Arial"/>
        </w:rPr>
        <w:t>:</w:t>
      </w:r>
    </w:p>
    <w:p w:rsidR="003D13A8" w:rsidRDefault="003D13A8" w:rsidP="00756A5C">
      <w:pPr>
        <w:spacing w:line="360" w:lineRule="auto"/>
        <w:jc w:val="both"/>
        <w:rPr>
          <w:rFonts w:ascii="Arial" w:hAnsi="Arial" w:cs="Arial"/>
        </w:rPr>
      </w:pPr>
    </w:p>
    <w:p w:rsidR="003D13A8" w:rsidRDefault="003D13A8" w:rsidP="00756A5C">
      <w:pPr>
        <w:spacing w:line="360" w:lineRule="auto"/>
        <w:jc w:val="both"/>
        <w:rPr>
          <w:rFonts w:ascii="Arial" w:hAnsi="Arial" w:cs="Arial"/>
        </w:rPr>
      </w:pPr>
      <w:r>
        <w:rPr>
          <w:rFonts w:ascii="Arial" w:hAnsi="Arial" w:cs="Arial"/>
        </w:rPr>
        <w:t>Count 1: Murder, read with the provisions of the Combating of Domestic Violence Act 4 of 2003 – 34 years’ imprisonment.</w:t>
      </w:r>
    </w:p>
    <w:p w:rsidR="003D13A8" w:rsidRDefault="003D13A8" w:rsidP="00756A5C">
      <w:pPr>
        <w:spacing w:line="360" w:lineRule="auto"/>
        <w:jc w:val="both"/>
        <w:rPr>
          <w:rFonts w:ascii="Arial" w:hAnsi="Arial" w:cs="Arial"/>
        </w:rPr>
      </w:pPr>
    </w:p>
    <w:p w:rsidR="003D13A8" w:rsidRDefault="003D13A8" w:rsidP="00756A5C">
      <w:pPr>
        <w:spacing w:line="360" w:lineRule="auto"/>
        <w:jc w:val="both"/>
        <w:rPr>
          <w:rFonts w:ascii="Arial" w:hAnsi="Arial" w:cs="Arial"/>
        </w:rPr>
      </w:pPr>
      <w:r>
        <w:rPr>
          <w:rFonts w:ascii="Arial" w:hAnsi="Arial" w:cs="Arial"/>
        </w:rPr>
        <w:t>Count 2: Arson – 8 years’ imprisonment.</w:t>
      </w:r>
    </w:p>
    <w:p w:rsidR="003D13A8" w:rsidRDefault="003D13A8" w:rsidP="00756A5C">
      <w:pPr>
        <w:spacing w:line="360" w:lineRule="auto"/>
        <w:jc w:val="both"/>
        <w:rPr>
          <w:rFonts w:ascii="Arial" w:hAnsi="Arial" w:cs="Arial"/>
        </w:rPr>
      </w:pPr>
    </w:p>
    <w:p w:rsidR="003D13A8" w:rsidRPr="006B344C" w:rsidRDefault="003D13A8" w:rsidP="00756A5C">
      <w:pPr>
        <w:spacing w:line="360" w:lineRule="auto"/>
        <w:jc w:val="both"/>
        <w:rPr>
          <w:rFonts w:ascii="Arial" w:hAnsi="Arial" w:cs="Arial"/>
        </w:rPr>
      </w:pPr>
      <w:r>
        <w:rPr>
          <w:rFonts w:ascii="Arial" w:hAnsi="Arial" w:cs="Arial"/>
        </w:rPr>
        <w:t>In terms of s 280 (2) of Act 51 of 1977 it is ordered that 4 years on count 2 be served concurrently with the sentence imposed on count 1.</w:t>
      </w:r>
    </w:p>
    <w:p w:rsidR="007F60A3" w:rsidRPr="006B344C" w:rsidRDefault="007F60A3" w:rsidP="006B344C">
      <w:pPr>
        <w:spacing w:line="360" w:lineRule="auto"/>
        <w:rPr>
          <w:rFonts w:ascii="Arial" w:hAnsi="Arial" w:cs="Arial"/>
        </w:rPr>
      </w:pPr>
    </w:p>
    <w:p w:rsidR="00A92D68" w:rsidRPr="006B344C" w:rsidRDefault="00A92D68" w:rsidP="006B344C">
      <w:pPr>
        <w:spacing w:line="360" w:lineRule="auto"/>
        <w:jc w:val="both"/>
        <w:rPr>
          <w:rFonts w:ascii="Arial" w:hAnsi="Arial" w:cs="Arial"/>
          <w:b/>
        </w:rPr>
      </w:pPr>
    </w:p>
    <w:p w:rsidR="00A92D68" w:rsidRDefault="00A92D68" w:rsidP="006B344C">
      <w:pPr>
        <w:spacing w:line="360" w:lineRule="auto"/>
        <w:jc w:val="both"/>
        <w:rPr>
          <w:rFonts w:ascii="Arial" w:hAnsi="Arial" w:cs="Arial"/>
          <w:b/>
        </w:rPr>
      </w:pPr>
    </w:p>
    <w:p w:rsidR="00134659" w:rsidRDefault="00134659" w:rsidP="006B344C">
      <w:pPr>
        <w:spacing w:line="360" w:lineRule="auto"/>
        <w:jc w:val="both"/>
        <w:rPr>
          <w:rFonts w:ascii="Arial" w:hAnsi="Arial" w:cs="Arial"/>
          <w:b/>
        </w:rPr>
      </w:pPr>
    </w:p>
    <w:p w:rsidR="00134659" w:rsidRDefault="00134659" w:rsidP="006B344C">
      <w:pPr>
        <w:spacing w:line="360" w:lineRule="auto"/>
        <w:jc w:val="both"/>
        <w:rPr>
          <w:rFonts w:ascii="Arial" w:hAnsi="Arial" w:cs="Arial"/>
          <w:b/>
        </w:rPr>
      </w:pPr>
    </w:p>
    <w:p w:rsidR="00B932BF" w:rsidRDefault="00B932BF" w:rsidP="006B344C">
      <w:pPr>
        <w:spacing w:line="360" w:lineRule="auto"/>
        <w:jc w:val="both"/>
        <w:rPr>
          <w:rFonts w:ascii="Arial" w:hAnsi="Arial" w:cs="Arial"/>
          <w:b/>
        </w:rPr>
      </w:pPr>
    </w:p>
    <w:p w:rsidR="00B932BF" w:rsidRPr="006B344C" w:rsidRDefault="00B932BF" w:rsidP="006B344C">
      <w:pPr>
        <w:spacing w:line="360" w:lineRule="auto"/>
        <w:jc w:val="both"/>
        <w:rPr>
          <w:rFonts w:ascii="Arial" w:hAnsi="Arial" w:cs="Arial"/>
          <w:b/>
        </w:rPr>
      </w:pPr>
    </w:p>
    <w:p w:rsidR="004F77FE" w:rsidRPr="006B344C" w:rsidRDefault="002B451A" w:rsidP="006B344C">
      <w:pPr>
        <w:spacing w:line="360" w:lineRule="auto"/>
        <w:jc w:val="right"/>
        <w:rPr>
          <w:rFonts w:ascii="Arial" w:hAnsi="Arial" w:cs="Arial"/>
          <w:b/>
        </w:rPr>
      </w:pPr>
      <w:r w:rsidRPr="006B344C">
        <w:rPr>
          <w:rFonts w:ascii="Arial" w:hAnsi="Arial" w:cs="Arial"/>
          <w:b/>
        </w:rPr>
        <w:t>__________________</w:t>
      </w:r>
    </w:p>
    <w:p w:rsidR="004F77FE" w:rsidRPr="0028196B" w:rsidRDefault="002B451A" w:rsidP="006B344C">
      <w:pPr>
        <w:spacing w:line="360" w:lineRule="auto"/>
        <w:jc w:val="right"/>
        <w:rPr>
          <w:rFonts w:ascii="Arial" w:hAnsi="Arial" w:cs="Arial"/>
        </w:rPr>
      </w:pPr>
      <w:r w:rsidRPr="0028196B">
        <w:rPr>
          <w:rFonts w:ascii="Arial" w:hAnsi="Arial" w:cs="Arial"/>
        </w:rPr>
        <w:t>JC LIEBENBERG</w:t>
      </w:r>
    </w:p>
    <w:p w:rsidR="002B451A" w:rsidRPr="006B344C" w:rsidRDefault="002B451A" w:rsidP="006B344C">
      <w:pPr>
        <w:spacing w:line="360" w:lineRule="auto"/>
        <w:jc w:val="right"/>
        <w:rPr>
          <w:rFonts w:ascii="Arial" w:hAnsi="Arial" w:cs="Arial"/>
        </w:rPr>
      </w:pPr>
      <w:r w:rsidRPr="006B344C">
        <w:rPr>
          <w:rFonts w:ascii="Arial" w:hAnsi="Arial" w:cs="Arial"/>
        </w:rPr>
        <w:t>JUDGE</w:t>
      </w: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D5553F" w:rsidRPr="006B344C" w:rsidRDefault="00D5553F" w:rsidP="006B344C">
      <w:pPr>
        <w:spacing w:line="360" w:lineRule="auto"/>
        <w:jc w:val="right"/>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134659" w:rsidRDefault="00134659" w:rsidP="006B344C">
      <w:pPr>
        <w:spacing w:line="360" w:lineRule="auto"/>
        <w:jc w:val="both"/>
        <w:rPr>
          <w:rFonts w:ascii="Arial" w:hAnsi="Arial" w:cs="Arial"/>
        </w:rPr>
      </w:pPr>
    </w:p>
    <w:p w:rsidR="00996273" w:rsidRPr="006B344C" w:rsidRDefault="00D5553F" w:rsidP="006B344C">
      <w:pPr>
        <w:spacing w:line="360" w:lineRule="auto"/>
        <w:jc w:val="both"/>
        <w:rPr>
          <w:rFonts w:ascii="Arial" w:hAnsi="Arial" w:cs="Arial"/>
        </w:rPr>
      </w:pPr>
      <w:r w:rsidRPr="006B344C">
        <w:rPr>
          <w:rFonts w:ascii="Arial" w:hAnsi="Arial" w:cs="Arial"/>
        </w:rPr>
        <w:t>APPEARANCES</w:t>
      </w:r>
    </w:p>
    <w:p w:rsidR="00D5553F" w:rsidRPr="006B344C" w:rsidRDefault="00D5553F" w:rsidP="006B344C">
      <w:pPr>
        <w:spacing w:line="360" w:lineRule="auto"/>
        <w:jc w:val="both"/>
        <w:rPr>
          <w:rFonts w:ascii="Arial" w:hAnsi="Arial" w:cs="Arial"/>
        </w:rPr>
      </w:pPr>
    </w:p>
    <w:p w:rsidR="00D5553F" w:rsidRPr="006B344C" w:rsidRDefault="00E945B1" w:rsidP="006B344C">
      <w:pPr>
        <w:spacing w:line="360" w:lineRule="auto"/>
        <w:jc w:val="both"/>
        <w:rPr>
          <w:rFonts w:ascii="Arial" w:hAnsi="Arial" w:cs="Arial"/>
        </w:rPr>
      </w:pPr>
      <w:r w:rsidRPr="006B344C">
        <w:rPr>
          <w:rFonts w:ascii="Arial" w:hAnsi="Arial" w:cs="Arial"/>
        </w:rPr>
        <w:t xml:space="preserve">STATE </w:t>
      </w:r>
      <w:r w:rsidRPr="006B344C">
        <w:rPr>
          <w:rFonts w:ascii="Arial" w:hAnsi="Arial" w:cs="Arial"/>
        </w:rPr>
        <w:tab/>
      </w:r>
      <w:r w:rsidRPr="006B344C">
        <w:rPr>
          <w:rFonts w:ascii="Arial" w:hAnsi="Arial" w:cs="Arial"/>
        </w:rPr>
        <w:tab/>
      </w:r>
      <w:r w:rsidRPr="006B344C">
        <w:rPr>
          <w:rFonts w:ascii="Arial" w:hAnsi="Arial" w:cs="Arial"/>
        </w:rPr>
        <w:tab/>
      </w:r>
      <w:r w:rsidR="003D13A8">
        <w:rPr>
          <w:rFonts w:ascii="Arial" w:hAnsi="Arial" w:cs="Arial"/>
        </w:rPr>
        <w:t>E Ndlovo</w:t>
      </w:r>
    </w:p>
    <w:p w:rsidR="00E945B1" w:rsidRPr="006B344C" w:rsidRDefault="00E945B1" w:rsidP="00AA571E">
      <w:pPr>
        <w:spacing w:line="360" w:lineRule="auto"/>
        <w:ind w:left="2880"/>
        <w:jc w:val="both"/>
        <w:rPr>
          <w:rFonts w:ascii="Arial" w:hAnsi="Arial" w:cs="Arial"/>
        </w:rPr>
      </w:pPr>
      <w:r w:rsidRPr="006B344C">
        <w:rPr>
          <w:rFonts w:ascii="Arial" w:hAnsi="Arial" w:cs="Arial"/>
        </w:rPr>
        <w:t xml:space="preserve">Of the Office of </w:t>
      </w:r>
      <w:r w:rsidR="00AA571E">
        <w:rPr>
          <w:rFonts w:ascii="Arial" w:hAnsi="Arial" w:cs="Arial"/>
        </w:rPr>
        <w:t>the Prosecutor-General, Windhoek</w:t>
      </w:r>
      <w:r w:rsidRPr="006B344C">
        <w:rPr>
          <w:rFonts w:ascii="Arial" w:hAnsi="Arial" w:cs="Arial"/>
        </w:rPr>
        <w:t>.</w:t>
      </w:r>
    </w:p>
    <w:p w:rsidR="00A45224" w:rsidRPr="006B344C" w:rsidRDefault="00A45224" w:rsidP="006B344C">
      <w:pPr>
        <w:spacing w:line="360" w:lineRule="auto"/>
        <w:jc w:val="both"/>
        <w:rPr>
          <w:rFonts w:ascii="Arial" w:hAnsi="Arial" w:cs="Arial"/>
        </w:rPr>
      </w:pPr>
    </w:p>
    <w:p w:rsidR="00A45224" w:rsidRPr="006B344C" w:rsidRDefault="00A45224" w:rsidP="006B344C">
      <w:pPr>
        <w:spacing w:line="360" w:lineRule="auto"/>
        <w:jc w:val="both"/>
        <w:rPr>
          <w:rFonts w:ascii="Arial" w:hAnsi="Arial" w:cs="Arial"/>
        </w:rPr>
      </w:pPr>
      <w:r w:rsidRPr="006B344C">
        <w:rPr>
          <w:rFonts w:ascii="Arial" w:hAnsi="Arial" w:cs="Arial"/>
        </w:rPr>
        <w:t>ACCUSED</w:t>
      </w:r>
      <w:r w:rsidRPr="006B344C">
        <w:rPr>
          <w:rFonts w:ascii="Arial" w:hAnsi="Arial" w:cs="Arial"/>
        </w:rPr>
        <w:tab/>
      </w:r>
      <w:r w:rsidRPr="006B344C">
        <w:rPr>
          <w:rFonts w:ascii="Arial" w:hAnsi="Arial" w:cs="Arial"/>
        </w:rPr>
        <w:tab/>
      </w:r>
      <w:r w:rsidRPr="006B344C">
        <w:rPr>
          <w:rFonts w:ascii="Arial" w:hAnsi="Arial" w:cs="Arial"/>
        </w:rPr>
        <w:tab/>
      </w:r>
      <w:r w:rsidR="003D13A8">
        <w:rPr>
          <w:rFonts w:ascii="Arial" w:hAnsi="Arial" w:cs="Arial"/>
        </w:rPr>
        <w:t xml:space="preserve">M </w:t>
      </w:r>
      <w:r w:rsidR="00AE53FC">
        <w:rPr>
          <w:rFonts w:ascii="Arial" w:hAnsi="Arial" w:cs="Arial"/>
        </w:rPr>
        <w:t xml:space="preserve">I </w:t>
      </w:r>
      <w:r w:rsidR="003D13A8">
        <w:rPr>
          <w:rFonts w:ascii="Arial" w:hAnsi="Arial" w:cs="Arial"/>
        </w:rPr>
        <w:t>Engelbrecht</w:t>
      </w:r>
    </w:p>
    <w:p w:rsidR="0028453B" w:rsidRPr="006B344C" w:rsidRDefault="0028453B" w:rsidP="006B344C">
      <w:pPr>
        <w:spacing w:line="360" w:lineRule="auto"/>
        <w:jc w:val="both"/>
        <w:rPr>
          <w:rFonts w:ascii="Arial" w:hAnsi="Arial" w:cs="Arial"/>
        </w:rPr>
      </w:pPr>
      <w:r w:rsidRPr="006B344C">
        <w:rPr>
          <w:rFonts w:ascii="Arial" w:hAnsi="Arial" w:cs="Arial"/>
        </w:rPr>
        <w:tab/>
      </w:r>
      <w:r w:rsidRPr="006B344C">
        <w:rPr>
          <w:rFonts w:ascii="Arial" w:hAnsi="Arial" w:cs="Arial"/>
        </w:rPr>
        <w:tab/>
      </w:r>
      <w:r w:rsidRPr="006B344C">
        <w:rPr>
          <w:rFonts w:ascii="Arial" w:hAnsi="Arial" w:cs="Arial"/>
        </w:rPr>
        <w:tab/>
      </w:r>
      <w:r w:rsidRPr="006B344C">
        <w:rPr>
          <w:rFonts w:ascii="Arial" w:hAnsi="Arial" w:cs="Arial"/>
        </w:rPr>
        <w:tab/>
      </w:r>
      <w:r w:rsidR="00AE53FC">
        <w:rPr>
          <w:rFonts w:ascii="Arial" w:hAnsi="Arial" w:cs="Arial"/>
        </w:rPr>
        <w:t>Engelbrecht Attorneys</w:t>
      </w:r>
      <w:r w:rsidR="00AA571E">
        <w:rPr>
          <w:rFonts w:ascii="Arial" w:hAnsi="Arial" w:cs="Arial"/>
        </w:rPr>
        <w:t xml:space="preserve">, </w:t>
      </w:r>
      <w:r w:rsidR="00AA571E">
        <w:rPr>
          <w:rFonts w:ascii="Arial" w:hAnsi="Arial" w:cs="Arial"/>
        </w:rPr>
        <w:tab/>
      </w:r>
      <w:r w:rsidR="00AA571E">
        <w:rPr>
          <w:rFonts w:ascii="Arial" w:hAnsi="Arial" w:cs="Arial"/>
        </w:rPr>
        <w:tab/>
      </w:r>
      <w:r w:rsidR="00AA571E">
        <w:rPr>
          <w:rFonts w:ascii="Arial" w:hAnsi="Arial" w:cs="Arial"/>
        </w:rPr>
        <w:tab/>
      </w:r>
      <w:r w:rsidR="00AA571E">
        <w:rPr>
          <w:rFonts w:ascii="Arial" w:hAnsi="Arial" w:cs="Arial"/>
        </w:rPr>
        <w:tab/>
      </w:r>
      <w:r w:rsidR="00AE53FC">
        <w:rPr>
          <w:rFonts w:ascii="Arial" w:hAnsi="Arial" w:cs="Arial"/>
        </w:rPr>
        <w:tab/>
      </w:r>
      <w:r w:rsidR="00AE53FC">
        <w:rPr>
          <w:rFonts w:ascii="Arial" w:hAnsi="Arial" w:cs="Arial"/>
        </w:rPr>
        <w:tab/>
      </w:r>
      <w:r w:rsidR="00AE53FC">
        <w:rPr>
          <w:rFonts w:ascii="Arial" w:hAnsi="Arial" w:cs="Arial"/>
        </w:rPr>
        <w:tab/>
      </w:r>
      <w:r w:rsidR="00AA571E">
        <w:rPr>
          <w:rFonts w:ascii="Arial" w:hAnsi="Arial" w:cs="Arial"/>
        </w:rPr>
        <w:tab/>
        <w:t>Windhoek</w:t>
      </w:r>
      <w:r w:rsidRPr="006B344C">
        <w:rPr>
          <w:rFonts w:ascii="Arial" w:hAnsi="Arial" w:cs="Arial"/>
        </w:rPr>
        <w:t>.</w:t>
      </w:r>
    </w:p>
    <w:sectPr w:rsidR="0028453B" w:rsidRPr="006B344C" w:rsidSect="005C2A66">
      <w:headerReference w:type="even" r:id="rId12"/>
      <w:head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1F" w:rsidRDefault="006B341F">
      <w:r>
        <w:separator/>
      </w:r>
    </w:p>
  </w:endnote>
  <w:endnote w:type="continuationSeparator" w:id="0">
    <w:p w:rsidR="006B341F" w:rsidRDefault="006B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1F" w:rsidRDefault="006B341F">
      <w:r>
        <w:separator/>
      </w:r>
    </w:p>
  </w:footnote>
  <w:footnote w:type="continuationSeparator" w:id="0">
    <w:p w:rsidR="006B341F" w:rsidRDefault="006B341F">
      <w:r>
        <w:continuationSeparator/>
      </w:r>
    </w:p>
  </w:footnote>
  <w:footnote w:id="1">
    <w:p w:rsidR="00991914" w:rsidRPr="00991914" w:rsidRDefault="00991914">
      <w:pPr>
        <w:pStyle w:val="FootnoteText"/>
        <w:rPr>
          <w:rFonts w:ascii="Arial" w:hAnsi="Arial" w:cs="Arial"/>
          <w:lang w:val="en-US"/>
        </w:rPr>
      </w:pPr>
      <w:r>
        <w:rPr>
          <w:rStyle w:val="FootnoteReference"/>
        </w:rPr>
        <w:footnoteRef/>
      </w:r>
      <w:r>
        <w:t xml:space="preserve"> </w:t>
      </w:r>
      <w:r>
        <w:rPr>
          <w:rFonts w:ascii="Arial" w:hAnsi="Arial" w:cs="Arial"/>
          <w:lang w:val="en-US"/>
        </w:rPr>
        <w:t>Act 4 of 2003.</w:t>
      </w:r>
    </w:p>
  </w:footnote>
  <w:footnote w:id="2">
    <w:p w:rsidR="006A3922" w:rsidRPr="006A3922" w:rsidRDefault="006A3922">
      <w:pPr>
        <w:pStyle w:val="FootnoteText"/>
        <w:rPr>
          <w:rFonts w:ascii="Arial" w:hAnsi="Arial" w:cs="Arial"/>
          <w:lang w:val="en-US"/>
        </w:rPr>
      </w:pPr>
      <w:r>
        <w:rPr>
          <w:rStyle w:val="FootnoteReference"/>
        </w:rPr>
        <w:footnoteRef/>
      </w:r>
      <w:r>
        <w:t xml:space="preserve"> </w:t>
      </w:r>
      <w:r>
        <w:rPr>
          <w:rFonts w:ascii="Arial" w:hAnsi="Arial" w:cs="Arial"/>
          <w:lang w:val="en-US"/>
        </w:rPr>
        <w:t>Exhibit ‘B’.</w:t>
      </w:r>
    </w:p>
  </w:footnote>
  <w:footnote w:id="3">
    <w:p w:rsidR="006A3922" w:rsidRPr="006A3922" w:rsidRDefault="006A3922">
      <w:pPr>
        <w:pStyle w:val="FootnoteText"/>
        <w:rPr>
          <w:rFonts w:ascii="Arial" w:hAnsi="Arial" w:cs="Arial"/>
          <w:lang w:val="en-US"/>
        </w:rPr>
      </w:pPr>
      <w:r>
        <w:rPr>
          <w:rStyle w:val="FootnoteReference"/>
        </w:rPr>
        <w:footnoteRef/>
      </w:r>
      <w:r>
        <w:t xml:space="preserve"> </w:t>
      </w:r>
      <w:r>
        <w:rPr>
          <w:rFonts w:ascii="Arial" w:hAnsi="Arial" w:cs="Arial"/>
          <w:lang w:val="en-US"/>
        </w:rPr>
        <w:t>Exhibit ‘C’.</w:t>
      </w:r>
    </w:p>
  </w:footnote>
  <w:footnote w:id="4">
    <w:p w:rsidR="00CA2853" w:rsidRPr="00CA2853" w:rsidRDefault="00CA2853">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Mafu </w:t>
      </w:r>
      <w:r>
        <w:rPr>
          <w:rFonts w:ascii="Arial" w:hAnsi="Arial" w:cs="Arial"/>
          <w:lang w:val="en-US"/>
        </w:rPr>
        <w:t>1992 (2) SACR 494 (A) at 495d-e.</w:t>
      </w:r>
    </w:p>
  </w:footnote>
  <w:footnote w:id="5">
    <w:p w:rsidR="0047281D" w:rsidRPr="0047281D" w:rsidRDefault="0047281D">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Qamata </w:t>
      </w:r>
      <w:r>
        <w:rPr>
          <w:rFonts w:ascii="Arial" w:hAnsi="Arial" w:cs="Arial"/>
          <w:lang w:val="en-US"/>
        </w:rPr>
        <w:t>1997 (1) SACR 479 (E) at 483a.</w:t>
      </w:r>
    </w:p>
  </w:footnote>
  <w:footnote w:id="6">
    <w:p w:rsidR="00974563" w:rsidRPr="00974563" w:rsidRDefault="00974563">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Volkwyn </w:t>
      </w:r>
      <w:r>
        <w:rPr>
          <w:rFonts w:ascii="Arial" w:hAnsi="Arial" w:cs="Arial"/>
          <w:lang w:val="en-US"/>
        </w:rPr>
        <w:t>1995 (1) SACR 286 (A) at 289h.</w:t>
      </w:r>
    </w:p>
  </w:footnote>
  <w:footnote w:id="7">
    <w:p w:rsidR="00AB22E8" w:rsidRPr="00AB22E8" w:rsidRDefault="00AB22E8">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Kauzuu </w:t>
      </w:r>
      <w:r>
        <w:rPr>
          <w:rFonts w:ascii="Arial" w:hAnsi="Arial" w:cs="Arial"/>
          <w:lang w:val="en-US"/>
        </w:rPr>
        <w:t>2006 (1) NR 225 (HC).</w:t>
      </w:r>
    </w:p>
  </w:footnote>
  <w:footnote w:id="8">
    <w:p w:rsidR="00FE10ED" w:rsidRPr="00FE10ED" w:rsidRDefault="00FE10ED">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Baardman </w:t>
      </w:r>
      <w:r>
        <w:rPr>
          <w:rFonts w:ascii="Arial" w:hAnsi="Arial" w:cs="Arial"/>
          <w:lang w:val="en-US"/>
        </w:rPr>
        <w:t>1997 (1) SACR 304 (E).</w:t>
      </w:r>
    </w:p>
  </w:footnote>
  <w:footnote w:id="9">
    <w:p w:rsidR="000A3A37" w:rsidRPr="000A3A37" w:rsidRDefault="000A3A37">
      <w:pPr>
        <w:pStyle w:val="FootnoteText"/>
        <w:rPr>
          <w:rFonts w:ascii="Arial" w:hAnsi="Arial" w:cs="Arial"/>
          <w:lang w:val="en-US"/>
        </w:rPr>
      </w:pPr>
      <w:r>
        <w:rPr>
          <w:rStyle w:val="FootnoteReference"/>
        </w:rPr>
        <w:footnoteRef/>
      </w:r>
      <w:r>
        <w:t xml:space="preserve"> </w:t>
      </w:r>
      <w:r>
        <w:rPr>
          <w:rFonts w:ascii="Arial" w:hAnsi="Arial" w:cs="Arial"/>
          <w:lang w:val="en-US"/>
        </w:rPr>
        <w:t>Act 51 of 1977.</w:t>
      </w:r>
    </w:p>
  </w:footnote>
  <w:footnote w:id="10">
    <w:p w:rsidR="003C3D01" w:rsidRPr="003C3D01" w:rsidRDefault="003C3D01">
      <w:pPr>
        <w:pStyle w:val="FootnoteText"/>
        <w:rPr>
          <w:rFonts w:ascii="Arial" w:hAnsi="Arial" w:cs="Arial"/>
          <w:lang w:val="en-US"/>
        </w:rPr>
      </w:pPr>
      <w:r>
        <w:rPr>
          <w:rStyle w:val="FootnoteReference"/>
        </w:rPr>
        <w:footnoteRef/>
      </w:r>
      <w:r>
        <w:t xml:space="preserve"> </w:t>
      </w:r>
      <w:r>
        <w:rPr>
          <w:rFonts w:ascii="Arial" w:hAnsi="Arial" w:cs="Arial"/>
          <w:lang w:val="en-US"/>
        </w:rPr>
        <w:t>Unreported Case No 70/2013 delivered on 15.07.2013</w:t>
      </w:r>
      <w:r w:rsidR="000E417C">
        <w:rPr>
          <w:rFonts w:ascii="Arial" w:hAnsi="Arial" w:cs="Arial"/>
          <w:lang w:val="en-US"/>
        </w:rPr>
        <w:t>.</w:t>
      </w:r>
    </w:p>
  </w:footnote>
  <w:footnote w:id="11">
    <w:p w:rsidR="005418B9" w:rsidRPr="005418B9" w:rsidRDefault="005418B9">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Sevenster </w:t>
      </w:r>
      <w:r>
        <w:rPr>
          <w:rFonts w:ascii="Arial" w:hAnsi="Arial" w:cs="Arial"/>
          <w:lang w:val="en-US"/>
        </w:rPr>
        <w:t>2002 (2) SACR 400 (CPD) at 405a-b.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5F" w:rsidRDefault="0019345F" w:rsidP="001B53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45F" w:rsidRDefault="00193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B9" w:rsidRDefault="00CB1AB9">
    <w:pPr>
      <w:pStyle w:val="Header"/>
      <w:jc w:val="right"/>
    </w:pPr>
    <w:r>
      <w:fldChar w:fldCharType="begin"/>
    </w:r>
    <w:r>
      <w:instrText xml:space="preserve"> PAGE   \* MERGEFORMAT </w:instrText>
    </w:r>
    <w:r>
      <w:fldChar w:fldCharType="separate"/>
    </w:r>
    <w:r w:rsidR="00F46F77">
      <w:rPr>
        <w:noProof/>
      </w:rPr>
      <w:t>13</w:t>
    </w:r>
    <w:r>
      <w:fldChar w:fldCharType="end"/>
    </w:r>
  </w:p>
  <w:p w:rsidR="0019345F" w:rsidRDefault="0019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CD"/>
    <w:rsid w:val="000050DA"/>
    <w:rsid w:val="0003101B"/>
    <w:rsid w:val="0003736C"/>
    <w:rsid w:val="00043DA3"/>
    <w:rsid w:val="0008042D"/>
    <w:rsid w:val="0008138C"/>
    <w:rsid w:val="000A3A37"/>
    <w:rsid w:val="000C626E"/>
    <w:rsid w:val="000E417C"/>
    <w:rsid w:val="00107891"/>
    <w:rsid w:val="00120E5C"/>
    <w:rsid w:val="00127347"/>
    <w:rsid w:val="00134659"/>
    <w:rsid w:val="001375BF"/>
    <w:rsid w:val="0019345F"/>
    <w:rsid w:val="00193ACB"/>
    <w:rsid w:val="00193B3C"/>
    <w:rsid w:val="001B0ADC"/>
    <w:rsid w:val="001B1218"/>
    <w:rsid w:val="001B53D2"/>
    <w:rsid w:val="001B7A3A"/>
    <w:rsid w:val="001C4D65"/>
    <w:rsid w:val="001D36E3"/>
    <w:rsid w:val="001D6E96"/>
    <w:rsid w:val="001F5657"/>
    <w:rsid w:val="0020165F"/>
    <w:rsid w:val="0020373F"/>
    <w:rsid w:val="002241B4"/>
    <w:rsid w:val="00242421"/>
    <w:rsid w:val="00263FAF"/>
    <w:rsid w:val="0028196B"/>
    <w:rsid w:val="0028453B"/>
    <w:rsid w:val="002A2414"/>
    <w:rsid w:val="002B451A"/>
    <w:rsid w:val="002B5FCA"/>
    <w:rsid w:val="002D0A16"/>
    <w:rsid w:val="00331F89"/>
    <w:rsid w:val="00333F47"/>
    <w:rsid w:val="00372652"/>
    <w:rsid w:val="00386273"/>
    <w:rsid w:val="003B3E18"/>
    <w:rsid w:val="003B6A1F"/>
    <w:rsid w:val="003C3D01"/>
    <w:rsid w:val="003C7900"/>
    <w:rsid w:val="003D13A8"/>
    <w:rsid w:val="003F3B56"/>
    <w:rsid w:val="00423319"/>
    <w:rsid w:val="00427112"/>
    <w:rsid w:val="00432E53"/>
    <w:rsid w:val="00434277"/>
    <w:rsid w:val="00457DD2"/>
    <w:rsid w:val="0047281D"/>
    <w:rsid w:val="00481CCB"/>
    <w:rsid w:val="00484FFD"/>
    <w:rsid w:val="00491B8F"/>
    <w:rsid w:val="004A37A4"/>
    <w:rsid w:val="004A4BB6"/>
    <w:rsid w:val="004F77FE"/>
    <w:rsid w:val="0050207D"/>
    <w:rsid w:val="00505882"/>
    <w:rsid w:val="00514E3B"/>
    <w:rsid w:val="00521E6E"/>
    <w:rsid w:val="005418B9"/>
    <w:rsid w:val="00575FF6"/>
    <w:rsid w:val="00587A39"/>
    <w:rsid w:val="005A0336"/>
    <w:rsid w:val="005B498D"/>
    <w:rsid w:val="005C2A66"/>
    <w:rsid w:val="00601498"/>
    <w:rsid w:val="00614D1D"/>
    <w:rsid w:val="00617DBE"/>
    <w:rsid w:val="00630A10"/>
    <w:rsid w:val="006403DB"/>
    <w:rsid w:val="00690307"/>
    <w:rsid w:val="00694B65"/>
    <w:rsid w:val="006A11BF"/>
    <w:rsid w:val="006A3922"/>
    <w:rsid w:val="006B341F"/>
    <w:rsid w:val="006B344C"/>
    <w:rsid w:val="006E3FE3"/>
    <w:rsid w:val="00733A83"/>
    <w:rsid w:val="00737777"/>
    <w:rsid w:val="00752481"/>
    <w:rsid w:val="00756A5C"/>
    <w:rsid w:val="00766BBA"/>
    <w:rsid w:val="00770960"/>
    <w:rsid w:val="00776BC5"/>
    <w:rsid w:val="007A3700"/>
    <w:rsid w:val="007A4F8A"/>
    <w:rsid w:val="007E2634"/>
    <w:rsid w:val="007F60A3"/>
    <w:rsid w:val="007F6DFE"/>
    <w:rsid w:val="00811AB6"/>
    <w:rsid w:val="008128A6"/>
    <w:rsid w:val="008518DC"/>
    <w:rsid w:val="00855A47"/>
    <w:rsid w:val="00860552"/>
    <w:rsid w:val="00864423"/>
    <w:rsid w:val="00872772"/>
    <w:rsid w:val="00881557"/>
    <w:rsid w:val="00890FFE"/>
    <w:rsid w:val="00892190"/>
    <w:rsid w:val="008B0198"/>
    <w:rsid w:val="008D161C"/>
    <w:rsid w:val="008D19A5"/>
    <w:rsid w:val="0090644C"/>
    <w:rsid w:val="009348BB"/>
    <w:rsid w:val="009432BA"/>
    <w:rsid w:val="009676D1"/>
    <w:rsid w:val="00974563"/>
    <w:rsid w:val="00991914"/>
    <w:rsid w:val="0099374A"/>
    <w:rsid w:val="00996273"/>
    <w:rsid w:val="009A7AA0"/>
    <w:rsid w:val="009B5ACD"/>
    <w:rsid w:val="009D6566"/>
    <w:rsid w:val="009F2EB6"/>
    <w:rsid w:val="00A0335B"/>
    <w:rsid w:val="00A139F5"/>
    <w:rsid w:val="00A14EFA"/>
    <w:rsid w:val="00A421AA"/>
    <w:rsid w:val="00A45224"/>
    <w:rsid w:val="00A46618"/>
    <w:rsid w:val="00A577B0"/>
    <w:rsid w:val="00A717A0"/>
    <w:rsid w:val="00A83196"/>
    <w:rsid w:val="00A870BA"/>
    <w:rsid w:val="00A92D68"/>
    <w:rsid w:val="00A94964"/>
    <w:rsid w:val="00A96833"/>
    <w:rsid w:val="00AA10F4"/>
    <w:rsid w:val="00AA571E"/>
    <w:rsid w:val="00AB06BD"/>
    <w:rsid w:val="00AB22E8"/>
    <w:rsid w:val="00AB6605"/>
    <w:rsid w:val="00AE53FC"/>
    <w:rsid w:val="00B23497"/>
    <w:rsid w:val="00B45103"/>
    <w:rsid w:val="00B47771"/>
    <w:rsid w:val="00B54F42"/>
    <w:rsid w:val="00B932BF"/>
    <w:rsid w:val="00C062AF"/>
    <w:rsid w:val="00C560CA"/>
    <w:rsid w:val="00C81894"/>
    <w:rsid w:val="00C86ACA"/>
    <w:rsid w:val="00CA2853"/>
    <w:rsid w:val="00CB1AB9"/>
    <w:rsid w:val="00CB53B7"/>
    <w:rsid w:val="00CC315E"/>
    <w:rsid w:val="00D023B3"/>
    <w:rsid w:val="00D33A89"/>
    <w:rsid w:val="00D33DD4"/>
    <w:rsid w:val="00D5553F"/>
    <w:rsid w:val="00DA31B0"/>
    <w:rsid w:val="00DC7712"/>
    <w:rsid w:val="00E00933"/>
    <w:rsid w:val="00E56002"/>
    <w:rsid w:val="00E7209C"/>
    <w:rsid w:val="00E85232"/>
    <w:rsid w:val="00E945B1"/>
    <w:rsid w:val="00EA0B0D"/>
    <w:rsid w:val="00EA5378"/>
    <w:rsid w:val="00ED00F2"/>
    <w:rsid w:val="00F136AD"/>
    <w:rsid w:val="00F16624"/>
    <w:rsid w:val="00F24C2E"/>
    <w:rsid w:val="00F46F77"/>
    <w:rsid w:val="00F570BC"/>
    <w:rsid w:val="00F606BB"/>
    <w:rsid w:val="00F70127"/>
    <w:rsid w:val="00F70D41"/>
    <w:rsid w:val="00F855CC"/>
    <w:rsid w:val="00FB2A7F"/>
    <w:rsid w:val="00FB7314"/>
    <w:rsid w:val="00FD14BC"/>
    <w:rsid w:val="00FE10ED"/>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8660B4-7A11-4C01-9A1E-26FD08AD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CD"/>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C2A66"/>
    <w:pPr>
      <w:tabs>
        <w:tab w:val="center" w:pos="4153"/>
        <w:tab w:val="right" w:pos="8306"/>
      </w:tabs>
    </w:pPr>
  </w:style>
  <w:style w:type="character" w:styleId="PageNumber">
    <w:name w:val="page number"/>
    <w:basedOn w:val="DefaultParagraphFont"/>
    <w:rsid w:val="005C2A66"/>
  </w:style>
  <w:style w:type="paragraph" w:styleId="Footer">
    <w:name w:val="footer"/>
    <w:basedOn w:val="Normal"/>
    <w:link w:val="FooterChar"/>
    <w:rsid w:val="002B451A"/>
    <w:pPr>
      <w:tabs>
        <w:tab w:val="center" w:pos="4513"/>
        <w:tab w:val="right" w:pos="9026"/>
      </w:tabs>
    </w:pPr>
  </w:style>
  <w:style w:type="character" w:customStyle="1" w:styleId="FooterChar">
    <w:name w:val="Footer Char"/>
    <w:link w:val="Footer"/>
    <w:rsid w:val="002B451A"/>
    <w:rPr>
      <w:sz w:val="24"/>
      <w:szCs w:val="24"/>
    </w:rPr>
  </w:style>
  <w:style w:type="character" w:customStyle="1" w:styleId="HeaderChar">
    <w:name w:val="Header Char"/>
    <w:link w:val="Header"/>
    <w:uiPriority w:val="99"/>
    <w:rsid w:val="00CB1AB9"/>
    <w:rPr>
      <w:sz w:val="24"/>
      <w:szCs w:val="24"/>
    </w:rPr>
  </w:style>
  <w:style w:type="paragraph" w:styleId="FootnoteText">
    <w:name w:val="footnote text"/>
    <w:basedOn w:val="Normal"/>
    <w:link w:val="FootnoteTextChar"/>
    <w:rsid w:val="004A37A4"/>
    <w:rPr>
      <w:sz w:val="20"/>
      <w:szCs w:val="20"/>
    </w:rPr>
  </w:style>
  <w:style w:type="character" w:customStyle="1" w:styleId="FootnoteTextChar">
    <w:name w:val="Footnote Text Char"/>
    <w:basedOn w:val="DefaultParagraphFont"/>
    <w:link w:val="FootnoteText"/>
    <w:rsid w:val="004A37A4"/>
  </w:style>
  <w:style w:type="character" w:styleId="FootnoteReference">
    <w:name w:val="footnote reference"/>
    <w:rsid w:val="004A37A4"/>
    <w:rPr>
      <w:vertAlign w:val="superscript"/>
    </w:rPr>
  </w:style>
  <w:style w:type="paragraph" w:styleId="BalloonText">
    <w:name w:val="Balloon Text"/>
    <w:basedOn w:val="Normal"/>
    <w:link w:val="BalloonTextChar"/>
    <w:rsid w:val="00193B3C"/>
    <w:rPr>
      <w:rFonts w:ascii="Segoe UI" w:hAnsi="Segoe UI" w:cs="Segoe UI"/>
      <w:sz w:val="18"/>
      <w:szCs w:val="18"/>
    </w:rPr>
  </w:style>
  <w:style w:type="character" w:customStyle="1" w:styleId="BalloonTextChar">
    <w:name w:val="Balloon Text Char"/>
    <w:link w:val="BalloonText"/>
    <w:rsid w:val="00193B3C"/>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2017-07-19T00:00:00Z</Judgment_x0020_Date>
  </documentManagement>
</p:properties>
</file>

<file path=customXml/itemProps1.xml><?xml version="1.0" encoding="utf-8"?>
<ds:datastoreItem xmlns:ds="http://schemas.openxmlformats.org/officeDocument/2006/customXml" ds:itemID="{86D31900-6408-483D-B1A7-9661F5E4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CE32E-2605-46BC-B59F-B6E16DE7445E}">
  <ds:schemaRefs>
    <ds:schemaRef ds:uri="http://schemas.microsoft.com/office/2006/metadata/longProperties"/>
  </ds:schemaRefs>
</ds:datastoreItem>
</file>

<file path=customXml/itemProps3.xml><?xml version="1.0" encoding="utf-8"?>
<ds:datastoreItem xmlns:ds="http://schemas.openxmlformats.org/officeDocument/2006/customXml" ds:itemID="{53B161F8-C2BC-4968-842C-F50517DD3B32}">
  <ds:schemaRefs>
    <ds:schemaRef ds:uri="http://schemas.microsoft.com/sharepoint/v3/contenttype/forms"/>
  </ds:schemaRefs>
</ds:datastoreItem>
</file>

<file path=customXml/itemProps4.xml><?xml version="1.0" encoding="utf-8"?>
<ds:datastoreItem xmlns:ds="http://schemas.openxmlformats.org/officeDocument/2006/customXml" ds:itemID="{EC73CD75-56FD-4F1F-B9CC-068A42EF4C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7a0f4bd-1162-49ac-b85f-dfe96a90bc01"/>
    <ds:schemaRef ds:uri="a036617c-f1b0-4353-ab0a-456b3885ee3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cp:lastModifiedBy>W P. Oosthuizen</cp:lastModifiedBy>
  <cp:revision>2</cp:revision>
  <cp:lastPrinted>2017-07-24T12:29:00Z</cp:lastPrinted>
  <dcterms:created xsi:type="dcterms:W3CDTF">2017-07-24T12:29:00Z</dcterms:created>
  <dcterms:modified xsi:type="dcterms:W3CDTF">2017-07-24T12:29:00Z</dcterms:modified>
</cp:coreProperties>
</file>