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27AE" w:rsidRP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27A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B030" wp14:editId="0F7AEE5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AE" w:rsidRDefault="00EF7581" w:rsidP="002C27AE">
                            <w:pPr>
                              <w:jc w:val="center"/>
                            </w:pPr>
                            <w:r>
                              <w:t xml:space="preserve">NOT </w:t>
                            </w:r>
                            <w:r w:rsidR="002C27AE">
                              <w:t>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B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2C27AE" w:rsidRDefault="00EF7581" w:rsidP="002C27AE">
                      <w:pPr>
                        <w:jc w:val="center"/>
                      </w:pPr>
                      <w:r>
                        <w:t xml:space="preserve">NOT </w:t>
                      </w:r>
                      <w:r w:rsidR="002C27AE">
                        <w:t>REPORTABLE</w:t>
                      </w:r>
                    </w:p>
                  </w:txbxContent>
                </v:textbox>
              </v:shape>
            </w:pict>
          </mc:Fallback>
        </mc:AlternateContent>
      </w:r>
      <w:r w:rsidRPr="002C27AE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2C27AE" w:rsidRPr="002C27AE" w:rsidRDefault="002C27AE" w:rsidP="002C27AE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C27AE">
        <w:rPr>
          <w:rFonts w:ascii="Calibri" w:eastAsia="Calibri" w:hAnsi="Calibri" w:cs="Times New Roman"/>
          <w:b/>
          <w:noProof/>
          <w:sz w:val="32"/>
          <w:szCs w:val="32"/>
          <w:lang w:val="en-US"/>
        </w:rPr>
        <w:drawing>
          <wp:inline distT="0" distB="0" distL="0" distR="0" wp14:anchorId="7A155AD6" wp14:editId="204AB38A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E" w:rsidRP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>HIGH COURT OF NAMIBIA MAIN DIVISION, WINDHOEK</w:t>
      </w:r>
    </w:p>
    <w:p w:rsidR="002C27AE" w:rsidRP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/>
          <w:sz w:val="10"/>
          <w:szCs w:val="10"/>
        </w:rPr>
      </w:pPr>
    </w:p>
    <w:p w:rsid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RULING</w:t>
      </w:r>
    </w:p>
    <w:p w:rsidR="001D0842" w:rsidRPr="002C27AE" w:rsidRDefault="001D0842" w:rsidP="002C27A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27AE" w:rsidRDefault="002C27AE" w:rsidP="002C27AE">
      <w:pPr>
        <w:tabs>
          <w:tab w:val="right" w:pos="9000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ab/>
      </w:r>
      <w:r w:rsidRPr="002C27AE">
        <w:rPr>
          <w:rFonts w:ascii="Arial" w:eastAsia="Calibri" w:hAnsi="Arial" w:cs="Arial"/>
          <w:sz w:val="24"/>
          <w:szCs w:val="24"/>
        </w:rPr>
        <w:t xml:space="preserve">Case no: </w:t>
      </w:r>
      <w:r>
        <w:rPr>
          <w:rFonts w:ascii="Arial" w:eastAsia="Calibri" w:hAnsi="Arial" w:cs="Arial"/>
          <w:sz w:val="24"/>
          <w:szCs w:val="24"/>
        </w:rPr>
        <w:t>HC-MD-CIV-ACT-CON-2017/00888</w:t>
      </w:r>
    </w:p>
    <w:p w:rsidR="001D0842" w:rsidRPr="002C27AE" w:rsidRDefault="001D0842" w:rsidP="002C27AE">
      <w:pPr>
        <w:tabs>
          <w:tab w:val="right" w:pos="9000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In the matter between:</w:t>
      </w:r>
    </w:p>
    <w:p w:rsidR="002C27AE" w:rsidRPr="002C27AE" w:rsidRDefault="002C27AE" w:rsidP="002C27AE">
      <w:pPr>
        <w:widowControl w:val="0"/>
        <w:tabs>
          <w:tab w:val="right" w:pos="9000"/>
        </w:tabs>
        <w:snapToGrid w:val="0"/>
        <w:spacing w:after="0" w:line="360" w:lineRule="auto"/>
        <w:jc w:val="both"/>
        <w:outlineLvl w:val="3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WILLEM JOHANNES LODIWIKUS BOOYSEN</w:t>
      </w:r>
      <w:r w:rsidRPr="002C27AE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spacing w:val="-3"/>
          <w:sz w:val="24"/>
          <w:szCs w:val="24"/>
        </w:rPr>
        <w:t>RESPONDENT/</w:t>
      </w:r>
      <w:r w:rsidRPr="002C27AE">
        <w:rPr>
          <w:rFonts w:ascii="Arial" w:eastAsia="Times New Roman" w:hAnsi="Arial" w:cs="Arial"/>
          <w:b/>
          <w:spacing w:val="-3"/>
          <w:sz w:val="24"/>
          <w:szCs w:val="24"/>
        </w:rPr>
        <w:t>PLAINTIFF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and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27AE" w:rsidRPr="002C27AE" w:rsidRDefault="002C27AE" w:rsidP="002C27AE">
      <w:pPr>
        <w:widowControl w:val="0"/>
        <w:tabs>
          <w:tab w:val="right" w:pos="9000"/>
        </w:tabs>
        <w:snapToGrid w:val="0"/>
        <w:spacing w:after="0" w:line="360" w:lineRule="auto"/>
        <w:jc w:val="both"/>
        <w:outlineLvl w:val="3"/>
        <w:rPr>
          <w:rFonts w:ascii="Arial" w:eastAsia="Times New Roman" w:hAnsi="Arial" w:cs="Arial"/>
          <w:b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OTJA TRADING ENTERPRISES CC</w:t>
      </w:r>
      <w:r w:rsidRPr="002C27AE">
        <w:rPr>
          <w:rFonts w:ascii="Arial" w:eastAsia="Times New Roman" w:hAnsi="Arial" w:cs="Arial"/>
          <w:b/>
          <w:spacing w:val="-3"/>
          <w:sz w:val="24"/>
          <w:szCs w:val="24"/>
        </w:rPr>
        <w:tab/>
      </w:r>
      <w:r w:rsidR="00D231C4">
        <w:rPr>
          <w:rFonts w:ascii="Arial" w:eastAsia="Times New Roman" w:hAnsi="Arial" w:cs="Arial"/>
          <w:b/>
          <w:spacing w:val="-3"/>
          <w:sz w:val="24"/>
          <w:szCs w:val="24"/>
        </w:rPr>
        <w:t>APPLICANT/DEFENDANT</w:t>
      </w:r>
    </w:p>
    <w:p w:rsidR="002C27AE" w:rsidRPr="002C27AE" w:rsidRDefault="002C27AE" w:rsidP="002C27AE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>Neutral citation:</w:t>
      </w:r>
      <w:r w:rsidRPr="002C27AE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>Booysen</w:t>
      </w:r>
      <w:r w:rsidRPr="002C27AE">
        <w:rPr>
          <w:rFonts w:ascii="Arial" w:eastAsia="Calibri" w:hAnsi="Arial" w:cs="Arial"/>
          <w:i/>
          <w:sz w:val="24"/>
          <w:szCs w:val="24"/>
        </w:rPr>
        <w:t xml:space="preserve"> v </w:t>
      </w:r>
      <w:r>
        <w:rPr>
          <w:rFonts w:ascii="Arial" w:eastAsia="Calibri" w:hAnsi="Arial" w:cs="Arial"/>
          <w:i/>
          <w:sz w:val="24"/>
          <w:szCs w:val="24"/>
        </w:rPr>
        <w:t>Otja</w:t>
      </w:r>
      <w:r w:rsidR="00B26CF5">
        <w:rPr>
          <w:rFonts w:ascii="Arial" w:eastAsia="Calibri" w:hAnsi="Arial" w:cs="Arial"/>
          <w:i/>
          <w:sz w:val="24"/>
          <w:szCs w:val="24"/>
        </w:rPr>
        <w:t xml:space="preserve"> Trading Enterprises CC</w:t>
      </w:r>
      <w:r w:rsidRPr="002C27A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C27AE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HC-MD-CIV-ACT-CON-2017/00888</w:t>
      </w:r>
      <w:r w:rsidRPr="002C27AE">
        <w:rPr>
          <w:rFonts w:ascii="Arial" w:eastAsia="Calibri" w:hAnsi="Arial" w:cs="Arial"/>
          <w:sz w:val="24"/>
          <w:szCs w:val="24"/>
        </w:rPr>
        <w:t xml:space="preserve">) [2017] NAHCMD </w:t>
      </w:r>
      <w:r w:rsidR="0074319B">
        <w:rPr>
          <w:rFonts w:ascii="Arial" w:eastAsia="Calibri" w:hAnsi="Arial" w:cs="Arial"/>
          <w:sz w:val="24"/>
          <w:szCs w:val="24"/>
        </w:rPr>
        <w:t>200</w:t>
      </w:r>
      <w:r w:rsidR="009B4408">
        <w:rPr>
          <w:rFonts w:ascii="Arial" w:eastAsia="Calibri" w:hAnsi="Arial" w:cs="Arial"/>
          <w:sz w:val="24"/>
          <w:szCs w:val="24"/>
        </w:rPr>
        <w:t xml:space="preserve"> </w:t>
      </w:r>
      <w:r w:rsidRPr="002C27AE">
        <w:rPr>
          <w:rFonts w:ascii="Arial" w:eastAsia="Calibri" w:hAnsi="Arial" w:cs="Arial"/>
          <w:sz w:val="24"/>
          <w:szCs w:val="24"/>
        </w:rPr>
        <w:t>(</w:t>
      </w:r>
      <w:r w:rsidR="00BA5352">
        <w:rPr>
          <w:rFonts w:ascii="Arial" w:eastAsia="Calibri" w:hAnsi="Arial" w:cs="Arial"/>
          <w:sz w:val="24"/>
          <w:szCs w:val="24"/>
        </w:rPr>
        <w:t xml:space="preserve">25 July </w:t>
      </w:r>
      <w:r w:rsidRPr="002C27AE">
        <w:rPr>
          <w:rFonts w:ascii="Arial" w:eastAsia="Calibri" w:hAnsi="Arial" w:cs="Arial"/>
          <w:sz w:val="24"/>
          <w:szCs w:val="24"/>
        </w:rPr>
        <w:t>2017)</w:t>
      </w:r>
    </w:p>
    <w:p w:rsidR="002C27AE" w:rsidRPr="002C27AE" w:rsidRDefault="002C27AE" w:rsidP="002C27AE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4"/>
          <w:szCs w:val="4"/>
        </w:rPr>
      </w:pPr>
    </w:p>
    <w:p w:rsidR="002C27AE" w:rsidRPr="002C27AE" w:rsidRDefault="002C27AE" w:rsidP="002C27AE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>Coram:</w:t>
      </w:r>
      <w:r w:rsidRPr="002C27A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MILLER AJ</w:t>
      </w:r>
    </w:p>
    <w:p w:rsidR="002C27AE" w:rsidRPr="002C27AE" w:rsidRDefault="002C27AE" w:rsidP="002C27AE">
      <w:pPr>
        <w:spacing w:after="0" w:line="360" w:lineRule="auto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2C27AE">
        <w:rPr>
          <w:rFonts w:ascii="Arial" w:eastAsia="Calibri" w:hAnsi="Arial" w:cs="Arial"/>
          <w:b/>
          <w:bCs/>
          <w:sz w:val="24"/>
          <w:szCs w:val="24"/>
        </w:rPr>
        <w:t>Heard</w:t>
      </w:r>
      <w:r w:rsidRPr="002C27AE">
        <w:rPr>
          <w:rFonts w:ascii="Arial" w:eastAsia="Calibri" w:hAnsi="Arial" w:cs="Arial"/>
          <w:sz w:val="24"/>
          <w:szCs w:val="24"/>
        </w:rPr>
        <w:t>:</w:t>
      </w:r>
      <w:r w:rsidRPr="002C27A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20 July</w:t>
      </w:r>
      <w:r w:rsidRPr="002C27AE">
        <w:rPr>
          <w:rFonts w:ascii="Arial" w:eastAsia="Calibri" w:hAnsi="Arial" w:cs="Arial"/>
          <w:sz w:val="24"/>
          <w:szCs w:val="24"/>
        </w:rPr>
        <w:t xml:space="preserve"> 2017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b/>
          <w:bCs/>
          <w:sz w:val="24"/>
          <w:szCs w:val="24"/>
        </w:rPr>
        <w:t>Delivered</w:t>
      </w:r>
      <w:r w:rsidRPr="002C27AE">
        <w:rPr>
          <w:rFonts w:ascii="Arial" w:eastAsia="Calibri" w:hAnsi="Arial" w:cs="Arial"/>
          <w:sz w:val="24"/>
          <w:szCs w:val="24"/>
        </w:rPr>
        <w:t>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="0031017A">
        <w:rPr>
          <w:rFonts w:ascii="Arial" w:eastAsia="Calibri" w:hAnsi="Arial" w:cs="Arial"/>
          <w:sz w:val="24"/>
          <w:szCs w:val="24"/>
        </w:rPr>
        <w:t xml:space="preserve">25 July </w:t>
      </w:r>
      <w:r w:rsidRPr="002C27AE">
        <w:rPr>
          <w:rFonts w:ascii="Arial" w:eastAsia="Calibri" w:hAnsi="Arial" w:cs="Arial"/>
          <w:sz w:val="24"/>
          <w:szCs w:val="24"/>
        </w:rPr>
        <w:t>2017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1C29DE" w:rsidP="002C27AE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2C27AE" w:rsidRP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27AE">
        <w:rPr>
          <w:rFonts w:ascii="Arial" w:eastAsia="Calibri" w:hAnsi="Arial" w:cs="Arial"/>
          <w:b/>
          <w:bCs/>
          <w:sz w:val="24"/>
          <w:szCs w:val="24"/>
        </w:rPr>
        <w:t>ORDER</w:t>
      </w:r>
    </w:p>
    <w:p w:rsidR="002C27AE" w:rsidRPr="002C27AE" w:rsidRDefault="001C29DE" w:rsidP="002C27AE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lastRenderedPageBreak/>
        <w:t xml:space="preserve">Having heard </w:t>
      </w:r>
      <w:r w:rsidR="00A133D5">
        <w:rPr>
          <w:rFonts w:ascii="Arial" w:eastAsia="Calibri" w:hAnsi="Arial" w:cs="Arial"/>
          <w:b/>
          <w:sz w:val="24"/>
          <w:szCs w:val="24"/>
        </w:rPr>
        <w:t>Mr Diedericks</w:t>
      </w:r>
      <w:r w:rsidRPr="002C27AE">
        <w:rPr>
          <w:rFonts w:ascii="Arial" w:eastAsia="Calibri" w:hAnsi="Arial" w:cs="Arial"/>
          <w:sz w:val="24"/>
          <w:szCs w:val="24"/>
        </w:rPr>
        <w:t xml:space="preserve"> for the applicants and </w:t>
      </w:r>
      <w:r w:rsidR="00A133D5">
        <w:rPr>
          <w:rFonts w:ascii="Arial" w:eastAsia="Calibri" w:hAnsi="Arial" w:cs="Arial"/>
          <w:b/>
          <w:sz w:val="24"/>
          <w:szCs w:val="24"/>
        </w:rPr>
        <w:t>Mr Visser</w:t>
      </w:r>
      <w:r w:rsidRPr="002C27AE">
        <w:rPr>
          <w:rFonts w:ascii="Arial" w:eastAsia="Calibri" w:hAnsi="Arial" w:cs="Arial"/>
          <w:sz w:val="24"/>
          <w:szCs w:val="24"/>
        </w:rPr>
        <w:t xml:space="preserve"> for the respondents on                    </w:t>
      </w:r>
      <w:r w:rsidR="00A133D5">
        <w:rPr>
          <w:rFonts w:ascii="Arial" w:eastAsia="Calibri" w:hAnsi="Arial" w:cs="Arial"/>
          <w:sz w:val="24"/>
          <w:szCs w:val="24"/>
        </w:rPr>
        <w:t>20 July</w:t>
      </w:r>
      <w:r w:rsidRPr="002C27AE">
        <w:rPr>
          <w:rFonts w:ascii="Arial" w:eastAsia="Calibri" w:hAnsi="Arial" w:cs="Arial"/>
          <w:sz w:val="24"/>
          <w:szCs w:val="24"/>
        </w:rPr>
        <w:t xml:space="preserve"> 2017, and having co</w:t>
      </w:r>
      <w:r w:rsidR="00A133D5">
        <w:rPr>
          <w:rFonts w:ascii="Arial" w:eastAsia="Calibri" w:hAnsi="Arial" w:cs="Arial"/>
          <w:sz w:val="24"/>
          <w:szCs w:val="24"/>
        </w:rPr>
        <w:t>nsidered the documents filed of record</w:t>
      </w:r>
      <w:r w:rsidRPr="002C27AE">
        <w:rPr>
          <w:rFonts w:ascii="Arial" w:eastAsia="Calibri" w:hAnsi="Arial" w:cs="Arial"/>
          <w:sz w:val="24"/>
          <w:szCs w:val="24"/>
        </w:rPr>
        <w:t xml:space="preserve"> – </w:t>
      </w:r>
    </w:p>
    <w:p w:rsidR="002C27AE" w:rsidRPr="002C27AE" w:rsidRDefault="002C27AE" w:rsidP="002C27AE">
      <w:pPr>
        <w:spacing w:after="0" w:line="360" w:lineRule="auto"/>
        <w:ind w:left="630" w:hanging="630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ind w:left="630" w:hanging="630"/>
        <w:jc w:val="both"/>
        <w:rPr>
          <w:rFonts w:ascii="Arial" w:eastAsia="Calibri" w:hAnsi="Arial" w:cs="Arial"/>
          <w:b/>
          <w:sz w:val="24"/>
          <w:szCs w:val="24"/>
        </w:rPr>
      </w:pPr>
      <w:r w:rsidRPr="002C27AE">
        <w:rPr>
          <w:rFonts w:ascii="Arial" w:eastAsia="Calibri" w:hAnsi="Arial" w:cs="Arial"/>
          <w:b/>
          <w:sz w:val="24"/>
          <w:szCs w:val="24"/>
        </w:rPr>
        <w:t xml:space="preserve">IT IS ORDERED THAT – </w:t>
      </w:r>
    </w:p>
    <w:p w:rsidR="002C27AE" w:rsidRPr="002C27AE" w:rsidRDefault="002C27AE" w:rsidP="002C27AE">
      <w:pPr>
        <w:spacing w:after="0" w:line="360" w:lineRule="auto"/>
        <w:ind w:left="630" w:hanging="630"/>
        <w:jc w:val="both"/>
        <w:rPr>
          <w:rFonts w:ascii="Arial" w:eastAsia="Calibri" w:hAnsi="Arial" w:cs="Arial"/>
          <w:b/>
          <w:sz w:val="24"/>
          <w:szCs w:val="24"/>
        </w:rPr>
      </w:pPr>
    </w:p>
    <w:p w:rsidR="002C27AE" w:rsidRPr="002C27AE" w:rsidRDefault="002C27AE" w:rsidP="002C27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>The application is dismissed.</w:t>
      </w:r>
    </w:p>
    <w:p w:rsidR="002C27AE" w:rsidRPr="002C27AE" w:rsidRDefault="002C27AE" w:rsidP="002C27AE">
      <w:pPr>
        <w:spacing w:after="0" w:line="360" w:lineRule="auto"/>
        <w:ind w:left="720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 xml:space="preserve"> </w:t>
      </w:r>
    </w:p>
    <w:p w:rsidR="002C27AE" w:rsidRPr="002C27AE" w:rsidRDefault="002C27AE" w:rsidP="002C27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>The applicant is ordered to pay the respondent’s costs.</w:t>
      </w:r>
    </w:p>
    <w:p w:rsidR="002C27AE" w:rsidRPr="002C27AE" w:rsidRDefault="002C27AE" w:rsidP="002C27AE">
      <w:pPr>
        <w:spacing w:after="0" w:line="360" w:lineRule="auto"/>
        <w:ind w:left="720"/>
        <w:contextualSpacing/>
        <w:rPr>
          <w:rFonts w:ascii="Arial" w:hAnsi="Arial"/>
          <w:sz w:val="24"/>
          <w:szCs w:val="24"/>
        </w:rPr>
      </w:pPr>
    </w:p>
    <w:p w:rsidR="002C27AE" w:rsidRPr="002C27AE" w:rsidRDefault="002C27AE" w:rsidP="002C27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>The matter is postponed to Thursday, 27 July 2017 at 15h30 for a status hearing be held before Prinsloo J.</w:t>
      </w:r>
    </w:p>
    <w:p w:rsidR="002C27AE" w:rsidRPr="002C27AE" w:rsidRDefault="002C27AE" w:rsidP="002C27AE">
      <w:pPr>
        <w:spacing w:after="0" w:line="360" w:lineRule="auto"/>
        <w:ind w:left="630" w:hanging="630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1C29DE" w:rsidP="002C27AE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2C27AE" w:rsidRPr="002C27AE" w:rsidRDefault="002C27AE" w:rsidP="002C27A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RULING</w:t>
      </w:r>
    </w:p>
    <w:p w:rsidR="002C27AE" w:rsidRPr="002C27AE" w:rsidRDefault="001C29DE" w:rsidP="002C27AE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2C27AE" w:rsidRPr="002C27AE" w:rsidRDefault="002C27AE" w:rsidP="002C27AE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2C27AE" w:rsidRDefault="002C27AE" w:rsidP="002C27AE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MILLER</w:t>
      </w:r>
      <w:r w:rsidRPr="002C27A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 w:rsidRPr="002C27AE">
        <w:rPr>
          <w:rFonts w:ascii="Arial" w:eastAsia="Calibri" w:hAnsi="Arial" w:cs="Arial"/>
          <w:sz w:val="24"/>
          <w:szCs w:val="24"/>
        </w:rPr>
        <w:t>J:</w:t>
      </w:r>
    </w:p>
    <w:p w:rsidR="00A133D5" w:rsidRPr="002C27AE" w:rsidRDefault="00A133D5" w:rsidP="002C27AE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[1]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>In this interlocutory matter the applicant who is the defendant in the main action applied on notice of motion for essentially an order condoning its failure to file a plea to the plaintiff’s claim.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[2]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>It is common cause that the applicant had been ordered to file that plea by not later than 21 April 2017 and that it has not done so.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[3]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>The application was launched on 2</w:t>
      </w:r>
      <w:r w:rsidR="00152C2F">
        <w:rPr>
          <w:rFonts w:ascii="Arial" w:hAnsi="Arial"/>
          <w:sz w:val="24"/>
        </w:rPr>
        <w:t>1</w:t>
      </w:r>
      <w:r w:rsidR="002C27AE" w:rsidRPr="002C27AE">
        <w:rPr>
          <w:rFonts w:ascii="Arial" w:hAnsi="Arial"/>
          <w:sz w:val="24"/>
        </w:rPr>
        <w:t xml:space="preserve"> June 2017 and on the eve of a sanctions hearing to be conducted by Prinsloo J, who is the managing judge. The sanctions hearing was scheduled for hearing on 22 June 2017. 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[4]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>In the</w:t>
      </w:r>
      <w:r w:rsidR="0031017A">
        <w:rPr>
          <w:rFonts w:ascii="Arial" w:hAnsi="Arial"/>
          <w:sz w:val="24"/>
        </w:rPr>
        <w:t xml:space="preserve"> Notice of M</w:t>
      </w:r>
      <w:r w:rsidR="00152C2F">
        <w:rPr>
          <w:rFonts w:ascii="Arial" w:hAnsi="Arial"/>
          <w:sz w:val="24"/>
        </w:rPr>
        <w:t>otion the applicant</w:t>
      </w:r>
      <w:r w:rsidR="002C27AE" w:rsidRPr="002C27AE">
        <w:rPr>
          <w:rFonts w:ascii="Arial" w:hAnsi="Arial"/>
          <w:sz w:val="24"/>
        </w:rPr>
        <w:t xml:space="preserve"> stated that the affidavit of Mr Afrika Jantjies dated 21 June 2017 will be used in support of the application. Mr Jantjies is the legal representative who represent the applicant. 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[5]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 xml:space="preserve">The affidavit identified and mentioned in the notice of motion erroneously is headed a “Sanctions Affidavit”. It appears to me </w:t>
      </w:r>
      <w:r w:rsidR="00152C2F">
        <w:rPr>
          <w:rFonts w:ascii="Arial" w:hAnsi="Arial"/>
          <w:sz w:val="24"/>
        </w:rPr>
        <w:t>taking into account all the facts</w:t>
      </w:r>
      <w:r w:rsidR="002C27AE" w:rsidRPr="002C27AE">
        <w:rPr>
          <w:rFonts w:ascii="Arial" w:hAnsi="Arial"/>
          <w:sz w:val="24"/>
        </w:rPr>
        <w:t xml:space="preserve"> and the history of the matter, that Mr Jantji</w:t>
      </w:r>
      <w:r w:rsidR="0031017A">
        <w:rPr>
          <w:rFonts w:ascii="Arial" w:hAnsi="Arial"/>
          <w:sz w:val="24"/>
        </w:rPr>
        <w:t>es found himself somewhat at six</w:t>
      </w:r>
      <w:r w:rsidR="00702568">
        <w:rPr>
          <w:rFonts w:ascii="Arial" w:hAnsi="Arial"/>
          <w:sz w:val="24"/>
        </w:rPr>
        <w:t>es</w:t>
      </w:r>
      <w:r w:rsidR="002C27AE" w:rsidRPr="002C27AE">
        <w:rPr>
          <w:rFonts w:ascii="Arial" w:hAnsi="Arial"/>
          <w:sz w:val="24"/>
        </w:rPr>
        <w:t xml:space="preserve"> and sevens as to how the affidavit should </w:t>
      </w:r>
      <w:r w:rsidR="00152C2F">
        <w:rPr>
          <w:rFonts w:ascii="Arial" w:hAnsi="Arial"/>
          <w:sz w:val="24"/>
        </w:rPr>
        <w:t xml:space="preserve">be titled. What is </w:t>
      </w:r>
      <w:r w:rsidR="00702568">
        <w:rPr>
          <w:rFonts w:ascii="Arial" w:hAnsi="Arial"/>
          <w:sz w:val="24"/>
        </w:rPr>
        <w:t>undisputedly</w:t>
      </w:r>
      <w:r w:rsidR="002C27AE" w:rsidRPr="002C27AE">
        <w:rPr>
          <w:rFonts w:ascii="Arial" w:hAnsi="Arial"/>
          <w:sz w:val="24"/>
        </w:rPr>
        <w:t xml:space="preserve"> clear is that despite all</w:t>
      </w:r>
      <w:r w:rsidR="00152C2F">
        <w:rPr>
          <w:rFonts w:ascii="Arial" w:hAnsi="Arial"/>
          <w:sz w:val="24"/>
        </w:rPr>
        <w:t xml:space="preserve"> this, the so called Sanctions A</w:t>
      </w:r>
      <w:r w:rsidR="002C27AE" w:rsidRPr="002C27AE">
        <w:rPr>
          <w:rFonts w:ascii="Arial" w:hAnsi="Arial"/>
          <w:sz w:val="24"/>
        </w:rPr>
        <w:t>ffidavit was roped in to sup</w:t>
      </w:r>
      <w:r w:rsidR="00152C2F">
        <w:rPr>
          <w:rFonts w:ascii="Arial" w:hAnsi="Arial"/>
          <w:sz w:val="24"/>
        </w:rPr>
        <w:t>port the relief claimed in the Notice of M</w:t>
      </w:r>
      <w:r w:rsidR="002C27AE" w:rsidRPr="002C27AE">
        <w:rPr>
          <w:rFonts w:ascii="Arial" w:hAnsi="Arial"/>
          <w:sz w:val="24"/>
        </w:rPr>
        <w:t>otion and was in proper parlance viewed as the founding affidavit.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[6]</w:t>
      </w:r>
      <w:r>
        <w:rPr>
          <w:rFonts w:ascii="Arial" w:hAnsi="Arial"/>
          <w:sz w:val="24"/>
        </w:rPr>
        <w:tab/>
      </w:r>
      <w:r w:rsidR="0031017A">
        <w:rPr>
          <w:rFonts w:ascii="Arial" w:hAnsi="Arial"/>
          <w:sz w:val="24"/>
        </w:rPr>
        <w:t>Mr Diedericks who led the unenvi</w:t>
      </w:r>
      <w:r w:rsidR="002C27AE" w:rsidRPr="002C27AE">
        <w:rPr>
          <w:rFonts w:ascii="Arial" w:hAnsi="Arial"/>
          <w:sz w:val="24"/>
        </w:rPr>
        <w:t>able task</w:t>
      </w:r>
      <w:r w:rsidR="00702568">
        <w:rPr>
          <w:rFonts w:ascii="Arial" w:hAnsi="Arial"/>
          <w:sz w:val="24"/>
        </w:rPr>
        <w:t xml:space="preserve"> of arguing the applicant’s case</w:t>
      </w:r>
      <w:r w:rsidR="002C27AE" w:rsidRPr="002C27AE">
        <w:rPr>
          <w:rFonts w:ascii="Arial" w:hAnsi="Arial"/>
          <w:sz w:val="24"/>
        </w:rPr>
        <w:t xml:space="preserve"> so</w:t>
      </w:r>
      <w:r w:rsidR="00152C2F">
        <w:rPr>
          <w:rFonts w:ascii="Arial" w:hAnsi="Arial"/>
          <w:sz w:val="24"/>
        </w:rPr>
        <w:t>ught</w:t>
      </w:r>
      <w:r w:rsidR="002C27AE" w:rsidRPr="002C27AE">
        <w:rPr>
          <w:rFonts w:ascii="Arial" w:hAnsi="Arial"/>
          <w:sz w:val="24"/>
        </w:rPr>
        <w:t xml:space="preserve"> to argue that the so called sanctions affidavit was simply that </w:t>
      </w:r>
      <w:r w:rsidR="00152C2F">
        <w:rPr>
          <w:rFonts w:ascii="Arial" w:hAnsi="Arial"/>
          <w:sz w:val="24"/>
        </w:rPr>
        <w:t xml:space="preserve">and </w:t>
      </w:r>
      <w:r w:rsidR="002C27AE" w:rsidRPr="002C27AE">
        <w:rPr>
          <w:rFonts w:ascii="Arial" w:hAnsi="Arial"/>
          <w:sz w:val="24"/>
        </w:rPr>
        <w:t>filed for a different purpose. C</w:t>
      </w:r>
      <w:r w:rsidR="00152C2F">
        <w:rPr>
          <w:rFonts w:ascii="Arial" w:hAnsi="Arial"/>
          <w:sz w:val="24"/>
        </w:rPr>
        <w:t>onsequently, so the argument ran</w:t>
      </w:r>
      <w:r w:rsidR="002C27AE" w:rsidRPr="002C27AE">
        <w:rPr>
          <w:rFonts w:ascii="Arial" w:hAnsi="Arial"/>
          <w:sz w:val="24"/>
        </w:rPr>
        <w:t>, there was no founding affidavit so to speak and for this reason the application should simply be struck from the roll.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[7]</w:t>
      </w:r>
      <w:r>
        <w:rPr>
          <w:rFonts w:ascii="Arial" w:hAnsi="Arial"/>
          <w:sz w:val="24"/>
        </w:rPr>
        <w:tab/>
      </w:r>
      <w:r w:rsidR="002C27AE" w:rsidRPr="002C27AE">
        <w:rPr>
          <w:rFonts w:ascii="Arial" w:hAnsi="Arial"/>
          <w:sz w:val="24"/>
        </w:rPr>
        <w:t xml:space="preserve">The submission has no merit. </w:t>
      </w:r>
      <w:r w:rsidR="00152C2F">
        <w:rPr>
          <w:rFonts w:ascii="Arial" w:hAnsi="Arial"/>
          <w:sz w:val="24"/>
        </w:rPr>
        <w:t>Whatever doubt may remain on that</w:t>
      </w:r>
      <w:r w:rsidR="002C27AE" w:rsidRPr="002C27AE">
        <w:rPr>
          <w:rFonts w:ascii="Arial" w:hAnsi="Arial"/>
          <w:sz w:val="24"/>
        </w:rPr>
        <w:t xml:space="preserve"> score is removed by the mere fact that in the Heads of Argument filed by Mr Jantjies reliance is placed on the contents of that affidavit. Paragraph 3.1.11 makes</w:t>
      </w:r>
      <w:r w:rsidR="0031017A">
        <w:rPr>
          <w:rFonts w:ascii="Arial" w:hAnsi="Arial"/>
          <w:sz w:val="24"/>
        </w:rPr>
        <w:t xml:space="preserve"> for telling reading. It</w:t>
      </w:r>
      <w:r w:rsidR="00152C2F">
        <w:rPr>
          <w:rFonts w:ascii="Arial" w:hAnsi="Arial"/>
          <w:sz w:val="24"/>
        </w:rPr>
        <w:t xml:space="preserve"> reads</w:t>
      </w:r>
      <w:r w:rsidR="002C27AE" w:rsidRPr="002C27AE">
        <w:rPr>
          <w:rFonts w:ascii="Arial" w:hAnsi="Arial"/>
          <w:sz w:val="24"/>
        </w:rPr>
        <w:t xml:space="preserve"> as follows: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</w:rPr>
      </w:pPr>
      <w:r w:rsidRPr="002C27AE">
        <w:rPr>
          <w:rFonts w:ascii="Arial" w:hAnsi="Arial"/>
          <w:sz w:val="24"/>
        </w:rPr>
        <w:tab/>
      </w:r>
      <w:r w:rsidRPr="002C27AE">
        <w:rPr>
          <w:rFonts w:ascii="Arial" w:hAnsi="Arial"/>
        </w:rPr>
        <w:t>‘in its Affidavit the Applicant/Defendant set out the grounds upon which it seeks the lifting of the bar operating against the it Applicant/Defedant and further conceded to all the averments made in the Respondents/Plaintiffs affidavit, regarding the fact that it made it practically impossible for the respondent/Plaintiff to comply with any court order as no plea and counterclaim were filed by Applicant/Defendant to be cons</w:t>
      </w:r>
      <w:r w:rsidR="00152C2F">
        <w:rPr>
          <w:rFonts w:ascii="Arial" w:hAnsi="Arial"/>
        </w:rPr>
        <w:t xml:space="preserve">idered by Respondent/Plaintiff , </w:t>
      </w:r>
      <w:r w:rsidRPr="002C27AE">
        <w:rPr>
          <w:rFonts w:ascii="Arial" w:hAnsi="Arial"/>
        </w:rPr>
        <w:t>taking the Court into confidence and extending professional courtesy to the Respondent.’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[8]</w:t>
      </w:r>
      <w:r>
        <w:rPr>
          <w:rFonts w:ascii="Arial" w:hAnsi="Arial"/>
          <w:sz w:val="24"/>
          <w:szCs w:val="24"/>
        </w:rPr>
        <w:tab/>
      </w:r>
      <w:r w:rsidR="002C27AE" w:rsidRPr="002C27AE">
        <w:rPr>
          <w:rFonts w:ascii="Arial" w:hAnsi="Arial"/>
          <w:sz w:val="24"/>
          <w:szCs w:val="24"/>
        </w:rPr>
        <w:t>It is trite that an applicant who seeks condonation has to meet two requirements. They are the following: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C27AE" w:rsidRPr="002C27AE" w:rsidRDefault="002C27AE" w:rsidP="002C27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>There must be a reasonable explanation for the applicant’s non-compliance; and</w:t>
      </w:r>
    </w:p>
    <w:p w:rsidR="002C27AE" w:rsidRPr="002C27AE" w:rsidRDefault="002C27AE" w:rsidP="002C27AE">
      <w:pPr>
        <w:spacing w:after="0" w:line="360" w:lineRule="auto"/>
        <w:ind w:left="720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 xml:space="preserve"> </w:t>
      </w:r>
    </w:p>
    <w:p w:rsidR="002C27AE" w:rsidRPr="002C27AE" w:rsidRDefault="002C27AE" w:rsidP="002C27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lastRenderedPageBreak/>
        <w:t xml:space="preserve">The applicant must establish that it has reasonable prospects of success. </w:t>
      </w:r>
    </w:p>
    <w:p w:rsidR="002C27AE" w:rsidRPr="002C27AE" w:rsidRDefault="002C27AE" w:rsidP="002C27AE">
      <w:pPr>
        <w:spacing w:after="0" w:line="360" w:lineRule="auto"/>
        <w:ind w:left="720"/>
        <w:contextualSpacing/>
        <w:rPr>
          <w:rFonts w:ascii="Arial" w:hAnsi="Arial"/>
          <w:sz w:val="24"/>
          <w:szCs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[9]</w:t>
      </w:r>
      <w:r>
        <w:rPr>
          <w:rFonts w:ascii="Arial" w:hAnsi="Arial"/>
          <w:sz w:val="24"/>
          <w:szCs w:val="24"/>
        </w:rPr>
        <w:tab/>
      </w:r>
      <w:r w:rsidR="00152C2F">
        <w:rPr>
          <w:rFonts w:ascii="Arial" w:hAnsi="Arial"/>
          <w:sz w:val="24"/>
          <w:szCs w:val="24"/>
        </w:rPr>
        <w:t>Mr Diedericks properly and fairly conceded that</w:t>
      </w:r>
      <w:r w:rsidR="002C27AE" w:rsidRPr="002C27AE">
        <w:rPr>
          <w:rFonts w:ascii="Arial" w:hAnsi="Arial"/>
          <w:sz w:val="24"/>
          <w:szCs w:val="24"/>
        </w:rPr>
        <w:t xml:space="preserve"> the second requirement mentioned above was not established. In fact it was not even mentioned in the affidavit and no attempt was made to deal with it.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C27AE" w:rsidRPr="002C27AE" w:rsidRDefault="00D231C4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[10]</w:t>
      </w:r>
      <w:r>
        <w:rPr>
          <w:rFonts w:ascii="Arial" w:hAnsi="Arial"/>
          <w:sz w:val="24"/>
          <w:szCs w:val="24"/>
        </w:rPr>
        <w:tab/>
      </w:r>
      <w:r w:rsidR="002C27AE" w:rsidRPr="002C27AE">
        <w:rPr>
          <w:rFonts w:ascii="Arial" w:hAnsi="Arial"/>
          <w:sz w:val="24"/>
          <w:szCs w:val="24"/>
        </w:rPr>
        <w:t>I mention i</w:t>
      </w:r>
      <w:r w:rsidR="00152C2F">
        <w:rPr>
          <w:rFonts w:ascii="Arial" w:hAnsi="Arial"/>
          <w:sz w:val="24"/>
          <w:szCs w:val="24"/>
        </w:rPr>
        <w:t>n passing that the</w:t>
      </w:r>
      <w:r w:rsidR="002C27AE" w:rsidRPr="002C27AE">
        <w:rPr>
          <w:rFonts w:ascii="Arial" w:hAnsi="Arial"/>
          <w:sz w:val="24"/>
          <w:szCs w:val="24"/>
        </w:rPr>
        <w:t xml:space="preserve"> res</w:t>
      </w:r>
      <w:r w:rsidR="00152C2F">
        <w:rPr>
          <w:rFonts w:ascii="Arial" w:hAnsi="Arial"/>
          <w:sz w:val="24"/>
          <w:szCs w:val="24"/>
        </w:rPr>
        <w:t>pondent made much of the failure on the part</w:t>
      </w:r>
      <w:r w:rsidR="002C27AE" w:rsidRPr="002C27AE">
        <w:rPr>
          <w:rFonts w:ascii="Arial" w:hAnsi="Arial"/>
          <w:sz w:val="24"/>
          <w:szCs w:val="24"/>
        </w:rPr>
        <w:t xml:space="preserve"> of the applicant to comply with Rules 32(9) and 32(10). I need not deal with that in vie</w:t>
      </w:r>
      <w:r w:rsidR="0031017A">
        <w:rPr>
          <w:rFonts w:ascii="Arial" w:hAnsi="Arial"/>
          <w:sz w:val="24"/>
          <w:szCs w:val="24"/>
        </w:rPr>
        <w:t>w of the conclusion</w:t>
      </w:r>
      <w:r w:rsidR="00152C2F">
        <w:rPr>
          <w:rFonts w:ascii="Arial" w:hAnsi="Arial"/>
          <w:sz w:val="24"/>
          <w:szCs w:val="24"/>
        </w:rPr>
        <w:t xml:space="preserve"> I have reached c</w:t>
      </w:r>
      <w:r w:rsidR="002C27AE" w:rsidRPr="002C27AE">
        <w:rPr>
          <w:rFonts w:ascii="Arial" w:hAnsi="Arial"/>
          <w:sz w:val="24"/>
          <w:szCs w:val="24"/>
        </w:rPr>
        <w:t>oncerning the applicant’s failure to make out a case for condonation on its own papers.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C27AE" w:rsidRPr="002C27AE" w:rsidRDefault="00D43FBE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[11]</w:t>
      </w:r>
      <w:r>
        <w:rPr>
          <w:rFonts w:ascii="Arial" w:hAnsi="Arial"/>
          <w:sz w:val="24"/>
          <w:szCs w:val="24"/>
        </w:rPr>
        <w:tab/>
      </w:r>
      <w:r w:rsidR="002C27AE" w:rsidRPr="002C27AE">
        <w:rPr>
          <w:rFonts w:ascii="Arial" w:hAnsi="Arial"/>
          <w:sz w:val="24"/>
          <w:szCs w:val="24"/>
        </w:rPr>
        <w:t>It follows that the following order</w:t>
      </w:r>
      <w:r w:rsidR="0031017A">
        <w:rPr>
          <w:rFonts w:ascii="Arial" w:hAnsi="Arial"/>
          <w:sz w:val="24"/>
          <w:szCs w:val="24"/>
        </w:rPr>
        <w:t>s</w:t>
      </w:r>
      <w:r w:rsidR="002C27AE" w:rsidRPr="002C27AE">
        <w:rPr>
          <w:rFonts w:ascii="Arial" w:hAnsi="Arial"/>
          <w:sz w:val="24"/>
          <w:szCs w:val="24"/>
        </w:rPr>
        <w:t xml:space="preserve"> are made: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C27AE" w:rsidRPr="00485646" w:rsidRDefault="002C27AE" w:rsidP="0048564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85646">
        <w:rPr>
          <w:rFonts w:ascii="Arial" w:hAnsi="Arial"/>
          <w:sz w:val="24"/>
          <w:szCs w:val="24"/>
        </w:rPr>
        <w:t>The application is dismissed.</w:t>
      </w:r>
    </w:p>
    <w:p w:rsidR="002C27AE" w:rsidRPr="002C27AE" w:rsidRDefault="002C27AE" w:rsidP="002C27AE">
      <w:pPr>
        <w:spacing w:after="0" w:line="360" w:lineRule="auto"/>
        <w:ind w:left="720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 xml:space="preserve"> </w:t>
      </w:r>
    </w:p>
    <w:p w:rsidR="002C27AE" w:rsidRPr="00485646" w:rsidRDefault="002C27AE" w:rsidP="0048564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85646">
        <w:rPr>
          <w:rFonts w:ascii="Arial" w:hAnsi="Arial"/>
          <w:sz w:val="24"/>
          <w:szCs w:val="24"/>
        </w:rPr>
        <w:t>The applicant is ordered to pay the respondent’s costs.</w:t>
      </w:r>
    </w:p>
    <w:p w:rsidR="002C27AE" w:rsidRPr="002C27AE" w:rsidRDefault="002C27AE" w:rsidP="002C27AE">
      <w:pPr>
        <w:spacing w:after="0" w:line="360" w:lineRule="auto"/>
        <w:ind w:left="720"/>
        <w:contextualSpacing/>
        <w:rPr>
          <w:rFonts w:ascii="Arial" w:hAnsi="Arial"/>
          <w:sz w:val="24"/>
          <w:szCs w:val="24"/>
        </w:rPr>
      </w:pPr>
    </w:p>
    <w:p w:rsidR="002C27AE" w:rsidRPr="002C27AE" w:rsidRDefault="002C27AE" w:rsidP="0048564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2C27AE">
        <w:rPr>
          <w:rFonts w:ascii="Arial" w:hAnsi="Arial"/>
          <w:sz w:val="24"/>
          <w:szCs w:val="24"/>
        </w:rPr>
        <w:t>The matter is postponed to Thursday, 27 July 2017 at 15h30 for a status hearing be held before Prinsloo J.</w:t>
      </w:r>
    </w:p>
    <w:p w:rsidR="002C27AE" w:rsidRPr="002C27AE" w:rsidRDefault="002C27AE" w:rsidP="002C27AE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----------------------------</w:t>
      </w: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 MILLER</w:t>
      </w:r>
    </w:p>
    <w:p w:rsidR="002C27AE" w:rsidRPr="002C27AE" w:rsidRDefault="002C27AE" w:rsidP="002C27AE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Acting </w:t>
      </w:r>
      <w:r w:rsidRPr="002C27AE">
        <w:rPr>
          <w:rFonts w:ascii="Arial" w:eastAsia="Calibri" w:hAnsi="Arial" w:cs="Arial"/>
          <w:sz w:val="24"/>
          <w:szCs w:val="24"/>
        </w:rPr>
        <w:t>Judge</w:t>
      </w:r>
    </w:p>
    <w:p w:rsidR="002C27AE" w:rsidRPr="002C27AE" w:rsidRDefault="002C27AE" w:rsidP="002C27AE">
      <w:pPr>
        <w:spacing w:after="0" w:line="360" w:lineRule="auto"/>
        <w:jc w:val="both"/>
        <w:rPr>
          <w:rFonts w:ascii="Arial" w:eastAsia="Calibri" w:hAnsi="Arial" w:cs="Arial"/>
          <w:sz w:val="2"/>
          <w:szCs w:val="2"/>
        </w:rPr>
      </w:pPr>
      <w:r w:rsidRPr="002C27AE">
        <w:rPr>
          <w:rFonts w:ascii="Arial" w:eastAsia="Calibri" w:hAnsi="Arial" w:cs="Arial"/>
          <w:sz w:val="2"/>
          <w:szCs w:val="2"/>
        </w:rPr>
        <w:br w:type="page"/>
      </w:r>
    </w:p>
    <w:p w:rsidR="002C27AE" w:rsidRPr="002C27AE" w:rsidRDefault="002C27AE" w:rsidP="002C27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7AE">
        <w:rPr>
          <w:rFonts w:ascii="Arial" w:eastAsia="Times New Roman" w:hAnsi="Arial" w:cs="Arial"/>
          <w:sz w:val="24"/>
          <w:szCs w:val="24"/>
        </w:rPr>
        <w:t>APPEARANCES</w:t>
      </w:r>
    </w:p>
    <w:p w:rsidR="002C27AE" w:rsidRPr="002C27AE" w:rsidRDefault="002C27AE" w:rsidP="002C27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tabs>
          <w:tab w:val="left" w:pos="1394"/>
          <w:tab w:val="left" w:pos="2250"/>
          <w:tab w:val="left" w:pos="288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PLAINTIFFS/RESPONDENTS: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Pr="002C27AE">
        <w:rPr>
          <w:rFonts w:ascii="Arial" w:eastAsia="Calibri" w:hAnsi="Arial" w:cs="Arial"/>
          <w:sz w:val="24"/>
          <w:szCs w:val="24"/>
        </w:rPr>
        <w:tab/>
      </w:r>
      <w:r w:rsidR="00A133D5">
        <w:rPr>
          <w:rFonts w:ascii="Arial" w:eastAsia="Calibri" w:hAnsi="Arial" w:cs="Arial"/>
          <w:sz w:val="24"/>
          <w:szCs w:val="24"/>
        </w:rPr>
        <w:t>Mr</w:t>
      </w:r>
      <w:r w:rsidR="00485646">
        <w:rPr>
          <w:rFonts w:ascii="Arial" w:eastAsia="Calibri" w:hAnsi="Arial" w:cs="Arial"/>
          <w:sz w:val="24"/>
          <w:szCs w:val="24"/>
        </w:rPr>
        <w:t xml:space="preserve"> </w:t>
      </w:r>
      <w:r w:rsidR="00A133D5">
        <w:rPr>
          <w:rFonts w:ascii="Arial" w:eastAsia="Calibri" w:hAnsi="Arial" w:cs="Arial"/>
          <w:sz w:val="24"/>
          <w:szCs w:val="24"/>
        </w:rPr>
        <w:t>Visser</w:t>
      </w:r>
    </w:p>
    <w:p w:rsidR="002C27AE" w:rsidRPr="002C27AE" w:rsidRDefault="0074319B" w:rsidP="002C27AE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</w:t>
      </w:r>
      <w:r w:rsidR="002C27AE" w:rsidRPr="002C27AE">
        <w:rPr>
          <w:rFonts w:ascii="Arial" w:eastAsia="Calibri" w:hAnsi="Arial" w:cs="Arial"/>
          <w:sz w:val="24"/>
          <w:szCs w:val="24"/>
        </w:rPr>
        <w:t xml:space="preserve"> </w:t>
      </w:r>
      <w:r w:rsidR="00A133D5">
        <w:rPr>
          <w:rFonts w:ascii="Arial" w:eastAsia="Calibri" w:hAnsi="Arial" w:cs="Arial"/>
          <w:sz w:val="24"/>
          <w:szCs w:val="24"/>
        </w:rPr>
        <w:t>Koep &amp; Partners</w:t>
      </w:r>
      <w:r w:rsidR="002C27AE" w:rsidRPr="002C27AE">
        <w:rPr>
          <w:rFonts w:ascii="Arial" w:eastAsia="Calibri" w:hAnsi="Arial" w:cs="Arial"/>
          <w:sz w:val="24"/>
          <w:szCs w:val="24"/>
        </w:rPr>
        <w:t>, Windhoek</w:t>
      </w:r>
    </w:p>
    <w:p w:rsidR="002C27AE" w:rsidRPr="002C27AE" w:rsidRDefault="002C27AE" w:rsidP="002C27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27AE" w:rsidRPr="002C27AE" w:rsidRDefault="002C27AE" w:rsidP="002C27AE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tabs>
          <w:tab w:val="left" w:pos="1394"/>
          <w:tab w:val="left" w:pos="2528"/>
          <w:tab w:val="left" w:pos="288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>DEFENDANTS/APPLICANTS:</w:t>
      </w:r>
      <w:r w:rsidRPr="002C27AE">
        <w:rPr>
          <w:rFonts w:ascii="Arial" w:eastAsia="Calibri" w:hAnsi="Arial" w:cs="Arial"/>
          <w:sz w:val="24"/>
          <w:szCs w:val="24"/>
        </w:rPr>
        <w:tab/>
      </w:r>
      <w:r w:rsidRPr="002C27AE">
        <w:rPr>
          <w:rFonts w:ascii="Arial" w:eastAsia="Calibri" w:hAnsi="Arial" w:cs="Arial"/>
          <w:sz w:val="24"/>
          <w:szCs w:val="24"/>
        </w:rPr>
        <w:tab/>
      </w:r>
      <w:r w:rsidR="00A133D5">
        <w:rPr>
          <w:rFonts w:ascii="Arial" w:eastAsia="Calibri" w:hAnsi="Arial" w:cs="Arial"/>
          <w:sz w:val="24"/>
          <w:szCs w:val="24"/>
        </w:rPr>
        <w:t>Mr Diedericks</w:t>
      </w:r>
      <w:r w:rsidRPr="002C27AE">
        <w:rPr>
          <w:rFonts w:ascii="Arial" w:eastAsia="Calibri" w:hAnsi="Arial" w:cs="Arial"/>
          <w:sz w:val="24"/>
          <w:szCs w:val="24"/>
        </w:rPr>
        <w:t xml:space="preserve">  </w:t>
      </w:r>
    </w:p>
    <w:p w:rsidR="002C27AE" w:rsidRPr="002C27AE" w:rsidRDefault="002C27AE" w:rsidP="002C27AE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Arial" w:eastAsia="Calibri" w:hAnsi="Arial" w:cs="Arial"/>
          <w:sz w:val="24"/>
          <w:szCs w:val="24"/>
        </w:rPr>
      </w:pPr>
      <w:r w:rsidRPr="002C27AE">
        <w:rPr>
          <w:rFonts w:ascii="Arial" w:eastAsia="Calibri" w:hAnsi="Arial" w:cs="Arial"/>
          <w:sz w:val="24"/>
          <w:szCs w:val="24"/>
        </w:rPr>
        <w:t xml:space="preserve">Instructed by </w:t>
      </w:r>
      <w:r w:rsidR="00A133D5">
        <w:rPr>
          <w:rFonts w:ascii="Arial" w:eastAsia="Calibri" w:hAnsi="Arial" w:cs="Arial"/>
          <w:sz w:val="24"/>
          <w:szCs w:val="24"/>
        </w:rPr>
        <w:t>Siyomunji Law Chambers</w:t>
      </w:r>
      <w:r w:rsidRPr="002C27AE">
        <w:rPr>
          <w:rFonts w:ascii="Arial" w:eastAsia="Calibri" w:hAnsi="Arial" w:cs="Arial"/>
          <w:sz w:val="24"/>
          <w:szCs w:val="24"/>
        </w:rPr>
        <w:t>, Windhoek</w:t>
      </w:r>
    </w:p>
    <w:p w:rsidR="002C27AE" w:rsidRPr="002C27AE" w:rsidRDefault="002C27AE" w:rsidP="002C27AE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7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27AE" w:rsidRPr="002C27AE" w:rsidRDefault="002C27AE" w:rsidP="002C27AE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7AE" w:rsidRPr="002C27AE" w:rsidRDefault="002C27AE" w:rsidP="002C27AE">
      <w:pPr>
        <w:spacing w:after="0" w:line="360" w:lineRule="auto"/>
        <w:rPr>
          <w:rFonts w:ascii="Calibri" w:eastAsia="Calibri" w:hAnsi="Calibri" w:cs="Times New Roman"/>
        </w:rPr>
      </w:pPr>
    </w:p>
    <w:p w:rsidR="002C27AE" w:rsidRPr="002C27AE" w:rsidRDefault="002C27AE" w:rsidP="002C27AE">
      <w:pPr>
        <w:spacing w:after="0" w:line="360" w:lineRule="auto"/>
        <w:rPr>
          <w:rFonts w:ascii="Calibri" w:eastAsia="Calibri" w:hAnsi="Calibri" w:cs="Times New Roman"/>
        </w:rPr>
      </w:pPr>
    </w:p>
    <w:p w:rsidR="002C27AE" w:rsidRPr="002C27AE" w:rsidRDefault="002C27AE" w:rsidP="002C27AE">
      <w:pPr>
        <w:spacing w:after="200" w:line="276" w:lineRule="auto"/>
        <w:rPr>
          <w:rFonts w:ascii="Calibri" w:eastAsia="Calibri" w:hAnsi="Calibri" w:cs="Times New Roman"/>
        </w:rPr>
      </w:pPr>
    </w:p>
    <w:p w:rsidR="002E4B17" w:rsidRDefault="002E4B17"/>
    <w:sectPr w:rsidR="002E4B17" w:rsidSect="0042118F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2F" w:rsidRDefault="0085642F" w:rsidP="002C27AE">
      <w:pPr>
        <w:spacing w:after="0" w:line="240" w:lineRule="auto"/>
      </w:pPr>
      <w:r>
        <w:separator/>
      </w:r>
    </w:p>
  </w:endnote>
  <w:endnote w:type="continuationSeparator" w:id="0">
    <w:p w:rsidR="0085642F" w:rsidRDefault="0085642F" w:rsidP="002C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2F" w:rsidRDefault="0085642F" w:rsidP="002C27AE">
      <w:pPr>
        <w:spacing w:after="0" w:line="240" w:lineRule="auto"/>
      </w:pPr>
      <w:r>
        <w:separator/>
      </w:r>
    </w:p>
  </w:footnote>
  <w:footnote w:type="continuationSeparator" w:id="0">
    <w:p w:rsidR="0085642F" w:rsidRDefault="0085642F" w:rsidP="002C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83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68C" w:rsidRDefault="00C14D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9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568C" w:rsidRDefault="001C2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8C2"/>
    <w:multiLevelType w:val="hybridMultilevel"/>
    <w:tmpl w:val="3A10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292B"/>
    <w:multiLevelType w:val="hybridMultilevel"/>
    <w:tmpl w:val="36E4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4A7"/>
    <w:multiLevelType w:val="multilevel"/>
    <w:tmpl w:val="AED6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9FE70D3"/>
    <w:multiLevelType w:val="hybridMultilevel"/>
    <w:tmpl w:val="7CE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15FC"/>
    <w:multiLevelType w:val="hybridMultilevel"/>
    <w:tmpl w:val="4DC03B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E"/>
    <w:rsid w:val="00024F60"/>
    <w:rsid w:val="00152C2F"/>
    <w:rsid w:val="001C29DE"/>
    <w:rsid w:val="001D0842"/>
    <w:rsid w:val="002C27AE"/>
    <w:rsid w:val="002E4B17"/>
    <w:rsid w:val="0031017A"/>
    <w:rsid w:val="00485646"/>
    <w:rsid w:val="004F2BFF"/>
    <w:rsid w:val="00582238"/>
    <w:rsid w:val="005866CC"/>
    <w:rsid w:val="005D1AFA"/>
    <w:rsid w:val="006E7C5D"/>
    <w:rsid w:val="00702568"/>
    <w:rsid w:val="0074319B"/>
    <w:rsid w:val="0085642F"/>
    <w:rsid w:val="009B4408"/>
    <w:rsid w:val="00A133D5"/>
    <w:rsid w:val="00A666CA"/>
    <w:rsid w:val="00AB2322"/>
    <w:rsid w:val="00B26CF5"/>
    <w:rsid w:val="00BA5352"/>
    <w:rsid w:val="00C14D33"/>
    <w:rsid w:val="00D231C4"/>
    <w:rsid w:val="00D43FBE"/>
    <w:rsid w:val="00DC7343"/>
    <w:rsid w:val="00E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86A1E8B-88CA-49A8-B460-44F76AC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7AE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7A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27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8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2017-07-24T18:30:00+00:00</Judgment_x0020_Date>
    <Year xmlns="c1afb1bd-f2fb-40fd-9abb-aea55b4d7662">2017</Year>
  </documentManagement>
</p:properties>
</file>

<file path=customXml/itemProps1.xml><?xml version="1.0" encoding="utf-8"?>
<ds:datastoreItem xmlns:ds="http://schemas.openxmlformats.org/officeDocument/2006/customXml" ds:itemID="{606177F2-1CB2-45C4-ABA8-155ACAAF0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c1afb1bd-f2fb-40fd-9abb-aea55b4d7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F3D5-C900-45D7-B441-9A9DD4CC7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C295E-4D89-4CAD-9C49-FE90C381B861}">
  <ds:schemaRefs>
    <ds:schemaRef ds:uri="http://purl.org/dc/dcmitype/"/>
    <ds:schemaRef ds:uri="17a0f4bd-1162-49ac-b85f-dfe96a90bc01"/>
    <ds:schemaRef ds:uri="http://purl.org/dc/elements/1.1/"/>
    <ds:schemaRef ds:uri="http://schemas.microsoft.com/office/2006/metadata/properties"/>
    <ds:schemaRef ds:uri="c1afb1bd-f2fb-40fd-9abb-aea55b4d766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Hileni Shilunga</dc:creator>
  <cp:keywords/>
  <dc:description/>
  <cp:lastModifiedBy>W P. Oosthuizen</cp:lastModifiedBy>
  <cp:revision>2</cp:revision>
  <cp:lastPrinted>2017-07-25T07:25:00Z</cp:lastPrinted>
  <dcterms:created xsi:type="dcterms:W3CDTF">2017-07-25T15:58:00Z</dcterms:created>
  <dcterms:modified xsi:type="dcterms:W3CDTF">2017-07-25T15:58:00Z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