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6620" w:rsidRPr="00DB1F48" w:rsidRDefault="00CE6620" w:rsidP="00CE6620">
      <w:pPr>
        <w:jc w:val="center"/>
        <w:rPr>
          <w:rFonts w:cs="Arial"/>
          <w:b/>
          <w:szCs w:val="24"/>
        </w:rPr>
      </w:pPr>
      <w:r w:rsidRPr="00DB1F48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9B11" wp14:editId="74A6B83C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6383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C2" w:rsidRDefault="00566760" w:rsidP="00CE6620">
                            <w:pPr>
                              <w:jc w:val="center"/>
                            </w:pPr>
                            <w:r>
                              <w:t xml:space="preserve">NOT </w:t>
                            </w:r>
                            <w:r w:rsidR="00682CC2">
                              <w:t>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9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" strokecolor="white">
                <v:textbox>
                  <w:txbxContent>
                    <w:p w:rsidR="00682CC2" w:rsidRDefault="00566760" w:rsidP="00CE6620">
                      <w:pPr>
                        <w:jc w:val="center"/>
                      </w:pPr>
                      <w:r>
                        <w:t xml:space="preserve">NOT </w:t>
                      </w:r>
                      <w:r w:rsidR="00682CC2">
                        <w:t>REPORTABLE</w:t>
                      </w:r>
                    </w:p>
                  </w:txbxContent>
                </v:textbox>
              </v:shape>
            </w:pict>
          </mc:Fallback>
        </mc:AlternateContent>
      </w:r>
      <w:r w:rsidRPr="00DB1F48">
        <w:rPr>
          <w:rFonts w:cs="Arial"/>
          <w:b/>
          <w:szCs w:val="24"/>
        </w:rPr>
        <w:t>REPUBLIC OF NAMIBIA</w:t>
      </w:r>
    </w:p>
    <w:p w:rsidR="00CE6620" w:rsidRPr="00DB1F48" w:rsidRDefault="00CE6620" w:rsidP="00CE6620">
      <w:pPr>
        <w:jc w:val="center"/>
        <w:rPr>
          <w:rFonts w:cs="Arial"/>
          <w:b/>
          <w:szCs w:val="24"/>
        </w:rPr>
      </w:pPr>
      <w:r w:rsidRPr="00DB1F48">
        <w:rPr>
          <w:rFonts w:cs="Arial"/>
          <w:b/>
          <w:noProof/>
          <w:szCs w:val="24"/>
          <w:lang w:val="en-US"/>
        </w:rPr>
        <w:drawing>
          <wp:inline distT="0" distB="0" distL="0" distR="0" wp14:anchorId="3AF6C691" wp14:editId="282C6A64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20" w:rsidRPr="00DB1F48" w:rsidRDefault="00CE6620" w:rsidP="00CE6620">
      <w:pPr>
        <w:jc w:val="center"/>
        <w:rPr>
          <w:rFonts w:cs="Arial"/>
          <w:bCs/>
          <w:szCs w:val="24"/>
        </w:rPr>
      </w:pPr>
      <w:r w:rsidRPr="00DB1F48">
        <w:rPr>
          <w:rFonts w:cs="Arial"/>
          <w:b/>
          <w:szCs w:val="24"/>
        </w:rPr>
        <w:t>HIGH COURT OF NAMIBIA MAIN DIVISION, WINDHOEK</w:t>
      </w:r>
    </w:p>
    <w:p w:rsidR="00CE6620" w:rsidRPr="00DB1F48" w:rsidRDefault="00CE6620" w:rsidP="00CE6620">
      <w:pPr>
        <w:jc w:val="center"/>
        <w:rPr>
          <w:rFonts w:cs="Arial"/>
          <w:b/>
          <w:szCs w:val="24"/>
        </w:rPr>
      </w:pPr>
      <w:r w:rsidRPr="00DB1F48">
        <w:rPr>
          <w:rFonts w:cs="Arial"/>
          <w:b/>
          <w:szCs w:val="24"/>
        </w:rPr>
        <w:t>RULING</w:t>
      </w:r>
    </w:p>
    <w:p w:rsidR="00CE6620" w:rsidRPr="00DB1F48" w:rsidRDefault="00CE6620" w:rsidP="00CE6620">
      <w:pPr>
        <w:jc w:val="both"/>
        <w:rPr>
          <w:rFonts w:cs="Arial"/>
          <w:b/>
          <w:szCs w:val="24"/>
        </w:rPr>
      </w:pPr>
    </w:p>
    <w:p w:rsidR="00CE6620" w:rsidRDefault="00CE6620" w:rsidP="00CE6620">
      <w:pPr>
        <w:tabs>
          <w:tab w:val="right" w:pos="9000"/>
        </w:tabs>
        <w:jc w:val="both"/>
      </w:pPr>
      <w:r w:rsidRPr="00DB1F48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Case no: </w:t>
      </w:r>
      <w:r>
        <w:t>HC-MD-CIV-ACT-CON-2016/04131</w:t>
      </w:r>
    </w:p>
    <w:p w:rsidR="00CE6620" w:rsidRPr="00DB1F48" w:rsidRDefault="00CE6620" w:rsidP="00CE6620">
      <w:pPr>
        <w:tabs>
          <w:tab w:val="right" w:pos="9000"/>
        </w:tabs>
        <w:jc w:val="both"/>
        <w:rPr>
          <w:rFonts w:cs="Arial"/>
          <w:szCs w:val="24"/>
        </w:rPr>
      </w:pPr>
    </w:p>
    <w:p w:rsidR="00CE6620" w:rsidRPr="00DB1F48" w:rsidRDefault="00CE6620" w:rsidP="00CE6620">
      <w:pPr>
        <w:jc w:val="both"/>
        <w:rPr>
          <w:rFonts w:cs="Arial"/>
          <w:szCs w:val="24"/>
        </w:rPr>
      </w:pPr>
      <w:r w:rsidRPr="00DB1F48">
        <w:rPr>
          <w:rFonts w:cs="Arial"/>
          <w:szCs w:val="24"/>
        </w:rPr>
        <w:t>In the matter between:</w:t>
      </w:r>
    </w:p>
    <w:p w:rsidR="00CE6620" w:rsidRPr="00CE6620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  <w:r w:rsidRPr="00CE6620">
        <w:rPr>
          <w:rFonts w:cs="Arial"/>
          <w:b/>
          <w:szCs w:val="24"/>
        </w:rPr>
        <w:t xml:space="preserve">CHENG-YUAN LEE </w:t>
      </w:r>
      <w:r>
        <w:rPr>
          <w:rFonts w:cs="Arial"/>
          <w:b/>
          <w:szCs w:val="24"/>
        </w:rPr>
        <w:tab/>
      </w:r>
      <w:r w:rsidRPr="00CE6620">
        <w:rPr>
          <w:rFonts w:cs="Arial"/>
          <w:b/>
          <w:szCs w:val="24"/>
        </w:rPr>
        <w:t>1</w:t>
      </w:r>
      <w:r w:rsidRPr="00CE6620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</w:t>
      </w:r>
      <w:r w:rsidRPr="00CE6620">
        <w:rPr>
          <w:rFonts w:cs="Arial"/>
          <w:b/>
          <w:szCs w:val="24"/>
        </w:rPr>
        <w:t xml:space="preserve"> PLAINTIFF </w:t>
      </w:r>
    </w:p>
    <w:p w:rsidR="00CE6620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  <w:r w:rsidRPr="00CE6620">
        <w:rPr>
          <w:rFonts w:cs="Arial"/>
          <w:b/>
          <w:szCs w:val="24"/>
        </w:rPr>
        <w:t xml:space="preserve">LEE'S INVESTMENTS (PTY) LTD </w:t>
      </w:r>
      <w:r>
        <w:rPr>
          <w:rFonts w:cs="Arial"/>
          <w:b/>
          <w:szCs w:val="24"/>
        </w:rPr>
        <w:tab/>
      </w:r>
      <w:r w:rsidRPr="00CE6620">
        <w:rPr>
          <w:rFonts w:cs="Arial"/>
          <w:b/>
          <w:szCs w:val="24"/>
        </w:rPr>
        <w:t>2</w:t>
      </w:r>
      <w:r w:rsidRPr="00CE6620">
        <w:rPr>
          <w:rFonts w:cs="Arial"/>
          <w:b/>
          <w:szCs w:val="24"/>
          <w:vertAlign w:val="superscript"/>
        </w:rPr>
        <w:t>nd</w:t>
      </w:r>
      <w:r>
        <w:rPr>
          <w:rFonts w:cs="Arial"/>
          <w:b/>
          <w:szCs w:val="24"/>
        </w:rPr>
        <w:t xml:space="preserve"> </w:t>
      </w:r>
      <w:r w:rsidRPr="00CE6620">
        <w:rPr>
          <w:rFonts w:cs="Arial"/>
          <w:b/>
          <w:szCs w:val="24"/>
        </w:rPr>
        <w:t xml:space="preserve"> PLAINTIFF </w:t>
      </w:r>
    </w:p>
    <w:p w:rsidR="00CE6620" w:rsidRPr="00CE6620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</w:p>
    <w:p w:rsidR="00CE6620" w:rsidRPr="00CE6620" w:rsidRDefault="00CE6620" w:rsidP="00CE6620">
      <w:pPr>
        <w:tabs>
          <w:tab w:val="right" w:pos="9000"/>
        </w:tabs>
        <w:jc w:val="both"/>
        <w:rPr>
          <w:rFonts w:cs="Arial"/>
          <w:szCs w:val="24"/>
        </w:rPr>
      </w:pPr>
      <w:r w:rsidRPr="00CE6620">
        <w:rPr>
          <w:rFonts w:cs="Arial"/>
          <w:szCs w:val="24"/>
        </w:rPr>
        <w:t>and</w:t>
      </w:r>
    </w:p>
    <w:p w:rsidR="00CE6620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</w:p>
    <w:p w:rsidR="00CE6620" w:rsidRPr="00CE6620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  <w:r w:rsidRPr="00CE6620">
        <w:rPr>
          <w:rFonts w:cs="Arial"/>
          <w:b/>
          <w:szCs w:val="24"/>
        </w:rPr>
        <w:t xml:space="preserve">KESTODIA LIALUKENI TOBIAS </w:t>
      </w:r>
      <w:r>
        <w:rPr>
          <w:rFonts w:cs="Arial"/>
          <w:b/>
          <w:szCs w:val="24"/>
        </w:rPr>
        <w:tab/>
      </w:r>
      <w:r w:rsidRPr="00CE6620">
        <w:rPr>
          <w:rFonts w:cs="Arial"/>
          <w:b/>
          <w:szCs w:val="24"/>
        </w:rPr>
        <w:t>1</w:t>
      </w:r>
      <w:r w:rsidRPr="00CE6620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</w:t>
      </w:r>
      <w:r w:rsidRPr="00CE6620">
        <w:rPr>
          <w:rFonts w:cs="Arial"/>
          <w:b/>
          <w:szCs w:val="24"/>
        </w:rPr>
        <w:t xml:space="preserve"> DEFENDANT</w:t>
      </w:r>
    </w:p>
    <w:p w:rsidR="00CE6620" w:rsidRPr="00DB1F48" w:rsidRDefault="00CE6620" w:rsidP="00CE6620">
      <w:pPr>
        <w:tabs>
          <w:tab w:val="right" w:pos="9000"/>
        </w:tabs>
        <w:jc w:val="both"/>
        <w:rPr>
          <w:rFonts w:cs="Arial"/>
          <w:b/>
          <w:szCs w:val="24"/>
        </w:rPr>
      </w:pPr>
      <w:r w:rsidRPr="00CE6620">
        <w:rPr>
          <w:rFonts w:cs="Arial"/>
          <w:b/>
          <w:szCs w:val="24"/>
        </w:rPr>
        <w:t xml:space="preserve">DIVINE REALTORS CC </w:t>
      </w:r>
      <w:r>
        <w:rPr>
          <w:rFonts w:cs="Arial"/>
          <w:b/>
          <w:szCs w:val="24"/>
        </w:rPr>
        <w:tab/>
      </w:r>
      <w:r w:rsidRPr="00CE6620">
        <w:rPr>
          <w:rFonts w:cs="Arial"/>
          <w:b/>
          <w:szCs w:val="24"/>
        </w:rPr>
        <w:t>2</w:t>
      </w:r>
      <w:r w:rsidRPr="00CE6620">
        <w:rPr>
          <w:rFonts w:cs="Arial"/>
          <w:b/>
          <w:szCs w:val="24"/>
          <w:vertAlign w:val="superscript"/>
        </w:rPr>
        <w:t>nd</w:t>
      </w:r>
      <w:r>
        <w:rPr>
          <w:rFonts w:cs="Arial"/>
          <w:b/>
          <w:szCs w:val="24"/>
        </w:rPr>
        <w:t xml:space="preserve"> </w:t>
      </w:r>
      <w:r w:rsidRPr="00CE6620">
        <w:rPr>
          <w:rFonts w:cs="Arial"/>
          <w:b/>
          <w:szCs w:val="24"/>
        </w:rPr>
        <w:t xml:space="preserve"> DEFENDANT</w:t>
      </w:r>
      <w:r w:rsidRPr="00CE6620">
        <w:rPr>
          <w:rFonts w:cs="Arial"/>
          <w:b/>
          <w:szCs w:val="24"/>
        </w:rPr>
        <w:cr/>
      </w:r>
    </w:p>
    <w:p w:rsidR="00CE6620" w:rsidRPr="00DB1F48" w:rsidRDefault="00CE6620" w:rsidP="00CE6620">
      <w:pPr>
        <w:ind w:left="2160" w:hanging="2160"/>
        <w:jc w:val="both"/>
        <w:rPr>
          <w:rFonts w:cs="Arial"/>
          <w:szCs w:val="24"/>
        </w:rPr>
      </w:pPr>
      <w:r w:rsidRPr="00DB1F48">
        <w:rPr>
          <w:rFonts w:cs="Arial"/>
          <w:b/>
          <w:szCs w:val="24"/>
        </w:rPr>
        <w:t>Neutral citation:</w:t>
      </w:r>
      <w:r w:rsidRPr="00DB1F48">
        <w:rPr>
          <w:rFonts w:cs="Arial"/>
          <w:b/>
          <w:szCs w:val="24"/>
        </w:rPr>
        <w:tab/>
      </w:r>
      <w:r>
        <w:rPr>
          <w:rFonts w:cs="Arial"/>
          <w:i/>
          <w:szCs w:val="24"/>
        </w:rPr>
        <w:t>Lee</w:t>
      </w:r>
      <w:r w:rsidR="00F406B2">
        <w:rPr>
          <w:rFonts w:cs="Arial"/>
          <w:i/>
          <w:szCs w:val="24"/>
        </w:rPr>
        <w:t xml:space="preserve"> </w:t>
      </w:r>
      <w:r w:rsidR="00933E2F">
        <w:rPr>
          <w:rFonts w:cs="Arial"/>
          <w:i/>
          <w:szCs w:val="24"/>
        </w:rPr>
        <w:t>v</w:t>
      </w:r>
      <w:r>
        <w:rPr>
          <w:rFonts w:cs="Arial"/>
          <w:i/>
          <w:szCs w:val="24"/>
        </w:rPr>
        <w:t xml:space="preserve"> Tobias</w:t>
      </w:r>
      <w:r w:rsidR="00F406B2">
        <w:rPr>
          <w:rFonts w:cs="Arial"/>
          <w:i/>
          <w:szCs w:val="24"/>
        </w:rPr>
        <w:t xml:space="preserve"> </w:t>
      </w:r>
      <w:r w:rsidRPr="00DB1F48">
        <w:rPr>
          <w:rFonts w:cs="Arial"/>
          <w:szCs w:val="24"/>
        </w:rPr>
        <w:t>(</w:t>
      </w:r>
      <w:r w:rsidRPr="00CE6620">
        <w:rPr>
          <w:rFonts w:cs="Arial"/>
          <w:szCs w:val="24"/>
        </w:rPr>
        <w:t>HC-MD-CIV-ACT-CON-2016/04131</w:t>
      </w:r>
      <w:r w:rsidR="00AE3EA6">
        <w:rPr>
          <w:rFonts w:cs="Arial"/>
          <w:szCs w:val="24"/>
        </w:rPr>
        <w:t>) [2017] NAHCMD 20</w:t>
      </w:r>
      <w:r w:rsidR="0003326F">
        <w:rPr>
          <w:rFonts w:cs="Arial"/>
          <w:szCs w:val="24"/>
        </w:rPr>
        <w:t>4</w:t>
      </w:r>
      <w:r w:rsidR="00AE3EA6">
        <w:rPr>
          <w:rFonts w:cs="Arial"/>
          <w:szCs w:val="24"/>
        </w:rPr>
        <w:t xml:space="preserve"> (31</w:t>
      </w:r>
      <w:r w:rsidRPr="00DB1F48">
        <w:rPr>
          <w:rFonts w:cs="Arial"/>
          <w:szCs w:val="24"/>
        </w:rPr>
        <w:t xml:space="preserve"> July 2017)</w:t>
      </w:r>
    </w:p>
    <w:p w:rsidR="00CE6620" w:rsidRPr="00DB1F48" w:rsidRDefault="00CE6620" w:rsidP="00CE6620">
      <w:pPr>
        <w:ind w:left="2160" w:hanging="2160"/>
        <w:jc w:val="both"/>
        <w:rPr>
          <w:rFonts w:cs="Arial"/>
          <w:szCs w:val="24"/>
        </w:rPr>
      </w:pPr>
    </w:p>
    <w:p w:rsidR="00CE6620" w:rsidRPr="00DB1F48" w:rsidRDefault="00CE6620" w:rsidP="00CE6620">
      <w:pPr>
        <w:ind w:left="2160" w:hanging="2160"/>
        <w:jc w:val="both"/>
        <w:rPr>
          <w:rFonts w:cs="Arial"/>
          <w:szCs w:val="24"/>
        </w:rPr>
      </w:pPr>
    </w:p>
    <w:p w:rsidR="00CE6620" w:rsidRPr="00DB1F48" w:rsidRDefault="00CE6620" w:rsidP="00CE6620">
      <w:pPr>
        <w:ind w:left="1440" w:hanging="1440"/>
        <w:jc w:val="both"/>
        <w:rPr>
          <w:rFonts w:cs="Arial"/>
          <w:b/>
          <w:i/>
          <w:szCs w:val="24"/>
        </w:rPr>
      </w:pPr>
      <w:r w:rsidRPr="00DB1F48">
        <w:rPr>
          <w:rFonts w:cs="Arial"/>
          <w:b/>
          <w:szCs w:val="24"/>
        </w:rPr>
        <w:t>Coram:</w:t>
      </w:r>
      <w:r w:rsidRPr="00DB1F48">
        <w:rPr>
          <w:rFonts w:cs="Arial"/>
          <w:szCs w:val="24"/>
        </w:rPr>
        <w:tab/>
        <w:t xml:space="preserve">MILLER AJ </w:t>
      </w:r>
    </w:p>
    <w:p w:rsidR="00CE6620" w:rsidRPr="00DB1F48" w:rsidRDefault="00CE6620" w:rsidP="00CE6620">
      <w:pPr>
        <w:ind w:left="1440" w:hanging="1440"/>
        <w:jc w:val="both"/>
        <w:rPr>
          <w:rFonts w:cs="Arial"/>
          <w:b/>
          <w:szCs w:val="24"/>
        </w:rPr>
      </w:pPr>
      <w:r w:rsidRPr="00DB1F48">
        <w:rPr>
          <w:rFonts w:cs="Arial"/>
          <w:b/>
          <w:bCs/>
          <w:szCs w:val="24"/>
        </w:rPr>
        <w:t>Heard</w:t>
      </w:r>
      <w:r w:rsidRPr="00DB1F48">
        <w:rPr>
          <w:rFonts w:cs="Arial"/>
          <w:szCs w:val="24"/>
        </w:rPr>
        <w:t>:</w:t>
      </w:r>
      <w:r w:rsidRPr="00DB1F48">
        <w:rPr>
          <w:rFonts w:cs="Arial"/>
          <w:szCs w:val="24"/>
        </w:rPr>
        <w:tab/>
      </w:r>
      <w:r>
        <w:rPr>
          <w:rFonts w:cs="Arial"/>
          <w:b/>
          <w:szCs w:val="24"/>
        </w:rPr>
        <w:t>26</w:t>
      </w:r>
      <w:r w:rsidRPr="00DB1F48">
        <w:rPr>
          <w:rFonts w:cs="Arial"/>
          <w:b/>
          <w:szCs w:val="24"/>
        </w:rPr>
        <w:t xml:space="preserve"> JULY 2017</w:t>
      </w:r>
    </w:p>
    <w:p w:rsidR="00CE6620" w:rsidRDefault="00CE6620" w:rsidP="00CE6620">
      <w:pPr>
        <w:jc w:val="both"/>
        <w:rPr>
          <w:rFonts w:cs="Arial"/>
          <w:b/>
          <w:szCs w:val="24"/>
        </w:rPr>
      </w:pPr>
      <w:r w:rsidRPr="00DB1F48">
        <w:rPr>
          <w:rFonts w:cs="Arial"/>
          <w:b/>
          <w:bCs/>
          <w:szCs w:val="24"/>
        </w:rPr>
        <w:t>Delivered</w:t>
      </w:r>
      <w:r w:rsidRPr="00DB1F48">
        <w:rPr>
          <w:rFonts w:cs="Arial"/>
          <w:szCs w:val="24"/>
        </w:rPr>
        <w:t>:</w:t>
      </w:r>
      <w:r w:rsidRPr="00DB1F48">
        <w:rPr>
          <w:rFonts w:cs="Arial"/>
          <w:szCs w:val="24"/>
        </w:rPr>
        <w:tab/>
      </w:r>
      <w:r w:rsidR="00AE3EA6">
        <w:rPr>
          <w:rFonts w:cs="Arial"/>
          <w:b/>
          <w:szCs w:val="24"/>
        </w:rPr>
        <w:t>31 JULY</w:t>
      </w:r>
      <w:r w:rsidRPr="00DB1F48">
        <w:rPr>
          <w:rFonts w:cs="Arial"/>
          <w:b/>
          <w:szCs w:val="24"/>
        </w:rPr>
        <w:t xml:space="preserve"> 2017</w:t>
      </w:r>
    </w:p>
    <w:p w:rsidR="00CE6620" w:rsidRDefault="00CE6620" w:rsidP="00CE6620">
      <w:pPr>
        <w:jc w:val="both"/>
        <w:rPr>
          <w:rFonts w:cs="Arial"/>
          <w:b/>
          <w:szCs w:val="24"/>
        </w:rPr>
      </w:pPr>
    </w:p>
    <w:p w:rsidR="00CE6620" w:rsidRPr="00DB1F48" w:rsidRDefault="00CE6620" w:rsidP="00CE6620">
      <w:pPr>
        <w:jc w:val="both"/>
        <w:rPr>
          <w:rFonts w:cs="Arial"/>
          <w:b/>
          <w:szCs w:val="24"/>
        </w:rPr>
      </w:pPr>
    </w:p>
    <w:p w:rsidR="00CE6620" w:rsidRPr="00DB1F48" w:rsidRDefault="00CE6620" w:rsidP="00CE6620">
      <w:pPr>
        <w:jc w:val="both"/>
        <w:rPr>
          <w:rFonts w:cs="Arial"/>
          <w:szCs w:val="24"/>
        </w:rPr>
      </w:pPr>
    </w:p>
    <w:p w:rsidR="00CE6620" w:rsidRPr="00DB1F48" w:rsidRDefault="00B737D9" w:rsidP="00CE662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pict>
          <v:rect id="_x0000_i1025" style="width:468pt;height:1.5pt" o:hralign="center" o:hrstd="t" o:hr="t" fillcolor="#a0a0a0" stroked="f"/>
        </w:pict>
      </w:r>
    </w:p>
    <w:p w:rsidR="00CE6620" w:rsidRPr="00DB1F48" w:rsidRDefault="00CE6620" w:rsidP="00CE6620">
      <w:pPr>
        <w:jc w:val="center"/>
        <w:rPr>
          <w:rFonts w:cs="Arial"/>
          <w:b/>
          <w:bCs/>
          <w:szCs w:val="24"/>
        </w:rPr>
      </w:pPr>
      <w:r w:rsidRPr="00DB1F48">
        <w:rPr>
          <w:rFonts w:cs="Arial"/>
          <w:b/>
          <w:bCs/>
          <w:szCs w:val="24"/>
        </w:rPr>
        <w:lastRenderedPageBreak/>
        <w:t>ORDER</w:t>
      </w:r>
    </w:p>
    <w:p w:rsidR="00CE6620" w:rsidRPr="00DB1F48" w:rsidRDefault="00B737D9" w:rsidP="00CE662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pict>
          <v:rect id="_x0000_i1026" style="width:468pt;height:1.5pt" o:hralign="center" o:hrstd="t" o:hr="t" fillcolor="#a0a0a0" stroked="f"/>
        </w:pict>
      </w:r>
    </w:p>
    <w:p w:rsidR="00CE6620" w:rsidRPr="00DB1F48" w:rsidRDefault="00CE6620" w:rsidP="00CE6620">
      <w:pPr>
        <w:jc w:val="both"/>
        <w:rPr>
          <w:rFonts w:cs="Arial"/>
          <w:szCs w:val="24"/>
        </w:rPr>
      </w:pPr>
      <w:r w:rsidRPr="00DB1F48">
        <w:rPr>
          <w:rFonts w:cs="Arial"/>
          <w:szCs w:val="24"/>
        </w:rPr>
        <w:t>Having heard</w:t>
      </w:r>
      <w:r>
        <w:rPr>
          <w:rFonts w:cs="Arial"/>
          <w:szCs w:val="24"/>
        </w:rPr>
        <w:t xml:space="preserve"> both counsel for the plaintiffs/applicants and the defendants/respondents</w:t>
      </w:r>
      <w:r w:rsidRPr="00DB1F48">
        <w:rPr>
          <w:rFonts w:cs="Arial"/>
          <w:szCs w:val="24"/>
        </w:rPr>
        <w:t xml:space="preserve"> – </w:t>
      </w:r>
    </w:p>
    <w:p w:rsidR="00CE6620" w:rsidRPr="00DB1F48" w:rsidRDefault="00CE6620" w:rsidP="00CE6620">
      <w:pPr>
        <w:jc w:val="both"/>
        <w:rPr>
          <w:rFonts w:cs="Arial"/>
          <w:szCs w:val="24"/>
        </w:rPr>
      </w:pPr>
    </w:p>
    <w:p w:rsidR="00CE6620" w:rsidRPr="00DB1F48" w:rsidRDefault="00CE6620" w:rsidP="00CE6620">
      <w:pPr>
        <w:jc w:val="both"/>
        <w:rPr>
          <w:rFonts w:cs="Arial"/>
          <w:szCs w:val="24"/>
        </w:rPr>
      </w:pPr>
      <w:r w:rsidRPr="00DB1F48">
        <w:rPr>
          <w:rFonts w:cs="Arial"/>
          <w:szCs w:val="24"/>
        </w:rPr>
        <w:t>IT IS ORDERED THAT:</w:t>
      </w:r>
    </w:p>
    <w:p w:rsidR="00CE6620" w:rsidRPr="00DB1F48" w:rsidRDefault="00CE6620" w:rsidP="00CE6620">
      <w:pPr>
        <w:jc w:val="both"/>
        <w:rPr>
          <w:rFonts w:cs="Arial"/>
          <w:szCs w:val="24"/>
        </w:rPr>
      </w:pPr>
    </w:p>
    <w:p w:rsidR="00CE6620" w:rsidRDefault="00CE6620" w:rsidP="00CE6620">
      <w:pPr>
        <w:pStyle w:val="BodyText"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is dismissed.</w:t>
      </w:r>
    </w:p>
    <w:p w:rsidR="00CE6620" w:rsidRDefault="00CE6620" w:rsidP="00CE6620">
      <w:pPr>
        <w:pStyle w:val="BodyText"/>
        <w:tabs>
          <w:tab w:val="left" w:pos="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6620" w:rsidRDefault="00CE6620" w:rsidP="00CE6620">
      <w:pPr>
        <w:pStyle w:val="BodyText"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defendant is granted leave to defend.</w:t>
      </w:r>
    </w:p>
    <w:p w:rsidR="00CE6620" w:rsidRDefault="00CE6620" w:rsidP="00CE6620">
      <w:pPr>
        <w:pStyle w:val="ListParagraph"/>
        <w:rPr>
          <w:rFonts w:ascii="Arial" w:hAnsi="Arial" w:cs="Arial"/>
        </w:rPr>
      </w:pPr>
    </w:p>
    <w:p w:rsidR="00CE6620" w:rsidRDefault="00CE6620" w:rsidP="00CE6620">
      <w:pPr>
        <w:pStyle w:val="BodyText"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costs of the application will stand over</w:t>
      </w:r>
      <w:r w:rsidRPr="00A83F8A">
        <w:rPr>
          <w:rFonts w:ascii="Arial" w:hAnsi="Arial" w:cs="Arial"/>
        </w:rPr>
        <w:t>.</w:t>
      </w:r>
    </w:p>
    <w:p w:rsidR="00CE6620" w:rsidRDefault="00CE6620" w:rsidP="00CE6620">
      <w:pPr>
        <w:pStyle w:val="ListParagraph"/>
        <w:rPr>
          <w:rFonts w:ascii="Arial" w:hAnsi="Arial" w:cs="Arial"/>
        </w:rPr>
      </w:pPr>
    </w:p>
    <w:p w:rsidR="00CE6620" w:rsidRPr="00A83F8A" w:rsidRDefault="00CE6620" w:rsidP="00CE6620">
      <w:pPr>
        <w:pStyle w:val="BodyText"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case management conference will be held on 14 August 2017 at 14h00.</w:t>
      </w:r>
    </w:p>
    <w:p w:rsidR="00CE6620" w:rsidRPr="00DB1F48" w:rsidRDefault="00CE6620" w:rsidP="00CE6620">
      <w:pPr>
        <w:ind w:left="630" w:hanging="630"/>
        <w:jc w:val="both"/>
        <w:rPr>
          <w:rFonts w:cs="Arial"/>
          <w:szCs w:val="24"/>
        </w:rPr>
      </w:pPr>
    </w:p>
    <w:p w:rsidR="00CE6620" w:rsidRPr="00DB1F48" w:rsidRDefault="00B737D9" w:rsidP="00CE662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pict>
          <v:rect id="_x0000_i1027" style="width:468pt;height:1.5pt" o:hralign="center" o:hrstd="t" o:hr="t" fillcolor="#a0a0a0" stroked="f"/>
        </w:pict>
      </w:r>
    </w:p>
    <w:p w:rsidR="00CE6620" w:rsidRPr="00DB1F48" w:rsidRDefault="00CE6620" w:rsidP="00CE662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RULING</w:t>
      </w:r>
    </w:p>
    <w:p w:rsidR="00CE6620" w:rsidRPr="00DB1F48" w:rsidRDefault="00B737D9" w:rsidP="00CE6620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pict>
          <v:rect id="_x0000_i1028" style="width:468pt;height:1.5pt" o:hralign="center" o:hrstd="t" o:hr="t" fillcolor="#a0a0a0" stroked="f"/>
        </w:pict>
      </w:r>
    </w:p>
    <w:p w:rsidR="00CE6620" w:rsidRPr="00DB1F48" w:rsidRDefault="00CE6620" w:rsidP="00CE6620">
      <w:pPr>
        <w:ind w:left="1440" w:hanging="1440"/>
        <w:jc w:val="both"/>
        <w:rPr>
          <w:rFonts w:cs="Arial"/>
          <w:szCs w:val="24"/>
        </w:rPr>
      </w:pPr>
    </w:p>
    <w:p w:rsidR="00CE6620" w:rsidRPr="00DB1F48" w:rsidRDefault="00CE6620" w:rsidP="00CE6620">
      <w:pPr>
        <w:ind w:left="1440" w:hanging="1440"/>
        <w:jc w:val="both"/>
        <w:rPr>
          <w:rFonts w:cs="Arial"/>
          <w:b/>
          <w:i/>
          <w:szCs w:val="24"/>
        </w:rPr>
      </w:pPr>
      <w:r w:rsidRPr="00DB1F48">
        <w:rPr>
          <w:rFonts w:cs="Arial"/>
          <w:szCs w:val="24"/>
        </w:rPr>
        <w:t>MILLER AJ:</w:t>
      </w:r>
    </w:p>
    <w:p w:rsidR="00CE6620" w:rsidRPr="00DB1F48" w:rsidRDefault="00CE6620" w:rsidP="00CE6620">
      <w:pPr>
        <w:jc w:val="both"/>
        <w:rPr>
          <w:rFonts w:cs="Arial"/>
          <w:szCs w:val="24"/>
        </w:rPr>
      </w:pPr>
    </w:p>
    <w:p w:rsidR="00CE6620" w:rsidRDefault="00CE6620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  <w:t xml:space="preserve">This is an application for Summary Judgment to </w:t>
      </w:r>
      <w:r w:rsidR="0056676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granted against the first defendant</w:t>
      </w:r>
      <w:r w:rsidR="0006293D">
        <w:rPr>
          <w:rFonts w:ascii="Arial" w:hAnsi="Arial" w:cs="Arial"/>
        </w:rPr>
        <w:t xml:space="preserve"> and in favour of the first plaintiff in the sum of N$ 700 000.00 together with some ancillary relief.</w:t>
      </w:r>
    </w:p>
    <w:p w:rsidR="0006293D" w:rsidRDefault="0006293D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1A23ED" w:rsidRDefault="0006293D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</w:r>
      <w:r w:rsidR="001A23ED">
        <w:rPr>
          <w:rFonts w:ascii="Arial" w:hAnsi="Arial" w:cs="Arial"/>
        </w:rPr>
        <w:t>The application was opposed by the first defendant.</w:t>
      </w:r>
    </w:p>
    <w:p w:rsidR="001A23ED" w:rsidRDefault="001A23ED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06293D" w:rsidRDefault="001A23ED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</w:r>
      <w:r w:rsidR="00BD49DD">
        <w:rPr>
          <w:rFonts w:ascii="Arial" w:hAnsi="Arial" w:cs="Arial"/>
        </w:rPr>
        <w:t>I</w:t>
      </w:r>
      <w:r w:rsidR="002641A1">
        <w:rPr>
          <w:rFonts w:ascii="Arial" w:hAnsi="Arial" w:cs="Arial"/>
        </w:rPr>
        <w:t>t is common cause that on 1 August 2015</w:t>
      </w:r>
      <w:r w:rsidR="00BD49DD">
        <w:rPr>
          <w:rFonts w:ascii="Arial" w:hAnsi="Arial" w:cs="Arial"/>
        </w:rPr>
        <w:t xml:space="preserve"> the first defendant signed a document </w:t>
      </w:r>
      <w:r>
        <w:rPr>
          <w:rFonts w:ascii="Arial" w:hAnsi="Arial" w:cs="Arial"/>
        </w:rPr>
        <w:t>(Annexure “A” to the Particulars of Claim</w:t>
      </w:r>
      <w:r w:rsidR="00682CC2">
        <w:rPr>
          <w:rFonts w:ascii="Arial" w:hAnsi="Arial" w:cs="Arial"/>
        </w:rPr>
        <w:t>) titled “Acknowledgement of Debt”. It w</w:t>
      </w:r>
      <w:r w:rsidR="009F47C4">
        <w:rPr>
          <w:rFonts w:ascii="Arial" w:hAnsi="Arial" w:cs="Arial"/>
        </w:rPr>
        <w:t>as co-signed by the first plaintiff</w:t>
      </w:r>
      <w:r w:rsidR="00F406B2">
        <w:rPr>
          <w:rFonts w:ascii="Arial" w:hAnsi="Arial" w:cs="Arial"/>
        </w:rPr>
        <w:t xml:space="preserve"> who accepted the terms contai</w:t>
      </w:r>
      <w:r w:rsidR="00682CC2">
        <w:rPr>
          <w:rFonts w:ascii="Arial" w:hAnsi="Arial" w:cs="Arial"/>
        </w:rPr>
        <w:t>ned in the document.</w:t>
      </w:r>
    </w:p>
    <w:p w:rsidR="00682CC2" w:rsidRDefault="00682CC2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682CC2" w:rsidRDefault="00682CC2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  <w:t xml:space="preserve">That document </w:t>
      </w:r>
      <w:r w:rsidR="00F406B2">
        <w:rPr>
          <w:rFonts w:ascii="Arial" w:hAnsi="Arial" w:cs="Arial"/>
        </w:rPr>
        <w:t>actually records a</w:t>
      </w:r>
      <w:r w:rsidR="00001E5F">
        <w:rPr>
          <w:rFonts w:ascii="Arial" w:hAnsi="Arial" w:cs="Arial"/>
        </w:rPr>
        <w:t>n acknowledgment</w:t>
      </w:r>
      <w:r>
        <w:rPr>
          <w:rFonts w:ascii="Arial" w:hAnsi="Arial" w:cs="Arial"/>
        </w:rPr>
        <w:t xml:space="preserve"> to repay</w:t>
      </w:r>
      <w:r w:rsidR="00992512">
        <w:rPr>
          <w:rFonts w:ascii="Arial" w:hAnsi="Arial" w:cs="Arial"/>
        </w:rPr>
        <w:t xml:space="preserve"> the sum                                 N$ 1 400 000.00 which it records the first defendant had received. It appears</w:t>
      </w:r>
      <w:r w:rsidR="00255A1C">
        <w:rPr>
          <w:rFonts w:ascii="Arial" w:hAnsi="Arial" w:cs="Arial"/>
        </w:rPr>
        <w:t>,</w:t>
      </w:r>
      <w:r w:rsidR="00992512">
        <w:rPr>
          <w:rFonts w:ascii="Arial" w:hAnsi="Arial" w:cs="Arial"/>
        </w:rPr>
        <w:t xml:space="preserve"> </w:t>
      </w:r>
      <w:r w:rsidR="00255A1C">
        <w:rPr>
          <w:rFonts w:ascii="Arial" w:hAnsi="Arial" w:cs="Arial"/>
        </w:rPr>
        <w:t>however</w:t>
      </w:r>
      <w:r w:rsidR="00255A1C">
        <w:rPr>
          <w:rFonts w:ascii="Arial" w:hAnsi="Arial" w:cs="Arial"/>
          <w:b/>
        </w:rPr>
        <w:t xml:space="preserve"> </w:t>
      </w:r>
      <w:r w:rsidR="00F406B2">
        <w:rPr>
          <w:rFonts w:ascii="Arial" w:hAnsi="Arial" w:cs="Arial"/>
        </w:rPr>
        <w:lastRenderedPageBreak/>
        <w:t>that the only sum disbursed</w:t>
      </w:r>
      <w:r w:rsidR="00255A1C">
        <w:rPr>
          <w:rFonts w:ascii="Arial" w:hAnsi="Arial" w:cs="Arial"/>
        </w:rPr>
        <w:t xml:space="preserve"> was the sum of N$ 700 000.00, and in that respect the document do</w:t>
      </w:r>
      <w:r w:rsidR="00F406B2">
        <w:rPr>
          <w:rFonts w:ascii="Arial" w:hAnsi="Arial" w:cs="Arial"/>
        </w:rPr>
        <w:t>es</w:t>
      </w:r>
      <w:r w:rsidR="00255A1C">
        <w:rPr>
          <w:rFonts w:ascii="Arial" w:hAnsi="Arial" w:cs="Arial"/>
        </w:rPr>
        <w:t xml:space="preserve"> not accurately reflect the true position.</w:t>
      </w:r>
    </w:p>
    <w:p w:rsidR="00255A1C" w:rsidRDefault="00255A1C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255A1C" w:rsidRDefault="00255A1C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  <w:t xml:space="preserve">The first </w:t>
      </w:r>
      <w:r w:rsidR="00164B16">
        <w:rPr>
          <w:rFonts w:ascii="Arial" w:hAnsi="Arial" w:cs="Arial"/>
        </w:rPr>
        <w:t>defendant, despite an admission that she had signed the document nevertheless seeks to resile from it on two grounds</w:t>
      </w:r>
      <w:r w:rsidR="00D2471B">
        <w:rPr>
          <w:rFonts w:ascii="Arial" w:hAnsi="Arial" w:cs="Arial"/>
        </w:rPr>
        <w:t xml:space="preserve"> viz –</w:t>
      </w:r>
    </w:p>
    <w:p w:rsidR="00D2471B" w:rsidRDefault="00D2471B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D2471B" w:rsidRDefault="00D2471B" w:rsidP="00D2471B">
      <w:pPr>
        <w:pStyle w:val="BodyText"/>
        <w:numPr>
          <w:ilvl w:val="0"/>
          <w:numId w:val="6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 is not stamped in accordance with the provisions of Section 12 of the Stamp Duties Act, Act 77 of 1968 as amended. The submission lacks any </w:t>
      </w:r>
      <w:r w:rsidR="000804B1">
        <w:rPr>
          <w:rFonts w:ascii="Arial" w:hAnsi="Arial" w:cs="Arial"/>
        </w:rPr>
        <w:t>resemblance of</w:t>
      </w:r>
      <w:r>
        <w:rPr>
          <w:rFonts w:ascii="Arial" w:hAnsi="Arial" w:cs="Arial"/>
        </w:rPr>
        <w:t xml:space="preserve"> merit. The relevant case law</w:t>
      </w:r>
      <w:r w:rsidR="00F406B2">
        <w:rPr>
          <w:rFonts w:ascii="Arial" w:hAnsi="Arial" w:cs="Arial"/>
        </w:rPr>
        <w:t xml:space="preserve"> is clear to the effect that a</w:t>
      </w:r>
      <w:r w:rsidR="000804B1">
        <w:rPr>
          <w:rFonts w:ascii="Arial" w:hAnsi="Arial" w:cs="Arial"/>
        </w:rPr>
        <w:t>n unstamped document can be stamped retrospectively and even after judgment on or appeal. (The South African Law of Evidence at p.802</w:t>
      </w:r>
      <w:r w:rsidR="00F406B2">
        <w:rPr>
          <w:rFonts w:ascii="Arial" w:hAnsi="Arial" w:cs="Arial"/>
        </w:rPr>
        <w:t>), Equally unmeritorious</w:t>
      </w:r>
      <w:r w:rsidR="000804B1">
        <w:rPr>
          <w:rFonts w:ascii="Arial" w:hAnsi="Arial" w:cs="Arial"/>
        </w:rPr>
        <w:t xml:space="preserve"> is the further submissi</w:t>
      </w:r>
      <w:r w:rsidR="00F406B2">
        <w:rPr>
          <w:rFonts w:ascii="Arial" w:hAnsi="Arial" w:cs="Arial"/>
        </w:rPr>
        <w:t>on</w:t>
      </w:r>
      <w:r w:rsidR="000804B1">
        <w:rPr>
          <w:rFonts w:ascii="Arial" w:hAnsi="Arial" w:cs="Arial"/>
        </w:rPr>
        <w:t xml:space="preserve"> that only the first defendant</w:t>
      </w:r>
      <w:r w:rsidR="00F406B2">
        <w:rPr>
          <w:rFonts w:ascii="Arial" w:hAnsi="Arial" w:cs="Arial"/>
        </w:rPr>
        <w:t xml:space="preserve"> can have the document stamped.</w:t>
      </w:r>
    </w:p>
    <w:p w:rsidR="00D2471B" w:rsidRDefault="00D2471B" w:rsidP="00D2471B">
      <w:pPr>
        <w:pStyle w:val="BodyText"/>
        <w:tabs>
          <w:tab w:val="left" w:pos="0"/>
          <w:tab w:val="left" w:pos="72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6620" w:rsidRDefault="000804B1" w:rsidP="009F47C4">
      <w:pPr>
        <w:pStyle w:val="BodyText"/>
        <w:numPr>
          <w:ilvl w:val="0"/>
          <w:numId w:val="6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first defendant contends that the sum in dispute was advanced by the second plaintiff to the second defendant, and further that she </w:t>
      </w:r>
      <w:r w:rsidR="008D7D4A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assumed liability for the repayment</w:t>
      </w:r>
      <w:r w:rsidR="008D7D4A">
        <w:rPr>
          <w:rFonts w:ascii="Arial" w:hAnsi="Arial" w:cs="Arial"/>
        </w:rPr>
        <w:t xml:space="preserve"> due to undue influence induced by thr</w:t>
      </w:r>
      <w:r w:rsidR="00F406B2">
        <w:rPr>
          <w:rFonts w:ascii="Arial" w:hAnsi="Arial" w:cs="Arial"/>
        </w:rPr>
        <w:t>eats and harassment brought to b</w:t>
      </w:r>
      <w:r w:rsidR="008D7D4A">
        <w:rPr>
          <w:rFonts w:ascii="Arial" w:hAnsi="Arial" w:cs="Arial"/>
        </w:rPr>
        <w:t>e</w:t>
      </w:r>
      <w:r w:rsidR="00F406B2">
        <w:rPr>
          <w:rFonts w:ascii="Arial" w:hAnsi="Arial" w:cs="Arial"/>
        </w:rPr>
        <w:t>a</w:t>
      </w:r>
      <w:r w:rsidR="008D7D4A">
        <w:rPr>
          <w:rFonts w:ascii="Arial" w:hAnsi="Arial" w:cs="Arial"/>
        </w:rPr>
        <w:t xml:space="preserve">r upon her by the first plaintiff and his lawyers. The allegations are </w:t>
      </w:r>
      <w:r w:rsidR="00F406B2">
        <w:rPr>
          <w:rFonts w:ascii="Arial" w:hAnsi="Arial" w:cs="Arial"/>
        </w:rPr>
        <w:t>pertinently mentioned</w:t>
      </w:r>
      <w:r w:rsidR="00B64E83">
        <w:rPr>
          <w:rFonts w:ascii="Arial" w:hAnsi="Arial" w:cs="Arial"/>
        </w:rPr>
        <w:t xml:space="preserve"> in her affidavit, although somewhat economically as far as the </w:t>
      </w:r>
      <w:r w:rsidR="00F406B2">
        <w:rPr>
          <w:rFonts w:ascii="Arial" w:hAnsi="Arial" w:cs="Arial"/>
        </w:rPr>
        <w:t>full details</w:t>
      </w:r>
      <w:r w:rsidR="00B64E83">
        <w:rPr>
          <w:rFonts w:ascii="Arial" w:hAnsi="Arial" w:cs="Arial"/>
        </w:rPr>
        <w:t xml:space="preserve"> thereof are concerned.  </w:t>
      </w:r>
    </w:p>
    <w:p w:rsidR="00D2471B" w:rsidRDefault="00D2471B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D2471B" w:rsidRDefault="009F47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[6</w:t>
      </w:r>
      <w:r w:rsidR="00D2471B">
        <w:rPr>
          <w:rFonts w:ascii="Arial" w:hAnsi="Arial" w:cs="Arial"/>
        </w:rPr>
        <w:t>]</w:t>
      </w:r>
      <w:r w:rsidR="00D2471B">
        <w:rPr>
          <w:rFonts w:ascii="Arial" w:hAnsi="Arial" w:cs="Arial"/>
        </w:rPr>
        <w:tab/>
      </w:r>
      <w:r w:rsidR="00B64E83">
        <w:rPr>
          <w:rFonts w:ascii="Arial" w:hAnsi="Arial" w:cs="Arial"/>
        </w:rPr>
        <w:t>The first defendant seeks to bolster the veracity of the allegations with reference to the fact that the first defendant did n</w:t>
      </w:r>
      <w:r w:rsidR="00F406B2">
        <w:rPr>
          <w:rFonts w:ascii="Arial" w:hAnsi="Arial" w:cs="Arial"/>
        </w:rPr>
        <w:t>ot dispute the allegation in a</w:t>
      </w:r>
      <w:r w:rsidR="00B64E83">
        <w:rPr>
          <w:rFonts w:ascii="Arial" w:hAnsi="Arial" w:cs="Arial"/>
        </w:rPr>
        <w:t xml:space="preserve"> replying affidavit. The fact that the filing of a replying affidavit is not permissible seemingly escaped the first defendant and those advising her.</w:t>
      </w:r>
    </w:p>
    <w:p w:rsidR="00D2471B" w:rsidRDefault="00D2471B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D2471B" w:rsidRDefault="009F47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[7</w:t>
      </w:r>
      <w:r w:rsidR="00D2471B">
        <w:rPr>
          <w:rFonts w:ascii="Arial" w:hAnsi="Arial" w:cs="Arial"/>
        </w:rPr>
        <w:t>]</w:t>
      </w:r>
      <w:r w:rsidR="00F406B2">
        <w:rPr>
          <w:rFonts w:ascii="Arial" w:hAnsi="Arial" w:cs="Arial"/>
        </w:rPr>
        <w:t xml:space="preserve"> The power to grant or refuse</w:t>
      </w:r>
      <w:r w:rsidR="00B64E83">
        <w:rPr>
          <w:rFonts w:ascii="Arial" w:hAnsi="Arial" w:cs="Arial"/>
        </w:rPr>
        <w:t xml:space="preserve"> an application for summary judgement is a discretionary power not to be influenced by which side of the bed I got up from this morning</w:t>
      </w:r>
      <w:r>
        <w:rPr>
          <w:rFonts w:ascii="Arial" w:hAnsi="Arial" w:cs="Arial"/>
        </w:rPr>
        <w:t xml:space="preserve"> or</w:t>
      </w:r>
      <w:r w:rsidR="00F406B2">
        <w:rPr>
          <w:rFonts w:ascii="Arial" w:hAnsi="Arial" w:cs="Arial"/>
        </w:rPr>
        <w:t xml:space="preserve"> what my personal and subjective view is of the merits or demerits of the defence raised</w:t>
      </w:r>
      <w:r>
        <w:rPr>
          <w:rFonts w:ascii="Arial" w:hAnsi="Arial" w:cs="Arial"/>
        </w:rPr>
        <w:t>. It is</w:t>
      </w:r>
      <w:r w:rsidR="00B64E83">
        <w:rPr>
          <w:rFonts w:ascii="Arial" w:hAnsi="Arial" w:cs="Arial"/>
        </w:rPr>
        <w:t xml:space="preserve"> judicial </w:t>
      </w:r>
      <w:r w:rsidR="00B64E83">
        <w:rPr>
          <w:rFonts w:ascii="Arial" w:hAnsi="Arial" w:cs="Arial"/>
        </w:rPr>
        <w:lastRenderedPageBreak/>
        <w:t>discretion to be exercised</w:t>
      </w:r>
      <w:r w:rsidR="00F406B2">
        <w:rPr>
          <w:rFonts w:ascii="Arial" w:hAnsi="Arial" w:cs="Arial"/>
        </w:rPr>
        <w:t xml:space="preserve"> objectively</w:t>
      </w:r>
      <w:r w:rsidR="00B64E83">
        <w:rPr>
          <w:rFonts w:ascii="Arial" w:hAnsi="Arial" w:cs="Arial"/>
        </w:rPr>
        <w:t xml:space="preserve"> in accordance with the principles properly formulated by Masuku J in First National Bank Limited versus Andries Louw</w:t>
      </w:r>
      <w:r w:rsidR="00B64E83">
        <w:rPr>
          <w:rStyle w:val="FootnoteReference"/>
          <w:rFonts w:ascii="Arial" w:hAnsi="Arial" w:cs="Arial"/>
        </w:rPr>
        <w:footnoteReference w:id="1"/>
      </w:r>
      <w:r w:rsidR="00D2471B">
        <w:rPr>
          <w:rFonts w:ascii="Arial" w:hAnsi="Arial" w:cs="Arial"/>
        </w:rPr>
        <w:tab/>
      </w:r>
    </w:p>
    <w:p w:rsidR="00D2471B" w:rsidRDefault="00D2471B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7E64C4" w:rsidRDefault="009F47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[8</w:t>
      </w:r>
      <w:r w:rsidR="00D2471B">
        <w:rPr>
          <w:rFonts w:ascii="Arial" w:hAnsi="Arial" w:cs="Arial"/>
        </w:rPr>
        <w:t>]</w:t>
      </w:r>
      <w:r w:rsidR="007E64C4">
        <w:rPr>
          <w:rFonts w:ascii="Arial" w:hAnsi="Arial" w:cs="Arial"/>
        </w:rPr>
        <w:t xml:space="preserve"> Summary judgement is an extraordinary remedy to be granted only wh</w:t>
      </w:r>
      <w:r w:rsidR="00D34E11">
        <w:rPr>
          <w:rFonts w:ascii="Arial" w:hAnsi="Arial" w:cs="Arial"/>
        </w:rPr>
        <w:t>ere</w:t>
      </w:r>
      <w:r w:rsidR="00001E5F">
        <w:rPr>
          <w:rFonts w:ascii="Arial" w:hAnsi="Arial" w:cs="Arial"/>
        </w:rPr>
        <w:t xml:space="preserve"> th</w:t>
      </w:r>
      <w:r w:rsidR="007E64C4">
        <w:rPr>
          <w:rFonts w:ascii="Arial" w:hAnsi="Arial" w:cs="Arial"/>
        </w:rPr>
        <w:t>ere is no doubt</w:t>
      </w:r>
      <w:r w:rsidR="00F406B2">
        <w:rPr>
          <w:rFonts w:ascii="Arial" w:hAnsi="Arial" w:cs="Arial"/>
        </w:rPr>
        <w:t xml:space="preserve"> that</w:t>
      </w:r>
      <w:r w:rsidR="007E64C4">
        <w:rPr>
          <w:rFonts w:ascii="Arial" w:hAnsi="Arial" w:cs="Arial"/>
        </w:rPr>
        <w:t xml:space="preserve"> the plaintiff’s case is unansw</w:t>
      </w:r>
      <w:r w:rsidR="00D34E11">
        <w:rPr>
          <w:rFonts w:ascii="Arial" w:hAnsi="Arial" w:cs="Arial"/>
        </w:rPr>
        <w:t>erable or</w:t>
      </w:r>
      <w:r w:rsidR="007E64C4">
        <w:rPr>
          <w:rFonts w:ascii="Arial" w:hAnsi="Arial" w:cs="Arial"/>
        </w:rPr>
        <w:t xml:space="preserve"> to put it co</w:t>
      </w:r>
      <w:r w:rsidR="00001E5F">
        <w:rPr>
          <w:rFonts w:ascii="Arial" w:hAnsi="Arial" w:cs="Arial"/>
        </w:rPr>
        <w:t>nversely the defendant demonstrably</w:t>
      </w:r>
      <w:r w:rsidR="00D34E11">
        <w:rPr>
          <w:rFonts w:ascii="Arial" w:hAnsi="Arial" w:cs="Arial"/>
        </w:rPr>
        <w:t xml:space="preserve"> raises n</w:t>
      </w:r>
      <w:r w:rsidR="007E64C4">
        <w:rPr>
          <w:rFonts w:ascii="Arial" w:hAnsi="Arial" w:cs="Arial"/>
        </w:rPr>
        <w:t>o possible sustainable defence were th</w:t>
      </w:r>
      <w:r w:rsidR="00D34E11">
        <w:rPr>
          <w:rFonts w:ascii="Arial" w:hAnsi="Arial" w:cs="Arial"/>
        </w:rPr>
        <w:t xml:space="preserve">e </w:t>
      </w:r>
      <w:r w:rsidR="00F406B2">
        <w:rPr>
          <w:rFonts w:ascii="Arial" w:hAnsi="Arial" w:cs="Arial"/>
        </w:rPr>
        <w:t xml:space="preserve">matter to proceed to trial, or </w:t>
      </w:r>
      <w:r w:rsidR="00D34E11">
        <w:rPr>
          <w:rFonts w:ascii="Arial" w:hAnsi="Arial" w:cs="Arial"/>
        </w:rPr>
        <w:t>to</w:t>
      </w:r>
      <w:r w:rsidR="007E64C4">
        <w:rPr>
          <w:rFonts w:ascii="Arial" w:hAnsi="Arial" w:cs="Arial"/>
        </w:rPr>
        <w:t xml:space="preserve"> put it bluntly the case is hopeless.</w:t>
      </w:r>
    </w:p>
    <w:p w:rsidR="00D2471B" w:rsidRDefault="00D2471B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7E64C4" w:rsidRDefault="00CE6620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F47C4">
        <w:rPr>
          <w:rFonts w:ascii="Arial" w:hAnsi="Arial" w:cs="Arial"/>
        </w:rPr>
        <w:t>9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 w:rsidR="007E64C4">
        <w:rPr>
          <w:rFonts w:ascii="Arial" w:hAnsi="Arial" w:cs="Arial"/>
        </w:rPr>
        <w:t>The manner in which the defence is raised in the opposing</w:t>
      </w:r>
      <w:r w:rsidR="009F47C4">
        <w:rPr>
          <w:rFonts w:ascii="Arial" w:hAnsi="Arial" w:cs="Arial"/>
        </w:rPr>
        <w:t xml:space="preserve"> paper</w:t>
      </w:r>
      <w:r w:rsidR="00F406B2">
        <w:rPr>
          <w:rFonts w:ascii="Arial" w:hAnsi="Arial" w:cs="Arial"/>
        </w:rPr>
        <w:t>s</w:t>
      </w:r>
      <w:r w:rsidR="007E64C4">
        <w:rPr>
          <w:rFonts w:ascii="Arial" w:hAnsi="Arial" w:cs="Arial"/>
        </w:rPr>
        <w:t xml:space="preserve"> leave</w:t>
      </w:r>
      <w:r w:rsidR="00F406B2">
        <w:rPr>
          <w:rFonts w:ascii="Arial" w:hAnsi="Arial" w:cs="Arial"/>
        </w:rPr>
        <w:t>s</w:t>
      </w:r>
      <w:r w:rsidR="007E64C4">
        <w:rPr>
          <w:rFonts w:ascii="Arial" w:hAnsi="Arial" w:cs="Arial"/>
        </w:rPr>
        <w:t xml:space="preserve"> something to be desired and may well be criticised. A bit more detail may have been of some assistance. It is on the other hand not lacking to the extent that I should entirely ignore it</w:t>
      </w:r>
      <w:r w:rsidR="00F406B2">
        <w:rPr>
          <w:rFonts w:ascii="Arial" w:hAnsi="Arial" w:cs="Arial"/>
        </w:rPr>
        <w:t xml:space="preserve"> or dismiss</w:t>
      </w:r>
      <w:r w:rsidR="006C65EF">
        <w:rPr>
          <w:rFonts w:ascii="Arial" w:hAnsi="Arial" w:cs="Arial"/>
        </w:rPr>
        <w:t xml:space="preserve"> out of hand</w:t>
      </w:r>
      <w:r w:rsidR="007E64C4">
        <w:rPr>
          <w:rFonts w:ascii="Arial" w:hAnsi="Arial" w:cs="Arial"/>
        </w:rPr>
        <w:t>.</w:t>
      </w:r>
    </w:p>
    <w:p w:rsidR="007E64C4" w:rsidRDefault="007E64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7E64C4" w:rsidRDefault="009F47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[10</w:t>
      </w:r>
      <w:r w:rsidR="00D34E11">
        <w:rPr>
          <w:rFonts w:ascii="Arial" w:hAnsi="Arial" w:cs="Arial"/>
        </w:rPr>
        <w:t>]</w:t>
      </w:r>
      <w:r w:rsidR="00D34E11">
        <w:rPr>
          <w:rFonts w:ascii="Arial" w:hAnsi="Arial" w:cs="Arial"/>
        </w:rPr>
        <w:tab/>
        <w:t>I am inclined after all i</w:t>
      </w:r>
      <w:r w:rsidR="007E64C4">
        <w:rPr>
          <w:rFonts w:ascii="Arial" w:hAnsi="Arial" w:cs="Arial"/>
        </w:rPr>
        <w:t xml:space="preserve">s said and done to conclude that some defence is raised, which may well be </w:t>
      </w:r>
      <w:r w:rsidR="00D34E11">
        <w:rPr>
          <w:rFonts w:ascii="Arial" w:hAnsi="Arial" w:cs="Arial"/>
        </w:rPr>
        <w:t>sustainable</w:t>
      </w:r>
      <w:r w:rsidR="007E64C4">
        <w:rPr>
          <w:rFonts w:ascii="Arial" w:hAnsi="Arial" w:cs="Arial"/>
        </w:rPr>
        <w:t>. W</w:t>
      </w:r>
      <w:r w:rsidR="008D69D1">
        <w:rPr>
          <w:rFonts w:ascii="Arial" w:hAnsi="Arial" w:cs="Arial"/>
        </w:rPr>
        <w:t xml:space="preserve">hether or not it </w:t>
      </w:r>
      <w:r>
        <w:rPr>
          <w:rFonts w:ascii="Arial" w:hAnsi="Arial" w:cs="Arial"/>
        </w:rPr>
        <w:t xml:space="preserve">will </w:t>
      </w:r>
      <w:r w:rsidR="008D69D1">
        <w:rPr>
          <w:rFonts w:ascii="Arial" w:hAnsi="Arial" w:cs="Arial"/>
        </w:rPr>
        <w:t>ultimately</w:t>
      </w:r>
      <w:r w:rsidR="007E64C4">
        <w:rPr>
          <w:rFonts w:ascii="Arial" w:hAnsi="Arial" w:cs="Arial"/>
        </w:rPr>
        <w:t xml:space="preserve"> is an issue I need not dwell on or determine at this stage.</w:t>
      </w:r>
    </w:p>
    <w:p w:rsidR="007E64C4" w:rsidRDefault="007E64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E64C4" w:rsidRDefault="007E64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[12]</w:t>
      </w:r>
      <w:r>
        <w:rPr>
          <w:rFonts w:ascii="Arial" w:hAnsi="Arial" w:cs="Arial"/>
        </w:rPr>
        <w:tab/>
        <w:t>As a consequence the following orders will issue:</w:t>
      </w:r>
    </w:p>
    <w:p w:rsidR="00313BBA" w:rsidRDefault="007E64C4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3BBA" w:rsidRDefault="00313BBA" w:rsidP="00313BBA">
      <w:pPr>
        <w:pStyle w:val="BodyText"/>
        <w:numPr>
          <w:ilvl w:val="0"/>
          <w:numId w:val="5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is dismissed.</w:t>
      </w:r>
    </w:p>
    <w:p w:rsidR="00313BBA" w:rsidRDefault="00313BBA" w:rsidP="00313BBA">
      <w:pPr>
        <w:pStyle w:val="BodyText"/>
        <w:tabs>
          <w:tab w:val="left" w:pos="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3BBA" w:rsidRDefault="00313BBA" w:rsidP="00313BBA">
      <w:pPr>
        <w:pStyle w:val="BodyText"/>
        <w:numPr>
          <w:ilvl w:val="0"/>
          <w:numId w:val="5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defendant is granted leave to defend.</w:t>
      </w:r>
    </w:p>
    <w:p w:rsidR="00313BBA" w:rsidRDefault="00313BBA" w:rsidP="00313BBA">
      <w:pPr>
        <w:pStyle w:val="ListParagraph"/>
        <w:rPr>
          <w:rFonts w:ascii="Arial" w:hAnsi="Arial" w:cs="Arial"/>
        </w:rPr>
      </w:pPr>
    </w:p>
    <w:p w:rsidR="00313BBA" w:rsidRDefault="00313BBA" w:rsidP="00313BBA">
      <w:pPr>
        <w:pStyle w:val="BodyText"/>
        <w:numPr>
          <w:ilvl w:val="0"/>
          <w:numId w:val="5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costs of the application will stand over</w:t>
      </w:r>
      <w:r w:rsidRPr="00A83F8A">
        <w:rPr>
          <w:rFonts w:ascii="Arial" w:hAnsi="Arial" w:cs="Arial"/>
        </w:rPr>
        <w:t>.</w:t>
      </w:r>
    </w:p>
    <w:p w:rsidR="00313BBA" w:rsidRDefault="00313BBA" w:rsidP="00313BBA">
      <w:pPr>
        <w:pStyle w:val="ListParagraph"/>
        <w:rPr>
          <w:rFonts w:ascii="Arial" w:hAnsi="Arial" w:cs="Arial"/>
        </w:rPr>
      </w:pPr>
    </w:p>
    <w:p w:rsidR="00313BBA" w:rsidRPr="00A83F8A" w:rsidRDefault="00313BBA" w:rsidP="00313BBA">
      <w:pPr>
        <w:pStyle w:val="BodyText"/>
        <w:numPr>
          <w:ilvl w:val="0"/>
          <w:numId w:val="5"/>
        </w:num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case management conference will be held on 14 August 2017 at 14h00.</w:t>
      </w:r>
    </w:p>
    <w:p w:rsidR="00CE6620" w:rsidRDefault="00CE6620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D51FA6" w:rsidRDefault="00D51FA6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D51FA6" w:rsidRPr="00DB1F48" w:rsidRDefault="00D51FA6" w:rsidP="00CE6620">
      <w:pPr>
        <w:pStyle w:val="BodyText"/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CE6620" w:rsidRPr="00DB1F48" w:rsidRDefault="00CE6620" w:rsidP="00CE6620">
      <w:pPr>
        <w:jc w:val="both"/>
        <w:rPr>
          <w:rFonts w:cs="Arial"/>
          <w:szCs w:val="24"/>
        </w:rPr>
      </w:pPr>
    </w:p>
    <w:p w:rsidR="008206B9" w:rsidRDefault="008206B9" w:rsidP="00CE6620">
      <w:pPr>
        <w:jc w:val="right"/>
        <w:rPr>
          <w:rFonts w:cs="Arial"/>
          <w:szCs w:val="24"/>
        </w:rPr>
      </w:pPr>
    </w:p>
    <w:p w:rsidR="00CE6620" w:rsidRPr="00DB1F48" w:rsidRDefault="00CE6620" w:rsidP="00CE6620">
      <w:pPr>
        <w:jc w:val="right"/>
        <w:rPr>
          <w:rFonts w:cs="Arial"/>
          <w:szCs w:val="24"/>
        </w:rPr>
      </w:pPr>
      <w:r w:rsidRPr="00DB1F48">
        <w:rPr>
          <w:rFonts w:cs="Arial"/>
          <w:szCs w:val="24"/>
        </w:rPr>
        <w:t>---------------------</w:t>
      </w:r>
    </w:p>
    <w:p w:rsidR="00CE6620" w:rsidRPr="00DB1F48" w:rsidRDefault="00CE6620" w:rsidP="00CE6620">
      <w:pPr>
        <w:jc w:val="right"/>
        <w:rPr>
          <w:rFonts w:cs="Arial"/>
          <w:szCs w:val="24"/>
        </w:rPr>
      </w:pPr>
      <w:r w:rsidRPr="00DB1F48">
        <w:rPr>
          <w:rFonts w:cs="Arial"/>
          <w:szCs w:val="24"/>
        </w:rPr>
        <w:t>K Miller</w:t>
      </w:r>
    </w:p>
    <w:p w:rsidR="00CE6620" w:rsidRPr="00DB1F48" w:rsidRDefault="00CE6620" w:rsidP="00CE6620">
      <w:pPr>
        <w:jc w:val="right"/>
        <w:rPr>
          <w:rFonts w:cs="Arial"/>
          <w:szCs w:val="24"/>
        </w:rPr>
      </w:pPr>
      <w:r w:rsidRPr="00DB1F48">
        <w:rPr>
          <w:rFonts w:cs="Arial"/>
          <w:szCs w:val="24"/>
        </w:rPr>
        <w:t>Acting Judge</w:t>
      </w:r>
    </w:p>
    <w:p w:rsidR="00CE6620" w:rsidRPr="00DB1F48" w:rsidRDefault="00CE6620" w:rsidP="00CE6620">
      <w:pPr>
        <w:jc w:val="both"/>
        <w:rPr>
          <w:rFonts w:cs="Arial"/>
          <w:szCs w:val="24"/>
        </w:rPr>
      </w:pPr>
      <w:r w:rsidRPr="00DB1F48">
        <w:rPr>
          <w:rFonts w:cs="Arial"/>
          <w:szCs w:val="24"/>
        </w:rPr>
        <w:br w:type="page"/>
      </w:r>
    </w:p>
    <w:p w:rsidR="00CE6620" w:rsidRPr="00DB1F48" w:rsidRDefault="00CE6620" w:rsidP="00CE6620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B1F48">
        <w:rPr>
          <w:rFonts w:ascii="Arial" w:hAnsi="Arial" w:cs="Arial"/>
        </w:rPr>
        <w:t>APPEARANCES</w:t>
      </w:r>
    </w:p>
    <w:p w:rsidR="00CE6620" w:rsidRPr="00DB1F48" w:rsidRDefault="00CE6620" w:rsidP="00CE6620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E6620" w:rsidRPr="00DB1F48" w:rsidRDefault="00CE6620" w:rsidP="00CE6620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E6620" w:rsidRDefault="00CE6620" w:rsidP="00CE6620">
      <w:pPr>
        <w:tabs>
          <w:tab w:val="left" w:pos="1394"/>
          <w:tab w:val="left" w:pos="2250"/>
          <w:tab w:val="left" w:pos="288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APPLICANT</w:t>
      </w:r>
      <w:r w:rsidRPr="00DB1F48">
        <w:rPr>
          <w:rFonts w:cs="Arial"/>
          <w:szCs w:val="24"/>
        </w:rPr>
        <w:t>:</w:t>
      </w:r>
      <w:r w:rsidRPr="00DB1F48">
        <w:rPr>
          <w:rFonts w:cs="Arial"/>
          <w:szCs w:val="24"/>
        </w:rPr>
        <w:tab/>
      </w:r>
      <w:r w:rsidRPr="00DB1F48">
        <w:rPr>
          <w:rFonts w:cs="Arial"/>
          <w:szCs w:val="24"/>
        </w:rPr>
        <w:tab/>
      </w:r>
      <w:r w:rsidR="00577191">
        <w:rPr>
          <w:rFonts w:cs="Arial"/>
          <w:szCs w:val="24"/>
        </w:rPr>
        <w:t xml:space="preserve">Ms Schimming-Chase </w:t>
      </w:r>
    </w:p>
    <w:p w:rsidR="00CE6620" w:rsidRPr="00DB1F48" w:rsidRDefault="00CE6620" w:rsidP="00CE6620">
      <w:pPr>
        <w:tabs>
          <w:tab w:val="left" w:pos="1394"/>
          <w:tab w:val="left" w:pos="2250"/>
          <w:tab w:val="left" w:pos="288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77191">
        <w:rPr>
          <w:rFonts w:cs="Arial"/>
          <w:szCs w:val="24"/>
        </w:rPr>
        <w:t>Instructed by Du Toit Associates</w:t>
      </w:r>
    </w:p>
    <w:p w:rsidR="00CE6620" w:rsidRPr="00DB1F48" w:rsidRDefault="00CE6620" w:rsidP="00CE662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E6620" w:rsidRPr="00DB1F48" w:rsidRDefault="00CE6620" w:rsidP="00CE6620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CE6620" w:rsidRPr="00DB1F48" w:rsidRDefault="00CE6620" w:rsidP="00CE6620">
      <w:pPr>
        <w:tabs>
          <w:tab w:val="left" w:pos="1394"/>
          <w:tab w:val="left" w:pos="2250"/>
          <w:tab w:val="left" w:pos="288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RESPONDENTS</w:t>
      </w:r>
      <w:r w:rsidRPr="00DB1F48">
        <w:rPr>
          <w:rFonts w:cs="Arial"/>
          <w:szCs w:val="24"/>
        </w:rPr>
        <w:t>:</w:t>
      </w:r>
      <w:r w:rsidRPr="00DB1F48">
        <w:rPr>
          <w:rFonts w:cs="Arial"/>
          <w:szCs w:val="24"/>
        </w:rPr>
        <w:tab/>
      </w:r>
      <w:r w:rsidRPr="00DB1F48">
        <w:rPr>
          <w:rFonts w:cs="Arial"/>
          <w:szCs w:val="24"/>
        </w:rPr>
        <w:tab/>
      </w:r>
      <w:r w:rsidR="00577191">
        <w:rPr>
          <w:rFonts w:cs="Arial"/>
          <w:szCs w:val="24"/>
        </w:rPr>
        <w:t>Mr Amoomo</w:t>
      </w:r>
      <w:r w:rsidRPr="00DB1F48">
        <w:rPr>
          <w:rFonts w:cs="Arial"/>
          <w:szCs w:val="24"/>
        </w:rPr>
        <w:tab/>
      </w:r>
      <w:r w:rsidRPr="00DB1F48">
        <w:rPr>
          <w:rFonts w:cs="Arial"/>
          <w:szCs w:val="24"/>
        </w:rPr>
        <w:tab/>
        <w:t xml:space="preserve"> </w:t>
      </w:r>
    </w:p>
    <w:p w:rsidR="00CE6620" w:rsidRPr="00DB1F48" w:rsidRDefault="00CE6620" w:rsidP="00CE6620">
      <w:pPr>
        <w:autoSpaceDE w:val="0"/>
        <w:autoSpaceDN w:val="0"/>
        <w:adjustRightInd w:val="0"/>
        <w:ind w:left="2250" w:firstLine="63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Of </w:t>
      </w:r>
      <w:r w:rsidR="00577191">
        <w:rPr>
          <w:rFonts w:cs="Arial"/>
          <w:szCs w:val="24"/>
        </w:rPr>
        <w:t>Kadhila Amoomo Legal Practitioners</w:t>
      </w:r>
    </w:p>
    <w:p w:rsidR="00CE6620" w:rsidRPr="00DB1F48" w:rsidRDefault="00CE6620" w:rsidP="00CE6620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CE6620" w:rsidRPr="00DB1F48" w:rsidRDefault="00CE6620" w:rsidP="00CE6620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CE6620" w:rsidRPr="00DB1F48" w:rsidRDefault="00CE6620" w:rsidP="00CE6620">
      <w:pPr>
        <w:pStyle w:val="BodyTextIndent"/>
        <w:tabs>
          <w:tab w:val="left" w:pos="1394"/>
          <w:tab w:val="left" w:pos="2528"/>
          <w:tab w:val="left" w:pos="3780"/>
        </w:tabs>
        <w:spacing w:line="360" w:lineRule="auto"/>
        <w:ind w:left="0"/>
        <w:jc w:val="both"/>
        <w:rPr>
          <w:rFonts w:ascii="Arial" w:hAnsi="Arial" w:cs="Arial"/>
        </w:rPr>
      </w:pPr>
    </w:p>
    <w:p w:rsidR="00317026" w:rsidRDefault="00317026"/>
    <w:sectPr w:rsidR="00317026" w:rsidSect="008206B9">
      <w:headerReference w:type="defaul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0E" w:rsidRDefault="004B430E" w:rsidP="00B64E83">
      <w:pPr>
        <w:spacing w:line="240" w:lineRule="auto"/>
      </w:pPr>
      <w:r>
        <w:separator/>
      </w:r>
    </w:p>
  </w:endnote>
  <w:endnote w:type="continuationSeparator" w:id="0">
    <w:p w:rsidR="004B430E" w:rsidRDefault="004B430E" w:rsidP="00B64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0E" w:rsidRDefault="004B430E" w:rsidP="00B64E83">
      <w:pPr>
        <w:spacing w:line="240" w:lineRule="auto"/>
      </w:pPr>
      <w:r>
        <w:separator/>
      </w:r>
    </w:p>
  </w:footnote>
  <w:footnote w:type="continuationSeparator" w:id="0">
    <w:p w:rsidR="004B430E" w:rsidRDefault="004B430E" w:rsidP="00B64E83">
      <w:pPr>
        <w:spacing w:line="240" w:lineRule="auto"/>
      </w:pPr>
      <w:r>
        <w:continuationSeparator/>
      </w:r>
    </w:p>
  </w:footnote>
  <w:footnote w:id="1">
    <w:p w:rsidR="00B64E83" w:rsidRPr="00B64E83" w:rsidRDefault="00B64E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I146/2014[2015]NAHCMD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03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06B9" w:rsidRDefault="008206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6B9" w:rsidRDefault="00820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543"/>
    <w:multiLevelType w:val="hybridMultilevel"/>
    <w:tmpl w:val="8432E64C"/>
    <w:lvl w:ilvl="0" w:tplc="3980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570FE"/>
    <w:multiLevelType w:val="hybridMultilevel"/>
    <w:tmpl w:val="ABAE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5235"/>
    <w:multiLevelType w:val="hybridMultilevel"/>
    <w:tmpl w:val="ABAE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6A6"/>
    <w:multiLevelType w:val="hybridMultilevel"/>
    <w:tmpl w:val="B1E8B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935"/>
    <w:multiLevelType w:val="hybridMultilevel"/>
    <w:tmpl w:val="D302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5D4F"/>
    <w:multiLevelType w:val="hybridMultilevel"/>
    <w:tmpl w:val="ABAE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0"/>
    <w:rsid w:val="00001E5F"/>
    <w:rsid w:val="0003326F"/>
    <w:rsid w:val="0006293D"/>
    <w:rsid w:val="000804B1"/>
    <w:rsid w:val="000F2E10"/>
    <w:rsid w:val="00164B16"/>
    <w:rsid w:val="001A23ED"/>
    <w:rsid w:val="00255A1C"/>
    <w:rsid w:val="002641A1"/>
    <w:rsid w:val="002A0B73"/>
    <w:rsid w:val="00313BBA"/>
    <w:rsid w:val="00317026"/>
    <w:rsid w:val="004B430E"/>
    <w:rsid w:val="004B750D"/>
    <w:rsid w:val="00566760"/>
    <w:rsid w:val="00577191"/>
    <w:rsid w:val="00682CC2"/>
    <w:rsid w:val="006C65EF"/>
    <w:rsid w:val="00742DC9"/>
    <w:rsid w:val="007E64C4"/>
    <w:rsid w:val="008206B9"/>
    <w:rsid w:val="008D69D1"/>
    <w:rsid w:val="008D7D4A"/>
    <w:rsid w:val="008E089A"/>
    <w:rsid w:val="00933E2F"/>
    <w:rsid w:val="00992512"/>
    <w:rsid w:val="009C70E6"/>
    <w:rsid w:val="009F47C4"/>
    <w:rsid w:val="00AE3EA6"/>
    <w:rsid w:val="00B13F6B"/>
    <w:rsid w:val="00B64E83"/>
    <w:rsid w:val="00B737D9"/>
    <w:rsid w:val="00BD49DD"/>
    <w:rsid w:val="00CE6620"/>
    <w:rsid w:val="00D2471B"/>
    <w:rsid w:val="00D34E11"/>
    <w:rsid w:val="00D51FA6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1AD0B9-F1F7-47A3-9085-D5281FD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E6620"/>
    <w:pPr>
      <w:spacing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6620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E6620"/>
    <w:pPr>
      <w:spacing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6620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66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E8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E8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4E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65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65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2017-07-30T18:30:00+00:00</Judgment_x0020_Date>
    <Year xmlns="c1afb1bd-f2fb-40fd-9abb-aea55b4d7662">2017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909D-8158-4614-B574-3806140D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c1afb1bd-f2fb-40fd-9abb-aea55b4d7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EB49A-49C1-4806-B5D4-2ACE1B2B9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469F7-2C3C-48C8-9CCF-DA529490C76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a0f4bd-1162-49ac-b85f-dfe96a90bc01"/>
    <ds:schemaRef ds:uri="http://purl.org/dc/terms/"/>
    <ds:schemaRef ds:uri="http://schemas.openxmlformats.org/package/2006/metadata/core-properties"/>
    <ds:schemaRef ds:uri="c1afb1bd-f2fb-40fd-9abb-aea55b4d76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5C597B-0139-42CF-8452-E805C3D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Nicolene Griffiths</dc:creator>
  <cp:keywords/>
  <dc:description/>
  <cp:lastModifiedBy>NamibLII</cp:lastModifiedBy>
  <cp:revision>2</cp:revision>
  <cp:lastPrinted>2017-07-31T07:20:00Z</cp:lastPrinted>
  <dcterms:created xsi:type="dcterms:W3CDTF">2017-08-03T10:47:00Z</dcterms:created>
  <dcterms:modified xsi:type="dcterms:W3CDTF">2017-08-03T10:47:00Z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