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63EE" w:rsidRDefault="001B63EE" w:rsidP="001B63EE">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61312" behindDoc="0" locked="0" layoutInCell="1" allowOverlap="1" wp14:anchorId="13E39ED8" wp14:editId="1E5182E3">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1B63EE" w:rsidRDefault="001B63EE" w:rsidP="001B63EE">
                            <w:pPr>
                              <w:jc w:val="center"/>
                              <w:rPr>
                                <w:rFonts w:ascii="Arial" w:hAnsi="Arial" w:cs="Arial"/>
                                <w:b/>
                              </w:rPr>
                            </w:pPr>
                            <w:r>
                              <w:rPr>
                                <w:rFonts w:ascii="Arial" w:hAnsi="Arial" w:cs="Arial"/>
                                <w:b/>
                              </w:rPr>
                              <w:t>NOT REPORTABLE</w:t>
                            </w:r>
                          </w:p>
                          <w:p w:rsidR="001B63EE" w:rsidRDefault="001B63EE" w:rsidP="001B63EE">
                            <w:pPr>
                              <w:jc w:val="center"/>
                            </w:pPr>
                          </w:p>
                          <w:p w:rsidR="001B63EE" w:rsidRDefault="001B63EE" w:rsidP="001B63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ED8"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" strokecolor="white [3212]">
                <v:textbox>
                  <w:txbxContent>
                    <w:p w:rsidR="001B63EE" w:rsidRDefault="001B63EE" w:rsidP="001B63EE">
                      <w:pPr>
                        <w:jc w:val="center"/>
                        <w:rPr>
                          <w:rFonts w:ascii="Arial" w:hAnsi="Arial" w:cs="Arial"/>
                          <w:b/>
                        </w:rPr>
                      </w:pPr>
                      <w:r>
                        <w:rPr>
                          <w:rFonts w:ascii="Arial" w:hAnsi="Arial" w:cs="Arial"/>
                          <w:b/>
                        </w:rPr>
                        <w:t>NOT REPORTABLE</w:t>
                      </w:r>
                    </w:p>
                    <w:p w:rsidR="001B63EE" w:rsidRDefault="001B63EE" w:rsidP="001B63EE">
                      <w:pPr>
                        <w:jc w:val="center"/>
                      </w:pPr>
                    </w:p>
                    <w:p w:rsidR="001B63EE" w:rsidRDefault="001B63EE" w:rsidP="001B63EE">
                      <w:pPr>
                        <w:jc w:val="center"/>
                      </w:pPr>
                    </w:p>
                  </w:txbxContent>
                </v:textbox>
              </v:shape>
            </w:pict>
          </mc:Fallback>
        </mc:AlternateContent>
      </w:r>
      <w:r>
        <w:rPr>
          <w:rFonts w:ascii="Arial" w:hAnsi="Arial" w:cs="Arial"/>
          <w:b/>
          <w:sz w:val="24"/>
          <w:szCs w:val="24"/>
        </w:rPr>
        <w:t>REPUBLIC OF NAMIBIA</w:t>
      </w:r>
    </w:p>
    <w:p w:rsidR="001B63EE" w:rsidRDefault="001B63EE" w:rsidP="001B63EE">
      <w:pPr>
        <w:spacing w:after="0" w:line="360" w:lineRule="auto"/>
        <w:jc w:val="center"/>
        <w:rPr>
          <w:b/>
          <w:sz w:val="32"/>
          <w:szCs w:val="32"/>
        </w:rPr>
      </w:pPr>
      <w:r>
        <w:rPr>
          <w:b/>
          <w:noProof/>
          <w:sz w:val="32"/>
          <w:szCs w:val="32"/>
          <w:lang w:val="en-US"/>
        </w:rPr>
        <w:drawing>
          <wp:inline distT="0" distB="0" distL="0" distR="0" wp14:anchorId="3816FDB5" wp14:editId="650FC7EB">
            <wp:extent cx="1276350" cy="1323975"/>
            <wp:effectExtent l="0" t="0" r="0" b="952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63EE" w:rsidRDefault="001B63EE" w:rsidP="001B63EE">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1B63EE" w:rsidRDefault="001B63EE" w:rsidP="001B63EE">
      <w:pPr>
        <w:spacing w:after="0" w:line="360" w:lineRule="auto"/>
        <w:jc w:val="center"/>
        <w:rPr>
          <w:rFonts w:ascii="Arial" w:hAnsi="Arial" w:cs="Arial"/>
          <w:b/>
          <w:sz w:val="24"/>
          <w:szCs w:val="24"/>
        </w:rPr>
      </w:pPr>
    </w:p>
    <w:p w:rsidR="001B63EE" w:rsidRDefault="001B63EE" w:rsidP="001B63EE">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1B63EE" w:rsidRDefault="001B63EE" w:rsidP="001B63EE">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 CR 50 /2017</w:t>
      </w:r>
    </w:p>
    <w:p w:rsidR="00AC4C28" w:rsidRPr="006E026B" w:rsidRDefault="00AC4C28" w:rsidP="001B63EE">
      <w:pPr>
        <w:spacing w:after="0" w:line="360" w:lineRule="auto"/>
        <w:jc w:val="center"/>
        <w:rPr>
          <w:rFonts w:ascii="Arial" w:hAnsi="Arial" w:cs="Arial"/>
          <w:sz w:val="24"/>
          <w:szCs w:val="24"/>
        </w:rPr>
      </w:pPr>
    </w:p>
    <w:p w:rsidR="00AC4C28" w:rsidRDefault="00AC4C28" w:rsidP="00AC4C28">
      <w:pPr>
        <w:pStyle w:val="Heading4"/>
        <w:tabs>
          <w:tab w:val="right" w:pos="9000"/>
        </w:tabs>
        <w:spacing w:line="480" w:lineRule="auto"/>
        <w:jc w:val="both"/>
        <w:rPr>
          <w:rFonts w:cs="Arial"/>
          <w:b/>
          <w:sz w:val="24"/>
        </w:rPr>
      </w:pPr>
      <w:r>
        <w:rPr>
          <w:rFonts w:cs="Arial"/>
          <w:b/>
          <w:sz w:val="24"/>
        </w:rPr>
        <w:t>THE STATE</w:t>
      </w:r>
    </w:p>
    <w:p w:rsidR="007A1AC8" w:rsidRPr="007A1AC8" w:rsidRDefault="007A1AC8" w:rsidP="007A1AC8">
      <w:pPr>
        <w:rPr>
          <w:lang w:val="en-GB"/>
        </w:rPr>
      </w:pPr>
    </w:p>
    <w:p w:rsidR="00AC4C28" w:rsidRDefault="007A1AC8" w:rsidP="00AC4C28">
      <w:pPr>
        <w:spacing w:after="0" w:line="480" w:lineRule="auto"/>
        <w:jc w:val="both"/>
        <w:rPr>
          <w:rFonts w:ascii="Arial" w:hAnsi="Arial" w:cs="Arial"/>
          <w:sz w:val="24"/>
          <w:szCs w:val="24"/>
        </w:rPr>
      </w:pPr>
      <w:r>
        <w:rPr>
          <w:rFonts w:ascii="Arial" w:hAnsi="Arial" w:cs="Arial"/>
          <w:sz w:val="24"/>
          <w:szCs w:val="24"/>
        </w:rPr>
        <w:t>And</w:t>
      </w:r>
    </w:p>
    <w:p w:rsidR="007A1AC8" w:rsidRPr="00DE56AA" w:rsidRDefault="007A1AC8" w:rsidP="00AC4C28">
      <w:pPr>
        <w:spacing w:after="0" w:line="480" w:lineRule="auto"/>
        <w:jc w:val="both"/>
        <w:rPr>
          <w:rFonts w:ascii="Arial" w:hAnsi="Arial" w:cs="Arial"/>
          <w:sz w:val="24"/>
          <w:szCs w:val="24"/>
        </w:rPr>
      </w:pPr>
    </w:p>
    <w:p w:rsidR="00AC4C28" w:rsidRDefault="00AC4C28" w:rsidP="00AC4C28">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SEUN AFRIKANER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A1AC8">
        <w:rPr>
          <w:rFonts w:ascii="Arial" w:hAnsi="Arial" w:cs="Arial"/>
          <w:b/>
          <w:sz w:val="24"/>
          <w:szCs w:val="24"/>
        </w:rPr>
        <w:t xml:space="preserve">      </w:t>
      </w:r>
      <w:r>
        <w:rPr>
          <w:rFonts w:ascii="Arial" w:hAnsi="Arial" w:cs="Arial"/>
          <w:b/>
          <w:sz w:val="24"/>
          <w:szCs w:val="24"/>
        </w:rPr>
        <w:t>ACCUSED 1</w:t>
      </w:r>
    </w:p>
    <w:p w:rsidR="00AC4C28" w:rsidRPr="002A560C" w:rsidRDefault="00AC4C28" w:rsidP="00AC4C28">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LUKAS HOKA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A1AC8">
        <w:rPr>
          <w:rFonts w:ascii="Arial" w:hAnsi="Arial" w:cs="Arial"/>
          <w:b/>
          <w:sz w:val="24"/>
          <w:szCs w:val="24"/>
        </w:rPr>
        <w:t xml:space="preserve">      </w:t>
      </w:r>
      <w:r>
        <w:rPr>
          <w:rFonts w:ascii="Arial" w:hAnsi="Arial" w:cs="Arial"/>
          <w:b/>
          <w:sz w:val="24"/>
          <w:szCs w:val="24"/>
        </w:rPr>
        <w:t>ACCUSED 2</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C4C28" w:rsidRDefault="00AC4C28" w:rsidP="00AC4C28">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1530/2016)</w:t>
      </w:r>
    </w:p>
    <w:p w:rsidR="00AC4C28" w:rsidRPr="004854F9" w:rsidRDefault="00AC4C28" w:rsidP="00AC4C28">
      <w:pPr>
        <w:spacing w:after="0" w:line="360" w:lineRule="auto"/>
        <w:ind w:left="2160" w:hanging="2160"/>
        <w:jc w:val="center"/>
        <w:rPr>
          <w:rFonts w:ascii="Arial" w:hAnsi="Arial" w:cs="Arial"/>
          <w:sz w:val="24"/>
          <w:szCs w:val="24"/>
        </w:rPr>
      </w:pPr>
      <w:r>
        <w:rPr>
          <w:rFonts w:ascii="Arial" w:hAnsi="Arial" w:cs="Arial"/>
          <w:sz w:val="24"/>
          <w:szCs w:val="24"/>
        </w:rPr>
        <w:t>(MAGISTRATE’S SERIAL NO. 148/2016)</w:t>
      </w:r>
    </w:p>
    <w:p w:rsidR="00AC4C28" w:rsidRDefault="00AC4C28" w:rsidP="00AC4C28">
      <w:pPr>
        <w:spacing w:after="0" w:line="360" w:lineRule="auto"/>
        <w:jc w:val="both"/>
        <w:rPr>
          <w:rFonts w:ascii="Arial" w:hAnsi="Arial" w:cs="Arial"/>
          <w:sz w:val="24"/>
          <w:szCs w:val="24"/>
        </w:rPr>
      </w:pPr>
    </w:p>
    <w:p w:rsidR="00AC4C28" w:rsidRPr="00DE1D8E" w:rsidRDefault="00AC4C28" w:rsidP="00AC4C2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t xml:space="preserve">S v Afrikaner </w:t>
      </w:r>
      <w:r>
        <w:rPr>
          <w:rFonts w:ascii="Arial" w:hAnsi="Arial" w:cs="Arial"/>
          <w:sz w:val="24"/>
          <w:szCs w:val="24"/>
        </w:rPr>
        <w:t>(CR</w:t>
      </w:r>
      <w:r w:rsidR="001A39ED">
        <w:rPr>
          <w:rFonts w:ascii="Arial" w:hAnsi="Arial" w:cs="Arial"/>
          <w:sz w:val="24"/>
          <w:szCs w:val="24"/>
        </w:rPr>
        <w:t xml:space="preserve"> 50</w:t>
      </w:r>
      <w:r>
        <w:rPr>
          <w:rFonts w:ascii="Arial" w:hAnsi="Arial" w:cs="Arial"/>
          <w:sz w:val="24"/>
          <w:szCs w:val="24"/>
        </w:rPr>
        <w:t xml:space="preserve"> /2017) [2017] NAHCMD</w:t>
      </w:r>
      <w:r w:rsidR="008776F1">
        <w:rPr>
          <w:rFonts w:ascii="Arial" w:hAnsi="Arial" w:cs="Arial"/>
          <w:sz w:val="24"/>
          <w:szCs w:val="24"/>
        </w:rPr>
        <w:t xml:space="preserve"> </w:t>
      </w:r>
      <w:r w:rsidR="001A39ED">
        <w:rPr>
          <w:rFonts w:ascii="Arial" w:hAnsi="Arial" w:cs="Arial"/>
          <w:sz w:val="24"/>
          <w:szCs w:val="24"/>
        </w:rPr>
        <w:t>221</w:t>
      </w:r>
      <w:r>
        <w:rPr>
          <w:rFonts w:ascii="Arial" w:hAnsi="Arial" w:cs="Arial"/>
          <w:sz w:val="24"/>
          <w:szCs w:val="24"/>
        </w:rPr>
        <w:t xml:space="preserve"> (</w:t>
      </w:r>
      <w:r w:rsidR="008776F1">
        <w:rPr>
          <w:rFonts w:ascii="Arial" w:hAnsi="Arial" w:cs="Arial"/>
          <w:sz w:val="24"/>
          <w:szCs w:val="24"/>
        </w:rPr>
        <w:t>11 August</w:t>
      </w:r>
      <w:r>
        <w:rPr>
          <w:rFonts w:ascii="Arial" w:hAnsi="Arial" w:cs="Arial"/>
          <w:sz w:val="24"/>
          <w:szCs w:val="24"/>
        </w:rPr>
        <w:t xml:space="preserve"> 2017)</w:t>
      </w:r>
    </w:p>
    <w:p w:rsidR="00AC4C28" w:rsidRDefault="00AC4C28" w:rsidP="00AC4C28">
      <w:pPr>
        <w:spacing w:after="0" w:line="360" w:lineRule="auto"/>
        <w:ind w:left="1440" w:hanging="1440"/>
        <w:jc w:val="both"/>
        <w:rPr>
          <w:rFonts w:ascii="Arial" w:hAnsi="Arial" w:cs="Arial"/>
          <w:b/>
          <w:sz w:val="24"/>
          <w:szCs w:val="24"/>
        </w:rPr>
      </w:pPr>
    </w:p>
    <w:p w:rsidR="00AC4C28" w:rsidRDefault="00AC4C28" w:rsidP="007A1AC8">
      <w:pPr>
        <w:spacing w:after="0" w:line="360" w:lineRule="auto"/>
        <w:ind w:left="1440" w:hanging="1440"/>
        <w:jc w:val="both"/>
        <w:rPr>
          <w:rFonts w:ascii="Arial" w:hAnsi="Arial" w:cs="Arial"/>
          <w:b/>
          <w:bCs/>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SHIVUTE J</w:t>
      </w:r>
      <w:r w:rsidR="00D553F2">
        <w:rPr>
          <w:rFonts w:ascii="Arial" w:hAnsi="Arial" w:cs="Arial"/>
          <w:sz w:val="24"/>
          <w:szCs w:val="24"/>
        </w:rPr>
        <w:t xml:space="preserve"> and SIBOLEKA J </w:t>
      </w:r>
    </w:p>
    <w:p w:rsidR="00AC4C28" w:rsidRPr="009321F4" w:rsidRDefault="00AC4C28" w:rsidP="00AC4C28">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8776F1">
        <w:rPr>
          <w:rFonts w:ascii="Arial" w:hAnsi="Arial" w:cs="Arial"/>
          <w:sz w:val="24"/>
          <w:szCs w:val="24"/>
        </w:rPr>
        <w:t xml:space="preserve">11 August </w:t>
      </w:r>
      <w:r>
        <w:rPr>
          <w:rFonts w:ascii="Arial" w:hAnsi="Arial" w:cs="Arial"/>
          <w:sz w:val="24"/>
          <w:szCs w:val="24"/>
        </w:rPr>
        <w:t>2017</w:t>
      </w:r>
    </w:p>
    <w:p w:rsidR="00AC4C28" w:rsidRDefault="00AC4C28" w:rsidP="00AC4C28">
      <w:pPr>
        <w:spacing w:after="0" w:line="360" w:lineRule="auto"/>
        <w:jc w:val="both"/>
        <w:rPr>
          <w:rFonts w:ascii="Arial" w:hAnsi="Arial" w:cs="Arial"/>
          <w:b/>
          <w:sz w:val="24"/>
          <w:szCs w:val="24"/>
        </w:rPr>
      </w:pPr>
    </w:p>
    <w:p w:rsidR="00AC4C28" w:rsidRDefault="00AC4C28" w:rsidP="00AC4C28">
      <w:pPr>
        <w:spacing w:after="0" w:line="360" w:lineRule="auto"/>
        <w:jc w:val="both"/>
        <w:rPr>
          <w:rFonts w:ascii="Arial" w:hAnsi="Arial" w:cs="Arial"/>
          <w:b/>
          <w:sz w:val="24"/>
          <w:szCs w:val="24"/>
        </w:rPr>
      </w:pPr>
    </w:p>
    <w:p w:rsidR="00AC4C28" w:rsidRDefault="00AC4C28" w:rsidP="00AC4C28">
      <w:pPr>
        <w:spacing w:after="0" w:line="360" w:lineRule="auto"/>
        <w:jc w:val="both"/>
        <w:rPr>
          <w:rFonts w:ascii="Arial" w:hAnsi="Arial" w:cs="Arial"/>
          <w:b/>
          <w:sz w:val="24"/>
          <w:szCs w:val="24"/>
        </w:rPr>
      </w:pPr>
    </w:p>
    <w:p w:rsidR="00AC4C28" w:rsidRDefault="00AC4C28" w:rsidP="00AC4C28">
      <w:pPr>
        <w:spacing w:after="0" w:line="360" w:lineRule="auto"/>
        <w:jc w:val="both"/>
        <w:rPr>
          <w:rFonts w:ascii="Arial" w:hAnsi="Arial" w:cs="Arial"/>
          <w:b/>
          <w:sz w:val="24"/>
          <w:szCs w:val="24"/>
        </w:rPr>
      </w:pPr>
    </w:p>
    <w:p w:rsidR="008776F1" w:rsidRDefault="008776F1" w:rsidP="00AC4C28">
      <w:pPr>
        <w:spacing w:after="0" w:line="360" w:lineRule="auto"/>
        <w:jc w:val="both"/>
        <w:rPr>
          <w:rFonts w:ascii="Arial" w:hAnsi="Arial" w:cs="Arial"/>
          <w:b/>
          <w:sz w:val="24"/>
          <w:szCs w:val="24"/>
        </w:rPr>
      </w:pPr>
    </w:p>
    <w:p w:rsidR="00AC4C28" w:rsidRPr="006E026B" w:rsidRDefault="00BF6485" w:rsidP="00AC4C28">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AC4C28" w:rsidRPr="006E026B" w:rsidRDefault="00AC4C28" w:rsidP="00AC4C28">
      <w:pPr>
        <w:spacing w:after="0" w:line="360" w:lineRule="auto"/>
        <w:jc w:val="center"/>
        <w:rPr>
          <w:rFonts w:ascii="Arial" w:hAnsi="Arial" w:cs="Arial"/>
          <w:b/>
          <w:bCs/>
          <w:sz w:val="24"/>
          <w:szCs w:val="24"/>
        </w:rPr>
      </w:pPr>
      <w:r w:rsidRPr="006E026B">
        <w:rPr>
          <w:rFonts w:ascii="Arial" w:hAnsi="Arial" w:cs="Arial"/>
          <w:b/>
          <w:bCs/>
          <w:sz w:val="24"/>
          <w:szCs w:val="24"/>
        </w:rPr>
        <w:t>ORDER</w:t>
      </w:r>
    </w:p>
    <w:p w:rsidR="00AC4C28" w:rsidRDefault="00BF6485" w:rsidP="00AC4C28">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8776F1" w:rsidRDefault="008776F1" w:rsidP="008776F1">
      <w:pPr>
        <w:spacing w:line="360" w:lineRule="auto"/>
        <w:jc w:val="both"/>
        <w:rPr>
          <w:rFonts w:ascii="Arial" w:hAnsi="Arial" w:cs="Arial"/>
          <w:sz w:val="24"/>
        </w:rPr>
      </w:pPr>
      <w:r>
        <w:rPr>
          <w:rFonts w:ascii="Arial" w:hAnsi="Arial" w:cs="Arial"/>
          <w:sz w:val="24"/>
        </w:rPr>
        <w:t>a)</w:t>
      </w:r>
      <w:r>
        <w:rPr>
          <w:rFonts w:ascii="Arial" w:hAnsi="Arial" w:cs="Arial"/>
          <w:sz w:val="24"/>
        </w:rPr>
        <w:tab/>
        <w:t>The conviction and sentence in respect of accused 1 are confirmed.</w:t>
      </w:r>
    </w:p>
    <w:p w:rsidR="008776F1" w:rsidRPr="003662F8" w:rsidRDefault="008776F1" w:rsidP="008776F1">
      <w:pPr>
        <w:spacing w:line="360" w:lineRule="auto"/>
        <w:jc w:val="both"/>
        <w:rPr>
          <w:rFonts w:ascii="Arial" w:hAnsi="Arial" w:cs="Arial"/>
          <w:b/>
          <w:sz w:val="24"/>
        </w:rPr>
      </w:pPr>
      <w:r>
        <w:rPr>
          <w:rFonts w:ascii="Arial" w:hAnsi="Arial" w:cs="Arial"/>
          <w:sz w:val="24"/>
        </w:rPr>
        <w:t>b)</w:t>
      </w:r>
      <w:r>
        <w:rPr>
          <w:rFonts w:ascii="Arial" w:hAnsi="Arial" w:cs="Arial"/>
          <w:sz w:val="24"/>
        </w:rPr>
        <w:tab/>
        <w:t xml:space="preserve">The conviction and sentence in respect of accused 2 are set aside. </w:t>
      </w:r>
    </w:p>
    <w:p w:rsidR="00AC4C28" w:rsidRPr="00DB54C6" w:rsidRDefault="00BF6485" w:rsidP="00AC4C28">
      <w:pPr>
        <w:spacing w:after="0" w:line="360" w:lineRule="auto"/>
        <w:jc w:val="both"/>
        <w:rPr>
          <w:rFonts w:ascii="Arial" w:hAnsi="Arial" w:cs="Arial"/>
          <w:bCs/>
          <w:sz w:val="24"/>
          <w:szCs w:val="24"/>
        </w:rPr>
      </w:pPr>
      <w:r>
        <w:pict>
          <v:rect id="_x0000_i1027" style="width:0;height:1.5pt" o:hralign="center" o:hrstd="t" o:hr="t" fillcolor="#a0a0a0" stroked="f"/>
        </w:pict>
      </w:r>
    </w:p>
    <w:p w:rsidR="00AC4C28" w:rsidRPr="006E026B" w:rsidRDefault="00AC4C28" w:rsidP="00AC4C28">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AC4C28" w:rsidRDefault="00BF6485" w:rsidP="00AC4C28">
      <w:r>
        <w:rPr>
          <w:rFonts w:ascii="Arial" w:hAnsi="Arial" w:cs="Arial"/>
          <w:bCs/>
          <w:sz w:val="24"/>
          <w:szCs w:val="24"/>
        </w:rPr>
        <w:pict>
          <v:rect id="_x0000_i1028" style="width:0;height:1.5pt" o:hralign="center" o:hrstd="t" o:hr="t" fillcolor="#a0a0a0" stroked="f"/>
        </w:pict>
      </w:r>
    </w:p>
    <w:p w:rsidR="00AC4C28" w:rsidRPr="00C86DA0" w:rsidRDefault="00D553F2" w:rsidP="00AC4C28">
      <w:pPr>
        <w:spacing w:line="360" w:lineRule="auto"/>
        <w:jc w:val="both"/>
        <w:rPr>
          <w:rFonts w:ascii="Arial" w:hAnsi="Arial" w:cs="Arial"/>
          <w:sz w:val="24"/>
        </w:rPr>
      </w:pPr>
      <w:r>
        <w:rPr>
          <w:rFonts w:ascii="Arial" w:hAnsi="Arial" w:cs="Arial"/>
          <w:sz w:val="24"/>
        </w:rPr>
        <w:t>SHIVUTE J (SIBOLEKA</w:t>
      </w:r>
      <w:r w:rsidR="00AC4C28">
        <w:rPr>
          <w:rFonts w:ascii="Arial" w:hAnsi="Arial" w:cs="Arial"/>
          <w:sz w:val="24"/>
        </w:rPr>
        <w:t xml:space="preserve"> J </w:t>
      </w:r>
      <w:r w:rsidR="00AC4C28" w:rsidRPr="00C86DA0">
        <w:rPr>
          <w:rFonts w:ascii="Arial" w:hAnsi="Arial" w:cs="Arial"/>
          <w:sz w:val="24"/>
        </w:rPr>
        <w:t>concurring):</w:t>
      </w:r>
    </w:p>
    <w:p w:rsidR="00AC4C28" w:rsidRDefault="00AC4C28" w:rsidP="00AC4C28">
      <w:pPr>
        <w:spacing w:line="360" w:lineRule="auto"/>
        <w:jc w:val="both"/>
        <w:rPr>
          <w:rFonts w:ascii="Arial" w:hAnsi="Arial" w:cs="Arial"/>
          <w:sz w:val="24"/>
        </w:rPr>
      </w:pPr>
      <w:r>
        <w:rPr>
          <w:rFonts w:ascii="Arial" w:hAnsi="Arial" w:cs="Arial"/>
          <w:sz w:val="24"/>
        </w:rPr>
        <w:t>[1]</w:t>
      </w:r>
      <w:r>
        <w:rPr>
          <w:rFonts w:ascii="Arial" w:hAnsi="Arial" w:cs="Arial"/>
          <w:sz w:val="24"/>
        </w:rPr>
        <w:tab/>
        <w:t>The accused persons were convicted of housebreaking with intent to steal</w:t>
      </w:r>
      <w:r w:rsidR="00D553F2">
        <w:rPr>
          <w:rFonts w:ascii="Arial" w:hAnsi="Arial" w:cs="Arial"/>
          <w:sz w:val="24"/>
        </w:rPr>
        <w:t xml:space="preserve"> and theft.</w:t>
      </w:r>
    </w:p>
    <w:p w:rsidR="00AC4C28" w:rsidRDefault="00AC4C28" w:rsidP="00AC4C28">
      <w:pPr>
        <w:spacing w:line="360" w:lineRule="auto"/>
        <w:jc w:val="both"/>
        <w:rPr>
          <w:rFonts w:ascii="Arial" w:hAnsi="Arial" w:cs="Arial"/>
          <w:sz w:val="24"/>
        </w:rPr>
      </w:pPr>
      <w:r>
        <w:rPr>
          <w:rFonts w:ascii="Arial" w:hAnsi="Arial" w:cs="Arial"/>
          <w:sz w:val="24"/>
        </w:rPr>
        <w:t>[2]</w:t>
      </w:r>
      <w:r>
        <w:rPr>
          <w:rFonts w:ascii="Arial" w:hAnsi="Arial" w:cs="Arial"/>
          <w:sz w:val="24"/>
        </w:rPr>
        <w:tab/>
        <w:t>I directed the following query to the learned magistrate:</w:t>
      </w:r>
    </w:p>
    <w:p w:rsidR="00AC4C28" w:rsidRPr="00AC4C28" w:rsidRDefault="00AC4C28" w:rsidP="00AC4C28">
      <w:pPr>
        <w:spacing w:line="360" w:lineRule="auto"/>
        <w:jc w:val="both"/>
        <w:rPr>
          <w:rFonts w:ascii="Arial" w:hAnsi="Arial" w:cs="Arial"/>
        </w:rPr>
      </w:pPr>
      <w:r>
        <w:rPr>
          <w:rFonts w:ascii="Arial" w:hAnsi="Arial" w:cs="Arial"/>
          <w:sz w:val="24"/>
        </w:rPr>
        <w:tab/>
      </w:r>
      <w:r w:rsidR="007A1AC8">
        <w:rPr>
          <w:rFonts w:ascii="Arial" w:hAnsi="Arial" w:cs="Arial"/>
        </w:rPr>
        <w:t>‘</w:t>
      </w:r>
      <w:r w:rsidRPr="00AC4C28">
        <w:rPr>
          <w:rFonts w:ascii="Arial" w:hAnsi="Arial" w:cs="Arial"/>
        </w:rPr>
        <w:t>How did the court satisfy itself that the accused persons admitted all the elements of the offence if they were not asked as to where the offence was committed and in whose lawful possession the goods were?</w:t>
      </w:r>
    </w:p>
    <w:p w:rsidR="00AC4C28" w:rsidRPr="00AC4C28" w:rsidRDefault="00AC4C28" w:rsidP="00AC4C28">
      <w:pPr>
        <w:spacing w:line="360" w:lineRule="auto"/>
        <w:jc w:val="both"/>
        <w:rPr>
          <w:rFonts w:ascii="Arial" w:hAnsi="Arial" w:cs="Arial"/>
        </w:rPr>
      </w:pPr>
      <w:r w:rsidRPr="00AC4C28">
        <w:rPr>
          <w:rFonts w:ascii="Arial" w:hAnsi="Arial" w:cs="Arial"/>
        </w:rPr>
        <w:t xml:space="preserve">Furthermore, whilst accused 1 said he entered the house in order to steal accused 2 was not asked as to his intention at the time </w:t>
      </w:r>
      <w:r w:rsidR="007A1AC8">
        <w:rPr>
          <w:rFonts w:ascii="Arial" w:hAnsi="Arial" w:cs="Arial"/>
        </w:rPr>
        <w:t>he broke and entered the house.’</w:t>
      </w:r>
    </w:p>
    <w:p w:rsidR="00AC4C28" w:rsidRDefault="00AC4C28" w:rsidP="00AC4C28">
      <w:pPr>
        <w:spacing w:line="360" w:lineRule="auto"/>
        <w:jc w:val="both"/>
        <w:rPr>
          <w:rFonts w:ascii="Arial" w:hAnsi="Arial" w:cs="Arial"/>
          <w:sz w:val="24"/>
        </w:rPr>
      </w:pPr>
      <w:r>
        <w:rPr>
          <w:rFonts w:ascii="Arial" w:hAnsi="Arial" w:cs="Arial"/>
          <w:sz w:val="24"/>
        </w:rPr>
        <w:t>[3]</w:t>
      </w:r>
      <w:r>
        <w:rPr>
          <w:rFonts w:ascii="Arial" w:hAnsi="Arial" w:cs="Arial"/>
          <w:sz w:val="24"/>
        </w:rPr>
        <w:tab/>
        <w:t>The learned magistrate replied as follows:</w:t>
      </w:r>
    </w:p>
    <w:p w:rsidR="00AC4C28" w:rsidRPr="009D3DDF" w:rsidRDefault="00AC4C28" w:rsidP="00AC4C28">
      <w:pPr>
        <w:spacing w:line="360" w:lineRule="auto"/>
        <w:jc w:val="both"/>
        <w:rPr>
          <w:rFonts w:ascii="Arial" w:hAnsi="Arial" w:cs="Arial"/>
          <w:b/>
        </w:rPr>
      </w:pPr>
      <w:r>
        <w:rPr>
          <w:rFonts w:ascii="Arial" w:hAnsi="Arial" w:cs="Arial"/>
          <w:sz w:val="24"/>
        </w:rPr>
        <w:tab/>
      </w:r>
      <w:r w:rsidR="007A1AC8">
        <w:rPr>
          <w:rFonts w:ascii="Arial" w:hAnsi="Arial" w:cs="Arial"/>
        </w:rPr>
        <w:t>‘</w:t>
      </w:r>
      <w:r w:rsidRPr="009D3DDF">
        <w:rPr>
          <w:rFonts w:ascii="Arial" w:hAnsi="Arial" w:cs="Arial"/>
          <w:b/>
        </w:rPr>
        <w:t>Ad paragraph 2</w:t>
      </w:r>
    </w:p>
    <w:p w:rsidR="00AC4C28" w:rsidRPr="009D3DDF" w:rsidRDefault="00AC4C28" w:rsidP="00AC4C28">
      <w:pPr>
        <w:spacing w:line="360" w:lineRule="auto"/>
        <w:jc w:val="both"/>
        <w:rPr>
          <w:rFonts w:ascii="Arial" w:hAnsi="Arial" w:cs="Arial"/>
        </w:rPr>
      </w:pPr>
      <w:r w:rsidRPr="009D3DDF">
        <w:rPr>
          <w:rFonts w:ascii="Arial" w:hAnsi="Arial" w:cs="Arial"/>
        </w:rPr>
        <w:t>It is concluded that the accused were not asked any direct question relating to the issues raised by the learned Judge. The record will however show that both accused admitted to breaking into complainant’s house in Herero block.</w:t>
      </w:r>
      <w:r w:rsidR="009D3DDF" w:rsidRPr="009D3DDF">
        <w:rPr>
          <w:rFonts w:ascii="Arial" w:hAnsi="Arial" w:cs="Arial"/>
        </w:rPr>
        <w:t xml:space="preserve"> </w:t>
      </w:r>
    </w:p>
    <w:p w:rsidR="009D3DDF" w:rsidRPr="009D3DDF" w:rsidRDefault="009D3DDF" w:rsidP="00AC4C28">
      <w:pPr>
        <w:spacing w:line="360" w:lineRule="auto"/>
        <w:jc w:val="both"/>
        <w:rPr>
          <w:rFonts w:ascii="Arial" w:hAnsi="Arial" w:cs="Arial"/>
        </w:rPr>
      </w:pPr>
      <w:r w:rsidRPr="009D3DDF">
        <w:rPr>
          <w:rFonts w:ascii="Arial" w:hAnsi="Arial" w:cs="Arial"/>
        </w:rPr>
        <w:t>That is what satisfied the court that the accused had both addressed the issue of where the offence took place and in whose custody the property was.</w:t>
      </w:r>
    </w:p>
    <w:p w:rsidR="009D3DDF" w:rsidRPr="009D3DDF" w:rsidRDefault="009D3DDF" w:rsidP="00AC4C28">
      <w:pPr>
        <w:spacing w:line="360" w:lineRule="auto"/>
        <w:jc w:val="both"/>
        <w:rPr>
          <w:rFonts w:ascii="Arial" w:hAnsi="Arial" w:cs="Arial"/>
          <w:b/>
        </w:rPr>
      </w:pPr>
      <w:r w:rsidRPr="009D3DDF">
        <w:rPr>
          <w:rFonts w:ascii="Arial" w:hAnsi="Arial" w:cs="Arial"/>
        </w:rPr>
        <w:tab/>
      </w:r>
      <w:r w:rsidRPr="009D3DDF">
        <w:rPr>
          <w:rFonts w:ascii="Arial" w:hAnsi="Arial" w:cs="Arial"/>
          <w:b/>
        </w:rPr>
        <w:t>Ad paragraph 3</w:t>
      </w:r>
    </w:p>
    <w:p w:rsidR="009D3DDF" w:rsidRPr="009D3DDF" w:rsidRDefault="009D3DDF" w:rsidP="00AC4C28">
      <w:pPr>
        <w:spacing w:line="360" w:lineRule="auto"/>
        <w:jc w:val="both"/>
        <w:rPr>
          <w:rFonts w:ascii="Arial" w:hAnsi="Arial" w:cs="Arial"/>
        </w:rPr>
      </w:pPr>
      <w:r w:rsidRPr="009D3DDF">
        <w:rPr>
          <w:rFonts w:ascii="Arial" w:hAnsi="Arial" w:cs="Arial"/>
        </w:rPr>
        <w:t xml:space="preserve">The record will reflect that, while accused 2 was not directly asked what his intention was when he broke and entered the house in question, he associated himself as accused’s accomplice. When asked by the trial court why he pleaded guilty his answer was “because I </w:t>
      </w:r>
      <w:r w:rsidRPr="009D3DDF">
        <w:rPr>
          <w:rFonts w:ascii="Arial" w:hAnsi="Arial" w:cs="Arial"/>
        </w:rPr>
        <w:lastRenderedPageBreak/>
        <w:t>also broke into that house with accused 1 and stole the property mentioned in the charge sheet. I was with accused 1 on the same date. I also wanted to sell the property for myself”.</w:t>
      </w:r>
    </w:p>
    <w:p w:rsidR="00AC4C28" w:rsidRDefault="009D3DDF" w:rsidP="00AC4C28">
      <w:pPr>
        <w:spacing w:line="360" w:lineRule="auto"/>
        <w:jc w:val="both"/>
        <w:rPr>
          <w:rFonts w:ascii="Arial" w:hAnsi="Arial" w:cs="Arial"/>
        </w:rPr>
      </w:pPr>
      <w:r w:rsidRPr="009D3DDF">
        <w:rPr>
          <w:rFonts w:ascii="Arial" w:hAnsi="Arial" w:cs="Arial"/>
        </w:rPr>
        <w:t>That answer satisfied the court that indeed accused 2 like accused 1 entered the complainant’s premises in order to steal complainant’s property and sell same for his</w:t>
      </w:r>
      <w:r w:rsidR="007A1AC8">
        <w:rPr>
          <w:rFonts w:ascii="Arial" w:hAnsi="Arial" w:cs="Arial"/>
        </w:rPr>
        <w:t xml:space="preserve"> own purposes.’</w:t>
      </w:r>
    </w:p>
    <w:p w:rsidR="00B5581B" w:rsidRDefault="00AC4C28" w:rsidP="00AC4C28">
      <w:pPr>
        <w:spacing w:line="360" w:lineRule="auto"/>
        <w:jc w:val="both"/>
        <w:rPr>
          <w:rFonts w:ascii="Arial" w:hAnsi="Arial" w:cs="Arial"/>
          <w:sz w:val="24"/>
        </w:rPr>
      </w:pPr>
      <w:r>
        <w:rPr>
          <w:rFonts w:ascii="Arial" w:hAnsi="Arial" w:cs="Arial"/>
          <w:sz w:val="24"/>
        </w:rPr>
        <w:t>[4]</w:t>
      </w:r>
      <w:r>
        <w:rPr>
          <w:rFonts w:ascii="Arial" w:hAnsi="Arial" w:cs="Arial"/>
          <w:sz w:val="24"/>
        </w:rPr>
        <w:tab/>
      </w:r>
      <w:r w:rsidR="00384893">
        <w:rPr>
          <w:rFonts w:ascii="Arial" w:hAnsi="Arial" w:cs="Arial"/>
          <w:sz w:val="24"/>
        </w:rPr>
        <w:t>The primary purpose of questioning in terms of section 112 (1) (b) is to establish whether there is a reliable factual basis for the accused’s belief in his own guilt. It thus serves as a safety device against mistaken guilty pleas,</w:t>
      </w:r>
      <w:r w:rsidR="00384893">
        <w:rPr>
          <w:rStyle w:val="FootnoteReference"/>
          <w:rFonts w:ascii="Arial" w:hAnsi="Arial" w:cs="Arial"/>
          <w:sz w:val="24"/>
        </w:rPr>
        <w:footnoteReference w:id="1"/>
      </w:r>
      <w:r w:rsidR="00384893">
        <w:rPr>
          <w:rFonts w:ascii="Arial" w:hAnsi="Arial" w:cs="Arial"/>
          <w:sz w:val="24"/>
        </w:rPr>
        <w:t xml:space="preserve"> particularly in cases of undefended accused persons whose statements alone found a conviction. See </w:t>
      </w:r>
      <w:r w:rsidR="00384893" w:rsidRPr="0079322B">
        <w:rPr>
          <w:rFonts w:ascii="Arial" w:hAnsi="Arial" w:cs="Arial"/>
          <w:i/>
          <w:sz w:val="24"/>
        </w:rPr>
        <w:t>S v M</w:t>
      </w:r>
      <w:r w:rsidR="00384893">
        <w:rPr>
          <w:rFonts w:ascii="Arial" w:hAnsi="Arial" w:cs="Arial"/>
          <w:sz w:val="24"/>
        </w:rPr>
        <w:t xml:space="preserve"> 1982 (1) SA 240 (N) at 242D. </w:t>
      </w:r>
    </w:p>
    <w:p w:rsidR="00384893" w:rsidRDefault="00CD308B" w:rsidP="00AC4C28">
      <w:pPr>
        <w:spacing w:line="360" w:lineRule="auto"/>
        <w:jc w:val="both"/>
        <w:rPr>
          <w:rFonts w:ascii="Arial" w:hAnsi="Arial" w:cs="Arial"/>
          <w:sz w:val="24"/>
        </w:rPr>
      </w:pPr>
      <w:r>
        <w:rPr>
          <w:rFonts w:ascii="Arial" w:hAnsi="Arial" w:cs="Arial"/>
          <w:sz w:val="24"/>
        </w:rPr>
        <w:t>[5]</w:t>
      </w:r>
      <w:r>
        <w:rPr>
          <w:rFonts w:ascii="Arial" w:hAnsi="Arial" w:cs="Arial"/>
          <w:sz w:val="24"/>
        </w:rPr>
        <w:tab/>
      </w:r>
      <w:r w:rsidR="00EC3215">
        <w:rPr>
          <w:rFonts w:ascii="Arial" w:hAnsi="Arial" w:cs="Arial"/>
          <w:sz w:val="24"/>
        </w:rPr>
        <w:t>In respect of the first accused, he is properly convicted. However, i</w:t>
      </w:r>
      <w:r>
        <w:rPr>
          <w:rFonts w:ascii="Arial" w:hAnsi="Arial" w:cs="Arial"/>
          <w:sz w:val="24"/>
        </w:rPr>
        <w:t>n respect of the second accused, the</w:t>
      </w:r>
      <w:r w:rsidR="00722F65">
        <w:rPr>
          <w:rFonts w:ascii="Arial" w:hAnsi="Arial" w:cs="Arial"/>
          <w:sz w:val="24"/>
        </w:rPr>
        <w:t xml:space="preserve"> c</w:t>
      </w:r>
      <w:r w:rsidR="00EC3215">
        <w:rPr>
          <w:rFonts w:ascii="Arial" w:hAnsi="Arial" w:cs="Arial"/>
          <w:sz w:val="24"/>
        </w:rPr>
        <w:t>ourt did not establish his intention at the time when</w:t>
      </w:r>
      <w:r w:rsidR="00D553F2">
        <w:rPr>
          <w:rFonts w:ascii="Arial" w:hAnsi="Arial" w:cs="Arial"/>
          <w:sz w:val="24"/>
        </w:rPr>
        <w:t xml:space="preserve"> he was entering the premises </w:t>
      </w:r>
      <w:r w:rsidR="00EC3215">
        <w:rPr>
          <w:rFonts w:ascii="Arial" w:hAnsi="Arial" w:cs="Arial"/>
          <w:sz w:val="24"/>
        </w:rPr>
        <w:t>and the</w:t>
      </w:r>
      <w:r w:rsidR="00EC3215" w:rsidRPr="00EC3215">
        <w:rPr>
          <w:rFonts w:ascii="Arial" w:hAnsi="Arial" w:cs="Arial"/>
          <w:sz w:val="24"/>
        </w:rPr>
        <w:t xml:space="preserve"> conclusion </w:t>
      </w:r>
      <w:r w:rsidR="00EC3215">
        <w:rPr>
          <w:rFonts w:ascii="Arial" w:hAnsi="Arial" w:cs="Arial"/>
          <w:sz w:val="24"/>
        </w:rPr>
        <w:t>reached by the court was based on deductions made by the accused’s answers during the s 112 (1) (b) proc</w:t>
      </w:r>
      <w:r w:rsidR="00D553F2">
        <w:rPr>
          <w:rFonts w:ascii="Arial" w:hAnsi="Arial" w:cs="Arial"/>
          <w:sz w:val="24"/>
        </w:rPr>
        <w:t>eedings. Therefore, the court</w:t>
      </w:r>
      <w:r w:rsidR="00EC3215">
        <w:rPr>
          <w:rFonts w:ascii="Arial" w:hAnsi="Arial" w:cs="Arial"/>
          <w:sz w:val="24"/>
        </w:rPr>
        <w:t xml:space="preserve"> should not make any inferences from what the accused has said to decide whether he admits a particular allegation.</w:t>
      </w:r>
      <w:r w:rsidR="00EC3215">
        <w:rPr>
          <w:rStyle w:val="FootnoteReference"/>
          <w:rFonts w:ascii="Arial" w:hAnsi="Arial" w:cs="Arial"/>
          <w:sz w:val="24"/>
        </w:rPr>
        <w:footnoteReference w:id="2"/>
      </w:r>
      <w:r w:rsidR="00EC3215">
        <w:rPr>
          <w:rFonts w:ascii="Arial" w:hAnsi="Arial" w:cs="Arial"/>
          <w:sz w:val="24"/>
        </w:rPr>
        <w:t xml:space="preserve"> </w:t>
      </w:r>
      <w:r w:rsidR="00D553F2">
        <w:rPr>
          <w:rFonts w:ascii="Arial" w:hAnsi="Arial" w:cs="Arial"/>
          <w:sz w:val="24"/>
        </w:rPr>
        <w:t xml:space="preserve">To this end, </w:t>
      </w:r>
      <w:r w:rsidR="00EC3215" w:rsidRPr="00EC3215">
        <w:rPr>
          <w:rFonts w:ascii="Arial" w:hAnsi="Arial" w:cs="Arial"/>
          <w:sz w:val="24"/>
        </w:rPr>
        <w:t>the court misdirected itself and the conviction falls to be set aside.</w:t>
      </w:r>
    </w:p>
    <w:p w:rsidR="003662F8" w:rsidRDefault="003662F8" w:rsidP="00AC4C28">
      <w:pPr>
        <w:spacing w:line="360" w:lineRule="auto"/>
        <w:jc w:val="both"/>
        <w:rPr>
          <w:rFonts w:ascii="Arial" w:hAnsi="Arial" w:cs="Arial"/>
          <w:sz w:val="24"/>
        </w:rPr>
      </w:pPr>
      <w:r>
        <w:rPr>
          <w:rFonts w:ascii="Arial" w:hAnsi="Arial" w:cs="Arial"/>
          <w:sz w:val="24"/>
        </w:rPr>
        <w:t>[6]</w:t>
      </w:r>
      <w:r>
        <w:rPr>
          <w:rFonts w:ascii="Arial" w:hAnsi="Arial" w:cs="Arial"/>
          <w:sz w:val="24"/>
        </w:rPr>
        <w:tab/>
        <w:t xml:space="preserve">In light of the fact that the accused has approximately one month left on his imprisonment, I see no reason to remit the matter back to the learned magistrate to deal with it accordingly. </w:t>
      </w:r>
    </w:p>
    <w:p w:rsidR="003662F8" w:rsidRDefault="003662F8" w:rsidP="00AC4C28">
      <w:pPr>
        <w:spacing w:line="360" w:lineRule="auto"/>
        <w:jc w:val="both"/>
        <w:rPr>
          <w:rFonts w:ascii="Arial" w:hAnsi="Arial" w:cs="Arial"/>
          <w:sz w:val="24"/>
        </w:rPr>
      </w:pPr>
      <w:r>
        <w:rPr>
          <w:rFonts w:ascii="Arial" w:hAnsi="Arial" w:cs="Arial"/>
          <w:sz w:val="24"/>
        </w:rPr>
        <w:t>[7]</w:t>
      </w:r>
      <w:r>
        <w:rPr>
          <w:rFonts w:ascii="Arial" w:hAnsi="Arial" w:cs="Arial"/>
          <w:sz w:val="24"/>
        </w:rPr>
        <w:tab/>
        <w:t>In the result the following order is made:</w:t>
      </w:r>
    </w:p>
    <w:p w:rsidR="003662F8" w:rsidRDefault="00D553F2" w:rsidP="00AC4C28">
      <w:pPr>
        <w:spacing w:line="360" w:lineRule="auto"/>
        <w:jc w:val="both"/>
        <w:rPr>
          <w:rFonts w:ascii="Arial" w:hAnsi="Arial" w:cs="Arial"/>
          <w:sz w:val="24"/>
        </w:rPr>
      </w:pPr>
      <w:r>
        <w:rPr>
          <w:rFonts w:ascii="Arial" w:hAnsi="Arial" w:cs="Arial"/>
          <w:sz w:val="24"/>
        </w:rPr>
        <w:t>a)</w:t>
      </w:r>
      <w:r>
        <w:rPr>
          <w:rFonts w:ascii="Arial" w:hAnsi="Arial" w:cs="Arial"/>
          <w:sz w:val="24"/>
        </w:rPr>
        <w:tab/>
      </w:r>
      <w:r w:rsidR="003662F8">
        <w:rPr>
          <w:rFonts w:ascii="Arial" w:hAnsi="Arial" w:cs="Arial"/>
          <w:sz w:val="24"/>
        </w:rPr>
        <w:t>The convic</w:t>
      </w:r>
      <w:r>
        <w:rPr>
          <w:rFonts w:ascii="Arial" w:hAnsi="Arial" w:cs="Arial"/>
          <w:sz w:val="24"/>
        </w:rPr>
        <w:t>tion and sentence in respect of accused 1 are confirmed.</w:t>
      </w:r>
    </w:p>
    <w:p w:rsidR="00D553F2" w:rsidRPr="003662F8" w:rsidRDefault="00D553F2" w:rsidP="00AC4C28">
      <w:pPr>
        <w:spacing w:line="360" w:lineRule="auto"/>
        <w:jc w:val="both"/>
        <w:rPr>
          <w:rFonts w:ascii="Arial" w:hAnsi="Arial" w:cs="Arial"/>
          <w:b/>
          <w:sz w:val="24"/>
        </w:rPr>
      </w:pPr>
      <w:r>
        <w:rPr>
          <w:rFonts w:ascii="Arial" w:hAnsi="Arial" w:cs="Arial"/>
          <w:sz w:val="24"/>
        </w:rPr>
        <w:t>b)</w:t>
      </w:r>
      <w:r>
        <w:rPr>
          <w:rFonts w:ascii="Arial" w:hAnsi="Arial" w:cs="Arial"/>
          <w:sz w:val="24"/>
        </w:rPr>
        <w:tab/>
        <w:t xml:space="preserve">The conviction and sentence in respect of accused 2 are set aside. </w:t>
      </w:r>
    </w:p>
    <w:p w:rsidR="00AC4C28" w:rsidRDefault="00AC4C28" w:rsidP="00AC4C28">
      <w:pPr>
        <w:spacing w:line="360" w:lineRule="auto"/>
        <w:jc w:val="both"/>
        <w:rPr>
          <w:rFonts w:ascii="Arial" w:hAnsi="Arial" w:cs="Arial"/>
          <w:sz w:val="24"/>
        </w:rPr>
      </w:pPr>
    </w:p>
    <w:p w:rsidR="00B51A12" w:rsidRDefault="00B51A12" w:rsidP="00AC4C28">
      <w:pPr>
        <w:spacing w:line="360" w:lineRule="auto"/>
        <w:jc w:val="both"/>
        <w:rPr>
          <w:rFonts w:ascii="Arial" w:hAnsi="Arial" w:cs="Arial"/>
          <w:sz w:val="24"/>
        </w:rPr>
      </w:pPr>
    </w:p>
    <w:p w:rsidR="00B51A12" w:rsidRDefault="00B51A12" w:rsidP="00AC4C28">
      <w:pPr>
        <w:spacing w:line="360" w:lineRule="auto"/>
        <w:jc w:val="both"/>
        <w:rPr>
          <w:rFonts w:ascii="Arial" w:hAnsi="Arial" w:cs="Arial"/>
          <w:sz w:val="24"/>
        </w:rPr>
      </w:pPr>
    </w:p>
    <w:p w:rsidR="00AC4C28" w:rsidRPr="0093369D" w:rsidRDefault="001B63EE" w:rsidP="00AC4C28">
      <w:pPr>
        <w:spacing w:line="360" w:lineRule="auto"/>
        <w:jc w:val="right"/>
        <w:rPr>
          <w:rFonts w:ascii="Arial" w:hAnsi="Arial" w:cs="Arial"/>
          <w:sz w:val="24"/>
        </w:rPr>
      </w:pPr>
      <w:r>
        <w:rPr>
          <w:rFonts w:ascii="Arial" w:hAnsi="Arial" w:cs="Arial"/>
          <w:sz w:val="24"/>
        </w:rPr>
        <w:lastRenderedPageBreak/>
        <w:t>__________________</w:t>
      </w:r>
      <w:r w:rsidR="00AC4C28">
        <w:rPr>
          <w:rFonts w:ascii="Arial" w:hAnsi="Arial" w:cs="Arial"/>
          <w:sz w:val="24"/>
        </w:rPr>
        <w:t>_____</w:t>
      </w:r>
    </w:p>
    <w:p w:rsidR="00AC4C28" w:rsidRDefault="00AC4C28" w:rsidP="00AC4C28">
      <w:pPr>
        <w:spacing w:line="360" w:lineRule="auto"/>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 N Shivute</w:t>
      </w:r>
    </w:p>
    <w:p w:rsidR="00AC4C28" w:rsidRDefault="00AC4C28" w:rsidP="00AC4C28">
      <w:pPr>
        <w:spacing w:line="360" w:lineRule="auto"/>
        <w:jc w:val="right"/>
        <w:rPr>
          <w:rFonts w:ascii="Arial" w:hAnsi="Arial" w:cs="Arial"/>
          <w:sz w:val="24"/>
        </w:rPr>
      </w:pPr>
      <w:r>
        <w:rPr>
          <w:rFonts w:ascii="Arial" w:hAnsi="Arial" w:cs="Arial"/>
          <w:sz w:val="24"/>
        </w:rPr>
        <w:t xml:space="preserve">Judge </w:t>
      </w:r>
    </w:p>
    <w:p w:rsidR="00AC4C28" w:rsidRDefault="00AC4C28" w:rsidP="00AC4C28">
      <w:pPr>
        <w:spacing w:line="360" w:lineRule="auto"/>
        <w:jc w:val="right"/>
        <w:rPr>
          <w:rFonts w:ascii="Arial" w:hAnsi="Arial" w:cs="Arial"/>
          <w:sz w:val="24"/>
        </w:rPr>
      </w:pPr>
    </w:p>
    <w:p w:rsidR="00AC4C28" w:rsidRDefault="00AC4C28" w:rsidP="00AC4C28">
      <w:pPr>
        <w:spacing w:line="360" w:lineRule="auto"/>
        <w:jc w:val="right"/>
        <w:rPr>
          <w:rFonts w:ascii="Arial" w:hAnsi="Arial" w:cs="Arial"/>
          <w:sz w:val="24"/>
        </w:rPr>
      </w:pPr>
      <w:r>
        <w:rPr>
          <w:rFonts w:ascii="Arial" w:hAnsi="Arial" w:cs="Arial"/>
          <w:sz w:val="24"/>
        </w:rPr>
        <w:t>__</w:t>
      </w:r>
      <w:r w:rsidR="00E62EBA">
        <w:rPr>
          <w:rFonts w:ascii="Arial" w:hAnsi="Arial" w:cs="Arial"/>
          <w:sz w:val="24"/>
        </w:rPr>
        <w:t>_</w:t>
      </w:r>
      <w:r>
        <w:rPr>
          <w:rFonts w:ascii="Arial" w:hAnsi="Arial" w:cs="Arial"/>
          <w:sz w:val="24"/>
        </w:rPr>
        <w:t>____________________</w:t>
      </w:r>
    </w:p>
    <w:p w:rsidR="00AC4C28" w:rsidRDefault="00D553F2" w:rsidP="00AC4C28">
      <w:pPr>
        <w:spacing w:line="360" w:lineRule="auto"/>
        <w:ind w:left="6480" w:firstLine="720"/>
        <w:jc w:val="right"/>
        <w:rPr>
          <w:rFonts w:ascii="Arial" w:hAnsi="Arial" w:cs="Arial"/>
          <w:sz w:val="24"/>
        </w:rPr>
      </w:pPr>
      <w:r>
        <w:rPr>
          <w:rFonts w:ascii="Arial" w:hAnsi="Arial" w:cs="Arial"/>
          <w:sz w:val="24"/>
        </w:rPr>
        <w:t>A</w:t>
      </w:r>
      <w:r w:rsidR="00AC4C28">
        <w:rPr>
          <w:rFonts w:ascii="Arial" w:hAnsi="Arial" w:cs="Arial"/>
          <w:sz w:val="24"/>
        </w:rPr>
        <w:t xml:space="preserve"> </w:t>
      </w:r>
      <w:r>
        <w:rPr>
          <w:rFonts w:ascii="Arial" w:hAnsi="Arial" w:cs="Arial"/>
          <w:sz w:val="24"/>
        </w:rPr>
        <w:t>Siboleka</w:t>
      </w:r>
    </w:p>
    <w:p w:rsidR="00AC4C28" w:rsidRPr="007D05B8" w:rsidRDefault="00AC4C28" w:rsidP="00AC4C28">
      <w:pPr>
        <w:spacing w:line="360" w:lineRule="auto"/>
        <w:ind w:left="6480" w:firstLine="720"/>
        <w:jc w:val="right"/>
        <w:rPr>
          <w:rFonts w:ascii="Arial" w:hAnsi="Arial" w:cs="Arial"/>
          <w:sz w:val="24"/>
        </w:rPr>
      </w:pPr>
      <w:r>
        <w:rPr>
          <w:rFonts w:ascii="Arial" w:hAnsi="Arial" w:cs="Arial"/>
          <w:sz w:val="24"/>
        </w:rPr>
        <w:t>Judge</w:t>
      </w:r>
    </w:p>
    <w:p w:rsidR="00AC4C28" w:rsidRDefault="00AC4C28" w:rsidP="00AC4C28"/>
    <w:p w:rsidR="00AC4C28" w:rsidRDefault="00AC4C28" w:rsidP="00AC4C28"/>
    <w:p w:rsidR="00AC4C28" w:rsidRDefault="00AC4C28" w:rsidP="00AC4C28"/>
    <w:p w:rsidR="008751C1" w:rsidRDefault="008751C1"/>
    <w:sectPr w:rsidR="008751C1" w:rsidSect="005F2056">
      <w:headerReference w:type="default" r:id="rId11"/>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4E" w:rsidRDefault="001A0B4E">
      <w:pPr>
        <w:spacing w:after="0" w:line="240" w:lineRule="auto"/>
      </w:pPr>
      <w:r>
        <w:separator/>
      </w:r>
    </w:p>
  </w:endnote>
  <w:endnote w:type="continuationSeparator" w:id="0">
    <w:p w:rsidR="001A0B4E" w:rsidRDefault="001A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4E" w:rsidRDefault="001A0B4E">
      <w:pPr>
        <w:spacing w:after="0" w:line="240" w:lineRule="auto"/>
      </w:pPr>
      <w:r>
        <w:separator/>
      </w:r>
    </w:p>
  </w:footnote>
  <w:footnote w:type="continuationSeparator" w:id="0">
    <w:p w:rsidR="001A0B4E" w:rsidRDefault="001A0B4E">
      <w:pPr>
        <w:spacing w:after="0" w:line="240" w:lineRule="auto"/>
      </w:pPr>
      <w:r>
        <w:continuationSeparator/>
      </w:r>
    </w:p>
  </w:footnote>
  <w:footnote w:id="1">
    <w:p w:rsidR="00384893" w:rsidRPr="00384893" w:rsidRDefault="00384893">
      <w:pPr>
        <w:pStyle w:val="FootnoteText"/>
        <w:rPr>
          <w:lang w:val="en-US"/>
        </w:rPr>
      </w:pPr>
      <w:r>
        <w:rPr>
          <w:rStyle w:val="FootnoteReference"/>
        </w:rPr>
        <w:footnoteRef/>
      </w:r>
      <w:r>
        <w:t xml:space="preserve"> </w:t>
      </w:r>
      <w:r w:rsidRPr="0079322B">
        <w:rPr>
          <w:i/>
          <w:lang w:val="en-US"/>
        </w:rPr>
        <w:t>S v Nkosi</w:t>
      </w:r>
      <w:r>
        <w:rPr>
          <w:lang w:val="en-US"/>
        </w:rPr>
        <w:t xml:space="preserve"> 1984 (3) SA 345 (A) 353D; </w:t>
      </w:r>
      <w:r w:rsidRPr="0079322B">
        <w:rPr>
          <w:i/>
          <w:lang w:val="en-US"/>
        </w:rPr>
        <w:t>S v Gresse</w:t>
      </w:r>
      <w:r>
        <w:rPr>
          <w:lang w:val="en-US"/>
        </w:rPr>
        <w:t xml:space="preserve"> 1985 (4) SA 401 (T) 404F.</w:t>
      </w:r>
    </w:p>
  </w:footnote>
  <w:footnote w:id="2">
    <w:p w:rsidR="00EC3215" w:rsidRPr="00EC3215" w:rsidRDefault="00EC3215">
      <w:pPr>
        <w:pStyle w:val="FootnoteText"/>
        <w:rPr>
          <w:lang w:val="en-US"/>
        </w:rPr>
      </w:pPr>
      <w:r>
        <w:rPr>
          <w:rStyle w:val="FootnoteReference"/>
        </w:rPr>
        <w:footnoteRef/>
      </w:r>
      <w:r>
        <w:t xml:space="preserve"> </w:t>
      </w:r>
      <w:r w:rsidRPr="0079322B">
        <w:rPr>
          <w:i/>
          <w:lang w:val="en-US"/>
        </w:rPr>
        <w:t>S v Mathe</w:t>
      </w:r>
      <w:r>
        <w:rPr>
          <w:lang w:val="en-US"/>
        </w:rPr>
        <w:t xml:space="preserve"> 1981 (3) SA 664 (NC) 669F.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5087"/>
      <w:docPartObj>
        <w:docPartGallery w:val="Page Numbers (Top of Page)"/>
        <w:docPartUnique/>
      </w:docPartObj>
    </w:sdtPr>
    <w:sdtEndPr>
      <w:rPr>
        <w:noProof/>
      </w:rPr>
    </w:sdtEndPr>
    <w:sdtContent>
      <w:p w:rsidR="00FF541C" w:rsidRDefault="00306243">
        <w:pPr>
          <w:pStyle w:val="Header"/>
          <w:jc w:val="right"/>
        </w:pPr>
        <w:r>
          <w:fldChar w:fldCharType="begin"/>
        </w:r>
        <w:r>
          <w:instrText xml:space="preserve"> PAGE   \* MERGEFORMAT </w:instrText>
        </w:r>
        <w:r>
          <w:fldChar w:fldCharType="separate"/>
        </w:r>
        <w:r w:rsidR="00BF6485">
          <w:rPr>
            <w:noProof/>
          </w:rPr>
          <w:t>2</w:t>
        </w:r>
        <w:r>
          <w:rPr>
            <w:noProof/>
          </w:rPr>
          <w:fldChar w:fldCharType="end"/>
        </w:r>
      </w:p>
    </w:sdtContent>
  </w:sdt>
  <w:p w:rsidR="00FF541C" w:rsidRDefault="00BF6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506899962"/>
      <w:docPartObj>
        <w:docPartGallery w:val="Page Numbers (Top of Page)"/>
        <w:docPartUnique/>
      </w:docPartObj>
    </w:sdtPr>
    <w:sdtEndPr>
      <w:rPr>
        <w:noProof/>
      </w:rPr>
    </w:sdtEndPr>
    <w:sdtContent>
      <w:p w:rsidR="00FF541C" w:rsidRPr="00254DB5" w:rsidRDefault="00306243">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BF6485">
          <w:rPr>
            <w:noProof/>
            <w:color w:val="FFFFFF" w:themeColor="background1"/>
          </w:rPr>
          <w:t>1</w:t>
        </w:r>
        <w:r w:rsidRPr="00254DB5">
          <w:rPr>
            <w:noProof/>
            <w:color w:val="FFFFFF" w:themeColor="background1"/>
          </w:rPr>
          <w:fldChar w:fldCharType="end"/>
        </w:r>
      </w:p>
    </w:sdtContent>
  </w:sdt>
  <w:p w:rsidR="00FF541C" w:rsidRDefault="00BF6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97444"/>
    <w:multiLevelType w:val="hybridMultilevel"/>
    <w:tmpl w:val="52E8FF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28"/>
    <w:rsid w:val="00044ED5"/>
    <w:rsid w:val="001A0B4E"/>
    <w:rsid w:val="001A39ED"/>
    <w:rsid w:val="001B63EE"/>
    <w:rsid w:val="002542FF"/>
    <w:rsid w:val="00306243"/>
    <w:rsid w:val="003662F8"/>
    <w:rsid w:val="00384893"/>
    <w:rsid w:val="003F4E7A"/>
    <w:rsid w:val="00497F4B"/>
    <w:rsid w:val="00511D1E"/>
    <w:rsid w:val="005140B5"/>
    <w:rsid w:val="005253E6"/>
    <w:rsid w:val="00561E8A"/>
    <w:rsid w:val="005A5DBB"/>
    <w:rsid w:val="00722F65"/>
    <w:rsid w:val="007809F5"/>
    <w:rsid w:val="0079322B"/>
    <w:rsid w:val="007A1AC8"/>
    <w:rsid w:val="00815F94"/>
    <w:rsid w:val="008751C1"/>
    <w:rsid w:val="008776F1"/>
    <w:rsid w:val="00902DB7"/>
    <w:rsid w:val="009D3DDF"/>
    <w:rsid w:val="00AC4C28"/>
    <w:rsid w:val="00B425DE"/>
    <w:rsid w:val="00B51A12"/>
    <w:rsid w:val="00B5581B"/>
    <w:rsid w:val="00BF6485"/>
    <w:rsid w:val="00C06AEF"/>
    <w:rsid w:val="00CD308B"/>
    <w:rsid w:val="00D553F2"/>
    <w:rsid w:val="00DD3D31"/>
    <w:rsid w:val="00E62EBA"/>
    <w:rsid w:val="00EB4495"/>
    <w:rsid w:val="00EC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8ADD91F-77C2-42F1-BEBB-D1AC9506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28"/>
    <w:pPr>
      <w:spacing w:after="200" w:line="276" w:lineRule="auto"/>
    </w:pPr>
    <w:rPr>
      <w:lang w:val="en-ZA"/>
    </w:rPr>
  </w:style>
  <w:style w:type="paragraph" w:styleId="Heading4">
    <w:name w:val="heading 4"/>
    <w:basedOn w:val="Normal"/>
    <w:next w:val="Normal"/>
    <w:link w:val="Heading4Char"/>
    <w:qFormat/>
    <w:rsid w:val="00AC4C2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4C28"/>
    <w:rPr>
      <w:rFonts w:ascii="Arial" w:eastAsia="Times New Roman" w:hAnsi="Arial" w:cs="Times New Roman"/>
      <w:sz w:val="28"/>
      <w:szCs w:val="24"/>
      <w:lang w:val="en-GB"/>
    </w:rPr>
  </w:style>
  <w:style w:type="paragraph" w:styleId="ListParagraph">
    <w:name w:val="List Paragraph"/>
    <w:basedOn w:val="Normal"/>
    <w:uiPriority w:val="34"/>
    <w:qFormat/>
    <w:rsid w:val="00AC4C28"/>
    <w:pPr>
      <w:ind w:left="720"/>
      <w:contextualSpacing/>
    </w:pPr>
  </w:style>
  <w:style w:type="paragraph" w:styleId="Header">
    <w:name w:val="header"/>
    <w:basedOn w:val="Normal"/>
    <w:link w:val="HeaderChar"/>
    <w:uiPriority w:val="99"/>
    <w:unhideWhenUsed/>
    <w:rsid w:val="00AC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C28"/>
    <w:rPr>
      <w:lang w:val="en-ZA"/>
    </w:rPr>
  </w:style>
  <w:style w:type="paragraph" w:styleId="FootnoteText">
    <w:name w:val="footnote text"/>
    <w:basedOn w:val="Normal"/>
    <w:link w:val="FootnoteTextChar"/>
    <w:uiPriority w:val="99"/>
    <w:semiHidden/>
    <w:unhideWhenUsed/>
    <w:rsid w:val="00384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893"/>
    <w:rPr>
      <w:sz w:val="20"/>
      <w:szCs w:val="20"/>
      <w:lang w:val="en-ZA"/>
    </w:rPr>
  </w:style>
  <w:style w:type="character" w:styleId="FootnoteReference">
    <w:name w:val="footnote reference"/>
    <w:basedOn w:val="DefaultParagraphFont"/>
    <w:uiPriority w:val="99"/>
    <w:semiHidden/>
    <w:unhideWhenUsed/>
    <w:rsid w:val="00384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2017-08-10T18:30:00+00:00</Judgment_x0020_Date>
  </documentManagement>
</p:properties>
</file>

<file path=customXml/itemProps1.xml><?xml version="1.0" encoding="utf-8"?>
<ds:datastoreItem xmlns:ds="http://schemas.openxmlformats.org/officeDocument/2006/customXml" ds:itemID="{1862797A-61CE-48EE-96B1-CD041A89B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18721-31DC-44DC-AECE-4C025A65C478}">
  <ds:schemaRefs>
    <ds:schemaRef ds:uri="http://schemas.microsoft.com/sharepoint/v3/contenttype/forms"/>
  </ds:schemaRefs>
</ds:datastoreItem>
</file>

<file path=customXml/itemProps3.xml><?xml version="1.0" encoding="utf-8"?>
<ds:datastoreItem xmlns:ds="http://schemas.openxmlformats.org/officeDocument/2006/customXml" ds:itemID="{606A9D98-5C2B-423B-946C-A438304D1E29}">
  <ds:schemaRef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W P. Oosthuizen</cp:lastModifiedBy>
  <cp:revision>2</cp:revision>
  <dcterms:created xsi:type="dcterms:W3CDTF">2017-09-05T07:16:00Z</dcterms:created>
  <dcterms:modified xsi:type="dcterms:W3CDTF">2017-09-05T07:16:00Z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