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BD9" w:rsidRPr="006B344C" w:rsidRDefault="00617DBE" w:rsidP="00746BD9">
      <w:pPr>
        <w:spacing w:line="360" w:lineRule="auto"/>
        <w:ind w:left="720" w:firstLine="720"/>
        <w:jc w:val="right"/>
        <w:rPr>
          <w:rFonts w:ascii="Arial" w:hAnsi="Arial" w:cs="Arial"/>
          <w:lang w:val="en-ZA"/>
        </w:rPr>
      </w:pPr>
      <w:bookmarkStart w:id="0" w:name="_GoBack"/>
      <w:bookmarkEnd w:id="0"/>
      <w:r w:rsidRPr="006B344C">
        <w:rPr>
          <w:rFonts w:ascii="Arial" w:hAnsi="Arial" w:cs="Arial"/>
          <w:b/>
          <w:lang w:val="en-ZA"/>
        </w:rPr>
        <w:t>REPUBLIC OF NAMIBIA</w:t>
      </w:r>
      <w:r w:rsidR="00746BD9" w:rsidRPr="00746BD9">
        <w:rPr>
          <w:rFonts w:ascii="Arial" w:hAnsi="Arial" w:cs="Arial"/>
          <w:sz w:val="20"/>
          <w:szCs w:val="20"/>
          <w:lang w:val="en-ZA"/>
        </w:rPr>
        <w:t xml:space="preserve"> </w:t>
      </w:r>
      <w:r w:rsidR="00746BD9">
        <w:rPr>
          <w:rFonts w:ascii="Arial" w:hAnsi="Arial" w:cs="Arial"/>
          <w:sz w:val="20"/>
          <w:szCs w:val="20"/>
          <w:lang w:val="en-ZA"/>
        </w:rPr>
        <w:t xml:space="preserve">               NOT REPORTABLE</w:t>
      </w:r>
      <w:r w:rsidR="00746BD9" w:rsidRPr="006B344C">
        <w:rPr>
          <w:rFonts w:ascii="Arial" w:hAnsi="Arial" w:cs="Arial"/>
          <w:b/>
          <w:lang w:val="en-ZA"/>
        </w:rPr>
        <w:t xml:space="preserve">                                 </w:t>
      </w:r>
    </w:p>
    <w:p w:rsidR="00127347" w:rsidRDefault="00127347" w:rsidP="00127347">
      <w:pPr>
        <w:spacing w:line="360" w:lineRule="auto"/>
        <w:ind w:left="720" w:firstLine="720"/>
        <w:jc w:val="center"/>
        <w:rPr>
          <w:rFonts w:ascii="Arial" w:hAnsi="Arial" w:cs="Arial"/>
          <w:b/>
          <w:lang w:val="en-ZA"/>
        </w:rPr>
      </w:pPr>
    </w:p>
    <w:p w:rsidR="00AB6605" w:rsidRPr="006B344C" w:rsidRDefault="0041697D" w:rsidP="006B344C">
      <w:pPr>
        <w:spacing w:line="360" w:lineRule="auto"/>
        <w:ind w:left="720" w:hanging="11"/>
        <w:jc w:val="center"/>
        <w:rPr>
          <w:rFonts w:ascii="Arial" w:hAnsi="Arial" w:cs="Arial"/>
          <w:lang w:val="en-ZA"/>
        </w:rPr>
      </w:pPr>
      <w:r w:rsidRPr="006B344C">
        <w:rPr>
          <w:rFonts w:ascii="Arial" w:hAnsi="Arial" w:cs="Arial"/>
          <w:noProof/>
          <w:lang w:val="en-US" w:eastAsia="en-US"/>
        </w:rPr>
        <w:drawing>
          <wp:inline distT="0" distB="0" distL="0" distR="0">
            <wp:extent cx="9239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AB6605" w:rsidRPr="006B344C" w:rsidRDefault="00617DBE" w:rsidP="006B344C">
      <w:pPr>
        <w:spacing w:line="360" w:lineRule="auto"/>
        <w:ind w:left="720" w:hanging="720"/>
        <w:jc w:val="center"/>
        <w:rPr>
          <w:rFonts w:ascii="Arial" w:hAnsi="Arial" w:cs="Arial"/>
          <w:b/>
          <w:lang w:val="en-ZA"/>
        </w:rPr>
      </w:pPr>
      <w:r w:rsidRPr="006B344C">
        <w:rPr>
          <w:rFonts w:ascii="Arial" w:hAnsi="Arial" w:cs="Arial"/>
          <w:b/>
          <w:lang w:val="en-ZA"/>
        </w:rPr>
        <w:t xml:space="preserve">HIGH COURT OF NAMIBIA </w:t>
      </w:r>
      <w:r w:rsidR="00C86ACA">
        <w:rPr>
          <w:rFonts w:ascii="Arial" w:hAnsi="Arial" w:cs="Arial"/>
          <w:b/>
          <w:lang w:val="en-ZA"/>
        </w:rPr>
        <w:t>MAIN</w:t>
      </w:r>
      <w:r w:rsidRPr="006B344C">
        <w:rPr>
          <w:rFonts w:ascii="Arial" w:hAnsi="Arial" w:cs="Arial"/>
          <w:b/>
          <w:lang w:val="en-ZA"/>
        </w:rPr>
        <w:t xml:space="preserve"> DIVISION</w:t>
      </w:r>
      <w:r w:rsidR="00331F89" w:rsidRPr="006B344C">
        <w:rPr>
          <w:rFonts w:ascii="Arial" w:hAnsi="Arial" w:cs="Arial"/>
          <w:b/>
          <w:lang w:val="en-ZA"/>
        </w:rPr>
        <w:t xml:space="preserve">, </w:t>
      </w:r>
      <w:r w:rsidR="00C86ACA">
        <w:rPr>
          <w:rFonts w:ascii="Arial" w:hAnsi="Arial" w:cs="Arial"/>
          <w:b/>
          <w:lang w:val="en-ZA"/>
        </w:rPr>
        <w:t>WINDHOEK</w:t>
      </w:r>
    </w:p>
    <w:p w:rsidR="00331F89" w:rsidRPr="006B344C" w:rsidRDefault="00331F89" w:rsidP="006B344C">
      <w:pPr>
        <w:spacing w:line="360" w:lineRule="auto"/>
        <w:ind w:left="720" w:hanging="11"/>
        <w:jc w:val="center"/>
        <w:rPr>
          <w:rFonts w:ascii="Arial" w:hAnsi="Arial" w:cs="Arial"/>
          <w:b/>
          <w:lang w:val="en-ZA"/>
        </w:rPr>
      </w:pPr>
      <w:r w:rsidRPr="006B344C">
        <w:rPr>
          <w:rFonts w:ascii="Arial" w:hAnsi="Arial" w:cs="Arial"/>
          <w:b/>
          <w:lang w:val="en-ZA"/>
        </w:rPr>
        <w:t>JUDGMENT</w:t>
      </w:r>
    </w:p>
    <w:p w:rsidR="009B5ACD" w:rsidRPr="006B344C" w:rsidRDefault="00AB6605" w:rsidP="006B344C">
      <w:pPr>
        <w:spacing w:line="360" w:lineRule="auto"/>
        <w:ind w:left="720" w:firstLine="720"/>
        <w:jc w:val="right"/>
        <w:rPr>
          <w:rFonts w:ascii="Arial" w:hAnsi="Arial" w:cs="Arial"/>
          <w:b/>
          <w:lang w:val="en-ZA"/>
        </w:rPr>
      </w:pPr>
      <w:r w:rsidRPr="006B344C">
        <w:rPr>
          <w:rFonts w:ascii="Arial" w:hAnsi="Arial" w:cs="Arial"/>
          <w:b/>
          <w:lang w:val="en-ZA"/>
        </w:rPr>
        <w:tab/>
      </w:r>
      <w:r w:rsidRPr="006B344C">
        <w:rPr>
          <w:rFonts w:ascii="Arial" w:hAnsi="Arial" w:cs="Arial"/>
          <w:b/>
          <w:lang w:val="en-ZA"/>
        </w:rPr>
        <w:tab/>
      </w:r>
      <w:r w:rsidRPr="006B344C">
        <w:rPr>
          <w:rFonts w:ascii="Arial" w:hAnsi="Arial" w:cs="Arial"/>
          <w:b/>
          <w:lang w:val="en-ZA"/>
        </w:rPr>
        <w:tab/>
      </w:r>
      <w:r w:rsidRPr="006B344C">
        <w:rPr>
          <w:rFonts w:ascii="Arial" w:hAnsi="Arial" w:cs="Arial"/>
          <w:b/>
          <w:lang w:val="en-ZA"/>
        </w:rPr>
        <w:tab/>
      </w:r>
      <w:r w:rsidRPr="006B344C">
        <w:rPr>
          <w:rFonts w:ascii="Arial" w:hAnsi="Arial" w:cs="Arial"/>
          <w:b/>
          <w:lang w:val="en-ZA"/>
        </w:rPr>
        <w:tab/>
      </w:r>
      <w:r w:rsidR="000C626E" w:rsidRPr="006B344C">
        <w:rPr>
          <w:rFonts w:ascii="Arial" w:hAnsi="Arial" w:cs="Arial"/>
          <w:lang w:val="en-ZA"/>
        </w:rPr>
        <w:t>Case no</w:t>
      </w:r>
      <w:r w:rsidR="00A139F5" w:rsidRPr="006B344C">
        <w:rPr>
          <w:rFonts w:ascii="Arial" w:hAnsi="Arial" w:cs="Arial"/>
          <w:lang w:val="en-ZA"/>
        </w:rPr>
        <w:t>: CC</w:t>
      </w:r>
      <w:r w:rsidR="00200A9D">
        <w:rPr>
          <w:rFonts w:ascii="Arial" w:hAnsi="Arial" w:cs="Arial"/>
          <w:lang w:val="en-ZA"/>
        </w:rPr>
        <w:t xml:space="preserve"> 09</w:t>
      </w:r>
      <w:r w:rsidR="005C2A66" w:rsidRPr="006B344C">
        <w:rPr>
          <w:rFonts w:ascii="Arial" w:hAnsi="Arial" w:cs="Arial"/>
          <w:lang w:val="en-ZA"/>
        </w:rPr>
        <w:t>/201</w:t>
      </w:r>
      <w:r w:rsidR="006403DB">
        <w:rPr>
          <w:rFonts w:ascii="Arial" w:hAnsi="Arial" w:cs="Arial"/>
          <w:lang w:val="en-ZA"/>
        </w:rPr>
        <w:t>6</w:t>
      </w:r>
    </w:p>
    <w:p w:rsidR="009B5ACD" w:rsidRPr="006B344C" w:rsidRDefault="009B5ACD" w:rsidP="006B344C">
      <w:pPr>
        <w:spacing w:line="360" w:lineRule="auto"/>
        <w:jc w:val="center"/>
        <w:rPr>
          <w:rFonts w:ascii="Arial" w:hAnsi="Arial" w:cs="Arial"/>
          <w:b/>
          <w:lang w:val="en-ZA"/>
        </w:rPr>
      </w:pPr>
    </w:p>
    <w:p w:rsidR="009B5ACD" w:rsidRPr="006B344C" w:rsidRDefault="009B5ACD" w:rsidP="006B344C">
      <w:pPr>
        <w:spacing w:line="360" w:lineRule="auto"/>
        <w:jc w:val="both"/>
        <w:rPr>
          <w:rFonts w:ascii="Arial" w:hAnsi="Arial" w:cs="Arial"/>
          <w:lang w:val="en-ZA"/>
        </w:rPr>
      </w:pPr>
      <w:r w:rsidRPr="006B344C">
        <w:rPr>
          <w:rFonts w:ascii="Arial" w:hAnsi="Arial" w:cs="Arial"/>
          <w:lang w:val="en-ZA"/>
        </w:rPr>
        <w:t>In the matter between:</w:t>
      </w:r>
    </w:p>
    <w:p w:rsidR="009B5ACD" w:rsidRPr="006B344C" w:rsidRDefault="009B5ACD" w:rsidP="006B344C">
      <w:pPr>
        <w:spacing w:line="360" w:lineRule="auto"/>
        <w:jc w:val="both"/>
        <w:rPr>
          <w:rFonts w:ascii="Arial" w:hAnsi="Arial" w:cs="Arial"/>
          <w:lang w:val="en-ZA"/>
        </w:rPr>
      </w:pPr>
    </w:p>
    <w:p w:rsidR="009B5ACD" w:rsidRPr="006B344C" w:rsidRDefault="009B5ACD" w:rsidP="006B344C">
      <w:pPr>
        <w:spacing w:line="360" w:lineRule="auto"/>
        <w:jc w:val="both"/>
        <w:rPr>
          <w:rFonts w:ascii="Arial" w:hAnsi="Arial" w:cs="Arial"/>
          <w:b/>
          <w:lang w:val="en-ZA"/>
        </w:rPr>
      </w:pPr>
      <w:r w:rsidRPr="006B344C">
        <w:rPr>
          <w:rFonts w:ascii="Arial" w:hAnsi="Arial" w:cs="Arial"/>
          <w:b/>
          <w:lang w:val="en-ZA"/>
        </w:rPr>
        <w:t>THE STATE</w:t>
      </w:r>
    </w:p>
    <w:p w:rsidR="001B0ADC" w:rsidRPr="006B344C" w:rsidRDefault="001B0ADC" w:rsidP="006B344C">
      <w:pPr>
        <w:spacing w:line="360" w:lineRule="auto"/>
        <w:jc w:val="both"/>
        <w:rPr>
          <w:rFonts w:ascii="Arial" w:hAnsi="Arial" w:cs="Arial"/>
          <w:b/>
          <w:lang w:val="en-ZA"/>
        </w:rPr>
      </w:pPr>
    </w:p>
    <w:p w:rsidR="009B5ACD" w:rsidRPr="006B344C" w:rsidRDefault="009B5ACD" w:rsidP="006B344C">
      <w:pPr>
        <w:spacing w:line="360" w:lineRule="auto"/>
        <w:jc w:val="both"/>
        <w:rPr>
          <w:rFonts w:ascii="Arial" w:hAnsi="Arial" w:cs="Arial"/>
          <w:lang w:val="en-ZA"/>
        </w:rPr>
      </w:pPr>
      <w:r w:rsidRPr="006B344C">
        <w:rPr>
          <w:rFonts w:ascii="Arial" w:hAnsi="Arial" w:cs="Arial"/>
          <w:lang w:val="en-ZA"/>
        </w:rPr>
        <w:t>and</w:t>
      </w:r>
    </w:p>
    <w:p w:rsidR="001B0ADC" w:rsidRPr="006B344C" w:rsidRDefault="001B0ADC" w:rsidP="006B344C">
      <w:pPr>
        <w:spacing w:line="360" w:lineRule="auto"/>
        <w:jc w:val="both"/>
        <w:rPr>
          <w:rFonts w:ascii="Arial" w:hAnsi="Arial" w:cs="Arial"/>
          <w:b/>
          <w:lang w:val="en-ZA"/>
        </w:rPr>
      </w:pPr>
    </w:p>
    <w:p w:rsidR="009B5ACD" w:rsidRPr="006B344C" w:rsidRDefault="00200A9D" w:rsidP="006B344C">
      <w:pPr>
        <w:spacing w:line="360" w:lineRule="auto"/>
        <w:jc w:val="both"/>
        <w:rPr>
          <w:rFonts w:ascii="Arial" w:hAnsi="Arial" w:cs="Arial"/>
          <w:b/>
          <w:lang w:val="en-ZA"/>
        </w:rPr>
      </w:pPr>
      <w:r>
        <w:rPr>
          <w:rFonts w:ascii="Arial" w:hAnsi="Arial" w:cs="Arial"/>
          <w:b/>
          <w:lang w:val="en-ZA"/>
        </w:rPr>
        <w:t>DANNE RODNEY SHANINGUA</w:t>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t xml:space="preserve">         </w:t>
      </w:r>
      <w:r w:rsidR="00D5553F" w:rsidRPr="006B344C">
        <w:rPr>
          <w:rFonts w:ascii="Arial" w:hAnsi="Arial" w:cs="Arial"/>
          <w:b/>
          <w:lang w:val="en-ZA"/>
        </w:rPr>
        <w:t>ACCUSED</w:t>
      </w:r>
    </w:p>
    <w:p w:rsidR="009B5ACD" w:rsidRPr="006B344C" w:rsidRDefault="009B5ACD" w:rsidP="006B344C">
      <w:pPr>
        <w:spacing w:line="360" w:lineRule="auto"/>
        <w:rPr>
          <w:rFonts w:ascii="Arial" w:hAnsi="Arial" w:cs="Arial"/>
          <w:lang w:val="en-ZA"/>
        </w:rPr>
      </w:pPr>
    </w:p>
    <w:p w:rsidR="00892190" w:rsidRPr="006B344C" w:rsidRDefault="00892190" w:rsidP="006B344C">
      <w:pPr>
        <w:spacing w:line="360" w:lineRule="auto"/>
        <w:rPr>
          <w:rFonts w:ascii="Arial" w:hAnsi="Arial" w:cs="Arial"/>
          <w:lang w:val="en-ZA"/>
        </w:rPr>
      </w:pPr>
    </w:p>
    <w:p w:rsidR="00892190" w:rsidRPr="006B344C" w:rsidRDefault="00892190" w:rsidP="006B344C">
      <w:pPr>
        <w:spacing w:line="360" w:lineRule="auto"/>
        <w:rPr>
          <w:rFonts w:ascii="Arial" w:hAnsi="Arial" w:cs="Arial"/>
          <w:lang w:val="en-ZA"/>
        </w:rPr>
      </w:pPr>
      <w:r w:rsidRPr="006B344C">
        <w:rPr>
          <w:rFonts w:ascii="Arial" w:hAnsi="Arial" w:cs="Arial"/>
          <w:b/>
          <w:lang w:val="en-ZA"/>
        </w:rPr>
        <w:t xml:space="preserve">Neutral citation:  </w:t>
      </w:r>
      <w:r w:rsidR="00746BD9">
        <w:rPr>
          <w:rFonts w:ascii="Arial" w:hAnsi="Arial" w:cs="Arial"/>
          <w:i/>
          <w:lang w:val="en-ZA"/>
        </w:rPr>
        <w:t>S</w:t>
      </w:r>
      <w:r w:rsidR="001B0ADC" w:rsidRPr="006B344C">
        <w:rPr>
          <w:rFonts w:ascii="Arial" w:hAnsi="Arial" w:cs="Arial"/>
          <w:i/>
          <w:lang w:val="en-ZA"/>
        </w:rPr>
        <w:t xml:space="preserve"> v </w:t>
      </w:r>
      <w:r w:rsidR="00200A9D">
        <w:rPr>
          <w:rFonts w:ascii="Arial" w:hAnsi="Arial" w:cs="Arial"/>
          <w:i/>
          <w:lang w:val="en-ZA"/>
        </w:rPr>
        <w:t>Shaningua</w:t>
      </w:r>
      <w:r w:rsidR="00457DD2">
        <w:rPr>
          <w:rFonts w:ascii="Arial" w:hAnsi="Arial" w:cs="Arial"/>
          <w:lang w:val="en-ZA"/>
        </w:rPr>
        <w:t xml:space="preserve"> </w:t>
      </w:r>
      <w:r w:rsidR="00200A9D">
        <w:rPr>
          <w:rFonts w:ascii="Arial" w:hAnsi="Arial" w:cs="Arial"/>
          <w:lang w:val="en-ZA"/>
        </w:rPr>
        <w:t>(CC 09</w:t>
      </w:r>
      <w:r w:rsidR="006403DB">
        <w:rPr>
          <w:rFonts w:ascii="Arial" w:hAnsi="Arial" w:cs="Arial"/>
          <w:lang w:val="en-ZA"/>
        </w:rPr>
        <w:t>/2016</w:t>
      </w:r>
      <w:r w:rsidR="0028196B">
        <w:rPr>
          <w:rFonts w:ascii="Arial" w:hAnsi="Arial" w:cs="Arial"/>
          <w:lang w:val="en-ZA"/>
        </w:rPr>
        <w:t xml:space="preserve">) </w:t>
      </w:r>
      <w:r w:rsidR="006403DB">
        <w:rPr>
          <w:rFonts w:ascii="Arial" w:hAnsi="Arial" w:cs="Arial"/>
          <w:lang w:val="en-ZA"/>
        </w:rPr>
        <w:t>[2017</w:t>
      </w:r>
      <w:r w:rsidR="00C86ACA">
        <w:rPr>
          <w:rFonts w:ascii="Arial" w:hAnsi="Arial" w:cs="Arial"/>
          <w:lang w:val="en-ZA"/>
        </w:rPr>
        <w:t>] NAHCMD</w:t>
      </w:r>
      <w:r w:rsidR="006012AE">
        <w:rPr>
          <w:rFonts w:ascii="Arial" w:hAnsi="Arial" w:cs="Arial"/>
          <w:lang w:val="en-ZA"/>
        </w:rPr>
        <w:t xml:space="preserve"> 224</w:t>
      </w:r>
      <w:r w:rsidR="00746BD9">
        <w:rPr>
          <w:rFonts w:ascii="Arial" w:hAnsi="Arial" w:cs="Arial"/>
          <w:lang w:val="en-ZA"/>
        </w:rPr>
        <w:t xml:space="preserve"> </w:t>
      </w:r>
      <w:r w:rsidR="0008274B">
        <w:rPr>
          <w:rFonts w:ascii="Arial" w:hAnsi="Arial" w:cs="Arial"/>
          <w:lang w:val="en-ZA"/>
        </w:rPr>
        <w:t>(14 August</w:t>
      </w:r>
      <w:r w:rsidR="006403DB">
        <w:rPr>
          <w:rFonts w:ascii="Arial" w:hAnsi="Arial" w:cs="Arial"/>
          <w:lang w:val="en-ZA"/>
        </w:rPr>
        <w:t xml:space="preserve"> 2017</w:t>
      </w:r>
      <w:r w:rsidR="000050DA" w:rsidRPr="006B344C">
        <w:rPr>
          <w:rFonts w:ascii="Arial" w:hAnsi="Arial" w:cs="Arial"/>
          <w:lang w:val="en-ZA"/>
        </w:rPr>
        <w:t>)</w:t>
      </w:r>
    </w:p>
    <w:p w:rsidR="00A92D68" w:rsidRPr="006B344C" w:rsidRDefault="00A92D68" w:rsidP="006B344C">
      <w:pPr>
        <w:spacing w:line="360" w:lineRule="auto"/>
        <w:jc w:val="both"/>
        <w:rPr>
          <w:rFonts w:ascii="Arial" w:hAnsi="Arial" w:cs="Arial"/>
          <w:b/>
          <w:i/>
          <w:lang w:val="en-ZA"/>
        </w:rPr>
      </w:pPr>
    </w:p>
    <w:p w:rsidR="009B5ACD" w:rsidRPr="006B344C" w:rsidRDefault="000C626E" w:rsidP="006B344C">
      <w:pPr>
        <w:spacing w:line="360" w:lineRule="auto"/>
        <w:jc w:val="both"/>
        <w:rPr>
          <w:rFonts w:ascii="Arial" w:hAnsi="Arial" w:cs="Arial"/>
          <w:lang w:val="en-ZA"/>
        </w:rPr>
      </w:pPr>
      <w:r w:rsidRPr="006B344C">
        <w:rPr>
          <w:rFonts w:ascii="Arial" w:hAnsi="Arial" w:cs="Arial"/>
          <w:b/>
          <w:lang w:val="en-ZA"/>
        </w:rPr>
        <w:t>Coram</w:t>
      </w:r>
      <w:r w:rsidR="009B5ACD" w:rsidRPr="006B344C">
        <w:rPr>
          <w:rFonts w:ascii="Arial" w:hAnsi="Arial" w:cs="Arial"/>
          <w:b/>
          <w:lang w:val="en-ZA"/>
        </w:rPr>
        <w:t xml:space="preserve">: </w:t>
      </w:r>
      <w:r w:rsidR="009B5ACD" w:rsidRPr="006B344C">
        <w:rPr>
          <w:rFonts w:ascii="Arial" w:hAnsi="Arial" w:cs="Arial"/>
          <w:b/>
          <w:lang w:val="en-ZA"/>
        </w:rPr>
        <w:tab/>
      </w:r>
      <w:r w:rsidR="00EA0B0D">
        <w:rPr>
          <w:rFonts w:ascii="Arial" w:hAnsi="Arial" w:cs="Arial"/>
          <w:lang w:val="en-ZA"/>
        </w:rPr>
        <w:t>LIEBENBERG</w:t>
      </w:r>
      <w:r w:rsidR="009D6566" w:rsidRPr="006B344C">
        <w:rPr>
          <w:rFonts w:ascii="Arial" w:hAnsi="Arial" w:cs="Arial"/>
          <w:lang w:val="en-ZA"/>
        </w:rPr>
        <w:t xml:space="preserve"> </w:t>
      </w:r>
      <w:r w:rsidR="00EA0B0D">
        <w:rPr>
          <w:rFonts w:ascii="Arial" w:hAnsi="Arial" w:cs="Arial"/>
          <w:lang w:val="en-ZA"/>
        </w:rPr>
        <w:t>J</w:t>
      </w:r>
    </w:p>
    <w:p w:rsidR="009B5ACD" w:rsidRPr="00457DD2" w:rsidRDefault="009B5ACD" w:rsidP="006B344C">
      <w:pPr>
        <w:spacing w:line="360" w:lineRule="auto"/>
        <w:jc w:val="both"/>
        <w:rPr>
          <w:rFonts w:ascii="Arial" w:hAnsi="Arial" w:cs="Arial"/>
          <w:lang w:val="en-ZA"/>
        </w:rPr>
      </w:pPr>
      <w:r w:rsidRPr="006B344C">
        <w:rPr>
          <w:rFonts w:ascii="Arial" w:hAnsi="Arial" w:cs="Arial"/>
          <w:b/>
          <w:lang w:val="en-ZA"/>
        </w:rPr>
        <w:t>Heard</w:t>
      </w:r>
      <w:r w:rsidR="001B0ADC" w:rsidRPr="006B344C">
        <w:rPr>
          <w:rFonts w:ascii="Arial" w:hAnsi="Arial" w:cs="Arial"/>
          <w:b/>
          <w:lang w:val="en-ZA"/>
        </w:rPr>
        <w:t>:</w:t>
      </w:r>
      <w:r w:rsidR="001B0ADC" w:rsidRPr="006B344C">
        <w:rPr>
          <w:rFonts w:ascii="Arial" w:hAnsi="Arial" w:cs="Arial"/>
          <w:b/>
          <w:lang w:val="en-ZA"/>
        </w:rPr>
        <w:tab/>
      </w:r>
      <w:r w:rsidR="00200A9D">
        <w:rPr>
          <w:rFonts w:ascii="Arial" w:hAnsi="Arial" w:cs="Arial"/>
          <w:lang w:val="en-ZA"/>
        </w:rPr>
        <w:t>10 – 13 April</w:t>
      </w:r>
      <w:r w:rsidR="002253EA">
        <w:rPr>
          <w:rFonts w:ascii="Arial" w:hAnsi="Arial" w:cs="Arial"/>
          <w:lang w:val="en-ZA"/>
        </w:rPr>
        <w:t>; 10 – 11 July</w:t>
      </w:r>
      <w:r w:rsidR="006403DB">
        <w:rPr>
          <w:rFonts w:ascii="Arial" w:hAnsi="Arial" w:cs="Arial"/>
          <w:lang w:val="en-ZA"/>
        </w:rPr>
        <w:t xml:space="preserve"> 2017</w:t>
      </w:r>
    </w:p>
    <w:p w:rsidR="001B0ADC" w:rsidRPr="00457DD2" w:rsidRDefault="001B0ADC" w:rsidP="006B344C">
      <w:pPr>
        <w:spacing w:line="360" w:lineRule="auto"/>
        <w:jc w:val="both"/>
        <w:rPr>
          <w:rFonts w:ascii="Arial" w:hAnsi="Arial" w:cs="Arial"/>
          <w:lang w:val="en-ZA"/>
        </w:rPr>
      </w:pPr>
      <w:r w:rsidRPr="006B344C">
        <w:rPr>
          <w:rFonts w:ascii="Arial" w:hAnsi="Arial" w:cs="Arial"/>
          <w:b/>
          <w:lang w:val="en-ZA"/>
        </w:rPr>
        <w:t>Delivered:</w:t>
      </w:r>
      <w:r w:rsidR="009B5ACD" w:rsidRPr="006B344C">
        <w:rPr>
          <w:rFonts w:ascii="Arial" w:hAnsi="Arial" w:cs="Arial"/>
          <w:b/>
          <w:lang w:val="en-ZA"/>
        </w:rPr>
        <w:t xml:space="preserve"> </w:t>
      </w:r>
      <w:r w:rsidR="00766BBA" w:rsidRPr="006B344C">
        <w:rPr>
          <w:rFonts w:ascii="Arial" w:hAnsi="Arial" w:cs="Arial"/>
          <w:b/>
          <w:lang w:val="en-ZA"/>
        </w:rPr>
        <w:tab/>
      </w:r>
      <w:r w:rsidR="0008274B">
        <w:rPr>
          <w:rFonts w:ascii="Arial" w:hAnsi="Arial" w:cs="Arial"/>
          <w:lang w:val="en-ZA"/>
        </w:rPr>
        <w:t>14</w:t>
      </w:r>
      <w:r w:rsidR="006403DB">
        <w:rPr>
          <w:rFonts w:ascii="Arial" w:hAnsi="Arial" w:cs="Arial"/>
          <w:lang w:val="en-ZA"/>
        </w:rPr>
        <w:t xml:space="preserve"> </w:t>
      </w:r>
      <w:r w:rsidR="0008274B">
        <w:rPr>
          <w:rFonts w:ascii="Arial" w:hAnsi="Arial" w:cs="Arial"/>
          <w:lang w:val="en-ZA"/>
        </w:rPr>
        <w:t xml:space="preserve">August </w:t>
      </w:r>
      <w:r w:rsidR="006403DB">
        <w:rPr>
          <w:rFonts w:ascii="Arial" w:hAnsi="Arial" w:cs="Arial"/>
          <w:lang w:val="en-ZA"/>
        </w:rPr>
        <w:t>2017</w:t>
      </w:r>
    </w:p>
    <w:p w:rsidR="001B0ADC" w:rsidRPr="006B344C" w:rsidRDefault="001B0ADC" w:rsidP="006B344C">
      <w:pPr>
        <w:spacing w:line="360" w:lineRule="auto"/>
        <w:jc w:val="both"/>
        <w:rPr>
          <w:rFonts w:ascii="Arial" w:hAnsi="Arial" w:cs="Arial"/>
          <w:lang w:val="en-ZA"/>
        </w:rPr>
      </w:pPr>
    </w:p>
    <w:p w:rsidR="00395A99" w:rsidRPr="00395A99" w:rsidRDefault="00395A99" w:rsidP="00395A99">
      <w:pPr>
        <w:spacing w:line="360" w:lineRule="auto"/>
        <w:jc w:val="both"/>
        <w:rPr>
          <w:rFonts w:ascii="Arial" w:eastAsia="Calibri" w:hAnsi="Arial" w:cs="Arial"/>
          <w:lang w:val="en-US" w:eastAsia="en-US"/>
        </w:rPr>
      </w:pPr>
      <w:r w:rsidRPr="00395A99">
        <w:rPr>
          <w:rFonts w:ascii="Arial" w:eastAsia="Calibri" w:hAnsi="Arial" w:cs="Arial"/>
          <w:b/>
          <w:lang w:val="en-US" w:eastAsia="en-US"/>
        </w:rPr>
        <w:t>Flynote:</w:t>
      </w:r>
      <w:r w:rsidRPr="00395A99">
        <w:rPr>
          <w:rFonts w:ascii="Arial" w:eastAsia="Calibri" w:hAnsi="Arial" w:cs="Arial"/>
          <w:b/>
          <w:lang w:val="en-US" w:eastAsia="en-US"/>
        </w:rPr>
        <w:tab/>
      </w:r>
      <w:r w:rsidRPr="00395A99">
        <w:rPr>
          <w:rFonts w:ascii="Arial" w:eastAsia="Calibri" w:hAnsi="Arial" w:cs="Arial"/>
          <w:lang w:val="en-US" w:eastAsia="en-US"/>
        </w:rPr>
        <w:t>Criminal Law – Murder and Defeating or obstructing the course of justice – Private defence and criminal incapacity raised – Requirements for private defence reiterated – No evidence led in support of accused’s criminal incapacity during the shooting – Accused’s inability to remember critical moments during the shooting incident negates his defence of private defence.</w:t>
      </w:r>
    </w:p>
    <w:p w:rsidR="00395A99" w:rsidRPr="00395A99" w:rsidRDefault="00395A99" w:rsidP="00395A99">
      <w:pPr>
        <w:spacing w:line="360" w:lineRule="auto"/>
        <w:jc w:val="both"/>
        <w:rPr>
          <w:rFonts w:ascii="Arial" w:eastAsia="Calibri" w:hAnsi="Arial" w:cs="Arial"/>
          <w:lang w:val="en-US" w:eastAsia="en-US"/>
        </w:rPr>
      </w:pPr>
    </w:p>
    <w:p w:rsidR="00395A99" w:rsidRPr="00395A99" w:rsidRDefault="00395A99" w:rsidP="00395A99">
      <w:pPr>
        <w:spacing w:line="360" w:lineRule="auto"/>
        <w:jc w:val="both"/>
        <w:rPr>
          <w:rFonts w:ascii="Arial" w:eastAsia="Calibri" w:hAnsi="Arial" w:cs="Arial"/>
          <w:lang w:val="en-US" w:eastAsia="en-US"/>
        </w:rPr>
      </w:pPr>
      <w:r w:rsidRPr="00395A99">
        <w:rPr>
          <w:rFonts w:ascii="Arial" w:eastAsia="Calibri" w:hAnsi="Arial" w:cs="Arial"/>
          <w:lang w:val="en-US" w:eastAsia="en-US"/>
        </w:rPr>
        <w:t xml:space="preserve">Criminal law – Accused after shooting incident did everything to avoid arrest or to have the vehicle involved in the incident traced. No evidence that he </w:t>
      </w:r>
      <w:r w:rsidRPr="00395A99">
        <w:rPr>
          <w:rFonts w:ascii="Arial" w:eastAsia="Calibri" w:hAnsi="Arial" w:cs="Arial"/>
          <w:lang w:val="en-US" w:eastAsia="en-US"/>
        </w:rPr>
        <w:lastRenderedPageBreak/>
        <w:t>destroyed or discarded evidence relevant to the investigations – Accused attempted to defeat or obstruct the course of justice.</w:t>
      </w:r>
    </w:p>
    <w:p w:rsidR="00395A99" w:rsidRPr="00395A99" w:rsidRDefault="00395A99" w:rsidP="00395A99">
      <w:pPr>
        <w:spacing w:line="360" w:lineRule="auto"/>
        <w:jc w:val="both"/>
        <w:rPr>
          <w:rFonts w:ascii="Arial" w:eastAsia="Calibri" w:hAnsi="Arial" w:cs="Arial"/>
          <w:lang w:val="en-US" w:eastAsia="en-US"/>
        </w:rPr>
      </w:pPr>
    </w:p>
    <w:p w:rsidR="00395A99" w:rsidRPr="00395A99" w:rsidRDefault="00395A99" w:rsidP="00395A99">
      <w:pPr>
        <w:spacing w:line="360" w:lineRule="auto"/>
        <w:jc w:val="both"/>
        <w:rPr>
          <w:rFonts w:ascii="Arial" w:eastAsia="Calibri" w:hAnsi="Arial" w:cs="Arial"/>
          <w:lang w:val="en-US" w:eastAsia="en-US"/>
        </w:rPr>
      </w:pPr>
      <w:r w:rsidRPr="00395A99">
        <w:rPr>
          <w:rFonts w:ascii="Arial" w:eastAsia="Calibri" w:hAnsi="Arial" w:cs="Arial"/>
          <w:lang w:val="en-US" w:eastAsia="en-US"/>
        </w:rPr>
        <w:t>Criminal procedure – State’s failure to call certain witnesses listed – Witnesses made available to defence – Witnesses either unwilling or unable to give evidence – No adverse inference drawn against State’s failure to call witnesses.</w:t>
      </w:r>
    </w:p>
    <w:p w:rsidR="00395A99" w:rsidRPr="00395A99" w:rsidRDefault="00395A99" w:rsidP="00395A99">
      <w:pPr>
        <w:spacing w:line="360" w:lineRule="auto"/>
        <w:jc w:val="both"/>
        <w:rPr>
          <w:rFonts w:ascii="Arial" w:eastAsia="Calibri" w:hAnsi="Arial" w:cs="Arial"/>
          <w:lang w:val="en-US" w:eastAsia="en-US"/>
        </w:rPr>
      </w:pPr>
    </w:p>
    <w:p w:rsidR="00395A99" w:rsidRPr="00395A99" w:rsidRDefault="00395A99" w:rsidP="00395A99">
      <w:pPr>
        <w:spacing w:line="360" w:lineRule="auto"/>
        <w:jc w:val="both"/>
        <w:rPr>
          <w:rFonts w:ascii="Arial" w:eastAsia="Calibri" w:hAnsi="Arial" w:cs="Arial"/>
          <w:lang w:val="en-US" w:eastAsia="en-US"/>
        </w:rPr>
      </w:pPr>
    </w:p>
    <w:p w:rsidR="00395A99" w:rsidRPr="00395A99" w:rsidRDefault="00395A99" w:rsidP="00395A99">
      <w:pPr>
        <w:spacing w:line="360" w:lineRule="auto"/>
        <w:jc w:val="both"/>
        <w:rPr>
          <w:rFonts w:ascii="Arial" w:eastAsia="Calibri" w:hAnsi="Arial" w:cs="Arial"/>
          <w:lang w:val="en-US" w:eastAsia="en-US"/>
        </w:rPr>
      </w:pPr>
      <w:r w:rsidRPr="00395A99">
        <w:rPr>
          <w:rFonts w:ascii="Arial" w:eastAsia="Calibri" w:hAnsi="Arial" w:cs="Arial"/>
          <w:b/>
          <w:lang w:val="en-US" w:eastAsia="en-US"/>
        </w:rPr>
        <w:t>Summary:</w:t>
      </w:r>
      <w:r w:rsidRPr="00395A99">
        <w:rPr>
          <w:rFonts w:ascii="Arial" w:eastAsia="Calibri" w:hAnsi="Arial" w:cs="Arial"/>
          <w:lang w:val="en-US" w:eastAsia="en-US"/>
        </w:rPr>
        <w:tab/>
        <w:t>The accused was charged with murder and defeating or obstructing the course of justice. Deceased’s car collided with accused’s car, thereafter accused disembarking from his vehicle armed with a gun and firing the first two gun shots at deceased’s vehicle front side and tyre. At trial accused pleaded not guilty and his defence is that he acted in self defence in that after the collision, when he disembarked from his vehicle to approach the deceased’s car, deceased reversed his car, and at high speed drove towards him and it was in that moment when he fired at the deceased’s vehicle as it would have bumped him. Accused further claimed that he was overwhelmed with fear and he cannot remember shooting at deceased’s vehicle after it drove past him. Evidence showed that whilst deceased drove slowly past accused’s car he fired several shots directly at the cabin of deceased car and also after it had past him. After the shooting incident accused went into hiding, removed the number plates and license disk of the car he was driving in and parked the car at someone else’s residence. During submissions it was argued that the court should draw an adverse inference from the State’s failure to call two witness listed on the State’s list of witnesses who would have shed more light to the charges accused was facing.</w:t>
      </w:r>
    </w:p>
    <w:p w:rsidR="00395A99" w:rsidRPr="00395A99" w:rsidRDefault="00395A99" w:rsidP="00395A99">
      <w:pPr>
        <w:spacing w:line="360" w:lineRule="auto"/>
        <w:jc w:val="both"/>
        <w:rPr>
          <w:rFonts w:ascii="Arial" w:eastAsia="Calibri" w:hAnsi="Arial" w:cs="Arial"/>
          <w:lang w:val="en-US" w:eastAsia="en-US"/>
        </w:rPr>
      </w:pPr>
    </w:p>
    <w:p w:rsidR="00395A99" w:rsidRPr="00395A99" w:rsidRDefault="00395A99" w:rsidP="00395A99">
      <w:pPr>
        <w:spacing w:line="360" w:lineRule="auto"/>
        <w:jc w:val="both"/>
        <w:rPr>
          <w:rFonts w:ascii="Arial" w:eastAsia="Calibri" w:hAnsi="Arial" w:cs="Arial"/>
          <w:lang w:val="en-US" w:eastAsia="en-US"/>
        </w:rPr>
      </w:pPr>
      <w:r w:rsidRPr="00395A99">
        <w:rPr>
          <w:rFonts w:ascii="Arial" w:eastAsia="Calibri" w:hAnsi="Arial" w:cs="Arial"/>
          <w:lang w:val="en-US" w:eastAsia="en-US"/>
        </w:rPr>
        <w:t xml:space="preserve">Held, that there was no imminent danger or attack on the accused and he could therefore not have acted in private defence. On the accused’s own version he shot at the deceased’s vehicle after it had drove past him, by which time the unlawful attack on him had ceased as the attack was already something of the past. Except for the first shots fired at the tyre and into the front side of the vehicle, all the remaining shots were fired at an angle from </w:t>
      </w:r>
      <w:r w:rsidRPr="00395A99">
        <w:rPr>
          <w:rFonts w:ascii="Arial" w:eastAsia="Calibri" w:hAnsi="Arial" w:cs="Arial"/>
          <w:lang w:val="en-US" w:eastAsia="en-US"/>
        </w:rPr>
        <w:lastRenderedPageBreak/>
        <w:t>behind when the vehicle had already passed him and therefore posed no further threat – including the fatal shot. Accused’s defence of having acted in private defence rejected.</w:t>
      </w:r>
    </w:p>
    <w:p w:rsidR="00395A99" w:rsidRPr="00395A99" w:rsidRDefault="00395A99" w:rsidP="00395A99">
      <w:pPr>
        <w:spacing w:line="360" w:lineRule="auto"/>
        <w:jc w:val="both"/>
        <w:rPr>
          <w:rFonts w:ascii="Arial" w:eastAsia="Calibri" w:hAnsi="Arial" w:cs="Arial"/>
          <w:lang w:val="en-US" w:eastAsia="en-US"/>
        </w:rPr>
      </w:pPr>
    </w:p>
    <w:p w:rsidR="00395A99" w:rsidRPr="00395A99" w:rsidRDefault="00395A99" w:rsidP="00395A99">
      <w:pPr>
        <w:spacing w:line="360" w:lineRule="auto"/>
        <w:jc w:val="both"/>
        <w:rPr>
          <w:rFonts w:ascii="Arial" w:eastAsia="Calibri" w:hAnsi="Arial" w:cs="Arial"/>
          <w:lang w:val="en-US" w:eastAsia="en-US"/>
        </w:rPr>
      </w:pPr>
      <w:r w:rsidRPr="00395A99">
        <w:rPr>
          <w:rFonts w:ascii="Arial" w:eastAsia="Calibri" w:hAnsi="Arial" w:cs="Arial"/>
          <w:lang w:val="en-US" w:eastAsia="en-US"/>
        </w:rPr>
        <w:t>Held further, accused’s explanation that he shot at the deceased’s car because he kept his finger on the trigger when he was moving out of harm’s way and that he cannot remember shooting at the deceased’s vehicle after it had drove past him, negates his defence of private defence.</w:t>
      </w:r>
    </w:p>
    <w:p w:rsidR="00395A99" w:rsidRPr="00395A99" w:rsidRDefault="00395A99" w:rsidP="00395A99">
      <w:pPr>
        <w:spacing w:line="360" w:lineRule="auto"/>
        <w:jc w:val="both"/>
        <w:rPr>
          <w:rFonts w:ascii="Arial" w:eastAsia="Calibri" w:hAnsi="Arial" w:cs="Arial"/>
          <w:lang w:val="en-US" w:eastAsia="en-US"/>
        </w:rPr>
      </w:pPr>
    </w:p>
    <w:p w:rsidR="00395A99" w:rsidRPr="00395A99" w:rsidRDefault="00395A99" w:rsidP="00395A99">
      <w:pPr>
        <w:spacing w:line="360" w:lineRule="auto"/>
        <w:jc w:val="both"/>
        <w:rPr>
          <w:rFonts w:ascii="Arial" w:eastAsia="Calibri" w:hAnsi="Arial" w:cs="Arial"/>
          <w:lang w:val="en-US" w:eastAsia="en-US"/>
        </w:rPr>
      </w:pPr>
      <w:r w:rsidRPr="00395A99">
        <w:rPr>
          <w:rFonts w:ascii="Arial" w:eastAsia="Calibri" w:hAnsi="Arial" w:cs="Arial"/>
          <w:lang w:val="en-US" w:eastAsia="en-US"/>
        </w:rPr>
        <w:t>Held further, that accused having lacked criminal capacity when firing shots because he was overwhelmed by fear is without merit as no clinical evidence was led in support thereof. Further, accused’s evidence as to his state of mind during the firing of the shots falls short of evidence from which it could be inferred that he lacked criminal capacity.</w:t>
      </w:r>
    </w:p>
    <w:p w:rsidR="00395A99" w:rsidRPr="00395A99" w:rsidRDefault="00395A99" w:rsidP="00395A99">
      <w:pPr>
        <w:spacing w:line="360" w:lineRule="auto"/>
        <w:jc w:val="both"/>
        <w:rPr>
          <w:rFonts w:ascii="Arial" w:eastAsia="Calibri" w:hAnsi="Arial" w:cs="Arial"/>
          <w:lang w:val="en-US" w:eastAsia="en-US"/>
        </w:rPr>
      </w:pPr>
    </w:p>
    <w:p w:rsidR="00395A99" w:rsidRPr="00395A99" w:rsidRDefault="00395A99" w:rsidP="00395A99">
      <w:pPr>
        <w:spacing w:line="360" w:lineRule="auto"/>
        <w:jc w:val="both"/>
        <w:rPr>
          <w:rFonts w:ascii="Arial" w:eastAsia="Calibri" w:hAnsi="Arial" w:cs="Arial"/>
          <w:lang w:val="en-US" w:eastAsia="en-US"/>
        </w:rPr>
      </w:pPr>
      <w:r w:rsidRPr="00395A99">
        <w:rPr>
          <w:rFonts w:ascii="Arial" w:eastAsia="Calibri" w:hAnsi="Arial" w:cs="Arial"/>
          <w:lang w:val="en-US" w:eastAsia="en-US"/>
        </w:rPr>
        <w:t xml:space="preserve">Held further, when accused shot into the cabin and the rear of the deceased’s vehicle after it had passed him, of which two bullets struck the deceased, the accused acted with intent in the form of </w:t>
      </w:r>
      <w:r w:rsidRPr="00395A99">
        <w:rPr>
          <w:rFonts w:ascii="Arial" w:eastAsia="Calibri" w:hAnsi="Arial" w:cs="Arial"/>
          <w:i/>
          <w:lang w:val="en-US" w:eastAsia="en-US"/>
        </w:rPr>
        <w:t>dolus eventualis</w:t>
      </w:r>
      <w:r w:rsidRPr="00395A99">
        <w:rPr>
          <w:rFonts w:ascii="Arial" w:eastAsia="Calibri" w:hAnsi="Arial" w:cs="Arial"/>
          <w:lang w:val="en-US" w:eastAsia="en-US"/>
        </w:rPr>
        <w:t>, in that he foresaw that firing shots into the cabin of the vehicle could kill a human being and reconciled himself to this possibility.</w:t>
      </w:r>
    </w:p>
    <w:p w:rsidR="00395A99" w:rsidRPr="00395A99" w:rsidRDefault="00395A99" w:rsidP="00395A99">
      <w:pPr>
        <w:spacing w:line="360" w:lineRule="auto"/>
        <w:jc w:val="both"/>
        <w:rPr>
          <w:rFonts w:ascii="Arial" w:eastAsia="Calibri" w:hAnsi="Arial" w:cs="Arial"/>
          <w:lang w:val="en-US" w:eastAsia="en-US"/>
        </w:rPr>
      </w:pPr>
    </w:p>
    <w:p w:rsidR="00395A99" w:rsidRPr="00395A99" w:rsidRDefault="00395A99" w:rsidP="00395A99">
      <w:pPr>
        <w:spacing w:line="360" w:lineRule="auto"/>
        <w:jc w:val="both"/>
        <w:rPr>
          <w:rFonts w:ascii="Arial" w:eastAsia="Calibri" w:hAnsi="Arial" w:cs="Arial"/>
          <w:lang w:val="en-US" w:eastAsia="en-US"/>
        </w:rPr>
      </w:pPr>
      <w:r w:rsidRPr="00395A99">
        <w:rPr>
          <w:rFonts w:ascii="Arial" w:eastAsia="Calibri" w:hAnsi="Arial" w:cs="Arial"/>
          <w:lang w:val="en-US" w:eastAsia="en-US"/>
        </w:rPr>
        <w:t>Held further, though accused tried to avoid his arrest and hide the vehicle involved in the incident, there is no evidence that the accused destroyed or discarded evidence relevant to the investigation, and thus the completed offence of defeating or obstructing the course of justice was not proved.</w:t>
      </w:r>
    </w:p>
    <w:p w:rsidR="00395A99" w:rsidRPr="00395A99" w:rsidRDefault="00395A99" w:rsidP="00395A99">
      <w:pPr>
        <w:spacing w:line="360" w:lineRule="auto"/>
        <w:jc w:val="both"/>
        <w:rPr>
          <w:rFonts w:ascii="Arial" w:eastAsia="Calibri" w:hAnsi="Arial" w:cs="Arial"/>
          <w:lang w:val="en-US" w:eastAsia="en-US"/>
        </w:rPr>
      </w:pPr>
    </w:p>
    <w:p w:rsidR="00690307" w:rsidRPr="00395A99" w:rsidRDefault="00395A99" w:rsidP="006B344C">
      <w:pPr>
        <w:spacing w:line="360" w:lineRule="auto"/>
        <w:jc w:val="both"/>
        <w:rPr>
          <w:rFonts w:ascii="Arial" w:eastAsia="Calibri" w:hAnsi="Arial" w:cs="Arial"/>
          <w:lang w:val="en-US" w:eastAsia="en-US"/>
        </w:rPr>
      </w:pPr>
      <w:r w:rsidRPr="00395A99">
        <w:rPr>
          <w:rFonts w:ascii="Arial" w:eastAsia="Calibri" w:hAnsi="Arial" w:cs="Arial"/>
          <w:lang w:val="en-US" w:eastAsia="en-US"/>
        </w:rPr>
        <w:t>Held further, regarding the State’s failure to call witnesses the court was not faced with the evidence of a single witness and the defense would have approached the Registrar in terms of the Criminal Procedure Act 51 of 1977 to secure the presence of a witness for the defence which it failed to do. There was no duty on the State to call these witnesses and as a results thereof the court cannot draw an adverse inference from its failure to do so.</w:t>
      </w:r>
    </w:p>
    <w:p w:rsidR="0019345F" w:rsidRPr="006B344C" w:rsidRDefault="0019345F" w:rsidP="006B344C">
      <w:pPr>
        <w:pBdr>
          <w:bottom w:val="single" w:sz="12" w:space="1" w:color="auto"/>
        </w:pBdr>
        <w:spacing w:line="360" w:lineRule="auto"/>
        <w:jc w:val="both"/>
        <w:rPr>
          <w:rFonts w:ascii="Arial" w:hAnsi="Arial" w:cs="Arial"/>
          <w:lang w:val="en-ZA"/>
        </w:rPr>
      </w:pPr>
    </w:p>
    <w:p w:rsidR="009B5ACD" w:rsidRPr="006B344C" w:rsidRDefault="009B5ACD" w:rsidP="006B344C">
      <w:pPr>
        <w:spacing w:line="360" w:lineRule="auto"/>
        <w:jc w:val="both"/>
        <w:rPr>
          <w:rFonts w:ascii="Arial" w:hAnsi="Arial" w:cs="Arial"/>
          <w:b/>
          <w:lang w:val="en-ZA"/>
        </w:rPr>
      </w:pPr>
    </w:p>
    <w:p w:rsidR="0019345F" w:rsidRPr="006B344C" w:rsidRDefault="00630A10" w:rsidP="006B344C">
      <w:pPr>
        <w:pBdr>
          <w:bottom w:val="single" w:sz="12" w:space="1" w:color="auto"/>
        </w:pBdr>
        <w:spacing w:line="360" w:lineRule="auto"/>
        <w:jc w:val="center"/>
        <w:rPr>
          <w:rFonts w:ascii="Arial" w:hAnsi="Arial" w:cs="Arial"/>
          <w:b/>
          <w:lang w:val="en-ZA"/>
        </w:rPr>
      </w:pPr>
      <w:r w:rsidRPr="006B344C">
        <w:rPr>
          <w:rFonts w:ascii="Arial" w:hAnsi="Arial" w:cs="Arial"/>
          <w:b/>
          <w:lang w:val="en-ZA"/>
        </w:rPr>
        <w:t>ORDER</w:t>
      </w:r>
    </w:p>
    <w:p w:rsidR="00C062AF" w:rsidRPr="006B344C" w:rsidRDefault="00C062AF" w:rsidP="006B344C">
      <w:pPr>
        <w:spacing w:line="360" w:lineRule="auto"/>
        <w:jc w:val="both"/>
        <w:rPr>
          <w:rFonts w:ascii="Arial" w:hAnsi="Arial" w:cs="Arial"/>
          <w:b/>
          <w:lang w:val="en-ZA"/>
        </w:rPr>
      </w:pPr>
    </w:p>
    <w:p w:rsidR="002D0A16" w:rsidRPr="006B344C" w:rsidRDefault="002D0A16" w:rsidP="006B344C">
      <w:pPr>
        <w:spacing w:line="360" w:lineRule="auto"/>
        <w:jc w:val="both"/>
        <w:rPr>
          <w:rFonts w:ascii="Arial" w:hAnsi="Arial" w:cs="Arial"/>
          <w:lang w:val="en-ZA"/>
        </w:rPr>
      </w:pPr>
    </w:p>
    <w:p w:rsidR="00D42AE9" w:rsidRDefault="00D42AE9" w:rsidP="00D42AE9">
      <w:pPr>
        <w:spacing w:line="360" w:lineRule="auto"/>
        <w:jc w:val="both"/>
        <w:rPr>
          <w:rFonts w:ascii="Arial" w:hAnsi="Arial" w:cs="Arial"/>
        </w:rPr>
      </w:pPr>
      <w:r>
        <w:rPr>
          <w:rFonts w:ascii="Arial" w:hAnsi="Arial" w:cs="Arial"/>
        </w:rPr>
        <w:t xml:space="preserve">Count 1: Murder – Guilty, acting with intent in the form of </w:t>
      </w:r>
      <w:r>
        <w:rPr>
          <w:rFonts w:ascii="Arial" w:hAnsi="Arial" w:cs="Arial"/>
          <w:i/>
        </w:rPr>
        <w:t>dolus eventualis.</w:t>
      </w:r>
    </w:p>
    <w:p w:rsidR="00D42AE9" w:rsidRPr="0011161F" w:rsidRDefault="00D42AE9" w:rsidP="00D42AE9">
      <w:pPr>
        <w:spacing w:line="360" w:lineRule="auto"/>
        <w:jc w:val="both"/>
        <w:rPr>
          <w:rFonts w:ascii="Arial" w:hAnsi="Arial" w:cs="Arial"/>
        </w:rPr>
      </w:pPr>
      <w:r>
        <w:rPr>
          <w:rFonts w:ascii="Arial" w:hAnsi="Arial" w:cs="Arial"/>
        </w:rPr>
        <w:t>Count 2: Attempting to defeat or obstruct the course of justice – Guilty.</w:t>
      </w:r>
    </w:p>
    <w:p w:rsidR="00A421AA" w:rsidRPr="006B344C" w:rsidRDefault="00A421AA" w:rsidP="006B344C">
      <w:pPr>
        <w:spacing w:line="360" w:lineRule="auto"/>
        <w:jc w:val="both"/>
        <w:rPr>
          <w:rFonts w:ascii="Arial" w:hAnsi="Arial" w:cs="Arial"/>
          <w:lang w:val="en-ZA"/>
        </w:rPr>
      </w:pPr>
    </w:p>
    <w:p w:rsidR="00A421AA" w:rsidRPr="006B344C" w:rsidRDefault="00A421AA" w:rsidP="006B344C">
      <w:pPr>
        <w:pBdr>
          <w:bottom w:val="single" w:sz="12" w:space="1" w:color="auto"/>
        </w:pBdr>
        <w:spacing w:line="360" w:lineRule="auto"/>
        <w:jc w:val="both"/>
        <w:rPr>
          <w:rFonts w:ascii="Arial" w:hAnsi="Arial" w:cs="Arial"/>
          <w:lang w:val="en-ZA"/>
        </w:rPr>
      </w:pPr>
    </w:p>
    <w:p w:rsidR="00A421AA" w:rsidRPr="006B344C" w:rsidRDefault="00A421AA" w:rsidP="006B344C">
      <w:pPr>
        <w:spacing w:line="360" w:lineRule="auto"/>
        <w:jc w:val="both"/>
        <w:rPr>
          <w:rFonts w:ascii="Arial" w:hAnsi="Arial" w:cs="Arial"/>
          <w:b/>
          <w:lang w:val="en-ZA"/>
        </w:rPr>
      </w:pPr>
    </w:p>
    <w:p w:rsidR="00A421AA" w:rsidRPr="006B344C" w:rsidRDefault="00A421AA" w:rsidP="006B344C">
      <w:pPr>
        <w:spacing w:line="360" w:lineRule="auto"/>
        <w:jc w:val="center"/>
        <w:rPr>
          <w:rFonts w:ascii="Arial" w:hAnsi="Arial" w:cs="Arial"/>
          <w:b/>
          <w:lang w:val="en-ZA"/>
        </w:rPr>
      </w:pPr>
      <w:r w:rsidRPr="006B344C">
        <w:rPr>
          <w:rFonts w:ascii="Arial" w:hAnsi="Arial" w:cs="Arial"/>
          <w:b/>
          <w:lang w:val="en-ZA"/>
        </w:rPr>
        <w:t>JUDGMENT</w:t>
      </w:r>
    </w:p>
    <w:p w:rsidR="00A421AA" w:rsidRPr="006B344C" w:rsidRDefault="00A421AA" w:rsidP="006B344C">
      <w:pPr>
        <w:spacing w:line="360" w:lineRule="auto"/>
        <w:jc w:val="both"/>
        <w:rPr>
          <w:rFonts w:ascii="Arial" w:hAnsi="Arial" w:cs="Arial"/>
          <w:b/>
          <w:lang w:val="en-ZA"/>
        </w:rPr>
      </w:pPr>
      <w:r w:rsidRPr="006B344C">
        <w:rPr>
          <w:rFonts w:ascii="Arial" w:hAnsi="Arial" w:cs="Arial"/>
          <w:b/>
          <w:lang w:val="en-ZA"/>
        </w:rPr>
        <w:t>______________________________________________________________</w:t>
      </w:r>
    </w:p>
    <w:p w:rsidR="00A421AA" w:rsidRPr="006B344C" w:rsidRDefault="00A421AA" w:rsidP="006B344C">
      <w:pPr>
        <w:spacing w:line="360" w:lineRule="auto"/>
        <w:jc w:val="both"/>
        <w:rPr>
          <w:rFonts w:ascii="Arial" w:hAnsi="Arial" w:cs="Arial"/>
          <w:b/>
          <w:u w:val="single"/>
          <w:lang w:val="en-ZA"/>
        </w:rPr>
      </w:pPr>
    </w:p>
    <w:p w:rsidR="00A421AA" w:rsidRPr="00EA0B0D" w:rsidRDefault="002B451A" w:rsidP="006B344C">
      <w:pPr>
        <w:spacing w:line="360" w:lineRule="auto"/>
        <w:jc w:val="both"/>
        <w:rPr>
          <w:rFonts w:ascii="Arial" w:hAnsi="Arial" w:cs="Arial"/>
          <w:lang w:val="en-ZA"/>
        </w:rPr>
      </w:pPr>
      <w:r w:rsidRPr="00EA0B0D">
        <w:rPr>
          <w:rFonts w:ascii="Arial" w:hAnsi="Arial" w:cs="Arial"/>
          <w:lang w:val="en-ZA"/>
        </w:rPr>
        <w:t>LIEBENBERG J</w:t>
      </w:r>
      <w:r w:rsidR="009B5ACD" w:rsidRPr="00EA0B0D">
        <w:rPr>
          <w:rFonts w:ascii="Arial" w:hAnsi="Arial" w:cs="Arial"/>
          <w:lang w:val="en-ZA"/>
        </w:rPr>
        <w:t xml:space="preserve">:    </w:t>
      </w:r>
    </w:p>
    <w:p w:rsidR="00A421AA" w:rsidRPr="006B344C" w:rsidRDefault="00A421AA" w:rsidP="006B344C">
      <w:pPr>
        <w:spacing w:line="360" w:lineRule="auto"/>
        <w:jc w:val="both"/>
        <w:rPr>
          <w:rFonts w:ascii="Arial" w:hAnsi="Arial" w:cs="Arial"/>
          <w:lang w:val="en-ZA"/>
        </w:rPr>
      </w:pPr>
    </w:p>
    <w:p w:rsidR="009B5ACD" w:rsidRDefault="009B5ACD" w:rsidP="00457DD2">
      <w:pPr>
        <w:spacing w:before="240" w:line="360" w:lineRule="auto"/>
        <w:jc w:val="both"/>
        <w:rPr>
          <w:rFonts w:ascii="Arial" w:hAnsi="Arial" w:cs="Arial"/>
          <w:lang w:val="en-ZA"/>
        </w:rPr>
      </w:pPr>
      <w:r w:rsidRPr="006B344C">
        <w:rPr>
          <w:rFonts w:ascii="Arial" w:hAnsi="Arial" w:cs="Arial"/>
          <w:lang w:val="en-ZA"/>
        </w:rPr>
        <w:t>[1]</w:t>
      </w:r>
      <w:r w:rsidR="001D36E3" w:rsidRPr="006B344C">
        <w:rPr>
          <w:rFonts w:ascii="Arial" w:hAnsi="Arial" w:cs="Arial"/>
          <w:lang w:val="en-ZA"/>
        </w:rPr>
        <w:t xml:space="preserve">   </w:t>
      </w:r>
      <w:r w:rsidR="002C603F">
        <w:rPr>
          <w:rFonts w:ascii="Arial" w:hAnsi="Arial" w:cs="Arial"/>
          <w:lang w:val="en-ZA"/>
        </w:rPr>
        <w:t>The accused is a 45 year old Na</w:t>
      </w:r>
      <w:r w:rsidR="00D42AE9">
        <w:rPr>
          <w:rFonts w:ascii="Arial" w:hAnsi="Arial" w:cs="Arial"/>
          <w:lang w:val="en-ZA"/>
        </w:rPr>
        <w:t>mibian male who is indicted i</w:t>
      </w:r>
      <w:r w:rsidR="00E55240">
        <w:rPr>
          <w:rFonts w:ascii="Arial" w:hAnsi="Arial" w:cs="Arial"/>
          <w:lang w:val="en-ZA"/>
        </w:rPr>
        <w:t>n</w:t>
      </w:r>
      <w:r w:rsidR="002C603F">
        <w:rPr>
          <w:rFonts w:ascii="Arial" w:hAnsi="Arial" w:cs="Arial"/>
          <w:lang w:val="en-ZA"/>
        </w:rPr>
        <w:t xml:space="preserve"> count</w:t>
      </w:r>
      <w:r w:rsidR="00D42AE9">
        <w:rPr>
          <w:rFonts w:ascii="Arial" w:hAnsi="Arial" w:cs="Arial"/>
          <w:lang w:val="en-ZA"/>
        </w:rPr>
        <w:t xml:space="preserve"> 1 with the offence</w:t>
      </w:r>
      <w:r w:rsidR="002C603F">
        <w:rPr>
          <w:rFonts w:ascii="Arial" w:hAnsi="Arial" w:cs="Arial"/>
          <w:lang w:val="en-ZA"/>
        </w:rPr>
        <w:t xml:space="preserve"> of murder</w:t>
      </w:r>
      <w:r w:rsidR="00E55240">
        <w:rPr>
          <w:rFonts w:ascii="Arial" w:hAnsi="Arial" w:cs="Arial"/>
          <w:lang w:val="en-ZA"/>
        </w:rPr>
        <w:t xml:space="preserve">, and </w:t>
      </w:r>
      <w:r w:rsidR="00D42AE9">
        <w:rPr>
          <w:rFonts w:ascii="Arial" w:hAnsi="Arial" w:cs="Arial"/>
          <w:lang w:val="en-ZA"/>
        </w:rPr>
        <w:t xml:space="preserve">in count 2 with </w:t>
      </w:r>
      <w:r w:rsidR="00E55240">
        <w:rPr>
          <w:rFonts w:ascii="Arial" w:hAnsi="Arial" w:cs="Arial"/>
          <w:lang w:val="en-ZA"/>
        </w:rPr>
        <w:t>defeating or obstructing</w:t>
      </w:r>
      <w:r w:rsidR="00D42AE9">
        <w:rPr>
          <w:rFonts w:ascii="Arial" w:hAnsi="Arial" w:cs="Arial"/>
          <w:lang w:val="en-ZA"/>
        </w:rPr>
        <w:t>,</w:t>
      </w:r>
      <w:r w:rsidR="002C603F">
        <w:rPr>
          <w:rFonts w:ascii="Arial" w:hAnsi="Arial" w:cs="Arial"/>
          <w:lang w:val="en-ZA"/>
        </w:rPr>
        <w:t xml:space="preserve"> or attempting to defeat or obstruct the course of justice. He pleaded not guilty on both counts and in respect of </w:t>
      </w:r>
      <w:r w:rsidR="00E55240">
        <w:rPr>
          <w:rFonts w:ascii="Arial" w:hAnsi="Arial" w:cs="Arial"/>
          <w:lang w:val="en-ZA"/>
        </w:rPr>
        <w:t>the murder charge</w:t>
      </w:r>
      <w:r w:rsidR="002C603F">
        <w:rPr>
          <w:rFonts w:ascii="Arial" w:hAnsi="Arial" w:cs="Arial"/>
          <w:lang w:val="en-ZA"/>
        </w:rPr>
        <w:t xml:space="preserve">, raised private defence as justification </w:t>
      </w:r>
      <w:r w:rsidR="00D74E75">
        <w:rPr>
          <w:rFonts w:ascii="Arial" w:hAnsi="Arial" w:cs="Arial"/>
          <w:lang w:val="en-ZA"/>
        </w:rPr>
        <w:t>in his defence</w:t>
      </w:r>
      <w:r w:rsidR="002C603F">
        <w:rPr>
          <w:rFonts w:ascii="Arial" w:hAnsi="Arial" w:cs="Arial"/>
          <w:lang w:val="en-ZA"/>
        </w:rPr>
        <w:t>.</w:t>
      </w:r>
      <w:r w:rsidR="006B24F3">
        <w:rPr>
          <w:rFonts w:ascii="Arial" w:hAnsi="Arial" w:cs="Arial"/>
          <w:lang w:val="en-ZA"/>
        </w:rPr>
        <w:t xml:space="preserve"> As regards </w:t>
      </w:r>
      <w:r w:rsidR="00E55240">
        <w:rPr>
          <w:rFonts w:ascii="Arial" w:hAnsi="Arial" w:cs="Arial"/>
          <w:lang w:val="en-ZA"/>
        </w:rPr>
        <w:t>the remaining count,</w:t>
      </w:r>
      <w:r w:rsidR="006B24F3">
        <w:rPr>
          <w:rFonts w:ascii="Arial" w:hAnsi="Arial" w:cs="Arial"/>
          <w:lang w:val="en-ZA"/>
        </w:rPr>
        <w:t xml:space="preserve"> the accused </w:t>
      </w:r>
      <w:r w:rsidR="00E55240">
        <w:rPr>
          <w:rFonts w:ascii="Arial" w:hAnsi="Arial" w:cs="Arial"/>
          <w:lang w:val="en-ZA"/>
        </w:rPr>
        <w:t>elected not to give any</w:t>
      </w:r>
      <w:r w:rsidR="006B24F3">
        <w:rPr>
          <w:rFonts w:ascii="Arial" w:hAnsi="Arial" w:cs="Arial"/>
          <w:lang w:val="en-ZA"/>
        </w:rPr>
        <w:t xml:space="preserve"> plea explanation and requi</w:t>
      </w:r>
      <w:r w:rsidR="00E55240">
        <w:rPr>
          <w:rFonts w:ascii="Arial" w:hAnsi="Arial" w:cs="Arial"/>
          <w:lang w:val="en-ZA"/>
        </w:rPr>
        <w:t>red</w:t>
      </w:r>
      <w:r w:rsidR="006B24F3">
        <w:rPr>
          <w:rFonts w:ascii="Arial" w:hAnsi="Arial" w:cs="Arial"/>
          <w:lang w:val="en-ZA"/>
        </w:rPr>
        <w:t xml:space="preserve"> </w:t>
      </w:r>
      <w:r w:rsidR="00D74E75">
        <w:rPr>
          <w:rFonts w:ascii="Arial" w:hAnsi="Arial" w:cs="Arial"/>
          <w:lang w:val="en-ZA"/>
        </w:rPr>
        <w:t xml:space="preserve">of </w:t>
      </w:r>
      <w:r w:rsidR="006B24F3">
        <w:rPr>
          <w:rFonts w:ascii="Arial" w:hAnsi="Arial" w:cs="Arial"/>
          <w:lang w:val="en-ZA"/>
        </w:rPr>
        <w:t xml:space="preserve">the State to prove </w:t>
      </w:r>
      <w:r w:rsidR="00D74E75">
        <w:rPr>
          <w:rFonts w:ascii="Arial" w:hAnsi="Arial" w:cs="Arial"/>
          <w:lang w:val="en-ZA"/>
        </w:rPr>
        <w:t>its case against him</w:t>
      </w:r>
      <w:r w:rsidR="006B24F3">
        <w:rPr>
          <w:rFonts w:ascii="Arial" w:hAnsi="Arial" w:cs="Arial"/>
          <w:lang w:val="en-ZA"/>
        </w:rPr>
        <w:t>.</w:t>
      </w:r>
    </w:p>
    <w:p w:rsidR="006B24F3" w:rsidRDefault="006B24F3" w:rsidP="00457DD2">
      <w:pPr>
        <w:spacing w:before="240" w:line="360" w:lineRule="auto"/>
        <w:jc w:val="both"/>
        <w:rPr>
          <w:rFonts w:ascii="Arial" w:hAnsi="Arial" w:cs="Arial"/>
          <w:lang w:val="en-ZA"/>
        </w:rPr>
      </w:pPr>
    </w:p>
    <w:p w:rsidR="006B24F3" w:rsidRDefault="00C440C7" w:rsidP="00457DD2">
      <w:pPr>
        <w:spacing w:before="240" w:line="360" w:lineRule="auto"/>
        <w:jc w:val="both"/>
        <w:rPr>
          <w:rFonts w:ascii="Arial" w:hAnsi="Arial" w:cs="Arial"/>
          <w:lang w:val="en-ZA"/>
        </w:rPr>
      </w:pPr>
      <w:r>
        <w:rPr>
          <w:rFonts w:ascii="Arial" w:hAnsi="Arial" w:cs="Arial"/>
          <w:lang w:val="en-ZA"/>
        </w:rPr>
        <w:t>[2]   The accused i</w:t>
      </w:r>
      <w:r w:rsidR="006B24F3">
        <w:rPr>
          <w:rFonts w:ascii="Arial" w:hAnsi="Arial" w:cs="Arial"/>
          <w:lang w:val="en-ZA"/>
        </w:rPr>
        <w:t xml:space="preserve">s legally represented by Mr </w:t>
      </w:r>
      <w:r w:rsidR="006B24F3">
        <w:rPr>
          <w:rFonts w:ascii="Arial" w:hAnsi="Arial" w:cs="Arial"/>
          <w:i/>
          <w:lang w:val="en-ZA"/>
        </w:rPr>
        <w:t xml:space="preserve">Makando </w:t>
      </w:r>
      <w:r>
        <w:rPr>
          <w:rFonts w:ascii="Arial" w:hAnsi="Arial" w:cs="Arial"/>
          <w:lang w:val="en-ZA"/>
        </w:rPr>
        <w:t xml:space="preserve">while Ms </w:t>
      </w:r>
      <w:r w:rsidRPr="00B44BD4">
        <w:rPr>
          <w:rFonts w:ascii="Arial" w:hAnsi="Arial" w:cs="Arial"/>
          <w:i/>
          <w:lang w:val="en-ZA"/>
        </w:rPr>
        <w:t>Esterhuysen</w:t>
      </w:r>
      <w:r>
        <w:rPr>
          <w:rFonts w:ascii="Arial" w:hAnsi="Arial" w:cs="Arial"/>
          <w:lang w:val="en-ZA"/>
        </w:rPr>
        <w:t xml:space="preserve"> appears</w:t>
      </w:r>
      <w:r w:rsidR="006B24F3">
        <w:rPr>
          <w:rFonts w:ascii="Arial" w:hAnsi="Arial" w:cs="Arial"/>
          <w:lang w:val="en-ZA"/>
        </w:rPr>
        <w:t xml:space="preserve"> for the State.</w:t>
      </w:r>
    </w:p>
    <w:p w:rsidR="006B24F3" w:rsidRDefault="006B24F3" w:rsidP="00457DD2">
      <w:pPr>
        <w:spacing w:before="240" w:line="360" w:lineRule="auto"/>
        <w:jc w:val="both"/>
        <w:rPr>
          <w:rFonts w:ascii="Arial" w:hAnsi="Arial" w:cs="Arial"/>
          <w:lang w:val="en-ZA"/>
        </w:rPr>
      </w:pPr>
    </w:p>
    <w:p w:rsidR="006012AE" w:rsidRDefault="006012AE" w:rsidP="00457DD2">
      <w:pPr>
        <w:spacing w:before="240" w:line="360" w:lineRule="auto"/>
        <w:jc w:val="both"/>
        <w:rPr>
          <w:rFonts w:ascii="Arial" w:hAnsi="Arial" w:cs="Arial"/>
          <w:u w:val="single"/>
          <w:lang w:val="en-ZA"/>
        </w:rPr>
      </w:pPr>
    </w:p>
    <w:p w:rsidR="006012AE" w:rsidRDefault="006012AE" w:rsidP="00457DD2">
      <w:pPr>
        <w:spacing w:before="240" w:line="360" w:lineRule="auto"/>
        <w:jc w:val="both"/>
        <w:rPr>
          <w:rFonts w:ascii="Arial" w:hAnsi="Arial" w:cs="Arial"/>
          <w:u w:val="single"/>
          <w:lang w:val="en-ZA"/>
        </w:rPr>
      </w:pPr>
    </w:p>
    <w:p w:rsidR="006B24F3" w:rsidRPr="006B24F3" w:rsidRDefault="006B24F3" w:rsidP="00457DD2">
      <w:pPr>
        <w:spacing w:before="240" w:line="360" w:lineRule="auto"/>
        <w:jc w:val="both"/>
        <w:rPr>
          <w:rFonts w:ascii="Arial" w:hAnsi="Arial" w:cs="Arial"/>
          <w:u w:val="single"/>
          <w:lang w:val="en-ZA"/>
        </w:rPr>
      </w:pPr>
      <w:r>
        <w:rPr>
          <w:rFonts w:ascii="Arial" w:hAnsi="Arial" w:cs="Arial"/>
          <w:u w:val="single"/>
          <w:lang w:val="en-ZA"/>
        </w:rPr>
        <w:t>Introduction</w:t>
      </w:r>
    </w:p>
    <w:p w:rsidR="006B24F3" w:rsidRDefault="006B24F3" w:rsidP="00457DD2">
      <w:pPr>
        <w:spacing w:before="240" w:line="360" w:lineRule="auto"/>
        <w:jc w:val="both"/>
        <w:rPr>
          <w:rFonts w:ascii="Arial" w:hAnsi="Arial" w:cs="Arial"/>
          <w:lang w:val="en-ZA"/>
        </w:rPr>
      </w:pPr>
      <w:r>
        <w:rPr>
          <w:rFonts w:ascii="Arial" w:hAnsi="Arial" w:cs="Arial"/>
          <w:lang w:val="en-ZA"/>
        </w:rPr>
        <w:lastRenderedPageBreak/>
        <w:t>[3]   It is not in dispute that on the night of 8 August 2015 the deceased, Marko Kristian Uolevi Ronni, a Finnish National</w:t>
      </w:r>
      <w:r w:rsidR="00C440C7">
        <w:rPr>
          <w:rFonts w:ascii="Arial" w:hAnsi="Arial" w:cs="Arial"/>
          <w:lang w:val="en-ZA"/>
        </w:rPr>
        <w:t xml:space="preserve">, was killed </w:t>
      </w:r>
      <w:r w:rsidR="00D74E75">
        <w:rPr>
          <w:rFonts w:ascii="Arial" w:hAnsi="Arial" w:cs="Arial"/>
          <w:lang w:val="en-ZA"/>
        </w:rPr>
        <w:t>during a shooting incident when the accused</w:t>
      </w:r>
      <w:r w:rsidR="00C440C7">
        <w:rPr>
          <w:rFonts w:ascii="Arial" w:hAnsi="Arial" w:cs="Arial"/>
          <w:lang w:val="en-ZA"/>
        </w:rPr>
        <w:t xml:space="preserve"> fired several shots</w:t>
      </w:r>
      <w:r>
        <w:rPr>
          <w:rFonts w:ascii="Arial" w:hAnsi="Arial" w:cs="Arial"/>
          <w:lang w:val="en-ZA"/>
        </w:rPr>
        <w:t xml:space="preserve"> at him</w:t>
      </w:r>
      <w:r w:rsidR="00D74E75">
        <w:rPr>
          <w:rFonts w:ascii="Arial" w:hAnsi="Arial" w:cs="Arial"/>
          <w:lang w:val="en-ZA"/>
        </w:rPr>
        <w:t>. The deceased at the time was</w:t>
      </w:r>
      <w:r>
        <w:rPr>
          <w:rFonts w:ascii="Arial" w:hAnsi="Arial" w:cs="Arial"/>
          <w:lang w:val="en-ZA"/>
        </w:rPr>
        <w:t xml:space="preserve"> driving </w:t>
      </w:r>
      <w:r w:rsidR="00D74E75">
        <w:rPr>
          <w:rFonts w:ascii="Arial" w:hAnsi="Arial" w:cs="Arial"/>
          <w:lang w:val="en-ZA"/>
        </w:rPr>
        <w:t xml:space="preserve">in </w:t>
      </w:r>
      <w:r>
        <w:rPr>
          <w:rFonts w:ascii="Arial" w:hAnsi="Arial" w:cs="Arial"/>
          <w:lang w:val="en-ZA"/>
        </w:rPr>
        <w:t xml:space="preserve">his vehicle, a silver Landrover Discovery, on Bell </w:t>
      </w:r>
      <w:r w:rsidR="00D7365D">
        <w:rPr>
          <w:rFonts w:ascii="Arial" w:hAnsi="Arial" w:cs="Arial"/>
          <w:lang w:val="en-ZA"/>
        </w:rPr>
        <w:t>Street</w:t>
      </w:r>
      <w:r>
        <w:rPr>
          <w:rFonts w:ascii="Arial" w:hAnsi="Arial" w:cs="Arial"/>
          <w:lang w:val="en-ZA"/>
        </w:rPr>
        <w:t xml:space="preserve"> in Windhoek. </w:t>
      </w:r>
      <w:r w:rsidR="00D74E75">
        <w:rPr>
          <w:rFonts w:ascii="Arial" w:hAnsi="Arial" w:cs="Arial"/>
          <w:lang w:val="en-ZA"/>
        </w:rPr>
        <w:t>It is also common cause</w:t>
      </w:r>
      <w:r w:rsidR="00D7365D">
        <w:rPr>
          <w:rFonts w:ascii="Arial" w:hAnsi="Arial" w:cs="Arial"/>
          <w:lang w:val="en-ZA"/>
        </w:rPr>
        <w:t xml:space="preserve"> that the accused was </w:t>
      </w:r>
      <w:r w:rsidR="00D74E75">
        <w:rPr>
          <w:rFonts w:ascii="Arial" w:hAnsi="Arial" w:cs="Arial"/>
          <w:lang w:val="en-ZA"/>
        </w:rPr>
        <w:t xml:space="preserve">seated </w:t>
      </w:r>
      <w:r w:rsidR="00D7365D">
        <w:rPr>
          <w:rFonts w:ascii="Arial" w:hAnsi="Arial" w:cs="Arial"/>
          <w:lang w:val="en-ZA"/>
        </w:rPr>
        <w:t>in the driver’s seat of a VW</w:t>
      </w:r>
      <w:r w:rsidR="00C440C7">
        <w:rPr>
          <w:rFonts w:ascii="Arial" w:hAnsi="Arial" w:cs="Arial"/>
          <w:lang w:val="en-ZA"/>
        </w:rPr>
        <w:t xml:space="preserve"> Polo parked on the side of the</w:t>
      </w:r>
      <w:r w:rsidR="00D7365D">
        <w:rPr>
          <w:rFonts w:ascii="Arial" w:hAnsi="Arial" w:cs="Arial"/>
          <w:lang w:val="en-ZA"/>
        </w:rPr>
        <w:t xml:space="preserve"> road when the Discovery collided with the rear-end of the Polo. What happened thereafter is </w:t>
      </w:r>
      <w:r w:rsidR="00C440C7">
        <w:rPr>
          <w:rFonts w:ascii="Arial" w:hAnsi="Arial" w:cs="Arial"/>
          <w:lang w:val="en-ZA"/>
        </w:rPr>
        <w:t xml:space="preserve">however </w:t>
      </w:r>
      <w:r w:rsidR="00D7365D">
        <w:rPr>
          <w:rFonts w:ascii="Arial" w:hAnsi="Arial" w:cs="Arial"/>
          <w:lang w:val="en-ZA"/>
        </w:rPr>
        <w:t>in contention. The</w:t>
      </w:r>
      <w:r w:rsidR="00D43482">
        <w:rPr>
          <w:rFonts w:ascii="Arial" w:hAnsi="Arial" w:cs="Arial"/>
          <w:lang w:val="en-ZA"/>
        </w:rPr>
        <w:t xml:space="preserve"> State called</w:t>
      </w:r>
      <w:r w:rsidR="00D7365D">
        <w:rPr>
          <w:rFonts w:ascii="Arial" w:hAnsi="Arial" w:cs="Arial"/>
          <w:lang w:val="en-ZA"/>
        </w:rPr>
        <w:t xml:space="preserve"> </w:t>
      </w:r>
      <w:r w:rsidR="00D43482" w:rsidRPr="00540617">
        <w:rPr>
          <w:rFonts w:ascii="Arial" w:hAnsi="Arial" w:cs="Arial"/>
          <w:lang w:val="en-ZA"/>
        </w:rPr>
        <w:t>two</w:t>
      </w:r>
      <w:r w:rsidR="00D43482">
        <w:rPr>
          <w:rFonts w:ascii="Arial" w:hAnsi="Arial" w:cs="Arial"/>
          <w:lang w:val="en-ZA"/>
        </w:rPr>
        <w:t xml:space="preserve"> </w:t>
      </w:r>
      <w:r w:rsidR="00D74E75">
        <w:rPr>
          <w:rFonts w:ascii="Arial" w:hAnsi="Arial" w:cs="Arial"/>
          <w:lang w:val="en-ZA"/>
        </w:rPr>
        <w:t>eye</w:t>
      </w:r>
      <w:r w:rsidR="00D43482">
        <w:rPr>
          <w:rFonts w:ascii="Arial" w:hAnsi="Arial" w:cs="Arial"/>
          <w:lang w:val="en-ZA"/>
        </w:rPr>
        <w:t xml:space="preserve">witnesses who claim to have witnessed the </w:t>
      </w:r>
      <w:r w:rsidR="00D74E75">
        <w:rPr>
          <w:rFonts w:ascii="Arial" w:hAnsi="Arial" w:cs="Arial"/>
          <w:lang w:val="en-ZA"/>
        </w:rPr>
        <w:t xml:space="preserve">collision and </w:t>
      </w:r>
      <w:r w:rsidR="00D43482">
        <w:rPr>
          <w:rFonts w:ascii="Arial" w:hAnsi="Arial" w:cs="Arial"/>
          <w:lang w:val="en-ZA"/>
        </w:rPr>
        <w:t>shooting incident</w:t>
      </w:r>
      <w:r w:rsidR="00D74E75">
        <w:rPr>
          <w:rFonts w:ascii="Arial" w:hAnsi="Arial" w:cs="Arial"/>
          <w:lang w:val="en-ZA"/>
        </w:rPr>
        <w:t>s</w:t>
      </w:r>
      <w:r w:rsidR="00D43482">
        <w:rPr>
          <w:rFonts w:ascii="Arial" w:hAnsi="Arial" w:cs="Arial"/>
          <w:lang w:val="en-ZA"/>
        </w:rPr>
        <w:t xml:space="preserve"> </w:t>
      </w:r>
      <w:r w:rsidR="00C440C7">
        <w:rPr>
          <w:rFonts w:ascii="Arial" w:hAnsi="Arial" w:cs="Arial"/>
          <w:lang w:val="en-ZA"/>
        </w:rPr>
        <w:t>namely,</w:t>
      </w:r>
      <w:r w:rsidR="00D43482">
        <w:rPr>
          <w:rFonts w:ascii="Arial" w:hAnsi="Arial" w:cs="Arial"/>
          <w:lang w:val="en-ZA"/>
        </w:rPr>
        <w:t xml:space="preserve"> Ms Fenol</w:t>
      </w:r>
      <w:r w:rsidR="00C440C7">
        <w:rPr>
          <w:rFonts w:ascii="Arial" w:hAnsi="Arial" w:cs="Arial"/>
          <w:lang w:val="en-ZA"/>
        </w:rPr>
        <w:t>a Felix, a passenger in the accused’s vehicle</w:t>
      </w:r>
      <w:r w:rsidR="00D43482">
        <w:rPr>
          <w:rFonts w:ascii="Arial" w:hAnsi="Arial" w:cs="Arial"/>
          <w:lang w:val="en-ZA"/>
        </w:rPr>
        <w:t xml:space="preserve"> and Mr Alexand</w:t>
      </w:r>
      <w:r w:rsidR="00C440C7">
        <w:rPr>
          <w:rFonts w:ascii="Arial" w:hAnsi="Arial" w:cs="Arial"/>
          <w:lang w:val="en-ZA"/>
        </w:rPr>
        <w:t>er Paulus, a taxi driver</w:t>
      </w:r>
      <w:r w:rsidR="00D43482">
        <w:rPr>
          <w:rFonts w:ascii="Arial" w:hAnsi="Arial" w:cs="Arial"/>
          <w:lang w:val="en-ZA"/>
        </w:rPr>
        <w:t xml:space="preserve"> </w:t>
      </w:r>
      <w:r w:rsidR="00B44BD4">
        <w:rPr>
          <w:rFonts w:ascii="Arial" w:hAnsi="Arial" w:cs="Arial"/>
          <w:lang w:val="en-ZA"/>
        </w:rPr>
        <w:t xml:space="preserve">who had been </w:t>
      </w:r>
      <w:r w:rsidR="00C440C7">
        <w:rPr>
          <w:rFonts w:ascii="Arial" w:hAnsi="Arial" w:cs="Arial"/>
          <w:lang w:val="en-ZA"/>
        </w:rPr>
        <w:t>following</w:t>
      </w:r>
      <w:r w:rsidR="00D43482">
        <w:rPr>
          <w:rFonts w:ascii="Arial" w:hAnsi="Arial" w:cs="Arial"/>
          <w:lang w:val="en-ZA"/>
        </w:rPr>
        <w:t xml:space="preserve"> the Discovery immediately prior to the accident. </w:t>
      </w:r>
    </w:p>
    <w:p w:rsidR="00D43482" w:rsidRDefault="00D43482" w:rsidP="00457DD2">
      <w:pPr>
        <w:spacing w:before="240" w:line="360" w:lineRule="auto"/>
        <w:jc w:val="both"/>
        <w:rPr>
          <w:rFonts w:ascii="Arial" w:hAnsi="Arial" w:cs="Arial"/>
          <w:lang w:val="en-ZA"/>
        </w:rPr>
      </w:pPr>
    </w:p>
    <w:p w:rsidR="00D43482" w:rsidRDefault="00D74E75" w:rsidP="00457DD2">
      <w:pPr>
        <w:spacing w:before="240" w:line="360" w:lineRule="auto"/>
        <w:jc w:val="both"/>
        <w:rPr>
          <w:rFonts w:ascii="Arial" w:hAnsi="Arial" w:cs="Arial"/>
          <w:u w:val="single"/>
          <w:lang w:val="en-ZA"/>
        </w:rPr>
      </w:pPr>
      <w:r>
        <w:rPr>
          <w:rFonts w:ascii="Arial" w:hAnsi="Arial" w:cs="Arial"/>
          <w:u w:val="single"/>
          <w:lang w:val="en-ZA"/>
        </w:rPr>
        <w:t>The State’s case</w:t>
      </w:r>
    </w:p>
    <w:p w:rsidR="00D43482" w:rsidRDefault="00833549" w:rsidP="00457DD2">
      <w:pPr>
        <w:spacing w:before="240" w:line="360" w:lineRule="auto"/>
        <w:jc w:val="both"/>
        <w:rPr>
          <w:rFonts w:ascii="Arial" w:hAnsi="Arial" w:cs="Arial"/>
          <w:lang w:val="en-ZA"/>
        </w:rPr>
      </w:pPr>
      <w:r>
        <w:rPr>
          <w:rFonts w:ascii="Arial" w:hAnsi="Arial" w:cs="Arial"/>
          <w:lang w:val="en-ZA"/>
        </w:rPr>
        <w:t>[</w:t>
      </w:r>
      <w:r w:rsidR="00D74E75">
        <w:rPr>
          <w:rFonts w:ascii="Arial" w:hAnsi="Arial" w:cs="Arial"/>
          <w:lang w:val="en-ZA"/>
        </w:rPr>
        <w:t>4</w:t>
      </w:r>
      <w:r>
        <w:rPr>
          <w:rFonts w:ascii="Arial" w:hAnsi="Arial" w:cs="Arial"/>
          <w:lang w:val="en-ZA"/>
        </w:rPr>
        <w:t>]   Ms Felix</w:t>
      </w:r>
      <w:r w:rsidR="00C440C7">
        <w:rPr>
          <w:rFonts w:ascii="Arial" w:hAnsi="Arial" w:cs="Arial"/>
          <w:lang w:val="en-ZA"/>
        </w:rPr>
        <w:t xml:space="preserve"> </w:t>
      </w:r>
      <w:r w:rsidR="00D555BC">
        <w:rPr>
          <w:rFonts w:ascii="Arial" w:hAnsi="Arial" w:cs="Arial"/>
          <w:lang w:val="en-ZA"/>
        </w:rPr>
        <w:t xml:space="preserve">(Fenola) </w:t>
      </w:r>
      <w:r w:rsidR="00121745">
        <w:rPr>
          <w:rFonts w:ascii="Arial" w:hAnsi="Arial" w:cs="Arial"/>
          <w:lang w:val="en-ZA"/>
        </w:rPr>
        <w:t xml:space="preserve">related to events earlier that </w:t>
      </w:r>
      <w:r w:rsidR="00C440C7">
        <w:rPr>
          <w:rFonts w:ascii="Arial" w:hAnsi="Arial" w:cs="Arial"/>
          <w:lang w:val="en-ZA"/>
        </w:rPr>
        <w:t xml:space="preserve">day </w:t>
      </w:r>
      <w:r w:rsidR="00121745">
        <w:rPr>
          <w:rFonts w:ascii="Arial" w:hAnsi="Arial" w:cs="Arial"/>
          <w:lang w:val="en-ZA"/>
        </w:rPr>
        <w:t>when she and her friends enjoyed themselves at a car wa</w:t>
      </w:r>
      <w:r w:rsidR="00D74E75">
        <w:rPr>
          <w:rFonts w:ascii="Arial" w:hAnsi="Arial" w:cs="Arial"/>
          <w:lang w:val="en-ZA"/>
        </w:rPr>
        <w:t>sh/bar in Katutura</w:t>
      </w:r>
      <w:r>
        <w:rPr>
          <w:rFonts w:ascii="Arial" w:hAnsi="Arial" w:cs="Arial"/>
          <w:lang w:val="en-ZA"/>
        </w:rPr>
        <w:t xml:space="preserve"> and where she</w:t>
      </w:r>
      <w:r w:rsidR="00121745">
        <w:rPr>
          <w:rFonts w:ascii="Arial" w:hAnsi="Arial" w:cs="Arial"/>
          <w:lang w:val="en-ZA"/>
        </w:rPr>
        <w:t xml:space="preserve"> met the accused. </w:t>
      </w:r>
      <w:r>
        <w:rPr>
          <w:rFonts w:ascii="Arial" w:hAnsi="Arial" w:cs="Arial"/>
          <w:lang w:val="en-ZA"/>
        </w:rPr>
        <w:t>Also i</w:t>
      </w:r>
      <w:r w:rsidR="00121745">
        <w:rPr>
          <w:rFonts w:ascii="Arial" w:hAnsi="Arial" w:cs="Arial"/>
          <w:lang w:val="en-ZA"/>
        </w:rPr>
        <w:t xml:space="preserve">n their company was </w:t>
      </w:r>
      <w:r>
        <w:rPr>
          <w:rFonts w:ascii="Arial" w:hAnsi="Arial" w:cs="Arial"/>
          <w:lang w:val="en-ZA"/>
        </w:rPr>
        <w:t>the accused’s brother Chris</w:t>
      </w:r>
      <w:r w:rsidR="00121745">
        <w:rPr>
          <w:rFonts w:ascii="Arial" w:hAnsi="Arial" w:cs="Arial"/>
          <w:lang w:val="en-ZA"/>
        </w:rPr>
        <w:t xml:space="preserve"> and a friend by the name</w:t>
      </w:r>
      <w:r>
        <w:rPr>
          <w:rFonts w:ascii="Arial" w:hAnsi="Arial" w:cs="Arial"/>
          <w:lang w:val="en-ZA"/>
        </w:rPr>
        <w:t xml:space="preserve"> of</w:t>
      </w:r>
      <w:r w:rsidR="00121745">
        <w:rPr>
          <w:rFonts w:ascii="Arial" w:hAnsi="Arial" w:cs="Arial"/>
          <w:lang w:val="en-ZA"/>
        </w:rPr>
        <w:t xml:space="preserve"> Indongo, a police officer</w:t>
      </w:r>
      <w:r w:rsidR="00A85952">
        <w:rPr>
          <w:rFonts w:ascii="Arial" w:hAnsi="Arial" w:cs="Arial"/>
          <w:lang w:val="en-ZA"/>
        </w:rPr>
        <w:t xml:space="preserve">. </w:t>
      </w:r>
      <w:r>
        <w:rPr>
          <w:rFonts w:ascii="Arial" w:hAnsi="Arial" w:cs="Arial"/>
          <w:lang w:val="en-ZA"/>
        </w:rPr>
        <w:t>During the evening</w:t>
      </w:r>
      <w:r w:rsidR="00A85952">
        <w:rPr>
          <w:rFonts w:ascii="Arial" w:hAnsi="Arial" w:cs="Arial"/>
          <w:lang w:val="en-ZA"/>
        </w:rPr>
        <w:t xml:space="preserve"> the</w:t>
      </w:r>
      <w:r>
        <w:rPr>
          <w:rFonts w:ascii="Arial" w:hAnsi="Arial" w:cs="Arial"/>
          <w:lang w:val="en-ZA"/>
        </w:rPr>
        <w:t>y</w:t>
      </w:r>
      <w:r w:rsidR="00A85952">
        <w:rPr>
          <w:rFonts w:ascii="Arial" w:hAnsi="Arial" w:cs="Arial"/>
          <w:lang w:val="en-ZA"/>
        </w:rPr>
        <w:t xml:space="preserve"> decided to visit Joker’s Spo</w:t>
      </w:r>
      <w:r w:rsidR="00C440C7">
        <w:rPr>
          <w:rFonts w:ascii="Arial" w:hAnsi="Arial" w:cs="Arial"/>
          <w:lang w:val="en-ZA"/>
        </w:rPr>
        <w:t>rts Bar situated in Bell Street up to where</w:t>
      </w:r>
      <w:r w:rsidR="00A51E96">
        <w:rPr>
          <w:rFonts w:ascii="Arial" w:hAnsi="Arial" w:cs="Arial"/>
          <w:lang w:val="en-ZA"/>
        </w:rPr>
        <w:t xml:space="preserve"> she</w:t>
      </w:r>
      <w:r w:rsidR="00A85952">
        <w:rPr>
          <w:rFonts w:ascii="Arial" w:hAnsi="Arial" w:cs="Arial"/>
          <w:lang w:val="en-ZA"/>
        </w:rPr>
        <w:t xml:space="preserve"> got a lift with the accused. As they </w:t>
      </w:r>
      <w:r w:rsidR="00C440C7">
        <w:rPr>
          <w:rFonts w:ascii="Arial" w:hAnsi="Arial" w:cs="Arial"/>
          <w:lang w:val="en-ZA"/>
        </w:rPr>
        <w:t xml:space="preserve">had </w:t>
      </w:r>
      <w:r w:rsidR="00A85952">
        <w:rPr>
          <w:rFonts w:ascii="Arial" w:hAnsi="Arial" w:cs="Arial"/>
          <w:lang w:val="en-ZA"/>
        </w:rPr>
        <w:t>arrived fi</w:t>
      </w:r>
      <w:r w:rsidR="008D6EAC">
        <w:rPr>
          <w:rFonts w:ascii="Arial" w:hAnsi="Arial" w:cs="Arial"/>
          <w:lang w:val="en-ZA"/>
        </w:rPr>
        <w:t>rst, the accused parked his car</w:t>
      </w:r>
      <w:r w:rsidR="00A85952">
        <w:rPr>
          <w:rFonts w:ascii="Arial" w:hAnsi="Arial" w:cs="Arial"/>
          <w:lang w:val="en-ZA"/>
        </w:rPr>
        <w:t xml:space="preserve"> </w:t>
      </w:r>
      <w:r>
        <w:rPr>
          <w:rFonts w:ascii="Arial" w:hAnsi="Arial" w:cs="Arial"/>
          <w:lang w:val="en-ZA"/>
        </w:rPr>
        <w:t>on</w:t>
      </w:r>
      <w:r w:rsidR="00A85952">
        <w:rPr>
          <w:rFonts w:ascii="Arial" w:hAnsi="Arial" w:cs="Arial"/>
          <w:lang w:val="en-ZA"/>
        </w:rPr>
        <w:t xml:space="preserve"> the side of the road </w:t>
      </w:r>
      <w:r w:rsidR="008D6EAC">
        <w:rPr>
          <w:rFonts w:ascii="Arial" w:hAnsi="Arial" w:cs="Arial"/>
          <w:lang w:val="en-ZA"/>
        </w:rPr>
        <w:t xml:space="preserve">diagonally across the street of Joker’s </w:t>
      </w:r>
      <w:r w:rsidR="00D74E75">
        <w:rPr>
          <w:rFonts w:ascii="Arial" w:hAnsi="Arial" w:cs="Arial"/>
          <w:lang w:val="en-ZA"/>
        </w:rPr>
        <w:t>where</w:t>
      </w:r>
      <w:r w:rsidR="008D6EAC">
        <w:rPr>
          <w:rFonts w:ascii="Arial" w:hAnsi="Arial" w:cs="Arial"/>
          <w:lang w:val="en-ZA"/>
        </w:rPr>
        <w:t xml:space="preserve"> they remained seated</w:t>
      </w:r>
      <w:r>
        <w:rPr>
          <w:rFonts w:ascii="Arial" w:hAnsi="Arial" w:cs="Arial"/>
          <w:lang w:val="en-ZA"/>
        </w:rPr>
        <w:t>,</w:t>
      </w:r>
      <w:r w:rsidR="008D6EAC">
        <w:rPr>
          <w:rFonts w:ascii="Arial" w:hAnsi="Arial" w:cs="Arial"/>
          <w:lang w:val="en-ZA"/>
        </w:rPr>
        <w:t xml:space="preserve"> </w:t>
      </w:r>
      <w:r w:rsidR="00A85952">
        <w:rPr>
          <w:rFonts w:ascii="Arial" w:hAnsi="Arial" w:cs="Arial"/>
          <w:lang w:val="en-ZA"/>
        </w:rPr>
        <w:t xml:space="preserve">waiting for the others to arrive. The next moment their vehicle was hit from behind </w:t>
      </w:r>
      <w:r w:rsidR="008D6EAC">
        <w:rPr>
          <w:rFonts w:ascii="Arial" w:hAnsi="Arial" w:cs="Arial"/>
          <w:lang w:val="en-ZA"/>
        </w:rPr>
        <w:t>and jerked</w:t>
      </w:r>
      <w:r w:rsidR="00D22797">
        <w:rPr>
          <w:rFonts w:ascii="Arial" w:hAnsi="Arial" w:cs="Arial"/>
          <w:lang w:val="en-ZA"/>
        </w:rPr>
        <w:t xml:space="preserve"> forward, creating a</w:t>
      </w:r>
      <w:r w:rsidR="00D74E75">
        <w:rPr>
          <w:rFonts w:ascii="Arial" w:hAnsi="Arial" w:cs="Arial"/>
          <w:lang w:val="en-ZA"/>
        </w:rPr>
        <w:t>n opening of approximately two metres</w:t>
      </w:r>
      <w:r w:rsidR="00D22797">
        <w:rPr>
          <w:rFonts w:ascii="Arial" w:hAnsi="Arial" w:cs="Arial"/>
          <w:lang w:val="en-ZA"/>
        </w:rPr>
        <w:t xml:space="preserve"> between the two vehicles.</w:t>
      </w:r>
    </w:p>
    <w:p w:rsidR="00D22797" w:rsidRDefault="00D22797" w:rsidP="00457DD2">
      <w:pPr>
        <w:spacing w:before="240" w:line="360" w:lineRule="auto"/>
        <w:jc w:val="both"/>
        <w:rPr>
          <w:rFonts w:ascii="Arial" w:hAnsi="Arial" w:cs="Arial"/>
          <w:lang w:val="en-ZA"/>
        </w:rPr>
      </w:pPr>
    </w:p>
    <w:p w:rsidR="00BB4CD1" w:rsidRDefault="00D22797" w:rsidP="00457DD2">
      <w:pPr>
        <w:spacing w:before="240" w:line="360" w:lineRule="auto"/>
        <w:jc w:val="both"/>
        <w:rPr>
          <w:rFonts w:ascii="Arial" w:hAnsi="Arial" w:cs="Arial"/>
          <w:lang w:val="en-ZA"/>
        </w:rPr>
      </w:pPr>
      <w:r>
        <w:rPr>
          <w:rFonts w:ascii="Arial" w:hAnsi="Arial" w:cs="Arial"/>
          <w:lang w:val="en-ZA"/>
        </w:rPr>
        <w:t>[</w:t>
      </w:r>
      <w:r w:rsidR="00D74E75">
        <w:rPr>
          <w:rFonts w:ascii="Arial" w:hAnsi="Arial" w:cs="Arial"/>
          <w:lang w:val="en-ZA"/>
        </w:rPr>
        <w:t>5</w:t>
      </w:r>
      <w:r>
        <w:rPr>
          <w:rFonts w:ascii="Arial" w:hAnsi="Arial" w:cs="Arial"/>
          <w:lang w:val="en-ZA"/>
        </w:rPr>
        <w:t xml:space="preserve">]   It seems necessary to summarise the </w:t>
      </w:r>
      <w:r w:rsidR="00D74E75">
        <w:rPr>
          <w:rFonts w:ascii="Arial" w:hAnsi="Arial" w:cs="Arial"/>
          <w:lang w:val="en-ZA"/>
        </w:rPr>
        <w:t xml:space="preserve">subsequent </w:t>
      </w:r>
      <w:r>
        <w:rPr>
          <w:rFonts w:ascii="Arial" w:hAnsi="Arial" w:cs="Arial"/>
          <w:lang w:val="en-ZA"/>
        </w:rPr>
        <w:t>events i</w:t>
      </w:r>
      <w:r w:rsidR="00D555BC">
        <w:rPr>
          <w:rFonts w:ascii="Arial" w:hAnsi="Arial" w:cs="Arial"/>
          <w:lang w:val="en-ZA"/>
        </w:rPr>
        <w:t>n some detail as narrated by Fenola</w:t>
      </w:r>
      <w:r w:rsidR="008D6EAC">
        <w:rPr>
          <w:rFonts w:ascii="Arial" w:hAnsi="Arial" w:cs="Arial"/>
          <w:lang w:val="en-ZA"/>
        </w:rPr>
        <w:t>. She said as the accused</w:t>
      </w:r>
      <w:r>
        <w:rPr>
          <w:rFonts w:ascii="Arial" w:hAnsi="Arial" w:cs="Arial"/>
          <w:lang w:val="en-ZA"/>
        </w:rPr>
        <w:t xml:space="preserve"> got out of the vehicle he </w:t>
      </w:r>
      <w:r w:rsidR="008D6EAC">
        <w:rPr>
          <w:rFonts w:ascii="Arial" w:hAnsi="Arial" w:cs="Arial"/>
          <w:lang w:val="en-ZA"/>
        </w:rPr>
        <w:t>immediately pulled out</w:t>
      </w:r>
      <w:r>
        <w:rPr>
          <w:rFonts w:ascii="Arial" w:hAnsi="Arial" w:cs="Arial"/>
          <w:lang w:val="en-ZA"/>
        </w:rPr>
        <w:t xml:space="preserve"> his firear</w:t>
      </w:r>
      <w:r w:rsidR="008D6EAC">
        <w:rPr>
          <w:rFonts w:ascii="Arial" w:hAnsi="Arial" w:cs="Arial"/>
          <w:lang w:val="en-ZA"/>
        </w:rPr>
        <w:t>m that was on his waist</w:t>
      </w:r>
      <w:r w:rsidR="00D74E75">
        <w:rPr>
          <w:rFonts w:ascii="Arial" w:hAnsi="Arial" w:cs="Arial"/>
          <w:lang w:val="en-ZA"/>
        </w:rPr>
        <w:t>. Whilst still seated s</w:t>
      </w:r>
      <w:r w:rsidR="00B675A0">
        <w:rPr>
          <w:rFonts w:ascii="Arial" w:hAnsi="Arial" w:cs="Arial"/>
          <w:lang w:val="en-ZA"/>
        </w:rPr>
        <w:t>he looked back and as</w:t>
      </w:r>
      <w:r>
        <w:rPr>
          <w:rFonts w:ascii="Arial" w:hAnsi="Arial" w:cs="Arial"/>
          <w:lang w:val="en-ZA"/>
        </w:rPr>
        <w:t xml:space="preserve"> </w:t>
      </w:r>
      <w:r w:rsidR="00B675A0">
        <w:rPr>
          <w:rFonts w:ascii="Arial" w:hAnsi="Arial" w:cs="Arial"/>
          <w:lang w:val="en-ZA"/>
        </w:rPr>
        <w:t>t</w:t>
      </w:r>
      <w:r>
        <w:rPr>
          <w:rFonts w:ascii="Arial" w:hAnsi="Arial" w:cs="Arial"/>
          <w:lang w:val="en-ZA"/>
        </w:rPr>
        <w:t xml:space="preserve">he </w:t>
      </w:r>
      <w:r w:rsidR="00B675A0">
        <w:rPr>
          <w:rFonts w:ascii="Arial" w:hAnsi="Arial" w:cs="Arial"/>
          <w:lang w:val="en-ZA"/>
        </w:rPr>
        <w:t xml:space="preserve">accused </w:t>
      </w:r>
      <w:r>
        <w:rPr>
          <w:rFonts w:ascii="Arial" w:hAnsi="Arial" w:cs="Arial"/>
          <w:lang w:val="en-ZA"/>
        </w:rPr>
        <w:t>w</w:t>
      </w:r>
      <w:r w:rsidR="00B675A0">
        <w:rPr>
          <w:rFonts w:ascii="Arial" w:hAnsi="Arial" w:cs="Arial"/>
          <w:lang w:val="en-ZA"/>
        </w:rPr>
        <w:t>as moving</w:t>
      </w:r>
      <w:r>
        <w:rPr>
          <w:rFonts w:ascii="Arial" w:hAnsi="Arial" w:cs="Arial"/>
          <w:lang w:val="en-ZA"/>
        </w:rPr>
        <w:t xml:space="preserve"> to the back of the</w:t>
      </w:r>
      <w:r w:rsidR="00B675A0">
        <w:rPr>
          <w:rFonts w:ascii="Arial" w:hAnsi="Arial" w:cs="Arial"/>
          <w:lang w:val="en-ZA"/>
        </w:rPr>
        <w:t>ir vehicle,</w:t>
      </w:r>
      <w:r>
        <w:rPr>
          <w:rFonts w:ascii="Arial" w:hAnsi="Arial" w:cs="Arial"/>
          <w:lang w:val="en-ZA"/>
        </w:rPr>
        <w:t xml:space="preserve"> she assumed that he was going to the driver of the other vehicle (the Discovery) to discuss as to what had happened.</w:t>
      </w:r>
      <w:r w:rsidR="00B675A0">
        <w:rPr>
          <w:rFonts w:ascii="Arial" w:hAnsi="Arial" w:cs="Arial"/>
          <w:lang w:val="en-ZA"/>
        </w:rPr>
        <w:t xml:space="preserve"> Sh</w:t>
      </w:r>
      <w:r w:rsidR="00D74E75">
        <w:rPr>
          <w:rFonts w:ascii="Arial" w:hAnsi="Arial" w:cs="Arial"/>
          <w:lang w:val="en-ZA"/>
        </w:rPr>
        <w:t>e was unable to open the door on</w:t>
      </w:r>
      <w:r w:rsidR="00B675A0">
        <w:rPr>
          <w:rFonts w:ascii="Arial" w:hAnsi="Arial" w:cs="Arial"/>
          <w:lang w:val="en-ZA"/>
        </w:rPr>
        <w:t xml:space="preserve"> </w:t>
      </w:r>
      <w:r w:rsidR="00B44BD4">
        <w:rPr>
          <w:rFonts w:ascii="Arial" w:hAnsi="Arial" w:cs="Arial"/>
          <w:lang w:val="en-ZA"/>
        </w:rPr>
        <w:t>her side</w:t>
      </w:r>
      <w:r w:rsidR="00B675A0">
        <w:rPr>
          <w:rFonts w:ascii="Arial" w:hAnsi="Arial" w:cs="Arial"/>
          <w:lang w:val="en-ZA"/>
        </w:rPr>
        <w:t xml:space="preserve"> and decided to disembark </w:t>
      </w:r>
      <w:r w:rsidR="008D6EAC">
        <w:rPr>
          <w:rFonts w:ascii="Arial" w:hAnsi="Arial" w:cs="Arial"/>
          <w:lang w:val="en-ZA"/>
        </w:rPr>
        <w:t xml:space="preserve">on </w:t>
      </w:r>
      <w:r w:rsidR="00B675A0">
        <w:rPr>
          <w:rFonts w:ascii="Arial" w:hAnsi="Arial" w:cs="Arial"/>
          <w:lang w:val="en-ZA"/>
        </w:rPr>
        <w:t xml:space="preserve">the driver’s </w:t>
      </w:r>
      <w:r w:rsidR="008D6EAC">
        <w:rPr>
          <w:rFonts w:ascii="Arial" w:hAnsi="Arial" w:cs="Arial"/>
          <w:lang w:val="en-ZA"/>
        </w:rPr>
        <w:t>side</w:t>
      </w:r>
      <w:r w:rsidR="00B675A0">
        <w:rPr>
          <w:rFonts w:ascii="Arial" w:hAnsi="Arial" w:cs="Arial"/>
          <w:lang w:val="en-ZA"/>
        </w:rPr>
        <w:t xml:space="preserve">. During this brief period her </w:t>
      </w:r>
      <w:r w:rsidR="00B675A0">
        <w:rPr>
          <w:rFonts w:ascii="Arial" w:hAnsi="Arial" w:cs="Arial"/>
          <w:lang w:val="en-ZA"/>
        </w:rPr>
        <w:lastRenderedPageBreak/>
        <w:t>atte</w:t>
      </w:r>
      <w:r w:rsidR="008D6EAC">
        <w:rPr>
          <w:rFonts w:ascii="Arial" w:hAnsi="Arial" w:cs="Arial"/>
          <w:lang w:val="en-ZA"/>
        </w:rPr>
        <w:t xml:space="preserve">ntion was </w:t>
      </w:r>
      <w:r w:rsidR="00B44BD4">
        <w:rPr>
          <w:rFonts w:ascii="Arial" w:hAnsi="Arial" w:cs="Arial"/>
          <w:lang w:val="en-ZA"/>
        </w:rPr>
        <w:t xml:space="preserve">at </w:t>
      </w:r>
      <w:r w:rsidR="00204362">
        <w:rPr>
          <w:rFonts w:ascii="Arial" w:hAnsi="Arial" w:cs="Arial"/>
          <w:lang w:val="en-ZA"/>
        </w:rPr>
        <w:t>embarking</w:t>
      </w:r>
      <w:r w:rsidR="00B44BD4">
        <w:rPr>
          <w:rFonts w:ascii="Arial" w:hAnsi="Arial" w:cs="Arial"/>
          <w:lang w:val="en-ZA"/>
        </w:rPr>
        <w:t xml:space="preserve"> the vehicle and</w:t>
      </w:r>
      <w:r w:rsidR="00B675A0">
        <w:rPr>
          <w:rFonts w:ascii="Arial" w:hAnsi="Arial" w:cs="Arial"/>
          <w:lang w:val="en-ZA"/>
        </w:rPr>
        <w:t xml:space="preserve"> did no</w:t>
      </w:r>
      <w:r w:rsidR="008D6EAC">
        <w:rPr>
          <w:rFonts w:ascii="Arial" w:hAnsi="Arial" w:cs="Arial"/>
          <w:lang w:val="en-ZA"/>
        </w:rPr>
        <w:t>t see what the accused was up to</w:t>
      </w:r>
      <w:r w:rsidR="00204362">
        <w:rPr>
          <w:rFonts w:ascii="Arial" w:hAnsi="Arial" w:cs="Arial"/>
          <w:lang w:val="en-ZA"/>
        </w:rPr>
        <w:t xml:space="preserve"> during this brief period</w:t>
      </w:r>
      <w:r w:rsidR="00B675A0">
        <w:rPr>
          <w:rFonts w:ascii="Arial" w:hAnsi="Arial" w:cs="Arial"/>
          <w:lang w:val="en-ZA"/>
        </w:rPr>
        <w:t xml:space="preserve">. Once outside she saw the Discovery </w:t>
      </w:r>
      <w:r w:rsidR="00204362">
        <w:rPr>
          <w:rFonts w:ascii="Arial" w:hAnsi="Arial" w:cs="Arial"/>
          <w:lang w:val="en-ZA"/>
        </w:rPr>
        <w:t>was slowly</w:t>
      </w:r>
      <w:r w:rsidR="00B675A0">
        <w:rPr>
          <w:rFonts w:ascii="Arial" w:hAnsi="Arial" w:cs="Arial"/>
          <w:lang w:val="en-ZA"/>
        </w:rPr>
        <w:t xml:space="preserve"> mov</w:t>
      </w:r>
      <w:r w:rsidR="00204362">
        <w:rPr>
          <w:rFonts w:ascii="Arial" w:hAnsi="Arial" w:cs="Arial"/>
          <w:lang w:val="en-ZA"/>
        </w:rPr>
        <w:t>ing</w:t>
      </w:r>
      <w:r w:rsidR="00B675A0">
        <w:rPr>
          <w:rFonts w:ascii="Arial" w:hAnsi="Arial" w:cs="Arial"/>
          <w:lang w:val="en-ZA"/>
        </w:rPr>
        <w:t xml:space="preserve"> forward</w:t>
      </w:r>
      <w:r w:rsidR="008D6EAC">
        <w:rPr>
          <w:rFonts w:ascii="Arial" w:hAnsi="Arial" w:cs="Arial"/>
          <w:lang w:val="en-ZA"/>
        </w:rPr>
        <w:t xml:space="preserve"> and </w:t>
      </w:r>
      <w:r w:rsidR="00204362">
        <w:rPr>
          <w:rFonts w:ascii="Arial" w:hAnsi="Arial" w:cs="Arial"/>
          <w:lang w:val="en-ZA"/>
        </w:rPr>
        <w:t>by then was</w:t>
      </w:r>
      <w:r w:rsidR="008D6EAC">
        <w:rPr>
          <w:rFonts w:ascii="Arial" w:hAnsi="Arial" w:cs="Arial"/>
          <w:lang w:val="en-ZA"/>
        </w:rPr>
        <w:t xml:space="preserve"> next to their vehicle</w:t>
      </w:r>
      <w:r w:rsidR="00B675A0">
        <w:rPr>
          <w:rFonts w:ascii="Arial" w:hAnsi="Arial" w:cs="Arial"/>
          <w:lang w:val="en-ZA"/>
        </w:rPr>
        <w:t xml:space="preserve"> whilst the accused </w:t>
      </w:r>
      <w:r w:rsidR="008D6EAC">
        <w:rPr>
          <w:rFonts w:ascii="Arial" w:hAnsi="Arial" w:cs="Arial"/>
          <w:lang w:val="en-ZA"/>
        </w:rPr>
        <w:t>was on</w:t>
      </w:r>
      <w:r w:rsidR="00B675A0">
        <w:rPr>
          <w:rFonts w:ascii="Arial" w:hAnsi="Arial" w:cs="Arial"/>
          <w:lang w:val="en-ZA"/>
        </w:rPr>
        <w:t xml:space="preserve"> the </w:t>
      </w:r>
      <w:r w:rsidR="00204362">
        <w:rPr>
          <w:rFonts w:ascii="Arial" w:hAnsi="Arial" w:cs="Arial"/>
          <w:lang w:val="en-ZA"/>
        </w:rPr>
        <w:t xml:space="preserve">other side i.e. the </w:t>
      </w:r>
      <w:r w:rsidR="00B675A0">
        <w:rPr>
          <w:rFonts w:ascii="Arial" w:hAnsi="Arial" w:cs="Arial"/>
          <w:lang w:val="en-ZA"/>
        </w:rPr>
        <w:t xml:space="preserve">driver’s side </w:t>
      </w:r>
      <w:r w:rsidR="00B44BD4">
        <w:rPr>
          <w:rFonts w:ascii="Arial" w:hAnsi="Arial" w:cs="Arial"/>
          <w:lang w:val="en-ZA"/>
        </w:rPr>
        <w:t>of that</w:t>
      </w:r>
      <w:r w:rsidR="008D6EAC">
        <w:rPr>
          <w:rFonts w:ascii="Arial" w:hAnsi="Arial" w:cs="Arial"/>
          <w:lang w:val="en-ZA"/>
        </w:rPr>
        <w:t xml:space="preserve"> vehicle when he</w:t>
      </w:r>
      <w:r w:rsidR="00B675A0">
        <w:rPr>
          <w:rFonts w:ascii="Arial" w:hAnsi="Arial" w:cs="Arial"/>
          <w:lang w:val="en-ZA"/>
        </w:rPr>
        <w:t xml:space="preserve"> started</w:t>
      </w:r>
      <w:r w:rsidR="00204362">
        <w:rPr>
          <w:rFonts w:ascii="Arial" w:hAnsi="Arial" w:cs="Arial"/>
          <w:lang w:val="en-ZA"/>
        </w:rPr>
        <w:t xml:space="preserve"> firing</w:t>
      </w:r>
      <w:r w:rsidR="000E0160">
        <w:rPr>
          <w:rFonts w:ascii="Arial" w:hAnsi="Arial" w:cs="Arial"/>
          <w:lang w:val="en-ZA"/>
        </w:rPr>
        <w:t>. She assumed he was aiming at the tyres of the vehicle. As the Discovery slowly passed the accused</w:t>
      </w:r>
      <w:r w:rsidR="00B44BD4">
        <w:rPr>
          <w:rFonts w:ascii="Arial" w:hAnsi="Arial" w:cs="Arial"/>
          <w:lang w:val="en-ZA"/>
        </w:rPr>
        <w:t>, he</w:t>
      </w:r>
      <w:r w:rsidR="000E0160">
        <w:rPr>
          <w:rFonts w:ascii="Arial" w:hAnsi="Arial" w:cs="Arial"/>
          <w:lang w:val="en-ZA"/>
        </w:rPr>
        <w:t xml:space="preserve"> continued firing at it. </w:t>
      </w:r>
      <w:r w:rsidR="00F86608">
        <w:rPr>
          <w:rFonts w:ascii="Arial" w:hAnsi="Arial" w:cs="Arial"/>
          <w:lang w:val="en-ZA"/>
        </w:rPr>
        <w:t xml:space="preserve">In cross-examination she denied that the Discovery </w:t>
      </w:r>
      <w:r w:rsidR="00A51E96">
        <w:rPr>
          <w:rFonts w:ascii="Arial" w:hAnsi="Arial" w:cs="Arial"/>
          <w:lang w:val="en-ZA"/>
        </w:rPr>
        <w:t xml:space="preserve">had first </w:t>
      </w:r>
      <w:r w:rsidR="00F86608">
        <w:rPr>
          <w:rFonts w:ascii="Arial" w:hAnsi="Arial" w:cs="Arial"/>
          <w:lang w:val="en-ZA"/>
        </w:rPr>
        <w:t xml:space="preserve">reversed before moving forward, neither that the </w:t>
      </w:r>
      <w:r w:rsidR="00A51E96">
        <w:rPr>
          <w:rFonts w:ascii="Arial" w:hAnsi="Arial" w:cs="Arial"/>
          <w:lang w:val="en-ZA"/>
        </w:rPr>
        <w:t xml:space="preserve">engine revolutions were high or </w:t>
      </w:r>
      <w:r w:rsidR="00B44BD4">
        <w:rPr>
          <w:rFonts w:ascii="Arial" w:hAnsi="Arial" w:cs="Arial"/>
          <w:lang w:val="en-ZA"/>
        </w:rPr>
        <w:t>t</w:t>
      </w:r>
      <w:r w:rsidR="00A51E96">
        <w:rPr>
          <w:rFonts w:ascii="Arial" w:hAnsi="Arial" w:cs="Arial"/>
          <w:lang w:val="en-ZA"/>
        </w:rPr>
        <w:t>hat</w:t>
      </w:r>
      <w:r w:rsidR="00F86608">
        <w:rPr>
          <w:rFonts w:ascii="Arial" w:hAnsi="Arial" w:cs="Arial"/>
          <w:lang w:val="en-ZA"/>
        </w:rPr>
        <w:t xml:space="preserve"> it </w:t>
      </w:r>
      <w:r w:rsidR="00204362">
        <w:rPr>
          <w:rFonts w:ascii="Arial" w:hAnsi="Arial" w:cs="Arial"/>
          <w:lang w:val="en-ZA"/>
        </w:rPr>
        <w:t>accelerated</w:t>
      </w:r>
      <w:r w:rsidR="00F86608">
        <w:rPr>
          <w:rFonts w:ascii="Arial" w:hAnsi="Arial" w:cs="Arial"/>
          <w:lang w:val="en-ZA"/>
        </w:rPr>
        <w:t xml:space="preserve"> with screeching tyres. </w:t>
      </w:r>
      <w:r w:rsidR="00AE2E3E">
        <w:rPr>
          <w:rFonts w:ascii="Arial" w:hAnsi="Arial" w:cs="Arial"/>
          <w:lang w:val="en-ZA"/>
        </w:rPr>
        <w:t xml:space="preserve">When put to the witness that the </w:t>
      </w:r>
      <w:r w:rsidR="00B44BD4">
        <w:rPr>
          <w:rFonts w:ascii="Arial" w:hAnsi="Arial" w:cs="Arial"/>
          <w:lang w:val="en-ZA"/>
        </w:rPr>
        <w:t>Discovery was driving</w:t>
      </w:r>
      <w:r w:rsidR="00A51E96">
        <w:rPr>
          <w:rFonts w:ascii="Arial" w:hAnsi="Arial" w:cs="Arial"/>
          <w:lang w:val="en-ZA"/>
        </w:rPr>
        <w:t xml:space="preserve"> straight at the accused, she disputed the </w:t>
      </w:r>
      <w:r w:rsidR="00B44BD4">
        <w:rPr>
          <w:rFonts w:ascii="Arial" w:hAnsi="Arial" w:cs="Arial"/>
          <w:lang w:val="en-ZA"/>
        </w:rPr>
        <w:t>assertion</w:t>
      </w:r>
      <w:r w:rsidR="00AE2E3E">
        <w:rPr>
          <w:rFonts w:ascii="Arial" w:hAnsi="Arial" w:cs="Arial"/>
          <w:lang w:val="en-ZA"/>
        </w:rPr>
        <w:t xml:space="preserve"> and said the vehicle had slightly turned right (into t</w:t>
      </w:r>
      <w:r w:rsidR="00A51E96">
        <w:rPr>
          <w:rFonts w:ascii="Arial" w:hAnsi="Arial" w:cs="Arial"/>
          <w:lang w:val="en-ZA"/>
        </w:rPr>
        <w:t>he lane for approaching traffic</w:t>
      </w:r>
      <w:r w:rsidR="00AE2E3E">
        <w:rPr>
          <w:rFonts w:ascii="Arial" w:hAnsi="Arial" w:cs="Arial"/>
          <w:lang w:val="en-ZA"/>
        </w:rPr>
        <w:t>) and was not going to where the accused was</w:t>
      </w:r>
      <w:r w:rsidR="00A51E96">
        <w:rPr>
          <w:rFonts w:ascii="Arial" w:hAnsi="Arial" w:cs="Arial"/>
          <w:lang w:val="en-ZA"/>
        </w:rPr>
        <w:t xml:space="preserve">, as he </w:t>
      </w:r>
      <w:r w:rsidR="00B44BD4">
        <w:rPr>
          <w:rFonts w:ascii="Arial" w:hAnsi="Arial" w:cs="Arial"/>
          <w:lang w:val="en-ZA"/>
        </w:rPr>
        <w:t>had</w:t>
      </w:r>
      <w:r w:rsidR="00A51E96">
        <w:rPr>
          <w:rFonts w:ascii="Arial" w:hAnsi="Arial" w:cs="Arial"/>
          <w:lang w:val="en-ZA"/>
        </w:rPr>
        <w:t xml:space="preserve"> already </w:t>
      </w:r>
      <w:r w:rsidR="00204362">
        <w:rPr>
          <w:rFonts w:ascii="Arial" w:hAnsi="Arial" w:cs="Arial"/>
          <w:lang w:val="en-ZA"/>
        </w:rPr>
        <w:t>moved across</w:t>
      </w:r>
      <w:r w:rsidR="00B44BD4">
        <w:rPr>
          <w:rFonts w:ascii="Arial" w:hAnsi="Arial" w:cs="Arial"/>
          <w:lang w:val="en-ZA"/>
        </w:rPr>
        <w:t xml:space="preserve"> to</w:t>
      </w:r>
      <w:r w:rsidR="00AE2E3E">
        <w:rPr>
          <w:rFonts w:ascii="Arial" w:hAnsi="Arial" w:cs="Arial"/>
          <w:lang w:val="en-ZA"/>
        </w:rPr>
        <w:t xml:space="preserve"> the </w:t>
      </w:r>
      <w:r w:rsidR="00B44BD4">
        <w:rPr>
          <w:rFonts w:ascii="Arial" w:hAnsi="Arial" w:cs="Arial"/>
          <w:lang w:val="en-ZA"/>
        </w:rPr>
        <w:t>opposite side of the road</w:t>
      </w:r>
      <w:r w:rsidR="00AE2E3E">
        <w:rPr>
          <w:rFonts w:ascii="Arial" w:hAnsi="Arial" w:cs="Arial"/>
          <w:lang w:val="en-ZA"/>
        </w:rPr>
        <w:t>. She was adamant that the Discovery</w:t>
      </w:r>
      <w:r w:rsidR="00F86608">
        <w:rPr>
          <w:rFonts w:ascii="Arial" w:hAnsi="Arial" w:cs="Arial"/>
          <w:lang w:val="en-ZA"/>
        </w:rPr>
        <w:t xml:space="preserve"> moved forward very slowly</w:t>
      </w:r>
      <w:r w:rsidR="00A51E96">
        <w:rPr>
          <w:rFonts w:ascii="Arial" w:hAnsi="Arial" w:cs="Arial"/>
          <w:lang w:val="en-ZA"/>
        </w:rPr>
        <w:t xml:space="preserve"> with</w:t>
      </w:r>
      <w:r w:rsidR="00AE2E3E">
        <w:rPr>
          <w:rFonts w:ascii="Arial" w:hAnsi="Arial" w:cs="Arial"/>
          <w:lang w:val="en-ZA"/>
        </w:rPr>
        <w:t xml:space="preserve"> the accused standing next to the vehicle on the driver’s side when the shots were fired</w:t>
      </w:r>
      <w:r w:rsidR="00F86608">
        <w:rPr>
          <w:rFonts w:ascii="Arial" w:hAnsi="Arial" w:cs="Arial"/>
          <w:lang w:val="en-ZA"/>
        </w:rPr>
        <w:t>. After the first two shots she yelled at the accused not to</w:t>
      </w:r>
      <w:r w:rsidR="00AE2E3E">
        <w:rPr>
          <w:rFonts w:ascii="Arial" w:hAnsi="Arial" w:cs="Arial"/>
          <w:lang w:val="en-ZA"/>
        </w:rPr>
        <w:t xml:space="preserve"> shoot and to put</w:t>
      </w:r>
      <w:r w:rsidR="00F86608">
        <w:rPr>
          <w:rFonts w:ascii="Arial" w:hAnsi="Arial" w:cs="Arial"/>
          <w:lang w:val="en-ZA"/>
        </w:rPr>
        <w:t xml:space="preserve"> the gun</w:t>
      </w:r>
      <w:r w:rsidR="00AE2E3E">
        <w:rPr>
          <w:rFonts w:ascii="Arial" w:hAnsi="Arial" w:cs="Arial"/>
          <w:lang w:val="en-ZA"/>
        </w:rPr>
        <w:t xml:space="preserve"> away</w:t>
      </w:r>
      <w:r w:rsidR="00F86608">
        <w:rPr>
          <w:rFonts w:ascii="Arial" w:hAnsi="Arial" w:cs="Arial"/>
          <w:lang w:val="en-ZA"/>
        </w:rPr>
        <w:t xml:space="preserve">. She saw a taxi passing </w:t>
      </w:r>
      <w:r w:rsidR="00AE2E3E">
        <w:rPr>
          <w:rFonts w:ascii="Arial" w:hAnsi="Arial" w:cs="Arial"/>
          <w:lang w:val="en-ZA"/>
        </w:rPr>
        <w:t xml:space="preserve">them </w:t>
      </w:r>
      <w:r w:rsidR="00F86608">
        <w:rPr>
          <w:rFonts w:ascii="Arial" w:hAnsi="Arial" w:cs="Arial"/>
          <w:lang w:val="en-ZA"/>
        </w:rPr>
        <w:t xml:space="preserve">slowly </w:t>
      </w:r>
      <w:r w:rsidR="00A51E96">
        <w:rPr>
          <w:rFonts w:ascii="Arial" w:hAnsi="Arial" w:cs="Arial"/>
          <w:lang w:val="en-ZA"/>
        </w:rPr>
        <w:t>and the driver</w:t>
      </w:r>
      <w:r w:rsidR="00F86608">
        <w:rPr>
          <w:rFonts w:ascii="Arial" w:hAnsi="Arial" w:cs="Arial"/>
          <w:lang w:val="en-ZA"/>
        </w:rPr>
        <w:t xml:space="preserve"> looking </w:t>
      </w:r>
      <w:r w:rsidR="00A51E96">
        <w:rPr>
          <w:rFonts w:ascii="Arial" w:hAnsi="Arial" w:cs="Arial"/>
          <w:lang w:val="en-ZA"/>
        </w:rPr>
        <w:t xml:space="preserve">back </w:t>
      </w:r>
      <w:r w:rsidR="00F86608">
        <w:rPr>
          <w:rFonts w:ascii="Arial" w:hAnsi="Arial" w:cs="Arial"/>
          <w:lang w:val="en-ZA"/>
        </w:rPr>
        <w:t>at them.</w:t>
      </w:r>
      <w:r w:rsidR="00AE2E3E">
        <w:rPr>
          <w:rFonts w:ascii="Arial" w:hAnsi="Arial" w:cs="Arial"/>
          <w:lang w:val="en-ZA"/>
        </w:rPr>
        <w:t xml:space="preserve"> </w:t>
      </w:r>
    </w:p>
    <w:p w:rsidR="00A51E96" w:rsidRDefault="00A51E96" w:rsidP="00457DD2">
      <w:pPr>
        <w:spacing w:before="240" w:line="360" w:lineRule="auto"/>
        <w:jc w:val="both"/>
        <w:rPr>
          <w:rFonts w:ascii="Arial" w:hAnsi="Arial" w:cs="Arial"/>
          <w:lang w:val="en-ZA"/>
        </w:rPr>
      </w:pPr>
    </w:p>
    <w:p w:rsidR="00D22797" w:rsidRDefault="00BB4CD1" w:rsidP="00457DD2">
      <w:pPr>
        <w:spacing w:before="240" w:line="360" w:lineRule="auto"/>
        <w:jc w:val="both"/>
        <w:rPr>
          <w:rFonts w:ascii="Arial" w:hAnsi="Arial" w:cs="Arial"/>
          <w:lang w:val="en-ZA"/>
        </w:rPr>
      </w:pPr>
      <w:r>
        <w:rPr>
          <w:rFonts w:ascii="Arial" w:hAnsi="Arial" w:cs="Arial"/>
          <w:lang w:val="en-ZA"/>
        </w:rPr>
        <w:t>[</w:t>
      </w:r>
      <w:r w:rsidR="00204362">
        <w:rPr>
          <w:rFonts w:ascii="Arial" w:hAnsi="Arial" w:cs="Arial"/>
          <w:lang w:val="en-ZA"/>
        </w:rPr>
        <w:t>6</w:t>
      </w:r>
      <w:r>
        <w:rPr>
          <w:rFonts w:ascii="Arial" w:hAnsi="Arial" w:cs="Arial"/>
          <w:lang w:val="en-ZA"/>
        </w:rPr>
        <w:t xml:space="preserve">]   </w:t>
      </w:r>
      <w:r w:rsidR="00A51E96">
        <w:rPr>
          <w:rFonts w:ascii="Arial" w:hAnsi="Arial" w:cs="Arial"/>
          <w:lang w:val="en-ZA"/>
        </w:rPr>
        <w:t>When they got back in the vehicle the a</w:t>
      </w:r>
      <w:r w:rsidR="00D56853">
        <w:rPr>
          <w:rFonts w:ascii="Arial" w:hAnsi="Arial" w:cs="Arial"/>
          <w:lang w:val="en-ZA"/>
        </w:rPr>
        <w:t xml:space="preserve">ccused drove in the same direction and </w:t>
      </w:r>
      <w:r w:rsidR="00A51E96">
        <w:rPr>
          <w:rFonts w:ascii="Arial" w:hAnsi="Arial" w:cs="Arial"/>
          <w:lang w:val="en-ZA"/>
        </w:rPr>
        <w:t>upon reaching</w:t>
      </w:r>
      <w:r w:rsidR="00D56853">
        <w:rPr>
          <w:rFonts w:ascii="Arial" w:hAnsi="Arial" w:cs="Arial"/>
          <w:lang w:val="en-ZA"/>
        </w:rPr>
        <w:t xml:space="preserve"> the intersection with Lazarette Street</w:t>
      </w:r>
      <w:r w:rsidR="00A51E96">
        <w:rPr>
          <w:rFonts w:ascii="Arial" w:hAnsi="Arial" w:cs="Arial"/>
          <w:lang w:val="en-ZA"/>
        </w:rPr>
        <w:t>,</w:t>
      </w:r>
      <w:r w:rsidR="00D56853">
        <w:rPr>
          <w:rFonts w:ascii="Arial" w:hAnsi="Arial" w:cs="Arial"/>
          <w:lang w:val="en-ZA"/>
        </w:rPr>
        <w:t xml:space="preserve"> she saw the Discovery </w:t>
      </w:r>
      <w:r w:rsidR="00A51E96">
        <w:rPr>
          <w:rFonts w:ascii="Arial" w:hAnsi="Arial" w:cs="Arial"/>
          <w:lang w:val="en-ZA"/>
        </w:rPr>
        <w:t xml:space="preserve">had </w:t>
      </w:r>
      <w:r w:rsidR="00204362">
        <w:rPr>
          <w:rFonts w:ascii="Arial" w:hAnsi="Arial" w:cs="Arial"/>
          <w:lang w:val="en-ZA"/>
        </w:rPr>
        <w:t>stopped o</w:t>
      </w:r>
      <w:r w:rsidR="00A51E96">
        <w:rPr>
          <w:rFonts w:ascii="Arial" w:hAnsi="Arial" w:cs="Arial"/>
          <w:lang w:val="en-ZA"/>
        </w:rPr>
        <w:t>n the street</w:t>
      </w:r>
      <w:r w:rsidR="00D56853">
        <w:rPr>
          <w:rFonts w:ascii="Arial" w:hAnsi="Arial" w:cs="Arial"/>
          <w:lang w:val="en-ZA"/>
        </w:rPr>
        <w:t xml:space="preserve"> </w:t>
      </w:r>
      <w:r w:rsidR="00A51E96">
        <w:rPr>
          <w:rFonts w:ascii="Arial" w:hAnsi="Arial" w:cs="Arial"/>
          <w:lang w:val="en-ZA"/>
        </w:rPr>
        <w:t xml:space="preserve">but </w:t>
      </w:r>
      <w:r w:rsidR="00D56853">
        <w:rPr>
          <w:rFonts w:ascii="Arial" w:hAnsi="Arial" w:cs="Arial"/>
          <w:lang w:val="en-ZA"/>
        </w:rPr>
        <w:t>on the opposite side. The side window of the driver was shattered and the driv</w:t>
      </w:r>
      <w:r w:rsidR="0076105E">
        <w:rPr>
          <w:rFonts w:ascii="Arial" w:hAnsi="Arial" w:cs="Arial"/>
          <w:lang w:val="en-ZA"/>
        </w:rPr>
        <w:t xml:space="preserve">er’s upper body was </w:t>
      </w:r>
      <w:r w:rsidR="00204362">
        <w:rPr>
          <w:rFonts w:ascii="Arial" w:hAnsi="Arial" w:cs="Arial"/>
          <w:lang w:val="en-ZA"/>
        </w:rPr>
        <w:t xml:space="preserve">stooped forward, </w:t>
      </w:r>
      <w:r w:rsidR="0076105E">
        <w:rPr>
          <w:rFonts w:ascii="Arial" w:hAnsi="Arial" w:cs="Arial"/>
          <w:lang w:val="en-ZA"/>
        </w:rPr>
        <w:t>leaning on</w:t>
      </w:r>
      <w:r w:rsidR="00D56853">
        <w:rPr>
          <w:rFonts w:ascii="Arial" w:hAnsi="Arial" w:cs="Arial"/>
          <w:lang w:val="en-ZA"/>
        </w:rPr>
        <w:t xml:space="preserve"> the steering wheel</w:t>
      </w:r>
      <w:r w:rsidR="00204362">
        <w:rPr>
          <w:rFonts w:ascii="Arial" w:hAnsi="Arial" w:cs="Arial"/>
          <w:lang w:val="en-ZA"/>
        </w:rPr>
        <w:t>. Upon seeing this she heard</w:t>
      </w:r>
      <w:r w:rsidR="00D56853">
        <w:rPr>
          <w:rFonts w:ascii="Arial" w:hAnsi="Arial" w:cs="Arial"/>
          <w:lang w:val="en-ZA"/>
        </w:rPr>
        <w:t xml:space="preserve"> the accused exclaimed that </w:t>
      </w:r>
      <w:r>
        <w:rPr>
          <w:rFonts w:ascii="Arial" w:hAnsi="Arial" w:cs="Arial"/>
          <w:lang w:val="en-ZA"/>
        </w:rPr>
        <w:t>he had ki</w:t>
      </w:r>
      <w:r w:rsidR="00204362">
        <w:rPr>
          <w:rFonts w:ascii="Arial" w:hAnsi="Arial" w:cs="Arial"/>
          <w:lang w:val="en-ZA"/>
        </w:rPr>
        <w:t>lled the person. As she</w:t>
      </w:r>
      <w:r>
        <w:rPr>
          <w:rFonts w:ascii="Arial" w:hAnsi="Arial" w:cs="Arial"/>
          <w:lang w:val="en-ZA"/>
        </w:rPr>
        <w:t xml:space="preserve"> su</w:t>
      </w:r>
      <w:r w:rsidR="00D555BC">
        <w:rPr>
          <w:rFonts w:ascii="Arial" w:hAnsi="Arial" w:cs="Arial"/>
          <w:lang w:val="en-ZA"/>
        </w:rPr>
        <w:t>stained an injury to the head</w:t>
      </w:r>
      <w:r w:rsidR="00204362">
        <w:rPr>
          <w:rFonts w:ascii="Arial" w:hAnsi="Arial" w:cs="Arial"/>
          <w:lang w:val="en-ZA"/>
        </w:rPr>
        <w:t>,</w:t>
      </w:r>
      <w:r>
        <w:rPr>
          <w:rFonts w:ascii="Arial" w:hAnsi="Arial" w:cs="Arial"/>
          <w:lang w:val="en-ZA"/>
        </w:rPr>
        <w:t xml:space="preserve"> </w:t>
      </w:r>
      <w:r w:rsidR="00204362">
        <w:rPr>
          <w:rFonts w:ascii="Arial" w:hAnsi="Arial" w:cs="Arial"/>
          <w:lang w:val="en-ZA"/>
        </w:rPr>
        <w:t>she</w:t>
      </w:r>
      <w:r>
        <w:rPr>
          <w:rFonts w:ascii="Arial" w:hAnsi="Arial" w:cs="Arial"/>
          <w:lang w:val="en-ZA"/>
        </w:rPr>
        <w:t xml:space="preserve"> asked to be taken to hospital from where they drove up to the Roman Catholic Hospital. Before disembarking the accused said they should first fetch another vehicle from home where after they could return.</w:t>
      </w:r>
      <w:r w:rsidR="00A51E96">
        <w:rPr>
          <w:rFonts w:ascii="Arial" w:hAnsi="Arial" w:cs="Arial"/>
          <w:lang w:val="en-ZA"/>
        </w:rPr>
        <w:t xml:space="preserve"> </w:t>
      </w:r>
      <w:r w:rsidR="00711DB3">
        <w:rPr>
          <w:rFonts w:ascii="Arial" w:hAnsi="Arial" w:cs="Arial"/>
          <w:lang w:val="en-ZA"/>
        </w:rPr>
        <w:t>Alt</w:t>
      </w:r>
      <w:r w:rsidR="00DA13A5">
        <w:rPr>
          <w:rFonts w:ascii="Arial" w:hAnsi="Arial" w:cs="Arial"/>
          <w:lang w:val="en-ZA"/>
        </w:rPr>
        <w:t xml:space="preserve">hough the accused denies going first to the hospital, Fenola’s evidence on this point was never challenged. </w:t>
      </w:r>
      <w:r w:rsidR="00A51E96">
        <w:rPr>
          <w:rFonts w:ascii="Arial" w:hAnsi="Arial" w:cs="Arial"/>
          <w:lang w:val="en-ZA"/>
        </w:rPr>
        <w:t>They proceeded to the accused’s house in Hochland Park where he parked the vehicle</w:t>
      </w:r>
      <w:r w:rsidR="00C65B24">
        <w:rPr>
          <w:rFonts w:ascii="Arial" w:hAnsi="Arial" w:cs="Arial"/>
          <w:lang w:val="en-ZA"/>
        </w:rPr>
        <w:t xml:space="preserve"> and called his brother </w:t>
      </w:r>
      <w:r w:rsidR="00204362">
        <w:rPr>
          <w:rFonts w:ascii="Arial" w:hAnsi="Arial" w:cs="Arial"/>
          <w:lang w:val="en-ZA"/>
        </w:rPr>
        <w:t xml:space="preserve">Chris </w:t>
      </w:r>
      <w:r w:rsidR="00C65B24">
        <w:rPr>
          <w:rFonts w:ascii="Arial" w:hAnsi="Arial" w:cs="Arial"/>
          <w:lang w:val="en-ZA"/>
        </w:rPr>
        <w:t xml:space="preserve">who then </w:t>
      </w:r>
      <w:r w:rsidR="00204362">
        <w:rPr>
          <w:rFonts w:ascii="Arial" w:hAnsi="Arial" w:cs="Arial"/>
          <w:lang w:val="en-ZA"/>
        </w:rPr>
        <w:t xml:space="preserve">left </w:t>
      </w:r>
      <w:r w:rsidR="00C65B24">
        <w:rPr>
          <w:rFonts w:ascii="Arial" w:hAnsi="Arial" w:cs="Arial"/>
          <w:lang w:val="en-ZA"/>
        </w:rPr>
        <w:t xml:space="preserve">to </w:t>
      </w:r>
      <w:r w:rsidR="00204362">
        <w:rPr>
          <w:rFonts w:ascii="Arial" w:hAnsi="Arial" w:cs="Arial"/>
          <w:lang w:val="en-ZA"/>
        </w:rPr>
        <w:t>check on the situation</w:t>
      </w:r>
      <w:r w:rsidR="00C65B24">
        <w:rPr>
          <w:rFonts w:ascii="Arial" w:hAnsi="Arial" w:cs="Arial"/>
          <w:lang w:val="en-ZA"/>
        </w:rPr>
        <w:t xml:space="preserve">. With his return he made a report to the accused </w:t>
      </w:r>
      <w:r w:rsidR="0076105E">
        <w:rPr>
          <w:rFonts w:ascii="Arial" w:hAnsi="Arial" w:cs="Arial"/>
          <w:lang w:val="en-ZA"/>
        </w:rPr>
        <w:t xml:space="preserve">and departed. Fenola said the accused </w:t>
      </w:r>
      <w:r w:rsidR="00C65B24">
        <w:rPr>
          <w:rFonts w:ascii="Arial" w:hAnsi="Arial" w:cs="Arial"/>
          <w:lang w:val="en-ZA"/>
        </w:rPr>
        <w:t>in t</w:t>
      </w:r>
      <w:r w:rsidR="0076105E">
        <w:rPr>
          <w:rFonts w:ascii="Arial" w:hAnsi="Arial" w:cs="Arial"/>
          <w:lang w:val="en-ZA"/>
        </w:rPr>
        <w:t>he meantime</w:t>
      </w:r>
      <w:r w:rsidR="00204362">
        <w:rPr>
          <w:rFonts w:ascii="Arial" w:hAnsi="Arial" w:cs="Arial"/>
          <w:lang w:val="en-ZA"/>
        </w:rPr>
        <w:t xml:space="preserve"> removed both</w:t>
      </w:r>
      <w:r w:rsidR="00C65B24">
        <w:rPr>
          <w:rFonts w:ascii="Arial" w:hAnsi="Arial" w:cs="Arial"/>
          <w:lang w:val="en-ZA"/>
        </w:rPr>
        <w:t xml:space="preserve"> registration </w:t>
      </w:r>
      <w:r w:rsidR="00C65B24">
        <w:rPr>
          <w:rFonts w:ascii="Arial" w:hAnsi="Arial" w:cs="Arial"/>
          <w:lang w:val="en-ZA"/>
        </w:rPr>
        <w:lastRenderedPageBreak/>
        <w:t>plates of the Polo and to</w:t>
      </w:r>
      <w:r w:rsidR="0076105E">
        <w:rPr>
          <w:rFonts w:ascii="Arial" w:hAnsi="Arial" w:cs="Arial"/>
          <w:lang w:val="en-ZA"/>
        </w:rPr>
        <w:t>ok it inside the house. She</w:t>
      </w:r>
      <w:r w:rsidR="00C65B24">
        <w:rPr>
          <w:rFonts w:ascii="Arial" w:hAnsi="Arial" w:cs="Arial"/>
          <w:lang w:val="en-ZA"/>
        </w:rPr>
        <w:t xml:space="preserve"> </w:t>
      </w:r>
      <w:r w:rsidR="0076105E">
        <w:rPr>
          <w:rFonts w:ascii="Arial" w:hAnsi="Arial" w:cs="Arial"/>
          <w:lang w:val="en-ZA"/>
        </w:rPr>
        <w:t>spent</w:t>
      </w:r>
      <w:r w:rsidR="00C65B24">
        <w:rPr>
          <w:rFonts w:ascii="Arial" w:hAnsi="Arial" w:cs="Arial"/>
          <w:lang w:val="en-ZA"/>
        </w:rPr>
        <w:t xml:space="preserve"> the night at the accused’s place as his</w:t>
      </w:r>
      <w:r w:rsidR="00204362">
        <w:rPr>
          <w:rFonts w:ascii="Arial" w:hAnsi="Arial" w:cs="Arial"/>
          <w:lang w:val="en-ZA"/>
        </w:rPr>
        <w:t xml:space="preserve"> brother had earlier</w:t>
      </w:r>
      <w:r w:rsidR="00C65B24">
        <w:rPr>
          <w:rFonts w:ascii="Arial" w:hAnsi="Arial" w:cs="Arial"/>
          <w:lang w:val="en-ZA"/>
        </w:rPr>
        <w:t xml:space="preserve"> refused to take her home. The next morning she took a taxi home and later in the day called the accused to say that she still needed to see a doctor.</w:t>
      </w:r>
    </w:p>
    <w:p w:rsidR="00C65B24" w:rsidRDefault="00C65B24" w:rsidP="00457DD2">
      <w:pPr>
        <w:spacing w:before="240" w:line="360" w:lineRule="auto"/>
        <w:jc w:val="both"/>
        <w:rPr>
          <w:rFonts w:ascii="Arial" w:hAnsi="Arial" w:cs="Arial"/>
          <w:lang w:val="en-ZA"/>
        </w:rPr>
      </w:pPr>
    </w:p>
    <w:p w:rsidR="00C65B24" w:rsidRDefault="00C65B24" w:rsidP="00457DD2">
      <w:pPr>
        <w:spacing w:before="240" w:line="360" w:lineRule="auto"/>
        <w:jc w:val="both"/>
        <w:rPr>
          <w:rFonts w:ascii="Arial" w:hAnsi="Arial" w:cs="Arial"/>
          <w:lang w:val="en-ZA"/>
        </w:rPr>
      </w:pPr>
      <w:r>
        <w:rPr>
          <w:rFonts w:ascii="Arial" w:hAnsi="Arial" w:cs="Arial"/>
          <w:lang w:val="en-ZA"/>
        </w:rPr>
        <w:t>[</w:t>
      </w:r>
      <w:r w:rsidR="00465938">
        <w:rPr>
          <w:rFonts w:ascii="Arial" w:hAnsi="Arial" w:cs="Arial"/>
          <w:lang w:val="en-ZA"/>
        </w:rPr>
        <w:t>7</w:t>
      </w:r>
      <w:r>
        <w:rPr>
          <w:rFonts w:ascii="Arial" w:hAnsi="Arial" w:cs="Arial"/>
          <w:lang w:val="en-ZA"/>
        </w:rPr>
        <w:t xml:space="preserve">]   Later that day </w:t>
      </w:r>
      <w:r w:rsidR="00A11353">
        <w:rPr>
          <w:rFonts w:ascii="Arial" w:hAnsi="Arial" w:cs="Arial"/>
          <w:lang w:val="en-ZA"/>
        </w:rPr>
        <w:t xml:space="preserve">(Sunday) </w:t>
      </w:r>
      <w:r>
        <w:rPr>
          <w:rFonts w:ascii="Arial" w:hAnsi="Arial" w:cs="Arial"/>
          <w:lang w:val="en-ZA"/>
        </w:rPr>
        <w:t xml:space="preserve">a friend by the name of Bossie </w:t>
      </w:r>
      <w:r w:rsidR="00465938">
        <w:rPr>
          <w:rFonts w:ascii="Arial" w:hAnsi="Arial" w:cs="Arial"/>
          <w:lang w:val="en-ZA"/>
        </w:rPr>
        <w:t xml:space="preserve">(Toivo) </w:t>
      </w:r>
      <w:r>
        <w:rPr>
          <w:rFonts w:ascii="Arial" w:hAnsi="Arial" w:cs="Arial"/>
          <w:lang w:val="en-ZA"/>
        </w:rPr>
        <w:t>called her and said she should not talk about what had happened the previous night and offered her N$7 000 in return</w:t>
      </w:r>
      <w:r w:rsidR="00465938">
        <w:rPr>
          <w:rFonts w:ascii="Arial" w:hAnsi="Arial" w:cs="Arial"/>
          <w:lang w:val="en-ZA"/>
        </w:rPr>
        <w:t>. S</w:t>
      </w:r>
      <w:r>
        <w:rPr>
          <w:rFonts w:ascii="Arial" w:hAnsi="Arial" w:cs="Arial"/>
          <w:lang w:val="en-ZA"/>
        </w:rPr>
        <w:t xml:space="preserve">he declined and </w:t>
      </w:r>
      <w:r w:rsidR="00465938">
        <w:rPr>
          <w:rFonts w:ascii="Arial" w:hAnsi="Arial" w:cs="Arial"/>
          <w:lang w:val="en-ZA"/>
        </w:rPr>
        <w:t>undertook</w:t>
      </w:r>
      <w:r>
        <w:rPr>
          <w:rFonts w:ascii="Arial" w:hAnsi="Arial" w:cs="Arial"/>
          <w:lang w:val="en-ZA"/>
        </w:rPr>
        <w:t xml:space="preserve"> not </w:t>
      </w:r>
      <w:r w:rsidR="00465938">
        <w:rPr>
          <w:rFonts w:ascii="Arial" w:hAnsi="Arial" w:cs="Arial"/>
          <w:lang w:val="en-ZA"/>
        </w:rPr>
        <w:t xml:space="preserve">to </w:t>
      </w:r>
      <w:r>
        <w:rPr>
          <w:rFonts w:ascii="Arial" w:hAnsi="Arial" w:cs="Arial"/>
          <w:lang w:val="en-ZA"/>
        </w:rPr>
        <w:t xml:space="preserve">speak out. However, on </w:t>
      </w:r>
      <w:r w:rsidR="00A11353">
        <w:rPr>
          <w:rFonts w:ascii="Arial" w:hAnsi="Arial" w:cs="Arial"/>
          <w:lang w:val="en-ZA"/>
        </w:rPr>
        <w:t xml:space="preserve">Monday she contacted her friend Indongo, the police officer, and told him that </w:t>
      </w:r>
      <w:r w:rsidR="00465938">
        <w:rPr>
          <w:rFonts w:ascii="Arial" w:hAnsi="Arial" w:cs="Arial"/>
          <w:lang w:val="en-ZA"/>
        </w:rPr>
        <w:t>she was involved, the reason being</w:t>
      </w:r>
      <w:r w:rsidR="00A11353">
        <w:rPr>
          <w:rFonts w:ascii="Arial" w:hAnsi="Arial" w:cs="Arial"/>
          <w:lang w:val="en-ZA"/>
        </w:rPr>
        <w:t xml:space="preserve"> that she started feeling unsafe as there was a gun involved and therefore decided to report herself to the police. She was subsequently approached by the police to whom she narrated the events</w:t>
      </w:r>
      <w:r w:rsidR="00465938">
        <w:rPr>
          <w:rFonts w:ascii="Arial" w:hAnsi="Arial" w:cs="Arial"/>
          <w:lang w:val="en-ZA"/>
        </w:rPr>
        <w:t xml:space="preserve"> and</w:t>
      </w:r>
      <w:r w:rsidR="00A11353">
        <w:rPr>
          <w:rFonts w:ascii="Arial" w:hAnsi="Arial" w:cs="Arial"/>
          <w:lang w:val="en-ZA"/>
        </w:rPr>
        <w:t xml:space="preserve"> </w:t>
      </w:r>
      <w:r w:rsidR="00A038CE">
        <w:rPr>
          <w:rFonts w:ascii="Arial" w:hAnsi="Arial" w:cs="Arial"/>
          <w:lang w:val="en-ZA"/>
        </w:rPr>
        <w:t xml:space="preserve">where after she </w:t>
      </w:r>
      <w:r w:rsidR="00A11353">
        <w:rPr>
          <w:rFonts w:ascii="Arial" w:hAnsi="Arial" w:cs="Arial"/>
          <w:lang w:val="en-ZA"/>
        </w:rPr>
        <w:t xml:space="preserve">pointed out certain points </w:t>
      </w:r>
      <w:r w:rsidR="00465938">
        <w:rPr>
          <w:rFonts w:ascii="Arial" w:hAnsi="Arial" w:cs="Arial"/>
          <w:lang w:val="en-ZA"/>
        </w:rPr>
        <w:t xml:space="preserve">at the scene of crime </w:t>
      </w:r>
      <w:r w:rsidR="00A11353">
        <w:rPr>
          <w:rFonts w:ascii="Arial" w:hAnsi="Arial" w:cs="Arial"/>
          <w:lang w:val="en-ZA"/>
        </w:rPr>
        <w:t>as depicted in the photo plan.</w:t>
      </w:r>
    </w:p>
    <w:p w:rsidR="00A11353" w:rsidRDefault="00A11353" w:rsidP="00457DD2">
      <w:pPr>
        <w:spacing w:before="240" w:line="360" w:lineRule="auto"/>
        <w:jc w:val="both"/>
        <w:rPr>
          <w:rFonts w:ascii="Arial" w:hAnsi="Arial" w:cs="Arial"/>
          <w:lang w:val="en-ZA"/>
        </w:rPr>
      </w:pPr>
    </w:p>
    <w:p w:rsidR="00A11353" w:rsidRDefault="00A11353" w:rsidP="00457DD2">
      <w:pPr>
        <w:spacing w:before="240" w:line="360" w:lineRule="auto"/>
        <w:jc w:val="both"/>
        <w:rPr>
          <w:rFonts w:ascii="Arial" w:hAnsi="Arial" w:cs="Arial"/>
          <w:lang w:val="en-ZA"/>
        </w:rPr>
      </w:pPr>
      <w:r>
        <w:rPr>
          <w:rFonts w:ascii="Arial" w:hAnsi="Arial" w:cs="Arial"/>
          <w:lang w:val="en-ZA"/>
        </w:rPr>
        <w:t>[</w:t>
      </w:r>
      <w:r w:rsidR="00465938">
        <w:rPr>
          <w:rFonts w:ascii="Arial" w:hAnsi="Arial" w:cs="Arial"/>
          <w:lang w:val="en-ZA"/>
        </w:rPr>
        <w:t>8</w:t>
      </w:r>
      <w:r>
        <w:rPr>
          <w:rFonts w:ascii="Arial" w:hAnsi="Arial" w:cs="Arial"/>
          <w:lang w:val="en-ZA"/>
        </w:rPr>
        <w:t xml:space="preserve">]   </w:t>
      </w:r>
      <w:r w:rsidR="00D555BC">
        <w:rPr>
          <w:rFonts w:ascii="Arial" w:hAnsi="Arial" w:cs="Arial"/>
          <w:lang w:val="en-ZA"/>
        </w:rPr>
        <w:t>Under cross-examination Fenola</w:t>
      </w:r>
      <w:r w:rsidR="00A038CE">
        <w:rPr>
          <w:rFonts w:ascii="Arial" w:hAnsi="Arial" w:cs="Arial"/>
          <w:lang w:val="en-ZA"/>
        </w:rPr>
        <w:t xml:space="preserve"> denied having consumed strong</w:t>
      </w:r>
      <w:r w:rsidR="0024555C">
        <w:rPr>
          <w:rFonts w:ascii="Arial" w:hAnsi="Arial" w:cs="Arial"/>
          <w:lang w:val="en-ZA"/>
        </w:rPr>
        <w:t xml:space="preserve"> liquor on the night in question</w:t>
      </w:r>
      <w:r w:rsidR="00A038CE">
        <w:rPr>
          <w:rFonts w:ascii="Arial" w:hAnsi="Arial" w:cs="Arial"/>
          <w:lang w:val="en-ZA"/>
        </w:rPr>
        <w:t>,</w:t>
      </w:r>
      <w:r w:rsidR="0024555C">
        <w:rPr>
          <w:rFonts w:ascii="Arial" w:hAnsi="Arial" w:cs="Arial"/>
          <w:lang w:val="en-ZA"/>
        </w:rPr>
        <w:t xml:space="preserve"> or that she had been drunk. Though she initially testified that Indongo drove her home, she admitted in cross-examination that he allowed her to use his vehicle and that she went on her own and was back within the hour. Her explanation for having contradicted herself on this point is that she made a mistake. She further disputed allegations of her having taken drugs during her absence from the </w:t>
      </w:r>
      <w:r w:rsidR="00465938">
        <w:rPr>
          <w:rFonts w:ascii="Arial" w:hAnsi="Arial" w:cs="Arial"/>
          <w:lang w:val="en-ZA"/>
        </w:rPr>
        <w:t>bar</w:t>
      </w:r>
      <w:r w:rsidR="0024555C">
        <w:rPr>
          <w:rFonts w:ascii="Arial" w:hAnsi="Arial" w:cs="Arial"/>
          <w:lang w:val="en-ZA"/>
        </w:rPr>
        <w:t xml:space="preserve"> or having </w:t>
      </w:r>
      <w:r w:rsidR="00A851E4">
        <w:rPr>
          <w:rFonts w:ascii="Arial" w:hAnsi="Arial" w:cs="Arial"/>
          <w:lang w:val="en-ZA"/>
        </w:rPr>
        <w:t xml:space="preserve">visibly </w:t>
      </w:r>
      <w:r w:rsidR="0024555C">
        <w:rPr>
          <w:rFonts w:ascii="Arial" w:hAnsi="Arial" w:cs="Arial"/>
          <w:lang w:val="en-ZA"/>
        </w:rPr>
        <w:t>been under the influence</w:t>
      </w:r>
      <w:r w:rsidR="00A851E4">
        <w:rPr>
          <w:rFonts w:ascii="Arial" w:hAnsi="Arial" w:cs="Arial"/>
          <w:lang w:val="en-ZA"/>
        </w:rPr>
        <w:t xml:space="preserve"> of any substance.</w:t>
      </w:r>
      <w:r w:rsidR="0010701C">
        <w:rPr>
          <w:rFonts w:ascii="Arial" w:hAnsi="Arial" w:cs="Arial"/>
          <w:lang w:val="en-ZA"/>
        </w:rPr>
        <w:t xml:space="preserve"> As regards the accused’s denial of them going to the hospital or him</w:t>
      </w:r>
      <w:r w:rsidR="00B65CFF">
        <w:rPr>
          <w:rFonts w:ascii="Arial" w:hAnsi="Arial" w:cs="Arial"/>
          <w:lang w:val="en-ZA"/>
        </w:rPr>
        <w:t xml:space="preserve"> driving in circles before reaching the accused’s</w:t>
      </w:r>
      <w:r w:rsidR="0010701C">
        <w:rPr>
          <w:rFonts w:ascii="Arial" w:hAnsi="Arial" w:cs="Arial"/>
          <w:lang w:val="en-ZA"/>
        </w:rPr>
        <w:t xml:space="preserve"> home </w:t>
      </w:r>
      <w:r w:rsidR="00B65CFF">
        <w:rPr>
          <w:rFonts w:ascii="Arial" w:hAnsi="Arial" w:cs="Arial"/>
          <w:lang w:val="en-ZA"/>
        </w:rPr>
        <w:t xml:space="preserve">in Hochland Park, </w:t>
      </w:r>
      <w:r w:rsidR="0010701C">
        <w:rPr>
          <w:rFonts w:ascii="Arial" w:hAnsi="Arial" w:cs="Arial"/>
          <w:lang w:val="en-ZA"/>
        </w:rPr>
        <w:t>the witness was adamant that this is what happened. She further disputed that Bossie had given or offered her N$1 500 for medical expenses.</w:t>
      </w:r>
    </w:p>
    <w:p w:rsidR="0010701C" w:rsidRDefault="0010701C" w:rsidP="00457DD2">
      <w:pPr>
        <w:spacing w:before="240" w:line="360" w:lineRule="auto"/>
        <w:jc w:val="both"/>
        <w:rPr>
          <w:rFonts w:ascii="Arial" w:hAnsi="Arial" w:cs="Arial"/>
          <w:lang w:val="en-ZA"/>
        </w:rPr>
      </w:pPr>
    </w:p>
    <w:p w:rsidR="0010701C" w:rsidRDefault="0010701C" w:rsidP="00457DD2">
      <w:pPr>
        <w:spacing w:before="240" w:line="360" w:lineRule="auto"/>
        <w:jc w:val="both"/>
        <w:rPr>
          <w:rFonts w:ascii="Arial" w:hAnsi="Arial" w:cs="Arial"/>
          <w:lang w:val="en-ZA"/>
        </w:rPr>
      </w:pPr>
      <w:r>
        <w:rPr>
          <w:rFonts w:ascii="Arial" w:hAnsi="Arial" w:cs="Arial"/>
          <w:lang w:val="en-ZA"/>
        </w:rPr>
        <w:t>[</w:t>
      </w:r>
      <w:r w:rsidR="00465938">
        <w:rPr>
          <w:rFonts w:ascii="Arial" w:hAnsi="Arial" w:cs="Arial"/>
          <w:lang w:val="en-ZA"/>
        </w:rPr>
        <w:t>9</w:t>
      </w:r>
      <w:r>
        <w:rPr>
          <w:rFonts w:ascii="Arial" w:hAnsi="Arial" w:cs="Arial"/>
          <w:lang w:val="en-ZA"/>
        </w:rPr>
        <w:t xml:space="preserve">]   Mr Alexander Paulus </w:t>
      </w:r>
      <w:r w:rsidR="00B65CFF">
        <w:rPr>
          <w:rFonts w:ascii="Arial" w:hAnsi="Arial" w:cs="Arial"/>
          <w:lang w:val="en-ZA"/>
        </w:rPr>
        <w:t>on the night in question</w:t>
      </w:r>
      <w:r w:rsidR="009E488D">
        <w:rPr>
          <w:rFonts w:ascii="Arial" w:hAnsi="Arial" w:cs="Arial"/>
          <w:lang w:val="en-ZA"/>
        </w:rPr>
        <w:t xml:space="preserve"> </w:t>
      </w:r>
      <w:r>
        <w:rPr>
          <w:rFonts w:ascii="Arial" w:hAnsi="Arial" w:cs="Arial"/>
          <w:lang w:val="en-ZA"/>
        </w:rPr>
        <w:t>was a taxi driver</w:t>
      </w:r>
      <w:r w:rsidR="009E488D">
        <w:rPr>
          <w:rFonts w:ascii="Arial" w:hAnsi="Arial" w:cs="Arial"/>
          <w:lang w:val="en-ZA"/>
        </w:rPr>
        <w:t xml:space="preserve"> and after he had dropped off a passenger (a</w:t>
      </w:r>
      <w:r w:rsidR="00B65CFF">
        <w:rPr>
          <w:rFonts w:ascii="Arial" w:hAnsi="Arial" w:cs="Arial"/>
          <w:lang w:val="en-ZA"/>
        </w:rPr>
        <w:t>t Joker’s Club) he turned</w:t>
      </w:r>
      <w:r w:rsidR="009E488D">
        <w:rPr>
          <w:rFonts w:ascii="Arial" w:hAnsi="Arial" w:cs="Arial"/>
          <w:lang w:val="en-ZA"/>
        </w:rPr>
        <w:t xml:space="preserve"> </w:t>
      </w:r>
      <w:r w:rsidR="00465938">
        <w:rPr>
          <w:rFonts w:ascii="Arial" w:hAnsi="Arial" w:cs="Arial"/>
          <w:lang w:val="en-ZA"/>
        </w:rPr>
        <w:t xml:space="preserve">around </w:t>
      </w:r>
      <w:r w:rsidR="009E488D">
        <w:rPr>
          <w:rFonts w:ascii="Arial" w:hAnsi="Arial" w:cs="Arial"/>
          <w:lang w:val="en-ZA"/>
        </w:rPr>
        <w:t xml:space="preserve">to go </w:t>
      </w:r>
      <w:r w:rsidR="00465938">
        <w:rPr>
          <w:rFonts w:ascii="Arial" w:hAnsi="Arial" w:cs="Arial"/>
          <w:lang w:val="en-ZA"/>
        </w:rPr>
        <w:t xml:space="preserve">back </w:t>
      </w:r>
      <w:r w:rsidR="009E488D">
        <w:rPr>
          <w:rFonts w:ascii="Arial" w:hAnsi="Arial" w:cs="Arial"/>
          <w:lang w:val="en-ZA"/>
        </w:rPr>
        <w:lastRenderedPageBreak/>
        <w:t xml:space="preserve">into town. He was </w:t>
      </w:r>
      <w:r w:rsidR="00B65CFF">
        <w:rPr>
          <w:rFonts w:ascii="Arial" w:hAnsi="Arial" w:cs="Arial"/>
          <w:lang w:val="en-ZA"/>
        </w:rPr>
        <w:t xml:space="preserve">driving </w:t>
      </w:r>
      <w:r w:rsidR="009E488D">
        <w:rPr>
          <w:rFonts w:ascii="Arial" w:hAnsi="Arial" w:cs="Arial"/>
          <w:lang w:val="en-ZA"/>
        </w:rPr>
        <w:t>behind a silver coloured Range Rover which followed a white VW Polo. I pause to observe that, despite the witness referring to this vehic</w:t>
      </w:r>
      <w:r w:rsidR="00B65CFF">
        <w:rPr>
          <w:rFonts w:ascii="Arial" w:hAnsi="Arial" w:cs="Arial"/>
          <w:lang w:val="en-ZA"/>
        </w:rPr>
        <w:t>le as a Range Rover, he later</w:t>
      </w:r>
      <w:r w:rsidR="009E488D">
        <w:rPr>
          <w:rFonts w:ascii="Arial" w:hAnsi="Arial" w:cs="Arial"/>
          <w:lang w:val="en-ZA"/>
        </w:rPr>
        <w:t xml:space="preserve"> during his testimony confirmed that it was the Land Rover Discovery depicted in the photo plan, being that of the deceased. Whilst following the Polo the Discovery collided with the rear end of the Polo. </w:t>
      </w:r>
      <w:r w:rsidR="009D7089">
        <w:rPr>
          <w:rFonts w:ascii="Arial" w:hAnsi="Arial" w:cs="Arial"/>
          <w:lang w:val="en-ZA"/>
        </w:rPr>
        <w:t>On this point</w:t>
      </w:r>
      <w:r w:rsidR="00B65CFF">
        <w:rPr>
          <w:rFonts w:ascii="Arial" w:hAnsi="Arial" w:cs="Arial"/>
          <w:lang w:val="en-ZA"/>
        </w:rPr>
        <w:t xml:space="preserve"> his</w:t>
      </w:r>
      <w:r w:rsidR="009E488D">
        <w:rPr>
          <w:rFonts w:ascii="Arial" w:hAnsi="Arial" w:cs="Arial"/>
          <w:lang w:val="en-ZA"/>
        </w:rPr>
        <w:t xml:space="preserve"> eviden</w:t>
      </w:r>
      <w:r w:rsidR="00D555BC">
        <w:rPr>
          <w:rFonts w:ascii="Arial" w:hAnsi="Arial" w:cs="Arial"/>
          <w:lang w:val="en-ZA"/>
        </w:rPr>
        <w:t>ce differs from that of Fenola</w:t>
      </w:r>
      <w:r w:rsidR="009E488D">
        <w:rPr>
          <w:rFonts w:ascii="Arial" w:hAnsi="Arial" w:cs="Arial"/>
          <w:lang w:val="en-ZA"/>
        </w:rPr>
        <w:t xml:space="preserve"> </w:t>
      </w:r>
      <w:r w:rsidR="009D7089">
        <w:rPr>
          <w:rFonts w:ascii="Arial" w:hAnsi="Arial" w:cs="Arial"/>
          <w:lang w:val="en-ZA"/>
        </w:rPr>
        <w:t>and the accused, both saying</w:t>
      </w:r>
      <w:r w:rsidR="009E488D">
        <w:rPr>
          <w:rFonts w:ascii="Arial" w:hAnsi="Arial" w:cs="Arial"/>
          <w:lang w:val="en-ZA"/>
        </w:rPr>
        <w:t xml:space="preserve"> the Polo was stationary at the time of the collision. </w:t>
      </w:r>
      <w:r w:rsidR="009D7089">
        <w:rPr>
          <w:rFonts w:ascii="Arial" w:hAnsi="Arial" w:cs="Arial"/>
          <w:lang w:val="en-ZA"/>
        </w:rPr>
        <w:t>He</w:t>
      </w:r>
      <w:r w:rsidR="00947541">
        <w:rPr>
          <w:rFonts w:ascii="Arial" w:hAnsi="Arial" w:cs="Arial"/>
          <w:lang w:val="en-ZA"/>
        </w:rPr>
        <w:t xml:space="preserve"> saw a male person</w:t>
      </w:r>
      <w:r w:rsidR="009D7089">
        <w:rPr>
          <w:rFonts w:ascii="Arial" w:hAnsi="Arial" w:cs="Arial"/>
          <w:lang w:val="en-ZA"/>
        </w:rPr>
        <w:t xml:space="preserve"> </w:t>
      </w:r>
      <w:r w:rsidR="00947541">
        <w:rPr>
          <w:rFonts w:ascii="Arial" w:hAnsi="Arial" w:cs="Arial"/>
          <w:lang w:val="en-ZA"/>
        </w:rPr>
        <w:t>alighting fr</w:t>
      </w:r>
      <w:r w:rsidR="00B65CFF">
        <w:rPr>
          <w:rFonts w:ascii="Arial" w:hAnsi="Arial" w:cs="Arial"/>
          <w:lang w:val="en-ZA"/>
        </w:rPr>
        <w:t>om the Polo with gun in hand and</w:t>
      </w:r>
      <w:r w:rsidR="00947541">
        <w:rPr>
          <w:rFonts w:ascii="Arial" w:hAnsi="Arial" w:cs="Arial"/>
          <w:lang w:val="en-ZA"/>
        </w:rPr>
        <w:t xml:space="preserve"> </w:t>
      </w:r>
      <w:r w:rsidR="009D7089">
        <w:rPr>
          <w:rFonts w:ascii="Arial" w:hAnsi="Arial" w:cs="Arial"/>
          <w:lang w:val="en-ZA"/>
        </w:rPr>
        <w:t xml:space="preserve">immediately </w:t>
      </w:r>
      <w:r w:rsidR="00947541">
        <w:rPr>
          <w:rFonts w:ascii="Arial" w:hAnsi="Arial" w:cs="Arial"/>
          <w:lang w:val="en-ZA"/>
        </w:rPr>
        <w:t xml:space="preserve">started shooting at the right front wheel of the Discovery. He </w:t>
      </w:r>
      <w:r w:rsidR="00240997">
        <w:rPr>
          <w:rFonts w:ascii="Arial" w:hAnsi="Arial" w:cs="Arial"/>
          <w:lang w:val="en-ZA"/>
        </w:rPr>
        <w:t>said</w:t>
      </w:r>
      <w:r w:rsidR="00947541">
        <w:rPr>
          <w:rFonts w:ascii="Arial" w:hAnsi="Arial" w:cs="Arial"/>
          <w:lang w:val="en-ZA"/>
        </w:rPr>
        <w:t xml:space="preserve"> the driver of the Polo </w:t>
      </w:r>
      <w:r w:rsidR="00240997">
        <w:rPr>
          <w:rFonts w:ascii="Arial" w:hAnsi="Arial" w:cs="Arial"/>
          <w:lang w:val="en-ZA"/>
        </w:rPr>
        <w:t xml:space="preserve">within seconds </w:t>
      </w:r>
      <w:r w:rsidR="00947541">
        <w:rPr>
          <w:rFonts w:ascii="Arial" w:hAnsi="Arial" w:cs="Arial"/>
          <w:lang w:val="en-ZA"/>
        </w:rPr>
        <w:t xml:space="preserve">got out and fired </w:t>
      </w:r>
      <w:r w:rsidR="00240997">
        <w:rPr>
          <w:rFonts w:ascii="Arial" w:hAnsi="Arial" w:cs="Arial"/>
          <w:lang w:val="en-ZA"/>
        </w:rPr>
        <w:t xml:space="preserve">the first shot at the front wheel whilst the vehicle was still stationary. </w:t>
      </w:r>
      <w:r w:rsidR="004A5E8B">
        <w:rPr>
          <w:rFonts w:ascii="Arial" w:hAnsi="Arial" w:cs="Arial"/>
          <w:lang w:val="en-ZA"/>
        </w:rPr>
        <w:t xml:space="preserve">After the first shot, he raised the gun and fired directly into the car on the driver’s side. </w:t>
      </w:r>
      <w:r w:rsidR="00240997">
        <w:rPr>
          <w:rFonts w:ascii="Arial" w:hAnsi="Arial" w:cs="Arial"/>
          <w:lang w:val="en-ZA"/>
        </w:rPr>
        <w:t>S</w:t>
      </w:r>
      <w:r w:rsidR="00947541">
        <w:rPr>
          <w:rFonts w:ascii="Arial" w:hAnsi="Arial" w:cs="Arial"/>
          <w:lang w:val="en-ZA"/>
        </w:rPr>
        <w:t xml:space="preserve">everal shots </w:t>
      </w:r>
      <w:r w:rsidR="004A5E8B">
        <w:rPr>
          <w:rFonts w:ascii="Arial" w:hAnsi="Arial" w:cs="Arial"/>
          <w:lang w:val="en-ZA"/>
        </w:rPr>
        <w:t>were thereafter</w:t>
      </w:r>
      <w:r w:rsidR="00240997">
        <w:rPr>
          <w:rFonts w:ascii="Arial" w:hAnsi="Arial" w:cs="Arial"/>
          <w:lang w:val="en-ZA"/>
        </w:rPr>
        <w:t xml:space="preserve"> fired into the vehicle </w:t>
      </w:r>
      <w:r w:rsidR="00947541">
        <w:rPr>
          <w:rFonts w:ascii="Arial" w:hAnsi="Arial" w:cs="Arial"/>
          <w:lang w:val="en-ZA"/>
        </w:rPr>
        <w:t xml:space="preserve">from where </w:t>
      </w:r>
      <w:r w:rsidR="00240997">
        <w:rPr>
          <w:rFonts w:ascii="Arial" w:hAnsi="Arial" w:cs="Arial"/>
          <w:lang w:val="en-ZA"/>
        </w:rPr>
        <w:t>t</w:t>
      </w:r>
      <w:r w:rsidR="00947541">
        <w:rPr>
          <w:rFonts w:ascii="Arial" w:hAnsi="Arial" w:cs="Arial"/>
          <w:lang w:val="en-ZA"/>
        </w:rPr>
        <w:t xml:space="preserve">he </w:t>
      </w:r>
      <w:r w:rsidR="00240997">
        <w:rPr>
          <w:rFonts w:ascii="Arial" w:hAnsi="Arial" w:cs="Arial"/>
          <w:lang w:val="en-ZA"/>
        </w:rPr>
        <w:t xml:space="preserve">person </w:t>
      </w:r>
      <w:r w:rsidR="00947541">
        <w:rPr>
          <w:rFonts w:ascii="Arial" w:hAnsi="Arial" w:cs="Arial"/>
          <w:lang w:val="en-ZA"/>
        </w:rPr>
        <w:t>stood in the middle of the road</w:t>
      </w:r>
      <w:r w:rsidR="004A5E8B">
        <w:rPr>
          <w:rFonts w:ascii="Arial" w:hAnsi="Arial" w:cs="Arial"/>
          <w:lang w:val="en-ZA"/>
        </w:rPr>
        <w:t>,</w:t>
      </w:r>
      <w:r w:rsidR="00240997">
        <w:rPr>
          <w:rFonts w:ascii="Arial" w:hAnsi="Arial" w:cs="Arial"/>
          <w:lang w:val="en-ZA"/>
        </w:rPr>
        <w:t xml:space="preserve"> while</w:t>
      </w:r>
      <w:r w:rsidR="004A5E8B">
        <w:rPr>
          <w:rFonts w:ascii="Arial" w:hAnsi="Arial" w:cs="Arial"/>
          <w:lang w:val="en-ZA"/>
        </w:rPr>
        <w:t xml:space="preserve"> the Discovery</w:t>
      </w:r>
      <w:r w:rsidR="00947541">
        <w:rPr>
          <w:rFonts w:ascii="Arial" w:hAnsi="Arial" w:cs="Arial"/>
          <w:lang w:val="en-ZA"/>
        </w:rPr>
        <w:t xml:space="preserve"> </w:t>
      </w:r>
      <w:r w:rsidR="00240997">
        <w:rPr>
          <w:rFonts w:ascii="Arial" w:hAnsi="Arial" w:cs="Arial"/>
          <w:lang w:val="en-ZA"/>
        </w:rPr>
        <w:t xml:space="preserve">slowly </w:t>
      </w:r>
      <w:r w:rsidR="004A5E8B">
        <w:rPr>
          <w:rFonts w:ascii="Arial" w:hAnsi="Arial" w:cs="Arial"/>
          <w:lang w:val="en-ZA"/>
        </w:rPr>
        <w:t>drove past</w:t>
      </w:r>
      <w:r w:rsidR="00947541">
        <w:rPr>
          <w:rFonts w:ascii="Arial" w:hAnsi="Arial" w:cs="Arial"/>
          <w:lang w:val="en-ZA"/>
        </w:rPr>
        <w:t xml:space="preserve"> him. A lady got out of the Polo shouting in English that the person must stop shooting. </w:t>
      </w:r>
      <w:r w:rsidR="005F6464">
        <w:rPr>
          <w:rFonts w:ascii="Arial" w:hAnsi="Arial" w:cs="Arial"/>
          <w:lang w:val="en-ZA"/>
        </w:rPr>
        <w:t>According to the witness visibility was go</w:t>
      </w:r>
      <w:r w:rsidR="00C7150B">
        <w:rPr>
          <w:rFonts w:ascii="Arial" w:hAnsi="Arial" w:cs="Arial"/>
          <w:lang w:val="en-ZA"/>
        </w:rPr>
        <w:t>o</w:t>
      </w:r>
      <w:r w:rsidR="005F6464">
        <w:rPr>
          <w:rFonts w:ascii="Arial" w:hAnsi="Arial" w:cs="Arial"/>
          <w:lang w:val="en-ZA"/>
        </w:rPr>
        <w:t>d as the area is lit up by street lights.</w:t>
      </w:r>
      <w:r w:rsidR="00240997">
        <w:rPr>
          <w:rFonts w:ascii="Arial" w:hAnsi="Arial" w:cs="Arial"/>
          <w:lang w:val="en-ZA"/>
        </w:rPr>
        <w:t xml:space="preserve"> </w:t>
      </w:r>
      <w:r w:rsidR="006B3AB8">
        <w:rPr>
          <w:rFonts w:ascii="Arial" w:hAnsi="Arial" w:cs="Arial"/>
          <w:lang w:val="en-ZA"/>
        </w:rPr>
        <w:t>Neither of the drivers was known to him.</w:t>
      </w:r>
    </w:p>
    <w:p w:rsidR="00947541" w:rsidRDefault="00947541" w:rsidP="00457DD2">
      <w:pPr>
        <w:spacing w:before="240" w:line="360" w:lineRule="auto"/>
        <w:jc w:val="both"/>
        <w:rPr>
          <w:rFonts w:ascii="Arial" w:hAnsi="Arial" w:cs="Arial"/>
          <w:lang w:val="en-ZA"/>
        </w:rPr>
      </w:pPr>
    </w:p>
    <w:p w:rsidR="00947541" w:rsidRDefault="004A5E8B" w:rsidP="00457DD2">
      <w:pPr>
        <w:spacing w:before="240" w:line="360" w:lineRule="auto"/>
        <w:jc w:val="both"/>
        <w:rPr>
          <w:rFonts w:ascii="Arial" w:hAnsi="Arial" w:cs="Arial"/>
          <w:lang w:val="en-ZA"/>
        </w:rPr>
      </w:pPr>
      <w:r>
        <w:rPr>
          <w:rFonts w:ascii="Arial" w:hAnsi="Arial" w:cs="Arial"/>
          <w:lang w:val="en-ZA"/>
        </w:rPr>
        <w:t>[</w:t>
      </w:r>
      <w:r w:rsidR="009D7089">
        <w:rPr>
          <w:rFonts w:ascii="Arial" w:hAnsi="Arial" w:cs="Arial"/>
          <w:lang w:val="en-ZA"/>
        </w:rPr>
        <w:t>10</w:t>
      </w:r>
      <w:r>
        <w:rPr>
          <w:rFonts w:ascii="Arial" w:hAnsi="Arial" w:cs="Arial"/>
          <w:lang w:val="en-ZA"/>
        </w:rPr>
        <w:t xml:space="preserve">]   He </w:t>
      </w:r>
      <w:r w:rsidR="009D7089">
        <w:rPr>
          <w:rFonts w:ascii="Arial" w:hAnsi="Arial" w:cs="Arial"/>
          <w:lang w:val="en-ZA"/>
        </w:rPr>
        <w:t xml:space="preserve">continued driving and </w:t>
      </w:r>
      <w:r>
        <w:rPr>
          <w:rFonts w:ascii="Arial" w:hAnsi="Arial" w:cs="Arial"/>
          <w:lang w:val="en-ZA"/>
        </w:rPr>
        <w:t>caught up with</w:t>
      </w:r>
      <w:r w:rsidR="00947541">
        <w:rPr>
          <w:rFonts w:ascii="Arial" w:hAnsi="Arial" w:cs="Arial"/>
          <w:lang w:val="en-ZA"/>
        </w:rPr>
        <w:t xml:space="preserve"> </w:t>
      </w:r>
      <w:r w:rsidR="00540617">
        <w:rPr>
          <w:rFonts w:ascii="Arial" w:hAnsi="Arial" w:cs="Arial"/>
          <w:lang w:val="en-ZA"/>
        </w:rPr>
        <w:t xml:space="preserve">the Discovery which </w:t>
      </w:r>
      <w:r>
        <w:rPr>
          <w:rFonts w:ascii="Arial" w:hAnsi="Arial" w:cs="Arial"/>
          <w:lang w:val="en-ZA"/>
        </w:rPr>
        <w:t xml:space="preserve">had </w:t>
      </w:r>
      <w:r w:rsidR="009D7089">
        <w:rPr>
          <w:rFonts w:ascii="Arial" w:hAnsi="Arial" w:cs="Arial"/>
          <w:lang w:val="en-ZA"/>
        </w:rPr>
        <w:t>stopped</w:t>
      </w:r>
      <w:r w:rsidR="00947541">
        <w:rPr>
          <w:rFonts w:ascii="Arial" w:hAnsi="Arial" w:cs="Arial"/>
          <w:lang w:val="en-ZA"/>
        </w:rPr>
        <w:t xml:space="preserve"> </w:t>
      </w:r>
      <w:r w:rsidR="009D7089">
        <w:rPr>
          <w:rFonts w:ascii="Arial" w:hAnsi="Arial" w:cs="Arial"/>
          <w:lang w:val="en-ZA"/>
        </w:rPr>
        <w:t>further</w:t>
      </w:r>
      <w:r w:rsidR="00540617">
        <w:rPr>
          <w:rFonts w:ascii="Arial" w:hAnsi="Arial" w:cs="Arial"/>
          <w:lang w:val="en-ZA"/>
        </w:rPr>
        <w:t xml:space="preserve"> down </w:t>
      </w:r>
      <w:r w:rsidR="00947541">
        <w:rPr>
          <w:rFonts w:ascii="Arial" w:hAnsi="Arial" w:cs="Arial"/>
          <w:lang w:val="en-ZA"/>
        </w:rPr>
        <w:t xml:space="preserve">in </w:t>
      </w:r>
      <w:r w:rsidR="00540617">
        <w:rPr>
          <w:rFonts w:ascii="Arial" w:hAnsi="Arial" w:cs="Arial"/>
          <w:lang w:val="en-ZA"/>
        </w:rPr>
        <w:t>Bell street</w:t>
      </w:r>
      <w:r>
        <w:rPr>
          <w:rFonts w:ascii="Arial" w:hAnsi="Arial" w:cs="Arial"/>
          <w:lang w:val="en-ZA"/>
        </w:rPr>
        <w:t xml:space="preserve"> </w:t>
      </w:r>
      <w:r w:rsidR="009D7089">
        <w:rPr>
          <w:rFonts w:ascii="Arial" w:hAnsi="Arial" w:cs="Arial"/>
          <w:lang w:val="en-ZA"/>
        </w:rPr>
        <w:t xml:space="preserve">after </w:t>
      </w:r>
      <w:r>
        <w:rPr>
          <w:rFonts w:ascii="Arial" w:hAnsi="Arial" w:cs="Arial"/>
          <w:lang w:val="en-ZA"/>
        </w:rPr>
        <w:t>having</w:t>
      </w:r>
      <w:r w:rsidR="00947541">
        <w:rPr>
          <w:rFonts w:ascii="Arial" w:hAnsi="Arial" w:cs="Arial"/>
          <w:lang w:val="en-ZA"/>
        </w:rPr>
        <w:t xml:space="preserve"> crossed t</w:t>
      </w:r>
      <w:r w:rsidR="00540617">
        <w:rPr>
          <w:rFonts w:ascii="Arial" w:hAnsi="Arial" w:cs="Arial"/>
          <w:lang w:val="en-ZA"/>
        </w:rPr>
        <w:t>he intersection with Lazarette s</w:t>
      </w:r>
      <w:r w:rsidR="00947541">
        <w:rPr>
          <w:rFonts w:ascii="Arial" w:hAnsi="Arial" w:cs="Arial"/>
          <w:lang w:val="en-ZA"/>
        </w:rPr>
        <w:t>treet</w:t>
      </w:r>
      <w:r w:rsidR="00540617">
        <w:rPr>
          <w:rFonts w:ascii="Arial" w:hAnsi="Arial" w:cs="Arial"/>
          <w:lang w:val="en-ZA"/>
        </w:rPr>
        <w:t xml:space="preserve">. </w:t>
      </w:r>
      <w:r w:rsidR="009D7089">
        <w:rPr>
          <w:rFonts w:ascii="Arial" w:hAnsi="Arial" w:cs="Arial"/>
          <w:lang w:val="en-ZA"/>
        </w:rPr>
        <w:t>He saw the driver</w:t>
      </w:r>
      <w:r w:rsidR="00540617">
        <w:rPr>
          <w:rFonts w:ascii="Arial" w:hAnsi="Arial" w:cs="Arial"/>
          <w:lang w:val="en-ZA"/>
        </w:rPr>
        <w:t xml:space="preserve"> </w:t>
      </w:r>
      <w:r w:rsidR="005F6464">
        <w:rPr>
          <w:rFonts w:ascii="Arial" w:hAnsi="Arial" w:cs="Arial"/>
          <w:lang w:val="en-ZA"/>
        </w:rPr>
        <w:t>stoop</w:t>
      </w:r>
      <w:r w:rsidR="00540617">
        <w:rPr>
          <w:rFonts w:ascii="Arial" w:hAnsi="Arial" w:cs="Arial"/>
          <w:lang w:val="en-ZA"/>
        </w:rPr>
        <w:t>ed forward</w:t>
      </w:r>
      <w:r w:rsidR="005F6464">
        <w:rPr>
          <w:rFonts w:ascii="Arial" w:hAnsi="Arial" w:cs="Arial"/>
          <w:lang w:val="en-ZA"/>
        </w:rPr>
        <w:t xml:space="preserve"> with his head resting on the steering wheel whereupon he contacted the City Police. </w:t>
      </w:r>
      <w:r w:rsidR="009D7089">
        <w:rPr>
          <w:rFonts w:ascii="Arial" w:hAnsi="Arial" w:cs="Arial"/>
          <w:lang w:val="en-ZA"/>
        </w:rPr>
        <w:t xml:space="preserve">He remained at the vehicle until </w:t>
      </w:r>
      <w:r w:rsidR="005F6464">
        <w:rPr>
          <w:rFonts w:ascii="Arial" w:hAnsi="Arial" w:cs="Arial"/>
          <w:lang w:val="en-ZA"/>
        </w:rPr>
        <w:t>the police arrived</w:t>
      </w:r>
      <w:r w:rsidR="009D7089">
        <w:rPr>
          <w:rFonts w:ascii="Arial" w:hAnsi="Arial" w:cs="Arial"/>
          <w:lang w:val="en-ZA"/>
        </w:rPr>
        <w:t>. O</w:t>
      </w:r>
      <w:r w:rsidR="005F6464">
        <w:rPr>
          <w:rFonts w:ascii="Arial" w:hAnsi="Arial" w:cs="Arial"/>
          <w:lang w:val="en-ZA"/>
        </w:rPr>
        <w:t xml:space="preserve">n Monday </w:t>
      </w:r>
      <w:r w:rsidR="009D7089">
        <w:rPr>
          <w:rFonts w:ascii="Arial" w:hAnsi="Arial" w:cs="Arial"/>
          <w:lang w:val="en-ZA"/>
        </w:rPr>
        <w:t xml:space="preserve">he </w:t>
      </w:r>
      <w:r w:rsidR="005F6464">
        <w:rPr>
          <w:rFonts w:ascii="Arial" w:hAnsi="Arial" w:cs="Arial"/>
          <w:lang w:val="en-ZA"/>
        </w:rPr>
        <w:t>returned to the scene with the police where he pointed out certain points as depicted in the photo plan.</w:t>
      </w:r>
    </w:p>
    <w:p w:rsidR="00240997" w:rsidRDefault="00240997" w:rsidP="00457DD2">
      <w:pPr>
        <w:spacing w:before="240" w:line="360" w:lineRule="auto"/>
        <w:jc w:val="both"/>
        <w:rPr>
          <w:rFonts w:ascii="Arial" w:hAnsi="Arial" w:cs="Arial"/>
          <w:lang w:val="en-ZA"/>
        </w:rPr>
      </w:pPr>
    </w:p>
    <w:p w:rsidR="00240997" w:rsidRDefault="00240997" w:rsidP="00457DD2">
      <w:pPr>
        <w:spacing w:before="240" w:line="360" w:lineRule="auto"/>
        <w:jc w:val="both"/>
        <w:rPr>
          <w:rFonts w:ascii="Arial" w:hAnsi="Arial" w:cs="Arial"/>
          <w:lang w:val="en-ZA"/>
        </w:rPr>
      </w:pPr>
      <w:r>
        <w:rPr>
          <w:rFonts w:ascii="Arial" w:hAnsi="Arial" w:cs="Arial"/>
          <w:lang w:val="en-ZA"/>
        </w:rPr>
        <w:t>[</w:t>
      </w:r>
      <w:r w:rsidR="009D7089">
        <w:rPr>
          <w:rFonts w:ascii="Arial" w:hAnsi="Arial" w:cs="Arial"/>
          <w:lang w:val="en-ZA"/>
        </w:rPr>
        <w:t>11</w:t>
      </w:r>
      <w:r>
        <w:rPr>
          <w:rFonts w:ascii="Arial" w:hAnsi="Arial" w:cs="Arial"/>
          <w:lang w:val="en-ZA"/>
        </w:rPr>
        <w:t xml:space="preserve">]   In cross-examination </w:t>
      </w:r>
      <w:r w:rsidR="009D7089">
        <w:rPr>
          <w:rFonts w:ascii="Arial" w:hAnsi="Arial" w:cs="Arial"/>
          <w:lang w:val="en-ZA"/>
        </w:rPr>
        <w:t>t</w:t>
      </w:r>
      <w:r>
        <w:rPr>
          <w:rFonts w:ascii="Arial" w:hAnsi="Arial" w:cs="Arial"/>
          <w:lang w:val="en-ZA"/>
        </w:rPr>
        <w:t>he</w:t>
      </w:r>
      <w:r w:rsidR="009D7089">
        <w:rPr>
          <w:rFonts w:ascii="Arial" w:hAnsi="Arial" w:cs="Arial"/>
          <w:lang w:val="en-ZA"/>
        </w:rPr>
        <w:t xml:space="preserve"> witness</w:t>
      </w:r>
      <w:r>
        <w:rPr>
          <w:rFonts w:ascii="Arial" w:hAnsi="Arial" w:cs="Arial"/>
          <w:lang w:val="en-ZA"/>
        </w:rPr>
        <w:t xml:space="preserve"> </w:t>
      </w:r>
      <w:r w:rsidR="009A60FC">
        <w:rPr>
          <w:rFonts w:ascii="Arial" w:hAnsi="Arial" w:cs="Arial"/>
          <w:lang w:val="en-ZA"/>
        </w:rPr>
        <w:t>disputed that the Discovery reversed</w:t>
      </w:r>
      <w:r w:rsidR="009D7089">
        <w:rPr>
          <w:rFonts w:ascii="Arial" w:hAnsi="Arial" w:cs="Arial"/>
          <w:lang w:val="en-ZA"/>
        </w:rPr>
        <w:t xml:space="preserve"> before driving off,</w:t>
      </w:r>
      <w:r>
        <w:rPr>
          <w:rFonts w:ascii="Arial" w:hAnsi="Arial" w:cs="Arial"/>
          <w:lang w:val="en-ZA"/>
        </w:rPr>
        <w:t xml:space="preserve"> that the revs of the engine was high and it </w:t>
      </w:r>
      <w:r w:rsidR="009D7089">
        <w:rPr>
          <w:rFonts w:ascii="Arial" w:hAnsi="Arial" w:cs="Arial"/>
          <w:lang w:val="en-ZA"/>
        </w:rPr>
        <w:t xml:space="preserve">sped </w:t>
      </w:r>
      <w:r w:rsidR="009A60FC">
        <w:rPr>
          <w:rFonts w:ascii="Arial" w:hAnsi="Arial" w:cs="Arial"/>
          <w:lang w:val="en-ZA"/>
        </w:rPr>
        <w:t>off</w:t>
      </w:r>
      <w:r>
        <w:rPr>
          <w:rFonts w:ascii="Arial" w:hAnsi="Arial" w:cs="Arial"/>
          <w:lang w:val="en-ZA"/>
        </w:rPr>
        <w:t xml:space="preserve"> with screeching tyres.</w:t>
      </w:r>
      <w:r w:rsidR="006B3AB8">
        <w:rPr>
          <w:rFonts w:ascii="Arial" w:hAnsi="Arial" w:cs="Arial"/>
          <w:lang w:val="en-ZA"/>
        </w:rPr>
        <w:t xml:space="preserve"> </w:t>
      </w:r>
      <w:r w:rsidR="00C7150B">
        <w:rPr>
          <w:rFonts w:ascii="Arial" w:hAnsi="Arial" w:cs="Arial"/>
          <w:lang w:val="en-ZA"/>
        </w:rPr>
        <w:t xml:space="preserve"> </w:t>
      </w:r>
    </w:p>
    <w:p w:rsidR="00E53BA6" w:rsidRDefault="00E53BA6" w:rsidP="00457DD2">
      <w:pPr>
        <w:spacing w:before="240" w:line="360" w:lineRule="auto"/>
        <w:jc w:val="both"/>
        <w:rPr>
          <w:rFonts w:ascii="Arial" w:hAnsi="Arial" w:cs="Arial"/>
          <w:lang w:val="en-ZA"/>
        </w:rPr>
      </w:pPr>
    </w:p>
    <w:p w:rsidR="00C7150B" w:rsidRPr="00D43482" w:rsidRDefault="00E53BA6" w:rsidP="00457DD2">
      <w:pPr>
        <w:spacing w:before="240" w:line="360" w:lineRule="auto"/>
        <w:jc w:val="both"/>
        <w:rPr>
          <w:rFonts w:ascii="Arial" w:hAnsi="Arial" w:cs="Arial"/>
          <w:lang w:val="en-ZA"/>
        </w:rPr>
      </w:pPr>
      <w:r>
        <w:rPr>
          <w:rFonts w:ascii="Arial" w:hAnsi="Arial" w:cs="Arial"/>
          <w:lang w:val="en-ZA"/>
        </w:rPr>
        <w:lastRenderedPageBreak/>
        <w:t>[</w:t>
      </w:r>
      <w:r w:rsidR="009D7089">
        <w:rPr>
          <w:rFonts w:ascii="Arial" w:hAnsi="Arial" w:cs="Arial"/>
          <w:lang w:val="en-ZA"/>
        </w:rPr>
        <w:t>12</w:t>
      </w:r>
      <w:r>
        <w:rPr>
          <w:rFonts w:ascii="Arial" w:hAnsi="Arial" w:cs="Arial"/>
          <w:lang w:val="en-ZA"/>
        </w:rPr>
        <w:t>]   Mr Joel Ngungu</w:t>
      </w:r>
      <w:r w:rsidR="009A60FC">
        <w:rPr>
          <w:rFonts w:ascii="Arial" w:hAnsi="Arial" w:cs="Arial"/>
          <w:lang w:val="en-ZA"/>
        </w:rPr>
        <w:t>, a traffic officer of the City of Windhoek</w:t>
      </w:r>
      <w:r>
        <w:rPr>
          <w:rFonts w:ascii="Arial" w:hAnsi="Arial" w:cs="Arial"/>
          <w:lang w:val="en-ZA"/>
        </w:rPr>
        <w:t xml:space="preserve"> was summoned to the scene </w:t>
      </w:r>
      <w:r w:rsidR="009D7089">
        <w:rPr>
          <w:rFonts w:ascii="Arial" w:hAnsi="Arial" w:cs="Arial"/>
          <w:lang w:val="en-ZA"/>
        </w:rPr>
        <w:t xml:space="preserve">and </w:t>
      </w:r>
      <w:r>
        <w:rPr>
          <w:rFonts w:ascii="Arial" w:hAnsi="Arial" w:cs="Arial"/>
          <w:lang w:val="en-ZA"/>
        </w:rPr>
        <w:t xml:space="preserve">called for an ambulance and members </w:t>
      </w:r>
      <w:r w:rsidR="00EE774E">
        <w:rPr>
          <w:rFonts w:ascii="Arial" w:hAnsi="Arial" w:cs="Arial"/>
          <w:lang w:val="en-ZA"/>
        </w:rPr>
        <w:t>of Nampol to attend</w:t>
      </w:r>
      <w:r>
        <w:rPr>
          <w:rFonts w:ascii="Arial" w:hAnsi="Arial" w:cs="Arial"/>
          <w:lang w:val="en-ZA"/>
        </w:rPr>
        <w:t xml:space="preserve">. The rear side window </w:t>
      </w:r>
      <w:r w:rsidR="009A60FC">
        <w:rPr>
          <w:rFonts w:ascii="Arial" w:hAnsi="Arial" w:cs="Arial"/>
          <w:lang w:val="en-ZA"/>
        </w:rPr>
        <w:t>was shattered in order</w:t>
      </w:r>
      <w:r>
        <w:rPr>
          <w:rFonts w:ascii="Arial" w:hAnsi="Arial" w:cs="Arial"/>
          <w:lang w:val="en-ZA"/>
        </w:rPr>
        <w:t xml:space="preserve"> to g</w:t>
      </w:r>
      <w:r w:rsidR="009A60FC">
        <w:rPr>
          <w:rFonts w:ascii="Arial" w:hAnsi="Arial" w:cs="Arial"/>
          <w:lang w:val="en-ZA"/>
        </w:rPr>
        <w:t>ain</w:t>
      </w:r>
      <w:r>
        <w:rPr>
          <w:rFonts w:ascii="Arial" w:hAnsi="Arial" w:cs="Arial"/>
          <w:lang w:val="en-ZA"/>
        </w:rPr>
        <w:t xml:space="preserve"> access </w:t>
      </w:r>
      <w:r w:rsidR="009A60FC">
        <w:rPr>
          <w:rFonts w:ascii="Arial" w:hAnsi="Arial" w:cs="Arial"/>
          <w:lang w:val="en-ZA"/>
        </w:rPr>
        <w:t xml:space="preserve">into </w:t>
      </w:r>
      <w:r>
        <w:rPr>
          <w:rFonts w:ascii="Arial" w:hAnsi="Arial" w:cs="Arial"/>
          <w:lang w:val="en-ZA"/>
        </w:rPr>
        <w:t>the vehicle a</w:t>
      </w:r>
      <w:r w:rsidR="009A60FC">
        <w:rPr>
          <w:rFonts w:ascii="Arial" w:hAnsi="Arial" w:cs="Arial"/>
          <w:lang w:val="en-ZA"/>
        </w:rPr>
        <w:t>s the doors were locked. He later</w:t>
      </w:r>
      <w:r>
        <w:rPr>
          <w:rFonts w:ascii="Arial" w:hAnsi="Arial" w:cs="Arial"/>
          <w:lang w:val="en-ZA"/>
        </w:rPr>
        <w:t xml:space="preserve"> </w:t>
      </w:r>
      <w:r w:rsidR="00EE774E">
        <w:rPr>
          <w:rFonts w:ascii="Arial" w:hAnsi="Arial" w:cs="Arial"/>
          <w:lang w:val="en-ZA"/>
        </w:rPr>
        <w:t xml:space="preserve">on </w:t>
      </w:r>
      <w:r>
        <w:rPr>
          <w:rFonts w:ascii="Arial" w:hAnsi="Arial" w:cs="Arial"/>
          <w:lang w:val="en-ZA"/>
        </w:rPr>
        <w:t xml:space="preserve">went to the spot where the alleged shooting took place </w:t>
      </w:r>
      <w:r w:rsidR="009A60FC">
        <w:rPr>
          <w:rFonts w:ascii="Arial" w:hAnsi="Arial" w:cs="Arial"/>
          <w:lang w:val="en-ZA"/>
        </w:rPr>
        <w:t>and</w:t>
      </w:r>
      <w:r>
        <w:rPr>
          <w:rFonts w:ascii="Arial" w:hAnsi="Arial" w:cs="Arial"/>
          <w:lang w:val="en-ZA"/>
        </w:rPr>
        <w:t xml:space="preserve"> interviewed a security guard on duty at Neo Paints</w:t>
      </w:r>
      <w:r w:rsidR="009A60FC">
        <w:rPr>
          <w:rFonts w:ascii="Arial" w:hAnsi="Arial" w:cs="Arial"/>
          <w:lang w:val="en-ZA"/>
        </w:rPr>
        <w:t xml:space="preserve"> as to what he had observed</w:t>
      </w:r>
      <w:r>
        <w:rPr>
          <w:rFonts w:ascii="Arial" w:hAnsi="Arial" w:cs="Arial"/>
          <w:lang w:val="en-ZA"/>
        </w:rPr>
        <w:t>.</w:t>
      </w:r>
      <w:r w:rsidR="00EE774E">
        <w:rPr>
          <w:rFonts w:ascii="Arial" w:hAnsi="Arial" w:cs="Arial"/>
          <w:lang w:val="en-ZA"/>
        </w:rPr>
        <w:t xml:space="preserve"> It is common cause that when Mr Petrus Kahuadi,</w:t>
      </w:r>
      <w:r w:rsidR="00C7150B">
        <w:rPr>
          <w:rFonts w:ascii="Arial" w:hAnsi="Arial" w:cs="Arial"/>
          <w:lang w:val="en-ZA"/>
        </w:rPr>
        <w:t xml:space="preserve"> an Emergency Care Practitioner Intermediate a</w:t>
      </w:r>
      <w:r w:rsidR="00EE774E">
        <w:rPr>
          <w:rFonts w:ascii="Arial" w:hAnsi="Arial" w:cs="Arial"/>
          <w:lang w:val="en-ZA"/>
        </w:rPr>
        <w:t>rrived on the scene, that the deceased was no longer alive and declared dead.</w:t>
      </w:r>
    </w:p>
    <w:p w:rsidR="00CB53B7" w:rsidRDefault="00CB53B7" w:rsidP="006B344C">
      <w:pPr>
        <w:spacing w:line="360" w:lineRule="auto"/>
        <w:jc w:val="both"/>
        <w:rPr>
          <w:rFonts w:ascii="Arial" w:hAnsi="Arial" w:cs="Arial"/>
          <w:lang w:val="en-ZA"/>
        </w:rPr>
      </w:pPr>
    </w:p>
    <w:p w:rsidR="006B3AB8" w:rsidRDefault="006B3AB8" w:rsidP="006B344C">
      <w:pPr>
        <w:spacing w:line="360" w:lineRule="auto"/>
        <w:jc w:val="both"/>
        <w:rPr>
          <w:rFonts w:ascii="Arial" w:hAnsi="Arial" w:cs="Arial"/>
          <w:lang w:val="en-ZA"/>
        </w:rPr>
      </w:pPr>
      <w:r>
        <w:rPr>
          <w:rFonts w:ascii="Arial" w:hAnsi="Arial" w:cs="Arial"/>
          <w:lang w:val="en-ZA"/>
        </w:rPr>
        <w:t>[</w:t>
      </w:r>
      <w:r w:rsidR="00EE774E">
        <w:rPr>
          <w:rFonts w:ascii="Arial" w:hAnsi="Arial" w:cs="Arial"/>
          <w:lang w:val="en-ZA"/>
        </w:rPr>
        <w:t>13</w:t>
      </w:r>
      <w:r>
        <w:rPr>
          <w:rFonts w:ascii="Arial" w:hAnsi="Arial" w:cs="Arial"/>
          <w:lang w:val="en-ZA"/>
        </w:rPr>
        <w:t xml:space="preserve">]   Chief Inspector Zachariah Amakali attended the scene </w:t>
      </w:r>
      <w:r w:rsidR="00EE774E">
        <w:rPr>
          <w:rFonts w:ascii="Arial" w:hAnsi="Arial" w:cs="Arial"/>
          <w:lang w:val="en-ZA"/>
        </w:rPr>
        <w:t xml:space="preserve">that same night </w:t>
      </w:r>
      <w:r>
        <w:rPr>
          <w:rFonts w:ascii="Arial" w:hAnsi="Arial" w:cs="Arial"/>
          <w:lang w:val="en-ZA"/>
        </w:rPr>
        <w:t xml:space="preserve">and observed several bullet holes in the </w:t>
      </w:r>
      <w:r w:rsidR="009302DD">
        <w:rPr>
          <w:rFonts w:ascii="Arial" w:hAnsi="Arial" w:cs="Arial"/>
          <w:lang w:val="en-ZA"/>
        </w:rPr>
        <w:t>body of the deceased’s vehicle. Ther</w:t>
      </w:r>
      <w:r>
        <w:rPr>
          <w:rFonts w:ascii="Arial" w:hAnsi="Arial" w:cs="Arial"/>
          <w:lang w:val="en-ZA"/>
        </w:rPr>
        <w:t xml:space="preserve">e were </w:t>
      </w:r>
      <w:r w:rsidR="009302DD">
        <w:rPr>
          <w:rFonts w:ascii="Arial" w:hAnsi="Arial" w:cs="Arial"/>
          <w:lang w:val="en-ZA"/>
        </w:rPr>
        <w:t xml:space="preserve">holes </w:t>
      </w:r>
      <w:r>
        <w:rPr>
          <w:rFonts w:ascii="Arial" w:hAnsi="Arial" w:cs="Arial"/>
          <w:lang w:val="en-ZA"/>
        </w:rPr>
        <w:t>in the window and door of the driver</w:t>
      </w:r>
      <w:r w:rsidR="00540617">
        <w:rPr>
          <w:rFonts w:ascii="Arial" w:hAnsi="Arial" w:cs="Arial"/>
          <w:lang w:val="en-ZA"/>
        </w:rPr>
        <w:t>;</w:t>
      </w:r>
      <w:r>
        <w:rPr>
          <w:rFonts w:ascii="Arial" w:hAnsi="Arial" w:cs="Arial"/>
          <w:lang w:val="en-ZA"/>
        </w:rPr>
        <w:t xml:space="preserve"> the rear door and window on the </w:t>
      </w:r>
      <w:r w:rsidR="00540617">
        <w:rPr>
          <w:rFonts w:ascii="Arial" w:hAnsi="Arial" w:cs="Arial"/>
          <w:lang w:val="en-ZA"/>
        </w:rPr>
        <w:t>right side; and one hole in</w:t>
      </w:r>
      <w:r>
        <w:rPr>
          <w:rFonts w:ascii="Arial" w:hAnsi="Arial" w:cs="Arial"/>
          <w:lang w:val="en-ZA"/>
        </w:rPr>
        <w:t xml:space="preserve"> the driver’s seat as depicted in photo 16 of the photo plan. After the body was removed he proceeded to the place of the actual shooting where 9 spent cartridges were collected. The front wheel of the Discovery was flat and seized for purposes of investigation</w:t>
      </w:r>
      <w:r w:rsidR="009302DD">
        <w:rPr>
          <w:rFonts w:ascii="Arial" w:hAnsi="Arial" w:cs="Arial"/>
          <w:lang w:val="en-ZA"/>
        </w:rPr>
        <w:t xml:space="preserve"> and from which a spent projectile was retrieved</w:t>
      </w:r>
      <w:r>
        <w:rPr>
          <w:rFonts w:ascii="Arial" w:hAnsi="Arial" w:cs="Arial"/>
          <w:lang w:val="en-ZA"/>
        </w:rPr>
        <w:t>.</w:t>
      </w:r>
    </w:p>
    <w:p w:rsidR="00187379" w:rsidRDefault="00187379" w:rsidP="006B344C">
      <w:pPr>
        <w:spacing w:line="360" w:lineRule="auto"/>
        <w:jc w:val="both"/>
        <w:rPr>
          <w:rFonts w:ascii="Arial" w:hAnsi="Arial" w:cs="Arial"/>
          <w:lang w:val="en-ZA"/>
        </w:rPr>
      </w:pPr>
    </w:p>
    <w:p w:rsidR="00BB1FDB" w:rsidRDefault="00187379" w:rsidP="006B344C">
      <w:pPr>
        <w:spacing w:line="360" w:lineRule="auto"/>
        <w:jc w:val="both"/>
        <w:rPr>
          <w:rFonts w:ascii="Arial" w:hAnsi="Arial" w:cs="Arial"/>
          <w:lang w:val="en-ZA"/>
        </w:rPr>
      </w:pPr>
      <w:r>
        <w:rPr>
          <w:rFonts w:ascii="Arial" w:hAnsi="Arial" w:cs="Arial"/>
          <w:lang w:val="en-ZA"/>
        </w:rPr>
        <w:t>[</w:t>
      </w:r>
      <w:r w:rsidR="009302DD">
        <w:rPr>
          <w:rFonts w:ascii="Arial" w:hAnsi="Arial" w:cs="Arial"/>
          <w:lang w:val="en-ZA"/>
        </w:rPr>
        <w:t>14</w:t>
      </w:r>
      <w:r>
        <w:rPr>
          <w:rFonts w:ascii="Arial" w:hAnsi="Arial" w:cs="Arial"/>
          <w:lang w:val="en-ZA"/>
        </w:rPr>
        <w:t xml:space="preserve">]   The following day he was provided with the name of the accused and a lady who </w:t>
      </w:r>
      <w:r w:rsidR="009302DD">
        <w:rPr>
          <w:rFonts w:ascii="Arial" w:hAnsi="Arial" w:cs="Arial"/>
          <w:lang w:val="en-ZA"/>
        </w:rPr>
        <w:t xml:space="preserve">allegedly </w:t>
      </w:r>
      <w:r>
        <w:rPr>
          <w:rFonts w:ascii="Arial" w:hAnsi="Arial" w:cs="Arial"/>
          <w:lang w:val="en-ZA"/>
        </w:rPr>
        <w:t>was with the suspect at the relevant time</w:t>
      </w:r>
      <w:r w:rsidR="00D555BC">
        <w:rPr>
          <w:rFonts w:ascii="Arial" w:hAnsi="Arial" w:cs="Arial"/>
          <w:lang w:val="en-ZA"/>
        </w:rPr>
        <w:t>. He subsequently interviewed</w:t>
      </w:r>
      <w:r w:rsidR="000556C4">
        <w:rPr>
          <w:rFonts w:ascii="Arial" w:hAnsi="Arial" w:cs="Arial"/>
          <w:lang w:val="en-ZA"/>
        </w:rPr>
        <w:t xml:space="preserve"> Fenola</w:t>
      </w:r>
      <w:r>
        <w:rPr>
          <w:rFonts w:ascii="Arial" w:hAnsi="Arial" w:cs="Arial"/>
          <w:lang w:val="en-ZA"/>
        </w:rPr>
        <w:t xml:space="preserve"> Felix and obtained a statement from her w</w:t>
      </w:r>
      <w:r w:rsidR="000556C4">
        <w:rPr>
          <w:rFonts w:ascii="Arial" w:hAnsi="Arial" w:cs="Arial"/>
          <w:lang w:val="en-ZA"/>
        </w:rPr>
        <w:t>here after they proceeded to the accused’s</w:t>
      </w:r>
      <w:r>
        <w:rPr>
          <w:rFonts w:ascii="Arial" w:hAnsi="Arial" w:cs="Arial"/>
          <w:lang w:val="en-ZA"/>
        </w:rPr>
        <w:t xml:space="preserve"> house</w:t>
      </w:r>
      <w:r w:rsidR="000556C4" w:rsidRPr="000556C4">
        <w:rPr>
          <w:rFonts w:ascii="Arial" w:hAnsi="Arial" w:cs="Arial"/>
          <w:lang w:val="en-ZA"/>
        </w:rPr>
        <w:t xml:space="preserve"> </w:t>
      </w:r>
      <w:r w:rsidR="009302DD">
        <w:rPr>
          <w:rFonts w:ascii="Arial" w:hAnsi="Arial" w:cs="Arial"/>
          <w:lang w:val="en-ZA"/>
        </w:rPr>
        <w:t>in Hochland Park wher</w:t>
      </w:r>
      <w:r w:rsidR="006012AE">
        <w:rPr>
          <w:rFonts w:ascii="Arial" w:hAnsi="Arial" w:cs="Arial"/>
          <w:lang w:val="en-ZA"/>
        </w:rPr>
        <w:t>e</w:t>
      </w:r>
      <w:r w:rsidR="000556C4">
        <w:rPr>
          <w:rFonts w:ascii="Arial" w:hAnsi="Arial" w:cs="Arial"/>
          <w:lang w:val="en-ZA"/>
        </w:rPr>
        <w:t xml:space="preserve"> n</w:t>
      </w:r>
      <w:r>
        <w:rPr>
          <w:rFonts w:ascii="Arial" w:hAnsi="Arial" w:cs="Arial"/>
          <w:lang w:val="en-ZA"/>
        </w:rPr>
        <w:t xml:space="preserve">either the accused nor the Polo </w:t>
      </w:r>
      <w:r w:rsidR="009302DD">
        <w:rPr>
          <w:rFonts w:ascii="Arial" w:hAnsi="Arial" w:cs="Arial"/>
          <w:lang w:val="en-ZA"/>
        </w:rPr>
        <w:t>could be found</w:t>
      </w:r>
      <w:r>
        <w:rPr>
          <w:rFonts w:ascii="Arial" w:hAnsi="Arial" w:cs="Arial"/>
          <w:lang w:val="en-ZA"/>
        </w:rPr>
        <w:t xml:space="preserve">. </w:t>
      </w:r>
    </w:p>
    <w:p w:rsidR="00BB1FDB" w:rsidRDefault="00BB1FDB" w:rsidP="006B344C">
      <w:pPr>
        <w:spacing w:line="360" w:lineRule="auto"/>
        <w:jc w:val="both"/>
        <w:rPr>
          <w:rFonts w:ascii="Arial" w:hAnsi="Arial" w:cs="Arial"/>
          <w:lang w:val="en-ZA"/>
        </w:rPr>
      </w:pPr>
    </w:p>
    <w:p w:rsidR="00540617" w:rsidRDefault="00BB1FDB" w:rsidP="006B344C">
      <w:pPr>
        <w:spacing w:line="360" w:lineRule="auto"/>
        <w:jc w:val="both"/>
        <w:rPr>
          <w:rFonts w:ascii="Arial" w:hAnsi="Arial" w:cs="Arial"/>
          <w:lang w:val="en-ZA"/>
        </w:rPr>
      </w:pPr>
      <w:r>
        <w:rPr>
          <w:rFonts w:ascii="Arial" w:hAnsi="Arial" w:cs="Arial"/>
          <w:lang w:val="en-ZA"/>
        </w:rPr>
        <w:t>[</w:t>
      </w:r>
      <w:r w:rsidR="009302DD">
        <w:rPr>
          <w:rFonts w:ascii="Arial" w:hAnsi="Arial" w:cs="Arial"/>
          <w:lang w:val="en-ZA"/>
        </w:rPr>
        <w:t>15</w:t>
      </w:r>
      <w:r>
        <w:rPr>
          <w:rFonts w:ascii="Arial" w:hAnsi="Arial" w:cs="Arial"/>
          <w:lang w:val="en-ZA"/>
        </w:rPr>
        <w:t xml:space="preserve">]   </w:t>
      </w:r>
      <w:r w:rsidR="009302DD">
        <w:rPr>
          <w:rFonts w:ascii="Arial" w:hAnsi="Arial" w:cs="Arial"/>
          <w:lang w:val="en-ZA"/>
        </w:rPr>
        <w:t xml:space="preserve">It is also common ground that </w:t>
      </w:r>
      <w:r>
        <w:rPr>
          <w:rFonts w:ascii="Arial" w:hAnsi="Arial" w:cs="Arial"/>
          <w:lang w:val="en-ZA"/>
        </w:rPr>
        <w:t xml:space="preserve">Sergeant Nakangombe on the morning of </w:t>
      </w:r>
      <w:r w:rsidR="009302DD">
        <w:rPr>
          <w:rFonts w:ascii="Arial" w:hAnsi="Arial" w:cs="Arial"/>
          <w:lang w:val="en-ZA"/>
        </w:rPr>
        <w:t xml:space="preserve">Tuesday </w:t>
      </w:r>
      <w:r>
        <w:rPr>
          <w:rFonts w:ascii="Arial" w:hAnsi="Arial" w:cs="Arial"/>
          <w:lang w:val="en-ZA"/>
        </w:rPr>
        <w:t>the 11</w:t>
      </w:r>
      <w:r w:rsidRPr="00BB1FDB">
        <w:rPr>
          <w:rFonts w:ascii="Arial" w:hAnsi="Arial" w:cs="Arial"/>
          <w:vertAlign w:val="superscript"/>
          <w:lang w:val="en-ZA"/>
        </w:rPr>
        <w:t>th</w:t>
      </w:r>
      <w:r w:rsidR="009302DD">
        <w:rPr>
          <w:rFonts w:ascii="Arial" w:hAnsi="Arial" w:cs="Arial"/>
          <w:lang w:val="en-ZA"/>
        </w:rPr>
        <w:t xml:space="preserve"> of August 2015</w:t>
      </w:r>
      <w:r>
        <w:rPr>
          <w:rFonts w:ascii="Arial" w:hAnsi="Arial" w:cs="Arial"/>
          <w:lang w:val="en-ZA"/>
        </w:rPr>
        <w:t xml:space="preserve"> received</w:t>
      </w:r>
      <w:r w:rsidR="00187379">
        <w:rPr>
          <w:rFonts w:ascii="Arial" w:hAnsi="Arial" w:cs="Arial"/>
          <w:lang w:val="en-ZA"/>
        </w:rPr>
        <w:t xml:space="preserve"> information as to the whereabouts of</w:t>
      </w:r>
      <w:r>
        <w:rPr>
          <w:rFonts w:ascii="Arial" w:hAnsi="Arial" w:cs="Arial"/>
          <w:lang w:val="en-ZA"/>
        </w:rPr>
        <w:t xml:space="preserve"> the accused wh</w:t>
      </w:r>
      <w:r w:rsidR="009302DD">
        <w:rPr>
          <w:rFonts w:ascii="Arial" w:hAnsi="Arial" w:cs="Arial"/>
          <w:lang w:val="en-ZA"/>
        </w:rPr>
        <w:t>ich led to his arrest at the</w:t>
      </w:r>
      <w:r>
        <w:rPr>
          <w:rFonts w:ascii="Arial" w:hAnsi="Arial" w:cs="Arial"/>
          <w:lang w:val="en-ZA"/>
        </w:rPr>
        <w:t xml:space="preserve"> house </w:t>
      </w:r>
      <w:r w:rsidR="009302DD">
        <w:rPr>
          <w:rFonts w:ascii="Arial" w:hAnsi="Arial" w:cs="Arial"/>
          <w:lang w:val="en-ZA"/>
        </w:rPr>
        <w:t xml:space="preserve">of an uncle of his situated </w:t>
      </w:r>
      <w:r>
        <w:rPr>
          <w:rFonts w:ascii="Arial" w:hAnsi="Arial" w:cs="Arial"/>
          <w:lang w:val="en-ZA"/>
        </w:rPr>
        <w:t>in Windhoek North. It is not disputed that the accused decided to turn himself in.</w:t>
      </w:r>
    </w:p>
    <w:p w:rsidR="00BB1FDB" w:rsidRDefault="00BB1FDB" w:rsidP="006B344C">
      <w:pPr>
        <w:spacing w:line="360" w:lineRule="auto"/>
        <w:jc w:val="both"/>
        <w:rPr>
          <w:rFonts w:ascii="Arial" w:hAnsi="Arial" w:cs="Arial"/>
          <w:lang w:val="en-ZA"/>
        </w:rPr>
      </w:pPr>
    </w:p>
    <w:p w:rsidR="00540617" w:rsidRDefault="00540617" w:rsidP="006B344C">
      <w:pPr>
        <w:spacing w:line="360" w:lineRule="auto"/>
        <w:jc w:val="both"/>
        <w:rPr>
          <w:rFonts w:ascii="Arial" w:hAnsi="Arial" w:cs="Arial"/>
          <w:lang w:val="en-ZA"/>
        </w:rPr>
      </w:pPr>
      <w:r>
        <w:rPr>
          <w:rFonts w:ascii="Arial" w:hAnsi="Arial" w:cs="Arial"/>
          <w:lang w:val="en-ZA"/>
        </w:rPr>
        <w:t>[</w:t>
      </w:r>
      <w:r w:rsidR="00EF7D73">
        <w:rPr>
          <w:rFonts w:ascii="Arial" w:hAnsi="Arial" w:cs="Arial"/>
          <w:lang w:val="en-ZA"/>
        </w:rPr>
        <w:t>16</w:t>
      </w:r>
      <w:r>
        <w:rPr>
          <w:rFonts w:ascii="Arial" w:hAnsi="Arial" w:cs="Arial"/>
          <w:lang w:val="en-ZA"/>
        </w:rPr>
        <w:t xml:space="preserve">]   </w:t>
      </w:r>
      <w:r w:rsidR="00BB1FDB">
        <w:rPr>
          <w:rFonts w:ascii="Arial" w:hAnsi="Arial" w:cs="Arial"/>
          <w:lang w:val="en-ZA"/>
        </w:rPr>
        <w:t>Warrant Officer Nghinamundova from the Serious Crime Unit in the Khomas Region is the investigating officer and his testimony m</w:t>
      </w:r>
      <w:r w:rsidR="00E57E90">
        <w:rPr>
          <w:rFonts w:ascii="Arial" w:hAnsi="Arial" w:cs="Arial"/>
          <w:lang w:val="en-ZA"/>
        </w:rPr>
        <w:t>ainly turns on the collection of evidence on</w:t>
      </w:r>
      <w:r w:rsidR="00EF7D73">
        <w:rPr>
          <w:rFonts w:ascii="Arial" w:hAnsi="Arial" w:cs="Arial"/>
          <w:lang w:val="en-ZA"/>
        </w:rPr>
        <w:t xml:space="preserve"> the crime scene and that</w:t>
      </w:r>
      <w:r w:rsidR="00E57E90">
        <w:rPr>
          <w:rFonts w:ascii="Arial" w:hAnsi="Arial" w:cs="Arial"/>
          <w:lang w:val="en-ZA"/>
        </w:rPr>
        <w:t xml:space="preserve"> he attended the</w:t>
      </w:r>
      <w:r w:rsidR="00BB1FDB">
        <w:rPr>
          <w:rFonts w:ascii="Arial" w:hAnsi="Arial" w:cs="Arial"/>
          <w:lang w:val="en-ZA"/>
        </w:rPr>
        <w:t xml:space="preserve"> a</w:t>
      </w:r>
      <w:r w:rsidR="00E57E90">
        <w:rPr>
          <w:rFonts w:ascii="Arial" w:hAnsi="Arial" w:cs="Arial"/>
          <w:lang w:val="en-ZA"/>
        </w:rPr>
        <w:t>utopsy conducted by Dr Vasin</w:t>
      </w:r>
      <w:r w:rsidR="00EF7D73">
        <w:rPr>
          <w:rFonts w:ascii="Arial" w:hAnsi="Arial" w:cs="Arial"/>
          <w:lang w:val="en-ZA"/>
        </w:rPr>
        <w:t>.</w:t>
      </w:r>
      <w:r w:rsidR="00E57E90">
        <w:rPr>
          <w:rFonts w:ascii="Arial" w:hAnsi="Arial" w:cs="Arial"/>
          <w:lang w:val="en-ZA"/>
        </w:rPr>
        <w:t xml:space="preserve"> </w:t>
      </w:r>
      <w:r w:rsidR="00EF7D73">
        <w:rPr>
          <w:rFonts w:ascii="Arial" w:hAnsi="Arial" w:cs="Arial"/>
          <w:lang w:val="en-ZA"/>
        </w:rPr>
        <w:t>H</w:t>
      </w:r>
      <w:r w:rsidR="008B50A6">
        <w:rPr>
          <w:rFonts w:ascii="Arial" w:hAnsi="Arial" w:cs="Arial"/>
          <w:lang w:val="en-ZA"/>
        </w:rPr>
        <w:t xml:space="preserve">e </w:t>
      </w:r>
      <w:r w:rsidR="00EF7D73">
        <w:rPr>
          <w:rFonts w:ascii="Arial" w:hAnsi="Arial" w:cs="Arial"/>
          <w:lang w:val="en-ZA"/>
        </w:rPr>
        <w:t xml:space="preserve">also </w:t>
      </w:r>
      <w:r w:rsidR="008B50A6">
        <w:rPr>
          <w:rFonts w:ascii="Arial" w:hAnsi="Arial" w:cs="Arial"/>
          <w:lang w:val="en-ZA"/>
        </w:rPr>
        <w:t>received</w:t>
      </w:r>
      <w:r w:rsidR="00BB1FDB">
        <w:rPr>
          <w:rFonts w:ascii="Arial" w:hAnsi="Arial" w:cs="Arial"/>
          <w:lang w:val="en-ZA"/>
        </w:rPr>
        <w:t xml:space="preserve"> a projectile retrieved from </w:t>
      </w:r>
      <w:r w:rsidR="00BB1FDB">
        <w:rPr>
          <w:rFonts w:ascii="Arial" w:hAnsi="Arial" w:cs="Arial"/>
          <w:lang w:val="en-ZA"/>
        </w:rPr>
        <w:lastRenderedPageBreak/>
        <w:t>the deceased</w:t>
      </w:r>
      <w:r w:rsidR="002533E3">
        <w:rPr>
          <w:rFonts w:ascii="Arial" w:hAnsi="Arial" w:cs="Arial"/>
          <w:lang w:val="en-ZA"/>
        </w:rPr>
        <w:t>’s body</w:t>
      </w:r>
      <w:r w:rsidR="00EF7D73" w:rsidRPr="00EF7D73">
        <w:rPr>
          <w:rFonts w:ascii="Arial" w:hAnsi="Arial" w:cs="Arial"/>
          <w:lang w:val="en-ZA"/>
        </w:rPr>
        <w:t xml:space="preserve"> </w:t>
      </w:r>
      <w:r w:rsidR="00EF7D73">
        <w:rPr>
          <w:rFonts w:ascii="Arial" w:hAnsi="Arial" w:cs="Arial"/>
          <w:lang w:val="en-ZA"/>
        </w:rPr>
        <w:t>from the pathologist</w:t>
      </w:r>
      <w:r w:rsidR="002533E3">
        <w:rPr>
          <w:rFonts w:ascii="Arial" w:hAnsi="Arial" w:cs="Arial"/>
          <w:lang w:val="en-ZA"/>
        </w:rPr>
        <w:t>. All these</w:t>
      </w:r>
      <w:r w:rsidR="008B50A6">
        <w:rPr>
          <w:rFonts w:ascii="Arial" w:hAnsi="Arial" w:cs="Arial"/>
          <w:lang w:val="en-ZA"/>
        </w:rPr>
        <w:t>,</w:t>
      </w:r>
      <w:r w:rsidR="002533E3">
        <w:rPr>
          <w:rFonts w:ascii="Arial" w:hAnsi="Arial" w:cs="Arial"/>
          <w:lang w:val="en-ZA"/>
        </w:rPr>
        <w:t xml:space="preserve"> together with the Glock pistol surrendered by the accused</w:t>
      </w:r>
      <w:r w:rsidR="008B50A6">
        <w:rPr>
          <w:rFonts w:ascii="Arial" w:hAnsi="Arial" w:cs="Arial"/>
          <w:lang w:val="en-ZA"/>
        </w:rPr>
        <w:t>,</w:t>
      </w:r>
      <w:r w:rsidR="002533E3">
        <w:rPr>
          <w:rFonts w:ascii="Arial" w:hAnsi="Arial" w:cs="Arial"/>
          <w:lang w:val="en-ZA"/>
        </w:rPr>
        <w:t xml:space="preserve"> were forwarded to the National Forensic Science Institute for forensic examination. The outcome showed that the spent cartridges (9) found at the scene were fired from the </w:t>
      </w:r>
      <w:r w:rsidR="008B50A6">
        <w:rPr>
          <w:rFonts w:ascii="Arial" w:hAnsi="Arial" w:cs="Arial"/>
          <w:lang w:val="en-ZA"/>
        </w:rPr>
        <w:t xml:space="preserve">same </w:t>
      </w:r>
      <w:r w:rsidR="002533E3">
        <w:rPr>
          <w:rFonts w:ascii="Arial" w:hAnsi="Arial" w:cs="Arial"/>
          <w:lang w:val="en-ZA"/>
        </w:rPr>
        <w:t>pistol – this was not disputed evidence as the accused throug</w:t>
      </w:r>
      <w:r w:rsidR="00EF7D73">
        <w:rPr>
          <w:rFonts w:ascii="Arial" w:hAnsi="Arial" w:cs="Arial"/>
          <w:lang w:val="en-ZA"/>
        </w:rPr>
        <w:t>hout admitted having fired the</w:t>
      </w:r>
      <w:r w:rsidR="002533E3">
        <w:rPr>
          <w:rFonts w:ascii="Arial" w:hAnsi="Arial" w:cs="Arial"/>
          <w:lang w:val="en-ZA"/>
        </w:rPr>
        <w:t xml:space="preserve"> shots.</w:t>
      </w:r>
    </w:p>
    <w:p w:rsidR="002533E3" w:rsidRDefault="002533E3" w:rsidP="006B344C">
      <w:pPr>
        <w:spacing w:line="360" w:lineRule="auto"/>
        <w:jc w:val="both"/>
        <w:rPr>
          <w:rFonts w:ascii="Arial" w:hAnsi="Arial" w:cs="Arial"/>
          <w:lang w:val="en-ZA"/>
        </w:rPr>
      </w:pPr>
    </w:p>
    <w:p w:rsidR="002533E3" w:rsidRDefault="002533E3" w:rsidP="006B344C">
      <w:pPr>
        <w:spacing w:line="360" w:lineRule="auto"/>
        <w:jc w:val="both"/>
        <w:rPr>
          <w:rFonts w:ascii="Arial" w:hAnsi="Arial" w:cs="Arial"/>
          <w:lang w:val="en-ZA"/>
        </w:rPr>
      </w:pPr>
      <w:r>
        <w:rPr>
          <w:rFonts w:ascii="Arial" w:hAnsi="Arial" w:cs="Arial"/>
          <w:lang w:val="en-ZA"/>
        </w:rPr>
        <w:t>[</w:t>
      </w:r>
      <w:r w:rsidR="00EF7D73">
        <w:rPr>
          <w:rFonts w:ascii="Arial" w:hAnsi="Arial" w:cs="Arial"/>
          <w:lang w:val="en-ZA"/>
        </w:rPr>
        <w:t>17</w:t>
      </w:r>
      <w:r>
        <w:rPr>
          <w:rFonts w:ascii="Arial" w:hAnsi="Arial" w:cs="Arial"/>
          <w:lang w:val="en-ZA"/>
        </w:rPr>
        <w:t xml:space="preserve">]   When questioned </w:t>
      </w:r>
      <w:r w:rsidR="00EF7D73">
        <w:rPr>
          <w:rFonts w:ascii="Arial" w:hAnsi="Arial" w:cs="Arial"/>
          <w:lang w:val="en-ZA"/>
        </w:rPr>
        <w:t xml:space="preserve">subsequent to his arrest </w:t>
      </w:r>
      <w:r>
        <w:rPr>
          <w:rFonts w:ascii="Arial" w:hAnsi="Arial" w:cs="Arial"/>
          <w:lang w:val="en-ZA"/>
        </w:rPr>
        <w:t xml:space="preserve">as to the whereabouts of the Polo vehicle </w:t>
      </w:r>
      <w:r w:rsidR="00EF7D73">
        <w:rPr>
          <w:rFonts w:ascii="Arial" w:hAnsi="Arial" w:cs="Arial"/>
          <w:lang w:val="en-ZA"/>
        </w:rPr>
        <w:t>he was driving on the night in question, he</w:t>
      </w:r>
      <w:r w:rsidR="008B50A6">
        <w:rPr>
          <w:rFonts w:ascii="Arial" w:hAnsi="Arial" w:cs="Arial"/>
          <w:lang w:val="en-ZA"/>
        </w:rPr>
        <w:t xml:space="preserve"> told the police that</w:t>
      </w:r>
      <w:r>
        <w:rPr>
          <w:rFonts w:ascii="Arial" w:hAnsi="Arial" w:cs="Arial"/>
          <w:lang w:val="en-ZA"/>
        </w:rPr>
        <w:t xml:space="preserve"> it was parked at a house in Khomasdal where his 16 year old son was living with his </w:t>
      </w:r>
      <w:r w:rsidR="00EF7D73">
        <w:rPr>
          <w:rFonts w:ascii="Arial" w:hAnsi="Arial" w:cs="Arial"/>
          <w:lang w:val="en-ZA"/>
        </w:rPr>
        <w:t xml:space="preserve">biological </w:t>
      </w:r>
      <w:r>
        <w:rPr>
          <w:rFonts w:ascii="Arial" w:hAnsi="Arial" w:cs="Arial"/>
          <w:lang w:val="en-ZA"/>
        </w:rPr>
        <w:t xml:space="preserve">mother. The vehicle was found parked behind the house with the registration plates and licence disk removed from the car. The registration plates were </w:t>
      </w:r>
      <w:r w:rsidR="008B50A6">
        <w:rPr>
          <w:rFonts w:ascii="Arial" w:hAnsi="Arial" w:cs="Arial"/>
          <w:lang w:val="en-ZA"/>
        </w:rPr>
        <w:t xml:space="preserve">found </w:t>
      </w:r>
      <w:r>
        <w:rPr>
          <w:rFonts w:ascii="Arial" w:hAnsi="Arial" w:cs="Arial"/>
          <w:lang w:val="en-ZA"/>
        </w:rPr>
        <w:t>on the rear seat while the disc was in a storage compartment below the dashboard. The vehicle was not visible from the street</w:t>
      </w:r>
      <w:r w:rsidR="005F7257">
        <w:rPr>
          <w:rFonts w:ascii="Arial" w:hAnsi="Arial" w:cs="Arial"/>
          <w:lang w:val="en-ZA"/>
        </w:rPr>
        <w:t xml:space="preserve"> and was parked with its rear end against the boundary wall. The scene was photographed and photos handed into evidence, </w:t>
      </w:r>
      <w:r w:rsidR="00EF7D73">
        <w:rPr>
          <w:rFonts w:ascii="Arial" w:hAnsi="Arial" w:cs="Arial"/>
          <w:lang w:val="en-ZA"/>
        </w:rPr>
        <w:t>depicting</w:t>
      </w:r>
      <w:r w:rsidR="005F7257">
        <w:rPr>
          <w:rFonts w:ascii="Arial" w:hAnsi="Arial" w:cs="Arial"/>
          <w:lang w:val="en-ZA"/>
        </w:rPr>
        <w:t xml:space="preserve"> the circumstances under which the vehicle was found.</w:t>
      </w:r>
    </w:p>
    <w:p w:rsidR="00E57E90" w:rsidRDefault="00E57E90" w:rsidP="006B344C">
      <w:pPr>
        <w:spacing w:line="360" w:lineRule="auto"/>
        <w:jc w:val="both"/>
        <w:rPr>
          <w:rFonts w:ascii="Arial" w:hAnsi="Arial" w:cs="Arial"/>
          <w:lang w:val="en-ZA"/>
        </w:rPr>
      </w:pPr>
    </w:p>
    <w:p w:rsidR="006F1305" w:rsidRDefault="00E57E90" w:rsidP="006B344C">
      <w:pPr>
        <w:spacing w:line="360" w:lineRule="auto"/>
        <w:jc w:val="both"/>
        <w:rPr>
          <w:rFonts w:ascii="Arial" w:hAnsi="Arial" w:cs="Arial"/>
          <w:lang w:val="en-ZA"/>
        </w:rPr>
      </w:pPr>
      <w:r>
        <w:rPr>
          <w:rFonts w:ascii="Arial" w:hAnsi="Arial" w:cs="Arial"/>
          <w:lang w:val="en-ZA"/>
        </w:rPr>
        <w:t>[</w:t>
      </w:r>
      <w:r w:rsidR="00EF7D73">
        <w:rPr>
          <w:rFonts w:ascii="Arial" w:hAnsi="Arial" w:cs="Arial"/>
          <w:lang w:val="en-ZA"/>
        </w:rPr>
        <w:t>18</w:t>
      </w:r>
      <w:r>
        <w:rPr>
          <w:rFonts w:ascii="Arial" w:hAnsi="Arial" w:cs="Arial"/>
          <w:lang w:val="en-ZA"/>
        </w:rPr>
        <w:t>]   Mr William Nambahu is a forensic expert on ballistics and formerly</w:t>
      </w:r>
      <w:r>
        <w:rPr>
          <w:rStyle w:val="FootnoteReference"/>
          <w:rFonts w:ascii="Arial" w:hAnsi="Arial" w:cs="Arial"/>
          <w:lang w:val="en-ZA"/>
        </w:rPr>
        <w:footnoteReference w:id="1"/>
      </w:r>
      <w:r>
        <w:rPr>
          <w:rFonts w:ascii="Arial" w:hAnsi="Arial" w:cs="Arial"/>
          <w:lang w:val="en-ZA"/>
        </w:rPr>
        <w:t xml:space="preserve"> attached to the National Forensic Science Institute of Namibia</w:t>
      </w:r>
      <w:r w:rsidR="00752AAE">
        <w:rPr>
          <w:rFonts w:ascii="Arial" w:hAnsi="Arial" w:cs="Arial"/>
          <w:lang w:val="en-ZA"/>
        </w:rPr>
        <w:t>. He examined exhibits relating to the firearm, spent cartridges and projectiles forwarded in this case to the NFSI for forensic analysis and noted his findings in two reports</w:t>
      </w:r>
      <w:r>
        <w:rPr>
          <w:rFonts w:ascii="Arial" w:hAnsi="Arial" w:cs="Arial"/>
          <w:lang w:val="en-ZA"/>
        </w:rPr>
        <w:t xml:space="preserve"> </w:t>
      </w:r>
      <w:r w:rsidR="00752AAE">
        <w:rPr>
          <w:rFonts w:ascii="Arial" w:hAnsi="Arial" w:cs="Arial"/>
          <w:lang w:val="en-ZA"/>
        </w:rPr>
        <w:t>handed into evidence.</w:t>
      </w:r>
      <w:r w:rsidR="00EF7D73">
        <w:rPr>
          <w:rStyle w:val="FootnoteReference"/>
          <w:rFonts w:ascii="Arial" w:hAnsi="Arial" w:cs="Arial"/>
          <w:lang w:val="en-ZA"/>
        </w:rPr>
        <w:footnoteReference w:id="2"/>
      </w:r>
      <w:r w:rsidR="006F1305">
        <w:rPr>
          <w:rFonts w:ascii="Arial" w:hAnsi="Arial" w:cs="Arial"/>
          <w:lang w:val="en-ZA"/>
        </w:rPr>
        <w:t xml:space="preserve"> Regarding the pistol with serial no BBA 098 the examination presented the following findings: </w:t>
      </w:r>
    </w:p>
    <w:p w:rsidR="006F1305" w:rsidRDefault="006F1305" w:rsidP="006B344C">
      <w:pPr>
        <w:spacing w:line="360" w:lineRule="auto"/>
        <w:jc w:val="both"/>
        <w:rPr>
          <w:rFonts w:ascii="Arial" w:hAnsi="Arial" w:cs="Arial"/>
          <w:lang w:val="en-ZA"/>
        </w:rPr>
      </w:pPr>
    </w:p>
    <w:p w:rsidR="00E57E90" w:rsidRDefault="00EF7D73" w:rsidP="006B344C">
      <w:pPr>
        <w:spacing w:line="360" w:lineRule="auto"/>
        <w:jc w:val="both"/>
        <w:rPr>
          <w:rFonts w:ascii="Arial" w:hAnsi="Arial" w:cs="Arial"/>
          <w:lang w:val="en-ZA"/>
        </w:rPr>
      </w:pPr>
      <w:r>
        <w:rPr>
          <w:rFonts w:ascii="Arial" w:hAnsi="Arial" w:cs="Arial"/>
          <w:lang w:val="en-ZA"/>
        </w:rPr>
        <w:tab/>
      </w:r>
      <w:r w:rsidR="006F1305">
        <w:rPr>
          <w:rFonts w:ascii="Arial" w:hAnsi="Arial" w:cs="Arial"/>
          <w:lang w:val="en-ZA"/>
        </w:rPr>
        <w:t>The firearm was in working condition and found to be self-loading and a semi-automatic pistol which required that the trigger mechanism must be released and pressed again before the next shot can be fired. Once the fired cartridge is ejected it will automatically reload from the magazine w</w:t>
      </w:r>
      <w:r w:rsidR="008B50A6">
        <w:rPr>
          <w:rFonts w:ascii="Arial" w:hAnsi="Arial" w:cs="Arial"/>
          <w:lang w:val="en-ZA"/>
        </w:rPr>
        <w:t>ith</w:t>
      </w:r>
      <w:r w:rsidR="006F1305">
        <w:rPr>
          <w:rFonts w:ascii="Arial" w:hAnsi="Arial" w:cs="Arial"/>
          <w:lang w:val="en-ZA"/>
        </w:rPr>
        <w:t xml:space="preserve"> a capacity of 16 rounds. The measure of force to the trigger mechanism </w:t>
      </w:r>
      <w:r w:rsidR="006F1305">
        <w:rPr>
          <w:rFonts w:ascii="Arial" w:hAnsi="Arial" w:cs="Arial"/>
          <w:lang w:val="en-ZA"/>
        </w:rPr>
        <w:lastRenderedPageBreak/>
        <w:t xml:space="preserve">required to </w:t>
      </w:r>
      <w:r w:rsidR="00665D20">
        <w:rPr>
          <w:rFonts w:ascii="Arial" w:hAnsi="Arial" w:cs="Arial"/>
          <w:lang w:val="en-ZA"/>
        </w:rPr>
        <w:t>fire the</w:t>
      </w:r>
      <w:r w:rsidR="006F1305">
        <w:rPr>
          <w:rFonts w:ascii="Arial" w:hAnsi="Arial" w:cs="Arial"/>
          <w:lang w:val="en-ZA"/>
        </w:rPr>
        <w:t xml:space="preserve"> pistol was found within normal range for the particular type of firearm.</w:t>
      </w:r>
    </w:p>
    <w:p w:rsidR="00665D20" w:rsidRDefault="00665D20" w:rsidP="006B344C">
      <w:pPr>
        <w:spacing w:line="360" w:lineRule="auto"/>
        <w:jc w:val="both"/>
        <w:rPr>
          <w:rFonts w:ascii="Arial" w:hAnsi="Arial" w:cs="Arial"/>
          <w:lang w:val="en-ZA"/>
        </w:rPr>
      </w:pPr>
    </w:p>
    <w:p w:rsidR="00665D20" w:rsidRDefault="00665D20" w:rsidP="006B344C">
      <w:pPr>
        <w:spacing w:line="360" w:lineRule="auto"/>
        <w:jc w:val="both"/>
        <w:rPr>
          <w:rFonts w:ascii="Arial" w:hAnsi="Arial" w:cs="Arial"/>
          <w:lang w:val="en-ZA"/>
        </w:rPr>
      </w:pPr>
      <w:r>
        <w:rPr>
          <w:rFonts w:ascii="Arial" w:hAnsi="Arial" w:cs="Arial"/>
          <w:lang w:val="en-ZA"/>
        </w:rPr>
        <w:t>[</w:t>
      </w:r>
      <w:r w:rsidR="00EF7D73">
        <w:rPr>
          <w:rFonts w:ascii="Arial" w:hAnsi="Arial" w:cs="Arial"/>
          <w:lang w:val="en-ZA"/>
        </w:rPr>
        <w:t>19</w:t>
      </w:r>
      <w:r>
        <w:rPr>
          <w:rFonts w:ascii="Arial" w:hAnsi="Arial" w:cs="Arial"/>
          <w:lang w:val="en-ZA"/>
        </w:rPr>
        <w:t>]   Regarding the 9 spent cartridges collected on the scene of crime, the examination revealed that all of them were fired from the pistol with serial no BBA 098. Two spent projectiles were not analysed as they were damaged and not suitable for examination.</w:t>
      </w:r>
    </w:p>
    <w:p w:rsidR="00665D20" w:rsidRDefault="00665D20" w:rsidP="006B344C">
      <w:pPr>
        <w:spacing w:line="360" w:lineRule="auto"/>
        <w:jc w:val="both"/>
        <w:rPr>
          <w:rFonts w:ascii="Arial" w:hAnsi="Arial" w:cs="Arial"/>
          <w:lang w:val="en-ZA"/>
        </w:rPr>
      </w:pPr>
    </w:p>
    <w:p w:rsidR="00665D20" w:rsidRDefault="00665D20" w:rsidP="006B344C">
      <w:pPr>
        <w:spacing w:line="360" w:lineRule="auto"/>
        <w:jc w:val="both"/>
        <w:rPr>
          <w:rFonts w:ascii="Arial" w:hAnsi="Arial" w:cs="Arial"/>
          <w:lang w:val="en-ZA"/>
        </w:rPr>
      </w:pPr>
      <w:r>
        <w:rPr>
          <w:rFonts w:ascii="Arial" w:hAnsi="Arial" w:cs="Arial"/>
          <w:lang w:val="en-ZA"/>
        </w:rPr>
        <w:t>[</w:t>
      </w:r>
      <w:r w:rsidR="00EF7D73">
        <w:rPr>
          <w:rFonts w:ascii="Arial" w:hAnsi="Arial" w:cs="Arial"/>
          <w:lang w:val="en-ZA"/>
        </w:rPr>
        <w:t>20</w:t>
      </w:r>
      <w:r>
        <w:rPr>
          <w:rFonts w:ascii="Arial" w:hAnsi="Arial" w:cs="Arial"/>
          <w:lang w:val="en-ZA"/>
        </w:rPr>
        <w:t xml:space="preserve">]   </w:t>
      </w:r>
      <w:r w:rsidR="00E167FC">
        <w:rPr>
          <w:rFonts w:ascii="Arial" w:hAnsi="Arial" w:cs="Arial"/>
          <w:lang w:val="en-ZA"/>
        </w:rPr>
        <w:t xml:space="preserve">These findings are consistent with evidence presented about the accused being the owner of a Glock pistol with a corresponding serial number, and him having fired 9 shots on the scene where the spent cartridges were collected from. </w:t>
      </w:r>
    </w:p>
    <w:p w:rsidR="00E167FC" w:rsidRDefault="00E167FC" w:rsidP="006B344C">
      <w:pPr>
        <w:spacing w:line="360" w:lineRule="auto"/>
        <w:jc w:val="both"/>
        <w:rPr>
          <w:rFonts w:ascii="Arial" w:hAnsi="Arial" w:cs="Arial"/>
          <w:lang w:val="en-ZA"/>
        </w:rPr>
      </w:pPr>
    </w:p>
    <w:p w:rsidR="00E167FC" w:rsidRDefault="00FA59EF" w:rsidP="006B344C">
      <w:pPr>
        <w:spacing w:line="360" w:lineRule="auto"/>
        <w:jc w:val="both"/>
        <w:rPr>
          <w:rFonts w:ascii="Arial" w:hAnsi="Arial" w:cs="Arial"/>
          <w:lang w:val="en-ZA"/>
        </w:rPr>
      </w:pPr>
      <w:r>
        <w:rPr>
          <w:rFonts w:ascii="Arial" w:hAnsi="Arial" w:cs="Arial"/>
          <w:lang w:val="en-ZA"/>
        </w:rPr>
        <w:t>[</w:t>
      </w:r>
      <w:r w:rsidR="00EF7D73">
        <w:rPr>
          <w:rFonts w:ascii="Arial" w:hAnsi="Arial" w:cs="Arial"/>
          <w:lang w:val="en-ZA"/>
        </w:rPr>
        <w:t>21</w:t>
      </w:r>
      <w:r>
        <w:rPr>
          <w:rFonts w:ascii="Arial" w:hAnsi="Arial" w:cs="Arial"/>
          <w:lang w:val="en-ZA"/>
        </w:rPr>
        <w:t>]   Mr Liswaniso, a forensic scientist attached to the NFSI, compiled a report</w:t>
      </w:r>
      <w:r>
        <w:rPr>
          <w:rStyle w:val="FootnoteReference"/>
          <w:rFonts w:ascii="Arial" w:hAnsi="Arial" w:cs="Arial"/>
          <w:lang w:val="en-ZA"/>
        </w:rPr>
        <w:footnoteReference w:id="3"/>
      </w:r>
      <w:r>
        <w:rPr>
          <w:rFonts w:ascii="Arial" w:hAnsi="Arial" w:cs="Arial"/>
          <w:lang w:val="en-ZA"/>
        </w:rPr>
        <w:t xml:space="preserve"> comprising photos taken of the Discovery vehicle driven by the deceased and which were handed into evidence by agreement.</w:t>
      </w:r>
      <w:r>
        <w:rPr>
          <w:rStyle w:val="FootnoteReference"/>
          <w:rFonts w:ascii="Arial" w:hAnsi="Arial" w:cs="Arial"/>
          <w:lang w:val="en-ZA"/>
        </w:rPr>
        <w:footnoteReference w:id="4"/>
      </w:r>
      <w:r>
        <w:rPr>
          <w:rFonts w:ascii="Arial" w:hAnsi="Arial" w:cs="Arial"/>
          <w:lang w:val="en-ZA"/>
        </w:rPr>
        <w:t xml:space="preserve"> </w:t>
      </w:r>
      <w:r w:rsidR="00EB7F03">
        <w:rPr>
          <w:rFonts w:ascii="Arial" w:hAnsi="Arial" w:cs="Arial"/>
          <w:lang w:val="en-ZA"/>
        </w:rPr>
        <w:t>As depicted in photograph 24 there are three bullet holes on the</w:t>
      </w:r>
      <w:r w:rsidR="00357434">
        <w:rPr>
          <w:rFonts w:ascii="Arial" w:hAnsi="Arial" w:cs="Arial"/>
          <w:lang w:val="en-ZA"/>
        </w:rPr>
        <w:t xml:space="preserve"> right hand side of the vehicle: one in</w:t>
      </w:r>
      <w:r w:rsidR="00EB7F03">
        <w:rPr>
          <w:rFonts w:ascii="Arial" w:hAnsi="Arial" w:cs="Arial"/>
          <w:lang w:val="en-ZA"/>
        </w:rPr>
        <w:t xml:space="preserve"> the </w:t>
      </w:r>
      <w:r w:rsidR="00842FD3">
        <w:rPr>
          <w:rFonts w:ascii="Arial" w:hAnsi="Arial" w:cs="Arial"/>
          <w:lang w:val="en-ZA"/>
        </w:rPr>
        <w:t xml:space="preserve">side </w:t>
      </w:r>
      <w:r w:rsidR="00EB7F03">
        <w:rPr>
          <w:rFonts w:ascii="Arial" w:hAnsi="Arial" w:cs="Arial"/>
          <w:lang w:val="en-ZA"/>
        </w:rPr>
        <w:t>window of the driver</w:t>
      </w:r>
      <w:r w:rsidR="00357434">
        <w:rPr>
          <w:rFonts w:ascii="Arial" w:hAnsi="Arial" w:cs="Arial"/>
          <w:lang w:val="en-ZA"/>
        </w:rPr>
        <w:t xml:space="preserve"> seat, one in</w:t>
      </w:r>
      <w:r w:rsidR="00EB7F03">
        <w:rPr>
          <w:rFonts w:ascii="Arial" w:hAnsi="Arial" w:cs="Arial"/>
          <w:lang w:val="en-ZA"/>
        </w:rPr>
        <w:t xml:space="preserve"> the </w:t>
      </w:r>
      <w:r w:rsidR="00357434">
        <w:rPr>
          <w:rFonts w:ascii="Arial" w:hAnsi="Arial" w:cs="Arial"/>
          <w:lang w:val="en-ZA"/>
        </w:rPr>
        <w:t xml:space="preserve">window of the </w:t>
      </w:r>
      <w:r w:rsidR="0019658F">
        <w:rPr>
          <w:rFonts w:ascii="Arial" w:hAnsi="Arial" w:cs="Arial"/>
          <w:lang w:val="en-ZA"/>
        </w:rPr>
        <w:t>passenger</w:t>
      </w:r>
      <w:r w:rsidR="00357434">
        <w:rPr>
          <w:rFonts w:ascii="Arial" w:hAnsi="Arial" w:cs="Arial"/>
          <w:lang w:val="en-ZA"/>
        </w:rPr>
        <w:t xml:space="preserve"> door</w:t>
      </w:r>
      <w:r w:rsidR="00EB7F03">
        <w:rPr>
          <w:rFonts w:ascii="Arial" w:hAnsi="Arial" w:cs="Arial"/>
          <w:lang w:val="en-ZA"/>
        </w:rPr>
        <w:t xml:space="preserve"> immediately behin</w:t>
      </w:r>
      <w:r w:rsidR="00357434">
        <w:rPr>
          <w:rFonts w:ascii="Arial" w:hAnsi="Arial" w:cs="Arial"/>
          <w:lang w:val="en-ZA"/>
        </w:rPr>
        <w:t>d the driver’s seat and one in</w:t>
      </w:r>
      <w:r w:rsidR="00EB7F03">
        <w:rPr>
          <w:rFonts w:ascii="Arial" w:hAnsi="Arial" w:cs="Arial"/>
          <w:lang w:val="en-ZA"/>
        </w:rPr>
        <w:t xml:space="preserve"> the door pillar between the front and rear doors</w:t>
      </w:r>
      <w:r w:rsidR="00357434">
        <w:rPr>
          <w:rFonts w:ascii="Arial" w:hAnsi="Arial" w:cs="Arial"/>
          <w:lang w:val="en-ZA"/>
        </w:rPr>
        <w:t xml:space="preserve"> on the driver’s side</w:t>
      </w:r>
      <w:r w:rsidR="00EB7F03">
        <w:rPr>
          <w:rFonts w:ascii="Arial" w:hAnsi="Arial" w:cs="Arial"/>
          <w:lang w:val="en-ZA"/>
        </w:rPr>
        <w:t xml:space="preserve">. With the use of probes the trajectory of the shot fired through the rear window was determined and found to have penetrated the driver’s seat at an angle from </w:t>
      </w:r>
      <w:r w:rsidR="007A2244">
        <w:rPr>
          <w:rFonts w:ascii="Arial" w:hAnsi="Arial" w:cs="Arial"/>
          <w:lang w:val="en-ZA"/>
        </w:rPr>
        <w:t>behind</w:t>
      </w:r>
      <w:r w:rsidR="00EB7F03">
        <w:rPr>
          <w:rFonts w:ascii="Arial" w:hAnsi="Arial" w:cs="Arial"/>
          <w:lang w:val="en-ZA"/>
        </w:rPr>
        <w:t xml:space="preserve"> </w:t>
      </w:r>
      <w:r w:rsidR="00842FD3">
        <w:rPr>
          <w:rFonts w:ascii="Arial" w:hAnsi="Arial" w:cs="Arial"/>
          <w:lang w:val="en-ZA"/>
        </w:rPr>
        <w:t>and exiting</w:t>
      </w:r>
      <w:r w:rsidR="00EB7F03">
        <w:rPr>
          <w:rFonts w:ascii="Arial" w:hAnsi="Arial" w:cs="Arial"/>
          <w:lang w:val="en-ZA"/>
        </w:rPr>
        <w:t xml:space="preserve"> on the front</w:t>
      </w:r>
      <w:r w:rsidR="007A2244">
        <w:rPr>
          <w:rFonts w:ascii="Arial" w:hAnsi="Arial" w:cs="Arial"/>
          <w:lang w:val="en-ZA"/>
        </w:rPr>
        <w:t xml:space="preserve">. </w:t>
      </w:r>
      <w:r w:rsidR="00842FD3">
        <w:rPr>
          <w:rFonts w:ascii="Arial" w:hAnsi="Arial" w:cs="Arial"/>
          <w:lang w:val="en-ZA"/>
        </w:rPr>
        <w:t>As regards the latter bullet hole</w:t>
      </w:r>
      <w:r w:rsidR="0019658F">
        <w:rPr>
          <w:rFonts w:ascii="Arial" w:hAnsi="Arial" w:cs="Arial"/>
          <w:lang w:val="en-ZA"/>
        </w:rPr>
        <w:t>,</w:t>
      </w:r>
      <w:r w:rsidR="00842FD3">
        <w:rPr>
          <w:rFonts w:ascii="Arial" w:hAnsi="Arial" w:cs="Arial"/>
          <w:lang w:val="en-ZA"/>
        </w:rPr>
        <w:t xml:space="preserve"> Mr Nambahu concluded that this was the fatal shot that penetrated the deceased’s </w:t>
      </w:r>
      <w:r w:rsidR="0019658F">
        <w:rPr>
          <w:rFonts w:ascii="Arial" w:hAnsi="Arial" w:cs="Arial"/>
          <w:lang w:val="en-ZA"/>
        </w:rPr>
        <w:t xml:space="preserve">back and </w:t>
      </w:r>
      <w:r w:rsidR="00842FD3">
        <w:rPr>
          <w:rFonts w:ascii="Arial" w:hAnsi="Arial" w:cs="Arial"/>
          <w:lang w:val="en-ZA"/>
        </w:rPr>
        <w:t xml:space="preserve">chest. </w:t>
      </w:r>
      <w:r w:rsidR="00984335">
        <w:rPr>
          <w:rFonts w:ascii="Arial" w:hAnsi="Arial" w:cs="Arial"/>
          <w:lang w:val="en-ZA"/>
        </w:rPr>
        <w:t>He</w:t>
      </w:r>
      <w:r w:rsidR="00842FD3">
        <w:rPr>
          <w:rFonts w:ascii="Arial" w:hAnsi="Arial" w:cs="Arial"/>
          <w:lang w:val="en-ZA"/>
        </w:rPr>
        <w:t xml:space="preserve"> concluded that these shots were</w:t>
      </w:r>
      <w:r w:rsidR="00984335">
        <w:rPr>
          <w:rFonts w:ascii="Arial" w:hAnsi="Arial" w:cs="Arial"/>
          <w:lang w:val="en-ZA"/>
        </w:rPr>
        <w:t xml:space="preserve"> fired at</w:t>
      </w:r>
      <w:r w:rsidR="00357434">
        <w:rPr>
          <w:rFonts w:ascii="Arial" w:hAnsi="Arial" w:cs="Arial"/>
          <w:lang w:val="en-ZA"/>
        </w:rPr>
        <w:t xml:space="preserve"> an angle from a distance</w:t>
      </w:r>
      <w:r w:rsidR="00984335">
        <w:rPr>
          <w:rFonts w:ascii="Arial" w:hAnsi="Arial" w:cs="Arial"/>
          <w:lang w:val="en-ZA"/>
        </w:rPr>
        <w:t xml:space="preserve"> where the person </w:t>
      </w:r>
      <w:r w:rsidR="00357434">
        <w:rPr>
          <w:rFonts w:ascii="Arial" w:hAnsi="Arial" w:cs="Arial"/>
          <w:lang w:val="en-ZA"/>
        </w:rPr>
        <w:t>firing</w:t>
      </w:r>
      <w:r w:rsidR="00984335">
        <w:rPr>
          <w:rFonts w:ascii="Arial" w:hAnsi="Arial" w:cs="Arial"/>
          <w:lang w:val="en-ZA"/>
        </w:rPr>
        <w:t xml:space="preserve"> was not di</w:t>
      </w:r>
      <w:r w:rsidR="0019658F">
        <w:rPr>
          <w:rFonts w:ascii="Arial" w:hAnsi="Arial" w:cs="Arial"/>
          <w:lang w:val="en-ZA"/>
        </w:rPr>
        <w:t xml:space="preserve">rectly in line </w:t>
      </w:r>
      <w:r w:rsidR="00357434">
        <w:rPr>
          <w:rFonts w:ascii="Arial" w:hAnsi="Arial" w:cs="Arial"/>
          <w:lang w:val="en-ZA"/>
        </w:rPr>
        <w:t>next to</w:t>
      </w:r>
      <w:r w:rsidR="0019658F">
        <w:rPr>
          <w:rFonts w:ascii="Arial" w:hAnsi="Arial" w:cs="Arial"/>
          <w:lang w:val="en-ZA"/>
        </w:rPr>
        <w:t xml:space="preserve"> the vehicle</w:t>
      </w:r>
      <w:r w:rsidR="00357434">
        <w:rPr>
          <w:rFonts w:ascii="Arial" w:hAnsi="Arial" w:cs="Arial"/>
          <w:lang w:val="en-ZA"/>
        </w:rPr>
        <w:t>,</w:t>
      </w:r>
      <w:r w:rsidR="00984335">
        <w:rPr>
          <w:rFonts w:ascii="Arial" w:hAnsi="Arial" w:cs="Arial"/>
          <w:lang w:val="en-ZA"/>
        </w:rPr>
        <w:t xml:space="preserve"> </w:t>
      </w:r>
      <w:r w:rsidR="00357434">
        <w:rPr>
          <w:rFonts w:ascii="Arial" w:hAnsi="Arial" w:cs="Arial"/>
          <w:lang w:val="en-ZA"/>
        </w:rPr>
        <w:t xml:space="preserve">but stood </w:t>
      </w:r>
      <w:r w:rsidR="0019658F">
        <w:rPr>
          <w:rFonts w:ascii="Arial" w:hAnsi="Arial" w:cs="Arial"/>
          <w:lang w:val="en-ZA"/>
        </w:rPr>
        <w:t>more towards the back</w:t>
      </w:r>
      <w:r w:rsidR="00984335">
        <w:rPr>
          <w:rFonts w:ascii="Arial" w:hAnsi="Arial" w:cs="Arial"/>
          <w:lang w:val="en-ZA"/>
        </w:rPr>
        <w:t>. Mr Nambahu further commented on other bullet</w:t>
      </w:r>
      <w:r w:rsidR="0019658F">
        <w:rPr>
          <w:rFonts w:ascii="Arial" w:hAnsi="Arial" w:cs="Arial"/>
          <w:lang w:val="en-ZA"/>
        </w:rPr>
        <w:t>s fired</w:t>
      </w:r>
      <w:r w:rsidR="00984335">
        <w:rPr>
          <w:rFonts w:ascii="Arial" w:hAnsi="Arial" w:cs="Arial"/>
          <w:lang w:val="en-ZA"/>
        </w:rPr>
        <w:t xml:space="preserve"> </w:t>
      </w:r>
      <w:r w:rsidR="0019658F">
        <w:rPr>
          <w:rFonts w:ascii="Arial" w:hAnsi="Arial" w:cs="Arial"/>
          <w:lang w:val="en-ZA"/>
        </w:rPr>
        <w:t>i</w:t>
      </w:r>
      <w:r w:rsidR="002B53F0">
        <w:rPr>
          <w:rFonts w:ascii="Arial" w:hAnsi="Arial" w:cs="Arial"/>
          <w:lang w:val="en-ZA"/>
        </w:rPr>
        <w:t>n</w:t>
      </w:r>
      <w:r w:rsidR="0019658F">
        <w:rPr>
          <w:rFonts w:ascii="Arial" w:hAnsi="Arial" w:cs="Arial"/>
          <w:lang w:val="en-ZA"/>
        </w:rPr>
        <w:t>to</w:t>
      </w:r>
      <w:r w:rsidR="002B53F0">
        <w:rPr>
          <w:rFonts w:ascii="Arial" w:hAnsi="Arial" w:cs="Arial"/>
          <w:lang w:val="en-ZA"/>
        </w:rPr>
        <w:t xml:space="preserve"> the vehicle as depicted in the photo plan compiled by Constable Sasele</w:t>
      </w:r>
      <w:r w:rsidR="00357434">
        <w:rPr>
          <w:rFonts w:ascii="Arial" w:hAnsi="Arial" w:cs="Arial"/>
          <w:lang w:val="en-ZA"/>
        </w:rPr>
        <w:t>.</w:t>
      </w:r>
      <w:r w:rsidR="002B53F0">
        <w:rPr>
          <w:rStyle w:val="FootnoteReference"/>
          <w:rFonts w:ascii="Arial" w:hAnsi="Arial" w:cs="Arial"/>
          <w:lang w:val="en-ZA"/>
        </w:rPr>
        <w:footnoteReference w:id="5"/>
      </w:r>
      <w:r w:rsidR="0019658F">
        <w:rPr>
          <w:rFonts w:ascii="Arial" w:hAnsi="Arial" w:cs="Arial"/>
          <w:lang w:val="en-ZA"/>
        </w:rPr>
        <w:t xml:space="preserve"> </w:t>
      </w:r>
      <w:r w:rsidR="00357434">
        <w:rPr>
          <w:rFonts w:ascii="Arial" w:hAnsi="Arial" w:cs="Arial"/>
          <w:lang w:val="en-ZA"/>
        </w:rPr>
        <w:t>I</w:t>
      </w:r>
      <w:r w:rsidR="0019658F">
        <w:rPr>
          <w:rFonts w:ascii="Arial" w:hAnsi="Arial" w:cs="Arial"/>
          <w:lang w:val="en-ZA"/>
        </w:rPr>
        <w:t>n respect of photo 26</w:t>
      </w:r>
      <w:r w:rsidR="002B53F0">
        <w:rPr>
          <w:rFonts w:ascii="Arial" w:hAnsi="Arial" w:cs="Arial"/>
          <w:lang w:val="en-ZA"/>
        </w:rPr>
        <w:t xml:space="preserve"> </w:t>
      </w:r>
      <w:r w:rsidR="00357434">
        <w:rPr>
          <w:rFonts w:ascii="Arial" w:hAnsi="Arial" w:cs="Arial"/>
          <w:lang w:val="en-ZA"/>
        </w:rPr>
        <w:t xml:space="preserve">he deducted </w:t>
      </w:r>
      <w:r w:rsidR="002B53F0">
        <w:rPr>
          <w:rFonts w:ascii="Arial" w:hAnsi="Arial" w:cs="Arial"/>
          <w:lang w:val="en-ZA"/>
        </w:rPr>
        <w:t>that the bullet hole on the right hand s</w:t>
      </w:r>
      <w:r w:rsidR="0019658F">
        <w:rPr>
          <w:rFonts w:ascii="Arial" w:hAnsi="Arial" w:cs="Arial"/>
          <w:lang w:val="en-ZA"/>
        </w:rPr>
        <w:t>ide of the front fender was equally</w:t>
      </w:r>
      <w:r w:rsidR="002B53F0">
        <w:rPr>
          <w:rFonts w:ascii="Arial" w:hAnsi="Arial" w:cs="Arial"/>
          <w:lang w:val="en-ZA"/>
        </w:rPr>
        <w:t xml:space="preserve"> </w:t>
      </w:r>
      <w:r w:rsidR="00357434">
        <w:rPr>
          <w:rFonts w:ascii="Arial" w:hAnsi="Arial" w:cs="Arial"/>
          <w:lang w:val="en-ZA"/>
        </w:rPr>
        <w:t xml:space="preserve">caused by a shot fired from behind at </w:t>
      </w:r>
      <w:r w:rsidR="002B53F0">
        <w:rPr>
          <w:rFonts w:ascii="Arial" w:hAnsi="Arial" w:cs="Arial"/>
          <w:lang w:val="en-ZA"/>
        </w:rPr>
        <w:t>an angle. Besides these four bullet holes</w:t>
      </w:r>
      <w:r w:rsidR="00357434">
        <w:rPr>
          <w:rFonts w:ascii="Arial" w:hAnsi="Arial" w:cs="Arial"/>
          <w:lang w:val="en-ZA"/>
        </w:rPr>
        <w:t xml:space="preserve"> fired into the cabin, more</w:t>
      </w:r>
      <w:r w:rsidR="002B53F0">
        <w:rPr>
          <w:rFonts w:ascii="Arial" w:hAnsi="Arial" w:cs="Arial"/>
          <w:lang w:val="en-ZA"/>
        </w:rPr>
        <w:t xml:space="preserve"> bullet holes were </w:t>
      </w:r>
      <w:r w:rsidR="002B53F0">
        <w:rPr>
          <w:rFonts w:ascii="Arial" w:hAnsi="Arial" w:cs="Arial"/>
          <w:lang w:val="en-ZA"/>
        </w:rPr>
        <w:lastRenderedPageBreak/>
        <w:t>observed on the vehicle namely</w:t>
      </w:r>
      <w:r w:rsidR="00357434">
        <w:rPr>
          <w:rFonts w:ascii="Arial" w:hAnsi="Arial" w:cs="Arial"/>
          <w:lang w:val="en-ZA"/>
        </w:rPr>
        <w:t>,</w:t>
      </w:r>
      <w:r w:rsidR="002B53F0">
        <w:rPr>
          <w:rFonts w:ascii="Arial" w:hAnsi="Arial" w:cs="Arial"/>
          <w:lang w:val="en-ZA"/>
        </w:rPr>
        <w:t xml:space="preserve"> on</w:t>
      </w:r>
      <w:r w:rsidR="007A06F7">
        <w:rPr>
          <w:rFonts w:ascii="Arial" w:hAnsi="Arial" w:cs="Arial"/>
          <w:lang w:val="en-ZA"/>
        </w:rPr>
        <w:t>e on the tailgate; one almost centre</w:t>
      </w:r>
      <w:r w:rsidR="002B53F0">
        <w:rPr>
          <w:rFonts w:ascii="Arial" w:hAnsi="Arial" w:cs="Arial"/>
          <w:lang w:val="en-ZA"/>
        </w:rPr>
        <w:t xml:space="preserve"> of the front bumper just below the registration plate, and one in the right front tyre. This means that </w:t>
      </w:r>
      <w:r w:rsidR="001957E8">
        <w:rPr>
          <w:rFonts w:ascii="Arial" w:hAnsi="Arial" w:cs="Arial"/>
          <w:lang w:val="en-ZA"/>
        </w:rPr>
        <w:t>seven out of nine shots fired by the accused struck the deceased’s vehicle on three different sides (front, right and rear).</w:t>
      </w:r>
    </w:p>
    <w:p w:rsidR="005F7257" w:rsidRDefault="005F7257" w:rsidP="006B344C">
      <w:pPr>
        <w:spacing w:line="360" w:lineRule="auto"/>
        <w:jc w:val="both"/>
        <w:rPr>
          <w:rFonts w:ascii="Arial" w:hAnsi="Arial" w:cs="Arial"/>
          <w:lang w:val="en-ZA"/>
        </w:rPr>
      </w:pPr>
    </w:p>
    <w:p w:rsidR="005F7257" w:rsidRDefault="005F7257" w:rsidP="006B344C">
      <w:pPr>
        <w:spacing w:line="360" w:lineRule="auto"/>
        <w:jc w:val="both"/>
        <w:rPr>
          <w:rFonts w:ascii="Arial" w:hAnsi="Arial" w:cs="Arial"/>
          <w:lang w:val="en-ZA"/>
        </w:rPr>
      </w:pPr>
      <w:r>
        <w:rPr>
          <w:rFonts w:ascii="Arial" w:hAnsi="Arial" w:cs="Arial"/>
          <w:lang w:val="en-ZA"/>
        </w:rPr>
        <w:t>[</w:t>
      </w:r>
      <w:r w:rsidR="007A06F7">
        <w:rPr>
          <w:rFonts w:ascii="Arial" w:hAnsi="Arial" w:cs="Arial"/>
          <w:lang w:val="en-ZA"/>
        </w:rPr>
        <w:t>22]   Dr Vasin is the</w:t>
      </w:r>
      <w:r>
        <w:rPr>
          <w:rFonts w:ascii="Arial" w:hAnsi="Arial" w:cs="Arial"/>
          <w:lang w:val="en-ZA"/>
        </w:rPr>
        <w:t xml:space="preserve"> forensic </w:t>
      </w:r>
      <w:r w:rsidR="007A06F7">
        <w:rPr>
          <w:rFonts w:ascii="Arial" w:hAnsi="Arial" w:cs="Arial"/>
          <w:lang w:val="en-ZA"/>
        </w:rPr>
        <w:t>pathologist who</w:t>
      </w:r>
      <w:r>
        <w:rPr>
          <w:rFonts w:ascii="Arial" w:hAnsi="Arial" w:cs="Arial"/>
          <w:lang w:val="en-ZA"/>
        </w:rPr>
        <w:t xml:space="preserve"> performed an autopsy on the body of </w:t>
      </w:r>
      <w:r w:rsidR="00D55296">
        <w:rPr>
          <w:rFonts w:ascii="Arial" w:hAnsi="Arial" w:cs="Arial"/>
          <w:lang w:val="en-ZA"/>
        </w:rPr>
        <w:t xml:space="preserve">Marko Kristian Volevi Ronni </w:t>
      </w:r>
      <w:r w:rsidR="007A06F7">
        <w:rPr>
          <w:rFonts w:ascii="Arial" w:hAnsi="Arial" w:cs="Arial"/>
          <w:lang w:val="en-ZA"/>
        </w:rPr>
        <w:t>on the 12</w:t>
      </w:r>
      <w:r w:rsidR="007A06F7" w:rsidRPr="005F7257">
        <w:rPr>
          <w:rFonts w:ascii="Arial" w:hAnsi="Arial" w:cs="Arial"/>
          <w:vertAlign w:val="superscript"/>
          <w:lang w:val="en-ZA"/>
        </w:rPr>
        <w:t>th</w:t>
      </w:r>
      <w:r w:rsidR="007A06F7">
        <w:rPr>
          <w:rFonts w:ascii="Arial" w:hAnsi="Arial" w:cs="Arial"/>
          <w:lang w:val="en-ZA"/>
        </w:rPr>
        <w:t xml:space="preserve"> of August 2015 </w:t>
      </w:r>
      <w:r w:rsidR="00D55296">
        <w:rPr>
          <w:rFonts w:ascii="Arial" w:hAnsi="Arial" w:cs="Arial"/>
          <w:lang w:val="en-ZA"/>
        </w:rPr>
        <w:t>and noted h</w:t>
      </w:r>
      <w:r w:rsidR="007A06F7">
        <w:rPr>
          <w:rFonts w:ascii="Arial" w:hAnsi="Arial" w:cs="Arial"/>
          <w:lang w:val="en-ZA"/>
        </w:rPr>
        <w:t>is findings in a report</w:t>
      </w:r>
      <w:r w:rsidR="00D55296">
        <w:rPr>
          <w:rFonts w:ascii="Arial" w:hAnsi="Arial" w:cs="Arial"/>
          <w:lang w:val="en-ZA"/>
        </w:rPr>
        <w:t xml:space="preserve"> received into evidence</w:t>
      </w:r>
      <w:r w:rsidR="00133663">
        <w:rPr>
          <w:rFonts w:ascii="Arial" w:hAnsi="Arial" w:cs="Arial"/>
          <w:lang w:val="en-ZA"/>
        </w:rPr>
        <w:t>.</w:t>
      </w:r>
      <w:r w:rsidR="00133663">
        <w:rPr>
          <w:rStyle w:val="FootnoteReference"/>
          <w:rFonts w:ascii="Arial" w:hAnsi="Arial" w:cs="Arial"/>
          <w:lang w:val="en-ZA"/>
        </w:rPr>
        <w:footnoteReference w:id="6"/>
      </w:r>
      <w:r w:rsidR="00D55296">
        <w:rPr>
          <w:rFonts w:ascii="Arial" w:hAnsi="Arial" w:cs="Arial"/>
          <w:lang w:val="en-ZA"/>
        </w:rPr>
        <w:t xml:space="preserve"> The following chief post-mortem findings were </w:t>
      </w:r>
      <w:r w:rsidR="00133663">
        <w:rPr>
          <w:rFonts w:ascii="Arial" w:hAnsi="Arial" w:cs="Arial"/>
          <w:lang w:val="en-ZA"/>
        </w:rPr>
        <w:t>recorded</w:t>
      </w:r>
      <w:r w:rsidR="00D55296">
        <w:rPr>
          <w:rFonts w:ascii="Arial" w:hAnsi="Arial" w:cs="Arial"/>
          <w:lang w:val="en-ZA"/>
        </w:rPr>
        <w:t>:</w:t>
      </w:r>
    </w:p>
    <w:p w:rsidR="00D55296" w:rsidRDefault="00D55296" w:rsidP="00D55296">
      <w:pPr>
        <w:numPr>
          <w:ilvl w:val="0"/>
          <w:numId w:val="3"/>
        </w:numPr>
        <w:spacing w:line="360" w:lineRule="auto"/>
        <w:jc w:val="both"/>
        <w:rPr>
          <w:rFonts w:ascii="Arial" w:hAnsi="Arial" w:cs="Arial"/>
          <w:lang w:val="en-ZA"/>
        </w:rPr>
      </w:pPr>
      <w:r>
        <w:rPr>
          <w:rFonts w:ascii="Arial" w:hAnsi="Arial" w:cs="Arial"/>
          <w:lang w:val="en-ZA"/>
        </w:rPr>
        <w:t>two distant range entry gunshot wounds;</w:t>
      </w:r>
    </w:p>
    <w:p w:rsidR="00D55296" w:rsidRDefault="00D55296" w:rsidP="00D55296">
      <w:pPr>
        <w:numPr>
          <w:ilvl w:val="0"/>
          <w:numId w:val="3"/>
        </w:numPr>
        <w:spacing w:line="360" w:lineRule="auto"/>
        <w:jc w:val="both"/>
        <w:rPr>
          <w:rFonts w:ascii="Arial" w:hAnsi="Arial" w:cs="Arial"/>
          <w:lang w:val="en-ZA"/>
        </w:rPr>
      </w:pPr>
      <w:r>
        <w:rPr>
          <w:rFonts w:ascii="Arial" w:hAnsi="Arial" w:cs="Arial"/>
          <w:lang w:val="en-ZA"/>
        </w:rPr>
        <w:t>perfor</w:t>
      </w:r>
      <w:r w:rsidR="00743FB6">
        <w:rPr>
          <w:rFonts w:ascii="Arial" w:hAnsi="Arial" w:cs="Arial"/>
          <w:lang w:val="en-ZA"/>
        </w:rPr>
        <w:t>ating gunshot injury to the [right]</w:t>
      </w:r>
      <w:r>
        <w:rPr>
          <w:rFonts w:ascii="Arial" w:hAnsi="Arial" w:cs="Arial"/>
          <w:lang w:val="en-ZA"/>
        </w:rPr>
        <w:t xml:space="preserve"> upper arm;</w:t>
      </w:r>
    </w:p>
    <w:p w:rsidR="00D55296" w:rsidRDefault="00D55296" w:rsidP="00D55296">
      <w:pPr>
        <w:numPr>
          <w:ilvl w:val="0"/>
          <w:numId w:val="3"/>
        </w:numPr>
        <w:spacing w:line="360" w:lineRule="auto"/>
        <w:jc w:val="both"/>
        <w:rPr>
          <w:rFonts w:ascii="Arial" w:hAnsi="Arial" w:cs="Arial"/>
          <w:lang w:val="en-ZA"/>
        </w:rPr>
      </w:pPr>
      <w:r>
        <w:rPr>
          <w:rFonts w:ascii="Arial" w:hAnsi="Arial" w:cs="Arial"/>
          <w:lang w:val="en-ZA"/>
        </w:rPr>
        <w:t>penetrating gunshot injury to the chest;</w:t>
      </w:r>
    </w:p>
    <w:p w:rsidR="00D55296" w:rsidRDefault="00D55296" w:rsidP="00D55296">
      <w:pPr>
        <w:numPr>
          <w:ilvl w:val="0"/>
          <w:numId w:val="3"/>
        </w:numPr>
        <w:spacing w:line="360" w:lineRule="auto"/>
        <w:jc w:val="both"/>
        <w:rPr>
          <w:rFonts w:ascii="Arial" w:hAnsi="Arial" w:cs="Arial"/>
          <w:lang w:val="en-ZA"/>
        </w:rPr>
      </w:pPr>
      <w:r>
        <w:rPr>
          <w:rFonts w:ascii="Arial" w:hAnsi="Arial" w:cs="Arial"/>
          <w:lang w:val="en-ZA"/>
        </w:rPr>
        <w:t>gunshot injuries to both lungs, pulmonary hilum and pulmonary artery;</w:t>
      </w:r>
    </w:p>
    <w:p w:rsidR="00D55296" w:rsidRDefault="00D55296" w:rsidP="00D55296">
      <w:pPr>
        <w:numPr>
          <w:ilvl w:val="0"/>
          <w:numId w:val="3"/>
        </w:numPr>
        <w:spacing w:line="360" w:lineRule="auto"/>
        <w:jc w:val="both"/>
        <w:rPr>
          <w:rFonts w:ascii="Arial" w:hAnsi="Arial" w:cs="Arial"/>
          <w:lang w:val="en-ZA"/>
        </w:rPr>
      </w:pPr>
      <w:r>
        <w:rPr>
          <w:rFonts w:ascii="Arial" w:hAnsi="Arial" w:cs="Arial"/>
          <w:lang w:val="en-ZA"/>
        </w:rPr>
        <w:t>bilateral haemothorax;</w:t>
      </w:r>
    </w:p>
    <w:p w:rsidR="00D55296" w:rsidRDefault="00D55296" w:rsidP="00D55296">
      <w:pPr>
        <w:numPr>
          <w:ilvl w:val="0"/>
          <w:numId w:val="3"/>
        </w:numPr>
        <w:spacing w:line="360" w:lineRule="auto"/>
        <w:jc w:val="both"/>
        <w:rPr>
          <w:rFonts w:ascii="Arial" w:hAnsi="Arial" w:cs="Arial"/>
          <w:lang w:val="en-ZA"/>
        </w:rPr>
      </w:pPr>
      <w:r>
        <w:rPr>
          <w:rFonts w:ascii="Arial" w:hAnsi="Arial" w:cs="Arial"/>
          <w:lang w:val="en-ZA"/>
        </w:rPr>
        <w:t>systemic visceral pallor;</w:t>
      </w:r>
    </w:p>
    <w:p w:rsidR="00D55296" w:rsidRDefault="00D55296" w:rsidP="00D55296">
      <w:pPr>
        <w:numPr>
          <w:ilvl w:val="0"/>
          <w:numId w:val="3"/>
        </w:numPr>
        <w:spacing w:line="360" w:lineRule="auto"/>
        <w:jc w:val="both"/>
        <w:rPr>
          <w:rFonts w:ascii="Arial" w:hAnsi="Arial" w:cs="Arial"/>
          <w:lang w:val="en-ZA"/>
        </w:rPr>
      </w:pPr>
      <w:r>
        <w:rPr>
          <w:rFonts w:ascii="Arial" w:hAnsi="Arial" w:cs="Arial"/>
          <w:lang w:val="en-ZA"/>
        </w:rPr>
        <w:t xml:space="preserve">corroborating gunshot tears revealed on the clothing </w:t>
      </w:r>
      <w:r w:rsidR="00276BE8">
        <w:rPr>
          <w:rFonts w:ascii="Arial" w:hAnsi="Arial" w:cs="Arial"/>
          <w:lang w:val="en-ZA"/>
        </w:rPr>
        <w:t>[in relation] to the projectiles’ trajectories; and</w:t>
      </w:r>
    </w:p>
    <w:p w:rsidR="00276BE8" w:rsidRDefault="00276BE8" w:rsidP="00D55296">
      <w:pPr>
        <w:numPr>
          <w:ilvl w:val="0"/>
          <w:numId w:val="3"/>
        </w:numPr>
        <w:spacing w:line="360" w:lineRule="auto"/>
        <w:jc w:val="both"/>
        <w:rPr>
          <w:rFonts w:ascii="Arial" w:hAnsi="Arial" w:cs="Arial"/>
          <w:lang w:val="en-ZA"/>
        </w:rPr>
      </w:pPr>
      <w:r>
        <w:rPr>
          <w:rFonts w:ascii="Arial" w:hAnsi="Arial" w:cs="Arial"/>
          <w:lang w:val="en-ZA"/>
        </w:rPr>
        <w:t>deformed pistol projectile lodged into the soft tissue on the upper left anterior chest.</w:t>
      </w:r>
    </w:p>
    <w:p w:rsidR="00276BE8" w:rsidRDefault="00276BE8" w:rsidP="00276BE8">
      <w:pPr>
        <w:spacing w:line="360" w:lineRule="auto"/>
        <w:jc w:val="both"/>
        <w:rPr>
          <w:rFonts w:ascii="Arial" w:hAnsi="Arial" w:cs="Arial"/>
          <w:lang w:val="en-ZA"/>
        </w:rPr>
      </w:pPr>
    </w:p>
    <w:p w:rsidR="00276BE8" w:rsidRDefault="00276BE8" w:rsidP="00276BE8">
      <w:pPr>
        <w:spacing w:line="360" w:lineRule="auto"/>
        <w:jc w:val="both"/>
        <w:rPr>
          <w:rFonts w:ascii="Arial" w:hAnsi="Arial" w:cs="Arial"/>
          <w:lang w:val="en-ZA"/>
        </w:rPr>
      </w:pPr>
      <w:r>
        <w:rPr>
          <w:rFonts w:ascii="Arial" w:hAnsi="Arial" w:cs="Arial"/>
          <w:lang w:val="en-ZA"/>
        </w:rPr>
        <w:t>[</w:t>
      </w:r>
      <w:r w:rsidR="007A06F7">
        <w:rPr>
          <w:rFonts w:ascii="Arial" w:hAnsi="Arial" w:cs="Arial"/>
          <w:lang w:val="en-ZA"/>
        </w:rPr>
        <w:t>23</w:t>
      </w:r>
      <w:r>
        <w:rPr>
          <w:rFonts w:ascii="Arial" w:hAnsi="Arial" w:cs="Arial"/>
          <w:lang w:val="en-ZA"/>
        </w:rPr>
        <w:t>]   It was concluded that the cause of death was due to a gunshot wound to the chest, resulting in exsanguination (bleeding).</w:t>
      </w:r>
    </w:p>
    <w:p w:rsidR="00276BE8" w:rsidRDefault="00276BE8" w:rsidP="00276BE8">
      <w:pPr>
        <w:spacing w:line="360" w:lineRule="auto"/>
        <w:jc w:val="both"/>
        <w:rPr>
          <w:rFonts w:ascii="Arial" w:hAnsi="Arial" w:cs="Arial"/>
          <w:lang w:val="en-ZA"/>
        </w:rPr>
      </w:pPr>
    </w:p>
    <w:p w:rsidR="00276BE8" w:rsidRDefault="00276BE8" w:rsidP="00276BE8">
      <w:pPr>
        <w:spacing w:line="360" w:lineRule="auto"/>
        <w:jc w:val="both"/>
        <w:rPr>
          <w:rFonts w:ascii="Arial" w:hAnsi="Arial" w:cs="Arial"/>
          <w:lang w:val="en-ZA"/>
        </w:rPr>
      </w:pPr>
      <w:r>
        <w:rPr>
          <w:rFonts w:ascii="Arial" w:hAnsi="Arial" w:cs="Arial"/>
          <w:lang w:val="en-ZA"/>
        </w:rPr>
        <w:t>[</w:t>
      </w:r>
      <w:r w:rsidR="007A06F7">
        <w:rPr>
          <w:rFonts w:ascii="Arial" w:hAnsi="Arial" w:cs="Arial"/>
          <w:lang w:val="en-ZA"/>
        </w:rPr>
        <w:t>24</w:t>
      </w:r>
      <w:r>
        <w:rPr>
          <w:rFonts w:ascii="Arial" w:hAnsi="Arial" w:cs="Arial"/>
          <w:lang w:val="en-ZA"/>
        </w:rPr>
        <w:t xml:space="preserve">]   There was a gunshot entry wound </w:t>
      </w:r>
      <w:r w:rsidR="0019658F">
        <w:rPr>
          <w:rFonts w:ascii="Arial" w:hAnsi="Arial" w:cs="Arial"/>
          <w:lang w:val="en-ZA"/>
        </w:rPr>
        <w:t xml:space="preserve">noted </w:t>
      </w:r>
      <w:r>
        <w:rPr>
          <w:rFonts w:ascii="Arial" w:hAnsi="Arial" w:cs="Arial"/>
          <w:lang w:val="en-ZA"/>
        </w:rPr>
        <w:t>on the right mid aspect of the back with the trajectory of the projectile directed from the back frontwards and from the right to the left and slightly upwards. This was a penetrating injury to the chest</w:t>
      </w:r>
      <w:r w:rsidR="00133663">
        <w:rPr>
          <w:rFonts w:ascii="Arial" w:hAnsi="Arial" w:cs="Arial"/>
          <w:lang w:val="en-ZA"/>
        </w:rPr>
        <w:t xml:space="preserve"> with resultant injuries to both</w:t>
      </w:r>
      <w:r w:rsidR="004A30BA">
        <w:rPr>
          <w:rFonts w:ascii="Arial" w:hAnsi="Arial" w:cs="Arial"/>
          <w:lang w:val="en-ZA"/>
        </w:rPr>
        <w:t xml:space="preserve"> lungs and pulmonary artery</w:t>
      </w:r>
      <w:r w:rsidR="007A06F7">
        <w:rPr>
          <w:rFonts w:ascii="Arial" w:hAnsi="Arial" w:cs="Arial"/>
          <w:lang w:val="en-ZA"/>
        </w:rPr>
        <w:t>. These injuries</w:t>
      </w:r>
      <w:r w:rsidR="00133663">
        <w:rPr>
          <w:rFonts w:ascii="Arial" w:hAnsi="Arial" w:cs="Arial"/>
          <w:lang w:val="en-ZA"/>
        </w:rPr>
        <w:t xml:space="preserve"> were fatal. The gunshot wound to the right upper arm entered on the outer aspect of the arm and exited on the inside of the upper arm. The immediate cause of death was due to massive internal bleeding</w:t>
      </w:r>
      <w:r w:rsidR="004A30BA">
        <w:rPr>
          <w:rFonts w:ascii="Arial" w:hAnsi="Arial" w:cs="Arial"/>
          <w:lang w:val="en-ZA"/>
        </w:rPr>
        <w:t>, associated with</w:t>
      </w:r>
      <w:r w:rsidR="00133663">
        <w:rPr>
          <w:rFonts w:ascii="Arial" w:hAnsi="Arial" w:cs="Arial"/>
          <w:lang w:val="en-ZA"/>
        </w:rPr>
        <w:t xml:space="preserve"> extensive internal gunshot injury to the chest organs.</w:t>
      </w:r>
    </w:p>
    <w:p w:rsidR="00540617" w:rsidRDefault="00540617" w:rsidP="006B344C">
      <w:pPr>
        <w:spacing w:line="360" w:lineRule="auto"/>
        <w:jc w:val="both"/>
        <w:rPr>
          <w:rFonts w:ascii="Arial" w:hAnsi="Arial" w:cs="Arial"/>
          <w:lang w:val="en-ZA"/>
        </w:rPr>
      </w:pPr>
    </w:p>
    <w:p w:rsidR="00540617" w:rsidRDefault="001957E8" w:rsidP="006B344C">
      <w:pPr>
        <w:spacing w:line="360" w:lineRule="auto"/>
        <w:jc w:val="both"/>
        <w:rPr>
          <w:rFonts w:ascii="Arial" w:hAnsi="Arial" w:cs="Arial"/>
          <w:lang w:val="en-ZA"/>
        </w:rPr>
      </w:pPr>
      <w:r>
        <w:rPr>
          <w:rFonts w:ascii="Arial" w:hAnsi="Arial" w:cs="Arial"/>
          <w:lang w:val="en-ZA"/>
        </w:rPr>
        <w:t>[</w:t>
      </w:r>
      <w:r w:rsidR="007A06F7">
        <w:rPr>
          <w:rFonts w:ascii="Arial" w:hAnsi="Arial" w:cs="Arial"/>
          <w:lang w:val="en-ZA"/>
        </w:rPr>
        <w:t>25</w:t>
      </w:r>
      <w:r>
        <w:rPr>
          <w:rFonts w:ascii="Arial" w:hAnsi="Arial" w:cs="Arial"/>
          <w:lang w:val="en-ZA"/>
        </w:rPr>
        <w:t xml:space="preserve">]   When shown photos of the bullet holes fired into the vehicle driven by the deceased, Dr Vasin concluded that the bullet fired through the rear window </w:t>
      </w:r>
      <w:r w:rsidR="007A06F7">
        <w:rPr>
          <w:rFonts w:ascii="Arial" w:hAnsi="Arial" w:cs="Arial"/>
          <w:lang w:val="en-ZA"/>
        </w:rPr>
        <w:t>that</w:t>
      </w:r>
      <w:r>
        <w:rPr>
          <w:rFonts w:ascii="Arial" w:hAnsi="Arial" w:cs="Arial"/>
          <w:lang w:val="en-ZA"/>
        </w:rPr>
        <w:t xml:space="preserve"> went through the driver’s seat from behind and penetrated the chest, corresponded with the fatal </w:t>
      </w:r>
      <w:r w:rsidR="007A06F7">
        <w:rPr>
          <w:rFonts w:ascii="Arial" w:hAnsi="Arial" w:cs="Arial"/>
          <w:lang w:val="en-ZA"/>
        </w:rPr>
        <w:t>injury</w:t>
      </w:r>
      <w:r>
        <w:rPr>
          <w:rFonts w:ascii="Arial" w:hAnsi="Arial" w:cs="Arial"/>
          <w:lang w:val="en-ZA"/>
        </w:rPr>
        <w:t xml:space="preserve">. </w:t>
      </w:r>
      <w:r w:rsidR="004A30BA">
        <w:rPr>
          <w:rFonts w:ascii="Arial" w:hAnsi="Arial" w:cs="Arial"/>
          <w:lang w:val="en-ZA"/>
        </w:rPr>
        <w:t>T</w:t>
      </w:r>
      <w:r w:rsidR="00984335">
        <w:rPr>
          <w:rFonts w:ascii="Arial" w:hAnsi="Arial" w:cs="Arial"/>
          <w:lang w:val="en-ZA"/>
        </w:rPr>
        <w:t>he hole in the side window of the dri</w:t>
      </w:r>
      <w:r w:rsidR="004A30BA">
        <w:rPr>
          <w:rFonts w:ascii="Arial" w:hAnsi="Arial" w:cs="Arial"/>
          <w:lang w:val="en-ZA"/>
        </w:rPr>
        <w:t>ver, according to the doctor,</w:t>
      </w:r>
      <w:r w:rsidR="00984335">
        <w:rPr>
          <w:rFonts w:ascii="Arial" w:hAnsi="Arial" w:cs="Arial"/>
          <w:lang w:val="en-ZA"/>
        </w:rPr>
        <w:t xml:space="preserve"> </w:t>
      </w:r>
      <w:r w:rsidR="004A30BA">
        <w:rPr>
          <w:rFonts w:ascii="Arial" w:hAnsi="Arial" w:cs="Arial"/>
          <w:lang w:val="en-ZA"/>
        </w:rPr>
        <w:t>corresponds</w:t>
      </w:r>
      <w:r w:rsidR="00984335">
        <w:rPr>
          <w:rFonts w:ascii="Arial" w:hAnsi="Arial" w:cs="Arial"/>
          <w:lang w:val="en-ZA"/>
        </w:rPr>
        <w:t xml:space="preserve"> with the bullet wound on the right upper arm of the deceased.</w:t>
      </w:r>
      <w:r>
        <w:rPr>
          <w:rFonts w:ascii="Arial" w:hAnsi="Arial" w:cs="Arial"/>
          <w:lang w:val="en-ZA"/>
        </w:rPr>
        <w:t xml:space="preserve"> The fatal gunshot wound would not have caused instant death and the person would have lived for a short period thereafter. </w:t>
      </w:r>
      <w:r w:rsidR="007A06F7">
        <w:rPr>
          <w:rFonts w:ascii="Arial" w:hAnsi="Arial" w:cs="Arial"/>
          <w:lang w:val="en-ZA"/>
        </w:rPr>
        <w:t>This explains why the deceased was able to continue driving for a short period of time.</w:t>
      </w:r>
    </w:p>
    <w:p w:rsidR="00187379" w:rsidRDefault="00187379" w:rsidP="006B344C">
      <w:pPr>
        <w:spacing w:line="360" w:lineRule="auto"/>
        <w:jc w:val="both"/>
        <w:rPr>
          <w:rFonts w:ascii="Arial" w:hAnsi="Arial" w:cs="Arial"/>
          <w:lang w:val="en-ZA"/>
        </w:rPr>
      </w:pPr>
    </w:p>
    <w:p w:rsidR="00187379" w:rsidRDefault="00187379" w:rsidP="006B344C">
      <w:pPr>
        <w:spacing w:line="360" w:lineRule="auto"/>
        <w:jc w:val="both"/>
        <w:rPr>
          <w:rFonts w:ascii="Arial" w:hAnsi="Arial" w:cs="Arial"/>
          <w:lang w:val="en-ZA"/>
        </w:rPr>
      </w:pPr>
      <w:r>
        <w:rPr>
          <w:rFonts w:ascii="Arial" w:hAnsi="Arial" w:cs="Arial"/>
          <w:lang w:val="en-ZA"/>
        </w:rPr>
        <w:t>[</w:t>
      </w:r>
      <w:r w:rsidR="007A06F7">
        <w:rPr>
          <w:rFonts w:ascii="Arial" w:hAnsi="Arial" w:cs="Arial"/>
          <w:lang w:val="en-ZA"/>
        </w:rPr>
        <w:t>26</w:t>
      </w:r>
      <w:r>
        <w:rPr>
          <w:rFonts w:ascii="Arial" w:hAnsi="Arial" w:cs="Arial"/>
          <w:lang w:val="en-ZA"/>
        </w:rPr>
        <w:t>]   Mr Ismael Goagoseb is the brother-in-law to the accused</w:t>
      </w:r>
      <w:r w:rsidR="00833549">
        <w:rPr>
          <w:rFonts w:ascii="Arial" w:hAnsi="Arial" w:cs="Arial"/>
          <w:lang w:val="en-ZA"/>
        </w:rPr>
        <w:t xml:space="preserve"> and although his testimony has no bearing on the murder charge, it may shed light on the particulars of the charge preferred in count 2. It must however at the outset be observed that this witness did not testify in an honest and forthright manner </w:t>
      </w:r>
      <w:r w:rsidR="004A30BA">
        <w:rPr>
          <w:rFonts w:ascii="Arial" w:hAnsi="Arial" w:cs="Arial"/>
          <w:lang w:val="en-ZA"/>
        </w:rPr>
        <w:t>and</w:t>
      </w:r>
      <w:r w:rsidR="00BE7BF9">
        <w:rPr>
          <w:rFonts w:ascii="Arial" w:hAnsi="Arial" w:cs="Arial"/>
          <w:lang w:val="en-ZA"/>
        </w:rPr>
        <w:t>,</w:t>
      </w:r>
      <w:r w:rsidR="004A30BA">
        <w:rPr>
          <w:rFonts w:ascii="Arial" w:hAnsi="Arial" w:cs="Arial"/>
          <w:lang w:val="en-ZA"/>
        </w:rPr>
        <w:t xml:space="preserve"> </w:t>
      </w:r>
      <w:r w:rsidR="00833549">
        <w:rPr>
          <w:rFonts w:ascii="Arial" w:hAnsi="Arial" w:cs="Arial"/>
          <w:lang w:val="en-ZA"/>
        </w:rPr>
        <w:t xml:space="preserve">as a result </w:t>
      </w:r>
      <w:r w:rsidR="004A30BA">
        <w:rPr>
          <w:rFonts w:ascii="Arial" w:hAnsi="Arial" w:cs="Arial"/>
          <w:lang w:val="en-ZA"/>
        </w:rPr>
        <w:t>there</w:t>
      </w:r>
      <w:r w:rsidR="00833549">
        <w:rPr>
          <w:rFonts w:ascii="Arial" w:hAnsi="Arial" w:cs="Arial"/>
          <w:lang w:val="en-ZA"/>
        </w:rPr>
        <w:t>of</w:t>
      </w:r>
      <w:r w:rsidR="00BE7BF9">
        <w:rPr>
          <w:rFonts w:ascii="Arial" w:hAnsi="Arial" w:cs="Arial"/>
          <w:lang w:val="en-ZA"/>
        </w:rPr>
        <w:t>,</w:t>
      </w:r>
      <w:r w:rsidR="00833549">
        <w:rPr>
          <w:rFonts w:ascii="Arial" w:hAnsi="Arial" w:cs="Arial"/>
          <w:lang w:val="en-ZA"/>
        </w:rPr>
        <w:t xml:space="preserve"> the court should follow a cautious approach when assessing his evidence where uncorroborated</w:t>
      </w:r>
      <w:r w:rsidR="00503F50">
        <w:rPr>
          <w:rFonts w:ascii="Arial" w:hAnsi="Arial" w:cs="Arial"/>
          <w:lang w:val="en-ZA"/>
        </w:rPr>
        <w:t xml:space="preserve">.  According to him the Polo vehicle in question was a gift to him from his sister (the accused’s wife) in January 2015 and was registered in his name. He took possession of the vehicle and used it on a daily basis. As the accused experienced problems with his </w:t>
      </w:r>
      <w:r w:rsidR="00BE7BF9">
        <w:rPr>
          <w:rFonts w:ascii="Arial" w:hAnsi="Arial" w:cs="Arial"/>
          <w:lang w:val="en-ZA"/>
        </w:rPr>
        <w:t>vehicle (</w:t>
      </w:r>
      <w:r w:rsidR="00503F50">
        <w:rPr>
          <w:rFonts w:ascii="Arial" w:hAnsi="Arial" w:cs="Arial"/>
          <w:lang w:val="en-ZA"/>
        </w:rPr>
        <w:t>pickup</w:t>
      </w:r>
      <w:r w:rsidR="00BE7BF9">
        <w:rPr>
          <w:rFonts w:ascii="Arial" w:hAnsi="Arial" w:cs="Arial"/>
          <w:lang w:val="en-ZA"/>
        </w:rPr>
        <w:t>)</w:t>
      </w:r>
      <w:r w:rsidR="00503F50">
        <w:rPr>
          <w:rFonts w:ascii="Arial" w:hAnsi="Arial" w:cs="Arial"/>
          <w:lang w:val="en-ZA"/>
        </w:rPr>
        <w:t xml:space="preserve">, he offered them the Polo </w:t>
      </w:r>
      <w:r w:rsidR="00BE7BF9">
        <w:rPr>
          <w:rFonts w:ascii="Arial" w:hAnsi="Arial" w:cs="Arial"/>
          <w:lang w:val="en-ZA"/>
        </w:rPr>
        <w:t>to</w:t>
      </w:r>
      <w:r w:rsidR="00503F50">
        <w:rPr>
          <w:rFonts w:ascii="Arial" w:hAnsi="Arial" w:cs="Arial"/>
          <w:lang w:val="en-ZA"/>
        </w:rPr>
        <w:t xml:space="preserve"> use when needed, particularly over weekends when he went away. One such instance was the weekend of 09 August 2015 when the accused </w:t>
      </w:r>
      <w:r w:rsidR="00CE458E">
        <w:rPr>
          <w:rFonts w:ascii="Arial" w:hAnsi="Arial" w:cs="Arial"/>
          <w:lang w:val="en-ZA"/>
        </w:rPr>
        <w:t>used the vehicle over</w:t>
      </w:r>
      <w:r w:rsidR="00503F50">
        <w:rPr>
          <w:rFonts w:ascii="Arial" w:hAnsi="Arial" w:cs="Arial"/>
          <w:lang w:val="en-ZA"/>
        </w:rPr>
        <w:t xml:space="preserve"> the weekend. On his return he realised that </w:t>
      </w:r>
      <w:r w:rsidR="00CE458E">
        <w:rPr>
          <w:rFonts w:ascii="Arial" w:hAnsi="Arial" w:cs="Arial"/>
          <w:lang w:val="en-ZA"/>
        </w:rPr>
        <w:t>the accused had not returned the</w:t>
      </w:r>
      <w:r w:rsidR="00503F50">
        <w:rPr>
          <w:rFonts w:ascii="Arial" w:hAnsi="Arial" w:cs="Arial"/>
          <w:lang w:val="en-ZA"/>
        </w:rPr>
        <w:t xml:space="preserve"> </w:t>
      </w:r>
      <w:r w:rsidR="00CE458E">
        <w:rPr>
          <w:rFonts w:ascii="Arial" w:hAnsi="Arial" w:cs="Arial"/>
          <w:lang w:val="en-ZA"/>
        </w:rPr>
        <w:t>vehicle</w:t>
      </w:r>
      <w:r w:rsidR="00503F50">
        <w:rPr>
          <w:rFonts w:ascii="Arial" w:hAnsi="Arial" w:cs="Arial"/>
          <w:lang w:val="en-ZA"/>
        </w:rPr>
        <w:t xml:space="preserve"> but </w:t>
      </w:r>
      <w:r w:rsidR="00BE7BF9">
        <w:rPr>
          <w:rFonts w:ascii="Arial" w:hAnsi="Arial" w:cs="Arial"/>
          <w:lang w:val="en-ZA"/>
        </w:rPr>
        <w:t xml:space="preserve">he </w:t>
      </w:r>
      <w:r w:rsidR="00503F50">
        <w:rPr>
          <w:rFonts w:ascii="Arial" w:hAnsi="Arial" w:cs="Arial"/>
          <w:lang w:val="en-ZA"/>
        </w:rPr>
        <w:t xml:space="preserve">never </w:t>
      </w:r>
      <w:r w:rsidR="00CE458E">
        <w:rPr>
          <w:rFonts w:ascii="Arial" w:hAnsi="Arial" w:cs="Arial"/>
          <w:lang w:val="en-ZA"/>
        </w:rPr>
        <w:t>enquired</w:t>
      </w:r>
      <w:r w:rsidR="00503F50">
        <w:rPr>
          <w:rFonts w:ascii="Arial" w:hAnsi="Arial" w:cs="Arial"/>
          <w:lang w:val="en-ZA"/>
        </w:rPr>
        <w:t xml:space="preserve"> as to its whereabouts. He claims this to</w:t>
      </w:r>
      <w:r w:rsidR="00CE458E">
        <w:rPr>
          <w:rFonts w:ascii="Arial" w:hAnsi="Arial" w:cs="Arial"/>
          <w:lang w:val="en-ZA"/>
        </w:rPr>
        <w:t xml:space="preserve"> have</w:t>
      </w:r>
      <w:r w:rsidR="00503F50">
        <w:rPr>
          <w:rFonts w:ascii="Arial" w:hAnsi="Arial" w:cs="Arial"/>
          <w:lang w:val="en-ZA"/>
        </w:rPr>
        <w:t xml:space="preserve"> be</w:t>
      </w:r>
      <w:r w:rsidR="00CE458E">
        <w:rPr>
          <w:rFonts w:ascii="Arial" w:hAnsi="Arial" w:cs="Arial"/>
          <w:lang w:val="en-ZA"/>
        </w:rPr>
        <w:t>en</w:t>
      </w:r>
      <w:r w:rsidR="00503F50">
        <w:rPr>
          <w:rFonts w:ascii="Arial" w:hAnsi="Arial" w:cs="Arial"/>
          <w:lang w:val="en-ZA"/>
        </w:rPr>
        <w:t xml:space="preserve"> </w:t>
      </w:r>
      <w:r w:rsidR="008A0624">
        <w:rPr>
          <w:rFonts w:ascii="Arial" w:hAnsi="Arial" w:cs="Arial"/>
          <w:lang w:val="en-ZA"/>
        </w:rPr>
        <w:t xml:space="preserve">the </w:t>
      </w:r>
      <w:r w:rsidR="00CE458E">
        <w:rPr>
          <w:rFonts w:ascii="Arial" w:hAnsi="Arial" w:cs="Arial"/>
          <w:lang w:val="en-ZA"/>
        </w:rPr>
        <w:t>position until the time of the hearing,</w:t>
      </w:r>
      <w:r w:rsidR="00503F50">
        <w:rPr>
          <w:rFonts w:ascii="Arial" w:hAnsi="Arial" w:cs="Arial"/>
          <w:lang w:val="en-ZA"/>
        </w:rPr>
        <w:t xml:space="preserve"> two years </w:t>
      </w:r>
      <w:r w:rsidR="00CE458E">
        <w:rPr>
          <w:rFonts w:ascii="Arial" w:hAnsi="Arial" w:cs="Arial"/>
          <w:lang w:val="en-ZA"/>
        </w:rPr>
        <w:t>later</w:t>
      </w:r>
      <w:r w:rsidR="00BE7BF9">
        <w:rPr>
          <w:rFonts w:ascii="Arial" w:hAnsi="Arial" w:cs="Arial"/>
          <w:lang w:val="en-ZA"/>
        </w:rPr>
        <w:t>; neither did he approach</w:t>
      </w:r>
      <w:r w:rsidR="008A0624">
        <w:rPr>
          <w:rFonts w:ascii="Arial" w:hAnsi="Arial" w:cs="Arial"/>
          <w:lang w:val="en-ZA"/>
        </w:rPr>
        <w:t xml:space="preserve"> the accused in that regard ‘as he trusted him’. Objectively viewed, I find the explanation implausible.</w:t>
      </w:r>
    </w:p>
    <w:p w:rsidR="00574F5B" w:rsidRDefault="00574F5B" w:rsidP="006B344C">
      <w:pPr>
        <w:spacing w:line="360" w:lineRule="auto"/>
        <w:jc w:val="both"/>
        <w:rPr>
          <w:rFonts w:ascii="Arial" w:hAnsi="Arial" w:cs="Arial"/>
          <w:lang w:val="en-ZA"/>
        </w:rPr>
      </w:pPr>
    </w:p>
    <w:p w:rsidR="00574F5B" w:rsidRPr="00574F5B" w:rsidRDefault="00CE458E" w:rsidP="006B344C">
      <w:pPr>
        <w:spacing w:line="360" w:lineRule="auto"/>
        <w:jc w:val="both"/>
        <w:rPr>
          <w:rFonts w:ascii="Arial" w:hAnsi="Arial" w:cs="Arial"/>
          <w:u w:val="single"/>
          <w:lang w:val="en-ZA"/>
        </w:rPr>
      </w:pPr>
      <w:r>
        <w:rPr>
          <w:rFonts w:ascii="Arial" w:hAnsi="Arial" w:cs="Arial"/>
          <w:u w:val="single"/>
          <w:lang w:val="en-ZA"/>
        </w:rPr>
        <w:t>The defence case</w:t>
      </w:r>
    </w:p>
    <w:p w:rsidR="008A0624" w:rsidRDefault="008A0624" w:rsidP="006B344C">
      <w:pPr>
        <w:spacing w:line="360" w:lineRule="auto"/>
        <w:jc w:val="both"/>
        <w:rPr>
          <w:rFonts w:ascii="Arial" w:hAnsi="Arial" w:cs="Arial"/>
          <w:lang w:val="en-ZA"/>
        </w:rPr>
      </w:pPr>
    </w:p>
    <w:p w:rsidR="00711DB3" w:rsidRDefault="008A0624" w:rsidP="006B344C">
      <w:pPr>
        <w:spacing w:line="360" w:lineRule="auto"/>
        <w:jc w:val="both"/>
        <w:rPr>
          <w:rFonts w:ascii="Arial" w:hAnsi="Arial" w:cs="Arial"/>
          <w:lang w:val="en-ZA"/>
        </w:rPr>
      </w:pPr>
      <w:r>
        <w:rPr>
          <w:rFonts w:ascii="Arial" w:hAnsi="Arial" w:cs="Arial"/>
          <w:lang w:val="en-ZA"/>
        </w:rPr>
        <w:t>[</w:t>
      </w:r>
      <w:r w:rsidR="00CE458E">
        <w:rPr>
          <w:rFonts w:ascii="Arial" w:hAnsi="Arial" w:cs="Arial"/>
          <w:lang w:val="en-ZA"/>
        </w:rPr>
        <w:t>27</w:t>
      </w:r>
      <w:r>
        <w:rPr>
          <w:rFonts w:ascii="Arial" w:hAnsi="Arial" w:cs="Arial"/>
          <w:lang w:val="en-ZA"/>
        </w:rPr>
        <w:t xml:space="preserve">]   </w:t>
      </w:r>
      <w:r w:rsidR="00F85346">
        <w:rPr>
          <w:rFonts w:ascii="Arial" w:hAnsi="Arial" w:cs="Arial"/>
          <w:lang w:val="en-ZA"/>
        </w:rPr>
        <w:t>Accused testified in his defence and regarding ownership of the Polo vehicle said he had bought it for his wife and</w:t>
      </w:r>
      <w:r w:rsidR="00CE458E">
        <w:rPr>
          <w:rFonts w:ascii="Arial" w:hAnsi="Arial" w:cs="Arial"/>
          <w:lang w:val="en-ZA"/>
        </w:rPr>
        <w:t>,</w:t>
      </w:r>
      <w:r w:rsidR="00F85346">
        <w:rPr>
          <w:rFonts w:ascii="Arial" w:hAnsi="Arial" w:cs="Arial"/>
          <w:lang w:val="en-ZA"/>
        </w:rPr>
        <w:t xml:space="preserve"> as far as he was concerned, it still belonged to her. He was however at odds to explain why the vehicle </w:t>
      </w:r>
      <w:r w:rsidR="00CE458E">
        <w:rPr>
          <w:rFonts w:ascii="Arial" w:hAnsi="Arial" w:cs="Arial"/>
          <w:lang w:val="en-ZA"/>
        </w:rPr>
        <w:t xml:space="preserve">in the </w:t>
      </w:r>
      <w:r w:rsidR="00CE458E">
        <w:rPr>
          <w:rFonts w:ascii="Arial" w:hAnsi="Arial" w:cs="Arial"/>
          <w:lang w:val="en-ZA"/>
        </w:rPr>
        <w:lastRenderedPageBreak/>
        <w:t xml:space="preserve">meantime </w:t>
      </w:r>
      <w:r w:rsidR="00F85346">
        <w:rPr>
          <w:rFonts w:ascii="Arial" w:hAnsi="Arial" w:cs="Arial"/>
          <w:lang w:val="en-ZA"/>
        </w:rPr>
        <w:t>had been transferred into the name of her brother, Ismael Goagoseb</w:t>
      </w:r>
      <w:r w:rsidR="00BE7BF9">
        <w:rPr>
          <w:rFonts w:ascii="Arial" w:hAnsi="Arial" w:cs="Arial"/>
          <w:lang w:val="en-ZA"/>
        </w:rPr>
        <w:t>,</w:t>
      </w:r>
      <w:r w:rsidR="00F85346">
        <w:rPr>
          <w:rFonts w:ascii="Arial" w:hAnsi="Arial" w:cs="Arial"/>
          <w:lang w:val="en-ZA"/>
        </w:rPr>
        <w:t xml:space="preserve"> who clearly took possession </w:t>
      </w:r>
      <w:r w:rsidR="006F5B93">
        <w:rPr>
          <w:rFonts w:ascii="Arial" w:hAnsi="Arial" w:cs="Arial"/>
          <w:lang w:val="en-ZA"/>
        </w:rPr>
        <w:t>of the vehicle and made full use of it</w:t>
      </w:r>
      <w:r w:rsidR="00CE458E">
        <w:rPr>
          <w:rFonts w:ascii="Arial" w:hAnsi="Arial" w:cs="Arial"/>
          <w:lang w:val="en-ZA"/>
        </w:rPr>
        <w:t xml:space="preserve"> as the owner would</w:t>
      </w:r>
      <w:r w:rsidR="006F5B93">
        <w:rPr>
          <w:rFonts w:ascii="Arial" w:hAnsi="Arial" w:cs="Arial"/>
          <w:lang w:val="en-ZA"/>
        </w:rPr>
        <w:t xml:space="preserve">. </w:t>
      </w:r>
      <w:r w:rsidR="003F2F6E">
        <w:rPr>
          <w:rFonts w:ascii="Arial" w:hAnsi="Arial" w:cs="Arial"/>
          <w:lang w:val="en-ZA"/>
        </w:rPr>
        <w:t xml:space="preserve">I pause to observe that during the bail application the accused confirmed that the vehicle belonged to Ismael but has now come up with the explanation that he could have made a mistake as he was eager to </w:t>
      </w:r>
      <w:r w:rsidR="00711DB3">
        <w:rPr>
          <w:rFonts w:ascii="Arial" w:hAnsi="Arial" w:cs="Arial"/>
          <w:lang w:val="en-ZA"/>
        </w:rPr>
        <w:t>get bail and mostly focussed on his freedom. To this end he clearly contradicted himself.</w:t>
      </w:r>
    </w:p>
    <w:p w:rsidR="00711DB3" w:rsidRDefault="00711DB3" w:rsidP="006B344C">
      <w:pPr>
        <w:spacing w:line="360" w:lineRule="auto"/>
        <w:jc w:val="both"/>
        <w:rPr>
          <w:rFonts w:ascii="Arial" w:hAnsi="Arial" w:cs="Arial"/>
          <w:lang w:val="en-ZA"/>
        </w:rPr>
      </w:pPr>
    </w:p>
    <w:p w:rsidR="008A0624" w:rsidRDefault="00711DB3" w:rsidP="006B344C">
      <w:pPr>
        <w:spacing w:line="360" w:lineRule="auto"/>
        <w:jc w:val="both"/>
        <w:rPr>
          <w:rFonts w:ascii="Arial" w:hAnsi="Arial" w:cs="Arial"/>
          <w:lang w:val="en-ZA"/>
        </w:rPr>
      </w:pPr>
      <w:r>
        <w:rPr>
          <w:rFonts w:ascii="Arial" w:hAnsi="Arial" w:cs="Arial"/>
          <w:lang w:val="en-ZA"/>
        </w:rPr>
        <w:t>[</w:t>
      </w:r>
      <w:r w:rsidR="00CE458E">
        <w:rPr>
          <w:rFonts w:ascii="Arial" w:hAnsi="Arial" w:cs="Arial"/>
          <w:lang w:val="en-ZA"/>
        </w:rPr>
        <w:t>28</w:t>
      </w:r>
      <w:r>
        <w:rPr>
          <w:rFonts w:ascii="Arial" w:hAnsi="Arial" w:cs="Arial"/>
          <w:lang w:val="en-ZA"/>
        </w:rPr>
        <w:t xml:space="preserve">]   </w:t>
      </w:r>
      <w:r w:rsidR="006F5B93">
        <w:rPr>
          <w:rFonts w:ascii="Arial" w:hAnsi="Arial" w:cs="Arial"/>
          <w:lang w:val="en-ZA"/>
        </w:rPr>
        <w:t xml:space="preserve">Be that as it may, the said vehicle was brought to him at his </w:t>
      </w:r>
      <w:r w:rsidR="006012AE">
        <w:rPr>
          <w:rFonts w:ascii="Arial" w:hAnsi="Arial" w:cs="Arial"/>
          <w:lang w:val="en-ZA"/>
        </w:rPr>
        <w:t>request during the morning of 08</w:t>
      </w:r>
      <w:r w:rsidR="006F5B93">
        <w:rPr>
          <w:rFonts w:ascii="Arial" w:hAnsi="Arial" w:cs="Arial"/>
          <w:lang w:val="en-ZA"/>
        </w:rPr>
        <w:t xml:space="preserve"> August 2015 </w:t>
      </w:r>
      <w:r w:rsidR="00CE458E">
        <w:rPr>
          <w:rFonts w:ascii="Arial" w:hAnsi="Arial" w:cs="Arial"/>
          <w:lang w:val="en-ZA"/>
        </w:rPr>
        <w:t>and</w:t>
      </w:r>
      <w:r w:rsidR="006F5B93">
        <w:rPr>
          <w:rFonts w:ascii="Arial" w:hAnsi="Arial" w:cs="Arial"/>
          <w:lang w:val="en-ZA"/>
        </w:rPr>
        <w:t xml:space="preserve"> he </w:t>
      </w:r>
      <w:r w:rsidR="00BE7BF9">
        <w:rPr>
          <w:rFonts w:ascii="Arial" w:hAnsi="Arial" w:cs="Arial"/>
          <w:lang w:val="en-ZA"/>
        </w:rPr>
        <w:t xml:space="preserve">had </w:t>
      </w:r>
      <w:r w:rsidR="00CE458E">
        <w:rPr>
          <w:rFonts w:ascii="Arial" w:hAnsi="Arial" w:cs="Arial"/>
          <w:lang w:val="en-ZA"/>
        </w:rPr>
        <w:t>been using it</w:t>
      </w:r>
      <w:r w:rsidR="006F5B93">
        <w:rPr>
          <w:rFonts w:ascii="Arial" w:hAnsi="Arial" w:cs="Arial"/>
          <w:lang w:val="en-ZA"/>
        </w:rPr>
        <w:t xml:space="preserve"> to go to the car wash</w:t>
      </w:r>
      <w:r w:rsidR="00CE458E">
        <w:rPr>
          <w:rFonts w:ascii="Arial" w:hAnsi="Arial" w:cs="Arial"/>
          <w:lang w:val="en-ZA"/>
        </w:rPr>
        <w:t>/bar</w:t>
      </w:r>
      <w:r w:rsidR="006F5B93">
        <w:rPr>
          <w:rFonts w:ascii="Arial" w:hAnsi="Arial" w:cs="Arial"/>
          <w:lang w:val="en-ZA"/>
        </w:rPr>
        <w:t xml:space="preserve"> later that </w:t>
      </w:r>
      <w:r w:rsidR="00CE458E">
        <w:rPr>
          <w:rFonts w:ascii="Arial" w:hAnsi="Arial" w:cs="Arial"/>
          <w:lang w:val="en-ZA"/>
        </w:rPr>
        <w:t>day</w:t>
      </w:r>
      <w:r w:rsidR="006F5B93">
        <w:rPr>
          <w:rFonts w:ascii="Arial" w:hAnsi="Arial" w:cs="Arial"/>
          <w:lang w:val="en-ZA"/>
        </w:rPr>
        <w:t xml:space="preserve"> where he met </w:t>
      </w:r>
      <w:r w:rsidR="00BE7BF9">
        <w:rPr>
          <w:rFonts w:ascii="Arial" w:hAnsi="Arial" w:cs="Arial"/>
          <w:lang w:val="en-ZA"/>
        </w:rPr>
        <w:t xml:space="preserve">up with </w:t>
      </w:r>
      <w:r w:rsidR="006F5B93">
        <w:rPr>
          <w:rFonts w:ascii="Arial" w:hAnsi="Arial" w:cs="Arial"/>
          <w:lang w:val="en-ZA"/>
        </w:rPr>
        <w:t>his brother Chris and some friends. He confirmed meeting Fenola at the time. Contrary to Fenola’s evidence she, according to him, drank whisky and not cider as she testified</w:t>
      </w:r>
      <w:r w:rsidR="00CE458E">
        <w:rPr>
          <w:rFonts w:ascii="Arial" w:hAnsi="Arial" w:cs="Arial"/>
          <w:lang w:val="en-ZA"/>
        </w:rPr>
        <w:t>, thereby implying that it</w:t>
      </w:r>
      <w:r w:rsidR="006F5B93">
        <w:rPr>
          <w:rFonts w:ascii="Arial" w:hAnsi="Arial" w:cs="Arial"/>
          <w:lang w:val="en-ZA"/>
        </w:rPr>
        <w:t xml:space="preserve"> explained</w:t>
      </w:r>
      <w:r w:rsidR="00502ACB">
        <w:rPr>
          <w:rFonts w:ascii="Arial" w:hAnsi="Arial" w:cs="Arial"/>
          <w:lang w:val="en-ZA"/>
        </w:rPr>
        <w:t xml:space="preserve"> the joyful mood she was in. However, </w:t>
      </w:r>
      <w:r w:rsidR="00C33551">
        <w:rPr>
          <w:rFonts w:ascii="Arial" w:hAnsi="Arial" w:cs="Arial"/>
          <w:lang w:val="en-ZA"/>
        </w:rPr>
        <w:t>it was never put to Fenola in cross-examination that she drank whisky</w:t>
      </w:r>
      <w:r w:rsidR="003F2F6E">
        <w:rPr>
          <w:rFonts w:ascii="Arial" w:hAnsi="Arial" w:cs="Arial"/>
          <w:lang w:val="en-ZA"/>
        </w:rPr>
        <w:t xml:space="preserve"> earlier that evening. In the absence of evidence that Fenola was under the influence before or during the shooting incident which might have affected her observation skills, n</w:t>
      </w:r>
      <w:r w:rsidR="00502ACB">
        <w:rPr>
          <w:rFonts w:ascii="Arial" w:hAnsi="Arial" w:cs="Arial"/>
          <w:lang w:val="en-ZA"/>
        </w:rPr>
        <w:t>othing further turns on this part of the evidence. At some stage the accused was taken home to dress into something more comfortable and as he intended withdrawing money from the ATM at night – something he considered to be unsafe – he decided to take his firearm along and carried it in the holster on his waist.</w:t>
      </w:r>
    </w:p>
    <w:p w:rsidR="00502ACB" w:rsidRDefault="00502ACB" w:rsidP="006B344C">
      <w:pPr>
        <w:spacing w:line="360" w:lineRule="auto"/>
        <w:jc w:val="both"/>
        <w:rPr>
          <w:rFonts w:ascii="Arial" w:hAnsi="Arial" w:cs="Arial"/>
          <w:lang w:val="en-ZA"/>
        </w:rPr>
      </w:pPr>
    </w:p>
    <w:p w:rsidR="00502ACB" w:rsidRDefault="00502ACB" w:rsidP="006B344C">
      <w:pPr>
        <w:spacing w:line="360" w:lineRule="auto"/>
        <w:jc w:val="both"/>
        <w:rPr>
          <w:rFonts w:ascii="Arial" w:hAnsi="Arial" w:cs="Arial"/>
          <w:lang w:val="en-ZA"/>
        </w:rPr>
      </w:pPr>
      <w:r>
        <w:rPr>
          <w:rFonts w:ascii="Arial" w:hAnsi="Arial" w:cs="Arial"/>
          <w:lang w:val="en-ZA"/>
        </w:rPr>
        <w:t>[</w:t>
      </w:r>
      <w:r w:rsidR="00CE458E">
        <w:rPr>
          <w:rFonts w:ascii="Arial" w:hAnsi="Arial" w:cs="Arial"/>
          <w:lang w:val="en-ZA"/>
        </w:rPr>
        <w:t>29</w:t>
      </w:r>
      <w:r>
        <w:rPr>
          <w:rFonts w:ascii="Arial" w:hAnsi="Arial" w:cs="Arial"/>
          <w:lang w:val="en-ZA"/>
        </w:rPr>
        <w:t xml:space="preserve">]   </w:t>
      </w:r>
      <w:r w:rsidR="00CE458E">
        <w:rPr>
          <w:rFonts w:ascii="Arial" w:hAnsi="Arial" w:cs="Arial"/>
          <w:lang w:val="en-ZA"/>
        </w:rPr>
        <w:t xml:space="preserve">He confirmed that he and </w:t>
      </w:r>
      <w:r>
        <w:rPr>
          <w:rFonts w:ascii="Arial" w:hAnsi="Arial" w:cs="Arial"/>
          <w:lang w:val="en-ZA"/>
        </w:rPr>
        <w:t xml:space="preserve">Fenola drove to Joker’s Club where they arrived at around 23:30 and </w:t>
      </w:r>
      <w:r w:rsidR="00BE7BF9">
        <w:rPr>
          <w:rFonts w:ascii="Arial" w:hAnsi="Arial" w:cs="Arial"/>
          <w:lang w:val="en-ZA"/>
        </w:rPr>
        <w:t xml:space="preserve">remained seated </w:t>
      </w:r>
      <w:r>
        <w:rPr>
          <w:rFonts w:ascii="Arial" w:hAnsi="Arial" w:cs="Arial"/>
          <w:lang w:val="en-ZA"/>
        </w:rPr>
        <w:t xml:space="preserve">in the car </w:t>
      </w:r>
      <w:r w:rsidR="00BE7BF9">
        <w:rPr>
          <w:rFonts w:ascii="Arial" w:hAnsi="Arial" w:cs="Arial"/>
          <w:lang w:val="en-ZA"/>
        </w:rPr>
        <w:t xml:space="preserve">whilst </w:t>
      </w:r>
      <w:r>
        <w:rPr>
          <w:rFonts w:ascii="Arial" w:hAnsi="Arial" w:cs="Arial"/>
          <w:lang w:val="en-ZA"/>
        </w:rPr>
        <w:t>waiting for the others to arrive. According to him he would only drop her off at the club and d</w:t>
      </w:r>
      <w:r w:rsidR="00EB5D10">
        <w:rPr>
          <w:rFonts w:ascii="Arial" w:hAnsi="Arial" w:cs="Arial"/>
          <w:lang w:val="en-ZA"/>
        </w:rPr>
        <w:t xml:space="preserve">id not intend joining the others as testified by Fenola. </w:t>
      </w:r>
      <w:r w:rsidR="00605131">
        <w:rPr>
          <w:rFonts w:ascii="Arial" w:hAnsi="Arial" w:cs="Arial"/>
          <w:lang w:val="en-ZA"/>
        </w:rPr>
        <w:t>On this point his evidence is contradicted not only by Fenola, but also by defence witness Isak Indongo. Accused narrated how</w:t>
      </w:r>
      <w:r w:rsidR="00EB5D10">
        <w:rPr>
          <w:rFonts w:ascii="Arial" w:hAnsi="Arial" w:cs="Arial"/>
          <w:lang w:val="en-ZA"/>
        </w:rPr>
        <w:t xml:space="preserve"> their vehicle was bumped in the rear by another vehicle whereupon he disembarked in order to see what had happened. </w:t>
      </w:r>
      <w:r w:rsidR="00527E11">
        <w:rPr>
          <w:rFonts w:ascii="Arial" w:hAnsi="Arial" w:cs="Arial"/>
          <w:lang w:val="en-ZA"/>
        </w:rPr>
        <w:t>Whilst still on his way to the</w:t>
      </w:r>
      <w:r w:rsidR="00EB5D10">
        <w:rPr>
          <w:rFonts w:ascii="Arial" w:hAnsi="Arial" w:cs="Arial"/>
          <w:lang w:val="en-ZA"/>
        </w:rPr>
        <w:t xml:space="preserve"> </w:t>
      </w:r>
      <w:r w:rsidR="00527E11">
        <w:rPr>
          <w:rFonts w:ascii="Arial" w:hAnsi="Arial" w:cs="Arial"/>
          <w:lang w:val="en-ZA"/>
        </w:rPr>
        <w:t xml:space="preserve">other </w:t>
      </w:r>
      <w:r w:rsidR="00EB5D10">
        <w:rPr>
          <w:rFonts w:ascii="Arial" w:hAnsi="Arial" w:cs="Arial"/>
          <w:lang w:val="en-ZA"/>
        </w:rPr>
        <w:t>vehicle he heard the engine being revved</w:t>
      </w:r>
      <w:r w:rsidR="00605131">
        <w:rPr>
          <w:rFonts w:ascii="Arial" w:hAnsi="Arial" w:cs="Arial"/>
          <w:lang w:val="en-ZA"/>
        </w:rPr>
        <w:t>,</w:t>
      </w:r>
      <w:r w:rsidR="00EB5D10">
        <w:rPr>
          <w:rFonts w:ascii="Arial" w:hAnsi="Arial" w:cs="Arial"/>
          <w:lang w:val="en-ZA"/>
        </w:rPr>
        <w:t xml:space="preserve"> where after it first reversed </w:t>
      </w:r>
      <w:r w:rsidR="00527E11">
        <w:rPr>
          <w:rFonts w:ascii="Arial" w:hAnsi="Arial" w:cs="Arial"/>
          <w:lang w:val="en-ZA"/>
        </w:rPr>
        <w:t xml:space="preserve">and </w:t>
      </w:r>
      <w:r w:rsidR="00EB5D10">
        <w:rPr>
          <w:rFonts w:ascii="Arial" w:hAnsi="Arial" w:cs="Arial"/>
          <w:lang w:val="en-ZA"/>
        </w:rPr>
        <w:t xml:space="preserve">with screeching tyres </w:t>
      </w:r>
      <w:r w:rsidR="00527E11">
        <w:rPr>
          <w:rFonts w:ascii="Arial" w:hAnsi="Arial" w:cs="Arial"/>
          <w:lang w:val="en-ZA"/>
        </w:rPr>
        <w:t>then dashed forward</w:t>
      </w:r>
      <w:r w:rsidR="00EB5D10">
        <w:rPr>
          <w:rFonts w:ascii="Arial" w:hAnsi="Arial" w:cs="Arial"/>
          <w:lang w:val="en-ZA"/>
        </w:rPr>
        <w:t xml:space="preserve"> charging at him. By that time h</w:t>
      </w:r>
      <w:r w:rsidR="00605131">
        <w:rPr>
          <w:rFonts w:ascii="Arial" w:hAnsi="Arial" w:cs="Arial"/>
          <w:lang w:val="en-ZA"/>
        </w:rPr>
        <w:t>e was about 1,5 metres from the said vehicle. H</w:t>
      </w:r>
      <w:r w:rsidR="00EB5D10">
        <w:rPr>
          <w:rFonts w:ascii="Arial" w:hAnsi="Arial" w:cs="Arial"/>
          <w:lang w:val="en-ZA"/>
        </w:rPr>
        <w:t xml:space="preserve">e got frightened and shocked, pulled out his firearm and </w:t>
      </w:r>
      <w:r w:rsidR="00527E11">
        <w:rPr>
          <w:rFonts w:ascii="Arial" w:hAnsi="Arial" w:cs="Arial"/>
          <w:lang w:val="en-ZA"/>
        </w:rPr>
        <w:t xml:space="preserve">in </w:t>
      </w:r>
      <w:r w:rsidR="00527E11">
        <w:rPr>
          <w:rFonts w:ascii="Arial" w:hAnsi="Arial" w:cs="Arial"/>
          <w:lang w:val="en-ZA"/>
        </w:rPr>
        <w:lastRenderedPageBreak/>
        <w:t xml:space="preserve">an attempt </w:t>
      </w:r>
      <w:r w:rsidR="00EB5D10">
        <w:rPr>
          <w:rFonts w:ascii="Arial" w:hAnsi="Arial" w:cs="Arial"/>
          <w:lang w:val="en-ZA"/>
        </w:rPr>
        <w:t xml:space="preserve">to stop the </w:t>
      </w:r>
      <w:r w:rsidR="00527E11">
        <w:rPr>
          <w:rFonts w:ascii="Arial" w:hAnsi="Arial" w:cs="Arial"/>
          <w:lang w:val="en-ZA"/>
        </w:rPr>
        <w:t xml:space="preserve">approaching </w:t>
      </w:r>
      <w:r w:rsidR="00EB5D10">
        <w:rPr>
          <w:rFonts w:ascii="Arial" w:hAnsi="Arial" w:cs="Arial"/>
          <w:lang w:val="en-ZA"/>
        </w:rPr>
        <w:t xml:space="preserve">vehicle </w:t>
      </w:r>
      <w:r w:rsidR="00527E11">
        <w:rPr>
          <w:rFonts w:ascii="Arial" w:hAnsi="Arial" w:cs="Arial"/>
          <w:lang w:val="en-ZA"/>
        </w:rPr>
        <w:t>– as an act of self-defence –</w:t>
      </w:r>
      <w:r w:rsidR="00EB5D10">
        <w:rPr>
          <w:rFonts w:ascii="Arial" w:hAnsi="Arial" w:cs="Arial"/>
          <w:lang w:val="en-ZA"/>
        </w:rPr>
        <w:t xml:space="preserve"> fir</w:t>
      </w:r>
      <w:r w:rsidR="00527E11">
        <w:rPr>
          <w:rFonts w:ascii="Arial" w:hAnsi="Arial" w:cs="Arial"/>
          <w:lang w:val="en-ZA"/>
        </w:rPr>
        <w:t>ed</w:t>
      </w:r>
      <w:r w:rsidR="00EB5D10">
        <w:rPr>
          <w:rFonts w:ascii="Arial" w:hAnsi="Arial" w:cs="Arial"/>
          <w:lang w:val="en-ZA"/>
        </w:rPr>
        <w:t xml:space="preserve"> </w:t>
      </w:r>
      <w:r w:rsidR="00527E11">
        <w:rPr>
          <w:rFonts w:ascii="Arial" w:hAnsi="Arial" w:cs="Arial"/>
          <w:lang w:val="en-ZA"/>
        </w:rPr>
        <w:t>at the tyres of the</w:t>
      </w:r>
      <w:r w:rsidR="00EB5D10">
        <w:rPr>
          <w:rFonts w:ascii="Arial" w:hAnsi="Arial" w:cs="Arial"/>
          <w:lang w:val="en-ZA"/>
        </w:rPr>
        <w:t xml:space="preserve"> vehicle.</w:t>
      </w:r>
      <w:r w:rsidR="003F0149">
        <w:rPr>
          <w:rFonts w:ascii="Arial" w:hAnsi="Arial" w:cs="Arial"/>
          <w:lang w:val="en-ZA"/>
        </w:rPr>
        <w:t xml:space="preserve"> By then he had moved more towards the other side of the </w:t>
      </w:r>
      <w:r w:rsidR="00527E11">
        <w:rPr>
          <w:rFonts w:ascii="Arial" w:hAnsi="Arial" w:cs="Arial"/>
          <w:lang w:val="en-ZA"/>
        </w:rPr>
        <w:t xml:space="preserve">road </w:t>
      </w:r>
      <w:r w:rsidR="003F0149">
        <w:rPr>
          <w:rFonts w:ascii="Arial" w:hAnsi="Arial" w:cs="Arial"/>
          <w:lang w:val="en-ZA"/>
        </w:rPr>
        <w:t xml:space="preserve">as he had to give way to avoid being run over. He explained that he had his finger on the trigger when he moved </w:t>
      </w:r>
      <w:r w:rsidR="00527E11">
        <w:rPr>
          <w:rFonts w:ascii="Arial" w:hAnsi="Arial" w:cs="Arial"/>
          <w:lang w:val="en-ZA"/>
        </w:rPr>
        <w:t xml:space="preserve">out of harms </w:t>
      </w:r>
      <w:r w:rsidR="003F0149">
        <w:rPr>
          <w:rFonts w:ascii="Arial" w:hAnsi="Arial" w:cs="Arial"/>
          <w:lang w:val="en-ZA"/>
        </w:rPr>
        <w:t xml:space="preserve">way and was so shocked that he did not realise that more shots were fired. This he only realised </w:t>
      </w:r>
      <w:r w:rsidR="00527E11">
        <w:rPr>
          <w:rFonts w:ascii="Arial" w:hAnsi="Arial" w:cs="Arial"/>
          <w:lang w:val="en-ZA"/>
        </w:rPr>
        <w:t>when</w:t>
      </w:r>
      <w:r w:rsidR="003F0149">
        <w:rPr>
          <w:rFonts w:ascii="Arial" w:hAnsi="Arial" w:cs="Arial"/>
          <w:lang w:val="en-ZA"/>
        </w:rPr>
        <w:t xml:space="preserve"> there were no more rounds left in the magazine. The vehicle continued driving and because of the </w:t>
      </w:r>
      <w:r w:rsidR="00527E11">
        <w:rPr>
          <w:rFonts w:ascii="Arial" w:hAnsi="Arial" w:cs="Arial"/>
          <w:lang w:val="en-ZA"/>
        </w:rPr>
        <w:t xml:space="preserve">noise made by the </w:t>
      </w:r>
      <w:r w:rsidR="003F0149">
        <w:rPr>
          <w:rFonts w:ascii="Arial" w:hAnsi="Arial" w:cs="Arial"/>
          <w:lang w:val="en-ZA"/>
        </w:rPr>
        <w:t>shots fired, he did not hear anyone calling out at him.</w:t>
      </w:r>
    </w:p>
    <w:p w:rsidR="003F0149" w:rsidRDefault="003F0149" w:rsidP="006B344C">
      <w:pPr>
        <w:spacing w:line="360" w:lineRule="auto"/>
        <w:jc w:val="both"/>
        <w:rPr>
          <w:rFonts w:ascii="Arial" w:hAnsi="Arial" w:cs="Arial"/>
          <w:lang w:val="en-ZA"/>
        </w:rPr>
      </w:pPr>
    </w:p>
    <w:p w:rsidR="004C2F35" w:rsidRDefault="003F0149" w:rsidP="006B344C">
      <w:pPr>
        <w:spacing w:line="360" w:lineRule="auto"/>
        <w:jc w:val="both"/>
        <w:rPr>
          <w:rFonts w:ascii="Arial" w:hAnsi="Arial" w:cs="Arial"/>
          <w:lang w:val="en-ZA"/>
        </w:rPr>
      </w:pPr>
      <w:r>
        <w:rPr>
          <w:rFonts w:ascii="Arial" w:hAnsi="Arial" w:cs="Arial"/>
          <w:lang w:val="en-ZA"/>
        </w:rPr>
        <w:t>[</w:t>
      </w:r>
      <w:r w:rsidR="00527E11">
        <w:rPr>
          <w:rFonts w:ascii="Arial" w:hAnsi="Arial" w:cs="Arial"/>
          <w:lang w:val="en-ZA"/>
        </w:rPr>
        <w:t>30</w:t>
      </w:r>
      <w:r>
        <w:rPr>
          <w:rFonts w:ascii="Arial" w:hAnsi="Arial" w:cs="Arial"/>
          <w:lang w:val="en-ZA"/>
        </w:rPr>
        <w:t xml:space="preserve">]   On his way back to his car he saw a taxi passing </w:t>
      </w:r>
      <w:r w:rsidR="00527E11">
        <w:rPr>
          <w:rFonts w:ascii="Arial" w:hAnsi="Arial" w:cs="Arial"/>
          <w:lang w:val="en-ZA"/>
        </w:rPr>
        <w:t xml:space="preserve">him </w:t>
      </w:r>
      <w:r>
        <w:rPr>
          <w:rFonts w:ascii="Arial" w:hAnsi="Arial" w:cs="Arial"/>
          <w:lang w:val="en-ZA"/>
        </w:rPr>
        <w:t xml:space="preserve">which, according to him, had not been on the scene at the time of the shooting. He found Fenola </w:t>
      </w:r>
      <w:r w:rsidR="00605131">
        <w:rPr>
          <w:rFonts w:ascii="Arial" w:hAnsi="Arial" w:cs="Arial"/>
          <w:lang w:val="en-ZA"/>
        </w:rPr>
        <w:t xml:space="preserve">standing </w:t>
      </w:r>
      <w:r>
        <w:rPr>
          <w:rFonts w:ascii="Arial" w:hAnsi="Arial" w:cs="Arial"/>
          <w:lang w:val="en-ZA"/>
        </w:rPr>
        <w:t xml:space="preserve">outside the car on the driver’s </w:t>
      </w:r>
      <w:r w:rsidR="00C32C2B">
        <w:rPr>
          <w:rFonts w:ascii="Arial" w:hAnsi="Arial" w:cs="Arial"/>
          <w:lang w:val="en-ZA"/>
        </w:rPr>
        <w:t>side. Nothing was said between the two of them and after they got back in</w:t>
      </w:r>
      <w:r w:rsidR="00605131">
        <w:rPr>
          <w:rFonts w:ascii="Arial" w:hAnsi="Arial" w:cs="Arial"/>
          <w:lang w:val="en-ZA"/>
        </w:rPr>
        <w:t>to their vehicle,</w:t>
      </w:r>
      <w:r w:rsidR="00C32C2B">
        <w:rPr>
          <w:rFonts w:ascii="Arial" w:hAnsi="Arial" w:cs="Arial"/>
          <w:lang w:val="en-ZA"/>
        </w:rPr>
        <w:t xml:space="preserve"> he </w:t>
      </w:r>
      <w:r w:rsidR="00605131">
        <w:rPr>
          <w:rFonts w:ascii="Arial" w:hAnsi="Arial" w:cs="Arial"/>
          <w:lang w:val="en-ZA"/>
        </w:rPr>
        <w:t>drove</w:t>
      </w:r>
      <w:r w:rsidR="00C32C2B">
        <w:rPr>
          <w:rFonts w:ascii="Arial" w:hAnsi="Arial" w:cs="Arial"/>
          <w:lang w:val="en-ZA"/>
        </w:rPr>
        <w:t xml:space="preserve"> </w:t>
      </w:r>
      <w:r w:rsidR="00527E11">
        <w:rPr>
          <w:rFonts w:ascii="Arial" w:hAnsi="Arial" w:cs="Arial"/>
          <w:lang w:val="en-ZA"/>
        </w:rPr>
        <w:t xml:space="preserve">off going </w:t>
      </w:r>
      <w:r w:rsidR="00C32C2B">
        <w:rPr>
          <w:rFonts w:ascii="Arial" w:hAnsi="Arial" w:cs="Arial"/>
          <w:lang w:val="en-ZA"/>
        </w:rPr>
        <w:t xml:space="preserve">straight </w:t>
      </w:r>
      <w:r w:rsidR="00605131">
        <w:rPr>
          <w:rFonts w:ascii="Arial" w:hAnsi="Arial" w:cs="Arial"/>
          <w:lang w:val="en-ZA"/>
        </w:rPr>
        <w:t>to his other home</w:t>
      </w:r>
      <w:r w:rsidR="00C32C2B">
        <w:rPr>
          <w:rFonts w:ascii="Arial" w:hAnsi="Arial" w:cs="Arial"/>
          <w:lang w:val="en-ZA"/>
        </w:rPr>
        <w:t xml:space="preserve"> situated in Hochland Park. Unlike Fenola he did not see the Discovery </w:t>
      </w:r>
      <w:r w:rsidR="00527E11">
        <w:rPr>
          <w:rFonts w:ascii="Arial" w:hAnsi="Arial" w:cs="Arial"/>
          <w:lang w:val="en-ZA"/>
        </w:rPr>
        <w:t>again</w:t>
      </w:r>
      <w:r w:rsidR="00C32C2B">
        <w:rPr>
          <w:rFonts w:ascii="Arial" w:hAnsi="Arial" w:cs="Arial"/>
          <w:lang w:val="en-ZA"/>
        </w:rPr>
        <w:t xml:space="preserve"> and neither did he first drive to </w:t>
      </w:r>
      <w:r w:rsidR="00527E11">
        <w:rPr>
          <w:rFonts w:ascii="Arial" w:hAnsi="Arial" w:cs="Arial"/>
          <w:lang w:val="en-ZA"/>
        </w:rPr>
        <w:t>the hospital as she testified. He explained t</w:t>
      </w:r>
      <w:r w:rsidR="00C32C2B">
        <w:rPr>
          <w:rFonts w:ascii="Arial" w:hAnsi="Arial" w:cs="Arial"/>
          <w:lang w:val="en-ZA"/>
        </w:rPr>
        <w:t>he reason</w:t>
      </w:r>
      <w:r w:rsidR="00527E11">
        <w:rPr>
          <w:rFonts w:ascii="Arial" w:hAnsi="Arial" w:cs="Arial"/>
          <w:lang w:val="en-ZA"/>
        </w:rPr>
        <w:t xml:space="preserve"> as to</w:t>
      </w:r>
      <w:r w:rsidR="00C32C2B">
        <w:rPr>
          <w:rFonts w:ascii="Arial" w:hAnsi="Arial" w:cs="Arial"/>
          <w:lang w:val="en-ZA"/>
        </w:rPr>
        <w:t xml:space="preserve"> why he </w:t>
      </w:r>
      <w:r w:rsidR="00605131">
        <w:rPr>
          <w:rFonts w:ascii="Arial" w:hAnsi="Arial" w:cs="Arial"/>
          <w:lang w:val="en-ZA"/>
        </w:rPr>
        <w:t>directly went</w:t>
      </w:r>
      <w:r w:rsidR="00C32C2B">
        <w:rPr>
          <w:rFonts w:ascii="Arial" w:hAnsi="Arial" w:cs="Arial"/>
          <w:lang w:val="en-ZA"/>
        </w:rPr>
        <w:t xml:space="preserve"> to that house</w:t>
      </w:r>
      <w:r w:rsidR="00527E11">
        <w:rPr>
          <w:rFonts w:ascii="Arial" w:hAnsi="Arial" w:cs="Arial"/>
          <w:lang w:val="en-ZA"/>
        </w:rPr>
        <w:t xml:space="preserve"> saying, it was</w:t>
      </w:r>
      <w:r w:rsidR="00C32C2B">
        <w:rPr>
          <w:rFonts w:ascii="Arial" w:hAnsi="Arial" w:cs="Arial"/>
          <w:lang w:val="en-ZA"/>
        </w:rPr>
        <w:t xml:space="preserve"> because it</w:t>
      </w:r>
      <w:r w:rsidR="00527E11">
        <w:rPr>
          <w:rFonts w:ascii="Arial" w:hAnsi="Arial" w:cs="Arial"/>
          <w:lang w:val="en-ZA"/>
        </w:rPr>
        <w:t xml:space="preserve"> was closest and</w:t>
      </w:r>
      <w:r w:rsidR="00C32C2B">
        <w:rPr>
          <w:rFonts w:ascii="Arial" w:hAnsi="Arial" w:cs="Arial"/>
          <w:lang w:val="en-ZA"/>
        </w:rPr>
        <w:t xml:space="preserve"> he was anxious and in shock. He reversed into the yard and parked the car with the rear end up against the garage where he remained seated until his brother Chris arrived. He only told Chris that he was involved in an accident but </w:t>
      </w:r>
      <w:r w:rsidR="00527E11">
        <w:rPr>
          <w:rFonts w:ascii="Arial" w:hAnsi="Arial" w:cs="Arial"/>
          <w:lang w:val="en-ZA"/>
        </w:rPr>
        <w:t>not the shooting as</w:t>
      </w:r>
      <w:r w:rsidR="00C32C2B">
        <w:rPr>
          <w:rFonts w:ascii="Arial" w:hAnsi="Arial" w:cs="Arial"/>
          <w:lang w:val="en-ZA"/>
        </w:rPr>
        <w:t xml:space="preserve"> he did not want to talk about it</w:t>
      </w:r>
      <w:r w:rsidR="009C468E">
        <w:rPr>
          <w:rFonts w:ascii="Arial" w:hAnsi="Arial" w:cs="Arial"/>
          <w:lang w:val="en-ZA"/>
        </w:rPr>
        <w:t>.</w:t>
      </w:r>
      <w:r w:rsidR="00C32C2B">
        <w:rPr>
          <w:rFonts w:ascii="Arial" w:hAnsi="Arial" w:cs="Arial"/>
          <w:lang w:val="en-ZA"/>
        </w:rPr>
        <w:t xml:space="preserve"> Chris </w:t>
      </w:r>
      <w:r w:rsidR="009C468E">
        <w:rPr>
          <w:rFonts w:ascii="Arial" w:hAnsi="Arial" w:cs="Arial"/>
          <w:lang w:val="en-ZA"/>
        </w:rPr>
        <w:t>then left but</w:t>
      </w:r>
      <w:r w:rsidR="004C2F35">
        <w:rPr>
          <w:rFonts w:ascii="Arial" w:hAnsi="Arial" w:cs="Arial"/>
          <w:lang w:val="en-ZA"/>
        </w:rPr>
        <w:t xml:space="preserve"> returned shortly thereafter</w:t>
      </w:r>
      <w:r w:rsidR="009C468E">
        <w:rPr>
          <w:rFonts w:ascii="Arial" w:hAnsi="Arial" w:cs="Arial"/>
          <w:lang w:val="en-ZA"/>
        </w:rPr>
        <w:t>.</w:t>
      </w:r>
      <w:r w:rsidR="004C2F35">
        <w:rPr>
          <w:rFonts w:ascii="Arial" w:hAnsi="Arial" w:cs="Arial"/>
          <w:lang w:val="en-ZA"/>
        </w:rPr>
        <w:t xml:space="preserve"> </w:t>
      </w:r>
      <w:r w:rsidR="009C468E">
        <w:rPr>
          <w:rFonts w:ascii="Arial" w:hAnsi="Arial" w:cs="Arial"/>
          <w:lang w:val="en-ZA"/>
        </w:rPr>
        <w:t>T</w:t>
      </w:r>
      <w:r w:rsidR="004C2F35">
        <w:rPr>
          <w:rFonts w:ascii="Arial" w:hAnsi="Arial" w:cs="Arial"/>
          <w:lang w:val="en-ZA"/>
        </w:rPr>
        <w:t>he accus</w:t>
      </w:r>
      <w:r w:rsidR="00D80AB4">
        <w:rPr>
          <w:rFonts w:ascii="Arial" w:hAnsi="Arial" w:cs="Arial"/>
          <w:lang w:val="en-ZA"/>
        </w:rPr>
        <w:t>ed is u</w:t>
      </w:r>
      <w:r w:rsidR="009C468E">
        <w:rPr>
          <w:rFonts w:ascii="Arial" w:hAnsi="Arial" w:cs="Arial"/>
          <w:lang w:val="en-ZA"/>
        </w:rPr>
        <w:t>nable to say why. According to him, w</w:t>
      </w:r>
      <w:r w:rsidR="00D80AB4">
        <w:rPr>
          <w:rFonts w:ascii="Arial" w:hAnsi="Arial" w:cs="Arial"/>
          <w:lang w:val="en-ZA"/>
        </w:rPr>
        <w:t xml:space="preserve">hen Chris offered to take Fenola home </w:t>
      </w:r>
      <w:r w:rsidR="009C468E">
        <w:rPr>
          <w:rFonts w:ascii="Arial" w:hAnsi="Arial" w:cs="Arial"/>
          <w:lang w:val="en-ZA"/>
        </w:rPr>
        <w:t>after complaining</w:t>
      </w:r>
      <w:r w:rsidR="004C2F35">
        <w:rPr>
          <w:rFonts w:ascii="Arial" w:hAnsi="Arial" w:cs="Arial"/>
          <w:lang w:val="en-ZA"/>
        </w:rPr>
        <w:t xml:space="preserve"> of </w:t>
      </w:r>
      <w:r w:rsidR="00D80AB4">
        <w:rPr>
          <w:rFonts w:ascii="Arial" w:hAnsi="Arial" w:cs="Arial"/>
          <w:lang w:val="en-ZA"/>
        </w:rPr>
        <w:t xml:space="preserve">her </w:t>
      </w:r>
      <w:r w:rsidR="009C468E">
        <w:rPr>
          <w:rFonts w:ascii="Arial" w:hAnsi="Arial" w:cs="Arial"/>
          <w:lang w:val="en-ZA"/>
        </w:rPr>
        <w:t>not feeling well, she declined the offer and</w:t>
      </w:r>
      <w:r w:rsidR="004C2F35">
        <w:rPr>
          <w:rFonts w:ascii="Arial" w:hAnsi="Arial" w:cs="Arial"/>
          <w:lang w:val="en-ZA"/>
        </w:rPr>
        <w:t xml:space="preserve"> went inside the house where she lied down in the lounge. The accused disputes having sent Chris back to the scene or having removed the registration plates from the vehicle as testified by Fenola. He explained that he was simply not </w:t>
      </w:r>
      <w:r w:rsidR="00D80AB4">
        <w:rPr>
          <w:rFonts w:ascii="Arial" w:hAnsi="Arial" w:cs="Arial"/>
          <w:lang w:val="en-ZA"/>
        </w:rPr>
        <w:t>cap</w:t>
      </w:r>
      <w:r w:rsidR="004C2F35">
        <w:rPr>
          <w:rFonts w:ascii="Arial" w:hAnsi="Arial" w:cs="Arial"/>
          <w:lang w:val="en-ZA"/>
        </w:rPr>
        <w:t xml:space="preserve">able </w:t>
      </w:r>
      <w:r w:rsidR="00D80AB4">
        <w:rPr>
          <w:rFonts w:ascii="Arial" w:hAnsi="Arial" w:cs="Arial"/>
          <w:lang w:val="en-ZA"/>
        </w:rPr>
        <w:t>of doing</w:t>
      </w:r>
      <w:r w:rsidR="004C2F35">
        <w:rPr>
          <w:rFonts w:ascii="Arial" w:hAnsi="Arial" w:cs="Arial"/>
          <w:lang w:val="en-ZA"/>
        </w:rPr>
        <w:t xml:space="preserve"> so because of </w:t>
      </w:r>
      <w:r w:rsidR="00605131">
        <w:rPr>
          <w:rFonts w:ascii="Arial" w:hAnsi="Arial" w:cs="Arial"/>
          <w:lang w:val="en-ZA"/>
        </w:rPr>
        <w:t>the</w:t>
      </w:r>
      <w:r w:rsidR="00D80AB4">
        <w:rPr>
          <w:rFonts w:ascii="Arial" w:hAnsi="Arial" w:cs="Arial"/>
          <w:lang w:val="en-ZA"/>
        </w:rPr>
        <w:t xml:space="preserve"> state of </w:t>
      </w:r>
      <w:r w:rsidR="004C2F35">
        <w:rPr>
          <w:rFonts w:ascii="Arial" w:hAnsi="Arial" w:cs="Arial"/>
          <w:lang w:val="en-ZA"/>
        </w:rPr>
        <w:t>shock</w:t>
      </w:r>
      <w:r w:rsidR="00605131">
        <w:rPr>
          <w:rFonts w:ascii="Arial" w:hAnsi="Arial" w:cs="Arial"/>
          <w:lang w:val="en-ZA"/>
        </w:rPr>
        <w:t xml:space="preserve"> he was in</w:t>
      </w:r>
      <w:r w:rsidR="004C2F35">
        <w:rPr>
          <w:rFonts w:ascii="Arial" w:hAnsi="Arial" w:cs="Arial"/>
          <w:lang w:val="en-ZA"/>
        </w:rPr>
        <w:t>.</w:t>
      </w:r>
      <w:r w:rsidR="00D80AB4">
        <w:rPr>
          <w:rFonts w:ascii="Arial" w:hAnsi="Arial" w:cs="Arial"/>
          <w:lang w:val="en-ZA"/>
        </w:rPr>
        <w:t xml:space="preserve"> </w:t>
      </w:r>
    </w:p>
    <w:p w:rsidR="00D80AB4" w:rsidRDefault="00D80AB4" w:rsidP="006B344C">
      <w:pPr>
        <w:spacing w:line="360" w:lineRule="auto"/>
        <w:jc w:val="both"/>
        <w:rPr>
          <w:rFonts w:ascii="Arial" w:hAnsi="Arial" w:cs="Arial"/>
          <w:lang w:val="en-ZA"/>
        </w:rPr>
      </w:pPr>
    </w:p>
    <w:p w:rsidR="00D80AB4" w:rsidRDefault="00D80AB4" w:rsidP="006B344C">
      <w:pPr>
        <w:spacing w:line="360" w:lineRule="auto"/>
        <w:jc w:val="both"/>
        <w:rPr>
          <w:rFonts w:ascii="Arial" w:hAnsi="Arial" w:cs="Arial"/>
          <w:lang w:val="en-ZA"/>
        </w:rPr>
      </w:pPr>
      <w:r>
        <w:rPr>
          <w:rFonts w:ascii="Arial" w:hAnsi="Arial" w:cs="Arial"/>
          <w:lang w:val="en-ZA"/>
        </w:rPr>
        <w:t>[</w:t>
      </w:r>
      <w:r w:rsidR="009C468E">
        <w:rPr>
          <w:rFonts w:ascii="Arial" w:hAnsi="Arial" w:cs="Arial"/>
          <w:lang w:val="en-ZA"/>
        </w:rPr>
        <w:t>31</w:t>
      </w:r>
      <w:r>
        <w:rPr>
          <w:rFonts w:ascii="Arial" w:hAnsi="Arial" w:cs="Arial"/>
          <w:lang w:val="en-ZA"/>
        </w:rPr>
        <w:t xml:space="preserve">]   In the morning (Sunday) </w:t>
      </w:r>
      <w:r w:rsidR="009C468E">
        <w:rPr>
          <w:rFonts w:ascii="Arial" w:hAnsi="Arial" w:cs="Arial"/>
          <w:lang w:val="en-ZA"/>
        </w:rPr>
        <w:t>after Fenola took a taxi home</w:t>
      </w:r>
      <w:r>
        <w:rPr>
          <w:rFonts w:ascii="Arial" w:hAnsi="Arial" w:cs="Arial"/>
          <w:lang w:val="en-ZA"/>
        </w:rPr>
        <w:t xml:space="preserve"> the accused locked himself inside the house for some ‘quiet time and to meditate’ as he was not </w:t>
      </w:r>
      <w:r w:rsidR="009C468E">
        <w:rPr>
          <w:rFonts w:ascii="Arial" w:hAnsi="Arial" w:cs="Arial"/>
          <w:lang w:val="en-ZA"/>
        </w:rPr>
        <w:t>well</w:t>
      </w:r>
      <w:r>
        <w:rPr>
          <w:rFonts w:ascii="Arial" w:hAnsi="Arial" w:cs="Arial"/>
          <w:lang w:val="en-ZA"/>
        </w:rPr>
        <w:t xml:space="preserve">. Later that afternoon he decided to drive to his uncle to inform him as to what had happened the previous night but found his uncle ill </w:t>
      </w:r>
      <w:r w:rsidR="00605131">
        <w:rPr>
          <w:rFonts w:ascii="Arial" w:hAnsi="Arial" w:cs="Arial"/>
          <w:lang w:val="en-ZA"/>
        </w:rPr>
        <w:t xml:space="preserve">and </w:t>
      </w:r>
      <w:r>
        <w:rPr>
          <w:rFonts w:ascii="Arial" w:hAnsi="Arial" w:cs="Arial"/>
          <w:lang w:val="en-ZA"/>
        </w:rPr>
        <w:t>in bed. This upset him even more</w:t>
      </w:r>
      <w:r w:rsidR="009C468E">
        <w:rPr>
          <w:rFonts w:ascii="Arial" w:hAnsi="Arial" w:cs="Arial"/>
          <w:lang w:val="en-ZA"/>
        </w:rPr>
        <w:t xml:space="preserve"> and</w:t>
      </w:r>
      <w:r w:rsidR="00605131">
        <w:rPr>
          <w:rFonts w:ascii="Arial" w:hAnsi="Arial" w:cs="Arial"/>
          <w:lang w:val="en-ZA"/>
        </w:rPr>
        <w:t xml:space="preserve"> f</w:t>
      </w:r>
      <w:r w:rsidR="009C468E">
        <w:rPr>
          <w:rFonts w:ascii="Arial" w:hAnsi="Arial" w:cs="Arial"/>
          <w:lang w:val="en-ZA"/>
        </w:rPr>
        <w:t>rom t</w:t>
      </w:r>
      <w:r>
        <w:rPr>
          <w:rFonts w:ascii="Arial" w:hAnsi="Arial" w:cs="Arial"/>
          <w:lang w:val="en-ZA"/>
        </w:rPr>
        <w:t xml:space="preserve">here he drove </w:t>
      </w:r>
      <w:r w:rsidR="007C7818">
        <w:rPr>
          <w:rFonts w:ascii="Arial" w:hAnsi="Arial" w:cs="Arial"/>
          <w:lang w:val="en-ZA"/>
        </w:rPr>
        <w:t xml:space="preserve">directly </w:t>
      </w:r>
      <w:r>
        <w:rPr>
          <w:rFonts w:ascii="Arial" w:hAnsi="Arial" w:cs="Arial"/>
          <w:lang w:val="en-ZA"/>
        </w:rPr>
        <w:t xml:space="preserve">to the house </w:t>
      </w:r>
      <w:r>
        <w:rPr>
          <w:rFonts w:ascii="Arial" w:hAnsi="Arial" w:cs="Arial"/>
          <w:lang w:val="en-ZA"/>
        </w:rPr>
        <w:lastRenderedPageBreak/>
        <w:t xml:space="preserve">of his former girlfriend </w:t>
      </w:r>
      <w:r w:rsidR="007C7818">
        <w:rPr>
          <w:rFonts w:ascii="Arial" w:hAnsi="Arial" w:cs="Arial"/>
          <w:lang w:val="en-ZA"/>
        </w:rPr>
        <w:t>(the mother of his son Christian Brinkmann) in Khomasdal</w:t>
      </w:r>
      <w:r w:rsidR="00605131">
        <w:rPr>
          <w:rFonts w:ascii="Arial" w:hAnsi="Arial" w:cs="Arial"/>
          <w:lang w:val="en-ZA"/>
        </w:rPr>
        <w:t>,</w:t>
      </w:r>
      <w:r w:rsidR="007C7818">
        <w:rPr>
          <w:rFonts w:ascii="Arial" w:hAnsi="Arial" w:cs="Arial"/>
          <w:lang w:val="en-ZA"/>
        </w:rPr>
        <w:t xml:space="preserve"> where he left the Polo parked outside and told C</w:t>
      </w:r>
      <w:r w:rsidR="009C468E">
        <w:rPr>
          <w:rFonts w:ascii="Arial" w:hAnsi="Arial" w:cs="Arial"/>
          <w:lang w:val="en-ZA"/>
        </w:rPr>
        <w:t>hristian to park it inside the</w:t>
      </w:r>
      <w:r w:rsidR="007C7818">
        <w:rPr>
          <w:rFonts w:ascii="Arial" w:hAnsi="Arial" w:cs="Arial"/>
          <w:lang w:val="en-ZA"/>
        </w:rPr>
        <w:t xml:space="preserve"> yard. He </w:t>
      </w:r>
      <w:r w:rsidR="009C468E">
        <w:rPr>
          <w:rFonts w:ascii="Arial" w:hAnsi="Arial" w:cs="Arial"/>
          <w:lang w:val="en-ZA"/>
        </w:rPr>
        <w:t>denies having told</w:t>
      </w:r>
      <w:r w:rsidR="007C7818">
        <w:rPr>
          <w:rFonts w:ascii="Arial" w:hAnsi="Arial" w:cs="Arial"/>
          <w:lang w:val="en-ZA"/>
        </w:rPr>
        <w:t xml:space="preserve"> him </w:t>
      </w:r>
      <w:r w:rsidR="009C468E">
        <w:rPr>
          <w:rFonts w:ascii="Arial" w:hAnsi="Arial" w:cs="Arial"/>
          <w:lang w:val="en-ZA"/>
        </w:rPr>
        <w:t>about the accident or shooting incident and disputes having</w:t>
      </w:r>
      <w:r w:rsidR="007C7818">
        <w:rPr>
          <w:rFonts w:ascii="Arial" w:hAnsi="Arial" w:cs="Arial"/>
          <w:lang w:val="en-ZA"/>
        </w:rPr>
        <w:t xml:space="preserve"> ask</w:t>
      </w:r>
      <w:r w:rsidR="009C468E">
        <w:rPr>
          <w:rFonts w:ascii="Arial" w:hAnsi="Arial" w:cs="Arial"/>
          <w:lang w:val="en-ZA"/>
        </w:rPr>
        <w:t>ed</w:t>
      </w:r>
      <w:r w:rsidR="007C7818">
        <w:rPr>
          <w:rFonts w:ascii="Arial" w:hAnsi="Arial" w:cs="Arial"/>
          <w:lang w:val="en-ZA"/>
        </w:rPr>
        <w:t xml:space="preserve"> him to remove the registration plates of the vehicle or the licence disk</w:t>
      </w:r>
      <w:r w:rsidR="009C468E">
        <w:rPr>
          <w:rFonts w:ascii="Arial" w:hAnsi="Arial" w:cs="Arial"/>
          <w:lang w:val="en-ZA"/>
        </w:rPr>
        <w:t>. According to the accused the boy</w:t>
      </w:r>
      <w:r w:rsidR="007C7818">
        <w:rPr>
          <w:rFonts w:ascii="Arial" w:hAnsi="Arial" w:cs="Arial"/>
          <w:lang w:val="en-ZA"/>
        </w:rPr>
        <w:t xml:space="preserve"> must have removed it on his own and for re</w:t>
      </w:r>
      <w:r w:rsidR="009C468E">
        <w:rPr>
          <w:rFonts w:ascii="Arial" w:hAnsi="Arial" w:cs="Arial"/>
          <w:lang w:val="en-ZA"/>
        </w:rPr>
        <w:t>asons unknown to the accused. Accused thereafter</w:t>
      </w:r>
      <w:r w:rsidR="007C7818">
        <w:rPr>
          <w:rFonts w:ascii="Arial" w:hAnsi="Arial" w:cs="Arial"/>
          <w:lang w:val="en-ZA"/>
        </w:rPr>
        <w:t xml:space="preserve"> called his friend Ben Biva to </w:t>
      </w:r>
      <w:r w:rsidR="009C468E">
        <w:rPr>
          <w:rFonts w:ascii="Arial" w:hAnsi="Arial" w:cs="Arial"/>
          <w:lang w:val="en-ZA"/>
        </w:rPr>
        <w:t>fetch</w:t>
      </w:r>
      <w:r w:rsidR="007C7818">
        <w:rPr>
          <w:rFonts w:ascii="Arial" w:hAnsi="Arial" w:cs="Arial"/>
          <w:lang w:val="en-ZA"/>
        </w:rPr>
        <w:t xml:space="preserve"> him </w:t>
      </w:r>
      <w:r w:rsidR="009C468E">
        <w:rPr>
          <w:rFonts w:ascii="Arial" w:hAnsi="Arial" w:cs="Arial"/>
          <w:lang w:val="en-ZA"/>
        </w:rPr>
        <w:t xml:space="preserve">and take him </w:t>
      </w:r>
      <w:r w:rsidR="007C7818">
        <w:rPr>
          <w:rFonts w:ascii="Arial" w:hAnsi="Arial" w:cs="Arial"/>
          <w:lang w:val="en-ZA"/>
        </w:rPr>
        <w:t>back to the house in Hochland Park where he again locked himself inside the house.</w:t>
      </w:r>
    </w:p>
    <w:p w:rsidR="004C2F35" w:rsidRDefault="004C2F35" w:rsidP="006B344C">
      <w:pPr>
        <w:spacing w:line="360" w:lineRule="auto"/>
        <w:jc w:val="both"/>
        <w:rPr>
          <w:rFonts w:ascii="Arial" w:hAnsi="Arial" w:cs="Arial"/>
          <w:lang w:val="en-ZA"/>
        </w:rPr>
      </w:pPr>
    </w:p>
    <w:p w:rsidR="003F0149" w:rsidRDefault="008D1169" w:rsidP="006B344C">
      <w:pPr>
        <w:spacing w:line="360" w:lineRule="auto"/>
        <w:jc w:val="both"/>
        <w:rPr>
          <w:rFonts w:ascii="Arial" w:hAnsi="Arial" w:cs="Arial"/>
          <w:lang w:val="en-ZA"/>
        </w:rPr>
      </w:pPr>
      <w:r>
        <w:rPr>
          <w:rFonts w:ascii="Arial" w:hAnsi="Arial" w:cs="Arial"/>
          <w:lang w:val="en-ZA"/>
        </w:rPr>
        <w:t>[</w:t>
      </w:r>
      <w:r w:rsidR="001E7274">
        <w:rPr>
          <w:rFonts w:ascii="Arial" w:hAnsi="Arial" w:cs="Arial"/>
          <w:lang w:val="en-ZA"/>
        </w:rPr>
        <w:t>32</w:t>
      </w:r>
      <w:r>
        <w:rPr>
          <w:rFonts w:ascii="Arial" w:hAnsi="Arial" w:cs="Arial"/>
          <w:lang w:val="en-ZA"/>
        </w:rPr>
        <w:t>]   The accused said h</w:t>
      </w:r>
      <w:r w:rsidR="004C2F35">
        <w:rPr>
          <w:rFonts w:ascii="Arial" w:hAnsi="Arial" w:cs="Arial"/>
          <w:lang w:val="en-ZA"/>
        </w:rPr>
        <w:t xml:space="preserve">e had told no one about </w:t>
      </w:r>
      <w:r>
        <w:rPr>
          <w:rFonts w:ascii="Arial" w:hAnsi="Arial" w:cs="Arial"/>
          <w:lang w:val="en-ZA"/>
        </w:rPr>
        <w:t>the incident of Saturday night</w:t>
      </w:r>
      <w:r w:rsidR="004C2F35">
        <w:rPr>
          <w:rFonts w:ascii="Arial" w:hAnsi="Arial" w:cs="Arial"/>
          <w:lang w:val="en-ZA"/>
        </w:rPr>
        <w:t xml:space="preserve"> </w:t>
      </w:r>
      <w:r w:rsidR="001E7274">
        <w:rPr>
          <w:rFonts w:ascii="Arial" w:hAnsi="Arial" w:cs="Arial"/>
          <w:lang w:val="en-ZA"/>
        </w:rPr>
        <w:t>until the following Tuesday,</w:t>
      </w:r>
      <w:r>
        <w:rPr>
          <w:rFonts w:ascii="Arial" w:hAnsi="Arial" w:cs="Arial"/>
          <w:lang w:val="en-ZA"/>
        </w:rPr>
        <w:t xml:space="preserve"> three days after the incident</w:t>
      </w:r>
      <w:r w:rsidR="001E7274">
        <w:rPr>
          <w:rFonts w:ascii="Arial" w:hAnsi="Arial" w:cs="Arial"/>
          <w:lang w:val="en-ZA"/>
        </w:rPr>
        <w:t>.</w:t>
      </w:r>
      <w:r>
        <w:rPr>
          <w:rFonts w:ascii="Arial" w:hAnsi="Arial" w:cs="Arial"/>
          <w:lang w:val="en-ZA"/>
        </w:rPr>
        <w:t xml:space="preserve"> </w:t>
      </w:r>
      <w:r w:rsidR="001E7274">
        <w:rPr>
          <w:rFonts w:ascii="Arial" w:hAnsi="Arial" w:cs="Arial"/>
          <w:lang w:val="en-ZA"/>
        </w:rPr>
        <w:t>H</w:t>
      </w:r>
      <w:r>
        <w:rPr>
          <w:rFonts w:ascii="Arial" w:hAnsi="Arial" w:cs="Arial"/>
          <w:lang w:val="en-ZA"/>
        </w:rPr>
        <w:t xml:space="preserve">e approached his uncle and told him that he was involved in a shooting incident and </w:t>
      </w:r>
      <w:r w:rsidR="001E7274">
        <w:rPr>
          <w:rFonts w:ascii="Arial" w:hAnsi="Arial" w:cs="Arial"/>
          <w:lang w:val="en-ZA"/>
        </w:rPr>
        <w:t>requested him to accompany the accused</w:t>
      </w:r>
      <w:r>
        <w:rPr>
          <w:rFonts w:ascii="Arial" w:hAnsi="Arial" w:cs="Arial"/>
          <w:lang w:val="en-ZA"/>
        </w:rPr>
        <w:t xml:space="preserve"> to the police station. His brother Chris was contacted and arrangements </w:t>
      </w:r>
      <w:r w:rsidR="001E7274">
        <w:rPr>
          <w:rFonts w:ascii="Arial" w:hAnsi="Arial" w:cs="Arial"/>
          <w:lang w:val="en-ZA"/>
        </w:rPr>
        <w:t xml:space="preserve">were </w:t>
      </w:r>
      <w:r>
        <w:rPr>
          <w:rFonts w:ascii="Arial" w:hAnsi="Arial" w:cs="Arial"/>
          <w:lang w:val="en-ZA"/>
        </w:rPr>
        <w:t>made to bring the police to where they were at the uncle’s house</w:t>
      </w:r>
      <w:r w:rsidR="001E7274">
        <w:rPr>
          <w:rFonts w:ascii="Arial" w:hAnsi="Arial" w:cs="Arial"/>
          <w:lang w:val="en-ZA"/>
        </w:rPr>
        <w:t>.</w:t>
      </w:r>
      <w:r>
        <w:rPr>
          <w:rFonts w:ascii="Arial" w:hAnsi="Arial" w:cs="Arial"/>
          <w:lang w:val="en-ZA"/>
        </w:rPr>
        <w:t xml:space="preserve"> </w:t>
      </w:r>
      <w:r w:rsidR="001E7274">
        <w:rPr>
          <w:rFonts w:ascii="Arial" w:hAnsi="Arial" w:cs="Arial"/>
          <w:lang w:val="en-ZA"/>
        </w:rPr>
        <w:t xml:space="preserve">He </w:t>
      </w:r>
      <w:r>
        <w:rPr>
          <w:rFonts w:ascii="Arial" w:hAnsi="Arial" w:cs="Arial"/>
          <w:lang w:val="en-ZA"/>
        </w:rPr>
        <w:t xml:space="preserve">was subsequently arrested and taken into custody. He </w:t>
      </w:r>
      <w:r w:rsidR="001E7274">
        <w:rPr>
          <w:rFonts w:ascii="Arial" w:hAnsi="Arial" w:cs="Arial"/>
          <w:lang w:val="en-ZA"/>
        </w:rPr>
        <w:t>confirmed having led the police to the house</w:t>
      </w:r>
      <w:r>
        <w:rPr>
          <w:rFonts w:ascii="Arial" w:hAnsi="Arial" w:cs="Arial"/>
          <w:lang w:val="en-ZA"/>
        </w:rPr>
        <w:t xml:space="preserve"> where the car was parked </w:t>
      </w:r>
      <w:r w:rsidR="001E7274">
        <w:rPr>
          <w:rFonts w:ascii="Arial" w:hAnsi="Arial" w:cs="Arial"/>
          <w:lang w:val="en-ZA"/>
        </w:rPr>
        <w:t>but</w:t>
      </w:r>
      <w:r>
        <w:rPr>
          <w:rFonts w:ascii="Arial" w:hAnsi="Arial" w:cs="Arial"/>
          <w:lang w:val="en-ZA"/>
        </w:rPr>
        <w:t xml:space="preserve"> denies having tried to hide the vehicle.</w:t>
      </w:r>
      <w:r w:rsidR="00BB6961">
        <w:rPr>
          <w:rFonts w:ascii="Arial" w:hAnsi="Arial" w:cs="Arial"/>
          <w:lang w:val="en-ZA"/>
        </w:rPr>
        <w:t xml:space="preserve"> He is however unable to explain why he </w:t>
      </w:r>
      <w:r w:rsidR="001E7274">
        <w:rPr>
          <w:rFonts w:ascii="Arial" w:hAnsi="Arial" w:cs="Arial"/>
          <w:lang w:val="en-ZA"/>
        </w:rPr>
        <w:t>parked</w:t>
      </w:r>
      <w:r w:rsidR="00BB6961">
        <w:rPr>
          <w:rFonts w:ascii="Arial" w:hAnsi="Arial" w:cs="Arial"/>
          <w:lang w:val="en-ZA"/>
        </w:rPr>
        <w:t xml:space="preserve"> the vehicle</w:t>
      </w:r>
      <w:r w:rsidR="001E7274">
        <w:rPr>
          <w:rFonts w:ascii="Arial" w:hAnsi="Arial" w:cs="Arial"/>
          <w:lang w:val="en-ZA"/>
        </w:rPr>
        <w:t xml:space="preserve"> at the particular house in</w:t>
      </w:r>
      <w:r w:rsidR="00BB6961">
        <w:rPr>
          <w:rFonts w:ascii="Arial" w:hAnsi="Arial" w:cs="Arial"/>
          <w:lang w:val="en-ZA"/>
        </w:rPr>
        <w:t xml:space="preserve"> Khomasdal</w:t>
      </w:r>
      <w:r w:rsidR="001E7274">
        <w:rPr>
          <w:rFonts w:ascii="Arial" w:hAnsi="Arial" w:cs="Arial"/>
          <w:lang w:val="en-ZA"/>
        </w:rPr>
        <w:t>,</w:t>
      </w:r>
      <w:r w:rsidR="00BB6961">
        <w:rPr>
          <w:rFonts w:ascii="Arial" w:hAnsi="Arial" w:cs="Arial"/>
          <w:lang w:val="en-ZA"/>
        </w:rPr>
        <w:t xml:space="preserve"> except for saying that he was not himself </w:t>
      </w:r>
      <w:r w:rsidR="001E7274">
        <w:rPr>
          <w:rFonts w:ascii="Arial" w:hAnsi="Arial" w:cs="Arial"/>
          <w:lang w:val="en-ZA"/>
        </w:rPr>
        <w:t>at the time</w:t>
      </w:r>
      <w:r w:rsidR="00BB6961">
        <w:rPr>
          <w:rFonts w:ascii="Arial" w:hAnsi="Arial" w:cs="Arial"/>
          <w:lang w:val="en-ZA"/>
        </w:rPr>
        <w:t xml:space="preserve">. As to why he did not return the vehicle to his brother-in-law Ismael, he said there was no space </w:t>
      </w:r>
      <w:r w:rsidR="005170E0">
        <w:rPr>
          <w:rFonts w:ascii="Arial" w:hAnsi="Arial" w:cs="Arial"/>
          <w:lang w:val="en-ZA"/>
        </w:rPr>
        <w:t xml:space="preserve">at his place </w:t>
      </w:r>
      <w:r w:rsidR="00BB6961">
        <w:rPr>
          <w:rFonts w:ascii="Arial" w:hAnsi="Arial" w:cs="Arial"/>
          <w:lang w:val="en-ZA"/>
        </w:rPr>
        <w:t>as his pickup was parked there. Bearing in mind that the vehicle was usually parked</w:t>
      </w:r>
      <w:r w:rsidR="00AF1D63">
        <w:rPr>
          <w:rFonts w:ascii="Arial" w:hAnsi="Arial" w:cs="Arial"/>
          <w:lang w:val="en-ZA"/>
        </w:rPr>
        <w:t xml:space="preserve"> at Ismael’s place</w:t>
      </w:r>
      <w:r w:rsidR="005170E0">
        <w:rPr>
          <w:rFonts w:ascii="Arial" w:hAnsi="Arial" w:cs="Arial"/>
          <w:lang w:val="en-ZA"/>
        </w:rPr>
        <w:t xml:space="preserve"> during the week,</w:t>
      </w:r>
      <w:r w:rsidR="00AF1D63">
        <w:rPr>
          <w:rFonts w:ascii="Arial" w:hAnsi="Arial" w:cs="Arial"/>
          <w:lang w:val="en-ZA"/>
        </w:rPr>
        <w:t xml:space="preserve"> the accused’s explanation on this score </w:t>
      </w:r>
      <w:r w:rsidR="005170E0">
        <w:rPr>
          <w:rFonts w:ascii="Arial" w:hAnsi="Arial" w:cs="Arial"/>
          <w:lang w:val="en-ZA"/>
        </w:rPr>
        <w:t>seems to have</w:t>
      </w:r>
      <w:r w:rsidR="00AF1D63">
        <w:rPr>
          <w:rFonts w:ascii="Arial" w:hAnsi="Arial" w:cs="Arial"/>
          <w:lang w:val="en-ZA"/>
        </w:rPr>
        <w:t xml:space="preserve"> a hollow ring to it.</w:t>
      </w:r>
      <w:r w:rsidR="00DC331A">
        <w:rPr>
          <w:rFonts w:ascii="Arial" w:hAnsi="Arial" w:cs="Arial"/>
          <w:lang w:val="en-ZA"/>
        </w:rPr>
        <w:t xml:space="preserve"> He was unable to explain why he did not return with the car </w:t>
      </w:r>
      <w:r w:rsidR="00104B13">
        <w:rPr>
          <w:rFonts w:ascii="Arial" w:hAnsi="Arial" w:cs="Arial"/>
          <w:lang w:val="en-ZA"/>
        </w:rPr>
        <w:t xml:space="preserve">and park it at </w:t>
      </w:r>
      <w:r w:rsidR="00DC331A">
        <w:rPr>
          <w:rFonts w:ascii="Arial" w:hAnsi="Arial" w:cs="Arial"/>
          <w:lang w:val="en-ZA"/>
        </w:rPr>
        <w:t>his house in Hochland Park</w:t>
      </w:r>
      <w:r w:rsidR="005170E0">
        <w:rPr>
          <w:rFonts w:ascii="Arial" w:hAnsi="Arial" w:cs="Arial"/>
          <w:lang w:val="en-ZA"/>
        </w:rPr>
        <w:t>,</w:t>
      </w:r>
      <w:r w:rsidR="00DC331A">
        <w:rPr>
          <w:rFonts w:ascii="Arial" w:hAnsi="Arial" w:cs="Arial"/>
          <w:lang w:val="en-ZA"/>
        </w:rPr>
        <w:t xml:space="preserve"> except for saying that he was in shock.</w:t>
      </w:r>
    </w:p>
    <w:p w:rsidR="00AF1D63" w:rsidRDefault="00AF1D63" w:rsidP="006B344C">
      <w:pPr>
        <w:spacing w:line="360" w:lineRule="auto"/>
        <w:jc w:val="both"/>
        <w:rPr>
          <w:rFonts w:ascii="Arial" w:hAnsi="Arial" w:cs="Arial"/>
          <w:lang w:val="en-ZA"/>
        </w:rPr>
      </w:pPr>
    </w:p>
    <w:p w:rsidR="00897255" w:rsidRDefault="00AF1D63" w:rsidP="006B344C">
      <w:pPr>
        <w:spacing w:line="360" w:lineRule="auto"/>
        <w:jc w:val="both"/>
        <w:rPr>
          <w:rFonts w:ascii="Arial" w:hAnsi="Arial" w:cs="Arial"/>
          <w:lang w:val="en-ZA"/>
        </w:rPr>
      </w:pPr>
      <w:r>
        <w:rPr>
          <w:rFonts w:ascii="Arial" w:hAnsi="Arial" w:cs="Arial"/>
          <w:lang w:val="en-ZA"/>
        </w:rPr>
        <w:t>[</w:t>
      </w:r>
      <w:r w:rsidR="00104B13">
        <w:rPr>
          <w:rFonts w:ascii="Arial" w:hAnsi="Arial" w:cs="Arial"/>
          <w:lang w:val="en-ZA"/>
        </w:rPr>
        <w:t>33</w:t>
      </w:r>
      <w:r>
        <w:rPr>
          <w:rFonts w:ascii="Arial" w:hAnsi="Arial" w:cs="Arial"/>
          <w:lang w:val="en-ZA"/>
        </w:rPr>
        <w:t xml:space="preserve">]   </w:t>
      </w:r>
      <w:r w:rsidR="00DC331A">
        <w:rPr>
          <w:rFonts w:ascii="Arial" w:hAnsi="Arial" w:cs="Arial"/>
          <w:lang w:val="en-ZA"/>
        </w:rPr>
        <w:t>In cross-examination the accused disputed Fenola’</w:t>
      </w:r>
      <w:r w:rsidR="00700A35">
        <w:rPr>
          <w:rFonts w:ascii="Arial" w:hAnsi="Arial" w:cs="Arial"/>
          <w:lang w:val="en-ZA"/>
        </w:rPr>
        <w:t>s evidence regarding him pulling out his firearm the moment he stepped out</w:t>
      </w:r>
      <w:r w:rsidR="00104B13">
        <w:rPr>
          <w:rFonts w:ascii="Arial" w:hAnsi="Arial" w:cs="Arial"/>
          <w:lang w:val="en-ZA"/>
        </w:rPr>
        <w:t xml:space="preserve"> of the vehicle</w:t>
      </w:r>
      <w:r w:rsidR="005170E0">
        <w:rPr>
          <w:rFonts w:ascii="Arial" w:hAnsi="Arial" w:cs="Arial"/>
          <w:lang w:val="en-ZA"/>
        </w:rPr>
        <w:t xml:space="preserve"> and said that at that stage</w:t>
      </w:r>
      <w:r w:rsidR="00700A35">
        <w:rPr>
          <w:rFonts w:ascii="Arial" w:hAnsi="Arial" w:cs="Arial"/>
          <w:lang w:val="en-ZA"/>
        </w:rPr>
        <w:t xml:space="preserve"> she was still inside the vehicle </w:t>
      </w:r>
      <w:r w:rsidR="005170E0">
        <w:rPr>
          <w:rFonts w:ascii="Arial" w:hAnsi="Arial" w:cs="Arial"/>
          <w:lang w:val="en-ZA"/>
        </w:rPr>
        <w:t xml:space="preserve">and could </w:t>
      </w:r>
      <w:r w:rsidR="00104B13">
        <w:rPr>
          <w:rFonts w:ascii="Arial" w:hAnsi="Arial" w:cs="Arial"/>
          <w:lang w:val="en-ZA"/>
        </w:rPr>
        <w:t xml:space="preserve">therefore </w:t>
      </w:r>
      <w:r w:rsidR="005170E0">
        <w:rPr>
          <w:rFonts w:ascii="Arial" w:hAnsi="Arial" w:cs="Arial"/>
          <w:lang w:val="en-ZA"/>
        </w:rPr>
        <w:t>not have observed what was going on outside. It was however</w:t>
      </w:r>
      <w:r w:rsidR="00700A35">
        <w:rPr>
          <w:rFonts w:ascii="Arial" w:hAnsi="Arial" w:cs="Arial"/>
          <w:lang w:val="en-ZA"/>
        </w:rPr>
        <w:t xml:space="preserve"> explained by Fenola </w:t>
      </w:r>
      <w:r w:rsidR="00104B13">
        <w:rPr>
          <w:rFonts w:ascii="Arial" w:hAnsi="Arial" w:cs="Arial"/>
          <w:lang w:val="en-ZA"/>
        </w:rPr>
        <w:t>that</w:t>
      </w:r>
      <w:r w:rsidR="00700A35">
        <w:rPr>
          <w:rFonts w:ascii="Arial" w:hAnsi="Arial" w:cs="Arial"/>
          <w:lang w:val="en-ZA"/>
        </w:rPr>
        <w:t xml:space="preserve"> she </w:t>
      </w:r>
      <w:r w:rsidR="00104B13">
        <w:rPr>
          <w:rFonts w:ascii="Arial" w:hAnsi="Arial" w:cs="Arial"/>
          <w:lang w:val="en-ZA"/>
        </w:rPr>
        <w:t>had looked back to see where the accused was g</w:t>
      </w:r>
      <w:r w:rsidR="00700A35">
        <w:rPr>
          <w:rFonts w:ascii="Arial" w:hAnsi="Arial" w:cs="Arial"/>
          <w:lang w:val="en-ZA"/>
        </w:rPr>
        <w:t xml:space="preserve">oing and her evidence to this effect was never challenged. </w:t>
      </w:r>
      <w:r w:rsidR="00897255">
        <w:rPr>
          <w:rFonts w:ascii="Arial" w:hAnsi="Arial" w:cs="Arial"/>
          <w:lang w:val="en-ZA"/>
        </w:rPr>
        <w:t xml:space="preserve">It had also not been put to Fenola that they </w:t>
      </w:r>
      <w:r w:rsidR="005170E0">
        <w:rPr>
          <w:rFonts w:ascii="Arial" w:hAnsi="Arial" w:cs="Arial"/>
          <w:lang w:val="en-ZA"/>
        </w:rPr>
        <w:t>never</w:t>
      </w:r>
      <w:r w:rsidR="00897255">
        <w:rPr>
          <w:rFonts w:ascii="Arial" w:hAnsi="Arial" w:cs="Arial"/>
          <w:lang w:val="en-ZA"/>
        </w:rPr>
        <w:t xml:space="preserve"> pass</w:t>
      </w:r>
      <w:r w:rsidR="005170E0">
        <w:rPr>
          <w:rFonts w:ascii="Arial" w:hAnsi="Arial" w:cs="Arial"/>
          <w:lang w:val="en-ZA"/>
        </w:rPr>
        <w:t>ed</w:t>
      </w:r>
      <w:r w:rsidR="00897255">
        <w:rPr>
          <w:rFonts w:ascii="Arial" w:hAnsi="Arial" w:cs="Arial"/>
          <w:lang w:val="en-ZA"/>
        </w:rPr>
        <w:t xml:space="preserve"> the Discov</w:t>
      </w:r>
      <w:r w:rsidR="005170E0">
        <w:rPr>
          <w:rFonts w:ascii="Arial" w:hAnsi="Arial" w:cs="Arial"/>
          <w:lang w:val="en-ZA"/>
        </w:rPr>
        <w:t>ery vehicle on the way (as</w:t>
      </w:r>
      <w:r w:rsidR="00897255">
        <w:rPr>
          <w:rFonts w:ascii="Arial" w:hAnsi="Arial" w:cs="Arial"/>
          <w:lang w:val="en-ZA"/>
        </w:rPr>
        <w:t xml:space="preserve"> testified by the accused)</w:t>
      </w:r>
      <w:r w:rsidR="00104B13">
        <w:rPr>
          <w:rFonts w:ascii="Arial" w:hAnsi="Arial" w:cs="Arial"/>
          <w:lang w:val="en-ZA"/>
        </w:rPr>
        <w:t>,</w:t>
      </w:r>
      <w:r w:rsidR="00897255">
        <w:rPr>
          <w:rFonts w:ascii="Arial" w:hAnsi="Arial" w:cs="Arial"/>
          <w:lang w:val="en-ZA"/>
        </w:rPr>
        <w:t xml:space="preserve"> and would therefore not have been in the position to make </w:t>
      </w:r>
      <w:r w:rsidR="00897255">
        <w:rPr>
          <w:rFonts w:ascii="Arial" w:hAnsi="Arial" w:cs="Arial"/>
          <w:lang w:val="en-ZA"/>
        </w:rPr>
        <w:lastRenderedPageBreak/>
        <w:t>observations on bullet holes on the side of the vehicle</w:t>
      </w:r>
      <w:r w:rsidR="005170E0">
        <w:rPr>
          <w:rFonts w:ascii="Arial" w:hAnsi="Arial" w:cs="Arial"/>
          <w:lang w:val="en-ZA"/>
        </w:rPr>
        <w:t>,</w:t>
      </w:r>
      <w:r w:rsidR="00897255">
        <w:rPr>
          <w:rFonts w:ascii="Arial" w:hAnsi="Arial" w:cs="Arial"/>
          <w:lang w:val="en-ZA"/>
        </w:rPr>
        <w:t xml:space="preserve"> or the driver leaning onto the steering wheel.</w:t>
      </w:r>
    </w:p>
    <w:p w:rsidR="00897255" w:rsidRDefault="00897255" w:rsidP="006B344C">
      <w:pPr>
        <w:spacing w:line="360" w:lineRule="auto"/>
        <w:jc w:val="both"/>
        <w:rPr>
          <w:rFonts w:ascii="Arial" w:hAnsi="Arial" w:cs="Arial"/>
          <w:lang w:val="en-ZA"/>
        </w:rPr>
      </w:pPr>
    </w:p>
    <w:p w:rsidR="00AF1D63" w:rsidRDefault="00897255" w:rsidP="006B344C">
      <w:pPr>
        <w:spacing w:line="360" w:lineRule="auto"/>
        <w:jc w:val="both"/>
        <w:rPr>
          <w:rFonts w:ascii="Arial" w:hAnsi="Arial" w:cs="Arial"/>
          <w:lang w:val="en-ZA"/>
        </w:rPr>
      </w:pPr>
      <w:r>
        <w:rPr>
          <w:rFonts w:ascii="Arial" w:hAnsi="Arial" w:cs="Arial"/>
          <w:lang w:val="en-ZA"/>
        </w:rPr>
        <w:t>[</w:t>
      </w:r>
      <w:r w:rsidR="00104B13">
        <w:rPr>
          <w:rFonts w:ascii="Arial" w:hAnsi="Arial" w:cs="Arial"/>
          <w:lang w:val="en-ZA"/>
        </w:rPr>
        <w:t>34</w:t>
      </w:r>
      <w:r>
        <w:rPr>
          <w:rFonts w:ascii="Arial" w:hAnsi="Arial" w:cs="Arial"/>
          <w:lang w:val="en-ZA"/>
        </w:rPr>
        <w:t xml:space="preserve">]   </w:t>
      </w:r>
      <w:r w:rsidR="00700A35">
        <w:rPr>
          <w:rFonts w:ascii="Arial" w:hAnsi="Arial" w:cs="Arial"/>
          <w:lang w:val="en-ZA"/>
        </w:rPr>
        <w:t>In the same vein, the presence of Alexander Paulus (taxi driver) on the scene of the shooting was never challenged during his testimony, yet the accused during cross-examination said he was not present and therefore could not have witnessed the shooting incident.</w:t>
      </w:r>
      <w:r>
        <w:rPr>
          <w:rFonts w:ascii="Arial" w:hAnsi="Arial" w:cs="Arial"/>
          <w:lang w:val="en-ZA"/>
        </w:rPr>
        <w:t xml:space="preserve"> </w:t>
      </w:r>
    </w:p>
    <w:p w:rsidR="00897255" w:rsidRDefault="00897255" w:rsidP="006B344C">
      <w:pPr>
        <w:spacing w:line="360" w:lineRule="auto"/>
        <w:jc w:val="both"/>
        <w:rPr>
          <w:rFonts w:ascii="Arial" w:hAnsi="Arial" w:cs="Arial"/>
          <w:lang w:val="en-ZA"/>
        </w:rPr>
      </w:pPr>
    </w:p>
    <w:p w:rsidR="00597C31" w:rsidRDefault="00897255" w:rsidP="006B344C">
      <w:pPr>
        <w:spacing w:line="360" w:lineRule="auto"/>
        <w:jc w:val="both"/>
        <w:rPr>
          <w:rFonts w:ascii="Arial" w:hAnsi="Arial" w:cs="Arial"/>
          <w:lang w:val="en-ZA"/>
        </w:rPr>
      </w:pPr>
      <w:r>
        <w:rPr>
          <w:rFonts w:ascii="Arial" w:hAnsi="Arial" w:cs="Arial"/>
          <w:lang w:val="en-ZA"/>
        </w:rPr>
        <w:t>[</w:t>
      </w:r>
      <w:r w:rsidR="00104B13">
        <w:rPr>
          <w:rFonts w:ascii="Arial" w:hAnsi="Arial" w:cs="Arial"/>
          <w:lang w:val="en-ZA"/>
        </w:rPr>
        <w:t>35</w:t>
      </w:r>
      <w:r>
        <w:rPr>
          <w:rFonts w:ascii="Arial" w:hAnsi="Arial" w:cs="Arial"/>
          <w:lang w:val="en-ZA"/>
        </w:rPr>
        <w:t xml:space="preserve">]   Bearing in mind the conflicting evidence </w:t>
      </w:r>
      <w:r w:rsidR="0009644C">
        <w:rPr>
          <w:rFonts w:ascii="Arial" w:hAnsi="Arial" w:cs="Arial"/>
          <w:lang w:val="en-ZA"/>
        </w:rPr>
        <w:t xml:space="preserve">between the version </w:t>
      </w:r>
      <w:r>
        <w:rPr>
          <w:rFonts w:ascii="Arial" w:hAnsi="Arial" w:cs="Arial"/>
          <w:lang w:val="en-ZA"/>
        </w:rPr>
        <w:t xml:space="preserve">of the accused </w:t>
      </w:r>
      <w:r w:rsidR="0009644C">
        <w:rPr>
          <w:rFonts w:ascii="Arial" w:hAnsi="Arial" w:cs="Arial"/>
          <w:lang w:val="en-ZA"/>
        </w:rPr>
        <w:t>and</w:t>
      </w:r>
      <w:r>
        <w:rPr>
          <w:rFonts w:ascii="Arial" w:hAnsi="Arial" w:cs="Arial"/>
          <w:lang w:val="en-ZA"/>
        </w:rPr>
        <w:t xml:space="preserve"> that of Fenola and Paulus on material aspects of their evidence</w:t>
      </w:r>
      <w:r w:rsidR="00597C31">
        <w:rPr>
          <w:rFonts w:ascii="Arial" w:hAnsi="Arial" w:cs="Arial"/>
          <w:lang w:val="en-ZA"/>
        </w:rPr>
        <w:t>,</w:t>
      </w:r>
      <w:r>
        <w:rPr>
          <w:rFonts w:ascii="Arial" w:hAnsi="Arial" w:cs="Arial"/>
          <w:lang w:val="en-ZA"/>
        </w:rPr>
        <w:t xml:space="preserve"> it is settled law </w:t>
      </w:r>
      <w:r w:rsidR="00597C31">
        <w:rPr>
          <w:rFonts w:ascii="Arial" w:hAnsi="Arial" w:cs="Arial"/>
          <w:lang w:val="en-ZA"/>
        </w:rPr>
        <w:t>that ‘when it is intended to suggest that a witness is not speaking the truth on a particular point, to direct the witness’s attention to the fact by questions put in cross-examination showing that the imputation intended to be made and to afford the witness an opportunity, while still in the witness-box, of giving any explanation open to the witness and of defending his or her character’ (</w:t>
      </w:r>
      <w:r w:rsidR="0009644C">
        <w:rPr>
          <w:rFonts w:ascii="Arial" w:hAnsi="Arial" w:cs="Arial"/>
          <w:i/>
          <w:lang w:val="en-US"/>
        </w:rPr>
        <w:t>President of the RSA v South African Rugby Football Union</w:t>
      </w:r>
      <w:r w:rsidR="0009644C">
        <w:rPr>
          <w:rFonts w:ascii="Arial" w:hAnsi="Arial" w:cs="Arial"/>
          <w:lang w:val="en-ZA"/>
        </w:rPr>
        <w:t xml:space="preserve"> at </w:t>
      </w:r>
      <w:r w:rsidR="00597C31">
        <w:rPr>
          <w:rFonts w:ascii="Arial" w:hAnsi="Arial" w:cs="Arial"/>
          <w:lang w:val="en-ZA"/>
        </w:rPr>
        <w:t>37A-B).</w:t>
      </w:r>
      <w:r w:rsidR="0009644C">
        <w:rPr>
          <w:rStyle w:val="FootnoteReference"/>
          <w:rFonts w:ascii="Arial" w:hAnsi="Arial" w:cs="Arial"/>
          <w:lang w:val="en-ZA"/>
        </w:rPr>
        <w:footnoteReference w:id="7"/>
      </w:r>
      <w:r w:rsidR="0009644C">
        <w:rPr>
          <w:rFonts w:ascii="Arial" w:hAnsi="Arial" w:cs="Arial"/>
          <w:lang w:val="en-ZA"/>
        </w:rPr>
        <w:t xml:space="preserve"> Neither Fenola nor Paulus were</w:t>
      </w:r>
      <w:r w:rsidR="00597C31">
        <w:rPr>
          <w:rFonts w:ascii="Arial" w:hAnsi="Arial" w:cs="Arial"/>
          <w:lang w:val="en-ZA"/>
        </w:rPr>
        <w:t xml:space="preserve"> questioned </w:t>
      </w:r>
      <w:r w:rsidR="0009644C">
        <w:rPr>
          <w:rFonts w:ascii="Arial" w:hAnsi="Arial" w:cs="Arial"/>
          <w:lang w:val="en-ZA"/>
        </w:rPr>
        <w:t>on the conflicting evidence</w:t>
      </w:r>
      <w:r w:rsidR="00597C31">
        <w:rPr>
          <w:rFonts w:ascii="Arial" w:hAnsi="Arial" w:cs="Arial"/>
          <w:lang w:val="en-ZA"/>
        </w:rPr>
        <w:t xml:space="preserve"> and</w:t>
      </w:r>
      <w:r w:rsidR="0009644C">
        <w:rPr>
          <w:rFonts w:ascii="Arial" w:hAnsi="Arial" w:cs="Arial"/>
          <w:lang w:val="en-ZA"/>
        </w:rPr>
        <w:t xml:space="preserve"> where the accused would subsequently give evidence materially different from what these witnesses testified, </w:t>
      </w:r>
      <w:r w:rsidR="00597C31">
        <w:rPr>
          <w:rFonts w:ascii="Arial" w:hAnsi="Arial" w:cs="Arial"/>
          <w:lang w:val="en-ZA"/>
        </w:rPr>
        <w:t xml:space="preserve">the </w:t>
      </w:r>
      <w:r w:rsidR="00104B13">
        <w:rPr>
          <w:rFonts w:ascii="Arial" w:hAnsi="Arial" w:cs="Arial"/>
          <w:lang w:val="en-ZA"/>
        </w:rPr>
        <w:t>defence</w:t>
      </w:r>
      <w:r w:rsidR="00597C31">
        <w:rPr>
          <w:rFonts w:ascii="Arial" w:hAnsi="Arial" w:cs="Arial"/>
          <w:lang w:val="en-ZA"/>
        </w:rPr>
        <w:t xml:space="preserve"> was unde</w:t>
      </w:r>
      <w:r w:rsidR="0009644C">
        <w:rPr>
          <w:rFonts w:ascii="Arial" w:hAnsi="Arial" w:cs="Arial"/>
          <w:lang w:val="en-ZA"/>
        </w:rPr>
        <w:t>r a duty to put the facts of his version to them</w:t>
      </w:r>
      <w:r w:rsidR="00597C31">
        <w:rPr>
          <w:rFonts w:ascii="Arial" w:hAnsi="Arial" w:cs="Arial"/>
          <w:lang w:val="en-ZA"/>
        </w:rPr>
        <w:t xml:space="preserve"> under cross-examination, at least as far as he intended relying on same to discredit the</w:t>
      </w:r>
      <w:r w:rsidR="0009644C">
        <w:rPr>
          <w:rFonts w:ascii="Arial" w:hAnsi="Arial" w:cs="Arial"/>
          <w:lang w:val="en-ZA"/>
        </w:rPr>
        <w:t>se</w:t>
      </w:r>
      <w:r w:rsidR="00597C31">
        <w:rPr>
          <w:rFonts w:ascii="Arial" w:hAnsi="Arial" w:cs="Arial"/>
          <w:lang w:val="en-ZA"/>
        </w:rPr>
        <w:t xml:space="preserve"> witness</w:t>
      </w:r>
      <w:r w:rsidR="0009644C">
        <w:rPr>
          <w:rFonts w:ascii="Arial" w:hAnsi="Arial" w:cs="Arial"/>
          <w:lang w:val="en-ZA"/>
        </w:rPr>
        <w:t xml:space="preserve">es. Failure to do so, in the absence of a reasonable explanation, </w:t>
      </w:r>
      <w:r w:rsidR="00465FAC">
        <w:rPr>
          <w:rFonts w:ascii="Arial" w:hAnsi="Arial" w:cs="Arial"/>
          <w:lang w:val="en-ZA"/>
        </w:rPr>
        <w:t>may lead to the drawing of the inference that the accused’s evidence is recently fabricated.</w:t>
      </w:r>
    </w:p>
    <w:p w:rsidR="00465FAC" w:rsidRDefault="00465FAC" w:rsidP="006B344C">
      <w:pPr>
        <w:spacing w:line="360" w:lineRule="auto"/>
        <w:jc w:val="both"/>
        <w:rPr>
          <w:rFonts w:ascii="Arial" w:hAnsi="Arial" w:cs="Arial"/>
          <w:lang w:val="en-ZA"/>
        </w:rPr>
      </w:pPr>
    </w:p>
    <w:p w:rsidR="00465FAC" w:rsidRDefault="00465FAC" w:rsidP="006B344C">
      <w:pPr>
        <w:spacing w:line="360" w:lineRule="auto"/>
        <w:jc w:val="both"/>
        <w:rPr>
          <w:rFonts w:ascii="Arial" w:hAnsi="Arial" w:cs="Arial"/>
          <w:lang w:val="en-ZA"/>
        </w:rPr>
      </w:pPr>
      <w:r>
        <w:rPr>
          <w:rFonts w:ascii="Arial" w:hAnsi="Arial" w:cs="Arial"/>
          <w:lang w:val="en-ZA"/>
        </w:rPr>
        <w:t>[</w:t>
      </w:r>
      <w:r w:rsidR="00104B13">
        <w:rPr>
          <w:rFonts w:ascii="Arial" w:hAnsi="Arial" w:cs="Arial"/>
          <w:lang w:val="en-ZA"/>
        </w:rPr>
        <w:t>36</w:t>
      </w:r>
      <w:r>
        <w:rPr>
          <w:rFonts w:ascii="Arial" w:hAnsi="Arial" w:cs="Arial"/>
          <w:lang w:val="en-ZA"/>
        </w:rPr>
        <w:t>]   Had the accused been correct that neither of the</w:t>
      </w:r>
      <w:r w:rsidR="00104B13">
        <w:rPr>
          <w:rFonts w:ascii="Arial" w:hAnsi="Arial" w:cs="Arial"/>
          <w:lang w:val="en-ZA"/>
        </w:rPr>
        <w:t>se witnesses</w:t>
      </w:r>
      <w:r>
        <w:rPr>
          <w:rFonts w:ascii="Arial" w:hAnsi="Arial" w:cs="Arial"/>
          <w:lang w:val="en-ZA"/>
        </w:rPr>
        <w:t xml:space="preserve"> was in a position to make observations on the Discovery vehicle </w:t>
      </w:r>
      <w:r w:rsidR="005170E0">
        <w:rPr>
          <w:rFonts w:ascii="Arial" w:hAnsi="Arial" w:cs="Arial"/>
          <w:lang w:val="en-ZA"/>
        </w:rPr>
        <w:t>subsequent to the shooting (Fenola) or witnessed</w:t>
      </w:r>
      <w:r>
        <w:rPr>
          <w:rFonts w:ascii="Arial" w:hAnsi="Arial" w:cs="Arial"/>
          <w:lang w:val="en-ZA"/>
        </w:rPr>
        <w:t xml:space="preserve"> the shooting incident (Paulus)</w:t>
      </w:r>
      <w:r w:rsidR="005170E0">
        <w:rPr>
          <w:rFonts w:ascii="Arial" w:hAnsi="Arial" w:cs="Arial"/>
          <w:lang w:val="en-ZA"/>
        </w:rPr>
        <w:t>,</w:t>
      </w:r>
      <w:r>
        <w:rPr>
          <w:rFonts w:ascii="Arial" w:hAnsi="Arial" w:cs="Arial"/>
          <w:lang w:val="en-ZA"/>
        </w:rPr>
        <w:t xml:space="preserve"> and that their evidence to that end was fabricated, it would imply that Paulus had no reason to contact the City Police shortly after the incident and make a full report of what had brought about death to the driver of the Discovery. </w:t>
      </w:r>
      <w:r w:rsidR="00D54F98">
        <w:rPr>
          <w:rFonts w:ascii="Arial" w:hAnsi="Arial" w:cs="Arial"/>
          <w:lang w:val="en-ZA"/>
        </w:rPr>
        <w:t xml:space="preserve">Furthermore, how would Fenola have been able to describe the position of the said vehicle </w:t>
      </w:r>
      <w:r w:rsidR="00D54F98">
        <w:rPr>
          <w:rFonts w:ascii="Arial" w:hAnsi="Arial" w:cs="Arial"/>
          <w:lang w:val="en-ZA"/>
        </w:rPr>
        <w:lastRenderedPageBreak/>
        <w:t xml:space="preserve">and the </w:t>
      </w:r>
      <w:r w:rsidR="00104B13">
        <w:rPr>
          <w:rFonts w:ascii="Arial" w:hAnsi="Arial" w:cs="Arial"/>
          <w:lang w:val="en-ZA"/>
        </w:rPr>
        <w:t xml:space="preserve">position the </w:t>
      </w:r>
      <w:r w:rsidR="00D54F98">
        <w:rPr>
          <w:rFonts w:ascii="Arial" w:hAnsi="Arial" w:cs="Arial"/>
          <w:lang w:val="en-ZA"/>
        </w:rPr>
        <w:t>deceased</w:t>
      </w:r>
      <w:r w:rsidR="00104B13">
        <w:rPr>
          <w:rFonts w:ascii="Arial" w:hAnsi="Arial" w:cs="Arial"/>
          <w:lang w:val="en-ZA"/>
        </w:rPr>
        <w:t xml:space="preserve"> was in –</w:t>
      </w:r>
      <w:r w:rsidR="00D54F98">
        <w:rPr>
          <w:rFonts w:ascii="Arial" w:hAnsi="Arial" w:cs="Arial"/>
          <w:lang w:val="en-ZA"/>
        </w:rPr>
        <w:t xml:space="preserve"> evidence that was corroborated by witnesses wh</w:t>
      </w:r>
      <w:r w:rsidR="00104B13">
        <w:rPr>
          <w:rFonts w:ascii="Arial" w:hAnsi="Arial" w:cs="Arial"/>
          <w:lang w:val="en-ZA"/>
        </w:rPr>
        <w:t>o attended the scene that night –</w:t>
      </w:r>
      <w:r w:rsidR="00D54F98">
        <w:rPr>
          <w:rFonts w:ascii="Arial" w:hAnsi="Arial" w:cs="Arial"/>
          <w:lang w:val="en-ZA"/>
        </w:rPr>
        <w:t xml:space="preserve"> if they never drove past the Discovery on their way home? These were two independent witnesses, each giving their statements to the police well before the accused’s arrest </w:t>
      </w:r>
      <w:r w:rsidR="00574F5B">
        <w:rPr>
          <w:rFonts w:ascii="Arial" w:hAnsi="Arial" w:cs="Arial"/>
          <w:lang w:val="en-ZA"/>
        </w:rPr>
        <w:t xml:space="preserve">and </w:t>
      </w:r>
      <w:r w:rsidR="00D54F98">
        <w:rPr>
          <w:rFonts w:ascii="Arial" w:hAnsi="Arial" w:cs="Arial"/>
          <w:lang w:val="en-ZA"/>
        </w:rPr>
        <w:t xml:space="preserve">in circumstances where they had no reason to </w:t>
      </w:r>
      <w:r w:rsidR="00574F5B">
        <w:rPr>
          <w:rFonts w:ascii="Arial" w:hAnsi="Arial" w:cs="Arial"/>
          <w:lang w:val="en-ZA"/>
        </w:rPr>
        <w:t>collude with one another or the police. The explanation proffered by the accused on this aspect of his evidence not only stands alone</w:t>
      </w:r>
      <w:r w:rsidR="00D555BC">
        <w:rPr>
          <w:rFonts w:ascii="Arial" w:hAnsi="Arial" w:cs="Arial"/>
          <w:lang w:val="en-ZA"/>
        </w:rPr>
        <w:t>, but</w:t>
      </w:r>
      <w:r w:rsidR="00574F5B">
        <w:rPr>
          <w:rFonts w:ascii="Arial" w:hAnsi="Arial" w:cs="Arial"/>
          <w:lang w:val="en-ZA"/>
        </w:rPr>
        <w:t xml:space="preserve"> </w:t>
      </w:r>
      <w:r w:rsidR="005170E0">
        <w:rPr>
          <w:rFonts w:ascii="Arial" w:hAnsi="Arial" w:cs="Arial"/>
          <w:lang w:val="en-ZA"/>
        </w:rPr>
        <w:t xml:space="preserve">is </w:t>
      </w:r>
      <w:r w:rsidR="00574F5B">
        <w:rPr>
          <w:rFonts w:ascii="Arial" w:hAnsi="Arial" w:cs="Arial"/>
          <w:lang w:val="en-ZA"/>
        </w:rPr>
        <w:t xml:space="preserve">in conflict with the corroborated evidence of several independent witnesses </w:t>
      </w:r>
      <w:r w:rsidR="00D555BC">
        <w:rPr>
          <w:rFonts w:ascii="Arial" w:hAnsi="Arial" w:cs="Arial"/>
          <w:lang w:val="en-ZA"/>
        </w:rPr>
        <w:t>testifying for the State.</w:t>
      </w:r>
      <w:r w:rsidR="00574F5B">
        <w:rPr>
          <w:rFonts w:ascii="Arial" w:hAnsi="Arial" w:cs="Arial"/>
          <w:lang w:val="en-ZA"/>
        </w:rPr>
        <w:t xml:space="preserve"> </w:t>
      </w:r>
      <w:r w:rsidR="005170E0">
        <w:rPr>
          <w:rFonts w:ascii="Arial" w:hAnsi="Arial" w:cs="Arial"/>
          <w:lang w:val="en-ZA"/>
        </w:rPr>
        <w:t xml:space="preserve">Therefore, in view of </w:t>
      </w:r>
      <w:r w:rsidR="00104B13">
        <w:rPr>
          <w:rFonts w:ascii="Arial" w:hAnsi="Arial" w:cs="Arial"/>
          <w:lang w:val="en-ZA"/>
        </w:rPr>
        <w:t xml:space="preserve">reliable </w:t>
      </w:r>
      <w:r w:rsidR="00D555BC">
        <w:rPr>
          <w:rFonts w:ascii="Arial" w:hAnsi="Arial" w:cs="Arial"/>
          <w:lang w:val="en-ZA"/>
        </w:rPr>
        <w:t>evidence to the contrary, t</w:t>
      </w:r>
      <w:r w:rsidR="00897BD5">
        <w:rPr>
          <w:rFonts w:ascii="Arial" w:hAnsi="Arial" w:cs="Arial"/>
          <w:lang w:val="en-ZA"/>
        </w:rPr>
        <w:t xml:space="preserve">he accused’s explanation </w:t>
      </w:r>
      <w:r w:rsidR="00FE4C55">
        <w:rPr>
          <w:rFonts w:ascii="Arial" w:hAnsi="Arial" w:cs="Arial"/>
          <w:lang w:val="en-ZA"/>
        </w:rPr>
        <w:t>on this score seems</w:t>
      </w:r>
      <w:r w:rsidR="00897BD5">
        <w:rPr>
          <w:rFonts w:ascii="Arial" w:hAnsi="Arial" w:cs="Arial"/>
          <w:lang w:val="en-ZA"/>
        </w:rPr>
        <w:t xml:space="preserve"> highly</w:t>
      </w:r>
      <w:r w:rsidR="00574F5B">
        <w:rPr>
          <w:rFonts w:ascii="Arial" w:hAnsi="Arial" w:cs="Arial"/>
          <w:lang w:val="en-ZA"/>
        </w:rPr>
        <w:t xml:space="preserve"> improbable.</w:t>
      </w:r>
    </w:p>
    <w:p w:rsidR="00D555BC" w:rsidRDefault="00D555BC" w:rsidP="006B344C">
      <w:pPr>
        <w:spacing w:line="360" w:lineRule="auto"/>
        <w:jc w:val="both"/>
        <w:rPr>
          <w:rFonts w:ascii="Arial" w:hAnsi="Arial" w:cs="Arial"/>
          <w:lang w:val="en-ZA"/>
        </w:rPr>
      </w:pPr>
    </w:p>
    <w:p w:rsidR="00D555BC" w:rsidRDefault="00D555BC" w:rsidP="006B344C">
      <w:pPr>
        <w:spacing w:line="360" w:lineRule="auto"/>
        <w:jc w:val="both"/>
        <w:rPr>
          <w:rFonts w:ascii="Arial" w:hAnsi="Arial" w:cs="Arial"/>
          <w:lang w:val="en-ZA"/>
        </w:rPr>
      </w:pPr>
      <w:r>
        <w:rPr>
          <w:rFonts w:ascii="Arial" w:hAnsi="Arial" w:cs="Arial"/>
          <w:lang w:val="en-ZA"/>
        </w:rPr>
        <w:t>[</w:t>
      </w:r>
      <w:r w:rsidR="00076A6B">
        <w:rPr>
          <w:rFonts w:ascii="Arial" w:hAnsi="Arial" w:cs="Arial"/>
          <w:lang w:val="en-ZA"/>
        </w:rPr>
        <w:t>37</w:t>
      </w:r>
      <w:r>
        <w:rPr>
          <w:rFonts w:ascii="Arial" w:hAnsi="Arial" w:cs="Arial"/>
          <w:lang w:val="en-ZA"/>
        </w:rPr>
        <w:t xml:space="preserve">]   </w:t>
      </w:r>
      <w:r w:rsidR="00FE4C55">
        <w:rPr>
          <w:rFonts w:ascii="Arial" w:hAnsi="Arial" w:cs="Arial"/>
          <w:lang w:val="en-ZA"/>
        </w:rPr>
        <w:t xml:space="preserve">The evidence of two further witnesses testifying for the defence does not relate to the shooting incident but is evidently aimed at discrediting State witness Fenola, more particularly regarding her behaviour earlier that evening and the alleged offering of money afterwards to buy her silence as regards the events of that night. </w:t>
      </w:r>
    </w:p>
    <w:p w:rsidR="00D7734D" w:rsidRDefault="00D7734D" w:rsidP="006B344C">
      <w:pPr>
        <w:spacing w:line="360" w:lineRule="auto"/>
        <w:jc w:val="both"/>
        <w:rPr>
          <w:rFonts w:ascii="Arial" w:hAnsi="Arial" w:cs="Arial"/>
          <w:lang w:val="en-ZA"/>
        </w:rPr>
      </w:pPr>
    </w:p>
    <w:p w:rsidR="00D7734D" w:rsidRDefault="00D7734D" w:rsidP="006B344C">
      <w:pPr>
        <w:spacing w:line="360" w:lineRule="auto"/>
        <w:jc w:val="both"/>
        <w:rPr>
          <w:rFonts w:ascii="Arial" w:hAnsi="Arial" w:cs="Arial"/>
          <w:lang w:val="en-ZA"/>
        </w:rPr>
      </w:pPr>
      <w:r>
        <w:rPr>
          <w:rFonts w:ascii="Arial" w:hAnsi="Arial" w:cs="Arial"/>
          <w:lang w:val="en-ZA"/>
        </w:rPr>
        <w:t>[</w:t>
      </w:r>
      <w:r w:rsidR="00076A6B">
        <w:rPr>
          <w:rFonts w:ascii="Arial" w:hAnsi="Arial" w:cs="Arial"/>
          <w:lang w:val="en-ZA"/>
        </w:rPr>
        <w:t>38</w:t>
      </w:r>
      <w:r>
        <w:rPr>
          <w:rFonts w:ascii="Arial" w:hAnsi="Arial" w:cs="Arial"/>
          <w:lang w:val="en-ZA"/>
        </w:rPr>
        <w:t xml:space="preserve">]   Isak Indongo, and Toivo Mbangula </w:t>
      </w:r>
      <w:r w:rsidR="00076A6B">
        <w:rPr>
          <w:rFonts w:ascii="Arial" w:hAnsi="Arial" w:cs="Arial"/>
          <w:lang w:val="en-ZA"/>
        </w:rPr>
        <w:t xml:space="preserve">(Bossie) since that afternoon </w:t>
      </w:r>
      <w:r>
        <w:rPr>
          <w:rFonts w:ascii="Arial" w:hAnsi="Arial" w:cs="Arial"/>
          <w:lang w:val="en-ZA"/>
        </w:rPr>
        <w:t>were enjoying themselves in drinkin</w:t>
      </w:r>
      <w:r w:rsidR="00076A6B">
        <w:rPr>
          <w:rFonts w:ascii="Arial" w:hAnsi="Arial" w:cs="Arial"/>
          <w:lang w:val="en-ZA"/>
        </w:rPr>
        <w:t xml:space="preserve">g in the company of </w:t>
      </w:r>
      <w:r>
        <w:rPr>
          <w:rFonts w:ascii="Arial" w:hAnsi="Arial" w:cs="Arial"/>
          <w:lang w:val="en-ZA"/>
        </w:rPr>
        <w:t>others at the bar adjacent to the car wash</w:t>
      </w:r>
      <w:r w:rsidR="00076A6B">
        <w:rPr>
          <w:rFonts w:ascii="Arial" w:hAnsi="Arial" w:cs="Arial"/>
          <w:lang w:val="en-ZA"/>
        </w:rPr>
        <w:t xml:space="preserve"> when joined by </w:t>
      </w:r>
      <w:r>
        <w:rPr>
          <w:rFonts w:ascii="Arial" w:hAnsi="Arial" w:cs="Arial"/>
          <w:lang w:val="en-ZA"/>
        </w:rPr>
        <w:t>Fenola</w:t>
      </w:r>
      <w:r w:rsidR="004A3A8D">
        <w:rPr>
          <w:rFonts w:ascii="Arial" w:hAnsi="Arial" w:cs="Arial"/>
          <w:lang w:val="en-ZA"/>
        </w:rPr>
        <w:t xml:space="preserve"> </w:t>
      </w:r>
      <w:r w:rsidR="00076A6B">
        <w:rPr>
          <w:rFonts w:ascii="Arial" w:hAnsi="Arial" w:cs="Arial"/>
          <w:lang w:val="en-ZA"/>
        </w:rPr>
        <w:t>and the accused</w:t>
      </w:r>
      <w:r>
        <w:rPr>
          <w:rFonts w:ascii="Arial" w:hAnsi="Arial" w:cs="Arial"/>
          <w:lang w:val="en-ZA"/>
        </w:rPr>
        <w:t xml:space="preserve">. Both witnesses in some detail </w:t>
      </w:r>
      <w:r w:rsidR="004A3A8D">
        <w:rPr>
          <w:rFonts w:ascii="Arial" w:hAnsi="Arial" w:cs="Arial"/>
          <w:lang w:val="en-ZA"/>
        </w:rPr>
        <w:t>elaborated</w:t>
      </w:r>
      <w:r>
        <w:rPr>
          <w:rFonts w:ascii="Arial" w:hAnsi="Arial" w:cs="Arial"/>
          <w:lang w:val="en-ZA"/>
        </w:rPr>
        <w:t xml:space="preserve"> on the fact that Fenola </w:t>
      </w:r>
      <w:r w:rsidR="004A3A8D">
        <w:rPr>
          <w:rFonts w:ascii="Arial" w:hAnsi="Arial" w:cs="Arial"/>
          <w:lang w:val="en-ZA"/>
        </w:rPr>
        <w:t>did not only dri</w:t>
      </w:r>
      <w:r>
        <w:rPr>
          <w:rFonts w:ascii="Arial" w:hAnsi="Arial" w:cs="Arial"/>
          <w:lang w:val="en-ZA"/>
        </w:rPr>
        <w:t xml:space="preserve">nk ciders </w:t>
      </w:r>
      <w:r w:rsidR="004A3A8D">
        <w:rPr>
          <w:rFonts w:ascii="Arial" w:hAnsi="Arial" w:cs="Arial"/>
          <w:lang w:val="en-ZA"/>
        </w:rPr>
        <w:t>as she said, but</w:t>
      </w:r>
      <w:r>
        <w:rPr>
          <w:rFonts w:ascii="Arial" w:hAnsi="Arial" w:cs="Arial"/>
          <w:lang w:val="en-ZA"/>
        </w:rPr>
        <w:t xml:space="preserve"> </w:t>
      </w:r>
      <w:r w:rsidR="004A3A8D">
        <w:rPr>
          <w:rFonts w:ascii="Arial" w:hAnsi="Arial" w:cs="Arial"/>
          <w:lang w:val="en-ZA"/>
        </w:rPr>
        <w:t xml:space="preserve">had also taken </w:t>
      </w:r>
      <w:r>
        <w:rPr>
          <w:rFonts w:ascii="Arial" w:hAnsi="Arial" w:cs="Arial"/>
          <w:lang w:val="en-ZA"/>
        </w:rPr>
        <w:t>whisky</w:t>
      </w:r>
      <w:r w:rsidR="004A3A8D">
        <w:rPr>
          <w:rFonts w:ascii="Arial" w:hAnsi="Arial" w:cs="Arial"/>
          <w:lang w:val="en-ZA"/>
        </w:rPr>
        <w:t>.</w:t>
      </w:r>
      <w:r>
        <w:rPr>
          <w:rFonts w:ascii="Arial" w:hAnsi="Arial" w:cs="Arial"/>
          <w:lang w:val="en-ZA"/>
        </w:rPr>
        <w:t xml:space="preserve"> Isak </w:t>
      </w:r>
      <w:r w:rsidR="004A3A8D">
        <w:rPr>
          <w:rFonts w:ascii="Arial" w:hAnsi="Arial" w:cs="Arial"/>
          <w:lang w:val="en-ZA"/>
        </w:rPr>
        <w:t>testified about</w:t>
      </w:r>
      <w:r>
        <w:rPr>
          <w:rFonts w:ascii="Arial" w:hAnsi="Arial" w:cs="Arial"/>
          <w:lang w:val="en-ZA"/>
        </w:rPr>
        <w:t xml:space="preserve"> Fenola having used his vehicle to go home and</w:t>
      </w:r>
      <w:r w:rsidR="00076A6B">
        <w:rPr>
          <w:rFonts w:ascii="Arial" w:hAnsi="Arial" w:cs="Arial"/>
          <w:lang w:val="en-ZA"/>
        </w:rPr>
        <w:t xml:space="preserve"> suspected her to have</w:t>
      </w:r>
      <w:r w:rsidR="004A3A8D">
        <w:rPr>
          <w:rFonts w:ascii="Arial" w:hAnsi="Arial" w:cs="Arial"/>
          <w:lang w:val="en-ZA"/>
        </w:rPr>
        <w:t xml:space="preserve"> </w:t>
      </w:r>
      <w:r w:rsidR="000016BD">
        <w:rPr>
          <w:rFonts w:ascii="Arial" w:hAnsi="Arial" w:cs="Arial"/>
          <w:lang w:val="en-ZA"/>
        </w:rPr>
        <w:t>bought</w:t>
      </w:r>
      <w:r>
        <w:rPr>
          <w:rFonts w:ascii="Arial" w:hAnsi="Arial" w:cs="Arial"/>
          <w:lang w:val="en-ZA"/>
        </w:rPr>
        <w:t xml:space="preserve"> drugs</w:t>
      </w:r>
      <w:r w:rsidR="00076A6B">
        <w:rPr>
          <w:rFonts w:ascii="Arial" w:hAnsi="Arial" w:cs="Arial"/>
          <w:lang w:val="en-ZA"/>
        </w:rPr>
        <w:t xml:space="preserve"> on the way</w:t>
      </w:r>
      <w:r>
        <w:rPr>
          <w:rFonts w:ascii="Arial" w:hAnsi="Arial" w:cs="Arial"/>
          <w:lang w:val="en-ZA"/>
        </w:rPr>
        <w:t xml:space="preserve">. </w:t>
      </w:r>
      <w:r w:rsidR="004A3A8D">
        <w:rPr>
          <w:rFonts w:ascii="Arial" w:hAnsi="Arial" w:cs="Arial"/>
          <w:lang w:val="en-ZA"/>
        </w:rPr>
        <w:t>Both witnesses</w:t>
      </w:r>
      <w:r w:rsidR="000016BD">
        <w:rPr>
          <w:rFonts w:ascii="Arial" w:hAnsi="Arial" w:cs="Arial"/>
          <w:lang w:val="en-ZA"/>
        </w:rPr>
        <w:t>,</w:t>
      </w:r>
      <w:r w:rsidR="004A3A8D">
        <w:rPr>
          <w:rFonts w:ascii="Arial" w:hAnsi="Arial" w:cs="Arial"/>
          <w:lang w:val="en-ZA"/>
        </w:rPr>
        <w:t xml:space="preserve"> on their own admission</w:t>
      </w:r>
      <w:r w:rsidR="000016BD">
        <w:rPr>
          <w:rFonts w:ascii="Arial" w:hAnsi="Arial" w:cs="Arial"/>
          <w:lang w:val="en-ZA"/>
        </w:rPr>
        <w:t>,</w:t>
      </w:r>
      <w:r w:rsidR="004A3A8D">
        <w:rPr>
          <w:rFonts w:ascii="Arial" w:hAnsi="Arial" w:cs="Arial"/>
          <w:lang w:val="en-ZA"/>
        </w:rPr>
        <w:t xml:space="preserve"> were drunk and unable t</w:t>
      </w:r>
      <w:r w:rsidR="00076A6B">
        <w:rPr>
          <w:rFonts w:ascii="Arial" w:hAnsi="Arial" w:cs="Arial"/>
          <w:lang w:val="en-ZA"/>
        </w:rPr>
        <w:t>o extend their drinking spree at</w:t>
      </w:r>
      <w:r w:rsidR="004A3A8D">
        <w:rPr>
          <w:rFonts w:ascii="Arial" w:hAnsi="Arial" w:cs="Arial"/>
          <w:lang w:val="en-ZA"/>
        </w:rPr>
        <w:t xml:space="preserve"> Jokers </w:t>
      </w:r>
      <w:r w:rsidR="000016BD">
        <w:rPr>
          <w:rFonts w:ascii="Arial" w:hAnsi="Arial" w:cs="Arial"/>
          <w:lang w:val="en-ZA"/>
        </w:rPr>
        <w:t xml:space="preserve">Bar as planned. </w:t>
      </w:r>
      <w:r w:rsidR="00076A6B">
        <w:rPr>
          <w:rFonts w:ascii="Arial" w:hAnsi="Arial" w:cs="Arial"/>
          <w:lang w:val="en-ZA"/>
        </w:rPr>
        <w:t>Their evidence</w:t>
      </w:r>
      <w:r w:rsidR="00A801D6">
        <w:rPr>
          <w:rFonts w:ascii="Arial" w:hAnsi="Arial" w:cs="Arial"/>
          <w:lang w:val="en-ZA"/>
        </w:rPr>
        <w:t xml:space="preserve"> albeit speculative of nature,</w:t>
      </w:r>
      <w:r w:rsidR="00076A6B">
        <w:rPr>
          <w:rFonts w:ascii="Arial" w:hAnsi="Arial" w:cs="Arial"/>
          <w:lang w:val="en-ZA"/>
        </w:rPr>
        <w:t xml:space="preserve"> should therefore be approached with some caution. This notwithstanding, t</w:t>
      </w:r>
      <w:r w:rsidR="000016BD">
        <w:rPr>
          <w:rFonts w:ascii="Arial" w:hAnsi="Arial" w:cs="Arial"/>
          <w:lang w:val="en-ZA"/>
        </w:rPr>
        <w:t>here is</w:t>
      </w:r>
      <w:r w:rsidR="004A3A8D">
        <w:rPr>
          <w:rFonts w:ascii="Arial" w:hAnsi="Arial" w:cs="Arial"/>
          <w:lang w:val="en-ZA"/>
        </w:rPr>
        <w:t xml:space="preserve"> no clear evidence that Fenola had been under the influence of either alcohol or drugs </w:t>
      </w:r>
      <w:r w:rsidR="00A801D6">
        <w:rPr>
          <w:rFonts w:ascii="Arial" w:hAnsi="Arial" w:cs="Arial"/>
          <w:lang w:val="en-ZA"/>
        </w:rPr>
        <w:t>prior to or during</w:t>
      </w:r>
      <w:r w:rsidR="004A3A8D">
        <w:rPr>
          <w:rFonts w:ascii="Arial" w:hAnsi="Arial" w:cs="Arial"/>
          <w:lang w:val="en-ZA"/>
        </w:rPr>
        <w:t xml:space="preserve"> the incident </w:t>
      </w:r>
      <w:r w:rsidR="000016BD">
        <w:rPr>
          <w:rFonts w:ascii="Arial" w:hAnsi="Arial" w:cs="Arial"/>
          <w:lang w:val="en-ZA"/>
        </w:rPr>
        <w:t>that occurred thereafter.</w:t>
      </w:r>
      <w:r w:rsidR="004A3A8D">
        <w:rPr>
          <w:rFonts w:ascii="Arial" w:hAnsi="Arial" w:cs="Arial"/>
          <w:lang w:val="en-ZA"/>
        </w:rPr>
        <w:t xml:space="preserve"> </w:t>
      </w:r>
      <w:r w:rsidR="000016BD">
        <w:rPr>
          <w:rFonts w:ascii="Arial" w:hAnsi="Arial" w:cs="Arial"/>
          <w:lang w:val="en-ZA"/>
        </w:rPr>
        <w:t xml:space="preserve">In view thereof, </w:t>
      </w:r>
      <w:r w:rsidR="00FC7EFE">
        <w:rPr>
          <w:rFonts w:ascii="Arial" w:hAnsi="Arial" w:cs="Arial"/>
          <w:lang w:val="en-ZA"/>
        </w:rPr>
        <w:t xml:space="preserve">little weight, if any, should be accorded to the evidence of the two defence witnesses pertaining to events of the afternoon and early evening. </w:t>
      </w:r>
      <w:r w:rsidR="00A801D6">
        <w:rPr>
          <w:rFonts w:ascii="Arial" w:hAnsi="Arial" w:cs="Arial"/>
          <w:lang w:val="en-ZA"/>
        </w:rPr>
        <w:t>It is evident that the testimonies of the two defence witnesses have no direct bearing on the charges the accused is facing.</w:t>
      </w:r>
    </w:p>
    <w:p w:rsidR="00FC7EFE" w:rsidRDefault="00FC7EFE" w:rsidP="006B344C">
      <w:pPr>
        <w:spacing w:line="360" w:lineRule="auto"/>
        <w:jc w:val="both"/>
        <w:rPr>
          <w:rFonts w:ascii="Arial" w:hAnsi="Arial" w:cs="Arial"/>
          <w:lang w:val="en-ZA"/>
        </w:rPr>
      </w:pPr>
    </w:p>
    <w:p w:rsidR="00FC7EFE" w:rsidRDefault="00FC7EFE" w:rsidP="006B344C">
      <w:pPr>
        <w:spacing w:line="360" w:lineRule="auto"/>
        <w:jc w:val="both"/>
        <w:rPr>
          <w:rFonts w:ascii="Arial" w:hAnsi="Arial" w:cs="Arial"/>
          <w:lang w:val="en-ZA"/>
        </w:rPr>
      </w:pPr>
      <w:r>
        <w:rPr>
          <w:rFonts w:ascii="Arial" w:hAnsi="Arial" w:cs="Arial"/>
          <w:lang w:val="en-ZA"/>
        </w:rPr>
        <w:lastRenderedPageBreak/>
        <w:t>[</w:t>
      </w:r>
      <w:r w:rsidR="00A801D6">
        <w:rPr>
          <w:rFonts w:ascii="Arial" w:hAnsi="Arial" w:cs="Arial"/>
          <w:lang w:val="en-ZA"/>
        </w:rPr>
        <w:t>39</w:t>
      </w:r>
      <w:r>
        <w:rPr>
          <w:rFonts w:ascii="Arial" w:hAnsi="Arial" w:cs="Arial"/>
          <w:lang w:val="en-ZA"/>
        </w:rPr>
        <w:t>]   Regarding their contact with Fenola and the alleged offering of money</w:t>
      </w:r>
      <w:r w:rsidR="000016BD">
        <w:rPr>
          <w:rFonts w:ascii="Arial" w:hAnsi="Arial" w:cs="Arial"/>
          <w:lang w:val="en-ZA"/>
        </w:rPr>
        <w:t xml:space="preserve"> the following day</w:t>
      </w:r>
      <w:r>
        <w:rPr>
          <w:rFonts w:ascii="Arial" w:hAnsi="Arial" w:cs="Arial"/>
          <w:lang w:val="en-ZA"/>
        </w:rPr>
        <w:t xml:space="preserve">, it should be noted that, although such conduct in itself would be criminal, the accused had not been indicted </w:t>
      </w:r>
      <w:r w:rsidR="000016BD">
        <w:rPr>
          <w:rFonts w:ascii="Arial" w:hAnsi="Arial" w:cs="Arial"/>
          <w:lang w:val="en-ZA"/>
        </w:rPr>
        <w:t xml:space="preserve">in count 2 </w:t>
      </w:r>
      <w:r>
        <w:rPr>
          <w:rFonts w:ascii="Arial" w:hAnsi="Arial" w:cs="Arial"/>
          <w:lang w:val="en-ZA"/>
        </w:rPr>
        <w:t xml:space="preserve">on a charge </w:t>
      </w:r>
      <w:r w:rsidR="000016BD">
        <w:rPr>
          <w:rFonts w:ascii="Arial" w:hAnsi="Arial" w:cs="Arial"/>
          <w:lang w:val="en-ZA"/>
        </w:rPr>
        <w:t>based on</w:t>
      </w:r>
      <w:r>
        <w:rPr>
          <w:rFonts w:ascii="Arial" w:hAnsi="Arial" w:cs="Arial"/>
          <w:lang w:val="en-ZA"/>
        </w:rPr>
        <w:t xml:space="preserve"> those allegations. It is therefore </w:t>
      </w:r>
      <w:r w:rsidR="000016BD">
        <w:rPr>
          <w:rFonts w:ascii="Arial" w:hAnsi="Arial" w:cs="Arial"/>
          <w:lang w:val="en-ZA"/>
        </w:rPr>
        <w:t xml:space="preserve">in my view </w:t>
      </w:r>
      <w:r w:rsidR="00A801D6">
        <w:rPr>
          <w:rFonts w:ascii="Arial" w:hAnsi="Arial" w:cs="Arial"/>
          <w:lang w:val="en-ZA"/>
        </w:rPr>
        <w:t>unnecessary</w:t>
      </w:r>
      <w:r>
        <w:rPr>
          <w:rFonts w:ascii="Arial" w:hAnsi="Arial" w:cs="Arial"/>
          <w:lang w:val="en-ZA"/>
        </w:rPr>
        <w:t xml:space="preserve"> to consider the veracity or otherwise of </w:t>
      </w:r>
      <w:r w:rsidR="00A801D6">
        <w:rPr>
          <w:rFonts w:ascii="Arial" w:hAnsi="Arial" w:cs="Arial"/>
          <w:lang w:val="en-ZA"/>
        </w:rPr>
        <w:t xml:space="preserve">the contradicting </w:t>
      </w:r>
      <w:r w:rsidR="003D05EC">
        <w:rPr>
          <w:rFonts w:ascii="Arial" w:hAnsi="Arial" w:cs="Arial"/>
          <w:lang w:val="en-ZA"/>
        </w:rPr>
        <w:t>evidence</w:t>
      </w:r>
      <w:r>
        <w:rPr>
          <w:rFonts w:ascii="Arial" w:hAnsi="Arial" w:cs="Arial"/>
          <w:lang w:val="en-ZA"/>
        </w:rPr>
        <w:t xml:space="preserve"> given</w:t>
      </w:r>
      <w:r w:rsidR="000016BD">
        <w:rPr>
          <w:rFonts w:ascii="Arial" w:hAnsi="Arial" w:cs="Arial"/>
          <w:lang w:val="en-ZA"/>
        </w:rPr>
        <w:t xml:space="preserve"> by </w:t>
      </w:r>
      <w:r w:rsidR="00A801D6">
        <w:rPr>
          <w:rFonts w:ascii="Arial" w:hAnsi="Arial" w:cs="Arial"/>
          <w:lang w:val="en-ZA"/>
        </w:rPr>
        <w:t>Fenola and the defence</w:t>
      </w:r>
      <w:r w:rsidR="000016BD">
        <w:rPr>
          <w:rFonts w:ascii="Arial" w:hAnsi="Arial" w:cs="Arial"/>
          <w:lang w:val="en-ZA"/>
        </w:rPr>
        <w:t xml:space="preserve"> witnesses</w:t>
      </w:r>
      <w:r>
        <w:rPr>
          <w:rFonts w:ascii="Arial" w:hAnsi="Arial" w:cs="Arial"/>
          <w:lang w:val="en-ZA"/>
        </w:rPr>
        <w:t xml:space="preserve"> in that regard.</w:t>
      </w:r>
    </w:p>
    <w:p w:rsidR="00911C48" w:rsidRDefault="00911C48" w:rsidP="006B344C">
      <w:pPr>
        <w:spacing w:line="360" w:lineRule="auto"/>
        <w:jc w:val="both"/>
        <w:rPr>
          <w:rFonts w:ascii="Arial" w:hAnsi="Arial" w:cs="Arial"/>
          <w:lang w:val="en-ZA"/>
        </w:rPr>
      </w:pPr>
    </w:p>
    <w:p w:rsidR="00911C48" w:rsidRPr="00911C48" w:rsidRDefault="00911C48" w:rsidP="006B344C">
      <w:pPr>
        <w:spacing w:line="360" w:lineRule="auto"/>
        <w:jc w:val="both"/>
        <w:rPr>
          <w:rFonts w:ascii="Arial" w:hAnsi="Arial" w:cs="Arial"/>
          <w:u w:val="single"/>
          <w:lang w:val="en-ZA"/>
        </w:rPr>
      </w:pPr>
      <w:r>
        <w:rPr>
          <w:rFonts w:ascii="Arial" w:hAnsi="Arial" w:cs="Arial"/>
          <w:u w:val="single"/>
          <w:lang w:val="en-ZA"/>
        </w:rPr>
        <w:t>The State’s failure to call witnesses</w:t>
      </w:r>
    </w:p>
    <w:p w:rsidR="00CE4B60" w:rsidRDefault="00CE4B60" w:rsidP="006B344C">
      <w:pPr>
        <w:spacing w:line="360" w:lineRule="auto"/>
        <w:jc w:val="both"/>
        <w:rPr>
          <w:rFonts w:ascii="Arial" w:hAnsi="Arial" w:cs="Arial"/>
          <w:lang w:val="en-ZA"/>
        </w:rPr>
      </w:pPr>
    </w:p>
    <w:p w:rsidR="00CE4B60" w:rsidRDefault="00CE4B60" w:rsidP="006B344C">
      <w:pPr>
        <w:spacing w:line="360" w:lineRule="auto"/>
        <w:jc w:val="both"/>
        <w:rPr>
          <w:rFonts w:ascii="Arial" w:hAnsi="Arial" w:cs="Arial"/>
          <w:lang w:val="en-ZA"/>
        </w:rPr>
      </w:pPr>
      <w:r>
        <w:rPr>
          <w:rFonts w:ascii="Arial" w:hAnsi="Arial" w:cs="Arial"/>
          <w:lang w:val="en-ZA"/>
        </w:rPr>
        <w:t>[</w:t>
      </w:r>
      <w:r w:rsidR="00A801D6">
        <w:rPr>
          <w:rFonts w:ascii="Arial" w:hAnsi="Arial" w:cs="Arial"/>
          <w:lang w:val="en-ZA"/>
        </w:rPr>
        <w:t>40</w:t>
      </w:r>
      <w:r>
        <w:rPr>
          <w:rFonts w:ascii="Arial" w:hAnsi="Arial" w:cs="Arial"/>
          <w:lang w:val="en-ZA"/>
        </w:rPr>
        <w:t>]   During his submissions defence counsel argued that the court should draw an adverse inference from the State’s failure to call two witnesses listed as State witnesses</w:t>
      </w:r>
      <w:r w:rsidR="00B30673">
        <w:rPr>
          <w:rFonts w:ascii="Arial" w:hAnsi="Arial" w:cs="Arial"/>
          <w:lang w:val="en-ZA"/>
        </w:rPr>
        <w:t xml:space="preserve"> namely</w:t>
      </w:r>
      <w:r w:rsidR="004F685B">
        <w:rPr>
          <w:rFonts w:ascii="Arial" w:hAnsi="Arial" w:cs="Arial"/>
          <w:lang w:val="en-ZA"/>
        </w:rPr>
        <w:t>,</w:t>
      </w:r>
      <w:r w:rsidR="00B30673">
        <w:rPr>
          <w:rFonts w:ascii="Arial" w:hAnsi="Arial" w:cs="Arial"/>
          <w:lang w:val="en-ZA"/>
        </w:rPr>
        <w:t xml:space="preserve"> </w:t>
      </w:r>
      <w:r w:rsidR="004F685B">
        <w:rPr>
          <w:rFonts w:ascii="Arial" w:hAnsi="Arial" w:cs="Arial"/>
          <w:lang w:val="en-ZA"/>
        </w:rPr>
        <w:t xml:space="preserve">Christian </w:t>
      </w:r>
      <w:r w:rsidR="00B30673">
        <w:rPr>
          <w:rFonts w:ascii="Arial" w:hAnsi="Arial" w:cs="Arial"/>
          <w:lang w:val="en-ZA"/>
        </w:rPr>
        <w:t>Brinkman</w:t>
      </w:r>
      <w:r w:rsidR="004F685B">
        <w:rPr>
          <w:rFonts w:ascii="Arial" w:hAnsi="Arial" w:cs="Arial"/>
          <w:lang w:val="en-ZA"/>
        </w:rPr>
        <w:t>n</w:t>
      </w:r>
      <w:r w:rsidR="00B30673">
        <w:rPr>
          <w:rFonts w:ascii="Arial" w:hAnsi="Arial" w:cs="Arial"/>
          <w:lang w:val="en-ZA"/>
        </w:rPr>
        <w:t xml:space="preserve"> and </w:t>
      </w:r>
      <w:r w:rsidR="004F685B">
        <w:rPr>
          <w:rFonts w:ascii="Arial" w:hAnsi="Arial" w:cs="Arial"/>
          <w:lang w:val="en-ZA"/>
        </w:rPr>
        <w:t xml:space="preserve">Faustinus </w:t>
      </w:r>
      <w:r w:rsidR="00B30673">
        <w:rPr>
          <w:rFonts w:ascii="Arial" w:hAnsi="Arial" w:cs="Arial"/>
          <w:lang w:val="en-ZA"/>
        </w:rPr>
        <w:t>Ndara. It was argued that the importance of hearing these witnesses</w:t>
      </w:r>
      <w:r w:rsidR="004F685B">
        <w:rPr>
          <w:rFonts w:ascii="Arial" w:hAnsi="Arial" w:cs="Arial"/>
          <w:lang w:val="en-ZA"/>
        </w:rPr>
        <w:t>,</w:t>
      </w:r>
      <w:r w:rsidR="00B30673">
        <w:rPr>
          <w:rFonts w:ascii="Arial" w:hAnsi="Arial" w:cs="Arial"/>
          <w:lang w:val="en-ZA"/>
        </w:rPr>
        <w:t xml:space="preserve"> lies in the evidence they were to give which, as regards Brinkman</w:t>
      </w:r>
      <w:r w:rsidR="004F685B">
        <w:rPr>
          <w:rFonts w:ascii="Arial" w:hAnsi="Arial" w:cs="Arial"/>
          <w:lang w:val="en-ZA"/>
        </w:rPr>
        <w:t>n</w:t>
      </w:r>
      <w:r w:rsidR="00B30673">
        <w:rPr>
          <w:rFonts w:ascii="Arial" w:hAnsi="Arial" w:cs="Arial"/>
          <w:lang w:val="en-ZA"/>
        </w:rPr>
        <w:t xml:space="preserve">, would have shed light as to who removed the </w:t>
      </w:r>
      <w:r w:rsidR="001510D3">
        <w:rPr>
          <w:rFonts w:ascii="Arial" w:hAnsi="Arial" w:cs="Arial"/>
          <w:lang w:val="en-ZA"/>
        </w:rPr>
        <w:t>registration plates and licence disc from the accused’s vehicle, as the accused asserted it to have been done by the witness. Furthermore, as regards the witness Ndara, he worked as security guard in the area where the shooting took place and a statement was taken from him during the investigation.</w:t>
      </w:r>
      <w:r w:rsidR="001510D3" w:rsidRPr="001510D3">
        <w:rPr>
          <w:rFonts w:ascii="Arial" w:hAnsi="Arial" w:cs="Arial"/>
          <w:lang w:val="en-ZA"/>
        </w:rPr>
        <w:t xml:space="preserve"> </w:t>
      </w:r>
      <w:r w:rsidR="001510D3">
        <w:rPr>
          <w:rFonts w:ascii="Arial" w:hAnsi="Arial" w:cs="Arial"/>
          <w:lang w:val="en-ZA"/>
        </w:rPr>
        <w:t>No reason was given by the prosecutor why these witnesses were not called by the State</w:t>
      </w:r>
      <w:r w:rsidR="00E54B57">
        <w:rPr>
          <w:rFonts w:ascii="Arial" w:hAnsi="Arial" w:cs="Arial"/>
          <w:lang w:val="en-ZA"/>
        </w:rPr>
        <w:t xml:space="preserve"> and </w:t>
      </w:r>
      <w:r w:rsidR="004F685B">
        <w:rPr>
          <w:rFonts w:ascii="Arial" w:hAnsi="Arial" w:cs="Arial"/>
          <w:lang w:val="en-ZA"/>
        </w:rPr>
        <w:t>were made</w:t>
      </w:r>
      <w:r w:rsidR="00E54B57">
        <w:rPr>
          <w:rFonts w:ascii="Arial" w:hAnsi="Arial" w:cs="Arial"/>
          <w:lang w:val="en-ZA"/>
        </w:rPr>
        <w:t xml:space="preserve"> available to the defence</w:t>
      </w:r>
      <w:r w:rsidR="001510D3">
        <w:rPr>
          <w:rFonts w:ascii="Arial" w:hAnsi="Arial" w:cs="Arial"/>
          <w:lang w:val="en-ZA"/>
        </w:rPr>
        <w:t>.</w:t>
      </w:r>
    </w:p>
    <w:p w:rsidR="001510D3" w:rsidRDefault="001510D3" w:rsidP="006B344C">
      <w:pPr>
        <w:spacing w:line="360" w:lineRule="auto"/>
        <w:jc w:val="both"/>
        <w:rPr>
          <w:rFonts w:ascii="Arial" w:hAnsi="Arial" w:cs="Arial"/>
          <w:lang w:val="en-ZA"/>
        </w:rPr>
      </w:pPr>
    </w:p>
    <w:p w:rsidR="001510D3" w:rsidRDefault="001510D3" w:rsidP="006B344C">
      <w:pPr>
        <w:spacing w:line="360" w:lineRule="auto"/>
        <w:jc w:val="both"/>
        <w:rPr>
          <w:rFonts w:ascii="Arial" w:hAnsi="Arial" w:cs="Arial"/>
          <w:lang w:val="en-ZA"/>
        </w:rPr>
      </w:pPr>
      <w:r>
        <w:rPr>
          <w:rFonts w:ascii="Arial" w:hAnsi="Arial" w:cs="Arial"/>
          <w:lang w:val="en-ZA"/>
        </w:rPr>
        <w:t>[</w:t>
      </w:r>
      <w:r w:rsidR="004F685B">
        <w:rPr>
          <w:rFonts w:ascii="Arial" w:hAnsi="Arial" w:cs="Arial"/>
          <w:lang w:val="en-ZA"/>
        </w:rPr>
        <w:t>41</w:t>
      </w:r>
      <w:r>
        <w:rPr>
          <w:rFonts w:ascii="Arial" w:hAnsi="Arial" w:cs="Arial"/>
          <w:lang w:val="en-ZA"/>
        </w:rPr>
        <w:t xml:space="preserve">]   Mr </w:t>
      </w:r>
      <w:r>
        <w:rPr>
          <w:rFonts w:ascii="Arial" w:hAnsi="Arial" w:cs="Arial"/>
          <w:i/>
          <w:lang w:val="en-ZA"/>
        </w:rPr>
        <w:t xml:space="preserve">Makando </w:t>
      </w:r>
      <w:r>
        <w:rPr>
          <w:rFonts w:ascii="Arial" w:hAnsi="Arial" w:cs="Arial"/>
          <w:lang w:val="en-ZA"/>
        </w:rPr>
        <w:t xml:space="preserve">submitted that the defence intended calling both witnesses but </w:t>
      </w:r>
      <w:r w:rsidR="008B6480">
        <w:rPr>
          <w:rFonts w:ascii="Arial" w:hAnsi="Arial" w:cs="Arial"/>
          <w:lang w:val="en-ZA"/>
        </w:rPr>
        <w:t>declined doing so due to their</w:t>
      </w:r>
      <w:r>
        <w:rPr>
          <w:rFonts w:ascii="Arial" w:hAnsi="Arial" w:cs="Arial"/>
          <w:lang w:val="en-ZA"/>
        </w:rPr>
        <w:t xml:space="preserve"> unavai</w:t>
      </w:r>
      <w:r w:rsidR="008B6480">
        <w:rPr>
          <w:rFonts w:ascii="Arial" w:hAnsi="Arial" w:cs="Arial"/>
          <w:lang w:val="en-ZA"/>
        </w:rPr>
        <w:t>lability</w:t>
      </w:r>
      <w:r>
        <w:rPr>
          <w:rFonts w:ascii="Arial" w:hAnsi="Arial" w:cs="Arial"/>
          <w:lang w:val="en-ZA"/>
        </w:rPr>
        <w:t xml:space="preserve">. Ndara was apparently willing to give evidence </w:t>
      </w:r>
      <w:r w:rsidR="008B6480">
        <w:rPr>
          <w:rFonts w:ascii="Arial" w:hAnsi="Arial" w:cs="Arial"/>
          <w:lang w:val="en-ZA"/>
        </w:rPr>
        <w:t>but only when</w:t>
      </w:r>
      <w:r>
        <w:rPr>
          <w:rFonts w:ascii="Arial" w:hAnsi="Arial" w:cs="Arial"/>
          <w:lang w:val="en-ZA"/>
        </w:rPr>
        <w:t xml:space="preserve"> </w:t>
      </w:r>
      <w:r w:rsidR="008B6480">
        <w:rPr>
          <w:rFonts w:ascii="Arial" w:hAnsi="Arial" w:cs="Arial"/>
          <w:lang w:val="en-ZA"/>
        </w:rPr>
        <w:t>remunerated,</w:t>
      </w:r>
      <w:r>
        <w:rPr>
          <w:rFonts w:ascii="Arial" w:hAnsi="Arial" w:cs="Arial"/>
          <w:lang w:val="en-ZA"/>
        </w:rPr>
        <w:t xml:space="preserve"> while Brinkman, being the 18 year old son of the accused, </w:t>
      </w:r>
      <w:r w:rsidR="008B6480">
        <w:rPr>
          <w:rFonts w:ascii="Arial" w:hAnsi="Arial" w:cs="Arial"/>
          <w:lang w:val="en-ZA"/>
        </w:rPr>
        <w:t xml:space="preserve">unexpectedly </w:t>
      </w:r>
      <w:r>
        <w:rPr>
          <w:rFonts w:ascii="Arial" w:hAnsi="Arial" w:cs="Arial"/>
          <w:lang w:val="en-ZA"/>
        </w:rPr>
        <w:t>disappeared and b</w:t>
      </w:r>
      <w:r w:rsidR="004F685B">
        <w:rPr>
          <w:rFonts w:ascii="Arial" w:hAnsi="Arial" w:cs="Arial"/>
          <w:lang w:val="en-ZA"/>
        </w:rPr>
        <w:t>roke all contact with his family</w:t>
      </w:r>
      <w:r>
        <w:rPr>
          <w:rFonts w:ascii="Arial" w:hAnsi="Arial" w:cs="Arial"/>
          <w:lang w:val="en-ZA"/>
        </w:rPr>
        <w:t xml:space="preserve">. </w:t>
      </w:r>
      <w:r w:rsidR="00E54B57">
        <w:rPr>
          <w:rFonts w:ascii="Arial" w:hAnsi="Arial" w:cs="Arial"/>
          <w:lang w:val="en-ZA"/>
        </w:rPr>
        <w:t xml:space="preserve">In terms of s 179 of the Criminal Procedure Act 51 of 1977 the defence could have approached the registrar to have these witnesses subpoenaed and where the accused has shown that he was unable to pay the necessary costs and fees applicable, and the witnesses being material for his defence (as alleged in this instance), he would have been exempted </w:t>
      </w:r>
      <w:r w:rsidR="00525836">
        <w:rPr>
          <w:rFonts w:ascii="Arial" w:hAnsi="Arial" w:cs="Arial"/>
          <w:lang w:val="en-ZA"/>
        </w:rPr>
        <w:t xml:space="preserve">from covering the costs </w:t>
      </w:r>
      <w:r w:rsidR="00743FB6">
        <w:rPr>
          <w:rFonts w:ascii="Arial" w:hAnsi="Arial" w:cs="Arial"/>
          <w:lang w:val="en-ZA"/>
        </w:rPr>
        <w:t>and have the witnesses</w:t>
      </w:r>
      <w:r w:rsidR="00E54B57">
        <w:rPr>
          <w:rFonts w:ascii="Arial" w:hAnsi="Arial" w:cs="Arial"/>
          <w:lang w:val="en-ZA"/>
        </w:rPr>
        <w:t xml:space="preserve"> subpoenaed. The defence however did not follow this route and decided not to call the said witnesses.</w:t>
      </w:r>
    </w:p>
    <w:p w:rsidR="00E54B57" w:rsidRDefault="00E54B57" w:rsidP="006B344C">
      <w:pPr>
        <w:spacing w:line="360" w:lineRule="auto"/>
        <w:jc w:val="both"/>
        <w:rPr>
          <w:rFonts w:ascii="Arial" w:hAnsi="Arial" w:cs="Arial"/>
          <w:lang w:val="en-ZA"/>
        </w:rPr>
      </w:pPr>
    </w:p>
    <w:p w:rsidR="00E54B57" w:rsidRDefault="00E54B57" w:rsidP="006B344C">
      <w:pPr>
        <w:spacing w:line="360" w:lineRule="auto"/>
        <w:jc w:val="both"/>
        <w:rPr>
          <w:rFonts w:ascii="Arial" w:hAnsi="Arial" w:cs="Arial"/>
          <w:lang w:val="en-ZA"/>
        </w:rPr>
      </w:pPr>
      <w:r>
        <w:rPr>
          <w:rFonts w:ascii="Arial" w:hAnsi="Arial" w:cs="Arial"/>
          <w:lang w:val="en-ZA"/>
        </w:rPr>
        <w:lastRenderedPageBreak/>
        <w:t>[</w:t>
      </w:r>
      <w:r w:rsidR="00525836">
        <w:rPr>
          <w:rFonts w:ascii="Arial" w:hAnsi="Arial" w:cs="Arial"/>
          <w:lang w:val="en-ZA"/>
        </w:rPr>
        <w:t>42</w:t>
      </w:r>
      <w:r>
        <w:rPr>
          <w:rFonts w:ascii="Arial" w:hAnsi="Arial" w:cs="Arial"/>
          <w:lang w:val="en-ZA"/>
        </w:rPr>
        <w:t xml:space="preserve">]   </w:t>
      </w:r>
      <w:r w:rsidR="00EE2651" w:rsidRPr="00EE2651">
        <w:rPr>
          <w:rFonts w:ascii="Arial" w:hAnsi="Arial" w:cs="Arial"/>
          <w:lang w:val="en-ZA"/>
        </w:rPr>
        <w:t xml:space="preserve">It has been held in a long line of cases that failure to call an available witness who can support a party's case can lead to a negative inference - see </w:t>
      </w:r>
      <w:r w:rsidR="00EE2651" w:rsidRPr="00EE2651">
        <w:rPr>
          <w:rFonts w:ascii="Arial" w:hAnsi="Arial" w:cs="Arial"/>
          <w:i/>
          <w:lang w:val="en-ZA"/>
        </w:rPr>
        <w:t>Elgin Fireclays Ltd v Webb</w:t>
      </w:r>
      <w:r w:rsidR="00EE2651">
        <w:rPr>
          <w:rFonts w:ascii="Arial" w:hAnsi="Arial" w:cs="Arial"/>
          <w:lang w:val="en-ZA"/>
        </w:rPr>
        <w:t xml:space="preserve"> and</w:t>
      </w:r>
      <w:r w:rsidR="00EE2651" w:rsidRPr="00EE2651">
        <w:rPr>
          <w:rFonts w:ascii="Arial" w:hAnsi="Arial" w:cs="Arial"/>
          <w:lang w:val="en-ZA"/>
        </w:rPr>
        <w:t xml:space="preserve"> </w:t>
      </w:r>
      <w:r w:rsidR="00EE2651" w:rsidRPr="00EE2651">
        <w:rPr>
          <w:rFonts w:ascii="Arial" w:hAnsi="Arial" w:cs="Arial"/>
          <w:i/>
          <w:lang w:val="en-ZA"/>
        </w:rPr>
        <w:t>S v Teixeira</w:t>
      </w:r>
      <w:r w:rsidR="00EE2651" w:rsidRPr="00EE2651">
        <w:rPr>
          <w:rFonts w:ascii="Arial" w:hAnsi="Arial" w:cs="Arial"/>
          <w:lang w:val="en-ZA"/>
        </w:rPr>
        <w:t>.</w:t>
      </w:r>
      <w:r w:rsidR="00EE2651">
        <w:rPr>
          <w:rStyle w:val="FootnoteReference"/>
          <w:rFonts w:ascii="Arial" w:hAnsi="Arial" w:cs="Arial"/>
          <w:lang w:val="en-ZA"/>
        </w:rPr>
        <w:footnoteReference w:id="8"/>
      </w:r>
      <w:r w:rsidR="00EE2651">
        <w:rPr>
          <w:rFonts w:ascii="Arial" w:hAnsi="Arial" w:cs="Arial"/>
          <w:lang w:val="en-ZA"/>
        </w:rPr>
        <w:t xml:space="preserve"> From a reading of the cases it is evident that the court will only draw an adverse inference from a party’s failure to call a witness if the witness is </w:t>
      </w:r>
      <w:r w:rsidR="00EE2651" w:rsidRPr="00525836">
        <w:rPr>
          <w:rFonts w:ascii="Arial" w:hAnsi="Arial" w:cs="Arial"/>
          <w:i/>
          <w:lang w:val="en-ZA"/>
        </w:rPr>
        <w:t>available</w:t>
      </w:r>
      <w:r w:rsidR="00EE2651">
        <w:rPr>
          <w:rFonts w:ascii="Arial" w:hAnsi="Arial" w:cs="Arial"/>
          <w:lang w:val="en-ZA"/>
        </w:rPr>
        <w:t xml:space="preserve"> and where the possibility existed that the evidence of the witness would create contradictions which could impair the evidence of the </w:t>
      </w:r>
      <w:r w:rsidR="00EE2651" w:rsidRPr="00525836">
        <w:rPr>
          <w:rFonts w:ascii="Arial" w:hAnsi="Arial" w:cs="Arial"/>
          <w:i/>
          <w:lang w:val="en-ZA"/>
        </w:rPr>
        <w:t>single</w:t>
      </w:r>
      <w:r w:rsidR="00EE2651">
        <w:rPr>
          <w:rFonts w:ascii="Arial" w:hAnsi="Arial" w:cs="Arial"/>
          <w:lang w:val="en-ZA"/>
        </w:rPr>
        <w:t xml:space="preserve"> witness.</w:t>
      </w:r>
    </w:p>
    <w:p w:rsidR="004A1D24" w:rsidRDefault="004A1D24" w:rsidP="006B344C">
      <w:pPr>
        <w:spacing w:line="360" w:lineRule="auto"/>
        <w:jc w:val="both"/>
        <w:rPr>
          <w:rFonts w:ascii="Arial" w:hAnsi="Arial" w:cs="Arial"/>
          <w:lang w:val="en-ZA"/>
        </w:rPr>
      </w:pPr>
    </w:p>
    <w:p w:rsidR="004A1D24" w:rsidRPr="001510D3" w:rsidRDefault="004A1D24" w:rsidP="006B344C">
      <w:pPr>
        <w:spacing w:line="360" w:lineRule="auto"/>
        <w:jc w:val="both"/>
        <w:rPr>
          <w:rFonts w:ascii="Arial" w:hAnsi="Arial" w:cs="Arial"/>
          <w:lang w:val="en-ZA"/>
        </w:rPr>
      </w:pPr>
      <w:r>
        <w:rPr>
          <w:rFonts w:ascii="Arial" w:hAnsi="Arial" w:cs="Arial"/>
          <w:lang w:val="en-ZA"/>
        </w:rPr>
        <w:t>[</w:t>
      </w:r>
      <w:r w:rsidR="00525836">
        <w:rPr>
          <w:rFonts w:ascii="Arial" w:hAnsi="Arial" w:cs="Arial"/>
          <w:lang w:val="en-ZA"/>
        </w:rPr>
        <w:t>43</w:t>
      </w:r>
      <w:r>
        <w:rPr>
          <w:rFonts w:ascii="Arial" w:hAnsi="Arial" w:cs="Arial"/>
          <w:lang w:val="en-ZA"/>
        </w:rPr>
        <w:t>]   In the present instance the witnesses were not available, or not caused to be available; neither has the court been faced with the evidence of a single witness. As regards the shooting incident there were two eyewitnesses</w:t>
      </w:r>
      <w:r w:rsidR="00D42AE9">
        <w:rPr>
          <w:rFonts w:ascii="Arial" w:hAnsi="Arial" w:cs="Arial"/>
          <w:lang w:val="en-ZA"/>
        </w:rPr>
        <w:t>,</w:t>
      </w:r>
      <w:r>
        <w:rPr>
          <w:rFonts w:ascii="Arial" w:hAnsi="Arial" w:cs="Arial"/>
          <w:lang w:val="en-ZA"/>
        </w:rPr>
        <w:t xml:space="preserve"> whilst evidence relating to the parking of the vehicle was </w:t>
      </w:r>
      <w:r w:rsidR="00D42AE9">
        <w:rPr>
          <w:rFonts w:ascii="Arial" w:hAnsi="Arial" w:cs="Arial"/>
          <w:lang w:val="en-ZA"/>
        </w:rPr>
        <w:t xml:space="preserve">part of </w:t>
      </w:r>
      <w:r>
        <w:rPr>
          <w:rFonts w:ascii="Arial" w:hAnsi="Arial" w:cs="Arial"/>
          <w:lang w:val="en-ZA"/>
        </w:rPr>
        <w:t>the accused’s testimony, not that of the State. Accordingly, it is my considered opinion that there was no duty on the State to call either of the witnesses</w:t>
      </w:r>
      <w:r w:rsidR="00D42AE9">
        <w:rPr>
          <w:rFonts w:ascii="Arial" w:hAnsi="Arial" w:cs="Arial"/>
          <w:lang w:val="en-ZA"/>
        </w:rPr>
        <w:t xml:space="preserve"> and in the circumstances I decline to draw any adverse inference from its failure to do so.</w:t>
      </w:r>
    </w:p>
    <w:p w:rsidR="00D555BC" w:rsidRDefault="00D555BC" w:rsidP="006B344C">
      <w:pPr>
        <w:spacing w:line="360" w:lineRule="auto"/>
        <w:jc w:val="both"/>
        <w:rPr>
          <w:rFonts w:ascii="Arial" w:hAnsi="Arial" w:cs="Arial"/>
          <w:lang w:val="en-ZA"/>
        </w:rPr>
      </w:pPr>
    </w:p>
    <w:p w:rsidR="008B5E22" w:rsidRDefault="008B5E22" w:rsidP="006B344C">
      <w:pPr>
        <w:spacing w:line="360" w:lineRule="auto"/>
        <w:jc w:val="both"/>
        <w:rPr>
          <w:rFonts w:ascii="Arial" w:hAnsi="Arial" w:cs="Arial"/>
          <w:u w:val="single"/>
          <w:lang w:val="en-ZA"/>
        </w:rPr>
      </w:pPr>
      <w:r>
        <w:rPr>
          <w:rFonts w:ascii="Arial" w:hAnsi="Arial" w:cs="Arial"/>
          <w:u w:val="single"/>
          <w:lang w:val="en-ZA"/>
        </w:rPr>
        <w:t>Private defence</w:t>
      </w:r>
    </w:p>
    <w:p w:rsidR="008B5E22" w:rsidRDefault="008B5E22" w:rsidP="006B344C">
      <w:pPr>
        <w:spacing w:line="360" w:lineRule="auto"/>
        <w:jc w:val="both"/>
        <w:rPr>
          <w:rFonts w:ascii="Arial" w:hAnsi="Arial" w:cs="Arial"/>
          <w:lang w:val="en-ZA"/>
        </w:rPr>
      </w:pPr>
    </w:p>
    <w:p w:rsidR="008B5E22" w:rsidRDefault="008B5E22" w:rsidP="006B344C">
      <w:pPr>
        <w:spacing w:line="360" w:lineRule="auto"/>
        <w:jc w:val="both"/>
        <w:rPr>
          <w:rFonts w:ascii="Arial" w:hAnsi="Arial" w:cs="Arial"/>
          <w:lang w:val="en-ZA"/>
        </w:rPr>
      </w:pPr>
      <w:r>
        <w:rPr>
          <w:rFonts w:ascii="Arial" w:hAnsi="Arial" w:cs="Arial"/>
          <w:lang w:val="en-ZA"/>
        </w:rPr>
        <w:t>[</w:t>
      </w:r>
      <w:r w:rsidR="00525836">
        <w:rPr>
          <w:rFonts w:ascii="Arial" w:hAnsi="Arial" w:cs="Arial"/>
          <w:lang w:val="en-ZA"/>
        </w:rPr>
        <w:t>44</w:t>
      </w:r>
      <w:r>
        <w:rPr>
          <w:rFonts w:ascii="Arial" w:hAnsi="Arial" w:cs="Arial"/>
          <w:lang w:val="en-ZA"/>
        </w:rPr>
        <w:t xml:space="preserve">]   </w:t>
      </w:r>
      <w:r w:rsidR="004F0E5F">
        <w:rPr>
          <w:rFonts w:ascii="Arial" w:hAnsi="Arial" w:cs="Arial"/>
          <w:lang w:val="en-ZA"/>
        </w:rPr>
        <w:t>In respect of the attack, it is required that the attack must be unlawful upon a legal interest which had commenced or was imminent</w:t>
      </w:r>
      <w:r w:rsidR="000016BD">
        <w:rPr>
          <w:rFonts w:ascii="Arial" w:hAnsi="Arial" w:cs="Arial"/>
          <w:lang w:val="en-ZA"/>
        </w:rPr>
        <w:t>,</w:t>
      </w:r>
      <w:r w:rsidR="004F0E5F">
        <w:rPr>
          <w:rFonts w:ascii="Arial" w:hAnsi="Arial" w:cs="Arial"/>
          <w:lang w:val="en-ZA"/>
        </w:rPr>
        <w:t xml:space="preserve"> while the defensive act must be directed against the attacker and necessary to avert the attack. It is further required that the means used must be necessary in the circumstances.</w:t>
      </w:r>
      <w:r w:rsidR="004F0E5F">
        <w:rPr>
          <w:rStyle w:val="FootnoteReference"/>
          <w:rFonts w:ascii="Arial" w:hAnsi="Arial" w:cs="Arial"/>
          <w:lang w:val="en-ZA"/>
        </w:rPr>
        <w:footnoteReference w:id="9"/>
      </w:r>
      <w:r w:rsidR="004F0E5F">
        <w:rPr>
          <w:rFonts w:ascii="Arial" w:hAnsi="Arial" w:cs="Arial"/>
          <w:lang w:val="en-ZA"/>
        </w:rPr>
        <w:t xml:space="preserve"> Private defence is not a means of exercising vengeance or retaliation and there would be no defensive act where the unlawful attack </w:t>
      </w:r>
      <w:r w:rsidR="00A44981">
        <w:rPr>
          <w:rFonts w:ascii="Arial" w:hAnsi="Arial" w:cs="Arial"/>
          <w:lang w:val="en-ZA"/>
        </w:rPr>
        <w:t>had already passed. A further requirement for a defensive act is that the attacked person must be aware of the fact that he or she is acting in private defence</w:t>
      </w:r>
      <w:r w:rsidR="00520575">
        <w:rPr>
          <w:rFonts w:ascii="Arial" w:hAnsi="Arial" w:cs="Arial"/>
          <w:lang w:val="en-ZA"/>
        </w:rPr>
        <w:t>, meaning</w:t>
      </w:r>
      <w:r w:rsidR="000016BD">
        <w:rPr>
          <w:rFonts w:ascii="Arial" w:hAnsi="Arial" w:cs="Arial"/>
          <w:lang w:val="en-ZA"/>
        </w:rPr>
        <w:t>,</w:t>
      </w:r>
      <w:r w:rsidR="00520575">
        <w:rPr>
          <w:rFonts w:ascii="Arial" w:hAnsi="Arial" w:cs="Arial"/>
          <w:lang w:val="en-ZA"/>
        </w:rPr>
        <w:t xml:space="preserve"> that the attacked person subjectively genuinely believed that he or she was acting in self-defence. A person therefore cannot accidentally act in self-defence as it requires an act of will. The onus is on the State to prove </w:t>
      </w:r>
      <w:r w:rsidR="00520575">
        <w:rPr>
          <w:rFonts w:ascii="Arial" w:hAnsi="Arial" w:cs="Arial"/>
          <w:lang w:val="en-ZA"/>
        </w:rPr>
        <w:lastRenderedPageBreak/>
        <w:t xml:space="preserve">beyond reasonable doubt </w:t>
      </w:r>
      <w:r w:rsidR="00E04E8A">
        <w:rPr>
          <w:rFonts w:ascii="Arial" w:hAnsi="Arial" w:cs="Arial"/>
          <w:lang w:val="en-ZA"/>
        </w:rPr>
        <w:t>that the requirements for self-defence did not exist</w:t>
      </w:r>
      <w:r w:rsidR="000016BD">
        <w:rPr>
          <w:rFonts w:ascii="Arial" w:hAnsi="Arial" w:cs="Arial"/>
          <w:lang w:val="en-ZA"/>
        </w:rPr>
        <w:t>,</w:t>
      </w:r>
      <w:r w:rsidR="00E04E8A">
        <w:rPr>
          <w:rFonts w:ascii="Arial" w:hAnsi="Arial" w:cs="Arial"/>
          <w:lang w:val="en-ZA"/>
        </w:rPr>
        <w:t xml:space="preserve"> or that</w:t>
      </w:r>
      <w:r w:rsidR="00525836">
        <w:rPr>
          <w:rFonts w:ascii="Arial" w:hAnsi="Arial" w:cs="Arial"/>
          <w:lang w:val="en-ZA"/>
        </w:rPr>
        <w:t xml:space="preserve"> the bounds of self-defence had</w:t>
      </w:r>
      <w:r w:rsidR="00E04E8A">
        <w:rPr>
          <w:rFonts w:ascii="Arial" w:hAnsi="Arial" w:cs="Arial"/>
          <w:lang w:val="en-ZA"/>
        </w:rPr>
        <w:t xml:space="preserve"> been exceeded.</w:t>
      </w:r>
    </w:p>
    <w:p w:rsidR="002B43E4" w:rsidRDefault="002B43E4" w:rsidP="006B344C">
      <w:pPr>
        <w:spacing w:line="360" w:lineRule="auto"/>
        <w:jc w:val="both"/>
        <w:rPr>
          <w:rFonts w:ascii="Arial" w:hAnsi="Arial" w:cs="Arial"/>
          <w:lang w:val="en-ZA"/>
        </w:rPr>
      </w:pPr>
    </w:p>
    <w:p w:rsidR="0026484E" w:rsidRDefault="002B43E4" w:rsidP="006B344C">
      <w:pPr>
        <w:spacing w:line="360" w:lineRule="auto"/>
        <w:jc w:val="both"/>
        <w:rPr>
          <w:rFonts w:ascii="Arial" w:hAnsi="Arial" w:cs="Arial"/>
          <w:lang w:val="en-ZA"/>
        </w:rPr>
      </w:pPr>
      <w:r>
        <w:rPr>
          <w:rFonts w:ascii="Arial" w:hAnsi="Arial" w:cs="Arial"/>
          <w:lang w:val="en-ZA"/>
        </w:rPr>
        <w:t>[</w:t>
      </w:r>
      <w:r w:rsidR="00525836">
        <w:rPr>
          <w:rFonts w:ascii="Arial" w:hAnsi="Arial" w:cs="Arial"/>
          <w:lang w:val="en-ZA"/>
        </w:rPr>
        <w:t>45</w:t>
      </w:r>
      <w:r>
        <w:rPr>
          <w:rFonts w:ascii="Arial" w:hAnsi="Arial" w:cs="Arial"/>
          <w:lang w:val="en-ZA"/>
        </w:rPr>
        <w:t xml:space="preserve">]   Mr </w:t>
      </w:r>
      <w:r>
        <w:rPr>
          <w:rFonts w:ascii="Arial" w:hAnsi="Arial" w:cs="Arial"/>
          <w:i/>
          <w:lang w:val="en-ZA"/>
        </w:rPr>
        <w:t>Makando</w:t>
      </w:r>
      <w:r>
        <w:rPr>
          <w:rFonts w:ascii="Arial" w:hAnsi="Arial" w:cs="Arial"/>
          <w:lang w:val="en-ZA"/>
        </w:rPr>
        <w:t xml:space="preserve"> submitted that the unlawful attack on the accused commenced when the deceased revved the engine of his vehicle and sped directly at the accused which necessitated him to draw his weapon</w:t>
      </w:r>
      <w:r w:rsidR="00525836">
        <w:rPr>
          <w:rFonts w:ascii="Arial" w:hAnsi="Arial" w:cs="Arial"/>
          <w:lang w:val="en-ZA"/>
        </w:rPr>
        <w:t xml:space="preserve"> and</w:t>
      </w:r>
      <w:r>
        <w:rPr>
          <w:rFonts w:ascii="Arial" w:hAnsi="Arial" w:cs="Arial"/>
          <w:lang w:val="en-ZA"/>
        </w:rPr>
        <w:t xml:space="preserve"> </w:t>
      </w:r>
      <w:r w:rsidR="00525836">
        <w:rPr>
          <w:rFonts w:ascii="Arial" w:hAnsi="Arial" w:cs="Arial"/>
          <w:lang w:val="en-ZA"/>
        </w:rPr>
        <w:t>shoot at the approaching vehicle while trying to get out of harm’s way</w:t>
      </w:r>
      <w:r>
        <w:rPr>
          <w:rFonts w:ascii="Arial" w:hAnsi="Arial" w:cs="Arial"/>
          <w:lang w:val="en-ZA"/>
        </w:rPr>
        <w:t>. That he reasonably believed that the vehicle was driving at him and continued to threaten his life.</w:t>
      </w:r>
      <w:r w:rsidR="0026484E">
        <w:rPr>
          <w:rFonts w:ascii="Arial" w:hAnsi="Arial" w:cs="Arial"/>
          <w:lang w:val="en-ZA"/>
        </w:rPr>
        <w:t xml:space="preserve"> It was further submitted that the accused was overwhelmed by fear and that the State failed to adduce evidence that could allay such fear, hence, the accused could not resist or refrain from firing at the vehicle.</w:t>
      </w:r>
      <w:r w:rsidR="0026484E">
        <w:rPr>
          <w:rStyle w:val="FootnoteReference"/>
          <w:rFonts w:ascii="Arial" w:hAnsi="Arial" w:cs="Arial"/>
          <w:lang w:val="en-ZA"/>
        </w:rPr>
        <w:footnoteReference w:id="10"/>
      </w:r>
      <w:r w:rsidR="00567F00">
        <w:rPr>
          <w:rFonts w:ascii="Arial" w:hAnsi="Arial" w:cs="Arial"/>
          <w:lang w:val="en-ZA"/>
        </w:rPr>
        <w:t xml:space="preserve"> </w:t>
      </w:r>
      <w:r w:rsidR="0026484E">
        <w:rPr>
          <w:rFonts w:ascii="Arial" w:hAnsi="Arial" w:cs="Arial"/>
          <w:lang w:val="en-ZA"/>
        </w:rPr>
        <w:t>Counsel</w:t>
      </w:r>
      <w:r w:rsidR="00567F00">
        <w:rPr>
          <w:rFonts w:ascii="Arial" w:hAnsi="Arial" w:cs="Arial"/>
          <w:lang w:val="en-ZA"/>
        </w:rPr>
        <w:t>’s</w:t>
      </w:r>
      <w:r w:rsidR="0026484E">
        <w:rPr>
          <w:rFonts w:ascii="Arial" w:hAnsi="Arial" w:cs="Arial"/>
          <w:lang w:val="en-ZA"/>
        </w:rPr>
        <w:t xml:space="preserve"> submission and authority referred to seems to suggest that the accused at the time of the shooting lacked criminal capacity and should therefore be acquitted on the murder charge.</w:t>
      </w:r>
    </w:p>
    <w:p w:rsidR="00567F00" w:rsidRDefault="00567F00" w:rsidP="006B344C">
      <w:pPr>
        <w:spacing w:line="360" w:lineRule="auto"/>
        <w:jc w:val="both"/>
        <w:rPr>
          <w:rFonts w:ascii="Arial" w:hAnsi="Arial" w:cs="Arial"/>
          <w:lang w:val="en-ZA"/>
        </w:rPr>
      </w:pPr>
    </w:p>
    <w:p w:rsidR="00567F00" w:rsidRDefault="00567F00" w:rsidP="006B344C">
      <w:pPr>
        <w:spacing w:line="360" w:lineRule="auto"/>
        <w:jc w:val="both"/>
        <w:rPr>
          <w:rFonts w:ascii="Arial" w:hAnsi="Arial" w:cs="Arial"/>
          <w:lang w:val="en-ZA"/>
        </w:rPr>
      </w:pPr>
      <w:r>
        <w:rPr>
          <w:rFonts w:ascii="Arial" w:hAnsi="Arial" w:cs="Arial"/>
          <w:lang w:val="en-ZA"/>
        </w:rPr>
        <w:t>[</w:t>
      </w:r>
      <w:r w:rsidR="00525836">
        <w:rPr>
          <w:rFonts w:ascii="Arial" w:hAnsi="Arial" w:cs="Arial"/>
          <w:lang w:val="en-ZA"/>
        </w:rPr>
        <w:t>46</w:t>
      </w:r>
      <w:r>
        <w:rPr>
          <w:rFonts w:ascii="Arial" w:hAnsi="Arial" w:cs="Arial"/>
          <w:lang w:val="en-ZA"/>
        </w:rPr>
        <w:t xml:space="preserve">]   It should be noted that at no stage </w:t>
      </w:r>
      <w:r w:rsidR="00147773">
        <w:rPr>
          <w:rFonts w:ascii="Arial" w:hAnsi="Arial" w:cs="Arial"/>
          <w:lang w:val="en-ZA"/>
        </w:rPr>
        <w:t xml:space="preserve">during the pre-trial stages or the trial itself </w:t>
      </w:r>
      <w:r>
        <w:rPr>
          <w:rFonts w:ascii="Arial" w:hAnsi="Arial" w:cs="Arial"/>
          <w:lang w:val="en-ZA"/>
        </w:rPr>
        <w:t xml:space="preserve">did the accused plead non-pathological </w:t>
      </w:r>
      <w:r w:rsidR="00147773">
        <w:rPr>
          <w:rFonts w:ascii="Arial" w:hAnsi="Arial" w:cs="Arial"/>
          <w:lang w:val="en-ZA"/>
        </w:rPr>
        <w:t xml:space="preserve">criminal </w:t>
      </w:r>
      <w:r>
        <w:rPr>
          <w:rFonts w:ascii="Arial" w:hAnsi="Arial" w:cs="Arial"/>
          <w:lang w:val="en-ZA"/>
        </w:rPr>
        <w:t xml:space="preserve">incapacity </w:t>
      </w:r>
      <w:r w:rsidR="00525836">
        <w:rPr>
          <w:rFonts w:ascii="Arial" w:hAnsi="Arial" w:cs="Arial"/>
          <w:lang w:val="en-ZA"/>
        </w:rPr>
        <w:t>in</w:t>
      </w:r>
      <w:r w:rsidR="00147773">
        <w:rPr>
          <w:rFonts w:ascii="Arial" w:hAnsi="Arial" w:cs="Arial"/>
          <w:lang w:val="en-ZA"/>
        </w:rPr>
        <w:t xml:space="preserve"> defence to the murder</w:t>
      </w:r>
      <w:r w:rsidR="00525836">
        <w:rPr>
          <w:rFonts w:ascii="Arial" w:hAnsi="Arial" w:cs="Arial"/>
          <w:lang w:val="en-ZA"/>
        </w:rPr>
        <w:t xml:space="preserve"> charge;</w:t>
      </w:r>
      <w:r>
        <w:rPr>
          <w:rFonts w:ascii="Arial" w:hAnsi="Arial" w:cs="Arial"/>
          <w:lang w:val="en-ZA"/>
        </w:rPr>
        <w:t xml:space="preserve"> neither was </w:t>
      </w:r>
      <w:r w:rsidR="00525836">
        <w:rPr>
          <w:rFonts w:ascii="Arial" w:hAnsi="Arial" w:cs="Arial"/>
          <w:lang w:val="en-ZA"/>
        </w:rPr>
        <w:t>any evidence adduced that could possibly support counsel’s</w:t>
      </w:r>
      <w:r>
        <w:rPr>
          <w:rFonts w:ascii="Arial" w:hAnsi="Arial" w:cs="Arial"/>
          <w:lang w:val="en-ZA"/>
        </w:rPr>
        <w:t xml:space="preserve"> contention that the accused was so overwhelmed by fear that he lacked criminal capacity</w:t>
      </w:r>
      <w:r w:rsidR="00147773">
        <w:rPr>
          <w:rFonts w:ascii="Arial" w:hAnsi="Arial" w:cs="Arial"/>
          <w:lang w:val="en-ZA"/>
        </w:rPr>
        <w:t xml:space="preserve"> when firing his firearm</w:t>
      </w:r>
      <w:r>
        <w:rPr>
          <w:rFonts w:ascii="Arial" w:hAnsi="Arial" w:cs="Arial"/>
          <w:lang w:val="en-ZA"/>
        </w:rPr>
        <w:t xml:space="preserve">. </w:t>
      </w:r>
    </w:p>
    <w:p w:rsidR="00147773" w:rsidRDefault="00147773" w:rsidP="006B344C">
      <w:pPr>
        <w:spacing w:line="360" w:lineRule="auto"/>
        <w:jc w:val="both"/>
        <w:rPr>
          <w:rFonts w:ascii="Arial" w:hAnsi="Arial" w:cs="Arial"/>
          <w:lang w:val="en-ZA"/>
        </w:rPr>
      </w:pPr>
    </w:p>
    <w:p w:rsidR="000A1C8D" w:rsidRDefault="00147773" w:rsidP="00147773">
      <w:pPr>
        <w:spacing w:line="360" w:lineRule="auto"/>
        <w:jc w:val="both"/>
        <w:rPr>
          <w:rFonts w:ascii="Arial" w:hAnsi="Arial" w:cs="Arial"/>
        </w:rPr>
      </w:pPr>
      <w:r>
        <w:rPr>
          <w:rFonts w:ascii="Arial" w:hAnsi="Arial" w:cs="Arial"/>
          <w:lang w:val="en-ZA"/>
        </w:rPr>
        <w:t>[</w:t>
      </w:r>
      <w:r w:rsidR="00525836">
        <w:rPr>
          <w:rFonts w:ascii="Arial" w:hAnsi="Arial" w:cs="Arial"/>
          <w:lang w:val="en-ZA"/>
        </w:rPr>
        <w:t>47</w:t>
      </w:r>
      <w:r>
        <w:rPr>
          <w:rFonts w:ascii="Arial" w:hAnsi="Arial" w:cs="Arial"/>
          <w:lang w:val="en-ZA"/>
        </w:rPr>
        <w:t xml:space="preserve">]   It is trite </w:t>
      </w:r>
      <w:r w:rsidR="00525836">
        <w:rPr>
          <w:rFonts w:ascii="Arial" w:hAnsi="Arial" w:cs="Arial"/>
          <w:lang w:val="en-ZA"/>
        </w:rPr>
        <w:t xml:space="preserve">law </w:t>
      </w:r>
      <w:r>
        <w:rPr>
          <w:rFonts w:ascii="Arial" w:hAnsi="Arial" w:cs="Arial"/>
          <w:lang w:val="en-ZA"/>
        </w:rPr>
        <w:t>that the burden is on the State to prove beyond reasonable doubt that the accused had the required criminal capacity when he committed the murde</w:t>
      </w:r>
      <w:r w:rsidR="00525836">
        <w:rPr>
          <w:rFonts w:ascii="Arial" w:hAnsi="Arial" w:cs="Arial"/>
          <w:lang w:val="en-ZA"/>
        </w:rPr>
        <w:t>r i.e. that he acted voluntary</w:t>
      </w:r>
      <w:r>
        <w:rPr>
          <w:rFonts w:ascii="Arial" w:hAnsi="Arial" w:cs="Arial"/>
          <w:lang w:val="en-ZA"/>
        </w:rPr>
        <w:t>. In order to prove that the act was voluntary, the State is entitled to rely on the presumption ‘that every man has sufficient mental capacity to be responsible for his crimes: and that if the defence wish to displace that presumption they must give some evidence from which the contrary may reasonably be inferred.’</w:t>
      </w:r>
      <w:r>
        <w:rPr>
          <w:rStyle w:val="FootnoteReference"/>
          <w:rFonts w:ascii="Arial" w:hAnsi="Arial" w:cs="Arial"/>
          <w:lang w:val="en-ZA"/>
        </w:rPr>
        <w:footnoteReference w:id="11"/>
      </w:r>
      <w:r>
        <w:rPr>
          <w:rFonts w:ascii="Arial" w:hAnsi="Arial" w:cs="Arial"/>
          <w:lang w:val="en-ZA"/>
        </w:rPr>
        <w:t xml:space="preserve"> The presumption of mental capacity is only provisional as the legal burden remains on the State to prove the elements of the crime, but until it is displaced, it enables the prosecution to discharge the ultimate burden of proving that the act was </w:t>
      </w:r>
      <w:r>
        <w:rPr>
          <w:rFonts w:ascii="Arial" w:hAnsi="Arial" w:cs="Arial"/>
          <w:lang w:val="en-ZA"/>
        </w:rPr>
        <w:lastRenderedPageBreak/>
        <w:t>voluntary. The defence has a duty to lead evidence, usually medical evidence, from which it may reasonably be inferred that the act the accused stands charged with, was involuntary.</w:t>
      </w:r>
      <w:r w:rsidR="000A1C8D">
        <w:rPr>
          <w:rFonts w:ascii="Arial" w:hAnsi="Arial" w:cs="Arial"/>
        </w:rPr>
        <w:t xml:space="preserve"> </w:t>
      </w:r>
    </w:p>
    <w:p w:rsidR="000A1C8D" w:rsidRDefault="000A1C8D" w:rsidP="00147773">
      <w:pPr>
        <w:spacing w:line="360" w:lineRule="auto"/>
        <w:jc w:val="both"/>
        <w:rPr>
          <w:rFonts w:ascii="Arial" w:hAnsi="Arial" w:cs="Arial"/>
        </w:rPr>
      </w:pPr>
    </w:p>
    <w:p w:rsidR="00147773" w:rsidRPr="000A1C8D" w:rsidRDefault="000A1C8D" w:rsidP="00147773">
      <w:pPr>
        <w:spacing w:line="360" w:lineRule="auto"/>
        <w:jc w:val="both"/>
        <w:rPr>
          <w:rFonts w:ascii="Arial" w:hAnsi="Arial" w:cs="Arial"/>
          <w:sz w:val="22"/>
          <w:szCs w:val="22"/>
          <w:lang w:val="en-ZA"/>
        </w:rPr>
      </w:pPr>
      <w:r>
        <w:rPr>
          <w:rFonts w:ascii="Arial" w:hAnsi="Arial" w:cs="Arial"/>
        </w:rPr>
        <w:t>[</w:t>
      </w:r>
      <w:r w:rsidR="00F07A25">
        <w:rPr>
          <w:rFonts w:ascii="Arial" w:hAnsi="Arial" w:cs="Arial"/>
        </w:rPr>
        <w:t>48</w:t>
      </w:r>
      <w:r>
        <w:rPr>
          <w:rFonts w:ascii="Arial" w:hAnsi="Arial" w:cs="Arial"/>
        </w:rPr>
        <w:t>]   T</w:t>
      </w:r>
      <w:r w:rsidR="00147773">
        <w:rPr>
          <w:rFonts w:ascii="Arial" w:hAnsi="Arial" w:cs="Arial"/>
        </w:rPr>
        <w:t>he State, in discharging the onus of proving that the accused had the required criminal capacity at the relevant time, is assisted by the natural inference that a sane person who engages in conduct which would ordinarily give rise to criminal liability, does so consciously and voluntary. The accused would therefore be required to lay a proper foundation to, at least, create a reasonable doubt for consideration that the accused lacked the requisite criminal intent, capacity or ability to act. Medical evidence or otherwise in support of such defence must be carefully scrutinised and, only after having considered all the facts of the case, the court will decide the question of the accused’s criminal capacity.</w:t>
      </w:r>
    </w:p>
    <w:p w:rsidR="00147773" w:rsidRDefault="00147773" w:rsidP="00147773">
      <w:pPr>
        <w:spacing w:line="360" w:lineRule="auto"/>
        <w:jc w:val="both"/>
        <w:rPr>
          <w:rFonts w:ascii="Arial" w:hAnsi="Arial" w:cs="Arial"/>
        </w:rPr>
      </w:pPr>
    </w:p>
    <w:p w:rsidR="000A1C8D" w:rsidRDefault="00147773" w:rsidP="000A1C8D">
      <w:pPr>
        <w:spacing w:line="360" w:lineRule="auto"/>
        <w:jc w:val="both"/>
        <w:rPr>
          <w:rFonts w:ascii="Arial" w:hAnsi="Arial" w:cs="Arial"/>
          <w:lang w:val="en-ZA"/>
        </w:rPr>
      </w:pPr>
      <w:r>
        <w:rPr>
          <w:rFonts w:ascii="Arial" w:hAnsi="Arial" w:cs="Arial"/>
        </w:rPr>
        <w:t>[</w:t>
      </w:r>
      <w:r w:rsidR="00F07A25">
        <w:rPr>
          <w:rFonts w:ascii="Arial" w:hAnsi="Arial" w:cs="Arial"/>
        </w:rPr>
        <w:t>49</w:t>
      </w:r>
      <w:r>
        <w:rPr>
          <w:rFonts w:ascii="Arial" w:hAnsi="Arial" w:cs="Arial"/>
        </w:rPr>
        <w:t xml:space="preserve">]   In this </w:t>
      </w:r>
      <w:r w:rsidR="000A1C8D">
        <w:rPr>
          <w:rFonts w:ascii="Arial" w:hAnsi="Arial" w:cs="Arial"/>
        </w:rPr>
        <w:t xml:space="preserve">instance </w:t>
      </w:r>
      <w:r>
        <w:rPr>
          <w:rFonts w:ascii="Arial" w:hAnsi="Arial" w:cs="Arial"/>
        </w:rPr>
        <w:t>no medical or other expert evidence was presented in support of the accused’s contention that he temporarily lacked criminal ca</w:t>
      </w:r>
      <w:r w:rsidR="000A1C8D">
        <w:rPr>
          <w:rFonts w:ascii="Arial" w:hAnsi="Arial" w:cs="Arial"/>
        </w:rPr>
        <w:t>pacity due to him having been overcome by fear</w:t>
      </w:r>
      <w:r>
        <w:rPr>
          <w:rFonts w:ascii="Arial" w:hAnsi="Arial" w:cs="Arial"/>
        </w:rPr>
        <w:t>.</w:t>
      </w:r>
      <w:r w:rsidR="000A1C8D">
        <w:rPr>
          <w:rFonts w:ascii="Arial" w:hAnsi="Arial" w:cs="Arial"/>
          <w:lang w:val="en-ZA"/>
        </w:rPr>
        <w:t xml:space="preserve"> The accused’s testimony as regards the time when he fired the </w:t>
      </w:r>
      <w:r w:rsidR="00F07A25">
        <w:rPr>
          <w:rFonts w:ascii="Arial" w:hAnsi="Arial" w:cs="Arial"/>
          <w:lang w:val="en-ZA"/>
        </w:rPr>
        <w:t>shots at the deceased’s vehicle</w:t>
      </w:r>
      <w:r w:rsidR="000A1C8D">
        <w:rPr>
          <w:rFonts w:ascii="Arial" w:hAnsi="Arial" w:cs="Arial"/>
          <w:lang w:val="en-ZA"/>
        </w:rPr>
        <w:t xml:space="preserve"> was vague and contradicting in the sense that he said he was unaware of the shots being fired i.e. involuntary, opposed to him having kept his finger on the trigger and fired whilst trying to get away from the approaching vehicle. This was the only evidence adduced on the accused’s state of mind at the relevant</w:t>
      </w:r>
      <w:r w:rsidR="00FE6269">
        <w:rPr>
          <w:rFonts w:ascii="Arial" w:hAnsi="Arial" w:cs="Arial"/>
          <w:lang w:val="en-ZA"/>
        </w:rPr>
        <w:t xml:space="preserve"> time and, in my view, falls significantly</w:t>
      </w:r>
      <w:r w:rsidR="000A1C8D">
        <w:rPr>
          <w:rFonts w:ascii="Arial" w:hAnsi="Arial" w:cs="Arial"/>
          <w:lang w:val="en-ZA"/>
        </w:rPr>
        <w:t xml:space="preserve"> short from </w:t>
      </w:r>
      <w:r w:rsidR="00FE6269">
        <w:rPr>
          <w:rFonts w:ascii="Arial" w:hAnsi="Arial" w:cs="Arial"/>
          <w:lang w:val="en-ZA"/>
        </w:rPr>
        <w:t>establishing evidence from which it may be inferred that the accused had acted involuntary when he fired at the deceased’s vehicle. Accordingly, I find the submission without merit.</w:t>
      </w:r>
    </w:p>
    <w:p w:rsidR="008B5E22" w:rsidRPr="008B5E22" w:rsidRDefault="008B5E22" w:rsidP="006B344C">
      <w:pPr>
        <w:spacing w:line="360" w:lineRule="auto"/>
        <w:jc w:val="both"/>
        <w:rPr>
          <w:rFonts w:ascii="Arial" w:hAnsi="Arial" w:cs="Arial"/>
          <w:lang w:val="en-ZA"/>
        </w:rPr>
      </w:pPr>
    </w:p>
    <w:p w:rsidR="00FE6269" w:rsidRDefault="00D555BC" w:rsidP="006B344C">
      <w:pPr>
        <w:spacing w:line="360" w:lineRule="auto"/>
        <w:jc w:val="both"/>
        <w:rPr>
          <w:rFonts w:ascii="Arial" w:hAnsi="Arial" w:cs="Arial"/>
          <w:lang w:val="en-ZA"/>
        </w:rPr>
      </w:pPr>
      <w:r>
        <w:rPr>
          <w:rFonts w:ascii="Arial" w:hAnsi="Arial" w:cs="Arial"/>
          <w:lang w:val="en-ZA"/>
        </w:rPr>
        <w:t>[</w:t>
      </w:r>
      <w:r w:rsidR="00F07A25">
        <w:rPr>
          <w:rFonts w:ascii="Arial" w:hAnsi="Arial" w:cs="Arial"/>
          <w:lang w:val="en-ZA"/>
        </w:rPr>
        <w:t>50</w:t>
      </w:r>
      <w:r>
        <w:rPr>
          <w:rFonts w:ascii="Arial" w:hAnsi="Arial" w:cs="Arial"/>
          <w:lang w:val="en-ZA"/>
        </w:rPr>
        <w:t xml:space="preserve">]   </w:t>
      </w:r>
      <w:r w:rsidR="00FE6269">
        <w:rPr>
          <w:rFonts w:ascii="Arial" w:hAnsi="Arial" w:cs="Arial"/>
          <w:lang w:val="en-ZA"/>
        </w:rPr>
        <w:t xml:space="preserve">I turn next to decide the question whether the accused’s actions were necessitated by the circumstances. </w:t>
      </w:r>
    </w:p>
    <w:p w:rsidR="00FE6269" w:rsidRDefault="00FE6269" w:rsidP="006B344C">
      <w:pPr>
        <w:spacing w:line="360" w:lineRule="auto"/>
        <w:jc w:val="both"/>
        <w:rPr>
          <w:rFonts w:ascii="Arial" w:hAnsi="Arial" w:cs="Arial"/>
          <w:lang w:val="en-ZA"/>
        </w:rPr>
      </w:pPr>
    </w:p>
    <w:p w:rsidR="00D555BC" w:rsidRDefault="00FE6269" w:rsidP="006B344C">
      <w:pPr>
        <w:spacing w:line="360" w:lineRule="auto"/>
        <w:jc w:val="both"/>
        <w:rPr>
          <w:rFonts w:ascii="Arial" w:hAnsi="Arial" w:cs="Arial"/>
          <w:lang w:val="en-ZA"/>
        </w:rPr>
      </w:pPr>
      <w:r>
        <w:rPr>
          <w:rFonts w:ascii="Arial" w:hAnsi="Arial" w:cs="Arial"/>
          <w:lang w:val="en-ZA"/>
        </w:rPr>
        <w:t>[</w:t>
      </w:r>
      <w:r w:rsidR="00F07A25">
        <w:rPr>
          <w:rFonts w:ascii="Arial" w:hAnsi="Arial" w:cs="Arial"/>
          <w:lang w:val="en-ZA"/>
        </w:rPr>
        <w:t>51</w:t>
      </w:r>
      <w:r>
        <w:rPr>
          <w:rFonts w:ascii="Arial" w:hAnsi="Arial" w:cs="Arial"/>
          <w:lang w:val="en-ZA"/>
        </w:rPr>
        <w:t xml:space="preserve">]   </w:t>
      </w:r>
      <w:r w:rsidR="00E04E8A">
        <w:rPr>
          <w:rFonts w:ascii="Arial" w:hAnsi="Arial" w:cs="Arial"/>
          <w:lang w:val="en-ZA"/>
        </w:rPr>
        <w:t>The accused’s evidence relating to him having acted in self-defence is contradicted by Fenola and Paulus, both stating that the accused had already pulled out his</w:t>
      </w:r>
      <w:r w:rsidR="00F07A25">
        <w:rPr>
          <w:rFonts w:ascii="Arial" w:hAnsi="Arial" w:cs="Arial"/>
          <w:lang w:val="en-ZA"/>
        </w:rPr>
        <w:t xml:space="preserve"> firearm as he alighted from the</w:t>
      </w:r>
      <w:r w:rsidR="00E04E8A">
        <w:rPr>
          <w:rFonts w:ascii="Arial" w:hAnsi="Arial" w:cs="Arial"/>
          <w:lang w:val="en-ZA"/>
        </w:rPr>
        <w:t xml:space="preserve"> vehicle</w:t>
      </w:r>
      <w:r>
        <w:rPr>
          <w:rFonts w:ascii="Arial" w:hAnsi="Arial" w:cs="Arial"/>
          <w:lang w:val="en-ZA"/>
        </w:rPr>
        <w:t>,</w:t>
      </w:r>
      <w:r w:rsidR="00E04E8A">
        <w:rPr>
          <w:rFonts w:ascii="Arial" w:hAnsi="Arial" w:cs="Arial"/>
          <w:lang w:val="en-ZA"/>
        </w:rPr>
        <w:t xml:space="preserve"> and not </w:t>
      </w:r>
      <w:r>
        <w:rPr>
          <w:rFonts w:ascii="Arial" w:hAnsi="Arial" w:cs="Arial"/>
          <w:lang w:val="en-ZA"/>
        </w:rPr>
        <w:t xml:space="preserve">only </w:t>
      </w:r>
      <w:r w:rsidR="00E04E8A">
        <w:rPr>
          <w:rFonts w:ascii="Arial" w:hAnsi="Arial" w:cs="Arial"/>
          <w:lang w:val="en-ZA"/>
        </w:rPr>
        <w:t>thereafter as he claims. They further d</w:t>
      </w:r>
      <w:r>
        <w:rPr>
          <w:rFonts w:ascii="Arial" w:hAnsi="Arial" w:cs="Arial"/>
          <w:lang w:val="en-ZA"/>
        </w:rPr>
        <w:t>isputed that there was an</w:t>
      </w:r>
      <w:r w:rsidR="00E04E8A">
        <w:rPr>
          <w:rFonts w:ascii="Arial" w:hAnsi="Arial" w:cs="Arial"/>
          <w:lang w:val="en-ZA"/>
        </w:rPr>
        <w:t xml:space="preserve"> unlawful attack on the </w:t>
      </w:r>
      <w:r w:rsidR="00E04E8A">
        <w:rPr>
          <w:rFonts w:ascii="Arial" w:hAnsi="Arial" w:cs="Arial"/>
          <w:lang w:val="en-ZA"/>
        </w:rPr>
        <w:lastRenderedPageBreak/>
        <w:t xml:space="preserve">accused </w:t>
      </w:r>
      <w:r w:rsidR="00F07A25">
        <w:rPr>
          <w:rFonts w:ascii="Arial" w:hAnsi="Arial" w:cs="Arial"/>
          <w:lang w:val="en-ZA"/>
        </w:rPr>
        <w:t>and that</w:t>
      </w:r>
      <w:r w:rsidR="00E04E8A">
        <w:rPr>
          <w:rFonts w:ascii="Arial" w:hAnsi="Arial" w:cs="Arial"/>
          <w:lang w:val="en-ZA"/>
        </w:rPr>
        <w:t xml:space="preserve"> the deceased </w:t>
      </w:r>
      <w:r w:rsidR="00F07A25">
        <w:rPr>
          <w:rFonts w:ascii="Arial" w:hAnsi="Arial" w:cs="Arial"/>
          <w:lang w:val="en-ZA"/>
        </w:rPr>
        <w:t>charged down on the accused with</w:t>
      </w:r>
      <w:r w:rsidR="00E04E8A">
        <w:rPr>
          <w:rFonts w:ascii="Arial" w:hAnsi="Arial" w:cs="Arial"/>
          <w:lang w:val="en-ZA"/>
        </w:rPr>
        <w:t xml:space="preserve"> his vehicle. Both described how the accused </w:t>
      </w:r>
      <w:r w:rsidR="00F07A25">
        <w:rPr>
          <w:rFonts w:ascii="Arial" w:hAnsi="Arial" w:cs="Arial"/>
          <w:lang w:val="en-ZA"/>
        </w:rPr>
        <w:t xml:space="preserve">immediately </w:t>
      </w:r>
      <w:r w:rsidR="00E04E8A">
        <w:rPr>
          <w:rFonts w:ascii="Arial" w:hAnsi="Arial" w:cs="Arial"/>
          <w:lang w:val="en-ZA"/>
        </w:rPr>
        <w:t>started shooting at the Discove</w:t>
      </w:r>
      <w:r w:rsidR="00F07A25">
        <w:rPr>
          <w:rFonts w:ascii="Arial" w:hAnsi="Arial" w:cs="Arial"/>
          <w:lang w:val="en-ZA"/>
        </w:rPr>
        <w:t>ry the moment he stepped out of</w:t>
      </w:r>
      <w:r>
        <w:rPr>
          <w:rFonts w:ascii="Arial" w:hAnsi="Arial" w:cs="Arial"/>
          <w:lang w:val="en-ZA"/>
        </w:rPr>
        <w:t xml:space="preserve"> his vehicle</w:t>
      </w:r>
      <w:r w:rsidR="002B25AE">
        <w:rPr>
          <w:rFonts w:ascii="Arial" w:hAnsi="Arial" w:cs="Arial"/>
          <w:lang w:val="en-ZA"/>
        </w:rPr>
        <w:t xml:space="preserve">. There had been no reversing, revving of the engine or screeching of tyres as testified by the accused. </w:t>
      </w:r>
      <w:r w:rsidR="00412305">
        <w:rPr>
          <w:rFonts w:ascii="Arial" w:hAnsi="Arial" w:cs="Arial"/>
          <w:lang w:val="en-ZA"/>
        </w:rPr>
        <w:t>Generally it is accepted that a person may only act in private defence if it is not reasonably possible to avert the unlawful attack in any other way.</w:t>
      </w:r>
      <w:r w:rsidR="00412305">
        <w:rPr>
          <w:rStyle w:val="FootnoteReference"/>
          <w:rFonts w:ascii="Arial" w:hAnsi="Arial" w:cs="Arial"/>
          <w:lang w:val="en-ZA"/>
        </w:rPr>
        <w:footnoteReference w:id="12"/>
      </w:r>
      <w:r w:rsidR="00412305">
        <w:rPr>
          <w:rFonts w:ascii="Arial" w:hAnsi="Arial" w:cs="Arial"/>
          <w:lang w:val="en-ZA"/>
        </w:rPr>
        <w:t xml:space="preserve"> </w:t>
      </w:r>
      <w:r w:rsidR="002B25AE">
        <w:rPr>
          <w:rFonts w:ascii="Arial" w:hAnsi="Arial" w:cs="Arial"/>
          <w:lang w:val="en-ZA"/>
        </w:rPr>
        <w:t xml:space="preserve">An important aspect of their evidence is that at no stage was the accused’s life in any danger as the vehicle passed him on the side. </w:t>
      </w:r>
      <w:r w:rsidR="00412305">
        <w:rPr>
          <w:rFonts w:ascii="Arial" w:hAnsi="Arial" w:cs="Arial"/>
          <w:lang w:val="en-ZA"/>
        </w:rPr>
        <w:t xml:space="preserve">When asked why he did not simply move out of the way of the approaching vehicle, he said everything happened in a split second and that he was overcome by fear. This notwithstanding, he managed to move across </w:t>
      </w:r>
      <w:r w:rsidR="00F07A25">
        <w:rPr>
          <w:rFonts w:ascii="Arial" w:hAnsi="Arial" w:cs="Arial"/>
          <w:lang w:val="en-ZA"/>
        </w:rPr>
        <w:t xml:space="preserve">to </w:t>
      </w:r>
      <w:r w:rsidR="00412305">
        <w:rPr>
          <w:rFonts w:ascii="Arial" w:hAnsi="Arial" w:cs="Arial"/>
          <w:lang w:val="en-ZA"/>
        </w:rPr>
        <w:t xml:space="preserve">the other side of the road </w:t>
      </w:r>
      <w:r w:rsidR="005B386F">
        <w:rPr>
          <w:rFonts w:ascii="Arial" w:hAnsi="Arial" w:cs="Arial"/>
          <w:lang w:val="en-ZA"/>
        </w:rPr>
        <w:t xml:space="preserve">with relative ease </w:t>
      </w:r>
      <w:r w:rsidR="00412305">
        <w:rPr>
          <w:rFonts w:ascii="Arial" w:hAnsi="Arial" w:cs="Arial"/>
          <w:lang w:val="en-ZA"/>
        </w:rPr>
        <w:t xml:space="preserve">ahead of the </w:t>
      </w:r>
      <w:r w:rsidR="005B386F">
        <w:rPr>
          <w:rFonts w:ascii="Arial" w:hAnsi="Arial" w:cs="Arial"/>
          <w:lang w:val="en-ZA"/>
        </w:rPr>
        <w:t>fast approaching</w:t>
      </w:r>
      <w:r w:rsidR="00412305">
        <w:rPr>
          <w:rFonts w:ascii="Arial" w:hAnsi="Arial" w:cs="Arial"/>
          <w:lang w:val="en-ZA"/>
        </w:rPr>
        <w:t xml:space="preserve"> vehicle</w:t>
      </w:r>
      <w:r w:rsidR="00CE7153">
        <w:rPr>
          <w:rFonts w:ascii="Arial" w:hAnsi="Arial" w:cs="Arial"/>
          <w:lang w:val="en-ZA"/>
        </w:rPr>
        <w:t>,</w:t>
      </w:r>
      <w:r w:rsidR="00412305">
        <w:rPr>
          <w:rFonts w:ascii="Arial" w:hAnsi="Arial" w:cs="Arial"/>
          <w:lang w:val="en-ZA"/>
        </w:rPr>
        <w:t xml:space="preserve"> and did not elaborate on any of the alternative options open to him. Both witnesses saw the accused continuously firing shots at the Discovery which, a</w:t>
      </w:r>
      <w:r w:rsidR="00CE7153">
        <w:rPr>
          <w:rFonts w:ascii="Arial" w:hAnsi="Arial" w:cs="Arial"/>
          <w:lang w:val="en-ZA"/>
        </w:rPr>
        <w:t>ccording to them, slowly drove</w:t>
      </w:r>
      <w:r w:rsidR="005B386F">
        <w:rPr>
          <w:rFonts w:ascii="Arial" w:hAnsi="Arial" w:cs="Arial"/>
          <w:lang w:val="en-ZA"/>
        </w:rPr>
        <w:t xml:space="preserve"> past him</w:t>
      </w:r>
      <w:r w:rsidR="00412305">
        <w:rPr>
          <w:rFonts w:ascii="Arial" w:hAnsi="Arial" w:cs="Arial"/>
          <w:lang w:val="en-ZA"/>
        </w:rPr>
        <w:t>.</w:t>
      </w:r>
      <w:r w:rsidR="00CE7153">
        <w:rPr>
          <w:rFonts w:ascii="Arial" w:hAnsi="Arial" w:cs="Arial"/>
          <w:lang w:val="en-ZA"/>
        </w:rPr>
        <w:t xml:space="preserve"> </w:t>
      </w:r>
      <w:r w:rsidR="005B386F">
        <w:rPr>
          <w:rFonts w:ascii="Arial" w:hAnsi="Arial" w:cs="Arial"/>
          <w:lang w:val="en-ZA"/>
        </w:rPr>
        <w:t>Both said t</w:t>
      </w:r>
      <w:r w:rsidR="002B25AE">
        <w:rPr>
          <w:rFonts w:ascii="Arial" w:hAnsi="Arial" w:cs="Arial"/>
          <w:lang w:val="en-ZA"/>
        </w:rPr>
        <w:t xml:space="preserve">he first shots were fired </w:t>
      </w:r>
      <w:r w:rsidR="00F07A25">
        <w:rPr>
          <w:rFonts w:ascii="Arial" w:hAnsi="Arial" w:cs="Arial"/>
          <w:lang w:val="en-ZA"/>
        </w:rPr>
        <w:t xml:space="preserve">either </w:t>
      </w:r>
      <w:r w:rsidR="002B25AE">
        <w:rPr>
          <w:rFonts w:ascii="Arial" w:hAnsi="Arial" w:cs="Arial"/>
          <w:lang w:val="en-ZA"/>
        </w:rPr>
        <w:t>in the direction of th</w:t>
      </w:r>
      <w:r w:rsidR="00CE7153">
        <w:rPr>
          <w:rFonts w:ascii="Arial" w:hAnsi="Arial" w:cs="Arial"/>
          <w:lang w:val="en-ZA"/>
        </w:rPr>
        <w:t xml:space="preserve">e tyres or </w:t>
      </w:r>
      <w:r w:rsidR="00F07A25">
        <w:rPr>
          <w:rFonts w:ascii="Arial" w:hAnsi="Arial" w:cs="Arial"/>
          <w:lang w:val="en-ZA"/>
        </w:rPr>
        <w:t>down into the ground</w:t>
      </w:r>
      <w:r w:rsidR="005B386F">
        <w:rPr>
          <w:rFonts w:ascii="Arial" w:hAnsi="Arial" w:cs="Arial"/>
          <w:lang w:val="en-ZA"/>
        </w:rPr>
        <w:t>,</w:t>
      </w:r>
      <w:r w:rsidR="00CE7153">
        <w:rPr>
          <w:rFonts w:ascii="Arial" w:hAnsi="Arial" w:cs="Arial"/>
          <w:lang w:val="en-ZA"/>
        </w:rPr>
        <w:t xml:space="preserve"> whilst those</w:t>
      </w:r>
      <w:r w:rsidR="002B25AE">
        <w:rPr>
          <w:rFonts w:ascii="Arial" w:hAnsi="Arial" w:cs="Arial"/>
          <w:lang w:val="en-ZA"/>
        </w:rPr>
        <w:t xml:space="preserve"> </w:t>
      </w:r>
      <w:r w:rsidR="005B386F">
        <w:rPr>
          <w:rFonts w:ascii="Arial" w:hAnsi="Arial" w:cs="Arial"/>
          <w:lang w:val="en-ZA"/>
        </w:rPr>
        <w:t>fired subsequently</w:t>
      </w:r>
      <w:r w:rsidR="002B25AE">
        <w:rPr>
          <w:rFonts w:ascii="Arial" w:hAnsi="Arial" w:cs="Arial"/>
          <w:lang w:val="en-ZA"/>
        </w:rPr>
        <w:t xml:space="preserve"> were </w:t>
      </w:r>
      <w:r w:rsidR="00F07A25">
        <w:rPr>
          <w:rFonts w:ascii="Arial" w:hAnsi="Arial" w:cs="Arial"/>
          <w:lang w:val="en-ZA"/>
        </w:rPr>
        <w:t>aimed directly at the cabin of the vehicle</w:t>
      </w:r>
      <w:r w:rsidR="002B25AE">
        <w:rPr>
          <w:rFonts w:ascii="Arial" w:hAnsi="Arial" w:cs="Arial"/>
          <w:lang w:val="en-ZA"/>
        </w:rPr>
        <w:t xml:space="preserve">. They corroborate one another in material respects and at no stage had </w:t>
      </w:r>
      <w:r w:rsidR="00A63AB0">
        <w:rPr>
          <w:rFonts w:ascii="Arial" w:hAnsi="Arial" w:cs="Arial"/>
          <w:lang w:val="en-ZA"/>
        </w:rPr>
        <w:t>been discredited</w:t>
      </w:r>
      <w:r w:rsidR="002B25AE">
        <w:rPr>
          <w:rFonts w:ascii="Arial" w:hAnsi="Arial" w:cs="Arial"/>
          <w:lang w:val="en-ZA"/>
        </w:rPr>
        <w:t xml:space="preserve">. </w:t>
      </w:r>
      <w:r w:rsidR="00CA0D46">
        <w:rPr>
          <w:rFonts w:ascii="Arial" w:hAnsi="Arial" w:cs="Arial"/>
          <w:lang w:val="en-ZA"/>
        </w:rPr>
        <w:t xml:space="preserve">Their respective versions are further </w:t>
      </w:r>
      <w:r w:rsidR="00A63AB0">
        <w:rPr>
          <w:rFonts w:ascii="Arial" w:hAnsi="Arial" w:cs="Arial"/>
          <w:lang w:val="en-ZA"/>
        </w:rPr>
        <w:t>strengthened</w:t>
      </w:r>
      <w:r w:rsidR="00CA0D46">
        <w:rPr>
          <w:rFonts w:ascii="Arial" w:hAnsi="Arial" w:cs="Arial"/>
          <w:lang w:val="en-ZA"/>
        </w:rPr>
        <w:t xml:space="preserve"> by proof of bullet holes in the body of the deceased’s vehicle of which two shots were fired from a position directly in front of the vehicle into the right tyre, and below the</w:t>
      </w:r>
      <w:r w:rsidR="0096232F">
        <w:rPr>
          <w:rFonts w:ascii="Arial" w:hAnsi="Arial" w:cs="Arial"/>
          <w:lang w:val="en-ZA"/>
        </w:rPr>
        <w:t xml:space="preserve"> front registration plate. Four</w:t>
      </w:r>
      <w:r w:rsidR="00CA0D46">
        <w:rPr>
          <w:rFonts w:ascii="Arial" w:hAnsi="Arial" w:cs="Arial"/>
          <w:lang w:val="en-ZA"/>
        </w:rPr>
        <w:t xml:space="preserve"> more shots were fired into the right side of the vehicle of which one was fatal and another hitting the deceased’s right arm. It has duly been established that these shots were fired from the right </w:t>
      </w:r>
      <w:r w:rsidR="005B386F">
        <w:rPr>
          <w:rFonts w:ascii="Arial" w:hAnsi="Arial" w:cs="Arial"/>
          <w:lang w:val="en-ZA"/>
        </w:rPr>
        <w:t>hand side of the vehicle and slightly</w:t>
      </w:r>
      <w:r w:rsidR="00CA0D46">
        <w:rPr>
          <w:rFonts w:ascii="Arial" w:hAnsi="Arial" w:cs="Arial"/>
          <w:lang w:val="en-ZA"/>
        </w:rPr>
        <w:t xml:space="preserve"> from behind</w:t>
      </w:r>
      <w:r w:rsidR="0096232F">
        <w:rPr>
          <w:rFonts w:ascii="Arial" w:hAnsi="Arial" w:cs="Arial"/>
          <w:lang w:val="en-ZA"/>
        </w:rPr>
        <w:t>. Presumably the last shot was fired into the tailgate of the vehicle.</w:t>
      </w:r>
    </w:p>
    <w:p w:rsidR="0096232F" w:rsidRDefault="0096232F" w:rsidP="006B344C">
      <w:pPr>
        <w:spacing w:line="360" w:lineRule="auto"/>
        <w:jc w:val="both"/>
        <w:rPr>
          <w:rFonts w:ascii="Arial" w:hAnsi="Arial" w:cs="Arial"/>
          <w:lang w:val="en-ZA"/>
        </w:rPr>
      </w:pPr>
    </w:p>
    <w:p w:rsidR="0096232F" w:rsidRDefault="0096232F" w:rsidP="006B344C">
      <w:pPr>
        <w:spacing w:line="360" w:lineRule="auto"/>
        <w:jc w:val="both"/>
        <w:rPr>
          <w:rFonts w:ascii="Arial" w:hAnsi="Arial" w:cs="Arial"/>
          <w:lang w:val="en-ZA"/>
        </w:rPr>
      </w:pPr>
      <w:r>
        <w:rPr>
          <w:rFonts w:ascii="Arial" w:hAnsi="Arial" w:cs="Arial"/>
          <w:lang w:val="en-ZA"/>
        </w:rPr>
        <w:t>[</w:t>
      </w:r>
      <w:r w:rsidR="00F07A25">
        <w:rPr>
          <w:rFonts w:ascii="Arial" w:hAnsi="Arial" w:cs="Arial"/>
          <w:lang w:val="en-ZA"/>
        </w:rPr>
        <w:t>52</w:t>
      </w:r>
      <w:r>
        <w:rPr>
          <w:rFonts w:ascii="Arial" w:hAnsi="Arial" w:cs="Arial"/>
          <w:lang w:val="en-ZA"/>
        </w:rPr>
        <w:t xml:space="preserve">]   Though the two bullet holes in the tyre and front side of the vehicle would be supportive of the accused’s testimony that he started firing at the approaching vehicle, it equally confirms the version of the two State witnesses who said that the first shots were fired while he was </w:t>
      </w:r>
      <w:r w:rsidR="00A63AB0">
        <w:rPr>
          <w:rFonts w:ascii="Arial" w:hAnsi="Arial" w:cs="Arial"/>
          <w:lang w:val="en-ZA"/>
        </w:rPr>
        <w:t xml:space="preserve">still </w:t>
      </w:r>
      <w:r>
        <w:rPr>
          <w:rFonts w:ascii="Arial" w:hAnsi="Arial" w:cs="Arial"/>
          <w:lang w:val="en-ZA"/>
        </w:rPr>
        <w:t xml:space="preserve">walking towards the </w:t>
      </w:r>
      <w:r>
        <w:rPr>
          <w:rFonts w:ascii="Arial" w:hAnsi="Arial" w:cs="Arial"/>
          <w:lang w:val="en-ZA"/>
        </w:rPr>
        <w:lastRenderedPageBreak/>
        <w:t>Discovery. The fatal shot, however, was fired from the side and not the front</w:t>
      </w:r>
      <w:r w:rsidR="005B386F">
        <w:rPr>
          <w:rFonts w:ascii="Arial" w:hAnsi="Arial" w:cs="Arial"/>
          <w:lang w:val="en-ZA"/>
        </w:rPr>
        <w:t xml:space="preserve"> of the vehicle</w:t>
      </w:r>
      <w:r>
        <w:rPr>
          <w:rFonts w:ascii="Arial" w:hAnsi="Arial" w:cs="Arial"/>
          <w:lang w:val="en-ZA"/>
        </w:rPr>
        <w:t>.</w:t>
      </w:r>
    </w:p>
    <w:p w:rsidR="007E1751" w:rsidRDefault="007E1751" w:rsidP="006B344C">
      <w:pPr>
        <w:spacing w:line="360" w:lineRule="auto"/>
        <w:jc w:val="both"/>
        <w:rPr>
          <w:rFonts w:ascii="Arial" w:hAnsi="Arial" w:cs="Arial"/>
          <w:lang w:val="en-ZA"/>
        </w:rPr>
      </w:pPr>
    </w:p>
    <w:p w:rsidR="007E1751" w:rsidRDefault="005B386F" w:rsidP="006B344C">
      <w:pPr>
        <w:spacing w:line="360" w:lineRule="auto"/>
        <w:jc w:val="both"/>
        <w:rPr>
          <w:rFonts w:ascii="Arial" w:hAnsi="Arial" w:cs="Arial"/>
          <w:lang w:val="en-ZA"/>
        </w:rPr>
      </w:pPr>
      <w:r>
        <w:rPr>
          <w:rFonts w:ascii="Arial" w:hAnsi="Arial" w:cs="Arial"/>
          <w:lang w:val="en-ZA"/>
        </w:rPr>
        <w:t>[</w:t>
      </w:r>
      <w:r w:rsidR="00F07A25">
        <w:rPr>
          <w:rFonts w:ascii="Arial" w:hAnsi="Arial" w:cs="Arial"/>
          <w:lang w:val="en-ZA"/>
        </w:rPr>
        <w:t>53</w:t>
      </w:r>
      <w:r>
        <w:rPr>
          <w:rFonts w:ascii="Arial" w:hAnsi="Arial" w:cs="Arial"/>
          <w:lang w:val="en-ZA"/>
        </w:rPr>
        <w:t xml:space="preserve">]   </w:t>
      </w:r>
      <w:r w:rsidR="007E1751">
        <w:rPr>
          <w:rFonts w:ascii="Arial" w:hAnsi="Arial" w:cs="Arial"/>
          <w:lang w:val="en-ZA"/>
        </w:rPr>
        <w:t>The accused’s version</w:t>
      </w:r>
      <w:r w:rsidR="009E2316">
        <w:rPr>
          <w:rFonts w:ascii="Arial" w:hAnsi="Arial" w:cs="Arial"/>
          <w:lang w:val="en-ZA"/>
        </w:rPr>
        <w:t>,</w:t>
      </w:r>
      <w:r w:rsidR="007E1751">
        <w:rPr>
          <w:rFonts w:ascii="Arial" w:hAnsi="Arial" w:cs="Arial"/>
          <w:lang w:val="en-ZA"/>
        </w:rPr>
        <w:t xml:space="preserve"> on the contrary</w:t>
      </w:r>
      <w:r w:rsidR="009E2316">
        <w:rPr>
          <w:rFonts w:ascii="Arial" w:hAnsi="Arial" w:cs="Arial"/>
          <w:lang w:val="en-ZA"/>
        </w:rPr>
        <w:t>,</w:t>
      </w:r>
      <w:r w:rsidR="007E1751">
        <w:rPr>
          <w:rFonts w:ascii="Arial" w:hAnsi="Arial" w:cs="Arial"/>
          <w:lang w:val="en-ZA"/>
        </w:rPr>
        <w:t xml:space="preserve"> is muddled</w:t>
      </w:r>
      <w:r w:rsidR="002629C3">
        <w:rPr>
          <w:rFonts w:ascii="Arial" w:hAnsi="Arial" w:cs="Arial"/>
          <w:lang w:val="en-ZA"/>
        </w:rPr>
        <w:t xml:space="preserve"> regarding the firing of further shots and the only thing he seems to remember is that he had his finger on the trigger. Though stating that he is unable to clearly recall what had happened as he was overcome by fear, he denied having fired any shots after the Discovery drove past him. His evidence however stands in sharp contrast with the undisputed evidence of bullet holes found on the </w:t>
      </w:r>
      <w:r w:rsidR="009E2316">
        <w:rPr>
          <w:rFonts w:ascii="Arial" w:hAnsi="Arial" w:cs="Arial"/>
          <w:lang w:val="en-ZA"/>
        </w:rPr>
        <w:t xml:space="preserve">side and rear of the deceased’s </w:t>
      </w:r>
      <w:r w:rsidR="002629C3">
        <w:rPr>
          <w:rFonts w:ascii="Arial" w:hAnsi="Arial" w:cs="Arial"/>
          <w:lang w:val="en-ZA"/>
        </w:rPr>
        <w:t>vehicle showing otherwise.</w:t>
      </w:r>
    </w:p>
    <w:p w:rsidR="002629C3" w:rsidRDefault="002629C3" w:rsidP="006B344C">
      <w:pPr>
        <w:spacing w:line="360" w:lineRule="auto"/>
        <w:jc w:val="both"/>
        <w:rPr>
          <w:rFonts w:ascii="Arial" w:hAnsi="Arial" w:cs="Arial"/>
          <w:lang w:val="en-ZA"/>
        </w:rPr>
      </w:pPr>
    </w:p>
    <w:p w:rsidR="004A54D5" w:rsidRDefault="002629C3" w:rsidP="006B344C">
      <w:pPr>
        <w:spacing w:line="360" w:lineRule="auto"/>
        <w:jc w:val="both"/>
        <w:rPr>
          <w:rFonts w:ascii="Arial" w:hAnsi="Arial" w:cs="Arial"/>
          <w:lang w:val="en-ZA"/>
        </w:rPr>
      </w:pPr>
      <w:r>
        <w:rPr>
          <w:rFonts w:ascii="Arial" w:hAnsi="Arial" w:cs="Arial"/>
          <w:lang w:val="en-ZA"/>
        </w:rPr>
        <w:t>[</w:t>
      </w:r>
      <w:r w:rsidR="009E2316">
        <w:rPr>
          <w:rFonts w:ascii="Arial" w:hAnsi="Arial" w:cs="Arial"/>
          <w:lang w:val="en-ZA"/>
        </w:rPr>
        <w:t>54</w:t>
      </w:r>
      <w:r>
        <w:rPr>
          <w:rFonts w:ascii="Arial" w:hAnsi="Arial" w:cs="Arial"/>
          <w:lang w:val="en-ZA"/>
        </w:rPr>
        <w:t xml:space="preserve">]   </w:t>
      </w:r>
      <w:r w:rsidR="00300F11">
        <w:rPr>
          <w:rFonts w:ascii="Arial" w:hAnsi="Arial" w:cs="Arial"/>
          <w:lang w:val="en-ZA"/>
        </w:rPr>
        <w:t xml:space="preserve">The gravamen </w:t>
      </w:r>
      <w:r w:rsidR="00A63AB0">
        <w:rPr>
          <w:rFonts w:ascii="Arial" w:hAnsi="Arial" w:cs="Arial"/>
          <w:lang w:val="en-ZA"/>
        </w:rPr>
        <w:t>of the accused’s testimony regarding</w:t>
      </w:r>
      <w:r w:rsidR="00300F11">
        <w:rPr>
          <w:rFonts w:ascii="Arial" w:hAnsi="Arial" w:cs="Arial"/>
          <w:lang w:val="en-ZA"/>
        </w:rPr>
        <w:t xml:space="preserve"> shots fired into the vehicle is that he did not intentionally fire shot</w:t>
      </w:r>
      <w:r w:rsidR="00A63AB0">
        <w:rPr>
          <w:rFonts w:ascii="Arial" w:hAnsi="Arial" w:cs="Arial"/>
          <w:lang w:val="en-ZA"/>
        </w:rPr>
        <w:t>s into the cabin,</w:t>
      </w:r>
      <w:r w:rsidR="00300F11">
        <w:rPr>
          <w:rFonts w:ascii="Arial" w:hAnsi="Arial" w:cs="Arial"/>
          <w:lang w:val="en-ZA"/>
        </w:rPr>
        <w:t xml:space="preserve"> but</w:t>
      </w:r>
      <w:r w:rsidR="00A63AB0">
        <w:rPr>
          <w:rFonts w:ascii="Arial" w:hAnsi="Arial" w:cs="Arial"/>
          <w:lang w:val="en-ZA"/>
        </w:rPr>
        <w:t xml:space="preserve"> that it happened because he kept</w:t>
      </w:r>
      <w:r w:rsidR="00300F11">
        <w:rPr>
          <w:rFonts w:ascii="Arial" w:hAnsi="Arial" w:cs="Arial"/>
          <w:lang w:val="en-ZA"/>
        </w:rPr>
        <w:t xml:space="preserve"> his finger on the trigger when moving out of harm’s way. This explanat</w:t>
      </w:r>
      <w:r w:rsidR="00260BFE">
        <w:rPr>
          <w:rFonts w:ascii="Arial" w:hAnsi="Arial" w:cs="Arial"/>
          <w:lang w:val="en-ZA"/>
        </w:rPr>
        <w:t>ion suggests an involuntary act</w:t>
      </w:r>
      <w:r w:rsidR="002B1411">
        <w:rPr>
          <w:rFonts w:ascii="Arial" w:hAnsi="Arial" w:cs="Arial"/>
          <w:lang w:val="en-ZA"/>
        </w:rPr>
        <w:t xml:space="preserve"> </w:t>
      </w:r>
      <w:r w:rsidR="00300F11">
        <w:rPr>
          <w:rFonts w:ascii="Arial" w:hAnsi="Arial" w:cs="Arial"/>
          <w:lang w:val="en-ZA"/>
        </w:rPr>
        <w:t>on his part</w:t>
      </w:r>
      <w:r w:rsidR="002B1411">
        <w:rPr>
          <w:rFonts w:ascii="Arial" w:hAnsi="Arial" w:cs="Arial"/>
          <w:lang w:val="en-ZA"/>
        </w:rPr>
        <w:t xml:space="preserve"> when scrambling to get out of the way. The accused’s inability to remember what happened at the critical moment, however, does not mean to say that his actions were therefore involuntary. Involuntary conduct by the accused at the time of the shooting would obviously negate his defence of </w:t>
      </w:r>
      <w:r w:rsidR="00A63AB0">
        <w:rPr>
          <w:rFonts w:ascii="Arial" w:hAnsi="Arial" w:cs="Arial"/>
          <w:lang w:val="en-ZA"/>
        </w:rPr>
        <w:t>having acted</w:t>
      </w:r>
      <w:r w:rsidR="002B1411">
        <w:rPr>
          <w:rFonts w:ascii="Arial" w:hAnsi="Arial" w:cs="Arial"/>
          <w:lang w:val="en-ZA"/>
        </w:rPr>
        <w:t xml:space="preserve"> in self-defence</w:t>
      </w:r>
      <w:r w:rsidR="00754BE8">
        <w:rPr>
          <w:rFonts w:ascii="Arial" w:hAnsi="Arial" w:cs="Arial"/>
          <w:lang w:val="en-ZA"/>
        </w:rPr>
        <w:t>,</w:t>
      </w:r>
      <w:r w:rsidR="002B1411">
        <w:rPr>
          <w:rFonts w:ascii="Arial" w:hAnsi="Arial" w:cs="Arial"/>
          <w:lang w:val="en-ZA"/>
        </w:rPr>
        <w:t xml:space="preserve"> as he </w:t>
      </w:r>
      <w:r w:rsidR="00A63AB0">
        <w:rPr>
          <w:rFonts w:ascii="Arial" w:hAnsi="Arial" w:cs="Arial"/>
          <w:lang w:val="en-ZA"/>
        </w:rPr>
        <w:t>is required to</w:t>
      </w:r>
      <w:r w:rsidR="002B1411">
        <w:rPr>
          <w:rFonts w:ascii="Arial" w:hAnsi="Arial" w:cs="Arial"/>
          <w:lang w:val="en-ZA"/>
        </w:rPr>
        <w:t xml:space="preserve"> have been aware tha</w:t>
      </w:r>
      <w:r w:rsidR="00754BE8">
        <w:rPr>
          <w:rFonts w:ascii="Arial" w:hAnsi="Arial" w:cs="Arial"/>
          <w:lang w:val="en-ZA"/>
        </w:rPr>
        <w:t xml:space="preserve">t he was acting in self-defence </w:t>
      </w:r>
      <w:r w:rsidR="00A63AB0">
        <w:rPr>
          <w:rFonts w:ascii="Arial" w:hAnsi="Arial" w:cs="Arial"/>
          <w:lang w:val="en-ZA"/>
        </w:rPr>
        <w:t>when firing</w:t>
      </w:r>
      <w:r w:rsidR="00754BE8">
        <w:rPr>
          <w:rFonts w:ascii="Arial" w:hAnsi="Arial" w:cs="Arial"/>
          <w:lang w:val="en-ZA"/>
        </w:rPr>
        <w:t xml:space="preserve"> the</w:t>
      </w:r>
      <w:r w:rsidR="00A63AB0">
        <w:rPr>
          <w:rFonts w:ascii="Arial" w:hAnsi="Arial" w:cs="Arial"/>
          <w:lang w:val="en-ZA"/>
        </w:rPr>
        <w:t>se</w:t>
      </w:r>
      <w:r w:rsidR="00754BE8">
        <w:rPr>
          <w:rFonts w:ascii="Arial" w:hAnsi="Arial" w:cs="Arial"/>
          <w:lang w:val="en-ZA"/>
        </w:rPr>
        <w:t xml:space="preserve"> shot</w:t>
      </w:r>
      <w:r w:rsidR="00A63AB0">
        <w:rPr>
          <w:rFonts w:ascii="Arial" w:hAnsi="Arial" w:cs="Arial"/>
          <w:lang w:val="en-ZA"/>
        </w:rPr>
        <w:t>s</w:t>
      </w:r>
      <w:r w:rsidR="004A54D5">
        <w:rPr>
          <w:rFonts w:ascii="Arial" w:hAnsi="Arial" w:cs="Arial"/>
          <w:lang w:val="en-ZA"/>
        </w:rPr>
        <w:t>, particularly the fatal shot</w:t>
      </w:r>
      <w:r w:rsidR="00754BE8">
        <w:rPr>
          <w:rFonts w:ascii="Arial" w:hAnsi="Arial" w:cs="Arial"/>
          <w:lang w:val="en-ZA"/>
        </w:rPr>
        <w:t>.</w:t>
      </w:r>
    </w:p>
    <w:p w:rsidR="004A54D5" w:rsidRDefault="004A54D5" w:rsidP="006B344C">
      <w:pPr>
        <w:spacing w:line="360" w:lineRule="auto"/>
        <w:jc w:val="both"/>
        <w:rPr>
          <w:rFonts w:ascii="Arial" w:hAnsi="Arial" w:cs="Arial"/>
          <w:lang w:val="en-ZA"/>
        </w:rPr>
      </w:pPr>
    </w:p>
    <w:p w:rsidR="002629C3" w:rsidRDefault="004A54D5" w:rsidP="006B344C">
      <w:pPr>
        <w:spacing w:line="360" w:lineRule="auto"/>
        <w:jc w:val="both"/>
        <w:rPr>
          <w:rFonts w:ascii="Arial" w:hAnsi="Arial" w:cs="Arial"/>
          <w:lang w:val="en-ZA"/>
        </w:rPr>
      </w:pPr>
      <w:r>
        <w:rPr>
          <w:rFonts w:ascii="Arial" w:hAnsi="Arial" w:cs="Arial"/>
          <w:lang w:val="en-ZA"/>
        </w:rPr>
        <w:t>[</w:t>
      </w:r>
      <w:r w:rsidR="009E2316">
        <w:rPr>
          <w:rFonts w:ascii="Arial" w:hAnsi="Arial" w:cs="Arial"/>
          <w:lang w:val="en-ZA"/>
        </w:rPr>
        <w:t>55</w:t>
      </w:r>
      <w:r>
        <w:rPr>
          <w:rFonts w:ascii="Arial" w:hAnsi="Arial" w:cs="Arial"/>
          <w:lang w:val="en-ZA"/>
        </w:rPr>
        <w:t xml:space="preserve">]   Another requirement of the defensive act which, on the accused’s own version is lacking, is that the attack should not have been something of the past. Except for the first shots fired at the tyre and into the front of the vehicle, all remaining shots were fired when the vehicle had already passed him and therefore posed no further threat – including the fatal shot. The accused was clearly unable to come up with a satisfactory explanation justifying </w:t>
      </w:r>
      <w:r w:rsidR="0011161F">
        <w:rPr>
          <w:rFonts w:ascii="Arial" w:hAnsi="Arial" w:cs="Arial"/>
          <w:lang w:val="en-ZA"/>
        </w:rPr>
        <w:t xml:space="preserve">his firing of these </w:t>
      </w:r>
      <w:r>
        <w:rPr>
          <w:rFonts w:ascii="Arial" w:hAnsi="Arial" w:cs="Arial"/>
          <w:lang w:val="en-ZA"/>
        </w:rPr>
        <w:t>s</w:t>
      </w:r>
      <w:r w:rsidR="0011161F">
        <w:rPr>
          <w:rFonts w:ascii="Arial" w:hAnsi="Arial" w:cs="Arial"/>
          <w:lang w:val="en-ZA"/>
        </w:rPr>
        <w:t>hots and at best said it was</w:t>
      </w:r>
      <w:r>
        <w:rPr>
          <w:rFonts w:ascii="Arial" w:hAnsi="Arial" w:cs="Arial"/>
          <w:lang w:val="en-ZA"/>
        </w:rPr>
        <w:t xml:space="preserve"> caused by an involuntary firing of the firearm. </w:t>
      </w:r>
    </w:p>
    <w:p w:rsidR="004A54D5" w:rsidRDefault="004A54D5" w:rsidP="006B344C">
      <w:pPr>
        <w:spacing w:line="360" w:lineRule="auto"/>
        <w:jc w:val="both"/>
        <w:rPr>
          <w:rFonts w:ascii="Arial" w:hAnsi="Arial" w:cs="Arial"/>
          <w:lang w:val="en-ZA"/>
        </w:rPr>
      </w:pPr>
    </w:p>
    <w:p w:rsidR="004A54D5" w:rsidRDefault="004A54D5" w:rsidP="006B344C">
      <w:pPr>
        <w:spacing w:line="360" w:lineRule="auto"/>
        <w:jc w:val="both"/>
        <w:rPr>
          <w:rFonts w:ascii="Arial" w:hAnsi="Arial" w:cs="Arial"/>
          <w:lang w:val="en-ZA"/>
        </w:rPr>
      </w:pPr>
      <w:r>
        <w:rPr>
          <w:rFonts w:ascii="Arial" w:hAnsi="Arial" w:cs="Arial"/>
          <w:lang w:val="en-ZA"/>
        </w:rPr>
        <w:t>[</w:t>
      </w:r>
      <w:r w:rsidR="009E2316">
        <w:rPr>
          <w:rFonts w:ascii="Arial" w:hAnsi="Arial" w:cs="Arial"/>
          <w:lang w:val="en-ZA"/>
        </w:rPr>
        <w:t>56</w:t>
      </w:r>
      <w:r>
        <w:rPr>
          <w:rFonts w:ascii="Arial" w:hAnsi="Arial" w:cs="Arial"/>
          <w:lang w:val="en-ZA"/>
        </w:rPr>
        <w:t xml:space="preserve">]   </w:t>
      </w:r>
      <w:r w:rsidR="003634B6">
        <w:rPr>
          <w:rFonts w:ascii="Arial" w:hAnsi="Arial" w:cs="Arial"/>
          <w:lang w:val="en-ZA"/>
        </w:rPr>
        <w:t>The accused’s evidence about these shots having been fired involuntary or accidentally, considered against the ballistic expert’s evidence that</w:t>
      </w:r>
      <w:r w:rsidR="00260BFE">
        <w:rPr>
          <w:rFonts w:ascii="Arial" w:hAnsi="Arial" w:cs="Arial"/>
          <w:lang w:val="en-ZA"/>
        </w:rPr>
        <w:t>,</w:t>
      </w:r>
      <w:r w:rsidR="003634B6">
        <w:rPr>
          <w:rFonts w:ascii="Arial" w:hAnsi="Arial" w:cs="Arial"/>
          <w:lang w:val="en-ZA"/>
        </w:rPr>
        <w:t xml:space="preserve"> in order to fire that specific firearm the trigger has to be pulled and released between </w:t>
      </w:r>
      <w:r w:rsidR="003634B6">
        <w:rPr>
          <w:rFonts w:ascii="Arial" w:hAnsi="Arial" w:cs="Arial"/>
          <w:lang w:val="en-ZA"/>
        </w:rPr>
        <w:lastRenderedPageBreak/>
        <w:t xml:space="preserve">shots, is simply not true. The grouping of </w:t>
      </w:r>
      <w:r w:rsidR="00453296">
        <w:rPr>
          <w:rFonts w:ascii="Arial" w:hAnsi="Arial" w:cs="Arial"/>
          <w:lang w:val="en-ZA"/>
        </w:rPr>
        <w:t>the</w:t>
      </w:r>
      <w:r w:rsidR="003634B6">
        <w:rPr>
          <w:rFonts w:ascii="Arial" w:hAnsi="Arial" w:cs="Arial"/>
          <w:lang w:val="en-ZA"/>
        </w:rPr>
        <w:t xml:space="preserve"> </w:t>
      </w:r>
      <w:r w:rsidR="00453296">
        <w:rPr>
          <w:rFonts w:ascii="Arial" w:hAnsi="Arial" w:cs="Arial"/>
          <w:lang w:val="en-ZA"/>
        </w:rPr>
        <w:t>three shots fired into</w:t>
      </w:r>
      <w:r w:rsidR="003634B6">
        <w:rPr>
          <w:rFonts w:ascii="Arial" w:hAnsi="Arial" w:cs="Arial"/>
          <w:lang w:val="en-ZA"/>
        </w:rPr>
        <w:t xml:space="preserve"> the side </w:t>
      </w:r>
      <w:r w:rsidR="00453296">
        <w:rPr>
          <w:rFonts w:ascii="Arial" w:hAnsi="Arial" w:cs="Arial"/>
          <w:lang w:val="en-ZA"/>
        </w:rPr>
        <w:t xml:space="preserve">of the vehicle </w:t>
      </w:r>
      <w:r w:rsidR="003634B6">
        <w:rPr>
          <w:rFonts w:ascii="Arial" w:hAnsi="Arial" w:cs="Arial"/>
          <w:lang w:val="en-ZA"/>
        </w:rPr>
        <w:t>seems to me indicative of shots aimed at the target</w:t>
      </w:r>
      <w:r w:rsidR="00453296">
        <w:rPr>
          <w:rFonts w:ascii="Arial" w:hAnsi="Arial" w:cs="Arial"/>
          <w:lang w:val="en-ZA"/>
        </w:rPr>
        <w:t>; also in respect of</w:t>
      </w:r>
      <w:r w:rsidR="00453296" w:rsidRPr="00453296">
        <w:rPr>
          <w:rFonts w:ascii="Arial" w:hAnsi="Arial" w:cs="Arial"/>
          <w:lang w:val="en-ZA"/>
        </w:rPr>
        <w:t xml:space="preserve"> </w:t>
      </w:r>
      <w:r w:rsidR="00453296">
        <w:rPr>
          <w:rFonts w:ascii="Arial" w:hAnsi="Arial" w:cs="Arial"/>
          <w:lang w:val="en-ZA"/>
        </w:rPr>
        <w:t>the single bullet hole fired from behind into the tailgate of the vehicle.</w:t>
      </w:r>
      <w:r w:rsidR="003634B6">
        <w:rPr>
          <w:rFonts w:ascii="Arial" w:hAnsi="Arial" w:cs="Arial"/>
          <w:lang w:val="en-ZA"/>
        </w:rPr>
        <w:t xml:space="preserve"> On the accused’</w:t>
      </w:r>
      <w:r w:rsidR="00453296">
        <w:rPr>
          <w:rFonts w:ascii="Arial" w:hAnsi="Arial" w:cs="Arial"/>
          <w:lang w:val="en-ZA"/>
        </w:rPr>
        <w:t xml:space="preserve">s own evidence there is simply no logical explanation that could possibly explain how these shots were fired when acting in self-defence. </w:t>
      </w:r>
    </w:p>
    <w:p w:rsidR="00453296" w:rsidRDefault="00453296" w:rsidP="006B344C">
      <w:pPr>
        <w:spacing w:line="360" w:lineRule="auto"/>
        <w:jc w:val="both"/>
        <w:rPr>
          <w:rFonts w:ascii="Arial" w:hAnsi="Arial" w:cs="Arial"/>
          <w:lang w:val="en-ZA"/>
        </w:rPr>
      </w:pPr>
    </w:p>
    <w:p w:rsidR="00911C48" w:rsidRDefault="00A43477" w:rsidP="00EA732D">
      <w:pPr>
        <w:spacing w:line="360" w:lineRule="auto"/>
        <w:jc w:val="both"/>
        <w:rPr>
          <w:rFonts w:ascii="Arial" w:hAnsi="Arial" w:cs="Arial"/>
        </w:rPr>
      </w:pPr>
      <w:r w:rsidRPr="00A43477">
        <w:rPr>
          <w:rFonts w:ascii="Arial" w:hAnsi="Arial" w:cs="Arial"/>
        </w:rPr>
        <w:t>[</w:t>
      </w:r>
      <w:r w:rsidR="00911C48">
        <w:rPr>
          <w:rFonts w:ascii="Arial" w:hAnsi="Arial" w:cs="Arial"/>
        </w:rPr>
        <w:t>57</w:t>
      </w:r>
      <w:r w:rsidRPr="00A43477">
        <w:rPr>
          <w:rFonts w:ascii="Arial" w:hAnsi="Arial" w:cs="Arial"/>
        </w:rPr>
        <w:t xml:space="preserve">]   </w:t>
      </w:r>
      <w:r w:rsidR="00EA732D">
        <w:rPr>
          <w:rFonts w:ascii="Arial" w:hAnsi="Arial" w:cs="Arial"/>
        </w:rPr>
        <w:t xml:space="preserve">What is evident from the evidence of </w:t>
      </w:r>
      <w:r w:rsidR="009E2316">
        <w:rPr>
          <w:rFonts w:ascii="Arial" w:hAnsi="Arial" w:cs="Arial"/>
        </w:rPr>
        <w:t xml:space="preserve">the witnesses </w:t>
      </w:r>
      <w:r w:rsidR="00EA732D">
        <w:rPr>
          <w:rFonts w:ascii="Arial" w:hAnsi="Arial" w:cs="Arial"/>
        </w:rPr>
        <w:t>Fenola and Paulus is that t</w:t>
      </w:r>
      <w:r w:rsidR="00FB0DD4">
        <w:rPr>
          <w:rFonts w:ascii="Arial" w:hAnsi="Arial" w:cs="Arial"/>
        </w:rPr>
        <w:t>he accused upon disembarking the</w:t>
      </w:r>
      <w:r w:rsidR="00EA732D">
        <w:rPr>
          <w:rFonts w:ascii="Arial" w:hAnsi="Arial" w:cs="Arial"/>
        </w:rPr>
        <w:t xml:space="preserve"> vehicle, drew his firearm and almost immediately started shooting at the tyres of the Discovery. This started even before he had reached the other driver to talk to him. It does not appear to me farfetched </w:t>
      </w:r>
      <w:r w:rsidR="00304917">
        <w:rPr>
          <w:rFonts w:ascii="Arial" w:hAnsi="Arial" w:cs="Arial"/>
        </w:rPr>
        <w:t xml:space="preserve">to say </w:t>
      </w:r>
      <w:r w:rsidR="00EA732D">
        <w:rPr>
          <w:rFonts w:ascii="Arial" w:hAnsi="Arial" w:cs="Arial"/>
        </w:rPr>
        <w:t>that the reason why the deceased tried to leave the scene was because he saw the accused approaching</w:t>
      </w:r>
      <w:r w:rsidR="00260BFE">
        <w:rPr>
          <w:rFonts w:ascii="Arial" w:hAnsi="Arial" w:cs="Arial"/>
        </w:rPr>
        <w:t>,</w:t>
      </w:r>
      <w:r w:rsidR="00EA732D">
        <w:rPr>
          <w:rFonts w:ascii="Arial" w:hAnsi="Arial" w:cs="Arial"/>
        </w:rPr>
        <w:t xml:space="preserve"> gun in hand and firing in his direction. The two eyewitnesses were perfectly positioned to </w:t>
      </w:r>
      <w:r w:rsidR="0011161F">
        <w:rPr>
          <w:rFonts w:ascii="Arial" w:hAnsi="Arial" w:cs="Arial"/>
        </w:rPr>
        <w:t xml:space="preserve">have </w:t>
      </w:r>
      <w:r w:rsidR="00EA732D">
        <w:rPr>
          <w:rFonts w:ascii="Arial" w:hAnsi="Arial" w:cs="Arial"/>
        </w:rPr>
        <w:t>see</w:t>
      </w:r>
      <w:r w:rsidR="0011161F">
        <w:rPr>
          <w:rFonts w:ascii="Arial" w:hAnsi="Arial" w:cs="Arial"/>
        </w:rPr>
        <w:t>n</w:t>
      </w:r>
      <w:r w:rsidR="00EA732D">
        <w:rPr>
          <w:rFonts w:ascii="Arial" w:hAnsi="Arial" w:cs="Arial"/>
        </w:rPr>
        <w:t xml:space="preserve"> the Discovery reversing before it sped</w:t>
      </w:r>
      <w:r w:rsidR="0011161F">
        <w:rPr>
          <w:rFonts w:ascii="Arial" w:hAnsi="Arial" w:cs="Arial"/>
        </w:rPr>
        <w:t xml:space="preserve"> off with screeching tyres</w:t>
      </w:r>
      <w:r w:rsidR="00EA732D">
        <w:rPr>
          <w:rFonts w:ascii="Arial" w:hAnsi="Arial" w:cs="Arial"/>
        </w:rPr>
        <w:t xml:space="preserve">, </w:t>
      </w:r>
      <w:r w:rsidR="00304917">
        <w:rPr>
          <w:rFonts w:ascii="Arial" w:hAnsi="Arial" w:cs="Arial"/>
        </w:rPr>
        <w:t>had it</w:t>
      </w:r>
      <w:r w:rsidR="00EA732D">
        <w:rPr>
          <w:rFonts w:ascii="Arial" w:hAnsi="Arial" w:cs="Arial"/>
        </w:rPr>
        <w:t xml:space="preserve"> </w:t>
      </w:r>
      <w:r w:rsidR="009E2316">
        <w:rPr>
          <w:rFonts w:ascii="Arial" w:hAnsi="Arial" w:cs="Arial"/>
        </w:rPr>
        <w:t xml:space="preserve">at all </w:t>
      </w:r>
      <w:r w:rsidR="00EA732D">
        <w:rPr>
          <w:rFonts w:ascii="Arial" w:hAnsi="Arial" w:cs="Arial"/>
        </w:rPr>
        <w:t>happened</w:t>
      </w:r>
      <w:r w:rsidR="0011161F">
        <w:rPr>
          <w:rFonts w:ascii="Arial" w:hAnsi="Arial" w:cs="Arial"/>
        </w:rPr>
        <w:t>. I am unable to think of any</w:t>
      </w:r>
      <w:r w:rsidR="00304917">
        <w:rPr>
          <w:rFonts w:ascii="Arial" w:hAnsi="Arial" w:cs="Arial"/>
        </w:rPr>
        <w:t xml:space="preserve"> reason why they would have denied this </w:t>
      </w:r>
      <w:r w:rsidR="0011161F">
        <w:rPr>
          <w:rFonts w:ascii="Arial" w:hAnsi="Arial" w:cs="Arial"/>
        </w:rPr>
        <w:t xml:space="preserve">ever </w:t>
      </w:r>
      <w:r w:rsidR="00304917">
        <w:rPr>
          <w:rFonts w:ascii="Arial" w:hAnsi="Arial" w:cs="Arial"/>
        </w:rPr>
        <w:t>happening</w:t>
      </w:r>
      <w:r w:rsidR="0011161F">
        <w:rPr>
          <w:rFonts w:ascii="Arial" w:hAnsi="Arial" w:cs="Arial"/>
        </w:rPr>
        <w:t xml:space="preserve"> if it was indeed the case. I</w:t>
      </w:r>
      <w:r w:rsidR="007D70AA">
        <w:rPr>
          <w:rFonts w:ascii="Arial" w:hAnsi="Arial" w:cs="Arial"/>
        </w:rPr>
        <w:t xml:space="preserve">t would </w:t>
      </w:r>
      <w:r w:rsidR="0011161F">
        <w:rPr>
          <w:rFonts w:ascii="Arial" w:hAnsi="Arial" w:cs="Arial"/>
        </w:rPr>
        <w:t>rather</w:t>
      </w:r>
      <w:r w:rsidR="007D70AA">
        <w:rPr>
          <w:rFonts w:ascii="Arial" w:hAnsi="Arial" w:cs="Arial"/>
        </w:rPr>
        <w:t xml:space="preserve"> appear that the accused deliberately fabricated and attributed such conduct to the deceased in order to give more credence to his version of having </w:t>
      </w:r>
      <w:r w:rsidR="00304917">
        <w:rPr>
          <w:rFonts w:ascii="Arial" w:hAnsi="Arial" w:cs="Arial"/>
        </w:rPr>
        <w:t xml:space="preserve">suddenly </w:t>
      </w:r>
      <w:r w:rsidR="007D70AA">
        <w:rPr>
          <w:rFonts w:ascii="Arial" w:hAnsi="Arial" w:cs="Arial"/>
        </w:rPr>
        <w:t xml:space="preserve">come under attack, justifying his </w:t>
      </w:r>
      <w:r w:rsidR="0011161F">
        <w:rPr>
          <w:rFonts w:ascii="Arial" w:hAnsi="Arial" w:cs="Arial"/>
        </w:rPr>
        <w:t xml:space="preserve">otherwise unlawful </w:t>
      </w:r>
      <w:r w:rsidR="007D70AA">
        <w:rPr>
          <w:rFonts w:ascii="Arial" w:hAnsi="Arial" w:cs="Arial"/>
        </w:rPr>
        <w:t>actions.</w:t>
      </w:r>
      <w:r w:rsidR="00304917">
        <w:rPr>
          <w:rFonts w:ascii="Arial" w:hAnsi="Arial" w:cs="Arial"/>
        </w:rPr>
        <w:t xml:space="preserve"> </w:t>
      </w:r>
    </w:p>
    <w:p w:rsidR="00911C48" w:rsidRDefault="00911C48" w:rsidP="00EA732D">
      <w:pPr>
        <w:spacing w:line="360" w:lineRule="auto"/>
        <w:jc w:val="both"/>
        <w:rPr>
          <w:rFonts w:ascii="Arial" w:hAnsi="Arial" w:cs="Arial"/>
        </w:rPr>
      </w:pPr>
    </w:p>
    <w:p w:rsidR="00911C48" w:rsidRPr="009E2316" w:rsidRDefault="00911C48" w:rsidP="00911C48">
      <w:pPr>
        <w:spacing w:line="360" w:lineRule="auto"/>
        <w:jc w:val="both"/>
        <w:rPr>
          <w:rFonts w:ascii="Arial" w:hAnsi="Arial" w:cs="Arial"/>
          <w:lang w:val="en-ZA"/>
        </w:rPr>
      </w:pPr>
      <w:r>
        <w:rPr>
          <w:rFonts w:ascii="Arial" w:hAnsi="Arial" w:cs="Arial"/>
          <w:lang w:val="en-ZA"/>
        </w:rPr>
        <w:t>[58]   For the above reasons I am satisfied that the State has proved beyond reasonable doubt that the accused did not act in self-defence when he fired several shots into the deceased’s vehicle whilst and after it had passed him, inclusive of the fatal shot. I have therefore come to the conclusion that the defence raised by the accused is nothing more than an afterthought and is accordingly rejected as false beyond reasonable doubt.</w:t>
      </w:r>
    </w:p>
    <w:p w:rsidR="00911C48" w:rsidRDefault="00911C48" w:rsidP="00EA732D">
      <w:pPr>
        <w:spacing w:line="360" w:lineRule="auto"/>
        <w:jc w:val="both"/>
        <w:rPr>
          <w:rFonts w:ascii="Arial" w:hAnsi="Arial" w:cs="Arial"/>
        </w:rPr>
      </w:pPr>
    </w:p>
    <w:p w:rsidR="00A43477" w:rsidRDefault="00911C48" w:rsidP="00EA732D">
      <w:pPr>
        <w:spacing w:line="360" w:lineRule="auto"/>
        <w:jc w:val="both"/>
        <w:rPr>
          <w:rFonts w:ascii="Arial" w:hAnsi="Arial" w:cs="Arial"/>
        </w:rPr>
      </w:pPr>
      <w:r>
        <w:rPr>
          <w:rFonts w:ascii="Arial" w:hAnsi="Arial" w:cs="Arial"/>
        </w:rPr>
        <w:t xml:space="preserve">[59]   </w:t>
      </w:r>
      <w:r w:rsidR="00304917">
        <w:rPr>
          <w:rFonts w:ascii="Arial" w:hAnsi="Arial" w:cs="Arial"/>
        </w:rPr>
        <w:t xml:space="preserve">I am further satisfied that it has been proved </w:t>
      </w:r>
      <w:r w:rsidR="00FB0DD4">
        <w:rPr>
          <w:rFonts w:ascii="Arial" w:hAnsi="Arial" w:cs="Arial"/>
        </w:rPr>
        <w:t xml:space="preserve">beyond reasonable doubt </w:t>
      </w:r>
      <w:r w:rsidR="00304917">
        <w:rPr>
          <w:rFonts w:ascii="Arial" w:hAnsi="Arial" w:cs="Arial"/>
        </w:rPr>
        <w:t>th</w:t>
      </w:r>
      <w:r w:rsidR="001A411C">
        <w:rPr>
          <w:rFonts w:ascii="Arial" w:hAnsi="Arial" w:cs="Arial"/>
        </w:rPr>
        <w:t>at the accused acted with</w:t>
      </w:r>
      <w:r w:rsidR="00304917">
        <w:rPr>
          <w:rFonts w:ascii="Arial" w:hAnsi="Arial" w:cs="Arial"/>
        </w:rPr>
        <w:t xml:space="preserve"> intent when he unlawfully fired several shots into the cabin of the deceased’s vehicle, killing him in the process.</w:t>
      </w:r>
    </w:p>
    <w:p w:rsidR="001A411C" w:rsidRDefault="001A411C" w:rsidP="00EA732D">
      <w:pPr>
        <w:spacing w:line="360" w:lineRule="auto"/>
        <w:jc w:val="both"/>
        <w:rPr>
          <w:rFonts w:ascii="Arial" w:hAnsi="Arial" w:cs="Arial"/>
        </w:rPr>
      </w:pPr>
    </w:p>
    <w:p w:rsidR="009E2316" w:rsidRDefault="001A411C" w:rsidP="00EA732D">
      <w:pPr>
        <w:spacing w:line="360" w:lineRule="auto"/>
        <w:jc w:val="both"/>
        <w:rPr>
          <w:rFonts w:ascii="Arial" w:hAnsi="Arial" w:cs="Arial"/>
        </w:rPr>
      </w:pPr>
      <w:r>
        <w:rPr>
          <w:rFonts w:ascii="Arial" w:hAnsi="Arial" w:cs="Arial"/>
        </w:rPr>
        <w:t>[</w:t>
      </w:r>
      <w:r w:rsidR="00911C48">
        <w:rPr>
          <w:rFonts w:ascii="Arial" w:hAnsi="Arial" w:cs="Arial"/>
        </w:rPr>
        <w:t>60</w:t>
      </w:r>
      <w:r>
        <w:rPr>
          <w:rFonts w:ascii="Arial" w:hAnsi="Arial" w:cs="Arial"/>
        </w:rPr>
        <w:t>]   It does not appear to me that the accused had acted with intent to ki</w:t>
      </w:r>
      <w:r w:rsidR="00C00A4E">
        <w:rPr>
          <w:rFonts w:ascii="Arial" w:hAnsi="Arial" w:cs="Arial"/>
        </w:rPr>
        <w:t>ll when firing</w:t>
      </w:r>
      <w:r>
        <w:rPr>
          <w:rFonts w:ascii="Arial" w:hAnsi="Arial" w:cs="Arial"/>
        </w:rPr>
        <w:t xml:space="preserve"> the first shots downwards and at the wheels of the deceased’s </w:t>
      </w:r>
      <w:r>
        <w:rPr>
          <w:rFonts w:ascii="Arial" w:hAnsi="Arial" w:cs="Arial"/>
        </w:rPr>
        <w:lastRenderedPageBreak/>
        <w:t xml:space="preserve">vehicle. However, when the vehicle </w:t>
      </w:r>
      <w:r w:rsidR="009E2316">
        <w:rPr>
          <w:rFonts w:ascii="Arial" w:hAnsi="Arial" w:cs="Arial"/>
        </w:rPr>
        <w:t>drove off</w:t>
      </w:r>
      <w:r>
        <w:rPr>
          <w:rFonts w:ascii="Arial" w:hAnsi="Arial" w:cs="Arial"/>
        </w:rPr>
        <w:t xml:space="preserve"> he raised </w:t>
      </w:r>
      <w:r w:rsidR="00C00A4E">
        <w:rPr>
          <w:rFonts w:ascii="Arial" w:hAnsi="Arial" w:cs="Arial"/>
        </w:rPr>
        <w:t>his arm</w:t>
      </w:r>
      <w:r>
        <w:rPr>
          <w:rFonts w:ascii="Arial" w:hAnsi="Arial" w:cs="Arial"/>
        </w:rPr>
        <w:t xml:space="preserve"> and fired several shots </w:t>
      </w:r>
      <w:r w:rsidR="00C00A4E">
        <w:rPr>
          <w:rFonts w:ascii="Arial" w:hAnsi="Arial" w:cs="Arial"/>
        </w:rPr>
        <w:t xml:space="preserve">directly </w:t>
      </w:r>
      <w:r>
        <w:rPr>
          <w:rFonts w:ascii="Arial" w:hAnsi="Arial" w:cs="Arial"/>
        </w:rPr>
        <w:t xml:space="preserve">into the cabin and rear of the vehicle of which two bullets struck the deceased. Though the evidence falls short from establishing intent in the form of </w:t>
      </w:r>
      <w:r>
        <w:rPr>
          <w:rFonts w:ascii="Arial" w:hAnsi="Arial" w:cs="Arial"/>
          <w:i/>
        </w:rPr>
        <w:t>dolus directus</w:t>
      </w:r>
      <w:r w:rsidR="009E2316">
        <w:rPr>
          <w:rFonts w:ascii="Arial" w:hAnsi="Arial" w:cs="Arial"/>
        </w:rPr>
        <w:t>,</w:t>
      </w:r>
      <w:r w:rsidR="00C00A4E">
        <w:rPr>
          <w:rFonts w:ascii="Arial" w:hAnsi="Arial" w:cs="Arial"/>
        </w:rPr>
        <w:t xml:space="preserve"> it undoubtedly</w:t>
      </w:r>
      <w:r>
        <w:rPr>
          <w:rFonts w:ascii="Arial" w:hAnsi="Arial" w:cs="Arial"/>
        </w:rPr>
        <w:t xml:space="preserve"> prove</w:t>
      </w:r>
      <w:r w:rsidR="00C00A4E">
        <w:rPr>
          <w:rFonts w:ascii="Arial" w:hAnsi="Arial" w:cs="Arial"/>
        </w:rPr>
        <w:t>s</w:t>
      </w:r>
      <w:r>
        <w:rPr>
          <w:rFonts w:ascii="Arial" w:hAnsi="Arial" w:cs="Arial"/>
        </w:rPr>
        <w:t xml:space="preserve"> that he </w:t>
      </w:r>
      <w:r w:rsidR="00C00A4E">
        <w:rPr>
          <w:rFonts w:ascii="Arial" w:hAnsi="Arial" w:cs="Arial"/>
        </w:rPr>
        <w:t xml:space="preserve">subjectively </w:t>
      </w:r>
      <w:r>
        <w:rPr>
          <w:rFonts w:ascii="Arial" w:hAnsi="Arial" w:cs="Arial"/>
        </w:rPr>
        <w:t xml:space="preserve">foresaw the possibility of killing a human being </w:t>
      </w:r>
      <w:r w:rsidR="00C00A4E">
        <w:rPr>
          <w:rFonts w:ascii="Arial" w:hAnsi="Arial" w:cs="Arial"/>
        </w:rPr>
        <w:t xml:space="preserve">by firing several shots into the cabin of the vehicle </w:t>
      </w:r>
      <w:r>
        <w:rPr>
          <w:rFonts w:ascii="Arial" w:hAnsi="Arial" w:cs="Arial"/>
        </w:rPr>
        <w:t xml:space="preserve">and </w:t>
      </w:r>
      <w:r w:rsidR="00C00A4E">
        <w:rPr>
          <w:rFonts w:ascii="Arial" w:hAnsi="Arial" w:cs="Arial"/>
        </w:rPr>
        <w:t xml:space="preserve">reconciled </w:t>
      </w:r>
      <w:r>
        <w:rPr>
          <w:rFonts w:ascii="Arial" w:hAnsi="Arial" w:cs="Arial"/>
        </w:rPr>
        <w:t xml:space="preserve">himself </w:t>
      </w:r>
      <w:r w:rsidR="00C00A4E">
        <w:rPr>
          <w:rFonts w:ascii="Arial" w:hAnsi="Arial" w:cs="Arial"/>
        </w:rPr>
        <w:t>to this</w:t>
      </w:r>
      <w:r>
        <w:rPr>
          <w:rFonts w:ascii="Arial" w:hAnsi="Arial" w:cs="Arial"/>
        </w:rPr>
        <w:t xml:space="preserve"> possibility (</w:t>
      </w:r>
      <w:r>
        <w:rPr>
          <w:rFonts w:ascii="Arial" w:hAnsi="Arial" w:cs="Arial"/>
          <w:i/>
        </w:rPr>
        <w:t>dolus eventualis</w:t>
      </w:r>
      <w:r>
        <w:rPr>
          <w:rFonts w:ascii="Arial" w:hAnsi="Arial" w:cs="Arial"/>
        </w:rPr>
        <w:t>).</w:t>
      </w:r>
    </w:p>
    <w:p w:rsidR="009E2316" w:rsidRDefault="009E2316" w:rsidP="00EA732D">
      <w:pPr>
        <w:spacing w:line="360" w:lineRule="auto"/>
        <w:jc w:val="both"/>
        <w:rPr>
          <w:rFonts w:ascii="Arial" w:hAnsi="Arial" w:cs="Arial"/>
        </w:rPr>
      </w:pPr>
    </w:p>
    <w:p w:rsidR="00304917" w:rsidRDefault="009E2316" w:rsidP="00EA732D">
      <w:pPr>
        <w:spacing w:line="360" w:lineRule="auto"/>
        <w:jc w:val="both"/>
        <w:rPr>
          <w:rFonts w:ascii="Arial" w:hAnsi="Arial" w:cs="Arial"/>
        </w:rPr>
      </w:pPr>
      <w:r>
        <w:rPr>
          <w:rFonts w:ascii="Arial" w:hAnsi="Arial" w:cs="Arial"/>
          <w:u w:val="single"/>
        </w:rPr>
        <w:t>Accused’s subsequent conduct</w:t>
      </w:r>
      <w:r w:rsidR="00C00A4E">
        <w:rPr>
          <w:rFonts w:ascii="Arial" w:hAnsi="Arial" w:cs="Arial"/>
        </w:rPr>
        <w:t xml:space="preserve"> </w:t>
      </w:r>
    </w:p>
    <w:p w:rsidR="00260BFE" w:rsidRDefault="00260BFE" w:rsidP="00EA732D">
      <w:pPr>
        <w:spacing w:line="360" w:lineRule="auto"/>
        <w:jc w:val="both"/>
        <w:rPr>
          <w:rFonts w:ascii="Arial" w:hAnsi="Arial" w:cs="Arial"/>
        </w:rPr>
      </w:pPr>
    </w:p>
    <w:p w:rsidR="00FB0DD4" w:rsidRDefault="00304917" w:rsidP="00EA732D">
      <w:pPr>
        <w:spacing w:line="360" w:lineRule="auto"/>
        <w:jc w:val="both"/>
        <w:rPr>
          <w:rFonts w:ascii="Arial" w:hAnsi="Arial" w:cs="Arial"/>
        </w:rPr>
      </w:pPr>
      <w:r>
        <w:rPr>
          <w:rFonts w:ascii="Arial" w:hAnsi="Arial" w:cs="Arial"/>
        </w:rPr>
        <w:t>[</w:t>
      </w:r>
      <w:r w:rsidR="00911C48">
        <w:rPr>
          <w:rFonts w:ascii="Arial" w:hAnsi="Arial" w:cs="Arial"/>
        </w:rPr>
        <w:t>61</w:t>
      </w:r>
      <w:r>
        <w:rPr>
          <w:rFonts w:ascii="Arial" w:hAnsi="Arial" w:cs="Arial"/>
        </w:rPr>
        <w:t xml:space="preserve">]   </w:t>
      </w:r>
      <w:r w:rsidR="00FB0DD4">
        <w:rPr>
          <w:rFonts w:ascii="Arial" w:hAnsi="Arial" w:cs="Arial"/>
        </w:rPr>
        <w:t xml:space="preserve">Though the accused </w:t>
      </w:r>
      <w:r w:rsidR="008009E8">
        <w:rPr>
          <w:rFonts w:ascii="Arial" w:hAnsi="Arial" w:cs="Arial"/>
        </w:rPr>
        <w:t xml:space="preserve">strenuously </w:t>
      </w:r>
      <w:r w:rsidR="00FB0DD4">
        <w:rPr>
          <w:rFonts w:ascii="Arial" w:hAnsi="Arial" w:cs="Arial"/>
        </w:rPr>
        <w:t xml:space="preserve">denied having </w:t>
      </w:r>
      <w:r w:rsidR="008009E8">
        <w:rPr>
          <w:rFonts w:ascii="Arial" w:hAnsi="Arial" w:cs="Arial"/>
        </w:rPr>
        <w:t>become</w:t>
      </w:r>
      <w:r w:rsidR="00FB0DD4">
        <w:rPr>
          <w:rFonts w:ascii="Arial" w:hAnsi="Arial" w:cs="Arial"/>
        </w:rPr>
        <w:t xml:space="preserve"> aware of </w:t>
      </w:r>
      <w:r w:rsidR="00C00A4E">
        <w:rPr>
          <w:rFonts w:ascii="Arial" w:hAnsi="Arial" w:cs="Arial"/>
        </w:rPr>
        <w:t xml:space="preserve">any </w:t>
      </w:r>
      <w:r w:rsidR="00FB0DD4">
        <w:rPr>
          <w:rFonts w:ascii="Arial" w:hAnsi="Arial" w:cs="Arial"/>
        </w:rPr>
        <w:t xml:space="preserve">injury caused to the deceased subsequent to the shooting, his </w:t>
      </w:r>
      <w:r w:rsidR="00C07CF9">
        <w:rPr>
          <w:rFonts w:ascii="Arial" w:hAnsi="Arial" w:cs="Arial"/>
        </w:rPr>
        <w:t xml:space="preserve">follow-up </w:t>
      </w:r>
      <w:r w:rsidR="00FB0DD4">
        <w:rPr>
          <w:rFonts w:ascii="Arial" w:hAnsi="Arial" w:cs="Arial"/>
        </w:rPr>
        <w:t xml:space="preserve">behaviour tends to show </w:t>
      </w:r>
      <w:r w:rsidR="00C07CF9">
        <w:rPr>
          <w:rFonts w:ascii="Arial" w:hAnsi="Arial" w:cs="Arial"/>
        </w:rPr>
        <w:t>otherwise</w:t>
      </w:r>
      <w:r w:rsidR="00FB0DD4">
        <w:rPr>
          <w:rFonts w:ascii="Arial" w:hAnsi="Arial" w:cs="Arial"/>
        </w:rPr>
        <w:t xml:space="preserve">. As stated above, Fenola </w:t>
      </w:r>
      <w:r w:rsidR="00404130">
        <w:rPr>
          <w:rFonts w:ascii="Arial" w:hAnsi="Arial" w:cs="Arial"/>
        </w:rPr>
        <w:t xml:space="preserve">said </w:t>
      </w:r>
      <w:r w:rsidR="00C07CF9">
        <w:rPr>
          <w:rFonts w:ascii="Arial" w:hAnsi="Arial" w:cs="Arial"/>
        </w:rPr>
        <w:t>that when driving past</w:t>
      </w:r>
      <w:r w:rsidR="00FB0DD4">
        <w:rPr>
          <w:rFonts w:ascii="Arial" w:hAnsi="Arial" w:cs="Arial"/>
        </w:rPr>
        <w:t xml:space="preserve"> the deceased’s </w:t>
      </w:r>
      <w:r w:rsidR="00C07CF9">
        <w:rPr>
          <w:rFonts w:ascii="Arial" w:hAnsi="Arial" w:cs="Arial"/>
        </w:rPr>
        <w:t xml:space="preserve">stationary </w:t>
      </w:r>
      <w:r w:rsidR="00FB0DD4">
        <w:rPr>
          <w:rFonts w:ascii="Arial" w:hAnsi="Arial" w:cs="Arial"/>
        </w:rPr>
        <w:t>vehicle</w:t>
      </w:r>
      <w:r w:rsidR="00404130">
        <w:rPr>
          <w:rFonts w:ascii="Arial" w:hAnsi="Arial" w:cs="Arial"/>
        </w:rPr>
        <w:t>,</w:t>
      </w:r>
      <w:r w:rsidR="00FB0DD4">
        <w:rPr>
          <w:rFonts w:ascii="Arial" w:hAnsi="Arial" w:cs="Arial"/>
        </w:rPr>
        <w:t xml:space="preserve"> </w:t>
      </w:r>
      <w:r w:rsidR="00404130">
        <w:rPr>
          <w:rFonts w:ascii="Arial" w:hAnsi="Arial" w:cs="Arial"/>
        </w:rPr>
        <w:t>she saw</w:t>
      </w:r>
      <w:r w:rsidR="00FB0DD4">
        <w:rPr>
          <w:rFonts w:ascii="Arial" w:hAnsi="Arial" w:cs="Arial"/>
        </w:rPr>
        <w:t xml:space="preserve"> bullet holes</w:t>
      </w:r>
      <w:r w:rsidR="00C07CF9">
        <w:rPr>
          <w:rFonts w:ascii="Arial" w:hAnsi="Arial" w:cs="Arial"/>
        </w:rPr>
        <w:t xml:space="preserve"> i</w:t>
      </w:r>
      <w:r w:rsidR="00FB0DD4">
        <w:rPr>
          <w:rFonts w:ascii="Arial" w:hAnsi="Arial" w:cs="Arial"/>
        </w:rPr>
        <w:t xml:space="preserve">n the side </w:t>
      </w:r>
      <w:r w:rsidR="00C07CF9">
        <w:rPr>
          <w:rFonts w:ascii="Arial" w:hAnsi="Arial" w:cs="Arial"/>
        </w:rPr>
        <w:t xml:space="preserve">windows </w:t>
      </w:r>
      <w:r w:rsidR="00FB0DD4">
        <w:rPr>
          <w:rFonts w:ascii="Arial" w:hAnsi="Arial" w:cs="Arial"/>
        </w:rPr>
        <w:t>and the driver</w:t>
      </w:r>
      <w:r w:rsidR="00404130">
        <w:rPr>
          <w:rFonts w:ascii="Arial" w:hAnsi="Arial" w:cs="Arial"/>
        </w:rPr>
        <w:t>’s upper body</w:t>
      </w:r>
      <w:r w:rsidR="00FB0DD4">
        <w:rPr>
          <w:rFonts w:ascii="Arial" w:hAnsi="Arial" w:cs="Arial"/>
        </w:rPr>
        <w:t xml:space="preserve"> leaning </w:t>
      </w:r>
      <w:r w:rsidR="00404130">
        <w:rPr>
          <w:rFonts w:ascii="Arial" w:hAnsi="Arial" w:cs="Arial"/>
        </w:rPr>
        <w:t xml:space="preserve">forward </w:t>
      </w:r>
      <w:r w:rsidR="00FB0DD4">
        <w:rPr>
          <w:rFonts w:ascii="Arial" w:hAnsi="Arial" w:cs="Arial"/>
        </w:rPr>
        <w:t>w</w:t>
      </w:r>
      <w:r w:rsidR="00404130">
        <w:rPr>
          <w:rFonts w:ascii="Arial" w:hAnsi="Arial" w:cs="Arial"/>
        </w:rPr>
        <w:t>ith his head resting on the steering wheel</w:t>
      </w:r>
      <w:r w:rsidR="00260BFE">
        <w:rPr>
          <w:rFonts w:ascii="Arial" w:hAnsi="Arial" w:cs="Arial"/>
        </w:rPr>
        <w:t>,</w:t>
      </w:r>
      <w:r w:rsidR="00404130">
        <w:rPr>
          <w:rFonts w:ascii="Arial" w:hAnsi="Arial" w:cs="Arial"/>
        </w:rPr>
        <w:t xml:space="preserve"> whereupon the accused exclaimed that he had killed the person. Taking into account that Fenola could make these observations – which turned out to be correct as per those witnesses who visited the scene – there is no reason why the accused could not have made</w:t>
      </w:r>
      <w:r w:rsidR="008009E8">
        <w:rPr>
          <w:rFonts w:ascii="Arial" w:hAnsi="Arial" w:cs="Arial"/>
        </w:rPr>
        <w:t xml:space="preserve"> the same observations, which would</w:t>
      </w:r>
      <w:r w:rsidR="00404130">
        <w:rPr>
          <w:rFonts w:ascii="Arial" w:hAnsi="Arial" w:cs="Arial"/>
        </w:rPr>
        <w:t xml:space="preserve"> explain</w:t>
      </w:r>
      <w:r w:rsidR="00260BFE">
        <w:rPr>
          <w:rFonts w:ascii="Arial" w:hAnsi="Arial" w:cs="Arial"/>
        </w:rPr>
        <w:t xml:space="preserve"> his immediate reaction</w:t>
      </w:r>
      <w:r w:rsidR="00404130">
        <w:rPr>
          <w:rFonts w:ascii="Arial" w:hAnsi="Arial" w:cs="Arial"/>
        </w:rPr>
        <w:t xml:space="preserve"> as testified by Fenola. </w:t>
      </w:r>
      <w:r w:rsidR="00FC7996">
        <w:rPr>
          <w:rFonts w:ascii="Arial" w:hAnsi="Arial" w:cs="Arial"/>
        </w:rPr>
        <w:t>This is manifested in the accused’s subsequent behaviour which, in the circumstances, can only be described as irrational.</w:t>
      </w:r>
    </w:p>
    <w:p w:rsidR="00FC7996" w:rsidRDefault="00FC7996" w:rsidP="00EA732D">
      <w:pPr>
        <w:spacing w:line="360" w:lineRule="auto"/>
        <w:jc w:val="both"/>
        <w:rPr>
          <w:rFonts w:ascii="Arial" w:hAnsi="Arial" w:cs="Arial"/>
        </w:rPr>
      </w:pPr>
    </w:p>
    <w:p w:rsidR="00FC7996" w:rsidRDefault="00FC7996" w:rsidP="00EA732D">
      <w:pPr>
        <w:spacing w:line="360" w:lineRule="auto"/>
        <w:jc w:val="both"/>
        <w:rPr>
          <w:rFonts w:ascii="Arial" w:hAnsi="Arial" w:cs="Arial"/>
        </w:rPr>
      </w:pPr>
      <w:r>
        <w:rPr>
          <w:rFonts w:ascii="Arial" w:hAnsi="Arial" w:cs="Arial"/>
        </w:rPr>
        <w:t>[</w:t>
      </w:r>
      <w:r w:rsidR="00911C48">
        <w:rPr>
          <w:rFonts w:ascii="Arial" w:hAnsi="Arial" w:cs="Arial"/>
        </w:rPr>
        <w:t>62</w:t>
      </w:r>
      <w:r>
        <w:rPr>
          <w:rFonts w:ascii="Arial" w:hAnsi="Arial" w:cs="Arial"/>
        </w:rPr>
        <w:t>]   On the accused’s version he was a victim o</w:t>
      </w:r>
      <w:r w:rsidR="00260BFE">
        <w:rPr>
          <w:rFonts w:ascii="Arial" w:hAnsi="Arial" w:cs="Arial"/>
        </w:rPr>
        <w:t>f an incident where there was a</w:t>
      </w:r>
      <w:r>
        <w:rPr>
          <w:rFonts w:ascii="Arial" w:hAnsi="Arial" w:cs="Arial"/>
        </w:rPr>
        <w:t xml:space="preserve"> </w:t>
      </w:r>
      <w:r w:rsidR="00260BFE">
        <w:rPr>
          <w:rFonts w:ascii="Arial" w:hAnsi="Arial" w:cs="Arial"/>
        </w:rPr>
        <w:t>collision with his</w:t>
      </w:r>
      <w:r>
        <w:rPr>
          <w:rFonts w:ascii="Arial" w:hAnsi="Arial" w:cs="Arial"/>
        </w:rPr>
        <w:t xml:space="preserve"> vehicle </w:t>
      </w:r>
      <w:r w:rsidR="00260BFE">
        <w:rPr>
          <w:rFonts w:ascii="Arial" w:hAnsi="Arial" w:cs="Arial"/>
        </w:rPr>
        <w:t xml:space="preserve">and </w:t>
      </w:r>
      <w:r>
        <w:rPr>
          <w:rFonts w:ascii="Arial" w:hAnsi="Arial" w:cs="Arial"/>
        </w:rPr>
        <w:t>where after he was nearly killed</w:t>
      </w:r>
      <w:r w:rsidR="00260BFE">
        <w:rPr>
          <w:rFonts w:ascii="Arial" w:hAnsi="Arial" w:cs="Arial"/>
        </w:rPr>
        <w:t>. A</w:t>
      </w:r>
      <w:r>
        <w:rPr>
          <w:rFonts w:ascii="Arial" w:hAnsi="Arial" w:cs="Arial"/>
        </w:rPr>
        <w:t xml:space="preserve">s might be expected of someone in his position, the logical thing to </w:t>
      </w:r>
      <w:r w:rsidR="008009E8">
        <w:rPr>
          <w:rFonts w:ascii="Arial" w:hAnsi="Arial" w:cs="Arial"/>
        </w:rPr>
        <w:t>have done</w:t>
      </w:r>
      <w:r>
        <w:rPr>
          <w:rFonts w:ascii="Arial" w:hAnsi="Arial" w:cs="Arial"/>
        </w:rPr>
        <w:t xml:space="preserve"> in those circumstances was to report it to the police</w:t>
      </w:r>
      <w:r w:rsidR="003B60C9">
        <w:rPr>
          <w:rFonts w:ascii="Arial" w:hAnsi="Arial" w:cs="Arial"/>
        </w:rPr>
        <w:t xml:space="preserve">, moreover where he had </w:t>
      </w:r>
      <w:r w:rsidR="00260BFE">
        <w:rPr>
          <w:rFonts w:ascii="Arial" w:hAnsi="Arial" w:cs="Arial"/>
        </w:rPr>
        <w:t>to use</w:t>
      </w:r>
      <w:r w:rsidR="003B60C9">
        <w:rPr>
          <w:rFonts w:ascii="Arial" w:hAnsi="Arial" w:cs="Arial"/>
        </w:rPr>
        <w:t xml:space="preserve"> his firearm </w:t>
      </w:r>
      <w:r w:rsidR="00260BFE">
        <w:rPr>
          <w:rFonts w:ascii="Arial" w:hAnsi="Arial" w:cs="Arial"/>
        </w:rPr>
        <w:t>to defend himself against an unlawful attack</w:t>
      </w:r>
      <w:r>
        <w:rPr>
          <w:rFonts w:ascii="Arial" w:hAnsi="Arial" w:cs="Arial"/>
        </w:rPr>
        <w:t>. This the accused did not do</w:t>
      </w:r>
      <w:r w:rsidR="003B60C9">
        <w:rPr>
          <w:rFonts w:ascii="Arial" w:hAnsi="Arial" w:cs="Arial"/>
        </w:rPr>
        <w:t xml:space="preserve">, saying he just wanted to get away and did not deem it necessary to go to the police. No logical explanation was advanced as to why he did not drop Fenola off before going to his </w:t>
      </w:r>
      <w:r w:rsidR="00346321">
        <w:rPr>
          <w:rFonts w:ascii="Arial" w:hAnsi="Arial" w:cs="Arial"/>
        </w:rPr>
        <w:t xml:space="preserve">uninhabited </w:t>
      </w:r>
      <w:r w:rsidR="003B60C9">
        <w:rPr>
          <w:rFonts w:ascii="Arial" w:hAnsi="Arial" w:cs="Arial"/>
        </w:rPr>
        <w:t xml:space="preserve">house in Hochland Park </w:t>
      </w:r>
      <w:r w:rsidR="00346321">
        <w:rPr>
          <w:rFonts w:ascii="Arial" w:hAnsi="Arial" w:cs="Arial"/>
        </w:rPr>
        <w:t>besides it being</w:t>
      </w:r>
      <w:r w:rsidR="003B60C9">
        <w:rPr>
          <w:rFonts w:ascii="Arial" w:hAnsi="Arial" w:cs="Arial"/>
        </w:rPr>
        <w:t xml:space="preserve"> closest. According to her </w:t>
      </w:r>
      <w:r w:rsidR="00346321">
        <w:rPr>
          <w:rFonts w:ascii="Arial" w:hAnsi="Arial" w:cs="Arial"/>
        </w:rPr>
        <w:t>t</w:t>
      </w:r>
      <w:r w:rsidR="003B60C9">
        <w:rPr>
          <w:rFonts w:ascii="Arial" w:hAnsi="Arial" w:cs="Arial"/>
        </w:rPr>
        <w:t xml:space="preserve">he </w:t>
      </w:r>
      <w:r w:rsidR="00346321">
        <w:rPr>
          <w:rFonts w:ascii="Arial" w:hAnsi="Arial" w:cs="Arial"/>
        </w:rPr>
        <w:t>accused said they should switch vehicles where after he would</w:t>
      </w:r>
      <w:r w:rsidR="003B60C9">
        <w:rPr>
          <w:rFonts w:ascii="Arial" w:hAnsi="Arial" w:cs="Arial"/>
        </w:rPr>
        <w:t xml:space="preserve"> take her to the hospital</w:t>
      </w:r>
      <w:r w:rsidR="00346321">
        <w:rPr>
          <w:rFonts w:ascii="Arial" w:hAnsi="Arial" w:cs="Arial"/>
        </w:rPr>
        <w:t>; this he never did</w:t>
      </w:r>
      <w:r w:rsidR="003B60C9">
        <w:rPr>
          <w:rFonts w:ascii="Arial" w:hAnsi="Arial" w:cs="Arial"/>
        </w:rPr>
        <w:t xml:space="preserve">. </w:t>
      </w:r>
      <w:r w:rsidR="00D7289D">
        <w:rPr>
          <w:rFonts w:ascii="Arial" w:hAnsi="Arial" w:cs="Arial"/>
        </w:rPr>
        <w:t xml:space="preserve">The fact that he parked the damaged vehicle with the rear end out of sight from </w:t>
      </w:r>
      <w:r w:rsidR="00D7289D">
        <w:rPr>
          <w:rFonts w:ascii="Arial" w:hAnsi="Arial" w:cs="Arial"/>
        </w:rPr>
        <w:lastRenderedPageBreak/>
        <w:t>the street; that he did not return home to his family</w:t>
      </w:r>
      <w:r w:rsidR="00E93731">
        <w:rPr>
          <w:rFonts w:ascii="Arial" w:hAnsi="Arial" w:cs="Arial"/>
        </w:rPr>
        <w:t xml:space="preserve"> and wanted to isolate himself</w:t>
      </w:r>
      <w:r w:rsidR="00D7289D">
        <w:rPr>
          <w:rFonts w:ascii="Arial" w:hAnsi="Arial" w:cs="Arial"/>
        </w:rPr>
        <w:t xml:space="preserve">; had switched off his cell phone to avoid </w:t>
      </w:r>
      <w:r w:rsidR="00E93731">
        <w:rPr>
          <w:rFonts w:ascii="Arial" w:hAnsi="Arial" w:cs="Arial"/>
        </w:rPr>
        <w:t xml:space="preserve">outside </w:t>
      </w:r>
      <w:r w:rsidR="008009E8">
        <w:rPr>
          <w:rFonts w:ascii="Arial" w:hAnsi="Arial" w:cs="Arial"/>
        </w:rPr>
        <w:t>contact and, on</w:t>
      </w:r>
      <w:r w:rsidR="00D7289D">
        <w:rPr>
          <w:rFonts w:ascii="Arial" w:hAnsi="Arial" w:cs="Arial"/>
        </w:rPr>
        <w:t xml:space="preserve"> Fenola’s evidence, removed the registration plates and licence disc, is rather indicative of s</w:t>
      </w:r>
      <w:r w:rsidR="00E93731">
        <w:rPr>
          <w:rFonts w:ascii="Arial" w:hAnsi="Arial" w:cs="Arial"/>
        </w:rPr>
        <w:t>omeone with a guilty mind</w:t>
      </w:r>
      <w:r w:rsidR="008009E8">
        <w:rPr>
          <w:rFonts w:ascii="Arial" w:hAnsi="Arial" w:cs="Arial"/>
        </w:rPr>
        <w:t>;</w:t>
      </w:r>
      <w:r w:rsidR="00E93731">
        <w:rPr>
          <w:rFonts w:ascii="Arial" w:hAnsi="Arial" w:cs="Arial"/>
        </w:rPr>
        <w:t xml:space="preserve"> </w:t>
      </w:r>
      <w:r w:rsidR="008009E8">
        <w:rPr>
          <w:rFonts w:ascii="Arial" w:hAnsi="Arial" w:cs="Arial"/>
        </w:rPr>
        <w:t>a person who has something to hide</w:t>
      </w:r>
      <w:r w:rsidR="00E93731">
        <w:rPr>
          <w:rFonts w:ascii="Arial" w:hAnsi="Arial" w:cs="Arial"/>
        </w:rPr>
        <w:t xml:space="preserve"> </w:t>
      </w:r>
      <w:r w:rsidR="008009E8">
        <w:rPr>
          <w:rFonts w:ascii="Arial" w:hAnsi="Arial" w:cs="Arial"/>
        </w:rPr>
        <w:t xml:space="preserve">and not the behaviour </w:t>
      </w:r>
      <w:r w:rsidR="00D7289D">
        <w:rPr>
          <w:rFonts w:ascii="Arial" w:hAnsi="Arial" w:cs="Arial"/>
        </w:rPr>
        <w:t xml:space="preserve">of a person being anxious and in shock. Add thereto him </w:t>
      </w:r>
      <w:r w:rsidR="001A5003">
        <w:rPr>
          <w:rFonts w:ascii="Arial" w:hAnsi="Arial" w:cs="Arial"/>
        </w:rPr>
        <w:t>having moved</w:t>
      </w:r>
      <w:r w:rsidR="00D7289D">
        <w:rPr>
          <w:rFonts w:ascii="Arial" w:hAnsi="Arial" w:cs="Arial"/>
        </w:rPr>
        <w:t xml:space="preserve"> the vehicle the next day to the house of his former girlfriend where it was </w:t>
      </w:r>
      <w:r w:rsidR="001A5003">
        <w:rPr>
          <w:rFonts w:ascii="Arial" w:hAnsi="Arial" w:cs="Arial"/>
        </w:rPr>
        <w:t xml:space="preserve">later </w:t>
      </w:r>
      <w:r w:rsidR="00D7289D">
        <w:rPr>
          <w:rFonts w:ascii="Arial" w:hAnsi="Arial" w:cs="Arial"/>
        </w:rPr>
        <w:t>found</w:t>
      </w:r>
      <w:r w:rsidR="00346321">
        <w:rPr>
          <w:rFonts w:ascii="Arial" w:hAnsi="Arial" w:cs="Arial"/>
        </w:rPr>
        <w:t xml:space="preserve"> by the police</w:t>
      </w:r>
      <w:r w:rsidR="001A5003">
        <w:rPr>
          <w:rFonts w:ascii="Arial" w:hAnsi="Arial" w:cs="Arial"/>
        </w:rPr>
        <w:t>,</w:t>
      </w:r>
      <w:r w:rsidR="00D7289D">
        <w:rPr>
          <w:rFonts w:ascii="Arial" w:hAnsi="Arial" w:cs="Arial"/>
        </w:rPr>
        <w:t xml:space="preserve"> again parked with the damaged side out of sight and without the registration plates and licence disk</w:t>
      </w:r>
      <w:r w:rsidR="00346321">
        <w:rPr>
          <w:rFonts w:ascii="Arial" w:hAnsi="Arial" w:cs="Arial"/>
        </w:rPr>
        <w:t xml:space="preserve"> displayed</w:t>
      </w:r>
      <w:r w:rsidR="00D7289D">
        <w:rPr>
          <w:rFonts w:ascii="Arial" w:hAnsi="Arial" w:cs="Arial"/>
        </w:rPr>
        <w:t>.</w:t>
      </w:r>
    </w:p>
    <w:p w:rsidR="001A5003" w:rsidRDefault="001A5003" w:rsidP="00EA732D">
      <w:pPr>
        <w:spacing w:line="360" w:lineRule="auto"/>
        <w:jc w:val="both"/>
        <w:rPr>
          <w:rFonts w:ascii="Arial" w:hAnsi="Arial" w:cs="Arial"/>
        </w:rPr>
      </w:pPr>
    </w:p>
    <w:p w:rsidR="001A5003" w:rsidRDefault="001A5003" w:rsidP="00EA732D">
      <w:pPr>
        <w:spacing w:line="360" w:lineRule="auto"/>
        <w:jc w:val="both"/>
        <w:rPr>
          <w:rFonts w:ascii="Arial" w:hAnsi="Arial" w:cs="Arial"/>
        </w:rPr>
      </w:pPr>
      <w:r>
        <w:rPr>
          <w:rFonts w:ascii="Arial" w:hAnsi="Arial" w:cs="Arial"/>
        </w:rPr>
        <w:t>[</w:t>
      </w:r>
      <w:r w:rsidR="00911C48">
        <w:rPr>
          <w:rFonts w:ascii="Arial" w:hAnsi="Arial" w:cs="Arial"/>
        </w:rPr>
        <w:t>63</w:t>
      </w:r>
      <w:r>
        <w:rPr>
          <w:rFonts w:ascii="Arial" w:hAnsi="Arial" w:cs="Arial"/>
        </w:rPr>
        <w:t xml:space="preserve">]   On his own </w:t>
      </w:r>
      <w:r w:rsidR="00346321">
        <w:rPr>
          <w:rFonts w:ascii="Arial" w:hAnsi="Arial" w:cs="Arial"/>
        </w:rPr>
        <w:t>evidence,</w:t>
      </w:r>
      <w:r>
        <w:rPr>
          <w:rFonts w:ascii="Arial" w:hAnsi="Arial" w:cs="Arial"/>
        </w:rPr>
        <w:t xml:space="preserve"> the</w:t>
      </w:r>
      <w:r w:rsidR="00E93731">
        <w:rPr>
          <w:rFonts w:ascii="Arial" w:hAnsi="Arial" w:cs="Arial"/>
        </w:rPr>
        <w:t>se</w:t>
      </w:r>
      <w:r>
        <w:rPr>
          <w:rFonts w:ascii="Arial" w:hAnsi="Arial" w:cs="Arial"/>
        </w:rPr>
        <w:t xml:space="preserve"> events</w:t>
      </w:r>
      <w:r w:rsidR="00346321">
        <w:rPr>
          <w:rFonts w:ascii="Arial" w:hAnsi="Arial" w:cs="Arial"/>
        </w:rPr>
        <w:t xml:space="preserve"> remained unexplained and his inability</w:t>
      </w:r>
      <w:r>
        <w:rPr>
          <w:rFonts w:ascii="Arial" w:hAnsi="Arial" w:cs="Arial"/>
        </w:rPr>
        <w:t xml:space="preserve"> to give </w:t>
      </w:r>
      <w:r w:rsidR="00346321">
        <w:rPr>
          <w:rFonts w:ascii="Arial" w:hAnsi="Arial" w:cs="Arial"/>
        </w:rPr>
        <w:t>any logical explanation for such strange</w:t>
      </w:r>
      <w:r>
        <w:rPr>
          <w:rFonts w:ascii="Arial" w:hAnsi="Arial" w:cs="Arial"/>
        </w:rPr>
        <w:t xml:space="preserve"> behaviour, in my view, can only be described as out of the ordinary for someone who was not guilty of any wrongdoing and </w:t>
      </w:r>
      <w:r w:rsidR="00346321">
        <w:rPr>
          <w:rFonts w:ascii="Arial" w:hAnsi="Arial" w:cs="Arial"/>
        </w:rPr>
        <w:t xml:space="preserve">who </w:t>
      </w:r>
      <w:r>
        <w:rPr>
          <w:rFonts w:ascii="Arial" w:hAnsi="Arial" w:cs="Arial"/>
        </w:rPr>
        <w:t xml:space="preserve">had nothing to hide, as the accused claims. Neither would there have been any reason to muster courage before going to the police in order to find out what </w:t>
      </w:r>
      <w:r w:rsidR="00E93731">
        <w:rPr>
          <w:rFonts w:ascii="Arial" w:hAnsi="Arial" w:cs="Arial"/>
        </w:rPr>
        <w:t xml:space="preserve">had </w:t>
      </w:r>
      <w:r>
        <w:rPr>
          <w:rFonts w:ascii="Arial" w:hAnsi="Arial" w:cs="Arial"/>
        </w:rPr>
        <w:t>happened to the Di</w:t>
      </w:r>
      <w:r w:rsidR="00E93731">
        <w:rPr>
          <w:rFonts w:ascii="Arial" w:hAnsi="Arial" w:cs="Arial"/>
        </w:rPr>
        <w:t>scovery so t</w:t>
      </w:r>
      <w:r w:rsidR="00346321">
        <w:rPr>
          <w:rFonts w:ascii="Arial" w:hAnsi="Arial" w:cs="Arial"/>
        </w:rPr>
        <w:t>hat he could ‘make peace with [him]</w:t>
      </w:r>
      <w:r w:rsidR="00E93731">
        <w:rPr>
          <w:rFonts w:ascii="Arial" w:hAnsi="Arial" w:cs="Arial"/>
        </w:rPr>
        <w:t>self’.</w:t>
      </w:r>
      <w:r w:rsidR="00926785">
        <w:rPr>
          <w:rFonts w:ascii="Arial" w:hAnsi="Arial" w:cs="Arial"/>
        </w:rPr>
        <w:t xml:space="preserve"> </w:t>
      </w:r>
    </w:p>
    <w:p w:rsidR="00E93731" w:rsidRDefault="00E93731" w:rsidP="00EA732D">
      <w:pPr>
        <w:spacing w:line="360" w:lineRule="auto"/>
        <w:jc w:val="both"/>
        <w:rPr>
          <w:rFonts w:ascii="Arial" w:hAnsi="Arial" w:cs="Arial"/>
        </w:rPr>
      </w:pPr>
    </w:p>
    <w:p w:rsidR="00E93731" w:rsidRDefault="00E93731" w:rsidP="00EA732D">
      <w:pPr>
        <w:spacing w:line="360" w:lineRule="auto"/>
        <w:jc w:val="both"/>
        <w:rPr>
          <w:rFonts w:ascii="Arial" w:hAnsi="Arial" w:cs="Arial"/>
        </w:rPr>
      </w:pPr>
      <w:r>
        <w:rPr>
          <w:rFonts w:ascii="Arial" w:hAnsi="Arial" w:cs="Arial"/>
        </w:rPr>
        <w:t>[</w:t>
      </w:r>
      <w:r w:rsidR="00911C48">
        <w:rPr>
          <w:rFonts w:ascii="Arial" w:hAnsi="Arial" w:cs="Arial"/>
        </w:rPr>
        <w:t>64</w:t>
      </w:r>
      <w:r>
        <w:rPr>
          <w:rFonts w:ascii="Arial" w:hAnsi="Arial" w:cs="Arial"/>
        </w:rPr>
        <w:t xml:space="preserve">]   </w:t>
      </w:r>
      <w:r w:rsidR="00926785">
        <w:rPr>
          <w:rFonts w:ascii="Arial" w:hAnsi="Arial" w:cs="Arial"/>
        </w:rPr>
        <w:t>Despite the accused’s evidence to the contrary and his explanation of having been in shock when he so acted, the only reasonable inference to draw from the proved facts is that the accused</w:t>
      </w:r>
      <w:r w:rsidR="00346321">
        <w:rPr>
          <w:rFonts w:ascii="Arial" w:hAnsi="Arial" w:cs="Arial"/>
        </w:rPr>
        <w:t>,</w:t>
      </w:r>
      <w:r w:rsidR="00926785">
        <w:rPr>
          <w:rFonts w:ascii="Arial" w:hAnsi="Arial" w:cs="Arial"/>
        </w:rPr>
        <w:t xml:space="preserve"> from the outset</w:t>
      </w:r>
      <w:r w:rsidR="00346321">
        <w:rPr>
          <w:rFonts w:ascii="Arial" w:hAnsi="Arial" w:cs="Arial"/>
        </w:rPr>
        <w:t>,</w:t>
      </w:r>
      <w:r w:rsidR="00926785">
        <w:rPr>
          <w:rFonts w:ascii="Arial" w:hAnsi="Arial" w:cs="Arial"/>
        </w:rPr>
        <w:t xml:space="preserve"> appreciated the wrongfulness of his actions and until he decided to turn himself in after three days, did everything possible to avoid his arrest</w:t>
      </w:r>
      <w:r w:rsidR="00346321">
        <w:rPr>
          <w:rFonts w:ascii="Arial" w:hAnsi="Arial" w:cs="Arial"/>
        </w:rPr>
        <w:t xml:space="preserve"> or to have the vehicle he had been driving traced</w:t>
      </w:r>
      <w:r w:rsidR="00804F75">
        <w:rPr>
          <w:rFonts w:ascii="Arial" w:hAnsi="Arial" w:cs="Arial"/>
        </w:rPr>
        <w:t>. To this end there can be no doubt that his conduct</w:t>
      </w:r>
      <w:r w:rsidR="00346321">
        <w:rPr>
          <w:rFonts w:ascii="Arial" w:hAnsi="Arial" w:cs="Arial"/>
        </w:rPr>
        <w:t>,</w:t>
      </w:r>
      <w:r w:rsidR="00804F75">
        <w:rPr>
          <w:rFonts w:ascii="Arial" w:hAnsi="Arial" w:cs="Arial"/>
        </w:rPr>
        <w:t xml:space="preserve"> as set out above</w:t>
      </w:r>
      <w:r w:rsidR="00346321">
        <w:rPr>
          <w:rFonts w:ascii="Arial" w:hAnsi="Arial" w:cs="Arial"/>
        </w:rPr>
        <w:t>,</w:t>
      </w:r>
      <w:r w:rsidR="00804F75">
        <w:rPr>
          <w:rFonts w:ascii="Arial" w:hAnsi="Arial" w:cs="Arial"/>
        </w:rPr>
        <w:t xml:space="preserve"> was aimed at frustrating and interfering with police investigations into the accident and death of the deceased</w:t>
      </w:r>
      <w:r w:rsidR="00346321">
        <w:rPr>
          <w:rFonts w:ascii="Arial" w:hAnsi="Arial" w:cs="Arial"/>
        </w:rPr>
        <w:t>,</w:t>
      </w:r>
      <w:r w:rsidR="00804F75">
        <w:rPr>
          <w:rFonts w:ascii="Arial" w:hAnsi="Arial" w:cs="Arial"/>
        </w:rPr>
        <w:t xml:space="preserve"> and cannot be attributed to </w:t>
      </w:r>
      <w:r w:rsidR="00346321">
        <w:rPr>
          <w:rFonts w:ascii="Arial" w:hAnsi="Arial" w:cs="Arial"/>
        </w:rPr>
        <w:t xml:space="preserve">him </w:t>
      </w:r>
      <w:r w:rsidR="00804F75">
        <w:rPr>
          <w:rFonts w:ascii="Arial" w:hAnsi="Arial" w:cs="Arial"/>
        </w:rPr>
        <w:t>having acted whilst in shock, an excuse that</w:t>
      </w:r>
      <w:r w:rsidR="008009E8">
        <w:rPr>
          <w:rFonts w:ascii="Arial" w:hAnsi="Arial" w:cs="Arial"/>
        </w:rPr>
        <w:t>, in my view,</w:t>
      </w:r>
      <w:r w:rsidR="00346321">
        <w:rPr>
          <w:rFonts w:ascii="Arial" w:hAnsi="Arial" w:cs="Arial"/>
        </w:rPr>
        <w:t xml:space="preserve"> can safely be rejected as</w:t>
      </w:r>
      <w:r w:rsidR="00804F75">
        <w:rPr>
          <w:rFonts w:ascii="Arial" w:hAnsi="Arial" w:cs="Arial"/>
        </w:rPr>
        <w:t xml:space="preserve"> false. </w:t>
      </w:r>
    </w:p>
    <w:p w:rsidR="00804F75" w:rsidRDefault="00804F75" w:rsidP="00EA732D">
      <w:pPr>
        <w:spacing w:line="360" w:lineRule="auto"/>
        <w:jc w:val="both"/>
        <w:rPr>
          <w:rFonts w:ascii="Arial" w:hAnsi="Arial" w:cs="Arial"/>
        </w:rPr>
      </w:pPr>
    </w:p>
    <w:p w:rsidR="00804F75" w:rsidRDefault="00804F75" w:rsidP="00EA732D">
      <w:pPr>
        <w:spacing w:line="360" w:lineRule="auto"/>
        <w:jc w:val="both"/>
        <w:rPr>
          <w:rFonts w:ascii="Arial" w:hAnsi="Arial" w:cs="Arial"/>
        </w:rPr>
      </w:pPr>
      <w:r>
        <w:rPr>
          <w:rFonts w:ascii="Arial" w:hAnsi="Arial" w:cs="Arial"/>
        </w:rPr>
        <w:t>[</w:t>
      </w:r>
      <w:r w:rsidR="00911C48">
        <w:rPr>
          <w:rFonts w:ascii="Arial" w:hAnsi="Arial" w:cs="Arial"/>
        </w:rPr>
        <w:t>65</w:t>
      </w:r>
      <w:r>
        <w:rPr>
          <w:rFonts w:ascii="Arial" w:hAnsi="Arial" w:cs="Arial"/>
        </w:rPr>
        <w:t>]   Whereas the</w:t>
      </w:r>
      <w:r w:rsidR="00567C6D">
        <w:rPr>
          <w:rFonts w:ascii="Arial" w:hAnsi="Arial" w:cs="Arial"/>
        </w:rPr>
        <w:t xml:space="preserve">re is no evidence that the accused destroyed or discarded evidence relevant to the investigation, the completed offence of defeating or obstructing the course of justice had not been proved. Although the accused cooperated by handing over the firearm used in the commission of the offence and directed the police to where the Polo vehicle was parked, there was until </w:t>
      </w:r>
      <w:r w:rsidR="00567C6D">
        <w:rPr>
          <w:rFonts w:ascii="Arial" w:hAnsi="Arial" w:cs="Arial"/>
        </w:rPr>
        <w:lastRenderedPageBreak/>
        <w:t>then, a clear attempt on his part to defeat or obstruct the ends of justice. The accused accordingly stands to be convicted for attempting to do so.</w:t>
      </w:r>
    </w:p>
    <w:p w:rsidR="00567C6D" w:rsidRDefault="00567C6D" w:rsidP="00EA732D">
      <w:pPr>
        <w:spacing w:line="360" w:lineRule="auto"/>
        <w:jc w:val="both"/>
        <w:rPr>
          <w:rFonts w:ascii="Arial" w:hAnsi="Arial" w:cs="Arial"/>
        </w:rPr>
      </w:pPr>
    </w:p>
    <w:p w:rsidR="00567C6D" w:rsidRDefault="00567C6D" w:rsidP="00EA732D">
      <w:pPr>
        <w:spacing w:line="360" w:lineRule="auto"/>
        <w:jc w:val="both"/>
        <w:rPr>
          <w:rFonts w:ascii="Arial" w:hAnsi="Arial" w:cs="Arial"/>
        </w:rPr>
      </w:pPr>
      <w:r>
        <w:rPr>
          <w:rFonts w:ascii="Arial" w:hAnsi="Arial" w:cs="Arial"/>
        </w:rPr>
        <w:t>[</w:t>
      </w:r>
      <w:r w:rsidR="00911C48">
        <w:rPr>
          <w:rFonts w:ascii="Arial" w:hAnsi="Arial" w:cs="Arial"/>
        </w:rPr>
        <w:t>66</w:t>
      </w:r>
      <w:r>
        <w:rPr>
          <w:rFonts w:ascii="Arial" w:hAnsi="Arial" w:cs="Arial"/>
        </w:rPr>
        <w:t>]   In the result, it is ordered:</w:t>
      </w:r>
    </w:p>
    <w:p w:rsidR="00567C6D" w:rsidRDefault="00567C6D" w:rsidP="00EA732D">
      <w:pPr>
        <w:spacing w:line="360" w:lineRule="auto"/>
        <w:jc w:val="both"/>
        <w:rPr>
          <w:rFonts w:ascii="Arial" w:hAnsi="Arial" w:cs="Arial"/>
        </w:rPr>
      </w:pPr>
    </w:p>
    <w:p w:rsidR="00567C6D" w:rsidRDefault="00567C6D" w:rsidP="00EA732D">
      <w:pPr>
        <w:spacing w:line="360" w:lineRule="auto"/>
        <w:jc w:val="both"/>
        <w:rPr>
          <w:rFonts w:ascii="Arial" w:hAnsi="Arial" w:cs="Arial"/>
        </w:rPr>
      </w:pPr>
      <w:r>
        <w:rPr>
          <w:rFonts w:ascii="Arial" w:hAnsi="Arial" w:cs="Arial"/>
        </w:rPr>
        <w:t>Count 1: Murder – Guilty,</w:t>
      </w:r>
      <w:r w:rsidR="0011161F">
        <w:rPr>
          <w:rFonts w:ascii="Arial" w:hAnsi="Arial" w:cs="Arial"/>
        </w:rPr>
        <w:t xml:space="preserve"> acting with intent in the form of </w:t>
      </w:r>
      <w:r w:rsidR="0011161F">
        <w:rPr>
          <w:rFonts w:ascii="Arial" w:hAnsi="Arial" w:cs="Arial"/>
          <w:i/>
        </w:rPr>
        <w:t>dolus eventualis.</w:t>
      </w:r>
    </w:p>
    <w:p w:rsidR="0011161F" w:rsidRPr="0011161F" w:rsidRDefault="0011161F" w:rsidP="00EA732D">
      <w:pPr>
        <w:spacing w:line="360" w:lineRule="auto"/>
        <w:jc w:val="both"/>
        <w:rPr>
          <w:rFonts w:ascii="Arial" w:hAnsi="Arial" w:cs="Arial"/>
        </w:rPr>
      </w:pPr>
      <w:r>
        <w:rPr>
          <w:rFonts w:ascii="Arial" w:hAnsi="Arial" w:cs="Arial"/>
        </w:rPr>
        <w:t>Count 2: Attempting to defeat or obstruct the course of justice – Guilty.</w:t>
      </w:r>
    </w:p>
    <w:p w:rsidR="00FB0DD4" w:rsidRDefault="00FB0DD4" w:rsidP="00EA732D">
      <w:pPr>
        <w:spacing w:line="360" w:lineRule="auto"/>
        <w:jc w:val="both"/>
        <w:rPr>
          <w:rFonts w:ascii="Arial" w:hAnsi="Arial" w:cs="Arial"/>
        </w:rPr>
      </w:pPr>
    </w:p>
    <w:p w:rsidR="007F60A3" w:rsidRPr="006B344C" w:rsidRDefault="007F60A3" w:rsidP="006B344C">
      <w:pPr>
        <w:spacing w:line="360" w:lineRule="auto"/>
        <w:rPr>
          <w:rFonts w:ascii="Arial" w:hAnsi="Arial" w:cs="Arial"/>
        </w:rPr>
      </w:pPr>
    </w:p>
    <w:p w:rsidR="007F60A3" w:rsidRPr="006B344C" w:rsidRDefault="007F60A3" w:rsidP="006B344C">
      <w:pPr>
        <w:spacing w:line="360" w:lineRule="auto"/>
        <w:rPr>
          <w:rFonts w:ascii="Arial" w:hAnsi="Arial" w:cs="Arial"/>
        </w:rPr>
      </w:pPr>
    </w:p>
    <w:p w:rsidR="00A92D68" w:rsidRPr="006B344C" w:rsidRDefault="00A92D68" w:rsidP="006B344C">
      <w:pPr>
        <w:spacing w:line="360" w:lineRule="auto"/>
        <w:jc w:val="both"/>
        <w:rPr>
          <w:rFonts w:ascii="Arial" w:hAnsi="Arial" w:cs="Arial"/>
          <w:b/>
        </w:rPr>
      </w:pPr>
    </w:p>
    <w:p w:rsidR="00A92D68" w:rsidRPr="006B344C" w:rsidRDefault="00A92D68" w:rsidP="006B344C">
      <w:pPr>
        <w:spacing w:line="360" w:lineRule="auto"/>
        <w:jc w:val="both"/>
        <w:rPr>
          <w:rFonts w:ascii="Arial" w:hAnsi="Arial" w:cs="Arial"/>
          <w:b/>
        </w:rPr>
      </w:pPr>
    </w:p>
    <w:p w:rsidR="004F77FE" w:rsidRPr="006B344C" w:rsidRDefault="002B451A" w:rsidP="006B344C">
      <w:pPr>
        <w:spacing w:line="360" w:lineRule="auto"/>
        <w:jc w:val="right"/>
        <w:rPr>
          <w:rFonts w:ascii="Arial" w:hAnsi="Arial" w:cs="Arial"/>
          <w:b/>
        </w:rPr>
      </w:pPr>
      <w:r w:rsidRPr="006B344C">
        <w:rPr>
          <w:rFonts w:ascii="Arial" w:hAnsi="Arial" w:cs="Arial"/>
          <w:b/>
        </w:rPr>
        <w:t>__________________</w:t>
      </w:r>
    </w:p>
    <w:p w:rsidR="004F77FE" w:rsidRPr="0028196B" w:rsidRDefault="002B451A" w:rsidP="006B344C">
      <w:pPr>
        <w:spacing w:line="360" w:lineRule="auto"/>
        <w:jc w:val="right"/>
        <w:rPr>
          <w:rFonts w:ascii="Arial" w:hAnsi="Arial" w:cs="Arial"/>
        </w:rPr>
      </w:pPr>
      <w:r w:rsidRPr="0028196B">
        <w:rPr>
          <w:rFonts w:ascii="Arial" w:hAnsi="Arial" w:cs="Arial"/>
        </w:rPr>
        <w:t>JC LIEBENBERG</w:t>
      </w:r>
    </w:p>
    <w:p w:rsidR="002B451A" w:rsidRPr="006B344C" w:rsidRDefault="002B451A" w:rsidP="006B344C">
      <w:pPr>
        <w:spacing w:line="360" w:lineRule="auto"/>
        <w:jc w:val="right"/>
        <w:rPr>
          <w:rFonts w:ascii="Arial" w:hAnsi="Arial" w:cs="Arial"/>
        </w:rPr>
      </w:pPr>
      <w:r w:rsidRPr="006B344C">
        <w:rPr>
          <w:rFonts w:ascii="Arial" w:hAnsi="Arial" w:cs="Arial"/>
        </w:rPr>
        <w:t>JUDGE</w:t>
      </w:r>
    </w:p>
    <w:p w:rsidR="00D5553F" w:rsidRPr="006B344C" w:rsidRDefault="00D5553F" w:rsidP="006B344C">
      <w:pPr>
        <w:spacing w:line="360" w:lineRule="auto"/>
        <w:jc w:val="right"/>
        <w:rPr>
          <w:rFonts w:ascii="Arial" w:hAnsi="Arial" w:cs="Arial"/>
        </w:rPr>
      </w:pPr>
    </w:p>
    <w:p w:rsidR="00D5553F" w:rsidRPr="006B344C" w:rsidRDefault="00D5553F" w:rsidP="006B344C">
      <w:pPr>
        <w:spacing w:line="360" w:lineRule="auto"/>
        <w:jc w:val="right"/>
        <w:rPr>
          <w:rFonts w:ascii="Arial" w:hAnsi="Arial" w:cs="Arial"/>
        </w:rPr>
      </w:pPr>
    </w:p>
    <w:p w:rsidR="00D5553F" w:rsidRPr="006B344C" w:rsidRDefault="00D5553F" w:rsidP="006B344C">
      <w:pPr>
        <w:spacing w:line="360" w:lineRule="auto"/>
        <w:jc w:val="right"/>
        <w:rPr>
          <w:rFonts w:ascii="Arial" w:hAnsi="Arial" w:cs="Arial"/>
        </w:rPr>
      </w:pPr>
    </w:p>
    <w:p w:rsidR="00D5553F" w:rsidRPr="006B344C" w:rsidRDefault="00D5553F" w:rsidP="006B344C">
      <w:pPr>
        <w:spacing w:line="360" w:lineRule="auto"/>
        <w:jc w:val="right"/>
        <w:rPr>
          <w:rFonts w:ascii="Arial" w:hAnsi="Arial" w:cs="Arial"/>
        </w:rPr>
      </w:pPr>
    </w:p>
    <w:p w:rsidR="00D5553F" w:rsidRPr="006B344C" w:rsidRDefault="00D5553F" w:rsidP="006B344C">
      <w:pPr>
        <w:spacing w:line="360" w:lineRule="auto"/>
        <w:jc w:val="right"/>
        <w:rPr>
          <w:rFonts w:ascii="Arial" w:hAnsi="Arial" w:cs="Arial"/>
        </w:rPr>
      </w:pPr>
    </w:p>
    <w:p w:rsidR="00D5553F" w:rsidRPr="006B344C" w:rsidRDefault="00D5553F" w:rsidP="006B344C">
      <w:pPr>
        <w:spacing w:line="360" w:lineRule="auto"/>
        <w:jc w:val="right"/>
        <w:rPr>
          <w:rFonts w:ascii="Arial" w:hAnsi="Arial" w:cs="Arial"/>
        </w:rPr>
      </w:pPr>
    </w:p>
    <w:p w:rsidR="00D5553F" w:rsidRPr="006B344C" w:rsidRDefault="00D5553F" w:rsidP="006B344C">
      <w:pPr>
        <w:spacing w:line="360" w:lineRule="auto"/>
        <w:jc w:val="right"/>
        <w:rPr>
          <w:rFonts w:ascii="Arial" w:hAnsi="Arial" w:cs="Arial"/>
        </w:rPr>
      </w:pPr>
    </w:p>
    <w:p w:rsidR="00D5553F" w:rsidRPr="006B344C" w:rsidRDefault="00D5553F" w:rsidP="006B344C">
      <w:pPr>
        <w:spacing w:line="360" w:lineRule="auto"/>
        <w:jc w:val="right"/>
        <w:rPr>
          <w:rFonts w:ascii="Arial" w:hAnsi="Arial" w:cs="Arial"/>
        </w:rPr>
      </w:pPr>
    </w:p>
    <w:p w:rsidR="008009E8" w:rsidRDefault="008009E8" w:rsidP="006B344C">
      <w:pPr>
        <w:spacing w:line="360" w:lineRule="auto"/>
        <w:jc w:val="both"/>
        <w:rPr>
          <w:rFonts w:ascii="Arial" w:hAnsi="Arial" w:cs="Arial"/>
        </w:rPr>
      </w:pPr>
    </w:p>
    <w:p w:rsidR="008009E8" w:rsidRDefault="008009E8" w:rsidP="006B344C">
      <w:pPr>
        <w:spacing w:line="360" w:lineRule="auto"/>
        <w:jc w:val="both"/>
        <w:rPr>
          <w:rFonts w:ascii="Arial" w:hAnsi="Arial" w:cs="Arial"/>
        </w:rPr>
      </w:pPr>
    </w:p>
    <w:p w:rsidR="008009E8" w:rsidRDefault="008009E8" w:rsidP="006B344C">
      <w:pPr>
        <w:spacing w:line="360" w:lineRule="auto"/>
        <w:jc w:val="both"/>
        <w:rPr>
          <w:rFonts w:ascii="Arial" w:hAnsi="Arial" w:cs="Arial"/>
        </w:rPr>
      </w:pPr>
    </w:p>
    <w:p w:rsidR="008009E8" w:rsidRDefault="008009E8" w:rsidP="006B344C">
      <w:pPr>
        <w:spacing w:line="360" w:lineRule="auto"/>
        <w:jc w:val="both"/>
        <w:rPr>
          <w:rFonts w:ascii="Arial" w:hAnsi="Arial" w:cs="Arial"/>
        </w:rPr>
      </w:pPr>
    </w:p>
    <w:p w:rsidR="008009E8" w:rsidRDefault="008009E8" w:rsidP="006B344C">
      <w:pPr>
        <w:spacing w:line="360" w:lineRule="auto"/>
        <w:jc w:val="both"/>
        <w:rPr>
          <w:rFonts w:ascii="Arial" w:hAnsi="Arial" w:cs="Arial"/>
        </w:rPr>
      </w:pPr>
    </w:p>
    <w:p w:rsidR="008009E8" w:rsidRDefault="008009E8" w:rsidP="006B344C">
      <w:pPr>
        <w:spacing w:line="360" w:lineRule="auto"/>
        <w:jc w:val="both"/>
        <w:rPr>
          <w:rFonts w:ascii="Arial" w:hAnsi="Arial" w:cs="Arial"/>
        </w:rPr>
      </w:pPr>
    </w:p>
    <w:p w:rsidR="008009E8" w:rsidRDefault="008009E8" w:rsidP="006B344C">
      <w:pPr>
        <w:spacing w:line="360" w:lineRule="auto"/>
        <w:jc w:val="both"/>
        <w:rPr>
          <w:rFonts w:ascii="Arial" w:hAnsi="Arial" w:cs="Arial"/>
        </w:rPr>
      </w:pPr>
    </w:p>
    <w:p w:rsidR="008009E8" w:rsidRDefault="008009E8" w:rsidP="006B344C">
      <w:pPr>
        <w:spacing w:line="360" w:lineRule="auto"/>
        <w:jc w:val="both"/>
        <w:rPr>
          <w:rFonts w:ascii="Arial" w:hAnsi="Arial" w:cs="Arial"/>
        </w:rPr>
      </w:pPr>
    </w:p>
    <w:p w:rsidR="008009E8" w:rsidRDefault="008009E8" w:rsidP="006B344C">
      <w:pPr>
        <w:spacing w:line="360" w:lineRule="auto"/>
        <w:jc w:val="both"/>
        <w:rPr>
          <w:rFonts w:ascii="Arial" w:hAnsi="Arial" w:cs="Arial"/>
        </w:rPr>
      </w:pPr>
    </w:p>
    <w:p w:rsidR="008009E8" w:rsidRDefault="008009E8" w:rsidP="006B344C">
      <w:pPr>
        <w:spacing w:line="360" w:lineRule="auto"/>
        <w:jc w:val="both"/>
        <w:rPr>
          <w:rFonts w:ascii="Arial" w:hAnsi="Arial" w:cs="Arial"/>
        </w:rPr>
      </w:pPr>
    </w:p>
    <w:p w:rsidR="008009E8" w:rsidRDefault="008009E8" w:rsidP="006B344C">
      <w:pPr>
        <w:spacing w:line="360" w:lineRule="auto"/>
        <w:jc w:val="both"/>
        <w:rPr>
          <w:rFonts w:ascii="Arial" w:hAnsi="Arial" w:cs="Arial"/>
        </w:rPr>
      </w:pPr>
    </w:p>
    <w:p w:rsidR="008009E8" w:rsidRDefault="008009E8" w:rsidP="006B344C">
      <w:pPr>
        <w:spacing w:line="360" w:lineRule="auto"/>
        <w:jc w:val="both"/>
        <w:rPr>
          <w:rFonts w:ascii="Arial" w:hAnsi="Arial" w:cs="Arial"/>
        </w:rPr>
      </w:pPr>
    </w:p>
    <w:p w:rsidR="00996273" w:rsidRPr="006B344C" w:rsidRDefault="00D5553F" w:rsidP="006B344C">
      <w:pPr>
        <w:spacing w:line="360" w:lineRule="auto"/>
        <w:jc w:val="both"/>
        <w:rPr>
          <w:rFonts w:ascii="Arial" w:hAnsi="Arial" w:cs="Arial"/>
        </w:rPr>
      </w:pPr>
      <w:r w:rsidRPr="006B344C">
        <w:rPr>
          <w:rFonts w:ascii="Arial" w:hAnsi="Arial" w:cs="Arial"/>
        </w:rPr>
        <w:t>APPEARANCES</w:t>
      </w:r>
    </w:p>
    <w:p w:rsidR="00D5553F" w:rsidRPr="006B344C" w:rsidRDefault="00D5553F" w:rsidP="006B344C">
      <w:pPr>
        <w:spacing w:line="360" w:lineRule="auto"/>
        <w:jc w:val="both"/>
        <w:rPr>
          <w:rFonts w:ascii="Arial" w:hAnsi="Arial" w:cs="Arial"/>
        </w:rPr>
      </w:pPr>
    </w:p>
    <w:p w:rsidR="00D5553F" w:rsidRPr="006B344C" w:rsidRDefault="00E945B1" w:rsidP="006B344C">
      <w:pPr>
        <w:spacing w:line="360" w:lineRule="auto"/>
        <w:jc w:val="both"/>
        <w:rPr>
          <w:rFonts w:ascii="Arial" w:hAnsi="Arial" w:cs="Arial"/>
        </w:rPr>
      </w:pPr>
      <w:r w:rsidRPr="006B344C">
        <w:rPr>
          <w:rFonts w:ascii="Arial" w:hAnsi="Arial" w:cs="Arial"/>
        </w:rPr>
        <w:t xml:space="preserve">STATE </w:t>
      </w:r>
      <w:r w:rsidRPr="006B344C">
        <w:rPr>
          <w:rFonts w:ascii="Arial" w:hAnsi="Arial" w:cs="Arial"/>
        </w:rPr>
        <w:tab/>
      </w:r>
      <w:r w:rsidRPr="006B344C">
        <w:rPr>
          <w:rFonts w:ascii="Arial" w:hAnsi="Arial" w:cs="Arial"/>
        </w:rPr>
        <w:tab/>
      </w:r>
      <w:r w:rsidRPr="006B344C">
        <w:rPr>
          <w:rFonts w:ascii="Arial" w:hAnsi="Arial" w:cs="Arial"/>
        </w:rPr>
        <w:tab/>
      </w:r>
      <w:r w:rsidR="008009E8">
        <w:rPr>
          <w:rFonts w:ascii="Arial" w:hAnsi="Arial" w:cs="Arial"/>
        </w:rPr>
        <w:t>K Esterhuizen</w:t>
      </w:r>
    </w:p>
    <w:p w:rsidR="00E945B1" w:rsidRPr="006B344C" w:rsidRDefault="00E945B1" w:rsidP="00AA571E">
      <w:pPr>
        <w:spacing w:line="360" w:lineRule="auto"/>
        <w:ind w:left="2880"/>
        <w:jc w:val="both"/>
        <w:rPr>
          <w:rFonts w:ascii="Arial" w:hAnsi="Arial" w:cs="Arial"/>
        </w:rPr>
      </w:pPr>
      <w:r w:rsidRPr="006B344C">
        <w:rPr>
          <w:rFonts w:ascii="Arial" w:hAnsi="Arial" w:cs="Arial"/>
        </w:rPr>
        <w:t xml:space="preserve">Of the Office of </w:t>
      </w:r>
      <w:r w:rsidR="00AA571E">
        <w:rPr>
          <w:rFonts w:ascii="Arial" w:hAnsi="Arial" w:cs="Arial"/>
        </w:rPr>
        <w:t>the Prosecutor-General, Windhoek</w:t>
      </w:r>
      <w:r w:rsidRPr="006B344C">
        <w:rPr>
          <w:rFonts w:ascii="Arial" w:hAnsi="Arial" w:cs="Arial"/>
        </w:rPr>
        <w:t>.</w:t>
      </w:r>
    </w:p>
    <w:p w:rsidR="00A45224" w:rsidRPr="006B344C" w:rsidRDefault="00A45224" w:rsidP="006B344C">
      <w:pPr>
        <w:spacing w:line="360" w:lineRule="auto"/>
        <w:jc w:val="both"/>
        <w:rPr>
          <w:rFonts w:ascii="Arial" w:hAnsi="Arial" w:cs="Arial"/>
        </w:rPr>
      </w:pPr>
    </w:p>
    <w:p w:rsidR="00A45224" w:rsidRPr="006B344C" w:rsidRDefault="00A45224" w:rsidP="006B344C">
      <w:pPr>
        <w:spacing w:line="360" w:lineRule="auto"/>
        <w:jc w:val="both"/>
        <w:rPr>
          <w:rFonts w:ascii="Arial" w:hAnsi="Arial" w:cs="Arial"/>
        </w:rPr>
      </w:pPr>
      <w:r w:rsidRPr="006B344C">
        <w:rPr>
          <w:rFonts w:ascii="Arial" w:hAnsi="Arial" w:cs="Arial"/>
        </w:rPr>
        <w:t>ACCUSED</w:t>
      </w:r>
      <w:r w:rsidRPr="006B344C">
        <w:rPr>
          <w:rFonts w:ascii="Arial" w:hAnsi="Arial" w:cs="Arial"/>
        </w:rPr>
        <w:tab/>
      </w:r>
      <w:r w:rsidRPr="006B344C">
        <w:rPr>
          <w:rFonts w:ascii="Arial" w:hAnsi="Arial" w:cs="Arial"/>
        </w:rPr>
        <w:tab/>
      </w:r>
      <w:r w:rsidRPr="006B344C">
        <w:rPr>
          <w:rFonts w:ascii="Arial" w:hAnsi="Arial" w:cs="Arial"/>
        </w:rPr>
        <w:tab/>
      </w:r>
      <w:r w:rsidR="008009E8">
        <w:rPr>
          <w:rFonts w:ascii="Arial" w:hAnsi="Arial" w:cs="Arial"/>
        </w:rPr>
        <w:t>S</w:t>
      </w:r>
      <w:r w:rsidR="0008274B">
        <w:rPr>
          <w:rFonts w:ascii="Arial" w:hAnsi="Arial" w:cs="Arial"/>
        </w:rPr>
        <w:t xml:space="preserve"> S</w:t>
      </w:r>
      <w:r w:rsidR="008009E8">
        <w:rPr>
          <w:rFonts w:ascii="Arial" w:hAnsi="Arial" w:cs="Arial"/>
        </w:rPr>
        <w:t xml:space="preserve"> Makando</w:t>
      </w:r>
    </w:p>
    <w:p w:rsidR="0028453B" w:rsidRPr="006B344C" w:rsidRDefault="00911C48" w:rsidP="006B344C">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08274B">
        <w:rPr>
          <w:rFonts w:ascii="Arial" w:hAnsi="Arial" w:cs="Arial"/>
        </w:rPr>
        <w:t>Adv. S S Makando Chambers</w:t>
      </w:r>
      <w:r w:rsidR="00AA571E">
        <w:rPr>
          <w:rFonts w:ascii="Arial" w:hAnsi="Arial" w:cs="Arial"/>
        </w:rPr>
        <w:t xml:space="preserve">, </w:t>
      </w:r>
      <w:r w:rsidR="00AA571E">
        <w:rPr>
          <w:rFonts w:ascii="Arial" w:hAnsi="Arial" w:cs="Arial"/>
        </w:rPr>
        <w:tab/>
      </w:r>
      <w:r w:rsidR="00AA571E">
        <w:rPr>
          <w:rFonts w:ascii="Arial" w:hAnsi="Arial" w:cs="Arial"/>
        </w:rPr>
        <w:tab/>
      </w:r>
      <w:r w:rsidR="00AA571E">
        <w:rPr>
          <w:rFonts w:ascii="Arial" w:hAnsi="Arial" w:cs="Arial"/>
        </w:rPr>
        <w:tab/>
      </w:r>
      <w:r w:rsidR="0008274B">
        <w:rPr>
          <w:rFonts w:ascii="Arial" w:hAnsi="Arial" w:cs="Arial"/>
        </w:rPr>
        <w:tab/>
      </w:r>
      <w:r w:rsidR="0008274B">
        <w:rPr>
          <w:rFonts w:ascii="Arial" w:hAnsi="Arial" w:cs="Arial"/>
        </w:rPr>
        <w:tab/>
      </w:r>
      <w:r w:rsidR="00AA571E">
        <w:rPr>
          <w:rFonts w:ascii="Arial" w:hAnsi="Arial" w:cs="Arial"/>
        </w:rPr>
        <w:tab/>
      </w:r>
      <w:r w:rsidR="00AA571E">
        <w:rPr>
          <w:rFonts w:ascii="Arial" w:hAnsi="Arial" w:cs="Arial"/>
        </w:rPr>
        <w:tab/>
        <w:t>Windhoek</w:t>
      </w:r>
      <w:r w:rsidR="0028453B" w:rsidRPr="006B344C">
        <w:rPr>
          <w:rFonts w:ascii="Arial" w:hAnsi="Arial" w:cs="Arial"/>
        </w:rPr>
        <w:t>.</w:t>
      </w:r>
    </w:p>
    <w:sectPr w:rsidR="0028453B" w:rsidRPr="006B344C" w:rsidSect="005C2A66">
      <w:headerReference w:type="even" r:id="rId12"/>
      <w:headerReference w:type="defaul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900" w:rsidRDefault="005C7900">
      <w:r>
        <w:separator/>
      </w:r>
    </w:p>
  </w:endnote>
  <w:endnote w:type="continuationSeparator" w:id="0">
    <w:p w:rsidR="005C7900" w:rsidRDefault="005C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900" w:rsidRDefault="005C7900">
      <w:r>
        <w:separator/>
      </w:r>
    </w:p>
  </w:footnote>
  <w:footnote w:type="continuationSeparator" w:id="0">
    <w:p w:rsidR="005C7900" w:rsidRDefault="005C7900">
      <w:r>
        <w:continuationSeparator/>
      </w:r>
    </w:p>
  </w:footnote>
  <w:footnote w:id="1">
    <w:p w:rsidR="00E57E90" w:rsidRPr="00E57E90" w:rsidRDefault="00E57E90">
      <w:pPr>
        <w:pStyle w:val="FootnoteText"/>
        <w:rPr>
          <w:rFonts w:ascii="Arial" w:hAnsi="Arial" w:cs="Arial"/>
          <w:lang w:val="en-US"/>
        </w:rPr>
      </w:pPr>
      <w:r>
        <w:rPr>
          <w:rStyle w:val="FootnoteReference"/>
        </w:rPr>
        <w:footnoteRef/>
      </w:r>
      <w:r>
        <w:t xml:space="preserve"> </w:t>
      </w:r>
      <w:r>
        <w:rPr>
          <w:rFonts w:ascii="Arial" w:hAnsi="Arial" w:cs="Arial"/>
          <w:lang w:val="en-US"/>
        </w:rPr>
        <w:t>He has retired in the meantime.</w:t>
      </w:r>
    </w:p>
  </w:footnote>
  <w:footnote w:id="2">
    <w:p w:rsidR="00EF7D73" w:rsidRPr="00EF7D73" w:rsidRDefault="00EF7D73" w:rsidP="00EF7D73">
      <w:pPr>
        <w:pStyle w:val="FootnoteText"/>
        <w:rPr>
          <w:lang w:val="en-US"/>
        </w:rPr>
      </w:pPr>
      <w:r>
        <w:rPr>
          <w:rStyle w:val="FootnoteReference"/>
        </w:rPr>
        <w:footnoteRef/>
      </w:r>
      <w:r>
        <w:t xml:space="preserve"> </w:t>
      </w:r>
      <w:r>
        <w:rPr>
          <w:rFonts w:ascii="Arial" w:hAnsi="Arial" w:cs="Arial"/>
          <w:lang w:val="en-US"/>
        </w:rPr>
        <w:t>Reports 1952/2015/R2 marked Exhibit ‘O’ and 1952/2015/R3 marked Exhibit ‘P’ respectively.</w:t>
      </w:r>
    </w:p>
    <w:p w:rsidR="00EF7D73" w:rsidRPr="00EF7D73" w:rsidRDefault="00EF7D73">
      <w:pPr>
        <w:pStyle w:val="FootnoteText"/>
        <w:rPr>
          <w:lang w:val="en-US"/>
        </w:rPr>
      </w:pPr>
    </w:p>
  </w:footnote>
  <w:footnote w:id="3">
    <w:p w:rsidR="00FA59EF" w:rsidRPr="00FA59EF" w:rsidRDefault="00FA59EF">
      <w:pPr>
        <w:pStyle w:val="FootnoteText"/>
        <w:rPr>
          <w:rFonts w:ascii="Arial" w:hAnsi="Arial" w:cs="Arial"/>
          <w:lang w:val="en-US"/>
        </w:rPr>
      </w:pPr>
      <w:r>
        <w:rPr>
          <w:rStyle w:val="FootnoteReference"/>
        </w:rPr>
        <w:footnoteRef/>
      </w:r>
      <w:r>
        <w:t xml:space="preserve"> </w:t>
      </w:r>
      <w:r>
        <w:rPr>
          <w:rFonts w:ascii="Arial" w:hAnsi="Arial" w:cs="Arial"/>
          <w:lang w:val="en-US"/>
        </w:rPr>
        <w:t>Report 1952/2015/R1.</w:t>
      </w:r>
    </w:p>
  </w:footnote>
  <w:footnote w:id="4">
    <w:p w:rsidR="00FA59EF" w:rsidRPr="00FA59EF" w:rsidRDefault="00FA59EF">
      <w:pPr>
        <w:pStyle w:val="FootnoteText"/>
        <w:rPr>
          <w:rFonts w:ascii="Arial" w:hAnsi="Arial" w:cs="Arial"/>
          <w:lang w:val="en-US"/>
        </w:rPr>
      </w:pPr>
      <w:r>
        <w:rPr>
          <w:rStyle w:val="FootnoteReference"/>
        </w:rPr>
        <w:footnoteRef/>
      </w:r>
      <w:r>
        <w:t xml:space="preserve"> </w:t>
      </w:r>
      <w:r>
        <w:rPr>
          <w:rFonts w:ascii="Arial" w:hAnsi="Arial" w:cs="Arial"/>
          <w:lang w:val="en-US"/>
        </w:rPr>
        <w:t>Exhibit ‘K’.</w:t>
      </w:r>
    </w:p>
  </w:footnote>
  <w:footnote w:id="5">
    <w:p w:rsidR="002B53F0" w:rsidRPr="002B53F0" w:rsidRDefault="002B53F0">
      <w:pPr>
        <w:pStyle w:val="FootnoteText"/>
        <w:rPr>
          <w:rFonts w:ascii="Arial" w:hAnsi="Arial" w:cs="Arial"/>
          <w:lang w:val="en-US"/>
        </w:rPr>
      </w:pPr>
      <w:r>
        <w:rPr>
          <w:rStyle w:val="FootnoteReference"/>
        </w:rPr>
        <w:footnoteRef/>
      </w:r>
      <w:r>
        <w:t xml:space="preserve"> </w:t>
      </w:r>
      <w:r>
        <w:rPr>
          <w:rFonts w:ascii="Arial" w:hAnsi="Arial" w:cs="Arial"/>
          <w:lang w:val="en-US"/>
        </w:rPr>
        <w:t>Exhibit ‘J’.</w:t>
      </w:r>
    </w:p>
  </w:footnote>
  <w:footnote w:id="6">
    <w:p w:rsidR="00133663" w:rsidRPr="00133663" w:rsidRDefault="00133663">
      <w:pPr>
        <w:pStyle w:val="FootnoteText"/>
        <w:rPr>
          <w:rFonts w:ascii="Arial" w:hAnsi="Arial" w:cs="Arial"/>
          <w:lang w:val="en-US"/>
        </w:rPr>
      </w:pPr>
      <w:r>
        <w:rPr>
          <w:rStyle w:val="FootnoteReference"/>
        </w:rPr>
        <w:footnoteRef/>
      </w:r>
      <w:r>
        <w:t xml:space="preserve"> </w:t>
      </w:r>
      <w:r>
        <w:rPr>
          <w:rFonts w:ascii="Arial" w:hAnsi="Arial" w:cs="Arial"/>
          <w:lang w:val="en-US"/>
        </w:rPr>
        <w:t>Exhibit ‘Q’.</w:t>
      </w:r>
    </w:p>
  </w:footnote>
  <w:footnote w:id="7">
    <w:p w:rsidR="0009644C" w:rsidRPr="0009644C" w:rsidRDefault="0009644C">
      <w:pPr>
        <w:pStyle w:val="FootnoteText"/>
        <w:rPr>
          <w:lang w:val="en-US"/>
        </w:rPr>
      </w:pPr>
      <w:r>
        <w:rPr>
          <w:rStyle w:val="FootnoteReference"/>
        </w:rPr>
        <w:footnoteRef/>
      </w:r>
      <w:r>
        <w:t xml:space="preserve"> </w:t>
      </w:r>
      <w:r>
        <w:rPr>
          <w:rFonts w:ascii="Arial" w:hAnsi="Arial" w:cs="Arial"/>
          <w:lang w:val="en-US"/>
        </w:rPr>
        <w:t>2000(1) SA 1 (CC).</w:t>
      </w:r>
    </w:p>
  </w:footnote>
  <w:footnote w:id="8">
    <w:p w:rsidR="00EE2651" w:rsidRPr="00EE2651" w:rsidRDefault="00EE2651" w:rsidP="00EE2651">
      <w:pPr>
        <w:pStyle w:val="FootnoteText"/>
        <w:rPr>
          <w:lang w:val="en-US"/>
        </w:rPr>
      </w:pPr>
      <w:r>
        <w:rPr>
          <w:rStyle w:val="FootnoteReference"/>
        </w:rPr>
        <w:footnoteRef/>
      </w:r>
      <w:r>
        <w:t xml:space="preserve"> </w:t>
      </w:r>
      <w:r w:rsidRPr="00EE2651">
        <w:rPr>
          <w:rFonts w:ascii="Arial" w:hAnsi="Arial" w:cs="Arial"/>
        </w:rPr>
        <w:t>1</w:t>
      </w:r>
      <w:r w:rsidRPr="00EE2651">
        <w:rPr>
          <w:rFonts w:ascii="Arial" w:hAnsi="Arial" w:cs="Arial"/>
          <w:lang w:val="en-ZA"/>
        </w:rPr>
        <w:t>947 (4) SA 744 (A) at 750</w:t>
      </w:r>
      <w:r>
        <w:rPr>
          <w:rFonts w:ascii="Arial" w:hAnsi="Arial" w:cs="Arial"/>
          <w:lang w:val="en-ZA"/>
        </w:rPr>
        <w:t xml:space="preserve">; </w:t>
      </w:r>
      <w:r w:rsidRPr="00EE2651">
        <w:rPr>
          <w:rFonts w:ascii="Arial" w:hAnsi="Arial" w:cs="Arial"/>
          <w:lang w:val="en-ZA"/>
        </w:rPr>
        <w:t>1980 (3) SA 755 (A) at 763D - 764B</w:t>
      </w:r>
      <w:r>
        <w:rPr>
          <w:rFonts w:ascii="Arial" w:hAnsi="Arial" w:cs="Arial"/>
          <w:lang w:val="en-ZA"/>
        </w:rPr>
        <w:t>.</w:t>
      </w:r>
    </w:p>
    <w:p w:rsidR="00EE2651" w:rsidRPr="00EE2651" w:rsidRDefault="00EE2651">
      <w:pPr>
        <w:pStyle w:val="FootnoteText"/>
        <w:rPr>
          <w:lang w:val="en-US"/>
        </w:rPr>
      </w:pPr>
    </w:p>
  </w:footnote>
  <w:footnote w:id="9">
    <w:p w:rsidR="004F0E5F" w:rsidRPr="004F0E5F" w:rsidRDefault="004F0E5F">
      <w:pPr>
        <w:pStyle w:val="FootnoteText"/>
        <w:rPr>
          <w:rFonts w:ascii="Arial" w:hAnsi="Arial" w:cs="Arial"/>
          <w:lang w:val="en-US"/>
        </w:rPr>
      </w:pPr>
      <w:r>
        <w:rPr>
          <w:rStyle w:val="FootnoteReference"/>
        </w:rPr>
        <w:footnoteRef/>
      </w:r>
      <w:r>
        <w:t xml:space="preserve"> </w:t>
      </w:r>
      <w:r>
        <w:rPr>
          <w:rFonts w:ascii="Arial" w:hAnsi="Arial" w:cs="Arial"/>
          <w:i/>
          <w:lang w:val="en-US"/>
        </w:rPr>
        <w:t xml:space="preserve">S v Naftali </w:t>
      </w:r>
      <w:r>
        <w:rPr>
          <w:rFonts w:ascii="Arial" w:hAnsi="Arial" w:cs="Arial"/>
          <w:lang w:val="en-US"/>
        </w:rPr>
        <w:t>1992 NR 299 (HC).</w:t>
      </w:r>
    </w:p>
  </w:footnote>
  <w:footnote w:id="10">
    <w:p w:rsidR="0026484E" w:rsidRPr="0026484E" w:rsidRDefault="0026484E">
      <w:pPr>
        <w:pStyle w:val="FootnoteText"/>
        <w:rPr>
          <w:rFonts w:ascii="Arial" w:hAnsi="Arial" w:cs="Arial"/>
          <w:lang w:val="en-US"/>
        </w:rPr>
      </w:pPr>
      <w:r>
        <w:rPr>
          <w:rStyle w:val="FootnoteReference"/>
        </w:rPr>
        <w:footnoteRef/>
      </w:r>
      <w:r>
        <w:t xml:space="preserve"> </w:t>
      </w:r>
      <w:r>
        <w:rPr>
          <w:rFonts w:ascii="Arial" w:hAnsi="Arial" w:cs="Arial"/>
          <w:i/>
          <w:lang w:val="en-US"/>
        </w:rPr>
        <w:t xml:space="preserve">South African Criminal Law and Procedure </w:t>
      </w:r>
      <w:r>
        <w:rPr>
          <w:rFonts w:ascii="Arial" w:hAnsi="Arial" w:cs="Arial"/>
          <w:lang w:val="en-US"/>
        </w:rPr>
        <w:t>(2</w:t>
      </w:r>
      <w:r w:rsidRPr="0026484E">
        <w:rPr>
          <w:rFonts w:ascii="Arial" w:hAnsi="Arial" w:cs="Arial"/>
          <w:vertAlign w:val="superscript"/>
          <w:lang w:val="en-US"/>
        </w:rPr>
        <w:t>nd</w:t>
      </w:r>
      <w:r>
        <w:rPr>
          <w:rFonts w:ascii="Arial" w:hAnsi="Arial" w:cs="Arial"/>
          <w:lang w:val="en-US"/>
        </w:rPr>
        <w:t xml:space="preserve"> ed.), Vol 1 by Burchell and Hunt at 274.</w:t>
      </w:r>
    </w:p>
  </w:footnote>
  <w:footnote w:id="11">
    <w:p w:rsidR="00147773" w:rsidRPr="00BC3580" w:rsidRDefault="00147773" w:rsidP="00147773">
      <w:pPr>
        <w:pStyle w:val="FootnoteText"/>
        <w:rPr>
          <w:rFonts w:ascii="Arial" w:hAnsi="Arial" w:cs="Arial"/>
          <w:lang w:val="en-US"/>
        </w:rPr>
      </w:pPr>
      <w:r>
        <w:rPr>
          <w:rStyle w:val="FootnoteReference"/>
        </w:rPr>
        <w:footnoteRef/>
      </w:r>
      <w:r>
        <w:t xml:space="preserve"> </w:t>
      </w:r>
      <w:r>
        <w:rPr>
          <w:rFonts w:ascii="Arial" w:hAnsi="Arial" w:cs="Arial"/>
          <w:lang w:val="en-US"/>
        </w:rPr>
        <w:t xml:space="preserve">An excerpt from the speech of Lord Denning referred to in </w:t>
      </w:r>
      <w:r>
        <w:rPr>
          <w:rFonts w:ascii="Arial" w:hAnsi="Arial" w:cs="Arial"/>
          <w:i/>
          <w:lang w:val="en-US"/>
        </w:rPr>
        <w:t xml:space="preserve">Bratty v Attorney-General for Northern Ireland </w:t>
      </w:r>
      <w:r>
        <w:rPr>
          <w:rFonts w:ascii="Arial" w:hAnsi="Arial" w:cs="Arial"/>
          <w:lang w:val="en-US"/>
        </w:rPr>
        <w:t>(1961) 3 All ER 523 at 534</w:t>
      </w:r>
    </w:p>
  </w:footnote>
  <w:footnote w:id="12">
    <w:p w:rsidR="00412305" w:rsidRPr="00412305" w:rsidRDefault="00412305">
      <w:pPr>
        <w:pStyle w:val="FootnoteText"/>
        <w:rPr>
          <w:rFonts w:ascii="Arial" w:hAnsi="Arial" w:cs="Arial"/>
          <w:lang w:val="en-US"/>
        </w:rPr>
      </w:pPr>
      <w:r>
        <w:rPr>
          <w:rStyle w:val="FootnoteReference"/>
        </w:rPr>
        <w:footnoteRef/>
      </w:r>
      <w:r>
        <w:t xml:space="preserve"> </w:t>
      </w:r>
      <w:r>
        <w:rPr>
          <w:rFonts w:ascii="Arial" w:hAnsi="Arial" w:cs="Arial"/>
          <w:i/>
          <w:lang w:val="en-US"/>
        </w:rPr>
        <w:t xml:space="preserve">Burchell and Hunt </w:t>
      </w:r>
      <w:r>
        <w:rPr>
          <w:rFonts w:ascii="Arial" w:hAnsi="Arial" w:cs="Arial"/>
          <w:lang w:val="en-US"/>
        </w:rPr>
        <w:t>at</w:t>
      </w:r>
      <w:r>
        <w:rPr>
          <w:rFonts w:ascii="Arial" w:hAnsi="Arial" w:cs="Arial"/>
          <w:i/>
          <w:lang w:val="en-US"/>
        </w:rPr>
        <w:t xml:space="preserve"> </w:t>
      </w:r>
      <w:r>
        <w:rPr>
          <w:rFonts w:ascii="Arial" w:hAnsi="Arial" w:cs="Arial"/>
          <w:lang w:val="en-US"/>
        </w:rPr>
        <w:t>327.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45F" w:rsidRDefault="0019345F" w:rsidP="001B53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345F" w:rsidRDefault="001934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AB9" w:rsidRDefault="00CB1AB9">
    <w:pPr>
      <w:pStyle w:val="Header"/>
      <w:jc w:val="right"/>
    </w:pPr>
    <w:r>
      <w:fldChar w:fldCharType="begin"/>
    </w:r>
    <w:r>
      <w:instrText xml:space="preserve"> PAGE   \* MERGEFORMAT </w:instrText>
    </w:r>
    <w:r>
      <w:fldChar w:fldCharType="separate"/>
    </w:r>
    <w:r w:rsidR="0041697D">
      <w:rPr>
        <w:noProof/>
      </w:rPr>
      <w:t>2</w:t>
    </w:r>
    <w:r>
      <w:fldChar w:fldCharType="end"/>
    </w:r>
  </w:p>
  <w:p w:rsidR="0019345F" w:rsidRDefault="001934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6B29"/>
    <w:multiLevelType w:val="hybridMultilevel"/>
    <w:tmpl w:val="A798F106"/>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D846237"/>
    <w:multiLevelType w:val="hybridMultilevel"/>
    <w:tmpl w:val="935A584A"/>
    <w:lvl w:ilvl="0" w:tplc="B32065F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4B6220"/>
    <w:multiLevelType w:val="hybridMultilevel"/>
    <w:tmpl w:val="F16A1A46"/>
    <w:lvl w:ilvl="0" w:tplc="476A207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CD"/>
    <w:rsid w:val="000016BD"/>
    <w:rsid w:val="000050DA"/>
    <w:rsid w:val="00037E69"/>
    <w:rsid w:val="00043DA3"/>
    <w:rsid w:val="000556C4"/>
    <w:rsid w:val="00076A6B"/>
    <w:rsid w:val="0008042D"/>
    <w:rsid w:val="0008274B"/>
    <w:rsid w:val="0009393B"/>
    <w:rsid w:val="0009644C"/>
    <w:rsid w:val="000A1C8D"/>
    <w:rsid w:val="000C626E"/>
    <w:rsid w:val="000E0160"/>
    <w:rsid w:val="00104B13"/>
    <w:rsid w:val="0010701C"/>
    <w:rsid w:val="00107891"/>
    <w:rsid w:val="0011161F"/>
    <w:rsid w:val="00120E5C"/>
    <w:rsid w:val="00121745"/>
    <w:rsid w:val="00127347"/>
    <w:rsid w:val="00133663"/>
    <w:rsid w:val="00147773"/>
    <w:rsid w:val="001510D3"/>
    <w:rsid w:val="001776F3"/>
    <w:rsid w:val="00187379"/>
    <w:rsid w:val="001916C7"/>
    <w:rsid w:val="0019345F"/>
    <w:rsid w:val="001957E8"/>
    <w:rsid w:val="0019658F"/>
    <w:rsid w:val="001A411C"/>
    <w:rsid w:val="001A5003"/>
    <w:rsid w:val="001B0ADC"/>
    <w:rsid w:val="001B53D2"/>
    <w:rsid w:val="001D36E3"/>
    <w:rsid w:val="001E7274"/>
    <w:rsid w:val="00200A9D"/>
    <w:rsid w:val="0020165F"/>
    <w:rsid w:val="00204362"/>
    <w:rsid w:val="002253EA"/>
    <w:rsid w:val="00240997"/>
    <w:rsid w:val="00242421"/>
    <w:rsid w:val="0024555C"/>
    <w:rsid w:val="002533E3"/>
    <w:rsid w:val="00260BFE"/>
    <w:rsid w:val="002629C3"/>
    <w:rsid w:val="0026484E"/>
    <w:rsid w:val="00276BE8"/>
    <w:rsid w:val="0028196B"/>
    <w:rsid w:val="0028453B"/>
    <w:rsid w:val="002B1411"/>
    <w:rsid w:val="002B25AE"/>
    <w:rsid w:val="002B43E4"/>
    <w:rsid w:val="002B451A"/>
    <w:rsid w:val="002B53F0"/>
    <w:rsid w:val="002B5FCA"/>
    <w:rsid w:val="002C603F"/>
    <w:rsid w:val="002D0A16"/>
    <w:rsid w:val="00300F11"/>
    <w:rsid w:val="00304917"/>
    <w:rsid w:val="00331F89"/>
    <w:rsid w:val="00333F47"/>
    <w:rsid w:val="00346321"/>
    <w:rsid w:val="00357434"/>
    <w:rsid w:val="003634B6"/>
    <w:rsid w:val="00372652"/>
    <w:rsid w:val="00386273"/>
    <w:rsid w:val="00395A99"/>
    <w:rsid w:val="003B3E18"/>
    <w:rsid w:val="003B60C9"/>
    <w:rsid w:val="003B6A1F"/>
    <w:rsid w:val="003C7900"/>
    <w:rsid w:val="003D05EC"/>
    <w:rsid w:val="003F0149"/>
    <w:rsid w:val="003F2F6E"/>
    <w:rsid w:val="003F3B56"/>
    <w:rsid w:val="00404130"/>
    <w:rsid w:val="00412305"/>
    <w:rsid w:val="0041697D"/>
    <w:rsid w:val="00427112"/>
    <w:rsid w:val="00453296"/>
    <w:rsid w:val="00457DD2"/>
    <w:rsid w:val="00465938"/>
    <w:rsid w:val="00465FAC"/>
    <w:rsid w:val="00481CCB"/>
    <w:rsid w:val="00484FFD"/>
    <w:rsid w:val="004A1D24"/>
    <w:rsid w:val="004A30BA"/>
    <w:rsid w:val="004A37A4"/>
    <w:rsid w:val="004A3A8D"/>
    <w:rsid w:val="004A4BB6"/>
    <w:rsid w:val="004A54D5"/>
    <w:rsid w:val="004A5E8B"/>
    <w:rsid w:val="004C2F35"/>
    <w:rsid w:val="004F0E5F"/>
    <w:rsid w:val="004F685B"/>
    <w:rsid w:val="004F77FE"/>
    <w:rsid w:val="00502ACB"/>
    <w:rsid w:val="00503F50"/>
    <w:rsid w:val="0051394A"/>
    <w:rsid w:val="005170E0"/>
    <w:rsid w:val="00520575"/>
    <w:rsid w:val="00525836"/>
    <w:rsid w:val="00527E11"/>
    <w:rsid w:val="00540617"/>
    <w:rsid w:val="005638A4"/>
    <w:rsid w:val="00567C6D"/>
    <w:rsid w:val="00567F00"/>
    <w:rsid w:val="00574F5B"/>
    <w:rsid w:val="00575FF6"/>
    <w:rsid w:val="00587A39"/>
    <w:rsid w:val="00597215"/>
    <w:rsid w:val="00597C31"/>
    <w:rsid w:val="005A0336"/>
    <w:rsid w:val="005B386F"/>
    <w:rsid w:val="005B498D"/>
    <w:rsid w:val="005C2A66"/>
    <w:rsid w:val="005C7900"/>
    <w:rsid w:val="005F6464"/>
    <w:rsid w:val="005F7257"/>
    <w:rsid w:val="006012AE"/>
    <w:rsid w:val="00601498"/>
    <w:rsid w:val="00605131"/>
    <w:rsid w:val="00614D1D"/>
    <w:rsid w:val="00617DBE"/>
    <w:rsid w:val="00630A10"/>
    <w:rsid w:val="006403DB"/>
    <w:rsid w:val="00665D20"/>
    <w:rsid w:val="00690307"/>
    <w:rsid w:val="006B24F3"/>
    <w:rsid w:val="006B344C"/>
    <w:rsid w:val="006B3AB8"/>
    <w:rsid w:val="006E3FE3"/>
    <w:rsid w:val="006F1305"/>
    <w:rsid w:val="006F5B93"/>
    <w:rsid w:val="00700A35"/>
    <w:rsid w:val="00711DB3"/>
    <w:rsid w:val="00743FB6"/>
    <w:rsid w:val="00746BD9"/>
    <w:rsid w:val="00752AAE"/>
    <w:rsid w:val="00754BE8"/>
    <w:rsid w:val="0076105E"/>
    <w:rsid w:val="00766BBA"/>
    <w:rsid w:val="007A06F7"/>
    <w:rsid w:val="007A2244"/>
    <w:rsid w:val="007A4F8A"/>
    <w:rsid w:val="007C7818"/>
    <w:rsid w:val="007D70AA"/>
    <w:rsid w:val="007E1751"/>
    <w:rsid w:val="007E2634"/>
    <w:rsid w:val="007F60A3"/>
    <w:rsid w:val="008009E8"/>
    <w:rsid w:val="00804F75"/>
    <w:rsid w:val="00833549"/>
    <w:rsid w:val="00842FD3"/>
    <w:rsid w:val="008518DC"/>
    <w:rsid w:val="00872772"/>
    <w:rsid w:val="00892190"/>
    <w:rsid w:val="00897255"/>
    <w:rsid w:val="00897BD5"/>
    <w:rsid w:val="008A0624"/>
    <w:rsid w:val="008B0198"/>
    <w:rsid w:val="008B50A6"/>
    <w:rsid w:val="008B5E22"/>
    <w:rsid w:val="008B6480"/>
    <w:rsid w:val="008D1169"/>
    <w:rsid w:val="008D6EAC"/>
    <w:rsid w:val="00911C48"/>
    <w:rsid w:val="00926785"/>
    <w:rsid w:val="009302DD"/>
    <w:rsid w:val="009348BB"/>
    <w:rsid w:val="00947541"/>
    <w:rsid w:val="0096232F"/>
    <w:rsid w:val="00973176"/>
    <w:rsid w:val="00984335"/>
    <w:rsid w:val="0099374A"/>
    <w:rsid w:val="009949DA"/>
    <w:rsid w:val="00996273"/>
    <w:rsid w:val="009A60FC"/>
    <w:rsid w:val="009A7AA0"/>
    <w:rsid w:val="009B5ACD"/>
    <w:rsid w:val="009C468E"/>
    <w:rsid w:val="009D6566"/>
    <w:rsid w:val="009D7089"/>
    <w:rsid w:val="009D7441"/>
    <w:rsid w:val="009E2316"/>
    <w:rsid w:val="009E488D"/>
    <w:rsid w:val="009F69FF"/>
    <w:rsid w:val="009F7A2B"/>
    <w:rsid w:val="00A038CE"/>
    <w:rsid w:val="00A11353"/>
    <w:rsid w:val="00A139F5"/>
    <w:rsid w:val="00A14EFA"/>
    <w:rsid w:val="00A421AA"/>
    <w:rsid w:val="00A43477"/>
    <w:rsid w:val="00A44981"/>
    <w:rsid w:val="00A45224"/>
    <w:rsid w:val="00A51E96"/>
    <w:rsid w:val="00A577B0"/>
    <w:rsid w:val="00A63AB0"/>
    <w:rsid w:val="00A801D6"/>
    <w:rsid w:val="00A851E4"/>
    <w:rsid w:val="00A85952"/>
    <w:rsid w:val="00A870BA"/>
    <w:rsid w:val="00A92D68"/>
    <w:rsid w:val="00A94964"/>
    <w:rsid w:val="00AA06E4"/>
    <w:rsid w:val="00AA10F4"/>
    <w:rsid w:val="00AA3FBD"/>
    <w:rsid w:val="00AA571E"/>
    <w:rsid w:val="00AB06BD"/>
    <w:rsid w:val="00AB6605"/>
    <w:rsid w:val="00AE2E3E"/>
    <w:rsid w:val="00AE621B"/>
    <w:rsid w:val="00AF1D63"/>
    <w:rsid w:val="00B30673"/>
    <w:rsid w:val="00B44BD4"/>
    <w:rsid w:val="00B45103"/>
    <w:rsid w:val="00B54F42"/>
    <w:rsid w:val="00B65CFF"/>
    <w:rsid w:val="00B675A0"/>
    <w:rsid w:val="00B71A53"/>
    <w:rsid w:val="00BB1FDB"/>
    <w:rsid w:val="00BB4CD1"/>
    <w:rsid w:val="00BB6961"/>
    <w:rsid w:val="00BD4EE9"/>
    <w:rsid w:val="00BE7BF9"/>
    <w:rsid w:val="00C00A4E"/>
    <w:rsid w:val="00C062AF"/>
    <w:rsid w:val="00C07CF9"/>
    <w:rsid w:val="00C32C2B"/>
    <w:rsid w:val="00C33410"/>
    <w:rsid w:val="00C33551"/>
    <w:rsid w:val="00C440C7"/>
    <w:rsid w:val="00C560CA"/>
    <w:rsid w:val="00C65B24"/>
    <w:rsid w:val="00C7150B"/>
    <w:rsid w:val="00C76EF1"/>
    <w:rsid w:val="00C804E7"/>
    <w:rsid w:val="00C86ACA"/>
    <w:rsid w:val="00CA0D46"/>
    <w:rsid w:val="00CB1AB9"/>
    <w:rsid w:val="00CB53B7"/>
    <w:rsid w:val="00CD1E21"/>
    <w:rsid w:val="00CE458E"/>
    <w:rsid w:val="00CE4B60"/>
    <w:rsid w:val="00CE7153"/>
    <w:rsid w:val="00D15279"/>
    <w:rsid w:val="00D22797"/>
    <w:rsid w:val="00D26DBB"/>
    <w:rsid w:val="00D42AE9"/>
    <w:rsid w:val="00D43482"/>
    <w:rsid w:val="00D54F98"/>
    <w:rsid w:val="00D55296"/>
    <w:rsid w:val="00D5553F"/>
    <w:rsid w:val="00D555BC"/>
    <w:rsid w:val="00D56853"/>
    <w:rsid w:val="00D7289D"/>
    <w:rsid w:val="00D7365D"/>
    <w:rsid w:val="00D74E75"/>
    <w:rsid w:val="00D7734D"/>
    <w:rsid w:val="00D80AB4"/>
    <w:rsid w:val="00D86D5C"/>
    <w:rsid w:val="00DA13A5"/>
    <w:rsid w:val="00DC331A"/>
    <w:rsid w:val="00DD22AD"/>
    <w:rsid w:val="00E04E8A"/>
    <w:rsid w:val="00E1161E"/>
    <w:rsid w:val="00E133FD"/>
    <w:rsid w:val="00E167FC"/>
    <w:rsid w:val="00E53BA6"/>
    <w:rsid w:val="00E54B57"/>
    <w:rsid w:val="00E55240"/>
    <w:rsid w:val="00E56002"/>
    <w:rsid w:val="00E57E90"/>
    <w:rsid w:val="00E7209C"/>
    <w:rsid w:val="00E93731"/>
    <w:rsid w:val="00E945B1"/>
    <w:rsid w:val="00EA0B0D"/>
    <w:rsid w:val="00EA5378"/>
    <w:rsid w:val="00EA64D7"/>
    <w:rsid w:val="00EA732D"/>
    <w:rsid w:val="00EB5D10"/>
    <w:rsid w:val="00EB7F03"/>
    <w:rsid w:val="00EE2651"/>
    <w:rsid w:val="00EE774E"/>
    <w:rsid w:val="00EF7D73"/>
    <w:rsid w:val="00F07A25"/>
    <w:rsid w:val="00F136AD"/>
    <w:rsid w:val="00F24C2E"/>
    <w:rsid w:val="00F70127"/>
    <w:rsid w:val="00F70D41"/>
    <w:rsid w:val="00F85346"/>
    <w:rsid w:val="00F855CC"/>
    <w:rsid w:val="00F86608"/>
    <w:rsid w:val="00FA59EF"/>
    <w:rsid w:val="00FB0DD4"/>
    <w:rsid w:val="00FB3A81"/>
    <w:rsid w:val="00FB7314"/>
    <w:rsid w:val="00FC7996"/>
    <w:rsid w:val="00FC7EFE"/>
    <w:rsid w:val="00FD6F08"/>
    <w:rsid w:val="00FE4C55"/>
    <w:rsid w:val="00FE6269"/>
    <w:rsid w:val="00FF3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77224D5-CBED-4A37-915E-823CC299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ACD"/>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5C2A66"/>
    <w:pPr>
      <w:tabs>
        <w:tab w:val="center" w:pos="4153"/>
        <w:tab w:val="right" w:pos="8306"/>
      </w:tabs>
    </w:pPr>
  </w:style>
  <w:style w:type="character" w:styleId="PageNumber">
    <w:name w:val="page number"/>
    <w:basedOn w:val="DefaultParagraphFont"/>
    <w:rsid w:val="005C2A66"/>
  </w:style>
  <w:style w:type="paragraph" w:styleId="Footer">
    <w:name w:val="footer"/>
    <w:basedOn w:val="Normal"/>
    <w:link w:val="FooterChar"/>
    <w:rsid w:val="002B451A"/>
    <w:pPr>
      <w:tabs>
        <w:tab w:val="center" w:pos="4513"/>
        <w:tab w:val="right" w:pos="9026"/>
      </w:tabs>
    </w:pPr>
  </w:style>
  <w:style w:type="character" w:customStyle="1" w:styleId="FooterChar">
    <w:name w:val="Footer Char"/>
    <w:link w:val="Footer"/>
    <w:rsid w:val="002B451A"/>
    <w:rPr>
      <w:sz w:val="24"/>
      <w:szCs w:val="24"/>
    </w:rPr>
  </w:style>
  <w:style w:type="character" w:customStyle="1" w:styleId="HeaderChar">
    <w:name w:val="Header Char"/>
    <w:link w:val="Header"/>
    <w:uiPriority w:val="99"/>
    <w:rsid w:val="00CB1AB9"/>
    <w:rPr>
      <w:sz w:val="24"/>
      <w:szCs w:val="24"/>
    </w:rPr>
  </w:style>
  <w:style w:type="paragraph" w:styleId="FootnoteText">
    <w:name w:val="footnote text"/>
    <w:basedOn w:val="Normal"/>
    <w:link w:val="FootnoteTextChar"/>
    <w:rsid w:val="004A37A4"/>
    <w:rPr>
      <w:sz w:val="20"/>
      <w:szCs w:val="20"/>
    </w:rPr>
  </w:style>
  <w:style w:type="character" w:customStyle="1" w:styleId="FootnoteTextChar">
    <w:name w:val="Footnote Text Char"/>
    <w:basedOn w:val="DefaultParagraphFont"/>
    <w:link w:val="FootnoteText"/>
    <w:rsid w:val="004A37A4"/>
  </w:style>
  <w:style w:type="character" w:styleId="FootnoteReference">
    <w:name w:val="footnote reference"/>
    <w:rsid w:val="004A37A4"/>
    <w:rPr>
      <w:vertAlign w:val="superscript"/>
    </w:rPr>
  </w:style>
  <w:style w:type="character" w:styleId="CommentReference">
    <w:name w:val="annotation reference"/>
    <w:rsid w:val="00D54F98"/>
    <w:rPr>
      <w:sz w:val="16"/>
      <w:szCs w:val="16"/>
    </w:rPr>
  </w:style>
  <w:style w:type="paragraph" w:styleId="CommentText">
    <w:name w:val="annotation text"/>
    <w:basedOn w:val="Normal"/>
    <w:link w:val="CommentTextChar"/>
    <w:rsid w:val="00D54F98"/>
    <w:rPr>
      <w:sz w:val="20"/>
      <w:szCs w:val="20"/>
    </w:rPr>
  </w:style>
  <w:style w:type="character" w:customStyle="1" w:styleId="CommentTextChar">
    <w:name w:val="Comment Text Char"/>
    <w:link w:val="CommentText"/>
    <w:rsid w:val="00D54F98"/>
    <w:rPr>
      <w:lang w:val="en-GB" w:eastAsia="en-GB"/>
    </w:rPr>
  </w:style>
  <w:style w:type="paragraph" w:styleId="CommentSubject">
    <w:name w:val="annotation subject"/>
    <w:basedOn w:val="CommentText"/>
    <w:next w:val="CommentText"/>
    <w:link w:val="CommentSubjectChar"/>
    <w:rsid w:val="00D54F98"/>
    <w:rPr>
      <w:b/>
      <w:bCs/>
    </w:rPr>
  </w:style>
  <w:style w:type="character" w:customStyle="1" w:styleId="CommentSubjectChar">
    <w:name w:val="Comment Subject Char"/>
    <w:link w:val="CommentSubject"/>
    <w:rsid w:val="00D54F98"/>
    <w:rPr>
      <w:b/>
      <w:bCs/>
      <w:lang w:val="en-GB" w:eastAsia="en-GB"/>
    </w:rPr>
  </w:style>
  <w:style w:type="paragraph" w:styleId="BalloonText">
    <w:name w:val="Balloon Text"/>
    <w:basedOn w:val="Normal"/>
    <w:link w:val="BalloonTextChar"/>
    <w:rsid w:val="00D54F98"/>
    <w:rPr>
      <w:rFonts w:ascii="Segoe UI" w:hAnsi="Segoe UI" w:cs="Segoe UI"/>
      <w:sz w:val="18"/>
      <w:szCs w:val="18"/>
    </w:rPr>
  </w:style>
  <w:style w:type="character" w:customStyle="1" w:styleId="BalloonTextChar">
    <w:name w:val="Balloon Text Char"/>
    <w:link w:val="BalloonText"/>
    <w:rsid w:val="00D54F98"/>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2017-08-14T00:00:00Z</Judgment_x0020_Date>
  </documentManagement>
</p:properties>
</file>

<file path=customXml/itemProps1.xml><?xml version="1.0" encoding="utf-8"?>
<ds:datastoreItem xmlns:ds="http://schemas.openxmlformats.org/officeDocument/2006/customXml" ds:itemID="{51248927-F6CB-4B24-80AC-6E27B3060E51}">
  <ds:schemaRefs>
    <ds:schemaRef ds:uri="http://schemas.microsoft.com/office/2006/metadata/longProperties"/>
  </ds:schemaRefs>
</ds:datastoreItem>
</file>

<file path=customXml/itemProps2.xml><?xml version="1.0" encoding="utf-8"?>
<ds:datastoreItem xmlns:ds="http://schemas.openxmlformats.org/officeDocument/2006/customXml" ds:itemID="{40F43D33-EC3C-4E4A-89DB-DB6755EF84A0}">
  <ds:schemaRefs>
    <ds:schemaRef ds:uri="http://schemas.microsoft.com/sharepoint/v3/contenttype/forms"/>
  </ds:schemaRefs>
</ds:datastoreItem>
</file>

<file path=customXml/itemProps3.xml><?xml version="1.0" encoding="utf-8"?>
<ds:datastoreItem xmlns:ds="http://schemas.openxmlformats.org/officeDocument/2006/customXml" ds:itemID="{6AE0959A-698A-4127-A92D-ADCF03488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2A1D4D-B9AD-42C9-B180-E4A4F2C5C978}">
  <ds:schemaRefs>
    <ds:schemaRef ds:uri="http://schemas.microsoft.com/office/2006/metadata/properties"/>
    <ds:schemaRef ds:uri="17a0f4bd-1162-49ac-b85f-dfe96a90bc01"/>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a036617c-f1b0-4353-ab0a-456b3885ee3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8202</Words>
  <Characters>46752</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dc:creator>
  <cp:keywords/>
  <dc:description/>
  <cp:lastModifiedBy>W P. Oosthuizen</cp:lastModifiedBy>
  <cp:revision>2</cp:revision>
  <cp:lastPrinted>2017-08-14T09:07:00Z</cp:lastPrinted>
  <dcterms:created xsi:type="dcterms:W3CDTF">2017-08-18T09:29:00Z</dcterms:created>
  <dcterms:modified xsi:type="dcterms:W3CDTF">2017-08-18T09:29:00Z</dcterms:modified>
</cp:coreProperties>
</file>