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35CF5" w:rsidRPr="00135CF5" w:rsidRDefault="00135CF5" w:rsidP="00135CF5">
      <w:pPr>
        <w:spacing w:after="0" w:line="360" w:lineRule="auto"/>
        <w:jc w:val="center"/>
        <w:rPr>
          <w:rFonts w:ascii="Arial" w:hAnsi="Arial" w:cs="Arial"/>
          <w:b/>
          <w:sz w:val="24"/>
          <w:szCs w:val="24"/>
        </w:rPr>
      </w:pPr>
      <w:r w:rsidRPr="00135CF5">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159B73F9" wp14:editId="07BCC372">
                <wp:simplePos x="0" y="0"/>
                <wp:positionH relativeFrom="column">
                  <wp:posOffset>4552949</wp:posOffset>
                </wp:positionH>
                <wp:positionV relativeFrom="paragraph">
                  <wp:posOffset>-57150</wp:posOffset>
                </wp:positionV>
                <wp:extent cx="1666875" cy="2476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47650"/>
                        </a:xfrm>
                        <a:prstGeom prst="rect">
                          <a:avLst/>
                        </a:prstGeom>
                        <a:solidFill>
                          <a:srgbClr val="FFFFFF"/>
                        </a:solidFill>
                        <a:ln w="9525">
                          <a:solidFill>
                            <a:srgbClr val="FFFFFF"/>
                          </a:solidFill>
                          <a:miter lim="800000"/>
                          <a:headEnd/>
                          <a:tailEnd/>
                        </a:ln>
                      </wps:spPr>
                      <wps:txbx>
                        <w:txbxContent>
                          <w:p w:rsidR="00135CF5" w:rsidRDefault="00135CF5" w:rsidP="00135CF5">
                            <w:pPr>
                              <w:jc w:val="center"/>
                            </w:pPr>
                            <w: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B73F9" id="_x0000_t202" coordsize="21600,21600" o:spt="202" path="m,l,21600r21600,l21600,xe">
                <v:stroke joinstyle="miter"/>
                <v:path gradientshapeok="t" o:connecttype="rect"/>
              </v:shapetype>
              <v:shape id="Text Box 2" o:spid="_x0000_s1026" type="#_x0000_t202" style="position:absolute;left:0;text-align:left;margin-left:358.5pt;margin-top:-4.5pt;width:131.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Xr5JQIAAFAEAAAOAAAAZHJzL2Uyb0RvYy54bWysVNtu2zAMfR+wfxD0vjgxcqsRp+jSZRjQ&#10;dQPafYAsy7YwSdQkJXb29aPkNAu6t2J+EERROiTPIb25HbQiR+G8BFPS2WRKiTAcamnakv543n9Y&#10;U+IDMzVTYERJT8LT2+37d5veFiKHDlQtHEEQ44velrQLwRZZ5nknNPMTsMKgswGnWUDTtVntWI/o&#10;WmX5dLrMenC1dcCF93h6PzrpNuE3jeDhW9N4EYgqKeYW0urSWsU1225Y0TpmO8nPabA3ZKGZNBj0&#10;AnXPAiMHJ/+B0pI78NCECQedQdNILlINWM1s+qqap45ZkWpBcry90OT/Hyx/PH53RNYlzSkxTKNE&#10;z2II5CMMJI/s9NYXeOnJ4rUw4DGqnCr19gH4T08M7DpmWnHnHPSdYDVmN4svs6unI46PIFX/FWoM&#10;ww4BEtDQOB2pQzIIoqNKp4syMRUeQy6Xy/VqQQlHXz5fLRdJuowVL6+t8+GzAE3ipqQOlU/o7Pjg&#10;Q8yGFS9XYjAPStZ7qVQyXFvtlCNHhl2yT18q4NU1ZUhf0ptFvhgJeAOElgHbXUld0vU0fmMDRto+&#10;mTo1Y2BSjXtMWZkzj5G6kcQwVMNZlwrqEzLqYGxrHEPcdOB+U9JjS5fU/zowJyhRXwyqcjObz+MM&#10;JGO+WOVouGtPde1hhiNUSQMl43YXxrk5WCfbDiONfWDgDpVsZCI5Sj5mdc4b2zZxfx6xOBfXdrr1&#10;90ew/QMAAP//AwBQSwMEFAAGAAgAAAAhAL0ffNPfAAAACQEAAA8AAABkcnMvZG93bnJldi54bWxM&#10;j8FOwzAQRO9I/IO1SFxQazcIQkI2VVWBOLdw4ebG2yQiXiex26R8PeYEp9FqRrNvivVsO3Gm0beO&#10;EVZLBYK4cqblGuHj/XXxBMIHzUZ3jgnhQh7W5fVVoXPjJt7ReR9qEUvY5xqhCaHPpfRVQ1b7peuJ&#10;o3d0o9UhnmMtzainWG47mSj1KK1uOX5odE/bhqqv/ckiuOnlYh0NKrn7/LZv282wOyYD4u3NvHkG&#10;EWgOf2H4xY/oUEamgzux8aJDSFdp3BIQFlnUGMjS7AHEAeFeKZBlIf8vKH8AAAD//wMAUEsBAi0A&#10;FAAGAAgAAAAhALaDOJL+AAAA4QEAABMAAAAAAAAAAAAAAAAAAAAAAFtDb250ZW50X1R5cGVzXS54&#10;bWxQSwECLQAUAAYACAAAACEAOP0h/9YAAACUAQAACwAAAAAAAAAAAAAAAAAvAQAAX3JlbHMvLnJl&#10;bHNQSwECLQAUAAYACAAAACEAV7l6+SUCAABQBAAADgAAAAAAAAAAAAAAAAAuAgAAZHJzL2Uyb0Rv&#10;Yy54bWxQSwECLQAUAAYACAAAACEAvR98098AAAAJAQAADwAAAAAAAAAAAAAAAAB/BAAAZHJzL2Rv&#10;d25yZXYueG1sUEsFBgAAAAAEAAQA8wAAAIsFAAAAAA==&#10;" strokecolor="white">
                <v:textbox>
                  <w:txbxContent>
                    <w:p w:rsidR="00135CF5" w:rsidRDefault="00135CF5" w:rsidP="00135CF5">
                      <w:pPr>
                        <w:jc w:val="center"/>
                      </w:pPr>
                      <w:r>
                        <w:t>NOT REPORTABLE</w:t>
                      </w:r>
                    </w:p>
                  </w:txbxContent>
                </v:textbox>
              </v:shape>
            </w:pict>
          </mc:Fallback>
        </mc:AlternateContent>
      </w:r>
      <w:r w:rsidRPr="00135CF5">
        <w:rPr>
          <w:rFonts w:ascii="Arial" w:hAnsi="Arial" w:cs="Arial"/>
          <w:b/>
          <w:sz w:val="24"/>
          <w:szCs w:val="24"/>
        </w:rPr>
        <w:t>REPUBLIC OF NAMIBIA</w:t>
      </w:r>
    </w:p>
    <w:p w:rsidR="00135CF5" w:rsidRPr="00135CF5" w:rsidRDefault="00135CF5" w:rsidP="00135CF5">
      <w:pPr>
        <w:spacing w:after="0" w:line="360" w:lineRule="auto"/>
        <w:jc w:val="center"/>
        <w:rPr>
          <w:rFonts w:ascii="Arial" w:hAnsi="Arial" w:cs="Arial"/>
          <w:b/>
          <w:sz w:val="24"/>
          <w:szCs w:val="24"/>
        </w:rPr>
      </w:pPr>
      <w:r w:rsidRPr="00135CF5">
        <w:rPr>
          <w:rFonts w:ascii="Arial" w:hAnsi="Arial" w:cs="Arial"/>
          <w:b/>
          <w:noProof/>
          <w:sz w:val="24"/>
          <w:szCs w:val="24"/>
          <w:lang w:val="en-US"/>
        </w:rPr>
        <w:drawing>
          <wp:inline distT="0" distB="0" distL="0" distR="0" wp14:anchorId="6FA2916D" wp14:editId="4AB1F876">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135CF5" w:rsidRPr="00135CF5" w:rsidRDefault="00135CF5" w:rsidP="00135CF5">
      <w:pPr>
        <w:spacing w:after="0" w:line="360" w:lineRule="auto"/>
        <w:jc w:val="center"/>
        <w:rPr>
          <w:rFonts w:ascii="Arial" w:hAnsi="Arial" w:cs="Arial"/>
          <w:bCs/>
          <w:sz w:val="24"/>
          <w:szCs w:val="24"/>
        </w:rPr>
      </w:pPr>
      <w:r w:rsidRPr="00135CF5">
        <w:rPr>
          <w:rFonts w:ascii="Arial" w:hAnsi="Arial" w:cs="Arial"/>
          <w:b/>
          <w:sz w:val="24"/>
          <w:szCs w:val="24"/>
        </w:rPr>
        <w:t>HIGH COURT OF NAMIBIA MAIN DIVISION, WINDHOEK</w:t>
      </w:r>
    </w:p>
    <w:p w:rsidR="00135CF5" w:rsidRPr="00135CF5" w:rsidRDefault="00135CF5" w:rsidP="00135CF5">
      <w:pPr>
        <w:spacing w:after="0" w:line="360" w:lineRule="auto"/>
        <w:jc w:val="center"/>
        <w:rPr>
          <w:rFonts w:ascii="Arial" w:hAnsi="Arial" w:cs="Arial"/>
          <w:b/>
          <w:sz w:val="24"/>
          <w:szCs w:val="24"/>
        </w:rPr>
      </w:pPr>
    </w:p>
    <w:p w:rsidR="00135CF5" w:rsidRPr="00135CF5" w:rsidRDefault="00135CF5" w:rsidP="00135CF5">
      <w:pPr>
        <w:spacing w:after="0" w:line="360" w:lineRule="auto"/>
        <w:jc w:val="center"/>
        <w:rPr>
          <w:rFonts w:ascii="Arial" w:hAnsi="Arial" w:cs="Arial"/>
          <w:b/>
          <w:sz w:val="24"/>
          <w:szCs w:val="24"/>
        </w:rPr>
      </w:pPr>
      <w:r w:rsidRPr="00135CF5">
        <w:rPr>
          <w:rFonts w:ascii="Arial" w:hAnsi="Arial" w:cs="Arial"/>
          <w:b/>
          <w:sz w:val="24"/>
          <w:szCs w:val="24"/>
        </w:rPr>
        <w:t>RULING</w:t>
      </w:r>
    </w:p>
    <w:p w:rsidR="00135CF5" w:rsidRPr="00135CF5" w:rsidRDefault="00135CF5" w:rsidP="00135CF5">
      <w:pPr>
        <w:spacing w:after="0" w:line="360" w:lineRule="auto"/>
        <w:jc w:val="both"/>
        <w:rPr>
          <w:rFonts w:ascii="Arial" w:hAnsi="Arial" w:cs="Arial"/>
          <w:b/>
          <w:sz w:val="24"/>
          <w:szCs w:val="24"/>
        </w:rPr>
      </w:pPr>
    </w:p>
    <w:p w:rsidR="00135CF5" w:rsidRPr="00135CF5" w:rsidRDefault="00135CF5" w:rsidP="00135CF5">
      <w:pPr>
        <w:tabs>
          <w:tab w:val="right" w:pos="9000"/>
        </w:tabs>
        <w:spacing w:after="0" w:line="360" w:lineRule="auto"/>
        <w:jc w:val="both"/>
        <w:rPr>
          <w:rFonts w:ascii="Arial" w:hAnsi="Arial" w:cs="Arial"/>
          <w:sz w:val="24"/>
          <w:szCs w:val="24"/>
        </w:rPr>
      </w:pPr>
      <w:r w:rsidRPr="00135CF5">
        <w:rPr>
          <w:rFonts w:ascii="Arial" w:hAnsi="Arial" w:cs="Arial"/>
          <w:b/>
          <w:sz w:val="24"/>
          <w:szCs w:val="24"/>
        </w:rPr>
        <w:tab/>
      </w:r>
      <w:r>
        <w:rPr>
          <w:rFonts w:ascii="Arial" w:hAnsi="Arial" w:cs="Arial"/>
          <w:sz w:val="24"/>
          <w:szCs w:val="24"/>
        </w:rPr>
        <w:t>Case no: I 62</w:t>
      </w:r>
      <w:r w:rsidRPr="00135CF5">
        <w:rPr>
          <w:rFonts w:ascii="Arial" w:hAnsi="Arial" w:cs="Arial"/>
          <w:sz w:val="24"/>
          <w:szCs w:val="24"/>
        </w:rPr>
        <w:t>/2016</w:t>
      </w:r>
    </w:p>
    <w:p w:rsidR="00135CF5" w:rsidRPr="00135CF5" w:rsidRDefault="00135CF5" w:rsidP="00135CF5">
      <w:pPr>
        <w:spacing w:after="0" w:line="360" w:lineRule="auto"/>
        <w:jc w:val="both"/>
        <w:rPr>
          <w:rFonts w:ascii="Arial" w:hAnsi="Arial" w:cs="Arial"/>
          <w:sz w:val="24"/>
          <w:szCs w:val="24"/>
        </w:rPr>
      </w:pPr>
      <w:r w:rsidRPr="00135CF5">
        <w:rPr>
          <w:rFonts w:ascii="Arial" w:hAnsi="Arial" w:cs="Arial"/>
          <w:sz w:val="24"/>
          <w:szCs w:val="24"/>
        </w:rPr>
        <w:t>In the matter between:</w:t>
      </w:r>
    </w:p>
    <w:p w:rsidR="00135CF5" w:rsidRPr="00135CF5" w:rsidRDefault="00135CF5" w:rsidP="00135CF5">
      <w:pPr>
        <w:spacing w:after="0" w:line="360" w:lineRule="auto"/>
        <w:jc w:val="both"/>
        <w:rPr>
          <w:rFonts w:ascii="Arial" w:hAnsi="Arial" w:cs="Arial"/>
          <w:sz w:val="24"/>
          <w:szCs w:val="24"/>
        </w:rPr>
      </w:pPr>
    </w:p>
    <w:p w:rsidR="009C6C32" w:rsidRDefault="009C6C32" w:rsidP="00135CF5">
      <w:pPr>
        <w:tabs>
          <w:tab w:val="right" w:pos="9000"/>
        </w:tabs>
        <w:spacing w:after="0" w:line="360" w:lineRule="auto"/>
        <w:jc w:val="both"/>
        <w:rPr>
          <w:rFonts w:ascii="Arial" w:hAnsi="Arial" w:cs="Arial"/>
          <w:b/>
          <w:sz w:val="24"/>
          <w:szCs w:val="24"/>
        </w:rPr>
      </w:pPr>
      <w:r>
        <w:rPr>
          <w:rFonts w:ascii="Arial" w:hAnsi="Arial" w:cs="Arial"/>
          <w:b/>
          <w:sz w:val="24"/>
          <w:szCs w:val="24"/>
        </w:rPr>
        <w:t xml:space="preserve">DAPHNE SWANEPOEL </w:t>
      </w:r>
    </w:p>
    <w:p w:rsidR="009C6C32" w:rsidRDefault="009C6C32" w:rsidP="00135CF5">
      <w:pPr>
        <w:tabs>
          <w:tab w:val="right" w:pos="9000"/>
        </w:tabs>
        <w:spacing w:after="0" w:line="360" w:lineRule="auto"/>
        <w:jc w:val="both"/>
        <w:rPr>
          <w:rFonts w:ascii="Arial" w:hAnsi="Arial" w:cs="Arial"/>
          <w:b/>
          <w:sz w:val="24"/>
          <w:szCs w:val="24"/>
        </w:rPr>
      </w:pPr>
      <w:r>
        <w:rPr>
          <w:rFonts w:ascii="Arial" w:hAnsi="Arial" w:cs="Arial"/>
          <w:b/>
          <w:sz w:val="24"/>
          <w:szCs w:val="24"/>
        </w:rPr>
        <w:t xml:space="preserve">T/A DAPHNE SWANEPOEL PROPERTIES </w:t>
      </w:r>
      <w:r>
        <w:rPr>
          <w:rFonts w:ascii="Arial" w:hAnsi="Arial" w:cs="Arial"/>
          <w:b/>
          <w:sz w:val="24"/>
          <w:szCs w:val="24"/>
        </w:rPr>
        <w:tab/>
        <w:t>1</w:t>
      </w:r>
      <w:r w:rsidRPr="009C6C32">
        <w:rPr>
          <w:rFonts w:ascii="Arial" w:hAnsi="Arial" w:cs="Arial"/>
          <w:b/>
          <w:sz w:val="24"/>
          <w:szCs w:val="24"/>
          <w:vertAlign w:val="superscript"/>
        </w:rPr>
        <w:t>ST</w:t>
      </w:r>
      <w:r>
        <w:rPr>
          <w:rFonts w:ascii="Arial" w:hAnsi="Arial" w:cs="Arial"/>
          <w:b/>
          <w:sz w:val="24"/>
          <w:szCs w:val="24"/>
        </w:rPr>
        <w:t xml:space="preserve"> APPLICANT</w:t>
      </w:r>
    </w:p>
    <w:p w:rsidR="00135CF5" w:rsidRPr="00135CF5" w:rsidRDefault="00135CF5" w:rsidP="00135CF5">
      <w:pPr>
        <w:tabs>
          <w:tab w:val="right" w:pos="9000"/>
        </w:tabs>
        <w:spacing w:after="0" w:line="360" w:lineRule="auto"/>
        <w:jc w:val="both"/>
        <w:rPr>
          <w:rFonts w:ascii="Arial" w:hAnsi="Arial" w:cs="Arial"/>
          <w:b/>
          <w:sz w:val="24"/>
          <w:szCs w:val="24"/>
        </w:rPr>
      </w:pPr>
      <w:r>
        <w:rPr>
          <w:rFonts w:ascii="Arial" w:hAnsi="Arial" w:cs="Arial"/>
          <w:b/>
          <w:sz w:val="24"/>
          <w:szCs w:val="24"/>
        </w:rPr>
        <w:t>DIETER MUELLER</w:t>
      </w:r>
      <w:r>
        <w:rPr>
          <w:rFonts w:ascii="Arial" w:hAnsi="Arial" w:cs="Arial"/>
          <w:b/>
          <w:sz w:val="24"/>
          <w:szCs w:val="24"/>
        </w:rPr>
        <w:tab/>
      </w:r>
      <w:r w:rsidR="009C6C32">
        <w:rPr>
          <w:rFonts w:ascii="Arial" w:hAnsi="Arial" w:cs="Arial"/>
          <w:b/>
          <w:sz w:val="24"/>
          <w:szCs w:val="24"/>
        </w:rPr>
        <w:t>2</w:t>
      </w:r>
      <w:r w:rsidR="009C6C32" w:rsidRPr="009C6C32">
        <w:rPr>
          <w:rFonts w:ascii="Arial" w:hAnsi="Arial" w:cs="Arial"/>
          <w:b/>
          <w:sz w:val="24"/>
          <w:szCs w:val="24"/>
          <w:vertAlign w:val="superscript"/>
        </w:rPr>
        <w:t>ND</w:t>
      </w:r>
      <w:r w:rsidR="009C6C32">
        <w:rPr>
          <w:rFonts w:ascii="Arial" w:hAnsi="Arial" w:cs="Arial"/>
          <w:b/>
          <w:sz w:val="24"/>
          <w:szCs w:val="24"/>
        </w:rPr>
        <w:t xml:space="preserve"> APPLICANT</w:t>
      </w:r>
    </w:p>
    <w:p w:rsidR="00135CF5" w:rsidRDefault="00135CF5" w:rsidP="00135CF5">
      <w:pPr>
        <w:tabs>
          <w:tab w:val="right" w:pos="9000"/>
        </w:tabs>
        <w:spacing w:after="0" w:line="360" w:lineRule="auto"/>
        <w:jc w:val="both"/>
        <w:rPr>
          <w:rFonts w:ascii="Arial" w:hAnsi="Arial" w:cs="Arial"/>
          <w:b/>
          <w:sz w:val="24"/>
          <w:szCs w:val="24"/>
        </w:rPr>
      </w:pPr>
    </w:p>
    <w:p w:rsidR="00135CF5" w:rsidRPr="00135CF5" w:rsidRDefault="00135CF5" w:rsidP="00135CF5">
      <w:pPr>
        <w:tabs>
          <w:tab w:val="right" w:pos="9000"/>
        </w:tabs>
        <w:spacing w:after="0" w:line="360" w:lineRule="auto"/>
        <w:jc w:val="both"/>
        <w:rPr>
          <w:rFonts w:ascii="Arial" w:hAnsi="Arial" w:cs="Arial"/>
          <w:sz w:val="24"/>
          <w:szCs w:val="24"/>
        </w:rPr>
      </w:pPr>
      <w:r w:rsidRPr="00135CF5">
        <w:rPr>
          <w:rFonts w:ascii="Arial" w:hAnsi="Arial" w:cs="Arial"/>
          <w:sz w:val="24"/>
          <w:szCs w:val="24"/>
        </w:rPr>
        <w:t>and</w:t>
      </w:r>
    </w:p>
    <w:p w:rsidR="00135CF5" w:rsidRPr="00135CF5" w:rsidRDefault="00135CF5" w:rsidP="00135CF5">
      <w:pPr>
        <w:tabs>
          <w:tab w:val="right" w:pos="9000"/>
        </w:tabs>
        <w:spacing w:after="0" w:line="360" w:lineRule="auto"/>
        <w:jc w:val="both"/>
        <w:rPr>
          <w:rFonts w:ascii="Arial" w:hAnsi="Arial" w:cs="Arial"/>
          <w:b/>
          <w:sz w:val="24"/>
          <w:szCs w:val="24"/>
        </w:rPr>
      </w:pPr>
    </w:p>
    <w:p w:rsidR="00135CF5" w:rsidRPr="00135CF5" w:rsidRDefault="00135CF5" w:rsidP="00135CF5">
      <w:pPr>
        <w:tabs>
          <w:tab w:val="right" w:pos="9000"/>
        </w:tabs>
        <w:spacing w:after="0" w:line="360" w:lineRule="auto"/>
        <w:jc w:val="both"/>
        <w:rPr>
          <w:rFonts w:ascii="Arial" w:hAnsi="Arial" w:cs="Arial"/>
          <w:b/>
          <w:sz w:val="24"/>
          <w:szCs w:val="24"/>
        </w:rPr>
      </w:pPr>
      <w:r w:rsidRPr="00135CF5">
        <w:rPr>
          <w:rFonts w:ascii="Arial" w:hAnsi="Arial" w:cs="Arial"/>
          <w:b/>
          <w:sz w:val="24"/>
          <w:szCs w:val="24"/>
        </w:rPr>
        <w:t>SHINYA INVESTMENTS CC</w:t>
      </w:r>
      <w:r>
        <w:rPr>
          <w:rFonts w:ascii="Arial" w:hAnsi="Arial" w:cs="Arial"/>
          <w:b/>
          <w:sz w:val="24"/>
          <w:szCs w:val="24"/>
        </w:rPr>
        <w:tab/>
      </w:r>
      <w:r w:rsidR="009C6C32">
        <w:rPr>
          <w:rFonts w:ascii="Arial" w:hAnsi="Arial" w:cs="Arial"/>
          <w:b/>
          <w:sz w:val="24"/>
          <w:szCs w:val="24"/>
        </w:rPr>
        <w:t>1</w:t>
      </w:r>
      <w:r w:rsidR="009C6C32" w:rsidRPr="009C6C32">
        <w:rPr>
          <w:rFonts w:ascii="Arial" w:hAnsi="Arial" w:cs="Arial"/>
          <w:b/>
          <w:sz w:val="24"/>
          <w:szCs w:val="24"/>
          <w:vertAlign w:val="superscript"/>
        </w:rPr>
        <w:t>ST</w:t>
      </w:r>
      <w:r w:rsidRPr="00135CF5">
        <w:rPr>
          <w:rFonts w:ascii="Arial" w:hAnsi="Arial" w:cs="Arial"/>
          <w:b/>
          <w:sz w:val="24"/>
          <w:szCs w:val="24"/>
        </w:rPr>
        <w:t xml:space="preserve"> </w:t>
      </w:r>
      <w:r w:rsidR="009C6C32">
        <w:rPr>
          <w:rFonts w:ascii="Arial" w:hAnsi="Arial" w:cs="Arial"/>
          <w:b/>
          <w:sz w:val="24"/>
          <w:szCs w:val="24"/>
        </w:rPr>
        <w:t>RESPONDENT</w:t>
      </w:r>
    </w:p>
    <w:p w:rsidR="00135CF5" w:rsidRPr="00135CF5" w:rsidRDefault="00135CF5" w:rsidP="00135CF5">
      <w:pPr>
        <w:tabs>
          <w:tab w:val="right" w:pos="9000"/>
        </w:tabs>
        <w:spacing w:after="0" w:line="360" w:lineRule="auto"/>
        <w:jc w:val="both"/>
        <w:rPr>
          <w:rFonts w:ascii="Arial" w:hAnsi="Arial" w:cs="Arial"/>
          <w:b/>
          <w:sz w:val="24"/>
          <w:szCs w:val="24"/>
        </w:rPr>
      </w:pPr>
      <w:r w:rsidRPr="00135CF5">
        <w:rPr>
          <w:rFonts w:ascii="Arial" w:hAnsi="Arial" w:cs="Arial"/>
          <w:b/>
          <w:sz w:val="24"/>
          <w:szCs w:val="24"/>
        </w:rPr>
        <w:t>LOUIS FOURIE</w:t>
      </w:r>
      <w:r w:rsidRPr="00135CF5">
        <w:rPr>
          <w:rFonts w:ascii="Arial" w:hAnsi="Arial" w:cs="Arial"/>
          <w:b/>
          <w:sz w:val="24"/>
          <w:szCs w:val="24"/>
        </w:rPr>
        <w:tab/>
      </w:r>
      <w:r w:rsidR="009C6C32">
        <w:rPr>
          <w:rFonts w:ascii="Arial" w:hAnsi="Arial" w:cs="Arial"/>
          <w:b/>
          <w:sz w:val="24"/>
          <w:szCs w:val="24"/>
        </w:rPr>
        <w:t>2</w:t>
      </w:r>
      <w:r w:rsidR="009C6C32" w:rsidRPr="009C6C32">
        <w:rPr>
          <w:rFonts w:ascii="Arial" w:hAnsi="Arial" w:cs="Arial"/>
          <w:b/>
          <w:sz w:val="24"/>
          <w:szCs w:val="24"/>
          <w:vertAlign w:val="superscript"/>
        </w:rPr>
        <w:t>ND</w:t>
      </w:r>
      <w:r w:rsidRPr="00135CF5">
        <w:rPr>
          <w:rFonts w:ascii="Arial" w:hAnsi="Arial" w:cs="Arial"/>
          <w:b/>
          <w:sz w:val="24"/>
          <w:szCs w:val="24"/>
        </w:rPr>
        <w:t xml:space="preserve"> </w:t>
      </w:r>
      <w:r w:rsidR="009C6C32">
        <w:rPr>
          <w:rFonts w:ascii="Arial" w:hAnsi="Arial" w:cs="Arial"/>
          <w:b/>
          <w:sz w:val="24"/>
          <w:szCs w:val="24"/>
        </w:rPr>
        <w:t>RESPONDENT</w:t>
      </w:r>
    </w:p>
    <w:p w:rsidR="00135CF5" w:rsidRPr="00135CF5" w:rsidRDefault="00135CF5" w:rsidP="00135CF5">
      <w:pPr>
        <w:tabs>
          <w:tab w:val="right" w:pos="9000"/>
        </w:tabs>
        <w:spacing w:after="0" w:line="360" w:lineRule="auto"/>
        <w:jc w:val="both"/>
        <w:rPr>
          <w:rFonts w:ascii="Arial" w:hAnsi="Arial" w:cs="Arial"/>
          <w:b/>
          <w:sz w:val="24"/>
          <w:szCs w:val="24"/>
        </w:rPr>
      </w:pPr>
      <w:r w:rsidRPr="00135CF5">
        <w:rPr>
          <w:rFonts w:ascii="Arial" w:hAnsi="Arial" w:cs="Arial"/>
          <w:b/>
          <w:sz w:val="24"/>
          <w:szCs w:val="24"/>
        </w:rPr>
        <w:t>THOMAS ARNOLD EHBRECHT</w:t>
      </w:r>
      <w:r>
        <w:rPr>
          <w:rFonts w:ascii="Arial" w:hAnsi="Arial" w:cs="Arial"/>
          <w:b/>
          <w:sz w:val="24"/>
          <w:szCs w:val="24"/>
        </w:rPr>
        <w:tab/>
      </w:r>
      <w:r w:rsidR="009C6C32">
        <w:rPr>
          <w:rFonts w:ascii="Arial" w:hAnsi="Arial" w:cs="Arial"/>
          <w:b/>
          <w:sz w:val="24"/>
          <w:szCs w:val="24"/>
        </w:rPr>
        <w:t>3</w:t>
      </w:r>
      <w:r w:rsidR="009C6C32" w:rsidRPr="009C6C32">
        <w:rPr>
          <w:rFonts w:ascii="Arial" w:hAnsi="Arial" w:cs="Arial"/>
          <w:b/>
          <w:sz w:val="24"/>
          <w:szCs w:val="24"/>
          <w:vertAlign w:val="superscript"/>
        </w:rPr>
        <w:t>RD</w:t>
      </w:r>
      <w:r w:rsidR="009C6C32">
        <w:rPr>
          <w:rFonts w:ascii="Arial" w:hAnsi="Arial" w:cs="Arial"/>
          <w:b/>
          <w:sz w:val="24"/>
          <w:szCs w:val="24"/>
        </w:rPr>
        <w:t xml:space="preserve"> RESPONDENT</w:t>
      </w:r>
    </w:p>
    <w:p w:rsidR="00135CF5" w:rsidRPr="00135CF5" w:rsidRDefault="00135CF5" w:rsidP="00135CF5">
      <w:pPr>
        <w:tabs>
          <w:tab w:val="right" w:pos="9000"/>
        </w:tabs>
        <w:spacing w:after="0" w:line="360" w:lineRule="auto"/>
        <w:jc w:val="both"/>
        <w:rPr>
          <w:rFonts w:ascii="Arial" w:hAnsi="Arial" w:cs="Arial"/>
          <w:b/>
          <w:sz w:val="24"/>
          <w:szCs w:val="24"/>
        </w:rPr>
      </w:pPr>
      <w:r w:rsidRPr="00135CF5">
        <w:rPr>
          <w:rFonts w:ascii="Arial" w:hAnsi="Arial" w:cs="Arial"/>
          <w:b/>
          <w:sz w:val="24"/>
          <w:szCs w:val="24"/>
        </w:rPr>
        <w:t>JEAN-PIERRE RAMBERT</w:t>
      </w:r>
      <w:r>
        <w:rPr>
          <w:rFonts w:ascii="Arial" w:hAnsi="Arial" w:cs="Arial"/>
          <w:b/>
          <w:sz w:val="24"/>
          <w:szCs w:val="24"/>
        </w:rPr>
        <w:tab/>
      </w:r>
      <w:r w:rsidR="009C6C32">
        <w:rPr>
          <w:rFonts w:ascii="Arial" w:hAnsi="Arial" w:cs="Arial"/>
          <w:b/>
          <w:sz w:val="24"/>
          <w:szCs w:val="24"/>
        </w:rPr>
        <w:t>4</w:t>
      </w:r>
      <w:r w:rsidR="009C6C32" w:rsidRPr="009C6C32">
        <w:rPr>
          <w:rFonts w:ascii="Arial" w:hAnsi="Arial" w:cs="Arial"/>
          <w:b/>
          <w:sz w:val="24"/>
          <w:szCs w:val="24"/>
          <w:vertAlign w:val="superscript"/>
        </w:rPr>
        <w:t>TH</w:t>
      </w:r>
      <w:r w:rsidRPr="00135CF5">
        <w:rPr>
          <w:rFonts w:ascii="Arial" w:hAnsi="Arial" w:cs="Arial"/>
          <w:b/>
          <w:sz w:val="24"/>
          <w:szCs w:val="24"/>
        </w:rPr>
        <w:t xml:space="preserve"> </w:t>
      </w:r>
      <w:r w:rsidR="009C6C32">
        <w:rPr>
          <w:rFonts w:ascii="Arial" w:hAnsi="Arial" w:cs="Arial"/>
          <w:b/>
          <w:sz w:val="24"/>
          <w:szCs w:val="24"/>
        </w:rPr>
        <w:t>RESPONDENT</w:t>
      </w:r>
    </w:p>
    <w:p w:rsidR="00135CF5" w:rsidRPr="00135CF5" w:rsidRDefault="00135CF5" w:rsidP="00135CF5">
      <w:pPr>
        <w:tabs>
          <w:tab w:val="right" w:pos="9000"/>
        </w:tabs>
        <w:spacing w:after="0" w:line="360" w:lineRule="auto"/>
        <w:jc w:val="both"/>
        <w:rPr>
          <w:rFonts w:ascii="Arial" w:hAnsi="Arial" w:cs="Arial"/>
          <w:b/>
          <w:sz w:val="24"/>
          <w:szCs w:val="24"/>
        </w:rPr>
      </w:pPr>
      <w:r w:rsidRPr="00135CF5">
        <w:rPr>
          <w:rFonts w:ascii="Arial" w:hAnsi="Arial" w:cs="Arial"/>
          <w:b/>
          <w:sz w:val="24"/>
          <w:szCs w:val="24"/>
        </w:rPr>
        <w:t>SECRET SPRINGS LTD</w:t>
      </w:r>
      <w:r w:rsidRPr="00135CF5">
        <w:rPr>
          <w:rFonts w:ascii="Arial" w:hAnsi="Arial" w:cs="Arial"/>
          <w:b/>
          <w:sz w:val="24"/>
          <w:szCs w:val="24"/>
        </w:rPr>
        <w:tab/>
      </w:r>
      <w:r w:rsidR="009C6C32">
        <w:rPr>
          <w:rFonts w:ascii="Arial" w:hAnsi="Arial" w:cs="Arial"/>
          <w:b/>
          <w:sz w:val="24"/>
          <w:szCs w:val="24"/>
        </w:rPr>
        <w:t>5</w:t>
      </w:r>
      <w:r w:rsidR="009C6C32" w:rsidRPr="009C6C32">
        <w:rPr>
          <w:rFonts w:ascii="Arial" w:hAnsi="Arial" w:cs="Arial"/>
          <w:b/>
          <w:sz w:val="24"/>
          <w:szCs w:val="24"/>
          <w:vertAlign w:val="superscript"/>
        </w:rPr>
        <w:t>TH</w:t>
      </w:r>
      <w:r w:rsidR="009C6C32">
        <w:rPr>
          <w:rFonts w:ascii="Arial" w:hAnsi="Arial" w:cs="Arial"/>
          <w:b/>
          <w:sz w:val="24"/>
          <w:szCs w:val="24"/>
        </w:rPr>
        <w:t xml:space="preserve"> RESPONDENT</w:t>
      </w:r>
    </w:p>
    <w:p w:rsidR="00135CF5" w:rsidRPr="00135CF5" w:rsidRDefault="00135CF5" w:rsidP="00135CF5">
      <w:pPr>
        <w:tabs>
          <w:tab w:val="right" w:pos="9000"/>
        </w:tabs>
        <w:spacing w:after="0" w:line="360" w:lineRule="auto"/>
        <w:jc w:val="both"/>
        <w:rPr>
          <w:rFonts w:ascii="Arial" w:hAnsi="Arial" w:cs="Arial"/>
          <w:b/>
          <w:sz w:val="24"/>
          <w:szCs w:val="24"/>
        </w:rPr>
      </w:pPr>
    </w:p>
    <w:p w:rsidR="00135CF5" w:rsidRPr="00135CF5" w:rsidRDefault="00135CF5" w:rsidP="00135CF5">
      <w:pPr>
        <w:spacing w:after="0" w:line="360" w:lineRule="auto"/>
        <w:ind w:left="2160" w:hanging="2160"/>
        <w:jc w:val="both"/>
        <w:rPr>
          <w:rFonts w:ascii="Arial" w:hAnsi="Arial" w:cs="Arial"/>
          <w:sz w:val="24"/>
          <w:szCs w:val="24"/>
        </w:rPr>
      </w:pPr>
      <w:r w:rsidRPr="00135CF5">
        <w:rPr>
          <w:rFonts w:ascii="Arial" w:hAnsi="Arial" w:cs="Arial"/>
          <w:b/>
          <w:sz w:val="24"/>
          <w:szCs w:val="24"/>
        </w:rPr>
        <w:t>Neutral citation:</w:t>
      </w:r>
      <w:r w:rsidRPr="00135CF5">
        <w:rPr>
          <w:rFonts w:ascii="Arial" w:hAnsi="Arial" w:cs="Arial"/>
          <w:b/>
          <w:sz w:val="24"/>
          <w:szCs w:val="24"/>
        </w:rPr>
        <w:tab/>
      </w:r>
      <w:r>
        <w:rPr>
          <w:rFonts w:ascii="Arial" w:hAnsi="Arial" w:cs="Arial"/>
          <w:i/>
          <w:sz w:val="24"/>
          <w:szCs w:val="24"/>
        </w:rPr>
        <w:t>Mueller</w:t>
      </w:r>
      <w:r w:rsidRPr="00135CF5">
        <w:rPr>
          <w:rFonts w:ascii="Arial" w:hAnsi="Arial" w:cs="Arial"/>
          <w:i/>
          <w:sz w:val="24"/>
          <w:szCs w:val="24"/>
        </w:rPr>
        <w:t xml:space="preserve"> v </w:t>
      </w:r>
      <w:r w:rsidR="005D44FA">
        <w:rPr>
          <w:rFonts w:ascii="Arial" w:hAnsi="Arial" w:cs="Arial"/>
          <w:i/>
          <w:sz w:val="24"/>
          <w:szCs w:val="24"/>
        </w:rPr>
        <w:t>Shinya Investments CC &amp; 6 O</w:t>
      </w:r>
      <w:r>
        <w:rPr>
          <w:rFonts w:ascii="Arial" w:hAnsi="Arial" w:cs="Arial"/>
          <w:i/>
          <w:sz w:val="24"/>
          <w:szCs w:val="24"/>
        </w:rPr>
        <w:t>thers</w:t>
      </w:r>
      <w:r w:rsidRPr="00135CF5">
        <w:rPr>
          <w:rFonts w:ascii="Arial" w:hAnsi="Arial" w:cs="Arial"/>
          <w:i/>
          <w:sz w:val="24"/>
          <w:szCs w:val="24"/>
        </w:rPr>
        <w:t xml:space="preserve"> </w:t>
      </w:r>
      <w:r>
        <w:rPr>
          <w:rFonts w:ascii="Arial" w:hAnsi="Arial" w:cs="Arial"/>
          <w:sz w:val="24"/>
          <w:szCs w:val="24"/>
        </w:rPr>
        <w:t>(I62</w:t>
      </w:r>
      <w:r w:rsidR="00AE49C5">
        <w:rPr>
          <w:rFonts w:ascii="Arial" w:hAnsi="Arial" w:cs="Arial"/>
          <w:sz w:val="24"/>
          <w:szCs w:val="24"/>
        </w:rPr>
        <w:t>/2016) [2017] NAHCMD 232</w:t>
      </w:r>
      <w:r w:rsidRPr="00135CF5">
        <w:rPr>
          <w:rFonts w:ascii="Arial" w:hAnsi="Arial" w:cs="Arial"/>
          <w:sz w:val="24"/>
          <w:szCs w:val="24"/>
        </w:rPr>
        <w:t xml:space="preserve"> (</w:t>
      </w:r>
      <w:r>
        <w:rPr>
          <w:rFonts w:ascii="Arial" w:hAnsi="Arial" w:cs="Arial"/>
          <w:sz w:val="24"/>
          <w:szCs w:val="24"/>
        </w:rPr>
        <w:t>18 August</w:t>
      </w:r>
      <w:r w:rsidRPr="00135CF5">
        <w:rPr>
          <w:rFonts w:ascii="Arial" w:hAnsi="Arial" w:cs="Arial"/>
          <w:sz w:val="24"/>
          <w:szCs w:val="24"/>
        </w:rPr>
        <w:t xml:space="preserve"> 2017)</w:t>
      </w:r>
    </w:p>
    <w:p w:rsidR="00135CF5" w:rsidRPr="00135CF5" w:rsidRDefault="00135CF5" w:rsidP="00135CF5">
      <w:pPr>
        <w:spacing w:after="0" w:line="360" w:lineRule="auto"/>
        <w:ind w:left="2160" w:hanging="2160"/>
        <w:jc w:val="both"/>
        <w:rPr>
          <w:rFonts w:ascii="Arial" w:hAnsi="Arial" w:cs="Arial"/>
          <w:sz w:val="24"/>
          <w:szCs w:val="24"/>
        </w:rPr>
      </w:pPr>
    </w:p>
    <w:p w:rsidR="00135CF5" w:rsidRPr="00135CF5" w:rsidRDefault="00135CF5" w:rsidP="00135CF5">
      <w:pPr>
        <w:spacing w:after="0" w:line="360" w:lineRule="auto"/>
        <w:ind w:left="1440" w:hanging="1440"/>
        <w:jc w:val="both"/>
        <w:rPr>
          <w:rFonts w:ascii="Arial" w:hAnsi="Arial" w:cs="Arial"/>
          <w:b/>
          <w:i/>
          <w:sz w:val="24"/>
          <w:szCs w:val="24"/>
        </w:rPr>
      </w:pPr>
      <w:r w:rsidRPr="00135CF5">
        <w:rPr>
          <w:rFonts w:ascii="Arial" w:hAnsi="Arial" w:cs="Arial"/>
          <w:b/>
          <w:sz w:val="24"/>
          <w:szCs w:val="24"/>
        </w:rPr>
        <w:t>Coram:</w:t>
      </w:r>
      <w:r w:rsidRPr="00135CF5">
        <w:rPr>
          <w:rFonts w:ascii="Arial" w:hAnsi="Arial" w:cs="Arial"/>
          <w:sz w:val="24"/>
          <w:szCs w:val="24"/>
        </w:rPr>
        <w:tab/>
        <w:t xml:space="preserve">MILLER AJ </w:t>
      </w:r>
    </w:p>
    <w:p w:rsidR="00135CF5" w:rsidRPr="00135CF5" w:rsidRDefault="00135CF5" w:rsidP="00135CF5">
      <w:pPr>
        <w:spacing w:after="0" w:line="360" w:lineRule="auto"/>
        <w:ind w:left="1440" w:hanging="1440"/>
        <w:jc w:val="both"/>
        <w:rPr>
          <w:rFonts w:ascii="Arial" w:hAnsi="Arial" w:cs="Arial"/>
          <w:b/>
          <w:sz w:val="24"/>
          <w:szCs w:val="24"/>
        </w:rPr>
      </w:pPr>
      <w:r w:rsidRPr="00135CF5">
        <w:rPr>
          <w:rFonts w:ascii="Arial" w:hAnsi="Arial" w:cs="Arial"/>
          <w:b/>
          <w:bCs/>
          <w:sz w:val="24"/>
          <w:szCs w:val="24"/>
        </w:rPr>
        <w:t>Heard</w:t>
      </w:r>
      <w:r w:rsidRPr="00135CF5">
        <w:rPr>
          <w:rFonts w:ascii="Arial" w:hAnsi="Arial" w:cs="Arial"/>
          <w:sz w:val="24"/>
          <w:szCs w:val="24"/>
        </w:rPr>
        <w:t>:</w:t>
      </w:r>
      <w:r w:rsidRPr="00135CF5">
        <w:rPr>
          <w:rFonts w:ascii="Arial" w:hAnsi="Arial" w:cs="Arial"/>
          <w:sz w:val="24"/>
          <w:szCs w:val="24"/>
        </w:rPr>
        <w:tab/>
      </w:r>
      <w:r>
        <w:rPr>
          <w:rFonts w:ascii="Arial" w:hAnsi="Arial" w:cs="Arial"/>
          <w:b/>
          <w:sz w:val="24"/>
          <w:szCs w:val="24"/>
        </w:rPr>
        <w:t>11 AUGUST</w:t>
      </w:r>
      <w:r w:rsidRPr="00135CF5">
        <w:rPr>
          <w:rFonts w:ascii="Arial" w:hAnsi="Arial" w:cs="Arial"/>
          <w:b/>
          <w:sz w:val="24"/>
          <w:szCs w:val="24"/>
        </w:rPr>
        <w:t xml:space="preserve"> 2017</w:t>
      </w:r>
    </w:p>
    <w:p w:rsidR="00135CF5" w:rsidRPr="00135CF5" w:rsidRDefault="00135CF5" w:rsidP="00135CF5">
      <w:pPr>
        <w:spacing w:after="0" w:line="360" w:lineRule="auto"/>
        <w:jc w:val="both"/>
        <w:rPr>
          <w:rFonts w:ascii="Arial" w:hAnsi="Arial" w:cs="Arial"/>
          <w:b/>
          <w:sz w:val="24"/>
          <w:szCs w:val="24"/>
        </w:rPr>
      </w:pPr>
      <w:r w:rsidRPr="00135CF5">
        <w:rPr>
          <w:rFonts w:ascii="Arial" w:hAnsi="Arial" w:cs="Arial"/>
          <w:b/>
          <w:bCs/>
          <w:sz w:val="24"/>
          <w:szCs w:val="24"/>
        </w:rPr>
        <w:t>Delivered</w:t>
      </w:r>
      <w:r w:rsidRPr="00135CF5">
        <w:rPr>
          <w:rFonts w:ascii="Arial" w:hAnsi="Arial" w:cs="Arial"/>
          <w:sz w:val="24"/>
          <w:szCs w:val="24"/>
        </w:rPr>
        <w:t>:</w:t>
      </w:r>
      <w:r w:rsidRPr="00135CF5">
        <w:rPr>
          <w:rFonts w:ascii="Arial" w:hAnsi="Arial" w:cs="Arial"/>
          <w:sz w:val="24"/>
          <w:szCs w:val="24"/>
        </w:rPr>
        <w:tab/>
      </w:r>
      <w:r>
        <w:rPr>
          <w:rFonts w:ascii="Arial" w:hAnsi="Arial" w:cs="Arial"/>
          <w:b/>
          <w:sz w:val="24"/>
          <w:szCs w:val="24"/>
        </w:rPr>
        <w:t>18 AUGUST</w:t>
      </w:r>
      <w:r w:rsidRPr="00135CF5">
        <w:rPr>
          <w:rFonts w:ascii="Arial" w:hAnsi="Arial" w:cs="Arial"/>
          <w:b/>
          <w:sz w:val="24"/>
          <w:szCs w:val="24"/>
        </w:rPr>
        <w:t xml:space="preserve"> 2017</w:t>
      </w:r>
    </w:p>
    <w:p w:rsidR="00135CF5" w:rsidRPr="00135CF5" w:rsidRDefault="009D237A" w:rsidP="00135CF5">
      <w:pPr>
        <w:spacing w:after="0" w:line="360" w:lineRule="auto"/>
        <w:jc w:val="both"/>
        <w:rPr>
          <w:rFonts w:ascii="Arial" w:hAnsi="Arial" w:cs="Arial"/>
          <w:bCs/>
          <w:sz w:val="24"/>
          <w:szCs w:val="24"/>
        </w:rPr>
      </w:pPr>
      <w:r>
        <w:rPr>
          <w:rFonts w:ascii="Arial" w:hAnsi="Arial" w:cs="Arial"/>
          <w:bCs/>
          <w:sz w:val="24"/>
          <w:szCs w:val="24"/>
        </w:rPr>
        <w:lastRenderedPageBreak/>
        <w:pict>
          <v:rect id="_x0000_i1025" style="width:468pt;height:1.5pt" o:hralign="center" o:hrstd="t" o:hr="t" fillcolor="#a0a0a0" stroked="f"/>
        </w:pict>
      </w:r>
    </w:p>
    <w:p w:rsidR="00135CF5" w:rsidRPr="00135CF5" w:rsidRDefault="00135CF5" w:rsidP="00135CF5">
      <w:pPr>
        <w:spacing w:after="0" w:line="360" w:lineRule="auto"/>
        <w:jc w:val="center"/>
        <w:rPr>
          <w:rFonts w:ascii="Arial" w:hAnsi="Arial" w:cs="Arial"/>
          <w:b/>
          <w:bCs/>
          <w:sz w:val="24"/>
          <w:szCs w:val="24"/>
        </w:rPr>
      </w:pPr>
      <w:r w:rsidRPr="00135CF5">
        <w:rPr>
          <w:rFonts w:ascii="Arial" w:hAnsi="Arial" w:cs="Arial"/>
          <w:b/>
          <w:bCs/>
          <w:sz w:val="24"/>
          <w:szCs w:val="24"/>
        </w:rPr>
        <w:t>ORDER</w:t>
      </w:r>
    </w:p>
    <w:p w:rsidR="00135CF5" w:rsidRPr="00135CF5" w:rsidRDefault="009D237A" w:rsidP="00135CF5">
      <w:pPr>
        <w:spacing w:after="0" w:line="360" w:lineRule="auto"/>
        <w:jc w:val="both"/>
        <w:rPr>
          <w:rFonts w:ascii="Arial" w:hAnsi="Arial" w:cs="Arial"/>
          <w:bCs/>
          <w:sz w:val="24"/>
          <w:szCs w:val="24"/>
        </w:rPr>
      </w:pPr>
      <w:r>
        <w:rPr>
          <w:rFonts w:ascii="Arial" w:hAnsi="Arial" w:cs="Arial"/>
          <w:bCs/>
          <w:sz w:val="24"/>
          <w:szCs w:val="24"/>
        </w:rPr>
        <w:pict>
          <v:rect id="_x0000_i1026" style="width:468pt;height:1.5pt" o:hralign="center" o:hrstd="t" o:hr="t" fillcolor="#a0a0a0" stroked="f"/>
        </w:pict>
      </w:r>
    </w:p>
    <w:p w:rsidR="00135CF5" w:rsidRPr="00135CF5" w:rsidRDefault="00135CF5" w:rsidP="00135CF5">
      <w:pPr>
        <w:spacing w:after="0" w:line="360" w:lineRule="auto"/>
        <w:jc w:val="both"/>
        <w:rPr>
          <w:rFonts w:ascii="Arial" w:hAnsi="Arial" w:cs="Arial"/>
          <w:sz w:val="24"/>
          <w:szCs w:val="24"/>
        </w:rPr>
      </w:pPr>
      <w:r w:rsidRPr="00135CF5">
        <w:rPr>
          <w:rFonts w:ascii="Arial" w:hAnsi="Arial" w:cs="Arial"/>
          <w:sz w:val="24"/>
          <w:szCs w:val="24"/>
        </w:rPr>
        <w:t xml:space="preserve">Having heard both counsel for the </w:t>
      </w:r>
      <w:r w:rsidR="004420AE">
        <w:rPr>
          <w:rFonts w:ascii="Arial" w:hAnsi="Arial" w:cs="Arial"/>
          <w:sz w:val="24"/>
          <w:szCs w:val="24"/>
        </w:rPr>
        <w:t>applicants</w:t>
      </w:r>
      <w:r w:rsidRPr="00135CF5">
        <w:rPr>
          <w:rFonts w:ascii="Arial" w:hAnsi="Arial" w:cs="Arial"/>
          <w:sz w:val="24"/>
          <w:szCs w:val="24"/>
        </w:rPr>
        <w:t xml:space="preserve"> and </w:t>
      </w:r>
      <w:r w:rsidR="003663E9">
        <w:rPr>
          <w:rFonts w:ascii="Arial" w:hAnsi="Arial" w:cs="Arial"/>
          <w:sz w:val="24"/>
          <w:szCs w:val="24"/>
        </w:rPr>
        <w:t xml:space="preserve">first, fourth and fifth </w:t>
      </w:r>
      <w:r w:rsidR="004420AE">
        <w:rPr>
          <w:rFonts w:ascii="Arial" w:hAnsi="Arial" w:cs="Arial"/>
          <w:sz w:val="24"/>
          <w:szCs w:val="24"/>
        </w:rPr>
        <w:t>respondents</w:t>
      </w:r>
      <w:r w:rsidRPr="00135CF5">
        <w:rPr>
          <w:rFonts w:ascii="Arial" w:hAnsi="Arial" w:cs="Arial"/>
          <w:sz w:val="24"/>
          <w:szCs w:val="24"/>
        </w:rPr>
        <w:t xml:space="preserve"> – </w:t>
      </w:r>
    </w:p>
    <w:p w:rsidR="00135CF5" w:rsidRPr="00135CF5" w:rsidRDefault="00135CF5" w:rsidP="00135CF5">
      <w:pPr>
        <w:spacing w:after="0" w:line="360" w:lineRule="auto"/>
        <w:jc w:val="both"/>
        <w:rPr>
          <w:rFonts w:ascii="Arial" w:hAnsi="Arial" w:cs="Arial"/>
          <w:sz w:val="24"/>
          <w:szCs w:val="24"/>
        </w:rPr>
      </w:pPr>
    </w:p>
    <w:p w:rsidR="00135CF5" w:rsidRDefault="00135CF5" w:rsidP="00135CF5">
      <w:pPr>
        <w:spacing w:after="0" w:line="360" w:lineRule="auto"/>
        <w:jc w:val="both"/>
        <w:rPr>
          <w:rFonts w:ascii="Arial" w:hAnsi="Arial" w:cs="Arial"/>
          <w:sz w:val="24"/>
          <w:szCs w:val="24"/>
        </w:rPr>
      </w:pPr>
      <w:r w:rsidRPr="00135CF5">
        <w:rPr>
          <w:rFonts w:ascii="Arial" w:hAnsi="Arial" w:cs="Arial"/>
          <w:sz w:val="24"/>
          <w:szCs w:val="24"/>
        </w:rPr>
        <w:t>IT IS ORDERED THAT:</w:t>
      </w:r>
    </w:p>
    <w:p w:rsidR="00DE624E" w:rsidRPr="00135CF5" w:rsidRDefault="00DE624E" w:rsidP="00135CF5">
      <w:pPr>
        <w:spacing w:after="0" w:line="360" w:lineRule="auto"/>
        <w:jc w:val="both"/>
        <w:rPr>
          <w:rFonts w:ascii="Arial" w:hAnsi="Arial" w:cs="Arial"/>
          <w:sz w:val="24"/>
          <w:szCs w:val="24"/>
        </w:rPr>
      </w:pPr>
    </w:p>
    <w:p w:rsidR="00DE624E" w:rsidRDefault="00DE624E" w:rsidP="000D2DBE">
      <w:pPr>
        <w:pStyle w:val="ListParagraph"/>
        <w:numPr>
          <w:ilvl w:val="0"/>
          <w:numId w:val="6"/>
        </w:numPr>
        <w:tabs>
          <w:tab w:val="left" w:pos="0"/>
          <w:tab w:val="left" w:pos="720"/>
        </w:tabs>
        <w:spacing w:after="0" w:line="360" w:lineRule="auto"/>
        <w:jc w:val="both"/>
        <w:rPr>
          <w:rFonts w:ascii="Arial" w:eastAsia="Times New Roman" w:hAnsi="Arial" w:cs="Arial"/>
          <w:sz w:val="24"/>
          <w:szCs w:val="24"/>
        </w:rPr>
      </w:pPr>
      <w:r>
        <w:rPr>
          <w:rFonts w:ascii="Arial" w:eastAsia="Times New Roman" w:hAnsi="Arial" w:cs="Arial"/>
          <w:sz w:val="24"/>
          <w:szCs w:val="24"/>
        </w:rPr>
        <w:t>The application is dismissed.</w:t>
      </w:r>
    </w:p>
    <w:p w:rsidR="00DE624E" w:rsidRDefault="00DE624E" w:rsidP="000D2DBE">
      <w:pPr>
        <w:pStyle w:val="ListParagraph"/>
        <w:tabs>
          <w:tab w:val="left" w:pos="0"/>
          <w:tab w:val="left" w:pos="720"/>
        </w:tabs>
        <w:spacing w:after="0" w:line="360" w:lineRule="auto"/>
        <w:jc w:val="both"/>
        <w:rPr>
          <w:rFonts w:ascii="Arial" w:eastAsia="Times New Roman" w:hAnsi="Arial" w:cs="Arial"/>
          <w:sz w:val="24"/>
          <w:szCs w:val="24"/>
        </w:rPr>
      </w:pPr>
    </w:p>
    <w:p w:rsidR="00DE624E" w:rsidRDefault="00DE624E" w:rsidP="000D2DBE">
      <w:pPr>
        <w:pStyle w:val="ListParagraph"/>
        <w:numPr>
          <w:ilvl w:val="0"/>
          <w:numId w:val="6"/>
        </w:numPr>
        <w:tabs>
          <w:tab w:val="left" w:pos="0"/>
          <w:tab w:val="left" w:pos="720"/>
        </w:tabs>
        <w:spacing w:after="0" w:line="360" w:lineRule="auto"/>
        <w:jc w:val="both"/>
        <w:rPr>
          <w:rFonts w:ascii="Arial" w:eastAsia="Times New Roman" w:hAnsi="Arial" w:cs="Arial"/>
          <w:sz w:val="24"/>
          <w:szCs w:val="24"/>
        </w:rPr>
      </w:pPr>
      <w:r>
        <w:rPr>
          <w:rFonts w:ascii="Arial" w:eastAsia="Times New Roman" w:hAnsi="Arial" w:cs="Arial"/>
          <w:sz w:val="24"/>
          <w:szCs w:val="24"/>
        </w:rPr>
        <w:t>The applicants are ordered to jointly or severally pay the costs of the respondents who opposed the application which will include the costs of one instructing and one instructed counsel.</w:t>
      </w:r>
    </w:p>
    <w:p w:rsidR="00DE624E" w:rsidRPr="00DE624E" w:rsidRDefault="00DE624E" w:rsidP="000D2DBE">
      <w:pPr>
        <w:pStyle w:val="ListParagraph"/>
        <w:jc w:val="both"/>
        <w:rPr>
          <w:rFonts w:ascii="Arial" w:eastAsia="Times New Roman" w:hAnsi="Arial" w:cs="Arial"/>
          <w:sz w:val="24"/>
          <w:szCs w:val="24"/>
        </w:rPr>
      </w:pPr>
    </w:p>
    <w:p w:rsidR="00DE624E" w:rsidRDefault="00DE624E" w:rsidP="000D2DBE">
      <w:pPr>
        <w:pStyle w:val="ListParagraph"/>
        <w:numPr>
          <w:ilvl w:val="0"/>
          <w:numId w:val="6"/>
        </w:numPr>
        <w:tabs>
          <w:tab w:val="left" w:pos="0"/>
          <w:tab w:val="left" w:pos="720"/>
        </w:tabs>
        <w:spacing w:after="0" w:line="360" w:lineRule="auto"/>
        <w:jc w:val="both"/>
        <w:rPr>
          <w:rFonts w:ascii="Arial" w:eastAsia="Times New Roman" w:hAnsi="Arial" w:cs="Arial"/>
          <w:sz w:val="24"/>
          <w:szCs w:val="24"/>
        </w:rPr>
      </w:pPr>
      <w:r>
        <w:rPr>
          <w:rFonts w:ascii="Arial" w:eastAsia="Times New Roman" w:hAnsi="Arial" w:cs="Arial"/>
          <w:sz w:val="24"/>
          <w:szCs w:val="24"/>
        </w:rPr>
        <w:t>In so far as it may be necessary I order that Rule 32(11) shall not apply in the taxation of the bills of costs.</w:t>
      </w:r>
    </w:p>
    <w:p w:rsidR="00DE624E" w:rsidRPr="00DE624E" w:rsidRDefault="00DE624E" w:rsidP="000D2DBE">
      <w:pPr>
        <w:pStyle w:val="ListParagraph"/>
        <w:jc w:val="both"/>
        <w:rPr>
          <w:rFonts w:ascii="Arial" w:eastAsia="Times New Roman" w:hAnsi="Arial" w:cs="Arial"/>
          <w:sz w:val="24"/>
          <w:szCs w:val="24"/>
        </w:rPr>
      </w:pPr>
    </w:p>
    <w:p w:rsidR="00DE624E" w:rsidRPr="00DE624E" w:rsidRDefault="00DE624E" w:rsidP="000D2DBE">
      <w:pPr>
        <w:pStyle w:val="ListParagraph"/>
        <w:numPr>
          <w:ilvl w:val="0"/>
          <w:numId w:val="6"/>
        </w:numPr>
        <w:tabs>
          <w:tab w:val="left" w:pos="0"/>
          <w:tab w:val="left" w:pos="720"/>
        </w:tabs>
        <w:spacing w:after="0" w:line="360" w:lineRule="auto"/>
        <w:jc w:val="both"/>
        <w:rPr>
          <w:rFonts w:ascii="Arial" w:eastAsia="Times New Roman" w:hAnsi="Arial" w:cs="Arial"/>
          <w:sz w:val="24"/>
          <w:szCs w:val="24"/>
        </w:rPr>
      </w:pPr>
      <w:r>
        <w:rPr>
          <w:rFonts w:ascii="Arial" w:eastAsia="Times New Roman" w:hAnsi="Arial" w:cs="Arial"/>
          <w:sz w:val="24"/>
          <w:szCs w:val="24"/>
        </w:rPr>
        <w:t>There shall be a status hearing on Monday, 28 August 2017 at 14h00.</w:t>
      </w:r>
    </w:p>
    <w:p w:rsidR="00135CF5" w:rsidRPr="00135CF5" w:rsidRDefault="00135CF5" w:rsidP="000D2DBE">
      <w:pPr>
        <w:spacing w:after="0" w:line="360" w:lineRule="auto"/>
        <w:jc w:val="both"/>
        <w:rPr>
          <w:rFonts w:ascii="Arial" w:hAnsi="Arial" w:cs="Arial"/>
          <w:sz w:val="24"/>
          <w:szCs w:val="24"/>
        </w:rPr>
      </w:pPr>
    </w:p>
    <w:p w:rsidR="00135CF5" w:rsidRPr="00135CF5" w:rsidRDefault="009D237A" w:rsidP="000D2DBE">
      <w:pPr>
        <w:spacing w:after="0" w:line="360" w:lineRule="auto"/>
        <w:jc w:val="both"/>
        <w:rPr>
          <w:rFonts w:ascii="Arial" w:hAnsi="Arial" w:cs="Arial"/>
          <w:bCs/>
          <w:sz w:val="24"/>
          <w:szCs w:val="24"/>
        </w:rPr>
      </w:pPr>
      <w:r>
        <w:rPr>
          <w:rFonts w:ascii="Arial" w:hAnsi="Arial" w:cs="Arial"/>
          <w:bCs/>
          <w:sz w:val="24"/>
          <w:szCs w:val="24"/>
        </w:rPr>
        <w:pict>
          <v:rect id="_x0000_i1027" style="width:468pt;height:1.5pt" o:hralign="center" o:hrstd="t" o:hr="t" fillcolor="#a0a0a0" stroked="f"/>
        </w:pict>
      </w:r>
    </w:p>
    <w:p w:rsidR="00135CF5" w:rsidRPr="00135CF5" w:rsidRDefault="00135CF5" w:rsidP="003663E9">
      <w:pPr>
        <w:spacing w:after="0" w:line="360" w:lineRule="auto"/>
        <w:jc w:val="center"/>
        <w:rPr>
          <w:rFonts w:ascii="Arial" w:hAnsi="Arial" w:cs="Arial"/>
          <w:b/>
          <w:sz w:val="24"/>
          <w:szCs w:val="24"/>
        </w:rPr>
      </w:pPr>
      <w:r w:rsidRPr="00135CF5">
        <w:rPr>
          <w:rFonts w:ascii="Arial" w:hAnsi="Arial" w:cs="Arial"/>
          <w:b/>
          <w:sz w:val="24"/>
          <w:szCs w:val="24"/>
        </w:rPr>
        <w:t>RULING</w:t>
      </w:r>
    </w:p>
    <w:p w:rsidR="00135CF5" w:rsidRPr="00135CF5" w:rsidRDefault="009D237A" w:rsidP="000D2DBE">
      <w:pPr>
        <w:spacing w:after="0" w:line="360" w:lineRule="auto"/>
        <w:jc w:val="both"/>
        <w:rPr>
          <w:rFonts w:ascii="Arial" w:hAnsi="Arial" w:cs="Arial"/>
          <w:bCs/>
          <w:sz w:val="24"/>
          <w:szCs w:val="24"/>
        </w:rPr>
      </w:pPr>
      <w:r>
        <w:rPr>
          <w:rFonts w:ascii="Arial" w:hAnsi="Arial" w:cs="Arial"/>
          <w:bCs/>
          <w:sz w:val="24"/>
          <w:szCs w:val="24"/>
        </w:rPr>
        <w:pict>
          <v:rect id="_x0000_i1028" style="width:468pt;height:1.5pt" o:hralign="center" o:hrstd="t" o:hr="t" fillcolor="#a0a0a0" stroked="f"/>
        </w:pict>
      </w:r>
    </w:p>
    <w:p w:rsidR="00135CF5" w:rsidRPr="00135CF5" w:rsidRDefault="00135CF5" w:rsidP="000D2DBE">
      <w:pPr>
        <w:spacing w:after="0" w:line="360" w:lineRule="auto"/>
        <w:ind w:left="1440" w:hanging="1440"/>
        <w:jc w:val="both"/>
        <w:rPr>
          <w:rFonts w:ascii="Arial" w:hAnsi="Arial" w:cs="Arial"/>
          <w:sz w:val="24"/>
          <w:szCs w:val="24"/>
        </w:rPr>
      </w:pPr>
    </w:p>
    <w:p w:rsidR="00135CF5" w:rsidRPr="00135CF5" w:rsidRDefault="00135CF5" w:rsidP="000D2DBE">
      <w:pPr>
        <w:spacing w:after="0" w:line="360" w:lineRule="auto"/>
        <w:ind w:left="1440" w:hanging="1440"/>
        <w:jc w:val="both"/>
        <w:rPr>
          <w:rFonts w:ascii="Arial" w:hAnsi="Arial" w:cs="Arial"/>
          <w:b/>
          <w:i/>
          <w:sz w:val="24"/>
          <w:szCs w:val="24"/>
        </w:rPr>
      </w:pPr>
      <w:r w:rsidRPr="00135CF5">
        <w:rPr>
          <w:rFonts w:ascii="Arial" w:hAnsi="Arial" w:cs="Arial"/>
          <w:sz w:val="24"/>
          <w:szCs w:val="24"/>
        </w:rPr>
        <w:t>MILLER AJ:</w:t>
      </w:r>
    </w:p>
    <w:p w:rsidR="00135CF5" w:rsidRPr="00135CF5" w:rsidRDefault="00135CF5" w:rsidP="000D2DBE">
      <w:pPr>
        <w:spacing w:after="0" w:line="360" w:lineRule="auto"/>
        <w:jc w:val="both"/>
        <w:rPr>
          <w:rFonts w:ascii="Arial" w:hAnsi="Arial" w:cs="Arial"/>
          <w:sz w:val="24"/>
          <w:szCs w:val="24"/>
        </w:rPr>
      </w:pPr>
    </w:p>
    <w:p w:rsidR="00135CF5" w:rsidRDefault="00135CF5" w:rsidP="000D2DBE">
      <w:pPr>
        <w:tabs>
          <w:tab w:val="left" w:pos="0"/>
          <w:tab w:val="left" w:pos="720"/>
        </w:tabs>
        <w:spacing w:after="0" w:line="360" w:lineRule="auto"/>
        <w:jc w:val="both"/>
        <w:rPr>
          <w:rFonts w:ascii="Arial" w:eastAsia="Times New Roman" w:hAnsi="Arial" w:cs="Arial"/>
          <w:sz w:val="24"/>
          <w:szCs w:val="24"/>
        </w:rPr>
      </w:pPr>
      <w:r w:rsidRPr="00135CF5">
        <w:rPr>
          <w:rFonts w:ascii="Arial" w:eastAsia="Times New Roman" w:hAnsi="Arial" w:cs="Arial"/>
          <w:sz w:val="24"/>
          <w:szCs w:val="24"/>
        </w:rPr>
        <w:t>[1]</w:t>
      </w:r>
      <w:r w:rsidRPr="00135CF5">
        <w:rPr>
          <w:rFonts w:ascii="Arial" w:eastAsia="Times New Roman" w:hAnsi="Arial" w:cs="Arial"/>
          <w:sz w:val="24"/>
          <w:szCs w:val="24"/>
        </w:rPr>
        <w:tab/>
      </w:r>
      <w:r w:rsidR="0005748D">
        <w:rPr>
          <w:rFonts w:ascii="Arial" w:eastAsia="Times New Roman" w:hAnsi="Arial" w:cs="Arial"/>
          <w:sz w:val="24"/>
          <w:szCs w:val="24"/>
        </w:rPr>
        <w:t xml:space="preserve">The matter before me is an application in terms of which essentially the first applicant seeks an order to the effect that </w:t>
      </w:r>
      <w:r w:rsidR="00D52418">
        <w:rPr>
          <w:rFonts w:ascii="Arial" w:eastAsia="Times New Roman" w:hAnsi="Arial" w:cs="Arial"/>
          <w:sz w:val="24"/>
          <w:szCs w:val="24"/>
        </w:rPr>
        <w:t>s</w:t>
      </w:r>
      <w:r w:rsidR="0005748D">
        <w:rPr>
          <w:rFonts w:ascii="Arial" w:eastAsia="Times New Roman" w:hAnsi="Arial" w:cs="Arial"/>
          <w:sz w:val="24"/>
          <w:szCs w:val="24"/>
        </w:rPr>
        <w:t>he</w:t>
      </w:r>
      <w:r w:rsidR="00D52418">
        <w:rPr>
          <w:rFonts w:ascii="Arial" w:eastAsia="Times New Roman" w:hAnsi="Arial" w:cs="Arial"/>
          <w:sz w:val="24"/>
          <w:szCs w:val="24"/>
        </w:rPr>
        <w:t xml:space="preserve"> be</w:t>
      </w:r>
      <w:r w:rsidR="0005748D">
        <w:rPr>
          <w:rFonts w:ascii="Arial" w:eastAsia="Times New Roman" w:hAnsi="Arial" w:cs="Arial"/>
          <w:sz w:val="24"/>
          <w:szCs w:val="24"/>
        </w:rPr>
        <w:t xml:space="preserve"> joined </w:t>
      </w:r>
      <w:r w:rsidR="00D52418">
        <w:rPr>
          <w:rFonts w:ascii="Arial" w:eastAsia="Times New Roman" w:hAnsi="Arial" w:cs="Arial"/>
          <w:sz w:val="24"/>
          <w:szCs w:val="24"/>
        </w:rPr>
        <w:t xml:space="preserve">as </w:t>
      </w:r>
      <w:r w:rsidR="0005748D">
        <w:rPr>
          <w:rFonts w:ascii="Arial" w:eastAsia="Times New Roman" w:hAnsi="Arial" w:cs="Arial"/>
          <w:sz w:val="24"/>
          <w:szCs w:val="24"/>
        </w:rPr>
        <w:t>a plaintiff in case I 62/2016 (the main action).</w:t>
      </w:r>
    </w:p>
    <w:p w:rsidR="0005748D" w:rsidRDefault="0005748D" w:rsidP="000D2DBE">
      <w:pPr>
        <w:tabs>
          <w:tab w:val="left" w:pos="0"/>
          <w:tab w:val="left" w:pos="720"/>
        </w:tabs>
        <w:spacing w:after="0" w:line="360" w:lineRule="auto"/>
        <w:jc w:val="both"/>
        <w:rPr>
          <w:rFonts w:ascii="Arial" w:eastAsia="Times New Roman" w:hAnsi="Arial" w:cs="Arial"/>
          <w:sz w:val="24"/>
          <w:szCs w:val="24"/>
        </w:rPr>
      </w:pPr>
    </w:p>
    <w:p w:rsidR="0005748D" w:rsidRDefault="0005748D" w:rsidP="000D2DBE">
      <w:pPr>
        <w:tabs>
          <w:tab w:val="left" w:pos="0"/>
          <w:tab w:val="left" w:pos="720"/>
        </w:tabs>
        <w:spacing w:after="0" w:line="360" w:lineRule="auto"/>
        <w:jc w:val="both"/>
        <w:rPr>
          <w:rFonts w:ascii="Arial" w:eastAsia="Times New Roman" w:hAnsi="Arial" w:cs="Arial"/>
          <w:sz w:val="24"/>
          <w:szCs w:val="24"/>
        </w:rPr>
      </w:pPr>
      <w:r>
        <w:rPr>
          <w:rFonts w:ascii="Arial" w:eastAsia="Times New Roman" w:hAnsi="Arial" w:cs="Arial"/>
          <w:sz w:val="24"/>
          <w:szCs w:val="24"/>
        </w:rPr>
        <w:t>[2]</w:t>
      </w:r>
      <w:r>
        <w:rPr>
          <w:rFonts w:ascii="Arial" w:eastAsia="Times New Roman" w:hAnsi="Arial" w:cs="Arial"/>
          <w:sz w:val="24"/>
          <w:szCs w:val="24"/>
        </w:rPr>
        <w:tab/>
        <w:t>The main action was instituted by the second applicant against various</w:t>
      </w:r>
      <w:r w:rsidR="00D52418">
        <w:rPr>
          <w:rFonts w:ascii="Arial" w:eastAsia="Times New Roman" w:hAnsi="Arial" w:cs="Arial"/>
          <w:sz w:val="24"/>
          <w:szCs w:val="24"/>
        </w:rPr>
        <w:t xml:space="preserve"> defendants and at this stage has</w:t>
      </w:r>
      <w:r>
        <w:rPr>
          <w:rFonts w:ascii="Arial" w:eastAsia="Times New Roman" w:hAnsi="Arial" w:cs="Arial"/>
          <w:sz w:val="24"/>
          <w:szCs w:val="24"/>
        </w:rPr>
        <w:t xml:space="preserve"> </w:t>
      </w:r>
      <w:r w:rsidR="00D52418">
        <w:rPr>
          <w:rFonts w:ascii="Arial" w:eastAsia="Times New Roman" w:hAnsi="Arial" w:cs="Arial"/>
          <w:sz w:val="24"/>
          <w:szCs w:val="24"/>
        </w:rPr>
        <w:t>h</w:t>
      </w:r>
      <w:r>
        <w:rPr>
          <w:rFonts w:ascii="Arial" w:eastAsia="Times New Roman" w:hAnsi="Arial" w:cs="Arial"/>
          <w:sz w:val="24"/>
          <w:szCs w:val="24"/>
        </w:rPr>
        <w:t>a</w:t>
      </w:r>
      <w:r w:rsidR="00D52418">
        <w:rPr>
          <w:rFonts w:ascii="Arial" w:eastAsia="Times New Roman" w:hAnsi="Arial" w:cs="Arial"/>
          <w:sz w:val="24"/>
          <w:szCs w:val="24"/>
        </w:rPr>
        <w:t>d</w:t>
      </w:r>
      <w:r>
        <w:rPr>
          <w:rFonts w:ascii="Arial" w:eastAsia="Times New Roman" w:hAnsi="Arial" w:cs="Arial"/>
          <w:sz w:val="24"/>
          <w:szCs w:val="24"/>
        </w:rPr>
        <w:t xml:space="preserve"> </w:t>
      </w:r>
      <w:r w:rsidR="00AF14F6">
        <w:rPr>
          <w:rFonts w:ascii="Arial" w:eastAsia="Times New Roman" w:hAnsi="Arial" w:cs="Arial"/>
          <w:sz w:val="24"/>
          <w:szCs w:val="24"/>
        </w:rPr>
        <w:t xml:space="preserve">a </w:t>
      </w:r>
      <w:r>
        <w:rPr>
          <w:rFonts w:ascii="Arial" w:eastAsia="Times New Roman" w:hAnsi="Arial" w:cs="Arial"/>
          <w:sz w:val="24"/>
          <w:szCs w:val="24"/>
        </w:rPr>
        <w:t>chequered history. What is important is that the s</w:t>
      </w:r>
      <w:r w:rsidR="00914C02">
        <w:rPr>
          <w:rFonts w:ascii="Arial" w:eastAsia="Times New Roman" w:hAnsi="Arial" w:cs="Arial"/>
          <w:sz w:val="24"/>
          <w:szCs w:val="24"/>
        </w:rPr>
        <w:t>econd applicant seeks to recover</w:t>
      </w:r>
      <w:r>
        <w:rPr>
          <w:rFonts w:ascii="Arial" w:eastAsia="Times New Roman" w:hAnsi="Arial" w:cs="Arial"/>
          <w:sz w:val="24"/>
          <w:szCs w:val="24"/>
        </w:rPr>
        <w:t xml:space="preserve"> from the remaining defendants the sum of N$600 000.00 together with value added tax. This amount, so it is alleged, became due and payable to </w:t>
      </w:r>
      <w:r>
        <w:rPr>
          <w:rFonts w:ascii="Arial" w:eastAsia="Times New Roman" w:hAnsi="Arial" w:cs="Arial"/>
          <w:sz w:val="24"/>
          <w:szCs w:val="24"/>
        </w:rPr>
        <w:lastRenderedPageBreak/>
        <w:t>him as an agreed commission, consequent open him being the effective cause of the sale of certain immovable property</w:t>
      </w:r>
      <w:r w:rsidR="00AF14F6">
        <w:rPr>
          <w:rFonts w:ascii="Arial" w:eastAsia="Times New Roman" w:hAnsi="Arial" w:cs="Arial"/>
          <w:sz w:val="24"/>
          <w:szCs w:val="24"/>
        </w:rPr>
        <w:t>,</w:t>
      </w:r>
      <w:r w:rsidR="004553A4">
        <w:rPr>
          <w:rFonts w:ascii="Arial" w:eastAsia="Times New Roman" w:hAnsi="Arial" w:cs="Arial"/>
          <w:sz w:val="24"/>
          <w:szCs w:val="24"/>
        </w:rPr>
        <w:t xml:space="preserve"> in terms of a so</w:t>
      </w:r>
      <w:r w:rsidR="00AF14F6">
        <w:rPr>
          <w:rFonts w:ascii="Arial" w:eastAsia="Times New Roman" w:hAnsi="Arial" w:cs="Arial"/>
          <w:sz w:val="24"/>
          <w:szCs w:val="24"/>
        </w:rPr>
        <w:t>le mandate granted to him</w:t>
      </w:r>
      <w:r>
        <w:rPr>
          <w:rFonts w:ascii="Arial" w:eastAsia="Times New Roman" w:hAnsi="Arial" w:cs="Arial"/>
          <w:sz w:val="24"/>
          <w:szCs w:val="24"/>
        </w:rPr>
        <w:t>.</w:t>
      </w:r>
    </w:p>
    <w:p w:rsidR="0005748D" w:rsidRDefault="0005748D" w:rsidP="000D2DBE">
      <w:pPr>
        <w:tabs>
          <w:tab w:val="left" w:pos="0"/>
          <w:tab w:val="left" w:pos="720"/>
        </w:tabs>
        <w:spacing w:after="0" w:line="360" w:lineRule="auto"/>
        <w:jc w:val="both"/>
        <w:rPr>
          <w:rFonts w:ascii="Arial" w:eastAsia="Times New Roman" w:hAnsi="Arial" w:cs="Arial"/>
          <w:sz w:val="24"/>
          <w:szCs w:val="24"/>
        </w:rPr>
      </w:pPr>
    </w:p>
    <w:p w:rsidR="0005748D" w:rsidRDefault="0005748D" w:rsidP="000D2DBE">
      <w:pPr>
        <w:tabs>
          <w:tab w:val="left" w:pos="0"/>
          <w:tab w:val="left" w:pos="720"/>
        </w:tabs>
        <w:spacing w:after="0" w:line="360" w:lineRule="auto"/>
        <w:jc w:val="both"/>
        <w:rPr>
          <w:rFonts w:ascii="Arial" w:eastAsia="Times New Roman" w:hAnsi="Arial" w:cs="Arial"/>
          <w:sz w:val="24"/>
          <w:szCs w:val="24"/>
        </w:rPr>
      </w:pPr>
      <w:r>
        <w:rPr>
          <w:rFonts w:ascii="Arial" w:eastAsia="Times New Roman" w:hAnsi="Arial" w:cs="Arial"/>
          <w:sz w:val="24"/>
          <w:szCs w:val="24"/>
        </w:rPr>
        <w:t>[3]</w:t>
      </w:r>
      <w:r>
        <w:rPr>
          <w:rFonts w:ascii="Arial" w:eastAsia="Times New Roman" w:hAnsi="Arial" w:cs="Arial"/>
          <w:sz w:val="24"/>
          <w:szCs w:val="24"/>
        </w:rPr>
        <w:tab/>
        <w:t xml:space="preserve">The present application was </w:t>
      </w:r>
      <w:r w:rsidR="00DF4B4C">
        <w:rPr>
          <w:rFonts w:ascii="Arial" w:eastAsia="Times New Roman" w:hAnsi="Arial" w:cs="Arial"/>
          <w:sz w:val="24"/>
          <w:szCs w:val="24"/>
        </w:rPr>
        <w:t>launched on 22 May 2017 and became opposed by the first, fourth and fifth respondents. They were content to raise certain points of law only and filed no affidavits.</w:t>
      </w:r>
    </w:p>
    <w:p w:rsidR="00DF4B4C" w:rsidRDefault="00DF4B4C" w:rsidP="000D2DBE">
      <w:pPr>
        <w:tabs>
          <w:tab w:val="left" w:pos="0"/>
          <w:tab w:val="left" w:pos="720"/>
        </w:tabs>
        <w:spacing w:after="0" w:line="360" w:lineRule="auto"/>
        <w:jc w:val="both"/>
        <w:rPr>
          <w:rFonts w:ascii="Arial" w:eastAsia="Times New Roman" w:hAnsi="Arial" w:cs="Arial"/>
          <w:sz w:val="24"/>
          <w:szCs w:val="24"/>
        </w:rPr>
      </w:pPr>
    </w:p>
    <w:p w:rsidR="00DF4B4C" w:rsidRDefault="00DF4B4C" w:rsidP="000D2DBE">
      <w:pPr>
        <w:tabs>
          <w:tab w:val="left" w:pos="0"/>
          <w:tab w:val="left" w:pos="720"/>
        </w:tabs>
        <w:spacing w:after="0" w:line="360" w:lineRule="auto"/>
        <w:jc w:val="both"/>
        <w:rPr>
          <w:rFonts w:ascii="Arial" w:eastAsia="Times New Roman" w:hAnsi="Arial" w:cs="Arial"/>
          <w:sz w:val="24"/>
          <w:szCs w:val="24"/>
        </w:rPr>
      </w:pPr>
      <w:r>
        <w:rPr>
          <w:rFonts w:ascii="Arial" w:eastAsia="Times New Roman" w:hAnsi="Arial" w:cs="Arial"/>
          <w:sz w:val="24"/>
          <w:szCs w:val="24"/>
        </w:rPr>
        <w:t>[4]</w:t>
      </w:r>
      <w:r>
        <w:rPr>
          <w:rFonts w:ascii="Arial" w:eastAsia="Times New Roman" w:hAnsi="Arial" w:cs="Arial"/>
          <w:sz w:val="24"/>
          <w:szCs w:val="24"/>
        </w:rPr>
        <w:tab/>
        <w:t xml:space="preserve">The founding affidavit annexed to the Notice of Motion in the present application was deposed to by the first applicant. The </w:t>
      </w:r>
      <w:r w:rsidR="00914C02">
        <w:rPr>
          <w:rFonts w:ascii="Arial" w:eastAsia="Times New Roman" w:hAnsi="Arial" w:cs="Arial"/>
          <w:sz w:val="24"/>
          <w:szCs w:val="24"/>
        </w:rPr>
        <w:t>affidavit is t</w:t>
      </w:r>
      <w:r>
        <w:rPr>
          <w:rFonts w:ascii="Arial" w:eastAsia="Times New Roman" w:hAnsi="Arial" w:cs="Arial"/>
          <w:sz w:val="24"/>
          <w:szCs w:val="24"/>
        </w:rPr>
        <w:t xml:space="preserve">erse to the point and in some respects contradictory </w:t>
      </w:r>
      <w:r w:rsidR="00914C02">
        <w:rPr>
          <w:rFonts w:ascii="Arial" w:eastAsia="Times New Roman" w:hAnsi="Arial" w:cs="Arial"/>
          <w:sz w:val="24"/>
          <w:szCs w:val="24"/>
        </w:rPr>
        <w:t>and at o</w:t>
      </w:r>
      <w:r>
        <w:rPr>
          <w:rFonts w:ascii="Arial" w:eastAsia="Times New Roman" w:hAnsi="Arial" w:cs="Arial"/>
          <w:sz w:val="24"/>
          <w:szCs w:val="24"/>
        </w:rPr>
        <w:t>dds with itself as to the facts upon which the first applicant seeks to rely.</w:t>
      </w:r>
    </w:p>
    <w:p w:rsidR="00DF4B4C" w:rsidRDefault="00DF4B4C" w:rsidP="000D2DBE">
      <w:pPr>
        <w:tabs>
          <w:tab w:val="left" w:pos="0"/>
          <w:tab w:val="left" w:pos="720"/>
        </w:tabs>
        <w:spacing w:after="0" w:line="360" w:lineRule="auto"/>
        <w:jc w:val="both"/>
        <w:rPr>
          <w:rFonts w:ascii="Arial" w:eastAsia="Times New Roman" w:hAnsi="Arial" w:cs="Arial"/>
          <w:sz w:val="24"/>
          <w:szCs w:val="24"/>
        </w:rPr>
      </w:pPr>
    </w:p>
    <w:p w:rsidR="009A0117" w:rsidRDefault="00DF4B4C" w:rsidP="000D2DBE">
      <w:pPr>
        <w:tabs>
          <w:tab w:val="left" w:pos="0"/>
          <w:tab w:val="left" w:pos="720"/>
        </w:tabs>
        <w:spacing w:after="0" w:line="360" w:lineRule="auto"/>
        <w:jc w:val="both"/>
        <w:rPr>
          <w:rFonts w:ascii="Arial" w:eastAsia="Times New Roman" w:hAnsi="Arial" w:cs="Arial"/>
          <w:sz w:val="24"/>
          <w:szCs w:val="24"/>
        </w:rPr>
      </w:pPr>
      <w:r>
        <w:rPr>
          <w:rFonts w:ascii="Arial" w:eastAsia="Times New Roman" w:hAnsi="Arial" w:cs="Arial"/>
          <w:sz w:val="24"/>
          <w:szCs w:val="24"/>
        </w:rPr>
        <w:t>[5]</w:t>
      </w:r>
      <w:r>
        <w:rPr>
          <w:rFonts w:ascii="Arial" w:eastAsia="Times New Roman" w:hAnsi="Arial" w:cs="Arial"/>
          <w:sz w:val="24"/>
          <w:szCs w:val="24"/>
        </w:rPr>
        <w:tab/>
        <w:t xml:space="preserve">I do not intend to dwell on that to </w:t>
      </w:r>
      <w:r w:rsidR="009A0117">
        <w:rPr>
          <w:rFonts w:ascii="Arial" w:eastAsia="Times New Roman" w:hAnsi="Arial" w:cs="Arial"/>
          <w:sz w:val="24"/>
          <w:szCs w:val="24"/>
        </w:rPr>
        <w:t>an</w:t>
      </w:r>
      <w:r w:rsidR="00914C02">
        <w:rPr>
          <w:rFonts w:ascii="Arial" w:eastAsia="Times New Roman" w:hAnsi="Arial" w:cs="Arial"/>
          <w:sz w:val="24"/>
          <w:szCs w:val="24"/>
        </w:rPr>
        <w:t>y extent. Mr H</w:t>
      </w:r>
      <w:r w:rsidR="005D44FA">
        <w:rPr>
          <w:rFonts w:ascii="Arial" w:eastAsia="Times New Roman" w:hAnsi="Arial" w:cs="Arial"/>
          <w:sz w:val="24"/>
          <w:szCs w:val="24"/>
        </w:rPr>
        <w:t>eathcote SC</w:t>
      </w:r>
      <w:r w:rsidR="009A0117">
        <w:rPr>
          <w:rFonts w:ascii="Arial" w:eastAsia="Times New Roman" w:hAnsi="Arial" w:cs="Arial"/>
          <w:sz w:val="24"/>
          <w:szCs w:val="24"/>
        </w:rPr>
        <w:t xml:space="preserve"> who moved the application </w:t>
      </w:r>
      <w:r w:rsidR="00914C02">
        <w:rPr>
          <w:rFonts w:ascii="Arial" w:eastAsia="Times New Roman" w:hAnsi="Arial" w:cs="Arial"/>
          <w:sz w:val="24"/>
          <w:szCs w:val="24"/>
        </w:rPr>
        <w:t xml:space="preserve">on behalf </w:t>
      </w:r>
      <w:r w:rsidR="009A0117">
        <w:rPr>
          <w:rFonts w:ascii="Arial" w:eastAsia="Times New Roman" w:hAnsi="Arial" w:cs="Arial"/>
          <w:sz w:val="24"/>
          <w:szCs w:val="24"/>
        </w:rPr>
        <w:t>of the applicants conceded during the course of the hearing that the application</w:t>
      </w:r>
      <w:r w:rsidR="00914C02">
        <w:rPr>
          <w:rFonts w:ascii="Arial" w:eastAsia="Times New Roman" w:hAnsi="Arial" w:cs="Arial"/>
          <w:sz w:val="24"/>
          <w:szCs w:val="24"/>
        </w:rPr>
        <w:t xml:space="preserve"> stan</w:t>
      </w:r>
      <w:r w:rsidR="00AF14F6">
        <w:rPr>
          <w:rFonts w:ascii="Arial" w:eastAsia="Times New Roman" w:hAnsi="Arial" w:cs="Arial"/>
          <w:sz w:val="24"/>
          <w:szCs w:val="24"/>
        </w:rPr>
        <w:t>ding by itself would not pass mu</w:t>
      </w:r>
      <w:r w:rsidR="009A0117">
        <w:rPr>
          <w:rFonts w:ascii="Arial" w:eastAsia="Times New Roman" w:hAnsi="Arial" w:cs="Arial"/>
          <w:sz w:val="24"/>
          <w:szCs w:val="24"/>
        </w:rPr>
        <w:t>ster. I agree with that concession and can only add that the facts in so far as one can rely on them fall far short of what was required in order to succeed.</w:t>
      </w:r>
    </w:p>
    <w:p w:rsidR="009A0117" w:rsidRDefault="009A0117" w:rsidP="000D2DBE">
      <w:pPr>
        <w:tabs>
          <w:tab w:val="left" w:pos="0"/>
          <w:tab w:val="left" w:pos="720"/>
        </w:tabs>
        <w:spacing w:after="0" w:line="360" w:lineRule="auto"/>
        <w:jc w:val="both"/>
        <w:rPr>
          <w:rFonts w:ascii="Arial" w:eastAsia="Times New Roman" w:hAnsi="Arial" w:cs="Arial"/>
          <w:sz w:val="24"/>
          <w:szCs w:val="24"/>
        </w:rPr>
      </w:pPr>
    </w:p>
    <w:p w:rsidR="009A0117" w:rsidRDefault="009A0117" w:rsidP="000D2DBE">
      <w:pPr>
        <w:tabs>
          <w:tab w:val="left" w:pos="0"/>
          <w:tab w:val="left" w:pos="720"/>
        </w:tabs>
        <w:spacing w:after="0" w:line="360" w:lineRule="auto"/>
        <w:jc w:val="both"/>
        <w:rPr>
          <w:rFonts w:ascii="Arial" w:eastAsia="Times New Roman" w:hAnsi="Arial" w:cs="Arial"/>
          <w:sz w:val="24"/>
          <w:szCs w:val="24"/>
        </w:rPr>
      </w:pPr>
      <w:r>
        <w:rPr>
          <w:rFonts w:ascii="Arial" w:eastAsia="Times New Roman" w:hAnsi="Arial" w:cs="Arial"/>
          <w:sz w:val="24"/>
          <w:szCs w:val="24"/>
        </w:rPr>
        <w:t>[6]</w:t>
      </w:r>
      <w:r>
        <w:rPr>
          <w:rFonts w:ascii="Arial" w:eastAsia="Times New Roman" w:hAnsi="Arial" w:cs="Arial"/>
          <w:sz w:val="24"/>
          <w:szCs w:val="24"/>
        </w:rPr>
        <w:tab/>
        <w:t xml:space="preserve">Mr Heathcote </w:t>
      </w:r>
      <w:r w:rsidR="005D44FA">
        <w:rPr>
          <w:rFonts w:ascii="Arial" w:eastAsia="Times New Roman" w:hAnsi="Arial" w:cs="Arial"/>
          <w:sz w:val="24"/>
          <w:szCs w:val="24"/>
        </w:rPr>
        <w:t xml:space="preserve">SC </w:t>
      </w:r>
      <w:r>
        <w:rPr>
          <w:rFonts w:ascii="Arial" w:eastAsia="Times New Roman" w:hAnsi="Arial" w:cs="Arial"/>
          <w:sz w:val="24"/>
          <w:szCs w:val="24"/>
        </w:rPr>
        <w:t xml:space="preserve">urged me to go </w:t>
      </w:r>
      <w:r w:rsidR="00914C02">
        <w:rPr>
          <w:rFonts w:ascii="Arial" w:eastAsia="Times New Roman" w:hAnsi="Arial" w:cs="Arial"/>
          <w:sz w:val="24"/>
          <w:szCs w:val="24"/>
        </w:rPr>
        <w:t>beyond</w:t>
      </w:r>
      <w:r>
        <w:rPr>
          <w:rFonts w:ascii="Arial" w:eastAsia="Times New Roman" w:hAnsi="Arial" w:cs="Arial"/>
          <w:sz w:val="24"/>
          <w:szCs w:val="24"/>
        </w:rPr>
        <w:t xml:space="preserve"> what appears from the application itself and to also have </w:t>
      </w:r>
      <w:r w:rsidR="00914C02">
        <w:rPr>
          <w:rFonts w:ascii="Arial" w:eastAsia="Times New Roman" w:hAnsi="Arial" w:cs="Arial"/>
          <w:sz w:val="24"/>
          <w:szCs w:val="24"/>
        </w:rPr>
        <w:t>regar</w:t>
      </w:r>
      <w:r>
        <w:rPr>
          <w:rFonts w:ascii="Arial" w:eastAsia="Times New Roman" w:hAnsi="Arial" w:cs="Arial"/>
          <w:sz w:val="24"/>
          <w:szCs w:val="24"/>
        </w:rPr>
        <w:t>d to the pleadings exchanged between the parties in the main action. He submitted that I should do so because the re</w:t>
      </w:r>
      <w:r w:rsidR="00AD07A8">
        <w:rPr>
          <w:rFonts w:ascii="Arial" w:eastAsia="Times New Roman" w:hAnsi="Arial" w:cs="Arial"/>
          <w:sz w:val="24"/>
          <w:szCs w:val="24"/>
        </w:rPr>
        <w:t>s</w:t>
      </w:r>
      <w:r>
        <w:rPr>
          <w:rFonts w:ascii="Arial" w:eastAsia="Times New Roman" w:hAnsi="Arial" w:cs="Arial"/>
          <w:sz w:val="24"/>
          <w:szCs w:val="24"/>
        </w:rPr>
        <w:t xml:space="preserve">pondents referred to the </w:t>
      </w:r>
      <w:r w:rsidR="00AD07A8">
        <w:rPr>
          <w:rFonts w:ascii="Arial" w:eastAsia="Times New Roman" w:hAnsi="Arial" w:cs="Arial"/>
          <w:sz w:val="24"/>
          <w:szCs w:val="24"/>
        </w:rPr>
        <w:t>pleading</w:t>
      </w:r>
      <w:r w:rsidR="00AF14F6">
        <w:rPr>
          <w:rFonts w:ascii="Arial" w:eastAsia="Times New Roman" w:hAnsi="Arial" w:cs="Arial"/>
          <w:sz w:val="24"/>
          <w:szCs w:val="24"/>
        </w:rPr>
        <w:t>s</w:t>
      </w:r>
      <w:r w:rsidR="00AD07A8">
        <w:rPr>
          <w:rFonts w:ascii="Arial" w:eastAsia="Times New Roman" w:hAnsi="Arial" w:cs="Arial"/>
          <w:sz w:val="24"/>
          <w:szCs w:val="24"/>
        </w:rPr>
        <w:t xml:space="preserve"> in their papers.</w:t>
      </w:r>
    </w:p>
    <w:p w:rsidR="00AD07A8" w:rsidRDefault="00AD07A8" w:rsidP="000D2DBE">
      <w:pPr>
        <w:tabs>
          <w:tab w:val="left" w:pos="0"/>
          <w:tab w:val="left" w:pos="720"/>
        </w:tabs>
        <w:spacing w:after="0" w:line="360" w:lineRule="auto"/>
        <w:jc w:val="both"/>
        <w:rPr>
          <w:rFonts w:ascii="Arial" w:eastAsia="Times New Roman" w:hAnsi="Arial" w:cs="Arial"/>
          <w:sz w:val="24"/>
          <w:szCs w:val="24"/>
        </w:rPr>
      </w:pPr>
    </w:p>
    <w:p w:rsidR="00AD07A8" w:rsidRDefault="00AD07A8" w:rsidP="000D2DBE">
      <w:pPr>
        <w:tabs>
          <w:tab w:val="left" w:pos="0"/>
          <w:tab w:val="left" w:pos="720"/>
        </w:tabs>
        <w:spacing w:after="0" w:line="360" w:lineRule="auto"/>
        <w:jc w:val="both"/>
        <w:rPr>
          <w:rFonts w:ascii="Arial" w:eastAsia="Times New Roman" w:hAnsi="Arial" w:cs="Arial"/>
          <w:sz w:val="24"/>
          <w:szCs w:val="24"/>
        </w:rPr>
      </w:pPr>
      <w:r>
        <w:rPr>
          <w:rFonts w:ascii="Arial" w:eastAsia="Times New Roman" w:hAnsi="Arial" w:cs="Arial"/>
          <w:sz w:val="24"/>
          <w:szCs w:val="24"/>
        </w:rPr>
        <w:t>[7]</w:t>
      </w:r>
      <w:r>
        <w:rPr>
          <w:rFonts w:ascii="Arial" w:eastAsia="Times New Roman" w:hAnsi="Arial" w:cs="Arial"/>
          <w:sz w:val="24"/>
          <w:szCs w:val="24"/>
        </w:rPr>
        <w:tab/>
        <w:t>What I am urged to do is to wade through the pleading</w:t>
      </w:r>
      <w:r w:rsidR="00914C02">
        <w:rPr>
          <w:rFonts w:ascii="Arial" w:eastAsia="Times New Roman" w:hAnsi="Arial" w:cs="Arial"/>
          <w:sz w:val="24"/>
          <w:szCs w:val="24"/>
        </w:rPr>
        <w:t>s</w:t>
      </w:r>
      <w:r>
        <w:rPr>
          <w:rFonts w:ascii="Arial" w:eastAsia="Times New Roman" w:hAnsi="Arial" w:cs="Arial"/>
          <w:sz w:val="24"/>
          <w:szCs w:val="24"/>
        </w:rPr>
        <w:t xml:space="preserve"> on my own in the hope of finding something that may or may not</w:t>
      </w:r>
      <w:r w:rsidR="00914C02">
        <w:rPr>
          <w:rFonts w:ascii="Arial" w:eastAsia="Times New Roman" w:hAnsi="Arial" w:cs="Arial"/>
          <w:sz w:val="24"/>
          <w:szCs w:val="24"/>
        </w:rPr>
        <w:t xml:space="preserve"> advance</w:t>
      </w:r>
      <w:r>
        <w:rPr>
          <w:rFonts w:ascii="Arial" w:eastAsia="Times New Roman" w:hAnsi="Arial" w:cs="Arial"/>
          <w:sz w:val="24"/>
          <w:szCs w:val="24"/>
        </w:rPr>
        <w:t xml:space="preserve"> the applicants’ case despite the fact that the applicant</w:t>
      </w:r>
      <w:r w:rsidR="00914C02">
        <w:rPr>
          <w:rFonts w:ascii="Arial" w:eastAsia="Times New Roman" w:hAnsi="Arial" w:cs="Arial"/>
          <w:sz w:val="24"/>
          <w:szCs w:val="24"/>
        </w:rPr>
        <w:t>s do</w:t>
      </w:r>
      <w:r>
        <w:rPr>
          <w:rFonts w:ascii="Arial" w:eastAsia="Times New Roman" w:hAnsi="Arial" w:cs="Arial"/>
          <w:sz w:val="24"/>
          <w:szCs w:val="24"/>
        </w:rPr>
        <w:t xml:space="preserve"> not refer to them. Apart from</w:t>
      </w:r>
      <w:r w:rsidR="00914C02">
        <w:rPr>
          <w:rFonts w:ascii="Arial" w:eastAsia="Times New Roman" w:hAnsi="Arial" w:cs="Arial"/>
          <w:sz w:val="24"/>
          <w:szCs w:val="24"/>
        </w:rPr>
        <w:t xml:space="preserve"> the fact that such an approach</w:t>
      </w:r>
      <w:r>
        <w:rPr>
          <w:rFonts w:ascii="Arial" w:eastAsia="Times New Roman" w:hAnsi="Arial" w:cs="Arial"/>
          <w:sz w:val="24"/>
          <w:szCs w:val="24"/>
        </w:rPr>
        <w:t xml:space="preserve"> is unappetizing, it is flawed in any event. </w:t>
      </w:r>
    </w:p>
    <w:p w:rsidR="007511D5" w:rsidRDefault="007511D5" w:rsidP="000D2DBE">
      <w:pPr>
        <w:tabs>
          <w:tab w:val="left" w:pos="0"/>
          <w:tab w:val="left" w:pos="720"/>
        </w:tabs>
        <w:spacing w:after="0" w:line="360" w:lineRule="auto"/>
        <w:jc w:val="both"/>
        <w:rPr>
          <w:rFonts w:ascii="Arial" w:eastAsia="Times New Roman" w:hAnsi="Arial" w:cs="Arial"/>
          <w:sz w:val="24"/>
          <w:szCs w:val="24"/>
        </w:rPr>
      </w:pPr>
    </w:p>
    <w:p w:rsidR="00A202B0" w:rsidRDefault="007511D5" w:rsidP="000D2DBE">
      <w:pPr>
        <w:spacing w:after="0" w:line="480" w:lineRule="auto"/>
        <w:jc w:val="both"/>
        <w:rPr>
          <w:rFonts w:ascii="Arial" w:eastAsia="Times New Roman" w:hAnsi="Arial" w:cs="Arial"/>
          <w:sz w:val="24"/>
          <w:szCs w:val="24"/>
        </w:rPr>
      </w:pPr>
      <w:r>
        <w:rPr>
          <w:rFonts w:ascii="Arial" w:eastAsia="Times New Roman" w:hAnsi="Arial" w:cs="Arial"/>
          <w:sz w:val="24"/>
          <w:szCs w:val="24"/>
        </w:rPr>
        <w:lastRenderedPageBreak/>
        <w:t>[8]</w:t>
      </w:r>
      <w:r>
        <w:rPr>
          <w:rFonts w:ascii="Arial" w:eastAsia="Times New Roman" w:hAnsi="Arial" w:cs="Arial"/>
          <w:sz w:val="24"/>
          <w:szCs w:val="24"/>
        </w:rPr>
        <w:tab/>
        <w:t xml:space="preserve">In the </w:t>
      </w:r>
      <w:r w:rsidR="00B45BA4">
        <w:rPr>
          <w:rFonts w:ascii="Arial" w:eastAsia="Times New Roman" w:hAnsi="Arial" w:cs="Arial"/>
          <w:sz w:val="24"/>
          <w:szCs w:val="24"/>
        </w:rPr>
        <w:t xml:space="preserve">matter of </w:t>
      </w:r>
      <w:r w:rsidR="0050542F">
        <w:rPr>
          <w:rFonts w:ascii="Arial" w:eastAsia="Times New Roman" w:hAnsi="Arial" w:cs="Arial"/>
          <w:i/>
          <w:sz w:val="24"/>
          <w:szCs w:val="24"/>
        </w:rPr>
        <w:t>Nelumbu and O</w:t>
      </w:r>
      <w:r w:rsidRPr="000D2DBE">
        <w:rPr>
          <w:rFonts w:ascii="Arial" w:eastAsia="Times New Roman" w:hAnsi="Arial" w:cs="Arial"/>
          <w:i/>
          <w:sz w:val="24"/>
          <w:szCs w:val="24"/>
        </w:rPr>
        <w:t>thers v Hikumwah a</w:t>
      </w:r>
      <w:r w:rsidR="0050542F">
        <w:rPr>
          <w:rFonts w:ascii="Arial" w:eastAsia="Times New Roman" w:hAnsi="Arial" w:cs="Arial"/>
          <w:i/>
          <w:sz w:val="24"/>
          <w:szCs w:val="24"/>
        </w:rPr>
        <w:t>nd O</w:t>
      </w:r>
      <w:r w:rsidRPr="000D2DBE">
        <w:rPr>
          <w:rFonts w:ascii="Arial" w:eastAsia="Times New Roman" w:hAnsi="Arial" w:cs="Arial"/>
          <w:i/>
          <w:sz w:val="24"/>
          <w:szCs w:val="24"/>
        </w:rPr>
        <w:t>thers</w:t>
      </w:r>
      <w:r w:rsidR="00EB263E">
        <w:rPr>
          <w:rStyle w:val="FootnoteReference"/>
          <w:rFonts w:ascii="Arial" w:eastAsia="Times New Roman" w:hAnsi="Arial" w:cs="Arial"/>
          <w:i/>
          <w:sz w:val="24"/>
          <w:szCs w:val="24"/>
        </w:rPr>
        <w:footnoteReference w:id="1"/>
      </w:r>
      <w:r w:rsidR="0050542F">
        <w:rPr>
          <w:rFonts w:ascii="Arial" w:eastAsia="Times New Roman" w:hAnsi="Arial" w:cs="Arial"/>
          <w:i/>
          <w:sz w:val="24"/>
          <w:szCs w:val="24"/>
        </w:rPr>
        <w:t xml:space="preserve">, </w:t>
      </w:r>
      <w:r w:rsidR="00B45BA4">
        <w:rPr>
          <w:rFonts w:ascii="Arial" w:eastAsia="Times New Roman" w:hAnsi="Arial" w:cs="Arial"/>
          <w:sz w:val="24"/>
          <w:szCs w:val="24"/>
        </w:rPr>
        <w:t>Damaseb, DCJ</w:t>
      </w:r>
      <w:r>
        <w:rPr>
          <w:rFonts w:ascii="Arial" w:eastAsia="Times New Roman" w:hAnsi="Arial" w:cs="Arial"/>
          <w:sz w:val="24"/>
          <w:szCs w:val="24"/>
        </w:rPr>
        <w:t xml:space="preserve"> stated the following</w:t>
      </w:r>
      <w:r w:rsidR="00B45BA4">
        <w:rPr>
          <w:rFonts w:ascii="Arial" w:eastAsia="Times New Roman" w:hAnsi="Arial" w:cs="Arial"/>
          <w:sz w:val="24"/>
          <w:szCs w:val="24"/>
        </w:rPr>
        <w:t>:</w:t>
      </w:r>
      <w:r>
        <w:rPr>
          <w:rFonts w:ascii="Arial" w:eastAsia="Times New Roman" w:hAnsi="Arial" w:cs="Arial"/>
          <w:sz w:val="24"/>
          <w:szCs w:val="24"/>
        </w:rPr>
        <w:t xml:space="preserve"> </w:t>
      </w:r>
    </w:p>
    <w:p w:rsidR="00A202B0" w:rsidRDefault="00A202B0" w:rsidP="000D2DBE">
      <w:pPr>
        <w:spacing w:after="0" w:line="480" w:lineRule="auto"/>
        <w:jc w:val="both"/>
        <w:rPr>
          <w:rFonts w:ascii="Arial" w:eastAsia="Times New Roman" w:hAnsi="Arial" w:cs="Arial"/>
          <w:sz w:val="24"/>
          <w:szCs w:val="24"/>
        </w:rPr>
      </w:pPr>
    </w:p>
    <w:p w:rsidR="0050542F" w:rsidRDefault="00B45BA4" w:rsidP="0050542F">
      <w:pPr>
        <w:spacing w:after="0" w:line="480" w:lineRule="auto"/>
        <w:ind w:firstLine="720"/>
        <w:jc w:val="both"/>
        <w:rPr>
          <w:rFonts w:ascii="Arial" w:eastAsia="Arial Unicode MS" w:hAnsi="Arial" w:cs="Arial"/>
        </w:rPr>
      </w:pPr>
      <w:r>
        <w:rPr>
          <w:rFonts w:ascii="Arial" w:eastAsia="Times New Roman" w:hAnsi="Arial" w:cs="Arial"/>
        </w:rPr>
        <w:t>‘</w:t>
      </w:r>
      <w:r w:rsidR="00A202B0" w:rsidRPr="008A3534">
        <w:rPr>
          <w:rFonts w:ascii="Arial" w:eastAsia="Arial Unicode MS" w:hAnsi="Arial" w:cs="Arial"/>
        </w:rPr>
        <w:t xml:space="preserve">As the adage goes, in motion proceedings you stand or fall by your papers. </w:t>
      </w:r>
    </w:p>
    <w:p w:rsidR="0050542F" w:rsidRDefault="0050542F" w:rsidP="0050542F">
      <w:pPr>
        <w:spacing w:after="0" w:line="480" w:lineRule="auto"/>
        <w:ind w:firstLine="720"/>
        <w:jc w:val="both"/>
        <w:rPr>
          <w:rFonts w:ascii="Arial" w:eastAsia="Arial Unicode MS" w:hAnsi="Arial" w:cs="Arial"/>
        </w:rPr>
      </w:pPr>
    </w:p>
    <w:p w:rsidR="0050542F" w:rsidRDefault="0050542F" w:rsidP="0050542F">
      <w:pPr>
        <w:spacing w:after="0" w:line="480" w:lineRule="auto"/>
        <w:ind w:firstLine="720"/>
        <w:jc w:val="both"/>
        <w:rPr>
          <w:rFonts w:ascii="Arial" w:eastAsia="Arial Unicode MS" w:hAnsi="Arial" w:cs="Arial"/>
          <w:lang w:val="en-ZA"/>
        </w:rPr>
      </w:pPr>
      <w:r>
        <w:rPr>
          <w:rFonts w:ascii="Arial" w:eastAsia="Arial Unicode MS" w:hAnsi="Arial" w:cs="Arial"/>
          <w:lang w:val="en-ZA"/>
        </w:rPr>
        <w:t>[42]</w:t>
      </w:r>
      <w:r>
        <w:rPr>
          <w:rFonts w:ascii="Arial" w:eastAsia="Arial Unicode MS" w:hAnsi="Arial" w:cs="Arial"/>
          <w:lang w:val="en-ZA"/>
        </w:rPr>
        <w:tab/>
      </w:r>
      <w:r w:rsidR="00A202B0" w:rsidRPr="00A202B0">
        <w:rPr>
          <w:rFonts w:ascii="Arial" w:eastAsia="Arial Unicode MS" w:hAnsi="Arial" w:cs="Arial"/>
          <w:lang w:val="en-ZA"/>
        </w:rPr>
        <w:t xml:space="preserve">When reliance is placed on material contained in annexures, the affidavits must clearly state what portions in the accompanying annexures the deponent relies on. It is not sufficient merely to attach supporting documents and to expect the opponent and the court to draw conclusions from them. In that regard, practitioners will do their clients a great service by heeding the following warning by Cloete JA in </w:t>
      </w:r>
      <w:r w:rsidR="00A202B0" w:rsidRPr="00A202B0">
        <w:rPr>
          <w:rFonts w:ascii="Arial" w:eastAsia="Arial Unicode MS" w:hAnsi="Arial" w:cs="Arial"/>
          <w:i/>
          <w:lang w:val="en-ZA"/>
        </w:rPr>
        <w:t>Minister of Land Affairs and Agriculture v D &amp; F Wevell Trust</w:t>
      </w:r>
      <w:r w:rsidR="00A202B0" w:rsidRPr="00A202B0">
        <w:rPr>
          <w:rFonts w:ascii="Arial" w:eastAsia="Arial Unicode MS" w:hAnsi="Arial" w:cs="Arial"/>
          <w:lang w:val="en-ZA"/>
        </w:rPr>
        <w:t>:</w:t>
      </w:r>
      <w:r w:rsidR="00A202B0" w:rsidRPr="00A202B0">
        <w:rPr>
          <w:rFonts w:ascii="Arial" w:eastAsia="Arial Unicode MS" w:hAnsi="Arial" w:cs="Arial"/>
          <w:lang w:val="en-ZA"/>
        </w:rPr>
        <w:tab/>
      </w:r>
    </w:p>
    <w:p w:rsidR="00A202B0" w:rsidRPr="00A202B0" w:rsidRDefault="00B45BA4" w:rsidP="0050542F">
      <w:pPr>
        <w:spacing w:after="0" w:line="480" w:lineRule="auto"/>
        <w:ind w:firstLine="720"/>
        <w:jc w:val="both"/>
        <w:rPr>
          <w:rFonts w:ascii="Arial" w:eastAsia="Arial Unicode MS" w:hAnsi="Arial" w:cs="Arial"/>
          <w:lang w:val="en-ZA"/>
        </w:rPr>
      </w:pPr>
      <w:r>
        <w:rPr>
          <w:rFonts w:ascii="Arial" w:eastAsia="Arial Unicode MS" w:hAnsi="Arial" w:cs="Arial"/>
          <w:lang w:val="en-ZA"/>
        </w:rPr>
        <w:t>“</w:t>
      </w:r>
      <w:r w:rsidR="00A202B0" w:rsidRPr="00A202B0">
        <w:rPr>
          <w:rFonts w:ascii="Arial" w:eastAsia="Arial Unicode MS" w:hAnsi="Arial" w:cs="Arial"/>
          <w:lang w:val="en-ZA"/>
        </w:rPr>
        <w:t>It is not proper for a party in motion proceedings to base an argument on passages in documents which have been annexed to the papers when the conclusions sought to be drawn from such passages have not been canvassed in the affidavits. The reason is manifest – the other party may well be prejudiced because evidence may have been available to it to refute the new case on the facts. . . . A party cannot be expected to trawl through lengthy annexures to the opponent’s affidavit and to speculate on the possible relevance of facts therein contained. Trial by ambush is not permitted</w:t>
      </w:r>
      <w:r w:rsidR="0050542F">
        <w:rPr>
          <w:rFonts w:ascii="Arial" w:eastAsia="Arial Unicode MS" w:hAnsi="Arial" w:cs="Arial"/>
          <w:lang w:val="en-ZA"/>
        </w:rPr>
        <w:t>”</w:t>
      </w:r>
      <w:r w:rsidR="00A202B0" w:rsidRPr="00A202B0">
        <w:rPr>
          <w:rFonts w:ascii="Arial" w:eastAsia="Arial Unicode MS" w:hAnsi="Arial" w:cs="Arial"/>
          <w:lang w:val="en-ZA"/>
        </w:rPr>
        <w:t>.</w:t>
      </w:r>
      <w:r>
        <w:rPr>
          <w:rFonts w:ascii="Arial" w:eastAsia="Arial Unicode MS" w:hAnsi="Arial" w:cs="Arial"/>
          <w:lang w:val="en-ZA"/>
        </w:rPr>
        <w:t>’</w:t>
      </w:r>
    </w:p>
    <w:p w:rsidR="00F647EE" w:rsidRDefault="00F647EE" w:rsidP="000D2DBE">
      <w:pPr>
        <w:tabs>
          <w:tab w:val="left" w:pos="0"/>
          <w:tab w:val="left" w:pos="720"/>
        </w:tabs>
        <w:spacing w:after="0" w:line="360" w:lineRule="auto"/>
        <w:jc w:val="both"/>
        <w:rPr>
          <w:rFonts w:ascii="Arial" w:eastAsia="Times New Roman" w:hAnsi="Arial" w:cs="Arial"/>
          <w:sz w:val="24"/>
          <w:szCs w:val="24"/>
        </w:rPr>
      </w:pPr>
    </w:p>
    <w:p w:rsidR="00135CF5" w:rsidRDefault="00DE624E" w:rsidP="000D2DBE">
      <w:pPr>
        <w:tabs>
          <w:tab w:val="left" w:pos="0"/>
          <w:tab w:val="left" w:pos="720"/>
        </w:tabs>
        <w:spacing w:after="0" w:line="360" w:lineRule="auto"/>
        <w:jc w:val="both"/>
        <w:rPr>
          <w:rFonts w:ascii="Arial" w:eastAsia="Times New Roman" w:hAnsi="Arial" w:cs="Arial"/>
          <w:sz w:val="24"/>
          <w:szCs w:val="24"/>
        </w:rPr>
      </w:pPr>
      <w:r>
        <w:rPr>
          <w:rFonts w:ascii="Arial" w:eastAsia="Times New Roman" w:hAnsi="Arial" w:cs="Arial"/>
          <w:sz w:val="24"/>
          <w:szCs w:val="24"/>
        </w:rPr>
        <w:t>[9]</w:t>
      </w:r>
      <w:r>
        <w:rPr>
          <w:rFonts w:ascii="Arial" w:eastAsia="Times New Roman" w:hAnsi="Arial" w:cs="Arial"/>
          <w:sz w:val="24"/>
          <w:szCs w:val="24"/>
        </w:rPr>
        <w:tab/>
        <w:t>The reasoning applies, with</w:t>
      </w:r>
      <w:r w:rsidR="00914C02">
        <w:rPr>
          <w:rFonts w:ascii="Arial" w:eastAsia="Times New Roman" w:hAnsi="Arial" w:cs="Arial"/>
          <w:sz w:val="24"/>
          <w:szCs w:val="24"/>
        </w:rPr>
        <w:t xml:space="preserve"> equal, if not greater force, to</w:t>
      </w:r>
      <w:r>
        <w:rPr>
          <w:rFonts w:ascii="Arial" w:eastAsia="Times New Roman" w:hAnsi="Arial" w:cs="Arial"/>
          <w:sz w:val="24"/>
          <w:szCs w:val="24"/>
        </w:rPr>
        <w:t xml:space="preserve"> the case before me where no attempt was even made to refer to the pleadings in the affidavit deposed to, let alone to attempt to draw attention to the parts therein that the deponent co</w:t>
      </w:r>
      <w:r w:rsidR="00AF14F6">
        <w:rPr>
          <w:rFonts w:ascii="Arial" w:eastAsia="Times New Roman" w:hAnsi="Arial" w:cs="Arial"/>
          <w:sz w:val="24"/>
          <w:szCs w:val="24"/>
        </w:rPr>
        <w:t>nsidered relevant to advance her</w:t>
      </w:r>
      <w:r>
        <w:rPr>
          <w:rFonts w:ascii="Arial" w:eastAsia="Times New Roman" w:hAnsi="Arial" w:cs="Arial"/>
          <w:sz w:val="24"/>
          <w:szCs w:val="24"/>
        </w:rPr>
        <w:t xml:space="preserve"> cause.</w:t>
      </w:r>
    </w:p>
    <w:p w:rsidR="00DE624E" w:rsidRDefault="00DE624E" w:rsidP="000D2DBE">
      <w:pPr>
        <w:tabs>
          <w:tab w:val="left" w:pos="0"/>
          <w:tab w:val="left" w:pos="720"/>
        </w:tabs>
        <w:spacing w:after="0" w:line="360" w:lineRule="auto"/>
        <w:jc w:val="both"/>
        <w:rPr>
          <w:rFonts w:ascii="Arial" w:eastAsia="Times New Roman" w:hAnsi="Arial" w:cs="Arial"/>
          <w:sz w:val="24"/>
          <w:szCs w:val="24"/>
        </w:rPr>
      </w:pPr>
    </w:p>
    <w:p w:rsidR="00DE624E" w:rsidRDefault="00DE624E" w:rsidP="000D2DBE">
      <w:pPr>
        <w:tabs>
          <w:tab w:val="left" w:pos="0"/>
          <w:tab w:val="left" w:pos="720"/>
        </w:tabs>
        <w:spacing w:after="0" w:line="360" w:lineRule="auto"/>
        <w:jc w:val="both"/>
        <w:rPr>
          <w:rFonts w:ascii="Arial" w:eastAsia="Times New Roman" w:hAnsi="Arial" w:cs="Arial"/>
          <w:sz w:val="24"/>
          <w:szCs w:val="24"/>
        </w:rPr>
      </w:pPr>
      <w:r>
        <w:rPr>
          <w:rFonts w:ascii="Arial" w:eastAsia="Times New Roman" w:hAnsi="Arial" w:cs="Arial"/>
          <w:sz w:val="24"/>
          <w:szCs w:val="24"/>
        </w:rPr>
        <w:t>[10]</w:t>
      </w:r>
      <w:r>
        <w:rPr>
          <w:rFonts w:ascii="Arial" w:eastAsia="Times New Roman" w:hAnsi="Arial" w:cs="Arial"/>
          <w:sz w:val="24"/>
          <w:szCs w:val="24"/>
        </w:rPr>
        <w:tab/>
        <w:t>The application remains flawed beyond redemption and stands to be dismissed.</w:t>
      </w:r>
    </w:p>
    <w:p w:rsidR="00DE624E" w:rsidRDefault="00DE624E" w:rsidP="000D2DBE">
      <w:pPr>
        <w:tabs>
          <w:tab w:val="left" w:pos="0"/>
          <w:tab w:val="left" w:pos="720"/>
        </w:tabs>
        <w:spacing w:after="0" w:line="360" w:lineRule="auto"/>
        <w:jc w:val="both"/>
        <w:rPr>
          <w:rFonts w:ascii="Arial" w:eastAsia="Times New Roman" w:hAnsi="Arial" w:cs="Arial"/>
          <w:sz w:val="24"/>
          <w:szCs w:val="24"/>
        </w:rPr>
      </w:pPr>
    </w:p>
    <w:p w:rsidR="00DE624E" w:rsidRDefault="00DE624E" w:rsidP="000D2DBE">
      <w:pPr>
        <w:tabs>
          <w:tab w:val="left" w:pos="0"/>
          <w:tab w:val="left" w:pos="720"/>
        </w:tabs>
        <w:spacing w:after="0" w:line="360" w:lineRule="auto"/>
        <w:jc w:val="both"/>
        <w:rPr>
          <w:rFonts w:ascii="Arial" w:eastAsia="Times New Roman" w:hAnsi="Arial" w:cs="Arial"/>
          <w:sz w:val="24"/>
          <w:szCs w:val="24"/>
        </w:rPr>
      </w:pPr>
      <w:r>
        <w:rPr>
          <w:rFonts w:ascii="Arial" w:eastAsia="Times New Roman" w:hAnsi="Arial" w:cs="Arial"/>
          <w:sz w:val="24"/>
          <w:szCs w:val="24"/>
        </w:rPr>
        <w:t>[11]</w:t>
      </w:r>
      <w:r>
        <w:rPr>
          <w:rFonts w:ascii="Arial" w:eastAsia="Times New Roman" w:hAnsi="Arial" w:cs="Arial"/>
          <w:sz w:val="24"/>
          <w:szCs w:val="24"/>
        </w:rPr>
        <w:tab/>
        <w:t>The following order will consequently issue:</w:t>
      </w:r>
    </w:p>
    <w:p w:rsidR="00DE624E" w:rsidRDefault="00DE624E" w:rsidP="000D2DBE">
      <w:pPr>
        <w:tabs>
          <w:tab w:val="left" w:pos="0"/>
          <w:tab w:val="left" w:pos="720"/>
        </w:tabs>
        <w:spacing w:after="0" w:line="360" w:lineRule="auto"/>
        <w:jc w:val="both"/>
        <w:rPr>
          <w:rFonts w:ascii="Arial" w:eastAsia="Times New Roman" w:hAnsi="Arial" w:cs="Arial"/>
          <w:sz w:val="24"/>
          <w:szCs w:val="24"/>
        </w:rPr>
      </w:pPr>
    </w:p>
    <w:p w:rsidR="00DE624E" w:rsidRDefault="00DE624E" w:rsidP="000D2DBE">
      <w:pPr>
        <w:pStyle w:val="ListParagraph"/>
        <w:numPr>
          <w:ilvl w:val="0"/>
          <w:numId w:val="7"/>
        </w:numPr>
        <w:tabs>
          <w:tab w:val="left" w:pos="0"/>
          <w:tab w:val="left" w:pos="720"/>
        </w:tabs>
        <w:spacing w:after="0" w:line="360" w:lineRule="auto"/>
        <w:jc w:val="both"/>
        <w:rPr>
          <w:rFonts w:ascii="Arial" w:eastAsia="Times New Roman" w:hAnsi="Arial" w:cs="Arial"/>
          <w:sz w:val="24"/>
          <w:szCs w:val="24"/>
        </w:rPr>
      </w:pPr>
      <w:r>
        <w:rPr>
          <w:rFonts w:ascii="Arial" w:eastAsia="Times New Roman" w:hAnsi="Arial" w:cs="Arial"/>
          <w:sz w:val="24"/>
          <w:szCs w:val="24"/>
        </w:rPr>
        <w:t>The application is dismissed.</w:t>
      </w:r>
    </w:p>
    <w:p w:rsidR="00DE624E" w:rsidRDefault="00DE624E" w:rsidP="000D2DBE">
      <w:pPr>
        <w:pStyle w:val="ListParagraph"/>
        <w:tabs>
          <w:tab w:val="left" w:pos="0"/>
          <w:tab w:val="left" w:pos="720"/>
        </w:tabs>
        <w:spacing w:after="0" w:line="360" w:lineRule="auto"/>
        <w:jc w:val="both"/>
        <w:rPr>
          <w:rFonts w:ascii="Arial" w:eastAsia="Times New Roman" w:hAnsi="Arial" w:cs="Arial"/>
          <w:sz w:val="24"/>
          <w:szCs w:val="24"/>
        </w:rPr>
      </w:pPr>
    </w:p>
    <w:p w:rsidR="00DE624E" w:rsidRDefault="00DE624E" w:rsidP="000D2DBE">
      <w:pPr>
        <w:pStyle w:val="ListParagraph"/>
        <w:numPr>
          <w:ilvl w:val="0"/>
          <w:numId w:val="7"/>
        </w:numPr>
        <w:tabs>
          <w:tab w:val="left" w:pos="0"/>
          <w:tab w:val="left" w:pos="720"/>
        </w:tabs>
        <w:spacing w:after="0" w:line="360" w:lineRule="auto"/>
        <w:jc w:val="both"/>
        <w:rPr>
          <w:rFonts w:ascii="Arial" w:eastAsia="Times New Roman" w:hAnsi="Arial" w:cs="Arial"/>
          <w:sz w:val="24"/>
          <w:szCs w:val="24"/>
        </w:rPr>
      </w:pPr>
      <w:r>
        <w:rPr>
          <w:rFonts w:ascii="Arial" w:eastAsia="Times New Roman" w:hAnsi="Arial" w:cs="Arial"/>
          <w:sz w:val="24"/>
          <w:szCs w:val="24"/>
        </w:rPr>
        <w:t>The applicants are ordered to jointly or severally pay the costs of the respondents who opposed the application which will include the costs of one instructing and one instructed counsel.</w:t>
      </w:r>
    </w:p>
    <w:p w:rsidR="00DE624E" w:rsidRPr="00DE624E" w:rsidRDefault="00DE624E" w:rsidP="000D2DBE">
      <w:pPr>
        <w:pStyle w:val="ListParagraph"/>
        <w:jc w:val="both"/>
        <w:rPr>
          <w:rFonts w:ascii="Arial" w:eastAsia="Times New Roman" w:hAnsi="Arial" w:cs="Arial"/>
          <w:sz w:val="24"/>
          <w:szCs w:val="24"/>
        </w:rPr>
      </w:pPr>
    </w:p>
    <w:p w:rsidR="00DE624E" w:rsidRDefault="00DE624E" w:rsidP="000D2DBE">
      <w:pPr>
        <w:pStyle w:val="ListParagraph"/>
        <w:numPr>
          <w:ilvl w:val="0"/>
          <w:numId w:val="7"/>
        </w:numPr>
        <w:tabs>
          <w:tab w:val="left" w:pos="0"/>
          <w:tab w:val="left" w:pos="720"/>
        </w:tabs>
        <w:spacing w:after="0" w:line="360" w:lineRule="auto"/>
        <w:jc w:val="both"/>
        <w:rPr>
          <w:rFonts w:ascii="Arial" w:eastAsia="Times New Roman" w:hAnsi="Arial" w:cs="Arial"/>
          <w:sz w:val="24"/>
          <w:szCs w:val="24"/>
        </w:rPr>
      </w:pPr>
      <w:r>
        <w:rPr>
          <w:rFonts w:ascii="Arial" w:eastAsia="Times New Roman" w:hAnsi="Arial" w:cs="Arial"/>
          <w:sz w:val="24"/>
          <w:szCs w:val="24"/>
        </w:rPr>
        <w:t>In so far as it may be necessary I order that Rule 32(11) shall not apply in the taxation of the bills of costs.</w:t>
      </w:r>
    </w:p>
    <w:p w:rsidR="00DE624E" w:rsidRPr="00DE624E" w:rsidRDefault="00DE624E" w:rsidP="000D2DBE">
      <w:pPr>
        <w:pStyle w:val="ListParagraph"/>
        <w:jc w:val="both"/>
        <w:rPr>
          <w:rFonts w:ascii="Arial" w:eastAsia="Times New Roman" w:hAnsi="Arial" w:cs="Arial"/>
          <w:sz w:val="24"/>
          <w:szCs w:val="24"/>
        </w:rPr>
      </w:pPr>
    </w:p>
    <w:p w:rsidR="00DE624E" w:rsidRPr="00DE624E" w:rsidRDefault="00DE624E" w:rsidP="000D2DBE">
      <w:pPr>
        <w:pStyle w:val="ListParagraph"/>
        <w:numPr>
          <w:ilvl w:val="0"/>
          <w:numId w:val="7"/>
        </w:numPr>
        <w:tabs>
          <w:tab w:val="left" w:pos="0"/>
          <w:tab w:val="left" w:pos="720"/>
        </w:tabs>
        <w:spacing w:after="0" w:line="360" w:lineRule="auto"/>
        <w:jc w:val="both"/>
        <w:rPr>
          <w:rFonts w:ascii="Arial" w:eastAsia="Times New Roman" w:hAnsi="Arial" w:cs="Arial"/>
          <w:sz w:val="24"/>
          <w:szCs w:val="24"/>
        </w:rPr>
      </w:pPr>
      <w:r>
        <w:rPr>
          <w:rFonts w:ascii="Arial" w:eastAsia="Times New Roman" w:hAnsi="Arial" w:cs="Arial"/>
          <w:sz w:val="24"/>
          <w:szCs w:val="24"/>
        </w:rPr>
        <w:t>There shall be a status hearing on Monday, 28 August 2017 at 14h00.</w:t>
      </w:r>
    </w:p>
    <w:p w:rsidR="00135CF5" w:rsidRDefault="00135CF5" w:rsidP="000D2DBE">
      <w:pPr>
        <w:spacing w:after="0" w:line="360" w:lineRule="auto"/>
        <w:jc w:val="both"/>
        <w:rPr>
          <w:rFonts w:ascii="Arial" w:hAnsi="Arial" w:cs="Arial"/>
          <w:sz w:val="24"/>
          <w:szCs w:val="24"/>
        </w:rPr>
      </w:pPr>
    </w:p>
    <w:p w:rsidR="00DE624E" w:rsidRDefault="00DE624E" w:rsidP="00135CF5">
      <w:pPr>
        <w:spacing w:after="0" w:line="360" w:lineRule="auto"/>
        <w:jc w:val="both"/>
        <w:rPr>
          <w:rFonts w:ascii="Arial" w:hAnsi="Arial" w:cs="Arial"/>
          <w:sz w:val="24"/>
          <w:szCs w:val="24"/>
        </w:rPr>
      </w:pPr>
    </w:p>
    <w:p w:rsidR="00DE624E" w:rsidRPr="00135CF5" w:rsidRDefault="00DE624E" w:rsidP="00135CF5">
      <w:pPr>
        <w:spacing w:after="0" w:line="360" w:lineRule="auto"/>
        <w:jc w:val="both"/>
        <w:rPr>
          <w:rFonts w:ascii="Arial" w:hAnsi="Arial" w:cs="Arial"/>
          <w:sz w:val="24"/>
          <w:szCs w:val="24"/>
        </w:rPr>
      </w:pPr>
    </w:p>
    <w:p w:rsidR="00135CF5" w:rsidRPr="00135CF5" w:rsidRDefault="00135CF5" w:rsidP="00135CF5">
      <w:pPr>
        <w:spacing w:after="0" w:line="360" w:lineRule="auto"/>
        <w:jc w:val="right"/>
        <w:rPr>
          <w:rFonts w:ascii="Arial" w:hAnsi="Arial" w:cs="Arial"/>
          <w:sz w:val="24"/>
          <w:szCs w:val="24"/>
        </w:rPr>
      </w:pPr>
      <w:r w:rsidRPr="00135CF5">
        <w:rPr>
          <w:rFonts w:ascii="Arial" w:hAnsi="Arial" w:cs="Arial"/>
          <w:sz w:val="24"/>
          <w:szCs w:val="24"/>
        </w:rPr>
        <w:t>---------------------</w:t>
      </w:r>
    </w:p>
    <w:p w:rsidR="00135CF5" w:rsidRPr="00135CF5" w:rsidRDefault="00135CF5" w:rsidP="00135CF5">
      <w:pPr>
        <w:spacing w:after="0" w:line="360" w:lineRule="auto"/>
        <w:jc w:val="right"/>
        <w:rPr>
          <w:rFonts w:ascii="Arial" w:hAnsi="Arial" w:cs="Arial"/>
          <w:sz w:val="24"/>
          <w:szCs w:val="24"/>
        </w:rPr>
      </w:pPr>
      <w:r w:rsidRPr="00135CF5">
        <w:rPr>
          <w:rFonts w:ascii="Arial" w:hAnsi="Arial" w:cs="Arial"/>
          <w:sz w:val="24"/>
          <w:szCs w:val="24"/>
        </w:rPr>
        <w:t>K Miller</w:t>
      </w:r>
    </w:p>
    <w:p w:rsidR="00135CF5" w:rsidRPr="00135CF5" w:rsidRDefault="00135CF5" w:rsidP="00135CF5">
      <w:pPr>
        <w:spacing w:after="0" w:line="360" w:lineRule="auto"/>
        <w:jc w:val="right"/>
        <w:rPr>
          <w:rFonts w:ascii="Arial" w:hAnsi="Arial" w:cs="Arial"/>
          <w:sz w:val="24"/>
          <w:szCs w:val="24"/>
        </w:rPr>
      </w:pPr>
      <w:r w:rsidRPr="00135CF5">
        <w:rPr>
          <w:rFonts w:ascii="Arial" w:hAnsi="Arial" w:cs="Arial"/>
          <w:sz w:val="24"/>
          <w:szCs w:val="24"/>
        </w:rPr>
        <w:t>Acting Judge</w:t>
      </w:r>
    </w:p>
    <w:p w:rsidR="00135CF5" w:rsidRPr="00135CF5" w:rsidRDefault="00135CF5" w:rsidP="00135CF5">
      <w:pPr>
        <w:spacing w:after="0" w:line="360" w:lineRule="auto"/>
        <w:jc w:val="both"/>
        <w:rPr>
          <w:rFonts w:ascii="Arial" w:hAnsi="Arial" w:cs="Arial"/>
          <w:sz w:val="24"/>
          <w:szCs w:val="24"/>
        </w:rPr>
      </w:pPr>
      <w:r w:rsidRPr="00135CF5">
        <w:rPr>
          <w:rFonts w:ascii="Arial" w:hAnsi="Arial" w:cs="Arial"/>
          <w:sz w:val="24"/>
          <w:szCs w:val="24"/>
        </w:rPr>
        <w:br w:type="page"/>
      </w:r>
    </w:p>
    <w:p w:rsidR="00135CF5" w:rsidRPr="00135CF5" w:rsidRDefault="00135CF5" w:rsidP="00135CF5">
      <w:pPr>
        <w:autoSpaceDE w:val="0"/>
        <w:autoSpaceDN w:val="0"/>
        <w:adjustRightInd w:val="0"/>
        <w:spacing w:after="0" w:line="360" w:lineRule="auto"/>
        <w:jc w:val="both"/>
        <w:rPr>
          <w:rFonts w:ascii="Arial" w:eastAsia="Times New Roman" w:hAnsi="Arial" w:cs="Arial"/>
          <w:sz w:val="24"/>
          <w:szCs w:val="24"/>
        </w:rPr>
      </w:pPr>
      <w:r w:rsidRPr="00135CF5">
        <w:rPr>
          <w:rFonts w:ascii="Arial" w:eastAsia="Times New Roman" w:hAnsi="Arial" w:cs="Arial"/>
          <w:sz w:val="24"/>
          <w:szCs w:val="24"/>
        </w:rPr>
        <w:lastRenderedPageBreak/>
        <w:t>APPEARANCES</w:t>
      </w:r>
    </w:p>
    <w:p w:rsidR="00135CF5" w:rsidRPr="00135CF5" w:rsidRDefault="00135CF5" w:rsidP="00135CF5">
      <w:pPr>
        <w:autoSpaceDE w:val="0"/>
        <w:autoSpaceDN w:val="0"/>
        <w:adjustRightInd w:val="0"/>
        <w:spacing w:after="0" w:line="360" w:lineRule="auto"/>
        <w:jc w:val="both"/>
        <w:rPr>
          <w:rFonts w:ascii="Arial" w:eastAsia="Times New Roman" w:hAnsi="Arial" w:cs="Arial"/>
          <w:sz w:val="24"/>
          <w:szCs w:val="24"/>
        </w:rPr>
      </w:pPr>
    </w:p>
    <w:p w:rsidR="00135CF5" w:rsidRPr="00135CF5" w:rsidRDefault="00135CF5" w:rsidP="00135CF5">
      <w:pPr>
        <w:autoSpaceDE w:val="0"/>
        <w:autoSpaceDN w:val="0"/>
        <w:adjustRightInd w:val="0"/>
        <w:spacing w:after="0" w:line="360" w:lineRule="auto"/>
        <w:jc w:val="both"/>
        <w:rPr>
          <w:rFonts w:ascii="Arial" w:eastAsia="Times New Roman" w:hAnsi="Arial" w:cs="Arial"/>
          <w:sz w:val="24"/>
          <w:szCs w:val="24"/>
        </w:rPr>
      </w:pPr>
    </w:p>
    <w:p w:rsidR="00135CF5" w:rsidRPr="00135CF5" w:rsidRDefault="00135CF5" w:rsidP="00135CF5">
      <w:pPr>
        <w:tabs>
          <w:tab w:val="left" w:pos="1394"/>
          <w:tab w:val="left" w:pos="2250"/>
          <w:tab w:val="left" w:pos="2880"/>
        </w:tabs>
        <w:spacing w:after="0" w:line="360" w:lineRule="auto"/>
        <w:jc w:val="both"/>
        <w:rPr>
          <w:rFonts w:ascii="Arial" w:hAnsi="Arial" w:cs="Arial"/>
          <w:sz w:val="24"/>
          <w:szCs w:val="24"/>
        </w:rPr>
      </w:pPr>
      <w:r w:rsidRPr="00135CF5">
        <w:rPr>
          <w:rFonts w:ascii="Arial" w:hAnsi="Arial" w:cs="Arial"/>
          <w:sz w:val="24"/>
          <w:szCs w:val="24"/>
        </w:rPr>
        <w:t>APPLICANT:</w:t>
      </w:r>
      <w:r w:rsidRPr="00135CF5">
        <w:rPr>
          <w:rFonts w:ascii="Arial" w:hAnsi="Arial" w:cs="Arial"/>
          <w:sz w:val="24"/>
          <w:szCs w:val="24"/>
        </w:rPr>
        <w:tab/>
      </w:r>
      <w:r w:rsidRPr="00135CF5">
        <w:rPr>
          <w:rFonts w:ascii="Arial" w:hAnsi="Arial" w:cs="Arial"/>
          <w:sz w:val="24"/>
          <w:szCs w:val="24"/>
        </w:rPr>
        <w:tab/>
      </w:r>
      <w:r w:rsidR="00CD1759">
        <w:rPr>
          <w:rFonts w:ascii="Arial" w:hAnsi="Arial" w:cs="Arial"/>
          <w:sz w:val="24"/>
          <w:szCs w:val="24"/>
        </w:rPr>
        <w:t>Mr Heathcote</w:t>
      </w:r>
      <w:r w:rsidR="0050542F">
        <w:rPr>
          <w:rFonts w:ascii="Arial" w:hAnsi="Arial" w:cs="Arial"/>
          <w:sz w:val="24"/>
          <w:szCs w:val="24"/>
        </w:rPr>
        <w:t xml:space="preserve"> SC</w:t>
      </w:r>
    </w:p>
    <w:p w:rsidR="00135CF5" w:rsidRPr="00135CF5" w:rsidRDefault="00135CF5" w:rsidP="00135CF5">
      <w:pPr>
        <w:tabs>
          <w:tab w:val="left" w:pos="1394"/>
          <w:tab w:val="left" w:pos="2250"/>
          <w:tab w:val="left" w:pos="2880"/>
        </w:tabs>
        <w:spacing w:after="0" w:line="360" w:lineRule="auto"/>
        <w:jc w:val="both"/>
        <w:rPr>
          <w:rFonts w:ascii="Arial" w:hAnsi="Arial" w:cs="Arial"/>
          <w:sz w:val="24"/>
          <w:szCs w:val="24"/>
        </w:rPr>
      </w:pPr>
      <w:r w:rsidRPr="00135CF5">
        <w:rPr>
          <w:rFonts w:ascii="Arial" w:hAnsi="Arial" w:cs="Arial"/>
          <w:sz w:val="24"/>
          <w:szCs w:val="24"/>
        </w:rPr>
        <w:tab/>
      </w:r>
      <w:r w:rsidRPr="00135CF5">
        <w:rPr>
          <w:rFonts w:ascii="Arial" w:hAnsi="Arial" w:cs="Arial"/>
          <w:sz w:val="24"/>
          <w:szCs w:val="24"/>
        </w:rPr>
        <w:tab/>
      </w:r>
      <w:r w:rsidRPr="00135CF5">
        <w:rPr>
          <w:rFonts w:ascii="Arial" w:hAnsi="Arial" w:cs="Arial"/>
          <w:sz w:val="24"/>
          <w:szCs w:val="24"/>
        </w:rPr>
        <w:tab/>
      </w:r>
      <w:r w:rsidR="00CD1759">
        <w:rPr>
          <w:rFonts w:ascii="Arial" w:hAnsi="Arial" w:cs="Arial"/>
          <w:sz w:val="24"/>
          <w:szCs w:val="24"/>
        </w:rPr>
        <w:t>Instructed by Philip Swanepoel Legal Practitioners</w:t>
      </w:r>
      <w:r w:rsidRPr="00135CF5">
        <w:rPr>
          <w:rFonts w:ascii="Arial" w:hAnsi="Arial" w:cs="Arial"/>
          <w:sz w:val="24"/>
          <w:szCs w:val="24"/>
        </w:rPr>
        <w:t>, Windhoek</w:t>
      </w:r>
    </w:p>
    <w:p w:rsidR="00135CF5" w:rsidRPr="00135CF5" w:rsidRDefault="00135CF5" w:rsidP="00135CF5">
      <w:pPr>
        <w:autoSpaceDE w:val="0"/>
        <w:autoSpaceDN w:val="0"/>
        <w:adjustRightInd w:val="0"/>
        <w:spacing w:after="0" w:line="360" w:lineRule="auto"/>
        <w:jc w:val="both"/>
        <w:rPr>
          <w:rFonts w:ascii="Arial" w:hAnsi="Arial" w:cs="Arial"/>
          <w:sz w:val="24"/>
          <w:szCs w:val="24"/>
        </w:rPr>
      </w:pPr>
    </w:p>
    <w:p w:rsidR="00135CF5" w:rsidRPr="00135CF5" w:rsidRDefault="00135CF5" w:rsidP="00135CF5">
      <w:pPr>
        <w:tabs>
          <w:tab w:val="left" w:pos="1394"/>
          <w:tab w:val="left" w:pos="2528"/>
          <w:tab w:val="left" w:pos="3780"/>
        </w:tabs>
        <w:spacing w:after="0" w:line="360" w:lineRule="auto"/>
        <w:jc w:val="both"/>
        <w:rPr>
          <w:rFonts w:ascii="Arial" w:eastAsia="Times New Roman" w:hAnsi="Arial" w:cs="Arial"/>
          <w:sz w:val="24"/>
          <w:szCs w:val="24"/>
        </w:rPr>
      </w:pPr>
    </w:p>
    <w:p w:rsidR="00135CF5" w:rsidRPr="00135CF5" w:rsidRDefault="00135CF5" w:rsidP="00135CF5">
      <w:pPr>
        <w:tabs>
          <w:tab w:val="left" w:pos="1394"/>
          <w:tab w:val="left" w:pos="2250"/>
          <w:tab w:val="left" w:pos="2880"/>
        </w:tabs>
        <w:spacing w:after="0" w:line="360" w:lineRule="auto"/>
        <w:jc w:val="both"/>
        <w:rPr>
          <w:rFonts w:ascii="Arial" w:hAnsi="Arial" w:cs="Arial"/>
          <w:sz w:val="24"/>
          <w:szCs w:val="24"/>
        </w:rPr>
      </w:pPr>
      <w:r w:rsidRPr="00135CF5">
        <w:rPr>
          <w:rFonts w:ascii="Arial" w:hAnsi="Arial" w:cs="Arial"/>
          <w:sz w:val="24"/>
          <w:szCs w:val="24"/>
        </w:rPr>
        <w:t>RESPONDENTS:</w:t>
      </w:r>
      <w:r w:rsidRPr="00135CF5">
        <w:rPr>
          <w:rFonts w:ascii="Arial" w:hAnsi="Arial" w:cs="Arial"/>
          <w:sz w:val="24"/>
          <w:szCs w:val="24"/>
        </w:rPr>
        <w:tab/>
      </w:r>
      <w:r w:rsidRPr="00135CF5">
        <w:rPr>
          <w:rFonts w:ascii="Arial" w:hAnsi="Arial" w:cs="Arial"/>
          <w:sz w:val="24"/>
          <w:szCs w:val="24"/>
        </w:rPr>
        <w:tab/>
      </w:r>
      <w:r w:rsidR="00CD1759">
        <w:rPr>
          <w:rFonts w:ascii="Arial" w:hAnsi="Arial" w:cs="Arial"/>
          <w:sz w:val="24"/>
          <w:szCs w:val="24"/>
        </w:rPr>
        <w:t>Mr Obbes</w:t>
      </w:r>
      <w:r w:rsidRPr="00135CF5">
        <w:rPr>
          <w:rFonts w:ascii="Arial" w:hAnsi="Arial" w:cs="Arial"/>
          <w:sz w:val="24"/>
          <w:szCs w:val="24"/>
        </w:rPr>
        <w:tab/>
      </w:r>
      <w:r w:rsidRPr="00135CF5">
        <w:rPr>
          <w:rFonts w:ascii="Arial" w:hAnsi="Arial" w:cs="Arial"/>
          <w:sz w:val="24"/>
          <w:szCs w:val="24"/>
        </w:rPr>
        <w:tab/>
        <w:t xml:space="preserve"> </w:t>
      </w:r>
    </w:p>
    <w:p w:rsidR="00CD1759" w:rsidRPr="00135CF5" w:rsidRDefault="00CD1759" w:rsidP="0050542F">
      <w:pPr>
        <w:autoSpaceDE w:val="0"/>
        <w:autoSpaceDN w:val="0"/>
        <w:adjustRightInd w:val="0"/>
        <w:spacing w:after="0" w:line="360" w:lineRule="auto"/>
        <w:ind w:left="2250" w:firstLine="630"/>
        <w:jc w:val="both"/>
        <w:rPr>
          <w:rFonts w:ascii="Arial" w:hAnsi="Arial" w:cs="Arial"/>
          <w:sz w:val="24"/>
          <w:szCs w:val="24"/>
        </w:rPr>
      </w:pPr>
      <w:r>
        <w:rPr>
          <w:rFonts w:ascii="Arial" w:hAnsi="Arial" w:cs="Arial"/>
          <w:sz w:val="24"/>
          <w:szCs w:val="24"/>
        </w:rPr>
        <w:t>Instruct</w:t>
      </w:r>
      <w:r w:rsidR="0050542F">
        <w:rPr>
          <w:rFonts w:ascii="Arial" w:hAnsi="Arial" w:cs="Arial"/>
          <w:sz w:val="24"/>
          <w:szCs w:val="24"/>
        </w:rPr>
        <w:t xml:space="preserve">ed by </w:t>
      </w:r>
      <w:r>
        <w:rPr>
          <w:rFonts w:ascii="Arial" w:hAnsi="Arial" w:cs="Arial"/>
          <w:sz w:val="24"/>
          <w:szCs w:val="24"/>
        </w:rPr>
        <w:t>Koep &amp; Partners</w:t>
      </w:r>
      <w:r w:rsidR="0050542F">
        <w:rPr>
          <w:rFonts w:ascii="Arial" w:hAnsi="Arial" w:cs="Arial"/>
          <w:sz w:val="24"/>
          <w:szCs w:val="24"/>
        </w:rPr>
        <w:t>, Windhoek</w:t>
      </w:r>
    </w:p>
    <w:p w:rsidR="00135CF5" w:rsidRPr="00135CF5" w:rsidRDefault="00135CF5" w:rsidP="00135CF5">
      <w:pPr>
        <w:tabs>
          <w:tab w:val="left" w:pos="1394"/>
          <w:tab w:val="left" w:pos="2528"/>
          <w:tab w:val="left" w:pos="3780"/>
        </w:tabs>
        <w:spacing w:after="0" w:line="360" w:lineRule="auto"/>
        <w:jc w:val="both"/>
        <w:rPr>
          <w:rFonts w:ascii="Arial" w:eastAsia="Times New Roman" w:hAnsi="Arial" w:cs="Arial"/>
          <w:sz w:val="24"/>
          <w:szCs w:val="24"/>
        </w:rPr>
      </w:pPr>
    </w:p>
    <w:p w:rsidR="00135CF5" w:rsidRPr="00135CF5" w:rsidRDefault="00135CF5" w:rsidP="00135CF5">
      <w:pPr>
        <w:tabs>
          <w:tab w:val="left" w:pos="1394"/>
          <w:tab w:val="left" w:pos="2528"/>
          <w:tab w:val="left" w:pos="3780"/>
        </w:tabs>
        <w:spacing w:after="0" w:line="360" w:lineRule="auto"/>
        <w:jc w:val="both"/>
        <w:rPr>
          <w:rFonts w:ascii="Arial" w:eastAsia="Times New Roman" w:hAnsi="Arial" w:cs="Arial"/>
          <w:sz w:val="24"/>
          <w:szCs w:val="24"/>
        </w:rPr>
      </w:pPr>
    </w:p>
    <w:p w:rsidR="00135CF5" w:rsidRPr="00135CF5" w:rsidRDefault="00135CF5" w:rsidP="00135CF5">
      <w:pPr>
        <w:tabs>
          <w:tab w:val="left" w:pos="1394"/>
          <w:tab w:val="left" w:pos="2528"/>
          <w:tab w:val="left" w:pos="3780"/>
        </w:tabs>
        <w:spacing w:after="0" w:line="360" w:lineRule="auto"/>
        <w:jc w:val="both"/>
        <w:rPr>
          <w:rFonts w:ascii="Arial" w:eastAsia="Times New Roman" w:hAnsi="Arial" w:cs="Arial"/>
          <w:sz w:val="24"/>
          <w:szCs w:val="24"/>
        </w:rPr>
      </w:pPr>
    </w:p>
    <w:p w:rsidR="00135CF5" w:rsidRPr="00135CF5" w:rsidRDefault="00135CF5" w:rsidP="00135CF5">
      <w:pPr>
        <w:tabs>
          <w:tab w:val="left" w:pos="1394"/>
          <w:tab w:val="left" w:pos="2528"/>
          <w:tab w:val="left" w:pos="3780"/>
        </w:tabs>
        <w:spacing w:after="0" w:line="360" w:lineRule="auto"/>
        <w:jc w:val="both"/>
        <w:rPr>
          <w:rFonts w:ascii="Arial" w:eastAsia="Times New Roman" w:hAnsi="Arial" w:cs="Arial"/>
          <w:sz w:val="24"/>
          <w:szCs w:val="24"/>
        </w:rPr>
      </w:pPr>
    </w:p>
    <w:p w:rsidR="00135CF5" w:rsidRPr="00135CF5" w:rsidRDefault="00135CF5" w:rsidP="00135CF5">
      <w:pPr>
        <w:spacing w:after="0" w:line="360" w:lineRule="auto"/>
        <w:jc w:val="both"/>
        <w:rPr>
          <w:rFonts w:ascii="Arial" w:hAnsi="Arial" w:cs="Arial"/>
          <w:sz w:val="24"/>
          <w:szCs w:val="24"/>
        </w:rPr>
      </w:pPr>
    </w:p>
    <w:p w:rsidR="00135CF5" w:rsidRPr="00135CF5" w:rsidRDefault="00135CF5" w:rsidP="00135CF5">
      <w:pPr>
        <w:spacing w:after="0" w:line="360" w:lineRule="auto"/>
        <w:jc w:val="both"/>
        <w:rPr>
          <w:rFonts w:ascii="Arial" w:hAnsi="Arial" w:cs="Arial"/>
          <w:sz w:val="24"/>
          <w:szCs w:val="24"/>
        </w:rPr>
      </w:pPr>
    </w:p>
    <w:p w:rsidR="002E4B17" w:rsidRDefault="002E4B17"/>
    <w:sectPr w:rsidR="002E4B17" w:rsidSect="00D158CA">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373" w:rsidRDefault="00C33373" w:rsidP="00A202B0">
      <w:pPr>
        <w:spacing w:after="0" w:line="240" w:lineRule="auto"/>
      </w:pPr>
      <w:r>
        <w:separator/>
      </w:r>
    </w:p>
  </w:endnote>
  <w:endnote w:type="continuationSeparator" w:id="0">
    <w:p w:rsidR="00C33373" w:rsidRDefault="00C33373" w:rsidP="00A20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795905"/>
      <w:docPartObj>
        <w:docPartGallery w:val="Page Numbers (Bottom of Page)"/>
        <w:docPartUnique/>
      </w:docPartObj>
    </w:sdtPr>
    <w:sdtEndPr>
      <w:rPr>
        <w:noProof/>
      </w:rPr>
    </w:sdtEndPr>
    <w:sdtContent>
      <w:p w:rsidR="00D158CA" w:rsidRDefault="00914C02">
        <w:pPr>
          <w:pStyle w:val="Footer"/>
          <w:jc w:val="right"/>
        </w:pPr>
        <w:r>
          <w:fldChar w:fldCharType="begin"/>
        </w:r>
        <w:r>
          <w:instrText xml:space="preserve"> PAGE   \* MERGEFORMAT </w:instrText>
        </w:r>
        <w:r>
          <w:fldChar w:fldCharType="separate"/>
        </w:r>
        <w:r w:rsidR="009D237A">
          <w:rPr>
            <w:noProof/>
          </w:rPr>
          <w:t>2</w:t>
        </w:r>
        <w:r>
          <w:rPr>
            <w:noProof/>
          </w:rPr>
          <w:fldChar w:fldCharType="end"/>
        </w:r>
      </w:p>
    </w:sdtContent>
  </w:sdt>
  <w:p w:rsidR="00D158CA" w:rsidRDefault="009D23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373" w:rsidRDefault="00C33373" w:rsidP="00A202B0">
      <w:pPr>
        <w:spacing w:after="0" w:line="240" w:lineRule="auto"/>
      </w:pPr>
      <w:r>
        <w:separator/>
      </w:r>
    </w:p>
  </w:footnote>
  <w:footnote w:type="continuationSeparator" w:id="0">
    <w:p w:rsidR="00C33373" w:rsidRDefault="00C33373" w:rsidP="00A202B0">
      <w:pPr>
        <w:spacing w:after="0" w:line="240" w:lineRule="auto"/>
      </w:pPr>
      <w:r>
        <w:continuationSeparator/>
      </w:r>
    </w:p>
  </w:footnote>
  <w:footnote w:id="1">
    <w:p w:rsidR="0050542F" w:rsidRPr="0050542F" w:rsidRDefault="00EB263E" w:rsidP="0050542F">
      <w:pPr>
        <w:pStyle w:val="FootnoteText"/>
        <w:rPr>
          <w:lang w:val="en-GB"/>
        </w:rPr>
      </w:pPr>
      <w:r>
        <w:rPr>
          <w:rStyle w:val="FootnoteReference"/>
        </w:rPr>
        <w:footnoteRef/>
      </w:r>
      <w:r>
        <w:t xml:space="preserve"> </w:t>
      </w:r>
      <w:r w:rsidR="0050542F">
        <w:rPr>
          <w:i/>
          <w:lang w:val="en-GB"/>
        </w:rPr>
        <w:t>(SA 27/</w:t>
      </w:r>
      <w:r w:rsidR="0050542F" w:rsidRPr="0050542F">
        <w:rPr>
          <w:i/>
          <w:lang w:val="en-GB"/>
        </w:rPr>
        <w:t>2015)[2017] NASC (13 April 2017)</w:t>
      </w:r>
      <w:r w:rsidR="0050542F">
        <w:rPr>
          <w:lang w:val="en-GB"/>
        </w:rPr>
        <w:t>.</w:t>
      </w:r>
    </w:p>
    <w:p w:rsidR="00EB263E" w:rsidRDefault="00EB263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6535F"/>
    <w:multiLevelType w:val="hybridMultilevel"/>
    <w:tmpl w:val="EDAEF248"/>
    <w:lvl w:ilvl="0" w:tplc="C99E6B4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425616A6"/>
    <w:multiLevelType w:val="hybridMultilevel"/>
    <w:tmpl w:val="B1E8B5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540935"/>
    <w:multiLevelType w:val="hybridMultilevel"/>
    <w:tmpl w:val="D30279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7F5D4F"/>
    <w:multiLevelType w:val="hybridMultilevel"/>
    <w:tmpl w:val="ABAEE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113C0E"/>
    <w:multiLevelType w:val="hybridMultilevel"/>
    <w:tmpl w:val="B260B85C"/>
    <w:lvl w:ilvl="0" w:tplc="EAA42E46">
      <w:start w:val="1"/>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1205AB6"/>
    <w:multiLevelType w:val="hybridMultilevel"/>
    <w:tmpl w:val="8738D62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B392FB2"/>
    <w:multiLevelType w:val="hybridMultilevel"/>
    <w:tmpl w:val="F02A09A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CF5"/>
    <w:rsid w:val="0005748D"/>
    <w:rsid w:val="000D2DBE"/>
    <w:rsid w:val="00135CF5"/>
    <w:rsid w:val="00240935"/>
    <w:rsid w:val="002E4B17"/>
    <w:rsid w:val="003663E9"/>
    <w:rsid w:val="004420AE"/>
    <w:rsid w:val="004553A4"/>
    <w:rsid w:val="0050542F"/>
    <w:rsid w:val="005624DB"/>
    <w:rsid w:val="005D44FA"/>
    <w:rsid w:val="007511D5"/>
    <w:rsid w:val="008A3534"/>
    <w:rsid w:val="00914C02"/>
    <w:rsid w:val="009A0117"/>
    <w:rsid w:val="009C6C32"/>
    <w:rsid w:val="009D237A"/>
    <w:rsid w:val="00A202B0"/>
    <w:rsid w:val="00AD07A8"/>
    <w:rsid w:val="00AE2656"/>
    <w:rsid w:val="00AE49C5"/>
    <w:rsid w:val="00AF14F6"/>
    <w:rsid w:val="00B45BA4"/>
    <w:rsid w:val="00C33373"/>
    <w:rsid w:val="00C51D30"/>
    <w:rsid w:val="00CD1759"/>
    <w:rsid w:val="00D52418"/>
    <w:rsid w:val="00DE624E"/>
    <w:rsid w:val="00DF4B4C"/>
    <w:rsid w:val="00EB263E"/>
    <w:rsid w:val="00F647E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5056F359-FC8E-4FE1-9FBE-0D42FD383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35CF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35CF5"/>
    <w:rPr>
      <w:lang w:val="en-GB"/>
    </w:rPr>
  </w:style>
  <w:style w:type="paragraph" w:styleId="FootnoteText">
    <w:name w:val="footnote text"/>
    <w:basedOn w:val="Normal"/>
    <w:link w:val="FootnoteTextChar"/>
    <w:uiPriority w:val="99"/>
    <w:unhideWhenUsed/>
    <w:rsid w:val="00A202B0"/>
    <w:pPr>
      <w:spacing w:after="0" w:line="240" w:lineRule="auto"/>
    </w:pPr>
    <w:rPr>
      <w:sz w:val="20"/>
      <w:szCs w:val="20"/>
      <w:lang w:val="en-ZA"/>
    </w:rPr>
  </w:style>
  <w:style w:type="character" w:customStyle="1" w:styleId="FootnoteTextChar">
    <w:name w:val="Footnote Text Char"/>
    <w:basedOn w:val="DefaultParagraphFont"/>
    <w:link w:val="FootnoteText"/>
    <w:uiPriority w:val="99"/>
    <w:rsid w:val="00A202B0"/>
    <w:rPr>
      <w:sz w:val="20"/>
      <w:szCs w:val="20"/>
    </w:rPr>
  </w:style>
  <w:style w:type="character" w:styleId="FootnoteReference">
    <w:name w:val="footnote reference"/>
    <w:basedOn w:val="DefaultParagraphFont"/>
    <w:uiPriority w:val="99"/>
    <w:unhideWhenUsed/>
    <w:rsid w:val="00A202B0"/>
    <w:rPr>
      <w:vertAlign w:val="superscript"/>
    </w:rPr>
  </w:style>
  <w:style w:type="paragraph" w:styleId="ListParagraph">
    <w:name w:val="List Paragraph"/>
    <w:basedOn w:val="Normal"/>
    <w:uiPriority w:val="34"/>
    <w:qFormat/>
    <w:rsid w:val="00DE624E"/>
    <w:pPr>
      <w:ind w:left="720"/>
      <w:contextualSpacing/>
    </w:pPr>
  </w:style>
  <w:style w:type="paragraph" w:styleId="BalloonText">
    <w:name w:val="Balloon Text"/>
    <w:basedOn w:val="Normal"/>
    <w:link w:val="BalloonTextChar"/>
    <w:uiPriority w:val="99"/>
    <w:semiHidden/>
    <w:unhideWhenUsed/>
    <w:rsid w:val="00D524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41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2017-08-17T18:30:00+00:00</Judgment_x0020_Date>
    <Year xmlns="c1afb1bd-f2fb-40fd-9abb-aea55b4d7662">2017</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B90B7-531D-439E-A3F3-0CD665156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379AAB-6623-4830-BDEB-4FEC3543E5E2}">
  <ds:schemaRefs>
    <ds:schemaRef ds:uri="http://schemas.microsoft.com/sharepoint/v3/contenttype/forms"/>
  </ds:schemaRefs>
</ds:datastoreItem>
</file>

<file path=customXml/itemProps3.xml><?xml version="1.0" encoding="utf-8"?>
<ds:datastoreItem xmlns:ds="http://schemas.openxmlformats.org/officeDocument/2006/customXml" ds:itemID="{FA75C44D-41BE-44F8-9353-A02BBC3CB087}">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17a0f4bd-1162-49ac-b85f-dfe96a90bc01"/>
    <ds:schemaRef ds:uri="http://purl.org/dc/terms/"/>
    <ds:schemaRef ds:uri="c1afb1bd-f2fb-40fd-9abb-aea55b4d7662"/>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AD0F549-AF6F-4298-884C-109A18700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Hileni Shilunga</dc:creator>
  <cp:keywords/>
  <dc:description/>
  <cp:lastModifiedBy>W P. Oosthuizen</cp:lastModifiedBy>
  <cp:revision>2</cp:revision>
  <cp:lastPrinted>2017-08-17T10:06:00Z</cp:lastPrinted>
  <dcterms:created xsi:type="dcterms:W3CDTF">2017-09-05T07:13:00Z</dcterms:created>
  <dcterms:modified xsi:type="dcterms:W3CDTF">2017-09-05T07:13:00Z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