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C407" w14:textId="77777777" w:rsidR="00F01571" w:rsidRPr="00231446" w:rsidRDefault="00F01571" w:rsidP="00E7287F">
      <w:pPr>
        <w:ind w:left="20" w:hanging="10"/>
        <w:jc w:val="right"/>
        <w:rPr>
          <w:szCs w:val="24"/>
        </w:rPr>
      </w:pPr>
      <w:r w:rsidRPr="00231446">
        <w:rPr>
          <w:szCs w:val="24"/>
        </w:rPr>
        <w:t>NOT REPORTABLE</w:t>
      </w:r>
    </w:p>
    <w:p w14:paraId="2B83DE24" w14:textId="77777777" w:rsidR="00F01571" w:rsidRPr="00231446" w:rsidRDefault="00F01571" w:rsidP="00E7287F">
      <w:pPr>
        <w:ind w:left="20" w:hanging="10"/>
        <w:jc w:val="center"/>
        <w:rPr>
          <w:szCs w:val="24"/>
        </w:rPr>
      </w:pPr>
      <w:r w:rsidRPr="00231446">
        <w:rPr>
          <w:b/>
          <w:szCs w:val="24"/>
        </w:rPr>
        <w:t>REPUBLIC OF NAMIBIA</w:t>
      </w:r>
    </w:p>
    <w:p w14:paraId="7CEDDB40" w14:textId="77777777" w:rsidR="00F01571" w:rsidRPr="00231446" w:rsidRDefault="00F01571" w:rsidP="00E7287F">
      <w:pPr>
        <w:ind w:left="10"/>
        <w:jc w:val="center"/>
        <w:rPr>
          <w:szCs w:val="24"/>
        </w:rPr>
      </w:pPr>
      <w:r w:rsidRPr="00231446">
        <w:rPr>
          <w:noProof/>
          <w:szCs w:val="24"/>
        </w:rPr>
        <w:drawing>
          <wp:inline distT="0" distB="0" distL="0" distR="0" wp14:anchorId="5A1E3F49" wp14:editId="556EBE97">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231446">
        <w:rPr>
          <w:rFonts w:ascii="Calibri" w:eastAsia="Calibri" w:hAnsi="Calibri" w:cs="Calibri"/>
          <w:b/>
          <w:szCs w:val="24"/>
        </w:rPr>
        <w:t xml:space="preserve"> </w:t>
      </w:r>
    </w:p>
    <w:p w14:paraId="4C011B8D" w14:textId="77777777" w:rsidR="00F01571" w:rsidRPr="00231446" w:rsidRDefault="00F01571" w:rsidP="00E7287F">
      <w:pPr>
        <w:ind w:left="10"/>
        <w:jc w:val="center"/>
        <w:rPr>
          <w:szCs w:val="24"/>
        </w:rPr>
      </w:pPr>
      <w:r w:rsidRPr="00231446">
        <w:rPr>
          <w:b/>
          <w:szCs w:val="24"/>
        </w:rPr>
        <w:t xml:space="preserve"> </w:t>
      </w:r>
    </w:p>
    <w:p w14:paraId="618AC4AA" w14:textId="77777777" w:rsidR="00F01571" w:rsidRPr="00231446" w:rsidRDefault="00F01571" w:rsidP="00E7287F">
      <w:pPr>
        <w:ind w:left="20" w:hanging="10"/>
        <w:jc w:val="center"/>
        <w:rPr>
          <w:szCs w:val="24"/>
        </w:rPr>
      </w:pPr>
      <w:r w:rsidRPr="00231446">
        <w:rPr>
          <w:b/>
          <w:szCs w:val="24"/>
        </w:rPr>
        <w:t>HIGH COURT OF NAMIBIA MAIN DIVISION, WINDHOEK</w:t>
      </w:r>
      <w:r w:rsidRPr="00231446">
        <w:rPr>
          <w:szCs w:val="24"/>
        </w:rPr>
        <w:t xml:space="preserve"> </w:t>
      </w:r>
    </w:p>
    <w:p w14:paraId="711D3B4E" w14:textId="77777777" w:rsidR="00F01571" w:rsidRPr="00231446" w:rsidRDefault="00F01571" w:rsidP="00E7287F">
      <w:pPr>
        <w:ind w:left="20" w:hanging="10"/>
        <w:jc w:val="center"/>
        <w:rPr>
          <w:szCs w:val="24"/>
        </w:rPr>
      </w:pPr>
      <w:r w:rsidRPr="00231446">
        <w:rPr>
          <w:b/>
          <w:szCs w:val="24"/>
        </w:rPr>
        <w:t xml:space="preserve">JUDGMENT </w:t>
      </w:r>
    </w:p>
    <w:p w14:paraId="09791F51" w14:textId="77777777" w:rsidR="00F01571" w:rsidRPr="00231446" w:rsidRDefault="00F01571" w:rsidP="00E7287F">
      <w:pPr>
        <w:ind w:left="10"/>
        <w:jc w:val="right"/>
        <w:rPr>
          <w:rFonts w:eastAsia="Calibri"/>
          <w:color w:val="auto"/>
          <w:szCs w:val="24"/>
          <w:lang w:val="en-US" w:eastAsia="en-US"/>
        </w:rPr>
      </w:pPr>
    </w:p>
    <w:p w14:paraId="06B32332" w14:textId="77777777" w:rsidR="00F01571" w:rsidRPr="00231446" w:rsidRDefault="00F01571" w:rsidP="00E7287F">
      <w:pPr>
        <w:ind w:left="10"/>
        <w:jc w:val="right"/>
        <w:rPr>
          <w:rFonts w:eastAsia="Calibri"/>
          <w:color w:val="auto"/>
          <w:szCs w:val="24"/>
          <w:lang w:val="en-US" w:eastAsia="en-US"/>
        </w:rPr>
      </w:pPr>
      <w:r w:rsidRPr="00231446">
        <w:rPr>
          <w:rFonts w:eastAsia="Calibri"/>
          <w:color w:val="auto"/>
          <w:szCs w:val="24"/>
          <w:lang w:val="en-US" w:eastAsia="en-US"/>
        </w:rPr>
        <w:t xml:space="preserve">CASE NO. </w:t>
      </w:r>
      <w:r w:rsidRPr="00231446">
        <w:rPr>
          <w:rFonts w:eastAsia="Calibri"/>
          <w:b/>
          <w:color w:val="auto"/>
          <w:szCs w:val="24"/>
          <w:lang w:val="en-US" w:eastAsia="en-US"/>
        </w:rPr>
        <w:t>POCA 02/2015</w:t>
      </w:r>
    </w:p>
    <w:p w14:paraId="2159F48E" w14:textId="77777777" w:rsidR="00F01571" w:rsidRPr="00231446" w:rsidRDefault="00F01571" w:rsidP="00E7287F">
      <w:pPr>
        <w:ind w:left="6490"/>
        <w:rPr>
          <w:rFonts w:eastAsia="Calibri"/>
          <w:color w:val="auto"/>
          <w:szCs w:val="24"/>
          <w:lang w:val="en-US" w:eastAsia="en-US"/>
        </w:rPr>
      </w:pPr>
    </w:p>
    <w:p w14:paraId="1307B8B1" w14:textId="77777777" w:rsidR="00F01571" w:rsidRPr="00231446" w:rsidRDefault="00F01571" w:rsidP="00E7287F">
      <w:pPr>
        <w:ind w:left="10"/>
        <w:jc w:val="right"/>
        <w:rPr>
          <w:rFonts w:eastAsia="Calibri"/>
          <w:color w:val="auto"/>
          <w:szCs w:val="24"/>
          <w:lang w:val="en-US" w:eastAsia="en-US"/>
        </w:rPr>
      </w:pPr>
    </w:p>
    <w:p w14:paraId="2A450E42" w14:textId="77777777" w:rsidR="00F01571" w:rsidRPr="00231446" w:rsidRDefault="00F01571" w:rsidP="00E7287F">
      <w:pPr>
        <w:ind w:left="10"/>
        <w:rPr>
          <w:rFonts w:eastAsia="Calibri"/>
          <w:color w:val="auto"/>
          <w:szCs w:val="24"/>
          <w:lang w:val="en-US" w:eastAsia="en-US"/>
        </w:rPr>
      </w:pPr>
      <w:r w:rsidRPr="00231446">
        <w:rPr>
          <w:rFonts w:eastAsia="Calibri"/>
          <w:color w:val="auto"/>
          <w:szCs w:val="24"/>
          <w:lang w:val="en-US" w:eastAsia="en-US"/>
        </w:rPr>
        <w:t>In the matter between:</w:t>
      </w:r>
    </w:p>
    <w:p w14:paraId="3640B70B" w14:textId="77777777" w:rsidR="00F01571" w:rsidRPr="00231446" w:rsidRDefault="00F01571" w:rsidP="00E7287F">
      <w:pPr>
        <w:ind w:left="10"/>
        <w:rPr>
          <w:rFonts w:eastAsia="Calibri"/>
          <w:color w:val="auto"/>
          <w:szCs w:val="24"/>
          <w:lang w:val="en-US" w:eastAsia="en-US"/>
        </w:rPr>
      </w:pPr>
    </w:p>
    <w:p w14:paraId="6BBAFC42" w14:textId="062F655A" w:rsidR="00F01571" w:rsidRPr="00231446" w:rsidRDefault="00F01571" w:rsidP="00E7287F">
      <w:pPr>
        <w:tabs>
          <w:tab w:val="right" w:pos="9360"/>
        </w:tabs>
        <w:ind w:left="10"/>
        <w:rPr>
          <w:rFonts w:eastAsia="Calibri"/>
          <w:b/>
          <w:color w:val="auto"/>
          <w:szCs w:val="24"/>
          <w:lang w:val="en-US" w:eastAsia="en-US"/>
        </w:rPr>
      </w:pPr>
      <w:r w:rsidRPr="00231446">
        <w:rPr>
          <w:rFonts w:eastAsia="Calibri"/>
          <w:b/>
          <w:color w:val="auto"/>
          <w:szCs w:val="24"/>
          <w:lang w:val="en-US" w:eastAsia="en-US"/>
        </w:rPr>
        <w:t>THE PROSECUTOR</w:t>
      </w:r>
      <w:r w:rsidR="000413DA">
        <w:rPr>
          <w:rFonts w:eastAsia="Calibri"/>
          <w:b/>
          <w:color w:val="auto"/>
          <w:szCs w:val="24"/>
          <w:lang w:val="en-US" w:eastAsia="en-US"/>
        </w:rPr>
        <w:t>-</w:t>
      </w:r>
      <w:r w:rsidRPr="00231446">
        <w:rPr>
          <w:rFonts w:eastAsia="Calibri"/>
          <w:b/>
          <w:color w:val="auto"/>
          <w:szCs w:val="24"/>
          <w:lang w:val="en-US" w:eastAsia="en-US"/>
        </w:rPr>
        <w:t>GENERAL</w:t>
      </w:r>
      <w:r w:rsidRPr="00231446">
        <w:rPr>
          <w:rFonts w:eastAsia="Calibri"/>
          <w:b/>
          <w:color w:val="auto"/>
          <w:szCs w:val="24"/>
          <w:lang w:val="en-US" w:eastAsia="en-US"/>
        </w:rPr>
        <w:tab/>
        <w:t>APPLICANT</w:t>
      </w:r>
    </w:p>
    <w:p w14:paraId="7F6C52F4" w14:textId="77777777" w:rsidR="00F01571" w:rsidRPr="00231446" w:rsidRDefault="00F01571" w:rsidP="00E7287F">
      <w:pPr>
        <w:ind w:left="10"/>
        <w:rPr>
          <w:rFonts w:eastAsia="Calibri"/>
          <w:b/>
          <w:color w:val="auto"/>
          <w:szCs w:val="24"/>
          <w:lang w:val="en-US" w:eastAsia="en-US"/>
        </w:rPr>
      </w:pPr>
    </w:p>
    <w:p w14:paraId="79B758E4" w14:textId="77777777" w:rsidR="00F01571" w:rsidRPr="00231446" w:rsidRDefault="00F01571" w:rsidP="00E7287F">
      <w:pPr>
        <w:ind w:left="10"/>
        <w:rPr>
          <w:rFonts w:eastAsia="Calibri"/>
          <w:color w:val="auto"/>
          <w:szCs w:val="24"/>
          <w:lang w:val="en-US" w:eastAsia="en-US"/>
        </w:rPr>
      </w:pPr>
      <w:proofErr w:type="gramStart"/>
      <w:r w:rsidRPr="00231446">
        <w:rPr>
          <w:rFonts w:eastAsia="Calibri"/>
          <w:color w:val="auto"/>
          <w:szCs w:val="24"/>
          <w:lang w:val="en-US" w:eastAsia="en-US"/>
        </w:rPr>
        <w:t>and</w:t>
      </w:r>
      <w:proofErr w:type="gramEnd"/>
    </w:p>
    <w:p w14:paraId="09DA2595" w14:textId="77777777" w:rsidR="00F01571" w:rsidRPr="00231446" w:rsidRDefault="00F01571" w:rsidP="00E7287F">
      <w:pPr>
        <w:ind w:left="10"/>
        <w:rPr>
          <w:rFonts w:eastAsia="Calibri"/>
          <w:color w:val="auto"/>
          <w:szCs w:val="24"/>
          <w:lang w:val="en-US" w:eastAsia="en-US"/>
        </w:rPr>
      </w:pPr>
    </w:p>
    <w:p w14:paraId="10E07742" w14:textId="77777777" w:rsidR="00F01571" w:rsidRPr="00231446" w:rsidRDefault="00F01571" w:rsidP="00E7287F">
      <w:pPr>
        <w:tabs>
          <w:tab w:val="right" w:pos="9360"/>
        </w:tabs>
        <w:ind w:left="10"/>
        <w:rPr>
          <w:rFonts w:eastAsia="Calibri"/>
          <w:b/>
          <w:color w:val="auto"/>
          <w:szCs w:val="24"/>
          <w:lang w:val="en-US" w:eastAsia="en-US"/>
        </w:rPr>
      </w:pPr>
      <w:r w:rsidRPr="00231446">
        <w:rPr>
          <w:rFonts w:eastAsia="Calibri"/>
          <w:b/>
          <w:color w:val="auto"/>
          <w:szCs w:val="24"/>
          <w:lang w:val="en-US" w:eastAsia="en-US"/>
        </w:rPr>
        <w:t>JACO MARIUS KENNEDY</w:t>
      </w:r>
      <w:r w:rsidRPr="00231446">
        <w:rPr>
          <w:rFonts w:eastAsia="Calibri"/>
          <w:b/>
          <w:color w:val="auto"/>
          <w:szCs w:val="24"/>
          <w:lang w:val="en-US" w:eastAsia="en-US"/>
        </w:rPr>
        <w:tab/>
        <w:t>RESPONDENT</w:t>
      </w:r>
    </w:p>
    <w:p w14:paraId="0E4BE650" w14:textId="77777777" w:rsidR="00F01571" w:rsidRPr="00231446" w:rsidRDefault="00F01571" w:rsidP="00E7287F">
      <w:pPr>
        <w:tabs>
          <w:tab w:val="right" w:pos="9360"/>
        </w:tabs>
        <w:ind w:left="10"/>
        <w:rPr>
          <w:rFonts w:eastAsia="Calibri"/>
          <w:b/>
          <w:color w:val="auto"/>
          <w:szCs w:val="24"/>
          <w:lang w:val="en-US" w:eastAsia="en-US"/>
        </w:rPr>
      </w:pPr>
    </w:p>
    <w:p w14:paraId="10CF3B8B" w14:textId="77777777" w:rsidR="00F01571" w:rsidRPr="00231446" w:rsidRDefault="00F01571" w:rsidP="00E7287F">
      <w:pPr>
        <w:ind w:left="10"/>
        <w:rPr>
          <w:rFonts w:eastAsia="Calibri"/>
          <w:color w:val="auto"/>
          <w:szCs w:val="24"/>
          <w:lang w:val="en-US" w:eastAsia="en-US"/>
        </w:rPr>
      </w:pPr>
    </w:p>
    <w:p w14:paraId="792C0AF9" w14:textId="5DE47689" w:rsidR="00F01571" w:rsidRPr="00231446" w:rsidRDefault="00F01571" w:rsidP="00E7287F">
      <w:pPr>
        <w:ind w:left="2170" w:hanging="2175"/>
        <w:rPr>
          <w:szCs w:val="24"/>
        </w:rPr>
      </w:pPr>
      <w:r w:rsidRPr="00231446">
        <w:rPr>
          <w:b/>
          <w:szCs w:val="24"/>
        </w:rPr>
        <w:t>Neutral citation:</w:t>
      </w:r>
      <w:r w:rsidRPr="00231446">
        <w:rPr>
          <w:b/>
          <w:szCs w:val="24"/>
        </w:rPr>
        <w:tab/>
      </w:r>
      <w:r w:rsidRPr="00231446">
        <w:rPr>
          <w:rFonts w:eastAsia="Calibri"/>
          <w:i/>
          <w:color w:val="auto"/>
          <w:szCs w:val="24"/>
          <w:lang w:val="en-US" w:eastAsia="en-US"/>
        </w:rPr>
        <w:t>The Prosecutor</w:t>
      </w:r>
      <w:r w:rsidR="000413DA">
        <w:rPr>
          <w:rFonts w:eastAsia="Calibri"/>
          <w:i/>
          <w:color w:val="auto"/>
          <w:szCs w:val="24"/>
          <w:lang w:val="en-US" w:eastAsia="en-US"/>
        </w:rPr>
        <w:t>-</w:t>
      </w:r>
      <w:r w:rsidRPr="00231446">
        <w:rPr>
          <w:rFonts w:eastAsia="Calibri"/>
          <w:i/>
          <w:color w:val="auto"/>
          <w:szCs w:val="24"/>
          <w:lang w:val="en-US" w:eastAsia="en-US"/>
        </w:rPr>
        <w:t>General v Kennedy</w:t>
      </w:r>
      <w:r w:rsidRPr="00231446">
        <w:rPr>
          <w:i/>
          <w:szCs w:val="24"/>
        </w:rPr>
        <w:t xml:space="preserve"> </w:t>
      </w:r>
      <w:r w:rsidR="008D461F" w:rsidRPr="00231446">
        <w:rPr>
          <w:szCs w:val="24"/>
        </w:rPr>
        <w:t>(POCA 02/2015) [2017</w:t>
      </w:r>
      <w:r w:rsidRPr="00231446">
        <w:rPr>
          <w:szCs w:val="24"/>
        </w:rPr>
        <w:t xml:space="preserve">] NAHCMD </w:t>
      </w:r>
      <w:r w:rsidR="0087771F">
        <w:rPr>
          <w:szCs w:val="24"/>
        </w:rPr>
        <w:t>26</w:t>
      </w:r>
      <w:r w:rsidRPr="00231446">
        <w:rPr>
          <w:szCs w:val="24"/>
        </w:rPr>
        <w:t xml:space="preserve"> (</w:t>
      </w:r>
      <w:r w:rsidR="00AB0333">
        <w:rPr>
          <w:szCs w:val="24"/>
        </w:rPr>
        <w:t>06 February</w:t>
      </w:r>
      <w:r w:rsidRPr="00231446">
        <w:rPr>
          <w:szCs w:val="24"/>
        </w:rPr>
        <w:t xml:space="preserve"> 2017)</w:t>
      </w:r>
    </w:p>
    <w:p w14:paraId="29ADFD9A" w14:textId="77777777" w:rsidR="00F01571" w:rsidRPr="00231446" w:rsidRDefault="00F01571" w:rsidP="00E7287F">
      <w:pPr>
        <w:ind w:left="2170" w:hanging="2175"/>
        <w:jc w:val="both"/>
        <w:rPr>
          <w:szCs w:val="24"/>
        </w:rPr>
      </w:pPr>
    </w:p>
    <w:p w14:paraId="12E6BC43" w14:textId="77777777" w:rsidR="00F01571" w:rsidRPr="00231446" w:rsidRDefault="00F01571" w:rsidP="00E7287F">
      <w:pPr>
        <w:ind w:left="10"/>
        <w:jc w:val="both"/>
        <w:rPr>
          <w:szCs w:val="24"/>
        </w:rPr>
      </w:pPr>
    </w:p>
    <w:tbl>
      <w:tblPr>
        <w:tblW w:w="3969" w:type="dxa"/>
        <w:tblInd w:w="10" w:type="dxa"/>
        <w:tblCellMar>
          <w:left w:w="0" w:type="dxa"/>
          <w:right w:w="0" w:type="dxa"/>
        </w:tblCellMar>
        <w:tblLook w:val="04A0" w:firstRow="1" w:lastRow="0" w:firstColumn="1" w:lastColumn="0" w:noHBand="0" w:noVBand="1"/>
      </w:tblPr>
      <w:tblGrid>
        <w:gridCol w:w="1440"/>
        <w:gridCol w:w="2529"/>
      </w:tblGrid>
      <w:tr w:rsidR="00F01571" w:rsidRPr="00231446" w14:paraId="70A08DBE" w14:textId="77777777" w:rsidTr="00E7287F">
        <w:trPr>
          <w:trHeight w:val="789"/>
        </w:trPr>
        <w:tc>
          <w:tcPr>
            <w:tcW w:w="1440" w:type="dxa"/>
            <w:hideMark/>
          </w:tcPr>
          <w:p w14:paraId="38D11C79" w14:textId="77777777" w:rsidR="00F01571" w:rsidRPr="00231446" w:rsidRDefault="00F01571">
            <w:pPr>
              <w:ind w:left="0"/>
              <w:jc w:val="both"/>
              <w:rPr>
                <w:szCs w:val="24"/>
              </w:rPr>
            </w:pPr>
            <w:r w:rsidRPr="00231446">
              <w:rPr>
                <w:b/>
                <w:szCs w:val="24"/>
              </w:rPr>
              <w:t>Coram:</w:t>
            </w:r>
          </w:p>
        </w:tc>
        <w:tc>
          <w:tcPr>
            <w:tcW w:w="2529" w:type="dxa"/>
            <w:hideMark/>
          </w:tcPr>
          <w:p w14:paraId="493E2865" w14:textId="77777777" w:rsidR="00F01571" w:rsidRPr="00231446" w:rsidRDefault="00F01571">
            <w:pPr>
              <w:ind w:left="0"/>
              <w:jc w:val="both"/>
              <w:rPr>
                <w:szCs w:val="24"/>
              </w:rPr>
            </w:pPr>
            <w:r w:rsidRPr="00231446">
              <w:rPr>
                <w:szCs w:val="24"/>
              </w:rPr>
              <w:t xml:space="preserve">ANGULA, DJP </w:t>
            </w:r>
          </w:p>
        </w:tc>
      </w:tr>
      <w:tr w:rsidR="00F01571" w:rsidRPr="00231446" w14:paraId="229F7B12" w14:textId="77777777" w:rsidTr="00E7287F">
        <w:trPr>
          <w:trHeight w:val="498"/>
        </w:trPr>
        <w:tc>
          <w:tcPr>
            <w:tcW w:w="1440" w:type="dxa"/>
            <w:hideMark/>
          </w:tcPr>
          <w:p w14:paraId="5A6AB72B" w14:textId="77777777" w:rsidR="00F01571" w:rsidRPr="00231446" w:rsidRDefault="00F01571">
            <w:pPr>
              <w:ind w:left="0"/>
              <w:jc w:val="both"/>
              <w:rPr>
                <w:szCs w:val="24"/>
              </w:rPr>
            </w:pPr>
            <w:r w:rsidRPr="00231446">
              <w:rPr>
                <w:b/>
                <w:szCs w:val="24"/>
              </w:rPr>
              <w:t>Heard:</w:t>
            </w:r>
          </w:p>
        </w:tc>
        <w:tc>
          <w:tcPr>
            <w:tcW w:w="2529" w:type="dxa"/>
            <w:hideMark/>
          </w:tcPr>
          <w:p w14:paraId="4B01E448" w14:textId="77777777" w:rsidR="00F01571" w:rsidRPr="00231446" w:rsidRDefault="00F01571">
            <w:pPr>
              <w:ind w:left="0" w:right="-746"/>
              <w:jc w:val="both"/>
              <w:rPr>
                <w:szCs w:val="24"/>
              </w:rPr>
            </w:pPr>
            <w:r w:rsidRPr="00231446">
              <w:rPr>
                <w:szCs w:val="24"/>
              </w:rPr>
              <w:t>13 September 2016</w:t>
            </w:r>
          </w:p>
        </w:tc>
      </w:tr>
    </w:tbl>
    <w:p w14:paraId="5B411E01" w14:textId="77777777" w:rsidR="00F01571" w:rsidRPr="00231446" w:rsidRDefault="00F01571" w:rsidP="00E7287F">
      <w:pPr>
        <w:pStyle w:val="Heading1"/>
        <w:spacing w:after="0" w:line="360" w:lineRule="auto"/>
        <w:ind w:left="5"/>
        <w:jc w:val="both"/>
        <w:rPr>
          <w:b w:val="0"/>
          <w:szCs w:val="24"/>
        </w:rPr>
      </w:pPr>
      <w:r w:rsidRPr="00231446">
        <w:rPr>
          <w:szCs w:val="24"/>
        </w:rPr>
        <w:t>Delivered:</w:t>
      </w:r>
      <w:r w:rsidRPr="00231446">
        <w:rPr>
          <w:b w:val="0"/>
          <w:szCs w:val="24"/>
        </w:rPr>
        <w:tab/>
      </w:r>
      <w:r w:rsidR="00AB0333" w:rsidRPr="00AB0333">
        <w:rPr>
          <w:b w:val="0"/>
          <w:szCs w:val="24"/>
        </w:rPr>
        <w:t>06 February</w:t>
      </w:r>
      <w:r w:rsidR="00AB0333" w:rsidRPr="00231446">
        <w:rPr>
          <w:szCs w:val="24"/>
        </w:rPr>
        <w:t xml:space="preserve"> </w:t>
      </w:r>
      <w:r w:rsidRPr="00231446">
        <w:rPr>
          <w:b w:val="0"/>
          <w:szCs w:val="24"/>
        </w:rPr>
        <w:t>2017</w:t>
      </w:r>
    </w:p>
    <w:p w14:paraId="6C28FC9A" w14:textId="77777777" w:rsidR="00F01571" w:rsidRPr="00231446" w:rsidRDefault="00F01571" w:rsidP="00E7287F">
      <w:pPr>
        <w:ind w:left="10"/>
        <w:jc w:val="both"/>
        <w:rPr>
          <w:szCs w:val="24"/>
        </w:rPr>
      </w:pPr>
    </w:p>
    <w:p w14:paraId="7B6FA3E4" w14:textId="3D12CAB1" w:rsidR="00F01571" w:rsidRPr="00BB1A64" w:rsidRDefault="00F01571" w:rsidP="00E7287F">
      <w:pPr>
        <w:ind w:left="10"/>
        <w:jc w:val="both"/>
        <w:rPr>
          <w:szCs w:val="24"/>
        </w:rPr>
      </w:pPr>
      <w:proofErr w:type="spellStart"/>
      <w:r w:rsidRPr="00231446">
        <w:rPr>
          <w:b/>
          <w:szCs w:val="24"/>
        </w:rPr>
        <w:lastRenderedPageBreak/>
        <w:t>Flynote</w:t>
      </w:r>
      <w:proofErr w:type="spellEnd"/>
      <w:r w:rsidRPr="00231446">
        <w:rPr>
          <w:b/>
          <w:szCs w:val="24"/>
        </w:rPr>
        <w:t xml:space="preserve">: </w:t>
      </w:r>
      <w:r w:rsidR="00BB1A64" w:rsidRPr="00BB1A64">
        <w:rPr>
          <w:szCs w:val="24"/>
        </w:rPr>
        <w:t xml:space="preserve">Applications and motions – Prevention of Organized Crime Act 29 of 2004, </w:t>
      </w:r>
      <w:r w:rsidR="0079706A">
        <w:rPr>
          <w:szCs w:val="24"/>
        </w:rPr>
        <w:t>S</w:t>
      </w:r>
      <w:r w:rsidR="00BB1A64" w:rsidRPr="00BB1A64">
        <w:rPr>
          <w:szCs w:val="24"/>
        </w:rPr>
        <w:t xml:space="preserve"> 61(1)</w:t>
      </w:r>
      <w:r w:rsidR="00FE2262">
        <w:rPr>
          <w:szCs w:val="24"/>
        </w:rPr>
        <w:t xml:space="preserve"> (POCA)</w:t>
      </w:r>
      <w:r w:rsidR="00BB1A64" w:rsidRPr="00BB1A64">
        <w:rPr>
          <w:szCs w:val="24"/>
        </w:rPr>
        <w:t xml:space="preserve"> – </w:t>
      </w:r>
      <w:r w:rsidR="00E62AE7">
        <w:rPr>
          <w:szCs w:val="24"/>
        </w:rPr>
        <w:t>Requirement</w:t>
      </w:r>
      <w:r w:rsidR="004F6188">
        <w:rPr>
          <w:szCs w:val="24"/>
        </w:rPr>
        <w:t>s for</w:t>
      </w:r>
      <w:r w:rsidR="00E62AE7">
        <w:rPr>
          <w:szCs w:val="24"/>
        </w:rPr>
        <w:t xml:space="preserve"> f</w:t>
      </w:r>
      <w:r w:rsidR="00BB1A64" w:rsidRPr="00BB1A64">
        <w:rPr>
          <w:szCs w:val="24"/>
        </w:rPr>
        <w:t>orfeiture of property –</w:t>
      </w:r>
      <w:r w:rsidR="00962325">
        <w:rPr>
          <w:szCs w:val="24"/>
        </w:rPr>
        <w:t>–</w:t>
      </w:r>
      <w:r w:rsidR="00DF6F40">
        <w:rPr>
          <w:szCs w:val="24"/>
        </w:rPr>
        <w:t xml:space="preserve"> (1)</w:t>
      </w:r>
      <w:r w:rsidR="00BB1A64">
        <w:rPr>
          <w:szCs w:val="24"/>
        </w:rPr>
        <w:t xml:space="preserve"> </w:t>
      </w:r>
      <w:r w:rsidR="00E62AE7">
        <w:rPr>
          <w:szCs w:val="24"/>
        </w:rPr>
        <w:t>It must be a p</w:t>
      </w:r>
      <w:r w:rsidR="00962325">
        <w:rPr>
          <w:szCs w:val="24"/>
        </w:rPr>
        <w:t xml:space="preserve">roperty </w:t>
      </w:r>
      <w:r w:rsidR="00FE2262">
        <w:rPr>
          <w:szCs w:val="24"/>
        </w:rPr>
        <w:t>which</w:t>
      </w:r>
      <w:r w:rsidR="004F6188">
        <w:rPr>
          <w:szCs w:val="24"/>
        </w:rPr>
        <w:t xml:space="preserve"> </w:t>
      </w:r>
      <w:r w:rsidR="00160072">
        <w:rPr>
          <w:szCs w:val="24"/>
        </w:rPr>
        <w:t>is</w:t>
      </w:r>
      <w:r w:rsidR="00FE2262">
        <w:rPr>
          <w:szCs w:val="24"/>
        </w:rPr>
        <w:t xml:space="preserve"> concerned in the commission of an offence and which is</w:t>
      </w:r>
      <w:r w:rsidR="00962325">
        <w:rPr>
          <w:szCs w:val="24"/>
        </w:rPr>
        <w:t xml:space="preserve"> an instrumentality of the offence; or (2)</w:t>
      </w:r>
      <w:r w:rsidR="00962325" w:rsidRPr="00962325">
        <w:rPr>
          <w:szCs w:val="24"/>
        </w:rPr>
        <w:t xml:space="preserve"> begotten by </w:t>
      </w:r>
      <w:r w:rsidR="00962325">
        <w:rPr>
          <w:szCs w:val="24"/>
        </w:rPr>
        <w:t>pro</w:t>
      </w:r>
      <w:r w:rsidR="00FE2262">
        <w:rPr>
          <w:szCs w:val="24"/>
        </w:rPr>
        <w:t>ceeds of unlawful activities</w:t>
      </w:r>
      <w:r w:rsidR="004F6188">
        <w:rPr>
          <w:szCs w:val="24"/>
        </w:rPr>
        <w:t>.</w:t>
      </w:r>
      <w:r w:rsidR="00FE2262">
        <w:rPr>
          <w:szCs w:val="24"/>
        </w:rPr>
        <w:t xml:space="preserve"> </w:t>
      </w:r>
      <w:r w:rsidR="00FE2262" w:rsidRPr="00FE2262">
        <w:rPr>
          <w:szCs w:val="24"/>
        </w:rPr>
        <w:t xml:space="preserve"> </w:t>
      </w:r>
      <w:r w:rsidR="00FE2262">
        <w:rPr>
          <w:szCs w:val="24"/>
        </w:rPr>
        <w:t xml:space="preserve">Requirements for forfeiture of property to be prove on </w:t>
      </w:r>
      <w:r w:rsidR="004F6188">
        <w:rPr>
          <w:szCs w:val="24"/>
        </w:rPr>
        <w:t>the</w:t>
      </w:r>
      <w:r w:rsidR="00FE2262">
        <w:rPr>
          <w:szCs w:val="24"/>
        </w:rPr>
        <w:t xml:space="preserve"> balance of probabilities</w:t>
      </w:r>
      <w:r w:rsidR="00BD3067">
        <w:rPr>
          <w:szCs w:val="24"/>
        </w:rPr>
        <w:t>.</w:t>
      </w:r>
    </w:p>
    <w:p w14:paraId="04EF5D17" w14:textId="77777777" w:rsidR="00F01571" w:rsidRPr="00231446" w:rsidRDefault="00F01571" w:rsidP="00E7287F">
      <w:pPr>
        <w:ind w:left="10"/>
        <w:jc w:val="both"/>
        <w:rPr>
          <w:szCs w:val="24"/>
        </w:rPr>
      </w:pPr>
    </w:p>
    <w:p w14:paraId="6DD2E730" w14:textId="2A046A17" w:rsidR="00F01571" w:rsidRPr="001D1BB2" w:rsidRDefault="00F01571" w:rsidP="00E7287F">
      <w:pPr>
        <w:ind w:left="10"/>
        <w:jc w:val="both"/>
        <w:rPr>
          <w:szCs w:val="24"/>
        </w:rPr>
      </w:pPr>
      <w:r w:rsidRPr="00231446">
        <w:rPr>
          <w:b/>
          <w:szCs w:val="24"/>
        </w:rPr>
        <w:t xml:space="preserve">Summary: </w:t>
      </w:r>
      <w:r w:rsidR="001D1BB2">
        <w:rPr>
          <w:szCs w:val="24"/>
        </w:rPr>
        <w:t>This is an application for forfeiture order of a property, a motor vehicle, in terms of sectio</w:t>
      </w:r>
      <w:r w:rsidR="00B81402">
        <w:rPr>
          <w:szCs w:val="24"/>
        </w:rPr>
        <w:t>n 61 POCA. The applicant contend</w:t>
      </w:r>
      <w:r w:rsidR="00E61058">
        <w:rPr>
          <w:szCs w:val="24"/>
        </w:rPr>
        <w:t>s</w:t>
      </w:r>
      <w:r w:rsidR="00B81402">
        <w:rPr>
          <w:szCs w:val="24"/>
        </w:rPr>
        <w:t xml:space="preserve"> that</w:t>
      </w:r>
      <w:r w:rsidR="001D1BB2">
        <w:rPr>
          <w:szCs w:val="24"/>
        </w:rPr>
        <w:t xml:space="preserve"> the property was </w:t>
      </w:r>
      <w:r w:rsidR="00E61058">
        <w:rPr>
          <w:szCs w:val="24"/>
        </w:rPr>
        <w:t>a</w:t>
      </w:r>
      <w:r w:rsidR="001D1BB2">
        <w:rPr>
          <w:szCs w:val="24"/>
        </w:rPr>
        <w:t>n instrumentality concerning the commission of the offence of kidnapping and rape. The respondent opposed the application</w:t>
      </w:r>
      <w:r w:rsidR="00E61058">
        <w:rPr>
          <w:szCs w:val="24"/>
        </w:rPr>
        <w:t>,</w:t>
      </w:r>
      <w:r w:rsidR="001D1BB2">
        <w:rPr>
          <w:szCs w:val="24"/>
        </w:rPr>
        <w:t xml:space="preserve"> denying that the property was </w:t>
      </w:r>
      <w:r w:rsidR="00E61058">
        <w:rPr>
          <w:szCs w:val="24"/>
        </w:rPr>
        <w:t xml:space="preserve">an </w:t>
      </w:r>
      <w:r w:rsidR="001D1BB2">
        <w:rPr>
          <w:szCs w:val="24"/>
        </w:rPr>
        <w:t xml:space="preserve">instrumentality in the commission of the said offences; </w:t>
      </w:r>
      <w:r w:rsidR="001E3E1E">
        <w:rPr>
          <w:szCs w:val="24"/>
        </w:rPr>
        <w:t xml:space="preserve">and </w:t>
      </w:r>
      <w:r w:rsidR="001D1BB2">
        <w:rPr>
          <w:szCs w:val="24"/>
        </w:rPr>
        <w:t>that the property was merely incidental to the commission of the all</w:t>
      </w:r>
      <w:r w:rsidR="00982229">
        <w:rPr>
          <w:szCs w:val="24"/>
        </w:rPr>
        <w:t>e</w:t>
      </w:r>
      <w:r w:rsidR="001D1BB2">
        <w:rPr>
          <w:szCs w:val="24"/>
        </w:rPr>
        <w:t>ged offences.</w:t>
      </w:r>
    </w:p>
    <w:p w14:paraId="4EFC003E" w14:textId="77777777" w:rsidR="00F01571" w:rsidRDefault="00F01571" w:rsidP="00E7287F">
      <w:pPr>
        <w:ind w:left="10"/>
        <w:jc w:val="both"/>
        <w:rPr>
          <w:rFonts w:eastAsia="Calibri"/>
          <w:b/>
          <w:color w:val="auto"/>
          <w:szCs w:val="24"/>
          <w:lang w:val="en-US" w:eastAsia="en-US"/>
        </w:rPr>
      </w:pPr>
    </w:p>
    <w:p w14:paraId="34A22244" w14:textId="0666AF41" w:rsidR="00BE066B" w:rsidRDefault="00BE066B" w:rsidP="00E7287F">
      <w:pPr>
        <w:ind w:left="10"/>
        <w:jc w:val="both"/>
        <w:rPr>
          <w:rFonts w:eastAsia="Calibri"/>
          <w:color w:val="auto"/>
          <w:sz w:val="22"/>
          <w:lang w:val="en-US" w:eastAsia="en-US"/>
        </w:rPr>
      </w:pPr>
      <w:r>
        <w:rPr>
          <w:rFonts w:eastAsia="Calibri"/>
          <w:i/>
          <w:color w:val="auto"/>
          <w:szCs w:val="24"/>
          <w:lang w:val="en-US" w:eastAsia="en-US"/>
        </w:rPr>
        <w:t>Held:</w:t>
      </w:r>
      <w:r>
        <w:rPr>
          <w:rFonts w:eastAsia="Calibri"/>
          <w:color w:val="auto"/>
          <w:szCs w:val="24"/>
          <w:lang w:val="en-US" w:eastAsia="en-US"/>
        </w:rPr>
        <w:t xml:space="preserve"> </w:t>
      </w:r>
      <w:r w:rsidR="00F01998">
        <w:rPr>
          <w:rFonts w:eastAsia="Calibri"/>
          <w:color w:val="auto"/>
          <w:szCs w:val="24"/>
          <w:lang w:val="en-US" w:eastAsia="en-US"/>
        </w:rPr>
        <w:t>Applying the definition of ‘</w:t>
      </w:r>
      <w:r w:rsidR="00F01998" w:rsidRPr="00F01998">
        <w:rPr>
          <w:rFonts w:eastAsia="Calibri"/>
          <w:i/>
          <w:color w:val="auto"/>
          <w:sz w:val="22"/>
          <w:lang w:val="en-US" w:eastAsia="en-US"/>
        </w:rPr>
        <w:t>concerned in the commission of an offence’</w:t>
      </w:r>
      <w:r w:rsidR="00F01998">
        <w:rPr>
          <w:rFonts w:eastAsia="Calibri"/>
          <w:color w:val="auto"/>
          <w:sz w:val="22"/>
          <w:lang w:val="en-US" w:eastAsia="en-US"/>
        </w:rPr>
        <w:t xml:space="preserve"> and </w:t>
      </w:r>
      <w:r w:rsidR="001E3E1E">
        <w:rPr>
          <w:rFonts w:eastAsia="Calibri"/>
          <w:color w:val="auto"/>
          <w:sz w:val="22"/>
          <w:lang w:val="en-US" w:eastAsia="en-US"/>
        </w:rPr>
        <w:t xml:space="preserve">an </w:t>
      </w:r>
      <w:r w:rsidR="00F01998">
        <w:rPr>
          <w:rFonts w:eastAsia="Calibri"/>
          <w:color w:val="auto"/>
          <w:sz w:val="22"/>
          <w:lang w:val="en-US" w:eastAsia="en-US"/>
        </w:rPr>
        <w:t>“</w:t>
      </w:r>
      <w:r w:rsidR="00F01998" w:rsidRPr="00F01998">
        <w:rPr>
          <w:rFonts w:eastAsia="Calibri"/>
          <w:i/>
          <w:color w:val="auto"/>
          <w:sz w:val="22"/>
          <w:lang w:val="en-US" w:eastAsia="en-US"/>
        </w:rPr>
        <w:t>instrumental</w:t>
      </w:r>
      <w:r w:rsidR="00E61058">
        <w:rPr>
          <w:rFonts w:eastAsia="Calibri"/>
          <w:i/>
          <w:color w:val="auto"/>
          <w:sz w:val="22"/>
          <w:lang w:val="en-US" w:eastAsia="en-US"/>
        </w:rPr>
        <w:t>it</w:t>
      </w:r>
      <w:r w:rsidR="00F01998" w:rsidRPr="00F01998">
        <w:rPr>
          <w:rFonts w:eastAsia="Calibri"/>
          <w:i/>
          <w:color w:val="auto"/>
          <w:sz w:val="22"/>
          <w:lang w:val="en-US" w:eastAsia="en-US"/>
        </w:rPr>
        <w:t>y</w:t>
      </w:r>
      <w:r w:rsidR="00F01998">
        <w:rPr>
          <w:rFonts w:eastAsia="Calibri"/>
          <w:color w:val="auto"/>
          <w:sz w:val="22"/>
          <w:lang w:val="en-US" w:eastAsia="en-US"/>
        </w:rPr>
        <w:t>”</w:t>
      </w:r>
      <w:r w:rsidR="00A80D24">
        <w:rPr>
          <w:rFonts w:eastAsia="Calibri"/>
          <w:color w:val="auto"/>
          <w:sz w:val="22"/>
          <w:lang w:val="en-US" w:eastAsia="en-US"/>
        </w:rPr>
        <w:t xml:space="preserve"> as </w:t>
      </w:r>
      <w:r w:rsidR="00F421A1">
        <w:rPr>
          <w:rFonts w:eastAsia="Calibri"/>
          <w:color w:val="auto"/>
          <w:sz w:val="22"/>
          <w:lang w:val="en-US" w:eastAsia="en-US"/>
        </w:rPr>
        <w:t xml:space="preserve">propounded in the </w:t>
      </w:r>
      <w:r w:rsidR="00EA1BFA">
        <w:rPr>
          <w:rFonts w:eastAsia="Calibri"/>
          <w:i/>
          <w:color w:val="auto"/>
          <w:sz w:val="22"/>
          <w:lang w:val="en-US" w:eastAsia="en-US"/>
        </w:rPr>
        <w:t>C</w:t>
      </w:r>
      <w:r w:rsidR="00F421A1" w:rsidRPr="00E911D8">
        <w:rPr>
          <w:rFonts w:eastAsia="Calibri"/>
          <w:i/>
          <w:color w:val="auto"/>
          <w:sz w:val="22"/>
          <w:lang w:val="en-US" w:eastAsia="en-US"/>
        </w:rPr>
        <w:t xml:space="preserve">ook </w:t>
      </w:r>
      <w:r w:rsidR="00EA1BFA">
        <w:rPr>
          <w:rFonts w:eastAsia="Calibri"/>
          <w:i/>
          <w:color w:val="auto"/>
          <w:sz w:val="22"/>
          <w:lang w:val="en-US" w:eastAsia="en-US"/>
        </w:rPr>
        <w:t>P</w:t>
      </w:r>
      <w:r w:rsidR="00F421A1" w:rsidRPr="00E911D8">
        <w:rPr>
          <w:rFonts w:eastAsia="Calibri"/>
          <w:i/>
          <w:color w:val="auto"/>
          <w:sz w:val="22"/>
          <w:lang w:val="en-US" w:eastAsia="en-US"/>
        </w:rPr>
        <w:t>roperties</w:t>
      </w:r>
      <w:r w:rsidR="00F421A1">
        <w:rPr>
          <w:rFonts w:eastAsia="Calibri"/>
          <w:color w:val="auto"/>
          <w:sz w:val="22"/>
          <w:lang w:val="en-US" w:eastAsia="en-US"/>
        </w:rPr>
        <w:t xml:space="preserve"> matter</w:t>
      </w:r>
      <w:r w:rsidR="00E61058">
        <w:rPr>
          <w:rFonts w:eastAsia="Calibri"/>
          <w:color w:val="auto"/>
          <w:sz w:val="22"/>
          <w:lang w:val="en-US" w:eastAsia="en-US"/>
        </w:rPr>
        <w:t>,</w:t>
      </w:r>
      <w:r w:rsidR="00F421A1">
        <w:rPr>
          <w:rFonts w:eastAsia="Calibri"/>
          <w:color w:val="auto"/>
          <w:sz w:val="22"/>
          <w:lang w:val="en-US" w:eastAsia="en-US"/>
        </w:rPr>
        <w:t xml:space="preserve"> namely</w:t>
      </w:r>
      <w:r w:rsidR="00CC1D80">
        <w:rPr>
          <w:rFonts w:eastAsia="Calibri"/>
          <w:color w:val="auto"/>
          <w:sz w:val="22"/>
          <w:lang w:val="en-US" w:eastAsia="en-US"/>
        </w:rPr>
        <w:t>,</w:t>
      </w:r>
      <w:r w:rsidR="00F421A1">
        <w:rPr>
          <w:rFonts w:eastAsia="Calibri"/>
          <w:color w:val="auto"/>
          <w:sz w:val="22"/>
          <w:lang w:val="en-US" w:eastAsia="en-US"/>
        </w:rPr>
        <w:t xml:space="preserve"> with regard to the first requirement</w:t>
      </w:r>
      <w:r w:rsidR="00CC1D80">
        <w:rPr>
          <w:rFonts w:eastAsia="Calibri"/>
          <w:color w:val="auto"/>
          <w:sz w:val="22"/>
          <w:lang w:val="en-US" w:eastAsia="en-US"/>
        </w:rPr>
        <w:t>,</w:t>
      </w:r>
      <w:r w:rsidR="00F421A1">
        <w:rPr>
          <w:rFonts w:eastAsia="Calibri"/>
          <w:color w:val="auto"/>
          <w:sz w:val="22"/>
          <w:lang w:val="en-US" w:eastAsia="en-US"/>
        </w:rPr>
        <w:t xml:space="preserve"> it must be interpreted so that the link between the crime committed and the property is reasonably direct and that the employment of the property must be functional to the commission of the crime; regarding the </w:t>
      </w:r>
      <w:r w:rsidR="00CC1D80">
        <w:rPr>
          <w:rFonts w:eastAsia="Calibri"/>
          <w:color w:val="auto"/>
          <w:sz w:val="22"/>
          <w:lang w:val="en-US" w:eastAsia="en-US"/>
        </w:rPr>
        <w:t xml:space="preserve">second </w:t>
      </w:r>
      <w:r w:rsidR="00F421A1">
        <w:rPr>
          <w:rFonts w:eastAsia="Calibri"/>
          <w:color w:val="auto"/>
          <w:sz w:val="22"/>
          <w:lang w:val="en-US" w:eastAsia="en-US"/>
        </w:rPr>
        <w:t xml:space="preserve">requirement of </w:t>
      </w:r>
      <w:r w:rsidR="00CC1D80">
        <w:rPr>
          <w:rFonts w:eastAsia="Calibri"/>
          <w:color w:val="auto"/>
          <w:sz w:val="22"/>
          <w:lang w:val="en-US" w:eastAsia="en-US"/>
        </w:rPr>
        <w:t>‘</w:t>
      </w:r>
      <w:r w:rsidR="00F421A1" w:rsidRPr="00D62991">
        <w:rPr>
          <w:rFonts w:eastAsia="Calibri"/>
          <w:i/>
          <w:color w:val="auto"/>
          <w:sz w:val="22"/>
          <w:lang w:val="en-US" w:eastAsia="en-US"/>
        </w:rPr>
        <w:t>instrumentality</w:t>
      </w:r>
      <w:r w:rsidR="00CC1D80">
        <w:rPr>
          <w:rFonts w:eastAsia="Calibri"/>
          <w:color w:val="auto"/>
          <w:sz w:val="22"/>
          <w:lang w:val="en-US" w:eastAsia="en-US"/>
        </w:rPr>
        <w:t>’</w:t>
      </w:r>
      <w:r w:rsidR="00F421A1">
        <w:rPr>
          <w:rFonts w:eastAsia="Calibri"/>
          <w:color w:val="auto"/>
          <w:sz w:val="22"/>
          <w:lang w:val="en-US" w:eastAsia="en-US"/>
        </w:rPr>
        <w:t xml:space="preserve"> the property must be instrumental in</w:t>
      </w:r>
      <w:r w:rsidR="00171982">
        <w:rPr>
          <w:rFonts w:eastAsia="Calibri"/>
          <w:color w:val="auto"/>
          <w:sz w:val="22"/>
          <w:lang w:val="en-US" w:eastAsia="en-US"/>
        </w:rPr>
        <w:t>,</w:t>
      </w:r>
      <w:r w:rsidR="00F421A1">
        <w:rPr>
          <w:rFonts w:eastAsia="Calibri"/>
          <w:color w:val="auto"/>
          <w:sz w:val="22"/>
          <w:lang w:val="en-US" w:eastAsia="en-US"/>
        </w:rPr>
        <w:t xml:space="preserve"> and not merely incidental to, the commission of the offence. For otherwise there is otherwise no rational connection between the deprivation of the property and the objective of the Act.</w:t>
      </w:r>
    </w:p>
    <w:p w14:paraId="4B095914" w14:textId="77777777" w:rsidR="00596EE7" w:rsidRDefault="00596EE7" w:rsidP="00E7287F">
      <w:pPr>
        <w:ind w:left="10"/>
        <w:jc w:val="both"/>
        <w:rPr>
          <w:rFonts w:eastAsia="Calibri"/>
          <w:color w:val="auto"/>
          <w:szCs w:val="24"/>
          <w:lang w:val="en-US" w:eastAsia="en-US"/>
        </w:rPr>
      </w:pPr>
    </w:p>
    <w:p w14:paraId="40AB2DF4" w14:textId="178C794C" w:rsidR="00596EE7" w:rsidRDefault="00596EE7" w:rsidP="00E7287F">
      <w:pPr>
        <w:ind w:left="10"/>
        <w:jc w:val="both"/>
        <w:rPr>
          <w:rFonts w:eastAsia="Calibri"/>
          <w:color w:val="auto"/>
          <w:szCs w:val="24"/>
          <w:lang w:val="en-US" w:eastAsia="en-US"/>
        </w:rPr>
      </w:pPr>
      <w:r>
        <w:rPr>
          <w:rFonts w:eastAsia="Calibri"/>
          <w:i/>
          <w:color w:val="auto"/>
          <w:szCs w:val="24"/>
          <w:lang w:val="en-US" w:eastAsia="en-US"/>
        </w:rPr>
        <w:t>Held</w:t>
      </w:r>
      <w:r>
        <w:rPr>
          <w:rFonts w:eastAsia="Calibri"/>
          <w:color w:val="auto"/>
          <w:szCs w:val="24"/>
          <w:lang w:val="en-US" w:eastAsia="en-US"/>
        </w:rPr>
        <w:t xml:space="preserve"> on the facts</w:t>
      </w:r>
      <w:r w:rsidR="00171982">
        <w:rPr>
          <w:rFonts w:eastAsia="Calibri"/>
          <w:color w:val="auto"/>
          <w:szCs w:val="24"/>
          <w:lang w:val="en-US" w:eastAsia="en-US"/>
        </w:rPr>
        <w:t>,</w:t>
      </w:r>
      <w:r>
        <w:rPr>
          <w:rFonts w:eastAsia="Calibri"/>
          <w:color w:val="auto"/>
          <w:szCs w:val="24"/>
          <w:lang w:val="en-US" w:eastAsia="en-US"/>
        </w:rPr>
        <w:t xml:space="preserve"> and applying the </w:t>
      </w:r>
      <w:r w:rsidRPr="00823B4F">
        <w:rPr>
          <w:rFonts w:eastAsia="Calibri"/>
          <w:i/>
          <w:color w:val="auto"/>
          <w:szCs w:val="24"/>
          <w:lang w:val="en-US" w:eastAsia="en-US"/>
        </w:rPr>
        <w:t>di</w:t>
      </w:r>
      <w:r w:rsidR="000A7B2E" w:rsidRPr="00823B4F">
        <w:rPr>
          <w:rFonts w:eastAsia="Calibri"/>
          <w:i/>
          <w:color w:val="auto"/>
          <w:szCs w:val="24"/>
          <w:lang w:val="en-US" w:eastAsia="en-US"/>
        </w:rPr>
        <w:t>ctum</w:t>
      </w:r>
      <w:r w:rsidR="00E911D8" w:rsidRPr="00823B4F">
        <w:rPr>
          <w:rFonts w:eastAsia="Calibri"/>
          <w:i/>
          <w:color w:val="auto"/>
          <w:szCs w:val="24"/>
          <w:lang w:val="en-US" w:eastAsia="en-US"/>
        </w:rPr>
        <w:t xml:space="preserve"> </w:t>
      </w:r>
      <w:r w:rsidR="00E911D8">
        <w:rPr>
          <w:rFonts w:eastAsia="Calibri"/>
          <w:color w:val="auto"/>
          <w:szCs w:val="24"/>
          <w:lang w:val="en-US" w:eastAsia="en-US"/>
        </w:rPr>
        <w:t xml:space="preserve">of </w:t>
      </w:r>
      <w:r w:rsidR="002928FE">
        <w:rPr>
          <w:rFonts w:eastAsia="Calibri"/>
          <w:color w:val="auto"/>
          <w:szCs w:val="24"/>
          <w:lang w:val="en-US" w:eastAsia="en-US"/>
        </w:rPr>
        <w:t>C</w:t>
      </w:r>
      <w:r w:rsidR="00174607" w:rsidRPr="00E911D8">
        <w:rPr>
          <w:rFonts w:eastAsia="Calibri"/>
          <w:i/>
          <w:color w:val="auto"/>
          <w:szCs w:val="24"/>
          <w:lang w:val="en-US" w:eastAsia="en-US"/>
        </w:rPr>
        <w:t xml:space="preserve">ook </w:t>
      </w:r>
      <w:r w:rsidR="002928FE">
        <w:rPr>
          <w:rFonts w:eastAsia="Calibri"/>
          <w:i/>
          <w:color w:val="auto"/>
          <w:szCs w:val="24"/>
          <w:lang w:val="en-US" w:eastAsia="en-US"/>
        </w:rPr>
        <w:t>P</w:t>
      </w:r>
      <w:r w:rsidR="00174607" w:rsidRPr="00E911D8">
        <w:rPr>
          <w:rFonts w:eastAsia="Calibri"/>
          <w:i/>
          <w:color w:val="auto"/>
          <w:szCs w:val="24"/>
          <w:lang w:val="en-US" w:eastAsia="en-US"/>
        </w:rPr>
        <w:t>roperties</w:t>
      </w:r>
      <w:r w:rsidR="00FB70A7">
        <w:rPr>
          <w:rFonts w:eastAsia="Calibri"/>
          <w:i/>
          <w:color w:val="auto"/>
          <w:szCs w:val="24"/>
          <w:lang w:val="en-US" w:eastAsia="en-US"/>
        </w:rPr>
        <w:t>,</w:t>
      </w:r>
      <w:r w:rsidR="00174607">
        <w:rPr>
          <w:rFonts w:eastAsia="Calibri"/>
          <w:color w:val="auto"/>
          <w:szCs w:val="24"/>
          <w:lang w:val="en-US" w:eastAsia="en-US"/>
        </w:rPr>
        <w:t xml:space="preserve"> that the applicant has failed to prove on the balance of probabilities that the </w:t>
      </w:r>
      <w:r w:rsidR="00823B4F">
        <w:rPr>
          <w:rFonts w:eastAsia="Calibri"/>
          <w:color w:val="auto"/>
          <w:szCs w:val="24"/>
          <w:lang w:val="en-US" w:eastAsia="en-US"/>
        </w:rPr>
        <w:t xml:space="preserve">property was an instrumentality in the </w:t>
      </w:r>
      <w:r w:rsidR="00174607">
        <w:rPr>
          <w:rFonts w:eastAsia="Calibri"/>
          <w:color w:val="auto"/>
          <w:szCs w:val="24"/>
          <w:lang w:val="en-US" w:eastAsia="en-US"/>
        </w:rPr>
        <w:t>alleged commission of the offences of kidnapping and rape.</w:t>
      </w:r>
    </w:p>
    <w:p w14:paraId="38B6CB3C" w14:textId="21822FF5" w:rsidR="0087771F" w:rsidRDefault="0087771F" w:rsidP="00E7287F">
      <w:pPr>
        <w:ind w:left="10"/>
        <w:jc w:val="both"/>
        <w:rPr>
          <w:rFonts w:eastAsia="Calibri"/>
          <w:i/>
          <w:color w:val="auto"/>
          <w:szCs w:val="24"/>
          <w:lang w:val="en-US" w:eastAsia="en-US"/>
        </w:rPr>
      </w:pPr>
      <w:r>
        <w:rPr>
          <w:rFonts w:eastAsia="Calibri"/>
          <w:i/>
          <w:color w:val="auto"/>
          <w:szCs w:val="24"/>
          <w:lang w:val="en-US" w:eastAsia="en-US"/>
        </w:rPr>
        <w:br w:type="page"/>
      </w:r>
    </w:p>
    <w:p w14:paraId="020ED3BE" w14:textId="77777777" w:rsidR="00F01571" w:rsidRPr="00231446" w:rsidRDefault="00F01571" w:rsidP="00E7287F">
      <w:pPr>
        <w:ind w:left="10" w:right="368"/>
        <w:jc w:val="right"/>
        <w:rPr>
          <w:szCs w:val="24"/>
        </w:rPr>
      </w:pPr>
      <w:r w:rsidRPr="00231446">
        <w:rPr>
          <w:noProof/>
          <w:szCs w:val="24"/>
        </w:rPr>
        <w:lastRenderedPageBreak/>
        <mc:AlternateContent>
          <mc:Choice Requires="wpg">
            <w:drawing>
              <wp:inline distT="0" distB="0" distL="0" distR="0" wp14:anchorId="1492965A" wp14:editId="569EB8F6">
                <wp:extent cx="5867400" cy="9525"/>
                <wp:effectExtent l="0" t="0" r="0" b="9525"/>
                <wp:docPr id="8" name="Group 8"/>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9" name="Shape 30713"/>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F021F9" id="Group 8"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28N3Lr8DAAByCgAADgAAAAAAAAAAAAAAAAAuAgAAZHJz&#10;L2Uyb0RvYy54bWxQSwECLQAUAAYACAAAACEAfUjQStoAAAADAQAADwAAAAAAAAAAAAAAAAAZBgAA&#10;ZHJzL2Rvd25yZXYueG1sUEsFBgAAAAAEAAQA8wAAACAHA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kgcQA&#10;AADaAAAADwAAAGRycy9kb3ducmV2LnhtbESPQWvCQBSE7wX/w/IEb3VjD9JGVxGxEBBaGkXI7Zl9&#10;JsHdtzG7auyv7xYKPQ4z8w0zX/bWiBt1vnGsYDJOQBCXTjdcKdjv3p9fQfiArNE4JgUP8rBcDJ7m&#10;mGp35y+65aESEcI+RQV1CG0qpS9rsujHriWO3sl1FkOUXSV1h/cIt0a+JMlUWmw4LtTY0rqm8pxf&#10;rQL6LrIPUzw2h3xl5LlYH7PPy1ap0bBfzUAE6sN/+K+daQV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JIH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14:paraId="0DDDDB4C" w14:textId="77777777" w:rsidR="00F01571" w:rsidRPr="00231446" w:rsidRDefault="00F01571" w:rsidP="00E7287F">
      <w:pPr>
        <w:ind w:left="20" w:hanging="10"/>
        <w:jc w:val="center"/>
        <w:rPr>
          <w:szCs w:val="24"/>
        </w:rPr>
      </w:pPr>
      <w:r w:rsidRPr="00231446">
        <w:rPr>
          <w:b/>
          <w:szCs w:val="24"/>
        </w:rPr>
        <w:t xml:space="preserve">ORDER </w:t>
      </w:r>
    </w:p>
    <w:p w14:paraId="133299BA" w14:textId="77777777" w:rsidR="00F01571" w:rsidRDefault="00F01571" w:rsidP="00E7287F">
      <w:pPr>
        <w:ind w:left="10" w:right="368"/>
        <w:jc w:val="right"/>
        <w:rPr>
          <w:b/>
          <w:szCs w:val="24"/>
        </w:rPr>
      </w:pPr>
      <w:r w:rsidRPr="00231446">
        <w:rPr>
          <w:noProof/>
          <w:szCs w:val="24"/>
        </w:rPr>
        <mc:AlternateContent>
          <mc:Choice Requires="wpg">
            <w:drawing>
              <wp:inline distT="0" distB="0" distL="0" distR="0" wp14:anchorId="222A8D09" wp14:editId="557159AD">
                <wp:extent cx="5867400" cy="9525"/>
                <wp:effectExtent l="0" t="0" r="0" b="9525"/>
                <wp:docPr id="6" name="Group 6"/>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7" name="Shape 30714"/>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8C922D" id="Group 6"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DS9Avr8DAAByCgAADgAAAAAAAAAAAAAAAAAuAgAAZHJz&#10;L2Uyb0RvYy54bWxQSwECLQAUAAYACAAAACEAfUjQStoAAAADAQAADwAAAAAAAAAAAAAAAAAZBgAA&#10;ZHJzL2Rvd25yZXYueG1sUEsFBgAAAAAEAAQA8wAAACA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VaMQA&#10;AADaAAAADwAAAGRycy9kb3ducmV2LnhtbESPQWvCQBSE7wX/w/IEb3VjD7ZEVxGxEBBaGkXI7Zl9&#10;JsHdtzG7auyv7xYKPQ4z8w0zX/bWiBt1vnGsYDJOQBCXTjdcKdjv3p/fQPiArNE4JgUP8rBcDJ7m&#10;mGp35y+65aESEcI+RQV1CG0qpS9rsujHriWO3sl1FkOUXSV1h/cIt0a+JMlUWmw4LtTY0rqm8pxf&#10;rQL6LrIPUzw2h3xl5LlYH7PPy1ap0bBfzUAE6sN/+K+daQ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FWj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14:paraId="22BCA954" w14:textId="77777777" w:rsidR="001B7311" w:rsidRPr="00231446" w:rsidRDefault="001B7311" w:rsidP="00E7287F">
      <w:pPr>
        <w:ind w:left="10" w:right="368"/>
        <w:jc w:val="right"/>
        <w:rPr>
          <w:b/>
          <w:szCs w:val="24"/>
        </w:rPr>
      </w:pPr>
    </w:p>
    <w:p w14:paraId="19DF7F13" w14:textId="25AEFAC8" w:rsidR="00CB7E41" w:rsidRPr="00CB7E41" w:rsidRDefault="00CB7E41" w:rsidP="00CB7E41">
      <w:pPr>
        <w:pStyle w:val="ListParagraph"/>
        <w:numPr>
          <w:ilvl w:val="0"/>
          <w:numId w:val="3"/>
        </w:numPr>
        <w:jc w:val="both"/>
        <w:rPr>
          <w:szCs w:val="24"/>
        </w:rPr>
      </w:pPr>
      <w:r w:rsidRPr="00CB7E41">
        <w:rPr>
          <w:szCs w:val="24"/>
        </w:rPr>
        <w:t>The application is dismissed.</w:t>
      </w:r>
    </w:p>
    <w:p w14:paraId="2E1AC376" w14:textId="77777777" w:rsidR="00CB7E41" w:rsidRDefault="00CB7E41" w:rsidP="00CB7E41">
      <w:pPr>
        <w:ind w:left="10"/>
        <w:jc w:val="both"/>
        <w:rPr>
          <w:szCs w:val="24"/>
        </w:rPr>
      </w:pPr>
    </w:p>
    <w:p w14:paraId="53C94B40" w14:textId="77777777" w:rsidR="00CB7E41" w:rsidRDefault="00CB7E41" w:rsidP="00CB7E41">
      <w:pPr>
        <w:ind w:left="10"/>
        <w:jc w:val="both"/>
        <w:rPr>
          <w:szCs w:val="24"/>
        </w:rPr>
      </w:pPr>
      <w:r>
        <w:rPr>
          <w:szCs w:val="24"/>
        </w:rPr>
        <w:t>2.</w:t>
      </w:r>
      <w:r>
        <w:rPr>
          <w:szCs w:val="24"/>
        </w:rPr>
        <w:tab/>
        <w:t>The applicant is ordered to pay two-thirds (2/3) of the respondent’s taxed costs. The reduction of one-third (1/3) of the costs serves as a sanction against the legal practitioners for the respondent for the flagrant non-compliance with the Rules of this Court.</w:t>
      </w:r>
    </w:p>
    <w:p w14:paraId="17403802" w14:textId="77777777" w:rsidR="00F01571" w:rsidRPr="00231446" w:rsidRDefault="00F01571" w:rsidP="00E7287F">
      <w:pPr>
        <w:ind w:left="10"/>
        <w:jc w:val="both"/>
        <w:rPr>
          <w:szCs w:val="24"/>
        </w:rPr>
      </w:pPr>
    </w:p>
    <w:p w14:paraId="524EF502" w14:textId="77777777"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788A1FA8" wp14:editId="65ED59C1">
                <wp:extent cx="5867400" cy="9525"/>
                <wp:effectExtent l="0" t="0" r="0" b="9525"/>
                <wp:docPr id="4" name="Group 4"/>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5" name="Shape 30715"/>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677E97" id="Group 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">
                <v:shape id="Shape 30715"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hMQA&#10;AADaAAAADwAAAGRycy9kb3ducmV2LnhtbESPQWvCQBSE7wX/w/IEb3Vjw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LoT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14:paraId="3A1A1F06" w14:textId="77777777" w:rsidR="00F01571" w:rsidRPr="00231446" w:rsidRDefault="00F01571" w:rsidP="00E7287F">
      <w:pPr>
        <w:ind w:left="20" w:hanging="10"/>
        <w:jc w:val="center"/>
        <w:rPr>
          <w:b/>
          <w:szCs w:val="24"/>
        </w:rPr>
      </w:pPr>
    </w:p>
    <w:p w14:paraId="17250618" w14:textId="77777777" w:rsidR="00F01571" w:rsidRPr="00231446" w:rsidRDefault="00F01571" w:rsidP="00E7287F">
      <w:pPr>
        <w:ind w:left="20" w:hanging="10"/>
        <w:jc w:val="center"/>
        <w:rPr>
          <w:szCs w:val="24"/>
        </w:rPr>
      </w:pPr>
      <w:r w:rsidRPr="00231446">
        <w:rPr>
          <w:b/>
          <w:szCs w:val="24"/>
        </w:rPr>
        <w:t>JUDGMENT</w:t>
      </w:r>
    </w:p>
    <w:p w14:paraId="02678331" w14:textId="77777777"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5D992657" wp14:editId="5760C0A7">
                <wp:extent cx="5867400" cy="9525"/>
                <wp:effectExtent l="0" t="0" r="0" b="9525"/>
                <wp:docPr id="2" name="Group 2"/>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3" name="Shape 30716"/>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BE23F0" id="Group 2"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Ta8QA&#10;AADaAAAADwAAAGRycy9kb3ducmV2LnhtbESPQWvCQBSE7wX/w/IEb3Vjh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E2v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14:paraId="58209251" w14:textId="77777777" w:rsidR="00F01571" w:rsidRDefault="00F01571" w:rsidP="00E7287F">
      <w:pPr>
        <w:ind w:left="10"/>
        <w:jc w:val="both"/>
        <w:rPr>
          <w:szCs w:val="24"/>
        </w:rPr>
      </w:pPr>
    </w:p>
    <w:p w14:paraId="749A0B03" w14:textId="77777777" w:rsidR="00F01571" w:rsidRPr="00231446" w:rsidRDefault="00F01571" w:rsidP="00E7287F">
      <w:pPr>
        <w:ind w:left="10"/>
        <w:jc w:val="both"/>
        <w:rPr>
          <w:szCs w:val="24"/>
        </w:rPr>
      </w:pPr>
      <w:r w:rsidRPr="00231446">
        <w:rPr>
          <w:szCs w:val="24"/>
        </w:rPr>
        <w:t xml:space="preserve">ANGULA, DJP: </w:t>
      </w:r>
    </w:p>
    <w:p w14:paraId="54A55DE9" w14:textId="77777777" w:rsidR="00F01571" w:rsidRDefault="00F01571" w:rsidP="00E7287F">
      <w:pPr>
        <w:ind w:left="10"/>
        <w:jc w:val="both"/>
        <w:rPr>
          <w:szCs w:val="24"/>
        </w:rPr>
      </w:pPr>
    </w:p>
    <w:p w14:paraId="67109C2B" w14:textId="77777777" w:rsidR="00F01571" w:rsidRPr="00231446" w:rsidRDefault="00F01571" w:rsidP="00E7287F">
      <w:pPr>
        <w:ind w:left="10"/>
        <w:jc w:val="both"/>
        <w:rPr>
          <w:szCs w:val="24"/>
          <w:u w:val="single"/>
        </w:rPr>
      </w:pPr>
      <w:r w:rsidRPr="00231446">
        <w:rPr>
          <w:szCs w:val="24"/>
          <w:u w:val="single"/>
        </w:rPr>
        <w:t xml:space="preserve">Introduction </w:t>
      </w:r>
    </w:p>
    <w:p w14:paraId="03440660" w14:textId="77777777" w:rsidR="00F01571" w:rsidRDefault="00F01571" w:rsidP="00E7287F">
      <w:pPr>
        <w:ind w:left="10"/>
        <w:jc w:val="both"/>
        <w:rPr>
          <w:szCs w:val="24"/>
        </w:rPr>
      </w:pPr>
    </w:p>
    <w:p w14:paraId="63B541CD" w14:textId="6915D05D" w:rsidR="00B54F63" w:rsidRDefault="00521517" w:rsidP="00E7287F">
      <w:pPr>
        <w:ind w:left="10"/>
        <w:jc w:val="both"/>
        <w:rPr>
          <w:szCs w:val="24"/>
        </w:rPr>
      </w:pPr>
      <w:r>
        <w:rPr>
          <w:szCs w:val="24"/>
        </w:rPr>
        <w:t>[1]</w:t>
      </w:r>
      <w:r>
        <w:rPr>
          <w:szCs w:val="24"/>
        </w:rPr>
        <w:tab/>
      </w:r>
      <w:r w:rsidR="00C87C46" w:rsidRPr="00231446">
        <w:rPr>
          <w:szCs w:val="24"/>
        </w:rPr>
        <w:t xml:space="preserve">This is an application </w:t>
      </w:r>
      <w:r w:rsidR="007734FA" w:rsidRPr="00231446">
        <w:rPr>
          <w:szCs w:val="24"/>
        </w:rPr>
        <w:t xml:space="preserve">for </w:t>
      </w:r>
      <w:r w:rsidR="007B51C8">
        <w:rPr>
          <w:szCs w:val="24"/>
        </w:rPr>
        <w:t>the</w:t>
      </w:r>
      <w:r w:rsidR="007734FA" w:rsidRPr="00231446">
        <w:rPr>
          <w:szCs w:val="24"/>
        </w:rPr>
        <w:t xml:space="preserve"> forfeiture of property in terms of section 61</w:t>
      </w:r>
      <w:r w:rsidR="00C87C46" w:rsidRPr="00231446">
        <w:rPr>
          <w:szCs w:val="24"/>
        </w:rPr>
        <w:t xml:space="preserve"> of the Prevention of Organized Crime Act 29 of 2004 (‘POCA’) by the Prosecutor</w:t>
      </w:r>
      <w:r w:rsidR="004009EF">
        <w:rPr>
          <w:szCs w:val="24"/>
        </w:rPr>
        <w:t>-</w:t>
      </w:r>
      <w:r w:rsidR="00C87C46" w:rsidRPr="00231446">
        <w:rPr>
          <w:szCs w:val="24"/>
        </w:rPr>
        <w:t>General</w:t>
      </w:r>
      <w:r w:rsidR="007B51C8">
        <w:rPr>
          <w:szCs w:val="24"/>
        </w:rPr>
        <w:t xml:space="preserve">, </w:t>
      </w:r>
      <w:r w:rsidR="004009EF">
        <w:rPr>
          <w:szCs w:val="24"/>
        </w:rPr>
        <w:t>the applicant</w:t>
      </w:r>
      <w:r w:rsidR="00C87C46" w:rsidRPr="00231446">
        <w:rPr>
          <w:szCs w:val="24"/>
        </w:rPr>
        <w:t xml:space="preserve">. </w:t>
      </w:r>
      <w:r w:rsidR="007734FA" w:rsidRPr="00231446">
        <w:rPr>
          <w:szCs w:val="24"/>
        </w:rPr>
        <w:t>The application is brought on the ground that the property</w:t>
      </w:r>
      <w:r w:rsidR="00F93C51">
        <w:rPr>
          <w:szCs w:val="24"/>
        </w:rPr>
        <w:t>,</w:t>
      </w:r>
      <w:r w:rsidR="007734FA" w:rsidRPr="00231446">
        <w:rPr>
          <w:szCs w:val="24"/>
        </w:rPr>
        <w:t xml:space="preserve"> which is the subject matter of this application</w:t>
      </w:r>
      <w:r w:rsidR="00F93C51">
        <w:rPr>
          <w:szCs w:val="24"/>
        </w:rPr>
        <w:t>,</w:t>
      </w:r>
      <w:r w:rsidR="007734FA" w:rsidRPr="00231446">
        <w:rPr>
          <w:szCs w:val="24"/>
        </w:rPr>
        <w:t xml:space="preserve"> is </w:t>
      </w:r>
      <w:r w:rsidR="00B54F63">
        <w:rPr>
          <w:szCs w:val="24"/>
        </w:rPr>
        <w:t>an</w:t>
      </w:r>
      <w:r w:rsidR="007734FA" w:rsidRPr="00231446">
        <w:rPr>
          <w:szCs w:val="24"/>
        </w:rPr>
        <w:t xml:space="preserve"> instrumentality</w:t>
      </w:r>
      <w:r w:rsidR="007B51C8">
        <w:rPr>
          <w:szCs w:val="24"/>
        </w:rPr>
        <w:t xml:space="preserve"> within the meaning of </w:t>
      </w:r>
      <w:r w:rsidR="007734FA" w:rsidRPr="00231446">
        <w:rPr>
          <w:szCs w:val="24"/>
        </w:rPr>
        <w:t xml:space="preserve">schedule 1 of POCA offences, namely kidnapping and rape. </w:t>
      </w:r>
      <w:r w:rsidR="00AD2F75" w:rsidRPr="00231446">
        <w:rPr>
          <w:szCs w:val="24"/>
        </w:rPr>
        <w:t>The property is a Volkswagen VW 250 – POLO 1.6 with registration number N100-289W</w:t>
      </w:r>
      <w:r w:rsidR="00684334" w:rsidRPr="00231446">
        <w:rPr>
          <w:szCs w:val="24"/>
        </w:rPr>
        <w:t xml:space="preserve"> (‘the propert</w:t>
      </w:r>
      <w:r w:rsidR="00231446" w:rsidRPr="00231446">
        <w:rPr>
          <w:szCs w:val="24"/>
        </w:rPr>
        <w:t>y</w:t>
      </w:r>
      <w:r w:rsidR="004F6188">
        <w:rPr>
          <w:szCs w:val="24"/>
        </w:rPr>
        <w:t>”</w:t>
      </w:r>
      <w:r w:rsidR="00FB70A7">
        <w:rPr>
          <w:szCs w:val="24"/>
        </w:rPr>
        <w:t>,</w:t>
      </w:r>
      <w:r w:rsidR="00F93C51">
        <w:rPr>
          <w:szCs w:val="24"/>
        </w:rPr>
        <w:t xml:space="preserve"> or </w:t>
      </w:r>
      <w:r w:rsidR="004F6188">
        <w:rPr>
          <w:szCs w:val="24"/>
        </w:rPr>
        <w:t>“</w:t>
      </w:r>
      <w:r w:rsidR="00F93C51">
        <w:rPr>
          <w:szCs w:val="24"/>
        </w:rPr>
        <w:t>the car”)</w:t>
      </w:r>
      <w:r w:rsidR="00D4526A">
        <w:rPr>
          <w:szCs w:val="24"/>
        </w:rPr>
        <w:t>.</w:t>
      </w:r>
    </w:p>
    <w:p w14:paraId="46B79811" w14:textId="77777777" w:rsidR="00B17F1B" w:rsidRDefault="00B17F1B" w:rsidP="00E7287F">
      <w:pPr>
        <w:ind w:left="10"/>
        <w:jc w:val="both"/>
        <w:rPr>
          <w:szCs w:val="24"/>
        </w:rPr>
      </w:pPr>
    </w:p>
    <w:p w14:paraId="0E69B043" w14:textId="77777777" w:rsidR="00B54F63" w:rsidRDefault="00B54F63" w:rsidP="00E7287F">
      <w:pPr>
        <w:ind w:left="10"/>
        <w:jc w:val="both"/>
        <w:rPr>
          <w:szCs w:val="24"/>
        </w:rPr>
      </w:pPr>
      <w:r>
        <w:rPr>
          <w:szCs w:val="24"/>
        </w:rPr>
        <w:t>[2]</w:t>
      </w:r>
      <w:r>
        <w:rPr>
          <w:szCs w:val="24"/>
        </w:rPr>
        <w:tab/>
        <w:t>The applicant is the Prosecutor-General of the Republic of Namibia acting in her capacity as such.</w:t>
      </w:r>
    </w:p>
    <w:p w14:paraId="0C5196E6" w14:textId="77777777" w:rsidR="00B17F1B" w:rsidRDefault="00B17F1B" w:rsidP="00E7287F">
      <w:pPr>
        <w:ind w:left="10"/>
        <w:jc w:val="both"/>
        <w:rPr>
          <w:szCs w:val="24"/>
        </w:rPr>
      </w:pPr>
    </w:p>
    <w:p w14:paraId="7B25B40F" w14:textId="013781B3" w:rsidR="00B54F63" w:rsidRDefault="00B54F63" w:rsidP="00E7287F">
      <w:pPr>
        <w:ind w:left="10"/>
        <w:jc w:val="both"/>
        <w:rPr>
          <w:szCs w:val="24"/>
        </w:rPr>
      </w:pPr>
      <w:r>
        <w:rPr>
          <w:szCs w:val="24"/>
        </w:rPr>
        <w:lastRenderedPageBreak/>
        <w:t>[3]</w:t>
      </w:r>
      <w:r>
        <w:rPr>
          <w:szCs w:val="24"/>
        </w:rPr>
        <w:tab/>
      </w:r>
      <w:r w:rsidR="00C87C46" w:rsidRPr="00231446">
        <w:rPr>
          <w:szCs w:val="24"/>
        </w:rPr>
        <w:t xml:space="preserve">The respondent </w:t>
      </w:r>
      <w:r w:rsidR="00715C0C" w:rsidRPr="00231446">
        <w:rPr>
          <w:szCs w:val="24"/>
        </w:rPr>
        <w:t>is</w:t>
      </w:r>
      <w:r>
        <w:rPr>
          <w:szCs w:val="24"/>
        </w:rPr>
        <w:t xml:space="preserve"> </w:t>
      </w:r>
      <w:proofErr w:type="spellStart"/>
      <w:r>
        <w:rPr>
          <w:szCs w:val="24"/>
        </w:rPr>
        <w:t>Jaco</w:t>
      </w:r>
      <w:proofErr w:type="spellEnd"/>
      <w:r>
        <w:rPr>
          <w:szCs w:val="24"/>
        </w:rPr>
        <w:t xml:space="preserve"> Marius Kennedy</w:t>
      </w:r>
      <w:r w:rsidR="0042307B">
        <w:rPr>
          <w:szCs w:val="24"/>
        </w:rPr>
        <w:t>,</w:t>
      </w:r>
      <w:r w:rsidR="00715C0C" w:rsidRPr="00231446">
        <w:rPr>
          <w:szCs w:val="24"/>
        </w:rPr>
        <w:t xml:space="preserve"> an adult male who is charged with having committed the offences</w:t>
      </w:r>
      <w:r w:rsidR="00C66A95">
        <w:rPr>
          <w:szCs w:val="24"/>
        </w:rPr>
        <w:t xml:space="preserve"> of kidnapping and rape</w:t>
      </w:r>
      <w:r w:rsidR="00715C0C" w:rsidRPr="00231446">
        <w:rPr>
          <w:szCs w:val="24"/>
        </w:rPr>
        <w:t xml:space="preserve"> </w:t>
      </w:r>
      <w:r w:rsidR="007734FA" w:rsidRPr="00231446">
        <w:rPr>
          <w:szCs w:val="24"/>
        </w:rPr>
        <w:t>on 3 January 2015</w:t>
      </w:r>
      <w:r w:rsidR="00AD2F75" w:rsidRPr="00231446">
        <w:rPr>
          <w:szCs w:val="24"/>
        </w:rPr>
        <w:t xml:space="preserve"> </w:t>
      </w:r>
      <w:r w:rsidR="00BA1CA8">
        <w:rPr>
          <w:szCs w:val="24"/>
        </w:rPr>
        <w:t>and</w:t>
      </w:r>
      <w:r w:rsidR="004B3D9E">
        <w:rPr>
          <w:szCs w:val="24"/>
        </w:rPr>
        <w:t xml:space="preserve"> was also the driver of the </w:t>
      </w:r>
      <w:r w:rsidR="00AD2F75" w:rsidRPr="00231446">
        <w:rPr>
          <w:szCs w:val="24"/>
        </w:rPr>
        <w:t>property</w:t>
      </w:r>
      <w:r w:rsidR="00BA1CA8">
        <w:rPr>
          <w:szCs w:val="24"/>
        </w:rPr>
        <w:t xml:space="preserve"> </w:t>
      </w:r>
      <w:r w:rsidR="004B3D9E">
        <w:rPr>
          <w:szCs w:val="24"/>
        </w:rPr>
        <w:t xml:space="preserve">that is alleged to be </w:t>
      </w:r>
      <w:r w:rsidR="00BA1CA8">
        <w:rPr>
          <w:szCs w:val="24"/>
        </w:rPr>
        <w:t>an instrumental</w:t>
      </w:r>
      <w:r w:rsidR="00FB70A7">
        <w:rPr>
          <w:szCs w:val="24"/>
        </w:rPr>
        <w:t>it</w:t>
      </w:r>
      <w:r w:rsidR="00BA1CA8">
        <w:rPr>
          <w:szCs w:val="24"/>
        </w:rPr>
        <w:t>y</w:t>
      </w:r>
      <w:r w:rsidR="00C66A95">
        <w:rPr>
          <w:szCs w:val="24"/>
        </w:rPr>
        <w:t xml:space="preserve"> concerning the commission of the said offence</w:t>
      </w:r>
      <w:r w:rsidR="007734FA" w:rsidRPr="00231446">
        <w:rPr>
          <w:szCs w:val="24"/>
        </w:rPr>
        <w:t>.</w:t>
      </w:r>
    </w:p>
    <w:p w14:paraId="70799FC1" w14:textId="77777777" w:rsidR="00B54F63" w:rsidRDefault="00B54F63" w:rsidP="00E7287F">
      <w:pPr>
        <w:ind w:left="10"/>
        <w:jc w:val="both"/>
        <w:rPr>
          <w:szCs w:val="24"/>
        </w:rPr>
      </w:pPr>
    </w:p>
    <w:p w14:paraId="04F29625" w14:textId="77777777" w:rsidR="003A7C37" w:rsidRPr="00231446" w:rsidRDefault="00B54F63" w:rsidP="00E7287F">
      <w:pPr>
        <w:ind w:left="10"/>
        <w:jc w:val="both"/>
        <w:rPr>
          <w:szCs w:val="24"/>
        </w:rPr>
      </w:pPr>
      <w:r>
        <w:rPr>
          <w:szCs w:val="24"/>
        </w:rPr>
        <w:t>[4]</w:t>
      </w:r>
      <w:r>
        <w:rPr>
          <w:szCs w:val="24"/>
        </w:rPr>
        <w:tab/>
      </w:r>
      <w:r w:rsidR="00333517" w:rsidRPr="00231446">
        <w:rPr>
          <w:szCs w:val="24"/>
        </w:rPr>
        <w:t xml:space="preserve">The applicant is represented by </w:t>
      </w:r>
      <w:r w:rsidR="00C87C46" w:rsidRPr="00231446">
        <w:rPr>
          <w:szCs w:val="24"/>
        </w:rPr>
        <w:t xml:space="preserve">Ms </w:t>
      </w:r>
      <w:proofErr w:type="spellStart"/>
      <w:r w:rsidR="00C87C46" w:rsidRPr="00231446">
        <w:rPr>
          <w:szCs w:val="24"/>
        </w:rPr>
        <w:t>Kazondunge</w:t>
      </w:r>
      <w:proofErr w:type="spellEnd"/>
      <w:r>
        <w:rPr>
          <w:szCs w:val="24"/>
        </w:rPr>
        <w:t xml:space="preserve"> from the office of the Government Attorney. The </w:t>
      </w:r>
      <w:r w:rsidR="00571879">
        <w:rPr>
          <w:szCs w:val="24"/>
        </w:rPr>
        <w:t>r</w:t>
      </w:r>
      <w:r w:rsidR="00333517" w:rsidRPr="00231446">
        <w:rPr>
          <w:szCs w:val="24"/>
        </w:rPr>
        <w:t xml:space="preserve">espondent </w:t>
      </w:r>
      <w:r w:rsidR="00571879">
        <w:rPr>
          <w:szCs w:val="24"/>
        </w:rPr>
        <w:t xml:space="preserve">is represented by Mr </w:t>
      </w:r>
      <w:r w:rsidR="00333517" w:rsidRPr="00231446">
        <w:rPr>
          <w:szCs w:val="24"/>
        </w:rPr>
        <w:t>Isaacks</w:t>
      </w:r>
      <w:r w:rsidR="00571879">
        <w:rPr>
          <w:szCs w:val="24"/>
        </w:rPr>
        <w:t xml:space="preserve"> from Isaacks &amp; Associates</w:t>
      </w:r>
      <w:r w:rsidR="00333517" w:rsidRPr="00231446">
        <w:rPr>
          <w:szCs w:val="24"/>
        </w:rPr>
        <w:t>.</w:t>
      </w:r>
      <w:r w:rsidR="008D461F" w:rsidRPr="00231446">
        <w:rPr>
          <w:szCs w:val="24"/>
        </w:rPr>
        <w:t xml:space="preserve"> Both </w:t>
      </w:r>
      <w:r w:rsidR="00571879">
        <w:rPr>
          <w:szCs w:val="24"/>
        </w:rPr>
        <w:t xml:space="preserve">counsel filed </w:t>
      </w:r>
      <w:r w:rsidR="008D461F" w:rsidRPr="00231446">
        <w:rPr>
          <w:szCs w:val="24"/>
        </w:rPr>
        <w:t xml:space="preserve">heads of arguments </w:t>
      </w:r>
      <w:r w:rsidR="00571879">
        <w:rPr>
          <w:szCs w:val="24"/>
        </w:rPr>
        <w:t xml:space="preserve">for which </w:t>
      </w:r>
      <w:r w:rsidR="009A482E">
        <w:rPr>
          <w:szCs w:val="24"/>
        </w:rPr>
        <w:t>the c</w:t>
      </w:r>
      <w:r w:rsidR="008D461F" w:rsidRPr="00231446">
        <w:rPr>
          <w:szCs w:val="24"/>
        </w:rPr>
        <w:t xml:space="preserve">ourt would </w:t>
      </w:r>
      <w:r w:rsidR="009A482E">
        <w:rPr>
          <w:szCs w:val="24"/>
        </w:rPr>
        <w:t>like to extend its appreciation</w:t>
      </w:r>
      <w:r w:rsidR="00571879">
        <w:rPr>
          <w:szCs w:val="24"/>
        </w:rPr>
        <w:t xml:space="preserve"> for their diligence</w:t>
      </w:r>
      <w:r w:rsidR="00AD2F75" w:rsidRPr="00231446">
        <w:rPr>
          <w:szCs w:val="24"/>
        </w:rPr>
        <w:t xml:space="preserve">. </w:t>
      </w:r>
    </w:p>
    <w:p w14:paraId="506D4667" w14:textId="77777777" w:rsidR="00B17F1B" w:rsidRPr="00231446" w:rsidRDefault="00B17F1B" w:rsidP="00E7287F">
      <w:pPr>
        <w:ind w:left="10"/>
        <w:jc w:val="both"/>
        <w:rPr>
          <w:szCs w:val="24"/>
        </w:rPr>
      </w:pPr>
    </w:p>
    <w:p w14:paraId="09D5E515" w14:textId="77777777" w:rsidR="00231446" w:rsidRPr="00231446" w:rsidRDefault="00231446" w:rsidP="00E7287F">
      <w:pPr>
        <w:ind w:left="10"/>
        <w:jc w:val="both"/>
        <w:rPr>
          <w:szCs w:val="24"/>
          <w:u w:val="single"/>
        </w:rPr>
      </w:pPr>
      <w:r w:rsidRPr="00231446">
        <w:rPr>
          <w:szCs w:val="24"/>
          <w:u w:val="single"/>
        </w:rPr>
        <w:t>Background</w:t>
      </w:r>
    </w:p>
    <w:p w14:paraId="0B32AE6B" w14:textId="77777777" w:rsidR="00B17F1B" w:rsidRDefault="00B17F1B" w:rsidP="00E7287F">
      <w:pPr>
        <w:ind w:left="10"/>
        <w:jc w:val="both"/>
        <w:rPr>
          <w:szCs w:val="24"/>
        </w:rPr>
      </w:pPr>
    </w:p>
    <w:p w14:paraId="49D0AB0C" w14:textId="1458E0DE" w:rsidR="008A7E45" w:rsidRDefault="00AD2F75" w:rsidP="00E7287F">
      <w:pPr>
        <w:ind w:left="10"/>
        <w:jc w:val="both"/>
        <w:rPr>
          <w:szCs w:val="24"/>
        </w:rPr>
      </w:pPr>
      <w:r w:rsidRPr="00231446">
        <w:rPr>
          <w:szCs w:val="24"/>
        </w:rPr>
        <w:t>[</w:t>
      </w:r>
      <w:r w:rsidR="00571879">
        <w:rPr>
          <w:szCs w:val="24"/>
        </w:rPr>
        <w:t>5</w:t>
      </w:r>
      <w:r w:rsidRPr="00231446">
        <w:rPr>
          <w:szCs w:val="24"/>
        </w:rPr>
        <w:t>]</w:t>
      </w:r>
      <w:r w:rsidR="00A2104F">
        <w:rPr>
          <w:szCs w:val="24"/>
        </w:rPr>
        <w:tab/>
      </w:r>
      <w:r w:rsidR="00684334" w:rsidRPr="00231446">
        <w:rPr>
          <w:szCs w:val="24"/>
        </w:rPr>
        <w:t>On 13 March 2015</w:t>
      </w:r>
      <w:r w:rsidR="00FB70A7">
        <w:rPr>
          <w:szCs w:val="24"/>
        </w:rPr>
        <w:t>,</w:t>
      </w:r>
      <w:r w:rsidR="006F3664">
        <w:rPr>
          <w:szCs w:val="24"/>
        </w:rPr>
        <w:t xml:space="preserve"> upon an application by the P</w:t>
      </w:r>
      <w:r w:rsidR="00900BEC">
        <w:rPr>
          <w:szCs w:val="24"/>
        </w:rPr>
        <w:t>rosecutor</w:t>
      </w:r>
      <w:r w:rsidR="008A7E45">
        <w:rPr>
          <w:szCs w:val="24"/>
        </w:rPr>
        <w:t>–</w:t>
      </w:r>
      <w:r w:rsidR="006F3664">
        <w:rPr>
          <w:szCs w:val="24"/>
        </w:rPr>
        <w:t>G</w:t>
      </w:r>
      <w:r w:rsidR="008A7E45">
        <w:rPr>
          <w:szCs w:val="24"/>
        </w:rPr>
        <w:t xml:space="preserve">eneral, </w:t>
      </w:r>
      <w:r w:rsidR="006F3664">
        <w:rPr>
          <w:szCs w:val="24"/>
        </w:rPr>
        <w:t>this</w:t>
      </w:r>
      <w:r w:rsidR="00231446" w:rsidRPr="00231446">
        <w:rPr>
          <w:szCs w:val="24"/>
        </w:rPr>
        <w:t xml:space="preserve"> Court granted a provisional</w:t>
      </w:r>
      <w:r w:rsidR="00684334" w:rsidRPr="00231446">
        <w:rPr>
          <w:szCs w:val="24"/>
        </w:rPr>
        <w:t xml:space="preserve"> preservation of property order</w:t>
      </w:r>
      <w:r w:rsidR="006F3664">
        <w:rPr>
          <w:szCs w:val="24"/>
        </w:rPr>
        <w:t>.</w:t>
      </w:r>
      <w:r w:rsidR="00684334" w:rsidRPr="00231446">
        <w:rPr>
          <w:szCs w:val="24"/>
        </w:rPr>
        <w:t xml:space="preserve"> </w:t>
      </w:r>
      <w:r w:rsidR="006F3664">
        <w:rPr>
          <w:szCs w:val="24"/>
        </w:rPr>
        <w:t>By agreement between the parties t</w:t>
      </w:r>
      <w:r w:rsidR="00231446" w:rsidRPr="00231446">
        <w:rPr>
          <w:szCs w:val="24"/>
        </w:rPr>
        <w:t>he provisional preservation order was confirmed by th</w:t>
      </w:r>
      <w:r w:rsidR="006F3664">
        <w:rPr>
          <w:szCs w:val="24"/>
        </w:rPr>
        <w:t>is</w:t>
      </w:r>
      <w:r w:rsidR="00231446" w:rsidRPr="00231446">
        <w:rPr>
          <w:szCs w:val="24"/>
        </w:rPr>
        <w:t xml:space="preserve"> Court</w:t>
      </w:r>
      <w:r w:rsidR="00684334" w:rsidRPr="00231446">
        <w:rPr>
          <w:szCs w:val="24"/>
        </w:rPr>
        <w:t xml:space="preserve"> on 24 April 2015</w:t>
      </w:r>
      <w:r w:rsidR="00B32D15">
        <w:rPr>
          <w:szCs w:val="24"/>
        </w:rPr>
        <w:t xml:space="preserve">. </w:t>
      </w:r>
      <w:r w:rsidR="006F3664" w:rsidRPr="00231446">
        <w:rPr>
          <w:szCs w:val="24"/>
        </w:rPr>
        <w:t>Section 59(1) of POCA provides that if a preservation of property order is in force, the Prosecutor-General may apply to th</w:t>
      </w:r>
      <w:r w:rsidR="006F3664">
        <w:rPr>
          <w:szCs w:val="24"/>
        </w:rPr>
        <w:t xml:space="preserve">is </w:t>
      </w:r>
      <w:r w:rsidR="006F3664" w:rsidRPr="00231446">
        <w:rPr>
          <w:szCs w:val="24"/>
        </w:rPr>
        <w:t>Court for an order forfeiting</w:t>
      </w:r>
      <w:r w:rsidR="004B3D9E">
        <w:rPr>
          <w:szCs w:val="24"/>
        </w:rPr>
        <w:t xml:space="preserve"> to</w:t>
      </w:r>
      <w:r w:rsidR="006F3664" w:rsidRPr="00231446">
        <w:rPr>
          <w:szCs w:val="24"/>
        </w:rPr>
        <w:t xml:space="preserve"> </w:t>
      </w:r>
      <w:r w:rsidR="004B3D9E">
        <w:rPr>
          <w:szCs w:val="24"/>
        </w:rPr>
        <w:t>t</w:t>
      </w:r>
      <w:r w:rsidR="006F3664" w:rsidRPr="00231446">
        <w:rPr>
          <w:szCs w:val="24"/>
        </w:rPr>
        <w:t>he State the property that is subject to a preservation of property orde</w:t>
      </w:r>
      <w:r w:rsidR="006F3664">
        <w:rPr>
          <w:szCs w:val="24"/>
        </w:rPr>
        <w:t>r. The property is presently the subject matter of the preservation of property order. O</w:t>
      </w:r>
      <w:r w:rsidR="00B32D15">
        <w:rPr>
          <w:szCs w:val="24"/>
        </w:rPr>
        <w:t>n 11 September 2015</w:t>
      </w:r>
      <w:r w:rsidR="00DF61A2">
        <w:rPr>
          <w:szCs w:val="24"/>
        </w:rPr>
        <w:t xml:space="preserve"> applicant</w:t>
      </w:r>
      <w:r w:rsidR="006F3664">
        <w:rPr>
          <w:szCs w:val="24"/>
        </w:rPr>
        <w:t xml:space="preserve"> launched this</w:t>
      </w:r>
      <w:r w:rsidR="008A7E45">
        <w:rPr>
          <w:szCs w:val="24"/>
        </w:rPr>
        <w:t xml:space="preserve"> forfeiture application.</w:t>
      </w:r>
    </w:p>
    <w:p w14:paraId="3259FFE9" w14:textId="77777777" w:rsidR="00B17F1B" w:rsidRDefault="00B17F1B" w:rsidP="00E7287F">
      <w:pPr>
        <w:ind w:left="10"/>
        <w:jc w:val="both"/>
        <w:rPr>
          <w:szCs w:val="24"/>
        </w:rPr>
      </w:pPr>
    </w:p>
    <w:p w14:paraId="3437062A" w14:textId="30B76457" w:rsidR="00541F27" w:rsidRDefault="008A7E45" w:rsidP="00E7287F">
      <w:pPr>
        <w:ind w:left="10"/>
        <w:jc w:val="both"/>
        <w:rPr>
          <w:szCs w:val="24"/>
        </w:rPr>
      </w:pPr>
      <w:r>
        <w:rPr>
          <w:szCs w:val="24"/>
        </w:rPr>
        <w:t>[6]</w:t>
      </w:r>
      <w:r w:rsidR="00FD4130">
        <w:rPr>
          <w:szCs w:val="24"/>
        </w:rPr>
        <w:tab/>
      </w:r>
      <w:r>
        <w:rPr>
          <w:szCs w:val="24"/>
        </w:rPr>
        <w:t>It is common cause that the property is also the subject matter of a hire</w:t>
      </w:r>
      <w:r w:rsidR="000413DA">
        <w:rPr>
          <w:szCs w:val="24"/>
        </w:rPr>
        <w:t>-</w:t>
      </w:r>
      <w:r>
        <w:rPr>
          <w:szCs w:val="24"/>
        </w:rPr>
        <w:t>purchase agreement between the respondent and First National</w:t>
      </w:r>
      <w:r w:rsidR="007B51C8">
        <w:rPr>
          <w:szCs w:val="24"/>
        </w:rPr>
        <w:t xml:space="preserve"> of Namibia</w:t>
      </w:r>
      <w:r>
        <w:rPr>
          <w:szCs w:val="24"/>
        </w:rPr>
        <w:t xml:space="preserve"> Bank.</w:t>
      </w:r>
      <w:r w:rsidR="00FD4130">
        <w:rPr>
          <w:szCs w:val="24"/>
        </w:rPr>
        <w:t xml:space="preserve"> In terms of the preservation order</w:t>
      </w:r>
      <w:r w:rsidR="000413DA">
        <w:rPr>
          <w:szCs w:val="24"/>
        </w:rPr>
        <w:t>,</w:t>
      </w:r>
      <w:r w:rsidR="00FD4130">
        <w:rPr>
          <w:szCs w:val="24"/>
        </w:rPr>
        <w:t xml:space="preserve"> the applicant was order</w:t>
      </w:r>
      <w:r w:rsidR="009B43B4">
        <w:rPr>
          <w:szCs w:val="24"/>
        </w:rPr>
        <w:t>ed to serv</w:t>
      </w:r>
      <w:r w:rsidR="00FD4130">
        <w:rPr>
          <w:szCs w:val="24"/>
        </w:rPr>
        <w:t xml:space="preserve">e the order on the respondent and </w:t>
      </w:r>
      <w:r w:rsidR="000413DA">
        <w:rPr>
          <w:szCs w:val="24"/>
        </w:rPr>
        <w:t>a</w:t>
      </w:r>
      <w:r w:rsidR="00FD4130">
        <w:rPr>
          <w:szCs w:val="24"/>
        </w:rPr>
        <w:t>s</w:t>
      </w:r>
      <w:r w:rsidR="000413DA">
        <w:rPr>
          <w:szCs w:val="24"/>
        </w:rPr>
        <w:t xml:space="preserve"> </w:t>
      </w:r>
      <w:r w:rsidR="00FD4130">
        <w:rPr>
          <w:szCs w:val="24"/>
        </w:rPr>
        <w:t xml:space="preserve">well on </w:t>
      </w:r>
      <w:r w:rsidR="00761A13">
        <w:rPr>
          <w:szCs w:val="24"/>
        </w:rPr>
        <w:t>F</w:t>
      </w:r>
      <w:r w:rsidR="00FD4130">
        <w:rPr>
          <w:szCs w:val="24"/>
        </w:rPr>
        <w:t xml:space="preserve">irst </w:t>
      </w:r>
      <w:r w:rsidR="00761A13">
        <w:rPr>
          <w:szCs w:val="24"/>
        </w:rPr>
        <w:t>N</w:t>
      </w:r>
      <w:r w:rsidR="00FD4130">
        <w:rPr>
          <w:szCs w:val="24"/>
        </w:rPr>
        <w:t>a</w:t>
      </w:r>
      <w:r w:rsidR="008C725F">
        <w:rPr>
          <w:szCs w:val="24"/>
        </w:rPr>
        <w:t>tion</w:t>
      </w:r>
      <w:r w:rsidR="000413DA">
        <w:rPr>
          <w:szCs w:val="24"/>
        </w:rPr>
        <w:t>al</w:t>
      </w:r>
      <w:r w:rsidR="004B3D9E">
        <w:rPr>
          <w:szCs w:val="24"/>
        </w:rPr>
        <w:t xml:space="preserve"> of Namibia</w:t>
      </w:r>
      <w:r w:rsidR="008C725F">
        <w:rPr>
          <w:szCs w:val="24"/>
        </w:rPr>
        <w:t xml:space="preserve"> B</w:t>
      </w:r>
      <w:r w:rsidR="00F03209">
        <w:rPr>
          <w:szCs w:val="24"/>
        </w:rPr>
        <w:t>ank</w:t>
      </w:r>
      <w:r w:rsidR="008C725F">
        <w:rPr>
          <w:szCs w:val="24"/>
        </w:rPr>
        <w:t xml:space="preserve">, </w:t>
      </w:r>
      <w:proofErr w:type="spellStart"/>
      <w:r w:rsidR="008C725F">
        <w:rPr>
          <w:szCs w:val="24"/>
        </w:rPr>
        <w:t>West</w:t>
      </w:r>
      <w:r w:rsidR="00F03209">
        <w:rPr>
          <w:szCs w:val="24"/>
        </w:rPr>
        <w:t>bank</w:t>
      </w:r>
      <w:proofErr w:type="spellEnd"/>
      <w:r w:rsidR="00F03209">
        <w:rPr>
          <w:szCs w:val="24"/>
        </w:rPr>
        <w:t xml:space="preserve"> branch. </w:t>
      </w:r>
      <w:r w:rsidR="00FD4130">
        <w:rPr>
          <w:szCs w:val="24"/>
        </w:rPr>
        <w:t>According to the return of service</w:t>
      </w:r>
      <w:r w:rsidR="00F03209">
        <w:rPr>
          <w:szCs w:val="24"/>
        </w:rPr>
        <w:t>,</w:t>
      </w:r>
      <w:r w:rsidR="00D32254">
        <w:rPr>
          <w:szCs w:val="24"/>
        </w:rPr>
        <w:t xml:space="preserve"> the preservation order</w:t>
      </w:r>
      <w:r w:rsidR="00FD4130">
        <w:rPr>
          <w:szCs w:val="24"/>
        </w:rPr>
        <w:t xml:space="preserve">, apart from </w:t>
      </w:r>
      <w:r w:rsidR="00D32254">
        <w:rPr>
          <w:szCs w:val="24"/>
        </w:rPr>
        <w:t>being served on</w:t>
      </w:r>
      <w:r w:rsidR="00FD4130">
        <w:rPr>
          <w:szCs w:val="24"/>
        </w:rPr>
        <w:t xml:space="preserve"> the respondent</w:t>
      </w:r>
      <w:r w:rsidR="000413DA">
        <w:rPr>
          <w:szCs w:val="24"/>
        </w:rPr>
        <w:t>,</w:t>
      </w:r>
      <w:r w:rsidR="00FD4130">
        <w:rPr>
          <w:szCs w:val="24"/>
        </w:rPr>
        <w:t xml:space="preserve"> was also served on First National Bank on 15 May 2015</w:t>
      </w:r>
      <w:r w:rsidR="000413DA">
        <w:rPr>
          <w:szCs w:val="24"/>
        </w:rPr>
        <w:t>.</w:t>
      </w:r>
      <w:r>
        <w:rPr>
          <w:szCs w:val="24"/>
        </w:rPr>
        <w:t xml:space="preserve"> </w:t>
      </w:r>
    </w:p>
    <w:p w14:paraId="41BB5A99" w14:textId="77777777" w:rsidR="00B17F1B" w:rsidRDefault="00B17F1B" w:rsidP="00E7287F">
      <w:pPr>
        <w:ind w:left="10"/>
        <w:jc w:val="both"/>
        <w:rPr>
          <w:szCs w:val="24"/>
        </w:rPr>
      </w:pPr>
    </w:p>
    <w:p w14:paraId="61E26F37" w14:textId="77777777" w:rsidR="006F3664" w:rsidRDefault="00FD4130" w:rsidP="00E7287F">
      <w:pPr>
        <w:ind w:left="10"/>
        <w:jc w:val="both"/>
        <w:rPr>
          <w:szCs w:val="24"/>
        </w:rPr>
      </w:pPr>
      <w:r>
        <w:rPr>
          <w:szCs w:val="24"/>
        </w:rPr>
        <w:t>[7</w:t>
      </w:r>
      <w:r w:rsidR="008A7E45">
        <w:rPr>
          <w:szCs w:val="24"/>
        </w:rPr>
        <w:t>]</w:t>
      </w:r>
      <w:r w:rsidR="008A7E45">
        <w:rPr>
          <w:szCs w:val="24"/>
        </w:rPr>
        <w:tab/>
        <w:t>The application is opposed by the respondent.</w:t>
      </w:r>
      <w:r>
        <w:rPr>
          <w:szCs w:val="24"/>
        </w:rPr>
        <w:t xml:space="preserve"> F</w:t>
      </w:r>
      <w:r w:rsidR="0086245C">
        <w:rPr>
          <w:szCs w:val="24"/>
        </w:rPr>
        <w:t xml:space="preserve">irst </w:t>
      </w:r>
      <w:r>
        <w:rPr>
          <w:szCs w:val="24"/>
        </w:rPr>
        <w:t>N</w:t>
      </w:r>
      <w:r w:rsidR="0086245C">
        <w:rPr>
          <w:szCs w:val="24"/>
        </w:rPr>
        <w:t xml:space="preserve">ational </w:t>
      </w:r>
      <w:r>
        <w:rPr>
          <w:szCs w:val="24"/>
        </w:rPr>
        <w:t>B</w:t>
      </w:r>
      <w:r w:rsidR="0086245C">
        <w:rPr>
          <w:szCs w:val="24"/>
        </w:rPr>
        <w:t>ank</w:t>
      </w:r>
      <w:r>
        <w:rPr>
          <w:szCs w:val="24"/>
        </w:rPr>
        <w:t xml:space="preserve"> did not</w:t>
      </w:r>
      <w:r w:rsidR="002F096B">
        <w:rPr>
          <w:szCs w:val="24"/>
        </w:rPr>
        <w:t xml:space="preserve"> oppose or</w:t>
      </w:r>
      <w:r>
        <w:rPr>
          <w:szCs w:val="24"/>
        </w:rPr>
        <w:t xml:space="preserve"> intervene in th</w:t>
      </w:r>
      <w:r w:rsidR="00A278FA">
        <w:rPr>
          <w:szCs w:val="24"/>
        </w:rPr>
        <w:t>ese</w:t>
      </w:r>
      <w:r w:rsidR="00C845CA">
        <w:rPr>
          <w:szCs w:val="24"/>
        </w:rPr>
        <w:t xml:space="preserve"> proceedings, despite the application papers and the preservation order being served on them.</w:t>
      </w:r>
    </w:p>
    <w:p w14:paraId="46D18D49" w14:textId="77777777" w:rsidR="00A278FA" w:rsidRDefault="00A278FA" w:rsidP="00E7287F">
      <w:pPr>
        <w:ind w:left="10"/>
        <w:jc w:val="both"/>
        <w:rPr>
          <w:szCs w:val="24"/>
        </w:rPr>
      </w:pPr>
    </w:p>
    <w:p w14:paraId="70261078" w14:textId="77777777" w:rsidR="00A278FA" w:rsidRPr="00A278FA" w:rsidRDefault="00A278FA" w:rsidP="00E7287F">
      <w:pPr>
        <w:ind w:left="10"/>
        <w:jc w:val="both"/>
        <w:rPr>
          <w:i/>
          <w:szCs w:val="24"/>
        </w:rPr>
      </w:pPr>
      <w:r w:rsidRPr="00251C26">
        <w:rPr>
          <w:szCs w:val="24"/>
          <w:u w:val="single"/>
        </w:rPr>
        <w:t>Case for the applicant</w:t>
      </w:r>
    </w:p>
    <w:p w14:paraId="4B8F67F6" w14:textId="77777777" w:rsidR="00B17F1B" w:rsidRPr="00A278FA" w:rsidRDefault="00B17F1B" w:rsidP="00E7287F">
      <w:pPr>
        <w:ind w:left="10"/>
        <w:jc w:val="both"/>
        <w:rPr>
          <w:i/>
          <w:szCs w:val="24"/>
        </w:rPr>
      </w:pPr>
    </w:p>
    <w:p w14:paraId="23EE7F0D" w14:textId="222FE75E" w:rsidR="008A7E45" w:rsidRDefault="003D10F7" w:rsidP="00E7287F">
      <w:pPr>
        <w:ind w:left="10"/>
        <w:jc w:val="both"/>
        <w:rPr>
          <w:szCs w:val="24"/>
        </w:rPr>
      </w:pPr>
      <w:r>
        <w:rPr>
          <w:szCs w:val="24"/>
        </w:rPr>
        <w:t>[8]</w:t>
      </w:r>
      <w:r>
        <w:rPr>
          <w:szCs w:val="24"/>
        </w:rPr>
        <w:tab/>
        <w:t xml:space="preserve">The </w:t>
      </w:r>
      <w:r w:rsidR="009C5DA1">
        <w:rPr>
          <w:szCs w:val="24"/>
        </w:rPr>
        <w:t>applican</w:t>
      </w:r>
      <w:r w:rsidR="000413DA">
        <w:rPr>
          <w:szCs w:val="24"/>
        </w:rPr>
        <w:t>t</w:t>
      </w:r>
      <w:r w:rsidR="009C5DA1">
        <w:rPr>
          <w:szCs w:val="24"/>
        </w:rPr>
        <w:t xml:space="preserve"> </w:t>
      </w:r>
      <w:r w:rsidR="00A278FA">
        <w:rPr>
          <w:szCs w:val="24"/>
        </w:rPr>
        <w:t>in her</w:t>
      </w:r>
      <w:r w:rsidR="00CB1A43">
        <w:rPr>
          <w:szCs w:val="24"/>
        </w:rPr>
        <w:t xml:space="preserve"> founding filed</w:t>
      </w:r>
      <w:r w:rsidR="009C5DA1">
        <w:rPr>
          <w:szCs w:val="24"/>
        </w:rPr>
        <w:t xml:space="preserve"> </w:t>
      </w:r>
      <w:r w:rsidR="000413DA">
        <w:rPr>
          <w:szCs w:val="24"/>
        </w:rPr>
        <w:t xml:space="preserve">an </w:t>
      </w:r>
      <w:r w:rsidR="009C5DA1">
        <w:rPr>
          <w:szCs w:val="24"/>
        </w:rPr>
        <w:t>affidavit in support of this</w:t>
      </w:r>
      <w:r w:rsidR="00A278FA">
        <w:rPr>
          <w:szCs w:val="24"/>
        </w:rPr>
        <w:t xml:space="preserve"> application for the forfeiture order</w:t>
      </w:r>
      <w:r w:rsidR="0090538E">
        <w:rPr>
          <w:szCs w:val="24"/>
        </w:rPr>
        <w:t xml:space="preserve">, </w:t>
      </w:r>
      <w:r w:rsidR="000413DA">
        <w:rPr>
          <w:szCs w:val="24"/>
        </w:rPr>
        <w:t xml:space="preserve">and </w:t>
      </w:r>
      <w:r w:rsidR="00A278FA">
        <w:rPr>
          <w:szCs w:val="24"/>
        </w:rPr>
        <w:t>asked this court to consider that all the documents and annexures filed in support of the application for the preservation order be deemed to have been incorporated in her</w:t>
      </w:r>
      <w:r w:rsidR="0090538E">
        <w:rPr>
          <w:szCs w:val="24"/>
        </w:rPr>
        <w:t xml:space="preserve"> founding</w:t>
      </w:r>
      <w:r w:rsidR="004374D3">
        <w:rPr>
          <w:szCs w:val="24"/>
        </w:rPr>
        <w:t xml:space="preserve"> affidavit</w:t>
      </w:r>
      <w:r w:rsidR="00F347FC">
        <w:rPr>
          <w:szCs w:val="24"/>
        </w:rPr>
        <w:t>. Those affidavits, document and annexures</w:t>
      </w:r>
      <w:r w:rsidR="00A278FA">
        <w:rPr>
          <w:szCs w:val="24"/>
        </w:rPr>
        <w:t xml:space="preserve"> form part of the court file in this matter.</w:t>
      </w:r>
    </w:p>
    <w:p w14:paraId="5794340A" w14:textId="77777777" w:rsidR="00B17F1B" w:rsidRDefault="00B17F1B" w:rsidP="00E7287F">
      <w:pPr>
        <w:ind w:left="10"/>
        <w:jc w:val="both"/>
        <w:rPr>
          <w:szCs w:val="24"/>
        </w:rPr>
      </w:pPr>
    </w:p>
    <w:p w14:paraId="2A739425" w14:textId="37E7554D" w:rsidR="00D45B53" w:rsidRDefault="00541F27" w:rsidP="00E7287F">
      <w:pPr>
        <w:ind w:left="10"/>
        <w:jc w:val="both"/>
        <w:rPr>
          <w:szCs w:val="24"/>
        </w:rPr>
      </w:pPr>
      <w:r>
        <w:rPr>
          <w:szCs w:val="24"/>
        </w:rPr>
        <w:t>[</w:t>
      </w:r>
      <w:r w:rsidR="00CA2A35">
        <w:rPr>
          <w:szCs w:val="24"/>
        </w:rPr>
        <w:t>9</w:t>
      </w:r>
      <w:r>
        <w:rPr>
          <w:szCs w:val="24"/>
        </w:rPr>
        <w:t>]</w:t>
      </w:r>
      <w:r w:rsidR="00D16028">
        <w:rPr>
          <w:szCs w:val="24"/>
        </w:rPr>
        <w:t xml:space="preserve"> </w:t>
      </w:r>
      <w:r w:rsidR="00D840DC">
        <w:rPr>
          <w:szCs w:val="24"/>
        </w:rPr>
        <w:t xml:space="preserve">The </w:t>
      </w:r>
      <w:r w:rsidR="0065117C">
        <w:rPr>
          <w:szCs w:val="24"/>
        </w:rPr>
        <w:t>c</w:t>
      </w:r>
      <w:r w:rsidR="007F05EF">
        <w:rPr>
          <w:szCs w:val="24"/>
        </w:rPr>
        <w:t>omplainant</w:t>
      </w:r>
      <w:r w:rsidR="004B3D9E">
        <w:rPr>
          <w:szCs w:val="24"/>
        </w:rPr>
        <w:t xml:space="preserve"> </w:t>
      </w:r>
      <w:r w:rsidR="00815E89">
        <w:rPr>
          <w:szCs w:val="24"/>
        </w:rPr>
        <w:t>who is the victim of the alleged offences</w:t>
      </w:r>
      <w:r w:rsidR="00D840DC">
        <w:rPr>
          <w:szCs w:val="24"/>
        </w:rPr>
        <w:t xml:space="preserve"> made </w:t>
      </w:r>
      <w:r w:rsidR="007F05EF">
        <w:rPr>
          <w:szCs w:val="24"/>
        </w:rPr>
        <w:t>a</w:t>
      </w:r>
      <w:r w:rsidR="0040474A">
        <w:rPr>
          <w:szCs w:val="24"/>
        </w:rPr>
        <w:t xml:space="preserve"> sworn statement </w:t>
      </w:r>
      <w:r w:rsidR="007F05EF">
        <w:rPr>
          <w:szCs w:val="24"/>
        </w:rPr>
        <w:t>t</w:t>
      </w:r>
      <w:r w:rsidR="0040474A">
        <w:rPr>
          <w:szCs w:val="24"/>
        </w:rPr>
        <w:t xml:space="preserve">o the police </w:t>
      </w:r>
      <w:r w:rsidR="00D840DC">
        <w:rPr>
          <w:szCs w:val="24"/>
        </w:rPr>
        <w:t>which is</w:t>
      </w:r>
      <w:r w:rsidR="0040474A">
        <w:rPr>
          <w:szCs w:val="24"/>
        </w:rPr>
        <w:t xml:space="preserve"> one of the annexures attached to the </w:t>
      </w:r>
      <w:r w:rsidR="0065117C">
        <w:rPr>
          <w:szCs w:val="24"/>
        </w:rPr>
        <w:t>applicant’s</w:t>
      </w:r>
      <w:r w:rsidR="0040474A">
        <w:rPr>
          <w:szCs w:val="24"/>
        </w:rPr>
        <w:t xml:space="preserve"> affidavit</w:t>
      </w:r>
      <w:r w:rsidR="007F05EF">
        <w:rPr>
          <w:szCs w:val="24"/>
        </w:rPr>
        <w:t>.</w:t>
      </w:r>
    </w:p>
    <w:p w14:paraId="6B9D3E25" w14:textId="77777777" w:rsidR="00B17F1B" w:rsidRDefault="00B17F1B" w:rsidP="00E7287F">
      <w:pPr>
        <w:ind w:left="10"/>
        <w:jc w:val="both"/>
        <w:rPr>
          <w:szCs w:val="24"/>
        </w:rPr>
      </w:pPr>
    </w:p>
    <w:p w14:paraId="3E2C9ED5" w14:textId="40C02C4F" w:rsidR="001C5290" w:rsidRDefault="00E8333A" w:rsidP="00E7287F">
      <w:pPr>
        <w:ind w:left="10"/>
        <w:jc w:val="both"/>
        <w:rPr>
          <w:szCs w:val="24"/>
        </w:rPr>
      </w:pPr>
      <w:r>
        <w:rPr>
          <w:szCs w:val="24"/>
        </w:rPr>
        <w:t>[1</w:t>
      </w:r>
      <w:r w:rsidR="003A1D96">
        <w:rPr>
          <w:szCs w:val="24"/>
        </w:rPr>
        <w:t>0</w:t>
      </w:r>
      <w:r>
        <w:rPr>
          <w:szCs w:val="24"/>
        </w:rPr>
        <w:t>]</w:t>
      </w:r>
      <w:r>
        <w:rPr>
          <w:szCs w:val="24"/>
        </w:rPr>
        <w:tab/>
      </w:r>
      <w:r w:rsidR="007F05EF">
        <w:rPr>
          <w:szCs w:val="24"/>
        </w:rPr>
        <w:t xml:space="preserve">According to the </w:t>
      </w:r>
      <w:r w:rsidR="00F347FC">
        <w:rPr>
          <w:szCs w:val="24"/>
        </w:rPr>
        <w:t>complainant</w:t>
      </w:r>
      <w:r w:rsidR="0040474A">
        <w:rPr>
          <w:szCs w:val="24"/>
        </w:rPr>
        <w:t>, on 3 January 2015 at around 19</w:t>
      </w:r>
      <w:r w:rsidR="00D45B53">
        <w:rPr>
          <w:szCs w:val="24"/>
        </w:rPr>
        <w:t>h</w:t>
      </w:r>
      <w:r w:rsidR="0040474A">
        <w:rPr>
          <w:szCs w:val="24"/>
        </w:rPr>
        <w:t>00 she sen</w:t>
      </w:r>
      <w:r w:rsidR="00D45B53">
        <w:rPr>
          <w:szCs w:val="24"/>
        </w:rPr>
        <w:t xml:space="preserve">t a text message to </w:t>
      </w:r>
      <w:r w:rsidR="0040474A">
        <w:rPr>
          <w:szCs w:val="24"/>
        </w:rPr>
        <w:t>he</w:t>
      </w:r>
      <w:r w:rsidR="00D45B53">
        <w:rPr>
          <w:szCs w:val="24"/>
        </w:rPr>
        <w:t>r</w:t>
      </w:r>
      <w:r w:rsidR="0040474A">
        <w:rPr>
          <w:szCs w:val="24"/>
        </w:rPr>
        <w:t xml:space="preserve"> husband </w:t>
      </w:r>
      <w:r w:rsidR="00F347FC">
        <w:rPr>
          <w:szCs w:val="24"/>
        </w:rPr>
        <w:t xml:space="preserve">saying </w:t>
      </w:r>
      <w:r w:rsidR="0040474A">
        <w:rPr>
          <w:szCs w:val="24"/>
        </w:rPr>
        <w:t>that the</w:t>
      </w:r>
      <w:r w:rsidR="00F347FC">
        <w:rPr>
          <w:szCs w:val="24"/>
        </w:rPr>
        <w:t>y</w:t>
      </w:r>
      <w:r w:rsidR="00736FB3">
        <w:rPr>
          <w:szCs w:val="24"/>
        </w:rPr>
        <w:t xml:space="preserve"> should </w:t>
      </w:r>
      <w:r w:rsidR="0040474A">
        <w:rPr>
          <w:szCs w:val="24"/>
        </w:rPr>
        <w:t>meet</w:t>
      </w:r>
      <w:r w:rsidR="00F347FC">
        <w:rPr>
          <w:szCs w:val="24"/>
        </w:rPr>
        <w:t xml:space="preserve"> in </w:t>
      </w:r>
      <w:r w:rsidR="0040474A">
        <w:rPr>
          <w:szCs w:val="24"/>
        </w:rPr>
        <w:t xml:space="preserve">town at the park. She then left home and waited for a taxi at </w:t>
      </w:r>
      <w:r w:rsidR="00913EB3">
        <w:rPr>
          <w:szCs w:val="24"/>
        </w:rPr>
        <w:t xml:space="preserve">a certain </w:t>
      </w:r>
      <w:r w:rsidR="0040474A">
        <w:rPr>
          <w:szCs w:val="24"/>
        </w:rPr>
        <w:t xml:space="preserve">four way </w:t>
      </w:r>
      <w:r w:rsidR="00DE2A64">
        <w:rPr>
          <w:szCs w:val="24"/>
        </w:rPr>
        <w:t xml:space="preserve">stop </w:t>
      </w:r>
      <w:r w:rsidR="00913EB3">
        <w:rPr>
          <w:szCs w:val="24"/>
        </w:rPr>
        <w:t>junction</w:t>
      </w:r>
      <w:r w:rsidR="00D41C01">
        <w:rPr>
          <w:szCs w:val="24"/>
        </w:rPr>
        <w:t xml:space="preserve"> in the area </w:t>
      </w:r>
      <w:proofErr w:type="spellStart"/>
      <w:r w:rsidR="00D41C01">
        <w:rPr>
          <w:szCs w:val="24"/>
        </w:rPr>
        <w:t>Otjomuise</w:t>
      </w:r>
      <w:proofErr w:type="spellEnd"/>
      <w:r w:rsidR="00736FB3">
        <w:rPr>
          <w:szCs w:val="24"/>
        </w:rPr>
        <w:t xml:space="preserve"> </w:t>
      </w:r>
      <w:proofErr w:type="gramStart"/>
      <w:r w:rsidR="00736FB3">
        <w:rPr>
          <w:szCs w:val="24"/>
        </w:rPr>
        <w:t>township</w:t>
      </w:r>
      <w:proofErr w:type="gramEnd"/>
      <w:r w:rsidR="00913EB3">
        <w:rPr>
          <w:szCs w:val="24"/>
        </w:rPr>
        <w:t xml:space="preserve">. </w:t>
      </w:r>
      <w:r w:rsidR="0033185E">
        <w:rPr>
          <w:szCs w:val="24"/>
        </w:rPr>
        <w:t>The applicant</w:t>
      </w:r>
      <w:r w:rsidR="00736FB3">
        <w:rPr>
          <w:szCs w:val="24"/>
        </w:rPr>
        <w:t>’s</w:t>
      </w:r>
      <w:r w:rsidR="0033185E">
        <w:rPr>
          <w:szCs w:val="24"/>
        </w:rPr>
        <w:t xml:space="preserve"> point of</w:t>
      </w:r>
      <w:r w:rsidR="00913EB3">
        <w:rPr>
          <w:szCs w:val="24"/>
        </w:rPr>
        <w:t xml:space="preserve"> departure has been deliberate</w:t>
      </w:r>
      <w:r w:rsidR="000413DA">
        <w:rPr>
          <w:szCs w:val="24"/>
        </w:rPr>
        <w:t>ly</w:t>
      </w:r>
      <w:r w:rsidR="00913EB3">
        <w:rPr>
          <w:szCs w:val="24"/>
        </w:rPr>
        <w:t xml:space="preserve"> withheld to protect her identity.</w:t>
      </w:r>
      <w:r w:rsidR="0040474A">
        <w:rPr>
          <w:szCs w:val="24"/>
        </w:rPr>
        <w:t xml:space="preserve"> </w:t>
      </w:r>
      <w:r w:rsidR="00913EB3">
        <w:rPr>
          <w:szCs w:val="24"/>
        </w:rPr>
        <w:t xml:space="preserve">Then a </w:t>
      </w:r>
      <w:r w:rsidR="0040474A">
        <w:rPr>
          <w:szCs w:val="24"/>
        </w:rPr>
        <w:t xml:space="preserve">silver </w:t>
      </w:r>
      <w:r w:rsidR="00913EB3">
        <w:rPr>
          <w:szCs w:val="24"/>
        </w:rPr>
        <w:t>Polo</w:t>
      </w:r>
      <w:r w:rsidR="0040474A">
        <w:rPr>
          <w:szCs w:val="24"/>
        </w:rPr>
        <w:t xml:space="preserve"> </w:t>
      </w:r>
      <w:r w:rsidR="001F12F7">
        <w:rPr>
          <w:szCs w:val="24"/>
        </w:rPr>
        <w:t xml:space="preserve">sedan </w:t>
      </w:r>
      <w:r w:rsidR="0040474A">
        <w:rPr>
          <w:szCs w:val="24"/>
        </w:rPr>
        <w:t>stopped by her. The driver</w:t>
      </w:r>
      <w:r w:rsidR="001F12F7">
        <w:rPr>
          <w:szCs w:val="24"/>
        </w:rPr>
        <w:t xml:space="preserve"> (the respondent)</w:t>
      </w:r>
      <w:r w:rsidR="0040474A">
        <w:rPr>
          <w:szCs w:val="24"/>
        </w:rPr>
        <w:t xml:space="preserve"> </w:t>
      </w:r>
      <w:r w:rsidR="00913EB3">
        <w:rPr>
          <w:szCs w:val="24"/>
        </w:rPr>
        <w:t>asked her</w:t>
      </w:r>
      <w:r w:rsidR="0040474A">
        <w:rPr>
          <w:szCs w:val="24"/>
        </w:rPr>
        <w:t xml:space="preserve"> where she was going and she inform</w:t>
      </w:r>
      <w:r w:rsidR="000413DA">
        <w:rPr>
          <w:szCs w:val="24"/>
        </w:rPr>
        <w:t>ed</w:t>
      </w:r>
      <w:r w:rsidR="0040474A">
        <w:rPr>
          <w:szCs w:val="24"/>
        </w:rPr>
        <w:t xml:space="preserve"> him that she was on her way to town.</w:t>
      </w:r>
      <w:r w:rsidR="00913EB3">
        <w:rPr>
          <w:szCs w:val="24"/>
        </w:rPr>
        <w:t xml:space="preserve"> </w:t>
      </w:r>
      <w:r w:rsidR="0040474A">
        <w:rPr>
          <w:szCs w:val="24"/>
        </w:rPr>
        <w:t xml:space="preserve">The driver told her that he was going to </w:t>
      </w:r>
      <w:proofErr w:type="spellStart"/>
      <w:r w:rsidR="0053367D">
        <w:rPr>
          <w:szCs w:val="24"/>
        </w:rPr>
        <w:t>Kh</w:t>
      </w:r>
      <w:r w:rsidR="00913EB3">
        <w:rPr>
          <w:szCs w:val="24"/>
        </w:rPr>
        <w:t>omasdal</w:t>
      </w:r>
      <w:proofErr w:type="spellEnd"/>
      <w:r w:rsidR="0040474A">
        <w:rPr>
          <w:szCs w:val="24"/>
        </w:rPr>
        <w:t xml:space="preserve"> but he </w:t>
      </w:r>
      <w:r w:rsidR="00913EB3">
        <w:rPr>
          <w:szCs w:val="24"/>
        </w:rPr>
        <w:t>would</w:t>
      </w:r>
      <w:r w:rsidR="005972FE">
        <w:rPr>
          <w:szCs w:val="24"/>
        </w:rPr>
        <w:t xml:space="preserve"> not mind dropping</w:t>
      </w:r>
      <w:r w:rsidR="0040474A">
        <w:rPr>
          <w:szCs w:val="24"/>
        </w:rPr>
        <w:t xml:space="preserve"> </w:t>
      </w:r>
      <w:r w:rsidR="00913EB3">
        <w:rPr>
          <w:szCs w:val="24"/>
        </w:rPr>
        <w:t>her</w:t>
      </w:r>
      <w:r w:rsidR="00335014">
        <w:rPr>
          <w:szCs w:val="24"/>
        </w:rPr>
        <w:t xml:space="preserve"> off</w:t>
      </w:r>
      <w:r w:rsidR="00913EB3">
        <w:rPr>
          <w:szCs w:val="24"/>
        </w:rPr>
        <w:t xml:space="preserve"> in town. He </w:t>
      </w:r>
      <w:r w:rsidR="0040474A">
        <w:rPr>
          <w:szCs w:val="24"/>
        </w:rPr>
        <w:t>told her to get in</w:t>
      </w:r>
      <w:r w:rsidR="003B0AE8">
        <w:rPr>
          <w:szCs w:val="24"/>
        </w:rPr>
        <w:t>to</w:t>
      </w:r>
      <w:r w:rsidR="0040474A">
        <w:rPr>
          <w:szCs w:val="24"/>
        </w:rPr>
        <w:t xml:space="preserve"> the car</w:t>
      </w:r>
      <w:r w:rsidR="003B0AE8">
        <w:rPr>
          <w:szCs w:val="24"/>
        </w:rPr>
        <w:t>,</w:t>
      </w:r>
      <w:r w:rsidR="00520848">
        <w:rPr>
          <w:szCs w:val="24"/>
        </w:rPr>
        <w:t xml:space="preserve"> which she did. She s</w:t>
      </w:r>
      <w:r w:rsidR="000413DA">
        <w:rPr>
          <w:szCs w:val="24"/>
        </w:rPr>
        <w:t>a</w:t>
      </w:r>
      <w:r w:rsidR="00520848">
        <w:rPr>
          <w:szCs w:val="24"/>
        </w:rPr>
        <w:t>t on</w:t>
      </w:r>
      <w:r w:rsidR="001C5290">
        <w:rPr>
          <w:szCs w:val="24"/>
        </w:rPr>
        <w:t xml:space="preserve"> the back seat </w:t>
      </w:r>
      <w:r w:rsidR="0040474A">
        <w:rPr>
          <w:szCs w:val="24"/>
        </w:rPr>
        <w:t>behind the driver</w:t>
      </w:r>
      <w:r w:rsidR="007C243B">
        <w:rPr>
          <w:szCs w:val="24"/>
        </w:rPr>
        <w:t>’s seat</w:t>
      </w:r>
      <w:r w:rsidR="001C5290">
        <w:rPr>
          <w:szCs w:val="24"/>
        </w:rPr>
        <w:t>. She noticed</w:t>
      </w:r>
      <w:r w:rsidR="0040474A">
        <w:rPr>
          <w:szCs w:val="24"/>
        </w:rPr>
        <w:t xml:space="preserve"> a </w:t>
      </w:r>
      <w:r w:rsidR="000413DA">
        <w:rPr>
          <w:szCs w:val="24"/>
        </w:rPr>
        <w:t>man</w:t>
      </w:r>
      <w:r w:rsidR="0040474A">
        <w:rPr>
          <w:szCs w:val="24"/>
        </w:rPr>
        <w:t xml:space="preserve"> lying </w:t>
      </w:r>
      <w:r w:rsidR="00520848">
        <w:rPr>
          <w:szCs w:val="24"/>
        </w:rPr>
        <w:t xml:space="preserve">or sleeping </w:t>
      </w:r>
      <w:r w:rsidR="0040474A">
        <w:rPr>
          <w:szCs w:val="24"/>
        </w:rPr>
        <w:t>on the front passenger seat</w:t>
      </w:r>
      <w:r w:rsidR="001C5290">
        <w:rPr>
          <w:szCs w:val="24"/>
        </w:rPr>
        <w:t xml:space="preserve"> w</w:t>
      </w:r>
      <w:r w:rsidR="000413DA">
        <w:rPr>
          <w:szCs w:val="24"/>
        </w:rPr>
        <w:t>ith</w:t>
      </w:r>
      <w:r w:rsidR="0040474A">
        <w:rPr>
          <w:szCs w:val="24"/>
        </w:rPr>
        <w:t xml:space="preserve"> a beer bottle between his legs.</w:t>
      </w:r>
      <w:r w:rsidR="00815E89">
        <w:rPr>
          <w:szCs w:val="24"/>
        </w:rPr>
        <w:t xml:space="preserve">  He is later identified as </w:t>
      </w:r>
      <w:proofErr w:type="spellStart"/>
      <w:r w:rsidR="00815E89">
        <w:rPr>
          <w:szCs w:val="24"/>
        </w:rPr>
        <w:t>Cloete</w:t>
      </w:r>
      <w:proofErr w:type="spellEnd"/>
      <w:r w:rsidR="00815E89">
        <w:rPr>
          <w:szCs w:val="24"/>
        </w:rPr>
        <w:t xml:space="preserve"> and will be so referred in this judgment.</w:t>
      </w:r>
    </w:p>
    <w:p w14:paraId="50D627C5" w14:textId="77777777" w:rsidR="001C5290" w:rsidRDefault="001C5290" w:rsidP="00E7287F">
      <w:pPr>
        <w:ind w:left="10"/>
        <w:jc w:val="both"/>
        <w:rPr>
          <w:szCs w:val="24"/>
        </w:rPr>
      </w:pPr>
    </w:p>
    <w:p w14:paraId="42C09AF7" w14:textId="71CF3949" w:rsidR="00E502D1" w:rsidRDefault="001C5290" w:rsidP="00E7287F">
      <w:pPr>
        <w:ind w:left="10"/>
        <w:jc w:val="both"/>
        <w:rPr>
          <w:szCs w:val="24"/>
        </w:rPr>
      </w:pPr>
      <w:r>
        <w:rPr>
          <w:szCs w:val="24"/>
        </w:rPr>
        <w:t>[1</w:t>
      </w:r>
      <w:r w:rsidR="003A1D96">
        <w:rPr>
          <w:szCs w:val="24"/>
        </w:rPr>
        <w:t>1</w:t>
      </w:r>
      <w:r>
        <w:rPr>
          <w:szCs w:val="24"/>
        </w:rPr>
        <w:t>]</w:t>
      </w:r>
      <w:r>
        <w:rPr>
          <w:szCs w:val="24"/>
        </w:rPr>
        <w:tab/>
      </w:r>
      <w:r w:rsidR="0040474A">
        <w:rPr>
          <w:szCs w:val="24"/>
        </w:rPr>
        <w:t xml:space="preserve">They then drove along the </w:t>
      </w:r>
      <w:r w:rsidR="00636262">
        <w:rPr>
          <w:szCs w:val="24"/>
        </w:rPr>
        <w:t>Ramatex</w:t>
      </w:r>
      <w:r w:rsidR="000413DA">
        <w:rPr>
          <w:szCs w:val="24"/>
        </w:rPr>
        <w:t xml:space="preserve"> </w:t>
      </w:r>
      <w:r>
        <w:rPr>
          <w:szCs w:val="24"/>
        </w:rPr>
        <w:t>road toward</w:t>
      </w:r>
      <w:r w:rsidR="00636262">
        <w:rPr>
          <w:szCs w:val="24"/>
        </w:rPr>
        <w:t>s</w:t>
      </w:r>
      <w:r>
        <w:rPr>
          <w:szCs w:val="24"/>
        </w:rPr>
        <w:t xml:space="preserve"> the traffic lights at the intersection of the road to </w:t>
      </w:r>
      <w:proofErr w:type="spellStart"/>
      <w:r>
        <w:rPr>
          <w:szCs w:val="24"/>
        </w:rPr>
        <w:t>Khomasdal</w:t>
      </w:r>
      <w:proofErr w:type="spellEnd"/>
      <w:r>
        <w:rPr>
          <w:szCs w:val="24"/>
        </w:rPr>
        <w:t>.</w:t>
      </w:r>
      <w:r w:rsidR="0040474A">
        <w:rPr>
          <w:szCs w:val="24"/>
        </w:rPr>
        <w:t xml:space="preserve"> She then notice</w:t>
      </w:r>
      <w:r w:rsidR="002B2517">
        <w:rPr>
          <w:szCs w:val="24"/>
        </w:rPr>
        <w:t>d</w:t>
      </w:r>
      <w:r w:rsidR="0040474A">
        <w:rPr>
          <w:szCs w:val="24"/>
        </w:rPr>
        <w:t xml:space="preserve"> that the driver had a </w:t>
      </w:r>
      <w:r w:rsidR="000413DA">
        <w:rPr>
          <w:szCs w:val="24"/>
        </w:rPr>
        <w:t>large</w:t>
      </w:r>
      <w:r w:rsidR="0040474A">
        <w:rPr>
          <w:szCs w:val="24"/>
        </w:rPr>
        <w:t xml:space="preserve"> beer</w:t>
      </w:r>
      <w:r w:rsidR="007B51C8">
        <w:rPr>
          <w:szCs w:val="24"/>
        </w:rPr>
        <w:t xml:space="preserve"> bottle</w:t>
      </w:r>
      <w:r w:rsidR="0040474A">
        <w:rPr>
          <w:szCs w:val="24"/>
        </w:rPr>
        <w:t xml:space="preserve"> and</w:t>
      </w:r>
      <w:r w:rsidR="002B2517">
        <w:rPr>
          <w:szCs w:val="24"/>
        </w:rPr>
        <w:t xml:space="preserve"> further</w:t>
      </w:r>
      <w:r w:rsidR="0040474A">
        <w:rPr>
          <w:szCs w:val="24"/>
        </w:rPr>
        <w:t xml:space="preserve"> notice</w:t>
      </w:r>
      <w:r w:rsidR="002B2517">
        <w:rPr>
          <w:szCs w:val="24"/>
        </w:rPr>
        <w:t>d that the driver took a sip</w:t>
      </w:r>
      <w:r w:rsidR="0040474A">
        <w:rPr>
          <w:szCs w:val="24"/>
        </w:rPr>
        <w:t xml:space="preserve"> from the beer</w:t>
      </w:r>
      <w:r w:rsidR="00923050">
        <w:rPr>
          <w:szCs w:val="24"/>
        </w:rPr>
        <w:t>.</w:t>
      </w:r>
      <w:r w:rsidR="0040474A">
        <w:rPr>
          <w:szCs w:val="24"/>
        </w:rPr>
        <w:t xml:space="preserve"> </w:t>
      </w:r>
      <w:r w:rsidR="00923050">
        <w:rPr>
          <w:szCs w:val="24"/>
        </w:rPr>
        <w:t>H</w:t>
      </w:r>
      <w:r w:rsidR="0040474A">
        <w:rPr>
          <w:szCs w:val="24"/>
        </w:rPr>
        <w:t>owever</w:t>
      </w:r>
      <w:r w:rsidR="00923050">
        <w:rPr>
          <w:szCs w:val="24"/>
        </w:rPr>
        <w:t>,</w:t>
      </w:r>
      <w:r w:rsidR="0040474A">
        <w:rPr>
          <w:szCs w:val="24"/>
        </w:rPr>
        <w:t xml:space="preserve"> when the driver realise</w:t>
      </w:r>
      <w:r w:rsidR="002B2517">
        <w:rPr>
          <w:szCs w:val="24"/>
        </w:rPr>
        <w:t>d</w:t>
      </w:r>
      <w:r w:rsidR="0040474A">
        <w:rPr>
          <w:szCs w:val="24"/>
        </w:rPr>
        <w:t xml:space="preserve"> that she </w:t>
      </w:r>
      <w:r w:rsidR="00923050">
        <w:rPr>
          <w:szCs w:val="24"/>
        </w:rPr>
        <w:t>had seen</w:t>
      </w:r>
      <w:r w:rsidR="0040474A">
        <w:rPr>
          <w:szCs w:val="24"/>
        </w:rPr>
        <w:t xml:space="preserve"> him</w:t>
      </w:r>
      <w:r w:rsidR="00636262">
        <w:rPr>
          <w:szCs w:val="24"/>
        </w:rPr>
        <w:t xml:space="preserve"> t</w:t>
      </w:r>
      <w:r w:rsidR="00923050">
        <w:rPr>
          <w:szCs w:val="24"/>
        </w:rPr>
        <w:t>ake</w:t>
      </w:r>
      <w:r w:rsidR="00636262">
        <w:rPr>
          <w:szCs w:val="24"/>
        </w:rPr>
        <w:t xml:space="preserve"> a sip</w:t>
      </w:r>
      <w:r w:rsidR="00923050">
        <w:rPr>
          <w:szCs w:val="24"/>
        </w:rPr>
        <w:t>,</w:t>
      </w:r>
      <w:r w:rsidR="0040474A">
        <w:rPr>
          <w:szCs w:val="24"/>
        </w:rPr>
        <w:t xml:space="preserve"> he changed the position of the rear</w:t>
      </w:r>
      <w:r w:rsidR="00923050">
        <w:rPr>
          <w:szCs w:val="24"/>
        </w:rPr>
        <w:t>-</w:t>
      </w:r>
      <w:r w:rsidR="0040474A">
        <w:rPr>
          <w:szCs w:val="24"/>
        </w:rPr>
        <w:t xml:space="preserve">view mirror. </w:t>
      </w:r>
      <w:r w:rsidR="00E00739">
        <w:rPr>
          <w:szCs w:val="24"/>
        </w:rPr>
        <w:t>They then proceed</w:t>
      </w:r>
      <w:r w:rsidR="002B2517">
        <w:rPr>
          <w:szCs w:val="24"/>
        </w:rPr>
        <w:t>ed</w:t>
      </w:r>
      <w:r w:rsidR="00E00739">
        <w:rPr>
          <w:szCs w:val="24"/>
        </w:rPr>
        <w:t xml:space="preserve"> and pass</w:t>
      </w:r>
      <w:r w:rsidR="00923050">
        <w:rPr>
          <w:szCs w:val="24"/>
        </w:rPr>
        <w:t>ed</w:t>
      </w:r>
      <w:r w:rsidR="00E00739">
        <w:rPr>
          <w:szCs w:val="24"/>
        </w:rPr>
        <w:t xml:space="preserve"> the </w:t>
      </w:r>
      <w:r w:rsidR="002B2517">
        <w:rPr>
          <w:szCs w:val="24"/>
        </w:rPr>
        <w:t>Vocational T</w:t>
      </w:r>
      <w:r w:rsidR="00E00739">
        <w:rPr>
          <w:szCs w:val="24"/>
        </w:rPr>
        <w:t xml:space="preserve">raining </w:t>
      </w:r>
      <w:r w:rsidR="002B2517">
        <w:rPr>
          <w:szCs w:val="24"/>
        </w:rPr>
        <w:t>Centre. T</w:t>
      </w:r>
      <w:r w:rsidR="00E00739">
        <w:rPr>
          <w:szCs w:val="24"/>
        </w:rPr>
        <w:t>hey</w:t>
      </w:r>
      <w:r w:rsidR="002B2517">
        <w:rPr>
          <w:szCs w:val="24"/>
        </w:rPr>
        <w:t xml:space="preserve"> </w:t>
      </w:r>
      <w:r w:rsidR="00E00739">
        <w:rPr>
          <w:szCs w:val="24"/>
        </w:rPr>
        <w:t xml:space="preserve">proceeded </w:t>
      </w:r>
      <w:r w:rsidR="002B2517">
        <w:rPr>
          <w:szCs w:val="24"/>
        </w:rPr>
        <w:t xml:space="preserve">further to the </w:t>
      </w:r>
      <w:r w:rsidR="004208B3">
        <w:rPr>
          <w:szCs w:val="24"/>
        </w:rPr>
        <w:t xml:space="preserve">next </w:t>
      </w:r>
      <w:r w:rsidR="002B2517">
        <w:rPr>
          <w:szCs w:val="24"/>
        </w:rPr>
        <w:t xml:space="preserve">traffic lights </w:t>
      </w:r>
      <w:r w:rsidR="00923050">
        <w:rPr>
          <w:szCs w:val="24"/>
        </w:rPr>
        <w:t>near</w:t>
      </w:r>
      <w:r w:rsidR="002B2517">
        <w:rPr>
          <w:szCs w:val="24"/>
        </w:rPr>
        <w:t xml:space="preserve"> Park Foods in </w:t>
      </w:r>
      <w:proofErr w:type="spellStart"/>
      <w:r w:rsidR="002B2517">
        <w:rPr>
          <w:szCs w:val="24"/>
        </w:rPr>
        <w:t>Khomasdal</w:t>
      </w:r>
      <w:proofErr w:type="spellEnd"/>
      <w:r w:rsidR="002B2517">
        <w:rPr>
          <w:szCs w:val="24"/>
        </w:rPr>
        <w:t>.</w:t>
      </w:r>
      <w:r w:rsidR="00E00739">
        <w:rPr>
          <w:szCs w:val="24"/>
        </w:rPr>
        <w:t xml:space="preserve"> </w:t>
      </w:r>
      <w:r w:rsidR="004208B3">
        <w:rPr>
          <w:szCs w:val="24"/>
        </w:rPr>
        <w:t>F</w:t>
      </w:r>
      <w:r w:rsidR="002B2517">
        <w:rPr>
          <w:szCs w:val="24"/>
        </w:rPr>
        <w:t xml:space="preserve">rom there the driver proceeded to </w:t>
      </w:r>
      <w:r w:rsidR="00923050">
        <w:rPr>
          <w:szCs w:val="24"/>
        </w:rPr>
        <w:t>the area t</w:t>
      </w:r>
      <w:r w:rsidR="002B2517">
        <w:rPr>
          <w:szCs w:val="24"/>
        </w:rPr>
        <w:t xml:space="preserve">hat the </w:t>
      </w:r>
      <w:r w:rsidR="00885516">
        <w:rPr>
          <w:szCs w:val="24"/>
        </w:rPr>
        <w:t>c</w:t>
      </w:r>
      <w:r w:rsidR="00E502D1">
        <w:rPr>
          <w:szCs w:val="24"/>
        </w:rPr>
        <w:t>omplainant</w:t>
      </w:r>
      <w:r w:rsidR="002B2517">
        <w:rPr>
          <w:szCs w:val="24"/>
        </w:rPr>
        <w:t xml:space="preserve"> descr</w:t>
      </w:r>
      <w:r w:rsidR="00E502D1">
        <w:rPr>
          <w:szCs w:val="24"/>
        </w:rPr>
        <w:t>ibed</w:t>
      </w:r>
      <w:r w:rsidR="002B2517">
        <w:rPr>
          <w:szCs w:val="24"/>
        </w:rPr>
        <w:t xml:space="preserve"> as </w:t>
      </w:r>
      <w:r w:rsidR="00E502D1">
        <w:rPr>
          <w:szCs w:val="24"/>
        </w:rPr>
        <w:t xml:space="preserve">Channel Seven </w:t>
      </w:r>
      <w:proofErr w:type="spellStart"/>
      <w:r w:rsidR="00E502D1">
        <w:rPr>
          <w:szCs w:val="24"/>
        </w:rPr>
        <w:t>Fourways</w:t>
      </w:r>
      <w:proofErr w:type="spellEnd"/>
      <w:r w:rsidR="00923050">
        <w:rPr>
          <w:szCs w:val="24"/>
        </w:rPr>
        <w:t>,</w:t>
      </w:r>
      <w:r w:rsidR="00E502D1">
        <w:rPr>
          <w:szCs w:val="24"/>
        </w:rPr>
        <w:t xml:space="preserve"> where the driver turned left.</w:t>
      </w:r>
      <w:r w:rsidR="00E00739">
        <w:rPr>
          <w:szCs w:val="24"/>
        </w:rPr>
        <w:t xml:space="preserve"> She then asked the driver where he was going</w:t>
      </w:r>
      <w:r w:rsidR="00E502D1">
        <w:rPr>
          <w:szCs w:val="24"/>
        </w:rPr>
        <w:t>. He</w:t>
      </w:r>
      <w:r w:rsidR="00E00739">
        <w:rPr>
          <w:szCs w:val="24"/>
        </w:rPr>
        <w:t xml:space="preserve"> responded </w:t>
      </w:r>
      <w:r w:rsidR="00E00739">
        <w:rPr>
          <w:szCs w:val="24"/>
        </w:rPr>
        <w:lastRenderedPageBreak/>
        <w:t xml:space="preserve">that he was </w:t>
      </w:r>
      <w:r w:rsidR="00E502D1">
        <w:rPr>
          <w:szCs w:val="24"/>
        </w:rPr>
        <w:t xml:space="preserve">going to </w:t>
      </w:r>
      <w:r w:rsidR="00E00739">
        <w:rPr>
          <w:szCs w:val="24"/>
        </w:rPr>
        <w:t>drop of</w:t>
      </w:r>
      <w:r w:rsidR="005E37C6">
        <w:rPr>
          <w:szCs w:val="24"/>
        </w:rPr>
        <w:t>f</w:t>
      </w:r>
      <w:r w:rsidR="00E00739">
        <w:rPr>
          <w:szCs w:val="24"/>
        </w:rPr>
        <w:t xml:space="preserve"> the </w:t>
      </w:r>
      <w:r w:rsidR="007B51C8">
        <w:rPr>
          <w:szCs w:val="24"/>
        </w:rPr>
        <w:t>man</w:t>
      </w:r>
      <w:r w:rsidR="00E502D1">
        <w:rPr>
          <w:szCs w:val="24"/>
        </w:rPr>
        <w:t xml:space="preserve"> in the </w:t>
      </w:r>
      <w:r w:rsidR="00923050">
        <w:rPr>
          <w:szCs w:val="24"/>
        </w:rPr>
        <w:t xml:space="preserve">front </w:t>
      </w:r>
      <w:r w:rsidR="00E502D1">
        <w:rPr>
          <w:szCs w:val="24"/>
        </w:rPr>
        <w:t>seat at the Nurses</w:t>
      </w:r>
      <w:r w:rsidR="00923050">
        <w:rPr>
          <w:szCs w:val="24"/>
        </w:rPr>
        <w:t>’</w:t>
      </w:r>
      <w:r w:rsidR="00E502D1">
        <w:rPr>
          <w:szCs w:val="24"/>
        </w:rPr>
        <w:t xml:space="preserve"> H</w:t>
      </w:r>
      <w:r w:rsidR="00E00739">
        <w:rPr>
          <w:szCs w:val="24"/>
        </w:rPr>
        <w:t>ome</w:t>
      </w:r>
      <w:r w:rsidR="00E502D1">
        <w:rPr>
          <w:szCs w:val="24"/>
        </w:rPr>
        <w:t xml:space="preserve"> at </w:t>
      </w:r>
      <w:r w:rsidR="00E00739">
        <w:rPr>
          <w:szCs w:val="24"/>
        </w:rPr>
        <w:t>Central Hospital.</w:t>
      </w:r>
    </w:p>
    <w:p w14:paraId="056CDEF9" w14:textId="77777777" w:rsidR="00B17F1B" w:rsidRDefault="00B17F1B" w:rsidP="00E7287F">
      <w:pPr>
        <w:ind w:left="10"/>
        <w:jc w:val="both"/>
        <w:rPr>
          <w:szCs w:val="24"/>
        </w:rPr>
      </w:pPr>
    </w:p>
    <w:p w14:paraId="63916A5D" w14:textId="5D76AA08" w:rsidR="00916FE5" w:rsidRDefault="00E502D1" w:rsidP="00E7287F">
      <w:pPr>
        <w:ind w:left="10"/>
        <w:jc w:val="both"/>
        <w:rPr>
          <w:szCs w:val="24"/>
        </w:rPr>
      </w:pPr>
      <w:r>
        <w:rPr>
          <w:szCs w:val="24"/>
        </w:rPr>
        <w:t>[1</w:t>
      </w:r>
      <w:r w:rsidR="00751C96">
        <w:rPr>
          <w:szCs w:val="24"/>
        </w:rPr>
        <w:t>2</w:t>
      </w:r>
      <w:r>
        <w:rPr>
          <w:szCs w:val="24"/>
        </w:rPr>
        <w:t>]</w:t>
      </w:r>
      <w:r>
        <w:rPr>
          <w:szCs w:val="24"/>
        </w:rPr>
        <w:tab/>
      </w:r>
      <w:r w:rsidR="00ED0767">
        <w:rPr>
          <w:szCs w:val="24"/>
        </w:rPr>
        <w:t>They</w:t>
      </w:r>
      <w:r w:rsidR="00E00739">
        <w:rPr>
          <w:szCs w:val="24"/>
        </w:rPr>
        <w:t xml:space="preserve"> drove towards </w:t>
      </w:r>
      <w:r w:rsidR="00ED0767">
        <w:rPr>
          <w:szCs w:val="24"/>
        </w:rPr>
        <w:t>a set of</w:t>
      </w:r>
      <w:r w:rsidR="00A55822">
        <w:rPr>
          <w:szCs w:val="24"/>
        </w:rPr>
        <w:t xml:space="preserve"> traffic lights</w:t>
      </w:r>
      <w:r w:rsidR="00923050">
        <w:rPr>
          <w:szCs w:val="24"/>
        </w:rPr>
        <w:t>,</w:t>
      </w:r>
      <w:r w:rsidR="00E00739">
        <w:rPr>
          <w:szCs w:val="24"/>
        </w:rPr>
        <w:t xml:space="preserve"> whereupon the driver drove to </w:t>
      </w:r>
      <w:r>
        <w:rPr>
          <w:szCs w:val="24"/>
        </w:rPr>
        <w:t>the gate giving access to the M</w:t>
      </w:r>
      <w:r w:rsidR="00E00739">
        <w:rPr>
          <w:szCs w:val="24"/>
        </w:rPr>
        <w:t xml:space="preserve">ortuary area </w:t>
      </w:r>
      <w:r w:rsidR="00ED0767">
        <w:rPr>
          <w:szCs w:val="24"/>
        </w:rPr>
        <w:t xml:space="preserve">which is situated on the Central Hospital </w:t>
      </w:r>
      <w:r w:rsidR="00353900">
        <w:rPr>
          <w:szCs w:val="24"/>
        </w:rPr>
        <w:t xml:space="preserve">ground </w:t>
      </w:r>
      <w:r w:rsidR="00E00739">
        <w:rPr>
          <w:szCs w:val="24"/>
        </w:rPr>
        <w:t xml:space="preserve">but the gate was closed. The driver </w:t>
      </w:r>
      <w:r>
        <w:rPr>
          <w:szCs w:val="24"/>
        </w:rPr>
        <w:t>hooted</w:t>
      </w:r>
      <w:r w:rsidR="00E00739">
        <w:rPr>
          <w:szCs w:val="24"/>
        </w:rPr>
        <w:t xml:space="preserve"> three times</w:t>
      </w:r>
      <w:r>
        <w:rPr>
          <w:szCs w:val="24"/>
        </w:rPr>
        <w:t xml:space="preserve">. </w:t>
      </w:r>
      <w:r w:rsidR="00A10B28">
        <w:rPr>
          <w:szCs w:val="24"/>
        </w:rPr>
        <w:t>T</w:t>
      </w:r>
      <w:r>
        <w:rPr>
          <w:szCs w:val="24"/>
        </w:rPr>
        <w:t xml:space="preserve">here was no reaction. The driver </w:t>
      </w:r>
      <w:r w:rsidR="00E00739">
        <w:rPr>
          <w:szCs w:val="24"/>
        </w:rPr>
        <w:t xml:space="preserve">then turned back </w:t>
      </w:r>
      <w:r w:rsidR="001715D1">
        <w:rPr>
          <w:szCs w:val="24"/>
        </w:rPr>
        <w:t>to</w:t>
      </w:r>
      <w:r w:rsidR="00E00739">
        <w:rPr>
          <w:szCs w:val="24"/>
        </w:rPr>
        <w:t xml:space="preserve"> the </w:t>
      </w:r>
      <w:r>
        <w:rPr>
          <w:szCs w:val="24"/>
        </w:rPr>
        <w:t>traffic lights</w:t>
      </w:r>
      <w:r w:rsidR="00E00739">
        <w:rPr>
          <w:szCs w:val="24"/>
        </w:rPr>
        <w:t xml:space="preserve">. </w:t>
      </w:r>
      <w:r w:rsidR="00A0701A">
        <w:rPr>
          <w:szCs w:val="24"/>
        </w:rPr>
        <w:t xml:space="preserve">He then turned left </w:t>
      </w:r>
      <w:r w:rsidR="00923050">
        <w:rPr>
          <w:szCs w:val="24"/>
        </w:rPr>
        <w:t>at</w:t>
      </w:r>
      <w:r w:rsidR="00A0701A">
        <w:rPr>
          <w:szCs w:val="24"/>
        </w:rPr>
        <w:t xml:space="preserve"> the gate of</w:t>
      </w:r>
      <w:r w:rsidR="002D21A4">
        <w:rPr>
          <w:szCs w:val="24"/>
        </w:rPr>
        <w:t xml:space="preserve"> the </w:t>
      </w:r>
      <w:r w:rsidR="00A0701A">
        <w:rPr>
          <w:szCs w:val="24"/>
        </w:rPr>
        <w:t>Blood Transfusion premises but th</w:t>
      </w:r>
      <w:r w:rsidR="00923050">
        <w:rPr>
          <w:szCs w:val="24"/>
        </w:rPr>
        <w:t>at</w:t>
      </w:r>
      <w:r w:rsidR="00A0701A">
        <w:rPr>
          <w:szCs w:val="24"/>
        </w:rPr>
        <w:t xml:space="preserve"> gate was also closed. He then turned le</w:t>
      </w:r>
      <w:r w:rsidR="00A55822">
        <w:rPr>
          <w:szCs w:val="24"/>
        </w:rPr>
        <w:t>f</w:t>
      </w:r>
      <w:r w:rsidR="00A0701A">
        <w:rPr>
          <w:szCs w:val="24"/>
        </w:rPr>
        <w:t>t into Florence Nightingale</w:t>
      </w:r>
      <w:r w:rsidR="00923050">
        <w:rPr>
          <w:szCs w:val="24"/>
        </w:rPr>
        <w:t xml:space="preserve"> Street</w:t>
      </w:r>
      <w:r w:rsidR="00E00739">
        <w:rPr>
          <w:szCs w:val="24"/>
        </w:rPr>
        <w:t xml:space="preserve"> </w:t>
      </w:r>
      <w:r w:rsidR="00D2737E">
        <w:rPr>
          <w:szCs w:val="24"/>
        </w:rPr>
        <w:t xml:space="preserve">going </w:t>
      </w:r>
      <w:r w:rsidR="00E00739">
        <w:rPr>
          <w:szCs w:val="24"/>
        </w:rPr>
        <w:t xml:space="preserve">uphill and </w:t>
      </w:r>
      <w:r w:rsidR="00A0701A">
        <w:rPr>
          <w:szCs w:val="24"/>
        </w:rPr>
        <w:t>turned</w:t>
      </w:r>
      <w:r w:rsidR="00E00739">
        <w:rPr>
          <w:szCs w:val="24"/>
        </w:rPr>
        <w:t xml:space="preserve"> left to</w:t>
      </w:r>
      <w:r w:rsidR="00A0701A">
        <w:rPr>
          <w:szCs w:val="24"/>
        </w:rPr>
        <w:t>wards</w:t>
      </w:r>
      <w:r w:rsidR="00E00739">
        <w:rPr>
          <w:szCs w:val="24"/>
        </w:rPr>
        <w:t xml:space="preserve"> the </w:t>
      </w:r>
      <w:r w:rsidR="00A0701A">
        <w:rPr>
          <w:szCs w:val="24"/>
        </w:rPr>
        <w:t>main e</w:t>
      </w:r>
      <w:r w:rsidR="00A55822">
        <w:rPr>
          <w:szCs w:val="24"/>
        </w:rPr>
        <w:t>ntrance</w:t>
      </w:r>
      <w:r w:rsidR="00A0701A">
        <w:rPr>
          <w:szCs w:val="24"/>
        </w:rPr>
        <w:t xml:space="preserve"> of C</w:t>
      </w:r>
      <w:r w:rsidR="00E00739">
        <w:rPr>
          <w:szCs w:val="24"/>
        </w:rPr>
        <w:t>entral Hospita</w:t>
      </w:r>
      <w:r w:rsidR="00A0701A">
        <w:rPr>
          <w:szCs w:val="24"/>
        </w:rPr>
        <w:t>l Nurses</w:t>
      </w:r>
      <w:r w:rsidR="00923050">
        <w:rPr>
          <w:szCs w:val="24"/>
        </w:rPr>
        <w:t>’</w:t>
      </w:r>
      <w:r w:rsidR="00A0701A">
        <w:rPr>
          <w:szCs w:val="24"/>
        </w:rPr>
        <w:t xml:space="preserve"> H</w:t>
      </w:r>
      <w:r w:rsidR="00E00739">
        <w:rPr>
          <w:szCs w:val="24"/>
        </w:rPr>
        <w:t xml:space="preserve">ome. When they entered the </w:t>
      </w:r>
      <w:r w:rsidR="00A55822">
        <w:rPr>
          <w:szCs w:val="24"/>
        </w:rPr>
        <w:t>ground</w:t>
      </w:r>
      <w:r w:rsidR="00A0701A">
        <w:rPr>
          <w:szCs w:val="24"/>
        </w:rPr>
        <w:t xml:space="preserve"> of the C</w:t>
      </w:r>
      <w:r w:rsidR="00E00739">
        <w:rPr>
          <w:szCs w:val="24"/>
        </w:rPr>
        <w:t xml:space="preserve">entral Hospital </w:t>
      </w:r>
      <w:r w:rsidR="00A0701A">
        <w:rPr>
          <w:szCs w:val="24"/>
        </w:rPr>
        <w:t>the</w:t>
      </w:r>
      <w:r w:rsidR="00E00739">
        <w:rPr>
          <w:szCs w:val="24"/>
        </w:rPr>
        <w:t xml:space="preserve"> driver </w:t>
      </w:r>
      <w:r w:rsidR="00A0701A">
        <w:rPr>
          <w:szCs w:val="24"/>
        </w:rPr>
        <w:t xml:space="preserve">turned </w:t>
      </w:r>
      <w:r w:rsidR="00E00739">
        <w:rPr>
          <w:szCs w:val="24"/>
        </w:rPr>
        <w:t>right and drove past the outpatient</w:t>
      </w:r>
      <w:r w:rsidR="00A0701A">
        <w:rPr>
          <w:szCs w:val="24"/>
        </w:rPr>
        <w:t xml:space="preserve"> entrance</w:t>
      </w:r>
      <w:r w:rsidR="00E00739">
        <w:rPr>
          <w:szCs w:val="24"/>
        </w:rPr>
        <w:t xml:space="preserve"> area </w:t>
      </w:r>
      <w:r w:rsidR="004323CB">
        <w:rPr>
          <w:szCs w:val="24"/>
        </w:rPr>
        <w:t xml:space="preserve">and </w:t>
      </w:r>
      <w:r w:rsidR="0065432A">
        <w:rPr>
          <w:szCs w:val="24"/>
        </w:rPr>
        <w:t xml:space="preserve">proceeded and </w:t>
      </w:r>
      <w:r w:rsidR="00E00739">
        <w:rPr>
          <w:szCs w:val="24"/>
        </w:rPr>
        <w:t>the</w:t>
      </w:r>
      <w:r w:rsidR="00923050">
        <w:rPr>
          <w:szCs w:val="24"/>
        </w:rPr>
        <w:t>n</w:t>
      </w:r>
      <w:r w:rsidR="00E00739">
        <w:rPr>
          <w:szCs w:val="24"/>
        </w:rPr>
        <w:t xml:space="preserve"> past the maternity ward</w:t>
      </w:r>
      <w:r w:rsidR="00A0701A">
        <w:rPr>
          <w:szCs w:val="24"/>
        </w:rPr>
        <w:t xml:space="preserve"> of the </w:t>
      </w:r>
      <w:r w:rsidR="008930A4">
        <w:rPr>
          <w:szCs w:val="24"/>
        </w:rPr>
        <w:t>Central</w:t>
      </w:r>
      <w:r w:rsidR="00A0701A">
        <w:rPr>
          <w:szCs w:val="24"/>
        </w:rPr>
        <w:t xml:space="preserve"> Hospital</w:t>
      </w:r>
      <w:r w:rsidR="00021F2C">
        <w:rPr>
          <w:szCs w:val="24"/>
        </w:rPr>
        <w:t xml:space="preserve">. </w:t>
      </w:r>
      <w:r w:rsidR="00E12761">
        <w:rPr>
          <w:szCs w:val="24"/>
        </w:rPr>
        <w:t>The complainant relates</w:t>
      </w:r>
      <w:r w:rsidR="008930A4">
        <w:rPr>
          <w:szCs w:val="24"/>
        </w:rPr>
        <w:t xml:space="preserve"> further that s</w:t>
      </w:r>
      <w:r w:rsidR="00E00739">
        <w:rPr>
          <w:szCs w:val="24"/>
        </w:rPr>
        <w:t>he recalled that they</w:t>
      </w:r>
      <w:r w:rsidR="008930A4">
        <w:rPr>
          <w:szCs w:val="24"/>
        </w:rPr>
        <w:t xml:space="preserve"> drove</w:t>
      </w:r>
      <w:r w:rsidR="00E00739">
        <w:rPr>
          <w:szCs w:val="24"/>
        </w:rPr>
        <w:t xml:space="preserve"> pas</w:t>
      </w:r>
      <w:r w:rsidR="008930A4">
        <w:rPr>
          <w:szCs w:val="24"/>
        </w:rPr>
        <w:t>t</w:t>
      </w:r>
      <w:r w:rsidR="00E00739">
        <w:rPr>
          <w:szCs w:val="24"/>
        </w:rPr>
        <w:t xml:space="preserve"> the </w:t>
      </w:r>
      <w:r w:rsidR="008930A4">
        <w:rPr>
          <w:szCs w:val="24"/>
        </w:rPr>
        <w:t>Training C</w:t>
      </w:r>
      <w:r w:rsidR="00E00739">
        <w:rPr>
          <w:szCs w:val="24"/>
        </w:rPr>
        <w:t xml:space="preserve">entre which was situated on </w:t>
      </w:r>
      <w:r w:rsidR="00923050">
        <w:rPr>
          <w:szCs w:val="24"/>
        </w:rPr>
        <w:t>the</w:t>
      </w:r>
      <w:r w:rsidR="00E00739">
        <w:rPr>
          <w:szCs w:val="24"/>
        </w:rPr>
        <w:t xml:space="preserve"> right and</w:t>
      </w:r>
      <w:r w:rsidR="008930A4">
        <w:rPr>
          <w:szCs w:val="24"/>
        </w:rPr>
        <w:t xml:space="preserve"> then </w:t>
      </w:r>
      <w:r w:rsidR="00E00739">
        <w:rPr>
          <w:szCs w:val="24"/>
        </w:rPr>
        <w:t>realise</w:t>
      </w:r>
      <w:r w:rsidR="008930A4">
        <w:rPr>
          <w:szCs w:val="24"/>
        </w:rPr>
        <w:t>d that it was b</w:t>
      </w:r>
      <w:r w:rsidR="00E00739">
        <w:rPr>
          <w:szCs w:val="24"/>
        </w:rPr>
        <w:t>ush</w:t>
      </w:r>
      <w:r w:rsidR="008930A4">
        <w:rPr>
          <w:szCs w:val="24"/>
        </w:rPr>
        <w:t>y</w:t>
      </w:r>
      <w:r w:rsidR="00E00739">
        <w:rPr>
          <w:szCs w:val="24"/>
        </w:rPr>
        <w:t xml:space="preserve"> on both side</w:t>
      </w:r>
      <w:r w:rsidR="00923050">
        <w:rPr>
          <w:szCs w:val="24"/>
        </w:rPr>
        <w:t>s</w:t>
      </w:r>
      <w:r w:rsidR="00E00739">
        <w:rPr>
          <w:szCs w:val="24"/>
        </w:rPr>
        <w:t xml:space="preserve"> of the road</w:t>
      </w:r>
      <w:r w:rsidR="00CE3B19">
        <w:rPr>
          <w:szCs w:val="24"/>
        </w:rPr>
        <w:t xml:space="preserve">. </w:t>
      </w:r>
      <w:r w:rsidR="008930A4">
        <w:rPr>
          <w:szCs w:val="24"/>
        </w:rPr>
        <w:t xml:space="preserve">She </w:t>
      </w:r>
      <w:r w:rsidR="00E00739">
        <w:rPr>
          <w:szCs w:val="24"/>
        </w:rPr>
        <w:t xml:space="preserve">then noticed </w:t>
      </w:r>
      <w:r w:rsidR="008930A4">
        <w:rPr>
          <w:szCs w:val="24"/>
        </w:rPr>
        <w:t>a</w:t>
      </w:r>
      <w:r w:rsidR="00E00739">
        <w:rPr>
          <w:szCs w:val="24"/>
        </w:rPr>
        <w:t xml:space="preserve"> building on </w:t>
      </w:r>
      <w:r w:rsidR="008930A4">
        <w:rPr>
          <w:szCs w:val="24"/>
        </w:rPr>
        <w:t>the</w:t>
      </w:r>
      <w:r w:rsidR="00E00739">
        <w:rPr>
          <w:szCs w:val="24"/>
        </w:rPr>
        <w:t xml:space="preserve"> left side</w:t>
      </w:r>
      <w:r w:rsidR="00923050">
        <w:rPr>
          <w:szCs w:val="24"/>
        </w:rPr>
        <w:t>,</w:t>
      </w:r>
      <w:r w:rsidR="00E00739">
        <w:rPr>
          <w:szCs w:val="24"/>
        </w:rPr>
        <w:t xml:space="preserve"> which they </w:t>
      </w:r>
      <w:r w:rsidR="000A318D">
        <w:rPr>
          <w:szCs w:val="24"/>
        </w:rPr>
        <w:t xml:space="preserve">also </w:t>
      </w:r>
      <w:r w:rsidR="00021F2C">
        <w:rPr>
          <w:szCs w:val="24"/>
        </w:rPr>
        <w:t xml:space="preserve">drove past. </w:t>
      </w:r>
      <w:r w:rsidR="00D2737E">
        <w:rPr>
          <w:szCs w:val="24"/>
        </w:rPr>
        <w:t xml:space="preserve">She </w:t>
      </w:r>
      <w:r w:rsidR="00E00739">
        <w:rPr>
          <w:szCs w:val="24"/>
        </w:rPr>
        <w:t xml:space="preserve">then </w:t>
      </w:r>
      <w:r w:rsidR="008930A4">
        <w:rPr>
          <w:szCs w:val="24"/>
        </w:rPr>
        <w:t>saw two</w:t>
      </w:r>
      <w:r w:rsidR="00E00739">
        <w:rPr>
          <w:szCs w:val="24"/>
        </w:rPr>
        <w:t xml:space="preserve"> pe</w:t>
      </w:r>
      <w:r w:rsidR="000A318D">
        <w:rPr>
          <w:szCs w:val="24"/>
        </w:rPr>
        <w:t xml:space="preserve">rsons in front of the </w:t>
      </w:r>
      <w:r w:rsidR="00D2737E">
        <w:rPr>
          <w:szCs w:val="24"/>
        </w:rPr>
        <w:t>car</w:t>
      </w:r>
      <w:r w:rsidR="00E00739">
        <w:rPr>
          <w:szCs w:val="24"/>
        </w:rPr>
        <w:t xml:space="preserve"> wearing</w:t>
      </w:r>
      <w:r w:rsidR="008930A4">
        <w:rPr>
          <w:szCs w:val="24"/>
        </w:rPr>
        <w:t xml:space="preserve"> what she referred to as ‘police</w:t>
      </w:r>
      <w:r w:rsidR="00E00739">
        <w:rPr>
          <w:szCs w:val="24"/>
        </w:rPr>
        <w:t xml:space="preserve"> reflector jacket</w:t>
      </w:r>
      <w:r w:rsidR="008930A4">
        <w:rPr>
          <w:szCs w:val="24"/>
        </w:rPr>
        <w:t>s</w:t>
      </w:r>
      <w:r w:rsidR="00923050">
        <w:rPr>
          <w:szCs w:val="24"/>
        </w:rPr>
        <w:t>’</w:t>
      </w:r>
      <w:r w:rsidR="008930A4">
        <w:rPr>
          <w:szCs w:val="24"/>
        </w:rPr>
        <w:t>. B</w:t>
      </w:r>
      <w:r w:rsidR="00D2737E">
        <w:rPr>
          <w:szCs w:val="24"/>
        </w:rPr>
        <w:t>efore the car could</w:t>
      </w:r>
      <w:r w:rsidR="00E00739">
        <w:rPr>
          <w:szCs w:val="24"/>
        </w:rPr>
        <w:t xml:space="preserve"> reach the two person</w:t>
      </w:r>
      <w:r w:rsidR="008930A4">
        <w:rPr>
          <w:szCs w:val="24"/>
        </w:rPr>
        <w:t>s,</w:t>
      </w:r>
      <w:r w:rsidR="00E00739">
        <w:rPr>
          <w:szCs w:val="24"/>
        </w:rPr>
        <w:t xml:space="preserve"> the driver </w:t>
      </w:r>
      <w:r w:rsidR="008930A4">
        <w:rPr>
          <w:szCs w:val="24"/>
        </w:rPr>
        <w:t xml:space="preserve">turned </w:t>
      </w:r>
      <w:r w:rsidR="00E00739">
        <w:rPr>
          <w:szCs w:val="24"/>
        </w:rPr>
        <w:t>left</w:t>
      </w:r>
      <w:r w:rsidR="008930A4">
        <w:rPr>
          <w:szCs w:val="24"/>
        </w:rPr>
        <w:t>.</w:t>
      </w:r>
    </w:p>
    <w:p w14:paraId="5CAA6C97" w14:textId="77777777" w:rsidR="00916FE5" w:rsidRDefault="00916FE5" w:rsidP="00E7287F">
      <w:pPr>
        <w:ind w:left="10"/>
        <w:jc w:val="both"/>
        <w:rPr>
          <w:szCs w:val="24"/>
        </w:rPr>
      </w:pPr>
    </w:p>
    <w:p w14:paraId="1114D1E6" w14:textId="05862A86" w:rsidR="00E30D71" w:rsidRDefault="00916FE5" w:rsidP="00E7287F">
      <w:pPr>
        <w:ind w:left="10"/>
        <w:jc w:val="both"/>
        <w:rPr>
          <w:szCs w:val="24"/>
        </w:rPr>
      </w:pPr>
      <w:r>
        <w:rPr>
          <w:szCs w:val="24"/>
        </w:rPr>
        <w:t>[1</w:t>
      </w:r>
      <w:r w:rsidR="000D5DEC">
        <w:rPr>
          <w:szCs w:val="24"/>
        </w:rPr>
        <w:t>3</w:t>
      </w:r>
      <w:r>
        <w:rPr>
          <w:szCs w:val="24"/>
        </w:rPr>
        <w:t>]</w:t>
      </w:r>
      <w:r>
        <w:rPr>
          <w:szCs w:val="24"/>
        </w:rPr>
        <w:tab/>
        <w:t>Thereafter</w:t>
      </w:r>
      <w:r w:rsidR="008930A4">
        <w:rPr>
          <w:szCs w:val="24"/>
        </w:rPr>
        <w:t xml:space="preserve"> the complainant </w:t>
      </w:r>
      <w:r>
        <w:rPr>
          <w:szCs w:val="24"/>
        </w:rPr>
        <w:t xml:space="preserve">noticed </w:t>
      </w:r>
      <w:r w:rsidR="00E00739">
        <w:rPr>
          <w:szCs w:val="24"/>
        </w:rPr>
        <w:t>a br</w:t>
      </w:r>
      <w:r>
        <w:rPr>
          <w:szCs w:val="24"/>
        </w:rPr>
        <w:t>idge</w:t>
      </w:r>
      <w:r w:rsidR="00E00739">
        <w:rPr>
          <w:szCs w:val="24"/>
        </w:rPr>
        <w:t xml:space="preserve"> and </w:t>
      </w:r>
      <w:r>
        <w:rPr>
          <w:szCs w:val="24"/>
        </w:rPr>
        <w:t>a</w:t>
      </w:r>
      <w:r w:rsidR="00E00739">
        <w:rPr>
          <w:szCs w:val="24"/>
        </w:rPr>
        <w:t xml:space="preserve"> riverbed in front of them</w:t>
      </w:r>
      <w:r>
        <w:rPr>
          <w:szCs w:val="24"/>
        </w:rPr>
        <w:t>.</w:t>
      </w:r>
      <w:r w:rsidR="00E00739">
        <w:rPr>
          <w:szCs w:val="24"/>
        </w:rPr>
        <w:t xml:space="preserve"> </w:t>
      </w:r>
      <w:r>
        <w:rPr>
          <w:szCs w:val="24"/>
        </w:rPr>
        <w:t>S</w:t>
      </w:r>
      <w:r w:rsidR="00E00739">
        <w:rPr>
          <w:szCs w:val="24"/>
        </w:rPr>
        <w:t xml:space="preserve">he </w:t>
      </w:r>
      <w:r>
        <w:rPr>
          <w:szCs w:val="24"/>
        </w:rPr>
        <w:t xml:space="preserve">then </w:t>
      </w:r>
      <w:r w:rsidR="00E00739">
        <w:rPr>
          <w:szCs w:val="24"/>
        </w:rPr>
        <w:t>asked the driver where he was goin</w:t>
      </w:r>
      <w:r w:rsidR="004820C6">
        <w:rPr>
          <w:szCs w:val="24"/>
        </w:rPr>
        <w:t xml:space="preserve">g whereupon he immediately stopped the </w:t>
      </w:r>
      <w:r w:rsidR="008875F5">
        <w:rPr>
          <w:szCs w:val="24"/>
        </w:rPr>
        <w:t>car</w:t>
      </w:r>
      <w:r>
        <w:rPr>
          <w:szCs w:val="24"/>
        </w:rPr>
        <w:t>. He got</w:t>
      </w:r>
      <w:r w:rsidR="00E00739">
        <w:rPr>
          <w:szCs w:val="24"/>
        </w:rPr>
        <w:t xml:space="preserve"> out of the </w:t>
      </w:r>
      <w:r w:rsidR="008875F5">
        <w:rPr>
          <w:szCs w:val="24"/>
        </w:rPr>
        <w:t>car</w:t>
      </w:r>
      <w:r w:rsidR="00E00739">
        <w:rPr>
          <w:szCs w:val="24"/>
        </w:rPr>
        <w:t xml:space="preserve"> and </w:t>
      </w:r>
      <w:r>
        <w:rPr>
          <w:szCs w:val="24"/>
        </w:rPr>
        <w:t>open</w:t>
      </w:r>
      <w:r w:rsidR="0065432A">
        <w:rPr>
          <w:szCs w:val="24"/>
        </w:rPr>
        <w:t>ed</w:t>
      </w:r>
      <w:r>
        <w:rPr>
          <w:szCs w:val="24"/>
        </w:rPr>
        <w:t xml:space="preserve"> her </w:t>
      </w:r>
      <w:r w:rsidR="004820C6">
        <w:rPr>
          <w:szCs w:val="24"/>
        </w:rPr>
        <w:t xml:space="preserve">rear </w:t>
      </w:r>
      <w:r w:rsidR="00E00739">
        <w:rPr>
          <w:szCs w:val="24"/>
        </w:rPr>
        <w:t>door</w:t>
      </w:r>
      <w:r>
        <w:rPr>
          <w:szCs w:val="24"/>
        </w:rPr>
        <w:t xml:space="preserve">. </w:t>
      </w:r>
      <w:r w:rsidR="004F6188">
        <w:rPr>
          <w:szCs w:val="24"/>
        </w:rPr>
        <w:t xml:space="preserve"> </w:t>
      </w:r>
      <w:r w:rsidR="00E00739">
        <w:rPr>
          <w:szCs w:val="24"/>
        </w:rPr>
        <w:t>She asked him what he was doing whereupon he responde</w:t>
      </w:r>
      <w:r w:rsidR="00923050">
        <w:rPr>
          <w:szCs w:val="24"/>
        </w:rPr>
        <w:t>d</w:t>
      </w:r>
      <w:r w:rsidR="0065432A">
        <w:rPr>
          <w:szCs w:val="24"/>
        </w:rPr>
        <w:t xml:space="preserve"> said</w:t>
      </w:r>
      <w:r w:rsidR="00E00739">
        <w:rPr>
          <w:szCs w:val="24"/>
        </w:rPr>
        <w:t xml:space="preserve"> that </w:t>
      </w:r>
      <w:r>
        <w:rPr>
          <w:szCs w:val="24"/>
        </w:rPr>
        <w:t>s</w:t>
      </w:r>
      <w:r w:rsidR="00E00739">
        <w:rPr>
          <w:szCs w:val="24"/>
        </w:rPr>
        <w:t xml:space="preserve">he </w:t>
      </w:r>
      <w:r w:rsidR="00923050">
        <w:rPr>
          <w:szCs w:val="24"/>
        </w:rPr>
        <w:t xml:space="preserve">had </w:t>
      </w:r>
      <w:r w:rsidR="00E00739">
        <w:rPr>
          <w:szCs w:val="24"/>
        </w:rPr>
        <w:t>t</w:t>
      </w:r>
      <w:r w:rsidR="00923050">
        <w:rPr>
          <w:szCs w:val="24"/>
        </w:rPr>
        <w:t>aken</w:t>
      </w:r>
      <w:r w:rsidR="00D96C01">
        <w:rPr>
          <w:szCs w:val="24"/>
        </w:rPr>
        <w:t xml:space="preserve"> him and </w:t>
      </w:r>
      <w:r w:rsidR="00E00739">
        <w:rPr>
          <w:szCs w:val="24"/>
        </w:rPr>
        <w:t>his friend for a ride</w:t>
      </w:r>
      <w:r>
        <w:rPr>
          <w:szCs w:val="24"/>
        </w:rPr>
        <w:t>. S</w:t>
      </w:r>
      <w:r w:rsidR="00E00739">
        <w:rPr>
          <w:szCs w:val="24"/>
        </w:rPr>
        <w:t>he</w:t>
      </w:r>
      <w:r w:rsidR="00D96C01">
        <w:rPr>
          <w:szCs w:val="24"/>
        </w:rPr>
        <w:t xml:space="preserve"> says she</w:t>
      </w:r>
      <w:r w:rsidR="00E00739">
        <w:rPr>
          <w:szCs w:val="24"/>
        </w:rPr>
        <w:t xml:space="preserve"> </w:t>
      </w:r>
      <w:r>
        <w:rPr>
          <w:szCs w:val="24"/>
        </w:rPr>
        <w:t>did not understand what he was talking about.</w:t>
      </w:r>
      <w:r w:rsidR="004F6188">
        <w:rPr>
          <w:szCs w:val="24"/>
        </w:rPr>
        <w:t xml:space="preserve"> </w:t>
      </w:r>
      <w:r>
        <w:rPr>
          <w:szCs w:val="24"/>
        </w:rPr>
        <w:t xml:space="preserve"> The driver </w:t>
      </w:r>
      <w:r w:rsidR="00E00739">
        <w:rPr>
          <w:szCs w:val="24"/>
        </w:rPr>
        <w:t>order</w:t>
      </w:r>
      <w:r>
        <w:rPr>
          <w:szCs w:val="24"/>
        </w:rPr>
        <w:t xml:space="preserve">ed her </w:t>
      </w:r>
      <w:r w:rsidR="00E00739">
        <w:rPr>
          <w:szCs w:val="24"/>
        </w:rPr>
        <w:t>to shut</w:t>
      </w:r>
      <w:r w:rsidR="004F6188">
        <w:rPr>
          <w:szCs w:val="24"/>
        </w:rPr>
        <w:t>-up</w:t>
      </w:r>
      <w:r w:rsidR="002F74EC">
        <w:rPr>
          <w:szCs w:val="24"/>
        </w:rPr>
        <w:t>.</w:t>
      </w:r>
      <w:r w:rsidR="004F6188">
        <w:rPr>
          <w:szCs w:val="24"/>
        </w:rPr>
        <w:t xml:space="preserve"> </w:t>
      </w:r>
      <w:r w:rsidR="002F74EC">
        <w:rPr>
          <w:szCs w:val="24"/>
        </w:rPr>
        <w:t xml:space="preserve"> H</w:t>
      </w:r>
      <w:r w:rsidR="00E00739">
        <w:rPr>
          <w:szCs w:val="24"/>
        </w:rPr>
        <w:t>e then push</w:t>
      </w:r>
      <w:r w:rsidR="002F74EC">
        <w:rPr>
          <w:szCs w:val="24"/>
        </w:rPr>
        <w:t>ed</w:t>
      </w:r>
      <w:r w:rsidR="00E00739">
        <w:rPr>
          <w:szCs w:val="24"/>
        </w:rPr>
        <w:t xml:space="preserve"> her to the left side of the seat and ordered her to take off </w:t>
      </w:r>
      <w:r w:rsidR="002F74EC">
        <w:rPr>
          <w:szCs w:val="24"/>
        </w:rPr>
        <w:t>her skirt</w:t>
      </w:r>
      <w:r w:rsidR="00923050">
        <w:rPr>
          <w:szCs w:val="24"/>
        </w:rPr>
        <w:t>,</w:t>
      </w:r>
      <w:r w:rsidR="00E00739">
        <w:rPr>
          <w:szCs w:val="24"/>
        </w:rPr>
        <w:t xml:space="preserve"> which </w:t>
      </w:r>
      <w:r w:rsidR="00B158B3">
        <w:rPr>
          <w:szCs w:val="24"/>
        </w:rPr>
        <w:t>s</w:t>
      </w:r>
      <w:r w:rsidR="00E00739">
        <w:rPr>
          <w:szCs w:val="24"/>
        </w:rPr>
        <w:t>he refused to do</w:t>
      </w:r>
      <w:r w:rsidR="002F74EC">
        <w:rPr>
          <w:szCs w:val="24"/>
        </w:rPr>
        <w:t xml:space="preserve">. </w:t>
      </w:r>
      <w:r w:rsidR="004F6188">
        <w:rPr>
          <w:szCs w:val="24"/>
        </w:rPr>
        <w:t xml:space="preserve"> </w:t>
      </w:r>
      <w:r w:rsidR="002F74EC">
        <w:rPr>
          <w:szCs w:val="24"/>
        </w:rPr>
        <w:t>S</w:t>
      </w:r>
      <w:r w:rsidR="00E00739">
        <w:rPr>
          <w:szCs w:val="24"/>
        </w:rPr>
        <w:t xml:space="preserve">he then </w:t>
      </w:r>
      <w:r w:rsidR="002F74EC">
        <w:rPr>
          <w:szCs w:val="24"/>
        </w:rPr>
        <w:t xml:space="preserve">opened </w:t>
      </w:r>
      <w:r w:rsidR="00E00739">
        <w:rPr>
          <w:szCs w:val="24"/>
        </w:rPr>
        <w:t>the car</w:t>
      </w:r>
      <w:r w:rsidR="002F74EC">
        <w:rPr>
          <w:szCs w:val="24"/>
        </w:rPr>
        <w:t xml:space="preserve"> door</w:t>
      </w:r>
      <w:r w:rsidR="00E00739">
        <w:rPr>
          <w:szCs w:val="24"/>
        </w:rPr>
        <w:t xml:space="preserve"> on the opposite side and screamed twice. She then scratched </w:t>
      </w:r>
      <w:proofErr w:type="spellStart"/>
      <w:r w:rsidR="0065432A">
        <w:rPr>
          <w:szCs w:val="24"/>
        </w:rPr>
        <w:t>Cloete</w:t>
      </w:r>
      <w:proofErr w:type="spellEnd"/>
      <w:r w:rsidR="00E00739">
        <w:rPr>
          <w:szCs w:val="24"/>
        </w:rPr>
        <w:t xml:space="preserve"> </w:t>
      </w:r>
      <w:r w:rsidR="002F74EC">
        <w:rPr>
          <w:szCs w:val="24"/>
        </w:rPr>
        <w:t>in</w:t>
      </w:r>
      <w:r w:rsidR="00E00739">
        <w:rPr>
          <w:szCs w:val="24"/>
        </w:rPr>
        <w:t xml:space="preserve"> the front passenger seat twice on </w:t>
      </w:r>
      <w:r w:rsidR="0065432A">
        <w:rPr>
          <w:szCs w:val="24"/>
        </w:rPr>
        <w:t>his</w:t>
      </w:r>
      <w:r w:rsidR="00E00739">
        <w:rPr>
          <w:szCs w:val="24"/>
        </w:rPr>
        <w:t xml:space="preserve"> cheek</w:t>
      </w:r>
      <w:r w:rsidR="00923050">
        <w:rPr>
          <w:szCs w:val="24"/>
        </w:rPr>
        <w:t>,</w:t>
      </w:r>
      <w:r w:rsidR="00E00739">
        <w:rPr>
          <w:szCs w:val="24"/>
        </w:rPr>
        <w:t xml:space="preserve"> because</w:t>
      </w:r>
      <w:r w:rsidR="00FA3EB9">
        <w:rPr>
          <w:szCs w:val="24"/>
        </w:rPr>
        <w:t xml:space="preserve"> according to her</w:t>
      </w:r>
      <w:r w:rsidR="00E00739">
        <w:rPr>
          <w:szCs w:val="24"/>
        </w:rPr>
        <w:t xml:space="preserve"> he </w:t>
      </w:r>
      <w:r w:rsidR="00923050">
        <w:rPr>
          <w:szCs w:val="24"/>
        </w:rPr>
        <w:t>had been</w:t>
      </w:r>
      <w:r w:rsidR="00E00739">
        <w:rPr>
          <w:szCs w:val="24"/>
        </w:rPr>
        <w:t xml:space="preserve"> sleeping all along</w:t>
      </w:r>
      <w:r w:rsidR="00D840DC">
        <w:rPr>
          <w:szCs w:val="24"/>
        </w:rPr>
        <w:t>.</w:t>
      </w:r>
      <w:r w:rsidR="004F6188">
        <w:rPr>
          <w:szCs w:val="24"/>
        </w:rPr>
        <w:t xml:space="preserve"> </w:t>
      </w:r>
      <w:r w:rsidR="00D840DC">
        <w:rPr>
          <w:szCs w:val="24"/>
        </w:rPr>
        <w:t xml:space="preserve"> </w:t>
      </w:r>
      <w:r w:rsidR="002F74EC">
        <w:rPr>
          <w:szCs w:val="24"/>
        </w:rPr>
        <w:t>In the meantime the driver was pressing</w:t>
      </w:r>
      <w:r w:rsidR="00682512">
        <w:rPr>
          <w:szCs w:val="24"/>
        </w:rPr>
        <w:t xml:space="preserve"> her legs down on the seat with his legs. </w:t>
      </w:r>
      <w:r w:rsidR="004F6188">
        <w:rPr>
          <w:szCs w:val="24"/>
        </w:rPr>
        <w:t xml:space="preserve"> </w:t>
      </w:r>
      <w:r w:rsidR="009957E2">
        <w:rPr>
          <w:szCs w:val="24"/>
        </w:rPr>
        <w:t>The driver</w:t>
      </w:r>
      <w:r w:rsidR="00682512">
        <w:rPr>
          <w:szCs w:val="24"/>
        </w:rPr>
        <w:t xml:space="preserve"> then produced</w:t>
      </w:r>
      <w:r w:rsidR="00D840DC">
        <w:rPr>
          <w:szCs w:val="24"/>
        </w:rPr>
        <w:t xml:space="preserve"> a silver steak </w:t>
      </w:r>
      <w:r w:rsidR="00E22D76">
        <w:rPr>
          <w:szCs w:val="24"/>
        </w:rPr>
        <w:t>knife and pressed it</w:t>
      </w:r>
      <w:r w:rsidR="00682512">
        <w:rPr>
          <w:szCs w:val="24"/>
        </w:rPr>
        <w:t xml:space="preserve"> on her</w:t>
      </w:r>
      <w:r w:rsidR="00D840DC">
        <w:rPr>
          <w:szCs w:val="24"/>
        </w:rPr>
        <w:t xml:space="preserve"> neck and move</w:t>
      </w:r>
      <w:r w:rsidR="00923050">
        <w:rPr>
          <w:szCs w:val="24"/>
        </w:rPr>
        <w:t>d</w:t>
      </w:r>
      <w:r w:rsidR="00D840DC">
        <w:rPr>
          <w:szCs w:val="24"/>
        </w:rPr>
        <w:t xml:space="preserve"> it around her neck and told her that he w</w:t>
      </w:r>
      <w:r w:rsidR="00923050">
        <w:rPr>
          <w:szCs w:val="24"/>
        </w:rPr>
        <w:t>ould</w:t>
      </w:r>
      <w:r w:rsidR="00D840DC">
        <w:rPr>
          <w:szCs w:val="24"/>
        </w:rPr>
        <w:t xml:space="preserve"> kill her</w:t>
      </w:r>
      <w:r w:rsidR="00682512">
        <w:rPr>
          <w:szCs w:val="24"/>
        </w:rPr>
        <w:t xml:space="preserve">. </w:t>
      </w:r>
      <w:r w:rsidR="004F6188">
        <w:rPr>
          <w:szCs w:val="24"/>
        </w:rPr>
        <w:t xml:space="preserve"> </w:t>
      </w:r>
      <w:r w:rsidR="00682512">
        <w:rPr>
          <w:szCs w:val="24"/>
        </w:rPr>
        <w:t>T</w:t>
      </w:r>
      <w:r w:rsidR="00D840DC">
        <w:rPr>
          <w:szCs w:val="24"/>
        </w:rPr>
        <w:t xml:space="preserve">he driver then </w:t>
      </w:r>
      <w:r w:rsidR="007B5828">
        <w:rPr>
          <w:szCs w:val="24"/>
        </w:rPr>
        <w:t xml:space="preserve">pulled </w:t>
      </w:r>
      <w:r w:rsidR="00D840DC">
        <w:rPr>
          <w:szCs w:val="24"/>
        </w:rPr>
        <w:t xml:space="preserve">her skirt up and </w:t>
      </w:r>
      <w:r w:rsidR="00923050">
        <w:rPr>
          <w:szCs w:val="24"/>
        </w:rPr>
        <w:t xml:space="preserve">she </w:t>
      </w:r>
      <w:r w:rsidR="00D840DC">
        <w:rPr>
          <w:szCs w:val="24"/>
        </w:rPr>
        <w:t xml:space="preserve">felt that </w:t>
      </w:r>
      <w:r w:rsidR="00682512">
        <w:rPr>
          <w:szCs w:val="24"/>
        </w:rPr>
        <w:t xml:space="preserve">he </w:t>
      </w:r>
      <w:r w:rsidR="00D840DC">
        <w:rPr>
          <w:szCs w:val="24"/>
        </w:rPr>
        <w:t>was busy cutting her p</w:t>
      </w:r>
      <w:r w:rsidR="00682512">
        <w:rPr>
          <w:szCs w:val="24"/>
        </w:rPr>
        <w:t>ant</w:t>
      </w:r>
      <w:r w:rsidR="00923050">
        <w:rPr>
          <w:szCs w:val="24"/>
        </w:rPr>
        <w:t>ies</w:t>
      </w:r>
      <w:r w:rsidR="0052672E">
        <w:rPr>
          <w:szCs w:val="24"/>
        </w:rPr>
        <w:t xml:space="preserve">. </w:t>
      </w:r>
      <w:r w:rsidR="00D840DC">
        <w:rPr>
          <w:szCs w:val="24"/>
        </w:rPr>
        <w:t xml:space="preserve">She </w:t>
      </w:r>
      <w:r w:rsidR="00682512">
        <w:rPr>
          <w:szCs w:val="24"/>
        </w:rPr>
        <w:t xml:space="preserve">then </w:t>
      </w:r>
      <w:r w:rsidR="00D840DC">
        <w:rPr>
          <w:szCs w:val="24"/>
        </w:rPr>
        <w:t xml:space="preserve">felt </w:t>
      </w:r>
      <w:r w:rsidR="00A66682">
        <w:rPr>
          <w:szCs w:val="24"/>
        </w:rPr>
        <w:t>his penis on her body.</w:t>
      </w:r>
      <w:r w:rsidR="004F6188">
        <w:rPr>
          <w:szCs w:val="24"/>
        </w:rPr>
        <w:t xml:space="preserve"> </w:t>
      </w:r>
      <w:r w:rsidR="00E20822">
        <w:rPr>
          <w:szCs w:val="24"/>
        </w:rPr>
        <w:t xml:space="preserve"> In the meantime he kept</w:t>
      </w:r>
      <w:r w:rsidR="00AC72A3">
        <w:rPr>
          <w:szCs w:val="24"/>
        </w:rPr>
        <w:t xml:space="preserve"> on </w:t>
      </w:r>
      <w:r w:rsidR="00D840DC">
        <w:rPr>
          <w:szCs w:val="24"/>
        </w:rPr>
        <w:t>t</w:t>
      </w:r>
      <w:r w:rsidR="00AC72A3">
        <w:rPr>
          <w:szCs w:val="24"/>
        </w:rPr>
        <w:t>h</w:t>
      </w:r>
      <w:r w:rsidR="00D840DC">
        <w:rPr>
          <w:szCs w:val="24"/>
        </w:rPr>
        <w:t>rott</w:t>
      </w:r>
      <w:r w:rsidR="00AC72A3">
        <w:rPr>
          <w:szCs w:val="24"/>
        </w:rPr>
        <w:t>l</w:t>
      </w:r>
      <w:r w:rsidR="00D840DC">
        <w:rPr>
          <w:szCs w:val="24"/>
        </w:rPr>
        <w:t>ing her</w:t>
      </w:r>
      <w:r w:rsidR="00AC72A3">
        <w:rPr>
          <w:szCs w:val="24"/>
        </w:rPr>
        <w:t xml:space="preserve">. </w:t>
      </w:r>
      <w:r w:rsidR="00B17F1B">
        <w:rPr>
          <w:szCs w:val="24"/>
        </w:rPr>
        <w:t xml:space="preserve"> </w:t>
      </w:r>
      <w:r w:rsidR="00AC72A3">
        <w:rPr>
          <w:szCs w:val="24"/>
        </w:rPr>
        <w:t>He</w:t>
      </w:r>
      <w:r w:rsidR="00D840DC">
        <w:rPr>
          <w:szCs w:val="24"/>
        </w:rPr>
        <w:t xml:space="preserve"> bumped </w:t>
      </w:r>
      <w:r w:rsidR="00D840DC">
        <w:rPr>
          <w:szCs w:val="24"/>
        </w:rPr>
        <w:lastRenderedPageBreak/>
        <w:t>her ribs with his knee and also punch</w:t>
      </w:r>
      <w:r w:rsidR="00AC72A3">
        <w:rPr>
          <w:szCs w:val="24"/>
        </w:rPr>
        <w:t xml:space="preserve">ed her </w:t>
      </w:r>
      <w:r w:rsidR="00D840DC">
        <w:rPr>
          <w:szCs w:val="24"/>
        </w:rPr>
        <w:t xml:space="preserve">on the head with </w:t>
      </w:r>
      <w:r w:rsidR="0065432A">
        <w:rPr>
          <w:szCs w:val="24"/>
        </w:rPr>
        <w:t>a</w:t>
      </w:r>
      <w:r w:rsidR="00923050">
        <w:rPr>
          <w:szCs w:val="24"/>
        </w:rPr>
        <w:t xml:space="preserve"> </w:t>
      </w:r>
      <w:r w:rsidR="00D840DC">
        <w:rPr>
          <w:szCs w:val="24"/>
        </w:rPr>
        <w:t>fist</w:t>
      </w:r>
      <w:r w:rsidR="00A66682">
        <w:rPr>
          <w:szCs w:val="24"/>
        </w:rPr>
        <w:t xml:space="preserve">. </w:t>
      </w:r>
      <w:r w:rsidR="00B17F1B">
        <w:rPr>
          <w:szCs w:val="24"/>
        </w:rPr>
        <w:t xml:space="preserve"> </w:t>
      </w:r>
      <w:r w:rsidR="00A66682">
        <w:rPr>
          <w:szCs w:val="24"/>
        </w:rPr>
        <w:t>He</w:t>
      </w:r>
      <w:r w:rsidR="00D840DC">
        <w:rPr>
          <w:szCs w:val="24"/>
        </w:rPr>
        <w:t xml:space="preserve"> also smacked her on her right eye</w:t>
      </w:r>
      <w:r w:rsidR="00AC72A3">
        <w:rPr>
          <w:szCs w:val="24"/>
        </w:rPr>
        <w:t>.</w:t>
      </w:r>
      <w:r w:rsidR="00B17F1B">
        <w:rPr>
          <w:szCs w:val="24"/>
        </w:rPr>
        <w:t xml:space="preserve"> </w:t>
      </w:r>
      <w:r w:rsidR="00AC72A3">
        <w:rPr>
          <w:szCs w:val="24"/>
        </w:rPr>
        <w:t xml:space="preserve"> The</w:t>
      </w:r>
      <w:r w:rsidR="00D840DC">
        <w:rPr>
          <w:szCs w:val="24"/>
        </w:rPr>
        <w:t xml:space="preserve"> driver then told her to suck his friend</w:t>
      </w:r>
      <w:r w:rsidR="00AC72A3">
        <w:rPr>
          <w:szCs w:val="24"/>
        </w:rPr>
        <w:t>’s</w:t>
      </w:r>
      <w:r w:rsidR="00D840DC">
        <w:rPr>
          <w:szCs w:val="24"/>
        </w:rPr>
        <w:t xml:space="preserve"> </w:t>
      </w:r>
      <w:r w:rsidR="00AC72A3">
        <w:rPr>
          <w:szCs w:val="24"/>
        </w:rPr>
        <w:t xml:space="preserve">penis. </w:t>
      </w:r>
      <w:r w:rsidR="00B17F1B">
        <w:rPr>
          <w:szCs w:val="24"/>
        </w:rPr>
        <w:t xml:space="preserve"> </w:t>
      </w:r>
      <w:r w:rsidR="00AC72A3">
        <w:rPr>
          <w:szCs w:val="24"/>
        </w:rPr>
        <w:t>Then the friend removed his pants</w:t>
      </w:r>
      <w:r w:rsidR="00923050">
        <w:rPr>
          <w:szCs w:val="24"/>
        </w:rPr>
        <w:t>,</w:t>
      </w:r>
      <w:r w:rsidR="00AC72A3">
        <w:rPr>
          <w:szCs w:val="24"/>
        </w:rPr>
        <w:t xml:space="preserve"> whereupon the driver forcefully open</w:t>
      </w:r>
      <w:r w:rsidR="00923050">
        <w:rPr>
          <w:szCs w:val="24"/>
        </w:rPr>
        <w:t>ed</w:t>
      </w:r>
      <w:r w:rsidR="00AC72A3">
        <w:rPr>
          <w:szCs w:val="24"/>
        </w:rPr>
        <w:t xml:space="preserve"> her mouth in order</w:t>
      </w:r>
      <w:r w:rsidR="00764E0F">
        <w:rPr>
          <w:szCs w:val="24"/>
        </w:rPr>
        <w:t xml:space="preserve"> for her</w:t>
      </w:r>
      <w:r w:rsidR="00AC72A3">
        <w:rPr>
          <w:szCs w:val="24"/>
        </w:rPr>
        <w:t xml:space="preserve"> to suck his </w:t>
      </w:r>
      <w:r w:rsidR="00E30D71">
        <w:rPr>
          <w:szCs w:val="24"/>
        </w:rPr>
        <w:t>friend’s</w:t>
      </w:r>
      <w:r w:rsidR="00AC72A3">
        <w:rPr>
          <w:szCs w:val="24"/>
        </w:rPr>
        <w:t xml:space="preserve"> penis.</w:t>
      </w:r>
      <w:r w:rsidR="00B17F1B">
        <w:rPr>
          <w:szCs w:val="24"/>
        </w:rPr>
        <w:t xml:space="preserve"> </w:t>
      </w:r>
      <w:r w:rsidR="00AC72A3">
        <w:rPr>
          <w:szCs w:val="24"/>
        </w:rPr>
        <w:t xml:space="preserve"> He threated to cut off her hair</w:t>
      </w:r>
      <w:r w:rsidR="00923050">
        <w:rPr>
          <w:szCs w:val="24"/>
        </w:rPr>
        <w:t>,</w:t>
      </w:r>
      <w:r w:rsidR="00AC72A3">
        <w:rPr>
          <w:szCs w:val="24"/>
        </w:rPr>
        <w:t xml:space="preserve"> </w:t>
      </w:r>
      <w:r w:rsidR="00E30D71">
        <w:rPr>
          <w:szCs w:val="24"/>
        </w:rPr>
        <w:t xml:space="preserve">and </w:t>
      </w:r>
      <w:r w:rsidR="00AC72A3">
        <w:rPr>
          <w:szCs w:val="24"/>
        </w:rPr>
        <w:t xml:space="preserve">that he </w:t>
      </w:r>
      <w:r w:rsidR="00D840DC">
        <w:rPr>
          <w:szCs w:val="24"/>
        </w:rPr>
        <w:t>would urinate</w:t>
      </w:r>
      <w:r w:rsidR="00E30D71">
        <w:rPr>
          <w:szCs w:val="24"/>
        </w:rPr>
        <w:t xml:space="preserve"> on</w:t>
      </w:r>
      <w:r w:rsidR="00D840DC">
        <w:rPr>
          <w:szCs w:val="24"/>
        </w:rPr>
        <w:t xml:space="preserve"> her</w:t>
      </w:r>
      <w:r w:rsidR="00E30D71">
        <w:rPr>
          <w:szCs w:val="24"/>
        </w:rPr>
        <w:t>. D</w:t>
      </w:r>
      <w:r w:rsidR="00D840DC">
        <w:rPr>
          <w:szCs w:val="24"/>
        </w:rPr>
        <w:t xml:space="preserve">uring </w:t>
      </w:r>
      <w:r w:rsidR="00E30D71">
        <w:rPr>
          <w:szCs w:val="24"/>
        </w:rPr>
        <w:t>the whole time the driver was</w:t>
      </w:r>
      <w:r w:rsidR="00D840DC">
        <w:rPr>
          <w:szCs w:val="24"/>
        </w:rPr>
        <w:t xml:space="preserve"> strangl</w:t>
      </w:r>
      <w:r w:rsidR="00E30D71">
        <w:rPr>
          <w:szCs w:val="24"/>
        </w:rPr>
        <w:t>ing her</w:t>
      </w:r>
      <w:r w:rsidR="00107020">
        <w:rPr>
          <w:szCs w:val="24"/>
        </w:rPr>
        <w:t>;</w:t>
      </w:r>
      <w:r w:rsidR="00E30D71">
        <w:rPr>
          <w:szCs w:val="24"/>
        </w:rPr>
        <w:t xml:space="preserve"> later</w:t>
      </w:r>
      <w:r w:rsidR="00D840DC">
        <w:rPr>
          <w:szCs w:val="24"/>
        </w:rPr>
        <w:t xml:space="preserve"> she </w:t>
      </w:r>
      <w:r w:rsidR="00E30D71">
        <w:rPr>
          <w:szCs w:val="24"/>
        </w:rPr>
        <w:t>lost consciousness.</w:t>
      </w:r>
    </w:p>
    <w:p w14:paraId="2CFD29B2" w14:textId="77777777" w:rsidR="00B17F1B" w:rsidRDefault="00B17F1B" w:rsidP="00E7287F">
      <w:pPr>
        <w:ind w:left="10"/>
        <w:jc w:val="both"/>
        <w:rPr>
          <w:szCs w:val="24"/>
        </w:rPr>
      </w:pPr>
    </w:p>
    <w:p w14:paraId="309F8EF2" w14:textId="7C96DA3F" w:rsidR="00CB6A2F" w:rsidRDefault="00E30D71" w:rsidP="00E7287F">
      <w:pPr>
        <w:ind w:left="10"/>
        <w:jc w:val="both"/>
        <w:rPr>
          <w:szCs w:val="24"/>
        </w:rPr>
      </w:pPr>
      <w:r>
        <w:rPr>
          <w:szCs w:val="24"/>
        </w:rPr>
        <w:t>[1</w:t>
      </w:r>
      <w:r w:rsidR="00906702">
        <w:rPr>
          <w:szCs w:val="24"/>
        </w:rPr>
        <w:t>4</w:t>
      </w:r>
      <w:r>
        <w:rPr>
          <w:szCs w:val="24"/>
        </w:rPr>
        <w:t>]</w:t>
      </w:r>
      <w:r w:rsidR="00DF28DD">
        <w:rPr>
          <w:szCs w:val="24"/>
        </w:rPr>
        <w:tab/>
      </w:r>
      <w:r>
        <w:rPr>
          <w:szCs w:val="24"/>
        </w:rPr>
        <w:t xml:space="preserve"> When</w:t>
      </w:r>
      <w:r w:rsidR="00D840DC">
        <w:rPr>
          <w:szCs w:val="24"/>
        </w:rPr>
        <w:t xml:space="preserve"> she regained </w:t>
      </w:r>
      <w:r>
        <w:rPr>
          <w:szCs w:val="24"/>
        </w:rPr>
        <w:t>consciousness</w:t>
      </w:r>
      <w:r w:rsidR="00D840DC">
        <w:rPr>
          <w:szCs w:val="24"/>
        </w:rPr>
        <w:t xml:space="preserve"> she </w:t>
      </w:r>
      <w:r>
        <w:rPr>
          <w:szCs w:val="24"/>
        </w:rPr>
        <w:t>noticed two police officers</w:t>
      </w:r>
      <w:r w:rsidR="00D840DC">
        <w:rPr>
          <w:szCs w:val="24"/>
        </w:rPr>
        <w:t xml:space="preserve"> behind the car.  The police officers ask</w:t>
      </w:r>
      <w:r w:rsidR="00107020">
        <w:rPr>
          <w:szCs w:val="24"/>
        </w:rPr>
        <w:t>ed</w:t>
      </w:r>
      <w:r w:rsidR="00D840DC">
        <w:rPr>
          <w:szCs w:val="24"/>
        </w:rPr>
        <w:t xml:space="preserve"> her if she knew t</w:t>
      </w:r>
      <w:r>
        <w:rPr>
          <w:szCs w:val="24"/>
        </w:rPr>
        <w:t>he two</w:t>
      </w:r>
      <w:r w:rsidR="00A16CB5">
        <w:rPr>
          <w:szCs w:val="24"/>
        </w:rPr>
        <w:t xml:space="preserve"> men. </w:t>
      </w:r>
      <w:r w:rsidR="00B17F1B">
        <w:rPr>
          <w:szCs w:val="24"/>
        </w:rPr>
        <w:t xml:space="preserve"> </w:t>
      </w:r>
      <w:r w:rsidR="00A16CB5">
        <w:rPr>
          <w:szCs w:val="24"/>
        </w:rPr>
        <w:t>S</w:t>
      </w:r>
      <w:r w:rsidR="00D840DC">
        <w:rPr>
          <w:szCs w:val="24"/>
        </w:rPr>
        <w:t xml:space="preserve">he </w:t>
      </w:r>
      <w:r w:rsidR="00DF5242">
        <w:rPr>
          <w:szCs w:val="24"/>
        </w:rPr>
        <w:t>replied that</w:t>
      </w:r>
      <w:r w:rsidR="00D840DC">
        <w:rPr>
          <w:szCs w:val="24"/>
        </w:rPr>
        <w:t xml:space="preserve"> she did</w:t>
      </w:r>
      <w:r w:rsidR="00DF5242">
        <w:rPr>
          <w:szCs w:val="24"/>
        </w:rPr>
        <w:t xml:space="preserve"> </w:t>
      </w:r>
      <w:r w:rsidR="00D840DC">
        <w:rPr>
          <w:szCs w:val="24"/>
        </w:rPr>
        <w:t>n</w:t>
      </w:r>
      <w:r w:rsidR="00DF5242">
        <w:rPr>
          <w:szCs w:val="24"/>
        </w:rPr>
        <w:t>o</w:t>
      </w:r>
      <w:r w:rsidR="00D840DC">
        <w:rPr>
          <w:szCs w:val="24"/>
        </w:rPr>
        <w:t>t</w:t>
      </w:r>
      <w:r w:rsidR="00DF5242">
        <w:rPr>
          <w:szCs w:val="24"/>
        </w:rPr>
        <w:t xml:space="preserve"> know them.  </w:t>
      </w:r>
      <w:r>
        <w:rPr>
          <w:szCs w:val="24"/>
        </w:rPr>
        <w:t xml:space="preserve">The police officers </w:t>
      </w:r>
      <w:r w:rsidR="00D840DC">
        <w:rPr>
          <w:szCs w:val="24"/>
        </w:rPr>
        <w:t xml:space="preserve">informed her that they </w:t>
      </w:r>
      <w:r w:rsidR="00107020">
        <w:rPr>
          <w:szCs w:val="24"/>
        </w:rPr>
        <w:t xml:space="preserve">had </w:t>
      </w:r>
      <w:r w:rsidR="00D840DC">
        <w:rPr>
          <w:szCs w:val="24"/>
        </w:rPr>
        <w:t>found the two</w:t>
      </w:r>
      <w:r>
        <w:rPr>
          <w:szCs w:val="24"/>
        </w:rPr>
        <w:t xml:space="preserve"> men</w:t>
      </w:r>
      <w:r w:rsidR="00D840DC">
        <w:rPr>
          <w:szCs w:val="24"/>
        </w:rPr>
        <w:t xml:space="preserve"> on top of her</w:t>
      </w:r>
      <w:r>
        <w:rPr>
          <w:szCs w:val="24"/>
        </w:rPr>
        <w:t xml:space="preserve">. The driver then </w:t>
      </w:r>
      <w:r w:rsidR="003F27D1">
        <w:rPr>
          <w:szCs w:val="24"/>
        </w:rPr>
        <w:t>bec</w:t>
      </w:r>
      <w:r w:rsidR="00107020">
        <w:rPr>
          <w:szCs w:val="24"/>
        </w:rPr>
        <w:t>a</w:t>
      </w:r>
      <w:r w:rsidR="003F27D1">
        <w:rPr>
          <w:szCs w:val="24"/>
        </w:rPr>
        <w:t xml:space="preserve">me </w:t>
      </w:r>
      <w:r w:rsidR="00DF5242">
        <w:rPr>
          <w:szCs w:val="24"/>
        </w:rPr>
        <w:t xml:space="preserve">aggressive towards the </w:t>
      </w:r>
      <w:r>
        <w:rPr>
          <w:szCs w:val="24"/>
        </w:rPr>
        <w:t>police</w:t>
      </w:r>
      <w:r w:rsidR="00E52189">
        <w:rPr>
          <w:szCs w:val="24"/>
        </w:rPr>
        <w:t xml:space="preserve"> officers</w:t>
      </w:r>
      <w:r>
        <w:rPr>
          <w:szCs w:val="24"/>
        </w:rPr>
        <w:t xml:space="preserve"> </w:t>
      </w:r>
      <w:r w:rsidR="00CB6A2F">
        <w:rPr>
          <w:szCs w:val="24"/>
        </w:rPr>
        <w:t xml:space="preserve">and as a result </w:t>
      </w:r>
      <w:r w:rsidR="003F27D1">
        <w:rPr>
          <w:szCs w:val="24"/>
        </w:rPr>
        <w:t xml:space="preserve">he </w:t>
      </w:r>
      <w:r w:rsidR="00CB6A2F">
        <w:rPr>
          <w:szCs w:val="24"/>
        </w:rPr>
        <w:t>ended up being</w:t>
      </w:r>
      <w:r w:rsidR="00E52189">
        <w:rPr>
          <w:szCs w:val="24"/>
        </w:rPr>
        <w:t xml:space="preserve"> handcuffed</w:t>
      </w:r>
      <w:r w:rsidR="003F27D1">
        <w:rPr>
          <w:szCs w:val="24"/>
        </w:rPr>
        <w:t xml:space="preserve"> by the police.</w:t>
      </w:r>
    </w:p>
    <w:p w14:paraId="07356464" w14:textId="77777777" w:rsidR="00B17F1B" w:rsidRDefault="00B17F1B" w:rsidP="00E7287F">
      <w:pPr>
        <w:ind w:left="10"/>
        <w:jc w:val="both"/>
        <w:rPr>
          <w:szCs w:val="24"/>
        </w:rPr>
      </w:pPr>
    </w:p>
    <w:p w14:paraId="2D1076F7" w14:textId="071A11A7" w:rsidR="00DF28DD" w:rsidRDefault="001E36AE" w:rsidP="00E7287F">
      <w:pPr>
        <w:ind w:left="10"/>
        <w:jc w:val="both"/>
        <w:rPr>
          <w:szCs w:val="24"/>
        </w:rPr>
      </w:pPr>
      <w:r>
        <w:rPr>
          <w:szCs w:val="24"/>
        </w:rPr>
        <w:t>[1</w:t>
      </w:r>
      <w:r w:rsidR="005A27BF">
        <w:rPr>
          <w:szCs w:val="24"/>
        </w:rPr>
        <w:t>5</w:t>
      </w:r>
      <w:r>
        <w:rPr>
          <w:szCs w:val="24"/>
        </w:rPr>
        <w:t>]</w:t>
      </w:r>
      <w:r>
        <w:rPr>
          <w:szCs w:val="24"/>
        </w:rPr>
        <w:tab/>
      </w:r>
      <w:r w:rsidR="008D1062">
        <w:rPr>
          <w:szCs w:val="24"/>
        </w:rPr>
        <w:t>According to the c</w:t>
      </w:r>
      <w:r w:rsidR="00CB6A2F">
        <w:rPr>
          <w:szCs w:val="24"/>
        </w:rPr>
        <w:t>omplainant, she was in pain; she could not sit properly</w:t>
      </w:r>
      <w:r w:rsidR="00107020">
        <w:rPr>
          <w:szCs w:val="24"/>
        </w:rPr>
        <w:t>,</w:t>
      </w:r>
      <w:r w:rsidR="00BA73F6">
        <w:rPr>
          <w:szCs w:val="24"/>
        </w:rPr>
        <w:t xml:space="preserve"> and</w:t>
      </w:r>
      <w:r w:rsidR="00CB6A2F">
        <w:rPr>
          <w:szCs w:val="24"/>
        </w:rPr>
        <w:t xml:space="preserve"> her skirt was cut</w:t>
      </w:r>
      <w:r w:rsidR="0046053E">
        <w:rPr>
          <w:szCs w:val="24"/>
        </w:rPr>
        <w:t xml:space="preserve"> or torn</w:t>
      </w:r>
      <w:r w:rsidR="00900BEC">
        <w:rPr>
          <w:szCs w:val="24"/>
        </w:rPr>
        <w:t xml:space="preserve">. </w:t>
      </w:r>
      <w:r w:rsidR="00B17F1B">
        <w:rPr>
          <w:szCs w:val="24"/>
        </w:rPr>
        <w:t xml:space="preserve"> </w:t>
      </w:r>
      <w:r w:rsidR="00CB6A2F">
        <w:rPr>
          <w:szCs w:val="24"/>
        </w:rPr>
        <w:t>She could not breathe properly and her mouth was dry.</w:t>
      </w:r>
      <w:r w:rsidR="00B17F1B">
        <w:rPr>
          <w:szCs w:val="24"/>
        </w:rPr>
        <w:t xml:space="preserve"> </w:t>
      </w:r>
      <w:r w:rsidR="00CB6A2F">
        <w:rPr>
          <w:szCs w:val="24"/>
        </w:rPr>
        <w:t xml:space="preserve"> She</w:t>
      </w:r>
      <w:r w:rsidR="00DF28DD">
        <w:rPr>
          <w:szCs w:val="24"/>
        </w:rPr>
        <w:t xml:space="preserve"> was </w:t>
      </w:r>
      <w:r w:rsidR="00BA73F6">
        <w:rPr>
          <w:szCs w:val="24"/>
        </w:rPr>
        <w:t>later</w:t>
      </w:r>
      <w:r w:rsidR="00DF28DD">
        <w:rPr>
          <w:szCs w:val="24"/>
        </w:rPr>
        <w:t xml:space="preserve"> taken to </w:t>
      </w:r>
      <w:proofErr w:type="spellStart"/>
      <w:r w:rsidR="00DF28DD">
        <w:rPr>
          <w:szCs w:val="24"/>
        </w:rPr>
        <w:t>Katutura</w:t>
      </w:r>
      <w:proofErr w:type="spellEnd"/>
      <w:r w:rsidR="00DF28DD">
        <w:rPr>
          <w:szCs w:val="24"/>
        </w:rPr>
        <w:t xml:space="preserve"> police station</w:t>
      </w:r>
      <w:r w:rsidR="00CB6A2F">
        <w:rPr>
          <w:szCs w:val="24"/>
        </w:rPr>
        <w:t>.</w:t>
      </w:r>
      <w:r w:rsidR="00B17F1B">
        <w:rPr>
          <w:szCs w:val="24"/>
        </w:rPr>
        <w:t xml:space="preserve"> </w:t>
      </w:r>
      <w:r w:rsidR="00CB6A2F">
        <w:rPr>
          <w:szCs w:val="24"/>
        </w:rPr>
        <w:t xml:space="preserve"> Later that evening the </w:t>
      </w:r>
      <w:r w:rsidR="00107020">
        <w:rPr>
          <w:szCs w:val="24"/>
        </w:rPr>
        <w:t>c</w:t>
      </w:r>
      <w:r w:rsidR="00CB6A2F">
        <w:rPr>
          <w:szCs w:val="24"/>
        </w:rPr>
        <w:t>omplainant was medic</w:t>
      </w:r>
      <w:r w:rsidR="00D503E1">
        <w:rPr>
          <w:szCs w:val="24"/>
        </w:rPr>
        <w:t xml:space="preserve">ally examined. </w:t>
      </w:r>
      <w:r w:rsidR="00B17F1B">
        <w:rPr>
          <w:szCs w:val="24"/>
        </w:rPr>
        <w:t xml:space="preserve"> </w:t>
      </w:r>
      <w:r w:rsidR="00D503E1">
        <w:rPr>
          <w:szCs w:val="24"/>
        </w:rPr>
        <w:t>The finding</w:t>
      </w:r>
      <w:r w:rsidR="008D1062">
        <w:rPr>
          <w:szCs w:val="24"/>
        </w:rPr>
        <w:t>s</w:t>
      </w:r>
      <w:r w:rsidR="00D503E1">
        <w:rPr>
          <w:szCs w:val="24"/>
        </w:rPr>
        <w:t xml:space="preserve"> of the medical examination are</w:t>
      </w:r>
      <w:r w:rsidR="005A27BF">
        <w:rPr>
          <w:szCs w:val="24"/>
        </w:rPr>
        <w:t xml:space="preserve"> recorded i</w:t>
      </w:r>
      <w:r w:rsidR="00CB6A2F">
        <w:rPr>
          <w:szCs w:val="24"/>
        </w:rPr>
        <w:t>n the J88 Form</w:t>
      </w:r>
      <w:r w:rsidR="0065432A">
        <w:rPr>
          <w:szCs w:val="24"/>
        </w:rPr>
        <w:t xml:space="preserve"> that is</w:t>
      </w:r>
      <w:r w:rsidR="00D0632E">
        <w:rPr>
          <w:szCs w:val="24"/>
        </w:rPr>
        <w:t xml:space="preserve"> </w:t>
      </w:r>
      <w:r w:rsidR="005A27BF">
        <w:rPr>
          <w:szCs w:val="24"/>
        </w:rPr>
        <w:t>attached to her sworn statement</w:t>
      </w:r>
      <w:r w:rsidR="008D1062">
        <w:rPr>
          <w:szCs w:val="24"/>
        </w:rPr>
        <w:t xml:space="preserve">. </w:t>
      </w:r>
      <w:r w:rsidR="00B17F1B">
        <w:rPr>
          <w:szCs w:val="24"/>
        </w:rPr>
        <w:t xml:space="preserve"> </w:t>
      </w:r>
      <w:r w:rsidR="00107020">
        <w:rPr>
          <w:szCs w:val="24"/>
        </w:rPr>
        <w:t>O</w:t>
      </w:r>
      <w:r w:rsidR="008D1062">
        <w:rPr>
          <w:szCs w:val="24"/>
        </w:rPr>
        <w:t>n the Form</w:t>
      </w:r>
      <w:r w:rsidR="00107020" w:rsidRPr="00107020">
        <w:rPr>
          <w:szCs w:val="24"/>
        </w:rPr>
        <w:t xml:space="preserve"> </w:t>
      </w:r>
      <w:r w:rsidR="00107020">
        <w:rPr>
          <w:szCs w:val="24"/>
        </w:rPr>
        <w:t>it is recorded</w:t>
      </w:r>
      <w:r w:rsidR="008D1062">
        <w:rPr>
          <w:szCs w:val="24"/>
        </w:rPr>
        <w:t xml:space="preserve"> that</w:t>
      </w:r>
      <w:r w:rsidR="00CB6A2F">
        <w:rPr>
          <w:szCs w:val="24"/>
        </w:rPr>
        <w:t xml:space="preserve"> the complainant’s skirt </w:t>
      </w:r>
      <w:r w:rsidR="00107020">
        <w:rPr>
          <w:szCs w:val="24"/>
        </w:rPr>
        <w:t>and</w:t>
      </w:r>
      <w:r w:rsidR="008D1062">
        <w:rPr>
          <w:szCs w:val="24"/>
        </w:rPr>
        <w:t xml:space="preserve"> her underwear</w:t>
      </w:r>
      <w:r w:rsidR="00107020">
        <w:rPr>
          <w:szCs w:val="24"/>
        </w:rPr>
        <w:t>,</w:t>
      </w:r>
      <w:r w:rsidR="008D1062">
        <w:rPr>
          <w:szCs w:val="24"/>
        </w:rPr>
        <w:t xml:space="preserve"> were torn;</w:t>
      </w:r>
      <w:r w:rsidR="00CB6A2F">
        <w:rPr>
          <w:szCs w:val="24"/>
        </w:rPr>
        <w:t xml:space="preserve"> that her vagina was bleeding and had a bloody discharge; and that her Fossa </w:t>
      </w:r>
      <w:proofErr w:type="spellStart"/>
      <w:r w:rsidR="00CB6A2F">
        <w:rPr>
          <w:szCs w:val="24"/>
        </w:rPr>
        <w:t>Navicularis</w:t>
      </w:r>
      <w:proofErr w:type="spellEnd"/>
      <w:r w:rsidR="00CB6A2F">
        <w:rPr>
          <w:szCs w:val="24"/>
        </w:rPr>
        <w:t xml:space="preserve"> had </w:t>
      </w:r>
      <w:r w:rsidR="00107020">
        <w:rPr>
          <w:szCs w:val="24"/>
        </w:rPr>
        <w:t xml:space="preserve">a </w:t>
      </w:r>
      <w:r w:rsidR="00CB6A2F">
        <w:rPr>
          <w:szCs w:val="24"/>
        </w:rPr>
        <w:t>tear and was bleeding.</w:t>
      </w:r>
    </w:p>
    <w:p w14:paraId="7435B76F" w14:textId="77777777" w:rsidR="00DF28DD" w:rsidRDefault="00DF28DD" w:rsidP="00E7287F">
      <w:pPr>
        <w:ind w:left="10"/>
        <w:jc w:val="both"/>
        <w:rPr>
          <w:szCs w:val="24"/>
        </w:rPr>
      </w:pPr>
    </w:p>
    <w:p w14:paraId="4BCB1F06" w14:textId="19658805" w:rsidR="0077787C" w:rsidRDefault="001E36AE" w:rsidP="00E7287F">
      <w:pPr>
        <w:ind w:left="10"/>
        <w:jc w:val="both"/>
        <w:rPr>
          <w:szCs w:val="24"/>
        </w:rPr>
      </w:pPr>
      <w:r>
        <w:rPr>
          <w:szCs w:val="24"/>
        </w:rPr>
        <w:t>[1</w:t>
      </w:r>
      <w:r w:rsidR="002649BE">
        <w:rPr>
          <w:szCs w:val="24"/>
        </w:rPr>
        <w:t>6</w:t>
      </w:r>
      <w:r>
        <w:rPr>
          <w:szCs w:val="24"/>
        </w:rPr>
        <w:t>]</w:t>
      </w:r>
      <w:r>
        <w:rPr>
          <w:szCs w:val="24"/>
        </w:rPr>
        <w:tab/>
      </w:r>
      <w:r w:rsidR="0077787C">
        <w:rPr>
          <w:szCs w:val="24"/>
        </w:rPr>
        <w:t xml:space="preserve">Mr Joseph </w:t>
      </w:r>
      <w:proofErr w:type="spellStart"/>
      <w:r w:rsidR="0077787C">
        <w:rPr>
          <w:szCs w:val="24"/>
        </w:rPr>
        <w:t>Kandjimi</w:t>
      </w:r>
      <w:proofErr w:type="spellEnd"/>
      <w:r w:rsidR="0077787C">
        <w:rPr>
          <w:szCs w:val="24"/>
        </w:rPr>
        <w:t xml:space="preserve"> </w:t>
      </w:r>
      <w:proofErr w:type="spellStart"/>
      <w:r w:rsidR="0077787C">
        <w:rPr>
          <w:szCs w:val="24"/>
        </w:rPr>
        <w:t>N</w:t>
      </w:r>
      <w:r w:rsidR="00C458BB">
        <w:rPr>
          <w:szCs w:val="24"/>
        </w:rPr>
        <w:t>z</w:t>
      </w:r>
      <w:r w:rsidR="0077787C">
        <w:rPr>
          <w:szCs w:val="24"/>
        </w:rPr>
        <w:t>amene</w:t>
      </w:r>
      <w:proofErr w:type="spellEnd"/>
      <w:r w:rsidR="0077787C">
        <w:rPr>
          <w:szCs w:val="24"/>
        </w:rPr>
        <w:t xml:space="preserve"> </w:t>
      </w:r>
      <w:r w:rsidR="00745DEB">
        <w:rPr>
          <w:szCs w:val="24"/>
        </w:rPr>
        <w:t>deposed to a</w:t>
      </w:r>
      <w:r w:rsidR="00AD7AD7">
        <w:rPr>
          <w:szCs w:val="24"/>
        </w:rPr>
        <w:t>n affidavit.</w:t>
      </w:r>
      <w:r w:rsidR="00B17F1B">
        <w:rPr>
          <w:szCs w:val="24"/>
        </w:rPr>
        <w:t xml:space="preserve"> </w:t>
      </w:r>
      <w:r w:rsidR="00AD7AD7">
        <w:rPr>
          <w:szCs w:val="24"/>
        </w:rPr>
        <w:t xml:space="preserve"> </w:t>
      </w:r>
      <w:r w:rsidR="0077787C">
        <w:rPr>
          <w:szCs w:val="24"/>
        </w:rPr>
        <w:t>He is the supervisor of</w:t>
      </w:r>
      <w:r w:rsidR="00745DEB">
        <w:rPr>
          <w:szCs w:val="24"/>
        </w:rPr>
        <w:t xml:space="preserve"> </w:t>
      </w:r>
      <w:proofErr w:type="spellStart"/>
      <w:r w:rsidR="00745DEB">
        <w:rPr>
          <w:szCs w:val="24"/>
        </w:rPr>
        <w:t>Vicmac</w:t>
      </w:r>
      <w:proofErr w:type="spellEnd"/>
      <w:r w:rsidR="0077787C">
        <w:rPr>
          <w:szCs w:val="24"/>
        </w:rPr>
        <w:t xml:space="preserve"> Security </w:t>
      </w:r>
      <w:r w:rsidR="00786128">
        <w:rPr>
          <w:szCs w:val="24"/>
        </w:rPr>
        <w:t>S</w:t>
      </w:r>
      <w:r w:rsidR="0077787C">
        <w:rPr>
          <w:szCs w:val="24"/>
        </w:rPr>
        <w:t xml:space="preserve">ervices. </w:t>
      </w:r>
      <w:r w:rsidR="00B17F1B">
        <w:rPr>
          <w:szCs w:val="24"/>
        </w:rPr>
        <w:t xml:space="preserve"> </w:t>
      </w:r>
      <w:r w:rsidR="00786128">
        <w:rPr>
          <w:szCs w:val="24"/>
        </w:rPr>
        <w:t>According to him</w:t>
      </w:r>
      <w:r w:rsidR="00321FE7">
        <w:rPr>
          <w:szCs w:val="24"/>
        </w:rPr>
        <w:t>,</w:t>
      </w:r>
      <w:r w:rsidR="00786128">
        <w:rPr>
          <w:szCs w:val="24"/>
        </w:rPr>
        <w:t xml:space="preserve"> h</w:t>
      </w:r>
      <w:r w:rsidR="0077787C">
        <w:rPr>
          <w:szCs w:val="24"/>
        </w:rPr>
        <w:t>e was on duty th</w:t>
      </w:r>
      <w:r w:rsidR="00786128">
        <w:rPr>
          <w:szCs w:val="24"/>
        </w:rPr>
        <w:t>at</w:t>
      </w:r>
      <w:r w:rsidR="0077787C">
        <w:rPr>
          <w:szCs w:val="24"/>
        </w:rPr>
        <w:t xml:space="preserve"> evening when the incident regarding the complainant </w:t>
      </w:r>
      <w:r w:rsidR="00FB518F">
        <w:rPr>
          <w:szCs w:val="24"/>
        </w:rPr>
        <w:t>took place.</w:t>
      </w:r>
      <w:r w:rsidR="00B17F1B">
        <w:rPr>
          <w:szCs w:val="24"/>
        </w:rPr>
        <w:t xml:space="preserve"> </w:t>
      </w:r>
      <w:r w:rsidR="00FB518F">
        <w:rPr>
          <w:szCs w:val="24"/>
        </w:rPr>
        <w:t xml:space="preserve"> T</w:t>
      </w:r>
      <w:r w:rsidR="0077787C">
        <w:rPr>
          <w:szCs w:val="24"/>
        </w:rPr>
        <w:t>h</w:t>
      </w:r>
      <w:r w:rsidR="00745DEB">
        <w:rPr>
          <w:szCs w:val="24"/>
        </w:rPr>
        <w:t>at evening</w:t>
      </w:r>
      <w:r w:rsidR="0077787C">
        <w:rPr>
          <w:szCs w:val="24"/>
        </w:rPr>
        <w:t xml:space="preserve"> at around 19</w:t>
      </w:r>
      <w:r w:rsidR="00745DEB">
        <w:rPr>
          <w:szCs w:val="24"/>
        </w:rPr>
        <w:t>h</w:t>
      </w:r>
      <w:r w:rsidR="0077787C">
        <w:rPr>
          <w:szCs w:val="24"/>
        </w:rPr>
        <w:t>20 he was on duty on his way to the N</w:t>
      </w:r>
      <w:r w:rsidR="00745DEB">
        <w:rPr>
          <w:szCs w:val="24"/>
        </w:rPr>
        <w:t>urses</w:t>
      </w:r>
      <w:r w:rsidR="00107020">
        <w:rPr>
          <w:szCs w:val="24"/>
        </w:rPr>
        <w:t>’</w:t>
      </w:r>
      <w:r w:rsidR="00745DEB">
        <w:rPr>
          <w:szCs w:val="24"/>
        </w:rPr>
        <w:t xml:space="preserve"> Training C</w:t>
      </w:r>
      <w:r w:rsidR="0077787C">
        <w:rPr>
          <w:szCs w:val="24"/>
        </w:rPr>
        <w:t xml:space="preserve">entre to visit the guards when he noticed </w:t>
      </w:r>
      <w:r w:rsidR="00745DEB">
        <w:rPr>
          <w:szCs w:val="24"/>
        </w:rPr>
        <w:t xml:space="preserve">a Polo </w:t>
      </w:r>
      <w:r w:rsidR="00C06274">
        <w:rPr>
          <w:szCs w:val="24"/>
        </w:rPr>
        <w:t xml:space="preserve">vehicle </w:t>
      </w:r>
      <w:r w:rsidR="00745DEB">
        <w:rPr>
          <w:szCs w:val="24"/>
        </w:rPr>
        <w:t xml:space="preserve">parked </w:t>
      </w:r>
      <w:r w:rsidR="0077787C">
        <w:rPr>
          <w:szCs w:val="24"/>
        </w:rPr>
        <w:t>in the bushes.</w:t>
      </w:r>
      <w:r w:rsidR="00B17F1B">
        <w:rPr>
          <w:szCs w:val="24"/>
        </w:rPr>
        <w:t xml:space="preserve"> </w:t>
      </w:r>
      <w:r w:rsidR="0077787C">
        <w:rPr>
          <w:szCs w:val="24"/>
        </w:rPr>
        <w:t xml:space="preserve"> He walked towards the </w:t>
      </w:r>
      <w:r w:rsidR="00745DEB">
        <w:rPr>
          <w:szCs w:val="24"/>
        </w:rPr>
        <w:t>Polo</w:t>
      </w:r>
      <w:r w:rsidR="00C06274">
        <w:rPr>
          <w:szCs w:val="24"/>
        </w:rPr>
        <w:t xml:space="preserve"> </w:t>
      </w:r>
      <w:r w:rsidR="0077787C">
        <w:rPr>
          <w:szCs w:val="24"/>
        </w:rPr>
        <w:t>and hea</w:t>
      </w:r>
      <w:r w:rsidR="00745DEB">
        <w:rPr>
          <w:szCs w:val="24"/>
        </w:rPr>
        <w:t>r</w:t>
      </w:r>
      <w:r w:rsidR="0077787C">
        <w:rPr>
          <w:szCs w:val="24"/>
        </w:rPr>
        <w:t xml:space="preserve">d </w:t>
      </w:r>
      <w:r w:rsidR="00745DEB">
        <w:rPr>
          <w:szCs w:val="24"/>
        </w:rPr>
        <w:t xml:space="preserve">a </w:t>
      </w:r>
      <w:r w:rsidR="0077787C">
        <w:rPr>
          <w:szCs w:val="24"/>
        </w:rPr>
        <w:t xml:space="preserve">woman screaming. </w:t>
      </w:r>
      <w:r w:rsidR="00B17F1B">
        <w:rPr>
          <w:szCs w:val="24"/>
        </w:rPr>
        <w:t xml:space="preserve"> </w:t>
      </w:r>
      <w:r w:rsidR="0077787C">
        <w:rPr>
          <w:szCs w:val="24"/>
        </w:rPr>
        <w:t xml:space="preserve">He went back to the road and </w:t>
      </w:r>
      <w:r w:rsidR="00745DEB">
        <w:rPr>
          <w:szCs w:val="24"/>
        </w:rPr>
        <w:t>contacted</w:t>
      </w:r>
      <w:r w:rsidR="0077787C">
        <w:rPr>
          <w:szCs w:val="24"/>
        </w:rPr>
        <w:t xml:space="preserve"> the police.</w:t>
      </w:r>
      <w:r w:rsidR="00B17F1B">
        <w:rPr>
          <w:szCs w:val="24"/>
        </w:rPr>
        <w:t xml:space="preserve"> </w:t>
      </w:r>
      <w:r w:rsidR="00E3596B">
        <w:rPr>
          <w:szCs w:val="24"/>
        </w:rPr>
        <w:t xml:space="preserve"> Later when the police a</w:t>
      </w:r>
      <w:r w:rsidR="00745DEB">
        <w:rPr>
          <w:szCs w:val="24"/>
        </w:rPr>
        <w:t>rrived he took them to the spot where the Polo was parked.</w:t>
      </w:r>
      <w:r w:rsidR="00900BEC">
        <w:rPr>
          <w:szCs w:val="24"/>
        </w:rPr>
        <w:t xml:space="preserve"> </w:t>
      </w:r>
      <w:r w:rsidR="00B17F1B">
        <w:rPr>
          <w:szCs w:val="24"/>
        </w:rPr>
        <w:t xml:space="preserve"> </w:t>
      </w:r>
      <w:r w:rsidR="00745DEB">
        <w:rPr>
          <w:szCs w:val="24"/>
        </w:rPr>
        <w:t>On their arrival</w:t>
      </w:r>
      <w:r w:rsidR="00AD2F9B">
        <w:rPr>
          <w:szCs w:val="24"/>
        </w:rPr>
        <w:t xml:space="preserve"> at the Polo</w:t>
      </w:r>
      <w:r w:rsidR="00745DEB">
        <w:rPr>
          <w:szCs w:val="24"/>
        </w:rPr>
        <w:t xml:space="preserve"> </w:t>
      </w:r>
      <w:r w:rsidR="00E3596B">
        <w:rPr>
          <w:szCs w:val="24"/>
        </w:rPr>
        <w:t>they found one m</w:t>
      </w:r>
      <w:r w:rsidR="00745DEB">
        <w:rPr>
          <w:szCs w:val="24"/>
        </w:rPr>
        <w:t>a</w:t>
      </w:r>
      <w:r w:rsidR="00E3596B">
        <w:rPr>
          <w:szCs w:val="24"/>
        </w:rPr>
        <w:t>n ha</w:t>
      </w:r>
      <w:r w:rsidR="00900BEC">
        <w:rPr>
          <w:szCs w:val="24"/>
        </w:rPr>
        <w:t xml:space="preserve">ving sex with the complainant. </w:t>
      </w:r>
      <w:r w:rsidR="00B17F1B">
        <w:rPr>
          <w:szCs w:val="24"/>
        </w:rPr>
        <w:t xml:space="preserve"> </w:t>
      </w:r>
      <w:r w:rsidR="00E3596B">
        <w:rPr>
          <w:szCs w:val="24"/>
        </w:rPr>
        <w:t>The m</w:t>
      </w:r>
      <w:r w:rsidR="00745DEB">
        <w:rPr>
          <w:szCs w:val="24"/>
        </w:rPr>
        <w:t>a</w:t>
      </w:r>
      <w:r w:rsidR="00E3596B">
        <w:rPr>
          <w:szCs w:val="24"/>
        </w:rPr>
        <w:t xml:space="preserve">n </w:t>
      </w:r>
      <w:r w:rsidR="00745DEB">
        <w:rPr>
          <w:szCs w:val="24"/>
        </w:rPr>
        <w:t>who was</w:t>
      </w:r>
      <w:r w:rsidR="00E3596B">
        <w:rPr>
          <w:szCs w:val="24"/>
        </w:rPr>
        <w:t xml:space="preserve"> on top of the </w:t>
      </w:r>
      <w:r w:rsidR="00B17F1B">
        <w:rPr>
          <w:szCs w:val="24"/>
        </w:rPr>
        <w:t>woman</w:t>
      </w:r>
      <w:r w:rsidR="00E3596B">
        <w:rPr>
          <w:szCs w:val="24"/>
        </w:rPr>
        <w:t xml:space="preserve"> was totally naked while the other</w:t>
      </w:r>
      <w:r w:rsidR="00745DEB">
        <w:rPr>
          <w:szCs w:val="24"/>
        </w:rPr>
        <w:t xml:space="preserve"> man had a knife in his </w:t>
      </w:r>
      <w:r w:rsidR="00C458BB">
        <w:rPr>
          <w:szCs w:val="24"/>
        </w:rPr>
        <w:t>hand, his</w:t>
      </w:r>
      <w:r w:rsidR="00E3596B">
        <w:rPr>
          <w:szCs w:val="24"/>
        </w:rPr>
        <w:t xml:space="preserve"> </w:t>
      </w:r>
      <w:r w:rsidR="007471AC">
        <w:rPr>
          <w:szCs w:val="24"/>
        </w:rPr>
        <w:t>trouser</w:t>
      </w:r>
      <w:r w:rsidR="00C458BB">
        <w:rPr>
          <w:szCs w:val="24"/>
        </w:rPr>
        <w:t>s</w:t>
      </w:r>
      <w:r w:rsidR="00E3596B">
        <w:rPr>
          <w:szCs w:val="24"/>
        </w:rPr>
        <w:t xml:space="preserve"> belt and zip </w:t>
      </w:r>
      <w:r w:rsidR="00745DEB">
        <w:rPr>
          <w:szCs w:val="24"/>
        </w:rPr>
        <w:t xml:space="preserve">were </w:t>
      </w:r>
      <w:r w:rsidR="00E3596B">
        <w:rPr>
          <w:szCs w:val="24"/>
        </w:rPr>
        <w:t>opened.</w:t>
      </w:r>
      <w:r w:rsidR="00C458BB">
        <w:rPr>
          <w:szCs w:val="24"/>
        </w:rPr>
        <w:t xml:space="preserve"> </w:t>
      </w:r>
      <w:r w:rsidR="00B17F1B">
        <w:rPr>
          <w:szCs w:val="24"/>
        </w:rPr>
        <w:t xml:space="preserve"> </w:t>
      </w:r>
      <w:r w:rsidR="00C458BB">
        <w:rPr>
          <w:szCs w:val="24"/>
        </w:rPr>
        <w:t xml:space="preserve">Mr </w:t>
      </w:r>
      <w:proofErr w:type="spellStart"/>
      <w:r w:rsidR="00C458BB">
        <w:rPr>
          <w:szCs w:val="24"/>
        </w:rPr>
        <w:t>Nzamene</w:t>
      </w:r>
      <w:proofErr w:type="spellEnd"/>
      <w:r w:rsidR="00C458BB">
        <w:rPr>
          <w:szCs w:val="24"/>
        </w:rPr>
        <w:t xml:space="preserve"> went on to say that he observed that the complainant </w:t>
      </w:r>
      <w:r w:rsidR="00C458BB">
        <w:rPr>
          <w:szCs w:val="24"/>
        </w:rPr>
        <w:lastRenderedPageBreak/>
        <w:t>had a scratch mark on her neck; she struggled to talk; her T-shirt was torn; and she cried and appeared to be exhausted.</w:t>
      </w:r>
    </w:p>
    <w:p w14:paraId="06B7FF49" w14:textId="77777777" w:rsidR="00B17F1B" w:rsidRDefault="00B17F1B" w:rsidP="00E7287F">
      <w:pPr>
        <w:ind w:left="10"/>
        <w:jc w:val="both"/>
        <w:rPr>
          <w:szCs w:val="24"/>
        </w:rPr>
      </w:pPr>
    </w:p>
    <w:p w14:paraId="15578C8F" w14:textId="671FE5EE" w:rsidR="00C458BB" w:rsidRDefault="00C458BB" w:rsidP="00E7287F">
      <w:pPr>
        <w:ind w:left="10"/>
        <w:jc w:val="both"/>
        <w:rPr>
          <w:szCs w:val="24"/>
        </w:rPr>
      </w:pPr>
      <w:r>
        <w:rPr>
          <w:szCs w:val="24"/>
        </w:rPr>
        <w:t>[1</w:t>
      </w:r>
      <w:r w:rsidR="00E06FFD">
        <w:rPr>
          <w:szCs w:val="24"/>
        </w:rPr>
        <w:t>7</w:t>
      </w:r>
      <w:r>
        <w:rPr>
          <w:szCs w:val="24"/>
        </w:rPr>
        <w:t>]</w:t>
      </w:r>
      <w:r>
        <w:rPr>
          <w:szCs w:val="24"/>
        </w:rPr>
        <w:tab/>
        <w:t xml:space="preserve"> </w:t>
      </w:r>
      <w:r w:rsidR="00307E31">
        <w:rPr>
          <w:szCs w:val="24"/>
        </w:rPr>
        <w:t>Constable Johannes</w:t>
      </w:r>
      <w:r w:rsidR="00E7287F">
        <w:rPr>
          <w:szCs w:val="24"/>
        </w:rPr>
        <w:t xml:space="preserve"> </w:t>
      </w:r>
      <w:proofErr w:type="spellStart"/>
      <w:r w:rsidR="00E7287F">
        <w:rPr>
          <w:szCs w:val="24"/>
        </w:rPr>
        <w:t>Marungu</w:t>
      </w:r>
      <w:proofErr w:type="spellEnd"/>
      <w:r w:rsidR="00E7287F">
        <w:rPr>
          <w:szCs w:val="24"/>
        </w:rPr>
        <w:t xml:space="preserve"> who is working for t</w:t>
      </w:r>
      <w:r w:rsidR="00307E31">
        <w:rPr>
          <w:szCs w:val="24"/>
        </w:rPr>
        <w:t>h</w:t>
      </w:r>
      <w:r w:rsidR="00E7287F">
        <w:rPr>
          <w:szCs w:val="24"/>
        </w:rPr>
        <w:t xml:space="preserve">e Emergency Response Unit of </w:t>
      </w:r>
      <w:proofErr w:type="spellStart"/>
      <w:r w:rsidR="00E7287F">
        <w:rPr>
          <w:szCs w:val="24"/>
        </w:rPr>
        <w:t>Khomas</w:t>
      </w:r>
      <w:proofErr w:type="spellEnd"/>
      <w:r w:rsidR="00E7287F">
        <w:rPr>
          <w:szCs w:val="24"/>
        </w:rPr>
        <w:t xml:space="preserve"> Region</w:t>
      </w:r>
      <w:r w:rsidR="00BE2B9D">
        <w:rPr>
          <w:szCs w:val="24"/>
        </w:rPr>
        <w:t xml:space="preserve"> also</w:t>
      </w:r>
      <w:r w:rsidR="00E7287F">
        <w:rPr>
          <w:szCs w:val="24"/>
        </w:rPr>
        <w:t xml:space="preserve"> </w:t>
      </w:r>
      <w:r w:rsidR="00307E31">
        <w:rPr>
          <w:szCs w:val="24"/>
        </w:rPr>
        <w:t>deposed</w:t>
      </w:r>
      <w:r w:rsidR="00E7287F">
        <w:rPr>
          <w:szCs w:val="24"/>
        </w:rPr>
        <w:t xml:space="preserve"> to an affidavit.</w:t>
      </w:r>
      <w:r w:rsidR="00900BEC">
        <w:rPr>
          <w:szCs w:val="24"/>
        </w:rPr>
        <w:t xml:space="preserve"> </w:t>
      </w:r>
      <w:r w:rsidR="00B17F1B">
        <w:rPr>
          <w:szCs w:val="24"/>
        </w:rPr>
        <w:t xml:space="preserve"> </w:t>
      </w:r>
      <w:r w:rsidR="00307E31">
        <w:rPr>
          <w:szCs w:val="24"/>
        </w:rPr>
        <w:t>According to him</w:t>
      </w:r>
      <w:r w:rsidR="00107020">
        <w:rPr>
          <w:szCs w:val="24"/>
        </w:rPr>
        <w:t>,</w:t>
      </w:r>
      <w:r w:rsidR="00307E31">
        <w:rPr>
          <w:szCs w:val="24"/>
        </w:rPr>
        <w:t xml:space="preserve"> he </w:t>
      </w:r>
      <w:r>
        <w:rPr>
          <w:szCs w:val="24"/>
        </w:rPr>
        <w:t xml:space="preserve">was on duty when he received </w:t>
      </w:r>
      <w:r w:rsidR="00107020">
        <w:rPr>
          <w:szCs w:val="24"/>
        </w:rPr>
        <w:t xml:space="preserve">through the radio </w:t>
      </w:r>
      <w:r w:rsidR="00B17F1B">
        <w:rPr>
          <w:szCs w:val="24"/>
        </w:rPr>
        <w:t>a</w:t>
      </w:r>
      <w:r>
        <w:rPr>
          <w:szCs w:val="24"/>
        </w:rPr>
        <w:t xml:space="preserve"> complaint that screams</w:t>
      </w:r>
      <w:r w:rsidR="00E06FFD">
        <w:rPr>
          <w:szCs w:val="24"/>
        </w:rPr>
        <w:t xml:space="preserve"> of a woman</w:t>
      </w:r>
      <w:r>
        <w:rPr>
          <w:szCs w:val="24"/>
        </w:rPr>
        <w:t xml:space="preserve"> were heard in the bushes between </w:t>
      </w:r>
      <w:proofErr w:type="spellStart"/>
      <w:r w:rsidR="00307E31">
        <w:rPr>
          <w:szCs w:val="24"/>
        </w:rPr>
        <w:t>Katutura</w:t>
      </w:r>
      <w:proofErr w:type="spellEnd"/>
      <w:r w:rsidR="00307E31">
        <w:rPr>
          <w:szCs w:val="24"/>
        </w:rPr>
        <w:t xml:space="preserve"> and C</w:t>
      </w:r>
      <w:r w:rsidR="00E06FFD">
        <w:rPr>
          <w:szCs w:val="24"/>
        </w:rPr>
        <w:t>entral H</w:t>
      </w:r>
      <w:r>
        <w:rPr>
          <w:szCs w:val="24"/>
        </w:rPr>
        <w:t>ospital.</w:t>
      </w:r>
      <w:r w:rsidR="00B17F1B">
        <w:rPr>
          <w:szCs w:val="24"/>
        </w:rPr>
        <w:t xml:space="preserve"> </w:t>
      </w:r>
      <w:r>
        <w:rPr>
          <w:szCs w:val="24"/>
        </w:rPr>
        <w:t xml:space="preserve"> He and his two colleagues drove to the scene and met </w:t>
      </w:r>
      <w:r w:rsidR="00307E31">
        <w:rPr>
          <w:szCs w:val="24"/>
        </w:rPr>
        <w:t>security officer</w:t>
      </w:r>
      <w:r w:rsidR="00135B67">
        <w:rPr>
          <w:szCs w:val="24"/>
        </w:rPr>
        <w:t>,</w:t>
      </w:r>
      <w:r>
        <w:rPr>
          <w:szCs w:val="24"/>
        </w:rPr>
        <w:t xml:space="preserve"> </w:t>
      </w:r>
      <w:r w:rsidR="00307E31">
        <w:rPr>
          <w:szCs w:val="24"/>
        </w:rPr>
        <w:t xml:space="preserve">Mr </w:t>
      </w:r>
      <w:proofErr w:type="spellStart"/>
      <w:r w:rsidR="00307E31">
        <w:rPr>
          <w:szCs w:val="24"/>
        </w:rPr>
        <w:t>Nzamene</w:t>
      </w:r>
      <w:proofErr w:type="spellEnd"/>
      <w:r w:rsidR="00107020">
        <w:rPr>
          <w:szCs w:val="24"/>
        </w:rPr>
        <w:t>,</w:t>
      </w:r>
      <w:r w:rsidR="00FF6053">
        <w:rPr>
          <w:szCs w:val="24"/>
        </w:rPr>
        <w:t xml:space="preserve"> who</w:t>
      </w:r>
      <w:r>
        <w:rPr>
          <w:szCs w:val="24"/>
        </w:rPr>
        <w:t xml:space="preserve"> show</w:t>
      </w:r>
      <w:r w:rsidR="00307E31">
        <w:rPr>
          <w:szCs w:val="24"/>
        </w:rPr>
        <w:t>ed</w:t>
      </w:r>
      <w:r>
        <w:rPr>
          <w:szCs w:val="24"/>
        </w:rPr>
        <w:t xml:space="preserve"> them where the </w:t>
      </w:r>
      <w:r w:rsidR="00307E31">
        <w:rPr>
          <w:szCs w:val="24"/>
        </w:rPr>
        <w:t>Polo</w:t>
      </w:r>
      <w:r>
        <w:rPr>
          <w:szCs w:val="24"/>
        </w:rPr>
        <w:t xml:space="preserve"> was par</w:t>
      </w:r>
      <w:r w:rsidR="00307E31">
        <w:rPr>
          <w:szCs w:val="24"/>
        </w:rPr>
        <w:t>ked in the bushes</w:t>
      </w:r>
      <w:r w:rsidR="00E7287F">
        <w:rPr>
          <w:szCs w:val="24"/>
        </w:rPr>
        <w:t>.</w:t>
      </w:r>
      <w:r w:rsidR="00B17F1B">
        <w:rPr>
          <w:szCs w:val="24"/>
        </w:rPr>
        <w:t xml:space="preserve"> </w:t>
      </w:r>
      <w:r w:rsidR="00E7287F">
        <w:rPr>
          <w:szCs w:val="24"/>
        </w:rPr>
        <w:t xml:space="preserve"> When they arrived at the scene</w:t>
      </w:r>
      <w:r w:rsidR="00321FE7">
        <w:rPr>
          <w:szCs w:val="24"/>
        </w:rPr>
        <w:t>,</w:t>
      </w:r>
      <w:r w:rsidR="00E7287F">
        <w:rPr>
          <w:szCs w:val="24"/>
        </w:rPr>
        <w:t xml:space="preserve"> they found three people in the</w:t>
      </w:r>
      <w:r w:rsidR="00307E31">
        <w:rPr>
          <w:szCs w:val="24"/>
        </w:rPr>
        <w:t xml:space="preserve"> Polo</w:t>
      </w:r>
      <w:r w:rsidR="00107020">
        <w:rPr>
          <w:szCs w:val="24"/>
        </w:rPr>
        <w:t>:</w:t>
      </w:r>
      <w:r w:rsidR="00E7287F">
        <w:rPr>
          <w:szCs w:val="24"/>
        </w:rPr>
        <w:t xml:space="preserve"> </w:t>
      </w:r>
      <w:r w:rsidR="00307E31">
        <w:rPr>
          <w:szCs w:val="24"/>
        </w:rPr>
        <w:t>the complainant</w:t>
      </w:r>
      <w:r w:rsidR="00135B67">
        <w:rPr>
          <w:szCs w:val="24"/>
        </w:rPr>
        <w:t>,</w:t>
      </w:r>
      <w:r w:rsidR="00307E31">
        <w:rPr>
          <w:szCs w:val="24"/>
        </w:rPr>
        <w:t xml:space="preserve"> who </w:t>
      </w:r>
      <w:r w:rsidR="00E7287F">
        <w:rPr>
          <w:szCs w:val="24"/>
        </w:rPr>
        <w:t xml:space="preserve">was lying on her stomach </w:t>
      </w:r>
      <w:r w:rsidR="00307E31">
        <w:rPr>
          <w:szCs w:val="24"/>
        </w:rPr>
        <w:t xml:space="preserve">on the </w:t>
      </w:r>
      <w:r w:rsidR="00E7287F">
        <w:rPr>
          <w:szCs w:val="24"/>
        </w:rPr>
        <w:t>rear seat</w:t>
      </w:r>
      <w:r w:rsidR="00307E31">
        <w:rPr>
          <w:szCs w:val="24"/>
        </w:rPr>
        <w:t xml:space="preserve"> of the Polo</w:t>
      </w:r>
      <w:r w:rsidR="00107020">
        <w:rPr>
          <w:szCs w:val="24"/>
        </w:rPr>
        <w:t>;</w:t>
      </w:r>
      <w:r w:rsidR="00C07C65">
        <w:rPr>
          <w:szCs w:val="24"/>
        </w:rPr>
        <w:t xml:space="preserve"> the suspect, who </w:t>
      </w:r>
      <w:r w:rsidR="00E7287F">
        <w:rPr>
          <w:szCs w:val="24"/>
        </w:rPr>
        <w:t xml:space="preserve">was later identified </w:t>
      </w:r>
      <w:r w:rsidR="00307E31">
        <w:rPr>
          <w:szCs w:val="24"/>
        </w:rPr>
        <w:t xml:space="preserve">as </w:t>
      </w:r>
      <w:proofErr w:type="spellStart"/>
      <w:r w:rsidR="00307E31">
        <w:rPr>
          <w:szCs w:val="24"/>
        </w:rPr>
        <w:t>Jaco</w:t>
      </w:r>
      <w:proofErr w:type="spellEnd"/>
      <w:r w:rsidR="00E7287F">
        <w:rPr>
          <w:szCs w:val="24"/>
        </w:rPr>
        <w:t xml:space="preserve"> Kennedy</w:t>
      </w:r>
      <w:r w:rsidR="00561BA4">
        <w:rPr>
          <w:szCs w:val="24"/>
        </w:rPr>
        <w:t>,</w:t>
      </w:r>
      <w:r w:rsidR="00135B67">
        <w:rPr>
          <w:szCs w:val="24"/>
        </w:rPr>
        <w:t xml:space="preserve"> the respondent in this matter</w:t>
      </w:r>
      <w:r w:rsidR="000767E7">
        <w:rPr>
          <w:szCs w:val="24"/>
        </w:rPr>
        <w:t>,</w:t>
      </w:r>
      <w:r w:rsidR="00E7287F">
        <w:rPr>
          <w:szCs w:val="24"/>
        </w:rPr>
        <w:t xml:space="preserve"> </w:t>
      </w:r>
      <w:r w:rsidR="00307E31">
        <w:rPr>
          <w:szCs w:val="24"/>
        </w:rPr>
        <w:t>was on top</w:t>
      </w:r>
      <w:r w:rsidR="00E7287F">
        <w:rPr>
          <w:szCs w:val="24"/>
        </w:rPr>
        <w:t xml:space="preserve"> the </w:t>
      </w:r>
      <w:r w:rsidR="00107020">
        <w:rPr>
          <w:szCs w:val="24"/>
        </w:rPr>
        <w:t>c</w:t>
      </w:r>
      <w:r w:rsidR="00307E31">
        <w:rPr>
          <w:szCs w:val="24"/>
        </w:rPr>
        <w:t>omplainant</w:t>
      </w:r>
      <w:r w:rsidR="00E7287F">
        <w:rPr>
          <w:szCs w:val="24"/>
        </w:rPr>
        <w:t xml:space="preserve"> with </w:t>
      </w:r>
      <w:r w:rsidR="00307E31">
        <w:rPr>
          <w:szCs w:val="24"/>
        </w:rPr>
        <w:t>his penis</w:t>
      </w:r>
      <w:r w:rsidR="00E7287F">
        <w:rPr>
          <w:szCs w:val="24"/>
        </w:rPr>
        <w:t xml:space="preserve"> inside the </w:t>
      </w:r>
      <w:r w:rsidR="00107020">
        <w:rPr>
          <w:szCs w:val="24"/>
        </w:rPr>
        <w:t>c</w:t>
      </w:r>
      <w:r w:rsidR="00900BEC">
        <w:rPr>
          <w:szCs w:val="24"/>
        </w:rPr>
        <w:t>omplainant.</w:t>
      </w:r>
      <w:r w:rsidR="00B17F1B">
        <w:rPr>
          <w:szCs w:val="24"/>
        </w:rPr>
        <w:t xml:space="preserve"> </w:t>
      </w:r>
      <w:r w:rsidR="00900BEC">
        <w:rPr>
          <w:szCs w:val="24"/>
        </w:rPr>
        <w:t xml:space="preserve"> </w:t>
      </w:r>
      <w:r w:rsidR="00307E31">
        <w:rPr>
          <w:szCs w:val="24"/>
        </w:rPr>
        <w:t>He was</w:t>
      </w:r>
      <w:r w:rsidR="00E7287F">
        <w:rPr>
          <w:szCs w:val="24"/>
        </w:rPr>
        <w:t xml:space="preserve"> hitting the complainant on the head with </w:t>
      </w:r>
      <w:r w:rsidR="00307E31">
        <w:rPr>
          <w:szCs w:val="24"/>
        </w:rPr>
        <w:t>a</w:t>
      </w:r>
      <w:r w:rsidR="00900BEC">
        <w:rPr>
          <w:szCs w:val="24"/>
        </w:rPr>
        <w:t xml:space="preserve"> </w:t>
      </w:r>
      <w:r w:rsidR="00FA0404">
        <w:rPr>
          <w:szCs w:val="24"/>
        </w:rPr>
        <w:t>steak</w:t>
      </w:r>
      <w:r w:rsidR="00900BEC">
        <w:rPr>
          <w:szCs w:val="24"/>
        </w:rPr>
        <w:t xml:space="preserve"> knife.</w:t>
      </w:r>
      <w:r w:rsidR="00FA0404">
        <w:rPr>
          <w:szCs w:val="24"/>
        </w:rPr>
        <w:t xml:space="preserve"> </w:t>
      </w:r>
      <w:r w:rsidR="00900BEC">
        <w:rPr>
          <w:szCs w:val="24"/>
        </w:rPr>
        <w:t xml:space="preserve"> </w:t>
      </w:r>
      <w:r w:rsidR="00E7287F">
        <w:rPr>
          <w:szCs w:val="24"/>
        </w:rPr>
        <w:t>When the police identif</w:t>
      </w:r>
      <w:r w:rsidR="00107020">
        <w:rPr>
          <w:szCs w:val="24"/>
        </w:rPr>
        <w:t>ied</w:t>
      </w:r>
      <w:r w:rsidR="00E7287F">
        <w:rPr>
          <w:szCs w:val="24"/>
        </w:rPr>
        <w:t xml:space="preserve"> themselves </w:t>
      </w:r>
      <w:r w:rsidR="00307E31">
        <w:rPr>
          <w:szCs w:val="24"/>
        </w:rPr>
        <w:t xml:space="preserve">he </w:t>
      </w:r>
      <w:r w:rsidR="00E7287F">
        <w:rPr>
          <w:szCs w:val="24"/>
        </w:rPr>
        <w:t>pull</w:t>
      </w:r>
      <w:r w:rsidR="00BE2B9D">
        <w:rPr>
          <w:szCs w:val="24"/>
        </w:rPr>
        <w:t>ed</w:t>
      </w:r>
      <w:r w:rsidR="00E7287F">
        <w:rPr>
          <w:szCs w:val="24"/>
        </w:rPr>
        <w:t xml:space="preserve"> out his p</w:t>
      </w:r>
      <w:r w:rsidR="00307E31">
        <w:rPr>
          <w:szCs w:val="24"/>
        </w:rPr>
        <w:t xml:space="preserve">enis from the complainant. </w:t>
      </w:r>
      <w:r w:rsidR="00FA0404">
        <w:rPr>
          <w:szCs w:val="24"/>
        </w:rPr>
        <w:t xml:space="preserve"> </w:t>
      </w:r>
      <w:r w:rsidR="00307E31">
        <w:rPr>
          <w:szCs w:val="24"/>
        </w:rPr>
        <w:t xml:space="preserve">He </w:t>
      </w:r>
      <w:r w:rsidR="00E7287F">
        <w:rPr>
          <w:szCs w:val="24"/>
        </w:rPr>
        <w:t xml:space="preserve">left the complainant with </w:t>
      </w:r>
      <w:r w:rsidR="00307E31">
        <w:rPr>
          <w:szCs w:val="24"/>
        </w:rPr>
        <w:t xml:space="preserve">her skirt up, </w:t>
      </w:r>
      <w:r w:rsidR="00E7287F">
        <w:rPr>
          <w:szCs w:val="24"/>
        </w:rPr>
        <w:t xml:space="preserve">revealing her </w:t>
      </w:r>
      <w:r w:rsidR="00307E31">
        <w:rPr>
          <w:szCs w:val="24"/>
        </w:rPr>
        <w:t>vagina</w:t>
      </w:r>
      <w:r w:rsidR="00E7287F">
        <w:rPr>
          <w:szCs w:val="24"/>
        </w:rPr>
        <w:t>.</w:t>
      </w:r>
      <w:r w:rsidR="00FA0404">
        <w:rPr>
          <w:szCs w:val="24"/>
        </w:rPr>
        <w:t xml:space="preserve"> </w:t>
      </w:r>
      <w:r w:rsidR="00E7287F">
        <w:rPr>
          <w:szCs w:val="24"/>
        </w:rPr>
        <w:t xml:space="preserve"> </w:t>
      </w:r>
      <w:r w:rsidR="00544A87">
        <w:rPr>
          <w:szCs w:val="24"/>
        </w:rPr>
        <w:t>The respondent</w:t>
      </w:r>
      <w:r w:rsidR="00E7287F">
        <w:rPr>
          <w:szCs w:val="24"/>
        </w:rPr>
        <w:t xml:space="preserve"> threaten</w:t>
      </w:r>
      <w:r w:rsidR="00544A87">
        <w:rPr>
          <w:szCs w:val="24"/>
        </w:rPr>
        <w:t>ed</w:t>
      </w:r>
      <w:r w:rsidR="00E7287F">
        <w:rPr>
          <w:szCs w:val="24"/>
        </w:rPr>
        <w:t xml:space="preserve"> the police </w:t>
      </w:r>
      <w:r w:rsidR="00544A87">
        <w:rPr>
          <w:szCs w:val="24"/>
        </w:rPr>
        <w:t xml:space="preserve">officers </w:t>
      </w:r>
      <w:r w:rsidR="00E7287F">
        <w:rPr>
          <w:szCs w:val="24"/>
        </w:rPr>
        <w:t>that he would beat them up.</w:t>
      </w:r>
      <w:r w:rsidR="00307E31">
        <w:rPr>
          <w:szCs w:val="24"/>
        </w:rPr>
        <w:t xml:space="preserve"> He was later </w:t>
      </w:r>
      <w:r w:rsidR="00686B55">
        <w:rPr>
          <w:szCs w:val="24"/>
        </w:rPr>
        <w:t xml:space="preserve">restrained and </w:t>
      </w:r>
      <w:r w:rsidR="00307E31">
        <w:rPr>
          <w:szCs w:val="24"/>
        </w:rPr>
        <w:t>handcuffed.</w:t>
      </w:r>
      <w:r w:rsidR="00FA0404">
        <w:rPr>
          <w:szCs w:val="24"/>
        </w:rPr>
        <w:t xml:space="preserve"> </w:t>
      </w:r>
      <w:r w:rsidR="00E7287F">
        <w:rPr>
          <w:szCs w:val="24"/>
        </w:rPr>
        <w:t xml:space="preserve"> Upon inspection of the </w:t>
      </w:r>
      <w:r w:rsidR="00307E31">
        <w:rPr>
          <w:szCs w:val="24"/>
        </w:rPr>
        <w:t>Polo</w:t>
      </w:r>
      <w:r w:rsidR="00BE2B9D">
        <w:rPr>
          <w:szCs w:val="24"/>
        </w:rPr>
        <w:t>,</w:t>
      </w:r>
      <w:r w:rsidR="00E7287F">
        <w:rPr>
          <w:szCs w:val="24"/>
        </w:rPr>
        <w:t xml:space="preserve"> the</w:t>
      </w:r>
      <w:r w:rsidR="00307E31">
        <w:rPr>
          <w:szCs w:val="24"/>
        </w:rPr>
        <w:t>y</w:t>
      </w:r>
      <w:r w:rsidR="00E7287F">
        <w:rPr>
          <w:szCs w:val="24"/>
        </w:rPr>
        <w:t xml:space="preserve"> found liquor</w:t>
      </w:r>
      <w:r w:rsidR="00593BD6">
        <w:rPr>
          <w:szCs w:val="24"/>
        </w:rPr>
        <w:t xml:space="preserve"> bottles</w:t>
      </w:r>
      <w:r w:rsidR="00307E31">
        <w:rPr>
          <w:szCs w:val="24"/>
        </w:rPr>
        <w:t xml:space="preserve"> in the car</w:t>
      </w:r>
      <w:r w:rsidR="00E7287F">
        <w:rPr>
          <w:szCs w:val="24"/>
        </w:rPr>
        <w:t xml:space="preserve">. </w:t>
      </w:r>
      <w:r w:rsidR="00307E31">
        <w:rPr>
          <w:szCs w:val="24"/>
        </w:rPr>
        <w:t xml:space="preserve">The police reinforcement arrived </w:t>
      </w:r>
      <w:r w:rsidR="00E7287F">
        <w:rPr>
          <w:szCs w:val="24"/>
        </w:rPr>
        <w:t xml:space="preserve">and arrested the </w:t>
      </w:r>
      <w:r w:rsidR="003A5BC3">
        <w:rPr>
          <w:szCs w:val="24"/>
        </w:rPr>
        <w:t>responden</w:t>
      </w:r>
      <w:r w:rsidR="00E7287F">
        <w:rPr>
          <w:szCs w:val="24"/>
        </w:rPr>
        <w:t>t and took him to a police station</w:t>
      </w:r>
      <w:r w:rsidR="00107020">
        <w:rPr>
          <w:szCs w:val="24"/>
        </w:rPr>
        <w:t>.</w:t>
      </w:r>
    </w:p>
    <w:p w14:paraId="7BC4CFF4" w14:textId="77777777" w:rsidR="00FA0404" w:rsidRDefault="00FA0404" w:rsidP="00E7287F">
      <w:pPr>
        <w:ind w:left="10"/>
        <w:jc w:val="both"/>
        <w:rPr>
          <w:szCs w:val="24"/>
        </w:rPr>
      </w:pPr>
    </w:p>
    <w:p w14:paraId="5E45DE7E" w14:textId="171E8417" w:rsidR="0077787C" w:rsidRDefault="00180FE9" w:rsidP="00E7287F">
      <w:pPr>
        <w:ind w:left="10"/>
        <w:jc w:val="both"/>
        <w:rPr>
          <w:szCs w:val="24"/>
        </w:rPr>
      </w:pPr>
      <w:r>
        <w:rPr>
          <w:szCs w:val="24"/>
        </w:rPr>
        <w:t>[1</w:t>
      </w:r>
      <w:r w:rsidR="00D15A10">
        <w:rPr>
          <w:szCs w:val="24"/>
        </w:rPr>
        <w:t>8</w:t>
      </w:r>
      <w:r>
        <w:rPr>
          <w:szCs w:val="24"/>
        </w:rPr>
        <w:t>]</w:t>
      </w:r>
      <w:r>
        <w:rPr>
          <w:szCs w:val="24"/>
        </w:rPr>
        <w:tab/>
        <w:t xml:space="preserve">Warrant </w:t>
      </w:r>
      <w:r w:rsidR="00444291">
        <w:rPr>
          <w:szCs w:val="24"/>
        </w:rPr>
        <w:t>O</w:t>
      </w:r>
      <w:r>
        <w:rPr>
          <w:szCs w:val="24"/>
        </w:rPr>
        <w:t xml:space="preserve">fficer Emilia </w:t>
      </w:r>
      <w:proofErr w:type="spellStart"/>
      <w:r>
        <w:rPr>
          <w:szCs w:val="24"/>
        </w:rPr>
        <w:t>Nambadi</w:t>
      </w:r>
      <w:proofErr w:type="spellEnd"/>
      <w:r>
        <w:rPr>
          <w:szCs w:val="24"/>
        </w:rPr>
        <w:t xml:space="preserve"> is employed by the Commercial Crime Division: Asset Forfeiture Unit of the Namibian Police. </w:t>
      </w:r>
      <w:r w:rsidR="00FA0404">
        <w:rPr>
          <w:szCs w:val="24"/>
        </w:rPr>
        <w:t xml:space="preserve"> </w:t>
      </w:r>
      <w:r>
        <w:rPr>
          <w:szCs w:val="24"/>
        </w:rPr>
        <w:t>She</w:t>
      </w:r>
      <w:r w:rsidR="00736AA2">
        <w:rPr>
          <w:szCs w:val="24"/>
        </w:rPr>
        <w:t xml:space="preserve"> also</w:t>
      </w:r>
      <w:r>
        <w:rPr>
          <w:szCs w:val="24"/>
        </w:rPr>
        <w:t xml:space="preserve"> deposed to an affidavit.</w:t>
      </w:r>
      <w:r w:rsidR="00FA0404">
        <w:rPr>
          <w:szCs w:val="24"/>
        </w:rPr>
        <w:t xml:space="preserve"> </w:t>
      </w:r>
      <w:r>
        <w:rPr>
          <w:szCs w:val="24"/>
        </w:rPr>
        <w:t xml:space="preserve"> She states</w:t>
      </w:r>
      <w:r w:rsidR="00DA7883">
        <w:rPr>
          <w:szCs w:val="24"/>
        </w:rPr>
        <w:t xml:space="preserve"> that </w:t>
      </w:r>
      <w:r>
        <w:rPr>
          <w:szCs w:val="24"/>
        </w:rPr>
        <w:t>as a result</w:t>
      </w:r>
      <w:r w:rsidR="00055685">
        <w:rPr>
          <w:szCs w:val="24"/>
        </w:rPr>
        <w:t xml:space="preserve"> of </w:t>
      </w:r>
      <w:r>
        <w:rPr>
          <w:szCs w:val="24"/>
        </w:rPr>
        <w:t>the investigati</w:t>
      </w:r>
      <w:r w:rsidR="00677BE5">
        <w:rPr>
          <w:szCs w:val="24"/>
        </w:rPr>
        <w:t>on</w:t>
      </w:r>
      <w:r>
        <w:rPr>
          <w:szCs w:val="24"/>
        </w:rPr>
        <w:t xml:space="preserve"> con</w:t>
      </w:r>
      <w:r w:rsidR="00055685">
        <w:rPr>
          <w:szCs w:val="24"/>
        </w:rPr>
        <w:t>ducted by members of the Namibian P</w:t>
      </w:r>
      <w:r>
        <w:rPr>
          <w:szCs w:val="24"/>
        </w:rPr>
        <w:t xml:space="preserve">olice she </w:t>
      </w:r>
      <w:r w:rsidR="00DA7883">
        <w:rPr>
          <w:szCs w:val="24"/>
        </w:rPr>
        <w:t>believes</w:t>
      </w:r>
      <w:r>
        <w:rPr>
          <w:szCs w:val="24"/>
        </w:rPr>
        <w:t xml:space="preserve"> that the</w:t>
      </w:r>
      <w:r w:rsidR="00055685">
        <w:rPr>
          <w:szCs w:val="24"/>
        </w:rPr>
        <w:t>re is</w:t>
      </w:r>
      <w:r>
        <w:rPr>
          <w:szCs w:val="24"/>
        </w:rPr>
        <w:t xml:space="preserve"> evidence indicating that </w:t>
      </w:r>
      <w:r w:rsidR="00055685">
        <w:rPr>
          <w:szCs w:val="24"/>
        </w:rPr>
        <w:t>the Polo</w:t>
      </w:r>
      <w:r>
        <w:rPr>
          <w:szCs w:val="24"/>
        </w:rPr>
        <w:t xml:space="preserve"> was used as an instrumentality to commit </w:t>
      </w:r>
      <w:r w:rsidR="00A801F7">
        <w:rPr>
          <w:szCs w:val="24"/>
        </w:rPr>
        <w:t xml:space="preserve">the </w:t>
      </w:r>
      <w:r>
        <w:rPr>
          <w:szCs w:val="24"/>
        </w:rPr>
        <w:t xml:space="preserve">offences of kidnapping and rape. </w:t>
      </w:r>
      <w:r w:rsidR="00FA0404">
        <w:rPr>
          <w:szCs w:val="24"/>
        </w:rPr>
        <w:t xml:space="preserve"> </w:t>
      </w:r>
      <w:r>
        <w:rPr>
          <w:szCs w:val="24"/>
        </w:rPr>
        <w:t xml:space="preserve">Warrant </w:t>
      </w:r>
      <w:r w:rsidR="00677BE5">
        <w:rPr>
          <w:szCs w:val="24"/>
        </w:rPr>
        <w:t xml:space="preserve">Officer </w:t>
      </w:r>
      <w:proofErr w:type="spellStart"/>
      <w:r w:rsidR="00055685">
        <w:rPr>
          <w:szCs w:val="24"/>
        </w:rPr>
        <w:t>Nambadi</w:t>
      </w:r>
      <w:proofErr w:type="spellEnd"/>
      <w:r w:rsidR="00055685">
        <w:rPr>
          <w:szCs w:val="24"/>
        </w:rPr>
        <w:t xml:space="preserve"> </w:t>
      </w:r>
      <w:r>
        <w:rPr>
          <w:szCs w:val="24"/>
        </w:rPr>
        <w:t>in essence repeated what has already been stated in the affidavits of the complainant and the security guard</w:t>
      </w:r>
      <w:r w:rsidR="00D5214C">
        <w:rPr>
          <w:szCs w:val="24"/>
        </w:rPr>
        <w:t>,</w:t>
      </w:r>
      <w:r w:rsidR="00055685">
        <w:rPr>
          <w:szCs w:val="24"/>
        </w:rPr>
        <w:t xml:space="preserve"> Mr </w:t>
      </w:r>
      <w:proofErr w:type="spellStart"/>
      <w:r w:rsidR="00055685">
        <w:rPr>
          <w:szCs w:val="24"/>
        </w:rPr>
        <w:t>Nzamene</w:t>
      </w:r>
      <w:proofErr w:type="spellEnd"/>
      <w:r w:rsidR="00677BE5">
        <w:rPr>
          <w:szCs w:val="24"/>
        </w:rPr>
        <w:t>,</w:t>
      </w:r>
      <w:r>
        <w:rPr>
          <w:szCs w:val="24"/>
        </w:rPr>
        <w:t xml:space="preserve"> as well as Constable Michael</w:t>
      </w:r>
      <w:r w:rsidR="00055685">
        <w:rPr>
          <w:szCs w:val="24"/>
        </w:rPr>
        <w:t xml:space="preserve"> </w:t>
      </w:r>
      <w:proofErr w:type="spellStart"/>
      <w:r w:rsidR="00055685">
        <w:rPr>
          <w:szCs w:val="24"/>
        </w:rPr>
        <w:t>Murungu</w:t>
      </w:r>
      <w:proofErr w:type="spellEnd"/>
      <w:r w:rsidR="00055685">
        <w:rPr>
          <w:szCs w:val="24"/>
        </w:rPr>
        <w:t>.</w:t>
      </w:r>
    </w:p>
    <w:p w14:paraId="180D1032" w14:textId="77777777" w:rsidR="00FA0404" w:rsidRDefault="00FA0404" w:rsidP="00E7287F">
      <w:pPr>
        <w:ind w:left="10"/>
        <w:jc w:val="both"/>
        <w:rPr>
          <w:szCs w:val="24"/>
        </w:rPr>
      </w:pPr>
    </w:p>
    <w:p w14:paraId="6BCEE06C" w14:textId="77777777" w:rsidR="00055685" w:rsidRPr="00B73592" w:rsidRDefault="00055685" w:rsidP="00E7287F">
      <w:pPr>
        <w:ind w:left="10"/>
        <w:jc w:val="both"/>
        <w:rPr>
          <w:szCs w:val="24"/>
          <w:u w:val="single"/>
        </w:rPr>
      </w:pPr>
      <w:r w:rsidRPr="00B73592">
        <w:rPr>
          <w:szCs w:val="24"/>
          <w:u w:val="single"/>
        </w:rPr>
        <w:t>Opposition by the respondent</w:t>
      </w:r>
      <w:r w:rsidR="00B73592" w:rsidRPr="00B73592">
        <w:rPr>
          <w:szCs w:val="24"/>
          <w:u w:val="single"/>
        </w:rPr>
        <w:t xml:space="preserve"> to the forfeiture application</w:t>
      </w:r>
    </w:p>
    <w:p w14:paraId="7A848518" w14:textId="77777777" w:rsidR="00055685" w:rsidRDefault="00055685" w:rsidP="00E7287F">
      <w:pPr>
        <w:ind w:left="10"/>
        <w:jc w:val="both"/>
        <w:rPr>
          <w:szCs w:val="24"/>
        </w:rPr>
      </w:pPr>
    </w:p>
    <w:p w14:paraId="48F2DF48" w14:textId="08BE3389" w:rsidR="00055685" w:rsidRDefault="00055685" w:rsidP="00E7287F">
      <w:pPr>
        <w:ind w:left="10"/>
        <w:jc w:val="both"/>
        <w:rPr>
          <w:szCs w:val="24"/>
        </w:rPr>
      </w:pPr>
      <w:r>
        <w:rPr>
          <w:szCs w:val="24"/>
        </w:rPr>
        <w:t>[1</w:t>
      </w:r>
      <w:r w:rsidR="00D15A10">
        <w:rPr>
          <w:szCs w:val="24"/>
        </w:rPr>
        <w:t>9</w:t>
      </w:r>
      <w:r>
        <w:rPr>
          <w:szCs w:val="24"/>
        </w:rPr>
        <w:t>]</w:t>
      </w:r>
      <w:r>
        <w:rPr>
          <w:szCs w:val="24"/>
        </w:rPr>
        <w:tab/>
      </w:r>
      <w:r w:rsidR="0041550D">
        <w:rPr>
          <w:szCs w:val="24"/>
        </w:rPr>
        <w:t>The respondent is opposing the granting of the forfeiture order.</w:t>
      </w:r>
      <w:r w:rsidR="00FA0404">
        <w:rPr>
          <w:szCs w:val="24"/>
        </w:rPr>
        <w:t xml:space="preserve"> </w:t>
      </w:r>
      <w:r w:rsidR="0041550D">
        <w:rPr>
          <w:szCs w:val="24"/>
        </w:rPr>
        <w:t xml:space="preserve"> </w:t>
      </w:r>
      <w:r w:rsidR="00EA7557">
        <w:rPr>
          <w:szCs w:val="24"/>
        </w:rPr>
        <w:t>In his answering affidavit</w:t>
      </w:r>
      <w:r w:rsidR="00FA0404">
        <w:rPr>
          <w:szCs w:val="24"/>
        </w:rPr>
        <w:t>,</w:t>
      </w:r>
      <w:r w:rsidR="00EA7557">
        <w:rPr>
          <w:szCs w:val="24"/>
        </w:rPr>
        <w:t xml:space="preserve"> the respondent </w:t>
      </w:r>
      <w:r w:rsidR="002338A2">
        <w:rPr>
          <w:szCs w:val="24"/>
        </w:rPr>
        <w:t xml:space="preserve">raised two </w:t>
      </w:r>
      <w:r w:rsidR="00EA7557">
        <w:rPr>
          <w:szCs w:val="24"/>
        </w:rPr>
        <w:t>the point</w:t>
      </w:r>
      <w:r w:rsidR="002338A2">
        <w:rPr>
          <w:szCs w:val="24"/>
        </w:rPr>
        <w:t xml:space="preserve">s </w:t>
      </w:r>
      <w:r w:rsidR="002338A2" w:rsidRPr="005655FC">
        <w:rPr>
          <w:i/>
          <w:szCs w:val="24"/>
        </w:rPr>
        <w:t xml:space="preserve">in </w:t>
      </w:r>
      <w:proofErr w:type="spellStart"/>
      <w:r w:rsidR="002338A2" w:rsidRPr="005655FC">
        <w:rPr>
          <w:i/>
          <w:szCs w:val="24"/>
        </w:rPr>
        <w:t>limine</w:t>
      </w:r>
      <w:proofErr w:type="spellEnd"/>
      <w:r w:rsidR="002338A2">
        <w:rPr>
          <w:szCs w:val="24"/>
        </w:rPr>
        <w:t xml:space="preserve">. </w:t>
      </w:r>
      <w:r w:rsidR="00FA0404">
        <w:rPr>
          <w:szCs w:val="24"/>
        </w:rPr>
        <w:t xml:space="preserve"> </w:t>
      </w:r>
      <w:r w:rsidR="002338A2">
        <w:rPr>
          <w:szCs w:val="24"/>
        </w:rPr>
        <w:t>Firstly</w:t>
      </w:r>
      <w:r w:rsidR="00BD4CA5">
        <w:rPr>
          <w:szCs w:val="24"/>
        </w:rPr>
        <w:t>,</w:t>
      </w:r>
      <w:r w:rsidR="002338A2">
        <w:rPr>
          <w:szCs w:val="24"/>
        </w:rPr>
        <w:t xml:space="preserve"> </w:t>
      </w:r>
      <w:r w:rsidR="00EA7557">
        <w:rPr>
          <w:szCs w:val="24"/>
        </w:rPr>
        <w:t xml:space="preserve">that the affidavit by </w:t>
      </w:r>
      <w:r w:rsidR="00EA7557">
        <w:rPr>
          <w:szCs w:val="24"/>
        </w:rPr>
        <w:lastRenderedPageBreak/>
        <w:t xml:space="preserve">Warrant </w:t>
      </w:r>
      <w:proofErr w:type="spellStart"/>
      <w:r w:rsidR="00510DC6" w:rsidRPr="00823B4F">
        <w:rPr>
          <w:szCs w:val="24"/>
        </w:rPr>
        <w:t>Namb</w:t>
      </w:r>
      <w:r w:rsidR="00677BE5" w:rsidRPr="00823B4F">
        <w:rPr>
          <w:szCs w:val="24"/>
        </w:rPr>
        <w:t>a</w:t>
      </w:r>
      <w:r w:rsidR="00510DC6" w:rsidRPr="00823B4F">
        <w:rPr>
          <w:szCs w:val="24"/>
        </w:rPr>
        <w:t>d</w:t>
      </w:r>
      <w:r w:rsidR="00510DC6">
        <w:rPr>
          <w:szCs w:val="24"/>
        </w:rPr>
        <w:t>i</w:t>
      </w:r>
      <w:proofErr w:type="spellEnd"/>
      <w:r w:rsidR="00510DC6">
        <w:rPr>
          <w:szCs w:val="24"/>
        </w:rPr>
        <w:t xml:space="preserve"> </w:t>
      </w:r>
      <w:r w:rsidR="00EA7557">
        <w:rPr>
          <w:szCs w:val="24"/>
        </w:rPr>
        <w:t xml:space="preserve">which is in incorporated in the </w:t>
      </w:r>
      <w:r w:rsidR="0079706A">
        <w:rPr>
          <w:szCs w:val="24"/>
        </w:rPr>
        <w:t>Prosecutor-General</w:t>
      </w:r>
      <w:r w:rsidR="0011217E">
        <w:rPr>
          <w:szCs w:val="24"/>
        </w:rPr>
        <w:t>‘s affidavit</w:t>
      </w:r>
      <w:r w:rsidR="00EA7557">
        <w:rPr>
          <w:szCs w:val="24"/>
        </w:rPr>
        <w:t xml:space="preserve">, does not constitute a proper affidavit in terms of </w:t>
      </w:r>
      <w:r w:rsidR="0011217E">
        <w:rPr>
          <w:szCs w:val="24"/>
        </w:rPr>
        <w:t>t</w:t>
      </w:r>
      <w:r w:rsidR="00EA7557">
        <w:rPr>
          <w:szCs w:val="24"/>
        </w:rPr>
        <w:t>he Regulations Governing the Administering of an Oath or Affirmation.</w:t>
      </w:r>
      <w:r w:rsidR="00300D34">
        <w:rPr>
          <w:szCs w:val="24"/>
        </w:rPr>
        <w:t xml:space="preserve"> </w:t>
      </w:r>
      <w:r w:rsidR="00FA0404">
        <w:rPr>
          <w:szCs w:val="24"/>
        </w:rPr>
        <w:t xml:space="preserve"> </w:t>
      </w:r>
      <w:r w:rsidR="0011217E">
        <w:rPr>
          <w:szCs w:val="24"/>
        </w:rPr>
        <w:t>He points out that the relev</w:t>
      </w:r>
      <w:r w:rsidR="00D15A10">
        <w:rPr>
          <w:szCs w:val="24"/>
        </w:rPr>
        <w:t>ant Regulation is peremptory, in</w:t>
      </w:r>
      <w:r w:rsidR="0011217E">
        <w:rPr>
          <w:szCs w:val="24"/>
        </w:rPr>
        <w:t xml:space="preserve"> that it uses the word</w:t>
      </w:r>
      <w:r w:rsidR="00D15A10">
        <w:rPr>
          <w:szCs w:val="24"/>
        </w:rPr>
        <w:t xml:space="preserve"> “shall” by providing that the C</w:t>
      </w:r>
      <w:r w:rsidR="0011217E">
        <w:rPr>
          <w:szCs w:val="24"/>
        </w:rPr>
        <w:t xml:space="preserve">ommissioner of </w:t>
      </w:r>
      <w:r w:rsidR="00D15A10">
        <w:rPr>
          <w:szCs w:val="24"/>
        </w:rPr>
        <w:t>O</w:t>
      </w:r>
      <w:r w:rsidR="0011217E">
        <w:rPr>
          <w:szCs w:val="24"/>
        </w:rPr>
        <w:t>ath</w:t>
      </w:r>
      <w:r w:rsidR="00677BE5">
        <w:rPr>
          <w:szCs w:val="24"/>
        </w:rPr>
        <w:t>s</w:t>
      </w:r>
      <w:r w:rsidR="0011217E">
        <w:rPr>
          <w:szCs w:val="24"/>
        </w:rPr>
        <w:t xml:space="preserve"> shall state his designation and the area for which he holds his appointment or the office held by him if he holds his office </w:t>
      </w:r>
      <w:r w:rsidR="0011217E" w:rsidRPr="00000C3C">
        <w:rPr>
          <w:i/>
          <w:szCs w:val="24"/>
        </w:rPr>
        <w:t>ex officio</w:t>
      </w:r>
      <w:r w:rsidR="0011217E" w:rsidRPr="00C53750">
        <w:rPr>
          <w:szCs w:val="24"/>
        </w:rPr>
        <w:t>.</w:t>
      </w:r>
      <w:r w:rsidR="00300D34">
        <w:rPr>
          <w:szCs w:val="24"/>
        </w:rPr>
        <w:t xml:space="preserve"> </w:t>
      </w:r>
      <w:r w:rsidR="00FA0404">
        <w:rPr>
          <w:szCs w:val="24"/>
        </w:rPr>
        <w:t xml:space="preserve"> </w:t>
      </w:r>
      <w:r w:rsidR="0011217E">
        <w:rPr>
          <w:szCs w:val="24"/>
        </w:rPr>
        <w:t xml:space="preserve">The respondent </w:t>
      </w:r>
      <w:r w:rsidR="00300D34">
        <w:rPr>
          <w:szCs w:val="24"/>
        </w:rPr>
        <w:t xml:space="preserve">points out </w:t>
      </w:r>
      <w:r w:rsidR="0011217E">
        <w:rPr>
          <w:szCs w:val="24"/>
        </w:rPr>
        <w:t xml:space="preserve">in this regard </w:t>
      </w:r>
      <w:r w:rsidR="00300D34">
        <w:rPr>
          <w:szCs w:val="24"/>
        </w:rPr>
        <w:t>that the</w:t>
      </w:r>
      <w:r w:rsidR="00FA0404">
        <w:rPr>
          <w:szCs w:val="24"/>
        </w:rPr>
        <w:t xml:space="preserve"> Commissioner of Oaths for the </w:t>
      </w:r>
      <w:r w:rsidR="00300D34">
        <w:rPr>
          <w:szCs w:val="24"/>
        </w:rPr>
        <w:t xml:space="preserve">affidavit of Warrant Officer </w:t>
      </w:r>
      <w:proofErr w:type="spellStart"/>
      <w:r w:rsidR="00300D34">
        <w:rPr>
          <w:szCs w:val="24"/>
        </w:rPr>
        <w:t>Nam</w:t>
      </w:r>
      <w:r w:rsidR="00677BE5">
        <w:rPr>
          <w:szCs w:val="24"/>
        </w:rPr>
        <w:t>b</w:t>
      </w:r>
      <w:r w:rsidR="00300D34">
        <w:rPr>
          <w:szCs w:val="24"/>
        </w:rPr>
        <w:t>adi</w:t>
      </w:r>
      <w:proofErr w:type="spellEnd"/>
      <w:r w:rsidR="00300D34">
        <w:rPr>
          <w:szCs w:val="24"/>
        </w:rPr>
        <w:t xml:space="preserve"> merely states a number and some abbreviation as the designation of the Commissioner of Oath</w:t>
      </w:r>
      <w:r w:rsidR="00677BE5">
        <w:rPr>
          <w:szCs w:val="24"/>
        </w:rPr>
        <w:t>s</w:t>
      </w:r>
      <w:r w:rsidR="00300D34">
        <w:rPr>
          <w:szCs w:val="24"/>
        </w:rPr>
        <w:t xml:space="preserve">; that </w:t>
      </w:r>
      <w:r w:rsidR="003F6ED5">
        <w:rPr>
          <w:szCs w:val="24"/>
        </w:rPr>
        <w:t xml:space="preserve">it failed to define the </w:t>
      </w:r>
      <w:r w:rsidR="00F3086E">
        <w:rPr>
          <w:szCs w:val="24"/>
        </w:rPr>
        <w:t>designation of</w:t>
      </w:r>
      <w:r w:rsidR="003F6ED5">
        <w:rPr>
          <w:szCs w:val="24"/>
        </w:rPr>
        <w:t xml:space="preserve"> the </w:t>
      </w:r>
      <w:r w:rsidR="00630592">
        <w:rPr>
          <w:szCs w:val="24"/>
        </w:rPr>
        <w:t>C</w:t>
      </w:r>
      <w:r w:rsidR="003F6ED5">
        <w:rPr>
          <w:szCs w:val="24"/>
        </w:rPr>
        <w:t xml:space="preserve">ommissioner of </w:t>
      </w:r>
      <w:r w:rsidR="00630592">
        <w:rPr>
          <w:szCs w:val="24"/>
        </w:rPr>
        <w:t>O</w:t>
      </w:r>
      <w:r w:rsidR="003F6ED5">
        <w:rPr>
          <w:szCs w:val="24"/>
        </w:rPr>
        <w:t>ath</w:t>
      </w:r>
      <w:r w:rsidR="00677BE5">
        <w:rPr>
          <w:szCs w:val="24"/>
        </w:rPr>
        <w:t>s</w:t>
      </w:r>
      <w:r w:rsidR="00300D34">
        <w:rPr>
          <w:szCs w:val="24"/>
        </w:rPr>
        <w:t>.</w:t>
      </w:r>
      <w:r w:rsidR="00FA0404">
        <w:rPr>
          <w:szCs w:val="24"/>
        </w:rPr>
        <w:t xml:space="preserve"> </w:t>
      </w:r>
      <w:r w:rsidR="00AD7AD7">
        <w:rPr>
          <w:szCs w:val="24"/>
        </w:rPr>
        <w:t xml:space="preserve"> Therefore the </w:t>
      </w:r>
      <w:r w:rsidR="003F6ED5">
        <w:rPr>
          <w:szCs w:val="24"/>
        </w:rPr>
        <w:t xml:space="preserve">affidavit </w:t>
      </w:r>
      <w:r w:rsidR="00F3086E">
        <w:rPr>
          <w:szCs w:val="24"/>
        </w:rPr>
        <w:t>by</w:t>
      </w:r>
      <w:r w:rsidR="003F6ED5">
        <w:rPr>
          <w:szCs w:val="24"/>
        </w:rPr>
        <w:t xml:space="preserve"> Warrant Office </w:t>
      </w:r>
      <w:proofErr w:type="spellStart"/>
      <w:r w:rsidR="003F6ED5">
        <w:rPr>
          <w:szCs w:val="24"/>
        </w:rPr>
        <w:t>Nambadi</w:t>
      </w:r>
      <w:proofErr w:type="spellEnd"/>
      <w:r w:rsidR="003F6ED5">
        <w:rPr>
          <w:szCs w:val="24"/>
        </w:rPr>
        <w:t xml:space="preserve"> does not constitute an</w:t>
      </w:r>
      <w:r w:rsidR="00F3086E">
        <w:rPr>
          <w:szCs w:val="24"/>
        </w:rPr>
        <w:t xml:space="preserve"> </w:t>
      </w:r>
      <w:r w:rsidR="003F6ED5">
        <w:rPr>
          <w:szCs w:val="24"/>
        </w:rPr>
        <w:t>affidavit in terms of the law; th</w:t>
      </w:r>
      <w:r w:rsidR="00677BE5">
        <w:rPr>
          <w:szCs w:val="24"/>
        </w:rPr>
        <w:t>us</w:t>
      </w:r>
      <w:r w:rsidR="003F6ED5">
        <w:rPr>
          <w:szCs w:val="24"/>
        </w:rPr>
        <w:t xml:space="preserve"> it is not a </w:t>
      </w:r>
      <w:r w:rsidR="00F3086E">
        <w:rPr>
          <w:szCs w:val="24"/>
        </w:rPr>
        <w:t>valid</w:t>
      </w:r>
      <w:r w:rsidR="005655FC">
        <w:rPr>
          <w:szCs w:val="24"/>
        </w:rPr>
        <w:t xml:space="preserve"> affidavit. </w:t>
      </w:r>
      <w:r w:rsidR="00FA0404">
        <w:rPr>
          <w:szCs w:val="24"/>
        </w:rPr>
        <w:t xml:space="preserve"> </w:t>
      </w:r>
      <w:r w:rsidR="00F3086E">
        <w:rPr>
          <w:szCs w:val="24"/>
        </w:rPr>
        <w:t>The respondent continues to assert that</w:t>
      </w:r>
      <w:r w:rsidR="003F6ED5">
        <w:rPr>
          <w:szCs w:val="24"/>
        </w:rPr>
        <w:t xml:space="preserve"> the said affidavit and the annexures attached thereto constitute hearsay evidence</w:t>
      </w:r>
      <w:r w:rsidR="00F3086E">
        <w:rPr>
          <w:szCs w:val="24"/>
        </w:rPr>
        <w:t xml:space="preserve"> </w:t>
      </w:r>
      <w:r w:rsidR="003F6ED5">
        <w:rPr>
          <w:szCs w:val="24"/>
        </w:rPr>
        <w:t>and thus the applicant has not place</w:t>
      </w:r>
      <w:r w:rsidR="00677BE5">
        <w:rPr>
          <w:szCs w:val="24"/>
        </w:rPr>
        <w:t>d</w:t>
      </w:r>
      <w:r w:rsidR="003F6ED5">
        <w:rPr>
          <w:szCs w:val="24"/>
        </w:rPr>
        <w:t xml:space="preserve"> facts before court to </w:t>
      </w:r>
      <w:r w:rsidR="00F3086E">
        <w:rPr>
          <w:szCs w:val="24"/>
        </w:rPr>
        <w:t>satisfy</w:t>
      </w:r>
      <w:r w:rsidR="003F6ED5">
        <w:rPr>
          <w:szCs w:val="24"/>
        </w:rPr>
        <w:t xml:space="preserve"> the court</w:t>
      </w:r>
      <w:r w:rsidR="00F3086E">
        <w:rPr>
          <w:szCs w:val="24"/>
        </w:rPr>
        <w:t xml:space="preserve"> </w:t>
      </w:r>
      <w:r w:rsidR="003F6ED5">
        <w:rPr>
          <w:szCs w:val="24"/>
        </w:rPr>
        <w:t>on</w:t>
      </w:r>
      <w:r w:rsidR="00D5214C">
        <w:rPr>
          <w:szCs w:val="24"/>
        </w:rPr>
        <w:t xml:space="preserve"> the</w:t>
      </w:r>
      <w:r w:rsidR="003F6ED5">
        <w:rPr>
          <w:szCs w:val="24"/>
        </w:rPr>
        <w:t xml:space="preserve"> balance of probabilities that the property is an instrumentality of the alleged offences</w:t>
      </w:r>
      <w:r w:rsidR="0011217E">
        <w:rPr>
          <w:szCs w:val="24"/>
        </w:rPr>
        <w:t>.</w:t>
      </w:r>
    </w:p>
    <w:p w14:paraId="286CA6D9" w14:textId="77777777" w:rsidR="002338A2" w:rsidRDefault="002338A2" w:rsidP="00E7287F">
      <w:pPr>
        <w:ind w:left="10"/>
        <w:jc w:val="both"/>
        <w:rPr>
          <w:szCs w:val="24"/>
        </w:rPr>
      </w:pPr>
    </w:p>
    <w:p w14:paraId="6B499691" w14:textId="77777777" w:rsidR="002338A2" w:rsidRDefault="00D15544" w:rsidP="00E7287F">
      <w:pPr>
        <w:ind w:left="10"/>
        <w:jc w:val="both"/>
        <w:rPr>
          <w:szCs w:val="24"/>
        </w:rPr>
      </w:pPr>
      <w:r>
        <w:rPr>
          <w:szCs w:val="24"/>
        </w:rPr>
        <w:t>[20]</w:t>
      </w:r>
      <w:r>
        <w:rPr>
          <w:szCs w:val="24"/>
        </w:rPr>
        <w:tab/>
      </w:r>
      <w:r w:rsidR="002338A2">
        <w:rPr>
          <w:szCs w:val="24"/>
        </w:rPr>
        <w:t xml:space="preserve">The second point </w:t>
      </w:r>
      <w:r w:rsidR="002338A2" w:rsidRPr="008B15A5">
        <w:rPr>
          <w:i/>
          <w:szCs w:val="24"/>
        </w:rPr>
        <w:t xml:space="preserve">in </w:t>
      </w:r>
      <w:proofErr w:type="spellStart"/>
      <w:r w:rsidR="002338A2" w:rsidRPr="008B15A5">
        <w:rPr>
          <w:i/>
          <w:szCs w:val="24"/>
        </w:rPr>
        <w:t>limine</w:t>
      </w:r>
      <w:proofErr w:type="spellEnd"/>
      <w:r w:rsidR="002338A2">
        <w:rPr>
          <w:szCs w:val="24"/>
        </w:rPr>
        <w:t xml:space="preserve"> concerns the alleged failure by the applicant to comply with the peremptory provision of </w:t>
      </w:r>
      <w:r w:rsidR="00AE0400">
        <w:rPr>
          <w:szCs w:val="24"/>
        </w:rPr>
        <w:t>R</w:t>
      </w:r>
      <w:r w:rsidR="002338A2">
        <w:rPr>
          <w:szCs w:val="24"/>
        </w:rPr>
        <w:t xml:space="preserve">ule 131(1) (h) </w:t>
      </w:r>
      <w:r w:rsidR="00AE0400">
        <w:rPr>
          <w:szCs w:val="24"/>
        </w:rPr>
        <w:t xml:space="preserve">of the Rules of this Court </w:t>
      </w:r>
      <w:r w:rsidR="002338A2">
        <w:rPr>
          <w:szCs w:val="24"/>
        </w:rPr>
        <w:t xml:space="preserve">which provides that </w:t>
      </w:r>
      <w:r>
        <w:rPr>
          <w:szCs w:val="24"/>
        </w:rPr>
        <w:t xml:space="preserve">all typed pleadings, notices and other court documents must contain page numbers which must be at the </w:t>
      </w:r>
      <w:r w:rsidR="000A3543">
        <w:rPr>
          <w:szCs w:val="24"/>
        </w:rPr>
        <w:t xml:space="preserve">top </w:t>
      </w:r>
      <w:r>
        <w:rPr>
          <w:szCs w:val="24"/>
        </w:rPr>
        <w:t>right hand side of the page. The respondent asserts that the applicant’s pleadings have not been numbered</w:t>
      </w:r>
      <w:r w:rsidR="00E016A4">
        <w:rPr>
          <w:szCs w:val="24"/>
        </w:rPr>
        <w:t xml:space="preserve"> in compliance with the said Rule</w:t>
      </w:r>
      <w:r>
        <w:rPr>
          <w:szCs w:val="24"/>
        </w:rPr>
        <w:t>.</w:t>
      </w:r>
    </w:p>
    <w:p w14:paraId="01221A50" w14:textId="77777777" w:rsidR="0011217E" w:rsidRDefault="0011217E" w:rsidP="00E7287F">
      <w:pPr>
        <w:ind w:left="10"/>
        <w:jc w:val="both"/>
        <w:rPr>
          <w:szCs w:val="24"/>
        </w:rPr>
      </w:pPr>
    </w:p>
    <w:p w14:paraId="14581641" w14:textId="351BF01B" w:rsidR="0011217E" w:rsidRDefault="00573BC2" w:rsidP="00E7287F">
      <w:pPr>
        <w:ind w:left="10"/>
        <w:jc w:val="both"/>
        <w:rPr>
          <w:szCs w:val="24"/>
        </w:rPr>
      </w:pPr>
      <w:r>
        <w:rPr>
          <w:szCs w:val="24"/>
        </w:rPr>
        <w:t>[</w:t>
      </w:r>
      <w:r w:rsidR="00D15544">
        <w:rPr>
          <w:szCs w:val="24"/>
        </w:rPr>
        <w:t>2</w:t>
      </w:r>
      <w:r>
        <w:rPr>
          <w:szCs w:val="24"/>
        </w:rPr>
        <w:t>1</w:t>
      </w:r>
      <w:r w:rsidR="00D334C5">
        <w:rPr>
          <w:szCs w:val="24"/>
        </w:rPr>
        <w:t>]</w:t>
      </w:r>
      <w:r w:rsidR="00D334C5">
        <w:rPr>
          <w:szCs w:val="24"/>
        </w:rPr>
        <w:tab/>
        <w:t>R</w:t>
      </w:r>
      <w:r>
        <w:rPr>
          <w:szCs w:val="24"/>
        </w:rPr>
        <w:t>egarding the</w:t>
      </w:r>
      <w:r w:rsidR="00D334C5">
        <w:rPr>
          <w:szCs w:val="24"/>
        </w:rPr>
        <w:t xml:space="preserve"> merit</w:t>
      </w:r>
      <w:r w:rsidR="00D15544">
        <w:rPr>
          <w:szCs w:val="24"/>
        </w:rPr>
        <w:t>s</w:t>
      </w:r>
      <w:r w:rsidR="00922891">
        <w:rPr>
          <w:szCs w:val="24"/>
        </w:rPr>
        <w:t>,</w:t>
      </w:r>
      <w:r>
        <w:rPr>
          <w:szCs w:val="24"/>
        </w:rPr>
        <w:t xml:space="preserve"> the respondent denies that he ever stopped next to the road and offer</w:t>
      </w:r>
      <w:r w:rsidR="00677BE5">
        <w:rPr>
          <w:szCs w:val="24"/>
        </w:rPr>
        <w:t>ed</w:t>
      </w:r>
      <w:r>
        <w:rPr>
          <w:szCs w:val="24"/>
        </w:rPr>
        <w:t xml:space="preserve"> the complainant a lift </w:t>
      </w:r>
      <w:r w:rsidR="00D334C5">
        <w:rPr>
          <w:szCs w:val="24"/>
        </w:rPr>
        <w:t>to town</w:t>
      </w:r>
      <w:r w:rsidR="007A6F40">
        <w:rPr>
          <w:szCs w:val="24"/>
        </w:rPr>
        <w:t xml:space="preserve">. </w:t>
      </w:r>
      <w:r w:rsidR="00FA0404">
        <w:rPr>
          <w:szCs w:val="24"/>
        </w:rPr>
        <w:t xml:space="preserve"> </w:t>
      </w:r>
      <w:r>
        <w:rPr>
          <w:szCs w:val="24"/>
        </w:rPr>
        <w:t xml:space="preserve">According </w:t>
      </w:r>
      <w:r w:rsidR="00F8376E">
        <w:rPr>
          <w:szCs w:val="24"/>
        </w:rPr>
        <w:t xml:space="preserve">to him, </w:t>
      </w:r>
      <w:r>
        <w:rPr>
          <w:szCs w:val="24"/>
        </w:rPr>
        <w:t>what he remember</w:t>
      </w:r>
      <w:r w:rsidR="00D5214C">
        <w:rPr>
          <w:szCs w:val="24"/>
        </w:rPr>
        <w:t>s</w:t>
      </w:r>
      <w:r>
        <w:rPr>
          <w:szCs w:val="24"/>
        </w:rPr>
        <w:t xml:space="preserve"> is that he stop</w:t>
      </w:r>
      <w:r w:rsidR="00D334C5">
        <w:rPr>
          <w:szCs w:val="24"/>
        </w:rPr>
        <w:t>ped</w:t>
      </w:r>
      <w:r>
        <w:rPr>
          <w:szCs w:val="24"/>
        </w:rPr>
        <w:t xml:space="preserve"> the vehicle at </w:t>
      </w:r>
      <w:r w:rsidR="00D334C5">
        <w:rPr>
          <w:szCs w:val="24"/>
        </w:rPr>
        <w:t>a certain</w:t>
      </w:r>
      <w:r>
        <w:rPr>
          <w:szCs w:val="24"/>
        </w:rPr>
        <w:t xml:space="preserve"> four-way stop</w:t>
      </w:r>
      <w:r w:rsidR="00D334C5">
        <w:rPr>
          <w:szCs w:val="24"/>
        </w:rPr>
        <w:t xml:space="preserve"> intersection</w:t>
      </w:r>
      <w:r w:rsidR="00677BE5">
        <w:rPr>
          <w:szCs w:val="24"/>
        </w:rPr>
        <w:t>,</w:t>
      </w:r>
      <w:r>
        <w:rPr>
          <w:szCs w:val="24"/>
        </w:rPr>
        <w:t xml:space="preserve"> whereupon the complainant c</w:t>
      </w:r>
      <w:r w:rsidR="00D334C5">
        <w:rPr>
          <w:szCs w:val="24"/>
        </w:rPr>
        <w:t>ame</w:t>
      </w:r>
      <w:r w:rsidR="00FA0404">
        <w:rPr>
          <w:szCs w:val="24"/>
        </w:rPr>
        <w:t xml:space="preserve"> near the car</w:t>
      </w:r>
      <w:r>
        <w:rPr>
          <w:szCs w:val="24"/>
        </w:rPr>
        <w:t xml:space="preserve"> and asked him </w:t>
      </w:r>
      <w:r w:rsidR="00D334C5">
        <w:rPr>
          <w:szCs w:val="24"/>
        </w:rPr>
        <w:t>where they w</w:t>
      </w:r>
      <w:r>
        <w:rPr>
          <w:szCs w:val="24"/>
        </w:rPr>
        <w:t xml:space="preserve">ere </w:t>
      </w:r>
      <w:r w:rsidR="00D334C5">
        <w:rPr>
          <w:szCs w:val="24"/>
        </w:rPr>
        <w:t>heading to</w:t>
      </w:r>
      <w:r>
        <w:rPr>
          <w:szCs w:val="24"/>
        </w:rPr>
        <w:t>; that he informed her that they were driving to town whereupon she said sh</w:t>
      </w:r>
      <w:r w:rsidR="008B15A5">
        <w:rPr>
          <w:szCs w:val="24"/>
        </w:rPr>
        <w:t xml:space="preserve">e was also on her way to town. </w:t>
      </w:r>
      <w:r w:rsidR="00FA0404">
        <w:rPr>
          <w:szCs w:val="24"/>
        </w:rPr>
        <w:t xml:space="preserve"> </w:t>
      </w:r>
      <w:r>
        <w:rPr>
          <w:szCs w:val="24"/>
        </w:rPr>
        <w:t xml:space="preserve">The respondent then informed </w:t>
      </w:r>
      <w:r w:rsidR="00D334C5">
        <w:rPr>
          <w:szCs w:val="24"/>
        </w:rPr>
        <w:t>her</w:t>
      </w:r>
      <w:r>
        <w:rPr>
          <w:szCs w:val="24"/>
        </w:rPr>
        <w:t xml:space="preserve"> that he would</w:t>
      </w:r>
      <w:r w:rsidR="00D334C5">
        <w:rPr>
          <w:szCs w:val="24"/>
        </w:rPr>
        <w:t xml:space="preserve"> not</w:t>
      </w:r>
      <w:r>
        <w:rPr>
          <w:szCs w:val="24"/>
        </w:rPr>
        <w:t xml:space="preserve"> mind dropping </w:t>
      </w:r>
      <w:r w:rsidR="00D334C5">
        <w:rPr>
          <w:szCs w:val="24"/>
        </w:rPr>
        <w:t>her</w:t>
      </w:r>
      <w:r>
        <w:rPr>
          <w:szCs w:val="24"/>
        </w:rPr>
        <w:t xml:space="preserve"> off some</w:t>
      </w:r>
      <w:r w:rsidR="00D334C5">
        <w:rPr>
          <w:szCs w:val="24"/>
        </w:rPr>
        <w:t>where</w:t>
      </w:r>
      <w:r>
        <w:rPr>
          <w:szCs w:val="24"/>
        </w:rPr>
        <w:t xml:space="preserve"> in town near the area where she was </w:t>
      </w:r>
      <w:r w:rsidR="00304F09">
        <w:rPr>
          <w:szCs w:val="24"/>
        </w:rPr>
        <w:t>going</w:t>
      </w:r>
      <w:r w:rsidR="0037452F">
        <w:rPr>
          <w:szCs w:val="24"/>
        </w:rPr>
        <w:t xml:space="preserve">. </w:t>
      </w:r>
      <w:r w:rsidR="00FA0404">
        <w:rPr>
          <w:szCs w:val="24"/>
        </w:rPr>
        <w:t xml:space="preserve"> </w:t>
      </w:r>
      <w:r w:rsidR="0037452F">
        <w:rPr>
          <w:szCs w:val="24"/>
        </w:rPr>
        <w:t>T</w:t>
      </w:r>
      <w:r>
        <w:rPr>
          <w:szCs w:val="24"/>
        </w:rPr>
        <w:t xml:space="preserve">he complainant </w:t>
      </w:r>
      <w:r w:rsidR="0037452F">
        <w:rPr>
          <w:szCs w:val="24"/>
        </w:rPr>
        <w:t xml:space="preserve">then </w:t>
      </w:r>
      <w:r>
        <w:rPr>
          <w:szCs w:val="24"/>
        </w:rPr>
        <w:t>got into the car and the respondent drove towards town</w:t>
      </w:r>
      <w:r w:rsidR="00677BE5">
        <w:rPr>
          <w:szCs w:val="24"/>
        </w:rPr>
        <w:t>,</w:t>
      </w:r>
      <w:r>
        <w:rPr>
          <w:szCs w:val="24"/>
        </w:rPr>
        <w:t xml:space="preserve"> which was his initial destination. The respondent state</w:t>
      </w:r>
      <w:r w:rsidR="00FA0404">
        <w:rPr>
          <w:szCs w:val="24"/>
        </w:rPr>
        <w:t>s</w:t>
      </w:r>
      <w:r>
        <w:rPr>
          <w:szCs w:val="24"/>
        </w:rPr>
        <w:t xml:space="preserve"> that he cannot remember all the details of the route they took on their way to town because he was intoxicated.</w:t>
      </w:r>
    </w:p>
    <w:p w14:paraId="44677C20" w14:textId="77777777" w:rsidR="00FA0404" w:rsidRDefault="00FA0404" w:rsidP="00E7287F">
      <w:pPr>
        <w:ind w:left="10"/>
        <w:jc w:val="both"/>
        <w:rPr>
          <w:szCs w:val="24"/>
        </w:rPr>
      </w:pPr>
    </w:p>
    <w:p w14:paraId="3261C2A9" w14:textId="46AD60BF" w:rsidR="00DA64A1" w:rsidRDefault="00304F09" w:rsidP="00E7287F">
      <w:pPr>
        <w:ind w:left="10"/>
        <w:jc w:val="both"/>
        <w:rPr>
          <w:szCs w:val="24"/>
        </w:rPr>
      </w:pPr>
      <w:r>
        <w:rPr>
          <w:szCs w:val="24"/>
        </w:rPr>
        <w:t>[2</w:t>
      </w:r>
      <w:r w:rsidR="00D15544">
        <w:rPr>
          <w:szCs w:val="24"/>
        </w:rPr>
        <w:t>2</w:t>
      </w:r>
      <w:r>
        <w:rPr>
          <w:szCs w:val="24"/>
        </w:rPr>
        <w:t>]</w:t>
      </w:r>
      <w:r>
        <w:rPr>
          <w:szCs w:val="24"/>
        </w:rPr>
        <w:tab/>
        <w:t>The</w:t>
      </w:r>
      <w:r w:rsidR="00573BC2">
        <w:rPr>
          <w:szCs w:val="24"/>
        </w:rPr>
        <w:t xml:space="preserve"> respondent </w:t>
      </w:r>
      <w:r>
        <w:rPr>
          <w:szCs w:val="24"/>
        </w:rPr>
        <w:t xml:space="preserve">recalls that </w:t>
      </w:r>
      <w:r w:rsidR="00573BC2">
        <w:rPr>
          <w:szCs w:val="24"/>
        </w:rPr>
        <w:t xml:space="preserve">on the </w:t>
      </w:r>
      <w:r>
        <w:rPr>
          <w:szCs w:val="24"/>
        </w:rPr>
        <w:t>way to town</w:t>
      </w:r>
      <w:r w:rsidR="00573BC2">
        <w:rPr>
          <w:szCs w:val="24"/>
        </w:rPr>
        <w:t xml:space="preserve"> near D</w:t>
      </w:r>
      <w:r>
        <w:rPr>
          <w:szCs w:val="24"/>
        </w:rPr>
        <w:t>orado Valley C</w:t>
      </w:r>
      <w:r w:rsidR="00573BC2">
        <w:rPr>
          <w:szCs w:val="24"/>
        </w:rPr>
        <w:t xml:space="preserve">omplex, in the Dorado Park </w:t>
      </w:r>
      <w:r w:rsidR="00BD21AC">
        <w:rPr>
          <w:szCs w:val="24"/>
        </w:rPr>
        <w:t>area, the</w:t>
      </w:r>
      <w:r w:rsidR="00573BC2">
        <w:rPr>
          <w:szCs w:val="24"/>
        </w:rPr>
        <w:t xml:space="preserve"> complainant informed him that she would rather go and meet someone coming from </w:t>
      </w:r>
      <w:proofErr w:type="spellStart"/>
      <w:r>
        <w:rPr>
          <w:szCs w:val="24"/>
        </w:rPr>
        <w:t>Okahandja</w:t>
      </w:r>
      <w:proofErr w:type="spellEnd"/>
      <w:r>
        <w:rPr>
          <w:szCs w:val="24"/>
        </w:rPr>
        <w:t xml:space="preserve"> and asked him to</w:t>
      </w:r>
      <w:r w:rsidR="00573BC2">
        <w:rPr>
          <w:szCs w:val="24"/>
        </w:rPr>
        <w:t xml:space="preserve"> rather</w:t>
      </w:r>
      <w:r>
        <w:rPr>
          <w:szCs w:val="24"/>
        </w:rPr>
        <w:t xml:space="preserve"> drop her</w:t>
      </w:r>
      <w:r w:rsidR="00573BC2">
        <w:rPr>
          <w:szCs w:val="24"/>
        </w:rPr>
        <w:t xml:space="preserve"> off near the</w:t>
      </w:r>
      <w:r>
        <w:rPr>
          <w:szCs w:val="24"/>
        </w:rPr>
        <w:t xml:space="preserve"> </w:t>
      </w:r>
      <w:proofErr w:type="spellStart"/>
      <w:r>
        <w:rPr>
          <w:szCs w:val="24"/>
        </w:rPr>
        <w:t>Okahandja</w:t>
      </w:r>
      <w:proofErr w:type="spellEnd"/>
      <w:r>
        <w:rPr>
          <w:szCs w:val="24"/>
        </w:rPr>
        <w:t xml:space="preserve"> </w:t>
      </w:r>
      <w:r w:rsidR="00573BC2">
        <w:rPr>
          <w:szCs w:val="24"/>
        </w:rPr>
        <w:t>hikes</w:t>
      </w:r>
      <w:r>
        <w:rPr>
          <w:szCs w:val="24"/>
        </w:rPr>
        <w:t xml:space="preserve"> spot</w:t>
      </w:r>
      <w:r w:rsidR="00573BC2">
        <w:rPr>
          <w:szCs w:val="24"/>
        </w:rPr>
        <w:t xml:space="preserve"> </w:t>
      </w:r>
      <w:r w:rsidR="001339D1">
        <w:rPr>
          <w:szCs w:val="24"/>
        </w:rPr>
        <w:t>in order</w:t>
      </w:r>
      <w:r w:rsidR="00573BC2">
        <w:rPr>
          <w:szCs w:val="24"/>
        </w:rPr>
        <w:t xml:space="preserve"> for her to meet the person</w:t>
      </w:r>
      <w:r>
        <w:rPr>
          <w:szCs w:val="24"/>
        </w:rPr>
        <w:t xml:space="preserve"> at </w:t>
      </w:r>
      <w:r w:rsidR="00573BC2">
        <w:rPr>
          <w:szCs w:val="24"/>
        </w:rPr>
        <w:t xml:space="preserve">that </w:t>
      </w:r>
      <w:r>
        <w:rPr>
          <w:szCs w:val="24"/>
        </w:rPr>
        <w:t>hike spot</w:t>
      </w:r>
      <w:r w:rsidR="00573BC2">
        <w:rPr>
          <w:szCs w:val="24"/>
        </w:rPr>
        <w:t xml:space="preserve">. </w:t>
      </w:r>
      <w:r w:rsidR="00FA0404">
        <w:rPr>
          <w:szCs w:val="24"/>
        </w:rPr>
        <w:t xml:space="preserve"> </w:t>
      </w:r>
      <w:r w:rsidR="00573BC2">
        <w:rPr>
          <w:szCs w:val="24"/>
        </w:rPr>
        <w:t xml:space="preserve">He informed her that he could drop her </w:t>
      </w:r>
      <w:r>
        <w:rPr>
          <w:szCs w:val="24"/>
        </w:rPr>
        <w:t xml:space="preserve">at the hike spot </w:t>
      </w:r>
      <w:r w:rsidR="00677BE5">
        <w:rPr>
          <w:szCs w:val="24"/>
        </w:rPr>
        <w:t xml:space="preserve">and </w:t>
      </w:r>
      <w:r>
        <w:rPr>
          <w:szCs w:val="24"/>
        </w:rPr>
        <w:t xml:space="preserve">from </w:t>
      </w:r>
      <w:r w:rsidR="001339D1">
        <w:rPr>
          <w:szCs w:val="24"/>
        </w:rPr>
        <w:t>t</w:t>
      </w:r>
      <w:r>
        <w:rPr>
          <w:szCs w:val="24"/>
        </w:rPr>
        <w:t>here he</w:t>
      </w:r>
      <w:r w:rsidR="00573BC2">
        <w:rPr>
          <w:szCs w:val="24"/>
        </w:rPr>
        <w:t xml:space="preserve"> </w:t>
      </w:r>
      <w:r w:rsidR="001339D1">
        <w:rPr>
          <w:szCs w:val="24"/>
        </w:rPr>
        <w:t>would</w:t>
      </w:r>
      <w:r w:rsidR="00573BC2">
        <w:rPr>
          <w:szCs w:val="24"/>
        </w:rPr>
        <w:t xml:space="preserve"> drive further to town</w:t>
      </w:r>
      <w:r>
        <w:rPr>
          <w:szCs w:val="24"/>
        </w:rPr>
        <w:t xml:space="preserve">; and that in doing so he </w:t>
      </w:r>
      <w:r w:rsidR="00573BC2">
        <w:rPr>
          <w:szCs w:val="24"/>
        </w:rPr>
        <w:t xml:space="preserve">would simply </w:t>
      </w:r>
      <w:r w:rsidR="00513F5E">
        <w:rPr>
          <w:szCs w:val="24"/>
        </w:rPr>
        <w:t>us</w:t>
      </w:r>
      <w:r w:rsidR="00677BE5">
        <w:rPr>
          <w:szCs w:val="24"/>
        </w:rPr>
        <w:t>e</w:t>
      </w:r>
      <w:r w:rsidR="00573BC2">
        <w:rPr>
          <w:szCs w:val="24"/>
        </w:rPr>
        <w:t xml:space="preserve"> the highway </w:t>
      </w:r>
      <w:r w:rsidR="00677BE5">
        <w:rPr>
          <w:szCs w:val="24"/>
        </w:rPr>
        <w:t xml:space="preserve">to drive </w:t>
      </w:r>
      <w:r w:rsidR="00573BC2">
        <w:rPr>
          <w:szCs w:val="24"/>
        </w:rPr>
        <w:t xml:space="preserve">to town. He then decided to take the </w:t>
      </w:r>
      <w:r w:rsidR="001339D1">
        <w:rPr>
          <w:szCs w:val="24"/>
        </w:rPr>
        <w:t xml:space="preserve">tarred </w:t>
      </w:r>
      <w:r w:rsidR="00573BC2">
        <w:rPr>
          <w:szCs w:val="24"/>
        </w:rPr>
        <w:t>roa</w:t>
      </w:r>
      <w:r>
        <w:rPr>
          <w:szCs w:val="24"/>
        </w:rPr>
        <w:t>d between C</w:t>
      </w:r>
      <w:r w:rsidR="00573BC2">
        <w:rPr>
          <w:szCs w:val="24"/>
        </w:rPr>
        <w:t xml:space="preserve">entral </w:t>
      </w:r>
      <w:r w:rsidR="00677BE5">
        <w:rPr>
          <w:szCs w:val="24"/>
        </w:rPr>
        <w:t xml:space="preserve">Hospital </w:t>
      </w:r>
      <w:r w:rsidR="00573BC2">
        <w:rPr>
          <w:szCs w:val="24"/>
        </w:rPr>
        <w:t xml:space="preserve">and </w:t>
      </w:r>
      <w:proofErr w:type="spellStart"/>
      <w:r>
        <w:rPr>
          <w:szCs w:val="24"/>
        </w:rPr>
        <w:t>Katutura</w:t>
      </w:r>
      <w:proofErr w:type="spellEnd"/>
      <w:r w:rsidR="00573BC2">
        <w:rPr>
          <w:szCs w:val="24"/>
        </w:rPr>
        <w:t xml:space="preserve"> </w:t>
      </w:r>
      <w:r w:rsidR="00677BE5">
        <w:rPr>
          <w:szCs w:val="24"/>
        </w:rPr>
        <w:t>H</w:t>
      </w:r>
      <w:r w:rsidR="00573BC2">
        <w:rPr>
          <w:szCs w:val="24"/>
        </w:rPr>
        <w:t>ospital</w:t>
      </w:r>
      <w:r w:rsidR="00677BE5">
        <w:rPr>
          <w:szCs w:val="24"/>
        </w:rPr>
        <w:t>,</w:t>
      </w:r>
      <w:r w:rsidR="00573BC2">
        <w:rPr>
          <w:szCs w:val="24"/>
        </w:rPr>
        <w:t xml:space="preserve"> with </w:t>
      </w:r>
      <w:r w:rsidR="00677BE5">
        <w:rPr>
          <w:szCs w:val="24"/>
        </w:rPr>
        <w:t>the</w:t>
      </w:r>
      <w:r w:rsidR="00573BC2">
        <w:rPr>
          <w:szCs w:val="24"/>
        </w:rPr>
        <w:t xml:space="preserve"> inten</w:t>
      </w:r>
      <w:r>
        <w:rPr>
          <w:szCs w:val="24"/>
        </w:rPr>
        <w:t>tion</w:t>
      </w:r>
      <w:r w:rsidR="00573BC2">
        <w:rPr>
          <w:szCs w:val="24"/>
        </w:rPr>
        <w:t xml:space="preserve"> to </w:t>
      </w:r>
      <w:r>
        <w:rPr>
          <w:szCs w:val="24"/>
        </w:rPr>
        <w:t>exit</w:t>
      </w:r>
      <w:r w:rsidR="00BD21AC">
        <w:rPr>
          <w:szCs w:val="24"/>
        </w:rPr>
        <w:t xml:space="preserve"> from </w:t>
      </w:r>
      <w:proofErr w:type="spellStart"/>
      <w:r w:rsidR="00BD21AC">
        <w:rPr>
          <w:szCs w:val="24"/>
        </w:rPr>
        <w:t>Katutura</w:t>
      </w:r>
      <w:proofErr w:type="spellEnd"/>
      <w:r w:rsidR="00BD21AC">
        <w:rPr>
          <w:szCs w:val="24"/>
        </w:rPr>
        <w:t xml:space="preserve"> Hospital and then drop the complainant at </w:t>
      </w:r>
      <w:r w:rsidR="00677BE5">
        <w:rPr>
          <w:szCs w:val="24"/>
        </w:rPr>
        <w:t xml:space="preserve">the </w:t>
      </w:r>
      <w:proofErr w:type="spellStart"/>
      <w:r w:rsidR="00BD21AC">
        <w:rPr>
          <w:szCs w:val="24"/>
        </w:rPr>
        <w:t>Okahandja</w:t>
      </w:r>
      <w:proofErr w:type="spellEnd"/>
      <w:r w:rsidR="00BD21AC">
        <w:rPr>
          <w:szCs w:val="24"/>
        </w:rPr>
        <w:t xml:space="preserve"> hike spot</w:t>
      </w:r>
      <w:r w:rsidR="00284C04">
        <w:rPr>
          <w:szCs w:val="24"/>
        </w:rPr>
        <w:t>.</w:t>
      </w:r>
      <w:r w:rsidR="00573BC2">
        <w:rPr>
          <w:szCs w:val="24"/>
        </w:rPr>
        <w:t xml:space="preserve"> </w:t>
      </w:r>
      <w:r w:rsidR="00DA64A1">
        <w:rPr>
          <w:szCs w:val="24"/>
        </w:rPr>
        <w:t xml:space="preserve">It is the </w:t>
      </w:r>
      <w:r w:rsidR="00573BC2">
        <w:rPr>
          <w:szCs w:val="24"/>
        </w:rPr>
        <w:t>respondent</w:t>
      </w:r>
      <w:r w:rsidR="00D5214C">
        <w:rPr>
          <w:szCs w:val="24"/>
        </w:rPr>
        <w:t>’s</w:t>
      </w:r>
      <w:r w:rsidR="00573BC2">
        <w:rPr>
          <w:szCs w:val="24"/>
        </w:rPr>
        <w:t xml:space="preserve"> </w:t>
      </w:r>
      <w:r w:rsidR="00DA64A1">
        <w:rPr>
          <w:szCs w:val="24"/>
        </w:rPr>
        <w:t xml:space="preserve">case that throughout that time the complainant </w:t>
      </w:r>
      <w:r w:rsidR="00573BC2">
        <w:rPr>
          <w:szCs w:val="24"/>
        </w:rPr>
        <w:t>never ask</w:t>
      </w:r>
      <w:r w:rsidR="00677BE5">
        <w:rPr>
          <w:szCs w:val="24"/>
        </w:rPr>
        <w:t>ed</w:t>
      </w:r>
      <w:r w:rsidR="00573BC2">
        <w:rPr>
          <w:szCs w:val="24"/>
        </w:rPr>
        <w:t xml:space="preserve"> him</w:t>
      </w:r>
      <w:r w:rsidR="00DA64A1">
        <w:rPr>
          <w:szCs w:val="24"/>
        </w:rPr>
        <w:t xml:space="preserve"> where</w:t>
      </w:r>
      <w:r w:rsidR="00573BC2">
        <w:rPr>
          <w:szCs w:val="24"/>
        </w:rPr>
        <w:t xml:space="preserve"> he was going or </w:t>
      </w:r>
      <w:r w:rsidR="00677BE5">
        <w:rPr>
          <w:szCs w:val="24"/>
        </w:rPr>
        <w:t xml:space="preserve">said </w:t>
      </w:r>
      <w:r w:rsidR="00573BC2">
        <w:rPr>
          <w:szCs w:val="24"/>
        </w:rPr>
        <w:t>that she wanted to get out of the car. He recall</w:t>
      </w:r>
      <w:r w:rsidR="00DA64A1">
        <w:rPr>
          <w:szCs w:val="24"/>
        </w:rPr>
        <w:t>s</w:t>
      </w:r>
      <w:r w:rsidR="00573BC2">
        <w:rPr>
          <w:szCs w:val="24"/>
        </w:rPr>
        <w:t xml:space="preserve"> </w:t>
      </w:r>
      <w:r w:rsidR="00DA64A1">
        <w:rPr>
          <w:szCs w:val="24"/>
        </w:rPr>
        <w:t>that his passenger</w:t>
      </w:r>
      <w:r w:rsidR="00C95D37">
        <w:rPr>
          <w:szCs w:val="24"/>
        </w:rPr>
        <w:t>,</w:t>
      </w:r>
      <w:r w:rsidR="00DA64A1">
        <w:rPr>
          <w:szCs w:val="24"/>
        </w:rPr>
        <w:t xml:space="preserve"> </w:t>
      </w:r>
      <w:proofErr w:type="spellStart"/>
      <w:r w:rsidR="00DA64A1">
        <w:rPr>
          <w:szCs w:val="24"/>
        </w:rPr>
        <w:t>Cloete</w:t>
      </w:r>
      <w:proofErr w:type="spellEnd"/>
      <w:r w:rsidR="00677BE5">
        <w:rPr>
          <w:szCs w:val="24"/>
        </w:rPr>
        <w:t>,</w:t>
      </w:r>
      <w:r w:rsidR="00DA64A1">
        <w:rPr>
          <w:szCs w:val="24"/>
        </w:rPr>
        <w:t xml:space="preserve"> urinated o</w:t>
      </w:r>
      <w:r w:rsidR="00573BC2">
        <w:rPr>
          <w:szCs w:val="24"/>
        </w:rPr>
        <w:t>n his car</w:t>
      </w:r>
      <w:r w:rsidR="00FA0404">
        <w:rPr>
          <w:szCs w:val="24"/>
        </w:rPr>
        <w:t>’s</w:t>
      </w:r>
      <w:r w:rsidR="00573BC2">
        <w:rPr>
          <w:szCs w:val="24"/>
        </w:rPr>
        <w:t xml:space="preserve"> seat wh</w:t>
      </w:r>
      <w:r w:rsidR="00DA64A1">
        <w:rPr>
          <w:szCs w:val="24"/>
        </w:rPr>
        <w:t>ile</w:t>
      </w:r>
      <w:r w:rsidR="00573BC2">
        <w:rPr>
          <w:szCs w:val="24"/>
        </w:rPr>
        <w:t xml:space="preserve"> he was sleeping</w:t>
      </w:r>
      <w:r w:rsidR="00DA64A1">
        <w:rPr>
          <w:szCs w:val="24"/>
        </w:rPr>
        <w:t>; that w</w:t>
      </w:r>
      <w:r w:rsidR="00573BC2">
        <w:rPr>
          <w:szCs w:val="24"/>
        </w:rPr>
        <w:t>hen th</w:t>
      </w:r>
      <w:r w:rsidR="00DA64A1">
        <w:rPr>
          <w:szCs w:val="24"/>
        </w:rPr>
        <w:t>at</w:t>
      </w:r>
      <w:r w:rsidR="00573BC2">
        <w:rPr>
          <w:szCs w:val="24"/>
        </w:rPr>
        <w:t xml:space="preserve"> happened he </w:t>
      </w:r>
      <w:r w:rsidR="00DA64A1">
        <w:rPr>
          <w:szCs w:val="24"/>
        </w:rPr>
        <w:t xml:space="preserve">woke </w:t>
      </w:r>
      <w:r w:rsidR="00573BC2">
        <w:rPr>
          <w:szCs w:val="24"/>
        </w:rPr>
        <w:t>him up and</w:t>
      </w:r>
      <w:r w:rsidR="00DA64A1">
        <w:rPr>
          <w:szCs w:val="24"/>
        </w:rPr>
        <w:t xml:space="preserve"> scolded or</w:t>
      </w:r>
      <w:r w:rsidR="00573BC2">
        <w:rPr>
          <w:szCs w:val="24"/>
        </w:rPr>
        <w:t xml:space="preserve"> reprimanded him for urinating in the car. The respondent s</w:t>
      </w:r>
      <w:r w:rsidR="00DA64A1">
        <w:rPr>
          <w:szCs w:val="24"/>
        </w:rPr>
        <w:t xml:space="preserve">ays that it </w:t>
      </w:r>
      <w:r w:rsidR="00573BC2">
        <w:rPr>
          <w:szCs w:val="24"/>
        </w:rPr>
        <w:t xml:space="preserve">could be true that </w:t>
      </w:r>
      <w:r w:rsidR="00DA64A1">
        <w:rPr>
          <w:szCs w:val="24"/>
        </w:rPr>
        <w:t>he</w:t>
      </w:r>
      <w:r w:rsidR="00513F5E">
        <w:rPr>
          <w:szCs w:val="24"/>
        </w:rPr>
        <w:t>,</w:t>
      </w:r>
      <w:r w:rsidR="00DA64A1">
        <w:rPr>
          <w:szCs w:val="24"/>
        </w:rPr>
        <w:t xml:space="preserve"> at </w:t>
      </w:r>
      <w:r w:rsidR="00C95D37">
        <w:rPr>
          <w:szCs w:val="24"/>
        </w:rPr>
        <w:t>some stage during the journey</w:t>
      </w:r>
      <w:r w:rsidR="00513F5E">
        <w:rPr>
          <w:szCs w:val="24"/>
        </w:rPr>
        <w:t>,</w:t>
      </w:r>
      <w:r w:rsidR="00DA64A1">
        <w:rPr>
          <w:szCs w:val="24"/>
        </w:rPr>
        <w:t xml:space="preserve"> </w:t>
      </w:r>
      <w:r w:rsidR="00573BC2">
        <w:rPr>
          <w:szCs w:val="24"/>
        </w:rPr>
        <w:t xml:space="preserve">might have </w:t>
      </w:r>
      <w:r w:rsidR="00DA64A1">
        <w:rPr>
          <w:szCs w:val="24"/>
        </w:rPr>
        <w:t xml:space="preserve">mentioned to </w:t>
      </w:r>
      <w:r w:rsidR="00573BC2">
        <w:rPr>
          <w:szCs w:val="24"/>
        </w:rPr>
        <w:t xml:space="preserve">the complainant </w:t>
      </w:r>
      <w:r w:rsidR="00513F5E">
        <w:rPr>
          <w:szCs w:val="24"/>
        </w:rPr>
        <w:t xml:space="preserve">that </w:t>
      </w:r>
      <w:r w:rsidR="00573BC2">
        <w:rPr>
          <w:szCs w:val="24"/>
        </w:rPr>
        <w:t>he would drop</w:t>
      </w:r>
      <w:r w:rsidR="00513F5E">
        <w:rPr>
          <w:szCs w:val="24"/>
        </w:rPr>
        <w:t xml:space="preserve"> </w:t>
      </w:r>
      <w:proofErr w:type="spellStart"/>
      <w:r w:rsidR="00DA64A1">
        <w:rPr>
          <w:szCs w:val="24"/>
        </w:rPr>
        <w:t>Cloete</w:t>
      </w:r>
      <w:proofErr w:type="spellEnd"/>
      <w:r w:rsidR="00573BC2">
        <w:rPr>
          <w:szCs w:val="24"/>
        </w:rPr>
        <w:t xml:space="preserve"> </w:t>
      </w:r>
      <w:r w:rsidR="00677BE5">
        <w:rPr>
          <w:szCs w:val="24"/>
        </w:rPr>
        <w:t xml:space="preserve">off </w:t>
      </w:r>
      <w:r w:rsidR="00573BC2">
        <w:rPr>
          <w:szCs w:val="24"/>
        </w:rPr>
        <w:t>at his house.</w:t>
      </w:r>
      <w:r w:rsidR="00FA6FD2">
        <w:rPr>
          <w:szCs w:val="24"/>
        </w:rPr>
        <w:t xml:space="preserve"> </w:t>
      </w:r>
      <w:r w:rsidR="00FA0404">
        <w:rPr>
          <w:szCs w:val="24"/>
        </w:rPr>
        <w:t xml:space="preserve"> </w:t>
      </w:r>
      <w:r w:rsidR="00573BC2">
        <w:rPr>
          <w:szCs w:val="24"/>
        </w:rPr>
        <w:t>According to the respondent</w:t>
      </w:r>
      <w:r w:rsidR="00677BE5">
        <w:rPr>
          <w:szCs w:val="24"/>
        </w:rPr>
        <w:t>,</w:t>
      </w:r>
      <w:r w:rsidR="00573BC2">
        <w:rPr>
          <w:szCs w:val="24"/>
        </w:rPr>
        <w:t xml:space="preserve"> on the way to the exit gate of </w:t>
      </w:r>
      <w:proofErr w:type="spellStart"/>
      <w:r w:rsidR="00DA64A1">
        <w:rPr>
          <w:szCs w:val="24"/>
        </w:rPr>
        <w:t>Katutura</w:t>
      </w:r>
      <w:proofErr w:type="spellEnd"/>
      <w:r w:rsidR="00DA64A1">
        <w:rPr>
          <w:szCs w:val="24"/>
        </w:rPr>
        <w:t xml:space="preserve"> </w:t>
      </w:r>
      <w:r w:rsidR="00677BE5">
        <w:rPr>
          <w:szCs w:val="24"/>
        </w:rPr>
        <w:t>H</w:t>
      </w:r>
      <w:r w:rsidR="00573BC2">
        <w:rPr>
          <w:szCs w:val="24"/>
        </w:rPr>
        <w:t>ospital</w:t>
      </w:r>
      <w:r w:rsidR="00677BE5">
        <w:rPr>
          <w:szCs w:val="24"/>
        </w:rPr>
        <w:t>,</w:t>
      </w:r>
      <w:r w:rsidR="00573BC2">
        <w:rPr>
          <w:szCs w:val="24"/>
        </w:rPr>
        <w:t xml:space="preserve"> he stopped the car and instructed </w:t>
      </w:r>
      <w:proofErr w:type="spellStart"/>
      <w:r w:rsidR="00DA64A1">
        <w:rPr>
          <w:szCs w:val="24"/>
        </w:rPr>
        <w:t>Cloete</w:t>
      </w:r>
      <w:proofErr w:type="spellEnd"/>
      <w:r w:rsidR="00573BC2">
        <w:rPr>
          <w:szCs w:val="24"/>
        </w:rPr>
        <w:t xml:space="preserve"> to get out of the car because he </w:t>
      </w:r>
      <w:r w:rsidR="00BA7157">
        <w:rPr>
          <w:szCs w:val="24"/>
        </w:rPr>
        <w:t xml:space="preserve">had </w:t>
      </w:r>
      <w:r w:rsidR="00573BC2">
        <w:rPr>
          <w:szCs w:val="24"/>
        </w:rPr>
        <w:t>urinated in the car</w:t>
      </w:r>
      <w:r w:rsidR="00BA7157">
        <w:rPr>
          <w:szCs w:val="24"/>
        </w:rPr>
        <w:t>.</w:t>
      </w:r>
    </w:p>
    <w:p w14:paraId="6B759330" w14:textId="77777777" w:rsidR="00DA64A1" w:rsidRDefault="00DA64A1" w:rsidP="00E7287F">
      <w:pPr>
        <w:ind w:left="10"/>
        <w:jc w:val="both"/>
        <w:rPr>
          <w:szCs w:val="24"/>
        </w:rPr>
      </w:pPr>
    </w:p>
    <w:p w14:paraId="189C8D11" w14:textId="1254753F" w:rsidR="00573BC2" w:rsidRDefault="00DA64A1" w:rsidP="00E7287F">
      <w:pPr>
        <w:ind w:left="10"/>
        <w:jc w:val="both"/>
        <w:rPr>
          <w:szCs w:val="24"/>
        </w:rPr>
      </w:pPr>
      <w:r>
        <w:rPr>
          <w:szCs w:val="24"/>
        </w:rPr>
        <w:t>[2</w:t>
      </w:r>
      <w:r w:rsidR="00D15544">
        <w:rPr>
          <w:szCs w:val="24"/>
        </w:rPr>
        <w:t>3</w:t>
      </w:r>
      <w:r>
        <w:rPr>
          <w:szCs w:val="24"/>
        </w:rPr>
        <w:t>]</w:t>
      </w:r>
      <w:r>
        <w:rPr>
          <w:szCs w:val="24"/>
        </w:rPr>
        <w:tab/>
      </w:r>
      <w:r w:rsidR="009C452A">
        <w:rPr>
          <w:szCs w:val="24"/>
        </w:rPr>
        <w:t>The respondent stresses</w:t>
      </w:r>
      <w:r w:rsidR="00573BC2">
        <w:rPr>
          <w:szCs w:val="24"/>
        </w:rPr>
        <w:t xml:space="preserve"> that he never unilaterally changed the route but</w:t>
      </w:r>
      <w:r w:rsidR="00FA6FD2">
        <w:rPr>
          <w:szCs w:val="24"/>
        </w:rPr>
        <w:t xml:space="preserve"> only</w:t>
      </w:r>
      <w:r w:rsidR="00573BC2">
        <w:rPr>
          <w:szCs w:val="24"/>
        </w:rPr>
        <w:t xml:space="preserve"> changed the route because he was asked by the complainant to drop </w:t>
      </w:r>
      <w:r w:rsidR="00FA6FD2">
        <w:rPr>
          <w:szCs w:val="24"/>
        </w:rPr>
        <w:t xml:space="preserve">her off at the </w:t>
      </w:r>
      <w:proofErr w:type="spellStart"/>
      <w:r w:rsidR="00FA6FD2">
        <w:rPr>
          <w:szCs w:val="24"/>
        </w:rPr>
        <w:t>Okahandja</w:t>
      </w:r>
      <w:proofErr w:type="spellEnd"/>
      <w:r w:rsidR="00FA6FD2">
        <w:rPr>
          <w:szCs w:val="24"/>
        </w:rPr>
        <w:t xml:space="preserve"> hik</w:t>
      </w:r>
      <w:r w:rsidR="00677BE5">
        <w:rPr>
          <w:szCs w:val="24"/>
        </w:rPr>
        <w:t>e</w:t>
      </w:r>
      <w:r w:rsidR="00FA6FD2">
        <w:rPr>
          <w:szCs w:val="24"/>
        </w:rPr>
        <w:t xml:space="preserve"> spot </w:t>
      </w:r>
      <w:r w:rsidR="00573BC2">
        <w:rPr>
          <w:szCs w:val="24"/>
        </w:rPr>
        <w:t xml:space="preserve">near the </w:t>
      </w:r>
      <w:proofErr w:type="spellStart"/>
      <w:r w:rsidR="00FA6FD2">
        <w:rPr>
          <w:szCs w:val="24"/>
        </w:rPr>
        <w:t>Katutura</w:t>
      </w:r>
      <w:proofErr w:type="spellEnd"/>
      <w:r w:rsidR="00573BC2">
        <w:rPr>
          <w:szCs w:val="24"/>
        </w:rPr>
        <w:t xml:space="preserve"> hospital. </w:t>
      </w:r>
      <w:r w:rsidR="00FA0404">
        <w:rPr>
          <w:szCs w:val="24"/>
        </w:rPr>
        <w:t xml:space="preserve"> </w:t>
      </w:r>
      <w:r w:rsidR="00573BC2">
        <w:rPr>
          <w:szCs w:val="24"/>
        </w:rPr>
        <w:t>He denies that he use</w:t>
      </w:r>
      <w:r w:rsidR="00677BE5">
        <w:rPr>
          <w:szCs w:val="24"/>
        </w:rPr>
        <w:t>d</w:t>
      </w:r>
      <w:r w:rsidR="00573BC2">
        <w:rPr>
          <w:szCs w:val="24"/>
        </w:rPr>
        <w:t xml:space="preserve"> the </w:t>
      </w:r>
      <w:r w:rsidR="00FA6FD2">
        <w:rPr>
          <w:szCs w:val="24"/>
        </w:rPr>
        <w:t xml:space="preserve">car in any </w:t>
      </w:r>
      <w:r w:rsidR="00573BC2">
        <w:rPr>
          <w:szCs w:val="24"/>
        </w:rPr>
        <w:t>way to kidnap the complainant.</w:t>
      </w:r>
      <w:r w:rsidR="00FA0404">
        <w:rPr>
          <w:szCs w:val="24"/>
        </w:rPr>
        <w:t xml:space="preserve"> </w:t>
      </w:r>
      <w:r w:rsidR="00573BC2">
        <w:rPr>
          <w:szCs w:val="24"/>
        </w:rPr>
        <w:t xml:space="preserve"> According to the respondent</w:t>
      </w:r>
      <w:r w:rsidR="00677BE5">
        <w:rPr>
          <w:szCs w:val="24"/>
        </w:rPr>
        <w:t>,</w:t>
      </w:r>
      <w:r w:rsidR="00573BC2">
        <w:rPr>
          <w:szCs w:val="24"/>
        </w:rPr>
        <w:t xml:space="preserve"> the complainant had every opportunity to jump out of the car at various interval</w:t>
      </w:r>
      <w:r w:rsidR="00FA6FD2">
        <w:rPr>
          <w:szCs w:val="24"/>
        </w:rPr>
        <w:t>s</w:t>
      </w:r>
      <w:r w:rsidR="00573BC2">
        <w:rPr>
          <w:szCs w:val="24"/>
        </w:rPr>
        <w:t xml:space="preserve"> when the car st</w:t>
      </w:r>
      <w:r w:rsidR="00FA6FD2">
        <w:rPr>
          <w:szCs w:val="24"/>
        </w:rPr>
        <w:t>opped</w:t>
      </w:r>
      <w:r w:rsidR="00677BE5">
        <w:rPr>
          <w:szCs w:val="24"/>
        </w:rPr>
        <w:t>,</w:t>
      </w:r>
      <w:r w:rsidR="00573BC2">
        <w:rPr>
          <w:szCs w:val="24"/>
        </w:rPr>
        <w:t xml:space="preserve"> since she was sitting on the back seat of the </w:t>
      </w:r>
      <w:r w:rsidR="00FA6FD2">
        <w:rPr>
          <w:szCs w:val="24"/>
        </w:rPr>
        <w:t>car</w:t>
      </w:r>
      <w:r w:rsidR="00677BE5">
        <w:rPr>
          <w:szCs w:val="24"/>
        </w:rPr>
        <w:t>,</w:t>
      </w:r>
      <w:r w:rsidR="00FA6FD2">
        <w:rPr>
          <w:szCs w:val="24"/>
        </w:rPr>
        <w:t xml:space="preserve"> because t</w:t>
      </w:r>
      <w:r w:rsidR="00573BC2">
        <w:rPr>
          <w:szCs w:val="24"/>
        </w:rPr>
        <w:t xml:space="preserve">he doors of the </w:t>
      </w:r>
      <w:r w:rsidR="00FA6FD2">
        <w:rPr>
          <w:szCs w:val="24"/>
        </w:rPr>
        <w:t>car</w:t>
      </w:r>
      <w:r w:rsidR="00573BC2">
        <w:rPr>
          <w:szCs w:val="24"/>
        </w:rPr>
        <w:t xml:space="preserve"> automatically unlock when the door handle is pulled. </w:t>
      </w:r>
    </w:p>
    <w:p w14:paraId="59AA4A86" w14:textId="77777777" w:rsidR="00FA0404" w:rsidRDefault="00FA0404" w:rsidP="00E7287F">
      <w:pPr>
        <w:ind w:left="10"/>
        <w:jc w:val="both"/>
        <w:rPr>
          <w:szCs w:val="24"/>
        </w:rPr>
      </w:pPr>
    </w:p>
    <w:p w14:paraId="4E5AE156" w14:textId="0465534F" w:rsidR="00573BC2" w:rsidRDefault="00FA6FD2" w:rsidP="00E7287F">
      <w:pPr>
        <w:ind w:left="10"/>
        <w:jc w:val="both"/>
        <w:rPr>
          <w:szCs w:val="24"/>
        </w:rPr>
      </w:pPr>
      <w:r>
        <w:rPr>
          <w:szCs w:val="24"/>
        </w:rPr>
        <w:t>[2</w:t>
      </w:r>
      <w:r w:rsidR="00D15544">
        <w:rPr>
          <w:szCs w:val="24"/>
        </w:rPr>
        <w:t>4</w:t>
      </w:r>
      <w:r>
        <w:rPr>
          <w:szCs w:val="24"/>
        </w:rPr>
        <w:t>]</w:t>
      </w:r>
      <w:r>
        <w:rPr>
          <w:szCs w:val="24"/>
        </w:rPr>
        <w:tab/>
      </w:r>
      <w:r w:rsidR="00573BC2">
        <w:rPr>
          <w:szCs w:val="24"/>
        </w:rPr>
        <w:t>According to the respondent</w:t>
      </w:r>
      <w:r w:rsidR="009C452A">
        <w:rPr>
          <w:szCs w:val="24"/>
        </w:rPr>
        <w:t>,</w:t>
      </w:r>
      <w:r w:rsidR="00573BC2">
        <w:rPr>
          <w:szCs w:val="24"/>
        </w:rPr>
        <w:t xml:space="preserve"> the struggle </w:t>
      </w:r>
      <w:r>
        <w:rPr>
          <w:szCs w:val="24"/>
        </w:rPr>
        <w:t xml:space="preserve">which ensued between him and </w:t>
      </w:r>
      <w:r w:rsidR="00573BC2">
        <w:rPr>
          <w:szCs w:val="24"/>
        </w:rPr>
        <w:t>the complainant was because of the metal object</w:t>
      </w:r>
      <w:r w:rsidR="009C0EEA">
        <w:rPr>
          <w:szCs w:val="24"/>
        </w:rPr>
        <w:t xml:space="preserve"> with which the complainant hit him with</w:t>
      </w:r>
      <w:r w:rsidR="009C452A">
        <w:rPr>
          <w:szCs w:val="24"/>
        </w:rPr>
        <w:t xml:space="preserve"> on his head</w:t>
      </w:r>
      <w:r w:rsidR="00573BC2">
        <w:rPr>
          <w:szCs w:val="24"/>
        </w:rPr>
        <w:t xml:space="preserve"> which he assume</w:t>
      </w:r>
      <w:r w:rsidR="00677BE5">
        <w:rPr>
          <w:szCs w:val="24"/>
        </w:rPr>
        <w:t>d</w:t>
      </w:r>
      <w:r w:rsidR="00573BC2">
        <w:rPr>
          <w:szCs w:val="24"/>
        </w:rPr>
        <w:t xml:space="preserve"> was a knife which form</w:t>
      </w:r>
      <w:r w:rsidR="00677BE5">
        <w:rPr>
          <w:szCs w:val="24"/>
        </w:rPr>
        <w:t>ed</w:t>
      </w:r>
      <w:r w:rsidR="00573BC2">
        <w:rPr>
          <w:szCs w:val="24"/>
        </w:rPr>
        <w:t xml:space="preserve"> part of the </w:t>
      </w:r>
      <w:r>
        <w:rPr>
          <w:szCs w:val="24"/>
        </w:rPr>
        <w:t>cutlery</w:t>
      </w:r>
      <w:r w:rsidR="00573BC2">
        <w:rPr>
          <w:szCs w:val="24"/>
        </w:rPr>
        <w:t xml:space="preserve"> which w</w:t>
      </w:r>
      <w:r w:rsidR="00677BE5">
        <w:rPr>
          <w:szCs w:val="24"/>
        </w:rPr>
        <w:t>as</w:t>
      </w:r>
      <w:r w:rsidR="00573BC2">
        <w:rPr>
          <w:szCs w:val="24"/>
        </w:rPr>
        <w:t xml:space="preserve"> in the </w:t>
      </w:r>
      <w:r w:rsidR="00FB077E">
        <w:rPr>
          <w:szCs w:val="24"/>
        </w:rPr>
        <w:t>car</w:t>
      </w:r>
      <w:r w:rsidR="00573BC2">
        <w:rPr>
          <w:szCs w:val="24"/>
        </w:rPr>
        <w:t xml:space="preserve"> and which the complain</w:t>
      </w:r>
      <w:r w:rsidR="00590D95">
        <w:rPr>
          <w:szCs w:val="24"/>
        </w:rPr>
        <w:t xml:space="preserve">ant </w:t>
      </w:r>
      <w:r w:rsidR="00677BE5">
        <w:rPr>
          <w:szCs w:val="24"/>
        </w:rPr>
        <w:t xml:space="preserve">used to </w:t>
      </w:r>
      <w:r w:rsidR="00590D95">
        <w:rPr>
          <w:szCs w:val="24"/>
        </w:rPr>
        <w:t xml:space="preserve">hit him on </w:t>
      </w:r>
      <w:r w:rsidR="00677BE5">
        <w:rPr>
          <w:szCs w:val="24"/>
        </w:rPr>
        <w:t>the</w:t>
      </w:r>
      <w:r w:rsidR="00590D95">
        <w:rPr>
          <w:szCs w:val="24"/>
        </w:rPr>
        <w:t xml:space="preserve"> head.</w:t>
      </w:r>
      <w:r w:rsidR="009C0EEA">
        <w:rPr>
          <w:szCs w:val="24"/>
        </w:rPr>
        <w:t xml:space="preserve"> </w:t>
      </w:r>
      <w:r w:rsidR="00590D95">
        <w:rPr>
          <w:szCs w:val="24"/>
        </w:rPr>
        <w:t xml:space="preserve"> </w:t>
      </w:r>
      <w:r w:rsidR="009A330F">
        <w:rPr>
          <w:szCs w:val="24"/>
        </w:rPr>
        <w:t>H</w:t>
      </w:r>
      <w:r w:rsidR="00590D95">
        <w:rPr>
          <w:szCs w:val="24"/>
        </w:rPr>
        <w:t>e</w:t>
      </w:r>
      <w:r w:rsidR="00D5214C">
        <w:rPr>
          <w:szCs w:val="24"/>
        </w:rPr>
        <w:t xml:space="preserve"> then</w:t>
      </w:r>
      <w:r w:rsidR="00590D95">
        <w:rPr>
          <w:szCs w:val="24"/>
        </w:rPr>
        <w:t xml:space="preserve"> </w:t>
      </w:r>
      <w:r w:rsidR="00573BC2">
        <w:rPr>
          <w:szCs w:val="24"/>
        </w:rPr>
        <w:t>directed vulgar words towards</w:t>
      </w:r>
      <w:r w:rsidR="00FB077E">
        <w:rPr>
          <w:szCs w:val="24"/>
        </w:rPr>
        <w:t xml:space="preserve"> her</w:t>
      </w:r>
      <w:r w:rsidR="00590D95">
        <w:rPr>
          <w:szCs w:val="24"/>
        </w:rPr>
        <w:t xml:space="preserve"> </w:t>
      </w:r>
      <w:r w:rsidR="00FB077E">
        <w:rPr>
          <w:szCs w:val="24"/>
        </w:rPr>
        <w:t xml:space="preserve">and </w:t>
      </w:r>
      <w:proofErr w:type="spellStart"/>
      <w:r w:rsidR="00FB077E">
        <w:rPr>
          <w:szCs w:val="24"/>
        </w:rPr>
        <w:t>Cloete</w:t>
      </w:r>
      <w:proofErr w:type="spellEnd"/>
      <w:r w:rsidR="00590D95">
        <w:rPr>
          <w:szCs w:val="24"/>
        </w:rPr>
        <w:t xml:space="preserve"> after</w:t>
      </w:r>
      <w:r w:rsidR="00573BC2">
        <w:rPr>
          <w:szCs w:val="24"/>
        </w:rPr>
        <w:t xml:space="preserve"> </w:t>
      </w:r>
      <w:r w:rsidR="009A330F">
        <w:rPr>
          <w:szCs w:val="24"/>
        </w:rPr>
        <w:t xml:space="preserve">he </w:t>
      </w:r>
      <w:r w:rsidR="00573BC2">
        <w:rPr>
          <w:szCs w:val="24"/>
        </w:rPr>
        <w:t xml:space="preserve">realised that his wallet was missing from the </w:t>
      </w:r>
      <w:r w:rsidR="00590D95">
        <w:rPr>
          <w:szCs w:val="24"/>
        </w:rPr>
        <w:t xml:space="preserve">car. </w:t>
      </w:r>
      <w:r w:rsidR="00590D95">
        <w:rPr>
          <w:szCs w:val="24"/>
        </w:rPr>
        <w:lastRenderedPageBreak/>
        <w:t>A</w:t>
      </w:r>
      <w:r w:rsidR="00573BC2">
        <w:rPr>
          <w:szCs w:val="24"/>
        </w:rPr>
        <w:t>ccording to the respondent</w:t>
      </w:r>
      <w:r w:rsidR="00D617BA">
        <w:rPr>
          <w:szCs w:val="24"/>
        </w:rPr>
        <w:t>,</w:t>
      </w:r>
      <w:r w:rsidR="00573BC2">
        <w:rPr>
          <w:szCs w:val="24"/>
        </w:rPr>
        <w:t xml:space="preserve"> </w:t>
      </w:r>
      <w:r w:rsidR="00590D95">
        <w:rPr>
          <w:szCs w:val="24"/>
        </w:rPr>
        <w:t xml:space="preserve">he </w:t>
      </w:r>
      <w:r w:rsidR="00573BC2">
        <w:rPr>
          <w:szCs w:val="24"/>
        </w:rPr>
        <w:t>never had any intention to detain</w:t>
      </w:r>
      <w:r w:rsidR="00590D95">
        <w:rPr>
          <w:szCs w:val="24"/>
        </w:rPr>
        <w:t>,</w:t>
      </w:r>
      <w:r w:rsidR="00573BC2">
        <w:rPr>
          <w:szCs w:val="24"/>
        </w:rPr>
        <w:t xml:space="preserve"> threaten or beat the complainant.</w:t>
      </w:r>
      <w:r w:rsidR="009C0EEA">
        <w:rPr>
          <w:szCs w:val="24"/>
        </w:rPr>
        <w:t xml:space="preserve"> </w:t>
      </w:r>
      <w:r w:rsidR="002938BC">
        <w:rPr>
          <w:szCs w:val="24"/>
        </w:rPr>
        <w:t xml:space="preserve"> He concedes that he might have pushed the complainant down to remove the knife from her</w:t>
      </w:r>
      <w:r w:rsidR="00590D95">
        <w:rPr>
          <w:szCs w:val="24"/>
        </w:rPr>
        <w:t>.</w:t>
      </w:r>
    </w:p>
    <w:p w14:paraId="0F838E51" w14:textId="77777777" w:rsidR="002938BC" w:rsidRDefault="002938BC" w:rsidP="00E7287F">
      <w:pPr>
        <w:ind w:left="10"/>
        <w:jc w:val="both"/>
        <w:rPr>
          <w:szCs w:val="24"/>
        </w:rPr>
      </w:pPr>
    </w:p>
    <w:p w14:paraId="44F76662" w14:textId="279F1EE8" w:rsidR="002938BC" w:rsidRDefault="00AB2BF3" w:rsidP="00E7287F">
      <w:pPr>
        <w:ind w:left="10"/>
        <w:jc w:val="both"/>
        <w:rPr>
          <w:szCs w:val="24"/>
        </w:rPr>
      </w:pPr>
      <w:r>
        <w:rPr>
          <w:szCs w:val="24"/>
        </w:rPr>
        <w:t>[2</w:t>
      </w:r>
      <w:r w:rsidR="00D15544">
        <w:rPr>
          <w:szCs w:val="24"/>
        </w:rPr>
        <w:t>5</w:t>
      </w:r>
      <w:r>
        <w:rPr>
          <w:szCs w:val="24"/>
        </w:rPr>
        <w:t>]</w:t>
      </w:r>
      <w:r>
        <w:rPr>
          <w:szCs w:val="24"/>
        </w:rPr>
        <w:tab/>
        <w:t>T</w:t>
      </w:r>
      <w:r w:rsidR="002938BC">
        <w:rPr>
          <w:szCs w:val="24"/>
        </w:rPr>
        <w:t>he respondent</w:t>
      </w:r>
      <w:r>
        <w:rPr>
          <w:szCs w:val="24"/>
        </w:rPr>
        <w:t xml:space="preserve"> states that</w:t>
      </w:r>
      <w:r w:rsidR="002938BC">
        <w:rPr>
          <w:szCs w:val="24"/>
        </w:rPr>
        <w:t xml:space="preserve"> he cannot remember</w:t>
      </w:r>
      <w:r>
        <w:rPr>
          <w:szCs w:val="24"/>
        </w:rPr>
        <w:t xml:space="preserve"> </w:t>
      </w:r>
      <w:r w:rsidR="002938BC">
        <w:rPr>
          <w:szCs w:val="24"/>
        </w:rPr>
        <w:t>hav</w:t>
      </w:r>
      <w:r w:rsidR="00D617BA">
        <w:rPr>
          <w:szCs w:val="24"/>
        </w:rPr>
        <w:t>ing</w:t>
      </w:r>
      <w:r>
        <w:rPr>
          <w:szCs w:val="24"/>
        </w:rPr>
        <w:t xml:space="preserve"> ordered</w:t>
      </w:r>
      <w:r w:rsidR="002938BC">
        <w:rPr>
          <w:szCs w:val="24"/>
        </w:rPr>
        <w:t xml:space="preserve"> the complainant </w:t>
      </w:r>
      <w:r>
        <w:rPr>
          <w:szCs w:val="24"/>
        </w:rPr>
        <w:t>to remove</w:t>
      </w:r>
      <w:r w:rsidR="002938BC">
        <w:rPr>
          <w:szCs w:val="24"/>
        </w:rPr>
        <w:t xml:space="preserve"> her skirt</w:t>
      </w:r>
      <w:r>
        <w:rPr>
          <w:szCs w:val="24"/>
        </w:rPr>
        <w:t>, or</w:t>
      </w:r>
      <w:r w:rsidR="002938BC">
        <w:rPr>
          <w:szCs w:val="24"/>
        </w:rPr>
        <w:t xml:space="preserve"> throttle</w:t>
      </w:r>
      <w:r>
        <w:rPr>
          <w:szCs w:val="24"/>
        </w:rPr>
        <w:t>d</w:t>
      </w:r>
      <w:r w:rsidR="002938BC">
        <w:rPr>
          <w:szCs w:val="24"/>
        </w:rPr>
        <w:t xml:space="preserve"> her</w:t>
      </w:r>
      <w:r>
        <w:rPr>
          <w:szCs w:val="24"/>
        </w:rPr>
        <w:t>, or</w:t>
      </w:r>
      <w:r w:rsidR="002938BC">
        <w:rPr>
          <w:szCs w:val="24"/>
        </w:rPr>
        <w:t xml:space="preserve"> pushing</w:t>
      </w:r>
      <w:r>
        <w:rPr>
          <w:szCs w:val="24"/>
        </w:rPr>
        <w:t xml:space="preserve"> a knife against her neck, or cu</w:t>
      </w:r>
      <w:r w:rsidR="0060273A">
        <w:rPr>
          <w:szCs w:val="24"/>
        </w:rPr>
        <w:t>tting</w:t>
      </w:r>
      <w:r>
        <w:rPr>
          <w:szCs w:val="24"/>
        </w:rPr>
        <w:t xml:space="preserve"> her panties, or hitting her, or smack</w:t>
      </w:r>
      <w:r w:rsidR="00D617BA">
        <w:rPr>
          <w:szCs w:val="24"/>
        </w:rPr>
        <w:t>ing</w:t>
      </w:r>
      <w:r w:rsidR="001F165B">
        <w:rPr>
          <w:szCs w:val="24"/>
        </w:rPr>
        <w:t xml:space="preserve"> her</w:t>
      </w:r>
      <w:r>
        <w:rPr>
          <w:szCs w:val="24"/>
        </w:rPr>
        <w:t xml:space="preserve"> on her right eye and strangl</w:t>
      </w:r>
      <w:r w:rsidR="00D617BA">
        <w:rPr>
          <w:szCs w:val="24"/>
        </w:rPr>
        <w:t>ing</w:t>
      </w:r>
      <w:r w:rsidR="001F165B">
        <w:rPr>
          <w:szCs w:val="24"/>
        </w:rPr>
        <w:t xml:space="preserve"> her</w:t>
      </w:r>
      <w:r w:rsidR="002938BC">
        <w:rPr>
          <w:szCs w:val="24"/>
        </w:rPr>
        <w:t xml:space="preserve"> until she </w:t>
      </w:r>
      <w:r>
        <w:rPr>
          <w:szCs w:val="24"/>
        </w:rPr>
        <w:t>passed out.</w:t>
      </w:r>
      <w:r w:rsidR="009C0EEA">
        <w:rPr>
          <w:szCs w:val="24"/>
        </w:rPr>
        <w:t xml:space="preserve"> </w:t>
      </w:r>
      <w:r w:rsidR="002938BC">
        <w:rPr>
          <w:szCs w:val="24"/>
        </w:rPr>
        <w:t xml:space="preserve"> According to the respondent</w:t>
      </w:r>
      <w:r w:rsidR="00D617BA">
        <w:rPr>
          <w:szCs w:val="24"/>
        </w:rPr>
        <w:t>,</w:t>
      </w:r>
      <w:r w:rsidR="002938BC">
        <w:rPr>
          <w:szCs w:val="24"/>
        </w:rPr>
        <w:t xml:space="preserve"> </w:t>
      </w:r>
      <w:r w:rsidR="00FF6053">
        <w:rPr>
          <w:szCs w:val="24"/>
        </w:rPr>
        <w:t xml:space="preserve">all those </w:t>
      </w:r>
      <w:r w:rsidR="002938BC">
        <w:rPr>
          <w:szCs w:val="24"/>
        </w:rPr>
        <w:t>allegations are just fabrication</w:t>
      </w:r>
      <w:r w:rsidR="00D617BA">
        <w:rPr>
          <w:szCs w:val="24"/>
        </w:rPr>
        <w:t>s</w:t>
      </w:r>
      <w:r w:rsidR="002938BC">
        <w:rPr>
          <w:szCs w:val="24"/>
        </w:rPr>
        <w:t>.</w:t>
      </w:r>
    </w:p>
    <w:p w14:paraId="22CA1800" w14:textId="77777777" w:rsidR="009C0EEA" w:rsidRDefault="009C0EEA" w:rsidP="00E7287F">
      <w:pPr>
        <w:ind w:left="10"/>
        <w:jc w:val="both"/>
        <w:rPr>
          <w:szCs w:val="24"/>
        </w:rPr>
      </w:pPr>
    </w:p>
    <w:p w14:paraId="70EA9CC1" w14:textId="7ED04584" w:rsidR="002938BC" w:rsidRDefault="00FF6053" w:rsidP="00E7287F">
      <w:pPr>
        <w:ind w:left="10"/>
        <w:jc w:val="both"/>
        <w:rPr>
          <w:szCs w:val="24"/>
        </w:rPr>
      </w:pPr>
      <w:r>
        <w:rPr>
          <w:szCs w:val="24"/>
        </w:rPr>
        <w:t>[2</w:t>
      </w:r>
      <w:r w:rsidR="00D15544">
        <w:rPr>
          <w:szCs w:val="24"/>
        </w:rPr>
        <w:t>6</w:t>
      </w:r>
      <w:r>
        <w:rPr>
          <w:szCs w:val="24"/>
        </w:rPr>
        <w:t>]</w:t>
      </w:r>
      <w:r>
        <w:rPr>
          <w:szCs w:val="24"/>
        </w:rPr>
        <w:tab/>
        <w:t>It is the respondent</w:t>
      </w:r>
      <w:r w:rsidR="00D617BA">
        <w:rPr>
          <w:szCs w:val="24"/>
        </w:rPr>
        <w:t>’s</w:t>
      </w:r>
      <w:r>
        <w:rPr>
          <w:szCs w:val="24"/>
        </w:rPr>
        <w:t xml:space="preserve"> c</w:t>
      </w:r>
      <w:r w:rsidR="00166454">
        <w:rPr>
          <w:szCs w:val="24"/>
        </w:rPr>
        <w:t>ontention</w:t>
      </w:r>
      <w:r>
        <w:rPr>
          <w:szCs w:val="24"/>
        </w:rPr>
        <w:t xml:space="preserve"> </w:t>
      </w:r>
      <w:r w:rsidR="002938BC">
        <w:rPr>
          <w:szCs w:val="24"/>
        </w:rPr>
        <w:t xml:space="preserve">that the applicant has failed to make </w:t>
      </w:r>
      <w:r>
        <w:rPr>
          <w:szCs w:val="24"/>
        </w:rPr>
        <w:t xml:space="preserve">out </w:t>
      </w:r>
      <w:r w:rsidR="00261025">
        <w:rPr>
          <w:szCs w:val="24"/>
        </w:rPr>
        <w:t xml:space="preserve">a case </w:t>
      </w:r>
      <w:r w:rsidR="002938BC">
        <w:rPr>
          <w:szCs w:val="24"/>
        </w:rPr>
        <w:t>on the balance of probabilities</w:t>
      </w:r>
      <w:r w:rsidR="00283EE9">
        <w:rPr>
          <w:szCs w:val="24"/>
        </w:rPr>
        <w:t>;</w:t>
      </w:r>
      <w:r w:rsidR="00103CAA">
        <w:rPr>
          <w:szCs w:val="24"/>
        </w:rPr>
        <w:t xml:space="preserve"> </w:t>
      </w:r>
      <w:r w:rsidR="009C0EEA">
        <w:rPr>
          <w:szCs w:val="24"/>
        </w:rPr>
        <w:t xml:space="preserve">furthermore he denies that the applicant has failed to prove on the balance of probabilities </w:t>
      </w:r>
      <w:r w:rsidR="002938BC">
        <w:rPr>
          <w:szCs w:val="24"/>
        </w:rPr>
        <w:t xml:space="preserve">that the respondent had the requisite intention to unlawfully deprive the complainant of her liberty of movement at any stage </w:t>
      </w:r>
      <w:r w:rsidR="00D617BA">
        <w:rPr>
          <w:szCs w:val="24"/>
        </w:rPr>
        <w:t>after</w:t>
      </w:r>
      <w:r w:rsidR="002938BC">
        <w:rPr>
          <w:szCs w:val="24"/>
        </w:rPr>
        <w:t xml:space="preserve"> the complainant </w:t>
      </w:r>
      <w:r w:rsidR="00261025">
        <w:rPr>
          <w:szCs w:val="24"/>
        </w:rPr>
        <w:t xml:space="preserve">got into </w:t>
      </w:r>
      <w:r>
        <w:rPr>
          <w:szCs w:val="24"/>
        </w:rPr>
        <w:t>the car.</w:t>
      </w:r>
    </w:p>
    <w:p w14:paraId="5DD5662B" w14:textId="77777777" w:rsidR="009C0EEA" w:rsidRDefault="009C0EEA" w:rsidP="00E7287F">
      <w:pPr>
        <w:ind w:left="10"/>
        <w:jc w:val="both"/>
        <w:rPr>
          <w:szCs w:val="24"/>
        </w:rPr>
      </w:pPr>
    </w:p>
    <w:p w14:paraId="72DBF742" w14:textId="1707CBBF" w:rsidR="002938BC" w:rsidRDefault="00FF6053" w:rsidP="00E7287F">
      <w:pPr>
        <w:ind w:left="10"/>
        <w:jc w:val="both"/>
        <w:rPr>
          <w:szCs w:val="24"/>
        </w:rPr>
      </w:pPr>
      <w:r>
        <w:rPr>
          <w:szCs w:val="24"/>
        </w:rPr>
        <w:t>[2</w:t>
      </w:r>
      <w:r w:rsidR="00D15544">
        <w:rPr>
          <w:szCs w:val="24"/>
        </w:rPr>
        <w:t>7</w:t>
      </w:r>
      <w:r>
        <w:rPr>
          <w:szCs w:val="24"/>
        </w:rPr>
        <w:t>]</w:t>
      </w:r>
      <w:r>
        <w:rPr>
          <w:szCs w:val="24"/>
        </w:rPr>
        <w:tab/>
      </w:r>
      <w:r w:rsidR="002938BC">
        <w:rPr>
          <w:szCs w:val="24"/>
        </w:rPr>
        <w:t>Regarding the</w:t>
      </w:r>
      <w:r w:rsidR="009C0EEA">
        <w:rPr>
          <w:szCs w:val="24"/>
        </w:rPr>
        <w:t xml:space="preserve"> contents of the </w:t>
      </w:r>
      <w:r w:rsidR="002938BC">
        <w:rPr>
          <w:szCs w:val="24"/>
        </w:rPr>
        <w:t>J 88 medi</w:t>
      </w:r>
      <w:r w:rsidR="009F2282">
        <w:rPr>
          <w:szCs w:val="24"/>
        </w:rPr>
        <w:t>cal report, the respondent states</w:t>
      </w:r>
      <w:r w:rsidR="002938BC">
        <w:rPr>
          <w:szCs w:val="24"/>
        </w:rPr>
        <w:t xml:space="preserve"> that such report does not prove that he</w:t>
      </w:r>
      <w:r w:rsidR="001F2866">
        <w:rPr>
          <w:szCs w:val="24"/>
        </w:rPr>
        <w:t xml:space="preserve"> had</w:t>
      </w:r>
      <w:r w:rsidR="002938BC">
        <w:rPr>
          <w:szCs w:val="24"/>
        </w:rPr>
        <w:t xml:space="preserve"> </w:t>
      </w:r>
      <w:r>
        <w:rPr>
          <w:szCs w:val="24"/>
        </w:rPr>
        <w:t xml:space="preserve">raped </w:t>
      </w:r>
      <w:r w:rsidR="002938BC">
        <w:rPr>
          <w:szCs w:val="24"/>
        </w:rPr>
        <w:t>the complainant.</w:t>
      </w:r>
    </w:p>
    <w:p w14:paraId="4BB997D2" w14:textId="77777777" w:rsidR="009C0EEA" w:rsidRDefault="009C0EEA" w:rsidP="00E7287F">
      <w:pPr>
        <w:ind w:left="10"/>
        <w:jc w:val="both"/>
        <w:rPr>
          <w:szCs w:val="24"/>
        </w:rPr>
      </w:pPr>
    </w:p>
    <w:p w14:paraId="32B75734" w14:textId="48D2C00D" w:rsidR="002938BC" w:rsidRDefault="00FF6053" w:rsidP="00E7287F">
      <w:pPr>
        <w:ind w:left="10"/>
        <w:jc w:val="both"/>
        <w:rPr>
          <w:szCs w:val="24"/>
        </w:rPr>
      </w:pPr>
      <w:r>
        <w:rPr>
          <w:szCs w:val="24"/>
        </w:rPr>
        <w:t>[2</w:t>
      </w:r>
      <w:r w:rsidR="00D15544">
        <w:rPr>
          <w:szCs w:val="24"/>
        </w:rPr>
        <w:t>8</w:t>
      </w:r>
      <w:r>
        <w:rPr>
          <w:szCs w:val="24"/>
        </w:rPr>
        <w:t>]</w:t>
      </w:r>
      <w:r>
        <w:rPr>
          <w:szCs w:val="24"/>
        </w:rPr>
        <w:tab/>
      </w:r>
      <w:r w:rsidR="002938BC">
        <w:rPr>
          <w:szCs w:val="24"/>
        </w:rPr>
        <w:t>With re</w:t>
      </w:r>
      <w:r>
        <w:rPr>
          <w:szCs w:val="24"/>
        </w:rPr>
        <w:t xml:space="preserve">ference </w:t>
      </w:r>
      <w:r w:rsidR="002938BC">
        <w:rPr>
          <w:szCs w:val="24"/>
        </w:rPr>
        <w:t>to the affidavit by</w:t>
      </w:r>
      <w:r>
        <w:rPr>
          <w:szCs w:val="24"/>
        </w:rPr>
        <w:t xml:space="preserve"> security officer Mr Joseph </w:t>
      </w:r>
      <w:proofErr w:type="spellStart"/>
      <w:r>
        <w:rPr>
          <w:szCs w:val="24"/>
        </w:rPr>
        <w:t>Nzamene</w:t>
      </w:r>
      <w:proofErr w:type="spellEnd"/>
      <w:r w:rsidR="00D5214C">
        <w:rPr>
          <w:szCs w:val="24"/>
        </w:rPr>
        <w:t>,</w:t>
      </w:r>
      <w:r w:rsidR="002938BC">
        <w:rPr>
          <w:szCs w:val="24"/>
        </w:rPr>
        <w:t xml:space="preserve"> the respondent </w:t>
      </w:r>
      <w:r w:rsidR="00A83395">
        <w:rPr>
          <w:szCs w:val="24"/>
        </w:rPr>
        <w:t xml:space="preserve">points out that </w:t>
      </w:r>
      <w:r w:rsidR="002938BC">
        <w:rPr>
          <w:szCs w:val="24"/>
        </w:rPr>
        <w:t xml:space="preserve">it does not </w:t>
      </w:r>
      <w:r w:rsidR="00C301FC">
        <w:rPr>
          <w:szCs w:val="24"/>
        </w:rPr>
        <w:t>specify the person who manhandled the complainant and who cause</w:t>
      </w:r>
      <w:r w:rsidR="00D5214C">
        <w:rPr>
          <w:szCs w:val="24"/>
        </w:rPr>
        <w:t>d</w:t>
      </w:r>
      <w:r w:rsidR="00C301FC">
        <w:rPr>
          <w:szCs w:val="24"/>
        </w:rPr>
        <w:t xml:space="preserve"> the skirt of the complainant to be torn and the handbag to be broken.</w:t>
      </w:r>
      <w:r w:rsidR="009C0EEA">
        <w:rPr>
          <w:szCs w:val="24"/>
        </w:rPr>
        <w:t xml:space="preserve"> </w:t>
      </w:r>
      <w:r w:rsidR="00C301FC">
        <w:rPr>
          <w:szCs w:val="24"/>
        </w:rPr>
        <w:t xml:space="preserve"> Furthermore </w:t>
      </w:r>
      <w:r w:rsidR="003D1BC6">
        <w:rPr>
          <w:szCs w:val="24"/>
        </w:rPr>
        <w:t xml:space="preserve">that </w:t>
      </w:r>
      <w:r w:rsidR="00C301FC">
        <w:rPr>
          <w:szCs w:val="24"/>
        </w:rPr>
        <w:t>Mr Joseph</w:t>
      </w:r>
      <w:r w:rsidR="003D1BC6">
        <w:rPr>
          <w:szCs w:val="24"/>
        </w:rPr>
        <w:t xml:space="preserve"> </w:t>
      </w:r>
      <w:proofErr w:type="spellStart"/>
      <w:r w:rsidR="00D617BA">
        <w:rPr>
          <w:szCs w:val="24"/>
        </w:rPr>
        <w:t>Nzamene</w:t>
      </w:r>
      <w:proofErr w:type="spellEnd"/>
      <w:r w:rsidR="00D617BA">
        <w:rPr>
          <w:szCs w:val="24"/>
        </w:rPr>
        <w:t xml:space="preserve"> </w:t>
      </w:r>
      <w:r w:rsidR="009A5BF7">
        <w:rPr>
          <w:szCs w:val="24"/>
        </w:rPr>
        <w:t>failed</w:t>
      </w:r>
      <w:r w:rsidR="00C301FC">
        <w:rPr>
          <w:szCs w:val="24"/>
        </w:rPr>
        <w:t xml:space="preserve"> to state exactly whom he saw ha</w:t>
      </w:r>
      <w:r w:rsidR="00287C70">
        <w:rPr>
          <w:szCs w:val="24"/>
        </w:rPr>
        <w:t>ving sex</w:t>
      </w:r>
      <w:r w:rsidR="000F6C9A">
        <w:rPr>
          <w:szCs w:val="24"/>
        </w:rPr>
        <w:t>ual intercourse</w:t>
      </w:r>
      <w:r w:rsidR="00287C70">
        <w:rPr>
          <w:szCs w:val="24"/>
        </w:rPr>
        <w:t xml:space="preserve"> with the complainant.</w:t>
      </w:r>
      <w:r w:rsidR="009C0EEA">
        <w:rPr>
          <w:szCs w:val="24"/>
        </w:rPr>
        <w:t xml:space="preserve"> </w:t>
      </w:r>
      <w:r w:rsidR="00287C70">
        <w:rPr>
          <w:szCs w:val="24"/>
        </w:rPr>
        <w:t xml:space="preserve"> </w:t>
      </w:r>
      <w:r w:rsidR="009A5BF7">
        <w:rPr>
          <w:szCs w:val="24"/>
        </w:rPr>
        <w:t xml:space="preserve">The respondent went on to say that he found it </w:t>
      </w:r>
      <w:r w:rsidR="002938BC">
        <w:rPr>
          <w:szCs w:val="24"/>
        </w:rPr>
        <w:t>strange that police officer</w:t>
      </w:r>
      <w:r w:rsidR="009A5BF7">
        <w:rPr>
          <w:szCs w:val="24"/>
        </w:rPr>
        <w:t xml:space="preserve">, </w:t>
      </w:r>
      <w:proofErr w:type="spellStart"/>
      <w:r w:rsidR="009A5BF7">
        <w:rPr>
          <w:szCs w:val="24"/>
        </w:rPr>
        <w:t>Marungu</w:t>
      </w:r>
      <w:proofErr w:type="spellEnd"/>
      <w:r w:rsidR="009A5BF7">
        <w:rPr>
          <w:szCs w:val="24"/>
        </w:rPr>
        <w:t>,</w:t>
      </w:r>
      <w:r w:rsidR="000470CF">
        <w:rPr>
          <w:szCs w:val="24"/>
        </w:rPr>
        <w:t xml:space="preserve"> </w:t>
      </w:r>
      <w:r w:rsidR="009A5BF7">
        <w:rPr>
          <w:szCs w:val="24"/>
        </w:rPr>
        <w:t>in</w:t>
      </w:r>
      <w:r w:rsidR="000470CF">
        <w:rPr>
          <w:szCs w:val="24"/>
        </w:rPr>
        <w:t xml:space="preserve"> </w:t>
      </w:r>
      <w:r w:rsidR="009A5BF7">
        <w:rPr>
          <w:szCs w:val="24"/>
        </w:rPr>
        <w:t xml:space="preserve">his affidavit </w:t>
      </w:r>
      <w:r w:rsidR="000470CF">
        <w:rPr>
          <w:szCs w:val="24"/>
        </w:rPr>
        <w:t>alleged</w:t>
      </w:r>
      <w:r w:rsidR="009A5BF7">
        <w:rPr>
          <w:szCs w:val="24"/>
        </w:rPr>
        <w:t xml:space="preserve"> that when they arrived at the scene they made </w:t>
      </w:r>
      <w:r w:rsidR="009C0EEA">
        <w:rPr>
          <w:szCs w:val="24"/>
        </w:rPr>
        <w:t>‘</w:t>
      </w:r>
      <w:r w:rsidR="009A5BF7">
        <w:rPr>
          <w:szCs w:val="24"/>
        </w:rPr>
        <w:t>observations</w:t>
      </w:r>
      <w:r w:rsidR="009C0EEA">
        <w:rPr>
          <w:szCs w:val="24"/>
        </w:rPr>
        <w:t xml:space="preserve">’ </w:t>
      </w:r>
      <w:r w:rsidR="009A5BF7">
        <w:rPr>
          <w:szCs w:val="24"/>
        </w:rPr>
        <w:t xml:space="preserve">that </w:t>
      </w:r>
      <w:r w:rsidR="00F55E38">
        <w:rPr>
          <w:szCs w:val="24"/>
        </w:rPr>
        <w:t xml:space="preserve">the respondent was standing at the back of the complainant and had his </w:t>
      </w:r>
      <w:r w:rsidR="009A5BF7">
        <w:rPr>
          <w:szCs w:val="24"/>
        </w:rPr>
        <w:t>penis</w:t>
      </w:r>
      <w:r w:rsidR="00F55E38">
        <w:rPr>
          <w:szCs w:val="24"/>
        </w:rPr>
        <w:t xml:space="preserve"> inside the complainant and</w:t>
      </w:r>
      <w:r w:rsidR="00D617BA">
        <w:rPr>
          <w:szCs w:val="24"/>
        </w:rPr>
        <w:t xml:space="preserve"> was</w:t>
      </w:r>
      <w:r w:rsidR="00F55E38">
        <w:rPr>
          <w:szCs w:val="24"/>
        </w:rPr>
        <w:t xml:space="preserve"> hitting her on the head with a silver knife</w:t>
      </w:r>
      <w:r w:rsidR="009A5BF7">
        <w:rPr>
          <w:szCs w:val="24"/>
        </w:rPr>
        <w:t xml:space="preserve">; and </w:t>
      </w:r>
      <w:r w:rsidR="00F55E38">
        <w:rPr>
          <w:szCs w:val="24"/>
        </w:rPr>
        <w:t xml:space="preserve">that he threatened the complainant with a knife if she </w:t>
      </w:r>
      <w:r w:rsidR="009A5BF7">
        <w:rPr>
          <w:szCs w:val="24"/>
        </w:rPr>
        <w:t>did</w:t>
      </w:r>
      <w:r w:rsidR="00F55E38">
        <w:rPr>
          <w:szCs w:val="24"/>
        </w:rPr>
        <w:t xml:space="preserve"> not suck </w:t>
      </w:r>
      <w:proofErr w:type="spellStart"/>
      <w:r w:rsidR="009A5BF7">
        <w:rPr>
          <w:szCs w:val="24"/>
        </w:rPr>
        <w:t>Cloete’s</w:t>
      </w:r>
      <w:proofErr w:type="spellEnd"/>
      <w:r w:rsidR="009A5BF7">
        <w:rPr>
          <w:szCs w:val="24"/>
        </w:rPr>
        <w:t xml:space="preserve"> penis. </w:t>
      </w:r>
      <w:r w:rsidR="009C0EEA">
        <w:rPr>
          <w:szCs w:val="24"/>
        </w:rPr>
        <w:t xml:space="preserve"> </w:t>
      </w:r>
      <w:r w:rsidR="009A5BF7">
        <w:rPr>
          <w:szCs w:val="24"/>
        </w:rPr>
        <w:t xml:space="preserve">In this context the respondent points out that </w:t>
      </w:r>
      <w:r w:rsidR="00F55E38">
        <w:rPr>
          <w:szCs w:val="24"/>
        </w:rPr>
        <w:t xml:space="preserve">the applicant failed to state </w:t>
      </w:r>
      <w:r w:rsidR="009A5BF7">
        <w:rPr>
          <w:szCs w:val="24"/>
        </w:rPr>
        <w:t>whether the police officers made those observations</w:t>
      </w:r>
      <w:r w:rsidR="00495DB6">
        <w:rPr>
          <w:szCs w:val="24"/>
        </w:rPr>
        <w:t xml:space="preserve"> each one </w:t>
      </w:r>
      <w:r w:rsidR="009A5BF7">
        <w:rPr>
          <w:szCs w:val="24"/>
        </w:rPr>
        <w:t>personally</w:t>
      </w:r>
      <w:r w:rsidR="00F55E38">
        <w:rPr>
          <w:szCs w:val="24"/>
        </w:rPr>
        <w:t xml:space="preserve"> or</w:t>
      </w:r>
      <w:r w:rsidR="00FB115D">
        <w:rPr>
          <w:szCs w:val="24"/>
        </w:rPr>
        <w:t xml:space="preserve"> individually</w:t>
      </w:r>
      <w:r w:rsidR="00D617BA">
        <w:rPr>
          <w:szCs w:val="24"/>
        </w:rPr>
        <w:t>,</w:t>
      </w:r>
      <w:r w:rsidR="008E7A3D">
        <w:rPr>
          <w:szCs w:val="24"/>
        </w:rPr>
        <w:t xml:space="preserve"> or</w:t>
      </w:r>
      <w:r w:rsidR="00F55E38">
        <w:rPr>
          <w:szCs w:val="24"/>
        </w:rPr>
        <w:t xml:space="preserve"> whether</w:t>
      </w:r>
      <w:r w:rsidR="00FB115D">
        <w:rPr>
          <w:szCs w:val="24"/>
        </w:rPr>
        <w:t xml:space="preserve"> they were</w:t>
      </w:r>
      <w:r w:rsidR="00F55E38">
        <w:rPr>
          <w:szCs w:val="24"/>
        </w:rPr>
        <w:t xml:space="preserve"> </w:t>
      </w:r>
      <w:r w:rsidR="00495DB6">
        <w:rPr>
          <w:szCs w:val="24"/>
        </w:rPr>
        <w:t>conveyed to them by others.</w:t>
      </w:r>
    </w:p>
    <w:p w14:paraId="0945E727" w14:textId="77777777" w:rsidR="009C0EEA" w:rsidRDefault="009C0EEA" w:rsidP="00E7287F">
      <w:pPr>
        <w:ind w:left="10"/>
        <w:jc w:val="both"/>
        <w:rPr>
          <w:szCs w:val="24"/>
        </w:rPr>
      </w:pPr>
    </w:p>
    <w:p w14:paraId="177C82A0" w14:textId="29A54C53" w:rsidR="00F22388" w:rsidRDefault="00495DB6" w:rsidP="00E7287F">
      <w:pPr>
        <w:ind w:left="10"/>
        <w:jc w:val="both"/>
        <w:rPr>
          <w:szCs w:val="24"/>
        </w:rPr>
      </w:pPr>
      <w:r>
        <w:rPr>
          <w:szCs w:val="24"/>
        </w:rPr>
        <w:lastRenderedPageBreak/>
        <w:t>[2</w:t>
      </w:r>
      <w:r w:rsidR="00D15544">
        <w:rPr>
          <w:szCs w:val="24"/>
        </w:rPr>
        <w:t>9</w:t>
      </w:r>
      <w:r>
        <w:rPr>
          <w:szCs w:val="24"/>
        </w:rPr>
        <w:t>]</w:t>
      </w:r>
      <w:r>
        <w:rPr>
          <w:szCs w:val="24"/>
        </w:rPr>
        <w:tab/>
      </w:r>
      <w:r w:rsidR="00F55E38">
        <w:rPr>
          <w:szCs w:val="24"/>
        </w:rPr>
        <w:t xml:space="preserve">The respondent </w:t>
      </w:r>
      <w:r w:rsidR="006414E2">
        <w:rPr>
          <w:szCs w:val="24"/>
        </w:rPr>
        <w:t>continues</w:t>
      </w:r>
      <w:r>
        <w:rPr>
          <w:szCs w:val="24"/>
        </w:rPr>
        <w:t xml:space="preserve"> to submit that </w:t>
      </w:r>
      <w:r w:rsidR="00F55E38">
        <w:rPr>
          <w:szCs w:val="24"/>
        </w:rPr>
        <w:t xml:space="preserve">the only </w:t>
      </w:r>
      <w:r>
        <w:rPr>
          <w:szCs w:val="24"/>
        </w:rPr>
        <w:t xml:space="preserve">link between the </w:t>
      </w:r>
      <w:r w:rsidR="00F55E38">
        <w:rPr>
          <w:szCs w:val="24"/>
        </w:rPr>
        <w:t>property</w:t>
      </w:r>
      <w:r>
        <w:rPr>
          <w:szCs w:val="24"/>
        </w:rPr>
        <w:t xml:space="preserve"> and the alleged offence is </w:t>
      </w:r>
      <w:r w:rsidR="000470CF">
        <w:rPr>
          <w:szCs w:val="24"/>
        </w:rPr>
        <w:t>that the</w:t>
      </w:r>
      <w:r>
        <w:rPr>
          <w:szCs w:val="24"/>
        </w:rPr>
        <w:t xml:space="preserve"> property </w:t>
      </w:r>
      <w:r w:rsidR="00F55E38">
        <w:rPr>
          <w:szCs w:val="24"/>
        </w:rPr>
        <w:t xml:space="preserve">was being driven prior to the </w:t>
      </w:r>
      <w:r>
        <w:rPr>
          <w:szCs w:val="24"/>
        </w:rPr>
        <w:t xml:space="preserve">alleged </w:t>
      </w:r>
      <w:r w:rsidR="000470CF">
        <w:rPr>
          <w:szCs w:val="24"/>
        </w:rPr>
        <w:t>offences were</w:t>
      </w:r>
      <w:r>
        <w:rPr>
          <w:szCs w:val="24"/>
        </w:rPr>
        <w:t xml:space="preserve"> </w:t>
      </w:r>
      <w:r w:rsidR="00F55E38">
        <w:rPr>
          <w:szCs w:val="24"/>
        </w:rPr>
        <w:t>allegedly committed</w:t>
      </w:r>
      <w:r>
        <w:rPr>
          <w:szCs w:val="24"/>
        </w:rPr>
        <w:t>.</w:t>
      </w:r>
      <w:r w:rsidR="00F06D4E">
        <w:rPr>
          <w:szCs w:val="24"/>
        </w:rPr>
        <w:t xml:space="preserve"> </w:t>
      </w:r>
      <w:r w:rsidR="00F22388">
        <w:rPr>
          <w:szCs w:val="24"/>
        </w:rPr>
        <w:t xml:space="preserve"> The link</w:t>
      </w:r>
      <w:r w:rsidR="00F55E38">
        <w:rPr>
          <w:szCs w:val="24"/>
        </w:rPr>
        <w:t xml:space="preserve"> makes the property merely incidental to the alleged commission on the </w:t>
      </w:r>
      <w:r w:rsidR="00F22388">
        <w:rPr>
          <w:szCs w:val="24"/>
        </w:rPr>
        <w:t xml:space="preserve">offences. The </w:t>
      </w:r>
      <w:r w:rsidR="006414E2">
        <w:rPr>
          <w:szCs w:val="24"/>
        </w:rPr>
        <w:t>respondent therefore submits</w:t>
      </w:r>
      <w:r w:rsidR="00F55E38">
        <w:rPr>
          <w:szCs w:val="24"/>
        </w:rPr>
        <w:t xml:space="preserve"> that the applicant has failed to pro</w:t>
      </w:r>
      <w:r w:rsidR="007455E1">
        <w:rPr>
          <w:szCs w:val="24"/>
        </w:rPr>
        <w:t>ve on the balance of probabilities</w:t>
      </w:r>
      <w:r w:rsidR="00F55E38">
        <w:rPr>
          <w:szCs w:val="24"/>
        </w:rPr>
        <w:t xml:space="preserve"> that the property was instrumental to the </w:t>
      </w:r>
      <w:r w:rsidR="007455E1">
        <w:rPr>
          <w:szCs w:val="24"/>
        </w:rPr>
        <w:t>alleged</w:t>
      </w:r>
      <w:r w:rsidR="00F55E38">
        <w:rPr>
          <w:szCs w:val="24"/>
        </w:rPr>
        <w:t xml:space="preserve"> offence of rape. </w:t>
      </w:r>
      <w:r w:rsidR="00F06D4E">
        <w:rPr>
          <w:szCs w:val="24"/>
        </w:rPr>
        <w:t xml:space="preserve"> </w:t>
      </w:r>
      <w:r w:rsidR="00F55E38">
        <w:rPr>
          <w:szCs w:val="24"/>
        </w:rPr>
        <w:t xml:space="preserve">The respondent </w:t>
      </w:r>
      <w:r w:rsidR="00F22388">
        <w:rPr>
          <w:szCs w:val="24"/>
        </w:rPr>
        <w:t>submits</w:t>
      </w:r>
      <w:r w:rsidR="00F55E38">
        <w:rPr>
          <w:szCs w:val="24"/>
        </w:rPr>
        <w:t xml:space="preserve"> further t</w:t>
      </w:r>
      <w:r w:rsidR="007455E1">
        <w:rPr>
          <w:szCs w:val="24"/>
        </w:rPr>
        <w:t>hat</w:t>
      </w:r>
      <w:r w:rsidR="00F55E38">
        <w:rPr>
          <w:szCs w:val="24"/>
        </w:rPr>
        <w:t xml:space="preserve"> the applicant has failed to </w:t>
      </w:r>
      <w:r w:rsidR="00F22388">
        <w:rPr>
          <w:szCs w:val="24"/>
        </w:rPr>
        <w:t>make out a</w:t>
      </w:r>
      <w:r w:rsidR="00F55E38">
        <w:rPr>
          <w:szCs w:val="24"/>
        </w:rPr>
        <w:t xml:space="preserve"> case </w:t>
      </w:r>
      <w:r w:rsidR="00D617BA">
        <w:rPr>
          <w:szCs w:val="24"/>
        </w:rPr>
        <w:t xml:space="preserve">explaining </w:t>
      </w:r>
      <w:r w:rsidR="00F55E38">
        <w:rPr>
          <w:szCs w:val="24"/>
        </w:rPr>
        <w:t xml:space="preserve">in what way the property was instrumental in the commission of </w:t>
      </w:r>
      <w:r w:rsidR="00D617BA">
        <w:rPr>
          <w:szCs w:val="24"/>
        </w:rPr>
        <w:t xml:space="preserve">an </w:t>
      </w:r>
      <w:r w:rsidR="00F55E38">
        <w:rPr>
          <w:szCs w:val="24"/>
        </w:rPr>
        <w:t>offence</w:t>
      </w:r>
      <w:r w:rsidR="00F22388">
        <w:rPr>
          <w:szCs w:val="24"/>
        </w:rPr>
        <w:t>,</w:t>
      </w:r>
      <w:r w:rsidR="00F55E38">
        <w:rPr>
          <w:szCs w:val="24"/>
        </w:rPr>
        <w:t xml:space="preserve"> in particular</w:t>
      </w:r>
      <w:r w:rsidR="00F22388">
        <w:rPr>
          <w:szCs w:val="24"/>
        </w:rPr>
        <w:t>,</w:t>
      </w:r>
      <w:r w:rsidR="00F55E38">
        <w:rPr>
          <w:szCs w:val="24"/>
        </w:rPr>
        <w:t xml:space="preserve"> rape; that the applicant merely made a case which demonstrate</w:t>
      </w:r>
      <w:r w:rsidR="000050FC">
        <w:rPr>
          <w:szCs w:val="24"/>
        </w:rPr>
        <w:t>s</w:t>
      </w:r>
      <w:r w:rsidR="00F55E38">
        <w:rPr>
          <w:szCs w:val="24"/>
        </w:rPr>
        <w:t xml:space="preserve"> that the property might have been incidental to the alleged commission of an offence. </w:t>
      </w:r>
      <w:r w:rsidR="00065AAE">
        <w:rPr>
          <w:szCs w:val="24"/>
        </w:rPr>
        <w:t>The respondent further submits</w:t>
      </w:r>
      <w:r w:rsidR="00F55E38">
        <w:rPr>
          <w:szCs w:val="24"/>
        </w:rPr>
        <w:t xml:space="preserve"> that</w:t>
      </w:r>
      <w:r w:rsidR="00065AAE">
        <w:rPr>
          <w:szCs w:val="24"/>
        </w:rPr>
        <w:t xml:space="preserve"> the</w:t>
      </w:r>
      <w:r w:rsidR="006D29D6">
        <w:rPr>
          <w:szCs w:val="24"/>
        </w:rPr>
        <w:t xml:space="preserve"> granting of the forfeiture order will constitute merely a pre-</w:t>
      </w:r>
      <w:r w:rsidR="00F22388">
        <w:rPr>
          <w:szCs w:val="24"/>
        </w:rPr>
        <w:t xml:space="preserve">imposed or </w:t>
      </w:r>
      <w:r w:rsidR="006D29D6">
        <w:rPr>
          <w:szCs w:val="24"/>
        </w:rPr>
        <w:t>additional penalty in relation to the</w:t>
      </w:r>
      <w:r w:rsidR="00D617BA">
        <w:rPr>
          <w:szCs w:val="24"/>
        </w:rPr>
        <w:t xml:space="preserve"> penalty for the</w:t>
      </w:r>
      <w:r w:rsidR="006D29D6">
        <w:rPr>
          <w:szCs w:val="24"/>
        </w:rPr>
        <w:t xml:space="preserve"> alleged offence which the respondent is facing.</w:t>
      </w:r>
    </w:p>
    <w:p w14:paraId="1EAC007B" w14:textId="77777777" w:rsidR="00F22388" w:rsidRDefault="00F22388" w:rsidP="00E7287F">
      <w:pPr>
        <w:ind w:left="10"/>
        <w:jc w:val="both"/>
        <w:rPr>
          <w:szCs w:val="24"/>
        </w:rPr>
      </w:pPr>
    </w:p>
    <w:p w14:paraId="479B25AE" w14:textId="77777777" w:rsidR="00F55E38" w:rsidRDefault="00F22388" w:rsidP="00E7287F">
      <w:pPr>
        <w:ind w:left="10"/>
        <w:jc w:val="both"/>
        <w:rPr>
          <w:szCs w:val="24"/>
        </w:rPr>
      </w:pPr>
      <w:r>
        <w:rPr>
          <w:szCs w:val="24"/>
        </w:rPr>
        <w:t>[</w:t>
      </w:r>
      <w:r w:rsidR="00D15544">
        <w:rPr>
          <w:szCs w:val="24"/>
        </w:rPr>
        <w:t>30</w:t>
      </w:r>
      <w:r>
        <w:rPr>
          <w:szCs w:val="24"/>
        </w:rPr>
        <w:t>]</w:t>
      </w:r>
      <w:r>
        <w:rPr>
          <w:szCs w:val="24"/>
        </w:rPr>
        <w:tab/>
      </w:r>
      <w:r w:rsidR="006D29D6">
        <w:rPr>
          <w:szCs w:val="24"/>
        </w:rPr>
        <w:t>Finally</w:t>
      </w:r>
      <w:r w:rsidR="00922033">
        <w:rPr>
          <w:szCs w:val="24"/>
        </w:rPr>
        <w:t>,</w:t>
      </w:r>
      <w:r w:rsidR="006D29D6">
        <w:rPr>
          <w:szCs w:val="24"/>
        </w:rPr>
        <w:t xml:space="preserve"> the respondent submit</w:t>
      </w:r>
      <w:r>
        <w:rPr>
          <w:szCs w:val="24"/>
        </w:rPr>
        <w:t>s that</w:t>
      </w:r>
      <w:r w:rsidR="006D29D6">
        <w:rPr>
          <w:szCs w:val="24"/>
        </w:rPr>
        <w:t xml:space="preserve"> the prevention of kidnapping or rape is not related to any of the fundamental objective</w:t>
      </w:r>
      <w:r w:rsidR="00922033">
        <w:rPr>
          <w:szCs w:val="24"/>
        </w:rPr>
        <w:t>s</w:t>
      </w:r>
      <w:r w:rsidR="006D29D6">
        <w:rPr>
          <w:szCs w:val="24"/>
        </w:rPr>
        <w:t xml:space="preserve"> of</w:t>
      </w:r>
      <w:r>
        <w:rPr>
          <w:szCs w:val="24"/>
        </w:rPr>
        <w:t xml:space="preserve"> POCA</w:t>
      </w:r>
      <w:r w:rsidR="00636A50">
        <w:rPr>
          <w:szCs w:val="24"/>
        </w:rPr>
        <w:t>; that POCA</w:t>
      </w:r>
      <w:r w:rsidR="006D29D6">
        <w:rPr>
          <w:szCs w:val="24"/>
        </w:rPr>
        <w:t xml:space="preserve"> is a</w:t>
      </w:r>
      <w:r w:rsidR="00636A50">
        <w:rPr>
          <w:szCs w:val="24"/>
        </w:rPr>
        <w:t>im</w:t>
      </w:r>
      <w:r w:rsidR="00922033">
        <w:rPr>
          <w:szCs w:val="24"/>
        </w:rPr>
        <w:t>ed</w:t>
      </w:r>
      <w:r w:rsidR="00636A50">
        <w:rPr>
          <w:szCs w:val="24"/>
        </w:rPr>
        <w:t xml:space="preserve"> at </w:t>
      </w:r>
      <w:r w:rsidR="006D29D6">
        <w:rPr>
          <w:szCs w:val="24"/>
        </w:rPr>
        <w:t>stripping criminals of the proceeds of their crimes</w:t>
      </w:r>
      <w:r w:rsidR="00636A50">
        <w:rPr>
          <w:szCs w:val="24"/>
        </w:rPr>
        <w:t>,</w:t>
      </w:r>
      <w:r w:rsidR="006D29D6">
        <w:rPr>
          <w:szCs w:val="24"/>
        </w:rPr>
        <w:t xml:space="preserve"> the purpose being to remove the incentive for crime and to punish them and not </w:t>
      </w:r>
      <w:r w:rsidR="00636A50">
        <w:rPr>
          <w:szCs w:val="24"/>
        </w:rPr>
        <w:t>serve as</w:t>
      </w:r>
      <w:r w:rsidR="006D29D6">
        <w:rPr>
          <w:szCs w:val="24"/>
        </w:rPr>
        <w:t xml:space="preserve"> </w:t>
      </w:r>
      <w:r w:rsidR="00922033">
        <w:rPr>
          <w:szCs w:val="24"/>
        </w:rPr>
        <w:t xml:space="preserve">a </w:t>
      </w:r>
      <w:r w:rsidR="006D29D6">
        <w:rPr>
          <w:szCs w:val="24"/>
        </w:rPr>
        <w:t>pre-impose</w:t>
      </w:r>
      <w:r w:rsidR="00922033">
        <w:rPr>
          <w:szCs w:val="24"/>
        </w:rPr>
        <w:t>d</w:t>
      </w:r>
      <w:r w:rsidR="006D29D6">
        <w:rPr>
          <w:szCs w:val="24"/>
        </w:rPr>
        <w:t xml:space="preserve"> penalty in pending criminal matter</w:t>
      </w:r>
      <w:r w:rsidR="00636A50">
        <w:rPr>
          <w:szCs w:val="24"/>
        </w:rPr>
        <w:t>s.</w:t>
      </w:r>
    </w:p>
    <w:p w14:paraId="26016A7D" w14:textId="77777777" w:rsidR="00636A50" w:rsidRDefault="00636A50" w:rsidP="00E7287F">
      <w:pPr>
        <w:ind w:left="10"/>
        <w:jc w:val="both"/>
        <w:rPr>
          <w:szCs w:val="24"/>
        </w:rPr>
      </w:pPr>
    </w:p>
    <w:p w14:paraId="1F5F14EE" w14:textId="215BC4B9" w:rsidR="00636A50" w:rsidRDefault="00636A50" w:rsidP="00E7287F">
      <w:pPr>
        <w:ind w:left="10"/>
        <w:jc w:val="both"/>
        <w:rPr>
          <w:szCs w:val="24"/>
        </w:rPr>
      </w:pPr>
      <w:r>
        <w:rPr>
          <w:szCs w:val="24"/>
        </w:rPr>
        <w:t>[</w:t>
      </w:r>
      <w:r w:rsidR="00D15544">
        <w:rPr>
          <w:szCs w:val="24"/>
        </w:rPr>
        <w:t>31</w:t>
      </w:r>
      <w:r w:rsidR="003701A2">
        <w:rPr>
          <w:szCs w:val="24"/>
        </w:rPr>
        <w:t>]</w:t>
      </w:r>
      <w:r w:rsidR="003701A2">
        <w:rPr>
          <w:szCs w:val="24"/>
        </w:rPr>
        <w:tab/>
        <w:t>The Prosecutor-</w:t>
      </w:r>
      <w:r>
        <w:rPr>
          <w:szCs w:val="24"/>
        </w:rPr>
        <w:t>General filed a replying affidavit which in broad</w:t>
      </w:r>
      <w:r w:rsidR="000F6C9A">
        <w:rPr>
          <w:szCs w:val="24"/>
        </w:rPr>
        <w:t xml:space="preserve"> strokes</w:t>
      </w:r>
      <w:r>
        <w:rPr>
          <w:szCs w:val="24"/>
        </w:rPr>
        <w:t xml:space="preserve"> traversed and dealt with the assertions in the</w:t>
      </w:r>
      <w:r w:rsidR="00347FEB">
        <w:rPr>
          <w:szCs w:val="24"/>
        </w:rPr>
        <w:t xml:space="preserve"> respondent’s</w:t>
      </w:r>
      <w:r>
        <w:rPr>
          <w:szCs w:val="24"/>
        </w:rPr>
        <w:t xml:space="preserve"> answering affidavit. Where necessary I will refer to its content when analysing the different versions</w:t>
      </w:r>
      <w:r w:rsidR="00673550">
        <w:rPr>
          <w:szCs w:val="24"/>
        </w:rPr>
        <w:t>.</w:t>
      </w:r>
    </w:p>
    <w:p w14:paraId="1DB2A7EF" w14:textId="77777777" w:rsidR="00673550" w:rsidRDefault="00673550" w:rsidP="00E7287F">
      <w:pPr>
        <w:ind w:left="10"/>
        <w:jc w:val="both"/>
        <w:rPr>
          <w:szCs w:val="24"/>
        </w:rPr>
      </w:pPr>
    </w:p>
    <w:p w14:paraId="69E13B83" w14:textId="77777777" w:rsidR="00673550" w:rsidRPr="00F508B0" w:rsidRDefault="00673550" w:rsidP="00E7287F">
      <w:pPr>
        <w:ind w:left="10"/>
        <w:jc w:val="both"/>
        <w:rPr>
          <w:szCs w:val="24"/>
          <w:u w:val="single"/>
        </w:rPr>
      </w:pPr>
      <w:r w:rsidRPr="00F508B0">
        <w:rPr>
          <w:szCs w:val="24"/>
          <w:u w:val="single"/>
        </w:rPr>
        <w:t xml:space="preserve">Points </w:t>
      </w:r>
      <w:r w:rsidRPr="00F508B0">
        <w:rPr>
          <w:i/>
          <w:szCs w:val="24"/>
          <w:u w:val="single"/>
        </w:rPr>
        <w:t xml:space="preserve">in </w:t>
      </w:r>
      <w:proofErr w:type="spellStart"/>
      <w:r w:rsidRPr="00F508B0">
        <w:rPr>
          <w:i/>
          <w:szCs w:val="24"/>
          <w:u w:val="single"/>
        </w:rPr>
        <w:t>limine</w:t>
      </w:r>
      <w:proofErr w:type="spellEnd"/>
      <w:r w:rsidR="00D66DB3" w:rsidRPr="00F508B0">
        <w:rPr>
          <w:szCs w:val="24"/>
          <w:u w:val="single"/>
        </w:rPr>
        <w:t xml:space="preserve"> considered</w:t>
      </w:r>
    </w:p>
    <w:p w14:paraId="00B4F992" w14:textId="77777777" w:rsidR="00673550" w:rsidRDefault="00673550" w:rsidP="00E7287F">
      <w:pPr>
        <w:ind w:left="10"/>
        <w:jc w:val="both"/>
        <w:rPr>
          <w:i/>
          <w:szCs w:val="24"/>
        </w:rPr>
      </w:pPr>
    </w:p>
    <w:p w14:paraId="39D6F582" w14:textId="390AF5A7" w:rsidR="00AD2B23" w:rsidRDefault="0067212C" w:rsidP="00E7287F">
      <w:pPr>
        <w:ind w:left="10"/>
        <w:jc w:val="both"/>
        <w:rPr>
          <w:szCs w:val="24"/>
        </w:rPr>
      </w:pPr>
      <w:r>
        <w:rPr>
          <w:szCs w:val="24"/>
        </w:rPr>
        <w:t>[32]</w:t>
      </w:r>
      <w:r>
        <w:rPr>
          <w:szCs w:val="24"/>
        </w:rPr>
        <w:tab/>
      </w:r>
      <w:r w:rsidR="00347FEB">
        <w:rPr>
          <w:szCs w:val="24"/>
        </w:rPr>
        <w:t>I will first consider the point</w:t>
      </w:r>
      <w:r>
        <w:rPr>
          <w:szCs w:val="24"/>
        </w:rPr>
        <w:t>s</w:t>
      </w:r>
      <w:r w:rsidR="00347FEB">
        <w:rPr>
          <w:szCs w:val="24"/>
        </w:rPr>
        <w:t xml:space="preserve"> </w:t>
      </w:r>
      <w:r w:rsidR="00347FEB" w:rsidRPr="00451BAD">
        <w:rPr>
          <w:i/>
          <w:szCs w:val="24"/>
        </w:rPr>
        <w:t xml:space="preserve">in </w:t>
      </w:r>
      <w:proofErr w:type="spellStart"/>
      <w:r w:rsidR="00347FEB" w:rsidRPr="00451BAD">
        <w:rPr>
          <w:i/>
          <w:szCs w:val="24"/>
        </w:rPr>
        <w:t>limine</w:t>
      </w:r>
      <w:proofErr w:type="spellEnd"/>
      <w:r w:rsidR="00347FEB">
        <w:rPr>
          <w:szCs w:val="24"/>
        </w:rPr>
        <w:t xml:space="preserve"> raised by the respondent before proceeding to deal with </w:t>
      </w:r>
      <w:r w:rsidR="00922033">
        <w:rPr>
          <w:szCs w:val="24"/>
        </w:rPr>
        <w:t xml:space="preserve">the </w:t>
      </w:r>
      <w:r w:rsidR="00347FEB">
        <w:rPr>
          <w:szCs w:val="24"/>
        </w:rPr>
        <w:t>merits of the matter.</w:t>
      </w:r>
      <w:r w:rsidR="00F06D4E">
        <w:rPr>
          <w:szCs w:val="24"/>
        </w:rPr>
        <w:t xml:space="preserve"> </w:t>
      </w:r>
      <w:r w:rsidR="00451BAD">
        <w:rPr>
          <w:szCs w:val="24"/>
        </w:rPr>
        <w:t xml:space="preserve"> </w:t>
      </w:r>
      <w:r w:rsidR="00614BF5">
        <w:rPr>
          <w:szCs w:val="24"/>
        </w:rPr>
        <w:t xml:space="preserve">As mentioned </w:t>
      </w:r>
      <w:r w:rsidR="00F977B0">
        <w:rPr>
          <w:szCs w:val="24"/>
        </w:rPr>
        <w:t>earlier</w:t>
      </w:r>
      <w:r w:rsidR="00F06D4E">
        <w:rPr>
          <w:szCs w:val="24"/>
        </w:rPr>
        <w:t xml:space="preserve"> in this judgement</w:t>
      </w:r>
      <w:r w:rsidR="00614BF5">
        <w:rPr>
          <w:szCs w:val="24"/>
        </w:rPr>
        <w:t>, t</w:t>
      </w:r>
      <w:r w:rsidR="00DD3CDB">
        <w:rPr>
          <w:szCs w:val="24"/>
        </w:rPr>
        <w:t>he first point relate</w:t>
      </w:r>
      <w:r w:rsidR="00347FEB">
        <w:rPr>
          <w:szCs w:val="24"/>
        </w:rPr>
        <w:t xml:space="preserve">s </w:t>
      </w:r>
      <w:r w:rsidR="00DD3CDB">
        <w:rPr>
          <w:szCs w:val="24"/>
        </w:rPr>
        <w:t xml:space="preserve">to </w:t>
      </w:r>
      <w:r w:rsidR="00673550">
        <w:rPr>
          <w:szCs w:val="24"/>
        </w:rPr>
        <w:t>the c</w:t>
      </w:r>
      <w:r w:rsidR="0095708E">
        <w:rPr>
          <w:szCs w:val="24"/>
        </w:rPr>
        <w:t>ommissioning of the affidavit of</w:t>
      </w:r>
      <w:r w:rsidR="00673550">
        <w:rPr>
          <w:szCs w:val="24"/>
        </w:rPr>
        <w:t xml:space="preserve"> Warrant Officer </w:t>
      </w:r>
      <w:proofErr w:type="spellStart"/>
      <w:r w:rsidR="00673550">
        <w:rPr>
          <w:szCs w:val="24"/>
        </w:rPr>
        <w:t>Nambadi</w:t>
      </w:r>
      <w:proofErr w:type="spellEnd"/>
      <w:r w:rsidR="003843C2">
        <w:rPr>
          <w:szCs w:val="24"/>
        </w:rPr>
        <w:t>.  Mr Isaacks for the respondent s</w:t>
      </w:r>
      <w:r w:rsidR="0095708E">
        <w:rPr>
          <w:szCs w:val="24"/>
        </w:rPr>
        <w:t>ubmits that the affidavits of</w:t>
      </w:r>
      <w:r w:rsidR="003843C2">
        <w:rPr>
          <w:szCs w:val="24"/>
        </w:rPr>
        <w:t xml:space="preserve"> Warrant Officer </w:t>
      </w:r>
      <w:proofErr w:type="spellStart"/>
      <w:r w:rsidR="003843C2">
        <w:rPr>
          <w:szCs w:val="24"/>
        </w:rPr>
        <w:t>Nambadi</w:t>
      </w:r>
      <w:proofErr w:type="spellEnd"/>
      <w:r w:rsidR="003843C2">
        <w:rPr>
          <w:szCs w:val="24"/>
        </w:rPr>
        <w:t xml:space="preserve"> does not constitute a proper affidavit in that it does not comply with the peremptory requirements of the Regulations governing the administration of Oaths or Affirmation. </w:t>
      </w:r>
      <w:r w:rsidR="00F06D4E">
        <w:rPr>
          <w:szCs w:val="24"/>
        </w:rPr>
        <w:t xml:space="preserve"> </w:t>
      </w:r>
      <w:r w:rsidR="003843C2">
        <w:rPr>
          <w:szCs w:val="24"/>
        </w:rPr>
        <w:t>The Regulation</w:t>
      </w:r>
      <w:r w:rsidR="000D3F34">
        <w:rPr>
          <w:szCs w:val="24"/>
        </w:rPr>
        <w:t xml:space="preserve"> in </w:t>
      </w:r>
      <w:r w:rsidR="000D3F34">
        <w:rPr>
          <w:szCs w:val="24"/>
        </w:rPr>
        <w:lastRenderedPageBreak/>
        <w:t>question provides that the C</w:t>
      </w:r>
      <w:r w:rsidR="003843C2">
        <w:rPr>
          <w:szCs w:val="24"/>
        </w:rPr>
        <w:t xml:space="preserve">ommissioner of </w:t>
      </w:r>
      <w:r w:rsidR="00922033">
        <w:rPr>
          <w:szCs w:val="24"/>
        </w:rPr>
        <w:t>O</w:t>
      </w:r>
      <w:r w:rsidR="003843C2">
        <w:rPr>
          <w:szCs w:val="24"/>
        </w:rPr>
        <w:t>ath</w:t>
      </w:r>
      <w:r w:rsidR="00922033">
        <w:rPr>
          <w:szCs w:val="24"/>
        </w:rPr>
        <w:t>s</w:t>
      </w:r>
      <w:r w:rsidR="003843C2">
        <w:rPr>
          <w:szCs w:val="24"/>
        </w:rPr>
        <w:t xml:space="preserve"> shall state his</w:t>
      </w:r>
      <w:r w:rsidR="000D3F34">
        <w:rPr>
          <w:szCs w:val="24"/>
        </w:rPr>
        <w:t>/her</w:t>
      </w:r>
      <w:r w:rsidR="003843C2">
        <w:rPr>
          <w:szCs w:val="24"/>
        </w:rPr>
        <w:t xml:space="preserve"> </w:t>
      </w:r>
      <w:r w:rsidR="00F403E7">
        <w:rPr>
          <w:szCs w:val="24"/>
        </w:rPr>
        <w:t>designation</w:t>
      </w:r>
      <w:r w:rsidR="003843C2">
        <w:rPr>
          <w:szCs w:val="24"/>
        </w:rPr>
        <w:t xml:space="preserve"> and the area for which he</w:t>
      </w:r>
      <w:r w:rsidR="000D3F34">
        <w:rPr>
          <w:szCs w:val="24"/>
        </w:rPr>
        <w:t>/she</w:t>
      </w:r>
      <w:r w:rsidR="003843C2">
        <w:rPr>
          <w:szCs w:val="24"/>
        </w:rPr>
        <w:t xml:space="preserve"> holds his</w:t>
      </w:r>
      <w:r w:rsidR="00922033">
        <w:rPr>
          <w:szCs w:val="24"/>
        </w:rPr>
        <w:t>/her</w:t>
      </w:r>
      <w:r w:rsidR="003843C2">
        <w:rPr>
          <w:szCs w:val="24"/>
        </w:rPr>
        <w:t xml:space="preserve"> appointment or the office held by him</w:t>
      </w:r>
      <w:r w:rsidR="000D3F34">
        <w:rPr>
          <w:szCs w:val="24"/>
        </w:rPr>
        <w:t>/her</w:t>
      </w:r>
      <w:r w:rsidR="003843C2">
        <w:rPr>
          <w:szCs w:val="24"/>
        </w:rPr>
        <w:t xml:space="preserve"> if he</w:t>
      </w:r>
      <w:r w:rsidR="000D3F34">
        <w:rPr>
          <w:szCs w:val="24"/>
        </w:rPr>
        <w:t>/she</w:t>
      </w:r>
      <w:r w:rsidR="003843C2">
        <w:rPr>
          <w:szCs w:val="24"/>
        </w:rPr>
        <w:t xml:space="preserve"> holds the </w:t>
      </w:r>
      <w:r w:rsidR="00F403E7">
        <w:rPr>
          <w:szCs w:val="24"/>
        </w:rPr>
        <w:t xml:space="preserve">office ex </w:t>
      </w:r>
      <w:r w:rsidR="00451BAD">
        <w:rPr>
          <w:szCs w:val="24"/>
        </w:rPr>
        <w:t>officio.</w:t>
      </w:r>
      <w:r w:rsidR="00F06D4E">
        <w:rPr>
          <w:szCs w:val="24"/>
        </w:rPr>
        <w:t xml:space="preserve"> </w:t>
      </w:r>
      <w:r w:rsidR="00F403E7">
        <w:rPr>
          <w:szCs w:val="24"/>
        </w:rPr>
        <w:t xml:space="preserve"> In this respe</w:t>
      </w:r>
      <w:r w:rsidR="000D3F34">
        <w:rPr>
          <w:szCs w:val="24"/>
        </w:rPr>
        <w:t>ct Counsel points out that the C</w:t>
      </w:r>
      <w:r w:rsidR="00F403E7">
        <w:rPr>
          <w:szCs w:val="24"/>
        </w:rPr>
        <w:t xml:space="preserve">ommissioner </w:t>
      </w:r>
      <w:r w:rsidR="00922033">
        <w:rPr>
          <w:szCs w:val="24"/>
        </w:rPr>
        <w:t>of Oaths for</w:t>
      </w:r>
      <w:r w:rsidR="00F403E7">
        <w:rPr>
          <w:szCs w:val="24"/>
        </w:rPr>
        <w:t xml:space="preserve"> the affidavit by W/O </w:t>
      </w:r>
      <w:proofErr w:type="spellStart"/>
      <w:r w:rsidR="00F403E7">
        <w:rPr>
          <w:szCs w:val="24"/>
        </w:rPr>
        <w:t>Nambadi</w:t>
      </w:r>
      <w:proofErr w:type="spellEnd"/>
      <w:r w:rsidR="00F403E7">
        <w:rPr>
          <w:szCs w:val="24"/>
        </w:rPr>
        <w:t xml:space="preserve"> merely </w:t>
      </w:r>
      <w:r w:rsidR="001D371E">
        <w:rPr>
          <w:szCs w:val="24"/>
        </w:rPr>
        <w:t>stated</w:t>
      </w:r>
      <w:r w:rsidR="00F403E7">
        <w:rPr>
          <w:szCs w:val="24"/>
        </w:rPr>
        <w:t xml:space="preserve"> a number and some sort of an abbreviation as his desig</w:t>
      </w:r>
      <w:r w:rsidR="00451BAD">
        <w:rPr>
          <w:szCs w:val="24"/>
        </w:rPr>
        <w:t xml:space="preserve">nation. </w:t>
      </w:r>
      <w:r w:rsidR="00F403E7">
        <w:rPr>
          <w:szCs w:val="24"/>
        </w:rPr>
        <w:t>Counsel submits</w:t>
      </w:r>
      <w:r w:rsidR="007A2B36">
        <w:rPr>
          <w:szCs w:val="24"/>
        </w:rPr>
        <w:t xml:space="preserve"> further</w:t>
      </w:r>
      <w:r w:rsidR="00F403E7">
        <w:rPr>
          <w:szCs w:val="24"/>
        </w:rPr>
        <w:t xml:space="preserve"> that a mere number and an abbreviation do not properly and</w:t>
      </w:r>
      <w:r w:rsidR="00922033">
        <w:rPr>
          <w:szCs w:val="24"/>
        </w:rPr>
        <w:t>/</w:t>
      </w:r>
      <w:r w:rsidR="00F403E7">
        <w:rPr>
          <w:szCs w:val="24"/>
        </w:rPr>
        <w:t>or adequately</w:t>
      </w:r>
      <w:r w:rsidR="000D3F34">
        <w:rPr>
          <w:szCs w:val="24"/>
        </w:rPr>
        <w:t xml:space="preserve"> define the designation of the Commissioner of O</w:t>
      </w:r>
      <w:r w:rsidR="00F403E7">
        <w:rPr>
          <w:szCs w:val="24"/>
        </w:rPr>
        <w:t>ath</w:t>
      </w:r>
      <w:r w:rsidR="00922033">
        <w:rPr>
          <w:szCs w:val="24"/>
        </w:rPr>
        <w:t>s;</w:t>
      </w:r>
      <w:r w:rsidR="00F403E7">
        <w:rPr>
          <w:szCs w:val="24"/>
        </w:rPr>
        <w:t xml:space="preserve"> t</w:t>
      </w:r>
      <w:r w:rsidR="000D3F34">
        <w:rPr>
          <w:szCs w:val="24"/>
        </w:rPr>
        <w:t>hus, so the argument goes, the C</w:t>
      </w:r>
      <w:r w:rsidR="00F403E7">
        <w:rPr>
          <w:szCs w:val="24"/>
        </w:rPr>
        <w:t>ommissioner failed to state his designation. Therefore the affidavit is invalid and cannot be relied upon for the relief prayed by the applicant.</w:t>
      </w:r>
    </w:p>
    <w:p w14:paraId="06956129" w14:textId="77777777" w:rsidR="00AD2B23" w:rsidRDefault="00AD2B23" w:rsidP="00E7287F">
      <w:pPr>
        <w:ind w:left="10"/>
        <w:jc w:val="both"/>
        <w:rPr>
          <w:szCs w:val="24"/>
        </w:rPr>
      </w:pPr>
    </w:p>
    <w:p w14:paraId="2BBD142C" w14:textId="22BF672F" w:rsidR="0077787C" w:rsidRDefault="0067212C" w:rsidP="00E7287F">
      <w:pPr>
        <w:ind w:left="10"/>
        <w:jc w:val="both"/>
        <w:rPr>
          <w:szCs w:val="24"/>
        </w:rPr>
      </w:pPr>
      <w:r>
        <w:rPr>
          <w:szCs w:val="24"/>
        </w:rPr>
        <w:t>[33]</w:t>
      </w:r>
      <w:r>
        <w:rPr>
          <w:szCs w:val="24"/>
        </w:rPr>
        <w:tab/>
      </w:r>
      <w:r w:rsidR="00AD2B23">
        <w:rPr>
          <w:szCs w:val="24"/>
        </w:rPr>
        <w:t xml:space="preserve">In my view, there is no merit in </w:t>
      </w:r>
      <w:r w:rsidR="001D19D2">
        <w:rPr>
          <w:szCs w:val="24"/>
        </w:rPr>
        <w:t>this</w:t>
      </w:r>
      <w:r w:rsidR="00AD2B23">
        <w:rPr>
          <w:szCs w:val="24"/>
        </w:rPr>
        <w:t xml:space="preserve"> p</w:t>
      </w:r>
      <w:r w:rsidR="00D66DB3">
        <w:rPr>
          <w:szCs w:val="24"/>
        </w:rPr>
        <w:t>o</w:t>
      </w:r>
      <w:r w:rsidR="00AD2B23">
        <w:rPr>
          <w:szCs w:val="24"/>
        </w:rPr>
        <w:t xml:space="preserve">int </w:t>
      </w:r>
      <w:r w:rsidR="00AD2B23" w:rsidRPr="00B25031">
        <w:rPr>
          <w:i/>
          <w:szCs w:val="24"/>
        </w:rPr>
        <w:t xml:space="preserve">in </w:t>
      </w:r>
      <w:proofErr w:type="spellStart"/>
      <w:r w:rsidR="001D19D2" w:rsidRPr="00B25031">
        <w:rPr>
          <w:i/>
          <w:szCs w:val="24"/>
        </w:rPr>
        <w:t>limine</w:t>
      </w:r>
      <w:proofErr w:type="spellEnd"/>
      <w:r w:rsidR="001D19D2">
        <w:rPr>
          <w:szCs w:val="24"/>
        </w:rPr>
        <w:t>.</w:t>
      </w:r>
      <w:r w:rsidR="00F06D4E">
        <w:rPr>
          <w:szCs w:val="24"/>
        </w:rPr>
        <w:t xml:space="preserve"> </w:t>
      </w:r>
      <w:r w:rsidR="00AD2B23">
        <w:rPr>
          <w:szCs w:val="24"/>
        </w:rPr>
        <w:t xml:space="preserve"> As correctly pointed by counsel for the applicant, </w:t>
      </w:r>
      <w:r w:rsidR="00350F6E" w:rsidRPr="00856ACA">
        <w:rPr>
          <w:i/>
          <w:szCs w:val="24"/>
        </w:rPr>
        <w:t xml:space="preserve">ex </w:t>
      </w:r>
      <w:r w:rsidR="00E722DB">
        <w:rPr>
          <w:i/>
          <w:szCs w:val="24"/>
        </w:rPr>
        <w:t>facie</w:t>
      </w:r>
      <w:r w:rsidR="00AD2B23">
        <w:rPr>
          <w:szCs w:val="24"/>
        </w:rPr>
        <w:t xml:space="preserve"> the affidavit, it is clear that the affidavit was commissioned b</w:t>
      </w:r>
      <w:r w:rsidR="003D7DF8">
        <w:rPr>
          <w:szCs w:val="24"/>
        </w:rPr>
        <w:t>y a police officer, who</w:t>
      </w:r>
      <w:r w:rsidR="00922033">
        <w:rPr>
          <w:szCs w:val="24"/>
        </w:rPr>
        <w:t>,</w:t>
      </w:r>
      <w:r w:rsidR="003D7DF8">
        <w:rPr>
          <w:szCs w:val="24"/>
        </w:rPr>
        <w:t xml:space="preserve"> by law</w:t>
      </w:r>
      <w:r w:rsidR="00AD2B23">
        <w:rPr>
          <w:szCs w:val="24"/>
        </w:rPr>
        <w:t>,</w:t>
      </w:r>
      <w:r w:rsidR="003D7DF8">
        <w:rPr>
          <w:szCs w:val="24"/>
        </w:rPr>
        <w:t xml:space="preserve"> is</w:t>
      </w:r>
      <w:r w:rsidR="00AD2B23">
        <w:rPr>
          <w:szCs w:val="24"/>
        </w:rPr>
        <w:t xml:space="preserve"> a </w:t>
      </w:r>
      <w:r w:rsidR="001A4EF1">
        <w:rPr>
          <w:szCs w:val="24"/>
        </w:rPr>
        <w:t>C</w:t>
      </w:r>
      <w:r w:rsidR="00AD2B23">
        <w:rPr>
          <w:szCs w:val="24"/>
        </w:rPr>
        <w:t xml:space="preserve">ommissioner of </w:t>
      </w:r>
      <w:r w:rsidR="001A4EF1">
        <w:rPr>
          <w:szCs w:val="24"/>
        </w:rPr>
        <w:t>O</w:t>
      </w:r>
      <w:r w:rsidR="00AD2B23">
        <w:rPr>
          <w:szCs w:val="24"/>
        </w:rPr>
        <w:t>ath</w:t>
      </w:r>
      <w:r w:rsidR="00922033">
        <w:rPr>
          <w:szCs w:val="24"/>
        </w:rPr>
        <w:t>s</w:t>
      </w:r>
      <w:r w:rsidR="00AD2B23">
        <w:rPr>
          <w:szCs w:val="24"/>
        </w:rPr>
        <w:t xml:space="preserve"> </w:t>
      </w:r>
      <w:r w:rsidR="00AD2B23" w:rsidRPr="00D662A8">
        <w:rPr>
          <w:i/>
          <w:szCs w:val="24"/>
        </w:rPr>
        <w:t xml:space="preserve">ex </w:t>
      </w:r>
      <w:r w:rsidR="00F06D4E">
        <w:rPr>
          <w:i/>
          <w:szCs w:val="24"/>
        </w:rPr>
        <w:t>officio</w:t>
      </w:r>
      <w:r w:rsidR="00AD2B23">
        <w:rPr>
          <w:szCs w:val="24"/>
        </w:rPr>
        <w:t>.</w:t>
      </w:r>
      <w:r w:rsidR="00F06D4E">
        <w:rPr>
          <w:szCs w:val="24"/>
        </w:rPr>
        <w:t xml:space="preserve">  </w:t>
      </w:r>
      <w:r w:rsidR="00AD2B23">
        <w:rPr>
          <w:szCs w:val="24"/>
        </w:rPr>
        <w:t>The full names of the police officer are provided; his force number has been provided and his rank has been provided as “CST” which is commonly accepted as an abbreviation for ‘Constable’</w:t>
      </w:r>
      <w:r w:rsidR="00451BAD">
        <w:rPr>
          <w:szCs w:val="24"/>
        </w:rPr>
        <w:t>.</w:t>
      </w:r>
      <w:r w:rsidR="001D19D2">
        <w:rPr>
          <w:szCs w:val="24"/>
        </w:rPr>
        <w:t xml:space="preserve"> Furthermore</w:t>
      </w:r>
      <w:r w:rsidR="00922033">
        <w:rPr>
          <w:szCs w:val="24"/>
        </w:rPr>
        <w:t>,</w:t>
      </w:r>
      <w:r w:rsidR="001D19D2">
        <w:rPr>
          <w:szCs w:val="24"/>
        </w:rPr>
        <w:t xml:space="preserve"> the police officer’s area of appointment has been clearly indicated as ‘Windhoek, Namibia’, and his address as ‘</w:t>
      </w:r>
      <w:proofErr w:type="spellStart"/>
      <w:r w:rsidR="001D19D2">
        <w:rPr>
          <w:szCs w:val="24"/>
        </w:rPr>
        <w:t>Ba</w:t>
      </w:r>
      <w:r w:rsidR="00922033">
        <w:rPr>
          <w:szCs w:val="24"/>
        </w:rPr>
        <w:t>h</w:t>
      </w:r>
      <w:r w:rsidR="001D19D2">
        <w:rPr>
          <w:szCs w:val="24"/>
        </w:rPr>
        <w:t>nhof</w:t>
      </w:r>
      <w:proofErr w:type="spellEnd"/>
      <w:r w:rsidR="001D19D2">
        <w:rPr>
          <w:szCs w:val="24"/>
        </w:rPr>
        <w:t xml:space="preserve"> Street, Windhoek’. </w:t>
      </w:r>
      <w:r w:rsidR="00F06D4E">
        <w:rPr>
          <w:szCs w:val="24"/>
        </w:rPr>
        <w:t xml:space="preserve"> </w:t>
      </w:r>
      <w:r w:rsidR="001D19D2">
        <w:rPr>
          <w:szCs w:val="24"/>
        </w:rPr>
        <w:t xml:space="preserve">Finally the </w:t>
      </w:r>
      <w:r w:rsidR="00922033">
        <w:rPr>
          <w:szCs w:val="24"/>
        </w:rPr>
        <w:t>C</w:t>
      </w:r>
      <w:r w:rsidR="001D19D2">
        <w:rPr>
          <w:szCs w:val="24"/>
        </w:rPr>
        <w:t xml:space="preserve">ommissioner of </w:t>
      </w:r>
      <w:r w:rsidR="00922033">
        <w:rPr>
          <w:szCs w:val="24"/>
        </w:rPr>
        <w:t>O</w:t>
      </w:r>
      <w:r w:rsidR="001D19D2">
        <w:rPr>
          <w:szCs w:val="24"/>
        </w:rPr>
        <w:t>ath</w:t>
      </w:r>
      <w:r w:rsidR="00922033">
        <w:rPr>
          <w:szCs w:val="24"/>
        </w:rPr>
        <w:t>s</w:t>
      </w:r>
      <w:r w:rsidR="001D19D2">
        <w:rPr>
          <w:szCs w:val="24"/>
        </w:rPr>
        <w:t xml:space="preserve"> rubber stamped the affidavit with the Charge Office</w:t>
      </w:r>
      <w:r w:rsidR="003D7DF8">
        <w:rPr>
          <w:szCs w:val="24"/>
        </w:rPr>
        <w:t>’s</w:t>
      </w:r>
      <w:r w:rsidR="001D19D2">
        <w:rPr>
          <w:szCs w:val="24"/>
        </w:rPr>
        <w:t xml:space="preserve"> stamp indicating the date when </w:t>
      </w:r>
      <w:r w:rsidR="00E30308">
        <w:rPr>
          <w:szCs w:val="24"/>
        </w:rPr>
        <w:t xml:space="preserve">and the </w:t>
      </w:r>
      <w:r w:rsidR="003D7DF8">
        <w:rPr>
          <w:szCs w:val="24"/>
        </w:rPr>
        <w:t>C</w:t>
      </w:r>
      <w:r w:rsidR="00E30308">
        <w:rPr>
          <w:szCs w:val="24"/>
        </w:rPr>
        <w:t xml:space="preserve">harge </w:t>
      </w:r>
      <w:r w:rsidR="003D7DF8">
        <w:rPr>
          <w:szCs w:val="24"/>
        </w:rPr>
        <w:t>O</w:t>
      </w:r>
      <w:r w:rsidR="00E30308">
        <w:rPr>
          <w:szCs w:val="24"/>
        </w:rPr>
        <w:t xml:space="preserve">ffice where </w:t>
      </w:r>
      <w:r w:rsidR="00D50690">
        <w:rPr>
          <w:szCs w:val="24"/>
        </w:rPr>
        <w:t>the affidavit was commissioned. I</w:t>
      </w:r>
      <w:r w:rsidR="001D19D2">
        <w:rPr>
          <w:szCs w:val="24"/>
        </w:rPr>
        <w:t>n addition</w:t>
      </w:r>
      <w:r w:rsidR="00922033">
        <w:rPr>
          <w:szCs w:val="24"/>
        </w:rPr>
        <w:t>,</w:t>
      </w:r>
      <w:r w:rsidR="00D50690">
        <w:rPr>
          <w:szCs w:val="24"/>
        </w:rPr>
        <w:t xml:space="preserve"> the police officer inserted </w:t>
      </w:r>
      <w:r w:rsidR="00922033">
        <w:rPr>
          <w:szCs w:val="24"/>
        </w:rPr>
        <w:t xml:space="preserve">in handwriting </w:t>
      </w:r>
      <w:r w:rsidR="00D50690">
        <w:rPr>
          <w:szCs w:val="24"/>
        </w:rPr>
        <w:t>the date on which the affidavit was commissioned</w:t>
      </w:r>
      <w:r w:rsidR="001D19D2">
        <w:rPr>
          <w:szCs w:val="24"/>
        </w:rPr>
        <w:t>.</w:t>
      </w:r>
      <w:r w:rsidR="00451BAD">
        <w:rPr>
          <w:szCs w:val="24"/>
        </w:rPr>
        <w:t xml:space="preserve"> </w:t>
      </w:r>
      <w:r w:rsidR="001D19D2">
        <w:rPr>
          <w:szCs w:val="24"/>
        </w:rPr>
        <w:t xml:space="preserve">The point </w:t>
      </w:r>
      <w:r w:rsidR="001D19D2" w:rsidRPr="00451BAD">
        <w:rPr>
          <w:i/>
          <w:szCs w:val="24"/>
        </w:rPr>
        <w:t xml:space="preserve">in </w:t>
      </w:r>
      <w:proofErr w:type="spellStart"/>
      <w:r w:rsidR="001D19D2" w:rsidRPr="00451BAD">
        <w:rPr>
          <w:i/>
          <w:szCs w:val="24"/>
        </w:rPr>
        <w:t>limine</w:t>
      </w:r>
      <w:proofErr w:type="spellEnd"/>
      <w:r w:rsidR="001D19D2">
        <w:rPr>
          <w:szCs w:val="24"/>
        </w:rPr>
        <w:t xml:space="preserve"> stands to be dismissed.</w:t>
      </w:r>
    </w:p>
    <w:p w14:paraId="0FBBB142" w14:textId="77777777" w:rsidR="001D19D2" w:rsidRDefault="001D19D2" w:rsidP="00E7287F">
      <w:pPr>
        <w:ind w:left="10"/>
        <w:jc w:val="both"/>
        <w:rPr>
          <w:szCs w:val="24"/>
        </w:rPr>
      </w:pPr>
    </w:p>
    <w:p w14:paraId="2E8BD937" w14:textId="3C877F55" w:rsidR="001D19D2" w:rsidRDefault="0067212C" w:rsidP="00E7287F">
      <w:pPr>
        <w:ind w:left="10"/>
        <w:jc w:val="both"/>
        <w:rPr>
          <w:szCs w:val="24"/>
        </w:rPr>
      </w:pPr>
      <w:r>
        <w:rPr>
          <w:szCs w:val="24"/>
        </w:rPr>
        <w:t>[34]</w:t>
      </w:r>
      <w:r>
        <w:rPr>
          <w:szCs w:val="24"/>
        </w:rPr>
        <w:tab/>
      </w:r>
      <w:r w:rsidR="00E30308">
        <w:rPr>
          <w:szCs w:val="24"/>
        </w:rPr>
        <w:t xml:space="preserve">The second so-called point </w:t>
      </w:r>
      <w:r w:rsidR="00E30308" w:rsidRPr="00451BAD">
        <w:rPr>
          <w:i/>
          <w:szCs w:val="24"/>
        </w:rPr>
        <w:t xml:space="preserve">in </w:t>
      </w:r>
      <w:proofErr w:type="spellStart"/>
      <w:r w:rsidR="00E30308" w:rsidRPr="00451BAD">
        <w:rPr>
          <w:i/>
          <w:szCs w:val="24"/>
        </w:rPr>
        <w:t>limine</w:t>
      </w:r>
      <w:proofErr w:type="spellEnd"/>
      <w:r w:rsidR="00E30308">
        <w:rPr>
          <w:szCs w:val="24"/>
        </w:rPr>
        <w:t xml:space="preserve"> is that the applicant failed to provide page number</w:t>
      </w:r>
      <w:r w:rsidR="001A4EF1">
        <w:rPr>
          <w:szCs w:val="24"/>
        </w:rPr>
        <w:t>s</w:t>
      </w:r>
      <w:r w:rsidR="00E30308">
        <w:rPr>
          <w:szCs w:val="24"/>
        </w:rPr>
        <w:t xml:space="preserve"> on her pleadings as stipulated by </w:t>
      </w:r>
      <w:r w:rsidR="00BF37FE" w:rsidRPr="00F06D4E">
        <w:rPr>
          <w:szCs w:val="24"/>
        </w:rPr>
        <w:t>R</w:t>
      </w:r>
      <w:r w:rsidR="00E30308" w:rsidRPr="00823B4F">
        <w:rPr>
          <w:szCs w:val="24"/>
        </w:rPr>
        <w:t>ule</w:t>
      </w:r>
      <w:r w:rsidR="00BF37FE" w:rsidRPr="00823B4F">
        <w:rPr>
          <w:szCs w:val="24"/>
        </w:rPr>
        <w:t xml:space="preserve"> 131</w:t>
      </w:r>
      <w:r w:rsidR="0079291A" w:rsidRPr="00823B4F">
        <w:rPr>
          <w:szCs w:val="24"/>
        </w:rPr>
        <w:t>(1)</w:t>
      </w:r>
      <w:r w:rsidR="00F06D4E" w:rsidRPr="00823B4F">
        <w:rPr>
          <w:szCs w:val="24"/>
        </w:rPr>
        <w:t xml:space="preserve"> </w:t>
      </w:r>
      <w:r w:rsidR="00BF37FE" w:rsidRPr="00823B4F">
        <w:rPr>
          <w:szCs w:val="24"/>
        </w:rPr>
        <w:t>(h)</w:t>
      </w:r>
      <w:r w:rsidR="00E30308">
        <w:rPr>
          <w:szCs w:val="24"/>
        </w:rPr>
        <w:t xml:space="preserve"> of this court.</w:t>
      </w:r>
      <w:r w:rsidR="00F06D4E">
        <w:rPr>
          <w:szCs w:val="24"/>
        </w:rPr>
        <w:t xml:space="preserve"> </w:t>
      </w:r>
      <w:r w:rsidR="00E30308">
        <w:rPr>
          <w:szCs w:val="24"/>
        </w:rPr>
        <w:t xml:space="preserve"> Counsel for the respondent asks the court not to condone this non-compliance and that the court should as a result </w:t>
      </w:r>
      <w:r w:rsidR="00922033">
        <w:rPr>
          <w:szCs w:val="24"/>
        </w:rPr>
        <w:t xml:space="preserve">strike </w:t>
      </w:r>
      <w:r w:rsidR="00E30308">
        <w:rPr>
          <w:szCs w:val="24"/>
        </w:rPr>
        <w:t>the matter from the roll.</w:t>
      </w:r>
      <w:r w:rsidR="001A4EF1">
        <w:rPr>
          <w:szCs w:val="24"/>
        </w:rPr>
        <w:t xml:space="preserve"> </w:t>
      </w:r>
      <w:r w:rsidR="00F06D4E">
        <w:rPr>
          <w:szCs w:val="24"/>
        </w:rPr>
        <w:t xml:space="preserve"> </w:t>
      </w:r>
      <w:r w:rsidR="00780198">
        <w:rPr>
          <w:szCs w:val="24"/>
        </w:rPr>
        <w:t>Technical objection</w:t>
      </w:r>
      <w:r w:rsidR="00922033">
        <w:rPr>
          <w:szCs w:val="24"/>
        </w:rPr>
        <w:t>s</w:t>
      </w:r>
      <w:r w:rsidR="00780198">
        <w:rPr>
          <w:szCs w:val="24"/>
        </w:rPr>
        <w:t xml:space="preserve"> to less than perfect conduct in the proceedings</w:t>
      </w:r>
      <w:r w:rsidR="00922033">
        <w:rPr>
          <w:szCs w:val="24"/>
        </w:rPr>
        <w:t>,</w:t>
      </w:r>
      <w:r w:rsidR="00780198">
        <w:rPr>
          <w:szCs w:val="24"/>
        </w:rPr>
        <w:t xml:space="preserve"> in the absence of prejudice</w:t>
      </w:r>
      <w:r w:rsidR="00922033">
        <w:rPr>
          <w:szCs w:val="24"/>
        </w:rPr>
        <w:t>,</w:t>
      </w:r>
      <w:r w:rsidR="00780198">
        <w:rPr>
          <w:szCs w:val="24"/>
        </w:rPr>
        <w:t xml:space="preserve"> should not be permitted to interfere with the resolution of real issues.</w:t>
      </w:r>
      <w:r w:rsidR="00F06D4E">
        <w:rPr>
          <w:szCs w:val="24"/>
        </w:rPr>
        <w:t xml:space="preserve"> </w:t>
      </w:r>
      <w:r w:rsidR="00780198">
        <w:rPr>
          <w:szCs w:val="24"/>
        </w:rPr>
        <w:t xml:space="preserve"> The respondent does not allege any prejudice</w:t>
      </w:r>
      <w:r w:rsidR="000F6C9A">
        <w:rPr>
          <w:szCs w:val="24"/>
        </w:rPr>
        <w:t xml:space="preserve"> he suffered</w:t>
      </w:r>
      <w:r w:rsidR="00780198">
        <w:rPr>
          <w:szCs w:val="24"/>
        </w:rPr>
        <w:t xml:space="preserve"> as a result of the applicant’s non-compliance with the said rule. </w:t>
      </w:r>
      <w:r w:rsidR="00F06D4E">
        <w:rPr>
          <w:szCs w:val="24"/>
        </w:rPr>
        <w:t xml:space="preserve"> </w:t>
      </w:r>
      <w:r w:rsidR="00784D89">
        <w:rPr>
          <w:szCs w:val="24"/>
        </w:rPr>
        <w:t xml:space="preserve">The applicant has explained in her replying affidavit that the omission of page numbers was due to oversight on her part and was not done purposely to prejudice the respondent or the court. </w:t>
      </w:r>
      <w:r w:rsidR="00F06D4E">
        <w:rPr>
          <w:szCs w:val="24"/>
        </w:rPr>
        <w:t xml:space="preserve"> </w:t>
      </w:r>
      <w:r w:rsidR="00784D89">
        <w:rPr>
          <w:szCs w:val="24"/>
        </w:rPr>
        <w:t xml:space="preserve">She </w:t>
      </w:r>
      <w:r>
        <w:rPr>
          <w:szCs w:val="24"/>
        </w:rPr>
        <w:lastRenderedPageBreak/>
        <w:t>asked</w:t>
      </w:r>
      <w:r w:rsidR="00784D89">
        <w:rPr>
          <w:szCs w:val="24"/>
        </w:rPr>
        <w:t xml:space="preserve"> for condonation for her omission. </w:t>
      </w:r>
      <w:r w:rsidR="00F06D4E">
        <w:rPr>
          <w:szCs w:val="24"/>
        </w:rPr>
        <w:t xml:space="preserve"> </w:t>
      </w:r>
      <w:r w:rsidR="00784D89">
        <w:rPr>
          <w:szCs w:val="24"/>
        </w:rPr>
        <w:t xml:space="preserve">To strike the matter from the roll for such a trifling non-compliance will not </w:t>
      </w:r>
      <w:r>
        <w:rPr>
          <w:szCs w:val="24"/>
        </w:rPr>
        <w:t xml:space="preserve">be </w:t>
      </w:r>
      <w:r w:rsidR="00784D89">
        <w:rPr>
          <w:szCs w:val="24"/>
        </w:rPr>
        <w:t>in accordance with the overriding objective of the rules of this court</w:t>
      </w:r>
      <w:r w:rsidR="00922033">
        <w:rPr>
          <w:szCs w:val="24"/>
        </w:rPr>
        <w:t>,</w:t>
      </w:r>
      <w:r w:rsidR="00784D89">
        <w:rPr>
          <w:szCs w:val="24"/>
        </w:rPr>
        <w:t xml:space="preserve"> namely to facilitate</w:t>
      </w:r>
      <w:r w:rsidR="00D57568">
        <w:rPr>
          <w:szCs w:val="24"/>
        </w:rPr>
        <w:t xml:space="preserve"> the </w:t>
      </w:r>
      <w:r>
        <w:rPr>
          <w:szCs w:val="24"/>
        </w:rPr>
        <w:t>just and speedy</w:t>
      </w:r>
      <w:r w:rsidR="00784D89">
        <w:rPr>
          <w:szCs w:val="24"/>
        </w:rPr>
        <w:t xml:space="preserve"> resolution of</w:t>
      </w:r>
      <w:r>
        <w:rPr>
          <w:szCs w:val="24"/>
        </w:rPr>
        <w:t xml:space="preserve"> the</w:t>
      </w:r>
      <w:r w:rsidR="00784D89">
        <w:rPr>
          <w:szCs w:val="24"/>
        </w:rPr>
        <w:t xml:space="preserve"> real issues in dispute. </w:t>
      </w:r>
      <w:r w:rsidR="00F06D4E">
        <w:rPr>
          <w:szCs w:val="24"/>
        </w:rPr>
        <w:t xml:space="preserve"> </w:t>
      </w:r>
      <w:r w:rsidR="00784D89">
        <w:rPr>
          <w:szCs w:val="24"/>
        </w:rPr>
        <w:t>This court has inherent jurisdiction to</w:t>
      </w:r>
      <w:r>
        <w:rPr>
          <w:szCs w:val="24"/>
        </w:rPr>
        <w:t xml:space="preserve"> </w:t>
      </w:r>
      <w:r w:rsidR="00784D89">
        <w:rPr>
          <w:szCs w:val="24"/>
        </w:rPr>
        <w:t>condone non-</w:t>
      </w:r>
      <w:r>
        <w:rPr>
          <w:szCs w:val="24"/>
        </w:rPr>
        <w:t>compliance</w:t>
      </w:r>
      <w:r w:rsidR="00784D89">
        <w:rPr>
          <w:szCs w:val="24"/>
        </w:rPr>
        <w:t xml:space="preserve"> with its rules </w:t>
      </w:r>
      <w:r>
        <w:rPr>
          <w:szCs w:val="24"/>
        </w:rPr>
        <w:t>where</w:t>
      </w:r>
      <w:r w:rsidR="00784D89">
        <w:rPr>
          <w:szCs w:val="24"/>
        </w:rPr>
        <w:t xml:space="preserve"> insistence upon exact </w:t>
      </w:r>
      <w:r>
        <w:rPr>
          <w:szCs w:val="24"/>
        </w:rPr>
        <w:t>compliance</w:t>
      </w:r>
      <w:r w:rsidR="00784D89">
        <w:rPr>
          <w:szCs w:val="24"/>
        </w:rPr>
        <w:t xml:space="preserve"> with the rules will result in injustice.</w:t>
      </w:r>
      <w:r w:rsidR="00F06D4E">
        <w:rPr>
          <w:szCs w:val="24"/>
        </w:rPr>
        <w:t xml:space="preserve"> </w:t>
      </w:r>
      <w:r>
        <w:rPr>
          <w:szCs w:val="24"/>
        </w:rPr>
        <w:t xml:space="preserve"> In the exercise of such power the non-compliance by the applicant with the </w:t>
      </w:r>
      <w:r w:rsidR="00410BC0">
        <w:rPr>
          <w:szCs w:val="24"/>
        </w:rPr>
        <w:t>said</w:t>
      </w:r>
      <w:r>
        <w:rPr>
          <w:szCs w:val="24"/>
        </w:rPr>
        <w:t xml:space="preserve"> rule is accordingly </w:t>
      </w:r>
      <w:r w:rsidR="00410BC0">
        <w:rPr>
          <w:szCs w:val="24"/>
        </w:rPr>
        <w:t xml:space="preserve">hereby </w:t>
      </w:r>
      <w:r>
        <w:rPr>
          <w:szCs w:val="24"/>
        </w:rPr>
        <w:t>condoned.</w:t>
      </w:r>
      <w:r w:rsidR="00F06D4E">
        <w:rPr>
          <w:szCs w:val="24"/>
        </w:rPr>
        <w:t xml:space="preserve"> </w:t>
      </w:r>
      <w:r>
        <w:rPr>
          <w:szCs w:val="24"/>
        </w:rPr>
        <w:t xml:space="preserve"> In the result the point </w:t>
      </w:r>
      <w:r w:rsidRPr="0035472A">
        <w:rPr>
          <w:i/>
          <w:szCs w:val="24"/>
        </w:rPr>
        <w:t xml:space="preserve">in </w:t>
      </w:r>
      <w:proofErr w:type="spellStart"/>
      <w:r w:rsidRPr="0035472A">
        <w:rPr>
          <w:i/>
          <w:szCs w:val="24"/>
        </w:rPr>
        <w:t>limine</w:t>
      </w:r>
      <w:proofErr w:type="spellEnd"/>
      <w:r>
        <w:rPr>
          <w:szCs w:val="24"/>
        </w:rPr>
        <w:t xml:space="preserve"> is dismissed.</w:t>
      </w:r>
    </w:p>
    <w:p w14:paraId="37783919" w14:textId="77777777" w:rsidR="00F06D4E" w:rsidRDefault="00F06D4E" w:rsidP="00E7287F">
      <w:pPr>
        <w:ind w:left="10"/>
        <w:jc w:val="both"/>
        <w:rPr>
          <w:szCs w:val="24"/>
        </w:rPr>
      </w:pPr>
    </w:p>
    <w:p w14:paraId="429E845A" w14:textId="77777777" w:rsidR="00D66DB3" w:rsidRDefault="00D66DB3" w:rsidP="00E7287F">
      <w:pPr>
        <w:ind w:left="10"/>
        <w:jc w:val="both"/>
        <w:rPr>
          <w:szCs w:val="24"/>
        </w:rPr>
      </w:pPr>
      <w:r>
        <w:rPr>
          <w:szCs w:val="24"/>
        </w:rPr>
        <w:t>[35]</w:t>
      </w:r>
      <w:r>
        <w:rPr>
          <w:szCs w:val="24"/>
        </w:rPr>
        <w:tab/>
        <w:t xml:space="preserve"> I now proceed to consider the merits.</w:t>
      </w:r>
    </w:p>
    <w:p w14:paraId="1A335198" w14:textId="77777777" w:rsidR="00F06D4E" w:rsidRDefault="00F06D4E" w:rsidP="00E7287F">
      <w:pPr>
        <w:ind w:left="10"/>
        <w:jc w:val="both"/>
        <w:rPr>
          <w:szCs w:val="24"/>
        </w:rPr>
      </w:pPr>
    </w:p>
    <w:p w14:paraId="2FB64C0E" w14:textId="77777777" w:rsidR="0067212C" w:rsidRDefault="0067212C" w:rsidP="0067212C">
      <w:pPr>
        <w:ind w:left="10"/>
        <w:jc w:val="both"/>
        <w:rPr>
          <w:szCs w:val="24"/>
          <w:u w:val="single"/>
        </w:rPr>
      </w:pPr>
      <w:r w:rsidRPr="003260FD">
        <w:rPr>
          <w:szCs w:val="24"/>
          <w:u w:val="single"/>
        </w:rPr>
        <w:t>Issues for Determination</w:t>
      </w:r>
    </w:p>
    <w:p w14:paraId="3DCE0212" w14:textId="77777777" w:rsidR="00F06D4E" w:rsidRPr="003260FD" w:rsidRDefault="00F06D4E" w:rsidP="0067212C">
      <w:pPr>
        <w:ind w:left="10"/>
        <w:jc w:val="both"/>
        <w:rPr>
          <w:szCs w:val="24"/>
          <w:u w:val="single"/>
        </w:rPr>
      </w:pPr>
    </w:p>
    <w:p w14:paraId="63360067" w14:textId="77777777" w:rsidR="0067212C" w:rsidRPr="003260FD" w:rsidRDefault="0067212C" w:rsidP="0067212C">
      <w:pPr>
        <w:ind w:left="10"/>
        <w:jc w:val="both"/>
        <w:rPr>
          <w:szCs w:val="24"/>
        </w:rPr>
      </w:pPr>
      <w:r>
        <w:rPr>
          <w:szCs w:val="24"/>
        </w:rPr>
        <w:t>[</w:t>
      </w:r>
      <w:r w:rsidR="00D66DB3">
        <w:rPr>
          <w:szCs w:val="24"/>
        </w:rPr>
        <w:t>3</w:t>
      </w:r>
      <w:r>
        <w:rPr>
          <w:szCs w:val="24"/>
        </w:rPr>
        <w:t xml:space="preserve">6] The issue for determination </w:t>
      </w:r>
      <w:r w:rsidR="00B25B41">
        <w:rPr>
          <w:szCs w:val="24"/>
        </w:rPr>
        <w:t xml:space="preserve">in this application </w:t>
      </w:r>
      <w:r>
        <w:rPr>
          <w:szCs w:val="24"/>
        </w:rPr>
        <w:t>is whether the applicant has</w:t>
      </w:r>
      <w:r w:rsidRPr="003260FD">
        <w:rPr>
          <w:szCs w:val="24"/>
        </w:rPr>
        <w:t xml:space="preserve"> proved on a balance of probabilities that the property concerned is an instrumenta</w:t>
      </w:r>
      <w:r>
        <w:rPr>
          <w:szCs w:val="24"/>
        </w:rPr>
        <w:t xml:space="preserve">lity </w:t>
      </w:r>
      <w:r w:rsidR="009321F9">
        <w:rPr>
          <w:szCs w:val="24"/>
        </w:rPr>
        <w:t xml:space="preserve">which is concerned in the </w:t>
      </w:r>
      <w:r w:rsidR="00E82A3F">
        <w:rPr>
          <w:szCs w:val="24"/>
        </w:rPr>
        <w:t xml:space="preserve">commission </w:t>
      </w:r>
      <w:r>
        <w:rPr>
          <w:szCs w:val="24"/>
        </w:rPr>
        <w:t>of the schedule 1 offences, being kidnapping and rape.</w:t>
      </w:r>
    </w:p>
    <w:p w14:paraId="29BA6488" w14:textId="77777777" w:rsidR="00E30308" w:rsidRDefault="00E30308" w:rsidP="00E7287F">
      <w:pPr>
        <w:ind w:left="10"/>
        <w:jc w:val="both"/>
        <w:rPr>
          <w:szCs w:val="24"/>
        </w:rPr>
      </w:pPr>
    </w:p>
    <w:p w14:paraId="6EAF8B92" w14:textId="77777777" w:rsidR="00E30308" w:rsidRPr="00A32AF0" w:rsidRDefault="00A32AF0" w:rsidP="00E7287F">
      <w:pPr>
        <w:ind w:left="10"/>
        <w:jc w:val="both"/>
        <w:rPr>
          <w:szCs w:val="24"/>
          <w:u w:val="single"/>
        </w:rPr>
      </w:pPr>
      <w:r>
        <w:rPr>
          <w:szCs w:val="24"/>
          <w:u w:val="single"/>
        </w:rPr>
        <w:t>Applicable law</w:t>
      </w:r>
    </w:p>
    <w:p w14:paraId="60E21A86" w14:textId="77777777" w:rsidR="00D709FA" w:rsidRDefault="00D709FA" w:rsidP="00E7287F">
      <w:pPr>
        <w:ind w:left="10"/>
        <w:jc w:val="both"/>
        <w:rPr>
          <w:i/>
          <w:szCs w:val="24"/>
        </w:rPr>
      </w:pPr>
    </w:p>
    <w:p w14:paraId="59F443C5" w14:textId="77777777" w:rsidR="00DD3381" w:rsidRPr="00D66DB3" w:rsidRDefault="00CA1B32" w:rsidP="00E7287F">
      <w:pPr>
        <w:ind w:left="10"/>
        <w:jc w:val="both"/>
        <w:rPr>
          <w:i/>
          <w:szCs w:val="24"/>
        </w:rPr>
      </w:pPr>
      <w:r>
        <w:rPr>
          <w:szCs w:val="24"/>
        </w:rPr>
        <w:t>[37]</w:t>
      </w:r>
      <w:r>
        <w:rPr>
          <w:szCs w:val="24"/>
        </w:rPr>
        <w:tab/>
      </w:r>
      <w:r w:rsidR="00683EEE">
        <w:rPr>
          <w:szCs w:val="24"/>
        </w:rPr>
        <w:t>Section</w:t>
      </w:r>
      <w:r w:rsidR="00683EEE" w:rsidRPr="00231446">
        <w:rPr>
          <w:szCs w:val="24"/>
        </w:rPr>
        <w:t xml:space="preserve"> 61(1) o</w:t>
      </w:r>
      <w:r w:rsidR="00683EEE">
        <w:rPr>
          <w:szCs w:val="24"/>
        </w:rPr>
        <w:t>f POCA, stipulates that the court must</w:t>
      </w:r>
      <w:r w:rsidR="00683EEE" w:rsidRPr="00231446">
        <w:rPr>
          <w:szCs w:val="24"/>
        </w:rPr>
        <w:t xml:space="preserve"> make the forfeiture order if the court finds on a balance of probabilities that the property </w:t>
      </w:r>
      <w:r w:rsidR="00C672B1">
        <w:rPr>
          <w:szCs w:val="24"/>
        </w:rPr>
        <w:t>is</w:t>
      </w:r>
      <w:r w:rsidR="00683EEE" w:rsidRPr="00231446">
        <w:rPr>
          <w:szCs w:val="24"/>
        </w:rPr>
        <w:t xml:space="preserve"> (1) an instrumentality of any </w:t>
      </w:r>
      <w:r w:rsidR="00683EEE">
        <w:rPr>
          <w:szCs w:val="24"/>
        </w:rPr>
        <w:t>of the offences referred to in s</w:t>
      </w:r>
      <w:r w:rsidR="00683EEE" w:rsidRPr="00231446">
        <w:rPr>
          <w:szCs w:val="24"/>
        </w:rPr>
        <w:t>chedule 1 of POCA or (2) was begotten by proceeds of unlawful activit</w:t>
      </w:r>
      <w:r w:rsidR="0085794F">
        <w:rPr>
          <w:szCs w:val="24"/>
        </w:rPr>
        <w:t xml:space="preserve">ies. </w:t>
      </w:r>
      <w:r w:rsidR="00683EEE">
        <w:rPr>
          <w:szCs w:val="24"/>
        </w:rPr>
        <w:t>Section 1 of POCA defines ‘</w:t>
      </w:r>
      <w:r w:rsidR="00683EEE" w:rsidRPr="00474130">
        <w:rPr>
          <w:szCs w:val="24"/>
        </w:rPr>
        <w:t>inst</w:t>
      </w:r>
      <w:r w:rsidR="00683EEE">
        <w:rPr>
          <w:szCs w:val="24"/>
        </w:rPr>
        <w:t>rumentality of an offence’ as</w:t>
      </w:r>
      <w:r w:rsidR="00683EEE" w:rsidRPr="00474130">
        <w:rPr>
          <w:szCs w:val="24"/>
        </w:rPr>
        <w:t xml:space="preserve"> </w:t>
      </w:r>
      <w:r w:rsidR="00683EEE" w:rsidRPr="00683EEE">
        <w:rPr>
          <w:szCs w:val="24"/>
        </w:rPr>
        <w:t>‘</w:t>
      </w:r>
      <w:r w:rsidR="00683EEE" w:rsidRPr="000F6C9A">
        <w:rPr>
          <w:i/>
          <w:szCs w:val="24"/>
          <w:u w:val="single"/>
        </w:rPr>
        <w:t xml:space="preserve">any property which is concerned in the commission or suspected commission of an offence </w:t>
      </w:r>
      <w:r w:rsidR="00B41D5B" w:rsidRPr="000F6C9A">
        <w:rPr>
          <w:i/>
          <w:szCs w:val="24"/>
          <w:u w:val="single"/>
        </w:rPr>
        <w:t xml:space="preserve">at any time before </w:t>
      </w:r>
      <w:r w:rsidR="00683EEE" w:rsidRPr="000F6C9A">
        <w:rPr>
          <w:i/>
          <w:szCs w:val="24"/>
          <w:u w:val="single"/>
        </w:rPr>
        <w:t>or after the commencement of this Act,</w:t>
      </w:r>
      <w:r w:rsidR="00683EEE" w:rsidRPr="00CB6381">
        <w:rPr>
          <w:i/>
          <w:szCs w:val="24"/>
        </w:rPr>
        <w:t xml:space="preserve"> whether committed within Namibia or elsewhere’</w:t>
      </w:r>
      <w:r w:rsidR="00683EEE">
        <w:rPr>
          <w:i/>
          <w:szCs w:val="24"/>
        </w:rPr>
        <w:t xml:space="preserve">. </w:t>
      </w:r>
    </w:p>
    <w:p w14:paraId="5D207546" w14:textId="77777777" w:rsidR="00D709FA" w:rsidRDefault="00D709FA" w:rsidP="00E7287F">
      <w:pPr>
        <w:ind w:left="10"/>
        <w:jc w:val="both"/>
        <w:rPr>
          <w:szCs w:val="24"/>
        </w:rPr>
      </w:pPr>
    </w:p>
    <w:p w14:paraId="3927CAF1" w14:textId="610754D8" w:rsidR="007206DE" w:rsidRDefault="007206DE" w:rsidP="00E7287F">
      <w:pPr>
        <w:ind w:left="10"/>
        <w:jc w:val="both"/>
        <w:rPr>
          <w:szCs w:val="24"/>
        </w:rPr>
      </w:pPr>
      <w:r>
        <w:rPr>
          <w:szCs w:val="24"/>
        </w:rPr>
        <w:t>[38]</w:t>
      </w:r>
      <w:r>
        <w:rPr>
          <w:szCs w:val="24"/>
        </w:rPr>
        <w:tab/>
        <w:t xml:space="preserve">The meaning and import of the term “instrumentality” has been explained by the South African Supreme Court of Appeal as </w:t>
      </w:r>
      <w:r w:rsidRPr="007F48FC">
        <w:rPr>
          <w:szCs w:val="24"/>
        </w:rPr>
        <w:t>follows:</w:t>
      </w:r>
    </w:p>
    <w:p w14:paraId="46A1581E" w14:textId="77777777" w:rsidR="008E5216" w:rsidRDefault="008E5216" w:rsidP="00E7287F">
      <w:pPr>
        <w:ind w:left="10"/>
        <w:jc w:val="both"/>
        <w:rPr>
          <w:szCs w:val="24"/>
        </w:rPr>
      </w:pPr>
    </w:p>
    <w:p w14:paraId="36BE4533" w14:textId="38F2D9BA" w:rsidR="007206DE" w:rsidRDefault="00855B70" w:rsidP="00855B70">
      <w:pPr>
        <w:ind w:left="0" w:firstLine="720"/>
        <w:jc w:val="both"/>
        <w:rPr>
          <w:i/>
          <w:sz w:val="22"/>
        </w:rPr>
      </w:pPr>
      <w:r>
        <w:rPr>
          <w:i/>
          <w:sz w:val="22"/>
        </w:rPr>
        <w:t>‘</w:t>
      </w:r>
      <w:r w:rsidR="004C5032">
        <w:rPr>
          <w:i/>
          <w:sz w:val="22"/>
        </w:rPr>
        <w:t xml:space="preserve">In a real and substantial sense the </w:t>
      </w:r>
      <w:r w:rsidR="004C5032">
        <w:rPr>
          <w:i/>
          <w:sz w:val="22"/>
          <w:u w:val="single"/>
        </w:rPr>
        <w:t>property must facilitate or make possible the commission of the offence</w:t>
      </w:r>
      <w:r w:rsidR="004C5032">
        <w:rPr>
          <w:i/>
          <w:sz w:val="22"/>
        </w:rPr>
        <w:t xml:space="preserve">. As the term “instrumentality” itself suggests (albeit that it is defined to </w:t>
      </w:r>
      <w:r w:rsidR="004C5032">
        <w:rPr>
          <w:i/>
          <w:sz w:val="22"/>
        </w:rPr>
        <w:lastRenderedPageBreak/>
        <w:t>extend beyond its ordinary meaning), the prop</w:t>
      </w:r>
      <w:r w:rsidR="0071789D">
        <w:rPr>
          <w:i/>
          <w:sz w:val="22"/>
        </w:rPr>
        <w:t>erty must be instrumental in, and not merely incidental to, the commission of the offence.</w:t>
      </w:r>
      <w:r w:rsidR="00FE1D6D">
        <w:rPr>
          <w:i/>
          <w:sz w:val="22"/>
        </w:rPr>
        <w:t xml:space="preserve"> For otherwise there is no rational connection between the deprivation of property and the objective of the act, the </w:t>
      </w:r>
      <w:r w:rsidR="0000462D">
        <w:rPr>
          <w:i/>
          <w:sz w:val="22"/>
        </w:rPr>
        <w:t>deprivation would constitute merely an additional penalty in relation to the crime, but without the constitutional safeguards that are a prerequisite for the i</w:t>
      </w:r>
      <w:r>
        <w:rPr>
          <w:i/>
          <w:sz w:val="22"/>
        </w:rPr>
        <w:t>mposition of criminal penalties’</w:t>
      </w:r>
      <w:r w:rsidR="00A332AD">
        <w:rPr>
          <w:i/>
          <w:sz w:val="22"/>
        </w:rPr>
        <w:t>.</w:t>
      </w:r>
      <w:r w:rsidR="008F4D31">
        <w:rPr>
          <w:rStyle w:val="FootnoteReference"/>
          <w:i/>
          <w:sz w:val="22"/>
        </w:rPr>
        <w:footnoteReference w:id="1"/>
      </w:r>
      <w:r w:rsidR="00A332AD">
        <w:rPr>
          <w:i/>
          <w:sz w:val="22"/>
        </w:rPr>
        <w:t xml:space="preserve"> (</w:t>
      </w:r>
      <w:proofErr w:type="gramStart"/>
      <w:r w:rsidR="00FD02B3">
        <w:rPr>
          <w:i/>
          <w:sz w:val="22"/>
        </w:rPr>
        <w:t>the</w:t>
      </w:r>
      <w:proofErr w:type="gramEnd"/>
      <w:r w:rsidR="00FD02B3">
        <w:rPr>
          <w:i/>
          <w:sz w:val="22"/>
        </w:rPr>
        <w:t xml:space="preserve"> </w:t>
      </w:r>
      <w:r w:rsidR="00A332AD">
        <w:rPr>
          <w:i/>
          <w:sz w:val="22"/>
        </w:rPr>
        <w:t>underling</w:t>
      </w:r>
      <w:r w:rsidR="00FD02B3">
        <w:rPr>
          <w:i/>
          <w:sz w:val="22"/>
        </w:rPr>
        <w:t xml:space="preserve"> is mine for emphasis</w:t>
      </w:r>
      <w:r w:rsidR="00A332AD">
        <w:rPr>
          <w:i/>
          <w:sz w:val="22"/>
        </w:rPr>
        <w:t>).</w:t>
      </w:r>
    </w:p>
    <w:p w14:paraId="3C718840" w14:textId="77777777" w:rsidR="00A332AD" w:rsidRDefault="00A332AD" w:rsidP="00ED329F">
      <w:pPr>
        <w:ind w:left="1435"/>
        <w:jc w:val="both"/>
        <w:rPr>
          <w:i/>
          <w:sz w:val="22"/>
        </w:rPr>
      </w:pPr>
    </w:p>
    <w:p w14:paraId="6A84C71B" w14:textId="77777777" w:rsidR="00A332AD" w:rsidRPr="004C5032" w:rsidRDefault="00A332AD" w:rsidP="00ED329F">
      <w:pPr>
        <w:ind w:left="1435"/>
        <w:jc w:val="both"/>
        <w:rPr>
          <w:i/>
          <w:sz w:val="22"/>
        </w:rPr>
      </w:pPr>
    </w:p>
    <w:p w14:paraId="02D73812" w14:textId="4A58E35F" w:rsidR="00D66DB3" w:rsidRDefault="00B41D5B" w:rsidP="00E7287F">
      <w:pPr>
        <w:ind w:left="10"/>
        <w:jc w:val="both"/>
        <w:rPr>
          <w:szCs w:val="24"/>
        </w:rPr>
      </w:pPr>
      <w:r>
        <w:rPr>
          <w:szCs w:val="24"/>
        </w:rPr>
        <w:t>[39</w:t>
      </w:r>
      <w:r w:rsidR="00CA1B32">
        <w:rPr>
          <w:szCs w:val="24"/>
        </w:rPr>
        <w:t>]</w:t>
      </w:r>
      <w:r w:rsidR="00CA1B32">
        <w:rPr>
          <w:szCs w:val="24"/>
        </w:rPr>
        <w:tab/>
      </w:r>
      <w:r w:rsidR="00D66DB3">
        <w:rPr>
          <w:szCs w:val="24"/>
        </w:rPr>
        <w:t xml:space="preserve">It has been held that the proceedings under chapter 6 of POCA are not concerned with the wrongdoer but </w:t>
      </w:r>
      <w:r w:rsidR="00922033">
        <w:rPr>
          <w:szCs w:val="24"/>
        </w:rPr>
        <w:t>are</w:t>
      </w:r>
      <w:r w:rsidR="00D66DB3">
        <w:rPr>
          <w:szCs w:val="24"/>
        </w:rPr>
        <w:t xml:space="preserve"> focussed on the property that has been used to commit the offence.</w:t>
      </w:r>
      <w:r w:rsidR="00D66DB3">
        <w:rPr>
          <w:rStyle w:val="FootnoteReference"/>
          <w:szCs w:val="24"/>
        </w:rPr>
        <w:footnoteReference w:id="2"/>
      </w:r>
      <w:r w:rsidR="001F2B10">
        <w:rPr>
          <w:szCs w:val="24"/>
        </w:rPr>
        <w:t xml:space="preserve"> </w:t>
      </w:r>
      <w:r w:rsidR="00D709FA">
        <w:rPr>
          <w:szCs w:val="24"/>
        </w:rPr>
        <w:t xml:space="preserve"> </w:t>
      </w:r>
      <w:r w:rsidR="00D66DB3">
        <w:rPr>
          <w:szCs w:val="24"/>
        </w:rPr>
        <w:t xml:space="preserve">Furthermore that the purpose of civil forfeiture </w:t>
      </w:r>
      <w:r>
        <w:rPr>
          <w:szCs w:val="24"/>
        </w:rPr>
        <w:t>is aimed at achieving certain</w:t>
      </w:r>
      <w:r w:rsidR="00475C31">
        <w:rPr>
          <w:szCs w:val="24"/>
        </w:rPr>
        <w:t xml:space="preserve"> objectives, namely removing the incentive for crime; deterring </w:t>
      </w:r>
      <w:r w:rsidR="00922033">
        <w:rPr>
          <w:szCs w:val="24"/>
        </w:rPr>
        <w:t xml:space="preserve">a </w:t>
      </w:r>
      <w:r w:rsidR="00475C31">
        <w:rPr>
          <w:szCs w:val="24"/>
        </w:rPr>
        <w:t xml:space="preserve">person from using or allowing their property to be used in the commission of crime; eliminating or incapacitating some of the means by which a crime may be committed; and advancing the ends of justice by depriving those involved in the commission of </w:t>
      </w:r>
      <w:r w:rsidR="00DD3381">
        <w:rPr>
          <w:szCs w:val="24"/>
        </w:rPr>
        <w:t>crime of</w:t>
      </w:r>
      <w:r w:rsidR="00475C31">
        <w:rPr>
          <w:szCs w:val="24"/>
        </w:rPr>
        <w:t xml:space="preserve"> the property concerned.</w:t>
      </w:r>
      <w:r w:rsidR="00475C31">
        <w:rPr>
          <w:rStyle w:val="FootnoteReference"/>
          <w:szCs w:val="24"/>
        </w:rPr>
        <w:footnoteReference w:id="3"/>
      </w:r>
    </w:p>
    <w:p w14:paraId="49EE1A03" w14:textId="77777777" w:rsidR="00D709FA" w:rsidRDefault="00D709FA" w:rsidP="00E7287F">
      <w:pPr>
        <w:ind w:left="10"/>
        <w:jc w:val="both"/>
        <w:rPr>
          <w:szCs w:val="24"/>
        </w:rPr>
      </w:pPr>
    </w:p>
    <w:p w14:paraId="1EC94064" w14:textId="4F179238" w:rsidR="002304D9" w:rsidRDefault="00AF5D25" w:rsidP="00E7287F">
      <w:pPr>
        <w:ind w:left="10"/>
        <w:jc w:val="both"/>
        <w:rPr>
          <w:szCs w:val="24"/>
        </w:rPr>
      </w:pPr>
      <w:r>
        <w:rPr>
          <w:szCs w:val="24"/>
        </w:rPr>
        <w:t>[40</w:t>
      </w:r>
      <w:r w:rsidR="00CA1B32">
        <w:rPr>
          <w:szCs w:val="24"/>
        </w:rPr>
        <w:t>]</w:t>
      </w:r>
      <w:r w:rsidR="00CA1B32">
        <w:rPr>
          <w:szCs w:val="24"/>
        </w:rPr>
        <w:tab/>
      </w:r>
      <w:r w:rsidR="00DD3381">
        <w:rPr>
          <w:szCs w:val="24"/>
        </w:rPr>
        <w:t>The State or the Prosecutor</w:t>
      </w:r>
      <w:r w:rsidR="00922033">
        <w:rPr>
          <w:szCs w:val="24"/>
        </w:rPr>
        <w:t>-</w:t>
      </w:r>
      <w:r w:rsidR="00DD3381">
        <w:rPr>
          <w:szCs w:val="24"/>
        </w:rPr>
        <w:t>General has to prove on the balance of probabilit</w:t>
      </w:r>
      <w:r w:rsidR="00BB17C3">
        <w:rPr>
          <w:szCs w:val="24"/>
        </w:rPr>
        <w:t>ies</w:t>
      </w:r>
      <w:r w:rsidR="00DD3381">
        <w:rPr>
          <w:szCs w:val="24"/>
        </w:rPr>
        <w:t xml:space="preserve"> that the property may be seized and forfeited to the State.</w:t>
      </w:r>
      <w:r w:rsidR="00DD3381">
        <w:rPr>
          <w:rStyle w:val="FootnoteReference"/>
          <w:szCs w:val="24"/>
        </w:rPr>
        <w:footnoteReference w:id="4"/>
      </w:r>
      <w:r w:rsidR="00683EEE">
        <w:rPr>
          <w:szCs w:val="24"/>
        </w:rPr>
        <w:t xml:space="preserve">  The test has been explained by Parker AJ </w:t>
      </w:r>
      <w:r w:rsidR="00CA1B32">
        <w:rPr>
          <w:szCs w:val="24"/>
        </w:rPr>
        <w:t xml:space="preserve">in the matter of </w:t>
      </w:r>
      <w:r w:rsidR="00CA1B32" w:rsidRPr="00CA1B32">
        <w:rPr>
          <w:i/>
          <w:szCs w:val="24"/>
        </w:rPr>
        <w:t>The Prosecutor-</w:t>
      </w:r>
      <w:r w:rsidR="00683EEE" w:rsidRPr="00CA1B32">
        <w:rPr>
          <w:i/>
          <w:szCs w:val="24"/>
        </w:rPr>
        <w:t xml:space="preserve">General v </w:t>
      </w:r>
      <w:proofErr w:type="spellStart"/>
      <w:r w:rsidR="00683EEE" w:rsidRPr="00CA1B32">
        <w:rPr>
          <w:i/>
          <w:szCs w:val="24"/>
        </w:rPr>
        <w:t>Hategekimana</w:t>
      </w:r>
      <w:proofErr w:type="spellEnd"/>
      <w:r w:rsidR="00683EEE">
        <w:rPr>
          <w:rStyle w:val="FootnoteReference"/>
          <w:szCs w:val="24"/>
        </w:rPr>
        <w:footnoteReference w:id="5"/>
      </w:r>
      <w:r w:rsidR="00683EEE">
        <w:rPr>
          <w:szCs w:val="24"/>
        </w:rPr>
        <w:t xml:space="preserve"> in the following words:</w:t>
      </w:r>
    </w:p>
    <w:p w14:paraId="29B7F9EC" w14:textId="77777777" w:rsidR="00D66DB3" w:rsidRDefault="00D66DB3" w:rsidP="00E7287F">
      <w:pPr>
        <w:ind w:left="10"/>
        <w:jc w:val="both"/>
        <w:rPr>
          <w:szCs w:val="24"/>
        </w:rPr>
      </w:pPr>
    </w:p>
    <w:p w14:paraId="11FB920D" w14:textId="135A89F5" w:rsidR="00683EEE" w:rsidRPr="0073441A" w:rsidRDefault="00855B70" w:rsidP="00855B70">
      <w:pPr>
        <w:ind w:left="0" w:firstLine="720"/>
        <w:jc w:val="both"/>
        <w:rPr>
          <w:i/>
          <w:sz w:val="22"/>
        </w:rPr>
      </w:pPr>
      <w:r>
        <w:rPr>
          <w:i/>
          <w:sz w:val="22"/>
        </w:rPr>
        <w:t>‘</w:t>
      </w:r>
      <w:r w:rsidR="00683EEE">
        <w:rPr>
          <w:i/>
          <w:sz w:val="22"/>
        </w:rPr>
        <w:t xml:space="preserve">[5] </w:t>
      </w:r>
      <w:proofErr w:type="gramStart"/>
      <w:r w:rsidR="00683EEE" w:rsidRPr="0073441A">
        <w:rPr>
          <w:i/>
          <w:sz w:val="22"/>
        </w:rPr>
        <w:t>The</w:t>
      </w:r>
      <w:proofErr w:type="gramEnd"/>
      <w:r w:rsidR="00683EEE" w:rsidRPr="0073441A">
        <w:rPr>
          <w:i/>
          <w:sz w:val="22"/>
        </w:rPr>
        <w:t xml:space="preserve"> following is important: In the determination of a forfeiture application under POCA the following constituent elements in the interpretation and application of </w:t>
      </w:r>
      <w:r w:rsidR="0079706A">
        <w:rPr>
          <w:i/>
          <w:sz w:val="22"/>
        </w:rPr>
        <w:t>S</w:t>
      </w:r>
      <w:r w:rsidR="00683EEE" w:rsidRPr="0073441A">
        <w:rPr>
          <w:i/>
          <w:sz w:val="22"/>
        </w:rPr>
        <w:t xml:space="preserve"> 61(1) of POCA are crucial:</w:t>
      </w:r>
    </w:p>
    <w:p w14:paraId="7B1EC2DA" w14:textId="77777777" w:rsidR="00683EEE" w:rsidRPr="0073441A" w:rsidRDefault="00683EEE" w:rsidP="00FC5A64">
      <w:pPr>
        <w:ind w:left="1440"/>
        <w:jc w:val="both"/>
        <w:rPr>
          <w:i/>
          <w:sz w:val="22"/>
        </w:rPr>
      </w:pPr>
      <w:r w:rsidRPr="0073441A">
        <w:rPr>
          <w:i/>
          <w:sz w:val="22"/>
        </w:rPr>
        <w:t>(a) If the court finds that the property in question was an instrumentality of any of the offences referred to in Schedule 1 to POCA or was born out of proceeds of unlawful activities, the court has a duty, not a discretion, to make a forfeiture order.</w:t>
      </w:r>
    </w:p>
    <w:p w14:paraId="662625FF" w14:textId="77777777" w:rsidR="00683EEE" w:rsidRPr="0073441A" w:rsidRDefault="00683EEE" w:rsidP="00FC5A64">
      <w:pPr>
        <w:ind w:left="1440"/>
        <w:jc w:val="both"/>
        <w:rPr>
          <w:i/>
          <w:sz w:val="22"/>
        </w:rPr>
      </w:pPr>
      <w:r w:rsidRPr="0073441A">
        <w:rPr>
          <w:i/>
          <w:sz w:val="22"/>
        </w:rPr>
        <w:t>(b) Proof that the property was an instrumentality of such offence or was born out of unlawful activities is established on the standard of proof in civil cases.</w:t>
      </w:r>
    </w:p>
    <w:p w14:paraId="608C8AC4" w14:textId="77777777" w:rsidR="00683EEE" w:rsidRPr="0073441A" w:rsidRDefault="00683EEE" w:rsidP="00FC5A64">
      <w:pPr>
        <w:ind w:left="730" w:firstLine="710"/>
        <w:jc w:val="both"/>
        <w:rPr>
          <w:i/>
          <w:sz w:val="22"/>
        </w:rPr>
      </w:pPr>
      <w:r w:rsidRPr="0073441A">
        <w:rPr>
          <w:i/>
          <w:sz w:val="22"/>
        </w:rPr>
        <w:lastRenderedPageBreak/>
        <w:t>(c) The offence involved need not have been committed by the respondent.</w:t>
      </w:r>
    </w:p>
    <w:p w14:paraId="0AB466F6" w14:textId="77777777" w:rsidR="00683EEE" w:rsidRPr="0073441A" w:rsidRDefault="00683EEE" w:rsidP="00FC5A64">
      <w:pPr>
        <w:ind w:left="1440"/>
        <w:jc w:val="both"/>
        <w:rPr>
          <w:i/>
          <w:sz w:val="22"/>
        </w:rPr>
      </w:pPr>
      <w:r w:rsidRPr="0073441A">
        <w:rPr>
          <w:i/>
          <w:sz w:val="22"/>
        </w:rPr>
        <w:t>(d) The unlawful activities complained of need not be exclusively the activities of the respondent.</w:t>
      </w:r>
    </w:p>
    <w:p w14:paraId="45DE921B" w14:textId="77777777" w:rsidR="00683EEE" w:rsidRDefault="00683EEE" w:rsidP="00E7287F">
      <w:pPr>
        <w:ind w:left="10"/>
        <w:jc w:val="both"/>
        <w:rPr>
          <w:szCs w:val="24"/>
        </w:rPr>
      </w:pPr>
    </w:p>
    <w:p w14:paraId="0697EC21" w14:textId="77777777" w:rsidR="00683EEE" w:rsidRPr="001F2B10" w:rsidRDefault="00975ED1" w:rsidP="00E7287F">
      <w:pPr>
        <w:ind w:left="10"/>
        <w:jc w:val="both"/>
        <w:rPr>
          <w:szCs w:val="24"/>
          <w:u w:val="single"/>
        </w:rPr>
      </w:pPr>
      <w:r w:rsidRPr="001F2B10">
        <w:rPr>
          <w:szCs w:val="24"/>
          <w:u w:val="single"/>
        </w:rPr>
        <w:t>Conflicting versions</w:t>
      </w:r>
    </w:p>
    <w:p w14:paraId="7CFC264E" w14:textId="77777777" w:rsidR="00D709FA" w:rsidRPr="00CA1B32" w:rsidRDefault="00D709FA" w:rsidP="00E7287F">
      <w:pPr>
        <w:ind w:left="10"/>
        <w:jc w:val="both"/>
        <w:rPr>
          <w:szCs w:val="24"/>
        </w:rPr>
      </w:pPr>
    </w:p>
    <w:p w14:paraId="7AF9D358" w14:textId="59DA7996" w:rsidR="00975ED1" w:rsidRDefault="00CA1B32" w:rsidP="00E7287F">
      <w:pPr>
        <w:ind w:left="10"/>
        <w:jc w:val="both"/>
        <w:rPr>
          <w:szCs w:val="24"/>
        </w:rPr>
      </w:pPr>
      <w:r>
        <w:rPr>
          <w:szCs w:val="24"/>
        </w:rPr>
        <w:t>[4</w:t>
      </w:r>
      <w:r w:rsidR="00AF5D25">
        <w:rPr>
          <w:szCs w:val="24"/>
        </w:rPr>
        <w:t>1</w:t>
      </w:r>
      <w:r>
        <w:rPr>
          <w:szCs w:val="24"/>
        </w:rPr>
        <w:t>]</w:t>
      </w:r>
      <w:r>
        <w:rPr>
          <w:szCs w:val="24"/>
        </w:rPr>
        <w:tab/>
      </w:r>
      <w:r w:rsidR="00B26285" w:rsidRPr="00B26285">
        <w:rPr>
          <w:szCs w:val="24"/>
        </w:rPr>
        <w:t>As</w:t>
      </w:r>
      <w:r w:rsidR="00B26285">
        <w:rPr>
          <w:szCs w:val="24"/>
        </w:rPr>
        <w:t xml:space="preserve"> has been observed from the summaries of the versions of </w:t>
      </w:r>
      <w:r w:rsidR="0079706A">
        <w:rPr>
          <w:szCs w:val="24"/>
        </w:rPr>
        <w:t xml:space="preserve">the </w:t>
      </w:r>
      <w:r w:rsidR="00B26285">
        <w:rPr>
          <w:szCs w:val="24"/>
        </w:rPr>
        <w:t xml:space="preserve">applicant and the respondent, the </w:t>
      </w:r>
      <w:r w:rsidR="00A83DF3">
        <w:rPr>
          <w:szCs w:val="24"/>
        </w:rPr>
        <w:t xml:space="preserve">two </w:t>
      </w:r>
      <w:r w:rsidR="00B26285">
        <w:rPr>
          <w:szCs w:val="24"/>
        </w:rPr>
        <w:t>versions are mutually destructive.</w:t>
      </w:r>
      <w:r w:rsidR="00D709FA">
        <w:rPr>
          <w:szCs w:val="24"/>
        </w:rPr>
        <w:t xml:space="preserve"> </w:t>
      </w:r>
      <w:r w:rsidR="00B26285">
        <w:rPr>
          <w:szCs w:val="24"/>
        </w:rPr>
        <w:t xml:space="preserve"> It is therefore necessary to deal with this aspect before proceeding to apply the law to the facts.</w:t>
      </w:r>
      <w:r w:rsidR="000D226A">
        <w:rPr>
          <w:szCs w:val="24"/>
        </w:rPr>
        <w:t xml:space="preserve"> </w:t>
      </w:r>
      <w:r w:rsidR="00D709FA">
        <w:rPr>
          <w:szCs w:val="24"/>
        </w:rPr>
        <w:t xml:space="preserve"> </w:t>
      </w:r>
      <w:r w:rsidR="000D226A">
        <w:rPr>
          <w:szCs w:val="24"/>
        </w:rPr>
        <w:t>The approach by the court in motion proceedings to</w:t>
      </w:r>
      <w:r w:rsidR="0007523F">
        <w:rPr>
          <w:szCs w:val="24"/>
        </w:rPr>
        <w:t xml:space="preserve"> resolve</w:t>
      </w:r>
      <w:r w:rsidR="000D226A">
        <w:rPr>
          <w:szCs w:val="24"/>
        </w:rPr>
        <w:t xml:space="preserve"> conflicting versions of the parties is well settled.</w:t>
      </w:r>
      <w:r w:rsidR="00D74254">
        <w:rPr>
          <w:szCs w:val="24"/>
        </w:rPr>
        <w:t xml:space="preserve"> </w:t>
      </w:r>
      <w:proofErr w:type="spellStart"/>
      <w:r w:rsidR="00D74254">
        <w:rPr>
          <w:szCs w:val="24"/>
        </w:rPr>
        <w:t>Damaseb</w:t>
      </w:r>
      <w:proofErr w:type="spellEnd"/>
      <w:r w:rsidR="00D74254">
        <w:rPr>
          <w:szCs w:val="24"/>
        </w:rPr>
        <w:t xml:space="preserve"> AJA writing for the court in the matter of </w:t>
      </w:r>
      <w:r w:rsidRPr="00CA1B32">
        <w:rPr>
          <w:i/>
          <w:szCs w:val="24"/>
        </w:rPr>
        <w:t>M</w:t>
      </w:r>
      <w:r w:rsidR="00D74254" w:rsidRPr="00CA1B32">
        <w:rPr>
          <w:i/>
          <w:szCs w:val="24"/>
        </w:rPr>
        <w:t xml:space="preserve"> </w:t>
      </w:r>
      <w:proofErr w:type="spellStart"/>
      <w:r w:rsidR="00D74254" w:rsidRPr="00CA1B32">
        <w:rPr>
          <w:i/>
          <w:szCs w:val="24"/>
        </w:rPr>
        <w:t>Pupkewitz</w:t>
      </w:r>
      <w:proofErr w:type="spellEnd"/>
      <w:r w:rsidR="00D74254" w:rsidRPr="00CA1B32">
        <w:rPr>
          <w:i/>
          <w:szCs w:val="24"/>
        </w:rPr>
        <w:t xml:space="preserve"> &amp; Sons (Pty) Ltd t/a </w:t>
      </w:r>
      <w:proofErr w:type="spellStart"/>
      <w:r w:rsidR="00D74254" w:rsidRPr="00CA1B32">
        <w:rPr>
          <w:i/>
          <w:szCs w:val="24"/>
        </w:rPr>
        <w:t>Pupkewitz</w:t>
      </w:r>
      <w:proofErr w:type="spellEnd"/>
      <w:r w:rsidR="00D74254" w:rsidRPr="00CA1B32">
        <w:rPr>
          <w:i/>
          <w:szCs w:val="24"/>
        </w:rPr>
        <w:t xml:space="preserve"> </w:t>
      </w:r>
      <w:proofErr w:type="spellStart"/>
      <w:r w:rsidR="00D74254" w:rsidRPr="00CA1B32">
        <w:rPr>
          <w:i/>
          <w:szCs w:val="24"/>
        </w:rPr>
        <w:t>Megabu</w:t>
      </w:r>
      <w:r w:rsidR="00971C02" w:rsidRPr="00CA1B32">
        <w:rPr>
          <w:i/>
          <w:szCs w:val="24"/>
        </w:rPr>
        <w:t>i</w:t>
      </w:r>
      <w:r w:rsidR="00D74254" w:rsidRPr="00CA1B32">
        <w:rPr>
          <w:i/>
          <w:szCs w:val="24"/>
        </w:rPr>
        <w:t>ld</w:t>
      </w:r>
      <w:proofErr w:type="spellEnd"/>
      <w:r w:rsidR="00D74254" w:rsidRPr="00CA1B32">
        <w:rPr>
          <w:i/>
          <w:szCs w:val="24"/>
        </w:rPr>
        <w:t xml:space="preserve"> v </w:t>
      </w:r>
      <w:proofErr w:type="spellStart"/>
      <w:r w:rsidR="00D74254" w:rsidRPr="00CA1B32">
        <w:rPr>
          <w:i/>
          <w:szCs w:val="24"/>
        </w:rPr>
        <w:t>Kurz</w:t>
      </w:r>
      <w:proofErr w:type="spellEnd"/>
      <w:r w:rsidR="00971C02" w:rsidRPr="00CA1B32">
        <w:rPr>
          <w:rStyle w:val="FootnoteReference"/>
          <w:i/>
          <w:szCs w:val="24"/>
        </w:rPr>
        <w:footnoteReference w:id="6"/>
      </w:r>
      <w:r w:rsidR="00D74254">
        <w:rPr>
          <w:szCs w:val="24"/>
        </w:rPr>
        <w:t xml:space="preserve"> cited with approval</w:t>
      </w:r>
      <w:r w:rsidR="006852E8">
        <w:rPr>
          <w:szCs w:val="24"/>
        </w:rPr>
        <w:t xml:space="preserve"> the following</w:t>
      </w:r>
      <w:r w:rsidR="00D74254">
        <w:rPr>
          <w:szCs w:val="24"/>
        </w:rPr>
        <w:t xml:space="preserve"> principle as</w:t>
      </w:r>
      <w:r w:rsidR="00013998">
        <w:rPr>
          <w:szCs w:val="24"/>
        </w:rPr>
        <w:t xml:space="preserve"> outlined by the South African </w:t>
      </w:r>
      <w:r w:rsidR="00D74254">
        <w:rPr>
          <w:szCs w:val="24"/>
        </w:rPr>
        <w:t>Appellate Court in the matter of Gor</w:t>
      </w:r>
      <w:r w:rsidR="00276F24">
        <w:rPr>
          <w:szCs w:val="24"/>
        </w:rPr>
        <w:t>an v Skidmore 1952 (1) SA 732:</w:t>
      </w:r>
    </w:p>
    <w:p w14:paraId="37E3B115" w14:textId="77777777" w:rsidR="00276F24" w:rsidRDefault="00276F24" w:rsidP="00276F24">
      <w:pPr>
        <w:jc w:val="both"/>
        <w:rPr>
          <w:rFonts w:eastAsia="Times New Roman"/>
          <w:color w:val="333333"/>
          <w:sz w:val="22"/>
          <w:lang w:val="en-US" w:eastAsia="en-US"/>
        </w:rPr>
      </w:pPr>
    </w:p>
    <w:p w14:paraId="44881387" w14:textId="487215F6" w:rsidR="00E254D4" w:rsidRPr="00276F24" w:rsidRDefault="00855B70" w:rsidP="00855B70">
      <w:pPr>
        <w:ind w:left="0" w:firstLine="720"/>
        <w:jc w:val="both"/>
        <w:rPr>
          <w:i/>
          <w:sz w:val="22"/>
        </w:rPr>
      </w:pPr>
      <w:r>
        <w:rPr>
          <w:i/>
          <w:sz w:val="22"/>
        </w:rPr>
        <w:t>‘</w:t>
      </w:r>
      <w:r w:rsidR="00E254D4" w:rsidRPr="00276F24">
        <w:rPr>
          <w:i/>
          <w:sz w:val="22"/>
        </w:rPr>
        <w:t xml:space="preserve">Now it is trite law that, in general, in finding facts and making inferences in a civil case, the Court may go upon a mere preponderance of probability, even although </w:t>
      </w:r>
      <w:proofErr w:type="spellStart"/>
      <w:r w:rsidR="00E254D4" w:rsidRPr="00276F24">
        <w:rPr>
          <w:i/>
          <w:sz w:val="22"/>
        </w:rPr>
        <w:t>its</w:t>
      </w:r>
      <w:proofErr w:type="spellEnd"/>
      <w:r w:rsidR="00E254D4" w:rsidRPr="00276F24">
        <w:rPr>
          <w:i/>
          <w:sz w:val="22"/>
        </w:rPr>
        <w:t xml:space="preserve"> so doing does not exclude every reasonable doubt for, in finding facts or making inferences in a civil case, it seems to me that one may by balancing probabilities select a conclusion which seems to be more natural, or plausible, conclusion from amongst several conceivable ones, even though that conclusion be not the only reasonable one.</w:t>
      </w:r>
    </w:p>
    <w:p w14:paraId="350D4547" w14:textId="77777777" w:rsidR="00276F24" w:rsidRDefault="00276F24" w:rsidP="00E7287F">
      <w:pPr>
        <w:ind w:left="10"/>
        <w:jc w:val="both"/>
        <w:rPr>
          <w:szCs w:val="24"/>
        </w:rPr>
      </w:pPr>
    </w:p>
    <w:p w14:paraId="62157216" w14:textId="77777777" w:rsidR="00683EEE" w:rsidRDefault="00D74254" w:rsidP="00E7287F">
      <w:pPr>
        <w:ind w:left="10"/>
        <w:jc w:val="both"/>
        <w:rPr>
          <w:szCs w:val="24"/>
        </w:rPr>
      </w:pPr>
      <w:r>
        <w:rPr>
          <w:szCs w:val="24"/>
        </w:rPr>
        <w:t>Similarly,</w:t>
      </w:r>
    </w:p>
    <w:p w14:paraId="6BC6A0D6" w14:textId="77777777" w:rsidR="00D74254" w:rsidRDefault="00D74254" w:rsidP="00E7287F">
      <w:pPr>
        <w:ind w:left="10"/>
        <w:jc w:val="both"/>
        <w:rPr>
          <w:szCs w:val="24"/>
        </w:rPr>
      </w:pPr>
    </w:p>
    <w:p w14:paraId="3E1532B2" w14:textId="3F9F6B88" w:rsidR="00D74254" w:rsidRDefault="00855B70" w:rsidP="00855B70">
      <w:pPr>
        <w:ind w:left="0" w:firstLine="720"/>
        <w:jc w:val="both"/>
        <w:rPr>
          <w:i/>
          <w:sz w:val="22"/>
        </w:rPr>
      </w:pPr>
      <w:r>
        <w:rPr>
          <w:i/>
          <w:sz w:val="22"/>
        </w:rPr>
        <w:t>‘</w:t>
      </w:r>
      <w:r w:rsidR="00D74254">
        <w:rPr>
          <w:i/>
          <w:sz w:val="22"/>
        </w:rPr>
        <w:t>W</w:t>
      </w:r>
      <w:r w:rsidR="00D74254" w:rsidRPr="0073441A">
        <w:rPr>
          <w:i/>
          <w:sz w:val="22"/>
        </w:rPr>
        <w:t>here the onus rests on the plaintiff as in the present case, and where there are two mutually destructive stories, he can only succeed if he satisfies the Court on a preponderance of probability that his version is true and accurate and therefore acceptable, and that the other version advanced by the defendant is therefore false or mistaken and falls to be rejected.</w:t>
      </w:r>
      <w:r>
        <w:rPr>
          <w:i/>
          <w:sz w:val="22"/>
        </w:rPr>
        <w:t>’</w:t>
      </w:r>
      <w:r w:rsidR="00971C02">
        <w:rPr>
          <w:rStyle w:val="FootnoteReference"/>
          <w:i/>
          <w:sz w:val="22"/>
        </w:rPr>
        <w:footnoteReference w:id="7"/>
      </w:r>
    </w:p>
    <w:p w14:paraId="06A970AA" w14:textId="77777777" w:rsidR="000149A1" w:rsidRDefault="000149A1" w:rsidP="00D74254">
      <w:pPr>
        <w:ind w:left="730"/>
        <w:jc w:val="both"/>
        <w:rPr>
          <w:i/>
          <w:sz w:val="22"/>
        </w:rPr>
      </w:pPr>
    </w:p>
    <w:p w14:paraId="2D53D13F" w14:textId="77777777" w:rsidR="000149A1" w:rsidRPr="00E60C16" w:rsidRDefault="000149A1" w:rsidP="00E7287F">
      <w:pPr>
        <w:ind w:left="10"/>
        <w:jc w:val="both"/>
        <w:rPr>
          <w:szCs w:val="24"/>
        </w:rPr>
      </w:pPr>
      <w:r w:rsidRPr="00E60C16">
        <w:rPr>
          <w:szCs w:val="24"/>
          <w:u w:val="single"/>
        </w:rPr>
        <w:t>Application of the law to the facts</w:t>
      </w:r>
    </w:p>
    <w:p w14:paraId="397A8AF3" w14:textId="77777777" w:rsidR="00D709FA" w:rsidRPr="00CA1B32" w:rsidRDefault="00D709FA" w:rsidP="00E7287F">
      <w:pPr>
        <w:ind w:left="10"/>
        <w:jc w:val="both"/>
        <w:rPr>
          <w:i/>
          <w:szCs w:val="24"/>
        </w:rPr>
      </w:pPr>
    </w:p>
    <w:p w14:paraId="26C45E7B" w14:textId="3A2EFC60" w:rsidR="00C61CD7" w:rsidRDefault="001E4894" w:rsidP="00E7287F">
      <w:pPr>
        <w:ind w:left="10"/>
        <w:jc w:val="both"/>
        <w:rPr>
          <w:szCs w:val="24"/>
        </w:rPr>
      </w:pPr>
      <w:r>
        <w:rPr>
          <w:szCs w:val="24"/>
        </w:rPr>
        <w:t>[42]</w:t>
      </w:r>
      <w:r>
        <w:rPr>
          <w:szCs w:val="24"/>
        </w:rPr>
        <w:tab/>
      </w:r>
      <w:r w:rsidR="00C61CD7">
        <w:rPr>
          <w:szCs w:val="24"/>
        </w:rPr>
        <w:t xml:space="preserve">I consider it necessary to separately consider whether the property was an instrumentality of the two alleged </w:t>
      </w:r>
      <w:r w:rsidR="00CA1B32">
        <w:rPr>
          <w:szCs w:val="24"/>
        </w:rPr>
        <w:t>offences</w:t>
      </w:r>
      <w:r w:rsidR="00C61CD7">
        <w:rPr>
          <w:szCs w:val="24"/>
        </w:rPr>
        <w:t xml:space="preserve"> of kidnapping and rape respectively.</w:t>
      </w:r>
      <w:r w:rsidR="00D709FA">
        <w:rPr>
          <w:szCs w:val="24"/>
        </w:rPr>
        <w:t xml:space="preserve"> </w:t>
      </w:r>
      <w:r w:rsidR="00C61CD7">
        <w:rPr>
          <w:szCs w:val="24"/>
        </w:rPr>
        <w:t xml:space="preserve"> I will first consider </w:t>
      </w:r>
      <w:r w:rsidR="00CA1B32">
        <w:rPr>
          <w:szCs w:val="24"/>
        </w:rPr>
        <w:t>whether the property was</w:t>
      </w:r>
      <w:r w:rsidR="006B3447">
        <w:rPr>
          <w:szCs w:val="24"/>
        </w:rPr>
        <w:t xml:space="preserve"> an</w:t>
      </w:r>
      <w:r w:rsidR="00CA1B32">
        <w:rPr>
          <w:szCs w:val="24"/>
        </w:rPr>
        <w:t xml:space="preserve"> </w:t>
      </w:r>
      <w:r w:rsidR="00823CCE">
        <w:rPr>
          <w:szCs w:val="24"/>
        </w:rPr>
        <w:t xml:space="preserve">instrumentality </w:t>
      </w:r>
      <w:r w:rsidR="00CA1B32">
        <w:rPr>
          <w:szCs w:val="24"/>
        </w:rPr>
        <w:t xml:space="preserve">in the commission of </w:t>
      </w:r>
      <w:r w:rsidR="00823CCE">
        <w:rPr>
          <w:szCs w:val="24"/>
        </w:rPr>
        <w:t xml:space="preserve">the offence </w:t>
      </w:r>
      <w:r w:rsidR="00C61CD7">
        <w:rPr>
          <w:szCs w:val="24"/>
        </w:rPr>
        <w:t xml:space="preserve">of kidnapping and </w:t>
      </w:r>
      <w:r w:rsidR="00823CCE">
        <w:rPr>
          <w:szCs w:val="24"/>
        </w:rPr>
        <w:t>thereafter</w:t>
      </w:r>
      <w:r w:rsidR="00C61CD7">
        <w:rPr>
          <w:szCs w:val="24"/>
        </w:rPr>
        <w:t xml:space="preserve"> </w:t>
      </w:r>
      <w:r w:rsidR="00CA1B32">
        <w:rPr>
          <w:szCs w:val="24"/>
        </w:rPr>
        <w:t>whether the property was</w:t>
      </w:r>
      <w:r w:rsidR="00C61CD7">
        <w:rPr>
          <w:szCs w:val="24"/>
        </w:rPr>
        <w:t xml:space="preserve"> </w:t>
      </w:r>
      <w:r w:rsidR="00823CCE">
        <w:rPr>
          <w:szCs w:val="24"/>
        </w:rPr>
        <w:t>instrumentality</w:t>
      </w:r>
      <w:r w:rsidR="00C61CD7">
        <w:rPr>
          <w:szCs w:val="24"/>
        </w:rPr>
        <w:t xml:space="preserve"> </w:t>
      </w:r>
      <w:r w:rsidR="00CA1B32">
        <w:rPr>
          <w:szCs w:val="24"/>
        </w:rPr>
        <w:t xml:space="preserve">in the commission of the </w:t>
      </w:r>
      <w:r w:rsidR="00C61CD7">
        <w:rPr>
          <w:szCs w:val="24"/>
        </w:rPr>
        <w:t>offence of rape</w:t>
      </w:r>
      <w:r w:rsidR="00823CCE">
        <w:rPr>
          <w:szCs w:val="24"/>
        </w:rPr>
        <w:t>.</w:t>
      </w:r>
    </w:p>
    <w:p w14:paraId="5883DCF6" w14:textId="77777777" w:rsidR="00D709FA" w:rsidRDefault="00D709FA" w:rsidP="00E7287F">
      <w:pPr>
        <w:ind w:left="10"/>
        <w:jc w:val="both"/>
        <w:rPr>
          <w:szCs w:val="24"/>
        </w:rPr>
      </w:pPr>
    </w:p>
    <w:p w14:paraId="20C875A5" w14:textId="77777777" w:rsidR="000149A1" w:rsidRDefault="0023525F" w:rsidP="00E7287F">
      <w:pPr>
        <w:ind w:left="10"/>
        <w:jc w:val="both"/>
        <w:rPr>
          <w:szCs w:val="24"/>
          <w:u w:val="single"/>
        </w:rPr>
      </w:pPr>
      <w:r w:rsidRPr="00A64513">
        <w:rPr>
          <w:szCs w:val="24"/>
          <w:u w:val="single"/>
        </w:rPr>
        <w:t>Property being instrumentality</w:t>
      </w:r>
      <w:r w:rsidR="00214D5B">
        <w:rPr>
          <w:szCs w:val="24"/>
          <w:u w:val="single"/>
        </w:rPr>
        <w:t xml:space="preserve"> concerning</w:t>
      </w:r>
      <w:r w:rsidRPr="00A64513">
        <w:rPr>
          <w:szCs w:val="24"/>
          <w:u w:val="single"/>
        </w:rPr>
        <w:t xml:space="preserve"> the commission of the offence of </w:t>
      </w:r>
      <w:r w:rsidRPr="00920280">
        <w:rPr>
          <w:szCs w:val="24"/>
          <w:u w:val="single"/>
        </w:rPr>
        <w:t>kidnaping</w:t>
      </w:r>
    </w:p>
    <w:p w14:paraId="45560485" w14:textId="77777777" w:rsidR="00A64513" w:rsidRDefault="00A64513" w:rsidP="00E7287F">
      <w:pPr>
        <w:ind w:left="10"/>
        <w:jc w:val="both"/>
        <w:rPr>
          <w:szCs w:val="24"/>
        </w:rPr>
      </w:pPr>
    </w:p>
    <w:p w14:paraId="0FF84A65" w14:textId="0AB4DD6F" w:rsidR="001E4894" w:rsidRDefault="001E4894" w:rsidP="00E7287F">
      <w:pPr>
        <w:ind w:left="10"/>
        <w:jc w:val="both"/>
        <w:rPr>
          <w:szCs w:val="24"/>
        </w:rPr>
      </w:pPr>
      <w:r>
        <w:rPr>
          <w:szCs w:val="24"/>
        </w:rPr>
        <w:t>[43]</w:t>
      </w:r>
      <w:r>
        <w:rPr>
          <w:szCs w:val="24"/>
        </w:rPr>
        <w:tab/>
      </w:r>
      <w:r w:rsidR="000149A1">
        <w:rPr>
          <w:szCs w:val="24"/>
        </w:rPr>
        <w:t>The offence of kidnapping</w:t>
      </w:r>
      <w:r w:rsidR="00B407F6">
        <w:rPr>
          <w:szCs w:val="24"/>
        </w:rPr>
        <w:t xml:space="preserve"> is said to consist</w:t>
      </w:r>
      <w:r w:rsidR="000149A1">
        <w:rPr>
          <w:szCs w:val="24"/>
        </w:rPr>
        <w:t xml:space="preserve"> in unlawfully and intentionally depriving a person of liberty of movement and/or her custodians of control.</w:t>
      </w:r>
      <w:r w:rsidR="000149A1">
        <w:rPr>
          <w:rStyle w:val="FootnoteReference"/>
          <w:szCs w:val="24"/>
        </w:rPr>
        <w:footnoteReference w:id="8"/>
      </w:r>
      <w:r w:rsidR="000149A1">
        <w:rPr>
          <w:szCs w:val="24"/>
        </w:rPr>
        <w:t xml:space="preserve"> </w:t>
      </w:r>
      <w:r>
        <w:rPr>
          <w:szCs w:val="24"/>
        </w:rPr>
        <w:t xml:space="preserve">Corbett CJ in the matter of </w:t>
      </w:r>
      <w:r w:rsidRPr="001E4894">
        <w:rPr>
          <w:i/>
          <w:szCs w:val="24"/>
        </w:rPr>
        <w:t xml:space="preserve">S </w:t>
      </w:r>
      <w:r>
        <w:rPr>
          <w:i/>
          <w:szCs w:val="24"/>
        </w:rPr>
        <w:t>v Mo</w:t>
      </w:r>
      <w:r w:rsidRPr="001E4894">
        <w:rPr>
          <w:i/>
          <w:szCs w:val="24"/>
        </w:rPr>
        <w:t>rgan</w:t>
      </w:r>
      <w:r>
        <w:rPr>
          <w:szCs w:val="24"/>
        </w:rPr>
        <w:t xml:space="preserve"> </w:t>
      </w:r>
      <w:r>
        <w:rPr>
          <w:rStyle w:val="FootnoteReference"/>
          <w:szCs w:val="24"/>
        </w:rPr>
        <w:footnoteReference w:id="9"/>
      </w:r>
      <w:r>
        <w:rPr>
          <w:szCs w:val="24"/>
        </w:rPr>
        <w:t>has the following to say regarding the offence of kidnapping</w:t>
      </w:r>
      <w:r w:rsidR="009447E1">
        <w:rPr>
          <w:szCs w:val="24"/>
        </w:rPr>
        <w:t>:</w:t>
      </w:r>
    </w:p>
    <w:p w14:paraId="434AC3A2" w14:textId="77777777" w:rsidR="001E4894" w:rsidRDefault="001E4894" w:rsidP="00E7287F">
      <w:pPr>
        <w:ind w:left="10"/>
        <w:jc w:val="both"/>
        <w:rPr>
          <w:szCs w:val="24"/>
        </w:rPr>
      </w:pPr>
    </w:p>
    <w:p w14:paraId="263FE782" w14:textId="2B3CE0F5" w:rsidR="001E4894" w:rsidRPr="00F53A93" w:rsidRDefault="00855B70" w:rsidP="00855B70">
      <w:pPr>
        <w:ind w:left="0" w:firstLine="720"/>
        <w:jc w:val="both"/>
        <w:rPr>
          <w:sz w:val="22"/>
        </w:rPr>
      </w:pPr>
      <w:r>
        <w:rPr>
          <w:sz w:val="22"/>
        </w:rPr>
        <w:t>‘</w:t>
      </w:r>
      <w:r w:rsidR="001E4894" w:rsidRPr="00F53A93">
        <w:rPr>
          <w:i/>
          <w:sz w:val="22"/>
        </w:rPr>
        <w:t>Kidnapping is always a serious offence since it involves deprivation of liberty particularly freedom of movement, freedom to be where one wants to be, freedom to do as one wishes</w:t>
      </w:r>
      <w:r>
        <w:rPr>
          <w:i/>
          <w:sz w:val="22"/>
        </w:rPr>
        <w:t>’</w:t>
      </w:r>
    </w:p>
    <w:p w14:paraId="7CA12EE7" w14:textId="77777777" w:rsidR="001E4894" w:rsidRDefault="001E4894" w:rsidP="00E7287F">
      <w:pPr>
        <w:ind w:left="10"/>
        <w:jc w:val="both"/>
        <w:rPr>
          <w:szCs w:val="24"/>
        </w:rPr>
      </w:pPr>
    </w:p>
    <w:p w14:paraId="4E915B76" w14:textId="77777777" w:rsidR="001E4894" w:rsidRDefault="00B32F5C" w:rsidP="00E7287F">
      <w:pPr>
        <w:ind w:left="10"/>
        <w:jc w:val="both"/>
        <w:rPr>
          <w:szCs w:val="24"/>
        </w:rPr>
      </w:pPr>
      <w:r>
        <w:rPr>
          <w:szCs w:val="24"/>
        </w:rPr>
        <w:t>[44]</w:t>
      </w:r>
      <w:r>
        <w:rPr>
          <w:szCs w:val="24"/>
        </w:rPr>
        <w:tab/>
      </w:r>
      <w:r w:rsidR="000149A1">
        <w:rPr>
          <w:szCs w:val="24"/>
        </w:rPr>
        <w:t xml:space="preserve">Furthermore, the offence of kidnapping is committed not only where there is </w:t>
      </w:r>
      <w:r w:rsidR="000149A1" w:rsidRPr="000D40BD">
        <w:rPr>
          <w:i/>
          <w:szCs w:val="24"/>
          <w:u w:val="single"/>
        </w:rPr>
        <w:t>forcible deprivation of freedom of movement</w:t>
      </w:r>
      <w:r w:rsidR="000149A1" w:rsidRPr="000D40BD">
        <w:rPr>
          <w:i/>
          <w:szCs w:val="24"/>
        </w:rPr>
        <w:t>,</w:t>
      </w:r>
      <w:r w:rsidR="000149A1">
        <w:rPr>
          <w:szCs w:val="24"/>
        </w:rPr>
        <w:t xml:space="preserve"> but also where the victim is </w:t>
      </w:r>
      <w:r w:rsidR="000149A1" w:rsidRPr="000D40BD">
        <w:rPr>
          <w:i/>
          <w:szCs w:val="24"/>
          <w:u w:val="single"/>
        </w:rPr>
        <w:t>enticed by craft or cunning</w:t>
      </w:r>
      <w:r w:rsidR="000149A1">
        <w:rPr>
          <w:szCs w:val="24"/>
        </w:rPr>
        <w:t>.</w:t>
      </w:r>
      <w:r w:rsidR="000149A1">
        <w:rPr>
          <w:rStyle w:val="FootnoteReference"/>
          <w:szCs w:val="24"/>
        </w:rPr>
        <w:footnoteReference w:id="10"/>
      </w:r>
      <w:r w:rsidR="000149A1">
        <w:rPr>
          <w:szCs w:val="24"/>
        </w:rPr>
        <w:t xml:space="preserve"> </w:t>
      </w:r>
      <w:r w:rsidR="001E36AE">
        <w:rPr>
          <w:szCs w:val="24"/>
        </w:rPr>
        <w:t xml:space="preserve"> </w:t>
      </w:r>
    </w:p>
    <w:p w14:paraId="5B980A89" w14:textId="77777777" w:rsidR="00D709FA" w:rsidRDefault="00D709FA" w:rsidP="00E7287F">
      <w:pPr>
        <w:ind w:left="10"/>
        <w:jc w:val="both"/>
        <w:rPr>
          <w:szCs w:val="24"/>
        </w:rPr>
      </w:pPr>
    </w:p>
    <w:p w14:paraId="6622E55E" w14:textId="23849A29" w:rsidR="00C61CD7" w:rsidRDefault="00A862AF" w:rsidP="00E7287F">
      <w:pPr>
        <w:ind w:left="10"/>
        <w:jc w:val="both"/>
        <w:rPr>
          <w:szCs w:val="24"/>
        </w:rPr>
      </w:pPr>
      <w:r>
        <w:rPr>
          <w:szCs w:val="24"/>
        </w:rPr>
        <w:t>[4</w:t>
      </w:r>
      <w:r w:rsidR="003C002C">
        <w:rPr>
          <w:szCs w:val="24"/>
        </w:rPr>
        <w:t>5</w:t>
      </w:r>
      <w:r>
        <w:rPr>
          <w:szCs w:val="24"/>
        </w:rPr>
        <w:t>]</w:t>
      </w:r>
      <w:r>
        <w:rPr>
          <w:szCs w:val="24"/>
        </w:rPr>
        <w:tab/>
      </w:r>
      <w:r w:rsidR="000149A1">
        <w:rPr>
          <w:szCs w:val="24"/>
        </w:rPr>
        <w:t xml:space="preserve">Ms </w:t>
      </w:r>
      <w:proofErr w:type="spellStart"/>
      <w:r w:rsidR="000149A1">
        <w:rPr>
          <w:szCs w:val="24"/>
        </w:rPr>
        <w:t>Kazondunge</w:t>
      </w:r>
      <w:proofErr w:type="spellEnd"/>
      <w:r w:rsidR="000149A1">
        <w:rPr>
          <w:szCs w:val="24"/>
        </w:rPr>
        <w:t xml:space="preserve"> on behalf of the applicant </w:t>
      </w:r>
      <w:r w:rsidR="00C61CD7">
        <w:rPr>
          <w:szCs w:val="24"/>
        </w:rPr>
        <w:t>submits that</w:t>
      </w:r>
      <w:r w:rsidR="000149A1">
        <w:rPr>
          <w:szCs w:val="24"/>
        </w:rPr>
        <w:t xml:space="preserve"> the facts</w:t>
      </w:r>
      <w:r>
        <w:rPr>
          <w:szCs w:val="24"/>
        </w:rPr>
        <w:t xml:space="preserve"> before court</w:t>
      </w:r>
      <w:r w:rsidR="000149A1">
        <w:rPr>
          <w:szCs w:val="24"/>
        </w:rPr>
        <w:t xml:space="preserve"> ha</w:t>
      </w:r>
      <w:r>
        <w:rPr>
          <w:szCs w:val="24"/>
        </w:rPr>
        <w:t>ve</w:t>
      </w:r>
      <w:r w:rsidR="000149A1">
        <w:rPr>
          <w:szCs w:val="24"/>
        </w:rPr>
        <w:t xml:space="preserve"> proved o</w:t>
      </w:r>
      <w:r w:rsidR="00541F27">
        <w:rPr>
          <w:szCs w:val="24"/>
        </w:rPr>
        <w:t xml:space="preserve">n </w:t>
      </w:r>
      <w:r w:rsidR="000149A1">
        <w:rPr>
          <w:szCs w:val="24"/>
        </w:rPr>
        <w:t xml:space="preserve">the </w:t>
      </w:r>
      <w:r w:rsidR="00541F27">
        <w:rPr>
          <w:szCs w:val="24"/>
        </w:rPr>
        <w:t>balance of probabilit</w:t>
      </w:r>
      <w:r w:rsidR="0088081B">
        <w:rPr>
          <w:szCs w:val="24"/>
        </w:rPr>
        <w:t>ies</w:t>
      </w:r>
      <w:r w:rsidR="00541F27">
        <w:rPr>
          <w:szCs w:val="24"/>
        </w:rPr>
        <w:t xml:space="preserve"> </w:t>
      </w:r>
      <w:r w:rsidR="000149A1">
        <w:rPr>
          <w:szCs w:val="24"/>
        </w:rPr>
        <w:t xml:space="preserve">that </w:t>
      </w:r>
      <w:r w:rsidR="00541F27">
        <w:rPr>
          <w:szCs w:val="24"/>
        </w:rPr>
        <w:t>the respondent used the property to kidnap the complainant</w:t>
      </w:r>
      <w:r w:rsidR="0083647E">
        <w:rPr>
          <w:szCs w:val="24"/>
        </w:rPr>
        <w:t>.</w:t>
      </w:r>
      <w:r w:rsidR="000149A1">
        <w:rPr>
          <w:szCs w:val="24"/>
        </w:rPr>
        <w:t xml:space="preserve"> </w:t>
      </w:r>
      <w:r w:rsidR="00D709FA">
        <w:rPr>
          <w:szCs w:val="24"/>
        </w:rPr>
        <w:t xml:space="preserve"> </w:t>
      </w:r>
      <w:r w:rsidR="000149A1">
        <w:rPr>
          <w:szCs w:val="24"/>
        </w:rPr>
        <w:t>On the</w:t>
      </w:r>
      <w:r w:rsidR="00C61CD7">
        <w:rPr>
          <w:szCs w:val="24"/>
        </w:rPr>
        <w:t xml:space="preserve"> </w:t>
      </w:r>
      <w:r>
        <w:rPr>
          <w:szCs w:val="24"/>
        </w:rPr>
        <w:t>other hand Mr Isa</w:t>
      </w:r>
      <w:r w:rsidR="000149A1">
        <w:rPr>
          <w:szCs w:val="24"/>
        </w:rPr>
        <w:t>a</w:t>
      </w:r>
      <w:r>
        <w:rPr>
          <w:szCs w:val="24"/>
        </w:rPr>
        <w:t>c</w:t>
      </w:r>
      <w:r w:rsidR="000149A1">
        <w:rPr>
          <w:szCs w:val="24"/>
        </w:rPr>
        <w:t xml:space="preserve">ks for the respondent submits that </w:t>
      </w:r>
      <w:r w:rsidR="00C61CD7">
        <w:rPr>
          <w:szCs w:val="24"/>
        </w:rPr>
        <w:t>that the only link between the property and the</w:t>
      </w:r>
      <w:r w:rsidR="00823CCE">
        <w:rPr>
          <w:szCs w:val="24"/>
        </w:rPr>
        <w:t xml:space="preserve"> alleged </w:t>
      </w:r>
      <w:r w:rsidR="00C61CD7">
        <w:rPr>
          <w:szCs w:val="24"/>
        </w:rPr>
        <w:t xml:space="preserve">offence of kidnapping is that the complainant was being driven in the property prior to the alleged </w:t>
      </w:r>
      <w:r w:rsidR="00346954">
        <w:rPr>
          <w:szCs w:val="24"/>
        </w:rPr>
        <w:t xml:space="preserve">offence of </w:t>
      </w:r>
      <w:r w:rsidR="00C61CD7">
        <w:rPr>
          <w:szCs w:val="24"/>
        </w:rPr>
        <w:t>rape hav</w:t>
      </w:r>
      <w:r w:rsidR="009447E1">
        <w:rPr>
          <w:szCs w:val="24"/>
        </w:rPr>
        <w:t>ing</w:t>
      </w:r>
      <w:r w:rsidR="00C61CD7">
        <w:rPr>
          <w:szCs w:val="24"/>
        </w:rPr>
        <w:t xml:space="preserve"> been committed. </w:t>
      </w:r>
      <w:r w:rsidR="00EA2FB8">
        <w:rPr>
          <w:szCs w:val="24"/>
        </w:rPr>
        <w:t xml:space="preserve"> </w:t>
      </w:r>
      <w:r w:rsidR="00C61CD7">
        <w:rPr>
          <w:szCs w:val="24"/>
        </w:rPr>
        <w:t xml:space="preserve">This, according to </w:t>
      </w:r>
      <w:r>
        <w:rPr>
          <w:szCs w:val="24"/>
        </w:rPr>
        <w:t>Mr Isaacks</w:t>
      </w:r>
      <w:r w:rsidR="00C61CD7">
        <w:rPr>
          <w:szCs w:val="24"/>
        </w:rPr>
        <w:t>, makes the property merely incidental to the alleged commission of the offence.</w:t>
      </w:r>
    </w:p>
    <w:p w14:paraId="571D4061" w14:textId="77777777" w:rsidR="00EA2FB8" w:rsidRDefault="00EA2FB8" w:rsidP="00E7287F">
      <w:pPr>
        <w:ind w:left="10"/>
        <w:jc w:val="both"/>
        <w:rPr>
          <w:szCs w:val="24"/>
        </w:rPr>
      </w:pPr>
    </w:p>
    <w:p w14:paraId="4611375F" w14:textId="71DEE1D6" w:rsidR="005E0465" w:rsidRDefault="003C002C" w:rsidP="00DE4805">
      <w:pPr>
        <w:ind w:left="10"/>
        <w:jc w:val="both"/>
        <w:rPr>
          <w:szCs w:val="24"/>
        </w:rPr>
      </w:pPr>
      <w:r>
        <w:rPr>
          <w:szCs w:val="24"/>
        </w:rPr>
        <w:lastRenderedPageBreak/>
        <w:t>[46]</w:t>
      </w:r>
      <w:r>
        <w:rPr>
          <w:szCs w:val="24"/>
        </w:rPr>
        <w:tab/>
      </w:r>
      <w:r w:rsidR="00EF7C2B">
        <w:rPr>
          <w:szCs w:val="24"/>
        </w:rPr>
        <w:t xml:space="preserve">There is a </w:t>
      </w:r>
      <w:r w:rsidR="00FA7192">
        <w:rPr>
          <w:szCs w:val="24"/>
        </w:rPr>
        <w:t xml:space="preserve">slight </w:t>
      </w:r>
      <w:r w:rsidR="00EF7C2B">
        <w:rPr>
          <w:szCs w:val="24"/>
        </w:rPr>
        <w:t xml:space="preserve">dispute between the complainant and the respondent as to whether it was the respondent who offered the complainant a lift to town or whether it was the complainant who asked the respondent for the lift to town. </w:t>
      </w:r>
      <w:r w:rsidR="00A93D32">
        <w:rPr>
          <w:szCs w:val="24"/>
        </w:rPr>
        <w:t xml:space="preserve">The dispute would perhaps </w:t>
      </w:r>
      <w:r w:rsidR="009447E1">
        <w:rPr>
          <w:szCs w:val="24"/>
        </w:rPr>
        <w:t xml:space="preserve">have </w:t>
      </w:r>
      <w:r w:rsidR="00A93D32">
        <w:rPr>
          <w:szCs w:val="24"/>
        </w:rPr>
        <w:t>been relevant if M</w:t>
      </w:r>
      <w:r w:rsidR="009447E1">
        <w:rPr>
          <w:szCs w:val="24"/>
        </w:rPr>
        <w:t>s</w:t>
      </w:r>
      <w:r w:rsidR="00A93D32">
        <w:rPr>
          <w:szCs w:val="24"/>
        </w:rPr>
        <w:t xml:space="preserve"> </w:t>
      </w:r>
      <w:proofErr w:type="spellStart"/>
      <w:r w:rsidR="00A93D32">
        <w:rPr>
          <w:szCs w:val="24"/>
        </w:rPr>
        <w:t>K</w:t>
      </w:r>
      <w:r w:rsidR="008443D2">
        <w:rPr>
          <w:szCs w:val="24"/>
        </w:rPr>
        <w:t>a</w:t>
      </w:r>
      <w:r w:rsidR="00A93D32">
        <w:rPr>
          <w:szCs w:val="24"/>
        </w:rPr>
        <w:t>zondunge</w:t>
      </w:r>
      <w:proofErr w:type="spellEnd"/>
      <w:r w:rsidR="00A93D32">
        <w:rPr>
          <w:szCs w:val="24"/>
        </w:rPr>
        <w:t xml:space="preserve"> had maintained her argument that the respondent picked up the complain</w:t>
      </w:r>
      <w:r w:rsidR="009447E1">
        <w:rPr>
          <w:szCs w:val="24"/>
        </w:rPr>
        <w:t>an</w:t>
      </w:r>
      <w:r w:rsidR="00A93D32">
        <w:rPr>
          <w:szCs w:val="24"/>
        </w:rPr>
        <w:t>t under false premises that he would give her a lift to t</w:t>
      </w:r>
      <w:r w:rsidR="009447E1">
        <w:rPr>
          <w:szCs w:val="24"/>
        </w:rPr>
        <w:t>ow</w:t>
      </w:r>
      <w:r w:rsidR="00A93D32">
        <w:rPr>
          <w:szCs w:val="24"/>
        </w:rPr>
        <w:t xml:space="preserve">n. </w:t>
      </w:r>
      <w:r w:rsidR="00EA2FB8">
        <w:rPr>
          <w:szCs w:val="24"/>
        </w:rPr>
        <w:t xml:space="preserve"> </w:t>
      </w:r>
      <w:r w:rsidR="00A93D32">
        <w:rPr>
          <w:szCs w:val="24"/>
        </w:rPr>
        <w:t>In my view</w:t>
      </w:r>
      <w:r w:rsidR="009447E1">
        <w:rPr>
          <w:szCs w:val="24"/>
        </w:rPr>
        <w:t>,</w:t>
      </w:r>
      <w:r w:rsidR="00A93D32">
        <w:rPr>
          <w:szCs w:val="24"/>
        </w:rPr>
        <w:t xml:space="preserve"> this point lost its relevance once </w:t>
      </w:r>
      <w:r w:rsidR="00EA2FB8">
        <w:rPr>
          <w:szCs w:val="24"/>
        </w:rPr>
        <w:t xml:space="preserve">Ms </w:t>
      </w:r>
      <w:proofErr w:type="spellStart"/>
      <w:r w:rsidR="00CB5D27">
        <w:rPr>
          <w:szCs w:val="24"/>
        </w:rPr>
        <w:t>Kazondunge</w:t>
      </w:r>
      <w:proofErr w:type="spellEnd"/>
      <w:r w:rsidR="00CB5D27">
        <w:rPr>
          <w:szCs w:val="24"/>
        </w:rPr>
        <w:t xml:space="preserve"> in her heads of argu</w:t>
      </w:r>
      <w:r w:rsidR="00EA2FB8">
        <w:rPr>
          <w:szCs w:val="24"/>
        </w:rPr>
        <w:t>ment</w:t>
      </w:r>
      <w:r w:rsidR="000D40BD">
        <w:rPr>
          <w:szCs w:val="24"/>
        </w:rPr>
        <w:t xml:space="preserve"> stated</w:t>
      </w:r>
      <w:r w:rsidR="00A93D32">
        <w:rPr>
          <w:szCs w:val="24"/>
        </w:rPr>
        <w:t xml:space="preserve"> that the complainant got into the property voluntarily. </w:t>
      </w:r>
      <w:r w:rsidR="00EA2FB8">
        <w:rPr>
          <w:szCs w:val="24"/>
        </w:rPr>
        <w:t xml:space="preserve"> </w:t>
      </w:r>
      <w:r w:rsidR="00E03788">
        <w:rPr>
          <w:szCs w:val="24"/>
        </w:rPr>
        <w:t xml:space="preserve">It is incorrectly submitted on behalf of the applicant that the respondent picked up the complainant </w:t>
      </w:r>
      <w:r w:rsidR="00352102">
        <w:rPr>
          <w:szCs w:val="24"/>
        </w:rPr>
        <w:t>under</w:t>
      </w:r>
      <w:r w:rsidR="00E03788">
        <w:rPr>
          <w:szCs w:val="24"/>
        </w:rPr>
        <w:t xml:space="preserve"> </w:t>
      </w:r>
      <w:r w:rsidR="009447E1">
        <w:rPr>
          <w:szCs w:val="24"/>
        </w:rPr>
        <w:t xml:space="preserve">a </w:t>
      </w:r>
      <w:r w:rsidR="00E03788">
        <w:rPr>
          <w:szCs w:val="24"/>
        </w:rPr>
        <w:t xml:space="preserve">false </w:t>
      </w:r>
      <w:r w:rsidR="003600AC" w:rsidRPr="00C80B14">
        <w:rPr>
          <w:szCs w:val="24"/>
        </w:rPr>
        <w:t>pretex</w:t>
      </w:r>
      <w:r w:rsidR="009447E1">
        <w:rPr>
          <w:szCs w:val="24"/>
        </w:rPr>
        <w:t>t</w:t>
      </w:r>
      <w:r w:rsidR="00E03788">
        <w:rPr>
          <w:szCs w:val="24"/>
        </w:rPr>
        <w:t xml:space="preserve"> that he would give her a lift to town</w:t>
      </w:r>
      <w:r w:rsidR="009447E1">
        <w:rPr>
          <w:szCs w:val="24"/>
        </w:rPr>
        <w:t>,</w:t>
      </w:r>
      <w:r w:rsidR="00E03788">
        <w:rPr>
          <w:szCs w:val="24"/>
        </w:rPr>
        <w:t xml:space="preserve"> as he was heading in the same direction as</w:t>
      </w:r>
      <w:r w:rsidR="00F7334D">
        <w:rPr>
          <w:szCs w:val="24"/>
        </w:rPr>
        <w:t xml:space="preserve"> well. </w:t>
      </w:r>
      <w:r w:rsidR="00EA2FB8">
        <w:rPr>
          <w:szCs w:val="24"/>
        </w:rPr>
        <w:t xml:space="preserve"> </w:t>
      </w:r>
      <w:r w:rsidR="00E03788">
        <w:rPr>
          <w:szCs w:val="24"/>
        </w:rPr>
        <w:t>The complainant</w:t>
      </w:r>
      <w:r w:rsidR="00EA2FB8">
        <w:rPr>
          <w:szCs w:val="24"/>
        </w:rPr>
        <w:t>’s own</w:t>
      </w:r>
      <w:r w:rsidR="00E03788">
        <w:rPr>
          <w:szCs w:val="24"/>
        </w:rPr>
        <w:t xml:space="preserve"> version on this point is that the respondent told her that he was going to </w:t>
      </w:r>
      <w:proofErr w:type="spellStart"/>
      <w:r w:rsidR="00E03788">
        <w:rPr>
          <w:szCs w:val="24"/>
        </w:rPr>
        <w:t>Khomasdal</w:t>
      </w:r>
      <w:proofErr w:type="spellEnd"/>
      <w:r w:rsidR="009447E1">
        <w:rPr>
          <w:szCs w:val="24"/>
        </w:rPr>
        <w:t>, and</w:t>
      </w:r>
      <w:r w:rsidR="00EA575F">
        <w:rPr>
          <w:szCs w:val="24"/>
        </w:rPr>
        <w:t xml:space="preserve"> that </w:t>
      </w:r>
      <w:r w:rsidR="00E03788">
        <w:rPr>
          <w:szCs w:val="24"/>
        </w:rPr>
        <w:t>he would drop her</w:t>
      </w:r>
      <w:r w:rsidR="00EA2FB8">
        <w:rPr>
          <w:szCs w:val="24"/>
        </w:rPr>
        <w:t xml:space="preserve"> later in town</w:t>
      </w:r>
      <w:r w:rsidR="00E03788">
        <w:rPr>
          <w:szCs w:val="24"/>
        </w:rPr>
        <w:t>.</w:t>
      </w:r>
      <w:r w:rsidR="00EA2FB8">
        <w:rPr>
          <w:szCs w:val="24"/>
        </w:rPr>
        <w:t xml:space="preserve"> </w:t>
      </w:r>
      <w:r w:rsidR="00E03788">
        <w:rPr>
          <w:szCs w:val="24"/>
        </w:rPr>
        <w:t xml:space="preserve"> The respondent</w:t>
      </w:r>
      <w:r w:rsidR="00EA575F">
        <w:rPr>
          <w:szCs w:val="24"/>
        </w:rPr>
        <w:t>’s</w:t>
      </w:r>
      <w:r w:rsidR="00E03788">
        <w:rPr>
          <w:szCs w:val="24"/>
        </w:rPr>
        <w:t xml:space="preserve"> version o</w:t>
      </w:r>
      <w:r w:rsidR="00EA575F">
        <w:rPr>
          <w:szCs w:val="24"/>
        </w:rPr>
        <w:t>n</w:t>
      </w:r>
      <w:r w:rsidR="00E03788">
        <w:rPr>
          <w:szCs w:val="24"/>
        </w:rPr>
        <w:t xml:space="preserve"> other hand on this point is that</w:t>
      </w:r>
      <w:r w:rsidR="00EA575F">
        <w:rPr>
          <w:szCs w:val="24"/>
        </w:rPr>
        <w:t xml:space="preserve"> he told the complainant that he would not mind dropping her </w:t>
      </w:r>
      <w:r w:rsidR="00CC4257">
        <w:rPr>
          <w:szCs w:val="24"/>
        </w:rPr>
        <w:t xml:space="preserve">off </w:t>
      </w:r>
      <w:r w:rsidR="00F7334D">
        <w:rPr>
          <w:szCs w:val="24"/>
        </w:rPr>
        <w:t xml:space="preserve">somewhere in town. </w:t>
      </w:r>
    </w:p>
    <w:p w14:paraId="110DF59D" w14:textId="77777777" w:rsidR="00EA2FB8" w:rsidRDefault="00EA2FB8" w:rsidP="00EB0453">
      <w:pPr>
        <w:ind w:left="10"/>
        <w:jc w:val="both"/>
        <w:rPr>
          <w:szCs w:val="24"/>
        </w:rPr>
      </w:pPr>
    </w:p>
    <w:p w14:paraId="3AD04151" w14:textId="6659A9BE" w:rsidR="0089609B" w:rsidRDefault="005E0465" w:rsidP="00EB0453">
      <w:pPr>
        <w:ind w:left="10"/>
        <w:jc w:val="both"/>
        <w:rPr>
          <w:szCs w:val="24"/>
        </w:rPr>
      </w:pPr>
      <w:r>
        <w:rPr>
          <w:szCs w:val="24"/>
        </w:rPr>
        <w:t>[47]</w:t>
      </w:r>
      <w:r>
        <w:rPr>
          <w:szCs w:val="24"/>
        </w:rPr>
        <w:tab/>
      </w:r>
      <w:r w:rsidR="00EA575F">
        <w:rPr>
          <w:szCs w:val="24"/>
        </w:rPr>
        <w:t xml:space="preserve">From the </w:t>
      </w:r>
      <w:r w:rsidR="0089609B">
        <w:rPr>
          <w:szCs w:val="24"/>
        </w:rPr>
        <w:t>admitted</w:t>
      </w:r>
      <w:r w:rsidR="00EA575F">
        <w:rPr>
          <w:szCs w:val="24"/>
        </w:rPr>
        <w:t xml:space="preserve"> facts between the complainant and the respondent there is nothing to suggest that the complainant was enticed</w:t>
      </w:r>
      <w:r w:rsidR="00B3332E">
        <w:rPr>
          <w:szCs w:val="24"/>
        </w:rPr>
        <w:t xml:space="preserve"> through</w:t>
      </w:r>
      <w:r w:rsidR="00EA575F">
        <w:rPr>
          <w:szCs w:val="24"/>
        </w:rPr>
        <w:t xml:space="preserve"> </w:t>
      </w:r>
      <w:r w:rsidR="0089609B">
        <w:rPr>
          <w:szCs w:val="24"/>
        </w:rPr>
        <w:t>craft</w:t>
      </w:r>
      <w:r w:rsidR="00EA575F">
        <w:rPr>
          <w:szCs w:val="24"/>
        </w:rPr>
        <w:t xml:space="preserve"> o</w:t>
      </w:r>
      <w:r w:rsidR="0089609B">
        <w:rPr>
          <w:szCs w:val="24"/>
        </w:rPr>
        <w:t>r</w:t>
      </w:r>
      <w:r w:rsidR="00B3332E">
        <w:rPr>
          <w:szCs w:val="24"/>
        </w:rPr>
        <w:t xml:space="preserve"> </w:t>
      </w:r>
      <w:r w:rsidR="00EA575F">
        <w:rPr>
          <w:szCs w:val="24"/>
        </w:rPr>
        <w:t>cunning</w:t>
      </w:r>
      <w:r w:rsidR="00F7334D">
        <w:rPr>
          <w:szCs w:val="24"/>
        </w:rPr>
        <w:t xml:space="preserve"> to get into the car. </w:t>
      </w:r>
      <w:r w:rsidR="00EA2FB8">
        <w:rPr>
          <w:szCs w:val="24"/>
        </w:rPr>
        <w:t xml:space="preserve"> </w:t>
      </w:r>
      <w:r w:rsidR="00882C49">
        <w:rPr>
          <w:szCs w:val="24"/>
        </w:rPr>
        <w:t>Mr Isaacks</w:t>
      </w:r>
      <w:r w:rsidR="0095189F">
        <w:rPr>
          <w:szCs w:val="24"/>
        </w:rPr>
        <w:t>,</w:t>
      </w:r>
      <w:r w:rsidR="00882C49">
        <w:rPr>
          <w:szCs w:val="24"/>
        </w:rPr>
        <w:t xml:space="preserve"> correctly in my view</w:t>
      </w:r>
      <w:r w:rsidR="0095189F">
        <w:rPr>
          <w:szCs w:val="24"/>
        </w:rPr>
        <w:t>,</w:t>
      </w:r>
      <w:r w:rsidR="00882C49">
        <w:rPr>
          <w:szCs w:val="24"/>
        </w:rPr>
        <w:t xml:space="preserve"> points out that </w:t>
      </w:r>
      <w:r w:rsidR="00EA575F">
        <w:rPr>
          <w:szCs w:val="24"/>
        </w:rPr>
        <w:t>the complainant herself does not allege</w:t>
      </w:r>
      <w:r w:rsidR="0089609B">
        <w:rPr>
          <w:szCs w:val="24"/>
        </w:rPr>
        <w:t xml:space="preserve"> </w:t>
      </w:r>
      <w:r w:rsidR="00326AC2">
        <w:rPr>
          <w:szCs w:val="24"/>
        </w:rPr>
        <w:t>in her statement that she was kidnapped by the respondent</w:t>
      </w:r>
      <w:r w:rsidR="0089609B">
        <w:rPr>
          <w:szCs w:val="24"/>
        </w:rPr>
        <w:t>.</w:t>
      </w:r>
      <w:r w:rsidR="00E03788">
        <w:rPr>
          <w:szCs w:val="24"/>
        </w:rPr>
        <w:t xml:space="preserve"> </w:t>
      </w:r>
      <w:r w:rsidR="00EA2FB8">
        <w:rPr>
          <w:szCs w:val="24"/>
        </w:rPr>
        <w:t xml:space="preserve"> </w:t>
      </w:r>
      <w:r w:rsidR="00EA575F">
        <w:rPr>
          <w:szCs w:val="24"/>
        </w:rPr>
        <w:t xml:space="preserve">In my </w:t>
      </w:r>
      <w:r w:rsidR="0089609B">
        <w:rPr>
          <w:szCs w:val="24"/>
        </w:rPr>
        <w:t>view it</w:t>
      </w:r>
      <w:r w:rsidR="00EA575F">
        <w:rPr>
          <w:szCs w:val="24"/>
        </w:rPr>
        <w:t xml:space="preserve"> is clear from the facts that </w:t>
      </w:r>
      <w:r w:rsidR="00B3434A">
        <w:rPr>
          <w:szCs w:val="24"/>
        </w:rPr>
        <w:t>the complainant voluntarily got into the car on the understanding that the respondent</w:t>
      </w:r>
      <w:r w:rsidR="00EA575F">
        <w:rPr>
          <w:szCs w:val="24"/>
        </w:rPr>
        <w:t xml:space="preserve"> was</w:t>
      </w:r>
      <w:r w:rsidR="0089609B">
        <w:rPr>
          <w:szCs w:val="24"/>
        </w:rPr>
        <w:t xml:space="preserve"> first</w:t>
      </w:r>
      <w:r w:rsidR="00EA575F">
        <w:rPr>
          <w:szCs w:val="24"/>
        </w:rPr>
        <w:t xml:space="preserve"> heading to </w:t>
      </w:r>
      <w:proofErr w:type="spellStart"/>
      <w:r w:rsidR="00EA575F">
        <w:rPr>
          <w:szCs w:val="24"/>
        </w:rPr>
        <w:t>Khomasdal</w:t>
      </w:r>
      <w:proofErr w:type="spellEnd"/>
      <w:r w:rsidR="00EA575F">
        <w:rPr>
          <w:szCs w:val="24"/>
        </w:rPr>
        <w:t xml:space="preserve"> but </w:t>
      </w:r>
      <w:r w:rsidR="000D40BD">
        <w:rPr>
          <w:szCs w:val="24"/>
        </w:rPr>
        <w:t xml:space="preserve">later </w:t>
      </w:r>
      <w:r w:rsidR="00B3434A">
        <w:rPr>
          <w:szCs w:val="24"/>
        </w:rPr>
        <w:t>would drop her in town.</w:t>
      </w:r>
    </w:p>
    <w:p w14:paraId="275DB6BF" w14:textId="77777777" w:rsidR="00EA2FB8" w:rsidRDefault="00EA2FB8" w:rsidP="00E7287F">
      <w:pPr>
        <w:ind w:left="10"/>
        <w:jc w:val="both"/>
        <w:rPr>
          <w:szCs w:val="24"/>
          <w:highlight w:val="yellow"/>
        </w:rPr>
      </w:pPr>
    </w:p>
    <w:p w14:paraId="14D17909" w14:textId="092EA2A6" w:rsidR="004F7EE1" w:rsidRDefault="002A5C30" w:rsidP="00E7287F">
      <w:pPr>
        <w:ind w:left="10"/>
        <w:jc w:val="both"/>
        <w:rPr>
          <w:szCs w:val="24"/>
        </w:rPr>
      </w:pPr>
      <w:r>
        <w:rPr>
          <w:szCs w:val="24"/>
        </w:rPr>
        <w:t>[48]</w:t>
      </w:r>
      <w:r>
        <w:rPr>
          <w:szCs w:val="24"/>
        </w:rPr>
        <w:tab/>
      </w:r>
      <w:r w:rsidR="0089609B">
        <w:rPr>
          <w:szCs w:val="24"/>
        </w:rPr>
        <w:t xml:space="preserve">It is submitted on behalf of the applicant that </w:t>
      </w:r>
      <w:r w:rsidR="009447E1">
        <w:rPr>
          <w:szCs w:val="24"/>
        </w:rPr>
        <w:t xml:space="preserve">the </w:t>
      </w:r>
      <w:r w:rsidR="0089609B">
        <w:rPr>
          <w:szCs w:val="24"/>
        </w:rPr>
        <w:t xml:space="preserve">respondent changed direction and headed in a different direction from the one he and the complainant had initially agreed upon. </w:t>
      </w:r>
      <w:r w:rsidR="00EA2FB8">
        <w:rPr>
          <w:szCs w:val="24"/>
        </w:rPr>
        <w:t xml:space="preserve"> </w:t>
      </w:r>
      <w:r w:rsidR="0089609B">
        <w:rPr>
          <w:szCs w:val="24"/>
        </w:rPr>
        <w:t>There is no evidence that the complainant and the responde</w:t>
      </w:r>
      <w:r w:rsidR="009447E1">
        <w:rPr>
          <w:szCs w:val="24"/>
        </w:rPr>
        <w:t>nt</w:t>
      </w:r>
      <w:r w:rsidR="0089609B">
        <w:rPr>
          <w:szCs w:val="24"/>
        </w:rPr>
        <w:t xml:space="preserve"> had </w:t>
      </w:r>
      <w:r w:rsidR="00666F92">
        <w:rPr>
          <w:szCs w:val="24"/>
        </w:rPr>
        <w:t>agreed on</w:t>
      </w:r>
      <w:r w:rsidR="00F7334D">
        <w:rPr>
          <w:szCs w:val="24"/>
        </w:rPr>
        <w:t xml:space="preserve"> a specific direction. </w:t>
      </w:r>
      <w:r w:rsidR="00EA2FB8">
        <w:rPr>
          <w:szCs w:val="24"/>
        </w:rPr>
        <w:t xml:space="preserve"> </w:t>
      </w:r>
      <w:r w:rsidR="0089609B">
        <w:rPr>
          <w:szCs w:val="24"/>
        </w:rPr>
        <w:t xml:space="preserve">As pointed out </w:t>
      </w:r>
      <w:r w:rsidR="00666F92">
        <w:rPr>
          <w:szCs w:val="24"/>
        </w:rPr>
        <w:t>earlier</w:t>
      </w:r>
      <w:r w:rsidR="009447E1">
        <w:rPr>
          <w:szCs w:val="24"/>
        </w:rPr>
        <w:t>,</w:t>
      </w:r>
      <w:r w:rsidR="00666F92">
        <w:rPr>
          <w:szCs w:val="24"/>
        </w:rPr>
        <w:t xml:space="preserve"> </w:t>
      </w:r>
      <w:r w:rsidR="006B3447">
        <w:rPr>
          <w:szCs w:val="24"/>
        </w:rPr>
        <w:t>o</w:t>
      </w:r>
      <w:r w:rsidR="0089609B">
        <w:rPr>
          <w:szCs w:val="24"/>
        </w:rPr>
        <w:t xml:space="preserve">n the </w:t>
      </w:r>
      <w:r w:rsidR="00666F92">
        <w:rPr>
          <w:szCs w:val="24"/>
        </w:rPr>
        <w:t>complainant’s</w:t>
      </w:r>
      <w:r w:rsidR="0089609B">
        <w:rPr>
          <w:szCs w:val="24"/>
        </w:rPr>
        <w:t xml:space="preserve"> own version</w:t>
      </w:r>
      <w:r w:rsidR="009447E1">
        <w:rPr>
          <w:szCs w:val="24"/>
        </w:rPr>
        <w:t>,</w:t>
      </w:r>
      <w:r w:rsidR="0089609B">
        <w:rPr>
          <w:szCs w:val="24"/>
        </w:rPr>
        <w:t xml:space="preserve"> the respondent told her that he was going to </w:t>
      </w:r>
      <w:proofErr w:type="spellStart"/>
      <w:r w:rsidR="0089609B">
        <w:rPr>
          <w:szCs w:val="24"/>
        </w:rPr>
        <w:t>Khomasdal</w:t>
      </w:r>
      <w:proofErr w:type="spellEnd"/>
      <w:r w:rsidR="00F7334D">
        <w:rPr>
          <w:szCs w:val="24"/>
        </w:rPr>
        <w:t>.</w:t>
      </w:r>
      <w:r w:rsidR="00EA2FB8">
        <w:rPr>
          <w:szCs w:val="24"/>
        </w:rPr>
        <w:t xml:space="preserve"> </w:t>
      </w:r>
      <w:r w:rsidR="00666F92">
        <w:rPr>
          <w:szCs w:val="24"/>
        </w:rPr>
        <w:t xml:space="preserve"> </w:t>
      </w:r>
      <w:r w:rsidR="0089609B">
        <w:rPr>
          <w:szCs w:val="24"/>
        </w:rPr>
        <w:t>O</w:t>
      </w:r>
      <w:r w:rsidR="00B3434A">
        <w:rPr>
          <w:szCs w:val="24"/>
        </w:rPr>
        <w:t xml:space="preserve">n his own admission </w:t>
      </w:r>
      <w:r w:rsidR="0089609B">
        <w:rPr>
          <w:szCs w:val="24"/>
        </w:rPr>
        <w:t>the respondent</w:t>
      </w:r>
      <w:r w:rsidR="00B3434A">
        <w:rPr>
          <w:szCs w:val="24"/>
        </w:rPr>
        <w:t xml:space="preserve"> was so intoxicated that he is not in position to recall the route they took from 7de </w:t>
      </w:r>
      <w:proofErr w:type="spellStart"/>
      <w:r w:rsidR="00B3434A">
        <w:rPr>
          <w:szCs w:val="24"/>
        </w:rPr>
        <w:t>Laan</w:t>
      </w:r>
      <w:proofErr w:type="spellEnd"/>
      <w:r w:rsidR="00B3434A">
        <w:rPr>
          <w:szCs w:val="24"/>
        </w:rPr>
        <w:t xml:space="preserve"> </w:t>
      </w:r>
      <w:r w:rsidR="00E03788">
        <w:rPr>
          <w:szCs w:val="24"/>
        </w:rPr>
        <w:t xml:space="preserve">in the area of </w:t>
      </w:r>
      <w:proofErr w:type="spellStart"/>
      <w:r w:rsidR="00E03788">
        <w:rPr>
          <w:szCs w:val="24"/>
        </w:rPr>
        <w:t>Otjomuise</w:t>
      </w:r>
      <w:proofErr w:type="spellEnd"/>
      <w:r w:rsidR="00E03788">
        <w:rPr>
          <w:szCs w:val="24"/>
        </w:rPr>
        <w:t xml:space="preserve"> where the complainant got onto the car</w:t>
      </w:r>
      <w:r w:rsidR="00666F92">
        <w:rPr>
          <w:szCs w:val="24"/>
        </w:rPr>
        <w:t xml:space="preserve"> to </w:t>
      </w:r>
      <w:proofErr w:type="spellStart"/>
      <w:r w:rsidR="00666F92">
        <w:rPr>
          <w:szCs w:val="24"/>
        </w:rPr>
        <w:t>Khomasdal</w:t>
      </w:r>
      <w:proofErr w:type="spellEnd"/>
      <w:r w:rsidR="00BA04E3">
        <w:rPr>
          <w:szCs w:val="24"/>
        </w:rPr>
        <w:t xml:space="preserve">. The </w:t>
      </w:r>
      <w:r w:rsidR="0089609B">
        <w:rPr>
          <w:szCs w:val="24"/>
        </w:rPr>
        <w:t xml:space="preserve">available and reliable version </w:t>
      </w:r>
      <w:r w:rsidR="00EA2FB8">
        <w:rPr>
          <w:szCs w:val="24"/>
        </w:rPr>
        <w:t>on this point</w:t>
      </w:r>
      <w:r w:rsidR="0089609B">
        <w:rPr>
          <w:szCs w:val="24"/>
        </w:rPr>
        <w:t xml:space="preserve"> is that of the complainant.</w:t>
      </w:r>
      <w:r w:rsidR="00666F92">
        <w:rPr>
          <w:szCs w:val="24"/>
        </w:rPr>
        <w:t xml:space="preserve">  On </w:t>
      </w:r>
      <w:r w:rsidR="00EA2FB8">
        <w:rPr>
          <w:szCs w:val="24"/>
        </w:rPr>
        <w:t>the complainant’s</w:t>
      </w:r>
      <w:r w:rsidR="00666F92">
        <w:rPr>
          <w:szCs w:val="24"/>
        </w:rPr>
        <w:t xml:space="preserve"> </w:t>
      </w:r>
      <w:r w:rsidR="004F7EE1">
        <w:rPr>
          <w:szCs w:val="24"/>
        </w:rPr>
        <w:t>version</w:t>
      </w:r>
      <w:r w:rsidR="00666F92">
        <w:rPr>
          <w:szCs w:val="24"/>
        </w:rPr>
        <w:t xml:space="preserve"> the respondent drove to or, so it appears, through </w:t>
      </w:r>
      <w:proofErr w:type="spellStart"/>
      <w:r w:rsidR="00666F92">
        <w:rPr>
          <w:szCs w:val="24"/>
        </w:rPr>
        <w:t>Khomasdal</w:t>
      </w:r>
      <w:proofErr w:type="spellEnd"/>
      <w:r w:rsidR="00666F92">
        <w:rPr>
          <w:szCs w:val="24"/>
        </w:rPr>
        <w:t xml:space="preserve">. </w:t>
      </w:r>
      <w:r w:rsidR="00043716">
        <w:rPr>
          <w:szCs w:val="24"/>
        </w:rPr>
        <w:t>A</w:t>
      </w:r>
      <w:r w:rsidR="00666F92">
        <w:rPr>
          <w:szCs w:val="24"/>
        </w:rPr>
        <w:t>ccording to the complainant</w:t>
      </w:r>
      <w:r w:rsidR="009447E1">
        <w:rPr>
          <w:szCs w:val="24"/>
        </w:rPr>
        <w:t>,</w:t>
      </w:r>
      <w:r w:rsidR="00666F92">
        <w:rPr>
          <w:szCs w:val="24"/>
        </w:rPr>
        <w:t xml:space="preserve"> </w:t>
      </w:r>
      <w:r w:rsidR="004F7EE1">
        <w:rPr>
          <w:szCs w:val="24"/>
        </w:rPr>
        <w:t>somewhere along</w:t>
      </w:r>
      <w:r w:rsidR="00666F92">
        <w:rPr>
          <w:szCs w:val="24"/>
        </w:rPr>
        <w:t xml:space="preserve"> the way</w:t>
      </w:r>
      <w:r w:rsidR="006B3447">
        <w:rPr>
          <w:szCs w:val="24"/>
        </w:rPr>
        <w:t>,</w:t>
      </w:r>
      <w:r w:rsidR="00666F92">
        <w:rPr>
          <w:szCs w:val="24"/>
        </w:rPr>
        <w:t xml:space="preserve"> the respondent told her that he </w:t>
      </w:r>
      <w:r w:rsidR="00666F92">
        <w:rPr>
          <w:szCs w:val="24"/>
        </w:rPr>
        <w:lastRenderedPageBreak/>
        <w:t>was going to drop</w:t>
      </w:r>
      <w:r w:rsidR="00EA2FB8">
        <w:rPr>
          <w:szCs w:val="24"/>
        </w:rPr>
        <w:t xml:space="preserve"> off</w:t>
      </w:r>
      <w:r w:rsidR="00666F92">
        <w:rPr>
          <w:szCs w:val="24"/>
        </w:rPr>
        <w:t xml:space="preserve"> </w:t>
      </w:r>
      <w:proofErr w:type="spellStart"/>
      <w:r w:rsidR="00666F92">
        <w:rPr>
          <w:szCs w:val="24"/>
        </w:rPr>
        <w:t>Cloete</w:t>
      </w:r>
      <w:proofErr w:type="spellEnd"/>
      <w:r w:rsidR="00666F92">
        <w:rPr>
          <w:szCs w:val="24"/>
        </w:rPr>
        <w:t xml:space="preserve"> at the Nurses</w:t>
      </w:r>
      <w:r w:rsidR="009447E1">
        <w:rPr>
          <w:szCs w:val="24"/>
        </w:rPr>
        <w:t>’</w:t>
      </w:r>
      <w:r w:rsidR="00666F92">
        <w:rPr>
          <w:szCs w:val="24"/>
        </w:rPr>
        <w:t xml:space="preserve"> Home at Central Hospital</w:t>
      </w:r>
      <w:r w:rsidR="009447E1">
        <w:rPr>
          <w:szCs w:val="24"/>
        </w:rPr>
        <w:t>,</w:t>
      </w:r>
      <w:r w:rsidR="00666F92">
        <w:rPr>
          <w:szCs w:val="24"/>
        </w:rPr>
        <w:t xml:space="preserve"> which requires somebody to drive in the direction of town. </w:t>
      </w:r>
      <w:r w:rsidR="00EA2FB8">
        <w:rPr>
          <w:szCs w:val="24"/>
        </w:rPr>
        <w:t xml:space="preserve"> </w:t>
      </w:r>
      <w:r w:rsidR="001A02F0">
        <w:rPr>
          <w:szCs w:val="24"/>
        </w:rPr>
        <w:t>They drove along Florence</w:t>
      </w:r>
      <w:r w:rsidR="004F7EE1">
        <w:rPr>
          <w:szCs w:val="24"/>
        </w:rPr>
        <w:t xml:space="preserve"> </w:t>
      </w:r>
      <w:r w:rsidR="001A02F0">
        <w:rPr>
          <w:szCs w:val="24"/>
        </w:rPr>
        <w:t>Night</w:t>
      </w:r>
      <w:r w:rsidR="009447E1">
        <w:rPr>
          <w:szCs w:val="24"/>
        </w:rPr>
        <w:t>in</w:t>
      </w:r>
      <w:r w:rsidR="001A02F0">
        <w:rPr>
          <w:szCs w:val="24"/>
        </w:rPr>
        <w:t xml:space="preserve">gale Street from the direction of </w:t>
      </w:r>
      <w:proofErr w:type="spellStart"/>
      <w:r w:rsidR="001A02F0">
        <w:rPr>
          <w:szCs w:val="24"/>
        </w:rPr>
        <w:t>Khomasdal</w:t>
      </w:r>
      <w:proofErr w:type="spellEnd"/>
      <w:r w:rsidR="001A02F0">
        <w:rPr>
          <w:szCs w:val="24"/>
        </w:rPr>
        <w:t xml:space="preserve">. </w:t>
      </w:r>
      <w:r w:rsidR="00EA2FB8">
        <w:rPr>
          <w:szCs w:val="24"/>
        </w:rPr>
        <w:t xml:space="preserve"> </w:t>
      </w:r>
      <w:r w:rsidR="00666F92">
        <w:rPr>
          <w:szCs w:val="24"/>
        </w:rPr>
        <w:t>I think it would be fair to say in normal parlance ‘town’ means the Central District Area of Windhoek.</w:t>
      </w:r>
      <w:r w:rsidR="00EA2FB8">
        <w:rPr>
          <w:szCs w:val="24"/>
        </w:rPr>
        <w:t xml:space="preserve"> </w:t>
      </w:r>
      <w:r w:rsidR="00666F92">
        <w:rPr>
          <w:szCs w:val="24"/>
        </w:rPr>
        <w:t xml:space="preserve"> </w:t>
      </w:r>
      <w:r w:rsidR="001A02F0">
        <w:rPr>
          <w:szCs w:val="24"/>
        </w:rPr>
        <w:t xml:space="preserve">It is further the complainant’s version that the respondent </w:t>
      </w:r>
      <w:r w:rsidR="008F1DDD">
        <w:rPr>
          <w:szCs w:val="24"/>
        </w:rPr>
        <w:t xml:space="preserve">did </w:t>
      </w:r>
      <w:r w:rsidR="001A02F0">
        <w:rPr>
          <w:szCs w:val="24"/>
        </w:rPr>
        <w:t>indeed dr</w:t>
      </w:r>
      <w:r w:rsidR="008F1DDD">
        <w:rPr>
          <w:szCs w:val="24"/>
        </w:rPr>
        <w:t>i</w:t>
      </w:r>
      <w:r w:rsidR="001A02F0">
        <w:rPr>
          <w:szCs w:val="24"/>
        </w:rPr>
        <w:t>ve into the Central Hospital</w:t>
      </w:r>
      <w:r w:rsidR="004F7EE1">
        <w:rPr>
          <w:szCs w:val="24"/>
        </w:rPr>
        <w:t>’s</w:t>
      </w:r>
      <w:r w:rsidR="001A02F0">
        <w:rPr>
          <w:szCs w:val="24"/>
        </w:rPr>
        <w:t xml:space="preserve"> ground where the Nu</w:t>
      </w:r>
      <w:r w:rsidR="00470A06">
        <w:rPr>
          <w:szCs w:val="24"/>
        </w:rPr>
        <w:t>rses</w:t>
      </w:r>
      <w:r w:rsidR="008F1DDD">
        <w:rPr>
          <w:szCs w:val="24"/>
        </w:rPr>
        <w:t>’</w:t>
      </w:r>
      <w:r w:rsidR="00470A06">
        <w:rPr>
          <w:szCs w:val="24"/>
        </w:rPr>
        <w:t xml:space="preserve"> Home is </w:t>
      </w:r>
      <w:r w:rsidR="002A224D">
        <w:rPr>
          <w:szCs w:val="24"/>
        </w:rPr>
        <w:t xml:space="preserve">situated. </w:t>
      </w:r>
      <w:r w:rsidR="00EA2FB8">
        <w:rPr>
          <w:szCs w:val="24"/>
        </w:rPr>
        <w:t xml:space="preserve"> </w:t>
      </w:r>
      <w:r w:rsidR="004F7EE1">
        <w:rPr>
          <w:szCs w:val="24"/>
        </w:rPr>
        <w:t>He did</w:t>
      </w:r>
      <w:r w:rsidR="00EA2FB8">
        <w:rPr>
          <w:szCs w:val="24"/>
        </w:rPr>
        <w:t xml:space="preserve"> however</w:t>
      </w:r>
      <w:r w:rsidR="004F7EE1">
        <w:rPr>
          <w:szCs w:val="24"/>
        </w:rPr>
        <w:t xml:space="preserve"> not drop</w:t>
      </w:r>
      <w:r w:rsidR="00EA2FB8">
        <w:rPr>
          <w:szCs w:val="24"/>
        </w:rPr>
        <w:t xml:space="preserve"> off</w:t>
      </w:r>
      <w:r w:rsidR="004F7EE1">
        <w:rPr>
          <w:szCs w:val="24"/>
        </w:rPr>
        <w:t xml:space="preserve"> </w:t>
      </w:r>
      <w:proofErr w:type="spellStart"/>
      <w:r w:rsidR="004F7EE1">
        <w:rPr>
          <w:szCs w:val="24"/>
        </w:rPr>
        <w:t>Cloete</w:t>
      </w:r>
      <w:proofErr w:type="spellEnd"/>
      <w:r w:rsidR="004F7EE1">
        <w:rPr>
          <w:szCs w:val="24"/>
        </w:rPr>
        <w:t xml:space="preserve"> at the Nurse</w:t>
      </w:r>
      <w:r w:rsidR="008F1DDD">
        <w:rPr>
          <w:szCs w:val="24"/>
        </w:rPr>
        <w:t>s’</w:t>
      </w:r>
      <w:r w:rsidR="004F7EE1">
        <w:rPr>
          <w:szCs w:val="24"/>
        </w:rPr>
        <w:t xml:space="preserve"> Home</w:t>
      </w:r>
      <w:r w:rsidR="008F1DDD">
        <w:rPr>
          <w:szCs w:val="24"/>
        </w:rPr>
        <w:t>,</w:t>
      </w:r>
      <w:r w:rsidR="004F7EE1">
        <w:rPr>
          <w:szCs w:val="24"/>
        </w:rPr>
        <w:t xml:space="preserve"> but proceeded to drive through the </w:t>
      </w:r>
      <w:r w:rsidR="008F1DDD">
        <w:rPr>
          <w:szCs w:val="24"/>
        </w:rPr>
        <w:t>h</w:t>
      </w:r>
      <w:r w:rsidR="004F7EE1">
        <w:rPr>
          <w:szCs w:val="24"/>
        </w:rPr>
        <w:t>ospital ground past the outpatient area and the</w:t>
      </w:r>
      <w:r w:rsidR="003B2AC0">
        <w:rPr>
          <w:szCs w:val="24"/>
        </w:rPr>
        <w:t>n</w:t>
      </w:r>
      <w:r w:rsidR="004F7EE1">
        <w:rPr>
          <w:szCs w:val="24"/>
        </w:rPr>
        <w:t xml:space="preserve"> in front of the maternity ward</w:t>
      </w:r>
      <w:r w:rsidR="008F1DDD">
        <w:rPr>
          <w:szCs w:val="24"/>
        </w:rPr>
        <w:t>,</w:t>
      </w:r>
      <w:r w:rsidR="004F7EE1">
        <w:rPr>
          <w:szCs w:val="24"/>
        </w:rPr>
        <w:t xml:space="preserve"> following the tarred road between Central Hospital and </w:t>
      </w:r>
      <w:proofErr w:type="spellStart"/>
      <w:r w:rsidR="004F7EE1">
        <w:rPr>
          <w:szCs w:val="24"/>
        </w:rPr>
        <w:t>Katu</w:t>
      </w:r>
      <w:r w:rsidR="008F1DDD">
        <w:rPr>
          <w:szCs w:val="24"/>
        </w:rPr>
        <w:t>tu</w:t>
      </w:r>
      <w:r w:rsidR="004F7EE1">
        <w:rPr>
          <w:szCs w:val="24"/>
        </w:rPr>
        <w:t>ra</w:t>
      </w:r>
      <w:proofErr w:type="spellEnd"/>
      <w:r w:rsidR="004F7EE1">
        <w:rPr>
          <w:szCs w:val="24"/>
        </w:rPr>
        <w:t xml:space="preserve"> Hospital. </w:t>
      </w:r>
    </w:p>
    <w:p w14:paraId="431CFC33" w14:textId="77777777" w:rsidR="001C442D" w:rsidRDefault="001C442D" w:rsidP="001C442D">
      <w:pPr>
        <w:ind w:left="10"/>
        <w:jc w:val="both"/>
        <w:rPr>
          <w:szCs w:val="24"/>
        </w:rPr>
      </w:pPr>
    </w:p>
    <w:p w14:paraId="4A0417A1" w14:textId="77777777" w:rsidR="001C442D" w:rsidRDefault="001C442D" w:rsidP="001C442D">
      <w:pPr>
        <w:ind w:left="10"/>
        <w:jc w:val="both"/>
        <w:rPr>
          <w:szCs w:val="24"/>
        </w:rPr>
      </w:pPr>
      <w:r>
        <w:rPr>
          <w:szCs w:val="24"/>
        </w:rPr>
        <w:t>[49]</w:t>
      </w:r>
      <w:r>
        <w:rPr>
          <w:szCs w:val="24"/>
        </w:rPr>
        <w:tab/>
        <w:t xml:space="preserve">Ms </w:t>
      </w:r>
      <w:proofErr w:type="spellStart"/>
      <w:r>
        <w:rPr>
          <w:szCs w:val="24"/>
        </w:rPr>
        <w:t>Kazondunge</w:t>
      </w:r>
      <w:proofErr w:type="spellEnd"/>
      <w:r>
        <w:rPr>
          <w:szCs w:val="24"/>
        </w:rPr>
        <w:t xml:space="preserve"> submits that the complainant got into the property voluntarily, but this was only until such a time that it became evident to her that the respondent had no intention of taking her to town and this was when her occupation of the property was no longer voluntary. She submits therefore that the respondent’s change of course of his direction without the complainant’s consent had the effect of unlawfully depriving the complainant of her right to movement as she was no longer heading into the direction she intended to go</w:t>
      </w:r>
      <w:r w:rsidR="008F1DDD">
        <w:rPr>
          <w:szCs w:val="24"/>
        </w:rPr>
        <w:t>,</w:t>
      </w:r>
      <w:r>
        <w:rPr>
          <w:szCs w:val="24"/>
        </w:rPr>
        <w:t xml:space="preserve"> nor did the respondent have the intention to take her to town as he had made her believe he would.</w:t>
      </w:r>
    </w:p>
    <w:p w14:paraId="1A0B52EF" w14:textId="77777777" w:rsidR="004F7EE1" w:rsidRDefault="004F7EE1" w:rsidP="00E7287F">
      <w:pPr>
        <w:ind w:left="10"/>
        <w:jc w:val="both"/>
        <w:rPr>
          <w:szCs w:val="24"/>
        </w:rPr>
      </w:pPr>
    </w:p>
    <w:p w14:paraId="3F794D54" w14:textId="4ADE26D5" w:rsidR="001A02F0" w:rsidRDefault="007F1ECE" w:rsidP="00E7287F">
      <w:pPr>
        <w:ind w:left="10"/>
        <w:jc w:val="both"/>
        <w:rPr>
          <w:szCs w:val="24"/>
        </w:rPr>
      </w:pPr>
      <w:r>
        <w:rPr>
          <w:szCs w:val="24"/>
        </w:rPr>
        <w:t>[</w:t>
      </w:r>
      <w:r w:rsidR="00602634">
        <w:rPr>
          <w:szCs w:val="24"/>
        </w:rPr>
        <w:t>50</w:t>
      </w:r>
      <w:r>
        <w:rPr>
          <w:szCs w:val="24"/>
        </w:rPr>
        <w:t>]</w:t>
      </w:r>
      <w:r>
        <w:rPr>
          <w:szCs w:val="24"/>
        </w:rPr>
        <w:tab/>
      </w:r>
      <w:r w:rsidR="004F7EE1">
        <w:rPr>
          <w:szCs w:val="24"/>
        </w:rPr>
        <w:t>Before proceeding to consider</w:t>
      </w:r>
      <w:r w:rsidR="00EA2FB8">
        <w:rPr>
          <w:szCs w:val="24"/>
        </w:rPr>
        <w:t xml:space="preserve"> M</w:t>
      </w:r>
      <w:r w:rsidR="000D40BD">
        <w:rPr>
          <w:szCs w:val="24"/>
        </w:rPr>
        <w:t>s</w:t>
      </w:r>
      <w:r w:rsidR="00EA2FB8">
        <w:rPr>
          <w:szCs w:val="24"/>
        </w:rPr>
        <w:t xml:space="preserve"> </w:t>
      </w:r>
      <w:proofErr w:type="spellStart"/>
      <w:r w:rsidR="00EA2FB8">
        <w:rPr>
          <w:szCs w:val="24"/>
        </w:rPr>
        <w:t>Kazondunge</w:t>
      </w:r>
      <w:proofErr w:type="spellEnd"/>
      <w:r w:rsidR="000D40BD">
        <w:rPr>
          <w:szCs w:val="24"/>
        </w:rPr>
        <w:t>,</w:t>
      </w:r>
      <w:r w:rsidR="00EA2FB8">
        <w:rPr>
          <w:szCs w:val="24"/>
        </w:rPr>
        <w:t xml:space="preserve"> together with the</w:t>
      </w:r>
      <w:r w:rsidR="004F7EE1">
        <w:rPr>
          <w:szCs w:val="24"/>
        </w:rPr>
        <w:t xml:space="preserve"> question whether the</w:t>
      </w:r>
      <w:r w:rsidR="008550FF">
        <w:rPr>
          <w:szCs w:val="24"/>
        </w:rPr>
        <w:t xml:space="preserve"> facts proved that the property was as an instrumentality in the commission of the alleged offence of </w:t>
      </w:r>
      <w:r w:rsidR="004F7EE1">
        <w:rPr>
          <w:szCs w:val="24"/>
        </w:rPr>
        <w:t>kidnapping</w:t>
      </w:r>
      <w:r w:rsidR="000D40BD">
        <w:rPr>
          <w:szCs w:val="24"/>
        </w:rPr>
        <w:t xml:space="preserve"> I</w:t>
      </w:r>
      <w:r w:rsidR="004F7EE1">
        <w:rPr>
          <w:szCs w:val="24"/>
        </w:rPr>
        <w:t xml:space="preserve"> think</w:t>
      </w:r>
      <w:r w:rsidR="000D40BD">
        <w:rPr>
          <w:szCs w:val="24"/>
        </w:rPr>
        <w:t xml:space="preserve"> </w:t>
      </w:r>
      <w:r w:rsidR="004F7EE1">
        <w:rPr>
          <w:szCs w:val="24"/>
        </w:rPr>
        <w:t xml:space="preserve">it would be </w:t>
      </w:r>
      <w:r w:rsidR="00366495">
        <w:rPr>
          <w:szCs w:val="24"/>
        </w:rPr>
        <w:t>apposite</w:t>
      </w:r>
      <w:r w:rsidR="004F7EE1">
        <w:rPr>
          <w:szCs w:val="24"/>
        </w:rPr>
        <w:t xml:space="preserve"> to first consider </w:t>
      </w:r>
      <w:r w:rsidR="00366495">
        <w:rPr>
          <w:szCs w:val="24"/>
        </w:rPr>
        <w:t xml:space="preserve">the facts and what </w:t>
      </w:r>
      <w:r w:rsidR="008550FF">
        <w:rPr>
          <w:szCs w:val="24"/>
        </w:rPr>
        <w:t>was</w:t>
      </w:r>
      <w:r w:rsidR="00366495">
        <w:rPr>
          <w:szCs w:val="24"/>
        </w:rPr>
        <w:t xml:space="preserve"> said</w:t>
      </w:r>
      <w:r w:rsidR="008550FF">
        <w:rPr>
          <w:szCs w:val="24"/>
        </w:rPr>
        <w:t xml:space="preserve"> by the court</w:t>
      </w:r>
      <w:r w:rsidR="00366495">
        <w:rPr>
          <w:szCs w:val="24"/>
        </w:rPr>
        <w:t xml:space="preserve"> in the matter of </w:t>
      </w:r>
      <w:r w:rsidR="00366495" w:rsidRPr="005B4F65">
        <w:rPr>
          <w:i/>
          <w:szCs w:val="24"/>
        </w:rPr>
        <w:t>Cook Properties</w:t>
      </w:r>
      <w:r w:rsidR="00366495">
        <w:rPr>
          <w:szCs w:val="24"/>
        </w:rPr>
        <w:t xml:space="preserve"> referred to earlier in this judgement</w:t>
      </w:r>
      <w:r w:rsidR="008550FF">
        <w:rPr>
          <w:szCs w:val="24"/>
        </w:rPr>
        <w:t xml:space="preserve"> and which I consider to be instructive</w:t>
      </w:r>
      <w:r w:rsidR="00366495">
        <w:rPr>
          <w:szCs w:val="24"/>
        </w:rPr>
        <w:t>.</w:t>
      </w:r>
    </w:p>
    <w:p w14:paraId="2B985354" w14:textId="77777777" w:rsidR="001A02F0" w:rsidRDefault="001A02F0" w:rsidP="00E7287F">
      <w:pPr>
        <w:ind w:left="10"/>
        <w:jc w:val="both"/>
        <w:rPr>
          <w:szCs w:val="24"/>
        </w:rPr>
      </w:pPr>
    </w:p>
    <w:p w14:paraId="0DC17FC1" w14:textId="4B0AC016" w:rsidR="00366495" w:rsidRDefault="007F1ECE" w:rsidP="00366495">
      <w:pPr>
        <w:ind w:left="10"/>
        <w:jc w:val="both"/>
        <w:rPr>
          <w:szCs w:val="24"/>
        </w:rPr>
      </w:pPr>
      <w:r>
        <w:rPr>
          <w:szCs w:val="24"/>
        </w:rPr>
        <w:t>[5</w:t>
      </w:r>
      <w:r w:rsidR="00DF1667">
        <w:rPr>
          <w:szCs w:val="24"/>
        </w:rPr>
        <w:t>1</w:t>
      </w:r>
      <w:r>
        <w:rPr>
          <w:szCs w:val="24"/>
        </w:rPr>
        <w:t>]</w:t>
      </w:r>
      <w:r>
        <w:rPr>
          <w:szCs w:val="24"/>
        </w:rPr>
        <w:tab/>
      </w:r>
      <w:r w:rsidR="00366495">
        <w:rPr>
          <w:szCs w:val="24"/>
        </w:rPr>
        <w:t xml:space="preserve">The </w:t>
      </w:r>
      <w:r w:rsidR="00366495" w:rsidRPr="00312E29">
        <w:rPr>
          <w:i/>
          <w:szCs w:val="24"/>
        </w:rPr>
        <w:t>Cook Properties</w:t>
      </w:r>
      <w:r w:rsidR="00366495">
        <w:rPr>
          <w:szCs w:val="24"/>
        </w:rPr>
        <w:t xml:space="preserve"> case concerns a </w:t>
      </w:r>
      <w:r w:rsidR="00366495" w:rsidRPr="00120DBF">
        <w:rPr>
          <w:szCs w:val="24"/>
        </w:rPr>
        <w:t xml:space="preserve">suburban house in </w:t>
      </w:r>
      <w:proofErr w:type="spellStart"/>
      <w:r w:rsidR="00366495" w:rsidRPr="00120DBF">
        <w:rPr>
          <w:szCs w:val="24"/>
        </w:rPr>
        <w:t>Randburg</w:t>
      </w:r>
      <w:proofErr w:type="spellEnd"/>
      <w:r w:rsidR="00366495" w:rsidRPr="00120DBF">
        <w:rPr>
          <w:szCs w:val="24"/>
        </w:rPr>
        <w:t xml:space="preserve">, </w:t>
      </w:r>
      <w:r w:rsidR="001D3A8D" w:rsidRPr="00120DBF">
        <w:rPr>
          <w:szCs w:val="24"/>
        </w:rPr>
        <w:t>Gauteng</w:t>
      </w:r>
      <w:r w:rsidR="001D3A8D">
        <w:rPr>
          <w:szCs w:val="24"/>
        </w:rPr>
        <w:t xml:space="preserve">. </w:t>
      </w:r>
      <w:r w:rsidR="00366495">
        <w:rPr>
          <w:szCs w:val="24"/>
        </w:rPr>
        <w:t xml:space="preserve">The owner (a </w:t>
      </w:r>
      <w:r w:rsidR="00366495" w:rsidRPr="00120DBF">
        <w:rPr>
          <w:szCs w:val="24"/>
        </w:rPr>
        <w:t xml:space="preserve">private family company) let </w:t>
      </w:r>
      <w:r w:rsidR="008F1DDD">
        <w:rPr>
          <w:szCs w:val="24"/>
        </w:rPr>
        <w:t xml:space="preserve">a </w:t>
      </w:r>
      <w:r w:rsidR="00366495">
        <w:rPr>
          <w:szCs w:val="24"/>
        </w:rPr>
        <w:t>house</w:t>
      </w:r>
      <w:r w:rsidR="00366495" w:rsidRPr="00120DBF">
        <w:rPr>
          <w:szCs w:val="24"/>
        </w:rPr>
        <w:t xml:space="preserve"> under a wr</w:t>
      </w:r>
      <w:r w:rsidR="00366495">
        <w:rPr>
          <w:szCs w:val="24"/>
        </w:rPr>
        <w:t xml:space="preserve">itten lease as ‘a guest house’. </w:t>
      </w:r>
      <w:r w:rsidR="00366495" w:rsidRPr="00120DBF">
        <w:rPr>
          <w:szCs w:val="24"/>
        </w:rPr>
        <w:t xml:space="preserve">The </w:t>
      </w:r>
      <w:r w:rsidR="00366495">
        <w:rPr>
          <w:szCs w:val="24"/>
        </w:rPr>
        <w:t>National Director of Public Prosecutions</w:t>
      </w:r>
      <w:r w:rsidR="00366495" w:rsidRPr="00120DBF">
        <w:rPr>
          <w:szCs w:val="24"/>
        </w:rPr>
        <w:t xml:space="preserve"> </w:t>
      </w:r>
      <w:r w:rsidR="00366495">
        <w:rPr>
          <w:szCs w:val="24"/>
        </w:rPr>
        <w:t>(‘</w:t>
      </w:r>
      <w:r w:rsidR="00366495" w:rsidRPr="00120DBF">
        <w:rPr>
          <w:szCs w:val="24"/>
        </w:rPr>
        <w:t>NDPP</w:t>
      </w:r>
      <w:r w:rsidR="00366495">
        <w:rPr>
          <w:szCs w:val="24"/>
        </w:rPr>
        <w:t>’)</w:t>
      </w:r>
      <w:r w:rsidR="00366495" w:rsidRPr="00120DBF">
        <w:rPr>
          <w:szCs w:val="24"/>
        </w:rPr>
        <w:t xml:space="preserve"> alleged that the lessees used it</w:t>
      </w:r>
      <w:r w:rsidR="00366495">
        <w:rPr>
          <w:szCs w:val="24"/>
        </w:rPr>
        <w:t xml:space="preserve"> as a brothel ‘in contravention </w:t>
      </w:r>
      <w:r w:rsidR="00366495" w:rsidRPr="00120DBF">
        <w:rPr>
          <w:szCs w:val="24"/>
        </w:rPr>
        <w:t xml:space="preserve">of </w:t>
      </w:r>
      <w:r w:rsidR="0079706A">
        <w:rPr>
          <w:szCs w:val="24"/>
        </w:rPr>
        <w:t>S</w:t>
      </w:r>
      <w:r w:rsidR="00366495" w:rsidRPr="00120DBF">
        <w:rPr>
          <w:szCs w:val="24"/>
        </w:rPr>
        <w:t xml:space="preserve"> 20(1) of the Sexual Offences Act 31 of</w:t>
      </w:r>
      <w:r w:rsidR="00366495">
        <w:rPr>
          <w:szCs w:val="24"/>
        </w:rPr>
        <w:t xml:space="preserve"> 1957’; and that persons </w:t>
      </w:r>
      <w:r w:rsidR="00366495" w:rsidRPr="00120DBF">
        <w:rPr>
          <w:szCs w:val="24"/>
        </w:rPr>
        <w:t xml:space="preserve">kidnapped by one Michael </w:t>
      </w:r>
      <w:proofErr w:type="spellStart"/>
      <w:r w:rsidR="00366495" w:rsidRPr="00120DBF">
        <w:rPr>
          <w:szCs w:val="24"/>
        </w:rPr>
        <w:t>Zinqi</w:t>
      </w:r>
      <w:proofErr w:type="spellEnd"/>
      <w:r w:rsidR="00366495" w:rsidRPr="00120DBF">
        <w:rPr>
          <w:szCs w:val="24"/>
        </w:rPr>
        <w:t xml:space="preserve"> and his cohorts were assaulted and held</w:t>
      </w:r>
      <w:r w:rsidR="00366495">
        <w:rPr>
          <w:szCs w:val="24"/>
        </w:rPr>
        <w:t xml:space="preserve"> </w:t>
      </w:r>
      <w:r w:rsidR="00366495" w:rsidRPr="00120DBF">
        <w:rPr>
          <w:szCs w:val="24"/>
        </w:rPr>
        <w:t xml:space="preserve">hostage </w:t>
      </w:r>
      <w:r w:rsidR="00366495">
        <w:rPr>
          <w:szCs w:val="24"/>
        </w:rPr>
        <w:t>in the house</w:t>
      </w:r>
      <w:r w:rsidR="00366495" w:rsidRPr="00120DBF">
        <w:rPr>
          <w:szCs w:val="24"/>
        </w:rPr>
        <w:t>.</w:t>
      </w:r>
      <w:r w:rsidR="00366495">
        <w:rPr>
          <w:szCs w:val="24"/>
        </w:rPr>
        <w:t xml:space="preserve"> The NDPP sought an orde</w:t>
      </w:r>
      <w:r w:rsidR="00C021C3">
        <w:rPr>
          <w:szCs w:val="24"/>
        </w:rPr>
        <w:t>r</w:t>
      </w:r>
      <w:r w:rsidR="00366495">
        <w:rPr>
          <w:szCs w:val="24"/>
        </w:rPr>
        <w:t xml:space="preserve"> for the house to be declared an </w:t>
      </w:r>
      <w:r w:rsidR="00EC6AAE">
        <w:rPr>
          <w:szCs w:val="24"/>
        </w:rPr>
        <w:lastRenderedPageBreak/>
        <w:t>instrumentality</w:t>
      </w:r>
      <w:r w:rsidR="00366495">
        <w:rPr>
          <w:szCs w:val="24"/>
        </w:rPr>
        <w:t xml:space="preserve"> of an offence. </w:t>
      </w:r>
      <w:r w:rsidR="00366495" w:rsidRPr="00120DBF">
        <w:rPr>
          <w:szCs w:val="24"/>
        </w:rPr>
        <w:t xml:space="preserve">The owner </w:t>
      </w:r>
      <w:r w:rsidR="00366495">
        <w:rPr>
          <w:szCs w:val="24"/>
        </w:rPr>
        <w:t>opposed the application.</w:t>
      </w:r>
      <w:r w:rsidR="00EC6AAE">
        <w:rPr>
          <w:szCs w:val="24"/>
        </w:rPr>
        <w:t xml:space="preserve"> The court</w:t>
      </w:r>
      <w:r w:rsidR="00366495" w:rsidRPr="00120DBF">
        <w:rPr>
          <w:szCs w:val="24"/>
        </w:rPr>
        <w:t xml:space="preserve"> found t</w:t>
      </w:r>
      <w:r w:rsidR="00366495">
        <w:rPr>
          <w:szCs w:val="24"/>
        </w:rPr>
        <w:t xml:space="preserve">hat it had not been proved that </w:t>
      </w:r>
      <w:r w:rsidR="00366495" w:rsidRPr="00120DBF">
        <w:rPr>
          <w:szCs w:val="24"/>
        </w:rPr>
        <w:t xml:space="preserve">the property was an instrumentality </w:t>
      </w:r>
      <w:r w:rsidR="00366495">
        <w:rPr>
          <w:szCs w:val="24"/>
        </w:rPr>
        <w:t xml:space="preserve">of an offence and dismissed the </w:t>
      </w:r>
      <w:r w:rsidR="00366495" w:rsidRPr="00120DBF">
        <w:rPr>
          <w:szCs w:val="24"/>
        </w:rPr>
        <w:t>NDPP’s application.</w:t>
      </w:r>
      <w:r w:rsidR="00366495">
        <w:rPr>
          <w:rStyle w:val="FootnoteReference"/>
          <w:szCs w:val="24"/>
        </w:rPr>
        <w:footnoteReference w:id="11"/>
      </w:r>
      <w:r w:rsidR="00366495">
        <w:rPr>
          <w:szCs w:val="24"/>
        </w:rPr>
        <w:t xml:space="preserve"> In interpreting what ‘instrumentality of an offence’ mean</w:t>
      </w:r>
      <w:r w:rsidR="008F1DDD">
        <w:rPr>
          <w:szCs w:val="24"/>
        </w:rPr>
        <w:t>s</w:t>
      </w:r>
      <w:r w:rsidR="00366495">
        <w:rPr>
          <w:szCs w:val="24"/>
        </w:rPr>
        <w:t xml:space="preserve">, the court started off </w:t>
      </w:r>
      <w:r w:rsidR="008F1DDD">
        <w:rPr>
          <w:szCs w:val="24"/>
        </w:rPr>
        <w:t>by</w:t>
      </w:r>
      <w:r w:rsidR="00366495">
        <w:rPr>
          <w:szCs w:val="24"/>
        </w:rPr>
        <w:t xml:space="preserve"> looking at the definition contained in POCA and </w:t>
      </w:r>
      <w:r w:rsidR="00EC6AAE">
        <w:rPr>
          <w:szCs w:val="24"/>
        </w:rPr>
        <w:t xml:space="preserve">expressed </w:t>
      </w:r>
      <w:r w:rsidR="008550FF">
        <w:rPr>
          <w:szCs w:val="24"/>
        </w:rPr>
        <w:t>itself as</w:t>
      </w:r>
      <w:r w:rsidR="00EC6AAE">
        <w:rPr>
          <w:szCs w:val="24"/>
        </w:rPr>
        <w:t xml:space="preserve"> follows </w:t>
      </w:r>
      <w:r w:rsidR="00366495">
        <w:rPr>
          <w:szCs w:val="24"/>
        </w:rPr>
        <w:t xml:space="preserve">at </w:t>
      </w:r>
      <w:r w:rsidR="008F1DDD">
        <w:rPr>
          <w:szCs w:val="24"/>
        </w:rPr>
        <w:t>P</w:t>
      </w:r>
      <w:r w:rsidR="00366495">
        <w:rPr>
          <w:szCs w:val="24"/>
        </w:rPr>
        <w:t>aragraph 31 of the judgment:</w:t>
      </w:r>
    </w:p>
    <w:p w14:paraId="534ED878" w14:textId="77777777" w:rsidR="00366495" w:rsidRDefault="00366495" w:rsidP="00366495">
      <w:pPr>
        <w:ind w:left="10"/>
        <w:jc w:val="both"/>
        <w:rPr>
          <w:szCs w:val="24"/>
        </w:rPr>
      </w:pPr>
    </w:p>
    <w:p w14:paraId="12D346C4" w14:textId="71CFBA59" w:rsidR="00366495" w:rsidRPr="00A422E1" w:rsidRDefault="007A1853" w:rsidP="007A1853">
      <w:pPr>
        <w:ind w:left="0" w:firstLine="720"/>
        <w:jc w:val="both"/>
        <w:rPr>
          <w:i/>
          <w:sz w:val="22"/>
        </w:rPr>
      </w:pPr>
      <w:r>
        <w:rPr>
          <w:i/>
          <w:sz w:val="22"/>
        </w:rPr>
        <w:t>‘</w:t>
      </w:r>
      <w:r w:rsidR="00366495" w:rsidRPr="00A422E1">
        <w:rPr>
          <w:i/>
          <w:sz w:val="22"/>
        </w:rPr>
        <w:t>[31]</w:t>
      </w:r>
      <w:r w:rsidR="00366495" w:rsidRPr="00A422E1">
        <w:rPr>
          <w:i/>
          <w:sz w:val="22"/>
        </w:rPr>
        <w:tab/>
        <w:t xml:space="preserve">For now it is enough to say that the words ‘concerned in the commission of an offence’ </w:t>
      </w:r>
      <w:r w:rsidR="00366495" w:rsidRPr="00B42707">
        <w:rPr>
          <w:i/>
          <w:sz w:val="22"/>
          <w:u w:val="single"/>
        </w:rPr>
        <w:t xml:space="preserve">must in our view be interpreted so that the link between the crime committed and the property is </w:t>
      </w:r>
      <w:r w:rsidR="000D40BD">
        <w:rPr>
          <w:i/>
          <w:sz w:val="22"/>
          <w:u w:val="single"/>
        </w:rPr>
        <w:t>(</w:t>
      </w:r>
      <w:r w:rsidR="00366495" w:rsidRPr="00B42707">
        <w:rPr>
          <w:i/>
          <w:sz w:val="22"/>
          <w:u w:val="single"/>
        </w:rPr>
        <w:t>reasonably direct</w:t>
      </w:r>
      <w:r w:rsidR="000D40BD">
        <w:rPr>
          <w:i/>
          <w:sz w:val="22"/>
          <w:u w:val="single"/>
        </w:rPr>
        <w:t>)</w:t>
      </w:r>
      <w:r w:rsidR="00366495" w:rsidRPr="00B42707">
        <w:rPr>
          <w:i/>
          <w:sz w:val="22"/>
          <w:u w:val="single"/>
        </w:rPr>
        <w:t xml:space="preserve">, and that the employment of the property must be functional to the commission of the crime.  By this we mean that the property must play a reasonably direct role in the commission of the offence.  In a real or substantial sense the property must facilitate or </w:t>
      </w:r>
      <w:r w:rsidR="000D40BD">
        <w:rPr>
          <w:i/>
          <w:sz w:val="22"/>
          <w:u w:val="single"/>
        </w:rPr>
        <w:t>(</w:t>
      </w:r>
      <w:r w:rsidR="00366495" w:rsidRPr="00B42707">
        <w:rPr>
          <w:i/>
          <w:sz w:val="22"/>
          <w:u w:val="single"/>
        </w:rPr>
        <w:t>make possible the commission of the offence</w:t>
      </w:r>
      <w:r w:rsidR="000D40BD">
        <w:rPr>
          <w:i/>
          <w:sz w:val="22"/>
          <w:u w:val="single"/>
        </w:rPr>
        <w:t>)</w:t>
      </w:r>
      <w:r w:rsidR="00366495" w:rsidRPr="00B42707">
        <w:rPr>
          <w:i/>
          <w:sz w:val="22"/>
          <w:u w:val="single"/>
        </w:rPr>
        <w:t xml:space="preserve">. </w:t>
      </w:r>
      <w:r w:rsidR="00366495" w:rsidRPr="00A422E1">
        <w:rPr>
          <w:i/>
          <w:sz w:val="22"/>
        </w:rPr>
        <w:t xml:space="preserve"> As the term ‘instrumentality’ itself suggests (albeit that it is defined to extend beyond its ordinary meaning), the property must be </w:t>
      </w:r>
      <w:r w:rsidR="000D40BD">
        <w:rPr>
          <w:i/>
          <w:sz w:val="22"/>
        </w:rPr>
        <w:t>“</w:t>
      </w:r>
      <w:r w:rsidR="00366495" w:rsidRPr="000D40BD">
        <w:rPr>
          <w:i/>
          <w:sz w:val="22"/>
          <w:u w:val="single"/>
        </w:rPr>
        <w:t>instrumental in</w:t>
      </w:r>
      <w:r w:rsidR="000D40BD" w:rsidRPr="000D40BD">
        <w:rPr>
          <w:i/>
          <w:sz w:val="22"/>
          <w:u w:val="single"/>
        </w:rPr>
        <w:t>”</w:t>
      </w:r>
      <w:r w:rsidR="00366495" w:rsidRPr="00A422E1">
        <w:rPr>
          <w:i/>
          <w:sz w:val="22"/>
        </w:rPr>
        <w:t>, and not merely incidental to, the commission of the offence.  For otherwise there is no rational connection between the deprivation of property and the objective of the Act:  the deprivation will constitute merely an additional penalty in relation to the crime, but without the constitutional safeguards that are a prerequisite for the imposition of criminal penalties.</w:t>
      </w:r>
      <w:r>
        <w:rPr>
          <w:i/>
          <w:sz w:val="22"/>
        </w:rPr>
        <w:t>’</w:t>
      </w:r>
      <w:r w:rsidR="00366495">
        <w:rPr>
          <w:i/>
          <w:sz w:val="22"/>
        </w:rPr>
        <w:t xml:space="preserve"> </w:t>
      </w:r>
      <w:r w:rsidR="00FD02B3">
        <w:rPr>
          <w:szCs w:val="24"/>
        </w:rPr>
        <w:t>(</w:t>
      </w:r>
      <w:proofErr w:type="gramStart"/>
      <w:r w:rsidR="00FD02B3">
        <w:rPr>
          <w:szCs w:val="24"/>
        </w:rPr>
        <w:t>the</w:t>
      </w:r>
      <w:proofErr w:type="gramEnd"/>
      <w:r w:rsidR="008550FF">
        <w:rPr>
          <w:szCs w:val="24"/>
        </w:rPr>
        <w:t xml:space="preserve"> u</w:t>
      </w:r>
      <w:r w:rsidR="00366495">
        <w:rPr>
          <w:szCs w:val="24"/>
        </w:rPr>
        <w:t>nderlining</w:t>
      </w:r>
      <w:r w:rsidR="008550FF">
        <w:rPr>
          <w:szCs w:val="24"/>
        </w:rPr>
        <w:t xml:space="preserve"> is mine for </w:t>
      </w:r>
      <w:r w:rsidR="00366495" w:rsidRPr="00B42707">
        <w:rPr>
          <w:szCs w:val="24"/>
        </w:rPr>
        <w:t>emphasis)</w:t>
      </w:r>
    </w:p>
    <w:p w14:paraId="4E4E9881" w14:textId="77777777" w:rsidR="00366495" w:rsidRDefault="00366495" w:rsidP="00366495">
      <w:pPr>
        <w:ind w:left="10"/>
        <w:jc w:val="both"/>
        <w:rPr>
          <w:szCs w:val="24"/>
        </w:rPr>
      </w:pPr>
    </w:p>
    <w:p w14:paraId="383D7BC2" w14:textId="2D617ED7" w:rsidR="00366495" w:rsidRDefault="00366495" w:rsidP="00366495">
      <w:pPr>
        <w:ind w:left="10"/>
        <w:jc w:val="both"/>
        <w:rPr>
          <w:szCs w:val="24"/>
        </w:rPr>
      </w:pPr>
      <w:r>
        <w:rPr>
          <w:szCs w:val="24"/>
        </w:rPr>
        <w:t>[</w:t>
      </w:r>
      <w:r w:rsidR="0009586E">
        <w:rPr>
          <w:szCs w:val="24"/>
        </w:rPr>
        <w:t>5</w:t>
      </w:r>
      <w:r w:rsidR="000B0504">
        <w:rPr>
          <w:szCs w:val="24"/>
        </w:rPr>
        <w:t>2</w:t>
      </w:r>
      <w:r>
        <w:rPr>
          <w:szCs w:val="24"/>
        </w:rPr>
        <w:t>]</w:t>
      </w:r>
      <w:r w:rsidR="0009586E">
        <w:rPr>
          <w:szCs w:val="24"/>
        </w:rPr>
        <w:tab/>
      </w:r>
      <w:r>
        <w:rPr>
          <w:szCs w:val="24"/>
        </w:rPr>
        <w:t xml:space="preserve"> Having said this, the court </w:t>
      </w:r>
      <w:r w:rsidR="00EC6AAE">
        <w:rPr>
          <w:szCs w:val="24"/>
        </w:rPr>
        <w:t xml:space="preserve">arrived at the </w:t>
      </w:r>
      <w:r>
        <w:rPr>
          <w:szCs w:val="24"/>
        </w:rPr>
        <w:t>following</w:t>
      </w:r>
      <w:r w:rsidR="00EC6AAE">
        <w:rPr>
          <w:szCs w:val="24"/>
        </w:rPr>
        <w:t xml:space="preserve"> conclusion</w:t>
      </w:r>
      <w:r>
        <w:rPr>
          <w:szCs w:val="24"/>
        </w:rPr>
        <w:t xml:space="preserve"> at </w:t>
      </w:r>
      <w:r w:rsidR="008F1DDD">
        <w:rPr>
          <w:szCs w:val="24"/>
        </w:rPr>
        <w:t>P</w:t>
      </w:r>
      <w:r>
        <w:rPr>
          <w:szCs w:val="24"/>
        </w:rPr>
        <w:t>aragraph 33 of the judgment:</w:t>
      </w:r>
    </w:p>
    <w:p w14:paraId="29C194B9" w14:textId="77777777" w:rsidR="00366495" w:rsidRDefault="00366495" w:rsidP="00366495">
      <w:pPr>
        <w:ind w:left="10"/>
        <w:jc w:val="both"/>
        <w:rPr>
          <w:szCs w:val="24"/>
        </w:rPr>
      </w:pPr>
    </w:p>
    <w:p w14:paraId="02734F7B" w14:textId="64BEDDAA" w:rsidR="00366495" w:rsidRDefault="007A1853" w:rsidP="007A1853">
      <w:pPr>
        <w:ind w:left="0" w:firstLine="720"/>
        <w:jc w:val="both"/>
        <w:rPr>
          <w:i/>
          <w:sz w:val="22"/>
        </w:rPr>
      </w:pPr>
      <w:r>
        <w:rPr>
          <w:i/>
          <w:sz w:val="22"/>
        </w:rPr>
        <w:t>‘</w:t>
      </w:r>
      <w:r w:rsidR="00366495" w:rsidRPr="00B42707">
        <w:rPr>
          <w:i/>
          <w:sz w:val="22"/>
        </w:rPr>
        <w:t xml:space="preserve">The fact that kidnapped persons were held hostage and assaulted at the house does not make the property an ‘instrumentality of an offence’. The property was the place where the crimes were committed. But the location was purely incidental to their commission.  We agree with the approach </w:t>
      </w:r>
      <w:proofErr w:type="spellStart"/>
      <w:r w:rsidR="00366495" w:rsidRPr="00B42707">
        <w:rPr>
          <w:i/>
          <w:sz w:val="22"/>
        </w:rPr>
        <w:t>Stegmann</w:t>
      </w:r>
      <w:proofErr w:type="spellEnd"/>
      <w:r w:rsidR="00366495" w:rsidRPr="00B42707">
        <w:rPr>
          <w:i/>
          <w:sz w:val="22"/>
        </w:rPr>
        <w:t xml:space="preserve"> J adopted in National Director of Public Prosecutions re Application for Forfeiture of Property in terms of </w:t>
      </w:r>
      <w:proofErr w:type="spellStart"/>
      <w:r w:rsidR="00366495" w:rsidRPr="00B42707">
        <w:rPr>
          <w:i/>
          <w:sz w:val="22"/>
        </w:rPr>
        <w:t>ss</w:t>
      </w:r>
      <w:proofErr w:type="spellEnd"/>
      <w:r w:rsidR="00366495" w:rsidRPr="00B42707">
        <w:rPr>
          <w:i/>
          <w:sz w:val="22"/>
        </w:rPr>
        <w:t xml:space="preserve"> 48 and 53 of the Prevention of Organised Crime Act, 1998: </w:t>
      </w:r>
    </w:p>
    <w:p w14:paraId="1CBCE618" w14:textId="77777777" w:rsidR="00366495" w:rsidRPr="00B42707" w:rsidRDefault="00366495" w:rsidP="00366495">
      <w:pPr>
        <w:ind w:left="730"/>
        <w:jc w:val="both"/>
        <w:rPr>
          <w:i/>
          <w:sz w:val="22"/>
        </w:rPr>
      </w:pPr>
    </w:p>
    <w:p w14:paraId="15D3FA58" w14:textId="0AB280E1" w:rsidR="00366495" w:rsidRDefault="007A1853" w:rsidP="007A1853">
      <w:pPr>
        <w:jc w:val="both"/>
        <w:rPr>
          <w:i/>
          <w:sz w:val="22"/>
        </w:rPr>
      </w:pPr>
      <w:r>
        <w:rPr>
          <w:i/>
          <w:sz w:val="22"/>
        </w:rPr>
        <w:t>“</w:t>
      </w:r>
      <w:r w:rsidR="00366495" w:rsidRPr="00B42707">
        <w:rPr>
          <w:i/>
          <w:sz w:val="22"/>
        </w:rPr>
        <w:t xml:space="preserve">The mere fact that a particular offence was committed on a particular property would not necessarily entail the consequence that the property was “concerned in the commission” of the offence or that the property had become an “instrumentality of an offence”.  It seems </w:t>
      </w:r>
      <w:r w:rsidR="00366495" w:rsidRPr="00B42707">
        <w:rPr>
          <w:i/>
          <w:sz w:val="22"/>
        </w:rPr>
        <w:lastRenderedPageBreak/>
        <w:t xml:space="preserve">to me that evidence of </w:t>
      </w:r>
      <w:r w:rsidR="00366495" w:rsidRPr="00FC5BA1">
        <w:rPr>
          <w:i/>
          <w:sz w:val="22"/>
          <w:u w:val="single"/>
        </w:rPr>
        <w:t>some closer connection than mere presence on the property</w:t>
      </w:r>
      <w:r w:rsidR="00366495" w:rsidRPr="00B42707">
        <w:rPr>
          <w:i/>
          <w:sz w:val="22"/>
        </w:rPr>
        <w:t xml:space="preserve"> would ordinarily be required in order to establish that the property had been ”concerned in the commission” of an offence.</w:t>
      </w:r>
    </w:p>
    <w:p w14:paraId="68655CA6" w14:textId="77777777" w:rsidR="007A1853" w:rsidRPr="00B42707" w:rsidRDefault="007A1853" w:rsidP="007A1853">
      <w:pPr>
        <w:jc w:val="both"/>
        <w:rPr>
          <w:i/>
          <w:sz w:val="22"/>
        </w:rPr>
      </w:pPr>
    </w:p>
    <w:p w14:paraId="0037C15D" w14:textId="77777777" w:rsidR="00366495" w:rsidRDefault="00366495" w:rsidP="007A1853">
      <w:pPr>
        <w:jc w:val="both"/>
        <w:rPr>
          <w:i/>
          <w:sz w:val="22"/>
        </w:rPr>
      </w:pPr>
      <w:r w:rsidRPr="00B42707">
        <w:rPr>
          <w:i/>
          <w:sz w:val="22"/>
        </w:rPr>
        <w:t>He added:</w:t>
      </w:r>
    </w:p>
    <w:p w14:paraId="614D2A87" w14:textId="77777777" w:rsidR="007A1853" w:rsidRPr="00B42707" w:rsidRDefault="007A1853" w:rsidP="007A1853">
      <w:pPr>
        <w:jc w:val="both"/>
        <w:rPr>
          <w:i/>
          <w:sz w:val="22"/>
        </w:rPr>
      </w:pPr>
    </w:p>
    <w:p w14:paraId="7601B385" w14:textId="485E3612" w:rsidR="00366495" w:rsidRPr="00D32D9B" w:rsidRDefault="007A1853" w:rsidP="007A1853">
      <w:pPr>
        <w:jc w:val="both"/>
        <w:rPr>
          <w:sz w:val="22"/>
        </w:rPr>
      </w:pPr>
      <w:r>
        <w:rPr>
          <w:i/>
          <w:sz w:val="22"/>
          <w:u w:val="single"/>
        </w:rPr>
        <w:t>“</w:t>
      </w:r>
      <w:r w:rsidR="00366495" w:rsidRPr="00D32D9B">
        <w:rPr>
          <w:i/>
          <w:sz w:val="22"/>
          <w:u w:val="single"/>
        </w:rPr>
        <w:t>Every [scheduled] offence must be committed on some piece of property.  But it would be absurd to infer that the legislature had intended every property on which such an offence had been committed to be liable to forfeiture to the State.  A closer connection must be shown than mere presence.</w:t>
      </w:r>
      <w:r w:rsidR="00366495" w:rsidRPr="00B42707">
        <w:rPr>
          <w:i/>
          <w:sz w:val="22"/>
        </w:rPr>
        <w:t xml:space="preserve">  It must be established that the property was ‘concerned’ in the commission of the offence, and not merely that the offence was committed on the property.’</w:t>
      </w:r>
      <w:r w:rsidR="00366495">
        <w:rPr>
          <w:i/>
          <w:sz w:val="22"/>
        </w:rPr>
        <w:t xml:space="preserve"> </w:t>
      </w:r>
      <w:r w:rsidR="00366495">
        <w:rPr>
          <w:szCs w:val="24"/>
        </w:rPr>
        <w:t>(</w:t>
      </w:r>
      <w:proofErr w:type="gramStart"/>
      <w:r w:rsidR="00FD02B3">
        <w:rPr>
          <w:szCs w:val="24"/>
        </w:rPr>
        <w:t>the</w:t>
      </w:r>
      <w:proofErr w:type="gramEnd"/>
      <w:r w:rsidR="00FD02B3">
        <w:rPr>
          <w:szCs w:val="24"/>
        </w:rPr>
        <w:t xml:space="preserve"> u</w:t>
      </w:r>
      <w:r w:rsidR="00366495">
        <w:rPr>
          <w:szCs w:val="24"/>
        </w:rPr>
        <w:t>nderlining</w:t>
      </w:r>
      <w:r w:rsidR="00FD02B3">
        <w:rPr>
          <w:szCs w:val="24"/>
        </w:rPr>
        <w:t xml:space="preserve"> is mine for</w:t>
      </w:r>
      <w:r w:rsidR="00366495" w:rsidRPr="00B42707">
        <w:rPr>
          <w:szCs w:val="24"/>
        </w:rPr>
        <w:t xml:space="preserve"> emphasis)</w:t>
      </w:r>
    </w:p>
    <w:p w14:paraId="3A50F200" w14:textId="77777777" w:rsidR="00366495" w:rsidRDefault="00366495" w:rsidP="00366495">
      <w:pPr>
        <w:ind w:left="10"/>
        <w:jc w:val="both"/>
        <w:rPr>
          <w:szCs w:val="24"/>
        </w:rPr>
      </w:pPr>
    </w:p>
    <w:p w14:paraId="4E60B574" w14:textId="77777777" w:rsidR="00EA3E11" w:rsidRDefault="00016F41" w:rsidP="00366495">
      <w:pPr>
        <w:ind w:left="10"/>
        <w:jc w:val="both"/>
        <w:rPr>
          <w:szCs w:val="24"/>
        </w:rPr>
      </w:pPr>
      <w:r>
        <w:rPr>
          <w:szCs w:val="24"/>
        </w:rPr>
        <w:t>[5</w:t>
      </w:r>
      <w:r w:rsidR="00F85D12">
        <w:rPr>
          <w:szCs w:val="24"/>
        </w:rPr>
        <w:t>3</w:t>
      </w:r>
      <w:r w:rsidR="00366495">
        <w:rPr>
          <w:szCs w:val="24"/>
        </w:rPr>
        <w:t>]</w:t>
      </w:r>
      <w:r>
        <w:rPr>
          <w:szCs w:val="24"/>
        </w:rPr>
        <w:tab/>
      </w:r>
      <w:r w:rsidR="00EC6AAE">
        <w:rPr>
          <w:szCs w:val="24"/>
        </w:rPr>
        <w:t>The court went on to say that for a property to be liable to forfeiture it</w:t>
      </w:r>
      <w:r w:rsidR="00366495">
        <w:rPr>
          <w:szCs w:val="24"/>
        </w:rPr>
        <w:t xml:space="preserve"> required that</w:t>
      </w:r>
      <w:r w:rsidR="000427BD">
        <w:rPr>
          <w:szCs w:val="24"/>
        </w:rPr>
        <w:t>:</w:t>
      </w:r>
      <w:r w:rsidR="00366495">
        <w:rPr>
          <w:szCs w:val="24"/>
        </w:rPr>
        <w:t xml:space="preserve"> </w:t>
      </w:r>
    </w:p>
    <w:p w14:paraId="6F1DF99B" w14:textId="77777777" w:rsidR="00EA3E11" w:rsidRDefault="00EA3E11" w:rsidP="00EA3E11">
      <w:pPr>
        <w:ind w:firstLine="710"/>
        <w:jc w:val="both"/>
        <w:rPr>
          <w:szCs w:val="24"/>
        </w:rPr>
      </w:pPr>
    </w:p>
    <w:p w14:paraId="6BFDA0AC" w14:textId="58A3413E" w:rsidR="00366495" w:rsidRPr="00F53A93" w:rsidRDefault="00276F24" w:rsidP="007A1853">
      <w:pPr>
        <w:jc w:val="both"/>
        <w:rPr>
          <w:sz w:val="22"/>
        </w:rPr>
      </w:pPr>
      <w:r w:rsidRPr="00F53A93">
        <w:rPr>
          <w:i/>
          <w:sz w:val="22"/>
        </w:rPr>
        <w:t>‘Ei</w:t>
      </w:r>
      <w:r w:rsidR="00366495" w:rsidRPr="00F53A93">
        <w:rPr>
          <w:i/>
          <w:sz w:val="22"/>
        </w:rPr>
        <w:t>ther in its nature or through the manner of its utilisation</w:t>
      </w:r>
      <w:r w:rsidR="00366495" w:rsidRPr="00F53A93">
        <w:rPr>
          <w:sz w:val="22"/>
        </w:rPr>
        <w:t xml:space="preserve">, </w:t>
      </w:r>
      <w:r w:rsidR="00366495" w:rsidRPr="00F53A93">
        <w:rPr>
          <w:i/>
          <w:sz w:val="22"/>
          <w:u w:val="single"/>
        </w:rPr>
        <w:t>the property must have been employed in some way to make possible or to facilitate the commission of the offence.</w:t>
      </w:r>
      <w:r w:rsidR="00366495" w:rsidRPr="00F53A93">
        <w:rPr>
          <w:i/>
          <w:sz w:val="22"/>
        </w:rPr>
        <w:t xml:space="preserve">  Examples include the cultivation of land for the production of drug crops; the appointment, arrangement, organisation, construction or furnishing of premises to enable or facilitate the commission of a crime; or the fact that the particular attributes of the location are used as a lure or enticement to the victims upon whom the crime is perpetrated (such as a houseboat whose particular attractions were used to lure minors into falling prey to sexual offences).’</w:t>
      </w:r>
      <w:r w:rsidR="00366495" w:rsidRPr="00F53A93">
        <w:rPr>
          <w:rStyle w:val="FootnoteReference"/>
          <w:i/>
          <w:sz w:val="22"/>
        </w:rPr>
        <w:footnoteReference w:id="12"/>
      </w:r>
      <w:r w:rsidR="00366495" w:rsidRPr="00F53A93">
        <w:rPr>
          <w:i/>
          <w:sz w:val="22"/>
        </w:rPr>
        <w:t xml:space="preserve"> </w:t>
      </w:r>
    </w:p>
    <w:p w14:paraId="7C09DFF1" w14:textId="77777777" w:rsidR="00AC58FF" w:rsidRDefault="00AC58FF" w:rsidP="00AC58FF">
      <w:pPr>
        <w:ind w:left="1430"/>
        <w:jc w:val="both"/>
        <w:rPr>
          <w:szCs w:val="24"/>
        </w:rPr>
      </w:pPr>
    </w:p>
    <w:p w14:paraId="21E10B53" w14:textId="77777777" w:rsidR="00EC6AAE" w:rsidRDefault="00E635C6" w:rsidP="00E7287F">
      <w:pPr>
        <w:ind w:left="10"/>
        <w:jc w:val="both"/>
        <w:rPr>
          <w:szCs w:val="24"/>
        </w:rPr>
      </w:pPr>
      <w:r>
        <w:rPr>
          <w:szCs w:val="24"/>
        </w:rPr>
        <w:t>[54</w:t>
      </w:r>
      <w:r w:rsidR="00A94DD3">
        <w:rPr>
          <w:szCs w:val="24"/>
        </w:rPr>
        <w:t>]</w:t>
      </w:r>
      <w:r w:rsidR="00A94DD3">
        <w:rPr>
          <w:szCs w:val="24"/>
        </w:rPr>
        <w:tab/>
      </w:r>
      <w:r w:rsidR="00E91713">
        <w:rPr>
          <w:szCs w:val="24"/>
        </w:rPr>
        <w:t xml:space="preserve">Against the background of the court’s pronouncement in the </w:t>
      </w:r>
      <w:r w:rsidR="00E91713" w:rsidRPr="00D854CB">
        <w:rPr>
          <w:i/>
          <w:szCs w:val="24"/>
        </w:rPr>
        <w:t>Cook Properties</w:t>
      </w:r>
      <w:r w:rsidR="001D3A8D">
        <w:rPr>
          <w:szCs w:val="24"/>
        </w:rPr>
        <w:t xml:space="preserve"> matter</w:t>
      </w:r>
      <w:r w:rsidR="000427BD">
        <w:rPr>
          <w:szCs w:val="24"/>
        </w:rPr>
        <w:t>,</w:t>
      </w:r>
      <w:r w:rsidR="00D854CB">
        <w:rPr>
          <w:szCs w:val="24"/>
        </w:rPr>
        <w:t xml:space="preserve"> which I fully embrace</w:t>
      </w:r>
      <w:r w:rsidR="001D3A8D">
        <w:rPr>
          <w:szCs w:val="24"/>
        </w:rPr>
        <w:t>,</w:t>
      </w:r>
      <w:r w:rsidR="00E91713">
        <w:rPr>
          <w:szCs w:val="24"/>
        </w:rPr>
        <w:t xml:space="preserve"> I will now proceed to consider what transpired in the present matter.</w:t>
      </w:r>
    </w:p>
    <w:p w14:paraId="517C42D9" w14:textId="77777777" w:rsidR="00826F9D" w:rsidRDefault="00826F9D" w:rsidP="00E7287F">
      <w:pPr>
        <w:ind w:left="10"/>
        <w:jc w:val="both"/>
        <w:rPr>
          <w:szCs w:val="24"/>
        </w:rPr>
      </w:pPr>
    </w:p>
    <w:p w14:paraId="271D548D" w14:textId="14B2483B" w:rsidR="00826F9D" w:rsidRDefault="004C5989" w:rsidP="00E7287F">
      <w:pPr>
        <w:ind w:left="10"/>
        <w:jc w:val="both"/>
        <w:rPr>
          <w:szCs w:val="24"/>
        </w:rPr>
      </w:pPr>
      <w:r>
        <w:rPr>
          <w:szCs w:val="24"/>
        </w:rPr>
        <w:t>[55]</w:t>
      </w:r>
      <w:r>
        <w:rPr>
          <w:szCs w:val="24"/>
        </w:rPr>
        <w:tab/>
      </w:r>
      <w:r w:rsidR="006B0AB6">
        <w:rPr>
          <w:szCs w:val="24"/>
        </w:rPr>
        <w:t>Apart from narrating where the respondent drove</w:t>
      </w:r>
      <w:r w:rsidR="00E91713">
        <w:rPr>
          <w:szCs w:val="24"/>
        </w:rPr>
        <w:t xml:space="preserve"> to</w:t>
      </w:r>
      <w:r w:rsidR="006B0AB6">
        <w:rPr>
          <w:szCs w:val="24"/>
        </w:rPr>
        <w:t xml:space="preserve"> after he had entered the Central Hospital</w:t>
      </w:r>
      <w:r w:rsidR="00E91713">
        <w:rPr>
          <w:szCs w:val="24"/>
        </w:rPr>
        <w:t>’s</w:t>
      </w:r>
      <w:r w:rsidR="006B0AB6">
        <w:rPr>
          <w:szCs w:val="24"/>
        </w:rPr>
        <w:t xml:space="preserve"> ground</w:t>
      </w:r>
      <w:r w:rsidR="00C1241D">
        <w:rPr>
          <w:szCs w:val="24"/>
        </w:rPr>
        <w:t xml:space="preserve"> up to the point where the respondent stopped the car, the </w:t>
      </w:r>
      <w:r w:rsidR="00C1241D">
        <w:rPr>
          <w:szCs w:val="24"/>
        </w:rPr>
        <w:lastRenderedPageBreak/>
        <w:t>complainant does not indicate her attitude after the respondent changed the course of direction.</w:t>
      </w:r>
      <w:r w:rsidR="00826F9D">
        <w:rPr>
          <w:szCs w:val="24"/>
        </w:rPr>
        <w:t xml:space="preserve"> </w:t>
      </w:r>
      <w:r w:rsidR="00FD02B3">
        <w:rPr>
          <w:szCs w:val="24"/>
        </w:rPr>
        <w:t xml:space="preserve"> </w:t>
      </w:r>
      <w:r w:rsidR="00826F9D">
        <w:rPr>
          <w:szCs w:val="24"/>
        </w:rPr>
        <w:t>It is incorrectly submitted on behalf of the applicant that when the respondent drove past the Nurses</w:t>
      </w:r>
      <w:r w:rsidR="008F1DDD">
        <w:rPr>
          <w:szCs w:val="24"/>
        </w:rPr>
        <w:t>’</w:t>
      </w:r>
      <w:r w:rsidR="00826F9D">
        <w:rPr>
          <w:szCs w:val="24"/>
        </w:rPr>
        <w:t xml:space="preserve"> Home she asked him again where he was going.</w:t>
      </w:r>
      <w:r w:rsidR="00FD02B3">
        <w:rPr>
          <w:szCs w:val="24"/>
        </w:rPr>
        <w:t xml:space="preserve"> </w:t>
      </w:r>
      <w:r w:rsidR="00826F9D">
        <w:rPr>
          <w:szCs w:val="24"/>
        </w:rPr>
        <w:t xml:space="preserve"> On careful reading of the complainant’s affidavit</w:t>
      </w:r>
      <w:r w:rsidR="000B5AC6">
        <w:rPr>
          <w:szCs w:val="24"/>
        </w:rPr>
        <w:t>,</w:t>
      </w:r>
      <w:r w:rsidR="00826F9D">
        <w:rPr>
          <w:szCs w:val="24"/>
        </w:rPr>
        <w:t xml:space="preserve"> </w:t>
      </w:r>
      <w:r w:rsidR="000608FA">
        <w:rPr>
          <w:szCs w:val="24"/>
        </w:rPr>
        <w:t>nowhere i</w:t>
      </w:r>
      <w:r w:rsidR="00FA6DF4">
        <w:rPr>
          <w:szCs w:val="24"/>
        </w:rPr>
        <w:t>s</w:t>
      </w:r>
      <w:r w:rsidR="000608FA">
        <w:rPr>
          <w:szCs w:val="24"/>
        </w:rPr>
        <w:t xml:space="preserve"> i</w:t>
      </w:r>
      <w:r w:rsidR="00FA6DF4">
        <w:rPr>
          <w:szCs w:val="24"/>
        </w:rPr>
        <w:t>t</w:t>
      </w:r>
      <w:r w:rsidR="000608FA">
        <w:rPr>
          <w:szCs w:val="24"/>
        </w:rPr>
        <w:t xml:space="preserve"> stated that she </w:t>
      </w:r>
      <w:r w:rsidR="0033160E">
        <w:rPr>
          <w:szCs w:val="24"/>
        </w:rPr>
        <w:t xml:space="preserve">had </w:t>
      </w:r>
      <w:r w:rsidR="000608FA">
        <w:rPr>
          <w:szCs w:val="24"/>
        </w:rPr>
        <w:t>asked the respondent</w:t>
      </w:r>
      <w:r w:rsidR="00C1241D">
        <w:rPr>
          <w:szCs w:val="24"/>
        </w:rPr>
        <w:t xml:space="preserve"> where he was going</w:t>
      </w:r>
      <w:r w:rsidR="00EA6A77">
        <w:rPr>
          <w:szCs w:val="24"/>
        </w:rPr>
        <w:t>.</w:t>
      </w:r>
      <w:r w:rsidR="00635A81">
        <w:rPr>
          <w:szCs w:val="24"/>
        </w:rPr>
        <w:t xml:space="preserve"> </w:t>
      </w:r>
      <w:r w:rsidR="00EA6A77">
        <w:rPr>
          <w:szCs w:val="24"/>
        </w:rPr>
        <w:t xml:space="preserve"> S</w:t>
      </w:r>
      <w:r w:rsidR="00C1241D">
        <w:rPr>
          <w:szCs w:val="24"/>
        </w:rPr>
        <w:t>he</w:t>
      </w:r>
      <w:r w:rsidR="009D08DC">
        <w:rPr>
          <w:szCs w:val="24"/>
        </w:rPr>
        <w:t xml:space="preserve"> did not protest</w:t>
      </w:r>
      <w:r w:rsidR="00C1241D">
        <w:rPr>
          <w:szCs w:val="24"/>
        </w:rPr>
        <w:t xml:space="preserve"> </w:t>
      </w:r>
      <w:r w:rsidR="00FC5BA1">
        <w:rPr>
          <w:szCs w:val="24"/>
        </w:rPr>
        <w:t>n</w:t>
      </w:r>
      <w:r w:rsidR="00C1241D">
        <w:rPr>
          <w:szCs w:val="24"/>
        </w:rPr>
        <w:t xml:space="preserve">or asked </w:t>
      </w:r>
      <w:r w:rsidR="00E91713">
        <w:rPr>
          <w:szCs w:val="24"/>
        </w:rPr>
        <w:t>the respondent</w:t>
      </w:r>
      <w:r w:rsidR="00E635C6">
        <w:rPr>
          <w:szCs w:val="24"/>
        </w:rPr>
        <w:t xml:space="preserve"> to</w:t>
      </w:r>
      <w:r w:rsidR="00E91713">
        <w:rPr>
          <w:szCs w:val="24"/>
        </w:rPr>
        <w:t xml:space="preserve"> </w:t>
      </w:r>
      <w:r w:rsidR="00C1241D">
        <w:rPr>
          <w:szCs w:val="24"/>
        </w:rPr>
        <w:t>drop</w:t>
      </w:r>
      <w:r w:rsidR="00E91713">
        <w:rPr>
          <w:szCs w:val="24"/>
        </w:rPr>
        <w:t xml:space="preserve"> her</w:t>
      </w:r>
      <w:r w:rsidR="00C1241D">
        <w:rPr>
          <w:szCs w:val="24"/>
        </w:rPr>
        <w:t xml:space="preserve"> off</w:t>
      </w:r>
      <w:r w:rsidR="0033160E">
        <w:rPr>
          <w:szCs w:val="24"/>
        </w:rPr>
        <w:t>,</w:t>
      </w:r>
      <w:r w:rsidR="00C1241D">
        <w:rPr>
          <w:szCs w:val="24"/>
        </w:rPr>
        <w:t xml:space="preserve"> say</w:t>
      </w:r>
      <w:r w:rsidR="008F1DDD">
        <w:rPr>
          <w:szCs w:val="24"/>
        </w:rPr>
        <w:t>,</w:t>
      </w:r>
      <w:r w:rsidR="00C1241D">
        <w:rPr>
          <w:szCs w:val="24"/>
        </w:rPr>
        <w:t xml:space="preserve"> in fro</w:t>
      </w:r>
      <w:r w:rsidR="00E635C6">
        <w:rPr>
          <w:szCs w:val="24"/>
        </w:rPr>
        <w:t>nt</w:t>
      </w:r>
      <w:r w:rsidR="00C1241D">
        <w:rPr>
          <w:szCs w:val="24"/>
        </w:rPr>
        <w:t xml:space="preserve"> of the outpatient area</w:t>
      </w:r>
      <w:r w:rsidR="00E91713">
        <w:rPr>
          <w:szCs w:val="24"/>
        </w:rPr>
        <w:t xml:space="preserve"> where one would expect </w:t>
      </w:r>
      <w:r w:rsidR="008F1DDD">
        <w:rPr>
          <w:szCs w:val="24"/>
        </w:rPr>
        <w:t xml:space="preserve">to see </w:t>
      </w:r>
      <w:r w:rsidR="00E91713">
        <w:rPr>
          <w:szCs w:val="24"/>
        </w:rPr>
        <w:t>a guard or people</w:t>
      </w:r>
      <w:r w:rsidR="00763724">
        <w:rPr>
          <w:szCs w:val="24"/>
        </w:rPr>
        <w:t xml:space="preserve"> lingering</w:t>
      </w:r>
      <w:r w:rsidR="00E91713">
        <w:rPr>
          <w:szCs w:val="24"/>
        </w:rPr>
        <w:t xml:space="preserve"> in front of the outpatient</w:t>
      </w:r>
      <w:r w:rsidR="00860754">
        <w:rPr>
          <w:szCs w:val="24"/>
        </w:rPr>
        <w:t xml:space="preserve"> entrance.</w:t>
      </w:r>
      <w:r w:rsidR="00013C7F">
        <w:rPr>
          <w:szCs w:val="24"/>
        </w:rPr>
        <w:t xml:space="preserve"> </w:t>
      </w:r>
      <w:r w:rsidR="00635A81">
        <w:rPr>
          <w:szCs w:val="24"/>
        </w:rPr>
        <w:t xml:space="preserve"> </w:t>
      </w:r>
      <w:r w:rsidR="00013C7F">
        <w:rPr>
          <w:szCs w:val="24"/>
        </w:rPr>
        <w:t xml:space="preserve">If she had realised that she had been kidnapped, I would have expected her to make a fuss or </w:t>
      </w:r>
      <w:r w:rsidR="009861DC">
        <w:rPr>
          <w:szCs w:val="24"/>
        </w:rPr>
        <w:t>scream</w:t>
      </w:r>
      <w:r w:rsidR="00013C7F">
        <w:rPr>
          <w:szCs w:val="24"/>
        </w:rPr>
        <w:t xml:space="preserve"> or ask to be dropped when the</w:t>
      </w:r>
      <w:r w:rsidR="00970679">
        <w:rPr>
          <w:szCs w:val="24"/>
        </w:rPr>
        <w:t>y</w:t>
      </w:r>
      <w:r w:rsidR="00013C7F">
        <w:rPr>
          <w:szCs w:val="24"/>
        </w:rPr>
        <w:t xml:space="preserve"> drove in front of the </w:t>
      </w:r>
      <w:r w:rsidR="00013C7F" w:rsidRPr="0006693A">
        <w:rPr>
          <w:szCs w:val="24"/>
        </w:rPr>
        <w:t>outpa</w:t>
      </w:r>
      <w:r w:rsidR="0006693A" w:rsidRPr="0006693A">
        <w:rPr>
          <w:szCs w:val="24"/>
        </w:rPr>
        <w:t>tient</w:t>
      </w:r>
      <w:r w:rsidR="008F1DDD">
        <w:rPr>
          <w:szCs w:val="24"/>
        </w:rPr>
        <w:t xml:space="preserve"> entrance</w:t>
      </w:r>
      <w:r w:rsidR="0006693A">
        <w:rPr>
          <w:szCs w:val="24"/>
        </w:rPr>
        <w:t>.</w:t>
      </w:r>
      <w:r w:rsidR="00635A81">
        <w:rPr>
          <w:szCs w:val="24"/>
        </w:rPr>
        <w:t xml:space="preserve"> </w:t>
      </w:r>
      <w:r w:rsidR="00C1241D">
        <w:rPr>
          <w:szCs w:val="24"/>
        </w:rPr>
        <w:t xml:space="preserve"> </w:t>
      </w:r>
      <w:r w:rsidR="007328A6">
        <w:rPr>
          <w:szCs w:val="24"/>
        </w:rPr>
        <w:t>In other words</w:t>
      </w:r>
      <w:r w:rsidR="008F1DDD">
        <w:rPr>
          <w:szCs w:val="24"/>
        </w:rPr>
        <w:t>,</w:t>
      </w:r>
      <w:r w:rsidR="007328A6">
        <w:rPr>
          <w:szCs w:val="24"/>
        </w:rPr>
        <w:t xml:space="preserve"> s</w:t>
      </w:r>
      <w:r w:rsidR="00C1241D">
        <w:rPr>
          <w:szCs w:val="24"/>
        </w:rPr>
        <w:t>he did not indicate</w:t>
      </w:r>
      <w:r w:rsidR="00FC5BA1">
        <w:rPr>
          <w:szCs w:val="24"/>
        </w:rPr>
        <w:t xml:space="preserve"> absence of</w:t>
      </w:r>
      <w:r w:rsidR="00C1241D">
        <w:rPr>
          <w:szCs w:val="24"/>
        </w:rPr>
        <w:t xml:space="preserve"> her consent or </w:t>
      </w:r>
      <w:r w:rsidR="00860754">
        <w:rPr>
          <w:szCs w:val="24"/>
        </w:rPr>
        <w:t xml:space="preserve">disapproval </w:t>
      </w:r>
      <w:r w:rsidR="00FC5BA1">
        <w:rPr>
          <w:szCs w:val="24"/>
        </w:rPr>
        <w:t>over</w:t>
      </w:r>
      <w:r w:rsidR="00860754">
        <w:rPr>
          <w:szCs w:val="24"/>
        </w:rPr>
        <w:t xml:space="preserve"> the change of course</w:t>
      </w:r>
      <w:r w:rsidR="00C1241D">
        <w:rPr>
          <w:szCs w:val="24"/>
        </w:rPr>
        <w:t>.</w:t>
      </w:r>
    </w:p>
    <w:p w14:paraId="7437927C" w14:textId="77777777" w:rsidR="00635A81" w:rsidRDefault="00635A81" w:rsidP="00E7287F">
      <w:pPr>
        <w:ind w:left="10"/>
        <w:jc w:val="both"/>
        <w:rPr>
          <w:szCs w:val="24"/>
        </w:rPr>
      </w:pPr>
    </w:p>
    <w:p w14:paraId="098967F0" w14:textId="7677D8F1" w:rsidR="007761CE" w:rsidRDefault="00A56D6D" w:rsidP="00E7287F">
      <w:pPr>
        <w:ind w:left="10"/>
        <w:jc w:val="both"/>
        <w:rPr>
          <w:szCs w:val="24"/>
        </w:rPr>
      </w:pPr>
      <w:r>
        <w:rPr>
          <w:szCs w:val="24"/>
        </w:rPr>
        <w:t>[56]</w:t>
      </w:r>
      <w:r>
        <w:rPr>
          <w:szCs w:val="24"/>
        </w:rPr>
        <w:tab/>
      </w:r>
      <w:r w:rsidR="00635A81">
        <w:rPr>
          <w:szCs w:val="24"/>
        </w:rPr>
        <w:t>T</w:t>
      </w:r>
      <w:r w:rsidR="00C1241D">
        <w:rPr>
          <w:szCs w:val="24"/>
        </w:rPr>
        <w:t>he respondent</w:t>
      </w:r>
      <w:r w:rsidR="00826F9D">
        <w:rPr>
          <w:szCs w:val="24"/>
        </w:rPr>
        <w:t>’s</w:t>
      </w:r>
      <w:r w:rsidR="00C1241D">
        <w:rPr>
          <w:szCs w:val="24"/>
        </w:rPr>
        <w:t xml:space="preserve"> version</w:t>
      </w:r>
      <w:r w:rsidR="00D67774">
        <w:rPr>
          <w:szCs w:val="24"/>
        </w:rPr>
        <w:t xml:space="preserve"> as to </w:t>
      </w:r>
      <w:r w:rsidR="00C1241D">
        <w:rPr>
          <w:szCs w:val="24"/>
        </w:rPr>
        <w:t>why he changed the course of his direction</w:t>
      </w:r>
      <w:r w:rsidR="007364C3">
        <w:rPr>
          <w:szCs w:val="24"/>
        </w:rPr>
        <w:t>,</w:t>
      </w:r>
      <w:r w:rsidR="00C1241D">
        <w:rPr>
          <w:szCs w:val="24"/>
        </w:rPr>
        <w:t xml:space="preserve"> </w:t>
      </w:r>
      <w:r w:rsidR="00E00E99">
        <w:rPr>
          <w:szCs w:val="24"/>
        </w:rPr>
        <w:t>he says that he did so</w:t>
      </w:r>
      <w:r w:rsidR="00C1241D">
        <w:rPr>
          <w:szCs w:val="24"/>
        </w:rPr>
        <w:t xml:space="preserve"> because he was asked by the complainant to rather drop her at the </w:t>
      </w:r>
      <w:proofErr w:type="spellStart"/>
      <w:r w:rsidR="00C1241D">
        <w:rPr>
          <w:szCs w:val="24"/>
        </w:rPr>
        <w:t>Okahandja</w:t>
      </w:r>
      <w:proofErr w:type="spellEnd"/>
      <w:r w:rsidR="00C1241D">
        <w:rPr>
          <w:szCs w:val="24"/>
        </w:rPr>
        <w:t xml:space="preserve"> hiking spot</w:t>
      </w:r>
      <w:r w:rsidR="00040A0A">
        <w:rPr>
          <w:szCs w:val="24"/>
        </w:rPr>
        <w:t xml:space="preserve"> to meet someone there.</w:t>
      </w:r>
      <w:r w:rsidR="00C1241D">
        <w:rPr>
          <w:szCs w:val="24"/>
        </w:rPr>
        <w:t xml:space="preserve"> </w:t>
      </w:r>
      <w:r w:rsidR="00635A81">
        <w:rPr>
          <w:szCs w:val="24"/>
        </w:rPr>
        <w:t xml:space="preserve"> </w:t>
      </w:r>
      <w:r w:rsidR="00C1241D">
        <w:rPr>
          <w:szCs w:val="24"/>
        </w:rPr>
        <w:t>He says further</w:t>
      </w:r>
      <w:r w:rsidR="00826F9D">
        <w:rPr>
          <w:szCs w:val="24"/>
        </w:rPr>
        <w:t xml:space="preserve"> that </w:t>
      </w:r>
      <w:r w:rsidR="00040A0A">
        <w:rPr>
          <w:szCs w:val="24"/>
        </w:rPr>
        <w:t>he agree</w:t>
      </w:r>
      <w:r w:rsidR="00826F9D">
        <w:rPr>
          <w:szCs w:val="24"/>
        </w:rPr>
        <w:t>d</w:t>
      </w:r>
      <w:r w:rsidR="00040A0A">
        <w:rPr>
          <w:szCs w:val="24"/>
        </w:rPr>
        <w:t xml:space="preserve"> to drop</w:t>
      </w:r>
      <w:r w:rsidR="00D67774">
        <w:rPr>
          <w:szCs w:val="24"/>
        </w:rPr>
        <w:t xml:space="preserve"> her there</w:t>
      </w:r>
      <w:r w:rsidR="00040A0A">
        <w:rPr>
          <w:szCs w:val="24"/>
        </w:rPr>
        <w:t xml:space="preserve"> </w:t>
      </w:r>
      <w:r w:rsidR="00826F9D">
        <w:rPr>
          <w:szCs w:val="24"/>
        </w:rPr>
        <w:t xml:space="preserve">because </w:t>
      </w:r>
      <w:r w:rsidR="00C1241D">
        <w:rPr>
          <w:szCs w:val="24"/>
        </w:rPr>
        <w:t xml:space="preserve">after he had dropped her at that spot he would </w:t>
      </w:r>
      <w:r w:rsidR="004A14FA">
        <w:rPr>
          <w:szCs w:val="24"/>
        </w:rPr>
        <w:t>simply</w:t>
      </w:r>
      <w:r w:rsidR="00E84EDD">
        <w:rPr>
          <w:szCs w:val="24"/>
        </w:rPr>
        <w:t xml:space="preserve"> have</w:t>
      </w:r>
      <w:r w:rsidR="004A14FA">
        <w:rPr>
          <w:szCs w:val="24"/>
        </w:rPr>
        <w:t xml:space="preserve"> </w:t>
      </w:r>
      <w:r w:rsidR="007364C3">
        <w:rPr>
          <w:szCs w:val="24"/>
        </w:rPr>
        <w:t>proceeded</w:t>
      </w:r>
      <w:r w:rsidR="00040A0A">
        <w:rPr>
          <w:szCs w:val="24"/>
        </w:rPr>
        <w:t xml:space="preserve"> with the highway </w:t>
      </w:r>
      <w:r w:rsidR="00C1241D">
        <w:rPr>
          <w:szCs w:val="24"/>
        </w:rPr>
        <w:t>to town</w:t>
      </w:r>
      <w:r w:rsidR="003173CC">
        <w:rPr>
          <w:szCs w:val="24"/>
        </w:rPr>
        <w:t xml:space="preserve">. </w:t>
      </w:r>
      <w:r w:rsidR="00635A81">
        <w:rPr>
          <w:szCs w:val="24"/>
        </w:rPr>
        <w:t xml:space="preserve"> </w:t>
      </w:r>
      <w:r w:rsidR="00C1241D">
        <w:rPr>
          <w:szCs w:val="24"/>
        </w:rPr>
        <w:t>The respondent</w:t>
      </w:r>
      <w:r w:rsidR="00826F9D">
        <w:rPr>
          <w:szCs w:val="24"/>
        </w:rPr>
        <w:t>’s</w:t>
      </w:r>
      <w:r w:rsidR="00C1241D">
        <w:rPr>
          <w:szCs w:val="24"/>
        </w:rPr>
        <w:t xml:space="preserve"> version is improbable.</w:t>
      </w:r>
      <w:r w:rsidR="00040A0A">
        <w:rPr>
          <w:szCs w:val="24"/>
        </w:rPr>
        <w:t xml:space="preserve"> It is to be </w:t>
      </w:r>
      <w:r w:rsidR="004A14FA">
        <w:rPr>
          <w:szCs w:val="24"/>
        </w:rPr>
        <w:t>remembered</w:t>
      </w:r>
      <w:r w:rsidR="00040A0A">
        <w:rPr>
          <w:szCs w:val="24"/>
        </w:rPr>
        <w:t xml:space="preserve"> that the respondent</w:t>
      </w:r>
      <w:r w:rsidR="004A14FA">
        <w:rPr>
          <w:szCs w:val="24"/>
        </w:rPr>
        <w:t xml:space="preserve"> originally when </w:t>
      </w:r>
      <w:r w:rsidR="00826F9D">
        <w:rPr>
          <w:szCs w:val="24"/>
        </w:rPr>
        <w:t>he</w:t>
      </w:r>
      <w:r w:rsidR="004A14FA">
        <w:rPr>
          <w:szCs w:val="24"/>
        </w:rPr>
        <w:t xml:space="preserve"> and the complainant met</w:t>
      </w:r>
      <w:r w:rsidR="00E955F1">
        <w:rPr>
          <w:szCs w:val="24"/>
        </w:rPr>
        <w:t>,</w:t>
      </w:r>
      <w:r w:rsidR="004A14FA">
        <w:rPr>
          <w:szCs w:val="24"/>
        </w:rPr>
        <w:t xml:space="preserve"> </w:t>
      </w:r>
      <w:r w:rsidR="003719F7">
        <w:rPr>
          <w:szCs w:val="24"/>
        </w:rPr>
        <w:t>he</w:t>
      </w:r>
      <w:r w:rsidR="004A14FA">
        <w:rPr>
          <w:szCs w:val="24"/>
        </w:rPr>
        <w:t xml:space="preserve"> </w:t>
      </w:r>
      <w:r w:rsidR="00635A81">
        <w:rPr>
          <w:szCs w:val="24"/>
        </w:rPr>
        <w:t>told</w:t>
      </w:r>
      <w:r w:rsidR="004A14FA">
        <w:rPr>
          <w:szCs w:val="24"/>
        </w:rPr>
        <w:t xml:space="preserve"> her that he was not going to town</w:t>
      </w:r>
      <w:r w:rsidR="00E955F1">
        <w:rPr>
          <w:szCs w:val="24"/>
        </w:rPr>
        <w:t>,</w:t>
      </w:r>
      <w:r w:rsidR="004A14FA">
        <w:rPr>
          <w:szCs w:val="24"/>
        </w:rPr>
        <w:t xml:space="preserve"> but that he would not mind </w:t>
      </w:r>
      <w:r w:rsidR="003173CC">
        <w:rPr>
          <w:szCs w:val="24"/>
        </w:rPr>
        <w:t>drop</w:t>
      </w:r>
      <w:r w:rsidR="00E955F1">
        <w:rPr>
          <w:szCs w:val="24"/>
        </w:rPr>
        <w:t>ping</w:t>
      </w:r>
      <w:r w:rsidR="003173CC">
        <w:rPr>
          <w:szCs w:val="24"/>
        </w:rPr>
        <w:t xml:space="preserve"> her somewhere near town. </w:t>
      </w:r>
      <w:r w:rsidR="00635A81">
        <w:rPr>
          <w:szCs w:val="24"/>
        </w:rPr>
        <w:t xml:space="preserve"> </w:t>
      </w:r>
      <w:r w:rsidR="004A14FA">
        <w:rPr>
          <w:szCs w:val="24"/>
        </w:rPr>
        <w:t>There was therefore no need for the respondent to proceed to town after he had dropped off the complainant at the hiking spot.</w:t>
      </w:r>
      <w:r w:rsidR="00635A81">
        <w:rPr>
          <w:szCs w:val="24"/>
        </w:rPr>
        <w:t xml:space="preserve"> </w:t>
      </w:r>
      <w:r w:rsidR="00040A0A">
        <w:rPr>
          <w:szCs w:val="24"/>
        </w:rPr>
        <w:t xml:space="preserve"> </w:t>
      </w:r>
      <w:r w:rsidR="002E499A">
        <w:rPr>
          <w:szCs w:val="24"/>
        </w:rPr>
        <w:t>In any event</w:t>
      </w:r>
      <w:r w:rsidR="00E955F1">
        <w:rPr>
          <w:szCs w:val="24"/>
        </w:rPr>
        <w:t>,</w:t>
      </w:r>
      <w:r w:rsidR="002E499A">
        <w:rPr>
          <w:szCs w:val="24"/>
        </w:rPr>
        <w:t xml:space="preserve"> as things turned out</w:t>
      </w:r>
      <w:r w:rsidR="006B3447">
        <w:rPr>
          <w:szCs w:val="24"/>
        </w:rPr>
        <w:t>,</w:t>
      </w:r>
      <w:r w:rsidR="002E499A">
        <w:rPr>
          <w:szCs w:val="24"/>
        </w:rPr>
        <w:t xml:space="preserve"> he did not drop the complaint at the hiking spot.</w:t>
      </w:r>
      <w:r w:rsidR="00C1241D">
        <w:rPr>
          <w:szCs w:val="24"/>
        </w:rPr>
        <w:t xml:space="preserve"> </w:t>
      </w:r>
      <w:r w:rsidR="00635A81">
        <w:rPr>
          <w:szCs w:val="24"/>
        </w:rPr>
        <w:t xml:space="preserve"> </w:t>
      </w:r>
      <w:r w:rsidR="004A14FA">
        <w:rPr>
          <w:szCs w:val="24"/>
        </w:rPr>
        <w:t>The respondent version i</w:t>
      </w:r>
      <w:r w:rsidR="00E955F1">
        <w:rPr>
          <w:szCs w:val="24"/>
        </w:rPr>
        <w:t>s</w:t>
      </w:r>
      <w:r w:rsidR="004A14FA">
        <w:rPr>
          <w:szCs w:val="24"/>
        </w:rPr>
        <w:t xml:space="preserve"> further </w:t>
      </w:r>
      <w:r w:rsidR="00C1241D">
        <w:rPr>
          <w:szCs w:val="24"/>
        </w:rPr>
        <w:t>improbable</w:t>
      </w:r>
      <w:r w:rsidR="004A14FA">
        <w:rPr>
          <w:szCs w:val="24"/>
        </w:rPr>
        <w:t xml:space="preserve"> for the reason</w:t>
      </w:r>
      <w:r w:rsidR="00C1241D">
        <w:rPr>
          <w:szCs w:val="24"/>
        </w:rPr>
        <w:t xml:space="preserve"> that the complainant would</w:t>
      </w:r>
      <w:r w:rsidR="004A14FA">
        <w:rPr>
          <w:szCs w:val="24"/>
        </w:rPr>
        <w:t xml:space="preserve"> not</w:t>
      </w:r>
      <w:r w:rsidR="00C1241D">
        <w:rPr>
          <w:szCs w:val="24"/>
        </w:rPr>
        <w:t xml:space="preserve"> have asked to be dropped at the </w:t>
      </w:r>
      <w:proofErr w:type="spellStart"/>
      <w:r w:rsidR="00C1241D">
        <w:rPr>
          <w:szCs w:val="24"/>
        </w:rPr>
        <w:t>Okahandja</w:t>
      </w:r>
      <w:proofErr w:type="spellEnd"/>
      <w:r w:rsidR="00C1241D">
        <w:rPr>
          <w:szCs w:val="24"/>
        </w:rPr>
        <w:t xml:space="preserve"> hiking spot while </w:t>
      </w:r>
      <w:r w:rsidR="00BF615D">
        <w:rPr>
          <w:szCs w:val="24"/>
        </w:rPr>
        <w:t>she had already agreed with her husband to meet at the park in town.</w:t>
      </w:r>
      <w:r w:rsidR="00616D3B">
        <w:rPr>
          <w:szCs w:val="24"/>
        </w:rPr>
        <w:t xml:space="preserve">  The respondent’s version on this point is rejected as false.</w:t>
      </w:r>
    </w:p>
    <w:p w14:paraId="77651BCE" w14:textId="77777777" w:rsidR="00BF615D" w:rsidRDefault="00BF615D" w:rsidP="00E7287F">
      <w:pPr>
        <w:ind w:left="10"/>
        <w:jc w:val="both"/>
        <w:rPr>
          <w:szCs w:val="24"/>
        </w:rPr>
      </w:pPr>
    </w:p>
    <w:p w14:paraId="7CE8A1D2" w14:textId="53DE04A2" w:rsidR="001528C6" w:rsidRDefault="00AB532A" w:rsidP="00E7287F">
      <w:pPr>
        <w:ind w:left="10"/>
        <w:jc w:val="both"/>
        <w:rPr>
          <w:szCs w:val="24"/>
        </w:rPr>
      </w:pPr>
      <w:r>
        <w:rPr>
          <w:szCs w:val="24"/>
        </w:rPr>
        <w:t>[57]</w:t>
      </w:r>
      <w:r>
        <w:rPr>
          <w:szCs w:val="24"/>
        </w:rPr>
        <w:tab/>
      </w:r>
      <w:r w:rsidR="00BF615D">
        <w:rPr>
          <w:szCs w:val="24"/>
        </w:rPr>
        <w:t>The question is then: why did the respondent change the direct</w:t>
      </w:r>
      <w:r w:rsidR="00D67EDF">
        <w:rPr>
          <w:szCs w:val="24"/>
        </w:rPr>
        <w:t>ion</w:t>
      </w:r>
      <w:r w:rsidR="00635A81">
        <w:rPr>
          <w:szCs w:val="24"/>
        </w:rPr>
        <w:t xml:space="preserve">?  </w:t>
      </w:r>
      <w:r w:rsidR="00D67EDF">
        <w:rPr>
          <w:szCs w:val="24"/>
        </w:rPr>
        <w:t xml:space="preserve">According to Ms </w:t>
      </w:r>
      <w:proofErr w:type="spellStart"/>
      <w:r w:rsidR="00D67EDF">
        <w:rPr>
          <w:szCs w:val="24"/>
        </w:rPr>
        <w:t>Kazondunge’s</w:t>
      </w:r>
      <w:proofErr w:type="spellEnd"/>
      <w:r w:rsidR="00BF615D">
        <w:rPr>
          <w:szCs w:val="24"/>
        </w:rPr>
        <w:t xml:space="preserve"> argument</w:t>
      </w:r>
      <w:r w:rsidR="00635A81">
        <w:rPr>
          <w:szCs w:val="24"/>
        </w:rPr>
        <w:t xml:space="preserve">, </w:t>
      </w:r>
      <w:r w:rsidR="007364C3">
        <w:rPr>
          <w:szCs w:val="24"/>
        </w:rPr>
        <w:t>the respondent</w:t>
      </w:r>
      <w:r w:rsidR="00BF615D">
        <w:rPr>
          <w:szCs w:val="24"/>
        </w:rPr>
        <w:t xml:space="preserve"> changed the direction </w:t>
      </w:r>
      <w:r w:rsidR="00E955F1">
        <w:rPr>
          <w:szCs w:val="24"/>
        </w:rPr>
        <w:t xml:space="preserve">in order </w:t>
      </w:r>
      <w:r w:rsidR="00BF615D">
        <w:rPr>
          <w:szCs w:val="24"/>
        </w:rPr>
        <w:t>to kidnap the complainant. I do not agree with that conclusion.  I</w:t>
      </w:r>
      <w:r w:rsidR="00616D3B">
        <w:rPr>
          <w:szCs w:val="24"/>
        </w:rPr>
        <w:t xml:space="preserve">t is not the only reasonable </w:t>
      </w:r>
      <w:r w:rsidR="00AF1BAE">
        <w:rPr>
          <w:szCs w:val="24"/>
        </w:rPr>
        <w:t xml:space="preserve">inference </w:t>
      </w:r>
      <w:r w:rsidR="00BF615D">
        <w:rPr>
          <w:szCs w:val="24"/>
        </w:rPr>
        <w:t xml:space="preserve">to be drawn from the </w:t>
      </w:r>
      <w:r w:rsidR="00616D3B">
        <w:rPr>
          <w:szCs w:val="24"/>
        </w:rPr>
        <w:t>proved</w:t>
      </w:r>
      <w:r w:rsidR="00BF615D">
        <w:rPr>
          <w:szCs w:val="24"/>
        </w:rPr>
        <w:t xml:space="preserve"> facts.</w:t>
      </w:r>
      <w:r w:rsidR="006974B1">
        <w:rPr>
          <w:szCs w:val="24"/>
        </w:rPr>
        <w:t xml:space="preserve"> </w:t>
      </w:r>
      <w:r w:rsidR="00BF615D">
        <w:rPr>
          <w:szCs w:val="24"/>
        </w:rPr>
        <w:t xml:space="preserve"> </w:t>
      </w:r>
      <w:r w:rsidR="00616D3B">
        <w:rPr>
          <w:szCs w:val="24"/>
        </w:rPr>
        <w:t>In my view</w:t>
      </w:r>
      <w:r w:rsidR="00E955F1">
        <w:rPr>
          <w:szCs w:val="24"/>
        </w:rPr>
        <w:t>,</w:t>
      </w:r>
      <w:r w:rsidR="00616D3B">
        <w:rPr>
          <w:szCs w:val="24"/>
        </w:rPr>
        <w:t xml:space="preserve"> the reasonable inference to be drawn</w:t>
      </w:r>
      <w:r w:rsidR="00E955F1">
        <w:rPr>
          <w:szCs w:val="24"/>
        </w:rPr>
        <w:t>,</w:t>
      </w:r>
      <w:r w:rsidR="00616D3B">
        <w:rPr>
          <w:szCs w:val="24"/>
        </w:rPr>
        <w:t xml:space="preserve"> and which is consistent with proved facts</w:t>
      </w:r>
      <w:r w:rsidR="00E955F1">
        <w:rPr>
          <w:szCs w:val="24"/>
        </w:rPr>
        <w:t>,</w:t>
      </w:r>
      <w:r w:rsidR="00616D3B">
        <w:rPr>
          <w:szCs w:val="24"/>
        </w:rPr>
        <w:t xml:space="preserve"> is that at that juncture the respondent ha</w:t>
      </w:r>
      <w:r w:rsidR="00E955F1">
        <w:rPr>
          <w:szCs w:val="24"/>
        </w:rPr>
        <w:t>d</w:t>
      </w:r>
      <w:r w:rsidR="00616D3B">
        <w:rPr>
          <w:szCs w:val="24"/>
        </w:rPr>
        <w:t xml:space="preserve"> decided to </w:t>
      </w:r>
      <w:r w:rsidR="00040A0A">
        <w:rPr>
          <w:szCs w:val="24"/>
        </w:rPr>
        <w:t>have sexual intercourse with the complainant.</w:t>
      </w:r>
      <w:r w:rsidR="00746BF2">
        <w:rPr>
          <w:szCs w:val="24"/>
        </w:rPr>
        <w:t xml:space="preserve"> </w:t>
      </w:r>
      <w:r w:rsidR="004A14FA">
        <w:rPr>
          <w:szCs w:val="24"/>
        </w:rPr>
        <w:t xml:space="preserve">This inference is not only </w:t>
      </w:r>
      <w:r w:rsidR="004A14FA">
        <w:rPr>
          <w:szCs w:val="24"/>
        </w:rPr>
        <w:lastRenderedPageBreak/>
        <w:t xml:space="preserve">supported </w:t>
      </w:r>
      <w:r w:rsidR="00AF1BAE">
        <w:rPr>
          <w:szCs w:val="24"/>
        </w:rPr>
        <w:t>by</w:t>
      </w:r>
      <w:r w:rsidR="004A14FA">
        <w:rPr>
          <w:szCs w:val="24"/>
        </w:rPr>
        <w:t xml:space="preserve"> what happened</w:t>
      </w:r>
      <w:r w:rsidR="006974B1">
        <w:rPr>
          <w:szCs w:val="24"/>
        </w:rPr>
        <w:t xml:space="preserve"> later</w:t>
      </w:r>
      <w:r w:rsidR="004A14FA">
        <w:rPr>
          <w:szCs w:val="24"/>
        </w:rPr>
        <w:t xml:space="preserve"> </w:t>
      </w:r>
      <w:r w:rsidR="006974B1">
        <w:rPr>
          <w:szCs w:val="24"/>
        </w:rPr>
        <w:t>when the alleged</w:t>
      </w:r>
      <w:r w:rsidR="002D3072">
        <w:rPr>
          <w:szCs w:val="24"/>
        </w:rPr>
        <w:t xml:space="preserve"> offence of </w:t>
      </w:r>
      <w:r w:rsidR="006974B1">
        <w:rPr>
          <w:szCs w:val="24"/>
        </w:rPr>
        <w:t>rape took place</w:t>
      </w:r>
      <w:r w:rsidR="004A14FA">
        <w:rPr>
          <w:szCs w:val="24"/>
        </w:rPr>
        <w:t xml:space="preserve"> but also </w:t>
      </w:r>
      <w:r w:rsidR="00E31A90">
        <w:rPr>
          <w:szCs w:val="24"/>
        </w:rPr>
        <w:t xml:space="preserve">by </w:t>
      </w:r>
      <w:r w:rsidR="004A14FA">
        <w:rPr>
          <w:szCs w:val="24"/>
        </w:rPr>
        <w:t>what happened when the complainant initially entered the car.</w:t>
      </w:r>
      <w:r w:rsidR="00616D3B">
        <w:rPr>
          <w:szCs w:val="24"/>
        </w:rPr>
        <w:t xml:space="preserve"> </w:t>
      </w:r>
      <w:r w:rsidR="004A14FA">
        <w:rPr>
          <w:szCs w:val="24"/>
        </w:rPr>
        <w:t xml:space="preserve">On </w:t>
      </w:r>
      <w:r w:rsidR="006974B1">
        <w:rPr>
          <w:szCs w:val="24"/>
        </w:rPr>
        <w:t>the respondent</w:t>
      </w:r>
      <w:r w:rsidR="00AF1BAE">
        <w:rPr>
          <w:szCs w:val="24"/>
        </w:rPr>
        <w:t>’s</w:t>
      </w:r>
      <w:r w:rsidR="004A14FA">
        <w:rPr>
          <w:szCs w:val="24"/>
        </w:rPr>
        <w:t xml:space="preserve"> </w:t>
      </w:r>
      <w:r w:rsidR="006974B1">
        <w:rPr>
          <w:szCs w:val="24"/>
        </w:rPr>
        <w:t>version,</w:t>
      </w:r>
      <w:r w:rsidR="004A14FA">
        <w:rPr>
          <w:szCs w:val="24"/>
        </w:rPr>
        <w:t xml:space="preserve"> when he testified during his bail application,</w:t>
      </w:r>
      <w:r w:rsidR="006974B1">
        <w:rPr>
          <w:szCs w:val="24"/>
        </w:rPr>
        <w:t xml:space="preserve"> </w:t>
      </w:r>
      <w:r w:rsidR="00746BF2">
        <w:rPr>
          <w:szCs w:val="24"/>
        </w:rPr>
        <w:t>after the complain</w:t>
      </w:r>
      <w:r w:rsidR="00E955F1">
        <w:rPr>
          <w:szCs w:val="24"/>
        </w:rPr>
        <w:t>an</w:t>
      </w:r>
      <w:r w:rsidR="00746BF2">
        <w:rPr>
          <w:szCs w:val="24"/>
        </w:rPr>
        <w:t>t had entered the car</w:t>
      </w:r>
      <w:r w:rsidR="00E955F1">
        <w:rPr>
          <w:szCs w:val="24"/>
        </w:rPr>
        <w:t>,</w:t>
      </w:r>
      <w:r w:rsidR="00746BF2">
        <w:rPr>
          <w:szCs w:val="24"/>
        </w:rPr>
        <w:t xml:space="preserve"> </w:t>
      </w:r>
      <w:r w:rsidR="008443D2">
        <w:rPr>
          <w:szCs w:val="24"/>
        </w:rPr>
        <w:t>he had</w:t>
      </w:r>
      <w:r w:rsidR="006974B1">
        <w:rPr>
          <w:szCs w:val="24"/>
        </w:rPr>
        <w:t xml:space="preserve"> a discussion of ‘sexual nature’ with the complainant.</w:t>
      </w:r>
      <w:r w:rsidR="00F50900">
        <w:rPr>
          <w:szCs w:val="24"/>
        </w:rPr>
        <w:t xml:space="preserve"> Base</w:t>
      </w:r>
      <w:r w:rsidR="00E955F1">
        <w:rPr>
          <w:szCs w:val="24"/>
        </w:rPr>
        <w:t>d</w:t>
      </w:r>
      <w:r w:rsidR="00F50900">
        <w:rPr>
          <w:szCs w:val="24"/>
        </w:rPr>
        <w:t xml:space="preserve"> on the facts before</w:t>
      </w:r>
      <w:r w:rsidR="007D0291">
        <w:rPr>
          <w:szCs w:val="24"/>
        </w:rPr>
        <w:t xml:space="preserve"> me</w:t>
      </w:r>
      <w:r w:rsidR="00F50900">
        <w:rPr>
          <w:szCs w:val="24"/>
        </w:rPr>
        <w:t xml:space="preserve"> it does not appear </w:t>
      </w:r>
      <w:r w:rsidR="007D0291">
        <w:rPr>
          <w:szCs w:val="24"/>
        </w:rPr>
        <w:t xml:space="preserve">to me </w:t>
      </w:r>
      <w:r w:rsidR="00F50900">
        <w:rPr>
          <w:szCs w:val="24"/>
        </w:rPr>
        <w:t>that the respondent had the necessary intention to kidnap the complainant.</w:t>
      </w:r>
      <w:r w:rsidR="006C0FB5">
        <w:rPr>
          <w:szCs w:val="24"/>
        </w:rPr>
        <w:t xml:space="preserve"> </w:t>
      </w:r>
      <w:r w:rsidR="007D0291">
        <w:rPr>
          <w:szCs w:val="24"/>
        </w:rPr>
        <w:t xml:space="preserve"> In my view the changing of the direction was a mere preparatory step towards the commission of the </w:t>
      </w:r>
      <w:r w:rsidR="00732CFB">
        <w:rPr>
          <w:szCs w:val="24"/>
        </w:rPr>
        <w:t xml:space="preserve">alleged </w:t>
      </w:r>
      <w:r w:rsidR="007D0291">
        <w:rPr>
          <w:szCs w:val="24"/>
        </w:rPr>
        <w:t xml:space="preserve">offence of rape. </w:t>
      </w:r>
    </w:p>
    <w:p w14:paraId="0394FC64" w14:textId="77777777" w:rsidR="00184AB7" w:rsidRDefault="00184AB7" w:rsidP="00E7287F">
      <w:pPr>
        <w:ind w:left="10"/>
        <w:jc w:val="both"/>
        <w:rPr>
          <w:szCs w:val="24"/>
        </w:rPr>
      </w:pPr>
    </w:p>
    <w:p w14:paraId="05A328A0" w14:textId="77777777" w:rsidR="001528C6" w:rsidRDefault="007D061D" w:rsidP="00E7287F">
      <w:pPr>
        <w:ind w:left="10"/>
        <w:jc w:val="both"/>
        <w:rPr>
          <w:szCs w:val="24"/>
        </w:rPr>
      </w:pPr>
      <w:r>
        <w:rPr>
          <w:szCs w:val="24"/>
        </w:rPr>
        <w:t>[58]</w:t>
      </w:r>
      <w:r>
        <w:rPr>
          <w:szCs w:val="24"/>
        </w:rPr>
        <w:tab/>
      </w:r>
      <w:r w:rsidR="007A0043" w:rsidRPr="007A0043">
        <w:rPr>
          <w:szCs w:val="24"/>
        </w:rPr>
        <w:t>Taking all the relevant facts into account</w:t>
      </w:r>
      <w:r w:rsidR="004F775A">
        <w:rPr>
          <w:szCs w:val="24"/>
        </w:rPr>
        <w:t xml:space="preserve"> </w:t>
      </w:r>
      <w:r w:rsidR="001528C6">
        <w:rPr>
          <w:szCs w:val="24"/>
        </w:rPr>
        <w:t xml:space="preserve">I am not persuaded that the applicant has succeed in proving on the balance of probabilities that the property </w:t>
      </w:r>
      <w:r w:rsidR="00E4545C">
        <w:rPr>
          <w:szCs w:val="24"/>
        </w:rPr>
        <w:t xml:space="preserve">was an instrumentality </w:t>
      </w:r>
      <w:r w:rsidR="004F775A">
        <w:rPr>
          <w:szCs w:val="24"/>
        </w:rPr>
        <w:t>concerning</w:t>
      </w:r>
      <w:r w:rsidR="003F1ABD">
        <w:rPr>
          <w:szCs w:val="24"/>
        </w:rPr>
        <w:t xml:space="preserve"> the commission of the alleged</w:t>
      </w:r>
      <w:r w:rsidR="00E4545C">
        <w:rPr>
          <w:szCs w:val="24"/>
        </w:rPr>
        <w:t xml:space="preserve"> offence of </w:t>
      </w:r>
      <w:r w:rsidR="001528C6">
        <w:rPr>
          <w:szCs w:val="24"/>
        </w:rPr>
        <w:t>kidnap</w:t>
      </w:r>
      <w:r w:rsidR="00E4545C">
        <w:rPr>
          <w:szCs w:val="24"/>
        </w:rPr>
        <w:t>.</w:t>
      </w:r>
    </w:p>
    <w:p w14:paraId="5F5A409D" w14:textId="77777777" w:rsidR="0014539B" w:rsidRDefault="0014539B" w:rsidP="00E7287F">
      <w:pPr>
        <w:ind w:left="10"/>
        <w:jc w:val="both"/>
        <w:rPr>
          <w:szCs w:val="24"/>
        </w:rPr>
      </w:pPr>
    </w:p>
    <w:p w14:paraId="246DB39C" w14:textId="77777777" w:rsidR="00312E29" w:rsidRPr="00312E29" w:rsidRDefault="00F50900" w:rsidP="00E7287F">
      <w:pPr>
        <w:ind w:left="10"/>
        <w:jc w:val="both"/>
        <w:rPr>
          <w:szCs w:val="24"/>
          <w:u w:val="single"/>
        </w:rPr>
      </w:pPr>
      <w:r>
        <w:rPr>
          <w:szCs w:val="24"/>
          <w:u w:val="single"/>
        </w:rPr>
        <w:t xml:space="preserve">The property being an instrumentality </w:t>
      </w:r>
      <w:r w:rsidR="008D39E7">
        <w:rPr>
          <w:szCs w:val="24"/>
          <w:u w:val="single"/>
        </w:rPr>
        <w:t xml:space="preserve">concerning </w:t>
      </w:r>
      <w:r w:rsidR="0048099F">
        <w:rPr>
          <w:szCs w:val="24"/>
          <w:u w:val="single"/>
        </w:rPr>
        <w:t xml:space="preserve">the </w:t>
      </w:r>
      <w:r w:rsidR="008D39E7">
        <w:rPr>
          <w:szCs w:val="24"/>
          <w:u w:val="single"/>
        </w:rPr>
        <w:t>c</w:t>
      </w:r>
      <w:r w:rsidR="0048099F">
        <w:rPr>
          <w:szCs w:val="24"/>
          <w:u w:val="single"/>
        </w:rPr>
        <w:t xml:space="preserve">ommission of the alleged </w:t>
      </w:r>
      <w:r>
        <w:rPr>
          <w:szCs w:val="24"/>
          <w:u w:val="single"/>
        </w:rPr>
        <w:t>of the offence of</w:t>
      </w:r>
      <w:r w:rsidR="007761CE">
        <w:rPr>
          <w:szCs w:val="24"/>
          <w:u w:val="single"/>
        </w:rPr>
        <w:t xml:space="preserve"> R</w:t>
      </w:r>
      <w:r w:rsidR="00312E29" w:rsidRPr="00312E29">
        <w:rPr>
          <w:szCs w:val="24"/>
          <w:u w:val="single"/>
        </w:rPr>
        <w:t>ape</w:t>
      </w:r>
    </w:p>
    <w:p w14:paraId="1F9022B8" w14:textId="77777777" w:rsidR="00E410DF" w:rsidRDefault="00E410DF" w:rsidP="00E7287F">
      <w:pPr>
        <w:ind w:left="10"/>
        <w:jc w:val="both"/>
        <w:rPr>
          <w:szCs w:val="24"/>
        </w:rPr>
      </w:pPr>
    </w:p>
    <w:p w14:paraId="7790A569" w14:textId="77777777" w:rsidR="008E4C67" w:rsidRDefault="005B6FBB" w:rsidP="00E7287F">
      <w:pPr>
        <w:ind w:left="10"/>
        <w:jc w:val="both"/>
        <w:rPr>
          <w:szCs w:val="24"/>
        </w:rPr>
      </w:pPr>
      <w:r>
        <w:rPr>
          <w:szCs w:val="24"/>
        </w:rPr>
        <w:t>[59</w:t>
      </w:r>
      <w:r w:rsidR="00B51FDC">
        <w:rPr>
          <w:szCs w:val="24"/>
        </w:rPr>
        <w:t>]</w:t>
      </w:r>
      <w:r>
        <w:rPr>
          <w:szCs w:val="24"/>
        </w:rPr>
        <w:tab/>
      </w:r>
      <w:r w:rsidR="008E4C67">
        <w:rPr>
          <w:szCs w:val="24"/>
        </w:rPr>
        <w:t xml:space="preserve">Section 2 of the </w:t>
      </w:r>
      <w:r w:rsidR="008E4C67" w:rsidRPr="008E4C67">
        <w:rPr>
          <w:i/>
          <w:szCs w:val="24"/>
        </w:rPr>
        <w:t>Combating of Rape Act 8 of 2000</w:t>
      </w:r>
      <w:r w:rsidR="008E4C67">
        <w:rPr>
          <w:szCs w:val="24"/>
        </w:rPr>
        <w:t xml:space="preserve"> s</w:t>
      </w:r>
      <w:r w:rsidR="001663E2">
        <w:rPr>
          <w:szCs w:val="24"/>
        </w:rPr>
        <w:t>tipulates</w:t>
      </w:r>
      <w:r w:rsidR="008E4C67">
        <w:rPr>
          <w:szCs w:val="24"/>
        </w:rPr>
        <w:t xml:space="preserve"> the following </w:t>
      </w:r>
      <w:r w:rsidR="001663E2">
        <w:rPr>
          <w:szCs w:val="24"/>
        </w:rPr>
        <w:t>regarding the offence of rape</w:t>
      </w:r>
      <w:r w:rsidR="00777D1F">
        <w:rPr>
          <w:szCs w:val="24"/>
        </w:rPr>
        <w:t>.</w:t>
      </w:r>
    </w:p>
    <w:p w14:paraId="0326B2AC" w14:textId="77777777" w:rsidR="008E4C67" w:rsidRDefault="008E4C67" w:rsidP="00E7287F">
      <w:pPr>
        <w:ind w:left="10"/>
        <w:jc w:val="both"/>
        <w:rPr>
          <w:szCs w:val="24"/>
        </w:rPr>
      </w:pPr>
    </w:p>
    <w:p w14:paraId="7EA117F8" w14:textId="13A043D1" w:rsidR="008E4C67" w:rsidRPr="008E4C67" w:rsidRDefault="008E4C67" w:rsidP="007A1853">
      <w:pPr>
        <w:ind w:left="0" w:firstLine="720"/>
        <w:jc w:val="both"/>
        <w:rPr>
          <w:i/>
          <w:sz w:val="22"/>
        </w:rPr>
      </w:pPr>
      <w:r>
        <w:rPr>
          <w:i/>
          <w:sz w:val="22"/>
        </w:rPr>
        <w:t>(1)</w:t>
      </w:r>
      <w:r w:rsidR="00E955F1">
        <w:rPr>
          <w:i/>
          <w:sz w:val="22"/>
        </w:rPr>
        <w:t xml:space="preserve"> </w:t>
      </w:r>
      <w:r w:rsidR="00B51FDC" w:rsidRPr="008E4C67">
        <w:rPr>
          <w:i/>
          <w:sz w:val="22"/>
        </w:rPr>
        <w:t>Any person (in this Act referred to as a perpetrator) who intentionally under coercive circumstances - (a) commits or continues to commit a sexual act with another person; or (b) causes another person to commit a sexual act with the perpetrator or with a third person, shall b</w:t>
      </w:r>
      <w:r w:rsidRPr="008E4C67">
        <w:rPr>
          <w:i/>
          <w:sz w:val="22"/>
        </w:rPr>
        <w:t>e guilty of the offence of rape.</w:t>
      </w:r>
    </w:p>
    <w:p w14:paraId="05217ABD" w14:textId="77777777" w:rsidR="008E4C67" w:rsidRPr="008E4C67" w:rsidRDefault="008E4C67" w:rsidP="00E7287F">
      <w:pPr>
        <w:ind w:left="730"/>
        <w:jc w:val="both"/>
        <w:rPr>
          <w:i/>
          <w:sz w:val="22"/>
        </w:rPr>
      </w:pPr>
    </w:p>
    <w:p w14:paraId="706E4F97" w14:textId="25597C07" w:rsidR="00B51FDC" w:rsidRPr="008E4C67" w:rsidRDefault="00B51FDC" w:rsidP="007A1853">
      <w:pPr>
        <w:ind w:left="0"/>
        <w:jc w:val="both"/>
        <w:rPr>
          <w:i/>
          <w:sz w:val="22"/>
        </w:rPr>
      </w:pPr>
      <w:r w:rsidRPr="008E4C67">
        <w:rPr>
          <w:i/>
          <w:sz w:val="22"/>
        </w:rPr>
        <w:t>(2) For the purposes of subsection (1) “coercive circumstances” includes, but is not limited to - (a) the application of physical force to the complainant or to a person other than the complainant; (b) threats (whether verbally or through conduct) of the application of physical force to the complainant or to a person other than the complainant; (c) threats (whether verbally or through conduct) to cause harm (other than bodily harm) to the complainant or to a person other than the complainant under circumstances where it is not reasonable for the complainant to disregard the threats; (d)</w:t>
      </w:r>
      <w:r w:rsidR="008E4C67" w:rsidRPr="008E4C67">
        <w:rPr>
          <w:i/>
          <w:sz w:val="22"/>
        </w:rPr>
        <w:t>…</w:t>
      </w:r>
      <w:r w:rsidRPr="008E4C67">
        <w:rPr>
          <w:i/>
          <w:sz w:val="22"/>
        </w:rPr>
        <w:t>; (e) circumstances where the complainant is unlawfully detained; (f</w:t>
      </w:r>
      <w:r w:rsidR="008E4C67" w:rsidRPr="008E4C67">
        <w:rPr>
          <w:i/>
          <w:sz w:val="22"/>
        </w:rPr>
        <w:t>) …</w:t>
      </w:r>
      <w:r w:rsidRPr="008E4C67">
        <w:rPr>
          <w:i/>
          <w:sz w:val="22"/>
        </w:rPr>
        <w:t>; (g)</w:t>
      </w:r>
      <w:r w:rsidR="008E4C67" w:rsidRPr="008E4C67">
        <w:rPr>
          <w:i/>
          <w:sz w:val="22"/>
        </w:rPr>
        <w:t xml:space="preserve"> …</w:t>
      </w:r>
      <w:r w:rsidRPr="008E4C67">
        <w:rPr>
          <w:i/>
          <w:sz w:val="22"/>
        </w:rPr>
        <w:t>; (h)</w:t>
      </w:r>
      <w:r w:rsidR="008E4C67" w:rsidRPr="008E4C67">
        <w:rPr>
          <w:i/>
          <w:sz w:val="22"/>
        </w:rPr>
        <w:t xml:space="preserve"> …</w:t>
      </w:r>
      <w:r w:rsidRPr="008E4C67">
        <w:rPr>
          <w:i/>
          <w:sz w:val="22"/>
        </w:rPr>
        <w:t>; (</w:t>
      </w:r>
      <w:proofErr w:type="spellStart"/>
      <w:r w:rsidRPr="008E4C67">
        <w:rPr>
          <w:i/>
          <w:sz w:val="22"/>
        </w:rPr>
        <w:t>i</w:t>
      </w:r>
      <w:proofErr w:type="spellEnd"/>
      <w:r w:rsidRPr="008E4C67">
        <w:rPr>
          <w:i/>
          <w:sz w:val="22"/>
        </w:rPr>
        <w:t>) circumstances where the presence of more than one person is used to intimidate the complainant.</w:t>
      </w:r>
      <w:r w:rsidR="007A1853">
        <w:rPr>
          <w:i/>
          <w:sz w:val="22"/>
        </w:rPr>
        <w:t>’</w:t>
      </w:r>
      <w:bookmarkStart w:id="0" w:name="_GoBack"/>
      <w:bookmarkEnd w:id="0"/>
    </w:p>
    <w:p w14:paraId="52F05721" w14:textId="77777777" w:rsidR="00E410DF" w:rsidRDefault="00E410DF" w:rsidP="00E7287F">
      <w:pPr>
        <w:ind w:left="10"/>
        <w:jc w:val="both"/>
        <w:rPr>
          <w:szCs w:val="24"/>
        </w:rPr>
      </w:pPr>
    </w:p>
    <w:p w14:paraId="694B6FD1" w14:textId="51750965" w:rsidR="0070164A" w:rsidRDefault="003F4727" w:rsidP="00E7287F">
      <w:pPr>
        <w:ind w:left="10"/>
        <w:jc w:val="both"/>
        <w:rPr>
          <w:szCs w:val="24"/>
        </w:rPr>
      </w:pPr>
      <w:r>
        <w:rPr>
          <w:szCs w:val="24"/>
        </w:rPr>
        <w:t>[</w:t>
      </w:r>
      <w:r w:rsidR="001150FC">
        <w:rPr>
          <w:szCs w:val="24"/>
        </w:rPr>
        <w:t>60</w:t>
      </w:r>
      <w:r>
        <w:rPr>
          <w:szCs w:val="24"/>
        </w:rPr>
        <w:t xml:space="preserve">] </w:t>
      </w:r>
      <w:r w:rsidR="001150FC">
        <w:rPr>
          <w:szCs w:val="24"/>
        </w:rPr>
        <w:tab/>
      </w:r>
      <w:r>
        <w:rPr>
          <w:szCs w:val="24"/>
        </w:rPr>
        <w:t xml:space="preserve">Ms </w:t>
      </w:r>
      <w:proofErr w:type="spellStart"/>
      <w:r>
        <w:rPr>
          <w:szCs w:val="24"/>
        </w:rPr>
        <w:t>Kazondunge</w:t>
      </w:r>
      <w:proofErr w:type="spellEnd"/>
      <w:r>
        <w:rPr>
          <w:szCs w:val="24"/>
        </w:rPr>
        <w:t xml:space="preserve"> submits that </w:t>
      </w:r>
      <w:r w:rsidR="00F50900">
        <w:rPr>
          <w:szCs w:val="24"/>
        </w:rPr>
        <w:t>the applicant has proved</w:t>
      </w:r>
      <w:r w:rsidR="00B11D98">
        <w:rPr>
          <w:szCs w:val="24"/>
        </w:rPr>
        <w:t xml:space="preserve"> on</w:t>
      </w:r>
      <w:r w:rsidR="00F50900">
        <w:rPr>
          <w:szCs w:val="24"/>
        </w:rPr>
        <w:t xml:space="preserve"> the </w:t>
      </w:r>
      <w:r w:rsidR="00327DC5">
        <w:rPr>
          <w:szCs w:val="24"/>
        </w:rPr>
        <w:t>balance of probabilities</w:t>
      </w:r>
      <w:r>
        <w:rPr>
          <w:szCs w:val="24"/>
        </w:rPr>
        <w:t>,</w:t>
      </w:r>
      <w:r w:rsidR="00327DC5">
        <w:rPr>
          <w:szCs w:val="24"/>
        </w:rPr>
        <w:t xml:space="preserve"> that</w:t>
      </w:r>
      <w:r>
        <w:rPr>
          <w:szCs w:val="24"/>
        </w:rPr>
        <w:t xml:space="preserve"> the property played a direct role in the respondent raping the complainant as the complainant was</w:t>
      </w:r>
      <w:r w:rsidR="00F0442F">
        <w:rPr>
          <w:szCs w:val="24"/>
        </w:rPr>
        <w:t xml:space="preserve"> </w:t>
      </w:r>
      <w:r w:rsidR="006F7093" w:rsidRPr="00F774ED">
        <w:rPr>
          <w:i/>
          <w:sz w:val="22"/>
        </w:rPr>
        <w:t>’</w:t>
      </w:r>
      <w:r w:rsidRPr="00F774ED">
        <w:rPr>
          <w:i/>
          <w:sz w:val="22"/>
        </w:rPr>
        <w:t>trapped inside the property and could not escape</w:t>
      </w:r>
      <w:r w:rsidR="000629C8" w:rsidRPr="00F774ED">
        <w:rPr>
          <w:i/>
          <w:sz w:val="22"/>
        </w:rPr>
        <w:t>’</w:t>
      </w:r>
      <w:r>
        <w:rPr>
          <w:szCs w:val="24"/>
        </w:rPr>
        <w:t>.</w:t>
      </w:r>
      <w:r w:rsidR="00635A81">
        <w:rPr>
          <w:szCs w:val="24"/>
        </w:rPr>
        <w:t xml:space="preserve"> </w:t>
      </w:r>
      <w:r w:rsidR="00016AA4">
        <w:rPr>
          <w:szCs w:val="24"/>
        </w:rPr>
        <w:t xml:space="preserve"> </w:t>
      </w:r>
      <w:r w:rsidR="00A9511F">
        <w:rPr>
          <w:szCs w:val="24"/>
        </w:rPr>
        <w:t xml:space="preserve">On the other hand </w:t>
      </w:r>
      <w:r w:rsidR="00016AA4">
        <w:rPr>
          <w:szCs w:val="24"/>
        </w:rPr>
        <w:t>Mr Isaacks</w:t>
      </w:r>
      <w:r w:rsidR="00E955F1">
        <w:rPr>
          <w:szCs w:val="24"/>
        </w:rPr>
        <w:t>,</w:t>
      </w:r>
      <w:r w:rsidR="00016AA4">
        <w:rPr>
          <w:szCs w:val="24"/>
        </w:rPr>
        <w:t xml:space="preserve"> rel</w:t>
      </w:r>
      <w:r w:rsidR="00A9511F">
        <w:rPr>
          <w:szCs w:val="24"/>
        </w:rPr>
        <w:t>ying</w:t>
      </w:r>
      <w:r w:rsidR="00016AA4">
        <w:rPr>
          <w:szCs w:val="24"/>
        </w:rPr>
        <w:t xml:space="preserve"> on several case law</w:t>
      </w:r>
      <w:r w:rsidR="00A37ECA">
        <w:rPr>
          <w:szCs w:val="24"/>
        </w:rPr>
        <w:t>,</w:t>
      </w:r>
      <w:r w:rsidR="00016AA4">
        <w:rPr>
          <w:szCs w:val="24"/>
        </w:rPr>
        <w:t xml:space="preserve"> including the </w:t>
      </w:r>
      <w:r w:rsidR="00016AA4" w:rsidRPr="00317A30">
        <w:rPr>
          <w:i/>
          <w:szCs w:val="24"/>
        </w:rPr>
        <w:t>Cook Properties</w:t>
      </w:r>
      <w:r w:rsidR="00016AA4">
        <w:rPr>
          <w:szCs w:val="24"/>
        </w:rPr>
        <w:t xml:space="preserve"> </w:t>
      </w:r>
      <w:r w:rsidR="00A9511F">
        <w:rPr>
          <w:szCs w:val="24"/>
        </w:rPr>
        <w:t>matter</w:t>
      </w:r>
      <w:r w:rsidR="00016AA4">
        <w:rPr>
          <w:szCs w:val="24"/>
        </w:rPr>
        <w:t xml:space="preserve"> </w:t>
      </w:r>
      <w:r w:rsidR="003313CE">
        <w:rPr>
          <w:szCs w:val="24"/>
        </w:rPr>
        <w:t>(</w:t>
      </w:r>
      <w:r w:rsidR="003313CE" w:rsidRPr="00823B4F">
        <w:rPr>
          <w:i/>
          <w:szCs w:val="24"/>
        </w:rPr>
        <w:t>supra</w:t>
      </w:r>
      <w:r w:rsidR="003313CE">
        <w:rPr>
          <w:szCs w:val="24"/>
        </w:rPr>
        <w:t>)</w:t>
      </w:r>
      <w:r w:rsidR="00E955F1">
        <w:rPr>
          <w:szCs w:val="24"/>
        </w:rPr>
        <w:t>,</w:t>
      </w:r>
      <w:r w:rsidR="003313CE">
        <w:rPr>
          <w:szCs w:val="24"/>
        </w:rPr>
        <w:t xml:space="preserve"> </w:t>
      </w:r>
      <w:r w:rsidR="00016AA4">
        <w:rPr>
          <w:szCs w:val="24"/>
        </w:rPr>
        <w:t xml:space="preserve">submits that the </w:t>
      </w:r>
      <w:r w:rsidR="00A9511F">
        <w:rPr>
          <w:szCs w:val="24"/>
        </w:rPr>
        <w:t xml:space="preserve">applicant </w:t>
      </w:r>
      <w:r w:rsidR="00016AA4">
        <w:rPr>
          <w:szCs w:val="24"/>
        </w:rPr>
        <w:t xml:space="preserve">has failed to make out a case that there exists a close relationship between the property and the alleged commission of the offence of rape. </w:t>
      </w:r>
      <w:r w:rsidR="00912FB8">
        <w:rPr>
          <w:szCs w:val="24"/>
        </w:rPr>
        <w:t xml:space="preserve"> </w:t>
      </w:r>
      <w:r w:rsidR="00016AA4">
        <w:rPr>
          <w:szCs w:val="24"/>
        </w:rPr>
        <w:t xml:space="preserve">He </w:t>
      </w:r>
      <w:r w:rsidR="00A9511F">
        <w:rPr>
          <w:szCs w:val="24"/>
        </w:rPr>
        <w:t>further</w:t>
      </w:r>
      <w:r w:rsidR="00950CF2">
        <w:rPr>
          <w:szCs w:val="24"/>
        </w:rPr>
        <w:t xml:space="preserve"> submits</w:t>
      </w:r>
      <w:r w:rsidR="00016AA4">
        <w:rPr>
          <w:szCs w:val="24"/>
        </w:rPr>
        <w:t xml:space="preserve"> that there is nothing on the </w:t>
      </w:r>
      <w:r w:rsidR="00A9511F">
        <w:rPr>
          <w:szCs w:val="24"/>
        </w:rPr>
        <w:t>applicant</w:t>
      </w:r>
      <w:r w:rsidR="00FC5BA1">
        <w:rPr>
          <w:szCs w:val="24"/>
        </w:rPr>
        <w:t>’s</w:t>
      </w:r>
      <w:r w:rsidR="00A9511F">
        <w:rPr>
          <w:szCs w:val="24"/>
        </w:rPr>
        <w:t xml:space="preserve"> </w:t>
      </w:r>
      <w:r w:rsidR="00016AA4">
        <w:rPr>
          <w:szCs w:val="24"/>
        </w:rPr>
        <w:t>papers wh</w:t>
      </w:r>
      <w:r w:rsidR="00A9511F">
        <w:rPr>
          <w:szCs w:val="24"/>
        </w:rPr>
        <w:t>ich</w:t>
      </w:r>
      <w:r w:rsidR="00016AA4">
        <w:rPr>
          <w:szCs w:val="24"/>
        </w:rPr>
        <w:t xml:space="preserve"> demonstrate</w:t>
      </w:r>
      <w:r w:rsidR="00FC5BA1">
        <w:rPr>
          <w:szCs w:val="24"/>
        </w:rPr>
        <w:t>s</w:t>
      </w:r>
      <w:r w:rsidR="00016AA4">
        <w:rPr>
          <w:szCs w:val="24"/>
        </w:rPr>
        <w:t xml:space="preserve"> that the nature or manner of the utilization of the property show</w:t>
      </w:r>
      <w:r w:rsidR="00155DB4">
        <w:rPr>
          <w:szCs w:val="24"/>
        </w:rPr>
        <w:t>ed</w:t>
      </w:r>
      <w:r w:rsidR="00016AA4">
        <w:rPr>
          <w:szCs w:val="24"/>
        </w:rPr>
        <w:t xml:space="preserve"> that it was employed in some way probable to facilitate the alleged commission of the </w:t>
      </w:r>
      <w:r w:rsidR="0070164A">
        <w:rPr>
          <w:szCs w:val="24"/>
        </w:rPr>
        <w:t xml:space="preserve">offence of </w:t>
      </w:r>
      <w:r w:rsidR="00016AA4">
        <w:rPr>
          <w:szCs w:val="24"/>
        </w:rPr>
        <w:t>rape</w:t>
      </w:r>
      <w:r w:rsidR="0070164A">
        <w:rPr>
          <w:szCs w:val="24"/>
        </w:rPr>
        <w:t>.</w:t>
      </w:r>
    </w:p>
    <w:p w14:paraId="553D0692" w14:textId="77777777" w:rsidR="00635A81" w:rsidRDefault="00635A81" w:rsidP="00E7287F">
      <w:pPr>
        <w:ind w:left="10"/>
        <w:jc w:val="both"/>
        <w:rPr>
          <w:szCs w:val="24"/>
        </w:rPr>
      </w:pPr>
    </w:p>
    <w:p w14:paraId="3A207035" w14:textId="33143D96" w:rsidR="0070164A" w:rsidRDefault="0080793B" w:rsidP="00E7287F">
      <w:pPr>
        <w:ind w:left="10"/>
        <w:jc w:val="both"/>
        <w:rPr>
          <w:szCs w:val="24"/>
        </w:rPr>
      </w:pPr>
      <w:r>
        <w:rPr>
          <w:szCs w:val="24"/>
        </w:rPr>
        <w:t>[61]</w:t>
      </w:r>
      <w:r>
        <w:rPr>
          <w:szCs w:val="24"/>
        </w:rPr>
        <w:tab/>
      </w:r>
      <w:r w:rsidR="0070164A">
        <w:rPr>
          <w:szCs w:val="24"/>
        </w:rPr>
        <w:t xml:space="preserve">It is not clear to me what Ms </w:t>
      </w:r>
      <w:proofErr w:type="spellStart"/>
      <w:r w:rsidR="0070164A">
        <w:rPr>
          <w:szCs w:val="24"/>
        </w:rPr>
        <w:t>K</w:t>
      </w:r>
      <w:r w:rsidR="008443D2">
        <w:rPr>
          <w:szCs w:val="24"/>
        </w:rPr>
        <w:t>a</w:t>
      </w:r>
      <w:r w:rsidR="0070164A">
        <w:rPr>
          <w:szCs w:val="24"/>
        </w:rPr>
        <w:t>zondunge</w:t>
      </w:r>
      <w:proofErr w:type="spellEnd"/>
      <w:r w:rsidR="0070164A">
        <w:rPr>
          <w:szCs w:val="24"/>
        </w:rPr>
        <w:t xml:space="preserve"> wish</w:t>
      </w:r>
      <w:r w:rsidR="00A37ECA">
        <w:rPr>
          <w:szCs w:val="24"/>
        </w:rPr>
        <w:t>es</w:t>
      </w:r>
      <w:r w:rsidR="0070164A">
        <w:rPr>
          <w:szCs w:val="24"/>
        </w:rPr>
        <w:t xml:space="preserve"> to convey when she submits that the complainant was </w:t>
      </w:r>
      <w:r w:rsidR="00BC2FBA">
        <w:rPr>
          <w:szCs w:val="24"/>
        </w:rPr>
        <w:t>‘</w:t>
      </w:r>
      <w:r w:rsidR="0070164A">
        <w:rPr>
          <w:szCs w:val="24"/>
        </w:rPr>
        <w:t>trapped inside the property</w:t>
      </w:r>
      <w:r w:rsidR="00BC2FBA">
        <w:rPr>
          <w:szCs w:val="24"/>
        </w:rPr>
        <w:t>’</w:t>
      </w:r>
      <w:r w:rsidR="0070164A">
        <w:rPr>
          <w:szCs w:val="24"/>
        </w:rPr>
        <w:t xml:space="preserve">. The </w:t>
      </w:r>
      <w:r w:rsidR="004008A4">
        <w:rPr>
          <w:szCs w:val="24"/>
        </w:rPr>
        <w:t xml:space="preserve">evidence by the complainant is that the respondent pressed down both </w:t>
      </w:r>
      <w:r w:rsidR="00676394">
        <w:rPr>
          <w:szCs w:val="24"/>
        </w:rPr>
        <w:t>complaints</w:t>
      </w:r>
      <w:r w:rsidR="004008A4">
        <w:rPr>
          <w:szCs w:val="24"/>
        </w:rPr>
        <w:t xml:space="preserve"> legs on </w:t>
      </w:r>
      <w:r w:rsidR="00155DB4">
        <w:rPr>
          <w:szCs w:val="24"/>
        </w:rPr>
        <w:t xml:space="preserve">the [back] seat with his legs. </w:t>
      </w:r>
      <w:r w:rsidR="004008A4">
        <w:rPr>
          <w:szCs w:val="24"/>
        </w:rPr>
        <w:t>The complainant did</w:t>
      </w:r>
      <w:r w:rsidR="00BC2FBA">
        <w:rPr>
          <w:szCs w:val="24"/>
        </w:rPr>
        <w:t xml:space="preserve"> </w:t>
      </w:r>
      <w:r w:rsidR="006B3447">
        <w:rPr>
          <w:szCs w:val="24"/>
        </w:rPr>
        <w:t xml:space="preserve">not </w:t>
      </w:r>
      <w:r w:rsidR="00BC2FBA">
        <w:rPr>
          <w:szCs w:val="24"/>
        </w:rPr>
        <w:t>also</w:t>
      </w:r>
      <w:r w:rsidR="004008A4">
        <w:rPr>
          <w:szCs w:val="24"/>
        </w:rPr>
        <w:t xml:space="preserve"> say that she could not escape.</w:t>
      </w:r>
      <w:r w:rsidR="00635A81">
        <w:rPr>
          <w:szCs w:val="24"/>
        </w:rPr>
        <w:t xml:space="preserve"> </w:t>
      </w:r>
      <w:r w:rsidR="004008A4">
        <w:rPr>
          <w:szCs w:val="24"/>
        </w:rPr>
        <w:t xml:space="preserve"> </w:t>
      </w:r>
      <w:r w:rsidR="00BC2FBA">
        <w:rPr>
          <w:szCs w:val="24"/>
        </w:rPr>
        <w:t>In my view the offence of rape could have taken place without the property.</w:t>
      </w:r>
      <w:r w:rsidR="00AC5A54">
        <w:rPr>
          <w:szCs w:val="24"/>
        </w:rPr>
        <w:t xml:space="preserve"> </w:t>
      </w:r>
      <w:r w:rsidR="00635A81">
        <w:rPr>
          <w:szCs w:val="24"/>
        </w:rPr>
        <w:t xml:space="preserve"> </w:t>
      </w:r>
      <w:r w:rsidR="00AC5A54">
        <w:rPr>
          <w:szCs w:val="24"/>
        </w:rPr>
        <w:t xml:space="preserve">In other words the property is not </w:t>
      </w:r>
      <w:r w:rsidR="00155DB4">
        <w:rPr>
          <w:szCs w:val="24"/>
        </w:rPr>
        <w:t xml:space="preserve">a </w:t>
      </w:r>
      <w:r w:rsidR="00AC5A54">
        <w:rPr>
          <w:szCs w:val="24"/>
        </w:rPr>
        <w:t>means without which the offence of rape could have been committed.</w:t>
      </w:r>
      <w:r w:rsidR="00BC2FBA">
        <w:rPr>
          <w:szCs w:val="24"/>
        </w:rPr>
        <w:t xml:space="preserve"> </w:t>
      </w:r>
      <w:r w:rsidR="00635A81">
        <w:rPr>
          <w:szCs w:val="24"/>
        </w:rPr>
        <w:t xml:space="preserve"> In my considered view t</w:t>
      </w:r>
      <w:r w:rsidR="00BC2FBA">
        <w:rPr>
          <w:szCs w:val="24"/>
        </w:rPr>
        <w:t>he property was not instrumental to the commission of the offence; it was mere</w:t>
      </w:r>
      <w:r w:rsidR="00FC5BA1">
        <w:rPr>
          <w:szCs w:val="24"/>
        </w:rPr>
        <w:t>ly</w:t>
      </w:r>
      <w:r w:rsidR="00BC2FBA">
        <w:rPr>
          <w:szCs w:val="24"/>
        </w:rPr>
        <w:t xml:space="preserve"> </w:t>
      </w:r>
      <w:r w:rsidR="00EC42E9">
        <w:rPr>
          <w:szCs w:val="24"/>
        </w:rPr>
        <w:t>incidental</w:t>
      </w:r>
      <w:r w:rsidR="00FC5BA1">
        <w:rPr>
          <w:szCs w:val="24"/>
        </w:rPr>
        <w:t xml:space="preserve"> thereto</w:t>
      </w:r>
      <w:r w:rsidR="00EC42E9">
        <w:rPr>
          <w:szCs w:val="24"/>
        </w:rPr>
        <w:t xml:space="preserve">. </w:t>
      </w:r>
      <w:r w:rsidR="00635A81">
        <w:rPr>
          <w:szCs w:val="24"/>
        </w:rPr>
        <w:t xml:space="preserve"> </w:t>
      </w:r>
      <w:r w:rsidR="00EC42E9">
        <w:rPr>
          <w:szCs w:val="24"/>
        </w:rPr>
        <w:t>The fact that the alleged offence of rape took place in the property does not make the property an instrumentality of the offence.</w:t>
      </w:r>
      <w:r w:rsidR="00635A81">
        <w:rPr>
          <w:szCs w:val="24"/>
        </w:rPr>
        <w:t xml:space="preserve"> </w:t>
      </w:r>
      <w:r w:rsidR="00EC42E9">
        <w:rPr>
          <w:szCs w:val="24"/>
        </w:rPr>
        <w:t xml:space="preserve"> It has not been shown that </w:t>
      </w:r>
      <w:r w:rsidR="004D3760">
        <w:rPr>
          <w:szCs w:val="24"/>
        </w:rPr>
        <w:t>th</w:t>
      </w:r>
      <w:r w:rsidR="00EC42E9">
        <w:rPr>
          <w:szCs w:val="24"/>
        </w:rPr>
        <w:t>ere is</w:t>
      </w:r>
      <w:r w:rsidR="004D3760">
        <w:rPr>
          <w:szCs w:val="24"/>
        </w:rPr>
        <w:t xml:space="preserve"> any</w:t>
      </w:r>
      <w:r w:rsidR="00EC42E9">
        <w:rPr>
          <w:szCs w:val="24"/>
        </w:rPr>
        <w:t xml:space="preserve"> </w:t>
      </w:r>
      <w:r w:rsidR="004D3760">
        <w:rPr>
          <w:szCs w:val="24"/>
        </w:rPr>
        <w:t>reasonable direct link between the offence and</w:t>
      </w:r>
      <w:r w:rsidR="00B71985">
        <w:rPr>
          <w:szCs w:val="24"/>
        </w:rPr>
        <w:t xml:space="preserve"> the property. </w:t>
      </w:r>
      <w:r w:rsidR="00635A81">
        <w:rPr>
          <w:szCs w:val="24"/>
        </w:rPr>
        <w:t xml:space="preserve"> </w:t>
      </w:r>
      <w:r w:rsidR="00BF096E">
        <w:rPr>
          <w:szCs w:val="24"/>
        </w:rPr>
        <w:t>In my view the</w:t>
      </w:r>
      <w:r w:rsidR="004D3760">
        <w:rPr>
          <w:szCs w:val="24"/>
        </w:rPr>
        <w:t xml:space="preserve"> property was not </w:t>
      </w:r>
      <w:r w:rsidR="00BF096E">
        <w:rPr>
          <w:szCs w:val="24"/>
        </w:rPr>
        <w:t xml:space="preserve">in </w:t>
      </w:r>
      <w:r w:rsidR="00B71985">
        <w:rPr>
          <w:szCs w:val="24"/>
        </w:rPr>
        <w:t>any way</w:t>
      </w:r>
      <w:r w:rsidR="00BF096E">
        <w:rPr>
          <w:szCs w:val="24"/>
        </w:rPr>
        <w:t xml:space="preserve"> </w:t>
      </w:r>
      <w:r w:rsidR="004D3760">
        <w:rPr>
          <w:szCs w:val="24"/>
        </w:rPr>
        <w:t>functional to the commission of the offence</w:t>
      </w:r>
      <w:r w:rsidR="002C4673">
        <w:rPr>
          <w:szCs w:val="24"/>
        </w:rPr>
        <w:t xml:space="preserve"> of rape</w:t>
      </w:r>
      <w:r w:rsidR="004D3760">
        <w:rPr>
          <w:szCs w:val="24"/>
        </w:rPr>
        <w:t>.</w:t>
      </w:r>
    </w:p>
    <w:p w14:paraId="26383217" w14:textId="77777777" w:rsidR="00635A81" w:rsidRDefault="00635A81" w:rsidP="00E7287F">
      <w:pPr>
        <w:ind w:left="10"/>
        <w:jc w:val="both"/>
        <w:rPr>
          <w:szCs w:val="24"/>
        </w:rPr>
      </w:pPr>
    </w:p>
    <w:p w14:paraId="2D27820F" w14:textId="2A8B6E6C" w:rsidR="004D3760" w:rsidRDefault="00556049" w:rsidP="00E7287F">
      <w:pPr>
        <w:ind w:left="10"/>
        <w:jc w:val="both"/>
        <w:rPr>
          <w:szCs w:val="24"/>
        </w:rPr>
      </w:pPr>
      <w:r>
        <w:rPr>
          <w:szCs w:val="24"/>
        </w:rPr>
        <w:t>[62]</w:t>
      </w:r>
      <w:r>
        <w:rPr>
          <w:szCs w:val="24"/>
        </w:rPr>
        <w:tab/>
        <w:t>It would appear from the evid</w:t>
      </w:r>
      <w:r w:rsidR="00A567BF">
        <w:rPr>
          <w:szCs w:val="24"/>
        </w:rPr>
        <w:t xml:space="preserve">ence </w:t>
      </w:r>
      <w:r w:rsidR="00EE5788">
        <w:rPr>
          <w:szCs w:val="24"/>
        </w:rPr>
        <w:t>that the offence took place not because the complai</w:t>
      </w:r>
      <w:r w:rsidR="006B3447">
        <w:rPr>
          <w:szCs w:val="24"/>
        </w:rPr>
        <w:t>na</w:t>
      </w:r>
      <w:r w:rsidR="00EE5788">
        <w:rPr>
          <w:szCs w:val="24"/>
        </w:rPr>
        <w:t>nt was tr</w:t>
      </w:r>
      <w:r w:rsidR="00BF6508">
        <w:rPr>
          <w:szCs w:val="24"/>
        </w:rPr>
        <w:t>a</w:t>
      </w:r>
      <w:r w:rsidR="00EE5788">
        <w:rPr>
          <w:szCs w:val="24"/>
        </w:rPr>
        <w:t>pped in the property but because she was</w:t>
      </w:r>
      <w:r w:rsidR="00A567BF">
        <w:rPr>
          <w:szCs w:val="24"/>
        </w:rPr>
        <w:t xml:space="preserve"> </w:t>
      </w:r>
      <w:r w:rsidR="00A567BF" w:rsidRPr="00823B4F">
        <w:rPr>
          <w:szCs w:val="24"/>
        </w:rPr>
        <w:t>subdued</w:t>
      </w:r>
      <w:r w:rsidR="00A567BF">
        <w:rPr>
          <w:szCs w:val="24"/>
        </w:rPr>
        <w:t xml:space="preserve"> </w:t>
      </w:r>
      <w:r>
        <w:rPr>
          <w:szCs w:val="24"/>
        </w:rPr>
        <w:t>through punching</w:t>
      </w:r>
      <w:r w:rsidR="00A37ECA">
        <w:rPr>
          <w:szCs w:val="24"/>
        </w:rPr>
        <w:t>,</w:t>
      </w:r>
      <w:r>
        <w:rPr>
          <w:szCs w:val="24"/>
        </w:rPr>
        <w:t xml:space="preserve"> beating with the knife and t</w:t>
      </w:r>
      <w:r w:rsidR="001E429A" w:rsidRPr="001E429A">
        <w:rPr>
          <w:szCs w:val="24"/>
        </w:rPr>
        <w:t>hrot</w:t>
      </w:r>
      <w:r w:rsidRPr="001E429A">
        <w:rPr>
          <w:szCs w:val="24"/>
        </w:rPr>
        <w:t>t</w:t>
      </w:r>
      <w:r w:rsidR="001E429A" w:rsidRPr="001E429A">
        <w:rPr>
          <w:szCs w:val="24"/>
        </w:rPr>
        <w:t>l</w:t>
      </w:r>
      <w:r w:rsidRPr="001E429A">
        <w:rPr>
          <w:szCs w:val="24"/>
        </w:rPr>
        <w:t>ing</w:t>
      </w:r>
      <w:r w:rsidR="003C51BC">
        <w:rPr>
          <w:szCs w:val="24"/>
        </w:rPr>
        <w:t>, being</w:t>
      </w:r>
      <w:r w:rsidR="009C1845">
        <w:rPr>
          <w:szCs w:val="24"/>
        </w:rPr>
        <w:t xml:space="preserve"> </w:t>
      </w:r>
      <w:r w:rsidR="00A37ECA">
        <w:rPr>
          <w:szCs w:val="24"/>
        </w:rPr>
        <w:t xml:space="preserve">knocked </w:t>
      </w:r>
      <w:r w:rsidR="009C1845">
        <w:rPr>
          <w:szCs w:val="24"/>
        </w:rPr>
        <w:t>in her ribs with a knee and punched with fists on her head</w:t>
      </w:r>
      <w:r w:rsidR="003C51BC">
        <w:rPr>
          <w:szCs w:val="24"/>
        </w:rPr>
        <w:t xml:space="preserve"> and eye</w:t>
      </w:r>
      <w:r>
        <w:rPr>
          <w:szCs w:val="24"/>
        </w:rPr>
        <w:t xml:space="preserve">. </w:t>
      </w:r>
      <w:r w:rsidR="00635A81">
        <w:rPr>
          <w:szCs w:val="24"/>
        </w:rPr>
        <w:t xml:space="preserve"> </w:t>
      </w:r>
      <w:r w:rsidR="00CB5D27">
        <w:rPr>
          <w:szCs w:val="24"/>
        </w:rPr>
        <w:t xml:space="preserve">She lost </w:t>
      </w:r>
      <w:r w:rsidR="008F064C">
        <w:rPr>
          <w:szCs w:val="24"/>
        </w:rPr>
        <w:t>consci</w:t>
      </w:r>
      <w:r w:rsidR="00FC5BA1">
        <w:rPr>
          <w:szCs w:val="24"/>
        </w:rPr>
        <w:t>ousness</w:t>
      </w:r>
      <w:r w:rsidR="008F064C">
        <w:rPr>
          <w:szCs w:val="24"/>
        </w:rPr>
        <w:t xml:space="preserve"> because of those acts. </w:t>
      </w:r>
      <w:r w:rsidR="00635A81">
        <w:rPr>
          <w:szCs w:val="24"/>
        </w:rPr>
        <w:t xml:space="preserve"> </w:t>
      </w:r>
      <w:r>
        <w:rPr>
          <w:szCs w:val="24"/>
        </w:rPr>
        <w:t>In my view</w:t>
      </w:r>
      <w:r w:rsidR="00A37ECA">
        <w:rPr>
          <w:szCs w:val="24"/>
        </w:rPr>
        <w:t>,</w:t>
      </w:r>
      <w:r>
        <w:rPr>
          <w:szCs w:val="24"/>
        </w:rPr>
        <w:t xml:space="preserve"> all those acts have nothing to do with the property. They could have taken place without the property</w:t>
      </w:r>
      <w:r w:rsidR="009C1845">
        <w:rPr>
          <w:szCs w:val="24"/>
        </w:rPr>
        <w:t>.</w:t>
      </w:r>
    </w:p>
    <w:p w14:paraId="5FB5340B" w14:textId="77777777" w:rsidR="009C1845" w:rsidRDefault="009C1845" w:rsidP="00E7287F">
      <w:pPr>
        <w:ind w:left="10"/>
        <w:jc w:val="both"/>
        <w:rPr>
          <w:szCs w:val="24"/>
        </w:rPr>
      </w:pPr>
    </w:p>
    <w:p w14:paraId="459A657C" w14:textId="4217F149" w:rsidR="004D3760" w:rsidRDefault="00AB2119" w:rsidP="00E7287F">
      <w:pPr>
        <w:ind w:left="10"/>
        <w:jc w:val="both"/>
        <w:rPr>
          <w:szCs w:val="24"/>
        </w:rPr>
      </w:pPr>
      <w:r>
        <w:rPr>
          <w:szCs w:val="24"/>
        </w:rPr>
        <w:lastRenderedPageBreak/>
        <w:t>[63</w:t>
      </w:r>
      <w:r w:rsidR="0063663E">
        <w:rPr>
          <w:szCs w:val="24"/>
        </w:rPr>
        <w:t>]</w:t>
      </w:r>
      <w:r w:rsidR="0063663E">
        <w:rPr>
          <w:szCs w:val="24"/>
        </w:rPr>
        <w:tab/>
      </w:r>
      <w:r w:rsidR="004D3760">
        <w:rPr>
          <w:szCs w:val="24"/>
        </w:rPr>
        <w:t xml:space="preserve">It has been held that the fact that a crime is committed at a certain location does not by itself entail that the </w:t>
      </w:r>
      <w:r w:rsidR="004C297A">
        <w:rPr>
          <w:szCs w:val="24"/>
        </w:rPr>
        <w:t>‘</w:t>
      </w:r>
      <w:r w:rsidR="004D3760" w:rsidRPr="004C297A">
        <w:rPr>
          <w:i/>
          <w:sz w:val="22"/>
        </w:rPr>
        <w:t>venue is concerned in the commission of the offence</w:t>
      </w:r>
      <w:r w:rsidR="004C297A" w:rsidRPr="004C297A">
        <w:rPr>
          <w:i/>
          <w:sz w:val="22"/>
        </w:rPr>
        <w:t>’</w:t>
      </w:r>
      <w:r w:rsidR="004D3760">
        <w:rPr>
          <w:szCs w:val="24"/>
        </w:rPr>
        <w:t>; that it provide</w:t>
      </w:r>
      <w:r w:rsidR="006B3447">
        <w:rPr>
          <w:szCs w:val="24"/>
        </w:rPr>
        <w:t>s</w:t>
      </w:r>
      <w:r w:rsidR="004D3760">
        <w:rPr>
          <w:szCs w:val="24"/>
        </w:rPr>
        <w:t xml:space="preserve"> only the venue for the crime</w:t>
      </w:r>
      <w:r w:rsidR="00912FB8">
        <w:rPr>
          <w:szCs w:val="24"/>
        </w:rPr>
        <w:t>; and that</w:t>
      </w:r>
      <w:r w:rsidR="00BB1CF2">
        <w:rPr>
          <w:szCs w:val="24"/>
        </w:rPr>
        <w:t xml:space="preserve"> it</w:t>
      </w:r>
      <w:r w:rsidR="00912FB8">
        <w:rPr>
          <w:szCs w:val="24"/>
        </w:rPr>
        <w:t xml:space="preserve"> is not enough to trigger the forfeiture provisions.</w:t>
      </w:r>
      <w:r w:rsidR="00912FB8">
        <w:rPr>
          <w:rStyle w:val="FootnoteReference"/>
          <w:szCs w:val="24"/>
        </w:rPr>
        <w:footnoteReference w:id="13"/>
      </w:r>
      <w:r w:rsidR="00912FB8">
        <w:rPr>
          <w:szCs w:val="24"/>
        </w:rPr>
        <w:t xml:space="preserve">  I fully agree with this view.  In my considered view these principles are applicable to the present matter. </w:t>
      </w:r>
    </w:p>
    <w:p w14:paraId="551ABC5A" w14:textId="77777777" w:rsidR="00705AB0" w:rsidRDefault="00705AB0" w:rsidP="00E7287F">
      <w:pPr>
        <w:ind w:left="10"/>
        <w:jc w:val="both"/>
        <w:rPr>
          <w:szCs w:val="24"/>
        </w:rPr>
      </w:pPr>
    </w:p>
    <w:p w14:paraId="1C79077F" w14:textId="7DB898DD" w:rsidR="00E410DF" w:rsidRDefault="00AB2119" w:rsidP="00E7287F">
      <w:pPr>
        <w:ind w:left="10"/>
        <w:jc w:val="both"/>
        <w:rPr>
          <w:szCs w:val="24"/>
        </w:rPr>
      </w:pPr>
      <w:r>
        <w:rPr>
          <w:szCs w:val="24"/>
        </w:rPr>
        <w:t>[64</w:t>
      </w:r>
      <w:r w:rsidR="00F36991">
        <w:rPr>
          <w:szCs w:val="24"/>
        </w:rPr>
        <w:t>]</w:t>
      </w:r>
      <w:r w:rsidR="00F36991">
        <w:rPr>
          <w:szCs w:val="24"/>
        </w:rPr>
        <w:tab/>
      </w:r>
      <w:r w:rsidR="00912FB8">
        <w:rPr>
          <w:szCs w:val="24"/>
        </w:rPr>
        <w:t>Taking everything into account</w:t>
      </w:r>
      <w:r w:rsidR="00A37ECA">
        <w:rPr>
          <w:szCs w:val="24"/>
        </w:rPr>
        <w:t>,</w:t>
      </w:r>
      <w:r w:rsidR="00912FB8">
        <w:rPr>
          <w:szCs w:val="24"/>
        </w:rPr>
        <w:t xml:space="preserve"> I have arrived at the conclusion that the applicant </w:t>
      </w:r>
      <w:r w:rsidR="00912FB8" w:rsidRPr="00E410DF">
        <w:rPr>
          <w:szCs w:val="24"/>
        </w:rPr>
        <w:t>has</w:t>
      </w:r>
      <w:r w:rsidR="00912FB8">
        <w:rPr>
          <w:szCs w:val="24"/>
        </w:rPr>
        <w:t xml:space="preserve"> failed to discharge the onus of proving</w:t>
      </w:r>
      <w:r w:rsidR="00912FB8" w:rsidRPr="00E410DF">
        <w:rPr>
          <w:szCs w:val="24"/>
        </w:rPr>
        <w:t xml:space="preserve"> on a bal</w:t>
      </w:r>
      <w:r w:rsidR="00912FB8">
        <w:rPr>
          <w:szCs w:val="24"/>
        </w:rPr>
        <w:t xml:space="preserve">ance </w:t>
      </w:r>
      <w:r w:rsidR="00A37ECA">
        <w:rPr>
          <w:szCs w:val="24"/>
        </w:rPr>
        <w:t xml:space="preserve">of </w:t>
      </w:r>
      <w:r w:rsidR="00912FB8">
        <w:rPr>
          <w:szCs w:val="24"/>
        </w:rPr>
        <w:t>probabilities that the property was an instrumentality in the com</w:t>
      </w:r>
      <w:r w:rsidR="00E63A4A">
        <w:rPr>
          <w:szCs w:val="24"/>
        </w:rPr>
        <w:t>mission of the</w:t>
      </w:r>
      <w:r w:rsidR="00705AB0">
        <w:rPr>
          <w:szCs w:val="24"/>
        </w:rPr>
        <w:t xml:space="preserve"> alleged</w:t>
      </w:r>
      <w:r w:rsidR="00E63A4A">
        <w:rPr>
          <w:szCs w:val="24"/>
        </w:rPr>
        <w:t xml:space="preserve"> offence of rape.</w:t>
      </w:r>
    </w:p>
    <w:p w14:paraId="6A21433D" w14:textId="77777777" w:rsidR="00A9511F" w:rsidRDefault="00A9511F" w:rsidP="00E7287F">
      <w:pPr>
        <w:ind w:left="10"/>
        <w:jc w:val="both"/>
        <w:rPr>
          <w:szCs w:val="24"/>
        </w:rPr>
      </w:pPr>
    </w:p>
    <w:p w14:paraId="191D6C88" w14:textId="77777777" w:rsidR="009D3F1B" w:rsidRDefault="00D95927" w:rsidP="00E7287F">
      <w:pPr>
        <w:ind w:left="10"/>
        <w:jc w:val="both"/>
        <w:rPr>
          <w:szCs w:val="24"/>
          <w:u w:val="single"/>
        </w:rPr>
      </w:pPr>
      <w:r>
        <w:rPr>
          <w:szCs w:val="24"/>
          <w:u w:val="single"/>
        </w:rPr>
        <w:t>Whether sanctions should be i</w:t>
      </w:r>
      <w:r w:rsidRPr="00D95927">
        <w:rPr>
          <w:szCs w:val="24"/>
          <w:u w:val="single"/>
        </w:rPr>
        <w:t>mposed</w:t>
      </w:r>
    </w:p>
    <w:p w14:paraId="2DCD6420" w14:textId="77777777" w:rsidR="00705AB0" w:rsidRPr="00D95927" w:rsidRDefault="00705AB0" w:rsidP="00E7287F">
      <w:pPr>
        <w:ind w:left="10"/>
        <w:jc w:val="both"/>
        <w:rPr>
          <w:szCs w:val="24"/>
          <w:u w:val="single"/>
        </w:rPr>
      </w:pPr>
    </w:p>
    <w:p w14:paraId="62FB2B8A" w14:textId="2B90655F" w:rsidR="00A372D3" w:rsidRDefault="0039450D" w:rsidP="00E7287F">
      <w:pPr>
        <w:ind w:left="10"/>
        <w:jc w:val="both"/>
        <w:rPr>
          <w:szCs w:val="24"/>
        </w:rPr>
      </w:pPr>
      <w:r>
        <w:rPr>
          <w:szCs w:val="24"/>
        </w:rPr>
        <w:t>[6</w:t>
      </w:r>
      <w:r w:rsidR="00AB2119">
        <w:rPr>
          <w:szCs w:val="24"/>
        </w:rPr>
        <w:t>5</w:t>
      </w:r>
      <w:r w:rsidR="007D0291">
        <w:rPr>
          <w:szCs w:val="24"/>
        </w:rPr>
        <w:t>]</w:t>
      </w:r>
      <w:r>
        <w:rPr>
          <w:szCs w:val="24"/>
        </w:rPr>
        <w:tab/>
      </w:r>
      <w:r w:rsidR="007D0291">
        <w:rPr>
          <w:szCs w:val="24"/>
        </w:rPr>
        <w:t xml:space="preserve"> It</w:t>
      </w:r>
      <w:r w:rsidR="00D73F95">
        <w:rPr>
          <w:szCs w:val="24"/>
        </w:rPr>
        <w:t xml:space="preserve"> is common cause that </w:t>
      </w:r>
      <w:r w:rsidR="004A6924">
        <w:rPr>
          <w:szCs w:val="24"/>
        </w:rPr>
        <w:t xml:space="preserve">Mr Isaacks for </w:t>
      </w:r>
      <w:r w:rsidR="00D73F95">
        <w:rPr>
          <w:szCs w:val="24"/>
        </w:rPr>
        <w:t>t</w:t>
      </w:r>
      <w:r w:rsidR="00B51FDC" w:rsidRPr="00D95927">
        <w:rPr>
          <w:szCs w:val="24"/>
        </w:rPr>
        <w:t xml:space="preserve">he respondent </w:t>
      </w:r>
      <w:r w:rsidR="00D73F95">
        <w:rPr>
          <w:szCs w:val="24"/>
        </w:rPr>
        <w:t xml:space="preserve">failed </w:t>
      </w:r>
      <w:r w:rsidR="00B51FDC" w:rsidRPr="00D95927">
        <w:rPr>
          <w:szCs w:val="24"/>
        </w:rPr>
        <w:t>to attend t</w:t>
      </w:r>
      <w:r w:rsidR="00326D20">
        <w:rPr>
          <w:szCs w:val="24"/>
        </w:rPr>
        <w:t>he</w:t>
      </w:r>
      <w:r w:rsidR="00B51FDC" w:rsidRPr="00D95927">
        <w:rPr>
          <w:szCs w:val="24"/>
        </w:rPr>
        <w:t xml:space="preserve"> </w:t>
      </w:r>
      <w:r w:rsidR="00326D20">
        <w:rPr>
          <w:szCs w:val="24"/>
        </w:rPr>
        <w:t>case M</w:t>
      </w:r>
      <w:r w:rsidR="00B51FDC" w:rsidRPr="00D95927">
        <w:rPr>
          <w:szCs w:val="24"/>
        </w:rPr>
        <w:t xml:space="preserve">anagement </w:t>
      </w:r>
      <w:r w:rsidR="00326D20">
        <w:rPr>
          <w:szCs w:val="24"/>
        </w:rPr>
        <w:t>C</w:t>
      </w:r>
      <w:r w:rsidR="00B51FDC" w:rsidRPr="00D95927">
        <w:rPr>
          <w:szCs w:val="24"/>
        </w:rPr>
        <w:t>onference</w:t>
      </w:r>
      <w:r w:rsidR="00326D20">
        <w:rPr>
          <w:szCs w:val="24"/>
        </w:rPr>
        <w:t xml:space="preserve"> proceedings</w:t>
      </w:r>
      <w:r w:rsidR="00B51FDC" w:rsidRPr="00D95927">
        <w:rPr>
          <w:szCs w:val="24"/>
        </w:rPr>
        <w:t xml:space="preserve"> on Wednesday, 29 June 2016 at 08:30.</w:t>
      </w:r>
      <w:r w:rsidR="004A6924">
        <w:rPr>
          <w:szCs w:val="24"/>
        </w:rPr>
        <w:t xml:space="preserve"> Prior to that </w:t>
      </w:r>
      <w:r w:rsidR="00E63A4A">
        <w:rPr>
          <w:szCs w:val="24"/>
        </w:rPr>
        <w:t xml:space="preserve">date </w:t>
      </w:r>
      <w:r w:rsidR="004A6924">
        <w:rPr>
          <w:szCs w:val="24"/>
        </w:rPr>
        <w:t xml:space="preserve">the legal </w:t>
      </w:r>
      <w:r w:rsidR="00A372D3">
        <w:rPr>
          <w:szCs w:val="24"/>
        </w:rPr>
        <w:t>practitioners</w:t>
      </w:r>
      <w:r w:rsidR="00954F73">
        <w:rPr>
          <w:szCs w:val="24"/>
        </w:rPr>
        <w:t xml:space="preserve"> for the parties</w:t>
      </w:r>
      <w:r w:rsidR="004A6924">
        <w:rPr>
          <w:szCs w:val="24"/>
        </w:rPr>
        <w:t xml:space="preserve"> had filed a joint case management report which was duly accepted by the court and the matter</w:t>
      </w:r>
      <w:r w:rsidR="00A372D3">
        <w:rPr>
          <w:szCs w:val="24"/>
        </w:rPr>
        <w:t xml:space="preserve"> </w:t>
      </w:r>
      <w:r w:rsidR="00E63A4A">
        <w:rPr>
          <w:szCs w:val="24"/>
        </w:rPr>
        <w:t>was postponed to 7 July 2016 for status hearing.</w:t>
      </w:r>
      <w:r w:rsidR="00A372D3">
        <w:rPr>
          <w:szCs w:val="24"/>
        </w:rPr>
        <w:t xml:space="preserve"> In the </w:t>
      </w:r>
      <w:r w:rsidR="004D7E43">
        <w:rPr>
          <w:szCs w:val="24"/>
        </w:rPr>
        <w:t>Report</w:t>
      </w:r>
      <w:r w:rsidR="006B3447">
        <w:rPr>
          <w:szCs w:val="24"/>
        </w:rPr>
        <w:t>,</w:t>
      </w:r>
      <w:r w:rsidR="004D7E43">
        <w:rPr>
          <w:szCs w:val="24"/>
        </w:rPr>
        <w:t xml:space="preserve"> Mr Isaacks </w:t>
      </w:r>
      <w:r w:rsidR="00FF167D">
        <w:rPr>
          <w:szCs w:val="24"/>
        </w:rPr>
        <w:t xml:space="preserve">had </w:t>
      </w:r>
      <w:r w:rsidR="00A372D3">
        <w:rPr>
          <w:szCs w:val="24"/>
        </w:rPr>
        <w:t>indicated that the respondent intended to file an interlocutory application. By 6 July 2016 the interlocutory application had not been filed. The applicant</w:t>
      </w:r>
      <w:r w:rsidR="009F3459">
        <w:rPr>
          <w:szCs w:val="24"/>
        </w:rPr>
        <w:t>’s</w:t>
      </w:r>
      <w:r w:rsidR="00A372D3">
        <w:rPr>
          <w:szCs w:val="24"/>
        </w:rPr>
        <w:t xml:space="preserve"> legal practitioner then filed a </w:t>
      </w:r>
      <w:r w:rsidR="00FC5BA1">
        <w:rPr>
          <w:szCs w:val="24"/>
        </w:rPr>
        <w:t>one-sided</w:t>
      </w:r>
      <w:r w:rsidR="00A372D3">
        <w:rPr>
          <w:szCs w:val="24"/>
        </w:rPr>
        <w:t xml:space="preserve"> status report.</w:t>
      </w:r>
      <w:r w:rsidR="009D7929">
        <w:rPr>
          <w:szCs w:val="24"/>
        </w:rPr>
        <w:t xml:space="preserve">  </w:t>
      </w:r>
      <w:r w:rsidR="00B757AA">
        <w:rPr>
          <w:szCs w:val="24"/>
        </w:rPr>
        <w:t>When</w:t>
      </w:r>
      <w:r w:rsidR="009D7929">
        <w:rPr>
          <w:szCs w:val="24"/>
        </w:rPr>
        <w:t xml:space="preserve"> the matter was called on 7 July</w:t>
      </w:r>
      <w:r w:rsidR="00CF469B">
        <w:rPr>
          <w:szCs w:val="24"/>
        </w:rPr>
        <w:t xml:space="preserve"> </w:t>
      </w:r>
      <w:r w:rsidR="009D7929">
        <w:rPr>
          <w:szCs w:val="24"/>
        </w:rPr>
        <w:t>2016</w:t>
      </w:r>
      <w:r w:rsidR="00FC5BA1">
        <w:rPr>
          <w:szCs w:val="24"/>
        </w:rPr>
        <w:t xml:space="preserve">, </w:t>
      </w:r>
      <w:r w:rsidR="009D7929">
        <w:rPr>
          <w:szCs w:val="24"/>
        </w:rPr>
        <w:t xml:space="preserve">Mr </w:t>
      </w:r>
      <w:proofErr w:type="spellStart"/>
      <w:r w:rsidR="006B3BE4">
        <w:rPr>
          <w:szCs w:val="24"/>
        </w:rPr>
        <w:t>Cupido</w:t>
      </w:r>
      <w:proofErr w:type="spellEnd"/>
      <w:r w:rsidR="006B3BE4">
        <w:rPr>
          <w:szCs w:val="24"/>
        </w:rPr>
        <w:t xml:space="preserve"> appeared on behalf of </w:t>
      </w:r>
      <w:r w:rsidR="00B757AA">
        <w:rPr>
          <w:szCs w:val="24"/>
        </w:rPr>
        <w:t>Mr Is</w:t>
      </w:r>
      <w:r w:rsidR="00606726">
        <w:rPr>
          <w:szCs w:val="24"/>
        </w:rPr>
        <w:t xml:space="preserve">aacks. </w:t>
      </w:r>
      <w:r w:rsidR="00B757AA">
        <w:rPr>
          <w:szCs w:val="24"/>
        </w:rPr>
        <w:t>The matter was allocated</w:t>
      </w:r>
      <w:r w:rsidR="009D7929">
        <w:rPr>
          <w:szCs w:val="24"/>
        </w:rPr>
        <w:t xml:space="preserve"> a date for hearing</w:t>
      </w:r>
      <w:r w:rsidR="00635E3E">
        <w:rPr>
          <w:szCs w:val="24"/>
        </w:rPr>
        <w:t>,</w:t>
      </w:r>
      <w:r w:rsidR="009D7929">
        <w:rPr>
          <w:szCs w:val="24"/>
        </w:rPr>
        <w:t xml:space="preserve"> </w:t>
      </w:r>
      <w:r w:rsidR="00B757AA">
        <w:rPr>
          <w:szCs w:val="24"/>
        </w:rPr>
        <w:t>being</w:t>
      </w:r>
      <w:r w:rsidR="009D7929">
        <w:rPr>
          <w:szCs w:val="24"/>
        </w:rPr>
        <w:t xml:space="preserve"> 13 September 2016</w:t>
      </w:r>
      <w:r w:rsidR="00A37ECA">
        <w:rPr>
          <w:szCs w:val="24"/>
        </w:rPr>
        <w:t>,</w:t>
      </w:r>
      <w:r w:rsidR="00B757AA">
        <w:rPr>
          <w:szCs w:val="24"/>
        </w:rPr>
        <w:t xml:space="preserve"> and also for considering sanctions</w:t>
      </w:r>
      <w:r w:rsidR="00CF469B">
        <w:rPr>
          <w:szCs w:val="24"/>
        </w:rPr>
        <w:t xml:space="preserve"> against Mr Isaacks</w:t>
      </w:r>
      <w:r w:rsidR="00CB6605">
        <w:rPr>
          <w:szCs w:val="24"/>
        </w:rPr>
        <w:t>, on the date of the hearing.</w:t>
      </w:r>
      <w:r w:rsidR="00B757AA">
        <w:rPr>
          <w:szCs w:val="24"/>
        </w:rPr>
        <w:t xml:space="preserve"> The </w:t>
      </w:r>
      <w:r w:rsidR="009D7929">
        <w:rPr>
          <w:szCs w:val="24"/>
        </w:rPr>
        <w:t xml:space="preserve">legal </w:t>
      </w:r>
      <w:r w:rsidR="00B757AA">
        <w:rPr>
          <w:szCs w:val="24"/>
        </w:rPr>
        <w:t>practitioners</w:t>
      </w:r>
      <w:r w:rsidR="009D7929">
        <w:rPr>
          <w:szCs w:val="24"/>
        </w:rPr>
        <w:t xml:space="preserve"> </w:t>
      </w:r>
      <w:r w:rsidR="00B757AA">
        <w:rPr>
          <w:szCs w:val="24"/>
        </w:rPr>
        <w:t>were ordered to file heads of argument in the meantime.</w:t>
      </w:r>
    </w:p>
    <w:p w14:paraId="3B86F39F" w14:textId="77777777" w:rsidR="00705AB0" w:rsidRDefault="00705AB0" w:rsidP="00E7287F">
      <w:pPr>
        <w:ind w:left="10"/>
        <w:jc w:val="both"/>
        <w:rPr>
          <w:szCs w:val="24"/>
        </w:rPr>
      </w:pPr>
    </w:p>
    <w:p w14:paraId="2FC1DD90" w14:textId="0AE21441" w:rsidR="00A372D3" w:rsidRDefault="00EA4C18" w:rsidP="00E7287F">
      <w:pPr>
        <w:ind w:left="10"/>
        <w:jc w:val="both"/>
        <w:rPr>
          <w:szCs w:val="24"/>
        </w:rPr>
      </w:pPr>
      <w:r>
        <w:rPr>
          <w:szCs w:val="24"/>
        </w:rPr>
        <w:t>[6</w:t>
      </w:r>
      <w:r w:rsidR="00AB2119">
        <w:rPr>
          <w:szCs w:val="24"/>
        </w:rPr>
        <w:t>6</w:t>
      </w:r>
      <w:r>
        <w:rPr>
          <w:szCs w:val="24"/>
        </w:rPr>
        <w:t>]</w:t>
      </w:r>
      <w:r>
        <w:rPr>
          <w:szCs w:val="24"/>
        </w:rPr>
        <w:tab/>
      </w:r>
      <w:r w:rsidR="00A372D3">
        <w:rPr>
          <w:szCs w:val="24"/>
        </w:rPr>
        <w:t xml:space="preserve">In the </w:t>
      </w:r>
      <w:r w:rsidR="00FC5BA1">
        <w:rPr>
          <w:szCs w:val="24"/>
        </w:rPr>
        <w:t xml:space="preserve">one-sided </w:t>
      </w:r>
      <w:r w:rsidR="00E3414D">
        <w:rPr>
          <w:szCs w:val="24"/>
        </w:rPr>
        <w:t>status report</w:t>
      </w:r>
      <w:r w:rsidR="00A372D3">
        <w:rPr>
          <w:szCs w:val="24"/>
        </w:rPr>
        <w:t xml:space="preserve"> </w:t>
      </w:r>
      <w:r w:rsidR="00FC6005">
        <w:rPr>
          <w:szCs w:val="24"/>
        </w:rPr>
        <w:t xml:space="preserve">filed by </w:t>
      </w:r>
      <w:r w:rsidR="00FC6005" w:rsidRPr="00823B4F">
        <w:rPr>
          <w:szCs w:val="24"/>
        </w:rPr>
        <w:t>M</w:t>
      </w:r>
      <w:r w:rsidR="00A37ECA">
        <w:rPr>
          <w:szCs w:val="24"/>
        </w:rPr>
        <w:t>s</w:t>
      </w:r>
      <w:r w:rsidR="00FC6005" w:rsidRPr="00823B4F">
        <w:rPr>
          <w:szCs w:val="24"/>
        </w:rPr>
        <w:t xml:space="preserve"> </w:t>
      </w:r>
      <w:proofErr w:type="spellStart"/>
      <w:r w:rsidR="00FC6005" w:rsidRPr="00823B4F">
        <w:rPr>
          <w:szCs w:val="24"/>
        </w:rPr>
        <w:t>K</w:t>
      </w:r>
      <w:r w:rsidR="00A37ECA">
        <w:rPr>
          <w:szCs w:val="24"/>
        </w:rPr>
        <w:t>a</w:t>
      </w:r>
      <w:r w:rsidR="00FC6005" w:rsidRPr="00823B4F">
        <w:rPr>
          <w:szCs w:val="24"/>
        </w:rPr>
        <w:t>zondunge</w:t>
      </w:r>
      <w:proofErr w:type="spellEnd"/>
      <w:r w:rsidR="00A372D3">
        <w:rPr>
          <w:szCs w:val="24"/>
        </w:rPr>
        <w:t xml:space="preserve"> for the applicant pointed out th</w:t>
      </w:r>
      <w:r w:rsidR="00A37ECA">
        <w:rPr>
          <w:szCs w:val="24"/>
        </w:rPr>
        <w:t>at</w:t>
      </w:r>
      <w:r w:rsidR="00A372D3">
        <w:rPr>
          <w:szCs w:val="24"/>
        </w:rPr>
        <w:t xml:space="preserve"> by the time </w:t>
      </w:r>
      <w:r w:rsidR="00A66B39">
        <w:rPr>
          <w:szCs w:val="24"/>
        </w:rPr>
        <w:t>s</w:t>
      </w:r>
      <w:r w:rsidR="00A372D3">
        <w:rPr>
          <w:szCs w:val="24"/>
        </w:rPr>
        <w:t>he</w:t>
      </w:r>
      <w:r w:rsidR="00A37ECA">
        <w:rPr>
          <w:szCs w:val="24"/>
        </w:rPr>
        <w:t xml:space="preserve"> had</w:t>
      </w:r>
      <w:r w:rsidR="00A66B39">
        <w:rPr>
          <w:szCs w:val="24"/>
        </w:rPr>
        <w:t xml:space="preserve"> drafted the</w:t>
      </w:r>
      <w:r w:rsidR="00A372D3">
        <w:rPr>
          <w:szCs w:val="24"/>
        </w:rPr>
        <w:t xml:space="preserve"> single status report</w:t>
      </w:r>
      <w:r w:rsidR="006047CF">
        <w:rPr>
          <w:szCs w:val="24"/>
        </w:rPr>
        <w:t>,</w:t>
      </w:r>
      <w:r w:rsidR="00A372D3">
        <w:rPr>
          <w:szCs w:val="24"/>
        </w:rPr>
        <w:t xml:space="preserve"> </w:t>
      </w:r>
      <w:r w:rsidR="006047CF">
        <w:rPr>
          <w:szCs w:val="24"/>
        </w:rPr>
        <w:t>Mr Isaacks</w:t>
      </w:r>
      <w:r w:rsidR="00A372D3">
        <w:rPr>
          <w:szCs w:val="24"/>
        </w:rPr>
        <w:t xml:space="preserve"> had not </w:t>
      </w:r>
      <w:r w:rsidR="00A37ECA">
        <w:rPr>
          <w:szCs w:val="24"/>
        </w:rPr>
        <w:t>yet</w:t>
      </w:r>
      <w:r w:rsidR="00A372D3">
        <w:rPr>
          <w:szCs w:val="24"/>
        </w:rPr>
        <w:t xml:space="preserve"> communicated with </w:t>
      </w:r>
      <w:r w:rsidR="005F6B29">
        <w:rPr>
          <w:szCs w:val="24"/>
        </w:rPr>
        <w:t>her</w:t>
      </w:r>
      <w:r w:rsidR="00A372D3">
        <w:rPr>
          <w:szCs w:val="24"/>
        </w:rPr>
        <w:t>.</w:t>
      </w:r>
      <w:r w:rsidR="009D7929">
        <w:rPr>
          <w:szCs w:val="24"/>
        </w:rPr>
        <w:t xml:space="preserve"> She pointed out that the applicant was being prejudiced in the conduct of the matter and thus requested the court to impose the necessary sanction on </w:t>
      </w:r>
      <w:r w:rsidR="008E67B8">
        <w:rPr>
          <w:szCs w:val="24"/>
        </w:rPr>
        <w:t>Mr Isaacks.</w:t>
      </w:r>
    </w:p>
    <w:p w14:paraId="3B5DB6A1" w14:textId="77777777" w:rsidR="00B757AA" w:rsidRDefault="00B757AA" w:rsidP="00E7287F">
      <w:pPr>
        <w:ind w:left="10"/>
        <w:jc w:val="both"/>
        <w:rPr>
          <w:szCs w:val="24"/>
        </w:rPr>
      </w:pPr>
    </w:p>
    <w:p w14:paraId="153405BF" w14:textId="7356AAAD" w:rsidR="00186554" w:rsidRDefault="00286E3B" w:rsidP="00186554">
      <w:pPr>
        <w:ind w:left="10"/>
        <w:jc w:val="both"/>
        <w:rPr>
          <w:szCs w:val="24"/>
        </w:rPr>
      </w:pPr>
      <w:r>
        <w:rPr>
          <w:szCs w:val="24"/>
        </w:rPr>
        <w:lastRenderedPageBreak/>
        <w:t>[6</w:t>
      </w:r>
      <w:r w:rsidR="00AB2119">
        <w:rPr>
          <w:szCs w:val="24"/>
        </w:rPr>
        <w:t>7</w:t>
      </w:r>
      <w:r w:rsidR="005A2D5B">
        <w:rPr>
          <w:szCs w:val="24"/>
        </w:rPr>
        <w:t>]</w:t>
      </w:r>
      <w:r w:rsidR="005A2D5B">
        <w:rPr>
          <w:szCs w:val="24"/>
        </w:rPr>
        <w:tab/>
        <w:t>On 6 July 2016</w:t>
      </w:r>
      <w:r w:rsidR="00A37ECA">
        <w:rPr>
          <w:szCs w:val="24"/>
        </w:rPr>
        <w:t>,</w:t>
      </w:r>
      <w:r w:rsidR="005A2D5B">
        <w:rPr>
          <w:szCs w:val="24"/>
        </w:rPr>
        <w:t xml:space="preserve"> </w:t>
      </w:r>
      <w:r w:rsidR="00A37ECA">
        <w:rPr>
          <w:szCs w:val="24"/>
        </w:rPr>
        <w:t>the</w:t>
      </w:r>
      <w:r w:rsidR="00B757AA">
        <w:rPr>
          <w:szCs w:val="24"/>
        </w:rPr>
        <w:t xml:space="preserve"> day before the hearing</w:t>
      </w:r>
      <w:r w:rsidR="005A2D5B">
        <w:rPr>
          <w:szCs w:val="24"/>
        </w:rPr>
        <w:t>,</w:t>
      </w:r>
      <w:r w:rsidR="00B757AA">
        <w:rPr>
          <w:szCs w:val="24"/>
        </w:rPr>
        <w:t xml:space="preserve"> Mr Isaacks file</w:t>
      </w:r>
      <w:r w:rsidR="00A37ECA">
        <w:rPr>
          <w:szCs w:val="24"/>
        </w:rPr>
        <w:t>d</w:t>
      </w:r>
      <w:r w:rsidR="00B757AA">
        <w:rPr>
          <w:szCs w:val="24"/>
        </w:rPr>
        <w:t xml:space="preserve"> an affidavit in which he sought to explain his failure to appear before court on 29 June 2016.  In his affidavit Mr Isaacks explained that on 28 June 2016 he was informed by his secretary that he needed to attend before the magistrate court of </w:t>
      </w:r>
      <w:proofErr w:type="spellStart"/>
      <w:r w:rsidR="00B757AA">
        <w:rPr>
          <w:szCs w:val="24"/>
        </w:rPr>
        <w:t>Gobabis</w:t>
      </w:r>
      <w:proofErr w:type="spellEnd"/>
      <w:r w:rsidR="00B757AA">
        <w:rPr>
          <w:szCs w:val="24"/>
        </w:rPr>
        <w:t xml:space="preserve"> for continuation of a bail application.  According to him his secr</w:t>
      </w:r>
      <w:r w:rsidR="004A297F">
        <w:rPr>
          <w:szCs w:val="24"/>
        </w:rPr>
        <w:t>etar</w:t>
      </w:r>
      <w:r w:rsidR="00B757AA">
        <w:rPr>
          <w:szCs w:val="24"/>
        </w:rPr>
        <w:t xml:space="preserve">y confirmed to him that </w:t>
      </w:r>
      <w:r w:rsidR="00F70D2F">
        <w:rPr>
          <w:szCs w:val="24"/>
        </w:rPr>
        <w:t>“</w:t>
      </w:r>
      <w:r w:rsidR="00B757AA" w:rsidRPr="00AF4D05">
        <w:rPr>
          <w:i/>
          <w:sz w:val="22"/>
        </w:rPr>
        <w:t xml:space="preserve">one of the </w:t>
      </w:r>
      <w:r w:rsidR="00186554" w:rsidRPr="00AF4D05">
        <w:rPr>
          <w:i/>
          <w:sz w:val="22"/>
        </w:rPr>
        <w:t>other lawyers</w:t>
      </w:r>
      <w:r w:rsidR="00F70D2F">
        <w:rPr>
          <w:szCs w:val="24"/>
        </w:rPr>
        <w:t>”</w:t>
      </w:r>
      <w:r w:rsidR="00186554">
        <w:rPr>
          <w:szCs w:val="24"/>
        </w:rPr>
        <w:t xml:space="preserve"> would stand in for him in this matter. He then drove to </w:t>
      </w:r>
      <w:proofErr w:type="spellStart"/>
      <w:r w:rsidR="00186554">
        <w:rPr>
          <w:szCs w:val="24"/>
        </w:rPr>
        <w:t>Gobabis</w:t>
      </w:r>
      <w:proofErr w:type="spellEnd"/>
      <w:r w:rsidR="00186554">
        <w:rPr>
          <w:szCs w:val="24"/>
        </w:rPr>
        <w:t xml:space="preserve"> on 29 June</w:t>
      </w:r>
      <w:r w:rsidR="003C2B68">
        <w:rPr>
          <w:szCs w:val="24"/>
        </w:rPr>
        <w:t xml:space="preserve"> 2016,</w:t>
      </w:r>
      <w:r w:rsidR="00186554">
        <w:rPr>
          <w:szCs w:val="24"/>
        </w:rPr>
        <w:t xml:space="preserve"> for continuation of the bail application hearing</w:t>
      </w:r>
      <w:r w:rsidR="00B60980">
        <w:rPr>
          <w:szCs w:val="24"/>
        </w:rPr>
        <w:t>.</w:t>
      </w:r>
      <w:r w:rsidR="00186554">
        <w:rPr>
          <w:szCs w:val="24"/>
        </w:rPr>
        <w:t xml:space="preserve"> Mr Isaacks says that on 7 July </w:t>
      </w:r>
      <w:r w:rsidR="00F70D2F">
        <w:rPr>
          <w:szCs w:val="24"/>
        </w:rPr>
        <w:t xml:space="preserve">2016 </w:t>
      </w:r>
      <w:r w:rsidR="00186554">
        <w:rPr>
          <w:szCs w:val="24"/>
        </w:rPr>
        <w:t xml:space="preserve">when Mr </w:t>
      </w:r>
      <w:proofErr w:type="spellStart"/>
      <w:r w:rsidR="00186554">
        <w:rPr>
          <w:szCs w:val="24"/>
        </w:rPr>
        <w:t>Cupido</w:t>
      </w:r>
      <w:proofErr w:type="spellEnd"/>
      <w:r w:rsidR="00186554">
        <w:rPr>
          <w:szCs w:val="24"/>
        </w:rPr>
        <w:t xml:space="preserve"> return</w:t>
      </w:r>
      <w:r w:rsidR="00A37ECA">
        <w:rPr>
          <w:szCs w:val="24"/>
        </w:rPr>
        <w:t>ed</w:t>
      </w:r>
      <w:r w:rsidR="00186554">
        <w:rPr>
          <w:szCs w:val="24"/>
        </w:rPr>
        <w:t xml:space="preserve"> from court</w:t>
      </w:r>
      <w:r w:rsidR="00A37ECA">
        <w:rPr>
          <w:szCs w:val="24"/>
        </w:rPr>
        <w:t>,</w:t>
      </w:r>
      <w:r w:rsidR="00186554">
        <w:rPr>
          <w:szCs w:val="24"/>
        </w:rPr>
        <w:t xml:space="preserve"> he informed him that the managing judge would require him to explain why he </w:t>
      </w:r>
      <w:r w:rsidR="00A37ECA">
        <w:rPr>
          <w:szCs w:val="24"/>
        </w:rPr>
        <w:t>had</w:t>
      </w:r>
      <w:r w:rsidR="00186554">
        <w:rPr>
          <w:szCs w:val="24"/>
        </w:rPr>
        <w:t xml:space="preserve"> not appear</w:t>
      </w:r>
      <w:r w:rsidR="00A37ECA">
        <w:rPr>
          <w:szCs w:val="24"/>
        </w:rPr>
        <w:t>ed</w:t>
      </w:r>
      <w:r w:rsidR="00186554">
        <w:rPr>
          <w:szCs w:val="24"/>
        </w:rPr>
        <w:t xml:space="preserve"> on 29 June 2016.  According to him, it was only then that he realised</w:t>
      </w:r>
      <w:r w:rsidR="003C2B68">
        <w:rPr>
          <w:szCs w:val="24"/>
        </w:rPr>
        <w:t xml:space="preserve"> that</w:t>
      </w:r>
      <w:r w:rsidR="00186554">
        <w:rPr>
          <w:szCs w:val="24"/>
        </w:rPr>
        <w:t xml:space="preserve"> </w:t>
      </w:r>
      <w:r w:rsidR="001C6A1A">
        <w:rPr>
          <w:szCs w:val="24"/>
        </w:rPr>
        <w:t xml:space="preserve">nobody </w:t>
      </w:r>
      <w:r w:rsidR="00A37ECA">
        <w:rPr>
          <w:szCs w:val="24"/>
        </w:rPr>
        <w:t xml:space="preserve">had </w:t>
      </w:r>
      <w:r w:rsidR="00E7513A">
        <w:rPr>
          <w:szCs w:val="24"/>
        </w:rPr>
        <w:t>appeared on his behalf</w:t>
      </w:r>
      <w:r w:rsidR="00186554">
        <w:rPr>
          <w:szCs w:val="24"/>
        </w:rPr>
        <w:t xml:space="preserve"> on 29 June 2016.</w:t>
      </w:r>
      <w:r w:rsidR="00705AB0">
        <w:rPr>
          <w:szCs w:val="24"/>
        </w:rPr>
        <w:t xml:space="preserve"> </w:t>
      </w:r>
      <w:r w:rsidR="00186554">
        <w:rPr>
          <w:szCs w:val="24"/>
        </w:rPr>
        <w:t xml:space="preserve"> </w:t>
      </w:r>
      <w:r w:rsidR="00E7513A">
        <w:rPr>
          <w:szCs w:val="24"/>
        </w:rPr>
        <w:t>He says</w:t>
      </w:r>
      <w:r w:rsidR="003C2B68">
        <w:rPr>
          <w:szCs w:val="24"/>
        </w:rPr>
        <w:t xml:space="preserve"> further</w:t>
      </w:r>
      <w:r w:rsidR="00E7513A">
        <w:rPr>
          <w:szCs w:val="24"/>
        </w:rPr>
        <w:t xml:space="preserve"> that upon</w:t>
      </w:r>
      <w:r w:rsidR="00186554">
        <w:rPr>
          <w:szCs w:val="24"/>
        </w:rPr>
        <w:t xml:space="preserve"> inquiry his secretary could not remember what happened on that day.  He t</w:t>
      </w:r>
      <w:r w:rsidR="009C1AF9">
        <w:rPr>
          <w:szCs w:val="24"/>
        </w:rPr>
        <w:t xml:space="preserve">herefore asks for condonation. </w:t>
      </w:r>
      <w:r w:rsidR="00186554">
        <w:rPr>
          <w:szCs w:val="24"/>
        </w:rPr>
        <w:t xml:space="preserve">Mr Isaacks’ secretary filed a confirmatory affidavit. </w:t>
      </w:r>
    </w:p>
    <w:p w14:paraId="07CD4044" w14:textId="77777777" w:rsidR="00A372D3" w:rsidRDefault="00A372D3" w:rsidP="00E7287F">
      <w:pPr>
        <w:ind w:left="10"/>
        <w:jc w:val="both"/>
        <w:rPr>
          <w:szCs w:val="24"/>
        </w:rPr>
      </w:pPr>
    </w:p>
    <w:p w14:paraId="682715F1" w14:textId="1FDD183F" w:rsidR="004A6924" w:rsidRPr="00D95927" w:rsidRDefault="00AB2119" w:rsidP="00E7287F">
      <w:pPr>
        <w:ind w:left="10"/>
        <w:jc w:val="both"/>
        <w:rPr>
          <w:szCs w:val="24"/>
        </w:rPr>
      </w:pPr>
      <w:r>
        <w:rPr>
          <w:szCs w:val="24"/>
        </w:rPr>
        <w:t>[68</w:t>
      </w:r>
      <w:r w:rsidR="00A92915">
        <w:rPr>
          <w:szCs w:val="24"/>
        </w:rPr>
        <w:t>]</w:t>
      </w:r>
      <w:r w:rsidR="00A92915">
        <w:rPr>
          <w:szCs w:val="24"/>
        </w:rPr>
        <w:tab/>
      </w:r>
      <w:r w:rsidR="00D95927">
        <w:rPr>
          <w:szCs w:val="24"/>
        </w:rPr>
        <w:t xml:space="preserve">Rule 53 (1)(a) of </w:t>
      </w:r>
      <w:r w:rsidR="00120CDF">
        <w:rPr>
          <w:szCs w:val="24"/>
        </w:rPr>
        <w:t>this</w:t>
      </w:r>
      <w:r w:rsidR="00D95927">
        <w:rPr>
          <w:szCs w:val="24"/>
        </w:rPr>
        <w:t xml:space="preserve"> Court provides that if a party or his legal practitioner, without reasonable</w:t>
      </w:r>
      <w:r w:rsidR="00115113">
        <w:rPr>
          <w:szCs w:val="24"/>
        </w:rPr>
        <w:t xml:space="preserve"> explanation fails to attend a case planning conference, case management conference, a status hearing, an additional case management conference or a pre-trial conference, the managing judge may enter an order that is just and fair in the matter. </w:t>
      </w:r>
      <w:r w:rsidR="007D0291">
        <w:rPr>
          <w:szCs w:val="24"/>
        </w:rPr>
        <w:t>The Judge President</w:t>
      </w:r>
      <w:r w:rsidR="004A6924">
        <w:rPr>
          <w:szCs w:val="24"/>
        </w:rPr>
        <w:t xml:space="preserve"> of this </w:t>
      </w:r>
      <w:r w:rsidR="00120CDF">
        <w:rPr>
          <w:szCs w:val="24"/>
        </w:rPr>
        <w:t>C</w:t>
      </w:r>
      <w:r w:rsidR="004A6924">
        <w:rPr>
          <w:szCs w:val="24"/>
        </w:rPr>
        <w:t>ourt</w:t>
      </w:r>
      <w:r w:rsidR="007D0291">
        <w:rPr>
          <w:szCs w:val="24"/>
        </w:rPr>
        <w:t xml:space="preserve"> ha</w:t>
      </w:r>
      <w:r w:rsidR="00A37ECA">
        <w:rPr>
          <w:szCs w:val="24"/>
        </w:rPr>
        <w:t>s</w:t>
      </w:r>
      <w:r w:rsidR="007D0291">
        <w:rPr>
          <w:szCs w:val="24"/>
        </w:rPr>
        <w:t xml:space="preserve"> had an opportunity to emphasise </w:t>
      </w:r>
      <w:r w:rsidR="00120CDF">
        <w:rPr>
          <w:szCs w:val="24"/>
        </w:rPr>
        <w:t xml:space="preserve">the consequence of non-appearance </w:t>
      </w:r>
      <w:r w:rsidR="007D0291">
        <w:rPr>
          <w:szCs w:val="24"/>
        </w:rPr>
        <w:t>in the matter</w:t>
      </w:r>
      <w:r w:rsidR="002E7634">
        <w:rPr>
          <w:szCs w:val="24"/>
        </w:rPr>
        <w:t xml:space="preserve"> of </w:t>
      </w:r>
      <w:proofErr w:type="spellStart"/>
      <w:r w:rsidR="002E7634" w:rsidRPr="002E7634">
        <w:rPr>
          <w:i/>
          <w:szCs w:val="24"/>
        </w:rPr>
        <w:t>Hubner</w:t>
      </w:r>
      <w:proofErr w:type="spellEnd"/>
      <w:r w:rsidR="002E7634" w:rsidRPr="002E7634">
        <w:rPr>
          <w:i/>
          <w:szCs w:val="24"/>
        </w:rPr>
        <w:t xml:space="preserve"> v Krieger</w:t>
      </w:r>
      <w:r w:rsidR="002E7634">
        <w:rPr>
          <w:rStyle w:val="FootnoteReference"/>
          <w:i/>
          <w:szCs w:val="24"/>
        </w:rPr>
        <w:footnoteReference w:id="14"/>
      </w:r>
      <w:r w:rsidR="00115113">
        <w:rPr>
          <w:szCs w:val="24"/>
        </w:rPr>
        <w:t xml:space="preserve"> that the statutory rationale behind the new case management system is to ensure that the court’s time and resources are deployed more </w:t>
      </w:r>
      <w:r w:rsidR="000015B8">
        <w:rPr>
          <w:szCs w:val="24"/>
        </w:rPr>
        <w:t>productively.</w:t>
      </w:r>
    </w:p>
    <w:p w14:paraId="3E81A2F5" w14:textId="77777777" w:rsidR="00B51FDC" w:rsidRDefault="00B51FDC" w:rsidP="00E7287F">
      <w:pPr>
        <w:ind w:left="10"/>
        <w:jc w:val="both"/>
        <w:rPr>
          <w:szCs w:val="24"/>
          <w:u w:val="single"/>
        </w:rPr>
      </w:pPr>
    </w:p>
    <w:p w14:paraId="0E5553C5" w14:textId="59EE8465" w:rsidR="00CB6381" w:rsidRDefault="00EF6E9E" w:rsidP="00E7287F">
      <w:pPr>
        <w:ind w:left="10"/>
        <w:jc w:val="both"/>
        <w:rPr>
          <w:szCs w:val="24"/>
        </w:rPr>
      </w:pPr>
      <w:r>
        <w:rPr>
          <w:szCs w:val="24"/>
        </w:rPr>
        <w:t>[6</w:t>
      </w:r>
      <w:r w:rsidR="000439E4">
        <w:rPr>
          <w:szCs w:val="24"/>
        </w:rPr>
        <w:t>9</w:t>
      </w:r>
      <w:r>
        <w:rPr>
          <w:szCs w:val="24"/>
        </w:rPr>
        <w:t>]</w:t>
      </w:r>
      <w:r>
        <w:rPr>
          <w:szCs w:val="24"/>
        </w:rPr>
        <w:tab/>
      </w:r>
      <w:r w:rsidR="000015B8" w:rsidRPr="000015B8">
        <w:rPr>
          <w:szCs w:val="24"/>
        </w:rPr>
        <w:t xml:space="preserve">I have a problem with Mr </w:t>
      </w:r>
      <w:proofErr w:type="spellStart"/>
      <w:r w:rsidR="000015B8" w:rsidRPr="000015B8">
        <w:rPr>
          <w:szCs w:val="24"/>
        </w:rPr>
        <w:t>Isaacks</w:t>
      </w:r>
      <w:r w:rsidR="00F20812">
        <w:rPr>
          <w:szCs w:val="24"/>
        </w:rPr>
        <w:t>’s</w:t>
      </w:r>
      <w:proofErr w:type="spellEnd"/>
      <w:r w:rsidR="000015B8" w:rsidRPr="000015B8">
        <w:rPr>
          <w:szCs w:val="24"/>
        </w:rPr>
        <w:t xml:space="preserve"> ex</w:t>
      </w:r>
      <w:r w:rsidR="000015B8">
        <w:rPr>
          <w:szCs w:val="24"/>
        </w:rPr>
        <w:t>planation</w:t>
      </w:r>
      <w:r w:rsidR="00FD3CF3">
        <w:rPr>
          <w:szCs w:val="24"/>
        </w:rPr>
        <w:t xml:space="preserve">; it is not a reasonable explanation. </w:t>
      </w:r>
      <w:r w:rsidR="000015B8">
        <w:rPr>
          <w:szCs w:val="24"/>
        </w:rPr>
        <w:t>He does no</w:t>
      </w:r>
      <w:r w:rsidR="00EC0DA4">
        <w:rPr>
          <w:szCs w:val="24"/>
        </w:rPr>
        <w:t xml:space="preserve">t take personal responsibility </w:t>
      </w:r>
      <w:r w:rsidR="000015B8">
        <w:rPr>
          <w:szCs w:val="24"/>
        </w:rPr>
        <w:t>f</w:t>
      </w:r>
      <w:r w:rsidR="00EC0DA4">
        <w:rPr>
          <w:szCs w:val="24"/>
        </w:rPr>
        <w:t>or</w:t>
      </w:r>
      <w:r w:rsidR="000015B8">
        <w:rPr>
          <w:szCs w:val="24"/>
        </w:rPr>
        <w:t xml:space="preserve"> his failure to attend </w:t>
      </w:r>
      <w:r w:rsidR="00FD3CF3">
        <w:rPr>
          <w:szCs w:val="24"/>
        </w:rPr>
        <w:t>the Case Management Conference</w:t>
      </w:r>
      <w:r w:rsidR="000015B8">
        <w:rPr>
          <w:szCs w:val="24"/>
        </w:rPr>
        <w:t xml:space="preserve">.  He indirectly </w:t>
      </w:r>
      <w:r w:rsidR="00AE4524">
        <w:rPr>
          <w:szCs w:val="24"/>
        </w:rPr>
        <w:t>put</w:t>
      </w:r>
      <w:r w:rsidR="00FC5BA1">
        <w:rPr>
          <w:szCs w:val="24"/>
        </w:rPr>
        <w:t>s</w:t>
      </w:r>
      <w:r w:rsidR="000015B8">
        <w:rPr>
          <w:szCs w:val="24"/>
        </w:rPr>
        <w:t xml:space="preserve"> the blame </w:t>
      </w:r>
      <w:r w:rsidR="00F20812">
        <w:rPr>
          <w:szCs w:val="24"/>
        </w:rPr>
        <w:t>on</w:t>
      </w:r>
      <w:r w:rsidR="000015B8">
        <w:rPr>
          <w:szCs w:val="24"/>
        </w:rPr>
        <w:t xml:space="preserve"> his secretary.  What is clear is that he had double</w:t>
      </w:r>
      <w:r w:rsidR="00F20812">
        <w:rPr>
          <w:szCs w:val="24"/>
        </w:rPr>
        <w:t>-</w:t>
      </w:r>
      <w:r w:rsidR="000015B8">
        <w:rPr>
          <w:szCs w:val="24"/>
        </w:rPr>
        <w:t xml:space="preserve">booked himself in respect of this matter and the bail application in </w:t>
      </w:r>
      <w:proofErr w:type="spellStart"/>
      <w:r w:rsidR="000015B8">
        <w:rPr>
          <w:szCs w:val="24"/>
        </w:rPr>
        <w:t>Gobabis</w:t>
      </w:r>
      <w:proofErr w:type="spellEnd"/>
      <w:r w:rsidR="000015B8">
        <w:rPr>
          <w:szCs w:val="24"/>
        </w:rPr>
        <w:t>.  Even after he had been alerted about the double booking by his secretary</w:t>
      </w:r>
      <w:r w:rsidR="00F20812">
        <w:rPr>
          <w:szCs w:val="24"/>
        </w:rPr>
        <w:t>,</w:t>
      </w:r>
      <w:r w:rsidR="000015B8">
        <w:rPr>
          <w:szCs w:val="24"/>
        </w:rPr>
        <w:t xml:space="preserve"> he did not take it upon himself to make </w:t>
      </w:r>
      <w:r w:rsidR="00F20812">
        <w:rPr>
          <w:szCs w:val="24"/>
        </w:rPr>
        <w:t xml:space="preserve">an </w:t>
      </w:r>
      <w:r w:rsidR="000015B8">
        <w:rPr>
          <w:szCs w:val="24"/>
        </w:rPr>
        <w:t>arrangement with a specific lawyer to stand in for him</w:t>
      </w:r>
      <w:r w:rsidR="00F20812">
        <w:rPr>
          <w:szCs w:val="24"/>
        </w:rPr>
        <w:t>, but</w:t>
      </w:r>
      <w:r w:rsidR="000015B8">
        <w:rPr>
          <w:szCs w:val="24"/>
        </w:rPr>
        <w:t xml:space="preserve"> left it to his secretary.  It is Mr Isaacks who is the officer of this court</w:t>
      </w:r>
      <w:r w:rsidR="006B3447">
        <w:rPr>
          <w:szCs w:val="24"/>
        </w:rPr>
        <w:t>:</w:t>
      </w:r>
      <w:r w:rsidR="000015B8">
        <w:rPr>
          <w:szCs w:val="24"/>
        </w:rPr>
        <w:t xml:space="preserve"> not his secretary.  It was incumbent upon him to make sure that </w:t>
      </w:r>
      <w:r w:rsidR="00A666D8">
        <w:rPr>
          <w:szCs w:val="24"/>
        </w:rPr>
        <w:t xml:space="preserve">a lawyer would stand in for him. He failed to do </w:t>
      </w:r>
      <w:r w:rsidR="00A666D8">
        <w:rPr>
          <w:szCs w:val="24"/>
        </w:rPr>
        <w:lastRenderedPageBreak/>
        <w:t xml:space="preserve">so. </w:t>
      </w:r>
      <w:r w:rsidR="00705AB0">
        <w:rPr>
          <w:szCs w:val="24"/>
        </w:rPr>
        <w:t xml:space="preserve"> </w:t>
      </w:r>
      <w:r w:rsidR="00B05D5E">
        <w:rPr>
          <w:szCs w:val="24"/>
        </w:rPr>
        <w:t xml:space="preserve">Furthermore after he had returned from </w:t>
      </w:r>
      <w:proofErr w:type="spellStart"/>
      <w:r w:rsidR="00B05D5E">
        <w:rPr>
          <w:szCs w:val="24"/>
        </w:rPr>
        <w:t>Gobabis</w:t>
      </w:r>
      <w:proofErr w:type="spellEnd"/>
      <w:r w:rsidR="00B05D5E">
        <w:rPr>
          <w:szCs w:val="24"/>
        </w:rPr>
        <w:t xml:space="preserve"> it would appear that he did not </w:t>
      </w:r>
      <w:r w:rsidR="00AE4524">
        <w:rPr>
          <w:szCs w:val="24"/>
        </w:rPr>
        <w:t xml:space="preserve">bother to </w:t>
      </w:r>
      <w:r w:rsidR="00B05D5E">
        <w:rPr>
          <w:szCs w:val="24"/>
        </w:rPr>
        <w:t xml:space="preserve">enquire as to what </w:t>
      </w:r>
      <w:r w:rsidR="00F20812">
        <w:rPr>
          <w:szCs w:val="24"/>
        </w:rPr>
        <w:t xml:space="preserve">had </w:t>
      </w:r>
      <w:r w:rsidR="00B05D5E">
        <w:rPr>
          <w:szCs w:val="24"/>
        </w:rPr>
        <w:t xml:space="preserve">transpired at </w:t>
      </w:r>
      <w:r w:rsidR="00F20812">
        <w:rPr>
          <w:szCs w:val="24"/>
        </w:rPr>
        <w:t xml:space="preserve">the </w:t>
      </w:r>
      <w:r w:rsidR="00B05D5E">
        <w:rPr>
          <w:szCs w:val="24"/>
        </w:rPr>
        <w:t>Case Management Conference.</w:t>
      </w:r>
      <w:r w:rsidR="00AC43AF">
        <w:rPr>
          <w:szCs w:val="24"/>
        </w:rPr>
        <w:t xml:space="preserve"> </w:t>
      </w:r>
      <w:r w:rsidR="00705AB0">
        <w:rPr>
          <w:szCs w:val="24"/>
        </w:rPr>
        <w:t xml:space="preserve"> </w:t>
      </w:r>
      <w:r w:rsidR="00A666D8">
        <w:rPr>
          <w:szCs w:val="24"/>
        </w:rPr>
        <w:t xml:space="preserve">Mr Isaacks also failed to explain why he did not file the interlocutory application which he </w:t>
      </w:r>
      <w:r w:rsidR="00F20812">
        <w:rPr>
          <w:szCs w:val="24"/>
        </w:rPr>
        <w:t xml:space="preserve">had </w:t>
      </w:r>
      <w:r w:rsidR="00B434A2">
        <w:rPr>
          <w:szCs w:val="24"/>
        </w:rPr>
        <w:t>indicated to</w:t>
      </w:r>
      <w:r w:rsidR="00A666D8">
        <w:rPr>
          <w:szCs w:val="24"/>
        </w:rPr>
        <w:t xml:space="preserve"> the court </w:t>
      </w:r>
      <w:r w:rsidR="00E259C1">
        <w:rPr>
          <w:szCs w:val="24"/>
        </w:rPr>
        <w:t xml:space="preserve">in the Case Management report </w:t>
      </w:r>
      <w:r w:rsidR="00A666D8">
        <w:rPr>
          <w:szCs w:val="24"/>
        </w:rPr>
        <w:t xml:space="preserve">he </w:t>
      </w:r>
      <w:r w:rsidR="004B120C">
        <w:rPr>
          <w:szCs w:val="24"/>
        </w:rPr>
        <w:t xml:space="preserve">would </w:t>
      </w:r>
      <w:r w:rsidR="00C10663">
        <w:rPr>
          <w:szCs w:val="24"/>
        </w:rPr>
        <w:t>file.</w:t>
      </w:r>
      <w:r w:rsidR="00705AB0">
        <w:rPr>
          <w:szCs w:val="24"/>
        </w:rPr>
        <w:t xml:space="preserve"> </w:t>
      </w:r>
      <w:r w:rsidR="00C10663">
        <w:rPr>
          <w:szCs w:val="24"/>
        </w:rPr>
        <w:t xml:space="preserve"> </w:t>
      </w:r>
      <w:r w:rsidR="00A666D8">
        <w:rPr>
          <w:szCs w:val="24"/>
        </w:rPr>
        <w:t xml:space="preserve">He further failed to participate </w:t>
      </w:r>
      <w:r w:rsidR="004B120C">
        <w:rPr>
          <w:szCs w:val="24"/>
        </w:rPr>
        <w:t xml:space="preserve">in </w:t>
      </w:r>
      <w:r w:rsidR="00A666D8">
        <w:rPr>
          <w:szCs w:val="24"/>
        </w:rPr>
        <w:t>compiling a status report</w:t>
      </w:r>
      <w:r w:rsidR="00F20812">
        <w:rPr>
          <w:szCs w:val="24"/>
        </w:rPr>
        <w:t>,</w:t>
      </w:r>
      <w:r w:rsidR="00A666D8">
        <w:rPr>
          <w:szCs w:val="24"/>
        </w:rPr>
        <w:t xml:space="preserve"> with the result that instead of a joint status report</w:t>
      </w:r>
      <w:r w:rsidR="004B4626">
        <w:rPr>
          <w:szCs w:val="24"/>
        </w:rPr>
        <w:t>,</w:t>
      </w:r>
      <w:r w:rsidR="00A666D8">
        <w:rPr>
          <w:szCs w:val="24"/>
        </w:rPr>
        <w:t xml:space="preserve"> only a </w:t>
      </w:r>
      <w:r w:rsidR="00FC5BA1">
        <w:rPr>
          <w:szCs w:val="24"/>
        </w:rPr>
        <w:t>one-sided</w:t>
      </w:r>
      <w:r w:rsidR="00A666D8">
        <w:rPr>
          <w:szCs w:val="24"/>
        </w:rPr>
        <w:t xml:space="preserve"> status report was filed </w:t>
      </w:r>
      <w:r w:rsidR="00B05D5E">
        <w:rPr>
          <w:szCs w:val="24"/>
        </w:rPr>
        <w:t>by the legal p</w:t>
      </w:r>
      <w:r w:rsidR="004B120C">
        <w:rPr>
          <w:szCs w:val="24"/>
        </w:rPr>
        <w:t>ractitioners for</w:t>
      </w:r>
      <w:r w:rsidR="00A666D8">
        <w:rPr>
          <w:szCs w:val="24"/>
        </w:rPr>
        <w:t xml:space="preserve"> the applicant.</w:t>
      </w:r>
    </w:p>
    <w:p w14:paraId="58910CDC" w14:textId="77777777" w:rsidR="00705AB0" w:rsidRDefault="00705AB0" w:rsidP="00E7287F">
      <w:pPr>
        <w:ind w:left="10"/>
        <w:jc w:val="both"/>
        <w:rPr>
          <w:szCs w:val="24"/>
        </w:rPr>
      </w:pPr>
    </w:p>
    <w:p w14:paraId="69378224" w14:textId="29D1F51B" w:rsidR="00560A2F" w:rsidRDefault="00B0768A" w:rsidP="00E7287F">
      <w:pPr>
        <w:ind w:left="10"/>
        <w:jc w:val="both"/>
        <w:rPr>
          <w:szCs w:val="24"/>
        </w:rPr>
      </w:pPr>
      <w:r>
        <w:rPr>
          <w:szCs w:val="24"/>
        </w:rPr>
        <w:t>[70</w:t>
      </w:r>
      <w:r w:rsidR="00EF6E9E">
        <w:rPr>
          <w:szCs w:val="24"/>
        </w:rPr>
        <w:t>]</w:t>
      </w:r>
      <w:r w:rsidR="00EF6E9E">
        <w:rPr>
          <w:szCs w:val="24"/>
        </w:rPr>
        <w:tab/>
      </w:r>
      <w:r w:rsidR="00FE1D68">
        <w:rPr>
          <w:szCs w:val="24"/>
        </w:rPr>
        <w:t xml:space="preserve">Ms </w:t>
      </w:r>
      <w:proofErr w:type="spellStart"/>
      <w:r w:rsidR="00FE1D68">
        <w:rPr>
          <w:szCs w:val="24"/>
        </w:rPr>
        <w:t>K</w:t>
      </w:r>
      <w:r w:rsidR="00F20812">
        <w:rPr>
          <w:szCs w:val="24"/>
        </w:rPr>
        <w:t>a</w:t>
      </w:r>
      <w:r w:rsidR="00FE1D68">
        <w:rPr>
          <w:szCs w:val="24"/>
        </w:rPr>
        <w:t>zondunge</w:t>
      </w:r>
      <w:proofErr w:type="spellEnd"/>
      <w:r w:rsidR="00FE1D68">
        <w:rPr>
          <w:szCs w:val="24"/>
        </w:rPr>
        <w:t xml:space="preserve"> in her heads of </w:t>
      </w:r>
      <w:r w:rsidR="00EA4E02">
        <w:rPr>
          <w:szCs w:val="24"/>
        </w:rPr>
        <w:t>argument</w:t>
      </w:r>
      <w:r w:rsidR="00FE1D68">
        <w:rPr>
          <w:szCs w:val="24"/>
        </w:rPr>
        <w:t xml:space="preserve"> referred </w:t>
      </w:r>
      <w:r w:rsidR="000C46FD">
        <w:rPr>
          <w:szCs w:val="24"/>
        </w:rPr>
        <w:t xml:space="preserve">the court </w:t>
      </w:r>
      <w:r w:rsidR="00FE1D68">
        <w:rPr>
          <w:szCs w:val="24"/>
        </w:rPr>
        <w:t>to</w:t>
      </w:r>
      <w:r w:rsidR="000C46FD">
        <w:rPr>
          <w:szCs w:val="24"/>
        </w:rPr>
        <w:t xml:space="preserve"> the</w:t>
      </w:r>
      <w:r w:rsidR="00FE1D68">
        <w:rPr>
          <w:szCs w:val="24"/>
        </w:rPr>
        <w:t xml:space="preserve"> judgement of this court by </w:t>
      </w:r>
      <w:proofErr w:type="spellStart"/>
      <w:r w:rsidR="00FE1D68">
        <w:rPr>
          <w:szCs w:val="24"/>
        </w:rPr>
        <w:t>Cheda</w:t>
      </w:r>
      <w:proofErr w:type="spellEnd"/>
      <w:r w:rsidR="00FE1D68">
        <w:rPr>
          <w:szCs w:val="24"/>
        </w:rPr>
        <w:t xml:space="preserve"> J in th</w:t>
      </w:r>
      <w:r w:rsidR="00EA4E02">
        <w:rPr>
          <w:szCs w:val="24"/>
        </w:rPr>
        <w:t>e</w:t>
      </w:r>
      <w:r w:rsidR="00FE1D68">
        <w:rPr>
          <w:szCs w:val="24"/>
        </w:rPr>
        <w:t xml:space="preserve"> matter of </w:t>
      </w:r>
      <w:proofErr w:type="spellStart"/>
      <w:r w:rsidR="00FE1D68" w:rsidRPr="00EA4E02">
        <w:rPr>
          <w:i/>
          <w:szCs w:val="24"/>
        </w:rPr>
        <w:t>Malezky</w:t>
      </w:r>
      <w:proofErr w:type="spellEnd"/>
      <w:r w:rsidR="00FE1D68" w:rsidRPr="00EA4E02">
        <w:rPr>
          <w:i/>
          <w:szCs w:val="24"/>
        </w:rPr>
        <w:t xml:space="preserve"> v Minister of Justice</w:t>
      </w:r>
      <w:r w:rsidR="004A267B">
        <w:rPr>
          <w:rStyle w:val="FootnoteReference"/>
          <w:i/>
          <w:szCs w:val="24"/>
        </w:rPr>
        <w:footnoteReference w:id="15"/>
      </w:r>
      <w:r w:rsidR="00FE1D68">
        <w:rPr>
          <w:szCs w:val="24"/>
        </w:rPr>
        <w:t xml:space="preserve"> where th</w:t>
      </w:r>
      <w:r w:rsidR="00EA4E02">
        <w:rPr>
          <w:szCs w:val="24"/>
        </w:rPr>
        <w:t>e</w:t>
      </w:r>
      <w:r w:rsidR="00FE1D68">
        <w:rPr>
          <w:szCs w:val="24"/>
        </w:rPr>
        <w:t xml:space="preserve"> </w:t>
      </w:r>
      <w:r w:rsidR="00EA4E02">
        <w:rPr>
          <w:szCs w:val="24"/>
        </w:rPr>
        <w:t>learned</w:t>
      </w:r>
      <w:r w:rsidR="00FE1D68">
        <w:rPr>
          <w:szCs w:val="24"/>
        </w:rPr>
        <w:t xml:space="preserve"> judge pointed out </w:t>
      </w:r>
      <w:r w:rsidR="00EA4E02">
        <w:rPr>
          <w:szCs w:val="24"/>
        </w:rPr>
        <w:t>that</w:t>
      </w:r>
      <w:r w:rsidR="00FE1D68">
        <w:rPr>
          <w:szCs w:val="24"/>
        </w:rPr>
        <w:t xml:space="preserve"> parties and </w:t>
      </w:r>
      <w:r w:rsidR="00EA4E02">
        <w:rPr>
          <w:szCs w:val="24"/>
        </w:rPr>
        <w:t>their</w:t>
      </w:r>
      <w:r w:rsidR="00FE1D68">
        <w:rPr>
          <w:szCs w:val="24"/>
        </w:rPr>
        <w:t xml:space="preserve"> legal practitioners should not be slack in the observance of the Rules</w:t>
      </w:r>
      <w:r w:rsidR="00F20812">
        <w:rPr>
          <w:szCs w:val="24"/>
        </w:rPr>
        <w:t>,</w:t>
      </w:r>
      <w:r w:rsidR="00FE1D68">
        <w:rPr>
          <w:szCs w:val="24"/>
        </w:rPr>
        <w:t xml:space="preserve"> which are an important element in the machinery for the administration of justice.  Furthermore</w:t>
      </w:r>
      <w:r w:rsidR="00F20812">
        <w:rPr>
          <w:szCs w:val="24"/>
        </w:rPr>
        <w:t>,</w:t>
      </w:r>
      <w:r w:rsidR="00FE1D68">
        <w:rPr>
          <w:szCs w:val="24"/>
        </w:rPr>
        <w:t xml:space="preserve"> that all litigants are </w:t>
      </w:r>
      <w:r w:rsidR="00EA4E02">
        <w:rPr>
          <w:szCs w:val="24"/>
        </w:rPr>
        <w:t>obliged</w:t>
      </w:r>
      <w:r w:rsidR="00FE1D68">
        <w:rPr>
          <w:szCs w:val="24"/>
        </w:rPr>
        <w:t xml:space="preserve"> to comply with the rules and practice directives of the court</w:t>
      </w:r>
      <w:r w:rsidR="00EA4E02">
        <w:rPr>
          <w:szCs w:val="24"/>
        </w:rPr>
        <w:t>.</w:t>
      </w:r>
      <w:r w:rsidR="00FE1D68">
        <w:rPr>
          <w:szCs w:val="24"/>
        </w:rPr>
        <w:t xml:space="preserve"> </w:t>
      </w:r>
      <w:r w:rsidR="00EA4E02">
        <w:rPr>
          <w:szCs w:val="24"/>
        </w:rPr>
        <w:t xml:space="preserve"> </w:t>
      </w:r>
      <w:r w:rsidR="00FE1D68">
        <w:rPr>
          <w:szCs w:val="24"/>
        </w:rPr>
        <w:t>In addition</w:t>
      </w:r>
      <w:r w:rsidR="00F20812">
        <w:rPr>
          <w:szCs w:val="24"/>
        </w:rPr>
        <w:t>,</w:t>
      </w:r>
      <w:r w:rsidR="00FE1D68">
        <w:rPr>
          <w:szCs w:val="24"/>
        </w:rPr>
        <w:t xml:space="preserve"> a party who has been aggrieved by non-compliance with the </w:t>
      </w:r>
      <w:r w:rsidR="00EA4E02">
        <w:rPr>
          <w:szCs w:val="24"/>
        </w:rPr>
        <w:t>R</w:t>
      </w:r>
      <w:r w:rsidR="00FE1D68">
        <w:rPr>
          <w:szCs w:val="24"/>
        </w:rPr>
        <w:t>ule</w:t>
      </w:r>
      <w:r w:rsidR="00EA4E02">
        <w:rPr>
          <w:szCs w:val="24"/>
        </w:rPr>
        <w:t>s</w:t>
      </w:r>
      <w:r w:rsidR="00FE1D68">
        <w:rPr>
          <w:szCs w:val="24"/>
        </w:rPr>
        <w:t xml:space="preserve"> by the </w:t>
      </w:r>
      <w:r w:rsidR="00EA4E02">
        <w:rPr>
          <w:szCs w:val="24"/>
        </w:rPr>
        <w:t xml:space="preserve">other party is entitled </w:t>
      </w:r>
      <w:r w:rsidR="00FE1D68">
        <w:rPr>
          <w:szCs w:val="24"/>
        </w:rPr>
        <w:t>to certain remedie</w:t>
      </w:r>
      <w:r w:rsidR="00F20812">
        <w:rPr>
          <w:szCs w:val="24"/>
        </w:rPr>
        <w:t>s</w:t>
      </w:r>
      <w:r w:rsidR="00FE1D68">
        <w:rPr>
          <w:szCs w:val="24"/>
        </w:rPr>
        <w:t xml:space="preserve"> which the court </w:t>
      </w:r>
      <w:r w:rsidR="00EA4E02">
        <w:rPr>
          <w:szCs w:val="24"/>
        </w:rPr>
        <w:t xml:space="preserve">can impose in its discretion. </w:t>
      </w:r>
    </w:p>
    <w:p w14:paraId="11889372" w14:textId="77777777" w:rsidR="00560A2F" w:rsidRDefault="00560A2F" w:rsidP="00E7287F">
      <w:pPr>
        <w:ind w:left="10"/>
        <w:jc w:val="both"/>
        <w:rPr>
          <w:szCs w:val="24"/>
        </w:rPr>
      </w:pPr>
    </w:p>
    <w:p w14:paraId="3F8D3343" w14:textId="3CCF4F07" w:rsidR="00FE1D68" w:rsidRDefault="00093005" w:rsidP="00E7287F">
      <w:pPr>
        <w:ind w:left="10"/>
        <w:jc w:val="both"/>
        <w:rPr>
          <w:szCs w:val="24"/>
        </w:rPr>
      </w:pPr>
      <w:r>
        <w:rPr>
          <w:szCs w:val="24"/>
        </w:rPr>
        <w:t>[7</w:t>
      </w:r>
      <w:r w:rsidR="00B0768A">
        <w:rPr>
          <w:szCs w:val="24"/>
        </w:rPr>
        <w:t>1</w:t>
      </w:r>
      <w:r>
        <w:rPr>
          <w:szCs w:val="24"/>
        </w:rPr>
        <w:t>]</w:t>
      </w:r>
      <w:r>
        <w:rPr>
          <w:szCs w:val="24"/>
        </w:rPr>
        <w:tab/>
      </w:r>
      <w:r w:rsidR="008F7098">
        <w:rPr>
          <w:szCs w:val="24"/>
        </w:rPr>
        <w:t>This Court feels that the</w:t>
      </w:r>
      <w:r w:rsidR="00EA4E02">
        <w:rPr>
          <w:szCs w:val="24"/>
        </w:rPr>
        <w:t xml:space="preserve"> time has come for </w:t>
      </w:r>
      <w:r w:rsidR="00307333">
        <w:rPr>
          <w:szCs w:val="24"/>
        </w:rPr>
        <w:t xml:space="preserve">it </w:t>
      </w:r>
      <w:r w:rsidR="00EA4E02">
        <w:rPr>
          <w:szCs w:val="24"/>
        </w:rPr>
        <w:t>to strictly impose s</w:t>
      </w:r>
      <w:r w:rsidR="00F20812">
        <w:rPr>
          <w:szCs w:val="24"/>
        </w:rPr>
        <w:t>an</w:t>
      </w:r>
      <w:r w:rsidR="00EA4E02">
        <w:rPr>
          <w:szCs w:val="24"/>
        </w:rPr>
        <w:t>ctions for non-compliance</w:t>
      </w:r>
      <w:r w:rsidR="00F701EB">
        <w:rPr>
          <w:szCs w:val="24"/>
        </w:rPr>
        <w:t xml:space="preserve"> </w:t>
      </w:r>
      <w:r w:rsidR="009C1AF9">
        <w:rPr>
          <w:szCs w:val="24"/>
        </w:rPr>
        <w:t xml:space="preserve">with </w:t>
      </w:r>
      <w:r w:rsidR="008F7098">
        <w:rPr>
          <w:szCs w:val="24"/>
        </w:rPr>
        <w:t>its</w:t>
      </w:r>
      <w:r w:rsidR="00EC5283">
        <w:rPr>
          <w:szCs w:val="24"/>
        </w:rPr>
        <w:t xml:space="preserve"> Rules</w:t>
      </w:r>
      <w:r w:rsidR="008F7098">
        <w:rPr>
          <w:szCs w:val="24"/>
        </w:rPr>
        <w:t>. It is hoped that appropriate sanctions would</w:t>
      </w:r>
      <w:r w:rsidR="00EC5283">
        <w:rPr>
          <w:szCs w:val="24"/>
        </w:rPr>
        <w:t xml:space="preserve"> </w:t>
      </w:r>
      <w:r w:rsidR="00EA4E02">
        <w:rPr>
          <w:szCs w:val="24"/>
        </w:rPr>
        <w:t>serve as a deterrent to legal practitioners</w:t>
      </w:r>
      <w:r w:rsidR="00F20812">
        <w:rPr>
          <w:szCs w:val="24"/>
        </w:rPr>
        <w:t>’ failing to comply</w:t>
      </w:r>
      <w:r w:rsidR="00EA4E02">
        <w:rPr>
          <w:szCs w:val="24"/>
        </w:rPr>
        <w:t xml:space="preserve"> with the </w:t>
      </w:r>
      <w:r w:rsidR="00307333">
        <w:rPr>
          <w:szCs w:val="24"/>
        </w:rPr>
        <w:t xml:space="preserve">Rules and orders </w:t>
      </w:r>
      <w:r w:rsidR="00EA4E02">
        <w:rPr>
          <w:szCs w:val="24"/>
        </w:rPr>
        <w:t xml:space="preserve">of the court. </w:t>
      </w:r>
      <w:r w:rsidR="00F77E87">
        <w:rPr>
          <w:szCs w:val="24"/>
        </w:rPr>
        <w:t>The sanction</w:t>
      </w:r>
      <w:r w:rsidR="00071B62">
        <w:rPr>
          <w:szCs w:val="24"/>
        </w:rPr>
        <w:t xml:space="preserve"> imposed in this matter</w:t>
      </w:r>
      <w:r w:rsidR="00F77E87">
        <w:rPr>
          <w:szCs w:val="24"/>
        </w:rPr>
        <w:t xml:space="preserve"> is </w:t>
      </w:r>
      <w:r w:rsidR="00071B62">
        <w:rPr>
          <w:szCs w:val="24"/>
        </w:rPr>
        <w:t xml:space="preserve">embodied </w:t>
      </w:r>
      <w:r w:rsidR="00F77E87">
        <w:rPr>
          <w:szCs w:val="24"/>
        </w:rPr>
        <w:t>in the cost</w:t>
      </w:r>
      <w:r w:rsidR="00307333">
        <w:rPr>
          <w:szCs w:val="24"/>
        </w:rPr>
        <w:t>s</w:t>
      </w:r>
      <w:r w:rsidR="00F77E87">
        <w:rPr>
          <w:szCs w:val="24"/>
        </w:rPr>
        <w:t xml:space="preserve"> order.</w:t>
      </w:r>
    </w:p>
    <w:p w14:paraId="26F469AF" w14:textId="77777777" w:rsidR="00EA4E02" w:rsidRDefault="00EA4E02" w:rsidP="00E7287F">
      <w:pPr>
        <w:ind w:left="10"/>
        <w:jc w:val="both"/>
        <w:rPr>
          <w:szCs w:val="24"/>
        </w:rPr>
      </w:pPr>
    </w:p>
    <w:p w14:paraId="0D400517" w14:textId="77777777" w:rsidR="00F53A93" w:rsidRDefault="00F53A93" w:rsidP="00E7287F">
      <w:pPr>
        <w:ind w:left="10"/>
        <w:jc w:val="both"/>
        <w:rPr>
          <w:szCs w:val="24"/>
        </w:rPr>
      </w:pPr>
    </w:p>
    <w:p w14:paraId="098717F9" w14:textId="77777777" w:rsidR="00E410DF" w:rsidRDefault="00EF6E9E" w:rsidP="00E7287F">
      <w:pPr>
        <w:ind w:left="10"/>
        <w:jc w:val="both"/>
        <w:rPr>
          <w:szCs w:val="24"/>
        </w:rPr>
      </w:pPr>
      <w:r>
        <w:rPr>
          <w:szCs w:val="24"/>
        </w:rPr>
        <w:t>[7</w:t>
      </w:r>
      <w:r w:rsidR="00B0768A">
        <w:rPr>
          <w:szCs w:val="24"/>
        </w:rPr>
        <w:t>2</w:t>
      </w:r>
      <w:r w:rsidR="00E410DF" w:rsidRPr="00E410DF">
        <w:rPr>
          <w:szCs w:val="24"/>
        </w:rPr>
        <w:t>]</w:t>
      </w:r>
      <w:r>
        <w:rPr>
          <w:szCs w:val="24"/>
        </w:rPr>
        <w:tab/>
      </w:r>
      <w:r w:rsidR="00E410DF" w:rsidRPr="00E410DF">
        <w:rPr>
          <w:szCs w:val="24"/>
        </w:rPr>
        <w:t>In the result, I make the following order:</w:t>
      </w:r>
    </w:p>
    <w:p w14:paraId="1EAF642E" w14:textId="77777777" w:rsidR="00E410DF" w:rsidRPr="00E410DF" w:rsidRDefault="00E410DF" w:rsidP="00E7287F">
      <w:pPr>
        <w:ind w:left="10"/>
        <w:jc w:val="both"/>
        <w:rPr>
          <w:szCs w:val="24"/>
        </w:rPr>
      </w:pPr>
    </w:p>
    <w:p w14:paraId="49A2FF71" w14:textId="77777777" w:rsidR="00541CBB" w:rsidRDefault="00531EB7" w:rsidP="00541CBB">
      <w:pPr>
        <w:ind w:left="10"/>
        <w:jc w:val="both"/>
        <w:rPr>
          <w:szCs w:val="24"/>
        </w:rPr>
      </w:pPr>
      <w:r>
        <w:rPr>
          <w:szCs w:val="24"/>
        </w:rPr>
        <w:t>1.</w:t>
      </w:r>
      <w:r w:rsidR="00541CBB">
        <w:rPr>
          <w:szCs w:val="24"/>
        </w:rPr>
        <w:t xml:space="preserve"> </w:t>
      </w:r>
      <w:r w:rsidR="00541CBB">
        <w:rPr>
          <w:szCs w:val="24"/>
        </w:rPr>
        <w:tab/>
        <w:t>The application is dismissed.</w:t>
      </w:r>
    </w:p>
    <w:p w14:paraId="0D2E7DE0" w14:textId="77777777" w:rsidR="00541CBB" w:rsidRDefault="00541CBB" w:rsidP="00541CBB">
      <w:pPr>
        <w:ind w:left="10"/>
        <w:jc w:val="both"/>
        <w:rPr>
          <w:szCs w:val="24"/>
        </w:rPr>
      </w:pPr>
    </w:p>
    <w:p w14:paraId="4B9FBC76" w14:textId="0398AF77" w:rsidR="00541CBB" w:rsidRDefault="00541CBB" w:rsidP="00541CBB">
      <w:pPr>
        <w:ind w:left="10"/>
        <w:jc w:val="both"/>
        <w:rPr>
          <w:szCs w:val="24"/>
        </w:rPr>
      </w:pPr>
      <w:r>
        <w:rPr>
          <w:szCs w:val="24"/>
        </w:rPr>
        <w:t>2.</w:t>
      </w:r>
      <w:r>
        <w:rPr>
          <w:szCs w:val="24"/>
        </w:rPr>
        <w:tab/>
        <w:t>The applicant is ordered to pay two-t</w:t>
      </w:r>
      <w:r w:rsidR="009C1AF9">
        <w:rPr>
          <w:szCs w:val="24"/>
        </w:rPr>
        <w:t>hird</w:t>
      </w:r>
      <w:r w:rsidR="00F20812">
        <w:rPr>
          <w:szCs w:val="24"/>
        </w:rPr>
        <w:t>s</w:t>
      </w:r>
      <w:r w:rsidR="009C1AF9">
        <w:rPr>
          <w:szCs w:val="24"/>
        </w:rPr>
        <w:t xml:space="preserve"> (2/3) of the respondent’s taxe</w:t>
      </w:r>
      <w:r>
        <w:rPr>
          <w:szCs w:val="24"/>
        </w:rPr>
        <w:t>d cos</w:t>
      </w:r>
      <w:r w:rsidR="009C1AF9">
        <w:rPr>
          <w:szCs w:val="24"/>
        </w:rPr>
        <w:t xml:space="preserve">ts. The reduction </w:t>
      </w:r>
      <w:r w:rsidR="00F20812">
        <w:rPr>
          <w:szCs w:val="24"/>
        </w:rPr>
        <w:t xml:space="preserve">of </w:t>
      </w:r>
      <w:r w:rsidR="009C1AF9">
        <w:rPr>
          <w:szCs w:val="24"/>
        </w:rPr>
        <w:t>one</w:t>
      </w:r>
      <w:r w:rsidR="00F20812">
        <w:rPr>
          <w:szCs w:val="24"/>
        </w:rPr>
        <w:t>-</w:t>
      </w:r>
      <w:r w:rsidR="009C1AF9">
        <w:rPr>
          <w:szCs w:val="24"/>
        </w:rPr>
        <w:t>third (1/3)</w:t>
      </w:r>
      <w:r>
        <w:rPr>
          <w:szCs w:val="24"/>
        </w:rPr>
        <w:t xml:space="preserve"> of the costs serves as a sanction </w:t>
      </w:r>
      <w:r w:rsidR="004F1A42">
        <w:rPr>
          <w:szCs w:val="24"/>
        </w:rPr>
        <w:t>a</w:t>
      </w:r>
      <w:r w:rsidR="009C1AF9">
        <w:rPr>
          <w:szCs w:val="24"/>
        </w:rPr>
        <w:t>gain</w:t>
      </w:r>
      <w:r w:rsidR="004F1A42">
        <w:rPr>
          <w:szCs w:val="24"/>
        </w:rPr>
        <w:t>st</w:t>
      </w:r>
      <w:r>
        <w:rPr>
          <w:szCs w:val="24"/>
        </w:rPr>
        <w:t xml:space="preserve"> the legal practitioners for the respondent for </w:t>
      </w:r>
      <w:r w:rsidR="009C1AF9">
        <w:rPr>
          <w:szCs w:val="24"/>
        </w:rPr>
        <w:t xml:space="preserve">the </w:t>
      </w:r>
      <w:r>
        <w:rPr>
          <w:szCs w:val="24"/>
        </w:rPr>
        <w:t xml:space="preserve">flagrant non-compliance with </w:t>
      </w:r>
      <w:r w:rsidR="00F20812">
        <w:rPr>
          <w:szCs w:val="24"/>
        </w:rPr>
        <w:t xml:space="preserve">the </w:t>
      </w:r>
      <w:r>
        <w:rPr>
          <w:szCs w:val="24"/>
        </w:rPr>
        <w:t>Rules of this Court</w:t>
      </w:r>
      <w:r w:rsidR="00D24F4C">
        <w:rPr>
          <w:szCs w:val="24"/>
        </w:rPr>
        <w:t>.</w:t>
      </w:r>
    </w:p>
    <w:p w14:paraId="4A0DDCA6" w14:textId="77777777" w:rsidR="004225A2" w:rsidRDefault="004225A2" w:rsidP="00E7287F">
      <w:pPr>
        <w:ind w:left="10"/>
        <w:jc w:val="both"/>
        <w:rPr>
          <w:szCs w:val="24"/>
        </w:rPr>
      </w:pPr>
    </w:p>
    <w:p w14:paraId="10D6A7B8" w14:textId="77777777" w:rsidR="004225A2" w:rsidRPr="00E410DF" w:rsidRDefault="004225A2" w:rsidP="00E7287F">
      <w:pPr>
        <w:ind w:left="10"/>
        <w:jc w:val="both"/>
        <w:rPr>
          <w:szCs w:val="24"/>
        </w:rPr>
      </w:pPr>
    </w:p>
    <w:p w14:paraId="15ED0866" w14:textId="77777777" w:rsidR="00E410DF" w:rsidRPr="00E410DF" w:rsidRDefault="00E410DF" w:rsidP="00E7287F">
      <w:pPr>
        <w:ind w:left="6490"/>
        <w:jc w:val="both"/>
        <w:rPr>
          <w:szCs w:val="24"/>
        </w:rPr>
      </w:pPr>
      <w:r w:rsidRPr="00E410DF">
        <w:rPr>
          <w:szCs w:val="24"/>
        </w:rPr>
        <w:t>---------------------------------</w:t>
      </w:r>
    </w:p>
    <w:p w14:paraId="416800A1" w14:textId="77777777" w:rsidR="00E410DF" w:rsidRPr="00E410DF" w:rsidRDefault="00E410DF" w:rsidP="00E7287F">
      <w:pPr>
        <w:ind w:left="6490"/>
        <w:jc w:val="both"/>
        <w:rPr>
          <w:szCs w:val="24"/>
        </w:rPr>
      </w:pPr>
      <w:r w:rsidRPr="00E410DF">
        <w:rPr>
          <w:szCs w:val="24"/>
        </w:rPr>
        <w:t>H Angula</w:t>
      </w:r>
    </w:p>
    <w:p w14:paraId="4DECF695" w14:textId="77777777" w:rsidR="00E410DF" w:rsidRPr="00E410DF" w:rsidRDefault="00E410DF" w:rsidP="00E7287F">
      <w:pPr>
        <w:ind w:left="6490"/>
        <w:jc w:val="both"/>
        <w:rPr>
          <w:szCs w:val="24"/>
        </w:rPr>
      </w:pPr>
      <w:r w:rsidRPr="00E410DF">
        <w:rPr>
          <w:szCs w:val="24"/>
        </w:rPr>
        <w:t>Deputy Judge President</w:t>
      </w:r>
    </w:p>
    <w:p w14:paraId="16BC80A8" w14:textId="0098FC7B" w:rsidR="00F01133" w:rsidRDefault="00F01133" w:rsidP="00B67CD6">
      <w:pPr>
        <w:ind w:left="0"/>
        <w:jc w:val="both"/>
        <w:rPr>
          <w:szCs w:val="24"/>
        </w:rPr>
      </w:pPr>
      <w:r>
        <w:rPr>
          <w:szCs w:val="24"/>
        </w:rPr>
        <w:br w:type="page"/>
      </w:r>
    </w:p>
    <w:p w14:paraId="081AABC4" w14:textId="77777777" w:rsidR="00E410DF" w:rsidRDefault="00E410DF" w:rsidP="00B67CD6">
      <w:pPr>
        <w:ind w:left="0"/>
        <w:jc w:val="both"/>
        <w:rPr>
          <w:szCs w:val="24"/>
        </w:rPr>
      </w:pPr>
    </w:p>
    <w:p w14:paraId="58A06E4B" w14:textId="61167487" w:rsidR="00E410DF" w:rsidRPr="00E410DF" w:rsidRDefault="00E410DF" w:rsidP="00E7287F">
      <w:pPr>
        <w:ind w:left="10"/>
        <w:jc w:val="both"/>
        <w:rPr>
          <w:b/>
          <w:szCs w:val="24"/>
        </w:rPr>
      </w:pPr>
      <w:r w:rsidRPr="00E410DF">
        <w:rPr>
          <w:b/>
          <w:szCs w:val="24"/>
        </w:rPr>
        <w:t>APPEARANCES</w:t>
      </w:r>
      <w:r w:rsidR="001A39D8">
        <w:rPr>
          <w:b/>
          <w:szCs w:val="24"/>
        </w:rPr>
        <w:t>:</w:t>
      </w:r>
    </w:p>
    <w:p w14:paraId="1DB4151B" w14:textId="77777777" w:rsidR="00E410DF" w:rsidRDefault="00E410DF" w:rsidP="00E7287F">
      <w:pPr>
        <w:ind w:left="10"/>
        <w:jc w:val="both"/>
        <w:rPr>
          <w:szCs w:val="24"/>
        </w:rPr>
      </w:pPr>
    </w:p>
    <w:p w14:paraId="209A68D4" w14:textId="08AB218A" w:rsidR="00E410DF" w:rsidRPr="00DB188B" w:rsidRDefault="00DB188B" w:rsidP="00E7287F">
      <w:pPr>
        <w:ind w:left="10"/>
        <w:jc w:val="both"/>
        <w:rPr>
          <w:b/>
          <w:szCs w:val="24"/>
        </w:rPr>
      </w:pPr>
      <w:r>
        <w:rPr>
          <w:szCs w:val="24"/>
        </w:rPr>
        <w:t>APPLICANT:</w:t>
      </w:r>
      <w:r>
        <w:rPr>
          <w:szCs w:val="24"/>
        </w:rPr>
        <w:tab/>
      </w:r>
      <w:r>
        <w:rPr>
          <w:szCs w:val="24"/>
        </w:rPr>
        <w:tab/>
      </w:r>
      <w:r>
        <w:rPr>
          <w:szCs w:val="24"/>
        </w:rPr>
        <w:tab/>
      </w:r>
      <w:r>
        <w:rPr>
          <w:szCs w:val="24"/>
        </w:rPr>
        <w:tab/>
      </w:r>
      <w:r>
        <w:rPr>
          <w:szCs w:val="24"/>
        </w:rPr>
        <w:tab/>
      </w:r>
      <w:r>
        <w:rPr>
          <w:szCs w:val="24"/>
        </w:rPr>
        <w:tab/>
      </w:r>
      <w:r w:rsidRPr="00DB188B">
        <w:rPr>
          <w:b/>
          <w:szCs w:val="24"/>
        </w:rPr>
        <w:t xml:space="preserve">Ms </w:t>
      </w:r>
      <w:proofErr w:type="spellStart"/>
      <w:r w:rsidRPr="00DB188B">
        <w:rPr>
          <w:b/>
          <w:szCs w:val="24"/>
        </w:rPr>
        <w:t>Kazondunge</w:t>
      </w:r>
      <w:proofErr w:type="spellEnd"/>
    </w:p>
    <w:p w14:paraId="5EB45372" w14:textId="34CB1469" w:rsidR="00DB188B" w:rsidRDefault="00DB188B" w:rsidP="00E7287F">
      <w:pPr>
        <w:ind w:left="10"/>
        <w:jc w:val="both"/>
        <w:rPr>
          <w:szCs w:val="24"/>
        </w:rPr>
      </w:pPr>
      <w:r w:rsidRPr="00DB188B">
        <w:rPr>
          <w:szCs w:val="24"/>
        </w:rPr>
        <w:tab/>
      </w:r>
      <w:r w:rsidRPr="00DB188B">
        <w:rPr>
          <w:szCs w:val="24"/>
        </w:rPr>
        <w:tab/>
      </w:r>
      <w:r w:rsidRPr="00DB188B">
        <w:rPr>
          <w:szCs w:val="24"/>
        </w:rPr>
        <w:tab/>
      </w:r>
      <w:r w:rsidRPr="00DB188B">
        <w:rPr>
          <w:szCs w:val="24"/>
        </w:rPr>
        <w:tab/>
      </w:r>
      <w:r w:rsidRPr="00DB188B">
        <w:rPr>
          <w:szCs w:val="24"/>
        </w:rPr>
        <w:tab/>
      </w:r>
      <w:r w:rsidRPr="00DB188B">
        <w:rPr>
          <w:szCs w:val="24"/>
        </w:rPr>
        <w:tab/>
      </w:r>
      <w:r w:rsidRPr="00DB188B">
        <w:rPr>
          <w:szCs w:val="24"/>
        </w:rPr>
        <w:tab/>
      </w:r>
      <w:r w:rsidR="00BF3E5A">
        <w:rPr>
          <w:szCs w:val="24"/>
        </w:rPr>
        <w:t>Office of the</w:t>
      </w:r>
      <w:r w:rsidR="004A54A6">
        <w:rPr>
          <w:szCs w:val="24"/>
        </w:rPr>
        <w:t xml:space="preserve"> </w:t>
      </w:r>
      <w:r w:rsidRPr="00DB188B">
        <w:rPr>
          <w:szCs w:val="24"/>
        </w:rPr>
        <w:t>Government Attorney</w:t>
      </w:r>
    </w:p>
    <w:p w14:paraId="46F232BA" w14:textId="77777777" w:rsidR="00DB188B" w:rsidRDefault="00DB188B" w:rsidP="00E7287F">
      <w:pPr>
        <w:ind w:left="10"/>
        <w:jc w:val="both"/>
        <w:rPr>
          <w:szCs w:val="24"/>
        </w:rPr>
      </w:pPr>
    </w:p>
    <w:p w14:paraId="5490DC24" w14:textId="28325C36" w:rsidR="00DB188B" w:rsidRDefault="00DB188B" w:rsidP="00E7287F">
      <w:pPr>
        <w:ind w:left="10"/>
        <w:jc w:val="both"/>
        <w:rPr>
          <w:b/>
          <w:szCs w:val="24"/>
        </w:rPr>
      </w:pPr>
      <w:r>
        <w:rPr>
          <w:szCs w:val="24"/>
        </w:rPr>
        <w:t xml:space="preserve">RESPONDENT: </w:t>
      </w:r>
      <w:r>
        <w:rPr>
          <w:szCs w:val="24"/>
        </w:rPr>
        <w:tab/>
      </w:r>
      <w:r>
        <w:rPr>
          <w:szCs w:val="24"/>
        </w:rPr>
        <w:tab/>
      </w:r>
      <w:r>
        <w:rPr>
          <w:szCs w:val="24"/>
        </w:rPr>
        <w:tab/>
      </w:r>
      <w:r>
        <w:rPr>
          <w:szCs w:val="24"/>
        </w:rPr>
        <w:tab/>
      </w:r>
      <w:r>
        <w:rPr>
          <w:szCs w:val="24"/>
        </w:rPr>
        <w:tab/>
      </w:r>
      <w:r>
        <w:rPr>
          <w:b/>
          <w:szCs w:val="24"/>
        </w:rPr>
        <w:t>Mr Isaacks</w:t>
      </w:r>
    </w:p>
    <w:p w14:paraId="545A315C" w14:textId="22E96440" w:rsidR="00DB188B" w:rsidRPr="00DB188B" w:rsidRDefault="00DB188B" w:rsidP="00E7287F">
      <w:pPr>
        <w:ind w:left="10"/>
        <w:jc w:val="both"/>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4A54A6">
        <w:rPr>
          <w:szCs w:val="24"/>
        </w:rPr>
        <w:t xml:space="preserve">Of </w:t>
      </w:r>
      <w:r w:rsidRPr="00DB188B">
        <w:rPr>
          <w:szCs w:val="24"/>
        </w:rPr>
        <w:t>Isaacks &amp; Associates Inc</w:t>
      </w:r>
      <w:r w:rsidR="00725137">
        <w:rPr>
          <w:szCs w:val="24"/>
        </w:rPr>
        <w:t>.</w:t>
      </w:r>
    </w:p>
    <w:p w14:paraId="23247FEC" w14:textId="77777777" w:rsidR="00E410DF" w:rsidRDefault="00E410DF" w:rsidP="00E7287F">
      <w:pPr>
        <w:ind w:left="10"/>
        <w:jc w:val="both"/>
        <w:rPr>
          <w:szCs w:val="24"/>
        </w:rPr>
      </w:pPr>
    </w:p>
    <w:p w14:paraId="4A4C50FB" w14:textId="77777777" w:rsidR="00E410DF" w:rsidRDefault="00E410DF" w:rsidP="00E7287F">
      <w:pPr>
        <w:ind w:left="10"/>
        <w:jc w:val="both"/>
        <w:rPr>
          <w:szCs w:val="24"/>
        </w:rPr>
      </w:pPr>
    </w:p>
    <w:p w14:paraId="6CCB9BA0" w14:textId="77777777" w:rsidR="00E410DF" w:rsidRDefault="00E410DF" w:rsidP="00E7287F">
      <w:pPr>
        <w:ind w:left="10"/>
        <w:jc w:val="both"/>
        <w:rPr>
          <w:szCs w:val="24"/>
        </w:rPr>
      </w:pPr>
    </w:p>
    <w:sectPr w:rsidR="00E410DF" w:rsidSect="00B102A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8BA7" w14:textId="77777777" w:rsidR="00942D39" w:rsidRDefault="00942D39" w:rsidP="00962325">
      <w:pPr>
        <w:spacing w:line="240" w:lineRule="auto"/>
      </w:pPr>
      <w:r>
        <w:separator/>
      </w:r>
    </w:p>
  </w:endnote>
  <w:endnote w:type="continuationSeparator" w:id="0">
    <w:p w14:paraId="7B4ABD37" w14:textId="77777777" w:rsidR="00942D39" w:rsidRDefault="00942D39" w:rsidP="00962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66B5" w14:textId="77777777" w:rsidR="00942D39" w:rsidRDefault="00942D39" w:rsidP="00962325">
      <w:pPr>
        <w:spacing w:line="240" w:lineRule="auto"/>
      </w:pPr>
      <w:r>
        <w:separator/>
      </w:r>
    </w:p>
  </w:footnote>
  <w:footnote w:type="continuationSeparator" w:id="0">
    <w:p w14:paraId="0D1D9C14" w14:textId="77777777" w:rsidR="00942D39" w:rsidRDefault="00942D39" w:rsidP="00962325">
      <w:pPr>
        <w:spacing w:line="240" w:lineRule="auto"/>
      </w:pPr>
      <w:r>
        <w:continuationSeparator/>
      </w:r>
    </w:p>
  </w:footnote>
  <w:footnote w:id="1">
    <w:p w14:paraId="13D7D1F3" w14:textId="1AA51842" w:rsidR="00823B4F" w:rsidRDefault="00823B4F" w:rsidP="00855B70">
      <w:pPr>
        <w:pStyle w:val="FootnoteText"/>
        <w:spacing w:line="276" w:lineRule="auto"/>
        <w:ind w:left="0"/>
        <w:jc w:val="both"/>
      </w:pPr>
      <w:r>
        <w:rPr>
          <w:rStyle w:val="FootnoteReference"/>
        </w:rPr>
        <w:footnoteRef/>
      </w:r>
      <w:r>
        <w:t xml:space="preserve"> National Director of Public Prosecutions v RO Cook Properties (Pty) Ltd [2004] 2 All SA 491 (SCA)</w:t>
      </w:r>
      <w:r w:rsidR="0012245F">
        <w:t>.</w:t>
      </w:r>
    </w:p>
  </w:footnote>
  <w:footnote w:id="2">
    <w:p w14:paraId="599E1145" w14:textId="4436B101" w:rsidR="00823B4F" w:rsidRPr="00D66DB3" w:rsidRDefault="00823B4F" w:rsidP="00855B70">
      <w:pPr>
        <w:pStyle w:val="FootnoteText"/>
        <w:spacing w:line="276" w:lineRule="auto"/>
        <w:ind w:left="0"/>
        <w:jc w:val="both"/>
        <w:rPr>
          <w:lang w:val="en-US"/>
        </w:rPr>
      </w:pPr>
      <w:r>
        <w:rPr>
          <w:rStyle w:val="FootnoteReference"/>
        </w:rPr>
        <w:footnoteRef/>
      </w:r>
      <w:r>
        <w:t xml:space="preserve"> </w:t>
      </w:r>
      <w:r>
        <w:rPr>
          <w:lang w:val="en-US"/>
        </w:rPr>
        <w:t xml:space="preserve">The Prosecutor –General v New Africa Dimension </w:t>
      </w:r>
      <w:r w:rsidR="0012245F">
        <w:rPr>
          <w:lang w:val="en-US"/>
        </w:rPr>
        <w:t xml:space="preserve">CC and </w:t>
      </w:r>
      <w:r>
        <w:rPr>
          <w:lang w:val="en-US"/>
        </w:rPr>
        <w:t>Two Others POCA 10/2012 NAHCMD 123 (20 April 2016)</w:t>
      </w:r>
      <w:r w:rsidR="0012245F">
        <w:rPr>
          <w:lang w:val="en-US"/>
        </w:rPr>
        <w:t>.</w:t>
      </w:r>
    </w:p>
  </w:footnote>
  <w:footnote w:id="3">
    <w:p w14:paraId="20097489" w14:textId="72D24866" w:rsidR="00823B4F" w:rsidRPr="00475C31" w:rsidRDefault="00823B4F" w:rsidP="00855B70">
      <w:pPr>
        <w:pStyle w:val="FootnoteText"/>
        <w:spacing w:line="276" w:lineRule="auto"/>
        <w:ind w:left="0"/>
        <w:jc w:val="both"/>
        <w:rPr>
          <w:lang w:val="en-US"/>
        </w:rPr>
      </w:pPr>
      <w:r>
        <w:rPr>
          <w:rStyle w:val="FootnoteReference"/>
        </w:rPr>
        <w:footnoteRef/>
      </w:r>
      <w:r>
        <w:t xml:space="preserve"> </w:t>
      </w:r>
      <w:r w:rsidRPr="00823B4F">
        <w:rPr>
          <w:lang w:val="en-US"/>
        </w:rPr>
        <w:t>RO Cook Properties (Pty) [2004] 2 All SA 491 (SCA)</w:t>
      </w:r>
      <w:r w:rsidR="0012245F">
        <w:rPr>
          <w:lang w:val="en-US"/>
        </w:rPr>
        <w:t>.</w:t>
      </w:r>
    </w:p>
  </w:footnote>
  <w:footnote w:id="4">
    <w:p w14:paraId="25C877E6" w14:textId="013149D6" w:rsidR="00823B4F" w:rsidRPr="00DD3381" w:rsidRDefault="00823B4F" w:rsidP="00855B70">
      <w:pPr>
        <w:pStyle w:val="FootnoteText"/>
        <w:spacing w:line="276" w:lineRule="auto"/>
        <w:ind w:left="0"/>
        <w:jc w:val="both"/>
        <w:rPr>
          <w:lang w:val="en-US"/>
        </w:rPr>
      </w:pPr>
      <w:r>
        <w:rPr>
          <w:rStyle w:val="FootnoteReference"/>
        </w:rPr>
        <w:footnoteRef/>
      </w:r>
      <w:r>
        <w:t xml:space="preserve"> </w:t>
      </w:r>
      <w:proofErr w:type="spellStart"/>
      <w:r>
        <w:rPr>
          <w:lang w:val="en-US"/>
        </w:rPr>
        <w:t>Muhnram</w:t>
      </w:r>
      <w:proofErr w:type="spellEnd"/>
      <w:r>
        <w:rPr>
          <w:lang w:val="en-US"/>
        </w:rPr>
        <w:t xml:space="preserve"> and Another v NDPP and Two Others (CCT 19/06) [2007] ZACC 4 par 82</w:t>
      </w:r>
      <w:r w:rsidR="0012245F">
        <w:rPr>
          <w:lang w:val="en-US"/>
        </w:rPr>
        <w:t>.</w:t>
      </w:r>
    </w:p>
  </w:footnote>
  <w:footnote w:id="5">
    <w:p w14:paraId="16AC7B03" w14:textId="5AEA3B61" w:rsidR="00823B4F" w:rsidRPr="00683EEE" w:rsidRDefault="00823B4F" w:rsidP="00855B70">
      <w:pPr>
        <w:pStyle w:val="FootnoteText"/>
        <w:spacing w:line="276" w:lineRule="auto"/>
        <w:ind w:left="0"/>
        <w:jc w:val="both"/>
        <w:rPr>
          <w:lang w:val="en-US"/>
        </w:rPr>
      </w:pPr>
      <w:r>
        <w:rPr>
          <w:rStyle w:val="FootnoteReference"/>
        </w:rPr>
        <w:footnoteRef/>
      </w:r>
      <w:r>
        <w:t xml:space="preserve"> </w:t>
      </w:r>
      <w:r>
        <w:rPr>
          <w:lang w:val="en-US"/>
        </w:rPr>
        <w:t>POCA 5/2014 [2015</w:t>
      </w:r>
      <w:proofErr w:type="gramStart"/>
      <w:r>
        <w:rPr>
          <w:lang w:val="en-US"/>
        </w:rPr>
        <w:t>]NAHCMD</w:t>
      </w:r>
      <w:proofErr w:type="gramEnd"/>
      <w:r>
        <w:rPr>
          <w:lang w:val="en-US"/>
        </w:rPr>
        <w:t xml:space="preserve"> 238 (8 October 2015)</w:t>
      </w:r>
      <w:r w:rsidR="0012245F">
        <w:rPr>
          <w:lang w:val="en-US"/>
        </w:rPr>
        <w:t>.</w:t>
      </w:r>
    </w:p>
  </w:footnote>
  <w:footnote w:id="6">
    <w:p w14:paraId="71F7EE5D" w14:textId="0A2BD0C5" w:rsidR="00823B4F" w:rsidRPr="00971C02" w:rsidRDefault="00823B4F" w:rsidP="00855B70">
      <w:pPr>
        <w:pStyle w:val="FootnoteText"/>
        <w:spacing w:line="276" w:lineRule="auto"/>
        <w:ind w:left="0"/>
        <w:jc w:val="both"/>
        <w:rPr>
          <w:lang w:val="en-US"/>
        </w:rPr>
      </w:pPr>
      <w:r>
        <w:rPr>
          <w:rStyle w:val="FootnoteReference"/>
        </w:rPr>
        <w:footnoteRef/>
      </w:r>
      <w:r>
        <w:t xml:space="preserve"> </w:t>
      </w:r>
      <w:r>
        <w:rPr>
          <w:lang w:val="en-US"/>
        </w:rPr>
        <w:t xml:space="preserve">2008 NASC 9 9 </w:t>
      </w:r>
      <w:r w:rsidR="00E254D4">
        <w:rPr>
          <w:lang w:val="en-US"/>
        </w:rPr>
        <w:t>(</w:t>
      </w:r>
      <w:r>
        <w:rPr>
          <w:lang w:val="en-US"/>
        </w:rPr>
        <w:t>14 July 2008)</w:t>
      </w:r>
      <w:r w:rsidR="00E254D4">
        <w:rPr>
          <w:lang w:val="en-US"/>
        </w:rPr>
        <w:t>.</w:t>
      </w:r>
    </w:p>
  </w:footnote>
  <w:footnote w:id="7">
    <w:p w14:paraId="7573E21A" w14:textId="4E913561" w:rsidR="00823B4F" w:rsidRPr="00276F24" w:rsidRDefault="00823B4F" w:rsidP="00855B70">
      <w:pPr>
        <w:spacing w:line="276" w:lineRule="auto"/>
        <w:ind w:left="0"/>
        <w:jc w:val="both"/>
        <w:rPr>
          <w:sz w:val="20"/>
          <w:szCs w:val="20"/>
        </w:rPr>
      </w:pPr>
      <w:r w:rsidRPr="00276F24">
        <w:rPr>
          <w:rStyle w:val="FootnoteReference"/>
          <w:sz w:val="20"/>
          <w:szCs w:val="20"/>
        </w:rPr>
        <w:footnoteRef/>
      </w:r>
      <w:r w:rsidRPr="00276F24">
        <w:rPr>
          <w:sz w:val="20"/>
          <w:szCs w:val="20"/>
        </w:rPr>
        <w:t xml:space="preserve"> (National Employers’ General Insurance v </w:t>
      </w:r>
      <w:proofErr w:type="spellStart"/>
      <w:r w:rsidRPr="00276F24">
        <w:rPr>
          <w:sz w:val="20"/>
          <w:szCs w:val="20"/>
        </w:rPr>
        <w:t>Jagers</w:t>
      </w:r>
      <w:proofErr w:type="spellEnd"/>
      <w:r w:rsidRPr="00276F24">
        <w:rPr>
          <w:sz w:val="20"/>
          <w:szCs w:val="20"/>
        </w:rPr>
        <w:t xml:space="preserve"> 1984 (4) SA 437 at 440E-F) cited with approval in the matter of The Prosecutor –General v </w:t>
      </w:r>
      <w:proofErr w:type="spellStart"/>
      <w:r w:rsidRPr="00276F24">
        <w:rPr>
          <w:sz w:val="20"/>
          <w:szCs w:val="20"/>
        </w:rPr>
        <w:t>Hategekimana</w:t>
      </w:r>
      <w:proofErr w:type="spellEnd"/>
      <w:r w:rsidRPr="00276F24">
        <w:rPr>
          <w:sz w:val="20"/>
          <w:szCs w:val="20"/>
        </w:rPr>
        <w:t xml:space="preserve"> supra.”</w:t>
      </w:r>
    </w:p>
  </w:footnote>
  <w:footnote w:id="8">
    <w:p w14:paraId="79B5FA79" w14:textId="77777777" w:rsidR="00823B4F" w:rsidRPr="00276F24" w:rsidRDefault="00823B4F" w:rsidP="00855B70">
      <w:pPr>
        <w:pStyle w:val="FootnoteText"/>
        <w:spacing w:line="276" w:lineRule="auto"/>
        <w:ind w:left="0"/>
        <w:jc w:val="both"/>
        <w:rPr>
          <w:lang w:val="en-US"/>
        </w:rPr>
      </w:pPr>
      <w:r w:rsidRPr="00276F24">
        <w:rPr>
          <w:rStyle w:val="FootnoteReference"/>
        </w:rPr>
        <w:footnoteRef/>
      </w:r>
      <w:r w:rsidRPr="00276F24">
        <w:t xml:space="preserve"> </w:t>
      </w:r>
      <w:r w:rsidRPr="00276F24">
        <w:rPr>
          <w:lang w:val="en-US"/>
        </w:rPr>
        <w:t xml:space="preserve">CR </w:t>
      </w:r>
      <w:proofErr w:type="spellStart"/>
      <w:r w:rsidRPr="00276F24">
        <w:rPr>
          <w:lang w:val="en-US"/>
        </w:rPr>
        <w:t>Snyman</w:t>
      </w:r>
      <w:proofErr w:type="spellEnd"/>
      <w:r w:rsidRPr="00276F24">
        <w:rPr>
          <w:lang w:val="en-US"/>
        </w:rPr>
        <w:t xml:space="preserve"> </w:t>
      </w:r>
      <w:r w:rsidRPr="00276F24">
        <w:rPr>
          <w:i/>
          <w:lang w:val="en-US"/>
        </w:rPr>
        <w:t>Criminal Law</w:t>
      </w:r>
      <w:r w:rsidRPr="00276F24">
        <w:rPr>
          <w:lang w:val="en-US"/>
        </w:rPr>
        <w:t xml:space="preserve"> 3</w:t>
      </w:r>
      <w:r w:rsidRPr="00276F24">
        <w:rPr>
          <w:vertAlign w:val="superscript"/>
          <w:lang w:val="en-US"/>
        </w:rPr>
        <w:t>rd</w:t>
      </w:r>
      <w:r w:rsidRPr="00276F24">
        <w:rPr>
          <w:lang w:val="en-US"/>
        </w:rPr>
        <w:t xml:space="preserve"> </w:t>
      </w:r>
      <w:proofErr w:type="spellStart"/>
      <w:proofErr w:type="gramStart"/>
      <w:r w:rsidRPr="00276F24">
        <w:rPr>
          <w:lang w:val="en-US"/>
        </w:rPr>
        <w:t>ed</w:t>
      </w:r>
      <w:proofErr w:type="spellEnd"/>
      <w:proofErr w:type="gramEnd"/>
      <w:r w:rsidRPr="00276F24">
        <w:rPr>
          <w:lang w:val="en-US"/>
        </w:rPr>
        <w:t>, p 437.</w:t>
      </w:r>
    </w:p>
  </w:footnote>
  <w:footnote w:id="9">
    <w:p w14:paraId="5556FE0D" w14:textId="604BC8BF" w:rsidR="00823B4F" w:rsidRPr="00276F24" w:rsidRDefault="00823B4F" w:rsidP="00855B70">
      <w:pPr>
        <w:pStyle w:val="FootnoteText"/>
        <w:spacing w:line="276" w:lineRule="auto"/>
        <w:ind w:left="0"/>
        <w:jc w:val="both"/>
        <w:rPr>
          <w:lang w:val="en-US"/>
        </w:rPr>
      </w:pPr>
      <w:r w:rsidRPr="00276F24">
        <w:rPr>
          <w:rStyle w:val="FootnoteReference"/>
        </w:rPr>
        <w:footnoteRef/>
      </w:r>
      <w:r w:rsidRPr="00276F24">
        <w:t xml:space="preserve"> </w:t>
      </w:r>
      <w:r w:rsidRPr="00276F24">
        <w:rPr>
          <w:lang w:val="en-US"/>
        </w:rPr>
        <w:t>1993(2) SACR (A) at 177G</w:t>
      </w:r>
      <w:r w:rsidR="00E254D4" w:rsidRPr="00276F24">
        <w:rPr>
          <w:lang w:val="en-US"/>
        </w:rPr>
        <w:t>.</w:t>
      </w:r>
    </w:p>
  </w:footnote>
  <w:footnote w:id="10">
    <w:p w14:paraId="055D0993" w14:textId="77777777" w:rsidR="00823B4F" w:rsidRPr="007761CE" w:rsidRDefault="00823B4F" w:rsidP="00855B70">
      <w:pPr>
        <w:pStyle w:val="FootnoteText"/>
        <w:spacing w:line="276" w:lineRule="auto"/>
        <w:ind w:left="0"/>
        <w:jc w:val="both"/>
        <w:rPr>
          <w:lang w:val="en-US"/>
        </w:rPr>
      </w:pPr>
      <w:r w:rsidRPr="00276F24">
        <w:rPr>
          <w:rStyle w:val="FootnoteReference"/>
        </w:rPr>
        <w:footnoteRef/>
      </w:r>
      <w:r w:rsidRPr="00276F24">
        <w:t xml:space="preserve"> </w:t>
      </w:r>
      <w:r w:rsidRPr="00276F24">
        <w:rPr>
          <w:lang w:val="en-US"/>
        </w:rPr>
        <w:t xml:space="preserve">S v </w:t>
      </w:r>
      <w:proofErr w:type="spellStart"/>
      <w:r w:rsidRPr="00276F24">
        <w:rPr>
          <w:lang w:val="en-US"/>
        </w:rPr>
        <w:t>Wellem</w:t>
      </w:r>
      <w:proofErr w:type="spellEnd"/>
      <w:r w:rsidRPr="00276F24">
        <w:rPr>
          <w:lang w:val="en-US"/>
        </w:rPr>
        <w:t xml:space="preserve"> 1993 (2) SACR 18 (E) at p 31 and Law of South Africa vol. 6, para 299.</w:t>
      </w:r>
    </w:p>
  </w:footnote>
  <w:footnote w:id="11">
    <w:p w14:paraId="5D44FF81" w14:textId="77777777" w:rsidR="00823B4F" w:rsidRPr="00312E29" w:rsidRDefault="00823B4F" w:rsidP="00855B70">
      <w:pPr>
        <w:pStyle w:val="FootnoteText"/>
        <w:spacing w:line="276" w:lineRule="auto"/>
        <w:ind w:left="0"/>
        <w:jc w:val="both"/>
        <w:rPr>
          <w:lang w:val="en-US"/>
        </w:rPr>
      </w:pPr>
      <w:r>
        <w:rPr>
          <w:rStyle w:val="FootnoteReference"/>
        </w:rPr>
        <w:footnoteRef/>
      </w:r>
      <w:r>
        <w:t xml:space="preserve"> </w:t>
      </w:r>
      <w:r>
        <w:rPr>
          <w:lang w:val="en-US"/>
        </w:rPr>
        <w:t>P. 9 of the judgment.</w:t>
      </w:r>
    </w:p>
  </w:footnote>
  <w:footnote w:id="12">
    <w:p w14:paraId="3B0ACD0F" w14:textId="77777777" w:rsidR="00823B4F" w:rsidRPr="00D32D9B" w:rsidRDefault="00823B4F" w:rsidP="00855B70">
      <w:pPr>
        <w:pStyle w:val="FootnoteText"/>
        <w:spacing w:line="276" w:lineRule="auto"/>
        <w:ind w:left="0"/>
        <w:jc w:val="both"/>
        <w:rPr>
          <w:lang w:val="en-US"/>
        </w:rPr>
      </w:pPr>
      <w:r>
        <w:rPr>
          <w:rStyle w:val="FootnoteReference"/>
        </w:rPr>
        <w:footnoteRef/>
      </w:r>
      <w:r>
        <w:t xml:space="preserve"> </w:t>
      </w:r>
      <w:r>
        <w:rPr>
          <w:lang w:val="en-US"/>
        </w:rPr>
        <w:t>Para 34 of the judgment. Citing a</w:t>
      </w:r>
      <w:r w:rsidRPr="0014539B">
        <w:rPr>
          <w:lang w:val="en-US"/>
        </w:rPr>
        <w:t xml:space="preserve">n unreported case from the Victorian County Court cited in </w:t>
      </w:r>
      <w:r w:rsidRPr="00927947">
        <w:rPr>
          <w:i/>
          <w:lang w:val="en-US"/>
        </w:rPr>
        <w:t>DPP (NSW) v King</w:t>
      </w:r>
      <w:r w:rsidRPr="0014539B">
        <w:rPr>
          <w:lang w:val="en-US"/>
        </w:rPr>
        <w:t xml:space="preserve"> [2000] NSWSC 394 para 22.</w:t>
      </w:r>
    </w:p>
  </w:footnote>
  <w:footnote w:id="13">
    <w:p w14:paraId="28698015" w14:textId="77777777" w:rsidR="00823B4F" w:rsidRPr="00912FB8" w:rsidRDefault="00823B4F" w:rsidP="00855B70">
      <w:pPr>
        <w:pStyle w:val="FootnoteText"/>
        <w:spacing w:line="276" w:lineRule="auto"/>
        <w:ind w:left="0"/>
        <w:jc w:val="both"/>
        <w:rPr>
          <w:lang w:val="en-US"/>
        </w:rPr>
      </w:pPr>
      <w:r>
        <w:rPr>
          <w:rStyle w:val="FootnoteReference"/>
        </w:rPr>
        <w:footnoteRef/>
      </w:r>
      <w:r>
        <w:t xml:space="preserve"> </w:t>
      </w:r>
      <w:r>
        <w:rPr>
          <w:lang w:val="en-US"/>
        </w:rPr>
        <w:t>RO Cook Properties and the authorities cited therein.</w:t>
      </w:r>
    </w:p>
  </w:footnote>
  <w:footnote w:id="14">
    <w:p w14:paraId="726371FA" w14:textId="59FAE421" w:rsidR="00823B4F" w:rsidRPr="002E7634" w:rsidRDefault="00823B4F" w:rsidP="00855B70">
      <w:pPr>
        <w:pStyle w:val="FootnoteText"/>
        <w:spacing w:line="276" w:lineRule="auto"/>
        <w:ind w:left="0"/>
        <w:jc w:val="both"/>
        <w:rPr>
          <w:lang w:val="en-US"/>
        </w:rPr>
      </w:pPr>
      <w:r>
        <w:rPr>
          <w:rStyle w:val="FootnoteReference"/>
        </w:rPr>
        <w:footnoteRef/>
      </w:r>
      <w:r>
        <w:t xml:space="preserve"> </w:t>
      </w:r>
      <w:proofErr w:type="spellStart"/>
      <w:r>
        <w:t>Hubner</w:t>
      </w:r>
      <w:proofErr w:type="spellEnd"/>
      <w:r>
        <w:t xml:space="preserve"> v Krieger </w:t>
      </w:r>
      <w:r>
        <w:rPr>
          <w:lang w:val="en-US"/>
        </w:rPr>
        <w:t>2012 (1) NR 191 (HC) at 192 C</w:t>
      </w:r>
      <w:r w:rsidR="00E254D4">
        <w:rPr>
          <w:lang w:val="en-US"/>
        </w:rPr>
        <w:t>.</w:t>
      </w:r>
    </w:p>
  </w:footnote>
  <w:footnote w:id="15">
    <w:p w14:paraId="6C18878B" w14:textId="090EA48D" w:rsidR="00823B4F" w:rsidRDefault="00823B4F" w:rsidP="00855B70">
      <w:pPr>
        <w:pStyle w:val="FootnoteText"/>
        <w:spacing w:line="276" w:lineRule="auto"/>
        <w:ind w:left="0"/>
        <w:jc w:val="both"/>
      </w:pPr>
      <w:r>
        <w:rPr>
          <w:rStyle w:val="FootnoteReference"/>
        </w:rPr>
        <w:footnoteRef/>
      </w:r>
      <w:r>
        <w:t xml:space="preserve"> A9/2013 [2013] NAHCND 316</w:t>
      </w:r>
      <w:r w:rsidR="00E254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4854"/>
      <w:docPartObj>
        <w:docPartGallery w:val="Page Numbers (Top of Page)"/>
        <w:docPartUnique/>
      </w:docPartObj>
    </w:sdtPr>
    <w:sdtEndPr>
      <w:rPr>
        <w:noProof/>
      </w:rPr>
    </w:sdtEndPr>
    <w:sdtContent>
      <w:p w14:paraId="49F9D131" w14:textId="77777777" w:rsidR="00823B4F" w:rsidRDefault="00823B4F">
        <w:pPr>
          <w:pStyle w:val="Header"/>
          <w:jc w:val="right"/>
        </w:pPr>
        <w:r>
          <w:fldChar w:fldCharType="begin"/>
        </w:r>
        <w:r>
          <w:instrText xml:space="preserve"> PAGE   \* MERGEFORMAT </w:instrText>
        </w:r>
        <w:r>
          <w:fldChar w:fldCharType="separate"/>
        </w:r>
        <w:r w:rsidR="007A1853">
          <w:rPr>
            <w:noProof/>
          </w:rPr>
          <w:t>28</w:t>
        </w:r>
        <w:r>
          <w:rPr>
            <w:noProof/>
          </w:rPr>
          <w:fldChar w:fldCharType="end"/>
        </w:r>
      </w:p>
    </w:sdtContent>
  </w:sdt>
  <w:p w14:paraId="0FDB17AD" w14:textId="77777777" w:rsidR="00823B4F" w:rsidRDefault="00823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77695"/>
    <w:multiLevelType w:val="hybridMultilevel"/>
    <w:tmpl w:val="468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71E0A"/>
    <w:multiLevelType w:val="hybridMultilevel"/>
    <w:tmpl w:val="9192328C"/>
    <w:lvl w:ilvl="0" w:tplc="7C9838C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7E6829EE"/>
    <w:multiLevelType w:val="hybridMultilevel"/>
    <w:tmpl w:val="5A029390"/>
    <w:lvl w:ilvl="0" w:tplc="C26AFC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A16415-1637-45C2-8DA6-B69FA726E84D}"/>
    <w:docVar w:name="dgnword-eventsink" w:val="302654072"/>
  </w:docVars>
  <w:rsids>
    <w:rsidRoot w:val="0097682C"/>
    <w:rsid w:val="00000C3C"/>
    <w:rsid w:val="000015B8"/>
    <w:rsid w:val="0000462D"/>
    <w:rsid w:val="000050A4"/>
    <w:rsid w:val="000050FC"/>
    <w:rsid w:val="00013998"/>
    <w:rsid w:val="00013C7F"/>
    <w:rsid w:val="000149A1"/>
    <w:rsid w:val="00016AA4"/>
    <w:rsid w:val="00016F41"/>
    <w:rsid w:val="00017956"/>
    <w:rsid w:val="00017D02"/>
    <w:rsid w:val="00021F2C"/>
    <w:rsid w:val="000307E5"/>
    <w:rsid w:val="00040A0A"/>
    <w:rsid w:val="000413DA"/>
    <w:rsid w:val="000427BD"/>
    <w:rsid w:val="00043716"/>
    <w:rsid w:val="000439E4"/>
    <w:rsid w:val="000463B2"/>
    <w:rsid w:val="000470CF"/>
    <w:rsid w:val="00055685"/>
    <w:rsid w:val="000608FA"/>
    <w:rsid w:val="000629C8"/>
    <w:rsid w:val="00065AAE"/>
    <w:rsid w:val="0006693A"/>
    <w:rsid w:val="00071B62"/>
    <w:rsid w:val="0007523F"/>
    <w:rsid w:val="0007591E"/>
    <w:rsid w:val="0007597A"/>
    <w:rsid w:val="000767E7"/>
    <w:rsid w:val="000877AB"/>
    <w:rsid w:val="00093005"/>
    <w:rsid w:val="0009586E"/>
    <w:rsid w:val="000A1A94"/>
    <w:rsid w:val="000A318D"/>
    <w:rsid w:val="000A3543"/>
    <w:rsid w:val="000A3868"/>
    <w:rsid w:val="000A3FB5"/>
    <w:rsid w:val="000A7B2E"/>
    <w:rsid w:val="000B0504"/>
    <w:rsid w:val="000B5AC6"/>
    <w:rsid w:val="000C13FB"/>
    <w:rsid w:val="000C46FD"/>
    <w:rsid w:val="000C607C"/>
    <w:rsid w:val="000D1F5D"/>
    <w:rsid w:val="000D226A"/>
    <w:rsid w:val="000D3F34"/>
    <w:rsid w:val="000D40BD"/>
    <w:rsid w:val="000D5DEC"/>
    <w:rsid w:val="000D6715"/>
    <w:rsid w:val="000E78D5"/>
    <w:rsid w:val="000F1171"/>
    <w:rsid w:val="000F22E3"/>
    <w:rsid w:val="000F6C9A"/>
    <w:rsid w:val="00103CAA"/>
    <w:rsid w:val="00107020"/>
    <w:rsid w:val="0011217E"/>
    <w:rsid w:val="001150FC"/>
    <w:rsid w:val="00115113"/>
    <w:rsid w:val="00120CDF"/>
    <w:rsid w:val="00120DBF"/>
    <w:rsid w:val="0012245F"/>
    <w:rsid w:val="001339D1"/>
    <w:rsid w:val="00135B67"/>
    <w:rsid w:val="001417AD"/>
    <w:rsid w:val="0014539B"/>
    <w:rsid w:val="001528C6"/>
    <w:rsid w:val="00155DB4"/>
    <w:rsid w:val="00160072"/>
    <w:rsid w:val="001663E2"/>
    <w:rsid w:val="00166454"/>
    <w:rsid w:val="00171071"/>
    <w:rsid w:val="001715D1"/>
    <w:rsid w:val="00171982"/>
    <w:rsid w:val="00172B22"/>
    <w:rsid w:val="00174607"/>
    <w:rsid w:val="00180FE9"/>
    <w:rsid w:val="00184AB7"/>
    <w:rsid w:val="00186554"/>
    <w:rsid w:val="001973B2"/>
    <w:rsid w:val="001A02F0"/>
    <w:rsid w:val="001A39D8"/>
    <w:rsid w:val="001A4EF1"/>
    <w:rsid w:val="001B6557"/>
    <w:rsid w:val="001B6C72"/>
    <w:rsid w:val="001B7311"/>
    <w:rsid w:val="001C442D"/>
    <w:rsid w:val="001C5290"/>
    <w:rsid w:val="001C59E6"/>
    <w:rsid w:val="001C630A"/>
    <w:rsid w:val="001C6A1A"/>
    <w:rsid w:val="001D19D2"/>
    <w:rsid w:val="001D1BB2"/>
    <w:rsid w:val="001D371E"/>
    <w:rsid w:val="001D3A8D"/>
    <w:rsid w:val="001E36AE"/>
    <w:rsid w:val="001E3E1E"/>
    <w:rsid w:val="001E429A"/>
    <w:rsid w:val="001E4894"/>
    <w:rsid w:val="001F12F7"/>
    <w:rsid w:val="001F165B"/>
    <w:rsid w:val="001F2866"/>
    <w:rsid w:val="001F2B10"/>
    <w:rsid w:val="002001F4"/>
    <w:rsid w:val="0020202A"/>
    <w:rsid w:val="00214D5B"/>
    <w:rsid w:val="002157F1"/>
    <w:rsid w:val="002304D9"/>
    <w:rsid w:val="00231446"/>
    <w:rsid w:val="00233455"/>
    <w:rsid w:val="002338A2"/>
    <w:rsid w:val="0023525F"/>
    <w:rsid w:val="00237E2C"/>
    <w:rsid w:val="0025071B"/>
    <w:rsid w:val="00251C26"/>
    <w:rsid w:val="00255D37"/>
    <w:rsid w:val="00261025"/>
    <w:rsid w:val="002622C0"/>
    <w:rsid w:val="002649BE"/>
    <w:rsid w:val="002729F1"/>
    <w:rsid w:val="00276F24"/>
    <w:rsid w:val="00277422"/>
    <w:rsid w:val="00283EE9"/>
    <w:rsid w:val="00284C04"/>
    <w:rsid w:val="00286E3B"/>
    <w:rsid w:val="00287C70"/>
    <w:rsid w:val="002928FE"/>
    <w:rsid w:val="002938BC"/>
    <w:rsid w:val="002A0DDC"/>
    <w:rsid w:val="002A224D"/>
    <w:rsid w:val="002A5C30"/>
    <w:rsid w:val="002B2517"/>
    <w:rsid w:val="002C121E"/>
    <w:rsid w:val="002C4673"/>
    <w:rsid w:val="002D0D7B"/>
    <w:rsid w:val="002D21A4"/>
    <w:rsid w:val="002D23B2"/>
    <w:rsid w:val="002D3072"/>
    <w:rsid w:val="002E3322"/>
    <w:rsid w:val="002E499A"/>
    <w:rsid w:val="002E4CA7"/>
    <w:rsid w:val="002E7634"/>
    <w:rsid w:val="002F096B"/>
    <w:rsid w:val="002F3C02"/>
    <w:rsid w:val="002F485B"/>
    <w:rsid w:val="002F49B2"/>
    <w:rsid w:val="002F4A9B"/>
    <w:rsid w:val="002F74EC"/>
    <w:rsid w:val="00300D34"/>
    <w:rsid w:val="00304F09"/>
    <w:rsid w:val="00307333"/>
    <w:rsid w:val="00307E31"/>
    <w:rsid w:val="00312E29"/>
    <w:rsid w:val="00314F31"/>
    <w:rsid w:val="003155BF"/>
    <w:rsid w:val="003173CC"/>
    <w:rsid w:val="00317A30"/>
    <w:rsid w:val="003217DF"/>
    <w:rsid w:val="00321FE7"/>
    <w:rsid w:val="003260FD"/>
    <w:rsid w:val="00326AC2"/>
    <w:rsid w:val="00326D20"/>
    <w:rsid w:val="00327DC5"/>
    <w:rsid w:val="003313CE"/>
    <w:rsid w:val="0033160E"/>
    <w:rsid w:val="0033185E"/>
    <w:rsid w:val="00333517"/>
    <w:rsid w:val="00333A9A"/>
    <w:rsid w:val="00335014"/>
    <w:rsid w:val="003424EF"/>
    <w:rsid w:val="00346954"/>
    <w:rsid w:val="00347FEB"/>
    <w:rsid w:val="00350F6E"/>
    <w:rsid w:val="00352102"/>
    <w:rsid w:val="00353900"/>
    <w:rsid w:val="0035472A"/>
    <w:rsid w:val="00355F32"/>
    <w:rsid w:val="0035661F"/>
    <w:rsid w:val="003600AC"/>
    <w:rsid w:val="00361925"/>
    <w:rsid w:val="00366495"/>
    <w:rsid w:val="003701A2"/>
    <w:rsid w:val="003719F7"/>
    <w:rsid w:val="0037452F"/>
    <w:rsid w:val="003768B8"/>
    <w:rsid w:val="00380FA5"/>
    <w:rsid w:val="00381D9D"/>
    <w:rsid w:val="003843C2"/>
    <w:rsid w:val="0039450D"/>
    <w:rsid w:val="003A1D96"/>
    <w:rsid w:val="003A5BC3"/>
    <w:rsid w:val="003A743B"/>
    <w:rsid w:val="003A7C37"/>
    <w:rsid w:val="003B0AE8"/>
    <w:rsid w:val="003B1FB3"/>
    <w:rsid w:val="003B2AC0"/>
    <w:rsid w:val="003C002C"/>
    <w:rsid w:val="003C2B68"/>
    <w:rsid w:val="003C4389"/>
    <w:rsid w:val="003C51BC"/>
    <w:rsid w:val="003C7E93"/>
    <w:rsid w:val="003D10F7"/>
    <w:rsid w:val="003D1BC6"/>
    <w:rsid w:val="003D1E55"/>
    <w:rsid w:val="003D6FB3"/>
    <w:rsid w:val="003D7DF8"/>
    <w:rsid w:val="003E4501"/>
    <w:rsid w:val="003F1ABD"/>
    <w:rsid w:val="003F27D1"/>
    <w:rsid w:val="003F4727"/>
    <w:rsid w:val="003F6ED5"/>
    <w:rsid w:val="004008A4"/>
    <w:rsid w:val="004009EF"/>
    <w:rsid w:val="00400E21"/>
    <w:rsid w:val="00402D5D"/>
    <w:rsid w:val="0040474A"/>
    <w:rsid w:val="00410BC0"/>
    <w:rsid w:val="004150DF"/>
    <w:rsid w:val="0041550D"/>
    <w:rsid w:val="004208B3"/>
    <w:rsid w:val="004225A2"/>
    <w:rsid w:val="0042307B"/>
    <w:rsid w:val="00430647"/>
    <w:rsid w:val="004322F0"/>
    <w:rsid w:val="004323CB"/>
    <w:rsid w:val="004374D3"/>
    <w:rsid w:val="00444291"/>
    <w:rsid w:val="00450C6D"/>
    <w:rsid w:val="0045136E"/>
    <w:rsid w:val="00451BAD"/>
    <w:rsid w:val="0046053E"/>
    <w:rsid w:val="00470A06"/>
    <w:rsid w:val="00474130"/>
    <w:rsid w:val="00475B66"/>
    <w:rsid w:val="00475C31"/>
    <w:rsid w:val="0048099F"/>
    <w:rsid w:val="004820C6"/>
    <w:rsid w:val="00495DB6"/>
    <w:rsid w:val="004A14FA"/>
    <w:rsid w:val="004A267B"/>
    <w:rsid w:val="004A297F"/>
    <w:rsid w:val="004A4CF0"/>
    <w:rsid w:val="004A54A6"/>
    <w:rsid w:val="004A6924"/>
    <w:rsid w:val="004B120C"/>
    <w:rsid w:val="004B3D9E"/>
    <w:rsid w:val="004B4626"/>
    <w:rsid w:val="004C297A"/>
    <w:rsid w:val="004C5032"/>
    <w:rsid w:val="004C5989"/>
    <w:rsid w:val="004D3760"/>
    <w:rsid w:val="004D7E43"/>
    <w:rsid w:val="004F1A42"/>
    <w:rsid w:val="004F6188"/>
    <w:rsid w:val="004F775A"/>
    <w:rsid w:val="004F7EE1"/>
    <w:rsid w:val="00504FD3"/>
    <w:rsid w:val="0051058B"/>
    <w:rsid w:val="00510DC6"/>
    <w:rsid w:val="005136E8"/>
    <w:rsid w:val="00513F5E"/>
    <w:rsid w:val="00520848"/>
    <w:rsid w:val="00521517"/>
    <w:rsid w:val="0052672E"/>
    <w:rsid w:val="00531EB7"/>
    <w:rsid w:val="0053367D"/>
    <w:rsid w:val="005405A5"/>
    <w:rsid w:val="00541CBB"/>
    <w:rsid w:val="00541F27"/>
    <w:rsid w:val="00544A87"/>
    <w:rsid w:val="00556049"/>
    <w:rsid w:val="00557290"/>
    <w:rsid w:val="00560A2F"/>
    <w:rsid w:val="00561BA4"/>
    <w:rsid w:val="005655FC"/>
    <w:rsid w:val="00571879"/>
    <w:rsid w:val="00572577"/>
    <w:rsid w:val="00573BC2"/>
    <w:rsid w:val="005835F7"/>
    <w:rsid w:val="00590D95"/>
    <w:rsid w:val="00593BD6"/>
    <w:rsid w:val="00596EE7"/>
    <w:rsid w:val="005972FE"/>
    <w:rsid w:val="005A27BF"/>
    <w:rsid w:val="005A2D5B"/>
    <w:rsid w:val="005B092D"/>
    <w:rsid w:val="005B15B0"/>
    <w:rsid w:val="005B4F65"/>
    <w:rsid w:val="005B6FBB"/>
    <w:rsid w:val="005B7D46"/>
    <w:rsid w:val="005C5748"/>
    <w:rsid w:val="005C654A"/>
    <w:rsid w:val="005D3392"/>
    <w:rsid w:val="005D3AB5"/>
    <w:rsid w:val="005E0465"/>
    <w:rsid w:val="005E37C6"/>
    <w:rsid w:val="005F6B29"/>
    <w:rsid w:val="00602028"/>
    <w:rsid w:val="00602634"/>
    <w:rsid w:val="0060273A"/>
    <w:rsid w:val="006047CF"/>
    <w:rsid w:val="00606726"/>
    <w:rsid w:val="00614BF5"/>
    <w:rsid w:val="00616D3B"/>
    <w:rsid w:val="006212BB"/>
    <w:rsid w:val="0062495A"/>
    <w:rsid w:val="00630592"/>
    <w:rsid w:val="0063587D"/>
    <w:rsid w:val="00635A81"/>
    <w:rsid w:val="00635E3E"/>
    <w:rsid w:val="00636262"/>
    <w:rsid w:val="0063663E"/>
    <w:rsid w:val="00636A50"/>
    <w:rsid w:val="006414E2"/>
    <w:rsid w:val="00644FC8"/>
    <w:rsid w:val="0065117C"/>
    <w:rsid w:val="0065432A"/>
    <w:rsid w:val="00661C07"/>
    <w:rsid w:val="00666F92"/>
    <w:rsid w:val="0067212C"/>
    <w:rsid w:val="00673550"/>
    <w:rsid w:val="00676394"/>
    <w:rsid w:val="00677BE5"/>
    <w:rsid w:val="00682512"/>
    <w:rsid w:val="00683EEE"/>
    <w:rsid w:val="00684334"/>
    <w:rsid w:val="006852E8"/>
    <w:rsid w:val="00686B55"/>
    <w:rsid w:val="006929F4"/>
    <w:rsid w:val="0069708E"/>
    <w:rsid w:val="006974B1"/>
    <w:rsid w:val="006B0AB6"/>
    <w:rsid w:val="006B1642"/>
    <w:rsid w:val="006B3447"/>
    <w:rsid w:val="006B3BE4"/>
    <w:rsid w:val="006C0FB5"/>
    <w:rsid w:val="006D29D6"/>
    <w:rsid w:val="006E266E"/>
    <w:rsid w:val="006F3664"/>
    <w:rsid w:val="006F507F"/>
    <w:rsid w:val="006F57CE"/>
    <w:rsid w:val="006F7093"/>
    <w:rsid w:val="0070164A"/>
    <w:rsid w:val="00705AB0"/>
    <w:rsid w:val="00715C0C"/>
    <w:rsid w:val="0071789D"/>
    <w:rsid w:val="007206DE"/>
    <w:rsid w:val="00725137"/>
    <w:rsid w:val="00727DDA"/>
    <w:rsid w:val="007328A6"/>
    <w:rsid w:val="00732CFB"/>
    <w:rsid w:val="0073441A"/>
    <w:rsid w:val="007364C3"/>
    <w:rsid w:val="00736AA2"/>
    <w:rsid w:val="00736FB3"/>
    <w:rsid w:val="007408B4"/>
    <w:rsid w:val="007417D5"/>
    <w:rsid w:val="007455E1"/>
    <w:rsid w:val="00745DEB"/>
    <w:rsid w:val="00746BF2"/>
    <w:rsid w:val="007471AC"/>
    <w:rsid w:val="00751C96"/>
    <w:rsid w:val="0075257F"/>
    <w:rsid w:val="00761A13"/>
    <w:rsid w:val="00763724"/>
    <w:rsid w:val="00764E0F"/>
    <w:rsid w:val="0077041F"/>
    <w:rsid w:val="007721AC"/>
    <w:rsid w:val="007734FA"/>
    <w:rsid w:val="007761CE"/>
    <w:rsid w:val="0077787C"/>
    <w:rsid w:val="00777D1F"/>
    <w:rsid w:val="00780198"/>
    <w:rsid w:val="00784119"/>
    <w:rsid w:val="00784D89"/>
    <w:rsid w:val="00786128"/>
    <w:rsid w:val="00787188"/>
    <w:rsid w:val="0079291A"/>
    <w:rsid w:val="007936F9"/>
    <w:rsid w:val="0079706A"/>
    <w:rsid w:val="007A0043"/>
    <w:rsid w:val="007A1853"/>
    <w:rsid w:val="007A2B36"/>
    <w:rsid w:val="007A6F40"/>
    <w:rsid w:val="007B51C8"/>
    <w:rsid w:val="007B5828"/>
    <w:rsid w:val="007C1F17"/>
    <w:rsid w:val="007C243B"/>
    <w:rsid w:val="007C2DAF"/>
    <w:rsid w:val="007C4926"/>
    <w:rsid w:val="007D0291"/>
    <w:rsid w:val="007D061D"/>
    <w:rsid w:val="007D6EAD"/>
    <w:rsid w:val="007F05EF"/>
    <w:rsid w:val="007F1ECE"/>
    <w:rsid w:val="007F48FC"/>
    <w:rsid w:val="007F60AF"/>
    <w:rsid w:val="0080510D"/>
    <w:rsid w:val="0080793B"/>
    <w:rsid w:val="0081206F"/>
    <w:rsid w:val="00815E89"/>
    <w:rsid w:val="00823B4F"/>
    <w:rsid w:val="00823CCE"/>
    <w:rsid w:val="00826F9D"/>
    <w:rsid w:val="008301E1"/>
    <w:rsid w:val="0083058C"/>
    <w:rsid w:val="0083647E"/>
    <w:rsid w:val="008443D2"/>
    <w:rsid w:val="008550FF"/>
    <w:rsid w:val="00855B70"/>
    <w:rsid w:val="00856ACA"/>
    <w:rsid w:val="0085794F"/>
    <w:rsid w:val="00860754"/>
    <w:rsid w:val="0086245C"/>
    <w:rsid w:val="008656BD"/>
    <w:rsid w:val="00867B66"/>
    <w:rsid w:val="0087287B"/>
    <w:rsid w:val="0087771F"/>
    <w:rsid w:val="0088081B"/>
    <w:rsid w:val="0088109D"/>
    <w:rsid w:val="00882C49"/>
    <w:rsid w:val="00885516"/>
    <w:rsid w:val="008875F5"/>
    <w:rsid w:val="008930A4"/>
    <w:rsid w:val="0089609B"/>
    <w:rsid w:val="008A7E45"/>
    <w:rsid w:val="008B15A5"/>
    <w:rsid w:val="008B1E1E"/>
    <w:rsid w:val="008B4135"/>
    <w:rsid w:val="008C1252"/>
    <w:rsid w:val="008C725F"/>
    <w:rsid w:val="008D1062"/>
    <w:rsid w:val="008D39E7"/>
    <w:rsid w:val="008D3E4D"/>
    <w:rsid w:val="008D461F"/>
    <w:rsid w:val="008E4C67"/>
    <w:rsid w:val="008E5216"/>
    <w:rsid w:val="008E64ED"/>
    <w:rsid w:val="008E67B8"/>
    <w:rsid w:val="008E7A3D"/>
    <w:rsid w:val="008F064C"/>
    <w:rsid w:val="008F1DDD"/>
    <w:rsid w:val="008F4D31"/>
    <w:rsid w:val="008F7098"/>
    <w:rsid w:val="00900BEC"/>
    <w:rsid w:val="0090538E"/>
    <w:rsid w:val="00906702"/>
    <w:rsid w:val="00912FB8"/>
    <w:rsid w:val="00913EB3"/>
    <w:rsid w:val="00916F17"/>
    <w:rsid w:val="00916FE5"/>
    <w:rsid w:val="00920280"/>
    <w:rsid w:val="00922033"/>
    <w:rsid w:val="00922891"/>
    <w:rsid w:val="00923050"/>
    <w:rsid w:val="00927947"/>
    <w:rsid w:val="009321F9"/>
    <w:rsid w:val="00936386"/>
    <w:rsid w:val="00936A29"/>
    <w:rsid w:val="00942D39"/>
    <w:rsid w:val="009447E1"/>
    <w:rsid w:val="00950CF2"/>
    <w:rsid w:val="0095189F"/>
    <w:rsid w:val="00954F73"/>
    <w:rsid w:val="0095708E"/>
    <w:rsid w:val="00962325"/>
    <w:rsid w:val="00962EF5"/>
    <w:rsid w:val="00970679"/>
    <w:rsid w:val="00971C02"/>
    <w:rsid w:val="0097397E"/>
    <w:rsid w:val="00975ED1"/>
    <w:rsid w:val="0097682C"/>
    <w:rsid w:val="00976A34"/>
    <w:rsid w:val="00976EFD"/>
    <w:rsid w:val="00982229"/>
    <w:rsid w:val="009861DC"/>
    <w:rsid w:val="009909EF"/>
    <w:rsid w:val="009957E2"/>
    <w:rsid w:val="009966D9"/>
    <w:rsid w:val="009A330F"/>
    <w:rsid w:val="009A482E"/>
    <w:rsid w:val="009A5BF7"/>
    <w:rsid w:val="009B2484"/>
    <w:rsid w:val="009B3C8D"/>
    <w:rsid w:val="009B43B4"/>
    <w:rsid w:val="009C0EEA"/>
    <w:rsid w:val="009C1845"/>
    <w:rsid w:val="009C1AF9"/>
    <w:rsid w:val="009C452A"/>
    <w:rsid w:val="009C5DA1"/>
    <w:rsid w:val="009D08DC"/>
    <w:rsid w:val="009D3F1B"/>
    <w:rsid w:val="009D7929"/>
    <w:rsid w:val="009F2282"/>
    <w:rsid w:val="009F3459"/>
    <w:rsid w:val="00A027BC"/>
    <w:rsid w:val="00A0701A"/>
    <w:rsid w:val="00A10B28"/>
    <w:rsid w:val="00A16CB5"/>
    <w:rsid w:val="00A2104F"/>
    <w:rsid w:val="00A24CA8"/>
    <w:rsid w:val="00A278FA"/>
    <w:rsid w:val="00A32AF0"/>
    <w:rsid w:val="00A332AD"/>
    <w:rsid w:val="00A372D3"/>
    <w:rsid w:val="00A37ECA"/>
    <w:rsid w:val="00A422E1"/>
    <w:rsid w:val="00A55822"/>
    <w:rsid w:val="00A567BF"/>
    <w:rsid w:val="00A56D6D"/>
    <w:rsid w:val="00A64513"/>
    <w:rsid w:val="00A65A4A"/>
    <w:rsid w:val="00A66682"/>
    <w:rsid w:val="00A666D8"/>
    <w:rsid w:val="00A66B39"/>
    <w:rsid w:val="00A778F0"/>
    <w:rsid w:val="00A801F7"/>
    <w:rsid w:val="00A80D24"/>
    <w:rsid w:val="00A83395"/>
    <w:rsid w:val="00A83DF3"/>
    <w:rsid w:val="00A862AF"/>
    <w:rsid w:val="00A92915"/>
    <w:rsid w:val="00A93D32"/>
    <w:rsid w:val="00A93FD2"/>
    <w:rsid w:val="00A94DD3"/>
    <w:rsid w:val="00A9511F"/>
    <w:rsid w:val="00AB0333"/>
    <w:rsid w:val="00AB2119"/>
    <w:rsid w:val="00AB2BF3"/>
    <w:rsid w:val="00AB532A"/>
    <w:rsid w:val="00AC0724"/>
    <w:rsid w:val="00AC43AF"/>
    <w:rsid w:val="00AC58FF"/>
    <w:rsid w:val="00AC5A54"/>
    <w:rsid w:val="00AC5D66"/>
    <w:rsid w:val="00AC72A3"/>
    <w:rsid w:val="00AD2B23"/>
    <w:rsid w:val="00AD2F75"/>
    <w:rsid w:val="00AD2F9B"/>
    <w:rsid w:val="00AD5FB0"/>
    <w:rsid w:val="00AD7AD7"/>
    <w:rsid w:val="00AE0400"/>
    <w:rsid w:val="00AE4524"/>
    <w:rsid w:val="00AE7D3B"/>
    <w:rsid w:val="00AF1BAE"/>
    <w:rsid w:val="00AF4D05"/>
    <w:rsid w:val="00AF5D25"/>
    <w:rsid w:val="00B0126F"/>
    <w:rsid w:val="00B05D5E"/>
    <w:rsid w:val="00B06928"/>
    <w:rsid w:val="00B0768A"/>
    <w:rsid w:val="00B102A2"/>
    <w:rsid w:val="00B11D98"/>
    <w:rsid w:val="00B12D75"/>
    <w:rsid w:val="00B158B3"/>
    <w:rsid w:val="00B17EF7"/>
    <w:rsid w:val="00B17F1B"/>
    <w:rsid w:val="00B20853"/>
    <w:rsid w:val="00B25031"/>
    <w:rsid w:val="00B25B41"/>
    <w:rsid w:val="00B26285"/>
    <w:rsid w:val="00B26CC0"/>
    <w:rsid w:val="00B31768"/>
    <w:rsid w:val="00B32D15"/>
    <w:rsid w:val="00B32F5C"/>
    <w:rsid w:val="00B3332E"/>
    <w:rsid w:val="00B3434A"/>
    <w:rsid w:val="00B37F2D"/>
    <w:rsid w:val="00B407F6"/>
    <w:rsid w:val="00B4127A"/>
    <w:rsid w:val="00B41D5B"/>
    <w:rsid w:val="00B42707"/>
    <w:rsid w:val="00B428B3"/>
    <w:rsid w:val="00B434A2"/>
    <w:rsid w:val="00B4429D"/>
    <w:rsid w:val="00B51FDC"/>
    <w:rsid w:val="00B54F63"/>
    <w:rsid w:val="00B574C5"/>
    <w:rsid w:val="00B60980"/>
    <w:rsid w:val="00B656B0"/>
    <w:rsid w:val="00B67CD6"/>
    <w:rsid w:val="00B71985"/>
    <w:rsid w:val="00B73592"/>
    <w:rsid w:val="00B757AA"/>
    <w:rsid w:val="00B75A89"/>
    <w:rsid w:val="00B800B6"/>
    <w:rsid w:val="00B81402"/>
    <w:rsid w:val="00B84BFB"/>
    <w:rsid w:val="00BA018D"/>
    <w:rsid w:val="00BA04E3"/>
    <w:rsid w:val="00BA1CA8"/>
    <w:rsid w:val="00BA1FFF"/>
    <w:rsid w:val="00BA7157"/>
    <w:rsid w:val="00BA73F6"/>
    <w:rsid w:val="00BA7931"/>
    <w:rsid w:val="00BB17C3"/>
    <w:rsid w:val="00BB1A64"/>
    <w:rsid w:val="00BB1CF2"/>
    <w:rsid w:val="00BC1790"/>
    <w:rsid w:val="00BC2FBA"/>
    <w:rsid w:val="00BC6872"/>
    <w:rsid w:val="00BD21AC"/>
    <w:rsid w:val="00BD3067"/>
    <w:rsid w:val="00BD4CA5"/>
    <w:rsid w:val="00BD57EE"/>
    <w:rsid w:val="00BD6962"/>
    <w:rsid w:val="00BE066B"/>
    <w:rsid w:val="00BE2B9D"/>
    <w:rsid w:val="00BE2D69"/>
    <w:rsid w:val="00BE3AAB"/>
    <w:rsid w:val="00BE45AE"/>
    <w:rsid w:val="00BE530E"/>
    <w:rsid w:val="00BE7C4E"/>
    <w:rsid w:val="00BF096E"/>
    <w:rsid w:val="00BF37FE"/>
    <w:rsid w:val="00BF3E5A"/>
    <w:rsid w:val="00BF615D"/>
    <w:rsid w:val="00BF6508"/>
    <w:rsid w:val="00BF6CE4"/>
    <w:rsid w:val="00C021C3"/>
    <w:rsid w:val="00C06274"/>
    <w:rsid w:val="00C07C65"/>
    <w:rsid w:val="00C10663"/>
    <w:rsid w:val="00C1241D"/>
    <w:rsid w:val="00C12948"/>
    <w:rsid w:val="00C22B28"/>
    <w:rsid w:val="00C24B65"/>
    <w:rsid w:val="00C2666D"/>
    <w:rsid w:val="00C301FC"/>
    <w:rsid w:val="00C3703B"/>
    <w:rsid w:val="00C458BB"/>
    <w:rsid w:val="00C50EDF"/>
    <w:rsid w:val="00C53750"/>
    <w:rsid w:val="00C53F52"/>
    <w:rsid w:val="00C61CD7"/>
    <w:rsid w:val="00C66A95"/>
    <w:rsid w:val="00C672B1"/>
    <w:rsid w:val="00C7662B"/>
    <w:rsid w:val="00C80B14"/>
    <w:rsid w:val="00C845CA"/>
    <w:rsid w:val="00C87C46"/>
    <w:rsid w:val="00C95D37"/>
    <w:rsid w:val="00CA1B32"/>
    <w:rsid w:val="00CA2A35"/>
    <w:rsid w:val="00CA4082"/>
    <w:rsid w:val="00CB1A43"/>
    <w:rsid w:val="00CB3319"/>
    <w:rsid w:val="00CB5D27"/>
    <w:rsid w:val="00CB6381"/>
    <w:rsid w:val="00CB6605"/>
    <w:rsid w:val="00CB6A2F"/>
    <w:rsid w:val="00CB7E41"/>
    <w:rsid w:val="00CC1D80"/>
    <w:rsid w:val="00CC396D"/>
    <w:rsid w:val="00CC3A05"/>
    <w:rsid w:val="00CC4257"/>
    <w:rsid w:val="00CE3B19"/>
    <w:rsid w:val="00CE6349"/>
    <w:rsid w:val="00CF0ACD"/>
    <w:rsid w:val="00CF469B"/>
    <w:rsid w:val="00D0632E"/>
    <w:rsid w:val="00D15544"/>
    <w:rsid w:val="00D15A10"/>
    <w:rsid w:val="00D16028"/>
    <w:rsid w:val="00D17D13"/>
    <w:rsid w:val="00D24F4C"/>
    <w:rsid w:val="00D2737E"/>
    <w:rsid w:val="00D32254"/>
    <w:rsid w:val="00D32D9B"/>
    <w:rsid w:val="00D32E72"/>
    <w:rsid w:val="00D334C5"/>
    <w:rsid w:val="00D402BB"/>
    <w:rsid w:val="00D41C01"/>
    <w:rsid w:val="00D4526A"/>
    <w:rsid w:val="00D45B53"/>
    <w:rsid w:val="00D4782D"/>
    <w:rsid w:val="00D503E1"/>
    <w:rsid w:val="00D50690"/>
    <w:rsid w:val="00D5214C"/>
    <w:rsid w:val="00D55EC6"/>
    <w:rsid w:val="00D57568"/>
    <w:rsid w:val="00D617BA"/>
    <w:rsid w:val="00D62991"/>
    <w:rsid w:val="00D647AB"/>
    <w:rsid w:val="00D65CF5"/>
    <w:rsid w:val="00D662A8"/>
    <w:rsid w:val="00D66DB3"/>
    <w:rsid w:val="00D67774"/>
    <w:rsid w:val="00D6795E"/>
    <w:rsid w:val="00D67EDF"/>
    <w:rsid w:val="00D709FA"/>
    <w:rsid w:val="00D73F95"/>
    <w:rsid w:val="00D74254"/>
    <w:rsid w:val="00D83A9D"/>
    <w:rsid w:val="00D840DC"/>
    <w:rsid w:val="00D854CB"/>
    <w:rsid w:val="00D87647"/>
    <w:rsid w:val="00D9155F"/>
    <w:rsid w:val="00D9580B"/>
    <w:rsid w:val="00D95927"/>
    <w:rsid w:val="00D96C01"/>
    <w:rsid w:val="00DA5BFA"/>
    <w:rsid w:val="00DA64A1"/>
    <w:rsid w:val="00DA7883"/>
    <w:rsid w:val="00DB188B"/>
    <w:rsid w:val="00DD3381"/>
    <w:rsid w:val="00DD3CDB"/>
    <w:rsid w:val="00DE2A64"/>
    <w:rsid w:val="00DE4805"/>
    <w:rsid w:val="00DF1667"/>
    <w:rsid w:val="00DF1AC9"/>
    <w:rsid w:val="00DF28DD"/>
    <w:rsid w:val="00DF5242"/>
    <w:rsid w:val="00DF61A2"/>
    <w:rsid w:val="00DF6F40"/>
    <w:rsid w:val="00E00487"/>
    <w:rsid w:val="00E00739"/>
    <w:rsid w:val="00E00E99"/>
    <w:rsid w:val="00E016A4"/>
    <w:rsid w:val="00E03788"/>
    <w:rsid w:val="00E06FFD"/>
    <w:rsid w:val="00E12761"/>
    <w:rsid w:val="00E20822"/>
    <w:rsid w:val="00E2083A"/>
    <w:rsid w:val="00E22D76"/>
    <w:rsid w:val="00E254D4"/>
    <w:rsid w:val="00E259C1"/>
    <w:rsid w:val="00E26035"/>
    <w:rsid w:val="00E30308"/>
    <w:rsid w:val="00E30D71"/>
    <w:rsid w:val="00E31A90"/>
    <w:rsid w:val="00E3414D"/>
    <w:rsid w:val="00E3596B"/>
    <w:rsid w:val="00E36E3A"/>
    <w:rsid w:val="00E410DF"/>
    <w:rsid w:val="00E4545C"/>
    <w:rsid w:val="00E502D1"/>
    <w:rsid w:val="00E52189"/>
    <w:rsid w:val="00E558CB"/>
    <w:rsid w:val="00E60C16"/>
    <w:rsid w:val="00E61058"/>
    <w:rsid w:val="00E62AE7"/>
    <w:rsid w:val="00E635C6"/>
    <w:rsid w:val="00E63A4A"/>
    <w:rsid w:val="00E722DB"/>
    <w:rsid w:val="00E7287F"/>
    <w:rsid w:val="00E7513A"/>
    <w:rsid w:val="00E82A3F"/>
    <w:rsid w:val="00E8333A"/>
    <w:rsid w:val="00E8447A"/>
    <w:rsid w:val="00E84EDD"/>
    <w:rsid w:val="00E911D8"/>
    <w:rsid w:val="00E91713"/>
    <w:rsid w:val="00E955F1"/>
    <w:rsid w:val="00EA1BFA"/>
    <w:rsid w:val="00EA2FB8"/>
    <w:rsid w:val="00EA3E11"/>
    <w:rsid w:val="00EA4C18"/>
    <w:rsid w:val="00EA4E02"/>
    <w:rsid w:val="00EA575F"/>
    <w:rsid w:val="00EA6A77"/>
    <w:rsid w:val="00EA7557"/>
    <w:rsid w:val="00EB0453"/>
    <w:rsid w:val="00EC0A2B"/>
    <w:rsid w:val="00EC0DA4"/>
    <w:rsid w:val="00EC0DBD"/>
    <w:rsid w:val="00EC42E9"/>
    <w:rsid w:val="00EC5283"/>
    <w:rsid w:val="00EC6AAE"/>
    <w:rsid w:val="00ED0767"/>
    <w:rsid w:val="00ED2646"/>
    <w:rsid w:val="00ED329F"/>
    <w:rsid w:val="00EE5788"/>
    <w:rsid w:val="00EE6F32"/>
    <w:rsid w:val="00EF6E9E"/>
    <w:rsid w:val="00EF7C2B"/>
    <w:rsid w:val="00F01133"/>
    <w:rsid w:val="00F01571"/>
    <w:rsid w:val="00F01998"/>
    <w:rsid w:val="00F03209"/>
    <w:rsid w:val="00F0442F"/>
    <w:rsid w:val="00F05455"/>
    <w:rsid w:val="00F06D4E"/>
    <w:rsid w:val="00F20812"/>
    <w:rsid w:val="00F22388"/>
    <w:rsid w:val="00F3086E"/>
    <w:rsid w:val="00F347FC"/>
    <w:rsid w:val="00F36991"/>
    <w:rsid w:val="00F403E7"/>
    <w:rsid w:val="00F421A1"/>
    <w:rsid w:val="00F508B0"/>
    <w:rsid w:val="00F50900"/>
    <w:rsid w:val="00F5317F"/>
    <w:rsid w:val="00F53A93"/>
    <w:rsid w:val="00F5589F"/>
    <w:rsid w:val="00F55E38"/>
    <w:rsid w:val="00F56BFC"/>
    <w:rsid w:val="00F60441"/>
    <w:rsid w:val="00F6082C"/>
    <w:rsid w:val="00F701EB"/>
    <w:rsid w:val="00F70D2F"/>
    <w:rsid w:val="00F7334D"/>
    <w:rsid w:val="00F774ED"/>
    <w:rsid w:val="00F77E87"/>
    <w:rsid w:val="00F8376E"/>
    <w:rsid w:val="00F85D12"/>
    <w:rsid w:val="00F93C51"/>
    <w:rsid w:val="00F977B0"/>
    <w:rsid w:val="00FA0404"/>
    <w:rsid w:val="00FA3EB9"/>
    <w:rsid w:val="00FA6DF4"/>
    <w:rsid w:val="00FA6FD2"/>
    <w:rsid w:val="00FA7192"/>
    <w:rsid w:val="00FB077E"/>
    <w:rsid w:val="00FB115D"/>
    <w:rsid w:val="00FB518F"/>
    <w:rsid w:val="00FB70A7"/>
    <w:rsid w:val="00FC5A4A"/>
    <w:rsid w:val="00FC5A64"/>
    <w:rsid w:val="00FC5BA1"/>
    <w:rsid w:val="00FC6005"/>
    <w:rsid w:val="00FD02B3"/>
    <w:rsid w:val="00FD3CF3"/>
    <w:rsid w:val="00FD4130"/>
    <w:rsid w:val="00FE1498"/>
    <w:rsid w:val="00FE1D68"/>
    <w:rsid w:val="00FE1D6D"/>
    <w:rsid w:val="00FE2262"/>
    <w:rsid w:val="00FE7DD3"/>
    <w:rsid w:val="00FF0A30"/>
    <w:rsid w:val="00FF167D"/>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ECE7"/>
  <w15:docId w15:val="{D97F3776-D771-493B-9494-0F99CF9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71"/>
    <w:pPr>
      <w:spacing w:after="0" w:line="360" w:lineRule="auto"/>
      <w:ind w:left="720"/>
    </w:pPr>
    <w:rPr>
      <w:rFonts w:ascii="Arial" w:eastAsia="Arial" w:hAnsi="Arial" w:cs="Arial"/>
      <w:color w:val="000000"/>
      <w:sz w:val="24"/>
      <w:lang w:val="en-ZA" w:eastAsia="en-ZA"/>
    </w:rPr>
  </w:style>
  <w:style w:type="paragraph" w:styleId="Heading1">
    <w:name w:val="heading 1"/>
    <w:next w:val="Normal"/>
    <w:link w:val="Heading1Char"/>
    <w:qFormat/>
    <w:rsid w:val="00F01571"/>
    <w:pPr>
      <w:keepNext/>
      <w:keepLines/>
      <w:spacing w:after="140" w:line="240" w:lineRule="auto"/>
      <w:ind w:left="-5" w:right="-15" w:hanging="10"/>
      <w:outlineLvl w:val="0"/>
    </w:pPr>
    <w:rPr>
      <w:rFonts w:ascii="Arial" w:eastAsia="Arial" w:hAnsi="Arial" w:cs="Times New Roman"/>
      <w:b/>
      <w:color w:val="000000"/>
      <w:sz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71"/>
    <w:rPr>
      <w:rFonts w:ascii="Arial" w:eastAsia="Arial" w:hAnsi="Arial" w:cs="Times New Roman"/>
      <w:b/>
      <w:color w:val="000000"/>
      <w:sz w:val="24"/>
      <w:lang w:val="en-ZA" w:eastAsia="en-ZA"/>
    </w:rPr>
  </w:style>
  <w:style w:type="paragraph" w:styleId="ListParagraph">
    <w:name w:val="List Paragraph"/>
    <w:basedOn w:val="Normal"/>
    <w:uiPriority w:val="34"/>
    <w:qFormat/>
    <w:rsid w:val="003260FD"/>
    <w:pPr>
      <w:contextualSpacing/>
    </w:pPr>
  </w:style>
  <w:style w:type="paragraph" w:styleId="FootnoteText">
    <w:name w:val="footnote text"/>
    <w:basedOn w:val="Normal"/>
    <w:link w:val="FootnoteTextChar"/>
    <w:uiPriority w:val="99"/>
    <w:semiHidden/>
    <w:unhideWhenUsed/>
    <w:rsid w:val="00962325"/>
    <w:pPr>
      <w:spacing w:line="240" w:lineRule="auto"/>
    </w:pPr>
    <w:rPr>
      <w:sz w:val="20"/>
      <w:szCs w:val="20"/>
    </w:rPr>
  </w:style>
  <w:style w:type="character" w:customStyle="1" w:styleId="FootnoteTextChar">
    <w:name w:val="Footnote Text Char"/>
    <w:basedOn w:val="DefaultParagraphFont"/>
    <w:link w:val="FootnoteText"/>
    <w:uiPriority w:val="99"/>
    <w:semiHidden/>
    <w:rsid w:val="00962325"/>
    <w:rPr>
      <w:rFonts w:ascii="Arial" w:eastAsia="Arial" w:hAnsi="Arial" w:cs="Arial"/>
      <w:color w:val="000000"/>
      <w:sz w:val="20"/>
      <w:szCs w:val="20"/>
      <w:lang w:val="en-ZA" w:eastAsia="en-ZA"/>
    </w:rPr>
  </w:style>
  <w:style w:type="character" w:styleId="FootnoteReference">
    <w:name w:val="footnote reference"/>
    <w:basedOn w:val="DefaultParagraphFont"/>
    <w:uiPriority w:val="99"/>
    <w:semiHidden/>
    <w:unhideWhenUsed/>
    <w:rsid w:val="00962325"/>
    <w:rPr>
      <w:vertAlign w:val="superscript"/>
    </w:rPr>
  </w:style>
  <w:style w:type="paragraph" w:styleId="Header">
    <w:name w:val="header"/>
    <w:basedOn w:val="Normal"/>
    <w:link w:val="HeaderChar"/>
    <w:uiPriority w:val="99"/>
    <w:unhideWhenUsed/>
    <w:rsid w:val="00B102A2"/>
    <w:pPr>
      <w:tabs>
        <w:tab w:val="center" w:pos="4513"/>
        <w:tab w:val="right" w:pos="9026"/>
      </w:tabs>
      <w:spacing w:line="240" w:lineRule="auto"/>
    </w:pPr>
  </w:style>
  <w:style w:type="character" w:customStyle="1" w:styleId="HeaderChar">
    <w:name w:val="Header Char"/>
    <w:basedOn w:val="DefaultParagraphFont"/>
    <w:link w:val="Header"/>
    <w:uiPriority w:val="99"/>
    <w:rsid w:val="00B102A2"/>
    <w:rPr>
      <w:rFonts w:ascii="Arial" w:eastAsia="Arial" w:hAnsi="Arial" w:cs="Arial"/>
      <w:color w:val="000000"/>
      <w:sz w:val="24"/>
      <w:lang w:val="en-ZA" w:eastAsia="en-ZA"/>
    </w:rPr>
  </w:style>
  <w:style w:type="paragraph" w:styleId="Footer">
    <w:name w:val="footer"/>
    <w:basedOn w:val="Normal"/>
    <w:link w:val="FooterChar"/>
    <w:uiPriority w:val="99"/>
    <w:unhideWhenUsed/>
    <w:rsid w:val="00B102A2"/>
    <w:pPr>
      <w:tabs>
        <w:tab w:val="center" w:pos="4513"/>
        <w:tab w:val="right" w:pos="9026"/>
      </w:tabs>
      <w:spacing w:line="240" w:lineRule="auto"/>
    </w:pPr>
  </w:style>
  <w:style w:type="character" w:customStyle="1" w:styleId="FooterChar">
    <w:name w:val="Footer Char"/>
    <w:basedOn w:val="DefaultParagraphFont"/>
    <w:link w:val="Footer"/>
    <w:uiPriority w:val="99"/>
    <w:rsid w:val="00B102A2"/>
    <w:rPr>
      <w:rFonts w:ascii="Arial" w:eastAsia="Arial" w:hAnsi="Arial" w:cs="Arial"/>
      <w:color w:val="000000"/>
      <w:sz w:val="24"/>
      <w:lang w:val="en-ZA" w:eastAsia="en-ZA"/>
    </w:rPr>
  </w:style>
  <w:style w:type="paragraph" w:styleId="BalloonText">
    <w:name w:val="Balloon Text"/>
    <w:basedOn w:val="Normal"/>
    <w:link w:val="BalloonTextChar"/>
    <w:uiPriority w:val="99"/>
    <w:semiHidden/>
    <w:unhideWhenUsed/>
    <w:rsid w:val="005D3A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B5"/>
    <w:rPr>
      <w:rFonts w:ascii="Segoe UI" w:eastAsia="Arial"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E61058"/>
    <w:rPr>
      <w:sz w:val="16"/>
      <w:szCs w:val="16"/>
    </w:rPr>
  </w:style>
  <w:style w:type="paragraph" w:styleId="CommentText">
    <w:name w:val="annotation text"/>
    <w:basedOn w:val="Normal"/>
    <w:link w:val="CommentTextChar"/>
    <w:uiPriority w:val="99"/>
    <w:semiHidden/>
    <w:unhideWhenUsed/>
    <w:rsid w:val="00E61058"/>
    <w:pPr>
      <w:spacing w:line="240" w:lineRule="auto"/>
    </w:pPr>
    <w:rPr>
      <w:sz w:val="20"/>
      <w:szCs w:val="20"/>
    </w:rPr>
  </w:style>
  <w:style w:type="character" w:customStyle="1" w:styleId="CommentTextChar">
    <w:name w:val="Comment Text Char"/>
    <w:basedOn w:val="DefaultParagraphFont"/>
    <w:link w:val="CommentText"/>
    <w:uiPriority w:val="99"/>
    <w:semiHidden/>
    <w:rsid w:val="00E61058"/>
    <w:rPr>
      <w:rFonts w:ascii="Arial" w:eastAsia="Arial" w:hAnsi="Arial" w:cs="Arial"/>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E61058"/>
    <w:rPr>
      <w:b/>
      <w:bCs/>
    </w:rPr>
  </w:style>
  <w:style w:type="character" w:customStyle="1" w:styleId="CommentSubjectChar">
    <w:name w:val="Comment Subject Char"/>
    <w:basedOn w:val="CommentTextChar"/>
    <w:link w:val="CommentSubject"/>
    <w:uiPriority w:val="99"/>
    <w:semiHidden/>
    <w:rsid w:val="00E61058"/>
    <w:rPr>
      <w:rFonts w:ascii="Arial" w:eastAsia="Arial" w:hAnsi="Arial" w:cs="Arial"/>
      <w:b/>
      <w:bCs/>
      <w:color w:val="000000"/>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638">
      <w:bodyDiv w:val="1"/>
      <w:marLeft w:val="0"/>
      <w:marRight w:val="0"/>
      <w:marTop w:val="0"/>
      <w:marBottom w:val="0"/>
      <w:divBdr>
        <w:top w:val="none" w:sz="0" w:space="0" w:color="auto"/>
        <w:left w:val="none" w:sz="0" w:space="0" w:color="auto"/>
        <w:bottom w:val="none" w:sz="0" w:space="0" w:color="auto"/>
        <w:right w:val="none" w:sz="0" w:space="0" w:color="auto"/>
      </w:divBdr>
    </w:div>
    <w:div w:id="9697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2017-02-05T18:30:00+00:00</Judgment_x0020_Date>
    <Year xmlns="c1afb1bd-f2fb-40fd-9abb-aea55b4d7662">2017</Year>
  </documentManagement>
</p:properties>
</file>

<file path=customXml/itemProps1.xml><?xml version="1.0" encoding="utf-8"?>
<ds:datastoreItem xmlns:ds="http://schemas.openxmlformats.org/officeDocument/2006/customXml" ds:itemID="{9DA3DE14-44EC-449D-BFA0-142EB2ED2AB3}"/>
</file>

<file path=customXml/itemProps2.xml><?xml version="1.0" encoding="utf-8"?>
<ds:datastoreItem xmlns:ds="http://schemas.openxmlformats.org/officeDocument/2006/customXml" ds:itemID="{BC21F899-520D-42AA-8102-2CAE9311B3B5}"/>
</file>

<file path=customXml/itemProps3.xml><?xml version="1.0" encoding="utf-8"?>
<ds:datastoreItem xmlns:ds="http://schemas.openxmlformats.org/officeDocument/2006/customXml" ds:itemID="{CC65D4F5-3FC2-46E0-B050-48A7722C1F79}"/>
</file>

<file path=customXml/itemProps4.xml><?xml version="1.0" encoding="utf-8"?>
<ds:datastoreItem xmlns:ds="http://schemas.openxmlformats.org/officeDocument/2006/customXml" ds:itemID="{E18B75F8-989D-447E-8027-E5AF390FD1FD}"/>
</file>

<file path=docProps/app.xml><?xml version="1.0" encoding="utf-8"?>
<Properties xmlns="http://schemas.openxmlformats.org/officeDocument/2006/extended-properties" xmlns:vt="http://schemas.openxmlformats.org/officeDocument/2006/docPropsVTypes">
  <Template>Normal</Template>
  <TotalTime>8</TotalTime>
  <Pages>29</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Lotta Ambunda</cp:lastModifiedBy>
  <cp:revision>4</cp:revision>
  <cp:lastPrinted>2017-02-06T06:45:00Z</cp:lastPrinted>
  <dcterms:created xsi:type="dcterms:W3CDTF">2017-02-13T06:47:00Z</dcterms:created>
  <dcterms:modified xsi:type="dcterms:W3CDTF">2017-02-13T06:52:00Z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