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81" w:rsidRPr="002547FB" w:rsidRDefault="00244481" w:rsidP="009E6440">
      <w:pPr>
        <w:spacing w:after="0" w:line="360" w:lineRule="auto"/>
        <w:jc w:val="center"/>
        <w:rPr>
          <w:rFonts w:ascii="Arial" w:eastAsia="Times New Roman" w:hAnsi="Arial" w:cs="Arial"/>
          <w:b/>
          <w:sz w:val="24"/>
          <w:szCs w:val="24"/>
        </w:rPr>
      </w:pPr>
      <w:r w:rsidRPr="002547FB">
        <w:rPr>
          <w:rFonts w:ascii="Arial" w:eastAsia="Times New Roman"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10ED7" w:rsidRPr="00904232" w:rsidRDefault="00610ED7" w:rsidP="0024448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10ED7" w:rsidRPr="00904232" w:rsidRDefault="00610ED7" w:rsidP="00244481">
                      <w:pPr>
                        <w:rPr>
                          <w:rFonts w:ascii="Arial" w:hAnsi="Arial" w:cs="Arial"/>
                        </w:rPr>
                      </w:pPr>
                    </w:p>
                  </w:txbxContent>
                </v:textbox>
              </v:shape>
            </w:pict>
          </mc:Fallback>
        </mc:AlternateContent>
      </w:r>
      <w:r w:rsidRPr="002547FB">
        <w:rPr>
          <w:rFonts w:ascii="Arial" w:eastAsia="Times New Roman" w:hAnsi="Arial" w:cs="Arial"/>
          <w:b/>
          <w:sz w:val="24"/>
          <w:szCs w:val="24"/>
        </w:rPr>
        <w:t>REPUBLIC OF NAMIBIA</w:t>
      </w:r>
    </w:p>
    <w:p w:rsidR="00244481" w:rsidRPr="002547FB" w:rsidRDefault="00244481" w:rsidP="009E6440">
      <w:pPr>
        <w:spacing w:after="0" w:line="360" w:lineRule="auto"/>
        <w:jc w:val="center"/>
        <w:rPr>
          <w:rFonts w:ascii="Arial" w:eastAsia="Times New Roman" w:hAnsi="Arial" w:cs="Arial"/>
          <w:b/>
          <w:noProof/>
          <w:sz w:val="32"/>
          <w:szCs w:val="32"/>
        </w:rPr>
      </w:pPr>
      <w:r w:rsidRPr="002547FB">
        <w:rPr>
          <w:rFonts w:ascii="Arial" w:eastAsia="Times New Roman" w:hAnsi="Arial" w:cs="Arial"/>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44481" w:rsidRPr="002547FB" w:rsidRDefault="00244481" w:rsidP="009E6440">
      <w:pPr>
        <w:spacing w:after="0" w:line="360" w:lineRule="auto"/>
        <w:jc w:val="center"/>
        <w:rPr>
          <w:rFonts w:ascii="Arial" w:eastAsia="Times New Roman" w:hAnsi="Arial" w:cs="Arial"/>
          <w:b/>
          <w:bCs/>
          <w:sz w:val="24"/>
          <w:szCs w:val="24"/>
        </w:rPr>
      </w:pPr>
      <w:r w:rsidRPr="002547FB">
        <w:rPr>
          <w:rFonts w:ascii="Arial" w:eastAsia="Times New Roman" w:hAnsi="Arial" w:cs="Arial"/>
          <w:b/>
          <w:sz w:val="24"/>
          <w:szCs w:val="24"/>
        </w:rPr>
        <w:t>HIGH COURT OF NAMIBIA MAIN DIVISION, WINDHOEK</w:t>
      </w:r>
    </w:p>
    <w:p w:rsidR="00244481" w:rsidRPr="002547FB" w:rsidRDefault="00244481" w:rsidP="009E6440">
      <w:pPr>
        <w:spacing w:after="0" w:line="360" w:lineRule="auto"/>
        <w:jc w:val="center"/>
        <w:rPr>
          <w:rFonts w:ascii="Arial" w:eastAsia="Times New Roman" w:hAnsi="Arial" w:cs="Arial"/>
          <w:b/>
          <w:sz w:val="24"/>
          <w:szCs w:val="24"/>
        </w:rPr>
      </w:pPr>
      <w:r w:rsidRPr="002547FB">
        <w:rPr>
          <w:rFonts w:ascii="Arial" w:eastAsia="Times New Roman" w:hAnsi="Arial" w:cs="Arial"/>
          <w:b/>
          <w:sz w:val="24"/>
          <w:szCs w:val="24"/>
        </w:rPr>
        <w:t>JUDGMENT</w:t>
      </w:r>
    </w:p>
    <w:p w:rsidR="00244481" w:rsidRPr="002547FB" w:rsidRDefault="00244481" w:rsidP="009E6440">
      <w:pPr>
        <w:keepNext/>
        <w:spacing w:after="0" w:line="360" w:lineRule="auto"/>
        <w:jc w:val="center"/>
        <w:outlineLvl w:val="0"/>
        <w:rPr>
          <w:rFonts w:ascii="Arial" w:eastAsia="Times New Roman" w:hAnsi="Arial" w:cs="Arial"/>
          <w:b/>
          <w:bCs/>
          <w:sz w:val="24"/>
          <w:szCs w:val="24"/>
          <w:lang w:val="en-GB"/>
        </w:rPr>
      </w:pPr>
    </w:p>
    <w:p w:rsidR="00244481" w:rsidRPr="002547FB" w:rsidRDefault="00244481" w:rsidP="009E6440">
      <w:pPr>
        <w:spacing w:after="0" w:line="360" w:lineRule="auto"/>
        <w:jc w:val="right"/>
        <w:rPr>
          <w:rFonts w:ascii="Arial" w:eastAsia="Times New Roman" w:hAnsi="Arial" w:cs="Arial"/>
          <w:b/>
          <w:sz w:val="24"/>
          <w:szCs w:val="24"/>
          <w:lang w:val="en-GB"/>
        </w:rPr>
      </w:pPr>
      <w:r w:rsidRPr="002547FB">
        <w:rPr>
          <w:rFonts w:ascii="Arial" w:eastAsia="Times New Roman" w:hAnsi="Arial" w:cs="Arial"/>
          <w:b/>
          <w:sz w:val="24"/>
          <w:szCs w:val="24"/>
          <w:lang w:val="en-GB"/>
        </w:rPr>
        <w:t>CASE NO: POCA 01/2016</w:t>
      </w:r>
    </w:p>
    <w:p w:rsidR="00244481" w:rsidRPr="002547FB" w:rsidRDefault="00244481" w:rsidP="009E6440">
      <w:pPr>
        <w:tabs>
          <w:tab w:val="left" w:pos="3330"/>
        </w:tabs>
        <w:spacing w:after="0" w:line="360" w:lineRule="auto"/>
        <w:jc w:val="center"/>
        <w:rPr>
          <w:rFonts w:ascii="Arial" w:eastAsia="Times New Roman" w:hAnsi="Arial" w:cs="Arial"/>
          <w:b/>
          <w:bCs/>
          <w:sz w:val="24"/>
          <w:szCs w:val="24"/>
          <w:lang w:val="en-GB"/>
        </w:rPr>
      </w:pPr>
    </w:p>
    <w:p w:rsidR="00244481" w:rsidRPr="002547FB" w:rsidRDefault="00244481" w:rsidP="009E6440">
      <w:pPr>
        <w:spacing w:after="0" w:line="360" w:lineRule="auto"/>
        <w:rPr>
          <w:rFonts w:ascii="Arial" w:eastAsia="Times New Roman" w:hAnsi="Arial" w:cs="Arial"/>
          <w:b/>
          <w:sz w:val="24"/>
          <w:szCs w:val="24"/>
          <w:lang w:val="en-GB"/>
        </w:rPr>
      </w:pPr>
      <w:r w:rsidRPr="002547FB">
        <w:rPr>
          <w:rFonts w:ascii="Arial" w:eastAsia="Times New Roman" w:hAnsi="Arial" w:cs="Arial"/>
          <w:b/>
          <w:sz w:val="24"/>
          <w:szCs w:val="24"/>
          <w:lang w:val="en-GB"/>
        </w:rPr>
        <w:t>In the matter between:</w:t>
      </w:r>
    </w:p>
    <w:p w:rsidR="00244481" w:rsidRPr="002547FB" w:rsidRDefault="00244481" w:rsidP="009E6440">
      <w:pPr>
        <w:spacing w:after="0" w:line="360" w:lineRule="auto"/>
        <w:jc w:val="center"/>
        <w:rPr>
          <w:rFonts w:ascii="Arial" w:eastAsia="Times New Roman" w:hAnsi="Arial" w:cs="Arial"/>
          <w:b/>
          <w:sz w:val="24"/>
          <w:szCs w:val="24"/>
          <w:lang w:val="en-GB"/>
        </w:rPr>
      </w:pPr>
    </w:p>
    <w:p w:rsidR="00244481" w:rsidRPr="002547FB" w:rsidRDefault="00244481" w:rsidP="009E6440">
      <w:pPr>
        <w:tabs>
          <w:tab w:val="left" w:pos="7371"/>
        </w:tabs>
        <w:spacing w:after="0" w:line="360" w:lineRule="auto"/>
        <w:rPr>
          <w:rFonts w:ascii="Arial" w:hAnsi="Arial" w:cs="Arial"/>
          <w:b/>
          <w:sz w:val="24"/>
          <w:szCs w:val="24"/>
        </w:rPr>
      </w:pPr>
      <w:r w:rsidRPr="002547FB">
        <w:rPr>
          <w:rFonts w:ascii="Arial" w:hAnsi="Arial" w:cs="Arial"/>
          <w:b/>
          <w:sz w:val="24"/>
          <w:szCs w:val="24"/>
        </w:rPr>
        <w:t>THE PROSECUTOR GENERAL</w:t>
      </w:r>
      <w:r w:rsidRPr="002547FB">
        <w:rPr>
          <w:rFonts w:ascii="Arial" w:hAnsi="Arial" w:cs="Arial"/>
          <w:b/>
          <w:sz w:val="24"/>
          <w:szCs w:val="24"/>
        </w:rPr>
        <w:tab/>
        <w:t>APPLICANT</w:t>
      </w:r>
    </w:p>
    <w:p w:rsidR="00244481" w:rsidRPr="002547FB" w:rsidRDefault="00244481" w:rsidP="009E6440">
      <w:pPr>
        <w:spacing w:after="0" w:line="360" w:lineRule="auto"/>
        <w:jc w:val="center"/>
        <w:rPr>
          <w:rFonts w:ascii="Arial" w:hAnsi="Arial" w:cs="Arial"/>
          <w:b/>
          <w:sz w:val="16"/>
          <w:szCs w:val="16"/>
        </w:rPr>
      </w:pPr>
    </w:p>
    <w:p w:rsidR="00244481" w:rsidRPr="002547FB" w:rsidRDefault="00244481" w:rsidP="009E6440">
      <w:pPr>
        <w:spacing w:after="0" w:line="360" w:lineRule="auto"/>
        <w:rPr>
          <w:rFonts w:ascii="Arial" w:hAnsi="Arial" w:cs="Arial"/>
          <w:b/>
          <w:sz w:val="24"/>
          <w:szCs w:val="24"/>
        </w:rPr>
      </w:pPr>
      <w:r w:rsidRPr="002547FB">
        <w:rPr>
          <w:rFonts w:ascii="Arial" w:hAnsi="Arial" w:cs="Arial"/>
          <w:b/>
          <w:sz w:val="24"/>
          <w:szCs w:val="24"/>
        </w:rPr>
        <w:t>And</w:t>
      </w:r>
    </w:p>
    <w:p w:rsidR="009E6440" w:rsidRPr="002547FB" w:rsidRDefault="009E6440" w:rsidP="009E6440">
      <w:pPr>
        <w:tabs>
          <w:tab w:val="left" w:pos="6663"/>
        </w:tabs>
        <w:spacing w:after="0" w:line="360" w:lineRule="auto"/>
        <w:rPr>
          <w:rFonts w:ascii="Arial" w:hAnsi="Arial" w:cs="Arial"/>
          <w:b/>
          <w:sz w:val="16"/>
          <w:szCs w:val="16"/>
        </w:rPr>
      </w:pPr>
    </w:p>
    <w:p w:rsidR="00244481" w:rsidRPr="002547FB" w:rsidRDefault="00244481" w:rsidP="00DC47EE">
      <w:pPr>
        <w:tabs>
          <w:tab w:val="left" w:pos="6210"/>
        </w:tabs>
        <w:spacing w:after="0" w:line="360" w:lineRule="auto"/>
        <w:rPr>
          <w:rFonts w:ascii="Arial" w:hAnsi="Arial" w:cs="Arial"/>
          <w:b/>
          <w:sz w:val="24"/>
          <w:szCs w:val="24"/>
        </w:rPr>
      </w:pPr>
      <w:r w:rsidRPr="002547FB">
        <w:rPr>
          <w:rFonts w:ascii="Arial" w:hAnsi="Arial" w:cs="Arial"/>
          <w:b/>
          <w:sz w:val="24"/>
          <w:szCs w:val="24"/>
        </w:rPr>
        <w:t>MOSES PASANA UANJANDA KAMUNGUMA</w:t>
      </w:r>
      <w:r w:rsidR="00DC47EE" w:rsidRPr="002547FB">
        <w:rPr>
          <w:rFonts w:ascii="Arial" w:hAnsi="Arial" w:cs="Arial"/>
          <w:b/>
          <w:sz w:val="24"/>
          <w:szCs w:val="24"/>
        </w:rPr>
        <w:tab/>
      </w:r>
      <w:r w:rsidR="009E6440" w:rsidRPr="002547FB">
        <w:rPr>
          <w:rFonts w:ascii="Arial" w:hAnsi="Arial" w:cs="Arial"/>
          <w:b/>
          <w:sz w:val="24"/>
          <w:szCs w:val="24"/>
        </w:rPr>
        <w:t xml:space="preserve"> </w:t>
      </w:r>
      <w:r w:rsidRPr="002547FB">
        <w:rPr>
          <w:rFonts w:ascii="Arial" w:hAnsi="Arial" w:cs="Arial"/>
          <w:b/>
          <w:sz w:val="24"/>
          <w:szCs w:val="24"/>
        </w:rPr>
        <w:t>FIRST RESPONDENT</w:t>
      </w:r>
    </w:p>
    <w:p w:rsidR="00244481" w:rsidRPr="002547FB" w:rsidRDefault="00244481" w:rsidP="00DC47EE">
      <w:pPr>
        <w:tabs>
          <w:tab w:val="left" w:pos="6030"/>
        </w:tabs>
        <w:spacing w:after="0" w:line="360" w:lineRule="auto"/>
        <w:rPr>
          <w:rFonts w:ascii="Arial" w:hAnsi="Arial" w:cs="Arial"/>
          <w:b/>
          <w:sz w:val="24"/>
          <w:szCs w:val="24"/>
        </w:rPr>
      </w:pPr>
      <w:r w:rsidRPr="002547FB">
        <w:rPr>
          <w:rFonts w:ascii="Arial" w:hAnsi="Arial" w:cs="Arial"/>
          <w:b/>
          <w:sz w:val="24"/>
          <w:szCs w:val="24"/>
        </w:rPr>
        <w:t>MCKUMA AND LENGA TRADING CC</w:t>
      </w:r>
      <w:r w:rsidR="00DC47EE" w:rsidRPr="002547FB">
        <w:rPr>
          <w:rFonts w:ascii="Arial" w:hAnsi="Arial" w:cs="Arial"/>
          <w:b/>
          <w:sz w:val="24"/>
          <w:szCs w:val="24"/>
        </w:rPr>
        <w:tab/>
      </w:r>
      <w:r w:rsidRPr="002547FB">
        <w:rPr>
          <w:rFonts w:ascii="Arial" w:hAnsi="Arial" w:cs="Arial"/>
          <w:b/>
          <w:sz w:val="24"/>
          <w:szCs w:val="24"/>
        </w:rPr>
        <w:t>SECOND RESPONDENT</w:t>
      </w:r>
    </w:p>
    <w:p w:rsidR="00244481" w:rsidRPr="002547FB" w:rsidRDefault="00244481" w:rsidP="009E6440">
      <w:pPr>
        <w:spacing w:after="0" w:line="360" w:lineRule="auto"/>
        <w:jc w:val="center"/>
        <w:rPr>
          <w:rFonts w:ascii="Arial" w:hAnsi="Arial" w:cs="Arial"/>
          <w:b/>
        </w:rPr>
      </w:pPr>
    </w:p>
    <w:p w:rsidR="00244481" w:rsidRPr="002547FB" w:rsidRDefault="00244481" w:rsidP="00DC47EE">
      <w:pPr>
        <w:spacing w:after="0" w:line="360" w:lineRule="auto"/>
        <w:ind w:left="2160" w:hanging="2160"/>
        <w:jc w:val="both"/>
        <w:rPr>
          <w:rFonts w:ascii="Arial" w:hAnsi="Arial" w:cs="Arial"/>
          <w:b/>
          <w:sz w:val="24"/>
          <w:szCs w:val="24"/>
        </w:rPr>
      </w:pPr>
      <w:r w:rsidRPr="002547FB">
        <w:rPr>
          <w:rFonts w:ascii="Arial" w:eastAsia="Times New Roman" w:hAnsi="Arial" w:cs="Arial"/>
          <w:b/>
          <w:sz w:val="24"/>
          <w:szCs w:val="24"/>
        </w:rPr>
        <w:t>Neutral citation:</w:t>
      </w:r>
      <w:r w:rsidRPr="002547FB">
        <w:rPr>
          <w:rFonts w:ascii="Arial" w:eastAsia="Times New Roman" w:hAnsi="Arial" w:cs="Arial"/>
          <w:b/>
          <w:sz w:val="24"/>
          <w:szCs w:val="24"/>
        </w:rPr>
        <w:tab/>
      </w:r>
      <w:r w:rsidRPr="002547FB">
        <w:rPr>
          <w:rFonts w:ascii="Arial" w:hAnsi="Arial" w:cs="Arial"/>
          <w:i/>
          <w:sz w:val="24"/>
          <w:szCs w:val="24"/>
        </w:rPr>
        <w:t xml:space="preserve">The Prosecutor-General </w:t>
      </w:r>
      <w:r w:rsidR="00DC47EE" w:rsidRPr="002547FB">
        <w:rPr>
          <w:rFonts w:ascii="Arial" w:hAnsi="Arial" w:cs="Arial"/>
          <w:i/>
          <w:sz w:val="24"/>
          <w:szCs w:val="24"/>
        </w:rPr>
        <w:t>v</w:t>
      </w:r>
      <w:r w:rsidRPr="002547FB">
        <w:rPr>
          <w:rFonts w:ascii="Arial" w:hAnsi="Arial" w:cs="Arial"/>
          <w:i/>
          <w:sz w:val="24"/>
          <w:szCs w:val="24"/>
        </w:rPr>
        <w:t xml:space="preserve"> </w:t>
      </w:r>
      <w:r w:rsidR="00326748">
        <w:rPr>
          <w:rFonts w:ascii="Arial" w:hAnsi="Arial" w:cs="Arial"/>
          <w:i/>
          <w:sz w:val="24"/>
          <w:szCs w:val="24"/>
        </w:rPr>
        <w:t xml:space="preserve">Kamunguma </w:t>
      </w:r>
      <w:r w:rsidRPr="002547FB">
        <w:rPr>
          <w:rFonts w:ascii="Arial" w:hAnsi="Arial" w:cs="Arial"/>
          <w:sz w:val="24"/>
          <w:szCs w:val="24"/>
        </w:rPr>
        <w:t>(</w:t>
      </w:r>
      <w:r w:rsidR="0000453E" w:rsidRPr="002547FB">
        <w:rPr>
          <w:rFonts w:ascii="Arial" w:hAnsi="Arial" w:cs="Arial"/>
          <w:sz w:val="24"/>
          <w:szCs w:val="24"/>
        </w:rPr>
        <w:t>POCA 01</w:t>
      </w:r>
      <w:r w:rsidRPr="002547FB">
        <w:rPr>
          <w:rFonts w:ascii="Arial" w:hAnsi="Arial" w:cs="Arial"/>
          <w:sz w:val="24"/>
          <w:szCs w:val="24"/>
        </w:rPr>
        <w:t>/201</w:t>
      </w:r>
      <w:r w:rsidR="0000453E" w:rsidRPr="002547FB">
        <w:rPr>
          <w:rFonts w:ascii="Arial" w:hAnsi="Arial" w:cs="Arial"/>
          <w:sz w:val="24"/>
          <w:szCs w:val="24"/>
        </w:rPr>
        <w:t>6) [2017]</w:t>
      </w:r>
      <w:r w:rsidR="002547FB" w:rsidRPr="002547FB">
        <w:rPr>
          <w:rFonts w:ascii="Arial" w:hAnsi="Arial" w:cs="Arial"/>
          <w:sz w:val="24"/>
          <w:szCs w:val="24"/>
        </w:rPr>
        <w:t xml:space="preserve"> </w:t>
      </w:r>
      <w:r w:rsidR="005B17A1" w:rsidRPr="002547FB">
        <w:rPr>
          <w:rFonts w:ascii="Arial" w:hAnsi="Arial" w:cs="Arial"/>
          <w:sz w:val="24"/>
          <w:szCs w:val="24"/>
        </w:rPr>
        <w:t>NAHCMD</w:t>
      </w:r>
      <w:r w:rsidR="002547FB" w:rsidRPr="002547FB">
        <w:rPr>
          <w:rFonts w:ascii="Arial" w:hAnsi="Arial" w:cs="Arial"/>
          <w:sz w:val="24"/>
          <w:szCs w:val="24"/>
        </w:rPr>
        <w:t xml:space="preserve"> 302</w:t>
      </w:r>
      <w:r w:rsidR="005B17A1" w:rsidRPr="002547FB">
        <w:rPr>
          <w:rFonts w:ascii="Arial" w:hAnsi="Arial" w:cs="Arial"/>
          <w:sz w:val="24"/>
          <w:szCs w:val="24"/>
        </w:rPr>
        <w:t xml:space="preserve"> (</w:t>
      </w:r>
      <w:r w:rsidR="00570C25" w:rsidRPr="002547FB">
        <w:rPr>
          <w:rFonts w:ascii="Arial" w:hAnsi="Arial" w:cs="Arial"/>
          <w:sz w:val="24"/>
          <w:szCs w:val="24"/>
        </w:rPr>
        <w:t xml:space="preserve">20 October </w:t>
      </w:r>
      <w:r w:rsidR="005B17A1" w:rsidRPr="002547FB">
        <w:rPr>
          <w:rFonts w:ascii="Arial" w:hAnsi="Arial" w:cs="Arial"/>
          <w:sz w:val="24"/>
          <w:szCs w:val="24"/>
        </w:rPr>
        <w:t>2017</w:t>
      </w:r>
      <w:r w:rsidRPr="002547FB">
        <w:rPr>
          <w:rFonts w:ascii="Arial" w:hAnsi="Arial" w:cs="Arial"/>
          <w:sz w:val="24"/>
          <w:szCs w:val="24"/>
        </w:rPr>
        <w:t>)</w:t>
      </w:r>
    </w:p>
    <w:p w:rsidR="00B112DF" w:rsidRPr="002547FB" w:rsidRDefault="00B112DF" w:rsidP="00B112DF">
      <w:pPr>
        <w:spacing w:after="0" w:line="360" w:lineRule="auto"/>
        <w:rPr>
          <w:rFonts w:ascii="Arial" w:eastAsia="Times New Roman" w:hAnsi="Arial" w:cs="Arial"/>
          <w:b/>
          <w:sz w:val="24"/>
          <w:szCs w:val="24"/>
        </w:rPr>
      </w:pPr>
    </w:p>
    <w:p w:rsidR="00244481" w:rsidRPr="002547FB" w:rsidRDefault="00244481" w:rsidP="00B112DF">
      <w:pPr>
        <w:spacing w:after="0" w:line="360" w:lineRule="auto"/>
        <w:rPr>
          <w:rFonts w:ascii="Arial" w:eastAsia="Times New Roman" w:hAnsi="Arial" w:cs="Arial"/>
          <w:b/>
          <w:sz w:val="24"/>
          <w:szCs w:val="24"/>
          <w:lang w:val="en-GB"/>
        </w:rPr>
      </w:pPr>
      <w:r w:rsidRPr="002547FB">
        <w:rPr>
          <w:rFonts w:ascii="Arial" w:eastAsia="Times New Roman" w:hAnsi="Arial" w:cs="Arial"/>
          <w:b/>
          <w:bCs/>
          <w:sz w:val="24"/>
          <w:szCs w:val="24"/>
          <w:lang w:val="en-GB"/>
        </w:rPr>
        <w:t>Coram:</w:t>
      </w:r>
      <w:r w:rsidRPr="002547FB">
        <w:rPr>
          <w:rFonts w:ascii="Arial" w:eastAsia="Times New Roman" w:hAnsi="Arial" w:cs="Arial"/>
          <w:b/>
          <w:sz w:val="24"/>
          <w:szCs w:val="24"/>
          <w:lang w:val="en-GB"/>
        </w:rPr>
        <w:tab/>
      </w:r>
      <w:r w:rsidRPr="002547FB">
        <w:rPr>
          <w:rFonts w:ascii="Arial" w:eastAsia="Times New Roman" w:hAnsi="Arial" w:cs="Arial"/>
          <w:b/>
          <w:sz w:val="24"/>
          <w:szCs w:val="24"/>
          <w:lang w:val="en-GB"/>
        </w:rPr>
        <w:tab/>
      </w:r>
      <w:r w:rsidRPr="002547FB">
        <w:rPr>
          <w:rFonts w:ascii="Arial" w:eastAsia="Times New Roman" w:hAnsi="Arial" w:cs="Arial"/>
          <w:sz w:val="24"/>
          <w:szCs w:val="24"/>
          <w:lang w:val="en-GB"/>
        </w:rPr>
        <w:t>UEITELE, J</w:t>
      </w:r>
    </w:p>
    <w:p w:rsidR="00244481" w:rsidRPr="002547FB" w:rsidRDefault="00244481" w:rsidP="009E6440">
      <w:pPr>
        <w:spacing w:after="0" w:line="360" w:lineRule="auto"/>
        <w:jc w:val="center"/>
        <w:rPr>
          <w:rFonts w:ascii="Arial" w:eastAsia="Times New Roman" w:hAnsi="Arial" w:cs="Arial"/>
          <w:b/>
          <w:sz w:val="16"/>
          <w:szCs w:val="16"/>
          <w:lang w:val="en-GB"/>
        </w:rPr>
      </w:pPr>
    </w:p>
    <w:p w:rsidR="00244481" w:rsidRPr="002547FB" w:rsidRDefault="00244481" w:rsidP="00D62123">
      <w:pPr>
        <w:spacing w:after="0" w:line="360" w:lineRule="auto"/>
        <w:rPr>
          <w:rFonts w:ascii="Arial" w:eastAsia="Times New Roman" w:hAnsi="Arial" w:cs="Arial"/>
          <w:sz w:val="24"/>
          <w:szCs w:val="24"/>
          <w:lang w:val="en-GB"/>
        </w:rPr>
      </w:pPr>
      <w:r w:rsidRPr="002547FB">
        <w:rPr>
          <w:rFonts w:ascii="Arial" w:eastAsia="Times New Roman" w:hAnsi="Arial" w:cs="Arial"/>
          <w:b/>
          <w:sz w:val="24"/>
          <w:szCs w:val="24"/>
          <w:lang w:val="en-GB"/>
        </w:rPr>
        <w:t>Heard:</w:t>
      </w:r>
      <w:r w:rsidR="000A1BE9" w:rsidRPr="002547FB">
        <w:rPr>
          <w:rFonts w:ascii="Arial" w:eastAsia="Times New Roman" w:hAnsi="Arial" w:cs="Arial"/>
          <w:b/>
          <w:sz w:val="24"/>
          <w:szCs w:val="24"/>
          <w:lang w:val="en-GB"/>
        </w:rPr>
        <w:tab/>
      </w:r>
      <w:r w:rsidR="000A1BE9" w:rsidRPr="002547FB">
        <w:rPr>
          <w:rFonts w:ascii="Arial" w:eastAsia="Times New Roman" w:hAnsi="Arial" w:cs="Arial"/>
          <w:b/>
          <w:sz w:val="24"/>
          <w:szCs w:val="24"/>
          <w:lang w:val="en-GB"/>
        </w:rPr>
        <w:tab/>
      </w:r>
      <w:r w:rsidR="005A5331" w:rsidRPr="002547FB">
        <w:rPr>
          <w:rFonts w:ascii="Arial" w:eastAsia="Times New Roman" w:hAnsi="Arial" w:cs="Arial"/>
          <w:sz w:val="24"/>
          <w:szCs w:val="24"/>
          <w:lang w:val="en-GB"/>
        </w:rPr>
        <w:t xml:space="preserve">04 July </w:t>
      </w:r>
      <w:r w:rsidR="000A1BE9" w:rsidRPr="002547FB">
        <w:rPr>
          <w:rFonts w:ascii="Arial" w:eastAsia="Times New Roman" w:hAnsi="Arial" w:cs="Arial"/>
          <w:sz w:val="24"/>
          <w:szCs w:val="24"/>
          <w:lang w:val="en-GB"/>
        </w:rPr>
        <w:t>2017</w:t>
      </w:r>
    </w:p>
    <w:p w:rsidR="000A1BE9" w:rsidRPr="002547FB" w:rsidRDefault="000A1BE9" w:rsidP="00EF2D33">
      <w:pPr>
        <w:pStyle w:val="NoSpacing"/>
        <w:spacing w:line="360" w:lineRule="auto"/>
        <w:jc w:val="both"/>
        <w:rPr>
          <w:rStyle w:val="FontStyle18"/>
          <w:rFonts w:ascii="Arial" w:hAnsi="Arial" w:cs="Arial"/>
          <w:b/>
          <w:snapToGrid w:val="0"/>
          <w:sz w:val="24"/>
          <w:szCs w:val="24"/>
        </w:rPr>
      </w:pPr>
    </w:p>
    <w:p w:rsidR="00244481" w:rsidRPr="002547FB" w:rsidRDefault="00113033" w:rsidP="00EF2D33">
      <w:pPr>
        <w:pStyle w:val="NoSpacing"/>
        <w:spacing w:line="360" w:lineRule="auto"/>
        <w:jc w:val="both"/>
        <w:rPr>
          <w:rFonts w:ascii="Arial" w:hAnsi="Arial" w:cs="Arial"/>
          <w:b/>
        </w:rPr>
      </w:pPr>
      <w:r w:rsidRPr="002547FB">
        <w:rPr>
          <w:rStyle w:val="FontStyle18"/>
          <w:rFonts w:ascii="Arial" w:hAnsi="Arial" w:cs="Arial"/>
          <w:b/>
          <w:snapToGrid w:val="0"/>
          <w:sz w:val="24"/>
          <w:szCs w:val="24"/>
        </w:rPr>
        <w:t>Delivered on:</w:t>
      </w:r>
      <w:r w:rsidR="000A1BE9" w:rsidRPr="002547FB">
        <w:rPr>
          <w:rStyle w:val="FontStyle18"/>
          <w:rFonts w:ascii="Arial" w:hAnsi="Arial" w:cs="Arial"/>
          <w:b/>
          <w:snapToGrid w:val="0"/>
          <w:sz w:val="24"/>
          <w:szCs w:val="24"/>
        </w:rPr>
        <w:tab/>
      </w:r>
      <w:r w:rsidR="000A1BE9" w:rsidRPr="002547FB">
        <w:rPr>
          <w:rStyle w:val="FontStyle18"/>
          <w:rFonts w:ascii="Arial" w:hAnsi="Arial" w:cs="Arial"/>
          <w:snapToGrid w:val="0"/>
          <w:sz w:val="24"/>
          <w:szCs w:val="24"/>
          <w:lang w:val="en-US"/>
        </w:rPr>
        <w:t xml:space="preserve">20 </w:t>
      </w:r>
      <w:r w:rsidR="005A5331" w:rsidRPr="002547FB">
        <w:rPr>
          <w:rStyle w:val="FontStyle18"/>
          <w:rFonts w:ascii="Arial" w:hAnsi="Arial" w:cs="Arial"/>
          <w:snapToGrid w:val="0"/>
          <w:sz w:val="24"/>
          <w:szCs w:val="24"/>
          <w:lang w:val="en-US"/>
        </w:rPr>
        <w:t>October</w:t>
      </w:r>
      <w:r w:rsidR="000A1BE9" w:rsidRPr="002547FB">
        <w:rPr>
          <w:rStyle w:val="FontStyle18"/>
          <w:rFonts w:ascii="Arial" w:hAnsi="Arial" w:cs="Arial"/>
          <w:snapToGrid w:val="0"/>
          <w:sz w:val="24"/>
          <w:szCs w:val="24"/>
          <w:lang w:val="en-US"/>
        </w:rPr>
        <w:t xml:space="preserve"> 2017</w:t>
      </w:r>
    </w:p>
    <w:p w:rsidR="00244481" w:rsidRPr="002547FB" w:rsidRDefault="00244481" w:rsidP="00EF2D33">
      <w:pPr>
        <w:pStyle w:val="NoSpacing"/>
        <w:spacing w:line="360" w:lineRule="auto"/>
        <w:jc w:val="both"/>
        <w:rPr>
          <w:rFonts w:ascii="Arial" w:hAnsi="Arial" w:cs="Arial"/>
          <w:b/>
          <w:sz w:val="24"/>
          <w:szCs w:val="24"/>
        </w:rPr>
      </w:pPr>
    </w:p>
    <w:p w:rsidR="00D62123" w:rsidRPr="002547FB" w:rsidRDefault="00244481" w:rsidP="00EF2D33">
      <w:pPr>
        <w:pStyle w:val="NoSpacing"/>
        <w:spacing w:line="360" w:lineRule="auto"/>
        <w:jc w:val="both"/>
        <w:rPr>
          <w:rFonts w:ascii="Arial" w:hAnsi="Arial" w:cs="Arial"/>
          <w:bCs/>
          <w:color w:val="000000"/>
          <w:sz w:val="24"/>
          <w:szCs w:val="24"/>
        </w:rPr>
      </w:pPr>
      <w:r w:rsidRPr="002547FB">
        <w:rPr>
          <w:rFonts w:ascii="Arial" w:hAnsi="Arial" w:cs="Arial"/>
          <w:b/>
          <w:bCs/>
          <w:i/>
          <w:color w:val="000000"/>
          <w:sz w:val="24"/>
          <w:szCs w:val="24"/>
        </w:rPr>
        <w:t>Flynote</w:t>
      </w:r>
      <w:r w:rsidRPr="002547FB">
        <w:rPr>
          <w:rFonts w:ascii="Arial" w:hAnsi="Arial" w:cs="Arial"/>
          <w:b/>
          <w:bCs/>
          <w:color w:val="000000"/>
          <w:sz w:val="24"/>
          <w:szCs w:val="24"/>
        </w:rPr>
        <w:t>:</w:t>
      </w:r>
      <w:r w:rsidRPr="002547FB">
        <w:rPr>
          <w:rFonts w:ascii="Arial" w:hAnsi="Arial" w:cs="Arial"/>
          <w:bCs/>
          <w:color w:val="000000"/>
          <w:sz w:val="24"/>
          <w:szCs w:val="24"/>
        </w:rPr>
        <w:tab/>
      </w:r>
      <w:r w:rsidRPr="002547FB">
        <w:rPr>
          <w:rFonts w:ascii="Arial" w:hAnsi="Arial" w:cs="Arial"/>
          <w:b/>
          <w:bCs/>
          <w:i/>
          <w:color w:val="000000"/>
          <w:sz w:val="24"/>
          <w:szCs w:val="24"/>
        </w:rPr>
        <w:t xml:space="preserve">Prevention of </w:t>
      </w:r>
      <w:r w:rsidR="002B3917" w:rsidRPr="002547FB">
        <w:rPr>
          <w:rFonts w:ascii="Arial" w:hAnsi="Arial" w:cs="Arial"/>
          <w:b/>
          <w:bCs/>
          <w:i/>
          <w:color w:val="000000"/>
          <w:sz w:val="24"/>
          <w:szCs w:val="24"/>
        </w:rPr>
        <w:t>Organized</w:t>
      </w:r>
      <w:r w:rsidRPr="002547FB">
        <w:rPr>
          <w:rFonts w:ascii="Arial" w:hAnsi="Arial" w:cs="Arial"/>
          <w:b/>
          <w:bCs/>
          <w:i/>
          <w:color w:val="000000"/>
          <w:sz w:val="24"/>
          <w:szCs w:val="24"/>
        </w:rPr>
        <w:t xml:space="preserve"> Crime Act, 2004</w:t>
      </w:r>
      <w:r w:rsidRPr="002547FB">
        <w:rPr>
          <w:rFonts w:ascii="Arial" w:hAnsi="Arial" w:cs="Arial"/>
          <w:bCs/>
          <w:color w:val="000000"/>
          <w:sz w:val="24"/>
          <w:szCs w:val="24"/>
        </w:rPr>
        <w:t xml:space="preserve"> - </w:t>
      </w:r>
      <w:r w:rsidR="00696549" w:rsidRPr="002547FB">
        <w:rPr>
          <w:rFonts w:ascii="Arial" w:hAnsi="Arial" w:cs="Arial"/>
          <w:bCs/>
          <w:color w:val="000000"/>
          <w:sz w:val="24"/>
          <w:szCs w:val="24"/>
        </w:rPr>
        <w:t xml:space="preserve">Forfeiture of property- </w:t>
      </w:r>
      <w:r w:rsidR="000941F2" w:rsidRPr="002547FB">
        <w:rPr>
          <w:rFonts w:ascii="Arial" w:hAnsi="Arial" w:cs="Arial"/>
          <w:bCs/>
          <w:color w:val="000000"/>
          <w:sz w:val="24"/>
          <w:szCs w:val="24"/>
        </w:rPr>
        <w:t>Instrumentality of money laundering-</w:t>
      </w:r>
      <w:r w:rsidR="00696549" w:rsidRPr="002547FB">
        <w:rPr>
          <w:rFonts w:ascii="Arial" w:hAnsi="Arial" w:cs="Arial"/>
          <w:bCs/>
          <w:color w:val="000000"/>
          <w:sz w:val="24"/>
          <w:szCs w:val="24"/>
        </w:rPr>
        <w:t xml:space="preserve">application made in terms of s 59 read with s 61 of POCA </w:t>
      </w:r>
      <w:r w:rsidRPr="002547FB">
        <w:rPr>
          <w:rFonts w:ascii="Arial" w:hAnsi="Arial" w:cs="Arial"/>
          <w:bCs/>
          <w:color w:val="000000"/>
          <w:sz w:val="24"/>
          <w:szCs w:val="24"/>
        </w:rPr>
        <w:t>- Property subject to order-'Proceeds of unlawful activity' defined as property derived, received or retained, directly or indirectly, in connection with or as result of unlawful activity - Applicant for order to show link between unlawful activity and pro</w:t>
      </w:r>
      <w:r w:rsidR="0019565A" w:rsidRPr="002547FB">
        <w:rPr>
          <w:rFonts w:ascii="Arial" w:hAnsi="Arial" w:cs="Arial"/>
          <w:bCs/>
          <w:color w:val="000000"/>
          <w:sz w:val="24"/>
          <w:szCs w:val="24"/>
        </w:rPr>
        <w:t xml:space="preserve">perty- reliance on evidence not supported by </w:t>
      </w:r>
      <w:r w:rsidR="00D62123" w:rsidRPr="002547FB">
        <w:rPr>
          <w:rFonts w:ascii="Arial" w:hAnsi="Arial" w:cs="Arial"/>
          <w:bCs/>
          <w:color w:val="000000"/>
          <w:sz w:val="24"/>
          <w:szCs w:val="24"/>
        </w:rPr>
        <w:t>affidavit in motion proceedings.</w:t>
      </w:r>
    </w:p>
    <w:p w:rsidR="00AD5BB7" w:rsidRPr="002547FB" w:rsidRDefault="00AD5BB7" w:rsidP="00EF2D33">
      <w:pPr>
        <w:pStyle w:val="NoSpacing"/>
        <w:spacing w:line="360" w:lineRule="auto"/>
        <w:jc w:val="both"/>
        <w:rPr>
          <w:rFonts w:ascii="Arial" w:hAnsi="Arial" w:cs="Arial"/>
          <w:bCs/>
          <w:color w:val="000000"/>
          <w:sz w:val="24"/>
          <w:szCs w:val="24"/>
        </w:rPr>
      </w:pPr>
    </w:p>
    <w:p w:rsidR="008A0BE9" w:rsidRPr="002547FB" w:rsidRDefault="000A1BE9" w:rsidP="00EF2D33">
      <w:pPr>
        <w:pStyle w:val="NoSpacing"/>
        <w:spacing w:line="360" w:lineRule="auto"/>
        <w:jc w:val="both"/>
        <w:rPr>
          <w:rFonts w:ascii="Arial" w:hAnsi="Arial" w:cs="Arial"/>
          <w:bCs/>
          <w:color w:val="000000"/>
          <w:sz w:val="24"/>
          <w:szCs w:val="24"/>
        </w:rPr>
      </w:pPr>
      <w:r w:rsidRPr="002547FB">
        <w:rPr>
          <w:rFonts w:ascii="Arial" w:hAnsi="Arial" w:cs="Arial"/>
          <w:b/>
          <w:bCs/>
          <w:i/>
          <w:color w:val="000000"/>
          <w:sz w:val="24"/>
          <w:szCs w:val="24"/>
        </w:rPr>
        <w:lastRenderedPageBreak/>
        <w:t>Prevention of Organized Crime Act, 2004</w:t>
      </w:r>
      <w:r w:rsidRPr="002547FB">
        <w:rPr>
          <w:rFonts w:ascii="Arial" w:hAnsi="Arial" w:cs="Arial"/>
          <w:bCs/>
          <w:color w:val="000000"/>
          <w:sz w:val="24"/>
          <w:szCs w:val="24"/>
        </w:rPr>
        <w:t xml:space="preserve"> </w:t>
      </w:r>
      <w:r w:rsidR="008A0BE9" w:rsidRPr="002547FB">
        <w:rPr>
          <w:rFonts w:ascii="Arial" w:hAnsi="Arial" w:cs="Arial"/>
          <w:bCs/>
          <w:color w:val="000000"/>
          <w:sz w:val="24"/>
          <w:szCs w:val="24"/>
        </w:rPr>
        <w:t>- Forfeiture order -</w:t>
      </w:r>
      <w:r w:rsidRPr="002547FB">
        <w:rPr>
          <w:rFonts w:ascii="Arial" w:hAnsi="Arial" w:cs="Arial"/>
          <w:bCs/>
          <w:color w:val="000000"/>
          <w:sz w:val="24"/>
          <w:szCs w:val="24"/>
        </w:rPr>
        <w:t xml:space="preserve"> Application in terms of s 59</w:t>
      </w:r>
      <w:r w:rsidR="008A0BE9" w:rsidRPr="002547FB">
        <w:rPr>
          <w:rFonts w:ascii="Arial" w:hAnsi="Arial" w:cs="Arial"/>
          <w:bCs/>
          <w:color w:val="000000"/>
          <w:sz w:val="24"/>
          <w:szCs w:val="24"/>
        </w:rPr>
        <w:t xml:space="preserve"> of Pr</w:t>
      </w:r>
      <w:r w:rsidR="009C4FA0" w:rsidRPr="002547FB">
        <w:rPr>
          <w:rFonts w:ascii="Arial" w:hAnsi="Arial" w:cs="Arial"/>
          <w:bCs/>
          <w:color w:val="000000"/>
          <w:sz w:val="24"/>
          <w:szCs w:val="24"/>
        </w:rPr>
        <w:t>evention of Organised Crime Act, 2004</w:t>
      </w:r>
      <w:r w:rsidRPr="002547FB">
        <w:rPr>
          <w:rFonts w:ascii="Arial" w:hAnsi="Arial" w:cs="Arial"/>
          <w:bCs/>
          <w:color w:val="000000"/>
          <w:sz w:val="24"/>
          <w:szCs w:val="24"/>
        </w:rPr>
        <w:t xml:space="preserve"> - Whether failure </w:t>
      </w:r>
      <w:r w:rsidR="00D47F64" w:rsidRPr="002547FB">
        <w:rPr>
          <w:rFonts w:ascii="Arial" w:hAnsi="Arial" w:cs="Arial"/>
          <w:bCs/>
          <w:color w:val="000000"/>
          <w:sz w:val="24"/>
          <w:szCs w:val="24"/>
        </w:rPr>
        <w:t>to comply</w:t>
      </w:r>
      <w:r w:rsidR="008A0BE9" w:rsidRPr="002547FB">
        <w:rPr>
          <w:rFonts w:ascii="Arial" w:hAnsi="Arial" w:cs="Arial"/>
          <w:bCs/>
          <w:color w:val="000000"/>
          <w:sz w:val="24"/>
          <w:szCs w:val="24"/>
        </w:rPr>
        <w:t xml:space="preserve"> with statutory provisions regarding notice and service of application </w:t>
      </w:r>
      <w:r w:rsidR="00D47F64" w:rsidRPr="002547FB">
        <w:rPr>
          <w:rFonts w:ascii="Arial" w:hAnsi="Arial" w:cs="Arial"/>
          <w:bCs/>
          <w:color w:val="000000"/>
          <w:sz w:val="24"/>
          <w:szCs w:val="24"/>
        </w:rPr>
        <w:t xml:space="preserve">is </w:t>
      </w:r>
      <w:r w:rsidRPr="002547FB">
        <w:rPr>
          <w:rFonts w:ascii="Arial" w:hAnsi="Arial" w:cs="Arial"/>
          <w:bCs/>
          <w:color w:val="000000"/>
          <w:sz w:val="24"/>
          <w:szCs w:val="24"/>
        </w:rPr>
        <w:t>fatal.</w:t>
      </w:r>
    </w:p>
    <w:p w:rsidR="000A1BE9" w:rsidRPr="002547FB" w:rsidRDefault="000A1BE9" w:rsidP="00EF2D33">
      <w:pPr>
        <w:pStyle w:val="NoSpacing"/>
        <w:spacing w:line="360" w:lineRule="auto"/>
        <w:jc w:val="both"/>
        <w:rPr>
          <w:rFonts w:ascii="Arial" w:hAnsi="Arial" w:cs="Arial"/>
          <w:bCs/>
          <w:color w:val="000000"/>
          <w:sz w:val="24"/>
          <w:szCs w:val="24"/>
        </w:rPr>
      </w:pPr>
    </w:p>
    <w:p w:rsidR="008A0BE9" w:rsidRPr="002547FB" w:rsidRDefault="000A1BE9" w:rsidP="00EF2D33">
      <w:pPr>
        <w:pStyle w:val="NoSpacing"/>
        <w:spacing w:line="360" w:lineRule="auto"/>
        <w:jc w:val="both"/>
        <w:rPr>
          <w:rFonts w:ascii="Arial" w:hAnsi="Arial" w:cs="Arial"/>
          <w:bCs/>
          <w:color w:val="000000"/>
          <w:sz w:val="24"/>
          <w:szCs w:val="24"/>
        </w:rPr>
      </w:pPr>
      <w:r w:rsidRPr="002547FB">
        <w:rPr>
          <w:rFonts w:ascii="Arial" w:hAnsi="Arial" w:cs="Arial"/>
          <w:b/>
          <w:bCs/>
          <w:i/>
          <w:color w:val="000000"/>
          <w:sz w:val="24"/>
          <w:szCs w:val="24"/>
        </w:rPr>
        <w:t xml:space="preserve">Practice </w:t>
      </w:r>
      <w:r w:rsidRPr="002547FB">
        <w:rPr>
          <w:rFonts w:ascii="Arial" w:hAnsi="Arial" w:cs="Arial"/>
          <w:bCs/>
          <w:color w:val="000000"/>
          <w:sz w:val="24"/>
          <w:szCs w:val="24"/>
        </w:rPr>
        <w:t xml:space="preserve">- Applications and motions - Affidavits - Founding affidavit - Applicant bearing </w:t>
      </w:r>
      <w:r w:rsidRPr="002547FB">
        <w:rPr>
          <w:rFonts w:ascii="Arial" w:hAnsi="Arial" w:cs="Arial"/>
          <w:bCs/>
          <w:i/>
          <w:color w:val="000000"/>
          <w:sz w:val="24"/>
          <w:szCs w:val="24"/>
        </w:rPr>
        <w:t>onus</w:t>
      </w:r>
      <w:r w:rsidRPr="002547FB">
        <w:rPr>
          <w:rFonts w:ascii="Arial" w:hAnsi="Arial" w:cs="Arial"/>
          <w:bCs/>
          <w:color w:val="000000"/>
          <w:sz w:val="24"/>
          <w:szCs w:val="24"/>
        </w:rPr>
        <w:t xml:space="preserve"> to prove case - Founding affidavit must lay basis for case - Court will rely primarily on founding affidavit - Applicant cannot rely on other affidavits and other documents not forming part of founding affidavit.</w:t>
      </w:r>
    </w:p>
    <w:p w:rsidR="000A1BE9" w:rsidRPr="002547FB" w:rsidRDefault="000A1BE9" w:rsidP="00EF2D33">
      <w:pPr>
        <w:pStyle w:val="NoSpacing"/>
        <w:spacing w:line="360" w:lineRule="auto"/>
        <w:jc w:val="both"/>
        <w:rPr>
          <w:rFonts w:ascii="Arial" w:hAnsi="Arial" w:cs="Arial"/>
          <w:bCs/>
          <w:color w:val="000000"/>
          <w:sz w:val="24"/>
          <w:szCs w:val="24"/>
        </w:rPr>
      </w:pPr>
    </w:p>
    <w:p w:rsidR="00347984" w:rsidRPr="002547FB" w:rsidRDefault="00244481" w:rsidP="00347984">
      <w:pPr>
        <w:tabs>
          <w:tab w:val="left" w:pos="720"/>
        </w:tabs>
        <w:spacing w:after="0" w:line="360" w:lineRule="auto"/>
        <w:jc w:val="both"/>
        <w:rPr>
          <w:rFonts w:ascii="Arial" w:hAnsi="Arial" w:cs="Arial"/>
          <w:sz w:val="24"/>
          <w:szCs w:val="24"/>
        </w:rPr>
      </w:pPr>
      <w:r w:rsidRPr="002547FB">
        <w:rPr>
          <w:rFonts w:ascii="Arial" w:hAnsi="Arial" w:cs="Arial"/>
          <w:b/>
          <w:bCs/>
          <w:color w:val="000000"/>
          <w:sz w:val="24"/>
          <w:szCs w:val="24"/>
        </w:rPr>
        <w:t>Summary</w:t>
      </w:r>
      <w:r w:rsidRPr="002547FB">
        <w:rPr>
          <w:rFonts w:ascii="Arial" w:hAnsi="Arial" w:cs="Arial"/>
          <w:bCs/>
          <w:color w:val="000000"/>
          <w:sz w:val="24"/>
          <w:szCs w:val="24"/>
        </w:rPr>
        <w:t>:</w:t>
      </w:r>
      <w:r w:rsidRPr="002547FB">
        <w:rPr>
          <w:rFonts w:ascii="Arial" w:hAnsi="Arial" w:cs="Arial"/>
          <w:bCs/>
          <w:color w:val="000000"/>
          <w:sz w:val="24"/>
          <w:szCs w:val="24"/>
        </w:rPr>
        <w:tab/>
      </w:r>
      <w:r w:rsidR="00347984" w:rsidRPr="002547FB">
        <w:rPr>
          <w:rFonts w:ascii="Arial" w:hAnsi="Arial" w:cs="Arial"/>
          <w:sz w:val="24"/>
          <w:szCs w:val="24"/>
        </w:rPr>
        <w:t>On 16 June 2014 the First National Bank of Namibia received an instruction from a corresponding Bank that is based in Germany to, on behalf of its Chinese corresponding Bank, pay an a</w:t>
      </w:r>
      <w:r w:rsidR="00AB0672" w:rsidRPr="002547FB">
        <w:rPr>
          <w:rFonts w:ascii="Arial" w:hAnsi="Arial" w:cs="Arial"/>
          <w:sz w:val="24"/>
          <w:szCs w:val="24"/>
        </w:rPr>
        <w:t xml:space="preserve">mount equivalent to </w:t>
      </w:r>
      <w:r w:rsidR="009C4FA0" w:rsidRPr="002547FB">
        <w:rPr>
          <w:rFonts w:ascii="Arial" w:hAnsi="Arial" w:cs="Arial"/>
          <w:sz w:val="24"/>
          <w:szCs w:val="24"/>
        </w:rPr>
        <w:t xml:space="preserve">EUR 192 </w:t>
      </w:r>
      <w:r w:rsidR="00AB0672" w:rsidRPr="002547FB">
        <w:rPr>
          <w:rFonts w:ascii="Arial" w:hAnsi="Arial" w:cs="Arial"/>
          <w:sz w:val="24"/>
          <w:szCs w:val="24"/>
        </w:rPr>
        <w:t>518</w:t>
      </w:r>
      <w:r w:rsidR="009C4FA0" w:rsidRPr="002547FB">
        <w:rPr>
          <w:rFonts w:ascii="Arial" w:hAnsi="Arial" w:cs="Arial"/>
          <w:sz w:val="24"/>
          <w:szCs w:val="24"/>
        </w:rPr>
        <w:t>-</w:t>
      </w:r>
      <w:r w:rsidR="00347984" w:rsidRPr="002547FB">
        <w:rPr>
          <w:rFonts w:ascii="Arial" w:hAnsi="Arial" w:cs="Arial"/>
          <w:sz w:val="24"/>
          <w:szCs w:val="24"/>
        </w:rPr>
        <w:t>60 into an account held in the name of Moses Pasana Uanjanda Kamunguma who is the first respondent in this application</w:t>
      </w:r>
    </w:p>
    <w:p w:rsidR="00347984" w:rsidRPr="002547FB" w:rsidRDefault="00347984" w:rsidP="00347984">
      <w:pPr>
        <w:tabs>
          <w:tab w:val="left" w:pos="720"/>
        </w:tabs>
        <w:spacing w:after="0" w:line="360" w:lineRule="auto"/>
        <w:jc w:val="both"/>
        <w:rPr>
          <w:rFonts w:ascii="Arial" w:hAnsi="Arial" w:cs="Arial"/>
          <w:sz w:val="24"/>
          <w:szCs w:val="24"/>
        </w:rPr>
      </w:pPr>
    </w:p>
    <w:p w:rsidR="00347984" w:rsidRPr="002547FB" w:rsidRDefault="00B30829" w:rsidP="00347984">
      <w:pPr>
        <w:tabs>
          <w:tab w:val="left" w:pos="720"/>
        </w:tabs>
        <w:spacing w:after="0" w:line="360" w:lineRule="auto"/>
        <w:jc w:val="both"/>
        <w:rPr>
          <w:rFonts w:ascii="Arial" w:hAnsi="Arial" w:cs="Arial"/>
          <w:sz w:val="24"/>
          <w:szCs w:val="24"/>
        </w:rPr>
      </w:pPr>
      <w:r w:rsidRPr="002547FB">
        <w:rPr>
          <w:rFonts w:ascii="Arial" w:hAnsi="Arial" w:cs="Arial"/>
          <w:sz w:val="24"/>
          <w:szCs w:val="24"/>
        </w:rPr>
        <w:t xml:space="preserve">On receipt of the instructions, </w:t>
      </w:r>
      <w:r w:rsidR="00347984" w:rsidRPr="002547FB">
        <w:rPr>
          <w:rFonts w:ascii="Arial" w:hAnsi="Arial" w:cs="Arial"/>
          <w:sz w:val="24"/>
          <w:szCs w:val="24"/>
        </w:rPr>
        <w:t>First National Bank of Namibia requested Mr Kamunguma to complete a declaration form in terms of which he was required to declare the reasons for the receipt of the funds.</w:t>
      </w:r>
      <w:r w:rsidRPr="002547FB">
        <w:rPr>
          <w:rFonts w:ascii="Arial" w:hAnsi="Arial" w:cs="Arial"/>
          <w:sz w:val="24"/>
          <w:szCs w:val="24"/>
        </w:rPr>
        <w:t xml:space="preserve"> Mr</w:t>
      </w:r>
      <w:r w:rsidR="00F55B6B" w:rsidRPr="002547FB">
        <w:rPr>
          <w:rFonts w:ascii="Arial" w:hAnsi="Arial" w:cs="Arial"/>
          <w:sz w:val="24"/>
          <w:szCs w:val="24"/>
        </w:rPr>
        <w:t xml:space="preserve"> </w:t>
      </w:r>
      <w:r w:rsidR="00347984" w:rsidRPr="002547FB">
        <w:rPr>
          <w:rFonts w:ascii="Arial" w:hAnsi="Arial" w:cs="Arial"/>
          <w:sz w:val="24"/>
          <w:szCs w:val="24"/>
        </w:rPr>
        <w:t>Kamunguma completed the declaration form and in that form indicated that the funds were from China North Industries Corporat</w:t>
      </w:r>
      <w:r w:rsidR="002547FB">
        <w:rPr>
          <w:rFonts w:ascii="Arial" w:hAnsi="Arial" w:cs="Arial"/>
          <w:sz w:val="24"/>
          <w:szCs w:val="24"/>
        </w:rPr>
        <w:t>ion in respect of ‘construction’</w:t>
      </w:r>
      <w:r w:rsidR="00347984" w:rsidRPr="002547FB">
        <w:rPr>
          <w:rFonts w:ascii="Arial" w:hAnsi="Arial" w:cs="Arial"/>
          <w:sz w:val="24"/>
          <w:szCs w:val="24"/>
        </w:rPr>
        <w:t>.</w:t>
      </w:r>
    </w:p>
    <w:p w:rsidR="00347984" w:rsidRPr="002547FB" w:rsidRDefault="00347984" w:rsidP="00347984">
      <w:pPr>
        <w:tabs>
          <w:tab w:val="left" w:pos="720"/>
        </w:tabs>
        <w:spacing w:after="0" w:line="360" w:lineRule="auto"/>
        <w:jc w:val="both"/>
        <w:rPr>
          <w:rFonts w:ascii="Arial" w:hAnsi="Arial" w:cs="Arial"/>
          <w:sz w:val="24"/>
          <w:szCs w:val="24"/>
        </w:rPr>
      </w:pPr>
    </w:p>
    <w:p w:rsidR="00347984" w:rsidRPr="002547FB" w:rsidRDefault="00347984" w:rsidP="00347984">
      <w:pPr>
        <w:tabs>
          <w:tab w:val="left" w:pos="720"/>
        </w:tabs>
        <w:spacing w:after="0" w:line="360" w:lineRule="auto"/>
        <w:jc w:val="both"/>
        <w:rPr>
          <w:rFonts w:ascii="Arial" w:hAnsi="Arial" w:cs="Arial"/>
          <w:sz w:val="24"/>
          <w:szCs w:val="24"/>
        </w:rPr>
      </w:pPr>
      <w:r w:rsidRPr="002547FB">
        <w:rPr>
          <w:rFonts w:ascii="Arial" w:hAnsi="Arial" w:cs="Arial"/>
          <w:sz w:val="24"/>
          <w:szCs w:val="24"/>
        </w:rPr>
        <w:t>On 18 June 2014 First National Bank deposited an amount of N$ 2 788</w:t>
      </w:r>
      <w:r w:rsidR="009C4FA0" w:rsidRPr="002547FB">
        <w:rPr>
          <w:rFonts w:ascii="Arial" w:hAnsi="Arial" w:cs="Arial"/>
          <w:sz w:val="24"/>
          <w:szCs w:val="24"/>
        </w:rPr>
        <w:t xml:space="preserve"> </w:t>
      </w:r>
      <w:r w:rsidRPr="002547FB">
        <w:rPr>
          <w:rFonts w:ascii="Arial" w:hAnsi="Arial" w:cs="Arial"/>
          <w:sz w:val="24"/>
          <w:szCs w:val="24"/>
        </w:rPr>
        <w:t>054</w:t>
      </w:r>
      <w:r w:rsidR="009C4FA0" w:rsidRPr="002547FB">
        <w:rPr>
          <w:rFonts w:ascii="Arial" w:hAnsi="Arial" w:cs="Arial"/>
          <w:sz w:val="24"/>
          <w:szCs w:val="24"/>
        </w:rPr>
        <w:t xml:space="preserve"> </w:t>
      </w:r>
      <w:r w:rsidR="002547FB">
        <w:rPr>
          <w:rFonts w:ascii="Arial" w:hAnsi="Arial" w:cs="Arial"/>
          <w:sz w:val="24"/>
          <w:szCs w:val="24"/>
        </w:rPr>
        <w:t>-</w:t>
      </w:r>
      <w:r w:rsidR="009C4FA0" w:rsidRPr="002547FB">
        <w:rPr>
          <w:rFonts w:ascii="Arial" w:hAnsi="Arial" w:cs="Arial"/>
          <w:sz w:val="24"/>
          <w:szCs w:val="24"/>
        </w:rPr>
        <w:t xml:space="preserve"> </w:t>
      </w:r>
      <w:r w:rsidRPr="002547FB">
        <w:rPr>
          <w:rFonts w:ascii="Arial" w:hAnsi="Arial" w:cs="Arial"/>
          <w:sz w:val="24"/>
          <w:szCs w:val="24"/>
        </w:rPr>
        <w:t xml:space="preserve">37 into </w:t>
      </w:r>
      <w:r w:rsidR="00F55B6B" w:rsidRPr="002547FB">
        <w:rPr>
          <w:rFonts w:ascii="Arial" w:hAnsi="Arial" w:cs="Arial"/>
          <w:sz w:val="24"/>
          <w:szCs w:val="24"/>
        </w:rPr>
        <w:t xml:space="preserve">Mr </w:t>
      </w:r>
      <w:r w:rsidRPr="002547FB">
        <w:rPr>
          <w:rFonts w:ascii="Arial" w:hAnsi="Arial" w:cs="Arial"/>
          <w:sz w:val="24"/>
          <w:szCs w:val="24"/>
        </w:rPr>
        <w:t xml:space="preserve">Kamunguma’s cheque account held at First National Bank of Namibia. The reference for that deposit was indicated as </w:t>
      </w:r>
      <w:r w:rsidR="002547FB">
        <w:rPr>
          <w:rFonts w:ascii="Arial" w:hAnsi="Arial" w:cs="Arial"/>
          <w:sz w:val="24"/>
          <w:szCs w:val="24"/>
        </w:rPr>
        <w:t>‘</w:t>
      </w:r>
      <w:r w:rsidRPr="002547FB">
        <w:rPr>
          <w:rFonts w:ascii="Arial" w:hAnsi="Arial" w:cs="Arial"/>
          <w:sz w:val="24"/>
          <w:szCs w:val="24"/>
        </w:rPr>
        <w:t>commissio</w:t>
      </w:r>
      <w:r w:rsidR="002547FB">
        <w:rPr>
          <w:rFonts w:ascii="Arial" w:hAnsi="Arial" w:cs="Arial"/>
          <w:sz w:val="24"/>
          <w:szCs w:val="24"/>
        </w:rPr>
        <w:t>n’</w:t>
      </w:r>
      <w:r w:rsidR="00B30829" w:rsidRPr="002547FB">
        <w:rPr>
          <w:rFonts w:ascii="Arial" w:hAnsi="Arial" w:cs="Arial"/>
          <w:sz w:val="24"/>
          <w:szCs w:val="24"/>
        </w:rPr>
        <w:t>. Between 18 June 2014 and 18 March 2015 an</w:t>
      </w:r>
      <w:r w:rsidRPr="002547FB">
        <w:rPr>
          <w:rFonts w:ascii="Arial" w:hAnsi="Arial" w:cs="Arial"/>
          <w:sz w:val="24"/>
          <w:szCs w:val="24"/>
        </w:rPr>
        <w:t xml:space="preserve"> amount of N$ 2 730 000 was moved between </w:t>
      </w:r>
      <w:r w:rsidR="00F55B6B" w:rsidRPr="002547FB">
        <w:rPr>
          <w:rFonts w:ascii="Arial" w:hAnsi="Arial" w:cs="Arial"/>
          <w:sz w:val="24"/>
          <w:szCs w:val="24"/>
        </w:rPr>
        <w:t xml:space="preserve">Mr </w:t>
      </w:r>
      <w:r w:rsidRPr="002547FB">
        <w:rPr>
          <w:rFonts w:ascii="Arial" w:hAnsi="Arial" w:cs="Arial"/>
          <w:sz w:val="24"/>
          <w:szCs w:val="24"/>
        </w:rPr>
        <w:t xml:space="preserve">Kamunguma’s cheque account and his 32 Days investment account and large amounts of cash were also withdrawn from those accounts.  These activities were brought </w:t>
      </w:r>
      <w:r w:rsidR="00C238C5" w:rsidRPr="002547FB">
        <w:rPr>
          <w:rFonts w:ascii="Arial" w:hAnsi="Arial" w:cs="Arial"/>
          <w:sz w:val="24"/>
          <w:szCs w:val="24"/>
        </w:rPr>
        <w:t>to</w:t>
      </w:r>
      <w:r w:rsidRPr="002547FB">
        <w:rPr>
          <w:rFonts w:ascii="Arial" w:hAnsi="Arial" w:cs="Arial"/>
          <w:sz w:val="24"/>
          <w:szCs w:val="24"/>
        </w:rPr>
        <w:t xml:space="preserve"> the attention of the Anti-Corruption Commission. Based on their investigations and findings the Prosecutor</w:t>
      </w:r>
      <w:r w:rsidR="00C238C5" w:rsidRPr="002547FB">
        <w:rPr>
          <w:rFonts w:ascii="Arial" w:hAnsi="Arial" w:cs="Arial"/>
          <w:sz w:val="24"/>
          <w:szCs w:val="24"/>
        </w:rPr>
        <w:t xml:space="preserve">-General, </w:t>
      </w:r>
      <w:r w:rsidRPr="002547FB">
        <w:rPr>
          <w:rFonts w:ascii="Arial" w:hAnsi="Arial" w:cs="Arial"/>
          <w:sz w:val="24"/>
          <w:szCs w:val="24"/>
        </w:rPr>
        <w:t xml:space="preserve">on 19 </w:t>
      </w:r>
      <w:r w:rsidR="00C238C5" w:rsidRPr="002547FB">
        <w:rPr>
          <w:rFonts w:ascii="Arial" w:hAnsi="Arial" w:cs="Arial"/>
          <w:sz w:val="24"/>
          <w:szCs w:val="24"/>
        </w:rPr>
        <w:t xml:space="preserve">February 2016, </w:t>
      </w:r>
      <w:r w:rsidRPr="002547FB">
        <w:rPr>
          <w:rFonts w:ascii="Arial" w:hAnsi="Arial" w:cs="Arial"/>
          <w:sz w:val="24"/>
          <w:szCs w:val="24"/>
        </w:rPr>
        <w:t xml:space="preserve">obtained from this Court a preservation of property order. </w:t>
      </w:r>
    </w:p>
    <w:p w:rsidR="00786B01" w:rsidRPr="002547FB" w:rsidRDefault="00786B01" w:rsidP="00EF2D33">
      <w:pPr>
        <w:pStyle w:val="NoSpacing"/>
        <w:spacing w:line="360" w:lineRule="auto"/>
        <w:jc w:val="both"/>
        <w:rPr>
          <w:rFonts w:ascii="Arial" w:hAnsi="Arial" w:cs="Arial"/>
          <w:sz w:val="24"/>
          <w:szCs w:val="24"/>
        </w:rPr>
      </w:pPr>
    </w:p>
    <w:p w:rsidR="00347984" w:rsidRPr="002547FB" w:rsidRDefault="00347984" w:rsidP="00EF2D33">
      <w:pPr>
        <w:pStyle w:val="NoSpacing"/>
        <w:spacing w:line="360" w:lineRule="auto"/>
        <w:jc w:val="both"/>
        <w:rPr>
          <w:rFonts w:ascii="Arial" w:hAnsi="Arial" w:cs="Arial"/>
          <w:sz w:val="24"/>
          <w:szCs w:val="24"/>
        </w:rPr>
      </w:pPr>
      <w:r w:rsidRPr="002547FB">
        <w:rPr>
          <w:rFonts w:ascii="Arial" w:hAnsi="Arial" w:cs="Arial"/>
          <w:sz w:val="24"/>
          <w:szCs w:val="24"/>
        </w:rPr>
        <w:t>Pursuant to the preservation order granted by this Court the Prosecutor</w:t>
      </w:r>
      <w:r w:rsidR="00C238C5" w:rsidRPr="002547FB">
        <w:rPr>
          <w:rFonts w:ascii="Arial" w:hAnsi="Arial" w:cs="Arial"/>
          <w:sz w:val="24"/>
          <w:szCs w:val="24"/>
        </w:rPr>
        <w:t>-</w:t>
      </w:r>
      <w:r w:rsidRPr="002547FB">
        <w:rPr>
          <w:rFonts w:ascii="Arial" w:hAnsi="Arial" w:cs="Arial"/>
          <w:sz w:val="24"/>
          <w:szCs w:val="24"/>
        </w:rPr>
        <w:t xml:space="preserve">General brought a forfeiture application for the preserved property to be forfeited to the State. The applicants opposed the forfeiture application. In their opposition the respondents raised the point </w:t>
      </w:r>
      <w:r w:rsidRPr="002547FB">
        <w:rPr>
          <w:rFonts w:ascii="Arial" w:hAnsi="Arial" w:cs="Arial"/>
          <w:i/>
          <w:sz w:val="24"/>
          <w:szCs w:val="24"/>
        </w:rPr>
        <w:t>in limine</w:t>
      </w:r>
      <w:r w:rsidR="00C238C5" w:rsidRPr="002547FB">
        <w:rPr>
          <w:rFonts w:ascii="Arial" w:hAnsi="Arial" w:cs="Arial"/>
          <w:sz w:val="24"/>
          <w:szCs w:val="24"/>
        </w:rPr>
        <w:t xml:space="preserve"> that the Prosecutor-</w:t>
      </w:r>
      <w:r w:rsidRPr="002547FB">
        <w:rPr>
          <w:rFonts w:ascii="Arial" w:hAnsi="Arial" w:cs="Arial"/>
          <w:sz w:val="24"/>
          <w:szCs w:val="24"/>
        </w:rPr>
        <w:t xml:space="preserve">General </w:t>
      </w:r>
      <w:r w:rsidR="000409F6" w:rsidRPr="002547FB">
        <w:rPr>
          <w:rFonts w:ascii="Arial" w:hAnsi="Arial" w:cs="Arial"/>
          <w:sz w:val="24"/>
          <w:szCs w:val="24"/>
        </w:rPr>
        <w:t xml:space="preserve">did not serve the </w:t>
      </w:r>
      <w:r w:rsidR="000409F6" w:rsidRPr="002547FB">
        <w:rPr>
          <w:rFonts w:ascii="Arial" w:hAnsi="Arial" w:cs="Arial"/>
          <w:sz w:val="24"/>
          <w:szCs w:val="24"/>
        </w:rPr>
        <w:lastRenderedPageBreak/>
        <w:t>forfeiture application on the address nominated by the respondents and that the forfeiture application was not served by the Deputy Sherriff or a Police Officer as prescribed.</w:t>
      </w:r>
    </w:p>
    <w:p w:rsidR="000409F6" w:rsidRPr="002547FB" w:rsidRDefault="000409F6" w:rsidP="00EF2D33">
      <w:pPr>
        <w:pStyle w:val="NoSpacing"/>
        <w:spacing w:line="360" w:lineRule="auto"/>
        <w:jc w:val="both"/>
        <w:rPr>
          <w:rFonts w:ascii="Arial" w:hAnsi="Arial" w:cs="Arial"/>
          <w:sz w:val="24"/>
          <w:szCs w:val="24"/>
        </w:rPr>
      </w:pPr>
    </w:p>
    <w:p w:rsidR="000409F6" w:rsidRPr="002547FB" w:rsidRDefault="000409F6" w:rsidP="00EF2D33">
      <w:pPr>
        <w:pStyle w:val="NoSpacing"/>
        <w:spacing w:line="360" w:lineRule="auto"/>
        <w:jc w:val="both"/>
        <w:rPr>
          <w:rFonts w:ascii="Arial" w:hAnsi="Arial" w:cs="Arial"/>
          <w:sz w:val="24"/>
          <w:szCs w:val="24"/>
        </w:rPr>
      </w:pPr>
      <w:r w:rsidRPr="002547FB">
        <w:rPr>
          <w:rFonts w:ascii="Arial" w:hAnsi="Arial" w:cs="Arial"/>
          <w:sz w:val="24"/>
          <w:szCs w:val="24"/>
        </w:rPr>
        <w:t>The respondents further opposed the application on the basis that the Prosecutor</w:t>
      </w:r>
      <w:r w:rsidR="00C238C5" w:rsidRPr="002547FB">
        <w:rPr>
          <w:rFonts w:ascii="Arial" w:hAnsi="Arial" w:cs="Arial"/>
          <w:sz w:val="24"/>
          <w:szCs w:val="24"/>
        </w:rPr>
        <w:t>-G</w:t>
      </w:r>
      <w:r w:rsidRPr="002547FB">
        <w:rPr>
          <w:rFonts w:ascii="Arial" w:hAnsi="Arial" w:cs="Arial"/>
          <w:sz w:val="24"/>
          <w:szCs w:val="24"/>
        </w:rPr>
        <w:t>eneral did not present admissible evidence to Court that the pro</w:t>
      </w:r>
      <w:r w:rsidR="00C238C5" w:rsidRPr="002547FB">
        <w:rPr>
          <w:rFonts w:ascii="Arial" w:hAnsi="Arial" w:cs="Arial"/>
          <w:sz w:val="24"/>
          <w:szCs w:val="24"/>
        </w:rPr>
        <w:t>perty sought to be forfeited was</w:t>
      </w:r>
      <w:r w:rsidRPr="002547FB">
        <w:rPr>
          <w:rFonts w:ascii="Arial" w:hAnsi="Arial" w:cs="Arial"/>
          <w:sz w:val="24"/>
          <w:szCs w:val="24"/>
        </w:rPr>
        <w:t xml:space="preserve"> an instrumentality of a scheduled offence or the proceeds of unlawful activities.</w:t>
      </w:r>
    </w:p>
    <w:p w:rsidR="000409F6" w:rsidRPr="002547FB" w:rsidRDefault="000409F6" w:rsidP="00EF2D33">
      <w:pPr>
        <w:pStyle w:val="NoSpacing"/>
        <w:spacing w:line="360" w:lineRule="auto"/>
        <w:jc w:val="both"/>
        <w:rPr>
          <w:rFonts w:ascii="Arial" w:hAnsi="Arial" w:cs="Arial"/>
          <w:sz w:val="24"/>
          <w:szCs w:val="24"/>
        </w:rPr>
      </w:pPr>
    </w:p>
    <w:p w:rsidR="00696549" w:rsidRPr="002547FB" w:rsidRDefault="00244481" w:rsidP="00EF2D33">
      <w:pPr>
        <w:pStyle w:val="NoSpacing"/>
        <w:spacing w:line="360" w:lineRule="auto"/>
        <w:jc w:val="both"/>
        <w:rPr>
          <w:rFonts w:ascii="Arial" w:hAnsi="Arial" w:cs="Arial"/>
          <w:sz w:val="24"/>
          <w:szCs w:val="24"/>
        </w:rPr>
      </w:pPr>
      <w:r w:rsidRPr="002547FB">
        <w:rPr>
          <w:rFonts w:ascii="Arial" w:hAnsi="Arial" w:cs="Arial"/>
          <w:bCs/>
          <w:i/>
          <w:color w:val="000000"/>
          <w:sz w:val="24"/>
          <w:szCs w:val="24"/>
        </w:rPr>
        <w:t xml:space="preserve">Held </w:t>
      </w:r>
      <w:r w:rsidRPr="002547FB">
        <w:rPr>
          <w:rFonts w:ascii="Arial" w:hAnsi="Arial" w:cs="Arial"/>
          <w:bCs/>
          <w:color w:val="000000"/>
          <w:sz w:val="24"/>
          <w:szCs w:val="24"/>
        </w:rPr>
        <w:t xml:space="preserve">that </w:t>
      </w:r>
      <w:r w:rsidR="00610ED7" w:rsidRPr="002547FB">
        <w:rPr>
          <w:rStyle w:val="normalchar1"/>
          <w:rFonts w:ascii="Arial" w:hAnsi="Arial" w:cs="Arial"/>
          <w:sz w:val="24"/>
          <w:szCs w:val="24"/>
        </w:rPr>
        <w:t>the fundamental purpose of service</w:t>
      </w:r>
      <w:r w:rsidR="00953537" w:rsidRPr="002547FB">
        <w:rPr>
          <w:rStyle w:val="normalchar1"/>
          <w:rFonts w:ascii="Arial" w:hAnsi="Arial" w:cs="Arial"/>
          <w:sz w:val="24"/>
          <w:szCs w:val="24"/>
        </w:rPr>
        <w:t>,</w:t>
      </w:r>
      <w:r w:rsidR="00610ED7" w:rsidRPr="002547FB">
        <w:rPr>
          <w:rStyle w:val="normalchar1"/>
          <w:rFonts w:ascii="Arial" w:hAnsi="Arial" w:cs="Arial"/>
          <w:sz w:val="24"/>
          <w:szCs w:val="24"/>
        </w:rPr>
        <w:t xml:space="preserve"> is after </w:t>
      </w:r>
      <w:r w:rsidR="00953537" w:rsidRPr="002547FB">
        <w:rPr>
          <w:rStyle w:val="normalchar1"/>
          <w:rFonts w:ascii="Arial" w:hAnsi="Arial" w:cs="Arial"/>
          <w:sz w:val="24"/>
          <w:szCs w:val="24"/>
        </w:rPr>
        <w:t xml:space="preserve">all, </w:t>
      </w:r>
      <w:r w:rsidR="00610ED7" w:rsidRPr="002547FB">
        <w:rPr>
          <w:rStyle w:val="normalchar1"/>
          <w:rFonts w:ascii="Arial" w:hAnsi="Arial" w:cs="Arial"/>
          <w:sz w:val="24"/>
          <w:szCs w:val="24"/>
        </w:rPr>
        <w:t xml:space="preserve">to bring the matter to the attention of a party, including having the benefit of an explanation as to the meaning and nature of the process. If a party then proceeds to enter an appearance to defend or notice to oppose through legal representatives, that fundamental purpose has been met and the point </w:t>
      </w:r>
      <w:r w:rsidR="00610ED7" w:rsidRPr="002547FB">
        <w:rPr>
          <w:rStyle w:val="normalchar1"/>
          <w:rFonts w:ascii="Arial" w:hAnsi="Arial" w:cs="Arial"/>
          <w:i/>
          <w:sz w:val="24"/>
          <w:szCs w:val="24"/>
        </w:rPr>
        <w:t xml:space="preserve">in limine </w:t>
      </w:r>
      <w:r w:rsidR="00610ED7" w:rsidRPr="002547FB">
        <w:rPr>
          <w:rStyle w:val="normalchar1"/>
          <w:rFonts w:ascii="Arial" w:hAnsi="Arial" w:cs="Arial"/>
          <w:sz w:val="24"/>
          <w:szCs w:val="24"/>
        </w:rPr>
        <w:t>thus failed.</w:t>
      </w:r>
    </w:p>
    <w:p w:rsidR="00964E1C" w:rsidRPr="002547FB" w:rsidRDefault="00964E1C" w:rsidP="00EF2D33">
      <w:pPr>
        <w:pStyle w:val="NoSpacing"/>
        <w:spacing w:line="360" w:lineRule="auto"/>
        <w:jc w:val="both"/>
        <w:rPr>
          <w:rFonts w:ascii="Arial" w:hAnsi="Arial" w:cs="Arial"/>
          <w:sz w:val="24"/>
          <w:szCs w:val="24"/>
        </w:rPr>
      </w:pPr>
    </w:p>
    <w:p w:rsidR="00F374B3" w:rsidRPr="002547FB" w:rsidRDefault="00720BBB" w:rsidP="00F374B3">
      <w:pPr>
        <w:spacing w:after="0" w:line="360" w:lineRule="auto"/>
        <w:jc w:val="both"/>
        <w:rPr>
          <w:rFonts w:ascii="Arial" w:hAnsi="Arial" w:cs="Arial"/>
          <w:i/>
          <w:sz w:val="24"/>
          <w:szCs w:val="24"/>
        </w:rPr>
      </w:pPr>
      <w:r w:rsidRPr="002547FB">
        <w:rPr>
          <w:rFonts w:ascii="Arial" w:hAnsi="Arial" w:cs="Arial"/>
          <w:bCs/>
          <w:i/>
          <w:color w:val="000000"/>
          <w:sz w:val="24"/>
          <w:szCs w:val="24"/>
        </w:rPr>
        <w:t>Held further</w:t>
      </w:r>
      <w:r w:rsidR="00244481" w:rsidRPr="002547FB">
        <w:rPr>
          <w:rFonts w:ascii="Arial" w:hAnsi="Arial" w:cs="Arial"/>
        </w:rPr>
        <w:t xml:space="preserve"> </w:t>
      </w:r>
      <w:r w:rsidR="00244481" w:rsidRPr="002547FB">
        <w:rPr>
          <w:rFonts w:ascii="Arial" w:hAnsi="Arial" w:cs="Arial"/>
          <w:sz w:val="24"/>
          <w:szCs w:val="24"/>
        </w:rPr>
        <w:t>that</w:t>
      </w:r>
      <w:r w:rsidR="00244481" w:rsidRPr="002547FB">
        <w:rPr>
          <w:rStyle w:val="FontStyle38"/>
          <w:rFonts w:ascii="Arial" w:hAnsi="Arial" w:cs="Arial"/>
          <w:sz w:val="24"/>
          <w:szCs w:val="24"/>
        </w:rPr>
        <w:t xml:space="preserve"> </w:t>
      </w:r>
      <w:r w:rsidR="00F374B3" w:rsidRPr="002547FB">
        <w:rPr>
          <w:rFonts w:ascii="Arial" w:hAnsi="Arial" w:cs="Arial"/>
          <w:sz w:val="24"/>
          <w:szCs w:val="24"/>
        </w:rPr>
        <w:t>the court is</w:t>
      </w:r>
      <w:r w:rsidR="00F374B3" w:rsidRPr="002547FB">
        <w:rPr>
          <w:rFonts w:ascii="Arial" w:hAnsi="Arial" w:cs="Arial"/>
          <w:i/>
          <w:sz w:val="24"/>
          <w:szCs w:val="24"/>
        </w:rPr>
        <w:t xml:space="preserve"> </w:t>
      </w:r>
      <w:r w:rsidR="00F374B3" w:rsidRPr="002547FB">
        <w:rPr>
          <w:rFonts w:ascii="Arial" w:hAnsi="Arial" w:cs="Arial"/>
          <w:sz w:val="24"/>
          <w:szCs w:val="24"/>
        </w:rPr>
        <w:t>bound by the discipline of motion proce</w:t>
      </w:r>
      <w:r w:rsidR="00953537" w:rsidRPr="002547FB">
        <w:rPr>
          <w:rFonts w:ascii="Arial" w:hAnsi="Arial" w:cs="Arial"/>
          <w:sz w:val="24"/>
          <w:szCs w:val="24"/>
        </w:rPr>
        <w:t>edings. A</w:t>
      </w:r>
      <w:r w:rsidR="00F374B3" w:rsidRPr="002547FB">
        <w:rPr>
          <w:rFonts w:ascii="Arial" w:eastAsia="Arial Unicode MS" w:hAnsi="Arial" w:cs="Arial"/>
          <w:sz w:val="24"/>
          <w:szCs w:val="24"/>
        </w:rPr>
        <w:t xml:space="preserve">ffidavits must contain all the averments necessary to sustain a cause of action or a defence </w:t>
      </w:r>
      <w:r w:rsidR="00F374B3" w:rsidRPr="002547FB">
        <w:rPr>
          <w:rFonts w:ascii="Arial" w:hAnsi="Arial" w:cs="Arial"/>
          <w:sz w:val="24"/>
          <w:szCs w:val="24"/>
        </w:rPr>
        <w:t>and the court is not entitled to rely on grounds not raised in the founding affidavit.</w:t>
      </w:r>
      <w:r w:rsidR="00F374B3" w:rsidRPr="002547FB">
        <w:rPr>
          <w:rFonts w:ascii="Arial" w:hAnsi="Arial" w:cs="Arial"/>
          <w:i/>
          <w:sz w:val="24"/>
          <w:szCs w:val="24"/>
        </w:rPr>
        <w:t xml:space="preserve"> </w:t>
      </w:r>
    </w:p>
    <w:p w:rsidR="00F374B3" w:rsidRPr="002547FB" w:rsidRDefault="00F374B3" w:rsidP="00F374B3">
      <w:pPr>
        <w:spacing w:after="0" w:line="360" w:lineRule="auto"/>
        <w:jc w:val="both"/>
        <w:rPr>
          <w:rFonts w:ascii="Arial" w:hAnsi="Arial" w:cs="Arial"/>
          <w:sz w:val="24"/>
          <w:szCs w:val="24"/>
        </w:rPr>
      </w:pPr>
    </w:p>
    <w:p w:rsidR="00F374B3" w:rsidRPr="002547FB" w:rsidRDefault="00F374B3" w:rsidP="00F374B3">
      <w:pPr>
        <w:pStyle w:val="NoSpacing"/>
        <w:spacing w:line="360" w:lineRule="auto"/>
        <w:jc w:val="both"/>
        <w:rPr>
          <w:rFonts w:ascii="Arial" w:eastAsia="Arial Unicode MS" w:hAnsi="Arial" w:cs="Arial"/>
          <w:sz w:val="24"/>
          <w:szCs w:val="24"/>
        </w:rPr>
      </w:pPr>
      <w:r w:rsidRPr="002547FB">
        <w:rPr>
          <w:rFonts w:ascii="Arial" w:hAnsi="Arial" w:cs="Arial"/>
          <w:i/>
          <w:sz w:val="24"/>
          <w:szCs w:val="24"/>
        </w:rPr>
        <w:t>Held further that</w:t>
      </w:r>
      <w:r w:rsidRPr="002547FB">
        <w:rPr>
          <w:rFonts w:ascii="Arial" w:hAnsi="Arial" w:cs="Arial"/>
          <w:sz w:val="24"/>
          <w:szCs w:val="24"/>
        </w:rPr>
        <w:t xml:space="preserve"> w</w:t>
      </w:r>
      <w:r w:rsidRPr="002547FB">
        <w:rPr>
          <w:rFonts w:ascii="Arial" w:eastAsia="Arial Unicode MS" w:hAnsi="Arial" w:cs="Arial"/>
          <w:sz w:val="24"/>
          <w:szCs w:val="24"/>
        </w:rPr>
        <w:t xml:space="preserve">here reliance is placed on material contained in annexures, the </w:t>
      </w:r>
      <w:r w:rsidR="00953537" w:rsidRPr="002547FB">
        <w:rPr>
          <w:rFonts w:ascii="Arial" w:eastAsia="Arial Unicode MS" w:hAnsi="Arial" w:cs="Arial"/>
          <w:sz w:val="24"/>
          <w:szCs w:val="24"/>
        </w:rPr>
        <w:t>affidavit</w:t>
      </w:r>
      <w:r w:rsidRPr="002547FB">
        <w:rPr>
          <w:rFonts w:ascii="Arial" w:eastAsia="Arial Unicode MS" w:hAnsi="Arial" w:cs="Arial"/>
          <w:sz w:val="24"/>
          <w:szCs w:val="24"/>
        </w:rPr>
        <w:t xml:space="preserve"> must clearly state what portions in the accompanying annexures</w:t>
      </w:r>
      <w:r w:rsidR="00953537" w:rsidRPr="002547FB">
        <w:rPr>
          <w:rFonts w:ascii="Arial" w:eastAsia="Arial Unicode MS" w:hAnsi="Arial" w:cs="Arial"/>
          <w:sz w:val="24"/>
          <w:szCs w:val="24"/>
        </w:rPr>
        <w:t xml:space="preserve"> are</w:t>
      </w:r>
      <w:r w:rsidRPr="002547FB">
        <w:rPr>
          <w:rFonts w:ascii="Arial" w:eastAsia="Arial Unicode MS" w:hAnsi="Arial" w:cs="Arial"/>
          <w:sz w:val="24"/>
          <w:szCs w:val="24"/>
        </w:rPr>
        <w:t xml:space="preserve"> relie</w:t>
      </w:r>
      <w:r w:rsidR="00953537" w:rsidRPr="002547FB">
        <w:rPr>
          <w:rFonts w:ascii="Arial" w:eastAsia="Arial Unicode MS" w:hAnsi="Arial" w:cs="Arial"/>
          <w:sz w:val="24"/>
          <w:szCs w:val="24"/>
        </w:rPr>
        <w:t>d</w:t>
      </w:r>
      <w:r w:rsidRPr="002547FB">
        <w:rPr>
          <w:rFonts w:ascii="Arial" w:eastAsia="Arial Unicode MS" w:hAnsi="Arial" w:cs="Arial"/>
          <w:sz w:val="24"/>
          <w:szCs w:val="24"/>
        </w:rPr>
        <w:t xml:space="preserve"> on. What is required is the identification of the portions in the annexures on which reliance is placed and an indication of the case which is sought to be made out on the strength of those </w:t>
      </w:r>
      <w:r w:rsidR="0081365F" w:rsidRPr="002547FB">
        <w:rPr>
          <w:rFonts w:ascii="Arial" w:eastAsia="Arial Unicode MS" w:hAnsi="Arial" w:cs="Arial"/>
          <w:sz w:val="24"/>
          <w:szCs w:val="24"/>
        </w:rPr>
        <w:t xml:space="preserve">identified </w:t>
      </w:r>
      <w:r w:rsidRPr="002547FB">
        <w:rPr>
          <w:rFonts w:ascii="Arial" w:eastAsia="Arial Unicode MS" w:hAnsi="Arial" w:cs="Arial"/>
          <w:sz w:val="24"/>
          <w:szCs w:val="24"/>
        </w:rPr>
        <w:t>portions. It does not suffice to simply ‘incorporate’ annexures as part of one’s case and it is particularly fatal if the annexures are not attached or annexed to the founding affidavit.</w:t>
      </w:r>
    </w:p>
    <w:p w:rsidR="00964E1C" w:rsidRPr="002547FB" w:rsidRDefault="00964E1C" w:rsidP="00EF2D33">
      <w:pPr>
        <w:pStyle w:val="NoSpacing"/>
        <w:spacing w:line="360" w:lineRule="auto"/>
        <w:jc w:val="both"/>
        <w:rPr>
          <w:rStyle w:val="FontStyle38"/>
          <w:rFonts w:ascii="Arial" w:hAnsi="Arial" w:cs="Arial"/>
          <w:sz w:val="24"/>
          <w:szCs w:val="24"/>
        </w:rPr>
      </w:pPr>
    </w:p>
    <w:p w:rsidR="00244481" w:rsidRPr="002547FB" w:rsidRDefault="00964E1C" w:rsidP="00EF2D33">
      <w:pPr>
        <w:pStyle w:val="NoSpacing"/>
        <w:spacing w:line="360" w:lineRule="auto"/>
        <w:jc w:val="both"/>
        <w:rPr>
          <w:rStyle w:val="FontStyle38"/>
          <w:rFonts w:ascii="Arial" w:hAnsi="Arial" w:cs="Arial"/>
          <w:sz w:val="24"/>
          <w:szCs w:val="24"/>
        </w:rPr>
      </w:pPr>
      <w:r w:rsidRPr="002547FB">
        <w:rPr>
          <w:rStyle w:val="FontStyle38"/>
          <w:rFonts w:ascii="Arial" w:hAnsi="Arial" w:cs="Arial"/>
          <w:i/>
          <w:sz w:val="24"/>
          <w:szCs w:val="24"/>
        </w:rPr>
        <w:t xml:space="preserve">Held furthermore </w:t>
      </w:r>
      <w:r w:rsidR="00F374B3" w:rsidRPr="002547FB">
        <w:rPr>
          <w:rStyle w:val="FontStyle38"/>
          <w:rFonts w:ascii="Arial" w:hAnsi="Arial" w:cs="Arial"/>
          <w:sz w:val="24"/>
          <w:szCs w:val="24"/>
        </w:rPr>
        <w:t>t</w:t>
      </w:r>
      <w:r w:rsidR="00500A53" w:rsidRPr="002547FB">
        <w:rPr>
          <w:rStyle w:val="FontStyle38"/>
          <w:rFonts w:ascii="Arial" w:hAnsi="Arial" w:cs="Arial"/>
          <w:sz w:val="24"/>
          <w:szCs w:val="24"/>
        </w:rPr>
        <w:t xml:space="preserve">he words 'concerned in the commission of an offence', used in the definition of 'instrumentality of an offence' in s 1, must be interpreted so that the link between the crime committed and the property is reasonably direct, and that the employment of the property must be functional to the commission of the crime. By this is meant that the property must play a reasonably direct role in the commission of the offence. </w:t>
      </w:r>
    </w:p>
    <w:p w:rsidR="00F374B3" w:rsidRPr="002547FB" w:rsidRDefault="00F374B3" w:rsidP="00EF2D33">
      <w:pPr>
        <w:pStyle w:val="NoSpacing"/>
        <w:spacing w:line="360" w:lineRule="auto"/>
        <w:jc w:val="both"/>
        <w:rPr>
          <w:rStyle w:val="FontStyle38"/>
          <w:rFonts w:ascii="Arial" w:hAnsi="Arial" w:cs="Arial"/>
          <w:sz w:val="24"/>
          <w:szCs w:val="24"/>
        </w:rPr>
      </w:pPr>
    </w:p>
    <w:p w:rsidR="002336FF" w:rsidRPr="002547FB" w:rsidRDefault="00F374B3" w:rsidP="00EF2D33">
      <w:pPr>
        <w:pStyle w:val="NoSpacing"/>
        <w:spacing w:line="360" w:lineRule="auto"/>
        <w:jc w:val="both"/>
        <w:rPr>
          <w:rFonts w:ascii="Arial" w:hAnsi="Arial" w:cs="Arial"/>
          <w:sz w:val="24"/>
          <w:szCs w:val="24"/>
        </w:rPr>
      </w:pPr>
      <w:r w:rsidRPr="002547FB">
        <w:rPr>
          <w:rStyle w:val="FontStyle38"/>
          <w:rFonts w:ascii="Arial" w:hAnsi="Arial" w:cs="Arial"/>
          <w:i/>
          <w:sz w:val="24"/>
          <w:szCs w:val="24"/>
        </w:rPr>
        <w:lastRenderedPageBreak/>
        <w:t xml:space="preserve">Held furthermore that </w:t>
      </w:r>
      <w:r w:rsidRPr="002547FB">
        <w:rPr>
          <w:rStyle w:val="FontStyle38"/>
          <w:rFonts w:ascii="Arial" w:hAnsi="Arial" w:cs="Arial"/>
          <w:sz w:val="24"/>
          <w:szCs w:val="24"/>
        </w:rPr>
        <w:t>t</w:t>
      </w:r>
      <w:r w:rsidRPr="002547FB">
        <w:rPr>
          <w:rFonts w:ascii="Arial" w:hAnsi="Arial" w:cs="Arial"/>
          <w:sz w:val="24"/>
          <w:szCs w:val="24"/>
        </w:rPr>
        <w:t>he en</w:t>
      </w:r>
      <w:r w:rsidR="002336FF" w:rsidRPr="002547FB">
        <w:rPr>
          <w:rFonts w:ascii="Arial" w:hAnsi="Arial" w:cs="Arial"/>
          <w:sz w:val="24"/>
          <w:szCs w:val="24"/>
        </w:rPr>
        <w:t>tire evidence of the Prosecutor-</w:t>
      </w:r>
      <w:r w:rsidRPr="002547FB">
        <w:rPr>
          <w:rFonts w:ascii="Arial" w:hAnsi="Arial" w:cs="Arial"/>
          <w:sz w:val="24"/>
          <w:szCs w:val="24"/>
        </w:rPr>
        <w:t>General is based on the information she obtained from persons whose evidence is not before court. It therefore follows that there is no a</w:t>
      </w:r>
      <w:r w:rsidR="00AE082E" w:rsidRPr="002547FB">
        <w:rPr>
          <w:rFonts w:ascii="Arial" w:hAnsi="Arial" w:cs="Arial"/>
          <w:sz w:val="24"/>
          <w:szCs w:val="24"/>
        </w:rPr>
        <w:t>dmissible evidence that</w:t>
      </w:r>
      <w:r w:rsidR="00F55B6B" w:rsidRPr="002547FB">
        <w:rPr>
          <w:rFonts w:ascii="Arial" w:hAnsi="Arial" w:cs="Arial"/>
          <w:sz w:val="24"/>
          <w:szCs w:val="24"/>
        </w:rPr>
        <w:t xml:space="preserve"> </w:t>
      </w:r>
      <w:r w:rsidR="00045BED" w:rsidRPr="002547FB">
        <w:rPr>
          <w:rFonts w:ascii="Arial" w:hAnsi="Arial" w:cs="Arial"/>
          <w:sz w:val="24"/>
          <w:szCs w:val="24"/>
        </w:rPr>
        <w:t>Mr</w:t>
      </w:r>
      <w:r w:rsidR="00F55B6B" w:rsidRPr="002547FB">
        <w:rPr>
          <w:rFonts w:ascii="Arial" w:hAnsi="Arial" w:cs="Arial"/>
          <w:sz w:val="24"/>
          <w:szCs w:val="24"/>
        </w:rPr>
        <w:t xml:space="preserve"> Kamunguma or </w:t>
      </w:r>
      <w:r w:rsidR="00045BED" w:rsidRPr="002547FB">
        <w:rPr>
          <w:rFonts w:ascii="Arial" w:hAnsi="Arial" w:cs="Arial"/>
          <w:sz w:val="24"/>
          <w:szCs w:val="24"/>
        </w:rPr>
        <w:t xml:space="preserve">Mr </w:t>
      </w:r>
      <w:r w:rsidRPr="002547FB">
        <w:rPr>
          <w:rFonts w:ascii="Arial" w:hAnsi="Arial" w:cs="Arial"/>
          <w:sz w:val="24"/>
          <w:szCs w:val="24"/>
        </w:rPr>
        <w:t>Olenga made any misrepresentations to First National Bank and thus committed fraud on FNB.</w:t>
      </w:r>
      <w:r w:rsidR="002336FF" w:rsidRPr="002547FB">
        <w:rPr>
          <w:rFonts w:ascii="Arial" w:hAnsi="Arial" w:cs="Arial"/>
          <w:sz w:val="24"/>
          <w:szCs w:val="24"/>
        </w:rPr>
        <w:t xml:space="preserve"> The application for the forfeiture of property to the Sate was thus dismissed with costs.</w:t>
      </w:r>
    </w:p>
    <w:p w:rsidR="00F374B3" w:rsidRPr="002547FB" w:rsidRDefault="00F374B3" w:rsidP="00EF2D33">
      <w:pPr>
        <w:pStyle w:val="NoSpacing"/>
        <w:spacing w:line="360" w:lineRule="auto"/>
        <w:jc w:val="both"/>
        <w:rPr>
          <w:rStyle w:val="FontStyle38"/>
          <w:rFonts w:ascii="Arial" w:hAnsi="Arial" w:cs="Arial"/>
          <w:sz w:val="24"/>
          <w:szCs w:val="24"/>
        </w:rPr>
      </w:pPr>
    </w:p>
    <w:p w:rsidR="00244481" w:rsidRPr="002547FB" w:rsidRDefault="00112716" w:rsidP="00EF2D33">
      <w:pPr>
        <w:spacing w:after="0" w:line="360" w:lineRule="auto"/>
        <w:jc w:val="both"/>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244481" w:rsidRPr="002547FB" w:rsidRDefault="00244481" w:rsidP="0062243D">
      <w:pPr>
        <w:pStyle w:val="NoSpacing"/>
        <w:spacing w:line="360" w:lineRule="auto"/>
        <w:jc w:val="center"/>
        <w:rPr>
          <w:rFonts w:ascii="Arial" w:hAnsi="Arial" w:cs="Arial"/>
          <w:b/>
          <w:bCs/>
          <w:sz w:val="24"/>
          <w:szCs w:val="24"/>
        </w:rPr>
      </w:pPr>
      <w:r w:rsidRPr="002547FB">
        <w:rPr>
          <w:rFonts w:ascii="Arial" w:hAnsi="Arial" w:cs="Arial"/>
          <w:b/>
          <w:bCs/>
          <w:sz w:val="24"/>
          <w:szCs w:val="24"/>
        </w:rPr>
        <w:t>ORDER</w:t>
      </w:r>
    </w:p>
    <w:p w:rsidR="00244481" w:rsidRPr="002547FB" w:rsidRDefault="00112716" w:rsidP="00EF2D33">
      <w:pPr>
        <w:spacing w:after="0" w:line="360" w:lineRule="auto"/>
        <w:jc w:val="both"/>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F374B3" w:rsidRPr="002547FB" w:rsidRDefault="00F374B3" w:rsidP="00EF2D33">
      <w:pPr>
        <w:spacing w:after="0" w:line="360" w:lineRule="auto"/>
        <w:jc w:val="both"/>
        <w:rPr>
          <w:rFonts w:ascii="Arial" w:hAnsi="Arial" w:cs="Arial"/>
          <w:bCs/>
          <w:sz w:val="24"/>
          <w:szCs w:val="24"/>
        </w:rPr>
      </w:pPr>
    </w:p>
    <w:p w:rsidR="006A4D9C" w:rsidRPr="002547FB" w:rsidRDefault="006A4D9C" w:rsidP="006A4D9C">
      <w:pPr>
        <w:pStyle w:val="ListParagraph"/>
        <w:numPr>
          <w:ilvl w:val="0"/>
          <w:numId w:val="35"/>
        </w:numPr>
        <w:spacing w:after="0" w:line="360" w:lineRule="auto"/>
        <w:ind w:hanging="720"/>
        <w:jc w:val="both"/>
        <w:rPr>
          <w:rFonts w:ascii="Arial" w:hAnsi="Arial" w:cs="Arial"/>
          <w:sz w:val="24"/>
          <w:szCs w:val="24"/>
        </w:rPr>
      </w:pPr>
      <w:r w:rsidRPr="002547FB">
        <w:rPr>
          <w:rFonts w:ascii="Arial" w:hAnsi="Arial" w:cs="Arial"/>
          <w:sz w:val="24"/>
          <w:szCs w:val="24"/>
        </w:rPr>
        <w:t>The application</w:t>
      </w:r>
      <w:r w:rsidR="002336FF" w:rsidRPr="002547FB">
        <w:rPr>
          <w:rFonts w:ascii="Arial" w:hAnsi="Arial" w:cs="Arial"/>
          <w:sz w:val="24"/>
          <w:szCs w:val="24"/>
        </w:rPr>
        <w:t xml:space="preserve"> is hereby</w:t>
      </w:r>
      <w:r w:rsidRPr="002547FB">
        <w:rPr>
          <w:rFonts w:ascii="Arial" w:hAnsi="Arial" w:cs="Arial"/>
          <w:sz w:val="24"/>
          <w:szCs w:val="24"/>
        </w:rPr>
        <w:t xml:space="preserve"> dismissed.</w:t>
      </w:r>
    </w:p>
    <w:p w:rsidR="006A4D9C" w:rsidRPr="002547FB" w:rsidRDefault="006A4D9C" w:rsidP="006A4D9C">
      <w:pPr>
        <w:spacing w:after="0" w:line="360" w:lineRule="auto"/>
        <w:jc w:val="both"/>
        <w:rPr>
          <w:rFonts w:ascii="Arial" w:hAnsi="Arial" w:cs="Arial"/>
          <w:sz w:val="24"/>
          <w:szCs w:val="24"/>
        </w:rPr>
      </w:pPr>
      <w:bookmarkStart w:id="0" w:name="_GoBack"/>
      <w:bookmarkEnd w:id="0"/>
    </w:p>
    <w:p w:rsidR="006A4D9C" w:rsidRPr="002547FB" w:rsidRDefault="006A4D9C" w:rsidP="006A4D9C">
      <w:pPr>
        <w:pStyle w:val="ListParagraph"/>
        <w:numPr>
          <w:ilvl w:val="0"/>
          <w:numId w:val="35"/>
        </w:numPr>
        <w:spacing w:after="0" w:line="360" w:lineRule="auto"/>
        <w:ind w:hanging="720"/>
        <w:jc w:val="both"/>
        <w:rPr>
          <w:rFonts w:ascii="Arial" w:hAnsi="Arial" w:cs="Arial"/>
          <w:sz w:val="24"/>
          <w:szCs w:val="24"/>
        </w:rPr>
      </w:pPr>
      <w:r w:rsidRPr="002547FB">
        <w:rPr>
          <w:rFonts w:ascii="Arial" w:hAnsi="Arial" w:cs="Arial"/>
          <w:sz w:val="24"/>
          <w:szCs w:val="24"/>
        </w:rPr>
        <w:t>The Prosecutor General must pay the respondents’ cost</w:t>
      </w:r>
      <w:r w:rsidR="002336FF" w:rsidRPr="002547FB">
        <w:rPr>
          <w:rFonts w:ascii="Arial" w:hAnsi="Arial" w:cs="Arial"/>
          <w:sz w:val="24"/>
          <w:szCs w:val="24"/>
        </w:rPr>
        <w:t>s</w:t>
      </w:r>
      <w:r w:rsidRPr="002547FB">
        <w:rPr>
          <w:rFonts w:ascii="Arial" w:hAnsi="Arial" w:cs="Arial"/>
          <w:sz w:val="24"/>
          <w:szCs w:val="24"/>
        </w:rPr>
        <w:t xml:space="preserve"> of the application. </w:t>
      </w:r>
    </w:p>
    <w:p w:rsidR="00F374B3" w:rsidRPr="002547FB" w:rsidRDefault="00F374B3" w:rsidP="00F374B3">
      <w:pPr>
        <w:spacing w:after="0" w:line="360" w:lineRule="auto"/>
        <w:jc w:val="both"/>
        <w:rPr>
          <w:rFonts w:ascii="Arial" w:hAnsi="Arial" w:cs="Arial"/>
          <w:sz w:val="24"/>
          <w:szCs w:val="24"/>
        </w:rPr>
      </w:pPr>
    </w:p>
    <w:p w:rsidR="00244481" w:rsidRPr="002547FB" w:rsidRDefault="00112716" w:rsidP="00EF2D33">
      <w:pPr>
        <w:spacing w:after="0" w:line="360" w:lineRule="auto"/>
        <w:jc w:val="both"/>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244481" w:rsidRPr="002547FB" w:rsidRDefault="00244481" w:rsidP="003B76A7">
      <w:pPr>
        <w:pStyle w:val="NoSpacing"/>
        <w:spacing w:line="360" w:lineRule="auto"/>
        <w:jc w:val="center"/>
        <w:rPr>
          <w:rFonts w:ascii="Arial" w:hAnsi="Arial" w:cs="Arial"/>
          <w:b/>
          <w:sz w:val="24"/>
          <w:szCs w:val="24"/>
        </w:rPr>
      </w:pPr>
      <w:r w:rsidRPr="002547FB">
        <w:rPr>
          <w:rFonts w:ascii="Arial" w:hAnsi="Arial" w:cs="Arial"/>
          <w:b/>
          <w:sz w:val="24"/>
          <w:szCs w:val="24"/>
        </w:rPr>
        <w:t>JUDGMENT</w:t>
      </w:r>
    </w:p>
    <w:p w:rsidR="00244481" w:rsidRPr="002547FB" w:rsidRDefault="00112716" w:rsidP="00EF2D33">
      <w:pPr>
        <w:spacing w:after="0" w:line="360" w:lineRule="auto"/>
        <w:jc w:val="both"/>
        <w:rPr>
          <w:rFonts w:ascii="Arial" w:eastAsia="Times New Roman" w:hAnsi="Arial" w:cs="Arial"/>
          <w:sz w:val="24"/>
          <w:szCs w:val="24"/>
        </w:rPr>
      </w:pPr>
      <w:r>
        <w:rPr>
          <w:rFonts w:ascii="Arial" w:hAnsi="Arial" w:cs="Arial"/>
          <w:bCs/>
          <w:sz w:val="24"/>
          <w:szCs w:val="24"/>
        </w:rPr>
        <w:pict>
          <v:rect id="_x0000_i1028" style="width:468pt;height:1.5pt" o:hralign="center" o:hrstd="t" o:hr="t" fillcolor="#a0a0a0" stroked="f"/>
        </w:pict>
      </w:r>
    </w:p>
    <w:p w:rsidR="00244481" w:rsidRPr="002547FB" w:rsidRDefault="00244481" w:rsidP="00EF2D33">
      <w:pPr>
        <w:pStyle w:val="NoSpacing"/>
        <w:spacing w:line="360" w:lineRule="auto"/>
        <w:jc w:val="both"/>
        <w:rPr>
          <w:rFonts w:ascii="Arial" w:hAnsi="Arial" w:cs="Arial"/>
          <w:sz w:val="24"/>
          <w:szCs w:val="24"/>
        </w:rPr>
      </w:pPr>
    </w:p>
    <w:p w:rsidR="00244481" w:rsidRPr="002547FB" w:rsidRDefault="00244481" w:rsidP="00EF2D33">
      <w:pPr>
        <w:pStyle w:val="NoSpacing"/>
        <w:spacing w:line="360" w:lineRule="auto"/>
        <w:jc w:val="both"/>
        <w:rPr>
          <w:rFonts w:ascii="Arial" w:hAnsi="Arial" w:cs="Arial"/>
          <w:b/>
          <w:i/>
          <w:sz w:val="24"/>
          <w:szCs w:val="24"/>
        </w:rPr>
      </w:pPr>
      <w:r w:rsidRPr="002547FB">
        <w:rPr>
          <w:rFonts w:ascii="Arial" w:hAnsi="Arial" w:cs="Arial"/>
          <w:b/>
          <w:sz w:val="24"/>
          <w:szCs w:val="24"/>
        </w:rPr>
        <w:t xml:space="preserve">UEITELE, J </w:t>
      </w:r>
      <w:r w:rsidR="002547FB">
        <w:rPr>
          <w:rFonts w:ascii="Arial" w:hAnsi="Arial" w:cs="Arial"/>
          <w:b/>
          <w:sz w:val="24"/>
          <w:szCs w:val="24"/>
        </w:rPr>
        <w:t>:</w:t>
      </w:r>
    </w:p>
    <w:p w:rsidR="00244481" w:rsidRPr="002547FB" w:rsidRDefault="00244481" w:rsidP="00EF2D33">
      <w:pPr>
        <w:spacing w:after="0" w:line="360" w:lineRule="auto"/>
        <w:jc w:val="both"/>
        <w:rPr>
          <w:rFonts w:ascii="Arial" w:hAnsi="Arial" w:cs="Arial"/>
          <w:b/>
          <w:sz w:val="24"/>
          <w:szCs w:val="24"/>
        </w:rPr>
      </w:pPr>
    </w:p>
    <w:p w:rsidR="00244481" w:rsidRPr="002547FB" w:rsidRDefault="00244481" w:rsidP="00EF2D33">
      <w:pPr>
        <w:spacing w:after="0" w:line="360" w:lineRule="auto"/>
        <w:jc w:val="both"/>
        <w:rPr>
          <w:rFonts w:ascii="Arial" w:hAnsi="Arial" w:cs="Arial"/>
          <w:sz w:val="24"/>
          <w:szCs w:val="24"/>
          <w:u w:val="single"/>
        </w:rPr>
      </w:pPr>
      <w:r w:rsidRPr="002547FB">
        <w:rPr>
          <w:rFonts w:ascii="Arial" w:hAnsi="Arial" w:cs="Arial"/>
          <w:sz w:val="24"/>
          <w:szCs w:val="24"/>
          <w:u w:val="single"/>
        </w:rPr>
        <w:t xml:space="preserve">Introduction </w:t>
      </w:r>
    </w:p>
    <w:p w:rsidR="00244481" w:rsidRPr="002547FB" w:rsidRDefault="00244481" w:rsidP="00EF2D33">
      <w:pPr>
        <w:spacing w:after="0" w:line="360" w:lineRule="auto"/>
        <w:jc w:val="both"/>
        <w:rPr>
          <w:rFonts w:ascii="Arial" w:hAnsi="Arial" w:cs="Arial"/>
        </w:rPr>
      </w:pPr>
    </w:p>
    <w:p w:rsidR="003A0250" w:rsidRPr="002547FB" w:rsidRDefault="00D67AC1"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[1]</w:t>
      </w:r>
      <w:r w:rsidRPr="002547FB">
        <w:rPr>
          <w:rFonts w:ascii="Arial" w:hAnsi="Arial" w:cs="Arial"/>
          <w:sz w:val="24"/>
          <w:szCs w:val="24"/>
        </w:rPr>
        <w:tab/>
        <w:t xml:space="preserve">On 16 June 2014 </w:t>
      </w:r>
      <w:r w:rsidR="003A0250" w:rsidRPr="002547FB">
        <w:rPr>
          <w:rFonts w:ascii="Arial" w:hAnsi="Arial" w:cs="Arial"/>
          <w:sz w:val="24"/>
          <w:szCs w:val="24"/>
        </w:rPr>
        <w:t xml:space="preserve">the </w:t>
      </w:r>
      <w:r w:rsidRPr="002547FB">
        <w:rPr>
          <w:rFonts w:ascii="Arial" w:hAnsi="Arial" w:cs="Arial"/>
          <w:sz w:val="24"/>
          <w:szCs w:val="24"/>
        </w:rPr>
        <w:t xml:space="preserve">First National Bank of Namibia received an instruction from a corresponding Bank that is based in Germany to, on behalf of </w:t>
      </w:r>
      <w:r w:rsidR="003A39D1" w:rsidRPr="002547FB">
        <w:rPr>
          <w:rFonts w:ascii="Arial" w:hAnsi="Arial" w:cs="Arial"/>
          <w:sz w:val="24"/>
          <w:szCs w:val="24"/>
        </w:rPr>
        <w:t xml:space="preserve">its </w:t>
      </w:r>
      <w:r w:rsidRPr="002547FB">
        <w:rPr>
          <w:rFonts w:ascii="Arial" w:hAnsi="Arial" w:cs="Arial"/>
          <w:sz w:val="24"/>
          <w:szCs w:val="24"/>
        </w:rPr>
        <w:t xml:space="preserve">Chinese </w:t>
      </w:r>
      <w:r w:rsidR="003A39D1" w:rsidRPr="002547FB">
        <w:rPr>
          <w:rFonts w:ascii="Arial" w:hAnsi="Arial" w:cs="Arial"/>
          <w:sz w:val="24"/>
          <w:szCs w:val="24"/>
        </w:rPr>
        <w:t xml:space="preserve">corresponding </w:t>
      </w:r>
      <w:r w:rsidRPr="002547FB">
        <w:rPr>
          <w:rFonts w:ascii="Arial" w:hAnsi="Arial" w:cs="Arial"/>
          <w:sz w:val="24"/>
          <w:szCs w:val="24"/>
        </w:rPr>
        <w:t xml:space="preserve">Bank, pay </w:t>
      </w:r>
      <w:r w:rsidR="003A0250" w:rsidRPr="002547FB">
        <w:rPr>
          <w:rFonts w:ascii="Arial" w:hAnsi="Arial" w:cs="Arial"/>
          <w:sz w:val="24"/>
          <w:szCs w:val="24"/>
        </w:rPr>
        <w:t>an a</w:t>
      </w:r>
      <w:r w:rsidR="002547FB">
        <w:rPr>
          <w:rFonts w:ascii="Arial" w:hAnsi="Arial" w:cs="Arial"/>
          <w:sz w:val="24"/>
          <w:szCs w:val="24"/>
        </w:rPr>
        <w:t>mount equivalent to EUR 192 518-</w:t>
      </w:r>
      <w:r w:rsidR="003A0250" w:rsidRPr="002547FB">
        <w:rPr>
          <w:rFonts w:ascii="Arial" w:hAnsi="Arial" w:cs="Arial"/>
          <w:sz w:val="24"/>
          <w:szCs w:val="24"/>
        </w:rPr>
        <w:t xml:space="preserve">60 into </w:t>
      </w:r>
      <w:r w:rsidR="003A39D1" w:rsidRPr="002547FB">
        <w:rPr>
          <w:rFonts w:ascii="Arial" w:hAnsi="Arial" w:cs="Arial"/>
          <w:sz w:val="24"/>
          <w:szCs w:val="24"/>
        </w:rPr>
        <w:t xml:space="preserve">an </w:t>
      </w:r>
      <w:r w:rsidR="003A0250" w:rsidRPr="002547FB">
        <w:rPr>
          <w:rFonts w:ascii="Arial" w:hAnsi="Arial" w:cs="Arial"/>
          <w:sz w:val="24"/>
          <w:szCs w:val="24"/>
        </w:rPr>
        <w:t>account held in the name of Moses Pasana Uanjanda Kamunguma who is the first respondent</w:t>
      </w:r>
      <w:r w:rsidR="003A0250" w:rsidRPr="002547FB">
        <w:rPr>
          <w:rStyle w:val="FootnoteReference"/>
          <w:rFonts w:ascii="Arial" w:hAnsi="Arial" w:cs="Arial"/>
          <w:sz w:val="24"/>
          <w:szCs w:val="24"/>
        </w:rPr>
        <w:footnoteReference w:id="1"/>
      </w:r>
      <w:r w:rsidR="003A0250" w:rsidRPr="002547FB">
        <w:rPr>
          <w:rFonts w:ascii="Arial" w:hAnsi="Arial" w:cs="Arial"/>
          <w:sz w:val="24"/>
          <w:szCs w:val="24"/>
        </w:rPr>
        <w:t xml:space="preserve"> in this application.</w:t>
      </w:r>
    </w:p>
    <w:p w:rsidR="003A0250" w:rsidRPr="002547FB" w:rsidRDefault="003A0250" w:rsidP="00EF2D33">
      <w:pPr>
        <w:tabs>
          <w:tab w:val="left" w:pos="851"/>
        </w:tabs>
        <w:spacing w:after="0" w:line="360" w:lineRule="auto"/>
        <w:jc w:val="both"/>
        <w:rPr>
          <w:rFonts w:ascii="Arial" w:hAnsi="Arial" w:cs="Arial"/>
          <w:sz w:val="24"/>
          <w:szCs w:val="24"/>
        </w:rPr>
      </w:pPr>
    </w:p>
    <w:p w:rsidR="009B1E2B" w:rsidRPr="002547FB" w:rsidRDefault="003A0250"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[2]</w:t>
      </w:r>
      <w:r w:rsidRPr="002547FB">
        <w:rPr>
          <w:rFonts w:ascii="Arial" w:hAnsi="Arial" w:cs="Arial"/>
          <w:sz w:val="24"/>
          <w:szCs w:val="24"/>
        </w:rPr>
        <w:tab/>
        <w:t>On receipt of the instructions First National Bank of Namibia requested Mr</w:t>
      </w:r>
      <w:r w:rsidR="00F55B6B" w:rsidRPr="002547FB">
        <w:rPr>
          <w:rFonts w:ascii="Arial" w:hAnsi="Arial" w:cs="Arial"/>
          <w:sz w:val="24"/>
          <w:szCs w:val="24"/>
        </w:rPr>
        <w:t xml:space="preserve"> </w:t>
      </w:r>
      <w:r w:rsidRPr="002547FB">
        <w:rPr>
          <w:rFonts w:ascii="Arial" w:hAnsi="Arial" w:cs="Arial"/>
          <w:sz w:val="24"/>
          <w:szCs w:val="24"/>
        </w:rPr>
        <w:t xml:space="preserve">Kamunguma to complete a declaration form in terms of which he </w:t>
      </w:r>
      <w:r w:rsidR="003A39D1" w:rsidRPr="002547FB">
        <w:rPr>
          <w:rFonts w:ascii="Arial" w:hAnsi="Arial" w:cs="Arial"/>
          <w:sz w:val="24"/>
          <w:szCs w:val="24"/>
        </w:rPr>
        <w:t xml:space="preserve">was required to </w:t>
      </w:r>
      <w:r w:rsidRPr="002547FB">
        <w:rPr>
          <w:rFonts w:ascii="Arial" w:hAnsi="Arial" w:cs="Arial"/>
          <w:sz w:val="24"/>
          <w:szCs w:val="24"/>
        </w:rPr>
        <w:t xml:space="preserve">declare </w:t>
      </w:r>
      <w:r w:rsidR="009B1E2B" w:rsidRPr="002547FB">
        <w:rPr>
          <w:rFonts w:ascii="Arial" w:hAnsi="Arial" w:cs="Arial"/>
          <w:sz w:val="24"/>
          <w:szCs w:val="24"/>
        </w:rPr>
        <w:t>the reason</w:t>
      </w:r>
      <w:r w:rsidR="003A39D1" w:rsidRPr="002547FB">
        <w:rPr>
          <w:rFonts w:ascii="Arial" w:hAnsi="Arial" w:cs="Arial"/>
          <w:sz w:val="24"/>
          <w:szCs w:val="24"/>
        </w:rPr>
        <w:t>s</w:t>
      </w:r>
      <w:r w:rsidR="009B1E2B" w:rsidRPr="002547FB">
        <w:rPr>
          <w:rFonts w:ascii="Arial" w:hAnsi="Arial" w:cs="Arial"/>
          <w:sz w:val="24"/>
          <w:szCs w:val="24"/>
        </w:rPr>
        <w:t xml:space="preserve"> for the receipt of the funds.</w:t>
      </w:r>
      <w:r w:rsidR="00CE5DF0" w:rsidRPr="002547FB">
        <w:rPr>
          <w:rFonts w:ascii="Arial" w:hAnsi="Arial" w:cs="Arial"/>
          <w:sz w:val="24"/>
          <w:szCs w:val="24"/>
        </w:rPr>
        <w:t xml:space="preserve"> Mr</w:t>
      </w:r>
      <w:r w:rsidR="009B1E2B" w:rsidRPr="002547FB">
        <w:rPr>
          <w:rFonts w:ascii="Arial" w:hAnsi="Arial" w:cs="Arial"/>
          <w:sz w:val="24"/>
          <w:szCs w:val="24"/>
        </w:rPr>
        <w:t xml:space="preserve"> Kamunguma completed the declaration </w:t>
      </w:r>
      <w:r w:rsidR="003A39D1" w:rsidRPr="002547FB">
        <w:rPr>
          <w:rFonts w:ascii="Arial" w:hAnsi="Arial" w:cs="Arial"/>
          <w:sz w:val="24"/>
          <w:szCs w:val="24"/>
        </w:rPr>
        <w:t xml:space="preserve">form </w:t>
      </w:r>
      <w:r w:rsidR="009B1E2B" w:rsidRPr="002547FB">
        <w:rPr>
          <w:rFonts w:ascii="Arial" w:hAnsi="Arial" w:cs="Arial"/>
          <w:sz w:val="24"/>
          <w:szCs w:val="24"/>
        </w:rPr>
        <w:t xml:space="preserve">and in </w:t>
      </w:r>
      <w:r w:rsidR="003A39D1" w:rsidRPr="002547FB">
        <w:rPr>
          <w:rFonts w:ascii="Arial" w:hAnsi="Arial" w:cs="Arial"/>
          <w:sz w:val="24"/>
          <w:szCs w:val="24"/>
        </w:rPr>
        <w:t>that</w:t>
      </w:r>
      <w:r w:rsidR="009B1E2B" w:rsidRPr="002547FB">
        <w:rPr>
          <w:rFonts w:ascii="Arial" w:hAnsi="Arial" w:cs="Arial"/>
          <w:sz w:val="24"/>
          <w:szCs w:val="24"/>
        </w:rPr>
        <w:t xml:space="preserve"> form indicated that</w:t>
      </w:r>
      <w:r w:rsidRPr="002547FB">
        <w:rPr>
          <w:rFonts w:ascii="Arial" w:hAnsi="Arial" w:cs="Arial"/>
          <w:sz w:val="24"/>
          <w:szCs w:val="24"/>
        </w:rPr>
        <w:t xml:space="preserve"> </w:t>
      </w:r>
      <w:r w:rsidR="009B1E2B" w:rsidRPr="002547FB">
        <w:rPr>
          <w:rFonts w:ascii="Arial" w:hAnsi="Arial" w:cs="Arial"/>
          <w:sz w:val="24"/>
          <w:szCs w:val="24"/>
        </w:rPr>
        <w:t>the funds were from China North Industries Corporat</w:t>
      </w:r>
      <w:r w:rsidR="002547FB">
        <w:rPr>
          <w:rFonts w:ascii="Arial" w:hAnsi="Arial" w:cs="Arial"/>
          <w:sz w:val="24"/>
          <w:szCs w:val="24"/>
        </w:rPr>
        <w:t>ion in respect of ‘construction’</w:t>
      </w:r>
      <w:r w:rsidR="009B1E2B" w:rsidRPr="002547FB">
        <w:rPr>
          <w:rFonts w:ascii="Arial" w:hAnsi="Arial" w:cs="Arial"/>
          <w:sz w:val="24"/>
          <w:szCs w:val="24"/>
        </w:rPr>
        <w:t>.</w:t>
      </w:r>
    </w:p>
    <w:p w:rsidR="001E4DA6" w:rsidRPr="002547FB" w:rsidRDefault="009B1E2B"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lastRenderedPageBreak/>
        <w:t>[3]</w:t>
      </w:r>
      <w:r w:rsidRPr="002547FB">
        <w:rPr>
          <w:rFonts w:ascii="Arial" w:hAnsi="Arial" w:cs="Arial"/>
          <w:sz w:val="24"/>
          <w:szCs w:val="24"/>
        </w:rPr>
        <w:tab/>
        <w:t xml:space="preserve">On 18 June 2014 First National Bank deposited an amount of </w:t>
      </w:r>
      <w:r w:rsidR="00D67AC1" w:rsidRPr="002547FB">
        <w:rPr>
          <w:rFonts w:ascii="Arial" w:hAnsi="Arial" w:cs="Arial"/>
          <w:sz w:val="24"/>
          <w:szCs w:val="24"/>
        </w:rPr>
        <w:t xml:space="preserve">N$ </w:t>
      </w:r>
      <w:r w:rsidR="00AB0672" w:rsidRPr="002547FB">
        <w:rPr>
          <w:rFonts w:ascii="Arial" w:hAnsi="Arial" w:cs="Arial"/>
          <w:sz w:val="24"/>
          <w:szCs w:val="24"/>
        </w:rPr>
        <w:t>2 788</w:t>
      </w:r>
      <w:r w:rsidR="00E15718" w:rsidRPr="002547FB">
        <w:rPr>
          <w:rFonts w:ascii="Arial" w:hAnsi="Arial" w:cs="Arial"/>
          <w:sz w:val="24"/>
          <w:szCs w:val="24"/>
        </w:rPr>
        <w:t xml:space="preserve"> 054-</w:t>
      </w:r>
      <w:r w:rsidRPr="002547FB">
        <w:rPr>
          <w:rFonts w:ascii="Arial" w:hAnsi="Arial" w:cs="Arial"/>
          <w:sz w:val="24"/>
          <w:szCs w:val="24"/>
        </w:rPr>
        <w:t>37 into</w:t>
      </w:r>
      <w:r w:rsidR="00F55B6B" w:rsidRPr="002547FB">
        <w:rPr>
          <w:rFonts w:ascii="Arial" w:hAnsi="Arial" w:cs="Arial"/>
          <w:sz w:val="24"/>
          <w:szCs w:val="24"/>
        </w:rPr>
        <w:t xml:space="preserve"> Mr</w:t>
      </w:r>
      <w:r w:rsidR="00D67AC1" w:rsidRPr="002547FB">
        <w:rPr>
          <w:rFonts w:ascii="Arial" w:hAnsi="Arial" w:cs="Arial"/>
          <w:sz w:val="24"/>
          <w:szCs w:val="24"/>
        </w:rPr>
        <w:t xml:space="preserve"> </w:t>
      </w:r>
      <w:r w:rsidRPr="002547FB">
        <w:rPr>
          <w:rFonts w:ascii="Arial" w:hAnsi="Arial" w:cs="Arial"/>
          <w:sz w:val="24"/>
          <w:szCs w:val="24"/>
        </w:rPr>
        <w:t>Kamunguma’s cheque account</w:t>
      </w:r>
      <w:r w:rsidR="0002292E" w:rsidRPr="002547FB">
        <w:rPr>
          <w:rFonts w:ascii="Arial" w:hAnsi="Arial" w:cs="Arial"/>
          <w:sz w:val="24"/>
          <w:szCs w:val="24"/>
        </w:rPr>
        <w:t xml:space="preserve"> </w:t>
      </w:r>
      <w:r w:rsidR="003A39D1" w:rsidRPr="002547FB">
        <w:rPr>
          <w:rFonts w:ascii="Arial" w:hAnsi="Arial" w:cs="Arial"/>
          <w:sz w:val="24"/>
          <w:szCs w:val="24"/>
        </w:rPr>
        <w:t>held at that Bank. T</w:t>
      </w:r>
      <w:r w:rsidR="0002292E" w:rsidRPr="002547FB">
        <w:rPr>
          <w:rFonts w:ascii="Arial" w:hAnsi="Arial" w:cs="Arial"/>
          <w:sz w:val="24"/>
          <w:szCs w:val="24"/>
        </w:rPr>
        <w:t xml:space="preserve">he reference for that deposit was indicated as </w:t>
      </w:r>
      <w:r w:rsidR="002547FB">
        <w:rPr>
          <w:rFonts w:ascii="Arial" w:hAnsi="Arial" w:cs="Arial"/>
          <w:sz w:val="24"/>
          <w:szCs w:val="24"/>
        </w:rPr>
        <w:t>‘</w:t>
      </w:r>
      <w:r w:rsidR="0002292E" w:rsidRPr="002547FB">
        <w:rPr>
          <w:rFonts w:ascii="Arial" w:hAnsi="Arial" w:cs="Arial"/>
          <w:sz w:val="24"/>
          <w:szCs w:val="24"/>
        </w:rPr>
        <w:t>commission</w:t>
      </w:r>
      <w:r w:rsidR="002547FB">
        <w:rPr>
          <w:rFonts w:ascii="Arial" w:hAnsi="Arial" w:cs="Arial"/>
          <w:sz w:val="24"/>
          <w:szCs w:val="24"/>
        </w:rPr>
        <w:t>’</w:t>
      </w:r>
      <w:r w:rsidRPr="002547FB">
        <w:rPr>
          <w:rFonts w:ascii="Arial" w:hAnsi="Arial" w:cs="Arial"/>
          <w:sz w:val="24"/>
          <w:szCs w:val="24"/>
        </w:rPr>
        <w:t xml:space="preserve">. </w:t>
      </w:r>
      <w:r w:rsidR="00F55B6B" w:rsidRPr="002547FB">
        <w:rPr>
          <w:rFonts w:ascii="Arial" w:hAnsi="Arial" w:cs="Arial"/>
          <w:sz w:val="24"/>
          <w:szCs w:val="24"/>
        </w:rPr>
        <w:t xml:space="preserve">Mr </w:t>
      </w:r>
      <w:r w:rsidRPr="002547FB">
        <w:rPr>
          <w:rFonts w:ascii="Arial" w:hAnsi="Arial" w:cs="Arial"/>
          <w:sz w:val="24"/>
          <w:szCs w:val="24"/>
        </w:rPr>
        <w:t xml:space="preserve">Kamunguma on, 2 July 2014 transferred an amount of N$ 2 730 000 from his cheque account to a 32 </w:t>
      </w:r>
      <w:r w:rsidR="00E15718" w:rsidRPr="002547FB">
        <w:rPr>
          <w:rFonts w:ascii="Arial" w:hAnsi="Arial" w:cs="Arial"/>
          <w:sz w:val="24"/>
          <w:szCs w:val="24"/>
        </w:rPr>
        <w:t>d</w:t>
      </w:r>
      <w:r w:rsidRPr="002547FB">
        <w:rPr>
          <w:rFonts w:ascii="Arial" w:hAnsi="Arial" w:cs="Arial"/>
          <w:sz w:val="24"/>
          <w:szCs w:val="24"/>
        </w:rPr>
        <w:t xml:space="preserve">ays investment account he holds at First National Bank. Between 18 June 2014 and </w:t>
      </w:r>
      <w:r w:rsidR="001E4DA6" w:rsidRPr="002547FB">
        <w:rPr>
          <w:rFonts w:ascii="Arial" w:hAnsi="Arial" w:cs="Arial"/>
          <w:sz w:val="24"/>
          <w:szCs w:val="24"/>
        </w:rPr>
        <w:t>an 18 March 2015 the amount of N$ 2 730 000 was moved between</w:t>
      </w:r>
      <w:r w:rsidR="00F55B6B" w:rsidRPr="002547FB">
        <w:rPr>
          <w:rFonts w:ascii="Arial" w:hAnsi="Arial" w:cs="Arial"/>
          <w:sz w:val="24"/>
          <w:szCs w:val="24"/>
        </w:rPr>
        <w:t xml:space="preserve"> Mr</w:t>
      </w:r>
      <w:r w:rsidR="00CE5DF0" w:rsidRPr="002547FB">
        <w:rPr>
          <w:rFonts w:ascii="Arial" w:hAnsi="Arial" w:cs="Arial"/>
          <w:sz w:val="24"/>
          <w:szCs w:val="24"/>
        </w:rPr>
        <w:t xml:space="preserve"> </w:t>
      </w:r>
      <w:r w:rsidR="001E4DA6" w:rsidRPr="002547FB">
        <w:rPr>
          <w:rFonts w:ascii="Arial" w:hAnsi="Arial" w:cs="Arial"/>
          <w:sz w:val="24"/>
          <w:szCs w:val="24"/>
        </w:rPr>
        <w:t xml:space="preserve">Kamunguma’s cheque account and his 32 </w:t>
      </w:r>
      <w:r w:rsidR="00E15718" w:rsidRPr="002547FB">
        <w:rPr>
          <w:rFonts w:ascii="Arial" w:hAnsi="Arial" w:cs="Arial"/>
          <w:sz w:val="24"/>
          <w:szCs w:val="24"/>
        </w:rPr>
        <w:t>d</w:t>
      </w:r>
      <w:r w:rsidR="001E4DA6" w:rsidRPr="002547FB">
        <w:rPr>
          <w:rFonts w:ascii="Arial" w:hAnsi="Arial" w:cs="Arial"/>
          <w:sz w:val="24"/>
          <w:szCs w:val="24"/>
        </w:rPr>
        <w:t>ays investment account</w:t>
      </w:r>
      <w:r w:rsidRPr="002547FB">
        <w:rPr>
          <w:rFonts w:ascii="Arial" w:hAnsi="Arial" w:cs="Arial"/>
          <w:sz w:val="24"/>
          <w:szCs w:val="24"/>
        </w:rPr>
        <w:t>.</w:t>
      </w:r>
      <w:r w:rsidR="001E4DA6" w:rsidRPr="002547FB">
        <w:rPr>
          <w:rFonts w:ascii="Arial" w:hAnsi="Arial" w:cs="Arial"/>
          <w:sz w:val="24"/>
          <w:szCs w:val="24"/>
        </w:rPr>
        <w:t xml:space="preserve"> </w:t>
      </w:r>
    </w:p>
    <w:p w:rsidR="001E4DA6" w:rsidRPr="002547FB" w:rsidRDefault="001E4DA6" w:rsidP="009B1E2B">
      <w:pPr>
        <w:tabs>
          <w:tab w:val="left" w:pos="720"/>
        </w:tabs>
        <w:spacing w:after="0" w:line="360" w:lineRule="auto"/>
        <w:jc w:val="both"/>
        <w:rPr>
          <w:rFonts w:ascii="Arial" w:hAnsi="Arial" w:cs="Arial"/>
          <w:sz w:val="24"/>
          <w:szCs w:val="24"/>
        </w:rPr>
      </w:pPr>
    </w:p>
    <w:p w:rsidR="001E4DA6" w:rsidRPr="002547FB" w:rsidRDefault="001E4DA6"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[4]</w:t>
      </w:r>
      <w:r w:rsidRPr="002547FB">
        <w:rPr>
          <w:rFonts w:ascii="Arial" w:hAnsi="Arial" w:cs="Arial"/>
          <w:sz w:val="24"/>
          <w:szCs w:val="24"/>
        </w:rPr>
        <w:tab/>
        <w:t xml:space="preserve">Large amounts of cash were also withdrawn from those accounts, as an example on 2 July 2014 an amount of N$ 12 500 was withdrawn from </w:t>
      </w:r>
      <w:r w:rsidR="00F55B6B" w:rsidRPr="002547FB">
        <w:rPr>
          <w:rFonts w:ascii="Arial" w:hAnsi="Arial" w:cs="Arial"/>
          <w:sz w:val="24"/>
          <w:szCs w:val="24"/>
        </w:rPr>
        <w:t xml:space="preserve">Mr </w:t>
      </w:r>
      <w:r w:rsidRPr="002547FB">
        <w:rPr>
          <w:rFonts w:ascii="Arial" w:hAnsi="Arial" w:cs="Arial"/>
          <w:sz w:val="24"/>
          <w:szCs w:val="24"/>
        </w:rPr>
        <w:t xml:space="preserve">Kamunguma’s cheque account, on 14 August 2014 a cash amount of N$ 54 000 was withdrawn from </w:t>
      </w:r>
      <w:r w:rsidR="003F6B77" w:rsidRPr="002547FB">
        <w:rPr>
          <w:rFonts w:ascii="Arial" w:hAnsi="Arial" w:cs="Arial"/>
          <w:sz w:val="24"/>
          <w:szCs w:val="24"/>
        </w:rPr>
        <w:t>Mr</w:t>
      </w:r>
      <w:r w:rsidR="00F55B6B" w:rsidRPr="002547FB">
        <w:rPr>
          <w:rFonts w:ascii="Arial" w:hAnsi="Arial" w:cs="Arial"/>
          <w:sz w:val="24"/>
          <w:szCs w:val="24"/>
        </w:rPr>
        <w:t xml:space="preserve"> </w:t>
      </w:r>
      <w:r w:rsidRPr="002547FB">
        <w:rPr>
          <w:rFonts w:ascii="Arial" w:hAnsi="Arial" w:cs="Arial"/>
          <w:sz w:val="24"/>
          <w:szCs w:val="24"/>
        </w:rPr>
        <w:t>Kamunguma’s cheque account</w:t>
      </w:r>
      <w:r w:rsidR="00D67AC1" w:rsidRPr="002547FB">
        <w:rPr>
          <w:rFonts w:ascii="Arial" w:hAnsi="Arial" w:cs="Arial"/>
          <w:sz w:val="24"/>
          <w:szCs w:val="24"/>
        </w:rPr>
        <w:t xml:space="preserve"> </w:t>
      </w:r>
      <w:r w:rsidRPr="002547FB">
        <w:rPr>
          <w:rFonts w:ascii="Arial" w:hAnsi="Arial" w:cs="Arial"/>
          <w:sz w:val="24"/>
          <w:szCs w:val="24"/>
        </w:rPr>
        <w:t xml:space="preserve">and on 24 November 2014 a cash amount of N$ 85 000 was withdrawn from </w:t>
      </w:r>
      <w:r w:rsidR="003F6B77" w:rsidRPr="002547FB">
        <w:rPr>
          <w:rFonts w:ascii="Arial" w:hAnsi="Arial" w:cs="Arial"/>
          <w:sz w:val="24"/>
          <w:szCs w:val="24"/>
        </w:rPr>
        <w:t xml:space="preserve">Mr </w:t>
      </w:r>
      <w:r w:rsidRPr="002547FB">
        <w:rPr>
          <w:rFonts w:ascii="Arial" w:hAnsi="Arial" w:cs="Arial"/>
          <w:sz w:val="24"/>
          <w:szCs w:val="24"/>
        </w:rPr>
        <w:t xml:space="preserve">Kamunguma’s cheque account. </w:t>
      </w:r>
    </w:p>
    <w:p w:rsidR="001E4DA6" w:rsidRPr="002547FB" w:rsidRDefault="001E4DA6" w:rsidP="009B1E2B">
      <w:pPr>
        <w:tabs>
          <w:tab w:val="left" w:pos="720"/>
        </w:tabs>
        <w:spacing w:after="0" w:line="360" w:lineRule="auto"/>
        <w:jc w:val="both"/>
        <w:rPr>
          <w:rFonts w:ascii="Arial" w:hAnsi="Arial" w:cs="Arial"/>
          <w:sz w:val="24"/>
          <w:szCs w:val="24"/>
        </w:rPr>
      </w:pPr>
    </w:p>
    <w:p w:rsidR="00004CE2" w:rsidRPr="002547FB" w:rsidRDefault="001E4DA6"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[5]</w:t>
      </w:r>
      <w:r w:rsidRPr="002547FB">
        <w:rPr>
          <w:rFonts w:ascii="Arial" w:hAnsi="Arial" w:cs="Arial"/>
          <w:sz w:val="24"/>
          <w:szCs w:val="24"/>
        </w:rPr>
        <w:tab/>
        <w:t>The transactions that I have m</w:t>
      </w:r>
      <w:r w:rsidR="00E70B8B" w:rsidRPr="002547FB">
        <w:rPr>
          <w:rFonts w:ascii="Arial" w:hAnsi="Arial" w:cs="Arial"/>
          <w:sz w:val="24"/>
          <w:szCs w:val="24"/>
        </w:rPr>
        <w:t>entioned above in paragraphs three</w:t>
      </w:r>
      <w:r w:rsidRPr="002547FB">
        <w:rPr>
          <w:rFonts w:ascii="Arial" w:hAnsi="Arial" w:cs="Arial"/>
          <w:sz w:val="24"/>
          <w:szCs w:val="24"/>
        </w:rPr>
        <w:t xml:space="preserve"> </w:t>
      </w:r>
      <w:r w:rsidR="00E70B8B" w:rsidRPr="002547FB">
        <w:rPr>
          <w:rFonts w:ascii="Arial" w:hAnsi="Arial" w:cs="Arial"/>
          <w:sz w:val="24"/>
          <w:szCs w:val="24"/>
        </w:rPr>
        <w:t>and four</w:t>
      </w:r>
      <w:r w:rsidR="00004CE2" w:rsidRPr="002547FB">
        <w:rPr>
          <w:rFonts w:ascii="Arial" w:hAnsi="Arial" w:cs="Arial"/>
          <w:sz w:val="24"/>
          <w:szCs w:val="24"/>
        </w:rPr>
        <w:t xml:space="preserve"> </w:t>
      </w:r>
      <w:r w:rsidRPr="002547FB">
        <w:rPr>
          <w:rFonts w:ascii="Arial" w:hAnsi="Arial" w:cs="Arial"/>
          <w:sz w:val="24"/>
          <w:szCs w:val="24"/>
        </w:rPr>
        <w:t xml:space="preserve">were reported to the Anti-Corruption Commission which conducted an investigation on the accounts of </w:t>
      </w:r>
      <w:r w:rsidR="00F55B6B" w:rsidRPr="002547FB">
        <w:rPr>
          <w:rFonts w:ascii="Arial" w:hAnsi="Arial" w:cs="Arial"/>
          <w:sz w:val="24"/>
          <w:szCs w:val="24"/>
        </w:rPr>
        <w:t xml:space="preserve">Mr </w:t>
      </w:r>
      <w:r w:rsidR="00004CE2" w:rsidRPr="002547FB">
        <w:rPr>
          <w:rFonts w:ascii="Arial" w:hAnsi="Arial" w:cs="Arial"/>
          <w:sz w:val="24"/>
          <w:szCs w:val="24"/>
        </w:rPr>
        <w:t>Kamunguma. The Anti-Corruption Commission’s investigations confirmed the movement of the funds between the accounts held by Mr Kamunguma at First National Bank and also revealed that:</w:t>
      </w:r>
    </w:p>
    <w:p w:rsidR="006A4D9C" w:rsidRPr="002547FB" w:rsidRDefault="006A4D9C" w:rsidP="009B1E2B">
      <w:pPr>
        <w:tabs>
          <w:tab w:val="left" w:pos="720"/>
        </w:tabs>
        <w:spacing w:after="0" w:line="360" w:lineRule="auto"/>
        <w:jc w:val="both"/>
        <w:rPr>
          <w:rFonts w:ascii="Arial" w:hAnsi="Arial" w:cs="Arial"/>
          <w:sz w:val="24"/>
          <w:szCs w:val="24"/>
        </w:rPr>
      </w:pPr>
    </w:p>
    <w:p w:rsidR="009D4ACE" w:rsidRPr="002547FB" w:rsidRDefault="009D4ACE" w:rsidP="004021A7">
      <w:pPr>
        <w:pStyle w:val="ListParagraph"/>
        <w:numPr>
          <w:ilvl w:val="0"/>
          <w:numId w:val="30"/>
        </w:numPr>
        <w:tabs>
          <w:tab w:val="left" w:pos="720"/>
        </w:tabs>
        <w:spacing w:after="0" w:line="360" w:lineRule="auto"/>
        <w:ind w:left="720"/>
        <w:jc w:val="both"/>
        <w:rPr>
          <w:rFonts w:ascii="Arial" w:hAnsi="Arial" w:cs="Arial"/>
          <w:sz w:val="24"/>
          <w:szCs w:val="24"/>
        </w:rPr>
      </w:pPr>
      <w:r w:rsidRPr="002547FB">
        <w:rPr>
          <w:rFonts w:ascii="Arial" w:hAnsi="Arial" w:cs="Arial"/>
          <w:sz w:val="24"/>
          <w:szCs w:val="24"/>
        </w:rPr>
        <w:t>On 24 November 2014,</w:t>
      </w:r>
      <w:r w:rsidR="00F55B6B" w:rsidRPr="002547FB">
        <w:rPr>
          <w:rFonts w:ascii="Arial" w:hAnsi="Arial" w:cs="Arial"/>
          <w:sz w:val="24"/>
          <w:szCs w:val="24"/>
        </w:rPr>
        <w:t xml:space="preserve"> Mr </w:t>
      </w:r>
      <w:r w:rsidRPr="002547FB">
        <w:rPr>
          <w:rFonts w:ascii="Arial" w:hAnsi="Arial" w:cs="Arial"/>
          <w:sz w:val="24"/>
          <w:szCs w:val="24"/>
        </w:rPr>
        <w:t xml:space="preserve">Kamunguma withdrew a cash amount of N$ 85 </w:t>
      </w:r>
      <w:r w:rsidR="00D423EE" w:rsidRPr="002547FB">
        <w:rPr>
          <w:rFonts w:ascii="Arial" w:hAnsi="Arial" w:cs="Arial"/>
          <w:sz w:val="24"/>
          <w:szCs w:val="24"/>
        </w:rPr>
        <w:t>000 from his FNB cheque account</w:t>
      </w:r>
      <w:r w:rsidRPr="002547FB">
        <w:rPr>
          <w:rFonts w:ascii="Arial" w:hAnsi="Arial" w:cs="Arial"/>
          <w:sz w:val="24"/>
          <w:szCs w:val="24"/>
        </w:rPr>
        <w:t xml:space="preserve"> and on the same date purchased a Volkswagen Polo Vivo motor vehicle with registration number N 58897 W</w:t>
      </w:r>
      <w:r w:rsidR="00D423EE" w:rsidRPr="002547FB">
        <w:rPr>
          <w:rFonts w:ascii="Arial" w:hAnsi="Arial" w:cs="Arial"/>
          <w:sz w:val="24"/>
          <w:szCs w:val="24"/>
        </w:rPr>
        <w:t>.</w:t>
      </w:r>
    </w:p>
    <w:p w:rsidR="009D4ACE" w:rsidRPr="002547FB" w:rsidRDefault="009D4ACE" w:rsidP="009D4ACE">
      <w:pPr>
        <w:pStyle w:val="ListParagraph"/>
        <w:tabs>
          <w:tab w:val="left" w:pos="720"/>
        </w:tabs>
        <w:spacing w:after="0" w:line="360" w:lineRule="auto"/>
        <w:jc w:val="both"/>
        <w:rPr>
          <w:rFonts w:ascii="Arial" w:hAnsi="Arial" w:cs="Arial"/>
          <w:sz w:val="24"/>
          <w:szCs w:val="24"/>
        </w:rPr>
      </w:pPr>
    </w:p>
    <w:p w:rsidR="004021A7" w:rsidRPr="002547FB" w:rsidRDefault="00004CE2" w:rsidP="004021A7">
      <w:pPr>
        <w:pStyle w:val="ListParagraph"/>
        <w:numPr>
          <w:ilvl w:val="0"/>
          <w:numId w:val="30"/>
        </w:numPr>
        <w:tabs>
          <w:tab w:val="left" w:pos="851"/>
        </w:tabs>
        <w:spacing w:after="0" w:line="360" w:lineRule="auto"/>
        <w:ind w:left="720"/>
        <w:jc w:val="both"/>
        <w:rPr>
          <w:rFonts w:ascii="Arial" w:hAnsi="Arial" w:cs="Arial"/>
          <w:sz w:val="24"/>
          <w:szCs w:val="24"/>
        </w:rPr>
      </w:pPr>
      <w:r w:rsidRPr="002547FB">
        <w:rPr>
          <w:rFonts w:ascii="Arial" w:hAnsi="Arial" w:cs="Arial"/>
          <w:sz w:val="24"/>
          <w:szCs w:val="24"/>
        </w:rPr>
        <w:t xml:space="preserve">On 16 December 2014 </w:t>
      </w:r>
      <w:r w:rsidR="003F6B77" w:rsidRPr="002547FB">
        <w:rPr>
          <w:rFonts w:ascii="Arial" w:hAnsi="Arial" w:cs="Arial"/>
          <w:sz w:val="24"/>
          <w:szCs w:val="24"/>
        </w:rPr>
        <w:t xml:space="preserve">Mr </w:t>
      </w:r>
      <w:r w:rsidRPr="002547FB">
        <w:rPr>
          <w:rFonts w:ascii="Arial" w:hAnsi="Arial" w:cs="Arial"/>
          <w:sz w:val="24"/>
          <w:szCs w:val="24"/>
        </w:rPr>
        <w:t>Kamunguma transferred an amount of N$ 183</w:t>
      </w:r>
      <w:r w:rsidR="00195FFF" w:rsidRPr="002547FB">
        <w:rPr>
          <w:rFonts w:ascii="Arial" w:hAnsi="Arial" w:cs="Arial"/>
          <w:sz w:val="24"/>
          <w:szCs w:val="24"/>
        </w:rPr>
        <w:t xml:space="preserve"> </w:t>
      </w:r>
      <w:r w:rsidRPr="002547FB">
        <w:rPr>
          <w:rFonts w:ascii="Arial" w:hAnsi="Arial" w:cs="Arial"/>
          <w:sz w:val="24"/>
          <w:szCs w:val="24"/>
        </w:rPr>
        <w:t>880</w:t>
      </w:r>
      <w:r w:rsidR="00195FFF" w:rsidRPr="002547FB">
        <w:rPr>
          <w:rFonts w:ascii="Arial" w:hAnsi="Arial" w:cs="Arial"/>
          <w:sz w:val="24"/>
          <w:szCs w:val="24"/>
        </w:rPr>
        <w:t>-</w:t>
      </w:r>
      <w:r w:rsidRPr="002547FB">
        <w:rPr>
          <w:rFonts w:ascii="Arial" w:hAnsi="Arial" w:cs="Arial"/>
          <w:sz w:val="24"/>
          <w:szCs w:val="24"/>
        </w:rPr>
        <w:t xml:space="preserve">97 to </w:t>
      </w:r>
      <w:r w:rsidR="003A39D1" w:rsidRPr="002547FB">
        <w:rPr>
          <w:rFonts w:ascii="Arial" w:hAnsi="Arial" w:cs="Arial"/>
          <w:sz w:val="24"/>
          <w:szCs w:val="24"/>
        </w:rPr>
        <w:t>an account which is held at Ned</w:t>
      </w:r>
      <w:r w:rsidRPr="002547FB">
        <w:rPr>
          <w:rFonts w:ascii="Arial" w:hAnsi="Arial" w:cs="Arial"/>
          <w:sz w:val="24"/>
          <w:szCs w:val="24"/>
        </w:rPr>
        <w:t>bank Namibia in his name</w:t>
      </w:r>
      <w:r w:rsidR="00AB0672" w:rsidRPr="002547FB">
        <w:rPr>
          <w:rFonts w:ascii="Arial" w:hAnsi="Arial" w:cs="Arial"/>
          <w:sz w:val="24"/>
          <w:szCs w:val="24"/>
        </w:rPr>
        <w:t xml:space="preserve">. </w:t>
      </w:r>
      <w:r w:rsidR="00195FFF" w:rsidRPr="002547FB">
        <w:rPr>
          <w:rFonts w:ascii="Arial" w:hAnsi="Arial" w:cs="Arial"/>
          <w:sz w:val="24"/>
          <w:szCs w:val="24"/>
        </w:rPr>
        <w:t xml:space="preserve">The amount of N$ 183 </w:t>
      </w:r>
      <w:r w:rsidR="00AB0672" w:rsidRPr="002547FB">
        <w:rPr>
          <w:rFonts w:ascii="Arial" w:hAnsi="Arial" w:cs="Arial"/>
          <w:sz w:val="24"/>
          <w:szCs w:val="24"/>
        </w:rPr>
        <w:t>880</w:t>
      </w:r>
      <w:r w:rsidR="00195FFF" w:rsidRPr="002547FB">
        <w:rPr>
          <w:rFonts w:ascii="Arial" w:hAnsi="Arial" w:cs="Arial"/>
          <w:sz w:val="24"/>
          <w:szCs w:val="24"/>
        </w:rPr>
        <w:t>-</w:t>
      </w:r>
      <w:r w:rsidR="003A39D1" w:rsidRPr="002547FB">
        <w:rPr>
          <w:rFonts w:ascii="Arial" w:hAnsi="Arial" w:cs="Arial"/>
          <w:sz w:val="24"/>
          <w:szCs w:val="24"/>
        </w:rPr>
        <w:t>97 which</w:t>
      </w:r>
      <w:r w:rsidR="00F848F4" w:rsidRPr="002547FB">
        <w:rPr>
          <w:rFonts w:ascii="Arial" w:hAnsi="Arial" w:cs="Arial"/>
          <w:sz w:val="24"/>
          <w:szCs w:val="24"/>
        </w:rPr>
        <w:t xml:space="preserve"> he so transferred was used to pay off a motor vehicle financing loan at Nedbank in respect of</w:t>
      </w:r>
      <w:r w:rsidR="003A39D1" w:rsidRPr="002547FB">
        <w:rPr>
          <w:rFonts w:ascii="Arial" w:hAnsi="Arial" w:cs="Arial"/>
          <w:sz w:val="24"/>
          <w:szCs w:val="24"/>
        </w:rPr>
        <w:t xml:space="preserve"> a</w:t>
      </w:r>
      <w:r w:rsidR="00F848F4" w:rsidRPr="002547FB">
        <w:rPr>
          <w:rFonts w:ascii="Arial" w:hAnsi="Arial" w:cs="Arial"/>
          <w:sz w:val="24"/>
          <w:szCs w:val="24"/>
        </w:rPr>
        <w:t xml:space="preserve"> Mazda 3.0</w:t>
      </w:r>
      <w:r w:rsidR="003A39D1" w:rsidRPr="002547FB">
        <w:rPr>
          <w:rFonts w:ascii="Arial" w:hAnsi="Arial" w:cs="Arial"/>
          <w:sz w:val="24"/>
          <w:szCs w:val="24"/>
        </w:rPr>
        <w:t xml:space="preserve"> </w:t>
      </w:r>
      <w:r w:rsidR="00F848F4" w:rsidRPr="002547FB">
        <w:rPr>
          <w:rFonts w:ascii="Arial" w:hAnsi="Arial" w:cs="Arial"/>
          <w:sz w:val="24"/>
          <w:szCs w:val="24"/>
        </w:rPr>
        <w:t>DIT 4 x 2 SLE with registration number N 78991 W,</w:t>
      </w:r>
      <w:r w:rsidR="004021A7" w:rsidRPr="002547FB">
        <w:rPr>
          <w:rFonts w:ascii="Arial" w:hAnsi="Arial" w:cs="Arial"/>
          <w:sz w:val="24"/>
          <w:szCs w:val="24"/>
        </w:rPr>
        <w:t xml:space="preserve"> and</w:t>
      </w:r>
    </w:p>
    <w:p w:rsidR="004021A7" w:rsidRPr="002547FB" w:rsidRDefault="004021A7" w:rsidP="004021A7">
      <w:pPr>
        <w:pStyle w:val="ListParagraph"/>
        <w:tabs>
          <w:tab w:val="left" w:pos="720"/>
        </w:tabs>
        <w:spacing w:after="0" w:line="360" w:lineRule="auto"/>
        <w:jc w:val="both"/>
        <w:rPr>
          <w:rFonts w:ascii="Arial" w:hAnsi="Arial" w:cs="Arial"/>
          <w:sz w:val="24"/>
          <w:szCs w:val="24"/>
        </w:rPr>
      </w:pPr>
      <w:r w:rsidRPr="002547FB">
        <w:rPr>
          <w:rFonts w:ascii="Arial" w:hAnsi="Arial" w:cs="Arial"/>
          <w:sz w:val="24"/>
          <w:szCs w:val="24"/>
        </w:rPr>
        <w:t xml:space="preserve"> </w:t>
      </w:r>
    </w:p>
    <w:p w:rsidR="00004CE2" w:rsidRPr="002547FB" w:rsidRDefault="004021A7" w:rsidP="004021A7">
      <w:pPr>
        <w:pStyle w:val="ListParagraph"/>
        <w:numPr>
          <w:ilvl w:val="0"/>
          <w:numId w:val="30"/>
        </w:numPr>
        <w:tabs>
          <w:tab w:val="left" w:pos="720"/>
        </w:tabs>
        <w:spacing w:after="0" w:line="360" w:lineRule="auto"/>
        <w:ind w:left="720"/>
        <w:jc w:val="both"/>
        <w:rPr>
          <w:rFonts w:ascii="Arial" w:hAnsi="Arial" w:cs="Arial"/>
          <w:sz w:val="24"/>
          <w:szCs w:val="24"/>
        </w:rPr>
      </w:pPr>
      <w:r w:rsidRPr="002547FB">
        <w:rPr>
          <w:rFonts w:ascii="Arial" w:hAnsi="Arial" w:cs="Arial"/>
          <w:sz w:val="24"/>
          <w:szCs w:val="24"/>
        </w:rPr>
        <w:t>On</w:t>
      </w:r>
      <w:r w:rsidR="00004CE2" w:rsidRPr="002547FB">
        <w:rPr>
          <w:rFonts w:ascii="Arial" w:hAnsi="Arial" w:cs="Arial"/>
          <w:sz w:val="24"/>
          <w:szCs w:val="24"/>
        </w:rPr>
        <w:t xml:space="preserve"> 23 February 2015 </w:t>
      </w:r>
      <w:r w:rsidR="003F6B77" w:rsidRPr="002547FB">
        <w:rPr>
          <w:rFonts w:ascii="Arial" w:hAnsi="Arial" w:cs="Arial"/>
          <w:sz w:val="24"/>
          <w:szCs w:val="24"/>
        </w:rPr>
        <w:t xml:space="preserve">Mr </w:t>
      </w:r>
      <w:r w:rsidRPr="002547FB">
        <w:rPr>
          <w:rFonts w:ascii="Arial" w:hAnsi="Arial" w:cs="Arial"/>
          <w:sz w:val="24"/>
          <w:szCs w:val="24"/>
        </w:rPr>
        <w:t xml:space="preserve">Kamunguma </w:t>
      </w:r>
      <w:r w:rsidR="00004CE2" w:rsidRPr="002547FB">
        <w:rPr>
          <w:rFonts w:ascii="Arial" w:hAnsi="Arial" w:cs="Arial"/>
          <w:sz w:val="24"/>
          <w:szCs w:val="24"/>
        </w:rPr>
        <w:t xml:space="preserve">transferred an amount of N$ 2 000 </w:t>
      </w:r>
      <w:r w:rsidRPr="002547FB">
        <w:rPr>
          <w:rFonts w:ascii="Arial" w:hAnsi="Arial" w:cs="Arial"/>
          <w:sz w:val="24"/>
          <w:szCs w:val="24"/>
        </w:rPr>
        <w:t>000 from</w:t>
      </w:r>
      <w:r w:rsidR="00004CE2" w:rsidRPr="002547FB">
        <w:rPr>
          <w:rFonts w:ascii="Arial" w:hAnsi="Arial" w:cs="Arial"/>
          <w:sz w:val="24"/>
          <w:szCs w:val="24"/>
        </w:rPr>
        <w:t xml:space="preserve"> the c</w:t>
      </w:r>
      <w:r w:rsidRPr="002547FB">
        <w:rPr>
          <w:rFonts w:ascii="Arial" w:hAnsi="Arial" w:cs="Arial"/>
          <w:sz w:val="24"/>
          <w:szCs w:val="24"/>
        </w:rPr>
        <w:t>heque account to an investment account</w:t>
      </w:r>
      <w:r w:rsidR="003A39D1" w:rsidRPr="002547FB">
        <w:rPr>
          <w:rFonts w:ascii="Arial" w:hAnsi="Arial" w:cs="Arial"/>
          <w:sz w:val="24"/>
          <w:szCs w:val="24"/>
        </w:rPr>
        <w:t xml:space="preserve"> (Account number 712537</w:t>
      </w:r>
      <w:r w:rsidR="009E520E" w:rsidRPr="002547FB">
        <w:rPr>
          <w:rFonts w:ascii="Arial" w:hAnsi="Arial" w:cs="Arial"/>
          <w:sz w:val="24"/>
          <w:szCs w:val="24"/>
        </w:rPr>
        <w:t>xxxxx</w:t>
      </w:r>
      <w:r w:rsidR="003A39D1" w:rsidRPr="002547FB">
        <w:rPr>
          <w:rFonts w:ascii="Arial" w:hAnsi="Arial" w:cs="Arial"/>
          <w:sz w:val="24"/>
          <w:szCs w:val="24"/>
        </w:rPr>
        <w:t xml:space="preserve">) </w:t>
      </w:r>
      <w:r w:rsidRPr="002547FB">
        <w:rPr>
          <w:rFonts w:ascii="Arial" w:hAnsi="Arial" w:cs="Arial"/>
          <w:sz w:val="24"/>
          <w:szCs w:val="24"/>
        </w:rPr>
        <w:t>held</w:t>
      </w:r>
      <w:r w:rsidR="00004CE2" w:rsidRPr="002547FB">
        <w:rPr>
          <w:rFonts w:ascii="Arial" w:hAnsi="Arial" w:cs="Arial"/>
          <w:sz w:val="24"/>
          <w:szCs w:val="24"/>
        </w:rPr>
        <w:t xml:space="preserve"> at First National Bank of Namibia in the name of </w:t>
      </w:r>
      <w:r w:rsidR="003F6B77" w:rsidRPr="002547FB">
        <w:rPr>
          <w:rFonts w:ascii="Arial" w:hAnsi="Arial" w:cs="Arial"/>
          <w:sz w:val="24"/>
          <w:szCs w:val="24"/>
        </w:rPr>
        <w:t xml:space="preserve">Mr </w:t>
      </w:r>
      <w:r w:rsidR="00004CE2" w:rsidRPr="002547FB">
        <w:rPr>
          <w:rFonts w:ascii="Arial" w:hAnsi="Arial" w:cs="Arial"/>
          <w:sz w:val="24"/>
          <w:szCs w:val="24"/>
        </w:rPr>
        <w:t>Kamunguma</w:t>
      </w:r>
      <w:r w:rsidRPr="002547FB">
        <w:rPr>
          <w:rFonts w:ascii="Arial" w:hAnsi="Arial" w:cs="Arial"/>
          <w:sz w:val="24"/>
          <w:szCs w:val="24"/>
        </w:rPr>
        <w:t>,</w:t>
      </w:r>
      <w:r w:rsidR="00004CE2" w:rsidRPr="002547FB">
        <w:rPr>
          <w:rFonts w:ascii="Arial" w:hAnsi="Arial" w:cs="Arial"/>
          <w:sz w:val="24"/>
          <w:szCs w:val="24"/>
        </w:rPr>
        <w:t xml:space="preserve"> the maturity date of the investment was 23 February</w:t>
      </w:r>
      <w:r w:rsidR="00195FFF" w:rsidRPr="002547FB">
        <w:rPr>
          <w:rFonts w:ascii="Arial" w:hAnsi="Arial" w:cs="Arial"/>
          <w:sz w:val="24"/>
          <w:szCs w:val="24"/>
        </w:rPr>
        <w:t xml:space="preserve"> </w:t>
      </w:r>
      <w:r w:rsidR="00004CE2" w:rsidRPr="002547FB">
        <w:rPr>
          <w:rFonts w:ascii="Arial" w:hAnsi="Arial" w:cs="Arial"/>
          <w:sz w:val="24"/>
          <w:szCs w:val="24"/>
        </w:rPr>
        <w:t>2016.</w:t>
      </w:r>
    </w:p>
    <w:p w:rsidR="00004CE2" w:rsidRPr="002547FB" w:rsidRDefault="00004CE2" w:rsidP="009B1E2B">
      <w:pPr>
        <w:tabs>
          <w:tab w:val="left" w:pos="720"/>
        </w:tabs>
        <w:spacing w:after="0" w:line="360" w:lineRule="auto"/>
        <w:jc w:val="both"/>
        <w:rPr>
          <w:rFonts w:ascii="Arial" w:hAnsi="Arial" w:cs="Arial"/>
          <w:sz w:val="24"/>
          <w:szCs w:val="24"/>
        </w:rPr>
      </w:pPr>
    </w:p>
    <w:p w:rsidR="004021A7" w:rsidRPr="002547FB" w:rsidRDefault="004021A7"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lastRenderedPageBreak/>
        <w:t>[6]</w:t>
      </w:r>
      <w:r w:rsidRPr="002547FB">
        <w:rPr>
          <w:rFonts w:ascii="Arial" w:hAnsi="Arial" w:cs="Arial"/>
          <w:sz w:val="24"/>
          <w:szCs w:val="24"/>
        </w:rPr>
        <w:tab/>
        <w:t xml:space="preserve">An officer of the Anti-Corruption Commission interviewed </w:t>
      </w:r>
      <w:r w:rsidR="00BB5B0C" w:rsidRPr="002547FB">
        <w:rPr>
          <w:rFonts w:ascii="Arial" w:hAnsi="Arial" w:cs="Arial"/>
          <w:sz w:val="24"/>
          <w:szCs w:val="24"/>
        </w:rPr>
        <w:t xml:space="preserve">Mr </w:t>
      </w:r>
      <w:r w:rsidRPr="002547FB">
        <w:rPr>
          <w:rFonts w:ascii="Arial" w:hAnsi="Arial" w:cs="Arial"/>
          <w:sz w:val="24"/>
          <w:szCs w:val="24"/>
        </w:rPr>
        <w:t xml:space="preserve">Kamunguma with a view to establish the source of the </w:t>
      </w:r>
      <w:r w:rsidR="00195FFF" w:rsidRPr="002547FB">
        <w:rPr>
          <w:rFonts w:ascii="Arial" w:hAnsi="Arial" w:cs="Arial"/>
          <w:sz w:val="24"/>
          <w:szCs w:val="24"/>
        </w:rPr>
        <w:t xml:space="preserve">N$ 2 788 </w:t>
      </w:r>
      <w:r w:rsidR="00AB0672" w:rsidRPr="002547FB">
        <w:rPr>
          <w:rFonts w:ascii="Arial" w:hAnsi="Arial" w:cs="Arial"/>
          <w:sz w:val="24"/>
          <w:szCs w:val="24"/>
        </w:rPr>
        <w:t>054</w:t>
      </w:r>
      <w:r w:rsidR="00195FFF" w:rsidRPr="002547FB">
        <w:rPr>
          <w:rFonts w:ascii="Arial" w:hAnsi="Arial" w:cs="Arial"/>
          <w:sz w:val="24"/>
          <w:szCs w:val="24"/>
        </w:rPr>
        <w:t xml:space="preserve"> - </w:t>
      </w:r>
      <w:r w:rsidRPr="002547FB">
        <w:rPr>
          <w:rFonts w:ascii="Arial" w:hAnsi="Arial" w:cs="Arial"/>
          <w:sz w:val="24"/>
          <w:szCs w:val="24"/>
        </w:rPr>
        <w:t xml:space="preserve">37 which was paid into </w:t>
      </w:r>
      <w:r w:rsidR="00BB5B0C" w:rsidRPr="002547FB">
        <w:rPr>
          <w:rFonts w:ascii="Arial" w:hAnsi="Arial" w:cs="Arial"/>
          <w:sz w:val="24"/>
          <w:szCs w:val="24"/>
        </w:rPr>
        <w:t xml:space="preserve">Mr </w:t>
      </w:r>
      <w:r w:rsidRPr="002547FB">
        <w:rPr>
          <w:rFonts w:ascii="Arial" w:hAnsi="Arial" w:cs="Arial"/>
          <w:sz w:val="24"/>
          <w:szCs w:val="24"/>
        </w:rPr>
        <w:t>Kamunguma’s cheque account.</w:t>
      </w:r>
      <w:r w:rsidR="00F848F4" w:rsidRPr="002547FB">
        <w:rPr>
          <w:rFonts w:ascii="Arial" w:hAnsi="Arial" w:cs="Arial"/>
          <w:sz w:val="24"/>
          <w:szCs w:val="24"/>
        </w:rPr>
        <w:t xml:space="preserve"> </w:t>
      </w:r>
      <w:r w:rsidRPr="002547FB">
        <w:rPr>
          <w:rFonts w:ascii="Arial" w:hAnsi="Arial" w:cs="Arial"/>
          <w:sz w:val="24"/>
          <w:szCs w:val="24"/>
        </w:rPr>
        <w:t>M</w:t>
      </w:r>
      <w:r w:rsidR="003A39D1" w:rsidRPr="002547FB">
        <w:rPr>
          <w:rFonts w:ascii="Arial" w:hAnsi="Arial" w:cs="Arial"/>
          <w:sz w:val="24"/>
          <w:szCs w:val="24"/>
        </w:rPr>
        <w:t>r</w:t>
      </w:r>
      <w:r w:rsidRPr="002547FB">
        <w:rPr>
          <w:rFonts w:ascii="Arial" w:hAnsi="Arial" w:cs="Arial"/>
          <w:sz w:val="24"/>
          <w:szCs w:val="24"/>
        </w:rPr>
        <w:t xml:space="preserve"> Kam</w:t>
      </w:r>
      <w:r w:rsidR="00F848F4" w:rsidRPr="002547FB">
        <w:rPr>
          <w:rFonts w:ascii="Arial" w:hAnsi="Arial" w:cs="Arial"/>
          <w:sz w:val="24"/>
          <w:szCs w:val="24"/>
        </w:rPr>
        <w:t xml:space="preserve">unguma informed the officer that the money was </w:t>
      </w:r>
      <w:r w:rsidR="0002292E" w:rsidRPr="002547FB">
        <w:rPr>
          <w:rFonts w:ascii="Arial" w:hAnsi="Arial" w:cs="Arial"/>
          <w:sz w:val="24"/>
          <w:szCs w:val="24"/>
        </w:rPr>
        <w:t>send from</w:t>
      </w:r>
      <w:r w:rsidR="00F848F4" w:rsidRPr="002547FB">
        <w:rPr>
          <w:rFonts w:ascii="Arial" w:hAnsi="Arial" w:cs="Arial"/>
          <w:sz w:val="24"/>
          <w:szCs w:val="24"/>
        </w:rPr>
        <w:t xml:space="preserve"> a certain General Tete Olenga who is an administrator in the office of the President of the Democratic Republic of the Congo.</w:t>
      </w:r>
      <w:r w:rsidR="0002292E" w:rsidRPr="002547FB">
        <w:rPr>
          <w:rFonts w:ascii="Arial" w:hAnsi="Arial" w:cs="Arial"/>
          <w:sz w:val="24"/>
          <w:szCs w:val="24"/>
        </w:rPr>
        <w:t xml:space="preserve"> The purpose of the money was for the two, that is, General Olenga and</w:t>
      </w:r>
      <w:r w:rsidR="00BB5B0C" w:rsidRPr="002547FB">
        <w:rPr>
          <w:rFonts w:ascii="Arial" w:hAnsi="Arial" w:cs="Arial"/>
          <w:sz w:val="24"/>
          <w:szCs w:val="24"/>
        </w:rPr>
        <w:t xml:space="preserve"> Mr</w:t>
      </w:r>
      <w:r w:rsidR="0002292E" w:rsidRPr="002547FB">
        <w:rPr>
          <w:rFonts w:ascii="Arial" w:hAnsi="Arial" w:cs="Arial"/>
          <w:sz w:val="24"/>
          <w:szCs w:val="24"/>
        </w:rPr>
        <w:t xml:space="preserve"> Kamunguma to form a close corporation which will venture into the hospitality, construction, textile, investment, fishing, consultancy, mining, transport, waste management, debushing</w:t>
      </w:r>
      <w:r w:rsidR="0076353C" w:rsidRPr="002547FB">
        <w:rPr>
          <w:rFonts w:ascii="Arial" w:hAnsi="Arial" w:cs="Arial"/>
          <w:sz w:val="24"/>
          <w:szCs w:val="24"/>
        </w:rPr>
        <w:t>, supply</w:t>
      </w:r>
      <w:r w:rsidR="0002292E" w:rsidRPr="002547FB">
        <w:rPr>
          <w:rFonts w:ascii="Arial" w:hAnsi="Arial" w:cs="Arial"/>
          <w:sz w:val="24"/>
          <w:szCs w:val="24"/>
        </w:rPr>
        <w:t xml:space="preserve"> and distribution of medical and agricultural equipment.</w:t>
      </w:r>
    </w:p>
    <w:p w:rsidR="0002292E" w:rsidRPr="002547FB" w:rsidRDefault="0002292E" w:rsidP="009B1E2B">
      <w:pPr>
        <w:tabs>
          <w:tab w:val="left" w:pos="720"/>
        </w:tabs>
        <w:spacing w:after="0" w:line="360" w:lineRule="auto"/>
        <w:jc w:val="both"/>
        <w:rPr>
          <w:rFonts w:ascii="Arial" w:hAnsi="Arial" w:cs="Arial"/>
          <w:sz w:val="24"/>
          <w:szCs w:val="24"/>
        </w:rPr>
      </w:pPr>
    </w:p>
    <w:p w:rsidR="0002292E" w:rsidRPr="002547FB" w:rsidRDefault="0002292E"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[7]</w:t>
      </w:r>
      <w:r w:rsidRPr="002547FB">
        <w:rPr>
          <w:rFonts w:ascii="Arial" w:hAnsi="Arial" w:cs="Arial"/>
          <w:sz w:val="24"/>
          <w:szCs w:val="24"/>
        </w:rPr>
        <w:tab/>
        <w:t xml:space="preserve">On 26 June 2015 </w:t>
      </w:r>
      <w:r w:rsidR="00BB5B0C" w:rsidRPr="002547FB">
        <w:rPr>
          <w:rFonts w:ascii="Arial" w:hAnsi="Arial" w:cs="Arial"/>
          <w:sz w:val="24"/>
          <w:szCs w:val="24"/>
        </w:rPr>
        <w:t xml:space="preserve">Mr </w:t>
      </w:r>
      <w:r w:rsidRPr="002547FB">
        <w:rPr>
          <w:rFonts w:ascii="Arial" w:hAnsi="Arial" w:cs="Arial"/>
          <w:sz w:val="24"/>
          <w:szCs w:val="24"/>
        </w:rPr>
        <w:t>Kamunguma at the request of the Anti-Corruption Commission</w:t>
      </w:r>
      <w:r w:rsidR="00BB5B0C" w:rsidRPr="002547FB">
        <w:rPr>
          <w:rFonts w:ascii="Arial" w:hAnsi="Arial" w:cs="Arial"/>
          <w:sz w:val="24"/>
          <w:szCs w:val="24"/>
        </w:rPr>
        <w:t>,</w:t>
      </w:r>
      <w:r w:rsidRPr="002547FB">
        <w:rPr>
          <w:rFonts w:ascii="Arial" w:hAnsi="Arial" w:cs="Arial"/>
          <w:sz w:val="24"/>
          <w:szCs w:val="24"/>
        </w:rPr>
        <w:t xml:space="preserve"> deposed to an affidavit</w:t>
      </w:r>
      <w:r w:rsidR="00BB5B0C" w:rsidRPr="002547FB">
        <w:rPr>
          <w:rFonts w:ascii="Arial" w:hAnsi="Arial" w:cs="Arial"/>
          <w:sz w:val="24"/>
          <w:szCs w:val="24"/>
        </w:rPr>
        <w:t>. I</w:t>
      </w:r>
      <w:r w:rsidR="0076353C" w:rsidRPr="002547FB">
        <w:rPr>
          <w:rFonts w:ascii="Arial" w:hAnsi="Arial" w:cs="Arial"/>
          <w:sz w:val="24"/>
          <w:szCs w:val="24"/>
        </w:rPr>
        <w:t>n that affidavit</w:t>
      </w:r>
      <w:r w:rsidR="00BB5B0C" w:rsidRPr="002547FB">
        <w:rPr>
          <w:rFonts w:ascii="Arial" w:hAnsi="Arial" w:cs="Arial"/>
          <w:sz w:val="24"/>
          <w:szCs w:val="24"/>
        </w:rPr>
        <w:t>,</w:t>
      </w:r>
      <w:r w:rsidR="0076353C" w:rsidRPr="002547FB">
        <w:rPr>
          <w:rFonts w:ascii="Arial" w:hAnsi="Arial" w:cs="Arial"/>
          <w:sz w:val="24"/>
          <w:szCs w:val="24"/>
        </w:rPr>
        <w:t xml:space="preserve"> </w:t>
      </w:r>
      <w:r w:rsidRPr="002547FB">
        <w:rPr>
          <w:rFonts w:ascii="Arial" w:hAnsi="Arial" w:cs="Arial"/>
          <w:sz w:val="24"/>
          <w:szCs w:val="24"/>
        </w:rPr>
        <w:t xml:space="preserve">he stated that he did </w:t>
      </w:r>
      <w:r w:rsidR="00475BA2" w:rsidRPr="002547FB">
        <w:rPr>
          <w:rFonts w:ascii="Arial" w:hAnsi="Arial" w:cs="Arial"/>
          <w:sz w:val="24"/>
          <w:szCs w:val="24"/>
        </w:rPr>
        <w:t>not expect any</w:t>
      </w:r>
      <w:r w:rsidRPr="002547FB">
        <w:rPr>
          <w:rFonts w:ascii="Arial" w:hAnsi="Arial" w:cs="Arial"/>
          <w:sz w:val="24"/>
          <w:szCs w:val="24"/>
        </w:rPr>
        <w:t xml:space="preserve"> commission as he </w:t>
      </w:r>
      <w:r w:rsidR="00475BA2" w:rsidRPr="002547FB">
        <w:rPr>
          <w:rFonts w:ascii="Arial" w:hAnsi="Arial" w:cs="Arial"/>
          <w:sz w:val="24"/>
          <w:szCs w:val="24"/>
        </w:rPr>
        <w:t>did not have any business dealings with the sender. He further stated that he withdrew an amoun</w:t>
      </w:r>
      <w:r w:rsidR="0076353C" w:rsidRPr="002547FB">
        <w:rPr>
          <w:rFonts w:ascii="Arial" w:hAnsi="Arial" w:cs="Arial"/>
          <w:sz w:val="24"/>
          <w:szCs w:val="24"/>
        </w:rPr>
        <w:t>t of N$ 780 000 from the amount</w:t>
      </w:r>
      <w:r w:rsidR="00475BA2" w:rsidRPr="002547FB">
        <w:rPr>
          <w:rFonts w:ascii="Arial" w:hAnsi="Arial" w:cs="Arial"/>
          <w:sz w:val="24"/>
          <w:szCs w:val="24"/>
        </w:rPr>
        <w:t xml:space="preserve"> </w:t>
      </w:r>
      <w:r w:rsidR="00195FFF" w:rsidRPr="002547FB">
        <w:rPr>
          <w:rFonts w:ascii="Arial" w:hAnsi="Arial" w:cs="Arial"/>
          <w:sz w:val="24"/>
          <w:szCs w:val="24"/>
        </w:rPr>
        <w:t xml:space="preserve">of N$ 2 788 </w:t>
      </w:r>
      <w:r w:rsidR="00AB0672" w:rsidRPr="002547FB">
        <w:rPr>
          <w:rFonts w:ascii="Arial" w:hAnsi="Arial" w:cs="Arial"/>
          <w:sz w:val="24"/>
          <w:szCs w:val="24"/>
        </w:rPr>
        <w:t>054</w:t>
      </w:r>
      <w:r w:rsidR="00195FFF" w:rsidRPr="002547FB">
        <w:rPr>
          <w:rFonts w:ascii="Arial" w:hAnsi="Arial" w:cs="Arial"/>
          <w:sz w:val="24"/>
          <w:szCs w:val="24"/>
        </w:rPr>
        <w:t>-</w:t>
      </w:r>
      <w:r w:rsidR="0076353C" w:rsidRPr="002547FB">
        <w:rPr>
          <w:rFonts w:ascii="Arial" w:hAnsi="Arial" w:cs="Arial"/>
          <w:sz w:val="24"/>
          <w:szCs w:val="24"/>
        </w:rPr>
        <w:t>37 that</w:t>
      </w:r>
      <w:r w:rsidR="00AB0672" w:rsidRPr="002547FB">
        <w:rPr>
          <w:rFonts w:ascii="Arial" w:hAnsi="Arial" w:cs="Arial"/>
          <w:sz w:val="24"/>
          <w:szCs w:val="24"/>
        </w:rPr>
        <w:t xml:space="preserve"> he</w:t>
      </w:r>
      <w:r w:rsidR="0076353C" w:rsidRPr="002547FB">
        <w:rPr>
          <w:rFonts w:ascii="Arial" w:hAnsi="Arial" w:cs="Arial"/>
          <w:sz w:val="24"/>
          <w:szCs w:val="24"/>
        </w:rPr>
        <w:t xml:space="preserve"> received. He stated that the amount that he withdrew wa</w:t>
      </w:r>
      <w:r w:rsidR="00475BA2" w:rsidRPr="002547FB">
        <w:rPr>
          <w:rFonts w:ascii="Arial" w:hAnsi="Arial" w:cs="Arial"/>
          <w:sz w:val="24"/>
          <w:szCs w:val="24"/>
        </w:rPr>
        <w:t xml:space="preserve">s a </w:t>
      </w:r>
      <w:r w:rsidR="0076353C" w:rsidRPr="002547FB">
        <w:rPr>
          <w:rFonts w:ascii="Arial" w:hAnsi="Arial" w:cs="Arial"/>
          <w:sz w:val="24"/>
          <w:szCs w:val="24"/>
        </w:rPr>
        <w:t>loan from the close corporation</w:t>
      </w:r>
      <w:r w:rsidR="00475BA2" w:rsidRPr="002547FB">
        <w:rPr>
          <w:rFonts w:ascii="Arial" w:hAnsi="Arial" w:cs="Arial"/>
          <w:sz w:val="24"/>
          <w:szCs w:val="24"/>
        </w:rPr>
        <w:t xml:space="preserve"> which loan he had to </w:t>
      </w:r>
      <w:r w:rsidR="0076353C" w:rsidRPr="002547FB">
        <w:rPr>
          <w:rFonts w:ascii="Arial" w:hAnsi="Arial" w:cs="Arial"/>
          <w:sz w:val="24"/>
          <w:szCs w:val="24"/>
        </w:rPr>
        <w:t xml:space="preserve">repay to the close corporation </w:t>
      </w:r>
      <w:r w:rsidR="00475BA2" w:rsidRPr="002547FB">
        <w:rPr>
          <w:rFonts w:ascii="Arial" w:hAnsi="Arial" w:cs="Arial"/>
          <w:sz w:val="24"/>
          <w:szCs w:val="24"/>
        </w:rPr>
        <w:t xml:space="preserve">once the close corporation was registered and had its own bank account. He further stated </w:t>
      </w:r>
      <w:r w:rsidR="004F7883" w:rsidRPr="002547FB">
        <w:rPr>
          <w:rFonts w:ascii="Arial" w:hAnsi="Arial" w:cs="Arial"/>
          <w:sz w:val="24"/>
          <w:szCs w:val="24"/>
        </w:rPr>
        <w:t>that the N$ 2 000 000 that he transferred to his investment account held at First National Bank account</w:t>
      </w:r>
      <w:r w:rsidR="0076353C" w:rsidRPr="002547FB">
        <w:rPr>
          <w:rFonts w:ascii="Arial" w:hAnsi="Arial" w:cs="Arial"/>
          <w:sz w:val="24"/>
          <w:szCs w:val="24"/>
        </w:rPr>
        <w:t xml:space="preserve"> was being held in that account on behalf of the Mckuma and Lenga Trading CC and would be transferred to that close corporation once it had opened its own Bank account.</w:t>
      </w:r>
    </w:p>
    <w:p w:rsidR="004F7883" w:rsidRPr="002547FB" w:rsidRDefault="004F7883" w:rsidP="009B1E2B">
      <w:pPr>
        <w:tabs>
          <w:tab w:val="left" w:pos="720"/>
        </w:tabs>
        <w:spacing w:after="0" w:line="360" w:lineRule="auto"/>
        <w:jc w:val="both"/>
        <w:rPr>
          <w:rFonts w:ascii="Arial" w:hAnsi="Arial" w:cs="Arial"/>
          <w:sz w:val="24"/>
          <w:szCs w:val="24"/>
        </w:rPr>
      </w:pPr>
    </w:p>
    <w:p w:rsidR="00244481" w:rsidRPr="002547FB" w:rsidRDefault="00A5072C" w:rsidP="009B1E2B">
      <w:pPr>
        <w:tabs>
          <w:tab w:val="left" w:pos="720"/>
        </w:tabs>
        <w:spacing w:after="0" w:line="360" w:lineRule="auto"/>
        <w:jc w:val="both"/>
        <w:rPr>
          <w:rFonts w:ascii="Arial" w:hAnsi="Arial" w:cs="Arial"/>
          <w:sz w:val="24"/>
          <w:szCs w:val="24"/>
        </w:rPr>
      </w:pPr>
      <w:r w:rsidRPr="002547FB">
        <w:rPr>
          <w:rFonts w:ascii="Arial" w:hAnsi="Arial" w:cs="Arial"/>
          <w:sz w:val="24"/>
          <w:szCs w:val="24"/>
        </w:rPr>
        <w:t>[8]</w:t>
      </w:r>
      <w:r w:rsidRPr="002547FB">
        <w:rPr>
          <w:rFonts w:ascii="Arial" w:hAnsi="Arial" w:cs="Arial"/>
          <w:sz w:val="24"/>
          <w:szCs w:val="24"/>
        </w:rPr>
        <w:tab/>
        <w:t>On the basis of those facts, the Prosecutor</w:t>
      </w:r>
      <w:r w:rsidR="00195FFF" w:rsidRPr="002547FB">
        <w:rPr>
          <w:rFonts w:ascii="Arial" w:hAnsi="Arial" w:cs="Arial"/>
          <w:sz w:val="24"/>
          <w:szCs w:val="24"/>
        </w:rPr>
        <w:t>-</w:t>
      </w:r>
      <w:r w:rsidRPr="002547FB">
        <w:rPr>
          <w:rFonts w:ascii="Arial" w:hAnsi="Arial" w:cs="Arial"/>
          <w:sz w:val="24"/>
          <w:szCs w:val="24"/>
        </w:rPr>
        <w:t>Genera</w:t>
      </w:r>
      <w:r w:rsidR="00894F60" w:rsidRPr="002547FB">
        <w:rPr>
          <w:rFonts w:ascii="Arial" w:hAnsi="Arial" w:cs="Arial"/>
          <w:sz w:val="24"/>
          <w:szCs w:val="24"/>
        </w:rPr>
        <w:t>l, who is the applicant in this matter,</w:t>
      </w:r>
      <w:r w:rsidRPr="002547FB">
        <w:rPr>
          <w:rFonts w:ascii="Arial" w:hAnsi="Arial" w:cs="Arial"/>
          <w:sz w:val="24"/>
          <w:szCs w:val="24"/>
        </w:rPr>
        <w:t xml:space="preserve"> formed the view that the properties</w:t>
      </w:r>
      <w:r w:rsidR="003C33BC" w:rsidRPr="002547FB">
        <w:rPr>
          <w:rFonts w:ascii="Arial" w:hAnsi="Arial" w:cs="Arial"/>
          <w:sz w:val="24"/>
          <w:szCs w:val="24"/>
        </w:rPr>
        <w:t xml:space="preserve"> (that is the N$ 2 </w:t>
      </w:r>
      <w:r w:rsidR="0027564E" w:rsidRPr="002547FB">
        <w:rPr>
          <w:rFonts w:ascii="Arial" w:hAnsi="Arial" w:cs="Arial"/>
          <w:sz w:val="24"/>
          <w:szCs w:val="24"/>
        </w:rPr>
        <w:t>000 000, the Volkswagen Polo Vivo motor vehicle and the Mazda 3.0 DIT 4x2 SLE</w:t>
      </w:r>
      <w:r w:rsidR="003C33BC" w:rsidRPr="002547FB">
        <w:rPr>
          <w:rFonts w:ascii="Arial" w:hAnsi="Arial" w:cs="Arial"/>
          <w:sz w:val="24"/>
          <w:szCs w:val="24"/>
        </w:rPr>
        <w:t>)</w:t>
      </w:r>
      <w:r w:rsidRPr="002547FB">
        <w:rPr>
          <w:rFonts w:ascii="Arial" w:hAnsi="Arial" w:cs="Arial"/>
          <w:sz w:val="24"/>
          <w:szCs w:val="24"/>
        </w:rPr>
        <w:t xml:space="preserve"> are proceeds of </w:t>
      </w:r>
      <w:r w:rsidR="003C33BC" w:rsidRPr="002547FB">
        <w:rPr>
          <w:rFonts w:ascii="Arial" w:hAnsi="Arial" w:cs="Arial"/>
          <w:sz w:val="24"/>
          <w:szCs w:val="24"/>
        </w:rPr>
        <w:t xml:space="preserve">unlawful activities namely fraud, theft and money laundering as </w:t>
      </w:r>
      <w:r w:rsidR="0027564E" w:rsidRPr="002547FB">
        <w:rPr>
          <w:rFonts w:ascii="Arial" w:hAnsi="Arial" w:cs="Arial"/>
          <w:sz w:val="24"/>
          <w:szCs w:val="24"/>
        </w:rPr>
        <w:t>set out</w:t>
      </w:r>
      <w:r w:rsidR="003C33BC" w:rsidRPr="002547FB">
        <w:rPr>
          <w:rFonts w:ascii="Arial" w:hAnsi="Arial" w:cs="Arial"/>
          <w:sz w:val="24"/>
          <w:szCs w:val="24"/>
        </w:rPr>
        <w:t xml:space="preserve"> in ss, 4, 5 and 6 of the Prevention of Organised Crime Act, 2004</w:t>
      </w:r>
      <w:r w:rsidR="003C33BC" w:rsidRPr="002547FB">
        <w:rPr>
          <w:rStyle w:val="FootnoteReference"/>
          <w:rFonts w:ascii="Arial" w:hAnsi="Arial" w:cs="Arial"/>
        </w:rPr>
        <w:footnoteReference w:id="2"/>
      </w:r>
      <w:r w:rsidR="00195FFF" w:rsidRPr="002547FB">
        <w:rPr>
          <w:rFonts w:ascii="Arial" w:hAnsi="Arial" w:cs="Arial"/>
          <w:sz w:val="24"/>
          <w:szCs w:val="24"/>
        </w:rPr>
        <w:t xml:space="preserve"> (I will, in this judgment, refer to it simply as the Act, or ‘POCA’)</w:t>
      </w:r>
      <w:r w:rsidR="003C33BC" w:rsidRPr="002547FB">
        <w:rPr>
          <w:rFonts w:ascii="Arial" w:hAnsi="Arial" w:cs="Arial"/>
          <w:sz w:val="24"/>
          <w:szCs w:val="24"/>
        </w:rPr>
        <w:t xml:space="preserve">. The Prosecutor General accordingly sought and obtained, from </w:t>
      </w:r>
      <w:r w:rsidR="009E520E" w:rsidRPr="002547FB">
        <w:rPr>
          <w:rFonts w:ascii="Arial" w:hAnsi="Arial" w:cs="Arial"/>
          <w:sz w:val="24"/>
          <w:szCs w:val="24"/>
        </w:rPr>
        <w:t>the Deputy Judge President, Angula</w:t>
      </w:r>
      <w:r w:rsidR="003C33BC" w:rsidRPr="002547FB">
        <w:rPr>
          <w:rFonts w:ascii="Arial" w:hAnsi="Arial" w:cs="Arial"/>
          <w:sz w:val="24"/>
          <w:szCs w:val="24"/>
        </w:rPr>
        <w:t xml:space="preserve"> DJP</w:t>
      </w:r>
      <w:r w:rsidR="009E520E" w:rsidRPr="002547FB">
        <w:rPr>
          <w:rFonts w:ascii="Arial" w:hAnsi="Arial" w:cs="Arial"/>
          <w:sz w:val="24"/>
          <w:szCs w:val="24"/>
        </w:rPr>
        <w:t>,</w:t>
      </w:r>
      <w:r w:rsidR="003C33BC" w:rsidRPr="002547FB">
        <w:rPr>
          <w:rFonts w:ascii="Arial" w:hAnsi="Arial" w:cs="Arial"/>
          <w:sz w:val="24"/>
          <w:szCs w:val="24"/>
        </w:rPr>
        <w:t xml:space="preserve"> on 9 February 2016, a preservation of property order in terms of s 51(1) of the Act in respect of:</w:t>
      </w:r>
    </w:p>
    <w:p w:rsidR="00244481" w:rsidRPr="002547FB" w:rsidRDefault="00244481" w:rsidP="00EF2D33">
      <w:pPr>
        <w:tabs>
          <w:tab w:val="left" w:pos="567"/>
        </w:tabs>
        <w:spacing w:after="0" w:line="360" w:lineRule="auto"/>
        <w:jc w:val="both"/>
        <w:rPr>
          <w:rFonts w:ascii="Arial" w:hAnsi="Arial" w:cs="Arial"/>
          <w:sz w:val="24"/>
          <w:szCs w:val="24"/>
        </w:rPr>
      </w:pPr>
    </w:p>
    <w:p w:rsidR="00244481" w:rsidRPr="002547FB" w:rsidRDefault="00244481" w:rsidP="00EF2D33">
      <w:pPr>
        <w:pStyle w:val="ListParagraph"/>
        <w:numPr>
          <w:ilvl w:val="0"/>
          <w:numId w:val="4"/>
        </w:numPr>
        <w:spacing w:after="0" w:line="360" w:lineRule="auto"/>
        <w:ind w:left="851" w:hanging="851"/>
        <w:jc w:val="both"/>
        <w:rPr>
          <w:rFonts w:ascii="Arial" w:hAnsi="Arial" w:cs="Arial"/>
          <w:sz w:val="24"/>
          <w:szCs w:val="24"/>
        </w:rPr>
      </w:pPr>
      <w:r w:rsidRPr="002547FB">
        <w:rPr>
          <w:rFonts w:ascii="Arial" w:hAnsi="Arial" w:cs="Arial"/>
          <w:sz w:val="24"/>
          <w:szCs w:val="24"/>
        </w:rPr>
        <w:t xml:space="preserve">The positive bank balance in an account held at </w:t>
      </w:r>
      <w:r w:rsidR="008E1F5E" w:rsidRPr="002547FB">
        <w:rPr>
          <w:rFonts w:ascii="Arial" w:hAnsi="Arial" w:cs="Arial"/>
          <w:sz w:val="24"/>
          <w:szCs w:val="24"/>
        </w:rPr>
        <w:t xml:space="preserve">First national bank </w:t>
      </w:r>
      <w:r w:rsidR="00C57797" w:rsidRPr="002547FB">
        <w:rPr>
          <w:rFonts w:ascii="Arial" w:hAnsi="Arial" w:cs="Arial"/>
          <w:sz w:val="24"/>
          <w:szCs w:val="24"/>
        </w:rPr>
        <w:t xml:space="preserve"> investment account </w:t>
      </w:r>
      <w:r w:rsidRPr="002547FB">
        <w:rPr>
          <w:rFonts w:ascii="Arial" w:hAnsi="Arial" w:cs="Arial"/>
          <w:sz w:val="24"/>
          <w:szCs w:val="24"/>
        </w:rPr>
        <w:t xml:space="preserve">, account number </w:t>
      </w:r>
      <w:r w:rsidR="00C57797" w:rsidRPr="002547FB">
        <w:rPr>
          <w:rFonts w:ascii="Arial" w:hAnsi="Arial" w:cs="Arial"/>
          <w:sz w:val="24"/>
          <w:szCs w:val="24"/>
        </w:rPr>
        <w:t>712537</w:t>
      </w:r>
      <w:r w:rsidR="009E520E" w:rsidRPr="002547FB">
        <w:rPr>
          <w:rFonts w:ascii="Arial" w:hAnsi="Arial" w:cs="Arial"/>
          <w:sz w:val="24"/>
          <w:szCs w:val="24"/>
        </w:rPr>
        <w:t>xxxxx</w:t>
      </w:r>
      <w:r w:rsidRPr="002547FB">
        <w:rPr>
          <w:rFonts w:ascii="Arial" w:hAnsi="Arial" w:cs="Arial"/>
          <w:sz w:val="24"/>
          <w:szCs w:val="24"/>
        </w:rPr>
        <w:t xml:space="preserve">, held in the name of the first respondent, </w:t>
      </w:r>
      <w:r w:rsidR="001D38AB" w:rsidRPr="002547FB">
        <w:rPr>
          <w:rFonts w:ascii="Arial" w:hAnsi="Arial" w:cs="Arial"/>
          <w:sz w:val="24"/>
          <w:szCs w:val="24"/>
        </w:rPr>
        <w:t>Moses Pasana Uanjanda Kamunguma</w:t>
      </w:r>
      <w:r w:rsidRPr="002547FB">
        <w:rPr>
          <w:rFonts w:ascii="Arial" w:hAnsi="Arial" w:cs="Arial"/>
          <w:sz w:val="24"/>
          <w:szCs w:val="24"/>
        </w:rPr>
        <w:t>;</w:t>
      </w:r>
    </w:p>
    <w:p w:rsidR="00C57797" w:rsidRPr="002547FB" w:rsidRDefault="00244481" w:rsidP="00EF2D33">
      <w:pPr>
        <w:pStyle w:val="ListParagraph"/>
        <w:numPr>
          <w:ilvl w:val="0"/>
          <w:numId w:val="4"/>
        </w:numPr>
        <w:tabs>
          <w:tab w:val="left" w:pos="851"/>
        </w:tabs>
        <w:spacing w:after="0" w:line="360" w:lineRule="auto"/>
        <w:ind w:left="851" w:hanging="851"/>
        <w:jc w:val="both"/>
        <w:rPr>
          <w:rFonts w:ascii="Arial" w:hAnsi="Arial" w:cs="Arial"/>
          <w:sz w:val="24"/>
          <w:szCs w:val="24"/>
        </w:rPr>
      </w:pPr>
      <w:r w:rsidRPr="002547FB">
        <w:rPr>
          <w:rFonts w:ascii="Arial" w:hAnsi="Arial" w:cs="Arial"/>
          <w:sz w:val="24"/>
          <w:szCs w:val="24"/>
        </w:rPr>
        <w:lastRenderedPageBreak/>
        <w:t>A Volkswagen</w:t>
      </w:r>
      <w:r w:rsidR="00C57797" w:rsidRPr="002547FB">
        <w:rPr>
          <w:rFonts w:ascii="Arial" w:hAnsi="Arial" w:cs="Arial"/>
          <w:sz w:val="24"/>
          <w:szCs w:val="24"/>
        </w:rPr>
        <w:t xml:space="preserve"> Polo Vivo </w:t>
      </w:r>
      <w:r w:rsidRPr="002547FB">
        <w:rPr>
          <w:rFonts w:ascii="Arial" w:hAnsi="Arial" w:cs="Arial"/>
          <w:sz w:val="24"/>
          <w:szCs w:val="24"/>
        </w:rPr>
        <w:t>motor car with registration number N</w:t>
      </w:r>
      <w:r w:rsidR="00C57797" w:rsidRPr="002547FB">
        <w:rPr>
          <w:rFonts w:ascii="Arial" w:hAnsi="Arial" w:cs="Arial"/>
          <w:sz w:val="24"/>
          <w:szCs w:val="24"/>
        </w:rPr>
        <w:t xml:space="preserve"> 58897</w:t>
      </w:r>
      <w:r w:rsidRPr="002547FB">
        <w:rPr>
          <w:rFonts w:ascii="Arial" w:hAnsi="Arial" w:cs="Arial"/>
          <w:sz w:val="24"/>
          <w:szCs w:val="24"/>
        </w:rPr>
        <w:t xml:space="preserve"> </w:t>
      </w:r>
      <w:r w:rsidR="00E64236" w:rsidRPr="002547FB">
        <w:rPr>
          <w:rFonts w:ascii="Arial" w:hAnsi="Arial" w:cs="Arial"/>
          <w:sz w:val="24"/>
          <w:szCs w:val="24"/>
        </w:rPr>
        <w:t>W</w:t>
      </w:r>
      <w:r w:rsidR="00FD2072" w:rsidRPr="002547FB">
        <w:rPr>
          <w:rFonts w:ascii="Arial" w:hAnsi="Arial" w:cs="Arial"/>
          <w:sz w:val="24"/>
          <w:szCs w:val="24"/>
        </w:rPr>
        <w:t>, purchased by the first respondent for an amount of N$ 85 000 on the 24 November 2014</w:t>
      </w:r>
      <w:r w:rsidR="00C57797" w:rsidRPr="002547FB">
        <w:rPr>
          <w:rFonts w:ascii="Arial" w:hAnsi="Arial" w:cs="Arial"/>
          <w:sz w:val="24"/>
          <w:szCs w:val="24"/>
        </w:rPr>
        <w:t xml:space="preserve">; and </w:t>
      </w:r>
    </w:p>
    <w:p w:rsidR="00C57797" w:rsidRPr="002547FB" w:rsidRDefault="00C57797" w:rsidP="00EF2D33">
      <w:pPr>
        <w:pStyle w:val="ListParagraph"/>
        <w:jc w:val="both"/>
        <w:rPr>
          <w:rFonts w:ascii="Arial" w:hAnsi="Arial" w:cs="Arial"/>
          <w:sz w:val="24"/>
          <w:szCs w:val="24"/>
        </w:rPr>
      </w:pPr>
    </w:p>
    <w:p w:rsidR="00C57797" w:rsidRPr="002547FB" w:rsidRDefault="00207AE8" w:rsidP="00EF2D33">
      <w:pPr>
        <w:pStyle w:val="ListParagraph"/>
        <w:numPr>
          <w:ilvl w:val="0"/>
          <w:numId w:val="4"/>
        </w:numPr>
        <w:tabs>
          <w:tab w:val="left" w:pos="851"/>
        </w:tabs>
        <w:spacing w:after="0" w:line="360" w:lineRule="auto"/>
        <w:ind w:left="851" w:hanging="851"/>
        <w:jc w:val="both"/>
        <w:rPr>
          <w:rFonts w:ascii="Arial" w:hAnsi="Arial" w:cs="Arial"/>
          <w:sz w:val="24"/>
          <w:szCs w:val="24"/>
        </w:rPr>
      </w:pPr>
      <w:r w:rsidRPr="002547FB">
        <w:rPr>
          <w:rFonts w:ascii="Arial" w:hAnsi="Arial" w:cs="Arial"/>
          <w:sz w:val="24"/>
          <w:szCs w:val="24"/>
        </w:rPr>
        <w:t>A Mazda 3.0DIT 4x2SLE with registration number N 78991 W</w:t>
      </w:r>
      <w:r w:rsidR="003C33BC" w:rsidRPr="002547FB">
        <w:rPr>
          <w:rFonts w:ascii="Arial" w:hAnsi="Arial" w:cs="Arial"/>
          <w:sz w:val="24"/>
          <w:szCs w:val="24"/>
        </w:rPr>
        <w:t>.</w:t>
      </w:r>
    </w:p>
    <w:p w:rsidR="003C04DF" w:rsidRPr="002547FB" w:rsidRDefault="003C04DF" w:rsidP="00EF2D33">
      <w:pPr>
        <w:tabs>
          <w:tab w:val="left" w:pos="851"/>
        </w:tabs>
        <w:spacing w:after="0" w:line="360" w:lineRule="auto"/>
        <w:jc w:val="both"/>
        <w:rPr>
          <w:rFonts w:ascii="Arial" w:hAnsi="Arial" w:cs="Arial"/>
          <w:sz w:val="24"/>
          <w:szCs w:val="24"/>
        </w:rPr>
      </w:pPr>
    </w:p>
    <w:p w:rsidR="00244481" w:rsidRPr="002547FB" w:rsidRDefault="00244481" w:rsidP="00EF2D33">
      <w:pPr>
        <w:pStyle w:val="ListParagraph"/>
        <w:spacing w:after="0" w:line="360" w:lineRule="auto"/>
        <w:ind w:left="0"/>
        <w:jc w:val="both"/>
        <w:rPr>
          <w:rFonts w:ascii="Arial" w:hAnsi="Arial" w:cs="Arial"/>
          <w:sz w:val="24"/>
          <w:szCs w:val="24"/>
        </w:rPr>
      </w:pPr>
      <w:r w:rsidRPr="002547FB">
        <w:rPr>
          <w:rFonts w:ascii="Arial" w:hAnsi="Arial" w:cs="Arial"/>
          <w:sz w:val="24"/>
          <w:szCs w:val="24"/>
        </w:rPr>
        <w:t>I will, in this judgment, refer to these properties as the ‘preserved property’.</w:t>
      </w:r>
    </w:p>
    <w:p w:rsidR="00244481" w:rsidRPr="002547FB" w:rsidRDefault="00244481" w:rsidP="00EF2D33">
      <w:pPr>
        <w:tabs>
          <w:tab w:val="left" w:pos="567"/>
        </w:tabs>
        <w:spacing w:after="0" w:line="360" w:lineRule="auto"/>
        <w:jc w:val="both"/>
        <w:rPr>
          <w:rFonts w:ascii="Arial" w:hAnsi="Arial" w:cs="Arial"/>
          <w:sz w:val="24"/>
          <w:szCs w:val="24"/>
        </w:rPr>
      </w:pPr>
    </w:p>
    <w:p w:rsidR="00070221" w:rsidRPr="002547FB" w:rsidRDefault="00244481" w:rsidP="00070221">
      <w:pPr>
        <w:spacing w:after="0" w:line="360" w:lineRule="auto"/>
        <w:jc w:val="both"/>
        <w:rPr>
          <w:rFonts w:ascii="Arial" w:hAnsi="Arial" w:cs="Arial"/>
          <w:sz w:val="24"/>
          <w:szCs w:val="24"/>
        </w:rPr>
      </w:pPr>
      <w:r w:rsidRPr="002547FB">
        <w:rPr>
          <w:rFonts w:ascii="Arial" w:hAnsi="Arial" w:cs="Arial"/>
          <w:sz w:val="24"/>
          <w:szCs w:val="24"/>
        </w:rPr>
        <w:t>[</w:t>
      </w:r>
      <w:r w:rsidR="003C33BC" w:rsidRPr="002547FB">
        <w:rPr>
          <w:rFonts w:ascii="Arial" w:hAnsi="Arial" w:cs="Arial"/>
          <w:sz w:val="24"/>
          <w:szCs w:val="24"/>
        </w:rPr>
        <w:t>9</w:t>
      </w:r>
      <w:r w:rsidRPr="002547FB">
        <w:rPr>
          <w:rFonts w:ascii="Arial" w:hAnsi="Arial" w:cs="Arial"/>
          <w:sz w:val="24"/>
          <w:szCs w:val="24"/>
        </w:rPr>
        <w:t>]</w:t>
      </w:r>
      <w:r w:rsidRPr="002547FB">
        <w:rPr>
          <w:rFonts w:ascii="Arial" w:hAnsi="Arial" w:cs="Arial"/>
          <w:sz w:val="24"/>
          <w:szCs w:val="24"/>
        </w:rPr>
        <w:tab/>
      </w:r>
      <w:r w:rsidR="003C33BC" w:rsidRPr="002547FB">
        <w:rPr>
          <w:rFonts w:ascii="Arial" w:hAnsi="Arial" w:cs="Arial"/>
          <w:sz w:val="24"/>
          <w:szCs w:val="24"/>
        </w:rPr>
        <w:t xml:space="preserve">Section 52(1) of the Act enjoins the </w:t>
      </w:r>
      <w:r w:rsidR="001A6296" w:rsidRPr="002547FB">
        <w:rPr>
          <w:rFonts w:ascii="Arial" w:hAnsi="Arial" w:cs="Arial"/>
          <w:sz w:val="24"/>
          <w:szCs w:val="24"/>
        </w:rPr>
        <w:t>Prosecutor-</w:t>
      </w:r>
      <w:r w:rsidR="003C33BC" w:rsidRPr="002547FB">
        <w:rPr>
          <w:rFonts w:ascii="Arial" w:hAnsi="Arial" w:cs="Arial"/>
          <w:sz w:val="24"/>
          <w:szCs w:val="24"/>
        </w:rPr>
        <w:t xml:space="preserve">General to, if the High Court has made a preservation of property order, 'give notice of the order to all persons known to the Prosecutor-General to have an interest in the property which is subject to the order; and to publish a notice of the order in the </w:t>
      </w:r>
      <w:r w:rsidR="003C33BC" w:rsidRPr="002547FB">
        <w:rPr>
          <w:rFonts w:ascii="Arial" w:hAnsi="Arial" w:cs="Arial"/>
          <w:i/>
          <w:sz w:val="24"/>
          <w:szCs w:val="24"/>
        </w:rPr>
        <w:t>Gazette</w:t>
      </w:r>
      <w:r w:rsidR="003C33BC" w:rsidRPr="002547FB">
        <w:rPr>
          <w:rFonts w:ascii="Arial" w:hAnsi="Arial" w:cs="Arial"/>
          <w:sz w:val="24"/>
          <w:szCs w:val="24"/>
        </w:rPr>
        <w:t xml:space="preserve">.’ The preservation order granted by this Court on </w:t>
      </w:r>
      <w:r w:rsidR="00070221" w:rsidRPr="002547FB">
        <w:rPr>
          <w:rFonts w:ascii="Arial" w:hAnsi="Arial" w:cs="Arial"/>
          <w:sz w:val="24"/>
          <w:szCs w:val="24"/>
        </w:rPr>
        <w:t xml:space="preserve">9 February 2016 </w:t>
      </w:r>
      <w:r w:rsidR="003C33BC" w:rsidRPr="002547FB">
        <w:rPr>
          <w:rFonts w:ascii="Arial" w:hAnsi="Arial" w:cs="Arial"/>
          <w:sz w:val="24"/>
          <w:szCs w:val="24"/>
        </w:rPr>
        <w:t xml:space="preserve">was published in the </w:t>
      </w:r>
      <w:r w:rsidR="003C33BC" w:rsidRPr="002547FB">
        <w:rPr>
          <w:rFonts w:ascii="Arial" w:hAnsi="Arial" w:cs="Arial"/>
          <w:i/>
          <w:sz w:val="24"/>
          <w:szCs w:val="24"/>
        </w:rPr>
        <w:t>Government Gazette</w:t>
      </w:r>
      <w:r w:rsidR="003C33BC" w:rsidRPr="002547FB">
        <w:rPr>
          <w:rFonts w:ascii="Arial" w:hAnsi="Arial" w:cs="Arial"/>
          <w:sz w:val="24"/>
          <w:szCs w:val="24"/>
        </w:rPr>
        <w:t xml:space="preserve"> of </w:t>
      </w:r>
      <w:r w:rsidR="00070221" w:rsidRPr="002547FB">
        <w:rPr>
          <w:rFonts w:ascii="Arial" w:hAnsi="Arial" w:cs="Arial"/>
          <w:sz w:val="24"/>
          <w:szCs w:val="24"/>
        </w:rPr>
        <w:t xml:space="preserve">4 March 2016 </w:t>
      </w:r>
      <w:r w:rsidRPr="002547FB">
        <w:rPr>
          <w:rFonts w:ascii="Arial" w:hAnsi="Arial" w:cs="Arial"/>
          <w:sz w:val="24"/>
          <w:szCs w:val="24"/>
        </w:rPr>
        <w:t>and the pr</w:t>
      </w:r>
      <w:r w:rsidR="00F1212C" w:rsidRPr="002547FB">
        <w:rPr>
          <w:rFonts w:ascii="Arial" w:hAnsi="Arial" w:cs="Arial"/>
          <w:sz w:val="24"/>
          <w:szCs w:val="24"/>
        </w:rPr>
        <w:t>eservation order</w:t>
      </w:r>
      <w:r w:rsidR="001A6296" w:rsidRPr="002547FB">
        <w:rPr>
          <w:rFonts w:ascii="Arial" w:hAnsi="Arial" w:cs="Arial"/>
          <w:sz w:val="24"/>
          <w:szCs w:val="24"/>
        </w:rPr>
        <w:t>,</w:t>
      </w:r>
      <w:r w:rsidR="00F1212C" w:rsidRPr="002547FB">
        <w:rPr>
          <w:rFonts w:ascii="Arial" w:hAnsi="Arial" w:cs="Arial"/>
          <w:sz w:val="24"/>
          <w:szCs w:val="24"/>
        </w:rPr>
        <w:t xml:space="preserve"> </w:t>
      </w:r>
      <w:r w:rsidR="00070221" w:rsidRPr="002547FB">
        <w:rPr>
          <w:rFonts w:ascii="Arial" w:hAnsi="Arial" w:cs="Arial"/>
          <w:sz w:val="24"/>
          <w:szCs w:val="24"/>
        </w:rPr>
        <w:t xml:space="preserve">together with the notice of motion, the founding affidavit and the annexures to the founding affidavit were served by </w:t>
      </w:r>
      <w:r w:rsidRPr="002547FB">
        <w:rPr>
          <w:rFonts w:ascii="Arial" w:hAnsi="Arial" w:cs="Arial"/>
          <w:sz w:val="24"/>
          <w:szCs w:val="24"/>
        </w:rPr>
        <w:t>the Deputy Sherriff for the District o</w:t>
      </w:r>
      <w:r w:rsidR="00F1212C" w:rsidRPr="002547FB">
        <w:rPr>
          <w:rFonts w:ascii="Arial" w:hAnsi="Arial" w:cs="Arial"/>
          <w:sz w:val="24"/>
          <w:szCs w:val="24"/>
        </w:rPr>
        <w:t xml:space="preserve">f Windhoek, on Mr Kamunguma </w:t>
      </w:r>
      <w:r w:rsidRPr="002547FB">
        <w:rPr>
          <w:rFonts w:ascii="Arial" w:hAnsi="Arial" w:cs="Arial"/>
          <w:sz w:val="24"/>
          <w:szCs w:val="24"/>
        </w:rPr>
        <w:t>on</w:t>
      </w:r>
      <w:r w:rsidR="00F1212C" w:rsidRPr="002547FB">
        <w:rPr>
          <w:rFonts w:ascii="Arial" w:hAnsi="Arial" w:cs="Arial"/>
          <w:sz w:val="24"/>
          <w:szCs w:val="24"/>
        </w:rPr>
        <w:t xml:space="preserve"> 26 February 2016</w:t>
      </w:r>
      <w:r w:rsidRPr="002547FB">
        <w:rPr>
          <w:rFonts w:ascii="Arial" w:hAnsi="Arial" w:cs="Arial"/>
          <w:sz w:val="24"/>
          <w:szCs w:val="24"/>
        </w:rPr>
        <w:t>.</w:t>
      </w:r>
    </w:p>
    <w:p w:rsidR="00070221" w:rsidRPr="002547FB" w:rsidRDefault="00070221" w:rsidP="00070221">
      <w:pPr>
        <w:spacing w:after="0" w:line="360" w:lineRule="auto"/>
        <w:jc w:val="both"/>
        <w:rPr>
          <w:rFonts w:ascii="Arial" w:hAnsi="Arial" w:cs="Arial"/>
          <w:sz w:val="24"/>
          <w:szCs w:val="24"/>
        </w:rPr>
      </w:pPr>
    </w:p>
    <w:p w:rsidR="00894F60" w:rsidRPr="002547FB" w:rsidRDefault="00070221" w:rsidP="00070221">
      <w:pPr>
        <w:spacing w:after="0" w:line="360" w:lineRule="auto"/>
        <w:jc w:val="both"/>
        <w:rPr>
          <w:rFonts w:ascii="Arial" w:hAnsi="Arial" w:cs="Arial"/>
          <w:sz w:val="24"/>
          <w:szCs w:val="24"/>
        </w:rPr>
      </w:pPr>
      <w:r w:rsidRPr="002547FB">
        <w:rPr>
          <w:rFonts w:ascii="Arial" w:hAnsi="Arial" w:cs="Arial"/>
          <w:sz w:val="24"/>
          <w:szCs w:val="24"/>
        </w:rPr>
        <w:t>[10]</w:t>
      </w:r>
      <w:r w:rsidRPr="002547FB">
        <w:rPr>
          <w:rFonts w:ascii="Arial" w:hAnsi="Arial" w:cs="Arial"/>
          <w:sz w:val="24"/>
          <w:szCs w:val="24"/>
        </w:rPr>
        <w:tab/>
      </w:r>
      <w:r w:rsidR="006C6544" w:rsidRPr="002547FB">
        <w:rPr>
          <w:rFonts w:ascii="Arial" w:hAnsi="Arial" w:cs="Arial"/>
          <w:sz w:val="24"/>
          <w:szCs w:val="24"/>
        </w:rPr>
        <w:t>On 17</w:t>
      </w:r>
      <w:r w:rsidR="00B34664" w:rsidRPr="002547FB">
        <w:rPr>
          <w:rFonts w:ascii="Arial" w:hAnsi="Arial" w:cs="Arial"/>
          <w:sz w:val="24"/>
          <w:szCs w:val="24"/>
        </w:rPr>
        <w:t xml:space="preserve"> March 2016</w:t>
      </w:r>
      <w:r w:rsidR="00244481" w:rsidRPr="002547FB">
        <w:rPr>
          <w:rFonts w:ascii="Arial" w:hAnsi="Arial" w:cs="Arial"/>
          <w:sz w:val="24"/>
          <w:szCs w:val="24"/>
        </w:rPr>
        <w:t xml:space="preserve">, </w:t>
      </w:r>
      <w:r w:rsidR="0027564E" w:rsidRPr="002547FB">
        <w:rPr>
          <w:rFonts w:ascii="Arial" w:hAnsi="Arial" w:cs="Arial"/>
          <w:sz w:val="24"/>
          <w:szCs w:val="24"/>
        </w:rPr>
        <w:t>Mr Kamunguma</w:t>
      </w:r>
      <w:r w:rsidR="001000D2" w:rsidRPr="002547FB">
        <w:rPr>
          <w:rFonts w:ascii="Arial" w:hAnsi="Arial" w:cs="Arial"/>
          <w:sz w:val="24"/>
          <w:szCs w:val="24"/>
        </w:rPr>
        <w:t>,</w:t>
      </w:r>
      <w:r w:rsidR="0027564E" w:rsidRPr="002547FB">
        <w:rPr>
          <w:rFonts w:ascii="Arial" w:hAnsi="Arial" w:cs="Arial"/>
          <w:sz w:val="24"/>
          <w:szCs w:val="24"/>
        </w:rPr>
        <w:t xml:space="preserve"> </w:t>
      </w:r>
      <w:r w:rsidR="00BF6CDF" w:rsidRPr="002547FB">
        <w:rPr>
          <w:rFonts w:ascii="Arial" w:hAnsi="Arial" w:cs="Arial"/>
          <w:sz w:val="24"/>
          <w:szCs w:val="24"/>
        </w:rPr>
        <w:t>ac</w:t>
      </w:r>
      <w:r w:rsidR="0027564E" w:rsidRPr="002547FB">
        <w:rPr>
          <w:rFonts w:ascii="Arial" w:hAnsi="Arial" w:cs="Arial"/>
          <w:sz w:val="24"/>
          <w:szCs w:val="24"/>
        </w:rPr>
        <w:t>ting in his personal capacity</w:t>
      </w:r>
      <w:r w:rsidR="001000D2" w:rsidRPr="002547FB">
        <w:rPr>
          <w:rFonts w:ascii="Arial" w:hAnsi="Arial" w:cs="Arial"/>
          <w:sz w:val="24"/>
          <w:szCs w:val="24"/>
        </w:rPr>
        <w:t>,</w:t>
      </w:r>
      <w:r w:rsidR="0027564E" w:rsidRPr="002547FB">
        <w:rPr>
          <w:rFonts w:ascii="Arial" w:hAnsi="Arial" w:cs="Arial"/>
          <w:sz w:val="24"/>
          <w:szCs w:val="24"/>
        </w:rPr>
        <w:t xml:space="preserve"> and also on behalf of the second respondent, the Mckuma</w:t>
      </w:r>
      <w:r w:rsidR="00BC004E" w:rsidRPr="002547FB">
        <w:rPr>
          <w:rFonts w:ascii="Arial" w:hAnsi="Arial" w:cs="Arial"/>
          <w:sz w:val="24"/>
          <w:szCs w:val="24"/>
        </w:rPr>
        <w:t xml:space="preserve"> and Lenga Trading CC, of which</w:t>
      </w:r>
      <w:r w:rsidR="0027564E" w:rsidRPr="002547FB">
        <w:rPr>
          <w:rFonts w:ascii="Arial" w:hAnsi="Arial" w:cs="Arial"/>
          <w:sz w:val="24"/>
          <w:szCs w:val="24"/>
        </w:rPr>
        <w:t xml:space="preserve"> he holds 50% members’ interest</w:t>
      </w:r>
      <w:r w:rsidR="00244481" w:rsidRPr="002547FB">
        <w:rPr>
          <w:rFonts w:ascii="Arial" w:hAnsi="Arial" w:cs="Arial"/>
          <w:sz w:val="24"/>
          <w:szCs w:val="24"/>
        </w:rPr>
        <w:t xml:space="preserve"> filed</w:t>
      </w:r>
      <w:r w:rsidR="0041071B" w:rsidRPr="002547FB">
        <w:rPr>
          <w:rFonts w:ascii="Arial" w:hAnsi="Arial" w:cs="Arial"/>
          <w:sz w:val="24"/>
          <w:szCs w:val="24"/>
        </w:rPr>
        <w:t xml:space="preserve"> </w:t>
      </w:r>
      <w:r w:rsidR="0027564E" w:rsidRPr="002547FB">
        <w:rPr>
          <w:rFonts w:ascii="Arial" w:hAnsi="Arial" w:cs="Arial"/>
          <w:sz w:val="24"/>
          <w:szCs w:val="24"/>
        </w:rPr>
        <w:t>an application in terms of s 52</w:t>
      </w:r>
      <w:r w:rsidR="0041071B" w:rsidRPr="002547FB">
        <w:rPr>
          <w:rFonts w:ascii="Arial" w:hAnsi="Arial" w:cs="Arial"/>
          <w:sz w:val="24"/>
          <w:szCs w:val="24"/>
        </w:rPr>
        <w:t>(2)</w:t>
      </w:r>
      <w:r w:rsidR="0027564E" w:rsidRPr="002547FB">
        <w:rPr>
          <w:rFonts w:ascii="Arial" w:hAnsi="Arial" w:cs="Arial"/>
          <w:sz w:val="24"/>
          <w:szCs w:val="24"/>
        </w:rPr>
        <w:t>,</w:t>
      </w:r>
      <w:r w:rsidR="0041071B" w:rsidRPr="002547FB">
        <w:rPr>
          <w:rFonts w:ascii="Arial" w:hAnsi="Arial" w:cs="Arial"/>
          <w:sz w:val="24"/>
          <w:szCs w:val="24"/>
        </w:rPr>
        <w:t xml:space="preserve"> </w:t>
      </w:r>
      <w:r w:rsidR="00244481" w:rsidRPr="002547FB">
        <w:rPr>
          <w:rFonts w:ascii="Arial" w:hAnsi="Arial" w:cs="Arial"/>
          <w:sz w:val="24"/>
          <w:szCs w:val="24"/>
        </w:rPr>
        <w:t>(3)</w:t>
      </w:r>
      <w:r w:rsidR="0027564E" w:rsidRPr="002547FB">
        <w:rPr>
          <w:rFonts w:ascii="Arial" w:hAnsi="Arial" w:cs="Arial"/>
          <w:sz w:val="24"/>
          <w:szCs w:val="24"/>
        </w:rPr>
        <w:t>,</w:t>
      </w:r>
      <w:r w:rsidR="00616F56" w:rsidRPr="002547FB">
        <w:rPr>
          <w:rFonts w:ascii="Arial" w:hAnsi="Arial" w:cs="Arial"/>
          <w:sz w:val="24"/>
          <w:szCs w:val="24"/>
        </w:rPr>
        <w:t xml:space="preserve"> (4) and (5)</w:t>
      </w:r>
      <w:r w:rsidR="00C8513E" w:rsidRPr="002547FB">
        <w:rPr>
          <w:rFonts w:ascii="Arial" w:hAnsi="Arial" w:cs="Arial"/>
          <w:sz w:val="24"/>
          <w:szCs w:val="24"/>
        </w:rPr>
        <w:t xml:space="preserve"> of </w:t>
      </w:r>
      <w:r w:rsidRPr="002547FB">
        <w:rPr>
          <w:rFonts w:ascii="Arial" w:hAnsi="Arial" w:cs="Arial"/>
          <w:sz w:val="24"/>
          <w:szCs w:val="24"/>
        </w:rPr>
        <w:t>the</w:t>
      </w:r>
      <w:r w:rsidR="00455FD7" w:rsidRPr="002547FB">
        <w:rPr>
          <w:rFonts w:ascii="Arial" w:hAnsi="Arial" w:cs="Arial"/>
          <w:sz w:val="24"/>
          <w:szCs w:val="24"/>
        </w:rPr>
        <w:t xml:space="preserve"> Act</w:t>
      </w:r>
      <w:r w:rsidR="00C8513E" w:rsidRPr="002547FB">
        <w:rPr>
          <w:rFonts w:ascii="Arial" w:hAnsi="Arial" w:cs="Arial"/>
          <w:sz w:val="24"/>
          <w:szCs w:val="24"/>
        </w:rPr>
        <w:t xml:space="preserve"> </w:t>
      </w:r>
      <w:r w:rsidR="00B34664" w:rsidRPr="002547FB">
        <w:rPr>
          <w:rFonts w:ascii="Arial" w:hAnsi="Arial" w:cs="Arial"/>
          <w:sz w:val="24"/>
          <w:szCs w:val="24"/>
        </w:rPr>
        <w:t>of their intention to oppose t</w:t>
      </w:r>
      <w:r w:rsidR="00C8513E" w:rsidRPr="002547FB">
        <w:rPr>
          <w:rFonts w:ascii="Arial" w:hAnsi="Arial" w:cs="Arial"/>
          <w:sz w:val="24"/>
          <w:szCs w:val="24"/>
        </w:rPr>
        <w:t xml:space="preserve">he making of a forfeiture order </w:t>
      </w:r>
      <w:r w:rsidR="0027564E" w:rsidRPr="002547FB">
        <w:rPr>
          <w:rFonts w:ascii="Arial" w:hAnsi="Arial" w:cs="Arial"/>
          <w:sz w:val="24"/>
          <w:szCs w:val="24"/>
        </w:rPr>
        <w:t xml:space="preserve">and </w:t>
      </w:r>
      <w:r w:rsidR="00C8513E" w:rsidRPr="002547FB">
        <w:rPr>
          <w:rFonts w:ascii="Arial" w:hAnsi="Arial" w:cs="Arial"/>
          <w:sz w:val="24"/>
          <w:szCs w:val="24"/>
        </w:rPr>
        <w:t xml:space="preserve">an application for </w:t>
      </w:r>
      <w:r w:rsidRPr="002547FB">
        <w:rPr>
          <w:rFonts w:ascii="Arial" w:hAnsi="Arial" w:cs="Arial"/>
          <w:sz w:val="24"/>
          <w:szCs w:val="24"/>
        </w:rPr>
        <w:t>the c</w:t>
      </w:r>
      <w:r w:rsidR="00C8513E" w:rsidRPr="002547FB">
        <w:rPr>
          <w:rFonts w:ascii="Arial" w:hAnsi="Arial" w:cs="Arial"/>
          <w:sz w:val="24"/>
          <w:szCs w:val="24"/>
        </w:rPr>
        <w:t>ondonation</w:t>
      </w:r>
      <w:r w:rsidR="00AC20DB" w:rsidRPr="002547FB">
        <w:rPr>
          <w:rFonts w:ascii="Arial" w:hAnsi="Arial" w:cs="Arial"/>
          <w:sz w:val="24"/>
          <w:szCs w:val="24"/>
        </w:rPr>
        <w:t xml:space="preserve"> of the late filling</w:t>
      </w:r>
      <w:r w:rsidR="00455FD7" w:rsidRPr="002547FB">
        <w:rPr>
          <w:rFonts w:ascii="Arial" w:hAnsi="Arial" w:cs="Arial"/>
          <w:sz w:val="24"/>
          <w:szCs w:val="24"/>
        </w:rPr>
        <w:t xml:space="preserve"> of the notice in terms of s 52(3).</w:t>
      </w:r>
      <w:r w:rsidR="00894F60" w:rsidRPr="002547FB">
        <w:rPr>
          <w:rFonts w:ascii="Arial" w:hAnsi="Arial" w:cs="Arial"/>
          <w:sz w:val="24"/>
          <w:szCs w:val="24"/>
        </w:rPr>
        <w:t xml:space="preserve"> In the notice given in terms of s 52(3) of the Act, the respondents amongst other things indicated as follows:</w:t>
      </w:r>
    </w:p>
    <w:p w:rsidR="00BF6CDF" w:rsidRPr="002547FB" w:rsidRDefault="00BF6CDF" w:rsidP="00070221">
      <w:pPr>
        <w:spacing w:after="0" w:line="360" w:lineRule="auto"/>
        <w:jc w:val="both"/>
        <w:rPr>
          <w:rFonts w:ascii="Arial" w:hAnsi="Arial" w:cs="Arial"/>
          <w:sz w:val="24"/>
          <w:szCs w:val="24"/>
        </w:rPr>
      </w:pPr>
    </w:p>
    <w:p w:rsidR="00894F60" w:rsidRPr="002547FB" w:rsidRDefault="007413CB" w:rsidP="007413CB">
      <w:pPr>
        <w:spacing w:after="0" w:line="360" w:lineRule="auto"/>
        <w:ind w:firstLine="720"/>
        <w:jc w:val="both"/>
        <w:rPr>
          <w:rFonts w:ascii="Arial" w:hAnsi="Arial" w:cs="Arial"/>
        </w:rPr>
      </w:pPr>
      <w:r w:rsidRPr="002547FB">
        <w:rPr>
          <w:rFonts w:ascii="Arial" w:hAnsi="Arial" w:cs="Arial"/>
        </w:rPr>
        <w:t>‘</w:t>
      </w:r>
      <w:r w:rsidRPr="002547FB">
        <w:rPr>
          <w:rFonts w:ascii="Arial" w:hAnsi="Arial" w:cs="Arial"/>
          <w:b/>
        </w:rPr>
        <w:t>BE PLEASED TO TAKE NOTICE</w:t>
      </w:r>
      <w:r w:rsidRPr="002547FB">
        <w:rPr>
          <w:rFonts w:ascii="Arial" w:hAnsi="Arial" w:cs="Arial"/>
        </w:rPr>
        <w:t xml:space="preserve"> that the two abovementioned interested parties has </w:t>
      </w:r>
      <w:r w:rsidRPr="002547FB">
        <w:rPr>
          <w:rFonts w:ascii="Arial" w:hAnsi="Arial" w:cs="Arial"/>
          <w:i/>
        </w:rPr>
        <w:t>(sic)</w:t>
      </w:r>
      <w:r w:rsidRPr="002547FB">
        <w:rPr>
          <w:rFonts w:ascii="Arial" w:hAnsi="Arial" w:cs="Arial"/>
        </w:rPr>
        <w:t xml:space="preserve"> chosen the address of SISA NAMANDJE &amp; CO INC (as stated below) as the address at which they will accept service of all documents relating to this matter.’</w:t>
      </w:r>
    </w:p>
    <w:p w:rsidR="007413CB" w:rsidRPr="002547FB" w:rsidRDefault="007413CB" w:rsidP="007413CB">
      <w:pPr>
        <w:spacing w:after="0" w:line="360" w:lineRule="auto"/>
        <w:ind w:firstLine="720"/>
        <w:jc w:val="both"/>
        <w:rPr>
          <w:rFonts w:ascii="Arial" w:hAnsi="Arial" w:cs="Arial"/>
        </w:rPr>
      </w:pPr>
    </w:p>
    <w:p w:rsidR="00923EDE" w:rsidRPr="002547FB" w:rsidRDefault="007413CB" w:rsidP="00C65319">
      <w:pPr>
        <w:tabs>
          <w:tab w:val="left" w:pos="851"/>
        </w:tabs>
        <w:spacing w:after="0" w:line="360" w:lineRule="auto"/>
        <w:jc w:val="both"/>
        <w:rPr>
          <w:rFonts w:ascii="Arial" w:hAnsi="Arial" w:cs="Arial"/>
          <w:sz w:val="24"/>
          <w:szCs w:val="24"/>
        </w:rPr>
      </w:pPr>
      <w:r w:rsidRPr="002547FB">
        <w:rPr>
          <w:rFonts w:ascii="Arial" w:hAnsi="Arial" w:cs="Arial"/>
          <w:sz w:val="24"/>
          <w:szCs w:val="24"/>
        </w:rPr>
        <w:t>[11]</w:t>
      </w:r>
      <w:r w:rsidRPr="002547FB">
        <w:rPr>
          <w:rFonts w:ascii="Arial" w:hAnsi="Arial" w:cs="Arial"/>
          <w:sz w:val="24"/>
          <w:szCs w:val="24"/>
        </w:rPr>
        <w:tab/>
        <w:t xml:space="preserve">The address which was indicated ‘below’ is No. 13 Pasteur Street, Windhoek West, Windhoek. </w:t>
      </w:r>
      <w:r w:rsidR="00CD0E97" w:rsidRPr="002547FB">
        <w:rPr>
          <w:rFonts w:ascii="Arial" w:hAnsi="Arial" w:cs="Arial"/>
          <w:sz w:val="24"/>
          <w:szCs w:val="24"/>
        </w:rPr>
        <w:t>On 13 June 2016</w:t>
      </w:r>
      <w:r w:rsidR="00C65319" w:rsidRPr="002547FB">
        <w:rPr>
          <w:rFonts w:ascii="Arial" w:hAnsi="Arial" w:cs="Arial"/>
          <w:sz w:val="24"/>
          <w:szCs w:val="24"/>
        </w:rPr>
        <w:t xml:space="preserve"> the </w:t>
      </w:r>
      <w:r w:rsidR="001A6296" w:rsidRPr="002547FB">
        <w:rPr>
          <w:rFonts w:ascii="Arial" w:hAnsi="Arial" w:cs="Arial"/>
          <w:sz w:val="24"/>
          <w:szCs w:val="24"/>
        </w:rPr>
        <w:t>Prosecutor-</w:t>
      </w:r>
      <w:r w:rsidR="00C65319" w:rsidRPr="002547FB">
        <w:rPr>
          <w:rFonts w:ascii="Arial" w:hAnsi="Arial" w:cs="Arial"/>
          <w:sz w:val="24"/>
          <w:szCs w:val="24"/>
        </w:rPr>
        <w:t>General</w:t>
      </w:r>
      <w:r w:rsidR="00CD0E97" w:rsidRPr="002547FB">
        <w:rPr>
          <w:rFonts w:ascii="Arial" w:hAnsi="Arial" w:cs="Arial"/>
          <w:sz w:val="24"/>
          <w:szCs w:val="24"/>
        </w:rPr>
        <w:t xml:space="preserve"> caused an application </w:t>
      </w:r>
      <w:r w:rsidR="001000D2" w:rsidRPr="002547FB">
        <w:rPr>
          <w:rFonts w:ascii="Arial" w:hAnsi="Arial" w:cs="Arial"/>
          <w:sz w:val="24"/>
          <w:szCs w:val="24"/>
        </w:rPr>
        <w:t xml:space="preserve">for a forfeiture of property order in terms of s 59, </w:t>
      </w:r>
      <w:r w:rsidR="00CD0E97" w:rsidRPr="002547FB">
        <w:rPr>
          <w:rFonts w:ascii="Arial" w:hAnsi="Arial" w:cs="Arial"/>
          <w:sz w:val="24"/>
          <w:szCs w:val="24"/>
        </w:rPr>
        <w:t xml:space="preserve">read with s 61 (1) of </w:t>
      </w:r>
      <w:r w:rsidR="00C65319" w:rsidRPr="002547FB">
        <w:rPr>
          <w:rFonts w:ascii="Arial" w:hAnsi="Arial" w:cs="Arial"/>
          <w:sz w:val="24"/>
          <w:szCs w:val="24"/>
        </w:rPr>
        <w:t>the Act</w:t>
      </w:r>
      <w:r w:rsidR="00017CE2" w:rsidRPr="002547FB">
        <w:rPr>
          <w:rFonts w:ascii="Arial" w:hAnsi="Arial" w:cs="Arial"/>
          <w:sz w:val="24"/>
          <w:szCs w:val="24"/>
        </w:rPr>
        <w:t xml:space="preserve"> to be issued out of this Court by the Registrar. </w:t>
      </w:r>
      <w:r w:rsidR="00302567" w:rsidRPr="002547FB">
        <w:rPr>
          <w:rFonts w:ascii="Arial" w:hAnsi="Arial" w:cs="Arial"/>
          <w:sz w:val="24"/>
          <w:szCs w:val="24"/>
        </w:rPr>
        <w:t xml:space="preserve">On 22 June 2016 the respondents </w:t>
      </w:r>
      <w:r w:rsidR="00923EDE" w:rsidRPr="002547FB">
        <w:rPr>
          <w:rFonts w:ascii="Arial" w:hAnsi="Arial" w:cs="Arial"/>
          <w:sz w:val="24"/>
          <w:szCs w:val="24"/>
        </w:rPr>
        <w:t xml:space="preserve">gave notice of their intention to oppose the forfeiture application and simultaneously filed an application for the condonation of the late filling of their intention to oppose the </w:t>
      </w:r>
      <w:r w:rsidR="00195FFF" w:rsidRPr="002547FB">
        <w:rPr>
          <w:rFonts w:ascii="Arial" w:hAnsi="Arial" w:cs="Arial"/>
          <w:sz w:val="24"/>
          <w:szCs w:val="24"/>
        </w:rPr>
        <w:lastRenderedPageBreak/>
        <w:t>forfeiture application.</w:t>
      </w:r>
      <w:r w:rsidR="00923EDE" w:rsidRPr="002547FB">
        <w:rPr>
          <w:rFonts w:ascii="Arial" w:hAnsi="Arial" w:cs="Arial"/>
          <w:sz w:val="24"/>
          <w:szCs w:val="24"/>
        </w:rPr>
        <w:t xml:space="preserve"> On</w:t>
      </w:r>
      <w:r w:rsidR="00C65319" w:rsidRPr="002547FB">
        <w:rPr>
          <w:rFonts w:ascii="Arial" w:hAnsi="Arial" w:cs="Arial"/>
          <w:sz w:val="24"/>
          <w:szCs w:val="24"/>
        </w:rPr>
        <w:t xml:space="preserve"> </w:t>
      </w:r>
      <w:r w:rsidR="00CD0E97" w:rsidRPr="002547FB">
        <w:rPr>
          <w:rFonts w:ascii="Arial" w:hAnsi="Arial" w:cs="Arial"/>
          <w:sz w:val="24"/>
          <w:szCs w:val="24"/>
        </w:rPr>
        <w:t xml:space="preserve">3 August 2016 </w:t>
      </w:r>
      <w:r w:rsidR="00D4065D" w:rsidRPr="002547FB">
        <w:rPr>
          <w:rFonts w:ascii="Arial" w:hAnsi="Arial" w:cs="Arial"/>
          <w:sz w:val="24"/>
          <w:szCs w:val="24"/>
        </w:rPr>
        <w:t>the Prosecutor-</w:t>
      </w:r>
      <w:r w:rsidR="00C65319" w:rsidRPr="002547FB">
        <w:rPr>
          <w:rFonts w:ascii="Arial" w:hAnsi="Arial" w:cs="Arial"/>
          <w:sz w:val="24"/>
          <w:szCs w:val="24"/>
        </w:rPr>
        <w:t xml:space="preserve">General </w:t>
      </w:r>
      <w:r w:rsidR="00CD0E97" w:rsidRPr="002547FB">
        <w:rPr>
          <w:rFonts w:ascii="Arial" w:hAnsi="Arial" w:cs="Arial"/>
          <w:sz w:val="24"/>
          <w:szCs w:val="24"/>
        </w:rPr>
        <w:t xml:space="preserve">indicated that she will oppose the </w:t>
      </w:r>
      <w:r w:rsidR="00C65319" w:rsidRPr="002547FB">
        <w:rPr>
          <w:rFonts w:ascii="Arial" w:hAnsi="Arial" w:cs="Arial"/>
          <w:sz w:val="24"/>
          <w:szCs w:val="24"/>
        </w:rPr>
        <w:t>respondents’</w:t>
      </w:r>
      <w:r w:rsidR="00894F60" w:rsidRPr="002547FB">
        <w:rPr>
          <w:rFonts w:ascii="Arial" w:hAnsi="Arial" w:cs="Arial"/>
          <w:sz w:val="24"/>
          <w:szCs w:val="24"/>
        </w:rPr>
        <w:t xml:space="preserve"> application</w:t>
      </w:r>
      <w:r w:rsidR="00C65319" w:rsidRPr="002547FB">
        <w:rPr>
          <w:rFonts w:ascii="Arial" w:hAnsi="Arial" w:cs="Arial"/>
          <w:sz w:val="24"/>
          <w:szCs w:val="24"/>
        </w:rPr>
        <w:t xml:space="preserve"> for the condonation of the late filing of the notice in terms of s 52(3). </w:t>
      </w:r>
    </w:p>
    <w:p w:rsidR="00923EDE" w:rsidRPr="002547FB" w:rsidRDefault="00923EDE" w:rsidP="00C65319">
      <w:pPr>
        <w:tabs>
          <w:tab w:val="left" w:pos="851"/>
        </w:tabs>
        <w:spacing w:after="0" w:line="360" w:lineRule="auto"/>
        <w:jc w:val="both"/>
        <w:rPr>
          <w:rFonts w:ascii="Arial" w:hAnsi="Arial" w:cs="Arial"/>
          <w:sz w:val="24"/>
          <w:szCs w:val="24"/>
        </w:rPr>
      </w:pPr>
    </w:p>
    <w:p w:rsidR="00E61B47" w:rsidRPr="002547FB" w:rsidRDefault="00923EDE" w:rsidP="00C65319">
      <w:pPr>
        <w:tabs>
          <w:tab w:val="left" w:pos="851"/>
        </w:tabs>
        <w:spacing w:after="0" w:line="360" w:lineRule="auto"/>
        <w:jc w:val="both"/>
        <w:rPr>
          <w:rFonts w:ascii="Arial" w:hAnsi="Arial" w:cs="Arial"/>
          <w:sz w:val="24"/>
          <w:szCs w:val="24"/>
        </w:rPr>
      </w:pPr>
      <w:r w:rsidRPr="002547FB">
        <w:rPr>
          <w:rFonts w:ascii="Arial" w:hAnsi="Arial" w:cs="Arial"/>
          <w:sz w:val="24"/>
          <w:szCs w:val="24"/>
        </w:rPr>
        <w:t>[12]</w:t>
      </w:r>
      <w:r w:rsidRPr="002547FB">
        <w:rPr>
          <w:rFonts w:ascii="Arial" w:hAnsi="Arial" w:cs="Arial"/>
          <w:sz w:val="24"/>
          <w:szCs w:val="24"/>
        </w:rPr>
        <w:tab/>
      </w:r>
      <w:r w:rsidR="00C65319" w:rsidRPr="002547FB">
        <w:rPr>
          <w:rFonts w:ascii="Arial" w:hAnsi="Arial" w:cs="Arial"/>
          <w:sz w:val="24"/>
          <w:szCs w:val="24"/>
        </w:rPr>
        <w:t xml:space="preserve">Between August 2016 and February 2017 the matter was case managed by </w:t>
      </w:r>
      <w:r w:rsidR="001000D2" w:rsidRPr="002547FB">
        <w:rPr>
          <w:rFonts w:ascii="Arial" w:hAnsi="Arial" w:cs="Arial"/>
          <w:sz w:val="24"/>
          <w:szCs w:val="24"/>
        </w:rPr>
        <w:t xml:space="preserve">Mr </w:t>
      </w:r>
      <w:r w:rsidR="00C65319" w:rsidRPr="002547FB">
        <w:rPr>
          <w:rFonts w:ascii="Arial" w:hAnsi="Arial" w:cs="Arial"/>
          <w:sz w:val="24"/>
          <w:szCs w:val="24"/>
        </w:rPr>
        <w:t>Justice Parker and on 6 February</w:t>
      </w:r>
      <w:r w:rsidRPr="002547FB">
        <w:rPr>
          <w:rFonts w:ascii="Arial" w:hAnsi="Arial" w:cs="Arial"/>
          <w:sz w:val="24"/>
          <w:szCs w:val="24"/>
        </w:rPr>
        <w:t xml:space="preserve"> 2017</w:t>
      </w:r>
      <w:r w:rsidR="00C65319" w:rsidRPr="002547FB">
        <w:rPr>
          <w:rFonts w:ascii="Arial" w:hAnsi="Arial" w:cs="Arial"/>
          <w:sz w:val="24"/>
          <w:szCs w:val="24"/>
        </w:rPr>
        <w:t xml:space="preserve"> he made an order condoning th</w:t>
      </w:r>
      <w:r w:rsidR="001000D2" w:rsidRPr="002547FB">
        <w:rPr>
          <w:rFonts w:ascii="Arial" w:hAnsi="Arial" w:cs="Arial"/>
          <w:sz w:val="24"/>
          <w:szCs w:val="24"/>
        </w:rPr>
        <w:t>e late filing of the Prosecutor-</w:t>
      </w:r>
      <w:r w:rsidR="00C65319" w:rsidRPr="002547FB">
        <w:rPr>
          <w:rFonts w:ascii="Arial" w:hAnsi="Arial" w:cs="Arial"/>
          <w:sz w:val="24"/>
          <w:szCs w:val="24"/>
        </w:rPr>
        <w:t>General</w:t>
      </w:r>
      <w:r w:rsidRPr="002547FB">
        <w:rPr>
          <w:rFonts w:ascii="Arial" w:hAnsi="Arial" w:cs="Arial"/>
          <w:sz w:val="24"/>
          <w:szCs w:val="24"/>
        </w:rPr>
        <w:t>’s</w:t>
      </w:r>
      <w:r w:rsidR="00C65319" w:rsidRPr="002547FB">
        <w:rPr>
          <w:rFonts w:ascii="Arial" w:hAnsi="Arial" w:cs="Arial"/>
          <w:sz w:val="24"/>
          <w:szCs w:val="24"/>
        </w:rPr>
        <w:t xml:space="preserve"> replying affidavit. The application was then set down for hearing on 27 April 2017. That hearing did not proceed and the matter was </w:t>
      </w:r>
      <w:r w:rsidR="00BC004E" w:rsidRPr="002547FB">
        <w:rPr>
          <w:rFonts w:ascii="Arial" w:hAnsi="Arial" w:cs="Arial"/>
          <w:sz w:val="24"/>
          <w:szCs w:val="24"/>
        </w:rPr>
        <w:t xml:space="preserve">thereafter </w:t>
      </w:r>
      <w:r w:rsidR="00C65319" w:rsidRPr="002547FB">
        <w:rPr>
          <w:rFonts w:ascii="Arial" w:hAnsi="Arial" w:cs="Arial"/>
          <w:sz w:val="24"/>
          <w:szCs w:val="24"/>
        </w:rPr>
        <w:t xml:space="preserve">assigned to me for hearing. I heard the application </w:t>
      </w:r>
      <w:r w:rsidR="00195FFF" w:rsidRPr="002547FB">
        <w:rPr>
          <w:rFonts w:ascii="Arial" w:hAnsi="Arial" w:cs="Arial"/>
          <w:sz w:val="24"/>
          <w:szCs w:val="24"/>
        </w:rPr>
        <w:t xml:space="preserve">on </w:t>
      </w:r>
      <w:r w:rsidR="00C65319" w:rsidRPr="002547FB">
        <w:rPr>
          <w:rFonts w:ascii="Arial" w:hAnsi="Arial" w:cs="Arial"/>
          <w:sz w:val="24"/>
          <w:szCs w:val="24"/>
        </w:rPr>
        <w:t>4 July 2017.</w:t>
      </w:r>
      <w:r w:rsidRPr="002547FB">
        <w:rPr>
          <w:rFonts w:ascii="Arial" w:hAnsi="Arial" w:cs="Arial"/>
          <w:sz w:val="24"/>
          <w:szCs w:val="24"/>
        </w:rPr>
        <w:t xml:space="preserve"> </w:t>
      </w:r>
      <w:r w:rsidR="00C65319" w:rsidRPr="002547FB">
        <w:rPr>
          <w:rFonts w:ascii="Arial" w:hAnsi="Arial" w:cs="Arial"/>
          <w:sz w:val="24"/>
          <w:szCs w:val="24"/>
        </w:rPr>
        <w:t>I have indicated above that the respondents oppose</w:t>
      </w:r>
      <w:r w:rsidR="00BC004E" w:rsidRPr="002547FB">
        <w:rPr>
          <w:rFonts w:ascii="Arial" w:hAnsi="Arial" w:cs="Arial"/>
          <w:sz w:val="24"/>
          <w:szCs w:val="24"/>
        </w:rPr>
        <w:t>d</w:t>
      </w:r>
      <w:r w:rsidR="00C65319" w:rsidRPr="002547FB">
        <w:rPr>
          <w:rFonts w:ascii="Arial" w:hAnsi="Arial" w:cs="Arial"/>
          <w:sz w:val="24"/>
          <w:szCs w:val="24"/>
        </w:rPr>
        <w:t xml:space="preserve"> the Prosecutor</w:t>
      </w:r>
      <w:r w:rsidR="00102DD6" w:rsidRPr="002547FB">
        <w:rPr>
          <w:rFonts w:ascii="Arial" w:hAnsi="Arial" w:cs="Arial"/>
          <w:sz w:val="24"/>
          <w:szCs w:val="24"/>
        </w:rPr>
        <w:t>-</w:t>
      </w:r>
      <w:r w:rsidR="00C65319" w:rsidRPr="002547FB">
        <w:rPr>
          <w:rFonts w:ascii="Arial" w:hAnsi="Arial" w:cs="Arial"/>
          <w:sz w:val="24"/>
          <w:szCs w:val="24"/>
        </w:rPr>
        <w:t xml:space="preserve">General’s application for the preserved property to be forfeited in terms of s 59 read with s 61 of the Act. In the opposing affidavit Mr Kamunguma raised a point </w:t>
      </w:r>
      <w:r w:rsidR="00C65319" w:rsidRPr="002547FB">
        <w:rPr>
          <w:rFonts w:ascii="Arial" w:hAnsi="Arial" w:cs="Arial"/>
          <w:i/>
          <w:sz w:val="24"/>
          <w:szCs w:val="24"/>
        </w:rPr>
        <w:t>in limine</w:t>
      </w:r>
      <w:r w:rsidR="00C65319" w:rsidRPr="002547FB">
        <w:rPr>
          <w:rFonts w:ascii="Arial" w:hAnsi="Arial" w:cs="Arial"/>
          <w:sz w:val="24"/>
          <w:szCs w:val="24"/>
        </w:rPr>
        <w:t>.</w:t>
      </w:r>
      <w:r w:rsidR="00454190" w:rsidRPr="002547FB">
        <w:rPr>
          <w:rFonts w:ascii="Arial" w:hAnsi="Arial" w:cs="Arial"/>
          <w:sz w:val="24"/>
          <w:szCs w:val="24"/>
        </w:rPr>
        <w:t xml:space="preserve"> I will therefore first deal with the point </w:t>
      </w:r>
      <w:r w:rsidR="00454190" w:rsidRPr="002547FB">
        <w:rPr>
          <w:rFonts w:ascii="Arial" w:hAnsi="Arial" w:cs="Arial"/>
          <w:i/>
          <w:sz w:val="24"/>
          <w:szCs w:val="24"/>
        </w:rPr>
        <w:t>in limine</w:t>
      </w:r>
      <w:r w:rsidR="00454190" w:rsidRPr="002547FB">
        <w:rPr>
          <w:rFonts w:ascii="Arial" w:hAnsi="Arial" w:cs="Arial"/>
          <w:sz w:val="24"/>
          <w:szCs w:val="24"/>
        </w:rPr>
        <w:t xml:space="preserve"> raised by the respondent</w:t>
      </w:r>
      <w:r w:rsidR="00BC004E" w:rsidRPr="002547FB">
        <w:rPr>
          <w:rFonts w:ascii="Arial" w:hAnsi="Arial" w:cs="Arial"/>
          <w:sz w:val="24"/>
          <w:szCs w:val="24"/>
        </w:rPr>
        <w:t>s.</w:t>
      </w:r>
      <w:r w:rsidR="00454190" w:rsidRPr="002547FB">
        <w:rPr>
          <w:rFonts w:ascii="Arial" w:hAnsi="Arial" w:cs="Arial"/>
          <w:sz w:val="24"/>
          <w:szCs w:val="24"/>
        </w:rPr>
        <w:t xml:space="preserve"> </w:t>
      </w:r>
    </w:p>
    <w:p w:rsidR="00454190" w:rsidRPr="002547FB" w:rsidRDefault="00454190" w:rsidP="00C65319">
      <w:pPr>
        <w:tabs>
          <w:tab w:val="left" w:pos="851"/>
        </w:tabs>
        <w:spacing w:after="0" w:line="360" w:lineRule="auto"/>
        <w:jc w:val="both"/>
        <w:rPr>
          <w:rFonts w:ascii="Arial" w:hAnsi="Arial" w:cs="Arial"/>
          <w:sz w:val="24"/>
          <w:szCs w:val="24"/>
        </w:rPr>
      </w:pPr>
    </w:p>
    <w:p w:rsidR="00E61B47" w:rsidRPr="002547FB" w:rsidRDefault="00454190" w:rsidP="00EF2D33">
      <w:pPr>
        <w:tabs>
          <w:tab w:val="left" w:pos="851"/>
        </w:tabs>
        <w:spacing w:after="0" w:line="360" w:lineRule="auto"/>
        <w:jc w:val="both"/>
        <w:rPr>
          <w:rFonts w:ascii="Arial" w:hAnsi="Arial" w:cs="Arial"/>
          <w:sz w:val="24"/>
          <w:szCs w:val="24"/>
        </w:rPr>
      </w:pPr>
      <w:r w:rsidRPr="002547FB">
        <w:rPr>
          <w:rFonts w:ascii="Arial" w:hAnsi="Arial" w:cs="Arial"/>
          <w:sz w:val="24"/>
          <w:szCs w:val="24"/>
          <w:u w:val="single"/>
        </w:rPr>
        <w:t>The p</w:t>
      </w:r>
      <w:r w:rsidR="00E61B47" w:rsidRPr="002547FB">
        <w:rPr>
          <w:rFonts w:ascii="Arial" w:hAnsi="Arial" w:cs="Arial"/>
          <w:sz w:val="24"/>
          <w:szCs w:val="24"/>
          <w:u w:val="single"/>
        </w:rPr>
        <w:t xml:space="preserve">oint </w:t>
      </w:r>
      <w:r w:rsidR="00E61B47" w:rsidRPr="002547FB">
        <w:rPr>
          <w:rFonts w:ascii="Arial" w:hAnsi="Arial" w:cs="Arial"/>
          <w:i/>
          <w:sz w:val="24"/>
          <w:szCs w:val="24"/>
          <w:u w:val="single"/>
        </w:rPr>
        <w:t>in limine</w:t>
      </w:r>
      <w:r w:rsidRPr="002547FB">
        <w:rPr>
          <w:rFonts w:ascii="Arial" w:hAnsi="Arial" w:cs="Arial"/>
          <w:sz w:val="24"/>
          <w:szCs w:val="24"/>
        </w:rPr>
        <w:t>.</w:t>
      </w:r>
    </w:p>
    <w:p w:rsidR="00A07C58" w:rsidRPr="002547FB" w:rsidRDefault="00A07C58" w:rsidP="00EF2D33">
      <w:pPr>
        <w:tabs>
          <w:tab w:val="left" w:pos="851"/>
        </w:tabs>
        <w:spacing w:after="0" w:line="360" w:lineRule="auto"/>
        <w:jc w:val="both"/>
        <w:rPr>
          <w:rFonts w:ascii="Arial" w:hAnsi="Arial" w:cs="Arial"/>
          <w:sz w:val="24"/>
          <w:szCs w:val="24"/>
        </w:rPr>
      </w:pPr>
    </w:p>
    <w:p w:rsidR="00E27DCA" w:rsidRPr="002547FB" w:rsidRDefault="00454190" w:rsidP="00454190">
      <w:pPr>
        <w:tabs>
          <w:tab w:val="left" w:pos="851"/>
        </w:tabs>
        <w:spacing w:after="0" w:line="360" w:lineRule="auto"/>
        <w:jc w:val="both"/>
        <w:rPr>
          <w:rFonts w:ascii="Arial" w:hAnsi="Arial" w:cs="Arial"/>
          <w:sz w:val="24"/>
          <w:szCs w:val="24"/>
        </w:rPr>
      </w:pPr>
      <w:r w:rsidRPr="002547FB">
        <w:rPr>
          <w:rFonts w:ascii="Arial" w:hAnsi="Arial" w:cs="Arial"/>
          <w:sz w:val="24"/>
          <w:szCs w:val="24"/>
        </w:rPr>
        <w:t>[13]</w:t>
      </w:r>
      <w:r w:rsidRPr="002547FB">
        <w:rPr>
          <w:rFonts w:ascii="Arial" w:hAnsi="Arial" w:cs="Arial"/>
          <w:sz w:val="24"/>
          <w:szCs w:val="24"/>
        </w:rPr>
        <w:tab/>
        <w:t xml:space="preserve">The point </w:t>
      </w:r>
      <w:r w:rsidRPr="002547FB">
        <w:rPr>
          <w:rFonts w:ascii="Arial" w:hAnsi="Arial" w:cs="Arial"/>
          <w:i/>
          <w:sz w:val="24"/>
          <w:szCs w:val="24"/>
        </w:rPr>
        <w:t>in limine</w:t>
      </w:r>
      <w:r w:rsidRPr="002547FB">
        <w:rPr>
          <w:rFonts w:ascii="Arial" w:hAnsi="Arial" w:cs="Arial"/>
          <w:sz w:val="24"/>
          <w:szCs w:val="24"/>
        </w:rPr>
        <w:t xml:space="preserve"> raised by the respondents relates to the</w:t>
      </w:r>
      <w:r w:rsidR="00D4065D" w:rsidRPr="002547FB">
        <w:rPr>
          <w:rFonts w:ascii="Arial" w:hAnsi="Arial" w:cs="Arial"/>
          <w:sz w:val="24"/>
          <w:szCs w:val="24"/>
        </w:rPr>
        <w:t xml:space="preserve"> manner in which the Prosecutor-</w:t>
      </w:r>
      <w:r w:rsidRPr="002547FB">
        <w:rPr>
          <w:rFonts w:ascii="Arial" w:hAnsi="Arial" w:cs="Arial"/>
          <w:sz w:val="24"/>
          <w:szCs w:val="24"/>
        </w:rPr>
        <w:t xml:space="preserve">General served the </w:t>
      </w:r>
      <w:r w:rsidR="00BC004E" w:rsidRPr="002547FB">
        <w:rPr>
          <w:rFonts w:ascii="Arial" w:hAnsi="Arial" w:cs="Arial"/>
          <w:sz w:val="24"/>
          <w:szCs w:val="24"/>
        </w:rPr>
        <w:t>forfeiture</w:t>
      </w:r>
      <w:r w:rsidRPr="002547FB">
        <w:rPr>
          <w:rFonts w:ascii="Arial" w:hAnsi="Arial" w:cs="Arial"/>
          <w:sz w:val="24"/>
          <w:szCs w:val="24"/>
        </w:rPr>
        <w:t xml:space="preserve"> application on the r</w:t>
      </w:r>
      <w:r w:rsidR="00D4065D" w:rsidRPr="002547FB">
        <w:rPr>
          <w:rFonts w:ascii="Arial" w:hAnsi="Arial" w:cs="Arial"/>
          <w:sz w:val="24"/>
          <w:szCs w:val="24"/>
        </w:rPr>
        <w:t>espondents. When the Prosecutor-</w:t>
      </w:r>
      <w:r w:rsidRPr="002547FB">
        <w:rPr>
          <w:rFonts w:ascii="Arial" w:hAnsi="Arial" w:cs="Arial"/>
          <w:sz w:val="24"/>
          <w:szCs w:val="24"/>
        </w:rPr>
        <w:t>General served the s 59 application on the respondents she did not serve it at the address given by the respondents in t</w:t>
      </w:r>
      <w:r w:rsidR="00506CEF" w:rsidRPr="002547FB">
        <w:rPr>
          <w:rFonts w:ascii="Arial" w:hAnsi="Arial" w:cs="Arial"/>
          <w:sz w:val="24"/>
          <w:szCs w:val="24"/>
        </w:rPr>
        <w:t>heir s 52(3) but the Prosecutor-</w:t>
      </w:r>
      <w:r w:rsidRPr="002547FB">
        <w:rPr>
          <w:rFonts w:ascii="Arial" w:hAnsi="Arial" w:cs="Arial"/>
          <w:sz w:val="24"/>
          <w:szCs w:val="24"/>
        </w:rPr>
        <w:t>General served or caused the application to be served at the Law Society (GOSP)</w:t>
      </w:r>
      <w:r w:rsidR="00A93406">
        <w:rPr>
          <w:rFonts w:ascii="Arial" w:hAnsi="Arial" w:cs="Arial"/>
          <w:sz w:val="24"/>
          <w:szCs w:val="24"/>
        </w:rPr>
        <w:t>.</w:t>
      </w:r>
      <w:r w:rsidR="00252311" w:rsidRPr="002547FB">
        <w:rPr>
          <w:rStyle w:val="FootnoteReference"/>
          <w:rFonts w:ascii="Arial" w:hAnsi="Arial" w:cs="Arial"/>
          <w:sz w:val="24"/>
          <w:szCs w:val="24"/>
        </w:rPr>
        <w:footnoteReference w:id="3"/>
      </w:r>
      <w:r w:rsidRPr="002547FB">
        <w:rPr>
          <w:rFonts w:ascii="Arial" w:hAnsi="Arial" w:cs="Arial"/>
          <w:sz w:val="24"/>
          <w:szCs w:val="24"/>
        </w:rPr>
        <w:t xml:space="preserve"> It is also not clear as to who served the application at the Law Society. </w:t>
      </w:r>
    </w:p>
    <w:p w:rsidR="00E27DCA" w:rsidRPr="002547FB" w:rsidRDefault="00E27DCA" w:rsidP="00454190">
      <w:pPr>
        <w:tabs>
          <w:tab w:val="left" w:pos="851"/>
        </w:tabs>
        <w:spacing w:after="0" w:line="360" w:lineRule="auto"/>
        <w:jc w:val="both"/>
        <w:rPr>
          <w:rFonts w:ascii="Arial" w:hAnsi="Arial" w:cs="Arial"/>
          <w:sz w:val="24"/>
          <w:szCs w:val="24"/>
        </w:rPr>
      </w:pPr>
    </w:p>
    <w:p w:rsidR="00E27DCA" w:rsidRPr="002547FB" w:rsidRDefault="00E27DCA" w:rsidP="00E27DCA">
      <w:pPr>
        <w:tabs>
          <w:tab w:val="left" w:pos="851"/>
        </w:tabs>
        <w:spacing w:after="0" w:line="360" w:lineRule="auto"/>
        <w:jc w:val="both"/>
        <w:rPr>
          <w:rFonts w:ascii="Arial" w:hAnsi="Arial" w:cs="Arial"/>
          <w:sz w:val="24"/>
          <w:szCs w:val="24"/>
          <w:lang w:val="en-GB"/>
        </w:rPr>
      </w:pPr>
      <w:r w:rsidRPr="002547FB">
        <w:rPr>
          <w:rFonts w:ascii="Arial" w:hAnsi="Arial" w:cs="Arial"/>
          <w:sz w:val="24"/>
          <w:szCs w:val="24"/>
        </w:rPr>
        <w:t>[14]</w:t>
      </w:r>
      <w:r w:rsidRPr="002547FB">
        <w:rPr>
          <w:rFonts w:ascii="Arial" w:hAnsi="Arial" w:cs="Arial"/>
          <w:sz w:val="24"/>
          <w:szCs w:val="24"/>
        </w:rPr>
        <w:tab/>
      </w:r>
      <w:r w:rsidR="00454190" w:rsidRPr="002547FB">
        <w:rPr>
          <w:rFonts w:ascii="Arial" w:hAnsi="Arial" w:cs="Arial"/>
          <w:sz w:val="24"/>
          <w:szCs w:val="24"/>
        </w:rPr>
        <w:t>Th</w:t>
      </w:r>
      <w:r w:rsidRPr="002547FB">
        <w:rPr>
          <w:rFonts w:ascii="Arial" w:hAnsi="Arial" w:cs="Arial"/>
          <w:sz w:val="24"/>
          <w:szCs w:val="24"/>
        </w:rPr>
        <w:t xml:space="preserve">e </w:t>
      </w:r>
      <w:r w:rsidR="00454190" w:rsidRPr="002547FB">
        <w:rPr>
          <w:rFonts w:ascii="Arial" w:hAnsi="Arial" w:cs="Arial"/>
          <w:sz w:val="24"/>
          <w:szCs w:val="24"/>
        </w:rPr>
        <w:t xml:space="preserve">manner of service </w:t>
      </w:r>
      <w:r w:rsidRPr="002547FB">
        <w:rPr>
          <w:rFonts w:ascii="Arial" w:hAnsi="Arial" w:cs="Arial"/>
          <w:sz w:val="24"/>
          <w:szCs w:val="24"/>
        </w:rPr>
        <w:t xml:space="preserve">adopted by the Prosecutor General </w:t>
      </w:r>
      <w:r w:rsidR="00454190" w:rsidRPr="002547FB">
        <w:rPr>
          <w:rFonts w:ascii="Arial" w:hAnsi="Arial" w:cs="Arial"/>
          <w:sz w:val="24"/>
          <w:szCs w:val="24"/>
        </w:rPr>
        <w:t xml:space="preserve">led the respondents to argue that, the applicant was required in terms of s 59(2) of </w:t>
      </w:r>
      <w:r w:rsidR="004031B4" w:rsidRPr="002547FB">
        <w:rPr>
          <w:rFonts w:ascii="Arial" w:hAnsi="Arial" w:cs="Arial"/>
          <w:sz w:val="24"/>
          <w:szCs w:val="24"/>
        </w:rPr>
        <w:t xml:space="preserve">the Act </w:t>
      </w:r>
      <w:r w:rsidR="00454190" w:rsidRPr="002547FB">
        <w:rPr>
          <w:rFonts w:ascii="Arial" w:hAnsi="Arial" w:cs="Arial"/>
          <w:sz w:val="24"/>
          <w:szCs w:val="24"/>
        </w:rPr>
        <w:t xml:space="preserve">to give notice to the respondents, </w:t>
      </w:r>
      <w:r w:rsidR="00454190" w:rsidRPr="002547FB">
        <w:rPr>
          <w:rFonts w:ascii="Arial" w:hAnsi="Arial" w:cs="Arial"/>
          <w:i/>
          <w:sz w:val="24"/>
          <w:szCs w:val="24"/>
        </w:rPr>
        <w:t xml:space="preserve">in the prescribed </w:t>
      </w:r>
      <w:r w:rsidRPr="002547FB">
        <w:rPr>
          <w:rFonts w:ascii="Arial" w:hAnsi="Arial" w:cs="Arial"/>
          <w:i/>
          <w:sz w:val="24"/>
          <w:szCs w:val="24"/>
        </w:rPr>
        <w:t>manner</w:t>
      </w:r>
      <w:r w:rsidRPr="002547FB">
        <w:rPr>
          <w:rFonts w:ascii="Arial" w:hAnsi="Arial" w:cs="Arial"/>
          <w:sz w:val="24"/>
          <w:szCs w:val="24"/>
        </w:rPr>
        <w:t xml:space="preserve"> of the application under s 59 (1) of</w:t>
      </w:r>
      <w:r w:rsidR="00BC004E" w:rsidRPr="002547FB">
        <w:rPr>
          <w:rFonts w:ascii="Arial" w:hAnsi="Arial" w:cs="Arial"/>
          <w:sz w:val="24"/>
          <w:szCs w:val="24"/>
        </w:rPr>
        <w:t xml:space="preserve"> the Act</w:t>
      </w:r>
      <w:r w:rsidR="004D6F7F" w:rsidRPr="002547FB">
        <w:rPr>
          <w:rFonts w:ascii="Arial" w:hAnsi="Arial" w:cs="Arial"/>
          <w:sz w:val="24"/>
          <w:szCs w:val="24"/>
        </w:rPr>
        <w:t xml:space="preserve">. Mr Namandje, </w:t>
      </w:r>
      <w:r w:rsidRPr="002547FB">
        <w:rPr>
          <w:rFonts w:ascii="Arial" w:hAnsi="Arial" w:cs="Arial"/>
          <w:sz w:val="24"/>
          <w:szCs w:val="24"/>
        </w:rPr>
        <w:t>who appeared on behalf the respondents</w:t>
      </w:r>
      <w:r w:rsidR="004D6F7F" w:rsidRPr="002547FB">
        <w:rPr>
          <w:rFonts w:ascii="Arial" w:hAnsi="Arial" w:cs="Arial"/>
          <w:sz w:val="24"/>
          <w:szCs w:val="24"/>
        </w:rPr>
        <w:t>,</w:t>
      </w:r>
      <w:r w:rsidRPr="002547FB">
        <w:rPr>
          <w:rFonts w:ascii="Arial" w:hAnsi="Arial" w:cs="Arial"/>
          <w:sz w:val="24"/>
          <w:szCs w:val="24"/>
        </w:rPr>
        <w:t xml:space="preserve"> argued that </w:t>
      </w:r>
      <w:r w:rsidR="00A93406">
        <w:rPr>
          <w:rFonts w:ascii="Arial" w:hAnsi="Arial" w:cs="Arial"/>
          <w:sz w:val="24"/>
          <w:szCs w:val="24"/>
          <w:lang w:val="en-US"/>
        </w:rPr>
        <w:t>‘Prescribe’</w:t>
      </w:r>
      <w:r w:rsidRPr="002547FB">
        <w:rPr>
          <w:rFonts w:ascii="Arial" w:hAnsi="Arial" w:cs="Arial"/>
          <w:sz w:val="24"/>
          <w:szCs w:val="24"/>
          <w:lang w:val="en-US"/>
        </w:rPr>
        <w:t xml:space="preserve"> has been defined under s 1 of the Act to mean </w:t>
      </w:r>
      <w:r w:rsidR="006B4C39">
        <w:rPr>
          <w:rFonts w:ascii="Arial" w:hAnsi="Arial" w:cs="Arial"/>
          <w:sz w:val="24"/>
          <w:szCs w:val="24"/>
          <w:lang w:val="en-US"/>
        </w:rPr>
        <w:t>“</w:t>
      </w:r>
      <w:r w:rsidRPr="002547FB">
        <w:rPr>
          <w:rFonts w:ascii="Arial" w:hAnsi="Arial" w:cs="Arial"/>
          <w:sz w:val="24"/>
          <w:szCs w:val="24"/>
          <w:lang w:val="en-US"/>
        </w:rPr>
        <w:t>prescribe by regulations made under s 100</w:t>
      </w:r>
      <w:r w:rsidRPr="002547FB">
        <w:rPr>
          <w:rFonts w:ascii="Arial" w:hAnsi="Arial" w:cs="Arial"/>
          <w:sz w:val="24"/>
          <w:szCs w:val="24"/>
        </w:rPr>
        <w:t xml:space="preserve"> of the Act</w:t>
      </w:r>
      <w:r w:rsidR="004031B4" w:rsidRPr="002547FB">
        <w:rPr>
          <w:rFonts w:ascii="Arial" w:hAnsi="Arial" w:cs="Arial"/>
          <w:sz w:val="24"/>
          <w:szCs w:val="24"/>
        </w:rPr>
        <w:t>”</w:t>
      </w:r>
      <w:r w:rsidR="00C821CF" w:rsidRPr="002547FB">
        <w:rPr>
          <w:rFonts w:ascii="Arial" w:hAnsi="Arial" w:cs="Arial"/>
          <w:sz w:val="24"/>
          <w:szCs w:val="24"/>
        </w:rPr>
        <w:t>.</w:t>
      </w:r>
      <w:r w:rsidRPr="002547FB">
        <w:rPr>
          <w:rFonts w:ascii="Arial" w:hAnsi="Arial" w:cs="Arial"/>
          <w:sz w:val="24"/>
          <w:szCs w:val="24"/>
        </w:rPr>
        <w:t xml:space="preserve"> He continued and submitted that </w:t>
      </w:r>
      <w:r w:rsidR="00350625" w:rsidRPr="002547FB">
        <w:rPr>
          <w:rFonts w:ascii="Arial" w:hAnsi="Arial" w:cs="Arial"/>
          <w:sz w:val="24"/>
          <w:szCs w:val="24"/>
          <w:lang w:val="en-US"/>
        </w:rPr>
        <w:t>in</w:t>
      </w:r>
      <w:r w:rsidR="00A85561" w:rsidRPr="002547FB">
        <w:rPr>
          <w:rFonts w:ascii="Arial" w:eastAsiaTheme="minorHAnsi" w:hAnsi="Arial" w:cs="Arial"/>
          <w:sz w:val="24"/>
          <w:szCs w:val="24"/>
        </w:rPr>
        <w:t xml:space="preserve"> terms of s 59(3) of </w:t>
      </w:r>
      <w:r w:rsidRPr="002547FB">
        <w:rPr>
          <w:rFonts w:ascii="Arial" w:eastAsiaTheme="minorHAnsi" w:hAnsi="Arial" w:cs="Arial"/>
          <w:sz w:val="24"/>
          <w:szCs w:val="24"/>
        </w:rPr>
        <w:t>the Act a</w:t>
      </w:r>
      <w:r w:rsidR="00A85561" w:rsidRPr="002547FB">
        <w:rPr>
          <w:rFonts w:ascii="Arial" w:eastAsiaTheme="minorHAnsi" w:hAnsi="Arial" w:cs="Arial"/>
          <w:sz w:val="24"/>
          <w:szCs w:val="24"/>
        </w:rPr>
        <w:t xml:space="preserve"> notice of </w:t>
      </w:r>
      <w:r w:rsidR="00BC004E" w:rsidRPr="002547FB">
        <w:rPr>
          <w:rFonts w:ascii="Arial" w:eastAsiaTheme="minorHAnsi" w:hAnsi="Arial" w:cs="Arial"/>
          <w:sz w:val="24"/>
          <w:szCs w:val="24"/>
        </w:rPr>
        <w:t xml:space="preserve">the forfeiture </w:t>
      </w:r>
      <w:r w:rsidR="00A85561" w:rsidRPr="002547FB">
        <w:rPr>
          <w:rFonts w:ascii="Arial" w:eastAsiaTheme="minorHAnsi" w:hAnsi="Arial" w:cs="Arial"/>
          <w:sz w:val="24"/>
          <w:szCs w:val="24"/>
        </w:rPr>
        <w:t>application must be delivered at an address indicated by a person who gave notice in terms of s</w:t>
      </w:r>
      <w:r w:rsidRPr="002547FB">
        <w:rPr>
          <w:rFonts w:ascii="Arial" w:eastAsiaTheme="minorHAnsi" w:hAnsi="Arial" w:cs="Arial"/>
          <w:sz w:val="24"/>
          <w:szCs w:val="24"/>
        </w:rPr>
        <w:t xml:space="preserve"> </w:t>
      </w:r>
      <w:r w:rsidR="00A85561" w:rsidRPr="002547FB">
        <w:rPr>
          <w:rFonts w:ascii="Arial" w:eastAsiaTheme="minorHAnsi" w:hAnsi="Arial" w:cs="Arial"/>
          <w:sz w:val="24"/>
          <w:szCs w:val="24"/>
        </w:rPr>
        <w:t xml:space="preserve">52(5).  The respondents </w:t>
      </w:r>
      <w:r w:rsidR="00BC004E" w:rsidRPr="002547FB">
        <w:rPr>
          <w:rFonts w:ascii="Arial" w:eastAsiaTheme="minorHAnsi" w:hAnsi="Arial" w:cs="Arial"/>
          <w:sz w:val="24"/>
          <w:szCs w:val="24"/>
        </w:rPr>
        <w:lastRenderedPageBreak/>
        <w:t xml:space="preserve">indicated </w:t>
      </w:r>
      <w:r w:rsidR="00A85561" w:rsidRPr="002547FB">
        <w:rPr>
          <w:rFonts w:ascii="Arial" w:eastAsiaTheme="minorHAnsi" w:hAnsi="Arial" w:cs="Arial"/>
          <w:sz w:val="24"/>
          <w:szCs w:val="24"/>
        </w:rPr>
        <w:t>their address of service as No. 13 Pasteur Street, Windhoek West, Windhoek</w:t>
      </w:r>
      <w:r w:rsidRPr="002547FB">
        <w:rPr>
          <w:rFonts w:ascii="Arial" w:eastAsiaTheme="minorHAnsi" w:hAnsi="Arial" w:cs="Arial"/>
          <w:sz w:val="24"/>
          <w:szCs w:val="24"/>
        </w:rPr>
        <w:t xml:space="preserve"> but</w:t>
      </w:r>
      <w:r w:rsidR="00AF7F35" w:rsidRPr="002547FB">
        <w:rPr>
          <w:rFonts w:ascii="Arial" w:hAnsi="Arial" w:cs="Arial"/>
          <w:sz w:val="24"/>
          <w:szCs w:val="24"/>
          <w:lang w:val="en-GB"/>
        </w:rPr>
        <w:t xml:space="preserve"> </w:t>
      </w:r>
      <w:r w:rsidR="002457C1" w:rsidRPr="002547FB">
        <w:rPr>
          <w:rFonts w:ascii="Arial" w:hAnsi="Arial" w:cs="Arial"/>
          <w:sz w:val="24"/>
          <w:szCs w:val="24"/>
          <w:lang w:val="en-GB"/>
        </w:rPr>
        <w:t xml:space="preserve">no notice was ever delivered at </w:t>
      </w:r>
      <w:r w:rsidRPr="002547FB">
        <w:rPr>
          <w:rFonts w:ascii="Arial" w:hAnsi="Arial" w:cs="Arial"/>
          <w:sz w:val="24"/>
          <w:szCs w:val="24"/>
          <w:lang w:val="en-GB"/>
        </w:rPr>
        <w:t xml:space="preserve">that </w:t>
      </w:r>
      <w:r w:rsidR="002457C1" w:rsidRPr="002547FB">
        <w:rPr>
          <w:rFonts w:ascii="Arial" w:hAnsi="Arial" w:cs="Arial"/>
          <w:sz w:val="24"/>
          <w:szCs w:val="24"/>
          <w:lang w:val="en-GB"/>
        </w:rPr>
        <w:t>address</w:t>
      </w:r>
      <w:r w:rsidR="00BC004E" w:rsidRPr="002547FB">
        <w:rPr>
          <w:rFonts w:ascii="Arial" w:hAnsi="Arial" w:cs="Arial"/>
          <w:sz w:val="24"/>
          <w:szCs w:val="24"/>
          <w:lang w:val="en-GB"/>
        </w:rPr>
        <w:t>, argued Mr Namandje.</w:t>
      </w:r>
    </w:p>
    <w:p w:rsidR="00E27DCA" w:rsidRPr="002547FB" w:rsidRDefault="00E27DCA" w:rsidP="00E27DCA">
      <w:pPr>
        <w:tabs>
          <w:tab w:val="left" w:pos="851"/>
        </w:tabs>
        <w:spacing w:after="0" w:line="360" w:lineRule="auto"/>
        <w:jc w:val="both"/>
        <w:rPr>
          <w:rFonts w:ascii="Arial" w:hAnsi="Arial" w:cs="Arial"/>
          <w:sz w:val="24"/>
          <w:szCs w:val="24"/>
          <w:lang w:val="en-GB"/>
        </w:rPr>
      </w:pPr>
    </w:p>
    <w:p w:rsidR="00607638" w:rsidRPr="002547FB" w:rsidRDefault="00E27DCA" w:rsidP="00601BC2">
      <w:pPr>
        <w:tabs>
          <w:tab w:val="left" w:pos="851"/>
        </w:tabs>
        <w:spacing w:after="0" w:line="360" w:lineRule="auto"/>
        <w:jc w:val="both"/>
        <w:rPr>
          <w:rFonts w:ascii="Arial" w:hAnsi="Arial" w:cs="Arial"/>
          <w:sz w:val="24"/>
          <w:szCs w:val="24"/>
          <w:lang w:val="en-GB"/>
        </w:rPr>
      </w:pPr>
      <w:r w:rsidRPr="002547FB">
        <w:rPr>
          <w:rFonts w:ascii="Arial" w:hAnsi="Arial" w:cs="Arial"/>
          <w:sz w:val="24"/>
          <w:szCs w:val="24"/>
          <w:lang w:val="en-GB"/>
        </w:rPr>
        <w:t>[15]</w:t>
      </w:r>
      <w:r w:rsidRPr="002547FB">
        <w:rPr>
          <w:rFonts w:ascii="Arial" w:hAnsi="Arial" w:cs="Arial"/>
          <w:sz w:val="24"/>
          <w:szCs w:val="24"/>
          <w:lang w:val="en-GB"/>
        </w:rPr>
        <w:tab/>
        <w:t xml:space="preserve">Mr Namandje further submitted that </w:t>
      </w:r>
      <w:r w:rsidR="002457C1" w:rsidRPr="002547FB">
        <w:rPr>
          <w:rFonts w:ascii="Arial" w:hAnsi="Arial" w:cs="Arial"/>
          <w:sz w:val="24"/>
          <w:szCs w:val="24"/>
          <w:lang w:val="en-GB"/>
        </w:rPr>
        <w:t xml:space="preserve">the Deputy Sheriff </w:t>
      </w:r>
      <w:r w:rsidR="00033DE6" w:rsidRPr="002547FB">
        <w:rPr>
          <w:rFonts w:ascii="Arial" w:hAnsi="Arial" w:cs="Arial"/>
          <w:sz w:val="24"/>
          <w:szCs w:val="24"/>
          <w:lang w:val="en-GB"/>
        </w:rPr>
        <w:t>or a Police officer</w:t>
      </w:r>
      <w:r w:rsidRPr="002547FB">
        <w:rPr>
          <w:rFonts w:ascii="Arial" w:hAnsi="Arial" w:cs="Arial"/>
          <w:sz w:val="24"/>
          <w:szCs w:val="24"/>
          <w:lang w:val="en-GB"/>
        </w:rPr>
        <w:t xml:space="preserve"> contemplated </w:t>
      </w:r>
      <w:r w:rsidR="006722E3" w:rsidRPr="002547FB">
        <w:rPr>
          <w:rFonts w:ascii="Arial" w:hAnsi="Arial" w:cs="Arial"/>
          <w:sz w:val="24"/>
          <w:szCs w:val="24"/>
          <w:lang w:val="en-GB"/>
        </w:rPr>
        <w:t xml:space="preserve">in </w:t>
      </w:r>
      <w:r w:rsidR="00033DE6" w:rsidRPr="002547FB">
        <w:rPr>
          <w:rFonts w:ascii="Arial" w:hAnsi="Arial" w:cs="Arial"/>
          <w:sz w:val="24"/>
          <w:szCs w:val="24"/>
          <w:lang w:val="en-GB"/>
        </w:rPr>
        <w:t>R</w:t>
      </w:r>
      <w:r w:rsidR="006722E3" w:rsidRPr="002547FB">
        <w:rPr>
          <w:rFonts w:ascii="Arial" w:hAnsi="Arial" w:cs="Arial"/>
          <w:sz w:val="24"/>
          <w:szCs w:val="24"/>
          <w:lang w:val="en-GB"/>
        </w:rPr>
        <w:t>ule</w:t>
      </w:r>
      <w:r w:rsidR="00033DE6" w:rsidRPr="002547FB">
        <w:rPr>
          <w:rFonts w:ascii="Arial" w:hAnsi="Arial" w:cs="Arial"/>
          <w:sz w:val="24"/>
          <w:szCs w:val="24"/>
          <w:lang w:val="en-GB"/>
        </w:rPr>
        <w:t xml:space="preserve"> 3 </w:t>
      </w:r>
      <w:r w:rsidR="004031B4" w:rsidRPr="002547FB">
        <w:rPr>
          <w:rFonts w:ascii="Arial" w:hAnsi="Arial" w:cs="Arial"/>
          <w:sz w:val="24"/>
          <w:szCs w:val="24"/>
          <w:lang w:val="en-GB"/>
        </w:rPr>
        <w:t xml:space="preserve">of the Rules of the High Court Regulating Proceedings Contemplated in Chapters 5 and 6 of the </w:t>
      </w:r>
      <w:r w:rsidR="006722E3" w:rsidRPr="002547FB">
        <w:rPr>
          <w:rFonts w:ascii="Arial" w:hAnsi="Arial" w:cs="Arial"/>
          <w:sz w:val="24"/>
          <w:szCs w:val="24"/>
          <w:lang w:val="en-GB"/>
        </w:rPr>
        <w:t xml:space="preserve">Prevention of Organised Crime </w:t>
      </w:r>
      <w:r w:rsidR="004031B4" w:rsidRPr="002547FB">
        <w:rPr>
          <w:rFonts w:ascii="Arial" w:hAnsi="Arial" w:cs="Arial"/>
          <w:sz w:val="24"/>
          <w:szCs w:val="24"/>
          <w:lang w:val="en-GB"/>
        </w:rPr>
        <w:t>Act</w:t>
      </w:r>
      <w:r w:rsidR="004031B4" w:rsidRPr="002547FB">
        <w:rPr>
          <w:rStyle w:val="FootnoteReference"/>
          <w:rFonts w:ascii="Arial" w:hAnsi="Arial" w:cs="Arial"/>
          <w:sz w:val="24"/>
          <w:szCs w:val="24"/>
          <w:lang w:val="en-GB"/>
        </w:rPr>
        <w:footnoteReference w:id="4"/>
      </w:r>
      <w:r w:rsidR="004031B4" w:rsidRPr="002547FB">
        <w:rPr>
          <w:rStyle w:val="FootnoteReference"/>
          <w:rFonts w:ascii="Arial" w:hAnsi="Arial" w:cs="Arial"/>
          <w:sz w:val="24"/>
          <w:szCs w:val="24"/>
          <w:vertAlign w:val="baseline"/>
          <w:lang w:val="en-GB"/>
        </w:rPr>
        <w:t xml:space="preserve"> </w:t>
      </w:r>
      <w:r w:rsidR="002457C1" w:rsidRPr="002547FB">
        <w:rPr>
          <w:rFonts w:ascii="Arial" w:hAnsi="Arial" w:cs="Arial"/>
          <w:sz w:val="24"/>
          <w:szCs w:val="24"/>
          <w:lang w:val="en-GB"/>
        </w:rPr>
        <w:t>did not deliver or serv</w:t>
      </w:r>
      <w:r w:rsidR="00033DE6" w:rsidRPr="002547FB">
        <w:rPr>
          <w:rFonts w:ascii="Arial" w:hAnsi="Arial" w:cs="Arial"/>
          <w:sz w:val="24"/>
          <w:szCs w:val="24"/>
          <w:lang w:val="en-GB"/>
        </w:rPr>
        <w:t>e</w:t>
      </w:r>
      <w:r w:rsidR="002457C1" w:rsidRPr="002547FB">
        <w:rPr>
          <w:rFonts w:ascii="Arial" w:hAnsi="Arial" w:cs="Arial"/>
          <w:sz w:val="24"/>
          <w:szCs w:val="24"/>
          <w:lang w:val="en-GB"/>
        </w:rPr>
        <w:t xml:space="preserve"> the forfeiture application at the nominated address.</w:t>
      </w:r>
      <w:r w:rsidR="00607638" w:rsidRPr="002547FB">
        <w:rPr>
          <w:rFonts w:ascii="Arial" w:hAnsi="Arial" w:cs="Arial"/>
          <w:sz w:val="24"/>
          <w:szCs w:val="24"/>
          <w:lang w:val="en-GB"/>
        </w:rPr>
        <w:t xml:space="preserve">  It therefore follows that the purported forfeiture application being heard is a complete nullity for want of proper delivery and service of the notice of application</w:t>
      </w:r>
      <w:r w:rsidR="006722E3" w:rsidRPr="002547FB">
        <w:rPr>
          <w:rFonts w:ascii="Arial" w:hAnsi="Arial" w:cs="Arial"/>
          <w:sz w:val="24"/>
          <w:szCs w:val="24"/>
          <w:lang w:val="en-GB"/>
        </w:rPr>
        <w:t>, argued Mr Namandje</w:t>
      </w:r>
      <w:r w:rsidR="00607638" w:rsidRPr="002547FB">
        <w:rPr>
          <w:rFonts w:ascii="Arial" w:hAnsi="Arial" w:cs="Arial"/>
          <w:sz w:val="24"/>
          <w:szCs w:val="24"/>
          <w:lang w:val="en-GB"/>
        </w:rPr>
        <w:t>.</w:t>
      </w:r>
    </w:p>
    <w:p w:rsidR="006C7EEF" w:rsidRPr="002547FB" w:rsidRDefault="006C7EEF" w:rsidP="00601BC2">
      <w:pPr>
        <w:tabs>
          <w:tab w:val="left" w:pos="851"/>
        </w:tabs>
        <w:spacing w:after="0" w:line="360" w:lineRule="auto"/>
        <w:jc w:val="both"/>
        <w:rPr>
          <w:rFonts w:ascii="Arial" w:hAnsi="Arial" w:cs="Arial"/>
          <w:sz w:val="24"/>
          <w:szCs w:val="24"/>
          <w:lang w:val="en-GB"/>
        </w:rPr>
      </w:pPr>
    </w:p>
    <w:p w:rsidR="00CD7B7E" w:rsidRPr="002547FB" w:rsidRDefault="006C7EEF" w:rsidP="00C646C5">
      <w:pPr>
        <w:tabs>
          <w:tab w:val="left" w:pos="851"/>
        </w:tabs>
        <w:spacing w:after="0" w:line="360" w:lineRule="auto"/>
        <w:jc w:val="both"/>
        <w:rPr>
          <w:rFonts w:ascii="Arial" w:hAnsi="Arial" w:cs="Arial"/>
          <w:sz w:val="24"/>
          <w:szCs w:val="24"/>
          <w:lang w:val="en-GB"/>
        </w:rPr>
      </w:pPr>
      <w:r w:rsidRPr="002547FB">
        <w:rPr>
          <w:rFonts w:ascii="Arial" w:hAnsi="Arial" w:cs="Arial"/>
          <w:sz w:val="24"/>
          <w:szCs w:val="24"/>
          <w:lang w:val="en-GB"/>
        </w:rPr>
        <w:t>[</w:t>
      </w:r>
      <w:r w:rsidR="00724404" w:rsidRPr="002547FB">
        <w:rPr>
          <w:rFonts w:ascii="Arial" w:hAnsi="Arial" w:cs="Arial"/>
          <w:sz w:val="24"/>
          <w:szCs w:val="24"/>
          <w:lang w:val="en-GB"/>
        </w:rPr>
        <w:t>1</w:t>
      </w:r>
      <w:r w:rsidR="00C646C5" w:rsidRPr="002547FB">
        <w:rPr>
          <w:rFonts w:ascii="Arial" w:hAnsi="Arial" w:cs="Arial"/>
          <w:sz w:val="24"/>
          <w:szCs w:val="24"/>
          <w:lang w:val="en-GB"/>
        </w:rPr>
        <w:t>6</w:t>
      </w:r>
      <w:r w:rsidRPr="002547FB">
        <w:rPr>
          <w:rFonts w:ascii="Arial" w:hAnsi="Arial" w:cs="Arial"/>
          <w:sz w:val="24"/>
          <w:szCs w:val="24"/>
          <w:lang w:val="en-GB"/>
        </w:rPr>
        <w:t>]</w:t>
      </w:r>
      <w:r w:rsidRPr="002547FB">
        <w:rPr>
          <w:rFonts w:ascii="Arial" w:hAnsi="Arial" w:cs="Arial"/>
          <w:sz w:val="24"/>
          <w:szCs w:val="24"/>
          <w:lang w:val="en-GB"/>
        </w:rPr>
        <w:tab/>
      </w:r>
      <w:r w:rsidR="00C646C5" w:rsidRPr="002547FB">
        <w:rPr>
          <w:rFonts w:ascii="Arial" w:hAnsi="Arial" w:cs="Arial"/>
          <w:sz w:val="24"/>
          <w:szCs w:val="24"/>
          <w:lang w:val="en-GB"/>
        </w:rPr>
        <w:t>Ms Boonzaier, who appeared for the Prosecutor General argued that the purpose s 59(2) is to ensure that person</w:t>
      </w:r>
      <w:r w:rsidR="00384B2C" w:rsidRPr="002547FB">
        <w:rPr>
          <w:rFonts w:ascii="Arial" w:hAnsi="Arial" w:cs="Arial"/>
          <w:sz w:val="24"/>
          <w:szCs w:val="24"/>
          <w:lang w:val="en-GB"/>
        </w:rPr>
        <w:t>s</w:t>
      </w:r>
      <w:r w:rsidR="00C646C5" w:rsidRPr="002547FB">
        <w:rPr>
          <w:rFonts w:ascii="Arial" w:hAnsi="Arial" w:cs="Arial"/>
          <w:sz w:val="24"/>
          <w:szCs w:val="24"/>
          <w:lang w:val="en-GB"/>
        </w:rPr>
        <w:t xml:space="preserve"> like the first and second respondents should receive proper notice of applications for forfeiture and that this has clearly happened in this case. She further argued that the respondents were not prejudiced by the service at the law society’s office and thus prayed that the point </w:t>
      </w:r>
      <w:r w:rsidR="00C646C5" w:rsidRPr="002547FB">
        <w:rPr>
          <w:rFonts w:ascii="Arial" w:hAnsi="Arial" w:cs="Arial"/>
          <w:i/>
          <w:sz w:val="24"/>
          <w:szCs w:val="24"/>
          <w:lang w:val="en-GB"/>
        </w:rPr>
        <w:t>in limine</w:t>
      </w:r>
      <w:r w:rsidR="00C646C5" w:rsidRPr="002547FB">
        <w:rPr>
          <w:rFonts w:ascii="Arial" w:hAnsi="Arial" w:cs="Arial"/>
          <w:sz w:val="24"/>
          <w:szCs w:val="24"/>
          <w:lang w:val="en-GB"/>
        </w:rPr>
        <w:t xml:space="preserve"> be dismissed with costs.</w:t>
      </w:r>
    </w:p>
    <w:p w:rsidR="00C646C5" w:rsidRPr="002547FB" w:rsidRDefault="00C646C5" w:rsidP="00C646C5">
      <w:pPr>
        <w:tabs>
          <w:tab w:val="left" w:pos="851"/>
        </w:tabs>
        <w:spacing w:after="0" w:line="360" w:lineRule="auto"/>
        <w:jc w:val="both"/>
        <w:rPr>
          <w:rFonts w:ascii="Arial" w:hAnsi="Arial" w:cs="Arial"/>
          <w:sz w:val="24"/>
          <w:szCs w:val="24"/>
        </w:rPr>
      </w:pPr>
    </w:p>
    <w:p w:rsidR="00B43694" w:rsidRPr="002547FB" w:rsidRDefault="00CD7B7E" w:rsidP="00B43694">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C646C5" w:rsidRPr="002547FB">
        <w:rPr>
          <w:rFonts w:ascii="Arial" w:hAnsi="Arial" w:cs="Arial"/>
          <w:sz w:val="24"/>
          <w:szCs w:val="24"/>
        </w:rPr>
        <w:t>17]</w:t>
      </w:r>
      <w:r w:rsidR="00C646C5" w:rsidRPr="002547FB">
        <w:rPr>
          <w:rFonts w:ascii="Arial" w:hAnsi="Arial" w:cs="Arial"/>
          <w:sz w:val="24"/>
          <w:szCs w:val="24"/>
        </w:rPr>
        <w:tab/>
        <w:t xml:space="preserve">I first pause to make some general comments. </w:t>
      </w:r>
      <w:r w:rsidR="0012363E" w:rsidRPr="002547FB">
        <w:rPr>
          <w:rFonts w:ascii="Arial" w:hAnsi="Arial" w:cs="Arial"/>
          <w:sz w:val="24"/>
          <w:szCs w:val="24"/>
        </w:rPr>
        <w:t>There is no doubt that the provisions, purpose and scope of POCA are by and large stringent and invasive</w:t>
      </w:r>
      <w:r w:rsidR="00384B2C" w:rsidRPr="002547FB">
        <w:rPr>
          <w:rFonts w:ascii="Arial" w:hAnsi="Arial" w:cs="Arial"/>
          <w:sz w:val="24"/>
          <w:szCs w:val="24"/>
        </w:rPr>
        <w:t xml:space="preserve"> of </w:t>
      </w:r>
      <w:r w:rsidR="00252311" w:rsidRPr="002547FB">
        <w:rPr>
          <w:rFonts w:ascii="Arial" w:hAnsi="Arial" w:cs="Arial"/>
          <w:sz w:val="24"/>
          <w:szCs w:val="24"/>
        </w:rPr>
        <w:t xml:space="preserve">the rights of </w:t>
      </w:r>
      <w:r w:rsidR="00384B2C" w:rsidRPr="002547FB">
        <w:rPr>
          <w:rFonts w:ascii="Arial" w:hAnsi="Arial" w:cs="Arial"/>
          <w:sz w:val="24"/>
          <w:szCs w:val="24"/>
        </w:rPr>
        <w:t>persons subject thereto</w:t>
      </w:r>
      <w:r w:rsidR="0012363E" w:rsidRPr="002547FB">
        <w:rPr>
          <w:rFonts w:ascii="Arial" w:hAnsi="Arial" w:cs="Arial"/>
          <w:sz w:val="24"/>
          <w:szCs w:val="24"/>
        </w:rPr>
        <w:t xml:space="preserve">. </w:t>
      </w:r>
      <w:r w:rsidR="00753933" w:rsidRPr="002547FB">
        <w:rPr>
          <w:rFonts w:ascii="Arial" w:hAnsi="Arial" w:cs="Arial"/>
          <w:sz w:val="24"/>
          <w:szCs w:val="24"/>
        </w:rPr>
        <w:t xml:space="preserve">In the matter of </w:t>
      </w:r>
      <w:r w:rsidR="00753933" w:rsidRPr="002547FB">
        <w:rPr>
          <w:rFonts w:ascii="Arial" w:hAnsi="Arial" w:cs="Arial"/>
          <w:i/>
          <w:sz w:val="24"/>
          <w:szCs w:val="24"/>
        </w:rPr>
        <w:t>Lameck and Another v President of the Republic of Namibia and Others</w:t>
      </w:r>
      <w:r w:rsidR="00753933" w:rsidRPr="002547FB">
        <w:rPr>
          <w:rStyle w:val="FootnoteReference"/>
          <w:rFonts w:ascii="Arial" w:hAnsi="Arial" w:cs="Arial"/>
          <w:i/>
          <w:sz w:val="24"/>
          <w:szCs w:val="24"/>
        </w:rPr>
        <w:footnoteReference w:id="5"/>
      </w:r>
      <w:r w:rsidR="00384B2C" w:rsidRPr="002547FB">
        <w:rPr>
          <w:rFonts w:ascii="Arial" w:hAnsi="Arial" w:cs="Arial"/>
          <w:i/>
          <w:sz w:val="24"/>
          <w:szCs w:val="24"/>
        </w:rPr>
        <w:t>,</w:t>
      </w:r>
      <w:r w:rsidR="00753933" w:rsidRPr="002547FB">
        <w:rPr>
          <w:rFonts w:ascii="Arial" w:hAnsi="Arial" w:cs="Arial"/>
          <w:sz w:val="24"/>
          <w:szCs w:val="24"/>
        </w:rPr>
        <w:t xml:space="preserve"> t</w:t>
      </w:r>
      <w:r w:rsidR="00384B2C" w:rsidRPr="002547FB">
        <w:rPr>
          <w:rFonts w:ascii="Arial" w:hAnsi="Arial" w:cs="Arial"/>
          <w:sz w:val="24"/>
          <w:szCs w:val="24"/>
        </w:rPr>
        <w:t>his Court recognised the need for</w:t>
      </w:r>
      <w:r w:rsidR="00753933" w:rsidRPr="002547FB">
        <w:rPr>
          <w:rFonts w:ascii="Arial" w:hAnsi="Arial" w:cs="Arial"/>
          <w:sz w:val="24"/>
          <w:szCs w:val="24"/>
        </w:rPr>
        <w:t xml:space="preserve"> the POCA legislation. In that case the full bench of this Court remarked that the restrictions and prohibitions with regard to the pr</w:t>
      </w:r>
      <w:r w:rsidR="00B43694" w:rsidRPr="002547FB">
        <w:rPr>
          <w:rFonts w:ascii="Arial" w:hAnsi="Arial" w:cs="Arial"/>
          <w:sz w:val="24"/>
          <w:szCs w:val="24"/>
        </w:rPr>
        <w:t>oceeds of unlawful activit</w:t>
      </w:r>
      <w:r w:rsidR="008474A7" w:rsidRPr="002547FB">
        <w:rPr>
          <w:rFonts w:ascii="Arial" w:hAnsi="Arial" w:cs="Arial"/>
          <w:sz w:val="24"/>
          <w:szCs w:val="24"/>
        </w:rPr>
        <w:t xml:space="preserve">ies </w:t>
      </w:r>
      <w:r w:rsidR="00B43694" w:rsidRPr="002547FB">
        <w:rPr>
          <w:rFonts w:ascii="Arial" w:hAnsi="Arial" w:cs="Arial"/>
          <w:sz w:val="24"/>
          <w:szCs w:val="24"/>
        </w:rPr>
        <w:t>are</w:t>
      </w:r>
      <w:r w:rsidR="00753933" w:rsidRPr="002547FB">
        <w:rPr>
          <w:rFonts w:ascii="Arial" w:hAnsi="Arial" w:cs="Arial"/>
          <w:sz w:val="24"/>
          <w:szCs w:val="24"/>
        </w:rPr>
        <w:t xml:space="preserve"> eminently reasonable </w:t>
      </w:r>
      <w:r w:rsidR="00B43694" w:rsidRPr="002547FB">
        <w:rPr>
          <w:rFonts w:ascii="Arial" w:hAnsi="Arial" w:cs="Arial"/>
          <w:sz w:val="24"/>
          <w:szCs w:val="24"/>
        </w:rPr>
        <w:t xml:space="preserve">and are </w:t>
      </w:r>
      <w:r w:rsidR="00753933" w:rsidRPr="002547FB">
        <w:rPr>
          <w:rFonts w:ascii="Arial" w:hAnsi="Arial" w:cs="Arial"/>
          <w:sz w:val="24"/>
          <w:szCs w:val="24"/>
        </w:rPr>
        <w:t xml:space="preserve">also in the public interest and serve a legitimate object. </w:t>
      </w:r>
      <w:r w:rsidR="00B43694" w:rsidRPr="002547FB">
        <w:rPr>
          <w:rFonts w:ascii="Arial" w:hAnsi="Arial" w:cs="Arial"/>
          <w:sz w:val="24"/>
          <w:szCs w:val="24"/>
        </w:rPr>
        <w:t xml:space="preserve">Quoting from the South African Constitutional Court pronouncement in the case of </w:t>
      </w:r>
      <w:r w:rsidR="00B43694" w:rsidRPr="002547FB">
        <w:rPr>
          <w:rFonts w:ascii="Arial" w:hAnsi="Arial" w:cs="Arial"/>
          <w:i/>
          <w:sz w:val="24"/>
          <w:szCs w:val="24"/>
        </w:rPr>
        <w:t>National Director of Public Prosecutions v Mohamed NO</w:t>
      </w:r>
      <w:r w:rsidR="00B43694" w:rsidRPr="002547FB">
        <w:rPr>
          <w:rStyle w:val="FootnoteReference"/>
          <w:rFonts w:ascii="Arial" w:hAnsi="Arial" w:cs="Arial"/>
          <w:i/>
          <w:sz w:val="24"/>
          <w:szCs w:val="24"/>
        </w:rPr>
        <w:footnoteReference w:id="6"/>
      </w:r>
      <w:r w:rsidR="00B43694" w:rsidRPr="002547FB">
        <w:rPr>
          <w:rFonts w:ascii="Arial" w:hAnsi="Arial" w:cs="Arial"/>
          <w:sz w:val="24"/>
          <w:szCs w:val="24"/>
        </w:rPr>
        <w:t xml:space="preserve"> </w:t>
      </w:r>
      <w:r w:rsidR="000B04E7" w:rsidRPr="002547FB">
        <w:rPr>
          <w:rFonts w:ascii="Arial" w:hAnsi="Arial" w:cs="Arial"/>
          <w:sz w:val="24"/>
          <w:szCs w:val="24"/>
        </w:rPr>
        <w:t xml:space="preserve">this Court </w:t>
      </w:r>
      <w:r w:rsidR="00B43694" w:rsidRPr="002547FB">
        <w:rPr>
          <w:rFonts w:ascii="Arial" w:hAnsi="Arial" w:cs="Arial"/>
          <w:sz w:val="24"/>
          <w:szCs w:val="24"/>
        </w:rPr>
        <w:t>set out the purpose of POCA legislation as follows:</w:t>
      </w:r>
    </w:p>
    <w:p w:rsidR="00B43694" w:rsidRPr="002547FB" w:rsidRDefault="00B43694" w:rsidP="00B43694">
      <w:pPr>
        <w:tabs>
          <w:tab w:val="left" w:pos="720"/>
        </w:tabs>
        <w:spacing w:after="0" w:line="360" w:lineRule="auto"/>
        <w:ind w:firstLine="720"/>
        <w:jc w:val="both"/>
        <w:rPr>
          <w:rFonts w:ascii="Arial" w:hAnsi="Arial" w:cs="Arial"/>
        </w:rPr>
      </w:pPr>
    </w:p>
    <w:p w:rsidR="00B43694" w:rsidRPr="002547FB" w:rsidRDefault="00753933" w:rsidP="00B43694">
      <w:pPr>
        <w:spacing w:after="0" w:line="360" w:lineRule="auto"/>
        <w:ind w:firstLine="720"/>
        <w:jc w:val="both"/>
        <w:rPr>
          <w:rFonts w:ascii="Arial" w:hAnsi="Arial" w:cs="Arial"/>
        </w:rPr>
      </w:pPr>
      <w:r w:rsidRPr="002547FB">
        <w:rPr>
          <w:rFonts w:ascii="Arial" w:hAnsi="Arial" w:cs="Arial"/>
        </w:rPr>
        <w:t xml:space="preserve">'The Act's overall purpose can be gathered from its long title and preamble and summarised as follows: The rapid growth of organised crime, money laundering, criminal </w:t>
      </w:r>
      <w:r w:rsidRPr="002547FB">
        <w:rPr>
          <w:rFonts w:ascii="Arial" w:hAnsi="Arial" w:cs="Arial"/>
        </w:rPr>
        <w:lastRenderedPageBreak/>
        <w:t>gang activities and racketeering</w:t>
      </w:r>
      <w:r w:rsidR="00B43694" w:rsidRPr="002547FB">
        <w:rPr>
          <w:rFonts w:ascii="Arial" w:hAnsi="Arial" w:cs="Arial"/>
        </w:rPr>
        <w:t xml:space="preserve"> </w:t>
      </w:r>
      <w:r w:rsidRPr="002547FB">
        <w:rPr>
          <w:rFonts w:ascii="Arial" w:hAnsi="Arial" w:cs="Arial"/>
        </w:rPr>
        <w:t xml:space="preserve">threatens the rights of all in the Republic, presents a danger to public order, safety and stability, and threatens economic stability. This is also a serious international problem and has been identified as an international security threat. South African common and statutory law fail to deal adequately with this problem because of its rapid escalation and because it is often impossible to bring the </w:t>
      </w:r>
      <w:r w:rsidR="00B43694" w:rsidRPr="002547FB">
        <w:rPr>
          <w:rFonts w:ascii="Arial" w:hAnsi="Arial" w:cs="Arial"/>
        </w:rPr>
        <w:t xml:space="preserve">leaders of organised crime to </w:t>
      </w:r>
      <w:r w:rsidRPr="002547FB">
        <w:rPr>
          <w:rFonts w:ascii="Arial" w:hAnsi="Arial" w:cs="Arial"/>
        </w:rPr>
        <w:t>book, in view of the fact that they invariably ensure that they are far removed from the overt criminal activity involved. The law has also failed to keep pace with international measures aimed at dealing effectively with organised crime, money laundering and criminal gang activities. Hence the need for the measures embodied in the Act</w:t>
      </w:r>
      <w:r w:rsidR="00D1654F" w:rsidRPr="002547FB">
        <w:rPr>
          <w:rFonts w:ascii="Arial" w:hAnsi="Arial" w:cs="Arial"/>
        </w:rPr>
        <w:t>’</w:t>
      </w:r>
      <w:r w:rsidRPr="002547FB">
        <w:rPr>
          <w:rFonts w:ascii="Arial" w:hAnsi="Arial" w:cs="Arial"/>
        </w:rPr>
        <w:t>.</w:t>
      </w:r>
      <w:r w:rsidR="00B43694" w:rsidRPr="002547FB">
        <w:rPr>
          <w:rFonts w:ascii="Arial" w:hAnsi="Arial" w:cs="Arial"/>
        </w:rPr>
        <w:t xml:space="preserve"> </w:t>
      </w:r>
    </w:p>
    <w:p w:rsidR="000B04E7" w:rsidRPr="002547FB" w:rsidRDefault="000B04E7" w:rsidP="00B43694">
      <w:pPr>
        <w:spacing w:after="0" w:line="360" w:lineRule="auto"/>
        <w:ind w:firstLine="720"/>
        <w:jc w:val="both"/>
        <w:rPr>
          <w:rFonts w:ascii="Arial" w:hAnsi="Arial" w:cs="Arial"/>
          <w:sz w:val="24"/>
          <w:szCs w:val="24"/>
        </w:rPr>
      </w:pPr>
    </w:p>
    <w:p w:rsidR="00AD48D5" w:rsidRPr="002547FB" w:rsidRDefault="00B43694" w:rsidP="0012363E">
      <w:pPr>
        <w:tabs>
          <w:tab w:val="left" w:pos="851"/>
        </w:tabs>
        <w:spacing w:after="0" w:line="360" w:lineRule="auto"/>
        <w:jc w:val="both"/>
        <w:rPr>
          <w:rFonts w:ascii="Arial" w:hAnsi="Arial" w:cs="Arial"/>
          <w:sz w:val="24"/>
          <w:szCs w:val="24"/>
        </w:rPr>
      </w:pPr>
      <w:r w:rsidRPr="002547FB">
        <w:rPr>
          <w:rFonts w:ascii="Arial" w:hAnsi="Arial" w:cs="Arial"/>
          <w:sz w:val="24"/>
          <w:szCs w:val="24"/>
        </w:rPr>
        <w:t>[18]</w:t>
      </w:r>
      <w:r w:rsidRPr="002547FB">
        <w:rPr>
          <w:rFonts w:ascii="Arial" w:hAnsi="Arial" w:cs="Arial"/>
          <w:sz w:val="24"/>
          <w:szCs w:val="24"/>
        </w:rPr>
        <w:tab/>
        <w:t xml:space="preserve">There is equally no doubt that </w:t>
      </w:r>
      <w:r w:rsidR="0012363E" w:rsidRPr="002547FB">
        <w:rPr>
          <w:rFonts w:ascii="Arial" w:hAnsi="Arial" w:cs="Arial"/>
          <w:sz w:val="24"/>
          <w:szCs w:val="24"/>
        </w:rPr>
        <w:t>the level of criminal activity is a relevant and important factor in the limitations exer</w:t>
      </w:r>
      <w:r w:rsidR="00AD48D5" w:rsidRPr="002547FB">
        <w:rPr>
          <w:rFonts w:ascii="Arial" w:hAnsi="Arial" w:cs="Arial"/>
          <w:sz w:val="24"/>
          <w:szCs w:val="24"/>
        </w:rPr>
        <w:t>cise undertaken</w:t>
      </w:r>
      <w:r w:rsidR="00384B2C" w:rsidRPr="002547FB">
        <w:rPr>
          <w:rFonts w:ascii="Arial" w:hAnsi="Arial" w:cs="Arial"/>
          <w:sz w:val="24"/>
          <w:szCs w:val="24"/>
        </w:rPr>
        <w:t xml:space="preserve"> under chapter five and six</w:t>
      </w:r>
      <w:r w:rsidR="00AD48D5" w:rsidRPr="002547FB">
        <w:rPr>
          <w:rFonts w:ascii="Arial" w:hAnsi="Arial" w:cs="Arial"/>
          <w:sz w:val="24"/>
          <w:szCs w:val="24"/>
        </w:rPr>
        <w:t xml:space="preserve"> of the Act</w:t>
      </w:r>
      <w:r w:rsidR="0012363E" w:rsidRPr="002547FB">
        <w:rPr>
          <w:rFonts w:ascii="Arial" w:hAnsi="Arial" w:cs="Arial"/>
          <w:sz w:val="24"/>
          <w:szCs w:val="24"/>
        </w:rPr>
        <w:t xml:space="preserve">, </w:t>
      </w:r>
      <w:r w:rsidR="005E6B83" w:rsidRPr="002547FB">
        <w:rPr>
          <w:rFonts w:ascii="Arial" w:hAnsi="Arial" w:cs="Arial"/>
          <w:sz w:val="24"/>
          <w:szCs w:val="24"/>
        </w:rPr>
        <w:t xml:space="preserve">but </w:t>
      </w:r>
      <w:r w:rsidR="0012363E" w:rsidRPr="002547FB">
        <w:rPr>
          <w:rFonts w:ascii="Arial" w:hAnsi="Arial" w:cs="Arial"/>
          <w:sz w:val="24"/>
          <w:szCs w:val="24"/>
        </w:rPr>
        <w:t xml:space="preserve">it is not the only factor relevant to that exercise. One must be careful to ensure that the alarming level of crime is not used to justify extensive and inappropriate invasions of individual rights. </w:t>
      </w:r>
    </w:p>
    <w:p w:rsidR="00AD48D5" w:rsidRPr="002547FB" w:rsidRDefault="00AD48D5" w:rsidP="0012363E">
      <w:pPr>
        <w:tabs>
          <w:tab w:val="left" w:pos="851"/>
        </w:tabs>
        <w:spacing w:after="0" w:line="360" w:lineRule="auto"/>
        <w:jc w:val="both"/>
        <w:rPr>
          <w:rFonts w:ascii="Arial" w:hAnsi="Arial" w:cs="Arial"/>
          <w:sz w:val="24"/>
          <w:szCs w:val="24"/>
        </w:rPr>
      </w:pPr>
    </w:p>
    <w:p w:rsidR="008474A7" w:rsidRPr="002547FB" w:rsidRDefault="0012363E" w:rsidP="001C681C">
      <w:pPr>
        <w:pStyle w:val="Heading1"/>
        <w:numPr>
          <w:ilvl w:val="0"/>
          <w:numId w:val="0"/>
        </w:numPr>
      </w:pPr>
      <w:r w:rsidRPr="002547FB">
        <w:t>[1</w:t>
      </w:r>
      <w:r w:rsidR="00AD48D5" w:rsidRPr="002547FB">
        <w:t>9</w:t>
      </w:r>
      <w:r w:rsidRPr="002547FB">
        <w:t>]</w:t>
      </w:r>
      <w:r w:rsidR="00AD48D5" w:rsidRPr="002547FB">
        <w:tab/>
      </w:r>
      <w:r w:rsidRPr="002547FB">
        <w:t xml:space="preserve">From the above legal principles it is more than plain that the rather stringent and peremptory provisions of POCA ought not to be liberally interpreted. </w:t>
      </w:r>
      <w:r w:rsidR="00350D4E" w:rsidRPr="002547FB">
        <w:t xml:space="preserve">Strict </w:t>
      </w:r>
      <w:r w:rsidR="00AD48D5" w:rsidRPr="002547FB">
        <w:t xml:space="preserve">compliance </w:t>
      </w:r>
      <w:r w:rsidR="00384B2C" w:rsidRPr="002547FB">
        <w:t>with the provision of Chapters five</w:t>
      </w:r>
      <w:r w:rsidR="00AD48D5" w:rsidRPr="002547FB">
        <w:t xml:space="preserve"> and </w:t>
      </w:r>
      <w:r w:rsidR="00384B2C" w:rsidRPr="002547FB">
        <w:t>six</w:t>
      </w:r>
      <w:r w:rsidR="00AD48D5" w:rsidRPr="002547FB">
        <w:t xml:space="preserve"> of POCA </w:t>
      </w:r>
      <w:r w:rsidR="00350D4E" w:rsidRPr="002547FB">
        <w:t xml:space="preserve">is called for in the circumstances, particularly bearing in mind the scope and purpose of </w:t>
      </w:r>
      <w:r w:rsidR="00AD48D5" w:rsidRPr="002547FB">
        <w:t>that Act.</w:t>
      </w:r>
      <w:r w:rsidR="00350D4E" w:rsidRPr="002547FB">
        <w:t xml:space="preserve"> For example, s</w:t>
      </w:r>
      <w:r w:rsidR="001C681C" w:rsidRPr="002547FB">
        <w:t>s 52(1), (2), 53(30) and 59(1), (2) and (3</w:t>
      </w:r>
      <w:r w:rsidR="0020443E" w:rsidRPr="002547FB">
        <w:t xml:space="preserve">) </w:t>
      </w:r>
      <w:r w:rsidR="008474A7" w:rsidRPr="002547FB">
        <w:t xml:space="preserve">relating to </w:t>
      </w:r>
      <w:r w:rsidR="0020443E" w:rsidRPr="002547FB">
        <w:t>the</w:t>
      </w:r>
      <w:r w:rsidR="00350D4E" w:rsidRPr="002547FB">
        <w:t xml:space="preserve"> manner of service of the notice</w:t>
      </w:r>
      <w:r w:rsidR="008474A7" w:rsidRPr="002547FB">
        <w:t>s in terms of those sections</w:t>
      </w:r>
      <w:r w:rsidR="00350D4E" w:rsidRPr="002547FB">
        <w:t>; the manner of the delivery of an appearance to defend; and what particularity the appearance to defend should contain, all use the word '</w:t>
      </w:r>
      <w:r w:rsidR="008474A7" w:rsidRPr="002547FB">
        <w:t>must</w:t>
      </w:r>
      <w:r w:rsidR="00350D4E" w:rsidRPr="002547FB">
        <w:t>'</w:t>
      </w:r>
      <w:r w:rsidR="0020443E" w:rsidRPr="002547FB">
        <w:t>.</w:t>
      </w:r>
    </w:p>
    <w:p w:rsidR="008474A7" w:rsidRPr="002547FB" w:rsidRDefault="008474A7" w:rsidP="001C681C">
      <w:pPr>
        <w:pStyle w:val="Heading1"/>
        <w:numPr>
          <w:ilvl w:val="0"/>
          <w:numId w:val="0"/>
        </w:numPr>
      </w:pPr>
    </w:p>
    <w:p w:rsidR="00350D4E" w:rsidRPr="002547FB" w:rsidRDefault="008474A7" w:rsidP="001C681C">
      <w:pPr>
        <w:pStyle w:val="Heading1"/>
        <w:numPr>
          <w:ilvl w:val="0"/>
          <w:numId w:val="0"/>
        </w:numPr>
      </w:pPr>
      <w:r w:rsidRPr="002547FB">
        <w:t>[20]</w:t>
      </w:r>
      <w:r w:rsidRPr="002547FB">
        <w:tab/>
      </w:r>
      <w:r w:rsidR="00350D4E" w:rsidRPr="002547FB">
        <w:t xml:space="preserve">In the </w:t>
      </w:r>
      <w:r w:rsidR="001C681C" w:rsidRPr="002547FB">
        <w:t>Oxford Advanced Learners</w:t>
      </w:r>
      <w:r w:rsidR="00350D4E" w:rsidRPr="002547FB">
        <w:t xml:space="preserve"> Dictionary </w:t>
      </w:r>
      <w:r w:rsidR="001C681C" w:rsidRPr="002547FB">
        <w:t>8</w:t>
      </w:r>
      <w:r w:rsidR="001C681C" w:rsidRPr="002547FB">
        <w:rPr>
          <w:vertAlign w:val="superscript"/>
        </w:rPr>
        <w:t>th</w:t>
      </w:r>
      <w:r w:rsidR="001C681C" w:rsidRPr="002547FB">
        <w:t xml:space="preserve"> </w:t>
      </w:r>
      <w:r w:rsidR="00350D4E" w:rsidRPr="002547FB">
        <w:t xml:space="preserve">ed, </w:t>
      </w:r>
      <w:r w:rsidR="001C681C" w:rsidRPr="002547FB">
        <w:t>the word</w:t>
      </w:r>
      <w:r w:rsidR="00350D4E" w:rsidRPr="002547FB">
        <w:t xml:space="preserve"> '</w:t>
      </w:r>
      <w:r w:rsidR="001C681C" w:rsidRPr="002547FB">
        <w:t>must</w:t>
      </w:r>
      <w:r w:rsidR="00350D4E" w:rsidRPr="002547FB">
        <w:t>' is defined a</w:t>
      </w:r>
      <w:r w:rsidR="001C681C" w:rsidRPr="002547FB">
        <w:t xml:space="preserve">s </w:t>
      </w:r>
      <w:r w:rsidR="00350D4E" w:rsidRPr="002547FB">
        <w:t xml:space="preserve">expressing </w:t>
      </w:r>
      <w:r w:rsidR="001C681C" w:rsidRPr="002547FB">
        <w:t xml:space="preserve">“Necessity or Obligation” it says ‘must </w:t>
      </w:r>
      <w:r w:rsidR="00242C69">
        <w:t>. . . i</w:t>
      </w:r>
      <w:r w:rsidR="001C681C" w:rsidRPr="002547FB">
        <w:t>s used in the present to say that something is necessary or should be done.’</w:t>
      </w:r>
      <w:r w:rsidR="00350D4E" w:rsidRPr="002547FB">
        <w:t xml:space="preserve"> </w:t>
      </w:r>
      <w:r w:rsidR="001C681C" w:rsidRPr="002547FB">
        <w:t xml:space="preserve"> </w:t>
      </w:r>
      <w:r w:rsidR="00350D4E" w:rsidRPr="002547FB">
        <w:t>All of the above suggest convincingly that</w:t>
      </w:r>
      <w:r w:rsidR="0020443E" w:rsidRPr="002547FB">
        <w:t xml:space="preserve"> </w:t>
      </w:r>
      <w:r w:rsidRPr="002547FB">
        <w:t>ss 52(1), (2), 53(30) and 59(1), (2) and (3)</w:t>
      </w:r>
      <w:r w:rsidR="0020443E" w:rsidRPr="002547FB">
        <w:t>,</w:t>
      </w:r>
      <w:r w:rsidR="00350D4E" w:rsidRPr="002547FB">
        <w:t xml:space="preserve"> are peremptory in nature. Each case must, of course, be decided on its own merits.</w:t>
      </w:r>
    </w:p>
    <w:p w:rsidR="00700FDA" w:rsidRPr="002547FB" w:rsidRDefault="00700FDA" w:rsidP="00700FDA">
      <w:pPr>
        <w:rPr>
          <w:rFonts w:ascii="Arial" w:hAnsi="Arial" w:cs="Arial"/>
          <w:lang w:val="en-GB"/>
        </w:rPr>
      </w:pPr>
    </w:p>
    <w:p w:rsidR="00520D1A" w:rsidRPr="002547FB" w:rsidRDefault="00350D4E" w:rsidP="00350D4E">
      <w:pPr>
        <w:tabs>
          <w:tab w:val="left" w:pos="851"/>
        </w:tabs>
        <w:spacing w:after="0" w:line="360" w:lineRule="auto"/>
        <w:jc w:val="both"/>
        <w:rPr>
          <w:rFonts w:ascii="Arial" w:hAnsi="Arial" w:cs="Arial"/>
          <w:sz w:val="24"/>
          <w:szCs w:val="24"/>
        </w:rPr>
      </w:pPr>
      <w:r w:rsidRPr="002547FB">
        <w:rPr>
          <w:rFonts w:ascii="Arial" w:hAnsi="Arial" w:cs="Arial"/>
          <w:sz w:val="24"/>
          <w:szCs w:val="24"/>
        </w:rPr>
        <w:t>[</w:t>
      </w:r>
      <w:r w:rsidR="00152231" w:rsidRPr="002547FB">
        <w:rPr>
          <w:rFonts w:ascii="Arial" w:hAnsi="Arial" w:cs="Arial"/>
          <w:sz w:val="24"/>
          <w:szCs w:val="24"/>
        </w:rPr>
        <w:t>2</w:t>
      </w:r>
      <w:r w:rsidR="008474A7" w:rsidRPr="002547FB">
        <w:rPr>
          <w:rFonts w:ascii="Arial" w:hAnsi="Arial" w:cs="Arial"/>
          <w:sz w:val="24"/>
          <w:szCs w:val="24"/>
        </w:rPr>
        <w:t>1</w:t>
      </w:r>
      <w:r w:rsidRPr="002547FB">
        <w:rPr>
          <w:rFonts w:ascii="Arial" w:hAnsi="Arial" w:cs="Arial"/>
          <w:sz w:val="24"/>
          <w:szCs w:val="24"/>
        </w:rPr>
        <w:t>]</w:t>
      </w:r>
      <w:r w:rsidR="0020443E" w:rsidRPr="002547FB">
        <w:rPr>
          <w:rFonts w:ascii="Arial" w:hAnsi="Arial" w:cs="Arial"/>
          <w:color w:val="FF0000"/>
          <w:sz w:val="24"/>
          <w:szCs w:val="24"/>
        </w:rPr>
        <w:tab/>
      </w:r>
      <w:r w:rsidRPr="002547FB">
        <w:rPr>
          <w:rFonts w:ascii="Arial" w:hAnsi="Arial" w:cs="Arial"/>
          <w:sz w:val="24"/>
          <w:szCs w:val="24"/>
        </w:rPr>
        <w:t>In the present matter</w:t>
      </w:r>
      <w:r w:rsidR="0020443E" w:rsidRPr="002547FB">
        <w:rPr>
          <w:rFonts w:ascii="Arial" w:hAnsi="Arial" w:cs="Arial"/>
          <w:sz w:val="24"/>
          <w:szCs w:val="24"/>
        </w:rPr>
        <w:t xml:space="preserve"> the purpose of the legislation plays an important role.</w:t>
      </w:r>
      <w:r w:rsidR="0020443E" w:rsidRPr="002547FB">
        <w:rPr>
          <w:rFonts w:ascii="Arial" w:hAnsi="Arial" w:cs="Arial"/>
        </w:rPr>
        <w:t xml:space="preserve"> </w:t>
      </w:r>
      <w:r w:rsidR="0020443E" w:rsidRPr="002547FB">
        <w:rPr>
          <w:rFonts w:ascii="Arial" w:hAnsi="Arial" w:cs="Arial"/>
          <w:sz w:val="24"/>
          <w:szCs w:val="24"/>
        </w:rPr>
        <w:t xml:space="preserve">When regard is had to the requirement in s </w:t>
      </w:r>
      <w:r w:rsidR="00520D1A" w:rsidRPr="002547FB">
        <w:rPr>
          <w:rFonts w:ascii="Arial" w:hAnsi="Arial" w:cs="Arial"/>
          <w:sz w:val="24"/>
          <w:szCs w:val="24"/>
        </w:rPr>
        <w:t>52</w:t>
      </w:r>
      <w:r w:rsidR="008474A7" w:rsidRPr="002547FB">
        <w:rPr>
          <w:rFonts w:ascii="Arial" w:hAnsi="Arial" w:cs="Arial"/>
          <w:sz w:val="24"/>
          <w:szCs w:val="24"/>
        </w:rPr>
        <w:t>(5)</w:t>
      </w:r>
      <w:r w:rsidR="0020443E" w:rsidRPr="002547FB">
        <w:rPr>
          <w:rFonts w:ascii="Arial" w:hAnsi="Arial" w:cs="Arial"/>
          <w:sz w:val="24"/>
          <w:szCs w:val="24"/>
        </w:rPr>
        <w:t xml:space="preserve"> that the </w:t>
      </w:r>
      <w:r w:rsidR="00520D1A" w:rsidRPr="002547FB">
        <w:rPr>
          <w:rFonts w:ascii="Arial" w:hAnsi="Arial" w:cs="Arial"/>
          <w:sz w:val="24"/>
          <w:szCs w:val="24"/>
        </w:rPr>
        <w:t xml:space="preserve">notice of intention to oppose a forfeiture application must </w:t>
      </w:r>
      <w:r w:rsidR="0020443E" w:rsidRPr="002547FB">
        <w:rPr>
          <w:rFonts w:ascii="Arial" w:hAnsi="Arial" w:cs="Arial"/>
          <w:sz w:val="24"/>
          <w:szCs w:val="24"/>
        </w:rPr>
        <w:t>contain an address f</w:t>
      </w:r>
      <w:r w:rsidR="008474A7" w:rsidRPr="002547FB">
        <w:rPr>
          <w:rFonts w:ascii="Arial" w:hAnsi="Arial" w:cs="Arial"/>
          <w:sz w:val="24"/>
          <w:szCs w:val="24"/>
        </w:rPr>
        <w:t xml:space="preserve">or delivery of documents, it appears that </w:t>
      </w:r>
      <w:r w:rsidR="0020443E" w:rsidRPr="002547FB">
        <w:rPr>
          <w:rFonts w:ascii="Arial" w:hAnsi="Arial" w:cs="Arial"/>
          <w:sz w:val="24"/>
          <w:szCs w:val="24"/>
        </w:rPr>
        <w:t xml:space="preserve">the purpose of s </w:t>
      </w:r>
      <w:r w:rsidR="00520D1A" w:rsidRPr="002547FB">
        <w:rPr>
          <w:rFonts w:ascii="Arial" w:hAnsi="Arial" w:cs="Arial"/>
          <w:sz w:val="24"/>
          <w:szCs w:val="24"/>
        </w:rPr>
        <w:t>59</w:t>
      </w:r>
      <w:r w:rsidR="0020443E" w:rsidRPr="002547FB">
        <w:rPr>
          <w:rFonts w:ascii="Arial" w:hAnsi="Arial" w:cs="Arial"/>
          <w:sz w:val="24"/>
          <w:szCs w:val="24"/>
        </w:rPr>
        <w:t>(3)</w:t>
      </w:r>
      <w:r w:rsidR="00520D1A" w:rsidRPr="002547FB">
        <w:rPr>
          <w:rFonts w:ascii="Arial" w:hAnsi="Arial" w:cs="Arial"/>
          <w:sz w:val="24"/>
          <w:szCs w:val="24"/>
        </w:rPr>
        <w:t xml:space="preserve"> requiring that the application for a forfeiture of the preserved property must be served at the address chosen in terms of s 52(5) </w:t>
      </w:r>
      <w:r w:rsidR="0020443E" w:rsidRPr="002547FB">
        <w:rPr>
          <w:rFonts w:ascii="Arial" w:hAnsi="Arial" w:cs="Arial"/>
          <w:sz w:val="24"/>
          <w:szCs w:val="24"/>
        </w:rPr>
        <w:t xml:space="preserve">of </w:t>
      </w:r>
      <w:r w:rsidR="0020443E" w:rsidRPr="002547FB">
        <w:rPr>
          <w:rFonts w:ascii="Arial" w:hAnsi="Arial" w:cs="Arial"/>
          <w:sz w:val="24"/>
          <w:szCs w:val="24"/>
        </w:rPr>
        <w:lastRenderedPageBreak/>
        <w:t xml:space="preserve">the Act was </w:t>
      </w:r>
      <w:r w:rsidR="00DC23EE" w:rsidRPr="002547FB">
        <w:rPr>
          <w:rFonts w:ascii="Arial" w:hAnsi="Arial" w:cs="Arial"/>
          <w:sz w:val="24"/>
          <w:szCs w:val="24"/>
        </w:rPr>
        <w:t>to ensure that the application for the forfeiture of the preserved property must come to the attention of the concerned person</w:t>
      </w:r>
      <w:r w:rsidR="0020443E" w:rsidRPr="002547FB">
        <w:rPr>
          <w:rFonts w:ascii="Arial" w:hAnsi="Arial" w:cs="Arial"/>
          <w:sz w:val="24"/>
          <w:szCs w:val="24"/>
        </w:rPr>
        <w:t xml:space="preserve">. </w:t>
      </w:r>
    </w:p>
    <w:p w:rsidR="00520D1A" w:rsidRPr="002547FB" w:rsidRDefault="00520D1A" w:rsidP="00350D4E">
      <w:pPr>
        <w:tabs>
          <w:tab w:val="left" w:pos="851"/>
        </w:tabs>
        <w:spacing w:after="0" w:line="360" w:lineRule="auto"/>
        <w:jc w:val="both"/>
        <w:rPr>
          <w:rFonts w:ascii="Arial" w:hAnsi="Arial" w:cs="Arial"/>
          <w:sz w:val="24"/>
          <w:szCs w:val="24"/>
        </w:rPr>
      </w:pPr>
    </w:p>
    <w:p w:rsidR="00520D1A" w:rsidRPr="002547FB" w:rsidRDefault="00520D1A" w:rsidP="00520D1A">
      <w:pPr>
        <w:tabs>
          <w:tab w:val="left" w:pos="851"/>
        </w:tabs>
        <w:spacing w:after="0" w:line="360" w:lineRule="auto"/>
        <w:jc w:val="both"/>
        <w:rPr>
          <w:rFonts w:ascii="Arial" w:hAnsi="Arial" w:cs="Arial"/>
          <w:sz w:val="24"/>
          <w:szCs w:val="24"/>
        </w:rPr>
      </w:pPr>
      <w:r w:rsidRPr="002547FB">
        <w:rPr>
          <w:rFonts w:ascii="Arial" w:hAnsi="Arial" w:cs="Arial"/>
          <w:sz w:val="24"/>
          <w:szCs w:val="24"/>
        </w:rPr>
        <w:t>[</w:t>
      </w:r>
      <w:r w:rsidR="00152231" w:rsidRPr="002547FB">
        <w:rPr>
          <w:rFonts w:ascii="Arial" w:hAnsi="Arial" w:cs="Arial"/>
          <w:sz w:val="24"/>
          <w:szCs w:val="24"/>
        </w:rPr>
        <w:t>2</w:t>
      </w:r>
      <w:r w:rsidR="008474A7" w:rsidRPr="002547FB">
        <w:rPr>
          <w:rFonts w:ascii="Arial" w:hAnsi="Arial" w:cs="Arial"/>
          <w:sz w:val="24"/>
          <w:szCs w:val="24"/>
        </w:rPr>
        <w:t>2</w:t>
      </w:r>
      <w:r w:rsidRPr="002547FB">
        <w:rPr>
          <w:rFonts w:ascii="Arial" w:hAnsi="Arial" w:cs="Arial"/>
          <w:sz w:val="24"/>
          <w:szCs w:val="24"/>
        </w:rPr>
        <w:t>]</w:t>
      </w:r>
      <w:r w:rsidRPr="002547FB">
        <w:rPr>
          <w:rFonts w:ascii="Arial" w:hAnsi="Arial" w:cs="Arial"/>
          <w:sz w:val="24"/>
          <w:szCs w:val="24"/>
        </w:rPr>
        <w:tab/>
      </w:r>
      <w:r w:rsidR="0020443E" w:rsidRPr="002547FB">
        <w:rPr>
          <w:rFonts w:ascii="Arial" w:hAnsi="Arial" w:cs="Arial"/>
          <w:sz w:val="24"/>
          <w:szCs w:val="24"/>
        </w:rPr>
        <w:t>In</w:t>
      </w:r>
      <w:r w:rsidRPr="002547FB">
        <w:rPr>
          <w:rFonts w:ascii="Arial" w:hAnsi="Arial" w:cs="Arial"/>
          <w:sz w:val="24"/>
          <w:szCs w:val="24"/>
        </w:rPr>
        <w:t xml:space="preserve"> matter of </w:t>
      </w:r>
      <w:r w:rsidRPr="002547FB">
        <w:rPr>
          <w:rFonts w:ascii="Arial" w:hAnsi="Arial" w:cs="Arial"/>
          <w:i/>
          <w:sz w:val="24"/>
          <w:szCs w:val="24"/>
        </w:rPr>
        <w:t>Witvlei Meat (Pty) Ltd and Others</w:t>
      </w:r>
      <w:r w:rsidRPr="002547FB">
        <w:rPr>
          <w:rFonts w:ascii="Arial" w:hAnsi="Arial" w:cs="Arial"/>
          <w:sz w:val="24"/>
          <w:szCs w:val="24"/>
        </w:rPr>
        <w:t xml:space="preserve"> v </w:t>
      </w:r>
      <w:r w:rsidRPr="002547FB">
        <w:rPr>
          <w:rFonts w:ascii="Arial" w:hAnsi="Arial" w:cs="Arial"/>
          <w:i/>
          <w:sz w:val="24"/>
          <w:szCs w:val="24"/>
        </w:rPr>
        <w:t>Disciplinary Committee for Legal Practitioners and Others</w:t>
      </w:r>
      <w:r w:rsidRPr="002547FB">
        <w:rPr>
          <w:rStyle w:val="FootnoteReference"/>
          <w:rFonts w:ascii="Arial" w:hAnsi="Arial" w:cs="Arial"/>
          <w:i/>
          <w:sz w:val="24"/>
          <w:szCs w:val="24"/>
        </w:rPr>
        <w:footnoteReference w:id="7"/>
      </w:r>
      <w:r w:rsidRPr="002547FB">
        <w:rPr>
          <w:rFonts w:ascii="Arial" w:hAnsi="Arial" w:cs="Arial"/>
          <w:i/>
          <w:sz w:val="24"/>
          <w:szCs w:val="24"/>
        </w:rPr>
        <w:t xml:space="preserve"> </w:t>
      </w:r>
      <w:r w:rsidRPr="002547FB">
        <w:rPr>
          <w:rFonts w:ascii="Arial" w:hAnsi="Arial" w:cs="Arial"/>
          <w:sz w:val="24"/>
          <w:szCs w:val="24"/>
        </w:rPr>
        <w:t>Smuts J (as he then was) expressed the view that:</w:t>
      </w:r>
    </w:p>
    <w:p w:rsidR="00520D1A" w:rsidRPr="002547FB" w:rsidRDefault="00520D1A" w:rsidP="00520D1A">
      <w:pPr>
        <w:tabs>
          <w:tab w:val="left" w:pos="851"/>
        </w:tabs>
        <w:spacing w:after="0" w:line="360" w:lineRule="auto"/>
        <w:jc w:val="both"/>
        <w:rPr>
          <w:rFonts w:ascii="Arial" w:hAnsi="Arial" w:cs="Arial"/>
          <w:sz w:val="24"/>
          <w:szCs w:val="24"/>
        </w:rPr>
      </w:pPr>
    </w:p>
    <w:p w:rsidR="00520D1A" w:rsidRPr="002547FB" w:rsidRDefault="00520D1A" w:rsidP="00520D1A">
      <w:pPr>
        <w:tabs>
          <w:tab w:val="left" w:pos="720"/>
        </w:tabs>
        <w:spacing w:after="0" w:line="360" w:lineRule="auto"/>
        <w:ind w:firstLine="720"/>
        <w:jc w:val="both"/>
        <w:rPr>
          <w:rFonts w:ascii="Arial" w:hAnsi="Arial" w:cs="Arial"/>
        </w:rPr>
      </w:pPr>
      <w:r w:rsidRPr="002547FB">
        <w:rPr>
          <w:rFonts w:ascii="Arial" w:hAnsi="Arial" w:cs="Arial"/>
        </w:rPr>
        <w:t>‘The fundamental purpose of service is after all to bring the matter to the attention of a party, including having the benefit of an explanation as to the meaning and nature of the process. If a party then proceeds to enter an appearance to defend or notice to oppose through legal representatives, that fundamental purpose has been met, particularly where the legal representative in question had been served with the process (and was thus in possession of the papers and would appreciate their import).</w:t>
      </w:r>
      <w:r w:rsidR="005D38CE" w:rsidRPr="002547FB">
        <w:rPr>
          <w:rFonts w:ascii="Arial" w:hAnsi="Arial" w:cs="Arial"/>
        </w:rPr>
        <w:t>’</w:t>
      </w:r>
    </w:p>
    <w:p w:rsidR="00D1654F" w:rsidRPr="002547FB" w:rsidRDefault="00D1654F" w:rsidP="00520D1A">
      <w:pPr>
        <w:tabs>
          <w:tab w:val="left" w:pos="720"/>
        </w:tabs>
        <w:spacing w:after="0" w:line="360" w:lineRule="auto"/>
        <w:ind w:firstLine="720"/>
        <w:jc w:val="both"/>
        <w:rPr>
          <w:rFonts w:ascii="Arial" w:hAnsi="Arial" w:cs="Arial"/>
        </w:rPr>
      </w:pPr>
    </w:p>
    <w:p w:rsidR="005D38CE" w:rsidRPr="002547FB" w:rsidRDefault="005D38CE" w:rsidP="005D38CE">
      <w:pPr>
        <w:tabs>
          <w:tab w:val="left" w:pos="720"/>
        </w:tabs>
        <w:spacing w:after="0" w:line="360" w:lineRule="auto"/>
        <w:jc w:val="both"/>
        <w:rPr>
          <w:rFonts w:ascii="Arial" w:hAnsi="Arial" w:cs="Arial"/>
          <w:sz w:val="24"/>
          <w:szCs w:val="24"/>
        </w:rPr>
      </w:pPr>
      <w:r w:rsidRPr="002547FB">
        <w:rPr>
          <w:rFonts w:ascii="Arial" w:hAnsi="Arial" w:cs="Arial"/>
          <w:sz w:val="24"/>
          <w:szCs w:val="24"/>
        </w:rPr>
        <w:t>[23]</w:t>
      </w:r>
      <w:r w:rsidRPr="002547FB">
        <w:rPr>
          <w:rFonts w:ascii="Arial" w:hAnsi="Arial" w:cs="Arial"/>
          <w:sz w:val="24"/>
          <w:szCs w:val="24"/>
        </w:rPr>
        <w:tab/>
        <w:t xml:space="preserve">Also see the case of </w:t>
      </w:r>
      <w:r w:rsidRPr="002547FB">
        <w:rPr>
          <w:rFonts w:ascii="Arial" w:hAnsi="Arial" w:cs="Arial"/>
          <w:i/>
          <w:sz w:val="24"/>
          <w:szCs w:val="24"/>
        </w:rPr>
        <w:t>Standard Bank Namibia Ltd and Others v Maletzky and Others</w:t>
      </w:r>
      <w:r w:rsidRPr="002547FB">
        <w:rPr>
          <w:rStyle w:val="FootnoteReference"/>
          <w:rFonts w:ascii="Arial" w:hAnsi="Arial" w:cs="Arial"/>
          <w:i/>
          <w:sz w:val="24"/>
          <w:szCs w:val="24"/>
        </w:rPr>
        <w:footnoteReference w:id="8"/>
      </w:r>
      <w:r w:rsidRPr="002547FB">
        <w:rPr>
          <w:rFonts w:ascii="Arial" w:hAnsi="Arial" w:cs="Arial"/>
          <w:sz w:val="24"/>
          <w:szCs w:val="24"/>
        </w:rPr>
        <w:t xml:space="preserve"> where Justice O’Regan said:</w:t>
      </w:r>
    </w:p>
    <w:p w:rsidR="005D38CE" w:rsidRPr="002547FB" w:rsidRDefault="005D38CE" w:rsidP="005D38CE">
      <w:pPr>
        <w:tabs>
          <w:tab w:val="left" w:pos="720"/>
        </w:tabs>
        <w:spacing w:after="0" w:line="360" w:lineRule="auto"/>
        <w:jc w:val="both"/>
        <w:rPr>
          <w:rFonts w:ascii="Arial" w:hAnsi="Arial" w:cs="Arial"/>
        </w:rPr>
      </w:pPr>
    </w:p>
    <w:p w:rsidR="005D38CE" w:rsidRPr="002547FB" w:rsidRDefault="005D38CE" w:rsidP="005D38CE">
      <w:pPr>
        <w:tabs>
          <w:tab w:val="left" w:pos="720"/>
        </w:tabs>
        <w:spacing w:after="0" w:line="360" w:lineRule="auto"/>
        <w:ind w:firstLine="720"/>
        <w:jc w:val="both"/>
        <w:rPr>
          <w:rFonts w:ascii="Arial" w:hAnsi="Arial" w:cs="Arial"/>
        </w:rPr>
      </w:pPr>
      <w:r w:rsidRPr="002547FB">
        <w:rPr>
          <w:rFonts w:ascii="Arial" w:hAnsi="Arial" w:cs="Arial"/>
        </w:rPr>
        <w:t>‘The purpose of service is to notify the person to be served of the nature and contents of the process of court and to provide proof to the court that there has been such notice. The substantive principle upon which the rules of service are based is that a person is entitled to know the case being brought against him or her and the rules governing service of process have been carefully formulated to achieve this purpose and litigants should observe them. In construing the rules governing service, and questions whether there has been compliance with them, this fundamental purpose of service should be borne in mind.’</w:t>
      </w:r>
    </w:p>
    <w:p w:rsidR="005D38CE" w:rsidRPr="002547FB" w:rsidRDefault="005D38CE" w:rsidP="005D38CE">
      <w:pPr>
        <w:tabs>
          <w:tab w:val="left" w:pos="720"/>
        </w:tabs>
        <w:spacing w:after="0" w:line="360" w:lineRule="auto"/>
        <w:ind w:firstLine="720"/>
        <w:jc w:val="both"/>
        <w:rPr>
          <w:rFonts w:ascii="Arial" w:hAnsi="Arial" w:cs="Arial"/>
        </w:rPr>
      </w:pPr>
    </w:p>
    <w:p w:rsidR="005D38CE" w:rsidRPr="002547FB" w:rsidRDefault="00520D1A" w:rsidP="0087186F">
      <w:pPr>
        <w:tabs>
          <w:tab w:val="left" w:pos="851"/>
        </w:tabs>
        <w:spacing w:after="0" w:line="360" w:lineRule="auto"/>
        <w:jc w:val="both"/>
        <w:rPr>
          <w:rFonts w:ascii="Arial" w:hAnsi="Arial" w:cs="Arial"/>
          <w:sz w:val="24"/>
          <w:szCs w:val="24"/>
        </w:rPr>
      </w:pPr>
      <w:r w:rsidRPr="002547FB">
        <w:rPr>
          <w:rFonts w:ascii="Arial" w:hAnsi="Arial" w:cs="Arial"/>
          <w:sz w:val="24"/>
          <w:szCs w:val="24"/>
        </w:rPr>
        <w:t>[</w:t>
      </w:r>
      <w:r w:rsidR="00152231" w:rsidRPr="002547FB">
        <w:rPr>
          <w:rFonts w:ascii="Arial" w:hAnsi="Arial" w:cs="Arial"/>
          <w:sz w:val="24"/>
          <w:szCs w:val="24"/>
        </w:rPr>
        <w:t>2</w:t>
      </w:r>
      <w:r w:rsidR="005D38CE" w:rsidRPr="002547FB">
        <w:rPr>
          <w:rFonts w:ascii="Arial" w:hAnsi="Arial" w:cs="Arial"/>
          <w:sz w:val="24"/>
          <w:szCs w:val="24"/>
        </w:rPr>
        <w:t>4</w:t>
      </w:r>
      <w:r w:rsidRPr="002547FB">
        <w:rPr>
          <w:rFonts w:ascii="Arial" w:hAnsi="Arial" w:cs="Arial"/>
          <w:sz w:val="24"/>
          <w:szCs w:val="24"/>
        </w:rPr>
        <w:t>]</w:t>
      </w:r>
      <w:r w:rsidRPr="002547FB">
        <w:rPr>
          <w:rFonts w:ascii="Arial" w:hAnsi="Arial" w:cs="Arial"/>
          <w:sz w:val="24"/>
          <w:szCs w:val="24"/>
        </w:rPr>
        <w:tab/>
      </w:r>
      <w:r w:rsidR="005D38CE" w:rsidRPr="002547FB">
        <w:rPr>
          <w:rFonts w:ascii="Arial" w:hAnsi="Arial" w:cs="Arial"/>
          <w:sz w:val="24"/>
          <w:szCs w:val="24"/>
        </w:rPr>
        <w:t xml:space="preserve">In the </w:t>
      </w:r>
      <w:r w:rsidR="005D38CE" w:rsidRPr="002547FB">
        <w:rPr>
          <w:rFonts w:ascii="Arial" w:hAnsi="Arial" w:cs="Arial"/>
          <w:i/>
          <w:sz w:val="24"/>
          <w:szCs w:val="24"/>
        </w:rPr>
        <w:t>Standard Bank v Maletzky</w:t>
      </w:r>
      <w:r w:rsidR="00AD34A7" w:rsidRPr="002547FB">
        <w:rPr>
          <w:rFonts w:ascii="Arial" w:hAnsi="Arial" w:cs="Arial"/>
          <w:i/>
          <w:sz w:val="24"/>
          <w:szCs w:val="24"/>
        </w:rPr>
        <w:t xml:space="preserve"> </w:t>
      </w:r>
      <w:r w:rsidR="00AD34A7" w:rsidRPr="002547FB">
        <w:rPr>
          <w:rFonts w:ascii="Arial" w:hAnsi="Arial" w:cs="Arial"/>
          <w:sz w:val="24"/>
          <w:szCs w:val="24"/>
        </w:rPr>
        <w:t>matter,</w:t>
      </w:r>
      <w:r w:rsidR="00AD34A7" w:rsidRPr="002547FB">
        <w:rPr>
          <w:rFonts w:ascii="Arial" w:hAnsi="Arial" w:cs="Arial"/>
          <w:i/>
          <w:sz w:val="24"/>
          <w:szCs w:val="24"/>
        </w:rPr>
        <w:t xml:space="preserve"> </w:t>
      </w:r>
      <w:r w:rsidR="005D38CE" w:rsidRPr="002547FB">
        <w:rPr>
          <w:rFonts w:ascii="Arial" w:hAnsi="Arial" w:cs="Arial"/>
          <w:sz w:val="24"/>
          <w:szCs w:val="24"/>
        </w:rPr>
        <w:t xml:space="preserve">the Supreme Court opined that acknowledging the possibility that irregular service may be condoned where there has not been a 'complete failure of service' will avoid an over-formalistic approach to the rules, for an approach that precludes condonation whenever there has been non-compliance with the rules regulating service may prejudice the expeditious, cost-effective and fair administration of justice. The possibility of condonation of irregular service that falls short of a nullity, </w:t>
      </w:r>
      <w:r w:rsidR="001940C3" w:rsidRPr="002547FB">
        <w:rPr>
          <w:rFonts w:ascii="Arial" w:hAnsi="Arial" w:cs="Arial"/>
          <w:sz w:val="24"/>
          <w:szCs w:val="24"/>
        </w:rPr>
        <w:t xml:space="preserve">said the Supreme Court, </w:t>
      </w:r>
      <w:r w:rsidR="005D38CE" w:rsidRPr="002547FB">
        <w:rPr>
          <w:rFonts w:ascii="Arial" w:hAnsi="Arial" w:cs="Arial"/>
          <w:sz w:val="24"/>
          <w:szCs w:val="24"/>
        </w:rPr>
        <w:t>would also accord with the approach to civil procedure evident in the new Rules of the Namibian High Court that came into force in April 2014, and with the recently introduced practice of judicial case management that seeks to ensure expedition, fairness and cost-effectiveness in the administration of justice.</w:t>
      </w:r>
    </w:p>
    <w:p w:rsidR="00152231" w:rsidRPr="002547FB" w:rsidRDefault="005D38CE" w:rsidP="0087186F">
      <w:pPr>
        <w:tabs>
          <w:tab w:val="left" w:pos="851"/>
        </w:tabs>
        <w:spacing w:after="0" w:line="360" w:lineRule="auto"/>
        <w:jc w:val="both"/>
        <w:rPr>
          <w:rFonts w:ascii="Arial" w:hAnsi="Arial" w:cs="Arial"/>
          <w:sz w:val="24"/>
          <w:szCs w:val="24"/>
        </w:rPr>
      </w:pPr>
      <w:r w:rsidRPr="002547FB">
        <w:rPr>
          <w:rFonts w:ascii="Arial" w:hAnsi="Arial" w:cs="Arial"/>
          <w:sz w:val="24"/>
          <w:szCs w:val="24"/>
        </w:rPr>
        <w:lastRenderedPageBreak/>
        <w:t>[25]</w:t>
      </w:r>
      <w:r w:rsidRPr="002547FB">
        <w:rPr>
          <w:rFonts w:ascii="Arial" w:hAnsi="Arial" w:cs="Arial"/>
          <w:sz w:val="24"/>
          <w:szCs w:val="24"/>
        </w:rPr>
        <w:tab/>
      </w:r>
      <w:r w:rsidR="0087186F" w:rsidRPr="002547FB">
        <w:rPr>
          <w:rFonts w:ascii="Arial" w:hAnsi="Arial" w:cs="Arial"/>
          <w:sz w:val="24"/>
          <w:szCs w:val="24"/>
        </w:rPr>
        <w:t>In the present application the service of the forfeitur</w:t>
      </w:r>
      <w:r w:rsidR="005A4DDD" w:rsidRPr="002547FB">
        <w:rPr>
          <w:rFonts w:ascii="Arial" w:hAnsi="Arial" w:cs="Arial"/>
          <w:sz w:val="24"/>
          <w:szCs w:val="24"/>
        </w:rPr>
        <w:t>e application on the respondent</w:t>
      </w:r>
      <w:r w:rsidR="0087186F" w:rsidRPr="002547FB">
        <w:rPr>
          <w:rFonts w:ascii="Arial" w:hAnsi="Arial" w:cs="Arial"/>
          <w:sz w:val="24"/>
          <w:szCs w:val="24"/>
        </w:rPr>
        <w:t>s</w:t>
      </w:r>
      <w:r w:rsidR="005A4DDD" w:rsidRPr="002547FB">
        <w:rPr>
          <w:rFonts w:ascii="Arial" w:hAnsi="Arial" w:cs="Arial"/>
          <w:sz w:val="24"/>
          <w:szCs w:val="24"/>
        </w:rPr>
        <w:t>’</w:t>
      </w:r>
      <w:r w:rsidR="0087186F" w:rsidRPr="002547FB">
        <w:rPr>
          <w:rFonts w:ascii="Arial" w:hAnsi="Arial" w:cs="Arial"/>
          <w:sz w:val="24"/>
          <w:szCs w:val="24"/>
        </w:rPr>
        <w:t xml:space="preserve"> legal practitioners of record </w:t>
      </w:r>
      <w:r w:rsidR="001940C3" w:rsidRPr="002547FB">
        <w:rPr>
          <w:rFonts w:ascii="Arial" w:hAnsi="Arial" w:cs="Arial"/>
          <w:sz w:val="24"/>
          <w:szCs w:val="24"/>
        </w:rPr>
        <w:t xml:space="preserve">may be viewed as irregular, but cannot be categorised as a 'complete failure of service' resulting in a complete nullity because the service at the Law Society’s office </w:t>
      </w:r>
      <w:r w:rsidR="0087186F" w:rsidRPr="002547FB">
        <w:rPr>
          <w:rFonts w:ascii="Arial" w:hAnsi="Arial" w:cs="Arial"/>
          <w:sz w:val="24"/>
          <w:szCs w:val="24"/>
        </w:rPr>
        <w:t>indeed had the effect that the respondent duly entered an appearance to oppose the application. The fact that the application was served at the Law Society’s office is in my view of no moment</w:t>
      </w:r>
      <w:r w:rsidR="001940C3" w:rsidRPr="002547FB">
        <w:rPr>
          <w:rFonts w:ascii="Arial" w:hAnsi="Arial" w:cs="Arial"/>
          <w:sz w:val="24"/>
          <w:szCs w:val="24"/>
        </w:rPr>
        <w:t>, because the legal practitioners were the identified agents (for the purpose of service of the s 59(1) application)</w:t>
      </w:r>
      <w:r w:rsidR="0087186F" w:rsidRPr="002547FB">
        <w:rPr>
          <w:rFonts w:ascii="Arial" w:hAnsi="Arial" w:cs="Arial"/>
          <w:sz w:val="24"/>
          <w:szCs w:val="24"/>
        </w:rPr>
        <w:t xml:space="preserve"> </w:t>
      </w:r>
      <w:r w:rsidR="001940C3" w:rsidRPr="002547FB">
        <w:rPr>
          <w:rFonts w:ascii="Arial" w:hAnsi="Arial" w:cs="Arial"/>
          <w:sz w:val="24"/>
          <w:szCs w:val="24"/>
        </w:rPr>
        <w:t xml:space="preserve">for the respondents and the agents had concluded an agreement with the Law Society that services of process could be effected the at the Law Society’s office. The irregularity can and is condoned. </w:t>
      </w:r>
      <w:r w:rsidR="0087186F" w:rsidRPr="002547FB">
        <w:rPr>
          <w:rFonts w:ascii="Arial" w:hAnsi="Arial" w:cs="Arial"/>
          <w:sz w:val="24"/>
          <w:szCs w:val="24"/>
        </w:rPr>
        <w:t>It would follow in my view that the point taken concerning service must fail</w:t>
      </w:r>
      <w:r w:rsidR="00152231" w:rsidRPr="002547FB">
        <w:rPr>
          <w:rFonts w:ascii="Arial" w:hAnsi="Arial" w:cs="Arial"/>
          <w:sz w:val="24"/>
          <w:szCs w:val="24"/>
        </w:rPr>
        <w:t>. I now proceed to consider the forfeiture application.</w:t>
      </w:r>
    </w:p>
    <w:p w:rsidR="00700FDA" w:rsidRPr="002547FB" w:rsidRDefault="00700FDA" w:rsidP="0087186F">
      <w:pPr>
        <w:tabs>
          <w:tab w:val="left" w:pos="851"/>
        </w:tabs>
        <w:spacing w:after="0" w:line="360" w:lineRule="auto"/>
        <w:jc w:val="both"/>
        <w:rPr>
          <w:rFonts w:ascii="Arial" w:hAnsi="Arial" w:cs="Arial"/>
          <w:sz w:val="24"/>
          <w:szCs w:val="24"/>
        </w:rPr>
      </w:pPr>
    </w:p>
    <w:p w:rsidR="00B815BE" w:rsidRPr="002547FB" w:rsidRDefault="00B815BE" w:rsidP="00B815BE">
      <w:pPr>
        <w:tabs>
          <w:tab w:val="left" w:pos="720"/>
        </w:tabs>
        <w:spacing w:after="0" w:line="360" w:lineRule="auto"/>
        <w:jc w:val="both"/>
        <w:rPr>
          <w:rFonts w:ascii="Arial" w:hAnsi="Arial" w:cs="Arial"/>
          <w:sz w:val="24"/>
          <w:szCs w:val="24"/>
          <w:u w:val="single"/>
        </w:rPr>
      </w:pPr>
      <w:r w:rsidRPr="002547FB">
        <w:rPr>
          <w:rFonts w:ascii="Arial" w:hAnsi="Arial" w:cs="Arial"/>
          <w:sz w:val="24"/>
          <w:szCs w:val="24"/>
          <w:u w:val="single"/>
        </w:rPr>
        <w:t>The</w:t>
      </w:r>
      <w:r w:rsidR="005E6B83" w:rsidRPr="002547FB">
        <w:rPr>
          <w:rFonts w:ascii="Arial" w:hAnsi="Arial" w:cs="Arial"/>
          <w:sz w:val="24"/>
          <w:szCs w:val="24"/>
          <w:u w:val="single"/>
        </w:rPr>
        <w:t xml:space="preserve"> statutory framework in respect of forfeiture of preserved property.</w:t>
      </w:r>
    </w:p>
    <w:p w:rsidR="00700FDA" w:rsidRPr="002547FB" w:rsidRDefault="00700FDA" w:rsidP="00B815BE">
      <w:pPr>
        <w:tabs>
          <w:tab w:val="left" w:pos="720"/>
        </w:tabs>
        <w:spacing w:after="0" w:line="360" w:lineRule="auto"/>
        <w:jc w:val="both"/>
        <w:rPr>
          <w:rFonts w:ascii="Arial" w:hAnsi="Arial" w:cs="Arial"/>
          <w:sz w:val="24"/>
          <w:szCs w:val="24"/>
          <w:u w:val="single"/>
        </w:rPr>
      </w:pPr>
    </w:p>
    <w:p w:rsidR="00F144DB" w:rsidRPr="002547FB" w:rsidRDefault="00DC23EE" w:rsidP="00F144DB">
      <w:pPr>
        <w:tabs>
          <w:tab w:val="left" w:pos="720"/>
        </w:tabs>
        <w:spacing w:after="0" w:line="360" w:lineRule="auto"/>
        <w:jc w:val="both"/>
        <w:rPr>
          <w:rFonts w:ascii="Arial" w:hAnsi="Arial" w:cs="Arial"/>
          <w:sz w:val="24"/>
          <w:szCs w:val="24"/>
        </w:rPr>
      </w:pPr>
      <w:r w:rsidRPr="002547FB">
        <w:rPr>
          <w:rFonts w:ascii="Arial" w:hAnsi="Arial" w:cs="Arial"/>
          <w:sz w:val="24"/>
          <w:szCs w:val="24"/>
        </w:rPr>
        <w:t>[2</w:t>
      </w:r>
      <w:r w:rsidR="001940C3" w:rsidRPr="002547FB">
        <w:rPr>
          <w:rFonts w:ascii="Arial" w:hAnsi="Arial" w:cs="Arial"/>
          <w:sz w:val="24"/>
          <w:szCs w:val="24"/>
        </w:rPr>
        <w:t>6</w:t>
      </w:r>
      <w:r w:rsidRPr="002547FB">
        <w:rPr>
          <w:rFonts w:ascii="Arial" w:hAnsi="Arial" w:cs="Arial"/>
          <w:sz w:val="24"/>
          <w:szCs w:val="24"/>
        </w:rPr>
        <w:t>]</w:t>
      </w:r>
      <w:r w:rsidRPr="002547FB">
        <w:rPr>
          <w:rFonts w:ascii="Arial" w:hAnsi="Arial" w:cs="Arial"/>
          <w:sz w:val="24"/>
          <w:szCs w:val="24"/>
        </w:rPr>
        <w:tab/>
      </w:r>
      <w:r w:rsidR="00F144DB" w:rsidRPr="002547FB">
        <w:rPr>
          <w:rFonts w:ascii="Arial" w:hAnsi="Arial" w:cs="Arial"/>
          <w:sz w:val="24"/>
          <w:szCs w:val="24"/>
        </w:rPr>
        <w:t>The application for forfeiture of the preserved property was initiated by a notice of motion. The notice of motion is f</w:t>
      </w:r>
      <w:r w:rsidR="00B815BE" w:rsidRPr="002547FB">
        <w:rPr>
          <w:rFonts w:ascii="Arial" w:hAnsi="Arial" w:cs="Arial"/>
          <w:sz w:val="24"/>
          <w:szCs w:val="24"/>
        </w:rPr>
        <w:t xml:space="preserve">ramed </w:t>
      </w:r>
      <w:r w:rsidR="00F144DB" w:rsidRPr="002547FB">
        <w:rPr>
          <w:rFonts w:ascii="Arial" w:hAnsi="Arial" w:cs="Arial"/>
          <w:sz w:val="24"/>
          <w:szCs w:val="24"/>
        </w:rPr>
        <w:t>as follows:</w:t>
      </w:r>
    </w:p>
    <w:p w:rsidR="00F144DB" w:rsidRPr="002547FB" w:rsidRDefault="00F144DB" w:rsidP="00DC23EE">
      <w:pPr>
        <w:tabs>
          <w:tab w:val="left" w:pos="851"/>
        </w:tabs>
        <w:spacing w:after="0" w:line="360" w:lineRule="auto"/>
        <w:jc w:val="both"/>
        <w:rPr>
          <w:rFonts w:ascii="Arial" w:hAnsi="Arial" w:cs="Arial"/>
          <w:sz w:val="24"/>
          <w:szCs w:val="24"/>
        </w:rPr>
      </w:pPr>
    </w:p>
    <w:p w:rsidR="00F144DB" w:rsidRPr="002547FB" w:rsidRDefault="00F144DB" w:rsidP="00F144DB">
      <w:pPr>
        <w:tabs>
          <w:tab w:val="left" w:pos="720"/>
        </w:tabs>
        <w:spacing w:after="0" w:line="360" w:lineRule="auto"/>
        <w:ind w:firstLine="720"/>
        <w:jc w:val="both"/>
        <w:rPr>
          <w:rFonts w:ascii="Arial" w:hAnsi="Arial" w:cs="Arial"/>
        </w:rPr>
      </w:pPr>
      <w:r w:rsidRPr="002547FB">
        <w:rPr>
          <w:rFonts w:ascii="Arial" w:hAnsi="Arial" w:cs="Arial"/>
        </w:rPr>
        <w:t>‘</w:t>
      </w:r>
      <w:r w:rsidRPr="002547FB">
        <w:rPr>
          <w:rFonts w:ascii="Arial" w:hAnsi="Arial" w:cs="Arial"/>
          <w:b/>
        </w:rPr>
        <w:t>KINDLY TAKE NOTICE</w:t>
      </w:r>
      <w:r w:rsidRPr="002547FB">
        <w:rPr>
          <w:rFonts w:ascii="Arial" w:hAnsi="Arial" w:cs="Arial"/>
        </w:rPr>
        <w:t xml:space="preserve"> that the applicant intends to apply to this Honourable Court in terms of section 59 read with section 61 of the prevention of Organised Crim</w:t>
      </w:r>
      <w:r w:rsidR="00C6055B">
        <w:rPr>
          <w:rFonts w:ascii="Arial" w:hAnsi="Arial" w:cs="Arial"/>
        </w:rPr>
        <w:t xml:space="preserve">e Act, No. 29 0f 2004 (“POCA”) . . . . </w:t>
      </w:r>
      <w:r w:rsidRPr="002547FB">
        <w:rPr>
          <w:rFonts w:ascii="Arial" w:hAnsi="Arial" w:cs="Arial"/>
        </w:rPr>
        <w:t>for an order in the following terms:</w:t>
      </w:r>
    </w:p>
    <w:p w:rsidR="00F144DB" w:rsidRPr="002547FB" w:rsidRDefault="00F144DB" w:rsidP="00F144DB">
      <w:pPr>
        <w:tabs>
          <w:tab w:val="left" w:pos="720"/>
        </w:tabs>
        <w:spacing w:after="0" w:line="360" w:lineRule="auto"/>
        <w:jc w:val="both"/>
        <w:rPr>
          <w:rFonts w:ascii="Arial" w:hAnsi="Arial" w:cs="Arial"/>
        </w:rPr>
      </w:pPr>
    </w:p>
    <w:p w:rsidR="00F144DB" w:rsidRPr="002547FB" w:rsidRDefault="00F144DB" w:rsidP="00F144DB">
      <w:pPr>
        <w:pStyle w:val="ListParagraph"/>
        <w:numPr>
          <w:ilvl w:val="0"/>
          <w:numId w:val="31"/>
        </w:numPr>
        <w:tabs>
          <w:tab w:val="left" w:pos="720"/>
        </w:tabs>
        <w:spacing w:after="0" w:line="360" w:lineRule="auto"/>
        <w:ind w:hanging="720"/>
        <w:jc w:val="both"/>
        <w:rPr>
          <w:rFonts w:ascii="Arial" w:hAnsi="Arial" w:cs="Arial"/>
        </w:rPr>
      </w:pPr>
      <w:r w:rsidRPr="002547FB">
        <w:rPr>
          <w:rFonts w:ascii="Arial" w:hAnsi="Arial" w:cs="Arial"/>
        </w:rPr>
        <w:t>That a forfeiture order in terms of section 61 of POCA be granted in terms of the draft order annexed hereto as annexure X’</w:t>
      </w:r>
      <w:r w:rsidR="00C901FF" w:rsidRPr="002547FB">
        <w:rPr>
          <w:rFonts w:ascii="Arial" w:hAnsi="Arial" w:cs="Arial"/>
        </w:rPr>
        <w:t>.</w:t>
      </w:r>
    </w:p>
    <w:p w:rsidR="00C901FF" w:rsidRPr="002547FB" w:rsidRDefault="00C901FF" w:rsidP="00C901FF">
      <w:pPr>
        <w:pStyle w:val="ListParagraph"/>
        <w:tabs>
          <w:tab w:val="left" w:pos="720"/>
        </w:tabs>
        <w:spacing w:after="0" w:line="360" w:lineRule="auto"/>
        <w:jc w:val="both"/>
        <w:rPr>
          <w:rFonts w:ascii="Arial" w:hAnsi="Arial" w:cs="Arial"/>
        </w:rPr>
      </w:pPr>
    </w:p>
    <w:p w:rsidR="00F144DB" w:rsidRPr="002547FB" w:rsidRDefault="00C6055B" w:rsidP="00F144DB">
      <w:pPr>
        <w:pStyle w:val="ListParagraph"/>
        <w:numPr>
          <w:ilvl w:val="0"/>
          <w:numId w:val="31"/>
        </w:numPr>
        <w:tabs>
          <w:tab w:val="left" w:pos="720"/>
        </w:tabs>
        <w:spacing w:after="0" w:line="360" w:lineRule="auto"/>
        <w:ind w:hanging="720"/>
        <w:jc w:val="both"/>
        <w:rPr>
          <w:rFonts w:ascii="Arial" w:hAnsi="Arial" w:cs="Arial"/>
        </w:rPr>
      </w:pPr>
      <w:r>
        <w:rPr>
          <w:rFonts w:ascii="Arial" w:hAnsi="Arial" w:cs="Arial"/>
        </w:rPr>
        <w:t xml:space="preserve">. . . </w:t>
      </w:r>
    </w:p>
    <w:p w:rsidR="00F144DB" w:rsidRPr="002547FB" w:rsidRDefault="00F144DB" w:rsidP="00F144DB">
      <w:pPr>
        <w:pStyle w:val="ListParagraph"/>
        <w:tabs>
          <w:tab w:val="left" w:pos="720"/>
        </w:tabs>
        <w:spacing w:after="0" w:line="360" w:lineRule="auto"/>
        <w:jc w:val="both"/>
        <w:rPr>
          <w:rFonts w:ascii="Arial" w:hAnsi="Arial" w:cs="Arial"/>
        </w:rPr>
      </w:pPr>
    </w:p>
    <w:p w:rsidR="00F144DB" w:rsidRPr="002547FB" w:rsidRDefault="00F144DB" w:rsidP="00513B50">
      <w:pPr>
        <w:tabs>
          <w:tab w:val="left" w:pos="720"/>
        </w:tabs>
        <w:spacing w:after="0" w:line="360" w:lineRule="auto"/>
        <w:jc w:val="both"/>
        <w:rPr>
          <w:rFonts w:ascii="Arial" w:hAnsi="Arial" w:cs="Arial"/>
        </w:rPr>
      </w:pPr>
      <w:r w:rsidRPr="002547FB">
        <w:rPr>
          <w:rFonts w:ascii="Arial" w:hAnsi="Arial" w:cs="Arial"/>
          <w:b/>
        </w:rPr>
        <w:t xml:space="preserve">TAKE </w:t>
      </w:r>
      <w:r w:rsidR="00513B50" w:rsidRPr="002547FB">
        <w:rPr>
          <w:rFonts w:ascii="Arial" w:hAnsi="Arial" w:cs="Arial"/>
          <w:b/>
        </w:rPr>
        <w:t xml:space="preserve">FURTHER </w:t>
      </w:r>
      <w:r w:rsidRPr="002547FB">
        <w:rPr>
          <w:rFonts w:ascii="Arial" w:hAnsi="Arial" w:cs="Arial"/>
          <w:b/>
        </w:rPr>
        <w:t>NOTICE</w:t>
      </w:r>
      <w:r w:rsidRPr="002547FB">
        <w:rPr>
          <w:rFonts w:ascii="Arial" w:hAnsi="Arial" w:cs="Arial"/>
        </w:rPr>
        <w:t xml:space="preserve"> that the </w:t>
      </w:r>
      <w:r w:rsidR="00513B50" w:rsidRPr="002547FB">
        <w:rPr>
          <w:rFonts w:ascii="Arial" w:hAnsi="Arial" w:cs="Arial"/>
        </w:rPr>
        <w:t xml:space="preserve">affidavit of </w:t>
      </w:r>
      <w:r w:rsidR="00513B50" w:rsidRPr="002547FB">
        <w:rPr>
          <w:rFonts w:ascii="Arial" w:hAnsi="Arial" w:cs="Arial"/>
          <w:b/>
        </w:rPr>
        <w:t>OLYVIA MARTHA IMALWA</w:t>
      </w:r>
      <w:r w:rsidR="00513B50" w:rsidRPr="002547FB">
        <w:rPr>
          <w:rFonts w:ascii="Arial" w:hAnsi="Arial" w:cs="Arial"/>
        </w:rPr>
        <w:t xml:space="preserve"> </w:t>
      </w:r>
      <w:r w:rsidR="00513B50" w:rsidRPr="002547FB">
        <w:rPr>
          <w:rFonts w:ascii="Arial" w:hAnsi="Arial" w:cs="Arial"/>
          <w:u w:val="single"/>
        </w:rPr>
        <w:t>as well as all affidavits and annexures filed in support of the preservation of property application granted by this Honourable Court on 19 February 2016 under the same case number will be used in support of this application.</w:t>
      </w:r>
      <w:r w:rsidR="00513B50" w:rsidRPr="002547FB">
        <w:rPr>
          <w:rFonts w:ascii="Arial" w:hAnsi="Arial" w:cs="Arial"/>
        </w:rPr>
        <w:t>’</w:t>
      </w:r>
      <w:r w:rsidR="00231D49" w:rsidRPr="002547FB">
        <w:rPr>
          <w:rFonts w:ascii="Arial" w:hAnsi="Arial" w:cs="Arial"/>
        </w:rPr>
        <w:t xml:space="preserve"> (Own</w:t>
      </w:r>
      <w:r w:rsidR="005A4DDD" w:rsidRPr="002547FB">
        <w:rPr>
          <w:rFonts w:ascii="Arial" w:hAnsi="Arial" w:cs="Arial"/>
        </w:rPr>
        <w:t xml:space="preserve"> emphasis)</w:t>
      </w:r>
    </w:p>
    <w:p w:rsidR="00513B50" w:rsidRPr="002547FB" w:rsidRDefault="00513B50" w:rsidP="00513B50">
      <w:pPr>
        <w:tabs>
          <w:tab w:val="left" w:pos="720"/>
        </w:tabs>
        <w:spacing w:after="0" w:line="360" w:lineRule="auto"/>
        <w:jc w:val="both"/>
        <w:rPr>
          <w:rFonts w:ascii="Arial" w:hAnsi="Arial" w:cs="Arial"/>
        </w:rPr>
      </w:pPr>
    </w:p>
    <w:p w:rsidR="00513B50" w:rsidRPr="002547FB" w:rsidRDefault="00513B50" w:rsidP="00F144DB">
      <w:pPr>
        <w:tabs>
          <w:tab w:val="left" w:pos="720"/>
        </w:tabs>
        <w:spacing w:after="0" w:line="360" w:lineRule="auto"/>
        <w:jc w:val="both"/>
        <w:rPr>
          <w:rFonts w:ascii="Arial" w:hAnsi="Arial" w:cs="Arial"/>
          <w:sz w:val="24"/>
          <w:szCs w:val="24"/>
        </w:rPr>
      </w:pPr>
      <w:r w:rsidRPr="002547FB">
        <w:rPr>
          <w:rFonts w:ascii="Arial" w:hAnsi="Arial" w:cs="Arial"/>
          <w:sz w:val="24"/>
          <w:szCs w:val="24"/>
        </w:rPr>
        <w:t>[2</w:t>
      </w:r>
      <w:r w:rsidR="00F457ED" w:rsidRPr="002547FB">
        <w:rPr>
          <w:rFonts w:ascii="Arial" w:hAnsi="Arial" w:cs="Arial"/>
          <w:sz w:val="24"/>
          <w:szCs w:val="24"/>
        </w:rPr>
        <w:t>7</w:t>
      </w:r>
      <w:r w:rsidRPr="002547FB">
        <w:rPr>
          <w:rFonts w:ascii="Arial" w:hAnsi="Arial" w:cs="Arial"/>
          <w:sz w:val="24"/>
          <w:szCs w:val="24"/>
        </w:rPr>
        <w:t>]</w:t>
      </w:r>
      <w:r w:rsidRPr="002547FB">
        <w:rPr>
          <w:rFonts w:ascii="Arial" w:hAnsi="Arial" w:cs="Arial"/>
          <w:sz w:val="24"/>
          <w:szCs w:val="24"/>
        </w:rPr>
        <w:tab/>
        <w:t>As regards the basis or facts on which the Prosecutor General relies for the application to forfeit the preserved property</w:t>
      </w:r>
      <w:r w:rsidR="00231D49" w:rsidRPr="002547FB">
        <w:rPr>
          <w:rFonts w:ascii="Arial" w:hAnsi="Arial" w:cs="Arial"/>
          <w:sz w:val="24"/>
          <w:szCs w:val="24"/>
        </w:rPr>
        <w:t>, the Prosecutor-</w:t>
      </w:r>
      <w:r w:rsidRPr="002547FB">
        <w:rPr>
          <w:rFonts w:ascii="Arial" w:hAnsi="Arial" w:cs="Arial"/>
          <w:sz w:val="24"/>
          <w:szCs w:val="24"/>
        </w:rPr>
        <w:t>General states the following in her affidavit:</w:t>
      </w:r>
    </w:p>
    <w:p w:rsidR="00513B50" w:rsidRPr="002547FB" w:rsidRDefault="00513B50" w:rsidP="00F144DB">
      <w:pPr>
        <w:tabs>
          <w:tab w:val="left" w:pos="720"/>
        </w:tabs>
        <w:spacing w:after="0" w:line="360" w:lineRule="auto"/>
        <w:jc w:val="both"/>
        <w:rPr>
          <w:rFonts w:ascii="Arial" w:hAnsi="Arial" w:cs="Arial"/>
          <w:sz w:val="24"/>
          <w:szCs w:val="24"/>
        </w:rPr>
      </w:pPr>
    </w:p>
    <w:p w:rsidR="00513B50" w:rsidRPr="002547FB" w:rsidRDefault="00614442" w:rsidP="00513B50">
      <w:pPr>
        <w:tabs>
          <w:tab w:val="left" w:pos="720"/>
        </w:tabs>
        <w:spacing w:after="0" w:line="360" w:lineRule="auto"/>
        <w:ind w:firstLine="720"/>
        <w:jc w:val="both"/>
        <w:rPr>
          <w:rFonts w:ascii="Arial" w:hAnsi="Arial" w:cs="Arial"/>
        </w:rPr>
      </w:pPr>
      <w:r>
        <w:rPr>
          <w:rFonts w:ascii="Arial" w:hAnsi="Arial" w:cs="Arial"/>
        </w:rPr>
        <w:lastRenderedPageBreak/>
        <w:t>‘</w:t>
      </w:r>
      <w:r w:rsidR="002A3B49" w:rsidRPr="002547FB">
        <w:rPr>
          <w:rFonts w:ascii="Arial" w:hAnsi="Arial" w:cs="Arial"/>
        </w:rPr>
        <w:t>21.</w:t>
      </w:r>
      <w:r w:rsidR="002A3B49" w:rsidRPr="002547FB">
        <w:rPr>
          <w:rFonts w:ascii="Arial" w:hAnsi="Arial" w:cs="Arial"/>
        </w:rPr>
        <w:tab/>
      </w:r>
      <w:r w:rsidR="00513B50" w:rsidRPr="002547FB">
        <w:rPr>
          <w:rFonts w:ascii="Arial" w:hAnsi="Arial" w:cs="Arial"/>
        </w:rPr>
        <w:t xml:space="preserve">I refer this Honourable Court to the documents and annexures filed in support of the preservation application filed under the same case number. The </w:t>
      </w:r>
      <w:r w:rsidR="002A3B49" w:rsidRPr="002547FB">
        <w:rPr>
          <w:rFonts w:ascii="Arial" w:hAnsi="Arial" w:cs="Arial"/>
        </w:rPr>
        <w:t>papers filed in support of the present application continue from those filed in support of the preservation application and the latter papers are accordingly incorporated herein.</w:t>
      </w:r>
    </w:p>
    <w:p w:rsidR="002A3B49" w:rsidRPr="002547FB" w:rsidRDefault="002A3B49" w:rsidP="00513B50">
      <w:pPr>
        <w:tabs>
          <w:tab w:val="left" w:pos="720"/>
        </w:tabs>
        <w:spacing w:after="0" w:line="360" w:lineRule="auto"/>
        <w:ind w:firstLine="720"/>
        <w:jc w:val="both"/>
        <w:rPr>
          <w:rFonts w:ascii="Arial" w:hAnsi="Arial" w:cs="Arial"/>
        </w:rPr>
      </w:pPr>
    </w:p>
    <w:p w:rsidR="002A3B49" w:rsidRPr="002547FB" w:rsidRDefault="002A3B49" w:rsidP="00513B50">
      <w:pPr>
        <w:tabs>
          <w:tab w:val="left" w:pos="720"/>
        </w:tabs>
        <w:spacing w:after="0" w:line="360" w:lineRule="auto"/>
        <w:ind w:firstLine="720"/>
        <w:jc w:val="both"/>
        <w:rPr>
          <w:rFonts w:ascii="Arial" w:hAnsi="Arial" w:cs="Arial"/>
        </w:rPr>
      </w:pPr>
      <w:r w:rsidRPr="002547FB">
        <w:rPr>
          <w:rFonts w:ascii="Arial" w:hAnsi="Arial" w:cs="Arial"/>
        </w:rPr>
        <w:t>22.</w:t>
      </w:r>
      <w:r w:rsidRPr="002547FB">
        <w:rPr>
          <w:rFonts w:ascii="Arial" w:hAnsi="Arial" w:cs="Arial"/>
        </w:rPr>
        <w:tab/>
        <w:t>The affidavit of Justine Namukwambi Kanyangela (Ms Kanyangela) and the relevant annexures thereto filed in support of the preservation application set out the facts upon which this application is based.</w:t>
      </w:r>
    </w:p>
    <w:p w:rsidR="00C901FF" w:rsidRPr="002547FB" w:rsidRDefault="00C901FF" w:rsidP="00513B50">
      <w:pPr>
        <w:tabs>
          <w:tab w:val="left" w:pos="720"/>
        </w:tabs>
        <w:spacing w:after="0" w:line="360" w:lineRule="auto"/>
        <w:ind w:firstLine="720"/>
        <w:jc w:val="both"/>
        <w:rPr>
          <w:rFonts w:ascii="Arial" w:hAnsi="Arial" w:cs="Arial"/>
        </w:rPr>
      </w:pPr>
    </w:p>
    <w:p w:rsidR="002A3B49" w:rsidRPr="002547FB" w:rsidRDefault="002A3B49" w:rsidP="00513B50">
      <w:pPr>
        <w:tabs>
          <w:tab w:val="left" w:pos="720"/>
        </w:tabs>
        <w:spacing w:after="0" w:line="360" w:lineRule="auto"/>
        <w:ind w:firstLine="720"/>
        <w:jc w:val="both"/>
        <w:rPr>
          <w:rFonts w:ascii="Arial" w:hAnsi="Arial" w:cs="Arial"/>
        </w:rPr>
      </w:pPr>
      <w:r w:rsidRPr="002547FB">
        <w:rPr>
          <w:rFonts w:ascii="Arial" w:hAnsi="Arial" w:cs="Arial"/>
        </w:rPr>
        <w:t>23</w:t>
      </w:r>
      <w:r w:rsidRPr="002547FB">
        <w:rPr>
          <w:rFonts w:ascii="Arial" w:hAnsi="Arial" w:cs="Arial"/>
        </w:rPr>
        <w:tab/>
        <w:t xml:space="preserve">The full facts in support of Ms Kanyangela’s </w:t>
      </w:r>
      <w:r w:rsidR="00780109" w:rsidRPr="002547FB">
        <w:rPr>
          <w:rFonts w:ascii="Arial" w:hAnsi="Arial" w:cs="Arial"/>
        </w:rPr>
        <w:t>belief</w:t>
      </w:r>
      <w:r w:rsidRPr="002547FB">
        <w:rPr>
          <w:rFonts w:ascii="Arial" w:hAnsi="Arial" w:cs="Arial"/>
        </w:rPr>
        <w:t xml:space="preserve"> </w:t>
      </w:r>
      <w:r w:rsidR="00780109" w:rsidRPr="002547FB">
        <w:rPr>
          <w:rFonts w:ascii="Arial" w:hAnsi="Arial" w:cs="Arial"/>
        </w:rPr>
        <w:t>that the properties are the proceeds unlawful activities are set out in the supporting affidavit which is attached to the preservation and this Honourable Court is referred thereto as if specifically incorporated herein.’</w:t>
      </w:r>
    </w:p>
    <w:p w:rsidR="00780109" w:rsidRPr="002547FB" w:rsidRDefault="00780109" w:rsidP="00513B50">
      <w:pPr>
        <w:tabs>
          <w:tab w:val="left" w:pos="720"/>
        </w:tabs>
        <w:spacing w:after="0" w:line="360" w:lineRule="auto"/>
        <w:ind w:firstLine="720"/>
        <w:jc w:val="both"/>
        <w:rPr>
          <w:rFonts w:ascii="Arial" w:hAnsi="Arial" w:cs="Arial"/>
        </w:rPr>
      </w:pPr>
    </w:p>
    <w:p w:rsidR="00780109" w:rsidRPr="002547FB" w:rsidRDefault="00231D49" w:rsidP="00F144DB">
      <w:pPr>
        <w:tabs>
          <w:tab w:val="left" w:pos="720"/>
        </w:tabs>
        <w:spacing w:after="0" w:line="360" w:lineRule="auto"/>
        <w:jc w:val="both"/>
        <w:rPr>
          <w:rFonts w:ascii="Arial" w:hAnsi="Arial" w:cs="Arial"/>
          <w:sz w:val="24"/>
          <w:szCs w:val="24"/>
        </w:rPr>
      </w:pPr>
      <w:r w:rsidRPr="002547FB">
        <w:rPr>
          <w:rFonts w:ascii="Arial" w:hAnsi="Arial" w:cs="Arial"/>
          <w:sz w:val="24"/>
          <w:szCs w:val="24"/>
        </w:rPr>
        <w:t>[2</w:t>
      </w:r>
      <w:r w:rsidR="00F457ED" w:rsidRPr="002547FB">
        <w:rPr>
          <w:rFonts w:ascii="Arial" w:hAnsi="Arial" w:cs="Arial"/>
          <w:sz w:val="24"/>
          <w:szCs w:val="24"/>
        </w:rPr>
        <w:t>8</w:t>
      </w:r>
      <w:r w:rsidRPr="002547FB">
        <w:rPr>
          <w:rFonts w:ascii="Arial" w:hAnsi="Arial" w:cs="Arial"/>
          <w:sz w:val="24"/>
          <w:szCs w:val="24"/>
        </w:rPr>
        <w:t>]</w:t>
      </w:r>
      <w:r w:rsidRPr="002547FB">
        <w:rPr>
          <w:rFonts w:ascii="Arial" w:hAnsi="Arial" w:cs="Arial"/>
          <w:sz w:val="24"/>
          <w:szCs w:val="24"/>
        </w:rPr>
        <w:tab/>
        <w:t>The respondents take issue</w:t>
      </w:r>
      <w:r w:rsidR="00780109" w:rsidRPr="002547FB">
        <w:rPr>
          <w:rFonts w:ascii="Arial" w:hAnsi="Arial" w:cs="Arial"/>
          <w:sz w:val="24"/>
          <w:szCs w:val="24"/>
        </w:rPr>
        <w:t xml:space="preserve"> with this approach by the Prosecutor</w:t>
      </w:r>
      <w:r w:rsidRPr="002547FB">
        <w:rPr>
          <w:rFonts w:ascii="Arial" w:hAnsi="Arial" w:cs="Arial"/>
          <w:sz w:val="24"/>
          <w:szCs w:val="24"/>
        </w:rPr>
        <w:t>-</w:t>
      </w:r>
      <w:r w:rsidR="00780109" w:rsidRPr="002547FB">
        <w:rPr>
          <w:rFonts w:ascii="Arial" w:hAnsi="Arial" w:cs="Arial"/>
          <w:sz w:val="24"/>
          <w:szCs w:val="24"/>
        </w:rPr>
        <w:t>General. Mr Kamunguma who deposed to the opposing affidavit filed in the opposition of the forfeiture order contends that:</w:t>
      </w:r>
    </w:p>
    <w:p w:rsidR="000409F6" w:rsidRPr="002547FB" w:rsidRDefault="000409F6" w:rsidP="00F144DB">
      <w:pPr>
        <w:tabs>
          <w:tab w:val="left" w:pos="720"/>
        </w:tabs>
        <w:spacing w:after="0" w:line="360" w:lineRule="auto"/>
        <w:jc w:val="both"/>
        <w:rPr>
          <w:rFonts w:ascii="Arial" w:hAnsi="Arial" w:cs="Arial"/>
          <w:sz w:val="24"/>
          <w:szCs w:val="24"/>
        </w:rPr>
      </w:pPr>
    </w:p>
    <w:p w:rsidR="000B2AE3" w:rsidRPr="002547FB" w:rsidRDefault="00780109" w:rsidP="000B2AE3">
      <w:pPr>
        <w:tabs>
          <w:tab w:val="left" w:pos="720"/>
          <w:tab w:val="left" w:pos="1260"/>
        </w:tabs>
        <w:spacing w:after="0" w:line="360" w:lineRule="auto"/>
        <w:ind w:firstLine="720"/>
        <w:jc w:val="both"/>
        <w:rPr>
          <w:rFonts w:ascii="Arial" w:hAnsi="Arial" w:cs="Arial"/>
        </w:rPr>
      </w:pPr>
      <w:r w:rsidRPr="002547FB">
        <w:rPr>
          <w:rFonts w:ascii="Arial" w:hAnsi="Arial" w:cs="Arial"/>
          <w:sz w:val="24"/>
          <w:szCs w:val="24"/>
        </w:rPr>
        <w:t>‘</w:t>
      </w:r>
      <w:r w:rsidR="000B2AE3" w:rsidRPr="002547FB">
        <w:rPr>
          <w:rFonts w:ascii="Arial" w:hAnsi="Arial" w:cs="Arial"/>
          <w:sz w:val="24"/>
          <w:szCs w:val="24"/>
        </w:rPr>
        <w:t>2.</w:t>
      </w:r>
      <w:r w:rsidR="000B2AE3" w:rsidRPr="002547FB">
        <w:rPr>
          <w:rFonts w:ascii="Arial" w:hAnsi="Arial" w:cs="Arial"/>
          <w:sz w:val="24"/>
          <w:szCs w:val="24"/>
        </w:rPr>
        <w:tab/>
      </w:r>
      <w:r w:rsidRPr="002547FB">
        <w:rPr>
          <w:rFonts w:ascii="Arial" w:hAnsi="Arial" w:cs="Arial"/>
        </w:rPr>
        <w:t xml:space="preserve">This [i.e. the forfeiture application] is a distinct application in terms of section 59 of POCA. It is different from the preservation application brought earlier by the applicant in which application the applicant was granted a preservation order on an </w:t>
      </w:r>
      <w:r w:rsidRPr="002547FB">
        <w:rPr>
          <w:rFonts w:ascii="Arial" w:hAnsi="Arial" w:cs="Arial"/>
          <w:i/>
        </w:rPr>
        <w:t>ex parte</w:t>
      </w:r>
      <w:r w:rsidRPr="002547FB">
        <w:rPr>
          <w:rFonts w:ascii="Arial" w:hAnsi="Arial" w:cs="Arial"/>
        </w:rPr>
        <w:t xml:space="preserve"> basis</w:t>
      </w:r>
      <w:r w:rsidR="000B2AE3" w:rsidRPr="002547FB">
        <w:rPr>
          <w:rFonts w:ascii="Arial" w:hAnsi="Arial" w:cs="Arial"/>
        </w:rPr>
        <w:t>. The fact that the Registrar allocated the same case number as that of the preservation does not make this application part of the preservation application. Each one has to be considered separately and on its own merits.’</w:t>
      </w:r>
    </w:p>
    <w:p w:rsidR="00780109" w:rsidRPr="002547FB" w:rsidRDefault="00780109" w:rsidP="00780109">
      <w:pPr>
        <w:tabs>
          <w:tab w:val="left" w:pos="720"/>
        </w:tabs>
        <w:spacing w:after="0" w:line="360" w:lineRule="auto"/>
        <w:ind w:firstLine="720"/>
        <w:jc w:val="both"/>
        <w:rPr>
          <w:rFonts w:ascii="Arial" w:hAnsi="Arial" w:cs="Arial"/>
          <w:sz w:val="24"/>
          <w:szCs w:val="24"/>
        </w:rPr>
      </w:pPr>
    </w:p>
    <w:p w:rsidR="00C547FE" w:rsidRPr="002547FB" w:rsidRDefault="00B815BE" w:rsidP="00D9421A">
      <w:pPr>
        <w:tabs>
          <w:tab w:val="left" w:pos="720"/>
        </w:tabs>
        <w:spacing w:after="0" w:line="360" w:lineRule="auto"/>
        <w:jc w:val="both"/>
        <w:rPr>
          <w:rFonts w:ascii="Arial" w:hAnsi="Arial" w:cs="Arial"/>
          <w:sz w:val="24"/>
          <w:szCs w:val="24"/>
        </w:rPr>
      </w:pPr>
      <w:r w:rsidRPr="002547FB">
        <w:rPr>
          <w:rFonts w:ascii="Arial" w:hAnsi="Arial" w:cs="Arial"/>
          <w:sz w:val="24"/>
          <w:szCs w:val="24"/>
        </w:rPr>
        <w:t>[2</w:t>
      </w:r>
      <w:r w:rsidR="00F457ED" w:rsidRPr="002547FB">
        <w:rPr>
          <w:rFonts w:ascii="Arial" w:hAnsi="Arial" w:cs="Arial"/>
          <w:sz w:val="24"/>
          <w:szCs w:val="24"/>
        </w:rPr>
        <w:t>9</w:t>
      </w:r>
      <w:r w:rsidRPr="002547FB">
        <w:rPr>
          <w:rFonts w:ascii="Arial" w:hAnsi="Arial" w:cs="Arial"/>
          <w:sz w:val="24"/>
          <w:szCs w:val="24"/>
        </w:rPr>
        <w:t>]</w:t>
      </w:r>
      <w:r w:rsidRPr="002547FB">
        <w:rPr>
          <w:rFonts w:ascii="Arial" w:hAnsi="Arial" w:cs="Arial"/>
          <w:sz w:val="24"/>
          <w:szCs w:val="24"/>
        </w:rPr>
        <w:tab/>
        <w:t>In view of the above contentions between the protagonists in this matter I find it appropriate to, before I deal with the basis upon which the applicant seeks a forfeiture order and the basis upon which the respondents oppose the order forfeiting the preserved property</w:t>
      </w:r>
      <w:r w:rsidR="00F457ED" w:rsidRPr="002547FB">
        <w:rPr>
          <w:rFonts w:ascii="Arial" w:hAnsi="Arial" w:cs="Arial"/>
          <w:sz w:val="24"/>
          <w:szCs w:val="24"/>
        </w:rPr>
        <w:t xml:space="preserve"> (if necessary)</w:t>
      </w:r>
      <w:r w:rsidRPr="002547FB">
        <w:rPr>
          <w:rFonts w:ascii="Arial" w:hAnsi="Arial" w:cs="Arial"/>
          <w:sz w:val="24"/>
          <w:szCs w:val="24"/>
        </w:rPr>
        <w:t xml:space="preserve">, briefly deal with </w:t>
      </w:r>
      <w:r w:rsidR="000B2AE3" w:rsidRPr="002547FB">
        <w:rPr>
          <w:rFonts w:ascii="Arial" w:hAnsi="Arial" w:cs="Arial"/>
          <w:sz w:val="24"/>
          <w:szCs w:val="24"/>
        </w:rPr>
        <w:t>certain provisions</w:t>
      </w:r>
      <w:r w:rsidRPr="002547FB">
        <w:rPr>
          <w:rFonts w:ascii="Arial" w:hAnsi="Arial" w:cs="Arial"/>
          <w:sz w:val="24"/>
          <w:szCs w:val="24"/>
        </w:rPr>
        <w:t xml:space="preserve"> that are relevant to the issues between the </w:t>
      </w:r>
      <w:r w:rsidR="00DA1B18" w:rsidRPr="002547FB">
        <w:rPr>
          <w:rFonts w:ascii="Arial" w:hAnsi="Arial" w:cs="Arial"/>
          <w:sz w:val="24"/>
          <w:szCs w:val="24"/>
        </w:rPr>
        <w:t>P</w:t>
      </w:r>
      <w:r w:rsidRPr="002547FB">
        <w:rPr>
          <w:rFonts w:ascii="Arial" w:hAnsi="Arial" w:cs="Arial"/>
          <w:sz w:val="24"/>
          <w:szCs w:val="24"/>
        </w:rPr>
        <w:t>rosecutor General and the respondents.</w:t>
      </w:r>
    </w:p>
    <w:p w:rsidR="00C547FE" w:rsidRPr="002547FB" w:rsidRDefault="00C547FE" w:rsidP="00D9421A">
      <w:pPr>
        <w:tabs>
          <w:tab w:val="left" w:pos="720"/>
        </w:tabs>
        <w:spacing w:after="0" w:line="360" w:lineRule="auto"/>
        <w:jc w:val="both"/>
        <w:rPr>
          <w:rFonts w:ascii="Arial" w:hAnsi="Arial" w:cs="Arial"/>
          <w:sz w:val="24"/>
          <w:szCs w:val="24"/>
        </w:rPr>
      </w:pPr>
    </w:p>
    <w:p w:rsidR="001C4F41" w:rsidRPr="002547FB" w:rsidRDefault="00B815BE" w:rsidP="00D9421A">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F457ED" w:rsidRPr="002547FB">
        <w:rPr>
          <w:rFonts w:ascii="Arial" w:hAnsi="Arial" w:cs="Arial"/>
          <w:sz w:val="24"/>
          <w:szCs w:val="24"/>
        </w:rPr>
        <w:t>30</w:t>
      </w:r>
      <w:r w:rsidRPr="002547FB">
        <w:rPr>
          <w:rFonts w:ascii="Arial" w:hAnsi="Arial" w:cs="Arial"/>
          <w:sz w:val="24"/>
          <w:szCs w:val="24"/>
        </w:rPr>
        <w:t>]</w:t>
      </w:r>
      <w:r w:rsidRPr="002547FB">
        <w:rPr>
          <w:rFonts w:ascii="Arial" w:hAnsi="Arial" w:cs="Arial"/>
          <w:sz w:val="24"/>
          <w:szCs w:val="24"/>
        </w:rPr>
        <w:tab/>
        <w:t xml:space="preserve">I have above set out the purpose </w:t>
      </w:r>
      <w:r w:rsidR="00D9421A" w:rsidRPr="002547FB">
        <w:rPr>
          <w:rFonts w:ascii="Arial" w:hAnsi="Arial" w:cs="Arial"/>
          <w:sz w:val="24"/>
          <w:szCs w:val="24"/>
        </w:rPr>
        <w:t xml:space="preserve">the </w:t>
      </w:r>
      <w:r w:rsidR="000B2AE3" w:rsidRPr="002547FB">
        <w:rPr>
          <w:rFonts w:ascii="Arial" w:hAnsi="Arial" w:cs="Arial"/>
          <w:sz w:val="24"/>
          <w:szCs w:val="24"/>
        </w:rPr>
        <w:t>Act</w:t>
      </w:r>
      <w:r w:rsidR="00D9421A" w:rsidRPr="002547FB">
        <w:rPr>
          <w:rFonts w:ascii="Arial" w:hAnsi="Arial" w:cs="Arial"/>
          <w:sz w:val="24"/>
          <w:szCs w:val="24"/>
        </w:rPr>
        <w:t>.</w:t>
      </w:r>
      <w:r w:rsidR="00D9421A" w:rsidRPr="002547FB">
        <w:rPr>
          <w:rStyle w:val="FootnoteReference"/>
          <w:rFonts w:ascii="Arial" w:hAnsi="Arial" w:cs="Arial"/>
          <w:sz w:val="24"/>
          <w:szCs w:val="24"/>
        </w:rPr>
        <w:footnoteReference w:id="9"/>
      </w:r>
      <w:r w:rsidR="00D9421A" w:rsidRPr="002547FB">
        <w:rPr>
          <w:rFonts w:ascii="Arial" w:hAnsi="Arial" w:cs="Arial"/>
          <w:sz w:val="24"/>
          <w:szCs w:val="24"/>
        </w:rPr>
        <w:t xml:space="preserve"> </w:t>
      </w:r>
      <w:r w:rsidR="001C4F41" w:rsidRPr="002547FB">
        <w:rPr>
          <w:rFonts w:ascii="Arial" w:hAnsi="Arial" w:cs="Arial"/>
          <w:sz w:val="24"/>
          <w:szCs w:val="24"/>
        </w:rPr>
        <w:t xml:space="preserve"> I am in full agreement and echo the </w:t>
      </w:r>
      <w:r w:rsidR="00D9421A" w:rsidRPr="002547FB">
        <w:rPr>
          <w:rFonts w:ascii="Arial" w:hAnsi="Arial" w:cs="Arial"/>
          <w:sz w:val="24"/>
          <w:szCs w:val="24"/>
        </w:rPr>
        <w:t>words of Ackerman J</w:t>
      </w:r>
      <w:r w:rsidR="00D9421A" w:rsidRPr="002547FB">
        <w:rPr>
          <w:rStyle w:val="FootnoteReference"/>
          <w:rFonts w:ascii="Arial" w:hAnsi="Arial" w:cs="Arial"/>
          <w:sz w:val="24"/>
          <w:szCs w:val="24"/>
        </w:rPr>
        <w:footnoteReference w:id="10"/>
      </w:r>
      <w:r w:rsidR="00D9421A" w:rsidRPr="002547FB">
        <w:rPr>
          <w:rFonts w:ascii="Arial" w:hAnsi="Arial" w:cs="Arial"/>
          <w:sz w:val="24"/>
          <w:szCs w:val="24"/>
        </w:rPr>
        <w:t xml:space="preserve"> </w:t>
      </w:r>
      <w:r w:rsidR="000B2AE3" w:rsidRPr="002547FB">
        <w:rPr>
          <w:rFonts w:ascii="Arial" w:hAnsi="Arial" w:cs="Arial"/>
          <w:sz w:val="24"/>
          <w:szCs w:val="24"/>
        </w:rPr>
        <w:t xml:space="preserve">that conventional criminal penalties are inadequate as measures of deterrence when organised crime leaders are able to retain the </w:t>
      </w:r>
      <w:r w:rsidR="000B2AE3" w:rsidRPr="002547FB">
        <w:rPr>
          <w:rFonts w:ascii="Arial" w:hAnsi="Arial" w:cs="Arial"/>
          <w:sz w:val="24"/>
          <w:szCs w:val="24"/>
        </w:rPr>
        <w:lastRenderedPageBreak/>
        <w:t>considerable gains d</w:t>
      </w:r>
      <w:r w:rsidR="00D9421A" w:rsidRPr="002547FB">
        <w:rPr>
          <w:rFonts w:ascii="Arial" w:hAnsi="Arial" w:cs="Arial"/>
          <w:sz w:val="24"/>
          <w:szCs w:val="24"/>
        </w:rPr>
        <w:t xml:space="preserve">erived from organised crime, </w:t>
      </w:r>
      <w:r w:rsidR="000B2AE3" w:rsidRPr="002547FB">
        <w:rPr>
          <w:rFonts w:ascii="Arial" w:hAnsi="Arial" w:cs="Arial"/>
          <w:sz w:val="24"/>
          <w:szCs w:val="24"/>
        </w:rPr>
        <w:t xml:space="preserve">even on those occasions when they are brought to justice. </w:t>
      </w:r>
      <w:r w:rsidR="001C4F41" w:rsidRPr="002547FB">
        <w:rPr>
          <w:rFonts w:ascii="Arial" w:hAnsi="Arial" w:cs="Arial"/>
          <w:sz w:val="24"/>
          <w:szCs w:val="24"/>
        </w:rPr>
        <w:t xml:space="preserve"> Ackerman J went on to say:</w:t>
      </w:r>
    </w:p>
    <w:p w:rsidR="00C901FF" w:rsidRPr="002547FB" w:rsidRDefault="00C901FF" w:rsidP="00D9421A">
      <w:pPr>
        <w:tabs>
          <w:tab w:val="left" w:pos="720"/>
        </w:tabs>
        <w:spacing w:after="0" w:line="360" w:lineRule="auto"/>
        <w:jc w:val="both"/>
        <w:rPr>
          <w:rFonts w:ascii="Arial" w:hAnsi="Arial" w:cs="Arial"/>
          <w:sz w:val="24"/>
          <w:szCs w:val="24"/>
        </w:rPr>
      </w:pPr>
    </w:p>
    <w:p w:rsidR="000B2AE3" w:rsidRPr="002547FB" w:rsidRDefault="001C4F41" w:rsidP="001C4F41">
      <w:pPr>
        <w:tabs>
          <w:tab w:val="left" w:pos="720"/>
        </w:tabs>
        <w:spacing w:after="0" w:line="360" w:lineRule="auto"/>
        <w:ind w:firstLine="720"/>
        <w:jc w:val="both"/>
        <w:rPr>
          <w:rFonts w:ascii="Arial" w:hAnsi="Arial" w:cs="Arial"/>
        </w:rPr>
      </w:pPr>
      <w:r w:rsidRPr="002547FB">
        <w:rPr>
          <w:rFonts w:ascii="Arial" w:hAnsi="Arial" w:cs="Arial"/>
        </w:rPr>
        <w:t>‘</w:t>
      </w:r>
      <w:r w:rsidR="000B2AE3" w:rsidRPr="002547FB">
        <w:rPr>
          <w:rFonts w:ascii="Arial" w:hAnsi="Arial" w:cs="Arial"/>
        </w:rPr>
        <w:t>The above problems make a severe impact on the young South African democracy, where resources are strained to meet urgent and extensive human needs. Various international instruments deal with the problem of international crime in this regard and it is now widely accepted in the international community that criminals should be strip</w:t>
      </w:r>
      <w:r w:rsidR="00D9421A" w:rsidRPr="002547FB">
        <w:rPr>
          <w:rFonts w:ascii="Arial" w:hAnsi="Arial" w:cs="Arial"/>
        </w:rPr>
        <w:t xml:space="preserve">ped of the proceeds of their </w:t>
      </w:r>
      <w:r w:rsidR="000B2AE3" w:rsidRPr="002547FB">
        <w:rPr>
          <w:rFonts w:ascii="Arial" w:hAnsi="Arial" w:cs="Arial"/>
        </w:rPr>
        <w:t>crimes, the purpose being t</w:t>
      </w:r>
      <w:r w:rsidRPr="002547FB">
        <w:rPr>
          <w:rFonts w:ascii="Arial" w:hAnsi="Arial" w:cs="Arial"/>
        </w:rPr>
        <w:t>o remove the incentive for crime</w:t>
      </w:r>
      <w:r w:rsidR="000B2AE3" w:rsidRPr="002547FB">
        <w:rPr>
          <w:rFonts w:ascii="Arial" w:hAnsi="Arial" w:cs="Arial"/>
        </w:rPr>
        <w:t>, not to punish them. This approach has similarly been adopted by our Legislature.</w:t>
      </w:r>
      <w:r w:rsidRPr="002547FB">
        <w:rPr>
          <w:rFonts w:ascii="Arial" w:hAnsi="Arial" w:cs="Arial"/>
        </w:rPr>
        <w:t>’</w:t>
      </w:r>
    </w:p>
    <w:p w:rsidR="00700FDA" w:rsidRPr="002547FB" w:rsidRDefault="00700FDA" w:rsidP="001C4F41">
      <w:pPr>
        <w:tabs>
          <w:tab w:val="left" w:pos="720"/>
        </w:tabs>
        <w:spacing w:after="0" w:line="360" w:lineRule="auto"/>
        <w:ind w:firstLine="720"/>
        <w:jc w:val="both"/>
        <w:rPr>
          <w:rFonts w:ascii="Arial" w:hAnsi="Arial" w:cs="Arial"/>
        </w:rPr>
      </w:pPr>
    </w:p>
    <w:p w:rsidR="000B2AE3" w:rsidRPr="002547FB" w:rsidRDefault="002C04A9" w:rsidP="004D282D">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F457ED" w:rsidRPr="002547FB">
        <w:rPr>
          <w:rFonts w:ascii="Arial" w:hAnsi="Arial" w:cs="Arial"/>
          <w:sz w:val="24"/>
          <w:szCs w:val="24"/>
        </w:rPr>
        <w:t>31</w:t>
      </w:r>
      <w:r w:rsidRPr="002547FB">
        <w:rPr>
          <w:rFonts w:ascii="Arial" w:hAnsi="Arial" w:cs="Arial"/>
          <w:sz w:val="24"/>
          <w:szCs w:val="24"/>
        </w:rPr>
        <w:t>]</w:t>
      </w:r>
      <w:r w:rsidRPr="002547FB">
        <w:rPr>
          <w:rFonts w:ascii="Arial" w:hAnsi="Arial" w:cs="Arial"/>
          <w:sz w:val="24"/>
          <w:szCs w:val="24"/>
        </w:rPr>
        <w:tab/>
        <w:t xml:space="preserve">The above statement applies </w:t>
      </w:r>
      <w:r w:rsidR="001C4F41" w:rsidRPr="002547FB">
        <w:rPr>
          <w:rFonts w:ascii="Arial" w:hAnsi="Arial" w:cs="Arial"/>
          <w:sz w:val="24"/>
          <w:szCs w:val="24"/>
        </w:rPr>
        <w:t xml:space="preserve">with equal force to our ‘young’ Republic. </w:t>
      </w:r>
      <w:r w:rsidR="000B2AE3" w:rsidRPr="002547FB">
        <w:rPr>
          <w:rFonts w:ascii="Arial" w:hAnsi="Arial" w:cs="Arial"/>
          <w:sz w:val="24"/>
          <w:szCs w:val="24"/>
        </w:rPr>
        <w:t>The Act uses two mechanisms to ensure that property derived from crime or used in the commission of crime is forfeited to the State. These me</w:t>
      </w:r>
      <w:r w:rsidRPr="002547FB">
        <w:rPr>
          <w:rFonts w:ascii="Arial" w:hAnsi="Arial" w:cs="Arial"/>
          <w:sz w:val="24"/>
          <w:szCs w:val="24"/>
        </w:rPr>
        <w:t>chanisms are set forth in chapters five</w:t>
      </w:r>
      <w:r w:rsidR="004B23E1" w:rsidRPr="002547FB">
        <w:rPr>
          <w:rStyle w:val="FootnoteReference"/>
          <w:rFonts w:ascii="Arial" w:hAnsi="Arial" w:cs="Arial"/>
          <w:sz w:val="24"/>
          <w:szCs w:val="24"/>
        </w:rPr>
        <w:footnoteReference w:id="11"/>
      </w:r>
      <w:r w:rsidRPr="002547FB">
        <w:rPr>
          <w:rFonts w:ascii="Arial" w:hAnsi="Arial" w:cs="Arial"/>
          <w:sz w:val="24"/>
          <w:szCs w:val="24"/>
        </w:rPr>
        <w:t xml:space="preserve"> and six</w:t>
      </w:r>
      <w:r w:rsidR="00C6055B">
        <w:rPr>
          <w:rFonts w:ascii="Arial" w:hAnsi="Arial" w:cs="Arial"/>
          <w:sz w:val="24"/>
          <w:szCs w:val="24"/>
        </w:rPr>
        <w:t>.</w:t>
      </w:r>
      <w:r w:rsidR="004B23E1" w:rsidRPr="002547FB">
        <w:rPr>
          <w:rStyle w:val="FootnoteReference"/>
          <w:rFonts w:ascii="Arial" w:hAnsi="Arial" w:cs="Arial"/>
          <w:sz w:val="24"/>
          <w:szCs w:val="24"/>
        </w:rPr>
        <w:footnoteReference w:id="12"/>
      </w:r>
      <w:r w:rsidR="00C6055B">
        <w:rPr>
          <w:rFonts w:ascii="Arial" w:hAnsi="Arial" w:cs="Arial"/>
          <w:sz w:val="24"/>
          <w:szCs w:val="24"/>
        </w:rPr>
        <w:t xml:space="preserve"> </w:t>
      </w:r>
      <w:r w:rsidRPr="002547FB">
        <w:rPr>
          <w:rFonts w:ascii="Arial" w:hAnsi="Arial" w:cs="Arial"/>
          <w:sz w:val="24"/>
          <w:szCs w:val="24"/>
        </w:rPr>
        <w:t>Chapter five</w:t>
      </w:r>
      <w:r w:rsidR="000B2AE3" w:rsidRPr="002547FB">
        <w:rPr>
          <w:rFonts w:ascii="Arial" w:hAnsi="Arial" w:cs="Arial"/>
          <w:sz w:val="24"/>
          <w:szCs w:val="24"/>
        </w:rPr>
        <w:t xml:space="preserve"> provides for the </w:t>
      </w:r>
      <w:r w:rsidR="00DA1B18" w:rsidRPr="002547FB">
        <w:rPr>
          <w:rFonts w:ascii="Arial" w:hAnsi="Arial" w:cs="Arial"/>
          <w:sz w:val="24"/>
          <w:szCs w:val="24"/>
        </w:rPr>
        <w:t>forfeiture of the benefits</w:t>
      </w:r>
      <w:r w:rsidR="000B2AE3" w:rsidRPr="002547FB">
        <w:rPr>
          <w:rFonts w:ascii="Arial" w:hAnsi="Arial" w:cs="Arial"/>
          <w:sz w:val="24"/>
          <w:szCs w:val="24"/>
        </w:rPr>
        <w:t xml:space="preserve"> derived from crime but its confiscation machinery may only be invoked when the 'defendant' is convicted of an offence</w:t>
      </w:r>
      <w:r w:rsidR="00C6055B">
        <w:rPr>
          <w:rFonts w:ascii="Arial" w:hAnsi="Arial" w:cs="Arial"/>
          <w:sz w:val="24"/>
          <w:szCs w:val="24"/>
        </w:rPr>
        <w:t>.</w:t>
      </w:r>
      <w:r w:rsidR="003D1BB9" w:rsidRPr="002547FB">
        <w:rPr>
          <w:rStyle w:val="FootnoteReference"/>
          <w:rFonts w:ascii="Arial" w:hAnsi="Arial" w:cs="Arial"/>
          <w:sz w:val="24"/>
          <w:szCs w:val="24"/>
        </w:rPr>
        <w:footnoteReference w:id="13"/>
      </w:r>
      <w:r w:rsidRPr="002547FB">
        <w:rPr>
          <w:rFonts w:ascii="Arial" w:hAnsi="Arial" w:cs="Arial"/>
          <w:sz w:val="24"/>
          <w:szCs w:val="24"/>
        </w:rPr>
        <w:t xml:space="preserve"> Chapter six</w:t>
      </w:r>
      <w:r w:rsidR="000B2AE3" w:rsidRPr="002547FB">
        <w:rPr>
          <w:rFonts w:ascii="Arial" w:hAnsi="Arial" w:cs="Arial"/>
          <w:sz w:val="24"/>
          <w:szCs w:val="24"/>
        </w:rPr>
        <w:t xml:space="preserve"> provides for forfeiture of the proceeds of and instrumentalities used in crime, but is not conviction based; it may be invoked even</w:t>
      </w:r>
      <w:r w:rsidR="004B23E1" w:rsidRPr="002547FB">
        <w:rPr>
          <w:rFonts w:ascii="Arial" w:hAnsi="Arial" w:cs="Arial"/>
          <w:sz w:val="24"/>
          <w:szCs w:val="24"/>
        </w:rPr>
        <w:t xml:space="preserve"> when there is no prosecution.</w:t>
      </w:r>
    </w:p>
    <w:p w:rsidR="004B23E1" w:rsidRPr="002547FB" w:rsidRDefault="004B23E1" w:rsidP="004D282D">
      <w:pPr>
        <w:tabs>
          <w:tab w:val="left" w:pos="720"/>
        </w:tabs>
        <w:spacing w:after="0" w:line="360" w:lineRule="auto"/>
        <w:jc w:val="both"/>
        <w:rPr>
          <w:rFonts w:ascii="Arial" w:hAnsi="Arial" w:cs="Arial"/>
        </w:rPr>
      </w:pPr>
    </w:p>
    <w:p w:rsidR="004D282D" w:rsidRPr="002547FB" w:rsidRDefault="000B2AE3" w:rsidP="004D282D">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4B23E1" w:rsidRPr="002547FB">
        <w:rPr>
          <w:rFonts w:ascii="Arial" w:hAnsi="Arial" w:cs="Arial"/>
          <w:sz w:val="24"/>
          <w:szCs w:val="24"/>
        </w:rPr>
        <w:t>3</w:t>
      </w:r>
      <w:r w:rsidR="00F457ED" w:rsidRPr="002547FB">
        <w:rPr>
          <w:rFonts w:ascii="Arial" w:hAnsi="Arial" w:cs="Arial"/>
          <w:sz w:val="24"/>
          <w:szCs w:val="24"/>
        </w:rPr>
        <w:t>2</w:t>
      </w:r>
      <w:r w:rsidRPr="002547FB">
        <w:rPr>
          <w:rFonts w:ascii="Arial" w:hAnsi="Arial" w:cs="Arial"/>
          <w:sz w:val="24"/>
          <w:szCs w:val="24"/>
        </w:rPr>
        <w:t>]</w:t>
      </w:r>
      <w:r w:rsidR="004B23E1" w:rsidRPr="002547FB">
        <w:rPr>
          <w:rFonts w:ascii="Arial" w:hAnsi="Arial" w:cs="Arial"/>
          <w:sz w:val="24"/>
          <w:szCs w:val="24"/>
        </w:rPr>
        <w:tab/>
      </w:r>
      <w:r w:rsidRPr="002547FB">
        <w:rPr>
          <w:rFonts w:ascii="Arial" w:hAnsi="Arial" w:cs="Arial"/>
          <w:sz w:val="24"/>
          <w:szCs w:val="24"/>
        </w:rPr>
        <w:t xml:space="preserve">Section </w:t>
      </w:r>
      <w:r w:rsidR="004B23E1" w:rsidRPr="002547FB">
        <w:rPr>
          <w:rFonts w:ascii="Arial" w:hAnsi="Arial" w:cs="Arial"/>
          <w:sz w:val="24"/>
          <w:szCs w:val="24"/>
        </w:rPr>
        <w:t>59</w:t>
      </w:r>
      <w:r w:rsidRPr="002547FB">
        <w:rPr>
          <w:rFonts w:ascii="Arial" w:hAnsi="Arial" w:cs="Arial"/>
          <w:sz w:val="24"/>
          <w:szCs w:val="24"/>
        </w:rPr>
        <w:t xml:space="preserve"> forms part of a</w:t>
      </w:r>
      <w:r w:rsidR="00A42DFB" w:rsidRPr="002547FB">
        <w:rPr>
          <w:rFonts w:ascii="Arial" w:hAnsi="Arial" w:cs="Arial"/>
          <w:sz w:val="24"/>
          <w:szCs w:val="24"/>
        </w:rPr>
        <w:t xml:space="preserve"> </w:t>
      </w:r>
      <w:r w:rsidR="004B23E1" w:rsidRPr="002547FB">
        <w:rPr>
          <w:rFonts w:ascii="Arial" w:hAnsi="Arial" w:cs="Arial"/>
          <w:sz w:val="24"/>
          <w:szCs w:val="24"/>
        </w:rPr>
        <w:t>two-stage procedure</w:t>
      </w:r>
      <w:r w:rsidR="00A42DFB" w:rsidRPr="002547FB">
        <w:rPr>
          <w:rFonts w:ascii="Arial" w:hAnsi="Arial" w:cs="Arial"/>
          <w:sz w:val="24"/>
          <w:szCs w:val="24"/>
        </w:rPr>
        <w:t>,</w:t>
      </w:r>
      <w:r w:rsidR="004B23E1" w:rsidRPr="002547FB">
        <w:rPr>
          <w:rFonts w:ascii="Arial" w:hAnsi="Arial" w:cs="Arial"/>
          <w:sz w:val="24"/>
          <w:szCs w:val="24"/>
        </w:rPr>
        <w:t xml:space="preserve"> </w:t>
      </w:r>
      <w:r w:rsidRPr="002547FB">
        <w:rPr>
          <w:rFonts w:ascii="Arial" w:hAnsi="Arial" w:cs="Arial"/>
          <w:sz w:val="24"/>
          <w:szCs w:val="24"/>
        </w:rPr>
        <w:t>whereby property which is the instrumentality of a criminal offence or the proceeds of unlawful activities is forfeited</w:t>
      </w:r>
      <w:r w:rsidR="00C6055B">
        <w:rPr>
          <w:rFonts w:ascii="Arial" w:hAnsi="Arial" w:cs="Arial"/>
          <w:sz w:val="24"/>
          <w:szCs w:val="24"/>
        </w:rPr>
        <w:t>.</w:t>
      </w:r>
      <w:r w:rsidR="004B23E1" w:rsidRPr="002547FB">
        <w:rPr>
          <w:rStyle w:val="FootnoteReference"/>
          <w:rFonts w:ascii="Arial" w:hAnsi="Arial" w:cs="Arial"/>
          <w:sz w:val="24"/>
          <w:szCs w:val="24"/>
        </w:rPr>
        <w:footnoteReference w:id="14"/>
      </w:r>
      <w:r w:rsidRPr="002547FB">
        <w:rPr>
          <w:rFonts w:ascii="Arial" w:hAnsi="Arial" w:cs="Arial"/>
          <w:sz w:val="24"/>
          <w:szCs w:val="24"/>
        </w:rPr>
        <w:t xml:space="preserve"> Th</w:t>
      </w:r>
      <w:r w:rsidR="003D1BB9" w:rsidRPr="002547FB">
        <w:rPr>
          <w:rFonts w:ascii="Arial" w:hAnsi="Arial" w:cs="Arial"/>
          <w:sz w:val="24"/>
          <w:szCs w:val="24"/>
        </w:rPr>
        <w:t>e procedure leading to the civil forfeiture of property is</w:t>
      </w:r>
      <w:r w:rsidRPr="002547FB">
        <w:rPr>
          <w:rFonts w:ascii="Arial" w:hAnsi="Arial" w:cs="Arial"/>
          <w:sz w:val="24"/>
          <w:szCs w:val="24"/>
        </w:rPr>
        <w:t xml:space="preserve"> set out in great detail in ss </w:t>
      </w:r>
      <w:r w:rsidR="003D1BB9" w:rsidRPr="002547FB">
        <w:rPr>
          <w:rFonts w:ascii="Arial" w:hAnsi="Arial" w:cs="Arial"/>
          <w:sz w:val="24"/>
          <w:szCs w:val="24"/>
        </w:rPr>
        <w:t>51</w:t>
      </w:r>
      <w:r w:rsidRPr="002547FB">
        <w:rPr>
          <w:rFonts w:ascii="Arial" w:hAnsi="Arial" w:cs="Arial"/>
          <w:sz w:val="24"/>
          <w:szCs w:val="24"/>
        </w:rPr>
        <w:t xml:space="preserve"> to </w:t>
      </w:r>
      <w:r w:rsidR="003D1BB9" w:rsidRPr="002547FB">
        <w:rPr>
          <w:rFonts w:ascii="Arial" w:hAnsi="Arial" w:cs="Arial"/>
          <w:sz w:val="24"/>
          <w:szCs w:val="24"/>
        </w:rPr>
        <w:t>73</w:t>
      </w:r>
      <w:r w:rsidR="00A42DFB" w:rsidRPr="002547FB">
        <w:rPr>
          <w:rFonts w:ascii="Arial" w:hAnsi="Arial" w:cs="Arial"/>
          <w:sz w:val="24"/>
          <w:szCs w:val="24"/>
        </w:rPr>
        <w:t xml:space="preserve"> of the Act, which form chapter six of the Act. Chapter six</w:t>
      </w:r>
      <w:r w:rsidRPr="002547FB">
        <w:rPr>
          <w:rFonts w:ascii="Arial" w:hAnsi="Arial" w:cs="Arial"/>
          <w:sz w:val="24"/>
          <w:szCs w:val="24"/>
        </w:rPr>
        <w:t xml:space="preserve"> provides for forfeiture in circumstances where it is established, on a balance of probabilities, that property has been used to commit an offence, or constitu</w:t>
      </w:r>
      <w:r w:rsidR="003D1BB9" w:rsidRPr="002547FB">
        <w:rPr>
          <w:rFonts w:ascii="Arial" w:hAnsi="Arial" w:cs="Arial"/>
          <w:sz w:val="24"/>
          <w:szCs w:val="24"/>
        </w:rPr>
        <w:t xml:space="preserve">tes the proceeds of unlawful </w:t>
      </w:r>
      <w:r w:rsidRPr="002547FB">
        <w:rPr>
          <w:rFonts w:ascii="Arial" w:hAnsi="Arial" w:cs="Arial"/>
          <w:sz w:val="24"/>
          <w:szCs w:val="24"/>
        </w:rPr>
        <w:t xml:space="preserve">activities, even where no criminal proceedings in respect of the relevant crimes have been instituted. </w:t>
      </w:r>
      <w:r w:rsidR="003D1BB9" w:rsidRPr="002547FB">
        <w:rPr>
          <w:rFonts w:ascii="Arial" w:hAnsi="Arial" w:cs="Arial"/>
          <w:sz w:val="24"/>
          <w:szCs w:val="24"/>
        </w:rPr>
        <w:t xml:space="preserve"> Section 61(1) of the Act provides that</w:t>
      </w:r>
      <w:r w:rsidR="004D282D" w:rsidRPr="002547FB">
        <w:rPr>
          <w:rFonts w:ascii="Arial" w:hAnsi="Arial" w:cs="Arial"/>
          <w:sz w:val="24"/>
          <w:szCs w:val="24"/>
        </w:rPr>
        <w:t>:</w:t>
      </w:r>
    </w:p>
    <w:p w:rsidR="004D282D" w:rsidRPr="002547FB" w:rsidRDefault="004D282D" w:rsidP="004D282D">
      <w:pPr>
        <w:tabs>
          <w:tab w:val="left" w:pos="720"/>
        </w:tabs>
        <w:spacing w:after="0" w:line="360" w:lineRule="auto"/>
        <w:jc w:val="both"/>
        <w:rPr>
          <w:rFonts w:ascii="Arial" w:hAnsi="Arial" w:cs="Arial"/>
          <w:sz w:val="16"/>
          <w:szCs w:val="16"/>
        </w:rPr>
      </w:pPr>
    </w:p>
    <w:p w:rsidR="004D282D" w:rsidRPr="002547FB" w:rsidRDefault="004D282D" w:rsidP="004D282D">
      <w:pPr>
        <w:tabs>
          <w:tab w:val="left" w:pos="720"/>
        </w:tabs>
        <w:spacing w:after="0" w:line="360" w:lineRule="auto"/>
        <w:ind w:firstLine="720"/>
        <w:jc w:val="both"/>
        <w:rPr>
          <w:rFonts w:ascii="Arial" w:hAnsi="Arial" w:cs="Arial"/>
        </w:rPr>
      </w:pPr>
      <w:r w:rsidRPr="002547FB">
        <w:rPr>
          <w:rFonts w:ascii="Arial" w:hAnsi="Arial" w:cs="Arial"/>
        </w:rPr>
        <w:t>‘</w:t>
      </w:r>
      <w:r w:rsidRPr="002547FB">
        <w:rPr>
          <w:rFonts w:ascii="Arial" w:hAnsi="Arial" w:cs="Arial"/>
          <w:b/>
        </w:rPr>
        <w:t>61</w:t>
      </w:r>
      <w:r w:rsidRPr="002547FB">
        <w:rPr>
          <w:rFonts w:ascii="Arial" w:hAnsi="Arial" w:cs="Arial"/>
          <w:b/>
        </w:rPr>
        <w:tab/>
        <w:t>Making of forfeiture order</w:t>
      </w:r>
    </w:p>
    <w:p w:rsidR="004D282D" w:rsidRPr="002547FB" w:rsidRDefault="004D282D" w:rsidP="004D282D">
      <w:pPr>
        <w:tabs>
          <w:tab w:val="left" w:pos="720"/>
        </w:tabs>
        <w:spacing w:after="0" w:line="360" w:lineRule="auto"/>
        <w:ind w:firstLine="720"/>
        <w:jc w:val="both"/>
        <w:rPr>
          <w:rFonts w:ascii="Arial" w:hAnsi="Arial" w:cs="Arial"/>
          <w:sz w:val="16"/>
          <w:szCs w:val="16"/>
        </w:rPr>
      </w:pPr>
    </w:p>
    <w:p w:rsidR="004D282D" w:rsidRPr="002547FB" w:rsidRDefault="004D282D" w:rsidP="004D282D">
      <w:pPr>
        <w:tabs>
          <w:tab w:val="left" w:pos="720"/>
        </w:tabs>
        <w:spacing w:after="0" w:line="360" w:lineRule="auto"/>
        <w:ind w:firstLine="720"/>
        <w:jc w:val="both"/>
        <w:rPr>
          <w:rFonts w:ascii="Arial" w:hAnsi="Arial" w:cs="Arial"/>
        </w:rPr>
      </w:pPr>
      <w:r w:rsidRPr="002547FB">
        <w:rPr>
          <w:rFonts w:ascii="Arial" w:hAnsi="Arial" w:cs="Arial"/>
        </w:rPr>
        <w:t>(1)</w:t>
      </w:r>
      <w:r w:rsidRPr="002547FB">
        <w:rPr>
          <w:rFonts w:ascii="Arial" w:hAnsi="Arial" w:cs="Arial"/>
        </w:rPr>
        <w:tab/>
        <w:t>The High Court must, subject to section 63, make the forfeiture order applied for under section 59(1) if the court finds on a balance of probabilities that the property concerned-</w:t>
      </w:r>
    </w:p>
    <w:p w:rsidR="004D282D" w:rsidRPr="002547FB" w:rsidRDefault="004D282D" w:rsidP="004D282D">
      <w:pPr>
        <w:tabs>
          <w:tab w:val="left" w:pos="720"/>
        </w:tabs>
        <w:spacing w:after="0" w:line="360" w:lineRule="auto"/>
        <w:jc w:val="both"/>
        <w:rPr>
          <w:rFonts w:ascii="Arial" w:hAnsi="Arial" w:cs="Arial"/>
        </w:rPr>
      </w:pPr>
      <w:r w:rsidRPr="002547FB">
        <w:rPr>
          <w:rFonts w:ascii="Arial" w:hAnsi="Arial" w:cs="Arial"/>
        </w:rPr>
        <w:t>(a)</w:t>
      </w:r>
      <w:r w:rsidRPr="002547FB">
        <w:rPr>
          <w:rFonts w:ascii="Arial" w:hAnsi="Arial" w:cs="Arial"/>
        </w:rPr>
        <w:tab/>
        <w:t>is an instrumentality of an offence referred to in Schedule 1; or</w:t>
      </w:r>
    </w:p>
    <w:p w:rsidR="004D282D" w:rsidRPr="002547FB" w:rsidRDefault="004D282D" w:rsidP="004D282D">
      <w:pPr>
        <w:tabs>
          <w:tab w:val="left" w:pos="720"/>
        </w:tabs>
        <w:spacing w:after="0" w:line="360" w:lineRule="auto"/>
        <w:jc w:val="both"/>
        <w:rPr>
          <w:rFonts w:ascii="Arial" w:hAnsi="Arial" w:cs="Arial"/>
        </w:rPr>
      </w:pPr>
    </w:p>
    <w:p w:rsidR="003D1BB9" w:rsidRPr="002547FB" w:rsidRDefault="004D282D" w:rsidP="004D282D">
      <w:pPr>
        <w:tabs>
          <w:tab w:val="left" w:pos="720"/>
        </w:tabs>
        <w:spacing w:after="0" w:line="360" w:lineRule="auto"/>
        <w:jc w:val="both"/>
        <w:rPr>
          <w:rFonts w:ascii="Arial" w:hAnsi="Arial" w:cs="Arial"/>
        </w:rPr>
      </w:pPr>
      <w:r w:rsidRPr="002547FB">
        <w:rPr>
          <w:rFonts w:ascii="Arial" w:hAnsi="Arial" w:cs="Arial"/>
        </w:rPr>
        <w:t>(b)</w:t>
      </w:r>
      <w:r w:rsidRPr="002547FB">
        <w:rPr>
          <w:rFonts w:ascii="Arial" w:hAnsi="Arial" w:cs="Arial"/>
        </w:rPr>
        <w:tab/>
        <w:t>is the proceeds of unlawful activities.’</w:t>
      </w:r>
      <w:r w:rsidR="003D1BB9" w:rsidRPr="002547FB">
        <w:rPr>
          <w:rFonts w:ascii="Arial" w:hAnsi="Arial" w:cs="Arial"/>
        </w:rPr>
        <w:t xml:space="preserve"> </w:t>
      </w:r>
    </w:p>
    <w:p w:rsidR="003D1BB9" w:rsidRPr="002547FB" w:rsidRDefault="003D1BB9" w:rsidP="004D282D">
      <w:pPr>
        <w:tabs>
          <w:tab w:val="left" w:pos="720"/>
        </w:tabs>
        <w:spacing w:after="0" w:line="360" w:lineRule="auto"/>
        <w:ind w:firstLine="720"/>
        <w:jc w:val="both"/>
        <w:rPr>
          <w:rFonts w:ascii="Arial" w:hAnsi="Arial" w:cs="Arial"/>
          <w:sz w:val="24"/>
          <w:szCs w:val="24"/>
        </w:rPr>
      </w:pPr>
    </w:p>
    <w:p w:rsidR="000B2AE3" w:rsidRPr="002547FB" w:rsidRDefault="004D282D" w:rsidP="00E62F09">
      <w:pPr>
        <w:tabs>
          <w:tab w:val="left" w:pos="720"/>
        </w:tabs>
        <w:spacing w:after="0" w:line="360" w:lineRule="auto"/>
        <w:jc w:val="both"/>
        <w:rPr>
          <w:rFonts w:ascii="Arial" w:hAnsi="Arial" w:cs="Arial"/>
          <w:sz w:val="24"/>
          <w:szCs w:val="24"/>
        </w:rPr>
      </w:pPr>
      <w:r w:rsidRPr="002547FB">
        <w:rPr>
          <w:rFonts w:ascii="Arial" w:hAnsi="Arial" w:cs="Arial"/>
          <w:sz w:val="24"/>
          <w:szCs w:val="24"/>
        </w:rPr>
        <w:t>[3</w:t>
      </w:r>
      <w:r w:rsidR="00F457ED" w:rsidRPr="002547FB">
        <w:rPr>
          <w:rFonts w:ascii="Arial" w:hAnsi="Arial" w:cs="Arial"/>
          <w:sz w:val="24"/>
          <w:szCs w:val="24"/>
        </w:rPr>
        <w:t>3</w:t>
      </w:r>
      <w:r w:rsidRPr="002547FB">
        <w:rPr>
          <w:rFonts w:ascii="Arial" w:hAnsi="Arial" w:cs="Arial"/>
          <w:sz w:val="24"/>
          <w:szCs w:val="24"/>
        </w:rPr>
        <w:t>]</w:t>
      </w:r>
      <w:r w:rsidRPr="002547FB">
        <w:rPr>
          <w:rFonts w:ascii="Arial" w:hAnsi="Arial" w:cs="Arial"/>
          <w:sz w:val="24"/>
          <w:szCs w:val="24"/>
        </w:rPr>
        <w:tab/>
        <w:t>This court has held that</w:t>
      </w:r>
      <w:r w:rsidR="00A42DFB" w:rsidRPr="002547FB">
        <w:rPr>
          <w:rFonts w:ascii="Arial" w:hAnsi="Arial" w:cs="Arial"/>
          <w:sz w:val="24"/>
          <w:szCs w:val="24"/>
        </w:rPr>
        <w:t xml:space="preserve"> Chapter six</w:t>
      </w:r>
      <w:r w:rsidR="000B2AE3" w:rsidRPr="002547FB">
        <w:rPr>
          <w:rFonts w:ascii="Arial" w:hAnsi="Arial" w:cs="Arial"/>
          <w:sz w:val="24"/>
          <w:szCs w:val="24"/>
        </w:rPr>
        <w:t xml:space="preserve"> is therefore focused, not on wrongdoers, but on property that has been used to commit an offence or which constitut</w:t>
      </w:r>
      <w:r w:rsidRPr="002547FB">
        <w:rPr>
          <w:rFonts w:ascii="Arial" w:hAnsi="Arial" w:cs="Arial"/>
          <w:sz w:val="24"/>
          <w:szCs w:val="24"/>
        </w:rPr>
        <w:t xml:space="preserve">es the proceeds of crime. </w:t>
      </w:r>
      <w:r w:rsidR="000B2AE3" w:rsidRPr="002547FB">
        <w:rPr>
          <w:rFonts w:ascii="Arial" w:hAnsi="Arial" w:cs="Arial"/>
          <w:sz w:val="24"/>
          <w:szCs w:val="24"/>
        </w:rPr>
        <w:t>The guilt or wrongdoing of the owners or possessors of property is, therefore, not primarily relevant to the proceedings. There is, however, a defence at the second stage of the proceedings, when forfeiture is being sought by the State. An owner can at that stage claim that he or she obtaine</w:t>
      </w:r>
      <w:r w:rsidRPr="002547FB">
        <w:rPr>
          <w:rFonts w:ascii="Arial" w:hAnsi="Arial" w:cs="Arial"/>
          <w:sz w:val="24"/>
          <w:szCs w:val="24"/>
        </w:rPr>
        <w:t>d the property legally and</w:t>
      </w:r>
      <w:r w:rsidR="000B2AE3" w:rsidRPr="002547FB">
        <w:rPr>
          <w:rFonts w:ascii="Arial" w:hAnsi="Arial" w:cs="Arial"/>
          <w:sz w:val="24"/>
          <w:szCs w:val="24"/>
        </w:rPr>
        <w:t xml:space="preserve"> for value, and that he or she neither knew nor had reasonable grounds to suspect that the property constituted the proceeds of crime or had been a</w:t>
      </w:r>
      <w:r w:rsidRPr="002547FB">
        <w:rPr>
          <w:rFonts w:ascii="Arial" w:hAnsi="Arial" w:cs="Arial"/>
          <w:sz w:val="24"/>
          <w:szCs w:val="24"/>
        </w:rPr>
        <w:t>n instrumentality in an offence.</w:t>
      </w:r>
      <w:r w:rsidRPr="002547FB">
        <w:rPr>
          <w:rStyle w:val="FootnoteReference"/>
          <w:rFonts w:ascii="Arial" w:hAnsi="Arial" w:cs="Arial"/>
          <w:sz w:val="24"/>
          <w:szCs w:val="24"/>
        </w:rPr>
        <w:footnoteReference w:id="15"/>
      </w:r>
    </w:p>
    <w:p w:rsidR="004D282D" w:rsidRPr="002547FB" w:rsidRDefault="004D282D" w:rsidP="00E62F09">
      <w:pPr>
        <w:tabs>
          <w:tab w:val="left" w:pos="720"/>
        </w:tabs>
        <w:spacing w:after="0" w:line="360" w:lineRule="auto"/>
        <w:jc w:val="both"/>
        <w:rPr>
          <w:rFonts w:ascii="Arial" w:hAnsi="Arial" w:cs="Arial"/>
          <w:sz w:val="24"/>
          <w:szCs w:val="24"/>
        </w:rPr>
      </w:pPr>
    </w:p>
    <w:p w:rsidR="003E1850" w:rsidRPr="002547FB" w:rsidRDefault="000B2AE3" w:rsidP="00E62F09">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4D282D" w:rsidRPr="002547FB">
        <w:rPr>
          <w:rFonts w:ascii="Arial" w:hAnsi="Arial" w:cs="Arial"/>
          <w:sz w:val="24"/>
          <w:szCs w:val="24"/>
        </w:rPr>
        <w:t>3</w:t>
      </w:r>
      <w:r w:rsidR="00F457ED" w:rsidRPr="002547FB">
        <w:rPr>
          <w:rFonts w:ascii="Arial" w:hAnsi="Arial" w:cs="Arial"/>
          <w:sz w:val="24"/>
          <w:szCs w:val="24"/>
        </w:rPr>
        <w:t>4</w:t>
      </w:r>
      <w:r w:rsidRPr="002547FB">
        <w:rPr>
          <w:rFonts w:ascii="Arial" w:hAnsi="Arial" w:cs="Arial"/>
          <w:sz w:val="24"/>
          <w:szCs w:val="24"/>
        </w:rPr>
        <w:t>]</w:t>
      </w:r>
      <w:r w:rsidR="004D282D" w:rsidRPr="002547FB">
        <w:rPr>
          <w:rFonts w:ascii="Arial" w:hAnsi="Arial" w:cs="Arial"/>
          <w:sz w:val="24"/>
          <w:szCs w:val="24"/>
        </w:rPr>
        <w:tab/>
      </w:r>
      <w:r w:rsidRPr="002547FB">
        <w:rPr>
          <w:rFonts w:ascii="Arial" w:hAnsi="Arial" w:cs="Arial"/>
          <w:sz w:val="24"/>
          <w:szCs w:val="24"/>
        </w:rPr>
        <w:t>The forfeitur</w:t>
      </w:r>
      <w:r w:rsidR="00D60031">
        <w:rPr>
          <w:rFonts w:ascii="Arial" w:hAnsi="Arial" w:cs="Arial"/>
          <w:sz w:val="24"/>
          <w:szCs w:val="24"/>
        </w:rPr>
        <w:t>e process provided for in chapter six</w:t>
      </w:r>
      <w:r w:rsidRPr="002547FB">
        <w:rPr>
          <w:rFonts w:ascii="Arial" w:hAnsi="Arial" w:cs="Arial"/>
          <w:sz w:val="24"/>
          <w:szCs w:val="24"/>
        </w:rPr>
        <w:t xml:space="preserve"> of the Act commences when the </w:t>
      </w:r>
      <w:r w:rsidR="00A42DFB" w:rsidRPr="002547FB">
        <w:rPr>
          <w:rFonts w:ascii="Arial" w:hAnsi="Arial" w:cs="Arial"/>
          <w:sz w:val="24"/>
          <w:szCs w:val="24"/>
        </w:rPr>
        <w:t>Prosecutor-</w:t>
      </w:r>
      <w:r w:rsidR="004D282D" w:rsidRPr="002547FB">
        <w:rPr>
          <w:rFonts w:ascii="Arial" w:hAnsi="Arial" w:cs="Arial"/>
          <w:sz w:val="24"/>
          <w:szCs w:val="24"/>
        </w:rPr>
        <w:t xml:space="preserve">General </w:t>
      </w:r>
      <w:r w:rsidRPr="002547FB">
        <w:rPr>
          <w:rFonts w:ascii="Arial" w:hAnsi="Arial" w:cs="Arial"/>
          <w:sz w:val="24"/>
          <w:szCs w:val="24"/>
        </w:rPr>
        <w:t xml:space="preserve">applies </w:t>
      </w:r>
      <w:r w:rsidR="00F457ED" w:rsidRPr="002547FB">
        <w:rPr>
          <w:rFonts w:ascii="Arial" w:hAnsi="Arial" w:cs="Arial"/>
          <w:sz w:val="24"/>
          <w:szCs w:val="24"/>
        </w:rPr>
        <w:t xml:space="preserve">(sometimes </w:t>
      </w:r>
      <w:r w:rsidRPr="002547FB">
        <w:rPr>
          <w:rFonts w:ascii="Arial" w:hAnsi="Arial" w:cs="Arial"/>
          <w:i/>
          <w:sz w:val="24"/>
          <w:szCs w:val="24"/>
        </w:rPr>
        <w:t>ex parte</w:t>
      </w:r>
      <w:r w:rsidR="00F457ED" w:rsidRPr="002547FB">
        <w:rPr>
          <w:rFonts w:ascii="Arial" w:hAnsi="Arial" w:cs="Arial"/>
          <w:sz w:val="24"/>
          <w:szCs w:val="24"/>
        </w:rPr>
        <w:t>)</w:t>
      </w:r>
      <w:r w:rsidRPr="002547FB">
        <w:rPr>
          <w:rFonts w:ascii="Arial" w:hAnsi="Arial" w:cs="Arial"/>
          <w:sz w:val="24"/>
          <w:szCs w:val="24"/>
        </w:rPr>
        <w:t xml:space="preserve"> in terms of s </w:t>
      </w:r>
      <w:r w:rsidR="004D282D" w:rsidRPr="002547FB">
        <w:rPr>
          <w:rFonts w:ascii="Arial" w:hAnsi="Arial" w:cs="Arial"/>
          <w:sz w:val="24"/>
          <w:szCs w:val="24"/>
        </w:rPr>
        <w:t xml:space="preserve">52 of the Act to this </w:t>
      </w:r>
      <w:r w:rsidRPr="002547FB">
        <w:rPr>
          <w:rFonts w:ascii="Arial" w:hAnsi="Arial" w:cs="Arial"/>
          <w:sz w:val="24"/>
          <w:szCs w:val="24"/>
        </w:rPr>
        <w:t>Court for a preservation order. Once the preservation order is gran</w:t>
      </w:r>
      <w:r w:rsidR="004D282D" w:rsidRPr="002547FB">
        <w:rPr>
          <w:rFonts w:ascii="Arial" w:hAnsi="Arial" w:cs="Arial"/>
          <w:sz w:val="24"/>
          <w:szCs w:val="24"/>
        </w:rPr>
        <w:t xml:space="preserve">ted, notice must be given to </w:t>
      </w:r>
      <w:r w:rsidRPr="002547FB">
        <w:rPr>
          <w:rFonts w:ascii="Arial" w:hAnsi="Arial" w:cs="Arial"/>
          <w:sz w:val="24"/>
          <w:szCs w:val="24"/>
        </w:rPr>
        <w:t xml:space="preserve">'all persons known to the </w:t>
      </w:r>
      <w:r w:rsidR="00354E20" w:rsidRPr="002547FB">
        <w:rPr>
          <w:rFonts w:ascii="Arial" w:hAnsi="Arial" w:cs="Arial"/>
          <w:sz w:val="24"/>
          <w:szCs w:val="24"/>
        </w:rPr>
        <w:t xml:space="preserve">Prosecutor General </w:t>
      </w:r>
      <w:r w:rsidRPr="002547FB">
        <w:rPr>
          <w:rFonts w:ascii="Arial" w:hAnsi="Arial" w:cs="Arial"/>
          <w:sz w:val="24"/>
          <w:szCs w:val="24"/>
        </w:rPr>
        <w:t xml:space="preserve">to have an interest in the property'; and a notice of the preservation order must be published in the Gazette in terms of s </w:t>
      </w:r>
      <w:r w:rsidR="00354E20" w:rsidRPr="002547FB">
        <w:rPr>
          <w:rFonts w:ascii="Arial" w:hAnsi="Arial" w:cs="Arial"/>
          <w:sz w:val="24"/>
          <w:szCs w:val="24"/>
        </w:rPr>
        <w:t>52</w:t>
      </w:r>
      <w:r w:rsidRPr="002547FB">
        <w:rPr>
          <w:rFonts w:ascii="Arial" w:hAnsi="Arial" w:cs="Arial"/>
          <w:sz w:val="24"/>
          <w:szCs w:val="24"/>
        </w:rPr>
        <w:t xml:space="preserve">(1). </w:t>
      </w:r>
    </w:p>
    <w:p w:rsidR="003E1850" w:rsidRPr="002547FB" w:rsidRDefault="003E1850" w:rsidP="00E62F09">
      <w:pPr>
        <w:tabs>
          <w:tab w:val="left" w:pos="720"/>
        </w:tabs>
        <w:spacing w:after="0" w:line="360" w:lineRule="auto"/>
        <w:jc w:val="both"/>
        <w:rPr>
          <w:rFonts w:ascii="Arial" w:hAnsi="Arial" w:cs="Arial"/>
          <w:sz w:val="24"/>
          <w:szCs w:val="24"/>
        </w:rPr>
      </w:pPr>
    </w:p>
    <w:p w:rsidR="000B2AE3" w:rsidRPr="002547FB" w:rsidRDefault="003E1850" w:rsidP="00E62F09">
      <w:pPr>
        <w:tabs>
          <w:tab w:val="left" w:pos="720"/>
        </w:tabs>
        <w:spacing w:after="0" w:line="360" w:lineRule="auto"/>
        <w:jc w:val="both"/>
        <w:rPr>
          <w:rFonts w:ascii="Arial" w:hAnsi="Arial" w:cs="Arial"/>
          <w:sz w:val="24"/>
          <w:szCs w:val="24"/>
        </w:rPr>
      </w:pPr>
      <w:r w:rsidRPr="002547FB">
        <w:rPr>
          <w:rFonts w:ascii="Arial" w:hAnsi="Arial" w:cs="Arial"/>
          <w:sz w:val="24"/>
          <w:szCs w:val="24"/>
        </w:rPr>
        <w:t>[35]</w:t>
      </w:r>
      <w:r w:rsidRPr="002547FB">
        <w:rPr>
          <w:rFonts w:ascii="Arial" w:hAnsi="Arial" w:cs="Arial"/>
          <w:sz w:val="24"/>
          <w:szCs w:val="24"/>
        </w:rPr>
        <w:tab/>
      </w:r>
      <w:r w:rsidR="000B2AE3" w:rsidRPr="002547FB">
        <w:rPr>
          <w:rFonts w:ascii="Arial" w:hAnsi="Arial" w:cs="Arial"/>
          <w:sz w:val="24"/>
          <w:szCs w:val="24"/>
        </w:rPr>
        <w:t xml:space="preserve">Thereafter, within </w:t>
      </w:r>
      <w:r w:rsidR="00354E20" w:rsidRPr="002547FB">
        <w:rPr>
          <w:rFonts w:ascii="Arial" w:hAnsi="Arial" w:cs="Arial"/>
          <w:sz w:val="24"/>
          <w:szCs w:val="24"/>
        </w:rPr>
        <w:t>21</w:t>
      </w:r>
      <w:r w:rsidR="000B2AE3" w:rsidRPr="002547FB">
        <w:rPr>
          <w:rFonts w:ascii="Arial" w:hAnsi="Arial" w:cs="Arial"/>
          <w:sz w:val="24"/>
          <w:szCs w:val="24"/>
        </w:rPr>
        <w:t xml:space="preserve"> days of notice of the order, an affected party who wishes to oppose the grant of a final forfeiture order must enter an appearance of his or her intention to oppose that order. The</w:t>
      </w:r>
      <w:r w:rsidR="00354E20" w:rsidRPr="002547FB">
        <w:rPr>
          <w:rFonts w:ascii="Arial" w:hAnsi="Arial" w:cs="Arial"/>
          <w:sz w:val="24"/>
          <w:szCs w:val="24"/>
        </w:rPr>
        <w:t xml:space="preserve"> Prosecutor General must then </w:t>
      </w:r>
      <w:r w:rsidR="000B2AE3" w:rsidRPr="002547FB">
        <w:rPr>
          <w:rFonts w:ascii="Arial" w:hAnsi="Arial" w:cs="Arial"/>
          <w:sz w:val="24"/>
          <w:szCs w:val="24"/>
        </w:rPr>
        <w:t xml:space="preserve">within </w:t>
      </w:r>
      <w:r w:rsidR="00354E20" w:rsidRPr="002547FB">
        <w:rPr>
          <w:rFonts w:ascii="Arial" w:hAnsi="Arial" w:cs="Arial"/>
          <w:sz w:val="24"/>
          <w:szCs w:val="24"/>
        </w:rPr>
        <w:t>120</w:t>
      </w:r>
      <w:r w:rsidR="000B2AE3" w:rsidRPr="002547FB">
        <w:rPr>
          <w:rFonts w:ascii="Arial" w:hAnsi="Arial" w:cs="Arial"/>
          <w:sz w:val="24"/>
          <w:szCs w:val="24"/>
        </w:rPr>
        <w:t xml:space="preserve"> days of the grant of the preservation order </w:t>
      </w:r>
      <w:r w:rsidR="000B2AE3" w:rsidRPr="002547FB">
        <w:rPr>
          <w:rFonts w:ascii="Arial" w:hAnsi="Arial" w:cs="Arial"/>
          <w:i/>
          <w:sz w:val="24"/>
          <w:szCs w:val="24"/>
        </w:rPr>
        <w:t xml:space="preserve">apply </w:t>
      </w:r>
      <w:r w:rsidR="000B2AE3" w:rsidRPr="002547FB">
        <w:rPr>
          <w:rFonts w:ascii="Arial" w:hAnsi="Arial" w:cs="Arial"/>
          <w:sz w:val="24"/>
          <w:szCs w:val="24"/>
        </w:rPr>
        <w:t>for the forfeiture of the property. At that stage, affected parties are entitled to a full hearing to determine whether the property should be forfeited or not.</w:t>
      </w:r>
      <w:r w:rsidR="00354E20" w:rsidRPr="002547FB">
        <w:rPr>
          <w:rFonts w:ascii="Arial" w:hAnsi="Arial" w:cs="Arial"/>
          <w:sz w:val="24"/>
          <w:szCs w:val="24"/>
        </w:rPr>
        <w:t xml:space="preserve"> Ackerman J thus commented that the </w:t>
      </w:r>
      <w:r w:rsidR="008B2C01" w:rsidRPr="002547FB">
        <w:rPr>
          <w:rFonts w:ascii="Arial" w:hAnsi="Arial" w:cs="Arial"/>
          <w:sz w:val="24"/>
          <w:szCs w:val="24"/>
        </w:rPr>
        <w:t>provisions of chapter six</w:t>
      </w:r>
      <w:r w:rsidR="00354E20" w:rsidRPr="002547FB">
        <w:rPr>
          <w:rFonts w:ascii="Arial" w:hAnsi="Arial" w:cs="Arial"/>
          <w:sz w:val="24"/>
          <w:szCs w:val="24"/>
        </w:rPr>
        <w:t xml:space="preserve"> are complex and tightly intertwined, both as a matter of </w:t>
      </w:r>
      <w:r w:rsidR="00354E20" w:rsidRPr="002547FB">
        <w:rPr>
          <w:rFonts w:ascii="Arial" w:hAnsi="Arial" w:cs="Arial"/>
          <w:i/>
          <w:sz w:val="24"/>
          <w:szCs w:val="24"/>
        </w:rPr>
        <w:t>process</w:t>
      </w:r>
      <w:r w:rsidR="00354E20" w:rsidRPr="002547FB">
        <w:rPr>
          <w:rFonts w:ascii="Arial" w:hAnsi="Arial" w:cs="Arial"/>
          <w:sz w:val="24"/>
          <w:szCs w:val="24"/>
        </w:rPr>
        <w:t xml:space="preserve"> and </w:t>
      </w:r>
      <w:r w:rsidR="00354E20" w:rsidRPr="002547FB">
        <w:rPr>
          <w:rFonts w:ascii="Arial" w:hAnsi="Arial" w:cs="Arial"/>
          <w:i/>
          <w:sz w:val="24"/>
          <w:szCs w:val="24"/>
        </w:rPr>
        <w:t>substance.</w:t>
      </w:r>
    </w:p>
    <w:p w:rsidR="00354E20" w:rsidRPr="002547FB" w:rsidRDefault="00354E20" w:rsidP="00E62F09">
      <w:pPr>
        <w:tabs>
          <w:tab w:val="left" w:pos="720"/>
        </w:tabs>
        <w:spacing w:after="0" w:line="360" w:lineRule="auto"/>
        <w:jc w:val="both"/>
        <w:rPr>
          <w:rFonts w:ascii="Arial" w:hAnsi="Arial" w:cs="Arial"/>
          <w:sz w:val="24"/>
          <w:szCs w:val="24"/>
        </w:rPr>
      </w:pPr>
    </w:p>
    <w:p w:rsidR="00D1654F" w:rsidRPr="002547FB" w:rsidRDefault="00354E20" w:rsidP="00E62F09">
      <w:pPr>
        <w:spacing w:after="0" w:line="360" w:lineRule="auto"/>
        <w:jc w:val="both"/>
        <w:rPr>
          <w:rFonts w:ascii="Arial" w:hAnsi="Arial" w:cs="Arial"/>
          <w:sz w:val="24"/>
          <w:szCs w:val="24"/>
        </w:rPr>
      </w:pPr>
      <w:r w:rsidRPr="002547FB">
        <w:rPr>
          <w:rFonts w:ascii="Arial" w:hAnsi="Arial" w:cs="Arial"/>
          <w:sz w:val="24"/>
          <w:szCs w:val="24"/>
        </w:rPr>
        <w:t>[3</w:t>
      </w:r>
      <w:r w:rsidR="003E1850" w:rsidRPr="002547FB">
        <w:rPr>
          <w:rFonts w:ascii="Arial" w:hAnsi="Arial" w:cs="Arial"/>
          <w:sz w:val="24"/>
          <w:szCs w:val="24"/>
        </w:rPr>
        <w:t>6</w:t>
      </w:r>
      <w:r w:rsidRPr="002547FB">
        <w:rPr>
          <w:rFonts w:ascii="Arial" w:hAnsi="Arial" w:cs="Arial"/>
          <w:sz w:val="24"/>
          <w:szCs w:val="24"/>
        </w:rPr>
        <w:t>]</w:t>
      </w:r>
      <w:r w:rsidRPr="002547FB">
        <w:rPr>
          <w:rFonts w:ascii="Arial" w:hAnsi="Arial" w:cs="Arial"/>
          <w:sz w:val="24"/>
          <w:szCs w:val="24"/>
        </w:rPr>
        <w:tab/>
      </w:r>
      <w:r w:rsidR="00D1654F" w:rsidRPr="002547FB">
        <w:rPr>
          <w:rFonts w:ascii="Arial" w:hAnsi="Arial" w:cs="Arial"/>
          <w:sz w:val="24"/>
          <w:szCs w:val="24"/>
        </w:rPr>
        <w:t>What is clear is that the legislature in its quest to combat organised crime designed a two stage process whereby it would be able to target proceeds of crime or ‘instruments’ of crime. Because under chap</w:t>
      </w:r>
      <w:r w:rsidR="008B2C01" w:rsidRPr="002547FB">
        <w:rPr>
          <w:rFonts w:ascii="Arial" w:hAnsi="Arial" w:cs="Arial"/>
          <w:sz w:val="24"/>
          <w:szCs w:val="24"/>
        </w:rPr>
        <w:t>ter six</w:t>
      </w:r>
      <w:r w:rsidR="00D1654F" w:rsidRPr="002547FB">
        <w:rPr>
          <w:rFonts w:ascii="Arial" w:hAnsi="Arial" w:cs="Arial"/>
          <w:sz w:val="24"/>
          <w:szCs w:val="24"/>
        </w:rPr>
        <w:t xml:space="preserve"> the focus is not on wrongdoers, but on property that has been used to commit an offence or which constitutes the proceeds of crime, at the preservation stage the law enforcement agency need not </w:t>
      </w:r>
      <w:r w:rsidR="00D1654F" w:rsidRPr="002547FB">
        <w:rPr>
          <w:rFonts w:ascii="Arial" w:hAnsi="Arial" w:cs="Arial"/>
          <w:sz w:val="24"/>
          <w:szCs w:val="24"/>
        </w:rPr>
        <w:lastRenderedPageBreak/>
        <w:t>establish that the property has been used to commit an offence or that it constitutes the proceeds of crime</w:t>
      </w:r>
      <w:r w:rsidR="006D44AB" w:rsidRPr="002547FB">
        <w:rPr>
          <w:rFonts w:ascii="Arial" w:hAnsi="Arial" w:cs="Arial"/>
          <w:sz w:val="24"/>
          <w:szCs w:val="24"/>
        </w:rPr>
        <w:t xml:space="preserve"> but only to establish that there is a reasonable suspicion that the property may have been used to commit a crime or may be the proceeds of crime. Once that is established the Court will the</w:t>
      </w:r>
      <w:r w:rsidR="009F331A" w:rsidRPr="002547FB">
        <w:rPr>
          <w:rFonts w:ascii="Arial" w:hAnsi="Arial" w:cs="Arial"/>
          <w:sz w:val="24"/>
          <w:szCs w:val="24"/>
        </w:rPr>
        <w:t>n</w:t>
      </w:r>
      <w:r w:rsidR="006D44AB" w:rsidRPr="002547FB">
        <w:rPr>
          <w:rFonts w:ascii="Arial" w:hAnsi="Arial" w:cs="Arial"/>
          <w:sz w:val="24"/>
          <w:szCs w:val="24"/>
        </w:rPr>
        <w:t xml:space="preserve"> ‘preserve’ the property so as to ensure that the property is not dissipated or decimated. The law enforcement agencies are then granted a period of 120 days within which to investigate and gather evidence to show the court that on a balance of probabilities the property has been used to commit an offence or that it constitutes the proceeds of crime. The evidence so gathered must then be placed before court. </w:t>
      </w:r>
    </w:p>
    <w:p w:rsidR="00D1654F" w:rsidRPr="002547FB" w:rsidRDefault="00D1654F" w:rsidP="00E62F09">
      <w:pPr>
        <w:spacing w:after="0" w:line="360" w:lineRule="auto"/>
        <w:jc w:val="both"/>
        <w:rPr>
          <w:rFonts w:ascii="Arial" w:hAnsi="Arial" w:cs="Arial"/>
          <w:sz w:val="24"/>
          <w:szCs w:val="24"/>
        </w:rPr>
      </w:pPr>
    </w:p>
    <w:p w:rsidR="003E1850" w:rsidRPr="002547FB" w:rsidRDefault="006D44AB" w:rsidP="00E62F09">
      <w:pPr>
        <w:spacing w:after="0" w:line="360" w:lineRule="auto"/>
        <w:jc w:val="both"/>
        <w:rPr>
          <w:rFonts w:ascii="Arial" w:hAnsi="Arial" w:cs="Arial"/>
          <w:sz w:val="24"/>
          <w:szCs w:val="24"/>
        </w:rPr>
      </w:pPr>
      <w:r w:rsidRPr="002547FB">
        <w:rPr>
          <w:rFonts w:ascii="Arial" w:hAnsi="Arial" w:cs="Arial"/>
          <w:sz w:val="24"/>
          <w:szCs w:val="24"/>
        </w:rPr>
        <w:t>[3</w:t>
      </w:r>
      <w:r w:rsidR="003E1850" w:rsidRPr="002547FB">
        <w:rPr>
          <w:rFonts w:ascii="Arial" w:hAnsi="Arial" w:cs="Arial"/>
          <w:sz w:val="24"/>
          <w:szCs w:val="24"/>
        </w:rPr>
        <w:t>7</w:t>
      </w:r>
      <w:r w:rsidRPr="002547FB">
        <w:rPr>
          <w:rFonts w:ascii="Arial" w:hAnsi="Arial" w:cs="Arial"/>
          <w:sz w:val="24"/>
          <w:szCs w:val="24"/>
        </w:rPr>
        <w:t>]</w:t>
      </w:r>
      <w:r w:rsidRPr="002547FB">
        <w:rPr>
          <w:rFonts w:ascii="Arial" w:hAnsi="Arial" w:cs="Arial"/>
          <w:sz w:val="24"/>
          <w:szCs w:val="24"/>
        </w:rPr>
        <w:tab/>
      </w:r>
      <w:r w:rsidR="00354E20" w:rsidRPr="002547FB">
        <w:rPr>
          <w:rFonts w:ascii="Arial" w:hAnsi="Arial" w:cs="Arial"/>
          <w:sz w:val="24"/>
          <w:szCs w:val="24"/>
        </w:rPr>
        <w:t xml:space="preserve">The procedural aspects are contained in </w:t>
      </w:r>
      <w:r w:rsidR="009F331A" w:rsidRPr="002547FB">
        <w:rPr>
          <w:rFonts w:ascii="Arial" w:hAnsi="Arial" w:cs="Arial"/>
          <w:sz w:val="24"/>
          <w:szCs w:val="24"/>
        </w:rPr>
        <w:t xml:space="preserve">the Regulations made under s </w:t>
      </w:r>
      <w:r w:rsidR="00354E20" w:rsidRPr="002547FB">
        <w:rPr>
          <w:rFonts w:ascii="Arial" w:hAnsi="Arial" w:cs="Arial"/>
          <w:sz w:val="24"/>
          <w:szCs w:val="24"/>
        </w:rPr>
        <w:t xml:space="preserve">100 of the Act. As I have indicated above s 59(1) of the Act enjoins the </w:t>
      </w:r>
      <w:r w:rsidRPr="002547FB">
        <w:rPr>
          <w:rFonts w:ascii="Arial" w:hAnsi="Arial" w:cs="Arial"/>
          <w:sz w:val="24"/>
          <w:szCs w:val="24"/>
        </w:rPr>
        <w:t>Prosecutor General</w:t>
      </w:r>
      <w:r w:rsidR="00354E20" w:rsidRPr="002547FB">
        <w:rPr>
          <w:rFonts w:ascii="Arial" w:hAnsi="Arial" w:cs="Arial"/>
          <w:sz w:val="24"/>
          <w:szCs w:val="24"/>
        </w:rPr>
        <w:t xml:space="preserve"> to, if a preservation of property order is in force, apply to the High Court for an order forfeiting to the State all or any of the property that is subject to a</w:t>
      </w:r>
      <w:r w:rsidRPr="002547FB">
        <w:rPr>
          <w:rFonts w:ascii="Arial" w:hAnsi="Arial" w:cs="Arial"/>
          <w:sz w:val="24"/>
          <w:szCs w:val="24"/>
        </w:rPr>
        <w:t xml:space="preserve"> preservation of property order.</w:t>
      </w:r>
      <w:r w:rsidR="00D60031">
        <w:rPr>
          <w:rFonts w:ascii="Arial" w:hAnsi="Arial" w:cs="Arial"/>
          <w:sz w:val="24"/>
          <w:szCs w:val="24"/>
        </w:rPr>
        <w:t xml:space="preserve"> </w:t>
      </w:r>
      <w:r w:rsidR="00E62F09" w:rsidRPr="002547FB">
        <w:rPr>
          <w:rFonts w:ascii="Arial" w:hAnsi="Arial" w:cs="Arial"/>
          <w:sz w:val="24"/>
          <w:szCs w:val="24"/>
        </w:rPr>
        <w:t>The Prosecutor-General is required to make application in the prescribed manner.</w:t>
      </w:r>
      <w:r w:rsidR="00E62F09" w:rsidRPr="002547FB">
        <w:rPr>
          <w:rStyle w:val="FootnoteReference"/>
          <w:rFonts w:ascii="Arial" w:hAnsi="Arial" w:cs="Arial"/>
          <w:sz w:val="24"/>
          <w:szCs w:val="24"/>
        </w:rPr>
        <w:footnoteReference w:id="16"/>
      </w:r>
      <w:r w:rsidR="00E62F09" w:rsidRPr="002547FB">
        <w:rPr>
          <w:rFonts w:ascii="Arial" w:hAnsi="Arial" w:cs="Arial"/>
          <w:sz w:val="24"/>
          <w:szCs w:val="24"/>
        </w:rPr>
        <w:t xml:space="preserve">  </w:t>
      </w:r>
    </w:p>
    <w:p w:rsidR="003E1850" w:rsidRPr="002547FB" w:rsidRDefault="003E1850" w:rsidP="00E62F09">
      <w:pPr>
        <w:spacing w:after="0" w:line="360" w:lineRule="auto"/>
        <w:jc w:val="both"/>
        <w:rPr>
          <w:rFonts w:ascii="Arial" w:hAnsi="Arial" w:cs="Arial"/>
          <w:sz w:val="24"/>
          <w:szCs w:val="24"/>
        </w:rPr>
      </w:pPr>
    </w:p>
    <w:p w:rsidR="00E62F09" w:rsidRPr="002547FB" w:rsidRDefault="003E1850" w:rsidP="00E62F09">
      <w:pPr>
        <w:spacing w:after="0" w:line="360" w:lineRule="auto"/>
        <w:jc w:val="both"/>
        <w:rPr>
          <w:rFonts w:ascii="Arial" w:hAnsi="Arial" w:cs="Arial"/>
          <w:sz w:val="24"/>
          <w:szCs w:val="24"/>
        </w:rPr>
      </w:pPr>
      <w:r w:rsidRPr="002547FB">
        <w:rPr>
          <w:rFonts w:ascii="Arial" w:hAnsi="Arial" w:cs="Arial"/>
          <w:sz w:val="24"/>
          <w:szCs w:val="24"/>
        </w:rPr>
        <w:t>[38]</w:t>
      </w:r>
      <w:r w:rsidRPr="002547FB">
        <w:rPr>
          <w:rFonts w:ascii="Arial" w:hAnsi="Arial" w:cs="Arial"/>
          <w:sz w:val="24"/>
          <w:szCs w:val="24"/>
        </w:rPr>
        <w:tab/>
      </w:r>
      <w:r w:rsidR="00E62F09" w:rsidRPr="002547FB">
        <w:rPr>
          <w:rFonts w:ascii="Arial" w:hAnsi="Arial" w:cs="Arial"/>
          <w:sz w:val="24"/>
          <w:szCs w:val="24"/>
        </w:rPr>
        <w:t xml:space="preserve">Section 91(1) of </w:t>
      </w:r>
      <w:r w:rsidR="006D44AB" w:rsidRPr="002547FB">
        <w:rPr>
          <w:rFonts w:ascii="Arial" w:hAnsi="Arial" w:cs="Arial"/>
          <w:sz w:val="24"/>
          <w:szCs w:val="24"/>
        </w:rPr>
        <w:t xml:space="preserve">the Act </w:t>
      </w:r>
      <w:r w:rsidR="00E62F09" w:rsidRPr="002547FB">
        <w:rPr>
          <w:rFonts w:ascii="Arial" w:hAnsi="Arial" w:cs="Arial"/>
          <w:sz w:val="24"/>
          <w:szCs w:val="24"/>
        </w:rPr>
        <w:t>provides that ‘every application under sections 25, 43, 51, 59 and 64 must be made in the prescribed manner.’ As we have seen above s 51 deal</w:t>
      </w:r>
      <w:r w:rsidR="006D44AB" w:rsidRPr="002547FB">
        <w:rPr>
          <w:rFonts w:ascii="Arial" w:hAnsi="Arial" w:cs="Arial"/>
          <w:sz w:val="24"/>
          <w:szCs w:val="24"/>
        </w:rPr>
        <w:t xml:space="preserve">s </w:t>
      </w:r>
      <w:r w:rsidR="00E62F09" w:rsidRPr="002547FB">
        <w:rPr>
          <w:rFonts w:ascii="Arial" w:hAnsi="Arial" w:cs="Arial"/>
          <w:sz w:val="24"/>
          <w:szCs w:val="24"/>
        </w:rPr>
        <w:t>with preservation application</w:t>
      </w:r>
      <w:r w:rsidR="00C70B7C" w:rsidRPr="002547FB">
        <w:rPr>
          <w:rFonts w:ascii="Arial" w:hAnsi="Arial" w:cs="Arial"/>
          <w:sz w:val="24"/>
          <w:szCs w:val="24"/>
        </w:rPr>
        <w:t>s</w:t>
      </w:r>
      <w:r w:rsidR="00E62F09" w:rsidRPr="002547FB">
        <w:rPr>
          <w:rFonts w:ascii="Arial" w:hAnsi="Arial" w:cs="Arial"/>
          <w:sz w:val="24"/>
          <w:szCs w:val="24"/>
        </w:rPr>
        <w:t xml:space="preserve"> whereas s 59 deals with forfeiture applications</w:t>
      </w:r>
      <w:r w:rsidR="00C70B7C" w:rsidRPr="002547FB">
        <w:rPr>
          <w:rFonts w:ascii="Arial" w:hAnsi="Arial" w:cs="Arial"/>
          <w:sz w:val="24"/>
          <w:szCs w:val="24"/>
        </w:rPr>
        <w:t xml:space="preserve"> which</w:t>
      </w:r>
      <w:r w:rsidR="00E62F09" w:rsidRPr="002547FB">
        <w:rPr>
          <w:rFonts w:ascii="Arial" w:hAnsi="Arial" w:cs="Arial"/>
          <w:sz w:val="24"/>
          <w:szCs w:val="24"/>
        </w:rPr>
        <w:t xml:space="preserve"> must be made in the prescribed manner. </w:t>
      </w:r>
      <w:r w:rsidR="006D44AB" w:rsidRPr="002547FB">
        <w:rPr>
          <w:rFonts w:ascii="Arial" w:hAnsi="Arial" w:cs="Arial"/>
          <w:sz w:val="24"/>
          <w:szCs w:val="24"/>
        </w:rPr>
        <w:t xml:space="preserve">The fact that s 91(1) of the Act provides for applications under ss 51 and 59 is indicative of the fact that the legislature envisaged two separate applications. </w:t>
      </w:r>
      <w:r w:rsidR="00E62F09" w:rsidRPr="002547FB">
        <w:rPr>
          <w:rFonts w:ascii="Arial" w:hAnsi="Arial" w:cs="Arial"/>
          <w:sz w:val="24"/>
          <w:szCs w:val="24"/>
        </w:rPr>
        <w:t>It follows that a forfeiture application must be made in the prescribed manner.</w:t>
      </w:r>
    </w:p>
    <w:p w:rsidR="00E62F09" w:rsidRPr="002547FB" w:rsidRDefault="00E62F09" w:rsidP="00E62F09">
      <w:pPr>
        <w:spacing w:after="0" w:line="360" w:lineRule="auto"/>
        <w:jc w:val="both"/>
        <w:rPr>
          <w:rFonts w:ascii="Arial" w:hAnsi="Arial" w:cs="Arial"/>
          <w:sz w:val="24"/>
          <w:szCs w:val="24"/>
        </w:rPr>
      </w:pPr>
    </w:p>
    <w:p w:rsidR="00E62F09" w:rsidRPr="002547FB" w:rsidRDefault="00E62F09" w:rsidP="00E62F09">
      <w:pPr>
        <w:spacing w:after="0" w:line="360" w:lineRule="auto"/>
        <w:jc w:val="both"/>
        <w:rPr>
          <w:rFonts w:ascii="Arial" w:hAnsi="Arial" w:cs="Arial"/>
          <w:sz w:val="24"/>
          <w:szCs w:val="24"/>
        </w:rPr>
      </w:pPr>
      <w:r w:rsidRPr="002547FB">
        <w:rPr>
          <w:rFonts w:ascii="Arial" w:hAnsi="Arial" w:cs="Arial"/>
          <w:sz w:val="24"/>
          <w:szCs w:val="24"/>
        </w:rPr>
        <w:t>[3</w:t>
      </w:r>
      <w:r w:rsidR="003E1850" w:rsidRPr="002547FB">
        <w:rPr>
          <w:rFonts w:ascii="Arial" w:hAnsi="Arial" w:cs="Arial"/>
          <w:sz w:val="24"/>
          <w:szCs w:val="24"/>
        </w:rPr>
        <w:t>9</w:t>
      </w:r>
      <w:r w:rsidRPr="002547FB">
        <w:rPr>
          <w:rFonts w:ascii="Arial" w:hAnsi="Arial" w:cs="Arial"/>
          <w:sz w:val="24"/>
          <w:szCs w:val="24"/>
        </w:rPr>
        <w:t>]</w:t>
      </w:r>
      <w:r w:rsidRPr="002547FB">
        <w:rPr>
          <w:rFonts w:ascii="Arial" w:hAnsi="Arial" w:cs="Arial"/>
          <w:sz w:val="24"/>
          <w:szCs w:val="24"/>
        </w:rPr>
        <w:tab/>
        <w:t>Sec</w:t>
      </w:r>
      <w:r w:rsidR="006A1C0D" w:rsidRPr="002547FB">
        <w:rPr>
          <w:rFonts w:ascii="Arial" w:hAnsi="Arial" w:cs="Arial"/>
          <w:sz w:val="24"/>
          <w:szCs w:val="24"/>
        </w:rPr>
        <w:t>tion 90 of the Act empowers the</w:t>
      </w:r>
      <w:r w:rsidRPr="002547FB">
        <w:rPr>
          <w:rFonts w:ascii="Arial" w:hAnsi="Arial" w:cs="Arial"/>
          <w:sz w:val="24"/>
          <w:szCs w:val="24"/>
        </w:rPr>
        <w:t xml:space="preserve"> Judge-President to make rules for the High Court regulating the proceedings contemplated in Chapters 5 and 6 and s 100 </w:t>
      </w:r>
      <w:r w:rsidR="00361D47" w:rsidRPr="002547FB">
        <w:rPr>
          <w:rFonts w:ascii="Arial" w:hAnsi="Arial" w:cs="Arial"/>
          <w:sz w:val="24"/>
          <w:szCs w:val="24"/>
        </w:rPr>
        <w:t>of the Act empowers the Minister to provide for any matter which is required or permitted to be made or to be prescribed under any provision of the Act. Both the Judge President of the High and t</w:t>
      </w:r>
      <w:r w:rsidRPr="002547FB">
        <w:rPr>
          <w:rFonts w:ascii="Arial" w:hAnsi="Arial" w:cs="Arial"/>
          <w:sz w:val="24"/>
          <w:szCs w:val="24"/>
        </w:rPr>
        <w:t xml:space="preserve">he Minister of Justice </w:t>
      </w:r>
      <w:r w:rsidR="00361D47" w:rsidRPr="002547FB">
        <w:rPr>
          <w:rFonts w:ascii="Arial" w:hAnsi="Arial" w:cs="Arial"/>
          <w:sz w:val="24"/>
          <w:szCs w:val="24"/>
        </w:rPr>
        <w:t>made the rules required under s 90 and the regulations required under s 100.</w:t>
      </w:r>
      <w:r w:rsidRPr="002547FB">
        <w:rPr>
          <w:rFonts w:ascii="Arial" w:hAnsi="Arial" w:cs="Arial"/>
          <w:sz w:val="24"/>
          <w:szCs w:val="24"/>
        </w:rPr>
        <w:t xml:space="preserve">  </w:t>
      </w:r>
    </w:p>
    <w:p w:rsidR="00361D47" w:rsidRPr="002547FB" w:rsidRDefault="00361D47" w:rsidP="00361D47">
      <w:pPr>
        <w:spacing w:after="0" w:line="360" w:lineRule="auto"/>
        <w:jc w:val="both"/>
        <w:rPr>
          <w:rFonts w:ascii="Arial" w:hAnsi="Arial" w:cs="Arial"/>
          <w:sz w:val="24"/>
          <w:szCs w:val="24"/>
        </w:rPr>
      </w:pPr>
    </w:p>
    <w:p w:rsidR="00361D47" w:rsidRPr="002547FB" w:rsidRDefault="00361D47" w:rsidP="00361D47">
      <w:pPr>
        <w:spacing w:after="0" w:line="360" w:lineRule="auto"/>
        <w:jc w:val="both"/>
        <w:rPr>
          <w:rFonts w:ascii="Arial" w:hAnsi="Arial" w:cs="Arial"/>
          <w:sz w:val="24"/>
          <w:szCs w:val="24"/>
        </w:rPr>
      </w:pPr>
      <w:r w:rsidRPr="002547FB">
        <w:rPr>
          <w:rFonts w:ascii="Arial" w:hAnsi="Arial" w:cs="Arial"/>
          <w:sz w:val="24"/>
          <w:szCs w:val="24"/>
        </w:rPr>
        <w:lastRenderedPageBreak/>
        <w:t>[</w:t>
      </w:r>
      <w:r w:rsidR="003E1850" w:rsidRPr="002547FB">
        <w:rPr>
          <w:rFonts w:ascii="Arial" w:hAnsi="Arial" w:cs="Arial"/>
          <w:sz w:val="24"/>
          <w:szCs w:val="24"/>
        </w:rPr>
        <w:t>40</w:t>
      </w:r>
      <w:r w:rsidRPr="002547FB">
        <w:rPr>
          <w:rFonts w:ascii="Arial" w:hAnsi="Arial" w:cs="Arial"/>
          <w:sz w:val="24"/>
          <w:szCs w:val="24"/>
        </w:rPr>
        <w:t>]</w:t>
      </w:r>
      <w:r w:rsidRPr="002547FB">
        <w:rPr>
          <w:rFonts w:ascii="Arial" w:hAnsi="Arial" w:cs="Arial"/>
          <w:sz w:val="24"/>
          <w:szCs w:val="24"/>
        </w:rPr>
        <w:tab/>
      </w:r>
      <w:r w:rsidR="00E62F09" w:rsidRPr="002547FB">
        <w:rPr>
          <w:rFonts w:ascii="Arial" w:hAnsi="Arial" w:cs="Arial"/>
          <w:sz w:val="24"/>
          <w:szCs w:val="24"/>
        </w:rPr>
        <w:t xml:space="preserve">Regulation 7 </w:t>
      </w:r>
      <w:r w:rsidRPr="002547FB">
        <w:rPr>
          <w:rFonts w:ascii="Arial" w:hAnsi="Arial" w:cs="Arial"/>
          <w:sz w:val="24"/>
          <w:szCs w:val="24"/>
        </w:rPr>
        <w:t>of the Regulations</w:t>
      </w:r>
      <w:r w:rsidRPr="002547FB">
        <w:rPr>
          <w:rStyle w:val="FootnoteReference"/>
          <w:rFonts w:ascii="Arial" w:hAnsi="Arial" w:cs="Arial"/>
          <w:sz w:val="24"/>
          <w:szCs w:val="24"/>
        </w:rPr>
        <w:footnoteReference w:id="17"/>
      </w:r>
      <w:r w:rsidRPr="002547FB">
        <w:rPr>
          <w:rFonts w:ascii="Arial" w:hAnsi="Arial" w:cs="Arial"/>
          <w:sz w:val="24"/>
          <w:szCs w:val="24"/>
        </w:rPr>
        <w:t xml:space="preserve"> made under s 100 of the Act provides as follows:</w:t>
      </w:r>
    </w:p>
    <w:p w:rsidR="00361D47" w:rsidRPr="002547FB" w:rsidRDefault="00361D47" w:rsidP="00361D47">
      <w:pPr>
        <w:spacing w:after="0" w:line="360" w:lineRule="auto"/>
        <w:jc w:val="both"/>
        <w:rPr>
          <w:rFonts w:ascii="Arial" w:hAnsi="Arial" w:cs="Arial"/>
        </w:rPr>
      </w:pPr>
    </w:p>
    <w:p w:rsidR="00361D47" w:rsidRPr="002547FB" w:rsidRDefault="00361D47" w:rsidP="00361D47">
      <w:pPr>
        <w:tabs>
          <w:tab w:val="left" w:pos="1260"/>
        </w:tabs>
        <w:spacing w:after="0" w:line="360" w:lineRule="auto"/>
        <w:ind w:firstLine="720"/>
        <w:jc w:val="both"/>
        <w:rPr>
          <w:rFonts w:ascii="Arial" w:hAnsi="Arial" w:cs="Arial"/>
          <w:b/>
        </w:rPr>
      </w:pPr>
      <w:r w:rsidRPr="002547FB">
        <w:rPr>
          <w:rFonts w:ascii="Arial" w:hAnsi="Arial" w:cs="Arial"/>
        </w:rPr>
        <w:t>‘</w:t>
      </w:r>
      <w:r w:rsidRPr="002547FB">
        <w:rPr>
          <w:rFonts w:ascii="Arial" w:hAnsi="Arial" w:cs="Arial"/>
          <w:b/>
        </w:rPr>
        <w:t>7</w:t>
      </w:r>
      <w:r w:rsidRPr="002547FB">
        <w:rPr>
          <w:rFonts w:ascii="Arial" w:hAnsi="Arial" w:cs="Arial"/>
          <w:b/>
        </w:rPr>
        <w:tab/>
        <w:t>Procedure for certain applications</w:t>
      </w:r>
    </w:p>
    <w:p w:rsidR="00361D47" w:rsidRPr="002547FB" w:rsidRDefault="00361D47" w:rsidP="00361D47">
      <w:pPr>
        <w:tabs>
          <w:tab w:val="left" w:pos="1260"/>
        </w:tabs>
        <w:spacing w:after="0" w:line="360" w:lineRule="auto"/>
        <w:ind w:firstLine="720"/>
        <w:jc w:val="both"/>
        <w:rPr>
          <w:rFonts w:ascii="Arial" w:hAnsi="Arial" w:cs="Arial"/>
          <w:sz w:val="16"/>
          <w:szCs w:val="16"/>
        </w:rPr>
      </w:pPr>
    </w:p>
    <w:p w:rsidR="00361D47" w:rsidRPr="002547FB" w:rsidRDefault="00361D47" w:rsidP="00361D47">
      <w:pPr>
        <w:spacing w:after="0" w:line="360" w:lineRule="auto"/>
        <w:ind w:firstLine="720"/>
        <w:jc w:val="both"/>
        <w:rPr>
          <w:rFonts w:ascii="Arial" w:hAnsi="Arial" w:cs="Arial"/>
        </w:rPr>
      </w:pPr>
      <w:r w:rsidRPr="002547FB">
        <w:rPr>
          <w:rFonts w:ascii="Arial" w:hAnsi="Arial" w:cs="Arial"/>
        </w:rPr>
        <w:t>Subject to section 91(2), (3) or (4) of the Act, every application made pursuant to section 25, 43, 51, 59 or 64 of the Act, is made as follows-</w:t>
      </w:r>
    </w:p>
    <w:p w:rsidR="00361D47" w:rsidRPr="002547FB" w:rsidRDefault="00361D47" w:rsidP="00361D47">
      <w:pPr>
        <w:spacing w:after="0" w:line="360" w:lineRule="auto"/>
        <w:jc w:val="both"/>
        <w:rPr>
          <w:rFonts w:ascii="Arial" w:hAnsi="Arial" w:cs="Arial"/>
          <w:sz w:val="16"/>
          <w:szCs w:val="16"/>
        </w:rPr>
      </w:pPr>
    </w:p>
    <w:p w:rsidR="00361D47" w:rsidRPr="002547FB" w:rsidRDefault="00361D47" w:rsidP="00361D47">
      <w:pPr>
        <w:spacing w:after="0" w:line="360" w:lineRule="auto"/>
        <w:jc w:val="both"/>
        <w:rPr>
          <w:rFonts w:ascii="Arial" w:hAnsi="Arial" w:cs="Arial"/>
          <w:sz w:val="16"/>
          <w:szCs w:val="16"/>
        </w:rPr>
      </w:pPr>
      <w:r w:rsidRPr="002547FB">
        <w:rPr>
          <w:rFonts w:ascii="Arial" w:hAnsi="Arial" w:cs="Arial"/>
        </w:rPr>
        <w:t>(a)</w:t>
      </w:r>
      <w:r w:rsidRPr="002547FB">
        <w:rPr>
          <w:rFonts w:ascii="Arial" w:hAnsi="Arial" w:cs="Arial"/>
        </w:rPr>
        <w:tab/>
        <w:t>it must be in writing;</w:t>
      </w:r>
    </w:p>
    <w:p w:rsidR="00712076" w:rsidRPr="002547FB" w:rsidRDefault="00712076" w:rsidP="00361D47">
      <w:pPr>
        <w:spacing w:after="0" w:line="360" w:lineRule="auto"/>
        <w:ind w:left="720" w:hanging="720"/>
        <w:jc w:val="both"/>
        <w:rPr>
          <w:rFonts w:ascii="Arial" w:hAnsi="Arial" w:cs="Arial"/>
          <w:sz w:val="16"/>
          <w:szCs w:val="16"/>
        </w:rPr>
      </w:pPr>
    </w:p>
    <w:p w:rsidR="00361D47" w:rsidRPr="002547FB" w:rsidRDefault="00361D47" w:rsidP="00361D47">
      <w:pPr>
        <w:spacing w:after="0" w:line="360" w:lineRule="auto"/>
        <w:ind w:left="720" w:hanging="720"/>
        <w:jc w:val="both"/>
        <w:rPr>
          <w:rFonts w:ascii="Arial" w:hAnsi="Arial" w:cs="Arial"/>
        </w:rPr>
      </w:pPr>
      <w:r w:rsidRPr="002547FB">
        <w:rPr>
          <w:rFonts w:ascii="Arial" w:hAnsi="Arial" w:cs="Arial"/>
        </w:rPr>
        <w:t>(b)</w:t>
      </w:r>
      <w:r w:rsidRPr="002547FB">
        <w:rPr>
          <w:rFonts w:ascii="Arial" w:hAnsi="Arial" w:cs="Arial"/>
        </w:rPr>
        <w:tab/>
        <w:t>a notice of application of at least 7 days must be given to the respondents to an application and to any other person upon whom an appli</w:t>
      </w:r>
      <w:r w:rsidR="00511E7D" w:rsidRPr="002547FB">
        <w:rPr>
          <w:rFonts w:ascii="Arial" w:hAnsi="Arial" w:cs="Arial"/>
        </w:rPr>
        <w:t xml:space="preserve">cation is required to be served, </w:t>
      </w:r>
      <w:r w:rsidRPr="002547FB">
        <w:rPr>
          <w:rFonts w:ascii="Arial" w:hAnsi="Arial" w:cs="Arial"/>
        </w:rPr>
        <w:t>unless leave to serve short notice is given by the High Court; and</w:t>
      </w:r>
    </w:p>
    <w:p w:rsidR="007B6B36" w:rsidRPr="002547FB" w:rsidRDefault="007B6B36" w:rsidP="00361D47">
      <w:pPr>
        <w:spacing w:after="0" w:line="360" w:lineRule="auto"/>
        <w:ind w:left="720" w:hanging="720"/>
        <w:jc w:val="both"/>
        <w:rPr>
          <w:rFonts w:ascii="Arial" w:hAnsi="Arial" w:cs="Arial"/>
          <w:sz w:val="16"/>
          <w:szCs w:val="16"/>
        </w:rPr>
      </w:pPr>
    </w:p>
    <w:p w:rsidR="00361D47" w:rsidRPr="002547FB" w:rsidRDefault="00361D47" w:rsidP="00E74212">
      <w:pPr>
        <w:spacing w:after="0" w:line="360" w:lineRule="auto"/>
        <w:ind w:left="630" w:hanging="630"/>
        <w:jc w:val="both"/>
        <w:rPr>
          <w:rFonts w:ascii="Arial" w:hAnsi="Arial" w:cs="Arial"/>
        </w:rPr>
      </w:pPr>
      <w:r w:rsidRPr="002547FB">
        <w:rPr>
          <w:rFonts w:ascii="Arial" w:hAnsi="Arial" w:cs="Arial"/>
        </w:rPr>
        <w:t>(c)</w:t>
      </w:r>
      <w:r w:rsidRPr="002547FB">
        <w:rPr>
          <w:rFonts w:ascii="Arial" w:hAnsi="Arial" w:cs="Arial"/>
        </w:rPr>
        <w:tab/>
        <w:t>it must be supported by affidavit evidence, unless otherwise stated in the Act or by an order of the High Court.’</w:t>
      </w:r>
    </w:p>
    <w:p w:rsidR="00712076" w:rsidRPr="002547FB" w:rsidRDefault="00712076" w:rsidP="00E74212">
      <w:pPr>
        <w:spacing w:after="0" w:line="360" w:lineRule="auto"/>
        <w:jc w:val="both"/>
        <w:rPr>
          <w:rFonts w:ascii="Arial" w:hAnsi="Arial" w:cs="Arial"/>
        </w:rPr>
      </w:pPr>
    </w:p>
    <w:p w:rsidR="00E74212" w:rsidRPr="002547FB" w:rsidRDefault="00E74212" w:rsidP="00E74212">
      <w:pPr>
        <w:spacing w:after="0" w:line="360" w:lineRule="auto"/>
        <w:jc w:val="both"/>
        <w:rPr>
          <w:rFonts w:ascii="Arial" w:hAnsi="Arial" w:cs="Arial"/>
          <w:sz w:val="24"/>
          <w:szCs w:val="24"/>
        </w:rPr>
      </w:pPr>
      <w:r w:rsidRPr="002547FB">
        <w:rPr>
          <w:rFonts w:ascii="Arial" w:hAnsi="Arial" w:cs="Arial"/>
          <w:sz w:val="24"/>
          <w:szCs w:val="24"/>
        </w:rPr>
        <w:t>[</w:t>
      </w:r>
      <w:r w:rsidR="003E1850" w:rsidRPr="002547FB">
        <w:rPr>
          <w:rFonts w:ascii="Arial" w:hAnsi="Arial" w:cs="Arial"/>
          <w:sz w:val="24"/>
          <w:szCs w:val="24"/>
        </w:rPr>
        <w:t>41</w:t>
      </w:r>
      <w:r w:rsidRPr="002547FB">
        <w:rPr>
          <w:rFonts w:ascii="Arial" w:hAnsi="Arial" w:cs="Arial"/>
          <w:sz w:val="24"/>
          <w:szCs w:val="24"/>
        </w:rPr>
        <w:t>]</w:t>
      </w:r>
      <w:r w:rsidRPr="002547FB">
        <w:rPr>
          <w:rFonts w:ascii="Arial" w:hAnsi="Arial" w:cs="Arial"/>
          <w:sz w:val="24"/>
          <w:szCs w:val="24"/>
        </w:rPr>
        <w:tab/>
      </w:r>
      <w:r w:rsidR="00E62F09" w:rsidRPr="002547FB">
        <w:rPr>
          <w:rFonts w:ascii="Arial" w:hAnsi="Arial" w:cs="Arial"/>
          <w:sz w:val="24"/>
          <w:szCs w:val="24"/>
        </w:rPr>
        <w:t xml:space="preserve">Rule 79(2) of the Rules of the High Court </w:t>
      </w:r>
      <w:r w:rsidRPr="002547FB">
        <w:rPr>
          <w:rFonts w:ascii="Arial" w:hAnsi="Arial" w:cs="Arial"/>
          <w:sz w:val="24"/>
          <w:szCs w:val="24"/>
        </w:rPr>
        <w:t>provides as follows:</w:t>
      </w:r>
    </w:p>
    <w:p w:rsidR="00E74212" w:rsidRPr="002547FB" w:rsidRDefault="00E74212" w:rsidP="00E74212">
      <w:pPr>
        <w:spacing w:after="0" w:line="360" w:lineRule="auto"/>
        <w:jc w:val="both"/>
        <w:rPr>
          <w:rFonts w:ascii="Arial" w:hAnsi="Arial" w:cs="Arial"/>
        </w:rPr>
      </w:pPr>
    </w:p>
    <w:p w:rsidR="00E74212" w:rsidRPr="002547FB" w:rsidRDefault="007B6B36" w:rsidP="00E74212">
      <w:pPr>
        <w:tabs>
          <w:tab w:val="left" w:pos="1260"/>
        </w:tabs>
        <w:spacing w:after="0" w:line="360" w:lineRule="auto"/>
        <w:ind w:firstLine="720"/>
        <w:jc w:val="both"/>
        <w:rPr>
          <w:rFonts w:ascii="Arial" w:hAnsi="Arial" w:cs="Arial"/>
          <w:b/>
        </w:rPr>
      </w:pPr>
      <w:r w:rsidRPr="002547FB">
        <w:rPr>
          <w:rFonts w:ascii="Arial" w:hAnsi="Arial" w:cs="Arial"/>
          <w:b/>
        </w:rPr>
        <w:t>‘</w:t>
      </w:r>
      <w:r w:rsidR="00E74212" w:rsidRPr="002547FB">
        <w:rPr>
          <w:rFonts w:ascii="Arial" w:hAnsi="Arial" w:cs="Arial"/>
          <w:b/>
        </w:rPr>
        <w:t>79</w:t>
      </w:r>
      <w:r w:rsidR="00E74212" w:rsidRPr="002547FB">
        <w:rPr>
          <w:rFonts w:ascii="Arial" w:hAnsi="Arial" w:cs="Arial"/>
          <w:b/>
        </w:rPr>
        <w:tab/>
        <w:t>Application in terms of POCA</w:t>
      </w:r>
    </w:p>
    <w:p w:rsidR="00E74212" w:rsidRPr="002547FB" w:rsidRDefault="00E74212" w:rsidP="00E74212">
      <w:pPr>
        <w:spacing w:after="0" w:line="360" w:lineRule="auto"/>
        <w:jc w:val="both"/>
        <w:rPr>
          <w:rFonts w:ascii="Arial" w:hAnsi="Arial" w:cs="Arial"/>
          <w:sz w:val="16"/>
          <w:szCs w:val="16"/>
        </w:rPr>
      </w:pPr>
    </w:p>
    <w:p w:rsidR="00E74212" w:rsidRPr="002547FB" w:rsidRDefault="00E74212" w:rsidP="00E74212">
      <w:pPr>
        <w:tabs>
          <w:tab w:val="left" w:pos="1260"/>
        </w:tabs>
        <w:spacing w:after="0" w:line="360" w:lineRule="auto"/>
        <w:ind w:firstLine="720"/>
        <w:jc w:val="both"/>
        <w:rPr>
          <w:rFonts w:ascii="Arial" w:hAnsi="Arial" w:cs="Arial"/>
        </w:rPr>
      </w:pPr>
      <w:r w:rsidRPr="002547FB">
        <w:rPr>
          <w:rFonts w:ascii="Arial" w:hAnsi="Arial" w:cs="Arial"/>
        </w:rPr>
        <w:t>(1)</w:t>
      </w:r>
      <w:r w:rsidRPr="002547FB">
        <w:rPr>
          <w:rFonts w:ascii="Arial" w:hAnsi="Arial" w:cs="Arial"/>
        </w:rPr>
        <w:tab/>
        <w:t>This rule applies to applications brought in terms of sections 25, 43, 51, 59 and 64 of the POCA.</w:t>
      </w:r>
    </w:p>
    <w:p w:rsidR="00E74212" w:rsidRPr="002547FB" w:rsidRDefault="00E74212" w:rsidP="00E74212">
      <w:pPr>
        <w:spacing w:after="0" w:line="360" w:lineRule="auto"/>
        <w:jc w:val="both"/>
        <w:rPr>
          <w:rFonts w:ascii="Arial" w:hAnsi="Arial" w:cs="Arial"/>
          <w:sz w:val="16"/>
          <w:szCs w:val="16"/>
        </w:rPr>
      </w:pPr>
    </w:p>
    <w:p w:rsidR="00E74212" w:rsidRPr="002547FB" w:rsidRDefault="00E74212" w:rsidP="00E74212">
      <w:pPr>
        <w:tabs>
          <w:tab w:val="left" w:pos="1260"/>
        </w:tabs>
        <w:spacing w:after="0" w:line="360" w:lineRule="auto"/>
        <w:ind w:firstLine="720"/>
        <w:jc w:val="both"/>
        <w:rPr>
          <w:rFonts w:ascii="Arial" w:hAnsi="Arial" w:cs="Arial"/>
        </w:rPr>
      </w:pPr>
      <w:r w:rsidRPr="002547FB">
        <w:rPr>
          <w:rFonts w:ascii="Arial" w:hAnsi="Arial" w:cs="Arial"/>
        </w:rPr>
        <w:t>(2)</w:t>
      </w:r>
      <w:r w:rsidRPr="002547FB">
        <w:rPr>
          <w:rFonts w:ascii="Arial" w:hAnsi="Arial" w:cs="Arial"/>
        </w:rPr>
        <w:tab/>
        <w:t>An application referred to in sub</w:t>
      </w:r>
      <w:r w:rsidR="001E3DCB" w:rsidRPr="002547FB">
        <w:rPr>
          <w:rFonts w:ascii="Arial" w:hAnsi="Arial" w:cs="Arial"/>
        </w:rPr>
        <w:t>-</w:t>
      </w:r>
      <w:r w:rsidRPr="002547FB">
        <w:rPr>
          <w:rFonts w:ascii="Arial" w:hAnsi="Arial" w:cs="Arial"/>
        </w:rPr>
        <w:t>rule (1) must comply with rule 65(1) and (3) as well as the provisions that apply to specific applications referred to in the relevant sections of the POCA.’</w:t>
      </w:r>
    </w:p>
    <w:p w:rsidR="00E74212" w:rsidRPr="002547FB" w:rsidRDefault="00E74212" w:rsidP="00E74212">
      <w:pPr>
        <w:tabs>
          <w:tab w:val="left" w:pos="1260"/>
        </w:tabs>
        <w:spacing w:after="0" w:line="360" w:lineRule="auto"/>
        <w:ind w:firstLine="720"/>
        <w:jc w:val="both"/>
        <w:rPr>
          <w:rFonts w:ascii="Arial" w:hAnsi="Arial" w:cs="Arial"/>
        </w:rPr>
      </w:pPr>
    </w:p>
    <w:p w:rsidR="00E62F09" w:rsidRPr="002547FB" w:rsidRDefault="00E74212" w:rsidP="00E74212">
      <w:pPr>
        <w:spacing w:after="0" w:line="360" w:lineRule="auto"/>
        <w:jc w:val="both"/>
        <w:rPr>
          <w:rFonts w:ascii="Arial" w:hAnsi="Arial" w:cs="Arial"/>
          <w:sz w:val="24"/>
          <w:szCs w:val="24"/>
        </w:rPr>
      </w:pPr>
      <w:r w:rsidRPr="002547FB">
        <w:rPr>
          <w:rFonts w:ascii="Arial" w:hAnsi="Arial" w:cs="Arial"/>
          <w:sz w:val="24"/>
          <w:szCs w:val="24"/>
        </w:rPr>
        <w:t>[</w:t>
      </w:r>
      <w:r w:rsidR="003E1850" w:rsidRPr="002547FB">
        <w:rPr>
          <w:rFonts w:ascii="Arial" w:hAnsi="Arial" w:cs="Arial"/>
          <w:sz w:val="24"/>
          <w:szCs w:val="24"/>
        </w:rPr>
        <w:t>42</w:t>
      </w:r>
      <w:r w:rsidRPr="002547FB">
        <w:rPr>
          <w:rFonts w:ascii="Arial" w:hAnsi="Arial" w:cs="Arial"/>
          <w:sz w:val="24"/>
          <w:szCs w:val="24"/>
        </w:rPr>
        <w:t>]</w:t>
      </w:r>
      <w:r w:rsidRPr="002547FB">
        <w:rPr>
          <w:rFonts w:ascii="Arial" w:hAnsi="Arial" w:cs="Arial"/>
          <w:sz w:val="24"/>
          <w:szCs w:val="24"/>
        </w:rPr>
        <w:tab/>
      </w:r>
      <w:r w:rsidR="00E62F09" w:rsidRPr="002547FB">
        <w:rPr>
          <w:rFonts w:ascii="Arial" w:hAnsi="Arial" w:cs="Arial"/>
          <w:sz w:val="24"/>
          <w:szCs w:val="24"/>
        </w:rPr>
        <w:t>Rule 65(1) and (3) of the Rules of the High Court, require</w:t>
      </w:r>
      <w:r w:rsidR="00511E7D" w:rsidRPr="002547FB">
        <w:rPr>
          <w:rFonts w:ascii="Arial" w:hAnsi="Arial" w:cs="Arial"/>
          <w:sz w:val="24"/>
          <w:szCs w:val="24"/>
        </w:rPr>
        <w:t xml:space="preserve"> </w:t>
      </w:r>
      <w:r w:rsidR="00E62F09" w:rsidRPr="002547FB">
        <w:rPr>
          <w:rFonts w:ascii="Arial" w:hAnsi="Arial" w:cs="Arial"/>
          <w:sz w:val="24"/>
          <w:szCs w:val="24"/>
        </w:rPr>
        <w:t>an application to be by a notice of motio</w:t>
      </w:r>
      <w:r w:rsidR="00511E7D" w:rsidRPr="002547FB">
        <w:rPr>
          <w:rFonts w:ascii="Arial" w:hAnsi="Arial" w:cs="Arial"/>
          <w:sz w:val="24"/>
          <w:szCs w:val="24"/>
        </w:rPr>
        <w:t xml:space="preserve">n accompanied by an affidavit, </w:t>
      </w:r>
      <w:r w:rsidR="00E62F09" w:rsidRPr="002547FB">
        <w:rPr>
          <w:rFonts w:ascii="Arial" w:hAnsi="Arial" w:cs="Arial"/>
          <w:sz w:val="24"/>
          <w:szCs w:val="24"/>
        </w:rPr>
        <w:t xml:space="preserve">setting out </w:t>
      </w:r>
      <w:r w:rsidR="007B6B36" w:rsidRPr="002547FB">
        <w:rPr>
          <w:rFonts w:ascii="Arial" w:hAnsi="Arial" w:cs="Arial"/>
          <w:sz w:val="24"/>
          <w:szCs w:val="24"/>
        </w:rPr>
        <w:t xml:space="preserve">the </w:t>
      </w:r>
      <w:r w:rsidR="00E62F09" w:rsidRPr="002547FB">
        <w:rPr>
          <w:rFonts w:ascii="Arial" w:hAnsi="Arial" w:cs="Arial"/>
          <w:sz w:val="24"/>
          <w:szCs w:val="24"/>
        </w:rPr>
        <w:t>relevant allegations on which the applicant relies for the relief sought.</w:t>
      </w:r>
    </w:p>
    <w:p w:rsidR="00E62F09" w:rsidRPr="002547FB" w:rsidRDefault="00E62F09" w:rsidP="00E74212">
      <w:pPr>
        <w:pStyle w:val="ListParagraph"/>
        <w:spacing w:after="0" w:line="360" w:lineRule="auto"/>
        <w:rPr>
          <w:rFonts w:ascii="Arial" w:hAnsi="Arial" w:cs="Arial"/>
          <w:sz w:val="24"/>
          <w:szCs w:val="24"/>
        </w:rPr>
      </w:pPr>
    </w:p>
    <w:p w:rsidR="00700FDA" w:rsidRPr="002547FB" w:rsidRDefault="00700FDA" w:rsidP="00E74212">
      <w:pPr>
        <w:pStyle w:val="ListParagraph"/>
        <w:spacing w:after="0" w:line="360" w:lineRule="auto"/>
        <w:rPr>
          <w:rFonts w:ascii="Arial" w:hAnsi="Arial" w:cs="Arial"/>
          <w:sz w:val="24"/>
          <w:szCs w:val="24"/>
        </w:rPr>
      </w:pPr>
    </w:p>
    <w:p w:rsidR="00354E20" w:rsidRPr="002547FB" w:rsidRDefault="003F2004" w:rsidP="00E74212">
      <w:pPr>
        <w:tabs>
          <w:tab w:val="left" w:pos="720"/>
        </w:tabs>
        <w:spacing w:after="0" w:line="360" w:lineRule="auto"/>
        <w:jc w:val="both"/>
        <w:rPr>
          <w:rFonts w:ascii="Arial" w:hAnsi="Arial" w:cs="Arial"/>
          <w:sz w:val="24"/>
          <w:szCs w:val="24"/>
          <w:u w:val="single"/>
        </w:rPr>
      </w:pPr>
      <w:r w:rsidRPr="002547FB">
        <w:rPr>
          <w:rFonts w:ascii="Arial" w:hAnsi="Arial" w:cs="Arial"/>
          <w:sz w:val="24"/>
          <w:szCs w:val="24"/>
          <w:u w:val="single"/>
        </w:rPr>
        <w:t>The Prosecutor General’s affidavit in support of the forfeiture application.</w:t>
      </w:r>
    </w:p>
    <w:p w:rsidR="001E3DCB" w:rsidRPr="002547FB" w:rsidRDefault="001E3DCB" w:rsidP="00E74212">
      <w:pPr>
        <w:tabs>
          <w:tab w:val="left" w:pos="720"/>
        </w:tabs>
        <w:spacing w:after="0" w:line="360" w:lineRule="auto"/>
        <w:jc w:val="both"/>
        <w:rPr>
          <w:rFonts w:ascii="Arial" w:hAnsi="Arial" w:cs="Arial"/>
          <w:sz w:val="24"/>
          <w:szCs w:val="24"/>
          <w:u w:val="single"/>
        </w:rPr>
      </w:pPr>
    </w:p>
    <w:p w:rsidR="00EB138A" w:rsidRPr="002547FB" w:rsidRDefault="00382D9E" w:rsidP="00382D9E">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3E1850" w:rsidRPr="002547FB">
        <w:rPr>
          <w:rFonts w:ascii="Arial" w:hAnsi="Arial" w:cs="Arial"/>
          <w:sz w:val="24"/>
          <w:szCs w:val="24"/>
        </w:rPr>
        <w:t>43</w:t>
      </w:r>
      <w:r w:rsidRPr="002547FB">
        <w:rPr>
          <w:rFonts w:ascii="Arial" w:hAnsi="Arial" w:cs="Arial"/>
          <w:sz w:val="24"/>
          <w:szCs w:val="24"/>
        </w:rPr>
        <w:t>]</w:t>
      </w:r>
      <w:r w:rsidRPr="002547FB">
        <w:rPr>
          <w:rFonts w:ascii="Arial" w:hAnsi="Arial" w:cs="Arial"/>
          <w:sz w:val="24"/>
          <w:szCs w:val="24"/>
        </w:rPr>
        <w:tab/>
        <w:t>I mentioned earlier that s 50 of the Act provides that proceedings under chap</w:t>
      </w:r>
      <w:r w:rsidR="00511E7D" w:rsidRPr="002547FB">
        <w:rPr>
          <w:rFonts w:ascii="Arial" w:hAnsi="Arial" w:cs="Arial"/>
          <w:sz w:val="24"/>
          <w:szCs w:val="24"/>
        </w:rPr>
        <w:t>ter six</w:t>
      </w:r>
      <w:r w:rsidRPr="002547FB">
        <w:rPr>
          <w:rFonts w:ascii="Arial" w:hAnsi="Arial" w:cs="Arial"/>
          <w:sz w:val="24"/>
          <w:szCs w:val="24"/>
        </w:rPr>
        <w:t xml:space="preserve"> of the Act </w:t>
      </w:r>
      <w:r w:rsidR="001E3DCB" w:rsidRPr="002547FB">
        <w:rPr>
          <w:rFonts w:ascii="Arial" w:hAnsi="Arial" w:cs="Arial"/>
          <w:sz w:val="24"/>
          <w:szCs w:val="24"/>
        </w:rPr>
        <w:t>are civil</w:t>
      </w:r>
      <w:r w:rsidRPr="002547FB">
        <w:rPr>
          <w:rFonts w:ascii="Arial" w:hAnsi="Arial" w:cs="Arial"/>
          <w:sz w:val="24"/>
          <w:szCs w:val="24"/>
        </w:rPr>
        <w:t xml:space="preserve"> and</w:t>
      </w:r>
      <w:r w:rsidR="001E3DCB" w:rsidRPr="002547FB">
        <w:rPr>
          <w:rFonts w:ascii="Arial" w:hAnsi="Arial" w:cs="Arial"/>
          <w:sz w:val="24"/>
          <w:szCs w:val="24"/>
        </w:rPr>
        <w:t xml:space="preserve"> not criminal</w:t>
      </w:r>
      <w:r w:rsidRPr="002547FB">
        <w:rPr>
          <w:rFonts w:ascii="Arial" w:hAnsi="Arial" w:cs="Arial"/>
          <w:sz w:val="24"/>
          <w:szCs w:val="24"/>
        </w:rPr>
        <w:t xml:space="preserve">. The section continues and stipulates </w:t>
      </w:r>
      <w:r w:rsidRPr="002547FB">
        <w:rPr>
          <w:rFonts w:ascii="Arial" w:hAnsi="Arial" w:cs="Arial"/>
          <w:sz w:val="24"/>
          <w:szCs w:val="24"/>
        </w:rPr>
        <w:lastRenderedPageBreak/>
        <w:t>that t</w:t>
      </w:r>
      <w:r w:rsidR="001E3DCB" w:rsidRPr="002547FB">
        <w:rPr>
          <w:rFonts w:ascii="Arial" w:hAnsi="Arial" w:cs="Arial"/>
          <w:sz w:val="24"/>
          <w:szCs w:val="24"/>
        </w:rPr>
        <w:t xml:space="preserve">he rules of evidence applicable in civil proceedings apply to proceedings under </w:t>
      </w:r>
      <w:r w:rsidRPr="002547FB">
        <w:rPr>
          <w:rFonts w:ascii="Arial" w:hAnsi="Arial" w:cs="Arial"/>
          <w:sz w:val="24"/>
          <w:szCs w:val="24"/>
        </w:rPr>
        <w:t>cha</w:t>
      </w:r>
      <w:r w:rsidR="00511E7D" w:rsidRPr="002547FB">
        <w:rPr>
          <w:rFonts w:ascii="Arial" w:hAnsi="Arial" w:cs="Arial"/>
          <w:sz w:val="24"/>
          <w:szCs w:val="24"/>
        </w:rPr>
        <w:t>pter six</w:t>
      </w:r>
      <w:r w:rsidRPr="002547FB">
        <w:rPr>
          <w:rFonts w:ascii="Arial" w:hAnsi="Arial" w:cs="Arial"/>
          <w:sz w:val="24"/>
          <w:szCs w:val="24"/>
        </w:rPr>
        <w:t>,</w:t>
      </w:r>
      <w:r w:rsidR="001E3DCB" w:rsidRPr="002547FB">
        <w:rPr>
          <w:rFonts w:ascii="Arial" w:hAnsi="Arial" w:cs="Arial"/>
          <w:sz w:val="24"/>
          <w:szCs w:val="24"/>
        </w:rPr>
        <w:t xml:space="preserve"> but any evidence which would be admissible in criminal proceedings, is admissible in proceedings under </w:t>
      </w:r>
      <w:r w:rsidR="00511E7D" w:rsidRPr="002547FB">
        <w:rPr>
          <w:rFonts w:ascii="Arial" w:hAnsi="Arial" w:cs="Arial"/>
          <w:sz w:val="24"/>
          <w:szCs w:val="24"/>
        </w:rPr>
        <w:t>chapter six. It is now a well-</w:t>
      </w:r>
      <w:r w:rsidRPr="002547FB">
        <w:rPr>
          <w:rFonts w:ascii="Arial" w:hAnsi="Arial" w:cs="Arial"/>
          <w:sz w:val="24"/>
          <w:szCs w:val="24"/>
        </w:rPr>
        <w:t>established principle of our</w:t>
      </w:r>
      <w:r w:rsidR="003F2004" w:rsidRPr="002547FB">
        <w:rPr>
          <w:rFonts w:ascii="Arial" w:hAnsi="Arial" w:cs="Arial"/>
          <w:sz w:val="24"/>
          <w:szCs w:val="24"/>
        </w:rPr>
        <w:t xml:space="preserve"> law that in motion proceedings, such as the present proceedings, </w:t>
      </w:r>
      <w:r w:rsidR="00424F0D" w:rsidRPr="002547FB">
        <w:rPr>
          <w:rFonts w:ascii="Arial" w:hAnsi="Arial" w:cs="Arial"/>
          <w:sz w:val="24"/>
          <w:szCs w:val="24"/>
        </w:rPr>
        <w:t>the affidavits constitute both the pleadings and the evidence.</w:t>
      </w:r>
      <w:r w:rsidR="00424F0D" w:rsidRPr="002547FB">
        <w:rPr>
          <w:rStyle w:val="FootnoteReference"/>
          <w:rFonts w:ascii="Arial" w:hAnsi="Arial" w:cs="Arial"/>
          <w:sz w:val="24"/>
          <w:szCs w:val="24"/>
        </w:rPr>
        <w:footnoteReference w:id="18"/>
      </w:r>
      <w:r w:rsidR="00424F0D" w:rsidRPr="002547FB">
        <w:rPr>
          <w:rFonts w:ascii="Arial" w:hAnsi="Arial" w:cs="Arial"/>
          <w:sz w:val="24"/>
          <w:szCs w:val="24"/>
        </w:rPr>
        <w:t xml:space="preserve"> </w:t>
      </w:r>
    </w:p>
    <w:p w:rsidR="00EB138A" w:rsidRPr="002547FB" w:rsidRDefault="00EB138A" w:rsidP="00382D9E">
      <w:pPr>
        <w:tabs>
          <w:tab w:val="left" w:pos="720"/>
        </w:tabs>
        <w:spacing w:after="0" w:line="360" w:lineRule="auto"/>
        <w:jc w:val="both"/>
        <w:rPr>
          <w:rFonts w:ascii="Arial" w:hAnsi="Arial" w:cs="Arial"/>
          <w:sz w:val="24"/>
          <w:szCs w:val="24"/>
        </w:rPr>
      </w:pPr>
    </w:p>
    <w:p w:rsidR="00160D65" w:rsidRPr="002547FB" w:rsidRDefault="00EB138A" w:rsidP="00382D9E">
      <w:pPr>
        <w:tabs>
          <w:tab w:val="left" w:pos="720"/>
        </w:tabs>
        <w:spacing w:after="0" w:line="360" w:lineRule="auto"/>
        <w:jc w:val="both"/>
        <w:rPr>
          <w:rFonts w:ascii="Arial" w:hAnsi="Arial" w:cs="Arial"/>
        </w:rPr>
      </w:pPr>
      <w:r w:rsidRPr="002547FB">
        <w:rPr>
          <w:rFonts w:ascii="Arial" w:hAnsi="Arial" w:cs="Arial"/>
          <w:sz w:val="24"/>
          <w:szCs w:val="24"/>
        </w:rPr>
        <w:t>[</w:t>
      </w:r>
      <w:r w:rsidR="003F2004" w:rsidRPr="002547FB">
        <w:rPr>
          <w:rFonts w:ascii="Arial" w:hAnsi="Arial" w:cs="Arial"/>
          <w:sz w:val="24"/>
          <w:szCs w:val="24"/>
        </w:rPr>
        <w:t>4</w:t>
      </w:r>
      <w:r w:rsidR="003E1850" w:rsidRPr="002547FB">
        <w:rPr>
          <w:rFonts w:ascii="Arial" w:hAnsi="Arial" w:cs="Arial"/>
          <w:sz w:val="24"/>
          <w:szCs w:val="24"/>
        </w:rPr>
        <w:t>4</w:t>
      </w:r>
      <w:r w:rsidRPr="002547FB">
        <w:rPr>
          <w:rFonts w:ascii="Arial" w:hAnsi="Arial" w:cs="Arial"/>
          <w:sz w:val="24"/>
          <w:szCs w:val="24"/>
        </w:rPr>
        <w:t>]</w:t>
      </w:r>
      <w:r w:rsidRPr="002547FB">
        <w:rPr>
          <w:rFonts w:ascii="Arial" w:hAnsi="Arial" w:cs="Arial"/>
          <w:sz w:val="24"/>
          <w:szCs w:val="24"/>
        </w:rPr>
        <w:tab/>
        <w:t>Since affidavits constitute both the pleadings and the evidence in motion proceedings, a party must make sure that all the evidence necessary to support its case is included in the affidavit.</w:t>
      </w:r>
      <w:r w:rsidRPr="002547FB">
        <w:rPr>
          <w:rStyle w:val="FootnoteReference"/>
          <w:rFonts w:ascii="Arial" w:hAnsi="Arial" w:cs="Arial"/>
          <w:sz w:val="24"/>
          <w:szCs w:val="24"/>
        </w:rPr>
        <w:footnoteReference w:id="19"/>
      </w:r>
      <w:r w:rsidRPr="002547FB">
        <w:rPr>
          <w:rFonts w:ascii="Arial" w:hAnsi="Arial" w:cs="Arial"/>
          <w:sz w:val="24"/>
          <w:szCs w:val="24"/>
        </w:rPr>
        <w:t xml:space="preserve"> In other words, the affidavits</w:t>
      </w:r>
      <w:r w:rsidRPr="002547FB">
        <w:rPr>
          <w:rFonts w:ascii="Arial" w:hAnsi="Arial" w:cs="Arial"/>
          <w:i/>
          <w:sz w:val="24"/>
          <w:szCs w:val="24"/>
        </w:rPr>
        <w:t xml:space="preserve"> must</w:t>
      </w:r>
      <w:r w:rsidR="00FE5432" w:rsidRPr="002547FB">
        <w:rPr>
          <w:rStyle w:val="FootnoteReference"/>
          <w:rFonts w:ascii="Arial" w:hAnsi="Arial" w:cs="Arial"/>
          <w:sz w:val="24"/>
          <w:szCs w:val="24"/>
        </w:rPr>
        <w:footnoteReference w:id="20"/>
      </w:r>
      <w:r w:rsidRPr="002547FB">
        <w:rPr>
          <w:rFonts w:ascii="Arial" w:hAnsi="Arial" w:cs="Arial"/>
          <w:sz w:val="24"/>
          <w:szCs w:val="24"/>
        </w:rPr>
        <w:t xml:space="preserve"> contain all the averments necessary to sustain a cause of action or a defence. </w:t>
      </w:r>
      <w:r w:rsidR="00FE5432" w:rsidRPr="002547FB">
        <w:rPr>
          <w:rFonts w:ascii="Arial" w:hAnsi="Arial" w:cs="Arial"/>
          <w:sz w:val="24"/>
          <w:szCs w:val="24"/>
        </w:rPr>
        <w:t>If the documents are so bulky that the applicant is not expected to attach them to the affidavit, the applicant must say so in its affidavit, and then identify, for the benefit of the court and the other parties, the particular documents or portions of such documents which the respondent desires to use and rely on,</w:t>
      </w:r>
      <w:r w:rsidR="003E1850" w:rsidRPr="002547FB">
        <w:rPr>
          <w:rFonts w:ascii="Arial" w:hAnsi="Arial" w:cs="Arial"/>
          <w:sz w:val="24"/>
          <w:szCs w:val="24"/>
        </w:rPr>
        <w:t xml:space="preserve"> annex the portions of the documents that they intend to rely on and</w:t>
      </w:r>
      <w:r w:rsidR="00FE5432" w:rsidRPr="002547FB">
        <w:rPr>
          <w:rFonts w:ascii="Arial" w:hAnsi="Arial" w:cs="Arial"/>
          <w:sz w:val="24"/>
          <w:szCs w:val="24"/>
        </w:rPr>
        <w:t xml:space="preserve"> explain the contents of the documents or the portions thereof and their relevance to the issues at hand. </w:t>
      </w:r>
      <w:r w:rsidR="003F2004" w:rsidRPr="002547FB">
        <w:rPr>
          <w:rFonts w:ascii="Arial" w:hAnsi="Arial" w:cs="Arial"/>
          <w:sz w:val="24"/>
          <w:szCs w:val="24"/>
        </w:rPr>
        <w:t>It is not sufficient to just mention the documents which are alleged to be bulky.</w:t>
      </w:r>
      <w:r w:rsidR="00FE5432" w:rsidRPr="002547FB">
        <w:rPr>
          <w:rFonts w:ascii="Arial" w:hAnsi="Arial" w:cs="Arial"/>
          <w:sz w:val="24"/>
          <w:szCs w:val="24"/>
        </w:rPr>
        <w:t xml:space="preserve"> The Supreme Court</w:t>
      </w:r>
      <w:r w:rsidR="00FE5432" w:rsidRPr="002547FB">
        <w:rPr>
          <w:rStyle w:val="FootnoteReference"/>
          <w:rFonts w:ascii="Arial" w:hAnsi="Arial" w:cs="Arial"/>
          <w:sz w:val="24"/>
          <w:szCs w:val="24"/>
        </w:rPr>
        <w:footnoteReference w:id="21"/>
      </w:r>
      <w:r w:rsidR="00FE5432" w:rsidRPr="002547FB">
        <w:rPr>
          <w:rFonts w:ascii="Arial" w:hAnsi="Arial" w:cs="Arial"/>
          <w:sz w:val="24"/>
          <w:szCs w:val="24"/>
        </w:rPr>
        <w:t xml:space="preserve"> </w:t>
      </w:r>
      <w:r w:rsidR="00160D65" w:rsidRPr="002547FB">
        <w:rPr>
          <w:rFonts w:ascii="Arial" w:hAnsi="Arial" w:cs="Arial"/>
          <w:sz w:val="24"/>
          <w:szCs w:val="24"/>
        </w:rPr>
        <w:t xml:space="preserve">quoting with </w:t>
      </w:r>
      <w:r w:rsidR="00FE5432" w:rsidRPr="002547FB">
        <w:rPr>
          <w:rFonts w:ascii="Arial" w:hAnsi="Arial" w:cs="Arial"/>
          <w:sz w:val="24"/>
          <w:szCs w:val="24"/>
        </w:rPr>
        <w:t>approv</w:t>
      </w:r>
      <w:r w:rsidR="00160D65" w:rsidRPr="002547FB">
        <w:rPr>
          <w:rFonts w:ascii="Arial" w:hAnsi="Arial" w:cs="Arial"/>
          <w:sz w:val="24"/>
          <w:szCs w:val="24"/>
        </w:rPr>
        <w:t>al</w:t>
      </w:r>
      <w:r w:rsidR="00FE5432" w:rsidRPr="002547FB">
        <w:rPr>
          <w:rFonts w:ascii="Arial" w:hAnsi="Arial" w:cs="Arial"/>
          <w:sz w:val="24"/>
          <w:szCs w:val="24"/>
        </w:rPr>
        <w:t xml:space="preserve"> the crisp and clear statement by Joffe </w:t>
      </w:r>
      <w:r w:rsidR="00160D65" w:rsidRPr="002547FB">
        <w:rPr>
          <w:rFonts w:ascii="Arial" w:hAnsi="Arial" w:cs="Arial"/>
          <w:sz w:val="24"/>
          <w:szCs w:val="24"/>
        </w:rPr>
        <w:t>J</w:t>
      </w:r>
      <w:r w:rsidR="00160D65" w:rsidRPr="002547FB">
        <w:rPr>
          <w:rStyle w:val="FootnoteReference"/>
          <w:rFonts w:ascii="Arial" w:hAnsi="Arial" w:cs="Arial"/>
          <w:sz w:val="24"/>
          <w:szCs w:val="24"/>
        </w:rPr>
        <w:footnoteReference w:id="22"/>
      </w:r>
      <w:r w:rsidR="00FE5432" w:rsidRPr="002547FB">
        <w:rPr>
          <w:rFonts w:ascii="Arial" w:hAnsi="Arial" w:cs="Arial"/>
          <w:sz w:val="24"/>
          <w:szCs w:val="24"/>
        </w:rPr>
        <w:t xml:space="preserve"> </w:t>
      </w:r>
      <w:r w:rsidR="00160D65" w:rsidRPr="002547FB">
        <w:rPr>
          <w:rFonts w:ascii="Arial" w:hAnsi="Arial" w:cs="Arial"/>
          <w:sz w:val="24"/>
          <w:szCs w:val="24"/>
        </w:rPr>
        <w:t>said</w:t>
      </w:r>
      <w:r w:rsidR="00FE5432" w:rsidRPr="002547FB">
        <w:rPr>
          <w:rFonts w:ascii="Arial" w:hAnsi="Arial" w:cs="Arial"/>
          <w:sz w:val="24"/>
          <w:szCs w:val="24"/>
        </w:rPr>
        <w:t>:</w:t>
      </w:r>
      <w:r w:rsidR="00FE5432" w:rsidRPr="002547FB">
        <w:rPr>
          <w:rFonts w:ascii="Arial" w:hAnsi="Arial" w:cs="Arial"/>
        </w:rPr>
        <w:t xml:space="preserve"> </w:t>
      </w:r>
    </w:p>
    <w:p w:rsidR="00160D65" w:rsidRPr="002547FB" w:rsidRDefault="00160D65" w:rsidP="00160D65">
      <w:pPr>
        <w:tabs>
          <w:tab w:val="left" w:pos="720"/>
        </w:tabs>
        <w:spacing w:after="0" w:line="360" w:lineRule="auto"/>
        <w:ind w:firstLine="720"/>
        <w:jc w:val="both"/>
        <w:rPr>
          <w:rFonts w:ascii="Arial" w:hAnsi="Arial" w:cs="Arial"/>
        </w:rPr>
      </w:pPr>
    </w:p>
    <w:p w:rsidR="00160D65" w:rsidRPr="002547FB" w:rsidRDefault="00D60031" w:rsidP="00160D65">
      <w:pPr>
        <w:tabs>
          <w:tab w:val="left" w:pos="720"/>
        </w:tabs>
        <w:spacing w:after="0" w:line="360" w:lineRule="auto"/>
        <w:ind w:firstLine="720"/>
        <w:jc w:val="both"/>
        <w:rPr>
          <w:rFonts w:ascii="Arial" w:hAnsi="Arial" w:cs="Arial"/>
        </w:rPr>
      </w:pPr>
      <w:r>
        <w:rPr>
          <w:rFonts w:ascii="Arial" w:hAnsi="Arial" w:cs="Arial"/>
        </w:rPr>
        <w:t xml:space="preserve">‘. . . </w:t>
      </w:r>
      <w:r w:rsidR="00160D65" w:rsidRPr="002547FB">
        <w:rPr>
          <w:rFonts w:ascii="Arial" w:hAnsi="Arial" w:cs="Arial"/>
        </w:rPr>
        <w:t>“</w:t>
      </w:r>
      <w:r w:rsidR="00FE5432" w:rsidRPr="002547FB">
        <w:rPr>
          <w:rFonts w:ascii="Arial" w:hAnsi="Arial" w:cs="Arial"/>
        </w:rPr>
        <w:t>Regard being had to the function of affidavits, it is not open to an applicant or a respondent to merely annexe to its affidavit documentation an</w:t>
      </w:r>
      <w:r w:rsidR="00160D65" w:rsidRPr="002547FB">
        <w:rPr>
          <w:rFonts w:ascii="Arial" w:hAnsi="Arial" w:cs="Arial"/>
        </w:rPr>
        <w:t>d to request the Court to have regard</w:t>
      </w:r>
      <w:r w:rsidR="00FE5432" w:rsidRPr="002547FB">
        <w:rPr>
          <w:rFonts w:ascii="Arial" w:hAnsi="Arial" w:cs="Arial"/>
        </w:rPr>
        <w:t xml:space="preserve"> to it. What is required is the identification of the portions thereof on which reliance is placed and an indication of the case which is sought to be made out on the strength thereof. If this were not so the essence of our established practice would be destroyed.</w:t>
      </w:r>
      <w:r w:rsidR="00160D65" w:rsidRPr="002547FB">
        <w:rPr>
          <w:rFonts w:ascii="Arial" w:hAnsi="Arial" w:cs="Arial"/>
        </w:rPr>
        <w:t>”</w:t>
      </w:r>
    </w:p>
    <w:p w:rsidR="00160D65" w:rsidRPr="002547FB" w:rsidRDefault="00160D65" w:rsidP="00160D65">
      <w:pPr>
        <w:tabs>
          <w:tab w:val="left" w:pos="720"/>
        </w:tabs>
        <w:spacing w:after="0" w:line="360" w:lineRule="auto"/>
        <w:jc w:val="both"/>
        <w:rPr>
          <w:rFonts w:ascii="Arial" w:hAnsi="Arial" w:cs="Arial"/>
        </w:rPr>
      </w:pPr>
    </w:p>
    <w:p w:rsidR="00160D65" w:rsidRPr="002547FB" w:rsidRDefault="00160D65" w:rsidP="00160D65">
      <w:pPr>
        <w:tabs>
          <w:tab w:val="left" w:pos="720"/>
        </w:tabs>
        <w:spacing w:after="0" w:line="360" w:lineRule="auto"/>
        <w:jc w:val="both"/>
        <w:rPr>
          <w:rFonts w:ascii="Arial" w:hAnsi="Arial" w:cs="Arial"/>
          <w:sz w:val="24"/>
          <w:szCs w:val="24"/>
        </w:rPr>
      </w:pPr>
      <w:r w:rsidRPr="002547FB">
        <w:rPr>
          <w:rFonts w:ascii="Arial" w:hAnsi="Arial" w:cs="Arial"/>
        </w:rPr>
        <w:t>As the adage goes, in motion proceedings you stand or fall by your papers</w:t>
      </w:r>
      <w:r w:rsidR="00FE5432" w:rsidRPr="002547FB">
        <w:rPr>
          <w:rFonts w:ascii="Arial" w:hAnsi="Arial" w:cs="Arial"/>
        </w:rPr>
        <w:t xml:space="preserve">’ </w:t>
      </w:r>
      <w:r w:rsidR="00EB138A" w:rsidRPr="002547FB">
        <w:rPr>
          <w:rFonts w:ascii="Arial" w:hAnsi="Arial" w:cs="Arial"/>
          <w:sz w:val="24"/>
          <w:szCs w:val="24"/>
        </w:rPr>
        <w:t xml:space="preserve"> </w:t>
      </w:r>
    </w:p>
    <w:p w:rsidR="00160D65" w:rsidRPr="002547FB" w:rsidRDefault="00160D65" w:rsidP="00160D65">
      <w:pPr>
        <w:tabs>
          <w:tab w:val="left" w:pos="720"/>
        </w:tabs>
        <w:spacing w:after="0" w:line="360" w:lineRule="auto"/>
        <w:jc w:val="both"/>
        <w:rPr>
          <w:rFonts w:ascii="Arial" w:hAnsi="Arial" w:cs="Arial"/>
          <w:sz w:val="24"/>
          <w:szCs w:val="24"/>
        </w:rPr>
      </w:pPr>
    </w:p>
    <w:p w:rsidR="00160D65" w:rsidRPr="002547FB" w:rsidRDefault="00160D65" w:rsidP="00160D65">
      <w:pPr>
        <w:tabs>
          <w:tab w:val="left" w:pos="720"/>
        </w:tabs>
        <w:spacing w:after="0" w:line="360" w:lineRule="auto"/>
        <w:jc w:val="both"/>
        <w:rPr>
          <w:rFonts w:ascii="Arial" w:hAnsi="Arial" w:cs="Arial"/>
          <w:i/>
          <w:sz w:val="24"/>
          <w:szCs w:val="24"/>
        </w:rPr>
      </w:pPr>
      <w:r w:rsidRPr="002547FB">
        <w:rPr>
          <w:rFonts w:ascii="Arial" w:hAnsi="Arial" w:cs="Arial"/>
          <w:sz w:val="24"/>
          <w:szCs w:val="24"/>
        </w:rPr>
        <w:lastRenderedPageBreak/>
        <w:t>[</w:t>
      </w:r>
      <w:r w:rsidR="00FB2450" w:rsidRPr="002547FB">
        <w:rPr>
          <w:rFonts w:ascii="Arial" w:hAnsi="Arial" w:cs="Arial"/>
          <w:sz w:val="24"/>
          <w:szCs w:val="24"/>
        </w:rPr>
        <w:t>4</w:t>
      </w:r>
      <w:r w:rsidR="003E1850" w:rsidRPr="002547FB">
        <w:rPr>
          <w:rFonts w:ascii="Arial" w:hAnsi="Arial" w:cs="Arial"/>
          <w:sz w:val="24"/>
          <w:szCs w:val="24"/>
        </w:rPr>
        <w:t>5</w:t>
      </w:r>
      <w:r w:rsidRPr="002547FB">
        <w:rPr>
          <w:rFonts w:ascii="Arial" w:hAnsi="Arial" w:cs="Arial"/>
          <w:sz w:val="24"/>
          <w:szCs w:val="24"/>
        </w:rPr>
        <w:t>]</w:t>
      </w:r>
      <w:r w:rsidRPr="002547FB">
        <w:rPr>
          <w:rFonts w:ascii="Arial" w:hAnsi="Arial" w:cs="Arial"/>
          <w:sz w:val="24"/>
          <w:szCs w:val="24"/>
        </w:rPr>
        <w:tab/>
        <w:t>The Supreme Court proceed</w:t>
      </w:r>
      <w:r w:rsidR="00511E7D" w:rsidRPr="002547FB">
        <w:rPr>
          <w:rFonts w:ascii="Arial" w:hAnsi="Arial" w:cs="Arial"/>
          <w:sz w:val="24"/>
          <w:szCs w:val="24"/>
        </w:rPr>
        <w:t>ed</w:t>
      </w:r>
      <w:r w:rsidRPr="002547FB">
        <w:rPr>
          <w:rFonts w:ascii="Arial" w:hAnsi="Arial" w:cs="Arial"/>
          <w:sz w:val="24"/>
          <w:szCs w:val="24"/>
        </w:rPr>
        <w:t xml:space="preserve"> in the </w:t>
      </w:r>
      <w:r w:rsidRPr="002547FB">
        <w:rPr>
          <w:rFonts w:ascii="Arial" w:hAnsi="Arial" w:cs="Arial"/>
          <w:i/>
          <w:sz w:val="24"/>
          <w:szCs w:val="24"/>
        </w:rPr>
        <w:t>Nelumbu</w:t>
      </w:r>
      <w:r w:rsidRPr="002547FB">
        <w:rPr>
          <w:rStyle w:val="FootnoteReference"/>
          <w:rFonts w:ascii="Arial" w:hAnsi="Arial" w:cs="Arial"/>
          <w:i/>
          <w:sz w:val="24"/>
          <w:szCs w:val="24"/>
        </w:rPr>
        <w:footnoteReference w:id="23"/>
      </w:r>
      <w:r w:rsidRPr="002547FB">
        <w:rPr>
          <w:rFonts w:ascii="Arial" w:hAnsi="Arial" w:cs="Arial"/>
          <w:i/>
          <w:sz w:val="24"/>
          <w:szCs w:val="24"/>
        </w:rPr>
        <w:t xml:space="preserve"> </w:t>
      </w:r>
      <w:r w:rsidRPr="002547FB">
        <w:rPr>
          <w:rFonts w:ascii="Arial" w:hAnsi="Arial" w:cs="Arial"/>
          <w:sz w:val="24"/>
          <w:szCs w:val="24"/>
        </w:rPr>
        <w:t>matter and said:</w:t>
      </w:r>
    </w:p>
    <w:p w:rsidR="00160D65" w:rsidRPr="002547FB" w:rsidRDefault="00160D65" w:rsidP="00160D65">
      <w:pPr>
        <w:tabs>
          <w:tab w:val="left" w:pos="720"/>
        </w:tabs>
        <w:spacing w:after="0" w:line="360" w:lineRule="auto"/>
        <w:jc w:val="both"/>
        <w:rPr>
          <w:rFonts w:ascii="Arial" w:hAnsi="Arial" w:cs="Arial"/>
          <w:sz w:val="24"/>
          <w:szCs w:val="24"/>
        </w:rPr>
      </w:pPr>
    </w:p>
    <w:p w:rsidR="00E935DC" w:rsidRPr="002547FB" w:rsidRDefault="00EB138A" w:rsidP="00160D65">
      <w:pPr>
        <w:tabs>
          <w:tab w:val="left" w:pos="720"/>
        </w:tabs>
        <w:spacing w:after="0" w:line="360" w:lineRule="auto"/>
        <w:ind w:firstLine="720"/>
        <w:jc w:val="both"/>
        <w:rPr>
          <w:rFonts w:ascii="Arial" w:hAnsi="Arial" w:cs="Arial"/>
        </w:rPr>
      </w:pPr>
      <w:r w:rsidRPr="002547FB">
        <w:rPr>
          <w:rFonts w:ascii="Arial" w:hAnsi="Arial" w:cs="Arial"/>
        </w:rPr>
        <w:t>‘[42]</w:t>
      </w:r>
      <w:r w:rsidR="00E935DC" w:rsidRPr="002547FB">
        <w:rPr>
          <w:rFonts w:ascii="Arial" w:hAnsi="Arial" w:cs="Arial"/>
        </w:rPr>
        <w:tab/>
      </w:r>
      <w:r w:rsidRPr="002547FB">
        <w:rPr>
          <w:rFonts w:ascii="Arial" w:hAnsi="Arial" w:cs="Arial"/>
        </w:rPr>
        <w:t xml:space="preserve">When reliance is placed on material contained in annexures, the affidavits must clearly state what portions in the accompanying annexures the deponent relies on. It is not sufficient merely to attach supporting documents and to expect the opponent and the court to draw conclusions from them. In that regard, practitioners will do their clients a great service by heeding the following warning by Cloete JA in </w:t>
      </w:r>
      <w:r w:rsidRPr="002547FB">
        <w:rPr>
          <w:rFonts w:ascii="Arial" w:hAnsi="Arial" w:cs="Arial"/>
          <w:i/>
        </w:rPr>
        <w:t>Minister of Land Affairs and Agriculture v D &amp; F Wevell Trust</w:t>
      </w:r>
      <w:r w:rsidR="00E935DC" w:rsidRPr="002547FB">
        <w:rPr>
          <w:rFonts w:ascii="Arial" w:hAnsi="Arial" w:cs="Arial"/>
        </w:rPr>
        <w:t>:</w:t>
      </w:r>
    </w:p>
    <w:p w:rsidR="00E935DC" w:rsidRPr="002547FB" w:rsidRDefault="00E935DC" w:rsidP="00160D65">
      <w:pPr>
        <w:tabs>
          <w:tab w:val="left" w:pos="720"/>
        </w:tabs>
        <w:spacing w:after="0" w:line="360" w:lineRule="auto"/>
        <w:ind w:firstLine="720"/>
        <w:jc w:val="both"/>
        <w:rPr>
          <w:rFonts w:ascii="Arial" w:hAnsi="Arial" w:cs="Arial"/>
        </w:rPr>
      </w:pPr>
    </w:p>
    <w:p w:rsidR="00E935DC" w:rsidRPr="002547FB" w:rsidRDefault="00E935DC" w:rsidP="00E935DC">
      <w:pPr>
        <w:tabs>
          <w:tab w:val="left" w:pos="720"/>
        </w:tabs>
        <w:spacing w:after="0" w:line="360" w:lineRule="auto"/>
        <w:ind w:left="720"/>
        <w:jc w:val="both"/>
        <w:rPr>
          <w:rFonts w:ascii="Arial" w:hAnsi="Arial" w:cs="Arial"/>
        </w:rPr>
      </w:pPr>
      <w:r w:rsidRPr="002547FB">
        <w:rPr>
          <w:rFonts w:ascii="Arial" w:hAnsi="Arial" w:cs="Arial"/>
        </w:rPr>
        <w:t>“</w:t>
      </w:r>
      <w:r w:rsidR="00EB138A" w:rsidRPr="002547FB">
        <w:rPr>
          <w:rFonts w:ascii="Arial" w:hAnsi="Arial" w:cs="Arial"/>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w:t>
      </w:r>
      <w:r w:rsidRPr="002547FB">
        <w:rPr>
          <w:rFonts w:ascii="Arial" w:hAnsi="Arial" w:cs="Arial"/>
        </w:rPr>
        <w:t xml:space="preserve"> …</w:t>
      </w:r>
      <w:r w:rsidR="00EB138A" w:rsidRPr="002547FB">
        <w:rPr>
          <w:rFonts w:ascii="Arial" w:hAnsi="Arial" w:cs="Arial"/>
        </w:rPr>
        <w:t xml:space="preserve"> A party cannot be expected to trawl through lengthy annexures to the opponent’s affidavit and to speculate on the possible relevance of facts therein contained. Trial by ambush is not permitted.</w:t>
      </w:r>
      <w:r w:rsidRPr="002547FB">
        <w:rPr>
          <w:rFonts w:ascii="Arial" w:hAnsi="Arial" w:cs="Arial"/>
        </w:rPr>
        <w:t>”</w:t>
      </w:r>
    </w:p>
    <w:p w:rsidR="00E935DC" w:rsidRPr="002547FB" w:rsidRDefault="00E935DC" w:rsidP="00E935DC">
      <w:pPr>
        <w:tabs>
          <w:tab w:val="left" w:pos="720"/>
        </w:tabs>
        <w:spacing w:after="0" w:line="360" w:lineRule="auto"/>
        <w:ind w:left="720"/>
        <w:jc w:val="both"/>
        <w:rPr>
          <w:rFonts w:ascii="Arial" w:hAnsi="Arial" w:cs="Arial"/>
        </w:rPr>
      </w:pPr>
    </w:p>
    <w:p w:rsidR="000B2AE3" w:rsidRPr="002547FB" w:rsidRDefault="00EB138A" w:rsidP="00E935DC">
      <w:pPr>
        <w:tabs>
          <w:tab w:val="left" w:pos="720"/>
        </w:tabs>
        <w:spacing w:after="0" w:line="360" w:lineRule="auto"/>
        <w:ind w:firstLine="720"/>
        <w:jc w:val="both"/>
        <w:rPr>
          <w:rFonts w:ascii="Arial" w:hAnsi="Arial" w:cs="Arial"/>
        </w:rPr>
      </w:pPr>
      <w:r w:rsidRPr="002547FB">
        <w:rPr>
          <w:rFonts w:ascii="Arial" w:hAnsi="Arial" w:cs="Arial"/>
        </w:rPr>
        <w:t xml:space="preserve">[43] </w:t>
      </w:r>
      <w:r w:rsidR="00E935DC" w:rsidRPr="002547FB">
        <w:rPr>
          <w:rFonts w:ascii="Arial" w:hAnsi="Arial" w:cs="Arial"/>
        </w:rPr>
        <w:tab/>
      </w:r>
      <w:r w:rsidRPr="002547FB">
        <w:rPr>
          <w:rFonts w:ascii="Arial" w:hAnsi="Arial" w:cs="Arial"/>
        </w:rPr>
        <w:t xml:space="preserve">O’Regan AJA stated in </w:t>
      </w:r>
      <w:r w:rsidRPr="002547FB">
        <w:rPr>
          <w:rFonts w:ascii="Arial" w:hAnsi="Arial" w:cs="Arial"/>
          <w:i/>
        </w:rPr>
        <w:t xml:space="preserve">Standard Bank Namibia Ltd &amp; others v Maletzky &amp; </w:t>
      </w:r>
      <w:r w:rsidR="00E935DC" w:rsidRPr="002547FB">
        <w:rPr>
          <w:rFonts w:ascii="Arial" w:hAnsi="Arial" w:cs="Arial"/>
          <w:i/>
        </w:rPr>
        <w:t>O</w:t>
      </w:r>
      <w:r w:rsidRPr="002547FB">
        <w:rPr>
          <w:rFonts w:ascii="Arial" w:hAnsi="Arial" w:cs="Arial"/>
          <w:i/>
        </w:rPr>
        <w:t>thers</w:t>
      </w:r>
      <w:r w:rsidRPr="002547FB">
        <w:rPr>
          <w:rFonts w:ascii="Arial" w:hAnsi="Arial" w:cs="Arial"/>
        </w:rPr>
        <w:t xml:space="preserve"> 2015 (3) NR 753 (SC) at 771B-C para 43 that it is not sufficient for a litigant to attach an annexure without identifying in the founding affidavit the key facts in the annexure </w:t>
      </w:r>
      <w:r w:rsidR="00E935DC" w:rsidRPr="002547FB">
        <w:rPr>
          <w:rFonts w:ascii="Arial" w:hAnsi="Arial" w:cs="Arial"/>
        </w:rPr>
        <w:t>u</w:t>
      </w:r>
      <w:r w:rsidR="00CB47FC" w:rsidRPr="002547FB">
        <w:rPr>
          <w:rFonts w:ascii="Arial" w:hAnsi="Arial" w:cs="Arial"/>
        </w:rPr>
        <w:t>pon which the litigant relies.’</w:t>
      </w:r>
    </w:p>
    <w:p w:rsidR="00E935DC" w:rsidRPr="002547FB" w:rsidRDefault="00E935DC" w:rsidP="00E935DC">
      <w:pPr>
        <w:tabs>
          <w:tab w:val="left" w:pos="720"/>
        </w:tabs>
        <w:spacing w:after="0" w:line="360" w:lineRule="auto"/>
        <w:jc w:val="both"/>
        <w:rPr>
          <w:rFonts w:ascii="Arial" w:hAnsi="Arial" w:cs="Arial"/>
          <w:sz w:val="24"/>
          <w:szCs w:val="24"/>
        </w:rPr>
      </w:pPr>
    </w:p>
    <w:p w:rsidR="00E935DC" w:rsidRPr="002547FB" w:rsidRDefault="00E935DC" w:rsidP="00E935DC">
      <w:pPr>
        <w:tabs>
          <w:tab w:val="left" w:pos="720"/>
        </w:tabs>
        <w:spacing w:after="0" w:line="360" w:lineRule="auto"/>
        <w:jc w:val="both"/>
        <w:rPr>
          <w:rFonts w:ascii="Arial" w:hAnsi="Arial" w:cs="Arial"/>
          <w:sz w:val="24"/>
          <w:szCs w:val="24"/>
        </w:rPr>
      </w:pPr>
      <w:r w:rsidRPr="002547FB">
        <w:rPr>
          <w:rFonts w:ascii="Arial" w:hAnsi="Arial" w:cs="Arial"/>
          <w:sz w:val="24"/>
          <w:szCs w:val="24"/>
        </w:rPr>
        <w:t>[4</w:t>
      </w:r>
      <w:r w:rsidR="003E1850" w:rsidRPr="002547FB">
        <w:rPr>
          <w:rFonts w:ascii="Arial" w:hAnsi="Arial" w:cs="Arial"/>
          <w:sz w:val="24"/>
          <w:szCs w:val="24"/>
        </w:rPr>
        <w:t>6</w:t>
      </w:r>
      <w:r w:rsidRPr="002547FB">
        <w:rPr>
          <w:rFonts w:ascii="Arial" w:hAnsi="Arial" w:cs="Arial"/>
          <w:sz w:val="24"/>
          <w:szCs w:val="24"/>
        </w:rPr>
        <w:t>]</w:t>
      </w:r>
      <w:r w:rsidRPr="002547FB">
        <w:rPr>
          <w:rFonts w:ascii="Arial" w:hAnsi="Arial" w:cs="Arial"/>
          <w:sz w:val="24"/>
          <w:szCs w:val="24"/>
        </w:rPr>
        <w:tab/>
        <w:t>In the pre</w:t>
      </w:r>
      <w:r w:rsidR="00511E7D" w:rsidRPr="002547FB">
        <w:rPr>
          <w:rFonts w:ascii="Arial" w:hAnsi="Arial" w:cs="Arial"/>
          <w:sz w:val="24"/>
          <w:szCs w:val="24"/>
        </w:rPr>
        <w:t>sent application the Prosecutor-</w:t>
      </w:r>
      <w:r w:rsidRPr="002547FB">
        <w:rPr>
          <w:rFonts w:ascii="Arial" w:hAnsi="Arial" w:cs="Arial"/>
          <w:sz w:val="24"/>
          <w:szCs w:val="24"/>
        </w:rPr>
        <w:t xml:space="preserve">General does not even attach the affidavits </w:t>
      </w:r>
      <w:r w:rsidR="00CB47FC" w:rsidRPr="002547FB">
        <w:rPr>
          <w:rFonts w:ascii="Arial" w:hAnsi="Arial" w:cs="Arial"/>
          <w:sz w:val="24"/>
          <w:szCs w:val="24"/>
        </w:rPr>
        <w:t xml:space="preserve">and annexures </w:t>
      </w:r>
      <w:r w:rsidR="00511E7D" w:rsidRPr="002547FB">
        <w:rPr>
          <w:rFonts w:ascii="Arial" w:hAnsi="Arial" w:cs="Arial"/>
          <w:sz w:val="24"/>
          <w:szCs w:val="24"/>
        </w:rPr>
        <w:t>on which she relies</w:t>
      </w:r>
      <w:r w:rsidRPr="002547FB">
        <w:rPr>
          <w:rFonts w:ascii="Arial" w:hAnsi="Arial" w:cs="Arial"/>
          <w:sz w:val="24"/>
          <w:szCs w:val="24"/>
        </w:rPr>
        <w:t xml:space="preserve"> in the preservation application to her affidavit in support of the application for the preserved property to be forfeited.</w:t>
      </w:r>
      <w:r w:rsidR="00511E7D" w:rsidRPr="002547FB">
        <w:rPr>
          <w:rFonts w:ascii="Arial" w:hAnsi="Arial" w:cs="Arial"/>
          <w:sz w:val="24"/>
          <w:szCs w:val="24"/>
        </w:rPr>
        <w:t xml:space="preserve"> The Prosecutor-</w:t>
      </w:r>
      <w:r w:rsidR="00CB47FC" w:rsidRPr="002547FB">
        <w:rPr>
          <w:rFonts w:ascii="Arial" w:hAnsi="Arial" w:cs="Arial"/>
          <w:sz w:val="24"/>
          <w:szCs w:val="24"/>
        </w:rPr>
        <w:t xml:space="preserve">General simply tells us that she </w:t>
      </w:r>
      <w:r w:rsidR="003E1850" w:rsidRPr="002547FB">
        <w:rPr>
          <w:rFonts w:ascii="Arial" w:hAnsi="Arial" w:cs="Arial"/>
          <w:sz w:val="24"/>
          <w:szCs w:val="24"/>
        </w:rPr>
        <w:t>‘</w:t>
      </w:r>
      <w:r w:rsidR="00CB47FC" w:rsidRPr="002547FB">
        <w:rPr>
          <w:rFonts w:ascii="Arial" w:hAnsi="Arial" w:cs="Arial"/>
          <w:sz w:val="24"/>
          <w:szCs w:val="24"/>
        </w:rPr>
        <w:t>incorporates</w:t>
      </w:r>
      <w:r w:rsidR="003E1850" w:rsidRPr="002547FB">
        <w:rPr>
          <w:rFonts w:ascii="Arial" w:hAnsi="Arial" w:cs="Arial"/>
          <w:sz w:val="24"/>
          <w:szCs w:val="24"/>
        </w:rPr>
        <w:t>’</w:t>
      </w:r>
      <w:r w:rsidR="00CB47FC" w:rsidRPr="002547FB">
        <w:rPr>
          <w:rFonts w:ascii="Arial" w:hAnsi="Arial" w:cs="Arial"/>
          <w:sz w:val="24"/>
          <w:szCs w:val="24"/>
        </w:rPr>
        <w:t xml:space="preserve"> the affidavits and annexures on which she relied in the preservation application in her affidavit in support of the application for the preserved property to be forfeited.</w:t>
      </w:r>
      <w:r w:rsidR="00B9799F" w:rsidRPr="002547FB">
        <w:rPr>
          <w:rFonts w:ascii="Arial" w:hAnsi="Arial" w:cs="Arial"/>
          <w:sz w:val="24"/>
          <w:szCs w:val="24"/>
        </w:rPr>
        <w:t xml:space="preserve"> Ms Boonzaier </w:t>
      </w:r>
      <w:r w:rsidR="00511E7D" w:rsidRPr="002547FB">
        <w:rPr>
          <w:rFonts w:ascii="Arial" w:hAnsi="Arial" w:cs="Arial"/>
          <w:sz w:val="24"/>
          <w:szCs w:val="24"/>
        </w:rPr>
        <w:t>who appeared for the Prosecutor-</w:t>
      </w:r>
      <w:r w:rsidR="00B9799F" w:rsidRPr="002547FB">
        <w:rPr>
          <w:rFonts w:ascii="Arial" w:hAnsi="Arial" w:cs="Arial"/>
          <w:sz w:val="24"/>
          <w:szCs w:val="24"/>
        </w:rPr>
        <w:t>General justified the proc</w:t>
      </w:r>
      <w:r w:rsidR="00511E7D" w:rsidRPr="002547FB">
        <w:rPr>
          <w:rFonts w:ascii="Arial" w:hAnsi="Arial" w:cs="Arial"/>
          <w:sz w:val="24"/>
          <w:szCs w:val="24"/>
        </w:rPr>
        <w:t>edure adopted by the Prosecutor-</w:t>
      </w:r>
      <w:r w:rsidR="00B9799F" w:rsidRPr="002547FB">
        <w:rPr>
          <w:rFonts w:ascii="Arial" w:hAnsi="Arial" w:cs="Arial"/>
          <w:sz w:val="24"/>
          <w:szCs w:val="24"/>
        </w:rPr>
        <w:t>General as follows:</w:t>
      </w:r>
    </w:p>
    <w:p w:rsidR="00CB47FC" w:rsidRPr="002547FB" w:rsidRDefault="00CB47FC" w:rsidP="00E935DC">
      <w:pPr>
        <w:tabs>
          <w:tab w:val="left" w:pos="720"/>
        </w:tabs>
        <w:spacing w:after="0" w:line="360" w:lineRule="auto"/>
        <w:jc w:val="both"/>
        <w:rPr>
          <w:rFonts w:ascii="Arial" w:hAnsi="Arial" w:cs="Arial"/>
          <w:sz w:val="24"/>
          <w:szCs w:val="24"/>
        </w:rPr>
      </w:pPr>
    </w:p>
    <w:p w:rsidR="00B9799F" w:rsidRPr="002547FB" w:rsidRDefault="00B9799F" w:rsidP="00B9799F">
      <w:pPr>
        <w:tabs>
          <w:tab w:val="left" w:pos="1260"/>
        </w:tabs>
        <w:spacing w:after="0" w:line="360" w:lineRule="auto"/>
        <w:ind w:firstLine="720"/>
        <w:jc w:val="both"/>
        <w:rPr>
          <w:rFonts w:ascii="Arial" w:hAnsi="Arial" w:cs="Arial"/>
        </w:rPr>
      </w:pPr>
      <w:r w:rsidRPr="002547FB">
        <w:rPr>
          <w:rFonts w:ascii="Arial" w:hAnsi="Arial" w:cs="Arial"/>
        </w:rPr>
        <w:t>‘3.</w:t>
      </w:r>
      <w:r w:rsidRPr="002547FB">
        <w:rPr>
          <w:rFonts w:ascii="Arial" w:hAnsi="Arial" w:cs="Arial"/>
        </w:rPr>
        <w:tab/>
        <w:t>The Sup</w:t>
      </w:r>
      <w:r w:rsidR="00511E7D" w:rsidRPr="002547FB">
        <w:rPr>
          <w:rFonts w:ascii="Arial" w:hAnsi="Arial" w:cs="Arial"/>
        </w:rPr>
        <w:t>reme Court referred to chapter six</w:t>
      </w:r>
      <w:r w:rsidRPr="002547FB">
        <w:rPr>
          <w:rFonts w:ascii="Arial" w:hAnsi="Arial" w:cs="Arial"/>
        </w:rPr>
        <w:t xml:space="preserve"> proceedings as two staged where, the preservation application is the first stage of the proceedings and the Court need only be satisfied that there are reasonable grounds to believe that the property concerned is an </w:t>
      </w:r>
      <w:r w:rsidRPr="002547FB">
        <w:rPr>
          <w:rFonts w:ascii="Arial" w:hAnsi="Arial" w:cs="Arial"/>
        </w:rPr>
        <w:lastRenderedPageBreak/>
        <w:t>instrumentality of an offence or proceeds of unlawful activities. The forfeiture application is the second stage where the Court applies the balance of probabilities test.</w:t>
      </w:r>
    </w:p>
    <w:p w:rsidR="00B9799F" w:rsidRPr="002547FB" w:rsidRDefault="00B9799F" w:rsidP="00B9799F">
      <w:pPr>
        <w:spacing w:after="0" w:line="360" w:lineRule="auto"/>
        <w:ind w:firstLine="720"/>
        <w:jc w:val="both"/>
        <w:rPr>
          <w:rFonts w:ascii="Arial" w:hAnsi="Arial" w:cs="Arial"/>
        </w:rPr>
      </w:pPr>
    </w:p>
    <w:p w:rsidR="00B9799F" w:rsidRPr="002547FB" w:rsidRDefault="00B9799F" w:rsidP="00B9799F">
      <w:pPr>
        <w:numPr>
          <w:ilvl w:val="0"/>
          <w:numId w:val="32"/>
        </w:numPr>
        <w:tabs>
          <w:tab w:val="left" w:pos="1260"/>
        </w:tabs>
        <w:spacing w:after="0" w:line="360" w:lineRule="auto"/>
        <w:ind w:left="0" w:firstLine="720"/>
        <w:jc w:val="both"/>
        <w:rPr>
          <w:rFonts w:ascii="Arial" w:hAnsi="Arial" w:cs="Arial"/>
        </w:rPr>
      </w:pPr>
      <w:r w:rsidRPr="002547FB">
        <w:rPr>
          <w:rFonts w:ascii="Arial" w:hAnsi="Arial" w:cs="Arial"/>
        </w:rPr>
        <w:t>The applications are inter - linked and one cannot exist without the other. Without the preservation order, it is impossible to bring a forfeiture application as the existence of the preservation order is a pre-requisite for applying for a forfeiture order. The preservation order cannot exist longer than 120 days if the forfeiture application is not applied for.</w:t>
      </w:r>
    </w:p>
    <w:p w:rsidR="00B9799F" w:rsidRPr="002547FB" w:rsidRDefault="00B9799F" w:rsidP="00B9799F">
      <w:pPr>
        <w:spacing w:after="0" w:line="360" w:lineRule="auto"/>
        <w:ind w:left="720"/>
        <w:jc w:val="both"/>
        <w:rPr>
          <w:rFonts w:ascii="Arial" w:hAnsi="Arial" w:cs="Arial"/>
        </w:rPr>
      </w:pPr>
    </w:p>
    <w:p w:rsidR="00CB47FC" w:rsidRPr="002547FB" w:rsidRDefault="00B9799F" w:rsidP="00B9799F">
      <w:pPr>
        <w:numPr>
          <w:ilvl w:val="0"/>
          <w:numId w:val="32"/>
        </w:numPr>
        <w:tabs>
          <w:tab w:val="left" w:pos="1260"/>
        </w:tabs>
        <w:spacing w:after="0" w:line="360" w:lineRule="auto"/>
        <w:ind w:left="0" w:firstLine="720"/>
        <w:jc w:val="both"/>
        <w:rPr>
          <w:rFonts w:ascii="Arial" w:hAnsi="Arial" w:cs="Arial"/>
          <w:sz w:val="24"/>
          <w:szCs w:val="24"/>
        </w:rPr>
      </w:pPr>
      <w:r w:rsidRPr="002547FB">
        <w:rPr>
          <w:rFonts w:ascii="Arial" w:hAnsi="Arial" w:cs="Arial"/>
        </w:rPr>
        <w:t>Since the proceedings are two staged, it is unnecessary for the Applicant to repeat the evidence presented in the preservation application in the forfeiture application, specifically because the preservation papers are incorporated in the forfeiture papers and therefore form part of the forfeiture application</w:t>
      </w:r>
      <w:r w:rsidR="001D09E8">
        <w:rPr>
          <w:rFonts w:ascii="Arial" w:hAnsi="Arial" w:cs="Arial"/>
        </w:rPr>
        <w:t xml:space="preserve"> . . .</w:t>
      </w:r>
    </w:p>
    <w:p w:rsidR="00CB47FC" w:rsidRPr="002547FB" w:rsidRDefault="00CB47FC" w:rsidP="00CB47FC">
      <w:pPr>
        <w:pStyle w:val="ListParagraph"/>
        <w:rPr>
          <w:rFonts w:ascii="Arial" w:hAnsi="Arial" w:cs="Arial"/>
        </w:rPr>
      </w:pPr>
    </w:p>
    <w:p w:rsidR="00CB47FC" w:rsidRPr="002547FB" w:rsidRDefault="00CB47FC" w:rsidP="00CB47FC">
      <w:pPr>
        <w:numPr>
          <w:ilvl w:val="0"/>
          <w:numId w:val="34"/>
        </w:numPr>
        <w:spacing w:after="240" w:line="360" w:lineRule="auto"/>
        <w:ind w:left="0" w:firstLine="720"/>
        <w:jc w:val="both"/>
        <w:rPr>
          <w:rFonts w:ascii="Arial" w:eastAsiaTheme="minorHAnsi" w:hAnsi="Arial" w:cs="Arial"/>
        </w:rPr>
      </w:pPr>
      <w:r w:rsidRPr="002547FB">
        <w:rPr>
          <w:rFonts w:ascii="Arial" w:hAnsi="Arial" w:cs="Arial"/>
        </w:rPr>
        <w:t xml:space="preserve">It is respectfully submitted that since the Supreme Court in </w:t>
      </w:r>
      <w:r w:rsidRPr="002547FB">
        <w:rPr>
          <w:rFonts w:ascii="Arial" w:hAnsi="Arial" w:cs="Arial"/>
          <w:i/>
        </w:rPr>
        <w:t>Uuyuni supra</w:t>
      </w:r>
      <w:r w:rsidRPr="002547FB">
        <w:rPr>
          <w:rFonts w:ascii="Arial" w:hAnsi="Arial" w:cs="Arial"/>
        </w:rPr>
        <w:t xml:space="preserve"> and the above Honourable Court in Kennedy </w:t>
      </w:r>
      <w:r w:rsidRPr="002547FB">
        <w:rPr>
          <w:rFonts w:ascii="Arial" w:hAnsi="Arial" w:cs="Arial"/>
          <w:i/>
        </w:rPr>
        <w:t xml:space="preserve">supra </w:t>
      </w:r>
      <w:r w:rsidRPr="002547FB">
        <w:rPr>
          <w:rFonts w:ascii="Arial" w:hAnsi="Arial" w:cs="Arial"/>
        </w:rPr>
        <w:t xml:space="preserve">accepted that chapter </w:t>
      </w:r>
      <w:r w:rsidR="00511E7D" w:rsidRPr="002547FB">
        <w:rPr>
          <w:rFonts w:ascii="Arial" w:hAnsi="Arial" w:cs="Arial"/>
        </w:rPr>
        <w:t>6</w:t>
      </w:r>
      <w:r w:rsidRPr="002547FB">
        <w:rPr>
          <w:rFonts w:ascii="Arial" w:hAnsi="Arial" w:cs="Arial"/>
        </w:rPr>
        <w:t xml:space="preserve"> of POCA proceedings are two staged, the Respondents allegations that the evidence in support of the preservation application cannot be relied on stands to be rejected.’</w:t>
      </w:r>
    </w:p>
    <w:p w:rsidR="00B9799F" w:rsidRPr="002547FB" w:rsidRDefault="00B9799F" w:rsidP="00E935DC">
      <w:pPr>
        <w:tabs>
          <w:tab w:val="left" w:pos="720"/>
        </w:tabs>
        <w:spacing w:after="0" w:line="360" w:lineRule="auto"/>
        <w:ind w:firstLine="720"/>
        <w:jc w:val="both"/>
        <w:rPr>
          <w:rFonts w:ascii="Arial" w:hAnsi="Arial" w:cs="Arial"/>
        </w:rPr>
      </w:pPr>
    </w:p>
    <w:p w:rsidR="00A23458" w:rsidRPr="002547FB" w:rsidRDefault="00B9799F" w:rsidP="00A23458">
      <w:pPr>
        <w:spacing w:after="0" w:line="360" w:lineRule="auto"/>
        <w:jc w:val="both"/>
        <w:rPr>
          <w:rFonts w:ascii="Arial" w:hAnsi="Arial" w:cs="Arial"/>
          <w:sz w:val="24"/>
          <w:szCs w:val="24"/>
        </w:rPr>
      </w:pPr>
      <w:r w:rsidRPr="002547FB">
        <w:rPr>
          <w:rFonts w:ascii="Arial" w:hAnsi="Arial" w:cs="Arial"/>
          <w:sz w:val="24"/>
          <w:szCs w:val="24"/>
        </w:rPr>
        <w:t>[4</w:t>
      </w:r>
      <w:r w:rsidR="003E1850" w:rsidRPr="002547FB">
        <w:rPr>
          <w:rFonts w:ascii="Arial" w:hAnsi="Arial" w:cs="Arial"/>
          <w:sz w:val="24"/>
          <w:szCs w:val="24"/>
        </w:rPr>
        <w:t>7</w:t>
      </w:r>
      <w:r w:rsidRPr="002547FB">
        <w:rPr>
          <w:rFonts w:ascii="Arial" w:hAnsi="Arial" w:cs="Arial"/>
          <w:sz w:val="24"/>
          <w:szCs w:val="24"/>
        </w:rPr>
        <w:t>]</w:t>
      </w:r>
      <w:r w:rsidRPr="002547FB">
        <w:rPr>
          <w:rFonts w:ascii="Arial" w:hAnsi="Arial" w:cs="Arial"/>
          <w:sz w:val="24"/>
          <w:szCs w:val="24"/>
        </w:rPr>
        <w:tab/>
      </w:r>
      <w:r w:rsidR="00A23458" w:rsidRPr="002547FB">
        <w:rPr>
          <w:rFonts w:ascii="Arial" w:hAnsi="Arial" w:cs="Arial"/>
          <w:sz w:val="24"/>
          <w:szCs w:val="24"/>
        </w:rPr>
        <w:t xml:space="preserve">Ms Boonzaier in her submission relies on the matter of </w:t>
      </w:r>
      <w:r w:rsidR="00A23458" w:rsidRPr="002547FB">
        <w:rPr>
          <w:rFonts w:ascii="Arial" w:hAnsi="Arial" w:cs="Arial"/>
          <w:i/>
          <w:sz w:val="24"/>
          <w:szCs w:val="24"/>
          <w:lang w:val="en-US"/>
        </w:rPr>
        <w:t>The Prosecutor-General v Kennedy</w:t>
      </w:r>
      <w:r w:rsidR="00A23458" w:rsidRPr="002547FB">
        <w:rPr>
          <w:rStyle w:val="FootnoteReference"/>
          <w:rFonts w:ascii="Arial" w:hAnsi="Arial" w:cs="Arial"/>
          <w:i/>
          <w:sz w:val="24"/>
          <w:szCs w:val="24"/>
          <w:lang w:val="en-US"/>
        </w:rPr>
        <w:footnoteReference w:id="24"/>
      </w:r>
      <w:r w:rsidR="00A23458" w:rsidRPr="002547FB">
        <w:rPr>
          <w:rFonts w:ascii="Arial" w:hAnsi="Arial" w:cs="Arial"/>
          <w:i/>
          <w:sz w:val="24"/>
          <w:szCs w:val="24"/>
        </w:rPr>
        <w:t xml:space="preserve"> </w:t>
      </w:r>
      <w:r w:rsidR="00A23458" w:rsidRPr="002547FB">
        <w:rPr>
          <w:rFonts w:ascii="Arial" w:hAnsi="Arial" w:cs="Arial"/>
          <w:sz w:val="24"/>
          <w:szCs w:val="24"/>
        </w:rPr>
        <w:t>where the Deputy Judge President said:</w:t>
      </w:r>
    </w:p>
    <w:p w:rsidR="00A23458" w:rsidRPr="002547FB" w:rsidRDefault="00A23458" w:rsidP="00A23458">
      <w:pPr>
        <w:spacing w:after="0" w:line="360" w:lineRule="auto"/>
        <w:ind w:firstLine="720"/>
        <w:jc w:val="both"/>
        <w:rPr>
          <w:rFonts w:ascii="Arial" w:hAnsi="Arial" w:cs="Arial"/>
          <w:sz w:val="24"/>
          <w:szCs w:val="24"/>
        </w:rPr>
      </w:pPr>
    </w:p>
    <w:p w:rsidR="00217FBE" w:rsidRPr="002547FB" w:rsidRDefault="00A23458" w:rsidP="00217FBE">
      <w:pPr>
        <w:tabs>
          <w:tab w:val="left" w:pos="720"/>
        </w:tabs>
        <w:spacing w:after="0" w:line="360" w:lineRule="auto"/>
        <w:ind w:firstLine="720"/>
        <w:jc w:val="both"/>
        <w:rPr>
          <w:rFonts w:ascii="Arial" w:hAnsi="Arial" w:cs="Arial"/>
        </w:rPr>
      </w:pPr>
      <w:r w:rsidRPr="002547FB">
        <w:rPr>
          <w:rFonts w:ascii="Arial" w:hAnsi="Arial" w:cs="Arial"/>
          <w:szCs w:val="24"/>
        </w:rPr>
        <w:t>‘The applicant in her founding</w:t>
      </w:r>
      <w:r w:rsidR="00217FBE" w:rsidRPr="002547FB">
        <w:rPr>
          <w:rFonts w:ascii="Arial" w:hAnsi="Arial" w:cs="Arial"/>
          <w:szCs w:val="24"/>
        </w:rPr>
        <w:t xml:space="preserve"> (</w:t>
      </w:r>
      <w:r w:rsidR="00217FBE" w:rsidRPr="002547FB">
        <w:rPr>
          <w:rFonts w:ascii="Arial" w:hAnsi="Arial" w:cs="Arial"/>
          <w:i/>
          <w:szCs w:val="24"/>
        </w:rPr>
        <w:t>sic</w:t>
      </w:r>
      <w:r w:rsidR="00217FBE" w:rsidRPr="002547FB">
        <w:rPr>
          <w:rFonts w:ascii="Arial" w:hAnsi="Arial" w:cs="Arial"/>
          <w:szCs w:val="24"/>
        </w:rPr>
        <w:t>)</w:t>
      </w:r>
      <w:r w:rsidRPr="002547FB">
        <w:rPr>
          <w:rFonts w:ascii="Arial" w:hAnsi="Arial" w:cs="Arial"/>
          <w:szCs w:val="24"/>
        </w:rPr>
        <w:t xml:space="preserve"> filed an affidavit in support of this application for the forfeiture order, and asked this court to consider that all the documents and annexures filed in support of the application for the preservation order be deemed to have been incorporated in her founding affidavit. Those affidavits, document and annexures form part of the court file in this matter.</w:t>
      </w:r>
      <w:r w:rsidRPr="002547FB">
        <w:rPr>
          <w:rFonts w:ascii="Arial" w:hAnsi="Arial" w:cs="Arial"/>
        </w:rPr>
        <w:t>’</w:t>
      </w:r>
    </w:p>
    <w:p w:rsidR="00217FBE" w:rsidRPr="002547FB" w:rsidRDefault="00217FBE" w:rsidP="00217FBE">
      <w:pPr>
        <w:tabs>
          <w:tab w:val="left" w:pos="720"/>
        </w:tabs>
        <w:spacing w:after="0" w:line="360" w:lineRule="auto"/>
        <w:ind w:firstLine="720"/>
        <w:jc w:val="both"/>
        <w:rPr>
          <w:rFonts w:ascii="Arial" w:hAnsi="Arial" w:cs="Arial"/>
        </w:rPr>
      </w:pPr>
    </w:p>
    <w:p w:rsidR="00217FBE" w:rsidRPr="002547FB" w:rsidRDefault="00217FBE" w:rsidP="00217FBE">
      <w:pPr>
        <w:tabs>
          <w:tab w:val="left" w:pos="720"/>
        </w:tabs>
        <w:spacing w:after="0" w:line="360" w:lineRule="auto"/>
        <w:jc w:val="both"/>
        <w:rPr>
          <w:rFonts w:ascii="Arial" w:hAnsi="Arial" w:cs="Arial"/>
          <w:sz w:val="24"/>
          <w:szCs w:val="24"/>
          <w:lang w:val="en-US"/>
        </w:rPr>
      </w:pPr>
      <w:r w:rsidRPr="002547FB">
        <w:rPr>
          <w:rFonts w:ascii="Arial" w:hAnsi="Arial" w:cs="Arial"/>
          <w:sz w:val="24"/>
          <w:szCs w:val="24"/>
        </w:rPr>
        <w:t>[4</w:t>
      </w:r>
      <w:r w:rsidR="003E1850" w:rsidRPr="002547FB">
        <w:rPr>
          <w:rFonts w:ascii="Arial" w:hAnsi="Arial" w:cs="Arial"/>
          <w:sz w:val="24"/>
          <w:szCs w:val="24"/>
        </w:rPr>
        <w:t>8</w:t>
      </w:r>
      <w:r w:rsidRPr="002547FB">
        <w:rPr>
          <w:rFonts w:ascii="Arial" w:hAnsi="Arial" w:cs="Arial"/>
          <w:sz w:val="24"/>
          <w:szCs w:val="24"/>
        </w:rPr>
        <w:t>]</w:t>
      </w:r>
      <w:r w:rsidRPr="002547FB">
        <w:rPr>
          <w:rFonts w:ascii="Arial" w:hAnsi="Arial" w:cs="Arial"/>
          <w:sz w:val="24"/>
          <w:szCs w:val="24"/>
        </w:rPr>
        <w:tab/>
        <w:t xml:space="preserve">In my view the matter of </w:t>
      </w:r>
      <w:r w:rsidRPr="002547FB">
        <w:rPr>
          <w:rFonts w:ascii="Arial" w:hAnsi="Arial" w:cs="Arial"/>
          <w:i/>
          <w:sz w:val="24"/>
          <w:szCs w:val="24"/>
          <w:lang w:val="en-US"/>
        </w:rPr>
        <w:t xml:space="preserve">The Prosecutor-General v Kennedy </w:t>
      </w:r>
      <w:r w:rsidRPr="002547FB">
        <w:rPr>
          <w:rFonts w:ascii="Arial" w:hAnsi="Arial" w:cs="Arial"/>
          <w:sz w:val="24"/>
          <w:szCs w:val="24"/>
          <w:lang w:val="en-US"/>
        </w:rPr>
        <w:t>does</w:t>
      </w:r>
      <w:r w:rsidRPr="002547FB">
        <w:rPr>
          <w:rFonts w:ascii="Arial" w:hAnsi="Arial" w:cs="Arial"/>
          <w:i/>
          <w:sz w:val="24"/>
          <w:szCs w:val="24"/>
          <w:lang w:val="en-US"/>
        </w:rPr>
        <w:t xml:space="preserve"> </w:t>
      </w:r>
      <w:r w:rsidRPr="002547FB">
        <w:rPr>
          <w:rFonts w:ascii="Arial" w:hAnsi="Arial" w:cs="Arial"/>
          <w:sz w:val="24"/>
          <w:szCs w:val="24"/>
          <w:lang w:val="en-US"/>
        </w:rPr>
        <w:t xml:space="preserve">not assist Ms Boonzaier. I say so for the reason </w:t>
      </w:r>
      <w:r w:rsidR="003E1850" w:rsidRPr="002547FB">
        <w:rPr>
          <w:rFonts w:ascii="Arial" w:hAnsi="Arial" w:cs="Arial"/>
          <w:sz w:val="24"/>
          <w:szCs w:val="24"/>
          <w:lang w:val="en-US"/>
        </w:rPr>
        <w:t xml:space="preserve">that </w:t>
      </w:r>
      <w:r w:rsidRPr="002547FB">
        <w:rPr>
          <w:rFonts w:ascii="Arial" w:hAnsi="Arial" w:cs="Arial"/>
          <w:sz w:val="24"/>
          <w:szCs w:val="24"/>
          <w:lang w:val="en-US"/>
        </w:rPr>
        <w:t xml:space="preserve">in the </w:t>
      </w:r>
      <w:r w:rsidRPr="002547FB">
        <w:rPr>
          <w:rFonts w:ascii="Arial" w:hAnsi="Arial" w:cs="Arial"/>
          <w:i/>
          <w:sz w:val="24"/>
          <w:szCs w:val="24"/>
          <w:lang w:val="en-US"/>
        </w:rPr>
        <w:t>Prosecutor General v Kennedy</w:t>
      </w:r>
      <w:r w:rsidR="003E1850" w:rsidRPr="002547FB">
        <w:rPr>
          <w:rFonts w:ascii="Arial" w:hAnsi="Arial" w:cs="Arial"/>
          <w:i/>
          <w:sz w:val="24"/>
          <w:szCs w:val="24"/>
          <w:lang w:val="en-US"/>
        </w:rPr>
        <w:t xml:space="preserve"> </w:t>
      </w:r>
      <w:r w:rsidR="003E1850" w:rsidRPr="002547FB">
        <w:rPr>
          <w:rFonts w:ascii="Arial" w:hAnsi="Arial" w:cs="Arial"/>
          <w:sz w:val="24"/>
          <w:szCs w:val="24"/>
          <w:lang w:val="en-US"/>
        </w:rPr>
        <w:t>matter</w:t>
      </w:r>
      <w:r w:rsidRPr="002547FB">
        <w:rPr>
          <w:rFonts w:ascii="Arial" w:hAnsi="Arial" w:cs="Arial"/>
          <w:sz w:val="24"/>
          <w:szCs w:val="24"/>
          <w:lang w:val="en-US"/>
        </w:rPr>
        <w:t xml:space="preserve"> </w:t>
      </w:r>
      <w:r w:rsidRPr="002547FB">
        <w:rPr>
          <w:rFonts w:ascii="Arial" w:hAnsi="Arial" w:cs="Arial"/>
          <w:sz w:val="24"/>
          <w:szCs w:val="24"/>
        </w:rPr>
        <w:t>the point was not argued and the Deputy Judge President was not referred to the authorities that I have quoted above in paragraphs [3</w:t>
      </w:r>
      <w:r w:rsidR="00FB2450" w:rsidRPr="002547FB">
        <w:rPr>
          <w:rFonts w:ascii="Arial" w:hAnsi="Arial" w:cs="Arial"/>
          <w:sz w:val="24"/>
          <w:szCs w:val="24"/>
        </w:rPr>
        <w:t>8</w:t>
      </w:r>
      <w:r w:rsidRPr="002547FB">
        <w:rPr>
          <w:rFonts w:ascii="Arial" w:hAnsi="Arial" w:cs="Arial"/>
          <w:sz w:val="24"/>
          <w:szCs w:val="24"/>
        </w:rPr>
        <w:t>] to [</w:t>
      </w:r>
      <w:r w:rsidR="00FB2450" w:rsidRPr="002547FB">
        <w:rPr>
          <w:rFonts w:ascii="Arial" w:hAnsi="Arial" w:cs="Arial"/>
          <w:sz w:val="24"/>
          <w:szCs w:val="24"/>
        </w:rPr>
        <w:t>40</w:t>
      </w:r>
      <w:r w:rsidRPr="002547FB">
        <w:rPr>
          <w:rFonts w:ascii="Arial" w:hAnsi="Arial" w:cs="Arial"/>
          <w:sz w:val="24"/>
          <w:szCs w:val="24"/>
        </w:rPr>
        <w:t xml:space="preserve">] of this judgment. The </w:t>
      </w:r>
      <w:r w:rsidRPr="002547FB">
        <w:rPr>
          <w:rFonts w:ascii="Arial" w:hAnsi="Arial" w:cs="Arial"/>
          <w:i/>
          <w:sz w:val="24"/>
          <w:szCs w:val="24"/>
          <w:lang w:val="en-US"/>
        </w:rPr>
        <w:t xml:space="preserve">Prosecutor General v Kennedy </w:t>
      </w:r>
      <w:r w:rsidRPr="002547FB">
        <w:rPr>
          <w:rFonts w:ascii="Arial" w:hAnsi="Arial" w:cs="Arial"/>
          <w:sz w:val="24"/>
          <w:szCs w:val="24"/>
          <w:lang w:val="en-US"/>
        </w:rPr>
        <w:t>matter is therefore no authority for the proposition</w:t>
      </w:r>
      <w:r w:rsidRPr="002547FB">
        <w:rPr>
          <w:rFonts w:ascii="Arial" w:hAnsi="Arial" w:cs="Arial"/>
          <w:i/>
          <w:sz w:val="24"/>
          <w:szCs w:val="24"/>
          <w:lang w:val="en-US"/>
        </w:rPr>
        <w:t xml:space="preserve"> </w:t>
      </w:r>
      <w:r w:rsidRPr="002547FB">
        <w:rPr>
          <w:rFonts w:ascii="Arial" w:hAnsi="Arial" w:cs="Arial"/>
          <w:sz w:val="24"/>
          <w:szCs w:val="24"/>
          <w:lang w:val="en-US"/>
        </w:rPr>
        <w:t xml:space="preserve">that in motion proceedings evidence can placed before court by simply </w:t>
      </w:r>
      <w:r w:rsidRPr="002547FB">
        <w:rPr>
          <w:rFonts w:ascii="Arial" w:hAnsi="Arial" w:cs="Arial"/>
          <w:sz w:val="24"/>
          <w:szCs w:val="24"/>
          <w:lang w:val="en-US"/>
        </w:rPr>
        <w:lastRenderedPageBreak/>
        <w:t xml:space="preserve">asking the Court to </w:t>
      </w:r>
      <w:r w:rsidR="00BE1EE9" w:rsidRPr="002547FB">
        <w:rPr>
          <w:rFonts w:ascii="Arial" w:hAnsi="Arial" w:cs="Arial"/>
          <w:sz w:val="24"/>
          <w:szCs w:val="24"/>
          <w:lang w:val="en-US"/>
        </w:rPr>
        <w:t>‘</w:t>
      </w:r>
      <w:r w:rsidRPr="002547FB">
        <w:rPr>
          <w:rFonts w:ascii="Arial" w:hAnsi="Arial" w:cs="Arial"/>
          <w:sz w:val="24"/>
          <w:szCs w:val="24"/>
          <w:lang w:val="en-US"/>
        </w:rPr>
        <w:t>incorporate</w:t>
      </w:r>
      <w:r w:rsidR="00BE1EE9" w:rsidRPr="002547FB">
        <w:rPr>
          <w:rFonts w:ascii="Arial" w:hAnsi="Arial" w:cs="Arial"/>
          <w:sz w:val="24"/>
          <w:szCs w:val="24"/>
          <w:lang w:val="en-US"/>
        </w:rPr>
        <w:t>’</w:t>
      </w:r>
      <w:r w:rsidRPr="002547FB">
        <w:rPr>
          <w:rFonts w:ascii="Arial" w:hAnsi="Arial" w:cs="Arial"/>
          <w:sz w:val="24"/>
          <w:szCs w:val="24"/>
          <w:lang w:val="en-US"/>
        </w:rPr>
        <w:t xml:space="preserve"> allegations contained in documents which have not been annexed to the affidavit supporting the application before Court.</w:t>
      </w:r>
    </w:p>
    <w:p w:rsidR="00CB47FC" w:rsidRPr="002547FB" w:rsidRDefault="00CB47FC" w:rsidP="00217FBE">
      <w:pPr>
        <w:tabs>
          <w:tab w:val="left" w:pos="720"/>
        </w:tabs>
        <w:spacing w:after="0" w:line="360" w:lineRule="auto"/>
        <w:jc w:val="both"/>
        <w:rPr>
          <w:rFonts w:ascii="Arial" w:hAnsi="Arial" w:cs="Arial"/>
          <w:sz w:val="24"/>
          <w:szCs w:val="24"/>
          <w:lang w:val="en-US"/>
        </w:rPr>
      </w:pPr>
    </w:p>
    <w:p w:rsidR="00B92F9B" w:rsidRPr="002547FB" w:rsidRDefault="00217FBE" w:rsidP="00E16D79">
      <w:pPr>
        <w:tabs>
          <w:tab w:val="left" w:pos="720"/>
        </w:tabs>
        <w:spacing w:after="0" w:line="360" w:lineRule="auto"/>
        <w:jc w:val="both"/>
        <w:rPr>
          <w:rFonts w:ascii="Arial" w:hAnsi="Arial" w:cs="Arial"/>
          <w:sz w:val="24"/>
          <w:szCs w:val="24"/>
        </w:rPr>
      </w:pPr>
      <w:r w:rsidRPr="002547FB">
        <w:rPr>
          <w:rFonts w:ascii="Arial" w:hAnsi="Arial" w:cs="Arial"/>
          <w:sz w:val="24"/>
          <w:szCs w:val="24"/>
          <w:lang w:val="en-US"/>
        </w:rPr>
        <w:t>[4</w:t>
      </w:r>
      <w:r w:rsidR="00BE1EE9" w:rsidRPr="002547FB">
        <w:rPr>
          <w:rFonts w:ascii="Arial" w:hAnsi="Arial" w:cs="Arial"/>
          <w:sz w:val="24"/>
          <w:szCs w:val="24"/>
          <w:lang w:val="en-US"/>
        </w:rPr>
        <w:t>9</w:t>
      </w:r>
      <w:r w:rsidRPr="002547FB">
        <w:rPr>
          <w:rFonts w:ascii="Arial" w:hAnsi="Arial" w:cs="Arial"/>
          <w:sz w:val="24"/>
          <w:szCs w:val="24"/>
          <w:lang w:val="en-US"/>
        </w:rPr>
        <w:t>]</w:t>
      </w:r>
      <w:r w:rsidRPr="002547FB">
        <w:rPr>
          <w:rFonts w:ascii="Arial" w:hAnsi="Arial" w:cs="Arial"/>
          <w:sz w:val="24"/>
          <w:szCs w:val="24"/>
          <w:lang w:val="en-US"/>
        </w:rPr>
        <w:tab/>
        <w:t xml:space="preserve">The </w:t>
      </w:r>
      <w:r w:rsidR="00B9799F" w:rsidRPr="002547FB">
        <w:rPr>
          <w:rFonts w:ascii="Arial" w:hAnsi="Arial" w:cs="Arial"/>
          <w:sz w:val="24"/>
          <w:szCs w:val="24"/>
        </w:rPr>
        <w:t>point that</w:t>
      </w:r>
      <w:r w:rsidRPr="002547FB">
        <w:rPr>
          <w:rFonts w:ascii="Arial" w:hAnsi="Arial" w:cs="Arial"/>
          <w:sz w:val="24"/>
          <w:szCs w:val="24"/>
        </w:rPr>
        <w:t xml:space="preserve">, in my view, </w:t>
      </w:r>
      <w:r w:rsidR="00B9799F" w:rsidRPr="002547FB">
        <w:rPr>
          <w:rFonts w:ascii="Arial" w:hAnsi="Arial" w:cs="Arial"/>
          <w:sz w:val="24"/>
          <w:szCs w:val="24"/>
        </w:rPr>
        <w:t>Ms Boonzaier misses is that the mere fact that the forfeiture proceedings under chap</w:t>
      </w:r>
      <w:r w:rsidR="00D3455F" w:rsidRPr="002547FB">
        <w:rPr>
          <w:rFonts w:ascii="Arial" w:hAnsi="Arial" w:cs="Arial"/>
          <w:sz w:val="24"/>
          <w:szCs w:val="24"/>
        </w:rPr>
        <w:t>ter six</w:t>
      </w:r>
      <w:r w:rsidR="00B9799F" w:rsidRPr="002547FB">
        <w:rPr>
          <w:rFonts w:ascii="Arial" w:hAnsi="Arial" w:cs="Arial"/>
          <w:sz w:val="24"/>
          <w:szCs w:val="24"/>
        </w:rPr>
        <w:t xml:space="preserve"> are the second stage of the proceedings </w:t>
      </w:r>
      <w:r w:rsidRPr="002547FB">
        <w:rPr>
          <w:rFonts w:ascii="Arial" w:hAnsi="Arial" w:cs="Arial"/>
          <w:sz w:val="24"/>
          <w:szCs w:val="24"/>
        </w:rPr>
        <w:t xml:space="preserve">under that chapter </w:t>
      </w:r>
      <w:r w:rsidR="00B9799F" w:rsidRPr="002547FB">
        <w:rPr>
          <w:rFonts w:ascii="Arial" w:hAnsi="Arial" w:cs="Arial"/>
          <w:sz w:val="24"/>
          <w:szCs w:val="24"/>
        </w:rPr>
        <w:t xml:space="preserve">and are intertwined with the first stage, which is the preservation proceedings </w:t>
      </w:r>
      <w:r w:rsidRPr="002547FB">
        <w:rPr>
          <w:rFonts w:ascii="Arial" w:hAnsi="Arial" w:cs="Arial"/>
          <w:sz w:val="24"/>
          <w:szCs w:val="24"/>
        </w:rPr>
        <w:t xml:space="preserve">stage </w:t>
      </w:r>
      <w:r w:rsidR="00B9799F" w:rsidRPr="002547FB">
        <w:rPr>
          <w:rFonts w:ascii="Arial" w:hAnsi="Arial" w:cs="Arial"/>
          <w:sz w:val="24"/>
          <w:szCs w:val="24"/>
        </w:rPr>
        <w:t>does not make the process a single process. The legislature has clear</w:t>
      </w:r>
      <w:r w:rsidRPr="002547FB">
        <w:rPr>
          <w:rFonts w:ascii="Arial" w:hAnsi="Arial" w:cs="Arial"/>
          <w:sz w:val="24"/>
          <w:szCs w:val="24"/>
        </w:rPr>
        <w:t>ly</w:t>
      </w:r>
      <w:r w:rsidR="00B9799F" w:rsidRPr="002547FB">
        <w:rPr>
          <w:rFonts w:ascii="Arial" w:hAnsi="Arial" w:cs="Arial"/>
          <w:sz w:val="24"/>
          <w:szCs w:val="24"/>
        </w:rPr>
        <w:t xml:space="preserve"> </w:t>
      </w:r>
      <w:r w:rsidR="00301815" w:rsidRPr="002547FB">
        <w:rPr>
          <w:rFonts w:ascii="Arial" w:hAnsi="Arial" w:cs="Arial"/>
          <w:sz w:val="24"/>
          <w:szCs w:val="24"/>
        </w:rPr>
        <w:t>intended th</w:t>
      </w:r>
      <w:r w:rsidRPr="002547FB">
        <w:rPr>
          <w:rFonts w:ascii="Arial" w:hAnsi="Arial" w:cs="Arial"/>
          <w:sz w:val="24"/>
          <w:szCs w:val="24"/>
        </w:rPr>
        <w:t xml:space="preserve">at every stage </w:t>
      </w:r>
      <w:r w:rsidR="00D3455F" w:rsidRPr="002547FB">
        <w:rPr>
          <w:rFonts w:ascii="Arial" w:hAnsi="Arial" w:cs="Arial"/>
          <w:sz w:val="24"/>
          <w:szCs w:val="24"/>
        </w:rPr>
        <w:t xml:space="preserve">of the proceedings under chapter six </w:t>
      </w:r>
      <w:r w:rsidRPr="002547FB">
        <w:rPr>
          <w:rFonts w:ascii="Arial" w:hAnsi="Arial" w:cs="Arial"/>
          <w:sz w:val="24"/>
          <w:szCs w:val="24"/>
        </w:rPr>
        <w:t xml:space="preserve">be it the preservation stage or the </w:t>
      </w:r>
      <w:r w:rsidR="00301815" w:rsidRPr="002547FB">
        <w:rPr>
          <w:rFonts w:ascii="Arial" w:hAnsi="Arial" w:cs="Arial"/>
          <w:sz w:val="24"/>
          <w:szCs w:val="24"/>
        </w:rPr>
        <w:t xml:space="preserve">forfeiture </w:t>
      </w:r>
      <w:r w:rsidRPr="002547FB">
        <w:rPr>
          <w:rFonts w:ascii="Arial" w:hAnsi="Arial" w:cs="Arial"/>
          <w:sz w:val="24"/>
          <w:szCs w:val="24"/>
        </w:rPr>
        <w:t xml:space="preserve">stage be supported </w:t>
      </w:r>
      <w:r w:rsidR="00E16D79" w:rsidRPr="002547FB">
        <w:rPr>
          <w:rFonts w:ascii="Arial" w:hAnsi="Arial" w:cs="Arial"/>
          <w:sz w:val="24"/>
          <w:szCs w:val="24"/>
        </w:rPr>
        <w:t>by evidence on affidavit</w:t>
      </w:r>
      <w:r w:rsidR="004114FB" w:rsidRPr="002547FB">
        <w:rPr>
          <w:rFonts w:ascii="Arial" w:hAnsi="Arial" w:cs="Arial"/>
          <w:sz w:val="24"/>
          <w:szCs w:val="24"/>
        </w:rPr>
        <w:t xml:space="preserve"> that is relevant to the stage in question</w:t>
      </w:r>
      <w:r w:rsidR="00E16D79" w:rsidRPr="002547FB">
        <w:rPr>
          <w:rFonts w:ascii="Arial" w:hAnsi="Arial" w:cs="Arial"/>
          <w:sz w:val="24"/>
          <w:szCs w:val="24"/>
        </w:rPr>
        <w:t xml:space="preserve">. </w:t>
      </w:r>
    </w:p>
    <w:p w:rsidR="00B92F9B" w:rsidRPr="002547FB" w:rsidRDefault="00B92F9B" w:rsidP="00E16D79">
      <w:pPr>
        <w:tabs>
          <w:tab w:val="left" w:pos="720"/>
        </w:tabs>
        <w:spacing w:after="0" w:line="360" w:lineRule="auto"/>
        <w:jc w:val="both"/>
        <w:rPr>
          <w:rFonts w:ascii="Arial" w:hAnsi="Arial" w:cs="Arial"/>
          <w:sz w:val="24"/>
          <w:szCs w:val="24"/>
        </w:rPr>
      </w:pPr>
    </w:p>
    <w:p w:rsidR="00B9799F" w:rsidRPr="002547FB" w:rsidRDefault="004114FB" w:rsidP="00E16D79">
      <w:pPr>
        <w:tabs>
          <w:tab w:val="left" w:pos="720"/>
        </w:tabs>
        <w:spacing w:after="0" w:line="360" w:lineRule="auto"/>
        <w:jc w:val="both"/>
        <w:rPr>
          <w:rFonts w:ascii="Arial" w:hAnsi="Arial" w:cs="Arial"/>
          <w:sz w:val="24"/>
          <w:szCs w:val="24"/>
        </w:rPr>
      </w:pPr>
      <w:r w:rsidRPr="002547FB">
        <w:rPr>
          <w:rFonts w:ascii="Arial" w:hAnsi="Arial" w:cs="Arial"/>
          <w:sz w:val="24"/>
          <w:szCs w:val="24"/>
        </w:rPr>
        <w:t>[50</w:t>
      </w:r>
      <w:r w:rsidR="00B92F9B" w:rsidRPr="002547FB">
        <w:rPr>
          <w:rFonts w:ascii="Arial" w:hAnsi="Arial" w:cs="Arial"/>
          <w:sz w:val="24"/>
          <w:szCs w:val="24"/>
        </w:rPr>
        <w:t>]</w:t>
      </w:r>
      <w:r w:rsidR="00B92F9B" w:rsidRPr="002547FB">
        <w:rPr>
          <w:rFonts w:ascii="Arial" w:hAnsi="Arial" w:cs="Arial"/>
          <w:sz w:val="24"/>
          <w:szCs w:val="24"/>
        </w:rPr>
        <w:tab/>
      </w:r>
      <w:r w:rsidR="00E16D79" w:rsidRPr="002547FB">
        <w:rPr>
          <w:rFonts w:ascii="Arial" w:hAnsi="Arial" w:cs="Arial"/>
          <w:sz w:val="24"/>
          <w:szCs w:val="24"/>
        </w:rPr>
        <w:t>The legislature also clearly envisaged that the preservation and forfeiture stages are two separate stages</w:t>
      </w:r>
      <w:r w:rsidR="00B14CB2" w:rsidRPr="002547FB">
        <w:rPr>
          <w:rFonts w:ascii="Arial" w:hAnsi="Arial" w:cs="Arial"/>
          <w:sz w:val="24"/>
          <w:szCs w:val="24"/>
        </w:rPr>
        <w:t xml:space="preserve"> of the proceedings under chapter six</w:t>
      </w:r>
      <w:r w:rsidR="00E16D79" w:rsidRPr="002547FB">
        <w:rPr>
          <w:rFonts w:ascii="Arial" w:hAnsi="Arial" w:cs="Arial"/>
          <w:sz w:val="24"/>
          <w:szCs w:val="24"/>
        </w:rPr>
        <w:t xml:space="preserve"> of the Act and that the rules relating to the tendering of evidence in respect of those proceedings apply at all the stages.</w:t>
      </w:r>
      <w:r w:rsidR="00301815" w:rsidRPr="002547FB">
        <w:rPr>
          <w:rFonts w:ascii="Arial" w:hAnsi="Arial" w:cs="Arial"/>
          <w:sz w:val="24"/>
          <w:szCs w:val="24"/>
        </w:rPr>
        <w:t xml:space="preserve"> </w:t>
      </w:r>
      <w:r w:rsidR="00CB47FC" w:rsidRPr="002547FB">
        <w:rPr>
          <w:rFonts w:ascii="Arial" w:hAnsi="Arial" w:cs="Arial"/>
          <w:sz w:val="24"/>
          <w:szCs w:val="24"/>
        </w:rPr>
        <w:t>M</w:t>
      </w:r>
      <w:r w:rsidR="00B92F9B" w:rsidRPr="002547FB">
        <w:rPr>
          <w:rFonts w:ascii="Arial" w:hAnsi="Arial" w:cs="Arial"/>
          <w:sz w:val="24"/>
          <w:szCs w:val="24"/>
        </w:rPr>
        <w:t>s</w:t>
      </w:r>
      <w:r w:rsidR="00CB47FC" w:rsidRPr="002547FB">
        <w:rPr>
          <w:rFonts w:ascii="Arial" w:hAnsi="Arial" w:cs="Arial"/>
          <w:sz w:val="24"/>
          <w:szCs w:val="24"/>
        </w:rPr>
        <w:t xml:space="preserve"> Boonzaier furthermore misses the point</w:t>
      </w:r>
      <w:r w:rsidR="00B92F9B" w:rsidRPr="002547FB">
        <w:rPr>
          <w:rFonts w:ascii="Arial" w:hAnsi="Arial" w:cs="Arial"/>
          <w:sz w:val="24"/>
          <w:szCs w:val="24"/>
        </w:rPr>
        <w:t>,</w:t>
      </w:r>
      <w:r w:rsidR="00CB47FC" w:rsidRPr="002547FB">
        <w:rPr>
          <w:rFonts w:ascii="Arial" w:hAnsi="Arial" w:cs="Arial"/>
          <w:sz w:val="24"/>
          <w:szCs w:val="24"/>
        </w:rPr>
        <w:t xml:space="preserve"> the argument is</w:t>
      </w:r>
      <w:r w:rsidR="00CB47FC" w:rsidRPr="002547FB">
        <w:rPr>
          <w:rFonts w:ascii="Arial" w:hAnsi="Arial" w:cs="Arial"/>
          <w:i/>
          <w:sz w:val="24"/>
          <w:szCs w:val="24"/>
        </w:rPr>
        <w:t xml:space="preserve"> </w:t>
      </w:r>
      <w:r w:rsidR="00B92F9B" w:rsidRPr="002547FB">
        <w:rPr>
          <w:rFonts w:ascii="Arial" w:hAnsi="Arial" w:cs="Arial"/>
          <w:i/>
          <w:sz w:val="24"/>
          <w:szCs w:val="24"/>
        </w:rPr>
        <w:t>not</w:t>
      </w:r>
      <w:r w:rsidR="00B92F9B" w:rsidRPr="002547FB">
        <w:rPr>
          <w:rFonts w:ascii="Arial" w:hAnsi="Arial" w:cs="Arial"/>
          <w:sz w:val="24"/>
          <w:szCs w:val="24"/>
        </w:rPr>
        <w:t xml:space="preserve"> that the evidence that was used in support of the preservation application cannot be relied upon in forfeiture proceedings. The argument is that the evidence that was used in the preservation proceedings must be properly and in accordance with the rules governing the admissibility of evidence be placed before Court.</w:t>
      </w:r>
    </w:p>
    <w:p w:rsidR="00B9799F" w:rsidRPr="002547FB" w:rsidRDefault="00B9799F" w:rsidP="00E16D79">
      <w:pPr>
        <w:tabs>
          <w:tab w:val="left" w:pos="720"/>
        </w:tabs>
        <w:spacing w:after="0" w:line="360" w:lineRule="auto"/>
        <w:jc w:val="both"/>
        <w:rPr>
          <w:rFonts w:ascii="Arial" w:hAnsi="Arial" w:cs="Arial"/>
          <w:sz w:val="24"/>
          <w:szCs w:val="24"/>
        </w:rPr>
      </w:pPr>
    </w:p>
    <w:p w:rsidR="00E16D79" w:rsidRPr="002547FB" w:rsidRDefault="00E16D79" w:rsidP="00E16D79">
      <w:pPr>
        <w:spacing w:after="0" w:line="360" w:lineRule="auto"/>
        <w:jc w:val="both"/>
        <w:rPr>
          <w:rFonts w:ascii="Arial" w:hAnsi="Arial" w:cs="Arial"/>
          <w:sz w:val="24"/>
          <w:szCs w:val="24"/>
        </w:rPr>
      </w:pPr>
      <w:r w:rsidRPr="002547FB">
        <w:rPr>
          <w:rFonts w:ascii="Arial" w:hAnsi="Arial" w:cs="Arial"/>
          <w:sz w:val="24"/>
          <w:szCs w:val="24"/>
        </w:rPr>
        <w:t>[</w:t>
      </w:r>
      <w:r w:rsidR="004114FB" w:rsidRPr="002547FB">
        <w:rPr>
          <w:rFonts w:ascii="Arial" w:hAnsi="Arial" w:cs="Arial"/>
          <w:sz w:val="24"/>
          <w:szCs w:val="24"/>
        </w:rPr>
        <w:t>51</w:t>
      </w:r>
      <w:r w:rsidRPr="002547FB">
        <w:rPr>
          <w:rFonts w:ascii="Arial" w:hAnsi="Arial" w:cs="Arial"/>
          <w:sz w:val="24"/>
          <w:szCs w:val="24"/>
        </w:rPr>
        <w:t>]</w:t>
      </w:r>
      <w:r w:rsidRPr="002547FB">
        <w:rPr>
          <w:rFonts w:ascii="Arial" w:hAnsi="Arial" w:cs="Arial"/>
          <w:sz w:val="24"/>
          <w:szCs w:val="24"/>
        </w:rPr>
        <w:tab/>
        <w:t xml:space="preserve">I therefore agree with Mr Namandje that it is insufficient and thus impermissible for the Prosecutor General to rely on affidavits relied on in the preservation application without annexing </w:t>
      </w:r>
      <w:r w:rsidR="004114FB" w:rsidRPr="002547FB">
        <w:rPr>
          <w:rFonts w:ascii="Arial" w:hAnsi="Arial" w:cs="Arial"/>
          <w:sz w:val="24"/>
          <w:szCs w:val="24"/>
        </w:rPr>
        <w:t xml:space="preserve">those affidavits to her affidavit is support of the forfeiture application </w:t>
      </w:r>
      <w:r w:rsidRPr="002547FB">
        <w:rPr>
          <w:rFonts w:ascii="Arial" w:hAnsi="Arial" w:cs="Arial"/>
          <w:sz w:val="24"/>
          <w:szCs w:val="24"/>
        </w:rPr>
        <w:t xml:space="preserve">and </w:t>
      </w:r>
      <w:r w:rsidR="004114FB" w:rsidRPr="002547FB">
        <w:rPr>
          <w:rFonts w:ascii="Arial" w:hAnsi="Arial" w:cs="Arial"/>
          <w:sz w:val="24"/>
          <w:szCs w:val="24"/>
        </w:rPr>
        <w:t xml:space="preserve">without </w:t>
      </w:r>
      <w:r w:rsidRPr="002547FB">
        <w:rPr>
          <w:rFonts w:ascii="Arial" w:hAnsi="Arial" w:cs="Arial"/>
          <w:sz w:val="24"/>
          <w:szCs w:val="24"/>
        </w:rPr>
        <w:t>directing the other party and the court</w:t>
      </w:r>
      <w:r w:rsidR="00B92F9B" w:rsidRPr="002547FB">
        <w:rPr>
          <w:rFonts w:ascii="Arial" w:hAnsi="Arial" w:cs="Arial"/>
          <w:sz w:val="24"/>
          <w:szCs w:val="24"/>
        </w:rPr>
        <w:t xml:space="preserve">’s </w:t>
      </w:r>
      <w:r w:rsidRPr="002547FB">
        <w:rPr>
          <w:rFonts w:ascii="Arial" w:hAnsi="Arial" w:cs="Arial"/>
          <w:sz w:val="24"/>
          <w:szCs w:val="24"/>
        </w:rPr>
        <w:t xml:space="preserve">attention </w:t>
      </w:r>
      <w:r w:rsidR="00C547FE" w:rsidRPr="002547FB">
        <w:rPr>
          <w:rFonts w:ascii="Arial" w:hAnsi="Arial" w:cs="Arial"/>
          <w:sz w:val="24"/>
          <w:szCs w:val="24"/>
        </w:rPr>
        <w:t xml:space="preserve">to the portions </w:t>
      </w:r>
      <w:r w:rsidR="00B92F9B" w:rsidRPr="002547FB">
        <w:rPr>
          <w:rFonts w:ascii="Arial" w:hAnsi="Arial" w:cs="Arial"/>
          <w:sz w:val="24"/>
          <w:szCs w:val="24"/>
        </w:rPr>
        <w:t xml:space="preserve">and documents </w:t>
      </w:r>
      <w:r w:rsidR="00C547FE" w:rsidRPr="002547FB">
        <w:rPr>
          <w:rFonts w:ascii="Arial" w:hAnsi="Arial" w:cs="Arial"/>
          <w:sz w:val="24"/>
          <w:szCs w:val="24"/>
        </w:rPr>
        <w:t>in those affidavits on which she relies in</w:t>
      </w:r>
      <w:r w:rsidRPr="002547FB">
        <w:rPr>
          <w:rFonts w:ascii="Arial" w:hAnsi="Arial" w:cs="Arial"/>
          <w:sz w:val="24"/>
          <w:szCs w:val="24"/>
        </w:rPr>
        <w:t xml:space="preserve"> her affidavit in support of the forfeiture application.</w:t>
      </w:r>
      <w:r w:rsidR="00C547FE" w:rsidRPr="002547FB">
        <w:rPr>
          <w:rFonts w:ascii="Arial" w:hAnsi="Arial" w:cs="Arial"/>
          <w:sz w:val="24"/>
          <w:szCs w:val="24"/>
        </w:rPr>
        <w:t xml:space="preserve"> I furthermore agree with Mr Namandje that </w:t>
      </w:r>
      <w:r w:rsidR="00B14CB2" w:rsidRPr="002547FB">
        <w:rPr>
          <w:rFonts w:ascii="Arial" w:hAnsi="Arial" w:cs="Arial"/>
          <w:sz w:val="24"/>
          <w:szCs w:val="24"/>
        </w:rPr>
        <w:t>t</w:t>
      </w:r>
      <w:r w:rsidRPr="002547FB">
        <w:rPr>
          <w:rFonts w:ascii="Arial" w:hAnsi="Arial" w:cs="Arial"/>
          <w:sz w:val="24"/>
          <w:szCs w:val="24"/>
        </w:rPr>
        <w:t xml:space="preserve">he Prosecutor-General </w:t>
      </w:r>
      <w:r w:rsidR="00C547FE" w:rsidRPr="002547FB">
        <w:rPr>
          <w:rFonts w:ascii="Arial" w:hAnsi="Arial" w:cs="Arial"/>
          <w:sz w:val="24"/>
          <w:szCs w:val="24"/>
        </w:rPr>
        <w:t xml:space="preserve">in </w:t>
      </w:r>
      <w:r w:rsidRPr="002547FB">
        <w:rPr>
          <w:rFonts w:ascii="Arial" w:hAnsi="Arial" w:cs="Arial"/>
          <w:sz w:val="24"/>
          <w:szCs w:val="24"/>
        </w:rPr>
        <w:t xml:space="preserve">paragraph 35 </w:t>
      </w:r>
      <w:r w:rsidR="00C547FE" w:rsidRPr="002547FB">
        <w:rPr>
          <w:rFonts w:ascii="Arial" w:hAnsi="Arial" w:cs="Arial"/>
          <w:sz w:val="24"/>
          <w:szCs w:val="24"/>
        </w:rPr>
        <w:t>of her affidavit</w:t>
      </w:r>
      <w:r w:rsidRPr="002547FB">
        <w:rPr>
          <w:rFonts w:ascii="Arial" w:hAnsi="Arial" w:cs="Arial"/>
          <w:sz w:val="24"/>
          <w:szCs w:val="24"/>
        </w:rPr>
        <w:t xml:space="preserve"> relies on evidence </w:t>
      </w:r>
      <w:r w:rsidR="00C547FE" w:rsidRPr="002547FB">
        <w:rPr>
          <w:rFonts w:ascii="Arial" w:hAnsi="Arial" w:cs="Arial"/>
          <w:sz w:val="24"/>
          <w:szCs w:val="24"/>
        </w:rPr>
        <w:t xml:space="preserve">contained in an affidavit </w:t>
      </w:r>
      <w:r w:rsidRPr="002547FB">
        <w:rPr>
          <w:rFonts w:ascii="Arial" w:hAnsi="Arial" w:cs="Arial"/>
          <w:sz w:val="24"/>
          <w:szCs w:val="24"/>
        </w:rPr>
        <w:t xml:space="preserve">of a certain Kanyangela who did not contemporaneously file an affidavit in support of the forfeiture application.  Her affidavit is also not part of the forfeiture application.  The </w:t>
      </w:r>
      <w:r w:rsidR="00B14CB2" w:rsidRPr="002547FB">
        <w:rPr>
          <w:rFonts w:ascii="Arial" w:hAnsi="Arial" w:cs="Arial"/>
          <w:sz w:val="24"/>
          <w:szCs w:val="24"/>
        </w:rPr>
        <w:t>Prosecutor-</w:t>
      </w:r>
      <w:r w:rsidR="00C547FE" w:rsidRPr="002547FB">
        <w:rPr>
          <w:rFonts w:ascii="Arial" w:hAnsi="Arial" w:cs="Arial"/>
          <w:sz w:val="24"/>
          <w:szCs w:val="24"/>
        </w:rPr>
        <w:t xml:space="preserve">General’s </w:t>
      </w:r>
      <w:r w:rsidRPr="002547FB">
        <w:rPr>
          <w:rFonts w:ascii="Arial" w:hAnsi="Arial" w:cs="Arial"/>
          <w:sz w:val="24"/>
          <w:szCs w:val="24"/>
        </w:rPr>
        <w:t>evidence in that respect</w:t>
      </w:r>
      <w:r w:rsidR="00C547FE" w:rsidRPr="002547FB">
        <w:rPr>
          <w:rFonts w:ascii="Arial" w:hAnsi="Arial" w:cs="Arial"/>
          <w:sz w:val="24"/>
          <w:szCs w:val="24"/>
        </w:rPr>
        <w:t>, in so far as she does not have personal knowledge of the investigation</w:t>
      </w:r>
      <w:r w:rsidR="00B14CB2" w:rsidRPr="002547FB">
        <w:rPr>
          <w:rFonts w:ascii="Arial" w:hAnsi="Arial" w:cs="Arial"/>
          <w:sz w:val="24"/>
          <w:szCs w:val="24"/>
        </w:rPr>
        <w:t>s</w:t>
      </w:r>
      <w:r w:rsidR="00C547FE" w:rsidRPr="002547FB">
        <w:rPr>
          <w:rFonts w:ascii="Arial" w:hAnsi="Arial" w:cs="Arial"/>
          <w:sz w:val="24"/>
          <w:szCs w:val="24"/>
        </w:rPr>
        <w:t xml:space="preserve"> and the findings of the investigations by Kanyangela</w:t>
      </w:r>
      <w:r w:rsidR="00B92F9B" w:rsidRPr="002547FB">
        <w:rPr>
          <w:rFonts w:ascii="Arial" w:hAnsi="Arial" w:cs="Arial"/>
          <w:sz w:val="24"/>
          <w:szCs w:val="24"/>
        </w:rPr>
        <w:t>,</w:t>
      </w:r>
      <w:r w:rsidRPr="002547FB">
        <w:rPr>
          <w:rFonts w:ascii="Arial" w:hAnsi="Arial" w:cs="Arial"/>
          <w:sz w:val="24"/>
          <w:szCs w:val="24"/>
        </w:rPr>
        <w:t xml:space="preserve"> is </w:t>
      </w:r>
      <w:r w:rsidR="00C547FE" w:rsidRPr="002547FB">
        <w:rPr>
          <w:rFonts w:ascii="Arial" w:hAnsi="Arial" w:cs="Arial"/>
          <w:sz w:val="24"/>
          <w:szCs w:val="24"/>
        </w:rPr>
        <w:t xml:space="preserve">therefore </w:t>
      </w:r>
      <w:r w:rsidRPr="002547FB">
        <w:rPr>
          <w:rFonts w:ascii="Arial" w:hAnsi="Arial" w:cs="Arial"/>
          <w:sz w:val="24"/>
          <w:szCs w:val="24"/>
        </w:rPr>
        <w:t>inadmissible</w:t>
      </w:r>
      <w:r w:rsidR="00C547FE" w:rsidRPr="002547FB">
        <w:rPr>
          <w:rFonts w:ascii="Arial" w:hAnsi="Arial" w:cs="Arial"/>
          <w:sz w:val="24"/>
          <w:szCs w:val="24"/>
        </w:rPr>
        <w:t>.</w:t>
      </w:r>
    </w:p>
    <w:p w:rsidR="00DC23EE" w:rsidRPr="002547FB" w:rsidRDefault="00DC23EE" w:rsidP="00DC23EE">
      <w:pPr>
        <w:spacing w:after="0" w:line="360" w:lineRule="auto"/>
        <w:jc w:val="both"/>
        <w:rPr>
          <w:rFonts w:ascii="Arial" w:hAnsi="Arial" w:cs="Arial"/>
          <w:sz w:val="24"/>
          <w:szCs w:val="24"/>
        </w:rPr>
      </w:pPr>
    </w:p>
    <w:p w:rsidR="00B92F9B" w:rsidRPr="002547FB" w:rsidRDefault="00B92F9B" w:rsidP="00DC23EE">
      <w:pPr>
        <w:spacing w:after="0" w:line="360" w:lineRule="auto"/>
        <w:jc w:val="both"/>
        <w:rPr>
          <w:rFonts w:ascii="Arial" w:hAnsi="Arial" w:cs="Arial"/>
          <w:sz w:val="24"/>
          <w:szCs w:val="24"/>
          <w:u w:val="single"/>
        </w:rPr>
      </w:pPr>
      <w:r w:rsidRPr="002547FB">
        <w:rPr>
          <w:rFonts w:ascii="Arial" w:hAnsi="Arial" w:cs="Arial"/>
          <w:sz w:val="24"/>
          <w:szCs w:val="24"/>
          <w:u w:val="single"/>
        </w:rPr>
        <w:lastRenderedPageBreak/>
        <w:t xml:space="preserve">Has the Prosecutor General succeeded to prove that the funds </w:t>
      </w:r>
      <w:r w:rsidR="00B14CB2" w:rsidRPr="002547FB">
        <w:rPr>
          <w:rFonts w:ascii="Arial" w:hAnsi="Arial" w:cs="Arial"/>
          <w:sz w:val="24"/>
          <w:szCs w:val="24"/>
          <w:u w:val="single"/>
        </w:rPr>
        <w:t xml:space="preserve">preserved </w:t>
      </w:r>
      <w:r w:rsidRPr="002547FB">
        <w:rPr>
          <w:rFonts w:ascii="Arial" w:hAnsi="Arial" w:cs="Arial"/>
          <w:sz w:val="24"/>
          <w:szCs w:val="24"/>
          <w:u w:val="single"/>
        </w:rPr>
        <w:t>are</w:t>
      </w:r>
      <w:r w:rsidRPr="002547FB">
        <w:rPr>
          <w:rFonts w:ascii="Arial" w:hAnsi="Arial" w:cs="Arial"/>
          <w:u w:val="single"/>
        </w:rPr>
        <w:t xml:space="preserve"> </w:t>
      </w:r>
      <w:r w:rsidR="001A1DEE" w:rsidRPr="002547FB">
        <w:rPr>
          <w:rFonts w:ascii="Arial" w:hAnsi="Arial" w:cs="Arial"/>
          <w:sz w:val="24"/>
          <w:szCs w:val="24"/>
          <w:u w:val="single"/>
        </w:rPr>
        <w:t>instrumentality of an offence referred to in Schedule 1</w:t>
      </w:r>
      <w:r w:rsidRPr="002547FB">
        <w:rPr>
          <w:rFonts w:ascii="Arial" w:hAnsi="Arial" w:cs="Arial"/>
          <w:i/>
          <w:sz w:val="24"/>
          <w:szCs w:val="24"/>
          <w:u w:val="single"/>
        </w:rPr>
        <w:t>?</w:t>
      </w:r>
    </w:p>
    <w:p w:rsidR="00B92F9B" w:rsidRPr="002547FB" w:rsidRDefault="00B92F9B" w:rsidP="00DC23EE">
      <w:pPr>
        <w:spacing w:after="0" w:line="360" w:lineRule="auto"/>
        <w:jc w:val="both"/>
        <w:rPr>
          <w:rFonts w:ascii="Arial" w:hAnsi="Arial" w:cs="Arial"/>
          <w:sz w:val="24"/>
          <w:szCs w:val="24"/>
          <w:u w:val="single"/>
        </w:rPr>
      </w:pPr>
    </w:p>
    <w:p w:rsidR="00FB2450" w:rsidRPr="002547FB" w:rsidRDefault="00DC23EE" w:rsidP="00B92F9B">
      <w:pPr>
        <w:tabs>
          <w:tab w:val="left" w:pos="720"/>
        </w:tabs>
        <w:spacing w:after="0" w:line="360" w:lineRule="auto"/>
        <w:jc w:val="both"/>
        <w:rPr>
          <w:rFonts w:ascii="Arial" w:hAnsi="Arial" w:cs="Arial"/>
          <w:sz w:val="24"/>
          <w:szCs w:val="24"/>
        </w:rPr>
      </w:pPr>
      <w:r w:rsidRPr="002547FB">
        <w:rPr>
          <w:rFonts w:ascii="Arial" w:hAnsi="Arial" w:cs="Arial"/>
          <w:sz w:val="24"/>
          <w:szCs w:val="24"/>
        </w:rPr>
        <w:t>[</w:t>
      </w:r>
      <w:r w:rsidR="004114FB" w:rsidRPr="002547FB">
        <w:rPr>
          <w:rFonts w:ascii="Arial" w:hAnsi="Arial" w:cs="Arial"/>
          <w:sz w:val="24"/>
          <w:szCs w:val="24"/>
        </w:rPr>
        <w:t>52</w:t>
      </w:r>
      <w:r w:rsidRPr="002547FB">
        <w:rPr>
          <w:rFonts w:ascii="Arial" w:hAnsi="Arial" w:cs="Arial"/>
          <w:sz w:val="24"/>
          <w:szCs w:val="24"/>
        </w:rPr>
        <w:t>]</w:t>
      </w:r>
      <w:r w:rsidRPr="002547FB">
        <w:rPr>
          <w:rFonts w:ascii="Arial" w:hAnsi="Arial" w:cs="Arial"/>
          <w:sz w:val="24"/>
          <w:szCs w:val="24"/>
        </w:rPr>
        <w:tab/>
      </w:r>
      <w:r w:rsidR="00F5069A" w:rsidRPr="002547FB">
        <w:rPr>
          <w:rFonts w:ascii="Arial" w:hAnsi="Arial" w:cs="Arial"/>
          <w:sz w:val="24"/>
          <w:szCs w:val="24"/>
        </w:rPr>
        <w:t>I have indicated above that s 61(1) of the Act obliges (the section use</w:t>
      </w:r>
      <w:r w:rsidR="00B14CB2" w:rsidRPr="002547FB">
        <w:rPr>
          <w:rFonts w:ascii="Arial" w:hAnsi="Arial" w:cs="Arial"/>
          <w:sz w:val="24"/>
          <w:szCs w:val="24"/>
        </w:rPr>
        <w:t>s</w:t>
      </w:r>
      <w:r w:rsidR="00F5069A" w:rsidRPr="002547FB">
        <w:rPr>
          <w:rFonts w:ascii="Arial" w:hAnsi="Arial" w:cs="Arial"/>
          <w:sz w:val="24"/>
          <w:szCs w:val="24"/>
        </w:rPr>
        <w:t xml:space="preserve"> the word must) this Court to make the forfeiture order applied for under section 59(1) if the court finds on a balance of probabilities that the property concerned is an instrumentality of an offence referred to in Schedule 1; or is the proceeds of unlawful activities.</w:t>
      </w:r>
      <w:r w:rsidR="00A07C58" w:rsidRPr="002547FB">
        <w:rPr>
          <w:rFonts w:ascii="Arial" w:hAnsi="Arial" w:cs="Arial"/>
        </w:rPr>
        <w:t xml:space="preserve"> </w:t>
      </w:r>
      <w:r w:rsidR="00A07C58" w:rsidRPr="002547FB">
        <w:rPr>
          <w:rFonts w:ascii="Arial" w:hAnsi="Arial" w:cs="Arial"/>
          <w:sz w:val="24"/>
          <w:szCs w:val="24"/>
        </w:rPr>
        <w:t xml:space="preserve">The issue in this matter therefore </w:t>
      </w:r>
      <w:r w:rsidR="004639C5" w:rsidRPr="002547FB">
        <w:rPr>
          <w:rFonts w:ascii="Arial" w:hAnsi="Arial" w:cs="Arial"/>
          <w:sz w:val="24"/>
          <w:szCs w:val="24"/>
        </w:rPr>
        <w:t xml:space="preserve">is </w:t>
      </w:r>
      <w:r w:rsidR="00A07C58" w:rsidRPr="002547FB">
        <w:rPr>
          <w:rFonts w:ascii="Arial" w:hAnsi="Arial" w:cs="Arial"/>
          <w:sz w:val="24"/>
          <w:szCs w:val="24"/>
        </w:rPr>
        <w:t>whether</w:t>
      </w:r>
      <w:r w:rsidR="004639C5" w:rsidRPr="002547FB">
        <w:rPr>
          <w:rFonts w:ascii="Arial" w:hAnsi="Arial" w:cs="Arial"/>
          <w:sz w:val="24"/>
          <w:szCs w:val="24"/>
        </w:rPr>
        <w:t>,</w:t>
      </w:r>
      <w:r w:rsidR="00A07C58" w:rsidRPr="002547FB">
        <w:rPr>
          <w:rFonts w:ascii="Arial" w:hAnsi="Arial" w:cs="Arial"/>
          <w:sz w:val="24"/>
          <w:szCs w:val="24"/>
        </w:rPr>
        <w:t xml:space="preserve"> </w:t>
      </w:r>
      <w:r w:rsidR="004639C5" w:rsidRPr="002547FB">
        <w:rPr>
          <w:rFonts w:ascii="Arial" w:hAnsi="Arial" w:cs="Arial"/>
          <w:sz w:val="24"/>
          <w:szCs w:val="24"/>
        </w:rPr>
        <w:t xml:space="preserve">the positive bank balance in an account held at First </w:t>
      </w:r>
      <w:r w:rsidR="00B92F9B" w:rsidRPr="002547FB">
        <w:rPr>
          <w:rFonts w:ascii="Arial" w:hAnsi="Arial" w:cs="Arial"/>
          <w:sz w:val="24"/>
          <w:szCs w:val="24"/>
        </w:rPr>
        <w:t xml:space="preserve">National Bank </w:t>
      </w:r>
      <w:r w:rsidR="004639C5" w:rsidRPr="002547FB">
        <w:rPr>
          <w:rFonts w:ascii="Arial" w:hAnsi="Arial" w:cs="Arial"/>
          <w:sz w:val="24"/>
          <w:szCs w:val="24"/>
        </w:rPr>
        <w:t xml:space="preserve">investment account, account number 712537xxxxx, held in the name of the first respondent, Moses Pasana Uanjanda Kamunguma; a Volkswagen Polo Vivo motor car with registration number N 58897 W, and a Mazda 3.0DIT 4x2SLE with registration number N 78991 W </w:t>
      </w:r>
      <w:r w:rsidR="00A07C58" w:rsidRPr="002547FB">
        <w:rPr>
          <w:rFonts w:ascii="Arial" w:hAnsi="Arial" w:cs="Arial"/>
          <w:sz w:val="24"/>
          <w:szCs w:val="24"/>
        </w:rPr>
        <w:t xml:space="preserve">should be forfeited to the State under chap 6 of </w:t>
      </w:r>
      <w:r w:rsidR="004639C5" w:rsidRPr="002547FB">
        <w:rPr>
          <w:rFonts w:ascii="Arial" w:hAnsi="Arial" w:cs="Arial"/>
          <w:sz w:val="24"/>
          <w:szCs w:val="24"/>
        </w:rPr>
        <w:t>the Act.</w:t>
      </w:r>
    </w:p>
    <w:p w:rsidR="00700FDA" w:rsidRPr="002547FB" w:rsidRDefault="00700FDA" w:rsidP="00B92F9B">
      <w:pPr>
        <w:tabs>
          <w:tab w:val="left" w:pos="720"/>
        </w:tabs>
        <w:spacing w:after="0" w:line="360" w:lineRule="auto"/>
        <w:jc w:val="both"/>
        <w:rPr>
          <w:rFonts w:ascii="Arial" w:hAnsi="Arial" w:cs="Arial"/>
          <w:sz w:val="24"/>
          <w:szCs w:val="24"/>
        </w:rPr>
      </w:pPr>
    </w:p>
    <w:p w:rsidR="00934523" w:rsidRPr="002547FB" w:rsidRDefault="004639C5" w:rsidP="00DB5CDB">
      <w:pPr>
        <w:spacing w:after="0" w:line="360" w:lineRule="auto"/>
        <w:jc w:val="both"/>
        <w:rPr>
          <w:rFonts w:ascii="Arial" w:hAnsi="Arial" w:cs="Arial"/>
          <w:sz w:val="24"/>
          <w:szCs w:val="24"/>
        </w:rPr>
      </w:pPr>
      <w:r w:rsidRPr="002547FB">
        <w:rPr>
          <w:rFonts w:ascii="Arial" w:hAnsi="Arial" w:cs="Arial"/>
          <w:sz w:val="24"/>
          <w:szCs w:val="24"/>
        </w:rPr>
        <w:t>[</w:t>
      </w:r>
      <w:r w:rsidR="004114FB" w:rsidRPr="002547FB">
        <w:rPr>
          <w:rFonts w:ascii="Arial" w:hAnsi="Arial" w:cs="Arial"/>
          <w:sz w:val="24"/>
          <w:szCs w:val="24"/>
        </w:rPr>
        <w:t>53</w:t>
      </w:r>
      <w:r w:rsidRPr="002547FB">
        <w:rPr>
          <w:rFonts w:ascii="Arial" w:hAnsi="Arial" w:cs="Arial"/>
          <w:sz w:val="24"/>
          <w:szCs w:val="24"/>
        </w:rPr>
        <w:t>]</w:t>
      </w:r>
      <w:r w:rsidRPr="002547FB">
        <w:rPr>
          <w:rFonts w:ascii="Arial" w:hAnsi="Arial" w:cs="Arial"/>
          <w:sz w:val="24"/>
          <w:szCs w:val="24"/>
        </w:rPr>
        <w:tab/>
      </w:r>
      <w:r w:rsidR="00934523" w:rsidRPr="002547FB">
        <w:rPr>
          <w:rFonts w:ascii="Arial" w:hAnsi="Arial" w:cs="Arial"/>
          <w:sz w:val="24"/>
          <w:szCs w:val="24"/>
        </w:rPr>
        <w:t>The Act in section 1 defines 'instrumentality of an offence’ to mean ‘any property which is concerned in the commission or suspected commission of an offence at any time before or after the commencement of this Act, whether committed within Namibia or elsewhere</w:t>
      </w:r>
      <w:r w:rsidR="001D09E8">
        <w:rPr>
          <w:rFonts w:ascii="Arial" w:hAnsi="Arial" w:cs="Arial"/>
          <w:sz w:val="24"/>
          <w:szCs w:val="24"/>
        </w:rPr>
        <w:t>.</w:t>
      </w:r>
      <w:r w:rsidR="00934523" w:rsidRPr="002547FB">
        <w:rPr>
          <w:rFonts w:ascii="Arial" w:hAnsi="Arial" w:cs="Arial"/>
          <w:sz w:val="24"/>
          <w:szCs w:val="24"/>
        </w:rPr>
        <w:t xml:space="preserve"> In the matter of </w:t>
      </w:r>
      <w:r w:rsidR="00934523" w:rsidRPr="002547FB">
        <w:rPr>
          <w:rFonts w:ascii="Arial" w:hAnsi="Arial" w:cs="Arial"/>
          <w:i/>
          <w:sz w:val="24"/>
          <w:szCs w:val="24"/>
        </w:rPr>
        <w:t>National Director of Public Prosecutions v Seevnarayan</w:t>
      </w:r>
      <w:r w:rsidR="00934523" w:rsidRPr="002547FB">
        <w:rPr>
          <w:rStyle w:val="FootnoteReference"/>
          <w:rFonts w:ascii="Arial" w:hAnsi="Arial" w:cs="Arial"/>
          <w:i/>
          <w:sz w:val="24"/>
          <w:szCs w:val="24"/>
        </w:rPr>
        <w:footnoteReference w:id="25"/>
      </w:r>
      <w:r w:rsidR="001D09E8">
        <w:rPr>
          <w:rFonts w:ascii="Arial" w:hAnsi="Arial" w:cs="Arial"/>
          <w:i/>
          <w:sz w:val="24"/>
          <w:szCs w:val="24"/>
        </w:rPr>
        <w:t xml:space="preserve">, </w:t>
      </w:r>
      <w:r w:rsidR="00934523" w:rsidRPr="002547FB">
        <w:rPr>
          <w:rFonts w:ascii="Arial" w:hAnsi="Arial" w:cs="Arial"/>
          <w:i/>
          <w:sz w:val="24"/>
          <w:szCs w:val="24"/>
        </w:rPr>
        <w:t xml:space="preserve"> </w:t>
      </w:r>
      <w:r w:rsidR="00934523" w:rsidRPr="002547FB">
        <w:rPr>
          <w:rFonts w:ascii="Arial" w:hAnsi="Arial" w:cs="Arial"/>
          <w:sz w:val="24"/>
          <w:szCs w:val="24"/>
        </w:rPr>
        <w:t>the South African Supreme Court of Appeal held that:</w:t>
      </w:r>
    </w:p>
    <w:p w:rsidR="00934523" w:rsidRPr="002547FB" w:rsidRDefault="00934523" w:rsidP="00DB5CDB">
      <w:pPr>
        <w:spacing w:after="0" w:line="360" w:lineRule="auto"/>
        <w:jc w:val="both"/>
        <w:rPr>
          <w:rFonts w:ascii="Arial" w:hAnsi="Arial" w:cs="Arial"/>
          <w:sz w:val="24"/>
          <w:szCs w:val="24"/>
        </w:rPr>
      </w:pPr>
      <w:r w:rsidRPr="002547FB">
        <w:rPr>
          <w:rFonts w:ascii="Arial" w:hAnsi="Arial" w:cs="Arial"/>
          <w:sz w:val="24"/>
          <w:szCs w:val="24"/>
        </w:rPr>
        <w:t xml:space="preserve"> </w:t>
      </w:r>
    </w:p>
    <w:p w:rsidR="00EC3E79" w:rsidRPr="002547FB" w:rsidRDefault="001D09E8" w:rsidP="00EC3E79">
      <w:pPr>
        <w:spacing w:after="0" w:line="360" w:lineRule="auto"/>
        <w:ind w:firstLine="720"/>
        <w:jc w:val="both"/>
        <w:rPr>
          <w:rFonts w:ascii="Arial" w:hAnsi="Arial" w:cs="Arial"/>
        </w:rPr>
      </w:pPr>
      <w:r>
        <w:rPr>
          <w:rFonts w:ascii="Arial" w:hAnsi="Arial" w:cs="Arial"/>
        </w:rPr>
        <w:t>‘. . .</w:t>
      </w:r>
      <w:r w:rsidR="00EC3E79" w:rsidRPr="002547FB">
        <w:rPr>
          <w:rFonts w:ascii="Arial" w:hAnsi="Arial" w:cs="Arial"/>
        </w:rPr>
        <w:t xml:space="preserve"> </w:t>
      </w:r>
      <w:r w:rsidR="00934523" w:rsidRPr="002547FB">
        <w:rPr>
          <w:rFonts w:ascii="Arial" w:hAnsi="Arial" w:cs="Arial"/>
        </w:rPr>
        <w:t xml:space="preserve">in giving meaning to 'instrumentality of an offence' the focus is not on the state of mind of the owner, but on the role the property plays in the commission of the crime. The phrase must be interpreted independently of the guilt or innocence of the property-owner. Where a forfeiture order is </w:t>
      </w:r>
      <w:r w:rsidR="00B14CB2" w:rsidRPr="002547FB">
        <w:rPr>
          <w:rFonts w:ascii="Arial" w:hAnsi="Arial" w:cs="Arial"/>
        </w:rPr>
        <w:t>sought the Court thus undertake</w:t>
      </w:r>
      <w:r w:rsidR="00934523" w:rsidRPr="002547FB">
        <w:rPr>
          <w:rFonts w:ascii="Arial" w:hAnsi="Arial" w:cs="Arial"/>
        </w:rPr>
        <w:t xml:space="preserve"> a two-stage enquiry. In the first, it ascertains whether the property in issue was an 'instrumentality of an offence'. At this stage the owner’s guilt or wrongdoing, knowledge or lack of it, are not the focus. The question is whether a functional relation between property</w:t>
      </w:r>
      <w:r w:rsidR="00EC3E79" w:rsidRPr="002547FB">
        <w:rPr>
          <w:rFonts w:ascii="Arial" w:hAnsi="Arial" w:cs="Arial"/>
        </w:rPr>
        <w:t xml:space="preserve"> and crime has been established</w:t>
      </w:r>
      <w:r w:rsidR="00EC3E79" w:rsidRPr="002547FB">
        <w:rPr>
          <w:rFonts w:ascii="Arial" w:hAnsi="Arial" w:cs="Arial"/>
          <w:u w:val="single"/>
        </w:rPr>
        <w:t xml:space="preserve"> </w:t>
      </w:r>
      <w:r>
        <w:rPr>
          <w:rFonts w:ascii="Arial" w:hAnsi="Arial" w:cs="Arial"/>
        </w:rPr>
        <w:t>. . .</w:t>
      </w:r>
    </w:p>
    <w:p w:rsidR="00934523" w:rsidRDefault="00EC3E79" w:rsidP="00EC3E79">
      <w:pPr>
        <w:spacing w:after="0" w:line="360" w:lineRule="auto"/>
        <w:ind w:firstLine="720"/>
        <w:jc w:val="both"/>
        <w:rPr>
          <w:rFonts w:ascii="Arial" w:hAnsi="Arial" w:cs="Arial"/>
        </w:rPr>
      </w:pPr>
      <w:r w:rsidRPr="002547FB">
        <w:rPr>
          <w:rFonts w:ascii="Arial" w:hAnsi="Arial" w:cs="Arial"/>
        </w:rPr>
        <w:t xml:space="preserve">In a real and substantial sense the property must facilitate or make possible the commission of the offence. As the term instrumentality itself suggests (albeit that it is defined to extend beyond its ordinary meaning), the property must be instrumental in, and not merely incidental to, the commission of the offence. For otherwise there is no rational connection between the deprivation of property and the objective of the act: The deprivation would </w:t>
      </w:r>
      <w:r w:rsidRPr="002547FB">
        <w:rPr>
          <w:rFonts w:ascii="Arial" w:hAnsi="Arial" w:cs="Arial"/>
        </w:rPr>
        <w:lastRenderedPageBreak/>
        <w:t>constitute merely an additional penalty in relation to the crime, but without the constitutional safeguards that are a prerequisite for the imposition of criminal penalties.'</w:t>
      </w:r>
    </w:p>
    <w:p w:rsidR="001D09E8" w:rsidRPr="002547FB" w:rsidRDefault="001D09E8" w:rsidP="00EC3E79">
      <w:pPr>
        <w:spacing w:after="0" w:line="360" w:lineRule="auto"/>
        <w:ind w:firstLine="720"/>
        <w:jc w:val="both"/>
        <w:rPr>
          <w:rFonts w:ascii="Arial" w:hAnsi="Arial" w:cs="Arial"/>
        </w:rPr>
      </w:pPr>
    </w:p>
    <w:p w:rsidR="006853C8" w:rsidRPr="002547FB" w:rsidRDefault="00DB5CDB" w:rsidP="00DB5CDB">
      <w:pPr>
        <w:spacing w:after="0" w:line="360" w:lineRule="auto"/>
        <w:jc w:val="both"/>
        <w:rPr>
          <w:rFonts w:ascii="Arial" w:hAnsi="Arial" w:cs="Arial"/>
          <w:sz w:val="24"/>
          <w:szCs w:val="24"/>
        </w:rPr>
      </w:pPr>
      <w:r w:rsidRPr="002547FB">
        <w:rPr>
          <w:rFonts w:ascii="Arial" w:hAnsi="Arial" w:cs="Arial"/>
          <w:sz w:val="24"/>
          <w:szCs w:val="24"/>
        </w:rPr>
        <w:t>[</w:t>
      </w:r>
      <w:r w:rsidR="00700FDA" w:rsidRPr="002547FB">
        <w:rPr>
          <w:rFonts w:ascii="Arial" w:hAnsi="Arial" w:cs="Arial"/>
          <w:sz w:val="24"/>
          <w:szCs w:val="24"/>
        </w:rPr>
        <w:t>5</w:t>
      </w:r>
      <w:r w:rsidR="004114FB" w:rsidRPr="002547FB">
        <w:rPr>
          <w:rFonts w:ascii="Arial" w:hAnsi="Arial" w:cs="Arial"/>
          <w:sz w:val="24"/>
          <w:szCs w:val="24"/>
        </w:rPr>
        <w:t>4</w:t>
      </w:r>
      <w:r w:rsidRPr="002547FB">
        <w:rPr>
          <w:rFonts w:ascii="Arial" w:hAnsi="Arial" w:cs="Arial"/>
          <w:sz w:val="24"/>
          <w:szCs w:val="24"/>
        </w:rPr>
        <w:t>]</w:t>
      </w:r>
      <w:r w:rsidRPr="002547FB">
        <w:rPr>
          <w:rFonts w:ascii="Arial" w:hAnsi="Arial" w:cs="Arial"/>
          <w:sz w:val="24"/>
          <w:szCs w:val="24"/>
        </w:rPr>
        <w:tab/>
      </w:r>
      <w:r w:rsidR="00DC23EE" w:rsidRPr="002547FB">
        <w:rPr>
          <w:rFonts w:ascii="Arial" w:hAnsi="Arial" w:cs="Arial"/>
          <w:sz w:val="24"/>
          <w:szCs w:val="24"/>
        </w:rPr>
        <w:t>The</w:t>
      </w:r>
      <w:r w:rsidR="00EC3E79" w:rsidRPr="002547FB">
        <w:rPr>
          <w:rFonts w:ascii="Arial" w:hAnsi="Arial" w:cs="Arial"/>
          <w:sz w:val="24"/>
          <w:szCs w:val="24"/>
        </w:rPr>
        <w:t xml:space="preserve"> above formulation of the interpretation of instrumentality has been accepted by this Court.</w:t>
      </w:r>
      <w:r w:rsidR="00EC3E79" w:rsidRPr="002547FB">
        <w:rPr>
          <w:rStyle w:val="FootnoteReference"/>
          <w:rFonts w:ascii="Arial" w:hAnsi="Arial" w:cs="Arial"/>
          <w:sz w:val="24"/>
          <w:szCs w:val="24"/>
        </w:rPr>
        <w:footnoteReference w:id="26"/>
      </w:r>
      <w:r w:rsidR="00EC3E79" w:rsidRPr="002547FB">
        <w:rPr>
          <w:rFonts w:ascii="Arial" w:hAnsi="Arial" w:cs="Arial"/>
          <w:sz w:val="24"/>
          <w:szCs w:val="24"/>
        </w:rPr>
        <w:t xml:space="preserve"> </w:t>
      </w:r>
      <w:r w:rsidR="00F76282" w:rsidRPr="002547FB">
        <w:rPr>
          <w:rFonts w:ascii="Arial" w:hAnsi="Arial" w:cs="Arial"/>
          <w:sz w:val="24"/>
          <w:szCs w:val="24"/>
        </w:rPr>
        <w:t>The Prosecutor-</w:t>
      </w:r>
      <w:r w:rsidR="00E56105" w:rsidRPr="002547FB">
        <w:rPr>
          <w:rFonts w:ascii="Arial" w:hAnsi="Arial" w:cs="Arial"/>
          <w:sz w:val="24"/>
          <w:szCs w:val="24"/>
        </w:rPr>
        <w:t xml:space="preserve">General submits that the preserved property is on a balance of probabilities the proceeds of unlawful activities. That submission is based on the investigation conducted by Ms Kanyangela. I have made a finding that the evidence of Ms Kanyangela is not properly </w:t>
      </w:r>
      <w:r w:rsidR="00F76282" w:rsidRPr="002547FB">
        <w:rPr>
          <w:rFonts w:ascii="Arial" w:hAnsi="Arial" w:cs="Arial"/>
          <w:sz w:val="24"/>
          <w:szCs w:val="24"/>
        </w:rPr>
        <w:t>before Court and the Prosecutor-</w:t>
      </w:r>
      <w:r w:rsidR="00E56105" w:rsidRPr="002547FB">
        <w:rPr>
          <w:rFonts w:ascii="Arial" w:hAnsi="Arial" w:cs="Arial"/>
          <w:sz w:val="24"/>
          <w:szCs w:val="24"/>
        </w:rPr>
        <w:t>General can therefore not</w:t>
      </w:r>
      <w:r w:rsidR="00F76282" w:rsidRPr="002547FB">
        <w:rPr>
          <w:rFonts w:ascii="Arial" w:hAnsi="Arial" w:cs="Arial"/>
          <w:sz w:val="24"/>
          <w:szCs w:val="24"/>
        </w:rPr>
        <w:t xml:space="preserve"> properly</w:t>
      </w:r>
      <w:r w:rsidR="00E56105" w:rsidRPr="002547FB">
        <w:rPr>
          <w:rFonts w:ascii="Arial" w:hAnsi="Arial" w:cs="Arial"/>
          <w:sz w:val="24"/>
          <w:szCs w:val="24"/>
        </w:rPr>
        <w:t xml:space="preserve"> rely thereon. The en</w:t>
      </w:r>
      <w:r w:rsidR="00F76282" w:rsidRPr="002547FB">
        <w:rPr>
          <w:rFonts w:ascii="Arial" w:hAnsi="Arial" w:cs="Arial"/>
          <w:sz w:val="24"/>
          <w:szCs w:val="24"/>
        </w:rPr>
        <w:t>tire evidence of the Prosecutor-</w:t>
      </w:r>
      <w:r w:rsidR="00E56105" w:rsidRPr="002547FB">
        <w:rPr>
          <w:rFonts w:ascii="Arial" w:hAnsi="Arial" w:cs="Arial"/>
          <w:sz w:val="24"/>
          <w:szCs w:val="24"/>
        </w:rPr>
        <w:t>General is based on the information she obtained from persons whose evidence is not before court. It therefore follows that there is</w:t>
      </w:r>
      <w:r w:rsidR="00F8484A" w:rsidRPr="002547FB">
        <w:rPr>
          <w:rFonts w:ascii="Arial" w:hAnsi="Arial" w:cs="Arial"/>
          <w:sz w:val="24"/>
          <w:szCs w:val="24"/>
        </w:rPr>
        <w:t xml:space="preserve"> no admissible evidence that</w:t>
      </w:r>
      <w:r w:rsidR="00E56105" w:rsidRPr="002547FB">
        <w:rPr>
          <w:rFonts w:ascii="Arial" w:hAnsi="Arial" w:cs="Arial"/>
          <w:sz w:val="24"/>
          <w:szCs w:val="24"/>
        </w:rPr>
        <w:t xml:space="preserve"> Mr Kamunguma or Mr Olenga made any misrepresentations </w:t>
      </w:r>
      <w:r w:rsidR="00B06E85" w:rsidRPr="002547FB">
        <w:rPr>
          <w:rFonts w:ascii="Arial" w:hAnsi="Arial" w:cs="Arial"/>
          <w:sz w:val="24"/>
          <w:szCs w:val="24"/>
        </w:rPr>
        <w:t xml:space="preserve">to First </w:t>
      </w:r>
      <w:r w:rsidR="00E56105" w:rsidRPr="002547FB">
        <w:rPr>
          <w:rFonts w:ascii="Arial" w:hAnsi="Arial" w:cs="Arial"/>
          <w:sz w:val="24"/>
          <w:szCs w:val="24"/>
        </w:rPr>
        <w:t xml:space="preserve">National Bank </w:t>
      </w:r>
      <w:r w:rsidR="00B06E85" w:rsidRPr="002547FB">
        <w:rPr>
          <w:rFonts w:ascii="Arial" w:hAnsi="Arial" w:cs="Arial"/>
          <w:sz w:val="24"/>
          <w:szCs w:val="24"/>
        </w:rPr>
        <w:t>and</w:t>
      </w:r>
      <w:r w:rsidR="00E56105" w:rsidRPr="002547FB">
        <w:rPr>
          <w:rFonts w:ascii="Arial" w:hAnsi="Arial" w:cs="Arial"/>
          <w:sz w:val="24"/>
          <w:szCs w:val="24"/>
        </w:rPr>
        <w:t xml:space="preserve"> thus </w:t>
      </w:r>
      <w:r w:rsidR="00B06E85" w:rsidRPr="002547FB">
        <w:rPr>
          <w:rFonts w:ascii="Arial" w:hAnsi="Arial" w:cs="Arial"/>
          <w:sz w:val="24"/>
          <w:szCs w:val="24"/>
        </w:rPr>
        <w:t>committed</w:t>
      </w:r>
      <w:r w:rsidR="00E56105" w:rsidRPr="002547FB">
        <w:rPr>
          <w:rFonts w:ascii="Arial" w:hAnsi="Arial" w:cs="Arial"/>
          <w:sz w:val="24"/>
          <w:szCs w:val="24"/>
        </w:rPr>
        <w:t xml:space="preserve"> fraud on FNB</w:t>
      </w:r>
      <w:r w:rsidR="00B06E85" w:rsidRPr="002547FB">
        <w:rPr>
          <w:rFonts w:ascii="Arial" w:hAnsi="Arial" w:cs="Arial"/>
          <w:sz w:val="24"/>
          <w:szCs w:val="24"/>
        </w:rPr>
        <w:t xml:space="preserve">. </w:t>
      </w:r>
    </w:p>
    <w:p w:rsidR="006853C8" w:rsidRPr="002547FB" w:rsidRDefault="006853C8" w:rsidP="00DB5CDB">
      <w:pPr>
        <w:spacing w:after="0" w:line="360" w:lineRule="auto"/>
        <w:jc w:val="both"/>
        <w:rPr>
          <w:rFonts w:ascii="Arial" w:hAnsi="Arial" w:cs="Arial"/>
          <w:sz w:val="24"/>
          <w:szCs w:val="24"/>
        </w:rPr>
      </w:pPr>
    </w:p>
    <w:p w:rsidR="006853C8" w:rsidRPr="002547FB" w:rsidRDefault="00700FDA" w:rsidP="00DB5CDB">
      <w:pPr>
        <w:spacing w:after="0" w:line="360" w:lineRule="auto"/>
        <w:jc w:val="both"/>
        <w:rPr>
          <w:rFonts w:ascii="Arial" w:hAnsi="Arial" w:cs="Arial"/>
          <w:sz w:val="24"/>
          <w:szCs w:val="24"/>
        </w:rPr>
      </w:pPr>
      <w:r w:rsidRPr="002547FB">
        <w:rPr>
          <w:rFonts w:ascii="Arial" w:hAnsi="Arial" w:cs="Arial"/>
          <w:sz w:val="24"/>
          <w:szCs w:val="24"/>
        </w:rPr>
        <w:t>[5</w:t>
      </w:r>
      <w:r w:rsidR="004114FB" w:rsidRPr="002547FB">
        <w:rPr>
          <w:rFonts w:ascii="Arial" w:hAnsi="Arial" w:cs="Arial"/>
          <w:sz w:val="24"/>
          <w:szCs w:val="24"/>
        </w:rPr>
        <w:t>5</w:t>
      </w:r>
      <w:r w:rsidR="006853C8" w:rsidRPr="002547FB">
        <w:rPr>
          <w:rFonts w:ascii="Arial" w:hAnsi="Arial" w:cs="Arial"/>
          <w:sz w:val="24"/>
          <w:szCs w:val="24"/>
        </w:rPr>
        <w:t>]</w:t>
      </w:r>
      <w:r w:rsidR="006853C8" w:rsidRPr="002547FB">
        <w:rPr>
          <w:rFonts w:ascii="Arial" w:hAnsi="Arial" w:cs="Arial"/>
          <w:sz w:val="24"/>
          <w:szCs w:val="24"/>
        </w:rPr>
        <w:tab/>
      </w:r>
      <w:r w:rsidR="001A1DEE" w:rsidRPr="002547FB">
        <w:rPr>
          <w:rFonts w:ascii="Arial" w:hAnsi="Arial" w:cs="Arial"/>
          <w:sz w:val="24"/>
          <w:szCs w:val="24"/>
        </w:rPr>
        <w:t>From the test formulated above</w:t>
      </w:r>
      <w:r w:rsidR="00F8484A" w:rsidRPr="002547FB">
        <w:rPr>
          <w:rFonts w:ascii="Arial" w:hAnsi="Arial" w:cs="Arial"/>
          <w:sz w:val="24"/>
          <w:szCs w:val="24"/>
        </w:rPr>
        <w:t>,</w:t>
      </w:r>
      <w:r w:rsidR="001A1DEE" w:rsidRPr="002547FB">
        <w:rPr>
          <w:rFonts w:ascii="Arial" w:hAnsi="Arial" w:cs="Arial"/>
          <w:sz w:val="24"/>
          <w:szCs w:val="24"/>
        </w:rPr>
        <w:t xml:space="preserve"> it is clear that </w:t>
      </w:r>
      <w:r w:rsidR="00574299" w:rsidRPr="002547FB">
        <w:rPr>
          <w:rFonts w:ascii="Arial" w:hAnsi="Arial" w:cs="Arial"/>
          <w:sz w:val="24"/>
          <w:szCs w:val="24"/>
        </w:rPr>
        <w:t>to establish 'instrumentality' there must be a scheduled offence</w:t>
      </w:r>
      <w:r w:rsidR="00F8484A" w:rsidRPr="002547FB">
        <w:rPr>
          <w:rFonts w:ascii="Arial" w:hAnsi="Arial" w:cs="Arial"/>
          <w:sz w:val="24"/>
          <w:szCs w:val="24"/>
        </w:rPr>
        <w:t>.</w:t>
      </w:r>
      <w:r w:rsidR="001A1DEE" w:rsidRPr="002547FB">
        <w:rPr>
          <w:rFonts w:ascii="Arial" w:hAnsi="Arial" w:cs="Arial"/>
          <w:sz w:val="24"/>
          <w:szCs w:val="24"/>
        </w:rPr>
        <w:t xml:space="preserve"> </w:t>
      </w:r>
      <w:r w:rsidR="006853C8" w:rsidRPr="002547FB">
        <w:rPr>
          <w:rFonts w:ascii="Arial" w:hAnsi="Arial" w:cs="Arial"/>
          <w:sz w:val="24"/>
          <w:szCs w:val="24"/>
        </w:rPr>
        <w:t xml:space="preserve">The Prosecutor General did not at any stage </w:t>
      </w:r>
      <w:r w:rsidR="001A1DEE" w:rsidRPr="002547FB">
        <w:rPr>
          <w:rFonts w:ascii="Arial" w:hAnsi="Arial" w:cs="Arial"/>
          <w:sz w:val="24"/>
          <w:szCs w:val="24"/>
        </w:rPr>
        <w:t>in her, affidavit, claim</w:t>
      </w:r>
      <w:r w:rsidR="006853C8" w:rsidRPr="002547FB">
        <w:rPr>
          <w:rFonts w:ascii="Arial" w:hAnsi="Arial" w:cs="Arial"/>
          <w:sz w:val="24"/>
          <w:szCs w:val="24"/>
        </w:rPr>
        <w:t xml:space="preserve"> </w:t>
      </w:r>
      <w:r w:rsidR="00F8484A" w:rsidRPr="002547FB">
        <w:rPr>
          <w:rFonts w:ascii="Arial" w:hAnsi="Arial" w:cs="Arial"/>
          <w:sz w:val="24"/>
          <w:szCs w:val="24"/>
        </w:rPr>
        <w:t xml:space="preserve">that the funds originated from </w:t>
      </w:r>
      <w:r w:rsidR="006853C8" w:rsidRPr="002547FB">
        <w:rPr>
          <w:rFonts w:ascii="Arial" w:hAnsi="Arial" w:cs="Arial"/>
          <w:sz w:val="24"/>
          <w:szCs w:val="24"/>
        </w:rPr>
        <w:t xml:space="preserve">unlawful activities by </w:t>
      </w:r>
      <w:r w:rsidR="00F8484A" w:rsidRPr="002547FB">
        <w:rPr>
          <w:rFonts w:ascii="Arial" w:hAnsi="Arial" w:cs="Arial"/>
          <w:sz w:val="24"/>
          <w:szCs w:val="24"/>
        </w:rPr>
        <w:t xml:space="preserve">Mr </w:t>
      </w:r>
      <w:r w:rsidR="006853C8" w:rsidRPr="002547FB">
        <w:rPr>
          <w:rFonts w:ascii="Arial" w:hAnsi="Arial" w:cs="Arial"/>
          <w:sz w:val="24"/>
          <w:szCs w:val="24"/>
        </w:rPr>
        <w:t>Kamunguma</w:t>
      </w:r>
      <w:r w:rsidR="00574299" w:rsidRPr="002547FB">
        <w:rPr>
          <w:rFonts w:ascii="Arial" w:hAnsi="Arial" w:cs="Arial"/>
          <w:sz w:val="24"/>
          <w:szCs w:val="24"/>
        </w:rPr>
        <w:t xml:space="preserve"> or any other person</w:t>
      </w:r>
      <w:r w:rsidR="00F8484A" w:rsidRPr="002547FB">
        <w:rPr>
          <w:rFonts w:ascii="Arial" w:hAnsi="Arial" w:cs="Arial"/>
          <w:sz w:val="24"/>
          <w:szCs w:val="24"/>
        </w:rPr>
        <w:t>,</w:t>
      </w:r>
      <w:r w:rsidR="00574299" w:rsidRPr="002547FB">
        <w:rPr>
          <w:rFonts w:ascii="Arial" w:hAnsi="Arial" w:cs="Arial"/>
          <w:sz w:val="24"/>
          <w:szCs w:val="24"/>
        </w:rPr>
        <w:t xml:space="preserve"> nor did she point to the commission of a scheduled offence.</w:t>
      </w:r>
      <w:r w:rsidR="006853C8" w:rsidRPr="002547FB">
        <w:rPr>
          <w:rFonts w:ascii="Arial" w:hAnsi="Arial" w:cs="Arial"/>
          <w:sz w:val="24"/>
          <w:szCs w:val="24"/>
        </w:rPr>
        <w:t xml:space="preserve"> </w:t>
      </w:r>
      <w:r w:rsidR="00B06E85" w:rsidRPr="002547FB">
        <w:rPr>
          <w:rFonts w:ascii="Arial" w:hAnsi="Arial" w:cs="Arial"/>
          <w:sz w:val="24"/>
          <w:szCs w:val="24"/>
        </w:rPr>
        <w:t xml:space="preserve">There is equally </w:t>
      </w:r>
      <w:r w:rsidR="00E56105" w:rsidRPr="002547FB">
        <w:rPr>
          <w:rFonts w:ascii="Arial" w:hAnsi="Arial" w:cs="Arial"/>
          <w:sz w:val="24"/>
          <w:szCs w:val="24"/>
        </w:rPr>
        <w:t>no evidence tha</w:t>
      </w:r>
      <w:r w:rsidR="00B06E85" w:rsidRPr="002547FB">
        <w:rPr>
          <w:rFonts w:ascii="Arial" w:hAnsi="Arial" w:cs="Arial"/>
          <w:sz w:val="24"/>
          <w:szCs w:val="24"/>
        </w:rPr>
        <w:t>t Mr Olenga diverted the payment of the money to Mr Kamunguma’s account in order to avoid paying tax in the Democratic Republic of the Congo.</w:t>
      </w:r>
      <w:r w:rsidR="006853C8" w:rsidRPr="002547FB">
        <w:rPr>
          <w:rFonts w:ascii="Arial" w:hAnsi="Arial" w:cs="Arial"/>
          <w:sz w:val="24"/>
          <w:szCs w:val="24"/>
        </w:rPr>
        <w:t xml:space="preserve"> This argument was based on inference there is no iota of evidence in that regard.</w:t>
      </w:r>
    </w:p>
    <w:p w:rsidR="00F374B3" w:rsidRPr="002547FB" w:rsidRDefault="00F374B3" w:rsidP="00DB5CDB">
      <w:pPr>
        <w:spacing w:after="0" w:line="360" w:lineRule="auto"/>
        <w:jc w:val="both"/>
        <w:rPr>
          <w:rFonts w:ascii="Arial" w:hAnsi="Arial" w:cs="Arial"/>
          <w:sz w:val="24"/>
          <w:szCs w:val="24"/>
        </w:rPr>
      </w:pPr>
    </w:p>
    <w:p w:rsidR="0096358E" w:rsidRPr="002547FB" w:rsidRDefault="006853C8" w:rsidP="00DB5CDB">
      <w:pPr>
        <w:spacing w:after="0" w:line="360" w:lineRule="auto"/>
        <w:jc w:val="both"/>
        <w:rPr>
          <w:rFonts w:ascii="Arial" w:hAnsi="Arial" w:cs="Arial"/>
          <w:sz w:val="24"/>
          <w:szCs w:val="24"/>
        </w:rPr>
      </w:pPr>
      <w:r w:rsidRPr="002547FB">
        <w:rPr>
          <w:rFonts w:ascii="Arial" w:hAnsi="Arial" w:cs="Arial"/>
          <w:sz w:val="24"/>
          <w:szCs w:val="24"/>
        </w:rPr>
        <w:t>[5</w:t>
      </w:r>
      <w:r w:rsidR="004114FB" w:rsidRPr="002547FB">
        <w:rPr>
          <w:rFonts w:ascii="Arial" w:hAnsi="Arial" w:cs="Arial"/>
          <w:sz w:val="24"/>
          <w:szCs w:val="24"/>
        </w:rPr>
        <w:t>6</w:t>
      </w:r>
      <w:r w:rsidRPr="002547FB">
        <w:rPr>
          <w:rFonts w:ascii="Arial" w:hAnsi="Arial" w:cs="Arial"/>
          <w:sz w:val="24"/>
          <w:szCs w:val="24"/>
        </w:rPr>
        <w:t>]</w:t>
      </w:r>
      <w:r w:rsidRPr="002547FB">
        <w:rPr>
          <w:rFonts w:ascii="Arial" w:hAnsi="Arial" w:cs="Arial"/>
          <w:sz w:val="24"/>
          <w:szCs w:val="24"/>
        </w:rPr>
        <w:tab/>
        <w:t>Mr Olenga explained that the funds were from his legitimate business in the Dem</w:t>
      </w:r>
      <w:r w:rsidR="00F8484A" w:rsidRPr="002547FB">
        <w:rPr>
          <w:rFonts w:ascii="Arial" w:hAnsi="Arial" w:cs="Arial"/>
          <w:sz w:val="24"/>
          <w:szCs w:val="24"/>
        </w:rPr>
        <w:t>ocratic Republic of the Congo. H</w:t>
      </w:r>
      <w:r w:rsidRPr="002547FB">
        <w:rPr>
          <w:rFonts w:ascii="Arial" w:hAnsi="Arial" w:cs="Arial"/>
          <w:sz w:val="24"/>
          <w:szCs w:val="24"/>
        </w:rPr>
        <w:t>e explained that he had concluded a contract to purchase trucks from a Chinese Company and that when the agreement to purchase the trucks fell through and was cancelled, he directed that the funds be paid into the account of Mr Kamunguma in order for them to start a business together.</w:t>
      </w:r>
    </w:p>
    <w:p w:rsidR="001A1DEE" w:rsidRPr="002547FB" w:rsidRDefault="001A1DEE" w:rsidP="00DB5CDB">
      <w:pPr>
        <w:spacing w:after="0" w:line="360" w:lineRule="auto"/>
        <w:jc w:val="both"/>
        <w:rPr>
          <w:rFonts w:ascii="Arial" w:hAnsi="Arial" w:cs="Arial"/>
          <w:sz w:val="24"/>
          <w:szCs w:val="24"/>
        </w:rPr>
      </w:pPr>
    </w:p>
    <w:p w:rsidR="00B06E85" w:rsidRPr="002547FB" w:rsidRDefault="0096358E" w:rsidP="001A1DEE">
      <w:pPr>
        <w:spacing w:after="0" w:line="360" w:lineRule="auto"/>
        <w:jc w:val="both"/>
        <w:rPr>
          <w:rFonts w:ascii="Arial" w:hAnsi="Arial" w:cs="Arial"/>
          <w:sz w:val="24"/>
          <w:szCs w:val="24"/>
        </w:rPr>
      </w:pPr>
      <w:r w:rsidRPr="002547FB">
        <w:rPr>
          <w:rFonts w:ascii="Arial" w:hAnsi="Arial" w:cs="Arial"/>
          <w:sz w:val="24"/>
          <w:szCs w:val="24"/>
        </w:rPr>
        <w:t>[5</w:t>
      </w:r>
      <w:r w:rsidR="004114FB" w:rsidRPr="002547FB">
        <w:rPr>
          <w:rFonts w:ascii="Arial" w:hAnsi="Arial" w:cs="Arial"/>
          <w:sz w:val="24"/>
          <w:szCs w:val="24"/>
        </w:rPr>
        <w:t>7</w:t>
      </w:r>
      <w:r w:rsidRPr="002547FB">
        <w:rPr>
          <w:rFonts w:ascii="Arial" w:hAnsi="Arial" w:cs="Arial"/>
          <w:sz w:val="24"/>
          <w:szCs w:val="24"/>
        </w:rPr>
        <w:t>]</w:t>
      </w:r>
      <w:r w:rsidRPr="002547FB">
        <w:rPr>
          <w:rFonts w:ascii="Arial" w:hAnsi="Arial" w:cs="Arial"/>
          <w:sz w:val="24"/>
          <w:szCs w:val="24"/>
        </w:rPr>
        <w:tab/>
        <w:t>The Prosecutor</w:t>
      </w:r>
      <w:r w:rsidR="004114FB" w:rsidRPr="002547FB">
        <w:rPr>
          <w:rFonts w:ascii="Arial" w:hAnsi="Arial" w:cs="Arial"/>
          <w:sz w:val="24"/>
          <w:szCs w:val="24"/>
        </w:rPr>
        <w:t>-</w:t>
      </w:r>
      <w:r w:rsidRPr="002547FB">
        <w:rPr>
          <w:rFonts w:ascii="Arial" w:hAnsi="Arial" w:cs="Arial"/>
          <w:sz w:val="24"/>
          <w:szCs w:val="24"/>
        </w:rPr>
        <w:t>General pointed</w:t>
      </w:r>
      <w:r w:rsidR="006853C8" w:rsidRPr="002547FB">
        <w:rPr>
          <w:rFonts w:ascii="Arial" w:hAnsi="Arial" w:cs="Arial"/>
          <w:sz w:val="24"/>
          <w:szCs w:val="24"/>
        </w:rPr>
        <w:t xml:space="preserve"> out that </w:t>
      </w:r>
      <w:r w:rsidRPr="002547FB">
        <w:rPr>
          <w:rFonts w:ascii="Arial" w:hAnsi="Arial" w:cs="Arial"/>
          <w:sz w:val="24"/>
          <w:szCs w:val="24"/>
        </w:rPr>
        <w:t xml:space="preserve">Mr Kamunguma failed to explain the differences in the explanations to FNB as to the sources or </w:t>
      </w:r>
      <w:r w:rsidR="006853C8" w:rsidRPr="002547FB">
        <w:rPr>
          <w:rFonts w:ascii="Arial" w:hAnsi="Arial" w:cs="Arial"/>
          <w:sz w:val="24"/>
          <w:szCs w:val="24"/>
        </w:rPr>
        <w:t xml:space="preserve">origin of the funds. </w:t>
      </w:r>
      <w:r w:rsidR="001A1DEE" w:rsidRPr="002547FB">
        <w:rPr>
          <w:rFonts w:ascii="Arial" w:hAnsi="Arial" w:cs="Arial"/>
          <w:sz w:val="24"/>
          <w:szCs w:val="24"/>
        </w:rPr>
        <w:t xml:space="preserve">But she does not deal with Mr Olenga’s explanation. </w:t>
      </w:r>
      <w:r w:rsidR="006853C8" w:rsidRPr="002547FB">
        <w:rPr>
          <w:rFonts w:ascii="Arial" w:hAnsi="Arial" w:cs="Arial"/>
          <w:sz w:val="24"/>
          <w:szCs w:val="24"/>
        </w:rPr>
        <w:t xml:space="preserve">It is also true, that the legitimacy of the funds was a matter peculiarly within </w:t>
      </w:r>
      <w:r w:rsidR="00F8484A" w:rsidRPr="002547FB">
        <w:rPr>
          <w:rFonts w:ascii="Arial" w:hAnsi="Arial" w:cs="Arial"/>
          <w:sz w:val="24"/>
          <w:szCs w:val="24"/>
        </w:rPr>
        <w:t xml:space="preserve">Mr </w:t>
      </w:r>
      <w:r w:rsidR="001A1DEE" w:rsidRPr="002547FB">
        <w:rPr>
          <w:rFonts w:ascii="Arial" w:hAnsi="Arial" w:cs="Arial"/>
          <w:sz w:val="24"/>
          <w:szCs w:val="24"/>
        </w:rPr>
        <w:t xml:space="preserve">Kamunguma or </w:t>
      </w:r>
      <w:r w:rsidR="00F8484A" w:rsidRPr="002547FB">
        <w:rPr>
          <w:rFonts w:ascii="Arial" w:hAnsi="Arial" w:cs="Arial"/>
          <w:sz w:val="24"/>
          <w:szCs w:val="24"/>
        </w:rPr>
        <w:t xml:space="preserve">Mr </w:t>
      </w:r>
      <w:r w:rsidR="001A1DEE" w:rsidRPr="002547FB">
        <w:rPr>
          <w:rFonts w:ascii="Arial" w:hAnsi="Arial" w:cs="Arial"/>
          <w:sz w:val="24"/>
          <w:szCs w:val="24"/>
        </w:rPr>
        <w:t>Olenga’s knowledge</w:t>
      </w:r>
      <w:r w:rsidR="006853C8" w:rsidRPr="002547FB">
        <w:rPr>
          <w:rFonts w:ascii="Arial" w:hAnsi="Arial" w:cs="Arial"/>
          <w:sz w:val="24"/>
          <w:szCs w:val="24"/>
        </w:rPr>
        <w:t xml:space="preserve">. </w:t>
      </w:r>
      <w:r w:rsidR="001A1DEE" w:rsidRPr="002547FB">
        <w:rPr>
          <w:rFonts w:ascii="Arial" w:hAnsi="Arial" w:cs="Arial"/>
          <w:sz w:val="24"/>
          <w:szCs w:val="24"/>
        </w:rPr>
        <w:lastRenderedPageBreak/>
        <w:t xml:space="preserve">I am of the view </w:t>
      </w:r>
      <w:r w:rsidR="006853C8" w:rsidRPr="002547FB">
        <w:rPr>
          <w:rFonts w:ascii="Arial" w:hAnsi="Arial" w:cs="Arial"/>
          <w:sz w:val="24"/>
          <w:szCs w:val="24"/>
        </w:rPr>
        <w:t xml:space="preserve">that the </w:t>
      </w:r>
      <w:r w:rsidR="00F8484A" w:rsidRPr="002547FB">
        <w:rPr>
          <w:rFonts w:ascii="Arial" w:hAnsi="Arial" w:cs="Arial"/>
          <w:sz w:val="24"/>
          <w:szCs w:val="24"/>
        </w:rPr>
        <w:t>Prosecutor-</w:t>
      </w:r>
      <w:r w:rsidR="001A1DEE" w:rsidRPr="002547FB">
        <w:rPr>
          <w:rFonts w:ascii="Arial" w:hAnsi="Arial" w:cs="Arial"/>
          <w:sz w:val="24"/>
          <w:szCs w:val="24"/>
        </w:rPr>
        <w:t>General’s</w:t>
      </w:r>
      <w:r w:rsidR="006853C8" w:rsidRPr="002547FB">
        <w:rPr>
          <w:rFonts w:ascii="Arial" w:hAnsi="Arial" w:cs="Arial"/>
          <w:sz w:val="24"/>
          <w:szCs w:val="24"/>
        </w:rPr>
        <w:t xml:space="preserve"> contention that those funds must by probable inference be inferred to derive from unlawful activities </w:t>
      </w:r>
      <w:r w:rsidR="001A1DEE" w:rsidRPr="002547FB">
        <w:rPr>
          <w:rFonts w:ascii="Arial" w:hAnsi="Arial" w:cs="Arial"/>
          <w:sz w:val="24"/>
          <w:szCs w:val="24"/>
        </w:rPr>
        <w:t>as founded on conjecture and speculation.</w:t>
      </w:r>
      <w:r w:rsidR="006853C8" w:rsidRPr="002547FB">
        <w:rPr>
          <w:rFonts w:ascii="Arial" w:hAnsi="Arial" w:cs="Arial"/>
          <w:sz w:val="24"/>
          <w:szCs w:val="24"/>
        </w:rPr>
        <w:t xml:space="preserve"> </w:t>
      </w:r>
    </w:p>
    <w:p w:rsidR="00B06E85" w:rsidRPr="002547FB" w:rsidRDefault="00B06E85" w:rsidP="00FB2450">
      <w:pPr>
        <w:tabs>
          <w:tab w:val="left" w:pos="720"/>
        </w:tabs>
        <w:spacing w:after="0" w:line="360" w:lineRule="auto"/>
        <w:jc w:val="both"/>
        <w:rPr>
          <w:rFonts w:ascii="Arial" w:hAnsi="Arial" w:cs="Arial"/>
          <w:sz w:val="24"/>
          <w:szCs w:val="24"/>
        </w:rPr>
      </w:pPr>
    </w:p>
    <w:p w:rsidR="001A1DEE" w:rsidRPr="002547FB" w:rsidRDefault="001A1DEE" w:rsidP="001A1DEE">
      <w:pPr>
        <w:spacing w:after="0" w:line="360" w:lineRule="auto"/>
        <w:jc w:val="both"/>
        <w:rPr>
          <w:rFonts w:ascii="Arial" w:hAnsi="Arial" w:cs="Arial"/>
          <w:sz w:val="24"/>
          <w:szCs w:val="24"/>
          <w:u w:val="single"/>
        </w:rPr>
      </w:pPr>
      <w:r w:rsidRPr="002547FB">
        <w:rPr>
          <w:rFonts w:ascii="Arial" w:hAnsi="Arial" w:cs="Arial"/>
          <w:sz w:val="24"/>
          <w:szCs w:val="24"/>
          <w:u w:val="single"/>
        </w:rPr>
        <w:t>Has the Prosecutor General succeeded to prove that the funds are the proceeds of unlawful activities</w:t>
      </w:r>
      <w:r w:rsidRPr="002547FB">
        <w:rPr>
          <w:rFonts w:ascii="Arial" w:hAnsi="Arial" w:cs="Arial"/>
          <w:i/>
          <w:sz w:val="24"/>
          <w:szCs w:val="24"/>
          <w:u w:val="single"/>
        </w:rPr>
        <w:t>?</w:t>
      </w:r>
    </w:p>
    <w:p w:rsidR="00244481" w:rsidRPr="002547FB" w:rsidRDefault="00244481" w:rsidP="00FC0241">
      <w:pPr>
        <w:pStyle w:val="ListParagraph"/>
        <w:ind w:left="0"/>
        <w:jc w:val="both"/>
        <w:rPr>
          <w:rFonts w:ascii="Arial" w:hAnsi="Arial" w:cs="Arial"/>
          <w:sz w:val="24"/>
          <w:szCs w:val="24"/>
        </w:rPr>
      </w:pPr>
    </w:p>
    <w:p w:rsidR="00FC0241" w:rsidRPr="002547FB" w:rsidRDefault="00FC0241" w:rsidP="00FC0241">
      <w:pPr>
        <w:pStyle w:val="ListParagraph"/>
        <w:ind w:left="0"/>
        <w:jc w:val="both"/>
        <w:rPr>
          <w:rFonts w:ascii="Arial" w:hAnsi="Arial" w:cs="Arial"/>
          <w:sz w:val="24"/>
          <w:szCs w:val="24"/>
        </w:rPr>
      </w:pPr>
      <w:r w:rsidRPr="002547FB">
        <w:rPr>
          <w:rFonts w:ascii="Arial" w:hAnsi="Arial" w:cs="Arial"/>
          <w:sz w:val="24"/>
          <w:szCs w:val="24"/>
        </w:rPr>
        <w:t>[5</w:t>
      </w:r>
      <w:r w:rsidR="005F35C2" w:rsidRPr="002547FB">
        <w:rPr>
          <w:rFonts w:ascii="Arial" w:hAnsi="Arial" w:cs="Arial"/>
          <w:sz w:val="24"/>
          <w:szCs w:val="24"/>
        </w:rPr>
        <w:t>8</w:t>
      </w:r>
      <w:r w:rsidRPr="002547FB">
        <w:rPr>
          <w:rFonts w:ascii="Arial" w:hAnsi="Arial" w:cs="Arial"/>
          <w:sz w:val="24"/>
          <w:szCs w:val="24"/>
        </w:rPr>
        <w:t>]</w:t>
      </w:r>
      <w:r w:rsidRPr="002547FB">
        <w:rPr>
          <w:rFonts w:ascii="Arial" w:hAnsi="Arial" w:cs="Arial"/>
          <w:sz w:val="24"/>
          <w:szCs w:val="24"/>
        </w:rPr>
        <w:tab/>
        <w:t>The Act defines 'proceeds of unlawful activities' as meaning</w:t>
      </w:r>
      <w:r w:rsidR="00FD11FB" w:rsidRPr="002547FB">
        <w:rPr>
          <w:rFonts w:ascii="Arial" w:hAnsi="Arial" w:cs="Arial"/>
          <w:sz w:val="24"/>
          <w:szCs w:val="24"/>
        </w:rPr>
        <w:t>:</w:t>
      </w:r>
    </w:p>
    <w:p w:rsidR="00FC0241" w:rsidRPr="002547FB" w:rsidRDefault="00FC0241" w:rsidP="00FC0241">
      <w:pPr>
        <w:pStyle w:val="ListParagraph"/>
        <w:ind w:left="0"/>
        <w:jc w:val="both"/>
        <w:rPr>
          <w:rFonts w:ascii="Arial" w:hAnsi="Arial" w:cs="Arial"/>
          <w:sz w:val="24"/>
          <w:szCs w:val="24"/>
        </w:rPr>
      </w:pPr>
    </w:p>
    <w:p w:rsidR="00FD11FB" w:rsidRPr="002547FB" w:rsidRDefault="00FD11FB" w:rsidP="00FD11FB">
      <w:pPr>
        <w:spacing w:after="0" w:line="360" w:lineRule="auto"/>
        <w:ind w:firstLine="720"/>
        <w:jc w:val="both"/>
        <w:rPr>
          <w:rFonts w:ascii="Arial" w:hAnsi="Arial" w:cs="Arial"/>
          <w:sz w:val="24"/>
          <w:szCs w:val="24"/>
        </w:rPr>
      </w:pPr>
      <w:r w:rsidRPr="002547FB">
        <w:rPr>
          <w:rFonts w:ascii="Arial" w:hAnsi="Arial" w:cs="Arial"/>
          <w:sz w:val="24"/>
          <w:szCs w:val="24"/>
        </w:rPr>
        <w:t xml:space="preserve">‘any property or any service, advantage, benefit or reward that was derived, received or retained, directly or indirectly in Namibia or elsewhere, at any time before or after the commencement of this Act, </w:t>
      </w:r>
      <w:r w:rsidRPr="002547FB">
        <w:rPr>
          <w:rFonts w:ascii="Arial" w:hAnsi="Arial" w:cs="Arial"/>
          <w:i/>
          <w:sz w:val="24"/>
          <w:szCs w:val="24"/>
        </w:rPr>
        <w:t>in connection</w:t>
      </w:r>
      <w:r w:rsidRPr="002547FB">
        <w:rPr>
          <w:rFonts w:ascii="Arial" w:hAnsi="Arial" w:cs="Arial"/>
          <w:sz w:val="24"/>
          <w:szCs w:val="24"/>
        </w:rPr>
        <w:t xml:space="preserve"> with or as a result of any unlawful activity carried on by any person, and includes any property representing property so derived and includes property which is mingled with property that is proceeds of unlawful activity’</w:t>
      </w:r>
      <w:r w:rsidR="00F8484A" w:rsidRPr="002547FB">
        <w:rPr>
          <w:rFonts w:ascii="Arial" w:hAnsi="Arial" w:cs="Arial"/>
          <w:sz w:val="24"/>
          <w:szCs w:val="24"/>
        </w:rPr>
        <w:t xml:space="preserve"> (own emphasis)</w:t>
      </w:r>
    </w:p>
    <w:p w:rsidR="00FD11FB" w:rsidRPr="002547FB" w:rsidRDefault="00FD11FB" w:rsidP="00FD11FB">
      <w:pPr>
        <w:spacing w:after="0" w:line="360" w:lineRule="auto"/>
        <w:jc w:val="both"/>
        <w:rPr>
          <w:rFonts w:ascii="Arial" w:hAnsi="Arial" w:cs="Arial"/>
          <w:sz w:val="24"/>
          <w:szCs w:val="24"/>
        </w:rPr>
      </w:pPr>
    </w:p>
    <w:p w:rsidR="00FD11FB" w:rsidRPr="002547FB" w:rsidRDefault="00FD11FB" w:rsidP="00FD11FB">
      <w:pPr>
        <w:spacing w:after="0" w:line="360" w:lineRule="auto"/>
        <w:jc w:val="both"/>
        <w:rPr>
          <w:rFonts w:ascii="Arial" w:hAnsi="Arial" w:cs="Arial"/>
          <w:sz w:val="24"/>
          <w:szCs w:val="24"/>
        </w:rPr>
      </w:pPr>
      <w:r w:rsidRPr="002547FB">
        <w:rPr>
          <w:rFonts w:ascii="Arial" w:hAnsi="Arial" w:cs="Arial"/>
          <w:sz w:val="24"/>
          <w:szCs w:val="24"/>
        </w:rPr>
        <w:t>[5</w:t>
      </w:r>
      <w:r w:rsidR="005F35C2" w:rsidRPr="002547FB">
        <w:rPr>
          <w:rFonts w:ascii="Arial" w:hAnsi="Arial" w:cs="Arial"/>
          <w:sz w:val="24"/>
          <w:szCs w:val="24"/>
        </w:rPr>
        <w:t>9</w:t>
      </w:r>
      <w:r w:rsidRPr="002547FB">
        <w:rPr>
          <w:rFonts w:ascii="Arial" w:hAnsi="Arial" w:cs="Arial"/>
          <w:sz w:val="24"/>
          <w:szCs w:val="24"/>
        </w:rPr>
        <w:t>]</w:t>
      </w:r>
      <w:r w:rsidRPr="002547FB">
        <w:rPr>
          <w:rFonts w:ascii="Arial" w:hAnsi="Arial" w:cs="Arial"/>
          <w:sz w:val="24"/>
          <w:szCs w:val="24"/>
        </w:rPr>
        <w:tab/>
        <w:t>I am similarly of the view that in order in order to establish that the property constitute</w:t>
      </w:r>
      <w:r w:rsidR="00F8484A" w:rsidRPr="002547FB">
        <w:rPr>
          <w:rFonts w:ascii="Arial" w:hAnsi="Arial" w:cs="Arial"/>
          <w:sz w:val="24"/>
          <w:szCs w:val="24"/>
        </w:rPr>
        <w:t>s</w:t>
      </w:r>
      <w:r w:rsidRPr="002547FB">
        <w:rPr>
          <w:rFonts w:ascii="Arial" w:hAnsi="Arial" w:cs="Arial"/>
          <w:sz w:val="24"/>
          <w:szCs w:val="24"/>
        </w:rPr>
        <w:t xml:space="preserve"> proceeds of u</w:t>
      </w:r>
      <w:r w:rsidR="00F8484A" w:rsidRPr="002547FB">
        <w:rPr>
          <w:rFonts w:ascii="Arial" w:hAnsi="Arial" w:cs="Arial"/>
          <w:sz w:val="24"/>
          <w:szCs w:val="24"/>
        </w:rPr>
        <w:t>nlawful activity the Prosecutor-</w:t>
      </w:r>
      <w:r w:rsidRPr="002547FB">
        <w:rPr>
          <w:rFonts w:ascii="Arial" w:hAnsi="Arial" w:cs="Arial"/>
          <w:sz w:val="24"/>
          <w:szCs w:val="24"/>
        </w:rPr>
        <w:t>General must establish that the respondents or some other persons committed some or other un</w:t>
      </w:r>
      <w:r w:rsidR="00F8484A" w:rsidRPr="002547FB">
        <w:rPr>
          <w:rFonts w:ascii="Arial" w:hAnsi="Arial" w:cs="Arial"/>
          <w:sz w:val="24"/>
          <w:szCs w:val="24"/>
        </w:rPr>
        <w:t>lawful activity. The Prosecutor-</w:t>
      </w:r>
      <w:r w:rsidRPr="002547FB">
        <w:rPr>
          <w:rFonts w:ascii="Arial" w:hAnsi="Arial" w:cs="Arial"/>
          <w:sz w:val="24"/>
          <w:szCs w:val="24"/>
        </w:rPr>
        <w:t>General has not place</w:t>
      </w:r>
      <w:r w:rsidR="00F8484A" w:rsidRPr="002547FB">
        <w:rPr>
          <w:rFonts w:ascii="Arial" w:hAnsi="Arial" w:cs="Arial"/>
          <w:sz w:val="24"/>
          <w:szCs w:val="24"/>
        </w:rPr>
        <w:t>d</w:t>
      </w:r>
      <w:r w:rsidRPr="002547FB">
        <w:rPr>
          <w:rFonts w:ascii="Arial" w:hAnsi="Arial" w:cs="Arial"/>
          <w:sz w:val="24"/>
          <w:szCs w:val="24"/>
        </w:rPr>
        <w:t xml:space="preserve"> before Court an iota of evidence pointing to the commission of an unlawful activity.</w:t>
      </w:r>
    </w:p>
    <w:p w:rsidR="00FD11FB" w:rsidRPr="002547FB" w:rsidRDefault="00FD11FB" w:rsidP="00FD11FB">
      <w:pPr>
        <w:spacing w:after="0" w:line="360" w:lineRule="auto"/>
        <w:jc w:val="both"/>
        <w:rPr>
          <w:rFonts w:ascii="Arial" w:hAnsi="Arial" w:cs="Arial"/>
          <w:sz w:val="24"/>
          <w:szCs w:val="24"/>
        </w:rPr>
      </w:pPr>
    </w:p>
    <w:p w:rsidR="000A1BE9" w:rsidRPr="002547FB" w:rsidRDefault="00FD11FB" w:rsidP="00FD11FB">
      <w:pPr>
        <w:spacing w:after="0" w:line="360" w:lineRule="auto"/>
        <w:jc w:val="both"/>
        <w:rPr>
          <w:rFonts w:ascii="Arial" w:hAnsi="Arial" w:cs="Arial"/>
          <w:sz w:val="24"/>
          <w:szCs w:val="24"/>
        </w:rPr>
      </w:pPr>
      <w:r w:rsidRPr="002547FB">
        <w:rPr>
          <w:rFonts w:ascii="Arial" w:hAnsi="Arial" w:cs="Arial"/>
          <w:sz w:val="24"/>
          <w:szCs w:val="24"/>
        </w:rPr>
        <w:t>[</w:t>
      </w:r>
      <w:r w:rsidR="005F35C2" w:rsidRPr="002547FB">
        <w:rPr>
          <w:rFonts w:ascii="Arial" w:hAnsi="Arial" w:cs="Arial"/>
          <w:sz w:val="24"/>
          <w:szCs w:val="24"/>
        </w:rPr>
        <w:t>60</w:t>
      </w:r>
      <w:r w:rsidRPr="002547FB">
        <w:rPr>
          <w:rFonts w:ascii="Arial" w:hAnsi="Arial" w:cs="Arial"/>
          <w:sz w:val="24"/>
          <w:szCs w:val="24"/>
        </w:rPr>
        <w:t>]</w:t>
      </w:r>
      <w:r w:rsidRPr="002547FB">
        <w:rPr>
          <w:rFonts w:ascii="Arial" w:hAnsi="Arial" w:cs="Arial"/>
          <w:sz w:val="24"/>
          <w:szCs w:val="24"/>
        </w:rPr>
        <w:tab/>
        <w:t xml:space="preserve">I accordingly conclude that, upon a proper construction of the Act, the preserved property does not constitute </w:t>
      </w:r>
      <w:r w:rsidR="000A1BE9" w:rsidRPr="002547FB">
        <w:rPr>
          <w:rFonts w:ascii="Arial" w:hAnsi="Arial" w:cs="Arial"/>
          <w:sz w:val="24"/>
          <w:szCs w:val="24"/>
        </w:rPr>
        <w:t xml:space="preserve">instrumentality of an offence referred to in Schedule 1of the Act or </w:t>
      </w:r>
      <w:r w:rsidRPr="002547FB">
        <w:rPr>
          <w:rFonts w:ascii="Arial" w:hAnsi="Arial" w:cs="Arial"/>
          <w:sz w:val="24"/>
          <w:szCs w:val="24"/>
        </w:rPr>
        <w:t xml:space="preserve">the proceeds of unlawful </w:t>
      </w:r>
      <w:r w:rsidR="000A1BE9" w:rsidRPr="002547FB">
        <w:rPr>
          <w:rFonts w:ascii="Arial" w:hAnsi="Arial" w:cs="Arial"/>
          <w:sz w:val="24"/>
          <w:szCs w:val="24"/>
        </w:rPr>
        <w:t>activities.</w:t>
      </w:r>
      <w:r w:rsidR="000A1BE9" w:rsidRPr="002547FB">
        <w:rPr>
          <w:rFonts w:ascii="Arial" w:hAnsi="Arial" w:cs="Arial"/>
        </w:rPr>
        <w:t xml:space="preserve"> </w:t>
      </w:r>
      <w:r w:rsidR="000A1BE9" w:rsidRPr="002547FB">
        <w:rPr>
          <w:rFonts w:ascii="Arial" w:hAnsi="Arial" w:cs="Arial"/>
          <w:sz w:val="24"/>
          <w:szCs w:val="24"/>
        </w:rPr>
        <w:t>For the reasons set out in this judgment, I conclude, therefore, that the applicant is no</w:t>
      </w:r>
      <w:r w:rsidR="00F8484A" w:rsidRPr="002547FB">
        <w:rPr>
          <w:rFonts w:ascii="Arial" w:hAnsi="Arial" w:cs="Arial"/>
          <w:sz w:val="24"/>
          <w:szCs w:val="24"/>
        </w:rPr>
        <w:t>t entitled to the order which she</w:t>
      </w:r>
      <w:r w:rsidR="000A1BE9" w:rsidRPr="002547FB">
        <w:rPr>
          <w:rFonts w:ascii="Arial" w:hAnsi="Arial" w:cs="Arial"/>
          <w:sz w:val="24"/>
          <w:szCs w:val="24"/>
        </w:rPr>
        <w:t xml:space="preserve"> seeks. </w:t>
      </w:r>
    </w:p>
    <w:p w:rsidR="000A1BE9" w:rsidRPr="002547FB" w:rsidRDefault="000A1BE9" w:rsidP="00FD11FB">
      <w:pPr>
        <w:spacing w:after="0" w:line="360" w:lineRule="auto"/>
        <w:jc w:val="both"/>
        <w:rPr>
          <w:rFonts w:ascii="Arial" w:hAnsi="Arial" w:cs="Arial"/>
          <w:sz w:val="24"/>
          <w:szCs w:val="24"/>
        </w:rPr>
      </w:pPr>
    </w:p>
    <w:p w:rsidR="000A1BE9" w:rsidRPr="002547FB" w:rsidRDefault="000A1BE9" w:rsidP="00FD11FB">
      <w:pPr>
        <w:spacing w:after="0" w:line="360" w:lineRule="auto"/>
        <w:jc w:val="both"/>
        <w:rPr>
          <w:rFonts w:ascii="Arial" w:hAnsi="Arial" w:cs="Arial"/>
          <w:sz w:val="24"/>
          <w:szCs w:val="24"/>
        </w:rPr>
      </w:pPr>
      <w:r w:rsidRPr="002547FB">
        <w:rPr>
          <w:rFonts w:ascii="Arial" w:hAnsi="Arial" w:cs="Arial"/>
          <w:sz w:val="24"/>
          <w:szCs w:val="24"/>
        </w:rPr>
        <w:t>[</w:t>
      </w:r>
      <w:r w:rsidR="005F35C2" w:rsidRPr="002547FB">
        <w:rPr>
          <w:rFonts w:ascii="Arial" w:hAnsi="Arial" w:cs="Arial"/>
          <w:sz w:val="24"/>
          <w:szCs w:val="24"/>
        </w:rPr>
        <w:t>61</w:t>
      </w:r>
      <w:r w:rsidRPr="002547FB">
        <w:rPr>
          <w:rFonts w:ascii="Arial" w:hAnsi="Arial" w:cs="Arial"/>
          <w:sz w:val="24"/>
          <w:szCs w:val="24"/>
        </w:rPr>
        <w:t>]</w:t>
      </w:r>
      <w:r w:rsidRPr="002547FB">
        <w:rPr>
          <w:rFonts w:ascii="Arial" w:hAnsi="Arial" w:cs="Arial"/>
          <w:sz w:val="24"/>
          <w:szCs w:val="24"/>
        </w:rPr>
        <w:tab/>
        <w:t>I accordingly make the following order:</w:t>
      </w:r>
    </w:p>
    <w:p w:rsidR="000A1BE9" w:rsidRPr="002547FB" w:rsidRDefault="000A1BE9" w:rsidP="00FD11FB">
      <w:pPr>
        <w:spacing w:after="0" w:line="360" w:lineRule="auto"/>
        <w:jc w:val="both"/>
        <w:rPr>
          <w:rFonts w:ascii="Arial" w:hAnsi="Arial" w:cs="Arial"/>
          <w:sz w:val="16"/>
          <w:szCs w:val="16"/>
        </w:rPr>
      </w:pPr>
    </w:p>
    <w:p w:rsidR="00FD11FB" w:rsidRPr="002547FB" w:rsidRDefault="000A1BE9" w:rsidP="00700FDA">
      <w:pPr>
        <w:pStyle w:val="ListParagraph"/>
        <w:numPr>
          <w:ilvl w:val="0"/>
          <w:numId w:val="36"/>
        </w:numPr>
        <w:spacing w:after="0" w:line="360" w:lineRule="auto"/>
        <w:ind w:hanging="720"/>
        <w:jc w:val="both"/>
        <w:rPr>
          <w:rFonts w:ascii="Arial" w:hAnsi="Arial" w:cs="Arial"/>
          <w:sz w:val="24"/>
          <w:szCs w:val="24"/>
        </w:rPr>
      </w:pPr>
      <w:r w:rsidRPr="002547FB">
        <w:rPr>
          <w:rFonts w:ascii="Arial" w:hAnsi="Arial" w:cs="Arial"/>
          <w:sz w:val="24"/>
          <w:szCs w:val="24"/>
        </w:rPr>
        <w:t>The application be dismissed.</w:t>
      </w:r>
    </w:p>
    <w:p w:rsidR="000A1BE9" w:rsidRPr="002547FB" w:rsidRDefault="000A1BE9" w:rsidP="000A1BE9">
      <w:pPr>
        <w:spacing w:after="0" w:line="360" w:lineRule="auto"/>
        <w:jc w:val="both"/>
        <w:rPr>
          <w:rFonts w:ascii="Arial" w:hAnsi="Arial" w:cs="Arial"/>
          <w:sz w:val="16"/>
          <w:szCs w:val="16"/>
        </w:rPr>
      </w:pPr>
    </w:p>
    <w:p w:rsidR="000A1BE9" w:rsidRPr="002547FB" w:rsidRDefault="000A1BE9" w:rsidP="00700FDA">
      <w:pPr>
        <w:pStyle w:val="ListParagraph"/>
        <w:numPr>
          <w:ilvl w:val="0"/>
          <w:numId w:val="36"/>
        </w:numPr>
        <w:spacing w:after="0" w:line="360" w:lineRule="auto"/>
        <w:ind w:hanging="720"/>
        <w:jc w:val="both"/>
        <w:rPr>
          <w:rFonts w:ascii="Arial" w:hAnsi="Arial" w:cs="Arial"/>
          <w:sz w:val="24"/>
          <w:szCs w:val="24"/>
        </w:rPr>
      </w:pPr>
      <w:r w:rsidRPr="002547FB">
        <w:rPr>
          <w:rFonts w:ascii="Arial" w:hAnsi="Arial" w:cs="Arial"/>
          <w:sz w:val="24"/>
          <w:szCs w:val="24"/>
        </w:rPr>
        <w:t xml:space="preserve">The Prosecutor General must pay the respondents’ cost of the application. </w:t>
      </w:r>
    </w:p>
    <w:p w:rsidR="005F35C2" w:rsidRPr="002547FB" w:rsidRDefault="005F35C2" w:rsidP="001D09E8">
      <w:pPr>
        <w:spacing w:after="0"/>
        <w:rPr>
          <w:rFonts w:ascii="Arial" w:hAnsi="Arial" w:cs="Arial"/>
          <w:sz w:val="24"/>
          <w:szCs w:val="24"/>
        </w:rPr>
      </w:pPr>
    </w:p>
    <w:p w:rsidR="00244481" w:rsidRPr="002547FB" w:rsidRDefault="00244481" w:rsidP="00574299">
      <w:pPr>
        <w:spacing w:after="0"/>
        <w:jc w:val="right"/>
        <w:rPr>
          <w:rFonts w:ascii="Arial" w:hAnsi="Arial" w:cs="Arial"/>
          <w:sz w:val="24"/>
          <w:szCs w:val="24"/>
        </w:rPr>
      </w:pPr>
      <w:r w:rsidRPr="002547FB">
        <w:rPr>
          <w:rFonts w:ascii="Arial" w:hAnsi="Arial" w:cs="Arial"/>
          <w:sz w:val="24"/>
          <w:szCs w:val="24"/>
        </w:rPr>
        <w:t>_____________</w:t>
      </w:r>
    </w:p>
    <w:p w:rsidR="00244481" w:rsidRPr="002547FB" w:rsidRDefault="00244481" w:rsidP="00574299">
      <w:pPr>
        <w:spacing w:after="0"/>
        <w:ind w:left="6660"/>
        <w:jc w:val="right"/>
        <w:rPr>
          <w:rFonts w:ascii="Arial" w:hAnsi="Arial" w:cs="Arial"/>
          <w:sz w:val="24"/>
          <w:szCs w:val="24"/>
        </w:rPr>
      </w:pPr>
      <w:r w:rsidRPr="002547FB">
        <w:rPr>
          <w:rFonts w:ascii="Arial" w:hAnsi="Arial" w:cs="Arial"/>
          <w:sz w:val="24"/>
          <w:szCs w:val="24"/>
        </w:rPr>
        <w:t xml:space="preserve">SFI UEITELE </w:t>
      </w:r>
    </w:p>
    <w:p w:rsidR="00244481" w:rsidRPr="002547FB" w:rsidRDefault="00244481" w:rsidP="00574299">
      <w:pPr>
        <w:spacing w:after="0"/>
        <w:ind w:left="5220"/>
        <w:jc w:val="right"/>
        <w:rPr>
          <w:rFonts w:ascii="Arial" w:hAnsi="Arial" w:cs="Arial"/>
          <w:sz w:val="24"/>
          <w:szCs w:val="24"/>
        </w:rPr>
      </w:pPr>
      <w:r w:rsidRPr="002547FB">
        <w:rPr>
          <w:rFonts w:ascii="Arial" w:hAnsi="Arial" w:cs="Arial"/>
          <w:sz w:val="24"/>
          <w:szCs w:val="24"/>
        </w:rPr>
        <w:t>Judge</w:t>
      </w:r>
    </w:p>
    <w:p w:rsidR="00244481" w:rsidRPr="002547FB" w:rsidRDefault="00244481" w:rsidP="00EF2D33">
      <w:pPr>
        <w:jc w:val="both"/>
        <w:rPr>
          <w:rFonts w:ascii="Arial" w:hAnsi="Arial" w:cs="Arial"/>
          <w:b/>
          <w:sz w:val="24"/>
          <w:szCs w:val="24"/>
        </w:rPr>
      </w:pPr>
      <w:r w:rsidRPr="002547FB">
        <w:rPr>
          <w:rFonts w:ascii="Arial" w:hAnsi="Arial" w:cs="Arial"/>
        </w:rPr>
        <w:br w:type="page"/>
      </w:r>
      <w:r w:rsidRPr="002547FB">
        <w:rPr>
          <w:rFonts w:ascii="Arial" w:hAnsi="Arial" w:cs="Arial"/>
          <w:b/>
          <w:sz w:val="24"/>
          <w:szCs w:val="24"/>
        </w:rPr>
        <w:lastRenderedPageBreak/>
        <w:t>APPEARANCES</w:t>
      </w:r>
    </w:p>
    <w:p w:rsidR="00244481" w:rsidRPr="002547FB" w:rsidRDefault="00244481" w:rsidP="00EF2D33">
      <w:pPr>
        <w:pStyle w:val="BodyText"/>
        <w:autoSpaceDE w:val="0"/>
        <w:autoSpaceDN w:val="0"/>
        <w:adjustRightInd w:val="0"/>
        <w:spacing w:line="360" w:lineRule="auto"/>
        <w:jc w:val="both"/>
        <w:rPr>
          <w:rFonts w:ascii="Arial" w:hAnsi="Arial" w:cs="Arial"/>
        </w:rPr>
      </w:pPr>
    </w:p>
    <w:p w:rsidR="00244481" w:rsidRPr="002547FB" w:rsidRDefault="00244481" w:rsidP="00EF2D33">
      <w:pPr>
        <w:tabs>
          <w:tab w:val="left" w:pos="3960"/>
        </w:tabs>
        <w:ind w:left="4962" w:hanging="4962"/>
        <w:jc w:val="both"/>
        <w:rPr>
          <w:rFonts w:ascii="Arial" w:hAnsi="Arial" w:cs="Arial"/>
          <w:sz w:val="24"/>
          <w:szCs w:val="24"/>
        </w:rPr>
      </w:pPr>
      <w:r w:rsidRPr="002547FB">
        <w:rPr>
          <w:rFonts w:ascii="Arial" w:hAnsi="Arial" w:cs="Arial"/>
          <w:b/>
          <w:sz w:val="24"/>
          <w:szCs w:val="24"/>
        </w:rPr>
        <w:t>APPLICANT:</w:t>
      </w:r>
      <w:r w:rsidR="001D09E8">
        <w:rPr>
          <w:rFonts w:ascii="Arial" w:hAnsi="Arial" w:cs="Arial"/>
          <w:sz w:val="24"/>
          <w:szCs w:val="24"/>
        </w:rPr>
        <w:tab/>
      </w:r>
      <w:r w:rsidR="00FD32FB">
        <w:rPr>
          <w:rFonts w:ascii="Arial" w:hAnsi="Arial" w:cs="Arial"/>
          <w:sz w:val="24"/>
          <w:szCs w:val="24"/>
        </w:rPr>
        <w:t xml:space="preserve">Ms. </w:t>
      </w:r>
      <w:r w:rsidRPr="002547FB">
        <w:rPr>
          <w:rFonts w:ascii="Arial" w:hAnsi="Arial" w:cs="Arial"/>
          <w:sz w:val="24"/>
          <w:szCs w:val="24"/>
        </w:rPr>
        <w:t xml:space="preserve">M </w:t>
      </w:r>
      <w:r w:rsidR="00700FDA" w:rsidRPr="002547FB">
        <w:rPr>
          <w:rFonts w:ascii="Arial" w:hAnsi="Arial" w:cs="Arial"/>
          <w:sz w:val="24"/>
          <w:szCs w:val="24"/>
        </w:rPr>
        <w:t>Boonzaier</w:t>
      </w:r>
    </w:p>
    <w:p w:rsidR="00244481" w:rsidRPr="002547FB" w:rsidRDefault="001D09E8" w:rsidP="001D09E8">
      <w:pPr>
        <w:autoSpaceDE w:val="0"/>
        <w:autoSpaceDN w:val="0"/>
        <w:adjustRightInd w:val="0"/>
        <w:ind w:left="3600"/>
        <w:jc w:val="both"/>
        <w:rPr>
          <w:rFonts w:ascii="Arial" w:hAnsi="Arial" w:cs="Arial"/>
          <w:sz w:val="24"/>
          <w:szCs w:val="24"/>
        </w:rPr>
      </w:pPr>
      <w:r>
        <w:rPr>
          <w:rFonts w:ascii="Arial" w:hAnsi="Arial" w:cs="Arial"/>
          <w:sz w:val="24"/>
          <w:szCs w:val="24"/>
        </w:rPr>
        <w:t xml:space="preserve">     </w:t>
      </w:r>
      <w:r w:rsidR="00FD32FB">
        <w:rPr>
          <w:rFonts w:ascii="Arial" w:hAnsi="Arial" w:cs="Arial"/>
          <w:sz w:val="24"/>
          <w:szCs w:val="24"/>
        </w:rPr>
        <w:t>Of T</w:t>
      </w:r>
      <w:r>
        <w:rPr>
          <w:rFonts w:ascii="Arial" w:hAnsi="Arial" w:cs="Arial"/>
          <w:sz w:val="24"/>
          <w:szCs w:val="24"/>
        </w:rPr>
        <w:t>he Prosecutor-General, Windhoek</w:t>
      </w:r>
    </w:p>
    <w:p w:rsidR="00244481" w:rsidRPr="002547FB" w:rsidRDefault="00244481" w:rsidP="00EF2D33">
      <w:pPr>
        <w:autoSpaceDE w:val="0"/>
        <w:autoSpaceDN w:val="0"/>
        <w:adjustRightInd w:val="0"/>
        <w:ind w:left="3780" w:hanging="3780"/>
        <w:jc w:val="both"/>
        <w:rPr>
          <w:rFonts w:ascii="Arial" w:hAnsi="Arial" w:cs="Arial"/>
          <w:sz w:val="24"/>
          <w:szCs w:val="24"/>
        </w:rPr>
      </w:pPr>
    </w:p>
    <w:p w:rsidR="00244481" w:rsidRPr="002547FB" w:rsidRDefault="00244481" w:rsidP="00243DBA">
      <w:pPr>
        <w:tabs>
          <w:tab w:val="left" w:pos="4962"/>
        </w:tabs>
        <w:autoSpaceDE w:val="0"/>
        <w:autoSpaceDN w:val="0"/>
        <w:adjustRightInd w:val="0"/>
        <w:ind w:left="4962" w:hanging="4962"/>
        <w:jc w:val="both"/>
        <w:rPr>
          <w:rFonts w:ascii="Arial" w:hAnsi="Arial" w:cs="Arial"/>
          <w:sz w:val="24"/>
          <w:szCs w:val="24"/>
        </w:rPr>
      </w:pPr>
      <w:r w:rsidRPr="002547FB">
        <w:rPr>
          <w:rFonts w:ascii="Arial" w:hAnsi="Arial" w:cs="Arial"/>
          <w:b/>
          <w:sz w:val="24"/>
          <w:szCs w:val="24"/>
        </w:rPr>
        <w:t>RESPONDENT</w:t>
      </w:r>
      <w:r w:rsidR="001D09E8">
        <w:rPr>
          <w:rFonts w:ascii="Arial" w:hAnsi="Arial" w:cs="Arial"/>
          <w:sz w:val="24"/>
          <w:szCs w:val="24"/>
        </w:rPr>
        <w:t xml:space="preserve">                                 </w:t>
      </w:r>
      <w:r w:rsidR="00243DBA" w:rsidRPr="002547FB">
        <w:rPr>
          <w:rFonts w:ascii="Arial" w:hAnsi="Arial" w:cs="Arial"/>
          <w:sz w:val="24"/>
          <w:szCs w:val="24"/>
        </w:rPr>
        <w:t>Mr. S Namandje</w:t>
      </w:r>
    </w:p>
    <w:p w:rsidR="00243DBA" w:rsidRPr="002547FB" w:rsidRDefault="001D09E8" w:rsidP="001D09E8">
      <w:pPr>
        <w:tabs>
          <w:tab w:val="left" w:pos="4962"/>
        </w:tabs>
        <w:autoSpaceDE w:val="0"/>
        <w:autoSpaceDN w:val="0"/>
        <w:adjustRightInd w:val="0"/>
        <w:jc w:val="both"/>
        <w:rPr>
          <w:rFonts w:ascii="Arial" w:hAnsi="Arial" w:cs="Arial"/>
          <w:sz w:val="28"/>
          <w:szCs w:val="28"/>
        </w:rPr>
      </w:pPr>
      <w:r>
        <w:rPr>
          <w:rFonts w:ascii="Arial" w:hAnsi="Arial" w:cs="Arial"/>
          <w:sz w:val="24"/>
          <w:szCs w:val="24"/>
        </w:rPr>
        <w:t xml:space="preserve">                                                          </w:t>
      </w:r>
      <w:r w:rsidR="00FD32FB">
        <w:rPr>
          <w:rFonts w:ascii="Arial" w:hAnsi="Arial" w:cs="Arial"/>
          <w:sz w:val="24"/>
          <w:szCs w:val="24"/>
        </w:rPr>
        <w:t>O</w:t>
      </w:r>
      <w:r>
        <w:rPr>
          <w:rFonts w:ascii="Arial" w:hAnsi="Arial" w:cs="Arial"/>
          <w:sz w:val="24"/>
          <w:szCs w:val="24"/>
        </w:rPr>
        <w:t xml:space="preserve">f </w:t>
      </w:r>
      <w:r w:rsidR="00243DBA" w:rsidRPr="002547FB">
        <w:rPr>
          <w:rFonts w:ascii="Arial" w:hAnsi="Arial" w:cs="Arial"/>
          <w:sz w:val="24"/>
          <w:szCs w:val="24"/>
        </w:rPr>
        <w:t>Sisa Namandje and Co Inc</w:t>
      </w:r>
      <w:r>
        <w:rPr>
          <w:rFonts w:ascii="Arial" w:hAnsi="Arial" w:cs="Arial"/>
          <w:sz w:val="24"/>
          <w:szCs w:val="24"/>
        </w:rPr>
        <w:t>, Windhoek</w:t>
      </w:r>
    </w:p>
    <w:p w:rsidR="00790B10" w:rsidRPr="002547FB" w:rsidRDefault="00790B10" w:rsidP="00EF2D33">
      <w:pPr>
        <w:jc w:val="both"/>
        <w:rPr>
          <w:rFonts w:ascii="Arial" w:hAnsi="Arial" w:cs="Arial"/>
        </w:rPr>
      </w:pPr>
    </w:p>
    <w:sectPr w:rsidR="00790B10" w:rsidRPr="002547FB" w:rsidSect="00BC004E">
      <w:headerReference w:type="default" r:id="rId9"/>
      <w:pgSz w:w="11906" w:h="16838"/>
      <w:pgMar w:top="1135" w:right="1646"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16" w:rsidRDefault="00112716" w:rsidP="00244481">
      <w:pPr>
        <w:spacing w:after="0" w:line="240" w:lineRule="auto"/>
      </w:pPr>
      <w:r>
        <w:separator/>
      </w:r>
    </w:p>
  </w:endnote>
  <w:endnote w:type="continuationSeparator" w:id="0">
    <w:p w:rsidR="00112716" w:rsidRDefault="00112716" w:rsidP="002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16" w:rsidRDefault="00112716" w:rsidP="00244481">
      <w:pPr>
        <w:spacing w:after="0" w:line="240" w:lineRule="auto"/>
      </w:pPr>
      <w:r>
        <w:separator/>
      </w:r>
    </w:p>
  </w:footnote>
  <w:footnote w:type="continuationSeparator" w:id="0">
    <w:p w:rsidR="00112716" w:rsidRDefault="00112716" w:rsidP="00244481">
      <w:pPr>
        <w:spacing w:after="0" w:line="240" w:lineRule="auto"/>
      </w:pPr>
      <w:r>
        <w:continuationSeparator/>
      </w:r>
    </w:p>
  </w:footnote>
  <w:footnote w:id="1">
    <w:p w:rsidR="00610ED7" w:rsidRPr="003A0250" w:rsidRDefault="00610ED7" w:rsidP="003A0250">
      <w:pPr>
        <w:pStyle w:val="FootnoteText"/>
        <w:tabs>
          <w:tab w:val="left" w:pos="360"/>
        </w:tabs>
        <w:rPr>
          <w:rFonts w:ascii="Arial" w:hAnsi="Arial" w:cs="Arial"/>
          <w:lang w:val="en-US"/>
        </w:rPr>
      </w:pPr>
      <w:r w:rsidRPr="003A0250">
        <w:rPr>
          <w:rStyle w:val="FootnoteReference"/>
          <w:rFonts w:ascii="Arial" w:hAnsi="Arial" w:cs="Arial"/>
        </w:rPr>
        <w:footnoteRef/>
      </w:r>
      <w:r w:rsidRPr="003A0250">
        <w:rPr>
          <w:rFonts w:ascii="Arial" w:hAnsi="Arial" w:cs="Arial"/>
        </w:rPr>
        <w:t xml:space="preserve"> </w:t>
      </w:r>
      <w:r w:rsidRPr="003A0250">
        <w:rPr>
          <w:rFonts w:ascii="Arial" w:hAnsi="Arial" w:cs="Arial"/>
          <w:lang w:val="en-US"/>
        </w:rPr>
        <w:tab/>
        <w:t>I will</w:t>
      </w:r>
      <w:r>
        <w:rPr>
          <w:rFonts w:ascii="Arial" w:hAnsi="Arial" w:cs="Arial"/>
          <w:lang w:val="en-US"/>
        </w:rPr>
        <w:t xml:space="preserve">, in this judgment, </w:t>
      </w:r>
      <w:r w:rsidRPr="003A0250">
        <w:rPr>
          <w:rFonts w:ascii="Arial" w:hAnsi="Arial" w:cs="Arial"/>
          <w:lang w:val="en-US"/>
        </w:rPr>
        <w:t xml:space="preserve">for ease of reference </w:t>
      </w:r>
      <w:r>
        <w:rPr>
          <w:rFonts w:ascii="Arial" w:hAnsi="Arial" w:cs="Arial"/>
          <w:lang w:val="en-US"/>
        </w:rPr>
        <w:t xml:space="preserve">refer to the first respondent as </w:t>
      </w:r>
      <w:r w:rsidR="00045BED">
        <w:rPr>
          <w:rFonts w:ascii="Arial" w:hAnsi="Arial" w:cs="Arial"/>
          <w:lang w:val="en-US"/>
        </w:rPr>
        <w:t xml:space="preserve">Mr </w:t>
      </w:r>
      <w:r w:rsidR="002547FB">
        <w:rPr>
          <w:rFonts w:ascii="Arial" w:hAnsi="Arial" w:cs="Arial"/>
          <w:lang w:val="en-US"/>
        </w:rPr>
        <w:t>Kamunguma.</w:t>
      </w:r>
    </w:p>
  </w:footnote>
  <w:footnote w:id="2">
    <w:p w:rsidR="00610ED7" w:rsidRPr="0027564E" w:rsidRDefault="00610ED7" w:rsidP="003C33BC">
      <w:pPr>
        <w:pStyle w:val="FootnoteText"/>
        <w:tabs>
          <w:tab w:val="left" w:pos="426"/>
        </w:tabs>
        <w:rPr>
          <w:rFonts w:ascii="Arial" w:hAnsi="Arial" w:cs="Arial"/>
        </w:rPr>
      </w:pPr>
      <w:r w:rsidRPr="0027564E">
        <w:rPr>
          <w:rStyle w:val="FootnoteReference"/>
          <w:rFonts w:ascii="Arial" w:hAnsi="Arial" w:cs="Arial"/>
        </w:rPr>
        <w:footnoteRef/>
      </w:r>
      <w:r w:rsidRPr="0027564E">
        <w:rPr>
          <w:rFonts w:ascii="Arial" w:hAnsi="Arial" w:cs="Arial"/>
        </w:rPr>
        <w:t xml:space="preserve"> </w:t>
      </w:r>
      <w:r w:rsidRPr="0027564E">
        <w:rPr>
          <w:rFonts w:ascii="Arial" w:hAnsi="Arial" w:cs="Arial"/>
        </w:rPr>
        <w:tab/>
        <w:t>Act 29 of 2004.</w:t>
      </w:r>
    </w:p>
  </w:footnote>
  <w:footnote w:id="3">
    <w:p w:rsidR="00252311" w:rsidRPr="00252311" w:rsidRDefault="00252311" w:rsidP="00252311">
      <w:pPr>
        <w:pStyle w:val="FootnoteText"/>
        <w:tabs>
          <w:tab w:val="left" w:pos="360"/>
        </w:tabs>
        <w:ind w:left="360" w:hanging="360"/>
        <w:jc w:val="both"/>
        <w:rPr>
          <w:rFonts w:ascii="Arial" w:hAnsi="Arial" w:cs="Arial"/>
          <w:lang w:val="en-US"/>
        </w:rPr>
      </w:pPr>
      <w:r w:rsidRPr="00252311">
        <w:rPr>
          <w:rStyle w:val="FootnoteReference"/>
          <w:rFonts w:ascii="Arial" w:hAnsi="Arial" w:cs="Arial"/>
        </w:rPr>
        <w:footnoteRef/>
      </w:r>
      <w:r w:rsidRPr="00252311">
        <w:rPr>
          <w:rFonts w:ascii="Arial" w:hAnsi="Arial" w:cs="Arial"/>
        </w:rPr>
        <w:t xml:space="preserve"> </w:t>
      </w:r>
      <w:r>
        <w:rPr>
          <w:rFonts w:ascii="Arial" w:hAnsi="Arial" w:cs="Arial"/>
        </w:rPr>
        <w:tab/>
      </w:r>
      <w:r w:rsidR="00A93406">
        <w:rPr>
          <w:rFonts w:ascii="Arial" w:hAnsi="Arial" w:cs="Arial"/>
        </w:rPr>
        <w:t xml:space="preserve">‘GOSP’ </w:t>
      </w:r>
      <w:r w:rsidRPr="00252311">
        <w:rPr>
          <w:rFonts w:ascii="Arial" w:hAnsi="Arial" w:cs="Arial"/>
        </w:rPr>
        <w:t xml:space="preserve">means the General Office for the Serving of Processes in which the Society provides service of process in terms of a contractual agreement between the Society and a participating party. See General Notice No. 385 of 2007 as published in </w:t>
      </w:r>
      <w:r w:rsidRPr="00252311">
        <w:rPr>
          <w:rFonts w:ascii="Arial" w:hAnsi="Arial" w:cs="Arial"/>
          <w:i/>
        </w:rPr>
        <w:t>Government Gazette</w:t>
      </w:r>
      <w:r w:rsidRPr="00252311">
        <w:rPr>
          <w:rFonts w:ascii="Arial" w:hAnsi="Arial" w:cs="Arial"/>
        </w:rPr>
        <w:t xml:space="preserve"> No</w:t>
      </w:r>
      <w:r>
        <w:rPr>
          <w:rFonts w:ascii="Arial" w:hAnsi="Arial" w:cs="Arial"/>
        </w:rPr>
        <w:t>.</w:t>
      </w:r>
      <w:r w:rsidRPr="00252311">
        <w:rPr>
          <w:rFonts w:ascii="Arial" w:hAnsi="Arial" w:cs="Arial"/>
        </w:rPr>
        <w:t xml:space="preserve"> 3948 </w:t>
      </w:r>
      <w:r>
        <w:rPr>
          <w:rFonts w:ascii="Arial" w:hAnsi="Arial" w:cs="Arial"/>
        </w:rPr>
        <w:t xml:space="preserve">of </w:t>
      </w:r>
      <w:r w:rsidRPr="00252311">
        <w:rPr>
          <w:rFonts w:ascii="Arial" w:hAnsi="Arial" w:cs="Arial"/>
        </w:rPr>
        <w:t>6 December 2007</w:t>
      </w:r>
      <w:r>
        <w:rPr>
          <w:rFonts w:ascii="Arial" w:hAnsi="Arial" w:cs="Arial"/>
        </w:rPr>
        <w:t>.</w:t>
      </w:r>
    </w:p>
  </w:footnote>
  <w:footnote w:id="4">
    <w:p w:rsidR="00610ED7" w:rsidRPr="00033DE6" w:rsidRDefault="00610ED7" w:rsidP="004031B4">
      <w:pPr>
        <w:tabs>
          <w:tab w:val="left" w:pos="360"/>
          <w:tab w:val="left" w:pos="851"/>
        </w:tabs>
        <w:spacing w:after="0" w:line="240" w:lineRule="auto"/>
        <w:ind w:left="360" w:hanging="360"/>
        <w:jc w:val="both"/>
        <w:rPr>
          <w:rFonts w:ascii="Arial" w:hAnsi="Arial" w:cs="Arial"/>
          <w:sz w:val="20"/>
          <w:szCs w:val="20"/>
          <w:lang w:val="en-GB"/>
        </w:rPr>
      </w:pPr>
      <w:r>
        <w:rPr>
          <w:rStyle w:val="FootnoteReference"/>
        </w:rPr>
        <w:footnoteRef/>
      </w:r>
      <w:r>
        <w:t xml:space="preserve"> </w:t>
      </w:r>
      <w:r>
        <w:rPr>
          <w:lang w:val="en-US"/>
        </w:rPr>
        <w:tab/>
      </w:r>
      <w:r>
        <w:rPr>
          <w:rFonts w:ascii="Arial" w:hAnsi="Arial" w:cs="Arial"/>
          <w:sz w:val="20"/>
          <w:szCs w:val="20"/>
        </w:rPr>
        <w:t xml:space="preserve">Promulgated under </w:t>
      </w:r>
      <w:r w:rsidRPr="004031B4">
        <w:rPr>
          <w:rFonts w:ascii="Arial" w:hAnsi="Arial" w:cs="Arial"/>
          <w:sz w:val="20"/>
          <w:szCs w:val="20"/>
        </w:rPr>
        <w:t>G</w:t>
      </w:r>
      <w:r>
        <w:rPr>
          <w:rFonts w:ascii="Arial" w:hAnsi="Arial" w:cs="Arial"/>
          <w:sz w:val="20"/>
          <w:szCs w:val="20"/>
        </w:rPr>
        <w:t>overnment Notice Number</w:t>
      </w:r>
      <w:r w:rsidRPr="004031B4">
        <w:rPr>
          <w:rFonts w:ascii="Arial" w:hAnsi="Arial" w:cs="Arial"/>
          <w:sz w:val="20"/>
          <w:szCs w:val="20"/>
        </w:rPr>
        <w:t xml:space="preserve"> 79 in </w:t>
      </w:r>
      <w:r w:rsidRPr="004031B4">
        <w:rPr>
          <w:rFonts w:ascii="Arial" w:hAnsi="Arial" w:cs="Arial"/>
          <w:i/>
          <w:sz w:val="20"/>
          <w:szCs w:val="20"/>
        </w:rPr>
        <w:t>Government Gazette</w:t>
      </w:r>
      <w:r>
        <w:rPr>
          <w:rFonts w:ascii="Arial" w:hAnsi="Arial" w:cs="Arial"/>
          <w:sz w:val="20"/>
          <w:szCs w:val="20"/>
        </w:rPr>
        <w:t xml:space="preserve"> </w:t>
      </w:r>
      <w:r w:rsidRPr="004031B4">
        <w:rPr>
          <w:rFonts w:ascii="Arial" w:hAnsi="Arial" w:cs="Arial"/>
          <w:sz w:val="20"/>
          <w:szCs w:val="20"/>
        </w:rPr>
        <w:t xml:space="preserve">4254 of 5 May 2009 </w:t>
      </w:r>
      <w:r w:rsidRPr="00033DE6">
        <w:rPr>
          <w:rFonts w:ascii="Arial" w:hAnsi="Arial" w:cs="Arial"/>
          <w:sz w:val="20"/>
          <w:szCs w:val="20"/>
          <w:lang w:val="en-GB"/>
        </w:rPr>
        <w:t>R</w:t>
      </w:r>
      <w:r>
        <w:rPr>
          <w:rFonts w:ascii="Arial" w:hAnsi="Arial" w:cs="Arial"/>
          <w:sz w:val="20"/>
          <w:szCs w:val="20"/>
          <w:lang w:val="en-GB"/>
        </w:rPr>
        <w:t xml:space="preserve">ule </w:t>
      </w:r>
      <w:r w:rsidRPr="00033DE6">
        <w:rPr>
          <w:rFonts w:ascii="Arial" w:hAnsi="Arial" w:cs="Arial"/>
          <w:sz w:val="20"/>
          <w:szCs w:val="20"/>
          <w:lang w:val="en-GB"/>
        </w:rPr>
        <w:t>3</w:t>
      </w:r>
      <w:r>
        <w:rPr>
          <w:rFonts w:ascii="Arial" w:hAnsi="Arial" w:cs="Arial"/>
          <w:sz w:val="20"/>
          <w:szCs w:val="20"/>
          <w:lang w:val="en-GB"/>
        </w:rPr>
        <w:t xml:space="preserve">, amongst other things reads </w:t>
      </w:r>
      <w:r w:rsidRPr="00033DE6">
        <w:rPr>
          <w:rFonts w:ascii="Arial" w:hAnsi="Arial" w:cs="Arial"/>
          <w:sz w:val="20"/>
          <w:szCs w:val="20"/>
          <w:lang w:val="en-GB"/>
        </w:rPr>
        <w:t xml:space="preserve">as follows: </w:t>
      </w:r>
    </w:p>
    <w:p w:rsidR="00610ED7" w:rsidRPr="004031B4" w:rsidRDefault="00610ED7" w:rsidP="004031B4">
      <w:pPr>
        <w:tabs>
          <w:tab w:val="left" w:pos="360"/>
          <w:tab w:val="left" w:pos="851"/>
        </w:tabs>
        <w:spacing w:after="0" w:line="240" w:lineRule="auto"/>
        <w:ind w:left="360"/>
        <w:jc w:val="both"/>
        <w:rPr>
          <w:rFonts w:ascii="Arial" w:hAnsi="Arial" w:cs="Arial"/>
          <w:sz w:val="16"/>
          <w:szCs w:val="16"/>
          <w:lang w:val="en-GB"/>
        </w:rPr>
      </w:pPr>
    </w:p>
    <w:p w:rsidR="00610ED7" w:rsidRPr="00033DE6" w:rsidRDefault="00610ED7" w:rsidP="004031B4">
      <w:pPr>
        <w:tabs>
          <w:tab w:val="left" w:pos="360"/>
          <w:tab w:val="left" w:pos="851"/>
        </w:tabs>
        <w:spacing w:after="0" w:line="240" w:lineRule="auto"/>
        <w:ind w:left="360"/>
        <w:jc w:val="both"/>
        <w:rPr>
          <w:rFonts w:ascii="Arial" w:hAnsi="Arial" w:cs="Arial"/>
          <w:b/>
          <w:bCs/>
          <w:sz w:val="20"/>
          <w:szCs w:val="20"/>
        </w:rPr>
      </w:pPr>
      <w:r w:rsidRPr="00033DE6">
        <w:rPr>
          <w:rFonts w:ascii="Arial" w:hAnsi="Arial" w:cs="Arial"/>
          <w:sz w:val="20"/>
          <w:szCs w:val="20"/>
          <w:lang w:val="en-GB"/>
        </w:rPr>
        <w:t>‘</w:t>
      </w:r>
      <w:r w:rsidRPr="00033DE6">
        <w:rPr>
          <w:rFonts w:ascii="Arial" w:hAnsi="Arial" w:cs="Arial"/>
          <w:b/>
          <w:bCs/>
          <w:sz w:val="20"/>
          <w:szCs w:val="20"/>
        </w:rPr>
        <w:t xml:space="preserve">Service of process and other documents </w:t>
      </w:r>
    </w:p>
    <w:p w:rsidR="00610ED7" w:rsidRPr="004031B4" w:rsidRDefault="00610ED7" w:rsidP="004031B4">
      <w:pPr>
        <w:pStyle w:val="FootnoteText"/>
        <w:tabs>
          <w:tab w:val="left" w:pos="360"/>
        </w:tabs>
        <w:ind w:left="360"/>
        <w:jc w:val="both"/>
        <w:rPr>
          <w:lang w:val="en-US"/>
        </w:rPr>
      </w:pPr>
      <w:r w:rsidRPr="00033DE6">
        <w:rPr>
          <w:rFonts w:ascii="Arial" w:hAnsi="Arial" w:cs="Arial"/>
          <w:bCs/>
        </w:rPr>
        <w:t>3</w:t>
      </w:r>
      <w:r w:rsidRPr="00033DE6">
        <w:rPr>
          <w:rFonts w:ascii="Arial" w:hAnsi="Arial" w:cs="Arial"/>
        </w:rPr>
        <w:t>(1)</w:t>
      </w:r>
      <w:r w:rsidR="00384B2C">
        <w:rPr>
          <w:rFonts w:ascii="Arial" w:hAnsi="Arial" w:cs="Arial"/>
        </w:rPr>
        <w:t xml:space="preserve"> </w:t>
      </w:r>
      <w:r w:rsidRPr="00033DE6">
        <w:rPr>
          <w:rFonts w:ascii="Arial" w:hAnsi="Arial" w:cs="Arial"/>
        </w:rPr>
        <w:t>In addition to the sheriff referred to in rule 4 of the Rule</w:t>
      </w:r>
      <w:r>
        <w:rPr>
          <w:rFonts w:ascii="Arial" w:hAnsi="Arial" w:cs="Arial"/>
        </w:rPr>
        <w:t xml:space="preserve">s of the High Court, the police </w:t>
      </w:r>
      <w:r w:rsidRPr="00033DE6">
        <w:rPr>
          <w:rFonts w:ascii="Arial" w:hAnsi="Arial" w:cs="Arial"/>
        </w:rPr>
        <w:t>may also effect service of process of court or document when circumstances so require</w:t>
      </w:r>
      <w:r>
        <w:rPr>
          <w:rFonts w:ascii="Arial" w:hAnsi="Arial" w:cs="Arial"/>
        </w:rPr>
        <w:t>.’</w:t>
      </w:r>
    </w:p>
  </w:footnote>
  <w:footnote w:id="5">
    <w:p w:rsidR="00610ED7" w:rsidRPr="00152231" w:rsidRDefault="00610ED7" w:rsidP="00152231">
      <w:pPr>
        <w:pStyle w:val="FootnoteText"/>
        <w:tabs>
          <w:tab w:val="left" w:pos="360"/>
        </w:tabs>
        <w:rPr>
          <w:rFonts w:ascii="Arial" w:hAnsi="Arial" w:cs="Arial"/>
          <w:lang w:val="en-US"/>
        </w:rPr>
      </w:pPr>
      <w:r w:rsidRPr="00152231">
        <w:rPr>
          <w:rStyle w:val="FootnoteReference"/>
          <w:rFonts w:ascii="Arial" w:hAnsi="Arial" w:cs="Arial"/>
        </w:rPr>
        <w:footnoteRef/>
      </w:r>
      <w:r w:rsidRPr="00152231">
        <w:rPr>
          <w:rFonts w:ascii="Arial" w:hAnsi="Arial" w:cs="Arial"/>
        </w:rPr>
        <w:t xml:space="preserve"> </w:t>
      </w:r>
      <w:r w:rsidRPr="00152231">
        <w:rPr>
          <w:rFonts w:ascii="Arial" w:hAnsi="Arial" w:cs="Arial"/>
          <w:lang w:val="en-US"/>
        </w:rPr>
        <w:tab/>
      </w:r>
      <w:r w:rsidRPr="00152231">
        <w:rPr>
          <w:rFonts w:ascii="Arial" w:hAnsi="Arial" w:cs="Arial"/>
        </w:rPr>
        <w:t>2012 (1) NR 255 (HC).</w:t>
      </w:r>
    </w:p>
  </w:footnote>
  <w:footnote w:id="6">
    <w:p w:rsidR="00610ED7" w:rsidRPr="00B43694" w:rsidRDefault="00610ED7" w:rsidP="00152231">
      <w:pPr>
        <w:tabs>
          <w:tab w:val="left" w:pos="360"/>
        </w:tabs>
        <w:rPr>
          <w:lang w:val="en-US"/>
        </w:rPr>
      </w:pPr>
      <w:r w:rsidRPr="00152231">
        <w:rPr>
          <w:rStyle w:val="FootnoteReference"/>
          <w:rFonts w:ascii="Arial" w:hAnsi="Arial" w:cs="Arial"/>
          <w:sz w:val="20"/>
          <w:szCs w:val="20"/>
        </w:rPr>
        <w:footnoteRef/>
      </w:r>
      <w:r w:rsidRPr="00152231">
        <w:rPr>
          <w:rFonts w:ascii="Arial" w:hAnsi="Arial" w:cs="Arial"/>
          <w:sz w:val="20"/>
          <w:szCs w:val="20"/>
        </w:rPr>
        <w:t xml:space="preserve"> </w:t>
      </w:r>
      <w:r w:rsidRPr="00152231">
        <w:rPr>
          <w:rFonts w:ascii="Arial" w:hAnsi="Arial" w:cs="Arial"/>
          <w:sz w:val="20"/>
          <w:szCs w:val="20"/>
        </w:rPr>
        <w:tab/>
        <w:t>2002 (4) SA 843 (CC) at paras 14 – 15.</w:t>
      </w:r>
    </w:p>
  </w:footnote>
  <w:footnote w:id="7">
    <w:p w:rsidR="00610ED7" w:rsidRPr="00C6055B" w:rsidRDefault="00610ED7" w:rsidP="00520D1A">
      <w:pPr>
        <w:pStyle w:val="FootnoteText"/>
        <w:tabs>
          <w:tab w:val="left" w:pos="360"/>
        </w:tabs>
        <w:rPr>
          <w:rFonts w:ascii="Arial" w:hAnsi="Arial" w:cs="Arial"/>
          <w:lang w:val="en-US"/>
        </w:rPr>
      </w:pPr>
      <w:r w:rsidRPr="00C6055B">
        <w:rPr>
          <w:rStyle w:val="FootnoteReference"/>
          <w:rFonts w:ascii="Arial" w:hAnsi="Arial" w:cs="Arial"/>
        </w:rPr>
        <w:footnoteRef/>
      </w:r>
      <w:r w:rsidRPr="00C6055B">
        <w:rPr>
          <w:rFonts w:ascii="Arial" w:hAnsi="Arial" w:cs="Arial"/>
        </w:rPr>
        <w:t xml:space="preserve"> </w:t>
      </w:r>
      <w:r w:rsidRPr="00C6055B">
        <w:rPr>
          <w:rFonts w:ascii="Arial" w:hAnsi="Arial" w:cs="Arial"/>
        </w:rPr>
        <w:tab/>
        <w:t>2013 (1) NR 245 (HC).</w:t>
      </w:r>
    </w:p>
  </w:footnote>
  <w:footnote w:id="8">
    <w:p w:rsidR="005D38CE" w:rsidRPr="005D38CE" w:rsidRDefault="005D38CE" w:rsidP="005D38CE">
      <w:pPr>
        <w:pStyle w:val="FootnoteText"/>
        <w:tabs>
          <w:tab w:val="left" w:pos="360"/>
        </w:tabs>
        <w:rPr>
          <w:lang w:val="en-US"/>
        </w:rPr>
      </w:pPr>
      <w:r w:rsidRPr="00C6055B">
        <w:rPr>
          <w:rStyle w:val="FootnoteReference"/>
          <w:rFonts w:ascii="Arial" w:hAnsi="Arial" w:cs="Arial"/>
        </w:rPr>
        <w:footnoteRef/>
      </w:r>
      <w:r w:rsidRPr="00C6055B">
        <w:rPr>
          <w:rFonts w:ascii="Arial" w:hAnsi="Arial" w:cs="Arial"/>
        </w:rPr>
        <w:t xml:space="preserve"> </w:t>
      </w:r>
      <w:r w:rsidRPr="00C6055B">
        <w:rPr>
          <w:rFonts w:ascii="Arial" w:hAnsi="Arial" w:cs="Arial"/>
          <w:lang w:val="en-US"/>
        </w:rPr>
        <w:tab/>
      </w:r>
      <w:r w:rsidRPr="00C6055B">
        <w:rPr>
          <w:rFonts w:ascii="Arial" w:hAnsi="Arial" w:cs="Arial"/>
        </w:rPr>
        <w:t>2015 (3) NR 753 (SC) at para [21].</w:t>
      </w:r>
    </w:p>
  </w:footnote>
  <w:footnote w:id="9">
    <w:p w:rsidR="00610ED7" w:rsidRPr="00C6055B" w:rsidRDefault="00610ED7" w:rsidP="00F457ED">
      <w:pPr>
        <w:tabs>
          <w:tab w:val="left" w:pos="360"/>
        </w:tabs>
        <w:spacing w:after="0" w:line="240" w:lineRule="auto"/>
        <w:ind w:left="360" w:hanging="360"/>
        <w:jc w:val="both"/>
        <w:rPr>
          <w:rFonts w:ascii="Arial" w:hAnsi="Arial" w:cs="Arial"/>
          <w:sz w:val="20"/>
          <w:szCs w:val="20"/>
          <w:lang w:val="en-US"/>
        </w:rPr>
      </w:pPr>
      <w:r w:rsidRPr="001C4F41">
        <w:rPr>
          <w:rStyle w:val="FootnoteReference"/>
          <w:rFonts w:ascii="Arial" w:hAnsi="Arial" w:cs="Arial"/>
          <w:sz w:val="20"/>
          <w:szCs w:val="20"/>
        </w:rPr>
        <w:footnoteRef/>
      </w:r>
      <w:r w:rsidRPr="001C4F41">
        <w:rPr>
          <w:rFonts w:ascii="Arial" w:hAnsi="Arial" w:cs="Arial"/>
          <w:sz w:val="20"/>
          <w:szCs w:val="20"/>
        </w:rPr>
        <w:t xml:space="preserve"> </w:t>
      </w:r>
      <w:r w:rsidRPr="001C4F41">
        <w:rPr>
          <w:rFonts w:ascii="Arial" w:hAnsi="Arial" w:cs="Arial"/>
          <w:sz w:val="20"/>
          <w:szCs w:val="20"/>
        </w:rPr>
        <w:tab/>
      </w:r>
      <w:r w:rsidRPr="00C6055B">
        <w:rPr>
          <w:rFonts w:ascii="Arial" w:hAnsi="Arial" w:cs="Arial"/>
          <w:sz w:val="20"/>
          <w:szCs w:val="20"/>
        </w:rPr>
        <w:t xml:space="preserve">The purpose of the Act was neatly summarised by Ackermann J in </w:t>
      </w:r>
      <w:r w:rsidRPr="00C6055B">
        <w:rPr>
          <w:rFonts w:ascii="Arial" w:hAnsi="Arial" w:cs="Arial"/>
          <w:i/>
          <w:sz w:val="20"/>
          <w:szCs w:val="20"/>
        </w:rPr>
        <w:t>National Director of Public Prosecutions and Another v Mohamed NO and Others</w:t>
      </w:r>
      <w:r w:rsidRPr="00C6055B">
        <w:rPr>
          <w:rFonts w:ascii="Arial" w:hAnsi="Arial" w:cs="Arial"/>
          <w:sz w:val="20"/>
          <w:szCs w:val="20"/>
        </w:rPr>
        <w:t xml:space="preserve"> 2002 (2) SACR 196 (CC) </w:t>
      </w:r>
      <w:r w:rsidR="00F457ED" w:rsidRPr="00C6055B">
        <w:rPr>
          <w:rFonts w:ascii="Arial" w:hAnsi="Arial" w:cs="Arial"/>
          <w:sz w:val="20"/>
          <w:szCs w:val="20"/>
        </w:rPr>
        <w:t>quoted above in para [17].</w:t>
      </w:r>
    </w:p>
  </w:footnote>
  <w:footnote w:id="10">
    <w:p w:rsidR="00610ED7" w:rsidRPr="003D1BB9" w:rsidRDefault="00610ED7" w:rsidP="00D9421A">
      <w:pPr>
        <w:pStyle w:val="FootnoteText"/>
        <w:tabs>
          <w:tab w:val="left" w:pos="360"/>
        </w:tabs>
        <w:rPr>
          <w:rFonts w:ascii="Arial" w:hAnsi="Arial" w:cs="Arial"/>
          <w:lang w:val="en-US"/>
        </w:rPr>
      </w:pPr>
      <w:r w:rsidRPr="00C6055B">
        <w:rPr>
          <w:rStyle w:val="FootnoteReference"/>
          <w:rFonts w:ascii="Arial" w:hAnsi="Arial" w:cs="Arial"/>
        </w:rPr>
        <w:footnoteRef/>
      </w:r>
      <w:r w:rsidRPr="00C6055B">
        <w:rPr>
          <w:rFonts w:ascii="Arial" w:hAnsi="Arial" w:cs="Arial"/>
        </w:rPr>
        <w:t xml:space="preserve"> </w:t>
      </w:r>
      <w:r w:rsidRPr="00C6055B">
        <w:rPr>
          <w:rFonts w:ascii="Arial" w:hAnsi="Arial" w:cs="Arial"/>
          <w:lang w:val="en-US"/>
        </w:rPr>
        <w:tab/>
      </w:r>
      <w:r w:rsidRPr="00C6055B">
        <w:rPr>
          <w:rFonts w:ascii="Arial" w:hAnsi="Arial" w:cs="Arial"/>
          <w:i/>
          <w:lang w:val="en-US"/>
        </w:rPr>
        <w:t>Supra.</w:t>
      </w:r>
    </w:p>
  </w:footnote>
  <w:footnote w:id="11">
    <w:p w:rsidR="00610ED7" w:rsidRPr="003D1BB9" w:rsidRDefault="00610ED7" w:rsidP="004B23E1">
      <w:pPr>
        <w:pStyle w:val="FootnoteText"/>
        <w:tabs>
          <w:tab w:val="left" w:pos="360"/>
        </w:tabs>
        <w:rPr>
          <w:rFonts w:ascii="Arial" w:hAnsi="Arial" w:cs="Arial"/>
          <w:lang w:val="en-US"/>
        </w:rPr>
      </w:pPr>
      <w:r w:rsidRPr="003D1BB9">
        <w:rPr>
          <w:rStyle w:val="FootnoteReference"/>
          <w:rFonts w:ascii="Arial" w:hAnsi="Arial" w:cs="Arial"/>
        </w:rPr>
        <w:footnoteRef/>
      </w:r>
      <w:r w:rsidRPr="003D1BB9">
        <w:rPr>
          <w:rFonts w:ascii="Arial" w:hAnsi="Arial" w:cs="Arial"/>
        </w:rPr>
        <w:t xml:space="preserve"> </w:t>
      </w:r>
      <w:r w:rsidRPr="003D1BB9">
        <w:rPr>
          <w:rFonts w:ascii="Arial" w:hAnsi="Arial" w:cs="Arial"/>
        </w:rPr>
        <w:tab/>
        <w:t>Chapter 5 comprise ss 17 to 49).</w:t>
      </w:r>
    </w:p>
  </w:footnote>
  <w:footnote w:id="12">
    <w:p w:rsidR="00610ED7" w:rsidRPr="003D1BB9" w:rsidRDefault="00610ED7" w:rsidP="004B23E1">
      <w:pPr>
        <w:pStyle w:val="FootnoteText"/>
        <w:tabs>
          <w:tab w:val="left" w:pos="360"/>
        </w:tabs>
        <w:rPr>
          <w:rFonts w:ascii="Arial" w:hAnsi="Arial" w:cs="Arial"/>
          <w:lang w:val="en-US"/>
        </w:rPr>
      </w:pPr>
      <w:r w:rsidRPr="003D1BB9">
        <w:rPr>
          <w:rStyle w:val="FootnoteReference"/>
          <w:rFonts w:ascii="Arial" w:hAnsi="Arial" w:cs="Arial"/>
        </w:rPr>
        <w:footnoteRef/>
      </w:r>
      <w:r w:rsidRPr="003D1BB9">
        <w:rPr>
          <w:rFonts w:ascii="Arial" w:hAnsi="Arial" w:cs="Arial"/>
        </w:rPr>
        <w:t xml:space="preserve"> </w:t>
      </w:r>
      <w:r w:rsidRPr="003D1BB9">
        <w:rPr>
          <w:rFonts w:ascii="Arial" w:hAnsi="Arial" w:cs="Arial"/>
        </w:rPr>
        <w:tab/>
        <w:t>Chapter 6 comprise ss 50 to 73).</w:t>
      </w:r>
    </w:p>
  </w:footnote>
  <w:footnote w:id="13">
    <w:p w:rsidR="00610ED7" w:rsidRPr="003D1BB9" w:rsidRDefault="00610ED7" w:rsidP="003D1BB9">
      <w:pPr>
        <w:pStyle w:val="FootnoteText"/>
        <w:tabs>
          <w:tab w:val="left" w:pos="360"/>
        </w:tabs>
        <w:rPr>
          <w:rFonts w:ascii="Arial" w:hAnsi="Arial" w:cs="Arial"/>
          <w:lang w:val="en-US"/>
        </w:rPr>
      </w:pPr>
      <w:r w:rsidRPr="003D1BB9">
        <w:rPr>
          <w:rStyle w:val="FootnoteReference"/>
          <w:rFonts w:ascii="Arial" w:hAnsi="Arial" w:cs="Arial"/>
        </w:rPr>
        <w:footnoteRef/>
      </w:r>
      <w:r w:rsidRPr="003D1BB9">
        <w:rPr>
          <w:rFonts w:ascii="Arial" w:hAnsi="Arial" w:cs="Arial"/>
        </w:rPr>
        <w:t xml:space="preserve"> </w:t>
      </w:r>
      <w:r w:rsidRPr="003D1BB9">
        <w:rPr>
          <w:rFonts w:ascii="Arial" w:hAnsi="Arial" w:cs="Arial"/>
          <w:lang w:val="en-US"/>
        </w:rPr>
        <w:tab/>
        <w:t>See s 32</w:t>
      </w:r>
      <w:r w:rsidR="00C6055B">
        <w:rPr>
          <w:rFonts w:ascii="Arial" w:hAnsi="Arial" w:cs="Arial"/>
          <w:lang w:val="en-US"/>
        </w:rPr>
        <w:t>.</w:t>
      </w:r>
    </w:p>
  </w:footnote>
  <w:footnote w:id="14">
    <w:p w:rsidR="00610ED7" w:rsidRPr="004B23E1" w:rsidRDefault="00610ED7" w:rsidP="004B23E1">
      <w:pPr>
        <w:pStyle w:val="FootnoteText"/>
        <w:tabs>
          <w:tab w:val="left" w:pos="360"/>
        </w:tabs>
        <w:rPr>
          <w:lang w:val="en-US"/>
        </w:rPr>
      </w:pPr>
      <w:r w:rsidRPr="003D1BB9">
        <w:rPr>
          <w:rStyle w:val="FootnoteReference"/>
          <w:rFonts w:ascii="Arial" w:hAnsi="Arial" w:cs="Arial"/>
        </w:rPr>
        <w:footnoteRef/>
      </w:r>
      <w:r w:rsidRPr="003D1BB9">
        <w:rPr>
          <w:rFonts w:ascii="Arial" w:hAnsi="Arial" w:cs="Arial"/>
        </w:rPr>
        <w:t xml:space="preserve"> </w:t>
      </w:r>
      <w:r w:rsidRPr="003D1BB9">
        <w:rPr>
          <w:rFonts w:ascii="Arial" w:hAnsi="Arial" w:cs="Arial"/>
          <w:lang w:val="en-US"/>
        </w:rPr>
        <w:tab/>
        <w:t xml:space="preserve">See s 50 also see </w:t>
      </w:r>
      <w:r w:rsidRPr="003D1BB9">
        <w:rPr>
          <w:rFonts w:ascii="Arial" w:hAnsi="Arial" w:cs="Arial"/>
          <w:i/>
          <w:lang w:val="en-US"/>
        </w:rPr>
        <w:t>Prosecutor-General v Uuyuni</w:t>
      </w:r>
      <w:r w:rsidRPr="003D1BB9">
        <w:rPr>
          <w:rFonts w:ascii="Arial" w:hAnsi="Arial" w:cs="Arial"/>
          <w:lang w:val="en-US"/>
        </w:rPr>
        <w:t xml:space="preserve"> 2015 (3) NR 886 (SC)</w:t>
      </w:r>
      <w:r>
        <w:rPr>
          <w:rFonts w:ascii="Arial" w:hAnsi="Arial" w:cs="Arial"/>
          <w:lang w:val="en-US"/>
        </w:rPr>
        <w:t>.</w:t>
      </w:r>
    </w:p>
  </w:footnote>
  <w:footnote w:id="15">
    <w:p w:rsidR="00610ED7" w:rsidRPr="004D282D" w:rsidRDefault="00610ED7" w:rsidP="004D282D">
      <w:pPr>
        <w:pStyle w:val="FootnoteText"/>
        <w:tabs>
          <w:tab w:val="left" w:pos="360"/>
        </w:tabs>
        <w:rPr>
          <w:lang w:val="en-US"/>
        </w:rPr>
      </w:pPr>
      <w:r w:rsidRPr="008B2C01">
        <w:rPr>
          <w:rStyle w:val="FootnoteReference"/>
          <w:rFonts w:ascii="Arial" w:hAnsi="Arial" w:cs="Arial"/>
        </w:rPr>
        <w:footnoteRef/>
      </w:r>
      <w:r w:rsidRPr="008B2C01">
        <w:rPr>
          <w:rFonts w:ascii="Arial" w:hAnsi="Arial" w:cs="Arial"/>
        </w:rPr>
        <w:t xml:space="preserve"> </w:t>
      </w:r>
      <w:r>
        <w:rPr>
          <w:lang w:val="en-US"/>
        </w:rPr>
        <w:tab/>
      </w:r>
      <w:r w:rsidRPr="00A42DFB">
        <w:rPr>
          <w:rFonts w:ascii="Arial" w:hAnsi="Arial" w:cs="Arial"/>
          <w:lang w:val="en-US"/>
        </w:rPr>
        <w:t>See s 63 (2) of the Act.</w:t>
      </w:r>
    </w:p>
  </w:footnote>
  <w:footnote w:id="16">
    <w:p w:rsidR="00610ED7" w:rsidRPr="00712076" w:rsidRDefault="00610ED7" w:rsidP="00361D47">
      <w:pPr>
        <w:pStyle w:val="FootnoteText"/>
        <w:tabs>
          <w:tab w:val="left" w:pos="360"/>
        </w:tabs>
        <w:spacing w:line="360" w:lineRule="auto"/>
        <w:jc w:val="both"/>
        <w:rPr>
          <w:rFonts w:ascii="Arial" w:hAnsi="Arial" w:cs="Arial"/>
          <w:lang w:val="en-US"/>
        </w:rPr>
      </w:pPr>
      <w:r w:rsidRPr="00712076">
        <w:rPr>
          <w:rStyle w:val="FootnoteReference"/>
          <w:rFonts w:ascii="Arial" w:hAnsi="Arial" w:cs="Arial"/>
        </w:rPr>
        <w:footnoteRef/>
      </w:r>
      <w:r w:rsidRPr="00712076">
        <w:rPr>
          <w:rFonts w:ascii="Arial" w:hAnsi="Arial" w:cs="Arial"/>
        </w:rPr>
        <w:t xml:space="preserve"> </w:t>
      </w:r>
      <w:r w:rsidRPr="00712076">
        <w:rPr>
          <w:rFonts w:ascii="Arial" w:hAnsi="Arial" w:cs="Arial"/>
        </w:rPr>
        <w:tab/>
      </w:r>
      <w:r w:rsidRPr="00712076">
        <w:rPr>
          <w:rFonts w:ascii="Arial" w:hAnsi="Arial" w:cs="Arial"/>
          <w:lang w:val="en-US"/>
        </w:rPr>
        <w:t>See section 59(2) of POCA.</w:t>
      </w:r>
    </w:p>
  </w:footnote>
  <w:footnote w:id="17">
    <w:p w:rsidR="00610ED7" w:rsidRPr="00361D47" w:rsidRDefault="00610ED7" w:rsidP="00712076">
      <w:pPr>
        <w:pStyle w:val="FootnoteText"/>
        <w:tabs>
          <w:tab w:val="left" w:pos="360"/>
        </w:tabs>
        <w:rPr>
          <w:lang w:val="en-US"/>
        </w:rPr>
      </w:pPr>
      <w:r w:rsidRPr="00712076">
        <w:rPr>
          <w:rStyle w:val="FootnoteReference"/>
          <w:rFonts w:ascii="Arial" w:hAnsi="Arial" w:cs="Arial"/>
        </w:rPr>
        <w:footnoteRef/>
      </w:r>
      <w:r w:rsidRPr="00712076">
        <w:rPr>
          <w:rFonts w:ascii="Arial" w:hAnsi="Arial" w:cs="Arial"/>
        </w:rPr>
        <w:t xml:space="preserve"> </w:t>
      </w:r>
      <w:r w:rsidRPr="00712076">
        <w:rPr>
          <w:rFonts w:ascii="Arial" w:hAnsi="Arial" w:cs="Arial"/>
        </w:rPr>
        <w:tab/>
        <w:t>Prevention of Organised Crime Regulations</w:t>
      </w:r>
      <w:r>
        <w:rPr>
          <w:rFonts w:ascii="Arial" w:hAnsi="Arial" w:cs="Arial"/>
        </w:rPr>
        <w:t>, see footnote 3.</w:t>
      </w:r>
    </w:p>
  </w:footnote>
  <w:footnote w:id="18">
    <w:p w:rsidR="00610ED7" w:rsidRPr="00EB138A" w:rsidRDefault="00610ED7" w:rsidP="00FE5432">
      <w:pPr>
        <w:pStyle w:val="FootnoteText"/>
        <w:tabs>
          <w:tab w:val="left" w:pos="360"/>
        </w:tabs>
        <w:ind w:left="360" w:hanging="360"/>
        <w:jc w:val="both"/>
        <w:rPr>
          <w:rFonts w:ascii="Arial" w:hAnsi="Arial" w:cs="Arial"/>
          <w:lang w:val="en-US"/>
        </w:rPr>
      </w:pPr>
      <w:r w:rsidRPr="00EB138A">
        <w:rPr>
          <w:rStyle w:val="FootnoteReference"/>
          <w:rFonts w:ascii="Arial" w:hAnsi="Arial" w:cs="Arial"/>
        </w:rPr>
        <w:footnoteRef/>
      </w:r>
      <w:r w:rsidRPr="00EB138A">
        <w:rPr>
          <w:rFonts w:ascii="Arial" w:hAnsi="Arial" w:cs="Arial"/>
          <w:lang w:val="en-US"/>
        </w:rPr>
        <w:tab/>
      </w:r>
      <w:r w:rsidRPr="00EB138A">
        <w:rPr>
          <w:rFonts w:ascii="Arial" w:hAnsi="Arial" w:cs="Arial"/>
          <w:i/>
          <w:lang w:val="en-US"/>
        </w:rPr>
        <w:t>Nelumbu and Others, v Hikumwah and Others (An as yet unreported judgment of the Supreme Court of Namibia Case Number (</w:t>
      </w:r>
      <w:r w:rsidRPr="00EB138A">
        <w:rPr>
          <w:rFonts w:ascii="Arial" w:hAnsi="Arial" w:cs="Arial"/>
        </w:rPr>
        <w:t>Case No: SA 27/2015 delivered on 13 April 2017)</w:t>
      </w:r>
      <w:r w:rsidRPr="00EB138A">
        <w:rPr>
          <w:rFonts w:ascii="Arial" w:hAnsi="Arial" w:cs="Arial"/>
          <w:i/>
          <w:lang w:val="en-US"/>
        </w:rPr>
        <w:t xml:space="preserve"> </w:t>
      </w:r>
      <w:r w:rsidRPr="00EB138A">
        <w:rPr>
          <w:rFonts w:ascii="Arial" w:hAnsi="Arial" w:cs="Arial"/>
          <w:i/>
        </w:rPr>
        <w:t>Laicatti Trading Capital Inc v Greencoal (Namibia) (Pty) Ltd</w:t>
      </w:r>
      <w:r w:rsidRPr="00EB138A">
        <w:rPr>
          <w:rFonts w:ascii="Arial" w:hAnsi="Arial" w:cs="Arial"/>
        </w:rPr>
        <w:t xml:space="preserve"> (A 273-2014) [2015] NAHCMD 240 (8 October 2015). </w:t>
      </w:r>
      <w:r w:rsidRPr="00EB138A">
        <w:rPr>
          <w:rFonts w:ascii="Arial" w:hAnsi="Arial" w:cs="Arial"/>
          <w:i/>
        </w:rPr>
        <w:t>Transnet Ltd v Rubenstein</w:t>
      </w:r>
      <w:r w:rsidRPr="00EB138A">
        <w:rPr>
          <w:rFonts w:ascii="Arial" w:hAnsi="Arial" w:cs="Arial"/>
        </w:rPr>
        <w:t xml:space="preserve"> 2006 (1) SA 591 (SCA).</w:t>
      </w:r>
    </w:p>
  </w:footnote>
  <w:footnote w:id="19">
    <w:p w:rsidR="00610ED7" w:rsidRPr="00EB138A" w:rsidRDefault="00610ED7" w:rsidP="00FE5432">
      <w:pPr>
        <w:pStyle w:val="FootnoteText"/>
        <w:tabs>
          <w:tab w:val="left" w:pos="360"/>
        </w:tabs>
        <w:jc w:val="both"/>
        <w:rPr>
          <w:lang w:val="en-US"/>
        </w:rPr>
      </w:pPr>
      <w:r w:rsidRPr="00EB138A">
        <w:rPr>
          <w:rStyle w:val="FootnoteReference"/>
          <w:rFonts w:ascii="Arial" w:hAnsi="Arial" w:cs="Arial"/>
        </w:rPr>
        <w:footnoteRef/>
      </w:r>
      <w:r w:rsidRPr="00EB138A">
        <w:rPr>
          <w:rFonts w:ascii="Arial" w:hAnsi="Arial" w:cs="Arial"/>
        </w:rPr>
        <w:t xml:space="preserve"> </w:t>
      </w:r>
      <w:r w:rsidRPr="00EB138A">
        <w:rPr>
          <w:rFonts w:ascii="Arial" w:hAnsi="Arial" w:cs="Arial"/>
        </w:rPr>
        <w:tab/>
      </w:r>
      <w:r w:rsidRPr="00EB138A">
        <w:rPr>
          <w:rFonts w:ascii="Arial" w:hAnsi="Arial" w:cs="Arial"/>
          <w:i/>
        </w:rPr>
        <w:t>Stipp &amp; Another v Shade Centre &amp; Others</w:t>
      </w:r>
      <w:r w:rsidRPr="00EB138A">
        <w:rPr>
          <w:rFonts w:ascii="Arial" w:hAnsi="Arial" w:cs="Arial"/>
        </w:rPr>
        <w:t xml:space="preserve"> 2007 (2) NR 627 (SC) at 634G-H.</w:t>
      </w:r>
    </w:p>
  </w:footnote>
  <w:footnote w:id="20">
    <w:p w:rsidR="00610ED7" w:rsidRDefault="00610ED7" w:rsidP="00FE5432">
      <w:pPr>
        <w:pStyle w:val="FootnoteText"/>
        <w:tabs>
          <w:tab w:val="left" w:pos="360"/>
        </w:tabs>
        <w:ind w:left="360" w:hanging="360"/>
        <w:jc w:val="both"/>
        <w:rPr>
          <w:rFonts w:ascii="Arial" w:hAnsi="Arial" w:cs="Arial"/>
        </w:rPr>
      </w:pPr>
      <w:r w:rsidRPr="00FE5432">
        <w:rPr>
          <w:rStyle w:val="FootnoteReference"/>
          <w:rFonts w:ascii="Arial" w:hAnsi="Arial" w:cs="Arial"/>
        </w:rPr>
        <w:footnoteRef/>
      </w:r>
      <w:r w:rsidRPr="00FE5432">
        <w:rPr>
          <w:rFonts w:ascii="Arial" w:hAnsi="Arial" w:cs="Arial"/>
        </w:rPr>
        <w:t xml:space="preserve"> </w:t>
      </w:r>
      <w:r w:rsidRPr="00FE5432">
        <w:rPr>
          <w:rFonts w:ascii="Arial" w:hAnsi="Arial" w:cs="Arial"/>
        </w:rPr>
        <w:tab/>
        <w:t>That is the language used in Rule 65 (1) of the Rules of the High Court</w:t>
      </w:r>
      <w:r>
        <w:rPr>
          <w:rFonts w:ascii="Arial" w:hAnsi="Arial" w:cs="Arial"/>
        </w:rPr>
        <w:t>: That rule reads as follows:</w:t>
      </w:r>
    </w:p>
    <w:p w:rsidR="00610ED7" w:rsidRPr="00160D65" w:rsidRDefault="00610ED7" w:rsidP="00FE5432">
      <w:pPr>
        <w:pStyle w:val="FootnoteText"/>
        <w:tabs>
          <w:tab w:val="left" w:pos="360"/>
          <w:tab w:val="left" w:pos="630"/>
          <w:tab w:val="left" w:pos="990"/>
        </w:tabs>
        <w:ind w:left="360"/>
        <w:jc w:val="both"/>
        <w:rPr>
          <w:rFonts w:ascii="Arial" w:hAnsi="Arial" w:cs="Arial"/>
          <w:lang w:val="en-US"/>
        </w:rPr>
      </w:pPr>
      <w:r>
        <w:rPr>
          <w:rFonts w:ascii="Arial" w:hAnsi="Arial" w:cs="Arial"/>
          <w:lang w:val="en-US"/>
        </w:rPr>
        <w:t>‘</w:t>
      </w:r>
      <w:r w:rsidRPr="00FE5432">
        <w:rPr>
          <w:rFonts w:ascii="Arial" w:hAnsi="Arial" w:cs="Arial"/>
          <w:lang w:val="en-US"/>
        </w:rPr>
        <w:t>65</w:t>
      </w:r>
      <w:r w:rsidRPr="00FE5432">
        <w:rPr>
          <w:rFonts w:ascii="Arial" w:hAnsi="Arial" w:cs="Arial"/>
          <w:lang w:val="en-US"/>
        </w:rPr>
        <w:tab/>
      </w:r>
      <w:r>
        <w:rPr>
          <w:rFonts w:ascii="Arial" w:hAnsi="Arial" w:cs="Arial"/>
          <w:lang w:val="en-US"/>
        </w:rPr>
        <w:t>(1)</w:t>
      </w:r>
      <w:r>
        <w:rPr>
          <w:rFonts w:ascii="Arial" w:hAnsi="Arial" w:cs="Arial"/>
          <w:lang w:val="en-US"/>
        </w:rPr>
        <w:tab/>
      </w:r>
      <w:r w:rsidRPr="00FE5432">
        <w:rPr>
          <w:rFonts w:ascii="Arial" w:hAnsi="Arial" w:cs="Arial"/>
          <w:lang w:val="en-US"/>
        </w:rPr>
        <w:t xml:space="preserve">Every application </w:t>
      </w:r>
      <w:r w:rsidRPr="00FE5432">
        <w:rPr>
          <w:rFonts w:ascii="Arial" w:hAnsi="Arial" w:cs="Arial"/>
          <w:u w:val="single"/>
          <w:lang w:val="en-US"/>
        </w:rPr>
        <w:t xml:space="preserve">must </w:t>
      </w:r>
      <w:r w:rsidRPr="00FE5432">
        <w:rPr>
          <w:rFonts w:ascii="Arial" w:hAnsi="Arial" w:cs="Arial"/>
          <w:lang w:val="en-US"/>
        </w:rPr>
        <w:t xml:space="preserve">be brought on notice of motion supported by affidavit as to the facts on which the applicant relies for relief and every application initiating new proceedings, not forming part of an existing cause or matter, commences with the issue of the notice of motion </w:t>
      </w:r>
      <w:r w:rsidRPr="00160D65">
        <w:rPr>
          <w:rFonts w:ascii="Arial" w:hAnsi="Arial" w:cs="Arial"/>
          <w:lang w:val="en-US"/>
        </w:rPr>
        <w:t>signed by the registrar, date stamped with the official stamp and uniquely numbered for identification purposes.’</w:t>
      </w:r>
    </w:p>
  </w:footnote>
  <w:footnote w:id="21">
    <w:p w:rsidR="00610ED7" w:rsidRPr="00160D65" w:rsidRDefault="00610ED7" w:rsidP="00FE5432">
      <w:pPr>
        <w:pStyle w:val="FootnoteText"/>
        <w:tabs>
          <w:tab w:val="left" w:pos="360"/>
        </w:tabs>
        <w:rPr>
          <w:rFonts w:ascii="Arial" w:hAnsi="Arial" w:cs="Arial"/>
          <w:lang w:val="en-US"/>
        </w:rPr>
      </w:pPr>
      <w:r w:rsidRPr="00160D65">
        <w:rPr>
          <w:rStyle w:val="FootnoteReference"/>
          <w:rFonts w:ascii="Arial" w:hAnsi="Arial" w:cs="Arial"/>
        </w:rPr>
        <w:footnoteRef/>
      </w:r>
      <w:r w:rsidRPr="00160D65">
        <w:rPr>
          <w:rFonts w:ascii="Arial" w:hAnsi="Arial" w:cs="Arial"/>
        </w:rPr>
        <w:t xml:space="preserve"> </w:t>
      </w:r>
      <w:r w:rsidRPr="00160D65">
        <w:rPr>
          <w:rFonts w:ascii="Arial" w:hAnsi="Arial" w:cs="Arial"/>
        </w:rPr>
        <w:tab/>
        <w:t xml:space="preserve">In </w:t>
      </w:r>
      <w:r w:rsidRPr="00160D65">
        <w:rPr>
          <w:rFonts w:ascii="Arial" w:hAnsi="Arial" w:cs="Arial"/>
          <w:i/>
          <w:lang w:val="en-US"/>
        </w:rPr>
        <w:t>Nelumbu and Others, v Hikumwah and Others (supra)</w:t>
      </w:r>
      <w:r w:rsidR="001D09E8">
        <w:rPr>
          <w:rFonts w:ascii="Arial" w:hAnsi="Arial" w:cs="Arial"/>
          <w:i/>
          <w:lang w:val="en-US"/>
        </w:rPr>
        <w:t>.</w:t>
      </w:r>
    </w:p>
  </w:footnote>
  <w:footnote w:id="22">
    <w:p w:rsidR="00610ED7" w:rsidRPr="00160D65" w:rsidRDefault="00610ED7" w:rsidP="00160D65">
      <w:pPr>
        <w:pStyle w:val="FootnoteText"/>
        <w:tabs>
          <w:tab w:val="left" w:pos="360"/>
        </w:tabs>
        <w:rPr>
          <w:rFonts w:ascii="Arial" w:hAnsi="Arial" w:cs="Arial"/>
          <w:lang w:val="en-US"/>
        </w:rPr>
      </w:pPr>
      <w:r w:rsidRPr="00160D65">
        <w:rPr>
          <w:rStyle w:val="FootnoteReference"/>
          <w:rFonts w:ascii="Arial" w:hAnsi="Arial" w:cs="Arial"/>
        </w:rPr>
        <w:footnoteRef/>
      </w:r>
      <w:r w:rsidRPr="00160D65">
        <w:rPr>
          <w:rFonts w:ascii="Arial" w:hAnsi="Arial" w:cs="Arial"/>
        </w:rPr>
        <w:t xml:space="preserve"> </w:t>
      </w:r>
      <w:r w:rsidRPr="00160D65">
        <w:rPr>
          <w:rFonts w:ascii="Arial" w:hAnsi="Arial" w:cs="Arial"/>
          <w:lang w:val="en-US"/>
        </w:rPr>
        <w:tab/>
      </w:r>
      <w:r w:rsidRPr="00160D65">
        <w:rPr>
          <w:rFonts w:ascii="Arial" w:hAnsi="Arial" w:cs="Arial"/>
        </w:rPr>
        <w:t xml:space="preserve">In </w:t>
      </w:r>
      <w:r w:rsidRPr="00160D65">
        <w:rPr>
          <w:rFonts w:ascii="Arial" w:hAnsi="Arial" w:cs="Arial"/>
          <w:i/>
        </w:rPr>
        <w:t xml:space="preserve">Swissborough Diamond Mines v Government of RSA </w:t>
      </w:r>
      <w:r w:rsidRPr="00160D65">
        <w:rPr>
          <w:rFonts w:ascii="Arial" w:hAnsi="Arial" w:cs="Arial"/>
        </w:rPr>
        <w:t>1999 (2) SA 279 (T) at 324F-G.</w:t>
      </w:r>
    </w:p>
  </w:footnote>
  <w:footnote w:id="23">
    <w:p w:rsidR="00610ED7" w:rsidRPr="00160D65" w:rsidRDefault="00610ED7" w:rsidP="00160D65">
      <w:pPr>
        <w:pStyle w:val="FootnoteText"/>
        <w:tabs>
          <w:tab w:val="left" w:pos="360"/>
        </w:tabs>
        <w:rPr>
          <w:lang w:val="en-US"/>
        </w:rPr>
      </w:pPr>
      <w:r w:rsidRPr="00160D65">
        <w:rPr>
          <w:rStyle w:val="FootnoteReference"/>
          <w:rFonts w:ascii="Arial" w:hAnsi="Arial" w:cs="Arial"/>
        </w:rPr>
        <w:footnoteRef/>
      </w:r>
      <w:r w:rsidRPr="00160D65">
        <w:rPr>
          <w:rFonts w:ascii="Arial" w:hAnsi="Arial" w:cs="Arial"/>
        </w:rPr>
        <w:t xml:space="preserve"> </w:t>
      </w:r>
      <w:r w:rsidRPr="00160D65">
        <w:rPr>
          <w:rFonts w:ascii="Arial" w:hAnsi="Arial" w:cs="Arial"/>
          <w:lang w:val="en-US"/>
        </w:rPr>
        <w:tab/>
      </w:r>
      <w:r w:rsidRPr="00160D65">
        <w:rPr>
          <w:rFonts w:ascii="Arial" w:hAnsi="Arial" w:cs="Arial"/>
          <w:i/>
          <w:lang w:val="en-US"/>
        </w:rPr>
        <w:t>Supra</w:t>
      </w:r>
      <w:r w:rsidRPr="00160D65">
        <w:rPr>
          <w:rFonts w:ascii="Arial" w:hAnsi="Arial" w:cs="Arial"/>
          <w:lang w:val="en-US"/>
        </w:rPr>
        <w:t xml:space="preserve"> (footnote 17).</w:t>
      </w:r>
    </w:p>
  </w:footnote>
  <w:footnote w:id="24">
    <w:p w:rsidR="00610ED7" w:rsidRPr="00A23458" w:rsidRDefault="00610ED7" w:rsidP="00A23458">
      <w:pPr>
        <w:tabs>
          <w:tab w:val="left" w:pos="360"/>
        </w:tabs>
        <w:spacing w:after="0" w:line="240" w:lineRule="auto"/>
        <w:ind w:left="360" w:hanging="360"/>
        <w:jc w:val="both"/>
        <w:rPr>
          <w:rFonts w:ascii="Arial" w:hAnsi="Arial" w:cs="Arial"/>
          <w:sz w:val="20"/>
          <w:szCs w:val="20"/>
        </w:rPr>
      </w:pPr>
      <w:r w:rsidRPr="00A23458">
        <w:rPr>
          <w:rStyle w:val="FootnoteReference"/>
          <w:rFonts w:ascii="Arial" w:hAnsi="Arial" w:cs="Arial"/>
          <w:sz w:val="20"/>
          <w:szCs w:val="20"/>
        </w:rPr>
        <w:footnoteRef/>
      </w:r>
      <w:r w:rsidRPr="00A23458">
        <w:rPr>
          <w:rFonts w:ascii="Arial" w:hAnsi="Arial" w:cs="Arial"/>
          <w:sz w:val="20"/>
          <w:szCs w:val="20"/>
          <w:lang w:val="en-US"/>
        </w:rPr>
        <w:tab/>
      </w:r>
      <w:r w:rsidRPr="003934CC">
        <w:rPr>
          <w:rFonts w:ascii="Arial" w:hAnsi="Arial" w:cs="Arial"/>
          <w:sz w:val="20"/>
          <w:szCs w:val="20"/>
          <w:lang w:val="en-US"/>
        </w:rPr>
        <w:t>2017 (1) NR 228 (HC)</w:t>
      </w:r>
      <w:r w:rsidRPr="00A23458">
        <w:rPr>
          <w:rFonts w:ascii="Arial" w:hAnsi="Arial" w:cs="Arial"/>
          <w:sz w:val="20"/>
          <w:szCs w:val="20"/>
        </w:rPr>
        <w:t>.</w:t>
      </w:r>
    </w:p>
    <w:p w:rsidR="00610ED7" w:rsidRPr="00A23458" w:rsidRDefault="00610ED7" w:rsidP="00A23458">
      <w:pPr>
        <w:pStyle w:val="FootnoteText"/>
        <w:tabs>
          <w:tab w:val="left" w:pos="360"/>
        </w:tabs>
        <w:rPr>
          <w:lang w:val="en-US"/>
        </w:rPr>
      </w:pPr>
    </w:p>
  </w:footnote>
  <w:footnote w:id="25">
    <w:p w:rsidR="00610ED7" w:rsidRPr="00934523" w:rsidRDefault="00610ED7" w:rsidP="00934523">
      <w:pPr>
        <w:pStyle w:val="FootnoteText"/>
        <w:tabs>
          <w:tab w:val="left" w:pos="360"/>
        </w:tabs>
        <w:rPr>
          <w:rFonts w:ascii="Arial" w:hAnsi="Arial" w:cs="Arial"/>
          <w:lang w:val="en-US"/>
        </w:rPr>
      </w:pPr>
      <w:r w:rsidRPr="00934523">
        <w:rPr>
          <w:rStyle w:val="FootnoteReference"/>
          <w:rFonts w:ascii="Arial" w:hAnsi="Arial" w:cs="Arial"/>
        </w:rPr>
        <w:footnoteRef/>
      </w:r>
      <w:r w:rsidRPr="00934523">
        <w:rPr>
          <w:rFonts w:ascii="Arial" w:hAnsi="Arial" w:cs="Arial"/>
        </w:rPr>
        <w:t xml:space="preserve"> </w:t>
      </w:r>
      <w:r w:rsidRPr="00934523">
        <w:rPr>
          <w:rFonts w:ascii="Arial" w:hAnsi="Arial" w:cs="Arial"/>
        </w:rPr>
        <w:tab/>
        <w:t>2004 (2) SACR 208 (SCA) at para [21].</w:t>
      </w:r>
    </w:p>
  </w:footnote>
  <w:footnote w:id="26">
    <w:p w:rsidR="00610ED7" w:rsidRPr="00EC3E79" w:rsidRDefault="00610ED7" w:rsidP="00EC3E79">
      <w:pPr>
        <w:pStyle w:val="FootnoteText"/>
        <w:tabs>
          <w:tab w:val="left" w:pos="360"/>
        </w:tabs>
        <w:ind w:left="360" w:hanging="360"/>
        <w:jc w:val="both"/>
        <w:rPr>
          <w:rFonts w:ascii="Arial" w:hAnsi="Arial" w:cs="Arial"/>
          <w:lang w:val="en-US"/>
        </w:rPr>
      </w:pPr>
      <w:r w:rsidRPr="00EC3E79">
        <w:rPr>
          <w:rStyle w:val="FootnoteReference"/>
          <w:rFonts w:ascii="Arial" w:hAnsi="Arial" w:cs="Arial"/>
        </w:rPr>
        <w:footnoteRef/>
      </w:r>
      <w:r w:rsidRPr="00EC3E79">
        <w:rPr>
          <w:rFonts w:ascii="Arial" w:hAnsi="Arial" w:cs="Arial"/>
        </w:rPr>
        <w:t xml:space="preserve"> </w:t>
      </w:r>
      <w:r w:rsidRPr="00EC3E79">
        <w:rPr>
          <w:rFonts w:ascii="Arial" w:hAnsi="Arial" w:cs="Arial"/>
          <w:lang w:val="en-US"/>
        </w:rPr>
        <w:tab/>
        <w:t xml:space="preserve">See </w:t>
      </w:r>
      <w:r w:rsidRPr="00EC3E79">
        <w:rPr>
          <w:rFonts w:ascii="Arial" w:hAnsi="Arial" w:cs="Arial"/>
          <w:i/>
          <w:lang w:val="en-US"/>
        </w:rPr>
        <w:t>Prosecutor General v Kennedy</w:t>
      </w:r>
      <w:r w:rsidRPr="00EC3E79">
        <w:rPr>
          <w:rFonts w:ascii="Arial" w:hAnsi="Arial" w:cs="Arial"/>
          <w:lang w:val="en-US"/>
        </w:rPr>
        <w:t xml:space="preserve"> (</w:t>
      </w:r>
      <w:r w:rsidRPr="00EC3E79">
        <w:rPr>
          <w:rFonts w:ascii="Arial" w:hAnsi="Arial" w:cs="Arial"/>
          <w:i/>
          <w:lang w:val="en-US"/>
        </w:rPr>
        <w:t>supra</w:t>
      </w:r>
      <w:r w:rsidRPr="00EC3E79">
        <w:rPr>
          <w:rFonts w:ascii="Arial" w:hAnsi="Arial" w:cs="Arial"/>
          <w:lang w:val="en-US"/>
        </w:rPr>
        <w:t xml:space="preserve">) </w:t>
      </w:r>
      <w:r w:rsidRPr="00EC3E79">
        <w:rPr>
          <w:rFonts w:ascii="Arial" w:hAnsi="Arial" w:cs="Arial"/>
          <w:i/>
        </w:rPr>
        <w:t xml:space="preserve">The Prosecutor-General </w:t>
      </w:r>
      <w:r>
        <w:rPr>
          <w:rFonts w:ascii="Arial" w:hAnsi="Arial" w:cs="Arial"/>
          <w:i/>
        </w:rPr>
        <w:t xml:space="preserve">v </w:t>
      </w:r>
      <w:r w:rsidRPr="00EC3E79">
        <w:rPr>
          <w:rFonts w:ascii="Arial" w:hAnsi="Arial" w:cs="Arial"/>
          <w:i/>
        </w:rPr>
        <w:t xml:space="preserve">New Africa Dimensions CC And Two others </w:t>
      </w:r>
      <w:r w:rsidRPr="00EC3E79">
        <w:rPr>
          <w:rFonts w:ascii="Arial" w:hAnsi="Arial" w:cs="Arial"/>
        </w:rPr>
        <w:t>(POCA 10/2012) [2016] NAHCMD 123 (20 April 2016)</w:t>
      </w:r>
      <w:r w:rsidRPr="00EC3E79">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D7" w:rsidRPr="005C4F3B" w:rsidRDefault="00610ED7">
    <w:pPr>
      <w:pStyle w:val="Header"/>
      <w:jc w:val="right"/>
      <w:rPr>
        <w:rFonts w:ascii="Arial" w:hAnsi="Arial" w:cs="Arial"/>
        <w:b/>
      </w:rPr>
    </w:pPr>
    <w:r w:rsidRPr="005C4F3B">
      <w:rPr>
        <w:rFonts w:ascii="Arial" w:hAnsi="Arial" w:cs="Arial"/>
        <w:b/>
      </w:rPr>
      <w:fldChar w:fldCharType="begin"/>
    </w:r>
    <w:r w:rsidRPr="005C4F3B">
      <w:rPr>
        <w:rFonts w:ascii="Arial" w:hAnsi="Arial" w:cs="Arial"/>
        <w:b/>
      </w:rPr>
      <w:instrText xml:space="preserve"> PAGE   \* MERGEFORMAT </w:instrText>
    </w:r>
    <w:r w:rsidRPr="005C4F3B">
      <w:rPr>
        <w:rFonts w:ascii="Arial" w:hAnsi="Arial" w:cs="Arial"/>
        <w:b/>
      </w:rPr>
      <w:fldChar w:fldCharType="separate"/>
    </w:r>
    <w:r w:rsidR="00A27C3A">
      <w:rPr>
        <w:rFonts w:ascii="Arial" w:hAnsi="Arial" w:cs="Arial"/>
        <w:b/>
        <w:noProof/>
      </w:rPr>
      <w:t>4</w:t>
    </w:r>
    <w:r w:rsidRPr="005C4F3B">
      <w:rPr>
        <w:rFonts w:ascii="Arial" w:hAnsi="Arial" w:cs="Arial"/>
        <w:b/>
        <w:noProof/>
      </w:rPr>
      <w:fldChar w:fldCharType="end"/>
    </w:r>
  </w:p>
  <w:p w:rsidR="00610ED7" w:rsidRDefault="0061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5B83B86"/>
    <w:lvl w:ilvl="0">
      <w:start w:val="1"/>
      <w:numFmt w:val="decimal"/>
      <w:pStyle w:val="Heading1"/>
      <w:lvlText w:val="[%1]"/>
      <w:lvlJc w:val="left"/>
      <w:pPr>
        <w:tabs>
          <w:tab w:val="num" w:pos="73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15:restartNumberingAfterBreak="0">
    <w:nsid w:val="029C368D"/>
    <w:multiLevelType w:val="multilevel"/>
    <w:tmpl w:val="E826AFB6"/>
    <w:lvl w:ilvl="0">
      <w:start w:val="26"/>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A9B0F30"/>
    <w:multiLevelType w:val="hybridMultilevel"/>
    <w:tmpl w:val="C26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B5026"/>
    <w:multiLevelType w:val="hybridMultilevel"/>
    <w:tmpl w:val="4FBC6F3C"/>
    <w:lvl w:ilvl="0" w:tplc="287093F2">
      <w:start w:val="1"/>
      <w:numFmt w:val="lowerLetter"/>
      <w:lvlText w:val="(%1)"/>
      <w:lvlJc w:val="left"/>
      <w:pPr>
        <w:ind w:left="719" w:hanging="435"/>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15:restartNumberingAfterBreak="0">
    <w:nsid w:val="17FB3DC9"/>
    <w:multiLevelType w:val="hybridMultilevel"/>
    <w:tmpl w:val="23ACD950"/>
    <w:lvl w:ilvl="0" w:tplc="EA4619A4">
      <w:start w:val="1"/>
      <w:numFmt w:val="lowerLetter"/>
      <w:lvlText w:val="(%1)"/>
      <w:lvlJc w:val="left"/>
      <w:pPr>
        <w:ind w:left="180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764C27"/>
    <w:multiLevelType w:val="hybridMultilevel"/>
    <w:tmpl w:val="8E1EB77E"/>
    <w:lvl w:ilvl="0" w:tplc="38441A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DD4730D"/>
    <w:multiLevelType w:val="hybridMultilevel"/>
    <w:tmpl w:val="94B6A5A8"/>
    <w:lvl w:ilvl="0" w:tplc="CFDA7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80D"/>
    <w:multiLevelType w:val="hybridMultilevel"/>
    <w:tmpl w:val="E33E810C"/>
    <w:lvl w:ilvl="0" w:tplc="EA4619A4">
      <w:start w:val="1"/>
      <w:numFmt w:val="lowerLetter"/>
      <w:lvlText w:val="(%1)"/>
      <w:lvlJc w:val="left"/>
      <w:pPr>
        <w:ind w:left="186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8" w15:restartNumberingAfterBreak="0">
    <w:nsid w:val="25FF600B"/>
    <w:multiLevelType w:val="hybridMultilevel"/>
    <w:tmpl w:val="A8ECE478"/>
    <w:lvl w:ilvl="0" w:tplc="92FE9AB6">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D65877"/>
    <w:multiLevelType w:val="hybridMultilevel"/>
    <w:tmpl w:val="3ED4AE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EDC6CF7"/>
    <w:multiLevelType w:val="hybridMultilevel"/>
    <w:tmpl w:val="A816E9E8"/>
    <w:lvl w:ilvl="0" w:tplc="2B76C4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A6ED3"/>
    <w:multiLevelType w:val="multilevel"/>
    <w:tmpl w:val="6CC6517C"/>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319F578D"/>
    <w:multiLevelType w:val="hybridMultilevel"/>
    <w:tmpl w:val="C1381E18"/>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D71B07"/>
    <w:multiLevelType w:val="hybridMultilevel"/>
    <w:tmpl w:val="CBE240AC"/>
    <w:lvl w:ilvl="0" w:tplc="8444A5F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BF484B"/>
    <w:multiLevelType w:val="multilevel"/>
    <w:tmpl w:val="5654262C"/>
    <w:lvl w:ilvl="0">
      <w:start w:val="1"/>
      <w:numFmt w:val="decimal"/>
      <w:lvlText w:val="%1"/>
      <w:lvlJc w:val="left"/>
      <w:pPr>
        <w:ind w:left="4050" w:hanging="360"/>
      </w:pPr>
      <w:rPr>
        <w:rFonts w:hint="default"/>
      </w:rPr>
    </w:lvl>
    <w:lvl w:ilvl="1">
      <w:start w:val="1"/>
      <w:numFmt w:val="decimal"/>
      <w:isLgl/>
      <w:lvlText w:val="%1.%2"/>
      <w:lvlJc w:val="left"/>
      <w:pPr>
        <w:ind w:left="4050" w:hanging="360"/>
      </w:pPr>
      <w:rPr>
        <w:rFonts w:hint="default"/>
      </w:rPr>
    </w:lvl>
    <w:lvl w:ilvl="2">
      <w:start w:val="1"/>
      <w:numFmt w:val="decimal"/>
      <w:isLgl/>
      <w:lvlText w:val="%1.%2.%3"/>
      <w:lvlJc w:val="left"/>
      <w:pPr>
        <w:ind w:left="4410" w:hanging="720"/>
      </w:pPr>
      <w:rPr>
        <w:rFonts w:hint="default"/>
      </w:rPr>
    </w:lvl>
    <w:lvl w:ilvl="3">
      <w:start w:val="1"/>
      <w:numFmt w:val="decimal"/>
      <w:isLgl/>
      <w:lvlText w:val="%1.%2.%3.%4"/>
      <w:lvlJc w:val="left"/>
      <w:pPr>
        <w:ind w:left="4770" w:hanging="108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130"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5490" w:hanging="1800"/>
      </w:pPr>
      <w:rPr>
        <w:rFonts w:hint="default"/>
      </w:rPr>
    </w:lvl>
  </w:abstractNum>
  <w:abstractNum w:abstractNumId="15" w15:restartNumberingAfterBreak="0">
    <w:nsid w:val="40471DF7"/>
    <w:multiLevelType w:val="hybridMultilevel"/>
    <w:tmpl w:val="7404565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6" w15:restartNumberingAfterBreak="0">
    <w:nsid w:val="42C3709B"/>
    <w:multiLevelType w:val="hybridMultilevel"/>
    <w:tmpl w:val="F4027E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4FB1F82"/>
    <w:multiLevelType w:val="hybridMultilevel"/>
    <w:tmpl w:val="8C20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0C08"/>
    <w:multiLevelType w:val="hybridMultilevel"/>
    <w:tmpl w:val="FFEEEAE2"/>
    <w:lvl w:ilvl="0" w:tplc="9A285EB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823EE"/>
    <w:multiLevelType w:val="hybridMultilevel"/>
    <w:tmpl w:val="FDE622CC"/>
    <w:lvl w:ilvl="0" w:tplc="4022E5F2">
      <w:start w:val="64"/>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4740CB"/>
    <w:multiLevelType w:val="hybridMultilevel"/>
    <w:tmpl w:val="03EA85C2"/>
    <w:lvl w:ilvl="0" w:tplc="FAEAAE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D586E2B"/>
    <w:multiLevelType w:val="hybridMultilevel"/>
    <w:tmpl w:val="7DDE105E"/>
    <w:lvl w:ilvl="0" w:tplc="6DE66E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1155FA9"/>
    <w:multiLevelType w:val="hybridMultilevel"/>
    <w:tmpl w:val="BAD8A2FC"/>
    <w:lvl w:ilvl="0" w:tplc="E0A006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AD72E9"/>
    <w:multiLevelType w:val="hybridMultilevel"/>
    <w:tmpl w:val="0E82D18C"/>
    <w:lvl w:ilvl="0" w:tplc="EA4619A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58BA1301"/>
    <w:multiLevelType w:val="hybridMultilevel"/>
    <w:tmpl w:val="C038A596"/>
    <w:lvl w:ilvl="0" w:tplc="57C69CE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5" w15:restartNumberingAfterBreak="0">
    <w:nsid w:val="594E581C"/>
    <w:multiLevelType w:val="hybridMultilevel"/>
    <w:tmpl w:val="F5E86E3E"/>
    <w:lvl w:ilvl="0" w:tplc="847C0E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15:restartNumberingAfterBreak="0">
    <w:nsid w:val="5C1D1D23"/>
    <w:multiLevelType w:val="hybridMultilevel"/>
    <w:tmpl w:val="DE6C9502"/>
    <w:lvl w:ilvl="0" w:tplc="847C0E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C8407AB"/>
    <w:multiLevelType w:val="hybridMultilevel"/>
    <w:tmpl w:val="AEC2C500"/>
    <w:lvl w:ilvl="0" w:tplc="8CC01A7E">
      <w:start w:val="6"/>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224465F"/>
    <w:multiLevelType w:val="hybridMultilevel"/>
    <w:tmpl w:val="D64224A2"/>
    <w:lvl w:ilvl="0" w:tplc="56C6734E">
      <w:start w:val="1"/>
      <w:numFmt w:val="lowerLetter"/>
      <w:lvlText w:val="(%1)"/>
      <w:lvlJc w:val="left"/>
      <w:pPr>
        <w:ind w:left="1973" w:hanging="55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9" w15:restartNumberingAfterBreak="0">
    <w:nsid w:val="6D01135B"/>
    <w:multiLevelType w:val="hybridMultilevel"/>
    <w:tmpl w:val="AD58B7DC"/>
    <w:lvl w:ilvl="0" w:tplc="A9A4AA0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2727DB"/>
    <w:multiLevelType w:val="hybridMultilevel"/>
    <w:tmpl w:val="DC14A68A"/>
    <w:lvl w:ilvl="0" w:tplc="A386E18C">
      <w:start w:val="5"/>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2711E24"/>
    <w:multiLevelType w:val="multilevel"/>
    <w:tmpl w:val="C7E4FCC2"/>
    <w:lvl w:ilvl="0">
      <w:start w:val="4"/>
      <w:numFmt w:val="decimal"/>
      <w:lvlText w:val="%1"/>
      <w:lvlJc w:val="left"/>
      <w:pPr>
        <w:ind w:left="360" w:hanging="360"/>
      </w:pPr>
      <w:rPr>
        <w:rFonts w:hint="default"/>
      </w:rPr>
    </w:lvl>
    <w:lvl w:ilvl="1">
      <w:start w:val="1"/>
      <w:numFmt w:val="decimal"/>
      <w:lvlText w:val="%1.%2"/>
      <w:lvlJc w:val="left"/>
      <w:pPr>
        <w:ind w:left="1411" w:hanging="849"/>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AC7410"/>
    <w:multiLevelType w:val="hybridMultilevel"/>
    <w:tmpl w:val="1FD80DF2"/>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8036FF3"/>
    <w:multiLevelType w:val="hybridMultilevel"/>
    <w:tmpl w:val="FCA4D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5A70A3"/>
    <w:multiLevelType w:val="hybridMultilevel"/>
    <w:tmpl w:val="ECDA22F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9"/>
  </w:num>
  <w:num w:numId="2">
    <w:abstractNumId w:val="27"/>
  </w:num>
  <w:num w:numId="3">
    <w:abstractNumId w:val="16"/>
  </w:num>
  <w:num w:numId="4">
    <w:abstractNumId w:val="8"/>
  </w:num>
  <w:num w:numId="5">
    <w:abstractNumId w:val="0"/>
  </w:num>
  <w:num w:numId="6">
    <w:abstractNumId w:val="3"/>
  </w:num>
  <w:num w:numId="7">
    <w:abstractNumId w:val="13"/>
  </w:num>
  <w:num w:numId="8">
    <w:abstractNumId w:val="22"/>
  </w:num>
  <w:num w:numId="9">
    <w:abstractNumId w:val="28"/>
  </w:num>
  <w:num w:numId="10">
    <w:abstractNumId w:val="29"/>
  </w:num>
  <w:num w:numId="11">
    <w:abstractNumId w:val="30"/>
  </w:num>
  <w:num w:numId="12">
    <w:abstractNumId w:val="21"/>
  </w:num>
  <w:num w:numId="13">
    <w:abstractNumId w:val="34"/>
  </w:num>
  <w:num w:numId="14">
    <w:abstractNumId w:val="15"/>
  </w:num>
  <w:num w:numId="15">
    <w:abstractNumId w:val="11"/>
  </w:num>
  <w:num w:numId="16">
    <w:abstractNumId w:val="24"/>
  </w:num>
  <w:num w:numId="17">
    <w:abstractNumId w:val="33"/>
  </w:num>
  <w:num w:numId="18">
    <w:abstractNumId w:val="20"/>
  </w:num>
  <w:num w:numId="19">
    <w:abstractNumId w:val="14"/>
  </w:num>
  <w:num w:numId="20">
    <w:abstractNumId w:val="5"/>
  </w:num>
  <w:num w:numId="21">
    <w:abstractNumId w:val="12"/>
  </w:num>
  <w:num w:numId="22">
    <w:abstractNumId w:val="31"/>
  </w:num>
  <w:num w:numId="23">
    <w:abstractNumId w:val="18"/>
  </w:num>
  <w:num w:numId="24">
    <w:abstractNumId w:val="26"/>
  </w:num>
  <w:num w:numId="25">
    <w:abstractNumId w:val="25"/>
  </w:num>
  <w:num w:numId="26">
    <w:abstractNumId w:val="23"/>
  </w:num>
  <w:num w:numId="27">
    <w:abstractNumId w:val="4"/>
  </w:num>
  <w:num w:numId="28">
    <w:abstractNumId w:val="7"/>
  </w:num>
  <w:num w:numId="29">
    <w:abstractNumId w:val="32"/>
  </w:num>
  <w:num w:numId="30">
    <w:abstractNumId w:val="10"/>
  </w:num>
  <w:num w:numId="31">
    <w:abstractNumId w:val="17"/>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81"/>
    <w:rsid w:val="000013D1"/>
    <w:rsid w:val="0000453E"/>
    <w:rsid w:val="00004CE2"/>
    <w:rsid w:val="00010C7A"/>
    <w:rsid w:val="00011EDA"/>
    <w:rsid w:val="00012D70"/>
    <w:rsid w:val="00017CE2"/>
    <w:rsid w:val="0002292E"/>
    <w:rsid w:val="00033DE6"/>
    <w:rsid w:val="000409F6"/>
    <w:rsid w:val="00042560"/>
    <w:rsid w:val="00045BED"/>
    <w:rsid w:val="00053538"/>
    <w:rsid w:val="000537BA"/>
    <w:rsid w:val="00053EA3"/>
    <w:rsid w:val="0005580C"/>
    <w:rsid w:val="00063447"/>
    <w:rsid w:val="00070221"/>
    <w:rsid w:val="000705B0"/>
    <w:rsid w:val="000761B8"/>
    <w:rsid w:val="00084267"/>
    <w:rsid w:val="00084962"/>
    <w:rsid w:val="00085E78"/>
    <w:rsid w:val="000941F2"/>
    <w:rsid w:val="00096B37"/>
    <w:rsid w:val="000979C8"/>
    <w:rsid w:val="000A1BE9"/>
    <w:rsid w:val="000B04E7"/>
    <w:rsid w:val="000B2AE3"/>
    <w:rsid w:val="000B4AC2"/>
    <w:rsid w:val="000C32D2"/>
    <w:rsid w:val="000C7E3C"/>
    <w:rsid w:val="000E0782"/>
    <w:rsid w:val="000E1EA9"/>
    <w:rsid w:val="000F2CA4"/>
    <w:rsid w:val="000F3AA3"/>
    <w:rsid w:val="000F5E88"/>
    <w:rsid w:val="000F76FE"/>
    <w:rsid w:val="001000D2"/>
    <w:rsid w:val="001018E8"/>
    <w:rsid w:val="00102DD6"/>
    <w:rsid w:val="00105F7C"/>
    <w:rsid w:val="00112716"/>
    <w:rsid w:val="00113033"/>
    <w:rsid w:val="001200DC"/>
    <w:rsid w:val="0012363E"/>
    <w:rsid w:val="001252E2"/>
    <w:rsid w:val="00125787"/>
    <w:rsid w:val="00136643"/>
    <w:rsid w:val="00140446"/>
    <w:rsid w:val="00141403"/>
    <w:rsid w:val="001451F1"/>
    <w:rsid w:val="00150E6C"/>
    <w:rsid w:val="00152231"/>
    <w:rsid w:val="00153700"/>
    <w:rsid w:val="00160D65"/>
    <w:rsid w:val="00166E53"/>
    <w:rsid w:val="0016767F"/>
    <w:rsid w:val="00172523"/>
    <w:rsid w:val="00174FE2"/>
    <w:rsid w:val="00183E61"/>
    <w:rsid w:val="0018507F"/>
    <w:rsid w:val="00191263"/>
    <w:rsid w:val="001940C3"/>
    <w:rsid w:val="0019565A"/>
    <w:rsid w:val="00195FFF"/>
    <w:rsid w:val="001A03FA"/>
    <w:rsid w:val="001A0F05"/>
    <w:rsid w:val="001A1DEE"/>
    <w:rsid w:val="001A6296"/>
    <w:rsid w:val="001C1A11"/>
    <w:rsid w:val="001C4F41"/>
    <w:rsid w:val="001C681C"/>
    <w:rsid w:val="001D09E8"/>
    <w:rsid w:val="001D0D07"/>
    <w:rsid w:val="001D38AB"/>
    <w:rsid w:val="001E3DCB"/>
    <w:rsid w:val="001E3FC8"/>
    <w:rsid w:val="001E4DA6"/>
    <w:rsid w:val="001E59B5"/>
    <w:rsid w:val="001F16C9"/>
    <w:rsid w:val="0020251D"/>
    <w:rsid w:val="0020443E"/>
    <w:rsid w:val="00207AE8"/>
    <w:rsid w:val="00212D12"/>
    <w:rsid w:val="00217FBE"/>
    <w:rsid w:val="00223371"/>
    <w:rsid w:val="00231D49"/>
    <w:rsid w:val="002336FF"/>
    <w:rsid w:val="00237413"/>
    <w:rsid w:val="002401CC"/>
    <w:rsid w:val="00242C69"/>
    <w:rsid w:val="00243DBA"/>
    <w:rsid w:val="00244481"/>
    <w:rsid w:val="002457C1"/>
    <w:rsid w:val="00246ECA"/>
    <w:rsid w:val="00252311"/>
    <w:rsid w:val="00252516"/>
    <w:rsid w:val="00252F84"/>
    <w:rsid w:val="002547FB"/>
    <w:rsid w:val="002610D8"/>
    <w:rsid w:val="0026224A"/>
    <w:rsid w:val="002647C0"/>
    <w:rsid w:val="00270C1D"/>
    <w:rsid w:val="0027564E"/>
    <w:rsid w:val="00286118"/>
    <w:rsid w:val="002A2C21"/>
    <w:rsid w:val="002A3B49"/>
    <w:rsid w:val="002B3917"/>
    <w:rsid w:val="002B4CDB"/>
    <w:rsid w:val="002C04A9"/>
    <w:rsid w:val="002D60FB"/>
    <w:rsid w:val="002E3874"/>
    <w:rsid w:val="002F0553"/>
    <w:rsid w:val="00301815"/>
    <w:rsid w:val="00302567"/>
    <w:rsid w:val="00304AA0"/>
    <w:rsid w:val="00320232"/>
    <w:rsid w:val="00326748"/>
    <w:rsid w:val="00341876"/>
    <w:rsid w:val="00346D3A"/>
    <w:rsid w:val="00347984"/>
    <w:rsid w:val="00350625"/>
    <w:rsid w:val="00350D4E"/>
    <w:rsid w:val="00351578"/>
    <w:rsid w:val="00352BC6"/>
    <w:rsid w:val="00354E20"/>
    <w:rsid w:val="00361D47"/>
    <w:rsid w:val="00366EAF"/>
    <w:rsid w:val="00371154"/>
    <w:rsid w:val="00372B59"/>
    <w:rsid w:val="00382D9E"/>
    <w:rsid w:val="00384B2C"/>
    <w:rsid w:val="003934CC"/>
    <w:rsid w:val="00394E69"/>
    <w:rsid w:val="003A0250"/>
    <w:rsid w:val="003A39D1"/>
    <w:rsid w:val="003A7197"/>
    <w:rsid w:val="003B3C6A"/>
    <w:rsid w:val="003B76A7"/>
    <w:rsid w:val="003C04DF"/>
    <w:rsid w:val="003C33BC"/>
    <w:rsid w:val="003D03E1"/>
    <w:rsid w:val="003D07EC"/>
    <w:rsid w:val="003D1139"/>
    <w:rsid w:val="003D1BB9"/>
    <w:rsid w:val="003D77D5"/>
    <w:rsid w:val="003E0674"/>
    <w:rsid w:val="003E1456"/>
    <w:rsid w:val="003E1850"/>
    <w:rsid w:val="003E6FF3"/>
    <w:rsid w:val="003F2004"/>
    <w:rsid w:val="003F2BDA"/>
    <w:rsid w:val="003F6A5A"/>
    <w:rsid w:val="003F6B77"/>
    <w:rsid w:val="004021A7"/>
    <w:rsid w:val="004031B4"/>
    <w:rsid w:val="0040496A"/>
    <w:rsid w:val="0041071B"/>
    <w:rsid w:val="004114FB"/>
    <w:rsid w:val="00412864"/>
    <w:rsid w:val="00416098"/>
    <w:rsid w:val="00423767"/>
    <w:rsid w:val="00424F0D"/>
    <w:rsid w:val="00442E49"/>
    <w:rsid w:val="004533E5"/>
    <w:rsid w:val="00454190"/>
    <w:rsid w:val="00455A61"/>
    <w:rsid w:val="00455FD7"/>
    <w:rsid w:val="00456E57"/>
    <w:rsid w:val="004639C5"/>
    <w:rsid w:val="00475BA2"/>
    <w:rsid w:val="004816C9"/>
    <w:rsid w:val="00481B22"/>
    <w:rsid w:val="004940FB"/>
    <w:rsid w:val="00496495"/>
    <w:rsid w:val="00497F3A"/>
    <w:rsid w:val="004B23E1"/>
    <w:rsid w:val="004B4139"/>
    <w:rsid w:val="004B78C9"/>
    <w:rsid w:val="004B7E9B"/>
    <w:rsid w:val="004C12C4"/>
    <w:rsid w:val="004C62BE"/>
    <w:rsid w:val="004C6336"/>
    <w:rsid w:val="004D269B"/>
    <w:rsid w:val="004D282D"/>
    <w:rsid w:val="004D4C5B"/>
    <w:rsid w:val="004D6F7F"/>
    <w:rsid w:val="004E3BFD"/>
    <w:rsid w:val="004E515A"/>
    <w:rsid w:val="004E5719"/>
    <w:rsid w:val="004E5DB6"/>
    <w:rsid w:val="004F6DA8"/>
    <w:rsid w:val="004F7883"/>
    <w:rsid w:val="004F78D9"/>
    <w:rsid w:val="00500A53"/>
    <w:rsid w:val="00503E96"/>
    <w:rsid w:val="00506CEF"/>
    <w:rsid w:val="00506F69"/>
    <w:rsid w:val="00511E7D"/>
    <w:rsid w:val="00512A48"/>
    <w:rsid w:val="005130DF"/>
    <w:rsid w:val="00513B50"/>
    <w:rsid w:val="00516144"/>
    <w:rsid w:val="00520D1A"/>
    <w:rsid w:val="00526306"/>
    <w:rsid w:val="0053233D"/>
    <w:rsid w:val="005353A1"/>
    <w:rsid w:val="00541D59"/>
    <w:rsid w:val="00546DD4"/>
    <w:rsid w:val="0055284E"/>
    <w:rsid w:val="00565073"/>
    <w:rsid w:val="00570C25"/>
    <w:rsid w:val="005729EB"/>
    <w:rsid w:val="00574299"/>
    <w:rsid w:val="00575548"/>
    <w:rsid w:val="00586188"/>
    <w:rsid w:val="00595062"/>
    <w:rsid w:val="00596C4B"/>
    <w:rsid w:val="005972F8"/>
    <w:rsid w:val="005A3D48"/>
    <w:rsid w:val="005A4DDD"/>
    <w:rsid w:val="005A5331"/>
    <w:rsid w:val="005B17A1"/>
    <w:rsid w:val="005B32B6"/>
    <w:rsid w:val="005B4B80"/>
    <w:rsid w:val="005C2B98"/>
    <w:rsid w:val="005C7296"/>
    <w:rsid w:val="005D38CE"/>
    <w:rsid w:val="005D5B2D"/>
    <w:rsid w:val="005D6F28"/>
    <w:rsid w:val="005E5AD1"/>
    <w:rsid w:val="005E6B83"/>
    <w:rsid w:val="005F35C2"/>
    <w:rsid w:val="005F391F"/>
    <w:rsid w:val="005F3C31"/>
    <w:rsid w:val="00601BC2"/>
    <w:rsid w:val="00607638"/>
    <w:rsid w:val="00610ED7"/>
    <w:rsid w:val="00613AA7"/>
    <w:rsid w:val="00613D3A"/>
    <w:rsid w:val="00614442"/>
    <w:rsid w:val="00616F56"/>
    <w:rsid w:val="0062130A"/>
    <w:rsid w:val="00621472"/>
    <w:rsid w:val="00621BD5"/>
    <w:rsid w:val="0062243D"/>
    <w:rsid w:val="00641D9E"/>
    <w:rsid w:val="00644222"/>
    <w:rsid w:val="00644297"/>
    <w:rsid w:val="006467E4"/>
    <w:rsid w:val="006674D9"/>
    <w:rsid w:val="006722E3"/>
    <w:rsid w:val="0068007E"/>
    <w:rsid w:val="006835A2"/>
    <w:rsid w:val="006853C8"/>
    <w:rsid w:val="00692A42"/>
    <w:rsid w:val="00696549"/>
    <w:rsid w:val="006A1C0D"/>
    <w:rsid w:val="006A4A48"/>
    <w:rsid w:val="006A4D9C"/>
    <w:rsid w:val="006B4C39"/>
    <w:rsid w:val="006C027B"/>
    <w:rsid w:val="006C0855"/>
    <w:rsid w:val="006C5114"/>
    <w:rsid w:val="006C6544"/>
    <w:rsid w:val="006C7EEF"/>
    <w:rsid w:val="006D44AB"/>
    <w:rsid w:val="006D61D8"/>
    <w:rsid w:val="006E3A99"/>
    <w:rsid w:val="006F2CF9"/>
    <w:rsid w:val="006F4C46"/>
    <w:rsid w:val="00700FDA"/>
    <w:rsid w:val="00710EAD"/>
    <w:rsid w:val="00712076"/>
    <w:rsid w:val="00720BBB"/>
    <w:rsid w:val="00724404"/>
    <w:rsid w:val="00730F01"/>
    <w:rsid w:val="007331CC"/>
    <w:rsid w:val="00741331"/>
    <w:rsid w:val="007413CB"/>
    <w:rsid w:val="007441B0"/>
    <w:rsid w:val="0074543A"/>
    <w:rsid w:val="00753933"/>
    <w:rsid w:val="00763253"/>
    <w:rsid w:val="0076353C"/>
    <w:rsid w:val="00765B9B"/>
    <w:rsid w:val="00771C8A"/>
    <w:rsid w:val="00775D45"/>
    <w:rsid w:val="00780109"/>
    <w:rsid w:val="0078126B"/>
    <w:rsid w:val="00785B98"/>
    <w:rsid w:val="00786B01"/>
    <w:rsid w:val="00790B10"/>
    <w:rsid w:val="007A0D22"/>
    <w:rsid w:val="007A3761"/>
    <w:rsid w:val="007A6BEE"/>
    <w:rsid w:val="007A6F4E"/>
    <w:rsid w:val="007B01B3"/>
    <w:rsid w:val="007B6B36"/>
    <w:rsid w:val="007C44B4"/>
    <w:rsid w:val="007D1B3D"/>
    <w:rsid w:val="007D77F2"/>
    <w:rsid w:val="007E2AF8"/>
    <w:rsid w:val="007E6D67"/>
    <w:rsid w:val="007F3998"/>
    <w:rsid w:val="007F61EC"/>
    <w:rsid w:val="007F65F9"/>
    <w:rsid w:val="00805F15"/>
    <w:rsid w:val="0081365F"/>
    <w:rsid w:val="00822D83"/>
    <w:rsid w:val="00827EB2"/>
    <w:rsid w:val="00843945"/>
    <w:rsid w:val="00843A63"/>
    <w:rsid w:val="008474A7"/>
    <w:rsid w:val="00852EC7"/>
    <w:rsid w:val="008545B4"/>
    <w:rsid w:val="00854741"/>
    <w:rsid w:val="008571D3"/>
    <w:rsid w:val="0087186F"/>
    <w:rsid w:val="00875FBB"/>
    <w:rsid w:val="008802FD"/>
    <w:rsid w:val="00894F60"/>
    <w:rsid w:val="008A0BE9"/>
    <w:rsid w:val="008A4DF3"/>
    <w:rsid w:val="008A67E0"/>
    <w:rsid w:val="008B2C01"/>
    <w:rsid w:val="008B6968"/>
    <w:rsid w:val="008B6AF0"/>
    <w:rsid w:val="008C0E11"/>
    <w:rsid w:val="008C16EF"/>
    <w:rsid w:val="008C26D7"/>
    <w:rsid w:val="008D04FC"/>
    <w:rsid w:val="008E1F5E"/>
    <w:rsid w:val="008E504A"/>
    <w:rsid w:val="008F5225"/>
    <w:rsid w:val="009212C2"/>
    <w:rsid w:val="00923EDE"/>
    <w:rsid w:val="009252AB"/>
    <w:rsid w:val="00934523"/>
    <w:rsid w:val="00940E25"/>
    <w:rsid w:val="00943ED8"/>
    <w:rsid w:val="00947B23"/>
    <w:rsid w:val="00953537"/>
    <w:rsid w:val="009550FC"/>
    <w:rsid w:val="0096212A"/>
    <w:rsid w:val="0096358E"/>
    <w:rsid w:val="009640EC"/>
    <w:rsid w:val="00964A2A"/>
    <w:rsid w:val="00964E1C"/>
    <w:rsid w:val="009733BA"/>
    <w:rsid w:val="00984175"/>
    <w:rsid w:val="009854CF"/>
    <w:rsid w:val="0099155F"/>
    <w:rsid w:val="009B1888"/>
    <w:rsid w:val="009B1E2B"/>
    <w:rsid w:val="009B2433"/>
    <w:rsid w:val="009B42AF"/>
    <w:rsid w:val="009C1C75"/>
    <w:rsid w:val="009C4FA0"/>
    <w:rsid w:val="009C64E2"/>
    <w:rsid w:val="009C6C91"/>
    <w:rsid w:val="009C7FF8"/>
    <w:rsid w:val="009D4ACE"/>
    <w:rsid w:val="009D60AB"/>
    <w:rsid w:val="009E42D6"/>
    <w:rsid w:val="009E435C"/>
    <w:rsid w:val="009E520E"/>
    <w:rsid w:val="009E6440"/>
    <w:rsid w:val="009F317B"/>
    <w:rsid w:val="009F331A"/>
    <w:rsid w:val="009F52A9"/>
    <w:rsid w:val="00A01D1E"/>
    <w:rsid w:val="00A0653A"/>
    <w:rsid w:val="00A07C58"/>
    <w:rsid w:val="00A106A3"/>
    <w:rsid w:val="00A10955"/>
    <w:rsid w:val="00A11461"/>
    <w:rsid w:val="00A12F4F"/>
    <w:rsid w:val="00A130E0"/>
    <w:rsid w:val="00A205A0"/>
    <w:rsid w:val="00A23458"/>
    <w:rsid w:val="00A27C3A"/>
    <w:rsid w:val="00A42937"/>
    <w:rsid w:val="00A42DFB"/>
    <w:rsid w:val="00A46453"/>
    <w:rsid w:val="00A5072C"/>
    <w:rsid w:val="00A5542B"/>
    <w:rsid w:val="00A57D2C"/>
    <w:rsid w:val="00A64B98"/>
    <w:rsid w:val="00A73CDB"/>
    <w:rsid w:val="00A76CAB"/>
    <w:rsid w:val="00A85561"/>
    <w:rsid w:val="00A93406"/>
    <w:rsid w:val="00A93CAB"/>
    <w:rsid w:val="00A95685"/>
    <w:rsid w:val="00A9646F"/>
    <w:rsid w:val="00A974BE"/>
    <w:rsid w:val="00AA3E0F"/>
    <w:rsid w:val="00AB0672"/>
    <w:rsid w:val="00AB17E2"/>
    <w:rsid w:val="00AB1E50"/>
    <w:rsid w:val="00AB217D"/>
    <w:rsid w:val="00AB7B10"/>
    <w:rsid w:val="00AC1CE7"/>
    <w:rsid w:val="00AC20DB"/>
    <w:rsid w:val="00AC2778"/>
    <w:rsid w:val="00AD34A7"/>
    <w:rsid w:val="00AD48D5"/>
    <w:rsid w:val="00AD5BB7"/>
    <w:rsid w:val="00AD5D75"/>
    <w:rsid w:val="00AE082E"/>
    <w:rsid w:val="00AE1A8B"/>
    <w:rsid w:val="00AF7F35"/>
    <w:rsid w:val="00B0047E"/>
    <w:rsid w:val="00B005C3"/>
    <w:rsid w:val="00B010C6"/>
    <w:rsid w:val="00B06E85"/>
    <w:rsid w:val="00B112DF"/>
    <w:rsid w:val="00B13CDA"/>
    <w:rsid w:val="00B14CB2"/>
    <w:rsid w:val="00B24DA9"/>
    <w:rsid w:val="00B3015A"/>
    <w:rsid w:val="00B30829"/>
    <w:rsid w:val="00B3457D"/>
    <w:rsid w:val="00B34664"/>
    <w:rsid w:val="00B35581"/>
    <w:rsid w:val="00B43694"/>
    <w:rsid w:val="00B53CC5"/>
    <w:rsid w:val="00B57B1A"/>
    <w:rsid w:val="00B61B91"/>
    <w:rsid w:val="00B74AA3"/>
    <w:rsid w:val="00B815BE"/>
    <w:rsid w:val="00B92F9B"/>
    <w:rsid w:val="00B9659C"/>
    <w:rsid w:val="00B9799F"/>
    <w:rsid w:val="00BA04E2"/>
    <w:rsid w:val="00BA0FD9"/>
    <w:rsid w:val="00BB2D54"/>
    <w:rsid w:val="00BB4CCB"/>
    <w:rsid w:val="00BB5B0C"/>
    <w:rsid w:val="00BB5CE1"/>
    <w:rsid w:val="00BB78DE"/>
    <w:rsid w:val="00BC004E"/>
    <w:rsid w:val="00BC1713"/>
    <w:rsid w:val="00BC7C78"/>
    <w:rsid w:val="00BD1BA8"/>
    <w:rsid w:val="00BD69AF"/>
    <w:rsid w:val="00BE0EA5"/>
    <w:rsid w:val="00BE1EE9"/>
    <w:rsid w:val="00BF6CDF"/>
    <w:rsid w:val="00C21EB5"/>
    <w:rsid w:val="00C238C5"/>
    <w:rsid w:val="00C23CBB"/>
    <w:rsid w:val="00C25CC0"/>
    <w:rsid w:val="00C2734D"/>
    <w:rsid w:val="00C33605"/>
    <w:rsid w:val="00C35E5C"/>
    <w:rsid w:val="00C4606F"/>
    <w:rsid w:val="00C547FE"/>
    <w:rsid w:val="00C57797"/>
    <w:rsid w:val="00C6055B"/>
    <w:rsid w:val="00C62AEE"/>
    <w:rsid w:val="00C646C5"/>
    <w:rsid w:val="00C65319"/>
    <w:rsid w:val="00C67FC5"/>
    <w:rsid w:val="00C70B7C"/>
    <w:rsid w:val="00C7707D"/>
    <w:rsid w:val="00C8120A"/>
    <w:rsid w:val="00C821CF"/>
    <w:rsid w:val="00C82EC7"/>
    <w:rsid w:val="00C8513E"/>
    <w:rsid w:val="00C901FF"/>
    <w:rsid w:val="00CA121F"/>
    <w:rsid w:val="00CB47FC"/>
    <w:rsid w:val="00CC1F57"/>
    <w:rsid w:val="00CC6B1C"/>
    <w:rsid w:val="00CD0E97"/>
    <w:rsid w:val="00CD7B7E"/>
    <w:rsid w:val="00CE2FC3"/>
    <w:rsid w:val="00CE32FC"/>
    <w:rsid w:val="00CE5DF0"/>
    <w:rsid w:val="00CE78B3"/>
    <w:rsid w:val="00CF0B9A"/>
    <w:rsid w:val="00CF55E0"/>
    <w:rsid w:val="00D01384"/>
    <w:rsid w:val="00D0361A"/>
    <w:rsid w:val="00D14507"/>
    <w:rsid w:val="00D1654F"/>
    <w:rsid w:val="00D26856"/>
    <w:rsid w:val="00D3455F"/>
    <w:rsid w:val="00D4065D"/>
    <w:rsid w:val="00D410E5"/>
    <w:rsid w:val="00D423EE"/>
    <w:rsid w:val="00D429B0"/>
    <w:rsid w:val="00D4544C"/>
    <w:rsid w:val="00D47F64"/>
    <w:rsid w:val="00D60031"/>
    <w:rsid w:val="00D60BD8"/>
    <w:rsid w:val="00D62123"/>
    <w:rsid w:val="00D62AB4"/>
    <w:rsid w:val="00D63E59"/>
    <w:rsid w:val="00D6407C"/>
    <w:rsid w:val="00D67AC1"/>
    <w:rsid w:val="00D80269"/>
    <w:rsid w:val="00D8130B"/>
    <w:rsid w:val="00D825C9"/>
    <w:rsid w:val="00D8645E"/>
    <w:rsid w:val="00D86E7A"/>
    <w:rsid w:val="00D9421A"/>
    <w:rsid w:val="00D95A46"/>
    <w:rsid w:val="00D97571"/>
    <w:rsid w:val="00DA1890"/>
    <w:rsid w:val="00DA1B18"/>
    <w:rsid w:val="00DA5EA4"/>
    <w:rsid w:val="00DB5CDB"/>
    <w:rsid w:val="00DC23EE"/>
    <w:rsid w:val="00DC2753"/>
    <w:rsid w:val="00DC47EE"/>
    <w:rsid w:val="00DC5051"/>
    <w:rsid w:val="00DF093F"/>
    <w:rsid w:val="00DF3C76"/>
    <w:rsid w:val="00E069F5"/>
    <w:rsid w:val="00E15718"/>
    <w:rsid w:val="00E16421"/>
    <w:rsid w:val="00E16D79"/>
    <w:rsid w:val="00E209BB"/>
    <w:rsid w:val="00E27DCA"/>
    <w:rsid w:val="00E41487"/>
    <w:rsid w:val="00E41614"/>
    <w:rsid w:val="00E4228C"/>
    <w:rsid w:val="00E455DF"/>
    <w:rsid w:val="00E51923"/>
    <w:rsid w:val="00E55101"/>
    <w:rsid w:val="00E56105"/>
    <w:rsid w:val="00E61B47"/>
    <w:rsid w:val="00E62F09"/>
    <w:rsid w:val="00E64236"/>
    <w:rsid w:val="00E702A7"/>
    <w:rsid w:val="00E70B8B"/>
    <w:rsid w:val="00E74212"/>
    <w:rsid w:val="00E80A27"/>
    <w:rsid w:val="00E9064F"/>
    <w:rsid w:val="00E90C6D"/>
    <w:rsid w:val="00E935DC"/>
    <w:rsid w:val="00EA67FE"/>
    <w:rsid w:val="00EB138A"/>
    <w:rsid w:val="00EB2A18"/>
    <w:rsid w:val="00EB599C"/>
    <w:rsid w:val="00EC3E79"/>
    <w:rsid w:val="00EC5605"/>
    <w:rsid w:val="00EE15DF"/>
    <w:rsid w:val="00EF08E6"/>
    <w:rsid w:val="00EF143F"/>
    <w:rsid w:val="00EF2D33"/>
    <w:rsid w:val="00EF474F"/>
    <w:rsid w:val="00EF4B09"/>
    <w:rsid w:val="00EF4C43"/>
    <w:rsid w:val="00EF6967"/>
    <w:rsid w:val="00F02D21"/>
    <w:rsid w:val="00F04F9A"/>
    <w:rsid w:val="00F1212C"/>
    <w:rsid w:val="00F12E4D"/>
    <w:rsid w:val="00F144DB"/>
    <w:rsid w:val="00F1458F"/>
    <w:rsid w:val="00F240FA"/>
    <w:rsid w:val="00F25441"/>
    <w:rsid w:val="00F254A2"/>
    <w:rsid w:val="00F26C8D"/>
    <w:rsid w:val="00F3111E"/>
    <w:rsid w:val="00F33270"/>
    <w:rsid w:val="00F374B3"/>
    <w:rsid w:val="00F457ED"/>
    <w:rsid w:val="00F45EAE"/>
    <w:rsid w:val="00F5069A"/>
    <w:rsid w:val="00F55B6B"/>
    <w:rsid w:val="00F75ED5"/>
    <w:rsid w:val="00F76282"/>
    <w:rsid w:val="00F77C91"/>
    <w:rsid w:val="00F826ED"/>
    <w:rsid w:val="00F8484A"/>
    <w:rsid w:val="00F848F4"/>
    <w:rsid w:val="00F942DA"/>
    <w:rsid w:val="00F942DE"/>
    <w:rsid w:val="00F97D7B"/>
    <w:rsid w:val="00FA7407"/>
    <w:rsid w:val="00FA74D8"/>
    <w:rsid w:val="00FB2450"/>
    <w:rsid w:val="00FB4377"/>
    <w:rsid w:val="00FB5BBB"/>
    <w:rsid w:val="00FC0241"/>
    <w:rsid w:val="00FC14DB"/>
    <w:rsid w:val="00FD11FB"/>
    <w:rsid w:val="00FD2072"/>
    <w:rsid w:val="00FD32FB"/>
    <w:rsid w:val="00FE5432"/>
    <w:rsid w:val="00FF320E"/>
    <w:rsid w:val="00FF591B"/>
    <w:rsid w:val="00FF77B1"/>
    <w:rsid w:val="00FF78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6299-076A-42A6-B780-2CEC82B0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8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44481"/>
    <w:pPr>
      <w:widowControl w:val="0"/>
      <w:numPr>
        <w:numId w:val="5"/>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44481"/>
    <w:pPr>
      <w:widowControl w:val="0"/>
      <w:numPr>
        <w:ilvl w:val="2"/>
        <w:numId w:val="5"/>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44481"/>
    <w:pPr>
      <w:widowControl w:val="0"/>
      <w:numPr>
        <w:ilvl w:val="3"/>
        <w:numId w:val="5"/>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44481"/>
    <w:pPr>
      <w:widowControl w:val="0"/>
      <w:numPr>
        <w:ilvl w:val="4"/>
        <w:numId w:val="5"/>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44481"/>
    <w:pPr>
      <w:widowControl w:val="0"/>
      <w:numPr>
        <w:ilvl w:val="5"/>
        <w:numId w:val="5"/>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44481"/>
    <w:pPr>
      <w:widowControl w:val="0"/>
      <w:numPr>
        <w:ilvl w:val="6"/>
        <w:numId w:val="5"/>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44481"/>
    <w:pPr>
      <w:widowControl w:val="0"/>
      <w:numPr>
        <w:ilvl w:val="7"/>
        <w:numId w:val="5"/>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44481"/>
    <w:pPr>
      <w:widowControl w:val="0"/>
      <w:numPr>
        <w:ilvl w:val="8"/>
        <w:numId w:val="5"/>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48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4448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4448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4448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44481"/>
    <w:rPr>
      <w:rFonts w:ascii="Arial" w:eastAsia="Times New Roman" w:hAnsi="Arial" w:cs="Arial"/>
      <w:i/>
      <w:spacing w:val="-3"/>
      <w:szCs w:val="24"/>
      <w:lang w:val="en-GB"/>
    </w:rPr>
  </w:style>
  <w:style w:type="character" w:customStyle="1" w:styleId="Heading7Char">
    <w:name w:val="Heading 7 Char"/>
    <w:basedOn w:val="DefaultParagraphFont"/>
    <w:link w:val="Heading7"/>
    <w:rsid w:val="0024448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4448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44481"/>
    <w:rPr>
      <w:rFonts w:ascii="Arial" w:eastAsia="Times New Roman" w:hAnsi="Arial" w:cs="Arial"/>
      <w:i/>
      <w:spacing w:val="-3"/>
      <w:sz w:val="18"/>
      <w:szCs w:val="24"/>
      <w:lang w:val="en-GB"/>
    </w:rPr>
  </w:style>
  <w:style w:type="paragraph" w:styleId="FootnoteText">
    <w:name w:val="footnote text"/>
    <w:basedOn w:val="Normal"/>
    <w:link w:val="FootnoteTextChar"/>
    <w:uiPriority w:val="99"/>
    <w:unhideWhenUsed/>
    <w:qFormat/>
    <w:rsid w:val="00244481"/>
    <w:pPr>
      <w:spacing w:after="0" w:line="240" w:lineRule="auto"/>
    </w:pPr>
    <w:rPr>
      <w:sz w:val="20"/>
      <w:szCs w:val="20"/>
    </w:rPr>
  </w:style>
  <w:style w:type="character" w:customStyle="1" w:styleId="FootnoteTextChar">
    <w:name w:val="Footnote Text Char"/>
    <w:basedOn w:val="DefaultParagraphFont"/>
    <w:link w:val="FootnoteText"/>
    <w:uiPriority w:val="99"/>
    <w:rsid w:val="00244481"/>
    <w:rPr>
      <w:rFonts w:ascii="Calibri" w:eastAsia="Calibri" w:hAnsi="Calibri" w:cs="Times New Roman"/>
      <w:sz w:val="20"/>
      <w:szCs w:val="20"/>
    </w:rPr>
  </w:style>
  <w:style w:type="character" w:styleId="FootnoteReference">
    <w:name w:val="footnote reference"/>
    <w:uiPriority w:val="99"/>
    <w:unhideWhenUsed/>
    <w:qFormat/>
    <w:rsid w:val="00244481"/>
    <w:rPr>
      <w:vertAlign w:val="superscript"/>
    </w:rPr>
  </w:style>
  <w:style w:type="paragraph" w:styleId="ListParagraph">
    <w:name w:val="List Paragraph"/>
    <w:basedOn w:val="Normal"/>
    <w:uiPriority w:val="34"/>
    <w:qFormat/>
    <w:rsid w:val="00244481"/>
    <w:pPr>
      <w:ind w:left="720"/>
      <w:contextualSpacing/>
    </w:pPr>
  </w:style>
  <w:style w:type="paragraph" w:styleId="Header">
    <w:name w:val="header"/>
    <w:basedOn w:val="Normal"/>
    <w:link w:val="HeaderChar"/>
    <w:uiPriority w:val="99"/>
    <w:unhideWhenUsed/>
    <w:rsid w:val="00244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81"/>
    <w:rPr>
      <w:rFonts w:ascii="Calibri" w:eastAsia="Calibri" w:hAnsi="Calibri" w:cs="Times New Roman"/>
    </w:rPr>
  </w:style>
  <w:style w:type="paragraph" w:styleId="Footer">
    <w:name w:val="footer"/>
    <w:basedOn w:val="Normal"/>
    <w:link w:val="FooterChar"/>
    <w:uiPriority w:val="99"/>
    <w:unhideWhenUsed/>
    <w:rsid w:val="00244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81"/>
    <w:rPr>
      <w:rFonts w:ascii="Calibri" w:eastAsia="Calibri" w:hAnsi="Calibri" w:cs="Times New Roman"/>
    </w:rPr>
  </w:style>
  <w:style w:type="paragraph" w:styleId="NoSpacing">
    <w:name w:val="No Spacing"/>
    <w:uiPriority w:val="1"/>
    <w:qFormat/>
    <w:rsid w:val="00244481"/>
    <w:pPr>
      <w:spacing w:after="0" w:line="240" w:lineRule="auto"/>
    </w:pPr>
    <w:rPr>
      <w:rFonts w:ascii="Calibri" w:eastAsia="Calibri" w:hAnsi="Calibri" w:cs="Times New Roman"/>
      <w:lang w:val="en-US"/>
    </w:rPr>
  </w:style>
  <w:style w:type="character" w:customStyle="1" w:styleId="FontStyle18">
    <w:name w:val="Font Style18"/>
    <w:uiPriority w:val="99"/>
    <w:rsid w:val="00244481"/>
    <w:rPr>
      <w:sz w:val="22"/>
      <w:lang w:val="x-none" w:eastAsia="zh-CN"/>
    </w:rPr>
  </w:style>
  <w:style w:type="character" w:customStyle="1" w:styleId="normalchar1">
    <w:name w:val="normal__char1"/>
    <w:rsid w:val="00244481"/>
    <w:rPr>
      <w:rFonts w:ascii="Calibri" w:hAnsi="Calibri" w:hint="default"/>
      <w:sz w:val="22"/>
      <w:szCs w:val="22"/>
    </w:rPr>
  </w:style>
  <w:style w:type="character" w:styleId="CommentReference">
    <w:name w:val="annotation reference"/>
    <w:uiPriority w:val="99"/>
    <w:semiHidden/>
    <w:unhideWhenUsed/>
    <w:rsid w:val="00244481"/>
    <w:rPr>
      <w:sz w:val="16"/>
      <w:szCs w:val="16"/>
    </w:rPr>
  </w:style>
  <w:style w:type="paragraph" w:styleId="CommentText">
    <w:name w:val="annotation text"/>
    <w:basedOn w:val="Normal"/>
    <w:link w:val="CommentTextChar"/>
    <w:uiPriority w:val="99"/>
    <w:semiHidden/>
    <w:unhideWhenUsed/>
    <w:rsid w:val="00244481"/>
    <w:pPr>
      <w:spacing w:line="240" w:lineRule="auto"/>
    </w:pPr>
    <w:rPr>
      <w:sz w:val="20"/>
      <w:szCs w:val="20"/>
    </w:rPr>
  </w:style>
  <w:style w:type="character" w:customStyle="1" w:styleId="CommentTextChar">
    <w:name w:val="Comment Text Char"/>
    <w:basedOn w:val="DefaultParagraphFont"/>
    <w:link w:val="CommentText"/>
    <w:uiPriority w:val="99"/>
    <w:semiHidden/>
    <w:rsid w:val="002444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4481"/>
    <w:rPr>
      <w:b/>
      <w:bCs/>
    </w:rPr>
  </w:style>
  <w:style w:type="character" w:customStyle="1" w:styleId="CommentSubjectChar">
    <w:name w:val="Comment Subject Char"/>
    <w:basedOn w:val="CommentTextChar"/>
    <w:link w:val="CommentSubject"/>
    <w:uiPriority w:val="99"/>
    <w:semiHidden/>
    <w:rsid w:val="0024448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4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81"/>
    <w:rPr>
      <w:rFonts w:ascii="Segoe UI" w:eastAsia="Calibri" w:hAnsi="Segoe UI" w:cs="Segoe UI"/>
      <w:sz w:val="18"/>
      <w:szCs w:val="18"/>
    </w:rPr>
  </w:style>
  <w:style w:type="paragraph" w:customStyle="1" w:styleId="Style5">
    <w:name w:val="Style5"/>
    <w:basedOn w:val="Normal"/>
    <w:next w:val="Normal"/>
    <w:uiPriority w:val="99"/>
    <w:rsid w:val="00244481"/>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6">
    <w:name w:val="Style6"/>
    <w:basedOn w:val="Normal"/>
    <w:next w:val="Normal"/>
    <w:uiPriority w:val="99"/>
    <w:rsid w:val="00244481"/>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Normal"/>
    <w:next w:val="Normal"/>
    <w:uiPriority w:val="99"/>
    <w:rsid w:val="00244481"/>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8">
    <w:name w:val="Style18"/>
    <w:basedOn w:val="Normal"/>
    <w:next w:val="Normal"/>
    <w:uiPriority w:val="99"/>
    <w:rsid w:val="00244481"/>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38">
    <w:name w:val="Font Style38"/>
    <w:uiPriority w:val="99"/>
    <w:rsid w:val="00244481"/>
    <w:rPr>
      <w:sz w:val="16"/>
      <w:szCs w:val="16"/>
      <w:lang w:val="en-US"/>
    </w:rPr>
  </w:style>
  <w:style w:type="character" w:customStyle="1" w:styleId="FontStyle44">
    <w:name w:val="Font Style44"/>
    <w:uiPriority w:val="99"/>
    <w:rsid w:val="00244481"/>
    <w:rPr>
      <w:rFonts w:ascii="Arial" w:eastAsia="Times New Roman" w:hAnsi="Arial" w:cs="Arial"/>
      <w:sz w:val="14"/>
      <w:szCs w:val="14"/>
      <w:lang w:val="en-US"/>
    </w:rPr>
  </w:style>
  <w:style w:type="paragraph" w:styleId="BodyText">
    <w:name w:val="Body Text"/>
    <w:basedOn w:val="Normal"/>
    <w:link w:val="BodyTextChar"/>
    <w:rsid w:val="00244481"/>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24448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44481"/>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244481"/>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374B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374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387">
      <w:bodyDiv w:val="1"/>
      <w:marLeft w:val="0"/>
      <w:marRight w:val="0"/>
      <w:marTop w:val="0"/>
      <w:marBottom w:val="0"/>
      <w:divBdr>
        <w:top w:val="none" w:sz="0" w:space="0" w:color="auto"/>
        <w:left w:val="none" w:sz="0" w:space="0" w:color="auto"/>
        <w:bottom w:val="none" w:sz="0" w:space="0" w:color="auto"/>
        <w:right w:val="none" w:sz="0" w:space="0" w:color="auto"/>
      </w:divBdr>
    </w:div>
    <w:div w:id="15714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2017-10-19T18:30:00+00:00</Judgment_x0020_Date>
    <Year xmlns="c1afb1bd-f2fb-40fd-9abb-aea55b4d7662">2017</Year>
  </documentManagement>
</p:properties>
</file>

<file path=customXml/itemProps1.xml><?xml version="1.0" encoding="utf-8"?>
<ds:datastoreItem xmlns:ds="http://schemas.openxmlformats.org/officeDocument/2006/customXml" ds:itemID="{BBF18715-3A20-4186-BA15-73D33B886B8A}"/>
</file>

<file path=customXml/itemProps2.xml><?xml version="1.0" encoding="utf-8"?>
<ds:datastoreItem xmlns:ds="http://schemas.openxmlformats.org/officeDocument/2006/customXml" ds:itemID="{25B22F37-DBE7-4D77-A72B-D34EC13C8367}"/>
</file>

<file path=customXml/itemProps3.xml><?xml version="1.0" encoding="utf-8"?>
<ds:datastoreItem xmlns:ds="http://schemas.openxmlformats.org/officeDocument/2006/customXml" ds:itemID="{0973EC16-4457-4529-82E8-9C80CF5C1FC0}"/>
</file>

<file path=customXml/itemProps4.xml><?xml version="1.0" encoding="utf-8"?>
<ds:datastoreItem xmlns:ds="http://schemas.openxmlformats.org/officeDocument/2006/customXml" ds:itemID="{C401F8F2-FCC7-490D-B365-5968ABB8FCAF}"/>
</file>

<file path=docProps/app.xml><?xml version="1.0" encoding="utf-8"?>
<Properties xmlns="http://schemas.openxmlformats.org/officeDocument/2006/extended-properties" xmlns:vt="http://schemas.openxmlformats.org/officeDocument/2006/docPropsVTypes">
  <Template>Normal</Template>
  <TotalTime>0</TotalTime>
  <Pages>25</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Helvi Hilifilwa</dc:creator>
  <cp:keywords/>
  <dc:description/>
  <cp:lastModifiedBy>Lotta N. Ambunda</cp:lastModifiedBy>
  <cp:revision>2</cp:revision>
  <cp:lastPrinted>2017-10-18T10:26:00Z</cp:lastPrinted>
  <dcterms:created xsi:type="dcterms:W3CDTF">2017-10-24T14:52:00Z</dcterms:created>
  <dcterms:modified xsi:type="dcterms:W3CDTF">2017-10-24T14:52:00Z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