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49" w:rsidRPr="00CA0917" w:rsidRDefault="00B66E49" w:rsidP="00A53FCF">
      <w:pPr>
        <w:jc w:val="center"/>
        <w:rPr>
          <w:rFonts w:ascii="Arial" w:hAnsi="Arial" w:cs="Arial"/>
          <w:b/>
          <w:sz w:val="24"/>
        </w:rPr>
      </w:pPr>
      <w:r w:rsidRPr="00CA0917">
        <w:rPr>
          <w:b/>
          <w:noProof/>
        </w:rPr>
        <mc:AlternateContent>
          <mc:Choice Requires="wps">
            <w:drawing>
              <wp:anchor distT="0" distB="0" distL="114300" distR="114300" simplePos="0" relativeHeight="251657216" behindDoc="0" locked="0" layoutInCell="1" allowOverlap="1" wp14:anchorId="56156F72" wp14:editId="0F6158F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66E49" w:rsidRPr="000A0FD8" w:rsidRDefault="00B66E49" w:rsidP="00B66E49">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6F72"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66E49" w:rsidRPr="000A0FD8" w:rsidRDefault="00B66E49" w:rsidP="00B66E49">
                      <w:pPr>
                        <w:jc w:val="right"/>
                        <w:rPr>
                          <w:rFonts w:ascii="Arial" w:hAnsi="Arial" w:cs="Arial"/>
                          <w:b/>
                          <w:sz w:val="24"/>
                          <w:szCs w:val="24"/>
                        </w:rPr>
                      </w:pPr>
                    </w:p>
                  </w:txbxContent>
                </v:textbox>
                <w10:wrap anchorx="margin"/>
              </v:shape>
            </w:pict>
          </mc:Fallback>
        </mc:AlternateContent>
      </w:r>
      <w:r w:rsidR="00A53FCF" w:rsidRPr="00CA0917">
        <w:rPr>
          <w:rFonts w:ascii="Arial" w:hAnsi="Arial" w:cs="Arial"/>
          <w:b/>
          <w:sz w:val="24"/>
        </w:rPr>
        <w:t>REPUBLIC OF NAMIBIA</w:t>
      </w:r>
    </w:p>
    <w:p w:rsidR="00B66E49" w:rsidRPr="00CA0917" w:rsidRDefault="00B66E49" w:rsidP="00D62392">
      <w:pPr>
        <w:spacing w:after="0" w:line="360" w:lineRule="auto"/>
        <w:jc w:val="both"/>
        <w:rPr>
          <w:rFonts w:ascii="Arial" w:hAnsi="Arial" w:cs="Arial"/>
          <w:b/>
          <w:sz w:val="24"/>
          <w:szCs w:val="24"/>
        </w:rPr>
      </w:pPr>
      <w:r w:rsidRPr="00CA0917">
        <w:rPr>
          <w:rFonts w:ascii="Arial" w:hAnsi="Arial" w:cs="Arial"/>
          <w:b/>
          <w:noProof/>
          <w:sz w:val="24"/>
          <w:szCs w:val="24"/>
        </w:rPr>
        <w:drawing>
          <wp:anchor distT="0" distB="0" distL="114300" distR="114300" simplePos="0" relativeHeight="251659264" behindDoc="0" locked="0" layoutInCell="1" allowOverlap="1" wp14:anchorId="249E821A" wp14:editId="6FF1E3C7">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D62392">
      <w:pPr>
        <w:spacing w:after="0" w:line="360" w:lineRule="auto"/>
        <w:jc w:val="both"/>
        <w:rPr>
          <w:rFonts w:ascii="Arial" w:hAnsi="Arial" w:cs="Arial"/>
          <w:b/>
          <w:sz w:val="24"/>
          <w:szCs w:val="24"/>
        </w:rPr>
      </w:pPr>
    </w:p>
    <w:p w:rsidR="00B66E49" w:rsidRPr="00CA0917" w:rsidRDefault="006F3CCC" w:rsidP="00620C55">
      <w:pPr>
        <w:spacing w:after="0" w:line="360" w:lineRule="auto"/>
        <w:ind w:firstLine="720"/>
        <w:jc w:val="both"/>
        <w:rPr>
          <w:rFonts w:ascii="Arial" w:hAnsi="Arial" w:cs="Arial"/>
          <w:b/>
          <w:sz w:val="24"/>
          <w:szCs w:val="24"/>
        </w:rPr>
      </w:pPr>
      <w:r w:rsidRPr="00CA0917">
        <w:rPr>
          <w:rFonts w:ascii="Arial" w:hAnsi="Arial" w:cs="Arial"/>
          <w:b/>
          <w:sz w:val="24"/>
          <w:szCs w:val="24"/>
        </w:rPr>
        <w:t xml:space="preserve">           </w:t>
      </w:r>
      <w:r w:rsidR="00B66E49" w:rsidRPr="00CA0917">
        <w:rPr>
          <w:rFonts w:ascii="Arial" w:hAnsi="Arial" w:cs="Arial"/>
          <w:b/>
          <w:sz w:val="24"/>
          <w:szCs w:val="24"/>
        </w:rPr>
        <w:t>HIGH COURT OF NAMIBIA, MAIN DIVISION, WINDHOEK</w:t>
      </w:r>
    </w:p>
    <w:p w:rsidR="00B66E49" w:rsidRPr="00CA0917" w:rsidRDefault="00B66E49" w:rsidP="00D62392">
      <w:pPr>
        <w:spacing w:after="0" w:line="360" w:lineRule="auto"/>
        <w:jc w:val="both"/>
        <w:rPr>
          <w:rFonts w:ascii="Arial" w:hAnsi="Arial" w:cs="Arial"/>
          <w:b/>
          <w:sz w:val="24"/>
          <w:szCs w:val="24"/>
        </w:rPr>
      </w:pPr>
    </w:p>
    <w:p w:rsidR="00B66E49" w:rsidRPr="00CA0917" w:rsidRDefault="00B66E49" w:rsidP="00620C55">
      <w:pPr>
        <w:shd w:val="clear" w:color="auto" w:fill="FFFFFF"/>
        <w:spacing w:after="0" w:line="288" w:lineRule="atLeast"/>
        <w:ind w:left="2160" w:firstLine="720"/>
        <w:jc w:val="both"/>
        <w:rPr>
          <w:rFonts w:ascii="Arial" w:eastAsia="Times New Roman" w:hAnsi="Arial" w:cs="Arial"/>
          <w:sz w:val="19"/>
          <w:szCs w:val="19"/>
        </w:rPr>
      </w:pPr>
      <w:r w:rsidRPr="00CA0917">
        <w:rPr>
          <w:rFonts w:ascii="Arial" w:eastAsia="Times New Roman" w:hAnsi="Arial" w:cs="Arial"/>
          <w:b/>
          <w:bCs/>
          <w:sz w:val="24"/>
          <w:szCs w:val="24"/>
          <w:lang w:val="en-ZA"/>
        </w:rPr>
        <w:t xml:space="preserve">RULING ON </w:t>
      </w:r>
      <w:r w:rsidR="003F4BAC" w:rsidRPr="00CA0917">
        <w:rPr>
          <w:rFonts w:ascii="Arial" w:eastAsia="Times New Roman" w:hAnsi="Arial" w:cs="Arial"/>
          <w:b/>
          <w:bCs/>
          <w:sz w:val="24"/>
          <w:szCs w:val="24"/>
          <w:lang w:val="en-ZA"/>
        </w:rPr>
        <w:t>POINT IN LIMINE</w:t>
      </w:r>
    </w:p>
    <w:p w:rsidR="00B66E49" w:rsidRPr="00CA0917" w:rsidRDefault="00B66E49"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sz w:val="24"/>
          <w:szCs w:val="24"/>
          <w:lang w:val="en-ZA"/>
        </w:rPr>
        <w:t> </w:t>
      </w:r>
    </w:p>
    <w:p w:rsidR="00B66E49" w:rsidRPr="00CA0917" w:rsidRDefault="00B44A1A" w:rsidP="00D62392">
      <w:pPr>
        <w:shd w:val="clear" w:color="auto" w:fill="FFFFFF"/>
        <w:spacing w:after="0" w:line="288" w:lineRule="atLeast"/>
        <w:ind w:left="3600" w:firstLine="720"/>
        <w:jc w:val="both"/>
        <w:rPr>
          <w:rFonts w:ascii="Arial" w:eastAsia="Times New Roman" w:hAnsi="Arial" w:cs="Arial"/>
          <w:sz w:val="19"/>
          <w:szCs w:val="19"/>
        </w:rPr>
      </w:pPr>
      <w:r w:rsidRPr="00CA0917">
        <w:rPr>
          <w:rFonts w:ascii="Arial" w:eastAsia="Times New Roman" w:hAnsi="Arial" w:cs="Arial"/>
          <w:sz w:val="24"/>
          <w:szCs w:val="24"/>
          <w:lang w:val="en-ZA"/>
        </w:rPr>
        <w:t xml:space="preserve">                                  </w:t>
      </w:r>
      <w:r w:rsidR="00B66E49" w:rsidRPr="00CA0917">
        <w:rPr>
          <w:rFonts w:ascii="Arial" w:eastAsia="Times New Roman" w:hAnsi="Arial" w:cs="Arial"/>
          <w:sz w:val="24"/>
          <w:szCs w:val="24"/>
          <w:lang w:val="en-ZA"/>
        </w:rPr>
        <w:t>Case No: I 3754/ 2012</w:t>
      </w:r>
    </w:p>
    <w:p w:rsidR="00B66E49" w:rsidRPr="00CA0917" w:rsidRDefault="00B66E49"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sz w:val="24"/>
          <w:szCs w:val="24"/>
          <w:lang w:val="en-ZA"/>
        </w:rPr>
        <w:t>In the matter between:</w:t>
      </w:r>
    </w:p>
    <w:p w:rsidR="00B66E49" w:rsidRPr="00CA0917" w:rsidRDefault="00B66E49"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sz w:val="24"/>
          <w:szCs w:val="24"/>
          <w:lang w:val="en-ZA"/>
        </w:rPr>
        <w:t> </w:t>
      </w:r>
    </w:p>
    <w:p w:rsidR="00B66E49" w:rsidRPr="00CA0917" w:rsidRDefault="00576C5D" w:rsidP="00D62392">
      <w:pPr>
        <w:shd w:val="clear" w:color="auto" w:fill="FFFFFF"/>
        <w:spacing w:after="0" w:line="288" w:lineRule="atLeast"/>
        <w:jc w:val="both"/>
        <w:rPr>
          <w:rFonts w:ascii="Arial" w:eastAsia="Times New Roman" w:hAnsi="Arial" w:cs="Arial"/>
          <w:sz w:val="19"/>
          <w:szCs w:val="19"/>
        </w:rPr>
      </w:pPr>
      <w:r>
        <w:rPr>
          <w:rFonts w:ascii="Arial" w:eastAsia="Times New Roman" w:hAnsi="Arial" w:cs="Arial"/>
          <w:b/>
          <w:bCs/>
          <w:sz w:val="24"/>
          <w:szCs w:val="24"/>
          <w:lang w:val="en-ZA"/>
        </w:rPr>
        <w:t xml:space="preserve">S </w:t>
      </w:r>
      <w:r w:rsidR="00A53FCF" w:rsidRPr="00CA0917">
        <w:rPr>
          <w:rFonts w:ascii="Arial" w:eastAsia="Times New Roman" w:hAnsi="Arial" w:cs="Arial"/>
          <w:b/>
          <w:bCs/>
          <w:sz w:val="24"/>
          <w:szCs w:val="24"/>
          <w:lang w:val="en-ZA"/>
        </w:rPr>
        <w:t>K</w:t>
      </w:r>
      <w:r w:rsidR="00A53FCF" w:rsidRPr="00CA0917">
        <w:rPr>
          <w:rFonts w:ascii="Arial" w:eastAsia="Times New Roman" w:hAnsi="Arial" w:cs="Arial"/>
          <w:b/>
          <w:bCs/>
          <w:sz w:val="24"/>
          <w:szCs w:val="24"/>
          <w:lang w:val="en-ZA"/>
        </w:rPr>
        <w:tab/>
      </w:r>
      <w:r w:rsidR="00A53FCF" w:rsidRPr="00CA0917">
        <w:rPr>
          <w:rFonts w:ascii="Arial" w:eastAsia="Times New Roman" w:hAnsi="Arial" w:cs="Arial"/>
          <w:b/>
          <w:bCs/>
          <w:sz w:val="24"/>
          <w:szCs w:val="24"/>
          <w:lang w:val="en-ZA"/>
        </w:rPr>
        <w:tab/>
      </w:r>
      <w:r w:rsidR="00A53FCF" w:rsidRPr="00CA0917">
        <w:rPr>
          <w:rFonts w:ascii="Arial" w:eastAsia="Times New Roman" w:hAnsi="Arial" w:cs="Arial"/>
          <w:b/>
          <w:bCs/>
          <w:sz w:val="24"/>
          <w:szCs w:val="24"/>
          <w:lang w:val="en-ZA"/>
        </w:rPr>
        <w:tab/>
      </w:r>
      <w:r w:rsidR="00A53FCF" w:rsidRPr="00CA0917">
        <w:rPr>
          <w:rFonts w:ascii="Arial" w:eastAsia="Times New Roman" w:hAnsi="Arial" w:cs="Arial"/>
          <w:b/>
          <w:bCs/>
          <w:sz w:val="24"/>
          <w:szCs w:val="24"/>
          <w:lang w:val="en-ZA"/>
        </w:rPr>
        <w:tab/>
      </w:r>
      <w:r w:rsidR="00A53FCF" w:rsidRPr="00CA0917">
        <w:rPr>
          <w:rFonts w:ascii="Arial" w:eastAsia="Times New Roman" w:hAnsi="Arial" w:cs="Arial"/>
          <w:b/>
          <w:bCs/>
          <w:sz w:val="24"/>
          <w:szCs w:val="24"/>
          <w:lang w:val="en-ZA"/>
        </w:rPr>
        <w:tab/>
      </w:r>
      <w:r w:rsidR="00A53FCF"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44A1A" w:rsidRPr="00CA0917">
        <w:rPr>
          <w:rFonts w:ascii="Arial" w:eastAsia="Times New Roman" w:hAnsi="Arial" w:cs="Arial"/>
          <w:b/>
          <w:bCs/>
          <w:sz w:val="24"/>
          <w:szCs w:val="24"/>
          <w:lang w:val="en-ZA"/>
        </w:rPr>
        <w:t xml:space="preserve">    </w:t>
      </w:r>
      <w:r w:rsidR="00A53FCF" w:rsidRPr="00CA0917">
        <w:rPr>
          <w:rFonts w:ascii="Arial" w:eastAsia="Times New Roman" w:hAnsi="Arial" w:cs="Arial"/>
          <w:b/>
          <w:bCs/>
          <w:sz w:val="24"/>
          <w:szCs w:val="24"/>
          <w:lang w:val="en-ZA"/>
        </w:rPr>
        <w:t xml:space="preserve">       </w:t>
      </w:r>
      <w:r w:rsidR="00B66E49" w:rsidRPr="00CA0917">
        <w:rPr>
          <w:rFonts w:ascii="Arial" w:eastAsia="Times New Roman" w:hAnsi="Arial" w:cs="Arial"/>
          <w:b/>
          <w:bCs/>
          <w:sz w:val="24"/>
          <w:szCs w:val="24"/>
          <w:lang w:val="en-ZA"/>
        </w:rPr>
        <w:t>APPLICANT</w:t>
      </w:r>
    </w:p>
    <w:p w:rsidR="00620C55" w:rsidRPr="00CA0917" w:rsidRDefault="00620C55" w:rsidP="00D62392">
      <w:pPr>
        <w:shd w:val="clear" w:color="auto" w:fill="FFFFFF"/>
        <w:spacing w:after="0" w:line="288" w:lineRule="atLeast"/>
        <w:jc w:val="both"/>
        <w:rPr>
          <w:rFonts w:ascii="Arial" w:eastAsia="Times New Roman" w:hAnsi="Arial" w:cs="Arial"/>
          <w:sz w:val="24"/>
          <w:szCs w:val="24"/>
          <w:lang w:val="en-ZA"/>
        </w:rPr>
      </w:pPr>
    </w:p>
    <w:p w:rsidR="00B66E49" w:rsidRPr="00CA0917" w:rsidRDefault="00B66E49"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sz w:val="24"/>
          <w:szCs w:val="24"/>
          <w:lang w:val="en-ZA"/>
        </w:rPr>
        <w:t>and</w:t>
      </w:r>
    </w:p>
    <w:p w:rsidR="00B66E49" w:rsidRPr="00CA0917" w:rsidRDefault="00B66E49"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b/>
          <w:bCs/>
          <w:sz w:val="24"/>
          <w:szCs w:val="24"/>
          <w:lang w:val="en-ZA"/>
        </w:rPr>
        <w:t> </w:t>
      </w:r>
    </w:p>
    <w:p w:rsidR="00B44A1A" w:rsidRPr="00CA0917" w:rsidRDefault="00B44A1A" w:rsidP="00D62392">
      <w:pPr>
        <w:shd w:val="clear" w:color="auto" w:fill="FFFFFF"/>
        <w:spacing w:after="0" w:line="288" w:lineRule="atLeast"/>
        <w:jc w:val="both"/>
        <w:rPr>
          <w:rFonts w:ascii="Arial" w:eastAsia="Times New Roman" w:hAnsi="Arial" w:cs="Arial"/>
          <w:b/>
          <w:bCs/>
          <w:sz w:val="24"/>
          <w:szCs w:val="24"/>
          <w:lang w:val="en-ZA"/>
        </w:rPr>
      </w:pPr>
    </w:p>
    <w:p w:rsidR="00B66E49" w:rsidRPr="00CA0917" w:rsidRDefault="00A53FCF" w:rsidP="00D62392">
      <w:pPr>
        <w:shd w:val="clear" w:color="auto" w:fill="FFFFFF"/>
        <w:spacing w:after="0" w:line="288" w:lineRule="atLeast"/>
        <w:jc w:val="both"/>
        <w:rPr>
          <w:rFonts w:ascii="Arial" w:eastAsia="Times New Roman" w:hAnsi="Arial" w:cs="Arial"/>
          <w:sz w:val="19"/>
          <w:szCs w:val="19"/>
        </w:rPr>
      </w:pPr>
      <w:r w:rsidRPr="00CA0917">
        <w:rPr>
          <w:rFonts w:ascii="Arial" w:eastAsia="Times New Roman" w:hAnsi="Arial" w:cs="Arial"/>
          <w:b/>
          <w:bCs/>
          <w:sz w:val="24"/>
          <w:szCs w:val="24"/>
          <w:lang w:val="en-ZA"/>
        </w:rPr>
        <w:t>S K</w:t>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66E49" w:rsidRPr="00CA0917">
        <w:rPr>
          <w:rFonts w:ascii="Arial" w:eastAsia="Times New Roman" w:hAnsi="Arial" w:cs="Arial"/>
          <w:b/>
          <w:bCs/>
          <w:sz w:val="24"/>
          <w:szCs w:val="24"/>
          <w:lang w:val="en-ZA"/>
        </w:rPr>
        <w:tab/>
      </w:r>
      <w:r w:rsidR="00B44A1A" w:rsidRPr="00CA0917">
        <w:rPr>
          <w:rFonts w:ascii="Arial" w:eastAsia="Times New Roman" w:hAnsi="Arial" w:cs="Arial"/>
          <w:b/>
          <w:bCs/>
          <w:sz w:val="24"/>
          <w:szCs w:val="24"/>
          <w:lang w:val="en-ZA"/>
        </w:rPr>
        <w:t xml:space="preserve"> </w:t>
      </w:r>
      <w:r w:rsidRPr="00CA0917">
        <w:rPr>
          <w:rFonts w:ascii="Arial" w:eastAsia="Times New Roman" w:hAnsi="Arial" w:cs="Arial"/>
          <w:b/>
          <w:bCs/>
          <w:sz w:val="24"/>
          <w:szCs w:val="24"/>
          <w:lang w:val="en-ZA"/>
        </w:rPr>
        <w:tab/>
      </w:r>
      <w:r w:rsidRPr="00CA0917">
        <w:rPr>
          <w:rFonts w:ascii="Arial" w:eastAsia="Times New Roman" w:hAnsi="Arial" w:cs="Arial"/>
          <w:b/>
          <w:bCs/>
          <w:sz w:val="24"/>
          <w:szCs w:val="24"/>
          <w:lang w:val="en-ZA"/>
        </w:rPr>
        <w:tab/>
      </w:r>
      <w:r w:rsidRPr="00CA0917">
        <w:rPr>
          <w:rFonts w:ascii="Arial" w:eastAsia="Times New Roman" w:hAnsi="Arial" w:cs="Arial"/>
          <w:b/>
          <w:bCs/>
          <w:sz w:val="24"/>
          <w:szCs w:val="24"/>
          <w:lang w:val="en-ZA"/>
        </w:rPr>
        <w:tab/>
      </w:r>
      <w:r w:rsidRPr="00CA0917">
        <w:rPr>
          <w:rFonts w:ascii="Arial" w:eastAsia="Times New Roman" w:hAnsi="Arial" w:cs="Arial"/>
          <w:b/>
          <w:bCs/>
          <w:sz w:val="24"/>
          <w:szCs w:val="24"/>
          <w:lang w:val="en-ZA"/>
        </w:rPr>
        <w:tab/>
        <w:t xml:space="preserve">                  </w:t>
      </w:r>
      <w:r w:rsidR="00B66E49" w:rsidRPr="00CA0917">
        <w:rPr>
          <w:rFonts w:ascii="Arial" w:eastAsia="Times New Roman" w:hAnsi="Arial" w:cs="Arial"/>
          <w:b/>
          <w:bCs/>
          <w:sz w:val="24"/>
          <w:szCs w:val="24"/>
          <w:lang w:val="en-ZA"/>
        </w:rPr>
        <w:t>RESPONDENT</w:t>
      </w:r>
    </w:p>
    <w:p w:rsidR="00B66E49" w:rsidRPr="00CA0917" w:rsidRDefault="00B66E49" w:rsidP="00D62392">
      <w:pPr>
        <w:shd w:val="clear" w:color="auto" w:fill="FFFFFF"/>
        <w:spacing w:after="0" w:line="240" w:lineRule="auto"/>
        <w:jc w:val="both"/>
        <w:rPr>
          <w:rFonts w:ascii="Arial" w:eastAsia="Times New Roman" w:hAnsi="Arial" w:cs="Arial"/>
          <w:b/>
          <w:bCs/>
          <w:sz w:val="24"/>
          <w:szCs w:val="24"/>
          <w:lang w:val="en-ZA"/>
        </w:rPr>
      </w:pPr>
      <w:r w:rsidRPr="00CA0917">
        <w:rPr>
          <w:rFonts w:ascii="Arial" w:eastAsia="Times New Roman" w:hAnsi="Arial" w:cs="Arial"/>
          <w:b/>
          <w:bCs/>
          <w:sz w:val="24"/>
          <w:szCs w:val="24"/>
          <w:lang w:val="en-ZA"/>
        </w:rPr>
        <w:t> </w:t>
      </w:r>
    </w:p>
    <w:p w:rsidR="00B66E49" w:rsidRPr="00CA0917" w:rsidRDefault="00B66E49" w:rsidP="00D62392">
      <w:pPr>
        <w:shd w:val="clear" w:color="auto" w:fill="FFFFFF"/>
        <w:spacing w:after="0" w:line="240" w:lineRule="auto"/>
        <w:jc w:val="both"/>
        <w:rPr>
          <w:rFonts w:ascii="Arial" w:eastAsia="Times New Roman" w:hAnsi="Arial" w:cs="Arial"/>
          <w:b/>
          <w:bCs/>
          <w:sz w:val="24"/>
          <w:szCs w:val="24"/>
          <w:lang w:val="en-ZA"/>
        </w:rPr>
      </w:pPr>
    </w:p>
    <w:p w:rsidR="00A53FCF" w:rsidRDefault="00A53FCF" w:rsidP="00D62392">
      <w:pPr>
        <w:tabs>
          <w:tab w:val="right" w:pos="9356"/>
        </w:tabs>
        <w:spacing w:after="0" w:line="360" w:lineRule="auto"/>
        <w:jc w:val="both"/>
        <w:rPr>
          <w:rFonts w:ascii="Arial" w:hAnsi="Arial" w:cs="Arial"/>
          <w:sz w:val="24"/>
          <w:szCs w:val="24"/>
          <w:lang w:val="en-GB"/>
        </w:rPr>
      </w:pPr>
      <w:r w:rsidRPr="00054A34">
        <w:rPr>
          <w:rFonts w:ascii="Arial" w:hAnsi="Arial" w:cs="Arial"/>
          <w:b/>
          <w:sz w:val="24"/>
          <w:szCs w:val="24"/>
        </w:rPr>
        <w:t>Neutral Citation</w:t>
      </w:r>
      <w:r w:rsidR="00C52E42" w:rsidRPr="00054A34">
        <w:rPr>
          <w:rFonts w:ascii="Arial" w:hAnsi="Arial" w:cs="Arial"/>
          <w:b/>
          <w:i/>
          <w:sz w:val="24"/>
          <w:szCs w:val="24"/>
        </w:rPr>
        <w:t>:</w:t>
      </w:r>
      <w:r w:rsidR="00C52E42">
        <w:rPr>
          <w:rFonts w:ascii="Arial" w:hAnsi="Arial" w:cs="Arial"/>
          <w:i/>
          <w:sz w:val="24"/>
          <w:szCs w:val="24"/>
        </w:rPr>
        <w:t xml:space="preserve"> </w:t>
      </w:r>
      <w:r w:rsidRPr="00CA0917">
        <w:rPr>
          <w:rFonts w:ascii="Arial" w:hAnsi="Arial" w:cs="Arial"/>
          <w:i/>
          <w:sz w:val="24"/>
          <w:szCs w:val="24"/>
        </w:rPr>
        <w:t xml:space="preserve"> </w:t>
      </w:r>
      <w:bookmarkStart w:id="0" w:name="_GoBack"/>
      <w:r w:rsidR="00576C5D">
        <w:rPr>
          <w:rFonts w:ascii="Arial" w:hAnsi="Arial" w:cs="Arial"/>
          <w:i/>
          <w:sz w:val="24"/>
          <w:szCs w:val="24"/>
        </w:rPr>
        <w:t xml:space="preserve">S </w:t>
      </w:r>
      <w:r w:rsidRPr="00CA0917">
        <w:rPr>
          <w:rFonts w:ascii="Arial" w:hAnsi="Arial" w:cs="Arial"/>
          <w:i/>
          <w:sz w:val="24"/>
          <w:szCs w:val="24"/>
        </w:rPr>
        <w:t>K</w:t>
      </w:r>
      <w:r w:rsidR="00C52E42">
        <w:rPr>
          <w:rFonts w:ascii="Arial" w:hAnsi="Arial" w:cs="Arial"/>
          <w:i/>
          <w:sz w:val="24"/>
          <w:szCs w:val="24"/>
        </w:rPr>
        <w:t xml:space="preserve"> v </w:t>
      </w:r>
      <w:r w:rsidR="00576C5D">
        <w:rPr>
          <w:rFonts w:ascii="Arial" w:hAnsi="Arial" w:cs="Arial"/>
          <w:i/>
          <w:sz w:val="24"/>
          <w:szCs w:val="24"/>
        </w:rPr>
        <w:t xml:space="preserve">S </w:t>
      </w:r>
      <w:r w:rsidRPr="00CA0917">
        <w:rPr>
          <w:rFonts w:ascii="Arial" w:hAnsi="Arial" w:cs="Arial"/>
          <w:i/>
          <w:sz w:val="24"/>
          <w:szCs w:val="24"/>
        </w:rPr>
        <w:t xml:space="preserve">K </w:t>
      </w:r>
      <w:r w:rsidRPr="00CA0917">
        <w:rPr>
          <w:rFonts w:ascii="Arial" w:hAnsi="Arial" w:cs="Arial"/>
          <w:sz w:val="24"/>
          <w:szCs w:val="24"/>
          <w:lang w:val="en-GB"/>
        </w:rPr>
        <w:t>(</w:t>
      </w:r>
      <w:r w:rsidRPr="00CA0917">
        <w:rPr>
          <w:rFonts w:ascii="Arial" w:eastAsia="Times New Roman" w:hAnsi="Arial" w:cs="Arial"/>
          <w:sz w:val="24"/>
          <w:szCs w:val="24"/>
          <w:lang w:val="en-ZA"/>
        </w:rPr>
        <w:t xml:space="preserve">I 3754/ 2012) </w:t>
      </w:r>
      <w:r w:rsidR="006B4684">
        <w:rPr>
          <w:rFonts w:ascii="Arial" w:hAnsi="Arial" w:cs="Arial"/>
          <w:sz w:val="24"/>
          <w:szCs w:val="24"/>
          <w:lang w:val="en-GB"/>
        </w:rPr>
        <w:t>[2017] NAHCMD 344</w:t>
      </w:r>
      <w:r w:rsidRPr="00CA0917">
        <w:rPr>
          <w:rFonts w:ascii="Arial" w:hAnsi="Arial" w:cs="Arial"/>
          <w:sz w:val="24"/>
          <w:szCs w:val="24"/>
          <w:lang w:val="en-GB"/>
        </w:rPr>
        <w:t xml:space="preserve"> (17 November 2017)</w:t>
      </w:r>
      <w:bookmarkEnd w:id="0"/>
    </w:p>
    <w:p w:rsidR="00DA1102" w:rsidRPr="00CA0917" w:rsidRDefault="00DA1102" w:rsidP="00D62392">
      <w:pPr>
        <w:tabs>
          <w:tab w:val="right" w:pos="9356"/>
        </w:tabs>
        <w:spacing w:after="0" w:line="360" w:lineRule="auto"/>
        <w:jc w:val="both"/>
        <w:rPr>
          <w:rFonts w:ascii="Arial" w:hAnsi="Arial" w:cs="Arial"/>
          <w:sz w:val="24"/>
          <w:szCs w:val="24"/>
          <w:lang w:val="en-GB"/>
        </w:rPr>
      </w:pPr>
    </w:p>
    <w:p w:rsidR="00B66E49" w:rsidRPr="00CA0917" w:rsidRDefault="00B66E49" w:rsidP="00D62392">
      <w:pPr>
        <w:spacing w:after="0" w:line="360" w:lineRule="auto"/>
        <w:jc w:val="both"/>
        <w:rPr>
          <w:rFonts w:ascii="Arial" w:hAnsi="Arial" w:cs="Arial"/>
          <w:sz w:val="24"/>
          <w:szCs w:val="24"/>
        </w:rPr>
      </w:pPr>
      <w:r w:rsidRPr="00054A34">
        <w:rPr>
          <w:rFonts w:ascii="Arial" w:hAnsi="Arial" w:cs="Arial"/>
          <w:b/>
          <w:sz w:val="24"/>
          <w:szCs w:val="24"/>
        </w:rPr>
        <w:t>C</w:t>
      </w:r>
      <w:r w:rsidR="00A53FCF" w:rsidRPr="00054A34">
        <w:rPr>
          <w:rFonts w:ascii="Arial" w:hAnsi="Arial" w:cs="Arial"/>
          <w:b/>
          <w:sz w:val="24"/>
          <w:szCs w:val="24"/>
        </w:rPr>
        <w:t>oram</w:t>
      </w:r>
      <w:r w:rsidRPr="00054A34">
        <w:rPr>
          <w:rFonts w:ascii="Arial" w:hAnsi="Arial" w:cs="Arial"/>
          <w:b/>
          <w:sz w:val="24"/>
          <w:szCs w:val="24"/>
        </w:rPr>
        <w:t>:</w:t>
      </w:r>
      <w:r w:rsidRPr="00CA0917">
        <w:rPr>
          <w:rFonts w:ascii="Arial" w:hAnsi="Arial" w:cs="Arial"/>
          <w:sz w:val="24"/>
          <w:szCs w:val="24"/>
        </w:rPr>
        <w:tab/>
        <w:t>PRINSLOO J</w:t>
      </w:r>
    </w:p>
    <w:p w:rsidR="00B66E49" w:rsidRPr="00CA0917" w:rsidRDefault="00B66E49" w:rsidP="00D62392">
      <w:pPr>
        <w:spacing w:after="0" w:line="360" w:lineRule="auto"/>
        <w:jc w:val="both"/>
        <w:rPr>
          <w:rFonts w:ascii="Arial" w:hAnsi="Arial" w:cs="Arial"/>
          <w:sz w:val="24"/>
          <w:szCs w:val="24"/>
        </w:rPr>
      </w:pPr>
      <w:r w:rsidRPr="00054A34">
        <w:rPr>
          <w:rFonts w:ascii="Arial" w:hAnsi="Arial" w:cs="Arial"/>
          <w:b/>
          <w:sz w:val="24"/>
          <w:szCs w:val="24"/>
        </w:rPr>
        <w:t>Heard:</w:t>
      </w:r>
      <w:r w:rsidRPr="00CA0917">
        <w:rPr>
          <w:rFonts w:ascii="Arial" w:hAnsi="Arial" w:cs="Arial"/>
          <w:sz w:val="24"/>
          <w:szCs w:val="24"/>
        </w:rPr>
        <w:t xml:space="preserve"> </w:t>
      </w:r>
      <w:r w:rsidR="0025111A" w:rsidRPr="00CA0917">
        <w:rPr>
          <w:rFonts w:ascii="Arial" w:hAnsi="Arial" w:cs="Arial"/>
          <w:sz w:val="24"/>
          <w:szCs w:val="24"/>
        </w:rPr>
        <w:t xml:space="preserve">        9 November 2017</w:t>
      </w:r>
      <w:r w:rsidRPr="00CA0917">
        <w:rPr>
          <w:rFonts w:ascii="Arial" w:hAnsi="Arial" w:cs="Arial"/>
          <w:sz w:val="24"/>
          <w:szCs w:val="24"/>
        </w:rPr>
        <w:tab/>
      </w:r>
    </w:p>
    <w:p w:rsidR="00B66E49" w:rsidRPr="00CA0917" w:rsidRDefault="00B66E49" w:rsidP="00D62392">
      <w:pPr>
        <w:spacing w:after="0" w:line="360" w:lineRule="auto"/>
        <w:jc w:val="both"/>
        <w:rPr>
          <w:rFonts w:ascii="Arial" w:hAnsi="Arial" w:cs="Arial"/>
          <w:sz w:val="24"/>
          <w:szCs w:val="24"/>
        </w:rPr>
      </w:pPr>
      <w:r w:rsidRPr="00054A34">
        <w:rPr>
          <w:rFonts w:ascii="Arial" w:hAnsi="Arial" w:cs="Arial"/>
          <w:b/>
          <w:sz w:val="24"/>
          <w:szCs w:val="24"/>
        </w:rPr>
        <w:t>Delivered:</w:t>
      </w:r>
      <w:r w:rsidRPr="00CA0917">
        <w:rPr>
          <w:rFonts w:ascii="Arial" w:hAnsi="Arial" w:cs="Arial"/>
          <w:sz w:val="24"/>
          <w:szCs w:val="24"/>
        </w:rPr>
        <w:t xml:space="preserve">  </w:t>
      </w:r>
      <w:r w:rsidR="00F81C3D" w:rsidRPr="00CA0917">
        <w:rPr>
          <w:rFonts w:ascii="Arial" w:hAnsi="Arial" w:cs="Arial"/>
          <w:sz w:val="24"/>
          <w:szCs w:val="24"/>
        </w:rPr>
        <w:t>17 November 2017</w:t>
      </w:r>
      <w:r w:rsidRPr="00CA0917">
        <w:rPr>
          <w:rFonts w:ascii="Arial" w:hAnsi="Arial" w:cs="Arial"/>
          <w:sz w:val="24"/>
          <w:szCs w:val="24"/>
        </w:rPr>
        <w:tab/>
      </w:r>
    </w:p>
    <w:p w:rsidR="00B66E49" w:rsidRPr="00CA0917" w:rsidRDefault="00B66E49" w:rsidP="00D62392">
      <w:pPr>
        <w:spacing w:after="0" w:line="360" w:lineRule="auto"/>
        <w:jc w:val="both"/>
        <w:rPr>
          <w:rFonts w:ascii="Arial" w:hAnsi="Arial" w:cs="Arial"/>
          <w:sz w:val="24"/>
          <w:szCs w:val="24"/>
        </w:rPr>
      </w:pPr>
      <w:r w:rsidRPr="00054A34">
        <w:rPr>
          <w:rFonts w:ascii="Arial" w:hAnsi="Arial" w:cs="Arial"/>
          <w:b/>
          <w:sz w:val="24"/>
          <w:szCs w:val="24"/>
        </w:rPr>
        <w:t>Reasons:</w:t>
      </w:r>
      <w:r w:rsidRPr="00CA0917">
        <w:rPr>
          <w:rFonts w:ascii="Arial" w:hAnsi="Arial" w:cs="Arial"/>
          <w:sz w:val="24"/>
          <w:szCs w:val="24"/>
        </w:rPr>
        <w:t xml:space="preserve">  </w:t>
      </w:r>
      <w:r w:rsidR="00F81C3D" w:rsidRPr="00CA0917">
        <w:rPr>
          <w:rFonts w:ascii="Arial" w:hAnsi="Arial" w:cs="Arial"/>
          <w:sz w:val="24"/>
          <w:szCs w:val="24"/>
        </w:rPr>
        <w:t xml:space="preserve">  21 November 2017</w:t>
      </w:r>
    </w:p>
    <w:p w:rsidR="00F81C3D" w:rsidRPr="00CA0917" w:rsidRDefault="00F81C3D" w:rsidP="006F3CCC">
      <w:pPr>
        <w:tabs>
          <w:tab w:val="right" w:pos="9356"/>
        </w:tabs>
        <w:spacing w:after="0" w:line="360" w:lineRule="auto"/>
        <w:jc w:val="both"/>
        <w:rPr>
          <w:rFonts w:ascii="Arial" w:hAnsi="Arial" w:cs="Arial"/>
          <w:sz w:val="24"/>
          <w:szCs w:val="24"/>
          <w:lang w:val="en-GB"/>
        </w:rPr>
      </w:pPr>
    </w:p>
    <w:p w:rsidR="00F81C3D" w:rsidRPr="00CA0917" w:rsidRDefault="00F81C3D" w:rsidP="006F3CCC">
      <w:pPr>
        <w:tabs>
          <w:tab w:val="right" w:pos="9356"/>
        </w:tabs>
        <w:spacing w:after="0" w:line="360" w:lineRule="auto"/>
        <w:jc w:val="both"/>
        <w:rPr>
          <w:rFonts w:ascii="Arial" w:hAnsi="Arial" w:cs="Arial"/>
          <w:sz w:val="24"/>
          <w:szCs w:val="24"/>
          <w:lang w:val="en-GB"/>
        </w:rPr>
      </w:pPr>
      <w:r w:rsidRPr="00CA0917">
        <w:rPr>
          <w:rFonts w:ascii="Arial" w:hAnsi="Arial" w:cs="Arial"/>
          <w:b/>
          <w:sz w:val="24"/>
          <w:szCs w:val="24"/>
          <w:lang w:val="en-GB"/>
        </w:rPr>
        <w:t>Flynote</w:t>
      </w:r>
      <w:r w:rsidR="00B218E5" w:rsidRPr="00CA0917">
        <w:rPr>
          <w:rFonts w:ascii="Arial" w:hAnsi="Arial" w:cs="Arial"/>
          <w:sz w:val="24"/>
          <w:szCs w:val="24"/>
          <w:lang w:val="en-GB"/>
        </w:rPr>
        <w:t>: Im</w:t>
      </w:r>
      <w:r w:rsidRPr="00CA0917">
        <w:rPr>
          <w:rFonts w:ascii="Arial" w:hAnsi="Arial" w:cs="Arial"/>
          <w:sz w:val="24"/>
          <w:szCs w:val="24"/>
          <w:lang w:val="en-GB"/>
        </w:rPr>
        <w:t>p</w:t>
      </w:r>
      <w:r w:rsidR="00A214AF" w:rsidRPr="00CA0917">
        <w:rPr>
          <w:rFonts w:ascii="Arial" w:hAnsi="Arial" w:cs="Arial"/>
          <w:sz w:val="24"/>
          <w:szCs w:val="24"/>
          <w:lang w:val="en-GB"/>
        </w:rPr>
        <w:t>a</w:t>
      </w:r>
      <w:r w:rsidRPr="00CA0917">
        <w:rPr>
          <w:rFonts w:ascii="Arial" w:hAnsi="Arial" w:cs="Arial"/>
          <w:sz w:val="24"/>
          <w:szCs w:val="24"/>
          <w:lang w:val="en-GB"/>
        </w:rPr>
        <w:t xml:space="preserve">ct of </w:t>
      </w:r>
      <w:r w:rsidRPr="00CA0917">
        <w:rPr>
          <w:rFonts w:ascii="Arial" w:hAnsi="Arial" w:cs="Arial"/>
          <w:i/>
          <w:sz w:val="24"/>
          <w:szCs w:val="24"/>
          <w:lang w:val="en-GB"/>
        </w:rPr>
        <w:t>res judi</w:t>
      </w:r>
      <w:r w:rsidR="00A214AF" w:rsidRPr="00CA0917">
        <w:rPr>
          <w:rFonts w:ascii="Arial" w:hAnsi="Arial" w:cs="Arial"/>
          <w:i/>
          <w:sz w:val="24"/>
          <w:szCs w:val="24"/>
          <w:lang w:val="en-GB"/>
        </w:rPr>
        <w:t>cata</w:t>
      </w:r>
      <w:r w:rsidR="00A214AF" w:rsidRPr="00CA0917">
        <w:rPr>
          <w:rFonts w:ascii="Arial" w:hAnsi="Arial" w:cs="Arial"/>
          <w:sz w:val="24"/>
          <w:szCs w:val="24"/>
          <w:lang w:val="en-GB"/>
        </w:rPr>
        <w:t xml:space="preserve"> in family law (divorce matters) considered – Whether court becomes </w:t>
      </w:r>
      <w:r w:rsidR="00A214AF" w:rsidRPr="00CA0917">
        <w:rPr>
          <w:rFonts w:ascii="Arial" w:hAnsi="Arial" w:cs="Arial"/>
          <w:i/>
          <w:sz w:val="24"/>
          <w:szCs w:val="24"/>
          <w:lang w:val="en-GB"/>
        </w:rPr>
        <w:t>functus officio</w:t>
      </w:r>
      <w:r w:rsidR="00A214AF" w:rsidRPr="00CA0917">
        <w:rPr>
          <w:rFonts w:ascii="Arial" w:hAnsi="Arial" w:cs="Arial"/>
          <w:sz w:val="24"/>
          <w:szCs w:val="24"/>
          <w:lang w:val="en-GB"/>
        </w:rPr>
        <w:t xml:space="preserve"> in divorce matters once a settlement agreement</w:t>
      </w:r>
      <w:r w:rsidR="00B218E5" w:rsidRPr="00CA0917">
        <w:rPr>
          <w:rFonts w:ascii="Arial" w:hAnsi="Arial" w:cs="Arial"/>
          <w:sz w:val="24"/>
          <w:szCs w:val="24"/>
          <w:lang w:val="en-GB"/>
        </w:rPr>
        <w:t xml:space="preserve"> dealing with the custody </w:t>
      </w:r>
      <w:r w:rsidR="0025111A" w:rsidRPr="00CA0917">
        <w:rPr>
          <w:rFonts w:ascii="Arial" w:hAnsi="Arial" w:cs="Arial"/>
          <w:sz w:val="24"/>
          <w:szCs w:val="24"/>
          <w:lang w:val="en-GB"/>
        </w:rPr>
        <w:t xml:space="preserve">of </w:t>
      </w:r>
      <w:r w:rsidR="00B218E5" w:rsidRPr="00CA0917">
        <w:rPr>
          <w:rFonts w:ascii="Arial" w:hAnsi="Arial" w:cs="Arial"/>
          <w:sz w:val="24"/>
          <w:szCs w:val="24"/>
          <w:lang w:val="en-GB"/>
        </w:rPr>
        <w:t>minor children</w:t>
      </w:r>
      <w:r w:rsidR="00A214AF" w:rsidRPr="00CA0917">
        <w:rPr>
          <w:rFonts w:ascii="Arial" w:hAnsi="Arial" w:cs="Arial"/>
          <w:sz w:val="24"/>
          <w:szCs w:val="24"/>
          <w:lang w:val="en-GB"/>
        </w:rPr>
        <w:t xml:space="preserve"> has been made an order of court</w:t>
      </w:r>
      <w:r w:rsidR="00CA0917" w:rsidRPr="00CA0917">
        <w:rPr>
          <w:rFonts w:ascii="Arial" w:hAnsi="Arial" w:cs="Arial"/>
          <w:sz w:val="24"/>
          <w:szCs w:val="24"/>
          <w:lang w:val="en-GB"/>
        </w:rPr>
        <w:t>.</w:t>
      </w: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F81C3D" w:rsidRPr="00CA0917" w:rsidRDefault="00A214AF" w:rsidP="006F3CCC">
      <w:pPr>
        <w:tabs>
          <w:tab w:val="right" w:pos="9356"/>
        </w:tabs>
        <w:spacing w:after="0" w:line="360" w:lineRule="auto"/>
        <w:jc w:val="both"/>
        <w:rPr>
          <w:rFonts w:ascii="Arial" w:hAnsi="Arial" w:cs="Arial"/>
          <w:i/>
          <w:sz w:val="24"/>
        </w:rPr>
      </w:pPr>
      <w:r w:rsidRPr="00CA0917">
        <w:rPr>
          <w:rFonts w:ascii="Arial" w:hAnsi="Arial" w:cs="Arial"/>
          <w:b/>
          <w:sz w:val="24"/>
          <w:szCs w:val="24"/>
          <w:lang w:val="en-GB"/>
        </w:rPr>
        <w:lastRenderedPageBreak/>
        <w:t xml:space="preserve">Summary: </w:t>
      </w:r>
      <w:r w:rsidRPr="00CA0917">
        <w:rPr>
          <w:rFonts w:ascii="Arial" w:hAnsi="Arial" w:cs="Arial"/>
          <w:sz w:val="24"/>
          <w:szCs w:val="24"/>
          <w:lang w:val="en-GB"/>
        </w:rPr>
        <w:t>A final order of divorce was granted</w:t>
      </w:r>
      <w:r w:rsidR="005A5C43" w:rsidRPr="00CA0917">
        <w:rPr>
          <w:rFonts w:ascii="Arial" w:hAnsi="Arial" w:cs="Arial"/>
          <w:sz w:val="24"/>
          <w:szCs w:val="24"/>
          <w:lang w:val="en-GB"/>
        </w:rPr>
        <w:t xml:space="preserve"> to the parties on 16 February 2017 incorporating a settlement agreeme</w:t>
      </w:r>
      <w:r w:rsidR="0025111A" w:rsidRPr="00CA0917">
        <w:rPr>
          <w:rFonts w:ascii="Arial" w:hAnsi="Arial" w:cs="Arial"/>
          <w:sz w:val="24"/>
          <w:szCs w:val="24"/>
          <w:lang w:val="en-GB"/>
        </w:rPr>
        <w:t xml:space="preserve">nt reached between the parties, </w:t>
      </w:r>
      <w:r w:rsidR="005A5C43" w:rsidRPr="00CA0917">
        <w:rPr>
          <w:rFonts w:ascii="Arial" w:hAnsi="Arial" w:cs="Arial"/>
          <w:sz w:val="24"/>
          <w:szCs w:val="24"/>
          <w:lang w:val="en-GB"/>
        </w:rPr>
        <w:t>which was consequently made an order of court. The custody of the children was dealt with in terms of the said s</w:t>
      </w:r>
      <w:r w:rsidR="00964EF8" w:rsidRPr="00CA0917">
        <w:rPr>
          <w:rFonts w:ascii="Arial" w:hAnsi="Arial" w:cs="Arial"/>
          <w:sz w:val="24"/>
          <w:szCs w:val="24"/>
          <w:lang w:val="en-GB"/>
        </w:rPr>
        <w:t xml:space="preserve">ettlement agreement, in which </w:t>
      </w:r>
      <w:r w:rsidR="00964EF8" w:rsidRPr="00CA0917">
        <w:rPr>
          <w:rFonts w:ascii="Arial" w:hAnsi="Arial" w:cs="Arial"/>
          <w:sz w:val="24"/>
          <w:szCs w:val="24"/>
        </w:rPr>
        <w:t>terms</w:t>
      </w:r>
      <w:r w:rsidR="005A5C43" w:rsidRPr="00CA0917">
        <w:rPr>
          <w:rFonts w:ascii="Arial" w:hAnsi="Arial" w:cs="Arial"/>
          <w:sz w:val="24"/>
          <w:szCs w:val="24"/>
        </w:rPr>
        <w:t xml:space="preserve"> </w:t>
      </w:r>
      <w:r w:rsidR="0025111A" w:rsidRPr="00CA0917">
        <w:rPr>
          <w:rFonts w:ascii="Arial" w:hAnsi="Arial" w:cs="Arial"/>
          <w:sz w:val="24"/>
          <w:szCs w:val="24"/>
        </w:rPr>
        <w:t>the parties agreed that the a</w:t>
      </w:r>
      <w:r w:rsidR="005A5C43" w:rsidRPr="00CA0917">
        <w:rPr>
          <w:rFonts w:ascii="Arial" w:hAnsi="Arial" w:cs="Arial"/>
          <w:sz w:val="24"/>
          <w:szCs w:val="24"/>
        </w:rPr>
        <w:t>pplicant (defendant in the main action) shall have care and control over the two minor children subject to the Respondent’s right to reasonable access. During July 2016 both minor children went to stay with th</w:t>
      </w:r>
      <w:r w:rsidR="0025111A" w:rsidRPr="00CA0917">
        <w:rPr>
          <w:rFonts w:ascii="Arial" w:hAnsi="Arial" w:cs="Arial"/>
          <w:sz w:val="24"/>
          <w:szCs w:val="24"/>
        </w:rPr>
        <w:t>e r</w:t>
      </w:r>
      <w:r w:rsidR="005A5C43" w:rsidRPr="00CA0917">
        <w:rPr>
          <w:rFonts w:ascii="Arial" w:hAnsi="Arial" w:cs="Arial"/>
          <w:sz w:val="24"/>
          <w:szCs w:val="24"/>
        </w:rPr>
        <w:t>espondent. The eldest</w:t>
      </w:r>
      <w:r w:rsidR="00964EF8" w:rsidRPr="00CA0917">
        <w:rPr>
          <w:rFonts w:ascii="Arial" w:hAnsi="Arial" w:cs="Arial"/>
          <w:sz w:val="24"/>
          <w:szCs w:val="24"/>
        </w:rPr>
        <w:t xml:space="preserve"> child</w:t>
      </w:r>
      <w:r w:rsidR="005A5C43" w:rsidRPr="00CA0917">
        <w:rPr>
          <w:rFonts w:ascii="Arial" w:hAnsi="Arial" w:cs="Arial"/>
          <w:sz w:val="24"/>
          <w:szCs w:val="24"/>
        </w:rPr>
        <w:t xml:space="preserve"> KL stayed for ap</w:t>
      </w:r>
      <w:r w:rsidR="0025111A" w:rsidRPr="00CA0917">
        <w:rPr>
          <w:rFonts w:ascii="Arial" w:hAnsi="Arial" w:cs="Arial"/>
          <w:sz w:val="24"/>
          <w:szCs w:val="24"/>
        </w:rPr>
        <w:t>proximately two weeks with the r</w:t>
      </w:r>
      <w:r w:rsidR="005A5C43" w:rsidRPr="00CA0917">
        <w:rPr>
          <w:rFonts w:ascii="Arial" w:hAnsi="Arial" w:cs="Arial"/>
          <w:sz w:val="24"/>
          <w:szCs w:val="24"/>
        </w:rPr>
        <w:t>espondent and then moved back home. The youngest child, K who is also the child in question, remai</w:t>
      </w:r>
      <w:r w:rsidR="0061007C" w:rsidRPr="00CA0917">
        <w:rPr>
          <w:rFonts w:ascii="Arial" w:hAnsi="Arial" w:cs="Arial"/>
          <w:sz w:val="24"/>
          <w:szCs w:val="24"/>
        </w:rPr>
        <w:t>ned with the r</w:t>
      </w:r>
      <w:r w:rsidR="005A5C43" w:rsidRPr="00CA0917">
        <w:rPr>
          <w:rFonts w:ascii="Arial" w:hAnsi="Arial" w:cs="Arial"/>
          <w:sz w:val="24"/>
          <w:szCs w:val="24"/>
        </w:rPr>
        <w:t>espondent to da</w:t>
      </w:r>
      <w:r w:rsidR="00964EF8" w:rsidRPr="00CA0917">
        <w:rPr>
          <w:rFonts w:ascii="Arial" w:hAnsi="Arial" w:cs="Arial"/>
          <w:sz w:val="24"/>
          <w:szCs w:val="24"/>
        </w:rPr>
        <w:t>te, and had indicated that she</w:t>
      </w:r>
      <w:r w:rsidR="005A5C43" w:rsidRPr="00CA0917">
        <w:rPr>
          <w:rFonts w:ascii="Arial" w:hAnsi="Arial" w:cs="Arial"/>
          <w:sz w:val="24"/>
          <w:szCs w:val="24"/>
        </w:rPr>
        <w:t xml:space="preserve"> (minor child in que</w:t>
      </w:r>
      <w:r w:rsidR="00964EF8" w:rsidRPr="00CA0917">
        <w:rPr>
          <w:rFonts w:ascii="Arial" w:hAnsi="Arial" w:cs="Arial"/>
          <w:sz w:val="24"/>
          <w:szCs w:val="24"/>
        </w:rPr>
        <w:t xml:space="preserve">stion) wished to stay with the </w:t>
      </w:r>
      <w:r w:rsidR="0061007C" w:rsidRPr="00CA0917">
        <w:rPr>
          <w:rFonts w:ascii="Arial" w:hAnsi="Arial" w:cs="Arial"/>
          <w:sz w:val="24"/>
          <w:szCs w:val="24"/>
        </w:rPr>
        <w:t>r</w:t>
      </w:r>
      <w:r w:rsidR="005A5C43" w:rsidRPr="00CA0917">
        <w:rPr>
          <w:rFonts w:ascii="Arial" w:hAnsi="Arial" w:cs="Arial"/>
          <w:sz w:val="24"/>
          <w:szCs w:val="24"/>
        </w:rPr>
        <w:t xml:space="preserve">espondent. In order for the court to consider the issue of the custody of the </w:t>
      </w:r>
      <w:r w:rsidR="00A47268" w:rsidRPr="00CA0917">
        <w:rPr>
          <w:rFonts w:ascii="Arial" w:hAnsi="Arial" w:cs="Arial"/>
          <w:sz w:val="24"/>
          <w:szCs w:val="24"/>
        </w:rPr>
        <w:t xml:space="preserve">younger </w:t>
      </w:r>
      <w:r w:rsidR="005A5C43" w:rsidRPr="00CA0917">
        <w:rPr>
          <w:rFonts w:ascii="Arial" w:hAnsi="Arial" w:cs="Arial"/>
          <w:sz w:val="24"/>
          <w:szCs w:val="24"/>
        </w:rPr>
        <w:t xml:space="preserve">minor child, the court called for </w:t>
      </w:r>
      <w:r w:rsidR="005A5C43" w:rsidRPr="00CA0917">
        <w:rPr>
          <w:rFonts w:ascii="Arial" w:hAnsi="Arial" w:cs="Arial"/>
          <w:i/>
          <w:sz w:val="24"/>
          <w:szCs w:val="24"/>
        </w:rPr>
        <w:t>viva voce</w:t>
      </w:r>
      <w:r w:rsidR="005A5C43" w:rsidRPr="00CA0917">
        <w:rPr>
          <w:rFonts w:ascii="Arial" w:hAnsi="Arial" w:cs="Arial"/>
          <w:sz w:val="24"/>
          <w:szCs w:val="24"/>
        </w:rPr>
        <w:t xml:space="preserve"> evidence in order to access the best interest of the child.</w:t>
      </w:r>
      <w:r w:rsidR="00B218E5" w:rsidRPr="00CA0917">
        <w:rPr>
          <w:rFonts w:ascii="Arial" w:hAnsi="Arial" w:cs="Arial"/>
          <w:sz w:val="24"/>
          <w:szCs w:val="24"/>
        </w:rPr>
        <w:t xml:space="preserve"> </w:t>
      </w:r>
      <w:r w:rsidR="00B218E5" w:rsidRPr="00CA0917">
        <w:rPr>
          <w:rFonts w:ascii="Arial" w:hAnsi="Arial" w:cs="Arial"/>
          <w:sz w:val="24"/>
        </w:rPr>
        <w:t>After the matter was set down for th</w:t>
      </w:r>
      <w:r w:rsidR="0061007C" w:rsidRPr="00CA0917">
        <w:rPr>
          <w:rFonts w:ascii="Arial" w:hAnsi="Arial" w:cs="Arial"/>
          <w:sz w:val="24"/>
        </w:rPr>
        <w:t>e hearing of oral evidence the a</w:t>
      </w:r>
      <w:r w:rsidR="00B218E5" w:rsidRPr="00CA0917">
        <w:rPr>
          <w:rFonts w:ascii="Arial" w:hAnsi="Arial" w:cs="Arial"/>
          <w:sz w:val="24"/>
        </w:rPr>
        <w:t xml:space="preserve">pplicant </w:t>
      </w:r>
      <w:r w:rsidR="00964EF8" w:rsidRPr="00CA0917">
        <w:rPr>
          <w:rFonts w:ascii="Arial" w:hAnsi="Arial" w:cs="Arial"/>
          <w:sz w:val="24"/>
        </w:rPr>
        <w:t>raised</w:t>
      </w:r>
      <w:r w:rsidR="00B218E5" w:rsidRPr="00CA0917">
        <w:rPr>
          <w:rFonts w:ascii="Arial" w:hAnsi="Arial" w:cs="Arial"/>
          <w:sz w:val="24"/>
        </w:rPr>
        <w:t xml:space="preserve"> a point </w:t>
      </w:r>
      <w:r w:rsidR="00B218E5" w:rsidRPr="00CA0917">
        <w:rPr>
          <w:rFonts w:ascii="Arial" w:hAnsi="Arial" w:cs="Arial"/>
          <w:i/>
          <w:sz w:val="24"/>
        </w:rPr>
        <w:t>in limine</w:t>
      </w:r>
      <w:r w:rsidR="00B218E5" w:rsidRPr="00CA0917">
        <w:rPr>
          <w:rFonts w:ascii="Arial" w:hAnsi="Arial" w:cs="Arial"/>
          <w:sz w:val="24"/>
        </w:rPr>
        <w:t xml:space="preserve"> in this matter objecting to the court hearing oral evidence on the basis that the matter of custody is </w:t>
      </w:r>
      <w:r w:rsidR="00B218E5" w:rsidRPr="00CA0917">
        <w:rPr>
          <w:rFonts w:ascii="Arial" w:hAnsi="Arial" w:cs="Arial"/>
          <w:i/>
          <w:sz w:val="24"/>
        </w:rPr>
        <w:t>res judicata</w:t>
      </w:r>
      <w:r w:rsidR="00B218E5" w:rsidRPr="00CA0917">
        <w:rPr>
          <w:rFonts w:ascii="Arial" w:hAnsi="Arial" w:cs="Arial"/>
          <w:sz w:val="24"/>
        </w:rPr>
        <w:t xml:space="preserve"> and that the issue cannot be revisited by this court by admitting new evidence and that said approach would violate the well-established principle of </w:t>
      </w:r>
      <w:r w:rsidR="00B218E5" w:rsidRPr="00CA0917">
        <w:rPr>
          <w:rFonts w:ascii="Arial" w:hAnsi="Arial" w:cs="Arial"/>
          <w:i/>
          <w:sz w:val="24"/>
        </w:rPr>
        <w:t>res judicata</w:t>
      </w:r>
    </w:p>
    <w:p w:rsidR="00CA0917" w:rsidRPr="00CA0917" w:rsidRDefault="00CA0917" w:rsidP="006F3CCC">
      <w:pPr>
        <w:tabs>
          <w:tab w:val="right" w:pos="9356"/>
        </w:tabs>
        <w:spacing w:after="0" w:line="360" w:lineRule="auto"/>
        <w:jc w:val="both"/>
        <w:rPr>
          <w:rFonts w:ascii="Arial" w:hAnsi="Arial" w:cs="Arial"/>
          <w:sz w:val="24"/>
        </w:rPr>
      </w:pPr>
    </w:p>
    <w:p w:rsidR="00B218E5" w:rsidRPr="00CA0917" w:rsidRDefault="00B218E5" w:rsidP="006F3CCC">
      <w:pPr>
        <w:tabs>
          <w:tab w:val="right" w:pos="9356"/>
        </w:tabs>
        <w:spacing w:after="0" w:line="360" w:lineRule="auto"/>
        <w:jc w:val="both"/>
        <w:rPr>
          <w:rFonts w:ascii="Arial" w:hAnsi="Arial" w:cs="Arial"/>
          <w:sz w:val="24"/>
        </w:rPr>
      </w:pPr>
      <w:r w:rsidRPr="00CA0917">
        <w:rPr>
          <w:rFonts w:ascii="Arial" w:hAnsi="Arial" w:cs="Arial"/>
          <w:i/>
          <w:sz w:val="24"/>
        </w:rPr>
        <w:t>Held</w:t>
      </w:r>
      <w:r w:rsidRPr="00CA0917">
        <w:rPr>
          <w:rFonts w:ascii="Arial" w:hAnsi="Arial" w:cs="Arial"/>
          <w:sz w:val="24"/>
        </w:rPr>
        <w:t xml:space="preserve"> – Portion of settlement agreement dealing with custody and access is not </w:t>
      </w:r>
      <w:r w:rsidRPr="00CA0917">
        <w:rPr>
          <w:rFonts w:ascii="Arial" w:hAnsi="Arial" w:cs="Arial"/>
          <w:i/>
          <w:sz w:val="24"/>
        </w:rPr>
        <w:t>res judicata</w:t>
      </w:r>
      <w:r w:rsidRPr="00CA0917">
        <w:rPr>
          <w:rFonts w:ascii="Arial" w:hAnsi="Arial" w:cs="Arial"/>
          <w:sz w:val="24"/>
        </w:rPr>
        <w:t>.</w:t>
      </w:r>
    </w:p>
    <w:p w:rsidR="00CA0917" w:rsidRPr="00CA0917" w:rsidRDefault="00CA0917" w:rsidP="006F3CCC">
      <w:pPr>
        <w:tabs>
          <w:tab w:val="right" w:pos="9356"/>
        </w:tabs>
        <w:spacing w:after="0" w:line="360" w:lineRule="auto"/>
        <w:jc w:val="both"/>
        <w:rPr>
          <w:rFonts w:ascii="Arial" w:hAnsi="Arial" w:cs="Arial"/>
          <w:sz w:val="24"/>
        </w:rPr>
      </w:pPr>
    </w:p>
    <w:p w:rsidR="00B218E5" w:rsidRPr="00CA0917" w:rsidRDefault="00B218E5" w:rsidP="006F3CCC">
      <w:pPr>
        <w:tabs>
          <w:tab w:val="right" w:pos="9356"/>
        </w:tabs>
        <w:spacing w:after="0" w:line="360" w:lineRule="auto"/>
        <w:jc w:val="both"/>
        <w:rPr>
          <w:rFonts w:ascii="Arial" w:hAnsi="Arial" w:cs="Arial"/>
          <w:sz w:val="24"/>
          <w:szCs w:val="24"/>
          <w:lang w:val="en-GB"/>
        </w:rPr>
      </w:pPr>
      <w:r w:rsidRPr="00CA0917">
        <w:rPr>
          <w:rFonts w:ascii="Arial" w:hAnsi="Arial" w:cs="Arial"/>
          <w:i/>
          <w:sz w:val="24"/>
          <w:szCs w:val="24"/>
          <w:lang w:val="en-GB"/>
        </w:rPr>
        <w:t>Held furthe</w:t>
      </w:r>
      <w:r w:rsidRPr="00CA0917">
        <w:rPr>
          <w:rFonts w:ascii="Arial" w:hAnsi="Arial" w:cs="Arial"/>
          <w:sz w:val="24"/>
          <w:szCs w:val="24"/>
          <w:lang w:val="en-GB"/>
        </w:rPr>
        <w:t>r – Custody orders are subject to variation by court when new conditions supervene.</w:t>
      </w: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B218E5" w:rsidRPr="00CA0917" w:rsidRDefault="00B218E5" w:rsidP="006F3CCC">
      <w:pPr>
        <w:tabs>
          <w:tab w:val="right" w:pos="9356"/>
        </w:tabs>
        <w:spacing w:after="0" w:line="360" w:lineRule="auto"/>
        <w:jc w:val="both"/>
        <w:rPr>
          <w:rFonts w:ascii="Arial" w:hAnsi="Arial" w:cs="Arial"/>
          <w:sz w:val="24"/>
          <w:szCs w:val="24"/>
          <w:lang w:val="en-GB"/>
        </w:rPr>
      </w:pPr>
      <w:r w:rsidRPr="00CA0917">
        <w:rPr>
          <w:rFonts w:ascii="Arial" w:hAnsi="Arial" w:cs="Arial"/>
          <w:i/>
          <w:sz w:val="24"/>
          <w:szCs w:val="24"/>
          <w:lang w:val="en-GB"/>
        </w:rPr>
        <w:t>Held</w:t>
      </w:r>
      <w:r w:rsidRPr="00CA0917">
        <w:rPr>
          <w:rFonts w:ascii="Arial" w:hAnsi="Arial" w:cs="Arial"/>
          <w:sz w:val="24"/>
          <w:szCs w:val="24"/>
          <w:lang w:val="en-GB"/>
        </w:rPr>
        <w:t xml:space="preserve"> – An agreement which is made an order of court but does not create rights is not a subsequent bar to variation, on good cause shown.</w:t>
      </w: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B218E5" w:rsidRPr="00CA0917" w:rsidRDefault="00B218E5" w:rsidP="006F3CCC">
      <w:pPr>
        <w:tabs>
          <w:tab w:val="right" w:pos="9356"/>
        </w:tabs>
        <w:spacing w:after="0" w:line="360" w:lineRule="auto"/>
        <w:jc w:val="both"/>
        <w:rPr>
          <w:rFonts w:ascii="Arial" w:hAnsi="Arial" w:cs="Arial"/>
          <w:sz w:val="24"/>
          <w:szCs w:val="24"/>
          <w:lang w:val="en-GB"/>
        </w:rPr>
      </w:pPr>
      <w:r w:rsidRPr="00CA0917">
        <w:rPr>
          <w:rFonts w:ascii="Arial" w:hAnsi="Arial" w:cs="Arial"/>
          <w:i/>
          <w:sz w:val="24"/>
          <w:szCs w:val="24"/>
          <w:lang w:val="en-GB"/>
        </w:rPr>
        <w:t>Held further</w:t>
      </w:r>
      <w:r w:rsidRPr="00CA0917">
        <w:rPr>
          <w:rFonts w:ascii="Arial" w:hAnsi="Arial" w:cs="Arial"/>
          <w:sz w:val="24"/>
          <w:szCs w:val="24"/>
          <w:lang w:val="en-GB"/>
        </w:rPr>
        <w:t xml:space="preserve"> – In custody matters due weight must be given to the best interest of the minor child.</w:t>
      </w: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CA0917" w:rsidRPr="00CA0917" w:rsidRDefault="00CA0917" w:rsidP="006F3CCC">
      <w:pPr>
        <w:tabs>
          <w:tab w:val="right" w:pos="9356"/>
        </w:tabs>
        <w:spacing w:after="0" w:line="360" w:lineRule="auto"/>
        <w:jc w:val="both"/>
        <w:rPr>
          <w:rFonts w:ascii="Arial" w:hAnsi="Arial" w:cs="Arial"/>
          <w:sz w:val="24"/>
          <w:szCs w:val="24"/>
          <w:lang w:val="en-GB"/>
        </w:rPr>
      </w:pPr>
    </w:p>
    <w:p w:rsidR="00F81C3D" w:rsidRPr="00CA0917" w:rsidRDefault="00F81C3D" w:rsidP="006F3CCC">
      <w:pPr>
        <w:spacing w:after="0" w:line="360" w:lineRule="auto"/>
        <w:jc w:val="both"/>
        <w:rPr>
          <w:rFonts w:ascii="Arial" w:hAnsi="Arial" w:cs="Arial"/>
          <w:b/>
          <w:sz w:val="24"/>
          <w:szCs w:val="24"/>
        </w:rPr>
      </w:pPr>
    </w:p>
    <w:p w:rsidR="00B66E49" w:rsidRPr="00CA0917" w:rsidRDefault="00B66E49" w:rsidP="006F3CCC">
      <w:pPr>
        <w:spacing w:after="0" w:line="360" w:lineRule="auto"/>
        <w:jc w:val="both"/>
        <w:rPr>
          <w:rFonts w:ascii="Arial" w:hAnsi="Arial" w:cs="Arial"/>
          <w:sz w:val="24"/>
          <w:szCs w:val="24"/>
        </w:rPr>
      </w:pPr>
      <w:r w:rsidRPr="00CA0917">
        <w:rPr>
          <w:rFonts w:ascii="Arial" w:hAnsi="Arial" w:cs="Arial"/>
          <w:sz w:val="24"/>
          <w:szCs w:val="24"/>
        </w:rPr>
        <w:t>______________________________________________________________________</w:t>
      </w:r>
    </w:p>
    <w:p w:rsidR="00B66E49" w:rsidRPr="00CA0917" w:rsidRDefault="00B66E49" w:rsidP="006F3CCC">
      <w:pPr>
        <w:spacing w:after="0" w:line="360" w:lineRule="auto"/>
        <w:jc w:val="both"/>
        <w:rPr>
          <w:rFonts w:ascii="Arial" w:hAnsi="Arial" w:cs="Arial"/>
          <w:sz w:val="24"/>
          <w:szCs w:val="24"/>
        </w:rPr>
      </w:pPr>
    </w:p>
    <w:p w:rsidR="00B66E49" w:rsidRPr="00CA0917" w:rsidRDefault="00B66E49" w:rsidP="006F3CCC">
      <w:pPr>
        <w:spacing w:after="0" w:line="360" w:lineRule="auto"/>
        <w:ind w:left="3600" w:firstLine="720"/>
        <w:jc w:val="both"/>
        <w:rPr>
          <w:rFonts w:ascii="Arial" w:hAnsi="Arial" w:cs="Arial"/>
          <w:b/>
          <w:sz w:val="24"/>
          <w:szCs w:val="24"/>
        </w:rPr>
      </w:pPr>
      <w:r w:rsidRPr="00CA0917">
        <w:rPr>
          <w:rFonts w:ascii="Arial" w:hAnsi="Arial" w:cs="Arial"/>
          <w:b/>
          <w:sz w:val="24"/>
          <w:szCs w:val="24"/>
        </w:rPr>
        <w:t>ORDER</w:t>
      </w:r>
    </w:p>
    <w:p w:rsidR="00B66E49" w:rsidRPr="00CA0917" w:rsidRDefault="00B66E49" w:rsidP="006F3CCC">
      <w:pPr>
        <w:pBdr>
          <w:bottom w:val="single" w:sz="6" w:space="1" w:color="auto"/>
        </w:pBdr>
        <w:spacing w:after="0" w:line="360" w:lineRule="auto"/>
        <w:jc w:val="both"/>
        <w:rPr>
          <w:rFonts w:ascii="Arial" w:hAnsi="Arial" w:cs="Arial"/>
          <w:b/>
          <w:sz w:val="24"/>
          <w:szCs w:val="24"/>
        </w:rPr>
      </w:pPr>
    </w:p>
    <w:p w:rsidR="00B66E49" w:rsidRPr="00CA0917" w:rsidRDefault="00B66E49" w:rsidP="006F3CCC">
      <w:pPr>
        <w:spacing w:line="360" w:lineRule="auto"/>
        <w:jc w:val="both"/>
        <w:rPr>
          <w:rFonts w:ascii="Arial" w:hAnsi="Arial" w:cs="Arial"/>
          <w:sz w:val="24"/>
          <w:szCs w:val="24"/>
        </w:rPr>
      </w:pPr>
    </w:p>
    <w:p w:rsidR="00FB1DE6" w:rsidRPr="00CA0917" w:rsidRDefault="00FB1DE6" w:rsidP="006F3CCC">
      <w:pPr>
        <w:pStyle w:val="ListParagraph"/>
        <w:numPr>
          <w:ilvl w:val="0"/>
          <w:numId w:val="4"/>
        </w:numPr>
        <w:spacing w:line="360" w:lineRule="auto"/>
        <w:jc w:val="both"/>
        <w:rPr>
          <w:rFonts w:ascii="Arial" w:hAnsi="Arial" w:cs="Arial"/>
          <w:sz w:val="24"/>
        </w:rPr>
      </w:pPr>
      <w:r w:rsidRPr="00CA0917">
        <w:rPr>
          <w:rFonts w:ascii="Arial" w:hAnsi="Arial" w:cs="Arial"/>
          <w:sz w:val="24"/>
        </w:rPr>
        <w:t xml:space="preserve">Point </w:t>
      </w:r>
      <w:r w:rsidRPr="00CA0917">
        <w:rPr>
          <w:rFonts w:ascii="Arial" w:hAnsi="Arial" w:cs="Arial"/>
          <w:i/>
          <w:sz w:val="24"/>
        </w:rPr>
        <w:t>in limine</w:t>
      </w:r>
      <w:r w:rsidRPr="00CA0917">
        <w:rPr>
          <w:rFonts w:ascii="Arial" w:hAnsi="Arial" w:cs="Arial"/>
          <w:sz w:val="24"/>
        </w:rPr>
        <w:t xml:space="preserve"> raised in respect of the legal issue of </w:t>
      </w:r>
      <w:r w:rsidRPr="00CA0917">
        <w:rPr>
          <w:rFonts w:ascii="Arial" w:hAnsi="Arial" w:cs="Arial"/>
          <w:i/>
          <w:sz w:val="24"/>
        </w:rPr>
        <w:t>res judicata</w:t>
      </w:r>
      <w:r w:rsidRPr="00CA0917">
        <w:rPr>
          <w:rFonts w:ascii="Arial" w:hAnsi="Arial" w:cs="Arial"/>
          <w:sz w:val="24"/>
        </w:rPr>
        <w:t xml:space="preserve"> is dismissed. </w:t>
      </w:r>
    </w:p>
    <w:p w:rsidR="0039543F" w:rsidRPr="00CA0917" w:rsidRDefault="00CA0917" w:rsidP="006F3CCC">
      <w:pPr>
        <w:pStyle w:val="ListParagraph"/>
        <w:numPr>
          <w:ilvl w:val="0"/>
          <w:numId w:val="4"/>
        </w:numPr>
        <w:spacing w:line="360" w:lineRule="auto"/>
        <w:jc w:val="both"/>
        <w:rPr>
          <w:rFonts w:ascii="Arial" w:hAnsi="Arial" w:cs="Arial"/>
          <w:sz w:val="24"/>
          <w:szCs w:val="24"/>
        </w:rPr>
      </w:pPr>
      <w:r w:rsidRPr="00CA0917">
        <w:rPr>
          <w:rFonts w:ascii="Arial" w:hAnsi="Arial" w:cs="Arial"/>
          <w:sz w:val="24"/>
        </w:rPr>
        <w:t xml:space="preserve">Costs to stand over and </w:t>
      </w:r>
      <w:r w:rsidR="00FB1DE6" w:rsidRPr="00CA0917">
        <w:rPr>
          <w:rFonts w:ascii="Arial" w:hAnsi="Arial" w:cs="Arial"/>
          <w:sz w:val="24"/>
        </w:rPr>
        <w:t>be determined at the conclusion of the main application</w:t>
      </w:r>
      <w:r w:rsidRPr="00CA0917">
        <w:rPr>
          <w:rFonts w:ascii="Arial" w:hAnsi="Arial" w:cs="Arial"/>
          <w:sz w:val="24"/>
        </w:rPr>
        <w:t>.</w:t>
      </w:r>
    </w:p>
    <w:p w:rsidR="00B66E49" w:rsidRPr="00CA0917" w:rsidRDefault="00B66E49" w:rsidP="006F3CCC">
      <w:pPr>
        <w:spacing w:line="360" w:lineRule="auto"/>
        <w:jc w:val="both"/>
        <w:rPr>
          <w:rFonts w:ascii="Arial" w:hAnsi="Arial" w:cs="Arial"/>
        </w:rPr>
      </w:pPr>
      <w:r w:rsidRPr="00CA0917">
        <w:rPr>
          <w:rFonts w:ascii="Arial" w:hAnsi="Arial" w:cs="Arial"/>
        </w:rPr>
        <w:t>____________________________________________________________________________</w:t>
      </w:r>
    </w:p>
    <w:p w:rsidR="00B66E49" w:rsidRPr="00CA0917" w:rsidRDefault="00B66E49" w:rsidP="006F3CCC">
      <w:pPr>
        <w:spacing w:line="360" w:lineRule="auto"/>
        <w:ind w:left="3600" w:firstLine="720"/>
        <w:jc w:val="both"/>
        <w:rPr>
          <w:rFonts w:ascii="Arial" w:hAnsi="Arial" w:cs="Arial"/>
          <w:b/>
          <w:sz w:val="24"/>
          <w:szCs w:val="24"/>
        </w:rPr>
      </w:pPr>
      <w:r w:rsidRPr="00CA0917">
        <w:rPr>
          <w:rFonts w:ascii="Arial" w:hAnsi="Arial" w:cs="Arial"/>
          <w:b/>
          <w:sz w:val="24"/>
          <w:szCs w:val="24"/>
        </w:rPr>
        <w:t xml:space="preserve">RULING </w:t>
      </w:r>
    </w:p>
    <w:p w:rsidR="00B66E49" w:rsidRPr="00CA0917" w:rsidRDefault="00B66E49" w:rsidP="006F3CCC">
      <w:pPr>
        <w:spacing w:line="360" w:lineRule="auto"/>
        <w:jc w:val="both"/>
        <w:rPr>
          <w:rFonts w:ascii="Arial" w:hAnsi="Arial" w:cs="Arial"/>
        </w:rPr>
      </w:pPr>
      <w:r w:rsidRPr="00CA0917">
        <w:rPr>
          <w:rFonts w:ascii="Arial" w:hAnsi="Arial" w:cs="Arial"/>
        </w:rPr>
        <w:t>____________________________________________________________________________</w:t>
      </w:r>
    </w:p>
    <w:p w:rsidR="00B66E49" w:rsidRPr="00CA0917" w:rsidRDefault="00B66E49" w:rsidP="006F3CCC">
      <w:pPr>
        <w:spacing w:line="360" w:lineRule="auto"/>
        <w:jc w:val="both"/>
        <w:rPr>
          <w:rFonts w:ascii="Arial" w:hAnsi="Arial" w:cs="Arial"/>
        </w:rPr>
      </w:pPr>
    </w:p>
    <w:p w:rsidR="00CA0917" w:rsidRPr="00CA0917" w:rsidRDefault="00B66E49" w:rsidP="006F3CCC">
      <w:pPr>
        <w:spacing w:line="360" w:lineRule="auto"/>
        <w:jc w:val="both"/>
        <w:rPr>
          <w:rFonts w:ascii="Arial" w:hAnsi="Arial" w:cs="Arial"/>
          <w:sz w:val="24"/>
          <w:szCs w:val="24"/>
        </w:rPr>
      </w:pPr>
      <w:r w:rsidRPr="00CA0917">
        <w:rPr>
          <w:rFonts w:ascii="Arial" w:hAnsi="Arial" w:cs="Arial"/>
          <w:sz w:val="24"/>
        </w:rPr>
        <w:t>[</w:t>
      </w:r>
      <w:r w:rsidRPr="00CA0917">
        <w:rPr>
          <w:rFonts w:ascii="Arial" w:hAnsi="Arial" w:cs="Arial"/>
          <w:sz w:val="24"/>
          <w:szCs w:val="24"/>
        </w:rPr>
        <w:t>1]</w:t>
      </w:r>
      <w:r w:rsidRPr="00CA0917">
        <w:rPr>
          <w:rFonts w:ascii="Arial" w:hAnsi="Arial" w:cs="Arial"/>
          <w:sz w:val="24"/>
          <w:szCs w:val="24"/>
        </w:rPr>
        <w:tab/>
      </w:r>
      <w:r w:rsidR="003F4BAC" w:rsidRPr="00CA0917">
        <w:rPr>
          <w:rFonts w:ascii="Arial" w:hAnsi="Arial" w:cs="Arial"/>
          <w:sz w:val="24"/>
          <w:szCs w:val="24"/>
        </w:rPr>
        <w:t>Appli</w:t>
      </w:r>
      <w:r w:rsidR="0061007C" w:rsidRPr="00CA0917">
        <w:rPr>
          <w:rFonts w:ascii="Arial" w:hAnsi="Arial" w:cs="Arial"/>
          <w:sz w:val="24"/>
          <w:szCs w:val="24"/>
        </w:rPr>
        <w:t>cant and r</w:t>
      </w:r>
      <w:r w:rsidR="003F4BAC" w:rsidRPr="00CA0917">
        <w:rPr>
          <w:rFonts w:ascii="Arial" w:hAnsi="Arial" w:cs="Arial"/>
          <w:sz w:val="24"/>
          <w:szCs w:val="24"/>
        </w:rPr>
        <w:t>espondent were g</w:t>
      </w:r>
      <w:r w:rsidR="00A47268" w:rsidRPr="00CA0917">
        <w:rPr>
          <w:rFonts w:ascii="Arial" w:hAnsi="Arial" w:cs="Arial"/>
          <w:sz w:val="24"/>
          <w:szCs w:val="24"/>
        </w:rPr>
        <w:t>ranted a final order of divorce</w:t>
      </w:r>
      <w:r w:rsidR="003F4BAC" w:rsidRPr="00CA0917">
        <w:rPr>
          <w:rFonts w:ascii="Arial" w:hAnsi="Arial" w:cs="Arial"/>
          <w:sz w:val="24"/>
          <w:szCs w:val="24"/>
        </w:rPr>
        <w:t xml:space="preserve"> by this Court on 16 February 2017. The divorce proceedings were contested and quite acrimonious. During judicial case managemen</w:t>
      </w:r>
      <w:r w:rsidR="00A47268" w:rsidRPr="00CA0917">
        <w:rPr>
          <w:rFonts w:ascii="Arial" w:hAnsi="Arial" w:cs="Arial"/>
          <w:sz w:val="24"/>
          <w:szCs w:val="24"/>
        </w:rPr>
        <w:t xml:space="preserve">t and with the assistance of </w:t>
      </w:r>
      <w:r w:rsidR="003F4BAC" w:rsidRPr="00CA0917">
        <w:rPr>
          <w:rFonts w:ascii="Arial" w:hAnsi="Arial" w:cs="Arial"/>
          <w:sz w:val="24"/>
          <w:szCs w:val="24"/>
        </w:rPr>
        <w:t>counsel</w:t>
      </w:r>
      <w:r w:rsidR="00B44A1A" w:rsidRPr="00CA0917">
        <w:rPr>
          <w:rFonts w:ascii="Arial" w:hAnsi="Arial" w:cs="Arial"/>
          <w:sz w:val="24"/>
          <w:szCs w:val="24"/>
        </w:rPr>
        <w:t>,</w:t>
      </w:r>
      <w:r w:rsidR="003F4BAC" w:rsidRPr="00CA0917">
        <w:rPr>
          <w:rFonts w:ascii="Arial" w:hAnsi="Arial" w:cs="Arial"/>
          <w:sz w:val="24"/>
          <w:szCs w:val="24"/>
        </w:rPr>
        <w:t xml:space="preserve"> settlement was reached between the parties. There wa</w:t>
      </w:r>
      <w:r w:rsidR="00A47268" w:rsidRPr="00CA0917">
        <w:rPr>
          <w:rFonts w:ascii="Arial" w:hAnsi="Arial" w:cs="Arial"/>
          <w:sz w:val="24"/>
          <w:szCs w:val="24"/>
        </w:rPr>
        <w:t>s a number of contentious issue</w:t>
      </w:r>
      <w:r w:rsidR="00B44A1A" w:rsidRPr="00CA0917">
        <w:rPr>
          <w:rFonts w:ascii="Arial" w:hAnsi="Arial" w:cs="Arial"/>
          <w:sz w:val="24"/>
          <w:szCs w:val="24"/>
        </w:rPr>
        <w:t>s</w:t>
      </w:r>
      <w:r w:rsidR="003F4BAC" w:rsidRPr="00CA0917">
        <w:rPr>
          <w:rFonts w:ascii="Arial" w:hAnsi="Arial" w:cs="Arial"/>
          <w:sz w:val="24"/>
          <w:szCs w:val="24"/>
        </w:rPr>
        <w:t xml:space="preserve"> between the parties</w:t>
      </w:r>
      <w:r w:rsidR="00A47268" w:rsidRPr="00CA0917">
        <w:rPr>
          <w:rFonts w:ascii="Arial" w:hAnsi="Arial" w:cs="Arial"/>
          <w:sz w:val="24"/>
          <w:szCs w:val="24"/>
        </w:rPr>
        <w:t>,</w:t>
      </w:r>
      <w:r w:rsidR="003F4BAC" w:rsidRPr="00CA0917">
        <w:rPr>
          <w:rFonts w:ascii="Arial" w:hAnsi="Arial" w:cs="Arial"/>
          <w:sz w:val="24"/>
          <w:szCs w:val="24"/>
        </w:rPr>
        <w:t xml:space="preserve"> however the parties eventually signed the settlement agreement</w:t>
      </w:r>
      <w:r w:rsidR="00764B34" w:rsidRPr="00CA0917">
        <w:rPr>
          <w:rFonts w:ascii="Arial" w:hAnsi="Arial" w:cs="Arial"/>
          <w:sz w:val="24"/>
          <w:szCs w:val="24"/>
        </w:rPr>
        <w:t xml:space="preserve"> on 16 February 2017</w:t>
      </w:r>
      <w:r w:rsidR="003F4BAC" w:rsidRPr="00CA0917">
        <w:rPr>
          <w:rFonts w:ascii="Arial" w:hAnsi="Arial" w:cs="Arial"/>
          <w:sz w:val="24"/>
          <w:szCs w:val="24"/>
        </w:rPr>
        <w:t>. The case hereafter proceeded on an unopposed basis and a final order of divorce was granted and the settl</w:t>
      </w:r>
      <w:r w:rsidR="00CA0917">
        <w:rPr>
          <w:rFonts w:ascii="Arial" w:hAnsi="Arial" w:cs="Arial"/>
          <w:sz w:val="24"/>
          <w:szCs w:val="24"/>
        </w:rPr>
        <w:t>ement agreement was made an orde</w:t>
      </w:r>
      <w:r w:rsidR="003F4BAC" w:rsidRPr="00CA0917">
        <w:rPr>
          <w:rFonts w:ascii="Arial" w:hAnsi="Arial" w:cs="Arial"/>
          <w:sz w:val="24"/>
          <w:szCs w:val="24"/>
        </w:rPr>
        <w:t xml:space="preserve">r of court. </w:t>
      </w:r>
    </w:p>
    <w:p w:rsidR="00CA0917" w:rsidRPr="00CA0917" w:rsidRDefault="00764B34"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2</w:t>
      </w:r>
      <w:r w:rsidRPr="00CA0917">
        <w:rPr>
          <w:rFonts w:ascii="Arial" w:hAnsi="Arial" w:cs="Arial"/>
          <w:sz w:val="24"/>
          <w:szCs w:val="24"/>
        </w:rPr>
        <w:t>]</w:t>
      </w:r>
      <w:r w:rsidRPr="00CA0917">
        <w:rPr>
          <w:rFonts w:ascii="Arial" w:hAnsi="Arial" w:cs="Arial"/>
          <w:sz w:val="24"/>
          <w:szCs w:val="24"/>
        </w:rPr>
        <w:tab/>
      </w:r>
      <w:r w:rsidR="003F4BAC" w:rsidRPr="00CA0917">
        <w:rPr>
          <w:rFonts w:ascii="Arial" w:hAnsi="Arial" w:cs="Arial"/>
          <w:sz w:val="24"/>
          <w:szCs w:val="24"/>
        </w:rPr>
        <w:t>In terms of the settlement agreement the</w:t>
      </w:r>
      <w:r w:rsidRPr="00CA0917">
        <w:rPr>
          <w:rFonts w:ascii="Arial" w:hAnsi="Arial" w:cs="Arial"/>
          <w:sz w:val="24"/>
          <w:szCs w:val="24"/>
        </w:rPr>
        <w:t xml:space="preserve"> parties agreed that the</w:t>
      </w:r>
      <w:r w:rsidR="003F4BAC" w:rsidRPr="00CA0917">
        <w:rPr>
          <w:rFonts w:ascii="Arial" w:hAnsi="Arial" w:cs="Arial"/>
          <w:sz w:val="24"/>
          <w:szCs w:val="24"/>
        </w:rPr>
        <w:t xml:space="preserve"> </w:t>
      </w:r>
      <w:r w:rsidR="0061007C" w:rsidRPr="00CA0917">
        <w:rPr>
          <w:rFonts w:ascii="Arial" w:hAnsi="Arial" w:cs="Arial"/>
          <w:sz w:val="24"/>
          <w:szCs w:val="24"/>
        </w:rPr>
        <w:t>a</w:t>
      </w:r>
      <w:r w:rsidR="003F4BAC" w:rsidRPr="00CA0917">
        <w:rPr>
          <w:rFonts w:ascii="Arial" w:hAnsi="Arial" w:cs="Arial"/>
          <w:sz w:val="24"/>
          <w:szCs w:val="24"/>
        </w:rPr>
        <w:t>pplicant</w:t>
      </w:r>
      <w:r w:rsidRPr="00CA0917">
        <w:rPr>
          <w:rFonts w:ascii="Arial" w:hAnsi="Arial" w:cs="Arial"/>
          <w:sz w:val="24"/>
          <w:szCs w:val="24"/>
        </w:rPr>
        <w:t xml:space="preserve"> (defendant in the main action) shall have care and control over the two</w:t>
      </w:r>
      <w:r w:rsidR="0061007C" w:rsidRPr="00CA0917">
        <w:rPr>
          <w:rFonts w:ascii="Arial" w:hAnsi="Arial" w:cs="Arial"/>
          <w:sz w:val="24"/>
          <w:szCs w:val="24"/>
        </w:rPr>
        <w:t xml:space="preserve"> minor children subject to the r</w:t>
      </w:r>
      <w:r w:rsidRPr="00CA0917">
        <w:rPr>
          <w:rFonts w:ascii="Arial" w:hAnsi="Arial" w:cs="Arial"/>
          <w:sz w:val="24"/>
          <w:szCs w:val="24"/>
        </w:rPr>
        <w:t>espondent’s right to reasonable access.</w:t>
      </w:r>
    </w:p>
    <w:p w:rsidR="00764B34" w:rsidRPr="00CA0917" w:rsidRDefault="00764B34"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w:t>
      </w:r>
      <w:r w:rsidRPr="00CA0917">
        <w:rPr>
          <w:rFonts w:ascii="Arial" w:hAnsi="Arial" w:cs="Arial"/>
          <w:sz w:val="24"/>
          <w:szCs w:val="24"/>
        </w:rPr>
        <w:t>]</w:t>
      </w:r>
      <w:r w:rsidRPr="00CA0917">
        <w:rPr>
          <w:rFonts w:ascii="Arial" w:hAnsi="Arial" w:cs="Arial"/>
          <w:sz w:val="24"/>
          <w:szCs w:val="24"/>
        </w:rPr>
        <w:tab/>
        <w:t>Clause 2.1</w:t>
      </w:r>
      <w:r w:rsidR="00E246CA" w:rsidRPr="00CA0917">
        <w:rPr>
          <w:rFonts w:ascii="Arial" w:hAnsi="Arial" w:cs="Arial"/>
          <w:sz w:val="24"/>
          <w:szCs w:val="24"/>
        </w:rPr>
        <w:t xml:space="preserve"> and 2.2</w:t>
      </w:r>
      <w:r w:rsidRPr="00CA0917">
        <w:rPr>
          <w:rFonts w:ascii="Arial" w:hAnsi="Arial" w:cs="Arial"/>
          <w:sz w:val="24"/>
          <w:szCs w:val="24"/>
        </w:rPr>
        <w:t xml:space="preserve"> of the Deed of settlement reads as follows:</w:t>
      </w:r>
      <w:r w:rsidRPr="00CA0917">
        <w:rPr>
          <w:rFonts w:ascii="Arial" w:hAnsi="Arial" w:cs="Arial"/>
          <w:sz w:val="24"/>
          <w:szCs w:val="24"/>
        </w:rPr>
        <w:tab/>
        <w:t xml:space="preserve">  </w:t>
      </w:r>
    </w:p>
    <w:p w:rsidR="00764B34" w:rsidRPr="00CA0917" w:rsidRDefault="00E246CA" w:rsidP="006F3CCC">
      <w:pPr>
        <w:spacing w:line="360" w:lineRule="auto"/>
        <w:ind w:left="720"/>
        <w:jc w:val="both"/>
        <w:rPr>
          <w:rFonts w:ascii="Arial" w:hAnsi="Arial" w:cs="Arial"/>
        </w:rPr>
      </w:pPr>
      <w:r w:rsidRPr="00CA0917">
        <w:rPr>
          <w:rFonts w:ascii="Arial" w:hAnsi="Arial" w:cs="Arial"/>
        </w:rPr>
        <w:t>‘</w:t>
      </w:r>
      <w:r w:rsidR="00764B34" w:rsidRPr="00CA0917">
        <w:rPr>
          <w:rFonts w:ascii="Arial" w:hAnsi="Arial" w:cs="Arial"/>
        </w:rPr>
        <w:t xml:space="preserve">2.1 </w:t>
      </w:r>
      <w:r w:rsidR="00764B34" w:rsidRPr="00CA0917">
        <w:rPr>
          <w:rFonts w:ascii="Arial" w:hAnsi="Arial" w:cs="Arial"/>
        </w:rPr>
        <w:tab/>
        <w:t xml:space="preserve">Subject to what is agreed upon in the subparagraphs herein Defendant shall have care and control of the two minor children, namely: </w:t>
      </w:r>
    </w:p>
    <w:p w:rsidR="00764B34" w:rsidRPr="00CA0917" w:rsidRDefault="00764B34" w:rsidP="006F3CCC">
      <w:pPr>
        <w:spacing w:line="360" w:lineRule="auto"/>
        <w:ind w:left="720"/>
        <w:jc w:val="both"/>
        <w:rPr>
          <w:rFonts w:ascii="Arial" w:hAnsi="Arial" w:cs="Arial"/>
        </w:rPr>
      </w:pPr>
      <w:r w:rsidRPr="00CA0917">
        <w:rPr>
          <w:rFonts w:ascii="Arial" w:hAnsi="Arial" w:cs="Arial"/>
        </w:rPr>
        <w:tab/>
        <w:t>2.1.1</w:t>
      </w:r>
      <w:r w:rsidRPr="00CA0917">
        <w:rPr>
          <w:rFonts w:ascii="Arial" w:hAnsi="Arial" w:cs="Arial"/>
        </w:rPr>
        <w:tab/>
      </w:r>
      <w:r w:rsidR="00964EF8" w:rsidRPr="00CA0917">
        <w:rPr>
          <w:rFonts w:ascii="Arial" w:hAnsi="Arial" w:cs="Arial"/>
        </w:rPr>
        <w:t>K- L K</w:t>
      </w:r>
      <w:r w:rsidRPr="00CA0917">
        <w:rPr>
          <w:rFonts w:ascii="Arial" w:hAnsi="Arial" w:cs="Arial"/>
        </w:rPr>
        <w:t xml:space="preserve">, born 19 April 2000; </w:t>
      </w:r>
    </w:p>
    <w:p w:rsidR="00764B34" w:rsidRPr="00CA0917" w:rsidRDefault="00764B34" w:rsidP="006F3CCC">
      <w:pPr>
        <w:spacing w:line="360" w:lineRule="auto"/>
        <w:ind w:left="720"/>
        <w:jc w:val="both"/>
        <w:rPr>
          <w:rFonts w:ascii="Arial" w:hAnsi="Arial" w:cs="Arial"/>
        </w:rPr>
      </w:pPr>
      <w:r w:rsidRPr="00CA0917">
        <w:rPr>
          <w:rFonts w:ascii="Arial" w:hAnsi="Arial" w:cs="Arial"/>
        </w:rPr>
        <w:lastRenderedPageBreak/>
        <w:tab/>
        <w:t>2.1.2</w:t>
      </w:r>
      <w:r w:rsidRPr="00CA0917">
        <w:rPr>
          <w:rFonts w:ascii="Arial" w:hAnsi="Arial" w:cs="Arial"/>
        </w:rPr>
        <w:tab/>
      </w:r>
      <w:r w:rsidR="00964EF8" w:rsidRPr="00CA0917">
        <w:rPr>
          <w:rFonts w:ascii="Arial" w:hAnsi="Arial" w:cs="Arial"/>
        </w:rPr>
        <w:t>K K</w:t>
      </w:r>
      <w:r w:rsidRPr="00CA0917">
        <w:rPr>
          <w:rFonts w:ascii="Arial" w:hAnsi="Arial" w:cs="Arial"/>
        </w:rPr>
        <w:t>, born on 14 February 2003.</w:t>
      </w:r>
    </w:p>
    <w:p w:rsidR="00E246CA" w:rsidRPr="00CA0917" w:rsidRDefault="00E246CA" w:rsidP="006F3CCC">
      <w:pPr>
        <w:spacing w:line="360" w:lineRule="auto"/>
        <w:ind w:left="720"/>
        <w:jc w:val="both"/>
        <w:rPr>
          <w:rFonts w:ascii="Arial" w:hAnsi="Arial" w:cs="Arial"/>
        </w:rPr>
      </w:pPr>
      <w:r w:rsidRPr="00CA0917">
        <w:rPr>
          <w:rFonts w:ascii="Arial" w:hAnsi="Arial" w:cs="Arial"/>
        </w:rPr>
        <w:t>2.2</w:t>
      </w:r>
      <w:r w:rsidRPr="00CA0917">
        <w:rPr>
          <w:rFonts w:ascii="Arial" w:hAnsi="Arial" w:cs="Arial"/>
        </w:rPr>
        <w:tab/>
        <w:t xml:space="preserve">Plaintiff, as guardian of the two minor children, shall have reasonable access to the minor children’. </w:t>
      </w:r>
    </w:p>
    <w:p w:rsidR="00E246CA" w:rsidRPr="00CA0917" w:rsidRDefault="00532168" w:rsidP="006F3CCC">
      <w:pPr>
        <w:spacing w:line="360" w:lineRule="auto"/>
        <w:jc w:val="both"/>
        <w:rPr>
          <w:rFonts w:ascii="Arial" w:hAnsi="Arial" w:cs="Arial"/>
          <w:i/>
          <w:sz w:val="24"/>
          <w:szCs w:val="24"/>
        </w:rPr>
      </w:pPr>
      <w:r w:rsidRPr="00CA0917">
        <w:rPr>
          <w:rFonts w:ascii="Arial" w:hAnsi="Arial" w:cs="Arial"/>
          <w:i/>
          <w:sz w:val="24"/>
          <w:szCs w:val="24"/>
        </w:rPr>
        <w:t xml:space="preserve">The application: </w:t>
      </w:r>
    </w:p>
    <w:p w:rsidR="00D248EC" w:rsidRPr="00CA0917" w:rsidRDefault="00E246CA"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4</w:t>
      </w:r>
      <w:r w:rsidR="0061007C" w:rsidRPr="00CA0917">
        <w:rPr>
          <w:rFonts w:ascii="Arial" w:hAnsi="Arial" w:cs="Arial"/>
          <w:sz w:val="24"/>
          <w:szCs w:val="24"/>
        </w:rPr>
        <w:t>]</w:t>
      </w:r>
      <w:r w:rsidR="0061007C" w:rsidRPr="00CA0917">
        <w:rPr>
          <w:rFonts w:ascii="Arial" w:hAnsi="Arial" w:cs="Arial"/>
          <w:sz w:val="24"/>
          <w:szCs w:val="24"/>
        </w:rPr>
        <w:tab/>
        <w:t>On 05 April 2017 the a</w:t>
      </w:r>
      <w:r w:rsidRPr="00CA0917">
        <w:rPr>
          <w:rFonts w:ascii="Arial" w:hAnsi="Arial" w:cs="Arial"/>
          <w:sz w:val="24"/>
          <w:szCs w:val="24"/>
        </w:rPr>
        <w:t>pplicant filed a Notice of Motion seeking the following relief</w:t>
      </w:r>
      <w:r w:rsidR="00D248EC" w:rsidRPr="00CA0917">
        <w:rPr>
          <w:rFonts w:ascii="Arial" w:hAnsi="Arial" w:cs="Arial"/>
          <w:sz w:val="24"/>
          <w:szCs w:val="24"/>
        </w:rPr>
        <w:t xml:space="preserve"> which I will summarize for sake of brevity:</w:t>
      </w:r>
    </w:p>
    <w:p w:rsidR="00D248EC" w:rsidRPr="00CA0917" w:rsidRDefault="0061007C" w:rsidP="006F3CCC">
      <w:pPr>
        <w:pStyle w:val="ListParagraph"/>
        <w:numPr>
          <w:ilvl w:val="0"/>
          <w:numId w:val="2"/>
        </w:numPr>
        <w:spacing w:line="360" w:lineRule="auto"/>
        <w:jc w:val="both"/>
        <w:rPr>
          <w:rFonts w:ascii="Arial" w:hAnsi="Arial" w:cs="Arial"/>
          <w:sz w:val="24"/>
          <w:szCs w:val="24"/>
        </w:rPr>
      </w:pPr>
      <w:r w:rsidRPr="00CA0917">
        <w:rPr>
          <w:rFonts w:ascii="Arial" w:hAnsi="Arial" w:cs="Arial"/>
          <w:sz w:val="24"/>
          <w:szCs w:val="24"/>
        </w:rPr>
        <w:t>That the r</w:t>
      </w:r>
      <w:r w:rsidR="00D248EC" w:rsidRPr="00CA0917">
        <w:rPr>
          <w:rFonts w:ascii="Arial" w:hAnsi="Arial" w:cs="Arial"/>
          <w:sz w:val="24"/>
          <w:szCs w:val="24"/>
        </w:rPr>
        <w:t>espondent is compelled to comply with the court order dated 16 February 2017 within 14 days from date of order.</w:t>
      </w:r>
    </w:p>
    <w:p w:rsidR="00D248EC" w:rsidRPr="00CA0917" w:rsidRDefault="0061007C" w:rsidP="006F3CCC">
      <w:pPr>
        <w:pStyle w:val="ListParagraph"/>
        <w:numPr>
          <w:ilvl w:val="0"/>
          <w:numId w:val="2"/>
        </w:numPr>
        <w:spacing w:line="360" w:lineRule="auto"/>
        <w:jc w:val="both"/>
        <w:rPr>
          <w:rFonts w:ascii="Arial" w:hAnsi="Arial" w:cs="Arial"/>
          <w:sz w:val="24"/>
          <w:szCs w:val="24"/>
        </w:rPr>
      </w:pPr>
      <w:r w:rsidRPr="00CA0917">
        <w:rPr>
          <w:rFonts w:ascii="Arial" w:hAnsi="Arial" w:cs="Arial"/>
          <w:sz w:val="24"/>
          <w:szCs w:val="24"/>
        </w:rPr>
        <w:t>That the r</w:t>
      </w:r>
      <w:r w:rsidR="00D248EC" w:rsidRPr="00CA0917">
        <w:rPr>
          <w:rFonts w:ascii="Arial" w:hAnsi="Arial" w:cs="Arial"/>
          <w:sz w:val="24"/>
          <w:szCs w:val="24"/>
        </w:rPr>
        <w:t>espondent be compelled to comply with clause 2.1 of the settlement agreement signed by both parties on 16 February 2017 and which was incorporated in</w:t>
      </w:r>
      <w:r w:rsidR="00A47268" w:rsidRPr="00CA0917">
        <w:rPr>
          <w:rFonts w:ascii="Arial" w:hAnsi="Arial" w:cs="Arial"/>
          <w:sz w:val="24"/>
          <w:szCs w:val="24"/>
        </w:rPr>
        <w:t xml:space="preserve"> the</w:t>
      </w:r>
      <w:r w:rsidR="00D248EC" w:rsidRPr="00CA0917">
        <w:rPr>
          <w:rFonts w:ascii="Arial" w:hAnsi="Arial" w:cs="Arial"/>
          <w:sz w:val="24"/>
          <w:szCs w:val="24"/>
        </w:rPr>
        <w:t xml:space="preserve"> final order of divorce. </w:t>
      </w:r>
    </w:p>
    <w:p w:rsidR="00D248EC" w:rsidRPr="00CA0917" w:rsidRDefault="00D248EC" w:rsidP="006F3CCC">
      <w:pPr>
        <w:pStyle w:val="ListParagraph"/>
        <w:numPr>
          <w:ilvl w:val="0"/>
          <w:numId w:val="2"/>
        </w:numPr>
        <w:spacing w:line="360" w:lineRule="auto"/>
        <w:jc w:val="both"/>
        <w:rPr>
          <w:rFonts w:ascii="Arial" w:hAnsi="Arial" w:cs="Arial"/>
          <w:sz w:val="24"/>
          <w:szCs w:val="24"/>
        </w:rPr>
      </w:pPr>
      <w:r w:rsidRPr="00CA0917">
        <w:rPr>
          <w:rFonts w:ascii="Arial" w:hAnsi="Arial" w:cs="Arial"/>
          <w:sz w:val="24"/>
          <w:szCs w:val="24"/>
        </w:rPr>
        <w:t>Tha</w:t>
      </w:r>
      <w:r w:rsidR="0061007C" w:rsidRPr="00CA0917">
        <w:rPr>
          <w:rFonts w:ascii="Arial" w:hAnsi="Arial" w:cs="Arial"/>
          <w:sz w:val="24"/>
          <w:szCs w:val="24"/>
        </w:rPr>
        <w:t>t the r</w:t>
      </w:r>
      <w:r w:rsidRPr="00CA0917">
        <w:rPr>
          <w:rFonts w:ascii="Arial" w:hAnsi="Arial" w:cs="Arial"/>
          <w:sz w:val="24"/>
          <w:szCs w:val="24"/>
        </w:rPr>
        <w:t xml:space="preserve">espondent is ordered to take the minor child, </w:t>
      </w:r>
      <w:r w:rsidR="00B717D7" w:rsidRPr="00CA0917">
        <w:rPr>
          <w:rFonts w:ascii="Arial" w:hAnsi="Arial" w:cs="Arial"/>
          <w:sz w:val="24"/>
          <w:szCs w:val="24"/>
        </w:rPr>
        <w:t>K</w:t>
      </w:r>
      <w:r w:rsidR="0061007C" w:rsidRPr="00CA0917">
        <w:rPr>
          <w:rFonts w:ascii="Arial" w:hAnsi="Arial" w:cs="Arial"/>
          <w:sz w:val="24"/>
          <w:szCs w:val="24"/>
        </w:rPr>
        <w:t xml:space="preserve"> </w:t>
      </w:r>
      <w:r w:rsidR="00CA0917" w:rsidRPr="00CA0917">
        <w:rPr>
          <w:rFonts w:ascii="Arial" w:hAnsi="Arial" w:cs="Arial"/>
          <w:sz w:val="24"/>
          <w:szCs w:val="24"/>
        </w:rPr>
        <w:t>K</w:t>
      </w:r>
      <w:r w:rsidR="00E62F72">
        <w:rPr>
          <w:rFonts w:ascii="Arial" w:hAnsi="Arial" w:cs="Arial"/>
          <w:sz w:val="24"/>
          <w:szCs w:val="24"/>
        </w:rPr>
        <w:t xml:space="preserve"> </w:t>
      </w:r>
      <w:r w:rsidR="0061007C" w:rsidRPr="00CA0917">
        <w:rPr>
          <w:rFonts w:ascii="Arial" w:hAnsi="Arial" w:cs="Arial"/>
          <w:sz w:val="24"/>
          <w:szCs w:val="24"/>
        </w:rPr>
        <w:t>into the a</w:t>
      </w:r>
      <w:r w:rsidRPr="00CA0917">
        <w:rPr>
          <w:rFonts w:ascii="Arial" w:hAnsi="Arial" w:cs="Arial"/>
          <w:sz w:val="24"/>
          <w:szCs w:val="24"/>
        </w:rPr>
        <w:t>pplicant’s custody in accordance with clause 2.1 of the settlement agreement incorporated into the court order dated 16 February 2017.</w:t>
      </w:r>
    </w:p>
    <w:p w:rsidR="00CA0917" w:rsidRPr="00CA0917" w:rsidRDefault="0061007C" w:rsidP="006F3CCC">
      <w:pPr>
        <w:pStyle w:val="ListParagraph"/>
        <w:numPr>
          <w:ilvl w:val="0"/>
          <w:numId w:val="2"/>
        </w:numPr>
        <w:spacing w:line="360" w:lineRule="auto"/>
        <w:jc w:val="both"/>
        <w:rPr>
          <w:rFonts w:ascii="Arial" w:hAnsi="Arial" w:cs="Arial"/>
          <w:sz w:val="24"/>
          <w:szCs w:val="24"/>
        </w:rPr>
      </w:pPr>
      <w:r w:rsidRPr="00CA0917">
        <w:rPr>
          <w:rFonts w:ascii="Arial" w:hAnsi="Arial" w:cs="Arial"/>
          <w:sz w:val="24"/>
          <w:szCs w:val="24"/>
        </w:rPr>
        <w:t>Should the r</w:t>
      </w:r>
      <w:r w:rsidR="00D248EC" w:rsidRPr="00CA0917">
        <w:rPr>
          <w:rFonts w:ascii="Arial" w:hAnsi="Arial" w:cs="Arial"/>
          <w:sz w:val="24"/>
          <w:szCs w:val="24"/>
        </w:rPr>
        <w:t>espondent fail and/or refuse to comply w</w:t>
      </w:r>
      <w:r w:rsidRPr="00CA0917">
        <w:rPr>
          <w:rFonts w:ascii="Arial" w:hAnsi="Arial" w:cs="Arial"/>
          <w:sz w:val="24"/>
          <w:szCs w:val="24"/>
        </w:rPr>
        <w:t>ith orders 1, 2 and 3 that the a</w:t>
      </w:r>
      <w:r w:rsidR="00D248EC" w:rsidRPr="00CA0917">
        <w:rPr>
          <w:rFonts w:ascii="Arial" w:hAnsi="Arial" w:cs="Arial"/>
          <w:sz w:val="24"/>
          <w:szCs w:val="24"/>
        </w:rPr>
        <w:t xml:space="preserve">pplicant be allowed </w:t>
      </w:r>
      <w:r w:rsidRPr="00CA0917">
        <w:rPr>
          <w:rFonts w:ascii="Arial" w:hAnsi="Arial" w:cs="Arial"/>
          <w:sz w:val="24"/>
          <w:szCs w:val="24"/>
        </w:rPr>
        <w:t>to approach this court for the r</w:t>
      </w:r>
      <w:r w:rsidR="00D248EC" w:rsidRPr="00CA0917">
        <w:rPr>
          <w:rFonts w:ascii="Arial" w:hAnsi="Arial" w:cs="Arial"/>
          <w:sz w:val="24"/>
          <w:szCs w:val="24"/>
        </w:rPr>
        <w:t xml:space="preserve">espondent to be found in contempt of </w:t>
      </w:r>
      <w:r w:rsidR="00A47268" w:rsidRPr="00CA0917">
        <w:rPr>
          <w:rFonts w:ascii="Arial" w:hAnsi="Arial" w:cs="Arial"/>
          <w:sz w:val="24"/>
          <w:szCs w:val="24"/>
        </w:rPr>
        <w:t xml:space="preserve">the </w:t>
      </w:r>
      <w:r w:rsidR="00D248EC" w:rsidRPr="00CA0917">
        <w:rPr>
          <w:rFonts w:ascii="Arial" w:hAnsi="Arial" w:cs="Arial"/>
          <w:sz w:val="24"/>
          <w:szCs w:val="24"/>
        </w:rPr>
        <w:t xml:space="preserve">court order. </w:t>
      </w:r>
    </w:p>
    <w:p w:rsidR="00D248EC" w:rsidRPr="00CA0917" w:rsidRDefault="00D248EC"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5</w:t>
      </w:r>
      <w:r w:rsidRPr="00CA0917">
        <w:rPr>
          <w:rFonts w:ascii="Arial" w:hAnsi="Arial" w:cs="Arial"/>
          <w:sz w:val="24"/>
          <w:szCs w:val="24"/>
        </w:rPr>
        <w:t>]</w:t>
      </w:r>
      <w:r w:rsidRPr="00CA0917">
        <w:rPr>
          <w:rFonts w:ascii="Arial" w:hAnsi="Arial" w:cs="Arial"/>
          <w:sz w:val="24"/>
          <w:szCs w:val="24"/>
        </w:rPr>
        <w:tab/>
        <w:t>In opposition to the</w:t>
      </w:r>
      <w:r w:rsidR="0061007C" w:rsidRPr="00CA0917">
        <w:rPr>
          <w:rFonts w:ascii="Arial" w:hAnsi="Arial" w:cs="Arial"/>
          <w:sz w:val="24"/>
          <w:szCs w:val="24"/>
        </w:rPr>
        <w:t xml:space="preserve"> notice of motion filed by the applicant, the r</w:t>
      </w:r>
      <w:r w:rsidRPr="00CA0917">
        <w:rPr>
          <w:rFonts w:ascii="Arial" w:hAnsi="Arial" w:cs="Arial"/>
          <w:sz w:val="24"/>
          <w:szCs w:val="24"/>
        </w:rPr>
        <w:t xml:space="preserve">espondent as conditional counter-application praying for relief in the following terms: </w:t>
      </w:r>
    </w:p>
    <w:p w:rsidR="00D248EC" w:rsidRPr="00CA0917" w:rsidRDefault="00D248EC" w:rsidP="006F3CCC">
      <w:pPr>
        <w:pStyle w:val="ListParagraph"/>
        <w:numPr>
          <w:ilvl w:val="0"/>
          <w:numId w:val="3"/>
        </w:numPr>
        <w:spacing w:line="360" w:lineRule="auto"/>
        <w:jc w:val="both"/>
        <w:rPr>
          <w:rFonts w:ascii="Arial" w:hAnsi="Arial" w:cs="Arial"/>
          <w:sz w:val="24"/>
          <w:szCs w:val="24"/>
        </w:rPr>
      </w:pPr>
      <w:r w:rsidRPr="00CA0917">
        <w:rPr>
          <w:rFonts w:ascii="Arial" w:hAnsi="Arial" w:cs="Arial"/>
          <w:sz w:val="24"/>
          <w:szCs w:val="24"/>
        </w:rPr>
        <w:t>A variation of the custody order incorporated in court order dated 16 February 2017, to award custody</w:t>
      </w:r>
      <w:r w:rsidR="00ED3A1D" w:rsidRPr="00CA0917">
        <w:rPr>
          <w:rFonts w:ascii="Arial" w:hAnsi="Arial" w:cs="Arial"/>
          <w:sz w:val="24"/>
          <w:szCs w:val="24"/>
        </w:rPr>
        <w:t xml:space="preserve"> of </w:t>
      </w:r>
      <w:r w:rsidR="00B717D7" w:rsidRPr="00CA0917">
        <w:rPr>
          <w:rFonts w:ascii="Arial" w:hAnsi="Arial" w:cs="Arial"/>
          <w:sz w:val="24"/>
          <w:szCs w:val="24"/>
        </w:rPr>
        <w:t>K</w:t>
      </w:r>
      <w:r w:rsidR="0061007C" w:rsidRPr="00CA0917">
        <w:rPr>
          <w:rFonts w:ascii="Arial" w:hAnsi="Arial" w:cs="Arial"/>
          <w:sz w:val="24"/>
          <w:szCs w:val="24"/>
        </w:rPr>
        <w:t xml:space="preserve"> </w:t>
      </w:r>
      <w:r w:rsidR="00CA0917" w:rsidRPr="00CA0917">
        <w:rPr>
          <w:rFonts w:ascii="Arial" w:hAnsi="Arial" w:cs="Arial"/>
          <w:sz w:val="24"/>
          <w:szCs w:val="24"/>
        </w:rPr>
        <w:t xml:space="preserve">K </w:t>
      </w:r>
      <w:r w:rsidR="0061007C" w:rsidRPr="00CA0917">
        <w:rPr>
          <w:rFonts w:ascii="Arial" w:hAnsi="Arial" w:cs="Arial"/>
          <w:sz w:val="24"/>
          <w:szCs w:val="24"/>
        </w:rPr>
        <w:t>to r</w:t>
      </w:r>
      <w:r w:rsidRPr="00CA0917">
        <w:rPr>
          <w:rFonts w:ascii="Arial" w:hAnsi="Arial" w:cs="Arial"/>
          <w:sz w:val="24"/>
          <w:szCs w:val="24"/>
        </w:rPr>
        <w:t xml:space="preserve">espondent; </w:t>
      </w:r>
    </w:p>
    <w:p w:rsidR="00D248EC" w:rsidRPr="00CA0917" w:rsidRDefault="00D248EC" w:rsidP="006F3CCC">
      <w:pPr>
        <w:pStyle w:val="ListParagraph"/>
        <w:numPr>
          <w:ilvl w:val="0"/>
          <w:numId w:val="3"/>
        </w:numPr>
        <w:spacing w:line="360" w:lineRule="auto"/>
        <w:jc w:val="both"/>
        <w:rPr>
          <w:rFonts w:ascii="Arial" w:hAnsi="Arial" w:cs="Arial"/>
          <w:sz w:val="24"/>
          <w:szCs w:val="24"/>
        </w:rPr>
      </w:pPr>
      <w:r w:rsidRPr="00CA0917">
        <w:rPr>
          <w:rFonts w:ascii="Arial" w:hAnsi="Arial" w:cs="Arial"/>
          <w:sz w:val="24"/>
          <w:szCs w:val="24"/>
        </w:rPr>
        <w:t xml:space="preserve">Variation of the maintenance order incorporated in the court order dated </w:t>
      </w:r>
      <w:r w:rsidR="0061007C" w:rsidRPr="00CA0917">
        <w:rPr>
          <w:rFonts w:ascii="Arial" w:hAnsi="Arial" w:cs="Arial"/>
          <w:sz w:val="24"/>
          <w:szCs w:val="24"/>
        </w:rPr>
        <w:t>16 February 2017, to order the r</w:t>
      </w:r>
      <w:r w:rsidRPr="00CA0917">
        <w:rPr>
          <w:rFonts w:ascii="Arial" w:hAnsi="Arial" w:cs="Arial"/>
          <w:sz w:val="24"/>
          <w:szCs w:val="24"/>
        </w:rPr>
        <w:t>espon</w:t>
      </w:r>
      <w:r w:rsidR="0061007C" w:rsidRPr="00CA0917">
        <w:rPr>
          <w:rFonts w:ascii="Arial" w:hAnsi="Arial" w:cs="Arial"/>
          <w:sz w:val="24"/>
          <w:szCs w:val="24"/>
        </w:rPr>
        <w:t>dent to pay maintenance to the a</w:t>
      </w:r>
      <w:r w:rsidRPr="00CA0917">
        <w:rPr>
          <w:rFonts w:ascii="Arial" w:hAnsi="Arial" w:cs="Arial"/>
          <w:sz w:val="24"/>
          <w:szCs w:val="24"/>
        </w:rPr>
        <w:t>pplicant in respect</w:t>
      </w:r>
      <w:r w:rsidR="00ED3A1D" w:rsidRPr="00CA0917">
        <w:rPr>
          <w:rFonts w:ascii="Arial" w:hAnsi="Arial" w:cs="Arial"/>
          <w:sz w:val="24"/>
          <w:szCs w:val="24"/>
        </w:rPr>
        <w:t xml:space="preserve"> of one minor child only, being </w:t>
      </w:r>
      <w:r w:rsidR="00B717D7" w:rsidRPr="00CA0917">
        <w:rPr>
          <w:rFonts w:ascii="Arial" w:hAnsi="Arial" w:cs="Arial"/>
          <w:sz w:val="24"/>
          <w:szCs w:val="24"/>
        </w:rPr>
        <w:t>K</w:t>
      </w:r>
      <w:r w:rsidR="00CA0917" w:rsidRPr="00CA0917">
        <w:rPr>
          <w:rFonts w:ascii="Arial" w:hAnsi="Arial" w:cs="Arial"/>
          <w:sz w:val="24"/>
          <w:szCs w:val="24"/>
        </w:rPr>
        <w:t xml:space="preserve">- </w:t>
      </w:r>
      <w:r w:rsidR="00B717D7" w:rsidRPr="00CA0917">
        <w:rPr>
          <w:rFonts w:ascii="Arial" w:hAnsi="Arial" w:cs="Arial"/>
          <w:sz w:val="24"/>
          <w:szCs w:val="24"/>
        </w:rPr>
        <w:t>L</w:t>
      </w:r>
      <w:r w:rsidR="00CA0917" w:rsidRPr="00CA0917">
        <w:rPr>
          <w:rFonts w:ascii="Arial" w:hAnsi="Arial" w:cs="Arial"/>
          <w:sz w:val="24"/>
          <w:szCs w:val="24"/>
        </w:rPr>
        <w:t>K</w:t>
      </w:r>
      <w:r w:rsidRPr="00CA0917">
        <w:rPr>
          <w:rFonts w:ascii="Arial" w:hAnsi="Arial" w:cs="Arial"/>
          <w:sz w:val="24"/>
          <w:szCs w:val="24"/>
        </w:rPr>
        <w:t xml:space="preserve">. </w:t>
      </w:r>
    </w:p>
    <w:p w:rsidR="00B44A84" w:rsidRPr="00CA0917" w:rsidRDefault="00B44A84" w:rsidP="006F3CCC">
      <w:pPr>
        <w:spacing w:line="360" w:lineRule="auto"/>
        <w:jc w:val="both"/>
        <w:rPr>
          <w:rFonts w:ascii="Arial" w:hAnsi="Arial" w:cs="Arial"/>
          <w:sz w:val="24"/>
        </w:rPr>
      </w:pPr>
    </w:p>
    <w:p w:rsidR="00CA0917" w:rsidRPr="00CA0917" w:rsidRDefault="00B44A84"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6</w:t>
      </w:r>
      <w:r w:rsidRPr="00CA0917">
        <w:rPr>
          <w:rFonts w:ascii="Arial" w:hAnsi="Arial" w:cs="Arial"/>
          <w:sz w:val="24"/>
        </w:rPr>
        <w:t>]</w:t>
      </w:r>
      <w:r w:rsidRPr="00CA0917">
        <w:rPr>
          <w:rFonts w:ascii="Arial" w:hAnsi="Arial" w:cs="Arial"/>
          <w:sz w:val="24"/>
        </w:rPr>
        <w:tab/>
      </w:r>
      <w:r w:rsidR="007E0C12" w:rsidRPr="00CA0917">
        <w:rPr>
          <w:rFonts w:ascii="Arial" w:hAnsi="Arial" w:cs="Arial"/>
          <w:sz w:val="24"/>
        </w:rPr>
        <w:t xml:space="preserve">In support of both the applications founding and answering affidavits were filed. In further support </w:t>
      </w:r>
      <w:r w:rsidR="0061007C" w:rsidRPr="00CA0917">
        <w:rPr>
          <w:rFonts w:ascii="Arial" w:hAnsi="Arial" w:cs="Arial"/>
          <w:sz w:val="24"/>
        </w:rPr>
        <w:t>of the counter application the r</w:t>
      </w:r>
      <w:r w:rsidR="007E0C12" w:rsidRPr="00CA0917">
        <w:rPr>
          <w:rFonts w:ascii="Arial" w:hAnsi="Arial" w:cs="Arial"/>
          <w:sz w:val="24"/>
        </w:rPr>
        <w:t>espondent also filed an</w:t>
      </w:r>
      <w:r w:rsidR="00CA0917" w:rsidRPr="00CA0917">
        <w:rPr>
          <w:rFonts w:ascii="Arial" w:hAnsi="Arial" w:cs="Arial"/>
          <w:sz w:val="24"/>
        </w:rPr>
        <w:t xml:space="preserve"> affidavit of the minor child, </w:t>
      </w:r>
      <w:r w:rsidR="00B717D7" w:rsidRPr="00CA0917">
        <w:rPr>
          <w:rFonts w:ascii="Arial" w:hAnsi="Arial" w:cs="Arial"/>
          <w:sz w:val="24"/>
        </w:rPr>
        <w:t xml:space="preserve">K </w:t>
      </w:r>
      <w:r w:rsidR="00CA0917" w:rsidRPr="00CA0917">
        <w:rPr>
          <w:rFonts w:ascii="Arial" w:hAnsi="Arial" w:cs="Arial"/>
          <w:sz w:val="24"/>
        </w:rPr>
        <w:t xml:space="preserve">K </w:t>
      </w:r>
      <w:r w:rsidR="007E0C12" w:rsidRPr="00CA0917">
        <w:rPr>
          <w:rFonts w:ascii="Arial" w:hAnsi="Arial" w:cs="Arial"/>
          <w:sz w:val="24"/>
        </w:rPr>
        <w:t>and an expert report of one Ms</w:t>
      </w:r>
      <w:r w:rsidR="00CC2CCF" w:rsidRPr="00CA0917">
        <w:rPr>
          <w:rFonts w:ascii="Arial" w:hAnsi="Arial" w:cs="Arial"/>
          <w:sz w:val="24"/>
        </w:rPr>
        <w:t>.</w:t>
      </w:r>
      <w:r w:rsidR="007E0C12" w:rsidRPr="00CA0917">
        <w:rPr>
          <w:rFonts w:ascii="Arial" w:hAnsi="Arial" w:cs="Arial"/>
          <w:sz w:val="24"/>
        </w:rPr>
        <w:t xml:space="preserve"> Bailey</w:t>
      </w:r>
      <w:r w:rsidR="00ED3A1D" w:rsidRPr="00CA0917">
        <w:rPr>
          <w:rFonts w:ascii="Arial" w:hAnsi="Arial" w:cs="Arial"/>
          <w:sz w:val="24"/>
        </w:rPr>
        <w:t>, who had various sessions with</w:t>
      </w:r>
      <w:r w:rsidR="00CA0917" w:rsidRPr="00CA0917">
        <w:rPr>
          <w:rFonts w:ascii="Arial" w:hAnsi="Arial" w:cs="Arial"/>
          <w:sz w:val="24"/>
        </w:rPr>
        <w:t xml:space="preserve"> </w:t>
      </w:r>
      <w:r w:rsidR="00ED3A1D" w:rsidRPr="00CA0917">
        <w:rPr>
          <w:rFonts w:ascii="Arial" w:hAnsi="Arial" w:cs="Arial"/>
          <w:sz w:val="24"/>
        </w:rPr>
        <w:lastRenderedPageBreak/>
        <w:t>K</w:t>
      </w:r>
      <w:r w:rsidR="007E0C12" w:rsidRPr="00CA0917">
        <w:rPr>
          <w:rFonts w:ascii="Arial" w:hAnsi="Arial" w:cs="Arial"/>
          <w:sz w:val="24"/>
        </w:rPr>
        <w:t xml:space="preserve"> </w:t>
      </w:r>
      <w:r w:rsidR="00CA0917" w:rsidRPr="00CA0917">
        <w:rPr>
          <w:rFonts w:ascii="Arial" w:hAnsi="Arial" w:cs="Arial"/>
          <w:sz w:val="24"/>
        </w:rPr>
        <w:t xml:space="preserve">K </w:t>
      </w:r>
      <w:r w:rsidR="007E0C12" w:rsidRPr="00CA0917">
        <w:rPr>
          <w:rFonts w:ascii="Arial" w:hAnsi="Arial" w:cs="Arial"/>
          <w:sz w:val="24"/>
        </w:rPr>
        <w:t>and the Respon</w:t>
      </w:r>
      <w:r w:rsidR="0061007C" w:rsidRPr="00CA0917">
        <w:rPr>
          <w:rFonts w:ascii="Arial" w:hAnsi="Arial" w:cs="Arial"/>
          <w:sz w:val="24"/>
        </w:rPr>
        <w:t>dent and to which sessions the a</w:t>
      </w:r>
      <w:r w:rsidR="007E0C12" w:rsidRPr="00CA0917">
        <w:rPr>
          <w:rFonts w:ascii="Arial" w:hAnsi="Arial" w:cs="Arial"/>
          <w:sz w:val="24"/>
        </w:rPr>
        <w:t xml:space="preserve">pplicant was invited to attend but declined to partake. </w:t>
      </w:r>
    </w:p>
    <w:p w:rsidR="00CA0917" w:rsidRPr="00CA0917" w:rsidRDefault="007E0C12"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7</w:t>
      </w:r>
      <w:r w:rsidRPr="00CA0917">
        <w:rPr>
          <w:rFonts w:ascii="Arial" w:hAnsi="Arial" w:cs="Arial"/>
          <w:sz w:val="24"/>
        </w:rPr>
        <w:t xml:space="preserve">] </w:t>
      </w:r>
      <w:r w:rsidRPr="00CA0917">
        <w:rPr>
          <w:rFonts w:ascii="Arial" w:hAnsi="Arial" w:cs="Arial"/>
          <w:sz w:val="24"/>
        </w:rPr>
        <w:tab/>
      </w:r>
      <w:r w:rsidR="00D248EC" w:rsidRPr="00CA0917">
        <w:rPr>
          <w:rFonts w:ascii="Arial" w:hAnsi="Arial" w:cs="Arial"/>
          <w:sz w:val="24"/>
        </w:rPr>
        <w:t xml:space="preserve">The court heard the arguments of the parties </w:t>
      </w:r>
      <w:r w:rsidRPr="00CA0917">
        <w:rPr>
          <w:rFonts w:ascii="Arial" w:hAnsi="Arial" w:cs="Arial"/>
          <w:sz w:val="24"/>
        </w:rPr>
        <w:t>on the main and counter application</w:t>
      </w:r>
      <w:r w:rsidR="00D248EC" w:rsidRPr="00CA0917">
        <w:rPr>
          <w:rFonts w:ascii="Arial" w:hAnsi="Arial" w:cs="Arial"/>
          <w:sz w:val="24"/>
        </w:rPr>
        <w:t xml:space="preserve"> but </w:t>
      </w:r>
      <w:r w:rsidR="00532168" w:rsidRPr="00CA0917">
        <w:rPr>
          <w:rFonts w:ascii="Arial" w:hAnsi="Arial" w:cs="Arial"/>
          <w:sz w:val="24"/>
        </w:rPr>
        <w:t xml:space="preserve">hereafter indicated to the parties that the court as upper guardian of all minors required the </w:t>
      </w:r>
      <w:r w:rsidR="00D248EC" w:rsidRPr="00CA0917">
        <w:rPr>
          <w:rFonts w:ascii="Arial" w:hAnsi="Arial" w:cs="Arial"/>
          <w:sz w:val="24"/>
        </w:rPr>
        <w:t>hearing</w:t>
      </w:r>
      <w:r w:rsidR="00A47268" w:rsidRPr="00CA0917">
        <w:rPr>
          <w:rFonts w:ascii="Arial" w:hAnsi="Arial" w:cs="Arial"/>
          <w:sz w:val="24"/>
        </w:rPr>
        <w:t xml:space="preserve"> of</w:t>
      </w:r>
      <w:r w:rsidR="00D248EC" w:rsidRPr="00CA0917">
        <w:rPr>
          <w:rFonts w:ascii="Arial" w:hAnsi="Arial" w:cs="Arial"/>
          <w:sz w:val="24"/>
        </w:rPr>
        <w:t xml:space="preserve"> </w:t>
      </w:r>
      <w:r w:rsidR="00D248EC" w:rsidRPr="00CA0917">
        <w:rPr>
          <w:rFonts w:ascii="Arial" w:hAnsi="Arial" w:cs="Arial"/>
          <w:i/>
          <w:sz w:val="24"/>
        </w:rPr>
        <w:t>viva voce</w:t>
      </w:r>
      <w:r w:rsidR="00D248EC" w:rsidRPr="00CA0917">
        <w:rPr>
          <w:rFonts w:ascii="Arial" w:hAnsi="Arial" w:cs="Arial"/>
          <w:sz w:val="24"/>
        </w:rPr>
        <w:t xml:space="preserve"> evidence</w:t>
      </w:r>
      <w:r w:rsidR="00532168" w:rsidRPr="00CA0917">
        <w:rPr>
          <w:rFonts w:ascii="Arial" w:hAnsi="Arial" w:cs="Arial"/>
          <w:sz w:val="24"/>
        </w:rPr>
        <w:t xml:space="preserve"> to determine what would be in the best interest of the minor child</w:t>
      </w:r>
      <w:r w:rsidR="00D248EC" w:rsidRPr="00CA0917">
        <w:rPr>
          <w:rFonts w:ascii="Arial" w:hAnsi="Arial" w:cs="Arial"/>
          <w:sz w:val="24"/>
        </w:rPr>
        <w:t xml:space="preserve">. </w:t>
      </w:r>
    </w:p>
    <w:p w:rsidR="00CA0917" w:rsidRPr="00CA0917" w:rsidRDefault="00D248EC"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8</w:t>
      </w:r>
      <w:r w:rsidRPr="00CA0917">
        <w:rPr>
          <w:rFonts w:ascii="Arial" w:hAnsi="Arial" w:cs="Arial"/>
          <w:sz w:val="24"/>
        </w:rPr>
        <w:t>]</w:t>
      </w:r>
      <w:r w:rsidRPr="00CA0917">
        <w:rPr>
          <w:rFonts w:ascii="Arial" w:hAnsi="Arial" w:cs="Arial"/>
          <w:sz w:val="24"/>
        </w:rPr>
        <w:tab/>
        <w:t>After the matter was set down for th</w:t>
      </w:r>
      <w:r w:rsidR="0061007C" w:rsidRPr="00CA0917">
        <w:rPr>
          <w:rFonts w:ascii="Arial" w:hAnsi="Arial" w:cs="Arial"/>
          <w:sz w:val="24"/>
        </w:rPr>
        <w:t>e hearing of oral evidence the a</w:t>
      </w:r>
      <w:r w:rsidRPr="00CA0917">
        <w:rPr>
          <w:rFonts w:ascii="Arial" w:hAnsi="Arial" w:cs="Arial"/>
          <w:sz w:val="24"/>
        </w:rPr>
        <w:t xml:space="preserve">pplicant filed a point </w:t>
      </w:r>
      <w:r w:rsidRPr="00CA0917">
        <w:rPr>
          <w:rFonts w:ascii="Arial" w:hAnsi="Arial" w:cs="Arial"/>
          <w:i/>
          <w:sz w:val="24"/>
        </w:rPr>
        <w:t>in limine</w:t>
      </w:r>
      <w:r w:rsidRPr="00CA0917">
        <w:rPr>
          <w:rFonts w:ascii="Arial" w:hAnsi="Arial" w:cs="Arial"/>
          <w:sz w:val="24"/>
        </w:rPr>
        <w:t xml:space="preserve"> in this matter objecting to the court hearing oral evidence on the basis that </w:t>
      </w:r>
      <w:r w:rsidR="00532168" w:rsidRPr="00CA0917">
        <w:rPr>
          <w:rFonts w:ascii="Arial" w:hAnsi="Arial" w:cs="Arial"/>
          <w:sz w:val="24"/>
        </w:rPr>
        <w:t xml:space="preserve">the matter of custody is </w:t>
      </w:r>
      <w:r w:rsidR="00532168" w:rsidRPr="00CA0917">
        <w:rPr>
          <w:rFonts w:ascii="Arial" w:hAnsi="Arial" w:cs="Arial"/>
          <w:i/>
          <w:sz w:val="24"/>
        </w:rPr>
        <w:t>res judicata</w:t>
      </w:r>
      <w:r w:rsidR="00532168" w:rsidRPr="00CA0917">
        <w:rPr>
          <w:rFonts w:ascii="Arial" w:hAnsi="Arial" w:cs="Arial"/>
          <w:sz w:val="24"/>
        </w:rPr>
        <w:t xml:space="preserve"> and that the issue cannot be revis</w:t>
      </w:r>
      <w:r w:rsidR="001A6CFF" w:rsidRPr="00CA0917">
        <w:rPr>
          <w:rFonts w:ascii="Arial" w:hAnsi="Arial" w:cs="Arial"/>
          <w:sz w:val="24"/>
        </w:rPr>
        <w:t>i</w:t>
      </w:r>
      <w:r w:rsidR="00532168" w:rsidRPr="00CA0917">
        <w:rPr>
          <w:rFonts w:ascii="Arial" w:hAnsi="Arial" w:cs="Arial"/>
          <w:sz w:val="24"/>
        </w:rPr>
        <w:t xml:space="preserve">ted by this court by admitting new evidence and that said approach would violate the well-established principle of </w:t>
      </w:r>
      <w:r w:rsidR="00532168" w:rsidRPr="00CA0917">
        <w:rPr>
          <w:rFonts w:ascii="Arial" w:hAnsi="Arial" w:cs="Arial"/>
          <w:i/>
          <w:sz w:val="24"/>
        </w:rPr>
        <w:t>res judicata</w:t>
      </w:r>
      <w:r w:rsidR="00532168" w:rsidRPr="00CA0917">
        <w:rPr>
          <w:rFonts w:ascii="Arial" w:hAnsi="Arial" w:cs="Arial"/>
          <w:sz w:val="24"/>
        </w:rPr>
        <w:t xml:space="preserve">. </w:t>
      </w:r>
    </w:p>
    <w:p w:rsidR="00532168" w:rsidRDefault="00532168"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9</w:t>
      </w:r>
      <w:r w:rsidRPr="00CA0917">
        <w:rPr>
          <w:rFonts w:ascii="Arial" w:hAnsi="Arial" w:cs="Arial"/>
          <w:sz w:val="24"/>
        </w:rPr>
        <w:t>]</w:t>
      </w:r>
      <w:r w:rsidRPr="00CA0917">
        <w:rPr>
          <w:rFonts w:ascii="Arial" w:hAnsi="Arial" w:cs="Arial"/>
          <w:sz w:val="24"/>
        </w:rPr>
        <w:tab/>
        <w:t xml:space="preserve">The parties filed heads of </w:t>
      </w:r>
      <w:r w:rsidR="00A47268" w:rsidRPr="00CA0917">
        <w:rPr>
          <w:rFonts w:ascii="Arial" w:hAnsi="Arial" w:cs="Arial"/>
          <w:sz w:val="24"/>
        </w:rPr>
        <w:t>arguments on this issue</w:t>
      </w:r>
      <w:r w:rsidRPr="00CA0917">
        <w:rPr>
          <w:rFonts w:ascii="Arial" w:hAnsi="Arial" w:cs="Arial"/>
          <w:sz w:val="24"/>
        </w:rPr>
        <w:t xml:space="preserve"> and t</w:t>
      </w:r>
      <w:r w:rsidR="00B44A84" w:rsidRPr="00CA0917">
        <w:rPr>
          <w:rFonts w:ascii="Arial" w:hAnsi="Arial" w:cs="Arial"/>
          <w:sz w:val="24"/>
        </w:rPr>
        <w:t xml:space="preserve">his court is now called to make a ruling whether or not the issue of custody and control of the minor child is </w:t>
      </w:r>
      <w:r w:rsidR="00B44A84" w:rsidRPr="00CA0917">
        <w:rPr>
          <w:rFonts w:ascii="Arial" w:hAnsi="Arial" w:cs="Arial"/>
          <w:i/>
          <w:sz w:val="24"/>
        </w:rPr>
        <w:t>res judicata</w:t>
      </w:r>
      <w:r w:rsidR="00B44A84" w:rsidRPr="00CA0917">
        <w:rPr>
          <w:rFonts w:ascii="Arial" w:hAnsi="Arial" w:cs="Arial"/>
          <w:sz w:val="24"/>
        </w:rPr>
        <w:t xml:space="preserve"> or not. </w:t>
      </w:r>
    </w:p>
    <w:p w:rsidR="00CA0917" w:rsidRPr="00CA0917" w:rsidRDefault="00CA0917" w:rsidP="006F3CCC">
      <w:pPr>
        <w:spacing w:line="360" w:lineRule="auto"/>
        <w:jc w:val="both"/>
        <w:rPr>
          <w:rFonts w:ascii="Arial" w:hAnsi="Arial" w:cs="Arial"/>
          <w:sz w:val="24"/>
        </w:rPr>
      </w:pPr>
    </w:p>
    <w:p w:rsidR="00B44A1A" w:rsidRPr="00CA0917" w:rsidRDefault="00532168" w:rsidP="006F3CCC">
      <w:pPr>
        <w:spacing w:line="360" w:lineRule="auto"/>
        <w:jc w:val="both"/>
        <w:rPr>
          <w:rFonts w:ascii="Arial" w:hAnsi="Arial" w:cs="Arial"/>
          <w:i/>
          <w:sz w:val="24"/>
        </w:rPr>
      </w:pPr>
      <w:r w:rsidRPr="00CA0917">
        <w:rPr>
          <w:rFonts w:ascii="Arial" w:hAnsi="Arial" w:cs="Arial"/>
          <w:i/>
          <w:sz w:val="24"/>
        </w:rPr>
        <w:t xml:space="preserve">Brief background history of the matter: </w:t>
      </w:r>
    </w:p>
    <w:p w:rsidR="00CA0917" w:rsidRPr="00CA0917" w:rsidRDefault="00A47268"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10</w:t>
      </w:r>
      <w:r w:rsidR="00CA0917" w:rsidRPr="00CA0917">
        <w:rPr>
          <w:rFonts w:ascii="Arial" w:hAnsi="Arial" w:cs="Arial"/>
          <w:sz w:val="24"/>
        </w:rPr>
        <w:t>]</w:t>
      </w:r>
      <w:r w:rsidR="00CA0917" w:rsidRPr="00CA0917">
        <w:rPr>
          <w:rFonts w:ascii="Arial" w:hAnsi="Arial" w:cs="Arial"/>
          <w:sz w:val="24"/>
        </w:rPr>
        <w:tab/>
      </w:r>
      <w:r w:rsidRPr="00CA0917">
        <w:rPr>
          <w:rFonts w:ascii="Arial" w:hAnsi="Arial" w:cs="Arial"/>
          <w:sz w:val="24"/>
        </w:rPr>
        <w:t xml:space="preserve">Before I </w:t>
      </w:r>
      <w:r w:rsidR="00532168" w:rsidRPr="00CA0917">
        <w:rPr>
          <w:rFonts w:ascii="Arial" w:hAnsi="Arial" w:cs="Arial"/>
          <w:sz w:val="24"/>
        </w:rPr>
        <w:t>proceed to discuss and consider the legal position in this matter it is necessary to briefly refer to the current position of the m</w:t>
      </w:r>
      <w:r w:rsidR="00ED3A1D" w:rsidRPr="00CA0917">
        <w:rPr>
          <w:rFonts w:ascii="Arial" w:hAnsi="Arial" w:cs="Arial"/>
          <w:sz w:val="24"/>
        </w:rPr>
        <w:t>inor child, K</w:t>
      </w:r>
      <w:r w:rsidR="00CA0917" w:rsidRPr="00CA0917">
        <w:rPr>
          <w:rFonts w:ascii="Arial" w:hAnsi="Arial" w:cs="Arial"/>
          <w:sz w:val="24"/>
        </w:rPr>
        <w:t xml:space="preserve"> K</w:t>
      </w:r>
      <w:r w:rsidR="00532168" w:rsidRPr="00CA0917">
        <w:rPr>
          <w:rFonts w:ascii="Arial" w:hAnsi="Arial" w:cs="Arial"/>
          <w:sz w:val="24"/>
        </w:rPr>
        <w:t xml:space="preserve">. </w:t>
      </w:r>
    </w:p>
    <w:p w:rsidR="00CA0917" w:rsidRPr="00CA0917" w:rsidRDefault="00532168"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11</w:t>
      </w:r>
      <w:r w:rsidRPr="00CA0917">
        <w:rPr>
          <w:rFonts w:ascii="Arial" w:hAnsi="Arial" w:cs="Arial"/>
          <w:sz w:val="24"/>
        </w:rPr>
        <w:t>]</w:t>
      </w:r>
      <w:r w:rsidRPr="00CA0917">
        <w:rPr>
          <w:rFonts w:ascii="Arial" w:hAnsi="Arial" w:cs="Arial"/>
          <w:sz w:val="24"/>
        </w:rPr>
        <w:tab/>
        <w:t>From the answering/founding affidavit o</w:t>
      </w:r>
      <w:r w:rsidR="00CC2CCF" w:rsidRPr="00CA0917">
        <w:rPr>
          <w:rFonts w:ascii="Arial" w:hAnsi="Arial" w:cs="Arial"/>
          <w:sz w:val="24"/>
        </w:rPr>
        <w:t>f</w:t>
      </w:r>
      <w:r w:rsidR="000C2839" w:rsidRPr="00CA0917">
        <w:rPr>
          <w:rFonts w:ascii="Arial" w:hAnsi="Arial" w:cs="Arial"/>
          <w:sz w:val="24"/>
        </w:rPr>
        <w:t xml:space="preserve"> the r</w:t>
      </w:r>
      <w:r w:rsidRPr="00CA0917">
        <w:rPr>
          <w:rFonts w:ascii="Arial" w:hAnsi="Arial" w:cs="Arial"/>
          <w:sz w:val="24"/>
        </w:rPr>
        <w:t>espondent it appears that during July 2016 both minor children came to stay with t</w:t>
      </w:r>
      <w:r w:rsidR="000C2839" w:rsidRPr="00CA0917">
        <w:rPr>
          <w:rFonts w:ascii="Arial" w:hAnsi="Arial" w:cs="Arial"/>
          <w:sz w:val="24"/>
        </w:rPr>
        <w:t>he r</w:t>
      </w:r>
      <w:r w:rsidR="00ED3A1D" w:rsidRPr="00CA0917">
        <w:rPr>
          <w:rFonts w:ascii="Arial" w:hAnsi="Arial" w:cs="Arial"/>
          <w:sz w:val="24"/>
        </w:rPr>
        <w:t>espondent. The eldest K-L</w:t>
      </w:r>
      <w:r w:rsidR="00CA0917" w:rsidRPr="00CA0917">
        <w:rPr>
          <w:rFonts w:ascii="Arial" w:hAnsi="Arial" w:cs="Arial"/>
          <w:sz w:val="24"/>
        </w:rPr>
        <w:t>K</w:t>
      </w:r>
      <w:r w:rsidRPr="00CA0917">
        <w:rPr>
          <w:rFonts w:ascii="Arial" w:hAnsi="Arial" w:cs="Arial"/>
          <w:sz w:val="24"/>
        </w:rPr>
        <w:t xml:space="preserve"> stayed for ap</w:t>
      </w:r>
      <w:r w:rsidR="000C2839" w:rsidRPr="00CA0917">
        <w:rPr>
          <w:rFonts w:ascii="Arial" w:hAnsi="Arial" w:cs="Arial"/>
          <w:sz w:val="24"/>
        </w:rPr>
        <w:t>proximately two weeks with the r</w:t>
      </w:r>
      <w:r w:rsidRPr="00CA0917">
        <w:rPr>
          <w:rFonts w:ascii="Arial" w:hAnsi="Arial" w:cs="Arial"/>
          <w:sz w:val="24"/>
        </w:rPr>
        <w:t>espondent and then moved back home</w:t>
      </w:r>
      <w:r w:rsidR="00ED3A1D" w:rsidRPr="00CA0917">
        <w:rPr>
          <w:rFonts w:ascii="Arial" w:hAnsi="Arial" w:cs="Arial"/>
          <w:sz w:val="24"/>
        </w:rPr>
        <w:t>. The youngest child, K</w:t>
      </w:r>
      <w:r w:rsidR="00CA0917" w:rsidRPr="00CA0917">
        <w:rPr>
          <w:rFonts w:ascii="Arial" w:hAnsi="Arial" w:cs="Arial"/>
          <w:sz w:val="24"/>
        </w:rPr>
        <w:t xml:space="preserve"> K</w:t>
      </w:r>
      <w:r w:rsidR="00BA6781" w:rsidRPr="00CA0917">
        <w:rPr>
          <w:rFonts w:ascii="Arial" w:hAnsi="Arial" w:cs="Arial"/>
          <w:sz w:val="24"/>
        </w:rPr>
        <w:t xml:space="preserve">, who is also the child </w:t>
      </w:r>
      <w:r w:rsidR="000C2839" w:rsidRPr="00CA0917">
        <w:rPr>
          <w:rFonts w:ascii="Arial" w:hAnsi="Arial" w:cs="Arial"/>
          <w:sz w:val="24"/>
        </w:rPr>
        <w:t>in question, remained with the r</w:t>
      </w:r>
      <w:r w:rsidR="00BA6781" w:rsidRPr="00CA0917">
        <w:rPr>
          <w:rFonts w:ascii="Arial" w:hAnsi="Arial" w:cs="Arial"/>
          <w:sz w:val="24"/>
        </w:rPr>
        <w:t xml:space="preserve">espondent to date. </w:t>
      </w:r>
    </w:p>
    <w:p w:rsidR="00CA0917" w:rsidRPr="00CA0917" w:rsidRDefault="00BA6781"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12</w:t>
      </w:r>
      <w:r w:rsidRPr="00CA0917">
        <w:rPr>
          <w:rFonts w:ascii="Arial" w:hAnsi="Arial" w:cs="Arial"/>
          <w:sz w:val="24"/>
        </w:rPr>
        <w:t>]</w:t>
      </w:r>
      <w:r w:rsidRPr="00CA0917">
        <w:rPr>
          <w:rFonts w:ascii="Arial" w:hAnsi="Arial" w:cs="Arial"/>
          <w:sz w:val="24"/>
        </w:rPr>
        <w:tab/>
        <w:t xml:space="preserve">At </w:t>
      </w:r>
      <w:r w:rsidR="00ED3A1D" w:rsidRPr="00CA0917">
        <w:rPr>
          <w:rFonts w:ascii="Arial" w:hAnsi="Arial" w:cs="Arial"/>
          <w:sz w:val="24"/>
        </w:rPr>
        <w:t>the time of the divorce K</w:t>
      </w:r>
      <w:r w:rsidRPr="00CA0917">
        <w:rPr>
          <w:rFonts w:ascii="Arial" w:hAnsi="Arial" w:cs="Arial"/>
          <w:sz w:val="24"/>
        </w:rPr>
        <w:t xml:space="preserve"> was thus residing with </w:t>
      </w:r>
      <w:r w:rsidR="000C2839" w:rsidRPr="00CA0917">
        <w:rPr>
          <w:rFonts w:ascii="Arial" w:hAnsi="Arial" w:cs="Arial"/>
          <w:sz w:val="24"/>
        </w:rPr>
        <w:t>the r</w:t>
      </w:r>
      <w:r w:rsidR="00B1573F" w:rsidRPr="00CA0917">
        <w:rPr>
          <w:rFonts w:ascii="Arial" w:hAnsi="Arial" w:cs="Arial"/>
          <w:sz w:val="24"/>
        </w:rPr>
        <w:t>espondent herein</w:t>
      </w:r>
      <w:r w:rsidR="00E76E79" w:rsidRPr="00CA0917">
        <w:rPr>
          <w:rFonts w:ascii="Arial" w:hAnsi="Arial" w:cs="Arial"/>
          <w:sz w:val="24"/>
        </w:rPr>
        <w:t xml:space="preserve"> and</w:t>
      </w:r>
      <w:r w:rsidR="00A47268" w:rsidRPr="00CA0917">
        <w:rPr>
          <w:rFonts w:ascii="Arial" w:hAnsi="Arial" w:cs="Arial"/>
          <w:sz w:val="24"/>
        </w:rPr>
        <w:t xml:space="preserve"> </w:t>
      </w:r>
      <w:r w:rsidR="000C2839" w:rsidRPr="00CA0917">
        <w:rPr>
          <w:rFonts w:ascii="Arial" w:hAnsi="Arial" w:cs="Arial"/>
          <w:sz w:val="24"/>
        </w:rPr>
        <w:t>the r</w:t>
      </w:r>
      <w:r w:rsidR="00A47268" w:rsidRPr="00CA0917">
        <w:rPr>
          <w:rFonts w:ascii="Arial" w:hAnsi="Arial" w:cs="Arial"/>
          <w:sz w:val="24"/>
        </w:rPr>
        <w:t>espondent</w:t>
      </w:r>
      <w:r w:rsidR="00E76E79" w:rsidRPr="00CA0917">
        <w:rPr>
          <w:rFonts w:ascii="Arial" w:hAnsi="Arial" w:cs="Arial"/>
          <w:sz w:val="24"/>
        </w:rPr>
        <w:t xml:space="preserve"> had </w:t>
      </w:r>
      <w:r w:rsidR="00E76E79" w:rsidRPr="00CA0917">
        <w:rPr>
          <w:rFonts w:ascii="Arial" w:hAnsi="Arial" w:cs="Arial"/>
          <w:i/>
          <w:sz w:val="24"/>
        </w:rPr>
        <w:t>de facto</w:t>
      </w:r>
      <w:r w:rsidR="00ED3A1D" w:rsidRPr="00CA0917">
        <w:rPr>
          <w:rFonts w:ascii="Arial" w:hAnsi="Arial" w:cs="Arial"/>
          <w:sz w:val="24"/>
        </w:rPr>
        <w:t xml:space="preserve"> custody and control of K</w:t>
      </w:r>
      <w:r w:rsidR="00CA0917" w:rsidRPr="00CA0917">
        <w:rPr>
          <w:rFonts w:ascii="Arial" w:hAnsi="Arial" w:cs="Arial"/>
          <w:sz w:val="24"/>
        </w:rPr>
        <w:t xml:space="preserve"> K</w:t>
      </w:r>
      <w:r w:rsidR="00E76E79" w:rsidRPr="00CA0917">
        <w:rPr>
          <w:rFonts w:ascii="Arial" w:hAnsi="Arial" w:cs="Arial"/>
          <w:sz w:val="24"/>
        </w:rPr>
        <w:t xml:space="preserve"> since July 2016.</w:t>
      </w:r>
    </w:p>
    <w:p w:rsidR="00CA0917" w:rsidRPr="00CA0917" w:rsidRDefault="00E76E79"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13</w:t>
      </w:r>
      <w:r w:rsidRPr="00CA0917">
        <w:rPr>
          <w:rFonts w:ascii="Arial" w:hAnsi="Arial" w:cs="Arial"/>
          <w:sz w:val="24"/>
        </w:rPr>
        <w:t>]</w:t>
      </w:r>
      <w:r w:rsidRPr="00CA0917">
        <w:rPr>
          <w:rFonts w:ascii="Arial" w:hAnsi="Arial" w:cs="Arial"/>
          <w:sz w:val="24"/>
        </w:rPr>
        <w:tab/>
        <w:t xml:space="preserve">Once the final divorce order was granted </w:t>
      </w:r>
      <w:r w:rsidR="00ED3A1D" w:rsidRPr="00CA0917">
        <w:rPr>
          <w:rFonts w:ascii="Arial" w:hAnsi="Arial" w:cs="Arial"/>
          <w:sz w:val="24"/>
        </w:rPr>
        <w:t>K</w:t>
      </w:r>
      <w:r w:rsidR="00CA0917" w:rsidRPr="00CA0917">
        <w:rPr>
          <w:rFonts w:ascii="Arial" w:hAnsi="Arial" w:cs="Arial"/>
          <w:sz w:val="24"/>
        </w:rPr>
        <w:t xml:space="preserve"> K</w:t>
      </w:r>
      <w:r w:rsidR="001A6CFF" w:rsidRPr="00CA0917">
        <w:rPr>
          <w:rFonts w:ascii="Arial" w:hAnsi="Arial" w:cs="Arial"/>
          <w:sz w:val="24"/>
        </w:rPr>
        <w:t xml:space="preserve"> did not/was n</w:t>
      </w:r>
      <w:r w:rsidR="000C2839" w:rsidRPr="00CA0917">
        <w:rPr>
          <w:rFonts w:ascii="Arial" w:hAnsi="Arial" w:cs="Arial"/>
          <w:sz w:val="24"/>
        </w:rPr>
        <w:t>ot returned to the care of the a</w:t>
      </w:r>
      <w:r w:rsidR="001A6CFF" w:rsidRPr="00CA0917">
        <w:rPr>
          <w:rFonts w:ascii="Arial" w:hAnsi="Arial" w:cs="Arial"/>
          <w:sz w:val="24"/>
        </w:rPr>
        <w:t>pplicant</w:t>
      </w:r>
      <w:r w:rsidRPr="00CA0917">
        <w:rPr>
          <w:rFonts w:ascii="Arial" w:hAnsi="Arial" w:cs="Arial"/>
          <w:sz w:val="24"/>
        </w:rPr>
        <w:t xml:space="preserve">. </w:t>
      </w:r>
    </w:p>
    <w:p w:rsidR="00CA0917" w:rsidRPr="00CA0917" w:rsidRDefault="00E76E79" w:rsidP="006F3CCC">
      <w:pPr>
        <w:spacing w:line="360" w:lineRule="auto"/>
        <w:jc w:val="both"/>
        <w:rPr>
          <w:rFonts w:ascii="Arial" w:hAnsi="Arial" w:cs="Arial"/>
          <w:sz w:val="24"/>
        </w:rPr>
      </w:pPr>
      <w:r w:rsidRPr="00CA0917">
        <w:rPr>
          <w:rFonts w:ascii="Arial" w:hAnsi="Arial" w:cs="Arial"/>
          <w:sz w:val="24"/>
        </w:rPr>
        <w:lastRenderedPageBreak/>
        <w:t>[</w:t>
      </w:r>
      <w:r w:rsidR="006F3CCC" w:rsidRPr="00CA0917">
        <w:rPr>
          <w:rFonts w:ascii="Arial" w:hAnsi="Arial" w:cs="Arial"/>
          <w:sz w:val="24"/>
        </w:rPr>
        <w:t>14</w:t>
      </w:r>
      <w:r w:rsidRPr="00CA0917">
        <w:rPr>
          <w:rFonts w:ascii="Arial" w:hAnsi="Arial" w:cs="Arial"/>
          <w:sz w:val="24"/>
        </w:rPr>
        <w:t>]</w:t>
      </w:r>
      <w:r w:rsidRPr="00CA0917">
        <w:rPr>
          <w:rFonts w:ascii="Arial" w:hAnsi="Arial" w:cs="Arial"/>
          <w:sz w:val="24"/>
        </w:rPr>
        <w:tab/>
        <w:t>According t</w:t>
      </w:r>
      <w:r w:rsidR="000C2839" w:rsidRPr="00CA0917">
        <w:rPr>
          <w:rFonts w:ascii="Arial" w:hAnsi="Arial" w:cs="Arial"/>
          <w:sz w:val="24"/>
        </w:rPr>
        <w:t>he affidavit deposed to by the r</w:t>
      </w:r>
      <w:r w:rsidRPr="00CA0917">
        <w:rPr>
          <w:rFonts w:ascii="Arial" w:hAnsi="Arial" w:cs="Arial"/>
          <w:sz w:val="24"/>
        </w:rPr>
        <w:t>espondent the basis on which he signed the settlement agreement was</w:t>
      </w:r>
      <w:r w:rsidR="00FA6CA3" w:rsidRPr="00CA0917">
        <w:rPr>
          <w:rFonts w:ascii="Arial" w:hAnsi="Arial" w:cs="Arial"/>
          <w:sz w:val="24"/>
        </w:rPr>
        <w:t xml:space="preserve"> because of the verbal unde</w:t>
      </w:r>
      <w:r w:rsidR="000C2839" w:rsidRPr="00CA0917">
        <w:rPr>
          <w:rFonts w:ascii="Arial" w:hAnsi="Arial" w:cs="Arial"/>
          <w:sz w:val="24"/>
        </w:rPr>
        <w:t>rtaking by the counsel for the a</w:t>
      </w:r>
      <w:r w:rsidR="00FA6CA3" w:rsidRPr="00CA0917">
        <w:rPr>
          <w:rFonts w:ascii="Arial" w:hAnsi="Arial" w:cs="Arial"/>
          <w:sz w:val="24"/>
        </w:rPr>
        <w:t>pplicant</w:t>
      </w:r>
      <w:r w:rsidR="00ED3A1D" w:rsidRPr="00CA0917">
        <w:rPr>
          <w:rFonts w:ascii="Arial" w:hAnsi="Arial" w:cs="Arial"/>
          <w:sz w:val="24"/>
        </w:rPr>
        <w:t xml:space="preserve"> that K</w:t>
      </w:r>
      <w:r w:rsidR="00CA0917" w:rsidRPr="00CA0917">
        <w:rPr>
          <w:rFonts w:ascii="Arial" w:hAnsi="Arial" w:cs="Arial"/>
          <w:sz w:val="24"/>
        </w:rPr>
        <w:t xml:space="preserve"> K</w:t>
      </w:r>
      <w:r w:rsidRPr="00CA0917">
        <w:rPr>
          <w:rFonts w:ascii="Arial" w:hAnsi="Arial" w:cs="Arial"/>
          <w:sz w:val="24"/>
        </w:rPr>
        <w:t xml:space="preserve"> </w:t>
      </w:r>
      <w:r w:rsidR="00FA6CA3" w:rsidRPr="00CA0917">
        <w:rPr>
          <w:rFonts w:ascii="Arial" w:hAnsi="Arial" w:cs="Arial"/>
          <w:sz w:val="24"/>
        </w:rPr>
        <w:t>would not be f</w:t>
      </w:r>
      <w:r w:rsidR="000C2839" w:rsidRPr="00CA0917">
        <w:rPr>
          <w:rFonts w:ascii="Arial" w:hAnsi="Arial" w:cs="Arial"/>
          <w:sz w:val="24"/>
        </w:rPr>
        <w:t>orced to move back home to the a</w:t>
      </w:r>
      <w:r w:rsidR="00FA6CA3" w:rsidRPr="00CA0917">
        <w:rPr>
          <w:rFonts w:ascii="Arial" w:hAnsi="Arial" w:cs="Arial"/>
          <w:sz w:val="24"/>
        </w:rPr>
        <w:t xml:space="preserve">pplicant and </w:t>
      </w:r>
      <w:r w:rsidRPr="00CA0917">
        <w:rPr>
          <w:rFonts w:ascii="Arial" w:hAnsi="Arial" w:cs="Arial"/>
          <w:sz w:val="24"/>
        </w:rPr>
        <w:t xml:space="preserve"> </w:t>
      </w:r>
      <w:r w:rsidR="00FA6CA3" w:rsidRPr="00CA0917">
        <w:rPr>
          <w:rFonts w:ascii="Arial" w:hAnsi="Arial" w:cs="Arial"/>
          <w:sz w:val="24"/>
        </w:rPr>
        <w:t xml:space="preserve">would continue living </w:t>
      </w:r>
      <w:r w:rsidRPr="00CA0917">
        <w:rPr>
          <w:rFonts w:ascii="Arial" w:hAnsi="Arial" w:cs="Arial"/>
          <w:sz w:val="24"/>
        </w:rPr>
        <w:t>with him should she so chooses</w:t>
      </w:r>
      <w:r w:rsidR="00FA6CA3" w:rsidRPr="00CA0917">
        <w:rPr>
          <w:rFonts w:ascii="Arial" w:hAnsi="Arial" w:cs="Arial"/>
          <w:sz w:val="24"/>
        </w:rPr>
        <w:t xml:space="preserve">. He therefor denies that he is in contempt with the relevant court order. </w:t>
      </w:r>
      <w:r w:rsidRPr="00CA0917">
        <w:rPr>
          <w:rFonts w:ascii="Arial" w:hAnsi="Arial" w:cs="Arial"/>
          <w:sz w:val="24"/>
        </w:rPr>
        <w:t xml:space="preserve"> </w:t>
      </w:r>
    </w:p>
    <w:p w:rsidR="00CA0917" w:rsidRPr="00CA0917" w:rsidRDefault="00E76E79"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15</w:t>
      </w:r>
      <w:r w:rsidRPr="00CA0917">
        <w:rPr>
          <w:rFonts w:ascii="Arial" w:hAnsi="Arial" w:cs="Arial"/>
          <w:sz w:val="24"/>
        </w:rPr>
        <w:t>]</w:t>
      </w:r>
      <w:r w:rsidRPr="00CA0917">
        <w:rPr>
          <w:rFonts w:ascii="Arial" w:hAnsi="Arial" w:cs="Arial"/>
          <w:sz w:val="24"/>
        </w:rPr>
        <w:tab/>
      </w:r>
      <w:r w:rsidR="00FA6CA3" w:rsidRPr="00CA0917">
        <w:rPr>
          <w:rFonts w:ascii="Arial" w:hAnsi="Arial" w:cs="Arial"/>
          <w:sz w:val="24"/>
        </w:rPr>
        <w:t xml:space="preserve">The submissions in this regard was confirmed in the </w:t>
      </w:r>
      <w:r w:rsidRPr="00CA0917">
        <w:rPr>
          <w:rFonts w:ascii="Arial" w:hAnsi="Arial" w:cs="Arial"/>
          <w:sz w:val="24"/>
        </w:rPr>
        <w:t xml:space="preserve">confirmatory affidavit </w:t>
      </w:r>
      <w:r w:rsidR="00FA6CA3" w:rsidRPr="00CA0917">
        <w:rPr>
          <w:rFonts w:ascii="Arial" w:hAnsi="Arial" w:cs="Arial"/>
          <w:sz w:val="24"/>
        </w:rPr>
        <w:t>deposed</w:t>
      </w:r>
      <w:r w:rsidR="00A47268" w:rsidRPr="00CA0917">
        <w:rPr>
          <w:rFonts w:ascii="Arial" w:hAnsi="Arial" w:cs="Arial"/>
          <w:sz w:val="24"/>
        </w:rPr>
        <w:t xml:space="preserve"> to</w:t>
      </w:r>
      <w:r w:rsidR="00FA6CA3" w:rsidRPr="00CA0917">
        <w:rPr>
          <w:rFonts w:ascii="Arial" w:hAnsi="Arial" w:cs="Arial"/>
          <w:sz w:val="24"/>
        </w:rPr>
        <w:t xml:space="preserve"> by the </w:t>
      </w:r>
      <w:r w:rsidR="00A47268" w:rsidRPr="00CA0917">
        <w:rPr>
          <w:rFonts w:ascii="Arial" w:hAnsi="Arial" w:cs="Arial"/>
          <w:sz w:val="24"/>
        </w:rPr>
        <w:t>counsel for</w:t>
      </w:r>
      <w:r w:rsidRPr="00CA0917">
        <w:rPr>
          <w:rFonts w:ascii="Arial" w:hAnsi="Arial" w:cs="Arial"/>
          <w:sz w:val="24"/>
        </w:rPr>
        <w:t xml:space="preserve"> </w:t>
      </w:r>
      <w:r w:rsidR="000C2839" w:rsidRPr="00CA0917">
        <w:rPr>
          <w:rFonts w:ascii="Arial" w:hAnsi="Arial" w:cs="Arial"/>
          <w:sz w:val="24"/>
        </w:rPr>
        <w:t>the r</w:t>
      </w:r>
      <w:r w:rsidRPr="00CA0917">
        <w:rPr>
          <w:rFonts w:ascii="Arial" w:hAnsi="Arial" w:cs="Arial"/>
          <w:sz w:val="24"/>
        </w:rPr>
        <w:t>espondent</w:t>
      </w:r>
      <w:r w:rsidR="00FA6CA3" w:rsidRPr="00CA0917">
        <w:rPr>
          <w:rFonts w:ascii="Arial" w:hAnsi="Arial" w:cs="Arial"/>
          <w:sz w:val="24"/>
        </w:rPr>
        <w:t xml:space="preserve">. </w:t>
      </w:r>
      <w:r w:rsidRPr="00CA0917">
        <w:rPr>
          <w:rFonts w:ascii="Arial" w:hAnsi="Arial" w:cs="Arial"/>
          <w:sz w:val="24"/>
        </w:rPr>
        <w:t xml:space="preserve"> </w:t>
      </w:r>
    </w:p>
    <w:p w:rsidR="00CA0917" w:rsidRDefault="00A47268"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16</w:t>
      </w:r>
      <w:r w:rsidRPr="00CA0917">
        <w:rPr>
          <w:rFonts w:ascii="Arial" w:hAnsi="Arial" w:cs="Arial"/>
          <w:sz w:val="24"/>
        </w:rPr>
        <w:t>]</w:t>
      </w:r>
      <w:r w:rsidRPr="00CA0917">
        <w:rPr>
          <w:rFonts w:ascii="Arial" w:hAnsi="Arial" w:cs="Arial"/>
          <w:sz w:val="24"/>
        </w:rPr>
        <w:tab/>
        <w:t>No affidavit</w:t>
      </w:r>
      <w:r w:rsidR="00FA6CA3" w:rsidRPr="00CA0917">
        <w:rPr>
          <w:rFonts w:ascii="Arial" w:hAnsi="Arial" w:cs="Arial"/>
          <w:sz w:val="24"/>
        </w:rPr>
        <w:t xml:space="preserve"> to the contrary</w:t>
      </w:r>
      <w:r w:rsidRPr="00CA0917">
        <w:rPr>
          <w:rFonts w:ascii="Arial" w:hAnsi="Arial" w:cs="Arial"/>
          <w:sz w:val="24"/>
        </w:rPr>
        <w:t xml:space="preserve"> w</w:t>
      </w:r>
      <w:r w:rsidR="00FA6CA3" w:rsidRPr="00CA0917">
        <w:rPr>
          <w:rFonts w:ascii="Arial" w:hAnsi="Arial" w:cs="Arial"/>
          <w:sz w:val="24"/>
        </w:rPr>
        <w:t>as</w:t>
      </w:r>
      <w:r w:rsidR="000C2839" w:rsidRPr="00CA0917">
        <w:rPr>
          <w:rFonts w:ascii="Arial" w:hAnsi="Arial" w:cs="Arial"/>
          <w:sz w:val="24"/>
        </w:rPr>
        <w:t xml:space="preserve"> filed by the counsel for the a</w:t>
      </w:r>
      <w:r w:rsidR="00FA6CA3" w:rsidRPr="00CA0917">
        <w:rPr>
          <w:rFonts w:ascii="Arial" w:hAnsi="Arial" w:cs="Arial"/>
          <w:sz w:val="24"/>
        </w:rPr>
        <w:t>pplicant. This issue was addressed during argument on behalf of t</w:t>
      </w:r>
      <w:r w:rsidR="000C2839" w:rsidRPr="00CA0917">
        <w:rPr>
          <w:rFonts w:ascii="Arial" w:hAnsi="Arial" w:cs="Arial"/>
          <w:sz w:val="24"/>
        </w:rPr>
        <w:t>he r</w:t>
      </w:r>
      <w:r w:rsidR="00FA6CA3" w:rsidRPr="00CA0917">
        <w:rPr>
          <w:rFonts w:ascii="Arial" w:hAnsi="Arial" w:cs="Arial"/>
          <w:sz w:val="24"/>
        </w:rPr>
        <w:t>espondent but there was no response to the averments made in this regard</w:t>
      </w:r>
      <w:r w:rsidR="0049703E" w:rsidRPr="00CA0917">
        <w:rPr>
          <w:rFonts w:ascii="Arial" w:hAnsi="Arial" w:cs="Arial"/>
          <w:sz w:val="24"/>
        </w:rPr>
        <w:t xml:space="preserve"> and thus remains unchallenged to date of this ruling. </w:t>
      </w:r>
      <w:r w:rsidR="00FA6CA3" w:rsidRPr="00CA0917">
        <w:rPr>
          <w:rFonts w:ascii="Arial" w:hAnsi="Arial" w:cs="Arial"/>
          <w:sz w:val="24"/>
        </w:rPr>
        <w:t xml:space="preserve"> </w:t>
      </w:r>
    </w:p>
    <w:p w:rsidR="00CA0917" w:rsidRPr="00CA0917" w:rsidRDefault="00CA0917" w:rsidP="006F3CCC">
      <w:pPr>
        <w:spacing w:line="360" w:lineRule="auto"/>
        <w:jc w:val="both"/>
        <w:rPr>
          <w:rFonts w:ascii="Arial" w:hAnsi="Arial" w:cs="Arial"/>
          <w:sz w:val="24"/>
        </w:rPr>
      </w:pPr>
    </w:p>
    <w:p w:rsidR="00FB1DE6" w:rsidRPr="00CA0917" w:rsidRDefault="00FB1DE6" w:rsidP="006F3CCC">
      <w:pPr>
        <w:spacing w:line="360" w:lineRule="auto"/>
        <w:jc w:val="both"/>
        <w:rPr>
          <w:rFonts w:ascii="Arial" w:hAnsi="Arial" w:cs="Arial"/>
          <w:i/>
          <w:sz w:val="24"/>
        </w:rPr>
      </w:pPr>
      <w:r w:rsidRPr="00CA0917">
        <w:rPr>
          <w:rFonts w:ascii="Arial" w:hAnsi="Arial" w:cs="Arial"/>
          <w:i/>
          <w:sz w:val="24"/>
        </w:rPr>
        <w:t>Point of Clarity</w:t>
      </w:r>
    </w:p>
    <w:p w:rsidR="00FB1DE6" w:rsidRPr="00CA0917" w:rsidRDefault="00CA0917" w:rsidP="006F3CCC">
      <w:pPr>
        <w:shd w:val="clear" w:color="auto" w:fill="FFFFFF"/>
        <w:spacing w:after="0" w:line="360" w:lineRule="auto"/>
        <w:jc w:val="both"/>
        <w:rPr>
          <w:rFonts w:ascii="Arial" w:eastAsia="Times New Roman" w:hAnsi="Arial" w:cs="Arial"/>
          <w:sz w:val="24"/>
          <w:szCs w:val="24"/>
        </w:rPr>
      </w:pPr>
      <w:r w:rsidRPr="00CA0917">
        <w:rPr>
          <w:rFonts w:ascii="Arial" w:eastAsia="Times New Roman" w:hAnsi="Arial" w:cs="Arial"/>
          <w:sz w:val="24"/>
          <w:szCs w:val="24"/>
        </w:rPr>
        <w:t>[17]</w:t>
      </w:r>
      <w:r w:rsidRPr="00CA0917">
        <w:rPr>
          <w:rFonts w:ascii="Arial" w:eastAsia="Times New Roman" w:hAnsi="Arial" w:cs="Arial"/>
          <w:sz w:val="24"/>
          <w:szCs w:val="24"/>
        </w:rPr>
        <w:tab/>
      </w:r>
      <w:r w:rsidR="00FB1DE6" w:rsidRPr="00CA0917">
        <w:rPr>
          <w:rFonts w:ascii="Arial" w:eastAsia="Times New Roman" w:hAnsi="Arial" w:cs="Arial"/>
          <w:sz w:val="24"/>
          <w:szCs w:val="24"/>
        </w:rPr>
        <w:t>It is common caus</w:t>
      </w:r>
      <w:r w:rsidR="000C2839" w:rsidRPr="00CA0917">
        <w:rPr>
          <w:rFonts w:ascii="Arial" w:eastAsia="Times New Roman" w:hAnsi="Arial" w:cs="Arial"/>
          <w:sz w:val="24"/>
          <w:szCs w:val="24"/>
        </w:rPr>
        <w:t>e between the parties that the a</w:t>
      </w:r>
      <w:r w:rsidR="00FB1DE6" w:rsidRPr="00CA0917">
        <w:rPr>
          <w:rFonts w:ascii="Arial" w:eastAsia="Times New Roman" w:hAnsi="Arial" w:cs="Arial"/>
          <w:sz w:val="24"/>
          <w:szCs w:val="24"/>
        </w:rPr>
        <w:t xml:space="preserve">pplicant was granted custody of the minor </w:t>
      </w:r>
      <w:r w:rsidR="00ED3A1D" w:rsidRPr="00CA0917">
        <w:rPr>
          <w:rFonts w:ascii="Arial" w:eastAsia="Times New Roman" w:hAnsi="Arial" w:cs="Arial"/>
          <w:sz w:val="24"/>
          <w:szCs w:val="24"/>
        </w:rPr>
        <w:t>child, K</w:t>
      </w:r>
      <w:r w:rsidRPr="00CA0917">
        <w:rPr>
          <w:rFonts w:ascii="Arial" w:eastAsia="Times New Roman" w:hAnsi="Arial" w:cs="Arial"/>
          <w:sz w:val="24"/>
          <w:szCs w:val="24"/>
        </w:rPr>
        <w:t xml:space="preserve"> K</w:t>
      </w:r>
      <w:r w:rsidR="00FB1DE6" w:rsidRPr="00CA0917">
        <w:rPr>
          <w:rFonts w:ascii="Arial" w:eastAsia="Times New Roman" w:hAnsi="Arial" w:cs="Arial"/>
          <w:sz w:val="24"/>
          <w:szCs w:val="24"/>
        </w:rPr>
        <w:t>. It is also common cause that the said min</w:t>
      </w:r>
      <w:r w:rsidR="000C2839" w:rsidRPr="00CA0917">
        <w:rPr>
          <w:rFonts w:ascii="Arial" w:eastAsia="Times New Roman" w:hAnsi="Arial" w:cs="Arial"/>
          <w:sz w:val="24"/>
          <w:szCs w:val="24"/>
        </w:rPr>
        <w:t>or child did not return to the a</w:t>
      </w:r>
      <w:r w:rsidR="00FB1DE6" w:rsidRPr="00CA0917">
        <w:rPr>
          <w:rFonts w:ascii="Arial" w:eastAsia="Times New Roman" w:hAnsi="Arial" w:cs="Arial"/>
          <w:sz w:val="24"/>
          <w:szCs w:val="24"/>
        </w:rPr>
        <w:t>pplicant after the final order of divorce was granted on 16 February 2017.</w:t>
      </w:r>
    </w:p>
    <w:p w:rsidR="00FB1DE6" w:rsidRPr="00CA0917" w:rsidRDefault="00FB1DE6" w:rsidP="006F3CCC">
      <w:pPr>
        <w:shd w:val="clear" w:color="auto" w:fill="FFFFFF"/>
        <w:spacing w:after="0" w:line="360" w:lineRule="auto"/>
        <w:jc w:val="both"/>
        <w:rPr>
          <w:rFonts w:ascii="Arial" w:eastAsia="Times New Roman" w:hAnsi="Arial" w:cs="Arial"/>
          <w:sz w:val="19"/>
          <w:szCs w:val="19"/>
        </w:rPr>
      </w:pPr>
    </w:p>
    <w:p w:rsidR="00FB1DE6" w:rsidRPr="00CA0917" w:rsidRDefault="00FB1DE6" w:rsidP="006F3CCC">
      <w:pPr>
        <w:shd w:val="clear" w:color="auto" w:fill="FFFFFF"/>
        <w:spacing w:after="0" w:line="360" w:lineRule="auto"/>
        <w:jc w:val="both"/>
        <w:rPr>
          <w:rFonts w:ascii="Arial" w:eastAsia="Times New Roman" w:hAnsi="Arial" w:cs="Arial"/>
          <w:sz w:val="19"/>
          <w:szCs w:val="19"/>
        </w:rPr>
      </w:pPr>
      <w:r w:rsidRPr="00CA0917">
        <w:rPr>
          <w:rFonts w:ascii="Arial" w:eastAsia="Times New Roman" w:hAnsi="Arial" w:cs="Arial"/>
          <w:sz w:val="24"/>
          <w:szCs w:val="24"/>
        </w:rPr>
        <w:t>[</w:t>
      </w:r>
      <w:r w:rsidR="006F3CCC" w:rsidRPr="00CA0917">
        <w:rPr>
          <w:rFonts w:ascii="Arial" w:eastAsia="Times New Roman" w:hAnsi="Arial" w:cs="Arial"/>
          <w:sz w:val="24"/>
          <w:szCs w:val="24"/>
        </w:rPr>
        <w:t>18</w:t>
      </w:r>
      <w:r w:rsidR="00CA0917" w:rsidRPr="00CA0917">
        <w:rPr>
          <w:rFonts w:ascii="Arial" w:eastAsia="Times New Roman" w:hAnsi="Arial" w:cs="Arial"/>
          <w:sz w:val="24"/>
          <w:szCs w:val="24"/>
        </w:rPr>
        <w:t>]</w:t>
      </w:r>
      <w:r w:rsidR="00CA0917" w:rsidRPr="00CA0917">
        <w:rPr>
          <w:rFonts w:ascii="Arial" w:eastAsia="Times New Roman" w:hAnsi="Arial" w:cs="Arial"/>
          <w:sz w:val="24"/>
          <w:szCs w:val="24"/>
        </w:rPr>
        <w:tab/>
      </w:r>
      <w:r w:rsidRPr="00CA0917">
        <w:rPr>
          <w:rFonts w:ascii="Arial" w:eastAsia="Times New Roman" w:hAnsi="Arial" w:cs="Arial"/>
          <w:sz w:val="24"/>
          <w:szCs w:val="24"/>
        </w:rPr>
        <w:t>At first g</w:t>
      </w:r>
      <w:r w:rsidR="000C2839" w:rsidRPr="00CA0917">
        <w:rPr>
          <w:rFonts w:ascii="Arial" w:eastAsia="Times New Roman" w:hAnsi="Arial" w:cs="Arial"/>
          <w:sz w:val="24"/>
          <w:szCs w:val="24"/>
        </w:rPr>
        <w:t>lance it might appear that the r</w:t>
      </w:r>
      <w:r w:rsidRPr="00CA0917">
        <w:rPr>
          <w:rFonts w:ascii="Arial" w:eastAsia="Times New Roman" w:hAnsi="Arial" w:cs="Arial"/>
          <w:sz w:val="24"/>
          <w:szCs w:val="24"/>
        </w:rPr>
        <w:t>espondent is indeed in default of the settleme</w:t>
      </w:r>
      <w:r w:rsidR="000C2839" w:rsidRPr="00CA0917">
        <w:rPr>
          <w:rFonts w:ascii="Arial" w:eastAsia="Times New Roman" w:hAnsi="Arial" w:cs="Arial"/>
          <w:sz w:val="24"/>
          <w:szCs w:val="24"/>
        </w:rPr>
        <w:t>nt agreement and therefore the r</w:t>
      </w:r>
      <w:r w:rsidRPr="00CA0917">
        <w:rPr>
          <w:rFonts w:ascii="Arial" w:eastAsia="Times New Roman" w:hAnsi="Arial" w:cs="Arial"/>
          <w:sz w:val="24"/>
          <w:szCs w:val="24"/>
        </w:rPr>
        <w:t>espondent should first purge his default before the court can hear him.</w:t>
      </w:r>
    </w:p>
    <w:p w:rsidR="00FB1DE6" w:rsidRPr="00CA0917" w:rsidRDefault="00FB1DE6" w:rsidP="006F3CCC">
      <w:pPr>
        <w:shd w:val="clear" w:color="auto" w:fill="FFFFFF"/>
        <w:spacing w:after="0" w:line="360" w:lineRule="auto"/>
        <w:jc w:val="both"/>
        <w:rPr>
          <w:rFonts w:ascii="Arial" w:eastAsia="Times New Roman" w:hAnsi="Arial" w:cs="Arial"/>
          <w:sz w:val="19"/>
          <w:szCs w:val="19"/>
        </w:rPr>
      </w:pPr>
      <w:r w:rsidRPr="00CA0917">
        <w:rPr>
          <w:rFonts w:ascii="Arial" w:eastAsia="Times New Roman" w:hAnsi="Arial" w:cs="Arial"/>
          <w:sz w:val="24"/>
          <w:szCs w:val="24"/>
        </w:rPr>
        <w:t> </w:t>
      </w:r>
    </w:p>
    <w:p w:rsidR="00FB1DE6" w:rsidRPr="00CA0917" w:rsidRDefault="00FB1DE6" w:rsidP="006F3CCC">
      <w:pPr>
        <w:shd w:val="clear" w:color="auto" w:fill="FFFFFF"/>
        <w:spacing w:after="0" w:line="360" w:lineRule="auto"/>
        <w:jc w:val="both"/>
        <w:rPr>
          <w:rFonts w:ascii="Arial" w:eastAsia="Times New Roman" w:hAnsi="Arial" w:cs="Arial"/>
          <w:sz w:val="24"/>
          <w:szCs w:val="24"/>
        </w:rPr>
      </w:pPr>
      <w:r w:rsidRPr="00CA0917">
        <w:rPr>
          <w:rFonts w:ascii="Arial" w:eastAsia="Times New Roman" w:hAnsi="Arial" w:cs="Arial"/>
          <w:sz w:val="24"/>
          <w:szCs w:val="24"/>
        </w:rPr>
        <w:t>[</w:t>
      </w:r>
      <w:r w:rsidR="006F3CCC" w:rsidRPr="00CA0917">
        <w:rPr>
          <w:rFonts w:ascii="Arial" w:eastAsia="Times New Roman" w:hAnsi="Arial" w:cs="Arial"/>
          <w:sz w:val="24"/>
          <w:szCs w:val="24"/>
        </w:rPr>
        <w:t>19</w:t>
      </w:r>
      <w:r w:rsidR="00CA0917" w:rsidRPr="00CA0917">
        <w:rPr>
          <w:rFonts w:ascii="Arial" w:eastAsia="Times New Roman" w:hAnsi="Arial" w:cs="Arial"/>
          <w:sz w:val="24"/>
          <w:szCs w:val="24"/>
        </w:rPr>
        <w:t>]</w:t>
      </w:r>
      <w:r w:rsidR="00CA0917" w:rsidRPr="00CA0917">
        <w:rPr>
          <w:rFonts w:ascii="Arial" w:eastAsia="Times New Roman" w:hAnsi="Arial" w:cs="Arial"/>
          <w:sz w:val="24"/>
          <w:szCs w:val="24"/>
        </w:rPr>
        <w:tab/>
      </w:r>
      <w:r w:rsidR="000C2839" w:rsidRPr="00CA0917">
        <w:rPr>
          <w:rFonts w:ascii="Arial" w:eastAsia="Times New Roman" w:hAnsi="Arial" w:cs="Arial"/>
          <w:sz w:val="24"/>
          <w:szCs w:val="24"/>
        </w:rPr>
        <w:t>On behalf of the a</w:t>
      </w:r>
      <w:r w:rsidRPr="00CA0917">
        <w:rPr>
          <w:rFonts w:ascii="Arial" w:eastAsia="Times New Roman" w:hAnsi="Arial" w:cs="Arial"/>
          <w:sz w:val="24"/>
          <w:szCs w:val="24"/>
        </w:rPr>
        <w:t>pplicant much</w:t>
      </w:r>
      <w:r w:rsidR="000C2839" w:rsidRPr="00CA0917">
        <w:rPr>
          <w:rFonts w:ascii="Arial" w:eastAsia="Times New Roman" w:hAnsi="Arial" w:cs="Arial"/>
          <w:sz w:val="24"/>
          <w:szCs w:val="24"/>
        </w:rPr>
        <w:t xml:space="preserve"> was made of the fact that the r</w:t>
      </w:r>
      <w:r w:rsidRPr="00CA0917">
        <w:rPr>
          <w:rFonts w:ascii="Arial" w:eastAsia="Times New Roman" w:hAnsi="Arial" w:cs="Arial"/>
          <w:sz w:val="24"/>
          <w:szCs w:val="24"/>
        </w:rPr>
        <w:t xml:space="preserve">espondent is in default of the court order dated 16 February </w:t>
      </w:r>
      <w:r w:rsidR="000C2839" w:rsidRPr="00CA0917">
        <w:rPr>
          <w:rFonts w:ascii="Arial" w:eastAsia="Times New Roman" w:hAnsi="Arial" w:cs="Arial"/>
          <w:sz w:val="24"/>
          <w:szCs w:val="24"/>
        </w:rPr>
        <w:t>2017 and therefore the r</w:t>
      </w:r>
      <w:r w:rsidRPr="00CA0917">
        <w:rPr>
          <w:rFonts w:ascii="Arial" w:eastAsia="Times New Roman" w:hAnsi="Arial" w:cs="Arial"/>
          <w:sz w:val="24"/>
          <w:szCs w:val="24"/>
        </w:rPr>
        <w:t>espondent must first purge his default before he can be heard by this court.</w:t>
      </w:r>
    </w:p>
    <w:p w:rsidR="00B717D7" w:rsidRPr="00CA0917" w:rsidRDefault="00B717D7" w:rsidP="006F3CCC">
      <w:pPr>
        <w:shd w:val="clear" w:color="auto" w:fill="FFFFFF"/>
        <w:spacing w:after="0" w:line="360" w:lineRule="auto"/>
        <w:jc w:val="both"/>
        <w:rPr>
          <w:rFonts w:ascii="Arial" w:eastAsia="Times New Roman" w:hAnsi="Arial" w:cs="Arial"/>
          <w:sz w:val="19"/>
          <w:szCs w:val="19"/>
        </w:rPr>
      </w:pPr>
    </w:p>
    <w:p w:rsidR="00FB1DE6" w:rsidRPr="00CA0917" w:rsidRDefault="00FB1DE6" w:rsidP="006F3CCC">
      <w:pPr>
        <w:shd w:val="clear" w:color="auto" w:fill="FFFFFF"/>
        <w:spacing w:after="0" w:line="360" w:lineRule="auto"/>
        <w:jc w:val="both"/>
        <w:rPr>
          <w:rFonts w:ascii="Arial" w:eastAsia="Times New Roman" w:hAnsi="Arial" w:cs="Arial"/>
        </w:rPr>
      </w:pPr>
      <w:r w:rsidRPr="00CA0917">
        <w:rPr>
          <w:rFonts w:ascii="Arial" w:eastAsia="Times New Roman" w:hAnsi="Arial" w:cs="Arial"/>
          <w:sz w:val="24"/>
          <w:szCs w:val="24"/>
        </w:rPr>
        <w:t> [</w:t>
      </w:r>
      <w:r w:rsidR="006F3CCC" w:rsidRPr="00CA0917">
        <w:rPr>
          <w:rFonts w:ascii="Arial" w:eastAsia="Times New Roman" w:hAnsi="Arial" w:cs="Arial"/>
          <w:sz w:val="24"/>
          <w:szCs w:val="24"/>
        </w:rPr>
        <w:t>20</w:t>
      </w:r>
      <w:r w:rsidR="00CA0917" w:rsidRPr="00CA0917">
        <w:rPr>
          <w:rFonts w:ascii="Arial" w:eastAsia="Times New Roman" w:hAnsi="Arial" w:cs="Arial"/>
        </w:rPr>
        <w:t>]</w:t>
      </w:r>
      <w:r w:rsidR="00CA0917" w:rsidRPr="00CA0917">
        <w:rPr>
          <w:rFonts w:ascii="Arial" w:eastAsia="Times New Roman" w:hAnsi="Arial" w:cs="Arial"/>
        </w:rPr>
        <w:tab/>
      </w:r>
      <w:r w:rsidRPr="00CA0917">
        <w:rPr>
          <w:rFonts w:ascii="Arial" w:eastAsia="Times New Roman" w:hAnsi="Arial" w:cs="Arial"/>
          <w:sz w:val="24"/>
          <w:szCs w:val="24"/>
        </w:rPr>
        <w:t>In the matter of </w:t>
      </w:r>
      <w:r w:rsidRPr="00CA0917">
        <w:rPr>
          <w:rFonts w:ascii="Arial" w:eastAsia="Times New Roman" w:hAnsi="Arial" w:cs="Arial"/>
          <w:i/>
          <w:iCs/>
          <w:sz w:val="24"/>
          <w:szCs w:val="24"/>
        </w:rPr>
        <w:t>Di Bona v Di Bona and Another</w:t>
      </w:r>
      <w:bookmarkStart w:id="1" w:name="m_-1338244475150645214__ftnref1"/>
      <w:r w:rsidR="00B717D7" w:rsidRPr="00CA0917">
        <w:rPr>
          <w:rStyle w:val="FootnoteReference"/>
          <w:rFonts w:ascii="Arial" w:eastAsia="Times New Roman" w:hAnsi="Arial" w:cs="Arial"/>
          <w:i/>
          <w:iCs/>
          <w:sz w:val="24"/>
          <w:szCs w:val="24"/>
        </w:rPr>
        <w:footnoteReference w:id="1"/>
      </w:r>
      <w:bookmarkEnd w:id="1"/>
      <w:r w:rsidR="00B44A1A" w:rsidRPr="00CA0917">
        <w:rPr>
          <w:rFonts w:ascii="Arial" w:eastAsia="Times New Roman" w:hAnsi="Arial" w:cs="Arial"/>
          <w:i/>
          <w:iCs/>
          <w:sz w:val="24"/>
          <w:szCs w:val="24"/>
        </w:rPr>
        <w:t xml:space="preserve"> </w:t>
      </w:r>
      <w:r w:rsidRPr="00CA0917">
        <w:rPr>
          <w:rFonts w:ascii="Arial" w:eastAsia="Times New Roman" w:hAnsi="Arial" w:cs="Arial"/>
          <w:sz w:val="24"/>
          <w:szCs w:val="24"/>
        </w:rPr>
        <w:t>Rose Innes J</w:t>
      </w:r>
      <w:r w:rsidRPr="00CA0917">
        <w:rPr>
          <w:rFonts w:ascii="Arial" w:eastAsia="Times New Roman" w:hAnsi="Arial" w:cs="Arial"/>
          <w:i/>
          <w:iCs/>
          <w:sz w:val="24"/>
          <w:szCs w:val="24"/>
        </w:rPr>
        <w:t> </w:t>
      </w:r>
      <w:r w:rsidRPr="00CA0917">
        <w:rPr>
          <w:rFonts w:ascii="Arial" w:eastAsia="Times New Roman" w:hAnsi="Arial" w:cs="Arial"/>
          <w:sz w:val="24"/>
          <w:szCs w:val="24"/>
        </w:rPr>
        <w:t>at 688 said:</w:t>
      </w:r>
    </w:p>
    <w:p w:rsidR="00FB1DE6" w:rsidRPr="00CA0917" w:rsidRDefault="00FB1DE6" w:rsidP="00CA0917">
      <w:pPr>
        <w:shd w:val="clear" w:color="auto" w:fill="FFFFFF"/>
        <w:spacing w:after="0" w:line="360" w:lineRule="auto"/>
        <w:ind w:left="782" w:firstLine="658"/>
        <w:jc w:val="both"/>
        <w:rPr>
          <w:rFonts w:ascii="Arial" w:eastAsia="Times New Roman" w:hAnsi="Arial" w:cs="Arial"/>
        </w:rPr>
      </w:pPr>
      <w:r w:rsidRPr="00CA0917">
        <w:rPr>
          <w:rFonts w:ascii="Arial" w:eastAsia="Times New Roman" w:hAnsi="Arial" w:cs="Arial"/>
        </w:rPr>
        <w:t>“The rule, however, that a person in contempt of Court will not be heard is not an absolute rule. This appears clearly from the judgments of Romer LJ and Denning LJ in </w:t>
      </w:r>
      <w:r w:rsidRPr="00CA0917">
        <w:rPr>
          <w:rFonts w:ascii="Arial" w:eastAsia="Times New Roman" w:hAnsi="Arial" w:cs="Arial"/>
          <w:i/>
          <w:iCs/>
        </w:rPr>
        <w:t>Hadkinson's</w:t>
      </w:r>
      <w:r w:rsidRPr="00CA0917">
        <w:rPr>
          <w:rFonts w:ascii="Arial" w:eastAsia="Times New Roman" w:hAnsi="Arial" w:cs="Arial"/>
        </w:rPr>
        <w:t xml:space="preserve">case and in this regard those judgments have been adopted by our </w:t>
      </w:r>
      <w:r w:rsidRPr="00CA0917">
        <w:rPr>
          <w:rFonts w:ascii="Arial" w:eastAsia="Times New Roman" w:hAnsi="Arial" w:cs="Arial"/>
        </w:rPr>
        <w:lastRenderedPageBreak/>
        <w:t>Courts in </w:t>
      </w:r>
      <w:r w:rsidRPr="00CA0917">
        <w:rPr>
          <w:rFonts w:ascii="Arial" w:eastAsia="Times New Roman" w:hAnsi="Arial" w:cs="Arial"/>
          <w:i/>
          <w:iCs/>
        </w:rPr>
        <w:t>Kotze's</w:t>
      </w:r>
      <w:r w:rsidRPr="00CA0917">
        <w:rPr>
          <w:rFonts w:ascii="Arial" w:eastAsia="Times New Roman" w:hAnsi="Arial" w:cs="Arial"/>
        </w:rPr>
        <w:t> case supra, </w:t>
      </w:r>
      <w:r w:rsidRPr="00CA0917">
        <w:rPr>
          <w:rFonts w:ascii="Arial" w:eastAsia="Times New Roman" w:hAnsi="Arial" w:cs="Arial"/>
          <w:i/>
          <w:iCs/>
        </w:rPr>
        <w:t>Clements</w:t>
      </w:r>
      <w:r w:rsidRPr="00CA0917">
        <w:rPr>
          <w:rFonts w:ascii="Arial" w:eastAsia="Times New Roman" w:hAnsi="Arial" w:cs="Arial"/>
        </w:rPr>
        <w:t> case supra, and in the decision in </w:t>
      </w:r>
      <w:r w:rsidRPr="00CA0917">
        <w:rPr>
          <w:rFonts w:ascii="Arial" w:eastAsia="Times New Roman" w:hAnsi="Arial" w:cs="Arial"/>
          <w:i/>
          <w:iCs/>
        </w:rPr>
        <w:t>Byliefeldt v Redpath </w:t>
      </w:r>
      <w:r w:rsidRPr="00CA0917">
        <w:rPr>
          <w:rFonts w:ascii="Arial" w:eastAsia="Times New Roman" w:hAnsi="Arial" w:cs="Arial"/>
        </w:rPr>
        <w:t>1982 (1) SA 702 (A) . In </w:t>
      </w:r>
      <w:r w:rsidRPr="00CA0917">
        <w:rPr>
          <w:rFonts w:ascii="Arial" w:eastAsia="Times New Roman" w:hAnsi="Arial" w:cs="Arial"/>
          <w:i/>
          <w:iCs/>
        </w:rPr>
        <w:t>Hadkinson's</w:t>
      </w:r>
      <w:r w:rsidRPr="00CA0917">
        <w:rPr>
          <w:rFonts w:ascii="Arial" w:eastAsia="Times New Roman" w:hAnsi="Arial" w:cs="Arial"/>
        </w:rPr>
        <w:t> case Romer LJ mentioned a number of exceptions to which he said the consequence of the refusal to hear a person in contempt is undoubtedly subject.”</w:t>
      </w:r>
    </w:p>
    <w:p w:rsidR="00B44A1A" w:rsidRPr="00CA0917" w:rsidRDefault="00B44A1A" w:rsidP="006F3CCC">
      <w:pPr>
        <w:shd w:val="clear" w:color="auto" w:fill="FFFFFF"/>
        <w:spacing w:after="0" w:line="360" w:lineRule="auto"/>
        <w:ind w:left="782"/>
        <w:jc w:val="both"/>
        <w:rPr>
          <w:rFonts w:ascii="Arial" w:eastAsia="Times New Roman" w:hAnsi="Arial" w:cs="Arial"/>
        </w:rPr>
      </w:pPr>
    </w:p>
    <w:p w:rsidR="00FB1DE6" w:rsidRDefault="00FB1DE6" w:rsidP="006F3CCC">
      <w:pPr>
        <w:shd w:val="clear" w:color="auto" w:fill="FFFFFF"/>
        <w:spacing w:after="0" w:line="360" w:lineRule="auto"/>
        <w:jc w:val="both"/>
        <w:rPr>
          <w:rFonts w:ascii="Arial" w:eastAsia="Times New Roman" w:hAnsi="Arial" w:cs="Arial"/>
          <w:sz w:val="24"/>
          <w:szCs w:val="24"/>
        </w:rPr>
      </w:pPr>
      <w:r w:rsidRPr="00CA0917">
        <w:rPr>
          <w:rFonts w:ascii="Arial" w:eastAsia="Times New Roman" w:hAnsi="Arial" w:cs="Arial"/>
          <w:sz w:val="24"/>
          <w:szCs w:val="24"/>
        </w:rPr>
        <w:t>[</w:t>
      </w:r>
      <w:r w:rsidR="006F3CCC" w:rsidRPr="00CA0917">
        <w:rPr>
          <w:rFonts w:ascii="Arial" w:eastAsia="Times New Roman" w:hAnsi="Arial" w:cs="Arial"/>
          <w:sz w:val="24"/>
          <w:szCs w:val="24"/>
        </w:rPr>
        <w:t>21</w:t>
      </w:r>
      <w:r w:rsidR="00CA0917" w:rsidRPr="00CA0917">
        <w:rPr>
          <w:rFonts w:ascii="Arial" w:eastAsia="Times New Roman" w:hAnsi="Arial" w:cs="Arial"/>
          <w:sz w:val="24"/>
          <w:szCs w:val="24"/>
        </w:rPr>
        <w:t>]</w:t>
      </w:r>
      <w:r w:rsidR="00CA0917" w:rsidRPr="00CA0917">
        <w:rPr>
          <w:rFonts w:ascii="Arial" w:eastAsia="Times New Roman" w:hAnsi="Arial" w:cs="Arial"/>
          <w:sz w:val="24"/>
          <w:szCs w:val="24"/>
        </w:rPr>
        <w:tab/>
      </w:r>
      <w:r w:rsidRPr="00CA0917">
        <w:rPr>
          <w:rFonts w:ascii="Arial" w:eastAsia="Times New Roman" w:hAnsi="Arial" w:cs="Arial"/>
          <w:sz w:val="24"/>
          <w:szCs w:val="24"/>
        </w:rPr>
        <w:t>What is important to note is that the court is not currently dealing with an applic</w:t>
      </w:r>
      <w:r w:rsidR="000C2839" w:rsidRPr="00CA0917">
        <w:rPr>
          <w:rFonts w:ascii="Arial" w:eastAsia="Times New Roman" w:hAnsi="Arial" w:cs="Arial"/>
          <w:sz w:val="24"/>
          <w:szCs w:val="24"/>
        </w:rPr>
        <w:t>ation for the committal of the r</w:t>
      </w:r>
      <w:r w:rsidRPr="00CA0917">
        <w:rPr>
          <w:rFonts w:ascii="Arial" w:eastAsia="Times New Roman" w:hAnsi="Arial" w:cs="Arial"/>
          <w:sz w:val="24"/>
          <w:szCs w:val="24"/>
        </w:rPr>
        <w:t>espondent for contempt of court and for purpose of the point </w:t>
      </w:r>
      <w:r w:rsidRPr="00CA0917">
        <w:rPr>
          <w:rFonts w:ascii="Arial" w:eastAsia="Times New Roman" w:hAnsi="Arial" w:cs="Arial"/>
          <w:i/>
          <w:iCs/>
          <w:sz w:val="24"/>
          <w:szCs w:val="24"/>
        </w:rPr>
        <w:t>in limine</w:t>
      </w:r>
      <w:r w:rsidRPr="00CA0917">
        <w:rPr>
          <w:rFonts w:ascii="Arial" w:eastAsia="Times New Roman" w:hAnsi="Arial" w:cs="Arial"/>
          <w:sz w:val="24"/>
          <w:szCs w:val="24"/>
        </w:rPr>
        <w:t> it is not necessary to determine if there</w:t>
      </w:r>
      <w:r w:rsidR="000C2839" w:rsidRPr="00CA0917">
        <w:rPr>
          <w:rFonts w:ascii="Arial" w:eastAsia="Times New Roman" w:hAnsi="Arial" w:cs="Arial"/>
          <w:sz w:val="24"/>
          <w:szCs w:val="24"/>
        </w:rPr>
        <w:t xml:space="preserve"> is default on the part of the r</w:t>
      </w:r>
      <w:r w:rsidRPr="00CA0917">
        <w:rPr>
          <w:rFonts w:ascii="Arial" w:eastAsia="Times New Roman" w:hAnsi="Arial" w:cs="Arial"/>
          <w:sz w:val="24"/>
          <w:szCs w:val="24"/>
        </w:rPr>
        <w:t>espondent. This is however an issue that the court must consider in the main applic</w:t>
      </w:r>
      <w:r w:rsidR="000C2839" w:rsidRPr="00CA0917">
        <w:rPr>
          <w:rFonts w:ascii="Arial" w:eastAsia="Times New Roman" w:hAnsi="Arial" w:cs="Arial"/>
          <w:sz w:val="24"/>
          <w:szCs w:val="24"/>
        </w:rPr>
        <w:t>ation to determine whether the r</w:t>
      </w:r>
      <w:r w:rsidRPr="00CA0917">
        <w:rPr>
          <w:rFonts w:ascii="Arial" w:eastAsia="Times New Roman" w:hAnsi="Arial" w:cs="Arial"/>
          <w:sz w:val="24"/>
          <w:szCs w:val="24"/>
        </w:rPr>
        <w:t>espondent should be compelled to</w:t>
      </w:r>
      <w:r w:rsidR="000C2839" w:rsidRPr="00CA0917">
        <w:rPr>
          <w:rFonts w:ascii="Arial" w:eastAsia="Times New Roman" w:hAnsi="Arial" w:cs="Arial"/>
          <w:sz w:val="24"/>
          <w:szCs w:val="24"/>
        </w:rPr>
        <w:t xml:space="preserve"> return the minor child to the a</w:t>
      </w:r>
      <w:r w:rsidRPr="00CA0917">
        <w:rPr>
          <w:rFonts w:ascii="Arial" w:eastAsia="Times New Roman" w:hAnsi="Arial" w:cs="Arial"/>
          <w:sz w:val="24"/>
          <w:szCs w:val="24"/>
        </w:rPr>
        <w:t>pplicant as prayed for in the main application.   </w:t>
      </w:r>
    </w:p>
    <w:p w:rsidR="00B44A84" w:rsidRPr="00CA0917" w:rsidRDefault="00FB1DE6" w:rsidP="00B717D7">
      <w:pPr>
        <w:shd w:val="clear" w:color="auto" w:fill="FFFFFF"/>
        <w:spacing w:after="0" w:line="360" w:lineRule="auto"/>
        <w:rPr>
          <w:rFonts w:ascii="Arial" w:hAnsi="Arial" w:cs="Arial"/>
          <w:i/>
          <w:sz w:val="24"/>
        </w:rPr>
      </w:pPr>
      <w:r w:rsidRPr="00CA0917">
        <w:rPr>
          <w:rFonts w:ascii="Arial" w:eastAsia="Times New Roman" w:hAnsi="Arial" w:cs="Arial"/>
          <w:sz w:val="19"/>
          <w:szCs w:val="19"/>
        </w:rPr>
        <w:br w:type="textWrapping" w:clear="all"/>
      </w:r>
      <w:r w:rsidR="00B44A84" w:rsidRPr="00CA0917">
        <w:rPr>
          <w:rFonts w:ascii="Arial" w:hAnsi="Arial" w:cs="Arial"/>
          <w:i/>
          <w:sz w:val="24"/>
        </w:rPr>
        <w:t>Submissions by the applicant</w:t>
      </w:r>
    </w:p>
    <w:p w:rsidR="00794EC6" w:rsidRPr="00CA0917" w:rsidRDefault="00B44A84"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22</w:t>
      </w:r>
      <w:r w:rsidRPr="00CA0917">
        <w:rPr>
          <w:rFonts w:ascii="Arial" w:hAnsi="Arial" w:cs="Arial"/>
          <w:sz w:val="24"/>
        </w:rPr>
        <w:t>]</w:t>
      </w:r>
      <w:r w:rsidRPr="00CA0917">
        <w:rPr>
          <w:rFonts w:ascii="Arial" w:hAnsi="Arial" w:cs="Arial"/>
          <w:sz w:val="24"/>
        </w:rPr>
        <w:tab/>
      </w:r>
      <w:r w:rsidR="00D42FFA" w:rsidRPr="00CA0917">
        <w:rPr>
          <w:rFonts w:ascii="Arial" w:hAnsi="Arial" w:cs="Arial"/>
          <w:sz w:val="24"/>
        </w:rPr>
        <w:t xml:space="preserve">The applicant submits that the issue of custody has become </w:t>
      </w:r>
      <w:r w:rsidR="00D42FFA" w:rsidRPr="00CA0917">
        <w:rPr>
          <w:rFonts w:ascii="Arial" w:hAnsi="Arial" w:cs="Arial"/>
          <w:i/>
          <w:sz w:val="24"/>
        </w:rPr>
        <w:t>res judicata</w:t>
      </w:r>
      <w:r w:rsidR="00D42FFA" w:rsidRPr="00CA0917">
        <w:rPr>
          <w:rFonts w:ascii="Arial" w:hAnsi="Arial" w:cs="Arial"/>
          <w:sz w:val="24"/>
        </w:rPr>
        <w:t xml:space="preserve"> and can no longer be revisited by this court. The applicant further submits that the only way the issue of custody can be revisited is by way of variation order upon changed circumstances and until that occurs, the respondent must comply with the current court order that dealt with the settlement agreement as entered </w:t>
      </w:r>
      <w:r w:rsidR="00A47268" w:rsidRPr="00CA0917">
        <w:rPr>
          <w:rFonts w:ascii="Arial" w:hAnsi="Arial" w:cs="Arial"/>
          <w:sz w:val="24"/>
        </w:rPr>
        <w:t xml:space="preserve">into </w:t>
      </w:r>
      <w:r w:rsidR="00D42FFA" w:rsidRPr="00CA0917">
        <w:rPr>
          <w:rFonts w:ascii="Arial" w:hAnsi="Arial" w:cs="Arial"/>
          <w:sz w:val="24"/>
        </w:rPr>
        <w:t xml:space="preserve">between the parties. </w:t>
      </w:r>
    </w:p>
    <w:p w:rsidR="00AF0F4D" w:rsidRPr="00CA0917" w:rsidRDefault="00794EC6"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23</w:t>
      </w:r>
      <w:r w:rsidRPr="00CA0917">
        <w:rPr>
          <w:rFonts w:ascii="Arial" w:hAnsi="Arial" w:cs="Arial"/>
          <w:sz w:val="24"/>
        </w:rPr>
        <w:t>]</w:t>
      </w:r>
      <w:r w:rsidRPr="00CA0917">
        <w:rPr>
          <w:rFonts w:ascii="Arial" w:hAnsi="Arial" w:cs="Arial"/>
          <w:sz w:val="24"/>
        </w:rPr>
        <w:tab/>
      </w:r>
      <w:r w:rsidR="00892AB4" w:rsidRPr="00CA0917">
        <w:rPr>
          <w:rFonts w:ascii="Arial" w:hAnsi="Arial" w:cs="Arial"/>
          <w:sz w:val="24"/>
        </w:rPr>
        <w:t xml:space="preserve">The applicant further submits that the settlement agreement entered into between the parties </w:t>
      </w:r>
      <w:r w:rsidR="00C30758" w:rsidRPr="00CA0917">
        <w:rPr>
          <w:rFonts w:ascii="Arial" w:hAnsi="Arial" w:cs="Arial"/>
          <w:sz w:val="24"/>
        </w:rPr>
        <w:t>is a</w:t>
      </w:r>
      <w:r w:rsidR="00892AB4" w:rsidRPr="00CA0917">
        <w:rPr>
          <w:rFonts w:ascii="Arial" w:hAnsi="Arial" w:cs="Arial"/>
          <w:sz w:val="24"/>
        </w:rPr>
        <w:t xml:space="preserve"> compromise</w:t>
      </w:r>
      <w:r w:rsidR="00C30758" w:rsidRPr="00CA0917">
        <w:rPr>
          <w:rFonts w:ascii="Arial" w:hAnsi="Arial" w:cs="Arial"/>
          <w:sz w:val="24"/>
        </w:rPr>
        <w:t xml:space="preserve"> which has the same effect of </w:t>
      </w:r>
      <w:r w:rsidR="00C30758" w:rsidRPr="00CA0917">
        <w:rPr>
          <w:rFonts w:ascii="Arial" w:hAnsi="Arial" w:cs="Arial"/>
          <w:i/>
          <w:sz w:val="24"/>
        </w:rPr>
        <w:t>res judicata</w:t>
      </w:r>
      <w:r w:rsidR="00C30758" w:rsidRPr="00CA0917">
        <w:rPr>
          <w:rFonts w:ascii="Arial" w:hAnsi="Arial" w:cs="Arial"/>
          <w:sz w:val="24"/>
        </w:rPr>
        <w:t xml:space="preserve"> and a party to a compromise cannot on a whim go against such compromise, which would amount to contempt of court and </w:t>
      </w:r>
      <w:r w:rsidR="00CA0917">
        <w:rPr>
          <w:rFonts w:ascii="Arial" w:hAnsi="Arial" w:cs="Arial"/>
          <w:sz w:val="24"/>
        </w:rPr>
        <w:t>the ancillary consequences there</w:t>
      </w:r>
      <w:r w:rsidR="00C30758" w:rsidRPr="00CA0917">
        <w:rPr>
          <w:rFonts w:ascii="Arial" w:hAnsi="Arial" w:cs="Arial"/>
          <w:sz w:val="24"/>
        </w:rPr>
        <w:t>to.</w:t>
      </w:r>
    </w:p>
    <w:p w:rsidR="00CA0917" w:rsidRDefault="00AF0F4D"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24</w:t>
      </w:r>
      <w:r w:rsidRPr="00CA0917">
        <w:rPr>
          <w:rFonts w:ascii="Arial" w:hAnsi="Arial" w:cs="Arial"/>
          <w:sz w:val="24"/>
        </w:rPr>
        <w:t>]</w:t>
      </w:r>
      <w:r w:rsidRPr="00CA0917">
        <w:rPr>
          <w:rFonts w:ascii="Arial" w:hAnsi="Arial" w:cs="Arial"/>
          <w:sz w:val="24"/>
        </w:rPr>
        <w:tab/>
        <w:t>Therefore, in conclusion, the applicant is of the view that the matter of custody has already been resolved with the court order dated 16 February 2017 and the matter can no longer be revisited by the introduction of new evidence, such the testimony of one of the minor children.</w:t>
      </w:r>
    </w:p>
    <w:p w:rsidR="00CA0917" w:rsidRPr="00CA0917" w:rsidRDefault="00CA0917" w:rsidP="006F3CCC">
      <w:pPr>
        <w:spacing w:line="360" w:lineRule="auto"/>
        <w:jc w:val="both"/>
        <w:rPr>
          <w:rFonts w:ascii="Arial" w:hAnsi="Arial" w:cs="Arial"/>
          <w:sz w:val="24"/>
        </w:rPr>
      </w:pPr>
    </w:p>
    <w:p w:rsidR="00282568" w:rsidRPr="00CA0917" w:rsidRDefault="00282568" w:rsidP="006F3CCC">
      <w:pPr>
        <w:spacing w:line="360" w:lineRule="auto"/>
        <w:jc w:val="both"/>
        <w:rPr>
          <w:rFonts w:ascii="Arial" w:hAnsi="Arial" w:cs="Arial"/>
          <w:i/>
          <w:sz w:val="24"/>
        </w:rPr>
      </w:pPr>
      <w:r w:rsidRPr="00CA0917">
        <w:rPr>
          <w:rFonts w:ascii="Arial" w:hAnsi="Arial" w:cs="Arial"/>
          <w:i/>
          <w:sz w:val="24"/>
        </w:rPr>
        <w:t>Submissions by the respondent</w:t>
      </w:r>
    </w:p>
    <w:p w:rsidR="00A73021" w:rsidRPr="00CA0917" w:rsidRDefault="00CA70C7" w:rsidP="006F3CCC">
      <w:pPr>
        <w:spacing w:line="360" w:lineRule="auto"/>
        <w:jc w:val="both"/>
        <w:rPr>
          <w:rFonts w:ascii="Arial" w:hAnsi="Arial" w:cs="Arial"/>
          <w:i/>
          <w:sz w:val="24"/>
        </w:rPr>
      </w:pPr>
      <w:r w:rsidRPr="00CA0917">
        <w:rPr>
          <w:rFonts w:ascii="Arial" w:hAnsi="Arial" w:cs="Arial"/>
          <w:sz w:val="24"/>
        </w:rPr>
        <w:t>[</w:t>
      </w:r>
      <w:r w:rsidR="006F3CCC" w:rsidRPr="00CA0917">
        <w:rPr>
          <w:rFonts w:ascii="Arial" w:hAnsi="Arial" w:cs="Arial"/>
          <w:sz w:val="24"/>
        </w:rPr>
        <w:t>25</w:t>
      </w:r>
      <w:r w:rsidRPr="00CA0917">
        <w:rPr>
          <w:rFonts w:ascii="Arial" w:hAnsi="Arial" w:cs="Arial"/>
          <w:sz w:val="24"/>
        </w:rPr>
        <w:t>]</w:t>
      </w:r>
      <w:r w:rsidRPr="00CA0917">
        <w:rPr>
          <w:rFonts w:ascii="Arial" w:hAnsi="Arial" w:cs="Arial"/>
          <w:sz w:val="24"/>
        </w:rPr>
        <w:tab/>
      </w:r>
      <w:r w:rsidR="00465A02" w:rsidRPr="00CA0917">
        <w:rPr>
          <w:rFonts w:ascii="Arial" w:hAnsi="Arial" w:cs="Arial"/>
          <w:sz w:val="24"/>
        </w:rPr>
        <w:t xml:space="preserve">The respondent submits that in relation to the settlement agreement, it was signed or agreed to with the understanding that </w:t>
      </w:r>
      <w:r w:rsidR="00530434" w:rsidRPr="00CA0917">
        <w:rPr>
          <w:rFonts w:ascii="Arial" w:hAnsi="Arial" w:cs="Arial"/>
          <w:sz w:val="24"/>
        </w:rPr>
        <w:t xml:space="preserve">the living arrangements with the minor </w:t>
      </w:r>
      <w:r w:rsidR="00530434" w:rsidRPr="00CA0917">
        <w:rPr>
          <w:rFonts w:ascii="Arial" w:hAnsi="Arial" w:cs="Arial"/>
          <w:sz w:val="24"/>
        </w:rPr>
        <w:lastRenderedPageBreak/>
        <w:t>children would not change</w:t>
      </w:r>
      <w:r w:rsidR="00A47268" w:rsidRPr="00CA0917">
        <w:rPr>
          <w:rFonts w:ascii="Arial" w:hAnsi="Arial" w:cs="Arial"/>
          <w:sz w:val="24"/>
        </w:rPr>
        <w:t xml:space="preserve">, i.e. that the </w:t>
      </w:r>
      <w:r w:rsidR="00F663B3" w:rsidRPr="00CA0917">
        <w:rPr>
          <w:rFonts w:ascii="Arial" w:hAnsi="Arial" w:cs="Arial"/>
          <w:sz w:val="24"/>
        </w:rPr>
        <w:t>minor child would not be forcibly removed from the respondent’s home</w:t>
      </w:r>
      <w:r w:rsidR="00530434" w:rsidRPr="00CA0917">
        <w:rPr>
          <w:rFonts w:ascii="Arial" w:hAnsi="Arial" w:cs="Arial"/>
          <w:sz w:val="24"/>
        </w:rPr>
        <w:t xml:space="preserve">, otherwise referred to as the undertaking between the parties. </w:t>
      </w:r>
      <w:r w:rsidR="00C5738E" w:rsidRPr="00CA0917">
        <w:rPr>
          <w:rFonts w:ascii="Arial" w:hAnsi="Arial" w:cs="Arial"/>
          <w:sz w:val="24"/>
        </w:rPr>
        <w:t xml:space="preserve">In this regard, the respondent still holds </w:t>
      </w:r>
      <w:r w:rsidR="00ED2EBA" w:rsidRPr="00CA0917">
        <w:rPr>
          <w:rFonts w:ascii="Arial" w:hAnsi="Arial" w:cs="Arial"/>
          <w:sz w:val="24"/>
        </w:rPr>
        <w:t xml:space="preserve">the position that </w:t>
      </w:r>
      <w:r w:rsidR="00B1573F" w:rsidRPr="00CA0917">
        <w:rPr>
          <w:rFonts w:ascii="Arial" w:hAnsi="Arial" w:cs="Arial"/>
          <w:sz w:val="24"/>
        </w:rPr>
        <w:t>he</w:t>
      </w:r>
      <w:r w:rsidR="00ED2EBA" w:rsidRPr="00CA0917">
        <w:rPr>
          <w:rFonts w:ascii="Arial" w:hAnsi="Arial" w:cs="Arial"/>
          <w:sz w:val="24"/>
        </w:rPr>
        <w:t xml:space="preserve"> could not </w:t>
      </w:r>
      <w:r w:rsidR="00C5738E" w:rsidRPr="00CA0917">
        <w:rPr>
          <w:rFonts w:ascii="Arial" w:hAnsi="Arial" w:cs="Arial"/>
          <w:sz w:val="24"/>
        </w:rPr>
        <w:t xml:space="preserve">be in contempt of court as </w:t>
      </w:r>
      <w:r w:rsidR="00ED2EBA" w:rsidRPr="00CA0917">
        <w:rPr>
          <w:rFonts w:ascii="Arial" w:hAnsi="Arial" w:cs="Arial"/>
          <w:sz w:val="24"/>
        </w:rPr>
        <w:t xml:space="preserve">the applicant has not proved beyond reasonable doubt that the respondent’s non-compliance with the court order dated 16 February 2017 is willful and with </w:t>
      </w:r>
      <w:r w:rsidR="00ED2EBA" w:rsidRPr="00CA0917">
        <w:rPr>
          <w:rFonts w:ascii="Arial" w:hAnsi="Arial" w:cs="Arial"/>
          <w:i/>
          <w:sz w:val="24"/>
        </w:rPr>
        <w:t xml:space="preserve">mala fides. </w:t>
      </w:r>
    </w:p>
    <w:p w:rsidR="0053298B" w:rsidRPr="00CA0917" w:rsidRDefault="00A73021"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26</w:t>
      </w:r>
      <w:r w:rsidRPr="00CA0917">
        <w:rPr>
          <w:rFonts w:ascii="Arial" w:hAnsi="Arial" w:cs="Arial"/>
          <w:sz w:val="24"/>
        </w:rPr>
        <w:t>]</w:t>
      </w:r>
      <w:r w:rsidRPr="00CA0917">
        <w:rPr>
          <w:rFonts w:ascii="Arial" w:hAnsi="Arial" w:cs="Arial"/>
          <w:sz w:val="24"/>
        </w:rPr>
        <w:tab/>
        <w:t>The respondent further submits that the settlement agreement incorporated into the court order dated 16 February 2017 is merely a recording of the settlement agreement and not necessarily a part and parcel of the court order itself. In this regard, the respondent submits that the settlement agreement is a contract on its own and if the applicant is to sue the respondent, the applicant should do it through the settlement agreement and not by way of court order</w:t>
      </w:r>
      <w:r w:rsidR="0071605A" w:rsidRPr="00CA0917">
        <w:rPr>
          <w:rFonts w:ascii="Arial" w:hAnsi="Arial" w:cs="Arial"/>
          <w:sz w:val="24"/>
        </w:rPr>
        <w:t>, which in that regard would be the wrong remedy sought by the applicant.</w:t>
      </w:r>
      <w:r w:rsidR="00B717D7" w:rsidRPr="00CA0917">
        <w:rPr>
          <w:rFonts w:ascii="Arial" w:hAnsi="Arial" w:cs="Arial"/>
          <w:sz w:val="24"/>
        </w:rPr>
        <w:t xml:space="preserve"> In this regard the court was referred to the matter of </w:t>
      </w:r>
      <w:r w:rsidR="00B717D7" w:rsidRPr="00CA0917">
        <w:rPr>
          <w:rFonts w:ascii="Arial" w:hAnsi="Arial" w:cs="Arial"/>
          <w:i/>
          <w:sz w:val="24"/>
        </w:rPr>
        <w:t>Thuta v Thuta</w:t>
      </w:r>
      <w:r w:rsidR="00ED3A1D" w:rsidRPr="00CA0917">
        <w:rPr>
          <w:rFonts w:ascii="Arial" w:hAnsi="Arial" w:cs="Arial"/>
          <w:i/>
          <w:sz w:val="24"/>
        </w:rPr>
        <w:t>.</w:t>
      </w:r>
      <w:r w:rsidR="00B717D7" w:rsidRPr="00CA0917">
        <w:rPr>
          <w:rStyle w:val="FootnoteReference"/>
          <w:rFonts w:ascii="Arial" w:hAnsi="Arial" w:cs="Arial"/>
          <w:sz w:val="24"/>
        </w:rPr>
        <w:footnoteReference w:id="2"/>
      </w:r>
      <w:r w:rsidR="00ED3A1D" w:rsidRPr="00CA0917">
        <w:rPr>
          <w:rFonts w:ascii="Arial" w:hAnsi="Arial" w:cs="Arial"/>
          <w:sz w:val="24"/>
        </w:rPr>
        <w:t xml:space="preserve"> </w:t>
      </w:r>
    </w:p>
    <w:p w:rsidR="00B717D7" w:rsidRPr="00CA0917" w:rsidRDefault="0053298B"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27</w:t>
      </w:r>
      <w:r w:rsidRPr="00CA0917">
        <w:rPr>
          <w:rFonts w:ascii="Arial" w:hAnsi="Arial" w:cs="Arial"/>
          <w:sz w:val="24"/>
        </w:rPr>
        <w:t>]</w:t>
      </w:r>
      <w:r w:rsidRPr="00CA0917">
        <w:rPr>
          <w:rFonts w:ascii="Arial" w:hAnsi="Arial" w:cs="Arial"/>
          <w:sz w:val="24"/>
        </w:rPr>
        <w:tab/>
        <w:t xml:space="preserve">In relation to the argument that the court is </w:t>
      </w:r>
      <w:r w:rsidRPr="00CA0917">
        <w:rPr>
          <w:rFonts w:ascii="Arial" w:hAnsi="Arial" w:cs="Arial"/>
          <w:i/>
          <w:sz w:val="24"/>
        </w:rPr>
        <w:t>res judicata</w:t>
      </w:r>
      <w:r w:rsidRPr="00CA0917">
        <w:rPr>
          <w:rFonts w:ascii="Arial" w:hAnsi="Arial" w:cs="Arial"/>
          <w:sz w:val="24"/>
        </w:rPr>
        <w:t xml:space="preserve"> in respect of the custody issue, the respondent is of the view that due to the undertakings that living arrangements would not change upon finalization of the divorce, it is t</w:t>
      </w:r>
      <w:r w:rsidR="00A47268" w:rsidRPr="00CA0917">
        <w:rPr>
          <w:rFonts w:ascii="Arial" w:hAnsi="Arial" w:cs="Arial"/>
          <w:sz w:val="24"/>
        </w:rPr>
        <w:t xml:space="preserve">he applicant who is in </w:t>
      </w:r>
      <w:r w:rsidR="00B44A1A" w:rsidRPr="00CA0917">
        <w:rPr>
          <w:rFonts w:ascii="Arial" w:hAnsi="Arial" w:cs="Arial"/>
          <w:sz w:val="24"/>
        </w:rPr>
        <w:t>actual breach</w:t>
      </w:r>
      <w:r w:rsidRPr="00CA0917">
        <w:rPr>
          <w:rFonts w:ascii="Arial" w:hAnsi="Arial" w:cs="Arial"/>
          <w:sz w:val="24"/>
        </w:rPr>
        <w:t xml:space="preserve"> of the settlement agreement and this does not mean that the parties can never enter into a dispute regarding the implementation and interpretation of that agreement. </w:t>
      </w:r>
      <w:r w:rsidR="00740DBC" w:rsidRPr="00CA0917">
        <w:rPr>
          <w:rFonts w:ascii="Arial" w:hAnsi="Arial" w:cs="Arial"/>
          <w:sz w:val="24"/>
        </w:rPr>
        <w:t xml:space="preserve">In this regard, it is for the court, as the upper guardian of minors, to have recourse to any source of information (e.g. the expert’s testimony and the minor’s testimony) in whatever nature to bring about an end to the custody dispute. </w:t>
      </w:r>
      <w:r w:rsidR="00FA4867" w:rsidRPr="00CA0917">
        <w:rPr>
          <w:rFonts w:ascii="Arial" w:hAnsi="Arial" w:cs="Arial"/>
          <w:sz w:val="24"/>
        </w:rPr>
        <w:t>The respondent submits that in this regard, a mechanical approa</w:t>
      </w:r>
      <w:r w:rsidR="00593639" w:rsidRPr="00CA0917">
        <w:rPr>
          <w:rFonts w:ascii="Arial" w:hAnsi="Arial" w:cs="Arial"/>
          <w:sz w:val="24"/>
        </w:rPr>
        <w:t>ch cannot be implemented on the altar</w:t>
      </w:r>
      <w:r w:rsidR="00FA4867" w:rsidRPr="00CA0917">
        <w:rPr>
          <w:rFonts w:ascii="Arial" w:hAnsi="Arial" w:cs="Arial"/>
          <w:sz w:val="24"/>
        </w:rPr>
        <w:t xml:space="preserve"> of jurisdictional formalism.</w:t>
      </w:r>
      <w:r w:rsidR="00A73021" w:rsidRPr="00CA0917">
        <w:rPr>
          <w:rFonts w:ascii="Arial" w:hAnsi="Arial" w:cs="Arial"/>
          <w:sz w:val="24"/>
        </w:rPr>
        <w:t xml:space="preserve"> </w:t>
      </w:r>
      <w:r w:rsidR="00ED2EBA" w:rsidRPr="00CA0917">
        <w:rPr>
          <w:rFonts w:ascii="Arial" w:hAnsi="Arial" w:cs="Arial"/>
          <w:sz w:val="24"/>
        </w:rPr>
        <w:t xml:space="preserve"> </w:t>
      </w:r>
    </w:p>
    <w:p w:rsidR="00B717D7" w:rsidRPr="00CA0917" w:rsidRDefault="00B717D7" w:rsidP="006F3CCC">
      <w:pPr>
        <w:spacing w:line="360" w:lineRule="auto"/>
        <w:jc w:val="both"/>
        <w:rPr>
          <w:rFonts w:ascii="Arial" w:hAnsi="Arial" w:cs="Arial"/>
          <w:i/>
          <w:sz w:val="24"/>
        </w:rPr>
      </w:pPr>
    </w:p>
    <w:p w:rsidR="00B1573F" w:rsidRPr="00CA0917" w:rsidRDefault="00B1573F" w:rsidP="006F3CCC">
      <w:pPr>
        <w:spacing w:line="360" w:lineRule="auto"/>
        <w:jc w:val="both"/>
        <w:rPr>
          <w:rFonts w:ascii="Arial" w:hAnsi="Arial" w:cs="Arial"/>
          <w:i/>
          <w:sz w:val="24"/>
        </w:rPr>
      </w:pPr>
      <w:r w:rsidRPr="00CA0917">
        <w:rPr>
          <w:rFonts w:ascii="Arial" w:hAnsi="Arial" w:cs="Arial"/>
          <w:i/>
          <w:sz w:val="24"/>
        </w:rPr>
        <w:t>Res judicata:</w:t>
      </w:r>
    </w:p>
    <w:p w:rsidR="00B1573F" w:rsidRPr="00C52E42" w:rsidRDefault="00B1573F" w:rsidP="00C52E42">
      <w:pPr>
        <w:pStyle w:val="NormalWeb"/>
        <w:spacing w:before="0" w:beforeAutospacing="0" w:after="180" w:afterAutospacing="0" w:line="360" w:lineRule="auto"/>
        <w:jc w:val="both"/>
        <w:rPr>
          <w:rFonts w:ascii="Arial" w:hAnsi="Arial" w:cs="Arial"/>
        </w:rPr>
      </w:pPr>
      <w:r w:rsidRPr="00C52E42">
        <w:rPr>
          <w:rFonts w:ascii="Arial" w:hAnsi="Arial" w:cs="Arial"/>
        </w:rPr>
        <w:t>[</w:t>
      </w:r>
      <w:r w:rsidR="006F3CCC" w:rsidRPr="00C52E42">
        <w:rPr>
          <w:rFonts w:ascii="Arial" w:hAnsi="Arial" w:cs="Arial"/>
        </w:rPr>
        <w:t>28</w:t>
      </w:r>
      <w:r w:rsidRPr="00C52E42">
        <w:rPr>
          <w:rFonts w:ascii="Arial" w:hAnsi="Arial" w:cs="Arial"/>
        </w:rPr>
        <w:t>]</w:t>
      </w:r>
      <w:r w:rsidRPr="00C52E42">
        <w:rPr>
          <w:rFonts w:ascii="Arial" w:hAnsi="Arial" w:cs="Arial"/>
        </w:rPr>
        <w:tab/>
      </w:r>
      <w:r w:rsidRPr="00C52E42">
        <w:rPr>
          <w:rFonts w:ascii="Arial" w:hAnsi="Arial" w:cs="Arial"/>
          <w:i/>
        </w:rPr>
        <w:t>Res judicata</w:t>
      </w:r>
      <w:r w:rsidRPr="00C52E42">
        <w:rPr>
          <w:rFonts w:ascii="Arial" w:hAnsi="Arial" w:cs="Arial"/>
        </w:rPr>
        <w:t xml:space="preserve"> is a Latin te</w:t>
      </w:r>
      <w:r w:rsidR="00A47268" w:rsidRPr="00C52E42">
        <w:rPr>
          <w:rFonts w:ascii="Arial" w:hAnsi="Arial" w:cs="Arial"/>
        </w:rPr>
        <w:t>rm meaning “a thing adjudicated</w:t>
      </w:r>
      <w:r w:rsidRPr="00C52E42">
        <w:rPr>
          <w:rFonts w:ascii="Arial" w:hAnsi="Arial" w:cs="Arial"/>
        </w:rPr>
        <w:t>”</w:t>
      </w:r>
      <w:r w:rsidR="00A47268" w:rsidRPr="00C52E42">
        <w:rPr>
          <w:rFonts w:ascii="Arial" w:hAnsi="Arial" w:cs="Arial"/>
        </w:rPr>
        <w:t>.</w:t>
      </w:r>
      <w:r w:rsidRPr="00C52E42">
        <w:rPr>
          <w:rFonts w:ascii="Arial" w:hAnsi="Arial" w:cs="Arial"/>
        </w:rPr>
        <w:t xml:space="preserve"> This refers to an issue that has been definitely settled by judicial decision. This bars the same parties from </w:t>
      </w:r>
      <w:r w:rsidRPr="00C52E42">
        <w:rPr>
          <w:rFonts w:ascii="Arial" w:hAnsi="Arial" w:cs="Arial"/>
        </w:rPr>
        <w:lastRenderedPageBreak/>
        <w:t>litigating a second lawsuit on the same claim or any other claim arising from the same transaction that could have been but was not raised in the first suit.</w:t>
      </w:r>
    </w:p>
    <w:p w:rsidR="00B1573F" w:rsidRPr="00C52E42" w:rsidRDefault="00E5663F" w:rsidP="00C52E42">
      <w:pPr>
        <w:pStyle w:val="NormalWeb"/>
        <w:spacing w:before="0" w:beforeAutospacing="0" w:after="180" w:afterAutospacing="0" w:line="360" w:lineRule="auto"/>
        <w:jc w:val="both"/>
        <w:rPr>
          <w:rFonts w:ascii="Arial" w:hAnsi="Arial" w:cs="Arial"/>
        </w:rPr>
      </w:pPr>
      <w:r w:rsidRPr="00C52E42">
        <w:rPr>
          <w:rFonts w:ascii="Arial" w:hAnsi="Arial" w:cs="Arial"/>
        </w:rPr>
        <w:t>[</w:t>
      </w:r>
      <w:r w:rsidR="006F3CCC" w:rsidRPr="00C52E42">
        <w:rPr>
          <w:rFonts w:ascii="Arial" w:hAnsi="Arial" w:cs="Arial"/>
        </w:rPr>
        <w:t>29</w:t>
      </w:r>
      <w:r w:rsidRPr="00C52E42">
        <w:rPr>
          <w:rFonts w:ascii="Arial" w:hAnsi="Arial" w:cs="Arial"/>
        </w:rPr>
        <w:t>]</w:t>
      </w:r>
      <w:r w:rsidRPr="00C52E42">
        <w:rPr>
          <w:rFonts w:ascii="Arial" w:hAnsi="Arial" w:cs="Arial"/>
        </w:rPr>
        <w:tab/>
      </w:r>
      <w:r w:rsidR="00B1573F" w:rsidRPr="00C52E42">
        <w:rPr>
          <w:rFonts w:ascii="Arial" w:hAnsi="Arial" w:cs="Arial"/>
        </w:rPr>
        <w:t xml:space="preserve">The essential elements for </w:t>
      </w:r>
      <w:r w:rsidR="00B1573F" w:rsidRPr="00C52E42">
        <w:rPr>
          <w:rFonts w:ascii="Arial" w:hAnsi="Arial" w:cs="Arial"/>
          <w:i/>
        </w:rPr>
        <w:t>res judicata</w:t>
      </w:r>
      <w:r w:rsidR="00F30982" w:rsidRPr="00C52E42">
        <w:rPr>
          <w:rFonts w:ascii="Arial" w:hAnsi="Arial" w:cs="Arial"/>
        </w:rPr>
        <w:t xml:space="preserve"> are threefold, namely that the previous judgment was given in an action or application by a competent court</w:t>
      </w:r>
      <w:r w:rsidR="00A47268" w:rsidRPr="00C52E42">
        <w:rPr>
          <w:rFonts w:ascii="Arial" w:hAnsi="Arial" w:cs="Arial"/>
        </w:rPr>
        <w:t>:</w:t>
      </w:r>
      <w:r w:rsidR="00F30982" w:rsidRPr="00C52E42">
        <w:rPr>
          <w:rStyle w:val="FootnoteReference"/>
          <w:rFonts w:ascii="Arial" w:hAnsi="Arial" w:cs="Arial"/>
        </w:rPr>
        <w:footnoteReference w:id="3"/>
      </w:r>
    </w:p>
    <w:p w:rsidR="00B1573F" w:rsidRPr="00C52E42" w:rsidRDefault="00B1573F" w:rsidP="00C52E42">
      <w:pPr>
        <w:pStyle w:val="NormalWeb"/>
        <w:spacing w:before="0" w:beforeAutospacing="0" w:after="180" w:afterAutospacing="0" w:line="360" w:lineRule="auto"/>
        <w:ind w:firstLine="720"/>
        <w:jc w:val="both"/>
        <w:rPr>
          <w:rFonts w:ascii="Arial" w:hAnsi="Arial" w:cs="Arial"/>
        </w:rPr>
      </w:pPr>
      <w:r w:rsidRPr="00C52E42">
        <w:rPr>
          <w:rFonts w:ascii="Arial" w:hAnsi="Arial" w:cs="Arial"/>
        </w:rPr>
        <w:t xml:space="preserve">1.) </w:t>
      </w:r>
      <w:r w:rsidR="00F30982" w:rsidRPr="00C52E42">
        <w:rPr>
          <w:rFonts w:ascii="Arial" w:hAnsi="Arial" w:cs="Arial"/>
        </w:rPr>
        <w:t>between the same parties,</w:t>
      </w:r>
    </w:p>
    <w:p w:rsidR="00B1573F" w:rsidRPr="00C52E42" w:rsidRDefault="00B1573F" w:rsidP="00C52E42">
      <w:pPr>
        <w:pStyle w:val="NormalWeb"/>
        <w:spacing w:before="0" w:beforeAutospacing="0" w:after="180" w:afterAutospacing="0" w:line="360" w:lineRule="auto"/>
        <w:ind w:firstLine="720"/>
        <w:jc w:val="both"/>
        <w:rPr>
          <w:rFonts w:ascii="Arial" w:hAnsi="Arial" w:cs="Arial"/>
        </w:rPr>
      </w:pPr>
      <w:r w:rsidRPr="00C52E42">
        <w:rPr>
          <w:rFonts w:ascii="Arial" w:hAnsi="Arial" w:cs="Arial"/>
        </w:rPr>
        <w:t xml:space="preserve">2.) </w:t>
      </w:r>
      <w:r w:rsidR="00F30982" w:rsidRPr="00C52E42">
        <w:rPr>
          <w:rFonts w:ascii="Arial" w:hAnsi="Arial" w:cs="Arial"/>
        </w:rPr>
        <w:t>based on the same cause of action (</w:t>
      </w:r>
      <w:r w:rsidR="00F30982" w:rsidRPr="00C52E42">
        <w:rPr>
          <w:rFonts w:ascii="Arial" w:hAnsi="Arial" w:cs="Arial"/>
          <w:i/>
        </w:rPr>
        <w:t>ex eadem petendi causa</w:t>
      </w:r>
      <w:r w:rsidR="00F30982" w:rsidRPr="00C52E42">
        <w:rPr>
          <w:rFonts w:ascii="Arial" w:hAnsi="Arial" w:cs="Arial"/>
        </w:rPr>
        <w:t>),</w:t>
      </w:r>
      <w:r w:rsidRPr="00C52E42">
        <w:rPr>
          <w:rFonts w:ascii="Arial" w:hAnsi="Arial" w:cs="Arial"/>
        </w:rPr>
        <w:t xml:space="preserve"> and</w:t>
      </w:r>
    </w:p>
    <w:p w:rsidR="007D1E85" w:rsidRPr="00C52E42" w:rsidRDefault="00B1573F" w:rsidP="00C52E42">
      <w:pPr>
        <w:spacing w:after="180" w:line="360" w:lineRule="auto"/>
        <w:ind w:firstLine="720"/>
        <w:jc w:val="both"/>
        <w:rPr>
          <w:rFonts w:ascii="Arial" w:hAnsi="Arial" w:cs="Arial"/>
        </w:rPr>
      </w:pPr>
      <w:r w:rsidRPr="00C52E42">
        <w:rPr>
          <w:rFonts w:ascii="Arial" w:hAnsi="Arial" w:cs="Arial"/>
        </w:rPr>
        <w:t xml:space="preserve">3.) </w:t>
      </w:r>
      <w:r w:rsidR="00F30982" w:rsidRPr="00C52E42">
        <w:rPr>
          <w:rFonts w:ascii="Arial" w:eastAsia="Times New Roman" w:hAnsi="Arial" w:cs="Arial"/>
          <w:sz w:val="24"/>
          <w:szCs w:val="24"/>
        </w:rPr>
        <w:t>with respect to the same subject-matter, or thing (</w:t>
      </w:r>
      <w:r w:rsidR="00F30982" w:rsidRPr="00C52E42">
        <w:rPr>
          <w:rFonts w:ascii="Arial" w:eastAsia="Times New Roman" w:hAnsi="Arial" w:cs="Arial"/>
          <w:i/>
          <w:sz w:val="24"/>
          <w:szCs w:val="24"/>
        </w:rPr>
        <w:t>de eadem re</w:t>
      </w:r>
      <w:r w:rsidR="00F30982" w:rsidRPr="00C52E42">
        <w:rPr>
          <w:rFonts w:ascii="Arial" w:eastAsia="Times New Roman" w:hAnsi="Arial" w:cs="Arial"/>
          <w:sz w:val="24"/>
          <w:szCs w:val="24"/>
        </w:rPr>
        <w:t>).</w:t>
      </w:r>
      <w:r w:rsidR="00F30982" w:rsidRPr="00C52E42">
        <w:rPr>
          <w:rFonts w:ascii="Arial" w:hAnsi="Arial" w:cs="Arial"/>
        </w:rPr>
        <w:t xml:space="preserve"> </w:t>
      </w:r>
    </w:p>
    <w:p w:rsidR="007D1E85" w:rsidRPr="00CA0917" w:rsidRDefault="007D1E85" w:rsidP="00C52E42">
      <w:pPr>
        <w:spacing w:after="180" w:line="360" w:lineRule="auto"/>
        <w:jc w:val="both"/>
        <w:rPr>
          <w:rFonts w:ascii="Arial" w:eastAsia="Times New Roman" w:hAnsi="Arial" w:cs="Arial"/>
          <w:sz w:val="24"/>
          <w:szCs w:val="24"/>
        </w:rPr>
      </w:pPr>
      <w:r w:rsidRPr="00C52E42">
        <w:rPr>
          <w:rFonts w:ascii="Arial" w:eastAsia="Times New Roman" w:hAnsi="Arial" w:cs="Arial"/>
          <w:sz w:val="24"/>
          <w:szCs w:val="24"/>
        </w:rPr>
        <w:t xml:space="preserve">Requirements (2) and (3) are not immutable requirements of </w:t>
      </w:r>
      <w:r w:rsidRPr="00C52E42">
        <w:rPr>
          <w:rFonts w:ascii="Arial" w:eastAsia="Times New Roman" w:hAnsi="Arial" w:cs="Arial"/>
          <w:i/>
          <w:sz w:val="24"/>
          <w:szCs w:val="24"/>
        </w:rPr>
        <w:t>res judicata</w:t>
      </w:r>
      <w:r w:rsidRPr="00C52E42">
        <w:rPr>
          <w:rFonts w:ascii="Arial" w:eastAsia="Times New Roman" w:hAnsi="Arial" w:cs="Arial"/>
          <w:sz w:val="24"/>
          <w:szCs w:val="24"/>
        </w:rPr>
        <w:t>. The subject-matter claimed in the two relevant actions does not necessarily and in all circumstances have to be the same.</w:t>
      </w:r>
    </w:p>
    <w:p w:rsidR="00E50657" w:rsidRPr="00CA0917" w:rsidRDefault="007D1E85" w:rsidP="006F3CCC">
      <w:pPr>
        <w:spacing w:line="360" w:lineRule="auto"/>
        <w:jc w:val="both"/>
        <w:rPr>
          <w:rFonts w:ascii="Arial" w:hAnsi="Arial" w:cs="Arial"/>
          <w:sz w:val="24"/>
          <w:szCs w:val="24"/>
        </w:rPr>
      </w:pPr>
      <w:r w:rsidRPr="00CA0917">
        <w:rPr>
          <w:rFonts w:ascii="Arial" w:hAnsi="Arial" w:cs="Arial"/>
        </w:rPr>
        <w:t>[</w:t>
      </w:r>
      <w:r w:rsidR="006F3CCC" w:rsidRPr="00CA0917">
        <w:rPr>
          <w:rFonts w:ascii="Arial" w:hAnsi="Arial" w:cs="Arial"/>
        </w:rPr>
        <w:t>30</w:t>
      </w:r>
      <w:r w:rsidRPr="00CA0917">
        <w:rPr>
          <w:rFonts w:ascii="Arial" w:hAnsi="Arial" w:cs="Arial"/>
        </w:rPr>
        <w:t>]</w:t>
      </w:r>
      <w:r w:rsidRPr="00CA0917">
        <w:rPr>
          <w:rFonts w:ascii="Arial" w:hAnsi="Arial" w:cs="Arial"/>
        </w:rPr>
        <w:tab/>
      </w:r>
      <w:r w:rsidR="00E50657" w:rsidRPr="00CA0917">
        <w:rPr>
          <w:rFonts w:ascii="Arial" w:hAnsi="Arial" w:cs="Arial"/>
          <w:sz w:val="24"/>
          <w:szCs w:val="24"/>
        </w:rPr>
        <w:t>The argument advance</w:t>
      </w:r>
      <w:r w:rsidR="000960DA" w:rsidRPr="00CA0917">
        <w:rPr>
          <w:rFonts w:ascii="Arial" w:hAnsi="Arial" w:cs="Arial"/>
          <w:sz w:val="24"/>
          <w:szCs w:val="24"/>
        </w:rPr>
        <w:t xml:space="preserve">d is that the settlement agreement as reached between the parties, being a compromise (transaction) has the effect of </w:t>
      </w:r>
      <w:r w:rsidR="000960DA" w:rsidRPr="00CA0917">
        <w:rPr>
          <w:rFonts w:ascii="Arial" w:hAnsi="Arial" w:cs="Arial"/>
          <w:i/>
          <w:sz w:val="24"/>
          <w:szCs w:val="24"/>
        </w:rPr>
        <w:t>res judicata</w:t>
      </w:r>
      <w:r w:rsidR="000960DA" w:rsidRPr="00CA0917">
        <w:rPr>
          <w:rFonts w:ascii="Arial" w:hAnsi="Arial" w:cs="Arial"/>
          <w:sz w:val="24"/>
          <w:szCs w:val="24"/>
        </w:rPr>
        <w:t>.</w:t>
      </w:r>
    </w:p>
    <w:p w:rsidR="000960DA" w:rsidRPr="00CA0917" w:rsidRDefault="000960DA"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31</w:t>
      </w:r>
      <w:r w:rsidRPr="00CA0917">
        <w:rPr>
          <w:rFonts w:ascii="Arial" w:hAnsi="Arial" w:cs="Arial"/>
          <w:sz w:val="24"/>
          <w:szCs w:val="24"/>
        </w:rPr>
        <w:t>]</w:t>
      </w:r>
      <w:r w:rsidRPr="00CA0917">
        <w:rPr>
          <w:rFonts w:ascii="Arial" w:hAnsi="Arial" w:cs="Arial"/>
          <w:sz w:val="24"/>
          <w:szCs w:val="24"/>
        </w:rPr>
        <w:tab/>
        <w:t xml:space="preserve">The question that this court must consider is the impact of </w:t>
      </w:r>
      <w:r w:rsidRPr="00CA0917">
        <w:rPr>
          <w:rFonts w:ascii="Arial" w:hAnsi="Arial" w:cs="Arial"/>
          <w:i/>
          <w:sz w:val="24"/>
          <w:szCs w:val="24"/>
        </w:rPr>
        <w:t>res judicata</w:t>
      </w:r>
      <w:r w:rsidRPr="00CA0917">
        <w:rPr>
          <w:rFonts w:ascii="Arial" w:hAnsi="Arial" w:cs="Arial"/>
          <w:sz w:val="24"/>
          <w:szCs w:val="24"/>
        </w:rPr>
        <w:t xml:space="preserve"> in Family law and if it may be perceived differently than in other areas of law.</w:t>
      </w:r>
    </w:p>
    <w:p w:rsidR="00E50657" w:rsidRPr="00CA0917" w:rsidRDefault="000960DA"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32</w:t>
      </w:r>
      <w:r w:rsidRPr="00CA0917">
        <w:rPr>
          <w:rFonts w:ascii="Arial" w:hAnsi="Arial" w:cs="Arial"/>
          <w:sz w:val="24"/>
          <w:szCs w:val="24"/>
        </w:rPr>
        <w:t>]</w:t>
      </w:r>
      <w:r w:rsidRPr="00CA0917">
        <w:rPr>
          <w:rFonts w:ascii="Arial" w:hAnsi="Arial" w:cs="Arial"/>
          <w:sz w:val="24"/>
          <w:szCs w:val="24"/>
        </w:rPr>
        <w:tab/>
      </w:r>
      <w:r w:rsidR="00E50657" w:rsidRPr="00CA0917">
        <w:rPr>
          <w:rFonts w:ascii="Arial" w:hAnsi="Arial" w:cs="Arial"/>
          <w:sz w:val="24"/>
          <w:szCs w:val="24"/>
        </w:rPr>
        <w:t xml:space="preserve">In the matter of </w:t>
      </w:r>
      <w:r w:rsidR="00E50657" w:rsidRPr="00CA0917">
        <w:rPr>
          <w:rFonts w:ascii="Arial" w:hAnsi="Arial" w:cs="Arial"/>
          <w:i/>
          <w:sz w:val="24"/>
          <w:szCs w:val="24"/>
        </w:rPr>
        <w:t>Di Bona v Di Bona and Another</w:t>
      </w:r>
      <w:r w:rsidR="00E50657" w:rsidRPr="00CA0917">
        <w:rPr>
          <w:rStyle w:val="FootnoteReference"/>
          <w:rFonts w:ascii="Arial" w:hAnsi="Arial" w:cs="Arial"/>
          <w:i/>
          <w:sz w:val="24"/>
          <w:szCs w:val="24"/>
        </w:rPr>
        <w:footnoteReference w:id="4"/>
      </w:r>
      <w:r w:rsidR="00E50657" w:rsidRPr="00CA0917">
        <w:rPr>
          <w:rFonts w:ascii="Arial" w:hAnsi="Arial" w:cs="Arial"/>
          <w:sz w:val="24"/>
          <w:szCs w:val="24"/>
        </w:rPr>
        <w:t xml:space="preserve"> on page 696 of the judgment Rose Innes J said the following: </w:t>
      </w:r>
    </w:p>
    <w:p w:rsidR="00E50657" w:rsidRPr="00CA0917" w:rsidRDefault="00CA0917" w:rsidP="00CA0917">
      <w:pPr>
        <w:spacing w:line="360" w:lineRule="auto"/>
        <w:ind w:left="720" w:firstLine="720"/>
        <w:jc w:val="both"/>
        <w:rPr>
          <w:rFonts w:ascii="Arial" w:hAnsi="Arial" w:cs="Arial"/>
        </w:rPr>
      </w:pPr>
      <w:r w:rsidRPr="00CA0917">
        <w:rPr>
          <w:rFonts w:ascii="Arial" w:hAnsi="Arial" w:cs="Arial"/>
        </w:rPr>
        <w:t>“</w:t>
      </w:r>
      <w:r w:rsidR="00E50657" w:rsidRPr="00CA0917">
        <w:rPr>
          <w:rFonts w:ascii="Arial" w:hAnsi="Arial" w:cs="Arial"/>
        </w:rPr>
        <w:t xml:space="preserve">The refusal of Courts of a country where the children are to enforce custody and access orders made by a foreign Court is based not only upon the propositions aforementioned but also upon other legal grounds. Both South Africa and in England, a foreign order of Court may be enforced  only if it is a final and conclusive judgment or order, that is to say, if the judgment is regarded by the Court which made it as </w:t>
      </w:r>
      <w:r w:rsidR="00E50657" w:rsidRPr="00CA0917">
        <w:rPr>
          <w:rFonts w:ascii="Arial" w:hAnsi="Arial" w:cs="Arial"/>
          <w:i/>
        </w:rPr>
        <w:t>res iudicata</w:t>
      </w:r>
      <w:r w:rsidR="00E50657" w:rsidRPr="00CA0917">
        <w:rPr>
          <w:rFonts w:ascii="Arial" w:hAnsi="Arial" w:cs="Arial"/>
        </w:rPr>
        <w:t xml:space="preserve">. A judgment which is variable by the Court which pronounced it is not a final order and will never be enforced by the Courts of any other country. (See Dicey and Morris (op cit at 428).) </w:t>
      </w:r>
      <w:r w:rsidR="00E50657" w:rsidRPr="00CA0917">
        <w:rPr>
          <w:rFonts w:ascii="Arial" w:hAnsi="Arial" w:cs="Arial"/>
          <w:u w:val="single"/>
        </w:rPr>
        <w:t>An order for the custody of, or access to, children is par excellence a variable and not a final order, and will not be enforced per se in England if granted in this country</w:t>
      </w:r>
      <w:r w:rsidR="00E50657" w:rsidRPr="00CA0917">
        <w:rPr>
          <w:rFonts w:ascii="Arial" w:hAnsi="Arial" w:cs="Arial"/>
        </w:rPr>
        <w:t>. (my underlining)</w:t>
      </w:r>
      <w:r w:rsidRPr="00CA0917">
        <w:rPr>
          <w:rFonts w:ascii="Arial" w:hAnsi="Arial" w:cs="Arial"/>
        </w:rPr>
        <w:t>”</w:t>
      </w:r>
    </w:p>
    <w:p w:rsidR="00D62392" w:rsidRPr="00CA0917" w:rsidRDefault="00E50657" w:rsidP="006F3CCC">
      <w:pPr>
        <w:spacing w:line="360" w:lineRule="auto"/>
        <w:jc w:val="both"/>
        <w:rPr>
          <w:rFonts w:ascii="Arial" w:hAnsi="Arial" w:cs="Arial"/>
          <w:sz w:val="24"/>
          <w:szCs w:val="24"/>
        </w:rPr>
      </w:pPr>
      <w:r w:rsidRPr="00CA0917">
        <w:rPr>
          <w:rFonts w:ascii="Arial" w:hAnsi="Arial" w:cs="Arial"/>
          <w:sz w:val="24"/>
          <w:szCs w:val="24"/>
        </w:rPr>
        <w:lastRenderedPageBreak/>
        <w:t>[</w:t>
      </w:r>
      <w:r w:rsidR="006F3CCC" w:rsidRPr="00CA0917">
        <w:rPr>
          <w:rFonts w:ascii="Arial" w:hAnsi="Arial" w:cs="Arial"/>
          <w:sz w:val="24"/>
          <w:szCs w:val="24"/>
        </w:rPr>
        <w:t>33</w:t>
      </w:r>
      <w:r w:rsidRPr="00CA0917">
        <w:rPr>
          <w:rFonts w:ascii="Arial" w:hAnsi="Arial" w:cs="Arial"/>
          <w:sz w:val="24"/>
          <w:szCs w:val="24"/>
        </w:rPr>
        <w:t>]</w:t>
      </w:r>
      <w:r w:rsidRPr="00CA0917">
        <w:rPr>
          <w:rFonts w:ascii="Arial" w:hAnsi="Arial" w:cs="Arial"/>
          <w:sz w:val="24"/>
          <w:szCs w:val="24"/>
        </w:rPr>
        <w:tab/>
      </w:r>
      <w:r w:rsidR="005B5169" w:rsidRPr="00CA0917">
        <w:rPr>
          <w:rFonts w:ascii="Arial" w:hAnsi="Arial" w:cs="Arial"/>
          <w:sz w:val="24"/>
          <w:szCs w:val="24"/>
        </w:rPr>
        <w:t>This specific issue</w:t>
      </w:r>
      <w:r w:rsidR="000960DA" w:rsidRPr="00CA0917">
        <w:rPr>
          <w:rFonts w:ascii="Arial" w:hAnsi="Arial" w:cs="Arial"/>
          <w:sz w:val="24"/>
          <w:szCs w:val="24"/>
        </w:rPr>
        <w:t xml:space="preserve"> of </w:t>
      </w:r>
      <w:r w:rsidR="000960DA" w:rsidRPr="00CA0917">
        <w:rPr>
          <w:rFonts w:ascii="Arial" w:hAnsi="Arial" w:cs="Arial"/>
          <w:i/>
          <w:sz w:val="24"/>
          <w:szCs w:val="24"/>
        </w:rPr>
        <w:t>res judicata</w:t>
      </w:r>
      <w:r w:rsidR="005B5169" w:rsidRPr="00CA0917">
        <w:rPr>
          <w:rFonts w:ascii="Arial" w:hAnsi="Arial" w:cs="Arial"/>
          <w:i/>
          <w:sz w:val="24"/>
          <w:szCs w:val="24"/>
        </w:rPr>
        <w:t xml:space="preserve"> </w:t>
      </w:r>
      <w:r w:rsidR="005B5169" w:rsidRPr="00CA0917">
        <w:rPr>
          <w:rFonts w:ascii="Arial" w:hAnsi="Arial" w:cs="Arial"/>
          <w:sz w:val="24"/>
          <w:szCs w:val="24"/>
        </w:rPr>
        <w:t xml:space="preserve">was discussed in the matter </w:t>
      </w:r>
      <w:r w:rsidR="005B5169" w:rsidRPr="00CA0917">
        <w:rPr>
          <w:rFonts w:ascii="Arial" w:hAnsi="Arial" w:cs="Arial"/>
          <w:i/>
          <w:sz w:val="24"/>
          <w:szCs w:val="24"/>
        </w:rPr>
        <w:t>PL v YL</w:t>
      </w:r>
      <w:r w:rsidR="00A47268" w:rsidRPr="00CA0917">
        <w:rPr>
          <w:rFonts w:ascii="Arial" w:hAnsi="Arial" w:cs="Arial"/>
          <w:i/>
          <w:sz w:val="24"/>
          <w:szCs w:val="24"/>
        </w:rPr>
        <w:t>.</w:t>
      </w:r>
      <w:r w:rsidR="000960DA" w:rsidRPr="00CA0917">
        <w:rPr>
          <w:rStyle w:val="FootnoteReference"/>
          <w:rFonts w:ascii="Arial" w:hAnsi="Arial" w:cs="Arial"/>
          <w:i/>
          <w:sz w:val="24"/>
          <w:szCs w:val="24"/>
        </w:rPr>
        <w:footnoteReference w:id="5"/>
      </w:r>
      <w:r w:rsidR="005B5169" w:rsidRPr="00CA0917">
        <w:rPr>
          <w:rFonts w:ascii="Arial" w:hAnsi="Arial" w:cs="Arial"/>
          <w:sz w:val="24"/>
          <w:szCs w:val="24"/>
        </w:rPr>
        <w:t xml:space="preserve"> During the course of the aforementioned judgment the court considered the judgment of </w:t>
      </w:r>
      <w:r w:rsidR="005B5169" w:rsidRPr="00CA0917">
        <w:rPr>
          <w:rFonts w:ascii="Arial" w:hAnsi="Arial" w:cs="Arial"/>
          <w:i/>
          <w:sz w:val="24"/>
          <w:szCs w:val="24"/>
        </w:rPr>
        <w:t>Thutha v Thutha</w:t>
      </w:r>
      <w:r w:rsidR="00D62392" w:rsidRPr="00CA0917">
        <w:rPr>
          <w:rStyle w:val="FootnoteReference"/>
          <w:rFonts w:ascii="Arial" w:hAnsi="Arial" w:cs="Arial"/>
          <w:sz w:val="24"/>
          <w:szCs w:val="24"/>
        </w:rPr>
        <w:footnoteReference w:id="6"/>
      </w:r>
      <w:r w:rsidR="005B5169" w:rsidRPr="00CA0917">
        <w:rPr>
          <w:rFonts w:ascii="Arial" w:hAnsi="Arial" w:cs="Arial"/>
          <w:sz w:val="24"/>
          <w:szCs w:val="24"/>
        </w:rPr>
        <w:t xml:space="preserve"> and the issues raised therein</w:t>
      </w:r>
      <w:r w:rsidR="00D62392" w:rsidRPr="00CA0917">
        <w:rPr>
          <w:rFonts w:ascii="Arial" w:hAnsi="Arial" w:cs="Arial"/>
          <w:sz w:val="24"/>
          <w:szCs w:val="24"/>
        </w:rPr>
        <w:t>.</w:t>
      </w:r>
      <w:r w:rsidR="00B717D7" w:rsidRPr="00CA0917">
        <w:rPr>
          <w:rFonts w:ascii="Arial" w:hAnsi="Arial" w:cs="Arial"/>
          <w:sz w:val="24"/>
          <w:szCs w:val="24"/>
        </w:rPr>
        <w:t xml:space="preserve"> </w:t>
      </w:r>
    </w:p>
    <w:p w:rsidR="007D1E85" w:rsidRPr="00CA0917" w:rsidRDefault="00D62392" w:rsidP="006F3CCC">
      <w:pPr>
        <w:spacing w:line="360" w:lineRule="auto"/>
        <w:jc w:val="both"/>
        <w:rPr>
          <w:rFonts w:ascii="Arial" w:hAnsi="Arial" w:cs="Arial"/>
          <w:sz w:val="24"/>
          <w:szCs w:val="24"/>
        </w:rPr>
      </w:pPr>
      <w:r w:rsidRPr="00CA0917">
        <w:rPr>
          <w:rFonts w:ascii="Arial" w:hAnsi="Arial" w:cs="Arial"/>
        </w:rPr>
        <w:t>[</w:t>
      </w:r>
      <w:r w:rsidR="006F3CCC" w:rsidRPr="00CA0917">
        <w:rPr>
          <w:rFonts w:ascii="Arial" w:hAnsi="Arial" w:cs="Arial"/>
        </w:rPr>
        <w:t>34</w:t>
      </w:r>
      <w:r w:rsidRPr="00CA0917">
        <w:rPr>
          <w:rFonts w:ascii="Arial" w:hAnsi="Arial" w:cs="Arial"/>
        </w:rPr>
        <w:t>]</w:t>
      </w:r>
      <w:r w:rsidR="005B5169" w:rsidRPr="00CA0917">
        <w:rPr>
          <w:rFonts w:ascii="Arial" w:hAnsi="Arial" w:cs="Arial"/>
        </w:rPr>
        <w:t xml:space="preserve"> </w:t>
      </w:r>
      <w:r w:rsidRPr="00CA0917">
        <w:rPr>
          <w:rFonts w:ascii="Arial" w:hAnsi="Arial" w:cs="Arial"/>
        </w:rPr>
        <w:tab/>
      </w:r>
      <w:r w:rsidR="00595778" w:rsidRPr="00CA0917">
        <w:rPr>
          <w:rFonts w:ascii="Arial" w:hAnsi="Arial" w:cs="Arial"/>
          <w:sz w:val="24"/>
          <w:szCs w:val="24"/>
        </w:rPr>
        <w:t xml:space="preserve">The court in the matter of </w:t>
      </w:r>
      <w:r w:rsidR="00595778" w:rsidRPr="00CA0917">
        <w:rPr>
          <w:rFonts w:ascii="Arial" w:hAnsi="Arial" w:cs="Arial"/>
          <w:i/>
          <w:sz w:val="24"/>
          <w:szCs w:val="24"/>
        </w:rPr>
        <w:t>PL v YL</w:t>
      </w:r>
      <w:r w:rsidR="00595778" w:rsidRPr="00CA0917">
        <w:rPr>
          <w:rFonts w:ascii="Arial" w:hAnsi="Arial" w:cs="Arial"/>
          <w:sz w:val="24"/>
          <w:szCs w:val="24"/>
        </w:rPr>
        <w:t xml:space="preserve"> discussed the judgment of </w:t>
      </w:r>
      <w:r w:rsidR="00595778" w:rsidRPr="00CA0917">
        <w:rPr>
          <w:rFonts w:ascii="Arial" w:hAnsi="Arial" w:cs="Arial"/>
          <w:i/>
          <w:sz w:val="24"/>
          <w:szCs w:val="24"/>
        </w:rPr>
        <w:t xml:space="preserve">Thutha </w:t>
      </w:r>
      <w:r w:rsidR="00595778" w:rsidRPr="00CA0917">
        <w:rPr>
          <w:rFonts w:ascii="Arial" w:hAnsi="Arial" w:cs="Arial"/>
          <w:sz w:val="24"/>
          <w:szCs w:val="24"/>
        </w:rPr>
        <w:t xml:space="preserve">in great detail and the findings in this regard need not be repeated.   </w:t>
      </w:r>
      <w:r w:rsidR="00B44A1A" w:rsidRPr="00CA0917">
        <w:rPr>
          <w:rFonts w:ascii="Arial" w:hAnsi="Arial" w:cs="Arial"/>
          <w:sz w:val="24"/>
          <w:szCs w:val="24"/>
        </w:rPr>
        <w:t>W</w:t>
      </w:r>
      <w:r w:rsidR="00595778" w:rsidRPr="00CA0917">
        <w:rPr>
          <w:rFonts w:ascii="Arial" w:hAnsi="Arial" w:cs="Arial"/>
          <w:sz w:val="24"/>
          <w:szCs w:val="24"/>
        </w:rPr>
        <w:t xml:space="preserve">hat is important for the </w:t>
      </w:r>
      <w:r w:rsidR="00ED3A1D" w:rsidRPr="00CA0917">
        <w:rPr>
          <w:rFonts w:ascii="Arial" w:hAnsi="Arial" w:cs="Arial"/>
          <w:sz w:val="24"/>
          <w:szCs w:val="24"/>
        </w:rPr>
        <w:t xml:space="preserve">purposes of the current </w:t>
      </w:r>
      <w:r w:rsidR="000C2839" w:rsidRPr="00CA0917">
        <w:rPr>
          <w:rFonts w:ascii="Arial" w:hAnsi="Arial" w:cs="Arial"/>
          <w:sz w:val="24"/>
          <w:szCs w:val="24"/>
        </w:rPr>
        <w:t>ru</w:t>
      </w:r>
      <w:r w:rsidR="00ED3A1D" w:rsidRPr="00CA0917">
        <w:rPr>
          <w:rFonts w:ascii="Arial" w:hAnsi="Arial" w:cs="Arial"/>
          <w:sz w:val="24"/>
          <w:szCs w:val="24"/>
        </w:rPr>
        <w:t>ling</w:t>
      </w:r>
      <w:r w:rsidR="00595778" w:rsidRPr="00CA0917">
        <w:rPr>
          <w:rFonts w:ascii="Arial" w:hAnsi="Arial" w:cs="Arial"/>
          <w:sz w:val="24"/>
          <w:szCs w:val="24"/>
        </w:rPr>
        <w:t xml:space="preserve"> is the fact that </w:t>
      </w:r>
      <w:r w:rsidRPr="00CA0917">
        <w:rPr>
          <w:rFonts w:ascii="Arial" w:hAnsi="Arial" w:cs="Arial"/>
          <w:sz w:val="24"/>
          <w:szCs w:val="24"/>
        </w:rPr>
        <w:t>the court specifi</w:t>
      </w:r>
      <w:r w:rsidR="00A47268" w:rsidRPr="00CA0917">
        <w:rPr>
          <w:rFonts w:ascii="Arial" w:hAnsi="Arial" w:cs="Arial"/>
          <w:sz w:val="24"/>
          <w:szCs w:val="24"/>
        </w:rPr>
        <w:t>cally addressed the issue of whether</w:t>
      </w:r>
      <w:r w:rsidRPr="00CA0917">
        <w:rPr>
          <w:rFonts w:ascii="Arial" w:hAnsi="Arial" w:cs="Arial"/>
          <w:sz w:val="24"/>
          <w:szCs w:val="24"/>
        </w:rPr>
        <w:t xml:space="preserve"> the court would become </w:t>
      </w:r>
      <w:r w:rsidRPr="00CA0917">
        <w:rPr>
          <w:rFonts w:ascii="Arial" w:hAnsi="Arial" w:cs="Arial"/>
          <w:i/>
          <w:sz w:val="24"/>
          <w:szCs w:val="24"/>
        </w:rPr>
        <w:t>functus offic</w:t>
      </w:r>
      <w:r w:rsidR="003B3CB1" w:rsidRPr="00CA0917">
        <w:rPr>
          <w:rFonts w:ascii="Arial" w:hAnsi="Arial" w:cs="Arial"/>
          <w:i/>
          <w:sz w:val="24"/>
          <w:szCs w:val="24"/>
        </w:rPr>
        <w:t>io</w:t>
      </w:r>
      <w:r w:rsidRPr="00CA0917">
        <w:rPr>
          <w:rFonts w:ascii="Arial" w:hAnsi="Arial" w:cs="Arial"/>
          <w:sz w:val="24"/>
          <w:szCs w:val="24"/>
        </w:rPr>
        <w:t xml:space="preserve"> in a divorce matter once settlement agreement has been made an order of court </w:t>
      </w:r>
    </w:p>
    <w:p w:rsidR="00380C13" w:rsidRPr="00CA0917" w:rsidRDefault="00380C13"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35</w:t>
      </w:r>
      <w:r w:rsidRPr="00CA0917">
        <w:rPr>
          <w:rFonts w:ascii="Arial" w:hAnsi="Arial" w:cs="Arial"/>
          <w:sz w:val="24"/>
          <w:szCs w:val="24"/>
        </w:rPr>
        <w:t xml:space="preserve">]  </w:t>
      </w:r>
      <w:r w:rsidRPr="00CA0917">
        <w:rPr>
          <w:rFonts w:ascii="Arial" w:hAnsi="Arial" w:cs="Arial"/>
          <w:sz w:val="24"/>
          <w:szCs w:val="24"/>
        </w:rPr>
        <w:tab/>
        <w:t>Van Zyl ADJP state</w:t>
      </w:r>
      <w:r w:rsidR="00FB1DE6" w:rsidRPr="00CA0917">
        <w:rPr>
          <w:rFonts w:ascii="Arial" w:hAnsi="Arial" w:cs="Arial"/>
          <w:sz w:val="24"/>
          <w:szCs w:val="24"/>
        </w:rPr>
        <w:t>d</w:t>
      </w:r>
      <w:r w:rsidRPr="00CA0917">
        <w:rPr>
          <w:rFonts w:ascii="Arial" w:hAnsi="Arial" w:cs="Arial"/>
          <w:sz w:val="24"/>
          <w:szCs w:val="24"/>
        </w:rPr>
        <w:t xml:space="preserve"> the following in this regard on page 53 of the judgment: </w:t>
      </w:r>
    </w:p>
    <w:p w:rsidR="005B5169" w:rsidRPr="00CA0917" w:rsidRDefault="00380C13" w:rsidP="00CA0917">
      <w:pPr>
        <w:pStyle w:val="western"/>
        <w:shd w:val="clear" w:color="auto" w:fill="FFFFFF"/>
        <w:spacing w:before="144" w:beforeAutospacing="0" w:after="202" w:afterAutospacing="0" w:line="360" w:lineRule="auto"/>
        <w:ind w:left="720" w:firstLine="720"/>
        <w:jc w:val="both"/>
        <w:rPr>
          <w:rFonts w:ascii="Arial" w:hAnsi="Arial" w:cs="Arial"/>
          <w:sz w:val="22"/>
          <w:szCs w:val="22"/>
          <w:lang w:val="en-ZA"/>
        </w:rPr>
      </w:pPr>
      <w:r w:rsidRPr="00CA0917">
        <w:rPr>
          <w:rFonts w:ascii="Arial" w:hAnsi="Arial" w:cs="Arial"/>
          <w:sz w:val="27"/>
          <w:szCs w:val="27"/>
          <w:lang w:val="en-ZA"/>
        </w:rPr>
        <w:t>‘</w:t>
      </w:r>
      <w:r w:rsidR="005B5169" w:rsidRPr="00CA0917">
        <w:rPr>
          <w:rFonts w:ascii="Arial" w:hAnsi="Arial" w:cs="Arial"/>
          <w:sz w:val="27"/>
          <w:szCs w:val="27"/>
          <w:lang w:val="en-ZA"/>
        </w:rPr>
        <w:t>[</w:t>
      </w:r>
      <w:r w:rsidR="005B5169" w:rsidRPr="00CA0917">
        <w:rPr>
          <w:rFonts w:ascii="Arial" w:hAnsi="Arial" w:cs="Arial"/>
          <w:sz w:val="22"/>
          <w:szCs w:val="22"/>
          <w:lang w:val="en-ZA"/>
        </w:rPr>
        <w:t>45] With regard to the second question raised, once the court has made a consent judgment it is </w:t>
      </w:r>
      <w:r w:rsidR="005B5169" w:rsidRPr="00CA0917">
        <w:rPr>
          <w:rFonts w:ascii="Arial" w:hAnsi="Arial" w:cs="Arial"/>
          <w:i/>
          <w:iCs/>
          <w:sz w:val="22"/>
          <w:szCs w:val="22"/>
          <w:lang w:val="en-ZA"/>
        </w:rPr>
        <w:t>functus officio</w:t>
      </w:r>
      <w:r w:rsidRPr="00CA0917">
        <w:rPr>
          <w:rStyle w:val="FootnoteReference"/>
          <w:rFonts w:ascii="Arial" w:hAnsi="Arial" w:cs="Arial"/>
          <w:sz w:val="22"/>
          <w:szCs w:val="22"/>
          <w:lang w:val="en-ZA"/>
        </w:rPr>
        <w:footnoteReference w:id="7"/>
      </w:r>
      <w:r w:rsidR="005B5169" w:rsidRPr="00CA0917">
        <w:rPr>
          <w:rFonts w:ascii="Arial" w:hAnsi="Arial" w:cs="Arial"/>
          <w:sz w:val="22"/>
          <w:szCs w:val="22"/>
          <w:lang w:val="en-ZA"/>
        </w:rPr>
        <w:t> and the matter becomes </w:t>
      </w:r>
      <w:r w:rsidR="005B5169" w:rsidRPr="00CA0917">
        <w:rPr>
          <w:rFonts w:ascii="Arial" w:hAnsi="Arial" w:cs="Arial"/>
          <w:i/>
          <w:iCs/>
          <w:sz w:val="22"/>
          <w:szCs w:val="22"/>
          <w:lang w:val="en-ZA"/>
        </w:rPr>
        <w:t>res judicata</w:t>
      </w:r>
      <w:r w:rsidR="005B5169" w:rsidRPr="00CA0917">
        <w:rPr>
          <w:rFonts w:ascii="Arial" w:hAnsi="Arial" w:cs="Arial"/>
          <w:sz w:val="22"/>
          <w:szCs w:val="22"/>
          <w:lang w:val="en-ZA"/>
        </w:rPr>
        <w:t>.</w:t>
      </w:r>
      <w:r w:rsidRPr="00CA0917">
        <w:rPr>
          <w:rStyle w:val="FootnoteReference"/>
          <w:rFonts w:ascii="Arial" w:hAnsi="Arial" w:cs="Arial"/>
          <w:sz w:val="22"/>
          <w:szCs w:val="22"/>
          <w:lang w:val="en-ZA"/>
        </w:rPr>
        <w:footnoteReference w:id="8"/>
      </w:r>
      <w:r w:rsidR="005B5169" w:rsidRPr="00CA0917">
        <w:rPr>
          <w:rFonts w:ascii="Arial" w:hAnsi="Arial" w:cs="Arial"/>
          <w:sz w:val="22"/>
          <w:szCs w:val="22"/>
          <w:lang w:val="en-ZA"/>
        </w:rPr>
        <w:t> This means </w:t>
      </w:r>
      <w:r w:rsidR="005B5169" w:rsidRPr="00CA0917">
        <w:rPr>
          <w:rFonts w:ascii="Arial" w:hAnsi="Arial" w:cs="Arial"/>
          <w:i/>
          <w:iCs/>
          <w:sz w:val="22"/>
          <w:szCs w:val="22"/>
          <w:lang w:val="en-ZA"/>
        </w:rPr>
        <w:t>inter alia</w:t>
      </w:r>
      <w:r w:rsidR="005B5169" w:rsidRPr="00CA0917">
        <w:rPr>
          <w:rFonts w:ascii="Arial" w:hAnsi="Arial" w:cs="Arial"/>
          <w:sz w:val="22"/>
          <w:szCs w:val="22"/>
          <w:lang w:val="en-ZA"/>
        </w:rPr>
        <w:t> that as a general rule the court has no authority to correct, alter or supplement its own order that has been accurately drawn up. Subject to what is said hereinunder, in divorce matters this is in practice effectively only limited to those terms of the order which deal with the proprietary rights of the parties and the payment of maintenance to one of the spouses where there is a non-variation clause. The reason for this is that the general rule is subject to a number of exceptions, in terms of the Divorce Act, the rules of court</w:t>
      </w:r>
      <w:r w:rsidRPr="00CA0917">
        <w:rPr>
          <w:rStyle w:val="FootnoteReference"/>
          <w:rFonts w:ascii="Arial" w:hAnsi="Arial" w:cs="Arial"/>
          <w:sz w:val="22"/>
          <w:szCs w:val="22"/>
          <w:lang w:val="en-ZA"/>
        </w:rPr>
        <w:footnoteReference w:id="9"/>
      </w:r>
      <w:r w:rsidR="005B5169" w:rsidRPr="00CA0917">
        <w:rPr>
          <w:rFonts w:ascii="Arial" w:hAnsi="Arial" w:cs="Arial"/>
          <w:sz w:val="22"/>
          <w:szCs w:val="22"/>
          <w:lang w:val="en-ZA"/>
        </w:rPr>
        <w:t> and at common law.</w:t>
      </w:r>
      <w:r w:rsidRPr="00CA0917">
        <w:rPr>
          <w:rStyle w:val="FootnoteReference"/>
          <w:rFonts w:ascii="Arial" w:hAnsi="Arial" w:cs="Arial"/>
          <w:sz w:val="22"/>
          <w:szCs w:val="22"/>
          <w:lang w:val="en-ZA"/>
        </w:rPr>
        <w:footnoteReference w:id="10"/>
      </w:r>
      <w:r w:rsidR="005B5169" w:rsidRPr="00CA0917">
        <w:rPr>
          <w:rFonts w:ascii="Arial" w:hAnsi="Arial" w:cs="Arial"/>
          <w:sz w:val="22"/>
          <w:szCs w:val="22"/>
          <w:lang w:val="en-ZA"/>
        </w:rPr>
        <w:t xml:space="preserve"> The exceptions in the Divorce Act relate to </w:t>
      </w:r>
      <w:r w:rsidR="005B5169" w:rsidRPr="00CA0917">
        <w:rPr>
          <w:rFonts w:ascii="Arial" w:hAnsi="Arial" w:cs="Arial"/>
          <w:sz w:val="22"/>
          <w:szCs w:val="22"/>
          <w:lang w:val="en-ZA"/>
        </w:rPr>
        <w:lastRenderedPageBreak/>
        <w:t>matters which fall within the exclusive jurisdiction of the court and which that Act requires the court to determine and to grant an order as it may find to be justified. Consequently, orders dealing with the custody, guardianship, or access to and the maintenance of any of the minor children, do not assume the character of final judgments as they are always subject to variation in terms of section 8(1) of the Divorce Act.</w:t>
      </w:r>
      <w:r w:rsidRPr="00CA0917">
        <w:rPr>
          <w:rStyle w:val="FootnoteReference"/>
          <w:rFonts w:ascii="Arial" w:hAnsi="Arial" w:cs="Arial"/>
          <w:sz w:val="22"/>
          <w:szCs w:val="22"/>
          <w:lang w:val="en-ZA"/>
        </w:rPr>
        <w:footnoteReference w:id="11"/>
      </w:r>
      <w:r w:rsidRPr="00CA0917">
        <w:rPr>
          <w:rFonts w:ascii="Arial" w:hAnsi="Arial" w:cs="Arial"/>
          <w:sz w:val="22"/>
          <w:szCs w:val="22"/>
          <w:lang w:val="en-ZA"/>
        </w:rPr>
        <w:t xml:space="preserve"> </w:t>
      </w:r>
    </w:p>
    <w:p w:rsidR="005B5169" w:rsidRPr="00CA0917" w:rsidRDefault="005B5169" w:rsidP="006F3CCC">
      <w:pPr>
        <w:pStyle w:val="western"/>
        <w:shd w:val="clear" w:color="auto" w:fill="FFFFFF"/>
        <w:spacing w:before="144" w:beforeAutospacing="0" w:after="202" w:afterAutospacing="0" w:line="360" w:lineRule="auto"/>
        <w:ind w:left="720"/>
        <w:jc w:val="both"/>
        <w:rPr>
          <w:rFonts w:ascii="Arial" w:hAnsi="Arial" w:cs="Arial"/>
          <w:sz w:val="22"/>
          <w:szCs w:val="22"/>
          <w:lang w:val="en-ZA"/>
        </w:rPr>
      </w:pPr>
      <w:r w:rsidRPr="00CA0917">
        <w:rPr>
          <w:rFonts w:ascii="Arial" w:hAnsi="Arial" w:cs="Arial"/>
          <w:sz w:val="22"/>
          <w:szCs w:val="22"/>
          <w:lang w:val="en-ZA"/>
        </w:rPr>
        <w:t>[46] A further exception to the general rule that an order of court, once pronounced, is final and immutable, is created by section 8(1) of the Divorce Act. As stated, in the absence of non-variation clause in the settlement agreement, it permits the court to rescind, vary or suspend a maintenance order granted earlier</w:t>
      </w:r>
      <w:r w:rsidR="00D62392" w:rsidRPr="00CA0917">
        <w:rPr>
          <w:rFonts w:ascii="Arial" w:hAnsi="Arial" w:cs="Arial"/>
          <w:sz w:val="22"/>
          <w:szCs w:val="22"/>
          <w:lang w:val="en-ZA"/>
        </w:rPr>
        <w:t>…..</w:t>
      </w:r>
    </w:p>
    <w:p w:rsidR="00E5663F" w:rsidRPr="00CA0917" w:rsidRDefault="00E50657" w:rsidP="006F3CCC">
      <w:pPr>
        <w:pStyle w:val="western"/>
        <w:shd w:val="clear" w:color="auto" w:fill="FFFFFF"/>
        <w:spacing w:before="144" w:beforeAutospacing="0" w:after="202" w:afterAutospacing="0" w:line="360" w:lineRule="auto"/>
        <w:ind w:left="720"/>
        <w:jc w:val="both"/>
        <w:rPr>
          <w:rFonts w:ascii="Arial" w:hAnsi="Arial" w:cs="Arial"/>
        </w:rPr>
      </w:pPr>
      <w:r w:rsidRPr="00CA0917">
        <w:rPr>
          <w:rFonts w:ascii="Arial" w:hAnsi="Arial" w:cs="Arial"/>
          <w:sz w:val="22"/>
          <w:szCs w:val="22"/>
          <w:shd w:val="clear" w:color="auto" w:fill="FFFFFF"/>
        </w:rPr>
        <w:t xml:space="preserve">Further on page 55 at D: </w:t>
      </w:r>
      <w:r w:rsidR="00D62392" w:rsidRPr="00CA0917">
        <w:rPr>
          <w:rFonts w:ascii="Arial" w:hAnsi="Arial" w:cs="Arial"/>
          <w:sz w:val="22"/>
          <w:szCs w:val="22"/>
          <w:shd w:val="clear" w:color="auto" w:fill="FFFFFF"/>
        </w:rPr>
        <w:t>Save for the aforegoing, the effect of the consent order is otherwise that it renders the issues between the parties in relation to their proprietary rights and the payment of maintenance to a former spouse, where the agreement includes a non-variation clause, </w:t>
      </w:r>
      <w:r w:rsidR="00D62392" w:rsidRPr="00CA0917">
        <w:rPr>
          <w:rFonts w:ascii="Arial" w:hAnsi="Arial" w:cs="Arial"/>
          <w:i/>
          <w:iCs/>
          <w:sz w:val="22"/>
          <w:szCs w:val="22"/>
          <w:shd w:val="clear" w:color="auto" w:fill="FFFFFF"/>
        </w:rPr>
        <w:t>res judicata,</w:t>
      </w:r>
      <w:r w:rsidR="00D62392" w:rsidRPr="00CA0917">
        <w:rPr>
          <w:rFonts w:ascii="Arial" w:hAnsi="Arial" w:cs="Arial"/>
          <w:sz w:val="22"/>
          <w:szCs w:val="22"/>
          <w:shd w:val="clear" w:color="auto" w:fill="FFFFFF"/>
        </w:rPr>
        <w:t> and thus effectively achieves a “</w:t>
      </w:r>
      <w:r w:rsidR="00D62392" w:rsidRPr="00CA0917">
        <w:rPr>
          <w:rFonts w:ascii="Arial" w:hAnsi="Arial" w:cs="Arial"/>
          <w:b/>
          <w:bCs/>
          <w:sz w:val="22"/>
          <w:szCs w:val="22"/>
          <w:shd w:val="clear" w:color="auto" w:fill="FFFFFF"/>
        </w:rPr>
        <w:t>clean break”</w:t>
      </w:r>
      <w:r w:rsidR="00D62392" w:rsidRPr="00CA0917">
        <w:rPr>
          <w:rFonts w:ascii="Arial" w:hAnsi="Arial" w:cs="Arial"/>
          <w:sz w:val="22"/>
          <w:szCs w:val="22"/>
          <w:shd w:val="clear" w:color="auto" w:fill="FFFFFF"/>
        </w:rPr>
        <w:t> as envisaged by the scheme of the Divorce Act.</w:t>
      </w:r>
      <w:r w:rsidR="00380C13" w:rsidRPr="00CA0917">
        <w:rPr>
          <w:rFonts w:ascii="Arial" w:hAnsi="Arial" w:cs="Arial"/>
          <w:sz w:val="22"/>
          <w:szCs w:val="22"/>
          <w:shd w:val="clear" w:color="auto" w:fill="FFFFFF"/>
        </w:rPr>
        <w:t>’</w:t>
      </w:r>
      <w:r w:rsidRPr="00CA0917">
        <w:t xml:space="preserve"> </w:t>
      </w:r>
    </w:p>
    <w:p w:rsidR="007E0C12" w:rsidRPr="00CA0917" w:rsidRDefault="00E50657" w:rsidP="006F3CCC">
      <w:pPr>
        <w:spacing w:line="360" w:lineRule="auto"/>
        <w:jc w:val="both"/>
        <w:rPr>
          <w:rFonts w:ascii="Arial" w:hAnsi="Arial" w:cs="Arial"/>
          <w:sz w:val="24"/>
        </w:rPr>
      </w:pPr>
      <w:r w:rsidRPr="00CA0917">
        <w:rPr>
          <w:rFonts w:ascii="Arial" w:hAnsi="Arial" w:cs="Arial"/>
        </w:rPr>
        <w:t>[</w:t>
      </w:r>
      <w:r w:rsidR="006F3CCC" w:rsidRPr="00CA0917">
        <w:rPr>
          <w:rFonts w:ascii="Arial" w:hAnsi="Arial" w:cs="Arial"/>
        </w:rPr>
        <w:t>36</w:t>
      </w:r>
      <w:r w:rsidRPr="00CA0917">
        <w:rPr>
          <w:rFonts w:ascii="Arial" w:hAnsi="Arial" w:cs="Arial"/>
        </w:rPr>
        <w:t>]</w:t>
      </w:r>
      <w:r w:rsidRPr="00CA0917">
        <w:rPr>
          <w:rFonts w:ascii="Arial" w:hAnsi="Arial" w:cs="Arial"/>
        </w:rPr>
        <w:tab/>
      </w:r>
      <w:r w:rsidR="000960DA" w:rsidRPr="00CA0917">
        <w:rPr>
          <w:rFonts w:ascii="Arial" w:hAnsi="Arial" w:cs="Arial"/>
          <w:sz w:val="24"/>
          <w:szCs w:val="24"/>
        </w:rPr>
        <w:t xml:space="preserve">From the aforementioned cases it is quite evident that </w:t>
      </w:r>
      <w:r w:rsidR="00AD5CAC" w:rsidRPr="00CA0917">
        <w:rPr>
          <w:rFonts w:ascii="Arial" w:hAnsi="Arial" w:cs="Arial"/>
          <w:sz w:val="24"/>
          <w:szCs w:val="24"/>
        </w:rPr>
        <w:t xml:space="preserve">the portion of the settlement agreement that deals with custody and access is not </w:t>
      </w:r>
      <w:r w:rsidR="00AD5CAC" w:rsidRPr="00CA0917">
        <w:rPr>
          <w:rFonts w:ascii="Arial" w:hAnsi="Arial" w:cs="Arial"/>
          <w:i/>
          <w:sz w:val="24"/>
          <w:szCs w:val="24"/>
        </w:rPr>
        <w:t>res judicata</w:t>
      </w:r>
      <w:r w:rsidR="002A69B5" w:rsidRPr="00CA0917">
        <w:rPr>
          <w:rFonts w:ascii="Arial" w:hAnsi="Arial" w:cs="Arial"/>
          <w:i/>
          <w:sz w:val="24"/>
          <w:szCs w:val="24"/>
        </w:rPr>
        <w:t>.</w:t>
      </w:r>
      <w:r w:rsidR="00AD5CAC" w:rsidRPr="00CA0917">
        <w:rPr>
          <w:rFonts w:ascii="Arial" w:hAnsi="Arial" w:cs="Arial"/>
          <w:sz w:val="24"/>
          <w:szCs w:val="24"/>
        </w:rPr>
        <w:t xml:space="preserve"> </w:t>
      </w:r>
      <w:r w:rsidR="007E0C12" w:rsidRPr="00CA0917">
        <w:rPr>
          <w:rFonts w:ascii="Arial" w:hAnsi="Arial" w:cs="Arial"/>
          <w:sz w:val="24"/>
        </w:rPr>
        <w:t>When it comes to custody orders, these are subject to variation by the court which made it</w:t>
      </w:r>
      <w:r w:rsidR="00FB1DE6" w:rsidRPr="00CA0917">
        <w:rPr>
          <w:rFonts w:ascii="Arial" w:hAnsi="Arial" w:cs="Arial"/>
          <w:sz w:val="24"/>
        </w:rPr>
        <w:t>,</w:t>
      </w:r>
      <w:r w:rsidR="007E0C12" w:rsidRPr="00CA0917">
        <w:rPr>
          <w:rFonts w:ascii="Arial" w:hAnsi="Arial" w:cs="Arial"/>
          <w:sz w:val="24"/>
        </w:rPr>
        <w:t xml:space="preserve"> when new conditions supervene which call for a variation. An agreement, made an order of court, which ordinarily does not create any rights but rather determines the amount of liability of the parents, is no bar to a subsequent variation,</w:t>
      </w:r>
      <w:r w:rsidR="007E0C12" w:rsidRPr="00CA0917">
        <w:rPr>
          <w:rStyle w:val="FootnoteReference"/>
          <w:rFonts w:ascii="Arial" w:hAnsi="Arial" w:cs="Arial"/>
          <w:sz w:val="24"/>
        </w:rPr>
        <w:footnoteReference w:id="12"/>
      </w:r>
      <w:r w:rsidR="007E0C12" w:rsidRPr="00CA0917">
        <w:rPr>
          <w:rFonts w:ascii="Arial" w:hAnsi="Arial" w:cs="Arial"/>
          <w:sz w:val="24"/>
        </w:rPr>
        <w:t xml:space="preserve"> provided there is good cause. The contemplations of the parties to the agreement, as embodied therein, should not be ignored, but due weight must be given to what the interests of the child demands.</w:t>
      </w:r>
      <w:r w:rsidR="007E0C12" w:rsidRPr="00CA0917">
        <w:rPr>
          <w:rStyle w:val="FootnoteReference"/>
          <w:rFonts w:ascii="Arial" w:hAnsi="Arial" w:cs="Arial"/>
          <w:sz w:val="24"/>
        </w:rPr>
        <w:footnoteReference w:id="13"/>
      </w:r>
    </w:p>
    <w:p w:rsidR="00B44A1A" w:rsidRPr="00CA0917" w:rsidRDefault="00B44A1A" w:rsidP="006F3CCC">
      <w:pPr>
        <w:spacing w:line="360" w:lineRule="auto"/>
        <w:jc w:val="both"/>
        <w:rPr>
          <w:rFonts w:ascii="Arial" w:hAnsi="Arial" w:cs="Arial"/>
          <w:i/>
          <w:sz w:val="24"/>
          <w:szCs w:val="24"/>
        </w:rPr>
      </w:pPr>
    </w:p>
    <w:p w:rsidR="00B44A1A" w:rsidRPr="00CA0917" w:rsidRDefault="00CA0917" w:rsidP="006F3CCC">
      <w:pPr>
        <w:spacing w:line="360" w:lineRule="auto"/>
        <w:jc w:val="both"/>
        <w:rPr>
          <w:rFonts w:ascii="Arial" w:hAnsi="Arial" w:cs="Arial"/>
          <w:i/>
          <w:sz w:val="24"/>
          <w:szCs w:val="24"/>
        </w:rPr>
      </w:pPr>
      <w:r w:rsidRPr="00CA0917">
        <w:rPr>
          <w:rFonts w:ascii="Arial" w:hAnsi="Arial" w:cs="Arial"/>
          <w:i/>
          <w:sz w:val="24"/>
          <w:szCs w:val="24"/>
        </w:rPr>
        <w:lastRenderedPageBreak/>
        <w:t>Conclusion</w:t>
      </w:r>
    </w:p>
    <w:p w:rsidR="007E0C12" w:rsidRPr="00CA0917" w:rsidRDefault="002A69B5" w:rsidP="006F3CCC">
      <w:pPr>
        <w:spacing w:line="360" w:lineRule="auto"/>
        <w:jc w:val="both"/>
        <w:rPr>
          <w:rFonts w:ascii="Arial" w:hAnsi="Arial" w:cs="Arial"/>
          <w:sz w:val="24"/>
        </w:rPr>
      </w:pPr>
      <w:r w:rsidRPr="00CA0917">
        <w:rPr>
          <w:rFonts w:ascii="Arial" w:hAnsi="Arial" w:cs="Arial"/>
        </w:rPr>
        <w:t>[</w:t>
      </w:r>
      <w:r w:rsidR="006F3CCC" w:rsidRPr="00CA0917">
        <w:rPr>
          <w:rFonts w:ascii="Arial" w:hAnsi="Arial" w:cs="Arial"/>
        </w:rPr>
        <w:t>37</w:t>
      </w:r>
      <w:r w:rsidRPr="00CA0917">
        <w:rPr>
          <w:rFonts w:ascii="Arial" w:hAnsi="Arial" w:cs="Arial"/>
        </w:rPr>
        <w:t>]</w:t>
      </w:r>
      <w:r w:rsidRPr="00CA0917">
        <w:rPr>
          <w:rFonts w:ascii="Arial" w:hAnsi="Arial" w:cs="Arial"/>
        </w:rPr>
        <w:tab/>
      </w:r>
      <w:r w:rsidR="007E0C12" w:rsidRPr="00CA0917">
        <w:rPr>
          <w:rFonts w:ascii="Arial" w:hAnsi="Arial" w:cs="Arial"/>
          <w:sz w:val="24"/>
        </w:rPr>
        <w:t xml:space="preserve">This court takes the view that when deciding on custody matters, it is not the interests of the parents that must take precedent but those of the minor children. This </w:t>
      </w:r>
      <w:r w:rsidR="0025111A" w:rsidRPr="00CA0917">
        <w:rPr>
          <w:rFonts w:ascii="Arial" w:hAnsi="Arial" w:cs="Arial"/>
          <w:sz w:val="24"/>
        </w:rPr>
        <w:t>is in line with the fact that during</w:t>
      </w:r>
      <w:r w:rsidR="007E0C12" w:rsidRPr="00CA0917">
        <w:rPr>
          <w:rFonts w:ascii="Arial" w:hAnsi="Arial" w:cs="Arial"/>
          <w:sz w:val="24"/>
        </w:rPr>
        <w:t xml:space="preserve"> divo</w:t>
      </w:r>
      <w:r w:rsidR="0025111A" w:rsidRPr="00CA0917">
        <w:rPr>
          <w:rFonts w:ascii="Arial" w:hAnsi="Arial" w:cs="Arial"/>
          <w:sz w:val="24"/>
        </w:rPr>
        <w:t>rce proceedings</w:t>
      </w:r>
      <w:r w:rsidR="007E0C12" w:rsidRPr="00CA0917">
        <w:rPr>
          <w:rFonts w:ascii="Arial" w:hAnsi="Arial" w:cs="Arial"/>
          <w:sz w:val="24"/>
        </w:rPr>
        <w:t>, spouses go through many emotions and frustratio</w:t>
      </w:r>
      <w:r w:rsidR="00FB1DE6" w:rsidRPr="00CA0917">
        <w:rPr>
          <w:rFonts w:ascii="Arial" w:hAnsi="Arial" w:cs="Arial"/>
          <w:sz w:val="24"/>
        </w:rPr>
        <w:t>ns which, more often than not, a</w:t>
      </w:r>
      <w:r w:rsidR="007E0C12" w:rsidRPr="00CA0917">
        <w:rPr>
          <w:rFonts w:ascii="Arial" w:hAnsi="Arial" w:cs="Arial"/>
          <w:sz w:val="24"/>
        </w:rPr>
        <w:t>ffect</w:t>
      </w:r>
      <w:r w:rsidR="00FB1DE6" w:rsidRPr="00CA0917">
        <w:rPr>
          <w:rFonts w:ascii="Arial" w:hAnsi="Arial" w:cs="Arial"/>
          <w:sz w:val="24"/>
        </w:rPr>
        <w:t>s</w:t>
      </w:r>
      <w:r w:rsidR="007E0C12" w:rsidRPr="00CA0917">
        <w:rPr>
          <w:rFonts w:ascii="Arial" w:hAnsi="Arial" w:cs="Arial"/>
          <w:sz w:val="24"/>
        </w:rPr>
        <w:t xml:space="preserve"> children in various unpredictable ways.</w:t>
      </w:r>
    </w:p>
    <w:p w:rsidR="002A69B5" w:rsidRPr="00CA0917" w:rsidRDefault="007E0C12"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38</w:t>
      </w:r>
      <w:r w:rsidRPr="00CA0917">
        <w:rPr>
          <w:rFonts w:ascii="Arial" w:hAnsi="Arial" w:cs="Arial"/>
          <w:sz w:val="24"/>
          <w:szCs w:val="24"/>
        </w:rPr>
        <w:t>]</w:t>
      </w:r>
      <w:r w:rsidRPr="00CA0917">
        <w:rPr>
          <w:rFonts w:ascii="Arial" w:hAnsi="Arial" w:cs="Arial"/>
          <w:sz w:val="24"/>
          <w:szCs w:val="24"/>
        </w:rPr>
        <w:tab/>
      </w:r>
      <w:r w:rsidR="002A69B5" w:rsidRPr="00CA0917">
        <w:rPr>
          <w:rFonts w:ascii="Arial" w:hAnsi="Arial" w:cs="Arial"/>
          <w:sz w:val="24"/>
          <w:szCs w:val="24"/>
        </w:rPr>
        <w:t>Two opposing applications serve before this court and it is necessary, in order to decide the issue</w:t>
      </w:r>
      <w:r w:rsidR="00746E43" w:rsidRPr="00CA0917">
        <w:rPr>
          <w:rFonts w:ascii="Arial" w:hAnsi="Arial" w:cs="Arial"/>
          <w:sz w:val="24"/>
          <w:szCs w:val="24"/>
        </w:rPr>
        <w:t>s</w:t>
      </w:r>
      <w:r w:rsidR="002A69B5" w:rsidRPr="00CA0917">
        <w:rPr>
          <w:rFonts w:ascii="Arial" w:hAnsi="Arial" w:cs="Arial"/>
          <w:sz w:val="24"/>
          <w:szCs w:val="24"/>
        </w:rPr>
        <w:t xml:space="preserve">, to have </w:t>
      </w:r>
      <w:r w:rsidR="002A69B5" w:rsidRPr="00CA0917">
        <w:rPr>
          <w:rFonts w:ascii="Arial" w:hAnsi="Arial" w:cs="Arial"/>
          <w:i/>
          <w:sz w:val="24"/>
          <w:szCs w:val="24"/>
        </w:rPr>
        <w:t>viva voce</w:t>
      </w:r>
      <w:r w:rsidR="002A69B5" w:rsidRPr="00CA0917">
        <w:rPr>
          <w:rFonts w:ascii="Arial" w:hAnsi="Arial" w:cs="Arial"/>
          <w:sz w:val="24"/>
          <w:szCs w:val="24"/>
        </w:rPr>
        <w:t xml:space="preserve"> evidence of the person</w:t>
      </w:r>
      <w:r w:rsidR="00746E43" w:rsidRPr="00CA0917">
        <w:rPr>
          <w:rFonts w:ascii="Arial" w:hAnsi="Arial" w:cs="Arial"/>
          <w:sz w:val="24"/>
          <w:szCs w:val="24"/>
        </w:rPr>
        <w:t>(</w:t>
      </w:r>
      <w:r w:rsidR="002A69B5" w:rsidRPr="00CA0917">
        <w:rPr>
          <w:rFonts w:ascii="Arial" w:hAnsi="Arial" w:cs="Arial"/>
          <w:sz w:val="24"/>
          <w:szCs w:val="24"/>
        </w:rPr>
        <w:t>s</w:t>
      </w:r>
      <w:r w:rsidR="00746E43" w:rsidRPr="00CA0917">
        <w:rPr>
          <w:rFonts w:ascii="Arial" w:hAnsi="Arial" w:cs="Arial"/>
          <w:sz w:val="24"/>
          <w:szCs w:val="24"/>
        </w:rPr>
        <w:t>)</w:t>
      </w:r>
      <w:r w:rsidR="002A69B5" w:rsidRPr="00CA0917">
        <w:rPr>
          <w:rFonts w:ascii="Arial" w:hAnsi="Arial" w:cs="Arial"/>
          <w:sz w:val="24"/>
          <w:szCs w:val="24"/>
        </w:rPr>
        <w:t xml:space="preserve"> who could assist the Court in regard to the welfare of the child. It would only be in this way that the question of the suitability of the homes, character of the parents and their ability to provide for and take care of the child could be properly </w:t>
      </w:r>
      <w:r w:rsidR="00B44A1A" w:rsidRPr="00CA0917">
        <w:rPr>
          <w:rFonts w:ascii="Arial" w:hAnsi="Arial" w:cs="Arial"/>
          <w:sz w:val="24"/>
          <w:szCs w:val="24"/>
        </w:rPr>
        <w:t>assessed.</w:t>
      </w:r>
    </w:p>
    <w:p w:rsidR="002A69B5" w:rsidRPr="00CA0917" w:rsidRDefault="007E0C12" w:rsidP="006F3CCC">
      <w:pPr>
        <w:spacing w:line="360" w:lineRule="auto"/>
        <w:jc w:val="both"/>
        <w:rPr>
          <w:rFonts w:ascii="Arial" w:hAnsi="Arial" w:cs="Arial"/>
          <w:sz w:val="24"/>
          <w:szCs w:val="24"/>
        </w:rPr>
      </w:pPr>
      <w:r w:rsidRPr="00CA0917">
        <w:rPr>
          <w:rFonts w:ascii="Arial" w:hAnsi="Arial" w:cs="Arial"/>
          <w:sz w:val="24"/>
          <w:szCs w:val="24"/>
        </w:rPr>
        <w:t>[</w:t>
      </w:r>
      <w:r w:rsidR="006F3CCC" w:rsidRPr="00CA0917">
        <w:rPr>
          <w:rFonts w:ascii="Arial" w:hAnsi="Arial" w:cs="Arial"/>
          <w:sz w:val="24"/>
          <w:szCs w:val="24"/>
        </w:rPr>
        <w:t>39</w:t>
      </w:r>
      <w:r w:rsidRPr="00CA0917">
        <w:rPr>
          <w:rFonts w:ascii="Arial" w:hAnsi="Arial" w:cs="Arial"/>
          <w:sz w:val="24"/>
          <w:szCs w:val="24"/>
        </w:rPr>
        <w:t>]</w:t>
      </w:r>
      <w:r w:rsidRPr="00CA0917">
        <w:rPr>
          <w:rFonts w:ascii="Arial" w:hAnsi="Arial" w:cs="Arial"/>
          <w:sz w:val="24"/>
          <w:szCs w:val="24"/>
        </w:rPr>
        <w:tab/>
      </w:r>
      <w:r w:rsidR="00746E43" w:rsidRPr="00CA0917">
        <w:rPr>
          <w:rFonts w:ascii="Arial" w:hAnsi="Arial" w:cs="Arial"/>
          <w:sz w:val="24"/>
          <w:szCs w:val="24"/>
        </w:rPr>
        <w:t>I cannot state it any better than</w:t>
      </w:r>
      <w:r w:rsidR="00FB1DE6" w:rsidRPr="00CA0917">
        <w:rPr>
          <w:rFonts w:ascii="Arial" w:hAnsi="Arial" w:cs="Arial"/>
          <w:sz w:val="24"/>
          <w:szCs w:val="24"/>
        </w:rPr>
        <w:t xml:space="preserve"> what</w:t>
      </w:r>
      <w:r w:rsidR="00746E43" w:rsidRPr="00CA0917">
        <w:rPr>
          <w:rFonts w:ascii="Arial" w:hAnsi="Arial" w:cs="Arial"/>
          <w:sz w:val="24"/>
          <w:szCs w:val="24"/>
        </w:rPr>
        <w:t xml:space="preserve"> was said by Fabricius AJ i</w:t>
      </w:r>
      <w:r w:rsidR="002A69B5" w:rsidRPr="00CA0917">
        <w:rPr>
          <w:rFonts w:ascii="Arial" w:hAnsi="Arial" w:cs="Arial"/>
          <w:sz w:val="24"/>
          <w:szCs w:val="24"/>
        </w:rPr>
        <w:t xml:space="preserve">n the matter of </w:t>
      </w:r>
      <w:r w:rsidR="002A69B5" w:rsidRPr="00CA0917">
        <w:rPr>
          <w:rFonts w:ascii="Arial" w:hAnsi="Arial" w:cs="Arial"/>
          <w:i/>
          <w:sz w:val="24"/>
          <w:szCs w:val="24"/>
        </w:rPr>
        <w:t>Kotze v Kotze</w:t>
      </w:r>
      <w:r w:rsidR="002A69B5" w:rsidRPr="00CA0917">
        <w:rPr>
          <w:rStyle w:val="FootnoteReference"/>
          <w:rFonts w:ascii="Arial" w:hAnsi="Arial" w:cs="Arial"/>
          <w:i/>
          <w:sz w:val="24"/>
          <w:szCs w:val="24"/>
        </w:rPr>
        <w:footnoteReference w:id="14"/>
      </w:r>
      <w:r w:rsidR="002A69B5" w:rsidRPr="00CA0917">
        <w:rPr>
          <w:rFonts w:ascii="Arial" w:hAnsi="Arial" w:cs="Arial"/>
          <w:sz w:val="24"/>
          <w:szCs w:val="24"/>
        </w:rPr>
        <w:t xml:space="preserve">  </w:t>
      </w:r>
      <w:r w:rsidR="00746E43" w:rsidRPr="00CA0917">
        <w:rPr>
          <w:rFonts w:ascii="Arial" w:hAnsi="Arial" w:cs="Arial"/>
          <w:sz w:val="24"/>
          <w:szCs w:val="24"/>
        </w:rPr>
        <w:t xml:space="preserve">when he </w:t>
      </w:r>
      <w:r w:rsidR="002A69B5" w:rsidRPr="00CA0917">
        <w:rPr>
          <w:rFonts w:ascii="Arial" w:hAnsi="Arial" w:cs="Arial"/>
          <w:sz w:val="24"/>
          <w:szCs w:val="24"/>
        </w:rPr>
        <w:t>remarked as follows:</w:t>
      </w:r>
    </w:p>
    <w:p w:rsidR="00EB1098" w:rsidRPr="00CA0917" w:rsidRDefault="002A69B5" w:rsidP="00CA0917">
      <w:pPr>
        <w:spacing w:line="360" w:lineRule="auto"/>
        <w:ind w:left="720" w:firstLine="720"/>
        <w:jc w:val="both"/>
        <w:rPr>
          <w:rFonts w:ascii="Arial" w:hAnsi="Arial" w:cs="Arial"/>
        </w:rPr>
      </w:pPr>
      <w:r w:rsidRPr="00CA0917">
        <w:rPr>
          <w:rFonts w:ascii="Arial" w:hAnsi="Arial" w:cs="Arial"/>
          <w:sz w:val="24"/>
          <w:szCs w:val="24"/>
        </w:rPr>
        <w:t>‘</w:t>
      </w:r>
      <w:r w:rsidRPr="00CA0917">
        <w:rPr>
          <w:rFonts w:ascii="Arial" w:hAnsi="Arial" w:cs="Arial"/>
        </w:rPr>
        <w:t>This</w:t>
      </w:r>
      <w:r w:rsidR="00EB1098" w:rsidRPr="00CA0917">
        <w:rPr>
          <w:rFonts w:ascii="Arial" w:hAnsi="Arial" w:cs="Arial"/>
        </w:rPr>
        <w:t xml:space="preserve"> Court sits as upper guardian in matters involving the best interests of the child (be it in custody matters or otherwise), and it has extremely wide powers in establishing what such best interests are. It is not bound by procedural strictures or by the limitations of the evidence presented, or contentions advanced or not advanced, by respective parties. See </w:t>
      </w:r>
      <w:r w:rsidR="00EB1098" w:rsidRPr="00CA0917">
        <w:rPr>
          <w:rFonts w:ascii="Arial" w:hAnsi="Arial" w:cs="Arial"/>
          <w:i/>
        </w:rPr>
        <w:t>Shawzin v Laufer</w:t>
      </w:r>
      <w:r w:rsidR="00EB1098" w:rsidRPr="00CA0917">
        <w:rPr>
          <w:rFonts w:ascii="Arial" w:hAnsi="Arial" w:cs="Arial"/>
        </w:rPr>
        <w:t xml:space="preserve"> 1968 (4) SA 657 (A) at 662H - 663A, </w:t>
      </w:r>
      <w:r w:rsidR="00EB1098" w:rsidRPr="00CA0917">
        <w:rPr>
          <w:rFonts w:ascii="Arial" w:hAnsi="Arial" w:cs="Arial"/>
          <w:i/>
        </w:rPr>
        <w:t>Terblanche v Terblanche</w:t>
      </w:r>
      <w:r w:rsidR="00EB1098" w:rsidRPr="00CA0917">
        <w:rPr>
          <w:rFonts w:ascii="Arial" w:hAnsi="Arial" w:cs="Arial"/>
        </w:rPr>
        <w:t xml:space="preserve"> 1992 (1) SA 501 (W) at 504 and </w:t>
      </w:r>
      <w:r w:rsidR="00EB1098" w:rsidRPr="00CA0917">
        <w:rPr>
          <w:rFonts w:ascii="Arial" w:hAnsi="Arial" w:cs="Arial"/>
          <w:i/>
        </w:rPr>
        <w:t>Girdwood v Girdwood</w:t>
      </w:r>
      <w:r w:rsidR="00EB1098" w:rsidRPr="00CA0917">
        <w:rPr>
          <w:rFonts w:ascii="Arial" w:hAnsi="Arial" w:cs="Arial"/>
        </w:rPr>
        <w:t xml:space="preserve"> 1995 (4) SA 698 (C), where, in my view, Van Zyl J correctly stated at 708J that:   </w:t>
      </w:r>
    </w:p>
    <w:p w:rsidR="00746E43" w:rsidRPr="00CA0917" w:rsidRDefault="002A69B5" w:rsidP="00CA0917">
      <w:pPr>
        <w:spacing w:line="360" w:lineRule="auto"/>
        <w:ind w:left="720" w:firstLine="720"/>
        <w:jc w:val="both"/>
        <w:rPr>
          <w:rFonts w:ascii="Arial" w:hAnsi="Arial" w:cs="Arial"/>
        </w:rPr>
      </w:pPr>
      <w:r w:rsidRPr="00CA0917">
        <w:rPr>
          <w:rFonts w:ascii="Arial" w:hAnsi="Arial" w:cs="Arial"/>
        </w:rPr>
        <w:t>“</w:t>
      </w:r>
      <w:r w:rsidR="00EB1098" w:rsidRPr="00CA0917">
        <w:rPr>
          <w:rFonts w:ascii="Arial" w:hAnsi="Arial" w:cs="Arial"/>
        </w:rPr>
        <w:t>As upper guardian of all dependent and minor children this court has an inalienable right and authority to establish what is in the best interest of children and to make corresponding orders to ensure that such interests are effectively served and safeguarded. No agreement between the parties can encroach on this authority.</w:t>
      </w:r>
      <w:r w:rsidRPr="00CA0917">
        <w:rPr>
          <w:rFonts w:ascii="Arial" w:hAnsi="Arial" w:cs="Arial"/>
        </w:rPr>
        <w:t>”</w:t>
      </w:r>
      <w:r w:rsidR="00746E43" w:rsidRPr="00CA0917">
        <w:rPr>
          <w:rFonts w:ascii="Arial" w:hAnsi="Arial" w:cs="Arial"/>
        </w:rPr>
        <w:t xml:space="preserve"> </w:t>
      </w:r>
    </w:p>
    <w:p w:rsidR="00746E43" w:rsidRPr="00CA0917" w:rsidRDefault="00746E43" w:rsidP="006F3CCC">
      <w:pPr>
        <w:spacing w:line="360" w:lineRule="auto"/>
        <w:jc w:val="both"/>
        <w:rPr>
          <w:rFonts w:ascii="Arial" w:hAnsi="Arial" w:cs="Arial"/>
        </w:rPr>
      </w:pPr>
    </w:p>
    <w:p w:rsidR="007E0C12" w:rsidRPr="00CA0917" w:rsidRDefault="00746E43" w:rsidP="006F3CCC">
      <w:pPr>
        <w:spacing w:line="360" w:lineRule="auto"/>
        <w:jc w:val="both"/>
        <w:rPr>
          <w:rFonts w:ascii="Arial" w:hAnsi="Arial" w:cs="Arial"/>
          <w:sz w:val="24"/>
        </w:rPr>
      </w:pPr>
      <w:r w:rsidRPr="00CA0917">
        <w:rPr>
          <w:rFonts w:ascii="Arial" w:hAnsi="Arial" w:cs="Arial"/>
          <w:sz w:val="24"/>
        </w:rPr>
        <w:t>[</w:t>
      </w:r>
      <w:r w:rsidR="006F3CCC" w:rsidRPr="00CA0917">
        <w:rPr>
          <w:rFonts w:ascii="Arial" w:hAnsi="Arial" w:cs="Arial"/>
          <w:sz w:val="24"/>
        </w:rPr>
        <w:t>40</w:t>
      </w:r>
      <w:r w:rsidRPr="00CA0917">
        <w:rPr>
          <w:rFonts w:ascii="Arial" w:hAnsi="Arial" w:cs="Arial"/>
          <w:sz w:val="24"/>
        </w:rPr>
        <w:t>]</w:t>
      </w:r>
      <w:r w:rsidRPr="00CA0917">
        <w:rPr>
          <w:rFonts w:ascii="Arial" w:hAnsi="Arial" w:cs="Arial"/>
        </w:rPr>
        <w:tab/>
      </w:r>
      <w:r w:rsidR="007E0C12" w:rsidRPr="00CA0917">
        <w:rPr>
          <w:rFonts w:ascii="Arial" w:hAnsi="Arial" w:cs="Arial"/>
          <w:sz w:val="24"/>
        </w:rPr>
        <w:t xml:space="preserve">My ruling is therefor as follows: </w:t>
      </w:r>
    </w:p>
    <w:p w:rsidR="00CA0917" w:rsidRPr="00CA0917" w:rsidRDefault="007E0C12" w:rsidP="00CA0917">
      <w:pPr>
        <w:pStyle w:val="ListParagraph"/>
        <w:numPr>
          <w:ilvl w:val="0"/>
          <w:numId w:val="5"/>
        </w:numPr>
        <w:spacing w:line="360" w:lineRule="auto"/>
        <w:jc w:val="both"/>
        <w:rPr>
          <w:rFonts w:ascii="Arial" w:hAnsi="Arial" w:cs="Arial"/>
          <w:sz w:val="24"/>
        </w:rPr>
      </w:pPr>
      <w:r w:rsidRPr="00CA0917">
        <w:rPr>
          <w:rFonts w:ascii="Arial" w:hAnsi="Arial" w:cs="Arial"/>
          <w:sz w:val="24"/>
        </w:rPr>
        <w:t xml:space="preserve">Point </w:t>
      </w:r>
      <w:r w:rsidRPr="00CA0917">
        <w:rPr>
          <w:rFonts w:ascii="Arial" w:hAnsi="Arial" w:cs="Arial"/>
          <w:i/>
          <w:sz w:val="24"/>
        </w:rPr>
        <w:t>in limine</w:t>
      </w:r>
      <w:r w:rsidRPr="00CA0917">
        <w:rPr>
          <w:rFonts w:ascii="Arial" w:hAnsi="Arial" w:cs="Arial"/>
          <w:sz w:val="24"/>
        </w:rPr>
        <w:t xml:space="preserve"> raised in respect of the legal issue of </w:t>
      </w:r>
      <w:r w:rsidRPr="00CA0917">
        <w:rPr>
          <w:rFonts w:ascii="Arial" w:hAnsi="Arial" w:cs="Arial"/>
          <w:i/>
          <w:sz w:val="24"/>
        </w:rPr>
        <w:t>res judicat</w:t>
      </w:r>
      <w:r w:rsidR="00CC738C" w:rsidRPr="00CA0917">
        <w:rPr>
          <w:rFonts w:ascii="Arial" w:hAnsi="Arial" w:cs="Arial"/>
          <w:i/>
          <w:sz w:val="24"/>
        </w:rPr>
        <w:t>a</w:t>
      </w:r>
      <w:r w:rsidR="00CA0917" w:rsidRPr="00CA0917">
        <w:rPr>
          <w:rFonts w:ascii="Arial" w:hAnsi="Arial" w:cs="Arial"/>
          <w:sz w:val="24"/>
        </w:rPr>
        <w:t xml:space="preserve"> is dismissed.</w:t>
      </w:r>
    </w:p>
    <w:p w:rsidR="00B757EF" w:rsidRPr="00CA0917" w:rsidRDefault="004A37FC" w:rsidP="00CA0917">
      <w:pPr>
        <w:pStyle w:val="ListParagraph"/>
        <w:numPr>
          <w:ilvl w:val="0"/>
          <w:numId w:val="5"/>
        </w:numPr>
        <w:spacing w:line="360" w:lineRule="auto"/>
        <w:jc w:val="both"/>
        <w:rPr>
          <w:rFonts w:ascii="Arial" w:hAnsi="Arial" w:cs="Arial"/>
          <w:sz w:val="24"/>
        </w:rPr>
      </w:pPr>
      <w:r w:rsidRPr="00CA0917">
        <w:rPr>
          <w:rFonts w:ascii="Arial" w:hAnsi="Arial" w:cs="Arial"/>
          <w:sz w:val="24"/>
        </w:rPr>
        <w:lastRenderedPageBreak/>
        <w:t>Cost</w:t>
      </w:r>
      <w:r w:rsidR="00FB1DE6" w:rsidRPr="00CA0917">
        <w:rPr>
          <w:rFonts w:ascii="Arial" w:hAnsi="Arial" w:cs="Arial"/>
          <w:sz w:val="24"/>
        </w:rPr>
        <w:t>s to</w:t>
      </w:r>
      <w:r w:rsidRPr="00CA0917">
        <w:rPr>
          <w:rFonts w:ascii="Arial" w:hAnsi="Arial" w:cs="Arial"/>
          <w:sz w:val="24"/>
        </w:rPr>
        <w:t xml:space="preserve"> stand</w:t>
      </w:r>
      <w:r w:rsidR="00FB1DE6" w:rsidRPr="00CA0917">
        <w:rPr>
          <w:rFonts w:ascii="Arial" w:hAnsi="Arial" w:cs="Arial"/>
          <w:sz w:val="24"/>
        </w:rPr>
        <w:t xml:space="preserve"> over and</w:t>
      </w:r>
      <w:r w:rsidRPr="00CA0917">
        <w:rPr>
          <w:rFonts w:ascii="Arial" w:hAnsi="Arial" w:cs="Arial"/>
          <w:sz w:val="24"/>
        </w:rPr>
        <w:t xml:space="preserve"> be determined at the conclusion of the main application.</w:t>
      </w:r>
      <w:r w:rsidR="00B757EF" w:rsidRPr="00CA0917">
        <w:rPr>
          <w:rFonts w:ascii="Arial" w:hAnsi="Arial" w:cs="Arial"/>
          <w:sz w:val="24"/>
        </w:rPr>
        <w:t xml:space="preserve"> </w:t>
      </w:r>
    </w:p>
    <w:p w:rsidR="004A37FC" w:rsidRPr="00CA0917" w:rsidRDefault="004A37FC" w:rsidP="006F3CCC">
      <w:pPr>
        <w:pStyle w:val="ListParagraph"/>
        <w:spacing w:line="360" w:lineRule="auto"/>
        <w:ind w:left="1080"/>
        <w:jc w:val="both"/>
        <w:rPr>
          <w:rFonts w:ascii="Arial" w:hAnsi="Arial" w:cs="Arial"/>
          <w:sz w:val="24"/>
        </w:rPr>
      </w:pPr>
    </w:p>
    <w:p w:rsidR="00B66E49" w:rsidRPr="00CA0917" w:rsidRDefault="00B66E49" w:rsidP="006F3CCC">
      <w:pPr>
        <w:spacing w:line="360" w:lineRule="auto"/>
        <w:jc w:val="both"/>
        <w:rPr>
          <w:rFonts w:ascii="Arial" w:hAnsi="Arial" w:cs="Arial"/>
          <w:sz w:val="24"/>
        </w:rPr>
      </w:pPr>
    </w:p>
    <w:p w:rsidR="00B66E49" w:rsidRPr="00CA0917" w:rsidRDefault="00B66E49" w:rsidP="00C52E42">
      <w:pPr>
        <w:spacing w:line="360" w:lineRule="auto"/>
        <w:ind w:left="5760" w:firstLine="720"/>
        <w:jc w:val="right"/>
        <w:rPr>
          <w:rFonts w:ascii="Arial" w:hAnsi="Arial" w:cs="Arial"/>
          <w:sz w:val="24"/>
        </w:rPr>
      </w:pPr>
      <w:r w:rsidRPr="00CA0917">
        <w:rPr>
          <w:rFonts w:ascii="Arial" w:hAnsi="Arial" w:cs="Arial"/>
          <w:sz w:val="24"/>
        </w:rPr>
        <w:t>____________</w:t>
      </w:r>
    </w:p>
    <w:p w:rsidR="00B66E49" w:rsidRPr="00CA0917" w:rsidRDefault="007F7786" w:rsidP="00C52E42">
      <w:pPr>
        <w:spacing w:line="360" w:lineRule="auto"/>
        <w:ind w:left="5760" w:firstLine="720"/>
        <w:jc w:val="right"/>
        <w:rPr>
          <w:rFonts w:ascii="Arial" w:hAnsi="Arial" w:cs="Arial"/>
          <w:sz w:val="24"/>
        </w:rPr>
      </w:pPr>
      <w:r w:rsidRPr="00CA0917">
        <w:rPr>
          <w:rFonts w:ascii="Arial" w:hAnsi="Arial" w:cs="Arial"/>
          <w:sz w:val="24"/>
        </w:rPr>
        <w:t>J S Prinsloo</w:t>
      </w: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B44A1A" w:rsidRPr="00CA0917" w:rsidRDefault="00B44A1A" w:rsidP="006F3CCC">
      <w:pPr>
        <w:spacing w:after="0" w:line="360" w:lineRule="auto"/>
        <w:jc w:val="both"/>
        <w:rPr>
          <w:rFonts w:ascii="Arial" w:hAnsi="Arial" w:cs="Arial"/>
          <w:sz w:val="24"/>
        </w:rPr>
      </w:pPr>
    </w:p>
    <w:p w:rsidR="00CA0917" w:rsidRPr="00CA0917" w:rsidRDefault="00CA0917" w:rsidP="006F3CCC">
      <w:pPr>
        <w:spacing w:after="0" w:line="360" w:lineRule="auto"/>
        <w:jc w:val="both"/>
        <w:rPr>
          <w:rFonts w:ascii="Arial" w:hAnsi="Arial" w:cs="Arial"/>
          <w:sz w:val="24"/>
        </w:rPr>
      </w:pPr>
    </w:p>
    <w:p w:rsidR="00CA0917" w:rsidRDefault="00CA0917" w:rsidP="006F3CCC">
      <w:pPr>
        <w:spacing w:after="0" w:line="360" w:lineRule="auto"/>
        <w:jc w:val="both"/>
        <w:rPr>
          <w:rFonts w:ascii="Arial" w:hAnsi="Arial" w:cs="Arial"/>
          <w:sz w:val="24"/>
        </w:rPr>
      </w:pPr>
    </w:p>
    <w:p w:rsidR="00C52E42" w:rsidRDefault="00C52E42" w:rsidP="006F3CCC">
      <w:pPr>
        <w:spacing w:after="0" w:line="360" w:lineRule="auto"/>
        <w:jc w:val="both"/>
        <w:rPr>
          <w:rFonts w:ascii="Arial" w:hAnsi="Arial" w:cs="Arial"/>
          <w:sz w:val="24"/>
        </w:rPr>
      </w:pPr>
    </w:p>
    <w:p w:rsidR="00C52E42" w:rsidRDefault="00C52E42" w:rsidP="006F3CCC">
      <w:pPr>
        <w:spacing w:after="0" w:line="360" w:lineRule="auto"/>
        <w:jc w:val="both"/>
        <w:rPr>
          <w:rFonts w:ascii="Arial" w:hAnsi="Arial" w:cs="Arial"/>
          <w:sz w:val="24"/>
        </w:rPr>
      </w:pPr>
    </w:p>
    <w:p w:rsidR="00C52E42" w:rsidRPr="00CA0917" w:rsidRDefault="00C52E42" w:rsidP="006F3CCC">
      <w:pPr>
        <w:spacing w:after="0" w:line="360" w:lineRule="auto"/>
        <w:jc w:val="both"/>
        <w:rPr>
          <w:rFonts w:ascii="Arial" w:hAnsi="Arial" w:cs="Arial"/>
          <w:sz w:val="24"/>
        </w:rPr>
      </w:pPr>
    </w:p>
    <w:p w:rsidR="00CA0917" w:rsidRPr="00CA0917" w:rsidRDefault="00CA0917" w:rsidP="006F3CCC">
      <w:pPr>
        <w:spacing w:after="0" w:line="360" w:lineRule="auto"/>
        <w:jc w:val="both"/>
        <w:rPr>
          <w:rFonts w:ascii="Arial" w:hAnsi="Arial" w:cs="Arial"/>
          <w:sz w:val="24"/>
        </w:rPr>
      </w:pPr>
    </w:p>
    <w:p w:rsidR="00B66E49" w:rsidRPr="00CA0917" w:rsidRDefault="00B66E49" w:rsidP="006F3CCC">
      <w:pPr>
        <w:spacing w:after="0" w:line="360" w:lineRule="auto"/>
        <w:jc w:val="both"/>
        <w:rPr>
          <w:rFonts w:ascii="Arial" w:hAnsi="Arial" w:cs="Arial"/>
          <w:sz w:val="24"/>
          <w:szCs w:val="24"/>
        </w:rPr>
      </w:pPr>
      <w:r w:rsidRPr="00CA0917">
        <w:rPr>
          <w:rFonts w:ascii="Arial" w:hAnsi="Arial" w:cs="Arial"/>
          <w:sz w:val="24"/>
          <w:szCs w:val="24"/>
        </w:rPr>
        <w:lastRenderedPageBreak/>
        <w:t>APPEARANCES:</w:t>
      </w:r>
    </w:p>
    <w:p w:rsidR="00B66E49" w:rsidRPr="00CA0917" w:rsidRDefault="00B66E49" w:rsidP="006F3CCC">
      <w:pPr>
        <w:spacing w:after="0" w:line="360" w:lineRule="auto"/>
        <w:jc w:val="both"/>
        <w:rPr>
          <w:rFonts w:ascii="Arial" w:hAnsi="Arial" w:cs="Arial"/>
          <w:sz w:val="24"/>
          <w:szCs w:val="24"/>
        </w:rPr>
      </w:pPr>
    </w:p>
    <w:p w:rsidR="00B66E49" w:rsidRPr="00CA0917" w:rsidRDefault="007F7786" w:rsidP="006F3CCC">
      <w:pPr>
        <w:spacing w:after="0" w:line="360" w:lineRule="auto"/>
        <w:ind w:left="5040" w:hanging="5040"/>
        <w:jc w:val="both"/>
        <w:rPr>
          <w:rFonts w:ascii="Arial" w:hAnsi="Arial" w:cs="Arial"/>
          <w:sz w:val="24"/>
          <w:szCs w:val="24"/>
        </w:rPr>
      </w:pPr>
      <w:r w:rsidRPr="00CA0917">
        <w:rPr>
          <w:rFonts w:ascii="Arial" w:hAnsi="Arial" w:cs="Arial"/>
          <w:sz w:val="24"/>
          <w:szCs w:val="24"/>
        </w:rPr>
        <w:t>APPLICANT</w:t>
      </w:r>
      <w:r w:rsidR="00B66E49" w:rsidRPr="00CA0917">
        <w:rPr>
          <w:rFonts w:ascii="Arial" w:hAnsi="Arial" w:cs="Arial"/>
          <w:sz w:val="24"/>
          <w:szCs w:val="24"/>
        </w:rPr>
        <w:t xml:space="preserve">: </w:t>
      </w:r>
      <w:r w:rsidR="00B66E49" w:rsidRPr="00CA0917">
        <w:rPr>
          <w:rFonts w:ascii="Arial" w:hAnsi="Arial" w:cs="Arial"/>
          <w:sz w:val="24"/>
          <w:szCs w:val="24"/>
        </w:rPr>
        <w:tab/>
      </w:r>
      <w:r w:rsidRPr="00CA0917">
        <w:rPr>
          <w:rFonts w:ascii="Arial" w:hAnsi="Arial" w:cs="Arial"/>
          <w:sz w:val="24"/>
          <w:szCs w:val="24"/>
        </w:rPr>
        <w:t xml:space="preserve">F X Bangamwabo </w:t>
      </w:r>
    </w:p>
    <w:p w:rsidR="007F7786" w:rsidRPr="00CA0917" w:rsidRDefault="007F7786" w:rsidP="006F3CCC">
      <w:pPr>
        <w:spacing w:after="0" w:line="360" w:lineRule="auto"/>
        <w:ind w:left="5040" w:hanging="5040"/>
        <w:jc w:val="both"/>
        <w:rPr>
          <w:rFonts w:ascii="Arial" w:hAnsi="Arial" w:cs="Arial"/>
          <w:sz w:val="24"/>
          <w:szCs w:val="24"/>
        </w:rPr>
      </w:pPr>
      <w:r w:rsidRPr="00CA0917">
        <w:rPr>
          <w:rFonts w:ascii="Arial" w:hAnsi="Arial" w:cs="Arial"/>
          <w:sz w:val="24"/>
          <w:szCs w:val="24"/>
        </w:rPr>
        <w:tab/>
        <w:t>Of Clement Daniels Attorneys</w:t>
      </w:r>
    </w:p>
    <w:p w:rsidR="00B66E49" w:rsidRPr="00CA0917" w:rsidRDefault="00B66E49" w:rsidP="006F3CCC">
      <w:pPr>
        <w:spacing w:after="0" w:line="360" w:lineRule="auto"/>
        <w:jc w:val="both"/>
        <w:rPr>
          <w:rFonts w:ascii="Arial" w:hAnsi="Arial" w:cs="Arial"/>
          <w:sz w:val="24"/>
          <w:szCs w:val="24"/>
        </w:rPr>
      </w:pP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t xml:space="preserve">  </w:t>
      </w:r>
    </w:p>
    <w:p w:rsidR="00B66E49" w:rsidRPr="00CA0917" w:rsidRDefault="00B66E49" w:rsidP="006F3CCC">
      <w:pPr>
        <w:spacing w:after="0" w:line="360" w:lineRule="auto"/>
        <w:ind w:left="2340" w:hanging="2340"/>
        <w:jc w:val="both"/>
        <w:rPr>
          <w:rFonts w:ascii="Arial" w:hAnsi="Arial" w:cs="Arial"/>
          <w:sz w:val="24"/>
          <w:szCs w:val="24"/>
        </w:rPr>
      </w:pPr>
      <w:r w:rsidRPr="00CA0917">
        <w:rPr>
          <w:rFonts w:ascii="Arial" w:hAnsi="Arial" w:cs="Arial"/>
          <w:sz w:val="24"/>
          <w:szCs w:val="24"/>
        </w:rPr>
        <w:t xml:space="preserve">                                                                      </w:t>
      </w:r>
    </w:p>
    <w:p w:rsidR="00B66E49" w:rsidRPr="00CA0917" w:rsidRDefault="00B66E49" w:rsidP="006F3CCC">
      <w:pPr>
        <w:spacing w:after="0" w:line="360" w:lineRule="auto"/>
        <w:jc w:val="both"/>
        <w:rPr>
          <w:rFonts w:ascii="Arial" w:hAnsi="Arial" w:cs="Arial"/>
          <w:sz w:val="24"/>
          <w:szCs w:val="24"/>
        </w:rPr>
      </w:pPr>
    </w:p>
    <w:p w:rsidR="00B66E49" w:rsidRPr="00CA0917" w:rsidRDefault="007F7786" w:rsidP="006F3CCC">
      <w:pPr>
        <w:spacing w:after="0" w:line="360" w:lineRule="auto"/>
        <w:jc w:val="both"/>
        <w:rPr>
          <w:rFonts w:ascii="Arial" w:hAnsi="Arial" w:cs="Arial"/>
          <w:sz w:val="24"/>
          <w:szCs w:val="24"/>
        </w:rPr>
      </w:pPr>
      <w:r w:rsidRPr="00CA0917">
        <w:rPr>
          <w:rFonts w:ascii="Arial" w:hAnsi="Arial" w:cs="Arial"/>
          <w:sz w:val="24"/>
          <w:szCs w:val="24"/>
        </w:rPr>
        <w:t>RESPONDENT</w:t>
      </w:r>
      <w:r w:rsidR="00B66E49" w:rsidRPr="00CA0917">
        <w:rPr>
          <w:rFonts w:ascii="Arial" w:hAnsi="Arial" w:cs="Arial"/>
          <w:sz w:val="24"/>
          <w:szCs w:val="24"/>
        </w:rPr>
        <w:t>:</w:t>
      </w:r>
      <w:r w:rsidR="00B66E49" w:rsidRPr="00CA0917">
        <w:rPr>
          <w:rFonts w:ascii="Arial" w:hAnsi="Arial" w:cs="Arial"/>
          <w:sz w:val="24"/>
          <w:szCs w:val="24"/>
        </w:rPr>
        <w:tab/>
      </w:r>
      <w:r w:rsidR="00B66E49" w:rsidRPr="00CA0917">
        <w:rPr>
          <w:rFonts w:ascii="Arial" w:hAnsi="Arial" w:cs="Arial"/>
          <w:sz w:val="24"/>
          <w:szCs w:val="24"/>
        </w:rPr>
        <w:tab/>
      </w:r>
      <w:r w:rsidR="00B66E49" w:rsidRPr="00CA0917">
        <w:rPr>
          <w:rFonts w:ascii="Arial" w:hAnsi="Arial" w:cs="Arial"/>
          <w:sz w:val="24"/>
          <w:szCs w:val="24"/>
        </w:rPr>
        <w:tab/>
      </w:r>
      <w:r w:rsidR="00B66E49" w:rsidRPr="00CA0917">
        <w:rPr>
          <w:rFonts w:ascii="Arial" w:hAnsi="Arial" w:cs="Arial"/>
          <w:sz w:val="24"/>
          <w:szCs w:val="24"/>
        </w:rPr>
        <w:tab/>
      </w:r>
      <w:r w:rsidR="00B66E49" w:rsidRPr="00CA0917">
        <w:rPr>
          <w:rFonts w:ascii="Arial" w:hAnsi="Arial" w:cs="Arial"/>
          <w:sz w:val="24"/>
          <w:szCs w:val="24"/>
        </w:rPr>
        <w:tab/>
      </w:r>
      <w:r w:rsidRPr="00CA0917">
        <w:rPr>
          <w:rFonts w:ascii="Arial" w:hAnsi="Arial" w:cs="Arial"/>
          <w:sz w:val="24"/>
          <w:szCs w:val="24"/>
        </w:rPr>
        <w:t>K Klazen</w:t>
      </w:r>
    </w:p>
    <w:p w:rsidR="007F7786" w:rsidRPr="00CA0917" w:rsidRDefault="007F7786" w:rsidP="006F3CCC">
      <w:pPr>
        <w:spacing w:after="0" w:line="360" w:lineRule="auto"/>
        <w:jc w:val="both"/>
        <w:rPr>
          <w:rFonts w:ascii="Arial" w:hAnsi="Arial" w:cs="Arial"/>
          <w:sz w:val="24"/>
          <w:szCs w:val="24"/>
        </w:rPr>
      </w:pP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r>
      <w:r w:rsidRPr="00CA0917">
        <w:rPr>
          <w:rFonts w:ascii="Arial" w:hAnsi="Arial" w:cs="Arial"/>
          <w:sz w:val="24"/>
          <w:szCs w:val="24"/>
        </w:rPr>
        <w:tab/>
        <w:t xml:space="preserve">Of Ellis Shilengudwa Inc. </w:t>
      </w:r>
    </w:p>
    <w:p w:rsidR="00B66E49" w:rsidRPr="00CA0917" w:rsidRDefault="00B66E49" w:rsidP="006F3CCC">
      <w:pPr>
        <w:spacing w:after="0" w:line="360" w:lineRule="auto"/>
        <w:jc w:val="both"/>
        <w:rPr>
          <w:rFonts w:ascii="Arial" w:hAnsi="Arial" w:cs="Arial"/>
          <w:sz w:val="24"/>
          <w:szCs w:val="24"/>
        </w:rPr>
      </w:pPr>
    </w:p>
    <w:p w:rsidR="007E0C12" w:rsidRPr="00CA0917" w:rsidRDefault="007E0C12" w:rsidP="006F3CCC">
      <w:pPr>
        <w:spacing w:after="0" w:line="360" w:lineRule="auto"/>
        <w:jc w:val="both"/>
        <w:rPr>
          <w:rFonts w:ascii="Arial" w:hAnsi="Arial" w:cs="Arial"/>
          <w:sz w:val="24"/>
          <w:szCs w:val="24"/>
        </w:rPr>
      </w:pPr>
    </w:p>
    <w:p w:rsidR="007E0C12" w:rsidRPr="00CA0917" w:rsidRDefault="007E0C12" w:rsidP="006F3CCC">
      <w:pPr>
        <w:spacing w:after="0" w:line="360" w:lineRule="auto"/>
        <w:jc w:val="both"/>
        <w:rPr>
          <w:rFonts w:ascii="Arial" w:hAnsi="Arial" w:cs="Arial"/>
          <w:sz w:val="24"/>
          <w:szCs w:val="24"/>
        </w:rPr>
      </w:pPr>
    </w:p>
    <w:p w:rsidR="007E0C12" w:rsidRPr="00CA0917" w:rsidRDefault="007E0C12" w:rsidP="006F3CCC">
      <w:pPr>
        <w:spacing w:after="0" w:line="360" w:lineRule="auto"/>
        <w:jc w:val="both"/>
        <w:rPr>
          <w:rFonts w:ascii="Arial" w:hAnsi="Arial" w:cs="Arial"/>
          <w:sz w:val="24"/>
          <w:szCs w:val="24"/>
        </w:rPr>
      </w:pPr>
    </w:p>
    <w:p w:rsidR="007E0C12" w:rsidRPr="00CA0917" w:rsidRDefault="007E0C12" w:rsidP="006F3CCC">
      <w:pPr>
        <w:spacing w:after="0" w:line="360" w:lineRule="auto"/>
        <w:jc w:val="both"/>
        <w:rPr>
          <w:rFonts w:ascii="Arial" w:hAnsi="Arial" w:cs="Arial"/>
          <w:sz w:val="24"/>
          <w:szCs w:val="24"/>
        </w:rPr>
      </w:pPr>
    </w:p>
    <w:p w:rsidR="007E0C12" w:rsidRPr="00CA0917" w:rsidRDefault="007E0C12" w:rsidP="006F3CCC">
      <w:pPr>
        <w:spacing w:after="0" w:line="360" w:lineRule="auto"/>
        <w:jc w:val="both"/>
        <w:rPr>
          <w:rFonts w:ascii="Arial" w:hAnsi="Arial" w:cs="Arial"/>
          <w:sz w:val="24"/>
          <w:szCs w:val="24"/>
        </w:rPr>
      </w:pPr>
    </w:p>
    <w:sectPr w:rsidR="007E0C12" w:rsidRPr="00CA0917" w:rsidSect="00313E3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0E" w:rsidRDefault="004C6D0E" w:rsidP="00B66E49">
      <w:pPr>
        <w:spacing w:after="0" w:line="240" w:lineRule="auto"/>
      </w:pPr>
      <w:r>
        <w:separator/>
      </w:r>
    </w:p>
  </w:endnote>
  <w:endnote w:type="continuationSeparator" w:id="0">
    <w:p w:rsidR="004C6D0E" w:rsidRDefault="004C6D0E" w:rsidP="00B6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0E" w:rsidRDefault="004C6D0E" w:rsidP="00B66E49">
      <w:pPr>
        <w:spacing w:after="0" w:line="240" w:lineRule="auto"/>
      </w:pPr>
      <w:r>
        <w:separator/>
      </w:r>
    </w:p>
  </w:footnote>
  <w:footnote w:type="continuationSeparator" w:id="0">
    <w:p w:rsidR="004C6D0E" w:rsidRDefault="004C6D0E" w:rsidP="00B66E49">
      <w:pPr>
        <w:spacing w:after="0" w:line="240" w:lineRule="auto"/>
      </w:pPr>
      <w:r>
        <w:continuationSeparator/>
      </w:r>
    </w:p>
  </w:footnote>
  <w:footnote w:id="1">
    <w:p w:rsidR="00B717D7" w:rsidRPr="00C52E42" w:rsidRDefault="00B717D7">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1993 (2) SA p682 (C)  </w:t>
      </w:r>
    </w:p>
  </w:footnote>
  <w:footnote w:id="2">
    <w:p w:rsidR="00B717D7" w:rsidRPr="00C52E42" w:rsidRDefault="00B717D7" w:rsidP="00B717D7">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2008 (3) SA 494 (TkH)</w:t>
      </w:r>
    </w:p>
  </w:footnote>
  <w:footnote w:id="3">
    <w:p w:rsidR="00F30982" w:rsidRPr="00C52E42" w:rsidRDefault="00F30982" w:rsidP="00F6143E">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w:t>
      </w:r>
      <w:r w:rsidR="00F6143E" w:rsidRPr="00C52E42">
        <w:rPr>
          <w:rFonts w:ascii="Arial" w:hAnsi="Arial" w:cs="Arial"/>
        </w:rPr>
        <w:t>Bafokeng Tribe v Impala Platinum Ltd and Others 1999 (3) SA 517 (B)</w:t>
      </w:r>
      <w:r w:rsidR="00E5663F" w:rsidRPr="00C52E42">
        <w:rPr>
          <w:rFonts w:ascii="Arial" w:hAnsi="Arial" w:cs="Arial"/>
        </w:rPr>
        <w:t xml:space="preserve"> at 566B - 567B</w:t>
      </w:r>
    </w:p>
  </w:footnote>
  <w:footnote w:id="4">
    <w:p w:rsidR="00E50657" w:rsidRPr="00C52E42" w:rsidRDefault="00E50657" w:rsidP="00E50657">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1993 (2) SA p682 (C)  </w:t>
      </w:r>
    </w:p>
  </w:footnote>
  <w:footnote w:id="5">
    <w:p w:rsidR="000960DA" w:rsidRPr="00C52E42" w:rsidRDefault="000960DA">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2013 (6) SA 28(ECG)</w:t>
      </w:r>
    </w:p>
  </w:footnote>
  <w:footnote w:id="6">
    <w:p w:rsidR="00D62392" w:rsidRPr="00C52E42" w:rsidRDefault="00D62392">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w:t>
      </w:r>
      <w:r w:rsidR="000960DA" w:rsidRPr="00C52E42">
        <w:rPr>
          <w:rFonts w:ascii="Arial" w:hAnsi="Arial" w:cs="Arial"/>
        </w:rPr>
        <w:t>2008 (3) SA 494 (TkH)</w:t>
      </w:r>
    </w:p>
  </w:footnote>
  <w:footnote w:id="7">
    <w:p w:rsidR="00380C13" w:rsidRPr="00C52E42" w:rsidRDefault="00380C13">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See Firestone South Africa (Pty) Ltd v Genticuro AG 1977 (4) SA 298 (A) at 306F – G. See generally Erasmus Superior Court Practice at B1 – 306F to B1 – 306G.</w:t>
      </w:r>
    </w:p>
  </w:footnote>
  <w:footnote w:id="8">
    <w:p w:rsidR="00380C13" w:rsidRPr="00C52E42" w:rsidRDefault="00380C13">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Atmore v Atmore 1932 TPD 154 and Keshavjee v Ismail 1956 (4) SA 90 (T).</w:t>
      </w:r>
    </w:p>
  </w:footnote>
  <w:footnote w:id="9">
    <w:p w:rsidR="00380C13" w:rsidRPr="00C52E42" w:rsidRDefault="00380C13" w:rsidP="00380C13">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In terms of rule 42(1) of the Uniform Rules of the High Court of South Africa ( Namibian equivalent</w:t>
      </w:r>
      <w:r w:rsidR="00FB1DE6" w:rsidRPr="00C52E42">
        <w:rPr>
          <w:rFonts w:ascii="Arial" w:hAnsi="Arial" w:cs="Arial"/>
        </w:rPr>
        <w:t xml:space="preserve"> Rule 103 of the Rules of the High Court of Namibia</w:t>
      </w:r>
      <w:r w:rsidRPr="00C52E42">
        <w:rPr>
          <w:rFonts w:ascii="Arial" w:hAnsi="Arial" w:cs="Arial"/>
        </w:rPr>
        <w:t>:</w:t>
      </w:r>
    </w:p>
    <w:p w:rsidR="00380C13" w:rsidRPr="00C52E42" w:rsidRDefault="00380C13" w:rsidP="00380C13">
      <w:pPr>
        <w:pStyle w:val="FootnoteText"/>
        <w:rPr>
          <w:rFonts w:ascii="Arial" w:hAnsi="Arial" w:cs="Arial"/>
        </w:rPr>
      </w:pPr>
      <w:r w:rsidRPr="00C52E42">
        <w:rPr>
          <w:rFonts w:ascii="Arial" w:hAnsi="Arial" w:cs="Arial"/>
        </w:rPr>
        <w:tab/>
        <w:t>'(1) The court may, in addition to any other powers it may have, mero motu or upon the application of any party affected, rescind or vary:</w:t>
      </w:r>
    </w:p>
    <w:p w:rsidR="00380C13" w:rsidRPr="00C52E42" w:rsidRDefault="00380C13" w:rsidP="00380C13">
      <w:pPr>
        <w:pStyle w:val="FootnoteText"/>
        <w:rPr>
          <w:rFonts w:ascii="Arial" w:hAnsi="Arial" w:cs="Arial"/>
        </w:rPr>
      </w:pPr>
      <w:r w:rsidRPr="00C52E42">
        <w:rPr>
          <w:rFonts w:ascii="Arial" w:hAnsi="Arial" w:cs="Arial"/>
        </w:rPr>
        <w:tab/>
        <w:t>(a)</w:t>
      </w:r>
      <w:r w:rsidRPr="00C52E42">
        <w:rPr>
          <w:rFonts w:ascii="Arial" w:hAnsi="Arial" w:cs="Arial"/>
        </w:rPr>
        <w:tab/>
        <w:t>An order or judgment erroneously sought or erroneously granted in the absence of any party affected thereby;</w:t>
      </w:r>
    </w:p>
    <w:p w:rsidR="00380C13" w:rsidRPr="00C52E42" w:rsidRDefault="00380C13" w:rsidP="00380C13">
      <w:pPr>
        <w:pStyle w:val="FootnoteText"/>
        <w:rPr>
          <w:rFonts w:ascii="Arial" w:hAnsi="Arial" w:cs="Arial"/>
        </w:rPr>
      </w:pPr>
      <w:r w:rsidRPr="00C52E42">
        <w:rPr>
          <w:rFonts w:ascii="Arial" w:hAnsi="Arial" w:cs="Arial"/>
        </w:rPr>
        <w:tab/>
        <w:t>(b)</w:t>
      </w:r>
      <w:r w:rsidRPr="00C52E42">
        <w:rPr>
          <w:rFonts w:ascii="Arial" w:hAnsi="Arial" w:cs="Arial"/>
        </w:rPr>
        <w:tab/>
        <w:t>an order or judgment in which there is an ambiguity, or a patent error or omission, but only to the extent of such ambiguity, error or omission;</w:t>
      </w:r>
    </w:p>
    <w:p w:rsidR="00380C13" w:rsidRPr="00C52E42" w:rsidRDefault="00380C13" w:rsidP="00380C13">
      <w:pPr>
        <w:pStyle w:val="FootnoteText"/>
        <w:rPr>
          <w:rFonts w:ascii="Arial" w:hAnsi="Arial" w:cs="Arial"/>
        </w:rPr>
      </w:pPr>
      <w:r w:rsidRPr="00C52E42">
        <w:rPr>
          <w:rFonts w:ascii="Arial" w:hAnsi="Arial" w:cs="Arial"/>
        </w:rPr>
        <w:tab/>
        <w:t>(c)</w:t>
      </w:r>
      <w:r w:rsidRPr="00C52E42">
        <w:rPr>
          <w:rFonts w:ascii="Arial" w:hAnsi="Arial" w:cs="Arial"/>
        </w:rPr>
        <w:tab/>
        <w:t>an order or judgment granted as the result of a mistake common to the parties.'</w:t>
      </w:r>
    </w:p>
  </w:footnote>
  <w:footnote w:id="10">
    <w:p w:rsidR="00380C13" w:rsidRPr="00C52E42" w:rsidRDefault="00380C13" w:rsidP="00380C13">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'(i)</w:t>
      </w:r>
      <w:r w:rsidRPr="00C52E42">
        <w:rPr>
          <w:rFonts w:ascii="Arial" w:hAnsi="Arial" w:cs="Arial"/>
        </w:rPr>
        <w:tab/>
        <w:t>The principal judgment or order may be supplemented in respect of accessory or consequential matters, for example, costs or interest on the judgment debt, which the Court overlooked or inadvertently omitted to grant. . . .</w:t>
      </w:r>
    </w:p>
    <w:p w:rsidR="00380C13" w:rsidRPr="00C52E42" w:rsidRDefault="00380C13" w:rsidP="00380C13">
      <w:pPr>
        <w:pStyle w:val="FootnoteText"/>
        <w:rPr>
          <w:rFonts w:ascii="Arial" w:hAnsi="Arial" w:cs="Arial"/>
        </w:rPr>
      </w:pPr>
      <w:r w:rsidRPr="00C52E42">
        <w:rPr>
          <w:rFonts w:ascii="Arial" w:hAnsi="Arial" w:cs="Arial"/>
        </w:rPr>
        <w:tab/>
        <w:t>(ii)</w:t>
      </w:r>
      <w:r w:rsidRPr="00C52E42">
        <w:rPr>
          <w:rFonts w:ascii="Arial" w:hAnsi="Arial" w:cs="Arial"/>
        </w:rPr>
        <w:tab/>
        <w:t>The Court may clarify its judgment or order, if, on a proper interpretation, the meaning thereof remains obscure, ambiguous or otherwise uncertain, so as to give effect to its true intention, provided it does not thereby alter the sense and substance of the judgment or order. . . .</w:t>
      </w:r>
    </w:p>
    <w:p w:rsidR="00380C13" w:rsidRPr="00C52E42" w:rsidRDefault="00380C13" w:rsidP="00380C13">
      <w:pPr>
        <w:pStyle w:val="FootnoteText"/>
        <w:rPr>
          <w:rFonts w:ascii="Arial" w:hAnsi="Arial" w:cs="Arial"/>
        </w:rPr>
      </w:pPr>
      <w:r w:rsidRPr="00C52E42">
        <w:rPr>
          <w:rFonts w:ascii="Arial" w:hAnsi="Arial" w:cs="Arial"/>
        </w:rPr>
        <w:tab/>
        <w:t>(iii)</w:t>
      </w:r>
      <w:r w:rsidRPr="00C52E42">
        <w:rPr>
          <w:rFonts w:ascii="Arial" w:hAnsi="Arial" w:cs="Arial"/>
        </w:rPr>
        <w:tab/>
        <w:t>The Court may correct a clerical, arithmetical or other error in its judgment or order so as to give effect to its true intention. . . .</w:t>
      </w:r>
    </w:p>
    <w:p w:rsidR="00380C13" w:rsidRPr="00C52E42" w:rsidRDefault="00380C13" w:rsidP="00380C13">
      <w:pPr>
        <w:pStyle w:val="FootnoteText"/>
        <w:rPr>
          <w:rFonts w:ascii="Arial" w:hAnsi="Arial" w:cs="Arial"/>
        </w:rPr>
      </w:pPr>
      <w:r w:rsidRPr="00C52E42">
        <w:rPr>
          <w:rFonts w:ascii="Arial" w:hAnsi="Arial" w:cs="Arial"/>
        </w:rPr>
        <w:tab/>
        <w:t>(iv)</w:t>
      </w:r>
      <w:r w:rsidRPr="00C52E42">
        <w:rPr>
          <w:rFonts w:ascii="Arial" w:hAnsi="Arial" w:cs="Arial"/>
        </w:rPr>
        <w:tab/>
        <w:t xml:space="preserve">Where counsel has argued the merits and not the costs of a case (which nowadays often happens since the question of costs may depend upon the ultimate decision on the merits), but the Court, in granting judgment, also makes an order concerning the costs, it may thereafter correct, alter or supplement that order. . . .' Per Trollip JA in </w:t>
      </w:r>
      <w:r w:rsidRPr="00C52E42">
        <w:rPr>
          <w:rFonts w:ascii="Arial" w:hAnsi="Arial" w:cs="Arial"/>
          <w:i/>
        </w:rPr>
        <w:t>Firestone v Genticuro</w:t>
      </w:r>
      <w:r w:rsidRPr="00C52E42">
        <w:rPr>
          <w:rFonts w:ascii="Arial" w:hAnsi="Arial" w:cs="Arial"/>
        </w:rPr>
        <w:t xml:space="preserve"> supra n88 at 306H – 307G.</w:t>
      </w:r>
    </w:p>
  </w:footnote>
  <w:footnote w:id="11">
    <w:p w:rsidR="00380C13" w:rsidRPr="00C52E42" w:rsidRDefault="00380C13">
      <w:pPr>
        <w:pStyle w:val="FootnoteText"/>
        <w:rPr>
          <w:rFonts w:ascii="Arial" w:hAnsi="Arial" w:cs="Arial"/>
        </w:rPr>
      </w:pPr>
      <w:r w:rsidRPr="00C52E42">
        <w:rPr>
          <w:rStyle w:val="FootnoteReference"/>
          <w:rFonts w:ascii="Arial" w:hAnsi="Arial" w:cs="Arial"/>
        </w:rPr>
        <w:footnoteRef/>
      </w:r>
      <w:r w:rsidR="00C52E42">
        <w:rPr>
          <w:rFonts w:ascii="Arial" w:hAnsi="Arial" w:cs="Arial"/>
        </w:rPr>
        <w:t xml:space="preserve"> Act 70 of </w:t>
      </w:r>
      <w:r w:rsidRPr="00C52E42">
        <w:rPr>
          <w:rFonts w:ascii="Arial" w:hAnsi="Arial" w:cs="Arial"/>
        </w:rPr>
        <w:t>1979.</w:t>
      </w:r>
    </w:p>
  </w:footnote>
  <w:footnote w:id="12">
    <w:p w:rsidR="007E0C12" w:rsidRPr="00C52E42" w:rsidRDefault="007E0C12" w:rsidP="007E0C12">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w:t>
      </w:r>
      <w:r w:rsidRPr="00C52E42">
        <w:rPr>
          <w:rFonts w:ascii="Arial" w:hAnsi="Arial" w:cs="Arial"/>
          <w:i/>
        </w:rPr>
        <w:t>Williams v Carrick</w:t>
      </w:r>
      <w:r w:rsidRPr="00C52E42">
        <w:rPr>
          <w:rFonts w:ascii="Arial" w:hAnsi="Arial" w:cs="Arial"/>
        </w:rPr>
        <w:t xml:space="preserve"> 1938 T.P.D 147</w:t>
      </w:r>
      <w:r w:rsidR="00C52E42">
        <w:rPr>
          <w:rFonts w:ascii="Arial" w:hAnsi="Arial" w:cs="Arial"/>
        </w:rPr>
        <w:t>.</w:t>
      </w:r>
    </w:p>
  </w:footnote>
  <w:footnote w:id="13">
    <w:p w:rsidR="007E0C12" w:rsidRPr="00C52E42" w:rsidRDefault="007E0C12" w:rsidP="007E0C12">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w:t>
      </w:r>
      <w:r w:rsidRPr="00C52E42">
        <w:rPr>
          <w:rFonts w:ascii="Arial" w:hAnsi="Arial" w:cs="Arial"/>
          <w:i/>
        </w:rPr>
        <w:t>Raichman’s Estate v Rubin</w:t>
      </w:r>
      <w:r w:rsidRPr="00C52E42">
        <w:rPr>
          <w:rFonts w:ascii="Arial" w:hAnsi="Arial" w:cs="Arial"/>
        </w:rPr>
        <w:t xml:space="preserve"> 1952 (1) SA 127 (C).</w:t>
      </w:r>
    </w:p>
  </w:footnote>
  <w:footnote w:id="14">
    <w:p w:rsidR="002A69B5" w:rsidRPr="00C52E42" w:rsidRDefault="002A69B5">
      <w:pPr>
        <w:pStyle w:val="FootnoteText"/>
        <w:rPr>
          <w:rFonts w:ascii="Arial" w:hAnsi="Arial" w:cs="Arial"/>
        </w:rPr>
      </w:pPr>
      <w:r w:rsidRPr="00C52E42">
        <w:rPr>
          <w:rStyle w:val="FootnoteReference"/>
          <w:rFonts w:ascii="Arial" w:hAnsi="Arial" w:cs="Arial"/>
        </w:rPr>
        <w:footnoteRef/>
      </w:r>
      <w:r w:rsidRPr="00C52E42">
        <w:rPr>
          <w:rFonts w:ascii="Arial" w:hAnsi="Arial" w:cs="Arial"/>
        </w:rPr>
        <w:t xml:space="preserve"> </w:t>
      </w:r>
      <w:r w:rsidR="00CC738C" w:rsidRPr="00C52E42">
        <w:rPr>
          <w:rFonts w:ascii="Arial" w:hAnsi="Arial" w:cs="Arial"/>
        </w:rPr>
        <w:t>2003 (3) SA p628 (T) at 630</w:t>
      </w:r>
      <w:r w:rsidR="00C52E4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1884"/>
      <w:docPartObj>
        <w:docPartGallery w:val="Page Numbers (Top of Page)"/>
        <w:docPartUnique/>
      </w:docPartObj>
    </w:sdtPr>
    <w:sdtEndPr>
      <w:rPr>
        <w:noProof/>
      </w:rPr>
    </w:sdtEndPr>
    <w:sdtContent>
      <w:p w:rsidR="00313E3D" w:rsidRDefault="00D17D87">
        <w:pPr>
          <w:pStyle w:val="Header"/>
          <w:jc w:val="right"/>
        </w:pPr>
        <w:r>
          <w:fldChar w:fldCharType="begin"/>
        </w:r>
        <w:r>
          <w:instrText xml:space="preserve"> PAGE   \* MERGEFORMAT </w:instrText>
        </w:r>
        <w:r>
          <w:fldChar w:fldCharType="separate"/>
        </w:r>
        <w:r w:rsidR="00DA1102">
          <w:rPr>
            <w:noProof/>
          </w:rPr>
          <w:t>2</w:t>
        </w:r>
        <w:r>
          <w:rPr>
            <w:noProof/>
          </w:rPr>
          <w:fldChar w:fldCharType="end"/>
        </w:r>
      </w:p>
    </w:sdtContent>
  </w:sdt>
  <w:p w:rsidR="00313E3D" w:rsidRDefault="004C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D28"/>
    <w:multiLevelType w:val="hybridMultilevel"/>
    <w:tmpl w:val="642A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A3254"/>
    <w:multiLevelType w:val="hybridMultilevel"/>
    <w:tmpl w:val="48A8E6D0"/>
    <w:lvl w:ilvl="0" w:tplc="978C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8E043E"/>
    <w:multiLevelType w:val="hybridMultilevel"/>
    <w:tmpl w:val="AD784F72"/>
    <w:lvl w:ilvl="0" w:tplc="A33C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E2C38"/>
    <w:multiLevelType w:val="hybridMultilevel"/>
    <w:tmpl w:val="88A6BA02"/>
    <w:lvl w:ilvl="0" w:tplc="89AE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469E2"/>
    <w:multiLevelType w:val="hybridMultilevel"/>
    <w:tmpl w:val="449A2B8A"/>
    <w:lvl w:ilvl="0" w:tplc="B51C8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9"/>
    <w:rsid w:val="00054A34"/>
    <w:rsid w:val="000960DA"/>
    <w:rsid w:val="000A3859"/>
    <w:rsid w:val="000C2839"/>
    <w:rsid w:val="000D2AE5"/>
    <w:rsid w:val="00196599"/>
    <w:rsid w:val="001A6858"/>
    <w:rsid w:val="001A6C89"/>
    <w:rsid w:val="001A6CFF"/>
    <w:rsid w:val="0025111A"/>
    <w:rsid w:val="00271FED"/>
    <w:rsid w:val="00282568"/>
    <w:rsid w:val="002A69B5"/>
    <w:rsid w:val="002C0812"/>
    <w:rsid w:val="0032147E"/>
    <w:rsid w:val="0035537F"/>
    <w:rsid w:val="003644B5"/>
    <w:rsid w:val="00380C13"/>
    <w:rsid w:val="0039543F"/>
    <w:rsid w:val="003A2777"/>
    <w:rsid w:val="003B3CB1"/>
    <w:rsid w:val="003F4BAC"/>
    <w:rsid w:val="00460C8A"/>
    <w:rsid w:val="00465A02"/>
    <w:rsid w:val="0049703E"/>
    <w:rsid w:val="004A37FC"/>
    <w:rsid w:val="004C6D0E"/>
    <w:rsid w:val="00530434"/>
    <w:rsid w:val="00530608"/>
    <w:rsid w:val="00532168"/>
    <w:rsid w:val="0053298B"/>
    <w:rsid w:val="00544DDD"/>
    <w:rsid w:val="00576C5D"/>
    <w:rsid w:val="00593639"/>
    <w:rsid w:val="00595778"/>
    <w:rsid w:val="005A5C43"/>
    <w:rsid w:val="005B5169"/>
    <w:rsid w:val="005E61CD"/>
    <w:rsid w:val="0061007C"/>
    <w:rsid w:val="00620C55"/>
    <w:rsid w:val="006B4684"/>
    <w:rsid w:val="006E3DE9"/>
    <w:rsid w:val="006E4A06"/>
    <w:rsid w:val="006F3CCC"/>
    <w:rsid w:val="0071605A"/>
    <w:rsid w:val="00740DBC"/>
    <w:rsid w:val="00742F2E"/>
    <w:rsid w:val="00746E43"/>
    <w:rsid w:val="00761D84"/>
    <w:rsid w:val="00764B34"/>
    <w:rsid w:val="00794EC6"/>
    <w:rsid w:val="007D1E85"/>
    <w:rsid w:val="007E0C12"/>
    <w:rsid w:val="007F15E6"/>
    <w:rsid w:val="007F7786"/>
    <w:rsid w:val="00892AB4"/>
    <w:rsid w:val="008C1EF1"/>
    <w:rsid w:val="00964EF8"/>
    <w:rsid w:val="009809D8"/>
    <w:rsid w:val="009E158D"/>
    <w:rsid w:val="00A214AF"/>
    <w:rsid w:val="00A47268"/>
    <w:rsid w:val="00A53FCF"/>
    <w:rsid w:val="00A73021"/>
    <w:rsid w:val="00AD5CAC"/>
    <w:rsid w:val="00AF0F4D"/>
    <w:rsid w:val="00B1573F"/>
    <w:rsid w:val="00B218E5"/>
    <w:rsid w:val="00B44A1A"/>
    <w:rsid w:val="00B44A84"/>
    <w:rsid w:val="00B66E49"/>
    <w:rsid w:val="00B717D7"/>
    <w:rsid w:val="00B73D1C"/>
    <w:rsid w:val="00B757EF"/>
    <w:rsid w:val="00BA6781"/>
    <w:rsid w:val="00BB337D"/>
    <w:rsid w:val="00BE45C3"/>
    <w:rsid w:val="00C30758"/>
    <w:rsid w:val="00C52E42"/>
    <w:rsid w:val="00C5738E"/>
    <w:rsid w:val="00C948EA"/>
    <w:rsid w:val="00CA0917"/>
    <w:rsid w:val="00CA70C7"/>
    <w:rsid w:val="00CB44EE"/>
    <w:rsid w:val="00CC2CCF"/>
    <w:rsid w:val="00CC738C"/>
    <w:rsid w:val="00CD12C4"/>
    <w:rsid w:val="00CE0F52"/>
    <w:rsid w:val="00CE2E6D"/>
    <w:rsid w:val="00D0351E"/>
    <w:rsid w:val="00D17D87"/>
    <w:rsid w:val="00D248EC"/>
    <w:rsid w:val="00D42FFA"/>
    <w:rsid w:val="00D62392"/>
    <w:rsid w:val="00DA1102"/>
    <w:rsid w:val="00E246CA"/>
    <w:rsid w:val="00E50657"/>
    <w:rsid w:val="00E56516"/>
    <w:rsid w:val="00E5663F"/>
    <w:rsid w:val="00E62F72"/>
    <w:rsid w:val="00E76E79"/>
    <w:rsid w:val="00EB1098"/>
    <w:rsid w:val="00ED2EBA"/>
    <w:rsid w:val="00ED3A1D"/>
    <w:rsid w:val="00F30982"/>
    <w:rsid w:val="00F52B86"/>
    <w:rsid w:val="00F6143E"/>
    <w:rsid w:val="00F663B3"/>
    <w:rsid w:val="00F81C3D"/>
    <w:rsid w:val="00FA4867"/>
    <w:rsid w:val="00FA6CA3"/>
    <w:rsid w:val="00FB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D246-7654-4A54-B19E-3D6332E1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49"/>
  </w:style>
  <w:style w:type="paragraph" w:styleId="Heading1">
    <w:name w:val="heading 1"/>
    <w:basedOn w:val="Normal"/>
    <w:next w:val="Normal"/>
    <w:link w:val="Heading1Char"/>
    <w:uiPriority w:val="9"/>
    <w:qFormat/>
    <w:rsid w:val="00B66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6E49"/>
    <w:pPr>
      <w:spacing w:after="200" w:line="276" w:lineRule="auto"/>
      <w:ind w:left="720"/>
      <w:contextualSpacing/>
    </w:pPr>
  </w:style>
  <w:style w:type="paragraph" w:styleId="Header">
    <w:name w:val="header"/>
    <w:basedOn w:val="Normal"/>
    <w:link w:val="HeaderChar"/>
    <w:uiPriority w:val="99"/>
    <w:unhideWhenUsed/>
    <w:rsid w:val="00B6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49"/>
  </w:style>
  <w:style w:type="paragraph" w:styleId="FootnoteText">
    <w:name w:val="footnote text"/>
    <w:basedOn w:val="Normal"/>
    <w:link w:val="FootnoteTextChar"/>
    <w:uiPriority w:val="99"/>
    <w:unhideWhenUsed/>
    <w:rsid w:val="00B66E49"/>
    <w:pPr>
      <w:spacing w:after="0" w:line="240" w:lineRule="auto"/>
    </w:pPr>
    <w:rPr>
      <w:sz w:val="20"/>
      <w:szCs w:val="20"/>
    </w:rPr>
  </w:style>
  <w:style w:type="character" w:customStyle="1" w:styleId="FootnoteTextChar">
    <w:name w:val="Footnote Text Char"/>
    <w:basedOn w:val="DefaultParagraphFont"/>
    <w:link w:val="FootnoteText"/>
    <w:uiPriority w:val="99"/>
    <w:rsid w:val="00B66E49"/>
    <w:rPr>
      <w:sz w:val="20"/>
      <w:szCs w:val="20"/>
    </w:rPr>
  </w:style>
  <w:style w:type="character" w:styleId="FootnoteReference">
    <w:name w:val="footnote reference"/>
    <w:basedOn w:val="DefaultParagraphFont"/>
    <w:uiPriority w:val="99"/>
    <w:semiHidden/>
    <w:unhideWhenUsed/>
    <w:rsid w:val="00B66E49"/>
    <w:rPr>
      <w:vertAlign w:val="superscript"/>
    </w:rPr>
  </w:style>
  <w:style w:type="paragraph" w:customStyle="1" w:styleId="western">
    <w:name w:val="western"/>
    <w:basedOn w:val="Normal"/>
    <w:rsid w:val="00B157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169"/>
    <w:rPr>
      <w:color w:val="0000FF"/>
      <w:u w:val="single"/>
    </w:rPr>
  </w:style>
  <w:style w:type="paragraph" w:styleId="BodyText">
    <w:name w:val="Body Text"/>
    <w:basedOn w:val="Normal"/>
    <w:link w:val="BodyTextChar"/>
    <w:uiPriority w:val="99"/>
    <w:rsid w:val="005E61CD"/>
    <w:pPr>
      <w:widowControl w:val="0"/>
      <w:autoSpaceDN w:val="0"/>
      <w:adjustRightInd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61CD"/>
    <w:rPr>
      <w:rFonts w:ascii="Times New Roman" w:eastAsia="Times New Roman" w:hAnsi="Times New Roman" w:cs="Times New Roman"/>
      <w:sz w:val="24"/>
      <w:szCs w:val="24"/>
    </w:rPr>
  </w:style>
  <w:style w:type="character" w:customStyle="1" w:styleId="m-1338244475150645214gmail-msofootnotereference">
    <w:name w:val="m_-1338244475150645214gmail-msofootnotereference"/>
    <w:basedOn w:val="DefaultParagraphFont"/>
    <w:rsid w:val="00FB1DE6"/>
  </w:style>
  <w:style w:type="paragraph" w:customStyle="1" w:styleId="m-1338244475150645214gmail-msofootnotetext">
    <w:name w:val="m_-1338244475150645214gmail-msofootnotetext"/>
    <w:basedOn w:val="Normal"/>
    <w:rsid w:val="00FB1D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90666">
      <w:bodyDiv w:val="1"/>
      <w:marLeft w:val="0"/>
      <w:marRight w:val="0"/>
      <w:marTop w:val="0"/>
      <w:marBottom w:val="0"/>
      <w:divBdr>
        <w:top w:val="none" w:sz="0" w:space="0" w:color="auto"/>
        <w:left w:val="none" w:sz="0" w:space="0" w:color="auto"/>
        <w:bottom w:val="none" w:sz="0" w:space="0" w:color="auto"/>
        <w:right w:val="none" w:sz="0" w:space="0" w:color="auto"/>
      </w:divBdr>
    </w:div>
    <w:div w:id="1449853063">
      <w:bodyDiv w:val="1"/>
      <w:marLeft w:val="0"/>
      <w:marRight w:val="0"/>
      <w:marTop w:val="0"/>
      <w:marBottom w:val="0"/>
      <w:divBdr>
        <w:top w:val="none" w:sz="0" w:space="0" w:color="auto"/>
        <w:left w:val="none" w:sz="0" w:space="0" w:color="auto"/>
        <w:bottom w:val="none" w:sz="0" w:space="0" w:color="auto"/>
        <w:right w:val="none" w:sz="0" w:space="0" w:color="auto"/>
      </w:divBdr>
      <w:divsChild>
        <w:div w:id="1246652916">
          <w:marLeft w:val="0"/>
          <w:marRight w:val="0"/>
          <w:marTop w:val="0"/>
          <w:marBottom w:val="0"/>
          <w:divBdr>
            <w:top w:val="none" w:sz="0" w:space="0" w:color="auto"/>
            <w:left w:val="none" w:sz="0" w:space="0" w:color="auto"/>
            <w:bottom w:val="none" w:sz="0" w:space="0" w:color="auto"/>
            <w:right w:val="none" w:sz="0" w:space="0" w:color="auto"/>
          </w:divBdr>
          <w:divsChild>
            <w:div w:id="1039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2017-11-16T18:30:00+00:00</Judgment_x0020_Date>
    <Year xmlns="c1afb1bd-f2fb-40fd-9abb-aea55b4d7662">2017</Year>
  </documentManagement>
</p:properties>
</file>

<file path=customXml/itemProps1.xml><?xml version="1.0" encoding="utf-8"?>
<ds:datastoreItem xmlns:ds="http://schemas.openxmlformats.org/officeDocument/2006/customXml" ds:itemID="{82C98568-F1CB-46A9-9BCB-55F5B4E7EF18}"/>
</file>

<file path=customXml/itemProps2.xml><?xml version="1.0" encoding="utf-8"?>
<ds:datastoreItem xmlns:ds="http://schemas.openxmlformats.org/officeDocument/2006/customXml" ds:itemID="{9FE6D9EF-12EA-4376-A150-CB19371D0C21}"/>
</file>

<file path=customXml/itemProps3.xml><?xml version="1.0" encoding="utf-8"?>
<ds:datastoreItem xmlns:ds="http://schemas.openxmlformats.org/officeDocument/2006/customXml" ds:itemID="{C0C09129-032E-47C4-BB0C-7B7DE83CA2D1}"/>
</file>

<file path=customXml/itemProps4.xml><?xml version="1.0" encoding="utf-8"?>
<ds:datastoreItem xmlns:ds="http://schemas.openxmlformats.org/officeDocument/2006/customXml" ds:itemID="{E4668060-D364-4906-BF12-16473C586EE7}"/>
</file>

<file path=docProps/app.xml><?xml version="1.0" encoding="utf-8"?>
<Properties xmlns="http://schemas.openxmlformats.org/officeDocument/2006/extended-properties" xmlns:vt="http://schemas.openxmlformats.org/officeDocument/2006/docPropsVTypes">
  <Template>Normal</Template>
  <TotalTime>0</TotalTime>
  <Pages>14</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2017-11-20T14:52:00Z</cp:lastPrinted>
  <dcterms:created xsi:type="dcterms:W3CDTF">2017-11-29T15:52:00Z</dcterms:created>
  <dcterms:modified xsi:type="dcterms:W3CDTF">2017-11-29T15:52:00Z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