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42" w:rsidRPr="00493942" w:rsidRDefault="00170268" w:rsidP="00493942">
      <w:pPr>
        <w:jc w:val="right"/>
        <w:rPr>
          <w:rFonts w:ascii="Arial" w:hAnsi="Arial" w:cs="Arial"/>
          <w:b/>
          <w:sz w:val="20"/>
          <w:szCs w:val="24"/>
        </w:rPr>
      </w:pPr>
      <w:r w:rsidRPr="00470E7C">
        <w:rPr>
          <w:rFonts w:ascii="Arial" w:hAnsi="Arial" w:cs="Arial"/>
          <w:b/>
          <w:sz w:val="24"/>
          <w:szCs w:val="24"/>
        </w:rPr>
        <w:t>REPUBLIC OF NAMIBIA</w:t>
      </w:r>
      <w:r w:rsidR="00493942">
        <w:rPr>
          <w:rFonts w:ascii="Arial" w:hAnsi="Arial" w:cs="Arial"/>
          <w:b/>
          <w:sz w:val="24"/>
          <w:szCs w:val="24"/>
        </w:rPr>
        <w:t xml:space="preserve">                  </w:t>
      </w:r>
      <w:r w:rsidR="00493942" w:rsidRPr="00493942">
        <w:rPr>
          <w:rFonts w:ascii="Arial" w:hAnsi="Arial" w:cs="Arial"/>
          <w:b/>
          <w:sz w:val="20"/>
          <w:szCs w:val="24"/>
        </w:rPr>
        <w:t xml:space="preserve"> </w:t>
      </w:r>
      <w:r w:rsidR="00493942" w:rsidRPr="00493942">
        <w:rPr>
          <w:rFonts w:ascii="Arial" w:hAnsi="Arial" w:cs="Arial"/>
          <w:b/>
          <w:sz w:val="20"/>
          <w:szCs w:val="24"/>
        </w:rPr>
        <w:t>NOT REPORTABLE</w:t>
      </w:r>
    </w:p>
    <w:p w:rsidR="005F0D46" w:rsidRPr="00470E7C" w:rsidRDefault="00E50B41" w:rsidP="00170268">
      <w:pPr>
        <w:jc w:val="center"/>
        <w:rPr>
          <w:rFonts w:ascii="Arial" w:hAnsi="Arial" w:cs="Arial"/>
          <w:b/>
          <w:sz w:val="24"/>
          <w:szCs w:val="24"/>
        </w:rPr>
      </w:pP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493942" w:rsidP="00170268">
      <w:pPr>
        <w:jc w:val="right"/>
        <w:rPr>
          <w:rFonts w:ascii="Arial" w:hAnsi="Arial" w:cs="Arial"/>
          <w:b/>
          <w:sz w:val="24"/>
          <w:szCs w:val="24"/>
        </w:rPr>
      </w:pPr>
      <w:r>
        <w:rPr>
          <w:rFonts w:ascii="Arial" w:hAnsi="Arial" w:cs="Arial"/>
          <w:b/>
          <w:sz w:val="24"/>
          <w:szCs w:val="24"/>
        </w:rPr>
        <w:t>C</w:t>
      </w:r>
      <w:r w:rsidR="00170268" w:rsidRPr="00470E7C">
        <w:rPr>
          <w:rFonts w:ascii="Arial" w:hAnsi="Arial" w:cs="Arial"/>
          <w:b/>
          <w:sz w:val="24"/>
          <w:szCs w:val="24"/>
        </w:rPr>
        <w:t>R No:</w:t>
      </w:r>
      <w:r w:rsidR="00A119D2">
        <w:rPr>
          <w:rFonts w:ascii="Arial" w:hAnsi="Arial" w:cs="Arial"/>
          <w:b/>
          <w:sz w:val="24"/>
          <w:szCs w:val="24"/>
        </w:rPr>
        <w:t xml:space="preserve"> 71</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493942">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493942">
        <w:rPr>
          <w:rFonts w:ascii="Arial" w:hAnsi="Arial" w:cs="Arial"/>
          <w:sz w:val="24"/>
          <w:szCs w:val="24"/>
        </w:rPr>
        <w:t>:</w:t>
      </w: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5D5B26" w:rsidP="00D52600">
      <w:pPr>
        <w:spacing w:line="360" w:lineRule="auto"/>
        <w:rPr>
          <w:rFonts w:ascii="Arial" w:hAnsi="Arial" w:cs="Arial"/>
          <w:b/>
          <w:sz w:val="24"/>
          <w:szCs w:val="24"/>
        </w:rPr>
      </w:pPr>
      <w:r>
        <w:rPr>
          <w:rFonts w:ascii="Arial" w:hAnsi="Arial" w:cs="Arial"/>
          <w:b/>
          <w:sz w:val="24"/>
          <w:szCs w:val="24"/>
        </w:rPr>
        <w:t>BRADLEY KHEIBEB</w:t>
      </w: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5D5B26">
        <w:rPr>
          <w:rFonts w:ascii="Arial" w:hAnsi="Arial" w:cs="Arial"/>
          <w:b/>
          <w:sz w:val="24"/>
          <w:szCs w:val="24"/>
        </w:rPr>
        <w:t xml:space="preserve"> 1695</w:t>
      </w:r>
    </w:p>
    <w:p w:rsidR="00170268" w:rsidRPr="00470E7C" w:rsidRDefault="00170268" w:rsidP="00493942">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493942">
        <w:rPr>
          <w:rFonts w:ascii="Arial" w:hAnsi="Arial" w:cs="Arial"/>
          <w:i/>
          <w:sz w:val="24"/>
          <w:szCs w:val="24"/>
        </w:rPr>
        <w:t>S</w:t>
      </w:r>
      <w:r w:rsidR="005D5B26">
        <w:rPr>
          <w:rFonts w:ascii="Arial" w:hAnsi="Arial" w:cs="Arial"/>
          <w:i/>
          <w:sz w:val="24"/>
          <w:szCs w:val="24"/>
        </w:rPr>
        <w:t xml:space="preserve"> v Kheibeb</w:t>
      </w:r>
      <w:r w:rsidR="00CB0D30" w:rsidRPr="00470E7C">
        <w:rPr>
          <w:rFonts w:ascii="Arial" w:hAnsi="Arial" w:cs="Arial"/>
          <w:i/>
          <w:sz w:val="24"/>
          <w:szCs w:val="24"/>
        </w:rPr>
        <w:t xml:space="preserve"> </w:t>
      </w:r>
      <w:r w:rsidR="00A119D2">
        <w:rPr>
          <w:rFonts w:ascii="Arial" w:hAnsi="Arial" w:cs="Arial"/>
          <w:sz w:val="24"/>
          <w:szCs w:val="24"/>
        </w:rPr>
        <w:t>(CR 71/2017) [2017] NAHCMD 351</w:t>
      </w:r>
      <w:r w:rsidR="00C81A84">
        <w:rPr>
          <w:rFonts w:ascii="Arial" w:hAnsi="Arial" w:cs="Arial"/>
          <w:sz w:val="24"/>
          <w:szCs w:val="24"/>
        </w:rPr>
        <w:t xml:space="preserve"> (06</w:t>
      </w:r>
      <w:r w:rsidR="005D5B26">
        <w:rPr>
          <w:rFonts w:ascii="Arial" w:hAnsi="Arial" w:cs="Arial"/>
          <w:sz w:val="24"/>
          <w:szCs w:val="24"/>
        </w:rPr>
        <w:t xml:space="preserve"> December</w:t>
      </w:r>
      <w:r w:rsidR="00B86B40">
        <w:rPr>
          <w:rFonts w:ascii="Arial" w:hAnsi="Arial" w:cs="Arial"/>
          <w:sz w:val="24"/>
          <w:szCs w:val="24"/>
        </w:rPr>
        <w:t xml:space="preserve">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493942"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00170268" w:rsidRPr="00470E7C">
        <w:rPr>
          <w:rFonts w:ascii="Arial" w:hAnsi="Arial" w:cs="Arial"/>
          <w:b/>
          <w:sz w:val="24"/>
          <w:szCs w:val="24"/>
        </w:rPr>
        <w:t>:</w:t>
      </w:r>
      <w:r w:rsidR="00170268" w:rsidRPr="00470E7C">
        <w:rPr>
          <w:rFonts w:ascii="Arial" w:hAnsi="Arial" w:cs="Arial"/>
          <w:b/>
          <w:sz w:val="24"/>
          <w:szCs w:val="24"/>
        </w:rPr>
        <w:tab/>
      </w:r>
      <w:r w:rsidR="00C81A84">
        <w:rPr>
          <w:rFonts w:ascii="Arial" w:hAnsi="Arial" w:cs="Arial"/>
          <w:b/>
          <w:sz w:val="24"/>
          <w:szCs w:val="24"/>
        </w:rPr>
        <w:t xml:space="preserve">ANGULA DJP </w:t>
      </w:r>
      <w:r w:rsidR="00C81A84">
        <w:rPr>
          <w:rFonts w:ascii="Arial" w:hAnsi="Arial" w:cs="Arial"/>
          <w:b/>
          <w:i/>
          <w:sz w:val="24"/>
          <w:szCs w:val="24"/>
        </w:rPr>
        <w:t>et</w:t>
      </w:r>
      <w:r w:rsidR="00C81A84">
        <w:rPr>
          <w:rFonts w:ascii="Arial" w:hAnsi="Arial" w:cs="Arial"/>
          <w:b/>
          <w:sz w:val="24"/>
          <w:szCs w:val="24"/>
        </w:rPr>
        <w:t xml:space="preserve">  LIEBENBERG J</w:t>
      </w:r>
    </w:p>
    <w:p w:rsidR="00170268" w:rsidRPr="00470E7C" w:rsidRDefault="00493942" w:rsidP="00D52600">
      <w:pPr>
        <w:spacing w:line="360" w:lineRule="auto"/>
        <w:ind w:left="1710" w:hanging="1710"/>
        <w:rPr>
          <w:rFonts w:ascii="Arial" w:hAnsi="Arial" w:cs="Arial"/>
          <w:b/>
          <w:sz w:val="24"/>
          <w:szCs w:val="24"/>
        </w:rPr>
      </w:pPr>
      <w:r>
        <w:rPr>
          <w:rFonts w:ascii="Arial" w:hAnsi="Arial" w:cs="Arial"/>
          <w:b/>
          <w:sz w:val="24"/>
          <w:szCs w:val="24"/>
        </w:rPr>
        <w:t>Delivered</w:t>
      </w:r>
      <w:r w:rsidR="00C81A84">
        <w:rPr>
          <w:rFonts w:ascii="Arial" w:hAnsi="Arial" w:cs="Arial"/>
          <w:b/>
          <w:sz w:val="24"/>
          <w:szCs w:val="24"/>
        </w:rPr>
        <w:t>:</w:t>
      </w:r>
      <w:r w:rsidR="00C81A84">
        <w:rPr>
          <w:rFonts w:ascii="Arial" w:hAnsi="Arial" w:cs="Arial"/>
          <w:b/>
          <w:sz w:val="24"/>
          <w:szCs w:val="24"/>
        </w:rPr>
        <w:tab/>
        <w:t>06</w:t>
      </w:r>
      <w:r w:rsidR="005D5B26">
        <w:rPr>
          <w:rFonts w:ascii="Arial" w:hAnsi="Arial" w:cs="Arial"/>
          <w:b/>
          <w:sz w:val="24"/>
          <w:szCs w:val="24"/>
        </w:rPr>
        <w:t xml:space="preserve"> December</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C81A84" w:rsidRPr="00C81A84" w:rsidRDefault="00C81A84" w:rsidP="00C81A84">
      <w:pPr>
        <w:pStyle w:val="ListParagraph"/>
        <w:numPr>
          <w:ilvl w:val="0"/>
          <w:numId w:val="1"/>
        </w:numPr>
        <w:spacing w:line="360" w:lineRule="auto"/>
        <w:jc w:val="both"/>
        <w:rPr>
          <w:rFonts w:ascii="Arial" w:hAnsi="Arial" w:cs="Arial"/>
          <w:sz w:val="24"/>
          <w:szCs w:val="24"/>
        </w:rPr>
      </w:pPr>
      <w:r w:rsidRPr="00C81A84">
        <w:rPr>
          <w:rFonts w:ascii="Arial" w:hAnsi="Arial" w:cs="Arial"/>
          <w:sz w:val="24"/>
          <w:szCs w:val="24"/>
        </w:rPr>
        <w:t>The conviction and sentence are set aside.</w:t>
      </w:r>
    </w:p>
    <w:p w:rsidR="00C81A84" w:rsidRPr="00C81A84" w:rsidRDefault="00C81A84" w:rsidP="00C81A84">
      <w:pPr>
        <w:pStyle w:val="ListParagraph"/>
        <w:numPr>
          <w:ilvl w:val="0"/>
          <w:numId w:val="1"/>
        </w:numPr>
        <w:spacing w:line="360" w:lineRule="auto"/>
        <w:jc w:val="both"/>
        <w:rPr>
          <w:rFonts w:ascii="Arial" w:hAnsi="Arial" w:cs="Arial"/>
          <w:sz w:val="24"/>
          <w:szCs w:val="24"/>
        </w:rPr>
      </w:pPr>
      <w:r w:rsidRPr="00C81A84">
        <w:rPr>
          <w:rFonts w:ascii="Arial" w:hAnsi="Arial" w:cs="Arial"/>
          <w:sz w:val="24"/>
          <w:szCs w:val="24"/>
        </w:rPr>
        <w:lastRenderedPageBreak/>
        <w:t xml:space="preserve">Proceedings to start </w:t>
      </w:r>
      <w:r w:rsidRPr="00C81A84">
        <w:rPr>
          <w:rFonts w:ascii="Arial" w:hAnsi="Arial" w:cs="Arial"/>
          <w:i/>
          <w:sz w:val="24"/>
          <w:szCs w:val="24"/>
        </w:rPr>
        <w:t xml:space="preserve">de novo </w:t>
      </w:r>
      <w:r w:rsidRPr="00C81A84">
        <w:rPr>
          <w:rFonts w:ascii="Arial" w:hAnsi="Arial" w:cs="Arial"/>
          <w:sz w:val="24"/>
          <w:szCs w:val="24"/>
        </w:rPr>
        <w:t>before another magistrate.</w:t>
      </w:r>
    </w:p>
    <w:p w:rsidR="00170268" w:rsidRPr="00C81A84" w:rsidRDefault="00C81A84" w:rsidP="00C81A84">
      <w:pPr>
        <w:pStyle w:val="ListParagraph"/>
        <w:numPr>
          <w:ilvl w:val="0"/>
          <w:numId w:val="1"/>
        </w:numPr>
        <w:spacing w:line="360" w:lineRule="auto"/>
        <w:jc w:val="both"/>
        <w:rPr>
          <w:rFonts w:ascii="Arial" w:hAnsi="Arial" w:cs="Arial"/>
          <w:sz w:val="24"/>
          <w:szCs w:val="24"/>
        </w:rPr>
      </w:pPr>
      <w:r w:rsidRPr="00C81A84">
        <w:rPr>
          <w:rFonts w:ascii="Arial" w:hAnsi="Arial" w:cs="Arial"/>
          <w:sz w:val="24"/>
          <w:szCs w:val="24"/>
        </w:rPr>
        <w:t>In the event of a conviction, any sentence already served by the ac</w:t>
      </w:r>
      <w:r>
        <w:rPr>
          <w:rFonts w:ascii="Arial" w:hAnsi="Arial" w:cs="Arial"/>
          <w:sz w:val="24"/>
          <w:szCs w:val="24"/>
        </w:rPr>
        <w:t>cused must be taken into consideration</w:t>
      </w:r>
      <w:r w:rsidRPr="00C81A84">
        <w:rPr>
          <w:rFonts w:ascii="Arial" w:hAnsi="Arial" w:cs="Arial"/>
          <w:sz w:val="24"/>
          <w:szCs w:val="24"/>
        </w:rPr>
        <w:t xml:space="preserve"> at sentencing.</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C81A84">
        <w:rPr>
          <w:rFonts w:ascii="Arial" w:hAnsi="Arial" w:cs="Arial"/>
          <w:sz w:val="24"/>
          <w:szCs w:val="24"/>
        </w:rPr>
        <w:t>IEBENBERG J: (Concurring ANGULA</w:t>
      </w:r>
      <w:r w:rsidR="00D741DA">
        <w:rPr>
          <w:rFonts w:ascii="Arial" w:hAnsi="Arial" w:cs="Arial"/>
          <w:sz w:val="24"/>
          <w:szCs w:val="24"/>
        </w:rPr>
        <w:t xml:space="preserve"> </w:t>
      </w:r>
      <w:r w:rsidR="00C81A84">
        <w:rPr>
          <w:rFonts w:ascii="Arial" w:hAnsi="Arial" w:cs="Arial"/>
          <w:sz w:val="24"/>
          <w:szCs w:val="24"/>
        </w:rPr>
        <w:t>D</w:t>
      </w:r>
      <w:r w:rsidRPr="00470E7C">
        <w:rPr>
          <w:rFonts w:ascii="Arial" w:hAnsi="Arial" w:cs="Arial"/>
          <w:sz w:val="24"/>
          <w:szCs w:val="24"/>
        </w:rPr>
        <w:t>J</w:t>
      </w:r>
      <w:r w:rsidR="00C81A84">
        <w:rPr>
          <w:rFonts w:ascii="Arial" w:hAnsi="Arial" w:cs="Arial"/>
          <w:sz w:val="24"/>
          <w:szCs w:val="24"/>
        </w:rPr>
        <w:t>P</w:t>
      </w:r>
      <w:r w:rsidRPr="00470E7C">
        <w:rPr>
          <w:rFonts w:ascii="Arial" w:hAnsi="Arial" w:cs="Arial"/>
          <w:sz w:val="24"/>
          <w:szCs w:val="24"/>
        </w:rPr>
        <w:t>)</w:t>
      </w:r>
    </w:p>
    <w:p w:rsidR="00170268" w:rsidRDefault="00170268" w:rsidP="00B10E5B">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5D5B26">
        <w:rPr>
          <w:rFonts w:ascii="Arial" w:hAnsi="Arial" w:cs="Arial"/>
          <w:sz w:val="24"/>
          <w:szCs w:val="24"/>
        </w:rPr>
        <w:t xml:space="preserve">The accused appeared in the </w:t>
      </w:r>
      <w:r w:rsidR="00A91905">
        <w:rPr>
          <w:rFonts w:ascii="Arial" w:hAnsi="Arial" w:cs="Arial"/>
          <w:sz w:val="24"/>
          <w:szCs w:val="24"/>
        </w:rPr>
        <w:t>Mariental Magis</w:t>
      </w:r>
      <w:r w:rsidR="005D5B26">
        <w:rPr>
          <w:rFonts w:ascii="Arial" w:hAnsi="Arial" w:cs="Arial"/>
          <w:sz w:val="24"/>
          <w:szCs w:val="24"/>
        </w:rPr>
        <w:t>t</w:t>
      </w:r>
      <w:r w:rsidR="00A91905">
        <w:rPr>
          <w:rFonts w:ascii="Arial" w:hAnsi="Arial" w:cs="Arial"/>
          <w:sz w:val="24"/>
          <w:szCs w:val="24"/>
        </w:rPr>
        <w:t>r</w:t>
      </w:r>
      <w:r w:rsidR="005D5B26">
        <w:rPr>
          <w:rFonts w:ascii="Arial" w:hAnsi="Arial" w:cs="Arial"/>
          <w:sz w:val="24"/>
          <w:szCs w:val="24"/>
        </w:rPr>
        <w:t>ate’s Court on a charge of theft of cash in the amount of N$3 000 and ‘airtime’ worth N$975. He was convicted on a plea of guilty and sentenced to a fine</w:t>
      </w:r>
      <w:r w:rsidR="00A91905">
        <w:rPr>
          <w:rFonts w:ascii="Arial" w:hAnsi="Arial" w:cs="Arial"/>
          <w:sz w:val="24"/>
          <w:szCs w:val="24"/>
        </w:rPr>
        <w:t xml:space="preserve"> which had not been paid</w:t>
      </w:r>
      <w:r w:rsidR="005D5B26">
        <w:rPr>
          <w:rFonts w:ascii="Arial" w:hAnsi="Arial" w:cs="Arial"/>
          <w:sz w:val="24"/>
          <w:szCs w:val="24"/>
        </w:rPr>
        <w:t>.</w:t>
      </w:r>
    </w:p>
    <w:p w:rsidR="005D5B26" w:rsidRDefault="005D5B26" w:rsidP="00B10E5B">
      <w:pPr>
        <w:spacing w:line="360" w:lineRule="auto"/>
        <w:jc w:val="both"/>
        <w:rPr>
          <w:rFonts w:ascii="Arial" w:hAnsi="Arial" w:cs="Arial"/>
          <w:sz w:val="24"/>
          <w:szCs w:val="24"/>
        </w:rPr>
      </w:pPr>
      <w:r>
        <w:rPr>
          <w:rFonts w:ascii="Arial" w:hAnsi="Arial" w:cs="Arial"/>
          <w:sz w:val="24"/>
          <w:szCs w:val="24"/>
        </w:rPr>
        <w:t>[2]   During the court’</w:t>
      </w:r>
      <w:r w:rsidR="003024C1">
        <w:rPr>
          <w:rFonts w:ascii="Arial" w:hAnsi="Arial" w:cs="Arial"/>
          <w:sz w:val="24"/>
          <w:szCs w:val="24"/>
        </w:rPr>
        <w:t>s questioning in terms of s 112(1)</w:t>
      </w:r>
      <w:r w:rsidR="003024C1">
        <w:rPr>
          <w:rFonts w:ascii="Arial" w:hAnsi="Arial" w:cs="Arial"/>
          <w:i/>
          <w:sz w:val="24"/>
          <w:szCs w:val="24"/>
        </w:rPr>
        <w:t xml:space="preserve">(b) </w:t>
      </w:r>
      <w:r w:rsidR="003024C1">
        <w:rPr>
          <w:rFonts w:ascii="Arial" w:hAnsi="Arial" w:cs="Arial"/>
          <w:sz w:val="24"/>
          <w:szCs w:val="24"/>
        </w:rPr>
        <w:t xml:space="preserve">of the Criminal Procedure Act 51 of 1977, the accused admitted </w:t>
      </w:r>
      <w:r w:rsidR="00A91905">
        <w:rPr>
          <w:rFonts w:ascii="Arial" w:hAnsi="Arial" w:cs="Arial"/>
          <w:sz w:val="24"/>
          <w:szCs w:val="24"/>
        </w:rPr>
        <w:t>taking</w:t>
      </w:r>
      <w:r w:rsidR="003024C1">
        <w:rPr>
          <w:rFonts w:ascii="Arial" w:hAnsi="Arial" w:cs="Arial"/>
          <w:sz w:val="24"/>
          <w:szCs w:val="24"/>
        </w:rPr>
        <w:t xml:space="preserve"> the complainant’s property. In order to establish whether the accused’s act was unlawful, the court asked him whether he had any right or permission to take ‘</w:t>
      </w:r>
      <w:r w:rsidR="003024C1" w:rsidRPr="003024C1">
        <w:rPr>
          <w:rFonts w:ascii="Arial" w:hAnsi="Arial" w:cs="Arial"/>
          <w:sz w:val="24"/>
          <w:szCs w:val="24"/>
          <w:u w:val="single"/>
        </w:rPr>
        <w:t>the 2 rolls of steel wire</w:t>
      </w:r>
      <w:r w:rsidR="003024C1">
        <w:rPr>
          <w:rFonts w:ascii="Arial" w:hAnsi="Arial" w:cs="Arial"/>
          <w:sz w:val="24"/>
          <w:szCs w:val="24"/>
        </w:rPr>
        <w:t xml:space="preserve">’ and whether he knew that it was ‘wrongful and punishable by law to take </w:t>
      </w:r>
      <w:r w:rsidR="003024C1" w:rsidRPr="003024C1">
        <w:rPr>
          <w:rFonts w:ascii="Arial" w:hAnsi="Arial" w:cs="Arial"/>
          <w:sz w:val="24"/>
          <w:szCs w:val="24"/>
          <w:u w:val="single"/>
        </w:rPr>
        <w:t>the wires</w:t>
      </w:r>
      <w:r w:rsidR="003024C1">
        <w:rPr>
          <w:rFonts w:ascii="Arial" w:hAnsi="Arial" w:cs="Arial"/>
          <w:sz w:val="24"/>
          <w:szCs w:val="24"/>
        </w:rPr>
        <w:t xml:space="preserve"> without the owner’s consent’.</w:t>
      </w:r>
      <w:r w:rsidR="00B10E5B">
        <w:rPr>
          <w:rFonts w:ascii="Arial" w:hAnsi="Arial" w:cs="Arial"/>
          <w:sz w:val="24"/>
          <w:szCs w:val="24"/>
        </w:rPr>
        <w:t xml:space="preserve"> Upon answering in the affirmative, the court convicted.</w:t>
      </w:r>
    </w:p>
    <w:p w:rsidR="003024C1" w:rsidRDefault="003024C1" w:rsidP="00E82CA4">
      <w:pPr>
        <w:spacing w:line="360" w:lineRule="auto"/>
        <w:jc w:val="both"/>
        <w:rPr>
          <w:rFonts w:ascii="Arial" w:hAnsi="Arial" w:cs="Arial"/>
          <w:sz w:val="24"/>
          <w:szCs w:val="24"/>
        </w:rPr>
      </w:pPr>
      <w:r>
        <w:rPr>
          <w:rFonts w:ascii="Arial" w:hAnsi="Arial" w:cs="Arial"/>
          <w:sz w:val="24"/>
          <w:szCs w:val="24"/>
        </w:rPr>
        <w:t xml:space="preserve">[3]   Whereas the accused had not been charged with theft of any rolls of steel wire, </w:t>
      </w:r>
      <w:r w:rsidR="00E82CA4">
        <w:rPr>
          <w:rFonts w:ascii="Arial" w:hAnsi="Arial" w:cs="Arial"/>
          <w:sz w:val="24"/>
          <w:szCs w:val="24"/>
        </w:rPr>
        <w:t>it is beyond comprehension how the court diverted its attention</w:t>
      </w:r>
      <w:r w:rsidR="00C81A84">
        <w:rPr>
          <w:rFonts w:ascii="Arial" w:hAnsi="Arial" w:cs="Arial"/>
          <w:sz w:val="24"/>
          <w:szCs w:val="24"/>
        </w:rPr>
        <w:t xml:space="preserve"> away</w:t>
      </w:r>
      <w:r w:rsidR="00E82CA4">
        <w:rPr>
          <w:rFonts w:ascii="Arial" w:hAnsi="Arial" w:cs="Arial"/>
          <w:sz w:val="24"/>
          <w:szCs w:val="24"/>
        </w:rPr>
        <w:t xml:space="preserve"> from what is contained in the charge before court</w:t>
      </w:r>
      <w:r w:rsidR="00B10E5B">
        <w:rPr>
          <w:rFonts w:ascii="Arial" w:hAnsi="Arial" w:cs="Arial"/>
          <w:sz w:val="24"/>
          <w:szCs w:val="24"/>
        </w:rPr>
        <w:t>,</w:t>
      </w:r>
      <w:r w:rsidR="00E82CA4">
        <w:rPr>
          <w:rFonts w:ascii="Arial" w:hAnsi="Arial" w:cs="Arial"/>
          <w:sz w:val="24"/>
          <w:szCs w:val="24"/>
        </w:rPr>
        <w:t xml:space="preserve"> to something which was</w:t>
      </w:r>
      <w:r w:rsidR="00C81A84">
        <w:rPr>
          <w:rFonts w:ascii="Arial" w:hAnsi="Arial" w:cs="Arial"/>
          <w:sz w:val="24"/>
          <w:szCs w:val="24"/>
        </w:rPr>
        <w:t xml:space="preserve"> clearly</w:t>
      </w:r>
      <w:r w:rsidR="00F43590">
        <w:rPr>
          <w:rFonts w:ascii="Arial" w:hAnsi="Arial" w:cs="Arial"/>
          <w:sz w:val="24"/>
          <w:szCs w:val="24"/>
        </w:rPr>
        <w:t xml:space="preserve"> not. However, what it</w:t>
      </w:r>
      <w:r w:rsidR="00E82CA4">
        <w:rPr>
          <w:rFonts w:ascii="Arial" w:hAnsi="Arial" w:cs="Arial"/>
          <w:sz w:val="24"/>
          <w:szCs w:val="24"/>
        </w:rPr>
        <w:t xml:space="preserve"> does show is that the magistrate’s mind was at sea and not in court where it should have been. In this instance the accused was convicted of theft of rolls of wires for which </w:t>
      </w:r>
      <w:r w:rsidR="00B10E5B">
        <w:rPr>
          <w:rFonts w:ascii="Arial" w:hAnsi="Arial" w:cs="Arial"/>
          <w:sz w:val="24"/>
          <w:szCs w:val="24"/>
        </w:rPr>
        <w:t xml:space="preserve">he </w:t>
      </w:r>
      <w:r w:rsidR="00E82CA4">
        <w:rPr>
          <w:rFonts w:ascii="Arial" w:hAnsi="Arial" w:cs="Arial"/>
          <w:sz w:val="24"/>
          <w:szCs w:val="24"/>
        </w:rPr>
        <w:t>had not even been charged! To make matters worse, he ended up in prison as a result thereof. The irregularity co</w:t>
      </w:r>
      <w:r w:rsidR="002D7AFF">
        <w:rPr>
          <w:rFonts w:ascii="Arial" w:hAnsi="Arial" w:cs="Arial"/>
          <w:sz w:val="24"/>
          <w:szCs w:val="24"/>
        </w:rPr>
        <w:t>mmitted in this instance constitutes such grave</w:t>
      </w:r>
      <w:r w:rsidR="00E82CA4">
        <w:rPr>
          <w:rFonts w:ascii="Arial" w:hAnsi="Arial" w:cs="Arial"/>
          <w:sz w:val="24"/>
          <w:szCs w:val="24"/>
        </w:rPr>
        <w:t xml:space="preserve"> </w:t>
      </w:r>
      <w:r w:rsidR="002D7AFF">
        <w:rPr>
          <w:rFonts w:ascii="Arial" w:hAnsi="Arial" w:cs="Arial"/>
          <w:sz w:val="24"/>
          <w:szCs w:val="24"/>
        </w:rPr>
        <w:t xml:space="preserve">injustice done to the accused </w:t>
      </w:r>
      <w:r w:rsidR="00E82CA4">
        <w:rPr>
          <w:rFonts w:ascii="Arial" w:hAnsi="Arial" w:cs="Arial"/>
          <w:sz w:val="24"/>
          <w:szCs w:val="24"/>
        </w:rPr>
        <w:t>that it vitiates</w:t>
      </w:r>
      <w:r w:rsidR="002D7AFF">
        <w:rPr>
          <w:rFonts w:ascii="Arial" w:hAnsi="Arial" w:cs="Arial"/>
          <w:sz w:val="24"/>
          <w:szCs w:val="24"/>
        </w:rPr>
        <w:t xml:space="preserve"> the entire proceedings and </w:t>
      </w:r>
      <w:r w:rsidR="00B10E5B">
        <w:rPr>
          <w:rFonts w:ascii="Arial" w:hAnsi="Arial" w:cs="Arial"/>
          <w:sz w:val="24"/>
          <w:szCs w:val="24"/>
        </w:rPr>
        <w:t xml:space="preserve">therefore </w:t>
      </w:r>
      <w:r w:rsidR="002D7AFF">
        <w:rPr>
          <w:rFonts w:ascii="Arial" w:hAnsi="Arial" w:cs="Arial"/>
          <w:sz w:val="24"/>
          <w:szCs w:val="24"/>
        </w:rPr>
        <w:t>falls to be set aside on review.</w:t>
      </w:r>
    </w:p>
    <w:p w:rsidR="002D7AFF" w:rsidRDefault="002D7AFF" w:rsidP="00E82CA4">
      <w:pPr>
        <w:spacing w:line="360" w:lineRule="auto"/>
        <w:jc w:val="both"/>
        <w:rPr>
          <w:rFonts w:ascii="Arial" w:hAnsi="Arial" w:cs="Arial"/>
          <w:sz w:val="24"/>
          <w:szCs w:val="24"/>
        </w:rPr>
      </w:pPr>
      <w:r>
        <w:rPr>
          <w:rFonts w:ascii="Arial" w:hAnsi="Arial" w:cs="Arial"/>
          <w:sz w:val="24"/>
          <w:szCs w:val="24"/>
        </w:rPr>
        <w:t>[4]   Whereas the conviction and sentence are clearly not in accordance with justice</w:t>
      </w:r>
      <w:r w:rsidR="00B10E5B">
        <w:rPr>
          <w:rFonts w:ascii="Arial" w:hAnsi="Arial" w:cs="Arial"/>
          <w:sz w:val="24"/>
          <w:szCs w:val="24"/>
        </w:rPr>
        <w:t>,</w:t>
      </w:r>
      <w:r>
        <w:rPr>
          <w:rFonts w:ascii="Arial" w:hAnsi="Arial" w:cs="Arial"/>
          <w:sz w:val="24"/>
          <w:szCs w:val="24"/>
        </w:rPr>
        <w:t xml:space="preserve"> and t</w:t>
      </w:r>
      <w:r w:rsidR="00B10E5B">
        <w:rPr>
          <w:rFonts w:ascii="Arial" w:hAnsi="Arial" w:cs="Arial"/>
          <w:sz w:val="24"/>
          <w:szCs w:val="24"/>
        </w:rPr>
        <w:t>o prevent any further prejudice</w:t>
      </w:r>
      <w:r w:rsidR="00180D89">
        <w:rPr>
          <w:rFonts w:ascii="Arial" w:hAnsi="Arial" w:cs="Arial"/>
          <w:sz w:val="24"/>
          <w:szCs w:val="24"/>
        </w:rPr>
        <w:t xml:space="preserve"> done </w:t>
      </w:r>
      <w:r>
        <w:rPr>
          <w:rFonts w:ascii="Arial" w:hAnsi="Arial" w:cs="Arial"/>
          <w:sz w:val="24"/>
          <w:szCs w:val="24"/>
        </w:rPr>
        <w:t xml:space="preserve">to the accused, </w:t>
      </w:r>
      <w:r w:rsidR="00B10E5B">
        <w:rPr>
          <w:rFonts w:ascii="Arial" w:hAnsi="Arial" w:cs="Arial"/>
          <w:sz w:val="24"/>
          <w:szCs w:val="24"/>
        </w:rPr>
        <w:t>this in an instance where the review court may act</w:t>
      </w:r>
      <w:r w:rsidR="00180D89">
        <w:rPr>
          <w:rFonts w:ascii="Arial" w:hAnsi="Arial" w:cs="Arial"/>
          <w:sz w:val="24"/>
          <w:szCs w:val="24"/>
        </w:rPr>
        <w:t xml:space="preserve"> in </w:t>
      </w:r>
      <w:r w:rsidR="00E2240F">
        <w:rPr>
          <w:rFonts w:ascii="Arial" w:hAnsi="Arial" w:cs="Arial"/>
          <w:sz w:val="24"/>
          <w:szCs w:val="24"/>
        </w:rPr>
        <w:t>accordance with</w:t>
      </w:r>
      <w:r w:rsidR="00180D89">
        <w:rPr>
          <w:rFonts w:ascii="Arial" w:hAnsi="Arial" w:cs="Arial"/>
          <w:sz w:val="24"/>
          <w:szCs w:val="24"/>
        </w:rPr>
        <w:t xml:space="preserve"> s 304(2)</w:t>
      </w:r>
      <w:r w:rsidR="00180D89">
        <w:rPr>
          <w:rFonts w:ascii="Arial" w:hAnsi="Arial" w:cs="Arial"/>
          <w:i/>
          <w:sz w:val="24"/>
          <w:szCs w:val="24"/>
        </w:rPr>
        <w:t xml:space="preserve">(a) </w:t>
      </w:r>
      <w:r w:rsidR="00180D89">
        <w:rPr>
          <w:rFonts w:ascii="Arial" w:hAnsi="Arial" w:cs="Arial"/>
          <w:sz w:val="24"/>
          <w:szCs w:val="24"/>
        </w:rPr>
        <w:t xml:space="preserve">of the Criminal Procedure Act, 1977 </w:t>
      </w:r>
      <w:r w:rsidR="00E2240F">
        <w:rPr>
          <w:rFonts w:ascii="Arial" w:hAnsi="Arial" w:cs="Arial"/>
          <w:sz w:val="24"/>
          <w:szCs w:val="24"/>
        </w:rPr>
        <w:t xml:space="preserve">and </w:t>
      </w:r>
      <w:r w:rsidR="00B10E5B">
        <w:rPr>
          <w:rFonts w:ascii="Arial" w:hAnsi="Arial" w:cs="Arial"/>
          <w:sz w:val="24"/>
          <w:szCs w:val="24"/>
        </w:rPr>
        <w:t xml:space="preserve">dispose of </w:t>
      </w:r>
      <w:r w:rsidR="00C81A84">
        <w:rPr>
          <w:rFonts w:ascii="Arial" w:hAnsi="Arial" w:cs="Arial"/>
          <w:sz w:val="24"/>
          <w:szCs w:val="24"/>
        </w:rPr>
        <w:t xml:space="preserve">first </w:t>
      </w:r>
      <w:r w:rsidR="00180D89">
        <w:rPr>
          <w:rFonts w:ascii="Arial" w:hAnsi="Arial" w:cs="Arial"/>
          <w:sz w:val="24"/>
          <w:szCs w:val="24"/>
        </w:rPr>
        <w:t>obtain</w:t>
      </w:r>
      <w:r w:rsidR="00E2240F">
        <w:rPr>
          <w:rFonts w:ascii="Arial" w:hAnsi="Arial" w:cs="Arial"/>
          <w:sz w:val="24"/>
          <w:szCs w:val="24"/>
        </w:rPr>
        <w:t>ing</w:t>
      </w:r>
      <w:r w:rsidR="00180D89">
        <w:rPr>
          <w:rFonts w:ascii="Arial" w:hAnsi="Arial" w:cs="Arial"/>
          <w:sz w:val="24"/>
          <w:szCs w:val="24"/>
        </w:rPr>
        <w:t xml:space="preserve"> a statement from the presiding magistrate</w:t>
      </w:r>
      <w:r w:rsidR="00B10E5B">
        <w:rPr>
          <w:rFonts w:ascii="Arial" w:hAnsi="Arial" w:cs="Arial"/>
          <w:sz w:val="24"/>
          <w:szCs w:val="24"/>
        </w:rPr>
        <w:t>,</w:t>
      </w:r>
      <w:r w:rsidR="00180D89">
        <w:rPr>
          <w:rFonts w:ascii="Arial" w:hAnsi="Arial" w:cs="Arial"/>
          <w:sz w:val="24"/>
          <w:szCs w:val="24"/>
        </w:rPr>
        <w:t xml:space="preserve"> as </w:t>
      </w:r>
      <w:r w:rsidR="00E2240F">
        <w:rPr>
          <w:rFonts w:ascii="Arial" w:hAnsi="Arial" w:cs="Arial"/>
          <w:sz w:val="24"/>
          <w:szCs w:val="24"/>
        </w:rPr>
        <w:t>it is evident that</w:t>
      </w:r>
      <w:r w:rsidR="00B10E5B">
        <w:rPr>
          <w:rFonts w:ascii="Arial" w:hAnsi="Arial" w:cs="Arial"/>
          <w:sz w:val="24"/>
          <w:szCs w:val="24"/>
        </w:rPr>
        <w:t xml:space="preserve"> </w:t>
      </w:r>
      <w:r w:rsidR="00180D89">
        <w:rPr>
          <w:rFonts w:ascii="Arial" w:hAnsi="Arial" w:cs="Arial"/>
          <w:sz w:val="24"/>
          <w:szCs w:val="24"/>
        </w:rPr>
        <w:lastRenderedPageBreak/>
        <w:t xml:space="preserve">no </w:t>
      </w:r>
      <w:r w:rsidR="00B10E5B">
        <w:rPr>
          <w:rFonts w:ascii="Arial" w:hAnsi="Arial" w:cs="Arial"/>
          <w:sz w:val="24"/>
          <w:szCs w:val="24"/>
        </w:rPr>
        <w:t xml:space="preserve">reasonable </w:t>
      </w:r>
      <w:r w:rsidR="00180D89">
        <w:rPr>
          <w:rFonts w:ascii="Arial" w:hAnsi="Arial" w:cs="Arial"/>
          <w:sz w:val="24"/>
          <w:szCs w:val="24"/>
        </w:rPr>
        <w:t xml:space="preserve">explanation could possibly </w:t>
      </w:r>
      <w:r w:rsidR="00C81A84">
        <w:rPr>
          <w:rFonts w:ascii="Arial" w:hAnsi="Arial" w:cs="Arial"/>
          <w:sz w:val="24"/>
          <w:szCs w:val="24"/>
        </w:rPr>
        <w:t xml:space="preserve">be proffered to </w:t>
      </w:r>
      <w:r w:rsidR="00B10E5B">
        <w:rPr>
          <w:rFonts w:ascii="Arial" w:hAnsi="Arial" w:cs="Arial"/>
          <w:sz w:val="24"/>
          <w:szCs w:val="24"/>
        </w:rPr>
        <w:t>undo the irregularity committed herein</w:t>
      </w:r>
      <w:r w:rsidR="00180D89">
        <w:rPr>
          <w:rFonts w:ascii="Arial" w:hAnsi="Arial" w:cs="Arial"/>
          <w:sz w:val="24"/>
          <w:szCs w:val="24"/>
        </w:rPr>
        <w:t>.</w:t>
      </w:r>
    </w:p>
    <w:p w:rsidR="00180D89" w:rsidRDefault="00180D89" w:rsidP="00E82CA4">
      <w:pPr>
        <w:spacing w:line="360" w:lineRule="auto"/>
        <w:jc w:val="both"/>
        <w:rPr>
          <w:rFonts w:ascii="Arial" w:hAnsi="Arial" w:cs="Arial"/>
          <w:sz w:val="24"/>
          <w:szCs w:val="24"/>
        </w:rPr>
      </w:pPr>
      <w:r>
        <w:rPr>
          <w:rFonts w:ascii="Arial" w:hAnsi="Arial" w:cs="Arial"/>
          <w:sz w:val="24"/>
          <w:szCs w:val="24"/>
        </w:rPr>
        <w:t>[5]   A disquieting feature of review cases received from the relevant magistrate</w:t>
      </w:r>
      <w:r w:rsidR="00E2240F">
        <w:rPr>
          <w:rFonts w:ascii="Arial" w:hAnsi="Arial" w:cs="Arial"/>
          <w:sz w:val="24"/>
          <w:szCs w:val="24"/>
        </w:rPr>
        <w:t>’s court</w:t>
      </w:r>
      <w:r>
        <w:rPr>
          <w:rFonts w:ascii="Arial" w:hAnsi="Arial" w:cs="Arial"/>
          <w:sz w:val="24"/>
          <w:szCs w:val="24"/>
        </w:rPr>
        <w:t xml:space="preserve"> reflect that cases are certified as correct and ready to be sent on review whilst they are actually riddled with mistakes and inaccuracies, and seldom satisfy the prescribed procedures set out in the Codified Instructions. It remains the responsibility of the presiding magistrate to forward review cases to the registrar </w:t>
      </w:r>
      <w:r w:rsidR="00C81A84">
        <w:rPr>
          <w:rFonts w:ascii="Arial" w:hAnsi="Arial" w:cs="Arial"/>
          <w:sz w:val="24"/>
          <w:szCs w:val="24"/>
        </w:rPr>
        <w:t xml:space="preserve">only when </w:t>
      </w:r>
      <w:r>
        <w:rPr>
          <w:rFonts w:ascii="Arial" w:hAnsi="Arial" w:cs="Arial"/>
          <w:sz w:val="24"/>
          <w:szCs w:val="24"/>
        </w:rPr>
        <w:t>these requirements</w:t>
      </w:r>
      <w:r w:rsidR="00C81A84">
        <w:rPr>
          <w:rFonts w:ascii="Arial" w:hAnsi="Arial" w:cs="Arial"/>
          <w:sz w:val="24"/>
          <w:szCs w:val="24"/>
        </w:rPr>
        <w:t xml:space="preserve"> have been met</w:t>
      </w:r>
      <w:r>
        <w:rPr>
          <w:rFonts w:ascii="Arial" w:hAnsi="Arial" w:cs="Arial"/>
          <w:sz w:val="24"/>
          <w:szCs w:val="24"/>
        </w:rPr>
        <w:t>.</w:t>
      </w:r>
    </w:p>
    <w:p w:rsidR="00A91905" w:rsidRDefault="00A91905" w:rsidP="00E82CA4">
      <w:pPr>
        <w:spacing w:line="360" w:lineRule="auto"/>
        <w:jc w:val="both"/>
        <w:rPr>
          <w:rFonts w:ascii="Arial" w:hAnsi="Arial" w:cs="Arial"/>
          <w:sz w:val="24"/>
          <w:szCs w:val="24"/>
        </w:rPr>
      </w:pPr>
      <w:r>
        <w:rPr>
          <w:rFonts w:ascii="Arial" w:hAnsi="Arial" w:cs="Arial"/>
          <w:sz w:val="24"/>
          <w:szCs w:val="24"/>
        </w:rPr>
        <w:t xml:space="preserve">[6]   In view of the accused’s record of previous convictions having </w:t>
      </w:r>
      <w:r w:rsidR="00E2240F">
        <w:rPr>
          <w:rFonts w:ascii="Arial" w:hAnsi="Arial" w:cs="Arial"/>
          <w:sz w:val="24"/>
          <w:szCs w:val="24"/>
        </w:rPr>
        <w:t xml:space="preserve">already </w:t>
      </w:r>
      <w:r>
        <w:rPr>
          <w:rFonts w:ascii="Arial" w:hAnsi="Arial" w:cs="Arial"/>
          <w:sz w:val="24"/>
          <w:szCs w:val="24"/>
        </w:rPr>
        <w:t>been admitted into evidence, it would in my view not be proper to remit proceedings in terms of s 312(1) to be continued before the same magistrate. In the circumstances justice would best be served if the accused is brought before another magistrate.</w:t>
      </w:r>
    </w:p>
    <w:p w:rsidR="00180D89" w:rsidRDefault="00A91905" w:rsidP="00E82CA4">
      <w:pPr>
        <w:spacing w:line="360" w:lineRule="auto"/>
        <w:jc w:val="both"/>
        <w:rPr>
          <w:rFonts w:ascii="Arial" w:hAnsi="Arial" w:cs="Arial"/>
          <w:sz w:val="24"/>
          <w:szCs w:val="24"/>
        </w:rPr>
      </w:pPr>
      <w:r>
        <w:rPr>
          <w:rFonts w:ascii="Arial" w:hAnsi="Arial" w:cs="Arial"/>
          <w:sz w:val="24"/>
          <w:szCs w:val="24"/>
        </w:rPr>
        <w:t>[7</w:t>
      </w:r>
      <w:r w:rsidR="00180D89">
        <w:rPr>
          <w:rFonts w:ascii="Arial" w:hAnsi="Arial" w:cs="Arial"/>
          <w:sz w:val="24"/>
          <w:szCs w:val="24"/>
        </w:rPr>
        <w:t>]   In the result, it is ordered:</w:t>
      </w:r>
    </w:p>
    <w:p w:rsidR="00180D89" w:rsidRPr="00C81A84" w:rsidRDefault="00180D89" w:rsidP="00C81A84">
      <w:pPr>
        <w:pStyle w:val="ListParagraph"/>
        <w:numPr>
          <w:ilvl w:val="0"/>
          <w:numId w:val="2"/>
        </w:numPr>
        <w:spacing w:line="360" w:lineRule="auto"/>
        <w:jc w:val="both"/>
        <w:rPr>
          <w:rFonts w:ascii="Arial" w:hAnsi="Arial" w:cs="Arial"/>
          <w:sz w:val="24"/>
          <w:szCs w:val="24"/>
        </w:rPr>
      </w:pPr>
      <w:r w:rsidRPr="00C81A84">
        <w:rPr>
          <w:rFonts w:ascii="Arial" w:hAnsi="Arial" w:cs="Arial"/>
          <w:sz w:val="24"/>
          <w:szCs w:val="24"/>
        </w:rPr>
        <w:t>The conviction and sentence are set aside.</w:t>
      </w:r>
    </w:p>
    <w:p w:rsidR="00A91905" w:rsidRPr="00C81A84" w:rsidRDefault="00A91905" w:rsidP="00C81A84">
      <w:pPr>
        <w:pStyle w:val="ListParagraph"/>
        <w:numPr>
          <w:ilvl w:val="0"/>
          <w:numId w:val="2"/>
        </w:numPr>
        <w:spacing w:line="360" w:lineRule="auto"/>
        <w:jc w:val="both"/>
        <w:rPr>
          <w:rFonts w:ascii="Arial" w:hAnsi="Arial" w:cs="Arial"/>
          <w:sz w:val="24"/>
          <w:szCs w:val="24"/>
        </w:rPr>
      </w:pPr>
      <w:r w:rsidRPr="00C81A84">
        <w:rPr>
          <w:rFonts w:ascii="Arial" w:hAnsi="Arial" w:cs="Arial"/>
          <w:sz w:val="24"/>
          <w:szCs w:val="24"/>
        </w:rPr>
        <w:t xml:space="preserve">Proceedings to start </w:t>
      </w:r>
      <w:r w:rsidRPr="00C81A84">
        <w:rPr>
          <w:rFonts w:ascii="Arial" w:hAnsi="Arial" w:cs="Arial"/>
          <w:i/>
          <w:sz w:val="24"/>
          <w:szCs w:val="24"/>
        </w:rPr>
        <w:t xml:space="preserve">de novo </w:t>
      </w:r>
      <w:r w:rsidRPr="00C81A84">
        <w:rPr>
          <w:rFonts w:ascii="Arial" w:hAnsi="Arial" w:cs="Arial"/>
          <w:sz w:val="24"/>
          <w:szCs w:val="24"/>
        </w:rPr>
        <w:t>before another magistrate.</w:t>
      </w:r>
    </w:p>
    <w:p w:rsidR="00180D89" w:rsidRDefault="00A91905" w:rsidP="00C81A84">
      <w:pPr>
        <w:pStyle w:val="ListParagraph"/>
        <w:numPr>
          <w:ilvl w:val="0"/>
          <w:numId w:val="2"/>
        </w:numPr>
        <w:spacing w:line="360" w:lineRule="auto"/>
        <w:jc w:val="both"/>
        <w:rPr>
          <w:rFonts w:ascii="Arial" w:hAnsi="Arial" w:cs="Arial"/>
          <w:sz w:val="24"/>
          <w:szCs w:val="24"/>
        </w:rPr>
      </w:pPr>
      <w:r w:rsidRPr="00C81A84">
        <w:rPr>
          <w:rFonts w:ascii="Arial" w:hAnsi="Arial" w:cs="Arial"/>
          <w:sz w:val="24"/>
          <w:szCs w:val="24"/>
        </w:rPr>
        <w:t>In the event of a conviction, any sentence already served by the ac</w:t>
      </w:r>
      <w:r w:rsidR="00C81A84">
        <w:rPr>
          <w:rFonts w:ascii="Arial" w:hAnsi="Arial" w:cs="Arial"/>
          <w:sz w:val="24"/>
          <w:szCs w:val="24"/>
        </w:rPr>
        <w:t>cused must be taken into consideration</w:t>
      </w:r>
      <w:r w:rsidRPr="00C81A84">
        <w:rPr>
          <w:rFonts w:ascii="Arial" w:hAnsi="Arial" w:cs="Arial"/>
          <w:sz w:val="24"/>
          <w:szCs w:val="24"/>
        </w:rPr>
        <w:t xml:space="preserve"> at sentencing.</w:t>
      </w:r>
    </w:p>
    <w:p w:rsidR="00493942" w:rsidRPr="00C81A84" w:rsidRDefault="00493942" w:rsidP="00493942">
      <w:pPr>
        <w:pStyle w:val="ListParagraph"/>
        <w:spacing w:line="360" w:lineRule="auto"/>
        <w:jc w:val="both"/>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4C31F9" w:rsidP="00170268">
      <w:pPr>
        <w:jc w:val="right"/>
        <w:rPr>
          <w:rFonts w:ascii="Arial" w:hAnsi="Arial" w:cs="Arial"/>
          <w:b/>
          <w:sz w:val="24"/>
          <w:szCs w:val="24"/>
        </w:rPr>
      </w:pPr>
      <w:r>
        <w:rPr>
          <w:rFonts w:ascii="Arial" w:hAnsi="Arial" w:cs="Arial"/>
          <w:b/>
          <w:sz w:val="24"/>
          <w:szCs w:val="24"/>
        </w:rPr>
        <w:t>E H T ANGULA</w:t>
      </w:r>
    </w:p>
    <w:p w:rsidR="00170268" w:rsidRPr="00170268" w:rsidRDefault="00170268" w:rsidP="00493942">
      <w:pPr>
        <w:jc w:val="right"/>
        <w:rPr>
          <w:rFonts w:ascii="Arial" w:hAnsi="Arial" w:cs="Arial"/>
          <w:sz w:val="24"/>
          <w:szCs w:val="24"/>
        </w:rPr>
      </w:pPr>
      <w:r w:rsidRPr="00470E7C">
        <w:rPr>
          <w:rFonts w:ascii="Arial" w:hAnsi="Arial" w:cs="Arial"/>
          <w:b/>
          <w:sz w:val="24"/>
          <w:szCs w:val="24"/>
        </w:rPr>
        <w:t>JUDGE</w:t>
      </w: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41" w:rsidRDefault="00E50B41" w:rsidP="0048420C">
      <w:pPr>
        <w:spacing w:after="0" w:line="240" w:lineRule="auto"/>
      </w:pPr>
      <w:r>
        <w:separator/>
      </w:r>
    </w:p>
  </w:endnote>
  <w:endnote w:type="continuationSeparator" w:id="0">
    <w:p w:rsidR="00E50B41" w:rsidRDefault="00E50B41"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41" w:rsidRDefault="00E50B41" w:rsidP="0048420C">
      <w:pPr>
        <w:spacing w:after="0" w:line="240" w:lineRule="auto"/>
      </w:pPr>
      <w:r>
        <w:separator/>
      </w:r>
    </w:p>
  </w:footnote>
  <w:footnote w:type="continuationSeparator" w:id="0">
    <w:p w:rsidR="00E50B41" w:rsidRDefault="00E50B41"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493942">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81DDA"/>
    <w:multiLevelType w:val="hybridMultilevel"/>
    <w:tmpl w:val="C7C2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23262"/>
    <w:multiLevelType w:val="hybridMultilevel"/>
    <w:tmpl w:val="2CE8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70268"/>
    <w:rsid w:val="00180D89"/>
    <w:rsid w:val="002D7AFF"/>
    <w:rsid w:val="003024C1"/>
    <w:rsid w:val="003B39C3"/>
    <w:rsid w:val="00470E7C"/>
    <w:rsid w:val="0048420C"/>
    <w:rsid w:val="00493942"/>
    <w:rsid w:val="004C31F9"/>
    <w:rsid w:val="00581E8A"/>
    <w:rsid w:val="005D5B26"/>
    <w:rsid w:val="006B7C1C"/>
    <w:rsid w:val="007C5465"/>
    <w:rsid w:val="007D5ABE"/>
    <w:rsid w:val="007D6808"/>
    <w:rsid w:val="008F1AC9"/>
    <w:rsid w:val="009974D9"/>
    <w:rsid w:val="009D25EC"/>
    <w:rsid w:val="00A119D2"/>
    <w:rsid w:val="00A34327"/>
    <w:rsid w:val="00A44EE8"/>
    <w:rsid w:val="00A91905"/>
    <w:rsid w:val="00AE2289"/>
    <w:rsid w:val="00B10E5B"/>
    <w:rsid w:val="00B7175E"/>
    <w:rsid w:val="00B86B40"/>
    <w:rsid w:val="00C81A84"/>
    <w:rsid w:val="00CB0D30"/>
    <w:rsid w:val="00D46569"/>
    <w:rsid w:val="00D52600"/>
    <w:rsid w:val="00D741DA"/>
    <w:rsid w:val="00D804EC"/>
    <w:rsid w:val="00E2240F"/>
    <w:rsid w:val="00E23B50"/>
    <w:rsid w:val="00E401CB"/>
    <w:rsid w:val="00E50B41"/>
    <w:rsid w:val="00E82CA4"/>
    <w:rsid w:val="00EE0D6A"/>
    <w:rsid w:val="00F4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C81A84"/>
    <w:pPr>
      <w:ind w:left="720"/>
      <w:contextualSpacing/>
    </w:pPr>
  </w:style>
  <w:style w:type="paragraph" w:styleId="BalloonText">
    <w:name w:val="Balloon Text"/>
    <w:basedOn w:val="Normal"/>
    <w:link w:val="BalloonTextChar"/>
    <w:uiPriority w:val="99"/>
    <w:semiHidden/>
    <w:unhideWhenUsed/>
    <w:rsid w:val="00F43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9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2017-12-05T18:30:00+00:00</Judgment_x0020_Date>
  </documentManagement>
</p:properties>
</file>

<file path=customXml/itemProps1.xml><?xml version="1.0" encoding="utf-8"?>
<ds:datastoreItem xmlns:ds="http://schemas.openxmlformats.org/officeDocument/2006/customXml" ds:itemID="{329CD856-0428-43EE-AE11-D10023E89C62}"/>
</file>

<file path=customXml/itemProps2.xml><?xml version="1.0" encoding="utf-8"?>
<ds:datastoreItem xmlns:ds="http://schemas.openxmlformats.org/officeDocument/2006/customXml" ds:itemID="{333A35D9-472A-40D1-BCF5-A695219AC52B}"/>
</file>

<file path=customXml/itemProps3.xml><?xml version="1.0" encoding="utf-8"?>
<ds:datastoreItem xmlns:ds="http://schemas.openxmlformats.org/officeDocument/2006/customXml" ds:itemID="{24EDAEB1-CA1D-40A1-B14F-60042E53A3AC}"/>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2017-12-06T06:57:00Z</cp:lastPrinted>
  <dcterms:created xsi:type="dcterms:W3CDTF">2017-12-10T10:41:00Z</dcterms:created>
  <dcterms:modified xsi:type="dcterms:W3CDTF">2017-12-10T10:41:00Z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