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43D" w:rsidRPr="001E2BAB" w:rsidRDefault="0028043D" w:rsidP="00D25D4D">
      <w:pPr>
        <w:spacing w:after="0" w:line="360" w:lineRule="auto"/>
        <w:jc w:val="center"/>
        <w:rPr>
          <w:rFonts w:ascii="Arial" w:hAnsi="Arial" w:cs="Arial"/>
          <w:b/>
          <w:sz w:val="24"/>
          <w:szCs w:val="24"/>
          <w:lang w:val="en-ZA"/>
        </w:rPr>
      </w:pPr>
      <w:r w:rsidRPr="001E2BAB">
        <w:rPr>
          <w:rFonts w:ascii="Arial" w:hAnsi="Arial" w:cs="Arial"/>
          <w:noProof/>
          <w:sz w:val="24"/>
          <w:szCs w:val="24"/>
        </w:rPr>
        <mc:AlternateContent>
          <mc:Choice Requires="wps">
            <w:drawing>
              <wp:anchor distT="0" distB="0" distL="114300" distR="114300" simplePos="0" relativeHeight="251659264" behindDoc="0" locked="0" layoutInCell="1" allowOverlap="1" wp14:anchorId="40ADDE37" wp14:editId="6932AE62">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28043D" w:rsidRDefault="0028043D" w:rsidP="0028043D">
                            <w:pPr>
                              <w:jc w:val="center"/>
                              <w:rPr>
                                <w:rFonts w:ascii="Arial" w:hAnsi="Arial" w:cs="Arial"/>
                                <w:b/>
                              </w:rPr>
                            </w:pPr>
                            <w:r>
                              <w:rPr>
                                <w:rFonts w:ascii="Arial" w:hAnsi="Arial" w:cs="Arial"/>
                                <w:b/>
                              </w:rPr>
                              <w:t>REPORTABLE</w:t>
                            </w:r>
                          </w:p>
                          <w:p w:rsidR="0028043D" w:rsidRDefault="0028043D" w:rsidP="0028043D">
                            <w:pPr>
                              <w:jc w:val="center"/>
                            </w:pPr>
                          </w:p>
                          <w:p w:rsidR="0028043D" w:rsidRDefault="0028043D" w:rsidP="002804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0ADDE37"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28043D" w:rsidRDefault="0028043D" w:rsidP="0028043D">
                      <w:pPr>
                        <w:jc w:val="center"/>
                        <w:rPr>
                          <w:rFonts w:ascii="Arial" w:hAnsi="Arial" w:cs="Arial"/>
                          <w:b/>
                        </w:rPr>
                      </w:pPr>
                      <w:r>
                        <w:rPr>
                          <w:rFonts w:ascii="Arial" w:hAnsi="Arial" w:cs="Arial"/>
                          <w:b/>
                        </w:rPr>
                        <w:t>REPORTABLE</w:t>
                      </w:r>
                    </w:p>
                    <w:p w:rsidR="0028043D" w:rsidRDefault="0028043D" w:rsidP="0028043D">
                      <w:pPr>
                        <w:jc w:val="center"/>
                      </w:pPr>
                    </w:p>
                    <w:p w:rsidR="0028043D" w:rsidRDefault="0028043D" w:rsidP="0028043D">
                      <w:pPr>
                        <w:jc w:val="center"/>
                      </w:pPr>
                    </w:p>
                  </w:txbxContent>
                </v:textbox>
              </v:shape>
            </w:pict>
          </mc:Fallback>
        </mc:AlternateContent>
      </w:r>
      <w:r w:rsidRPr="001E2BAB">
        <w:rPr>
          <w:rFonts w:ascii="Arial" w:hAnsi="Arial" w:cs="Arial"/>
          <w:b/>
          <w:sz w:val="24"/>
          <w:szCs w:val="24"/>
          <w:lang w:val="en-ZA"/>
        </w:rPr>
        <w:t>REPUBLIC OF NAMIBIA</w:t>
      </w:r>
    </w:p>
    <w:p w:rsidR="0028043D" w:rsidRPr="001E2BAB" w:rsidRDefault="0028043D" w:rsidP="00D25D4D">
      <w:pPr>
        <w:spacing w:after="0" w:line="360" w:lineRule="auto"/>
        <w:jc w:val="center"/>
        <w:rPr>
          <w:rFonts w:ascii="Arial" w:hAnsi="Arial" w:cs="Arial"/>
          <w:b/>
          <w:sz w:val="24"/>
          <w:szCs w:val="24"/>
          <w:lang w:val="en-ZA"/>
        </w:rPr>
      </w:pPr>
      <w:r w:rsidRPr="001E2BAB">
        <w:rPr>
          <w:rFonts w:ascii="Arial" w:hAnsi="Arial" w:cs="Arial"/>
          <w:b/>
          <w:noProof/>
          <w:sz w:val="24"/>
          <w:szCs w:val="24"/>
        </w:rPr>
        <w:drawing>
          <wp:inline distT="0" distB="0" distL="0" distR="0" wp14:anchorId="5858CD9A" wp14:editId="61D46B47">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28043D" w:rsidRPr="001E2BAB" w:rsidRDefault="0028043D" w:rsidP="00D25D4D">
      <w:pPr>
        <w:spacing w:after="0" w:line="360" w:lineRule="auto"/>
        <w:jc w:val="center"/>
        <w:rPr>
          <w:rFonts w:ascii="Arial" w:hAnsi="Arial" w:cs="Arial"/>
          <w:bCs/>
          <w:sz w:val="24"/>
          <w:szCs w:val="24"/>
          <w:lang w:val="en-ZA"/>
        </w:rPr>
      </w:pPr>
      <w:r w:rsidRPr="001E2BAB">
        <w:rPr>
          <w:rFonts w:ascii="Arial" w:hAnsi="Arial" w:cs="Arial"/>
          <w:b/>
          <w:sz w:val="24"/>
          <w:szCs w:val="24"/>
          <w:lang w:val="en-ZA"/>
        </w:rPr>
        <w:t>HIGH COURT OF NAMIBIA MAIN DIVISION, WINDHOEK</w:t>
      </w:r>
    </w:p>
    <w:p w:rsidR="0028043D" w:rsidRPr="001E2BAB" w:rsidRDefault="0028043D" w:rsidP="00D25D4D">
      <w:pPr>
        <w:spacing w:after="0" w:line="360" w:lineRule="auto"/>
        <w:jc w:val="center"/>
        <w:rPr>
          <w:rFonts w:ascii="Arial" w:hAnsi="Arial" w:cs="Arial"/>
          <w:b/>
          <w:sz w:val="24"/>
          <w:szCs w:val="24"/>
          <w:lang w:val="en-ZA"/>
        </w:rPr>
      </w:pPr>
    </w:p>
    <w:p w:rsidR="0028043D" w:rsidRDefault="0028043D" w:rsidP="00D25D4D">
      <w:pPr>
        <w:spacing w:after="0" w:line="360" w:lineRule="auto"/>
        <w:jc w:val="center"/>
        <w:rPr>
          <w:rFonts w:ascii="Arial" w:hAnsi="Arial" w:cs="Arial"/>
          <w:b/>
          <w:sz w:val="24"/>
          <w:szCs w:val="24"/>
          <w:lang w:val="en-ZA"/>
        </w:rPr>
      </w:pPr>
      <w:r w:rsidRPr="001E2BAB">
        <w:rPr>
          <w:rFonts w:ascii="Arial" w:hAnsi="Arial" w:cs="Arial"/>
          <w:b/>
          <w:sz w:val="24"/>
          <w:szCs w:val="24"/>
          <w:lang w:val="en-ZA"/>
        </w:rPr>
        <w:t>LEAVE TO APPEAL JUDGMENT</w:t>
      </w:r>
    </w:p>
    <w:p w:rsidR="0028043D" w:rsidRPr="001E2BAB" w:rsidRDefault="0028043D" w:rsidP="00D25D4D">
      <w:pPr>
        <w:spacing w:after="0" w:line="360" w:lineRule="auto"/>
        <w:jc w:val="both"/>
        <w:rPr>
          <w:rFonts w:ascii="Arial" w:hAnsi="Arial" w:cs="Arial"/>
          <w:b/>
          <w:sz w:val="24"/>
          <w:szCs w:val="24"/>
          <w:lang w:val="en-ZA"/>
        </w:rPr>
      </w:pPr>
    </w:p>
    <w:p w:rsidR="0028043D" w:rsidRPr="001E2BAB" w:rsidRDefault="0028043D" w:rsidP="006E29AB">
      <w:pPr>
        <w:tabs>
          <w:tab w:val="right" w:pos="9360"/>
        </w:tabs>
        <w:spacing w:after="0" w:line="360" w:lineRule="auto"/>
        <w:jc w:val="both"/>
        <w:rPr>
          <w:rFonts w:ascii="Arial" w:hAnsi="Arial" w:cs="Arial"/>
          <w:b/>
          <w:sz w:val="24"/>
          <w:szCs w:val="24"/>
          <w:lang w:val="en-ZA"/>
        </w:rPr>
      </w:pPr>
      <w:r w:rsidRPr="001E2BAB">
        <w:rPr>
          <w:rFonts w:ascii="Arial" w:hAnsi="Arial" w:cs="Arial"/>
          <w:b/>
          <w:sz w:val="24"/>
          <w:szCs w:val="24"/>
          <w:lang w:val="en-ZA"/>
        </w:rPr>
        <w:tab/>
      </w:r>
      <w:r w:rsidR="006E29AB">
        <w:rPr>
          <w:rFonts w:ascii="Arial" w:hAnsi="Arial" w:cs="Arial"/>
          <w:b/>
          <w:sz w:val="24"/>
          <w:szCs w:val="24"/>
          <w:lang w:val="en-ZA"/>
        </w:rPr>
        <w:t xml:space="preserve">   </w:t>
      </w:r>
      <w:r w:rsidR="003371A8">
        <w:rPr>
          <w:rFonts w:ascii="Arial" w:hAnsi="Arial" w:cs="Arial"/>
          <w:sz w:val="24"/>
          <w:szCs w:val="24"/>
          <w:lang w:val="en-ZA"/>
        </w:rPr>
        <w:t>Case N</w:t>
      </w:r>
      <w:r>
        <w:rPr>
          <w:rFonts w:ascii="Arial" w:hAnsi="Arial" w:cs="Arial"/>
          <w:sz w:val="24"/>
          <w:szCs w:val="24"/>
          <w:lang w:val="en-ZA"/>
        </w:rPr>
        <w:t>o: CA 28/2016</w:t>
      </w:r>
    </w:p>
    <w:p w:rsidR="0028043D" w:rsidRPr="001E2BAB" w:rsidRDefault="0028043D" w:rsidP="00D25D4D">
      <w:pPr>
        <w:spacing w:after="0" w:line="360" w:lineRule="auto"/>
        <w:jc w:val="both"/>
        <w:rPr>
          <w:rFonts w:ascii="Arial" w:hAnsi="Arial" w:cs="Arial"/>
          <w:sz w:val="24"/>
          <w:szCs w:val="24"/>
          <w:lang w:val="en-ZA"/>
        </w:rPr>
      </w:pPr>
    </w:p>
    <w:p w:rsidR="0028043D" w:rsidRPr="001E2BAB" w:rsidRDefault="0028043D" w:rsidP="00D25D4D">
      <w:pPr>
        <w:spacing w:after="0" w:line="360" w:lineRule="auto"/>
        <w:jc w:val="both"/>
        <w:rPr>
          <w:rFonts w:ascii="Arial" w:hAnsi="Arial" w:cs="Arial"/>
          <w:sz w:val="24"/>
          <w:szCs w:val="24"/>
          <w:lang w:val="en-ZA"/>
        </w:rPr>
      </w:pPr>
      <w:r w:rsidRPr="001E2BAB">
        <w:rPr>
          <w:rFonts w:ascii="Arial" w:hAnsi="Arial" w:cs="Arial"/>
          <w:sz w:val="24"/>
          <w:szCs w:val="24"/>
          <w:lang w:val="en-ZA"/>
        </w:rPr>
        <w:t>In the matter between:</w:t>
      </w:r>
    </w:p>
    <w:p w:rsidR="0028043D" w:rsidRPr="001E2BAB" w:rsidRDefault="0028043D" w:rsidP="00D25D4D">
      <w:pPr>
        <w:spacing w:after="0" w:line="360" w:lineRule="auto"/>
        <w:jc w:val="both"/>
        <w:rPr>
          <w:rFonts w:ascii="Arial" w:hAnsi="Arial" w:cs="Arial"/>
          <w:sz w:val="24"/>
          <w:szCs w:val="24"/>
          <w:lang w:val="en-ZA"/>
        </w:rPr>
      </w:pPr>
    </w:p>
    <w:p w:rsidR="0028043D" w:rsidRPr="001E2BAB" w:rsidRDefault="0028043D" w:rsidP="00826F57">
      <w:pPr>
        <w:tabs>
          <w:tab w:val="left" w:pos="720"/>
          <w:tab w:val="left" w:pos="1440"/>
          <w:tab w:val="right" w:pos="9360"/>
        </w:tabs>
        <w:spacing w:after="0" w:line="360" w:lineRule="auto"/>
        <w:jc w:val="both"/>
        <w:rPr>
          <w:rFonts w:ascii="Arial" w:hAnsi="Arial" w:cs="Arial"/>
          <w:b/>
          <w:sz w:val="24"/>
          <w:szCs w:val="24"/>
          <w:lang w:val="en-GB"/>
        </w:rPr>
      </w:pPr>
      <w:r w:rsidRPr="001E2BAB">
        <w:rPr>
          <w:rFonts w:ascii="Arial" w:hAnsi="Arial" w:cs="Arial"/>
          <w:b/>
          <w:sz w:val="24"/>
          <w:szCs w:val="24"/>
          <w:lang w:val="en-ZA"/>
        </w:rPr>
        <w:t>THE STATE</w:t>
      </w:r>
      <w:r>
        <w:rPr>
          <w:rFonts w:ascii="Arial" w:hAnsi="Arial" w:cs="Arial"/>
          <w:b/>
          <w:sz w:val="24"/>
          <w:szCs w:val="24"/>
          <w:lang w:val="en-ZA"/>
        </w:rPr>
        <w:tab/>
      </w:r>
      <w:r w:rsidRPr="001E2BAB">
        <w:rPr>
          <w:rFonts w:ascii="Arial" w:hAnsi="Arial" w:cs="Arial"/>
          <w:b/>
          <w:sz w:val="24"/>
          <w:szCs w:val="24"/>
          <w:lang w:val="en-GB"/>
        </w:rPr>
        <w:t xml:space="preserve"> </w:t>
      </w:r>
      <w:r w:rsidR="00826F57">
        <w:rPr>
          <w:rFonts w:ascii="Arial" w:hAnsi="Arial" w:cs="Arial"/>
          <w:b/>
          <w:sz w:val="24"/>
          <w:szCs w:val="24"/>
          <w:lang w:val="en-GB"/>
        </w:rPr>
        <w:tab/>
        <w:t>APPLICANT</w:t>
      </w:r>
    </w:p>
    <w:p w:rsidR="0028043D" w:rsidRPr="001E2BAB" w:rsidRDefault="0028043D" w:rsidP="00D25D4D">
      <w:pPr>
        <w:spacing w:after="0" w:line="360" w:lineRule="auto"/>
        <w:jc w:val="both"/>
        <w:rPr>
          <w:rFonts w:ascii="Arial" w:hAnsi="Arial" w:cs="Arial"/>
          <w:sz w:val="24"/>
          <w:szCs w:val="24"/>
          <w:lang w:val="en-ZA"/>
        </w:rPr>
      </w:pPr>
      <w:r>
        <w:rPr>
          <w:rFonts w:ascii="Arial" w:hAnsi="Arial" w:cs="Arial"/>
          <w:sz w:val="24"/>
          <w:szCs w:val="24"/>
          <w:lang w:val="en-ZA"/>
        </w:rPr>
        <w:t>A</w:t>
      </w:r>
      <w:r w:rsidRPr="001E2BAB">
        <w:rPr>
          <w:rFonts w:ascii="Arial" w:hAnsi="Arial" w:cs="Arial"/>
          <w:sz w:val="24"/>
          <w:szCs w:val="24"/>
          <w:lang w:val="en-ZA"/>
        </w:rPr>
        <w:t>nd</w:t>
      </w:r>
    </w:p>
    <w:p w:rsidR="0028043D" w:rsidRPr="001E2BAB" w:rsidRDefault="0028043D" w:rsidP="00D25D4D">
      <w:pPr>
        <w:tabs>
          <w:tab w:val="right" w:pos="9000"/>
        </w:tabs>
        <w:spacing w:after="0" w:line="360" w:lineRule="auto"/>
        <w:jc w:val="both"/>
        <w:rPr>
          <w:rFonts w:ascii="Arial" w:hAnsi="Arial" w:cs="Arial"/>
          <w:b/>
          <w:sz w:val="24"/>
          <w:szCs w:val="24"/>
          <w:lang w:val="en-ZA"/>
        </w:rPr>
      </w:pPr>
    </w:p>
    <w:p w:rsidR="0028043D" w:rsidRPr="001E2BAB" w:rsidRDefault="0028043D" w:rsidP="00826F57">
      <w:pPr>
        <w:tabs>
          <w:tab w:val="right" w:pos="9360"/>
        </w:tabs>
        <w:spacing w:after="0" w:line="360" w:lineRule="auto"/>
        <w:jc w:val="both"/>
        <w:rPr>
          <w:rFonts w:ascii="Arial" w:hAnsi="Arial" w:cs="Arial"/>
          <w:b/>
          <w:sz w:val="24"/>
          <w:szCs w:val="24"/>
          <w:lang w:val="en-ZA"/>
        </w:rPr>
      </w:pPr>
      <w:r>
        <w:rPr>
          <w:rFonts w:ascii="Arial" w:hAnsi="Arial" w:cs="Arial"/>
          <w:b/>
          <w:sz w:val="24"/>
          <w:szCs w:val="24"/>
          <w:lang w:val="en-ZA"/>
        </w:rPr>
        <w:t>MICHAEL KUSCH</w:t>
      </w:r>
      <w:r w:rsidR="00826F57">
        <w:rPr>
          <w:rFonts w:ascii="Arial" w:hAnsi="Arial" w:cs="Arial"/>
          <w:b/>
          <w:sz w:val="24"/>
          <w:szCs w:val="24"/>
          <w:lang w:val="en-ZA"/>
        </w:rPr>
        <w:tab/>
        <w:t>RESPONDENT</w:t>
      </w:r>
    </w:p>
    <w:p w:rsidR="0028043D" w:rsidRPr="001E2BAB" w:rsidRDefault="0028043D" w:rsidP="00D25D4D">
      <w:pPr>
        <w:spacing w:after="0" w:line="360" w:lineRule="auto"/>
        <w:jc w:val="both"/>
        <w:rPr>
          <w:rFonts w:ascii="Arial" w:hAnsi="Arial" w:cs="Arial"/>
          <w:sz w:val="24"/>
          <w:szCs w:val="24"/>
          <w:lang w:val="en-ZA"/>
        </w:rPr>
      </w:pPr>
    </w:p>
    <w:p w:rsidR="0028043D" w:rsidRPr="0026512C" w:rsidRDefault="0028043D" w:rsidP="00D25D4D">
      <w:pPr>
        <w:widowControl w:val="0"/>
        <w:spacing w:line="360" w:lineRule="auto"/>
        <w:jc w:val="both"/>
        <w:rPr>
          <w:rFonts w:ascii="Arial" w:hAnsi="Arial" w:cs="Arial"/>
          <w:bCs/>
          <w:snapToGrid w:val="0"/>
          <w:sz w:val="24"/>
        </w:rPr>
      </w:pPr>
      <w:r w:rsidRPr="001E2BAB">
        <w:rPr>
          <w:rFonts w:ascii="Arial" w:hAnsi="Arial" w:cs="Arial"/>
          <w:b/>
          <w:sz w:val="24"/>
          <w:szCs w:val="24"/>
          <w:lang w:val="en-ZA"/>
        </w:rPr>
        <w:t>Neu</w:t>
      </w:r>
      <w:r>
        <w:rPr>
          <w:rFonts w:ascii="Arial" w:hAnsi="Arial" w:cs="Arial"/>
          <w:b/>
          <w:sz w:val="24"/>
          <w:szCs w:val="24"/>
          <w:lang w:val="en-ZA"/>
        </w:rPr>
        <w:t>tral citation:</w:t>
      </w:r>
      <w:r>
        <w:rPr>
          <w:rFonts w:ascii="Arial" w:hAnsi="Arial" w:cs="Arial"/>
          <w:b/>
          <w:sz w:val="24"/>
          <w:szCs w:val="24"/>
          <w:lang w:val="en-ZA"/>
        </w:rPr>
        <w:tab/>
      </w:r>
      <w:r w:rsidRPr="001364B0">
        <w:rPr>
          <w:rFonts w:ascii="Arial" w:hAnsi="Arial" w:cs="Arial"/>
          <w:bCs/>
          <w:i/>
          <w:snapToGrid w:val="0"/>
          <w:sz w:val="24"/>
        </w:rPr>
        <w:t>S</w:t>
      </w:r>
      <w:r>
        <w:rPr>
          <w:rFonts w:ascii="Arial" w:hAnsi="Arial" w:cs="Arial"/>
          <w:bCs/>
          <w:i/>
          <w:snapToGrid w:val="0"/>
          <w:sz w:val="24"/>
        </w:rPr>
        <w:t>t</w:t>
      </w:r>
      <w:r w:rsidRPr="001364B0">
        <w:rPr>
          <w:rFonts w:ascii="Arial" w:hAnsi="Arial" w:cs="Arial"/>
          <w:bCs/>
          <w:i/>
          <w:snapToGrid w:val="0"/>
          <w:sz w:val="24"/>
        </w:rPr>
        <w:t>ate</w:t>
      </w:r>
      <w:r>
        <w:rPr>
          <w:rFonts w:ascii="Arial" w:hAnsi="Arial" w:cs="Arial"/>
          <w:bCs/>
          <w:i/>
          <w:snapToGrid w:val="0"/>
          <w:sz w:val="24"/>
        </w:rPr>
        <w:t xml:space="preserve"> v Kusch </w:t>
      </w:r>
      <w:r>
        <w:rPr>
          <w:rFonts w:ascii="Arial" w:hAnsi="Arial" w:cs="Arial"/>
          <w:bCs/>
          <w:snapToGrid w:val="0"/>
          <w:sz w:val="24"/>
        </w:rPr>
        <w:t>(CA 28/2016) [2017</w:t>
      </w:r>
      <w:r w:rsidRPr="00407A1B">
        <w:rPr>
          <w:rFonts w:ascii="Arial" w:hAnsi="Arial" w:cs="Arial"/>
          <w:bCs/>
          <w:snapToGrid w:val="0"/>
          <w:sz w:val="24"/>
        </w:rPr>
        <w:t>]</w:t>
      </w:r>
      <w:r>
        <w:rPr>
          <w:rFonts w:ascii="Arial" w:hAnsi="Arial" w:cs="Arial"/>
          <w:bCs/>
          <w:i/>
          <w:snapToGrid w:val="0"/>
          <w:sz w:val="24"/>
        </w:rPr>
        <w:t xml:space="preserve"> </w:t>
      </w:r>
      <w:r>
        <w:rPr>
          <w:rFonts w:ascii="Arial" w:hAnsi="Arial" w:cs="Arial"/>
          <w:bCs/>
          <w:snapToGrid w:val="0"/>
          <w:sz w:val="24"/>
        </w:rPr>
        <w:t>NAHCMD</w:t>
      </w:r>
      <w:r w:rsidR="00826F57">
        <w:rPr>
          <w:rFonts w:ascii="Arial" w:hAnsi="Arial" w:cs="Arial"/>
          <w:bCs/>
          <w:snapToGrid w:val="0"/>
          <w:sz w:val="24"/>
        </w:rPr>
        <w:t xml:space="preserve"> 38</w:t>
      </w:r>
      <w:r>
        <w:rPr>
          <w:rFonts w:ascii="Arial" w:hAnsi="Arial" w:cs="Arial"/>
          <w:bCs/>
          <w:snapToGrid w:val="0"/>
          <w:sz w:val="24"/>
        </w:rPr>
        <w:t xml:space="preserve"> (13 FEBRAURY 2017)</w:t>
      </w:r>
    </w:p>
    <w:p w:rsidR="0028043D" w:rsidRDefault="0028043D" w:rsidP="00D25D4D">
      <w:pPr>
        <w:spacing w:after="0" w:line="360" w:lineRule="auto"/>
        <w:ind w:left="1440" w:hanging="1440"/>
        <w:jc w:val="both"/>
        <w:rPr>
          <w:rFonts w:ascii="Arial" w:hAnsi="Arial" w:cs="Arial"/>
          <w:sz w:val="24"/>
          <w:szCs w:val="24"/>
          <w:lang w:val="en-ZA"/>
        </w:rPr>
      </w:pPr>
      <w:r w:rsidRPr="001E2BAB">
        <w:rPr>
          <w:rFonts w:ascii="Arial" w:hAnsi="Arial" w:cs="Arial"/>
          <w:b/>
          <w:sz w:val="24"/>
          <w:szCs w:val="24"/>
          <w:lang w:val="en-ZA"/>
        </w:rPr>
        <w:t>Coram:</w:t>
      </w:r>
      <w:r w:rsidRPr="001E2BAB">
        <w:rPr>
          <w:rFonts w:ascii="Arial" w:hAnsi="Arial" w:cs="Arial"/>
          <w:sz w:val="24"/>
          <w:szCs w:val="24"/>
          <w:lang w:val="en-ZA"/>
        </w:rPr>
        <w:tab/>
      </w:r>
      <w:r>
        <w:rPr>
          <w:rFonts w:ascii="Arial" w:hAnsi="Arial" w:cs="Arial"/>
          <w:sz w:val="24"/>
          <w:szCs w:val="24"/>
          <w:lang w:val="en-ZA"/>
        </w:rPr>
        <w:t>NDAUENDAPO,</w:t>
      </w:r>
      <w:r w:rsidR="00DD7943">
        <w:rPr>
          <w:rFonts w:ascii="Arial" w:hAnsi="Arial" w:cs="Arial"/>
          <w:sz w:val="24"/>
          <w:szCs w:val="24"/>
          <w:lang w:val="en-ZA"/>
        </w:rPr>
        <w:t xml:space="preserve"> </w:t>
      </w:r>
      <w:r>
        <w:rPr>
          <w:rFonts w:ascii="Arial" w:hAnsi="Arial" w:cs="Arial"/>
          <w:sz w:val="24"/>
          <w:szCs w:val="24"/>
          <w:lang w:val="en-ZA"/>
        </w:rPr>
        <w:t>J</w:t>
      </w:r>
    </w:p>
    <w:p w:rsidR="0028043D" w:rsidRPr="001E2BAB" w:rsidRDefault="0028043D" w:rsidP="00D25D4D">
      <w:pPr>
        <w:spacing w:after="0" w:line="360" w:lineRule="auto"/>
        <w:ind w:left="1440" w:hanging="1440"/>
        <w:jc w:val="both"/>
        <w:rPr>
          <w:rFonts w:ascii="Arial" w:hAnsi="Arial" w:cs="Arial"/>
          <w:sz w:val="24"/>
          <w:szCs w:val="24"/>
          <w:lang w:val="en-ZA"/>
        </w:rPr>
      </w:pPr>
    </w:p>
    <w:p w:rsidR="0028043D" w:rsidRPr="00F82603" w:rsidRDefault="0028043D" w:rsidP="00D25D4D">
      <w:pPr>
        <w:spacing w:after="0" w:line="360" w:lineRule="auto"/>
        <w:jc w:val="both"/>
        <w:rPr>
          <w:rFonts w:ascii="Arial" w:hAnsi="Arial" w:cs="Arial"/>
          <w:sz w:val="24"/>
          <w:szCs w:val="24"/>
          <w:lang w:val="en-ZA"/>
        </w:rPr>
      </w:pPr>
      <w:r w:rsidRPr="001E2BAB">
        <w:rPr>
          <w:rFonts w:ascii="Arial" w:hAnsi="Arial" w:cs="Arial"/>
          <w:b/>
          <w:bCs/>
          <w:sz w:val="24"/>
          <w:szCs w:val="24"/>
          <w:lang w:val="en-ZA"/>
        </w:rPr>
        <w:t>Heard:</w:t>
      </w:r>
      <w:r w:rsidRPr="001E2BAB">
        <w:rPr>
          <w:rFonts w:ascii="Arial" w:hAnsi="Arial" w:cs="Arial"/>
          <w:sz w:val="24"/>
          <w:szCs w:val="24"/>
          <w:lang w:val="en-ZA"/>
        </w:rPr>
        <w:t xml:space="preserve"> </w:t>
      </w:r>
      <w:r w:rsidRPr="001E2BAB">
        <w:rPr>
          <w:rFonts w:ascii="Arial" w:hAnsi="Arial" w:cs="Arial"/>
          <w:sz w:val="24"/>
          <w:szCs w:val="24"/>
          <w:lang w:val="en-ZA"/>
        </w:rPr>
        <w:tab/>
      </w:r>
      <w:r>
        <w:rPr>
          <w:rFonts w:ascii="Arial" w:hAnsi="Arial" w:cs="Arial"/>
          <w:sz w:val="24"/>
          <w:szCs w:val="24"/>
          <w:lang w:val="en-ZA"/>
        </w:rPr>
        <w:t>3 February 2017</w:t>
      </w:r>
    </w:p>
    <w:p w:rsidR="0028043D" w:rsidRDefault="0028043D" w:rsidP="00D25D4D">
      <w:pPr>
        <w:spacing w:after="0" w:line="360" w:lineRule="auto"/>
        <w:jc w:val="both"/>
        <w:rPr>
          <w:rFonts w:ascii="Arial" w:hAnsi="Arial" w:cs="Arial"/>
          <w:sz w:val="24"/>
          <w:szCs w:val="24"/>
          <w:lang w:val="en-ZA"/>
        </w:rPr>
      </w:pPr>
      <w:r w:rsidRPr="001E2BAB">
        <w:rPr>
          <w:rFonts w:ascii="Arial" w:hAnsi="Arial" w:cs="Arial"/>
          <w:b/>
          <w:sz w:val="24"/>
          <w:szCs w:val="24"/>
          <w:lang w:val="en-ZA"/>
        </w:rPr>
        <w:t>Delivered</w:t>
      </w:r>
      <w:r w:rsidRPr="001E2BAB">
        <w:rPr>
          <w:rFonts w:ascii="Arial" w:hAnsi="Arial" w:cs="Arial"/>
          <w:sz w:val="24"/>
          <w:szCs w:val="24"/>
          <w:lang w:val="en-ZA"/>
        </w:rPr>
        <w:t>:</w:t>
      </w:r>
      <w:r w:rsidRPr="001E2BAB">
        <w:rPr>
          <w:rFonts w:ascii="Arial" w:hAnsi="Arial" w:cs="Arial"/>
          <w:sz w:val="24"/>
          <w:szCs w:val="24"/>
          <w:lang w:val="en-ZA"/>
        </w:rPr>
        <w:tab/>
      </w:r>
      <w:r>
        <w:rPr>
          <w:rFonts w:ascii="Arial" w:hAnsi="Arial" w:cs="Arial"/>
          <w:sz w:val="24"/>
          <w:szCs w:val="24"/>
          <w:lang w:val="en-ZA"/>
        </w:rPr>
        <w:t>17 February 2017</w:t>
      </w:r>
    </w:p>
    <w:p w:rsidR="0028043D" w:rsidRPr="001E2BAB" w:rsidRDefault="0028043D" w:rsidP="00D25D4D">
      <w:pPr>
        <w:spacing w:after="0" w:line="360" w:lineRule="auto"/>
        <w:jc w:val="both"/>
        <w:rPr>
          <w:rFonts w:ascii="Arial" w:hAnsi="Arial" w:cs="Arial"/>
          <w:sz w:val="24"/>
          <w:szCs w:val="24"/>
          <w:lang w:val="en-ZA"/>
        </w:rPr>
      </w:pPr>
    </w:p>
    <w:p w:rsidR="0028043D" w:rsidRDefault="0028043D" w:rsidP="00D25D4D">
      <w:pPr>
        <w:spacing w:after="0" w:line="360" w:lineRule="auto"/>
        <w:jc w:val="both"/>
        <w:rPr>
          <w:rFonts w:ascii="Arial" w:hAnsi="Arial" w:cs="Arial"/>
          <w:sz w:val="24"/>
          <w:szCs w:val="24"/>
          <w:lang w:val="en-ZA"/>
        </w:rPr>
      </w:pPr>
      <w:r w:rsidRPr="001E2BAB">
        <w:rPr>
          <w:rFonts w:ascii="Arial" w:hAnsi="Arial" w:cs="Arial"/>
          <w:b/>
          <w:sz w:val="24"/>
          <w:szCs w:val="24"/>
          <w:lang w:val="en-ZA"/>
        </w:rPr>
        <w:t>Flynote:</w:t>
      </w:r>
      <w:r w:rsidR="00F82603">
        <w:rPr>
          <w:rFonts w:ascii="Arial" w:hAnsi="Arial" w:cs="Arial"/>
          <w:sz w:val="24"/>
          <w:szCs w:val="24"/>
          <w:lang w:val="en-ZA"/>
        </w:rPr>
        <w:tab/>
      </w:r>
      <w:r w:rsidRPr="001E2BAB">
        <w:rPr>
          <w:rFonts w:ascii="Arial" w:hAnsi="Arial" w:cs="Arial"/>
          <w:sz w:val="24"/>
          <w:szCs w:val="24"/>
          <w:lang w:val="en-ZA"/>
        </w:rPr>
        <w:t>Application for leave to a</w:t>
      </w:r>
      <w:r>
        <w:rPr>
          <w:rFonts w:ascii="Arial" w:hAnsi="Arial" w:cs="Arial"/>
          <w:sz w:val="24"/>
          <w:szCs w:val="24"/>
          <w:lang w:val="en-ZA"/>
        </w:rPr>
        <w:t xml:space="preserve">ppeal against conviction and </w:t>
      </w:r>
      <w:r w:rsidRPr="001E2BAB">
        <w:rPr>
          <w:rFonts w:ascii="Arial" w:hAnsi="Arial" w:cs="Arial"/>
          <w:sz w:val="24"/>
          <w:szCs w:val="24"/>
          <w:lang w:val="en-ZA"/>
        </w:rPr>
        <w:t>sentence –</w:t>
      </w:r>
      <w:r>
        <w:rPr>
          <w:rFonts w:ascii="Arial" w:hAnsi="Arial" w:cs="Arial"/>
          <w:sz w:val="24"/>
          <w:szCs w:val="24"/>
          <w:lang w:val="en-ZA"/>
        </w:rPr>
        <w:t xml:space="preserve"> Leave to appeal against conviction and sentence must only be granted where there are reasonable prospects of success on a</w:t>
      </w:r>
      <w:bookmarkStart w:id="0" w:name="_GoBack"/>
      <w:bookmarkEnd w:id="0"/>
      <w:r>
        <w:rPr>
          <w:rFonts w:ascii="Arial" w:hAnsi="Arial" w:cs="Arial"/>
          <w:sz w:val="24"/>
          <w:szCs w:val="24"/>
          <w:lang w:val="en-ZA"/>
        </w:rPr>
        <w:t>ppeal – Applicati</w:t>
      </w:r>
      <w:r w:rsidR="00563E54">
        <w:rPr>
          <w:rFonts w:ascii="Arial" w:hAnsi="Arial" w:cs="Arial"/>
          <w:sz w:val="24"/>
          <w:szCs w:val="24"/>
          <w:lang w:val="en-ZA"/>
        </w:rPr>
        <w:t>on for leave to appeal granted</w:t>
      </w:r>
      <w:r>
        <w:rPr>
          <w:rFonts w:ascii="Arial" w:hAnsi="Arial" w:cs="Arial"/>
          <w:sz w:val="24"/>
          <w:szCs w:val="24"/>
          <w:lang w:val="en-ZA"/>
        </w:rPr>
        <w:t>.</w:t>
      </w:r>
    </w:p>
    <w:p w:rsidR="0028043D" w:rsidRDefault="0028043D" w:rsidP="00D25D4D">
      <w:pPr>
        <w:spacing w:after="0" w:line="360" w:lineRule="auto"/>
        <w:jc w:val="both"/>
        <w:rPr>
          <w:rFonts w:ascii="Arial" w:hAnsi="Arial" w:cs="Arial"/>
          <w:sz w:val="24"/>
          <w:szCs w:val="24"/>
          <w:lang w:val="en-ZA"/>
        </w:rPr>
      </w:pPr>
    </w:p>
    <w:p w:rsidR="0028043D" w:rsidRDefault="0028043D" w:rsidP="00D25D4D">
      <w:pPr>
        <w:spacing w:after="0" w:line="360" w:lineRule="auto"/>
        <w:jc w:val="both"/>
        <w:rPr>
          <w:rFonts w:ascii="Arial" w:hAnsi="Arial" w:cs="Arial"/>
          <w:sz w:val="24"/>
          <w:szCs w:val="24"/>
          <w:lang w:val="en-ZA"/>
        </w:rPr>
      </w:pPr>
      <w:r w:rsidRPr="00C26B8D">
        <w:rPr>
          <w:rFonts w:ascii="Arial" w:hAnsi="Arial" w:cs="Arial"/>
          <w:b/>
          <w:sz w:val="24"/>
          <w:szCs w:val="24"/>
          <w:lang w:val="en-ZA"/>
        </w:rPr>
        <w:lastRenderedPageBreak/>
        <w:t>Summary</w:t>
      </w:r>
      <w:r w:rsidR="00563E54">
        <w:rPr>
          <w:rFonts w:ascii="Arial" w:hAnsi="Arial" w:cs="Arial"/>
          <w:sz w:val="24"/>
          <w:szCs w:val="24"/>
          <w:lang w:val="en-ZA"/>
        </w:rPr>
        <w:t>:</w:t>
      </w:r>
      <w:r w:rsidR="00563E54">
        <w:rPr>
          <w:rFonts w:ascii="Arial" w:hAnsi="Arial" w:cs="Arial"/>
          <w:sz w:val="24"/>
          <w:szCs w:val="24"/>
          <w:lang w:val="en-ZA"/>
        </w:rPr>
        <w:tab/>
        <w:t>The respondent was charged with housebreaking with intent to steal and theft. He had acted as watchman for a co-accused who broke into pre</w:t>
      </w:r>
      <w:r w:rsidR="00992ACC">
        <w:rPr>
          <w:rFonts w:ascii="Arial" w:hAnsi="Arial" w:cs="Arial"/>
          <w:sz w:val="24"/>
          <w:szCs w:val="24"/>
          <w:lang w:val="en-ZA"/>
        </w:rPr>
        <w:t>mises with scissors supplied by the respondent</w:t>
      </w:r>
      <w:r w:rsidR="00563E54">
        <w:rPr>
          <w:rFonts w:ascii="Arial" w:hAnsi="Arial" w:cs="Arial"/>
          <w:sz w:val="24"/>
          <w:szCs w:val="24"/>
          <w:lang w:val="en-ZA"/>
        </w:rPr>
        <w:t xml:space="preserve"> for the purpose</w:t>
      </w:r>
      <w:r w:rsidR="00F82603">
        <w:rPr>
          <w:rFonts w:ascii="Arial" w:hAnsi="Arial" w:cs="Arial"/>
          <w:sz w:val="24"/>
          <w:szCs w:val="24"/>
          <w:lang w:val="en-ZA"/>
        </w:rPr>
        <w:t>s o</w:t>
      </w:r>
      <w:r w:rsidR="00992ACC">
        <w:rPr>
          <w:rFonts w:ascii="Arial" w:hAnsi="Arial" w:cs="Arial"/>
          <w:sz w:val="24"/>
          <w:szCs w:val="24"/>
          <w:lang w:val="en-ZA"/>
        </w:rPr>
        <w:t>f breaking and entering the</w:t>
      </w:r>
      <w:r w:rsidR="00563E54">
        <w:rPr>
          <w:rFonts w:ascii="Arial" w:hAnsi="Arial" w:cs="Arial"/>
          <w:sz w:val="24"/>
          <w:szCs w:val="24"/>
          <w:lang w:val="en-ZA"/>
        </w:rPr>
        <w:t xml:space="preserve"> premises. </w:t>
      </w:r>
      <w:r w:rsidR="00992ACC">
        <w:rPr>
          <w:rFonts w:ascii="Arial" w:hAnsi="Arial" w:cs="Arial"/>
          <w:sz w:val="24"/>
          <w:szCs w:val="24"/>
          <w:lang w:val="en-ZA"/>
        </w:rPr>
        <w:t>Knowing what the intention of the co-accused was</w:t>
      </w:r>
      <w:r w:rsidR="00563E54">
        <w:rPr>
          <w:rFonts w:ascii="Arial" w:hAnsi="Arial" w:cs="Arial"/>
          <w:sz w:val="24"/>
          <w:szCs w:val="24"/>
          <w:lang w:val="en-ZA"/>
        </w:rPr>
        <w:t xml:space="preserve">, the respondent supplied the co-accused with scissors </w:t>
      </w:r>
      <w:r w:rsidR="00F82603">
        <w:rPr>
          <w:rFonts w:ascii="Arial" w:hAnsi="Arial" w:cs="Arial"/>
          <w:sz w:val="24"/>
          <w:szCs w:val="24"/>
          <w:lang w:val="en-ZA"/>
        </w:rPr>
        <w:t>to break in</w:t>
      </w:r>
      <w:r w:rsidR="00992ACC">
        <w:rPr>
          <w:rFonts w:ascii="Arial" w:hAnsi="Arial" w:cs="Arial"/>
          <w:sz w:val="24"/>
          <w:szCs w:val="24"/>
          <w:lang w:val="en-ZA"/>
        </w:rPr>
        <w:t>,</w:t>
      </w:r>
      <w:r w:rsidR="00F82603">
        <w:rPr>
          <w:rFonts w:ascii="Arial" w:hAnsi="Arial" w:cs="Arial"/>
          <w:sz w:val="24"/>
          <w:szCs w:val="24"/>
          <w:lang w:val="en-ZA"/>
        </w:rPr>
        <w:t xml:space="preserve"> </w:t>
      </w:r>
      <w:r w:rsidR="0076619A">
        <w:rPr>
          <w:rFonts w:ascii="Arial" w:hAnsi="Arial" w:cs="Arial"/>
          <w:sz w:val="24"/>
          <w:szCs w:val="24"/>
          <w:lang w:val="en-ZA"/>
        </w:rPr>
        <w:t>enter</w:t>
      </w:r>
      <w:r w:rsidR="00F82603">
        <w:rPr>
          <w:rFonts w:ascii="Arial" w:hAnsi="Arial" w:cs="Arial"/>
          <w:sz w:val="24"/>
          <w:szCs w:val="24"/>
          <w:lang w:val="en-ZA"/>
        </w:rPr>
        <w:t xml:space="preserve"> and steal the printer</w:t>
      </w:r>
      <w:r w:rsidR="0076619A">
        <w:rPr>
          <w:rFonts w:ascii="Arial" w:hAnsi="Arial" w:cs="Arial"/>
          <w:sz w:val="24"/>
          <w:szCs w:val="24"/>
          <w:lang w:val="en-ZA"/>
        </w:rPr>
        <w:t>. The co-accused then gave the respondent the stolen printer</w:t>
      </w:r>
      <w:r w:rsidR="00F82603">
        <w:rPr>
          <w:rFonts w:ascii="Arial" w:hAnsi="Arial" w:cs="Arial"/>
          <w:sz w:val="24"/>
          <w:szCs w:val="24"/>
          <w:lang w:val="en-ZA"/>
        </w:rPr>
        <w:t>. The respondent</w:t>
      </w:r>
      <w:r w:rsidR="0076619A">
        <w:rPr>
          <w:rFonts w:ascii="Arial" w:hAnsi="Arial" w:cs="Arial"/>
          <w:sz w:val="24"/>
          <w:szCs w:val="24"/>
          <w:lang w:val="en-ZA"/>
        </w:rPr>
        <w:t xml:space="preserve"> took this printer home with the intention to sell the same. The trial court convicte</w:t>
      </w:r>
      <w:r w:rsidR="00690AD9">
        <w:rPr>
          <w:rFonts w:ascii="Arial" w:hAnsi="Arial" w:cs="Arial"/>
          <w:sz w:val="24"/>
          <w:szCs w:val="24"/>
          <w:lang w:val="en-ZA"/>
        </w:rPr>
        <w:t>d the respondent</w:t>
      </w:r>
      <w:r w:rsidR="0076619A">
        <w:rPr>
          <w:rFonts w:ascii="Arial" w:hAnsi="Arial" w:cs="Arial"/>
          <w:sz w:val="24"/>
          <w:szCs w:val="24"/>
          <w:lang w:val="en-ZA"/>
        </w:rPr>
        <w:t xml:space="preserve"> of the competent verdict of theft instead of housebreaki</w:t>
      </w:r>
      <w:r w:rsidR="00F82603">
        <w:rPr>
          <w:rFonts w:ascii="Arial" w:hAnsi="Arial" w:cs="Arial"/>
          <w:sz w:val="24"/>
          <w:szCs w:val="24"/>
          <w:lang w:val="en-ZA"/>
        </w:rPr>
        <w:t>ng with intent to steal and theft</w:t>
      </w:r>
      <w:r w:rsidR="0076619A">
        <w:rPr>
          <w:rFonts w:ascii="Arial" w:hAnsi="Arial" w:cs="Arial"/>
          <w:sz w:val="24"/>
          <w:szCs w:val="24"/>
          <w:lang w:val="en-ZA"/>
        </w:rPr>
        <w:t xml:space="preserve">. </w:t>
      </w:r>
      <w:r w:rsidR="00826F57">
        <w:rPr>
          <w:rFonts w:ascii="Arial" w:hAnsi="Arial" w:cs="Arial"/>
          <w:sz w:val="24"/>
          <w:szCs w:val="24"/>
          <w:lang w:val="en-ZA"/>
        </w:rPr>
        <w:t>The applicant</w:t>
      </w:r>
      <w:r w:rsidR="00F82603">
        <w:rPr>
          <w:rFonts w:ascii="Arial" w:hAnsi="Arial" w:cs="Arial"/>
          <w:sz w:val="24"/>
          <w:szCs w:val="24"/>
          <w:lang w:val="en-ZA"/>
        </w:rPr>
        <w:t>, now wishes to appeal against this conviction on the grounds that the respondent acted in association with the co-accused and that the principles relating to the doctrine of common pur</w:t>
      </w:r>
      <w:r w:rsidR="00826F57">
        <w:rPr>
          <w:rFonts w:ascii="Arial" w:hAnsi="Arial" w:cs="Arial"/>
          <w:sz w:val="24"/>
          <w:szCs w:val="24"/>
          <w:lang w:val="en-ZA"/>
        </w:rPr>
        <w:t xml:space="preserve">pose should have been applied. </w:t>
      </w:r>
      <w:r w:rsidR="00F82603">
        <w:rPr>
          <w:rFonts w:ascii="Arial" w:hAnsi="Arial" w:cs="Arial"/>
          <w:sz w:val="24"/>
          <w:szCs w:val="24"/>
          <w:lang w:val="en-ZA"/>
        </w:rPr>
        <w:t xml:space="preserve">The applicant thus avers that the respondent should have been convicted of housebreaking with intent to steal and theft and not on the competent verdict of theft. </w:t>
      </w:r>
    </w:p>
    <w:p w:rsidR="0076619A" w:rsidRDefault="0076619A" w:rsidP="00D25D4D">
      <w:pPr>
        <w:spacing w:after="0" w:line="360" w:lineRule="auto"/>
        <w:jc w:val="both"/>
        <w:rPr>
          <w:rFonts w:ascii="Arial" w:hAnsi="Arial" w:cs="Arial"/>
          <w:sz w:val="24"/>
          <w:szCs w:val="24"/>
          <w:lang w:val="en-ZA"/>
        </w:rPr>
      </w:pPr>
      <w:r>
        <w:rPr>
          <w:rFonts w:ascii="Arial" w:hAnsi="Arial" w:cs="Arial"/>
          <w:sz w:val="24"/>
          <w:szCs w:val="24"/>
          <w:lang w:val="en-ZA"/>
        </w:rPr>
        <w:t>Held;</w:t>
      </w:r>
      <w:r>
        <w:rPr>
          <w:rFonts w:ascii="Arial" w:hAnsi="Arial" w:cs="Arial"/>
          <w:sz w:val="24"/>
          <w:szCs w:val="24"/>
          <w:lang w:val="en-ZA"/>
        </w:rPr>
        <w:tab/>
      </w:r>
      <w:r w:rsidR="00F82603">
        <w:rPr>
          <w:rFonts w:ascii="Arial" w:hAnsi="Arial" w:cs="Arial"/>
          <w:sz w:val="24"/>
          <w:szCs w:val="24"/>
          <w:lang w:val="en-ZA"/>
        </w:rPr>
        <w:t xml:space="preserve">that </w:t>
      </w:r>
      <w:r>
        <w:rPr>
          <w:rFonts w:ascii="Arial" w:hAnsi="Arial" w:cs="Arial"/>
          <w:sz w:val="24"/>
          <w:szCs w:val="24"/>
          <w:lang w:val="en-ZA"/>
        </w:rPr>
        <w:t xml:space="preserve">there are reasonable prospects that the court of appeal will come to a different decision. </w:t>
      </w:r>
    </w:p>
    <w:p w:rsidR="0076619A" w:rsidRDefault="0076619A" w:rsidP="00D25D4D">
      <w:pPr>
        <w:spacing w:after="0" w:line="360" w:lineRule="auto"/>
        <w:jc w:val="both"/>
        <w:rPr>
          <w:rFonts w:ascii="Arial" w:hAnsi="Arial" w:cs="Arial"/>
          <w:sz w:val="24"/>
          <w:szCs w:val="24"/>
          <w:lang w:val="en-ZA"/>
        </w:rPr>
      </w:pPr>
      <w:r>
        <w:rPr>
          <w:rFonts w:ascii="Arial" w:hAnsi="Arial" w:cs="Arial"/>
          <w:sz w:val="24"/>
          <w:szCs w:val="24"/>
          <w:lang w:val="en-ZA"/>
        </w:rPr>
        <w:t>Held;</w:t>
      </w:r>
      <w:r>
        <w:rPr>
          <w:rFonts w:ascii="Arial" w:hAnsi="Arial" w:cs="Arial"/>
          <w:sz w:val="24"/>
          <w:szCs w:val="24"/>
          <w:lang w:val="en-ZA"/>
        </w:rPr>
        <w:tab/>
      </w:r>
      <w:r w:rsidR="00F82603">
        <w:rPr>
          <w:rFonts w:ascii="Arial" w:hAnsi="Arial" w:cs="Arial"/>
          <w:sz w:val="24"/>
          <w:szCs w:val="24"/>
          <w:lang w:val="en-ZA"/>
        </w:rPr>
        <w:t xml:space="preserve">that </w:t>
      </w:r>
      <w:r>
        <w:rPr>
          <w:rFonts w:ascii="Arial" w:hAnsi="Arial" w:cs="Arial"/>
          <w:sz w:val="24"/>
          <w:szCs w:val="24"/>
          <w:lang w:val="en-ZA"/>
        </w:rPr>
        <w:t>the application for leave to appeal is granted.</w:t>
      </w:r>
    </w:p>
    <w:p w:rsidR="0028043D" w:rsidRPr="001E2BAB" w:rsidRDefault="0028043D" w:rsidP="00D25D4D">
      <w:pPr>
        <w:spacing w:after="0" w:line="360" w:lineRule="auto"/>
        <w:jc w:val="both"/>
        <w:rPr>
          <w:rFonts w:ascii="Arial" w:hAnsi="Arial" w:cs="Arial"/>
          <w:sz w:val="24"/>
          <w:szCs w:val="24"/>
          <w:lang w:val="en-ZA"/>
        </w:rPr>
      </w:pPr>
    </w:p>
    <w:p w:rsidR="0028043D" w:rsidRPr="001E2BAB" w:rsidRDefault="00723BA0" w:rsidP="00D25D4D">
      <w:pPr>
        <w:spacing w:after="0" w:line="360" w:lineRule="auto"/>
        <w:jc w:val="both"/>
        <w:rPr>
          <w:rFonts w:ascii="Arial" w:hAnsi="Arial" w:cs="Arial"/>
          <w:bCs/>
          <w:sz w:val="24"/>
          <w:szCs w:val="24"/>
          <w:lang w:val="en-ZA"/>
        </w:rPr>
      </w:pPr>
      <w:r>
        <w:rPr>
          <w:rFonts w:ascii="Arial" w:hAnsi="Arial" w:cs="Arial"/>
          <w:bCs/>
          <w:sz w:val="24"/>
          <w:szCs w:val="24"/>
          <w:lang w:val="en-ZA"/>
        </w:rPr>
        <w:pict>
          <v:rect id="_x0000_i1025" style="width:451.3pt;height:1.5pt" o:hralign="right" o:hrstd="t" o:hr="t" fillcolor="#a0a0a0" stroked="f"/>
        </w:pict>
      </w:r>
    </w:p>
    <w:p w:rsidR="0028043D" w:rsidRPr="001E2BAB" w:rsidRDefault="0028043D" w:rsidP="00D25D4D">
      <w:pPr>
        <w:spacing w:after="0" w:line="360" w:lineRule="auto"/>
        <w:jc w:val="center"/>
        <w:rPr>
          <w:rFonts w:ascii="Arial" w:hAnsi="Arial" w:cs="Arial"/>
          <w:b/>
          <w:bCs/>
          <w:sz w:val="24"/>
          <w:szCs w:val="24"/>
          <w:lang w:val="en-ZA"/>
        </w:rPr>
      </w:pPr>
      <w:r w:rsidRPr="001E2BAB">
        <w:rPr>
          <w:rFonts w:ascii="Arial" w:hAnsi="Arial" w:cs="Arial"/>
          <w:b/>
          <w:bCs/>
          <w:sz w:val="24"/>
          <w:szCs w:val="24"/>
          <w:lang w:val="en-ZA"/>
        </w:rPr>
        <w:t>ORDER</w:t>
      </w:r>
    </w:p>
    <w:p w:rsidR="0028043D" w:rsidRPr="001E2BAB" w:rsidRDefault="00723BA0" w:rsidP="00D25D4D">
      <w:pPr>
        <w:spacing w:after="0" w:line="360" w:lineRule="auto"/>
        <w:jc w:val="both"/>
        <w:rPr>
          <w:rFonts w:ascii="Arial" w:hAnsi="Arial" w:cs="Arial"/>
          <w:bCs/>
          <w:sz w:val="24"/>
          <w:szCs w:val="24"/>
          <w:lang w:val="en-ZA"/>
        </w:rPr>
      </w:pPr>
      <w:r>
        <w:rPr>
          <w:rFonts w:ascii="Arial" w:hAnsi="Arial" w:cs="Arial"/>
          <w:bCs/>
          <w:sz w:val="24"/>
          <w:szCs w:val="24"/>
          <w:lang w:val="en-ZA"/>
        </w:rPr>
        <w:pict>
          <v:rect id="_x0000_i1026" style="width:451.3pt;height:1.5pt" o:hralign="right" o:hrstd="t" o:hr="t" fillcolor="#a0a0a0" stroked="f"/>
        </w:pict>
      </w:r>
    </w:p>
    <w:p w:rsidR="0028043D" w:rsidRPr="001E2BAB" w:rsidRDefault="00341B6A" w:rsidP="00D25D4D">
      <w:pPr>
        <w:spacing w:after="0" w:line="360" w:lineRule="auto"/>
        <w:jc w:val="both"/>
        <w:rPr>
          <w:rFonts w:ascii="Arial" w:hAnsi="Arial" w:cs="Arial"/>
          <w:sz w:val="24"/>
          <w:szCs w:val="24"/>
          <w:lang w:val="en-ZA"/>
        </w:rPr>
      </w:pPr>
      <w:r w:rsidRPr="003371A8">
        <w:rPr>
          <w:rFonts w:ascii="Arial" w:hAnsi="Arial" w:cs="Arial"/>
          <w:sz w:val="24"/>
          <w:szCs w:val="24"/>
        </w:rPr>
        <w:t xml:space="preserve">In the result, </w:t>
      </w:r>
      <w:r>
        <w:rPr>
          <w:rFonts w:ascii="Arial" w:hAnsi="Arial" w:cs="Arial"/>
          <w:sz w:val="24"/>
          <w:szCs w:val="24"/>
        </w:rPr>
        <w:t xml:space="preserve">the application for </w:t>
      </w:r>
      <w:r w:rsidRPr="003371A8">
        <w:rPr>
          <w:rFonts w:ascii="Arial" w:hAnsi="Arial" w:cs="Arial"/>
          <w:sz w:val="24"/>
          <w:szCs w:val="24"/>
        </w:rPr>
        <w:t>leave to appeal is granted.</w:t>
      </w:r>
    </w:p>
    <w:p w:rsidR="0028043D" w:rsidRPr="001E2BAB" w:rsidRDefault="00723BA0" w:rsidP="00D25D4D">
      <w:pPr>
        <w:spacing w:after="0" w:line="360" w:lineRule="auto"/>
        <w:jc w:val="both"/>
        <w:rPr>
          <w:rFonts w:ascii="Arial" w:hAnsi="Arial" w:cs="Arial"/>
          <w:bCs/>
          <w:sz w:val="24"/>
          <w:szCs w:val="24"/>
          <w:lang w:val="en-ZA"/>
        </w:rPr>
      </w:pPr>
      <w:r>
        <w:rPr>
          <w:rFonts w:ascii="Arial" w:hAnsi="Arial" w:cs="Arial"/>
          <w:bCs/>
          <w:sz w:val="24"/>
          <w:szCs w:val="24"/>
          <w:lang w:val="en-ZA"/>
        </w:rPr>
        <w:pict>
          <v:rect id="_x0000_i1027" style="width:451.3pt;height:1.5pt" o:hralign="right" o:hrstd="t" o:hr="t" fillcolor="#a0a0a0" stroked="f"/>
        </w:pict>
      </w:r>
    </w:p>
    <w:p w:rsidR="0028043D" w:rsidRPr="001E2BAB" w:rsidRDefault="0028043D" w:rsidP="00DA110B">
      <w:pPr>
        <w:spacing w:after="0" w:line="360" w:lineRule="auto"/>
        <w:jc w:val="center"/>
        <w:rPr>
          <w:rFonts w:ascii="Arial" w:hAnsi="Arial" w:cs="Arial"/>
          <w:b/>
          <w:sz w:val="24"/>
          <w:szCs w:val="24"/>
          <w:lang w:val="en-ZA"/>
        </w:rPr>
      </w:pPr>
      <w:r>
        <w:rPr>
          <w:rFonts w:ascii="Arial" w:hAnsi="Arial" w:cs="Arial"/>
          <w:b/>
          <w:sz w:val="24"/>
          <w:szCs w:val="24"/>
          <w:lang w:val="en-ZA"/>
        </w:rPr>
        <w:t xml:space="preserve">APPLICATION FOR LEAVE TO </w:t>
      </w:r>
      <w:r w:rsidR="00DA110B">
        <w:rPr>
          <w:rFonts w:ascii="Arial" w:hAnsi="Arial" w:cs="Arial"/>
          <w:b/>
          <w:sz w:val="24"/>
          <w:szCs w:val="24"/>
          <w:lang w:val="en-ZA"/>
        </w:rPr>
        <w:t>APPEAL</w:t>
      </w:r>
    </w:p>
    <w:p w:rsidR="0028043D" w:rsidRPr="00341B6A" w:rsidRDefault="00723BA0" w:rsidP="00D25D4D">
      <w:pPr>
        <w:spacing w:after="0" w:line="360" w:lineRule="auto"/>
        <w:jc w:val="both"/>
        <w:rPr>
          <w:rFonts w:ascii="Arial" w:hAnsi="Arial" w:cs="Arial"/>
          <w:bCs/>
          <w:sz w:val="24"/>
          <w:szCs w:val="24"/>
          <w:lang w:val="en-ZA"/>
        </w:rPr>
      </w:pPr>
      <w:r>
        <w:rPr>
          <w:rFonts w:ascii="Arial" w:hAnsi="Arial" w:cs="Arial"/>
          <w:bCs/>
          <w:sz w:val="24"/>
          <w:szCs w:val="24"/>
          <w:lang w:val="en-ZA"/>
        </w:rPr>
        <w:pict>
          <v:rect id="_x0000_i1028" style="width:451.3pt;height:1.5pt" o:hralign="right" o:hrstd="t" o:hr="t" fillcolor="#a0a0a0" stroked="f"/>
        </w:pict>
      </w:r>
    </w:p>
    <w:p w:rsidR="00341B6A" w:rsidRDefault="009F432F" w:rsidP="00D25D4D">
      <w:pPr>
        <w:spacing w:line="360" w:lineRule="auto"/>
        <w:jc w:val="both"/>
        <w:rPr>
          <w:rFonts w:ascii="Arial" w:hAnsi="Arial" w:cs="Arial"/>
          <w:sz w:val="24"/>
          <w:szCs w:val="24"/>
          <w:lang w:val="en-ZA"/>
        </w:rPr>
      </w:pPr>
      <w:r>
        <w:rPr>
          <w:rFonts w:ascii="Arial" w:hAnsi="Arial" w:cs="Arial"/>
          <w:sz w:val="24"/>
          <w:szCs w:val="24"/>
          <w:lang w:val="en-ZA"/>
        </w:rPr>
        <w:t>NDAUENDAPO,</w:t>
      </w:r>
      <w:r w:rsidR="00B51B9A">
        <w:rPr>
          <w:rFonts w:ascii="Arial" w:hAnsi="Arial" w:cs="Arial"/>
          <w:sz w:val="24"/>
          <w:szCs w:val="24"/>
          <w:lang w:val="en-ZA"/>
        </w:rPr>
        <w:t xml:space="preserve"> </w:t>
      </w:r>
      <w:r>
        <w:rPr>
          <w:rFonts w:ascii="Arial" w:hAnsi="Arial" w:cs="Arial"/>
          <w:sz w:val="24"/>
          <w:szCs w:val="24"/>
          <w:lang w:val="en-ZA"/>
        </w:rPr>
        <w:t>J</w:t>
      </w:r>
    </w:p>
    <w:p w:rsidR="00341B6A" w:rsidRDefault="00341B6A" w:rsidP="00D25D4D">
      <w:pPr>
        <w:spacing w:line="360" w:lineRule="auto"/>
        <w:jc w:val="both"/>
        <w:rPr>
          <w:rFonts w:ascii="Arial" w:hAnsi="Arial" w:cs="Arial"/>
          <w:sz w:val="24"/>
          <w:szCs w:val="24"/>
          <w:lang w:val="en-ZA"/>
        </w:rPr>
      </w:pPr>
    </w:p>
    <w:p w:rsidR="00ED2F9F" w:rsidRPr="00ED2F9F" w:rsidRDefault="00ED2F9F" w:rsidP="00D25D4D">
      <w:pPr>
        <w:spacing w:line="360" w:lineRule="auto"/>
        <w:jc w:val="both"/>
        <w:rPr>
          <w:rFonts w:ascii="Arial" w:hAnsi="Arial" w:cs="Arial"/>
          <w:sz w:val="24"/>
          <w:szCs w:val="24"/>
          <w:u w:val="single"/>
          <w:lang w:val="en-ZA"/>
        </w:rPr>
      </w:pPr>
      <w:r w:rsidRPr="00ED2F9F">
        <w:rPr>
          <w:rFonts w:ascii="Arial" w:hAnsi="Arial" w:cs="Arial"/>
          <w:sz w:val="24"/>
          <w:szCs w:val="24"/>
          <w:u w:val="single"/>
          <w:lang w:val="en-ZA"/>
        </w:rPr>
        <w:t>Introduction</w:t>
      </w:r>
    </w:p>
    <w:p w:rsidR="00B51B9A" w:rsidRDefault="003652A8" w:rsidP="00D25D4D">
      <w:pPr>
        <w:spacing w:line="360" w:lineRule="auto"/>
        <w:jc w:val="both"/>
        <w:rPr>
          <w:rFonts w:ascii="Arial" w:hAnsi="Arial" w:cs="Arial"/>
          <w:sz w:val="24"/>
          <w:szCs w:val="24"/>
        </w:rPr>
      </w:pPr>
      <w:r>
        <w:rPr>
          <w:rFonts w:ascii="Arial" w:hAnsi="Arial" w:cs="Arial"/>
          <w:sz w:val="24"/>
          <w:szCs w:val="24"/>
        </w:rPr>
        <w:t>[</w:t>
      </w:r>
      <w:r w:rsidR="00563E54">
        <w:rPr>
          <w:rFonts w:ascii="Arial" w:hAnsi="Arial" w:cs="Arial"/>
          <w:sz w:val="24"/>
          <w:szCs w:val="24"/>
        </w:rPr>
        <w:t>1</w:t>
      </w:r>
      <w:r>
        <w:rPr>
          <w:rFonts w:ascii="Arial" w:hAnsi="Arial" w:cs="Arial"/>
          <w:sz w:val="24"/>
          <w:szCs w:val="24"/>
        </w:rPr>
        <w:t>]</w:t>
      </w:r>
      <w:r w:rsidR="00563E54">
        <w:rPr>
          <w:rFonts w:ascii="Arial" w:hAnsi="Arial" w:cs="Arial"/>
          <w:sz w:val="24"/>
          <w:szCs w:val="24"/>
        </w:rPr>
        <w:tab/>
      </w:r>
      <w:r w:rsidR="00ED2F9F">
        <w:rPr>
          <w:rFonts w:ascii="Arial" w:hAnsi="Arial" w:cs="Arial"/>
          <w:sz w:val="24"/>
          <w:szCs w:val="24"/>
        </w:rPr>
        <w:t>This is an application for leave to appeal against the judgment of the Walvis Bay District Magistrate Court. In that court, the respondent was arraigned on a charge of housebreaking with inte</w:t>
      </w:r>
      <w:r w:rsidR="00B51B9A">
        <w:rPr>
          <w:rFonts w:ascii="Arial" w:hAnsi="Arial" w:cs="Arial"/>
          <w:sz w:val="24"/>
          <w:szCs w:val="24"/>
        </w:rPr>
        <w:t>nd to steal and theft. The</w:t>
      </w:r>
      <w:r w:rsidR="00ED2F9F">
        <w:rPr>
          <w:rFonts w:ascii="Arial" w:hAnsi="Arial" w:cs="Arial"/>
          <w:sz w:val="24"/>
          <w:szCs w:val="24"/>
        </w:rPr>
        <w:t xml:space="preserve"> court found the respondent guilty on the competent verdict of theft. He was subsequently sentenced to three months imprisonment or to pay a fine of N$ 800.00. </w:t>
      </w:r>
      <w:r w:rsidR="00B51B9A">
        <w:rPr>
          <w:rFonts w:ascii="Arial" w:hAnsi="Arial" w:cs="Arial"/>
          <w:sz w:val="24"/>
          <w:szCs w:val="24"/>
        </w:rPr>
        <w:t xml:space="preserve">The applicant dissatisfied with this judgment now applies to appeal against the same. </w:t>
      </w:r>
    </w:p>
    <w:p w:rsidR="00E51EC2" w:rsidRDefault="00E51EC2" w:rsidP="00D25D4D">
      <w:pPr>
        <w:spacing w:line="360" w:lineRule="auto"/>
        <w:jc w:val="both"/>
        <w:rPr>
          <w:rFonts w:ascii="Arial" w:hAnsi="Arial" w:cs="Arial"/>
          <w:sz w:val="24"/>
          <w:szCs w:val="24"/>
        </w:rPr>
      </w:pPr>
      <w:r>
        <w:rPr>
          <w:rFonts w:ascii="Arial" w:hAnsi="Arial" w:cs="Arial"/>
          <w:sz w:val="24"/>
          <w:szCs w:val="24"/>
        </w:rPr>
        <w:t>[</w:t>
      </w:r>
      <w:r w:rsidR="00563E54">
        <w:rPr>
          <w:rFonts w:ascii="Arial" w:hAnsi="Arial" w:cs="Arial"/>
          <w:sz w:val="24"/>
          <w:szCs w:val="24"/>
        </w:rPr>
        <w:t>2</w:t>
      </w:r>
      <w:r>
        <w:rPr>
          <w:rFonts w:ascii="Arial" w:hAnsi="Arial" w:cs="Arial"/>
          <w:sz w:val="24"/>
          <w:szCs w:val="24"/>
        </w:rPr>
        <w:t>]</w:t>
      </w:r>
      <w:r>
        <w:rPr>
          <w:rFonts w:ascii="Arial" w:hAnsi="Arial" w:cs="Arial"/>
          <w:sz w:val="24"/>
          <w:szCs w:val="24"/>
        </w:rPr>
        <w:tab/>
        <w:t>The application was argued before this court</w:t>
      </w:r>
      <w:r w:rsidR="00DA110B">
        <w:rPr>
          <w:rFonts w:ascii="Arial" w:hAnsi="Arial" w:cs="Arial"/>
          <w:sz w:val="24"/>
          <w:szCs w:val="24"/>
        </w:rPr>
        <w:t xml:space="preserve"> by Mr. </w:t>
      </w:r>
      <w:proofErr w:type="spellStart"/>
      <w:r w:rsidR="00DA110B">
        <w:rPr>
          <w:rFonts w:ascii="Arial" w:hAnsi="Arial" w:cs="Arial"/>
          <w:sz w:val="24"/>
          <w:szCs w:val="24"/>
        </w:rPr>
        <w:t>Kuut</w:t>
      </w:r>
      <w:r>
        <w:rPr>
          <w:rFonts w:ascii="Arial" w:hAnsi="Arial" w:cs="Arial"/>
          <w:sz w:val="24"/>
          <w:szCs w:val="24"/>
        </w:rPr>
        <w:t>ondokwa</w:t>
      </w:r>
      <w:proofErr w:type="spellEnd"/>
      <w:r>
        <w:rPr>
          <w:rFonts w:ascii="Arial" w:hAnsi="Arial" w:cs="Arial"/>
          <w:sz w:val="24"/>
          <w:szCs w:val="24"/>
        </w:rPr>
        <w:t xml:space="preserve"> for the applicant and Mr</w:t>
      </w:r>
      <w:r w:rsidR="00DA110B">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Ipumbu</w:t>
      </w:r>
      <w:proofErr w:type="spellEnd"/>
      <w:r w:rsidR="00384A36">
        <w:rPr>
          <w:rFonts w:ascii="Arial" w:hAnsi="Arial" w:cs="Arial"/>
          <w:sz w:val="24"/>
          <w:szCs w:val="24"/>
        </w:rPr>
        <w:t xml:space="preserve"> for the respondent. </w:t>
      </w:r>
    </w:p>
    <w:p w:rsidR="003652A8" w:rsidRPr="003652A8" w:rsidRDefault="003652A8" w:rsidP="00D25D4D">
      <w:pPr>
        <w:spacing w:line="360" w:lineRule="auto"/>
        <w:jc w:val="both"/>
        <w:rPr>
          <w:rFonts w:ascii="Arial" w:hAnsi="Arial" w:cs="Arial"/>
          <w:sz w:val="24"/>
          <w:szCs w:val="24"/>
          <w:u w:val="single"/>
        </w:rPr>
      </w:pPr>
      <w:r w:rsidRPr="003652A8">
        <w:rPr>
          <w:rFonts w:ascii="Arial" w:hAnsi="Arial" w:cs="Arial"/>
          <w:sz w:val="24"/>
          <w:szCs w:val="24"/>
          <w:u w:val="single"/>
        </w:rPr>
        <w:t>The Application</w:t>
      </w:r>
      <w:r w:rsidR="00347607">
        <w:rPr>
          <w:rFonts w:ascii="Arial" w:hAnsi="Arial" w:cs="Arial"/>
          <w:sz w:val="24"/>
          <w:szCs w:val="24"/>
          <w:u w:val="single"/>
        </w:rPr>
        <w:t xml:space="preserve"> for leave to appeal</w:t>
      </w:r>
    </w:p>
    <w:p w:rsidR="003652A8" w:rsidRDefault="003652A8" w:rsidP="00D25D4D">
      <w:pPr>
        <w:spacing w:line="360" w:lineRule="auto"/>
        <w:jc w:val="both"/>
        <w:rPr>
          <w:rFonts w:ascii="Arial" w:hAnsi="Arial" w:cs="Arial"/>
          <w:sz w:val="24"/>
          <w:szCs w:val="24"/>
        </w:rPr>
      </w:pPr>
      <w:r>
        <w:rPr>
          <w:rFonts w:ascii="Arial" w:hAnsi="Arial" w:cs="Arial"/>
          <w:sz w:val="24"/>
          <w:szCs w:val="24"/>
        </w:rPr>
        <w:t>[</w:t>
      </w:r>
      <w:r w:rsidR="00563E54">
        <w:rPr>
          <w:rFonts w:ascii="Arial" w:hAnsi="Arial" w:cs="Arial"/>
          <w:sz w:val="24"/>
          <w:szCs w:val="24"/>
        </w:rPr>
        <w:t>3</w:t>
      </w:r>
      <w:r>
        <w:rPr>
          <w:rFonts w:ascii="Arial" w:hAnsi="Arial" w:cs="Arial"/>
          <w:sz w:val="24"/>
          <w:szCs w:val="24"/>
        </w:rPr>
        <w:t>]</w:t>
      </w:r>
      <w:r>
        <w:rPr>
          <w:rFonts w:ascii="Arial" w:hAnsi="Arial" w:cs="Arial"/>
          <w:sz w:val="24"/>
          <w:szCs w:val="24"/>
        </w:rPr>
        <w:tab/>
      </w:r>
      <w:r w:rsidR="00B51B9A">
        <w:rPr>
          <w:rFonts w:ascii="Arial" w:hAnsi="Arial" w:cs="Arial"/>
          <w:sz w:val="24"/>
          <w:szCs w:val="24"/>
        </w:rPr>
        <w:t>In terms of s 310 (1)</w:t>
      </w:r>
      <w:r>
        <w:rPr>
          <w:rFonts w:ascii="Arial" w:hAnsi="Arial" w:cs="Arial"/>
          <w:sz w:val="24"/>
          <w:szCs w:val="24"/>
        </w:rPr>
        <w:t xml:space="preserve"> and s 310(2)</w:t>
      </w:r>
      <w:r w:rsidR="00B51B9A">
        <w:rPr>
          <w:rFonts w:ascii="Arial" w:hAnsi="Arial" w:cs="Arial"/>
          <w:sz w:val="24"/>
          <w:szCs w:val="24"/>
        </w:rPr>
        <w:t xml:space="preserve"> of the Criminal P</w:t>
      </w:r>
      <w:r w:rsidR="00E77654">
        <w:rPr>
          <w:rFonts w:ascii="Arial" w:hAnsi="Arial" w:cs="Arial"/>
          <w:sz w:val="24"/>
          <w:szCs w:val="24"/>
        </w:rPr>
        <w:t>rocedure Act</w:t>
      </w:r>
      <w:r w:rsidR="00DA110B">
        <w:rPr>
          <w:rStyle w:val="FootnoteReference"/>
          <w:rFonts w:ascii="Arial" w:hAnsi="Arial" w:cs="Arial"/>
          <w:sz w:val="24"/>
          <w:szCs w:val="24"/>
        </w:rPr>
        <w:footnoteReference w:id="1"/>
      </w:r>
      <w:r>
        <w:rPr>
          <w:rFonts w:ascii="Arial" w:hAnsi="Arial" w:cs="Arial"/>
          <w:sz w:val="24"/>
          <w:szCs w:val="24"/>
        </w:rPr>
        <w:t>:</w:t>
      </w:r>
    </w:p>
    <w:p w:rsidR="003652A8" w:rsidRPr="003652A8" w:rsidRDefault="003652A8" w:rsidP="00D25D4D">
      <w:pPr>
        <w:spacing w:line="360" w:lineRule="auto"/>
        <w:ind w:firstLine="720"/>
        <w:jc w:val="both"/>
        <w:rPr>
          <w:rFonts w:ascii="Arial" w:hAnsi="Arial" w:cs="Arial"/>
        </w:rPr>
      </w:pPr>
      <w:r w:rsidRPr="003652A8">
        <w:rPr>
          <w:rFonts w:ascii="Arial" w:hAnsi="Arial" w:cs="Arial"/>
        </w:rPr>
        <w:t>‘The Prosecutor-General or, if a body or a person other than the Prosecutor-General or his or her representative, was the prosecutor in the proceedings, then such other prosecutor, may appeal against any decision given in favour of an accused in a criminal case in a lower court, including-</w:t>
      </w:r>
    </w:p>
    <w:p w:rsidR="003652A8" w:rsidRPr="003652A8" w:rsidRDefault="003652A8" w:rsidP="00D25D4D">
      <w:pPr>
        <w:spacing w:line="360" w:lineRule="auto"/>
        <w:jc w:val="both"/>
        <w:rPr>
          <w:rFonts w:ascii="Arial" w:hAnsi="Arial" w:cs="Arial"/>
        </w:rPr>
      </w:pPr>
      <w:r w:rsidRPr="003652A8">
        <w:rPr>
          <w:rFonts w:ascii="Arial" w:hAnsi="Arial" w:cs="Arial"/>
        </w:rPr>
        <w:t>(a)</w:t>
      </w:r>
      <w:r w:rsidRPr="003652A8">
        <w:rPr>
          <w:rFonts w:ascii="Arial" w:hAnsi="Arial" w:cs="Arial"/>
        </w:rPr>
        <w:tab/>
      </w:r>
      <w:proofErr w:type="gramStart"/>
      <w:r w:rsidRPr="003652A8">
        <w:rPr>
          <w:rFonts w:ascii="Arial" w:hAnsi="Arial" w:cs="Arial"/>
        </w:rPr>
        <w:t>any</w:t>
      </w:r>
      <w:proofErr w:type="gramEnd"/>
      <w:r w:rsidRPr="003652A8">
        <w:rPr>
          <w:rFonts w:ascii="Arial" w:hAnsi="Arial" w:cs="Arial"/>
        </w:rPr>
        <w:t xml:space="preserve"> resultant sentence imposed or order made by such court;</w:t>
      </w:r>
    </w:p>
    <w:p w:rsidR="003652A8" w:rsidRPr="003652A8" w:rsidRDefault="003652A8" w:rsidP="00D25D4D">
      <w:pPr>
        <w:spacing w:line="360" w:lineRule="auto"/>
        <w:jc w:val="both"/>
        <w:rPr>
          <w:rFonts w:ascii="Arial" w:hAnsi="Arial" w:cs="Arial"/>
        </w:rPr>
      </w:pPr>
      <w:r w:rsidRPr="003652A8">
        <w:rPr>
          <w:rFonts w:ascii="Arial" w:hAnsi="Arial" w:cs="Arial"/>
        </w:rPr>
        <w:t>(b)</w:t>
      </w:r>
      <w:r w:rsidRPr="003652A8">
        <w:rPr>
          <w:rFonts w:ascii="Arial" w:hAnsi="Arial" w:cs="Arial"/>
        </w:rPr>
        <w:tab/>
      </w:r>
      <w:proofErr w:type="gramStart"/>
      <w:r w:rsidRPr="003652A8">
        <w:rPr>
          <w:rFonts w:ascii="Arial" w:hAnsi="Arial" w:cs="Arial"/>
        </w:rPr>
        <w:t>any</w:t>
      </w:r>
      <w:proofErr w:type="gramEnd"/>
      <w:r w:rsidRPr="003652A8">
        <w:rPr>
          <w:rFonts w:ascii="Arial" w:hAnsi="Arial" w:cs="Arial"/>
        </w:rPr>
        <w:t xml:space="preserve"> order made under section 85(2) by such court,</w:t>
      </w:r>
    </w:p>
    <w:p w:rsidR="003652A8" w:rsidRPr="003652A8" w:rsidRDefault="003652A8" w:rsidP="00D25D4D">
      <w:pPr>
        <w:spacing w:line="360" w:lineRule="auto"/>
        <w:jc w:val="both"/>
        <w:rPr>
          <w:rFonts w:ascii="Arial" w:hAnsi="Arial" w:cs="Arial"/>
        </w:rPr>
      </w:pPr>
      <w:proofErr w:type="gramStart"/>
      <w:r w:rsidRPr="003652A8">
        <w:rPr>
          <w:rFonts w:ascii="Arial" w:hAnsi="Arial" w:cs="Arial"/>
        </w:rPr>
        <w:t>to</w:t>
      </w:r>
      <w:proofErr w:type="gramEnd"/>
      <w:r w:rsidRPr="003652A8">
        <w:rPr>
          <w:rFonts w:ascii="Arial" w:hAnsi="Arial" w:cs="Arial"/>
        </w:rPr>
        <w:t xml:space="preserve"> the High Court, provided that an application for leave to appeal has been granted by a single judge of that court in chambers.</w:t>
      </w:r>
    </w:p>
    <w:p w:rsidR="003652A8" w:rsidRPr="003652A8" w:rsidRDefault="003652A8" w:rsidP="00D25D4D">
      <w:pPr>
        <w:spacing w:line="360" w:lineRule="auto"/>
        <w:jc w:val="both"/>
        <w:rPr>
          <w:rFonts w:ascii="Arial" w:hAnsi="Arial" w:cs="Arial"/>
        </w:rPr>
      </w:pPr>
      <w:r w:rsidRPr="003652A8">
        <w:rPr>
          <w:rFonts w:ascii="Arial" w:hAnsi="Arial" w:cs="Arial"/>
        </w:rPr>
        <w:t xml:space="preserve">(a) </w:t>
      </w:r>
      <w:r w:rsidRPr="003652A8">
        <w:rPr>
          <w:rFonts w:ascii="Arial" w:hAnsi="Arial" w:cs="Arial"/>
        </w:rPr>
        <w:tab/>
        <w:t>A written notice of an application referred to in subsection (1) shall be lodged with the registrar of the High Court by the Prosecutor-General or other prosecutor, within a period of 30 days of the decision, sentence or order of the lower court, as the case may be, or within such extended period as may on application on good cause be allowed.</w:t>
      </w:r>
    </w:p>
    <w:p w:rsidR="003652A8" w:rsidRPr="003652A8" w:rsidRDefault="003652A8" w:rsidP="00D25D4D">
      <w:pPr>
        <w:spacing w:line="360" w:lineRule="auto"/>
        <w:jc w:val="both"/>
        <w:rPr>
          <w:rFonts w:ascii="Arial" w:hAnsi="Arial" w:cs="Arial"/>
        </w:rPr>
      </w:pPr>
      <w:r w:rsidRPr="003652A8">
        <w:rPr>
          <w:rFonts w:ascii="Arial" w:hAnsi="Arial" w:cs="Arial"/>
        </w:rPr>
        <w:t xml:space="preserve">(b) </w:t>
      </w:r>
      <w:r w:rsidRPr="003652A8">
        <w:rPr>
          <w:rFonts w:ascii="Arial" w:hAnsi="Arial" w:cs="Arial"/>
        </w:rPr>
        <w:tab/>
        <w:t>The notice shall state briefly the grounds for the application.</w:t>
      </w:r>
      <w:r>
        <w:rPr>
          <w:rFonts w:ascii="Arial" w:hAnsi="Arial" w:cs="Arial"/>
        </w:rPr>
        <w:t>’</w:t>
      </w:r>
    </w:p>
    <w:p w:rsidR="00384A36" w:rsidRPr="00384A36" w:rsidRDefault="00384A36" w:rsidP="00384A36">
      <w:pPr>
        <w:spacing w:line="360" w:lineRule="auto"/>
        <w:jc w:val="both"/>
        <w:rPr>
          <w:rFonts w:ascii="Arial" w:hAnsi="Arial" w:cs="Arial"/>
          <w:sz w:val="24"/>
          <w:szCs w:val="24"/>
        </w:rPr>
      </w:pPr>
      <w:r>
        <w:rPr>
          <w:rFonts w:ascii="Arial" w:hAnsi="Arial" w:cs="Arial"/>
          <w:sz w:val="24"/>
          <w:szCs w:val="24"/>
        </w:rPr>
        <w:t>[</w:t>
      </w:r>
      <w:r w:rsidR="00563E54">
        <w:rPr>
          <w:rFonts w:ascii="Arial" w:hAnsi="Arial" w:cs="Arial"/>
          <w:sz w:val="24"/>
          <w:szCs w:val="24"/>
        </w:rPr>
        <w:t>4</w:t>
      </w:r>
      <w:r>
        <w:rPr>
          <w:rFonts w:ascii="Arial" w:hAnsi="Arial" w:cs="Arial"/>
          <w:sz w:val="24"/>
          <w:szCs w:val="24"/>
        </w:rPr>
        <w:t>]</w:t>
      </w:r>
      <w:r>
        <w:rPr>
          <w:rFonts w:ascii="Arial" w:hAnsi="Arial" w:cs="Arial"/>
          <w:sz w:val="24"/>
          <w:szCs w:val="24"/>
        </w:rPr>
        <w:tab/>
        <w:t>This application is thus properly and timeously before this court.</w:t>
      </w:r>
    </w:p>
    <w:p w:rsidR="00384A36" w:rsidRPr="00347607" w:rsidRDefault="00384A36" w:rsidP="00384A36">
      <w:pPr>
        <w:spacing w:line="360" w:lineRule="auto"/>
        <w:jc w:val="both"/>
        <w:rPr>
          <w:rFonts w:ascii="Arial" w:hAnsi="Arial" w:cs="Arial"/>
          <w:sz w:val="24"/>
          <w:szCs w:val="24"/>
          <w:u w:val="single"/>
        </w:rPr>
      </w:pPr>
      <w:r w:rsidRPr="00347607">
        <w:rPr>
          <w:rFonts w:ascii="Arial" w:hAnsi="Arial" w:cs="Arial"/>
          <w:sz w:val="24"/>
          <w:szCs w:val="24"/>
          <w:u w:val="single"/>
        </w:rPr>
        <w:t>Brief factual background</w:t>
      </w:r>
    </w:p>
    <w:p w:rsidR="00384A36" w:rsidRDefault="00384A36" w:rsidP="00D25D4D">
      <w:pPr>
        <w:spacing w:line="360" w:lineRule="auto"/>
        <w:jc w:val="both"/>
        <w:rPr>
          <w:rFonts w:ascii="Arial" w:hAnsi="Arial" w:cs="Arial"/>
          <w:sz w:val="24"/>
          <w:szCs w:val="24"/>
        </w:rPr>
      </w:pPr>
      <w:r>
        <w:rPr>
          <w:rFonts w:ascii="Arial" w:hAnsi="Arial" w:cs="Arial"/>
          <w:sz w:val="24"/>
          <w:szCs w:val="24"/>
        </w:rPr>
        <w:t>[</w:t>
      </w:r>
      <w:r w:rsidR="00563E54">
        <w:rPr>
          <w:rFonts w:ascii="Arial" w:hAnsi="Arial" w:cs="Arial"/>
          <w:sz w:val="24"/>
          <w:szCs w:val="24"/>
        </w:rPr>
        <w:t>5</w:t>
      </w:r>
      <w:r>
        <w:rPr>
          <w:rFonts w:ascii="Arial" w:hAnsi="Arial" w:cs="Arial"/>
          <w:sz w:val="24"/>
          <w:szCs w:val="24"/>
        </w:rPr>
        <w:t>]</w:t>
      </w:r>
      <w:r>
        <w:rPr>
          <w:rFonts w:ascii="Arial" w:hAnsi="Arial" w:cs="Arial"/>
          <w:sz w:val="24"/>
          <w:szCs w:val="24"/>
        </w:rPr>
        <w:tab/>
        <w:t>On 20</w:t>
      </w:r>
      <w:r w:rsidRPr="007249F0">
        <w:rPr>
          <w:rFonts w:ascii="Arial" w:hAnsi="Arial" w:cs="Arial"/>
          <w:sz w:val="24"/>
          <w:szCs w:val="24"/>
          <w:vertAlign w:val="superscript"/>
        </w:rPr>
        <w:t>th</w:t>
      </w:r>
      <w:r>
        <w:rPr>
          <w:rFonts w:ascii="Arial" w:hAnsi="Arial" w:cs="Arial"/>
          <w:sz w:val="24"/>
          <w:szCs w:val="24"/>
        </w:rPr>
        <w:t xml:space="preserve"> May 2015, the respondent was visited by one Prince </w:t>
      </w:r>
      <w:proofErr w:type="spellStart"/>
      <w:r>
        <w:rPr>
          <w:rFonts w:ascii="Arial" w:hAnsi="Arial" w:cs="Arial"/>
          <w:sz w:val="24"/>
          <w:szCs w:val="24"/>
        </w:rPr>
        <w:t>Eiseb</w:t>
      </w:r>
      <w:proofErr w:type="spellEnd"/>
      <w:r>
        <w:rPr>
          <w:rFonts w:ascii="Arial" w:hAnsi="Arial" w:cs="Arial"/>
          <w:sz w:val="24"/>
          <w:szCs w:val="24"/>
        </w:rPr>
        <w:t xml:space="preserve">, the co-accused in the court </w:t>
      </w:r>
      <w:r w:rsidRPr="00992ACC">
        <w:rPr>
          <w:rFonts w:ascii="Arial" w:hAnsi="Arial" w:cs="Arial"/>
          <w:i/>
          <w:sz w:val="24"/>
          <w:szCs w:val="24"/>
        </w:rPr>
        <w:t>a quo</w:t>
      </w:r>
      <w:r>
        <w:rPr>
          <w:rFonts w:ascii="Arial" w:hAnsi="Arial" w:cs="Arial"/>
          <w:sz w:val="24"/>
          <w:szCs w:val="24"/>
        </w:rPr>
        <w:t>. Upon arrival at the respondent’s house, the co-accused informed him that there was a printer ‘</w:t>
      </w:r>
      <w:r w:rsidR="002659FD">
        <w:rPr>
          <w:rFonts w:ascii="Arial" w:hAnsi="Arial" w:cs="Arial"/>
          <w:sz w:val="24"/>
          <w:szCs w:val="24"/>
        </w:rPr>
        <w:t>at Welwits</w:t>
      </w:r>
      <w:r>
        <w:rPr>
          <w:rFonts w:ascii="Arial" w:hAnsi="Arial" w:cs="Arial"/>
          <w:sz w:val="24"/>
          <w:szCs w:val="24"/>
        </w:rPr>
        <w:t xml:space="preserve">chia’ that he wanted and all he needed from the respondent were tools. The respondent gave the co-accused scissors. The co-accused requested the respondent to go with him and only after the third time, the respondent agreed to go with the co-accused. At the premises where this printer was, the co-accused told the respondent to stand outside and keep a look out for him, while he broke into the premises to get the printer. The respondent obeyed these instructions and played watchman for the co-accused who broke into the premises and stole the printer. Thereafter, the co-accused gave the printer to the respondent, who took it home with the intention of selling it.  </w:t>
      </w:r>
    </w:p>
    <w:p w:rsidR="00E77654" w:rsidRDefault="003652A8" w:rsidP="00D25D4D">
      <w:pPr>
        <w:spacing w:line="360" w:lineRule="auto"/>
        <w:jc w:val="both"/>
        <w:rPr>
          <w:rFonts w:ascii="Arial" w:hAnsi="Arial" w:cs="Arial"/>
          <w:sz w:val="24"/>
          <w:szCs w:val="24"/>
        </w:rPr>
      </w:pPr>
      <w:r>
        <w:rPr>
          <w:rFonts w:ascii="Arial" w:hAnsi="Arial" w:cs="Arial"/>
          <w:sz w:val="24"/>
          <w:szCs w:val="24"/>
        </w:rPr>
        <w:t>[</w:t>
      </w:r>
      <w:r w:rsidR="00563E54">
        <w:rPr>
          <w:rFonts w:ascii="Arial" w:hAnsi="Arial" w:cs="Arial"/>
          <w:sz w:val="24"/>
          <w:szCs w:val="24"/>
        </w:rPr>
        <w:t>6</w:t>
      </w:r>
      <w:r>
        <w:rPr>
          <w:rFonts w:ascii="Arial" w:hAnsi="Arial" w:cs="Arial"/>
          <w:sz w:val="24"/>
          <w:szCs w:val="24"/>
        </w:rPr>
        <w:t>]</w:t>
      </w:r>
      <w:r>
        <w:rPr>
          <w:rFonts w:ascii="Arial" w:hAnsi="Arial" w:cs="Arial"/>
          <w:sz w:val="24"/>
          <w:szCs w:val="24"/>
        </w:rPr>
        <w:tab/>
      </w:r>
      <w:r w:rsidR="00ED2F9F" w:rsidRPr="003652A8">
        <w:rPr>
          <w:rFonts w:ascii="Arial" w:hAnsi="Arial" w:cs="Arial"/>
          <w:sz w:val="24"/>
          <w:szCs w:val="24"/>
        </w:rPr>
        <w:t>In its notice of application, the applicant set out its grounds of appeal against both the conviction and sentence.</w:t>
      </w:r>
      <w:r w:rsidR="00E77654">
        <w:rPr>
          <w:rFonts w:ascii="Arial" w:hAnsi="Arial" w:cs="Arial"/>
          <w:sz w:val="24"/>
          <w:szCs w:val="24"/>
        </w:rPr>
        <w:t xml:space="preserve"> The applicant’s main submission</w:t>
      </w:r>
      <w:r w:rsidR="00D25D4D">
        <w:rPr>
          <w:rFonts w:ascii="Arial" w:hAnsi="Arial" w:cs="Arial"/>
          <w:sz w:val="24"/>
          <w:szCs w:val="24"/>
        </w:rPr>
        <w:t xml:space="preserve"> in respect of the conviction</w:t>
      </w:r>
      <w:r w:rsidR="00E77654">
        <w:rPr>
          <w:rFonts w:ascii="Arial" w:hAnsi="Arial" w:cs="Arial"/>
          <w:sz w:val="24"/>
          <w:szCs w:val="24"/>
        </w:rPr>
        <w:t xml:space="preserve"> is that the trial court ‘</w:t>
      </w:r>
      <w:r w:rsidR="00E77654" w:rsidRPr="00992ACC">
        <w:rPr>
          <w:rFonts w:ascii="Arial" w:hAnsi="Arial" w:cs="Arial"/>
        </w:rPr>
        <w:t xml:space="preserve">misconstrued the legal principles applicable and relevant to the determination of the application of the doctrine of common purpose which resulted in </w:t>
      </w:r>
      <w:r w:rsidR="00384A36" w:rsidRPr="00992ACC">
        <w:rPr>
          <w:rFonts w:ascii="Arial" w:hAnsi="Arial" w:cs="Arial"/>
        </w:rPr>
        <w:t>the application of</w:t>
      </w:r>
      <w:r w:rsidR="00E77654" w:rsidRPr="00992ACC">
        <w:rPr>
          <w:rFonts w:ascii="Arial" w:hAnsi="Arial" w:cs="Arial"/>
        </w:rPr>
        <w:t xml:space="preserve"> the wrong test and thereby wrongly convicted the respondent of theft’</w:t>
      </w:r>
      <w:r w:rsidR="00E77654">
        <w:rPr>
          <w:rFonts w:ascii="Arial" w:hAnsi="Arial" w:cs="Arial"/>
          <w:sz w:val="24"/>
          <w:szCs w:val="24"/>
        </w:rPr>
        <w:t>.  Counsel for the applicant further su</w:t>
      </w:r>
      <w:r w:rsidR="004F445A">
        <w:rPr>
          <w:rFonts w:ascii="Arial" w:hAnsi="Arial" w:cs="Arial"/>
          <w:sz w:val="24"/>
          <w:szCs w:val="24"/>
        </w:rPr>
        <w:t>bmitted that, the fact that the trial court accepted</w:t>
      </w:r>
      <w:r w:rsidR="00E77654">
        <w:rPr>
          <w:rFonts w:ascii="Arial" w:hAnsi="Arial" w:cs="Arial"/>
          <w:sz w:val="24"/>
          <w:szCs w:val="24"/>
        </w:rPr>
        <w:t xml:space="preserve"> that the respondent was under the influence of intoxicating sub</w:t>
      </w:r>
      <w:r w:rsidR="00690AD9">
        <w:rPr>
          <w:rFonts w:ascii="Arial" w:hAnsi="Arial" w:cs="Arial"/>
          <w:sz w:val="24"/>
          <w:szCs w:val="24"/>
        </w:rPr>
        <w:t>stances because his</w:t>
      </w:r>
      <w:r w:rsidR="00E77654">
        <w:rPr>
          <w:rFonts w:ascii="Arial" w:hAnsi="Arial" w:cs="Arial"/>
          <w:sz w:val="24"/>
          <w:szCs w:val="24"/>
        </w:rPr>
        <w:t xml:space="preserve"> eyes were </w:t>
      </w:r>
      <w:r w:rsidR="004F445A">
        <w:rPr>
          <w:rFonts w:ascii="Arial" w:hAnsi="Arial" w:cs="Arial"/>
          <w:sz w:val="24"/>
          <w:szCs w:val="24"/>
        </w:rPr>
        <w:t xml:space="preserve">tiny at </w:t>
      </w:r>
      <w:r w:rsidR="00690AD9">
        <w:rPr>
          <w:rFonts w:ascii="Arial" w:hAnsi="Arial" w:cs="Arial"/>
          <w:sz w:val="24"/>
          <w:szCs w:val="24"/>
        </w:rPr>
        <w:t xml:space="preserve">the </w:t>
      </w:r>
      <w:r w:rsidR="004F445A">
        <w:rPr>
          <w:rFonts w:ascii="Arial" w:hAnsi="Arial" w:cs="Arial"/>
          <w:sz w:val="24"/>
          <w:szCs w:val="24"/>
        </w:rPr>
        <w:t xml:space="preserve">time of </w:t>
      </w:r>
      <w:r w:rsidR="00690AD9">
        <w:rPr>
          <w:rFonts w:ascii="Arial" w:hAnsi="Arial" w:cs="Arial"/>
          <w:sz w:val="24"/>
          <w:szCs w:val="24"/>
        </w:rPr>
        <w:t xml:space="preserve">the </w:t>
      </w:r>
      <w:r w:rsidR="004F445A">
        <w:rPr>
          <w:rFonts w:ascii="Arial" w:hAnsi="Arial" w:cs="Arial"/>
          <w:sz w:val="24"/>
          <w:szCs w:val="24"/>
        </w:rPr>
        <w:t>commission of the offence was a misdirection. Furthermore, that the sentence imposed was so inappropriate and shocking and should be substituted with a custodial sentence.</w:t>
      </w:r>
    </w:p>
    <w:p w:rsidR="003371A8" w:rsidRDefault="004F445A" w:rsidP="00D25D4D">
      <w:pPr>
        <w:spacing w:line="360" w:lineRule="auto"/>
        <w:jc w:val="both"/>
        <w:rPr>
          <w:rFonts w:ascii="Arial" w:hAnsi="Arial" w:cs="Arial"/>
          <w:sz w:val="24"/>
          <w:szCs w:val="24"/>
        </w:rPr>
      </w:pPr>
      <w:r>
        <w:rPr>
          <w:rFonts w:ascii="Arial" w:hAnsi="Arial" w:cs="Arial"/>
          <w:sz w:val="24"/>
          <w:szCs w:val="24"/>
        </w:rPr>
        <w:t>[</w:t>
      </w:r>
      <w:r w:rsidR="00563E54">
        <w:rPr>
          <w:rFonts w:ascii="Arial" w:hAnsi="Arial" w:cs="Arial"/>
          <w:sz w:val="24"/>
          <w:szCs w:val="24"/>
        </w:rPr>
        <w:t>6</w:t>
      </w:r>
      <w:r>
        <w:rPr>
          <w:rFonts w:ascii="Arial" w:hAnsi="Arial" w:cs="Arial"/>
          <w:sz w:val="24"/>
          <w:szCs w:val="24"/>
        </w:rPr>
        <w:t>]</w:t>
      </w:r>
      <w:r>
        <w:rPr>
          <w:rFonts w:ascii="Arial" w:hAnsi="Arial" w:cs="Arial"/>
          <w:sz w:val="24"/>
          <w:szCs w:val="24"/>
        </w:rPr>
        <w:tab/>
      </w:r>
      <w:r w:rsidR="00E77654">
        <w:rPr>
          <w:rFonts w:ascii="Arial" w:hAnsi="Arial" w:cs="Arial"/>
          <w:sz w:val="24"/>
          <w:szCs w:val="24"/>
        </w:rPr>
        <w:t>The respond</w:t>
      </w:r>
      <w:r>
        <w:rPr>
          <w:rFonts w:ascii="Arial" w:hAnsi="Arial" w:cs="Arial"/>
          <w:sz w:val="24"/>
          <w:szCs w:val="24"/>
        </w:rPr>
        <w:t xml:space="preserve">ent filed his </w:t>
      </w:r>
      <w:r w:rsidR="00384A36">
        <w:rPr>
          <w:rFonts w:ascii="Arial" w:hAnsi="Arial" w:cs="Arial"/>
          <w:sz w:val="24"/>
          <w:szCs w:val="24"/>
        </w:rPr>
        <w:t xml:space="preserve">heads of argument </w:t>
      </w:r>
      <w:r>
        <w:rPr>
          <w:rFonts w:ascii="Arial" w:hAnsi="Arial" w:cs="Arial"/>
          <w:sz w:val="24"/>
          <w:szCs w:val="24"/>
        </w:rPr>
        <w:t>and therein stipulated his grounds of opposition against the application. Counsel for the respondent submitted that, the respondent did not have the intention to break in and was correctly convicted of theft only and not housebreaking</w:t>
      </w:r>
      <w:r w:rsidR="00384A36">
        <w:rPr>
          <w:rFonts w:ascii="Arial" w:hAnsi="Arial" w:cs="Arial"/>
          <w:sz w:val="24"/>
          <w:szCs w:val="24"/>
        </w:rPr>
        <w:t xml:space="preserve"> with intent to steal and theft</w:t>
      </w:r>
      <w:r>
        <w:rPr>
          <w:rFonts w:ascii="Arial" w:hAnsi="Arial" w:cs="Arial"/>
          <w:sz w:val="24"/>
          <w:szCs w:val="24"/>
        </w:rPr>
        <w:t>.</w:t>
      </w:r>
      <w:r w:rsidR="00992ACC">
        <w:rPr>
          <w:rFonts w:ascii="Arial" w:hAnsi="Arial" w:cs="Arial"/>
          <w:sz w:val="24"/>
          <w:szCs w:val="24"/>
        </w:rPr>
        <w:t xml:space="preserve"> Furthermore that the respondent merely played watchman and did not break into the premises. </w:t>
      </w:r>
      <w:r>
        <w:rPr>
          <w:rFonts w:ascii="Arial" w:hAnsi="Arial" w:cs="Arial"/>
          <w:sz w:val="24"/>
          <w:szCs w:val="24"/>
        </w:rPr>
        <w:t xml:space="preserve"> It was further submitted on behalf of the respondent that, the sentence imposed by the trial court was appropriate. According to the counsel for the respondent</w:t>
      </w:r>
      <w:r w:rsidR="00384A36">
        <w:rPr>
          <w:rFonts w:ascii="Arial" w:hAnsi="Arial" w:cs="Arial"/>
          <w:sz w:val="24"/>
          <w:szCs w:val="24"/>
        </w:rPr>
        <w:t>,</w:t>
      </w:r>
      <w:r>
        <w:rPr>
          <w:rFonts w:ascii="Arial" w:hAnsi="Arial" w:cs="Arial"/>
          <w:sz w:val="24"/>
          <w:szCs w:val="24"/>
        </w:rPr>
        <w:t xml:space="preserve"> mitigating factors which justified this sentence were </w:t>
      </w:r>
      <w:r w:rsidR="00745EBF">
        <w:rPr>
          <w:rFonts w:ascii="Arial" w:hAnsi="Arial" w:cs="Arial"/>
          <w:sz w:val="24"/>
          <w:szCs w:val="24"/>
        </w:rPr>
        <w:t xml:space="preserve">that the respondent was a first offender, that the stolen item (the printer) was recovered, </w:t>
      </w:r>
      <w:r w:rsidR="00384A36">
        <w:rPr>
          <w:rFonts w:ascii="Arial" w:hAnsi="Arial" w:cs="Arial"/>
          <w:sz w:val="24"/>
          <w:szCs w:val="24"/>
        </w:rPr>
        <w:t xml:space="preserve">that </w:t>
      </w:r>
      <w:r w:rsidR="00745EBF">
        <w:rPr>
          <w:rFonts w:ascii="Arial" w:hAnsi="Arial" w:cs="Arial"/>
          <w:sz w:val="24"/>
          <w:szCs w:val="24"/>
        </w:rPr>
        <w:t>the respondent was a youthful offender as he was 18 years old at the time of his conviction and sentence, that the respondent was remorseful, that the respondent was under the influence of intoxicating substances before he committed the offence and lastly, that the printer’s value was N$ 750.00.</w:t>
      </w:r>
    </w:p>
    <w:p w:rsidR="00992ACC" w:rsidRDefault="00992ACC" w:rsidP="00D25D4D">
      <w:pPr>
        <w:spacing w:line="360" w:lineRule="auto"/>
        <w:jc w:val="both"/>
        <w:rPr>
          <w:rFonts w:ascii="Arial" w:hAnsi="Arial" w:cs="Arial"/>
          <w:sz w:val="24"/>
          <w:szCs w:val="24"/>
        </w:rPr>
      </w:pPr>
    </w:p>
    <w:p w:rsidR="00992ACC" w:rsidRDefault="00992ACC" w:rsidP="00D25D4D">
      <w:pPr>
        <w:spacing w:line="360" w:lineRule="auto"/>
        <w:jc w:val="both"/>
        <w:rPr>
          <w:rFonts w:ascii="Arial" w:hAnsi="Arial" w:cs="Arial"/>
          <w:sz w:val="24"/>
          <w:szCs w:val="24"/>
        </w:rPr>
      </w:pPr>
    </w:p>
    <w:p w:rsidR="004865CB" w:rsidRPr="004865CB" w:rsidRDefault="00384A36" w:rsidP="00D25D4D">
      <w:pPr>
        <w:spacing w:line="360" w:lineRule="auto"/>
        <w:jc w:val="both"/>
        <w:rPr>
          <w:rFonts w:ascii="Arial" w:hAnsi="Arial" w:cs="Arial"/>
          <w:sz w:val="24"/>
          <w:szCs w:val="24"/>
          <w:u w:val="single"/>
        </w:rPr>
      </w:pPr>
      <w:r>
        <w:rPr>
          <w:rFonts w:ascii="Arial" w:hAnsi="Arial" w:cs="Arial"/>
          <w:sz w:val="24"/>
          <w:szCs w:val="24"/>
          <w:u w:val="single"/>
        </w:rPr>
        <w:t>The Test in respect of an a</w:t>
      </w:r>
      <w:r w:rsidR="004865CB" w:rsidRPr="004865CB">
        <w:rPr>
          <w:rFonts w:ascii="Arial" w:hAnsi="Arial" w:cs="Arial"/>
          <w:sz w:val="24"/>
          <w:szCs w:val="24"/>
          <w:u w:val="single"/>
        </w:rPr>
        <w:t>pplication for leave to appeal</w:t>
      </w:r>
    </w:p>
    <w:p w:rsidR="004F445A" w:rsidRDefault="004F445A" w:rsidP="00D25D4D">
      <w:pPr>
        <w:spacing w:line="360" w:lineRule="auto"/>
        <w:jc w:val="both"/>
        <w:rPr>
          <w:rFonts w:ascii="Arial" w:hAnsi="Arial" w:cs="Arial"/>
          <w:sz w:val="24"/>
          <w:szCs w:val="24"/>
        </w:rPr>
      </w:pPr>
      <w:r>
        <w:rPr>
          <w:rFonts w:ascii="Arial" w:hAnsi="Arial" w:cs="Arial"/>
          <w:sz w:val="24"/>
          <w:szCs w:val="24"/>
        </w:rPr>
        <w:t>[</w:t>
      </w:r>
      <w:r w:rsidR="00563E54">
        <w:rPr>
          <w:rFonts w:ascii="Arial" w:hAnsi="Arial" w:cs="Arial"/>
          <w:sz w:val="24"/>
          <w:szCs w:val="24"/>
        </w:rPr>
        <w:t>8</w:t>
      </w:r>
      <w:r>
        <w:rPr>
          <w:rFonts w:ascii="Arial" w:hAnsi="Arial" w:cs="Arial"/>
          <w:sz w:val="24"/>
          <w:szCs w:val="24"/>
        </w:rPr>
        <w:t>]</w:t>
      </w:r>
      <w:r>
        <w:rPr>
          <w:rFonts w:ascii="Arial" w:hAnsi="Arial" w:cs="Arial"/>
          <w:sz w:val="24"/>
          <w:szCs w:val="24"/>
        </w:rPr>
        <w:tab/>
      </w:r>
      <w:r w:rsidR="00745EBF">
        <w:rPr>
          <w:rFonts w:ascii="Arial" w:hAnsi="Arial" w:cs="Arial"/>
          <w:sz w:val="24"/>
          <w:szCs w:val="24"/>
        </w:rPr>
        <w:t>In determining</w:t>
      </w:r>
      <w:r w:rsidR="00347607">
        <w:rPr>
          <w:rFonts w:ascii="Arial" w:hAnsi="Arial" w:cs="Arial"/>
          <w:sz w:val="24"/>
          <w:szCs w:val="24"/>
        </w:rPr>
        <w:t xml:space="preserve"> whether to grant or refuse an</w:t>
      </w:r>
      <w:r w:rsidR="00745EBF">
        <w:rPr>
          <w:rFonts w:ascii="Arial" w:hAnsi="Arial" w:cs="Arial"/>
          <w:sz w:val="24"/>
          <w:szCs w:val="24"/>
        </w:rPr>
        <w:t xml:space="preserve"> application</w:t>
      </w:r>
      <w:r w:rsidR="00347607">
        <w:rPr>
          <w:rFonts w:ascii="Arial" w:hAnsi="Arial" w:cs="Arial"/>
          <w:sz w:val="24"/>
          <w:szCs w:val="24"/>
        </w:rPr>
        <w:t xml:space="preserve"> for leave to appeal</w:t>
      </w:r>
      <w:r w:rsidR="00745EBF">
        <w:rPr>
          <w:rFonts w:ascii="Arial" w:hAnsi="Arial" w:cs="Arial"/>
          <w:sz w:val="24"/>
          <w:szCs w:val="24"/>
        </w:rPr>
        <w:t xml:space="preserve">, this court will have to be guided by the test as applied in </w:t>
      </w:r>
      <w:proofErr w:type="spellStart"/>
      <w:r w:rsidR="00745EBF" w:rsidRPr="00745EBF">
        <w:rPr>
          <w:rFonts w:ascii="Arial" w:hAnsi="Arial" w:cs="Arial"/>
          <w:i/>
          <w:sz w:val="24"/>
          <w:szCs w:val="24"/>
        </w:rPr>
        <w:t>Nowaseb</w:t>
      </w:r>
      <w:proofErr w:type="spellEnd"/>
      <w:r w:rsidR="00745EBF">
        <w:rPr>
          <w:rFonts w:ascii="Arial" w:hAnsi="Arial" w:cs="Arial"/>
          <w:i/>
          <w:sz w:val="24"/>
          <w:szCs w:val="24"/>
        </w:rPr>
        <w:t xml:space="preserve"> v S</w:t>
      </w:r>
      <w:r w:rsidR="00745EBF">
        <w:rPr>
          <w:rStyle w:val="FootnoteReference"/>
          <w:rFonts w:ascii="Arial" w:hAnsi="Arial" w:cs="Arial"/>
          <w:i/>
          <w:sz w:val="24"/>
          <w:szCs w:val="24"/>
        </w:rPr>
        <w:footnoteReference w:id="2"/>
      </w:r>
      <w:r w:rsidR="0014103B">
        <w:rPr>
          <w:rFonts w:ascii="Arial" w:hAnsi="Arial" w:cs="Arial"/>
          <w:i/>
          <w:sz w:val="24"/>
          <w:szCs w:val="24"/>
        </w:rPr>
        <w:t>.</w:t>
      </w:r>
      <w:r w:rsidR="00745EBF">
        <w:rPr>
          <w:rFonts w:ascii="Arial" w:hAnsi="Arial" w:cs="Arial"/>
          <w:sz w:val="24"/>
          <w:szCs w:val="24"/>
        </w:rPr>
        <w:t xml:space="preserve"> </w:t>
      </w:r>
      <w:r w:rsidR="0014103B">
        <w:rPr>
          <w:rFonts w:ascii="Arial" w:hAnsi="Arial" w:cs="Arial"/>
          <w:sz w:val="24"/>
          <w:szCs w:val="24"/>
        </w:rPr>
        <w:t xml:space="preserve">The court has to be </w:t>
      </w:r>
      <w:r w:rsidR="00745EBF">
        <w:rPr>
          <w:rFonts w:ascii="Arial" w:hAnsi="Arial" w:cs="Arial"/>
          <w:sz w:val="24"/>
          <w:szCs w:val="24"/>
        </w:rPr>
        <w:t>convinced that there are reasonable prospects of success on appeal</w:t>
      </w:r>
      <w:r w:rsidR="0014103B">
        <w:rPr>
          <w:rFonts w:ascii="Arial" w:hAnsi="Arial" w:cs="Arial"/>
          <w:sz w:val="24"/>
          <w:szCs w:val="24"/>
        </w:rPr>
        <w:t xml:space="preserve"> before it grants an application for leave to appeal</w:t>
      </w:r>
      <w:r w:rsidR="00745EBF">
        <w:rPr>
          <w:rFonts w:ascii="Arial" w:hAnsi="Arial" w:cs="Arial"/>
          <w:sz w:val="24"/>
          <w:szCs w:val="24"/>
        </w:rPr>
        <w:t>. That is, this court should be convinced that ‘there is reasonable prospect that the court of appeal may take a different view’</w:t>
      </w:r>
      <w:r w:rsidR="0014103B">
        <w:rPr>
          <w:rFonts w:ascii="Arial" w:hAnsi="Arial" w:cs="Arial"/>
          <w:sz w:val="24"/>
          <w:szCs w:val="24"/>
        </w:rPr>
        <w:t xml:space="preserve"> the possibility of a mere difference of opinion it seems will not do. </w:t>
      </w:r>
    </w:p>
    <w:p w:rsidR="004865CB" w:rsidRPr="004865CB" w:rsidRDefault="004865CB" w:rsidP="00D25D4D">
      <w:pPr>
        <w:spacing w:line="360" w:lineRule="auto"/>
        <w:jc w:val="both"/>
        <w:rPr>
          <w:rFonts w:ascii="Arial" w:hAnsi="Arial" w:cs="Arial"/>
          <w:sz w:val="24"/>
          <w:szCs w:val="24"/>
          <w:u w:val="single"/>
        </w:rPr>
      </w:pPr>
      <w:r w:rsidRPr="004865CB">
        <w:rPr>
          <w:rFonts w:ascii="Arial" w:hAnsi="Arial" w:cs="Arial"/>
          <w:sz w:val="24"/>
          <w:szCs w:val="24"/>
          <w:u w:val="single"/>
        </w:rPr>
        <w:t>The Doctrine of Common Purpose</w:t>
      </w:r>
    </w:p>
    <w:p w:rsidR="004F445A" w:rsidRPr="003652A8" w:rsidRDefault="004865CB" w:rsidP="00D25D4D">
      <w:pPr>
        <w:spacing w:line="360" w:lineRule="auto"/>
        <w:jc w:val="both"/>
        <w:rPr>
          <w:rFonts w:ascii="Arial" w:hAnsi="Arial" w:cs="Arial"/>
          <w:sz w:val="24"/>
          <w:szCs w:val="24"/>
        </w:rPr>
      </w:pPr>
      <w:r>
        <w:rPr>
          <w:rFonts w:ascii="Arial" w:hAnsi="Arial" w:cs="Arial"/>
          <w:sz w:val="24"/>
          <w:szCs w:val="24"/>
        </w:rPr>
        <w:t>[</w:t>
      </w:r>
      <w:r w:rsidR="00563E54">
        <w:rPr>
          <w:rFonts w:ascii="Arial" w:hAnsi="Arial" w:cs="Arial"/>
          <w:sz w:val="24"/>
          <w:szCs w:val="24"/>
        </w:rPr>
        <w:t>9</w:t>
      </w:r>
      <w:r>
        <w:rPr>
          <w:rFonts w:ascii="Arial" w:hAnsi="Arial" w:cs="Arial"/>
          <w:sz w:val="24"/>
          <w:szCs w:val="24"/>
        </w:rPr>
        <w:t>]</w:t>
      </w:r>
      <w:r>
        <w:rPr>
          <w:rFonts w:ascii="Arial" w:hAnsi="Arial" w:cs="Arial"/>
          <w:sz w:val="24"/>
          <w:szCs w:val="24"/>
        </w:rPr>
        <w:tab/>
      </w:r>
      <w:r w:rsidR="005470D3">
        <w:rPr>
          <w:rFonts w:ascii="Arial" w:hAnsi="Arial" w:cs="Arial"/>
          <w:sz w:val="24"/>
          <w:szCs w:val="24"/>
        </w:rPr>
        <w:t>In cases such as this, where two or more person</w:t>
      </w:r>
      <w:r w:rsidR="008B384E">
        <w:rPr>
          <w:rFonts w:ascii="Arial" w:hAnsi="Arial" w:cs="Arial"/>
          <w:sz w:val="24"/>
          <w:szCs w:val="24"/>
        </w:rPr>
        <w:t>s</w:t>
      </w:r>
      <w:r w:rsidR="005470D3">
        <w:rPr>
          <w:rFonts w:ascii="Arial" w:hAnsi="Arial" w:cs="Arial"/>
          <w:sz w:val="24"/>
          <w:szCs w:val="24"/>
        </w:rPr>
        <w:t xml:space="preserve"> are in each other’s presence and the one commits an offence, the question is</w:t>
      </w:r>
      <w:r w:rsidR="008B384E">
        <w:rPr>
          <w:rFonts w:ascii="Arial" w:hAnsi="Arial" w:cs="Arial"/>
          <w:sz w:val="24"/>
          <w:szCs w:val="24"/>
        </w:rPr>
        <w:t>,</w:t>
      </w:r>
      <w:r w:rsidR="005470D3">
        <w:rPr>
          <w:rFonts w:ascii="Arial" w:hAnsi="Arial" w:cs="Arial"/>
          <w:sz w:val="24"/>
          <w:szCs w:val="24"/>
        </w:rPr>
        <w:t xml:space="preserve"> can the conduct of the one be imputed on the other? It is in cases like these that courts apply the doctrine of common purpose. </w:t>
      </w:r>
      <w:r w:rsidR="00E05FDC">
        <w:rPr>
          <w:rFonts w:ascii="Arial" w:hAnsi="Arial" w:cs="Arial"/>
          <w:sz w:val="24"/>
          <w:szCs w:val="24"/>
        </w:rPr>
        <w:t>‘</w:t>
      </w:r>
      <w:r w:rsidR="00E05FDC" w:rsidRPr="00E05FDC">
        <w:rPr>
          <w:rFonts w:ascii="Arial" w:hAnsi="Arial" w:cs="Arial"/>
        </w:rPr>
        <w:t xml:space="preserve">The essence of the doctrine is that if two or more people, having a common purpose to commit a crime, act together to achieve that purpose, then the conduct of each of them  in </w:t>
      </w:r>
      <w:r w:rsidR="00384A36">
        <w:rPr>
          <w:rFonts w:ascii="Arial" w:hAnsi="Arial" w:cs="Arial"/>
        </w:rPr>
        <w:t xml:space="preserve">the </w:t>
      </w:r>
      <w:r w:rsidR="00E05FDC" w:rsidRPr="00E05FDC">
        <w:rPr>
          <w:rFonts w:ascii="Arial" w:hAnsi="Arial" w:cs="Arial"/>
        </w:rPr>
        <w:t>execution of that purpose is imputed to the others.</w:t>
      </w:r>
      <w:r w:rsidR="00E05FDC">
        <w:rPr>
          <w:rFonts w:ascii="Arial" w:hAnsi="Arial" w:cs="Arial"/>
        </w:rPr>
        <w:t xml:space="preserve"> . . The essential requirement is that the persons must all have had the intention to murder</w:t>
      </w:r>
      <w:r w:rsidR="00384A36">
        <w:rPr>
          <w:rFonts w:ascii="Arial" w:hAnsi="Arial" w:cs="Arial"/>
        </w:rPr>
        <w:t xml:space="preserve"> [or in this case, to break into premises and steal the printer</w:t>
      </w:r>
      <w:r w:rsidR="007B2189">
        <w:rPr>
          <w:rFonts w:ascii="Arial" w:hAnsi="Arial" w:cs="Arial"/>
        </w:rPr>
        <w:t xml:space="preserve"> (my addition)</w:t>
      </w:r>
      <w:r w:rsidR="00384A36">
        <w:rPr>
          <w:rFonts w:ascii="Arial" w:hAnsi="Arial" w:cs="Arial"/>
        </w:rPr>
        <w:t>]</w:t>
      </w:r>
      <w:r w:rsidR="00E05FDC">
        <w:rPr>
          <w:rFonts w:ascii="Arial" w:hAnsi="Arial" w:cs="Arial"/>
        </w:rPr>
        <w:t xml:space="preserve"> and to assist one another in committing the murder</w:t>
      </w:r>
      <w:r w:rsidR="007B2189">
        <w:rPr>
          <w:rFonts w:ascii="Arial" w:hAnsi="Arial" w:cs="Arial"/>
        </w:rPr>
        <w:t xml:space="preserve"> </w:t>
      </w:r>
      <w:r w:rsidR="00384A36">
        <w:rPr>
          <w:rFonts w:ascii="Arial" w:hAnsi="Arial" w:cs="Arial"/>
        </w:rPr>
        <w:t>[or in thi</w:t>
      </w:r>
      <w:r w:rsidR="007B2189">
        <w:rPr>
          <w:rFonts w:ascii="Arial" w:hAnsi="Arial" w:cs="Arial"/>
        </w:rPr>
        <w:t>s case, assist one another in breaking into the premises and stealing the printer (my addition)]</w:t>
      </w:r>
      <w:r w:rsidR="00E05FDC">
        <w:rPr>
          <w:rFonts w:ascii="Arial" w:hAnsi="Arial" w:cs="Arial"/>
        </w:rPr>
        <w:t>.</w:t>
      </w:r>
      <w:r w:rsidR="00E05FDC">
        <w:rPr>
          <w:rFonts w:ascii="Arial" w:hAnsi="Arial" w:cs="Arial"/>
          <w:sz w:val="24"/>
          <w:szCs w:val="24"/>
        </w:rPr>
        <w:t>’</w:t>
      </w:r>
      <w:r w:rsidR="00E05FDC">
        <w:rPr>
          <w:rStyle w:val="FootnoteReference"/>
          <w:rFonts w:ascii="Arial" w:hAnsi="Arial" w:cs="Arial"/>
          <w:sz w:val="24"/>
          <w:szCs w:val="24"/>
        </w:rPr>
        <w:footnoteReference w:id="3"/>
      </w:r>
      <w:r w:rsidR="00E05FDC">
        <w:rPr>
          <w:rFonts w:ascii="Arial" w:hAnsi="Arial" w:cs="Arial"/>
          <w:sz w:val="24"/>
          <w:szCs w:val="24"/>
        </w:rPr>
        <w:t xml:space="preserve"> </w:t>
      </w:r>
      <w:proofErr w:type="spellStart"/>
      <w:r w:rsidR="00E05FDC">
        <w:rPr>
          <w:rFonts w:ascii="Arial" w:hAnsi="Arial" w:cs="Arial"/>
          <w:sz w:val="24"/>
          <w:szCs w:val="24"/>
        </w:rPr>
        <w:t>Snyman</w:t>
      </w:r>
      <w:proofErr w:type="spellEnd"/>
      <w:r w:rsidR="00E05FDC">
        <w:rPr>
          <w:rFonts w:ascii="Arial" w:hAnsi="Arial" w:cs="Arial"/>
          <w:sz w:val="24"/>
          <w:szCs w:val="24"/>
        </w:rPr>
        <w:t>, although the discussion in his book is limited to the offence of murder states that, ‘the doctrine is couched in general terms and therefore not confined to one type of crime only’.</w:t>
      </w:r>
      <w:r w:rsidR="00E05FDC">
        <w:rPr>
          <w:rStyle w:val="FootnoteReference"/>
          <w:rFonts w:ascii="Arial" w:hAnsi="Arial" w:cs="Arial"/>
          <w:sz w:val="24"/>
          <w:szCs w:val="24"/>
        </w:rPr>
        <w:footnoteReference w:id="4"/>
      </w:r>
      <w:r w:rsidR="00E05FDC">
        <w:rPr>
          <w:rFonts w:ascii="Arial" w:hAnsi="Arial" w:cs="Arial"/>
          <w:sz w:val="24"/>
          <w:szCs w:val="24"/>
        </w:rPr>
        <w:t xml:space="preserve">  He states further that,</w:t>
      </w:r>
      <w:r w:rsidR="00E05FDC" w:rsidRPr="00E05FDC">
        <w:rPr>
          <w:rFonts w:ascii="Arial" w:hAnsi="Arial" w:cs="Arial"/>
          <w:sz w:val="24"/>
          <w:szCs w:val="24"/>
        </w:rPr>
        <w:t xml:space="preserve"> </w:t>
      </w:r>
      <w:r w:rsidR="00E05FDC">
        <w:rPr>
          <w:rFonts w:ascii="Arial" w:hAnsi="Arial" w:cs="Arial"/>
          <w:sz w:val="24"/>
          <w:szCs w:val="24"/>
        </w:rPr>
        <w:t xml:space="preserve">for the conduct of one accused to be imputed on the other, it is not necessary that the intention of the latter be </w:t>
      </w:r>
      <w:proofErr w:type="spellStart"/>
      <w:r w:rsidR="00E05FDC" w:rsidRPr="000F50B2">
        <w:rPr>
          <w:rFonts w:ascii="Arial" w:hAnsi="Arial" w:cs="Arial"/>
          <w:i/>
          <w:sz w:val="24"/>
          <w:szCs w:val="24"/>
        </w:rPr>
        <w:t>dolus</w:t>
      </w:r>
      <w:proofErr w:type="spellEnd"/>
      <w:r w:rsidR="00E05FDC" w:rsidRPr="000F50B2">
        <w:rPr>
          <w:rFonts w:ascii="Arial" w:hAnsi="Arial" w:cs="Arial"/>
          <w:i/>
          <w:sz w:val="24"/>
          <w:szCs w:val="24"/>
        </w:rPr>
        <w:t xml:space="preserve"> </w:t>
      </w:r>
      <w:proofErr w:type="spellStart"/>
      <w:r w:rsidR="00E05FDC" w:rsidRPr="000F50B2">
        <w:rPr>
          <w:rFonts w:ascii="Arial" w:hAnsi="Arial" w:cs="Arial"/>
          <w:i/>
          <w:sz w:val="24"/>
          <w:szCs w:val="24"/>
        </w:rPr>
        <w:t>directus</w:t>
      </w:r>
      <w:proofErr w:type="spellEnd"/>
      <w:r w:rsidR="00E05FDC">
        <w:rPr>
          <w:rFonts w:ascii="Arial" w:hAnsi="Arial" w:cs="Arial"/>
          <w:sz w:val="24"/>
          <w:szCs w:val="24"/>
        </w:rPr>
        <w:t xml:space="preserve"> (direct intention). ‘</w:t>
      </w:r>
      <w:r w:rsidR="00E05FDC" w:rsidRPr="005470D3">
        <w:rPr>
          <w:rFonts w:ascii="Arial" w:hAnsi="Arial" w:cs="Arial"/>
        </w:rPr>
        <w:t xml:space="preserve">It is sufficient if his intention takes the form of </w:t>
      </w:r>
      <w:proofErr w:type="spellStart"/>
      <w:r w:rsidR="00E05FDC" w:rsidRPr="000F50B2">
        <w:rPr>
          <w:rFonts w:ascii="Arial" w:hAnsi="Arial" w:cs="Arial"/>
          <w:i/>
        </w:rPr>
        <w:t>dolus</w:t>
      </w:r>
      <w:proofErr w:type="spellEnd"/>
      <w:r w:rsidR="00E05FDC" w:rsidRPr="000F50B2">
        <w:rPr>
          <w:rFonts w:ascii="Arial" w:hAnsi="Arial" w:cs="Arial"/>
          <w:i/>
        </w:rPr>
        <w:t xml:space="preserve"> </w:t>
      </w:r>
      <w:proofErr w:type="spellStart"/>
      <w:r w:rsidR="00E05FDC" w:rsidRPr="000F50B2">
        <w:rPr>
          <w:rFonts w:ascii="Arial" w:hAnsi="Arial" w:cs="Arial"/>
          <w:i/>
        </w:rPr>
        <w:t>eventualis</w:t>
      </w:r>
      <w:proofErr w:type="spellEnd"/>
      <w:r w:rsidR="00E05FDC" w:rsidRPr="000F50B2">
        <w:rPr>
          <w:rFonts w:ascii="Arial" w:hAnsi="Arial" w:cs="Arial"/>
          <w:i/>
          <w:sz w:val="24"/>
          <w:szCs w:val="24"/>
        </w:rPr>
        <w:t>’</w:t>
      </w:r>
      <w:r w:rsidR="00E05FDC">
        <w:rPr>
          <w:rFonts w:ascii="Arial" w:hAnsi="Arial" w:cs="Arial"/>
          <w:sz w:val="24"/>
          <w:szCs w:val="24"/>
        </w:rPr>
        <w:t xml:space="preserve">, that is, that </w:t>
      </w:r>
      <w:r w:rsidR="00E05FDC" w:rsidRPr="005470D3">
        <w:rPr>
          <w:rFonts w:ascii="Arial" w:hAnsi="Arial" w:cs="Arial"/>
        </w:rPr>
        <w:t>‘he foresees the possibility that the acts of the participants with whom he associates himself may result in Y’s death</w:t>
      </w:r>
      <w:r w:rsidR="007B2189">
        <w:rPr>
          <w:rFonts w:ascii="Arial" w:hAnsi="Arial" w:cs="Arial"/>
        </w:rPr>
        <w:t xml:space="preserve"> [breaking and entering the premises of another and stealing property on those premises and belonging to another (my addition)]</w:t>
      </w:r>
      <w:r w:rsidR="00E05FDC" w:rsidRPr="005470D3">
        <w:rPr>
          <w:rFonts w:ascii="Arial" w:hAnsi="Arial" w:cs="Arial"/>
        </w:rPr>
        <w:t xml:space="preserve"> and reconciles himself to this possibility</w:t>
      </w:r>
      <w:r w:rsidR="00E05FDC">
        <w:rPr>
          <w:rFonts w:ascii="Arial" w:hAnsi="Arial" w:cs="Arial"/>
          <w:sz w:val="24"/>
          <w:szCs w:val="24"/>
        </w:rPr>
        <w:t>’.</w:t>
      </w:r>
      <w:r w:rsidR="005470D3">
        <w:rPr>
          <w:rStyle w:val="FootnoteReference"/>
          <w:rFonts w:ascii="Arial" w:hAnsi="Arial" w:cs="Arial"/>
          <w:sz w:val="24"/>
          <w:szCs w:val="24"/>
        </w:rPr>
        <w:footnoteReference w:id="5"/>
      </w:r>
      <w:r w:rsidR="005470D3">
        <w:rPr>
          <w:rFonts w:ascii="Arial" w:hAnsi="Arial" w:cs="Arial"/>
          <w:sz w:val="24"/>
          <w:szCs w:val="24"/>
        </w:rPr>
        <w:t xml:space="preserve"> </w:t>
      </w:r>
      <w:r w:rsidR="00E05FDC">
        <w:rPr>
          <w:rFonts w:ascii="Arial" w:hAnsi="Arial" w:cs="Arial"/>
          <w:sz w:val="24"/>
          <w:szCs w:val="24"/>
        </w:rPr>
        <w:t xml:space="preserve"> </w:t>
      </w:r>
    </w:p>
    <w:p w:rsidR="003652A8" w:rsidRPr="00CD663A" w:rsidRDefault="00E05FDC" w:rsidP="00BE2B16">
      <w:pPr>
        <w:spacing w:line="360" w:lineRule="auto"/>
        <w:jc w:val="both"/>
        <w:rPr>
          <w:rFonts w:ascii="Arial" w:hAnsi="Arial" w:cs="Arial"/>
          <w:sz w:val="24"/>
          <w:szCs w:val="24"/>
        </w:rPr>
      </w:pPr>
      <w:r>
        <w:rPr>
          <w:rFonts w:ascii="Arial" w:hAnsi="Arial" w:cs="Arial"/>
          <w:sz w:val="24"/>
          <w:szCs w:val="24"/>
        </w:rPr>
        <w:t>[</w:t>
      </w:r>
      <w:r w:rsidR="00563E54">
        <w:rPr>
          <w:rFonts w:ascii="Arial" w:hAnsi="Arial" w:cs="Arial"/>
          <w:sz w:val="24"/>
          <w:szCs w:val="24"/>
        </w:rPr>
        <w:t>10</w:t>
      </w:r>
      <w:r>
        <w:rPr>
          <w:rFonts w:ascii="Arial" w:hAnsi="Arial" w:cs="Arial"/>
          <w:sz w:val="24"/>
          <w:szCs w:val="24"/>
        </w:rPr>
        <w:t>]</w:t>
      </w:r>
      <w:r>
        <w:rPr>
          <w:rFonts w:ascii="Arial" w:hAnsi="Arial" w:cs="Arial"/>
          <w:sz w:val="24"/>
          <w:szCs w:val="24"/>
        </w:rPr>
        <w:tab/>
      </w:r>
      <w:r w:rsidR="009109BB">
        <w:rPr>
          <w:rFonts w:ascii="Arial" w:hAnsi="Arial" w:cs="Arial"/>
          <w:sz w:val="24"/>
          <w:szCs w:val="24"/>
        </w:rPr>
        <w:t xml:space="preserve">In </w:t>
      </w:r>
      <w:r w:rsidR="009109BB" w:rsidRPr="009109BB">
        <w:rPr>
          <w:rFonts w:ascii="Arial" w:hAnsi="Arial" w:cs="Arial"/>
          <w:i/>
          <w:sz w:val="24"/>
          <w:szCs w:val="24"/>
        </w:rPr>
        <w:t xml:space="preserve">S v </w:t>
      </w:r>
      <w:proofErr w:type="spellStart"/>
      <w:r w:rsidR="009109BB" w:rsidRPr="009109BB">
        <w:rPr>
          <w:rFonts w:ascii="Arial" w:hAnsi="Arial" w:cs="Arial"/>
          <w:i/>
          <w:sz w:val="24"/>
          <w:szCs w:val="24"/>
        </w:rPr>
        <w:t>Safatsa</w:t>
      </w:r>
      <w:proofErr w:type="spellEnd"/>
      <w:r w:rsidR="009109BB" w:rsidRPr="009109BB">
        <w:rPr>
          <w:rFonts w:ascii="Arial" w:hAnsi="Arial" w:cs="Arial"/>
          <w:i/>
          <w:sz w:val="24"/>
          <w:szCs w:val="24"/>
        </w:rPr>
        <w:t xml:space="preserve"> and Others</w:t>
      </w:r>
      <w:r w:rsidR="007B2189">
        <w:rPr>
          <w:rFonts w:ascii="Arial" w:hAnsi="Arial" w:cs="Arial"/>
          <w:sz w:val="24"/>
          <w:szCs w:val="24"/>
        </w:rPr>
        <w:t xml:space="preserve">, in the </w:t>
      </w:r>
      <w:r w:rsidR="002A2A33">
        <w:rPr>
          <w:rFonts w:ascii="Arial" w:hAnsi="Arial" w:cs="Arial"/>
          <w:sz w:val="24"/>
          <w:szCs w:val="24"/>
        </w:rPr>
        <w:t>headnote</w:t>
      </w:r>
      <w:r w:rsidR="000F50B2">
        <w:rPr>
          <w:rFonts w:ascii="Arial" w:hAnsi="Arial" w:cs="Arial"/>
          <w:sz w:val="24"/>
          <w:szCs w:val="24"/>
        </w:rPr>
        <w:t xml:space="preserve"> Botha, JA had the following to say; ‘</w:t>
      </w:r>
      <w:r w:rsidR="000F50B2" w:rsidRPr="002A2A33">
        <w:rPr>
          <w:rFonts w:ascii="Arial" w:hAnsi="Arial" w:cs="Arial"/>
          <w:i/>
          <w:sz w:val="24"/>
          <w:szCs w:val="24"/>
        </w:rPr>
        <w:t>The principle applicable in cases of murder where there is shown to have been common purpose is that the act of one participant</w:t>
      </w:r>
      <w:r w:rsidR="0053708F" w:rsidRPr="002A2A33">
        <w:rPr>
          <w:rFonts w:ascii="Arial" w:hAnsi="Arial" w:cs="Arial"/>
          <w:i/>
          <w:sz w:val="24"/>
          <w:szCs w:val="24"/>
        </w:rPr>
        <w:t xml:space="preserve"> </w:t>
      </w:r>
      <w:r w:rsidR="000F50B2" w:rsidRPr="002A2A33">
        <w:rPr>
          <w:rFonts w:ascii="Arial" w:hAnsi="Arial" w:cs="Arial"/>
          <w:i/>
          <w:sz w:val="24"/>
          <w:szCs w:val="24"/>
        </w:rPr>
        <w:t xml:space="preserve">. . . is imputed, as a matter of law, to the other participants (provided, of course, that the necessary </w:t>
      </w:r>
      <w:proofErr w:type="spellStart"/>
      <w:r w:rsidR="000F50B2" w:rsidRPr="002A2A33">
        <w:rPr>
          <w:rFonts w:ascii="Arial" w:hAnsi="Arial" w:cs="Arial"/>
          <w:i/>
          <w:sz w:val="24"/>
          <w:szCs w:val="24"/>
        </w:rPr>
        <w:t>mens</w:t>
      </w:r>
      <w:proofErr w:type="spellEnd"/>
      <w:r w:rsidR="000F50B2" w:rsidRPr="002A2A33">
        <w:rPr>
          <w:rFonts w:ascii="Arial" w:hAnsi="Arial" w:cs="Arial"/>
          <w:i/>
          <w:sz w:val="24"/>
          <w:szCs w:val="24"/>
        </w:rPr>
        <w:t xml:space="preserve"> rea is present). A causal connection between the acts of every party to the common</w:t>
      </w:r>
      <w:r w:rsidR="002A2A33" w:rsidRPr="002A2A33">
        <w:rPr>
          <w:rFonts w:ascii="Arial" w:hAnsi="Arial" w:cs="Arial"/>
          <w:i/>
          <w:sz w:val="24"/>
          <w:szCs w:val="24"/>
        </w:rPr>
        <w:t xml:space="preserve"> purpose and the [result of those</w:t>
      </w:r>
      <w:r w:rsidR="000F50B2" w:rsidRPr="002A2A33">
        <w:rPr>
          <w:rFonts w:ascii="Arial" w:hAnsi="Arial" w:cs="Arial"/>
          <w:i/>
          <w:sz w:val="24"/>
          <w:szCs w:val="24"/>
        </w:rPr>
        <w:t xml:space="preserve"> act</w:t>
      </w:r>
      <w:r w:rsidR="002A2A33" w:rsidRPr="002A2A33">
        <w:rPr>
          <w:rFonts w:ascii="Arial" w:hAnsi="Arial" w:cs="Arial"/>
          <w:i/>
          <w:sz w:val="24"/>
          <w:szCs w:val="24"/>
        </w:rPr>
        <w:t>s</w:t>
      </w:r>
      <w:r w:rsidR="000F50B2" w:rsidRPr="002A2A33">
        <w:rPr>
          <w:rFonts w:ascii="Arial" w:hAnsi="Arial" w:cs="Arial"/>
          <w:i/>
          <w:sz w:val="24"/>
          <w:szCs w:val="24"/>
        </w:rPr>
        <w:t xml:space="preserve"> (my addition)] need not be proved to sustain a conviction . . . in respect of each of the participants</w:t>
      </w:r>
      <w:r w:rsidR="002A2A33">
        <w:rPr>
          <w:rFonts w:ascii="Arial" w:hAnsi="Arial" w:cs="Arial"/>
          <w:i/>
          <w:sz w:val="24"/>
          <w:szCs w:val="24"/>
        </w:rPr>
        <w:t>.</w:t>
      </w:r>
      <w:r w:rsidR="008B384E">
        <w:rPr>
          <w:rFonts w:ascii="Arial" w:hAnsi="Arial" w:cs="Arial"/>
          <w:i/>
          <w:sz w:val="24"/>
          <w:szCs w:val="24"/>
        </w:rPr>
        <w:t>’</w:t>
      </w:r>
      <w:r w:rsidR="002A2A33">
        <w:rPr>
          <w:rStyle w:val="FootnoteReference"/>
          <w:rFonts w:ascii="Arial" w:hAnsi="Arial" w:cs="Arial"/>
          <w:i/>
          <w:sz w:val="24"/>
          <w:szCs w:val="24"/>
        </w:rPr>
        <w:footnoteReference w:id="6"/>
      </w:r>
      <w:r w:rsidR="00CD663A">
        <w:rPr>
          <w:rFonts w:ascii="Arial" w:hAnsi="Arial" w:cs="Arial"/>
          <w:sz w:val="24"/>
          <w:szCs w:val="24"/>
        </w:rPr>
        <w:t xml:space="preserve"> Therefore, causation need not be proven in respect of the respondent. What needs to be proven is that, the respondent knew that the co-accused had the intention to break into a certain premises to steal a printer and that the respondent reconciled himself with this intention. </w:t>
      </w:r>
      <w:r w:rsidR="00BE2B16">
        <w:rPr>
          <w:rFonts w:ascii="Arial" w:hAnsi="Arial" w:cs="Arial"/>
          <w:sz w:val="24"/>
          <w:szCs w:val="24"/>
        </w:rPr>
        <w:t>‘</w:t>
      </w:r>
      <w:r w:rsidR="00BE2B16" w:rsidRPr="00BE2B16">
        <w:rPr>
          <w:rFonts w:ascii="Arial" w:hAnsi="Arial" w:cs="Arial"/>
        </w:rPr>
        <w:t>It has long been accepted that the operation of the common purpose doctrine does not require each participant to know or foresee in detail the exact manner in which the unlawful consequence occurs. Were it otherwise, it would not be possible to secure a conviction simply on the basis that some event had happened during the execution of the common purpose that all the participants in the common purpose had not more or less planned for. All that is required for the state to secure a conviction on the basis of common purpose is that an accused must foresee the possibility that the acts of the participants may have a particular consequence . . ., and reconciles himself to that possibility.’</w:t>
      </w:r>
      <w:r w:rsidR="00BE2B16">
        <w:rPr>
          <w:rStyle w:val="FootnoteReference"/>
          <w:rFonts w:ascii="Arial" w:hAnsi="Arial" w:cs="Arial"/>
        </w:rPr>
        <w:footnoteReference w:id="7"/>
      </w:r>
    </w:p>
    <w:p w:rsidR="000F50B2" w:rsidRPr="003371A8" w:rsidRDefault="000F50B2" w:rsidP="00D25D4D">
      <w:pPr>
        <w:spacing w:line="360" w:lineRule="auto"/>
        <w:jc w:val="both"/>
        <w:rPr>
          <w:rFonts w:ascii="Arial" w:hAnsi="Arial" w:cs="Arial"/>
          <w:sz w:val="24"/>
          <w:szCs w:val="24"/>
        </w:rPr>
      </w:pPr>
      <w:r>
        <w:rPr>
          <w:rFonts w:ascii="Arial" w:hAnsi="Arial" w:cs="Arial"/>
          <w:sz w:val="24"/>
          <w:szCs w:val="24"/>
        </w:rPr>
        <w:t>[</w:t>
      </w:r>
      <w:r w:rsidR="00563E54">
        <w:rPr>
          <w:rFonts w:ascii="Arial" w:hAnsi="Arial" w:cs="Arial"/>
          <w:sz w:val="24"/>
          <w:szCs w:val="24"/>
        </w:rPr>
        <w:t>11</w:t>
      </w:r>
      <w:r>
        <w:rPr>
          <w:rFonts w:ascii="Arial" w:hAnsi="Arial" w:cs="Arial"/>
          <w:sz w:val="24"/>
          <w:szCs w:val="24"/>
        </w:rPr>
        <w:t>]</w:t>
      </w:r>
      <w:r>
        <w:rPr>
          <w:rFonts w:ascii="Arial" w:hAnsi="Arial" w:cs="Arial"/>
          <w:sz w:val="24"/>
          <w:szCs w:val="24"/>
        </w:rPr>
        <w:tab/>
        <w:t>Having regard to the facts of this case as well as the written and oral submissions of both parties in light of the principles relating to the do</w:t>
      </w:r>
      <w:r w:rsidR="002A2A33">
        <w:rPr>
          <w:rFonts w:ascii="Arial" w:hAnsi="Arial" w:cs="Arial"/>
          <w:sz w:val="24"/>
          <w:szCs w:val="24"/>
        </w:rPr>
        <w:t>ctrine of common purpose, this C</w:t>
      </w:r>
      <w:r>
        <w:rPr>
          <w:rFonts w:ascii="Arial" w:hAnsi="Arial" w:cs="Arial"/>
          <w:sz w:val="24"/>
          <w:szCs w:val="24"/>
        </w:rPr>
        <w:t xml:space="preserve">ourt is satisfied that there are reasonable prospects that the court of appeal will come to a different finding from that of the trial court. </w:t>
      </w:r>
    </w:p>
    <w:p w:rsidR="00ED2F9F" w:rsidRPr="003371A8" w:rsidRDefault="00563E54" w:rsidP="00D25D4D">
      <w:pPr>
        <w:spacing w:line="360" w:lineRule="auto"/>
        <w:jc w:val="both"/>
        <w:rPr>
          <w:rFonts w:ascii="Arial" w:hAnsi="Arial" w:cs="Arial"/>
          <w:sz w:val="24"/>
          <w:szCs w:val="24"/>
        </w:rPr>
      </w:pPr>
      <w:r w:rsidRPr="003371A8">
        <w:rPr>
          <w:rFonts w:ascii="Arial" w:hAnsi="Arial" w:cs="Arial"/>
          <w:sz w:val="24"/>
          <w:szCs w:val="24"/>
        </w:rPr>
        <w:t>[12]</w:t>
      </w:r>
      <w:r w:rsidRPr="003371A8">
        <w:rPr>
          <w:rFonts w:ascii="Arial" w:hAnsi="Arial" w:cs="Arial"/>
          <w:sz w:val="24"/>
          <w:szCs w:val="24"/>
        </w:rPr>
        <w:tab/>
        <w:t xml:space="preserve">In the result, </w:t>
      </w:r>
      <w:r w:rsidR="003371A8">
        <w:rPr>
          <w:rFonts w:ascii="Arial" w:hAnsi="Arial" w:cs="Arial"/>
          <w:sz w:val="24"/>
          <w:szCs w:val="24"/>
        </w:rPr>
        <w:t xml:space="preserve">the application for </w:t>
      </w:r>
      <w:r w:rsidRPr="003371A8">
        <w:rPr>
          <w:rFonts w:ascii="Arial" w:hAnsi="Arial" w:cs="Arial"/>
          <w:sz w:val="24"/>
          <w:szCs w:val="24"/>
        </w:rPr>
        <w:t>leave to appeal is granted.</w:t>
      </w:r>
    </w:p>
    <w:p w:rsidR="00563E54" w:rsidRDefault="00563E54" w:rsidP="00D25D4D">
      <w:pPr>
        <w:spacing w:line="360" w:lineRule="auto"/>
        <w:jc w:val="both"/>
        <w:rPr>
          <w:rFonts w:ascii="Arial" w:hAnsi="Arial" w:cs="Arial"/>
        </w:rPr>
      </w:pPr>
    </w:p>
    <w:p w:rsidR="00BE2B16" w:rsidRDefault="00BE2B16" w:rsidP="00D25D4D">
      <w:pPr>
        <w:spacing w:line="360" w:lineRule="auto"/>
        <w:jc w:val="both"/>
        <w:rPr>
          <w:rFonts w:ascii="Arial" w:hAnsi="Arial" w:cs="Arial"/>
        </w:rPr>
      </w:pPr>
    </w:p>
    <w:p w:rsidR="00BE2B16" w:rsidRDefault="00BE2B16" w:rsidP="00D25D4D">
      <w:pPr>
        <w:spacing w:line="360" w:lineRule="auto"/>
        <w:jc w:val="both"/>
        <w:rPr>
          <w:rFonts w:ascii="Arial" w:hAnsi="Arial" w:cs="Arial"/>
        </w:rPr>
      </w:pPr>
    </w:p>
    <w:p w:rsidR="00563E54" w:rsidRDefault="00563E54" w:rsidP="00563E54">
      <w:pPr>
        <w:spacing w:line="360" w:lineRule="auto"/>
        <w:jc w:val="right"/>
        <w:rPr>
          <w:rFonts w:ascii="Arial" w:hAnsi="Arial" w:cs="Arial"/>
        </w:rPr>
      </w:pPr>
      <w:r>
        <w:rPr>
          <w:rFonts w:ascii="Arial" w:hAnsi="Arial" w:cs="Arial"/>
        </w:rPr>
        <w:t>______________________</w:t>
      </w:r>
    </w:p>
    <w:p w:rsidR="00563E54" w:rsidRPr="003371A8" w:rsidRDefault="00563E54" w:rsidP="00563E54">
      <w:pPr>
        <w:spacing w:line="360" w:lineRule="auto"/>
        <w:jc w:val="right"/>
        <w:rPr>
          <w:rFonts w:ascii="Arial" w:hAnsi="Arial" w:cs="Arial"/>
          <w:sz w:val="24"/>
          <w:szCs w:val="24"/>
        </w:rPr>
      </w:pPr>
      <w:r w:rsidRPr="003371A8">
        <w:rPr>
          <w:rFonts w:ascii="Arial" w:hAnsi="Arial" w:cs="Arial"/>
          <w:sz w:val="24"/>
          <w:szCs w:val="24"/>
        </w:rPr>
        <w:t>NDAUENDAPO, J</w:t>
      </w:r>
    </w:p>
    <w:p w:rsidR="00563E54" w:rsidRDefault="00563E54">
      <w:pPr>
        <w:rPr>
          <w:rFonts w:ascii="Arial" w:hAnsi="Arial" w:cs="Arial"/>
        </w:rPr>
      </w:pPr>
      <w:r>
        <w:rPr>
          <w:rFonts w:ascii="Arial" w:hAnsi="Arial" w:cs="Arial"/>
        </w:rPr>
        <w:br w:type="page"/>
      </w:r>
    </w:p>
    <w:p w:rsidR="00563E54" w:rsidRPr="00563E54" w:rsidRDefault="00563E54" w:rsidP="00563E54">
      <w:pPr>
        <w:spacing w:line="360" w:lineRule="auto"/>
        <w:rPr>
          <w:rFonts w:ascii="Arial" w:hAnsi="Arial" w:cs="Arial"/>
          <w:b/>
        </w:rPr>
      </w:pPr>
      <w:r w:rsidRPr="00563E54">
        <w:rPr>
          <w:rFonts w:ascii="Arial" w:hAnsi="Arial" w:cs="Arial"/>
          <w:b/>
        </w:rPr>
        <w:t>APPEARANCES</w:t>
      </w:r>
    </w:p>
    <w:p w:rsidR="00563E54" w:rsidRDefault="00563E54" w:rsidP="00563E54">
      <w:pPr>
        <w:tabs>
          <w:tab w:val="left" w:pos="1170"/>
          <w:tab w:val="right" w:pos="9360"/>
        </w:tabs>
        <w:spacing w:line="360" w:lineRule="auto"/>
        <w:rPr>
          <w:rFonts w:ascii="Arial" w:hAnsi="Arial" w:cs="Arial"/>
        </w:rPr>
      </w:pPr>
      <w:r>
        <w:rPr>
          <w:rFonts w:ascii="Arial" w:hAnsi="Arial" w:cs="Arial"/>
        </w:rPr>
        <w:t xml:space="preserve">APPLICANT                                                                     </w:t>
      </w:r>
      <w:proofErr w:type="spellStart"/>
      <w:r>
        <w:rPr>
          <w:rFonts w:ascii="Arial" w:hAnsi="Arial" w:cs="Arial"/>
        </w:rPr>
        <w:t>Mr</w:t>
      </w:r>
      <w:proofErr w:type="spellEnd"/>
      <w:r>
        <w:rPr>
          <w:rFonts w:ascii="Arial" w:hAnsi="Arial" w:cs="Arial"/>
        </w:rPr>
        <w:t xml:space="preserve"> </w:t>
      </w:r>
      <w:proofErr w:type="spellStart"/>
      <w:r>
        <w:rPr>
          <w:rFonts w:ascii="Arial" w:hAnsi="Arial" w:cs="Arial"/>
        </w:rPr>
        <w:t>Kuudondokwa</w:t>
      </w:r>
      <w:proofErr w:type="spellEnd"/>
    </w:p>
    <w:p w:rsidR="00563E54" w:rsidRDefault="00563E54" w:rsidP="00563E54">
      <w:pPr>
        <w:tabs>
          <w:tab w:val="right" w:pos="9360"/>
        </w:tabs>
        <w:spacing w:line="360" w:lineRule="auto"/>
        <w:jc w:val="right"/>
        <w:rPr>
          <w:rFonts w:ascii="Arial" w:hAnsi="Arial" w:cs="Arial"/>
        </w:rPr>
      </w:pPr>
      <w:r>
        <w:rPr>
          <w:rFonts w:ascii="Arial" w:hAnsi="Arial" w:cs="Arial"/>
        </w:rPr>
        <w:t>For the Office of the Prosecutor General</w:t>
      </w:r>
    </w:p>
    <w:p w:rsidR="00563E54" w:rsidRDefault="00563E54" w:rsidP="00563E54">
      <w:pPr>
        <w:tabs>
          <w:tab w:val="right" w:pos="9360"/>
        </w:tabs>
        <w:spacing w:line="360" w:lineRule="auto"/>
        <w:jc w:val="right"/>
        <w:rPr>
          <w:rFonts w:ascii="Arial" w:hAnsi="Arial" w:cs="Arial"/>
        </w:rPr>
      </w:pPr>
    </w:p>
    <w:p w:rsidR="00563E54" w:rsidRDefault="00563E54" w:rsidP="00563E54">
      <w:pPr>
        <w:tabs>
          <w:tab w:val="right" w:pos="9360"/>
        </w:tabs>
        <w:spacing w:line="360" w:lineRule="auto"/>
        <w:rPr>
          <w:rFonts w:ascii="Arial" w:hAnsi="Arial" w:cs="Arial"/>
        </w:rPr>
      </w:pPr>
      <w:r>
        <w:rPr>
          <w:rFonts w:ascii="Arial" w:hAnsi="Arial" w:cs="Arial"/>
        </w:rPr>
        <w:t xml:space="preserve">RESPONDENT                                                                 </w:t>
      </w:r>
      <w:proofErr w:type="spellStart"/>
      <w:r>
        <w:rPr>
          <w:rFonts w:ascii="Arial" w:hAnsi="Arial" w:cs="Arial"/>
        </w:rPr>
        <w:t>Mr</w:t>
      </w:r>
      <w:proofErr w:type="spellEnd"/>
      <w:r>
        <w:rPr>
          <w:rFonts w:ascii="Arial" w:hAnsi="Arial" w:cs="Arial"/>
        </w:rPr>
        <w:t xml:space="preserve"> </w:t>
      </w:r>
      <w:proofErr w:type="spellStart"/>
      <w:r>
        <w:rPr>
          <w:rFonts w:ascii="Arial" w:hAnsi="Arial" w:cs="Arial"/>
        </w:rPr>
        <w:t>Ipumbu</w:t>
      </w:r>
      <w:proofErr w:type="spellEnd"/>
    </w:p>
    <w:p w:rsidR="00563E54" w:rsidRDefault="00563E54" w:rsidP="00563E54">
      <w:pPr>
        <w:tabs>
          <w:tab w:val="right" w:pos="9360"/>
        </w:tabs>
        <w:spacing w:line="360" w:lineRule="auto"/>
        <w:rPr>
          <w:rFonts w:ascii="Arial" w:hAnsi="Arial" w:cs="Arial"/>
        </w:rPr>
      </w:pPr>
      <w:r>
        <w:rPr>
          <w:rFonts w:ascii="Arial" w:hAnsi="Arial" w:cs="Arial"/>
        </w:rPr>
        <w:t xml:space="preserve">                                                                                          </w:t>
      </w:r>
      <w:proofErr w:type="spellStart"/>
      <w:r>
        <w:rPr>
          <w:rFonts w:ascii="Arial" w:hAnsi="Arial" w:cs="Arial"/>
        </w:rPr>
        <w:t>Ipumbu</w:t>
      </w:r>
      <w:proofErr w:type="spellEnd"/>
      <w:r>
        <w:rPr>
          <w:rFonts w:ascii="Arial" w:hAnsi="Arial" w:cs="Arial"/>
        </w:rPr>
        <w:t xml:space="preserve"> Legal Practitioner</w:t>
      </w:r>
    </w:p>
    <w:p w:rsidR="00563E54" w:rsidRPr="003652A8" w:rsidRDefault="00563E54" w:rsidP="00563E54">
      <w:pPr>
        <w:spacing w:line="360" w:lineRule="auto"/>
        <w:jc w:val="right"/>
        <w:rPr>
          <w:rFonts w:ascii="Arial" w:hAnsi="Arial" w:cs="Arial"/>
        </w:rPr>
      </w:pPr>
    </w:p>
    <w:sectPr w:rsidR="00563E54" w:rsidRPr="003652A8" w:rsidSect="006E29AB">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A0" w:rsidRDefault="00723BA0" w:rsidP="00745EBF">
      <w:pPr>
        <w:spacing w:after="0" w:line="240" w:lineRule="auto"/>
      </w:pPr>
      <w:r>
        <w:separator/>
      </w:r>
    </w:p>
  </w:endnote>
  <w:endnote w:type="continuationSeparator" w:id="0">
    <w:p w:rsidR="00723BA0" w:rsidRDefault="00723BA0" w:rsidP="00745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A0" w:rsidRDefault="00723BA0" w:rsidP="00745EBF">
      <w:pPr>
        <w:spacing w:after="0" w:line="240" w:lineRule="auto"/>
      </w:pPr>
      <w:r>
        <w:separator/>
      </w:r>
    </w:p>
  </w:footnote>
  <w:footnote w:type="continuationSeparator" w:id="0">
    <w:p w:rsidR="00723BA0" w:rsidRDefault="00723BA0" w:rsidP="00745EBF">
      <w:pPr>
        <w:spacing w:after="0" w:line="240" w:lineRule="auto"/>
      </w:pPr>
      <w:r>
        <w:continuationSeparator/>
      </w:r>
    </w:p>
  </w:footnote>
  <w:footnote w:id="1">
    <w:p w:rsidR="00DA110B" w:rsidRDefault="00DA110B">
      <w:pPr>
        <w:pStyle w:val="FootnoteText"/>
      </w:pPr>
      <w:r>
        <w:rPr>
          <w:rStyle w:val="FootnoteReference"/>
        </w:rPr>
        <w:footnoteRef/>
      </w:r>
      <w:r>
        <w:t xml:space="preserve"> Criminal Procedure Act, 51 of 1977.</w:t>
      </w:r>
    </w:p>
  </w:footnote>
  <w:footnote w:id="2">
    <w:p w:rsidR="00745EBF" w:rsidRDefault="00745EBF">
      <w:pPr>
        <w:pStyle w:val="FootnoteText"/>
      </w:pPr>
      <w:r>
        <w:rPr>
          <w:rStyle w:val="FootnoteReference"/>
        </w:rPr>
        <w:footnoteRef/>
      </w:r>
      <w:r>
        <w:t xml:space="preserve"> </w:t>
      </w:r>
      <w:proofErr w:type="spellStart"/>
      <w:r w:rsidR="00E62E23" w:rsidRPr="00347607">
        <w:rPr>
          <w:i/>
        </w:rPr>
        <w:t>Nowaseb</w:t>
      </w:r>
      <w:proofErr w:type="spellEnd"/>
      <w:r w:rsidR="00E62E23" w:rsidRPr="00347607">
        <w:rPr>
          <w:i/>
        </w:rPr>
        <w:t xml:space="preserve"> v S</w:t>
      </w:r>
      <w:r w:rsidR="00E62E23">
        <w:t xml:space="preserve"> Case No.: 51/2005, delivered on 23 October 2007.</w:t>
      </w:r>
    </w:p>
  </w:footnote>
  <w:footnote w:id="3">
    <w:p w:rsidR="00E05FDC" w:rsidRDefault="00E05FDC">
      <w:pPr>
        <w:pStyle w:val="FootnoteText"/>
      </w:pPr>
      <w:r>
        <w:rPr>
          <w:rStyle w:val="FootnoteReference"/>
        </w:rPr>
        <w:footnoteRef/>
      </w:r>
      <w:r w:rsidR="00DA110B">
        <w:t xml:space="preserve"> CR </w:t>
      </w:r>
      <w:proofErr w:type="spellStart"/>
      <w:r w:rsidR="00DA110B">
        <w:t>Snyman</w:t>
      </w:r>
      <w:proofErr w:type="spellEnd"/>
      <w:r w:rsidR="00DA110B">
        <w:t>, 2008</w:t>
      </w:r>
      <w:r>
        <w:t xml:space="preserve"> </w:t>
      </w:r>
      <w:r w:rsidRPr="005470D3">
        <w:rPr>
          <w:i/>
        </w:rPr>
        <w:t xml:space="preserve">Criminal Law </w:t>
      </w:r>
      <w:r w:rsidRPr="00DA110B">
        <w:t>5</w:t>
      </w:r>
      <w:r w:rsidRPr="00DA110B">
        <w:rPr>
          <w:vertAlign w:val="superscript"/>
        </w:rPr>
        <w:t>th</w:t>
      </w:r>
      <w:r w:rsidRPr="00DA110B">
        <w:t xml:space="preserve"> Ed</w:t>
      </w:r>
      <w:r w:rsidR="00DA110B">
        <w:t xml:space="preserve">. </w:t>
      </w:r>
      <w:proofErr w:type="spellStart"/>
      <w:r w:rsidR="00DA110B">
        <w:t>Durban</w:t>
      </w:r>
      <w:proofErr w:type="gramStart"/>
      <w:r w:rsidR="00DA110B">
        <w:t>:Lexus</w:t>
      </w:r>
      <w:proofErr w:type="spellEnd"/>
      <w:proofErr w:type="gramEnd"/>
      <w:r w:rsidR="00DA110B">
        <w:t xml:space="preserve"> </w:t>
      </w:r>
      <w:proofErr w:type="spellStart"/>
      <w:r w:rsidR="00DA110B">
        <w:t>Nexis</w:t>
      </w:r>
      <w:proofErr w:type="spellEnd"/>
      <w:r w:rsidR="00DA110B">
        <w:t xml:space="preserve"> (2008) p</w:t>
      </w:r>
      <w:r>
        <w:t xml:space="preserve"> 265.</w:t>
      </w:r>
    </w:p>
  </w:footnote>
  <w:footnote w:id="4">
    <w:p w:rsidR="00E05FDC" w:rsidRDefault="00E05FDC">
      <w:pPr>
        <w:pStyle w:val="FootnoteText"/>
      </w:pPr>
      <w:r>
        <w:rPr>
          <w:rStyle w:val="FootnoteReference"/>
        </w:rPr>
        <w:footnoteRef/>
      </w:r>
      <w:r w:rsidR="00DA110B">
        <w:t xml:space="preserve"> CR </w:t>
      </w:r>
      <w:proofErr w:type="spellStart"/>
      <w:r w:rsidR="00DA110B">
        <w:t>Snyman</w:t>
      </w:r>
      <w:proofErr w:type="spellEnd"/>
      <w:r w:rsidR="00DA110B">
        <w:t>, 2008</w:t>
      </w:r>
      <w:r>
        <w:t xml:space="preserve"> </w:t>
      </w:r>
      <w:r w:rsidRPr="005470D3">
        <w:rPr>
          <w:i/>
        </w:rPr>
        <w:t xml:space="preserve">Criminal Law </w:t>
      </w:r>
      <w:r w:rsidRPr="00DA110B">
        <w:t>5</w:t>
      </w:r>
      <w:r w:rsidRPr="00DA110B">
        <w:rPr>
          <w:vertAlign w:val="superscript"/>
        </w:rPr>
        <w:t>th</w:t>
      </w:r>
      <w:r w:rsidRPr="00DA110B">
        <w:t xml:space="preserve"> Ed</w:t>
      </w:r>
      <w:r>
        <w:t xml:space="preserve">. </w:t>
      </w:r>
      <w:proofErr w:type="spellStart"/>
      <w:r w:rsidR="00DA110B">
        <w:t>Durban</w:t>
      </w:r>
      <w:proofErr w:type="gramStart"/>
      <w:r w:rsidR="00DA110B">
        <w:t>:Lexus</w:t>
      </w:r>
      <w:proofErr w:type="spellEnd"/>
      <w:proofErr w:type="gramEnd"/>
      <w:r w:rsidR="00DA110B">
        <w:t xml:space="preserve"> </w:t>
      </w:r>
      <w:proofErr w:type="spellStart"/>
      <w:r w:rsidR="00DA110B">
        <w:t>Nexis</w:t>
      </w:r>
      <w:proofErr w:type="spellEnd"/>
      <w:r w:rsidR="00DA110B">
        <w:t xml:space="preserve"> (2008) p</w:t>
      </w:r>
      <w:r>
        <w:t xml:space="preserve"> 265.</w:t>
      </w:r>
    </w:p>
  </w:footnote>
  <w:footnote w:id="5">
    <w:p w:rsidR="005470D3" w:rsidRDefault="005470D3">
      <w:pPr>
        <w:pStyle w:val="FootnoteText"/>
      </w:pPr>
      <w:r>
        <w:rPr>
          <w:rStyle w:val="FootnoteReference"/>
        </w:rPr>
        <w:footnoteRef/>
      </w:r>
      <w:r w:rsidR="00DA110B">
        <w:t xml:space="preserve"> CR </w:t>
      </w:r>
      <w:proofErr w:type="spellStart"/>
      <w:r w:rsidR="00DA110B">
        <w:t>Snyman</w:t>
      </w:r>
      <w:proofErr w:type="spellEnd"/>
      <w:r w:rsidR="00DA110B">
        <w:t>, 2008</w:t>
      </w:r>
      <w:r>
        <w:t xml:space="preserve"> </w:t>
      </w:r>
      <w:r w:rsidRPr="005470D3">
        <w:rPr>
          <w:i/>
        </w:rPr>
        <w:t xml:space="preserve">Criminal Law </w:t>
      </w:r>
      <w:r w:rsidRPr="00DA110B">
        <w:t>5</w:t>
      </w:r>
      <w:r w:rsidRPr="00DA110B">
        <w:rPr>
          <w:vertAlign w:val="superscript"/>
        </w:rPr>
        <w:t>th</w:t>
      </w:r>
      <w:r w:rsidRPr="00DA110B">
        <w:t xml:space="preserve"> Ed</w:t>
      </w:r>
      <w:r w:rsidR="00DA110B">
        <w:t xml:space="preserve">. </w:t>
      </w:r>
      <w:proofErr w:type="spellStart"/>
      <w:r w:rsidR="00DA110B">
        <w:t>Durban</w:t>
      </w:r>
      <w:proofErr w:type="gramStart"/>
      <w:r w:rsidR="00DA110B">
        <w:t>:Lexus</w:t>
      </w:r>
      <w:proofErr w:type="spellEnd"/>
      <w:proofErr w:type="gramEnd"/>
      <w:r w:rsidR="00DA110B">
        <w:t xml:space="preserve"> </w:t>
      </w:r>
      <w:proofErr w:type="spellStart"/>
      <w:r w:rsidR="00DA110B">
        <w:t>Nexis</w:t>
      </w:r>
      <w:proofErr w:type="spellEnd"/>
      <w:r w:rsidR="00DA110B">
        <w:t xml:space="preserve"> (2008) p</w:t>
      </w:r>
      <w:r>
        <w:t xml:space="preserve"> 268.</w:t>
      </w:r>
    </w:p>
  </w:footnote>
  <w:footnote w:id="6">
    <w:p w:rsidR="002A2A33" w:rsidRDefault="002A2A33">
      <w:pPr>
        <w:pStyle w:val="FootnoteText"/>
      </w:pPr>
      <w:r>
        <w:rPr>
          <w:rStyle w:val="FootnoteReference"/>
        </w:rPr>
        <w:footnoteRef/>
      </w:r>
      <w:r>
        <w:t xml:space="preserve"> </w:t>
      </w:r>
      <w:r w:rsidRPr="00BE2B16">
        <w:rPr>
          <w:i/>
        </w:rPr>
        <w:t xml:space="preserve">S v </w:t>
      </w:r>
      <w:proofErr w:type="spellStart"/>
      <w:r w:rsidRPr="00BE2B16">
        <w:rPr>
          <w:i/>
        </w:rPr>
        <w:t>Safatsa</w:t>
      </w:r>
      <w:proofErr w:type="spellEnd"/>
      <w:r w:rsidRPr="00BE2B16">
        <w:rPr>
          <w:i/>
        </w:rPr>
        <w:t xml:space="preserve"> and Others</w:t>
      </w:r>
      <w:r>
        <w:t xml:space="preserve"> 1988(1) SA 868 (A).</w:t>
      </w:r>
    </w:p>
  </w:footnote>
  <w:footnote w:id="7">
    <w:p w:rsidR="00BE2B16" w:rsidRDefault="00BE2B16">
      <w:pPr>
        <w:pStyle w:val="FootnoteText"/>
      </w:pPr>
      <w:r>
        <w:rPr>
          <w:rStyle w:val="FootnoteReference"/>
        </w:rPr>
        <w:footnoteRef/>
      </w:r>
      <w:r>
        <w:t xml:space="preserve"> </w:t>
      </w:r>
      <w:r w:rsidRPr="00BE2B16">
        <w:rPr>
          <w:i/>
        </w:rPr>
        <w:t xml:space="preserve">S v </w:t>
      </w:r>
      <w:proofErr w:type="spellStart"/>
      <w:r w:rsidRPr="00BE2B16">
        <w:rPr>
          <w:i/>
        </w:rPr>
        <w:t>Molimi</w:t>
      </w:r>
      <w:proofErr w:type="spellEnd"/>
      <w:r w:rsidRPr="00BE2B16">
        <w:rPr>
          <w:i/>
        </w:rPr>
        <w:t xml:space="preserve"> and Another</w:t>
      </w:r>
      <w:r w:rsidR="00DA110B">
        <w:t xml:space="preserve"> 2006 (2) SACR 8 SCA</w:t>
      </w:r>
      <w:r>
        <w:t xml:space="preserve"> para.33.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154355"/>
      <w:docPartObj>
        <w:docPartGallery w:val="Page Numbers (Top of Page)"/>
        <w:docPartUnique/>
      </w:docPartObj>
    </w:sdtPr>
    <w:sdtEndPr>
      <w:rPr>
        <w:noProof/>
      </w:rPr>
    </w:sdtEndPr>
    <w:sdtContent>
      <w:p w:rsidR="006E29AB" w:rsidRDefault="006E29AB">
        <w:pPr>
          <w:pStyle w:val="Header"/>
          <w:jc w:val="right"/>
        </w:pPr>
        <w:r>
          <w:fldChar w:fldCharType="begin"/>
        </w:r>
        <w:r>
          <w:instrText xml:space="preserve"> PAGE   \* MERGEFORMAT </w:instrText>
        </w:r>
        <w:r>
          <w:fldChar w:fldCharType="separate"/>
        </w:r>
        <w:r w:rsidR="007079A7">
          <w:rPr>
            <w:noProof/>
          </w:rPr>
          <w:t>2</w:t>
        </w:r>
        <w:r>
          <w:rPr>
            <w:noProof/>
          </w:rPr>
          <w:fldChar w:fldCharType="end"/>
        </w:r>
      </w:p>
    </w:sdtContent>
  </w:sdt>
  <w:p w:rsidR="006E29AB" w:rsidRDefault="006E29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43D"/>
    <w:rsid w:val="000E0C12"/>
    <w:rsid w:val="000F50B2"/>
    <w:rsid w:val="0014103B"/>
    <w:rsid w:val="00161A6C"/>
    <w:rsid w:val="002659FD"/>
    <w:rsid w:val="0028043D"/>
    <w:rsid w:val="002A2A33"/>
    <w:rsid w:val="003371A8"/>
    <w:rsid w:val="00341B6A"/>
    <w:rsid w:val="00346B4F"/>
    <w:rsid w:val="00347607"/>
    <w:rsid w:val="003652A8"/>
    <w:rsid w:val="00384A36"/>
    <w:rsid w:val="004865CB"/>
    <w:rsid w:val="004F445A"/>
    <w:rsid w:val="0053708F"/>
    <w:rsid w:val="005470D3"/>
    <w:rsid w:val="00563E54"/>
    <w:rsid w:val="00641B03"/>
    <w:rsid w:val="00690AD9"/>
    <w:rsid w:val="006E29AB"/>
    <w:rsid w:val="007079A7"/>
    <w:rsid w:val="00723BA0"/>
    <w:rsid w:val="007249F0"/>
    <w:rsid w:val="00745EBF"/>
    <w:rsid w:val="0076619A"/>
    <w:rsid w:val="007B2189"/>
    <w:rsid w:val="008045F5"/>
    <w:rsid w:val="00826F57"/>
    <w:rsid w:val="00885E43"/>
    <w:rsid w:val="008B384E"/>
    <w:rsid w:val="009109BB"/>
    <w:rsid w:val="0096590D"/>
    <w:rsid w:val="00992ACC"/>
    <w:rsid w:val="009960C3"/>
    <w:rsid w:val="009D5369"/>
    <w:rsid w:val="009F432F"/>
    <w:rsid w:val="00B51B9A"/>
    <w:rsid w:val="00BE2B16"/>
    <w:rsid w:val="00C173BE"/>
    <w:rsid w:val="00C205A7"/>
    <w:rsid w:val="00CD663A"/>
    <w:rsid w:val="00D25D4D"/>
    <w:rsid w:val="00DA110B"/>
    <w:rsid w:val="00DD7943"/>
    <w:rsid w:val="00DF6620"/>
    <w:rsid w:val="00E05FDC"/>
    <w:rsid w:val="00E51EC2"/>
    <w:rsid w:val="00E62E23"/>
    <w:rsid w:val="00E77654"/>
    <w:rsid w:val="00ED2F9F"/>
    <w:rsid w:val="00EF132C"/>
    <w:rsid w:val="00F82603"/>
    <w:rsid w:val="00FB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5E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5EBF"/>
    <w:rPr>
      <w:sz w:val="20"/>
      <w:szCs w:val="20"/>
    </w:rPr>
  </w:style>
  <w:style w:type="character" w:styleId="FootnoteReference">
    <w:name w:val="footnote reference"/>
    <w:basedOn w:val="DefaultParagraphFont"/>
    <w:uiPriority w:val="99"/>
    <w:semiHidden/>
    <w:unhideWhenUsed/>
    <w:rsid w:val="00745EBF"/>
    <w:rPr>
      <w:vertAlign w:val="superscript"/>
    </w:rPr>
  </w:style>
  <w:style w:type="paragraph" w:styleId="Header">
    <w:name w:val="header"/>
    <w:basedOn w:val="Normal"/>
    <w:link w:val="HeaderChar"/>
    <w:uiPriority w:val="99"/>
    <w:unhideWhenUsed/>
    <w:rsid w:val="006E2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9AB"/>
  </w:style>
  <w:style w:type="paragraph" w:styleId="Footer">
    <w:name w:val="footer"/>
    <w:basedOn w:val="Normal"/>
    <w:link w:val="FooterChar"/>
    <w:uiPriority w:val="99"/>
    <w:unhideWhenUsed/>
    <w:rsid w:val="006E2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9AB"/>
  </w:style>
  <w:style w:type="paragraph" w:styleId="BalloonText">
    <w:name w:val="Balloon Text"/>
    <w:basedOn w:val="Normal"/>
    <w:link w:val="BalloonTextChar"/>
    <w:uiPriority w:val="99"/>
    <w:semiHidden/>
    <w:unhideWhenUsed/>
    <w:rsid w:val="00707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9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5E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5EBF"/>
    <w:rPr>
      <w:sz w:val="20"/>
      <w:szCs w:val="20"/>
    </w:rPr>
  </w:style>
  <w:style w:type="character" w:styleId="FootnoteReference">
    <w:name w:val="footnote reference"/>
    <w:basedOn w:val="DefaultParagraphFont"/>
    <w:uiPriority w:val="99"/>
    <w:semiHidden/>
    <w:unhideWhenUsed/>
    <w:rsid w:val="00745EBF"/>
    <w:rPr>
      <w:vertAlign w:val="superscript"/>
    </w:rPr>
  </w:style>
  <w:style w:type="paragraph" w:styleId="Header">
    <w:name w:val="header"/>
    <w:basedOn w:val="Normal"/>
    <w:link w:val="HeaderChar"/>
    <w:uiPriority w:val="99"/>
    <w:unhideWhenUsed/>
    <w:rsid w:val="006E2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9AB"/>
  </w:style>
  <w:style w:type="paragraph" w:styleId="Footer">
    <w:name w:val="footer"/>
    <w:basedOn w:val="Normal"/>
    <w:link w:val="FooterChar"/>
    <w:uiPriority w:val="99"/>
    <w:unhideWhenUsed/>
    <w:rsid w:val="006E2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9AB"/>
  </w:style>
  <w:style w:type="paragraph" w:styleId="BalloonText">
    <w:name w:val="Balloon Text"/>
    <w:basedOn w:val="Normal"/>
    <w:link w:val="BalloonTextChar"/>
    <w:uiPriority w:val="99"/>
    <w:semiHidden/>
    <w:unhideWhenUsed/>
    <w:rsid w:val="00707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9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2017-02-12T18:30:00+00:00</Judgment_x0020_Date>
  </documentManagement>
</p:properties>
</file>

<file path=customXml/itemProps1.xml><?xml version="1.0" encoding="utf-8"?>
<ds:datastoreItem xmlns:ds="http://schemas.openxmlformats.org/officeDocument/2006/customXml" ds:itemID="{49D36395-D1DA-46C1-8E94-FB69509F29FB}"/>
</file>

<file path=customXml/itemProps2.xml><?xml version="1.0" encoding="utf-8"?>
<ds:datastoreItem xmlns:ds="http://schemas.openxmlformats.org/officeDocument/2006/customXml" ds:itemID="{6542D723-BDA3-4BED-BC2F-3EA9F656D5A3}"/>
</file>

<file path=customXml/itemProps3.xml><?xml version="1.0" encoding="utf-8"?>
<ds:datastoreItem xmlns:ds="http://schemas.openxmlformats.org/officeDocument/2006/customXml" ds:itemID="{CFC7F740-620A-4C0D-85DE-D9E1D9E89BF7}"/>
</file>

<file path=customXml/itemProps4.xml><?xml version="1.0" encoding="utf-8"?>
<ds:datastoreItem xmlns:ds="http://schemas.openxmlformats.org/officeDocument/2006/customXml" ds:itemID="{6E6AC9FF-DDCC-46CA-A3FC-2ACFE2DD6E10}"/>
</file>

<file path=docProps/app.xml><?xml version="1.0" encoding="utf-8"?>
<Properties xmlns="http://schemas.openxmlformats.org/officeDocument/2006/extended-properties" xmlns:vt="http://schemas.openxmlformats.org/officeDocument/2006/docPropsVTypes">
  <Template>Normal</Template>
  <TotalTime>0</TotalTime>
  <Pages>8</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shomany keister</dc:creator>
  <cp:lastModifiedBy>User</cp:lastModifiedBy>
  <cp:revision>2</cp:revision>
  <dcterms:created xsi:type="dcterms:W3CDTF">2017-02-21T13:55:00Z</dcterms:created>
  <dcterms:modified xsi:type="dcterms:W3CDTF">2017-02-21T13:55:00Z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