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D67F9" w:rsidRPr="00DD67F9" w:rsidRDefault="00DD67F9" w:rsidP="00BD7D15">
      <w:pPr>
        <w:spacing w:after="0" w:line="360" w:lineRule="auto"/>
        <w:jc w:val="center"/>
        <w:rPr>
          <w:rFonts w:ascii="Arial" w:eastAsia="Calibri" w:hAnsi="Arial" w:cs="Arial"/>
          <w:b/>
          <w:sz w:val="24"/>
          <w:szCs w:val="24"/>
        </w:rPr>
      </w:pPr>
      <w:r w:rsidRPr="00DD67F9">
        <w:rPr>
          <w:rFonts w:ascii="Arial" w:eastAsia="Calibri" w:hAnsi="Arial" w:cs="Arial"/>
          <w:b/>
          <w:noProof/>
          <w:sz w:val="24"/>
          <w:szCs w:val="24"/>
        </w:rPr>
        <mc:AlternateContent>
          <mc:Choice Requires="wps">
            <w:drawing>
              <wp:anchor distT="0" distB="0" distL="114300" distR="114300" simplePos="0" relativeHeight="251659264" behindDoc="0" locked="0" layoutInCell="1" allowOverlap="1" wp14:anchorId="60451AC3" wp14:editId="56209503">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DD67F9" w:rsidRDefault="00DD67F9" w:rsidP="00DD67F9">
                            <w:pPr>
                              <w:jc w:val="right"/>
                            </w:pPr>
                            <w: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0451AC3"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DD67F9" w:rsidRDefault="00DD67F9" w:rsidP="00DD67F9">
                      <w:pPr>
                        <w:jc w:val="right"/>
                      </w:pPr>
                      <w:r>
                        <w:t>REPORTABLE</w:t>
                      </w:r>
                    </w:p>
                  </w:txbxContent>
                </v:textbox>
              </v:shape>
            </w:pict>
          </mc:Fallback>
        </mc:AlternateContent>
      </w:r>
      <w:r w:rsidRPr="00DD67F9">
        <w:rPr>
          <w:rFonts w:ascii="Arial" w:eastAsia="Calibri" w:hAnsi="Arial" w:cs="Arial"/>
          <w:b/>
          <w:sz w:val="24"/>
          <w:szCs w:val="24"/>
        </w:rPr>
        <w:t>REPUBLIC OF NAMIBIA</w:t>
      </w:r>
    </w:p>
    <w:p w:rsidR="00DD67F9" w:rsidRPr="00DD67F9" w:rsidRDefault="00DD67F9" w:rsidP="00BD7D15">
      <w:pPr>
        <w:spacing w:after="0" w:line="360" w:lineRule="auto"/>
        <w:jc w:val="center"/>
        <w:rPr>
          <w:rFonts w:ascii="Calibri" w:eastAsia="Calibri" w:hAnsi="Calibri" w:cs="Times New Roman"/>
          <w:b/>
          <w:sz w:val="32"/>
          <w:szCs w:val="32"/>
        </w:rPr>
      </w:pPr>
      <w:r w:rsidRPr="00DD67F9">
        <w:rPr>
          <w:rFonts w:ascii="Calibri" w:eastAsia="Calibri" w:hAnsi="Calibri" w:cs="Times New Roman"/>
          <w:b/>
          <w:noProof/>
          <w:sz w:val="32"/>
          <w:szCs w:val="32"/>
        </w:rPr>
        <w:drawing>
          <wp:inline distT="0" distB="0" distL="0" distR="0" wp14:anchorId="3B017CB1" wp14:editId="43195BA8">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DD67F9" w:rsidRPr="00DD67F9" w:rsidRDefault="00DD67F9" w:rsidP="00BD7D15">
      <w:pPr>
        <w:spacing w:after="0" w:line="360" w:lineRule="auto"/>
        <w:jc w:val="center"/>
        <w:rPr>
          <w:rFonts w:ascii="Arial" w:eastAsia="Calibri" w:hAnsi="Arial" w:cs="Arial"/>
          <w:bCs/>
          <w:sz w:val="24"/>
          <w:szCs w:val="24"/>
        </w:rPr>
      </w:pPr>
      <w:r w:rsidRPr="00DD67F9">
        <w:rPr>
          <w:rFonts w:ascii="Arial" w:eastAsia="Calibri" w:hAnsi="Arial" w:cs="Arial"/>
          <w:b/>
          <w:sz w:val="24"/>
          <w:szCs w:val="24"/>
        </w:rPr>
        <w:t>HIGH COURT OF NAMIBIA MAIN DIVISION, WINDHOEK</w:t>
      </w:r>
    </w:p>
    <w:p w:rsidR="00DD67F9" w:rsidRPr="00DD67F9" w:rsidRDefault="00DD67F9" w:rsidP="00BD7D15">
      <w:pPr>
        <w:spacing w:after="0" w:line="360" w:lineRule="auto"/>
        <w:jc w:val="both"/>
        <w:rPr>
          <w:rFonts w:ascii="Arial" w:eastAsia="Calibri" w:hAnsi="Arial" w:cs="Arial"/>
          <w:b/>
          <w:sz w:val="16"/>
          <w:szCs w:val="16"/>
        </w:rPr>
      </w:pPr>
    </w:p>
    <w:p w:rsidR="00DD67F9" w:rsidRPr="00DD67F9" w:rsidRDefault="00E02733" w:rsidP="00BD7D15">
      <w:pPr>
        <w:spacing w:after="0" w:line="360" w:lineRule="auto"/>
        <w:jc w:val="center"/>
        <w:rPr>
          <w:rFonts w:ascii="Arial" w:eastAsia="Calibri" w:hAnsi="Arial" w:cs="Arial"/>
          <w:b/>
          <w:sz w:val="24"/>
          <w:szCs w:val="24"/>
        </w:rPr>
      </w:pPr>
      <w:r>
        <w:rPr>
          <w:rFonts w:ascii="Arial" w:eastAsia="Calibri" w:hAnsi="Arial" w:cs="Arial"/>
          <w:b/>
          <w:sz w:val="24"/>
          <w:szCs w:val="24"/>
        </w:rPr>
        <w:t>REVIEW JUDGMENT</w:t>
      </w:r>
    </w:p>
    <w:p w:rsidR="00DD67F9" w:rsidRPr="00DD67F9" w:rsidRDefault="00DD67F9" w:rsidP="00BD7D15">
      <w:pPr>
        <w:spacing w:after="0" w:line="360" w:lineRule="auto"/>
        <w:jc w:val="both"/>
        <w:rPr>
          <w:rFonts w:ascii="Arial" w:eastAsia="Calibri" w:hAnsi="Arial" w:cs="Arial"/>
          <w:sz w:val="24"/>
          <w:szCs w:val="24"/>
        </w:rPr>
      </w:pPr>
    </w:p>
    <w:p w:rsidR="00DD67F9" w:rsidRPr="00DD67F9" w:rsidRDefault="00DD67F9" w:rsidP="001D7D4F">
      <w:pPr>
        <w:tabs>
          <w:tab w:val="right" w:pos="9356"/>
        </w:tabs>
        <w:spacing w:after="0" w:line="360" w:lineRule="auto"/>
        <w:jc w:val="both"/>
        <w:rPr>
          <w:rFonts w:ascii="Arial" w:eastAsia="Calibri" w:hAnsi="Arial" w:cs="Arial"/>
          <w:b/>
          <w:sz w:val="24"/>
          <w:szCs w:val="24"/>
        </w:rPr>
      </w:pPr>
      <w:r w:rsidRPr="00DD67F9">
        <w:rPr>
          <w:rFonts w:ascii="Arial" w:eastAsia="Calibri" w:hAnsi="Arial" w:cs="Arial"/>
          <w:b/>
          <w:sz w:val="24"/>
          <w:szCs w:val="24"/>
        </w:rPr>
        <w:tab/>
      </w:r>
      <w:r w:rsidRPr="00DD67F9">
        <w:rPr>
          <w:rFonts w:ascii="Arial" w:eastAsia="Calibri" w:hAnsi="Arial" w:cs="Arial"/>
          <w:sz w:val="24"/>
          <w:szCs w:val="24"/>
        </w:rPr>
        <w:t>Case no</w:t>
      </w:r>
      <w:r>
        <w:rPr>
          <w:rFonts w:ascii="Arial" w:eastAsia="Calibri" w:hAnsi="Arial" w:cs="Arial"/>
          <w:sz w:val="24"/>
          <w:szCs w:val="24"/>
        </w:rPr>
        <w:t xml:space="preserve">: CR </w:t>
      </w:r>
      <w:r w:rsidR="00563737">
        <w:rPr>
          <w:rFonts w:ascii="Arial" w:eastAsia="Calibri" w:hAnsi="Arial" w:cs="Arial"/>
          <w:sz w:val="24"/>
          <w:szCs w:val="24"/>
        </w:rPr>
        <w:t>3</w:t>
      </w:r>
      <w:r w:rsidR="001D7D4F">
        <w:rPr>
          <w:rFonts w:ascii="Arial" w:eastAsia="Calibri" w:hAnsi="Arial" w:cs="Arial"/>
          <w:sz w:val="24"/>
          <w:szCs w:val="24"/>
        </w:rPr>
        <w:t>/2017</w:t>
      </w:r>
    </w:p>
    <w:p w:rsidR="00DD67F9" w:rsidRPr="00DD67F9" w:rsidRDefault="00DD67F9" w:rsidP="00BD7D15">
      <w:pPr>
        <w:spacing w:after="0" w:line="360" w:lineRule="auto"/>
        <w:jc w:val="both"/>
        <w:rPr>
          <w:rFonts w:ascii="Arial" w:eastAsia="Calibri" w:hAnsi="Arial" w:cs="Arial"/>
          <w:sz w:val="24"/>
          <w:szCs w:val="24"/>
        </w:rPr>
      </w:pPr>
    </w:p>
    <w:p w:rsidR="00DD67F9" w:rsidRPr="00DD67F9" w:rsidRDefault="00DD67F9" w:rsidP="00BD7D15">
      <w:pPr>
        <w:spacing w:after="0" w:line="360" w:lineRule="auto"/>
        <w:jc w:val="both"/>
        <w:rPr>
          <w:rFonts w:ascii="Arial" w:eastAsia="Calibri" w:hAnsi="Arial" w:cs="Arial"/>
          <w:sz w:val="24"/>
          <w:szCs w:val="24"/>
        </w:rPr>
      </w:pPr>
      <w:r w:rsidRPr="00DD67F9">
        <w:rPr>
          <w:rFonts w:ascii="Arial" w:eastAsia="Calibri" w:hAnsi="Arial" w:cs="Arial"/>
          <w:sz w:val="24"/>
          <w:szCs w:val="24"/>
        </w:rPr>
        <w:t>In the matter between:</w:t>
      </w:r>
    </w:p>
    <w:p w:rsidR="00DD67F9" w:rsidRDefault="00DD67F9" w:rsidP="00BD7D15">
      <w:pPr>
        <w:spacing w:after="0" w:line="360" w:lineRule="auto"/>
        <w:jc w:val="both"/>
        <w:rPr>
          <w:rFonts w:ascii="Arial" w:eastAsia="Calibri" w:hAnsi="Arial" w:cs="Arial"/>
          <w:sz w:val="24"/>
          <w:szCs w:val="24"/>
        </w:rPr>
      </w:pPr>
    </w:p>
    <w:p w:rsidR="00DD67F9" w:rsidRPr="00FD50DC" w:rsidRDefault="00DD67F9" w:rsidP="00BD7D15">
      <w:pPr>
        <w:spacing w:after="0" w:line="360" w:lineRule="auto"/>
        <w:jc w:val="both"/>
        <w:rPr>
          <w:rFonts w:ascii="Arial" w:eastAsia="Calibri" w:hAnsi="Arial" w:cs="Arial"/>
          <w:b/>
          <w:sz w:val="24"/>
          <w:szCs w:val="24"/>
        </w:rPr>
      </w:pPr>
      <w:r w:rsidRPr="00FD50DC">
        <w:rPr>
          <w:rFonts w:ascii="Arial" w:eastAsia="Calibri" w:hAnsi="Arial" w:cs="Arial"/>
          <w:b/>
          <w:sz w:val="24"/>
          <w:szCs w:val="24"/>
        </w:rPr>
        <w:t>THE STATE</w:t>
      </w:r>
    </w:p>
    <w:p w:rsidR="00DD67F9" w:rsidRDefault="00DD67F9" w:rsidP="00BD7D15">
      <w:pPr>
        <w:spacing w:after="0" w:line="360" w:lineRule="auto"/>
        <w:jc w:val="both"/>
        <w:rPr>
          <w:rFonts w:ascii="Arial" w:eastAsia="Calibri" w:hAnsi="Arial" w:cs="Arial"/>
          <w:sz w:val="24"/>
          <w:szCs w:val="24"/>
        </w:rPr>
      </w:pPr>
      <w:proofErr w:type="gramStart"/>
      <w:r>
        <w:rPr>
          <w:rFonts w:ascii="Arial" w:eastAsia="Calibri" w:hAnsi="Arial" w:cs="Arial"/>
          <w:sz w:val="24"/>
          <w:szCs w:val="24"/>
        </w:rPr>
        <w:t>and</w:t>
      </w:r>
      <w:proofErr w:type="gramEnd"/>
    </w:p>
    <w:p w:rsidR="00DD67F9" w:rsidRPr="00DD67F9" w:rsidRDefault="00DD67F9" w:rsidP="00BD7D15">
      <w:pPr>
        <w:tabs>
          <w:tab w:val="right" w:pos="9360"/>
        </w:tabs>
        <w:spacing w:after="0" w:line="360" w:lineRule="auto"/>
        <w:jc w:val="both"/>
        <w:rPr>
          <w:rFonts w:ascii="Arial" w:eastAsia="Calibri" w:hAnsi="Arial" w:cs="Arial"/>
          <w:b/>
          <w:sz w:val="24"/>
          <w:szCs w:val="24"/>
        </w:rPr>
      </w:pPr>
      <w:r w:rsidRPr="00FD50DC">
        <w:rPr>
          <w:rFonts w:ascii="Arial" w:eastAsia="Calibri" w:hAnsi="Arial" w:cs="Arial"/>
          <w:b/>
          <w:sz w:val="24"/>
          <w:szCs w:val="24"/>
        </w:rPr>
        <w:t>FRITZ KHAIRIROB KHARUCHAB</w:t>
      </w:r>
      <w:r w:rsidRPr="00FD50DC">
        <w:rPr>
          <w:rFonts w:ascii="Arial" w:eastAsia="Calibri" w:hAnsi="Arial" w:cs="Arial"/>
          <w:b/>
          <w:sz w:val="24"/>
          <w:szCs w:val="24"/>
        </w:rPr>
        <w:tab/>
        <w:t>ACCUSED</w:t>
      </w:r>
    </w:p>
    <w:p w:rsidR="00DD67F9" w:rsidRDefault="00DD67F9" w:rsidP="00BD7D15">
      <w:pPr>
        <w:tabs>
          <w:tab w:val="left" w:pos="1710"/>
        </w:tabs>
        <w:spacing w:after="0" w:line="360" w:lineRule="auto"/>
        <w:ind w:left="2160" w:hanging="2160"/>
        <w:jc w:val="both"/>
        <w:rPr>
          <w:rFonts w:ascii="Arial" w:eastAsia="Times New Roman" w:hAnsi="Arial" w:cs="Arial"/>
          <w:b/>
          <w:sz w:val="24"/>
          <w:szCs w:val="24"/>
          <w:lang w:val="en-GB"/>
        </w:rPr>
      </w:pPr>
      <w:r>
        <w:rPr>
          <w:rFonts w:ascii="Arial" w:eastAsia="Times New Roman" w:hAnsi="Arial" w:cs="Arial"/>
          <w:b/>
          <w:sz w:val="24"/>
          <w:szCs w:val="24"/>
          <w:lang w:val="en-GB"/>
        </w:rPr>
        <w:t xml:space="preserve"> </w:t>
      </w:r>
      <w:r w:rsidR="003A5ABD">
        <w:rPr>
          <w:rFonts w:ascii="Arial" w:eastAsia="Times New Roman" w:hAnsi="Arial" w:cs="Arial"/>
          <w:b/>
          <w:sz w:val="24"/>
          <w:szCs w:val="24"/>
          <w:lang w:val="en-GB"/>
        </w:rPr>
        <w:tab/>
      </w:r>
    </w:p>
    <w:p w:rsidR="00DD67F9" w:rsidRPr="00DD67F9" w:rsidRDefault="00DD67F9" w:rsidP="00BD7D15">
      <w:pPr>
        <w:spacing w:after="0" w:line="360" w:lineRule="auto"/>
        <w:ind w:left="2160" w:hanging="2160"/>
        <w:jc w:val="both"/>
        <w:rPr>
          <w:rFonts w:ascii="Arial" w:eastAsia="Calibri" w:hAnsi="Arial" w:cs="Arial"/>
          <w:sz w:val="24"/>
          <w:szCs w:val="24"/>
        </w:rPr>
      </w:pPr>
      <w:r w:rsidRPr="00DD67F9">
        <w:rPr>
          <w:rFonts w:ascii="Arial" w:eastAsia="Calibri" w:hAnsi="Arial" w:cs="Arial"/>
          <w:b/>
          <w:sz w:val="24"/>
          <w:szCs w:val="24"/>
        </w:rPr>
        <w:t>Neutral citation:</w:t>
      </w:r>
      <w:r w:rsidRPr="00DD67F9">
        <w:rPr>
          <w:rFonts w:ascii="Arial" w:eastAsia="Calibri" w:hAnsi="Arial" w:cs="Arial"/>
          <w:b/>
          <w:sz w:val="24"/>
          <w:szCs w:val="24"/>
        </w:rPr>
        <w:tab/>
      </w:r>
      <w:r>
        <w:rPr>
          <w:rFonts w:ascii="Arial" w:eastAsia="Calibri" w:hAnsi="Arial" w:cs="Arial"/>
          <w:i/>
          <w:sz w:val="24"/>
          <w:szCs w:val="24"/>
        </w:rPr>
        <w:t xml:space="preserve">S v </w:t>
      </w:r>
      <w:proofErr w:type="spellStart"/>
      <w:r>
        <w:rPr>
          <w:rFonts w:ascii="Arial" w:eastAsia="Calibri" w:hAnsi="Arial" w:cs="Arial"/>
          <w:i/>
          <w:sz w:val="24"/>
          <w:szCs w:val="24"/>
        </w:rPr>
        <w:t>Kharuchab</w:t>
      </w:r>
      <w:proofErr w:type="spellEnd"/>
      <w:r w:rsidRPr="00DD67F9">
        <w:rPr>
          <w:rFonts w:ascii="Arial" w:eastAsia="Calibri" w:hAnsi="Arial" w:cs="Arial"/>
          <w:i/>
          <w:sz w:val="24"/>
          <w:szCs w:val="24"/>
        </w:rPr>
        <w:t xml:space="preserve"> </w:t>
      </w:r>
      <w:r w:rsidRPr="00DD67F9">
        <w:rPr>
          <w:rFonts w:ascii="Arial" w:eastAsia="Calibri" w:hAnsi="Arial" w:cs="Arial"/>
          <w:sz w:val="24"/>
          <w:szCs w:val="24"/>
        </w:rPr>
        <w:t>(</w:t>
      </w:r>
      <w:r>
        <w:rPr>
          <w:rFonts w:ascii="Arial" w:eastAsia="Calibri" w:hAnsi="Arial" w:cs="Arial"/>
          <w:sz w:val="24"/>
          <w:szCs w:val="24"/>
        </w:rPr>
        <w:t xml:space="preserve">CR </w:t>
      </w:r>
      <w:r w:rsidR="00563737">
        <w:rPr>
          <w:rFonts w:ascii="Arial" w:eastAsia="Calibri" w:hAnsi="Arial" w:cs="Arial"/>
          <w:sz w:val="24"/>
          <w:szCs w:val="24"/>
        </w:rPr>
        <w:t>3</w:t>
      </w:r>
      <w:r w:rsidR="001D7D4F">
        <w:rPr>
          <w:rFonts w:ascii="Arial" w:eastAsia="Calibri" w:hAnsi="Arial" w:cs="Arial"/>
          <w:sz w:val="24"/>
          <w:szCs w:val="24"/>
        </w:rPr>
        <w:t>/2017</w:t>
      </w:r>
      <w:r w:rsidRPr="00DD67F9">
        <w:rPr>
          <w:rFonts w:ascii="Arial" w:eastAsia="Calibri" w:hAnsi="Arial" w:cs="Arial"/>
          <w:sz w:val="24"/>
          <w:szCs w:val="24"/>
        </w:rPr>
        <w:t>) [201</w:t>
      </w:r>
      <w:r w:rsidR="004E5D26">
        <w:rPr>
          <w:rFonts w:ascii="Arial" w:eastAsia="Calibri" w:hAnsi="Arial" w:cs="Arial"/>
          <w:sz w:val="24"/>
          <w:szCs w:val="24"/>
        </w:rPr>
        <w:t>7</w:t>
      </w:r>
      <w:r w:rsidRPr="00DD67F9">
        <w:rPr>
          <w:rFonts w:ascii="Arial" w:eastAsia="Calibri" w:hAnsi="Arial" w:cs="Arial"/>
          <w:sz w:val="24"/>
          <w:szCs w:val="24"/>
        </w:rPr>
        <w:t xml:space="preserve">] NAHCMD </w:t>
      </w:r>
      <w:r w:rsidR="00563737">
        <w:rPr>
          <w:rFonts w:ascii="Arial" w:eastAsia="Calibri" w:hAnsi="Arial" w:cs="Arial"/>
          <w:sz w:val="24"/>
          <w:szCs w:val="24"/>
        </w:rPr>
        <w:t>5</w:t>
      </w:r>
      <w:r w:rsidRPr="00DD67F9">
        <w:rPr>
          <w:rFonts w:ascii="Arial" w:eastAsia="Calibri" w:hAnsi="Arial" w:cs="Arial"/>
          <w:sz w:val="24"/>
          <w:szCs w:val="24"/>
        </w:rPr>
        <w:t xml:space="preserve"> (</w:t>
      </w:r>
      <w:r>
        <w:rPr>
          <w:rFonts w:ascii="Arial" w:eastAsia="Calibri" w:hAnsi="Arial" w:cs="Arial"/>
          <w:sz w:val="24"/>
          <w:szCs w:val="24"/>
        </w:rPr>
        <w:t xml:space="preserve">20 </w:t>
      </w:r>
      <w:r w:rsidR="001D7D4F">
        <w:rPr>
          <w:rFonts w:ascii="Arial" w:eastAsia="Calibri" w:hAnsi="Arial" w:cs="Arial"/>
          <w:sz w:val="24"/>
          <w:szCs w:val="24"/>
        </w:rPr>
        <w:t>January</w:t>
      </w:r>
      <w:r>
        <w:rPr>
          <w:rFonts w:ascii="Arial" w:eastAsia="Calibri" w:hAnsi="Arial" w:cs="Arial"/>
          <w:sz w:val="24"/>
          <w:szCs w:val="24"/>
        </w:rPr>
        <w:t xml:space="preserve"> 2017</w:t>
      </w:r>
      <w:r w:rsidRPr="00DD67F9">
        <w:rPr>
          <w:rFonts w:ascii="Arial" w:eastAsia="Calibri" w:hAnsi="Arial" w:cs="Arial"/>
          <w:sz w:val="24"/>
          <w:szCs w:val="24"/>
        </w:rPr>
        <w:t>)</w:t>
      </w:r>
    </w:p>
    <w:p w:rsidR="00DD67F9" w:rsidRPr="00DD67F9" w:rsidRDefault="00DD67F9" w:rsidP="00BD7D15">
      <w:pPr>
        <w:spacing w:after="0" w:line="360" w:lineRule="auto"/>
        <w:ind w:left="2160" w:hanging="2160"/>
        <w:jc w:val="both"/>
        <w:rPr>
          <w:rFonts w:ascii="Arial" w:eastAsia="Calibri" w:hAnsi="Arial" w:cs="Arial"/>
          <w:sz w:val="24"/>
          <w:szCs w:val="24"/>
        </w:rPr>
      </w:pPr>
    </w:p>
    <w:p w:rsidR="00DD67F9" w:rsidRPr="00DD67F9" w:rsidRDefault="00DD67F9" w:rsidP="00BD7D15">
      <w:pPr>
        <w:spacing w:after="0" w:line="360" w:lineRule="auto"/>
        <w:ind w:left="1440" w:hanging="1440"/>
        <w:jc w:val="both"/>
        <w:rPr>
          <w:rFonts w:ascii="Arial" w:eastAsia="Calibri" w:hAnsi="Arial" w:cs="Arial"/>
          <w:i/>
          <w:sz w:val="24"/>
          <w:szCs w:val="24"/>
        </w:rPr>
      </w:pPr>
      <w:r w:rsidRPr="00DD67F9">
        <w:rPr>
          <w:rFonts w:ascii="Arial" w:eastAsia="Calibri" w:hAnsi="Arial" w:cs="Arial"/>
          <w:b/>
          <w:sz w:val="24"/>
          <w:szCs w:val="24"/>
        </w:rPr>
        <w:t>Coram:</w:t>
      </w:r>
      <w:r w:rsidRPr="00DD67F9">
        <w:rPr>
          <w:rFonts w:ascii="Arial" w:eastAsia="Calibri" w:hAnsi="Arial" w:cs="Arial"/>
          <w:sz w:val="24"/>
          <w:szCs w:val="24"/>
        </w:rPr>
        <w:tab/>
        <w:t>NDAUENDAPO</w:t>
      </w:r>
      <w:r w:rsidR="00433718">
        <w:rPr>
          <w:rFonts w:ascii="Arial" w:eastAsia="Calibri" w:hAnsi="Arial" w:cs="Arial"/>
          <w:sz w:val="24"/>
          <w:szCs w:val="24"/>
        </w:rPr>
        <w:t xml:space="preserve"> </w:t>
      </w:r>
      <w:r w:rsidRPr="00DD67F9">
        <w:rPr>
          <w:rFonts w:ascii="Arial" w:eastAsia="Calibri" w:hAnsi="Arial" w:cs="Arial"/>
          <w:sz w:val="24"/>
          <w:szCs w:val="24"/>
        </w:rPr>
        <w:t xml:space="preserve">J </w:t>
      </w:r>
      <w:proofErr w:type="gramStart"/>
      <w:r w:rsidRPr="00DD67F9">
        <w:rPr>
          <w:rFonts w:ascii="Arial" w:eastAsia="Calibri" w:hAnsi="Arial" w:cs="Arial"/>
          <w:i/>
          <w:sz w:val="24"/>
          <w:szCs w:val="24"/>
        </w:rPr>
        <w:t>et</w:t>
      </w:r>
      <w:proofErr w:type="gramEnd"/>
      <w:r w:rsidRPr="00DD67F9">
        <w:rPr>
          <w:rFonts w:ascii="Arial" w:eastAsia="Calibri" w:hAnsi="Arial" w:cs="Arial"/>
          <w:sz w:val="24"/>
          <w:szCs w:val="24"/>
        </w:rPr>
        <w:t xml:space="preserve"> </w:t>
      </w:r>
      <w:r w:rsidRPr="003A5ABD">
        <w:rPr>
          <w:rFonts w:ascii="Arial" w:eastAsia="Calibri" w:hAnsi="Arial" w:cs="Arial"/>
          <w:sz w:val="24"/>
          <w:szCs w:val="24"/>
        </w:rPr>
        <w:t>SHIVUTE</w:t>
      </w:r>
      <w:r w:rsidRPr="00DD67F9">
        <w:rPr>
          <w:rFonts w:ascii="Arial" w:eastAsia="Calibri" w:hAnsi="Arial" w:cs="Arial"/>
          <w:sz w:val="24"/>
          <w:szCs w:val="24"/>
        </w:rPr>
        <w:t xml:space="preserve"> J</w:t>
      </w:r>
    </w:p>
    <w:p w:rsidR="00DD67F9" w:rsidRPr="00DD67F9" w:rsidRDefault="00DD67F9" w:rsidP="00BD7D15">
      <w:pPr>
        <w:spacing w:after="0" w:line="360" w:lineRule="auto"/>
        <w:jc w:val="both"/>
        <w:rPr>
          <w:rFonts w:ascii="Arial" w:eastAsia="Calibri" w:hAnsi="Arial" w:cs="Arial"/>
          <w:sz w:val="24"/>
          <w:szCs w:val="24"/>
        </w:rPr>
      </w:pPr>
      <w:r w:rsidRPr="00DD67F9">
        <w:rPr>
          <w:rFonts w:ascii="Arial" w:eastAsia="Calibri" w:hAnsi="Arial" w:cs="Arial"/>
          <w:b/>
          <w:bCs/>
          <w:sz w:val="24"/>
          <w:szCs w:val="24"/>
        </w:rPr>
        <w:t>Delivered</w:t>
      </w:r>
      <w:r w:rsidRPr="00DD67F9">
        <w:rPr>
          <w:rFonts w:ascii="Arial" w:eastAsia="Calibri" w:hAnsi="Arial" w:cs="Arial"/>
          <w:sz w:val="24"/>
          <w:szCs w:val="24"/>
        </w:rPr>
        <w:t>:</w:t>
      </w:r>
      <w:r w:rsidRPr="00DD67F9">
        <w:rPr>
          <w:rFonts w:ascii="Arial" w:eastAsia="Calibri" w:hAnsi="Arial" w:cs="Arial"/>
          <w:sz w:val="24"/>
          <w:szCs w:val="24"/>
        </w:rPr>
        <w:tab/>
      </w:r>
      <w:r w:rsidRPr="00FD50DC">
        <w:rPr>
          <w:rFonts w:ascii="Arial" w:eastAsia="Calibri" w:hAnsi="Arial" w:cs="Arial"/>
          <w:sz w:val="24"/>
          <w:szCs w:val="24"/>
        </w:rPr>
        <w:t>20 January 2017</w:t>
      </w:r>
    </w:p>
    <w:p w:rsidR="00DD67F9" w:rsidRPr="00DD67F9" w:rsidRDefault="00DD67F9" w:rsidP="00BD7D15">
      <w:pPr>
        <w:spacing w:after="0" w:line="360" w:lineRule="auto"/>
        <w:jc w:val="both"/>
        <w:rPr>
          <w:rFonts w:ascii="Arial" w:eastAsia="Calibri" w:hAnsi="Arial" w:cs="Arial"/>
          <w:b/>
          <w:sz w:val="24"/>
          <w:szCs w:val="24"/>
        </w:rPr>
      </w:pPr>
    </w:p>
    <w:p w:rsidR="00DD67F9" w:rsidRDefault="00DD67F9" w:rsidP="00BD7D15">
      <w:pPr>
        <w:spacing w:after="0" w:line="360" w:lineRule="auto"/>
        <w:jc w:val="both"/>
        <w:rPr>
          <w:rFonts w:ascii="Arial" w:eastAsia="Calibri" w:hAnsi="Arial" w:cs="Arial"/>
          <w:sz w:val="24"/>
          <w:szCs w:val="24"/>
        </w:rPr>
      </w:pPr>
      <w:proofErr w:type="spellStart"/>
      <w:r w:rsidRPr="00DD67F9">
        <w:rPr>
          <w:rFonts w:ascii="Arial" w:eastAsia="Calibri" w:hAnsi="Arial" w:cs="Arial"/>
          <w:b/>
          <w:sz w:val="24"/>
          <w:szCs w:val="24"/>
        </w:rPr>
        <w:t>Flynote</w:t>
      </w:r>
      <w:proofErr w:type="spellEnd"/>
      <w:r w:rsidRPr="00DD67F9">
        <w:rPr>
          <w:rFonts w:ascii="Arial" w:eastAsia="Calibri" w:hAnsi="Arial" w:cs="Arial"/>
          <w:b/>
          <w:sz w:val="24"/>
          <w:szCs w:val="24"/>
        </w:rPr>
        <w:t>:</w:t>
      </w:r>
      <w:r w:rsidRPr="00DD67F9">
        <w:rPr>
          <w:rFonts w:ascii="Arial" w:eastAsia="Calibri" w:hAnsi="Arial" w:cs="Arial"/>
          <w:b/>
          <w:sz w:val="24"/>
          <w:szCs w:val="24"/>
        </w:rPr>
        <w:tab/>
      </w:r>
      <w:r w:rsidR="003A5ABD" w:rsidRPr="003A5ABD">
        <w:rPr>
          <w:rFonts w:ascii="Arial" w:eastAsia="Calibri" w:hAnsi="Arial" w:cs="Arial"/>
          <w:sz w:val="24"/>
          <w:szCs w:val="24"/>
        </w:rPr>
        <w:t>Criminal Law-</w:t>
      </w:r>
      <w:r w:rsidR="003A5ABD">
        <w:rPr>
          <w:rFonts w:ascii="Arial" w:eastAsia="Calibri" w:hAnsi="Arial" w:cs="Arial"/>
          <w:sz w:val="24"/>
          <w:szCs w:val="24"/>
        </w:rPr>
        <w:t>two distinct criminal acts-single intent to escape from lawful custody-One criminal transaction-conviction in respect of count 2 set aside.</w:t>
      </w:r>
    </w:p>
    <w:p w:rsidR="001B2E1E" w:rsidRPr="00DD67F9" w:rsidRDefault="001B2E1E" w:rsidP="00BD7D15">
      <w:pPr>
        <w:spacing w:after="0" w:line="360" w:lineRule="auto"/>
        <w:jc w:val="both"/>
        <w:rPr>
          <w:rFonts w:ascii="Arial" w:eastAsia="Calibri" w:hAnsi="Arial" w:cs="Arial"/>
          <w:sz w:val="24"/>
          <w:szCs w:val="24"/>
        </w:rPr>
      </w:pPr>
    </w:p>
    <w:p w:rsidR="00DD67F9" w:rsidRDefault="00DD67F9" w:rsidP="00BD7D15">
      <w:pPr>
        <w:spacing w:line="360" w:lineRule="auto"/>
        <w:jc w:val="both"/>
        <w:rPr>
          <w:rFonts w:ascii="Arial" w:eastAsia="Calibri" w:hAnsi="Arial" w:cs="Arial"/>
          <w:sz w:val="24"/>
          <w:szCs w:val="24"/>
        </w:rPr>
      </w:pPr>
      <w:r w:rsidRPr="00DD67F9">
        <w:rPr>
          <w:rFonts w:ascii="Arial" w:eastAsia="Calibri" w:hAnsi="Arial" w:cs="Arial"/>
          <w:b/>
          <w:sz w:val="24"/>
          <w:szCs w:val="24"/>
        </w:rPr>
        <w:t>Summary:</w:t>
      </w:r>
      <w:r w:rsidRPr="00DD67F9">
        <w:rPr>
          <w:rFonts w:ascii="Arial" w:eastAsia="Calibri" w:hAnsi="Arial" w:cs="Arial"/>
          <w:b/>
          <w:sz w:val="24"/>
          <w:szCs w:val="24"/>
        </w:rPr>
        <w:tab/>
      </w:r>
      <w:r w:rsidR="003A5ABD" w:rsidRPr="001B2E1E">
        <w:rPr>
          <w:rFonts w:ascii="Arial" w:eastAsia="Calibri" w:hAnsi="Arial" w:cs="Arial"/>
          <w:sz w:val="24"/>
          <w:szCs w:val="24"/>
        </w:rPr>
        <w:t>The accused</w:t>
      </w:r>
      <w:r w:rsidR="00E02733">
        <w:rPr>
          <w:rFonts w:ascii="Arial" w:eastAsia="Calibri" w:hAnsi="Arial" w:cs="Arial"/>
          <w:sz w:val="24"/>
          <w:szCs w:val="24"/>
        </w:rPr>
        <w:t xml:space="preserve"> pretended to be Piet Thomas who had</w:t>
      </w:r>
      <w:r w:rsidR="003A5ABD" w:rsidRPr="001B2E1E">
        <w:rPr>
          <w:rFonts w:ascii="Arial" w:eastAsia="Calibri" w:hAnsi="Arial" w:cs="Arial"/>
          <w:sz w:val="24"/>
          <w:szCs w:val="24"/>
        </w:rPr>
        <w:t xml:space="preserve"> paid bail </w:t>
      </w:r>
      <w:r w:rsidR="001B2E1E" w:rsidRPr="001B2E1E">
        <w:rPr>
          <w:rFonts w:ascii="Arial" w:eastAsia="Calibri" w:hAnsi="Arial" w:cs="Arial"/>
          <w:sz w:val="24"/>
          <w:szCs w:val="24"/>
        </w:rPr>
        <w:t>in respec</w:t>
      </w:r>
      <w:r w:rsidR="00E02733">
        <w:rPr>
          <w:rFonts w:ascii="Arial" w:eastAsia="Calibri" w:hAnsi="Arial" w:cs="Arial"/>
          <w:sz w:val="24"/>
          <w:szCs w:val="24"/>
        </w:rPr>
        <w:t xml:space="preserve">t of </w:t>
      </w:r>
      <w:proofErr w:type="gramStart"/>
      <w:r w:rsidR="00E02733">
        <w:rPr>
          <w:rFonts w:ascii="Arial" w:eastAsia="Calibri" w:hAnsi="Arial" w:cs="Arial"/>
          <w:sz w:val="24"/>
          <w:szCs w:val="24"/>
        </w:rPr>
        <w:t>his</w:t>
      </w:r>
      <w:proofErr w:type="gramEnd"/>
      <w:r w:rsidR="00E02733">
        <w:rPr>
          <w:rFonts w:ascii="Arial" w:eastAsia="Calibri" w:hAnsi="Arial" w:cs="Arial"/>
          <w:sz w:val="24"/>
          <w:szCs w:val="24"/>
        </w:rPr>
        <w:t xml:space="preserve"> own matter, although he (the accused)</w:t>
      </w:r>
      <w:r w:rsidR="001B2E1E" w:rsidRPr="001B2E1E">
        <w:rPr>
          <w:rFonts w:ascii="Arial" w:eastAsia="Calibri" w:hAnsi="Arial" w:cs="Arial"/>
          <w:sz w:val="24"/>
          <w:szCs w:val="24"/>
        </w:rPr>
        <w:t xml:space="preserve"> was in reality remanded in custody. As a result of his misrepresentation to the police, he was released from lawful custody. He was </w:t>
      </w:r>
      <w:r w:rsidR="006B4996">
        <w:rPr>
          <w:rFonts w:ascii="Arial" w:eastAsia="Calibri" w:hAnsi="Arial" w:cs="Arial"/>
          <w:sz w:val="24"/>
          <w:szCs w:val="24"/>
        </w:rPr>
        <w:t>subsequently convicted of escaping</w:t>
      </w:r>
      <w:r w:rsidR="001B2E1E" w:rsidRPr="001B2E1E">
        <w:rPr>
          <w:rFonts w:ascii="Arial" w:eastAsia="Calibri" w:hAnsi="Arial" w:cs="Arial"/>
          <w:sz w:val="24"/>
          <w:szCs w:val="24"/>
        </w:rPr>
        <w:t xml:space="preserve"> from lawful custody and fraud. On automatic </w:t>
      </w:r>
      <w:r w:rsidR="001B2E1E" w:rsidRPr="001B2E1E">
        <w:rPr>
          <w:rFonts w:ascii="Arial" w:eastAsia="Calibri" w:hAnsi="Arial" w:cs="Arial"/>
          <w:sz w:val="24"/>
          <w:szCs w:val="24"/>
        </w:rPr>
        <w:lastRenderedPageBreak/>
        <w:t>review, the conviction and sentence in respect of count 2 were set aside, because although, the accused committed two distinct criminal acts, the accused had the single intent to escape from lawful custody. His acts thus constituted a single criminal transaction.</w:t>
      </w:r>
    </w:p>
    <w:p w:rsidR="001B2E1E" w:rsidRPr="001B2E1E" w:rsidRDefault="001B2E1E" w:rsidP="00BD7D15">
      <w:pPr>
        <w:spacing w:line="360" w:lineRule="auto"/>
        <w:jc w:val="both"/>
        <w:rPr>
          <w:rFonts w:ascii="Arial" w:eastAsia="Calibri" w:hAnsi="Arial" w:cs="Arial"/>
          <w:sz w:val="24"/>
          <w:szCs w:val="24"/>
        </w:rPr>
      </w:pPr>
    </w:p>
    <w:p w:rsidR="00DD67F9" w:rsidRDefault="00DD67F9" w:rsidP="00BD7D15">
      <w:pPr>
        <w:pBdr>
          <w:bottom w:val="single" w:sz="12" w:space="1" w:color="auto"/>
        </w:pBdr>
        <w:spacing w:line="360" w:lineRule="auto"/>
        <w:jc w:val="both"/>
        <w:rPr>
          <w:rFonts w:ascii="Arial" w:eastAsia="Calibri" w:hAnsi="Arial" w:cs="Arial"/>
          <w:b/>
          <w:sz w:val="24"/>
          <w:szCs w:val="24"/>
        </w:rPr>
      </w:pPr>
      <w:r>
        <w:rPr>
          <w:rFonts w:ascii="Arial" w:eastAsia="Calibri" w:hAnsi="Arial" w:cs="Arial"/>
          <w:b/>
          <w:sz w:val="24"/>
          <w:szCs w:val="24"/>
        </w:rPr>
        <w:t>______________________________________________________________________</w:t>
      </w:r>
    </w:p>
    <w:p w:rsidR="00DD67F9" w:rsidRDefault="00DD67F9" w:rsidP="00BD7D15">
      <w:pPr>
        <w:pBdr>
          <w:bottom w:val="single" w:sz="12" w:space="1" w:color="auto"/>
        </w:pBdr>
        <w:spacing w:line="360" w:lineRule="auto"/>
        <w:jc w:val="center"/>
        <w:rPr>
          <w:rFonts w:ascii="Arial" w:eastAsia="Calibri" w:hAnsi="Arial" w:cs="Arial"/>
          <w:b/>
          <w:sz w:val="24"/>
          <w:szCs w:val="24"/>
        </w:rPr>
      </w:pPr>
      <w:r>
        <w:rPr>
          <w:rFonts w:ascii="Arial" w:eastAsia="Calibri" w:hAnsi="Arial" w:cs="Arial"/>
          <w:b/>
          <w:sz w:val="24"/>
          <w:szCs w:val="24"/>
        </w:rPr>
        <w:t>ORDER</w:t>
      </w:r>
    </w:p>
    <w:p w:rsidR="00DD67F9" w:rsidRDefault="00DD67F9" w:rsidP="00BD7D15">
      <w:pPr>
        <w:spacing w:line="360" w:lineRule="auto"/>
        <w:jc w:val="both"/>
        <w:rPr>
          <w:rFonts w:ascii="Arial" w:eastAsia="Calibri" w:hAnsi="Arial" w:cs="Arial"/>
          <w:b/>
          <w:sz w:val="24"/>
          <w:szCs w:val="24"/>
        </w:rPr>
      </w:pPr>
    </w:p>
    <w:p w:rsidR="003A5ABD" w:rsidRDefault="003A5ABD" w:rsidP="00BD7D15">
      <w:pPr>
        <w:spacing w:line="360" w:lineRule="auto"/>
        <w:jc w:val="both"/>
        <w:rPr>
          <w:rFonts w:ascii="Arial" w:hAnsi="Arial" w:cs="Arial"/>
          <w:sz w:val="24"/>
          <w:szCs w:val="24"/>
        </w:rPr>
      </w:pPr>
      <w:r>
        <w:rPr>
          <w:rFonts w:ascii="Arial" w:hAnsi="Arial" w:cs="Arial"/>
          <w:sz w:val="24"/>
          <w:szCs w:val="24"/>
        </w:rPr>
        <w:t>In the Result, the following order is made:</w:t>
      </w:r>
    </w:p>
    <w:p w:rsidR="00E02733" w:rsidRDefault="003A5ABD" w:rsidP="00BD7D15">
      <w:pPr>
        <w:spacing w:line="360" w:lineRule="auto"/>
        <w:jc w:val="both"/>
        <w:rPr>
          <w:rFonts w:ascii="Arial" w:hAnsi="Arial" w:cs="Arial"/>
          <w:sz w:val="24"/>
          <w:szCs w:val="24"/>
        </w:rPr>
      </w:pPr>
      <w:r>
        <w:rPr>
          <w:rFonts w:ascii="Arial" w:hAnsi="Arial" w:cs="Arial"/>
          <w:sz w:val="24"/>
          <w:szCs w:val="24"/>
        </w:rPr>
        <w:t xml:space="preserve">1. </w:t>
      </w:r>
      <w:r w:rsidR="00E02733">
        <w:rPr>
          <w:rFonts w:ascii="Arial" w:hAnsi="Arial" w:cs="Arial"/>
          <w:sz w:val="24"/>
          <w:szCs w:val="24"/>
        </w:rPr>
        <w:t>The conviction and sentence in respect of count 1 are confirmed.</w:t>
      </w:r>
    </w:p>
    <w:p w:rsidR="003A5ABD" w:rsidRDefault="00E02733" w:rsidP="00BD7D15">
      <w:pPr>
        <w:spacing w:line="360" w:lineRule="auto"/>
        <w:jc w:val="both"/>
        <w:rPr>
          <w:rFonts w:ascii="Arial" w:hAnsi="Arial" w:cs="Arial"/>
          <w:sz w:val="24"/>
          <w:szCs w:val="24"/>
        </w:rPr>
      </w:pPr>
      <w:r>
        <w:rPr>
          <w:rFonts w:ascii="Arial" w:hAnsi="Arial" w:cs="Arial"/>
          <w:sz w:val="24"/>
          <w:szCs w:val="24"/>
        </w:rPr>
        <w:t xml:space="preserve">2. </w:t>
      </w:r>
      <w:r w:rsidR="003A5ABD">
        <w:rPr>
          <w:rFonts w:ascii="Arial" w:hAnsi="Arial" w:cs="Arial"/>
          <w:sz w:val="24"/>
          <w:szCs w:val="24"/>
        </w:rPr>
        <w:t>The conviction and se</w:t>
      </w:r>
      <w:r>
        <w:rPr>
          <w:rFonts w:ascii="Arial" w:hAnsi="Arial" w:cs="Arial"/>
          <w:sz w:val="24"/>
          <w:szCs w:val="24"/>
        </w:rPr>
        <w:t>ntence in respect of count 2 are</w:t>
      </w:r>
      <w:r w:rsidR="003A5ABD">
        <w:rPr>
          <w:rFonts w:ascii="Arial" w:hAnsi="Arial" w:cs="Arial"/>
          <w:sz w:val="24"/>
          <w:szCs w:val="24"/>
        </w:rPr>
        <w:t xml:space="preserve"> set aside.</w:t>
      </w:r>
    </w:p>
    <w:p w:rsidR="00DD67F9" w:rsidRDefault="00E02733" w:rsidP="00BD7D15">
      <w:pPr>
        <w:spacing w:line="360" w:lineRule="auto"/>
        <w:jc w:val="both"/>
        <w:rPr>
          <w:rFonts w:ascii="Arial" w:hAnsi="Arial" w:cs="Arial"/>
          <w:sz w:val="24"/>
          <w:szCs w:val="24"/>
        </w:rPr>
      </w:pPr>
      <w:r>
        <w:rPr>
          <w:rFonts w:ascii="Arial" w:hAnsi="Arial" w:cs="Arial"/>
          <w:sz w:val="24"/>
          <w:szCs w:val="24"/>
        </w:rPr>
        <w:t>3</w:t>
      </w:r>
      <w:r w:rsidR="003A5ABD">
        <w:rPr>
          <w:rFonts w:ascii="Arial" w:hAnsi="Arial" w:cs="Arial"/>
          <w:sz w:val="24"/>
          <w:szCs w:val="24"/>
        </w:rPr>
        <w:t>. The order is antedated to 01 February 2016.</w:t>
      </w:r>
    </w:p>
    <w:p w:rsidR="00DD67F9" w:rsidRPr="00DD67F9" w:rsidRDefault="00DD67F9" w:rsidP="00BD7D15">
      <w:pPr>
        <w:spacing w:line="360" w:lineRule="auto"/>
        <w:jc w:val="both"/>
        <w:rPr>
          <w:rFonts w:ascii="Arial" w:eastAsia="Calibri" w:hAnsi="Arial" w:cs="Arial"/>
          <w:b/>
          <w:sz w:val="24"/>
          <w:szCs w:val="24"/>
        </w:rPr>
      </w:pPr>
      <w:r>
        <w:rPr>
          <w:rFonts w:ascii="Arial" w:eastAsia="Calibri" w:hAnsi="Arial" w:cs="Arial"/>
          <w:b/>
          <w:sz w:val="24"/>
          <w:szCs w:val="24"/>
        </w:rPr>
        <w:t>______________________________________________________________________</w:t>
      </w:r>
    </w:p>
    <w:p w:rsidR="00DD67F9" w:rsidRPr="00DD67F9" w:rsidRDefault="00DD67F9" w:rsidP="00BD7D15">
      <w:pPr>
        <w:spacing w:line="360" w:lineRule="auto"/>
        <w:jc w:val="center"/>
        <w:rPr>
          <w:rFonts w:ascii="Arial" w:hAnsi="Arial" w:cs="Arial"/>
          <w:b/>
          <w:sz w:val="24"/>
          <w:szCs w:val="24"/>
        </w:rPr>
      </w:pPr>
      <w:r w:rsidRPr="00DD67F9">
        <w:rPr>
          <w:rFonts w:ascii="Arial" w:hAnsi="Arial" w:cs="Arial"/>
          <w:b/>
          <w:sz w:val="24"/>
          <w:szCs w:val="24"/>
        </w:rPr>
        <w:t>JUDGMENT</w:t>
      </w:r>
    </w:p>
    <w:p w:rsidR="00DD67F9" w:rsidRDefault="00DD67F9" w:rsidP="00BD7D15">
      <w:pPr>
        <w:spacing w:line="360" w:lineRule="auto"/>
        <w:jc w:val="both"/>
        <w:rPr>
          <w:rFonts w:ascii="Arial" w:hAnsi="Arial" w:cs="Arial"/>
          <w:b/>
        </w:rPr>
      </w:pPr>
      <w:r w:rsidRPr="00DD67F9">
        <w:rPr>
          <w:rFonts w:ascii="Arial" w:hAnsi="Arial" w:cs="Arial"/>
          <w:b/>
        </w:rPr>
        <w:t>_____________________________________________________</w:t>
      </w:r>
      <w:r>
        <w:rPr>
          <w:rFonts w:ascii="Arial" w:hAnsi="Arial" w:cs="Arial"/>
          <w:b/>
        </w:rPr>
        <w:t>_______________________</w:t>
      </w:r>
    </w:p>
    <w:p w:rsidR="00DD67F9" w:rsidRDefault="00DD67F9" w:rsidP="00BD7D15">
      <w:pPr>
        <w:spacing w:line="360" w:lineRule="auto"/>
        <w:jc w:val="both"/>
        <w:rPr>
          <w:rFonts w:ascii="Arial" w:hAnsi="Arial" w:cs="Arial"/>
          <w:b/>
        </w:rPr>
      </w:pPr>
      <w:r>
        <w:rPr>
          <w:rFonts w:ascii="Arial" w:hAnsi="Arial" w:cs="Arial"/>
          <w:b/>
        </w:rPr>
        <w:t>NDAUENDAPO, J</w:t>
      </w:r>
      <w:r w:rsidR="0091610D">
        <w:rPr>
          <w:rFonts w:ascii="Arial" w:hAnsi="Arial" w:cs="Arial"/>
          <w:b/>
        </w:rPr>
        <w:t xml:space="preserve"> </w:t>
      </w:r>
      <w:proofErr w:type="gramStart"/>
      <w:r w:rsidR="0091610D" w:rsidRPr="0091610D">
        <w:rPr>
          <w:rFonts w:ascii="Arial" w:hAnsi="Arial" w:cs="Arial"/>
          <w:b/>
          <w:i/>
        </w:rPr>
        <w:t>et</w:t>
      </w:r>
      <w:proofErr w:type="gramEnd"/>
      <w:r w:rsidR="0091610D" w:rsidRPr="0091610D">
        <w:rPr>
          <w:rFonts w:ascii="Arial" w:hAnsi="Arial" w:cs="Arial"/>
          <w:b/>
          <w:i/>
        </w:rPr>
        <w:t xml:space="preserve"> </w:t>
      </w:r>
      <w:r w:rsidR="0091610D">
        <w:rPr>
          <w:rFonts w:ascii="Arial" w:hAnsi="Arial" w:cs="Arial"/>
          <w:b/>
        </w:rPr>
        <w:t>SHIVUTE, J</w:t>
      </w:r>
    </w:p>
    <w:p w:rsidR="00FD50DC" w:rsidRDefault="00FD50DC" w:rsidP="00BD7D15">
      <w:pPr>
        <w:spacing w:line="360" w:lineRule="auto"/>
        <w:jc w:val="both"/>
        <w:rPr>
          <w:rFonts w:ascii="Arial" w:hAnsi="Arial" w:cs="Arial"/>
          <w:b/>
        </w:rPr>
      </w:pPr>
    </w:p>
    <w:p w:rsidR="00DD67F9" w:rsidRDefault="00DD67F9" w:rsidP="00BD7D15">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2008D9">
        <w:rPr>
          <w:rFonts w:ascii="Arial" w:hAnsi="Arial" w:cs="Arial"/>
          <w:sz w:val="24"/>
          <w:szCs w:val="24"/>
        </w:rPr>
        <w:t xml:space="preserve">This case comes before this Court on automatic review. The accused escaped from lawful custody after he presented police with a bail receipt issued in the name of Piet Thomas, thereby giving the police the impression that he was Piet Thomas and that he received that bail receipt after he posted bail. He was then released from custody, although he was in reality remanded into custody in respect of his own matter. The accused was unrepresented during the proceedings in the Magistrate’s Court. </w:t>
      </w:r>
    </w:p>
    <w:p w:rsidR="009C6444" w:rsidRDefault="009C6444" w:rsidP="00BD7D15">
      <w:pPr>
        <w:spacing w:line="360" w:lineRule="auto"/>
        <w:jc w:val="both"/>
        <w:rPr>
          <w:rFonts w:ascii="Arial" w:hAnsi="Arial" w:cs="Arial"/>
          <w:sz w:val="24"/>
          <w:szCs w:val="24"/>
        </w:rPr>
      </w:pPr>
    </w:p>
    <w:p w:rsidR="009C6444" w:rsidRDefault="009C6444" w:rsidP="00BD7D15">
      <w:pPr>
        <w:spacing w:line="360" w:lineRule="auto"/>
        <w:jc w:val="both"/>
        <w:rPr>
          <w:rFonts w:ascii="Arial" w:hAnsi="Arial" w:cs="Arial"/>
          <w:sz w:val="24"/>
          <w:szCs w:val="24"/>
        </w:rPr>
      </w:pPr>
    </w:p>
    <w:p w:rsidR="008B062C" w:rsidRDefault="002008D9" w:rsidP="00BD7D15">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accused was charged on 20 March </w:t>
      </w:r>
      <w:r w:rsidR="001A005D">
        <w:rPr>
          <w:rFonts w:ascii="Arial" w:hAnsi="Arial" w:cs="Arial"/>
          <w:sz w:val="24"/>
          <w:szCs w:val="24"/>
        </w:rPr>
        <w:t xml:space="preserve">2015 with two counts, the particulars of the charges are: </w:t>
      </w:r>
    </w:p>
    <w:p w:rsidR="001A005D" w:rsidRDefault="001A005D" w:rsidP="00BD7D15">
      <w:pPr>
        <w:spacing w:line="360" w:lineRule="auto"/>
        <w:jc w:val="both"/>
        <w:rPr>
          <w:rFonts w:ascii="Arial" w:hAnsi="Arial" w:cs="Arial"/>
          <w:sz w:val="24"/>
          <w:szCs w:val="24"/>
        </w:rPr>
      </w:pPr>
      <w:r>
        <w:rPr>
          <w:rFonts w:ascii="Arial" w:hAnsi="Arial" w:cs="Arial"/>
          <w:sz w:val="24"/>
          <w:szCs w:val="24"/>
        </w:rPr>
        <w:t>a) Count 1, the common law crime of escaping from lawful custody, in that;</w:t>
      </w:r>
    </w:p>
    <w:p w:rsidR="001A005D" w:rsidRDefault="001A005D" w:rsidP="00BD7D15">
      <w:pPr>
        <w:spacing w:line="360" w:lineRule="auto"/>
        <w:jc w:val="both"/>
        <w:rPr>
          <w:rFonts w:ascii="Arial" w:hAnsi="Arial" w:cs="Arial"/>
          <w:sz w:val="24"/>
          <w:szCs w:val="24"/>
        </w:rPr>
      </w:pPr>
      <w:r>
        <w:rPr>
          <w:rFonts w:ascii="Arial" w:hAnsi="Arial" w:cs="Arial"/>
          <w:sz w:val="24"/>
          <w:szCs w:val="24"/>
        </w:rPr>
        <w:t>‘</w:t>
      </w:r>
      <w:r w:rsidRPr="008B062C">
        <w:rPr>
          <w:rFonts w:ascii="Arial" w:hAnsi="Arial" w:cs="Arial"/>
        </w:rPr>
        <w:t>upon or about 7</w:t>
      </w:r>
      <w:r w:rsidRPr="008B062C">
        <w:rPr>
          <w:rFonts w:ascii="Arial" w:hAnsi="Arial" w:cs="Arial"/>
          <w:vertAlign w:val="superscript"/>
        </w:rPr>
        <w:t>th</w:t>
      </w:r>
      <w:r w:rsidRPr="008B062C">
        <w:rPr>
          <w:rFonts w:ascii="Arial" w:hAnsi="Arial" w:cs="Arial"/>
        </w:rPr>
        <w:t xml:space="preserve"> March 2015 at or near the Gobabis Police Station in the district of Gobabis the accused did, after being arrested and in lawful custody, intentionally, wrongfully and unlawfully escape…from lawful custody’</w:t>
      </w:r>
      <w:r>
        <w:rPr>
          <w:rFonts w:ascii="Arial" w:hAnsi="Arial" w:cs="Arial"/>
          <w:sz w:val="24"/>
          <w:szCs w:val="24"/>
        </w:rPr>
        <w:t>.</w:t>
      </w:r>
    </w:p>
    <w:p w:rsidR="001A005D" w:rsidRDefault="001A005D" w:rsidP="00BD7D15">
      <w:pPr>
        <w:spacing w:line="360" w:lineRule="auto"/>
        <w:jc w:val="both"/>
        <w:rPr>
          <w:rFonts w:ascii="Arial" w:hAnsi="Arial" w:cs="Arial"/>
          <w:sz w:val="24"/>
          <w:szCs w:val="24"/>
        </w:rPr>
      </w:pPr>
      <w:r>
        <w:rPr>
          <w:rFonts w:ascii="Arial" w:hAnsi="Arial" w:cs="Arial"/>
          <w:sz w:val="24"/>
          <w:szCs w:val="24"/>
        </w:rPr>
        <w:t>b) Count 2, fraud, in that;</w:t>
      </w:r>
    </w:p>
    <w:p w:rsidR="001A005D" w:rsidRDefault="001A005D" w:rsidP="00BD7D15">
      <w:pPr>
        <w:spacing w:line="360" w:lineRule="auto"/>
        <w:jc w:val="both"/>
        <w:rPr>
          <w:rFonts w:ascii="Arial" w:hAnsi="Arial" w:cs="Arial"/>
        </w:rPr>
      </w:pPr>
      <w:r>
        <w:rPr>
          <w:rFonts w:ascii="Arial" w:hAnsi="Arial" w:cs="Arial"/>
          <w:sz w:val="24"/>
          <w:szCs w:val="24"/>
        </w:rPr>
        <w:t>‘</w:t>
      </w:r>
      <w:r w:rsidRPr="008B062C">
        <w:rPr>
          <w:rFonts w:ascii="Arial" w:hAnsi="Arial" w:cs="Arial"/>
        </w:rPr>
        <w:t>upon or about the 7</w:t>
      </w:r>
      <w:r w:rsidRPr="008B062C">
        <w:rPr>
          <w:rFonts w:ascii="Arial" w:hAnsi="Arial" w:cs="Arial"/>
          <w:vertAlign w:val="superscript"/>
        </w:rPr>
        <w:t>th</w:t>
      </w:r>
      <w:r w:rsidRPr="008B062C">
        <w:rPr>
          <w:rFonts w:ascii="Arial" w:hAnsi="Arial" w:cs="Arial"/>
        </w:rPr>
        <w:t xml:space="preserve"> March 2015 at or near Gobabis Police Station in the district of Gobabis the said accused did unlawfully, falsely and with the intent to defraud, misrepresent to the Namibian Police, that a certain bail receipt number 790455 paid and issued in the name of Piet Thomas which he then and there produced and exhibited to the Namibian Police at Gobabis Police charge office was a copy of this bail receipt he received after he </w:t>
      </w:r>
      <w:r w:rsidR="008B062C" w:rsidRPr="008B062C">
        <w:rPr>
          <w:rFonts w:ascii="Arial" w:hAnsi="Arial" w:cs="Arial"/>
        </w:rPr>
        <w:t>posted bail in his case and did by means of the said misrepresentation induce the Namibian Police to its prejudice to unlawfully release him from custody. Whereas in truth and in fact at the time the accused made the afore misrepresentation well knew that the said bail receipt was not his and he was not entitled to use it to be released on bail under that receipt, he was not the inmate granted bail under the said receipt and thus the accused committed the crime of fraud.’</w:t>
      </w:r>
    </w:p>
    <w:p w:rsidR="00FD50DC" w:rsidRDefault="00FD50DC" w:rsidP="00BD7D15">
      <w:pPr>
        <w:spacing w:line="360" w:lineRule="auto"/>
        <w:jc w:val="both"/>
        <w:rPr>
          <w:rFonts w:ascii="Arial" w:hAnsi="Arial" w:cs="Arial"/>
        </w:rPr>
      </w:pPr>
    </w:p>
    <w:p w:rsidR="008B062C" w:rsidRDefault="008B062C" w:rsidP="00BD7D15">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8B062C">
        <w:rPr>
          <w:rFonts w:ascii="Arial" w:hAnsi="Arial" w:cs="Arial"/>
          <w:sz w:val="24"/>
          <w:szCs w:val="24"/>
        </w:rPr>
        <w:t>The accused pleaded guilty to both counts, but after an inquiry in terms of section 112(1</w:t>
      </w:r>
      <w:proofErr w:type="gramStart"/>
      <w:r w:rsidRPr="008B062C">
        <w:rPr>
          <w:rFonts w:ascii="Arial" w:hAnsi="Arial" w:cs="Arial"/>
          <w:sz w:val="24"/>
          <w:szCs w:val="24"/>
        </w:rPr>
        <w:t>)(</w:t>
      </w:r>
      <w:proofErr w:type="gramEnd"/>
      <w:r w:rsidRPr="008B062C">
        <w:rPr>
          <w:rFonts w:ascii="Arial" w:hAnsi="Arial" w:cs="Arial"/>
          <w:sz w:val="24"/>
          <w:szCs w:val="24"/>
        </w:rPr>
        <w:t xml:space="preserve">b) of the </w:t>
      </w:r>
      <w:r w:rsidRPr="008B062C">
        <w:rPr>
          <w:rFonts w:ascii="Arial" w:hAnsi="Arial" w:cs="Arial"/>
          <w:i/>
          <w:sz w:val="24"/>
          <w:szCs w:val="24"/>
        </w:rPr>
        <w:t>Criminal Procedure Act</w:t>
      </w:r>
      <w:r w:rsidRPr="008B062C">
        <w:rPr>
          <w:rFonts w:ascii="Arial" w:hAnsi="Arial" w:cs="Arial"/>
          <w:sz w:val="24"/>
          <w:szCs w:val="24"/>
        </w:rPr>
        <w:t>,</w:t>
      </w:r>
      <w:r w:rsidRPr="008B062C">
        <w:rPr>
          <w:rStyle w:val="FootnoteReference"/>
          <w:rFonts w:ascii="Arial" w:hAnsi="Arial" w:cs="Arial"/>
          <w:sz w:val="24"/>
          <w:szCs w:val="24"/>
        </w:rPr>
        <w:footnoteReference w:id="1"/>
      </w:r>
      <w:r w:rsidRPr="008B062C">
        <w:rPr>
          <w:rFonts w:ascii="Arial" w:hAnsi="Arial" w:cs="Arial"/>
          <w:sz w:val="24"/>
          <w:szCs w:val="24"/>
        </w:rPr>
        <w:t xml:space="preserve"> the court altered the plea of guilty in respect of count 2 to that of not guilty. The State called its witness, who was the complainant in the matter in the court a quo. At the close of the State’s case, the accused was called upon to adduce his evidence upon which he opted to remain silent and closed his case. This was despite the fact that the court cautioned him that the unchallenged evidence of the sworn State witness could justify a conviction on the charges. The accused was thus convicted on both counts on 01 February 2016.</w:t>
      </w:r>
    </w:p>
    <w:p w:rsidR="00FD50DC" w:rsidRPr="008B062C" w:rsidRDefault="00FD50DC" w:rsidP="00BD7D15">
      <w:pPr>
        <w:spacing w:line="360" w:lineRule="auto"/>
        <w:jc w:val="both"/>
        <w:rPr>
          <w:rFonts w:ascii="Arial" w:hAnsi="Arial" w:cs="Arial"/>
          <w:sz w:val="24"/>
          <w:szCs w:val="24"/>
        </w:rPr>
      </w:pPr>
    </w:p>
    <w:p w:rsidR="008B062C" w:rsidRDefault="008B062C" w:rsidP="00BD7D15">
      <w:pPr>
        <w:spacing w:line="360" w:lineRule="auto"/>
        <w:jc w:val="both"/>
        <w:rPr>
          <w:rFonts w:ascii="Arial" w:hAnsi="Arial" w:cs="Arial"/>
          <w:sz w:val="24"/>
          <w:szCs w:val="24"/>
        </w:rPr>
      </w:pPr>
      <w:r w:rsidRPr="008B062C">
        <w:rPr>
          <w:rFonts w:ascii="Arial" w:hAnsi="Arial" w:cs="Arial"/>
          <w:sz w:val="24"/>
          <w:szCs w:val="24"/>
        </w:rPr>
        <w:t>[4]</w:t>
      </w:r>
      <w:r w:rsidRPr="008B062C">
        <w:rPr>
          <w:rFonts w:ascii="Arial" w:hAnsi="Arial" w:cs="Arial"/>
          <w:sz w:val="24"/>
          <w:szCs w:val="24"/>
        </w:rPr>
        <w:tab/>
        <w:t>In sentencing the accused, the learned Magistrate (hereafter, presiding officer) considered both mitigating and aggravating factors. The Court applied the trite</w:t>
      </w:r>
      <w:r>
        <w:rPr>
          <w:rFonts w:ascii="Arial" w:hAnsi="Arial" w:cs="Arial"/>
          <w:sz w:val="24"/>
          <w:szCs w:val="24"/>
        </w:rPr>
        <w:t xml:space="preserve"> principles of sentencing namely, the gravity of the offence, the personal circumstances of the ac</w:t>
      </w:r>
      <w:r w:rsidR="00B26795">
        <w:rPr>
          <w:rFonts w:ascii="Arial" w:hAnsi="Arial" w:cs="Arial"/>
          <w:sz w:val="24"/>
          <w:szCs w:val="24"/>
        </w:rPr>
        <w:t>cused and public interest. The C</w:t>
      </w:r>
      <w:r>
        <w:rPr>
          <w:rFonts w:ascii="Arial" w:hAnsi="Arial" w:cs="Arial"/>
          <w:sz w:val="24"/>
          <w:szCs w:val="24"/>
        </w:rPr>
        <w:t>ourt</w:t>
      </w:r>
      <w:r w:rsidR="00B26795">
        <w:rPr>
          <w:rFonts w:ascii="Arial" w:hAnsi="Arial" w:cs="Arial"/>
          <w:sz w:val="24"/>
          <w:szCs w:val="24"/>
        </w:rPr>
        <w:t xml:space="preserve"> also for its decision on the sentence, considered the aims of punishment. The presiding officer concluded that the punishment the Court will impose will be aimed at punishing and deterring the accused as well as protecting the interest of society. He was sentenced to, 6 Months imprisonment in respect of count 1 and 8 months imprisonment in respect of count 2. </w:t>
      </w:r>
    </w:p>
    <w:p w:rsidR="00FD50DC" w:rsidRDefault="00FD50DC" w:rsidP="00BD7D15">
      <w:pPr>
        <w:spacing w:line="360" w:lineRule="auto"/>
        <w:jc w:val="both"/>
        <w:rPr>
          <w:rFonts w:ascii="Arial" w:hAnsi="Arial" w:cs="Arial"/>
          <w:sz w:val="24"/>
          <w:szCs w:val="24"/>
        </w:rPr>
      </w:pPr>
    </w:p>
    <w:p w:rsidR="00B26795" w:rsidRDefault="00B26795" w:rsidP="00BD7D15">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The presiding officer submitted in his covering letter to this Honourable Court that, he was wrong to convict the accused on count 2. He submitted that, count2 amounts to a ‘spreading of charges’. According to him, ‘although the accused’s act(s) constitute separate or different acts, there was only a single intent and that intention was to escape from lawful custody.’ He thus called upon this Court as the review Court, to set aside the conviction on count 2. In support of this submission he referred to </w:t>
      </w:r>
      <w:r w:rsidRPr="00B26795">
        <w:rPr>
          <w:rFonts w:ascii="Arial" w:hAnsi="Arial" w:cs="Arial"/>
          <w:i/>
          <w:sz w:val="24"/>
          <w:szCs w:val="24"/>
        </w:rPr>
        <w:t xml:space="preserve">S v </w:t>
      </w:r>
      <w:proofErr w:type="spellStart"/>
      <w:r w:rsidRPr="00B26795">
        <w:rPr>
          <w:rFonts w:ascii="Arial" w:hAnsi="Arial" w:cs="Arial"/>
          <w:i/>
          <w:sz w:val="24"/>
          <w:szCs w:val="24"/>
        </w:rPr>
        <w:t>Radebe</w:t>
      </w:r>
      <w:proofErr w:type="spellEnd"/>
      <w:r>
        <w:rPr>
          <w:rStyle w:val="FootnoteReference"/>
          <w:rFonts w:ascii="Arial" w:hAnsi="Arial" w:cs="Arial"/>
          <w:sz w:val="24"/>
          <w:szCs w:val="24"/>
        </w:rPr>
        <w:footnoteReference w:id="2"/>
      </w:r>
      <w:r>
        <w:rPr>
          <w:rFonts w:ascii="Arial" w:hAnsi="Arial" w:cs="Arial"/>
          <w:sz w:val="24"/>
          <w:szCs w:val="24"/>
        </w:rPr>
        <w:t xml:space="preserve"> and </w:t>
      </w:r>
      <w:r w:rsidRPr="00B26795">
        <w:rPr>
          <w:rFonts w:ascii="Arial" w:hAnsi="Arial" w:cs="Arial"/>
          <w:i/>
          <w:sz w:val="24"/>
          <w:szCs w:val="24"/>
        </w:rPr>
        <w:t xml:space="preserve">S v </w:t>
      </w:r>
      <w:proofErr w:type="spellStart"/>
      <w:r w:rsidRPr="00B26795">
        <w:rPr>
          <w:rFonts w:ascii="Arial" w:hAnsi="Arial" w:cs="Arial"/>
          <w:i/>
          <w:sz w:val="24"/>
          <w:szCs w:val="24"/>
        </w:rPr>
        <w:t>Davids</w:t>
      </w:r>
      <w:proofErr w:type="spellEnd"/>
      <w:r>
        <w:rPr>
          <w:rStyle w:val="FootnoteReference"/>
          <w:rFonts w:ascii="Arial" w:hAnsi="Arial" w:cs="Arial"/>
          <w:sz w:val="24"/>
          <w:szCs w:val="24"/>
        </w:rPr>
        <w:footnoteReference w:id="3"/>
      </w:r>
      <w:r w:rsidR="00FD50DC">
        <w:rPr>
          <w:rFonts w:ascii="Arial" w:hAnsi="Arial" w:cs="Arial"/>
          <w:i/>
          <w:sz w:val="24"/>
          <w:szCs w:val="24"/>
        </w:rPr>
        <w:t>.</w:t>
      </w:r>
    </w:p>
    <w:p w:rsidR="002D72A0" w:rsidRDefault="002D72A0" w:rsidP="00BD7D15">
      <w:pPr>
        <w:spacing w:line="360" w:lineRule="auto"/>
        <w:jc w:val="both"/>
        <w:rPr>
          <w:rFonts w:ascii="Arial" w:hAnsi="Arial" w:cs="Arial"/>
          <w:sz w:val="24"/>
          <w:szCs w:val="24"/>
        </w:rPr>
      </w:pPr>
    </w:p>
    <w:p w:rsidR="00B26795" w:rsidRDefault="00B26795" w:rsidP="00BD7D15">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The Court is indebted to the presiding officer for the detailed record of the relevant proceedings. </w:t>
      </w:r>
    </w:p>
    <w:p w:rsidR="002D72A0" w:rsidRDefault="002D72A0" w:rsidP="00BD7D15">
      <w:pPr>
        <w:spacing w:line="360" w:lineRule="auto"/>
        <w:jc w:val="both"/>
        <w:rPr>
          <w:rFonts w:ascii="Arial" w:hAnsi="Arial" w:cs="Arial"/>
          <w:sz w:val="24"/>
          <w:szCs w:val="24"/>
        </w:rPr>
      </w:pPr>
    </w:p>
    <w:p w:rsidR="00B26795" w:rsidRDefault="00B26795" w:rsidP="00BD7D15">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The task of this court is to determine, whether the proceedings in respect of this matter in the court </w:t>
      </w:r>
      <w:r w:rsidR="00EC489F">
        <w:rPr>
          <w:rFonts w:ascii="Arial" w:hAnsi="Arial" w:cs="Arial"/>
          <w:sz w:val="24"/>
          <w:szCs w:val="24"/>
        </w:rPr>
        <w:t>a quo were in accordance with justice. In determining this issue, the Court will necessarily have to determine whether there has been a duplication of convictions.</w:t>
      </w:r>
    </w:p>
    <w:p w:rsidR="00EC489F" w:rsidRDefault="00EC489F" w:rsidP="00BD7D15">
      <w:pPr>
        <w:spacing w:line="360" w:lineRule="auto"/>
        <w:jc w:val="both"/>
        <w:rPr>
          <w:rFonts w:ascii="Arial" w:hAnsi="Arial" w:cs="Arial"/>
          <w:sz w:val="24"/>
          <w:szCs w:val="24"/>
        </w:rPr>
      </w:pPr>
    </w:p>
    <w:p w:rsidR="00EC489F" w:rsidRPr="00EC489F" w:rsidRDefault="00E02733" w:rsidP="00BD7D15">
      <w:pPr>
        <w:spacing w:line="360" w:lineRule="auto"/>
        <w:jc w:val="both"/>
        <w:rPr>
          <w:rFonts w:ascii="Arial" w:hAnsi="Arial" w:cs="Arial"/>
          <w:sz w:val="24"/>
          <w:szCs w:val="24"/>
          <w:u w:val="single"/>
        </w:rPr>
      </w:pPr>
      <w:r>
        <w:rPr>
          <w:rFonts w:ascii="Arial" w:hAnsi="Arial" w:cs="Arial"/>
          <w:sz w:val="24"/>
          <w:szCs w:val="24"/>
          <w:u w:val="single"/>
        </w:rPr>
        <w:t>APPLICABLE</w:t>
      </w:r>
      <w:r w:rsidR="00EC489F" w:rsidRPr="00EC489F">
        <w:rPr>
          <w:rFonts w:ascii="Arial" w:hAnsi="Arial" w:cs="Arial"/>
          <w:sz w:val="24"/>
          <w:szCs w:val="24"/>
          <w:u w:val="single"/>
        </w:rPr>
        <w:t xml:space="preserve"> LAW</w:t>
      </w:r>
    </w:p>
    <w:p w:rsidR="00B26795" w:rsidRDefault="00EC489F" w:rsidP="00BD7D15">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In </w:t>
      </w:r>
      <w:r w:rsidRPr="00EC489F">
        <w:rPr>
          <w:rFonts w:ascii="Arial" w:hAnsi="Arial" w:cs="Arial"/>
          <w:i/>
          <w:sz w:val="24"/>
          <w:szCs w:val="24"/>
        </w:rPr>
        <w:t xml:space="preserve">S v </w:t>
      </w:r>
      <w:proofErr w:type="spellStart"/>
      <w:r w:rsidRPr="00EC489F">
        <w:rPr>
          <w:rFonts w:ascii="Arial" w:hAnsi="Arial" w:cs="Arial"/>
          <w:i/>
          <w:sz w:val="24"/>
          <w:szCs w:val="24"/>
        </w:rPr>
        <w:t>Radebe</w:t>
      </w:r>
      <w:proofErr w:type="spellEnd"/>
      <w:r>
        <w:rPr>
          <w:rFonts w:ascii="Arial" w:hAnsi="Arial" w:cs="Arial"/>
          <w:i/>
          <w:sz w:val="24"/>
          <w:szCs w:val="24"/>
        </w:rPr>
        <w:t>,</w:t>
      </w:r>
      <w:r>
        <w:rPr>
          <w:rStyle w:val="FootnoteReference"/>
          <w:rFonts w:ascii="Arial" w:hAnsi="Arial" w:cs="Arial"/>
          <w:sz w:val="24"/>
          <w:szCs w:val="24"/>
        </w:rPr>
        <w:footnoteReference w:id="4"/>
      </w:r>
      <w:r>
        <w:rPr>
          <w:rFonts w:ascii="Arial" w:hAnsi="Arial" w:cs="Arial"/>
          <w:i/>
          <w:sz w:val="24"/>
          <w:szCs w:val="24"/>
        </w:rPr>
        <w:t xml:space="preserve"> </w:t>
      </w:r>
      <w:r w:rsidRPr="00EC489F">
        <w:rPr>
          <w:rFonts w:ascii="Arial" w:hAnsi="Arial" w:cs="Arial"/>
          <w:sz w:val="24"/>
          <w:szCs w:val="24"/>
        </w:rPr>
        <w:t>it was held that</w:t>
      </w:r>
      <w:r>
        <w:rPr>
          <w:rFonts w:ascii="Arial" w:hAnsi="Arial" w:cs="Arial"/>
          <w:sz w:val="24"/>
          <w:szCs w:val="24"/>
        </w:rPr>
        <w:t>;</w:t>
      </w:r>
    </w:p>
    <w:p w:rsidR="00EC489F" w:rsidRDefault="00EC489F" w:rsidP="00BD7D15">
      <w:pPr>
        <w:spacing w:line="360" w:lineRule="auto"/>
        <w:jc w:val="both"/>
        <w:rPr>
          <w:rFonts w:ascii="Arial" w:hAnsi="Arial" w:cs="Arial"/>
          <w:sz w:val="24"/>
          <w:szCs w:val="24"/>
        </w:rPr>
      </w:pPr>
      <w:r>
        <w:rPr>
          <w:rFonts w:ascii="Arial" w:hAnsi="Arial" w:cs="Arial"/>
          <w:sz w:val="24"/>
          <w:szCs w:val="24"/>
        </w:rPr>
        <w:t>‘</w:t>
      </w:r>
      <w:r w:rsidRPr="00EC489F">
        <w:rPr>
          <w:rFonts w:ascii="Arial" w:hAnsi="Arial" w:cs="Arial"/>
        </w:rPr>
        <w:t>the question to be asked is not whether the accused has been charged with the same offence twice, but whether the accused has been convicted and sentenced twice for the same offence</w:t>
      </w:r>
      <w:r>
        <w:rPr>
          <w:rFonts w:ascii="Arial" w:hAnsi="Arial" w:cs="Arial"/>
          <w:sz w:val="24"/>
          <w:szCs w:val="24"/>
        </w:rPr>
        <w:t>.’</w:t>
      </w:r>
    </w:p>
    <w:p w:rsidR="002D72A0" w:rsidRDefault="002D72A0" w:rsidP="00BD7D15">
      <w:pPr>
        <w:spacing w:line="360" w:lineRule="auto"/>
        <w:jc w:val="both"/>
        <w:rPr>
          <w:rFonts w:ascii="Arial" w:hAnsi="Arial" w:cs="Arial"/>
          <w:sz w:val="24"/>
          <w:szCs w:val="24"/>
        </w:rPr>
      </w:pPr>
    </w:p>
    <w:p w:rsidR="00EC489F" w:rsidRDefault="00EC489F" w:rsidP="00BD7D15">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In </w:t>
      </w:r>
      <w:r w:rsidRPr="00EC489F">
        <w:rPr>
          <w:rFonts w:ascii="Arial" w:hAnsi="Arial" w:cs="Arial"/>
          <w:i/>
          <w:sz w:val="24"/>
          <w:szCs w:val="24"/>
        </w:rPr>
        <w:t xml:space="preserve">S v </w:t>
      </w:r>
      <w:proofErr w:type="spellStart"/>
      <w:r w:rsidRPr="00EC489F">
        <w:rPr>
          <w:rFonts w:ascii="Arial" w:hAnsi="Arial" w:cs="Arial"/>
          <w:i/>
          <w:sz w:val="24"/>
          <w:szCs w:val="24"/>
        </w:rPr>
        <w:t>Gaseb</w:t>
      </w:r>
      <w:proofErr w:type="spellEnd"/>
      <w:r w:rsidRPr="00EC489F">
        <w:rPr>
          <w:rFonts w:ascii="Arial" w:hAnsi="Arial" w:cs="Arial"/>
          <w:i/>
          <w:sz w:val="24"/>
          <w:szCs w:val="24"/>
        </w:rPr>
        <w:t xml:space="preserve"> &amp; Others</w:t>
      </w:r>
      <w:r>
        <w:rPr>
          <w:rFonts w:ascii="Arial" w:hAnsi="Arial" w:cs="Arial"/>
          <w:sz w:val="24"/>
          <w:szCs w:val="24"/>
        </w:rPr>
        <w:t>,</w:t>
      </w:r>
      <w:r>
        <w:rPr>
          <w:rStyle w:val="FootnoteReference"/>
          <w:rFonts w:ascii="Arial" w:hAnsi="Arial" w:cs="Arial"/>
          <w:sz w:val="24"/>
          <w:szCs w:val="24"/>
        </w:rPr>
        <w:footnoteReference w:id="5"/>
      </w:r>
      <w:r>
        <w:rPr>
          <w:rFonts w:ascii="Arial" w:hAnsi="Arial" w:cs="Arial"/>
          <w:sz w:val="24"/>
          <w:szCs w:val="24"/>
        </w:rPr>
        <w:t xml:space="preserve"> </w:t>
      </w:r>
      <w:proofErr w:type="spellStart"/>
      <w:r>
        <w:rPr>
          <w:rFonts w:ascii="Arial" w:hAnsi="Arial" w:cs="Arial"/>
          <w:sz w:val="24"/>
          <w:szCs w:val="24"/>
        </w:rPr>
        <w:t>O’Linn</w:t>
      </w:r>
      <w:proofErr w:type="spellEnd"/>
      <w:r>
        <w:rPr>
          <w:rFonts w:ascii="Arial" w:hAnsi="Arial" w:cs="Arial"/>
          <w:sz w:val="24"/>
          <w:szCs w:val="24"/>
        </w:rPr>
        <w:t>, AJA as he then was held that;</w:t>
      </w:r>
    </w:p>
    <w:p w:rsidR="00EC489F" w:rsidRDefault="00EC489F" w:rsidP="00BD7D15">
      <w:pPr>
        <w:spacing w:line="360" w:lineRule="auto"/>
        <w:jc w:val="both"/>
        <w:rPr>
          <w:rFonts w:ascii="Arial" w:hAnsi="Arial" w:cs="Arial"/>
          <w:sz w:val="24"/>
          <w:szCs w:val="24"/>
        </w:rPr>
      </w:pPr>
      <w:r w:rsidRPr="00EC489F">
        <w:rPr>
          <w:rFonts w:ascii="Arial" w:hAnsi="Arial" w:cs="Arial"/>
        </w:rPr>
        <w:t>‘…there were usually two tests applied in deciding whether there had been a duplication of convictions, namely the single intention test or the same evidence test: in deciding which test to apply the court must apply common sense and fair play.</w:t>
      </w:r>
      <w:r>
        <w:rPr>
          <w:rFonts w:ascii="Arial" w:hAnsi="Arial" w:cs="Arial"/>
          <w:sz w:val="24"/>
          <w:szCs w:val="24"/>
        </w:rPr>
        <w:t>’</w:t>
      </w:r>
    </w:p>
    <w:p w:rsidR="002D72A0" w:rsidRDefault="002D72A0" w:rsidP="00BD7D15">
      <w:pPr>
        <w:spacing w:line="360" w:lineRule="auto"/>
        <w:jc w:val="both"/>
        <w:rPr>
          <w:rFonts w:ascii="Arial" w:hAnsi="Arial" w:cs="Arial"/>
          <w:sz w:val="24"/>
          <w:szCs w:val="24"/>
        </w:rPr>
      </w:pPr>
    </w:p>
    <w:p w:rsidR="00EC489F" w:rsidRDefault="00EC489F" w:rsidP="00BD7D15">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The court further held in </w:t>
      </w:r>
      <w:r w:rsidRPr="00EC489F">
        <w:rPr>
          <w:rFonts w:ascii="Arial" w:hAnsi="Arial" w:cs="Arial"/>
          <w:i/>
          <w:sz w:val="24"/>
          <w:szCs w:val="24"/>
        </w:rPr>
        <w:t xml:space="preserve">S v </w:t>
      </w:r>
      <w:proofErr w:type="spellStart"/>
      <w:r w:rsidRPr="00EC489F">
        <w:rPr>
          <w:rFonts w:ascii="Arial" w:hAnsi="Arial" w:cs="Arial"/>
          <w:i/>
          <w:sz w:val="24"/>
          <w:szCs w:val="24"/>
        </w:rPr>
        <w:t>Gaseb</w:t>
      </w:r>
      <w:proofErr w:type="spellEnd"/>
      <w:r w:rsidRPr="00EC489F">
        <w:rPr>
          <w:rFonts w:ascii="Arial" w:hAnsi="Arial" w:cs="Arial"/>
          <w:i/>
          <w:sz w:val="24"/>
          <w:szCs w:val="24"/>
        </w:rPr>
        <w:t xml:space="preserve"> &amp; Others</w:t>
      </w:r>
      <w:r>
        <w:rPr>
          <w:rStyle w:val="FootnoteReference"/>
          <w:rFonts w:ascii="Arial" w:hAnsi="Arial" w:cs="Arial"/>
          <w:sz w:val="24"/>
          <w:szCs w:val="24"/>
        </w:rPr>
        <w:footnoteReference w:id="6"/>
      </w:r>
      <w:r>
        <w:rPr>
          <w:rFonts w:ascii="Arial" w:hAnsi="Arial" w:cs="Arial"/>
          <w:i/>
          <w:sz w:val="24"/>
          <w:szCs w:val="24"/>
        </w:rPr>
        <w:t xml:space="preserve"> </w:t>
      </w:r>
      <w:r>
        <w:rPr>
          <w:rFonts w:ascii="Arial" w:hAnsi="Arial" w:cs="Arial"/>
          <w:sz w:val="24"/>
          <w:szCs w:val="24"/>
        </w:rPr>
        <w:t>that,</w:t>
      </w:r>
    </w:p>
    <w:p w:rsidR="00EC489F" w:rsidRDefault="00EC489F" w:rsidP="00BD7D15">
      <w:pPr>
        <w:spacing w:line="360" w:lineRule="auto"/>
        <w:jc w:val="both"/>
        <w:rPr>
          <w:rFonts w:ascii="Arial" w:hAnsi="Arial" w:cs="Arial"/>
          <w:sz w:val="24"/>
          <w:szCs w:val="24"/>
        </w:rPr>
      </w:pPr>
      <w:r>
        <w:rPr>
          <w:rFonts w:ascii="Arial" w:hAnsi="Arial" w:cs="Arial"/>
          <w:sz w:val="24"/>
          <w:szCs w:val="24"/>
        </w:rPr>
        <w:t>‘…the concept of fairness would be prostituted, if an accused was allowed to escape conviction and punishment for a series of voluntary, deliberate and separate criminal acts, on the pretext of “fairness to the accused”, the application of common sense did not lead to a different conclusion.’</w:t>
      </w:r>
    </w:p>
    <w:p w:rsidR="002D72A0" w:rsidRDefault="002D72A0" w:rsidP="00BD7D15">
      <w:pPr>
        <w:spacing w:line="360" w:lineRule="auto"/>
        <w:jc w:val="both"/>
        <w:rPr>
          <w:rFonts w:ascii="Arial" w:hAnsi="Arial" w:cs="Arial"/>
          <w:sz w:val="24"/>
          <w:szCs w:val="24"/>
        </w:rPr>
      </w:pPr>
    </w:p>
    <w:p w:rsidR="00962145" w:rsidRDefault="00962145" w:rsidP="00BD7D15">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In </w:t>
      </w:r>
      <w:r w:rsidRPr="00962145">
        <w:rPr>
          <w:rFonts w:ascii="Arial" w:hAnsi="Arial" w:cs="Arial"/>
          <w:i/>
          <w:sz w:val="24"/>
          <w:szCs w:val="24"/>
        </w:rPr>
        <w:t xml:space="preserve">S v </w:t>
      </w:r>
      <w:proofErr w:type="spellStart"/>
      <w:r w:rsidRPr="00962145">
        <w:rPr>
          <w:rFonts w:ascii="Arial" w:hAnsi="Arial" w:cs="Arial"/>
          <w:i/>
          <w:sz w:val="24"/>
          <w:szCs w:val="24"/>
        </w:rPr>
        <w:t>Radebe</w:t>
      </w:r>
      <w:proofErr w:type="spellEnd"/>
      <w:r>
        <w:rPr>
          <w:rFonts w:ascii="Arial" w:hAnsi="Arial" w:cs="Arial"/>
          <w:i/>
          <w:sz w:val="24"/>
          <w:szCs w:val="24"/>
        </w:rPr>
        <w:t>,</w:t>
      </w:r>
      <w:r>
        <w:rPr>
          <w:rStyle w:val="FootnoteReference"/>
          <w:rFonts w:ascii="Arial" w:hAnsi="Arial" w:cs="Arial"/>
          <w:sz w:val="24"/>
          <w:szCs w:val="24"/>
        </w:rPr>
        <w:footnoteReference w:id="7"/>
      </w:r>
      <w:r>
        <w:rPr>
          <w:rFonts w:ascii="Arial" w:hAnsi="Arial" w:cs="Arial"/>
          <w:sz w:val="24"/>
          <w:szCs w:val="24"/>
        </w:rPr>
        <w:t xml:space="preserve"> </w:t>
      </w:r>
      <w:proofErr w:type="spellStart"/>
      <w:r>
        <w:rPr>
          <w:rFonts w:ascii="Arial" w:hAnsi="Arial" w:cs="Arial"/>
          <w:sz w:val="24"/>
          <w:szCs w:val="24"/>
        </w:rPr>
        <w:t>Ebrahim</w:t>
      </w:r>
      <w:proofErr w:type="spellEnd"/>
      <w:r>
        <w:rPr>
          <w:rFonts w:ascii="Arial" w:hAnsi="Arial" w:cs="Arial"/>
          <w:sz w:val="24"/>
          <w:szCs w:val="24"/>
        </w:rPr>
        <w:t xml:space="preserve">, J referred with approval to </w:t>
      </w:r>
      <w:r w:rsidRPr="00962145">
        <w:rPr>
          <w:rFonts w:ascii="Arial" w:hAnsi="Arial" w:cs="Arial"/>
          <w:i/>
          <w:sz w:val="24"/>
          <w:szCs w:val="24"/>
        </w:rPr>
        <w:t xml:space="preserve">R v </w:t>
      </w:r>
      <w:proofErr w:type="spellStart"/>
      <w:r w:rsidRPr="00962145">
        <w:rPr>
          <w:rFonts w:ascii="Arial" w:hAnsi="Arial" w:cs="Arial"/>
          <w:i/>
          <w:sz w:val="24"/>
          <w:szCs w:val="24"/>
        </w:rPr>
        <w:t>Sabuyi</w:t>
      </w:r>
      <w:proofErr w:type="spellEnd"/>
      <w:r>
        <w:rPr>
          <w:rFonts w:ascii="Arial" w:hAnsi="Arial" w:cs="Arial"/>
          <w:sz w:val="24"/>
          <w:szCs w:val="24"/>
        </w:rPr>
        <w:t>,</w:t>
      </w:r>
      <w:r>
        <w:rPr>
          <w:rStyle w:val="FootnoteReference"/>
          <w:rFonts w:ascii="Arial" w:hAnsi="Arial" w:cs="Arial"/>
          <w:sz w:val="24"/>
          <w:szCs w:val="24"/>
        </w:rPr>
        <w:footnoteReference w:id="8"/>
      </w:r>
      <w:r>
        <w:rPr>
          <w:rFonts w:ascii="Arial" w:hAnsi="Arial" w:cs="Arial"/>
          <w:sz w:val="24"/>
          <w:szCs w:val="24"/>
        </w:rPr>
        <w:t xml:space="preserve"> where the accused had been convicted and sentenced on the charges of housebreaking with intent to commit an offence in contravention of Ordinance 26 of 1906 and theft. The theft had taken place immediately after the breaking into the premises. In the </w:t>
      </w:r>
      <w:proofErr w:type="spellStart"/>
      <w:r w:rsidRPr="00B37C49">
        <w:rPr>
          <w:rFonts w:ascii="Arial" w:hAnsi="Arial" w:cs="Arial"/>
          <w:i/>
          <w:sz w:val="24"/>
          <w:szCs w:val="24"/>
        </w:rPr>
        <w:t>Sabuyi</w:t>
      </w:r>
      <w:proofErr w:type="spellEnd"/>
      <w:r>
        <w:rPr>
          <w:rFonts w:ascii="Arial" w:hAnsi="Arial" w:cs="Arial"/>
          <w:sz w:val="24"/>
          <w:szCs w:val="24"/>
        </w:rPr>
        <w:t xml:space="preserve"> case, Innes CJ stated that the test for determining whether a duplication of convictions has occurred as follows:</w:t>
      </w:r>
    </w:p>
    <w:p w:rsidR="00962145" w:rsidRDefault="00962145" w:rsidP="00BD7D15">
      <w:pPr>
        <w:spacing w:line="360" w:lineRule="auto"/>
        <w:jc w:val="both"/>
        <w:rPr>
          <w:rFonts w:ascii="Arial" w:hAnsi="Arial" w:cs="Arial"/>
          <w:sz w:val="24"/>
          <w:szCs w:val="24"/>
        </w:rPr>
      </w:pPr>
      <w:r>
        <w:rPr>
          <w:rFonts w:ascii="Arial" w:hAnsi="Arial" w:cs="Arial"/>
          <w:sz w:val="24"/>
          <w:szCs w:val="24"/>
        </w:rPr>
        <w:t>“</w:t>
      </w:r>
      <w:r w:rsidRPr="00962145">
        <w:rPr>
          <w:rFonts w:ascii="Arial" w:hAnsi="Arial" w:cs="Arial"/>
        </w:rPr>
        <w:t>where a man commits two acts of which each, standing alone, would be criminal, but does so with a single intent and both acts are necessary to carry out that intent, then it seems to me that he ought only to be indicted for one offence, because two acts constitute one criminal transaction</w:t>
      </w:r>
      <w:r>
        <w:rPr>
          <w:rFonts w:ascii="Arial" w:hAnsi="Arial" w:cs="Arial"/>
          <w:sz w:val="24"/>
          <w:szCs w:val="24"/>
        </w:rPr>
        <w:t>.”</w:t>
      </w:r>
    </w:p>
    <w:p w:rsidR="002D72A0" w:rsidRDefault="002D72A0" w:rsidP="00BD7D15">
      <w:pPr>
        <w:spacing w:line="360" w:lineRule="auto"/>
        <w:jc w:val="both"/>
        <w:rPr>
          <w:rFonts w:ascii="Arial" w:hAnsi="Arial" w:cs="Arial"/>
          <w:sz w:val="24"/>
          <w:szCs w:val="24"/>
        </w:rPr>
      </w:pPr>
    </w:p>
    <w:p w:rsidR="00676C47" w:rsidRDefault="00962145" w:rsidP="00BD7D15">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 xml:space="preserve">In </w:t>
      </w:r>
      <w:r w:rsidRPr="00676C47">
        <w:rPr>
          <w:rFonts w:ascii="Arial" w:hAnsi="Arial" w:cs="Arial"/>
          <w:i/>
          <w:sz w:val="24"/>
          <w:szCs w:val="24"/>
        </w:rPr>
        <w:t>S v Steve Simon</w:t>
      </w:r>
      <w:r>
        <w:rPr>
          <w:rFonts w:ascii="Arial" w:hAnsi="Arial" w:cs="Arial"/>
          <w:sz w:val="24"/>
          <w:szCs w:val="24"/>
        </w:rPr>
        <w:t>,</w:t>
      </w:r>
      <w:r>
        <w:rPr>
          <w:rStyle w:val="FootnoteReference"/>
          <w:rFonts w:ascii="Arial" w:hAnsi="Arial" w:cs="Arial"/>
          <w:sz w:val="24"/>
          <w:szCs w:val="24"/>
        </w:rPr>
        <w:footnoteReference w:id="9"/>
      </w:r>
      <w:r w:rsidR="00676C47">
        <w:rPr>
          <w:rFonts w:ascii="Arial" w:hAnsi="Arial" w:cs="Arial"/>
          <w:sz w:val="24"/>
          <w:szCs w:val="24"/>
        </w:rPr>
        <w:t xml:space="preserve"> Liebenberg, J had the following to say:</w:t>
      </w:r>
    </w:p>
    <w:p w:rsidR="00676C47" w:rsidRPr="00676C47" w:rsidRDefault="00676C47" w:rsidP="00BD7D15">
      <w:pPr>
        <w:spacing w:line="360" w:lineRule="auto"/>
        <w:jc w:val="both"/>
        <w:rPr>
          <w:rFonts w:ascii="Arial" w:hAnsi="Arial" w:cs="Arial"/>
        </w:rPr>
      </w:pPr>
      <w:r>
        <w:rPr>
          <w:rFonts w:ascii="Arial" w:hAnsi="Arial" w:cs="Arial"/>
          <w:sz w:val="24"/>
          <w:szCs w:val="24"/>
        </w:rPr>
        <w:t>‘</w:t>
      </w:r>
      <w:r w:rsidRPr="00676C47">
        <w:rPr>
          <w:rFonts w:ascii="Arial" w:hAnsi="Arial" w:cs="Arial"/>
        </w:rPr>
        <w:t>It seems clear from the above that this is an instance where the accused committed two separate acts of which each, standing alone, was criminal and in contravention of the provisions of two separate statutes, but with the single intent to conduct mining activities. In order to do so he had to enter the restricted area and could only have conducted the mining activities once he was inside the restricted area. In these circumstances the accused should only have been convicted of the offence set out in count 3 for having contravened the provisions of s 3(1</w:t>
      </w:r>
      <w:proofErr w:type="gramStart"/>
      <w:r w:rsidRPr="00676C47">
        <w:rPr>
          <w:rFonts w:ascii="Arial" w:hAnsi="Arial" w:cs="Arial"/>
        </w:rPr>
        <w:t>)(</w:t>
      </w:r>
      <w:proofErr w:type="gramEnd"/>
      <w:r w:rsidRPr="00676C47">
        <w:rPr>
          <w:rFonts w:ascii="Arial" w:hAnsi="Arial" w:cs="Arial"/>
        </w:rPr>
        <w:t>a) of the Minerals Act.</w:t>
      </w:r>
    </w:p>
    <w:p w:rsidR="00676C47" w:rsidRDefault="00676C47" w:rsidP="00BD7D15">
      <w:pPr>
        <w:spacing w:line="360" w:lineRule="auto"/>
        <w:jc w:val="both"/>
        <w:rPr>
          <w:rFonts w:ascii="Arial" w:hAnsi="Arial" w:cs="Arial"/>
          <w:sz w:val="24"/>
          <w:szCs w:val="24"/>
        </w:rPr>
      </w:pPr>
      <w:r>
        <w:rPr>
          <w:rFonts w:ascii="Arial" w:hAnsi="Arial" w:cs="Arial"/>
        </w:rPr>
        <w:t>‘</w:t>
      </w:r>
      <w:r w:rsidRPr="00676C47">
        <w:rPr>
          <w:rFonts w:ascii="Arial" w:hAnsi="Arial" w:cs="Arial"/>
        </w:rPr>
        <w:t xml:space="preserve">For the above reasons the court a quo should not have convicted the accused as well of the offence of entering a restricted area in contravention of s 52 (1) of the Diamond Act as this amounted to a duplication of convictions. It follows that the conviction and sentence imposed on count 2 </w:t>
      </w:r>
      <w:proofErr w:type="gramStart"/>
      <w:r w:rsidRPr="00676C47">
        <w:rPr>
          <w:rFonts w:ascii="Arial" w:hAnsi="Arial" w:cs="Arial"/>
        </w:rPr>
        <w:t>fall</w:t>
      </w:r>
      <w:proofErr w:type="gramEnd"/>
      <w:r w:rsidRPr="00676C47">
        <w:rPr>
          <w:rFonts w:ascii="Arial" w:hAnsi="Arial" w:cs="Arial"/>
        </w:rPr>
        <w:t xml:space="preserve"> to be set aside</w:t>
      </w:r>
      <w:r>
        <w:rPr>
          <w:rFonts w:ascii="Arial" w:hAnsi="Arial" w:cs="Arial"/>
          <w:sz w:val="24"/>
          <w:szCs w:val="24"/>
        </w:rPr>
        <w:t>.’</w:t>
      </w:r>
    </w:p>
    <w:p w:rsidR="002D72A0" w:rsidRPr="00EC489F" w:rsidRDefault="002D72A0" w:rsidP="00BD7D15">
      <w:pPr>
        <w:spacing w:line="360" w:lineRule="auto"/>
        <w:jc w:val="both"/>
        <w:rPr>
          <w:rFonts w:ascii="Arial" w:hAnsi="Arial" w:cs="Arial"/>
          <w:sz w:val="24"/>
          <w:szCs w:val="24"/>
        </w:rPr>
      </w:pPr>
    </w:p>
    <w:p w:rsidR="00EC489F" w:rsidRDefault="00676C47" w:rsidP="00BD7D15">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proofErr w:type="gramStart"/>
      <w:r>
        <w:rPr>
          <w:rFonts w:ascii="Arial" w:hAnsi="Arial" w:cs="Arial"/>
          <w:sz w:val="24"/>
          <w:szCs w:val="24"/>
        </w:rPr>
        <w:t>In</w:t>
      </w:r>
      <w:proofErr w:type="gramEnd"/>
      <w:r>
        <w:rPr>
          <w:rFonts w:ascii="Arial" w:hAnsi="Arial" w:cs="Arial"/>
          <w:sz w:val="24"/>
          <w:szCs w:val="24"/>
        </w:rPr>
        <w:t xml:space="preserve"> addition </w:t>
      </w:r>
      <w:proofErr w:type="spellStart"/>
      <w:r>
        <w:rPr>
          <w:rFonts w:ascii="Arial" w:hAnsi="Arial" w:cs="Arial"/>
          <w:sz w:val="24"/>
          <w:szCs w:val="24"/>
        </w:rPr>
        <w:t>Ebrahim</w:t>
      </w:r>
      <w:proofErr w:type="spellEnd"/>
      <w:r>
        <w:rPr>
          <w:rFonts w:ascii="Arial" w:hAnsi="Arial" w:cs="Arial"/>
          <w:sz w:val="24"/>
          <w:szCs w:val="24"/>
        </w:rPr>
        <w:t xml:space="preserve">, J referred to </w:t>
      </w:r>
      <w:r w:rsidRPr="00B37C49">
        <w:rPr>
          <w:rFonts w:ascii="Arial" w:hAnsi="Arial" w:cs="Arial"/>
          <w:i/>
          <w:sz w:val="24"/>
          <w:szCs w:val="24"/>
        </w:rPr>
        <w:t>R v Gordon</w:t>
      </w:r>
      <w:r>
        <w:rPr>
          <w:rFonts w:ascii="Arial" w:hAnsi="Arial" w:cs="Arial"/>
          <w:sz w:val="24"/>
          <w:szCs w:val="24"/>
        </w:rPr>
        <w:t>,</w:t>
      </w:r>
      <w:r>
        <w:rPr>
          <w:rStyle w:val="FootnoteReference"/>
          <w:rFonts w:ascii="Arial" w:hAnsi="Arial" w:cs="Arial"/>
          <w:sz w:val="24"/>
          <w:szCs w:val="24"/>
        </w:rPr>
        <w:footnoteReference w:id="10"/>
      </w:r>
      <w:r>
        <w:rPr>
          <w:rFonts w:ascii="Arial" w:hAnsi="Arial" w:cs="Arial"/>
          <w:sz w:val="24"/>
          <w:szCs w:val="24"/>
        </w:rPr>
        <w:t xml:space="preserve"> where </w:t>
      </w:r>
      <w:proofErr w:type="spellStart"/>
      <w:r>
        <w:rPr>
          <w:rFonts w:ascii="Arial" w:hAnsi="Arial" w:cs="Arial"/>
          <w:sz w:val="24"/>
          <w:szCs w:val="24"/>
        </w:rPr>
        <w:t>Kotze</w:t>
      </w:r>
      <w:proofErr w:type="spellEnd"/>
      <w:r>
        <w:rPr>
          <w:rFonts w:ascii="Arial" w:hAnsi="Arial" w:cs="Arial"/>
          <w:sz w:val="24"/>
          <w:szCs w:val="24"/>
        </w:rPr>
        <w:t>, JP stated that;</w:t>
      </w:r>
    </w:p>
    <w:p w:rsidR="009C6444" w:rsidRDefault="00676C47" w:rsidP="00BD7D15">
      <w:pPr>
        <w:spacing w:line="360" w:lineRule="auto"/>
        <w:jc w:val="both"/>
        <w:rPr>
          <w:rFonts w:ascii="Arial" w:hAnsi="Arial" w:cs="Arial"/>
          <w:sz w:val="24"/>
          <w:szCs w:val="24"/>
        </w:rPr>
      </w:pPr>
      <w:r w:rsidRPr="00F554AA">
        <w:rPr>
          <w:rFonts w:ascii="Arial" w:hAnsi="Arial" w:cs="Arial"/>
        </w:rPr>
        <w:t>“…still we may adopt as a sound principle which will cover many cases that where evidence is necessary to support the one charge likewise supports the other, there the offences are the same. Ho</w:t>
      </w:r>
      <w:r w:rsidR="00F554AA" w:rsidRPr="00F554AA">
        <w:rPr>
          <w:rFonts w:ascii="Arial" w:hAnsi="Arial" w:cs="Arial"/>
        </w:rPr>
        <w:t>wever, on the other hand we may safely say that where two different indictments or counts each lay a charge differing in its elements from that laid in the other though they both relate to one transaction, there the offences are separate and dist</w:t>
      </w:r>
      <w:r w:rsidR="00F554AA">
        <w:rPr>
          <w:rFonts w:ascii="Arial" w:hAnsi="Arial" w:cs="Arial"/>
        </w:rPr>
        <w:t>r</w:t>
      </w:r>
      <w:r w:rsidR="00F554AA" w:rsidRPr="00F554AA">
        <w:rPr>
          <w:rFonts w:ascii="Arial" w:hAnsi="Arial" w:cs="Arial"/>
        </w:rPr>
        <w:t>ict.</w:t>
      </w:r>
      <w:r w:rsidR="00F554AA">
        <w:rPr>
          <w:rFonts w:ascii="Arial" w:hAnsi="Arial" w:cs="Arial"/>
          <w:sz w:val="24"/>
          <w:szCs w:val="24"/>
        </w:rPr>
        <w:t xml:space="preserve">” </w:t>
      </w:r>
    </w:p>
    <w:p w:rsidR="00F554AA" w:rsidRDefault="00F554AA" w:rsidP="00BD7D15">
      <w:pPr>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 xml:space="preserve">In </w:t>
      </w:r>
      <w:r w:rsidRPr="00B37C49">
        <w:rPr>
          <w:rFonts w:ascii="Arial" w:hAnsi="Arial" w:cs="Arial"/>
          <w:i/>
          <w:sz w:val="24"/>
          <w:szCs w:val="24"/>
        </w:rPr>
        <w:t>S v Grobler</w:t>
      </w:r>
      <w:r>
        <w:rPr>
          <w:rFonts w:ascii="Arial" w:hAnsi="Arial" w:cs="Arial"/>
          <w:sz w:val="24"/>
          <w:szCs w:val="24"/>
        </w:rPr>
        <w:t xml:space="preserve"> and Another,</w:t>
      </w:r>
      <w:r>
        <w:rPr>
          <w:rStyle w:val="FootnoteReference"/>
          <w:rFonts w:ascii="Arial" w:hAnsi="Arial" w:cs="Arial"/>
          <w:sz w:val="24"/>
          <w:szCs w:val="24"/>
        </w:rPr>
        <w:footnoteReference w:id="11"/>
      </w:r>
      <w:r>
        <w:rPr>
          <w:rFonts w:ascii="Arial" w:hAnsi="Arial" w:cs="Arial"/>
          <w:sz w:val="24"/>
          <w:szCs w:val="24"/>
        </w:rPr>
        <w:t xml:space="preserve"> the two appellants were convicted and sentenced on charges of murder and robbery. In deciding whether there had been a splitting of charges in respect of the first appellant, the court considered the elements of both offences for which the appellant was convicted. Wessel, JA concluded that there was no splitting of charges, because the elements of the crime of murder and robbery differed in material respects. As a result, the court concluded that the criminal conduct of the first appellant could not be brought within the ambit of the one charge and that there was thus no duplication of conviction.</w:t>
      </w:r>
    </w:p>
    <w:p w:rsidR="002D72A0" w:rsidRDefault="002D72A0" w:rsidP="00BD7D15">
      <w:pPr>
        <w:spacing w:line="360" w:lineRule="auto"/>
        <w:jc w:val="both"/>
        <w:rPr>
          <w:rFonts w:ascii="Arial" w:hAnsi="Arial" w:cs="Arial"/>
          <w:sz w:val="24"/>
          <w:szCs w:val="24"/>
        </w:rPr>
      </w:pPr>
    </w:p>
    <w:p w:rsidR="002D72A0" w:rsidRDefault="00F554AA" w:rsidP="00BD7D15">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 xml:space="preserve">In </w:t>
      </w:r>
      <w:r w:rsidRPr="00F554AA">
        <w:rPr>
          <w:rFonts w:ascii="Arial" w:hAnsi="Arial" w:cs="Arial"/>
          <w:i/>
          <w:sz w:val="24"/>
          <w:szCs w:val="24"/>
        </w:rPr>
        <w:t xml:space="preserve">S v </w:t>
      </w:r>
      <w:proofErr w:type="spellStart"/>
      <w:r w:rsidRPr="00F554AA">
        <w:rPr>
          <w:rFonts w:ascii="Arial" w:hAnsi="Arial" w:cs="Arial"/>
          <w:i/>
          <w:sz w:val="24"/>
          <w:szCs w:val="24"/>
        </w:rPr>
        <w:t>Gaseb</w:t>
      </w:r>
      <w:proofErr w:type="spellEnd"/>
      <w:r w:rsidRPr="00F554AA">
        <w:rPr>
          <w:rFonts w:ascii="Arial" w:hAnsi="Arial" w:cs="Arial"/>
          <w:i/>
          <w:sz w:val="24"/>
          <w:szCs w:val="24"/>
        </w:rPr>
        <w:t xml:space="preserve"> &amp; Others</w:t>
      </w:r>
      <w:r>
        <w:rPr>
          <w:rFonts w:ascii="Arial" w:hAnsi="Arial" w:cs="Arial"/>
          <w:sz w:val="24"/>
          <w:szCs w:val="24"/>
        </w:rPr>
        <w:t>,</w:t>
      </w:r>
      <w:r>
        <w:rPr>
          <w:rStyle w:val="FootnoteReference"/>
          <w:rFonts w:ascii="Arial" w:hAnsi="Arial" w:cs="Arial"/>
          <w:sz w:val="24"/>
          <w:szCs w:val="24"/>
        </w:rPr>
        <w:footnoteReference w:id="12"/>
      </w:r>
      <w:r>
        <w:rPr>
          <w:rFonts w:ascii="Arial" w:hAnsi="Arial" w:cs="Arial"/>
          <w:sz w:val="24"/>
          <w:szCs w:val="24"/>
        </w:rPr>
        <w:t xml:space="preserve"> it was held that where it seems, ‘</w:t>
      </w:r>
      <w:r w:rsidRPr="00F554AA">
        <w:rPr>
          <w:rFonts w:ascii="Arial" w:hAnsi="Arial" w:cs="Arial"/>
        </w:rPr>
        <w:t>logical and in accordance with fairness and common sense, that once the evidence proved the elements of the crime in regard to a perpetrator…then the crime…had been proved in regard to that perpetrator. Any repetition thereafter, fulfilling the same requirements, constituted further (commission of that crime)</w:t>
      </w:r>
      <w:r>
        <w:rPr>
          <w:rFonts w:ascii="Arial" w:hAnsi="Arial" w:cs="Arial"/>
          <w:sz w:val="24"/>
          <w:szCs w:val="24"/>
        </w:rPr>
        <w:t>.’</w:t>
      </w:r>
    </w:p>
    <w:p w:rsidR="002D72A0" w:rsidRDefault="002D72A0" w:rsidP="00BD7D15">
      <w:pPr>
        <w:spacing w:line="360" w:lineRule="auto"/>
        <w:jc w:val="both"/>
        <w:rPr>
          <w:rFonts w:ascii="Arial" w:hAnsi="Arial" w:cs="Arial"/>
          <w:sz w:val="24"/>
          <w:szCs w:val="24"/>
        </w:rPr>
      </w:pPr>
    </w:p>
    <w:p w:rsidR="00F554AA" w:rsidRDefault="00F554AA" w:rsidP="00BD7D15">
      <w:pPr>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 xml:space="preserve">In the </w:t>
      </w:r>
      <w:r w:rsidRPr="00B37C49">
        <w:rPr>
          <w:rFonts w:ascii="Arial" w:hAnsi="Arial" w:cs="Arial"/>
          <w:i/>
          <w:sz w:val="24"/>
          <w:szCs w:val="24"/>
        </w:rPr>
        <w:t xml:space="preserve">S v </w:t>
      </w:r>
      <w:proofErr w:type="spellStart"/>
      <w:r w:rsidRPr="00B37C49">
        <w:rPr>
          <w:rFonts w:ascii="Arial" w:hAnsi="Arial" w:cs="Arial"/>
          <w:i/>
          <w:sz w:val="24"/>
          <w:szCs w:val="24"/>
        </w:rPr>
        <w:t>Radebe</w:t>
      </w:r>
      <w:proofErr w:type="spellEnd"/>
      <w:r w:rsidR="002D72A0">
        <w:rPr>
          <w:rFonts w:ascii="Arial" w:hAnsi="Arial" w:cs="Arial"/>
          <w:sz w:val="24"/>
          <w:szCs w:val="24"/>
        </w:rPr>
        <w:t>,</w:t>
      </w:r>
      <w:r w:rsidR="002D72A0">
        <w:rPr>
          <w:rStyle w:val="FootnoteReference"/>
          <w:rFonts w:ascii="Arial" w:hAnsi="Arial" w:cs="Arial"/>
          <w:sz w:val="24"/>
          <w:szCs w:val="24"/>
        </w:rPr>
        <w:footnoteReference w:id="13"/>
      </w:r>
      <w:r w:rsidR="002D72A0">
        <w:rPr>
          <w:rFonts w:ascii="Arial" w:hAnsi="Arial" w:cs="Arial"/>
          <w:sz w:val="24"/>
          <w:szCs w:val="24"/>
        </w:rPr>
        <w:t xml:space="preserve"> which the presiding officer referred to, it was held that, where the intention to commit one offence differs from the intention to commit another offence, it cannot be said that there was a single intent. </w:t>
      </w:r>
    </w:p>
    <w:p w:rsidR="002D72A0" w:rsidRDefault="002D72A0" w:rsidP="00BD7D15">
      <w:pPr>
        <w:spacing w:line="360" w:lineRule="auto"/>
        <w:jc w:val="both"/>
        <w:rPr>
          <w:rFonts w:ascii="Arial" w:hAnsi="Arial" w:cs="Arial"/>
          <w:sz w:val="24"/>
          <w:szCs w:val="24"/>
        </w:rPr>
      </w:pPr>
    </w:p>
    <w:p w:rsidR="002D72A0" w:rsidRPr="002D72A0" w:rsidRDefault="002D72A0" w:rsidP="00BD7D15">
      <w:pPr>
        <w:spacing w:line="360" w:lineRule="auto"/>
        <w:jc w:val="both"/>
        <w:rPr>
          <w:rFonts w:ascii="Arial" w:hAnsi="Arial" w:cs="Arial"/>
          <w:sz w:val="24"/>
          <w:szCs w:val="24"/>
          <w:u w:val="single"/>
        </w:rPr>
      </w:pPr>
      <w:r w:rsidRPr="002D72A0">
        <w:rPr>
          <w:rFonts w:ascii="Arial" w:hAnsi="Arial" w:cs="Arial"/>
          <w:sz w:val="24"/>
          <w:szCs w:val="24"/>
          <w:u w:val="single"/>
        </w:rPr>
        <w:t>APPLICATION OF THE LAW TO THE FACTS</w:t>
      </w:r>
    </w:p>
    <w:p w:rsidR="002D72A0" w:rsidRDefault="002D72A0" w:rsidP="00BD7D15">
      <w:pPr>
        <w:spacing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It is evident that the intention of the accused when he pretende</w:t>
      </w:r>
      <w:r w:rsidR="00E02733">
        <w:rPr>
          <w:rFonts w:ascii="Arial" w:hAnsi="Arial" w:cs="Arial"/>
          <w:sz w:val="24"/>
          <w:szCs w:val="24"/>
        </w:rPr>
        <w:t xml:space="preserve">d to be Piet </w:t>
      </w:r>
      <w:proofErr w:type="gramStart"/>
      <w:r w:rsidR="00E02733">
        <w:rPr>
          <w:rFonts w:ascii="Arial" w:hAnsi="Arial" w:cs="Arial"/>
          <w:sz w:val="24"/>
          <w:szCs w:val="24"/>
        </w:rPr>
        <w:t>Thomas</w:t>
      </w:r>
      <w:proofErr w:type="gramEnd"/>
      <w:r w:rsidR="00E02733">
        <w:rPr>
          <w:rFonts w:ascii="Arial" w:hAnsi="Arial" w:cs="Arial"/>
          <w:sz w:val="24"/>
          <w:szCs w:val="24"/>
        </w:rPr>
        <w:t xml:space="preserve"> who had posted</w:t>
      </w:r>
      <w:r>
        <w:rPr>
          <w:rFonts w:ascii="Arial" w:hAnsi="Arial" w:cs="Arial"/>
          <w:sz w:val="24"/>
          <w:szCs w:val="24"/>
        </w:rPr>
        <w:t xml:space="preserve"> bail, was for him to be set free. He therefore had a single intent when he committed the fraud. He committed two separate acts, but with the single intent to escape from lawful custody. Although, two distinguishable acts were committed, they constituted one criminal transaction, namely to escape from lawful custody. </w:t>
      </w:r>
    </w:p>
    <w:p w:rsidR="002D72A0" w:rsidRDefault="002D72A0" w:rsidP="00BD7D15">
      <w:pPr>
        <w:spacing w:line="360" w:lineRule="auto"/>
        <w:jc w:val="both"/>
        <w:rPr>
          <w:rFonts w:ascii="Arial" w:hAnsi="Arial" w:cs="Arial"/>
          <w:sz w:val="24"/>
          <w:szCs w:val="24"/>
        </w:rPr>
      </w:pPr>
    </w:p>
    <w:p w:rsidR="002D72A0" w:rsidRDefault="002D72A0" w:rsidP="00BD7D15">
      <w:pPr>
        <w:spacing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In the Result, the following order is made:</w:t>
      </w:r>
    </w:p>
    <w:p w:rsidR="00E02733" w:rsidRDefault="002D72A0" w:rsidP="00BD7D15">
      <w:pPr>
        <w:spacing w:line="360" w:lineRule="auto"/>
        <w:jc w:val="both"/>
        <w:rPr>
          <w:rFonts w:ascii="Arial" w:hAnsi="Arial" w:cs="Arial"/>
          <w:sz w:val="24"/>
          <w:szCs w:val="24"/>
        </w:rPr>
      </w:pPr>
      <w:r>
        <w:rPr>
          <w:rFonts w:ascii="Arial" w:hAnsi="Arial" w:cs="Arial"/>
          <w:sz w:val="24"/>
          <w:szCs w:val="24"/>
        </w:rPr>
        <w:t xml:space="preserve">1. </w:t>
      </w:r>
      <w:r w:rsidR="00E02733">
        <w:rPr>
          <w:rFonts w:ascii="Arial" w:hAnsi="Arial" w:cs="Arial"/>
          <w:sz w:val="24"/>
          <w:szCs w:val="24"/>
        </w:rPr>
        <w:t>The conviction and sentence in respect of count 1 are confirmed.</w:t>
      </w:r>
    </w:p>
    <w:p w:rsidR="002D72A0" w:rsidRDefault="00E02733" w:rsidP="00BD7D15">
      <w:pPr>
        <w:spacing w:line="360" w:lineRule="auto"/>
        <w:jc w:val="both"/>
        <w:rPr>
          <w:rFonts w:ascii="Arial" w:hAnsi="Arial" w:cs="Arial"/>
          <w:sz w:val="24"/>
          <w:szCs w:val="24"/>
        </w:rPr>
      </w:pPr>
      <w:r>
        <w:rPr>
          <w:rFonts w:ascii="Arial" w:hAnsi="Arial" w:cs="Arial"/>
          <w:sz w:val="24"/>
          <w:szCs w:val="24"/>
        </w:rPr>
        <w:t xml:space="preserve">2. </w:t>
      </w:r>
      <w:r w:rsidR="002D72A0">
        <w:rPr>
          <w:rFonts w:ascii="Arial" w:hAnsi="Arial" w:cs="Arial"/>
          <w:sz w:val="24"/>
          <w:szCs w:val="24"/>
        </w:rPr>
        <w:t>The conviction and sen</w:t>
      </w:r>
      <w:r>
        <w:rPr>
          <w:rFonts w:ascii="Arial" w:hAnsi="Arial" w:cs="Arial"/>
          <w:sz w:val="24"/>
          <w:szCs w:val="24"/>
        </w:rPr>
        <w:t xml:space="preserve">tence in respect of count 2 are </w:t>
      </w:r>
      <w:r w:rsidR="002D72A0">
        <w:rPr>
          <w:rFonts w:ascii="Arial" w:hAnsi="Arial" w:cs="Arial"/>
          <w:sz w:val="24"/>
          <w:szCs w:val="24"/>
        </w:rPr>
        <w:t>set aside.</w:t>
      </w:r>
    </w:p>
    <w:p w:rsidR="002D72A0" w:rsidRDefault="00E02733" w:rsidP="00BD7D15">
      <w:pPr>
        <w:spacing w:line="360" w:lineRule="auto"/>
        <w:jc w:val="both"/>
        <w:rPr>
          <w:rFonts w:ascii="Arial" w:hAnsi="Arial" w:cs="Arial"/>
          <w:sz w:val="24"/>
          <w:szCs w:val="24"/>
        </w:rPr>
      </w:pPr>
      <w:r>
        <w:rPr>
          <w:rFonts w:ascii="Arial" w:hAnsi="Arial" w:cs="Arial"/>
          <w:sz w:val="24"/>
          <w:szCs w:val="24"/>
        </w:rPr>
        <w:t>3</w:t>
      </w:r>
      <w:r w:rsidR="002D72A0">
        <w:rPr>
          <w:rFonts w:ascii="Arial" w:hAnsi="Arial" w:cs="Arial"/>
          <w:sz w:val="24"/>
          <w:szCs w:val="24"/>
        </w:rPr>
        <w:t>. The order is antedated to 01 February 2016.</w:t>
      </w:r>
    </w:p>
    <w:p w:rsidR="001B2E1E" w:rsidRDefault="001B2E1E" w:rsidP="00BD7D15">
      <w:pPr>
        <w:spacing w:line="360" w:lineRule="auto"/>
        <w:jc w:val="both"/>
        <w:rPr>
          <w:rFonts w:ascii="Arial" w:hAnsi="Arial" w:cs="Arial"/>
          <w:sz w:val="24"/>
          <w:szCs w:val="24"/>
        </w:rPr>
      </w:pPr>
    </w:p>
    <w:p w:rsidR="001B2E1E" w:rsidRDefault="001B2E1E" w:rsidP="00BD7D15">
      <w:pPr>
        <w:spacing w:line="360" w:lineRule="auto"/>
        <w:jc w:val="both"/>
        <w:rPr>
          <w:rFonts w:ascii="Arial" w:hAnsi="Arial" w:cs="Arial"/>
          <w:sz w:val="24"/>
          <w:szCs w:val="24"/>
        </w:rPr>
      </w:pPr>
    </w:p>
    <w:p w:rsidR="001B2E1E" w:rsidRDefault="001B2E1E" w:rsidP="00BD7D15">
      <w:pPr>
        <w:spacing w:line="360" w:lineRule="auto"/>
        <w:jc w:val="right"/>
        <w:rPr>
          <w:rFonts w:ascii="Arial" w:hAnsi="Arial" w:cs="Arial"/>
          <w:sz w:val="24"/>
          <w:szCs w:val="24"/>
        </w:rPr>
      </w:pPr>
    </w:p>
    <w:p w:rsidR="001B2E1E" w:rsidRDefault="001B2E1E" w:rsidP="00BD7D15">
      <w:pPr>
        <w:spacing w:line="360" w:lineRule="auto"/>
        <w:jc w:val="right"/>
        <w:rPr>
          <w:rFonts w:ascii="Arial" w:hAnsi="Arial" w:cs="Arial"/>
          <w:sz w:val="24"/>
          <w:szCs w:val="24"/>
        </w:rPr>
      </w:pPr>
    </w:p>
    <w:p w:rsidR="001B2E1E" w:rsidRDefault="001B2E1E" w:rsidP="00BD7D15">
      <w:pPr>
        <w:spacing w:line="360" w:lineRule="auto"/>
        <w:jc w:val="right"/>
        <w:rPr>
          <w:rFonts w:ascii="Arial" w:hAnsi="Arial" w:cs="Arial"/>
          <w:sz w:val="24"/>
          <w:szCs w:val="24"/>
        </w:rPr>
      </w:pPr>
      <w:r>
        <w:rPr>
          <w:rFonts w:ascii="Arial" w:hAnsi="Arial" w:cs="Arial"/>
          <w:sz w:val="24"/>
          <w:szCs w:val="24"/>
        </w:rPr>
        <w:t>_______________________</w:t>
      </w:r>
    </w:p>
    <w:p w:rsidR="001B2E1E" w:rsidRDefault="001B2E1E" w:rsidP="00BD7D15">
      <w:pPr>
        <w:spacing w:line="360" w:lineRule="auto"/>
        <w:jc w:val="right"/>
        <w:rPr>
          <w:rFonts w:ascii="Arial" w:hAnsi="Arial" w:cs="Arial"/>
          <w:sz w:val="24"/>
          <w:szCs w:val="24"/>
        </w:rPr>
      </w:pPr>
      <w:r>
        <w:rPr>
          <w:rFonts w:ascii="Arial" w:hAnsi="Arial" w:cs="Arial"/>
          <w:sz w:val="24"/>
          <w:szCs w:val="24"/>
        </w:rPr>
        <w:t>NDAUENDAPO, J</w:t>
      </w:r>
    </w:p>
    <w:p w:rsidR="001B2E1E" w:rsidRDefault="001B2E1E" w:rsidP="00BD7D15">
      <w:pPr>
        <w:spacing w:line="360" w:lineRule="auto"/>
        <w:jc w:val="right"/>
        <w:rPr>
          <w:rFonts w:ascii="Arial" w:hAnsi="Arial" w:cs="Arial"/>
          <w:sz w:val="24"/>
          <w:szCs w:val="24"/>
        </w:rPr>
      </w:pPr>
    </w:p>
    <w:p w:rsidR="001B2E1E" w:rsidRDefault="001B2E1E" w:rsidP="00BD7D15">
      <w:pPr>
        <w:spacing w:line="360" w:lineRule="auto"/>
        <w:jc w:val="right"/>
        <w:rPr>
          <w:rFonts w:ascii="Arial" w:hAnsi="Arial" w:cs="Arial"/>
          <w:sz w:val="24"/>
          <w:szCs w:val="24"/>
        </w:rPr>
      </w:pPr>
    </w:p>
    <w:p w:rsidR="001B2E1E" w:rsidRDefault="001B2E1E" w:rsidP="00BD7D15">
      <w:pPr>
        <w:spacing w:line="360" w:lineRule="auto"/>
        <w:jc w:val="right"/>
        <w:rPr>
          <w:rFonts w:ascii="Arial" w:hAnsi="Arial" w:cs="Arial"/>
          <w:sz w:val="24"/>
          <w:szCs w:val="24"/>
        </w:rPr>
      </w:pPr>
      <w:r>
        <w:rPr>
          <w:rFonts w:ascii="Arial" w:hAnsi="Arial" w:cs="Arial"/>
          <w:sz w:val="24"/>
          <w:szCs w:val="24"/>
        </w:rPr>
        <w:t>_______________________</w:t>
      </w:r>
    </w:p>
    <w:p w:rsidR="001B2E1E" w:rsidRPr="00DD67F9" w:rsidRDefault="001B2E1E" w:rsidP="00BD7D15">
      <w:pPr>
        <w:spacing w:line="360" w:lineRule="auto"/>
        <w:jc w:val="right"/>
        <w:rPr>
          <w:rFonts w:ascii="Arial" w:hAnsi="Arial" w:cs="Arial"/>
          <w:sz w:val="24"/>
          <w:szCs w:val="24"/>
        </w:rPr>
      </w:pPr>
      <w:r>
        <w:rPr>
          <w:rFonts w:ascii="Arial" w:hAnsi="Arial" w:cs="Arial"/>
          <w:sz w:val="24"/>
          <w:szCs w:val="24"/>
        </w:rPr>
        <w:t>SHIVUTE, J</w:t>
      </w:r>
    </w:p>
    <w:sectPr w:rsidR="001B2E1E" w:rsidRPr="00DD67F9" w:rsidSect="009C6444">
      <w:headerReference w:type="default" r:id="rId9"/>
      <w:pgSz w:w="12240" w:h="15840"/>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41F" w:rsidRDefault="00E7441F" w:rsidP="008B062C">
      <w:pPr>
        <w:spacing w:after="0" w:line="240" w:lineRule="auto"/>
      </w:pPr>
      <w:r>
        <w:separator/>
      </w:r>
    </w:p>
  </w:endnote>
  <w:endnote w:type="continuationSeparator" w:id="0">
    <w:p w:rsidR="00E7441F" w:rsidRDefault="00E7441F" w:rsidP="008B0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41F" w:rsidRDefault="00E7441F" w:rsidP="008B062C">
      <w:pPr>
        <w:spacing w:after="0" w:line="240" w:lineRule="auto"/>
      </w:pPr>
      <w:r>
        <w:separator/>
      </w:r>
    </w:p>
  </w:footnote>
  <w:footnote w:type="continuationSeparator" w:id="0">
    <w:p w:rsidR="00E7441F" w:rsidRDefault="00E7441F" w:rsidP="008B062C">
      <w:pPr>
        <w:spacing w:after="0" w:line="240" w:lineRule="auto"/>
      </w:pPr>
      <w:r>
        <w:continuationSeparator/>
      </w:r>
    </w:p>
  </w:footnote>
  <w:footnote w:id="1">
    <w:p w:rsidR="008B062C" w:rsidRDefault="008B062C">
      <w:pPr>
        <w:pStyle w:val="FootnoteText"/>
      </w:pPr>
      <w:r>
        <w:rPr>
          <w:rStyle w:val="FootnoteReference"/>
        </w:rPr>
        <w:footnoteRef/>
      </w:r>
      <w:r>
        <w:t xml:space="preserve"> </w:t>
      </w:r>
      <w:proofErr w:type="gramStart"/>
      <w:r>
        <w:t>No. 51 of 1977.</w:t>
      </w:r>
      <w:proofErr w:type="gramEnd"/>
    </w:p>
  </w:footnote>
  <w:footnote w:id="2">
    <w:p w:rsidR="00B26795" w:rsidRDefault="00B26795">
      <w:pPr>
        <w:pStyle w:val="FootnoteText"/>
      </w:pPr>
      <w:r>
        <w:rPr>
          <w:rStyle w:val="FootnoteReference"/>
        </w:rPr>
        <w:footnoteRef/>
      </w:r>
      <w:r>
        <w:t xml:space="preserve"> </w:t>
      </w:r>
      <w:proofErr w:type="gramStart"/>
      <w:r>
        <w:t>2006(2) SA SACR 604.</w:t>
      </w:r>
      <w:proofErr w:type="gramEnd"/>
    </w:p>
  </w:footnote>
  <w:footnote w:id="3">
    <w:p w:rsidR="00B26795" w:rsidRDefault="00B26795">
      <w:pPr>
        <w:pStyle w:val="FootnoteText"/>
      </w:pPr>
      <w:r>
        <w:rPr>
          <w:rStyle w:val="FootnoteReference"/>
        </w:rPr>
        <w:footnoteRef/>
      </w:r>
      <w:r>
        <w:t xml:space="preserve"> </w:t>
      </w:r>
      <w:proofErr w:type="gramStart"/>
      <w:r>
        <w:t>1988 (2) SACR 313 C.</w:t>
      </w:r>
      <w:proofErr w:type="gramEnd"/>
    </w:p>
  </w:footnote>
  <w:footnote w:id="4">
    <w:p w:rsidR="00EC489F" w:rsidRDefault="00EC489F">
      <w:pPr>
        <w:pStyle w:val="FootnoteText"/>
      </w:pPr>
      <w:r>
        <w:rPr>
          <w:rStyle w:val="FootnoteReference"/>
        </w:rPr>
        <w:footnoteRef/>
      </w:r>
      <w:r>
        <w:t xml:space="preserve"> </w:t>
      </w:r>
      <w:proofErr w:type="gramStart"/>
      <w:r>
        <w:t>2006(2) SACR 604.</w:t>
      </w:r>
      <w:proofErr w:type="gramEnd"/>
    </w:p>
  </w:footnote>
  <w:footnote w:id="5">
    <w:p w:rsidR="00EC489F" w:rsidRDefault="00EC489F">
      <w:pPr>
        <w:pStyle w:val="FootnoteText"/>
      </w:pPr>
      <w:r>
        <w:rPr>
          <w:rStyle w:val="FootnoteReference"/>
        </w:rPr>
        <w:footnoteRef/>
      </w:r>
      <w:r>
        <w:t xml:space="preserve"> </w:t>
      </w:r>
      <w:proofErr w:type="gramStart"/>
      <w:r>
        <w:t>2000 NR 139 (SC).</w:t>
      </w:r>
      <w:proofErr w:type="gramEnd"/>
    </w:p>
  </w:footnote>
  <w:footnote w:id="6">
    <w:p w:rsidR="00EC489F" w:rsidRDefault="00EC489F">
      <w:pPr>
        <w:pStyle w:val="FootnoteText"/>
      </w:pPr>
      <w:r>
        <w:rPr>
          <w:rStyle w:val="FootnoteReference"/>
        </w:rPr>
        <w:footnoteRef/>
      </w:r>
      <w:r>
        <w:t xml:space="preserve"> </w:t>
      </w:r>
      <w:proofErr w:type="gramStart"/>
      <w:r>
        <w:t xml:space="preserve">2000 </w:t>
      </w:r>
      <w:r w:rsidR="00962145">
        <w:t>NR 139 (SC) at 140.</w:t>
      </w:r>
      <w:proofErr w:type="gramEnd"/>
    </w:p>
  </w:footnote>
  <w:footnote w:id="7">
    <w:p w:rsidR="00962145" w:rsidRDefault="00962145">
      <w:pPr>
        <w:pStyle w:val="FootnoteText"/>
      </w:pPr>
      <w:r>
        <w:rPr>
          <w:rStyle w:val="FootnoteReference"/>
        </w:rPr>
        <w:footnoteRef/>
      </w:r>
      <w:r>
        <w:t xml:space="preserve"> </w:t>
      </w:r>
      <w:proofErr w:type="gramStart"/>
      <w:r>
        <w:t>2006(2) SACR 604 at 607e.</w:t>
      </w:r>
      <w:proofErr w:type="gramEnd"/>
    </w:p>
  </w:footnote>
  <w:footnote w:id="8">
    <w:p w:rsidR="00962145" w:rsidRDefault="00962145">
      <w:pPr>
        <w:pStyle w:val="FootnoteText"/>
      </w:pPr>
      <w:r>
        <w:rPr>
          <w:rStyle w:val="FootnoteReference"/>
        </w:rPr>
        <w:footnoteRef/>
      </w:r>
      <w:r>
        <w:t xml:space="preserve"> 1905 TS 170-171.</w:t>
      </w:r>
    </w:p>
  </w:footnote>
  <w:footnote w:id="9">
    <w:p w:rsidR="00962145" w:rsidRDefault="00962145">
      <w:pPr>
        <w:pStyle w:val="FootnoteText"/>
      </w:pPr>
      <w:r>
        <w:rPr>
          <w:rStyle w:val="FootnoteReference"/>
        </w:rPr>
        <w:footnoteRef/>
      </w:r>
      <w:r>
        <w:t xml:space="preserve"> (CR80/2014)[2014] NAHCMD (24 November 2014).</w:t>
      </w:r>
    </w:p>
  </w:footnote>
  <w:footnote w:id="10">
    <w:p w:rsidR="00676C47" w:rsidRDefault="00676C47">
      <w:pPr>
        <w:pStyle w:val="FootnoteText"/>
      </w:pPr>
      <w:r>
        <w:rPr>
          <w:rStyle w:val="FootnoteReference"/>
        </w:rPr>
        <w:footnoteRef/>
      </w:r>
      <w:r>
        <w:t xml:space="preserve"> 1909 EDC 254 at 268-269.</w:t>
      </w:r>
    </w:p>
  </w:footnote>
  <w:footnote w:id="11">
    <w:p w:rsidR="00F554AA" w:rsidRDefault="00F554AA">
      <w:pPr>
        <w:pStyle w:val="FootnoteText"/>
      </w:pPr>
      <w:r>
        <w:rPr>
          <w:rStyle w:val="FootnoteReference"/>
        </w:rPr>
        <w:footnoteRef/>
      </w:r>
      <w:r>
        <w:t xml:space="preserve"> </w:t>
      </w:r>
      <w:proofErr w:type="gramStart"/>
      <w:r>
        <w:t>1966 (1) SA 507 (A).</w:t>
      </w:r>
      <w:proofErr w:type="gramEnd"/>
    </w:p>
  </w:footnote>
  <w:footnote w:id="12">
    <w:p w:rsidR="00F554AA" w:rsidRDefault="00F554AA">
      <w:pPr>
        <w:pStyle w:val="FootnoteText"/>
      </w:pPr>
      <w:r>
        <w:rPr>
          <w:rStyle w:val="FootnoteReference"/>
        </w:rPr>
        <w:footnoteRef/>
      </w:r>
      <w:r>
        <w:t xml:space="preserve"> </w:t>
      </w:r>
      <w:proofErr w:type="gramStart"/>
      <w:r>
        <w:t>2000 NR 139 at 140C.</w:t>
      </w:r>
      <w:proofErr w:type="gramEnd"/>
    </w:p>
  </w:footnote>
  <w:footnote w:id="13">
    <w:p w:rsidR="002D72A0" w:rsidRDefault="002D72A0">
      <w:pPr>
        <w:pStyle w:val="FootnoteText"/>
      </w:pPr>
      <w:r>
        <w:rPr>
          <w:rStyle w:val="FootnoteReference"/>
        </w:rPr>
        <w:footnoteRef/>
      </w:r>
      <w:r>
        <w:t xml:space="preserve"> </w:t>
      </w:r>
      <w:proofErr w:type="gramStart"/>
      <w:r>
        <w:t>2006 (2) SACR 604 at 605d.</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42640"/>
      <w:docPartObj>
        <w:docPartGallery w:val="Page Numbers (Top of Page)"/>
        <w:docPartUnique/>
      </w:docPartObj>
    </w:sdtPr>
    <w:sdtEndPr>
      <w:rPr>
        <w:noProof/>
      </w:rPr>
    </w:sdtEndPr>
    <w:sdtContent>
      <w:p w:rsidR="00BD7D15" w:rsidRDefault="00BD7D15">
        <w:pPr>
          <w:pStyle w:val="Header"/>
          <w:jc w:val="right"/>
        </w:pPr>
        <w:r>
          <w:fldChar w:fldCharType="begin"/>
        </w:r>
        <w:r>
          <w:instrText xml:space="preserve"> PAGE   \* MERGEFORMAT </w:instrText>
        </w:r>
        <w:r>
          <w:fldChar w:fldCharType="separate"/>
        </w:r>
        <w:r w:rsidR="00203566">
          <w:rPr>
            <w:noProof/>
          </w:rPr>
          <w:t>2</w:t>
        </w:r>
        <w:r>
          <w:rPr>
            <w:noProof/>
          </w:rPr>
          <w:fldChar w:fldCharType="end"/>
        </w:r>
      </w:p>
    </w:sdtContent>
  </w:sdt>
  <w:p w:rsidR="00BD7D15" w:rsidRDefault="00BD7D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7F9"/>
    <w:rsid w:val="00047A49"/>
    <w:rsid w:val="00112BBC"/>
    <w:rsid w:val="001A005D"/>
    <w:rsid w:val="001B2E1E"/>
    <w:rsid w:val="001D7D4F"/>
    <w:rsid w:val="002008D9"/>
    <w:rsid w:val="00203566"/>
    <w:rsid w:val="00243650"/>
    <w:rsid w:val="002D72A0"/>
    <w:rsid w:val="003A5ABD"/>
    <w:rsid w:val="00433718"/>
    <w:rsid w:val="004520B7"/>
    <w:rsid w:val="004602E6"/>
    <w:rsid w:val="004E5D26"/>
    <w:rsid w:val="00563737"/>
    <w:rsid w:val="005743F2"/>
    <w:rsid w:val="006671F9"/>
    <w:rsid w:val="00676C47"/>
    <w:rsid w:val="006B4996"/>
    <w:rsid w:val="00873D73"/>
    <w:rsid w:val="008B062C"/>
    <w:rsid w:val="0091610D"/>
    <w:rsid w:val="00962145"/>
    <w:rsid w:val="009C6444"/>
    <w:rsid w:val="00B26795"/>
    <w:rsid w:val="00B37C49"/>
    <w:rsid w:val="00B56AF9"/>
    <w:rsid w:val="00BD7D15"/>
    <w:rsid w:val="00DD061C"/>
    <w:rsid w:val="00DD67F9"/>
    <w:rsid w:val="00E02733"/>
    <w:rsid w:val="00E7441F"/>
    <w:rsid w:val="00EC489F"/>
    <w:rsid w:val="00F554AA"/>
    <w:rsid w:val="00F96D60"/>
    <w:rsid w:val="00FD5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B06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062C"/>
    <w:rPr>
      <w:sz w:val="20"/>
      <w:szCs w:val="20"/>
    </w:rPr>
  </w:style>
  <w:style w:type="character" w:styleId="FootnoteReference">
    <w:name w:val="footnote reference"/>
    <w:basedOn w:val="DefaultParagraphFont"/>
    <w:uiPriority w:val="99"/>
    <w:semiHidden/>
    <w:unhideWhenUsed/>
    <w:rsid w:val="008B062C"/>
    <w:rPr>
      <w:vertAlign w:val="superscript"/>
    </w:rPr>
  </w:style>
  <w:style w:type="paragraph" w:styleId="Header">
    <w:name w:val="header"/>
    <w:basedOn w:val="Normal"/>
    <w:link w:val="HeaderChar"/>
    <w:uiPriority w:val="99"/>
    <w:unhideWhenUsed/>
    <w:rsid w:val="00BD7D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D15"/>
  </w:style>
  <w:style w:type="paragraph" w:styleId="Footer">
    <w:name w:val="footer"/>
    <w:basedOn w:val="Normal"/>
    <w:link w:val="FooterChar"/>
    <w:uiPriority w:val="99"/>
    <w:unhideWhenUsed/>
    <w:rsid w:val="00BD7D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D15"/>
  </w:style>
  <w:style w:type="paragraph" w:styleId="BalloonText">
    <w:name w:val="Balloon Text"/>
    <w:basedOn w:val="Normal"/>
    <w:link w:val="BalloonTextChar"/>
    <w:uiPriority w:val="99"/>
    <w:semiHidden/>
    <w:unhideWhenUsed/>
    <w:rsid w:val="00916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10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B06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062C"/>
    <w:rPr>
      <w:sz w:val="20"/>
      <w:szCs w:val="20"/>
    </w:rPr>
  </w:style>
  <w:style w:type="character" w:styleId="FootnoteReference">
    <w:name w:val="footnote reference"/>
    <w:basedOn w:val="DefaultParagraphFont"/>
    <w:uiPriority w:val="99"/>
    <w:semiHidden/>
    <w:unhideWhenUsed/>
    <w:rsid w:val="008B062C"/>
    <w:rPr>
      <w:vertAlign w:val="superscript"/>
    </w:rPr>
  </w:style>
  <w:style w:type="paragraph" w:styleId="Header">
    <w:name w:val="header"/>
    <w:basedOn w:val="Normal"/>
    <w:link w:val="HeaderChar"/>
    <w:uiPriority w:val="99"/>
    <w:unhideWhenUsed/>
    <w:rsid w:val="00BD7D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D15"/>
  </w:style>
  <w:style w:type="paragraph" w:styleId="Footer">
    <w:name w:val="footer"/>
    <w:basedOn w:val="Normal"/>
    <w:link w:val="FooterChar"/>
    <w:uiPriority w:val="99"/>
    <w:unhideWhenUsed/>
    <w:rsid w:val="00BD7D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D15"/>
  </w:style>
  <w:style w:type="paragraph" w:styleId="BalloonText">
    <w:name w:val="Balloon Text"/>
    <w:basedOn w:val="Normal"/>
    <w:link w:val="BalloonTextChar"/>
    <w:uiPriority w:val="99"/>
    <w:semiHidden/>
    <w:unhideWhenUsed/>
    <w:rsid w:val="00916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1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2017-01-19T18:30:00+00:00</Judgment_x0020_Date>
  </documentManagement>
</p:properties>
</file>

<file path=customXml/itemProps1.xml><?xml version="1.0" encoding="utf-8"?>
<ds:datastoreItem xmlns:ds="http://schemas.openxmlformats.org/officeDocument/2006/customXml" ds:itemID="{A502920E-D886-4B6A-97A5-E4BFD5417FC3}"/>
</file>

<file path=customXml/itemProps2.xml><?xml version="1.0" encoding="utf-8"?>
<ds:datastoreItem xmlns:ds="http://schemas.openxmlformats.org/officeDocument/2006/customXml" ds:itemID="{309273AC-C7D5-4A32-B8C5-197AB6523C90}"/>
</file>

<file path=customXml/itemProps3.xml><?xml version="1.0" encoding="utf-8"?>
<ds:datastoreItem xmlns:ds="http://schemas.openxmlformats.org/officeDocument/2006/customXml" ds:itemID="{25C95243-DC6D-4894-8C7C-DFF0F0B3D2B3}"/>
</file>

<file path=customXml/itemProps4.xml><?xml version="1.0" encoding="utf-8"?>
<ds:datastoreItem xmlns:ds="http://schemas.openxmlformats.org/officeDocument/2006/customXml" ds:itemID="{407F9332-71BE-4E72-AB0C-52B2C47C8E9B}"/>
</file>

<file path=docProps/app.xml><?xml version="1.0" encoding="utf-8"?>
<Properties xmlns="http://schemas.openxmlformats.org/officeDocument/2006/extended-properties" xmlns:vt="http://schemas.openxmlformats.org/officeDocument/2006/docPropsVTypes">
  <Template>Normal</Template>
  <TotalTime>1</TotalTime>
  <Pages>8</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Shomany Keister</dc:creator>
  <cp:lastModifiedBy>User</cp:lastModifiedBy>
  <cp:revision>2</cp:revision>
  <cp:lastPrinted>2017-01-18T14:06:00Z</cp:lastPrinted>
  <dcterms:created xsi:type="dcterms:W3CDTF">2017-01-24T10:04:00Z</dcterms:created>
  <dcterms:modified xsi:type="dcterms:W3CDTF">2017-01-24T10:04:00Z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