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C8BBC" w14:textId="77777777" w:rsidR="00E20EE0" w:rsidRPr="00595880" w:rsidRDefault="00E20EE0" w:rsidP="00E20EE0">
      <w:pPr>
        <w:spacing w:line="360" w:lineRule="auto"/>
        <w:jc w:val="center"/>
        <w:rPr>
          <w:rFonts w:ascii="Arial" w:hAnsi="Arial" w:cs="Arial"/>
          <w:b/>
        </w:rPr>
      </w:pPr>
      <w:bookmarkStart w:id="0" w:name="_GoBack"/>
      <w:bookmarkEnd w:id="0"/>
      <w:r w:rsidRPr="00595880">
        <w:rPr>
          <w:rFonts w:ascii="Arial" w:hAnsi="Arial" w:cs="Arial"/>
          <w:b/>
          <w:noProof/>
          <w:lang w:val="en-ZA" w:eastAsia="en-ZA"/>
        </w:rPr>
        <mc:AlternateContent>
          <mc:Choice Requires="wps">
            <w:drawing>
              <wp:anchor distT="0" distB="0" distL="114300" distR="114300" simplePos="0" relativeHeight="251659264" behindDoc="0" locked="0" layoutInCell="1" allowOverlap="1" wp14:anchorId="40A19F77" wp14:editId="136F60D7">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490FAEE1" w14:textId="3E92D59F" w:rsidR="00E20EE0" w:rsidRPr="001329E3" w:rsidRDefault="00E20EE0" w:rsidP="00E20EE0">
                            <w:pPr>
                              <w:jc w:val="right"/>
                              <w:rPr>
                                <w:rFonts w:ascii="Calibri" w:hAnsi="Calibri" w:cs="Calibri"/>
                              </w:rPr>
                            </w:pPr>
                            <w:r>
                              <w:rPr>
                                <w:rFonts w:ascii="Calibri" w:hAnsi="Calibri" w:cs="Calibri"/>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19F77"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490FAEE1" w14:textId="3E92D59F" w:rsidR="00E20EE0" w:rsidRPr="001329E3" w:rsidRDefault="00E20EE0" w:rsidP="00E20EE0">
                      <w:pPr>
                        <w:jc w:val="right"/>
                        <w:rPr>
                          <w:rFonts w:ascii="Calibri" w:hAnsi="Calibri" w:cs="Calibri"/>
                        </w:rPr>
                      </w:pPr>
                      <w:r>
                        <w:rPr>
                          <w:rFonts w:ascii="Calibri" w:hAnsi="Calibri" w:cs="Calibri"/>
                        </w:rPr>
                        <w:t>REPORTABLE</w:t>
                      </w:r>
                    </w:p>
                  </w:txbxContent>
                </v:textbox>
              </v:shape>
            </w:pict>
          </mc:Fallback>
        </mc:AlternateContent>
      </w:r>
      <w:r w:rsidRPr="00595880">
        <w:rPr>
          <w:rFonts w:ascii="Arial" w:hAnsi="Arial" w:cs="Arial"/>
          <w:b/>
        </w:rPr>
        <w:t>REPUBLIC OF NAMIBIA</w:t>
      </w:r>
    </w:p>
    <w:p w14:paraId="58C9612B" w14:textId="77777777" w:rsidR="00E20EE0" w:rsidRPr="00595880" w:rsidRDefault="00E20EE0" w:rsidP="00E20EE0">
      <w:pPr>
        <w:spacing w:line="360" w:lineRule="auto"/>
        <w:jc w:val="center"/>
        <w:rPr>
          <w:rFonts w:ascii="Arial" w:hAnsi="Arial" w:cs="Arial"/>
          <w:b/>
        </w:rPr>
      </w:pPr>
      <w:r w:rsidRPr="00595880">
        <w:rPr>
          <w:rFonts w:ascii="Arial" w:hAnsi="Arial" w:cs="Arial"/>
          <w:b/>
          <w:noProof/>
          <w:lang w:val="en-ZA" w:eastAsia="en-ZA"/>
        </w:rPr>
        <w:drawing>
          <wp:inline distT="0" distB="0" distL="0" distR="0" wp14:anchorId="32E2CBF5" wp14:editId="41B74428">
            <wp:extent cx="1276350" cy="1323975"/>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2887C0CD" w14:textId="77777777" w:rsidR="006E486A" w:rsidRPr="00E20EE0" w:rsidRDefault="00963C65" w:rsidP="00E20EE0">
      <w:pPr>
        <w:spacing w:line="360" w:lineRule="auto"/>
        <w:jc w:val="center"/>
        <w:rPr>
          <w:rFonts w:ascii="Arial" w:hAnsi="Arial" w:cs="Arial"/>
          <w:b/>
        </w:rPr>
      </w:pPr>
      <w:r w:rsidRPr="00E20EE0">
        <w:rPr>
          <w:rFonts w:ascii="Arial" w:hAnsi="Arial" w:cs="Arial"/>
          <w:b/>
        </w:rPr>
        <w:t>HIGH COURT OF NAMIBIA, MAIN DIVISION, WINDHOEK</w:t>
      </w:r>
    </w:p>
    <w:p w14:paraId="7AFC2E45" w14:textId="77777777" w:rsidR="00963C65" w:rsidRPr="00E20EE0" w:rsidRDefault="00963C65" w:rsidP="00E20EE0">
      <w:pPr>
        <w:spacing w:line="360" w:lineRule="auto"/>
        <w:jc w:val="center"/>
        <w:rPr>
          <w:rFonts w:ascii="Arial" w:hAnsi="Arial" w:cs="Arial"/>
          <w:b/>
        </w:rPr>
      </w:pPr>
      <w:r w:rsidRPr="00E20EE0">
        <w:rPr>
          <w:rFonts w:ascii="Arial" w:hAnsi="Arial" w:cs="Arial"/>
          <w:b/>
        </w:rPr>
        <w:t>JUDGMENT</w:t>
      </w:r>
    </w:p>
    <w:p w14:paraId="3787F6F1" w14:textId="77777777" w:rsidR="00963C65" w:rsidRPr="00E20EE0" w:rsidRDefault="00963C65" w:rsidP="00E20EE0">
      <w:pPr>
        <w:spacing w:line="360" w:lineRule="auto"/>
        <w:jc w:val="center"/>
        <w:rPr>
          <w:rFonts w:ascii="Arial" w:hAnsi="Arial" w:cs="Arial"/>
          <w:b/>
        </w:rPr>
      </w:pPr>
    </w:p>
    <w:p w14:paraId="76194859" w14:textId="77777777" w:rsidR="00963C65" w:rsidRPr="00E20EE0" w:rsidRDefault="00963C65" w:rsidP="00E20EE0">
      <w:pPr>
        <w:spacing w:line="360" w:lineRule="auto"/>
        <w:jc w:val="center"/>
        <w:rPr>
          <w:rFonts w:ascii="Arial" w:hAnsi="Arial" w:cs="Arial"/>
          <w:b/>
        </w:rPr>
      </w:pPr>
    </w:p>
    <w:p w14:paraId="42F98581" w14:textId="104F318E" w:rsidR="00963C65" w:rsidRPr="00E20EE0" w:rsidRDefault="002C32EB" w:rsidP="00E20EE0">
      <w:pPr>
        <w:spacing w:line="360" w:lineRule="auto"/>
        <w:jc w:val="right"/>
        <w:rPr>
          <w:rFonts w:ascii="Arial" w:hAnsi="Arial" w:cs="Arial"/>
          <w:b/>
        </w:rPr>
      </w:pPr>
      <w:r>
        <w:rPr>
          <w:rFonts w:ascii="Arial" w:hAnsi="Arial" w:cs="Arial"/>
          <w:b/>
        </w:rPr>
        <w:t xml:space="preserve">HC-MD-CIV-AC </w:t>
      </w:r>
      <w:r w:rsidR="00963C65" w:rsidRPr="00E20EE0">
        <w:rPr>
          <w:rFonts w:ascii="Arial" w:hAnsi="Arial" w:cs="Arial"/>
          <w:b/>
        </w:rPr>
        <w:t>2016/03173</w:t>
      </w:r>
    </w:p>
    <w:p w14:paraId="79837369" w14:textId="77777777" w:rsidR="00963C65" w:rsidRPr="00E20EE0" w:rsidRDefault="00963C65" w:rsidP="00E20EE0">
      <w:pPr>
        <w:spacing w:line="360" w:lineRule="auto"/>
        <w:jc w:val="right"/>
        <w:rPr>
          <w:rFonts w:ascii="Arial" w:hAnsi="Arial" w:cs="Arial"/>
          <w:b/>
        </w:rPr>
      </w:pPr>
    </w:p>
    <w:p w14:paraId="42EF8346" w14:textId="77777777" w:rsidR="00963C65" w:rsidRPr="00E20EE0" w:rsidRDefault="00963C65" w:rsidP="00E20EE0">
      <w:pPr>
        <w:spacing w:line="360" w:lineRule="auto"/>
        <w:rPr>
          <w:rFonts w:ascii="Arial" w:hAnsi="Arial" w:cs="Arial"/>
        </w:rPr>
      </w:pPr>
      <w:r w:rsidRPr="00E20EE0">
        <w:rPr>
          <w:rFonts w:ascii="Arial" w:hAnsi="Arial" w:cs="Arial"/>
        </w:rPr>
        <w:t>In the matter between:</w:t>
      </w:r>
    </w:p>
    <w:p w14:paraId="798BDF48" w14:textId="77777777" w:rsidR="00963C65" w:rsidRPr="00E20EE0" w:rsidRDefault="00963C65" w:rsidP="00E20EE0">
      <w:pPr>
        <w:spacing w:line="360" w:lineRule="auto"/>
        <w:rPr>
          <w:rFonts w:ascii="Arial" w:hAnsi="Arial" w:cs="Arial"/>
        </w:rPr>
      </w:pPr>
    </w:p>
    <w:p w14:paraId="0601B89B" w14:textId="6D81FE5A" w:rsidR="00963C65" w:rsidRPr="00E20EE0" w:rsidRDefault="00963C65" w:rsidP="00E20EE0">
      <w:pPr>
        <w:tabs>
          <w:tab w:val="right" w:pos="8222"/>
        </w:tabs>
        <w:spacing w:line="360" w:lineRule="auto"/>
        <w:rPr>
          <w:rFonts w:ascii="Arial" w:hAnsi="Arial" w:cs="Arial"/>
          <w:b/>
        </w:rPr>
      </w:pPr>
      <w:r w:rsidRPr="00E20EE0">
        <w:rPr>
          <w:rFonts w:ascii="Arial" w:hAnsi="Arial" w:cs="Arial"/>
          <w:b/>
        </w:rPr>
        <w:t>TEICHMANN PLANT</w:t>
      </w:r>
      <w:r w:rsidR="00EB61E6">
        <w:rPr>
          <w:rFonts w:ascii="Arial" w:hAnsi="Arial" w:cs="Arial"/>
          <w:b/>
        </w:rPr>
        <w:t xml:space="preserve"> </w:t>
      </w:r>
      <w:r w:rsidRPr="00E20EE0">
        <w:rPr>
          <w:rFonts w:ascii="Arial" w:hAnsi="Arial" w:cs="Arial"/>
          <w:b/>
        </w:rPr>
        <w:t xml:space="preserve">HIRE (PTY) LTD                                         </w:t>
      </w:r>
      <w:r w:rsidR="00E20EE0">
        <w:rPr>
          <w:rFonts w:ascii="Arial" w:hAnsi="Arial" w:cs="Arial"/>
          <w:b/>
        </w:rPr>
        <w:tab/>
      </w:r>
      <w:r w:rsidRPr="00E20EE0">
        <w:rPr>
          <w:rFonts w:ascii="Arial" w:hAnsi="Arial" w:cs="Arial"/>
          <w:b/>
        </w:rPr>
        <w:t>PLAINTIFF</w:t>
      </w:r>
    </w:p>
    <w:p w14:paraId="0B13D812" w14:textId="77777777" w:rsidR="00963C65" w:rsidRPr="00E20EE0" w:rsidRDefault="00963C65" w:rsidP="00E20EE0">
      <w:pPr>
        <w:spacing w:line="360" w:lineRule="auto"/>
        <w:rPr>
          <w:rFonts w:ascii="Arial" w:hAnsi="Arial" w:cs="Arial"/>
          <w:b/>
        </w:rPr>
      </w:pPr>
    </w:p>
    <w:p w14:paraId="1354E224" w14:textId="4B1260BD" w:rsidR="00963C65" w:rsidRPr="00E20EE0" w:rsidRDefault="00E20EE0" w:rsidP="00E20EE0">
      <w:pPr>
        <w:spacing w:line="360" w:lineRule="auto"/>
        <w:rPr>
          <w:rFonts w:ascii="Arial" w:hAnsi="Arial" w:cs="Arial"/>
        </w:rPr>
      </w:pPr>
      <w:r w:rsidRPr="00E20EE0">
        <w:rPr>
          <w:rFonts w:ascii="Arial" w:hAnsi="Arial" w:cs="Arial"/>
        </w:rPr>
        <w:t>a</w:t>
      </w:r>
      <w:r w:rsidR="00963C65" w:rsidRPr="00E20EE0">
        <w:rPr>
          <w:rFonts w:ascii="Arial" w:hAnsi="Arial" w:cs="Arial"/>
        </w:rPr>
        <w:t>nd</w:t>
      </w:r>
    </w:p>
    <w:p w14:paraId="307C19F1" w14:textId="77777777" w:rsidR="003D592C" w:rsidRPr="00E20EE0" w:rsidRDefault="003D592C" w:rsidP="00E20EE0">
      <w:pPr>
        <w:spacing w:line="360" w:lineRule="auto"/>
        <w:rPr>
          <w:rFonts w:ascii="Arial" w:hAnsi="Arial" w:cs="Arial"/>
          <w:b/>
        </w:rPr>
      </w:pPr>
    </w:p>
    <w:p w14:paraId="3A742A03" w14:textId="5CF38FA2" w:rsidR="00963C65" w:rsidRPr="00E20EE0" w:rsidRDefault="003D592C" w:rsidP="00E20EE0">
      <w:pPr>
        <w:tabs>
          <w:tab w:val="right" w:pos="8222"/>
        </w:tabs>
        <w:spacing w:line="360" w:lineRule="auto"/>
        <w:rPr>
          <w:rFonts w:ascii="Arial" w:hAnsi="Arial" w:cs="Arial"/>
          <w:b/>
        </w:rPr>
      </w:pPr>
      <w:r w:rsidRPr="00E20EE0">
        <w:rPr>
          <w:rFonts w:ascii="Arial" w:hAnsi="Arial" w:cs="Arial"/>
          <w:b/>
        </w:rPr>
        <w:t xml:space="preserve">ROBERTH COETZEE                                               </w:t>
      </w:r>
      <w:r w:rsidR="00E20EE0">
        <w:rPr>
          <w:rFonts w:ascii="Arial" w:hAnsi="Arial" w:cs="Arial"/>
          <w:b/>
        </w:rPr>
        <w:t xml:space="preserve"> </w:t>
      </w:r>
      <w:r w:rsidR="00E20EE0">
        <w:rPr>
          <w:rFonts w:ascii="Arial" w:hAnsi="Arial" w:cs="Arial"/>
          <w:b/>
        </w:rPr>
        <w:tab/>
        <w:t xml:space="preserve"> </w:t>
      </w:r>
      <w:r w:rsidRPr="00E20EE0">
        <w:rPr>
          <w:rFonts w:ascii="Arial" w:hAnsi="Arial" w:cs="Arial"/>
          <w:b/>
        </w:rPr>
        <w:t>1</w:t>
      </w:r>
      <w:r w:rsidRPr="00E20EE0">
        <w:rPr>
          <w:rFonts w:ascii="Arial" w:hAnsi="Arial" w:cs="Arial"/>
          <w:b/>
          <w:vertAlign w:val="superscript"/>
        </w:rPr>
        <w:t>ST</w:t>
      </w:r>
      <w:r w:rsidRPr="00E20EE0">
        <w:rPr>
          <w:rFonts w:ascii="Arial" w:hAnsi="Arial" w:cs="Arial"/>
          <w:b/>
        </w:rPr>
        <w:t xml:space="preserve"> DEFENDANT</w:t>
      </w:r>
    </w:p>
    <w:p w14:paraId="157C9201" w14:textId="1F622BBC" w:rsidR="00963C65" w:rsidRPr="00E20EE0" w:rsidRDefault="00963C65" w:rsidP="00E20EE0">
      <w:pPr>
        <w:tabs>
          <w:tab w:val="right" w:pos="8222"/>
        </w:tabs>
        <w:spacing w:line="360" w:lineRule="auto"/>
        <w:rPr>
          <w:rFonts w:ascii="Arial" w:hAnsi="Arial" w:cs="Arial"/>
          <w:b/>
        </w:rPr>
      </w:pPr>
      <w:r w:rsidRPr="00E20EE0">
        <w:rPr>
          <w:rFonts w:ascii="Arial" w:hAnsi="Arial" w:cs="Arial"/>
          <w:b/>
        </w:rPr>
        <w:t>EMGARD COETZEE</w:t>
      </w:r>
      <w:r w:rsidR="003D592C" w:rsidRPr="00E20EE0">
        <w:rPr>
          <w:rFonts w:ascii="Arial" w:hAnsi="Arial" w:cs="Arial"/>
          <w:b/>
        </w:rPr>
        <w:t xml:space="preserve">                                            </w:t>
      </w:r>
      <w:r w:rsidR="00E20EE0">
        <w:rPr>
          <w:rFonts w:ascii="Arial" w:hAnsi="Arial" w:cs="Arial"/>
          <w:b/>
        </w:rPr>
        <w:t xml:space="preserve">      </w:t>
      </w:r>
      <w:r w:rsidR="00E20EE0">
        <w:rPr>
          <w:rFonts w:ascii="Arial" w:hAnsi="Arial" w:cs="Arial"/>
          <w:b/>
        </w:rPr>
        <w:tab/>
        <w:t xml:space="preserve">  </w:t>
      </w:r>
      <w:r w:rsidR="003D592C" w:rsidRPr="00E20EE0">
        <w:rPr>
          <w:rFonts w:ascii="Arial" w:hAnsi="Arial" w:cs="Arial"/>
          <w:b/>
        </w:rPr>
        <w:t>2</w:t>
      </w:r>
      <w:r w:rsidR="003D592C" w:rsidRPr="00E20EE0">
        <w:rPr>
          <w:rFonts w:ascii="Arial" w:hAnsi="Arial" w:cs="Arial"/>
          <w:b/>
          <w:vertAlign w:val="superscript"/>
        </w:rPr>
        <w:t>ND</w:t>
      </w:r>
      <w:r w:rsidR="003D592C" w:rsidRPr="00E20EE0">
        <w:rPr>
          <w:rFonts w:ascii="Arial" w:hAnsi="Arial" w:cs="Arial"/>
          <w:b/>
        </w:rPr>
        <w:t xml:space="preserve"> DEFENDANT</w:t>
      </w:r>
    </w:p>
    <w:p w14:paraId="3DE15FD6" w14:textId="77777777" w:rsidR="0049532D" w:rsidRPr="00E20EE0" w:rsidRDefault="0049532D" w:rsidP="00E20EE0">
      <w:pPr>
        <w:spacing w:line="360" w:lineRule="auto"/>
        <w:rPr>
          <w:rFonts w:ascii="Arial" w:hAnsi="Arial" w:cs="Arial"/>
          <w:b/>
        </w:rPr>
      </w:pPr>
    </w:p>
    <w:p w14:paraId="66F9ECD4" w14:textId="77777777" w:rsidR="00963C65" w:rsidRPr="00E20EE0" w:rsidRDefault="00963C65" w:rsidP="00E20EE0">
      <w:pPr>
        <w:spacing w:line="360" w:lineRule="auto"/>
        <w:rPr>
          <w:rFonts w:ascii="Arial" w:hAnsi="Arial" w:cs="Arial"/>
          <w:b/>
        </w:rPr>
      </w:pPr>
    </w:p>
    <w:p w14:paraId="5E108BB5" w14:textId="7C5A9E9B" w:rsidR="00E20EE0" w:rsidRDefault="00E20EE0" w:rsidP="00E20EE0">
      <w:pPr>
        <w:spacing w:line="360" w:lineRule="auto"/>
        <w:ind w:left="2160" w:hanging="2160"/>
        <w:jc w:val="both"/>
        <w:rPr>
          <w:rFonts w:ascii="Arial" w:hAnsi="Arial" w:cs="Arial"/>
          <w:i/>
        </w:rPr>
      </w:pPr>
      <w:r>
        <w:rPr>
          <w:rFonts w:ascii="Arial" w:hAnsi="Arial" w:cs="Arial"/>
          <w:i/>
        </w:rPr>
        <w:t>Neutral citation:  Teichmann Plant Hire (Pty) Ltd v Coetzee (</w:t>
      </w:r>
      <w:r w:rsidR="00C75F95">
        <w:rPr>
          <w:rFonts w:ascii="Arial" w:hAnsi="Arial" w:cs="Arial"/>
          <w:i/>
        </w:rPr>
        <w:t>HC-MD-CIV-ACT 2016-</w:t>
      </w:r>
      <w:r>
        <w:rPr>
          <w:rFonts w:ascii="Arial" w:hAnsi="Arial" w:cs="Arial"/>
          <w:i/>
        </w:rPr>
        <w:t xml:space="preserve">03173) [2017] NAHCMD </w:t>
      </w:r>
      <w:r w:rsidR="00C34DD5">
        <w:rPr>
          <w:rFonts w:ascii="Arial" w:hAnsi="Arial" w:cs="Arial"/>
          <w:i/>
        </w:rPr>
        <w:t>61</w:t>
      </w:r>
      <w:r>
        <w:rPr>
          <w:rFonts w:ascii="Arial" w:hAnsi="Arial" w:cs="Arial"/>
          <w:i/>
        </w:rPr>
        <w:t>(</w:t>
      </w:r>
      <w:r w:rsidR="00C34DD5">
        <w:rPr>
          <w:rFonts w:ascii="Arial" w:hAnsi="Arial" w:cs="Arial"/>
          <w:i/>
        </w:rPr>
        <w:t>8 March 2017</w:t>
      </w:r>
      <w:r>
        <w:rPr>
          <w:rFonts w:ascii="Arial" w:hAnsi="Arial" w:cs="Arial"/>
          <w:i/>
        </w:rPr>
        <w:t>)</w:t>
      </w:r>
      <w:r>
        <w:rPr>
          <w:rFonts w:ascii="Arial" w:hAnsi="Arial" w:cs="Arial"/>
          <w:i/>
        </w:rPr>
        <w:tab/>
      </w:r>
    </w:p>
    <w:p w14:paraId="1CFF7143" w14:textId="77777777" w:rsidR="00963C65" w:rsidRPr="00E20EE0" w:rsidRDefault="00963C65" w:rsidP="00E20EE0">
      <w:pPr>
        <w:spacing w:line="360" w:lineRule="auto"/>
        <w:rPr>
          <w:rFonts w:ascii="Arial" w:hAnsi="Arial" w:cs="Arial"/>
          <w:b/>
        </w:rPr>
      </w:pPr>
      <w:r w:rsidRPr="00E20EE0">
        <w:rPr>
          <w:rFonts w:ascii="Arial" w:hAnsi="Arial" w:cs="Arial"/>
          <w:b/>
        </w:rPr>
        <w:t>CORAM:</w:t>
      </w:r>
      <w:r w:rsidRPr="00E20EE0">
        <w:rPr>
          <w:rFonts w:ascii="Arial" w:hAnsi="Arial" w:cs="Arial"/>
          <w:b/>
        </w:rPr>
        <w:tab/>
        <w:t>MASUKU J</w:t>
      </w:r>
    </w:p>
    <w:p w14:paraId="0EA8CE91" w14:textId="77777777" w:rsidR="00963C65" w:rsidRPr="00E20EE0" w:rsidRDefault="00963C65" w:rsidP="00E20EE0">
      <w:pPr>
        <w:spacing w:line="360" w:lineRule="auto"/>
        <w:rPr>
          <w:rFonts w:ascii="Arial" w:hAnsi="Arial" w:cs="Arial"/>
          <w:b/>
        </w:rPr>
      </w:pPr>
    </w:p>
    <w:p w14:paraId="66C7C681" w14:textId="3D61FC36" w:rsidR="00963C65" w:rsidRPr="00E20EE0" w:rsidRDefault="00E20EE0" w:rsidP="00E20EE0">
      <w:pPr>
        <w:spacing w:line="360" w:lineRule="auto"/>
        <w:rPr>
          <w:rFonts w:ascii="Arial" w:hAnsi="Arial" w:cs="Arial"/>
        </w:rPr>
      </w:pPr>
      <w:r>
        <w:rPr>
          <w:rFonts w:ascii="Arial" w:hAnsi="Arial" w:cs="Arial"/>
        </w:rPr>
        <w:t>Heard:</w:t>
      </w:r>
      <w:r>
        <w:rPr>
          <w:rFonts w:ascii="Arial" w:hAnsi="Arial" w:cs="Arial"/>
        </w:rPr>
        <w:tab/>
      </w:r>
      <w:r w:rsidR="00963C65" w:rsidRPr="00E20EE0">
        <w:rPr>
          <w:rFonts w:ascii="Arial" w:hAnsi="Arial" w:cs="Arial"/>
        </w:rPr>
        <w:t>16 February 2017</w:t>
      </w:r>
    </w:p>
    <w:p w14:paraId="191723E6" w14:textId="591DE199" w:rsidR="00963C65" w:rsidRPr="00E20EE0" w:rsidRDefault="0000282B" w:rsidP="00E20EE0">
      <w:pPr>
        <w:spacing w:line="360" w:lineRule="auto"/>
        <w:rPr>
          <w:rFonts w:ascii="Arial" w:hAnsi="Arial" w:cs="Arial"/>
        </w:rPr>
      </w:pPr>
      <w:r>
        <w:rPr>
          <w:rFonts w:ascii="Arial" w:hAnsi="Arial" w:cs="Arial"/>
        </w:rPr>
        <w:t>Delivered:</w:t>
      </w:r>
      <w:r>
        <w:rPr>
          <w:rFonts w:ascii="Arial" w:hAnsi="Arial" w:cs="Arial"/>
        </w:rPr>
        <w:tab/>
        <w:t>8</w:t>
      </w:r>
      <w:r w:rsidR="00963C65" w:rsidRPr="00E20EE0">
        <w:rPr>
          <w:rFonts w:ascii="Arial" w:hAnsi="Arial" w:cs="Arial"/>
        </w:rPr>
        <w:t xml:space="preserve"> March 2017</w:t>
      </w:r>
    </w:p>
    <w:p w14:paraId="27C8EAA6" w14:textId="77777777" w:rsidR="00963C65" w:rsidRPr="00E20EE0" w:rsidRDefault="00963C65" w:rsidP="00E20EE0">
      <w:pPr>
        <w:spacing w:line="360" w:lineRule="auto"/>
        <w:rPr>
          <w:rFonts w:ascii="Arial" w:hAnsi="Arial" w:cs="Arial"/>
        </w:rPr>
      </w:pPr>
    </w:p>
    <w:p w14:paraId="6F5FB180" w14:textId="77777777" w:rsidR="00760910" w:rsidRPr="00FC63FB" w:rsidRDefault="00760910" w:rsidP="00760910">
      <w:pPr>
        <w:spacing w:line="360" w:lineRule="auto"/>
        <w:jc w:val="both"/>
        <w:rPr>
          <w:rFonts w:ascii="Arial" w:hAnsi="Arial" w:cs="Arial"/>
        </w:rPr>
      </w:pPr>
      <w:r w:rsidRPr="004D6875">
        <w:rPr>
          <w:rFonts w:ascii="Arial" w:hAnsi="Arial" w:cs="Arial"/>
          <w:b/>
        </w:rPr>
        <w:t>FLYNOTE:</w:t>
      </w:r>
      <w:r>
        <w:rPr>
          <w:rFonts w:ascii="Arial" w:hAnsi="Arial" w:cs="Arial"/>
          <w:b/>
        </w:rPr>
        <w:tab/>
        <w:t xml:space="preserve">RULES OF COURT – Rule 61 – </w:t>
      </w:r>
      <w:r>
        <w:rPr>
          <w:rFonts w:ascii="Arial" w:hAnsi="Arial" w:cs="Arial"/>
        </w:rPr>
        <w:t xml:space="preserve">Summary Judgment – its nature and effect – Rule 65 - the nature of an application envisaged in s 64 of the Close Corporations Act 28 of 1988 (the Act) LEGISLATION – Close </w:t>
      </w:r>
      <w:r>
        <w:rPr>
          <w:rFonts w:ascii="Arial" w:hAnsi="Arial" w:cs="Arial"/>
        </w:rPr>
        <w:lastRenderedPageBreak/>
        <w:t>Corporation Act – Piercing the Corporate veil – Circumstances under which it can be done.</w:t>
      </w:r>
    </w:p>
    <w:p w14:paraId="45295C4F" w14:textId="77777777" w:rsidR="00760910" w:rsidRDefault="00760910" w:rsidP="00760910">
      <w:pPr>
        <w:spacing w:line="360" w:lineRule="auto"/>
        <w:rPr>
          <w:rFonts w:ascii="Arial" w:hAnsi="Arial" w:cs="Arial"/>
          <w:b/>
        </w:rPr>
      </w:pPr>
    </w:p>
    <w:p w14:paraId="5EC71040" w14:textId="77777777" w:rsidR="00760910" w:rsidRDefault="00760910" w:rsidP="00760910">
      <w:pPr>
        <w:spacing w:line="360" w:lineRule="auto"/>
        <w:jc w:val="both"/>
        <w:rPr>
          <w:rFonts w:ascii="Arial" w:hAnsi="Arial" w:cs="Arial"/>
        </w:rPr>
      </w:pPr>
      <w:r w:rsidRPr="004D6875">
        <w:rPr>
          <w:rFonts w:ascii="Arial" w:hAnsi="Arial" w:cs="Arial"/>
          <w:b/>
        </w:rPr>
        <w:t>SUMMARY:</w:t>
      </w:r>
      <w:r>
        <w:rPr>
          <w:rFonts w:ascii="Arial" w:hAnsi="Arial" w:cs="Arial"/>
          <w:b/>
        </w:rPr>
        <w:t xml:space="preserve"> </w:t>
      </w:r>
      <w:r>
        <w:rPr>
          <w:rFonts w:ascii="Arial" w:hAnsi="Arial" w:cs="Arial"/>
        </w:rPr>
        <w:t>The plaintiff a company incorporated in terms of the Company laws of , obtained a judgment by default against an entity trading as Kubaraf Development CC in the sum of N$ 521 729.70 plus interests and costs. The plaintiff sued the defendants in their personal capacities as alleged members of Kubaraf, as a result of alleged reckless trading or with intent to defraud creditors, and in particular the plaintiff. The main question for determination was whether one can move a summary judgment application based on section 64 of the Act without having made an application in terms of that section for a determination that the defendant should be held personally liable for the debt of the Corporation.</w:t>
      </w:r>
    </w:p>
    <w:p w14:paraId="15C74104" w14:textId="77777777" w:rsidR="00760910" w:rsidRDefault="00760910" w:rsidP="00760910">
      <w:pPr>
        <w:spacing w:line="360" w:lineRule="auto"/>
        <w:jc w:val="both"/>
        <w:rPr>
          <w:rFonts w:ascii="Arial" w:hAnsi="Arial" w:cs="Arial"/>
        </w:rPr>
      </w:pPr>
    </w:p>
    <w:p w14:paraId="18160129" w14:textId="77777777" w:rsidR="00760910" w:rsidRDefault="00760910" w:rsidP="00760910">
      <w:pPr>
        <w:spacing w:line="360" w:lineRule="auto"/>
        <w:jc w:val="both"/>
        <w:rPr>
          <w:rFonts w:ascii="Arial" w:hAnsi="Arial" w:cs="Arial"/>
        </w:rPr>
      </w:pPr>
      <w:r w:rsidRPr="00AA2169">
        <w:rPr>
          <w:rFonts w:ascii="Arial" w:hAnsi="Arial" w:cs="Arial"/>
          <w:i/>
        </w:rPr>
        <w:t>Held</w:t>
      </w:r>
      <w:r>
        <w:rPr>
          <w:rFonts w:ascii="Arial" w:hAnsi="Arial" w:cs="Arial"/>
        </w:rPr>
        <w:t xml:space="preserve"> – that the 2</w:t>
      </w:r>
      <w:r w:rsidRPr="00AA2169">
        <w:rPr>
          <w:rFonts w:ascii="Arial" w:hAnsi="Arial" w:cs="Arial"/>
          <w:vertAlign w:val="superscript"/>
        </w:rPr>
        <w:t>nd</w:t>
      </w:r>
      <w:r>
        <w:rPr>
          <w:rFonts w:ascii="Arial" w:hAnsi="Arial" w:cs="Arial"/>
        </w:rPr>
        <w:t xml:space="preserve"> defendant deposed on affidavit, together with supporting documents that she was never at any stage a member of the Close Corporation. The court held that that allegation raised a triable issue entitled the 2</w:t>
      </w:r>
      <w:r w:rsidRPr="00AA2169">
        <w:rPr>
          <w:rFonts w:ascii="Arial" w:hAnsi="Arial" w:cs="Arial"/>
          <w:vertAlign w:val="superscript"/>
        </w:rPr>
        <w:t>nd</w:t>
      </w:r>
      <w:r>
        <w:rPr>
          <w:rFonts w:ascii="Arial" w:hAnsi="Arial" w:cs="Arial"/>
        </w:rPr>
        <w:t xml:space="preserve"> defendant to leave to defend the action.</w:t>
      </w:r>
    </w:p>
    <w:p w14:paraId="1F37390B" w14:textId="77777777" w:rsidR="00760910" w:rsidRDefault="00760910" w:rsidP="00760910">
      <w:pPr>
        <w:spacing w:line="360" w:lineRule="auto"/>
        <w:jc w:val="both"/>
        <w:rPr>
          <w:rFonts w:ascii="Arial" w:hAnsi="Arial" w:cs="Arial"/>
        </w:rPr>
      </w:pPr>
      <w:r w:rsidRPr="002F2A6D">
        <w:rPr>
          <w:rFonts w:ascii="Arial" w:hAnsi="Arial" w:cs="Arial"/>
          <w:i/>
        </w:rPr>
        <w:t>Held further</w:t>
      </w:r>
      <w:r>
        <w:rPr>
          <w:rFonts w:ascii="Arial" w:hAnsi="Arial" w:cs="Arial"/>
        </w:rPr>
        <w:t xml:space="preserve"> – that the 1</w:t>
      </w:r>
      <w:r w:rsidRPr="002F2A6D">
        <w:rPr>
          <w:rFonts w:ascii="Arial" w:hAnsi="Arial" w:cs="Arial"/>
          <w:vertAlign w:val="superscript"/>
        </w:rPr>
        <w:t>st</w:t>
      </w:r>
      <w:r>
        <w:rPr>
          <w:rFonts w:ascii="Arial" w:hAnsi="Arial" w:cs="Arial"/>
        </w:rPr>
        <w:t xml:space="preserve"> defendant on oath denied the averrals attributed to the deputy sheriff regarding him having sold the assets of the Close corporation. The 1</w:t>
      </w:r>
      <w:r w:rsidRPr="002F2A6D">
        <w:rPr>
          <w:rFonts w:ascii="Arial" w:hAnsi="Arial" w:cs="Arial"/>
          <w:vertAlign w:val="superscript"/>
        </w:rPr>
        <w:t>st</w:t>
      </w:r>
      <w:r>
        <w:rPr>
          <w:rFonts w:ascii="Arial" w:hAnsi="Arial" w:cs="Arial"/>
        </w:rPr>
        <w:t xml:space="preserve"> defendant also deposed that he was involved in a serious motor vehicle accident that resulted in him being hospitalized for a long time, resulting in the business of the Close Corporation becoming moribund. The Court held that this allegation also constituted a triable issue and may have served to detract from an inference that the 1</w:t>
      </w:r>
      <w:r w:rsidRPr="002F2A6D">
        <w:rPr>
          <w:rFonts w:ascii="Arial" w:hAnsi="Arial" w:cs="Arial"/>
          <w:vertAlign w:val="superscript"/>
        </w:rPr>
        <w:t>st</w:t>
      </w:r>
      <w:r>
        <w:rPr>
          <w:rFonts w:ascii="Arial" w:hAnsi="Arial" w:cs="Arial"/>
        </w:rPr>
        <w:t xml:space="preserve"> defendant had traded in a gross negligent, fraudulent or reckless manner.</w:t>
      </w:r>
    </w:p>
    <w:p w14:paraId="249428D9" w14:textId="77777777" w:rsidR="00760910" w:rsidRDefault="00760910" w:rsidP="00760910">
      <w:pPr>
        <w:spacing w:line="360" w:lineRule="auto"/>
        <w:jc w:val="both"/>
        <w:rPr>
          <w:rFonts w:ascii="Arial" w:hAnsi="Arial" w:cs="Arial"/>
          <w:i/>
        </w:rPr>
      </w:pPr>
    </w:p>
    <w:p w14:paraId="62EFDC1B" w14:textId="77777777" w:rsidR="00760910" w:rsidRPr="00CA4354" w:rsidRDefault="00760910" w:rsidP="00760910">
      <w:pPr>
        <w:spacing w:line="360" w:lineRule="auto"/>
        <w:jc w:val="both"/>
        <w:rPr>
          <w:rFonts w:ascii="Arial" w:hAnsi="Arial" w:cs="Arial"/>
        </w:rPr>
      </w:pPr>
      <w:r w:rsidRPr="00CA4354">
        <w:rPr>
          <w:rFonts w:ascii="Arial" w:hAnsi="Arial" w:cs="Arial"/>
          <w:i/>
        </w:rPr>
        <w:t>Held</w:t>
      </w:r>
      <w:r w:rsidRPr="00CA4354">
        <w:rPr>
          <w:rFonts w:ascii="Arial" w:hAnsi="Arial" w:cs="Arial"/>
        </w:rPr>
        <w:t xml:space="preserve"> – that an application envisaged in s 64 comprises of a notice of motion, accompanied by an affidavit or affidavits as provided in rule 65 of the High Court rules, setting out the basis for the liability claimed. </w:t>
      </w:r>
    </w:p>
    <w:p w14:paraId="26DBD865" w14:textId="77777777" w:rsidR="00760910" w:rsidRDefault="00760910" w:rsidP="00760910">
      <w:pPr>
        <w:spacing w:line="360" w:lineRule="auto"/>
        <w:jc w:val="both"/>
        <w:rPr>
          <w:rFonts w:ascii="Arial" w:hAnsi="Arial" w:cs="Arial"/>
          <w:i/>
        </w:rPr>
      </w:pPr>
    </w:p>
    <w:p w14:paraId="5B095356" w14:textId="77777777" w:rsidR="00760910" w:rsidRDefault="00760910" w:rsidP="00760910">
      <w:pPr>
        <w:spacing w:line="360" w:lineRule="auto"/>
        <w:jc w:val="both"/>
        <w:rPr>
          <w:rFonts w:ascii="Arial" w:hAnsi="Arial" w:cs="Arial"/>
        </w:rPr>
      </w:pPr>
      <w:r w:rsidRPr="00AA2169">
        <w:rPr>
          <w:rFonts w:ascii="Arial" w:hAnsi="Arial" w:cs="Arial"/>
          <w:i/>
        </w:rPr>
        <w:t>Held further</w:t>
      </w:r>
      <w:r w:rsidRPr="00CA4354">
        <w:rPr>
          <w:rFonts w:ascii="Arial" w:hAnsi="Arial" w:cs="Arial"/>
        </w:rPr>
        <w:t xml:space="preserve"> – that a close corporation has a separate juristic personality from its members and for that reason it should be held liable for debts it incurs.</w:t>
      </w:r>
      <w:r>
        <w:rPr>
          <w:rFonts w:ascii="Arial" w:hAnsi="Arial" w:cs="Arial"/>
        </w:rPr>
        <w:t xml:space="preserve"> That notwithstanding, where it is alleged that a member conducted the </w:t>
      </w:r>
      <w:r>
        <w:rPr>
          <w:rFonts w:ascii="Arial" w:hAnsi="Arial" w:cs="Arial"/>
        </w:rPr>
        <w:lastRenderedPageBreak/>
        <w:t>business of the corporation in a gross negligent, fraudulent or reckless manner, on application by the Master of the High Court, a creditor or liquidator etc., the court may order that a member or such other person who acted in the manner described above should be held personally liable.</w:t>
      </w:r>
    </w:p>
    <w:p w14:paraId="0FCEF05F" w14:textId="77777777" w:rsidR="00760910" w:rsidRDefault="00760910" w:rsidP="00760910">
      <w:pPr>
        <w:spacing w:line="360" w:lineRule="auto"/>
        <w:jc w:val="both"/>
        <w:rPr>
          <w:rFonts w:ascii="Arial" w:hAnsi="Arial" w:cs="Arial"/>
        </w:rPr>
      </w:pPr>
    </w:p>
    <w:p w14:paraId="10E83618" w14:textId="77777777" w:rsidR="00760910" w:rsidRDefault="00760910" w:rsidP="00760910">
      <w:pPr>
        <w:spacing w:line="360" w:lineRule="auto"/>
        <w:jc w:val="both"/>
        <w:rPr>
          <w:rFonts w:ascii="Arial" w:hAnsi="Arial" w:cs="Arial"/>
        </w:rPr>
      </w:pPr>
      <w:r w:rsidRPr="00AA2169">
        <w:rPr>
          <w:rFonts w:ascii="Arial" w:hAnsi="Arial" w:cs="Arial"/>
          <w:i/>
        </w:rPr>
        <w:t xml:space="preserve">Held further – </w:t>
      </w:r>
      <w:r w:rsidRPr="00AA2169">
        <w:rPr>
          <w:rFonts w:ascii="Arial" w:hAnsi="Arial" w:cs="Arial"/>
        </w:rPr>
        <w:t xml:space="preserve">that a plaintiff may not sue for a debt allegedly owed to it by a member </w:t>
      </w:r>
      <w:r>
        <w:rPr>
          <w:rFonts w:ascii="Arial" w:hAnsi="Arial" w:cs="Arial"/>
        </w:rPr>
        <w:t>based on s64 unless and until (1) the court has determined upon an application filed that the defendant conducted the corporations business in a gross negligent, fraudulent or reckless manner; (2) the court has determined the extent of the defendant’s liability i.e. whether the latter should pay all or part of the debts claimed.</w:t>
      </w:r>
    </w:p>
    <w:p w14:paraId="0A2661D9" w14:textId="77777777" w:rsidR="0049532D" w:rsidRPr="00E20EE0" w:rsidRDefault="0049532D" w:rsidP="00E20EE0">
      <w:pPr>
        <w:spacing w:line="360" w:lineRule="auto"/>
        <w:rPr>
          <w:rFonts w:ascii="Arial" w:hAnsi="Arial" w:cs="Arial"/>
        </w:rPr>
      </w:pPr>
    </w:p>
    <w:p w14:paraId="7D8471C8" w14:textId="77777777" w:rsidR="0049532D" w:rsidRPr="00E20EE0" w:rsidRDefault="0049532D" w:rsidP="00E20EE0">
      <w:pPr>
        <w:pBdr>
          <w:bottom w:val="single" w:sz="6" w:space="1" w:color="auto"/>
        </w:pBdr>
        <w:rPr>
          <w:rFonts w:ascii="Arial" w:hAnsi="Arial" w:cs="Arial"/>
        </w:rPr>
      </w:pPr>
    </w:p>
    <w:p w14:paraId="7F738A1D" w14:textId="77777777" w:rsidR="0049532D" w:rsidRPr="00E20EE0" w:rsidRDefault="0049532D" w:rsidP="00E20EE0">
      <w:pPr>
        <w:rPr>
          <w:rFonts w:ascii="Arial" w:hAnsi="Arial" w:cs="Arial"/>
        </w:rPr>
      </w:pPr>
    </w:p>
    <w:p w14:paraId="54C9BCE4" w14:textId="3D7C10DA" w:rsidR="0049532D" w:rsidRPr="00E20EE0" w:rsidRDefault="0049532D" w:rsidP="00E20EE0">
      <w:pPr>
        <w:jc w:val="center"/>
        <w:rPr>
          <w:rFonts w:ascii="Arial" w:hAnsi="Arial" w:cs="Arial"/>
          <w:b/>
        </w:rPr>
      </w:pPr>
      <w:r w:rsidRPr="00E20EE0">
        <w:rPr>
          <w:rFonts w:ascii="Arial" w:hAnsi="Arial" w:cs="Arial"/>
          <w:b/>
        </w:rPr>
        <w:t>ORDER</w:t>
      </w:r>
    </w:p>
    <w:p w14:paraId="5A605A7B" w14:textId="77777777" w:rsidR="0049532D" w:rsidRPr="00E20EE0" w:rsidRDefault="0049532D" w:rsidP="00E20EE0">
      <w:pPr>
        <w:pBdr>
          <w:bottom w:val="single" w:sz="6" w:space="1" w:color="auto"/>
        </w:pBdr>
        <w:spacing w:line="360" w:lineRule="auto"/>
        <w:jc w:val="center"/>
        <w:rPr>
          <w:rFonts w:ascii="Arial" w:hAnsi="Arial" w:cs="Arial"/>
          <w:b/>
        </w:rPr>
      </w:pPr>
    </w:p>
    <w:p w14:paraId="0A127182" w14:textId="77777777" w:rsidR="0049532D" w:rsidRPr="00E20EE0" w:rsidRDefault="0049532D" w:rsidP="00E20EE0">
      <w:pPr>
        <w:spacing w:line="360" w:lineRule="auto"/>
        <w:rPr>
          <w:rFonts w:ascii="Arial" w:hAnsi="Arial" w:cs="Arial"/>
          <w:b/>
        </w:rPr>
      </w:pPr>
    </w:p>
    <w:p w14:paraId="0F52740F" w14:textId="77777777" w:rsidR="0049532D" w:rsidRPr="00E20EE0" w:rsidRDefault="0049532D" w:rsidP="00E20EE0">
      <w:pPr>
        <w:spacing w:line="360" w:lineRule="auto"/>
        <w:rPr>
          <w:rFonts w:ascii="Arial" w:hAnsi="Arial" w:cs="Arial"/>
          <w:b/>
        </w:rPr>
      </w:pPr>
    </w:p>
    <w:p w14:paraId="1F62BA10" w14:textId="4F35930E" w:rsidR="00E20EE0" w:rsidRPr="00BD4CB6" w:rsidRDefault="00BD4CB6" w:rsidP="00BD4CB6">
      <w:pPr>
        <w:spacing w:line="360" w:lineRule="auto"/>
        <w:ind w:left="720" w:hanging="360"/>
        <w:jc w:val="both"/>
        <w:rPr>
          <w:rFonts w:ascii="Arial" w:hAnsi="Arial" w:cs="Arial"/>
        </w:rPr>
      </w:pPr>
      <w:r w:rsidRPr="00E20EE0">
        <w:rPr>
          <w:rFonts w:ascii="Arial" w:hAnsi="Arial" w:cs="Arial"/>
        </w:rPr>
        <w:t>1.</w:t>
      </w:r>
      <w:r w:rsidRPr="00E20EE0">
        <w:rPr>
          <w:rFonts w:ascii="Arial" w:hAnsi="Arial" w:cs="Arial"/>
        </w:rPr>
        <w:tab/>
      </w:r>
      <w:r w:rsidR="00E20EE0" w:rsidRPr="00BD4CB6">
        <w:rPr>
          <w:rFonts w:ascii="Arial" w:hAnsi="Arial" w:cs="Arial"/>
        </w:rPr>
        <w:t>The application for summary judgment against both the 1</w:t>
      </w:r>
      <w:r w:rsidR="00E20EE0" w:rsidRPr="00BD4CB6">
        <w:rPr>
          <w:rFonts w:ascii="Arial" w:hAnsi="Arial" w:cs="Arial"/>
          <w:vertAlign w:val="superscript"/>
        </w:rPr>
        <w:t>st</w:t>
      </w:r>
      <w:r w:rsidR="00E20EE0" w:rsidRPr="00BD4CB6">
        <w:rPr>
          <w:rFonts w:ascii="Arial" w:hAnsi="Arial" w:cs="Arial"/>
        </w:rPr>
        <w:t xml:space="preserve"> defendant and the 2</w:t>
      </w:r>
      <w:r w:rsidR="00E20EE0" w:rsidRPr="00BD4CB6">
        <w:rPr>
          <w:rFonts w:ascii="Arial" w:hAnsi="Arial" w:cs="Arial"/>
          <w:vertAlign w:val="superscript"/>
        </w:rPr>
        <w:t>nd</w:t>
      </w:r>
      <w:r w:rsidR="00E20EE0" w:rsidRPr="00BD4CB6">
        <w:rPr>
          <w:rFonts w:ascii="Arial" w:hAnsi="Arial" w:cs="Arial"/>
        </w:rPr>
        <w:t xml:space="preserve"> defendant is dismissed with costs.</w:t>
      </w:r>
    </w:p>
    <w:p w14:paraId="2988A958" w14:textId="610B32A0" w:rsidR="00E20EE0" w:rsidRPr="00BD4CB6" w:rsidRDefault="00BD4CB6" w:rsidP="00BD4CB6">
      <w:pPr>
        <w:spacing w:line="360" w:lineRule="auto"/>
        <w:ind w:left="720" w:hanging="360"/>
        <w:jc w:val="both"/>
        <w:rPr>
          <w:rFonts w:ascii="Arial" w:hAnsi="Arial" w:cs="Arial"/>
        </w:rPr>
      </w:pPr>
      <w:r w:rsidRPr="00E20EE0">
        <w:rPr>
          <w:rFonts w:ascii="Arial" w:hAnsi="Arial" w:cs="Arial"/>
        </w:rPr>
        <w:t>2.</w:t>
      </w:r>
      <w:r w:rsidRPr="00E20EE0">
        <w:rPr>
          <w:rFonts w:ascii="Arial" w:hAnsi="Arial" w:cs="Arial"/>
        </w:rPr>
        <w:tab/>
      </w:r>
      <w:r w:rsidR="00E20EE0" w:rsidRPr="00BD4CB6">
        <w:rPr>
          <w:rFonts w:ascii="Arial" w:hAnsi="Arial" w:cs="Arial"/>
        </w:rPr>
        <w:t>The matter is postponed to 29 March 2017 at 15:15 hrs, for a status hearing regarding the future conduct of the matter.</w:t>
      </w:r>
    </w:p>
    <w:p w14:paraId="7AD54AEA" w14:textId="1DA9A80A" w:rsidR="00E20EE0" w:rsidRPr="00BD4CB6" w:rsidRDefault="00BD4CB6" w:rsidP="00BD4CB6">
      <w:pPr>
        <w:spacing w:line="360" w:lineRule="auto"/>
        <w:ind w:left="720" w:hanging="360"/>
        <w:jc w:val="both"/>
        <w:rPr>
          <w:rFonts w:ascii="Arial" w:hAnsi="Arial" w:cs="Arial"/>
        </w:rPr>
      </w:pPr>
      <w:r w:rsidRPr="00E20EE0">
        <w:rPr>
          <w:rFonts w:ascii="Arial" w:hAnsi="Arial" w:cs="Arial"/>
        </w:rPr>
        <w:t>3.</w:t>
      </w:r>
      <w:r w:rsidRPr="00E20EE0">
        <w:rPr>
          <w:rFonts w:ascii="Arial" w:hAnsi="Arial" w:cs="Arial"/>
        </w:rPr>
        <w:tab/>
      </w:r>
      <w:r w:rsidR="00E20EE0" w:rsidRPr="00BD4CB6">
        <w:rPr>
          <w:rFonts w:ascii="Arial" w:hAnsi="Arial" w:cs="Arial"/>
        </w:rPr>
        <w:t>The parties are ordered to file a status report at least three (3) days before the hearing referred to in para 2 above stating proposals for the advancement of the matter, particularly in light of this judgment.</w:t>
      </w:r>
    </w:p>
    <w:p w14:paraId="5E48C006" w14:textId="77777777" w:rsidR="0049532D" w:rsidRPr="00E20EE0" w:rsidRDefault="0049532D" w:rsidP="00E20EE0">
      <w:pPr>
        <w:spacing w:line="360" w:lineRule="auto"/>
        <w:rPr>
          <w:rFonts w:ascii="Arial" w:hAnsi="Arial" w:cs="Arial"/>
          <w:b/>
        </w:rPr>
      </w:pPr>
    </w:p>
    <w:p w14:paraId="6D86CEA9" w14:textId="77777777" w:rsidR="00963C65" w:rsidRPr="00E20EE0" w:rsidRDefault="00963C65" w:rsidP="00E20EE0">
      <w:pPr>
        <w:pBdr>
          <w:bottom w:val="single" w:sz="6" w:space="1" w:color="auto"/>
        </w:pBdr>
        <w:spacing w:line="360" w:lineRule="auto"/>
        <w:rPr>
          <w:rFonts w:ascii="Arial" w:hAnsi="Arial" w:cs="Arial"/>
        </w:rPr>
      </w:pPr>
    </w:p>
    <w:p w14:paraId="67B324A6" w14:textId="77777777" w:rsidR="00963C65" w:rsidRPr="00E20EE0" w:rsidRDefault="00963C65" w:rsidP="00E20EE0">
      <w:pPr>
        <w:rPr>
          <w:rFonts w:ascii="Arial" w:hAnsi="Arial" w:cs="Arial"/>
        </w:rPr>
      </w:pPr>
    </w:p>
    <w:p w14:paraId="5E91ECDD" w14:textId="77777777" w:rsidR="00963C65" w:rsidRPr="00E20EE0" w:rsidRDefault="00963C65" w:rsidP="00E20EE0">
      <w:pPr>
        <w:jc w:val="center"/>
        <w:rPr>
          <w:rFonts w:ascii="Arial" w:hAnsi="Arial" w:cs="Arial"/>
          <w:b/>
        </w:rPr>
      </w:pPr>
      <w:r w:rsidRPr="00E20EE0">
        <w:rPr>
          <w:rFonts w:ascii="Arial" w:hAnsi="Arial" w:cs="Arial"/>
          <w:b/>
        </w:rPr>
        <w:t>JUDGMENT</w:t>
      </w:r>
    </w:p>
    <w:p w14:paraId="1F38BE18" w14:textId="77777777" w:rsidR="00963C65" w:rsidRPr="00E20EE0" w:rsidRDefault="00963C65" w:rsidP="00E20EE0">
      <w:pPr>
        <w:pBdr>
          <w:bottom w:val="single" w:sz="6" w:space="1" w:color="auto"/>
        </w:pBdr>
        <w:jc w:val="center"/>
        <w:rPr>
          <w:rFonts w:ascii="Arial" w:hAnsi="Arial" w:cs="Arial"/>
          <w:b/>
        </w:rPr>
      </w:pPr>
    </w:p>
    <w:p w14:paraId="5EE15018" w14:textId="77777777" w:rsidR="00963C65" w:rsidRPr="00E20EE0" w:rsidRDefault="00963C65" w:rsidP="00E20EE0">
      <w:pPr>
        <w:spacing w:line="360" w:lineRule="auto"/>
        <w:rPr>
          <w:rFonts w:ascii="Arial" w:hAnsi="Arial" w:cs="Arial"/>
          <w:b/>
        </w:rPr>
      </w:pPr>
    </w:p>
    <w:p w14:paraId="04CA9D76" w14:textId="77777777" w:rsidR="00963C65" w:rsidRPr="00E20EE0" w:rsidRDefault="00963C65" w:rsidP="00E20EE0">
      <w:pPr>
        <w:spacing w:line="360" w:lineRule="auto"/>
        <w:rPr>
          <w:rFonts w:ascii="Arial" w:hAnsi="Arial" w:cs="Arial"/>
          <w:b/>
        </w:rPr>
      </w:pPr>
      <w:r w:rsidRPr="00E20EE0">
        <w:rPr>
          <w:rFonts w:ascii="Arial" w:hAnsi="Arial" w:cs="Arial"/>
          <w:b/>
        </w:rPr>
        <w:t>MASUKU J:,</w:t>
      </w:r>
    </w:p>
    <w:p w14:paraId="6C076B31" w14:textId="77777777" w:rsidR="00963C65" w:rsidRPr="00E20EE0" w:rsidRDefault="00963C65" w:rsidP="00E20EE0">
      <w:pPr>
        <w:spacing w:line="360" w:lineRule="auto"/>
        <w:rPr>
          <w:rFonts w:ascii="Arial" w:hAnsi="Arial" w:cs="Arial"/>
          <w:b/>
        </w:rPr>
      </w:pPr>
    </w:p>
    <w:p w14:paraId="73A820E5" w14:textId="77777777" w:rsidR="00963C65" w:rsidRPr="00E20EE0" w:rsidRDefault="00963C65" w:rsidP="00E20EE0">
      <w:pPr>
        <w:spacing w:line="360" w:lineRule="auto"/>
        <w:rPr>
          <w:rFonts w:ascii="Arial" w:hAnsi="Arial" w:cs="Arial"/>
          <w:u w:val="single"/>
        </w:rPr>
      </w:pPr>
      <w:r w:rsidRPr="00E20EE0">
        <w:rPr>
          <w:rFonts w:ascii="Arial" w:hAnsi="Arial" w:cs="Arial"/>
          <w:u w:val="single"/>
        </w:rPr>
        <w:t>Introduction</w:t>
      </w:r>
      <w:r w:rsidR="00514D3E" w:rsidRPr="00E20EE0">
        <w:rPr>
          <w:rFonts w:ascii="Arial" w:hAnsi="Arial" w:cs="Arial"/>
          <w:u w:val="single"/>
        </w:rPr>
        <w:t xml:space="preserve"> and background</w:t>
      </w:r>
    </w:p>
    <w:p w14:paraId="1402F930" w14:textId="77777777" w:rsidR="00963C65" w:rsidRPr="00E20EE0" w:rsidRDefault="00963C65" w:rsidP="00E20EE0">
      <w:pPr>
        <w:spacing w:line="360" w:lineRule="auto"/>
        <w:rPr>
          <w:rFonts w:ascii="Arial" w:hAnsi="Arial" w:cs="Arial"/>
          <w:u w:val="single"/>
        </w:rPr>
      </w:pPr>
    </w:p>
    <w:p w14:paraId="511E73FD" w14:textId="762C459D" w:rsidR="00963C65" w:rsidRPr="00E20EE0" w:rsidRDefault="00963C65" w:rsidP="00E20EE0">
      <w:pPr>
        <w:spacing w:line="360" w:lineRule="auto"/>
        <w:jc w:val="both"/>
        <w:rPr>
          <w:rFonts w:ascii="Arial" w:hAnsi="Arial" w:cs="Arial"/>
        </w:rPr>
      </w:pPr>
      <w:r w:rsidRPr="00E20EE0">
        <w:rPr>
          <w:rFonts w:ascii="Arial" w:hAnsi="Arial" w:cs="Arial"/>
        </w:rPr>
        <w:lastRenderedPageBreak/>
        <w:t>[1]</w:t>
      </w:r>
      <w:r w:rsidRPr="00E20EE0">
        <w:rPr>
          <w:rFonts w:ascii="Arial" w:hAnsi="Arial" w:cs="Arial"/>
        </w:rPr>
        <w:tab/>
        <w:t>This is an opposed application for summary judgment.</w:t>
      </w:r>
      <w:r w:rsidR="000B6802" w:rsidRPr="00E20EE0">
        <w:rPr>
          <w:rFonts w:ascii="Arial" w:hAnsi="Arial" w:cs="Arial"/>
        </w:rPr>
        <w:t xml:space="preserve">  Briefly stated, the application arises in the following circumstances: The plaintiff, a company duly incorporated in terms of this country’s Company Laws with its principal place of business situate at 233 Nickle Street, Prosperita, in Windhoek, on 21 July 2016, obtained a judgment by default against entity known as Kubaraf Development Enterprises CC</w:t>
      </w:r>
      <w:r w:rsidR="00105FC3" w:rsidRPr="00E20EE0">
        <w:rPr>
          <w:rFonts w:ascii="Arial" w:hAnsi="Arial" w:cs="Arial"/>
        </w:rPr>
        <w:t>, (Kubaraf)</w:t>
      </w:r>
      <w:r w:rsidR="000B6802" w:rsidRPr="00E20EE0">
        <w:rPr>
          <w:rFonts w:ascii="Arial" w:hAnsi="Arial" w:cs="Arial"/>
        </w:rPr>
        <w:t>.</w:t>
      </w:r>
    </w:p>
    <w:p w14:paraId="18548AAD" w14:textId="77777777" w:rsidR="000B6802" w:rsidRPr="00E20EE0" w:rsidRDefault="000B6802" w:rsidP="00E20EE0">
      <w:pPr>
        <w:spacing w:line="360" w:lineRule="auto"/>
        <w:jc w:val="both"/>
        <w:rPr>
          <w:rFonts w:ascii="Arial" w:hAnsi="Arial" w:cs="Arial"/>
        </w:rPr>
      </w:pPr>
    </w:p>
    <w:p w14:paraId="7E58D98C" w14:textId="1F603275" w:rsidR="000B6802" w:rsidRPr="00E20EE0" w:rsidRDefault="000B6802" w:rsidP="00E20EE0">
      <w:pPr>
        <w:spacing w:line="360" w:lineRule="auto"/>
        <w:jc w:val="both"/>
        <w:rPr>
          <w:rFonts w:ascii="Arial" w:hAnsi="Arial" w:cs="Arial"/>
        </w:rPr>
      </w:pPr>
      <w:r w:rsidRPr="00E20EE0">
        <w:rPr>
          <w:rFonts w:ascii="Arial" w:hAnsi="Arial" w:cs="Arial"/>
        </w:rPr>
        <w:t>[2]</w:t>
      </w:r>
      <w:r w:rsidRPr="00E20EE0">
        <w:rPr>
          <w:rFonts w:ascii="Arial" w:hAnsi="Arial" w:cs="Arial"/>
        </w:rPr>
        <w:tab/>
        <w:t>The judgment was for payment of an amount of N$ 521 729.70, interest and costs. It would appear that when the Deputy Sheriff attempted to execute a writ issued by the Registrar of this Court, no realisable property</w:t>
      </w:r>
      <w:r w:rsidR="00E502EA">
        <w:rPr>
          <w:rFonts w:ascii="Arial" w:hAnsi="Arial" w:cs="Arial"/>
        </w:rPr>
        <w:t xml:space="preserve"> could be found at Kubaraf’s</w:t>
      </w:r>
      <w:r w:rsidRPr="00E20EE0">
        <w:rPr>
          <w:rFonts w:ascii="Arial" w:hAnsi="Arial" w:cs="Arial"/>
        </w:rPr>
        <w:t xml:space="preserve"> premises</w:t>
      </w:r>
      <w:r w:rsidR="00E502EA">
        <w:rPr>
          <w:rFonts w:ascii="Arial" w:hAnsi="Arial" w:cs="Arial"/>
        </w:rPr>
        <w:t>, the judgment debtor</w:t>
      </w:r>
      <w:r w:rsidRPr="00E20EE0">
        <w:rPr>
          <w:rFonts w:ascii="Arial" w:hAnsi="Arial" w:cs="Arial"/>
        </w:rPr>
        <w:t>. It is actually alleged that the 1</w:t>
      </w:r>
      <w:r w:rsidRPr="00E20EE0">
        <w:rPr>
          <w:rFonts w:ascii="Arial" w:hAnsi="Arial" w:cs="Arial"/>
          <w:vertAlign w:val="superscript"/>
        </w:rPr>
        <w:t>st</w:t>
      </w:r>
      <w:r w:rsidRPr="00E20EE0">
        <w:rPr>
          <w:rFonts w:ascii="Arial" w:hAnsi="Arial" w:cs="Arial"/>
        </w:rPr>
        <w:t xml:space="preserve"> defendant informed the Deputy Sheriff</w:t>
      </w:r>
      <w:r w:rsidR="00105FC3" w:rsidRPr="00E20EE0">
        <w:rPr>
          <w:rFonts w:ascii="Arial" w:hAnsi="Arial" w:cs="Arial"/>
        </w:rPr>
        <w:t xml:space="preserve"> that</w:t>
      </w:r>
      <w:r w:rsidRPr="00E20EE0">
        <w:rPr>
          <w:rFonts w:ascii="Arial" w:hAnsi="Arial" w:cs="Arial"/>
        </w:rPr>
        <w:t xml:space="preserve"> Kubaraf had sold all its assets to another entity known as Emro Technical Services. It is averred </w:t>
      </w:r>
      <w:r w:rsidR="00105FC3" w:rsidRPr="00E20EE0">
        <w:rPr>
          <w:rFonts w:ascii="Arial" w:hAnsi="Arial" w:cs="Arial"/>
        </w:rPr>
        <w:t xml:space="preserve">further </w:t>
      </w:r>
      <w:r w:rsidRPr="00E20EE0">
        <w:rPr>
          <w:rFonts w:ascii="Arial" w:hAnsi="Arial" w:cs="Arial"/>
        </w:rPr>
        <w:t xml:space="preserve">that the Deputy Sheriff was </w:t>
      </w:r>
      <w:r w:rsidR="00105FC3" w:rsidRPr="00E20EE0">
        <w:rPr>
          <w:rFonts w:ascii="Arial" w:hAnsi="Arial" w:cs="Arial"/>
        </w:rPr>
        <w:t>denied access to</w:t>
      </w:r>
      <w:r w:rsidRPr="00E20EE0">
        <w:rPr>
          <w:rFonts w:ascii="Arial" w:hAnsi="Arial" w:cs="Arial"/>
        </w:rPr>
        <w:t xml:space="preserve"> Kubaraf</w:t>
      </w:r>
      <w:r w:rsidR="00105FC3" w:rsidRPr="00E20EE0">
        <w:rPr>
          <w:rFonts w:ascii="Arial" w:hAnsi="Arial" w:cs="Arial"/>
        </w:rPr>
        <w:t>’s premises</w:t>
      </w:r>
      <w:r w:rsidRPr="00E20EE0">
        <w:rPr>
          <w:rFonts w:ascii="Arial" w:hAnsi="Arial" w:cs="Arial"/>
        </w:rPr>
        <w:t>.</w:t>
      </w:r>
    </w:p>
    <w:p w14:paraId="319ED3BC" w14:textId="77777777" w:rsidR="00514D3E" w:rsidRPr="00E20EE0" w:rsidRDefault="00514D3E" w:rsidP="00E20EE0">
      <w:pPr>
        <w:spacing w:line="360" w:lineRule="auto"/>
        <w:jc w:val="both"/>
        <w:rPr>
          <w:rFonts w:ascii="Arial" w:hAnsi="Arial" w:cs="Arial"/>
        </w:rPr>
      </w:pPr>
    </w:p>
    <w:p w14:paraId="352DA126" w14:textId="7FFAD72E" w:rsidR="00514D3E" w:rsidRPr="00E20EE0" w:rsidRDefault="00514D3E" w:rsidP="00E20EE0">
      <w:pPr>
        <w:spacing w:line="360" w:lineRule="auto"/>
        <w:jc w:val="both"/>
        <w:rPr>
          <w:rFonts w:ascii="Arial" w:hAnsi="Arial" w:cs="Arial"/>
        </w:rPr>
      </w:pPr>
      <w:r w:rsidRPr="00E20EE0">
        <w:rPr>
          <w:rFonts w:ascii="Arial" w:hAnsi="Arial" w:cs="Arial"/>
        </w:rPr>
        <w:t>[3]</w:t>
      </w:r>
      <w:r w:rsidRPr="00E20EE0">
        <w:rPr>
          <w:rFonts w:ascii="Arial" w:hAnsi="Arial" w:cs="Arial"/>
        </w:rPr>
        <w:tab/>
        <w:t>The present claim is lodged against the 1</w:t>
      </w:r>
      <w:r w:rsidRPr="00E20EE0">
        <w:rPr>
          <w:rFonts w:ascii="Arial" w:hAnsi="Arial" w:cs="Arial"/>
          <w:vertAlign w:val="superscript"/>
        </w:rPr>
        <w:t>st</w:t>
      </w:r>
      <w:r w:rsidRPr="00E20EE0">
        <w:rPr>
          <w:rFonts w:ascii="Arial" w:hAnsi="Arial" w:cs="Arial"/>
        </w:rPr>
        <w:t xml:space="preserve"> defendant, Mr. Robert Coetzee and Mrs</w:t>
      </w:r>
      <w:r w:rsidR="006D4251" w:rsidRPr="00E20EE0">
        <w:rPr>
          <w:rFonts w:ascii="Arial" w:hAnsi="Arial" w:cs="Arial"/>
        </w:rPr>
        <w:t>.</w:t>
      </w:r>
      <w:r w:rsidRPr="00E20EE0">
        <w:rPr>
          <w:rFonts w:ascii="Arial" w:hAnsi="Arial" w:cs="Arial"/>
        </w:rPr>
        <w:t xml:space="preserve"> Emgard Coetzee, who it is alleged are members of Kubaraf. The plaintiff </w:t>
      </w:r>
      <w:r w:rsidR="008E7FDE" w:rsidRPr="00E20EE0">
        <w:rPr>
          <w:rFonts w:ascii="Arial" w:hAnsi="Arial" w:cs="Arial"/>
        </w:rPr>
        <w:t xml:space="preserve">accordingly </w:t>
      </w:r>
      <w:r w:rsidRPr="00E20EE0">
        <w:rPr>
          <w:rFonts w:ascii="Arial" w:hAnsi="Arial" w:cs="Arial"/>
        </w:rPr>
        <w:t>claims the entire amount stated in para [2] above against both defendants. From a reading of the particulars of claim, it is averred that the suit against them is in terms of s. 64 of the Close Corporations Act,</w:t>
      </w:r>
      <w:r w:rsidRPr="00E20EE0">
        <w:rPr>
          <w:rStyle w:val="FootnoteReference"/>
          <w:rFonts w:ascii="Arial" w:hAnsi="Arial" w:cs="Arial"/>
        </w:rPr>
        <w:footnoteReference w:id="1"/>
      </w:r>
      <w:r w:rsidRPr="00E20EE0">
        <w:rPr>
          <w:rFonts w:ascii="Arial" w:hAnsi="Arial" w:cs="Arial"/>
        </w:rPr>
        <w:t xml:space="preserve"> </w:t>
      </w:r>
      <w:r w:rsidR="00807354" w:rsidRPr="00E20EE0">
        <w:rPr>
          <w:rFonts w:ascii="Arial" w:hAnsi="Arial" w:cs="Arial"/>
        </w:rPr>
        <w:t xml:space="preserve">(‘the Act’), </w:t>
      </w:r>
      <w:r w:rsidRPr="00E20EE0">
        <w:rPr>
          <w:rFonts w:ascii="Arial" w:hAnsi="Arial" w:cs="Arial"/>
        </w:rPr>
        <w:t>it being alleged that both defendants carried on the b</w:t>
      </w:r>
      <w:r w:rsidR="008E7FDE" w:rsidRPr="00E20EE0">
        <w:rPr>
          <w:rFonts w:ascii="Arial" w:hAnsi="Arial" w:cs="Arial"/>
        </w:rPr>
        <w:t>usiness of the Kubaraf</w:t>
      </w:r>
      <w:r w:rsidRPr="00E20EE0">
        <w:rPr>
          <w:rFonts w:ascii="Arial" w:hAnsi="Arial" w:cs="Arial"/>
        </w:rPr>
        <w:t xml:space="preserve"> recklessly or with the intent to defraud creditors, in particular, the plaintiff.</w:t>
      </w:r>
    </w:p>
    <w:p w14:paraId="328BFE14" w14:textId="77777777" w:rsidR="00514D3E" w:rsidRPr="00E20EE0" w:rsidRDefault="00514D3E" w:rsidP="00E20EE0">
      <w:pPr>
        <w:spacing w:line="360" w:lineRule="auto"/>
        <w:jc w:val="both"/>
        <w:rPr>
          <w:rFonts w:ascii="Arial" w:hAnsi="Arial" w:cs="Arial"/>
        </w:rPr>
      </w:pPr>
    </w:p>
    <w:p w14:paraId="3F9F25D9" w14:textId="78630309" w:rsidR="00514D3E" w:rsidRPr="00E20EE0" w:rsidRDefault="00514D3E" w:rsidP="00E20EE0">
      <w:pPr>
        <w:spacing w:line="360" w:lineRule="auto"/>
        <w:jc w:val="both"/>
        <w:rPr>
          <w:rFonts w:ascii="Arial" w:hAnsi="Arial" w:cs="Arial"/>
        </w:rPr>
      </w:pPr>
      <w:r w:rsidRPr="00E20EE0">
        <w:rPr>
          <w:rFonts w:ascii="Arial" w:hAnsi="Arial" w:cs="Arial"/>
        </w:rPr>
        <w:t>[4]</w:t>
      </w:r>
      <w:r w:rsidRPr="00E20EE0">
        <w:rPr>
          <w:rFonts w:ascii="Arial" w:hAnsi="Arial" w:cs="Arial"/>
        </w:rPr>
        <w:tab/>
        <w:t xml:space="preserve">The plaintiff accordingly avers that it will apply to the court to declare the defendants cited above personally </w:t>
      </w:r>
      <w:r w:rsidR="008E7FDE" w:rsidRPr="00E20EE0">
        <w:rPr>
          <w:rFonts w:ascii="Arial" w:hAnsi="Arial" w:cs="Arial"/>
        </w:rPr>
        <w:t>liable for Kubaraf</w:t>
      </w:r>
      <w:r w:rsidRPr="00E20EE0">
        <w:rPr>
          <w:rFonts w:ascii="Arial" w:hAnsi="Arial" w:cs="Arial"/>
        </w:rPr>
        <w:t xml:space="preserve">’s debts and </w:t>
      </w:r>
      <w:r w:rsidR="006D4251" w:rsidRPr="00E20EE0">
        <w:rPr>
          <w:rFonts w:ascii="Arial" w:hAnsi="Arial" w:cs="Arial"/>
        </w:rPr>
        <w:t xml:space="preserve">liabilities and </w:t>
      </w:r>
      <w:r w:rsidRPr="00E20EE0">
        <w:rPr>
          <w:rFonts w:ascii="Arial" w:hAnsi="Arial" w:cs="Arial"/>
        </w:rPr>
        <w:t xml:space="preserve">in respect of </w:t>
      </w:r>
      <w:r w:rsidR="00003E22" w:rsidRPr="00E20EE0">
        <w:rPr>
          <w:rFonts w:ascii="Arial" w:hAnsi="Arial" w:cs="Arial"/>
        </w:rPr>
        <w:t>which</w:t>
      </w:r>
      <w:r w:rsidRPr="00E20EE0">
        <w:rPr>
          <w:rFonts w:ascii="Arial" w:hAnsi="Arial" w:cs="Arial"/>
        </w:rPr>
        <w:t xml:space="preserve"> the plaintiff obtained </w:t>
      </w:r>
      <w:r w:rsidR="006D4251" w:rsidRPr="00E20EE0">
        <w:rPr>
          <w:rFonts w:ascii="Arial" w:hAnsi="Arial" w:cs="Arial"/>
        </w:rPr>
        <w:t xml:space="preserve">the default </w:t>
      </w:r>
      <w:r w:rsidRPr="00E20EE0">
        <w:rPr>
          <w:rFonts w:ascii="Arial" w:hAnsi="Arial" w:cs="Arial"/>
        </w:rPr>
        <w:t>judgment</w:t>
      </w:r>
      <w:r w:rsidR="008E7FDE" w:rsidRPr="00E20EE0">
        <w:rPr>
          <w:rFonts w:ascii="Arial" w:hAnsi="Arial" w:cs="Arial"/>
        </w:rPr>
        <w:t xml:space="preserve"> as aforestated</w:t>
      </w:r>
      <w:r w:rsidRPr="00E20EE0">
        <w:rPr>
          <w:rFonts w:ascii="Arial" w:hAnsi="Arial" w:cs="Arial"/>
        </w:rPr>
        <w:t>.</w:t>
      </w:r>
    </w:p>
    <w:p w14:paraId="577BD4D7" w14:textId="77777777" w:rsidR="00514D3E" w:rsidRPr="00E20EE0" w:rsidRDefault="00514D3E" w:rsidP="00E20EE0">
      <w:pPr>
        <w:spacing w:line="360" w:lineRule="auto"/>
        <w:jc w:val="both"/>
        <w:rPr>
          <w:rFonts w:ascii="Arial" w:hAnsi="Arial" w:cs="Arial"/>
        </w:rPr>
      </w:pPr>
    </w:p>
    <w:p w14:paraId="44A1223C" w14:textId="77777777" w:rsidR="00514D3E" w:rsidRPr="00E20EE0" w:rsidRDefault="00514D3E" w:rsidP="00E20EE0">
      <w:pPr>
        <w:spacing w:line="360" w:lineRule="auto"/>
        <w:jc w:val="both"/>
        <w:rPr>
          <w:rFonts w:ascii="Arial" w:hAnsi="Arial" w:cs="Arial"/>
        </w:rPr>
      </w:pPr>
      <w:r w:rsidRPr="00E20EE0">
        <w:rPr>
          <w:rFonts w:ascii="Arial" w:hAnsi="Arial" w:cs="Arial"/>
        </w:rPr>
        <w:t>[5]</w:t>
      </w:r>
      <w:r w:rsidRPr="00E20EE0">
        <w:rPr>
          <w:rFonts w:ascii="Arial" w:hAnsi="Arial" w:cs="Arial"/>
        </w:rPr>
        <w:tab/>
        <w:t>In the prayers sought, the plaintiff applies for judgment against both defendants as follows:</w:t>
      </w:r>
    </w:p>
    <w:p w14:paraId="74AB2160" w14:textId="77777777" w:rsidR="00514D3E" w:rsidRPr="00E20EE0" w:rsidRDefault="00514D3E" w:rsidP="00E20EE0">
      <w:pPr>
        <w:spacing w:line="360" w:lineRule="auto"/>
        <w:jc w:val="both"/>
        <w:rPr>
          <w:rFonts w:ascii="Arial" w:hAnsi="Arial" w:cs="Arial"/>
        </w:rPr>
      </w:pPr>
    </w:p>
    <w:p w14:paraId="642C47F3" w14:textId="6E62766A" w:rsidR="00C92CC9" w:rsidRPr="00E20EE0" w:rsidRDefault="00E20EE0" w:rsidP="00E20EE0">
      <w:pPr>
        <w:spacing w:line="360" w:lineRule="auto"/>
        <w:jc w:val="both"/>
        <w:rPr>
          <w:rFonts w:ascii="Arial" w:hAnsi="Arial" w:cs="Arial"/>
          <w:sz w:val="22"/>
          <w:szCs w:val="22"/>
        </w:rPr>
      </w:pPr>
      <w:r>
        <w:rPr>
          <w:rFonts w:ascii="Arial" w:hAnsi="Arial" w:cs="Arial"/>
          <w:sz w:val="22"/>
          <w:szCs w:val="22"/>
        </w:rPr>
        <w:t xml:space="preserve">‘a) </w:t>
      </w:r>
      <w:r w:rsidR="00514D3E" w:rsidRPr="00E20EE0">
        <w:rPr>
          <w:rFonts w:ascii="Arial" w:hAnsi="Arial" w:cs="Arial"/>
          <w:sz w:val="22"/>
          <w:szCs w:val="22"/>
        </w:rPr>
        <w:t>That in terms of Section 64 of the Close Corporations Act No. 26 of 1988 the court declares First and Second Defendants personally liable for the debts of Kubaraf Enterprises CC, and in particular, for the debt owed by Kubaraf Development Enterprises CC to Plaintiff in the amount of N$521 729.70 plus interest thereon at the rate of 20</w:t>
      </w:r>
      <w:r w:rsidR="00C92CC9" w:rsidRPr="00E20EE0">
        <w:rPr>
          <w:rFonts w:ascii="Arial" w:hAnsi="Arial" w:cs="Arial"/>
          <w:sz w:val="22"/>
          <w:szCs w:val="22"/>
        </w:rPr>
        <w:t>% per annum calculated from 30</w:t>
      </w:r>
      <w:r w:rsidR="00C92CC9" w:rsidRPr="00E20EE0">
        <w:rPr>
          <w:rFonts w:ascii="Arial" w:hAnsi="Arial" w:cs="Arial"/>
          <w:sz w:val="22"/>
          <w:szCs w:val="22"/>
          <w:vertAlign w:val="superscript"/>
        </w:rPr>
        <w:t>th</w:t>
      </w:r>
      <w:r w:rsidR="00C92CC9" w:rsidRPr="00E20EE0">
        <w:rPr>
          <w:rFonts w:ascii="Arial" w:hAnsi="Arial" w:cs="Arial"/>
          <w:sz w:val="22"/>
          <w:szCs w:val="22"/>
        </w:rPr>
        <w:t xml:space="preserve"> January 2015 to date of final payment.</w:t>
      </w:r>
    </w:p>
    <w:p w14:paraId="11D11AA9" w14:textId="2051E953" w:rsidR="00514D3E" w:rsidRPr="00E20EE0" w:rsidRDefault="00E20EE0" w:rsidP="00E20EE0">
      <w:pPr>
        <w:spacing w:line="360" w:lineRule="auto"/>
        <w:jc w:val="both"/>
        <w:rPr>
          <w:rFonts w:ascii="Arial" w:hAnsi="Arial" w:cs="Arial"/>
          <w:sz w:val="22"/>
          <w:szCs w:val="22"/>
        </w:rPr>
      </w:pPr>
      <w:r>
        <w:rPr>
          <w:rFonts w:ascii="Arial" w:hAnsi="Arial" w:cs="Arial"/>
          <w:sz w:val="22"/>
          <w:szCs w:val="22"/>
        </w:rPr>
        <w:t xml:space="preserve">b) </w:t>
      </w:r>
      <w:r w:rsidR="00C92CC9" w:rsidRPr="00E20EE0">
        <w:rPr>
          <w:rFonts w:ascii="Arial" w:hAnsi="Arial" w:cs="Arial"/>
          <w:sz w:val="22"/>
          <w:szCs w:val="22"/>
        </w:rPr>
        <w:t>Judgment against the First and Second Defendants for the said amount of N$ 521 729.70 together with interest thereon at the rate of 20% per annum calculated from 30 January 2015 to date of payment.’</w:t>
      </w:r>
      <w:r w:rsidR="00514D3E" w:rsidRPr="00E20EE0">
        <w:rPr>
          <w:rFonts w:ascii="Arial" w:hAnsi="Arial" w:cs="Arial"/>
          <w:sz w:val="22"/>
          <w:szCs w:val="22"/>
        </w:rPr>
        <w:t xml:space="preserve">  </w:t>
      </w:r>
    </w:p>
    <w:p w14:paraId="35529A0A" w14:textId="77777777" w:rsidR="003D592C" w:rsidRPr="00E20EE0" w:rsidRDefault="003D592C" w:rsidP="00E20EE0">
      <w:pPr>
        <w:spacing w:line="360" w:lineRule="auto"/>
        <w:jc w:val="both"/>
        <w:rPr>
          <w:rFonts w:ascii="Arial" w:hAnsi="Arial" w:cs="Arial"/>
        </w:rPr>
      </w:pPr>
    </w:p>
    <w:p w14:paraId="5EE04497" w14:textId="21DBA1DF" w:rsidR="00C92CC9" w:rsidRPr="00E20EE0" w:rsidRDefault="00C92CC9" w:rsidP="00E20EE0">
      <w:pPr>
        <w:spacing w:line="360" w:lineRule="auto"/>
        <w:jc w:val="both"/>
        <w:rPr>
          <w:rFonts w:ascii="Arial" w:hAnsi="Arial" w:cs="Arial"/>
          <w:u w:val="single"/>
        </w:rPr>
      </w:pPr>
      <w:r w:rsidRPr="00E20EE0">
        <w:rPr>
          <w:rFonts w:ascii="Arial" w:hAnsi="Arial" w:cs="Arial"/>
          <w:u w:val="single"/>
        </w:rPr>
        <w:t>Bases of opposition</w:t>
      </w:r>
      <w:r w:rsidR="003D592C" w:rsidRPr="00E20EE0">
        <w:rPr>
          <w:rFonts w:ascii="Arial" w:hAnsi="Arial" w:cs="Arial"/>
          <w:u w:val="single"/>
        </w:rPr>
        <w:t xml:space="preserve"> – the 2</w:t>
      </w:r>
      <w:r w:rsidR="003D592C" w:rsidRPr="00E20EE0">
        <w:rPr>
          <w:rFonts w:ascii="Arial" w:hAnsi="Arial" w:cs="Arial"/>
          <w:u w:val="single"/>
          <w:vertAlign w:val="superscript"/>
        </w:rPr>
        <w:t>nd</w:t>
      </w:r>
      <w:r w:rsidR="003D592C" w:rsidRPr="00E20EE0">
        <w:rPr>
          <w:rFonts w:ascii="Arial" w:hAnsi="Arial" w:cs="Arial"/>
          <w:u w:val="single"/>
        </w:rPr>
        <w:t xml:space="preserve"> defendant</w:t>
      </w:r>
    </w:p>
    <w:p w14:paraId="5CB43669" w14:textId="77777777" w:rsidR="00C92CC9" w:rsidRPr="00E20EE0" w:rsidRDefault="00C92CC9" w:rsidP="00E20EE0">
      <w:pPr>
        <w:spacing w:line="360" w:lineRule="auto"/>
        <w:jc w:val="both"/>
        <w:rPr>
          <w:rFonts w:ascii="Arial" w:hAnsi="Arial" w:cs="Arial"/>
          <w:u w:val="single"/>
        </w:rPr>
      </w:pPr>
    </w:p>
    <w:p w14:paraId="08984705" w14:textId="6CD266A9" w:rsidR="00D6560E" w:rsidRPr="00E20EE0" w:rsidRDefault="00C92CC9" w:rsidP="00E20EE0">
      <w:pPr>
        <w:spacing w:line="360" w:lineRule="auto"/>
        <w:jc w:val="both"/>
        <w:rPr>
          <w:rFonts w:ascii="Arial" w:hAnsi="Arial" w:cs="Arial"/>
        </w:rPr>
      </w:pPr>
      <w:r w:rsidRPr="00E20EE0">
        <w:rPr>
          <w:rFonts w:ascii="Arial" w:hAnsi="Arial" w:cs="Arial"/>
        </w:rPr>
        <w:t>[6]</w:t>
      </w:r>
      <w:r w:rsidRPr="00E20EE0">
        <w:rPr>
          <w:rFonts w:ascii="Arial" w:hAnsi="Arial" w:cs="Arial"/>
        </w:rPr>
        <w:tab/>
        <w:t>A reading of the defendants’ affidavit in opposition suggests that there are two main bases for the opposition. The first is in respect of the 2</w:t>
      </w:r>
      <w:r w:rsidRPr="00E20EE0">
        <w:rPr>
          <w:rFonts w:ascii="Arial" w:hAnsi="Arial" w:cs="Arial"/>
          <w:vertAlign w:val="superscript"/>
        </w:rPr>
        <w:t xml:space="preserve">nd </w:t>
      </w:r>
      <w:r w:rsidRPr="00E20EE0">
        <w:rPr>
          <w:rFonts w:ascii="Arial" w:hAnsi="Arial" w:cs="Arial"/>
        </w:rPr>
        <w:t>defendant. It is deposed on affidavit that the</w:t>
      </w:r>
      <w:r w:rsidR="00807354" w:rsidRPr="00E20EE0">
        <w:rPr>
          <w:rFonts w:ascii="Arial" w:hAnsi="Arial" w:cs="Arial"/>
        </w:rPr>
        <w:t>re was no basis in law</w:t>
      </w:r>
      <w:r w:rsidR="008E7FDE" w:rsidRPr="00E20EE0">
        <w:rPr>
          <w:rFonts w:ascii="Arial" w:hAnsi="Arial" w:cs="Arial"/>
        </w:rPr>
        <w:t xml:space="preserve"> for the plaintiff </w:t>
      </w:r>
      <w:r w:rsidR="003D592C" w:rsidRPr="00E20EE0">
        <w:rPr>
          <w:rFonts w:ascii="Arial" w:hAnsi="Arial" w:cs="Arial"/>
        </w:rPr>
        <w:t>to have laid a claim against the 2</w:t>
      </w:r>
      <w:r w:rsidR="003D592C" w:rsidRPr="00E20EE0">
        <w:rPr>
          <w:rFonts w:ascii="Arial" w:hAnsi="Arial" w:cs="Arial"/>
          <w:vertAlign w:val="superscript"/>
        </w:rPr>
        <w:t>nd</w:t>
      </w:r>
      <w:r w:rsidR="003D592C" w:rsidRPr="00E20EE0">
        <w:rPr>
          <w:rFonts w:ascii="Arial" w:hAnsi="Arial" w:cs="Arial"/>
        </w:rPr>
        <w:t xml:space="preserve"> defendant.</w:t>
      </w:r>
      <w:r w:rsidRPr="00E20EE0">
        <w:rPr>
          <w:rFonts w:ascii="Arial" w:hAnsi="Arial" w:cs="Arial"/>
        </w:rPr>
        <w:t xml:space="preserve"> 2</w:t>
      </w:r>
      <w:r w:rsidRPr="00E20EE0">
        <w:rPr>
          <w:rFonts w:ascii="Arial" w:hAnsi="Arial" w:cs="Arial"/>
          <w:vertAlign w:val="superscript"/>
        </w:rPr>
        <w:t>nd</w:t>
      </w:r>
      <w:r w:rsidRPr="00E20EE0">
        <w:rPr>
          <w:rFonts w:ascii="Arial" w:hAnsi="Arial" w:cs="Arial"/>
        </w:rPr>
        <w:t xml:space="preserve"> defendant</w:t>
      </w:r>
      <w:r w:rsidR="003D592C" w:rsidRPr="00E20EE0">
        <w:rPr>
          <w:rFonts w:ascii="Arial" w:hAnsi="Arial" w:cs="Arial"/>
        </w:rPr>
        <w:t>, it was deposed on oath,</w:t>
      </w:r>
      <w:r w:rsidRPr="00E20EE0">
        <w:rPr>
          <w:rFonts w:ascii="Arial" w:hAnsi="Arial" w:cs="Arial"/>
        </w:rPr>
        <w:t xml:space="preserve"> is not, and has never, at any time been a member of Kubaraf. In support of this contention, the 1</w:t>
      </w:r>
      <w:r w:rsidRPr="00E20EE0">
        <w:rPr>
          <w:rFonts w:ascii="Arial" w:hAnsi="Arial" w:cs="Arial"/>
          <w:vertAlign w:val="superscript"/>
        </w:rPr>
        <w:t>st</w:t>
      </w:r>
      <w:r w:rsidRPr="00E20EE0">
        <w:rPr>
          <w:rFonts w:ascii="Arial" w:hAnsi="Arial" w:cs="Arial"/>
        </w:rPr>
        <w:t xml:space="preserve"> defendant attached a true copy of the </w:t>
      </w:r>
      <w:r w:rsidR="00D6560E" w:rsidRPr="00E20EE0">
        <w:rPr>
          <w:rFonts w:ascii="Arial" w:hAnsi="Arial" w:cs="Arial"/>
        </w:rPr>
        <w:t>Amended Founding Statement of Kubaraf. The said document reflects only the 1</w:t>
      </w:r>
      <w:r w:rsidR="00D6560E" w:rsidRPr="00E20EE0">
        <w:rPr>
          <w:rFonts w:ascii="Arial" w:hAnsi="Arial" w:cs="Arial"/>
          <w:vertAlign w:val="superscript"/>
        </w:rPr>
        <w:t>st</w:t>
      </w:r>
      <w:r w:rsidR="00D6560E" w:rsidRPr="00E20EE0">
        <w:rPr>
          <w:rFonts w:ascii="Arial" w:hAnsi="Arial" w:cs="Arial"/>
        </w:rPr>
        <w:t xml:space="preserve"> defendant as the only</w:t>
      </w:r>
      <w:r w:rsidR="008E7FDE" w:rsidRPr="00E20EE0">
        <w:rPr>
          <w:rFonts w:ascii="Arial" w:hAnsi="Arial" w:cs="Arial"/>
        </w:rPr>
        <w:t xml:space="preserve"> member of Kubaraf</w:t>
      </w:r>
      <w:r w:rsidR="00D6560E" w:rsidRPr="00E20EE0">
        <w:rPr>
          <w:rFonts w:ascii="Arial" w:hAnsi="Arial" w:cs="Arial"/>
        </w:rPr>
        <w:t>.</w:t>
      </w:r>
    </w:p>
    <w:p w14:paraId="51202748" w14:textId="77777777" w:rsidR="003D592C" w:rsidRPr="00E20EE0" w:rsidRDefault="003D592C" w:rsidP="00E20EE0">
      <w:pPr>
        <w:spacing w:line="360" w:lineRule="auto"/>
        <w:jc w:val="both"/>
        <w:rPr>
          <w:rFonts w:ascii="Arial" w:hAnsi="Arial" w:cs="Arial"/>
          <w:i/>
        </w:rPr>
      </w:pPr>
    </w:p>
    <w:p w14:paraId="7521B418" w14:textId="6955B9F0" w:rsidR="003D592C" w:rsidRPr="00E20EE0" w:rsidRDefault="00D6560E" w:rsidP="00E20EE0">
      <w:pPr>
        <w:spacing w:line="360" w:lineRule="auto"/>
        <w:jc w:val="both"/>
        <w:rPr>
          <w:rFonts w:ascii="Arial" w:hAnsi="Arial" w:cs="Arial"/>
        </w:rPr>
      </w:pPr>
      <w:r w:rsidRPr="00E20EE0">
        <w:rPr>
          <w:rFonts w:ascii="Arial" w:hAnsi="Arial" w:cs="Arial"/>
        </w:rPr>
        <w:t>[7]</w:t>
      </w:r>
      <w:r w:rsidRPr="00E20EE0">
        <w:rPr>
          <w:rFonts w:ascii="Arial" w:hAnsi="Arial" w:cs="Arial"/>
        </w:rPr>
        <w:tab/>
        <w:t>I consider it necessary, at this juncture, to cut the matter to the chase and state that</w:t>
      </w:r>
      <w:r w:rsidR="008E7FDE" w:rsidRPr="00E20EE0">
        <w:rPr>
          <w:rFonts w:ascii="Arial" w:hAnsi="Arial" w:cs="Arial"/>
        </w:rPr>
        <w:t xml:space="preserve"> in view of this document, the 2</w:t>
      </w:r>
      <w:r w:rsidR="008E7FDE" w:rsidRPr="00E20EE0">
        <w:rPr>
          <w:rFonts w:ascii="Arial" w:hAnsi="Arial" w:cs="Arial"/>
          <w:vertAlign w:val="superscript"/>
        </w:rPr>
        <w:t>nd</w:t>
      </w:r>
      <w:r w:rsidR="008E7FDE" w:rsidRPr="00E20EE0">
        <w:rPr>
          <w:rFonts w:ascii="Arial" w:hAnsi="Arial" w:cs="Arial"/>
        </w:rPr>
        <w:t xml:space="preserve"> defendant has,</w:t>
      </w:r>
      <w:r w:rsidRPr="00E20EE0">
        <w:rPr>
          <w:rFonts w:ascii="Arial" w:hAnsi="Arial" w:cs="Arial"/>
        </w:rPr>
        <w:t xml:space="preserve"> in my view, </w:t>
      </w:r>
      <w:r w:rsidR="008E7FDE" w:rsidRPr="00E20EE0">
        <w:rPr>
          <w:rFonts w:ascii="Arial" w:hAnsi="Arial" w:cs="Arial"/>
        </w:rPr>
        <w:t xml:space="preserve">put up a viable defence to the plaintiff’s claim namely that there is </w:t>
      </w:r>
      <w:r w:rsidRPr="00E20EE0">
        <w:rPr>
          <w:rFonts w:ascii="Arial" w:hAnsi="Arial" w:cs="Arial"/>
        </w:rPr>
        <w:t>no basis, whatsoever upon which the plaintiff could properly or at all, claim any liability by the 2</w:t>
      </w:r>
      <w:r w:rsidRPr="00E20EE0">
        <w:rPr>
          <w:rFonts w:ascii="Arial" w:hAnsi="Arial" w:cs="Arial"/>
          <w:vertAlign w:val="superscript"/>
        </w:rPr>
        <w:t>nd</w:t>
      </w:r>
      <w:r w:rsidRPr="00E20EE0">
        <w:rPr>
          <w:rFonts w:ascii="Arial" w:hAnsi="Arial" w:cs="Arial"/>
        </w:rPr>
        <w:t xml:space="preserve"> defendant. </w:t>
      </w:r>
    </w:p>
    <w:p w14:paraId="0C66B861" w14:textId="77777777" w:rsidR="003D592C" w:rsidRPr="00E20EE0" w:rsidRDefault="003D592C" w:rsidP="00E20EE0">
      <w:pPr>
        <w:spacing w:line="360" w:lineRule="auto"/>
        <w:jc w:val="both"/>
        <w:rPr>
          <w:rFonts w:ascii="Arial" w:hAnsi="Arial" w:cs="Arial"/>
        </w:rPr>
      </w:pPr>
    </w:p>
    <w:p w14:paraId="129779F7" w14:textId="4170982B" w:rsidR="00D6560E" w:rsidRPr="00E20EE0" w:rsidRDefault="003D592C" w:rsidP="00E20EE0">
      <w:pPr>
        <w:spacing w:line="360" w:lineRule="auto"/>
        <w:jc w:val="both"/>
        <w:rPr>
          <w:rFonts w:ascii="Arial" w:hAnsi="Arial" w:cs="Arial"/>
        </w:rPr>
      </w:pPr>
      <w:r w:rsidRPr="00E20EE0">
        <w:rPr>
          <w:rFonts w:ascii="Arial" w:hAnsi="Arial" w:cs="Arial"/>
        </w:rPr>
        <w:t>[8]</w:t>
      </w:r>
      <w:r w:rsidRPr="00E20EE0">
        <w:rPr>
          <w:rFonts w:ascii="Arial" w:hAnsi="Arial" w:cs="Arial"/>
        </w:rPr>
        <w:tab/>
      </w:r>
      <w:r w:rsidR="00D6560E" w:rsidRPr="00E20EE0">
        <w:rPr>
          <w:rFonts w:ascii="Arial" w:hAnsi="Arial" w:cs="Arial"/>
        </w:rPr>
        <w:t>I am</w:t>
      </w:r>
      <w:r w:rsidR="008E7FDE" w:rsidRPr="00E20EE0">
        <w:rPr>
          <w:rFonts w:ascii="Arial" w:hAnsi="Arial" w:cs="Arial"/>
        </w:rPr>
        <w:t xml:space="preserve"> accordingly</w:t>
      </w:r>
      <w:r w:rsidR="00D6560E" w:rsidRPr="00E20EE0">
        <w:rPr>
          <w:rFonts w:ascii="Arial" w:hAnsi="Arial" w:cs="Arial"/>
        </w:rPr>
        <w:t xml:space="preserve"> of the </w:t>
      </w:r>
      <w:r w:rsidR="008E7FDE" w:rsidRPr="00E20EE0">
        <w:rPr>
          <w:rFonts w:ascii="Arial" w:hAnsi="Arial" w:cs="Arial"/>
        </w:rPr>
        <w:t xml:space="preserve">considered </w:t>
      </w:r>
      <w:r w:rsidR="00D6560E" w:rsidRPr="00E20EE0">
        <w:rPr>
          <w:rFonts w:ascii="Arial" w:hAnsi="Arial" w:cs="Arial"/>
        </w:rPr>
        <w:t>view that the case put up on behalf of the 2</w:t>
      </w:r>
      <w:r w:rsidR="00D6560E" w:rsidRPr="00E20EE0">
        <w:rPr>
          <w:rFonts w:ascii="Arial" w:hAnsi="Arial" w:cs="Arial"/>
          <w:vertAlign w:val="superscript"/>
        </w:rPr>
        <w:t>nd</w:t>
      </w:r>
      <w:r w:rsidR="00D6560E" w:rsidRPr="00E20EE0">
        <w:rPr>
          <w:rFonts w:ascii="Arial" w:hAnsi="Arial" w:cs="Arial"/>
        </w:rPr>
        <w:t xml:space="preserve"> defendant is unassailable and meets the requirements a defendant should meet in order to defeat a claim for summary judgment, namely, that he or she should raise a </w:t>
      </w:r>
      <w:r w:rsidR="00003E22" w:rsidRPr="00E20EE0">
        <w:rPr>
          <w:rFonts w:ascii="Arial" w:hAnsi="Arial" w:cs="Arial"/>
        </w:rPr>
        <w:t>defence, which</w:t>
      </w:r>
      <w:r w:rsidR="00D6560E" w:rsidRPr="00E20EE0">
        <w:rPr>
          <w:rFonts w:ascii="Arial" w:hAnsi="Arial" w:cs="Arial"/>
        </w:rPr>
        <w:t xml:space="preserve"> is good in law and </w:t>
      </w:r>
      <w:r w:rsidR="00D6560E" w:rsidRPr="00E20EE0">
        <w:rPr>
          <w:rFonts w:ascii="Arial" w:hAnsi="Arial" w:cs="Arial"/>
          <w:i/>
        </w:rPr>
        <w:t>bona fide.</w:t>
      </w:r>
      <w:r w:rsidR="00D6560E" w:rsidRPr="00E20EE0">
        <w:rPr>
          <w:rFonts w:ascii="Arial" w:hAnsi="Arial" w:cs="Arial"/>
        </w:rPr>
        <w:t xml:space="preserve"> </w:t>
      </w:r>
    </w:p>
    <w:p w14:paraId="582EB306" w14:textId="77777777" w:rsidR="00D6560E" w:rsidRPr="00E20EE0" w:rsidRDefault="00D6560E" w:rsidP="00E20EE0">
      <w:pPr>
        <w:spacing w:line="360" w:lineRule="auto"/>
        <w:jc w:val="both"/>
        <w:rPr>
          <w:rFonts w:ascii="Arial" w:hAnsi="Arial" w:cs="Arial"/>
        </w:rPr>
      </w:pPr>
    </w:p>
    <w:p w14:paraId="1296D329" w14:textId="178A906D" w:rsidR="00F21D00" w:rsidRPr="00E20EE0" w:rsidRDefault="003D592C" w:rsidP="00E20EE0">
      <w:pPr>
        <w:spacing w:line="360" w:lineRule="auto"/>
        <w:jc w:val="both"/>
        <w:rPr>
          <w:rFonts w:ascii="Arial" w:hAnsi="Arial" w:cs="Arial"/>
        </w:rPr>
      </w:pPr>
      <w:r w:rsidRPr="00E20EE0">
        <w:rPr>
          <w:rFonts w:ascii="Arial" w:hAnsi="Arial" w:cs="Arial"/>
        </w:rPr>
        <w:t>[9</w:t>
      </w:r>
      <w:r w:rsidR="00D6560E" w:rsidRPr="00E20EE0">
        <w:rPr>
          <w:rFonts w:ascii="Arial" w:hAnsi="Arial" w:cs="Arial"/>
        </w:rPr>
        <w:t>]</w:t>
      </w:r>
      <w:r w:rsidR="00D6560E" w:rsidRPr="00E20EE0">
        <w:rPr>
          <w:rFonts w:ascii="Arial" w:hAnsi="Arial" w:cs="Arial"/>
        </w:rPr>
        <w:tab/>
        <w:t xml:space="preserve">In my considered view, </w:t>
      </w:r>
      <w:r w:rsidR="008E7FDE" w:rsidRPr="00E20EE0">
        <w:rPr>
          <w:rFonts w:ascii="Arial" w:hAnsi="Arial" w:cs="Arial"/>
        </w:rPr>
        <w:t xml:space="preserve">and for the foregoing reasons, </w:t>
      </w:r>
      <w:r w:rsidR="00D6560E" w:rsidRPr="00E20EE0">
        <w:rPr>
          <w:rFonts w:ascii="Arial" w:hAnsi="Arial" w:cs="Arial"/>
        </w:rPr>
        <w:t xml:space="preserve">the application for summary judgment </w:t>
      </w:r>
      <w:r w:rsidR="00F21D00" w:rsidRPr="00E20EE0">
        <w:rPr>
          <w:rFonts w:ascii="Arial" w:hAnsi="Arial" w:cs="Arial"/>
        </w:rPr>
        <w:t>against the 2</w:t>
      </w:r>
      <w:r w:rsidR="00F21D00" w:rsidRPr="00E20EE0">
        <w:rPr>
          <w:rFonts w:ascii="Arial" w:hAnsi="Arial" w:cs="Arial"/>
          <w:vertAlign w:val="superscript"/>
        </w:rPr>
        <w:t>nd</w:t>
      </w:r>
      <w:r w:rsidR="00F21D00" w:rsidRPr="00E20EE0">
        <w:rPr>
          <w:rFonts w:ascii="Arial" w:hAnsi="Arial" w:cs="Arial"/>
        </w:rPr>
        <w:t xml:space="preserve"> defendant, </w:t>
      </w:r>
      <w:r w:rsidR="00D6560E" w:rsidRPr="00E20EE0">
        <w:rPr>
          <w:rFonts w:ascii="Arial" w:hAnsi="Arial" w:cs="Arial"/>
        </w:rPr>
        <w:t xml:space="preserve">must be dismissed with </w:t>
      </w:r>
      <w:r w:rsidR="00D6560E" w:rsidRPr="00E20EE0">
        <w:rPr>
          <w:rFonts w:ascii="Arial" w:hAnsi="Arial" w:cs="Arial"/>
        </w:rPr>
        <w:lastRenderedPageBreak/>
        <w:t xml:space="preserve">costs. In this regard, it must be mentioned that </w:t>
      </w:r>
      <w:r w:rsidR="00F21D00" w:rsidRPr="00E20EE0">
        <w:rPr>
          <w:rFonts w:ascii="Arial" w:hAnsi="Arial" w:cs="Arial"/>
        </w:rPr>
        <w:t xml:space="preserve">it was pointed out to the plaintiff’s legal practitioner on behalf of </w:t>
      </w:r>
      <w:r w:rsidR="00D6560E" w:rsidRPr="00E20EE0">
        <w:rPr>
          <w:rFonts w:ascii="Arial" w:hAnsi="Arial" w:cs="Arial"/>
        </w:rPr>
        <w:t>the 2</w:t>
      </w:r>
      <w:r w:rsidR="00D6560E" w:rsidRPr="00E20EE0">
        <w:rPr>
          <w:rFonts w:ascii="Arial" w:hAnsi="Arial" w:cs="Arial"/>
          <w:vertAlign w:val="superscript"/>
        </w:rPr>
        <w:t>nd</w:t>
      </w:r>
      <w:r w:rsidR="00F21D00" w:rsidRPr="00E20EE0">
        <w:rPr>
          <w:rFonts w:ascii="Arial" w:hAnsi="Arial" w:cs="Arial"/>
        </w:rPr>
        <w:t xml:space="preserve"> defendant,</w:t>
      </w:r>
      <w:r w:rsidR="00D6560E" w:rsidRPr="00E20EE0">
        <w:rPr>
          <w:rFonts w:ascii="Arial" w:hAnsi="Arial" w:cs="Arial"/>
        </w:rPr>
        <w:t xml:space="preserve"> during the </w:t>
      </w:r>
      <w:r w:rsidR="00F21D00" w:rsidRPr="00E20EE0">
        <w:rPr>
          <w:rFonts w:ascii="Arial" w:hAnsi="Arial" w:cs="Arial"/>
        </w:rPr>
        <w:t xml:space="preserve">rule 32 (9) and (10) procedure, </w:t>
      </w:r>
      <w:r w:rsidRPr="00E20EE0">
        <w:rPr>
          <w:rFonts w:ascii="Arial" w:hAnsi="Arial" w:cs="Arial"/>
        </w:rPr>
        <w:t xml:space="preserve">and before the application for summary judgment was moved, </w:t>
      </w:r>
      <w:r w:rsidR="00F21D00" w:rsidRPr="00E20EE0">
        <w:rPr>
          <w:rFonts w:ascii="Arial" w:hAnsi="Arial" w:cs="Arial"/>
        </w:rPr>
        <w:t>that she was not a membe</w:t>
      </w:r>
      <w:r w:rsidRPr="00E20EE0">
        <w:rPr>
          <w:rFonts w:ascii="Arial" w:hAnsi="Arial" w:cs="Arial"/>
        </w:rPr>
        <w:t>r of the Close Corporation. T</w:t>
      </w:r>
      <w:r w:rsidR="00F21D00" w:rsidRPr="00E20EE0">
        <w:rPr>
          <w:rFonts w:ascii="Arial" w:hAnsi="Arial" w:cs="Arial"/>
        </w:rPr>
        <w:t>hat notwithstanding, the plaintiff persisted in drawing the 2</w:t>
      </w:r>
      <w:r w:rsidR="00F21D00" w:rsidRPr="00E20EE0">
        <w:rPr>
          <w:rFonts w:ascii="Arial" w:hAnsi="Arial" w:cs="Arial"/>
          <w:vertAlign w:val="superscript"/>
        </w:rPr>
        <w:t>nd</w:t>
      </w:r>
      <w:r w:rsidR="00F21D00" w:rsidRPr="00E20EE0">
        <w:rPr>
          <w:rFonts w:ascii="Arial" w:hAnsi="Arial" w:cs="Arial"/>
        </w:rPr>
        <w:t xml:space="preserve"> defendant in</w:t>
      </w:r>
      <w:r w:rsidRPr="00E20EE0">
        <w:rPr>
          <w:rFonts w:ascii="Arial" w:hAnsi="Arial" w:cs="Arial"/>
        </w:rPr>
        <w:t>to</w:t>
      </w:r>
      <w:r w:rsidR="00F21D00" w:rsidRPr="00E20EE0">
        <w:rPr>
          <w:rFonts w:ascii="Arial" w:hAnsi="Arial" w:cs="Arial"/>
        </w:rPr>
        <w:t xml:space="preserve"> the mire of summary judgment.</w:t>
      </w:r>
    </w:p>
    <w:p w14:paraId="3F2F878A" w14:textId="77777777" w:rsidR="00F21D00" w:rsidRPr="00E20EE0" w:rsidRDefault="00F21D00" w:rsidP="00E20EE0">
      <w:pPr>
        <w:spacing w:line="360" w:lineRule="auto"/>
        <w:jc w:val="both"/>
        <w:rPr>
          <w:rFonts w:ascii="Arial" w:hAnsi="Arial" w:cs="Arial"/>
        </w:rPr>
      </w:pPr>
    </w:p>
    <w:p w14:paraId="1D6F8317" w14:textId="51257566" w:rsidR="00C74E73" w:rsidRPr="00E20EE0" w:rsidRDefault="003D592C" w:rsidP="00E20EE0">
      <w:pPr>
        <w:spacing w:line="360" w:lineRule="auto"/>
        <w:jc w:val="both"/>
        <w:rPr>
          <w:rFonts w:ascii="Arial" w:hAnsi="Arial" w:cs="Arial"/>
        </w:rPr>
      </w:pPr>
      <w:r w:rsidRPr="00E20EE0">
        <w:rPr>
          <w:rFonts w:ascii="Arial" w:hAnsi="Arial" w:cs="Arial"/>
        </w:rPr>
        <w:t>[10</w:t>
      </w:r>
      <w:r w:rsidR="00F21D00" w:rsidRPr="00E20EE0">
        <w:rPr>
          <w:rFonts w:ascii="Arial" w:hAnsi="Arial" w:cs="Arial"/>
        </w:rPr>
        <w:t>]</w:t>
      </w:r>
      <w:r w:rsidR="00F21D00" w:rsidRPr="00E20EE0">
        <w:rPr>
          <w:rFonts w:ascii="Arial" w:hAnsi="Arial" w:cs="Arial"/>
        </w:rPr>
        <w:tab/>
        <w:t>In the premises, the 2</w:t>
      </w:r>
      <w:r w:rsidR="00F21D00" w:rsidRPr="00E20EE0">
        <w:rPr>
          <w:rFonts w:ascii="Arial" w:hAnsi="Arial" w:cs="Arial"/>
          <w:vertAlign w:val="superscript"/>
        </w:rPr>
        <w:t>nd</w:t>
      </w:r>
      <w:r w:rsidR="00F21D00" w:rsidRPr="00E20EE0">
        <w:rPr>
          <w:rFonts w:ascii="Arial" w:hAnsi="Arial" w:cs="Arial"/>
        </w:rPr>
        <w:t xml:space="preserve"> defendant is granted leave to defend the claim against her. Mr. Vaatz had no</w:t>
      </w:r>
      <w:r w:rsidR="008E7FDE" w:rsidRPr="00E20EE0">
        <w:rPr>
          <w:rFonts w:ascii="Arial" w:hAnsi="Arial" w:cs="Arial"/>
        </w:rPr>
        <w:t xml:space="preserve"> sustainable or convincing </w:t>
      </w:r>
      <w:r w:rsidR="00F21D00" w:rsidRPr="00E20EE0">
        <w:rPr>
          <w:rFonts w:ascii="Arial" w:hAnsi="Arial" w:cs="Arial"/>
        </w:rPr>
        <w:t>answer to the application for the d</w:t>
      </w:r>
      <w:r w:rsidRPr="00E20EE0">
        <w:rPr>
          <w:rFonts w:ascii="Arial" w:hAnsi="Arial" w:cs="Arial"/>
        </w:rPr>
        <w:t>ismissal of the application</w:t>
      </w:r>
      <w:r w:rsidR="00F21D00" w:rsidRPr="00E20EE0">
        <w:rPr>
          <w:rFonts w:ascii="Arial" w:hAnsi="Arial" w:cs="Arial"/>
        </w:rPr>
        <w:t xml:space="preserve"> for summary judgment against the 2</w:t>
      </w:r>
      <w:r w:rsidR="00F21D00" w:rsidRPr="00E20EE0">
        <w:rPr>
          <w:rFonts w:ascii="Arial" w:hAnsi="Arial" w:cs="Arial"/>
          <w:vertAlign w:val="superscript"/>
        </w:rPr>
        <w:t>nd</w:t>
      </w:r>
      <w:r w:rsidR="00F21D00" w:rsidRPr="00E20EE0">
        <w:rPr>
          <w:rFonts w:ascii="Arial" w:hAnsi="Arial" w:cs="Arial"/>
        </w:rPr>
        <w:t xml:space="preserve"> plaintiff. He should, in my view, </w:t>
      </w:r>
      <w:r w:rsidRPr="00E20EE0">
        <w:rPr>
          <w:rFonts w:ascii="Arial" w:hAnsi="Arial" w:cs="Arial"/>
        </w:rPr>
        <w:t xml:space="preserve">be advised to </w:t>
      </w:r>
      <w:r w:rsidR="00F21D00" w:rsidRPr="00E20EE0">
        <w:rPr>
          <w:rFonts w:ascii="Arial" w:hAnsi="Arial" w:cs="Arial"/>
        </w:rPr>
        <w:t>seriously consider whether,</w:t>
      </w:r>
      <w:r w:rsidR="00BD04A0">
        <w:rPr>
          <w:rFonts w:ascii="Arial" w:hAnsi="Arial" w:cs="Arial"/>
        </w:rPr>
        <w:t xml:space="preserve"> in view of the membership to Kubaraf</w:t>
      </w:r>
      <w:r w:rsidR="00F21D00" w:rsidRPr="00E20EE0">
        <w:rPr>
          <w:rFonts w:ascii="Arial" w:hAnsi="Arial" w:cs="Arial"/>
        </w:rPr>
        <w:t>, as disclosed on affidavit, there is any sustainable claim to be pursued against the 2</w:t>
      </w:r>
      <w:r w:rsidR="00F21D00" w:rsidRPr="00E20EE0">
        <w:rPr>
          <w:rFonts w:ascii="Arial" w:hAnsi="Arial" w:cs="Arial"/>
          <w:vertAlign w:val="superscript"/>
        </w:rPr>
        <w:t>nd</w:t>
      </w:r>
      <w:r w:rsidR="00F21D00" w:rsidRPr="00E20EE0">
        <w:rPr>
          <w:rFonts w:ascii="Arial" w:hAnsi="Arial" w:cs="Arial"/>
        </w:rPr>
        <w:t xml:space="preserve"> defendant. </w:t>
      </w:r>
      <w:r w:rsidR="00D6560E" w:rsidRPr="00E20EE0">
        <w:rPr>
          <w:rFonts w:ascii="Arial" w:hAnsi="Arial" w:cs="Arial"/>
        </w:rPr>
        <w:t xml:space="preserve"> </w:t>
      </w:r>
      <w:r w:rsidR="00C74E73" w:rsidRPr="00E20EE0">
        <w:rPr>
          <w:rFonts w:ascii="Arial" w:hAnsi="Arial" w:cs="Arial"/>
        </w:rPr>
        <w:t>This serves to place the summary judgment claim against the 2</w:t>
      </w:r>
      <w:r w:rsidR="00C74E73" w:rsidRPr="00E20EE0">
        <w:rPr>
          <w:rFonts w:ascii="Arial" w:hAnsi="Arial" w:cs="Arial"/>
          <w:vertAlign w:val="superscript"/>
        </w:rPr>
        <w:t>nd</w:t>
      </w:r>
      <w:r w:rsidR="00C74E73" w:rsidRPr="00E20EE0">
        <w:rPr>
          <w:rFonts w:ascii="Arial" w:hAnsi="Arial" w:cs="Arial"/>
        </w:rPr>
        <w:t xml:space="preserve"> defendant at an end, with the plaintiff having a momentous decision to make, as indicated, whether there is need to keep the 2</w:t>
      </w:r>
      <w:r w:rsidR="00C74E73" w:rsidRPr="00E20EE0">
        <w:rPr>
          <w:rFonts w:ascii="Arial" w:hAnsi="Arial" w:cs="Arial"/>
          <w:vertAlign w:val="superscript"/>
        </w:rPr>
        <w:t>nd</w:t>
      </w:r>
      <w:r w:rsidR="00C74E73" w:rsidRPr="00E20EE0">
        <w:rPr>
          <w:rFonts w:ascii="Arial" w:hAnsi="Arial" w:cs="Arial"/>
        </w:rPr>
        <w:t xml:space="preserve"> defendant yoked to her husband in the further proceedings.</w:t>
      </w:r>
    </w:p>
    <w:p w14:paraId="5A04C78B" w14:textId="77777777" w:rsidR="00C74E73" w:rsidRPr="00E20EE0" w:rsidRDefault="00C74E73" w:rsidP="00E20EE0">
      <w:pPr>
        <w:spacing w:line="360" w:lineRule="auto"/>
        <w:jc w:val="both"/>
        <w:rPr>
          <w:rFonts w:ascii="Arial" w:hAnsi="Arial" w:cs="Arial"/>
        </w:rPr>
      </w:pPr>
    </w:p>
    <w:p w14:paraId="04681690" w14:textId="77777777" w:rsidR="00C74E73" w:rsidRPr="00E20EE0" w:rsidRDefault="00C74E73" w:rsidP="00E20EE0">
      <w:pPr>
        <w:spacing w:line="360" w:lineRule="auto"/>
        <w:jc w:val="both"/>
        <w:rPr>
          <w:rFonts w:ascii="Arial" w:hAnsi="Arial" w:cs="Arial"/>
          <w:u w:val="single"/>
        </w:rPr>
      </w:pPr>
      <w:r w:rsidRPr="00E20EE0">
        <w:rPr>
          <w:rFonts w:ascii="Arial" w:hAnsi="Arial" w:cs="Arial"/>
          <w:u w:val="single"/>
        </w:rPr>
        <w:t>Nature of summary judgment</w:t>
      </w:r>
    </w:p>
    <w:p w14:paraId="2836377B" w14:textId="77777777" w:rsidR="00C74E73" w:rsidRPr="00E20EE0" w:rsidRDefault="00C74E73" w:rsidP="00E20EE0">
      <w:pPr>
        <w:spacing w:line="360" w:lineRule="auto"/>
        <w:jc w:val="both"/>
        <w:rPr>
          <w:rFonts w:ascii="Arial" w:hAnsi="Arial" w:cs="Arial"/>
          <w:u w:val="single"/>
        </w:rPr>
      </w:pPr>
    </w:p>
    <w:p w14:paraId="42FB20C2" w14:textId="1F17C0EA" w:rsidR="00C74E73" w:rsidRPr="00E20EE0" w:rsidRDefault="00EC510D" w:rsidP="00E20EE0">
      <w:pPr>
        <w:spacing w:line="360" w:lineRule="auto"/>
        <w:jc w:val="both"/>
        <w:rPr>
          <w:rFonts w:ascii="Arial" w:hAnsi="Arial" w:cs="Arial"/>
        </w:rPr>
      </w:pPr>
      <w:r>
        <w:rPr>
          <w:rFonts w:ascii="Arial" w:hAnsi="Arial" w:cs="Arial"/>
        </w:rPr>
        <w:t>[11</w:t>
      </w:r>
      <w:r w:rsidR="00C74E73" w:rsidRPr="00E20EE0">
        <w:rPr>
          <w:rFonts w:ascii="Arial" w:hAnsi="Arial" w:cs="Arial"/>
        </w:rPr>
        <w:t>]</w:t>
      </w:r>
      <w:r w:rsidR="00C74E73" w:rsidRPr="00E20EE0">
        <w:rPr>
          <w:rFonts w:ascii="Arial" w:hAnsi="Arial" w:cs="Arial"/>
        </w:rPr>
        <w:tab/>
        <w:t>Summary judgment is provided for in terms of rule 61 of this court’s rules. There has been a lot of judicial comment on the nature and effect of summary judgment in this and other courts, including the threshold a defendant has to meet in order to defeat the ensnaring effects of summary judgment.</w:t>
      </w:r>
    </w:p>
    <w:p w14:paraId="3724795C" w14:textId="77777777" w:rsidR="00C74E73" w:rsidRPr="00E20EE0" w:rsidRDefault="00C74E73" w:rsidP="00E20EE0">
      <w:pPr>
        <w:spacing w:line="360" w:lineRule="auto"/>
        <w:jc w:val="both"/>
        <w:rPr>
          <w:rFonts w:ascii="Arial" w:hAnsi="Arial" w:cs="Arial"/>
        </w:rPr>
      </w:pPr>
    </w:p>
    <w:p w14:paraId="0D5091D2" w14:textId="468408DF" w:rsidR="00C74E73" w:rsidRPr="00E20EE0" w:rsidRDefault="00EC510D" w:rsidP="00E20EE0">
      <w:pPr>
        <w:spacing w:line="360" w:lineRule="auto"/>
        <w:jc w:val="both"/>
        <w:rPr>
          <w:rFonts w:ascii="Arial" w:hAnsi="Arial" w:cs="Arial"/>
        </w:rPr>
      </w:pPr>
      <w:r>
        <w:rPr>
          <w:rFonts w:ascii="Arial" w:hAnsi="Arial" w:cs="Arial"/>
        </w:rPr>
        <w:t>[12</w:t>
      </w:r>
      <w:r w:rsidR="00C74E73" w:rsidRPr="00E20EE0">
        <w:rPr>
          <w:rFonts w:ascii="Arial" w:hAnsi="Arial" w:cs="Arial"/>
        </w:rPr>
        <w:t>]</w:t>
      </w:r>
      <w:r w:rsidR="00C74E73" w:rsidRPr="00E20EE0">
        <w:rPr>
          <w:rFonts w:ascii="Arial" w:hAnsi="Arial" w:cs="Arial"/>
        </w:rPr>
        <w:tab/>
        <w:t>In</w:t>
      </w:r>
      <w:r w:rsidR="008E7FDE" w:rsidRPr="00E20EE0">
        <w:rPr>
          <w:rFonts w:ascii="Arial" w:hAnsi="Arial" w:cs="Arial"/>
        </w:rPr>
        <w:t xml:space="preserve"> the Botswana Court of Appeal judgment of</w:t>
      </w:r>
      <w:r w:rsidR="00C74E73" w:rsidRPr="00E20EE0">
        <w:rPr>
          <w:rFonts w:ascii="Arial" w:hAnsi="Arial" w:cs="Arial"/>
        </w:rPr>
        <w:t xml:space="preserve"> </w:t>
      </w:r>
      <w:r w:rsidR="00C74E73" w:rsidRPr="00E20EE0">
        <w:rPr>
          <w:rFonts w:ascii="Arial" w:hAnsi="Arial" w:cs="Arial"/>
          <w:i/>
        </w:rPr>
        <w:t>Economy Investment v First National Bank of Botswana Limited,</w:t>
      </w:r>
      <w:r w:rsidR="00C74E73" w:rsidRPr="00E20EE0">
        <w:rPr>
          <w:rStyle w:val="FootnoteReference"/>
          <w:rFonts w:ascii="Arial" w:hAnsi="Arial" w:cs="Arial"/>
          <w:i/>
        </w:rPr>
        <w:footnoteReference w:id="2"/>
      </w:r>
      <w:r w:rsidR="00C74E73" w:rsidRPr="00E20EE0">
        <w:rPr>
          <w:rFonts w:ascii="Arial" w:hAnsi="Arial" w:cs="Arial"/>
          <w:i/>
        </w:rPr>
        <w:t xml:space="preserve"> </w:t>
      </w:r>
      <w:r w:rsidR="00C74E73" w:rsidRPr="00E20EE0">
        <w:rPr>
          <w:rFonts w:ascii="Arial" w:hAnsi="Arial" w:cs="Arial"/>
        </w:rPr>
        <w:t>Tebbutt J.A.</w:t>
      </w:r>
      <w:r w:rsidR="00B67580" w:rsidRPr="00E20EE0">
        <w:rPr>
          <w:rFonts w:ascii="Arial" w:hAnsi="Arial" w:cs="Arial"/>
        </w:rPr>
        <w:t>, writing for the majority of that country’s apex court,</w:t>
      </w:r>
      <w:r w:rsidR="00C74E73" w:rsidRPr="00E20EE0">
        <w:rPr>
          <w:rFonts w:ascii="Arial" w:hAnsi="Arial" w:cs="Arial"/>
        </w:rPr>
        <w:t xml:space="preserve"> remarked as follows regarding the nature and effect of summary judgment:</w:t>
      </w:r>
    </w:p>
    <w:p w14:paraId="66F6DF22" w14:textId="77777777" w:rsidR="00C74E73" w:rsidRPr="00E20EE0" w:rsidRDefault="00C74E73" w:rsidP="00E20EE0">
      <w:pPr>
        <w:spacing w:line="360" w:lineRule="auto"/>
        <w:jc w:val="both"/>
        <w:rPr>
          <w:rFonts w:ascii="Arial" w:hAnsi="Arial" w:cs="Arial"/>
        </w:rPr>
      </w:pPr>
    </w:p>
    <w:p w14:paraId="27DAFDE2" w14:textId="77777777" w:rsidR="00B67580" w:rsidRPr="00E20EE0" w:rsidRDefault="00C74E73" w:rsidP="00E20EE0">
      <w:pPr>
        <w:spacing w:line="360" w:lineRule="auto"/>
        <w:jc w:val="both"/>
        <w:rPr>
          <w:rFonts w:ascii="Arial" w:hAnsi="Arial" w:cs="Arial"/>
          <w:sz w:val="22"/>
          <w:szCs w:val="22"/>
        </w:rPr>
      </w:pPr>
      <w:r w:rsidRPr="00E20EE0">
        <w:rPr>
          <w:rFonts w:ascii="Arial" w:hAnsi="Arial" w:cs="Arial"/>
        </w:rPr>
        <w:lastRenderedPageBreak/>
        <w:tab/>
      </w:r>
      <w:r w:rsidRPr="00E20EE0">
        <w:rPr>
          <w:rFonts w:ascii="Arial" w:hAnsi="Arial" w:cs="Arial"/>
          <w:sz w:val="22"/>
          <w:szCs w:val="22"/>
        </w:rPr>
        <w:t>‘It has been repeated over and over that summary judgment is an extraordinary stringent and drastic remedy in that it closes the door in final fashion to the defendant and permits a judgment to be given without a trial. It is for that reason that in a number of cases in South Africa, it was held that summary judgment would only be granted to a plaintiff who has “an unanswerable case</w:t>
      </w:r>
      <w:r w:rsidR="00B67580" w:rsidRPr="00E20EE0">
        <w:rPr>
          <w:rFonts w:ascii="Arial" w:hAnsi="Arial" w:cs="Arial"/>
          <w:sz w:val="22"/>
          <w:szCs w:val="22"/>
        </w:rPr>
        <w:t>”. In more recent cases that test has been expressed as going too far.</w:t>
      </w:r>
    </w:p>
    <w:p w14:paraId="174A9B79" w14:textId="77777777" w:rsidR="00B67580" w:rsidRPr="00E20EE0" w:rsidRDefault="00B67580" w:rsidP="00E20EE0">
      <w:pPr>
        <w:spacing w:line="360" w:lineRule="auto"/>
        <w:jc w:val="both"/>
        <w:rPr>
          <w:rFonts w:ascii="Arial" w:hAnsi="Arial" w:cs="Arial"/>
          <w:sz w:val="22"/>
          <w:szCs w:val="22"/>
        </w:rPr>
      </w:pPr>
    </w:p>
    <w:p w14:paraId="11AD6A6D" w14:textId="3CA0F23C" w:rsidR="00BF7F57" w:rsidRPr="00E20EE0" w:rsidRDefault="00B67580" w:rsidP="00E20EE0">
      <w:pPr>
        <w:spacing w:line="360" w:lineRule="auto"/>
        <w:jc w:val="both"/>
        <w:rPr>
          <w:rFonts w:ascii="Arial" w:hAnsi="Arial" w:cs="Arial"/>
          <w:sz w:val="22"/>
          <w:szCs w:val="22"/>
        </w:rPr>
      </w:pPr>
      <w:r w:rsidRPr="00E20EE0">
        <w:rPr>
          <w:rFonts w:ascii="Arial" w:hAnsi="Arial" w:cs="Arial"/>
          <w:sz w:val="22"/>
          <w:szCs w:val="22"/>
        </w:rPr>
        <w:t xml:space="preserve">In </w:t>
      </w:r>
      <w:r w:rsidRPr="00E20EE0">
        <w:rPr>
          <w:rFonts w:ascii="Arial" w:hAnsi="Arial" w:cs="Arial"/>
          <w:i/>
          <w:sz w:val="22"/>
          <w:szCs w:val="22"/>
        </w:rPr>
        <w:t xml:space="preserve">Du Setto’s </w:t>
      </w:r>
      <w:r w:rsidRPr="00E20EE0">
        <w:rPr>
          <w:rFonts w:ascii="Arial" w:hAnsi="Arial" w:cs="Arial"/>
          <w:sz w:val="22"/>
          <w:szCs w:val="22"/>
        </w:rPr>
        <w:t>case (</w:t>
      </w:r>
      <w:r w:rsidRPr="00E20EE0">
        <w:rPr>
          <w:rFonts w:ascii="Arial" w:hAnsi="Arial" w:cs="Arial"/>
          <w:i/>
          <w:sz w:val="22"/>
          <w:szCs w:val="22"/>
        </w:rPr>
        <w:t>supra</w:t>
      </w:r>
      <w:r w:rsidRPr="00E20EE0">
        <w:rPr>
          <w:rFonts w:ascii="Arial" w:hAnsi="Arial" w:cs="Arial"/>
          <w:sz w:val="22"/>
          <w:szCs w:val="22"/>
        </w:rPr>
        <w:t>) this Court came to a similar conclusion and I repeated</w:t>
      </w:r>
      <w:r w:rsidR="00BF7F57" w:rsidRPr="00E20EE0">
        <w:rPr>
          <w:rFonts w:ascii="Arial" w:hAnsi="Arial" w:cs="Arial"/>
          <w:sz w:val="22"/>
          <w:szCs w:val="22"/>
        </w:rPr>
        <w:t xml:space="preserve"> </w:t>
      </w:r>
      <w:r w:rsidRPr="00E20EE0">
        <w:rPr>
          <w:rFonts w:ascii="Arial" w:hAnsi="Arial" w:cs="Arial"/>
          <w:sz w:val="22"/>
          <w:szCs w:val="22"/>
        </w:rPr>
        <w:t xml:space="preserve">this view in </w:t>
      </w:r>
      <w:r w:rsidRPr="00E20EE0">
        <w:rPr>
          <w:rFonts w:ascii="Arial" w:hAnsi="Arial" w:cs="Arial"/>
          <w:i/>
          <w:sz w:val="22"/>
          <w:szCs w:val="22"/>
        </w:rPr>
        <w:t>Fashion Enterprises (Pty) Ltd v Image Botswana (Pty) Ltd [1994] BLR 288 CA</w:t>
      </w:r>
      <w:r w:rsidRPr="00E20EE0">
        <w:rPr>
          <w:rFonts w:ascii="Arial" w:hAnsi="Arial" w:cs="Arial"/>
          <w:sz w:val="22"/>
          <w:szCs w:val="22"/>
        </w:rPr>
        <w:t xml:space="preserve">. As set out in </w:t>
      </w:r>
      <w:r w:rsidRPr="00E20EE0">
        <w:rPr>
          <w:rFonts w:ascii="Arial" w:hAnsi="Arial" w:cs="Arial"/>
          <w:i/>
          <w:sz w:val="22"/>
          <w:szCs w:val="22"/>
        </w:rPr>
        <w:t xml:space="preserve">Du Setto’s </w:t>
      </w:r>
      <w:r w:rsidR="008E7FDE" w:rsidRPr="00E20EE0">
        <w:rPr>
          <w:rFonts w:ascii="Arial" w:hAnsi="Arial" w:cs="Arial"/>
          <w:sz w:val="22"/>
          <w:szCs w:val="22"/>
        </w:rPr>
        <w:t>case, at page 285H; t</w:t>
      </w:r>
      <w:r w:rsidRPr="00E20EE0">
        <w:rPr>
          <w:rFonts w:ascii="Arial" w:hAnsi="Arial" w:cs="Arial"/>
          <w:sz w:val="22"/>
          <w:szCs w:val="22"/>
        </w:rPr>
        <w:t xml:space="preserve">he purpose of summary judgment is well known; it is aimed at a defendant who, although he has no </w:t>
      </w:r>
      <w:r w:rsidRPr="00E20EE0">
        <w:rPr>
          <w:rFonts w:ascii="Arial" w:hAnsi="Arial" w:cs="Arial"/>
          <w:i/>
          <w:sz w:val="22"/>
          <w:szCs w:val="22"/>
        </w:rPr>
        <w:t>bona fide</w:t>
      </w:r>
      <w:r w:rsidRPr="00E20EE0">
        <w:rPr>
          <w:rFonts w:ascii="Arial" w:hAnsi="Arial" w:cs="Arial"/>
          <w:sz w:val="22"/>
          <w:szCs w:val="22"/>
        </w:rPr>
        <w:t xml:space="preserve"> defence to an action brought against him, nevertheless files a notice of defend solely in order to delay the grant of the judgment in favour of the plaintiff. It therefore serves a socially and commercially useful purpose, frustrating an unscrupulous litigant seeking only to delay a just claim against him. However, even though the plaintiff need not have an </w:t>
      </w:r>
      <w:r w:rsidR="00807354" w:rsidRPr="00E20EE0">
        <w:rPr>
          <w:rFonts w:ascii="Arial" w:hAnsi="Arial" w:cs="Arial"/>
          <w:sz w:val="22"/>
          <w:szCs w:val="22"/>
        </w:rPr>
        <w:t>un</w:t>
      </w:r>
      <w:r w:rsidRPr="00E20EE0">
        <w:rPr>
          <w:rFonts w:ascii="Arial" w:hAnsi="Arial" w:cs="Arial"/>
          <w:sz w:val="22"/>
          <w:szCs w:val="22"/>
        </w:rPr>
        <w:t>answerable case, it is clear that</w:t>
      </w:r>
      <w:r w:rsidR="003653A0" w:rsidRPr="00E20EE0">
        <w:rPr>
          <w:rFonts w:ascii="Arial" w:hAnsi="Arial" w:cs="Arial"/>
          <w:sz w:val="22"/>
          <w:szCs w:val="22"/>
        </w:rPr>
        <w:t xml:space="preserve"> </w:t>
      </w:r>
      <w:r w:rsidRPr="00E20EE0">
        <w:rPr>
          <w:rFonts w:ascii="Arial" w:hAnsi="Arial" w:cs="Arial"/>
          <w:sz w:val="22"/>
          <w:szCs w:val="22"/>
        </w:rPr>
        <w:t>before</w:t>
      </w:r>
      <w:r w:rsidR="003653A0" w:rsidRPr="00E20EE0">
        <w:rPr>
          <w:rFonts w:ascii="Arial" w:hAnsi="Arial" w:cs="Arial"/>
          <w:sz w:val="22"/>
          <w:szCs w:val="22"/>
        </w:rPr>
        <w:t xml:space="preserve"> a Court will close its door finally to a defendant it must take care to see to it that the plaintiff’s claim is unimpeachable. Because of the drastic consequences of an order granting summary judgment the Courts must be astute to ensure that the procedure is not abused by a plaintiff who may wish either to secure, by the procedure, a judgment against a defendant when he knows full well that he would ordinarily not be able to obtain such a judgment without trial, or who may use the procedure as a means of embarking upon a “fishing expedition” to try to ascertain prematurely what a defendant’s defence is and to commit him to it on oath.’</w:t>
      </w:r>
    </w:p>
    <w:p w14:paraId="4333BFE0" w14:textId="77777777" w:rsidR="00BF7F57" w:rsidRPr="00E20EE0" w:rsidRDefault="00BF7F57" w:rsidP="00E20EE0">
      <w:pPr>
        <w:spacing w:line="360" w:lineRule="auto"/>
        <w:jc w:val="both"/>
        <w:rPr>
          <w:rFonts w:ascii="Arial" w:hAnsi="Arial" w:cs="Arial"/>
        </w:rPr>
      </w:pPr>
    </w:p>
    <w:p w14:paraId="2D8FB8E4" w14:textId="2997EE01" w:rsidR="00BF7F57" w:rsidRPr="00E20EE0" w:rsidRDefault="00EC510D" w:rsidP="00E20EE0">
      <w:pPr>
        <w:spacing w:line="360" w:lineRule="auto"/>
        <w:jc w:val="both"/>
        <w:rPr>
          <w:rFonts w:ascii="Arial" w:hAnsi="Arial" w:cs="Arial"/>
        </w:rPr>
      </w:pPr>
      <w:r>
        <w:rPr>
          <w:rFonts w:ascii="Arial" w:hAnsi="Arial" w:cs="Arial"/>
        </w:rPr>
        <w:t>[13</w:t>
      </w:r>
      <w:r w:rsidR="006D4251" w:rsidRPr="00E20EE0">
        <w:rPr>
          <w:rFonts w:ascii="Arial" w:hAnsi="Arial" w:cs="Arial"/>
        </w:rPr>
        <w:t>]</w:t>
      </w:r>
      <w:r w:rsidR="006D4251" w:rsidRPr="00E20EE0">
        <w:rPr>
          <w:rFonts w:ascii="Arial" w:hAnsi="Arial" w:cs="Arial"/>
        </w:rPr>
        <w:tab/>
        <w:t xml:space="preserve">The question that follows, considering the foregoing exposition of the law, </w:t>
      </w:r>
      <w:r w:rsidR="00BF7F57" w:rsidRPr="00E20EE0">
        <w:rPr>
          <w:rFonts w:ascii="Arial" w:hAnsi="Arial" w:cs="Arial"/>
        </w:rPr>
        <w:t>is whether the 2</w:t>
      </w:r>
      <w:r w:rsidR="00BF7F57" w:rsidRPr="00E20EE0">
        <w:rPr>
          <w:rFonts w:ascii="Arial" w:hAnsi="Arial" w:cs="Arial"/>
          <w:vertAlign w:val="superscript"/>
        </w:rPr>
        <w:t>nd</w:t>
      </w:r>
      <w:r w:rsidR="00807354" w:rsidRPr="00E20EE0">
        <w:rPr>
          <w:rFonts w:ascii="Arial" w:hAnsi="Arial" w:cs="Arial"/>
        </w:rPr>
        <w:t xml:space="preserve"> defendant falls in the category</w:t>
      </w:r>
      <w:r w:rsidR="00BF7F57" w:rsidRPr="00E20EE0">
        <w:rPr>
          <w:rFonts w:ascii="Arial" w:hAnsi="Arial" w:cs="Arial"/>
        </w:rPr>
        <w:t xml:space="preserve"> </w:t>
      </w:r>
      <w:r w:rsidR="00807354" w:rsidRPr="00E20EE0">
        <w:rPr>
          <w:rFonts w:ascii="Arial" w:hAnsi="Arial" w:cs="Arial"/>
        </w:rPr>
        <w:t>of unscrupulous defendants who have</w:t>
      </w:r>
      <w:r w:rsidR="00BF7F57" w:rsidRPr="00E20EE0">
        <w:rPr>
          <w:rFonts w:ascii="Arial" w:hAnsi="Arial" w:cs="Arial"/>
        </w:rPr>
        <w:t xml:space="preserve"> no </w:t>
      </w:r>
      <w:r w:rsidR="00BF7F57" w:rsidRPr="00E20EE0">
        <w:rPr>
          <w:rFonts w:ascii="Arial" w:hAnsi="Arial" w:cs="Arial"/>
          <w:i/>
        </w:rPr>
        <w:t xml:space="preserve">bona fide </w:t>
      </w:r>
      <w:r w:rsidR="00BF7F57" w:rsidRPr="00E20EE0">
        <w:rPr>
          <w:rFonts w:ascii="Arial" w:hAnsi="Arial" w:cs="Arial"/>
        </w:rPr>
        <w:t>defence to the claim but who has filed his notice to defend for no other purpose than to delay the granting of the inevitable as it were.</w:t>
      </w:r>
      <w:r w:rsidR="003653A0" w:rsidRPr="00E20EE0">
        <w:rPr>
          <w:rFonts w:ascii="Arial" w:hAnsi="Arial" w:cs="Arial"/>
        </w:rPr>
        <w:t xml:space="preserve"> </w:t>
      </w:r>
      <w:r w:rsidR="00BF7F57" w:rsidRPr="00E20EE0">
        <w:rPr>
          <w:rFonts w:ascii="Arial" w:hAnsi="Arial" w:cs="Arial"/>
        </w:rPr>
        <w:t>In order to answer this critical question, regard must of necessity be had to the 1</w:t>
      </w:r>
      <w:r w:rsidR="00BF7F57" w:rsidRPr="00E20EE0">
        <w:rPr>
          <w:rFonts w:ascii="Arial" w:hAnsi="Arial" w:cs="Arial"/>
          <w:vertAlign w:val="superscript"/>
        </w:rPr>
        <w:t>st</w:t>
      </w:r>
      <w:r w:rsidR="00BF7F57" w:rsidRPr="00E20EE0">
        <w:rPr>
          <w:rFonts w:ascii="Arial" w:hAnsi="Arial" w:cs="Arial"/>
        </w:rPr>
        <w:t xml:space="preserve"> defendant’s affidavit filed in opposition to the summary judgment application. I proceed to do so below.</w:t>
      </w:r>
    </w:p>
    <w:p w14:paraId="19B6F505" w14:textId="77777777" w:rsidR="00BF7F57" w:rsidRPr="00E20EE0" w:rsidRDefault="00BF7F57" w:rsidP="00E20EE0">
      <w:pPr>
        <w:spacing w:line="360" w:lineRule="auto"/>
        <w:jc w:val="both"/>
        <w:rPr>
          <w:rFonts w:ascii="Arial" w:hAnsi="Arial" w:cs="Arial"/>
        </w:rPr>
      </w:pPr>
    </w:p>
    <w:p w14:paraId="09A5BA3C" w14:textId="77777777" w:rsidR="00BF7F57" w:rsidRPr="00E502EA" w:rsidRDefault="00BF7F57" w:rsidP="00E20EE0">
      <w:pPr>
        <w:spacing w:line="360" w:lineRule="auto"/>
        <w:jc w:val="both"/>
        <w:rPr>
          <w:rFonts w:ascii="Arial" w:hAnsi="Arial" w:cs="Arial"/>
          <w:u w:val="single"/>
        </w:rPr>
      </w:pPr>
      <w:r w:rsidRPr="00E502EA">
        <w:rPr>
          <w:rFonts w:ascii="Arial" w:hAnsi="Arial" w:cs="Arial"/>
          <w:u w:val="single"/>
        </w:rPr>
        <w:t>The 1</w:t>
      </w:r>
      <w:r w:rsidRPr="00E502EA">
        <w:rPr>
          <w:rFonts w:ascii="Arial" w:hAnsi="Arial" w:cs="Arial"/>
          <w:u w:val="single"/>
          <w:vertAlign w:val="superscript"/>
        </w:rPr>
        <w:t>st</w:t>
      </w:r>
      <w:r w:rsidRPr="00E502EA">
        <w:rPr>
          <w:rFonts w:ascii="Arial" w:hAnsi="Arial" w:cs="Arial"/>
          <w:u w:val="single"/>
        </w:rPr>
        <w:t xml:space="preserve"> defendant’s defence</w:t>
      </w:r>
    </w:p>
    <w:p w14:paraId="5EDA98A6" w14:textId="77777777" w:rsidR="00BF7F57" w:rsidRPr="00E20EE0" w:rsidRDefault="00BF7F57" w:rsidP="00E20EE0">
      <w:pPr>
        <w:spacing w:line="360" w:lineRule="auto"/>
        <w:jc w:val="both"/>
        <w:rPr>
          <w:rFonts w:ascii="Arial" w:hAnsi="Arial" w:cs="Arial"/>
          <w:i/>
        </w:rPr>
      </w:pPr>
    </w:p>
    <w:p w14:paraId="39DEF625" w14:textId="4199BCE4" w:rsidR="00951E6C" w:rsidRPr="00E20EE0" w:rsidRDefault="00EC510D" w:rsidP="00E20EE0">
      <w:pPr>
        <w:spacing w:line="360" w:lineRule="auto"/>
        <w:jc w:val="both"/>
        <w:rPr>
          <w:rFonts w:ascii="Arial" w:hAnsi="Arial" w:cs="Arial"/>
        </w:rPr>
      </w:pPr>
      <w:r>
        <w:rPr>
          <w:rFonts w:ascii="Arial" w:hAnsi="Arial" w:cs="Arial"/>
        </w:rPr>
        <w:lastRenderedPageBreak/>
        <w:t>[14</w:t>
      </w:r>
      <w:r w:rsidR="00BF7F57" w:rsidRPr="00E20EE0">
        <w:rPr>
          <w:rFonts w:ascii="Arial" w:hAnsi="Arial" w:cs="Arial"/>
        </w:rPr>
        <w:t>]</w:t>
      </w:r>
      <w:r w:rsidR="00BF7F57" w:rsidRPr="00E20EE0">
        <w:rPr>
          <w:rFonts w:ascii="Arial" w:hAnsi="Arial" w:cs="Arial"/>
        </w:rPr>
        <w:tab/>
        <w:t>The second basis for opposing the granting of summary judgment, is that advanced by the 1</w:t>
      </w:r>
      <w:r w:rsidR="00BF7F57" w:rsidRPr="00E20EE0">
        <w:rPr>
          <w:rFonts w:ascii="Arial" w:hAnsi="Arial" w:cs="Arial"/>
          <w:vertAlign w:val="superscript"/>
        </w:rPr>
        <w:t>st</w:t>
      </w:r>
      <w:r w:rsidR="00BF7F57" w:rsidRPr="00E20EE0">
        <w:rPr>
          <w:rFonts w:ascii="Arial" w:hAnsi="Arial" w:cs="Arial"/>
        </w:rPr>
        <w:t xml:space="preserve"> defendant.</w:t>
      </w:r>
      <w:r w:rsidR="003653A0" w:rsidRPr="00E20EE0">
        <w:rPr>
          <w:rFonts w:ascii="Arial" w:hAnsi="Arial" w:cs="Arial"/>
        </w:rPr>
        <w:t xml:space="preserve"> </w:t>
      </w:r>
      <w:r w:rsidR="00BF7F57" w:rsidRPr="00E20EE0">
        <w:rPr>
          <w:rFonts w:ascii="Arial" w:hAnsi="Arial" w:cs="Arial"/>
        </w:rPr>
        <w:t>The 1</w:t>
      </w:r>
      <w:r w:rsidR="00BF7F57" w:rsidRPr="00E20EE0">
        <w:rPr>
          <w:rFonts w:ascii="Arial" w:hAnsi="Arial" w:cs="Arial"/>
          <w:vertAlign w:val="superscript"/>
        </w:rPr>
        <w:t>st</w:t>
      </w:r>
      <w:r w:rsidR="00BF7F57" w:rsidRPr="00E20EE0">
        <w:rPr>
          <w:rFonts w:ascii="Arial" w:hAnsi="Arial" w:cs="Arial"/>
        </w:rPr>
        <w:t xml:space="preserve"> defendant denies that he has filed his notice to defend for the nefarious purpose of unduly delaying the defendant from enjoying the fruits of its judgment. He specifically denies that he ever traded recklessly or fraudulently as alleged in the particulars of claim. The 1</w:t>
      </w:r>
      <w:r w:rsidR="00BF7F57" w:rsidRPr="00E20EE0">
        <w:rPr>
          <w:rFonts w:ascii="Arial" w:hAnsi="Arial" w:cs="Arial"/>
          <w:vertAlign w:val="superscript"/>
        </w:rPr>
        <w:t>st</w:t>
      </w:r>
      <w:r w:rsidR="00BF7F57" w:rsidRPr="00E20EE0">
        <w:rPr>
          <w:rFonts w:ascii="Arial" w:hAnsi="Arial" w:cs="Arial"/>
        </w:rPr>
        <w:t xml:space="preserve"> defend</w:t>
      </w:r>
      <w:r w:rsidR="00807354" w:rsidRPr="00E20EE0">
        <w:rPr>
          <w:rFonts w:ascii="Arial" w:hAnsi="Arial" w:cs="Arial"/>
        </w:rPr>
        <w:t xml:space="preserve">ant also denies </w:t>
      </w:r>
      <w:r w:rsidR="00BF7F57" w:rsidRPr="00E20EE0">
        <w:rPr>
          <w:rFonts w:ascii="Arial" w:hAnsi="Arial" w:cs="Arial"/>
        </w:rPr>
        <w:t>that he informed the</w:t>
      </w:r>
      <w:r w:rsidR="00951E6C" w:rsidRPr="00E20EE0">
        <w:rPr>
          <w:rFonts w:ascii="Arial" w:hAnsi="Arial" w:cs="Arial"/>
        </w:rPr>
        <w:t xml:space="preserve"> Deputy Sheriff that the property of the Close Corporation had been sold</w:t>
      </w:r>
      <w:r w:rsidR="00807354" w:rsidRPr="00E20EE0">
        <w:rPr>
          <w:rFonts w:ascii="Arial" w:hAnsi="Arial" w:cs="Arial"/>
        </w:rPr>
        <w:t xml:space="preserve"> as alleged in the particulars of claim</w:t>
      </w:r>
      <w:r w:rsidR="00951E6C" w:rsidRPr="00E20EE0">
        <w:rPr>
          <w:rFonts w:ascii="Arial" w:hAnsi="Arial" w:cs="Arial"/>
        </w:rPr>
        <w:t>.</w:t>
      </w:r>
    </w:p>
    <w:p w14:paraId="3F7D4955" w14:textId="77777777" w:rsidR="00951E6C" w:rsidRPr="00E20EE0" w:rsidRDefault="00951E6C" w:rsidP="00E20EE0">
      <w:pPr>
        <w:spacing w:line="360" w:lineRule="auto"/>
        <w:jc w:val="both"/>
        <w:rPr>
          <w:rFonts w:ascii="Arial" w:hAnsi="Arial" w:cs="Arial"/>
        </w:rPr>
      </w:pPr>
    </w:p>
    <w:p w14:paraId="500ECAB4" w14:textId="3AE086F7" w:rsidR="00951E6C" w:rsidRPr="00E20EE0" w:rsidRDefault="00EC510D" w:rsidP="00E20EE0">
      <w:pPr>
        <w:spacing w:line="360" w:lineRule="auto"/>
        <w:jc w:val="both"/>
        <w:rPr>
          <w:rFonts w:ascii="Arial" w:hAnsi="Arial" w:cs="Arial"/>
        </w:rPr>
      </w:pPr>
      <w:r>
        <w:rPr>
          <w:rFonts w:ascii="Arial" w:hAnsi="Arial" w:cs="Arial"/>
        </w:rPr>
        <w:t>[15</w:t>
      </w:r>
      <w:r w:rsidR="00951E6C" w:rsidRPr="00E20EE0">
        <w:rPr>
          <w:rFonts w:ascii="Arial" w:hAnsi="Arial" w:cs="Arial"/>
        </w:rPr>
        <w:t>]</w:t>
      </w:r>
      <w:r w:rsidR="00951E6C" w:rsidRPr="00E20EE0">
        <w:rPr>
          <w:rFonts w:ascii="Arial" w:hAnsi="Arial" w:cs="Arial"/>
        </w:rPr>
        <w:tab/>
        <w:t>He further states that he was involved in a serious motor vehicle accident, which left him hospitalised for a period in the excess of six months. He deposes that during this time, he was unable to attend to the business</w:t>
      </w:r>
      <w:r w:rsidR="00807354" w:rsidRPr="00E20EE0">
        <w:rPr>
          <w:rFonts w:ascii="Arial" w:hAnsi="Arial" w:cs="Arial"/>
        </w:rPr>
        <w:t xml:space="preserve"> of the corporation</w:t>
      </w:r>
      <w:r w:rsidR="00951E6C" w:rsidRPr="00E20EE0">
        <w:rPr>
          <w:rFonts w:ascii="Arial" w:hAnsi="Arial" w:cs="Arial"/>
        </w:rPr>
        <w:t xml:space="preserve"> and </w:t>
      </w:r>
      <w:r w:rsidR="00807354" w:rsidRPr="00E20EE0">
        <w:rPr>
          <w:rFonts w:ascii="Arial" w:hAnsi="Arial" w:cs="Arial"/>
        </w:rPr>
        <w:t xml:space="preserve">that </w:t>
      </w:r>
      <w:r w:rsidR="00951E6C" w:rsidRPr="00E20EE0">
        <w:rPr>
          <w:rFonts w:ascii="Arial" w:hAnsi="Arial" w:cs="Arial"/>
        </w:rPr>
        <w:t>everything relating to the business disintegrated so to speak</w:t>
      </w:r>
      <w:r w:rsidR="00807354" w:rsidRPr="00E20EE0">
        <w:rPr>
          <w:rFonts w:ascii="Arial" w:hAnsi="Arial" w:cs="Arial"/>
        </w:rPr>
        <w:t>, during the time of his confinement in hospital</w:t>
      </w:r>
      <w:r w:rsidR="00951E6C" w:rsidRPr="00E20EE0">
        <w:rPr>
          <w:rFonts w:ascii="Arial" w:hAnsi="Arial" w:cs="Arial"/>
        </w:rPr>
        <w:t>.</w:t>
      </w:r>
    </w:p>
    <w:p w14:paraId="5DC933AD" w14:textId="77777777" w:rsidR="00951E6C" w:rsidRPr="00E20EE0" w:rsidRDefault="00951E6C" w:rsidP="00E20EE0">
      <w:pPr>
        <w:spacing w:line="360" w:lineRule="auto"/>
        <w:jc w:val="both"/>
        <w:rPr>
          <w:rFonts w:ascii="Arial" w:hAnsi="Arial" w:cs="Arial"/>
        </w:rPr>
      </w:pPr>
    </w:p>
    <w:p w14:paraId="73E52EBF" w14:textId="5BE8DED4" w:rsidR="00951E6C" w:rsidRPr="00E20EE0" w:rsidRDefault="00EC510D" w:rsidP="00E20EE0">
      <w:pPr>
        <w:spacing w:line="360" w:lineRule="auto"/>
        <w:jc w:val="both"/>
        <w:rPr>
          <w:rFonts w:ascii="Arial" w:hAnsi="Arial" w:cs="Arial"/>
        </w:rPr>
      </w:pPr>
      <w:r>
        <w:rPr>
          <w:rFonts w:ascii="Arial" w:hAnsi="Arial" w:cs="Arial"/>
        </w:rPr>
        <w:t>[16</w:t>
      </w:r>
      <w:r w:rsidR="00951E6C" w:rsidRPr="00E20EE0">
        <w:rPr>
          <w:rFonts w:ascii="Arial" w:hAnsi="Arial" w:cs="Arial"/>
        </w:rPr>
        <w:t>]</w:t>
      </w:r>
      <w:r w:rsidR="00951E6C" w:rsidRPr="00E20EE0">
        <w:rPr>
          <w:rFonts w:ascii="Arial" w:hAnsi="Arial" w:cs="Arial"/>
        </w:rPr>
        <w:tab/>
        <w:t>Mr. Ntinda, for the 1</w:t>
      </w:r>
      <w:r w:rsidR="00951E6C" w:rsidRPr="00E20EE0">
        <w:rPr>
          <w:rFonts w:ascii="Arial" w:hAnsi="Arial" w:cs="Arial"/>
          <w:vertAlign w:val="superscript"/>
        </w:rPr>
        <w:t>st</w:t>
      </w:r>
      <w:r w:rsidR="00951E6C" w:rsidRPr="00E20EE0">
        <w:rPr>
          <w:rFonts w:ascii="Arial" w:hAnsi="Arial" w:cs="Arial"/>
        </w:rPr>
        <w:t xml:space="preserve"> defendant argued that an application for summary judgment is not competent in the present circumstances. He based his contention on the provisions of s.64 (1), which have the following rendering:</w:t>
      </w:r>
    </w:p>
    <w:p w14:paraId="277639A0" w14:textId="77777777" w:rsidR="00951E6C" w:rsidRPr="00E20EE0" w:rsidRDefault="00951E6C" w:rsidP="00E20EE0">
      <w:pPr>
        <w:spacing w:line="360" w:lineRule="auto"/>
        <w:jc w:val="both"/>
        <w:rPr>
          <w:rFonts w:ascii="Arial" w:hAnsi="Arial" w:cs="Arial"/>
        </w:rPr>
      </w:pPr>
    </w:p>
    <w:p w14:paraId="0FA6605C" w14:textId="35E10F42" w:rsidR="009569EF" w:rsidRDefault="00951E6C" w:rsidP="00E20EE0">
      <w:pPr>
        <w:spacing w:line="360" w:lineRule="auto"/>
        <w:jc w:val="both"/>
        <w:rPr>
          <w:rFonts w:ascii="Arial" w:hAnsi="Arial" w:cs="Arial"/>
          <w:sz w:val="22"/>
          <w:szCs w:val="22"/>
        </w:rPr>
      </w:pPr>
      <w:r w:rsidRPr="00E20EE0">
        <w:rPr>
          <w:rFonts w:ascii="Arial" w:hAnsi="Arial" w:cs="Arial"/>
        </w:rPr>
        <w:tab/>
      </w:r>
      <w:r w:rsidRPr="00E20EE0">
        <w:rPr>
          <w:rFonts w:ascii="Arial" w:hAnsi="Arial" w:cs="Arial"/>
          <w:sz w:val="22"/>
          <w:szCs w:val="22"/>
        </w:rPr>
        <w:t xml:space="preserve">‘If it at any time appears that any business was or is being </w:t>
      </w:r>
      <w:r w:rsidR="00003E22" w:rsidRPr="00E20EE0">
        <w:rPr>
          <w:rFonts w:ascii="Arial" w:hAnsi="Arial" w:cs="Arial"/>
          <w:sz w:val="22"/>
          <w:szCs w:val="22"/>
        </w:rPr>
        <w:t>carried on</w:t>
      </w:r>
      <w:r w:rsidRPr="00E20EE0">
        <w:rPr>
          <w:rFonts w:ascii="Arial" w:hAnsi="Arial" w:cs="Arial"/>
          <w:sz w:val="22"/>
          <w:szCs w:val="22"/>
        </w:rPr>
        <w:t xml:space="preserve"> recklessly, with gross negligence or with intent to defraud any person or for any fraudulent purpose, </w:t>
      </w:r>
      <w:r w:rsidRPr="00E502EA">
        <w:rPr>
          <w:rFonts w:ascii="Arial" w:hAnsi="Arial" w:cs="Arial"/>
          <w:sz w:val="22"/>
          <w:szCs w:val="22"/>
          <w:u w:val="single"/>
        </w:rPr>
        <w:t>a Court may, on the application of the Master, or any creditor, member or liquidator of the corporation, declare that any person who was knowingly a party to the</w:t>
      </w:r>
      <w:r w:rsidRPr="00E20EE0">
        <w:rPr>
          <w:rFonts w:ascii="Arial" w:hAnsi="Arial" w:cs="Arial"/>
          <w:sz w:val="22"/>
          <w:szCs w:val="22"/>
        </w:rPr>
        <w:t xml:space="preserve"> </w:t>
      </w:r>
      <w:r w:rsidRPr="00E502EA">
        <w:rPr>
          <w:rFonts w:ascii="Arial" w:hAnsi="Arial" w:cs="Arial"/>
          <w:sz w:val="22"/>
          <w:szCs w:val="22"/>
          <w:u w:val="single"/>
        </w:rPr>
        <w:t>carrying on</w:t>
      </w:r>
      <w:r w:rsidR="009569EF" w:rsidRPr="00E502EA">
        <w:rPr>
          <w:rFonts w:ascii="Arial" w:hAnsi="Arial" w:cs="Arial"/>
          <w:sz w:val="22"/>
          <w:szCs w:val="22"/>
          <w:u w:val="single"/>
        </w:rPr>
        <w:t xml:space="preserve"> of the business in any such manner, </w:t>
      </w:r>
      <w:r w:rsidR="00E502EA" w:rsidRPr="00E502EA">
        <w:rPr>
          <w:rFonts w:ascii="Arial" w:hAnsi="Arial" w:cs="Arial"/>
          <w:sz w:val="22"/>
          <w:szCs w:val="22"/>
          <w:u w:val="single"/>
        </w:rPr>
        <w:t>shall be personally liable f</w:t>
      </w:r>
      <w:r w:rsidR="009569EF" w:rsidRPr="00E502EA">
        <w:rPr>
          <w:rFonts w:ascii="Arial" w:hAnsi="Arial" w:cs="Arial"/>
          <w:sz w:val="22"/>
          <w:szCs w:val="22"/>
          <w:u w:val="single"/>
        </w:rPr>
        <w:t>or all or any such debts or other liabilities of the corporation as the Court may direct</w:t>
      </w:r>
      <w:r w:rsidR="009569EF" w:rsidRPr="00E20EE0">
        <w:rPr>
          <w:rFonts w:ascii="Arial" w:hAnsi="Arial" w:cs="Arial"/>
          <w:sz w:val="22"/>
          <w:szCs w:val="22"/>
        </w:rPr>
        <w:t>, and the Court may give such further orders as it may consider proper for the purpose of giving effect to the declaration and enforcing that liability.’</w:t>
      </w:r>
      <w:r w:rsidR="00E502EA">
        <w:rPr>
          <w:rFonts w:ascii="Arial" w:hAnsi="Arial" w:cs="Arial"/>
          <w:sz w:val="22"/>
          <w:szCs w:val="22"/>
        </w:rPr>
        <w:t xml:space="preserve"> (Emphasis added).</w:t>
      </w:r>
    </w:p>
    <w:p w14:paraId="17230770" w14:textId="77777777" w:rsidR="00E502EA" w:rsidRDefault="00E502EA" w:rsidP="00E20EE0">
      <w:pPr>
        <w:spacing w:line="360" w:lineRule="auto"/>
        <w:jc w:val="both"/>
        <w:rPr>
          <w:rFonts w:ascii="Arial" w:hAnsi="Arial" w:cs="Arial"/>
          <w:sz w:val="22"/>
          <w:szCs w:val="22"/>
        </w:rPr>
      </w:pPr>
    </w:p>
    <w:p w14:paraId="690D3646" w14:textId="5353C30E" w:rsidR="005F2364" w:rsidRDefault="00EC510D" w:rsidP="00E20EE0">
      <w:pPr>
        <w:spacing w:line="360" w:lineRule="auto"/>
        <w:jc w:val="both"/>
        <w:rPr>
          <w:rFonts w:ascii="Arial" w:hAnsi="Arial" w:cs="Arial"/>
          <w:sz w:val="22"/>
          <w:szCs w:val="22"/>
        </w:rPr>
      </w:pPr>
      <w:r>
        <w:rPr>
          <w:rFonts w:ascii="Arial" w:hAnsi="Arial" w:cs="Arial"/>
          <w:sz w:val="22"/>
          <w:szCs w:val="22"/>
        </w:rPr>
        <w:t>[17</w:t>
      </w:r>
      <w:r w:rsidR="00E502EA">
        <w:rPr>
          <w:rFonts w:ascii="Arial" w:hAnsi="Arial" w:cs="Arial"/>
          <w:sz w:val="22"/>
          <w:szCs w:val="22"/>
        </w:rPr>
        <w:t>]</w:t>
      </w:r>
      <w:r w:rsidR="00E502EA">
        <w:rPr>
          <w:rFonts w:ascii="Arial" w:hAnsi="Arial" w:cs="Arial"/>
          <w:sz w:val="22"/>
          <w:szCs w:val="22"/>
        </w:rPr>
        <w:tab/>
      </w:r>
      <w:r w:rsidR="005F2364">
        <w:rPr>
          <w:rFonts w:ascii="Arial" w:hAnsi="Arial" w:cs="Arial"/>
          <w:sz w:val="22"/>
          <w:szCs w:val="22"/>
        </w:rPr>
        <w:t>I need to comment briefly on this provision. Firstly, it is</w:t>
      </w:r>
      <w:r w:rsidR="00E502EA">
        <w:rPr>
          <w:rFonts w:ascii="Arial" w:hAnsi="Arial" w:cs="Arial"/>
          <w:sz w:val="22"/>
          <w:szCs w:val="22"/>
        </w:rPr>
        <w:t xml:space="preserve"> clear that persons who are entitled to bring such an application, include the Master of the High Court, any creditor, member or liquidator of the corporation. On this account, it is in my view clear that the plaintiff, being a creditor, is within its rights to bring such application and is authorised to do so by law. </w:t>
      </w:r>
    </w:p>
    <w:p w14:paraId="7595A63A" w14:textId="77777777" w:rsidR="005F2364" w:rsidRDefault="005F2364" w:rsidP="00E20EE0">
      <w:pPr>
        <w:spacing w:line="360" w:lineRule="auto"/>
        <w:jc w:val="both"/>
        <w:rPr>
          <w:rFonts w:ascii="Arial" w:hAnsi="Arial" w:cs="Arial"/>
          <w:sz w:val="22"/>
          <w:szCs w:val="22"/>
        </w:rPr>
      </w:pPr>
    </w:p>
    <w:p w14:paraId="161319F7" w14:textId="376FF86F" w:rsidR="00E502EA" w:rsidRPr="00E20EE0" w:rsidRDefault="00EC510D" w:rsidP="00E20EE0">
      <w:pPr>
        <w:spacing w:line="360" w:lineRule="auto"/>
        <w:jc w:val="both"/>
        <w:rPr>
          <w:rFonts w:ascii="Arial" w:hAnsi="Arial" w:cs="Arial"/>
          <w:sz w:val="22"/>
          <w:szCs w:val="22"/>
        </w:rPr>
      </w:pPr>
      <w:r>
        <w:rPr>
          <w:rFonts w:ascii="Arial" w:hAnsi="Arial" w:cs="Arial"/>
          <w:sz w:val="22"/>
          <w:szCs w:val="22"/>
        </w:rPr>
        <w:t>[18</w:t>
      </w:r>
      <w:r w:rsidR="005F2364">
        <w:rPr>
          <w:rFonts w:ascii="Arial" w:hAnsi="Arial" w:cs="Arial"/>
          <w:sz w:val="22"/>
          <w:szCs w:val="22"/>
        </w:rPr>
        <w:t>]</w:t>
      </w:r>
      <w:r w:rsidR="005F2364">
        <w:rPr>
          <w:rFonts w:ascii="Arial" w:hAnsi="Arial" w:cs="Arial"/>
          <w:sz w:val="22"/>
          <w:szCs w:val="22"/>
        </w:rPr>
        <w:tab/>
        <w:t>Second, i</w:t>
      </w:r>
      <w:r w:rsidR="00E502EA">
        <w:rPr>
          <w:rFonts w:ascii="Arial" w:hAnsi="Arial" w:cs="Arial"/>
          <w:sz w:val="22"/>
          <w:szCs w:val="22"/>
        </w:rPr>
        <w:t xml:space="preserve">t is also clear </w:t>
      </w:r>
      <w:r w:rsidR="005F2364">
        <w:rPr>
          <w:rFonts w:ascii="Arial" w:hAnsi="Arial" w:cs="Arial"/>
          <w:sz w:val="22"/>
          <w:szCs w:val="22"/>
        </w:rPr>
        <w:t xml:space="preserve">from the above quoted provision </w:t>
      </w:r>
      <w:r w:rsidR="00E502EA">
        <w:rPr>
          <w:rFonts w:ascii="Arial" w:hAnsi="Arial" w:cs="Arial"/>
          <w:sz w:val="22"/>
          <w:szCs w:val="22"/>
        </w:rPr>
        <w:t>that ‘any person’,</w:t>
      </w:r>
      <w:r w:rsidR="005F2364">
        <w:rPr>
          <w:rFonts w:ascii="Arial" w:hAnsi="Arial" w:cs="Arial"/>
          <w:sz w:val="22"/>
          <w:szCs w:val="22"/>
        </w:rPr>
        <w:t xml:space="preserve"> as</w:t>
      </w:r>
      <w:r w:rsidR="00E502EA">
        <w:rPr>
          <w:rFonts w:ascii="Arial" w:hAnsi="Arial" w:cs="Arial"/>
          <w:sz w:val="22"/>
          <w:szCs w:val="22"/>
        </w:rPr>
        <w:t xml:space="preserve"> employed by the Legislature in the above section, also refers to a member of the corporation. This is so for the reason that members are often heavily and sometimes intimately involved the running of the business of the corporation and may, in some circumstances find themselves accused of trading in the manners set out in s.64</w:t>
      </w:r>
      <w:r w:rsidR="005F2364">
        <w:rPr>
          <w:rFonts w:ascii="Arial" w:hAnsi="Arial" w:cs="Arial"/>
          <w:sz w:val="22"/>
          <w:szCs w:val="22"/>
        </w:rPr>
        <w:t>. In this regard, it is to be noted that the 1</w:t>
      </w:r>
      <w:r w:rsidR="005F2364" w:rsidRPr="005F2364">
        <w:rPr>
          <w:rFonts w:ascii="Arial" w:hAnsi="Arial" w:cs="Arial"/>
          <w:sz w:val="22"/>
          <w:szCs w:val="22"/>
          <w:vertAlign w:val="superscript"/>
        </w:rPr>
        <w:t>st</w:t>
      </w:r>
      <w:r w:rsidR="005F2364">
        <w:rPr>
          <w:rFonts w:ascii="Arial" w:hAnsi="Arial" w:cs="Arial"/>
          <w:sz w:val="22"/>
          <w:szCs w:val="22"/>
        </w:rPr>
        <w:t xml:space="preserve"> defendant is a member and is amenable, if the court is satisfied,</w:t>
      </w:r>
      <w:r w:rsidR="00760910">
        <w:rPr>
          <w:rFonts w:ascii="Arial" w:hAnsi="Arial" w:cs="Arial"/>
          <w:sz w:val="22"/>
          <w:szCs w:val="22"/>
        </w:rPr>
        <w:t xml:space="preserve"> on application,</w:t>
      </w:r>
      <w:r w:rsidR="005F2364">
        <w:rPr>
          <w:rFonts w:ascii="Arial" w:hAnsi="Arial" w:cs="Arial"/>
          <w:sz w:val="22"/>
          <w:szCs w:val="22"/>
        </w:rPr>
        <w:t xml:space="preserve"> to be a recipient of an order for the invocation of this section in appropriate circumstances.</w:t>
      </w:r>
    </w:p>
    <w:p w14:paraId="1F39666E" w14:textId="77777777" w:rsidR="009569EF" w:rsidRPr="00E20EE0" w:rsidRDefault="009569EF" w:rsidP="00E20EE0">
      <w:pPr>
        <w:spacing w:line="360" w:lineRule="auto"/>
        <w:jc w:val="both"/>
        <w:rPr>
          <w:rFonts w:ascii="Arial" w:hAnsi="Arial" w:cs="Arial"/>
        </w:rPr>
      </w:pPr>
    </w:p>
    <w:p w14:paraId="5BF475F9" w14:textId="009C4D29" w:rsidR="00BD04A0" w:rsidRDefault="00EC510D" w:rsidP="00E20EE0">
      <w:pPr>
        <w:spacing w:line="360" w:lineRule="auto"/>
        <w:jc w:val="both"/>
        <w:rPr>
          <w:rFonts w:ascii="Arial" w:hAnsi="Arial" w:cs="Arial"/>
          <w:sz w:val="22"/>
          <w:szCs w:val="22"/>
        </w:rPr>
      </w:pPr>
      <w:r>
        <w:rPr>
          <w:rFonts w:ascii="Arial" w:hAnsi="Arial" w:cs="Arial"/>
        </w:rPr>
        <w:t>[19</w:t>
      </w:r>
      <w:r w:rsidR="009569EF" w:rsidRPr="00E20EE0">
        <w:rPr>
          <w:rFonts w:ascii="Arial" w:hAnsi="Arial" w:cs="Arial"/>
        </w:rPr>
        <w:t>]</w:t>
      </w:r>
      <w:r w:rsidR="009569EF" w:rsidRPr="00E20EE0">
        <w:rPr>
          <w:rFonts w:ascii="Arial" w:hAnsi="Arial" w:cs="Arial"/>
        </w:rPr>
        <w:tab/>
        <w:t>It is important to mention that in terms of s. 2 (2) and read with</w:t>
      </w:r>
      <w:r w:rsidR="00807354" w:rsidRPr="00E20EE0">
        <w:rPr>
          <w:rFonts w:ascii="Arial" w:hAnsi="Arial" w:cs="Arial"/>
        </w:rPr>
        <w:t xml:space="preserve"> s. 2 (3) of the Act, a Close C</w:t>
      </w:r>
      <w:r w:rsidR="009569EF" w:rsidRPr="00E20EE0">
        <w:rPr>
          <w:rFonts w:ascii="Arial" w:hAnsi="Arial" w:cs="Arial"/>
        </w:rPr>
        <w:t>orporation is granted separate legal</w:t>
      </w:r>
      <w:r w:rsidR="00807354" w:rsidRPr="00E20EE0">
        <w:rPr>
          <w:rFonts w:ascii="Arial" w:hAnsi="Arial" w:cs="Arial"/>
        </w:rPr>
        <w:t xml:space="preserve"> or</w:t>
      </w:r>
      <w:r w:rsidR="009569EF" w:rsidRPr="00E20EE0">
        <w:rPr>
          <w:rFonts w:ascii="Arial" w:hAnsi="Arial" w:cs="Arial"/>
        </w:rPr>
        <w:t xml:space="preserve"> juristic personality from the members who form it. </w:t>
      </w:r>
      <w:r w:rsidR="00BD04A0">
        <w:rPr>
          <w:rFonts w:ascii="Arial" w:hAnsi="Arial" w:cs="Arial"/>
        </w:rPr>
        <w:t>Section 2 (3). For instance, provides that, ‘</w:t>
      </w:r>
      <w:r w:rsidR="00BD04A0">
        <w:rPr>
          <w:rFonts w:ascii="Arial" w:hAnsi="Arial" w:cs="Arial"/>
          <w:sz w:val="22"/>
          <w:szCs w:val="22"/>
        </w:rPr>
        <w:t>Subject to the provisions of this Act, members of a Corporation, shall not merely by reason off their membership be liable for the liabilities or obligations of the Corporation.’</w:t>
      </w:r>
    </w:p>
    <w:p w14:paraId="66CA352F" w14:textId="77777777" w:rsidR="00BD04A0" w:rsidRDefault="00BD04A0" w:rsidP="00E20EE0">
      <w:pPr>
        <w:spacing w:line="360" w:lineRule="auto"/>
        <w:jc w:val="both"/>
        <w:rPr>
          <w:rFonts w:ascii="Arial" w:hAnsi="Arial" w:cs="Arial"/>
          <w:sz w:val="22"/>
          <w:szCs w:val="22"/>
        </w:rPr>
      </w:pPr>
    </w:p>
    <w:p w14:paraId="243B38AA" w14:textId="1D8724E0" w:rsidR="00C92CC9" w:rsidRPr="00E20EE0" w:rsidRDefault="00EC510D" w:rsidP="00E20EE0">
      <w:pPr>
        <w:spacing w:line="360" w:lineRule="auto"/>
        <w:jc w:val="both"/>
        <w:rPr>
          <w:rFonts w:ascii="Arial" w:hAnsi="Arial" w:cs="Arial"/>
        </w:rPr>
      </w:pPr>
      <w:r>
        <w:rPr>
          <w:rFonts w:ascii="Arial" w:hAnsi="Arial" w:cs="Arial"/>
          <w:sz w:val="22"/>
          <w:szCs w:val="22"/>
        </w:rPr>
        <w:t>[20]</w:t>
      </w:r>
      <w:r w:rsidR="00BD04A0">
        <w:rPr>
          <w:rFonts w:ascii="Arial" w:hAnsi="Arial" w:cs="Arial"/>
          <w:sz w:val="22"/>
          <w:szCs w:val="22"/>
        </w:rPr>
        <w:tab/>
      </w:r>
      <w:r w:rsidR="009569EF" w:rsidRPr="00E20EE0">
        <w:rPr>
          <w:rFonts w:ascii="Arial" w:hAnsi="Arial" w:cs="Arial"/>
        </w:rPr>
        <w:t xml:space="preserve">This </w:t>
      </w:r>
      <w:r w:rsidR="00807354" w:rsidRPr="00E20EE0">
        <w:rPr>
          <w:rFonts w:ascii="Arial" w:hAnsi="Arial" w:cs="Arial"/>
        </w:rPr>
        <w:t>separate personality</w:t>
      </w:r>
      <w:r w:rsidR="00BD04A0">
        <w:rPr>
          <w:rFonts w:ascii="Arial" w:hAnsi="Arial" w:cs="Arial"/>
        </w:rPr>
        <w:t xml:space="preserve"> created by the Act,</w:t>
      </w:r>
      <w:r w:rsidR="00807354" w:rsidRPr="00E20EE0">
        <w:rPr>
          <w:rFonts w:ascii="Arial" w:hAnsi="Arial" w:cs="Arial"/>
        </w:rPr>
        <w:t xml:space="preserve"> </w:t>
      </w:r>
      <w:r w:rsidR="009569EF" w:rsidRPr="00E20EE0">
        <w:rPr>
          <w:rFonts w:ascii="Arial" w:hAnsi="Arial" w:cs="Arial"/>
        </w:rPr>
        <w:t>ordinarily does not permit</w:t>
      </w:r>
      <w:r w:rsidR="00807354" w:rsidRPr="00E20EE0">
        <w:rPr>
          <w:rFonts w:ascii="Arial" w:hAnsi="Arial" w:cs="Arial"/>
        </w:rPr>
        <w:t xml:space="preserve"> of</w:t>
      </w:r>
      <w:r w:rsidR="009569EF" w:rsidRPr="00E20EE0">
        <w:rPr>
          <w:rFonts w:ascii="Arial" w:hAnsi="Arial" w:cs="Arial"/>
        </w:rPr>
        <w:t xml:space="preserve"> the members being held personally liable for t</w:t>
      </w:r>
      <w:r w:rsidR="00807354" w:rsidRPr="00E20EE0">
        <w:rPr>
          <w:rFonts w:ascii="Arial" w:hAnsi="Arial" w:cs="Arial"/>
        </w:rPr>
        <w:t xml:space="preserve">he debts or liabilities of the </w:t>
      </w:r>
      <w:r w:rsidR="00CC47D4" w:rsidRPr="00E20EE0">
        <w:rPr>
          <w:rFonts w:ascii="Arial" w:hAnsi="Arial" w:cs="Arial"/>
        </w:rPr>
        <w:t xml:space="preserve">Close </w:t>
      </w:r>
      <w:r w:rsidR="00807354" w:rsidRPr="00E20EE0">
        <w:rPr>
          <w:rFonts w:ascii="Arial" w:hAnsi="Arial" w:cs="Arial"/>
        </w:rPr>
        <w:t>C</w:t>
      </w:r>
      <w:r w:rsidR="009569EF" w:rsidRPr="00E20EE0">
        <w:rPr>
          <w:rFonts w:ascii="Arial" w:hAnsi="Arial" w:cs="Arial"/>
        </w:rPr>
        <w:t>orporation. A special mechanism is open to the court</w:t>
      </w:r>
      <w:r w:rsidR="00807354" w:rsidRPr="00E20EE0">
        <w:rPr>
          <w:rFonts w:ascii="Arial" w:hAnsi="Arial" w:cs="Arial"/>
        </w:rPr>
        <w:t>, on proper application, to do so. This is, in Company Law parlance normally referred to as</w:t>
      </w:r>
      <w:r w:rsidR="009569EF" w:rsidRPr="00E20EE0">
        <w:rPr>
          <w:rFonts w:ascii="Arial" w:hAnsi="Arial" w:cs="Arial"/>
        </w:rPr>
        <w:t xml:space="preserve"> the piercing of the corporate veil</w:t>
      </w:r>
      <w:r w:rsidR="00BD04A0">
        <w:rPr>
          <w:rFonts w:ascii="Arial" w:hAnsi="Arial" w:cs="Arial"/>
        </w:rPr>
        <w:t xml:space="preserve"> and this is what s. 64 was designed by the Legislature to achieve</w:t>
      </w:r>
      <w:r w:rsidR="009569EF" w:rsidRPr="00E20EE0">
        <w:rPr>
          <w:rFonts w:ascii="Arial" w:hAnsi="Arial" w:cs="Arial"/>
        </w:rPr>
        <w:t>.</w:t>
      </w:r>
      <w:r w:rsidR="009569EF" w:rsidRPr="00E20EE0">
        <w:rPr>
          <w:rStyle w:val="FootnoteReference"/>
          <w:rFonts w:ascii="Arial" w:hAnsi="Arial" w:cs="Arial"/>
        </w:rPr>
        <w:footnoteReference w:id="3"/>
      </w:r>
      <w:r w:rsidR="009569EF" w:rsidRPr="00E20EE0">
        <w:rPr>
          <w:rFonts w:ascii="Arial" w:hAnsi="Arial" w:cs="Arial"/>
        </w:rPr>
        <w:t xml:space="preserve"> </w:t>
      </w:r>
      <w:r w:rsidR="00951E6C" w:rsidRPr="00E20EE0">
        <w:rPr>
          <w:rFonts w:ascii="Arial" w:hAnsi="Arial" w:cs="Arial"/>
        </w:rPr>
        <w:t xml:space="preserve">  </w:t>
      </w:r>
      <w:r w:rsidR="00BF7F57" w:rsidRPr="00E20EE0">
        <w:rPr>
          <w:rFonts w:ascii="Arial" w:hAnsi="Arial" w:cs="Arial"/>
        </w:rPr>
        <w:t xml:space="preserve"> </w:t>
      </w:r>
      <w:r w:rsidR="003653A0" w:rsidRPr="00E20EE0">
        <w:rPr>
          <w:rFonts w:ascii="Arial" w:hAnsi="Arial" w:cs="Arial"/>
        </w:rPr>
        <w:t xml:space="preserve"> </w:t>
      </w:r>
      <w:r w:rsidR="00B67580" w:rsidRPr="00E20EE0">
        <w:rPr>
          <w:rFonts w:ascii="Arial" w:hAnsi="Arial" w:cs="Arial"/>
        </w:rPr>
        <w:t xml:space="preserve">  </w:t>
      </w:r>
    </w:p>
    <w:p w14:paraId="1FA3D189" w14:textId="77777777" w:rsidR="009569EF" w:rsidRPr="00E20EE0" w:rsidRDefault="009569EF" w:rsidP="00E20EE0">
      <w:pPr>
        <w:spacing w:line="360" w:lineRule="auto"/>
        <w:jc w:val="both"/>
        <w:rPr>
          <w:rFonts w:ascii="Arial" w:hAnsi="Arial" w:cs="Arial"/>
        </w:rPr>
      </w:pPr>
    </w:p>
    <w:p w14:paraId="2CFF12E8" w14:textId="2CB772DB" w:rsidR="001D68D8" w:rsidRPr="00E20EE0" w:rsidRDefault="00EC510D" w:rsidP="00E20EE0">
      <w:pPr>
        <w:spacing w:line="360" w:lineRule="auto"/>
        <w:jc w:val="both"/>
        <w:rPr>
          <w:rFonts w:ascii="Arial" w:hAnsi="Arial" w:cs="Arial"/>
        </w:rPr>
      </w:pPr>
      <w:r>
        <w:rPr>
          <w:rFonts w:ascii="Arial" w:hAnsi="Arial" w:cs="Arial"/>
        </w:rPr>
        <w:t>[21</w:t>
      </w:r>
      <w:r w:rsidR="009569EF" w:rsidRPr="00E20EE0">
        <w:rPr>
          <w:rFonts w:ascii="Arial" w:hAnsi="Arial" w:cs="Arial"/>
        </w:rPr>
        <w:t>]</w:t>
      </w:r>
      <w:r w:rsidR="009569EF" w:rsidRPr="00E20EE0">
        <w:rPr>
          <w:rFonts w:ascii="Arial" w:hAnsi="Arial" w:cs="Arial"/>
        </w:rPr>
        <w:tab/>
        <w:t>From the provisions of s.64, one issue is plain – the liabilities of a close corporation cann</w:t>
      </w:r>
      <w:r w:rsidR="00CC47D4" w:rsidRPr="00E20EE0">
        <w:rPr>
          <w:rFonts w:ascii="Arial" w:hAnsi="Arial" w:cs="Arial"/>
        </w:rPr>
        <w:t>ot, without more, be imputed on</w:t>
      </w:r>
      <w:r w:rsidR="009569EF" w:rsidRPr="00E20EE0">
        <w:rPr>
          <w:rFonts w:ascii="Arial" w:hAnsi="Arial" w:cs="Arial"/>
        </w:rPr>
        <w:t>to the members without the fictional piercing of the corporate veil. In this regard, an application should be made to the court for a declaration that such a course should be followed</w:t>
      </w:r>
      <w:r w:rsidR="00807354" w:rsidRPr="00E20EE0">
        <w:rPr>
          <w:rFonts w:ascii="Arial" w:hAnsi="Arial" w:cs="Arial"/>
        </w:rPr>
        <w:t xml:space="preserve"> and on stated serious grounds such as fraud</w:t>
      </w:r>
      <w:r w:rsidR="001D68D8" w:rsidRPr="00E20EE0">
        <w:rPr>
          <w:rFonts w:ascii="Arial" w:hAnsi="Arial" w:cs="Arial"/>
        </w:rPr>
        <w:t xml:space="preserve">, </w:t>
      </w:r>
      <w:r w:rsidR="00BD04A0">
        <w:rPr>
          <w:rFonts w:ascii="Arial" w:hAnsi="Arial" w:cs="Arial"/>
        </w:rPr>
        <w:t xml:space="preserve">grossly </w:t>
      </w:r>
      <w:r w:rsidR="001D68D8" w:rsidRPr="00E20EE0">
        <w:rPr>
          <w:rFonts w:ascii="Arial" w:hAnsi="Arial" w:cs="Arial"/>
        </w:rPr>
        <w:t>negligen</w:t>
      </w:r>
      <w:r w:rsidR="00BD04A0">
        <w:rPr>
          <w:rFonts w:ascii="Arial" w:hAnsi="Arial" w:cs="Arial"/>
        </w:rPr>
        <w:t>t</w:t>
      </w:r>
      <w:r w:rsidR="001D68D8" w:rsidRPr="00E20EE0">
        <w:rPr>
          <w:rFonts w:ascii="Arial" w:hAnsi="Arial" w:cs="Arial"/>
        </w:rPr>
        <w:t xml:space="preserve"> or reckless running of the affairs of the Corporation by the members sought to be held personally liable</w:t>
      </w:r>
      <w:r w:rsidR="009569EF" w:rsidRPr="00E20EE0">
        <w:rPr>
          <w:rFonts w:ascii="Arial" w:hAnsi="Arial" w:cs="Arial"/>
        </w:rPr>
        <w:t xml:space="preserve">. </w:t>
      </w:r>
    </w:p>
    <w:p w14:paraId="1EDCC4E3" w14:textId="77777777" w:rsidR="001D68D8" w:rsidRPr="00E20EE0" w:rsidRDefault="001D68D8" w:rsidP="00E20EE0">
      <w:pPr>
        <w:spacing w:line="360" w:lineRule="auto"/>
        <w:jc w:val="both"/>
        <w:rPr>
          <w:rFonts w:ascii="Arial" w:hAnsi="Arial" w:cs="Arial"/>
        </w:rPr>
      </w:pPr>
    </w:p>
    <w:p w14:paraId="0D627F3D" w14:textId="59C3AD2F" w:rsidR="00A218B2" w:rsidRPr="00E20EE0" w:rsidRDefault="005F2364" w:rsidP="00E20EE0">
      <w:pPr>
        <w:spacing w:line="360" w:lineRule="auto"/>
        <w:jc w:val="both"/>
        <w:rPr>
          <w:rFonts w:ascii="Arial" w:hAnsi="Arial" w:cs="Arial"/>
        </w:rPr>
      </w:pPr>
      <w:r>
        <w:rPr>
          <w:rFonts w:ascii="Arial" w:hAnsi="Arial" w:cs="Arial"/>
        </w:rPr>
        <w:lastRenderedPageBreak/>
        <w:t>[2</w:t>
      </w:r>
      <w:r w:rsidR="00EC510D">
        <w:rPr>
          <w:rFonts w:ascii="Arial" w:hAnsi="Arial" w:cs="Arial"/>
        </w:rPr>
        <w:t>2</w:t>
      </w:r>
      <w:r w:rsidR="001D68D8" w:rsidRPr="00E20EE0">
        <w:rPr>
          <w:rFonts w:ascii="Arial" w:hAnsi="Arial" w:cs="Arial"/>
        </w:rPr>
        <w:t>]</w:t>
      </w:r>
      <w:r w:rsidR="001D68D8" w:rsidRPr="00E20EE0">
        <w:rPr>
          <w:rFonts w:ascii="Arial" w:hAnsi="Arial" w:cs="Arial"/>
        </w:rPr>
        <w:tab/>
        <w:t xml:space="preserve">I should pertinently point out that </w:t>
      </w:r>
      <w:r w:rsidR="009569EF" w:rsidRPr="00E20EE0">
        <w:rPr>
          <w:rFonts w:ascii="Arial" w:hAnsi="Arial" w:cs="Arial"/>
        </w:rPr>
        <w:t>I am of the</w:t>
      </w:r>
      <w:r w:rsidR="001D68D8" w:rsidRPr="00E20EE0">
        <w:rPr>
          <w:rFonts w:ascii="Arial" w:hAnsi="Arial" w:cs="Arial"/>
        </w:rPr>
        <w:t xml:space="preserve"> considered</w:t>
      </w:r>
      <w:r w:rsidR="009569EF" w:rsidRPr="00E20EE0">
        <w:rPr>
          <w:rFonts w:ascii="Arial" w:hAnsi="Arial" w:cs="Arial"/>
        </w:rPr>
        <w:t xml:space="preserve"> view that the word </w:t>
      </w:r>
      <w:r w:rsidR="001D68D8" w:rsidRPr="00E20EE0">
        <w:rPr>
          <w:rFonts w:ascii="Arial" w:hAnsi="Arial" w:cs="Arial"/>
        </w:rPr>
        <w:t>‘</w:t>
      </w:r>
      <w:r w:rsidR="009569EF" w:rsidRPr="00E20EE0">
        <w:rPr>
          <w:rFonts w:ascii="Arial" w:hAnsi="Arial" w:cs="Arial"/>
        </w:rPr>
        <w:t>application</w:t>
      </w:r>
      <w:r w:rsidR="001D68D8" w:rsidRPr="00E20EE0">
        <w:rPr>
          <w:rFonts w:ascii="Arial" w:hAnsi="Arial" w:cs="Arial"/>
        </w:rPr>
        <w:t>’</w:t>
      </w:r>
      <w:r w:rsidR="009569EF" w:rsidRPr="00E20EE0">
        <w:rPr>
          <w:rFonts w:ascii="Arial" w:hAnsi="Arial" w:cs="Arial"/>
        </w:rPr>
        <w:t xml:space="preserve"> </w:t>
      </w:r>
      <w:r w:rsidR="001D68D8" w:rsidRPr="00E20EE0">
        <w:rPr>
          <w:rFonts w:ascii="Arial" w:hAnsi="Arial" w:cs="Arial"/>
        </w:rPr>
        <w:t xml:space="preserve">employed in the Act should not be regarded as idle or inconsequential. It </w:t>
      </w:r>
      <w:r w:rsidR="009569EF" w:rsidRPr="00E20EE0">
        <w:rPr>
          <w:rFonts w:ascii="Arial" w:hAnsi="Arial" w:cs="Arial"/>
        </w:rPr>
        <w:t xml:space="preserve">bears a special meaning. </w:t>
      </w:r>
      <w:r w:rsidR="001D68D8" w:rsidRPr="00E20EE0">
        <w:rPr>
          <w:rFonts w:ascii="Arial" w:hAnsi="Arial" w:cs="Arial"/>
        </w:rPr>
        <w:t>It is unfortunately not defined in the Act and in</w:t>
      </w:r>
      <w:r w:rsidR="00A218B2" w:rsidRPr="00E20EE0">
        <w:rPr>
          <w:rFonts w:ascii="Arial" w:hAnsi="Arial" w:cs="Arial"/>
        </w:rPr>
        <w:t xml:space="preserve"> </w:t>
      </w:r>
      <w:r w:rsidR="001D68D8" w:rsidRPr="00E20EE0">
        <w:rPr>
          <w:rFonts w:ascii="Arial" w:hAnsi="Arial" w:cs="Arial"/>
        </w:rPr>
        <w:t>this event, w</w:t>
      </w:r>
      <w:r w:rsidR="00A218B2" w:rsidRPr="00E20EE0">
        <w:rPr>
          <w:rFonts w:ascii="Arial" w:hAnsi="Arial" w:cs="Arial"/>
        </w:rPr>
        <w:t>e need to find the meaning of an application elsewhere.</w:t>
      </w:r>
    </w:p>
    <w:p w14:paraId="2BCC28BE" w14:textId="77777777" w:rsidR="00A218B2" w:rsidRPr="00E20EE0" w:rsidRDefault="00A218B2" w:rsidP="00E20EE0">
      <w:pPr>
        <w:spacing w:line="360" w:lineRule="auto"/>
        <w:jc w:val="both"/>
        <w:rPr>
          <w:rFonts w:ascii="Arial" w:hAnsi="Arial" w:cs="Arial"/>
        </w:rPr>
      </w:pPr>
    </w:p>
    <w:p w14:paraId="478C15A8" w14:textId="6C6F0B37" w:rsidR="00BD04A0" w:rsidRDefault="00EC510D" w:rsidP="00E20EE0">
      <w:pPr>
        <w:spacing w:line="360" w:lineRule="auto"/>
        <w:jc w:val="both"/>
        <w:rPr>
          <w:rFonts w:ascii="Arial" w:hAnsi="Arial" w:cs="Arial"/>
        </w:rPr>
      </w:pPr>
      <w:r>
        <w:rPr>
          <w:rFonts w:ascii="Arial" w:hAnsi="Arial" w:cs="Arial"/>
        </w:rPr>
        <w:t>[23</w:t>
      </w:r>
      <w:r w:rsidR="00A218B2" w:rsidRPr="00E20EE0">
        <w:rPr>
          <w:rFonts w:ascii="Arial" w:hAnsi="Arial" w:cs="Arial"/>
        </w:rPr>
        <w:t>]</w:t>
      </w:r>
      <w:r w:rsidR="00A218B2" w:rsidRPr="00E20EE0">
        <w:rPr>
          <w:rFonts w:ascii="Arial" w:hAnsi="Arial" w:cs="Arial"/>
        </w:rPr>
        <w:tab/>
        <w:t>I am of the considered view that the rules of court do give guidance as to what an application is. They, in my view, should be called</w:t>
      </w:r>
      <w:r w:rsidR="001D68D8" w:rsidRPr="00E20EE0">
        <w:rPr>
          <w:rFonts w:ascii="Arial" w:hAnsi="Arial" w:cs="Arial"/>
        </w:rPr>
        <w:t xml:space="preserve"> in aid for the </w:t>
      </w:r>
      <w:r w:rsidR="00A218B2" w:rsidRPr="00E20EE0">
        <w:rPr>
          <w:rFonts w:ascii="Arial" w:hAnsi="Arial" w:cs="Arial"/>
        </w:rPr>
        <w:t xml:space="preserve">reason that any such application </w:t>
      </w:r>
      <w:r w:rsidR="001D68D8" w:rsidRPr="00E20EE0">
        <w:rPr>
          <w:rFonts w:ascii="Arial" w:hAnsi="Arial" w:cs="Arial"/>
        </w:rPr>
        <w:t xml:space="preserve">in terms of the s.64, </w:t>
      </w:r>
      <w:r w:rsidR="00A218B2" w:rsidRPr="00E20EE0">
        <w:rPr>
          <w:rFonts w:ascii="Arial" w:hAnsi="Arial" w:cs="Arial"/>
        </w:rPr>
        <w:t>is to be referred to this court</w:t>
      </w:r>
      <w:r w:rsidR="001D68D8" w:rsidRPr="00E20EE0">
        <w:rPr>
          <w:rFonts w:ascii="Arial" w:hAnsi="Arial" w:cs="Arial"/>
        </w:rPr>
        <w:t xml:space="preserve"> for determination. </w:t>
      </w:r>
      <w:r w:rsidR="00BD04A0">
        <w:rPr>
          <w:rFonts w:ascii="Arial" w:hAnsi="Arial" w:cs="Arial"/>
        </w:rPr>
        <w:t>I say so for the reason that the definition section of the Act states that ‘</w:t>
      </w:r>
      <w:r w:rsidR="00BD04A0">
        <w:rPr>
          <w:rFonts w:ascii="Arial" w:hAnsi="Arial" w:cs="Arial"/>
          <w:sz w:val="22"/>
          <w:szCs w:val="22"/>
        </w:rPr>
        <w:t>Court – means the High Court of Namibia in terms of Section 7 of the Close Corporations Act 26 of 1988.’</w:t>
      </w:r>
      <w:r w:rsidR="00A218B2" w:rsidRPr="00E20EE0">
        <w:rPr>
          <w:rFonts w:ascii="Arial" w:hAnsi="Arial" w:cs="Arial"/>
        </w:rPr>
        <w:t xml:space="preserve"> </w:t>
      </w:r>
      <w:r w:rsidR="00BD04A0">
        <w:rPr>
          <w:rFonts w:ascii="Arial" w:hAnsi="Arial" w:cs="Arial"/>
        </w:rPr>
        <w:t>I</w:t>
      </w:r>
      <w:r w:rsidR="001D68D8" w:rsidRPr="00E20EE0">
        <w:rPr>
          <w:rFonts w:ascii="Arial" w:hAnsi="Arial" w:cs="Arial"/>
        </w:rPr>
        <w:t xml:space="preserve">t stands to reason </w:t>
      </w:r>
      <w:r w:rsidR="00BD04A0">
        <w:rPr>
          <w:rFonts w:ascii="Arial" w:hAnsi="Arial" w:cs="Arial"/>
        </w:rPr>
        <w:t xml:space="preserve">therefore, </w:t>
      </w:r>
      <w:r w:rsidR="001D68D8" w:rsidRPr="00E20EE0">
        <w:rPr>
          <w:rFonts w:ascii="Arial" w:hAnsi="Arial" w:cs="Arial"/>
        </w:rPr>
        <w:t xml:space="preserve">that </w:t>
      </w:r>
      <w:r w:rsidR="00A218B2" w:rsidRPr="00E20EE0">
        <w:rPr>
          <w:rFonts w:ascii="Arial" w:hAnsi="Arial" w:cs="Arial"/>
        </w:rPr>
        <w:t xml:space="preserve">this court’s interpretation of an application </w:t>
      </w:r>
      <w:r w:rsidR="00BD04A0">
        <w:rPr>
          <w:rFonts w:ascii="Arial" w:hAnsi="Arial" w:cs="Arial"/>
        </w:rPr>
        <w:t xml:space="preserve">as contained in this court’s rules </w:t>
      </w:r>
      <w:r w:rsidR="00A218B2" w:rsidRPr="00E20EE0">
        <w:rPr>
          <w:rFonts w:ascii="Arial" w:hAnsi="Arial" w:cs="Arial"/>
        </w:rPr>
        <w:t xml:space="preserve">should be followed. </w:t>
      </w:r>
    </w:p>
    <w:p w14:paraId="6114FF89" w14:textId="77777777" w:rsidR="00BD04A0" w:rsidRDefault="00BD04A0" w:rsidP="00E20EE0">
      <w:pPr>
        <w:spacing w:line="360" w:lineRule="auto"/>
        <w:jc w:val="both"/>
        <w:rPr>
          <w:rFonts w:ascii="Arial" w:hAnsi="Arial" w:cs="Arial"/>
        </w:rPr>
      </w:pPr>
    </w:p>
    <w:p w14:paraId="2F17DAA4" w14:textId="6C736410" w:rsidR="00A218B2" w:rsidRPr="00E20EE0" w:rsidRDefault="00EC510D" w:rsidP="00E20EE0">
      <w:pPr>
        <w:spacing w:line="360" w:lineRule="auto"/>
        <w:jc w:val="both"/>
        <w:rPr>
          <w:rFonts w:ascii="Arial" w:hAnsi="Arial" w:cs="Arial"/>
        </w:rPr>
      </w:pPr>
      <w:r>
        <w:rPr>
          <w:rFonts w:ascii="Arial" w:hAnsi="Arial" w:cs="Arial"/>
        </w:rPr>
        <w:t>[24</w:t>
      </w:r>
      <w:r w:rsidR="00BD04A0">
        <w:rPr>
          <w:rFonts w:ascii="Arial" w:hAnsi="Arial" w:cs="Arial"/>
        </w:rPr>
        <w:t>]</w:t>
      </w:r>
      <w:r w:rsidR="00BD04A0">
        <w:rPr>
          <w:rFonts w:ascii="Arial" w:hAnsi="Arial" w:cs="Arial"/>
        </w:rPr>
        <w:tab/>
      </w:r>
      <w:r w:rsidR="00A218B2" w:rsidRPr="00E20EE0">
        <w:rPr>
          <w:rFonts w:ascii="Arial" w:hAnsi="Arial" w:cs="Arial"/>
        </w:rPr>
        <w:t>According to the definition provisions</w:t>
      </w:r>
      <w:r w:rsidR="001D68D8" w:rsidRPr="00E20EE0">
        <w:rPr>
          <w:rFonts w:ascii="Arial" w:hAnsi="Arial" w:cs="Arial"/>
        </w:rPr>
        <w:t xml:space="preserve"> of the rules of court</w:t>
      </w:r>
      <w:r w:rsidR="00A218B2" w:rsidRPr="00E20EE0">
        <w:rPr>
          <w:rFonts w:ascii="Arial" w:hAnsi="Arial" w:cs="Arial"/>
        </w:rPr>
        <w:t>, application ‘</w:t>
      </w:r>
      <w:r w:rsidR="00A218B2" w:rsidRPr="0091097D">
        <w:rPr>
          <w:rFonts w:ascii="Arial" w:hAnsi="Arial" w:cs="Arial"/>
          <w:sz w:val="22"/>
          <w:szCs w:val="22"/>
        </w:rPr>
        <w:t>means an application on notice of motion as contemplated in Part 8</w:t>
      </w:r>
      <w:r w:rsidR="00A218B2" w:rsidRPr="00E20EE0">
        <w:rPr>
          <w:rFonts w:ascii="Arial" w:hAnsi="Arial" w:cs="Arial"/>
        </w:rPr>
        <w:t>.’</w:t>
      </w:r>
      <w:r w:rsidR="00BD04A0">
        <w:rPr>
          <w:rFonts w:ascii="Arial" w:hAnsi="Arial" w:cs="Arial"/>
        </w:rPr>
        <w:t xml:space="preserve"> </w:t>
      </w:r>
      <w:r w:rsidR="00A218B2" w:rsidRPr="00E20EE0">
        <w:rPr>
          <w:rFonts w:ascii="Arial" w:hAnsi="Arial" w:cs="Arial"/>
        </w:rPr>
        <w:t>Rule 65 (1), found in Part 8,</w:t>
      </w:r>
      <w:r w:rsidR="001D68D8" w:rsidRPr="00E20EE0">
        <w:rPr>
          <w:rFonts w:ascii="Arial" w:hAnsi="Arial" w:cs="Arial"/>
        </w:rPr>
        <w:t xml:space="preserve"> on the other hand,</w:t>
      </w:r>
      <w:r w:rsidR="00A218B2" w:rsidRPr="00E20EE0">
        <w:rPr>
          <w:rFonts w:ascii="Arial" w:hAnsi="Arial" w:cs="Arial"/>
        </w:rPr>
        <w:t xml:space="preserve"> provides the following:</w:t>
      </w:r>
    </w:p>
    <w:p w14:paraId="42479544" w14:textId="77777777" w:rsidR="00A218B2" w:rsidRPr="00E20EE0" w:rsidRDefault="00A218B2" w:rsidP="00E20EE0">
      <w:pPr>
        <w:spacing w:line="360" w:lineRule="auto"/>
        <w:jc w:val="both"/>
        <w:rPr>
          <w:rFonts w:ascii="Arial" w:hAnsi="Arial" w:cs="Arial"/>
        </w:rPr>
      </w:pPr>
    </w:p>
    <w:p w14:paraId="399DA889" w14:textId="5ED7AFBC" w:rsidR="009569EF" w:rsidRPr="00E20EE0" w:rsidRDefault="00A218B2" w:rsidP="00E20EE0">
      <w:pPr>
        <w:spacing w:line="360" w:lineRule="auto"/>
        <w:jc w:val="both"/>
        <w:rPr>
          <w:rFonts w:ascii="Arial" w:hAnsi="Arial" w:cs="Arial"/>
          <w:sz w:val="22"/>
          <w:szCs w:val="22"/>
        </w:rPr>
      </w:pPr>
      <w:r w:rsidRPr="00E20EE0">
        <w:rPr>
          <w:rFonts w:ascii="Arial" w:hAnsi="Arial" w:cs="Arial"/>
        </w:rPr>
        <w:tab/>
      </w:r>
      <w:r w:rsidRPr="00E20EE0">
        <w:rPr>
          <w:rFonts w:ascii="Arial" w:hAnsi="Arial" w:cs="Arial"/>
          <w:sz w:val="22"/>
          <w:szCs w:val="22"/>
        </w:rPr>
        <w:t xml:space="preserve">‘Every application must be brought on notice of motion supported by affidavit on which the applicant relies for relief and every application initiating new proceedings, not forming part of an existing cause or matter, commences with the issue of the notice of motion signed by the registrar, date stamped with the official stamp and uniquely numbered for identification.’ </w:t>
      </w:r>
      <w:r w:rsidR="009569EF" w:rsidRPr="00E20EE0">
        <w:rPr>
          <w:rFonts w:ascii="Arial" w:hAnsi="Arial" w:cs="Arial"/>
          <w:sz w:val="22"/>
          <w:szCs w:val="22"/>
        </w:rPr>
        <w:t xml:space="preserve"> </w:t>
      </w:r>
    </w:p>
    <w:p w14:paraId="64AE8B55" w14:textId="77777777" w:rsidR="00A218B2" w:rsidRPr="00E20EE0" w:rsidRDefault="00A218B2" w:rsidP="00E20EE0">
      <w:pPr>
        <w:spacing w:line="360" w:lineRule="auto"/>
        <w:jc w:val="both"/>
        <w:rPr>
          <w:rFonts w:ascii="Arial" w:hAnsi="Arial" w:cs="Arial"/>
        </w:rPr>
      </w:pPr>
    </w:p>
    <w:p w14:paraId="57F97AAF" w14:textId="29E1181A" w:rsidR="001D68D8" w:rsidRPr="00E20EE0" w:rsidRDefault="00EC510D" w:rsidP="00E20EE0">
      <w:pPr>
        <w:spacing w:line="360" w:lineRule="auto"/>
        <w:jc w:val="both"/>
        <w:rPr>
          <w:rFonts w:ascii="Arial" w:hAnsi="Arial" w:cs="Arial"/>
        </w:rPr>
      </w:pPr>
      <w:r>
        <w:rPr>
          <w:rFonts w:ascii="Arial" w:hAnsi="Arial" w:cs="Arial"/>
        </w:rPr>
        <w:t>[25</w:t>
      </w:r>
      <w:r w:rsidR="001D68D8" w:rsidRPr="00E20EE0">
        <w:rPr>
          <w:rFonts w:ascii="Arial" w:hAnsi="Arial" w:cs="Arial"/>
        </w:rPr>
        <w:t>]</w:t>
      </w:r>
      <w:r w:rsidR="001D68D8" w:rsidRPr="00E20EE0">
        <w:rPr>
          <w:rFonts w:ascii="Arial" w:hAnsi="Arial" w:cs="Arial"/>
        </w:rPr>
        <w:tab/>
        <w:t>It</w:t>
      </w:r>
      <w:r w:rsidR="005F2364">
        <w:rPr>
          <w:rFonts w:ascii="Arial" w:hAnsi="Arial" w:cs="Arial"/>
        </w:rPr>
        <w:t xml:space="preserve"> follows, from the</w:t>
      </w:r>
      <w:r w:rsidR="0091097D">
        <w:rPr>
          <w:rFonts w:ascii="Arial" w:hAnsi="Arial" w:cs="Arial"/>
        </w:rPr>
        <w:t xml:space="preserve"> foregoing,</w:t>
      </w:r>
      <w:r w:rsidR="001D68D8" w:rsidRPr="00E20EE0">
        <w:rPr>
          <w:rFonts w:ascii="Arial" w:hAnsi="Arial" w:cs="Arial"/>
        </w:rPr>
        <w:t xml:space="preserve"> that a party seeking to invoke the provisions of s.64, namely, to seek a </w:t>
      </w:r>
      <w:r w:rsidR="00D95355" w:rsidRPr="00E20EE0">
        <w:rPr>
          <w:rFonts w:ascii="Arial" w:hAnsi="Arial" w:cs="Arial"/>
        </w:rPr>
        <w:t>declarator</w:t>
      </w:r>
      <w:r w:rsidR="001D68D8" w:rsidRPr="00E20EE0">
        <w:rPr>
          <w:rFonts w:ascii="Arial" w:hAnsi="Arial" w:cs="Arial"/>
        </w:rPr>
        <w:t xml:space="preserve"> that a </w:t>
      </w:r>
      <w:r w:rsidR="0091097D">
        <w:rPr>
          <w:rFonts w:ascii="Arial" w:hAnsi="Arial" w:cs="Arial"/>
        </w:rPr>
        <w:t>natural person</w:t>
      </w:r>
      <w:r w:rsidR="001D68D8" w:rsidRPr="00E20EE0">
        <w:rPr>
          <w:rFonts w:ascii="Arial" w:hAnsi="Arial" w:cs="Arial"/>
        </w:rPr>
        <w:t xml:space="preserve"> should be held personally liable for the debts or liabilities of a Close Corporation, he or she should make out a case on application, i.e.</w:t>
      </w:r>
      <w:r w:rsidR="0091097D">
        <w:rPr>
          <w:rFonts w:ascii="Arial" w:hAnsi="Arial" w:cs="Arial"/>
        </w:rPr>
        <w:t xml:space="preserve"> on</w:t>
      </w:r>
      <w:r w:rsidR="001D68D8" w:rsidRPr="00E20EE0">
        <w:rPr>
          <w:rFonts w:ascii="Arial" w:hAnsi="Arial" w:cs="Arial"/>
        </w:rPr>
        <w:t xml:space="preserve"> a notice of motion setting out the relief claimed and accompanied by an affidavit or affidavits on </w:t>
      </w:r>
      <w:r w:rsidR="0091097D">
        <w:rPr>
          <w:rFonts w:ascii="Arial" w:hAnsi="Arial" w:cs="Arial"/>
        </w:rPr>
        <w:t>which the base</w:t>
      </w:r>
      <w:r w:rsidR="001D68D8" w:rsidRPr="00E20EE0">
        <w:rPr>
          <w:rFonts w:ascii="Arial" w:hAnsi="Arial" w:cs="Arial"/>
        </w:rPr>
        <w:t xml:space="preserve">s for the invocation of the said section is clearly and succinctly spelt out. </w:t>
      </w:r>
    </w:p>
    <w:p w14:paraId="5BE6D731" w14:textId="77777777" w:rsidR="00D95355" w:rsidRPr="00E20EE0" w:rsidRDefault="00D95355" w:rsidP="00E20EE0">
      <w:pPr>
        <w:spacing w:line="360" w:lineRule="auto"/>
        <w:jc w:val="both"/>
        <w:rPr>
          <w:rFonts w:ascii="Arial" w:hAnsi="Arial" w:cs="Arial"/>
        </w:rPr>
      </w:pPr>
    </w:p>
    <w:p w14:paraId="41DA56FB" w14:textId="622F3D64" w:rsidR="00D95355" w:rsidRPr="00E20EE0" w:rsidRDefault="00EC510D" w:rsidP="00E20EE0">
      <w:pPr>
        <w:spacing w:line="360" w:lineRule="auto"/>
        <w:jc w:val="both"/>
        <w:rPr>
          <w:rFonts w:ascii="Arial" w:hAnsi="Arial" w:cs="Arial"/>
        </w:rPr>
      </w:pPr>
      <w:r>
        <w:rPr>
          <w:rFonts w:ascii="Arial" w:hAnsi="Arial" w:cs="Arial"/>
        </w:rPr>
        <w:lastRenderedPageBreak/>
        <w:t>[26</w:t>
      </w:r>
      <w:r w:rsidR="00D95355" w:rsidRPr="00E20EE0">
        <w:rPr>
          <w:rFonts w:ascii="Arial" w:hAnsi="Arial" w:cs="Arial"/>
        </w:rPr>
        <w:t>]</w:t>
      </w:r>
      <w:r w:rsidR="00D95355" w:rsidRPr="00E20EE0">
        <w:rPr>
          <w:rFonts w:ascii="Arial" w:hAnsi="Arial" w:cs="Arial"/>
        </w:rPr>
        <w:tab/>
        <w:t xml:space="preserve">Crucially, it would appear to me, the basis of the application must be those </w:t>
      </w:r>
      <w:r w:rsidR="0091097D">
        <w:rPr>
          <w:rFonts w:ascii="Arial" w:hAnsi="Arial" w:cs="Arial"/>
        </w:rPr>
        <w:t xml:space="preserve">steeped in the epithets </w:t>
      </w:r>
      <w:r w:rsidR="00D95355" w:rsidRPr="00E20EE0">
        <w:rPr>
          <w:rFonts w:ascii="Arial" w:hAnsi="Arial" w:cs="Arial"/>
        </w:rPr>
        <w:t>set out in s. 64, namely that the said person, or persons, conducted the business of the Close Corporation fraudulently</w:t>
      </w:r>
      <w:r w:rsidR="0091097D">
        <w:rPr>
          <w:rFonts w:ascii="Arial" w:hAnsi="Arial" w:cs="Arial"/>
        </w:rPr>
        <w:t>, grossly negligently or recklessly</w:t>
      </w:r>
      <w:r w:rsidR="00D95355" w:rsidRPr="00E20EE0">
        <w:rPr>
          <w:rFonts w:ascii="Arial" w:hAnsi="Arial" w:cs="Arial"/>
        </w:rPr>
        <w:t xml:space="preserve"> to the detriment of the body of creditors or </w:t>
      </w:r>
      <w:r w:rsidR="0091097D">
        <w:rPr>
          <w:rFonts w:ascii="Arial" w:hAnsi="Arial" w:cs="Arial"/>
        </w:rPr>
        <w:t xml:space="preserve">the particular creditor. </w:t>
      </w:r>
      <w:r w:rsidR="00D95355" w:rsidRPr="00E20EE0">
        <w:rPr>
          <w:rFonts w:ascii="Arial" w:hAnsi="Arial" w:cs="Arial"/>
        </w:rPr>
        <w:t>I am of the considered view that the bases for such serious allegations must be contained in the affidavit to enable the party alleged to be the wrongdoer</w:t>
      </w:r>
      <w:r w:rsidR="0091097D">
        <w:rPr>
          <w:rFonts w:ascii="Arial" w:hAnsi="Arial" w:cs="Arial"/>
        </w:rPr>
        <w:t>,</w:t>
      </w:r>
      <w:r w:rsidR="00D95355" w:rsidRPr="00E20EE0">
        <w:rPr>
          <w:rFonts w:ascii="Arial" w:hAnsi="Arial" w:cs="Arial"/>
        </w:rPr>
        <w:t xml:space="preserve"> to answer </w:t>
      </w:r>
      <w:r w:rsidR="0091097D">
        <w:rPr>
          <w:rFonts w:ascii="Arial" w:hAnsi="Arial" w:cs="Arial"/>
        </w:rPr>
        <w:t xml:space="preserve">fully </w:t>
      </w:r>
      <w:r w:rsidR="00D95355" w:rsidRPr="00E20EE0">
        <w:rPr>
          <w:rFonts w:ascii="Arial" w:hAnsi="Arial" w:cs="Arial"/>
        </w:rPr>
        <w:t>thereto and for the court to ultimately make its decision</w:t>
      </w:r>
      <w:r w:rsidR="0091097D">
        <w:rPr>
          <w:rFonts w:ascii="Arial" w:hAnsi="Arial" w:cs="Arial"/>
        </w:rPr>
        <w:t xml:space="preserve"> on the application</w:t>
      </w:r>
      <w:r w:rsidR="00D95355" w:rsidRPr="00E20EE0">
        <w:rPr>
          <w:rFonts w:ascii="Arial" w:hAnsi="Arial" w:cs="Arial"/>
        </w:rPr>
        <w:t>.</w:t>
      </w:r>
    </w:p>
    <w:p w14:paraId="5CC5EE81" w14:textId="77777777" w:rsidR="00D95355" w:rsidRPr="00E20EE0" w:rsidRDefault="00D95355" w:rsidP="00E20EE0">
      <w:pPr>
        <w:spacing w:line="360" w:lineRule="auto"/>
        <w:jc w:val="both"/>
        <w:rPr>
          <w:rFonts w:ascii="Arial" w:hAnsi="Arial" w:cs="Arial"/>
        </w:rPr>
      </w:pPr>
    </w:p>
    <w:p w14:paraId="003403B4" w14:textId="144F958A" w:rsidR="0091097D" w:rsidRDefault="00EC510D" w:rsidP="00E20EE0">
      <w:pPr>
        <w:spacing w:line="360" w:lineRule="auto"/>
        <w:jc w:val="both"/>
        <w:rPr>
          <w:rFonts w:ascii="Arial" w:hAnsi="Arial" w:cs="Arial"/>
        </w:rPr>
      </w:pPr>
      <w:r>
        <w:rPr>
          <w:rFonts w:ascii="Arial" w:hAnsi="Arial" w:cs="Arial"/>
        </w:rPr>
        <w:t>[27</w:t>
      </w:r>
      <w:r w:rsidR="00A218B2" w:rsidRPr="00E20EE0">
        <w:rPr>
          <w:rFonts w:ascii="Arial" w:hAnsi="Arial" w:cs="Arial"/>
        </w:rPr>
        <w:t>]</w:t>
      </w:r>
      <w:r w:rsidR="00A218B2" w:rsidRPr="00E20EE0">
        <w:rPr>
          <w:rFonts w:ascii="Arial" w:hAnsi="Arial" w:cs="Arial"/>
        </w:rPr>
        <w:tab/>
        <w:t>I</w:t>
      </w:r>
      <w:r w:rsidR="00D95355" w:rsidRPr="00E20EE0">
        <w:rPr>
          <w:rFonts w:ascii="Arial" w:hAnsi="Arial" w:cs="Arial"/>
        </w:rPr>
        <w:t>n the premises, I</w:t>
      </w:r>
      <w:r w:rsidR="00A218B2" w:rsidRPr="00E20EE0">
        <w:rPr>
          <w:rFonts w:ascii="Arial" w:hAnsi="Arial" w:cs="Arial"/>
        </w:rPr>
        <w:t xml:space="preserve"> am of the considered view that a party seeking </w:t>
      </w:r>
      <w:r w:rsidR="00D95355" w:rsidRPr="00E20EE0">
        <w:rPr>
          <w:rFonts w:ascii="Arial" w:hAnsi="Arial" w:cs="Arial"/>
        </w:rPr>
        <w:t>judgment based on the invocation of</w:t>
      </w:r>
      <w:r w:rsidR="00A218B2" w:rsidRPr="00E20EE0">
        <w:rPr>
          <w:rFonts w:ascii="Arial" w:hAnsi="Arial" w:cs="Arial"/>
        </w:rPr>
        <w:t xml:space="preserve"> the provisions of s</w:t>
      </w:r>
      <w:r w:rsidR="00D95355" w:rsidRPr="00E20EE0">
        <w:rPr>
          <w:rFonts w:ascii="Arial" w:hAnsi="Arial" w:cs="Arial"/>
        </w:rPr>
        <w:t>.</w:t>
      </w:r>
      <w:r w:rsidR="00A218B2" w:rsidRPr="00E20EE0">
        <w:rPr>
          <w:rFonts w:ascii="Arial" w:hAnsi="Arial" w:cs="Arial"/>
        </w:rPr>
        <w:t xml:space="preserve">64 must have first sought and obtained a </w:t>
      </w:r>
      <w:r w:rsidR="00003E22" w:rsidRPr="00E20EE0">
        <w:rPr>
          <w:rFonts w:ascii="Arial" w:hAnsi="Arial" w:cs="Arial"/>
        </w:rPr>
        <w:t>declarator</w:t>
      </w:r>
      <w:r w:rsidR="00A218B2" w:rsidRPr="00E20EE0">
        <w:rPr>
          <w:rFonts w:ascii="Arial" w:hAnsi="Arial" w:cs="Arial"/>
        </w:rPr>
        <w:t xml:space="preserve"> from the court that the member </w:t>
      </w:r>
      <w:r w:rsidR="0091097D">
        <w:rPr>
          <w:rFonts w:ascii="Arial" w:hAnsi="Arial" w:cs="Arial"/>
        </w:rPr>
        <w:t xml:space="preserve">concerned knowingly </w:t>
      </w:r>
      <w:r w:rsidR="00A218B2" w:rsidRPr="00E20EE0">
        <w:rPr>
          <w:rFonts w:ascii="Arial" w:hAnsi="Arial" w:cs="Arial"/>
        </w:rPr>
        <w:t>traded</w:t>
      </w:r>
      <w:r w:rsidR="005F2364">
        <w:rPr>
          <w:rFonts w:ascii="Arial" w:hAnsi="Arial" w:cs="Arial"/>
        </w:rPr>
        <w:t xml:space="preserve"> in one or more of the manners</w:t>
      </w:r>
      <w:r w:rsidR="00A218B2" w:rsidRPr="00E20EE0">
        <w:rPr>
          <w:rFonts w:ascii="Arial" w:hAnsi="Arial" w:cs="Arial"/>
        </w:rPr>
        <w:t xml:space="preserve"> set out in s. 64. </w:t>
      </w:r>
    </w:p>
    <w:p w14:paraId="2A6053FA" w14:textId="77777777" w:rsidR="0091097D" w:rsidRDefault="0091097D" w:rsidP="00E20EE0">
      <w:pPr>
        <w:spacing w:line="360" w:lineRule="auto"/>
        <w:jc w:val="both"/>
        <w:rPr>
          <w:rFonts w:ascii="Arial" w:hAnsi="Arial" w:cs="Arial"/>
        </w:rPr>
      </w:pPr>
    </w:p>
    <w:p w14:paraId="17242E86" w14:textId="4BF8EBE2" w:rsidR="00A218B2" w:rsidRPr="00E20EE0" w:rsidRDefault="00EC510D" w:rsidP="00E20EE0">
      <w:pPr>
        <w:spacing w:line="360" w:lineRule="auto"/>
        <w:jc w:val="both"/>
        <w:rPr>
          <w:rFonts w:ascii="Arial" w:hAnsi="Arial" w:cs="Arial"/>
        </w:rPr>
      </w:pPr>
      <w:r>
        <w:rPr>
          <w:rFonts w:ascii="Arial" w:hAnsi="Arial" w:cs="Arial"/>
        </w:rPr>
        <w:t>[28</w:t>
      </w:r>
      <w:r w:rsidR="0091097D">
        <w:rPr>
          <w:rFonts w:ascii="Arial" w:hAnsi="Arial" w:cs="Arial"/>
        </w:rPr>
        <w:t>]</w:t>
      </w:r>
      <w:r w:rsidR="0091097D">
        <w:rPr>
          <w:rFonts w:ascii="Arial" w:hAnsi="Arial" w:cs="Arial"/>
        </w:rPr>
        <w:tab/>
      </w:r>
      <w:r w:rsidR="00A218B2" w:rsidRPr="00E20EE0">
        <w:rPr>
          <w:rFonts w:ascii="Arial" w:hAnsi="Arial" w:cs="Arial"/>
        </w:rPr>
        <w:t xml:space="preserve">In </w:t>
      </w:r>
      <w:r w:rsidR="0091097D">
        <w:rPr>
          <w:rFonts w:ascii="Arial" w:hAnsi="Arial" w:cs="Arial"/>
        </w:rPr>
        <w:t>the light of the foregoing conclusion,</w:t>
      </w:r>
      <w:r w:rsidR="00A218B2" w:rsidRPr="00E20EE0">
        <w:rPr>
          <w:rFonts w:ascii="Arial" w:hAnsi="Arial" w:cs="Arial"/>
        </w:rPr>
        <w:t xml:space="preserve"> I am of the considered view that the application for summary judgment in this case is premature </w:t>
      </w:r>
      <w:r w:rsidR="00735AFC">
        <w:rPr>
          <w:rFonts w:ascii="Arial" w:hAnsi="Arial" w:cs="Arial"/>
        </w:rPr>
        <w:t>and precipitate.</w:t>
      </w:r>
      <w:r w:rsidR="0091097D">
        <w:rPr>
          <w:rFonts w:ascii="Arial" w:hAnsi="Arial" w:cs="Arial"/>
        </w:rPr>
        <w:t xml:space="preserve"> I</w:t>
      </w:r>
      <w:r w:rsidR="00A218B2" w:rsidRPr="00E20EE0">
        <w:rPr>
          <w:rFonts w:ascii="Arial" w:hAnsi="Arial" w:cs="Arial"/>
        </w:rPr>
        <w:t>n the abs</w:t>
      </w:r>
      <w:r w:rsidR="005F2364">
        <w:rPr>
          <w:rFonts w:ascii="Arial" w:hAnsi="Arial" w:cs="Arial"/>
        </w:rPr>
        <w:t>ence of a favourable order</w:t>
      </w:r>
      <w:r w:rsidR="00A218B2" w:rsidRPr="00E20EE0">
        <w:rPr>
          <w:rFonts w:ascii="Arial" w:hAnsi="Arial" w:cs="Arial"/>
        </w:rPr>
        <w:t xml:space="preserve"> in which the court will make a determination </w:t>
      </w:r>
      <w:r w:rsidR="0091097D">
        <w:rPr>
          <w:rFonts w:ascii="Arial" w:hAnsi="Arial" w:cs="Arial"/>
        </w:rPr>
        <w:t xml:space="preserve">in favour of the creditor </w:t>
      </w:r>
      <w:r w:rsidR="005F2364">
        <w:rPr>
          <w:rFonts w:ascii="Arial" w:hAnsi="Arial" w:cs="Arial"/>
        </w:rPr>
        <w:t xml:space="preserve">or other person mentioned in the section, </w:t>
      </w:r>
      <w:r w:rsidR="00A218B2" w:rsidRPr="00E20EE0">
        <w:rPr>
          <w:rFonts w:ascii="Arial" w:hAnsi="Arial" w:cs="Arial"/>
        </w:rPr>
        <w:t>that the member</w:t>
      </w:r>
      <w:r w:rsidR="0091097D">
        <w:rPr>
          <w:rFonts w:ascii="Arial" w:hAnsi="Arial" w:cs="Arial"/>
        </w:rPr>
        <w:t>(</w:t>
      </w:r>
      <w:r w:rsidR="00A218B2" w:rsidRPr="00E20EE0">
        <w:rPr>
          <w:rFonts w:ascii="Arial" w:hAnsi="Arial" w:cs="Arial"/>
        </w:rPr>
        <w:t>s</w:t>
      </w:r>
      <w:r w:rsidR="0091097D">
        <w:rPr>
          <w:rFonts w:ascii="Arial" w:hAnsi="Arial" w:cs="Arial"/>
        </w:rPr>
        <w:t>)</w:t>
      </w:r>
      <w:r w:rsidR="00A218B2" w:rsidRPr="00E20EE0">
        <w:rPr>
          <w:rFonts w:ascii="Arial" w:hAnsi="Arial" w:cs="Arial"/>
        </w:rPr>
        <w:t xml:space="preserve"> traded recklessly</w:t>
      </w:r>
      <w:r w:rsidR="0091097D">
        <w:rPr>
          <w:rFonts w:ascii="Arial" w:hAnsi="Arial" w:cs="Arial"/>
        </w:rPr>
        <w:t>,</w:t>
      </w:r>
      <w:r w:rsidR="00A218B2" w:rsidRPr="00E20EE0">
        <w:rPr>
          <w:rFonts w:ascii="Arial" w:hAnsi="Arial" w:cs="Arial"/>
        </w:rPr>
        <w:t xml:space="preserve"> fraudulently or</w:t>
      </w:r>
      <w:r w:rsidR="0091097D">
        <w:rPr>
          <w:rFonts w:ascii="Arial" w:hAnsi="Arial" w:cs="Arial"/>
        </w:rPr>
        <w:t xml:space="preserve"> with gross negligence, I am of the </w:t>
      </w:r>
      <w:r w:rsidR="005F2364">
        <w:rPr>
          <w:rFonts w:ascii="Arial" w:hAnsi="Arial" w:cs="Arial"/>
        </w:rPr>
        <w:t xml:space="preserve">firm </w:t>
      </w:r>
      <w:r w:rsidR="0091097D">
        <w:rPr>
          <w:rFonts w:ascii="Arial" w:hAnsi="Arial" w:cs="Arial"/>
        </w:rPr>
        <w:t>view that a creditor may not apply for judgment before overcoming that hurdle</w:t>
      </w:r>
      <w:r w:rsidR="00A218B2" w:rsidRPr="00E20EE0">
        <w:rPr>
          <w:rFonts w:ascii="Arial" w:hAnsi="Arial" w:cs="Arial"/>
        </w:rPr>
        <w:t>.</w:t>
      </w:r>
    </w:p>
    <w:p w14:paraId="4B20935C" w14:textId="77777777" w:rsidR="007214EF" w:rsidRPr="00E20EE0" w:rsidRDefault="007214EF" w:rsidP="00E20EE0">
      <w:pPr>
        <w:spacing w:line="360" w:lineRule="auto"/>
        <w:jc w:val="both"/>
        <w:rPr>
          <w:rFonts w:ascii="Arial" w:hAnsi="Arial" w:cs="Arial"/>
        </w:rPr>
      </w:pPr>
    </w:p>
    <w:p w14:paraId="7537AE64" w14:textId="2B684B8B" w:rsidR="007214EF" w:rsidRPr="00E20EE0" w:rsidRDefault="00EC510D" w:rsidP="00E20EE0">
      <w:pPr>
        <w:spacing w:line="360" w:lineRule="auto"/>
        <w:jc w:val="both"/>
        <w:rPr>
          <w:rFonts w:ascii="Arial" w:hAnsi="Arial" w:cs="Arial"/>
        </w:rPr>
      </w:pPr>
      <w:r>
        <w:rPr>
          <w:rFonts w:ascii="Arial" w:hAnsi="Arial" w:cs="Arial"/>
        </w:rPr>
        <w:t>[29</w:t>
      </w:r>
      <w:r w:rsidR="007214EF" w:rsidRPr="00E20EE0">
        <w:rPr>
          <w:rFonts w:ascii="Arial" w:hAnsi="Arial" w:cs="Arial"/>
        </w:rPr>
        <w:t>]</w:t>
      </w:r>
      <w:r w:rsidR="007214EF" w:rsidRPr="00E20EE0">
        <w:rPr>
          <w:rFonts w:ascii="Arial" w:hAnsi="Arial" w:cs="Arial"/>
        </w:rPr>
        <w:tab/>
        <w:t xml:space="preserve">Where a creditor moves a summary judgment </w:t>
      </w:r>
      <w:r w:rsidR="0091097D">
        <w:rPr>
          <w:rFonts w:ascii="Arial" w:hAnsi="Arial" w:cs="Arial"/>
        </w:rPr>
        <w:t xml:space="preserve">application </w:t>
      </w:r>
      <w:r w:rsidR="00735AFC">
        <w:rPr>
          <w:rFonts w:ascii="Arial" w:hAnsi="Arial" w:cs="Arial"/>
        </w:rPr>
        <w:t>for</w:t>
      </w:r>
      <w:r w:rsidR="007214EF" w:rsidRPr="00E20EE0">
        <w:rPr>
          <w:rFonts w:ascii="Arial" w:hAnsi="Arial" w:cs="Arial"/>
        </w:rPr>
        <w:t xml:space="preserve"> payment of the amount which is the one that was sought to be claimed against the </w:t>
      </w:r>
      <w:r w:rsidR="00735AFC">
        <w:rPr>
          <w:rFonts w:ascii="Arial" w:hAnsi="Arial" w:cs="Arial"/>
        </w:rPr>
        <w:t xml:space="preserve">close </w:t>
      </w:r>
      <w:r w:rsidR="007214EF" w:rsidRPr="00E20EE0">
        <w:rPr>
          <w:rFonts w:ascii="Arial" w:hAnsi="Arial" w:cs="Arial"/>
        </w:rPr>
        <w:t>corporation</w:t>
      </w:r>
      <w:r w:rsidR="00821563" w:rsidRPr="00E20EE0">
        <w:rPr>
          <w:rFonts w:ascii="Arial" w:hAnsi="Arial" w:cs="Arial"/>
        </w:rPr>
        <w:t>,</w:t>
      </w:r>
      <w:r w:rsidR="007214EF" w:rsidRPr="00E20EE0">
        <w:rPr>
          <w:rFonts w:ascii="Arial" w:hAnsi="Arial" w:cs="Arial"/>
        </w:rPr>
        <w:t xml:space="preserve"> </w:t>
      </w:r>
      <w:r w:rsidR="00D95355" w:rsidRPr="00E20EE0">
        <w:rPr>
          <w:rFonts w:ascii="Arial" w:hAnsi="Arial" w:cs="Arial"/>
        </w:rPr>
        <w:t xml:space="preserve">but </w:t>
      </w:r>
      <w:r w:rsidR="007214EF" w:rsidRPr="00E20EE0">
        <w:rPr>
          <w:rFonts w:ascii="Arial" w:hAnsi="Arial" w:cs="Arial"/>
        </w:rPr>
        <w:t xml:space="preserve">before a </w:t>
      </w:r>
      <w:r w:rsidR="00735AFC">
        <w:rPr>
          <w:rFonts w:ascii="Arial" w:hAnsi="Arial" w:cs="Arial"/>
        </w:rPr>
        <w:t xml:space="preserve">favourable </w:t>
      </w:r>
      <w:r w:rsidR="007214EF" w:rsidRPr="00E20EE0">
        <w:rPr>
          <w:rFonts w:ascii="Arial" w:hAnsi="Arial" w:cs="Arial"/>
        </w:rPr>
        <w:t>declaration in terms of s. 64</w:t>
      </w:r>
      <w:r w:rsidR="00D95355" w:rsidRPr="00E20EE0">
        <w:rPr>
          <w:rFonts w:ascii="Arial" w:hAnsi="Arial" w:cs="Arial"/>
        </w:rPr>
        <w:t xml:space="preserve"> is made by the court</w:t>
      </w:r>
      <w:r w:rsidR="007214EF" w:rsidRPr="00E20EE0">
        <w:rPr>
          <w:rFonts w:ascii="Arial" w:hAnsi="Arial" w:cs="Arial"/>
        </w:rPr>
        <w:t xml:space="preserve">, it would appear to me that the said creditor is guilty of putting the cart before the horse. There must </w:t>
      </w:r>
      <w:r w:rsidR="00003E22" w:rsidRPr="00E20EE0">
        <w:rPr>
          <w:rFonts w:ascii="Arial" w:hAnsi="Arial" w:cs="Arial"/>
        </w:rPr>
        <w:t>first</w:t>
      </w:r>
      <w:r w:rsidR="007214EF" w:rsidRPr="00E20EE0">
        <w:rPr>
          <w:rFonts w:ascii="Arial" w:hAnsi="Arial" w:cs="Arial"/>
        </w:rPr>
        <w:t xml:space="preserve"> be an application for the lifting of the corporate veil, so to speak and this application should clearly and </w:t>
      </w:r>
      <w:r w:rsidR="00003E22" w:rsidRPr="00E20EE0">
        <w:rPr>
          <w:rFonts w:ascii="Arial" w:hAnsi="Arial" w:cs="Arial"/>
        </w:rPr>
        <w:t>succinctly</w:t>
      </w:r>
      <w:r w:rsidR="007214EF" w:rsidRPr="00E20EE0">
        <w:rPr>
          <w:rFonts w:ascii="Arial" w:hAnsi="Arial" w:cs="Arial"/>
        </w:rPr>
        <w:t xml:space="preserve"> spell out the reasons why it is </w:t>
      </w:r>
      <w:r w:rsidR="00003E22" w:rsidRPr="00E20EE0">
        <w:rPr>
          <w:rFonts w:ascii="Arial" w:hAnsi="Arial" w:cs="Arial"/>
        </w:rPr>
        <w:t>claimed</w:t>
      </w:r>
      <w:r w:rsidR="007214EF" w:rsidRPr="00E20EE0">
        <w:rPr>
          <w:rFonts w:ascii="Arial" w:hAnsi="Arial" w:cs="Arial"/>
        </w:rPr>
        <w:t xml:space="preserve"> that the said person or persons carried on the business of the said corporation in the manner set out in </w:t>
      </w:r>
      <w:r w:rsidR="00735AFC">
        <w:rPr>
          <w:rFonts w:ascii="Arial" w:hAnsi="Arial" w:cs="Arial"/>
        </w:rPr>
        <w:t xml:space="preserve">s. 64 of </w:t>
      </w:r>
      <w:r w:rsidR="007214EF" w:rsidRPr="00E20EE0">
        <w:rPr>
          <w:rFonts w:ascii="Arial" w:hAnsi="Arial" w:cs="Arial"/>
        </w:rPr>
        <w:t>the Act and that would justify</w:t>
      </w:r>
      <w:r w:rsidR="00735AFC">
        <w:rPr>
          <w:rFonts w:ascii="Arial" w:hAnsi="Arial" w:cs="Arial"/>
        </w:rPr>
        <w:t xml:space="preserve"> the court, in deserving cases,</w:t>
      </w:r>
      <w:r w:rsidR="007214EF" w:rsidRPr="00E20EE0">
        <w:rPr>
          <w:rFonts w:ascii="Arial" w:hAnsi="Arial" w:cs="Arial"/>
        </w:rPr>
        <w:t xml:space="preserve"> imputing the debts </w:t>
      </w:r>
      <w:r w:rsidR="00735AFC">
        <w:rPr>
          <w:rFonts w:ascii="Arial" w:hAnsi="Arial" w:cs="Arial"/>
        </w:rPr>
        <w:t xml:space="preserve">or liabilities </w:t>
      </w:r>
      <w:r w:rsidR="007214EF" w:rsidRPr="00E20EE0">
        <w:rPr>
          <w:rFonts w:ascii="Arial" w:hAnsi="Arial" w:cs="Arial"/>
        </w:rPr>
        <w:t>of the corporation on the members.</w:t>
      </w:r>
    </w:p>
    <w:p w14:paraId="7729C68A" w14:textId="77777777" w:rsidR="005F2364" w:rsidRDefault="005F2364" w:rsidP="00E20EE0">
      <w:pPr>
        <w:spacing w:line="360" w:lineRule="auto"/>
        <w:jc w:val="both"/>
        <w:rPr>
          <w:rFonts w:ascii="Arial" w:hAnsi="Arial" w:cs="Arial"/>
        </w:rPr>
      </w:pPr>
    </w:p>
    <w:p w14:paraId="78F94571" w14:textId="7D1308F1" w:rsidR="006F36FC" w:rsidRPr="00E20EE0" w:rsidRDefault="00EC510D" w:rsidP="00E20EE0">
      <w:pPr>
        <w:spacing w:line="360" w:lineRule="auto"/>
        <w:jc w:val="both"/>
        <w:rPr>
          <w:rFonts w:ascii="Arial" w:hAnsi="Arial" w:cs="Arial"/>
        </w:rPr>
      </w:pPr>
      <w:r>
        <w:rPr>
          <w:rFonts w:ascii="Arial" w:hAnsi="Arial" w:cs="Arial"/>
        </w:rPr>
        <w:lastRenderedPageBreak/>
        <w:t>[30</w:t>
      </w:r>
      <w:r w:rsidR="007214EF" w:rsidRPr="00E20EE0">
        <w:rPr>
          <w:rFonts w:ascii="Arial" w:hAnsi="Arial" w:cs="Arial"/>
        </w:rPr>
        <w:t>]</w:t>
      </w:r>
      <w:r w:rsidR="007214EF" w:rsidRPr="00E20EE0">
        <w:rPr>
          <w:rFonts w:ascii="Arial" w:hAnsi="Arial" w:cs="Arial"/>
        </w:rPr>
        <w:tab/>
        <w:t xml:space="preserve">What is more, it appears to me that the plaintiff </w:t>
      </w:r>
      <w:r w:rsidR="00821563" w:rsidRPr="00E20EE0">
        <w:rPr>
          <w:rFonts w:ascii="Arial" w:hAnsi="Arial" w:cs="Arial"/>
        </w:rPr>
        <w:t xml:space="preserve">in this case </w:t>
      </w:r>
      <w:r w:rsidR="007214EF" w:rsidRPr="00E20EE0">
        <w:rPr>
          <w:rFonts w:ascii="Arial" w:hAnsi="Arial" w:cs="Arial"/>
        </w:rPr>
        <w:t xml:space="preserve">has not only not sought a </w:t>
      </w:r>
      <w:r w:rsidR="00821563" w:rsidRPr="00E20EE0">
        <w:rPr>
          <w:rFonts w:ascii="Arial" w:hAnsi="Arial" w:cs="Arial"/>
        </w:rPr>
        <w:t>declarator</w:t>
      </w:r>
      <w:r w:rsidR="007214EF" w:rsidRPr="00E20EE0">
        <w:rPr>
          <w:rFonts w:ascii="Arial" w:hAnsi="Arial" w:cs="Arial"/>
        </w:rPr>
        <w:t xml:space="preserve"> from the court as set out in the said section, it has not even stated the grounds upon which it is contended that the 1</w:t>
      </w:r>
      <w:r w:rsidR="007214EF" w:rsidRPr="00E20EE0">
        <w:rPr>
          <w:rFonts w:ascii="Arial" w:hAnsi="Arial" w:cs="Arial"/>
          <w:vertAlign w:val="superscript"/>
        </w:rPr>
        <w:t>st</w:t>
      </w:r>
      <w:r w:rsidR="007214EF" w:rsidRPr="00E20EE0">
        <w:rPr>
          <w:rFonts w:ascii="Arial" w:hAnsi="Arial" w:cs="Arial"/>
        </w:rPr>
        <w:t xml:space="preserve"> defendant </w:t>
      </w:r>
      <w:r w:rsidR="00735AFC">
        <w:rPr>
          <w:rFonts w:ascii="Arial" w:hAnsi="Arial" w:cs="Arial"/>
        </w:rPr>
        <w:t xml:space="preserve">knowingly </w:t>
      </w:r>
      <w:r w:rsidR="007214EF" w:rsidRPr="00E20EE0">
        <w:rPr>
          <w:rFonts w:ascii="Arial" w:hAnsi="Arial" w:cs="Arial"/>
        </w:rPr>
        <w:t>traded recklessly</w:t>
      </w:r>
      <w:r w:rsidR="006F36FC" w:rsidRPr="00E20EE0">
        <w:rPr>
          <w:rFonts w:ascii="Arial" w:hAnsi="Arial" w:cs="Arial"/>
        </w:rPr>
        <w:t xml:space="preserve">, </w:t>
      </w:r>
      <w:r w:rsidR="00735AFC">
        <w:rPr>
          <w:rFonts w:ascii="Arial" w:hAnsi="Arial" w:cs="Arial"/>
        </w:rPr>
        <w:t xml:space="preserve">grossly </w:t>
      </w:r>
      <w:r w:rsidR="006F36FC" w:rsidRPr="00E20EE0">
        <w:rPr>
          <w:rFonts w:ascii="Arial" w:hAnsi="Arial" w:cs="Arial"/>
        </w:rPr>
        <w:t>negligently</w:t>
      </w:r>
      <w:r w:rsidR="00821563" w:rsidRPr="00E20EE0">
        <w:rPr>
          <w:rFonts w:ascii="Arial" w:hAnsi="Arial" w:cs="Arial"/>
        </w:rPr>
        <w:t xml:space="preserve"> or fraudulently. The wrongdoi</w:t>
      </w:r>
      <w:r w:rsidR="006F36FC" w:rsidRPr="00E20EE0">
        <w:rPr>
          <w:rFonts w:ascii="Arial" w:hAnsi="Arial" w:cs="Arial"/>
        </w:rPr>
        <w:t>ng alleged on the part of the deb</w:t>
      </w:r>
      <w:r w:rsidR="00821563" w:rsidRPr="00E20EE0">
        <w:rPr>
          <w:rFonts w:ascii="Arial" w:hAnsi="Arial" w:cs="Arial"/>
        </w:rPr>
        <w:t>tor</w:t>
      </w:r>
      <w:r w:rsidR="007214EF" w:rsidRPr="00E20EE0">
        <w:rPr>
          <w:rFonts w:ascii="Arial" w:hAnsi="Arial" w:cs="Arial"/>
        </w:rPr>
        <w:t xml:space="preserve"> must not just be a parochial conclusion of the party making the assertion but there must be</w:t>
      </w:r>
      <w:r w:rsidR="00821563" w:rsidRPr="00E20EE0">
        <w:rPr>
          <w:rFonts w:ascii="Arial" w:hAnsi="Arial" w:cs="Arial"/>
        </w:rPr>
        <w:t xml:space="preserve"> </w:t>
      </w:r>
      <w:r w:rsidR="00735AFC">
        <w:rPr>
          <w:rFonts w:ascii="Arial" w:hAnsi="Arial" w:cs="Arial"/>
        </w:rPr>
        <w:t xml:space="preserve">clear and concise </w:t>
      </w:r>
      <w:r w:rsidR="00821563" w:rsidRPr="00E20EE0">
        <w:rPr>
          <w:rFonts w:ascii="Arial" w:hAnsi="Arial" w:cs="Arial"/>
        </w:rPr>
        <w:t>allegations on oath that will be buttressed by evidence of some sort</w:t>
      </w:r>
      <w:r w:rsidR="00735AFC">
        <w:rPr>
          <w:rFonts w:ascii="Arial" w:hAnsi="Arial" w:cs="Arial"/>
        </w:rPr>
        <w:t xml:space="preserve"> or the other</w:t>
      </w:r>
      <w:r w:rsidR="00821563" w:rsidRPr="00E20EE0">
        <w:rPr>
          <w:rFonts w:ascii="Arial" w:hAnsi="Arial" w:cs="Arial"/>
        </w:rPr>
        <w:t>,</w:t>
      </w:r>
      <w:r w:rsidR="007214EF" w:rsidRPr="00E20EE0">
        <w:rPr>
          <w:rFonts w:ascii="Arial" w:hAnsi="Arial" w:cs="Arial"/>
        </w:rPr>
        <w:t xml:space="preserve"> to enable the court to make the </w:t>
      </w:r>
      <w:r w:rsidR="00821563" w:rsidRPr="00E20EE0">
        <w:rPr>
          <w:rFonts w:ascii="Arial" w:hAnsi="Arial" w:cs="Arial"/>
        </w:rPr>
        <w:t xml:space="preserve">appropriate </w:t>
      </w:r>
      <w:r w:rsidR="007214EF" w:rsidRPr="00E20EE0">
        <w:rPr>
          <w:rFonts w:ascii="Arial" w:hAnsi="Arial" w:cs="Arial"/>
        </w:rPr>
        <w:t>determination</w:t>
      </w:r>
      <w:r w:rsidR="006F36FC" w:rsidRPr="00E20EE0">
        <w:rPr>
          <w:rFonts w:ascii="Arial" w:hAnsi="Arial" w:cs="Arial"/>
        </w:rPr>
        <w:t xml:space="preserve"> on the application</w:t>
      </w:r>
      <w:r w:rsidR="007214EF" w:rsidRPr="00E20EE0">
        <w:rPr>
          <w:rFonts w:ascii="Arial" w:hAnsi="Arial" w:cs="Arial"/>
        </w:rPr>
        <w:t>.</w:t>
      </w:r>
    </w:p>
    <w:p w14:paraId="5F265F31" w14:textId="0DE9FB03" w:rsidR="00821563" w:rsidRPr="00E20EE0" w:rsidRDefault="007214EF" w:rsidP="00E20EE0">
      <w:pPr>
        <w:spacing w:line="360" w:lineRule="auto"/>
        <w:jc w:val="both"/>
        <w:rPr>
          <w:rFonts w:ascii="Arial" w:hAnsi="Arial" w:cs="Arial"/>
        </w:rPr>
      </w:pPr>
      <w:r w:rsidRPr="00E20EE0">
        <w:rPr>
          <w:rFonts w:ascii="Arial" w:hAnsi="Arial" w:cs="Arial"/>
        </w:rPr>
        <w:t xml:space="preserve"> </w:t>
      </w:r>
    </w:p>
    <w:p w14:paraId="125A17B9" w14:textId="7BEF93E6" w:rsidR="007214EF" w:rsidRPr="00E20EE0" w:rsidRDefault="00EC510D" w:rsidP="00E20EE0">
      <w:pPr>
        <w:spacing w:line="360" w:lineRule="auto"/>
        <w:jc w:val="both"/>
        <w:rPr>
          <w:rFonts w:ascii="Arial" w:hAnsi="Arial" w:cs="Arial"/>
        </w:rPr>
      </w:pPr>
      <w:r>
        <w:rPr>
          <w:rFonts w:ascii="Arial" w:hAnsi="Arial" w:cs="Arial"/>
        </w:rPr>
        <w:t>[31</w:t>
      </w:r>
      <w:r w:rsidR="00821563" w:rsidRPr="00E20EE0">
        <w:rPr>
          <w:rFonts w:ascii="Arial" w:hAnsi="Arial" w:cs="Arial"/>
        </w:rPr>
        <w:t>]</w:t>
      </w:r>
      <w:r w:rsidR="00821563" w:rsidRPr="00E20EE0">
        <w:rPr>
          <w:rFonts w:ascii="Arial" w:hAnsi="Arial" w:cs="Arial"/>
        </w:rPr>
        <w:tab/>
        <w:t>In my considered view, i</w:t>
      </w:r>
      <w:r w:rsidR="007214EF" w:rsidRPr="00E20EE0">
        <w:rPr>
          <w:rFonts w:ascii="Arial" w:hAnsi="Arial" w:cs="Arial"/>
        </w:rPr>
        <w:t xml:space="preserve">t </w:t>
      </w:r>
      <w:r w:rsidR="006F36FC" w:rsidRPr="00E20EE0">
        <w:rPr>
          <w:rFonts w:ascii="Arial" w:hAnsi="Arial" w:cs="Arial"/>
        </w:rPr>
        <w:t>is only after such a declarator</w:t>
      </w:r>
      <w:r w:rsidR="00821563" w:rsidRPr="00E20EE0">
        <w:rPr>
          <w:rFonts w:ascii="Arial" w:hAnsi="Arial" w:cs="Arial"/>
        </w:rPr>
        <w:t xml:space="preserve"> by the court</w:t>
      </w:r>
      <w:r w:rsidR="007214EF" w:rsidRPr="00E20EE0">
        <w:rPr>
          <w:rFonts w:ascii="Arial" w:hAnsi="Arial" w:cs="Arial"/>
        </w:rPr>
        <w:t xml:space="preserve"> </w:t>
      </w:r>
      <w:r w:rsidR="006F36FC" w:rsidRPr="00E20EE0">
        <w:rPr>
          <w:rFonts w:ascii="Arial" w:hAnsi="Arial" w:cs="Arial"/>
        </w:rPr>
        <w:t>has been made in the plaintiff’s favour that the latter c</w:t>
      </w:r>
      <w:r w:rsidR="007214EF" w:rsidRPr="00E20EE0">
        <w:rPr>
          <w:rFonts w:ascii="Arial" w:hAnsi="Arial" w:cs="Arial"/>
        </w:rPr>
        <w:t xml:space="preserve">ould, armed with the </w:t>
      </w:r>
      <w:r w:rsidR="006F36FC" w:rsidRPr="00E20EE0">
        <w:rPr>
          <w:rFonts w:ascii="Arial" w:hAnsi="Arial" w:cs="Arial"/>
        </w:rPr>
        <w:t xml:space="preserve">positive </w:t>
      </w:r>
      <w:r w:rsidR="007214EF" w:rsidRPr="00E20EE0">
        <w:rPr>
          <w:rFonts w:ascii="Arial" w:hAnsi="Arial" w:cs="Arial"/>
        </w:rPr>
        <w:t>finding of reckless</w:t>
      </w:r>
      <w:r w:rsidR="00821563" w:rsidRPr="00E20EE0">
        <w:rPr>
          <w:rFonts w:ascii="Arial" w:hAnsi="Arial" w:cs="Arial"/>
        </w:rPr>
        <w:t xml:space="preserve">, </w:t>
      </w:r>
      <w:r w:rsidR="00735AFC">
        <w:rPr>
          <w:rFonts w:ascii="Arial" w:hAnsi="Arial" w:cs="Arial"/>
        </w:rPr>
        <w:t xml:space="preserve">grossly </w:t>
      </w:r>
      <w:r w:rsidR="00821563" w:rsidRPr="00E20EE0">
        <w:rPr>
          <w:rFonts w:ascii="Arial" w:hAnsi="Arial" w:cs="Arial"/>
        </w:rPr>
        <w:t>negligent</w:t>
      </w:r>
      <w:r w:rsidR="007214EF" w:rsidRPr="00E20EE0">
        <w:rPr>
          <w:rFonts w:ascii="Arial" w:hAnsi="Arial" w:cs="Arial"/>
        </w:rPr>
        <w:t xml:space="preserve"> or fraudulent trading, that it can move for summary judgment. I am of the considered view therefore, that the plaintiff’s </w:t>
      </w:r>
      <w:r w:rsidR="00821563" w:rsidRPr="00E20EE0">
        <w:rPr>
          <w:rFonts w:ascii="Arial" w:hAnsi="Arial" w:cs="Arial"/>
        </w:rPr>
        <w:t>claim</w:t>
      </w:r>
      <w:r w:rsidR="00735AFC">
        <w:rPr>
          <w:rFonts w:ascii="Arial" w:hAnsi="Arial" w:cs="Arial"/>
        </w:rPr>
        <w:t>, as it presently stands</w:t>
      </w:r>
      <w:r w:rsidR="00821563" w:rsidRPr="00E20EE0">
        <w:rPr>
          <w:rFonts w:ascii="Arial" w:hAnsi="Arial" w:cs="Arial"/>
        </w:rPr>
        <w:t xml:space="preserve"> is</w:t>
      </w:r>
      <w:r w:rsidR="007214EF" w:rsidRPr="00E20EE0">
        <w:rPr>
          <w:rFonts w:ascii="Arial" w:hAnsi="Arial" w:cs="Arial"/>
        </w:rPr>
        <w:t xml:space="preserve"> impeachable</w:t>
      </w:r>
      <w:r w:rsidR="00821563" w:rsidRPr="00E20EE0">
        <w:rPr>
          <w:rFonts w:ascii="Arial" w:hAnsi="Arial" w:cs="Arial"/>
        </w:rPr>
        <w:t xml:space="preserve"> in the circumstances</w:t>
      </w:r>
      <w:r w:rsidR="007214EF" w:rsidRPr="00E20EE0">
        <w:rPr>
          <w:rFonts w:ascii="Arial" w:hAnsi="Arial" w:cs="Arial"/>
        </w:rPr>
        <w:t xml:space="preserve"> and this is a sound reason not to grant summary judgment in this matter.  </w:t>
      </w:r>
    </w:p>
    <w:p w14:paraId="3A15810B" w14:textId="77777777" w:rsidR="007214EF" w:rsidRPr="00E20EE0" w:rsidRDefault="007214EF" w:rsidP="00E20EE0">
      <w:pPr>
        <w:spacing w:line="360" w:lineRule="auto"/>
        <w:jc w:val="both"/>
        <w:rPr>
          <w:rFonts w:ascii="Arial" w:hAnsi="Arial" w:cs="Arial"/>
        </w:rPr>
      </w:pPr>
    </w:p>
    <w:p w14:paraId="57F8F71F" w14:textId="61A83653" w:rsidR="00821563" w:rsidRPr="00E20EE0" w:rsidRDefault="00EC510D" w:rsidP="00E20EE0">
      <w:pPr>
        <w:spacing w:line="360" w:lineRule="auto"/>
        <w:jc w:val="both"/>
        <w:rPr>
          <w:rFonts w:ascii="Arial" w:hAnsi="Arial" w:cs="Arial"/>
        </w:rPr>
      </w:pPr>
      <w:r>
        <w:rPr>
          <w:rFonts w:ascii="Arial" w:hAnsi="Arial" w:cs="Arial"/>
        </w:rPr>
        <w:t>[32</w:t>
      </w:r>
      <w:r w:rsidR="00821563" w:rsidRPr="00E20EE0">
        <w:rPr>
          <w:rFonts w:ascii="Arial" w:hAnsi="Arial" w:cs="Arial"/>
        </w:rPr>
        <w:t>]</w:t>
      </w:r>
      <w:r w:rsidR="00821563" w:rsidRPr="00E20EE0">
        <w:rPr>
          <w:rFonts w:ascii="Arial" w:hAnsi="Arial" w:cs="Arial"/>
        </w:rPr>
        <w:tab/>
        <w:t>There is a further reason in my view, why the declarator is first to be obtained before one moves for summary judgment. This is to be found in s.64 itself</w:t>
      </w:r>
      <w:r w:rsidR="00735AFC">
        <w:rPr>
          <w:rFonts w:ascii="Arial" w:hAnsi="Arial" w:cs="Arial"/>
        </w:rPr>
        <w:t>,</w:t>
      </w:r>
      <w:r w:rsidR="00821563" w:rsidRPr="00E20EE0">
        <w:rPr>
          <w:rFonts w:ascii="Arial" w:hAnsi="Arial" w:cs="Arial"/>
        </w:rPr>
        <w:t xml:space="preserve"> where the Lawgiver gives the court some discretion</w:t>
      </w:r>
      <w:r w:rsidR="00A056B6" w:rsidRPr="00E20EE0">
        <w:rPr>
          <w:rFonts w:ascii="Arial" w:hAnsi="Arial" w:cs="Arial"/>
        </w:rPr>
        <w:t xml:space="preserve"> regarding the amount to be paid</w:t>
      </w:r>
      <w:r w:rsidR="00735AFC">
        <w:rPr>
          <w:rFonts w:ascii="Arial" w:hAnsi="Arial" w:cs="Arial"/>
        </w:rPr>
        <w:t xml:space="preserve"> by the erring member after the lifting of the corporate veil.</w:t>
      </w:r>
      <w:r w:rsidR="00821563" w:rsidRPr="00E20EE0">
        <w:rPr>
          <w:rFonts w:ascii="Arial" w:hAnsi="Arial" w:cs="Arial"/>
        </w:rPr>
        <w:t xml:space="preserve"> </w:t>
      </w:r>
      <w:r w:rsidR="00735AFC">
        <w:rPr>
          <w:rFonts w:ascii="Arial" w:hAnsi="Arial" w:cs="Arial"/>
        </w:rPr>
        <w:t>This will obviously depend</w:t>
      </w:r>
      <w:r w:rsidR="00821563" w:rsidRPr="00E20EE0">
        <w:rPr>
          <w:rFonts w:ascii="Arial" w:hAnsi="Arial" w:cs="Arial"/>
        </w:rPr>
        <w:t xml:space="preserve"> on the evidence adduced as to whether to grant an order for the </w:t>
      </w:r>
      <w:r w:rsidR="006F36FC" w:rsidRPr="00E20EE0">
        <w:rPr>
          <w:rFonts w:ascii="Arial" w:hAnsi="Arial" w:cs="Arial"/>
        </w:rPr>
        <w:t xml:space="preserve">entire </w:t>
      </w:r>
      <w:r w:rsidR="00821563" w:rsidRPr="00E20EE0">
        <w:rPr>
          <w:rFonts w:ascii="Arial" w:hAnsi="Arial" w:cs="Arial"/>
        </w:rPr>
        <w:t xml:space="preserve">amount claimed </w:t>
      </w:r>
      <w:r w:rsidR="00A056B6" w:rsidRPr="00E20EE0">
        <w:rPr>
          <w:rFonts w:ascii="Arial" w:hAnsi="Arial" w:cs="Arial"/>
        </w:rPr>
        <w:t>or some other amount or portion which may be proved</w:t>
      </w:r>
      <w:r w:rsidR="006F36FC" w:rsidRPr="00E20EE0">
        <w:rPr>
          <w:rFonts w:ascii="Arial" w:hAnsi="Arial" w:cs="Arial"/>
        </w:rPr>
        <w:t xml:space="preserve"> to the court’s satisfaction</w:t>
      </w:r>
      <w:r w:rsidR="00A056B6" w:rsidRPr="00E20EE0">
        <w:rPr>
          <w:rFonts w:ascii="Arial" w:hAnsi="Arial" w:cs="Arial"/>
        </w:rPr>
        <w:t xml:space="preserve">. It is, in my opinion, </w:t>
      </w:r>
      <w:r w:rsidR="00AF16AA" w:rsidRPr="00E20EE0">
        <w:rPr>
          <w:rFonts w:ascii="Arial" w:hAnsi="Arial" w:cs="Arial"/>
        </w:rPr>
        <w:t>for that reason that</w:t>
      </w:r>
      <w:r w:rsidR="00A056B6" w:rsidRPr="00E20EE0">
        <w:rPr>
          <w:rFonts w:ascii="Arial" w:hAnsi="Arial" w:cs="Arial"/>
        </w:rPr>
        <w:t xml:space="preserve"> the section speaks of the member being liable ‘for </w:t>
      </w:r>
      <w:r w:rsidR="00A056B6" w:rsidRPr="00E20EE0">
        <w:rPr>
          <w:rFonts w:ascii="Arial" w:hAnsi="Arial" w:cs="Arial"/>
          <w:u w:val="single"/>
        </w:rPr>
        <w:t xml:space="preserve">all or any such </w:t>
      </w:r>
      <w:r w:rsidR="00A056B6" w:rsidRPr="00735AFC">
        <w:rPr>
          <w:rFonts w:ascii="Arial" w:hAnsi="Arial" w:cs="Arial"/>
          <w:u w:val="single"/>
        </w:rPr>
        <w:t>debts or</w:t>
      </w:r>
      <w:r w:rsidR="00A056B6" w:rsidRPr="00E20EE0">
        <w:rPr>
          <w:rFonts w:ascii="Arial" w:hAnsi="Arial" w:cs="Arial"/>
        </w:rPr>
        <w:t xml:space="preserve"> </w:t>
      </w:r>
      <w:r w:rsidR="00A056B6" w:rsidRPr="00735AFC">
        <w:rPr>
          <w:rFonts w:ascii="Arial" w:hAnsi="Arial" w:cs="Arial"/>
          <w:u w:val="single"/>
        </w:rPr>
        <w:t>liabilities of the corporation as the court may direct</w:t>
      </w:r>
      <w:r w:rsidR="00A056B6" w:rsidRPr="00E20EE0">
        <w:rPr>
          <w:rFonts w:ascii="Arial" w:hAnsi="Arial" w:cs="Arial"/>
        </w:rPr>
        <w:t>. . .’</w:t>
      </w:r>
      <w:r w:rsidR="00AF16AA" w:rsidRPr="00E20EE0">
        <w:rPr>
          <w:rFonts w:ascii="Arial" w:hAnsi="Arial" w:cs="Arial"/>
        </w:rPr>
        <w:t xml:space="preserve"> (Emphasis added).</w:t>
      </w:r>
    </w:p>
    <w:p w14:paraId="08F1AD81" w14:textId="77777777" w:rsidR="00A056B6" w:rsidRPr="00E20EE0" w:rsidRDefault="00A056B6" w:rsidP="00E20EE0">
      <w:pPr>
        <w:spacing w:line="360" w:lineRule="auto"/>
        <w:jc w:val="both"/>
        <w:rPr>
          <w:rFonts w:ascii="Arial" w:hAnsi="Arial" w:cs="Arial"/>
        </w:rPr>
      </w:pPr>
    </w:p>
    <w:p w14:paraId="3A99DA12" w14:textId="5D1FD650" w:rsidR="00A056B6" w:rsidRPr="00E20EE0" w:rsidRDefault="00EC510D" w:rsidP="00E20EE0">
      <w:pPr>
        <w:spacing w:line="360" w:lineRule="auto"/>
        <w:jc w:val="both"/>
        <w:rPr>
          <w:rFonts w:ascii="Arial" w:hAnsi="Arial" w:cs="Arial"/>
        </w:rPr>
      </w:pPr>
      <w:r>
        <w:rPr>
          <w:rFonts w:ascii="Arial" w:hAnsi="Arial" w:cs="Arial"/>
        </w:rPr>
        <w:t>[33</w:t>
      </w:r>
      <w:r w:rsidR="00A056B6" w:rsidRPr="00E20EE0">
        <w:rPr>
          <w:rFonts w:ascii="Arial" w:hAnsi="Arial" w:cs="Arial"/>
        </w:rPr>
        <w:t>]</w:t>
      </w:r>
      <w:r w:rsidR="00A056B6" w:rsidRPr="00E20EE0">
        <w:rPr>
          <w:rFonts w:ascii="Arial" w:hAnsi="Arial" w:cs="Arial"/>
        </w:rPr>
        <w:tab/>
        <w:t xml:space="preserve">I am accordingly of the firm view that a creditor may not properly move an application for summary judgment without having first moved the application contemplated in s.64 </w:t>
      </w:r>
      <w:r w:rsidR="00DC4B02">
        <w:rPr>
          <w:rFonts w:ascii="Arial" w:hAnsi="Arial" w:cs="Arial"/>
        </w:rPr>
        <w:t xml:space="preserve">of the Act </w:t>
      </w:r>
      <w:r w:rsidR="00A056B6" w:rsidRPr="00E20EE0">
        <w:rPr>
          <w:rFonts w:ascii="Arial" w:hAnsi="Arial" w:cs="Arial"/>
        </w:rPr>
        <w:t xml:space="preserve">and the court having found </w:t>
      </w:r>
      <w:r w:rsidR="00AF16AA" w:rsidRPr="00E20EE0">
        <w:rPr>
          <w:rFonts w:ascii="Arial" w:hAnsi="Arial" w:cs="Arial"/>
        </w:rPr>
        <w:t xml:space="preserve">in favour of the plaintiff </w:t>
      </w:r>
      <w:r w:rsidR="00A056B6" w:rsidRPr="00E20EE0">
        <w:rPr>
          <w:rFonts w:ascii="Arial" w:hAnsi="Arial" w:cs="Arial"/>
        </w:rPr>
        <w:t xml:space="preserve">that the said member </w:t>
      </w:r>
      <w:r w:rsidR="00DC4B02">
        <w:rPr>
          <w:rFonts w:ascii="Arial" w:hAnsi="Arial" w:cs="Arial"/>
        </w:rPr>
        <w:t xml:space="preserve">knowingly </w:t>
      </w:r>
      <w:r w:rsidR="00A056B6" w:rsidRPr="00E20EE0">
        <w:rPr>
          <w:rFonts w:ascii="Arial" w:hAnsi="Arial" w:cs="Arial"/>
        </w:rPr>
        <w:t xml:space="preserve">traded recklessly, </w:t>
      </w:r>
      <w:r w:rsidR="00DC4B02">
        <w:rPr>
          <w:rFonts w:ascii="Arial" w:hAnsi="Arial" w:cs="Arial"/>
        </w:rPr>
        <w:t xml:space="preserve">grossly </w:t>
      </w:r>
      <w:r w:rsidR="00A056B6" w:rsidRPr="00E20EE0">
        <w:rPr>
          <w:rFonts w:ascii="Arial" w:hAnsi="Arial" w:cs="Arial"/>
        </w:rPr>
        <w:t xml:space="preserve">negligently or fraudulently, as the case may be. More importantly, the court must have determined the amount to be claimed from the said member </w:t>
      </w:r>
      <w:r w:rsidR="00A056B6" w:rsidRPr="00E20EE0">
        <w:rPr>
          <w:rFonts w:ascii="Arial" w:hAnsi="Arial" w:cs="Arial"/>
        </w:rPr>
        <w:lastRenderedPageBreak/>
        <w:t>and it is on that amount that a plaintiff may properly sue</w:t>
      </w:r>
      <w:r w:rsidR="00AF16AA" w:rsidRPr="00E20EE0">
        <w:rPr>
          <w:rFonts w:ascii="Arial" w:hAnsi="Arial" w:cs="Arial"/>
        </w:rPr>
        <w:t xml:space="preserve"> and, where appropriate, apply for summary judgment</w:t>
      </w:r>
      <w:r w:rsidR="00A056B6" w:rsidRPr="00E20EE0">
        <w:rPr>
          <w:rFonts w:ascii="Arial" w:hAnsi="Arial" w:cs="Arial"/>
        </w:rPr>
        <w:t>.</w:t>
      </w:r>
    </w:p>
    <w:p w14:paraId="7E3E95C9" w14:textId="77777777" w:rsidR="00A056B6" w:rsidRPr="00E20EE0" w:rsidRDefault="00A056B6" w:rsidP="00E20EE0">
      <w:pPr>
        <w:spacing w:line="360" w:lineRule="auto"/>
        <w:jc w:val="both"/>
        <w:rPr>
          <w:rFonts w:ascii="Arial" w:hAnsi="Arial" w:cs="Arial"/>
        </w:rPr>
      </w:pPr>
    </w:p>
    <w:p w14:paraId="66045B42" w14:textId="6D0D070B" w:rsidR="007214EF" w:rsidRPr="00E20EE0" w:rsidRDefault="00EC510D" w:rsidP="00E20EE0">
      <w:pPr>
        <w:spacing w:line="360" w:lineRule="auto"/>
        <w:jc w:val="both"/>
        <w:rPr>
          <w:rFonts w:ascii="Arial" w:hAnsi="Arial" w:cs="Arial"/>
        </w:rPr>
      </w:pPr>
      <w:r>
        <w:rPr>
          <w:rFonts w:ascii="Arial" w:hAnsi="Arial" w:cs="Arial"/>
        </w:rPr>
        <w:t>[34</w:t>
      </w:r>
      <w:r w:rsidR="007214EF" w:rsidRPr="00E20EE0">
        <w:rPr>
          <w:rFonts w:ascii="Arial" w:hAnsi="Arial" w:cs="Arial"/>
        </w:rPr>
        <w:t>]</w:t>
      </w:r>
      <w:r w:rsidR="007214EF" w:rsidRPr="00E20EE0">
        <w:rPr>
          <w:rFonts w:ascii="Arial" w:hAnsi="Arial" w:cs="Arial"/>
        </w:rPr>
        <w:tab/>
        <w:t xml:space="preserve">In any event, even if the issue of the </w:t>
      </w:r>
      <w:r w:rsidR="00821563" w:rsidRPr="00E20EE0">
        <w:rPr>
          <w:rFonts w:ascii="Arial" w:hAnsi="Arial" w:cs="Arial"/>
        </w:rPr>
        <w:t>declarator</w:t>
      </w:r>
      <w:r w:rsidR="007214EF" w:rsidRPr="00E20EE0">
        <w:rPr>
          <w:rFonts w:ascii="Arial" w:hAnsi="Arial" w:cs="Arial"/>
        </w:rPr>
        <w:t xml:space="preserve"> is not placed into focus, it is clear that the version of the 1</w:t>
      </w:r>
      <w:r w:rsidR="007214EF" w:rsidRPr="00E20EE0">
        <w:rPr>
          <w:rFonts w:ascii="Arial" w:hAnsi="Arial" w:cs="Arial"/>
          <w:vertAlign w:val="superscript"/>
        </w:rPr>
        <w:t>st</w:t>
      </w:r>
      <w:r w:rsidR="007214EF" w:rsidRPr="00E20EE0">
        <w:rPr>
          <w:rFonts w:ascii="Arial" w:hAnsi="Arial" w:cs="Arial"/>
        </w:rPr>
        <w:t xml:space="preserve"> defendant </w:t>
      </w:r>
      <w:r w:rsidR="00AF16AA" w:rsidRPr="00E20EE0">
        <w:rPr>
          <w:rFonts w:ascii="Arial" w:hAnsi="Arial" w:cs="Arial"/>
        </w:rPr>
        <w:t xml:space="preserve">deposed </w:t>
      </w:r>
      <w:r w:rsidR="005F2364">
        <w:rPr>
          <w:rFonts w:ascii="Arial" w:hAnsi="Arial" w:cs="Arial"/>
        </w:rPr>
        <w:t xml:space="preserve">to </w:t>
      </w:r>
      <w:r w:rsidR="00AF16AA" w:rsidRPr="00E20EE0">
        <w:rPr>
          <w:rFonts w:ascii="Arial" w:hAnsi="Arial" w:cs="Arial"/>
        </w:rPr>
        <w:t xml:space="preserve">on oath, </w:t>
      </w:r>
      <w:r w:rsidR="007214EF" w:rsidRPr="00E20EE0">
        <w:rPr>
          <w:rFonts w:ascii="Arial" w:hAnsi="Arial" w:cs="Arial"/>
        </w:rPr>
        <w:t>raises issues that are destructive of the allegation</w:t>
      </w:r>
      <w:r w:rsidR="00AF16AA" w:rsidRPr="00E20EE0">
        <w:rPr>
          <w:rFonts w:ascii="Arial" w:hAnsi="Arial" w:cs="Arial"/>
        </w:rPr>
        <w:t>s</w:t>
      </w:r>
      <w:r w:rsidR="007214EF" w:rsidRPr="00E20EE0">
        <w:rPr>
          <w:rFonts w:ascii="Arial" w:hAnsi="Arial" w:cs="Arial"/>
        </w:rPr>
        <w:t xml:space="preserve"> made in the particulars of claim. In particular, the 1</w:t>
      </w:r>
      <w:r w:rsidR="007214EF" w:rsidRPr="00E20EE0">
        <w:rPr>
          <w:rFonts w:ascii="Arial" w:hAnsi="Arial" w:cs="Arial"/>
          <w:vertAlign w:val="superscript"/>
        </w:rPr>
        <w:t>st</w:t>
      </w:r>
      <w:r w:rsidR="007214EF" w:rsidRPr="00E20EE0">
        <w:rPr>
          <w:rFonts w:ascii="Arial" w:hAnsi="Arial" w:cs="Arial"/>
        </w:rPr>
        <w:t xml:space="preserve"> defendant denies the correctness of the version imputed to the Deputy Sheriff concerned</w:t>
      </w:r>
      <w:r w:rsidR="00DC4B02">
        <w:rPr>
          <w:rFonts w:ascii="Arial" w:hAnsi="Arial" w:cs="Arial"/>
        </w:rPr>
        <w:t xml:space="preserve"> </w:t>
      </w:r>
      <w:r>
        <w:rPr>
          <w:rFonts w:ascii="Arial" w:hAnsi="Arial" w:cs="Arial"/>
        </w:rPr>
        <w:t xml:space="preserve">in the particulars of claim </w:t>
      </w:r>
      <w:r w:rsidR="00DC4B02">
        <w:rPr>
          <w:rFonts w:ascii="Arial" w:hAnsi="Arial" w:cs="Arial"/>
        </w:rPr>
        <w:t>and deposes</w:t>
      </w:r>
      <w:r>
        <w:rPr>
          <w:rFonts w:ascii="Arial" w:hAnsi="Arial" w:cs="Arial"/>
        </w:rPr>
        <w:t xml:space="preserve"> to allegations controverting</w:t>
      </w:r>
      <w:r w:rsidR="00DC4B02">
        <w:rPr>
          <w:rFonts w:ascii="Arial" w:hAnsi="Arial" w:cs="Arial"/>
        </w:rPr>
        <w:t xml:space="preserve"> the correctness of the plaintiff’s version</w:t>
      </w:r>
      <w:r w:rsidR="007214EF" w:rsidRPr="00E20EE0">
        <w:rPr>
          <w:rFonts w:ascii="Arial" w:hAnsi="Arial" w:cs="Arial"/>
        </w:rPr>
        <w:t>. There is thus a dispute raised by the 1</w:t>
      </w:r>
      <w:r w:rsidR="007214EF" w:rsidRPr="00E20EE0">
        <w:rPr>
          <w:rFonts w:ascii="Arial" w:hAnsi="Arial" w:cs="Arial"/>
          <w:vertAlign w:val="superscript"/>
        </w:rPr>
        <w:t>st</w:t>
      </w:r>
      <w:r w:rsidR="007214EF" w:rsidRPr="00E20EE0">
        <w:rPr>
          <w:rFonts w:ascii="Arial" w:hAnsi="Arial" w:cs="Arial"/>
        </w:rPr>
        <w:t xml:space="preserve"> defendant’s affidavit</w:t>
      </w:r>
      <w:r w:rsidR="00A056B6" w:rsidRPr="00E20EE0">
        <w:rPr>
          <w:rFonts w:ascii="Arial" w:hAnsi="Arial" w:cs="Arial"/>
        </w:rPr>
        <w:t xml:space="preserve"> regarding the</w:t>
      </w:r>
      <w:r w:rsidR="00DC4B02">
        <w:rPr>
          <w:rFonts w:ascii="Arial" w:hAnsi="Arial" w:cs="Arial"/>
        </w:rPr>
        <w:t xml:space="preserve"> execution process and the </w:t>
      </w:r>
      <w:r w:rsidR="00A056B6" w:rsidRPr="00E20EE0">
        <w:rPr>
          <w:rFonts w:ascii="Arial" w:hAnsi="Arial" w:cs="Arial"/>
        </w:rPr>
        <w:t>e</w:t>
      </w:r>
      <w:r w:rsidR="00DC4B02">
        <w:rPr>
          <w:rFonts w:ascii="Arial" w:hAnsi="Arial" w:cs="Arial"/>
        </w:rPr>
        <w:t>vent</w:t>
      </w:r>
      <w:r w:rsidR="00A056B6" w:rsidRPr="00E20EE0">
        <w:rPr>
          <w:rFonts w:ascii="Arial" w:hAnsi="Arial" w:cs="Arial"/>
        </w:rPr>
        <w:t>s surrounding same</w:t>
      </w:r>
      <w:r w:rsidR="007214EF" w:rsidRPr="00E20EE0">
        <w:rPr>
          <w:rFonts w:ascii="Arial" w:hAnsi="Arial" w:cs="Arial"/>
        </w:rPr>
        <w:t>.</w:t>
      </w:r>
    </w:p>
    <w:p w14:paraId="68BBB6C8" w14:textId="77777777" w:rsidR="007214EF" w:rsidRPr="00E20EE0" w:rsidRDefault="007214EF" w:rsidP="00E20EE0">
      <w:pPr>
        <w:spacing w:line="360" w:lineRule="auto"/>
        <w:jc w:val="both"/>
        <w:rPr>
          <w:rFonts w:ascii="Arial" w:hAnsi="Arial" w:cs="Arial"/>
        </w:rPr>
      </w:pPr>
    </w:p>
    <w:p w14:paraId="16FDA364" w14:textId="0FF4FFEF" w:rsidR="00A056B6" w:rsidRPr="00E20EE0" w:rsidRDefault="00EC510D" w:rsidP="00E20EE0">
      <w:pPr>
        <w:spacing w:line="360" w:lineRule="auto"/>
        <w:jc w:val="both"/>
        <w:rPr>
          <w:rFonts w:ascii="Arial" w:hAnsi="Arial" w:cs="Arial"/>
        </w:rPr>
      </w:pPr>
      <w:r>
        <w:rPr>
          <w:rFonts w:ascii="Arial" w:hAnsi="Arial" w:cs="Arial"/>
        </w:rPr>
        <w:t>[35</w:t>
      </w:r>
      <w:r w:rsidR="007214EF" w:rsidRPr="00E20EE0">
        <w:rPr>
          <w:rFonts w:ascii="Arial" w:hAnsi="Arial" w:cs="Arial"/>
        </w:rPr>
        <w:t>]</w:t>
      </w:r>
      <w:r w:rsidR="007214EF" w:rsidRPr="00E20EE0">
        <w:rPr>
          <w:rFonts w:ascii="Arial" w:hAnsi="Arial" w:cs="Arial"/>
        </w:rPr>
        <w:tab/>
        <w:t>Equally worthy of consideration is the 1</w:t>
      </w:r>
      <w:r w:rsidR="007214EF" w:rsidRPr="00E20EE0">
        <w:rPr>
          <w:rFonts w:ascii="Arial" w:hAnsi="Arial" w:cs="Arial"/>
          <w:vertAlign w:val="superscript"/>
        </w:rPr>
        <w:t>st</w:t>
      </w:r>
      <w:r w:rsidR="007214EF" w:rsidRPr="00E20EE0">
        <w:rPr>
          <w:rFonts w:ascii="Arial" w:hAnsi="Arial" w:cs="Arial"/>
        </w:rPr>
        <w:t xml:space="preserve"> defendant’s version that he was involved in a </w:t>
      </w:r>
      <w:r w:rsidR="00DC4B02">
        <w:rPr>
          <w:rFonts w:ascii="Arial" w:hAnsi="Arial" w:cs="Arial"/>
        </w:rPr>
        <w:t xml:space="preserve">serious </w:t>
      </w:r>
      <w:r w:rsidR="007214EF" w:rsidRPr="00E20EE0">
        <w:rPr>
          <w:rFonts w:ascii="Arial" w:hAnsi="Arial" w:cs="Arial"/>
        </w:rPr>
        <w:t xml:space="preserve">motor vehicle accident and was </w:t>
      </w:r>
      <w:r w:rsidR="00DC4B02">
        <w:rPr>
          <w:rFonts w:ascii="Arial" w:hAnsi="Arial" w:cs="Arial"/>
        </w:rPr>
        <w:t xml:space="preserve">consequently </w:t>
      </w:r>
      <w:r w:rsidR="007214EF" w:rsidRPr="00E20EE0">
        <w:rPr>
          <w:rFonts w:ascii="Arial" w:hAnsi="Arial" w:cs="Arial"/>
        </w:rPr>
        <w:t xml:space="preserve">hospitalised for a lengthy period of time. He contends that it was at this time that the business of the </w:t>
      </w:r>
      <w:r w:rsidR="00003E22" w:rsidRPr="00E20EE0">
        <w:rPr>
          <w:rFonts w:ascii="Arial" w:hAnsi="Arial" w:cs="Arial"/>
        </w:rPr>
        <w:t>corporation went</w:t>
      </w:r>
      <w:r w:rsidR="00023483" w:rsidRPr="00E20EE0">
        <w:rPr>
          <w:rFonts w:ascii="Arial" w:hAnsi="Arial" w:cs="Arial"/>
        </w:rPr>
        <w:t xml:space="preserve"> moribund and this, rather than </w:t>
      </w:r>
      <w:r w:rsidR="00A056B6" w:rsidRPr="00E20EE0">
        <w:rPr>
          <w:rFonts w:ascii="Arial" w:hAnsi="Arial" w:cs="Arial"/>
        </w:rPr>
        <w:t>the suggestion of</w:t>
      </w:r>
      <w:r w:rsidR="00023483" w:rsidRPr="00E20EE0">
        <w:rPr>
          <w:rFonts w:ascii="Arial" w:hAnsi="Arial" w:cs="Arial"/>
        </w:rPr>
        <w:t xml:space="preserve"> recklessness</w:t>
      </w:r>
      <w:r w:rsidR="00A056B6" w:rsidRPr="00E20EE0">
        <w:rPr>
          <w:rFonts w:ascii="Arial" w:hAnsi="Arial" w:cs="Arial"/>
        </w:rPr>
        <w:t xml:space="preserve">, </w:t>
      </w:r>
      <w:r w:rsidR="00DC4B02">
        <w:rPr>
          <w:rFonts w:ascii="Arial" w:hAnsi="Arial" w:cs="Arial"/>
        </w:rPr>
        <w:t xml:space="preserve">gross </w:t>
      </w:r>
      <w:r w:rsidR="00A056B6" w:rsidRPr="00E20EE0">
        <w:rPr>
          <w:rFonts w:ascii="Arial" w:hAnsi="Arial" w:cs="Arial"/>
        </w:rPr>
        <w:t>negligence</w:t>
      </w:r>
      <w:r w:rsidR="00023483" w:rsidRPr="00E20EE0">
        <w:rPr>
          <w:rFonts w:ascii="Arial" w:hAnsi="Arial" w:cs="Arial"/>
        </w:rPr>
        <w:t xml:space="preserve"> or fraud, may serve to explain the failure of the business concerned. In terms of s.64, the person sought to be declared liable for the debts must ‘knowingly’ be a party to the negligence, fraud or gross negligence</w:t>
      </w:r>
      <w:r w:rsidR="00AF16AA" w:rsidRPr="00E20EE0">
        <w:rPr>
          <w:rFonts w:ascii="Arial" w:hAnsi="Arial" w:cs="Arial"/>
        </w:rPr>
        <w:t xml:space="preserve"> alleged</w:t>
      </w:r>
      <w:r w:rsidR="00023483" w:rsidRPr="00E20EE0">
        <w:rPr>
          <w:rFonts w:ascii="Arial" w:hAnsi="Arial" w:cs="Arial"/>
        </w:rPr>
        <w:t xml:space="preserve">. </w:t>
      </w:r>
    </w:p>
    <w:p w14:paraId="7CDB310E" w14:textId="77777777" w:rsidR="00A056B6" w:rsidRPr="00E20EE0" w:rsidRDefault="00A056B6" w:rsidP="00E20EE0">
      <w:pPr>
        <w:spacing w:line="360" w:lineRule="auto"/>
        <w:jc w:val="both"/>
        <w:rPr>
          <w:rFonts w:ascii="Arial" w:hAnsi="Arial" w:cs="Arial"/>
        </w:rPr>
      </w:pPr>
    </w:p>
    <w:p w14:paraId="632A7C90" w14:textId="5876A091" w:rsidR="00023483" w:rsidRPr="00E20EE0" w:rsidRDefault="00EC510D" w:rsidP="00E20EE0">
      <w:pPr>
        <w:spacing w:line="360" w:lineRule="auto"/>
        <w:jc w:val="both"/>
        <w:rPr>
          <w:rFonts w:ascii="Arial" w:hAnsi="Arial" w:cs="Arial"/>
        </w:rPr>
      </w:pPr>
      <w:r>
        <w:rPr>
          <w:rFonts w:ascii="Arial" w:hAnsi="Arial" w:cs="Arial"/>
        </w:rPr>
        <w:t>[36</w:t>
      </w:r>
      <w:r w:rsidR="00F41682" w:rsidRPr="00E20EE0">
        <w:rPr>
          <w:rFonts w:ascii="Arial" w:hAnsi="Arial" w:cs="Arial"/>
        </w:rPr>
        <w:t>]</w:t>
      </w:r>
      <w:r w:rsidR="00F41682" w:rsidRPr="00E20EE0">
        <w:rPr>
          <w:rFonts w:ascii="Arial" w:hAnsi="Arial" w:cs="Arial"/>
        </w:rPr>
        <w:tab/>
      </w:r>
      <w:r w:rsidR="00DC4B02">
        <w:rPr>
          <w:rFonts w:ascii="Arial" w:hAnsi="Arial" w:cs="Arial"/>
        </w:rPr>
        <w:t>In this regard,</w:t>
      </w:r>
      <w:r w:rsidR="00A056B6" w:rsidRPr="00E20EE0">
        <w:rPr>
          <w:rFonts w:ascii="Arial" w:hAnsi="Arial" w:cs="Arial"/>
        </w:rPr>
        <w:t xml:space="preserve"> a</w:t>
      </w:r>
      <w:r w:rsidR="00023483" w:rsidRPr="00E20EE0">
        <w:rPr>
          <w:rFonts w:ascii="Arial" w:hAnsi="Arial" w:cs="Arial"/>
        </w:rPr>
        <w:t xml:space="preserve"> </w:t>
      </w:r>
      <w:r w:rsidR="00003E22" w:rsidRPr="00E20EE0">
        <w:rPr>
          <w:rFonts w:ascii="Arial" w:hAnsi="Arial" w:cs="Arial"/>
        </w:rPr>
        <w:t>person,</w:t>
      </w:r>
      <w:r w:rsidR="00023483" w:rsidRPr="00E20EE0">
        <w:rPr>
          <w:rFonts w:ascii="Arial" w:hAnsi="Arial" w:cs="Arial"/>
        </w:rPr>
        <w:t xml:space="preserve"> who was hospitalised due to a motor vehicle accident</w:t>
      </w:r>
      <w:r w:rsidR="00AF16AA" w:rsidRPr="00E20EE0">
        <w:rPr>
          <w:rFonts w:ascii="Arial" w:hAnsi="Arial" w:cs="Arial"/>
        </w:rPr>
        <w:t>, as the 1</w:t>
      </w:r>
      <w:r w:rsidR="00AF16AA" w:rsidRPr="00E20EE0">
        <w:rPr>
          <w:rFonts w:ascii="Arial" w:hAnsi="Arial" w:cs="Arial"/>
          <w:vertAlign w:val="superscript"/>
        </w:rPr>
        <w:t>st</w:t>
      </w:r>
      <w:r w:rsidR="00003E22" w:rsidRPr="00E20EE0">
        <w:rPr>
          <w:rFonts w:ascii="Arial" w:hAnsi="Arial" w:cs="Arial"/>
        </w:rPr>
        <w:t xml:space="preserve"> defendant claims on oath,</w:t>
      </w:r>
      <w:r w:rsidR="00023483" w:rsidRPr="00E20EE0">
        <w:rPr>
          <w:rFonts w:ascii="Arial" w:hAnsi="Arial" w:cs="Arial"/>
        </w:rPr>
        <w:t xml:space="preserve"> can hardly be said to have acted ‘knowingly’ within the meaning of the word.</w:t>
      </w:r>
      <w:r w:rsidR="00A056B6" w:rsidRPr="00E20EE0">
        <w:rPr>
          <w:rFonts w:ascii="Arial" w:hAnsi="Arial" w:cs="Arial"/>
        </w:rPr>
        <w:t xml:space="preserve"> It is for that reason that the enquiry into the application of s.64 must first be conducted as the defendant’s version raises a triable issue within the meaning of </w:t>
      </w:r>
      <w:r w:rsidR="00AF16AA" w:rsidRPr="00E20EE0">
        <w:rPr>
          <w:rFonts w:ascii="Arial" w:hAnsi="Arial" w:cs="Arial"/>
        </w:rPr>
        <w:t xml:space="preserve">the principles applicable to </w:t>
      </w:r>
      <w:r w:rsidR="00A056B6" w:rsidRPr="00E20EE0">
        <w:rPr>
          <w:rFonts w:ascii="Arial" w:hAnsi="Arial" w:cs="Arial"/>
        </w:rPr>
        <w:t>summary judgment</w:t>
      </w:r>
      <w:r w:rsidR="00DC4B02">
        <w:rPr>
          <w:rFonts w:ascii="Arial" w:hAnsi="Arial" w:cs="Arial"/>
        </w:rPr>
        <w:t xml:space="preserve"> regarding whether the provisions of s.64 should apply to him</w:t>
      </w:r>
      <w:r w:rsidR="00A056B6" w:rsidRPr="00E20EE0">
        <w:rPr>
          <w:rFonts w:ascii="Arial" w:hAnsi="Arial" w:cs="Arial"/>
        </w:rPr>
        <w:t>.</w:t>
      </w:r>
    </w:p>
    <w:p w14:paraId="52CFA4D2" w14:textId="77777777" w:rsidR="00023483" w:rsidRPr="00E20EE0" w:rsidRDefault="00023483" w:rsidP="00E20EE0">
      <w:pPr>
        <w:spacing w:line="360" w:lineRule="auto"/>
        <w:jc w:val="both"/>
        <w:rPr>
          <w:rFonts w:ascii="Arial" w:hAnsi="Arial" w:cs="Arial"/>
        </w:rPr>
      </w:pPr>
    </w:p>
    <w:p w14:paraId="3526E5E8" w14:textId="0192E1A3" w:rsidR="00EC510D" w:rsidRDefault="00EC510D" w:rsidP="00E20EE0">
      <w:pPr>
        <w:spacing w:line="360" w:lineRule="auto"/>
        <w:jc w:val="both"/>
        <w:rPr>
          <w:rFonts w:ascii="Arial" w:hAnsi="Arial" w:cs="Arial"/>
        </w:rPr>
      </w:pPr>
      <w:r>
        <w:rPr>
          <w:rFonts w:ascii="Arial" w:hAnsi="Arial" w:cs="Arial"/>
        </w:rPr>
        <w:t>[37</w:t>
      </w:r>
      <w:r w:rsidR="00023483" w:rsidRPr="00E20EE0">
        <w:rPr>
          <w:rFonts w:ascii="Arial" w:hAnsi="Arial" w:cs="Arial"/>
        </w:rPr>
        <w:t>]</w:t>
      </w:r>
      <w:r w:rsidR="00023483" w:rsidRPr="00E20EE0">
        <w:rPr>
          <w:rFonts w:ascii="Arial" w:hAnsi="Arial" w:cs="Arial"/>
        </w:rPr>
        <w:tab/>
        <w:t>The foregoing, in my considered view, constitute a reasonable basis upon which the court can find and properly hold that the defendant has not filed its notice to defend for the mere purpose of delaying the plaintiff enjoying the fruits of its judgment early. In my view, the 1</w:t>
      </w:r>
      <w:r w:rsidR="00023483" w:rsidRPr="00E20EE0">
        <w:rPr>
          <w:rFonts w:ascii="Arial" w:hAnsi="Arial" w:cs="Arial"/>
          <w:vertAlign w:val="superscript"/>
        </w:rPr>
        <w:t>st</w:t>
      </w:r>
      <w:r w:rsidR="00023483" w:rsidRPr="00E20EE0">
        <w:rPr>
          <w:rFonts w:ascii="Arial" w:hAnsi="Arial" w:cs="Arial"/>
        </w:rPr>
        <w:t xml:space="preserve"> defendant has met the threshold set out in case law for him to </w:t>
      </w:r>
      <w:r w:rsidR="00F41682" w:rsidRPr="00E20EE0">
        <w:rPr>
          <w:rFonts w:ascii="Arial" w:hAnsi="Arial" w:cs="Arial"/>
        </w:rPr>
        <w:t xml:space="preserve">be </w:t>
      </w:r>
      <w:r w:rsidR="00023483" w:rsidRPr="00E20EE0">
        <w:rPr>
          <w:rFonts w:ascii="Arial" w:hAnsi="Arial" w:cs="Arial"/>
        </w:rPr>
        <w:t xml:space="preserve">granted leave to defend the action. </w:t>
      </w:r>
    </w:p>
    <w:p w14:paraId="58394348" w14:textId="77777777" w:rsidR="00EC510D" w:rsidRDefault="00EC510D" w:rsidP="00E20EE0">
      <w:pPr>
        <w:spacing w:line="360" w:lineRule="auto"/>
        <w:jc w:val="both"/>
        <w:rPr>
          <w:rFonts w:ascii="Arial" w:hAnsi="Arial" w:cs="Arial"/>
        </w:rPr>
      </w:pPr>
    </w:p>
    <w:p w14:paraId="74965063" w14:textId="07A82BE6" w:rsidR="007214EF" w:rsidRPr="00E20EE0" w:rsidRDefault="00EC510D" w:rsidP="00E20EE0">
      <w:pPr>
        <w:spacing w:line="360" w:lineRule="auto"/>
        <w:jc w:val="both"/>
        <w:rPr>
          <w:rFonts w:ascii="Arial" w:hAnsi="Arial" w:cs="Arial"/>
        </w:rPr>
      </w:pPr>
      <w:r>
        <w:rPr>
          <w:rFonts w:ascii="Arial" w:hAnsi="Arial" w:cs="Arial"/>
        </w:rPr>
        <w:t>[38</w:t>
      </w:r>
      <w:r w:rsidR="00DC4B02">
        <w:rPr>
          <w:rFonts w:ascii="Arial" w:hAnsi="Arial" w:cs="Arial"/>
        </w:rPr>
        <w:t>]</w:t>
      </w:r>
      <w:r w:rsidR="00DC4B02">
        <w:rPr>
          <w:rFonts w:ascii="Arial" w:hAnsi="Arial" w:cs="Arial"/>
        </w:rPr>
        <w:tab/>
        <w:t>It i</w:t>
      </w:r>
      <w:r w:rsidR="00023483" w:rsidRPr="00E20EE0">
        <w:rPr>
          <w:rFonts w:ascii="Arial" w:hAnsi="Arial" w:cs="Arial"/>
        </w:rPr>
        <w:t xml:space="preserve">s my considered view that were the court persuaded to grant summary judgment in the </w:t>
      </w:r>
      <w:r w:rsidR="00DC4B02">
        <w:rPr>
          <w:rFonts w:ascii="Arial" w:hAnsi="Arial" w:cs="Arial"/>
        </w:rPr>
        <w:t xml:space="preserve">present </w:t>
      </w:r>
      <w:r w:rsidR="00023483" w:rsidRPr="00E20EE0">
        <w:rPr>
          <w:rFonts w:ascii="Arial" w:hAnsi="Arial" w:cs="Arial"/>
        </w:rPr>
        <w:t>circumstances, and on the papers as they stand at present, an injustice to the 1</w:t>
      </w:r>
      <w:r w:rsidR="00023483" w:rsidRPr="00E20EE0">
        <w:rPr>
          <w:rFonts w:ascii="Arial" w:hAnsi="Arial" w:cs="Arial"/>
          <w:vertAlign w:val="superscript"/>
        </w:rPr>
        <w:t>st</w:t>
      </w:r>
      <w:r w:rsidR="00023483" w:rsidRPr="00E20EE0">
        <w:rPr>
          <w:rFonts w:ascii="Arial" w:hAnsi="Arial" w:cs="Arial"/>
        </w:rPr>
        <w:t xml:space="preserve"> defendant may well be perpetrated</w:t>
      </w:r>
      <w:r w:rsidR="00DC4B02">
        <w:rPr>
          <w:rFonts w:ascii="Arial" w:hAnsi="Arial" w:cs="Arial"/>
        </w:rPr>
        <w:t>, leaving a bad aftertaste in the court’s palate</w:t>
      </w:r>
      <w:r w:rsidR="00023483" w:rsidRPr="00E20EE0">
        <w:rPr>
          <w:rFonts w:ascii="Arial" w:hAnsi="Arial" w:cs="Arial"/>
        </w:rPr>
        <w:t xml:space="preserve">. </w:t>
      </w:r>
      <w:r w:rsidR="007214EF" w:rsidRPr="00E20EE0">
        <w:rPr>
          <w:rFonts w:ascii="Arial" w:hAnsi="Arial" w:cs="Arial"/>
        </w:rPr>
        <w:t xml:space="preserve"> </w:t>
      </w:r>
    </w:p>
    <w:p w14:paraId="02AC4524" w14:textId="77777777" w:rsidR="00023483" w:rsidRDefault="00023483" w:rsidP="00E20EE0">
      <w:pPr>
        <w:spacing w:line="360" w:lineRule="auto"/>
        <w:jc w:val="both"/>
        <w:rPr>
          <w:rFonts w:ascii="Arial" w:hAnsi="Arial" w:cs="Arial"/>
        </w:rPr>
      </w:pPr>
    </w:p>
    <w:p w14:paraId="753DA028" w14:textId="2F2C0549" w:rsidR="00DC4B02" w:rsidRDefault="00DC4B02" w:rsidP="00E20EE0">
      <w:pPr>
        <w:spacing w:line="360" w:lineRule="auto"/>
        <w:jc w:val="both"/>
        <w:rPr>
          <w:rFonts w:ascii="Arial" w:hAnsi="Arial" w:cs="Arial"/>
          <w:u w:val="single"/>
        </w:rPr>
      </w:pPr>
      <w:r>
        <w:rPr>
          <w:rFonts w:ascii="Arial" w:hAnsi="Arial" w:cs="Arial"/>
          <w:u w:val="single"/>
        </w:rPr>
        <w:t>Conclusion</w:t>
      </w:r>
    </w:p>
    <w:p w14:paraId="58361E0F" w14:textId="77777777" w:rsidR="00DC4B02" w:rsidRPr="00DC4B02" w:rsidRDefault="00DC4B02" w:rsidP="00E20EE0">
      <w:pPr>
        <w:spacing w:line="360" w:lineRule="auto"/>
        <w:jc w:val="both"/>
        <w:rPr>
          <w:rFonts w:ascii="Arial" w:hAnsi="Arial" w:cs="Arial"/>
          <w:u w:val="single"/>
        </w:rPr>
      </w:pPr>
    </w:p>
    <w:p w14:paraId="25E5316C" w14:textId="3A197510" w:rsidR="00023483" w:rsidRPr="00E20EE0" w:rsidRDefault="00EC510D" w:rsidP="00E20EE0">
      <w:pPr>
        <w:spacing w:line="360" w:lineRule="auto"/>
        <w:jc w:val="both"/>
        <w:rPr>
          <w:rFonts w:ascii="Arial" w:hAnsi="Arial" w:cs="Arial"/>
        </w:rPr>
      </w:pPr>
      <w:r>
        <w:rPr>
          <w:rFonts w:ascii="Arial" w:hAnsi="Arial" w:cs="Arial"/>
        </w:rPr>
        <w:t>[39</w:t>
      </w:r>
      <w:r w:rsidR="00023483" w:rsidRPr="00E20EE0">
        <w:rPr>
          <w:rFonts w:ascii="Arial" w:hAnsi="Arial" w:cs="Arial"/>
        </w:rPr>
        <w:t>]</w:t>
      </w:r>
      <w:r w:rsidR="00023483" w:rsidRPr="00E20EE0">
        <w:rPr>
          <w:rFonts w:ascii="Arial" w:hAnsi="Arial" w:cs="Arial"/>
        </w:rPr>
        <w:tab/>
        <w:t>I am a</w:t>
      </w:r>
      <w:r w:rsidR="00DC4B02">
        <w:rPr>
          <w:rFonts w:ascii="Arial" w:hAnsi="Arial" w:cs="Arial"/>
        </w:rPr>
        <w:t>ccordingly of the view that the 1</w:t>
      </w:r>
      <w:r w:rsidR="00DC4B02" w:rsidRPr="00DC4B02">
        <w:rPr>
          <w:rFonts w:ascii="Arial" w:hAnsi="Arial" w:cs="Arial"/>
          <w:vertAlign w:val="superscript"/>
        </w:rPr>
        <w:t>st</w:t>
      </w:r>
      <w:r w:rsidR="00DC4B02">
        <w:rPr>
          <w:rFonts w:ascii="Arial" w:hAnsi="Arial" w:cs="Arial"/>
        </w:rPr>
        <w:t xml:space="preserve"> defendant’s case</w:t>
      </w:r>
      <w:r w:rsidR="00023483" w:rsidRPr="00E20EE0">
        <w:rPr>
          <w:rFonts w:ascii="Arial" w:hAnsi="Arial" w:cs="Arial"/>
        </w:rPr>
        <w:t xml:space="preserve"> is</w:t>
      </w:r>
      <w:r w:rsidR="00DC4B02">
        <w:rPr>
          <w:rFonts w:ascii="Arial" w:hAnsi="Arial" w:cs="Arial"/>
        </w:rPr>
        <w:t xml:space="preserve"> also</w:t>
      </w:r>
      <w:r w:rsidR="00023483" w:rsidRPr="00E20EE0">
        <w:rPr>
          <w:rFonts w:ascii="Arial" w:hAnsi="Arial" w:cs="Arial"/>
        </w:rPr>
        <w:t xml:space="preserve"> a </w:t>
      </w:r>
      <w:r w:rsidR="00DC4B02">
        <w:rPr>
          <w:rFonts w:ascii="Arial" w:hAnsi="Arial" w:cs="Arial"/>
        </w:rPr>
        <w:t>condign one in which to</w:t>
      </w:r>
      <w:r w:rsidR="00023483" w:rsidRPr="00E20EE0">
        <w:rPr>
          <w:rFonts w:ascii="Arial" w:hAnsi="Arial" w:cs="Arial"/>
        </w:rPr>
        <w:t xml:space="preserve"> refuse the grant of summary judgment. In the premises, I grant the following order:</w:t>
      </w:r>
    </w:p>
    <w:p w14:paraId="4E9FA843" w14:textId="77777777" w:rsidR="00003E22" w:rsidRPr="00E20EE0" w:rsidRDefault="00003E22" w:rsidP="00E20EE0">
      <w:pPr>
        <w:spacing w:line="360" w:lineRule="auto"/>
        <w:jc w:val="both"/>
        <w:rPr>
          <w:rFonts w:ascii="Arial" w:hAnsi="Arial" w:cs="Arial"/>
        </w:rPr>
      </w:pPr>
    </w:p>
    <w:p w14:paraId="5E06DF37" w14:textId="48D4C615" w:rsidR="00003E22" w:rsidRPr="00BD4CB6" w:rsidRDefault="00BD4CB6" w:rsidP="00BD4CB6">
      <w:pPr>
        <w:spacing w:line="360" w:lineRule="auto"/>
        <w:ind w:left="720" w:hanging="360"/>
        <w:jc w:val="both"/>
        <w:rPr>
          <w:rFonts w:ascii="Arial" w:hAnsi="Arial" w:cs="Arial"/>
        </w:rPr>
      </w:pPr>
      <w:r w:rsidRPr="00E20EE0">
        <w:rPr>
          <w:rFonts w:ascii="Arial" w:hAnsi="Arial" w:cs="Arial"/>
        </w:rPr>
        <w:t>1.</w:t>
      </w:r>
      <w:r w:rsidRPr="00E20EE0">
        <w:rPr>
          <w:rFonts w:ascii="Arial" w:hAnsi="Arial" w:cs="Arial"/>
        </w:rPr>
        <w:tab/>
      </w:r>
      <w:r w:rsidR="00AF16AA" w:rsidRPr="00BD4CB6">
        <w:rPr>
          <w:rFonts w:ascii="Arial" w:hAnsi="Arial" w:cs="Arial"/>
        </w:rPr>
        <w:t>The application for summary judgment</w:t>
      </w:r>
      <w:r w:rsidR="00003E22" w:rsidRPr="00BD4CB6">
        <w:rPr>
          <w:rFonts w:ascii="Arial" w:hAnsi="Arial" w:cs="Arial"/>
        </w:rPr>
        <w:t xml:space="preserve"> against </w:t>
      </w:r>
      <w:r w:rsidR="00AF16AA" w:rsidRPr="00BD4CB6">
        <w:rPr>
          <w:rFonts w:ascii="Arial" w:hAnsi="Arial" w:cs="Arial"/>
        </w:rPr>
        <w:t xml:space="preserve">both </w:t>
      </w:r>
      <w:r w:rsidR="00003E22" w:rsidRPr="00BD4CB6">
        <w:rPr>
          <w:rFonts w:ascii="Arial" w:hAnsi="Arial" w:cs="Arial"/>
        </w:rPr>
        <w:t>the 1</w:t>
      </w:r>
      <w:r w:rsidR="00003E22" w:rsidRPr="00BD4CB6">
        <w:rPr>
          <w:rFonts w:ascii="Arial" w:hAnsi="Arial" w:cs="Arial"/>
          <w:vertAlign w:val="superscript"/>
        </w:rPr>
        <w:t>st</w:t>
      </w:r>
      <w:r w:rsidR="00003E22" w:rsidRPr="00BD4CB6">
        <w:rPr>
          <w:rFonts w:ascii="Arial" w:hAnsi="Arial" w:cs="Arial"/>
        </w:rPr>
        <w:t xml:space="preserve"> defendant</w:t>
      </w:r>
      <w:r w:rsidR="00AF16AA" w:rsidRPr="00BD4CB6">
        <w:rPr>
          <w:rFonts w:ascii="Arial" w:hAnsi="Arial" w:cs="Arial"/>
        </w:rPr>
        <w:t xml:space="preserve"> </w:t>
      </w:r>
      <w:r w:rsidR="00CC47D4" w:rsidRPr="00BD4CB6">
        <w:rPr>
          <w:rFonts w:ascii="Arial" w:hAnsi="Arial" w:cs="Arial"/>
        </w:rPr>
        <w:t>and the</w:t>
      </w:r>
      <w:r w:rsidR="00AF16AA" w:rsidRPr="00BD4CB6">
        <w:rPr>
          <w:rFonts w:ascii="Arial" w:hAnsi="Arial" w:cs="Arial"/>
        </w:rPr>
        <w:t xml:space="preserve"> 2</w:t>
      </w:r>
      <w:r w:rsidR="00AF16AA" w:rsidRPr="00BD4CB6">
        <w:rPr>
          <w:rFonts w:ascii="Arial" w:hAnsi="Arial" w:cs="Arial"/>
          <w:vertAlign w:val="superscript"/>
        </w:rPr>
        <w:t>nd</w:t>
      </w:r>
      <w:r w:rsidR="00AF16AA" w:rsidRPr="00BD4CB6">
        <w:rPr>
          <w:rFonts w:ascii="Arial" w:hAnsi="Arial" w:cs="Arial"/>
        </w:rPr>
        <w:t xml:space="preserve"> defendant is dismissed with costs</w:t>
      </w:r>
      <w:r w:rsidR="00003E22" w:rsidRPr="00BD4CB6">
        <w:rPr>
          <w:rFonts w:ascii="Arial" w:hAnsi="Arial" w:cs="Arial"/>
        </w:rPr>
        <w:t>.</w:t>
      </w:r>
    </w:p>
    <w:p w14:paraId="6ECBE37B" w14:textId="5F3DE25D" w:rsidR="00003E22" w:rsidRPr="00BD4CB6" w:rsidRDefault="00BD4CB6" w:rsidP="00BD4CB6">
      <w:pPr>
        <w:spacing w:line="360" w:lineRule="auto"/>
        <w:ind w:left="720" w:hanging="360"/>
        <w:jc w:val="both"/>
        <w:rPr>
          <w:rFonts w:ascii="Arial" w:hAnsi="Arial" w:cs="Arial"/>
        </w:rPr>
      </w:pPr>
      <w:r w:rsidRPr="00E20EE0">
        <w:rPr>
          <w:rFonts w:ascii="Arial" w:hAnsi="Arial" w:cs="Arial"/>
        </w:rPr>
        <w:t>2.</w:t>
      </w:r>
      <w:r w:rsidRPr="00E20EE0">
        <w:rPr>
          <w:rFonts w:ascii="Arial" w:hAnsi="Arial" w:cs="Arial"/>
        </w:rPr>
        <w:tab/>
      </w:r>
      <w:r w:rsidR="00AF16AA" w:rsidRPr="00BD4CB6">
        <w:rPr>
          <w:rFonts w:ascii="Arial" w:hAnsi="Arial" w:cs="Arial"/>
        </w:rPr>
        <w:t>The matter is postponed to 29 March 2017 at 15:15 h</w:t>
      </w:r>
      <w:r w:rsidR="00EC510D" w:rsidRPr="00BD4CB6">
        <w:rPr>
          <w:rFonts w:ascii="Arial" w:hAnsi="Arial" w:cs="Arial"/>
        </w:rPr>
        <w:t>ou</w:t>
      </w:r>
      <w:r w:rsidR="00AF16AA" w:rsidRPr="00BD4CB6">
        <w:rPr>
          <w:rFonts w:ascii="Arial" w:hAnsi="Arial" w:cs="Arial"/>
        </w:rPr>
        <w:t>rs, for a status hearing regarding the future conduct of the matter.</w:t>
      </w:r>
    </w:p>
    <w:p w14:paraId="0722D914" w14:textId="7DD20E3F" w:rsidR="00AF16AA" w:rsidRPr="00BD4CB6" w:rsidRDefault="00BD4CB6" w:rsidP="00BD4CB6">
      <w:pPr>
        <w:spacing w:line="360" w:lineRule="auto"/>
        <w:ind w:left="720" w:hanging="360"/>
        <w:jc w:val="both"/>
        <w:rPr>
          <w:rFonts w:ascii="Arial" w:hAnsi="Arial" w:cs="Arial"/>
        </w:rPr>
      </w:pPr>
      <w:r w:rsidRPr="00E20EE0">
        <w:rPr>
          <w:rFonts w:ascii="Arial" w:hAnsi="Arial" w:cs="Arial"/>
        </w:rPr>
        <w:t>3.</w:t>
      </w:r>
      <w:r w:rsidRPr="00E20EE0">
        <w:rPr>
          <w:rFonts w:ascii="Arial" w:hAnsi="Arial" w:cs="Arial"/>
        </w:rPr>
        <w:tab/>
      </w:r>
      <w:r w:rsidR="00AF16AA" w:rsidRPr="00BD4CB6">
        <w:rPr>
          <w:rFonts w:ascii="Arial" w:hAnsi="Arial" w:cs="Arial"/>
        </w:rPr>
        <w:t>The parties are ordered to file</w:t>
      </w:r>
      <w:r w:rsidR="00EC510D" w:rsidRPr="00BD4CB6">
        <w:rPr>
          <w:rFonts w:ascii="Arial" w:hAnsi="Arial" w:cs="Arial"/>
        </w:rPr>
        <w:t>,</w:t>
      </w:r>
      <w:r w:rsidR="00DC4B02" w:rsidRPr="00BD4CB6">
        <w:rPr>
          <w:rFonts w:ascii="Arial" w:hAnsi="Arial" w:cs="Arial"/>
        </w:rPr>
        <w:t xml:space="preserve"> preferably</w:t>
      </w:r>
      <w:r w:rsidR="00EC510D" w:rsidRPr="00BD4CB6">
        <w:rPr>
          <w:rFonts w:ascii="Arial" w:hAnsi="Arial" w:cs="Arial"/>
        </w:rPr>
        <w:t>,</w:t>
      </w:r>
      <w:r w:rsidR="00DC4B02" w:rsidRPr="00BD4CB6">
        <w:rPr>
          <w:rFonts w:ascii="Arial" w:hAnsi="Arial" w:cs="Arial"/>
        </w:rPr>
        <w:t xml:space="preserve"> a joint </w:t>
      </w:r>
      <w:r w:rsidR="00AF16AA" w:rsidRPr="00BD4CB6">
        <w:rPr>
          <w:rFonts w:ascii="Arial" w:hAnsi="Arial" w:cs="Arial"/>
        </w:rPr>
        <w:t>status report</w:t>
      </w:r>
      <w:r w:rsidR="00DC4B02" w:rsidRPr="00BD4CB6">
        <w:rPr>
          <w:rFonts w:ascii="Arial" w:hAnsi="Arial" w:cs="Arial"/>
        </w:rPr>
        <w:t>,</w:t>
      </w:r>
      <w:r w:rsidR="00AF16AA" w:rsidRPr="00BD4CB6">
        <w:rPr>
          <w:rFonts w:ascii="Arial" w:hAnsi="Arial" w:cs="Arial"/>
        </w:rPr>
        <w:t xml:space="preserve"> at least three (3) days before the hearing referred to in para 2 above</w:t>
      </w:r>
      <w:r w:rsidR="00DC4B02" w:rsidRPr="00BD4CB6">
        <w:rPr>
          <w:rFonts w:ascii="Arial" w:hAnsi="Arial" w:cs="Arial"/>
        </w:rPr>
        <w:t>,</w:t>
      </w:r>
      <w:r w:rsidR="00CC47D4" w:rsidRPr="00BD4CB6">
        <w:rPr>
          <w:rFonts w:ascii="Arial" w:hAnsi="Arial" w:cs="Arial"/>
        </w:rPr>
        <w:t xml:space="preserve"> stating </w:t>
      </w:r>
      <w:r w:rsidR="00DC4B02" w:rsidRPr="00BD4CB6">
        <w:rPr>
          <w:rFonts w:ascii="Arial" w:hAnsi="Arial" w:cs="Arial"/>
        </w:rPr>
        <w:t xml:space="preserve">concrete </w:t>
      </w:r>
      <w:r w:rsidR="00CC47D4" w:rsidRPr="00BD4CB6">
        <w:rPr>
          <w:rFonts w:ascii="Arial" w:hAnsi="Arial" w:cs="Arial"/>
        </w:rPr>
        <w:t>proposals for the advancement of the matter, particularly in light of this judgment</w:t>
      </w:r>
      <w:r w:rsidR="00AF16AA" w:rsidRPr="00BD4CB6">
        <w:rPr>
          <w:rFonts w:ascii="Arial" w:hAnsi="Arial" w:cs="Arial"/>
        </w:rPr>
        <w:t>.</w:t>
      </w:r>
    </w:p>
    <w:p w14:paraId="350818C7" w14:textId="6F9E7B72" w:rsidR="00003E22" w:rsidRDefault="00003E22" w:rsidP="00E20EE0">
      <w:pPr>
        <w:pStyle w:val="ListParagraph"/>
        <w:spacing w:line="360" w:lineRule="auto"/>
        <w:jc w:val="both"/>
        <w:rPr>
          <w:rFonts w:ascii="Arial" w:hAnsi="Arial" w:cs="Arial"/>
        </w:rPr>
      </w:pPr>
    </w:p>
    <w:p w14:paraId="09F230DF" w14:textId="77777777" w:rsidR="00EC510D" w:rsidRDefault="00EC510D" w:rsidP="00E20EE0">
      <w:pPr>
        <w:pStyle w:val="ListParagraph"/>
        <w:spacing w:line="360" w:lineRule="auto"/>
        <w:jc w:val="both"/>
        <w:rPr>
          <w:rFonts w:ascii="Arial" w:hAnsi="Arial" w:cs="Arial"/>
        </w:rPr>
      </w:pPr>
    </w:p>
    <w:p w14:paraId="46755015" w14:textId="77777777" w:rsidR="00877EB9" w:rsidRPr="00486E51" w:rsidRDefault="00EC510D" w:rsidP="00877EB9">
      <w:pPr>
        <w:tabs>
          <w:tab w:val="right" w:pos="8222"/>
        </w:tabs>
        <w:spacing w:line="360" w:lineRule="auto"/>
        <w:ind w:firstLine="720"/>
        <w:rPr>
          <w:rFonts w:ascii="Arial" w:hAnsi="Arial" w:cs="Arial"/>
        </w:rPr>
      </w:pPr>
      <w:r>
        <w:rPr>
          <w:rFonts w:ascii="Arial" w:hAnsi="Arial" w:cs="Arial"/>
        </w:rPr>
        <w:tab/>
      </w:r>
      <w:r w:rsidR="00877EB9">
        <w:rPr>
          <w:rFonts w:ascii="Arial" w:hAnsi="Arial" w:cs="Arial"/>
        </w:rPr>
        <w:t>_______</w:t>
      </w:r>
      <w:r w:rsidR="00877EB9" w:rsidRPr="00486E51">
        <w:rPr>
          <w:rFonts w:ascii="Arial" w:hAnsi="Arial" w:cs="Arial"/>
        </w:rPr>
        <w:t>___</w:t>
      </w:r>
      <w:r w:rsidR="00877EB9">
        <w:rPr>
          <w:rFonts w:ascii="Arial" w:hAnsi="Arial" w:cs="Arial"/>
        </w:rPr>
        <w:t>__</w:t>
      </w:r>
    </w:p>
    <w:p w14:paraId="1D8E03B5" w14:textId="77777777" w:rsidR="00877EB9" w:rsidRDefault="00877EB9" w:rsidP="00877EB9">
      <w:pPr>
        <w:pStyle w:val="ListParagraph"/>
        <w:spacing w:line="360" w:lineRule="auto"/>
        <w:ind w:left="3600"/>
        <w:jc w:val="right"/>
        <w:rPr>
          <w:rFonts w:ascii="Arial" w:hAnsi="Arial" w:cs="Arial"/>
        </w:rPr>
      </w:pPr>
      <w:r>
        <w:rPr>
          <w:rFonts w:ascii="Arial" w:hAnsi="Arial" w:cs="Arial"/>
        </w:rPr>
        <w:t>T.S. Masuku</w:t>
      </w:r>
    </w:p>
    <w:p w14:paraId="6C30F491" w14:textId="77777777" w:rsidR="00877EB9" w:rsidRDefault="00877EB9" w:rsidP="00877EB9">
      <w:pPr>
        <w:pStyle w:val="ListParagraph"/>
        <w:tabs>
          <w:tab w:val="right" w:pos="8222"/>
        </w:tabs>
        <w:spacing w:line="360" w:lineRule="auto"/>
        <w:jc w:val="both"/>
        <w:rPr>
          <w:rFonts w:ascii="Arial" w:hAnsi="Arial" w:cs="Arial"/>
        </w:rPr>
      </w:pPr>
      <w:r>
        <w:rPr>
          <w:rFonts w:ascii="Arial" w:hAnsi="Arial" w:cs="Arial"/>
        </w:rPr>
        <w:tab/>
        <w:t>Judge</w:t>
      </w:r>
    </w:p>
    <w:p w14:paraId="4024191C" w14:textId="0CBF58E3" w:rsidR="00877EB9" w:rsidRPr="00E35D64" w:rsidRDefault="00877EB9" w:rsidP="00877EB9">
      <w:pPr>
        <w:rPr>
          <w:rFonts w:ascii="Arial" w:hAnsi="Arial" w:cs="Arial"/>
          <w:bCs/>
        </w:rPr>
      </w:pPr>
      <w:r>
        <w:rPr>
          <w:rFonts w:ascii="Arial" w:hAnsi="Arial" w:cs="Arial"/>
        </w:rPr>
        <w:br w:type="page"/>
      </w:r>
      <w:r w:rsidRPr="00E35D64">
        <w:rPr>
          <w:rFonts w:ascii="Arial" w:hAnsi="Arial" w:cs="Arial"/>
          <w:bCs/>
        </w:rPr>
        <w:lastRenderedPageBreak/>
        <w:t>APPEARANCES:</w:t>
      </w:r>
    </w:p>
    <w:p w14:paraId="43E422BC" w14:textId="77777777" w:rsidR="00877EB9" w:rsidRDefault="00877EB9" w:rsidP="00877EB9">
      <w:pPr>
        <w:tabs>
          <w:tab w:val="left" w:pos="5040"/>
        </w:tabs>
        <w:spacing w:line="360" w:lineRule="auto"/>
        <w:jc w:val="both"/>
        <w:rPr>
          <w:rFonts w:ascii="Arial" w:hAnsi="Arial" w:cs="Arial"/>
          <w:bCs/>
        </w:rPr>
      </w:pPr>
    </w:p>
    <w:p w14:paraId="22155ECA" w14:textId="65F6164B" w:rsidR="00877EB9" w:rsidRDefault="00877EB9" w:rsidP="00877EB9">
      <w:pPr>
        <w:tabs>
          <w:tab w:val="left" w:pos="3828"/>
        </w:tabs>
        <w:autoSpaceDE w:val="0"/>
        <w:autoSpaceDN w:val="0"/>
        <w:adjustRightInd w:val="0"/>
        <w:spacing w:line="360" w:lineRule="auto"/>
        <w:jc w:val="both"/>
        <w:rPr>
          <w:rFonts w:ascii="Arial" w:hAnsi="Arial" w:cs="Arial"/>
          <w:bCs/>
          <w:color w:val="000000"/>
        </w:rPr>
      </w:pPr>
      <w:r>
        <w:rPr>
          <w:rFonts w:ascii="Arial" w:hAnsi="Arial" w:cs="Arial"/>
          <w:bCs/>
          <w:color w:val="000000"/>
        </w:rPr>
        <w:t xml:space="preserve">PLAINTIFF: </w:t>
      </w:r>
      <w:r w:rsidR="00426E41">
        <w:rPr>
          <w:rFonts w:ascii="Arial" w:hAnsi="Arial" w:cs="Arial"/>
          <w:bCs/>
          <w:color w:val="000000"/>
        </w:rPr>
        <w:tab/>
        <w:t>A Vaatz</w:t>
      </w:r>
      <w:r>
        <w:rPr>
          <w:rFonts w:ascii="Arial" w:hAnsi="Arial" w:cs="Arial"/>
          <w:bCs/>
          <w:color w:val="000000"/>
        </w:rPr>
        <w:tab/>
        <w:t xml:space="preserve"> </w:t>
      </w:r>
    </w:p>
    <w:p w14:paraId="28E232B7" w14:textId="2DE790F8" w:rsidR="00877EB9" w:rsidRDefault="00877EB9" w:rsidP="00877EB9">
      <w:pPr>
        <w:pStyle w:val="BodyTextIndent"/>
        <w:tabs>
          <w:tab w:val="left" w:pos="1394"/>
          <w:tab w:val="left" w:pos="2528"/>
          <w:tab w:val="left" w:pos="3780"/>
        </w:tabs>
        <w:spacing w:line="360" w:lineRule="auto"/>
        <w:ind w:left="0"/>
        <w:jc w:val="both"/>
        <w:rPr>
          <w:rFonts w:ascii="Arial" w:hAnsi="Arial" w:cs="Arial"/>
          <w:bCs/>
          <w:color w:val="000000"/>
        </w:rPr>
      </w:pPr>
      <w:r>
        <w:rPr>
          <w:rFonts w:ascii="Arial" w:hAnsi="Arial" w:cs="Arial"/>
          <w:bCs/>
          <w:color w:val="000000"/>
        </w:rPr>
        <w:t>Instructed by:</w:t>
      </w:r>
      <w:r w:rsidR="00426E41">
        <w:rPr>
          <w:rFonts w:ascii="Arial" w:hAnsi="Arial" w:cs="Arial"/>
          <w:bCs/>
          <w:color w:val="000000"/>
        </w:rPr>
        <w:tab/>
      </w:r>
      <w:r w:rsidR="00426E41">
        <w:rPr>
          <w:rFonts w:ascii="Arial" w:hAnsi="Arial" w:cs="Arial"/>
          <w:bCs/>
          <w:color w:val="000000"/>
        </w:rPr>
        <w:tab/>
        <w:t>Andreas Vaatz &amp; Partners</w:t>
      </w:r>
    </w:p>
    <w:p w14:paraId="08C06D53" w14:textId="77777777" w:rsidR="00877EB9" w:rsidRDefault="00877EB9" w:rsidP="00877EB9">
      <w:pPr>
        <w:tabs>
          <w:tab w:val="left" w:pos="5040"/>
        </w:tabs>
        <w:autoSpaceDE w:val="0"/>
        <w:autoSpaceDN w:val="0"/>
        <w:adjustRightInd w:val="0"/>
        <w:spacing w:line="360" w:lineRule="auto"/>
        <w:jc w:val="both"/>
        <w:rPr>
          <w:rFonts w:ascii="Arial" w:hAnsi="Arial" w:cs="Arial"/>
          <w:bCs/>
          <w:color w:val="000000"/>
        </w:rPr>
      </w:pPr>
    </w:p>
    <w:p w14:paraId="592ED0A2" w14:textId="53FFE245" w:rsidR="00877EB9" w:rsidRDefault="00877EB9" w:rsidP="00877EB9">
      <w:pPr>
        <w:tabs>
          <w:tab w:val="left" w:pos="3828"/>
        </w:tabs>
        <w:autoSpaceDE w:val="0"/>
        <w:autoSpaceDN w:val="0"/>
        <w:adjustRightInd w:val="0"/>
        <w:spacing w:line="360" w:lineRule="auto"/>
        <w:rPr>
          <w:rFonts w:ascii="Arial" w:hAnsi="Arial" w:cs="Arial"/>
          <w:bCs/>
          <w:color w:val="000000"/>
        </w:rPr>
      </w:pPr>
      <w:r>
        <w:rPr>
          <w:rFonts w:ascii="Arial" w:hAnsi="Arial" w:cs="Arial"/>
          <w:bCs/>
          <w:color w:val="000000"/>
        </w:rPr>
        <w:t>DEFENDANT:</w:t>
      </w:r>
      <w:r w:rsidR="00426E41">
        <w:rPr>
          <w:rFonts w:ascii="Arial" w:hAnsi="Arial" w:cs="Arial"/>
          <w:bCs/>
          <w:color w:val="000000"/>
        </w:rPr>
        <w:tab/>
        <w:t>M Ntinda</w:t>
      </w:r>
    </w:p>
    <w:p w14:paraId="7406BBA1" w14:textId="6A3F7156" w:rsidR="00877EB9" w:rsidRDefault="00877EB9" w:rsidP="00877EB9">
      <w:pPr>
        <w:tabs>
          <w:tab w:val="left" w:pos="3828"/>
        </w:tabs>
        <w:autoSpaceDE w:val="0"/>
        <w:autoSpaceDN w:val="0"/>
        <w:adjustRightInd w:val="0"/>
        <w:spacing w:line="360" w:lineRule="auto"/>
        <w:rPr>
          <w:rFonts w:ascii="Arial" w:hAnsi="Arial" w:cs="Arial"/>
          <w:bCs/>
          <w:color w:val="000000"/>
        </w:rPr>
      </w:pPr>
      <w:r>
        <w:rPr>
          <w:rFonts w:ascii="Arial" w:hAnsi="Arial" w:cs="Arial"/>
          <w:bCs/>
          <w:color w:val="000000"/>
        </w:rPr>
        <w:t>Instructed by:</w:t>
      </w:r>
      <w:r w:rsidR="00426E41">
        <w:rPr>
          <w:rFonts w:ascii="Arial" w:hAnsi="Arial" w:cs="Arial"/>
          <w:bCs/>
          <w:color w:val="000000"/>
        </w:rPr>
        <w:tab/>
        <w:t>Sisa Namandje &amp; Co. Inc.</w:t>
      </w:r>
      <w:r>
        <w:rPr>
          <w:rFonts w:ascii="Arial" w:hAnsi="Arial" w:cs="Arial"/>
          <w:bCs/>
          <w:color w:val="000000"/>
        </w:rPr>
        <w:tab/>
      </w:r>
    </w:p>
    <w:p w14:paraId="4158F517" w14:textId="77777777" w:rsidR="00877EB9" w:rsidRDefault="00877EB9" w:rsidP="00877EB9">
      <w:pPr>
        <w:tabs>
          <w:tab w:val="left" w:pos="3828"/>
        </w:tabs>
        <w:autoSpaceDE w:val="0"/>
        <w:autoSpaceDN w:val="0"/>
        <w:adjustRightInd w:val="0"/>
        <w:spacing w:line="360" w:lineRule="auto"/>
        <w:rPr>
          <w:rFonts w:ascii="Arial" w:hAnsi="Arial" w:cs="Arial"/>
          <w:bCs/>
          <w:color w:val="000000"/>
        </w:rPr>
      </w:pPr>
      <w:r>
        <w:rPr>
          <w:rFonts w:ascii="Arial" w:hAnsi="Arial" w:cs="Arial"/>
          <w:bCs/>
          <w:color w:val="000000"/>
        </w:rPr>
        <w:tab/>
      </w:r>
    </w:p>
    <w:p w14:paraId="1C87B613" w14:textId="27AD8287" w:rsidR="00EC510D" w:rsidRPr="00EC510D" w:rsidRDefault="00EC510D" w:rsidP="00877EB9">
      <w:pPr>
        <w:pStyle w:val="ListParagraph"/>
        <w:tabs>
          <w:tab w:val="left" w:pos="6699"/>
        </w:tabs>
        <w:spacing w:line="360" w:lineRule="auto"/>
        <w:jc w:val="both"/>
        <w:rPr>
          <w:rFonts w:ascii="Arial" w:hAnsi="Arial" w:cs="Arial"/>
          <w:b/>
        </w:rPr>
      </w:pPr>
    </w:p>
    <w:sectPr w:rsidR="00EC510D" w:rsidRPr="00EC510D" w:rsidSect="00E20EE0">
      <w:headerReference w:type="even" r:id="rId11"/>
      <w:headerReference w:type="defaul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E0EAB" w14:textId="77777777" w:rsidR="00100303" w:rsidRDefault="00100303" w:rsidP="00514D3E">
      <w:r>
        <w:separator/>
      </w:r>
    </w:p>
  </w:endnote>
  <w:endnote w:type="continuationSeparator" w:id="0">
    <w:p w14:paraId="5FBF4C1C" w14:textId="77777777" w:rsidR="00100303" w:rsidRDefault="00100303" w:rsidP="0051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82E58" w14:textId="77777777" w:rsidR="00100303" w:rsidRDefault="00100303" w:rsidP="00514D3E">
      <w:r>
        <w:separator/>
      </w:r>
    </w:p>
  </w:footnote>
  <w:footnote w:type="continuationSeparator" w:id="0">
    <w:p w14:paraId="3D739122" w14:textId="77777777" w:rsidR="00100303" w:rsidRDefault="00100303" w:rsidP="00514D3E">
      <w:r>
        <w:continuationSeparator/>
      </w:r>
    </w:p>
  </w:footnote>
  <w:footnote w:id="1">
    <w:p w14:paraId="663725F8" w14:textId="3B872F47" w:rsidR="00CC47D4" w:rsidRPr="00E20EE0" w:rsidRDefault="00CC47D4">
      <w:pPr>
        <w:pStyle w:val="FootnoteText"/>
        <w:rPr>
          <w:sz w:val="20"/>
          <w:szCs w:val="20"/>
          <w:lang w:val="en-US"/>
        </w:rPr>
      </w:pPr>
      <w:r w:rsidRPr="00E20EE0">
        <w:rPr>
          <w:rStyle w:val="FootnoteReference"/>
          <w:sz w:val="20"/>
          <w:szCs w:val="20"/>
        </w:rPr>
        <w:footnoteRef/>
      </w:r>
      <w:r w:rsidRPr="00E20EE0">
        <w:rPr>
          <w:sz w:val="20"/>
          <w:szCs w:val="20"/>
        </w:rPr>
        <w:t xml:space="preserve"> </w:t>
      </w:r>
      <w:r w:rsidRPr="00E20EE0">
        <w:rPr>
          <w:sz w:val="20"/>
          <w:szCs w:val="20"/>
          <w:lang w:val="en-US"/>
        </w:rPr>
        <w:t>Act No. 26 of 1988</w:t>
      </w:r>
      <w:r w:rsidR="00E20EE0" w:rsidRPr="00E20EE0">
        <w:rPr>
          <w:sz w:val="20"/>
          <w:szCs w:val="20"/>
          <w:lang w:val="en-US"/>
        </w:rPr>
        <w:t>.</w:t>
      </w:r>
    </w:p>
  </w:footnote>
  <w:footnote w:id="2">
    <w:p w14:paraId="6CB8783A" w14:textId="2059172E" w:rsidR="00CC47D4" w:rsidRPr="00E20EE0" w:rsidRDefault="00CC47D4">
      <w:pPr>
        <w:pStyle w:val="FootnoteText"/>
        <w:rPr>
          <w:rFonts w:ascii="Arial" w:hAnsi="Arial" w:cs="Arial"/>
          <w:sz w:val="20"/>
          <w:szCs w:val="20"/>
          <w:lang w:val="en-US"/>
        </w:rPr>
      </w:pPr>
      <w:r w:rsidRPr="00E20EE0">
        <w:rPr>
          <w:rStyle w:val="FootnoteReference"/>
          <w:rFonts w:ascii="Arial" w:hAnsi="Arial" w:cs="Arial"/>
          <w:sz w:val="20"/>
          <w:szCs w:val="20"/>
        </w:rPr>
        <w:footnoteRef/>
      </w:r>
      <w:r w:rsidRPr="00E20EE0">
        <w:rPr>
          <w:rFonts w:ascii="Arial" w:hAnsi="Arial" w:cs="Arial"/>
          <w:sz w:val="20"/>
          <w:szCs w:val="20"/>
        </w:rPr>
        <w:t xml:space="preserve"> </w:t>
      </w:r>
      <w:r w:rsidRPr="00E20EE0">
        <w:rPr>
          <w:rFonts w:ascii="Arial" w:hAnsi="Arial" w:cs="Arial"/>
          <w:sz w:val="20"/>
          <w:szCs w:val="20"/>
          <w:lang w:val="en-US"/>
        </w:rPr>
        <w:t>[1996] BLR 828 at 838 B-F</w:t>
      </w:r>
      <w:r w:rsidR="00E20EE0" w:rsidRPr="00E20EE0">
        <w:rPr>
          <w:rFonts w:ascii="Arial" w:hAnsi="Arial" w:cs="Arial"/>
          <w:sz w:val="20"/>
          <w:szCs w:val="20"/>
          <w:lang w:val="en-US"/>
        </w:rPr>
        <w:t>.</w:t>
      </w:r>
    </w:p>
  </w:footnote>
  <w:footnote w:id="3">
    <w:p w14:paraId="0C524334" w14:textId="15DF8B50" w:rsidR="00CC47D4" w:rsidRPr="00E20EE0" w:rsidRDefault="00CC47D4">
      <w:pPr>
        <w:pStyle w:val="FootnoteText"/>
        <w:rPr>
          <w:rFonts w:ascii="Arial" w:hAnsi="Arial" w:cs="Arial"/>
          <w:sz w:val="20"/>
          <w:szCs w:val="20"/>
          <w:lang w:val="en-US"/>
        </w:rPr>
      </w:pPr>
      <w:r w:rsidRPr="00E20EE0">
        <w:rPr>
          <w:rStyle w:val="FootnoteReference"/>
          <w:rFonts w:ascii="Arial" w:hAnsi="Arial" w:cs="Arial"/>
          <w:sz w:val="20"/>
          <w:szCs w:val="20"/>
        </w:rPr>
        <w:footnoteRef/>
      </w:r>
      <w:r w:rsidRPr="00E20EE0">
        <w:rPr>
          <w:rFonts w:ascii="Arial" w:hAnsi="Arial" w:cs="Arial"/>
          <w:sz w:val="20"/>
          <w:szCs w:val="20"/>
        </w:rPr>
        <w:t xml:space="preserve"> </w:t>
      </w:r>
      <w:r w:rsidRPr="00E20EE0">
        <w:rPr>
          <w:rFonts w:ascii="Arial" w:hAnsi="Arial" w:cs="Arial"/>
          <w:sz w:val="20"/>
          <w:szCs w:val="20"/>
          <w:lang w:val="en-US"/>
        </w:rPr>
        <w:t>Charles Baloyi v J</w:t>
      </w:r>
      <w:r w:rsidR="00760910">
        <w:rPr>
          <w:rFonts w:ascii="Arial" w:hAnsi="Arial" w:cs="Arial"/>
          <w:sz w:val="20"/>
          <w:szCs w:val="20"/>
          <w:lang w:val="en-US"/>
        </w:rPr>
        <w:t xml:space="preserve"> D Malherbe and Another (JR</w:t>
      </w:r>
      <w:r w:rsidRPr="00E20EE0">
        <w:rPr>
          <w:rFonts w:ascii="Arial" w:hAnsi="Arial" w:cs="Arial"/>
          <w:sz w:val="20"/>
          <w:szCs w:val="20"/>
          <w:lang w:val="en-US"/>
        </w:rPr>
        <w:t xml:space="preserve"> 2661/2007</w:t>
      </w:r>
      <w:r w:rsidR="00760910">
        <w:rPr>
          <w:rFonts w:ascii="Arial" w:hAnsi="Arial" w:cs="Arial"/>
          <w:sz w:val="20"/>
          <w:szCs w:val="20"/>
          <w:lang w:val="en-US"/>
        </w:rPr>
        <w:t>) All SA 20 [2015] (21 January 2015)</w:t>
      </w:r>
      <w:r w:rsidR="00E20EE0" w:rsidRPr="00E20EE0">
        <w:rPr>
          <w:rFonts w:ascii="Arial" w:hAnsi="Arial" w:cs="Arial"/>
          <w:sz w:val="20"/>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C6D47" w14:textId="77777777" w:rsidR="00CC47D4" w:rsidRDefault="00CC47D4" w:rsidP="00003E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3AE25" w14:textId="77777777" w:rsidR="00CC47D4" w:rsidRDefault="00CC47D4" w:rsidP="00003E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C2783" w14:textId="77777777" w:rsidR="00CC47D4" w:rsidRDefault="00CC47D4" w:rsidP="00003E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CB6">
      <w:rPr>
        <w:rStyle w:val="PageNumber"/>
        <w:noProof/>
      </w:rPr>
      <w:t>15</w:t>
    </w:r>
    <w:r>
      <w:rPr>
        <w:rStyle w:val="PageNumber"/>
      </w:rPr>
      <w:fldChar w:fldCharType="end"/>
    </w:r>
  </w:p>
  <w:p w14:paraId="5B34A789" w14:textId="77777777" w:rsidR="00CC47D4" w:rsidRDefault="00CC47D4" w:rsidP="00003E2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D0A11"/>
    <w:multiLevelType w:val="hybridMultilevel"/>
    <w:tmpl w:val="08D400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20C5C92"/>
    <w:multiLevelType w:val="hybridMultilevel"/>
    <w:tmpl w:val="60DA0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65"/>
    <w:rsid w:val="0000282B"/>
    <w:rsid w:val="00003E22"/>
    <w:rsid w:val="00023483"/>
    <w:rsid w:val="000B6802"/>
    <w:rsid w:val="00100303"/>
    <w:rsid w:val="00105FC3"/>
    <w:rsid w:val="001D68D8"/>
    <w:rsid w:val="002C32EB"/>
    <w:rsid w:val="00306C4F"/>
    <w:rsid w:val="003653A0"/>
    <w:rsid w:val="003D592C"/>
    <w:rsid w:val="00426E41"/>
    <w:rsid w:val="0049532D"/>
    <w:rsid w:val="00514D3E"/>
    <w:rsid w:val="00515583"/>
    <w:rsid w:val="005910D2"/>
    <w:rsid w:val="005F2364"/>
    <w:rsid w:val="006D4251"/>
    <w:rsid w:val="006E486A"/>
    <w:rsid w:val="006F36FC"/>
    <w:rsid w:val="007214EF"/>
    <w:rsid w:val="00735AFC"/>
    <w:rsid w:val="00760910"/>
    <w:rsid w:val="00807354"/>
    <w:rsid w:val="00821563"/>
    <w:rsid w:val="00877EB9"/>
    <w:rsid w:val="00880716"/>
    <w:rsid w:val="008E7FDE"/>
    <w:rsid w:val="0091097D"/>
    <w:rsid w:val="00932951"/>
    <w:rsid w:val="00951E6C"/>
    <w:rsid w:val="009569EF"/>
    <w:rsid w:val="00963C65"/>
    <w:rsid w:val="009731AA"/>
    <w:rsid w:val="00A056B6"/>
    <w:rsid w:val="00A218B2"/>
    <w:rsid w:val="00AF16AA"/>
    <w:rsid w:val="00B67580"/>
    <w:rsid w:val="00BD04A0"/>
    <w:rsid w:val="00BD4CB6"/>
    <w:rsid w:val="00BD4E82"/>
    <w:rsid w:val="00BF7F57"/>
    <w:rsid w:val="00C34DD5"/>
    <w:rsid w:val="00C74E73"/>
    <w:rsid w:val="00C75F95"/>
    <w:rsid w:val="00C92CC9"/>
    <w:rsid w:val="00CB5D17"/>
    <w:rsid w:val="00CC47D4"/>
    <w:rsid w:val="00D6560E"/>
    <w:rsid w:val="00D95355"/>
    <w:rsid w:val="00DC4B02"/>
    <w:rsid w:val="00E20EE0"/>
    <w:rsid w:val="00E27B07"/>
    <w:rsid w:val="00E42651"/>
    <w:rsid w:val="00E502EA"/>
    <w:rsid w:val="00EB61E6"/>
    <w:rsid w:val="00EC510D"/>
    <w:rsid w:val="00F21D00"/>
    <w:rsid w:val="00F41682"/>
    <w:rsid w:val="00F73703"/>
    <w:rsid w:val="00FA025E"/>
    <w:rsid w:val="00FA3AB8"/>
    <w:rsid w:val="00FD7C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2C502"/>
  <w14:defaultImageDpi w14:val="300"/>
  <w15:docId w15:val="{15D45698-139F-4BF4-A5CF-D80BBE0C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4D3E"/>
  </w:style>
  <w:style w:type="character" w:customStyle="1" w:styleId="FootnoteTextChar">
    <w:name w:val="Footnote Text Char"/>
    <w:basedOn w:val="DefaultParagraphFont"/>
    <w:link w:val="FootnoteText"/>
    <w:uiPriority w:val="99"/>
    <w:rsid w:val="00514D3E"/>
  </w:style>
  <w:style w:type="character" w:styleId="FootnoteReference">
    <w:name w:val="footnote reference"/>
    <w:basedOn w:val="DefaultParagraphFont"/>
    <w:uiPriority w:val="99"/>
    <w:unhideWhenUsed/>
    <w:rsid w:val="00514D3E"/>
    <w:rPr>
      <w:vertAlign w:val="superscript"/>
    </w:rPr>
  </w:style>
  <w:style w:type="paragraph" w:styleId="ListParagraph">
    <w:name w:val="List Paragraph"/>
    <w:basedOn w:val="Normal"/>
    <w:uiPriority w:val="34"/>
    <w:qFormat/>
    <w:rsid w:val="00003E22"/>
    <w:pPr>
      <w:ind w:left="720"/>
      <w:contextualSpacing/>
    </w:pPr>
  </w:style>
  <w:style w:type="paragraph" w:styleId="Header">
    <w:name w:val="header"/>
    <w:basedOn w:val="Normal"/>
    <w:link w:val="HeaderChar"/>
    <w:uiPriority w:val="99"/>
    <w:unhideWhenUsed/>
    <w:rsid w:val="00003E22"/>
    <w:pPr>
      <w:tabs>
        <w:tab w:val="center" w:pos="4320"/>
        <w:tab w:val="right" w:pos="8640"/>
      </w:tabs>
    </w:pPr>
  </w:style>
  <w:style w:type="character" w:customStyle="1" w:styleId="HeaderChar">
    <w:name w:val="Header Char"/>
    <w:basedOn w:val="DefaultParagraphFont"/>
    <w:link w:val="Header"/>
    <w:uiPriority w:val="99"/>
    <w:rsid w:val="00003E22"/>
  </w:style>
  <w:style w:type="character" w:styleId="PageNumber">
    <w:name w:val="page number"/>
    <w:basedOn w:val="DefaultParagraphFont"/>
    <w:uiPriority w:val="99"/>
    <w:semiHidden/>
    <w:unhideWhenUsed/>
    <w:rsid w:val="00003E22"/>
  </w:style>
  <w:style w:type="paragraph" w:styleId="Footer">
    <w:name w:val="footer"/>
    <w:basedOn w:val="Normal"/>
    <w:link w:val="FooterChar"/>
    <w:uiPriority w:val="99"/>
    <w:unhideWhenUsed/>
    <w:rsid w:val="00E20EE0"/>
    <w:pPr>
      <w:tabs>
        <w:tab w:val="center" w:pos="4513"/>
        <w:tab w:val="right" w:pos="9026"/>
      </w:tabs>
    </w:pPr>
  </w:style>
  <w:style w:type="character" w:customStyle="1" w:styleId="FooterChar">
    <w:name w:val="Footer Char"/>
    <w:basedOn w:val="DefaultParagraphFont"/>
    <w:link w:val="Footer"/>
    <w:uiPriority w:val="99"/>
    <w:rsid w:val="00E20EE0"/>
  </w:style>
  <w:style w:type="paragraph" w:styleId="BodyTextIndent">
    <w:name w:val="Body Text Indent"/>
    <w:basedOn w:val="Normal"/>
    <w:link w:val="BodyTextIndentChar"/>
    <w:rsid w:val="00877EB9"/>
    <w:pPr>
      <w:ind w:left="1440"/>
    </w:pPr>
    <w:rPr>
      <w:rFonts w:ascii="Times New Roman" w:eastAsia="Times New Roman" w:hAnsi="Times New Roman" w:cs="Times New Roman"/>
      <w:lang w:eastAsia="x-none"/>
    </w:rPr>
  </w:style>
  <w:style w:type="character" w:customStyle="1" w:styleId="BodyTextIndentChar">
    <w:name w:val="Body Text Indent Char"/>
    <w:basedOn w:val="DefaultParagraphFont"/>
    <w:link w:val="BodyTextIndent"/>
    <w:rsid w:val="00877EB9"/>
    <w:rPr>
      <w:rFonts w:ascii="Times New Roman" w:eastAsia="Times New Roman" w:hAnsi="Times New Roman" w:cs="Times New Roman"/>
      <w:lang w:eastAsia="x-none"/>
    </w:rPr>
  </w:style>
  <w:style w:type="paragraph" w:styleId="BalloonText">
    <w:name w:val="Balloon Text"/>
    <w:basedOn w:val="Normal"/>
    <w:link w:val="BalloonTextChar"/>
    <w:uiPriority w:val="99"/>
    <w:semiHidden/>
    <w:unhideWhenUsed/>
    <w:rsid w:val="00FA3AB8"/>
    <w:rPr>
      <w:rFonts w:ascii="Tahoma" w:hAnsi="Tahoma" w:cs="Tahoma"/>
      <w:sz w:val="16"/>
      <w:szCs w:val="16"/>
    </w:rPr>
  </w:style>
  <w:style w:type="character" w:customStyle="1" w:styleId="BalloonTextChar">
    <w:name w:val="Balloon Text Char"/>
    <w:basedOn w:val="DefaultParagraphFont"/>
    <w:link w:val="BalloonText"/>
    <w:uiPriority w:val="99"/>
    <w:semiHidden/>
    <w:rsid w:val="00FA3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2017-03-07T18:30:00+00:00</Judgment_x0020_Date>
    <Year xmlns="c1afb1bd-f2fb-40fd-9abb-aea55b4d7662">2017</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59DDF5-50EB-4401-A55F-C58CDAF527CC}">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C97E5A1E-E660-4CBC-8074-F516ED10B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D2E89-4B30-4641-8AAC-9E717E69BF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3849</Words>
  <Characters>21942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Masuku</dc:creator>
  <cp:lastModifiedBy>Admin</cp:lastModifiedBy>
  <cp:revision>4</cp:revision>
  <dcterms:created xsi:type="dcterms:W3CDTF">2017-03-16T13:17:00Z</dcterms:created>
  <dcterms:modified xsi:type="dcterms:W3CDTF">2017-04-03T06:37:00Z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