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r w:rsidRPr="00470E7C">
        <w:rPr>
          <w:rFonts w:ascii="Arial" w:hAnsi="Arial" w:cs="Arial"/>
          <w:b/>
          <w:sz w:val="24"/>
          <w:szCs w:val="24"/>
        </w:rPr>
        <w:t>REPUBLIC OF NAMIBIA</w:t>
      </w:r>
    </w:p>
    <w:p w:rsidR="00170268" w:rsidRPr="00470E7C" w:rsidRDefault="007F12E5" w:rsidP="00170268">
      <w:pPr>
        <w:jc w:val="right"/>
        <w:rPr>
          <w:rFonts w:ascii="Arial" w:hAnsi="Arial" w:cs="Arial"/>
          <w:sz w:val="24"/>
          <w:szCs w:val="24"/>
        </w:rPr>
      </w:pPr>
      <w:r>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eastAsia="en-ZA"/>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764954">
        <w:rPr>
          <w:rFonts w:ascii="Arial" w:hAnsi="Arial" w:cs="Arial"/>
          <w:b/>
          <w:sz w:val="24"/>
          <w:szCs w:val="24"/>
        </w:rPr>
        <w:t xml:space="preserve"> 19</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roofErr w:type="gramStart"/>
      <w:r w:rsidRPr="00470E7C">
        <w:rPr>
          <w:rFonts w:ascii="Arial" w:hAnsi="Arial" w:cs="Arial"/>
          <w:sz w:val="24"/>
          <w:szCs w:val="24"/>
        </w:rPr>
        <w:t>and</w:t>
      </w:r>
      <w:proofErr w:type="gramEnd"/>
    </w:p>
    <w:p w:rsidR="00170268" w:rsidRPr="00470E7C" w:rsidRDefault="00170268" w:rsidP="00D52600">
      <w:pPr>
        <w:spacing w:line="360" w:lineRule="auto"/>
        <w:rPr>
          <w:rFonts w:ascii="Arial" w:hAnsi="Arial" w:cs="Arial"/>
          <w:sz w:val="24"/>
          <w:szCs w:val="24"/>
        </w:rPr>
      </w:pPr>
    </w:p>
    <w:p w:rsidR="00170268" w:rsidRPr="00470E7C" w:rsidRDefault="007F12E5" w:rsidP="00D52600">
      <w:pPr>
        <w:spacing w:line="360" w:lineRule="auto"/>
        <w:rPr>
          <w:rFonts w:ascii="Arial" w:hAnsi="Arial" w:cs="Arial"/>
          <w:b/>
          <w:sz w:val="24"/>
          <w:szCs w:val="24"/>
        </w:rPr>
      </w:pPr>
      <w:r>
        <w:rPr>
          <w:rFonts w:ascii="Arial" w:hAnsi="Arial" w:cs="Arial"/>
          <w:b/>
          <w:sz w:val="24"/>
          <w:szCs w:val="24"/>
        </w:rPr>
        <w:t>JAPHET NEKAYA</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7350B1">
        <w:rPr>
          <w:rFonts w:ascii="Arial" w:hAnsi="Arial" w:cs="Arial"/>
          <w:b/>
          <w:sz w:val="24"/>
          <w:szCs w:val="24"/>
        </w:rPr>
        <w:t xml:space="preserve"> 290/2017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bookmarkStart w:id="0" w:name="_GoBack"/>
      <w:r w:rsidR="00E94B2E">
        <w:rPr>
          <w:rFonts w:ascii="Arial" w:hAnsi="Arial" w:cs="Arial"/>
          <w:i/>
          <w:sz w:val="24"/>
          <w:szCs w:val="24"/>
        </w:rPr>
        <w:t xml:space="preserve">S </w:t>
      </w:r>
      <w:r w:rsidR="007F12E5">
        <w:rPr>
          <w:rFonts w:ascii="Arial" w:hAnsi="Arial" w:cs="Arial"/>
          <w:i/>
          <w:sz w:val="24"/>
          <w:szCs w:val="24"/>
        </w:rPr>
        <w:t xml:space="preserve">v </w:t>
      </w:r>
      <w:proofErr w:type="spellStart"/>
      <w:r w:rsidR="007F12E5">
        <w:rPr>
          <w:rFonts w:ascii="Arial" w:hAnsi="Arial" w:cs="Arial"/>
          <w:i/>
          <w:sz w:val="24"/>
          <w:szCs w:val="24"/>
        </w:rPr>
        <w:t>Nekaya</w:t>
      </w:r>
      <w:proofErr w:type="spellEnd"/>
      <w:r w:rsidR="00CB0D30" w:rsidRPr="00470E7C">
        <w:rPr>
          <w:rFonts w:ascii="Arial" w:hAnsi="Arial" w:cs="Arial"/>
          <w:i/>
          <w:sz w:val="24"/>
          <w:szCs w:val="24"/>
        </w:rPr>
        <w:t xml:space="preserve"> </w:t>
      </w:r>
      <w:r w:rsidR="00764954">
        <w:rPr>
          <w:rFonts w:ascii="Arial" w:hAnsi="Arial" w:cs="Arial"/>
          <w:sz w:val="24"/>
          <w:szCs w:val="24"/>
        </w:rPr>
        <w:t>(CR 19/2017) [2017] NAHCMD 70</w:t>
      </w:r>
      <w:r w:rsidR="007F12E5">
        <w:rPr>
          <w:rFonts w:ascii="Arial" w:hAnsi="Arial" w:cs="Arial"/>
          <w:sz w:val="24"/>
          <w:szCs w:val="24"/>
        </w:rPr>
        <w:t xml:space="preserve"> </w:t>
      </w:r>
      <w:r w:rsidR="009C30B3">
        <w:rPr>
          <w:rFonts w:ascii="Arial" w:hAnsi="Arial" w:cs="Arial"/>
          <w:sz w:val="24"/>
          <w:szCs w:val="24"/>
        </w:rPr>
        <w:t>(1</w:t>
      </w:r>
      <w:r w:rsidR="007F12E5">
        <w:rPr>
          <w:rFonts w:ascii="Arial" w:hAnsi="Arial" w:cs="Arial"/>
          <w:sz w:val="24"/>
          <w:szCs w:val="24"/>
        </w:rPr>
        <w:t>0 March</w:t>
      </w:r>
      <w:r w:rsidR="00B86B40">
        <w:rPr>
          <w:rFonts w:ascii="Arial" w:hAnsi="Arial" w:cs="Arial"/>
          <w:sz w:val="24"/>
          <w:szCs w:val="24"/>
        </w:rPr>
        <w:t xml:space="preserve"> 2017</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9C30B3">
      <w:pPr>
        <w:tabs>
          <w:tab w:val="left" w:pos="720"/>
          <w:tab w:val="left" w:pos="1440"/>
          <w:tab w:val="left" w:pos="2160"/>
          <w:tab w:val="left" w:pos="2880"/>
          <w:tab w:val="left" w:pos="3600"/>
          <w:tab w:val="left" w:pos="4320"/>
          <w:tab w:val="left" w:pos="5040"/>
          <w:tab w:val="left" w:pos="5865"/>
        </w:tabs>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proofErr w:type="gramStart"/>
      <w:r w:rsidRPr="00470E7C">
        <w:rPr>
          <w:rFonts w:ascii="Arial" w:hAnsi="Arial" w:cs="Arial"/>
          <w:b/>
          <w:i/>
          <w:sz w:val="24"/>
          <w:szCs w:val="24"/>
        </w:rPr>
        <w:t>et</w:t>
      </w:r>
      <w:proofErr w:type="gramEnd"/>
      <w:r w:rsidRPr="00470E7C">
        <w:rPr>
          <w:rFonts w:ascii="Arial" w:hAnsi="Arial" w:cs="Arial"/>
          <w:b/>
          <w:sz w:val="24"/>
          <w:szCs w:val="24"/>
        </w:rPr>
        <w:t xml:space="preserve"> </w:t>
      </w:r>
      <w:r w:rsidR="007F12E5">
        <w:rPr>
          <w:rFonts w:ascii="Arial" w:hAnsi="Arial" w:cs="Arial"/>
          <w:b/>
          <w:sz w:val="24"/>
          <w:szCs w:val="24"/>
        </w:rPr>
        <w:t>SHIVUTE J</w:t>
      </w:r>
      <w:r w:rsidR="009C30B3">
        <w:rPr>
          <w:rFonts w:ascii="Arial" w:hAnsi="Arial" w:cs="Arial"/>
          <w:b/>
          <w:sz w:val="24"/>
          <w:szCs w:val="24"/>
        </w:rPr>
        <w:tab/>
      </w:r>
      <w:r w:rsidR="009C30B3">
        <w:rPr>
          <w:rFonts w:ascii="Arial" w:hAnsi="Arial" w:cs="Arial"/>
          <w:b/>
          <w:sz w:val="24"/>
          <w:szCs w:val="24"/>
        </w:rPr>
        <w:tab/>
      </w:r>
    </w:p>
    <w:p w:rsidR="00170268" w:rsidRPr="00470E7C" w:rsidRDefault="009C30B3" w:rsidP="00D52600">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t>1</w:t>
      </w:r>
      <w:r w:rsidR="007F12E5">
        <w:rPr>
          <w:rFonts w:ascii="Arial" w:hAnsi="Arial" w:cs="Arial"/>
          <w:b/>
          <w:sz w:val="24"/>
          <w:szCs w:val="24"/>
        </w:rPr>
        <w:t>0 March</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DA26E1" w:rsidRPr="00DA26E1" w:rsidRDefault="00DA26E1" w:rsidP="00DA26E1">
      <w:pPr>
        <w:pStyle w:val="ListParagraph"/>
        <w:numPr>
          <w:ilvl w:val="0"/>
          <w:numId w:val="1"/>
        </w:numPr>
        <w:spacing w:line="360" w:lineRule="auto"/>
        <w:jc w:val="both"/>
        <w:rPr>
          <w:rFonts w:ascii="Arial" w:hAnsi="Arial" w:cs="Arial"/>
          <w:sz w:val="24"/>
          <w:szCs w:val="24"/>
        </w:rPr>
      </w:pPr>
      <w:r w:rsidRPr="00DA26E1">
        <w:rPr>
          <w:rFonts w:ascii="Arial" w:hAnsi="Arial" w:cs="Arial"/>
          <w:sz w:val="24"/>
          <w:szCs w:val="24"/>
        </w:rPr>
        <w:t>The conviction and sentence are confirmed.</w:t>
      </w:r>
    </w:p>
    <w:p w:rsidR="00DA26E1" w:rsidRPr="00DA26E1" w:rsidRDefault="00DA26E1" w:rsidP="00DA26E1">
      <w:pPr>
        <w:pStyle w:val="ListParagraph"/>
        <w:numPr>
          <w:ilvl w:val="0"/>
          <w:numId w:val="1"/>
        </w:numPr>
        <w:spacing w:line="360" w:lineRule="auto"/>
        <w:jc w:val="both"/>
        <w:rPr>
          <w:rFonts w:ascii="Arial" w:hAnsi="Arial" w:cs="Arial"/>
          <w:sz w:val="24"/>
          <w:szCs w:val="24"/>
        </w:rPr>
      </w:pPr>
      <w:r w:rsidRPr="00DA26E1">
        <w:rPr>
          <w:rFonts w:ascii="Arial" w:hAnsi="Arial" w:cs="Arial"/>
          <w:sz w:val="24"/>
          <w:szCs w:val="24"/>
        </w:rPr>
        <w:t>The accused to be brought before court and the trial court is directed to hold an inquiry as provided for in terms of s 51 of Act 22 of 1999.</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7F12E5">
        <w:rPr>
          <w:rFonts w:ascii="Arial" w:hAnsi="Arial" w:cs="Arial"/>
          <w:sz w:val="24"/>
          <w:szCs w:val="24"/>
        </w:rPr>
        <w:t xml:space="preserve">IEBENBERG J: (Concurring SHIVUTE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727C3C">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7F12E5">
        <w:rPr>
          <w:rFonts w:ascii="Arial" w:hAnsi="Arial" w:cs="Arial"/>
          <w:sz w:val="24"/>
          <w:szCs w:val="24"/>
        </w:rPr>
        <w:t xml:space="preserve">The accused pleaded guilty and was convicted </w:t>
      </w:r>
      <w:r w:rsidR="00727C3C">
        <w:rPr>
          <w:rFonts w:ascii="Arial" w:hAnsi="Arial" w:cs="Arial"/>
          <w:sz w:val="24"/>
          <w:szCs w:val="24"/>
        </w:rPr>
        <w:t>of driving with an excessive breath alcohol level in contravention of s 82(5</w:t>
      </w:r>
      <w:proofErr w:type="gramStart"/>
      <w:r w:rsidR="00727C3C">
        <w:rPr>
          <w:rFonts w:ascii="Arial" w:hAnsi="Arial" w:cs="Arial"/>
          <w:sz w:val="24"/>
          <w:szCs w:val="24"/>
        </w:rPr>
        <w:t>)</w:t>
      </w:r>
      <w:r w:rsidR="00727C3C">
        <w:rPr>
          <w:rFonts w:ascii="Arial" w:hAnsi="Arial" w:cs="Arial"/>
          <w:i/>
          <w:sz w:val="24"/>
          <w:szCs w:val="24"/>
        </w:rPr>
        <w:t>(</w:t>
      </w:r>
      <w:proofErr w:type="gramEnd"/>
      <w:r w:rsidR="00727C3C">
        <w:rPr>
          <w:rFonts w:ascii="Arial" w:hAnsi="Arial" w:cs="Arial"/>
          <w:i/>
          <w:sz w:val="24"/>
          <w:szCs w:val="24"/>
        </w:rPr>
        <w:t xml:space="preserve">a) </w:t>
      </w:r>
      <w:r w:rsidR="00727C3C">
        <w:rPr>
          <w:rFonts w:ascii="Arial" w:hAnsi="Arial" w:cs="Arial"/>
          <w:sz w:val="24"/>
          <w:szCs w:val="24"/>
        </w:rPr>
        <w:t>of the Road Traffic and Transportation Act 22 of 1999 (the Act) and was sentenced to a fine of N$8 000 or 12 months’ imprisonment. The conviction and sentence are in order and will be confirmed on review.</w:t>
      </w:r>
    </w:p>
    <w:p w:rsidR="00727C3C" w:rsidRDefault="00727C3C" w:rsidP="00727C3C">
      <w:pPr>
        <w:spacing w:line="360" w:lineRule="auto"/>
        <w:jc w:val="both"/>
        <w:rPr>
          <w:rFonts w:ascii="Arial" w:hAnsi="Arial" w:cs="Arial"/>
          <w:sz w:val="24"/>
          <w:szCs w:val="24"/>
        </w:rPr>
      </w:pPr>
    </w:p>
    <w:p w:rsidR="00727C3C" w:rsidRDefault="00727C3C" w:rsidP="00727C3C">
      <w:pPr>
        <w:spacing w:line="360" w:lineRule="auto"/>
        <w:jc w:val="both"/>
        <w:rPr>
          <w:rFonts w:ascii="Arial" w:hAnsi="Arial" w:cs="Arial"/>
          <w:sz w:val="24"/>
          <w:szCs w:val="24"/>
        </w:rPr>
      </w:pPr>
      <w:r>
        <w:rPr>
          <w:rFonts w:ascii="Arial" w:hAnsi="Arial" w:cs="Arial"/>
          <w:sz w:val="24"/>
          <w:szCs w:val="24"/>
        </w:rPr>
        <w:t>[2]   When the matter came before me on review I directed a query to the presiding magistrate enquiring why the court did not invoke the provisions of s 51(1</w:t>
      </w:r>
      <w:proofErr w:type="gramStart"/>
      <w:r>
        <w:rPr>
          <w:rFonts w:ascii="Arial" w:hAnsi="Arial" w:cs="Arial"/>
          <w:sz w:val="24"/>
          <w:szCs w:val="24"/>
        </w:rPr>
        <w:t>)</w:t>
      </w:r>
      <w:r>
        <w:rPr>
          <w:rFonts w:ascii="Arial" w:hAnsi="Arial" w:cs="Arial"/>
          <w:i/>
          <w:sz w:val="24"/>
          <w:szCs w:val="24"/>
        </w:rPr>
        <w:t>(</w:t>
      </w:r>
      <w:proofErr w:type="gramEnd"/>
      <w:r>
        <w:rPr>
          <w:rFonts w:ascii="Arial" w:hAnsi="Arial" w:cs="Arial"/>
          <w:i/>
          <w:sz w:val="24"/>
          <w:szCs w:val="24"/>
        </w:rPr>
        <w:t xml:space="preserve">c) </w:t>
      </w:r>
      <w:r>
        <w:rPr>
          <w:rFonts w:ascii="Arial" w:hAnsi="Arial" w:cs="Arial"/>
          <w:sz w:val="24"/>
          <w:szCs w:val="24"/>
        </w:rPr>
        <w:t>of the Act as the court was compelled to do</w:t>
      </w:r>
      <w:r w:rsidR="00F177E8">
        <w:rPr>
          <w:rFonts w:ascii="Arial" w:hAnsi="Arial" w:cs="Arial"/>
          <w:sz w:val="24"/>
          <w:szCs w:val="24"/>
        </w:rPr>
        <w:t>. This section provides as follows:</w:t>
      </w:r>
    </w:p>
    <w:p w:rsidR="009C30B3" w:rsidRDefault="009C30B3" w:rsidP="00727C3C">
      <w:pPr>
        <w:spacing w:line="360" w:lineRule="auto"/>
        <w:jc w:val="both"/>
        <w:rPr>
          <w:rFonts w:ascii="Arial" w:hAnsi="Arial" w:cs="Arial"/>
          <w:sz w:val="24"/>
          <w:szCs w:val="24"/>
        </w:rPr>
      </w:pPr>
    </w:p>
    <w:p w:rsidR="009C30B3" w:rsidRDefault="009C30B3" w:rsidP="00727C3C">
      <w:pPr>
        <w:spacing w:line="360" w:lineRule="auto"/>
        <w:jc w:val="both"/>
        <w:rPr>
          <w:rFonts w:ascii="Arial" w:hAnsi="Arial" w:cs="Arial"/>
          <w:sz w:val="24"/>
          <w:szCs w:val="24"/>
        </w:rPr>
      </w:pPr>
    </w:p>
    <w:p w:rsidR="00F177E8" w:rsidRDefault="00F177E8" w:rsidP="00727C3C">
      <w:pPr>
        <w:spacing w:line="360" w:lineRule="auto"/>
        <w:jc w:val="both"/>
        <w:rPr>
          <w:rFonts w:ascii="Arial" w:hAnsi="Arial" w:cs="Arial"/>
          <w:sz w:val="24"/>
          <w:szCs w:val="24"/>
        </w:rPr>
      </w:pPr>
    </w:p>
    <w:p w:rsidR="00F177E8" w:rsidRPr="00F177E8" w:rsidRDefault="00F177E8" w:rsidP="00F177E8">
      <w:pPr>
        <w:spacing w:line="360" w:lineRule="auto"/>
        <w:jc w:val="both"/>
        <w:rPr>
          <w:rFonts w:ascii="Arial" w:hAnsi="Arial" w:cs="Arial"/>
        </w:rPr>
      </w:pPr>
      <w:r>
        <w:rPr>
          <w:rFonts w:ascii="Arial" w:hAnsi="Arial" w:cs="Arial"/>
          <w:sz w:val="24"/>
          <w:szCs w:val="24"/>
        </w:rPr>
        <w:lastRenderedPageBreak/>
        <w:tab/>
      </w:r>
      <w:r>
        <w:rPr>
          <w:rFonts w:ascii="Arial" w:hAnsi="Arial" w:cs="Arial"/>
        </w:rPr>
        <w:t>‘</w:t>
      </w:r>
      <w:r w:rsidRPr="00991B89">
        <w:rPr>
          <w:rFonts w:ascii="Arial" w:hAnsi="Arial" w:cs="Arial"/>
          <w:b/>
        </w:rPr>
        <w:t>51</w:t>
      </w:r>
      <w:r w:rsidRPr="00991B89">
        <w:rPr>
          <w:rFonts w:ascii="Arial" w:hAnsi="Arial" w:cs="Arial"/>
          <w:b/>
        </w:rPr>
        <w:tab/>
        <w:t>Suspension of licence upon conviction of certain offences</w:t>
      </w:r>
    </w:p>
    <w:p w:rsidR="00F177E8" w:rsidRPr="00F177E8" w:rsidRDefault="00F177E8" w:rsidP="00F177E8">
      <w:pPr>
        <w:spacing w:line="360" w:lineRule="auto"/>
        <w:jc w:val="both"/>
        <w:rPr>
          <w:rFonts w:ascii="Arial" w:hAnsi="Arial" w:cs="Arial"/>
        </w:rPr>
      </w:pPr>
      <w:r w:rsidRPr="00F177E8">
        <w:rPr>
          <w:rFonts w:ascii="Arial" w:hAnsi="Arial" w:cs="Arial"/>
        </w:rPr>
        <w:tab/>
        <w:t>(1) Where a person who is the holder of a driving licence is convicted by a court of an offence-</w:t>
      </w:r>
    </w:p>
    <w:p w:rsidR="00F177E8" w:rsidRPr="00F177E8" w:rsidRDefault="00F177E8" w:rsidP="00F177E8">
      <w:pPr>
        <w:spacing w:line="360" w:lineRule="auto"/>
        <w:jc w:val="both"/>
        <w:rPr>
          <w:rFonts w:ascii="Arial" w:hAnsi="Arial" w:cs="Arial"/>
        </w:rPr>
      </w:pPr>
      <w:r w:rsidRPr="00F177E8">
        <w:rPr>
          <w:rFonts w:ascii="Arial" w:hAnsi="Arial" w:cs="Arial"/>
        </w:rPr>
        <w:tab/>
        <w:t>(a)</w:t>
      </w:r>
      <w:r w:rsidRPr="00F177E8">
        <w:rPr>
          <w:rFonts w:ascii="Arial" w:hAnsi="Arial" w:cs="Arial"/>
        </w:rPr>
        <w:tab/>
      </w:r>
      <w:proofErr w:type="gramStart"/>
      <w:r w:rsidRPr="00F177E8">
        <w:rPr>
          <w:rFonts w:ascii="Arial" w:hAnsi="Arial" w:cs="Arial"/>
        </w:rPr>
        <w:t>under</w:t>
      </w:r>
      <w:proofErr w:type="gramEnd"/>
      <w:r w:rsidRPr="00F177E8">
        <w:rPr>
          <w:rFonts w:ascii="Arial" w:hAnsi="Arial" w:cs="Arial"/>
        </w:rPr>
        <w:t xml:space="preserve"> section 78(1)(a), (b) or (c) in the case of an accident which resulted in the death or injury of a person;</w:t>
      </w:r>
    </w:p>
    <w:p w:rsidR="00F177E8" w:rsidRPr="00F177E8" w:rsidRDefault="00F177E8" w:rsidP="00F177E8">
      <w:pPr>
        <w:spacing w:line="360" w:lineRule="auto"/>
        <w:jc w:val="both"/>
        <w:rPr>
          <w:rFonts w:ascii="Arial" w:hAnsi="Arial" w:cs="Arial"/>
        </w:rPr>
      </w:pPr>
      <w:r w:rsidRPr="00F177E8">
        <w:rPr>
          <w:rFonts w:ascii="Arial" w:hAnsi="Arial" w:cs="Arial"/>
        </w:rPr>
        <w:tab/>
        <w:t>(b)</w:t>
      </w:r>
      <w:r w:rsidRPr="00F177E8">
        <w:rPr>
          <w:rFonts w:ascii="Arial" w:hAnsi="Arial" w:cs="Arial"/>
        </w:rPr>
        <w:tab/>
      </w:r>
      <w:proofErr w:type="gramStart"/>
      <w:r w:rsidRPr="00F177E8">
        <w:rPr>
          <w:rFonts w:ascii="Arial" w:hAnsi="Arial" w:cs="Arial"/>
        </w:rPr>
        <w:t>under</w:t>
      </w:r>
      <w:proofErr w:type="gramEnd"/>
      <w:r w:rsidRPr="00F177E8">
        <w:rPr>
          <w:rFonts w:ascii="Arial" w:hAnsi="Arial" w:cs="Arial"/>
        </w:rPr>
        <w:t xml:space="preserve"> section 80(1) of driving a vehicle recklessly; or</w:t>
      </w:r>
    </w:p>
    <w:p w:rsidR="00F177E8" w:rsidRPr="00F177E8" w:rsidRDefault="00F177E8" w:rsidP="00F177E8">
      <w:pPr>
        <w:spacing w:line="360" w:lineRule="auto"/>
        <w:jc w:val="both"/>
        <w:rPr>
          <w:rFonts w:ascii="Arial" w:hAnsi="Arial" w:cs="Arial"/>
        </w:rPr>
      </w:pPr>
      <w:r w:rsidRPr="00F177E8">
        <w:rPr>
          <w:rFonts w:ascii="Arial" w:hAnsi="Arial" w:cs="Arial"/>
        </w:rPr>
        <w:tab/>
        <w:t>(c)</w:t>
      </w:r>
      <w:r w:rsidRPr="00F177E8">
        <w:rPr>
          <w:rFonts w:ascii="Arial" w:hAnsi="Arial" w:cs="Arial"/>
        </w:rPr>
        <w:tab/>
      </w:r>
      <w:proofErr w:type="gramStart"/>
      <w:r w:rsidRPr="00F177E8">
        <w:rPr>
          <w:rFonts w:ascii="Arial" w:hAnsi="Arial" w:cs="Arial"/>
          <w:u w:val="single"/>
        </w:rPr>
        <w:t>under</w:t>
      </w:r>
      <w:proofErr w:type="gramEnd"/>
      <w:r w:rsidRPr="00F177E8">
        <w:rPr>
          <w:rFonts w:ascii="Arial" w:hAnsi="Arial" w:cs="Arial"/>
          <w:u w:val="single"/>
        </w:rPr>
        <w:t xml:space="preserve"> section 82(1), (2), (5) or (9)</w:t>
      </w:r>
      <w:r w:rsidRPr="00F177E8">
        <w:rPr>
          <w:rFonts w:ascii="Arial" w:hAnsi="Arial" w:cs="Arial"/>
        </w:rPr>
        <w:t>,</w:t>
      </w:r>
    </w:p>
    <w:p w:rsidR="00F177E8" w:rsidRPr="00F177E8" w:rsidRDefault="00F177E8" w:rsidP="00F177E8">
      <w:pPr>
        <w:spacing w:line="360" w:lineRule="auto"/>
        <w:jc w:val="both"/>
        <w:rPr>
          <w:rFonts w:ascii="Arial" w:hAnsi="Arial" w:cs="Arial"/>
        </w:rPr>
      </w:pPr>
      <w:proofErr w:type="gramStart"/>
      <w:r w:rsidRPr="00F177E8">
        <w:rPr>
          <w:rFonts w:ascii="Arial" w:hAnsi="Arial" w:cs="Arial"/>
        </w:rPr>
        <w:t>the</w:t>
      </w:r>
      <w:proofErr w:type="gramEnd"/>
      <w:r w:rsidRPr="00F177E8">
        <w:rPr>
          <w:rFonts w:ascii="Arial" w:hAnsi="Arial" w:cs="Arial"/>
        </w:rPr>
        <w:t xml:space="preserve"> court </w:t>
      </w:r>
      <w:r w:rsidRPr="00F177E8">
        <w:rPr>
          <w:rFonts w:ascii="Arial" w:hAnsi="Arial" w:cs="Arial"/>
          <w:u w:val="single"/>
        </w:rPr>
        <w:t>shall</w:t>
      </w:r>
      <w:r w:rsidRPr="00F177E8">
        <w:rPr>
          <w:rFonts w:ascii="Arial" w:hAnsi="Arial" w:cs="Arial"/>
        </w:rPr>
        <w:t xml:space="preserve">, apart from imposing a sentence and except if the court under section 50(1)(a) issues an order for the cancellation of the licence, </w:t>
      </w:r>
      <w:r w:rsidRPr="00991B89">
        <w:rPr>
          <w:rFonts w:ascii="Arial" w:hAnsi="Arial" w:cs="Arial"/>
          <w:u w:val="single"/>
        </w:rPr>
        <w:t>issue an order whereby every driving licence held by such person is suspended in accordance with the provisions of subsection (2</w:t>
      </w:r>
      <w:r w:rsidRPr="00F177E8">
        <w:rPr>
          <w:rFonts w:ascii="Arial" w:hAnsi="Arial" w:cs="Arial"/>
        </w:rPr>
        <w:t>).</w:t>
      </w:r>
    </w:p>
    <w:p w:rsidR="00F177E8" w:rsidRPr="00F177E8" w:rsidRDefault="00F177E8" w:rsidP="00F177E8">
      <w:pPr>
        <w:spacing w:line="360" w:lineRule="auto"/>
        <w:jc w:val="both"/>
        <w:rPr>
          <w:rFonts w:ascii="Arial" w:hAnsi="Arial" w:cs="Arial"/>
        </w:rPr>
      </w:pPr>
      <w:r w:rsidRPr="00F177E8">
        <w:rPr>
          <w:rFonts w:ascii="Arial" w:hAnsi="Arial" w:cs="Arial"/>
        </w:rPr>
        <w:tab/>
        <w:t xml:space="preserve">(2) An order of suspension pursuant to subsection (1), </w:t>
      </w:r>
      <w:r w:rsidRPr="00991B89">
        <w:rPr>
          <w:rFonts w:ascii="Arial" w:hAnsi="Arial" w:cs="Arial"/>
          <w:u w:val="single"/>
        </w:rPr>
        <w:t>shall be made for such period as the court may determine, but which shall not be less</w:t>
      </w:r>
      <w:r w:rsidRPr="00F177E8">
        <w:rPr>
          <w:rFonts w:ascii="Arial" w:hAnsi="Arial" w:cs="Arial"/>
        </w:rPr>
        <w:t xml:space="preserve"> than-</w:t>
      </w:r>
    </w:p>
    <w:p w:rsidR="00F177E8" w:rsidRPr="00F177E8" w:rsidRDefault="00F177E8" w:rsidP="00F177E8">
      <w:pPr>
        <w:spacing w:line="360" w:lineRule="auto"/>
        <w:jc w:val="both"/>
        <w:rPr>
          <w:rFonts w:ascii="Arial" w:hAnsi="Arial" w:cs="Arial"/>
        </w:rPr>
      </w:pPr>
      <w:r w:rsidRPr="00F177E8">
        <w:rPr>
          <w:rFonts w:ascii="Arial" w:hAnsi="Arial" w:cs="Arial"/>
        </w:rPr>
        <w:tab/>
        <w:t>(a)</w:t>
      </w:r>
      <w:r w:rsidRPr="00F177E8">
        <w:rPr>
          <w:rFonts w:ascii="Arial" w:hAnsi="Arial" w:cs="Arial"/>
        </w:rPr>
        <w:tab/>
        <w:t>three months, in the case of a first conviction;</w:t>
      </w:r>
    </w:p>
    <w:p w:rsidR="00F177E8" w:rsidRPr="00F177E8" w:rsidRDefault="00F177E8" w:rsidP="00F177E8">
      <w:pPr>
        <w:spacing w:line="360" w:lineRule="auto"/>
        <w:jc w:val="both"/>
        <w:rPr>
          <w:rFonts w:ascii="Arial" w:hAnsi="Arial" w:cs="Arial"/>
        </w:rPr>
      </w:pPr>
      <w:r w:rsidRPr="00F177E8">
        <w:rPr>
          <w:rFonts w:ascii="Arial" w:hAnsi="Arial" w:cs="Arial"/>
        </w:rPr>
        <w:tab/>
        <w:t>(b)</w:t>
      </w:r>
      <w:r w:rsidRPr="00F177E8">
        <w:rPr>
          <w:rFonts w:ascii="Arial" w:hAnsi="Arial" w:cs="Arial"/>
        </w:rPr>
        <w:tab/>
        <w:t>one year, in the case of a second conviction; and</w:t>
      </w:r>
    </w:p>
    <w:p w:rsidR="00F177E8" w:rsidRPr="00F177E8" w:rsidRDefault="00F177E8" w:rsidP="00F177E8">
      <w:pPr>
        <w:spacing w:line="360" w:lineRule="auto"/>
        <w:jc w:val="both"/>
        <w:rPr>
          <w:rFonts w:ascii="Arial" w:hAnsi="Arial" w:cs="Arial"/>
        </w:rPr>
      </w:pPr>
      <w:r w:rsidRPr="00F177E8">
        <w:rPr>
          <w:rFonts w:ascii="Arial" w:hAnsi="Arial" w:cs="Arial"/>
        </w:rPr>
        <w:tab/>
        <w:t>(c)</w:t>
      </w:r>
      <w:r w:rsidRPr="00F177E8">
        <w:rPr>
          <w:rFonts w:ascii="Arial" w:hAnsi="Arial" w:cs="Arial"/>
        </w:rPr>
        <w:tab/>
        <w:t>five years, in the case of a third or subsequent conviction.</w:t>
      </w:r>
    </w:p>
    <w:p w:rsidR="00F177E8" w:rsidRPr="00F177E8" w:rsidRDefault="00F177E8" w:rsidP="00F177E8">
      <w:pPr>
        <w:spacing w:line="360" w:lineRule="auto"/>
        <w:jc w:val="both"/>
        <w:rPr>
          <w:rFonts w:ascii="Arial" w:hAnsi="Arial" w:cs="Arial"/>
        </w:rPr>
      </w:pPr>
      <w:r w:rsidRPr="00F177E8">
        <w:rPr>
          <w:rFonts w:ascii="Arial" w:hAnsi="Arial" w:cs="Arial"/>
        </w:rPr>
        <w:tab/>
        <w:t>(3) If a person convicted of an offence mentioned in subsection (1) is not the holder of a driving licence, the court, apart from imposing a sentence, shall declare such person to be disqualified from obtaining a learner's licence or driving licence for such period as the court may determine, but not being less than the minimum period contemplated in paragraph (a), (b) or (c) of subsection (2), as may be applicable.</w:t>
      </w:r>
      <w:r w:rsidR="00991B89">
        <w:rPr>
          <w:rFonts w:ascii="Arial" w:hAnsi="Arial" w:cs="Arial"/>
        </w:rPr>
        <w:t>’</w:t>
      </w:r>
    </w:p>
    <w:p w:rsidR="00F177E8" w:rsidRPr="00991B89" w:rsidRDefault="00991B89" w:rsidP="00F177E8">
      <w:pPr>
        <w:spacing w:line="360" w:lineRule="auto"/>
        <w:jc w:val="both"/>
        <w:rPr>
          <w:rFonts w:ascii="Arial" w:hAnsi="Arial" w:cs="Arial"/>
          <w:sz w:val="24"/>
          <w:szCs w:val="24"/>
        </w:rPr>
      </w:pPr>
      <w:r>
        <w:rPr>
          <w:rFonts w:ascii="Arial" w:hAnsi="Arial" w:cs="Arial"/>
          <w:sz w:val="24"/>
          <w:szCs w:val="24"/>
        </w:rPr>
        <w:t>(Emphasis provided)</w:t>
      </w:r>
    </w:p>
    <w:p w:rsidR="00170268" w:rsidRPr="00470E7C" w:rsidRDefault="00170268" w:rsidP="00D52600">
      <w:pPr>
        <w:spacing w:line="360" w:lineRule="auto"/>
        <w:rPr>
          <w:rFonts w:ascii="Arial" w:hAnsi="Arial" w:cs="Arial"/>
          <w:sz w:val="24"/>
          <w:szCs w:val="24"/>
        </w:rPr>
      </w:pPr>
    </w:p>
    <w:p w:rsidR="00170268" w:rsidRDefault="00991B89" w:rsidP="00991B89">
      <w:pPr>
        <w:spacing w:line="360" w:lineRule="auto"/>
        <w:jc w:val="both"/>
        <w:rPr>
          <w:rFonts w:ascii="Arial" w:hAnsi="Arial" w:cs="Arial"/>
          <w:sz w:val="24"/>
          <w:szCs w:val="24"/>
        </w:rPr>
      </w:pPr>
      <w:r>
        <w:rPr>
          <w:rFonts w:ascii="Arial" w:hAnsi="Arial" w:cs="Arial"/>
          <w:sz w:val="24"/>
          <w:szCs w:val="24"/>
        </w:rPr>
        <w:t xml:space="preserve">[3]   The magistrate in his statement explained that he is familiar with the provisions of     s 51 but merely omitted to comply with the provisions of the section. </w:t>
      </w:r>
      <w:r w:rsidRPr="00470E7C">
        <w:rPr>
          <w:rFonts w:ascii="Arial" w:hAnsi="Arial" w:cs="Arial"/>
          <w:sz w:val="24"/>
          <w:szCs w:val="24"/>
        </w:rPr>
        <w:t xml:space="preserve"> </w:t>
      </w:r>
      <w:r>
        <w:rPr>
          <w:rFonts w:ascii="Arial" w:hAnsi="Arial" w:cs="Arial"/>
          <w:sz w:val="24"/>
          <w:szCs w:val="24"/>
        </w:rPr>
        <w:t xml:space="preserve">Whereas the </w:t>
      </w:r>
      <w:r w:rsidR="009C30B3">
        <w:rPr>
          <w:rFonts w:ascii="Arial" w:hAnsi="Arial" w:cs="Arial"/>
          <w:sz w:val="24"/>
          <w:szCs w:val="24"/>
        </w:rPr>
        <w:t>provisions are mandatory,</w:t>
      </w:r>
      <w:r w:rsidR="00473772">
        <w:rPr>
          <w:rFonts w:ascii="Arial" w:hAnsi="Arial" w:cs="Arial"/>
          <w:sz w:val="24"/>
          <w:szCs w:val="24"/>
        </w:rPr>
        <w:t xml:space="preserve"> the court misdirected itself by failing to give effect thereto. It </w:t>
      </w:r>
      <w:r w:rsidR="006C3D22">
        <w:rPr>
          <w:rFonts w:ascii="Arial" w:hAnsi="Arial" w:cs="Arial"/>
          <w:sz w:val="24"/>
          <w:szCs w:val="24"/>
        </w:rPr>
        <w:t xml:space="preserve">however </w:t>
      </w:r>
      <w:r w:rsidR="00473772">
        <w:rPr>
          <w:rFonts w:ascii="Arial" w:hAnsi="Arial" w:cs="Arial"/>
          <w:sz w:val="24"/>
          <w:szCs w:val="24"/>
        </w:rPr>
        <w:t>does not impact on the sentence itself and can be corrected by having the accused brought before court</w:t>
      </w:r>
      <w:r w:rsidR="009C30B3">
        <w:rPr>
          <w:rFonts w:ascii="Arial" w:hAnsi="Arial" w:cs="Arial"/>
          <w:sz w:val="24"/>
          <w:szCs w:val="24"/>
        </w:rPr>
        <w:t xml:space="preserve"> for purposes of the i</w:t>
      </w:r>
      <w:r w:rsidR="006C3D22">
        <w:rPr>
          <w:rFonts w:ascii="Arial" w:hAnsi="Arial" w:cs="Arial"/>
          <w:sz w:val="24"/>
          <w:szCs w:val="24"/>
        </w:rPr>
        <w:t xml:space="preserve">nquiry. </w:t>
      </w:r>
      <w:r w:rsidR="009C30B3">
        <w:rPr>
          <w:rFonts w:ascii="Arial" w:hAnsi="Arial" w:cs="Arial"/>
          <w:sz w:val="24"/>
          <w:szCs w:val="24"/>
        </w:rPr>
        <w:t>The provisions of s 51 must first</w:t>
      </w:r>
      <w:r w:rsidR="006C3D22">
        <w:rPr>
          <w:rFonts w:ascii="Arial" w:hAnsi="Arial" w:cs="Arial"/>
          <w:sz w:val="24"/>
          <w:szCs w:val="24"/>
        </w:rPr>
        <w:t xml:space="preserve"> </w:t>
      </w:r>
      <w:r w:rsidR="006C3D22">
        <w:rPr>
          <w:rFonts w:ascii="Arial" w:hAnsi="Arial" w:cs="Arial"/>
          <w:sz w:val="24"/>
          <w:szCs w:val="24"/>
        </w:rPr>
        <w:lastRenderedPageBreak/>
        <w:t xml:space="preserve">be explained to the accused where after he be afforded the opportunity to lead evidence and/or address the court as to </w:t>
      </w:r>
      <w:r w:rsidR="00DA26E1">
        <w:rPr>
          <w:rFonts w:ascii="Arial" w:hAnsi="Arial" w:cs="Arial"/>
          <w:sz w:val="24"/>
          <w:szCs w:val="24"/>
        </w:rPr>
        <w:t>th</w:t>
      </w:r>
      <w:r w:rsidR="009C30B3">
        <w:rPr>
          <w:rFonts w:ascii="Arial" w:hAnsi="Arial" w:cs="Arial"/>
          <w:sz w:val="24"/>
          <w:szCs w:val="24"/>
        </w:rPr>
        <w:t>e period for which his licence should be suspended</w:t>
      </w:r>
      <w:r w:rsidR="00DA26E1">
        <w:rPr>
          <w:rFonts w:ascii="Arial" w:hAnsi="Arial" w:cs="Arial"/>
          <w:sz w:val="24"/>
          <w:szCs w:val="24"/>
        </w:rPr>
        <w:t>.</w:t>
      </w:r>
    </w:p>
    <w:p w:rsidR="006C3D22" w:rsidRDefault="006C3D22" w:rsidP="00991B89">
      <w:pPr>
        <w:spacing w:line="360" w:lineRule="auto"/>
        <w:jc w:val="both"/>
        <w:rPr>
          <w:rFonts w:ascii="Arial" w:hAnsi="Arial" w:cs="Arial"/>
          <w:sz w:val="24"/>
          <w:szCs w:val="24"/>
        </w:rPr>
      </w:pPr>
    </w:p>
    <w:p w:rsidR="006C3D22" w:rsidRDefault="006C3D22" w:rsidP="00991B89">
      <w:pPr>
        <w:spacing w:line="360" w:lineRule="auto"/>
        <w:jc w:val="both"/>
        <w:rPr>
          <w:rFonts w:ascii="Arial" w:hAnsi="Arial" w:cs="Arial"/>
          <w:sz w:val="24"/>
          <w:szCs w:val="24"/>
        </w:rPr>
      </w:pPr>
      <w:r>
        <w:rPr>
          <w:rFonts w:ascii="Arial" w:hAnsi="Arial" w:cs="Arial"/>
          <w:sz w:val="24"/>
          <w:szCs w:val="24"/>
        </w:rPr>
        <w:t>[4]   In the result, it is ordered:</w:t>
      </w:r>
    </w:p>
    <w:p w:rsidR="006C3D22" w:rsidRPr="00DA26E1" w:rsidRDefault="006C3D22" w:rsidP="00DA26E1">
      <w:pPr>
        <w:pStyle w:val="ListParagraph"/>
        <w:numPr>
          <w:ilvl w:val="0"/>
          <w:numId w:val="2"/>
        </w:numPr>
        <w:spacing w:line="360" w:lineRule="auto"/>
        <w:jc w:val="both"/>
        <w:rPr>
          <w:rFonts w:ascii="Arial" w:hAnsi="Arial" w:cs="Arial"/>
          <w:sz w:val="24"/>
          <w:szCs w:val="24"/>
        </w:rPr>
      </w:pPr>
      <w:r w:rsidRPr="00DA26E1">
        <w:rPr>
          <w:rFonts w:ascii="Arial" w:hAnsi="Arial" w:cs="Arial"/>
          <w:sz w:val="24"/>
          <w:szCs w:val="24"/>
        </w:rPr>
        <w:t>The conviction and sentence are confirmed.</w:t>
      </w:r>
    </w:p>
    <w:p w:rsidR="006C3D22" w:rsidRPr="00DA26E1" w:rsidRDefault="006C3D22" w:rsidP="00DA26E1">
      <w:pPr>
        <w:pStyle w:val="ListParagraph"/>
        <w:numPr>
          <w:ilvl w:val="0"/>
          <w:numId w:val="2"/>
        </w:numPr>
        <w:spacing w:line="360" w:lineRule="auto"/>
        <w:jc w:val="both"/>
        <w:rPr>
          <w:rFonts w:ascii="Arial" w:hAnsi="Arial" w:cs="Arial"/>
          <w:sz w:val="24"/>
          <w:szCs w:val="24"/>
        </w:rPr>
      </w:pPr>
      <w:r w:rsidRPr="00DA26E1">
        <w:rPr>
          <w:rFonts w:ascii="Arial" w:hAnsi="Arial" w:cs="Arial"/>
          <w:sz w:val="24"/>
          <w:szCs w:val="24"/>
        </w:rPr>
        <w:t>The accused to be brought before court and the trial court is directed to hold an inquiry as provided for in terms of s 51 of Act 22 of 1999.</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DA26E1" w:rsidP="00170268">
      <w:pPr>
        <w:jc w:val="right"/>
        <w:rPr>
          <w:rFonts w:ascii="Arial" w:hAnsi="Arial" w:cs="Arial"/>
          <w:b/>
          <w:sz w:val="24"/>
          <w:szCs w:val="24"/>
        </w:rPr>
      </w:pPr>
      <w:r>
        <w:rPr>
          <w:rFonts w:ascii="Arial" w:hAnsi="Arial" w:cs="Arial"/>
          <w:b/>
          <w:sz w:val="24"/>
          <w:szCs w:val="24"/>
        </w:rPr>
        <w:t xml:space="preserve">N </w:t>
      </w:r>
      <w:proofErr w:type="spellStart"/>
      <w:r>
        <w:rPr>
          <w:rFonts w:ascii="Arial" w:hAnsi="Arial" w:cs="Arial"/>
          <w:b/>
          <w:sz w:val="24"/>
          <w:szCs w:val="24"/>
        </w:rPr>
        <w:t>N</w:t>
      </w:r>
      <w:proofErr w:type="spellEnd"/>
      <w:r>
        <w:rPr>
          <w:rFonts w:ascii="Arial" w:hAnsi="Arial" w:cs="Arial"/>
          <w:b/>
          <w:sz w:val="24"/>
          <w:szCs w:val="24"/>
        </w:rPr>
        <w:t xml:space="preserve">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82" w:rsidRDefault="00B61C82" w:rsidP="0048420C">
      <w:pPr>
        <w:spacing w:after="0" w:line="240" w:lineRule="auto"/>
      </w:pPr>
      <w:r>
        <w:separator/>
      </w:r>
    </w:p>
  </w:endnote>
  <w:endnote w:type="continuationSeparator" w:id="0">
    <w:p w:rsidR="00B61C82" w:rsidRDefault="00B61C82"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82" w:rsidRDefault="00B61C82" w:rsidP="0048420C">
      <w:pPr>
        <w:spacing w:after="0" w:line="240" w:lineRule="auto"/>
      </w:pPr>
      <w:r>
        <w:separator/>
      </w:r>
    </w:p>
  </w:footnote>
  <w:footnote w:type="continuationSeparator" w:id="0">
    <w:p w:rsidR="00B61C82" w:rsidRDefault="00B61C82"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E94B2E">
          <w:rPr>
            <w:noProof/>
          </w:rPr>
          <w:t>5</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6958"/>
    <w:multiLevelType w:val="hybridMultilevel"/>
    <w:tmpl w:val="2BEE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A76DA"/>
    <w:multiLevelType w:val="hybridMultilevel"/>
    <w:tmpl w:val="BF7A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170268"/>
    <w:rsid w:val="003B39C3"/>
    <w:rsid w:val="00470E7C"/>
    <w:rsid w:val="00473772"/>
    <w:rsid w:val="0048420C"/>
    <w:rsid w:val="00492199"/>
    <w:rsid w:val="004E7AFC"/>
    <w:rsid w:val="00581E8A"/>
    <w:rsid w:val="006B7C1C"/>
    <w:rsid w:val="006C3D22"/>
    <w:rsid w:val="00727C3C"/>
    <w:rsid w:val="007350B1"/>
    <w:rsid w:val="00764954"/>
    <w:rsid w:val="007D5ABE"/>
    <w:rsid w:val="007F12E5"/>
    <w:rsid w:val="008F1AC9"/>
    <w:rsid w:val="00991B89"/>
    <w:rsid w:val="009C30B3"/>
    <w:rsid w:val="009D25EC"/>
    <w:rsid w:val="00A44EE8"/>
    <w:rsid w:val="00AE2289"/>
    <w:rsid w:val="00B61C82"/>
    <w:rsid w:val="00B7175E"/>
    <w:rsid w:val="00B86B40"/>
    <w:rsid w:val="00CB0D30"/>
    <w:rsid w:val="00D46569"/>
    <w:rsid w:val="00D52600"/>
    <w:rsid w:val="00D804EC"/>
    <w:rsid w:val="00DA26E1"/>
    <w:rsid w:val="00E23B50"/>
    <w:rsid w:val="00E401CB"/>
    <w:rsid w:val="00E5537C"/>
    <w:rsid w:val="00E775C1"/>
    <w:rsid w:val="00E94B2E"/>
    <w:rsid w:val="00EE0D6A"/>
    <w:rsid w:val="00F177E8"/>
    <w:rsid w:val="00F7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character" w:styleId="CommentReference">
    <w:name w:val="annotation reference"/>
    <w:basedOn w:val="DefaultParagraphFont"/>
    <w:uiPriority w:val="99"/>
    <w:semiHidden/>
    <w:unhideWhenUsed/>
    <w:rsid w:val="00991B89"/>
    <w:rPr>
      <w:sz w:val="16"/>
      <w:szCs w:val="16"/>
    </w:rPr>
  </w:style>
  <w:style w:type="paragraph" w:styleId="CommentText">
    <w:name w:val="annotation text"/>
    <w:basedOn w:val="Normal"/>
    <w:link w:val="CommentTextChar"/>
    <w:uiPriority w:val="99"/>
    <w:semiHidden/>
    <w:unhideWhenUsed/>
    <w:rsid w:val="00991B89"/>
    <w:pPr>
      <w:spacing w:line="240" w:lineRule="auto"/>
    </w:pPr>
    <w:rPr>
      <w:sz w:val="20"/>
      <w:szCs w:val="20"/>
    </w:rPr>
  </w:style>
  <w:style w:type="character" w:customStyle="1" w:styleId="CommentTextChar">
    <w:name w:val="Comment Text Char"/>
    <w:basedOn w:val="DefaultParagraphFont"/>
    <w:link w:val="CommentText"/>
    <w:uiPriority w:val="99"/>
    <w:semiHidden/>
    <w:rsid w:val="00991B89"/>
    <w:rPr>
      <w:sz w:val="20"/>
      <w:szCs w:val="20"/>
      <w:lang w:val="en-ZA"/>
    </w:rPr>
  </w:style>
  <w:style w:type="paragraph" w:styleId="CommentSubject">
    <w:name w:val="annotation subject"/>
    <w:basedOn w:val="CommentText"/>
    <w:next w:val="CommentText"/>
    <w:link w:val="CommentSubjectChar"/>
    <w:uiPriority w:val="99"/>
    <w:semiHidden/>
    <w:unhideWhenUsed/>
    <w:rsid w:val="00991B89"/>
    <w:rPr>
      <w:b/>
      <w:bCs/>
    </w:rPr>
  </w:style>
  <w:style w:type="character" w:customStyle="1" w:styleId="CommentSubjectChar">
    <w:name w:val="Comment Subject Char"/>
    <w:basedOn w:val="CommentTextChar"/>
    <w:link w:val="CommentSubject"/>
    <w:uiPriority w:val="99"/>
    <w:semiHidden/>
    <w:rsid w:val="00991B89"/>
    <w:rPr>
      <w:b/>
      <w:bCs/>
      <w:sz w:val="20"/>
      <w:szCs w:val="20"/>
      <w:lang w:val="en-ZA"/>
    </w:rPr>
  </w:style>
  <w:style w:type="paragraph" w:styleId="BalloonText">
    <w:name w:val="Balloon Text"/>
    <w:basedOn w:val="Normal"/>
    <w:link w:val="BalloonTextChar"/>
    <w:uiPriority w:val="99"/>
    <w:semiHidden/>
    <w:unhideWhenUsed/>
    <w:rsid w:val="00991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89"/>
    <w:rPr>
      <w:rFonts w:ascii="Segoe UI" w:hAnsi="Segoe UI" w:cs="Segoe UI"/>
      <w:sz w:val="18"/>
      <w:szCs w:val="18"/>
      <w:lang w:val="en-ZA"/>
    </w:rPr>
  </w:style>
  <w:style w:type="paragraph" w:styleId="ListParagraph">
    <w:name w:val="List Paragraph"/>
    <w:basedOn w:val="Normal"/>
    <w:uiPriority w:val="34"/>
    <w:qFormat/>
    <w:rsid w:val="00DA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2017-03-09T18:30:00+00:00</Judgment_x0020_Date>
  </documentManagement>
</p:properties>
</file>

<file path=customXml/itemProps1.xml><?xml version="1.0" encoding="utf-8"?>
<ds:datastoreItem xmlns:ds="http://schemas.openxmlformats.org/officeDocument/2006/customXml" ds:itemID="{88E5F2B4-6E92-43A3-AB2D-E7F14D8DFD69}"/>
</file>

<file path=customXml/itemProps2.xml><?xml version="1.0" encoding="utf-8"?>
<ds:datastoreItem xmlns:ds="http://schemas.openxmlformats.org/officeDocument/2006/customXml" ds:itemID="{A6A804EF-86EC-433E-8757-E8BDD958D6D6}"/>
</file>

<file path=customXml/itemProps3.xml><?xml version="1.0" encoding="utf-8"?>
<ds:datastoreItem xmlns:ds="http://schemas.openxmlformats.org/officeDocument/2006/customXml" ds:itemID="{5C6042D6-0F3A-498C-A79D-4E991E6476C4}"/>
</file>

<file path=docProps/app.xml><?xml version="1.0" encoding="utf-8"?>
<Properties xmlns="http://schemas.openxmlformats.org/officeDocument/2006/extended-properties" xmlns:vt="http://schemas.openxmlformats.org/officeDocument/2006/docPropsVTypes">
  <Template>Normal</Template>
  <TotalTime>1</TotalTime>
  <Pages>5</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cp:lastPrinted>2017-03-09T06:24:00Z</cp:lastPrinted>
  <dcterms:created xsi:type="dcterms:W3CDTF">2017-03-13T06:41:00Z</dcterms:created>
  <dcterms:modified xsi:type="dcterms:W3CDTF">2017-03-13T06:41:00Z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