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7F" w:rsidRPr="006E026B" w:rsidRDefault="0019477F" w:rsidP="0019477F">
      <w:pPr>
        <w:jc w:val="center"/>
        <w:rPr>
          <w:b/>
        </w:rPr>
      </w:pPr>
      <w:r>
        <w:rPr>
          <w:b/>
          <w:noProof/>
          <w:lang w:val="en-US"/>
        </w:rPr>
        <mc:AlternateContent>
          <mc:Choice Requires="wps">
            <w:drawing>
              <wp:anchor distT="0" distB="0" distL="114300" distR="114300" simplePos="0" relativeHeight="251659264" behindDoc="0" locked="0" layoutInCell="1" allowOverlap="1" wp14:anchorId="139A9299" wp14:editId="2BF6ABCF">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9477F" w:rsidRPr="001329E3" w:rsidRDefault="0019477F" w:rsidP="0019477F">
                            <w:pPr>
                              <w:jc w:val="right"/>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A92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19477F" w:rsidRPr="001329E3" w:rsidRDefault="0019477F" w:rsidP="0019477F">
                      <w:pPr>
                        <w:jc w:val="right"/>
                        <w:rPr>
                          <w:rFonts w:ascii="Calibri" w:hAnsi="Calibri" w:cs="Calibri"/>
                          <w:sz w:val="22"/>
                          <w:szCs w:val="22"/>
                        </w:rPr>
                      </w:pPr>
                    </w:p>
                  </w:txbxContent>
                </v:textbox>
              </v:shape>
            </w:pict>
          </mc:Fallback>
        </mc:AlternateContent>
      </w:r>
      <w:r w:rsidRPr="006E026B">
        <w:rPr>
          <w:b/>
        </w:rPr>
        <w:t>REPUBLIC OF NAMIBIA</w:t>
      </w:r>
    </w:p>
    <w:p w:rsidR="0019477F" w:rsidRDefault="0019477F" w:rsidP="0019477F">
      <w:pPr>
        <w:jc w:val="center"/>
        <w:rPr>
          <w:b/>
          <w:sz w:val="32"/>
          <w:szCs w:val="32"/>
        </w:rPr>
      </w:pPr>
      <w:r>
        <w:rPr>
          <w:b/>
          <w:noProof/>
          <w:sz w:val="32"/>
          <w:szCs w:val="32"/>
          <w:lang w:val="en-US"/>
        </w:rPr>
        <w:drawing>
          <wp:inline distT="0" distB="0" distL="0" distR="0" wp14:anchorId="3129EED4" wp14:editId="30BC118F">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19477F" w:rsidRPr="00AA10AC" w:rsidRDefault="0019477F" w:rsidP="0019477F">
      <w:pPr>
        <w:jc w:val="center"/>
        <w:rPr>
          <w:b/>
        </w:rPr>
      </w:pPr>
    </w:p>
    <w:p w:rsidR="0019477F" w:rsidRPr="00AA10AC" w:rsidRDefault="0019477F" w:rsidP="0019477F">
      <w:pPr>
        <w:jc w:val="center"/>
        <w:rPr>
          <w:bCs/>
        </w:rPr>
      </w:pPr>
      <w:r w:rsidRPr="00AA10AC">
        <w:rPr>
          <w:b/>
        </w:rPr>
        <w:t>HIGH COURT OF NAMIBIA MAIN DIVISION, WINDHOEK</w:t>
      </w:r>
    </w:p>
    <w:p w:rsidR="0019477F" w:rsidRPr="00AA10AC" w:rsidRDefault="0019477F" w:rsidP="0019477F">
      <w:pPr>
        <w:jc w:val="center"/>
        <w:rPr>
          <w:b/>
        </w:rPr>
      </w:pPr>
    </w:p>
    <w:p w:rsidR="0019477F" w:rsidRDefault="0019477F" w:rsidP="0019477F">
      <w:pPr>
        <w:jc w:val="center"/>
        <w:rPr>
          <w:b/>
        </w:rPr>
      </w:pPr>
      <w:r w:rsidRPr="00AA10AC">
        <w:rPr>
          <w:b/>
        </w:rPr>
        <w:t>JUDGMENT</w:t>
      </w:r>
    </w:p>
    <w:p w:rsidR="0019477F" w:rsidRPr="00AA10AC" w:rsidRDefault="0019477F" w:rsidP="0019477F">
      <w:pPr>
        <w:jc w:val="center"/>
        <w:rPr>
          <w:b/>
        </w:rPr>
      </w:pPr>
    </w:p>
    <w:p w:rsidR="0019477F" w:rsidRPr="006B5FB6" w:rsidRDefault="0019477F" w:rsidP="0019477F">
      <w:pPr>
        <w:jc w:val="right"/>
        <w:rPr>
          <w:b/>
        </w:rPr>
      </w:pPr>
      <w:r w:rsidRPr="00AA10AC">
        <w:t xml:space="preserve">             Case no:</w:t>
      </w:r>
      <w:r w:rsidRPr="00AA10AC">
        <w:tab/>
      </w:r>
      <w:r w:rsidRPr="00E96B05">
        <w:t>HC-MD-CIV-ACT-CON-2016/03515</w:t>
      </w:r>
    </w:p>
    <w:p w:rsidR="0019477F" w:rsidRPr="00AA10AC" w:rsidRDefault="0019477F" w:rsidP="0019477F"/>
    <w:p w:rsidR="0019477F" w:rsidRPr="00AA10AC" w:rsidRDefault="0019477F" w:rsidP="0019477F">
      <w:r w:rsidRPr="00AA10AC">
        <w:t>In the matter between:</w:t>
      </w:r>
    </w:p>
    <w:p w:rsidR="0019477F" w:rsidRPr="00AA10AC" w:rsidRDefault="0019477F" w:rsidP="0019477F"/>
    <w:p w:rsidR="0019477F" w:rsidRPr="00AA10AC" w:rsidRDefault="0019477F" w:rsidP="0019477F">
      <w:pPr>
        <w:pStyle w:val="Heading4"/>
        <w:numPr>
          <w:ilvl w:val="0"/>
          <w:numId w:val="0"/>
        </w:numPr>
        <w:tabs>
          <w:tab w:val="clear" w:pos="3686"/>
          <w:tab w:val="right" w:pos="8280"/>
        </w:tabs>
        <w:rPr>
          <w:b/>
        </w:rPr>
      </w:pPr>
      <w:r>
        <w:rPr>
          <w:b/>
        </w:rPr>
        <w:t>PETRUS CANISIUS NANGOLO</w:t>
      </w:r>
      <w:r>
        <w:rPr>
          <w:b/>
        </w:rPr>
        <w:tab/>
        <w:t>PLAINTIFF</w:t>
      </w:r>
    </w:p>
    <w:p w:rsidR="00E96B05" w:rsidRDefault="00E96B05" w:rsidP="0019477F"/>
    <w:p w:rsidR="0019477F" w:rsidRDefault="00E96B05" w:rsidP="0019477F">
      <w:proofErr w:type="gramStart"/>
      <w:r>
        <w:t>a</w:t>
      </w:r>
      <w:r w:rsidR="0019477F" w:rsidRPr="00AA10AC">
        <w:t>nd</w:t>
      </w:r>
      <w:proofErr w:type="gramEnd"/>
    </w:p>
    <w:p w:rsidR="00E96B05" w:rsidRPr="00AA10AC" w:rsidRDefault="00E96B05" w:rsidP="0019477F"/>
    <w:p w:rsidR="0019477F" w:rsidRPr="00AA10AC" w:rsidRDefault="0019477F" w:rsidP="0019477F">
      <w:pPr>
        <w:tabs>
          <w:tab w:val="right" w:pos="8280"/>
        </w:tabs>
        <w:rPr>
          <w:b/>
        </w:rPr>
      </w:pPr>
      <w:r>
        <w:rPr>
          <w:b/>
        </w:rPr>
        <w:t>MATHEUS IMENE</w:t>
      </w:r>
      <w:r w:rsidRPr="00AA10AC">
        <w:rPr>
          <w:b/>
        </w:rPr>
        <w:tab/>
      </w:r>
      <w:r>
        <w:rPr>
          <w:b/>
        </w:rPr>
        <w:t>DEFENDANT</w:t>
      </w:r>
    </w:p>
    <w:p w:rsidR="0019477F" w:rsidRDefault="0019477F" w:rsidP="0019477F">
      <w:pPr>
        <w:tabs>
          <w:tab w:val="right" w:pos="8280"/>
        </w:tabs>
        <w:rPr>
          <w:b/>
        </w:rPr>
      </w:pPr>
    </w:p>
    <w:p w:rsidR="0019477F" w:rsidRDefault="0019477F" w:rsidP="0019477F">
      <w:pPr>
        <w:rPr>
          <w:b/>
          <w:u w:val="single"/>
        </w:rPr>
      </w:pPr>
    </w:p>
    <w:p w:rsidR="0019477F" w:rsidRPr="00355341" w:rsidRDefault="0019477F" w:rsidP="00E96B05">
      <w:pPr>
        <w:ind w:left="2160" w:hanging="2160"/>
      </w:pPr>
      <w:r>
        <w:rPr>
          <w:b/>
        </w:rPr>
        <w:t>Neutral citation:</w:t>
      </w:r>
      <w:r>
        <w:rPr>
          <w:b/>
        </w:rPr>
        <w:tab/>
      </w:r>
      <w:proofErr w:type="spellStart"/>
      <w:r>
        <w:rPr>
          <w:i/>
        </w:rPr>
        <w:t>Nangolo</w:t>
      </w:r>
      <w:proofErr w:type="spellEnd"/>
      <w:r>
        <w:rPr>
          <w:i/>
        </w:rPr>
        <w:t xml:space="preserve"> v </w:t>
      </w:r>
      <w:proofErr w:type="spellStart"/>
      <w:r>
        <w:rPr>
          <w:i/>
        </w:rPr>
        <w:t>Imene</w:t>
      </w:r>
      <w:proofErr w:type="spellEnd"/>
      <w:r>
        <w:rPr>
          <w:b/>
        </w:rPr>
        <w:t xml:space="preserve"> </w:t>
      </w:r>
      <w:r w:rsidR="00E96B05">
        <w:t xml:space="preserve">(HC-MD-CIV-ACT-CON-2016/03515) </w:t>
      </w:r>
      <w:r>
        <w:t xml:space="preserve">[2018] NAHCMD </w:t>
      </w:r>
      <w:r w:rsidR="002B2512">
        <w:t>109</w:t>
      </w:r>
      <w:r>
        <w:t xml:space="preserve"> (20 April 2018)</w:t>
      </w:r>
    </w:p>
    <w:p w:rsidR="0019477F" w:rsidRPr="00AA10AC" w:rsidRDefault="0019477F" w:rsidP="0019477F">
      <w:pPr>
        <w:ind w:left="2160" w:hanging="2160"/>
      </w:pPr>
    </w:p>
    <w:p w:rsidR="0019477F" w:rsidRPr="009154D0" w:rsidRDefault="0019477F" w:rsidP="0019477F">
      <w:pPr>
        <w:ind w:left="2160" w:hanging="2160"/>
        <w:rPr>
          <w:b/>
          <w:i/>
        </w:rPr>
      </w:pPr>
      <w:r w:rsidRPr="00AA10AC">
        <w:rPr>
          <w:b/>
        </w:rPr>
        <w:t>Coram:</w:t>
      </w:r>
      <w:r w:rsidRPr="00AA10AC">
        <w:tab/>
      </w:r>
      <w:proofErr w:type="spellStart"/>
      <w:r w:rsidR="002B2512">
        <w:t>Usiku</w:t>
      </w:r>
      <w:proofErr w:type="spellEnd"/>
      <w:r>
        <w:t xml:space="preserve"> J</w:t>
      </w:r>
    </w:p>
    <w:p w:rsidR="0019477F" w:rsidRPr="0019477F" w:rsidRDefault="0019477F" w:rsidP="0019477F">
      <w:pPr>
        <w:ind w:left="2160" w:hanging="2160"/>
        <w:rPr>
          <w:b/>
        </w:rPr>
      </w:pPr>
      <w:r w:rsidRPr="00AA10AC">
        <w:rPr>
          <w:b/>
          <w:bCs/>
        </w:rPr>
        <w:t>Heard</w:t>
      </w:r>
      <w:r w:rsidRPr="00AA10AC">
        <w:t>:</w:t>
      </w:r>
      <w:r w:rsidRPr="00AA10AC">
        <w:tab/>
      </w:r>
      <w:r w:rsidR="001375D7" w:rsidRPr="002B2512">
        <w:rPr>
          <w:b/>
        </w:rPr>
        <w:t>06 March 2018</w:t>
      </w:r>
    </w:p>
    <w:p w:rsidR="0019477F" w:rsidRPr="000659C3" w:rsidRDefault="0019477F" w:rsidP="0019477F">
      <w:pPr>
        <w:ind w:left="2160" w:hanging="2160"/>
      </w:pPr>
      <w:r w:rsidRPr="0019477F">
        <w:rPr>
          <w:b/>
          <w:bCs/>
        </w:rPr>
        <w:t>Delivered</w:t>
      </w:r>
      <w:r w:rsidRPr="0019477F">
        <w:rPr>
          <w:b/>
        </w:rPr>
        <w:t>:</w:t>
      </w:r>
      <w:r w:rsidRPr="0019477F">
        <w:rPr>
          <w:b/>
        </w:rPr>
        <w:tab/>
      </w:r>
      <w:r>
        <w:rPr>
          <w:b/>
        </w:rPr>
        <w:t>20 April 2018</w:t>
      </w:r>
    </w:p>
    <w:p w:rsidR="0019477F" w:rsidRDefault="0019477F" w:rsidP="0019477F">
      <w:pPr>
        <w:ind w:left="1440" w:hanging="1440"/>
      </w:pPr>
    </w:p>
    <w:p w:rsidR="0019477F" w:rsidRDefault="0019477F" w:rsidP="0019477F">
      <w:pPr>
        <w:ind w:left="1440" w:hanging="1440"/>
      </w:pPr>
    </w:p>
    <w:p w:rsidR="0019477F" w:rsidRDefault="0019477F" w:rsidP="0019477F">
      <w:proofErr w:type="spellStart"/>
      <w:r>
        <w:rPr>
          <w:b/>
        </w:rPr>
        <w:t>Flynote</w:t>
      </w:r>
      <w:proofErr w:type="spellEnd"/>
      <w:r>
        <w:rPr>
          <w:b/>
        </w:rPr>
        <w:t>:</w:t>
      </w:r>
      <w:r>
        <w:rPr>
          <w:b/>
        </w:rPr>
        <w:tab/>
      </w:r>
      <w:r w:rsidR="001375D7">
        <w:t xml:space="preserve">Prescription ‒ Interruption of prescription ‒ Summons issued in 2015 ‒ Matter </w:t>
      </w:r>
      <w:r w:rsidR="001375D7">
        <w:lastRenderedPageBreak/>
        <w:t xml:space="preserve">not prosecuted to finality ‒ Action removed </w:t>
      </w:r>
      <w:r w:rsidR="00852AC6">
        <w:t>from the roll on 25 October</w:t>
      </w:r>
      <w:r w:rsidR="00AF05FD">
        <w:t xml:space="preserve"> 2015 and not re-enrolled since – P</w:t>
      </w:r>
      <w:r w:rsidR="00852AC6">
        <w:t>laintiff subsequently serving fresh</w:t>
      </w:r>
      <w:r w:rsidR="00AF05FD">
        <w:t xml:space="preserve"> summons on the Defendant on</w:t>
      </w:r>
      <w:r w:rsidR="00852AC6">
        <w:t xml:space="preserve"> 02 March 2017 ‒ Whether the year 2015 summons interrupted the running of prescription ‒ Court holding that the Plaintiff’s claim has prescribed.</w:t>
      </w:r>
    </w:p>
    <w:p w:rsidR="001375D7" w:rsidRPr="00F6712A" w:rsidRDefault="001375D7" w:rsidP="0019477F"/>
    <w:p w:rsidR="00AF05FD" w:rsidRDefault="0019477F" w:rsidP="0019477F">
      <w:r>
        <w:rPr>
          <w:b/>
        </w:rPr>
        <w:t>Summary:</w:t>
      </w:r>
      <w:r>
        <w:rPr>
          <w:b/>
        </w:rPr>
        <w:tab/>
      </w:r>
      <w:r w:rsidR="001375D7">
        <w:t>Plaintiff in</w:t>
      </w:r>
      <w:r w:rsidR="003265A6">
        <w:t>stituted an action against the D</w:t>
      </w:r>
      <w:r w:rsidR="002F1188">
        <w:t>efendant on 25 October 2016</w:t>
      </w:r>
      <w:r w:rsidR="00AF05FD">
        <w:t xml:space="preserve">, </w:t>
      </w:r>
      <w:r w:rsidR="002F1188">
        <w:t>but did not prosecute such action t</w:t>
      </w:r>
      <w:r w:rsidR="00AF05FD">
        <w:t>o finality.  The P</w:t>
      </w:r>
      <w:r w:rsidR="002F1188">
        <w:t>laintiff served fresh summons</w:t>
      </w:r>
      <w:r w:rsidR="003265A6">
        <w:t xml:space="preserve"> on the D</w:t>
      </w:r>
      <w:r w:rsidR="001375D7">
        <w:t>ef</w:t>
      </w:r>
      <w:r w:rsidR="002F1188">
        <w:t xml:space="preserve">endant </w:t>
      </w:r>
      <w:r w:rsidR="00077B6B">
        <w:t xml:space="preserve">on </w:t>
      </w:r>
      <w:r w:rsidR="002F1188">
        <w:t>02 March 2017</w:t>
      </w:r>
      <w:r w:rsidR="001375D7">
        <w:t>.</w:t>
      </w:r>
      <w:r w:rsidR="00754376">
        <w:t xml:space="preserve">  The Defendant raised</w:t>
      </w:r>
      <w:r w:rsidR="003265A6">
        <w:t xml:space="preserve"> a special plea of prescription, i</w:t>
      </w:r>
      <w:r w:rsidR="00754376">
        <w:t xml:space="preserve">n that the cause of action arose on 17 October 2013, however, the Plaintiff only served the Defendant with the summons </w:t>
      </w:r>
      <w:r w:rsidR="00BA238F">
        <w:t xml:space="preserve">on 02 March 2017. </w:t>
      </w:r>
      <w:r w:rsidR="002F1188">
        <w:t>The Defendant alleged</w:t>
      </w:r>
      <w:r w:rsidR="00754376">
        <w:t xml:space="preserve"> that </w:t>
      </w:r>
      <w:r w:rsidR="00AF05FD">
        <w:t xml:space="preserve">the </w:t>
      </w:r>
      <w:r w:rsidR="00754376">
        <w:t xml:space="preserve">initial summons </w:t>
      </w:r>
      <w:r w:rsidR="002F1188">
        <w:t>interrupted the running of prescription.</w:t>
      </w:r>
      <w:r w:rsidR="00754376">
        <w:t xml:space="preserve">  </w:t>
      </w:r>
      <w:r w:rsidR="002F1188">
        <w:t>The initial</w:t>
      </w:r>
      <w:r w:rsidR="00754376">
        <w:t xml:space="preserve"> action was removed from the roll on 22 October 2015 and was not prosecuted to finality.</w:t>
      </w:r>
      <w:r w:rsidR="00AF05FD">
        <w:t xml:space="preserve"> </w:t>
      </w:r>
    </w:p>
    <w:p w:rsidR="00AF05FD" w:rsidRDefault="00AF05FD" w:rsidP="0019477F"/>
    <w:p w:rsidR="0019477F" w:rsidRPr="001375D7" w:rsidRDefault="00AF05FD" w:rsidP="0019477F">
      <w:proofErr w:type="gramStart"/>
      <w:r>
        <w:t>H</w:t>
      </w:r>
      <w:r w:rsidR="003265A6">
        <w:t>eld</w:t>
      </w:r>
      <w:r>
        <w:t xml:space="preserve">, </w:t>
      </w:r>
      <w:r w:rsidR="003265A6">
        <w:t>that</w:t>
      </w:r>
      <w:proofErr w:type="gramEnd"/>
      <w:r w:rsidR="003265A6">
        <w:t xml:space="preserve"> the Plaintiff’s claim has prescribed.</w:t>
      </w:r>
    </w:p>
    <w:p w:rsidR="0019477F" w:rsidRDefault="0019477F" w:rsidP="0019477F">
      <w:pPr>
        <w:ind w:left="1440" w:hanging="1440"/>
      </w:pPr>
    </w:p>
    <w:p w:rsidR="0019477F" w:rsidRPr="006E026B" w:rsidRDefault="00DD4666" w:rsidP="0019477F">
      <w:pPr>
        <w:rPr>
          <w:bCs/>
        </w:rPr>
      </w:pPr>
      <w:r>
        <w:rPr>
          <w:bCs/>
        </w:rPr>
        <w:pict>
          <v:rect id="_x0000_i1025" style="width:0;height:1.5pt" o:hralign="center" o:hrstd="t" o:hr="t" fillcolor="#a0a0a0" stroked="f"/>
        </w:pict>
      </w:r>
    </w:p>
    <w:p w:rsidR="0019477F" w:rsidRPr="006E026B" w:rsidRDefault="0019477F" w:rsidP="0019477F">
      <w:pPr>
        <w:jc w:val="center"/>
        <w:rPr>
          <w:b/>
          <w:bCs/>
        </w:rPr>
      </w:pPr>
      <w:r w:rsidRPr="006E026B">
        <w:rPr>
          <w:b/>
          <w:bCs/>
        </w:rPr>
        <w:t>ORDER</w:t>
      </w:r>
      <w:r w:rsidR="00DD4666">
        <w:rPr>
          <w:bCs/>
        </w:rPr>
        <w:pict>
          <v:rect id="_x0000_i1026" style="width:0;height:1.5pt" o:hralign="center" o:hrstd="t" o:hr="t" fillcolor="#a0a0a0" stroked="f"/>
        </w:pict>
      </w:r>
    </w:p>
    <w:p w:rsidR="0019477F" w:rsidRDefault="0019477F" w:rsidP="0019477F">
      <w:pPr>
        <w:rPr>
          <w:bCs/>
        </w:rPr>
      </w:pPr>
    </w:p>
    <w:p w:rsidR="0019477F" w:rsidRPr="00C64A6B" w:rsidRDefault="0019477F" w:rsidP="0019477F">
      <w:pPr>
        <w:pStyle w:val="Heading1"/>
        <w:numPr>
          <w:ilvl w:val="0"/>
          <w:numId w:val="0"/>
        </w:numPr>
      </w:pPr>
      <w:r>
        <w:t>The defendant’s special plea of prescription is upheld with costs.</w:t>
      </w:r>
    </w:p>
    <w:p w:rsidR="0019477F" w:rsidRDefault="0019477F" w:rsidP="0019477F">
      <w:pPr>
        <w:rPr>
          <w:bCs/>
        </w:rPr>
      </w:pPr>
    </w:p>
    <w:p w:rsidR="0019477F" w:rsidRPr="00AA10AC" w:rsidRDefault="00DD4666" w:rsidP="0019477F">
      <w:pPr>
        <w:rPr>
          <w:bCs/>
        </w:rPr>
      </w:pPr>
      <w:r>
        <w:rPr>
          <w:bCs/>
        </w:rPr>
        <w:pict>
          <v:rect id="_x0000_i1027" style="width:0;height:1.5pt" o:hralign="center" o:hrstd="t" o:hr="t" fillcolor="#a0a0a0" stroked="f"/>
        </w:pict>
      </w:r>
    </w:p>
    <w:p w:rsidR="0019477F" w:rsidRPr="00AA10AC" w:rsidRDefault="006B33BF" w:rsidP="0019477F">
      <w:pPr>
        <w:jc w:val="center"/>
        <w:rPr>
          <w:b/>
        </w:rPr>
      </w:pPr>
      <w:r>
        <w:rPr>
          <w:b/>
        </w:rPr>
        <w:t>REASONS IN TERMS OF PRACTICE DIRECTI</w:t>
      </w:r>
      <w:r w:rsidR="00676E85">
        <w:rPr>
          <w:b/>
        </w:rPr>
        <w:t>ON</w:t>
      </w:r>
      <w:r>
        <w:rPr>
          <w:b/>
        </w:rPr>
        <w:t xml:space="preserve"> 61</w:t>
      </w:r>
    </w:p>
    <w:p w:rsidR="0019477F" w:rsidRPr="00AA10AC" w:rsidRDefault="00DD4666" w:rsidP="0019477F">
      <w:pPr>
        <w:jc w:val="center"/>
        <w:rPr>
          <w:b/>
        </w:rPr>
      </w:pPr>
      <w:r>
        <w:rPr>
          <w:bCs/>
        </w:rPr>
        <w:pict>
          <v:rect id="_x0000_i1028" style="width:0;height:1.5pt" o:hralign="center" o:hrstd="t" o:hr="t" fillcolor="#a0a0a0" stroked="f"/>
        </w:pict>
      </w:r>
    </w:p>
    <w:p w:rsidR="0019477F" w:rsidRPr="00E96B05" w:rsidRDefault="00E96B05" w:rsidP="00E96B05">
      <w:r>
        <w:t>USIKU</w:t>
      </w:r>
      <w:r w:rsidR="0019477F" w:rsidRPr="00E96B05">
        <w:t xml:space="preserve"> J</w:t>
      </w:r>
      <w:r w:rsidR="002B2512" w:rsidRPr="00E96B05">
        <w:t>:</w:t>
      </w:r>
    </w:p>
    <w:p w:rsidR="0019477F" w:rsidRDefault="0019477F" w:rsidP="0019477F">
      <w:pPr>
        <w:ind w:left="1440" w:hanging="1440"/>
        <w:rPr>
          <w:b/>
          <w:i/>
        </w:rPr>
      </w:pPr>
    </w:p>
    <w:p w:rsidR="006B33BF" w:rsidRDefault="006B33BF" w:rsidP="006B33BF">
      <w:r>
        <w:t>[1]</w:t>
      </w:r>
      <w:r>
        <w:tab/>
        <w:t>The defendant raised a special plea of prescription, claiming that insofar as the plaintiff alleges in his particulars of claim, that his cause of action arose on 17 October 2015 and insofar as the plaintiff’s combined summons were only served on the defendant on 02 March 2017, the plaintiff’s claim has prescribed.</w:t>
      </w:r>
    </w:p>
    <w:p w:rsidR="006B33BF" w:rsidRDefault="006B33BF" w:rsidP="006B33BF">
      <w:pPr>
        <w:ind w:left="990" w:hanging="990"/>
      </w:pPr>
    </w:p>
    <w:p w:rsidR="006B33BF" w:rsidRDefault="006B33BF" w:rsidP="006B33BF">
      <w:r>
        <w:lastRenderedPageBreak/>
        <w:t>[2]</w:t>
      </w:r>
      <w:r>
        <w:tab/>
        <w:t xml:space="preserve">In his replication to the special plea, the plaintiff averred that </w:t>
      </w:r>
      <w:r w:rsidR="00D90CC8">
        <w:t>he</w:t>
      </w:r>
      <w:r>
        <w:t xml:space="preserve"> had initially issued summons, which were served on 15 July 2015. This action was subsequently removed from the roll on 25 October 2015. As a result, the summons served </w:t>
      </w:r>
      <w:r w:rsidR="00D90CC8">
        <w:t xml:space="preserve">on 15 July </w:t>
      </w:r>
      <w:r>
        <w:t>of 2015 had interrupted the running of prescription.</w:t>
      </w:r>
    </w:p>
    <w:p w:rsidR="006B33BF" w:rsidRDefault="006B33BF" w:rsidP="006B33BF"/>
    <w:p w:rsidR="006B33BF" w:rsidRDefault="006B33BF" w:rsidP="006B33BF">
      <w:r>
        <w:t>[3]</w:t>
      </w:r>
      <w:r>
        <w:tab/>
        <w:t>It is apparent from the arguments of the parties</w:t>
      </w:r>
      <w:r w:rsidR="000D35CD">
        <w:t xml:space="preserve"> and the pleadings filed of record, that the plaintiff’s claim is alleged to stem from an agreement between the parties in terms of which the plaintiff installed a jackpot machine on the premises, he </w:t>
      </w:r>
      <w:r w:rsidR="00640711">
        <w:t>believed</w:t>
      </w:r>
      <w:r w:rsidR="000D35CD">
        <w:t xml:space="preserve"> to be owned by the defendant. The jackpot machine was stolen from the premises on or about 17 October 2013 at about 21:00. According to the plaintiff, the defendant only reported the theft to the police at about 01:00, the following day. The plaintiff claims that the late reporting, of the theft</w:t>
      </w:r>
      <w:r w:rsidR="00AF05FD">
        <w:t>,</w:t>
      </w:r>
      <w:r w:rsidR="000D35CD">
        <w:t xml:space="preserve"> hampered </w:t>
      </w:r>
      <w:r w:rsidR="005A6198">
        <w:t xml:space="preserve">the </w:t>
      </w:r>
      <w:r w:rsidR="000D35CD">
        <w:t>chances of apprehending the thieves and as a result, the plaintiff suffered damages.</w:t>
      </w:r>
    </w:p>
    <w:p w:rsidR="000D35CD" w:rsidRDefault="000D35CD" w:rsidP="006B33BF"/>
    <w:p w:rsidR="000D35CD" w:rsidRDefault="000D35CD" w:rsidP="006B33BF">
      <w:r>
        <w:t>[4]</w:t>
      </w:r>
      <w:r>
        <w:tab/>
        <w:t>It is common cause that as a general rule, a debt prescribes after a period of three years. There are exceptions to the general rule, which are not relevant to the present matter. The plaintiff in this matter contends that the running of prescription was interrupted when the plaintiff served the initial summons</w:t>
      </w:r>
      <w:r w:rsidR="007C3F23">
        <w:t xml:space="preserve"> on the defendant on 15 July 2015. Although the year 2015 process was subsequently removed from the roll, </w:t>
      </w:r>
      <w:r w:rsidR="003E0241">
        <w:t>the p</w:t>
      </w:r>
      <w:r w:rsidR="005A6198">
        <w:t>laintiff argues</w:t>
      </w:r>
      <w:r w:rsidR="00640711">
        <w:t>,</w:t>
      </w:r>
      <w:r w:rsidR="005A6198">
        <w:t xml:space="preserve"> the matter/process</w:t>
      </w:r>
      <w:r w:rsidR="007C3F23">
        <w:t xml:space="preserve"> was not dismissed.</w:t>
      </w:r>
    </w:p>
    <w:p w:rsidR="007C3F23" w:rsidRDefault="007C3F23" w:rsidP="006B33BF"/>
    <w:p w:rsidR="007C3F23" w:rsidRDefault="007C3F23" w:rsidP="006B33BF">
      <w:r>
        <w:t>[5]</w:t>
      </w:r>
      <w:r>
        <w:tab/>
        <w:t>From the evidence on the papers, it appears that the plaintiff alleges that his cause of action arose on 18 October 2013, when he became aware that the theft was only reported to the police 01:00 that day, which late reporting</w:t>
      </w:r>
      <w:r w:rsidR="003E0241">
        <w:t>,</w:t>
      </w:r>
      <w:r>
        <w:t xml:space="preserve"> according to the plaintiff</w:t>
      </w:r>
      <w:r w:rsidR="003E0241">
        <w:t>,</w:t>
      </w:r>
      <w:r>
        <w:t xml:space="preserve"> hampered chances of apprehending the thieves.</w:t>
      </w:r>
    </w:p>
    <w:p w:rsidR="007C3F23" w:rsidRDefault="007C3F23" w:rsidP="006B33BF"/>
    <w:p w:rsidR="007C3F23" w:rsidRDefault="007C3F23" w:rsidP="006B33BF">
      <w:r>
        <w:t>[6]</w:t>
      </w:r>
      <w:r>
        <w:tab/>
        <w:t>In terms of section 4(2) of the Prescription Act, No. 68 of 1969, the interruption of the prescription period, by service of a judicial process, lapses if the plaintiff does not successfully prosecute his claim to final judgment.</w:t>
      </w:r>
    </w:p>
    <w:p w:rsidR="007C3F23" w:rsidRDefault="007C3F23" w:rsidP="006B33BF"/>
    <w:p w:rsidR="007C3F23" w:rsidRDefault="007C3F23" w:rsidP="006B33BF">
      <w:r>
        <w:t>[7]</w:t>
      </w:r>
      <w:r>
        <w:tab/>
        <w:t xml:space="preserve">The plaintiff (creditor) bears the onus of alleging and proving the interruption of the </w:t>
      </w:r>
      <w:r>
        <w:lastRenderedPageBreak/>
        <w:t>prescription period by service on the defendant of the process whereby the plaintiff claims payment of the debt.</w:t>
      </w:r>
      <w:r w:rsidR="00245FBB">
        <w:rPr>
          <w:rStyle w:val="FootnoteReference"/>
        </w:rPr>
        <w:footnoteReference w:id="1"/>
      </w:r>
    </w:p>
    <w:p w:rsidR="00245FBB" w:rsidRDefault="00245FBB" w:rsidP="006B33BF"/>
    <w:p w:rsidR="00245FBB" w:rsidRDefault="00245FBB" w:rsidP="006B33BF">
      <w:r>
        <w:t>[8]</w:t>
      </w:r>
      <w:r>
        <w:tab/>
        <w:t>It is common cause that the initial action in respect of which the summons were served on the defendant on 15 July 2015, was removed from the roll on 22 October 2015 a</w:t>
      </w:r>
      <w:r w:rsidR="00167138">
        <w:t>nd no further steps were taken i</w:t>
      </w:r>
      <w:r>
        <w:t>n the prosecution of that action. It is not the plaintiff’s contention that he has successfully prosecuted his claim under the summons of 2015, to final judgment.</w:t>
      </w:r>
    </w:p>
    <w:p w:rsidR="00245FBB" w:rsidRDefault="00245FBB" w:rsidP="006B33BF"/>
    <w:p w:rsidR="00245FBB" w:rsidRDefault="00245FBB" w:rsidP="006B33BF">
      <w:r>
        <w:t>[9]</w:t>
      </w:r>
      <w:r>
        <w:tab/>
        <w:t>The process served on 15 July 2015, therefore</w:t>
      </w:r>
      <w:r w:rsidR="00167138">
        <w:t>,</w:t>
      </w:r>
      <w:r>
        <w:t xml:space="preserve"> did not serve to interrupt the prescription period and the plaintiff’s claim is to be taken to have prescribed on or about 19 October 2016.</w:t>
      </w:r>
    </w:p>
    <w:p w:rsidR="00245FBB" w:rsidRDefault="00245FBB" w:rsidP="006B33BF"/>
    <w:p w:rsidR="00245FBB" w:rsidRDefault="00245FBB" w:rsidP="006B33BF">
      <w:r>
        <w:t>[10]</w:t>
      </w:r>
      <w:r>
        <w:tab/>
        <w:t>It follows that the</w:t>
      </w:r>
      <w:r w:rsidR="00AF05FD">
        <w:t xml:space="preserve"> plaintiff did not prosecute his</w:t>
      </w:r>
      <w:r>
        <w:t xml:space="preserve"> action under</w:t>
      </w:r>
      <w:r w:rsidR="00AF05FD">
        <w:t xml:space="preserve"> the 15 June 2015 court process</w:t>
      </w:r>
      <w:r w:rsidR="004A2B41">
        <w:t>,</w:t>
      </w:r>
      <w:r>
        <w:t xml:space="preserve"> to finality and the running of prescription was never interrupted.</w:t>
      </w:r>
    </w:p>
    <w:p w:rsidR="00245FBB" w:rsidRDefault="00245FBB" w:rsidP="006B33BF"/>
    <w:p w:rsidR="00245FBB" w:rsidRDefault="00245FBB" w:rsidP="006B33BF">
      <w:r>
        <w:t>[11]</w:t>
      </w:r>
      <w:r>
        <w:tab/>
        <w:t>In the premises, the special plea of prescription is upheld with costs.</w:t>
      </w:r>
    </w:p>
    <w:p w:rsidR="00245FBB" w:rsidRDefault="00245FBB" w:rsidP="006B33BF"/>
    <w:p w:rsidR="00245FBB" w:rsidRDefault="00245FBB" w:rsidP="006B33BF"/>
    <w:p w:rsidR="00245FBB" w:rsidRDefault="00245FBB" w:rsidP="00245FBB">
      <w:pPr>
        <w:jc w:val="right"/>
      </w:pPr>
      <w:r>
        <w:t>_________________</w:t>
      </w:r>
    </w:p>
    <w:p w:rsidR="00245FBB" w:rsidRDefault="00245FBB" w:rsidP="00245FBB">
      <w:pPr>
        <w:jc w:val="right"/>
      </w:pPr>
      <w:r>
        <w:t xml:space="preserve">B </w:t>
      </w:r>
      <w:proofErr w:type="spellStart"/>
      <w:r>
        <w:t>Usiku</w:t>
      </w:r>
      <w:proofErr w:type="spellEnd"/>
    </w:p>
    <w:p w:rsidR="00245FBB" w:rsidRDefault="00245FBB" w:rsidP="00245FBB">
      <w:pPr>
        <w:jc w:val="right"/>
      </w:pPr>
      <w:r>
        <w:t>Judge</w:t>
      </w:r>
    </w:p>
    <w:p w:rsidR="00245FBB" w:rsidRDefault="00245FBB" w:rsidP="00245FBB">
      <w:pPr>
        <w:jc w:val="right"/>
      </w:pPr>
    </w:p>
    <w:p w:rsidR="00245FBB" w:rsidRDefault="00245FBB" w:rsidP="00245FBB">
      <w:pPr>
        <w:jc w:val="right"/>
      </w:pPr>
    </w:p>
    <w:p w:rsidR="00245FBB" w:rsidRDefault="00245FBB" w:rsidP="00245FBB">
      <w:pPr>
        <w:jc w:val="right"/>
      </w:pPr>
    </w:p>
    <w:p w:rsidR="00245FBB" w:rsidRDefault="00245FBB" w:rsidP="00245FBB">
      <w:pPr>
        <w:jc w:val="right"/>
      </w:pPr>
    </w:p>
    <w:p w:rsidR="00245FBB" w:rsidRDefault="00245FBB" w:rsidP="00245FBB">
      <w:pPr>
        <w:jc w:val="right"/>
      </w:pPr>
    </w:p>
    <w:p w:rsidR="00245FBB" w:rsidRDefault="00245FBB" w:rsidP="00245FBB">
      <w:pPr>
        <w:jc w:val="right"/>
      </w:pPr>
    </w:p>
    <w:p w:rsidR="00245FBB" w:rsidRDefault="00245FBB" w:rsidP="004A2B41"/>
    <w:p w:rsidR="00E96B05" w:rsidRDefault="00E96B05" w:rsidP="00245FBB"/>
    <w:p w:rsidR="00245FBB" w:rsidRDefault="00B74139" w:rsidP="00245FBB">
      <w:r>
        <w:lastRenderedPageBreak/>
        <w:t>APPEARANCES</w:t>
      </w:r>
      <w:r w:rsidR="004A2B41">
        <w:t>:</w:t>
      </w:r>
    </w:p>
    <w:p w:rsidR="00B74139" w:rsidRDefault="00B74139" w:rsidP="00245FBB"/>
    <w:p w:rsidR="00B74139" w:rsidRDefault="00B74139" w:rsidP="00245FBB">
      <w:r>
        <w:t>PLAINTIFF</w:t>
      </w:r>
      <w:r w:rsidR="004A2B41">
        <w:t>:</w:t>
      </w:r>
      <w:r>
        <w:tab/>
      </w:r>
      <w:r>
        <w:tab/>
      </w:r>
      <w:r>
        <w:tab/>
      </w:r>
      <w:r>
        <w:tab/>
        <w:t xml:space="preserve">J </w:t>
      </w:r>
      <w:proofErr w:type="spellStart"/>
      <w:r>
        <w:t>Diedericks</w:t>
      </w:r>
      <w:proofErr w:type="spellEnd"/>
    </w:p>
    <w:p w:rsidR="00B74139" w:rsidRDefault="00E96B05" w:rsidP="00245FBB">
      <w:r>
        <w:tab/>
      </w:r>
      <w:r>
        <w:tab/>
      </w:r>
      <w:r>
        <w:tab/>
      </w:r>
      <w:r>
        <w:tab/>
      </w:r>
      <w:r>
        <w:tab/>
      </w:r>
      <w:proofErr w:type="gramStart"/>
      <w:r>
        <w:t>o</w:t>
      </w:r>
      <w:r w:rsidR="00B74139">
        <w:t>f</w:t>
      </w:r>
      <w:proofErr w:type="gramEnd"/>
      <w:r w:rsidR="00B74139">
        <w:t xml:space="preserve"> </w:t>
      </w:r>
      <w:proofErr w:type="spellStart"/>
      <w:r w:rsidR="00B74139">
        <w:t>Diedericks</w:t>
      </w:r>
      <w:proofErr w:type="spellEnd"/>
      <w:r w:rsidR="00B74139">
        <w:t xml:space="preserve"> </w:t>
      </w:r>
      <w:proofErr w:type="spellStart"/>
      <w:r w:rsidR="00B74139">
        <w:t>Inc</w:t>
      </w:r>
      <w:proofErr w:type="spellEnd"/>
      <w:r w:rsidR="00B74139">
        <w:t>, Windhoek</w:t>
      </w:r>
    </w:p>
    <w:p w:rsidR="00B74139" w:rsidRDefault="00B74139" w:rsidP="00245FBB"/>
    <w:p w:rsidR="00B74139" w:rsidRDefault="00B74139" w:rsidP="00245FBB">
      <w:r>
        <w:t>DEFENDANT</w:t>
      </w:r>
      <w:r>
        <w:tab/>
      </w:r>
      <w:r w:rsidR="004A2B41">
        <w:t>:</w:t>
      </w:r>
      <w:r>
        <w:tab/>
      </w:r>
      <w:r>
        <w:tab/>
      </w:r>
      <w:r>
        <w:tab/>
        <w:t xml:space="preserve">L </w:t>
      </w:r>
      <w:proofErr w:type="spellStart"/>
      <w:r>
        <w:t>Shikale</w:t>
      </w:r>
      <w:bookmarkStart w:id="0" w:name="_GoBack"/>
      <w:bookmarkEnd w:id="0"/>
      <w:proofErr w:type="spellEnd"/>
    </w:p>
    <w:p w:rsidR="00B74139" w:rsidRDefault="00E96B05" w:rsidP="00245FBB">
      <w:r>
        <w:tab/>
      </w:r>
      <w:r>
        <w:tab/>
      </w:r>
      <w:r>
        <w:tab/>
      </w:r>
      <w:r>
        <w:tab/>
      </w:r>
      <w:r>
        <w:tab/>
      </w:r>
      <w:proofErr w:type="gramStart"/>
      <w:r>
        <w:t>o</w:t>
      </w:r>
      <w:r w:rsidR="00B74139">
        <w:t>f</w:t>
      </w:r>
      <w:proofErr w:type="gramEnd"/>
      <w:r w:rsidR="00B74139">
        <w:t xml:space="preserve"> </w:t>
      </w:r>
      <w:proofErr w:type="spellStart"/>
      <w:r w:rsidR="00B74139">
        <w:t>Shikale</w:t>
      </w:r>
      <w:proofErr w:type="spellEnd"/>
      <w:r w:rsidR="00B74139">
        <w:t xml:space="preserve"> &amp; Associates, Windhoek</w:t>
      </w:r>
    </w:p>
    <w:p w:rsidR="00B74139" w:rsidRDefault="00B74139" w:rsidP="00245FBB"/>
    <w:p w:rsidR="00B74139" w:rsidRPr="006B33BF" w:rsidRDefault="00B74139" w:rsidP="00245FBB"/>
    <w:p w:rsidR="0046414E" w:rsidRPr="0019477F" w:rsidRDefault="00DD4666"/>
    <w:sectPr w:rsidR="0046414E" w:rsidRPr="0019477F" w:rsidSect="0019477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666" w:rsidRDefault="00DD4666" w:rsidP="0019477F">
      <w:pPr>
        <w:spacing w:line="240" w:lineRule="auto"/>
      </w:pPr>
      <w:r>
        <w:separator/>
      </w:r>
    </w:p>
  </w:endnote>
  <w:endnote w:type="continuationSeparator" w:id="0">
    <w:p w:rsidR="00DD4666" w:rsidRDefault="00DD4666" w:rsidP="00194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666" w:rsidRDefault="00DD4666" w:rsidP="0019477F">
      <w:pPr>
        <w:spacing w:line="240" w:lineRule="auto"/>
      </w:pPr>
      <w:r>
        <w:separator/>
      </w:r>
    </w:p>
  </w:footnote>
  <w:footnote w:type="continuationSeparator" w:id="0">
    <w:p w:rsidR="00DD4666" w:rsidRDefault="00DD4666" w:rsidP="0019477F">
      <w:pPr>
        <w:spacing w:line="240" w:lineRule="auto"/>
      </w:pPr>
      <w:r>
        <w:continuationSeparator/>
      </w:r>
    </w:p>
  </w:footnote>
  <w:footnote w:id="1">
    <w:p w:rsidR="00245FBB" w:rsidRPr="00245FBB" w:rsidRDefault="00245FBB">
      <w:pPr>
        <w:pStyle w:val="FootnoteText"/>
        <w:rPr>
          <w:lang w:val="en-US"/>
        </w:rPr>
      </w:pPr>
      <w:r>
        <w:rPr>
          <w:rStyle w:val="FootnoteReference"/>
        </w:rPr>
        <w:footnoteRef/>
      </w:r>
      <w:r>
        <w:t xml:space="preserve"> Section</w:t>
      </w:r>
      <w:r w:rsidR="00AF05FD">
        <w:t xml:space="preserve"> 15(2) of the Prescription Act, No. 68 of 1969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37865"/>
      <w:docPartObj>
        <w:docPartGallery w:val="Page Numbers (Top of Page)"/>
        <w:docPartUnique/>
      </w:docPartObj>
    </w:sdtPr>
    <w:sdtEndPr>
      <w:rPr>
        <w:noProof/>
      </w:rPr>
    </w:sdtEndPr>
    <w:sdtContent>
      <w:p w:rsidR="0019477F" w:rsidRDefault="0019477F">
        <w:pPr>
          <w:pStyle w:val="Header"/>
          <w:jc w:val="right"/>
        </w:pPr>
        <w:r>
          <w:fldChar w:fldCharType="begin"/>
        </w:r>
        <w:r>
          <w:instrText xml:space="preserve"> PAGE   \* MERGEFORMAT </w:instrText>
        </w:r>
        <w:r>
          <w:fldChar w:fldCharType="separate"/>
        </w:r>
        <w:r w:rsidR="00E96B05">
          <w:rPr>
            <w:noProof/>
          </w:rPr>
          <w:t>5</w:t>
        </w:r>
        <w:r>
          <w:rPr>
            <w:noProof/>
          </w:rPr>
          <w:fldChar w:fldCharType="end"/>
        </w:r>
      </w:p>
    </w:sdtContent>
  </w:sdt>
  <w:p w:rsidR="0019477F" w:rsidRDefault="0019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14"/>
    <w:rsid w:val="00014199"/>
    <w:rsid w:val="00051DC9"/>
    <w:rsid w:val="000679BA"/>
    <w:rsid w:val="00077B6B"/>
    <w:rsid w:val="000C33B1"/>
    <w:rsid w:val="000D35CD"/>
    <w:rsid w:val="001375D7"/>
    <w:rsid w:val="00167138"/>
    <w:rsid w:val="0019477F"/>
    <w:rsid w:val="00205B88"/>
    <w:rsid w:val="0022103E"/>
    <w:rsid w:val="00245FBB"/>
    <w:rsid w:val="00250E30"/>
    <w:rsid w:val="002B2512"/>
    <w:rsid w:val="002C5DCF"/>
    <w:rsid w:val="002F1188"/>
    <w:rsid w:val="0030193C"/>
    <w:rsid w:val="003265A6"/>
    <w:rsid w:val="003E0241"/>
    <w:rsid w:val="00473017"/>
    <w:rsid w:val="00483300"/>
    <w:rsid w:val="004A2B41"/>
    <w:rsid w:val="00535B80"/>
    <w:rsid w:val="005A6198"/>
    <w:rsid w:val="006208B0"/>
    <w:rsid w:val="00632660"/>
    <w:rsid w:val="00640711"/>
    <w:rsid w:val="00661479"/>
    <w:rsid w:val="00676E85"/>
    <w:rsid w:val="00683B23"/>
    <w:rsid w:val="006B33BF"/>
    <w:rsid w:val="00754376"/>
    <w:rsid w:val="007C3F23"/>
    <w:rsid w:val="007E3B3F"/>
    <w:rsid w:val="00806108"/>
    <w:rsid w:val="00852AC6"/>
    <w:rsid w:val="00880573"/>
    <w:rsid w:val="009C2746"/>
    <w:rsid w:val="009E43D4"/>
    <w:rsid w:val="00AD3ADF"/>
    <w:rsid w:val="00AF05FD"/>
    <w:rsid w:val="00AF4AC8"/>
    <w:rsid w:val="00B74139"/>
    <w:rsid w:val="00B86C83"/>
    <w:rsid w:val="00BA238F"/>
    <w:rsid w:val="00C136A3"/>
    <w:rsid w:val="00D00214"/>
    <w:rsid w:val="00D066D6"/>
    <w:rsid w:val="00D4586C"/>
    <w:rsid w:val="00D4735F"/>
    <w:rsid w:val="00D90CC8"/>
    <w:rsid w:val="00DD4666"/>
    <w:rsid w:val="00DD7ADF"/>
    <w:rsid w:val="00E067FA"/>
    <w:rsid w:val="00E96B05"/>
    <w:rsid w:val="00EC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D4F5C-81A4-4C45-A715-F67A3E1C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7F"/>
    <w:pPr>
      <w:widowControl w:val="0"/>
      <w:spacing w:after="0" w:line="360" w:lineRule="auto"/>
      <w:jc w:val="both"/>
    </w:pPr>
    <w:rPr>
      <w:rFonts w:ascii="Arial" w:eastAsia="Times New Roman" w:hAnsi="Arial" w:cs="Arial"/>
      <w:spacing w:val="-3"/>
      <w:sz w:val="24"/>
      <w:szCs w:val="24"/>
      <w:lang w:val="en-GB"/>
    </w:rPr>
  </w:style>
  <w:style w:type="paragraph" w:styleId="Heading1">
    <w:name w:val="heading 1"/>
    <w:basedOn w:val="Normal"/>
    <w:next w:val="Normal"/>
    <w:link w:val="Heading1Char"/>
    <w:qFormat/>
    <w:rsid w:val="0019477F"/>
    <w:pPr>
      <w:numPr>
        <w:numId w:val="1"/>
      </w:numPr>
      <w:outlineLvl w:val="0"/>
    </w:pPr>
  </w:style>
  <w:style w:type="paragraph" w:styleId="Heading3">
    <w:name w:val="heading 3"/>
    <w:basedOn w:val="Normal"/>
    <w:next w:val="Normal"/>
    <w:link w:val="Heading3Char"/>
    <w:qFormat/>
    <w:rsid w:val="0019477F"/>
    <w:pPr>
      <w:numPr>
        <w:ilvl w:val="2"/>
        <w:numId w:val="1"/>
      </w:numPr>
      <w:tabs>
        <w:tab w:val="left" w:pos="2552"/>
      </w:tabs>
      <w:outlineLvl w:val="2"/>
    </w:pPr>
  </w:style>
  <w:style w:type="paragraph" w:styleId="Heading4">
    <w:name w:val="heading 4"/>
    <w:basedOn w:val="Normal"/>
    <w:next w:val="Normal"/>
    <w:link w:val="Heading4Char"/>
    <w:qFormat/>
    <w:rsid w:val="0019477F"/>
    <w:pPr>
      <w:numPr>
        <w:ilvl w:val="3"/>
        <w:numId w:val="1"/>
      </w:numPr>
      <w:tabs>
        <w:tab w:val="left" w:pos="3686"/>
      </w:tabs>
      <w:outlineLvl w:val="3"/>
    </w:pPr>
  </w:style>
  <w:style w:type="paragraph" w:styleId="Heading5">
    <w:name w:val="heading 5"/>
    <w:basedOn w:val="Normal"/>
    <w:next w:val="Normal"/>
    <w:link w:val="Heading5Char"/>
    <w:qFormat/>
    <w:rsid w:val="0019477F"/>
    <w:pPr>
      <w:numPr>
        <w:ilvl w:val="4"/>
        <w:numId w:val="1"/>
      </w:numPr>
      <w:outlineLvl w:val="4"/>
    </w:pPr>
  </w:style>
  <w:style w:type="paragraph" w:styleId="Heading6">
    <w:name w:val="heading 6"/>
    <w:basedOn w:val="Normal"/>
    <w:next w:val="Normal"/>
    <w:link w:val="Heading6Char"/>
    <w:qFormat/>
    <w:rsid w:val="0019477F"/>
    <w:pPr>
      <w:numPr>
        <w:ilvl w:val="5"/>
        <w:numId w:val="1"/>
      </w:numPr>
      <w:outlineLvl w:val="5"/>
    </w:pPr>
    <w:rPr>
      <w:i/>
      <w:sz w:val="22"/>
    </w:rPr>
  </w:style>
  <w:style w:type="paragraph" w:styleId="Heading7">
    <w:name w:val="heading 7"/>
    <w:basedOn w:val="Normal"/>
    <w:next w:val="Normal"/>
    <w:link w:val="Heading7Char"/>
    <w:qFormat/>
    <w:rsid w:val="0019477F"/>
    <w:pPr>
      <w:numPr>
        <w:ilvl w:val="6"/>
        <w:numId w:val="1"/>
      </w:numPr>
      <w:outlineLvl w:val="6"/>
    </w:pPr>
  </w:style>
  <w:style w:type="paragraph" w:styleId="Heading8">
    <w:name w:val="heading 8"/>
    <w:basedOn w:val="Normal"/>
    <w:next w:val="Normal"/>
    <w:link w:val="Heading8Char"/>
    <w:qFormat/>
    <w:rsid w:val="0019477F"/>
    <w:pPr>
      <w:numPr>
        <w:ilvl w:val="7"/>
        <w:numId w:val="1"/>
      </w:numPr>
      <w:outlineLvl w:val="7"/>
    </w:pPr>
    <w:rPr>
      <w:i/>
    </w:rPr>
  </w:style>
  <w:style w:type="paragraph" w:styleId="Heading9">
    <w:name w:val="heading 9"/>
    <w:basedOn w:val="Normal"/>
    <w:next w:val="Normal"/>
    <w:link w:val="Heading9Char"/>
    <w:qFormat/>
    <w:rsid w:val="0019477F"/>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77F"/>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19477F"/>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19477F"/>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19477F"/>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19477F"/>
    <w:rPr>
      <w:rFonts w:ascii="Arial" w:eastAsia="Times New Roman" w:hAnsi="Arial" w:cs="Arial"/>
      <w:i/>
      <w:spacing w:val="-3"/>
      <w:szCs w:val="24"/>
      <w:lang w:val="en-GB"/>
    </w:rPr>
  </w:style>
  <w:style w:type="character" w:customStyle="1" w:styleId="Heading7Char">
    <w:name w:val="Heading 7 Char"/>
    <w:basedOn w:val="DefaultParagraphFont"/>
    <w:link w:val="Heading7"/>
    <w:rsid w:val="0019477F"/>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19477F"/>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19477F"/>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19477F"/>
    <w:pPr>
      <w:tabs>
        <w:tab w:val="center" w:pos="4680"/>
        <w:tab w:val="right" w:pos="9360"/>
      </w:tabs>
      <w:spacing w:line="240" w:lineRule="auto"/>
    </w:pPr>
  </w:style>
  <w:style w:type="character" w:customStyle="1" w:styleId="HeaderChar">
    <w:name w:val="Header Char"/>
    <w:basedOn w:val="DefaultParagraphFont"/>
    <w:link w:val="Header"/>
    <w:uiPriority w:val="99"/>
    <w:rsid w:val="0019477F"/>
    <w:rPr>
      <w:rFonts w:ascii="Arial" w:eastAsia="Times New Roman" w:hAnsi="Arial" w:cs="Arial"/>
      <w:spacing w:val="-3"/>
      <w:sz w:val="24"/>
      <w:szCs w:val="24"/>
      <w:lang w:val="en-GB"/>
    </w:rPr>
  </w:style>
  <w:style w:type="paragraph" w:styleId="Footer">
    <w:name w:val="footer"/>
    <w:basedOn w:val="Normal"/>
    <w:link w:val="FooterChar"/>
    <w:uiPriority w:val="99"/>
    <w:unhideWhenUsed/>
    <w:rsid w:val="0019477F"/>
    <w:pPr>
      <w:tabs>
        <w:tab w:val="center" w:pos="4680"/>
        <w:tab w:val="right" w:pos="9360"/>
      </w:tabs>
      <w:spacing w:line="240" w:lineRule="auto"/>
    </w:pPr>
  </w:style>
  <w:style w:type="character" w:customStyle="1" w:styleId="FooterChar">
    <w:name w:val="Footer Char"/>
    <w:basedOn w:val="DefaultParagraphFont"/>
    <w:link w:val="Footer"/>
    <w:uiPriority w:val="99"/>
    <w:rsid w:val="0019477F"/>
    <w:rPr>
      <w:rFonts w:ascii="Arial" w:eastAsia="Times New Roman" w:hAnsi="Arial" w:cs="Arial"/>
      <w:spacing w:val="-3"/>
      <w:sz w:val="24"/>
      <w:szCs w:val="24"/>
      <w:lang w:val="en-GB"/>
    </w:rPr>
  </w:style>
  <w:style w:type="paragraph" w:styleId="FootnoteText">
    <w:name w:val="footnote text"/>
    <w:basedOn w:val="Normal"/>
    <w:link w:val="FootnoteTextChar"/>
    <w:uiPriority w:val="99"/>
    <w:semiHidden/>
    <w:unhideWhenUsed/>
    <w:rsid w:val="00245FBB"/>
    <w:pPr>
      <w:spacing w:line="240" w:lineRule="auto"/>
    </w:pPr>
    <w:rPr>
      <w:sz w:val="20"/>
      <w:szCs w:val="20"/>
    </w:rPr>
  </w:style>
  <w:style w:type="character" w:customStyle="1" w:styleId="FootnoteTextChar">
    <w:name w:val="Footnote Text Char"/>
    <w:basedOn w:val="DefaultParagraphFont"/>
    <w:link w:val="FootnoteText"/>
    <w:uiPriority w:val="99"/>
    <w:semiHidden/>
    <w:rsid w:val="00245FBB"/>
    <w:rPr>
      <w:rFonts w:ascii="Arial" w:eastAsia="Times New Roman" w:hAnsi="Arial" w:cs="Arial"/>
      <w:spacing w:val="-3"/>
      <w:sz w:val="20"/>
      <w:szCs w:val="20"/>
      <w:lang w:val="en-GB"/>
    </w:rPr>
  </w:style>
  <w:style w:type="character" w:styleId="FootnoteReference">
    <w:name w:val="footnote reference"/>
    <w:basedOn w:val="DefaultParagraphFont"/>
    <w:uiPriority w:val="99"/>
    <w:semiHidden/>
    <w:unhideWhenUsed/>
    <w:rsid w:val="00245FBB"/>
    <w:rPr>
      <w:vertAlign w:val="superscript"/>
    </w:rPr>
  </w:style>
  <w:style w:type="paragraph" w:styleId="BalloonText">
    <w:name w:val="Balloon Text"/>
    <w:basedOn w:val="Normal"/>
    <w:link w:val="BalloonTextChar"/>
    <w:uiPriority w:val="99"/>
    <w:semiHidden/>
    <w:unhideWhenUsed/>
    <w:rsid w:val="006326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660"/>
    <w:rPr>
      <w:rFonts w:ascii="Segoe UI" w:eastAsia="Times New Roman" w:hAnsi="Segoe UI" w:cs="Segoe UI"/>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2018-04-19T18:30:00+00:00</Judgment_x0020_Date>
    <Year xmlns="c1afb1bd-f2fb-40fd-9abb-aea55b4d7662">2018</Year>
  </documentManagement>
</p:properties>
</file>

<file path=customXml/itemProps1.xml><?xml version="1.0" encoding="utf-8"?>
<ds:datastoreItem xmlns:ds="http://schemas.openxmlformats.org/officeDocument/2006/customXml" ds:itemID="{1741A85B-5442-4A5F-B5A8-5447731ADAB7}"/>
</file>

<file path=customXml/itemProps2.xml><?xml version="1.0" encoding="utf-8"?>
<ds:datastoreItem xmlns:ds="http://schemas.openxmlformats.org/officeDocument/2006/customXml" ds:itemID="{BDF2ECA3-C245-4E8D-A5D6-F0E57CB08DB5}"/>
</file>

<file path=customXml/itemProps3.xml><?xml version="1.0" encoding="utf-8"?>
<ds:datastoreItem xmlns:ds="http://schemas.openxmlformats.org/officeDocument/2006/customXml" ds:itemID="{02CBEC83-694C-4A79-B32E-D03FA6A908D2}"/>
</file>

<file path=customXml/itemProps4.xml><?xml version="1.0" encoding="utf-8"?>
<ds:datastoreItem xmlns:ds="http://schemas.openxmlformats.org/officeDocument/2006/customXml" ds:itemID="{518EEAA4-5E55-4FB7-A847-7522AB495AB0}"/>
</file>

<file path=docProps/app.xml><?xml version="1.0" encoding="utf-8"?>
<Properties xmlns="http://schemas.openxmlformats.org/officeDocument/2006/extended-properties" xmlns:vt="http://schemas.openxmlformats.org/officeDocument/2006/docPropsVTypes">
  <Template>Normal</Template>
  <TotalTime>3</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Nangolo v Imene</dc:title>
  <dc:subject/>
  <dc:creator>shomany keister</dc:creator>
  <cp:keywords/>
  <dc:description/>
  <cp:lastModifiedBy>Nicole Januarie</cp:lastModifiedBy>
  <cp:revision>3</cp:revision>
  <cp:lastPrinted>2018-04-23T12:37:00Z</cp:lastPrinted>
  <dcterms:created xsi:type="dcterms:W3CDTF">2018-04-27T07:01:00Z</dcterms:created>
  <dcterms:modified xsi:type="dcterms:W3CDTF">2018-04-27T07:55:00Z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