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0E1" w:rsidRPr="00942B75" w:rsidRDefault="002310E1" w:rsidP="004C0134">
      <w:pPr>
        <w:tabs>
          <w:tab w:val="center" w:pos="4513"/>
          <w:tab w:val="left" w:pos="8220"/>
        </w:tabs>
        <w:spacing w:after="0" w:line="360" w:lineRule="auto"/>
        <w:jc w:val="center"/>
        <w:rPr>
          <w:rFonts w:ascii="Arial" w:eastAsia="Calibri" w:hAnsi="Arial" w:cs="Arial"/>
          <w:b/>
          <w:sz w:val="24"/>
          <w:szCs w:val="24"/>
          <w:lang w:val="en-ZA"/>
        </w:rPr>
      </w:pPr>
      <w:r w:rsidRPr="00942B75">
        <w:rPr>
          <w:rFonts w:ascii="Arial" w:eastAsia="Calibri" w:hAnsi="Arial" w:cs="Arial"/>
          <w:b/>
          <w:sz w:val="24"/>
          <w:szCs w:val="24"/>
          <w:lang w:val="en-ZA"/>
        </w:rPr>
        <w:t>REPUBLIC OF NAMIBIA</w:t>
      </w:r>
    </w:p>
    <w:p w:rsidR="002310E1" w:rsidRPr="00942B75" w:rsidRDefault="002310E1" w:rsidP="004C0134">
      <w:pPr>
        <w:spacing w:after="0" w:line="360" w:lineRule="auto"/>
        <w:jc w:val="center"/>
        <w:rPr>
          <w:rFonts w:ascii="Calibri" w:eastAsia="Calibri" w:hAnsi="Calibri" w:cs="Times New Roman"/>
          <w:b/>
          <w:sz w:val="32"/>
          <w:szCs w:val="32"/>
          <w:lang w:val="en-ZA"/>
        </w:rPr>
      </w:pPr>
      <w:r w:rsidRPr="00942B75">
        <w:rPr>
          <w:rFonts w:ascii="Calibri" w:eastAsia="Calibri" w:hAnsi="Calibri" w:cs="Times New Roman"/>
          <w:b/>
          <w:noProof/>
          <w:sz w:val="32"/>
          <w:szCs w:val="32"/>
        </w:rPr>
        <w:drawing>
          <wp:inline distT="0" distB="0" distL="0" distR="0" wp14:anchorId="00464A8A" wp14:editId="23A647A8">
            <wp:extent cx="1276350" cy="1323975"/>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2310E1" w:rsidRPr="00942B75" w:rsidRDefault="002310E1" w:rsidP="004C0134">
      <w:pPr>
        <w:spacing w:after="0" w:line="360" w:lineRule="auto"/>
        <w:jc w:val="center"/>
        <w:rPr>
          <w:rFonts w:ascii="Arial" w:eastAsia="Calibri" w:hAnsi="Arial" w:cs="Arial"/>
          <w:bCs/>
          <w:sz w:val="24"/>
          <w:szCs w:val="24"/>
          <w:lang w:val="en-ZA"/>
        </w:rPr>
      </w:pPr>
      <w:r w:rsidRPr="00942B75">
        <w:rPr>
          <w:rFonts w:ascii="Arial" w:eastAsia="Calibri" w:hAnsi="Arial" w:cs="Arial"/>
          <w:b/>
          <w:sz w:val="24"/>
          <w:szCs w:val="24"/>
          <w:lang w:val="en-ZA"/>
        </w:rPr>
        <w:t>HIGH COURT OF NAMIBIA MAIN DIVISION, WINDHOEK</w:t>
      </w:r>
    </w:p>
    <w:p w:rsidR="002310E1" w:rsidRPr="00942B75" w:rsidRDefault="002310E1" w:rsidP="004C0134">
      <w:pPr>
        <w:spacing w:after="0" w:line="360" w:lineRule="auto"/>
        <w:jc w:val="both"/>
        <w:rPr>
          <w:rFonts w:ascii="Arial" w:eastAsia="Calibri" w:hAnsi="Arial" w:cs="Arial"/>
          <w:b/>
          <w:sz w:val="24"/>
          <w:szCs w:val="24"/>
          <w:lang w:val="en-ZA"/>
        </w:rPr>
      </w:pPr>
    </w:p>
    <w:p w:rsidR="002310E1" w:rsidRPr="00942B75" w:rsidRDefault="002310E1" w:rsidP="004C0134">
      <w:pPr>
        <w:spacing w:after="0" w:line="360" w:lineRule="auto"/>
        <w:jc w:val="center"/>
        <w:rPr>
          <w:rFonts w:ascii="Arial" w:eastAsia="Calibri" w:hAnsi="Arial" w:cs="Arial"/>
          <w:b/>
          <w:sz w:val="24"/>
          <w:szCs w:val="24"/>
          <w:lang w:val="en-ZA"/>
        </w:rPr>
      </w:pPr>
      <w:r w:rsidRPr="00942B75">
        <w:rPr>
          <w:rFonts w:ascii="Arial" w:eastAsia="Calibri" w:hAnsi="Arial" w:cs="Arial"/>
          <w:b/>
          <w:sz w:val="24"/>
          <w:szCs w:val="24"/>
          <w:lang w:val="en-ZA"/>
        </w:rPr>
        <w:t>RULING: SUMMARY JUDGMENT</w:t>
      </w:r>
    </w:p>
    <w:p w:rsidR="002310E1" w:rsidRPr="00942B75" w:rsidRDefault="002310E1" w:rsidP="004C0134">
      <w:pPr>
        <w:tabs>
          <w:tab w:val="right" w:pos="9000"/>
        </w:tabs>
        <w:spacing w:after="0" w:line="360" w:lineRule="auto"/>
        <w:jc w:val="both"/>
        <w:rPr>
          <w:rFonts w:ascii="Arial" w:eastAsia="Calibri" w:hAnsi="Arial" w:cs="Arial"/>
          <w:b/>
          <w:sz w:val="24"/>
          <w:szCs w:val="24"/>
          <w:lang w:val="en-ZA"/>
        </w:rPr>
      </w:pPr>
    </w:p>
    <w:p w:rsidR="002310E1" w:rsidRPr="00B32A97" w:rsidRDefault="002310E1" w:rsidP="004C0134">
      <w:pPr>
        <w:tabs>
          <w:tab w:val="right" w:pos="9000"/>
        </w:tabs>
        <w:spacing w:after="0" w:line="360" w:lineRule="auto"/>
        <w:jc w:val="both"/>
        <w:rPr>
          <w:rFonts w:ascii="Arial" w:eastAsia="Calibri" w:hAnsi="Arial" w:cs="Arial"/>
          <w:sz w:val="24"/>
          <w:szCs w:val="24"/>
          <w:lang w:val="en-ZA"/>
        </w:rPr>
      </w:pPr>
      <w:r w:rsidRPr="00942B75">
        <w:rPr>
          <w:rFonts w:ascii="Arial" w:eastAsia="Calibri" w:hAnsi="Arial" w:cs="Arial"/>
          <w:b/>
          <w:sz w:val="24"/>
          <w:szCs w:val="24"/>
          <w:lang w:val="en-ZA"/>
        </w:rPr>
        <w:tab/>
      </w:r>
      <w:r w:rsidRPr="00942B75">
        <w:rPr>
          <w:rFonts w:ascii="Arial" w:eastAsia="Calibri" w:hAnsi="Arial" w:cs="Arial"/>
          <w:sz w:val="24"/>
          <w:szCs w:val="24"/>
          <w:lang w:val="en-ZA"/>
        </w:rPr>
        <w:t>Case no:</w:t>
      </w:r>
      <w:r w:rsidRPr="00942B75">
        <w:rPr>
          <w:rFonts w:ascii="Arial" w:eastAsia="Calibri" w:hAnsi="Arial" w:cs="Arial"/>
          <w:b/>
          <w:sz w:val="24"/>
          <w:szCs w:val="24"/>
          <w:lang w:val="en-ZA"/>
        </w:rPr>
        <w:t xml:space="preserve"> </w:t>
      </w:r>
      <w:r w:rsidRPr="00B32A97">
        <w:rPr>
          <w:rFonts w:ascii="Arial" w:hAnsi="Arial" w:cs="Arial"/>
          <w:sz w:val="24"/>
          <w:szCs w:val="24"/>
          <w:shd w:val="clear" w:color="auto" w:fill="FFFFFF"/>
        </w:rPr>
        <w:t>HC-MD-CIV-ACT-CON-</w:t>
      </w:r>
      <w:r w:rsidR="006355B0" w:rsidRPr="00B32A97">
        <w:rPr>
          <w:rFonts w:ascii="Arial" w:hAnsi="Arial" w:cs="Arial"/>
          <w:sz w:val="24"/>
          <w:szCs w:val="24"/>
          <w:shd w:val="clear" w:color="auto" w:fill="FFFFFF"/>
        </w:rPr>
        <w:t>2017-</w:t>
      </w:r>
      <w:r w:rsidRPr="00B32A97">
        <w:rPr>
          <w:rFonts w:ascii="Arial" w:hAnsi="Arial" w:cs="Arial"/>
          <w:sz w:val="24"/>
          <w:szCs w:val="24"/>
          <w:shd w:val="clear" w:color="auto" w:fill="FFFFFF"/>
        </w:rPr>
        <w:t>02972</w:t>
      </w:r>
    </w:p>
    <w:p w:rsidR="002310E1" w:rsidRPr="00942B75" w:rsidRDefault="002310E1" w:rsidP="004C0134">
      <w:pPr>
        <w:spacing w:after="0" w:line="360" w:lineRule="auto"/>
        <w:jc w:val="both"/>
        <w:rPr>
          <w:rFonts w:ascii="Arial" w:eastAsia="Calibri" w:hAnsi="Arial" w:cs="Arial"/>
          <w:sz w:val="24"/>
          <w:szCs w:val="24"/>
          <w:lang w:val="en-ZA"/>
        </w:rPr>
      </w:pPr>
    </w:p>
    <w:p w:rsidR="002310E1"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sz w:val="24"/>
          <w:szCs w:val="24"/>
          <w:lang w:val="en-ZA"/>
        </w:rPr>
        <w:t>In the matter between:</w:t>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r w:rsidRPr="00942B75">
        <w:rPr>
          <w:rFonts w:ascii="Arial" w:eastAsia="Calibri" w:hAnsi="Arial" w:cs="Arial"/>
          <w:sz w:val="24"/>
          <w:szCs w:val="24"/>
          <w:lang w:val="en-ZA"/>
        </w:rPr>
        <w:tab/>
      </w:r>
    </w:p>
    <w:p w:rsidR="002310E1" w:rsidRPr="00942B75" w:rsidRDefault="002310E1" w:rsidP="004C0134">
      <w:pPr>
        <w:tabs>
          <w:tab w:val="right" w:pos="9000"/>
        </w:tabs>
        <w:spacing w:after="0" w:line="360" w:lineRule="auto"/>
        <w:jc w:val="both"/>
        <w:rPr>
          <w:rFonts w:ascii="Arial" w:eastAsia="Calibri" w:hAnsi="Arial" w:cs="Arial"/>
          <w:b/>
          <w:sz w:val="24"/>
          <w:szCs w:val="24"/>
          <w:lang w:val="en-GB"/>
        </w:rPr>
      </w:pPr>
      <w:r w:rsidRPr="00942B75">
        <w:rPr>
          <w:rFonts w:ascii="Arial" w:hAnsi="Arial" w:cs="Arial"/>
          <w:b/>
          <w:sz w:val="24"/>
          <w:szCs w:val="24"/>
          <w:shd w:val="clear" w:color="auto" w:fill="FFFFFF"/>
        </w:rPr>
        <w:t>ZONE FOUR ELECTRICAL CONTRACTORS CC</w:t>
      </w:r>
      <w:r w:rsidRPr="00942B75">
        <w:rPr>
          <w:rFonts w:ascii="Arial" w:eastAsia="Calibri" w:hAnsi="Arial" w:cs="Arial"/>
          <w:b/>
          <w:sz w:val="24"/>
          <w:szCs w:val="24"/>
          <w:lang w:val="en-GB"/>
        </w:rPr>
        <w:tab/>
      </w:r>
      <w:r w:rsidR="00EF7054">
        <w:rPr>
          <w:rFonts w:ascii="Arial" w:eastAsia="Calibri" w:hAnsi="Arial" w:cs="Arial"/>
          <w:b/>
          <w:sz w:val="24"/>
          <w:szCs w:val="24"/>
          <w:lang w:val="en-GB"/>
        </w:rPr>
        <w:t xml:space="preserve"> </w:t>
      </w:r>
      <w:r w:rsidRPr="00942B75">
        <w:rPr>
          <w:rFonts w:ascii="Arial" w:eastAsia="Calibri" w:hAnsi="Arial" w:cs="Arial"/>
          <w:b/>
          <w:sz w:val="24"/>
          <w:szCs w:val="24"/>
          <w:lang w:val="en-GB"/>
        </w:rPr>
        <w:t>PLAINTIFF</w:t>
      </w:r>
    </w:p>
    <w:p w:rsidR="00B32A97" w:rsidRDefault="00B32A97" w:rsidP="004C0134">
      <w:pPr>
        <w:spacing w:after="0" w:line="360" w:lineRule="auto"/>
        <w:jc w:val="both"/>
        <w:rPr>
          <w:rFonts w:ascii="Arial" w:eastAsia="Calibri" w:hAnsi="Arial" w:cs="Arial"/>
          <w:sz w:val="24"/>
          <w:szCs w:val="24"/>
          <w:lang w:val="en-ZA"/>
        </w:rPr>
      </w:pPr>
    </w:p>
    <w:p w:rsidR="002310E1" w:rsidRDefault="00B32A97" w:rsidP="004C0134">
      <w:pPr>
        <w:spacing w:after="0" w:line="360" w:lineRule="auto"/>
        <w:jc w:val="both"/>
        <w:rPr>
          <w:rFonts w:ascii="Arial" w:eastAsia="Calibri" w:hAnsi="Arial" w:cs="Arial"/>
          <w:sz w:val="24"/>
          <w:szCs w:val="24"/>
          <w:lang w:val="en-ZA"/>
        </w:rPr>
      </w:pPr>
      <w:proofErr w:type="gramStart"/>
      <w:r>
        <w:rPr>
          <w:rFonts w:ascii="Arial" w:eastAsia="Calibri" w:hAnsi="Arial" w:cs="Arial"/>
          <w:sz w:val="24"/>
          <w:szCs w:val="24"/>
          <w:lang w:val="en-ZA"/>
        </w:rPr>
        <w:t>a</w:t>
      </w:r>
      <w:r w:rsidR="002310E1" w:rsidRPr="00942B75">
        <w:rPr>
          <w:rFonts w:ascii="Arial" w:eastAsia="Calibri" w:hAnsi="Arial" w:cs="Arial"/>
          <w:sz w:val="24"/>
          <w:szCs w:val="24"/>
          <w:lang w:val="en-ZA"/>
        </w:rPr>
        <w:t>nd</w:t>
      </w:r>
      <w:proofErr w:type="gramEnd"/>
    </w:p>
    <w:p w:rsidR="00B32A97" w:rsidRPr="00942B75" w:rsidRDefault="00B32A97" w:rsidP="004C0134">
      <w:pPr>
        <w:spacing w:after="0" w:line="360" w:lineRule="auto"/>
        <w:jc w:val="both"/>
        <w:rPr>
          <w:rFonts w:ascii="Arial" w:eastAsia="Calibri" w:hAnsi="Arial" w:cs="Arial"/>
          <w:sz w:val="24"/>
          <w:szCs w:val="24"/>
          <w:lang w:val="en-ZA"/>
        </w:rPr>
      </w:pP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hAnsi="Arial" w:cs="Arial"/>
          <w:b/>
          <w:sz w:val="24"/>
          <w:szCs w:val="24"/>
          <w:shd w:val="clear" w:color="auto" w:fill="FFFFFF"/>
        </w:rPr>
        <w:t>THE KUNENE REGIONAL COUNCIL</w:t>
      </w:r>
      <w:r w:rsidRPr="00942B75">
        <w:rPr>
          <w:rFonts w:ascii="Arial" w:eastAsia="Calibri" w:hAnsi="Arial" w:cs="Arial"/>
          <w:b/>
          <w:sz w:val="24"/>
          <w:szCs w:val="24"/>
          <w:lang w:val="en-ZA"/>
        </w:rPr>
        <w:tab/>
      </w:r>
      <w:r w:rsidR="00EF7054">
        <w:rPr>
          <w:rFonts w:ascii="Arial" w:eastAsia="Calibri" w:hAnsi="Arial" w:cs="Arial"/>
          <w:b/>
          <w:sz w:val="24"/>
          <w:szCs w:val="24"/>
          <w:lang w:val="en-ZA"/>
        </w:rPr>
        <w:t xml:space="preserve">   </w:t>
      </w:r>
      <w:r w:rsidRPr="00942B75">
        <w:rPr>
          <w:rFonts w:ascii="Arial" w:eastAsia="Calibri" w:hAnsi="Arial" w:cs="Arial"/>
          <w:b/>
          <w:sz w:val="24"/>
          <w:szCs w:val="24"/>
          <w:lang w:val="en-ZA"/>
        </w:rPr>
        <w:t>FIRST DEFENDANT</w:t>
      </w: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 xml:space="preserve">CHAIRPERSON OF THE REGIONAL TENDER BOARD FOR </w:t>
      </w:r>
    </w:p>
    <w:p w:rsidR="002310E1" w:rsidRPr="00942B75" w:rsidRDefault="004C0134"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THE KUNENE REGIONAL COUNCIL</w:t>
      </w:r>
      <w:r w:rsidR="002310E1" w:rsidRPr="00942B75">
        <w:rPr>
          <w:rFonts w:ascii="Arial" w:eastAsia="Calibri" w:hAnsi="Arial" w:cs="Arial"/>
          <w:b/>
          <w:sz w:val="24"/>
          <w:szCs w:val="24"/>
          <w:lang w:val="en-ZA"/>
        </w:rPr>
        <w:tab/>
      </w:r>
      <w:r w:rsidR="00EF7054">
        <w:rPr>
          <w:rFonts w:ascii="Arial" w:eastAsia="Calibri" w:hAnsi="Arial" w:cs="Arial"/>
          <w:b/>
          <w:sz w:val="24"/>
          <w:szCs w:val="24"/>
          <w:lang w:val="en-ZA"/>
        </w:rPr>
        <w:t xml:space="preserve">   </w:t>
      </w:r>
      <w:r w:rsidR="002310E1" w:rsidRPr="00942B75">
        <w:rPr>
          <w:rFonts w:ascii="Arial" w:eastAsia="Calibri" w:hAnsi="Arial" w:cs="Arial"/>
          <w:b/>
          <w:sz w:val="24"/>
          <w:szCs w:val="24"/>
          <w:lang w:val="en-ZA"/>
        </w:rPr>
        <w:t xml:space="preserve"> </w:t>
      </w:r>
      <w:r w:rsidR="00EF7054">
        <w:rPr>
          <w:rFonts w:ascii="Arial" w:eastAsia="Calibri" w:hAnsi="Arial" w:cs="Arial"/>
          <w:b/>
          <w:sz w:val="24"/>
          <w:szCs w:val="24"/>
          <w:lang w:val="en-ZA"/>
        </w:rPr>
        <w:t xml:space="preserve">  </w:t>
      </w:r>
      <w:r w:rsidR="002310E1" w:rsidRPr="00942B75">
        <w:rPr>
          <w:rFonts w:ascii="Arial" w:eastAsia="Calibri" w:hAnsi="Arial" w:cs="Arial"/>
          <w:b/>
          <w:sz w:val="24"/>
          <w:szCs w:val="24"/>
          <w:lang w:val="en-ZA"/>
        </w:rPr>
        <w:t xml:space="preserve"> SECOND DEFENDANT</w:t>
      </w: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THE MINISTER OF REGIONAL AND LOCAL</w:t>
      </w: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 xml:space="preserve">GOVERNMENT, HOUSING AND RURAL DEVELOPMENT    </w:t>
      </w:r>
      <w:r w:rsidR="00EF7054">
        <w:rPr>
          <w:rFonts w:ascii="Arial" w:eastAsia="Calibri" w:hAnsi="Arial" w:cs="Arial"/>
          <w:b/>
          <w:sz w:val="24"/>
          <w:szCs w:val="24"/>
          <w:lang w:val="en-ZA"/>
        </w:rPr>
        <w:t xml:space="preserve"> </w:t>
      </w:r>
      <w:r w:rsidRPr="00942B75">
        <w:rPr>
          <w:rFonts w:ascii="Arial" w:eastAsia="Calibri" w:hAnsi="Arial" w:cs="Arial"/>
          <w:b/>
          <w:sz w:val="24"/>
          <w:szCs w:val="24"/>
          <w:lang w:val="en-ZA"/>
        </w:rPr>
        <w:t xml:space="preserve">  THIRD DEFENDANT</w:t>
      </w: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 xml:space="preserve">THE GOVERNMENT OF THE REPUBLIC OF NAMIBIA       </w:t>
      </w:r>
      <w:r w:rsidR="00EF7054">
        <w:rPr>
          <w:rFonts w:ascii="Arial" w:eastAsia="Calibri" w:hAnsi="Arial" w:cs="Arial"/>
          <w:b/>
          <w:sz w:val="24"/>
          <w:szCs w:val="24"/>
          <w:lang w:val="en-ZA"/>
        </w:rPr>
        <w:t xml:space="preserve"> </w:t>
      </w:r>
      <w:r w:rsidRPr="00942B75">
        <w:rPr>
          <w:rFonts w:ascii="Arial" w:eastAsia="Calibri" w:hAnsi="Arial" w:cs="Arial"/>
          <w:b/>
          <w:sz w:val="24"/>
          <w:szCs w:val="24"/>
          <w:lang w:val="en-ZA"/>
        </w:rPr>
        <w:t xml:space="preserve"> FOURTH DEFENDANT</w:t>
      </w:r>
    </w:p>
    <w:p w:rsidR="002310E1" w:rsidRPr="00942B75" w:rsidRDefault="002310E1" w:rsidP="00B00CDD">
      <w:pPr>
        <w:tabs>
          <w:tab w:val="right" w:pos="9072"/>
        </w:tabs>
        <w:spacing w:before="240" w:after="0" w:line="360" w:lineRule="auto"/>
        <w:jc w:val="both"/>
        <w:rPr>
          <w:rFonts w:ascii="Arial" w:eastAsia="Calibri" w:hAnsi="Arial" w:cs="Arial"/>
          <w:b/>
          <w:sz w:val="24"/>
          <w:szCs w:val="24"/>
          <w:lang w:val="en-ZA"/>
        </w:rPr>
      </w:pPr>
      <w:r w:rsidRPr="00942B75">
        <w:rPr>
          <w:rFonts w:ascii="Arial" w:eastAsia="Calibri" w:hAnsi="Arial" w:cs="Arial"/>
          <w:b/>
          <w:sz w:val="24"/>
          <w:szCs w:val="24"/>
          <w:lang w:val="en-ZA"/>
        </w:rPr>
        <w:t xml:space="preserve">WML CONSULTING ENGINEERS (PTY) LTD                         </w:t>
      </w:r>
      <w:r w:rsidR="00EF7054">
        <w:rPr>
          <w:rFonts w:ascii="Arial" w:eastAsia="Calibri" w:hAnsi="Arial" w:cs="Arial"/>
          <w:b/>
          <w:sz w:val="24"/>
          <w:szCs w:val="24"/>
          <w:lang w:val="en-ZA"/>
        </w:rPr>
        <w:t xml:space="preserve">  </w:t>
      </w:r>
      <w:r w:rsidRPr="00942B75">
        <w:rPr>
          <w:rFonts w:ascii="Arial" w:eastAsia="Calibri" w:hAnsi="Arial" w:cs="Arial"/>
          <w:b/>
          <w:sz w:val="24"/>
          <w:szCs w:val="24"/>
          <w:lang w:val="en-ZA"/>
        </w:rPr>
        <w:t xml:space="preserve">   FIFTH DEFENDANT</w:t>
      </w:r>
    </w:p>
    <w:p w:rsidR="002310E1" w:rsidRPr="00942B75" w:rsidRDefault="002310E1" w:rsidP="004C0134">
      <w:pPr>
        <w:tabs>
          <w:tab w:val="right" w:pos="9072"/>
        </w:tabs>
        <w:spacing w:after="0" w:line="360" w:lineRule="auto"/>
        <w:jc w:val="both"/>
        <w:rPr>
          <w:rFonts w:ascii="Arial" w:eastAsia="Calibri" w:hAnsi="Arial" w:cs="Arial"/>
          <w:b/>
          <w:sz w:val="24"/>
          <w:szCs w:val="24"/>
          <w:lang w:val="en-ZA"/>
        </w:rPr>
      </w:pPr>
    </w:p>
    <w:p w:rsidR="002310E1" w:rsidRPr="00942B75" w:rsidRDefault="002310E1" w:rsidP="004C0134">
      <w:pPr>
        <w:spacing w:after="0" w:line="360" w:lineRule="auto"/>
        <w:jc w:val="both"/>
        <w:rPr>
          <w:rFonts w:ascii="Arial" w:eastAsia="Calibri" w:hAnsi="Arial" w:cs="Arial"/>
          <w:b/>
          <w:sz w:val="24"/>
          <w:szCs w:val="24"/>
          <w:u w:val="single"/>
          <w:lang w:val="en-ZA"/>
        </w:rPr>
      </w:pPr>
    </w:p>
    <w:p w:rsidR="002310E1" w:rsidRPr="00942B75" w:rsidRDefault="002310E1" w:rsidP="004A7843">
      <w:pPr>
        <w:spacing w:after="0" w:line="360" w:lineRule="auto"/>
        <w:ind w:hanging="2160"/>
        <w:jc w:val="both"/>
        <w:rPr>
          <w:rFonts w:ascii="Arial" w:eastAsia="Calibri" w:hAnsi="Arial" w:cs="Arial"/>
          <w:sz w:val="24"/>
          <w:szCs w:val="24"/>
        </w:rPr>
      </w:pPr>
      <w:r w:rsidRPr="00942B75">
        <w:rPr>
          <w:rFonts w:ascii="Arial" w:eastAsia="Calibri" w:hAnsi="Arial" w:cs="Arial"/>
          <w:b/>
          <w:sz w:val="24"/>
          <w:szCs w:val="24"/>
          <w:lang w:val="en-ZA"/>
        </w:rPr>
        <w:lastRenderedPageBreak/>
        <w:tab/>
        <w:t>Neutral citation:</w:t>
      </w:r>
      <w:r w:rsidRPr="00942B75">
        <w:rPr>
          <w:rFonts w:ascii="Arial" w:eastAsia="Calibri" w:hAnsi="Arial" w:cs="Arial"/>
          <w:b/>
          <w:sz w:val="24"/>
          <w:szCs w:val="24"/>
          <w:lang w:val="en-ZA"/>
        </w:rPr>
        <w:tab/>
      </w:r>
      <w:r w:rsidR="00624DB1" w:rsidRPr="00942B75">
        <w:rPr>
          <w:rFonts w:ascii="Arial" w:eastAsia="Calibri" w:hAnsi="Arial" w:cs="Arial"/>
          <w:i/>
          <w:sz w:val="24"/>
          <w:szCs w:val="24"/>
        </w:rPr>
        <w:t xml:space="preserve">Zone Four Electrical Contractors CC v The Kunene Regional Council </w:t>
      </w:r>
      <w:r w:rsidR="00332101" w:rsidRPr="00942B75">
        <w:rPr>
          <w:rFonts w:ascii="Arial" w:eastAsia="Calibri" w:hAnsi="Arial" w:cs="Arial"/>
          <w:sz w:val="24"/>
          <w:szCs w:val="24"/>
        </w:rPr>
        <w:t>(HC-MD-CIV-ACT-CON-2017/02972</w:t>
      </w:r>
      <w:r w:rsidR="006355B0" w:rsidRPr="00942B75">
        <w:rPr>
          <w:rFonts w:ascii="Arial" w:eastAsia="Calibri" w:hAnsi="Arial" w:cs="Arial"/>
          <w:sz w:val="24"/>
          <w:szCs w:val="24"/>
        </w:rPr>
        <w:t>) [2018] NAHCMD 111</w:t>
      </w:r>
      <w:r w:rsidR="00332101" w:rsidRPr="00942B75">
        <w:rPr>
          <w:rFonts w:ascii="Arial" w:eastAsia="Calibri" w:hAnsi="Arial" w:cs="Arial"/>
          <w:sz w:val="24"/>
          <w:szCs w:val="24"/>
        </w:rPr>
        <w:t xml:space="preserve"> (26 April 2018)</w:t>
      </w:r>
    </w:p>
    <w:p w:rsidR="00B00CDD" w:rsidRPr="00942B75" w:rsidRDefault="00B00CDD" w:rsidP="004A7843">
      <w:pPr>
        <w:spacing w:after="0" w:line="360" w:lineRule="auto"/>
        <w:ind w:hanging="2160"/>
        <w:jc w:val="both"/>
        <w:rPr>
          <w:rFonts w:ascii="Arial" w:eastAsia="Calibri" w:hAnsi="Arial" w:cs="Arial"/>
          <w:sz w:val="24"/>
          <w:szCs w:val="24"/>
          <w:lang w:val="en-ZA"/>
        </w:rPr>
      </w:pPr>
    </w:p>
    <w:p w:rsidR="004A7843" w:rsidRPr="00942B75" w:rsidRDefault="002310E1" w:rsidP="004C0134">
      <w:pPr>
        <w:spacing w:after="0" w:line="360" w:lineRule="auto"/>
        <w:jc w:val="both"/>
        <w:rPr>
          <w:rFonts w:ascii="Arial" w:eastAsia="Calibri" w:hAnsi="Arial" w:cs="Arial"/>
          <w:b/>
          <w:i/>
          <w:sz w:val="24"/>
          <w:szCs w:val="24"/>
          <w:lang w:val="en-ZA"/>
        </w:rPr>
      </w:pPr>
      <w:r w:rsidRPr="00942B75">
        <w:rPr>
          <w:rFonts w:ascii="Arial" w:eastAsia="Calibri" w:hAnsi="Arial" w:cs="Arial"/>
          <w:b/>
          <w:sz w:val="24"/>
          <w:szCs w:val="24"/>
          <w:lang w:val="en-ZA"/>
        </w:rPr>
        <w:t>Coram:</w:t>
      </w:r>
      <w:r w:rsidRPr="00942B75">
        <w:rPr>
          <w:rFonts w:ascii="Arial" w:eastAsia="Calibri" w:hAnsi="Arial" w:cs="Arial"/>
          <w:sz w:val="24"/>
          <w:szCs w:val="24"/>
          <w:lang w:val="en-ZA"/>
        </w:rPr>
        <w:tab/>
        <w:t>PRINSLOO J</w:t>
      </w:r>
    </w:p>
    <w:p w:rsidR="004A7843"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b/>
          <w:bCs/>
          <w:sz w:val="24"/>
          <w:szCs w:val="24"/>
          <w:lang w:val="en-ZA"/>
        </w:rPr>
        <w:t>Heard</w:t>
      </w:r>
      <w:r w:rsidRPr="00942B75">
        <w:rPr>
          <w:rFonts w:ascii="Arial" w:eastAsia="Calibri" w:hAnsi="Arial" w:cs="Arial"/>
          <w:sz w:val="24"/>
          <w:szCs w:val="24"/>
          <w:lang w:val="en-ZA"/>
        </w:rPr>
        <w:t>:</w:t>
      </w:r>
      <w:r w:rsidRPr="00942B75">
        <w:rPr>
          <w:rFonts w:ascii="Arial" w:eastAsia="Calibri" w:hAnsi="Arial" w:cs="Arial"/>
          <w:sz w:val="24"/>
          <w:szCs w:val="24"/>
          <w:lang w:val="en-ZA"/>
        </w:rPr>
        <w:tab/>
      </w:r>
      <w:r w:rsidRPr="00EF7054">
        <w:rPr>
          <w:rFonts w:ascii="Arial" w:eastAsia="Calibri" w:hAnsi="Arial" w:cs="Arial"/>
          <w:b/>
          <w:sz w:val="24"/>
          <w:szCs w:val="24"/>
          <w:lang w:val="en-ZA"/>
        </w:rPr>
        <w:t>23 March 2018</w:t>
      </w:r>
    </w:p>
    <w:p w:rsidR="004A7843"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b/>
          <w:bCs/>
          <w:sz w:val="24"/>
          <w:szCs w:val="24"/>
          <w:lang w:val="en-ZA"/>
        </w:rPr>
        <w:t>Delivered</w:t>
      </w:r>
      <w:r w:rsidRPr="00942B75">
        <w:rPr>
          <w:rFonts w:ascii="Arial" w:eastAsia="Calibri" w:hAnsi="Arial" w:cs="Arial"/>
          <w:sz w:val="24"/>
          <w:szCs w:val="24"/>
          <w:lang w:val="en-ZA"/>
        </w:rPr>
        <w:t>:</w:t>
      </w:r>
      <w:r w:rsidRPr="00942B75">
        <w:rPr>
          <w:rFonts w:ascii="Arial" w:eastAsia="Calibri" w:hAnsi="Arial" w:cs="Arial"/>
          <w:sz w:val="24"/>
          <w:szCs w:val="24"/>
          <w:lang w:val="en-ZA"/>
        </w:rPr>
        <w:tab/>
      </w:r>
      <w:r w:rsidRPr="00EF7054">
        <w:rPr>
          <w:rFonts w:ascii="Arial" w:eastAsia="Calibri" w:hAnsi="Arial" w:cs="Arial"/>
          <w:b/>
          <w:sz w:val="24"/>
          <w:szCs w:val="24"/>
          <w:lang w:val="en-ZA"/>
        </w:rPr>
        <w:t>25 April 2018</w:t>
      </w:r>
    </w:p>
    <w:p w:rsidR="002310E1"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b/>
          <w:sz w:val="24"/>
          <w:szCs w:val="24"/>
          <w:lang w:val="en-ZA"/>
        </w:rPr>
        <w:t>Reasons:</w:t>
      </w:r>
      <w:r w:rsidRPr="00942B75">
        <w:rPr>
          <w:rFonts w:ascii="Arial" w:eastAsia="Calibri" w:hAnsi="Arial" w:cs="Arial"/>
          <w:sz w:val="24"/>
          <w:szCs w:val="24"/>
          <w:lang w:val="en-ZA"/>
        </w:rPr>
        <w:t xml:space="preserve"> </w:t>
      </w:r>
      <w:r w:rsidRPr="00942B75">
        <w:rPr>
          <w:rFonts w:ascii="Arial" w:eastAsia="Calibri" w:hAnsi="Arial" w:cs="Arial"/>
          <w:sz w:val="24"/>
          <w:szCs w:val="24"/>
          <w:lang w:val="en-ZA"/>
        </w:rPr>
        <w:tab/>
      </w:r>
      <w:r w:rsidRPr="00EF7054">
        <w:rPr>
          <w:rFonts w:ascii="Arial" w:eastAsia="Calibri" w:hAnsi="Arial" w:cs="Arial"/>
          <w:b/>
          <w:sz w:val="24"/>
          <w:szCs w:val="24"/>
          <w:lang w:val="en-ZA"/>
        </w:rPr>
        <w:t>2</w:t>
      </w:r>
      <w:r w:rsidR="00EF7054" w:rsidRPr="00EF7054">
        <w:rPr>
          <w:rFonts w:ascii="Arial" w:eastAsia="Calibri" w:hAnsi="Arial" w:cs="Arial"/>
          <w:b/>
          <w:sz w:val="24"/>
          <w:szCs w:val="24"/>
          <w:lang w:val="en-ZA"/>
        </w:rPr>
        <w:t>6</w:t>
      </w:r>
      <w:r w:rsidRPr="00EF7054">
        <w:rPr>
          <w:rFonts w:ascii="Arial" w:eastAsia="Calibri" w:hAnsi="Arial" w:cs="Arial"/>
          <w:b/>
          <w:sz w:val="24"/>
          <w:szCs w:val="24"/>
          <w:lang w:val="en-ZA"/>
        </w:rPr>
        <w:t xml:space="preserve"> April 2018</w:t>
      </w:r>
    </w:p>
    <w:p w:rsidR="00B16A8F" w:rsidRPr="00942B75" w:rsidRDefault="00B16A8F" w:rsidP="004C0134">
      <w:pPr>
        <w:spacing w:after="0" w:line="360" w:lineRule="auto"/>
        <w:jc w:val="both"/>
        <w:rPr>
          <w:rFonts w:ascii="Arial" w:eastAsia="Calibri" w:hAnsi="Arial" w:cs="Arial"/>
          <w:sz w:val="24"/>
          <w:szCs w:val="24"/>
          <w:lang w:val="en-ZA"/>
        </w:rPr>
      </w:pPr>
    </w:p>
    <w:p w:rsidR="00B16A8F" w:rsidRPr="00942B75" w:rsidRDefault="00CA6800" w:rsidP="004C0134">
      <w:pPr>
        <w:spacing w:after="0" w:line="360" w:lineRule="auto"/>
        <w:jc w:val="both"/>
        <w:rPr>
          <w:rFonts w:ascii="Arial" w:eastAsia="Calibri" w:hAnsi="Arial" w:cs="Arial"/>
          <w:sz w:val="24"/>
          <w:szCs w:val="24"/>
          <w:lang w:val="en-ZA"/>
        </w:rPr>
      </w:pPr>
      <w:proofErr w:type="spellStart"/>
      <w:r w:rsidRPr="00B32A97">
        <w:rPr>
          <w:rFonts w:ascii="Arial" w:eastAsia="Calibri" w:hAnsi="Arial" w:cs="Arial"/>
          <w:b/>
          <w:sz w:val="24"/>
          <w:szCs w:val="24"/>
          <w:lang w:val="en-ZA"/>
        </w:rPr>
        <w:t>Flynote</w:t>
      </w:r>
      <w:proofErr w:type="spellEnd"/>
      <w:r w:rsidRPr="00B32A97">
        <w:rPr>
          <w:rFonts w:ascii="Arial" w:eastAsia="Calibri" w:hAnsi="Arial" w:cs="Arial"/>
          <w:b/>
          <w:sz w:val="24"/>
          <w:szCs w:val="24"/>
          <w:lang w:val="en-ZA"/>
        </w:rPr>
        <w:t>:</w:t>
      </w:r>
      <w:r w:rsidRPr="00942B75">
        <w:rPr>
          <w:rFonts w:ascii="Arial" w:eastAsia="Calibri" w:hAnsi="Arial" w:cs="Arial"/>
          <w:sz w:val="24"/>
          <w:szCs w:val="24"/>
          <w:lang w:val="en-ZA"/>
        </w:rPr>
        <w:tab/>
      </w:r>
      <w:r w:rsidR="00B16A8F" w:rsidRPr="00942B75">
        <w:rPr>
          <w:rFonts w:ascii="Arial" w:eastAsia="Calibri" w:hAnsi="Arial" w:cs="Arial"/>
          <w:sz w:val="24"/>
          <w:szCs w:val="24"/>
          <w:lang w:val="en-ZA"/>
        </w:rPr>
        <w:t>Civil Practice – Application and Motions – Summary Judgment – Opposition to — Requirements in terms of Rule 60 of the High Court rules — Respondent required to show and satisfy court that he/she had bona fide defence to claim — Material facts upon which defence based must be disclosed with sufficient particularity and completeness to enable court to decide whether bona fide defence disclosed — Not required to disclose all details as would be case in trial proceedings.</w:t>
      </w:r>
    </w:p>
    <w:p w:rsidR="00B16A8F" w:rsidRPr="00942B75" w:rsidRDefault="00B16A8F" w:rsidP="004C0134">
      <w:pPr>
        <w:spacing w:after="0" w:line="360" w:lineRule="auto"/>
        <w:jc w:val="both"/>
        <w:rPr>
          <w:rFonts w:ascii="Arial" w:eastAsia="Calibri" w:hAnsi="Arial" w:cs="Arial"/>
          <w:sz w:val="24"/>
          <w:szCs w:val="24"/>
          <w:lang w:val="en-ZA"/>
        </w:rPr>
      </w:pPr>
    </w:p>
    <w:p w:rsidR="00C420A8" w:rsidRPr="00942B75" w:rsidRDefault="00CA6800" w:rsidP="004C0134">
      <w:pPr>
        <w:tabs>
          <w:tab w:val="left" w:pos="720"/>
          <w:tab w:val="left" w:pos="2010"/>
        </w:tabs>
        <w:spacing w:after="0" w:line="360" w:lineRule="auto"/>
        <w:jc w:val="both"/>
        <w:rPr>
          <w:rFonts w:ascii="Arial" w:hAnsi="Arial" w:cs="Arial"/>
          <w:sz w:val="24"/>
          <w:szCs w:val="24"/>
        </w:rPr>
      </w:pPr>
      <w:r w:rsidRPr="00B32A97">
        <w:rPr>
          <w:rFonts w:ascii="Arial" w:eastAsia="Calibri" w:hAnsi="Arial" w:cs="Arial"/>
          <w:b/>
          <w:sz w:val="24"/>
          <w:szCs w:val="24"/>
          <w:lang w:val="en-ZA"/>
        </w:rPr>
        <w:t>Summary:</w:t>
      </w:r>
      <w:r w:rsidRPr="00942B75">
        <w:rPr>
          <w:rFonts w:ascii="Arial" w:eastAsia="Calibri" w:hAnsi="Arial" w:cs="Arial"/>
          <w:sz w:val="24"/>
          <w:szCs w:val="24"/>
          <w:lang w:val="en-ZA"/>
        </w:rPr>
        <w:t xml:space="preserve">        </w:t>
      </w:r>
      <w:r w:rsidRPr="00942B75">
        <w:rPr>
          <w:rFonts w:ascii="Arial" w:hAnsi="Arial" w:cs="Arial"/>
          <w:sz w:val="24"/>
          <w:szCs w:val="24"/>
        </w:rPr>
        <w:t>T</w:t>
      </w:r>
      <w:r w:rsidR="00C420A8" w:rsidRPr="00942B75">
        <w:rPr>
          <w:rFonts w:ascii="Arial" w:hAnsi="Arial" w:cs="Arial"/>
          <w:sz w:val="24"/>
          <w:szCs w:val="24"/>
        </w:rPr>
        <w:t xml:space="preserve">he plaintiff and the first defendant concluded a written agreement for the construction of electrical infrastructure in </w:t>
      </w:r>
      <w:proofErr w:type="spellStart"/>
      <w:r w:rsidR="00C420A8" w:rsidRPr="00942B75">
        <w:rPr>
          <w:rFonts w:ascii="Arial" w:hAnsi="Arial" w:cs="Arial"/>
          <w:sz w:val="24"/>
          <w:szCs w:val="24"/>
        </w:rPr>
        <w:t>Otuzemba</w:t>
      </w:r>
      <w:proofErr w:type="spellEnd"/>
      <w:r w:rsidR="00C420A8" w:rsidRPr="00942B75">
        <w:rPr>
          <w:rFonts w:ascii="Arial" w:hAnsi="Arial" w:cs="Arial"/>
          <w:sz w:val="24"/>
          <w:szCs w:val="24"/>
        </w:rPr>
        <w:t xml:space="preserve">, </w:t>
      </w:r>
      <w:proofErr w:type="spellStart"/>
      <w:r w:rsidR="00C420A8" w:rsidRPr="00942B75">
        <w:rPr>
          <w:rFonts w:ascii="Arial" w:hAnsi="Arial" w:cs="Arial"/>
          <w:sz w:val="24"/>
          <w:szCs w:val="24"/>
        </w:rPr>
        <w:t>Opuwa</w:t>
      </w:r>
      <w:proofErr w:type="spellEnd"/>
      <w:r w:rsidR="00C420A8" w:rsidRPr="00942B75">
        <w:rPr>
          <w:rFonts w:ascii="Arial" w:hAnsi="Arial" w:cs="Arial"/>
          <w:sz w:val="24"/>
          <w:szCs w:val="24"/>
        </w:rPr>
        <w:t xml:space="preserve">. In terms of the agreement, the plaintiff was appointed as the contractor and would carry out the work as set out in the agreement. Further in the agreement, the fifth defendant was appointed as the principal agent for the project and would oversee the progress of the project on behalf of the first defendant. The total remuneration in terms of the agreement that would be paid to the plaintiff once the project was completed would be NAD 5,232,214.30. </w:t>
      </w:r>
    </w:p>
    <w:p w:rsidR="00C420A8" w:rsidRPr="00942B75" w:rsidRDefault="00C420A8" w:rsidP="004C0134">
      <w:pPr>
        <w:tabs>
          <w:tab w:val="left" w:pos="720"/>
          <w:tab w:val="left" w:pos="2010"/>
        </w:tabs>
        <w:spacing w:after="0" w:line="360" w:lineRule="auto"/>
        <w:jc w:val="both"/>
        <w:rPr>
          <w:rFonts w:ascii="Arial" w:hAnsi="Arial" w:cs="Arial"/>
          <w:sz w:val="24"/>
          <w:szCs w:val="24"/>
        </w:rPr>
      </w:pPr>
    </w:p>
    <w:p w:rsidR="00C420A8" w:rsidRPr="00942B75" w:rsidRDefault="00C420A8" w:rsidP="004C0134">
      <w:pPr>
        <w:tabs>
          <w:tab w:val="left" w:pos="720"/>
          <w:tab w:val="left" w:pos="2010"/>
        </w:tabs>
        <w:spacing w:after="0" w:line="360" w:lineRule="auto"/>
        <w:jc w:val="both"/>
        <w:rPr>
          <w:rFonts w:ascii="Arial" w:hAnsi="Arial" w:cs="Arial"/>
          <w:sz w:val="24"/>
          <w:szCs w:val="24"/>
        </w:rPr>
      </w:pPr>
      <w:r w:rsidRPr="00942B75">
        <w:rPr>
          <w:rFonts w:ascii="Arial" w:hAnsi="Arial" w:cs="Arial"/>
          <w:sz w:val="24"/>
          <w:szCs w:val="24"/>
        </w:rPr>
        <w:t xml:space="preserve">Upon completion of the project, the fifth defendant would issue interim, penultimate and final payment certificates in regards to the progress of the works, for payment of the sum stated in the relevant certificate due to the plaintiff payable by the first defendant within the period stated in the relevant certificate. The afore-pleaded certificates, once duly issued, represent acknowledgments of debt. </w:t>
      </w:r>
    </w:p>
    <w:p w:rsidR="00C420A8" w:rsidRPr="00942B75" w:rsidRDefault="00C420A8" w:rsidP="004C0134">
      <w:pPr>
        <w:tabs>
          <w:tab w:val="left" w:pos="720"/>
          <w:tab w:val="left" w:pos="2010"/>
        </w:tabs>
        <w:spacing w:after="0" w:line="360" w:lineRule="auto"/>
        <w:jc w:val="both"/>
        <w:rPr>
          <w:rFonts w:ascii="Arial" w:hAnsi="Arial" w:cs="Arial"/>
          <w:sz w:val="24"/>
          <w:szCs w:val="24"/>
        </w:rPr>
      </w:pPr>
    </w:p>
    <w:p w:rsidR="00C420A8" w:rsidRPr="00942B75" w:rsidRDefault="00C420A8" w:rsidP="004C0134">
      <w:pPr>
        <w:tabs>
          <w:tab w:val="left" w:pos="720"/>
          <w:tab w:val="left" w:pos="2010"/>
        </w:tabs>
        <w:spacing w:after="0" w:line="360" w:lineRule="auto"/>
        <w:jc w:val="both"/>
        <w:rPr>
          <w:rFonts w:ascii="Arial" w:hAnsi="Arial" w:cs="Arial"/>
          <w:sz w:val="24"/>
          <w:szCs w:val="24"/>
        </w:rPr>
      </w:pPr>
      <w:r w:rsidRPr="00942B75">
        <w:rPr>
          <w:rFonts w:ascii="Arial" w:hAnsi="Arial" w:cs="Arial"/>
          <w:sz w:val="24"/>
          <w:szCs w:val="24"/>
        </w:rPr>
        <w:lastRenderedPageBreak/>
        <w:t>The plaintiff duly complied with the terms of the agreement and finalized the project. The fifth defendant (acting as agent for the first defendant) issued a final payment certificate in the amount of NAD 286,867.17 (annexure ZF to the particulars of claim).</w:t>
      </w:r>
    </w:p>
    <w:p w:rsidR="00C420A8" w:rsidRPr="00942B75" w:rsidRDefault="00C420A8" w:rsidP="004C0134">
      <w:pPr>
        <w:tabs>
          <w:tab w:val="left" w:pos="720"/>
          <w:tab w:val="left" w:pos="2010"/>
        </w:tabs>
        <w:spacing w:after="0" w:line="360" w:lineRule="auto"/>
        <w:jc w:val="both"/>
        <w:rPr>
          <w:rFonts w:ascii="Arial" w:hAnsi="Arial" w:cs="Arial"/>
          <w:sz w:val="24"/>
          <w:szCs w:val="24"/>
        </w:rPr>
      </w:pPr>
    </w:p>
    <w:p w:rsidR="00C420A8" w:rsidRPr="00942B75" w:rsidRDefault="00C420A8" w:rsidP="004C0134">
      <w:pPr>
        <w:tabs>
          <w:tab w:val="left" w:pos="720"/>
          <w:tab w:val="left" w:pos="2010"/>
        </w:tabs>
        <w:spacing w:after="0" w:line="360" w:lineRule="auto"/>
        <w:jc w:val="both"/>
        <w:rPr>
          <w:rFonts w:ascii="Arial" w:hAnsi="Arial" w:cs="Arial"/>
          <w:sz w:val="24"/>
          <w:szCs w:val="24"/>
        </w:rPr>
      </w:pPr>
      <w:r w:rsidRPr="00942B75">
        <w:rPr>
          <w:rFonts w:ascii="Arial" w:hAnsi="Arial" w:cs="Arial"/>
          <w:sz w:val="24"/>
          <w:szCs w:val="24"/>
        </w:rPr>
        <w:t>The first defendant breached the terms of the agreement and final payment certificate, in failing to pay the plaintiff the amount of NAD 286,867.17.</w:t>
      </w:r>
    </w:p>
    <w:p w:rsidR="00002804" w:rsidRPr="00942B75" w:rsidRDefault="00002804" w:rsidP="004C0134">
      <w:pPr>
        <w:tabs>
          <w:tab w:val="left" w:pos="720"/>
          <w:tab w:val="left" w:pos="2010"/>
        </w:tabs>
        <w:spacing w:after="0" w:line="360" w:lineRule="auto"/>
        <w:jc w:val="both"/>
        <w:rPr>
          <w:rFonts w:ascii="Arial" w:hAnsi="Arial" w:cs="Arial"/>
          <w:sz w:val="24"/>
          <w:szCs w:val="24"/>
        </w:rPr>
      </w:pPr>
    </w:p>
    <w:p w:rsidR="00002804" w:rsidRPr="00942B75" w:rsidRDefault="00002804" w:rsidP="004C0134">
      <w:pPr>
        <w:pStyle w:val="Header"/>
        <w:tabs>
          <w:tab w:val="left" w:pos="720"/>
        </w:tabs>
        <w:rPr>
          <w:bCs/>
          <w:lang w:val="en-GB"/>
        </w:rPr>
      </w:pPr>
      <w:r w:rsidRPr="00942B75">
        <w:rPr>
          <w:bCs/>
          <w:lang w:val="en-GB"/>
        </w:rPr>
        <w:t xml:space="preserve">The first defendant in its defence argues that the plaintiff failed to comply with the peremptory provision as set out in Rule 45(7) to attach the written contract relied upon, which renders the plaintiff’s claim and/or summons defective as it constitutes an irregular proceeding. </w:t>
      </w:r>
    </w:p>
    <w:p w:rsidR="00002804" w:rsidRPr="00942B75" w:rsidRDefault="00002804" w:rsidP="004C0134">
      <w:pPr>
        <w:tabs>
          <w:tab w:val="left" w:pos="720"/>
          <w:tab w:val="left" w:pos="2010"/>
        </w:tabs>
        <w:spacing w:after="0" w:line="360" w:lineRule="auto"/>
        <w:jc w:val="both"/>
        <w:rPr>
          <w:rFonts w:ascii="Arial" w:hAnsi="Arial" w:cs="Arial"/>
          <w:sz w:val="24"/>
          <w:szCs w:val="24"/>
        </w:rPr>
      </w:pPr>
    </w:p>
    <w:p w:rsidR="00C420A8" w:rsidRPr="00942B75" w:rsidRDefault="00B35FE2" w:rsidP="004A7843">
      <w:pPr>
        <w:pStyle w:val="Header"/>
        <w:tabs>
          <w:tab w:val="left" w:pos="720"/>
        </w:tabs>
        <w:rPr>
          <w:bCs/>
          <w:lang w:val="en-GB"/>
        </w:rPr>
      </w:pPr>
      <w:r w:rsidRPr="00942B75">
        <w:rPr>
          <w:i/>
        </w:rPr>
        <w:t>Held</w:t>
      </w:r>
      <w:r w:rsidRPr="00942B75">
        <w:t xml:space="preserve"> – </w:t>
      </w:r>
      <w:r w:rsidRPr="00942B75">
        <w:rPr>
          <w:bCs/>
          <w:lang w:val="en-GB"/>
        </w:rPr>
        <w:t xml:space="preserve">the defence raised in terms of Rule 45(7) is purely technical and has no merits. </w:t>
      </w:r>
    </w:p>
    <w:p w:rsidR="004A7843" w:rsidRPr="00942B75" w:rsidRDefault="004A7843" w:rsidP="004A7843">
      <w:pPr>
        <w:pStyle w:val="Header"/>
        <w:tabs>
          <w:tab w:val="left" w:pos="720"/>
        </w:tabs>
        <w:rPr>
          <w:bCs/>
          <w:lang w:val="en-GB"/>
        </w:rPr>
      </w:pPr>
    </w:p>
    <w:p w:rsidR="00C420A8" w:rsidRPr="00942B75" w:rsidRDefault="00C420A8" w:rsidP="004C0134">
      <w:pPr>
        <w:spacing w:after="0" w:line="360" w:lineRule="auto"/>
        <w:jc w:val="both"/>
        <w:rPr>
          <w:rFonts w:ascii="Arial" w:eastAsia="Calibri" w:hAnsi="Arial" w:cs="Arial"/>
          <w:sz w:val="24"/>
          <w:szCs w:val="24"/>
          <w:lang w:val="en-ZA"/>
        </w:rPr>
      </w:pPr>
      <w:r w:rsidRPr="00942B75">
        <w:rPr>
          <w:rFonts w:ascii="Arial" w:eastAsia="Calibri" w:hAnsi="Arial" w:cs="Arial"/>
          <w:i/>
          <w:sz w:val="24"/>
          <w:szCs w:val="24"/>
          <w:lang w:val="en-ZA"/>
        </w:rPr>
        <w:t>Held</w:t>
      </w:r>
      <w:r w:rsidRPr="00942B75">
        <w:rPr>
          <w:rFonts w:ascii="Arial" w:eastAsia="Calibri" w:hAnsi="Arial" w:cs="Arial"/>
          <w:sz w:val="24"/>
          <w:szCs w:val="24"/>
          <w:lang w:val="en-ZA"/>
        </w:rPr>
        <w:t xml:space="preserve"> – S</w:t>
      </w:r>
      <w:proofErr w:type="spellStart"/>
      <w:r w:rsidRPr="00942B75">
        <w:rPr>
          <w:rFonts w:ascii="Arial" w:eastAsia="Calibri" w:hAnsi="Arial" w:cs="Arial"/>
          <w:bCs/>
          <w:sz w:val="24"/>
          <w:szCs w:val="24"/>
          <w:lang w:val="en-GB"/>
        </w:rPr>
        <w:t>ummary</w:t>
      </w:r>
      <w:proofErr w:type="spellEnd"/>
      <w:r w:rsidRPr="00942B75">
        <w:rPr>
          <w:rFonts w:ascii="Arial" w:eastAsia="Calibri" w:hAnsi="Arial" w:cs="Arial"/>
          <w:bCs/>
          <w:sz w:val="24"/>
          <w:szCs w:val="24"/>
          <w:lang w:val="en-GB"/>
        </w:rPr>
        <w:t xml:space="preserve"> judgment procedure is not intended to shut the defendant out from defending his claim however it is very clear that it has no sustainable defence in this matter</w:t>
      </w:r>
    </w:p>
    <w:p w:rsidR="002310E1"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sz w:val="24"/>
          <w:szCs w:val="24"/>
          <w:lang w:val="en-ZA"/>
        </w:rPr>
        <w:t>___________________________________________________________________</w:t>
      </w:r>
    </w:p>
    <w:p w:rsidR="002310E1" w:rsidRPr="00942B75" w:rsidRDefault="002310E1" w:rsidP="004C0134">
      <w:pPr>
        <w:spacing w:after="0" w:line="360" w:lineRule="auto"/>
        <w:jc w:val="center"/>
        <w:rPr>
          <w:rFonts w:ascii="Arial" w:eastAsia="Calibri" w:hAnsi="Arial" w:cs="Arial"/>
          <w:b/>
          <w:sz w:val="24"/>
          <w:szCs w:val="24"/>
          <w:lang w:val="en-ZA"/>
        </w:rPr>
      </w:pPr>
      <w:r w:rsidRPr="00942B75">
        <w:rPr>
          <w:rFonts w:ascii="Arial" w:eastAsia="Calibri" w:hAnsi="Arial" w:cs="Arial"/>
          <w:b/>
          <w:sz w:val="24"/>
          <w:szCs w:val="24"/>
          <w:lang w:val="en-ZA"/>
        </w:rPr>
        <w:t>ORDER</w:t>
      </w:r>
    </w:p>
    <w:p w:rsidR="002310E1" w:rsidRPr="00942B75" w:rsidRDefault="002310E1" w:rsidP="004C0134">
      <w:pPr>
        <w:spacing w:after="0" w:line="360" w:lineRule="auto"/>
        <w:jc w:val="both"/>
        <w:rPr>
          <w:rFonts w:ascii="Arial" w:eastAsia="Calibri" w:hAnsi="Arial" w:cs="Arial"/>
          <w:sz w:val="24"/>
          <w:szCs w:val="24"/>
          <w:lang w:val="en-ZA"/>
        </w:rPr>
      </w:pPr>
      <w:r w:rsidRPr="00942B75">
        <w:rPr>
          <w:rFonts w:ascii="Arial" w:eastAsia="Calibri" w:hAnsi="Arial" w:cs="Arial"/>
          <w:sz w:val="24"/>
          <w:szCs w:val="24"/>
          <w:lang w:val="en-ZA"/>
        </w:rPr>
        <w:t>___________________________________________________________________</w:t>
      </w:r>
    </w:p>
    <w:p w:rsidR="001B59CD" w:rsidRPr="00942B75" w:rsidRDefault="001B59CD" w:rsidP="004A7843">
      <w:pPr>
        <w:pStyle w:val="Header"/>
        <w:tabs>
          <w:tab w:val="left" w:pos="720"/>
        </w:tabs>
        <w:rPr>
          <w:bCs/>
          <w:lang w:val="en-GB"/>
        </w:rPr>
      </w:pPr>
      <w:r w:rsidRPr="00942B75">
        <w:rPr>
          <w:bCs/>
          <w:lang w:val="en-GB"/>
        </w:rPr>
        <w:t xml:space="preserve">Application for summary judgment is granted against the First Defendant in the following terms: </w:t>
      </w:r>
    </w:p>
    <w:p w:rsidR="001B59CD" w:rsidRPr="00942B75" w:rsidRDefault="001B59CD" w:rsidP="004C0134">
      <w:pPr>
        <w:pStyle w:val="Header"/>
        <w:numPr>
          <w:ilvl w:val="0"/>
          <w:numId w:val="3"/>
        </w:numPr>
        <w:tabs>
          <w:tab w:val="left" w:pos="720"/>
        </w:tabs>
        <w:rPr>
          <w:bCs/>
          <w:lang w:val="en-GB"/>
        </w:rPr>
      </w:pPr>
      <w:r w:rsidRPr="00942B75">
        <w:rPr>
          <w:bCs/>
          <w:lang w:val="en-GB"/>
        </w:rPr>
        <w:t xml:space="preserve">Payment in the amount of NAD </w:t>
      </w:r>
      <w:r w:rsidRPr="00942B75">
        <w:t>286,867.19;</w:t>
      </w:r>
    </w:p>
    <w:p w:rsidR="001B59CD" w:rsidRPr="00942B75" w:rsidRDefault="001B59CD" w:rsidP="004C0134">
      <w:pPr>
        <w:pStyle w:val="Header"/>
        <w:numPr>
          <w:ilvl w:val="0"/>
          <w:numId w:val="3"/>
        </w:numPr>
        <w:tabs>
          <w:tab w:val="left" w:pos="720"/>
        </w:tabs>
      </w:pPr>
      <w:r w:rsidRPr="00942B75">
        <w:t xml:space="preserve">Interest on the aforesaid amount at the rate of 20% per annum </w:t>
      </w:r>
      <w:r w:rsidRPr="00942B75">
        <w:rPr>
          <w:i/>
        </w:rPr>
        <w:t>a tempore morae</w:t>
      </w:r>
      <w:r w:rsidRPr="00942B75">
        <w:t xml:space="preserve"> from date of judgment to date of final payment; </w:t>
      </w:r>
    </w:p>
    <w:p w:rsidR="002310E1" w:rsidRPr="00942B75" w:rsidRDefault="001B59CD" w:rsidP="004A7843">
      <w:pPr>
        <w:pStyle w:val="Header"/>
        <w:numPr>
          <w:ilvl w:val="0"/>
          <w:numId w:val="3"/>
        </w:numPr>
        <w:tabs>
          <w:tab w:val="left" w:pos="720"/>
        </w:tabs>
      </w:pPr>
      <w:r w:rsidRPr="00942B75">
        <w:t>Cost to include cost of one instructed and one instructing counsel limited to Rule 32(11).</w:t>
      </w:r>
    </w:p>
    <w:p w:rsidR="00CA6800" w:rsidRPr="00942B75" w:rsidRDefault="00CA6800" w:rsidP="00CA6800">
      <w:pPr>
        <w:pStyle w:val="Header"/>
        <w:tabs>
          <w:tab w:val="left" w:pos="720"/>
        </w:tabs>
      </w:pPr>
    </w:p>
    <w:p w:rsidR="00CA6800" w:rsidRPr="00942B75" w:rsidRDefault="00CA6800" w:rsidP="00CA6800">
      <w:pPr>
        <w:pStyle w:val="Header"/>
        <w:tabs>
          <w:tab w:val="left" w:pos="720"/>
        </w:tabs>
      </w:pPr>
    </w:p>
    <w:p w:rsidR="00B32A97" w:rsidRDefault="00B32A97" w:rsidP="00CA6800">
      <w:pPr>
        <w:pStyle w:val="Header"/>
        <w:tabs>
          <w:tab w:val="left" w:pos="720"/>
        </w:tabs>
      </w:pPr>
    </w:p>
    <w:p w:rsidR="00B32A97" w:rsidRPr="00942B75" w:rsidRDefault="00B32A97" w:rsidP="00CA6800">
      <w:pPr>
        <w:pStyle w:val="Header"/>
        <w:tabs>
          <w:tab w:val="left" w:pos="720"/>
        </w:tabs>
      </w:pPr>
    </w:p>
    <w:p w:rsidR="002310E1" w:rsidRPr="00B32A97" w:rsidRDefault="002310E1" w:rsidP="004C0134">
      <w:pPr>
        <w:pBdr>
          <w:bottom w:val="single" w:sz="12" w:space="1" w:color="auto"/>
        </w:pBdr>
        <w:spacing w:after="0" w:line="360" w:lineRule="auto"/>
        <w:jc w:val="both"/>
        <w:rPr>
          <w:rFonts w:ascii="Arial" w:eastAsia="Calibri" w:hAnsi="Arial" w:cs="Arial"/>
          <w:b/>
          <w:sz w:val="24"/>
          <w:szCs w:val="24"/>
          <w:lang w:val="en-ZA"/>
        </w:rPr>
      </w:pPr>
      <w:r w:rsidRPr="00B32A97">
        <w:rPr>
          <w:rFonts w:ascii="Arial" w:eastAsia="Calibri" w:hAnsi="Arial" w:cs="Arial"/>
          <w:b/>
          <w:sz w:val="24"/>
          <w:szCs w:val="24"/>
          <w:lang w:val="en-ZA"/>
        </w:rPr>
        <w:lastRenderedPageBreak/>
        <w:t>______________________________________________________________________</w:t>
      </w:r>
    </w:p>
    <w:p w:rsidR="002310E1" w:rsidRPr="00942B75" w:rsidRDefault="002310E1" w:rsidP="004C0134">
      <w:pPr>
        <w:pBdr>
          <w:bottom w:val="single" w:sz="12" w:space="1" w:color="auto"/>
        </w:pBdr>
        <w:spacing w:after="0" w:line="360" w:lineRule="auto"/>
        <w:jc w:val="both"/>
        <w:rPr>
          <w:rFonts w:ascii="Arial" w:eastAsia="Calibri" w:hAnsi="Arial" w:cs="Arial"/>
          <w:sz w:val="24"/>
          <w:szCs w:val="24"/>
          <w:lang w:val="en-ZA"/>
        </w:rPr>
      </w:pPr>
    </w:p>
    <w:p w:rsidR="002310E1" w:rsidRPr="00942B75" w:rsidRDefault="002310E1" w:rsidP="004C0134">
      <w:pPr>
        <w:pBdr>
          <w:bottom w:val="single" w:sz="12" w:space="1" w:color="auto"/>
        </w:pBdr>
        <w:spacing w:after="0" w:line="360" w:lineRule="auto"/>
        <w:jc w:val="center"/>
        <w:rPr>
          <w:rFonts w:ascii="Arial" w:eastAsia="Calibri" w:hAnsi="Arial" w:cs="Arial"/>
          <w:b/>
          <w:sz w:val="24"/>
          <w:szCs w:val="24"/>
          <w:lang w:val="en-ZA"/>
        </w:rPr>
      </w:pPr>
      <w:r w:rsidRPr="00942B75">
        <w:rPr>
          <w:rFonts w:ascii="Arial" w:eastAsia="Calibri" w:hAnsi="Arial" w:cs="Arial"/>
          <w:b/>
          <w:sz w:val="24"/>
          <w:szCs w:val="24"/>
          <w:lang w:val="en-ZA"/>
        </w:rPr>
        <w:t>JUDGMENT</w:t>
      </w:r>
    </w:p>
    <w:p w:rsidR="002310E1" w:rsidRPr="00942B75" w:rsidRDefault="002310E1" w:rsidP="004C0134">
      <w:pPr>
        <w:spacing w:after="0" w:line="360" w:lineRule="auto"/>
        <w:jc w:val="both"/>
        <w:rPr>
          <w:rFonts w:ascii="Arial" w:hAnsi="Arial" w:cs="Arial"/>
          <w:sz w:val="24"/>
          <w:szCs w:val="24"/>
        </w:rPr>
      </w:pPr>
      <w:r w:rsidRPr="00942B75">
        <w:rPr>
          <w:rFonts w:ascii="Arial" w:hAnsi="Arial" w:cs="Arial"/>
          <w:sz w:val="24"/>
          <w:szCs w:val="24"/>
        </w:rPr>
        <w:t>Prinsloo J</w:t>
      </w:r>
      <w:r w:rsidR="00B32A97">
        <w:rPr>
          <w:rFonts w:ascii="Arial" w:hAnsi="Arial" w:cs="Arial"/>
          <w:sz w:val="24"/>
          <w:szCs w:val="24"/>
        </w:rPr>
        <w:t>:</w:t>
      </w:r>
    </w:p>
    <w:p w:rsidR="002310E1" w:rsidRPr="00942B75" w:rsidRDefault="002310E1" w:rsidP="004C0134">
      <w:pPr>
        <w:spacing w:after="0" w:line="360" w:lineRule="auto"/>
        <w:jc w:val="both"/>
        <w:rPr>
          <w:rFonts w:ascii="Arial" w:hAnsi="Arial" w:cs="Arial"/>
          <w:sz w:val="24"/>
          <w:szCs w:val="24"/>
        </w:rPr>
      </w:pPr>
    </w:p>
    <w:p w:rsidR="002310E1" w:rsidRDefault="004A7843" w:rsidP="004C0134">
      <w:pPr>
        <w:spacing w:after="0" w:line="360" w:lineRule="auto"/>
        <w:jc w:val="both"/>
        <w:rPr>
          <w:rFonts w:ascii="Arial" w:hAnsi="Arial" w:cs="Arial"/>
          <w:sz w:val="24"/>
          <w:szCs w:val="24"/>
          <w:u w:val="single"/>
        </w:rPr>
      </w:pPr>
      <w:r w:rsidRPr="00942B75">
        <w:rPr>
          <w:rFonts w:ascii="Arial" w:hAnsi="Arial" w:cs="Arial"/>
          <w:sz w:val="24"/>
          <w:szCs w:val="24"/>
          <w:u w:val="single"/>
        </w:rPr>
        <w:t>Introduction</w:t>
      </w:r>
    </w:p>
    <w:p w:rsidR="00B32A97" w:rsidRPr="00942B75" w:rsidRDefault="00B32A97" w:rsidP="004C0134">
      <w:pPr>
        <w:spacing w:after="0" w:line="360" w:lineRule="auto"/>
        <w:jc w:val="both"/>
        <w:rPr>
          <w:rFonts w:ascii="Arial" w:hAnsi="Arial" w:cs="Arial"/>
          <w:sz w:val="24"/>
          <w:szCs w:val="24"/>
          <w:u w:val="single"/>
        </w:rPr>
      </w:pPr>
    </w:p>
    <w:p w:rsidR="00F5788B" w:rsidRPr="00942B75" w:rsidRDefault="002310E1" w:rsidP="004C0134">
      <w:pPr>
        <w:spacing w:after="0" w:line="360" w:lineRule="auto"/>
        <w:jc w:val="both"/>
        <w:rPr>
          <w:rFonts w:ascii="Arial" w:hAnsi="Arial" w:cs="Arial"/>
          <w:sz w:val="24"/>
          <w:szCs w:val="24"/>
        </w:rPr>
      </w:pPr>
      <w:r w:rsidRPr="00942B75">
        <w:rPr>
          <w:rFonts w:ascii="Arial" w:hAnsi="Arial" w:cs="Arial"/>
          <w:sz w:val="24"/>
          <w:szCs w:val="24"/>
        </w:rPr>
        <w:t>[1]</w:t>
      </w:r>
      <w:r w:rsidRPr="00942B75">
        <w:rPr>
          <w:rFonts w:ascii="Arial" w:hAnsi="Arial" w:cs="Arial"/>
          <w:sz w:val="24"/>
          <w:szCs w:val="24"/>
        </w:rPr>
        <w:tab/>
        <w:t xml:space="preserve">The plaintiff is the applicant in the application for summary judgment, launched on 25 January 2018. </w:t>
      </w:r>
      <w:r w:rsidR="00F5788B" w:rsidRPr="00942B75">
        <w:rPr>
          <w:rFonts w:ascii="Arial" w:hAnsi="Arial" w:cs="Arial"/>
          <w:sz w:val="24"/>
          <w:szCs w:val="24"/>
        </w:rPr>
        <w:t xml:space="preserve">The application for summary judgment followed the first defendant’s noting of its </w:t>
      </w:r>
      <w:proofErr w:type="spellStart"/>
      <w:r w:rsidR="00F5788B" w:rsidRPr="00942B75">
        <w:rPr>
          <w:rFonts w:ascii="Arial" w:hAnsi="Arial" w:cs="Arial"/>
          <w:sz w:val="24"/>
          <w:szCs w:val="24"/>
        </w:rPr>
        <w:t>defence</w:t>
      </w:r>
      <w:proofErr w:type="spellEnd"/>
      <w:r w:rsidR="00F5788B" w:rsidRPr="00942B75">
        <w:rPr>
          <w:rFonts w:ascii="Arial" w:hAnsi="Arial" w:cs="Arial"/>
          <w:sz w:val="24"/>
          <w:szCs w:val="24"/>
        </w:rPr>
        <w:t xml:space="preserve"> to an action initiated on 17 August 201</w:t>
      </w:r>
      <w:r w:rsidR="0021583D" w:rsidRPr="00942B75">
        <w:rPr>
          <w:rFonts w:ascii="Arial" w:hAnsi="Arial" w:cs="Arial"/>
          <w:sz w:val="24"/>
          <w:szCs w:val="24"/>
        </w:rPr>
        <w:t>7</w:t>
      </w:r>
      <w:r w:rsidR="00F5788B" w:rsidRPr="00942B75">
        <w:rPr>
          <w:rFonts w:ascii="Arial" w:hAnsi="Arial" w:cs="Arial"/>
          <w:sz w:val="24"/>
          <w:szCs w:val="24"/>
        </w:rPr>
        <w:t>.</w:t>
      </w:r>
    </w:p>
    <w:p w:rsidR="00F5788B" w:rsidRPr="00942B75" w:rsidRDefault="00F5788B" w:rsidP="004C0134">
      <w:pPr>
        <w:spacing w:after="0" w:line="360" w:lineRule="auto"/>
        <w:jc w:val="both"/>
        <w:rPr>
          <w:rFonts w:ascii="Arial" w:hAnsi="Arial" w:cs="Arial"/>
          <w:sz w:val="24"/>
          <w:szCs w:val="24"/>
        </w:rPr>
      </w:pPr>
    </w:p>
    <w:p w:rsidR="002310E1" w:rsidRPr="00942B75" w:rsidRDefault="00F5788B" w:rsidP="004C0134">
      <w:pPr>
        <w:spacing w:after="0" w:line="360" w:lineRule="auto"/>
        <w:jc w:val="both"/>
        <w:rPr>
          <w:rFonts w:ascii="Arial" w:hAnsi="Arial" w:cs="Arial"/>
          <w:sz w:val="24"/>
          <w:szCs w:val="24"/>
        </w:rPr>
      </w:pPr>
      <w:r w:rsidRPr="00942B75">
        <w:rPr>
          <w:rFonts w:ascii="Arial" w:hAnsi="Arial" w:cs="Arial"/>
          <w:sz w:val="24"/>
          <w:szCs w:val="24"/>
        </w:rPr>
        <w:t>[2]</w:t>
      </w:r>
      <w:r w:rsidRPr="00942B75">
        <w:rPr>
          <w:rFonts w:ascii="Arial" w:hAnsi="Arial" w:cs="Arial"/>
          <w:sz w:val="24"/>
          <w:szCs w:val="24"/>
        </w:rPr>
        <w:tab/>
      </w:r>
      <w:r w:rsidR="002310E1" w:rsidRPr="00942B75">
        <w:rPr>
          <w:rFonts w:ascii="Arial" w:hAnsi="Arial" w:cs="Arial"/>
          <w:sz w:val="24"/>
          <w:szCs w:val="24"/>
        </w:rPr>
        <w:t>Summary judgment is sought against the first defendant for payment in the amount of NAD 286,867.19 plus interest and costs</w:t>
      </w:r>
      <w:r w:rsidR="002310E1" w:rsidRPr="00942B75">
        <w:rPr>
          <w:rStyle w:val="FootnoteReference"/>
          <w:rFonts w:ascii="Arial" w:hAnsi="Arial" w:cs="Arial"/>
          <w:sz w:val="24"/>
          <w:szCs w:val="24"/>
        </w:rPr>
        <w:footnoteReference w:id="1"/>
      </w:r>
      <w:r w:rsidR="002310E1" w:rsidRPr="00942B75">
        <w:rPr>
          <w:rFonts w:ascii="Arial" w:hAnsi="Arial" w:cs="Arial"/>
          <w:sz w:val="24"/>
          <w:szCs w:val="24"/>
        </w:rPr>
        <w:t xml:space="preserve">. </w:t>
      </w:r>
    </w:p>
    <w:p w:rsidR="00F5788B" w:rsidRPr="00942B75" w:rsidRDefault="00F5788B" w:rsidP="004C0134">
      <w:pPr>
        <w:spacing w:after="0" w:line="360" w:lineRule="auto"/>
        <w:jc w:val="both"/>
        <w:rPr>
          <w:rFonts w:ascii="Arial" w:hAnsi="Arial" w:cs="Arial"/>
          <w:i/>
          <w:sz w:val="24"/>
          <w:szCs w:val="24"/>
        </w:rPr>
      </w:pPr>
    </w:p>
    <w:p w:rsidR="00F5788B" w:rsidRPr="00B32A97" w:rsidRDefault="009507E1" w:rsidP="004C0134">
      <w:pPr>
        <w:spacing w:after="0" w:line="360" w:lineRule="auto"/>
        <w:jc w:val="both"/>
        <w:rPr>
          <w:rFonts w:ascii="Arial" w:hAnsi="Arial" w:cs="Arial"/>
          <w:sz w:val="24"/>
          <w:szCs w:val="24"/>
          <w:u w:val="single"/>
        </w:rPr>
      </w:pPr>
      <w:r w:rsidRPr="00B32A97">
        <w:rPr>
          <w:rFonts w:ascii="Arial" w:hAnsi="Arial" w:cs="Arial"/>
          <w:sz w:val="24"/>
          <w:szCs w:val="24"/>
          <w:u w:val="single"/>
        </w:rPr>
        <w:t>T</w:t>
      </w:r>
      <w:r w:rsidR="00B32A97">
        <w:rPr>
          <w:rFonts w:ascii="Arial" w:hAnsi="Arial" w:cs="Arial"/>
          <w:sz w:val="24"/>
          <w:szCs w:val="24"/>
          <w:u w:val="single"/>
        </w:rPr>
        <w:t>he Plaintiff’s cause of Action</w:t>
      </w:r>
    </w:p>
    <w:p w:rsidR="00B32A97" w:rsidRPr="00942B75" w:rsidRDefault="00B32A97" w:rsidP="004C0134">
      <w:pPr>
        <w:spacing w:after="0" w:line="360" w:lineRule="auto"/>
        <w:jc w:val="both"/>
        <w:rPr>
          <w:rFonts w:ascii="Arial" w:hAnsi="Arial" w:cs="Arial"/>
          <w:i/>
          <w:sz w:val="24"/>
          <w:szCs w:val="24"/>
        </w:rPr>
      </w:pPr>
    </w:p>
    <w:p w:rsidR="004A7843" w:rsidRPr="00942B75" w:rsidRDefault="00F5788B" w:rsidP="004C0134">
      <w:pPr>
        <w:tabs>
          <w:tab w:val="left" w:pos="720"/>
          <w:tab w:val="left" w:pos="2010"/>
        </w:tabs>
        <w:spacing w:after="0" w:line="360" w:lineRule="auto"/>
        <w:jc w:val="both"/>
        <w:rPr>
          <w:rFonts w:ascii="Arial" w:hAnsi="Arial" w:cs="Arial"/>
          <w:sz w:val="24"/>
          <w:szCs w:val="24"/>
        </w:rPr>
      </w:pPr>
      <w:r w:rsidRPr="00942B75">
        <w:rPr>
          <w:rFonts w:ascii="Arial" w:hAnsi="Arial" w:cs="Arial"/>
          <w:sz w:val="24"/>
          <w:szCs w:val="24"/>
        </w:rPr>
        <w:t>[3]</w:t>
      </w:r>
      <w:r w:rsidRPr="00942B75">
        <w:rPr>
          <w:rFonts w:ascii="Arial" w:hAnsi="Arial" w:cs="Arial"/>
          <w:sz w:val="24"/>
          <w:szCs w:val="24"/>
        </w:rPr>
        <w:tab/>
        <w:t xml:space="preserve">The cause of action against the first defendant essentially entails the following: </w:t>
      </w:r>
    </w:p>
    <w:p w:rsidR="00F5788B" w:rsidRDefault="004A7843" w:rsidP="004C0134">
      <w:pPr>
        <w:tabs>
          <w:tab w:val="left" w:pos="720"/>
          <w:tab w:val="left" w:pos="2010"/>
        </w:tabs>
        <w:spacing w:after="0" w:line="360" w:lineRule="auto"/>
        <w:jc w:val="both"/>
        <w:rPr>
          <w:rFonts w:ascii="Arial" w:hAnsi="Arial" w:cs="Arial"/>
          <w:sz w:val="24"/>
          <w:szCs w:val="24"/>
        </w:rPr>
      </w:pPr>
      <w:r w:rsidRPr="00942B75">
        <w:rPr>
          <w:rFonts w:ascii="Arial" w:hAnsi="Arial" w:cs="Arial"/>
          <w:sz w:val="24"/>
          <w:szCs w:val="24"/>
        </w:rPr>
        <w:t xml:space="preserve">a) </w:t>
      </w:r>
      <w:r w:rsidR="00F5788B" w:rsidRPr="00942B75">
        <w:rPr>
          <w:rFonts w:ascii="Arial" w:hAnsi="Arial" w:cs="Arial"/>
          <w:sz w:val="24"/>
          <w:szCs w:val="24"/>
        </w:rPr>
        <w:t xml:space="preserve"> During or about 19 July 2011 the plaintiff (represented by the Mr. Leonard Asser in his capacity as the sole member of the plaintiff) and the first Defendant (represented by Mr. </w:t>
      </w:r>
      <w:proofErr w:type="spellStart"/>
      <w:r w:rsidR="00F5788B" w:rsidRPr="00942B75">
        <w:rPr>
          <w:rFonts w:ascii="Arial" w:hAnsi="Arial" w:cs="Arial"/>
          <w:sz w:val="24"/>
          <w:szCs w:val="24"/>
        </w:rPr>
        <w:t>Katoma</w:t>
      </w:r>
      <w:proofErr w:type="spellEnd"/>
      <w:r w:rsidR="00F5788B" w:rsidRPr="00942B75">
        <w:rPr>
          <w:rFonts w:ascii="Arial" w:hAnsi="Arial" w:cs="Arial"/>
          <w:sz w:val="24"/>
          <w:szCs w:val="24"/>
        </w:rPr>
        <w:t xml:space="preserve">) concluded a written agreement for and in relation to the provision of electrical infrastructure by the plaintiff in </w:t>
      </w:r>
      <w:proofErr w:type="spellStart"/>
      <w:r w:rsidR="00F5788B" w:rsidRPr="00942B75">
        <w:rPr>
          <w:rFonts w:ascii="Arial" w:hAnsi="Arial" w:cs="Arial"/>
          <w:sz w:val="24"/>
          <w:szCs w:val="24"/>
        </w:rPr>
        <w:t>Otuzemba</w:t>
      </w:r>
      <w:proofErr w:type="spellEnd"/>
      <w:r w:rsidR="00F5788B" w:rsidRPr="00942B75">
        <w:rPr>
          <w:rFonts w:ascii="Arial" w:hAnsi="Arial" w:cs="Arial"/>
          <w:sz w:val="24"/>
          <w:szCs w:val="24"/>
        </w:rPr>
        <w:t xml:space="preserve">, </w:t>
      </w:r>
      <w:proofErr w:type="spellStart"/>
      <w:r w:rsidR="00F5788B" w:rsidRPr="00942B75">
        <w:rPr>
          <w:rFonts w:ascii="Arial" w:hAnsi="Arial" w:cs="Arial"/>
          <w:sz w:val="24"/>
          <w:szCs w:val="24"/>
        </w:rPr>
        <w:t>Opuwa</w:t>
      </w:r>
      <w:proofErr w:type="spellEnd"/>
      <w:r w:rsidR="00F5788B" w:rsidRPr="00942B75">
        <w:rPr>
          <w:rFonts w:ascii="Arial" w:hAnsi="Arial" w:cs="Arial"/>
          <w:sz w:val="24"/>
          <w:szCs w:val="24"/>
        </w:rPr>
        <w:t xml:space="preserve"> Town</w:t>
      </w:r>
      <w:r w:rsidR="00C96151" w:rsidRPr="00942B75">
        <w:rPr>
          <w:rFonts w:ascii="Arial" w:hAnsi="Arial" w:cs="Arial"/>
          <w:sz w:val="24"/>
          <w:szCs w:val="24"/>
        </w:rPr>
        <w:t xml:space="preserve"> (the project)</w:t>
      </w:r>
      <w:r w:rsidR="00F5788B" w:rsidRPr="00942B75">
        <w:rPr>
          <w:rFonts w:ascii="Arial" w:hAnsi="Arial" w:cs="Arial"/>
          <w:sz w:val="24"/>
          <w:szCs w:val="24"/>
        </w:rPr>
        <w:t xml:space="preserve">.  In terms of the agreement: </w:t>
      </w:r>
    </w:p>
    <w:p w:rsidR="00B32A97" w:rsidRPr="00942B75" w:rsidRDefault="00B32A97" w:rsidP="004C0134">
      <w:pPr>
        <w:tabs>
          <w:tab w:val="left" w:pos="720"/>
          <w:tab w:val="left" w:pos="2010"/>
        </w:tabs>
        <w:spacing w:after="0" w:line="360" w:lineRule="auto"/>
        <w:jc w:val="both"/>
        <w:rPr>
          <w:rFonts w:ascii="Arial" w:hAnsi="Arial" w:cs="Arial"/>
          <w:sz w:val="24"/>
          <w:szCs w:val="24"/>
        </w:rPr>
      </w:pPr>
    </w:p>
    <w:p w:rsidR="00F5788B" w:rsidRPr="00B32A97" w:rsidRDefault="00C96151" w:rsidP="00B32A97">
      <w:pPr>
        <w:pStyle w:val="ListParagraph"/>
        <w:numPr>
          <w:ilvl w:val="0"/>
          <w:numId w:val="5"/>
        </w:numPr>
        <w:tabs>
          <w:tab w:val="left" w:pos="0"/>
          <w:tab w:val="left" w:pos="2010"/>
        </w:tabs>
        <w:spacing w:after="0" w:line="360" w:lineRule="auto"/>
        <w:ind w:left="720"/>
        <w:jc w:val="both"/>
        <w:rPr>
          <w:rFonts w:ascii="Arial" w:hAnsi="Arial" w:cs="Arial"/>
          <w:sz w:val="24"/>
          <w:szCs w:val="24"/>
        </w:rPr>
      </w:pPr>
      <w:r w:rsidRPr="00B32A97">
        <w:rPr>
          <w:rFonts w:ascii="Arial" w:hAnsi="Arial" w:cs="Arial"/>
          <w:sz w:val="24"/>
          <w:szCs w:val="24"/>
        </w:rPr>
        <w:t>the plaintiff was appointed as the contractor and would carry out the work more fully set out in the agreement, specifically the project;</w:t>
      </w:r>
    </w:p>
    <w:p w:rsidR="00B32A97" w:rsidRPr="00B32A97" w:rsidRDefault="00B32A97" w:rsidP="00B32A97">
      <w:pPr>
        <w:pStyle w:val="ListParagraph"/>
        <w:tabs>
          <w:tab w:val="left" w:pos="0"/>
          <w:tab w:val="left" w:pos="2010"/>
        </w:tabs>
        <w:spacing w:after="0" w:line="360" w:lineRule="auto"/>
        <w:ind w:left="1080"/>
        <w:jc w:val="both"/>
        <w:rPr>
          <w:rFonts w:ascii="Arial" w:hAnsi="Arial" w:cs="Arial"/>
          <w:sz w:val="24"/>
          <w:szCs w:val="24"/>
        </w:rPr>
      </w:pPr>
    </w:p>
    <w:p w:rsidR="004A7843" w:rsidRPr="00942B75" w:rsidRDefault="004A7843" w:rsidP="00B32A97">
      <w:pPr>
        <w:tabs>
          <w:tab w:val="left" w:pos="0"/>
          <w:tab w:val="left" w:pos="2010"/>
        </w:tabs>
        <w:spacing w:after="0" w:line="360" w:lineRule="auto"/>
        <w:jc w:val="both"/>
        <w:rPr>
          <w:rFonts w:ascii="Arial" w:hAnsi="Arial" w:cs="Arial"/>
          <w:sz w:val="24"/>
          <w:szCs w:val="24"/>
        </w:rPr>
      </w:pPr>
      <w:r w:rsidRPr="00942B75">
        <w:rPr>
          <w:rFonts w:ascii="Arial" w:hAnsi="Arial" w:cs="Arial"/>
          <w:sz w:val="24"/>
          <w:szCs w:val="24"/>
        </w:rPr>
        <w:t xml:space="preserve">ii) </w:t>
      </w:r>
      <w:proofErr w:type="gramStart"/>
      <w:r w:rsidR="00C96151" w:rsidRPr="00942B75">
        <w:rPr>
          <w:rFonts w:ascii="Arial" w:hAnsi="Arial" w:cs="Arial"/>
          <w:sz w:val="24"/>
          <w:szCs w:val="24"/>
        </w:rPr>
        <w:t>the</w:t>
      </w:r>
      <w:proofErr w:type="gramEnd"/>
      <w:r w:rsidR="00C96151" w:rsidRPr="00942B75">
        <w:rPr>
          <w:rFonts w:ascii="Arial" w:hAnsi="Arial" w:cs="Arial"/>
          <w:sz w:val="24"/>
          <w:szCs w:val="24"/>
        </w:rPr>
        <w:t xml:space="preserve"> fifth defendant was appointed as the principal agent for the project and would oversee the progress of the project on behalf of the first defendant; </w:t>
      </w:r>
    </w:p>
    <w:p w:rsidR="00C96151" w:rsidRPr="00B32A97" w:rsidRDefault="00C96151" w:rsidP="00B32A97">
      <w:pPr>
        <w:pStyle w:val="ListParagraph"/>
        <w:numPr>
          <w:ilvl w:val="0"/>
          <w:numId w:val="5"/>
        </w:numPr>
        <w:tabs>
          <w:tab w:val="left" w:pos="0"/>
          <w:tab w:val="left" w:pos="2010"/>
        </w:tabs>
        <w:spacing w:after="0" w:line="360" w:lineRule="auto"/>
        <w:ind w:left="720"/>
        <w:jc w:val="both"/>
        <w:rPr>
          <w:rFonts w:ascii="Arial" w:hAnsi="Arial" w:cs="Arial"/>
          <w:sz w:val="24"/>
          <w:szCs w:val="24"/>
        </w:rPr>
      </w:pPr>
      <w:r w:rsidRPr="00B32A97">
        <w:rPr>
          <w:rFonts w:ascii="Arial" w:hAnsi="Arial" w:cs="Arial"/>
          <w:sz w:val="24"/>
          <w:szCs w:val="24"/>
        </w:rPr>
        <w:lastRenderedPageBreak/>
        <w:t>the total remuneration in terms of the agreement that would be paid to the plaintiff in terms of the agreement was NAD 5,232,214.30;</w:t>
      </w:r>
    </w:p>
    <w:p w:rsidR="00B32A97" w:rsidRPr="00B32A97" w:rsidRDefault="00B32A97" w:rsidP="00B32A97">
      <w:pPr>
        <w:pStyle w:val="ListParagraph"/>
        <w:tabs>
          <w:tab w:val="left" w:pos="0"/>
          <w:tab w:val="left" w:pos="2010"/>
        </w:tabs>
        <w:spacing w:after="0" w:line="360" w:lineRule="auto"/>
        <w:ind w:left="1080"/>
        <w:jc w:val="both"/>
        <w:rPr>
          <w:rFonts w:ascii="Arial" w:hAnsi="Arial" w:cs="Arial"/>
          <w:sz w:val="24"/>
          <w:szCs w:val="24"/>
        </w:rPr>
      </w:pPr>
    </w:p>
    <w:p w:rsidR="00C96151" w:rsidRPr="00B32A97" w:rsidRDefault="00C96151" w:rsidP="00B32A97">
      <w:pPr>
        <w:pStyle w:val="ListParagraph"/>
        <w:numPr>
          <w:ilvl w:val="0"/>
          <w:numId w:val="5"/>
        </w:numPr>
        <w:tabs>
          <w:tab w:val="left" w:pos="0"/>
          <w:tab w:val="left" w:pos="2010"/>
        </w:tabs>
        <w:spacing w:after="0" w:line="360" w:lineRule="auto"/>
        <w:ind w:left="720"/>
        <w:jc w:val="both"/>
        <w:rPr>
          <w:rFonts w:ascii="Arial" w:hAnsi="Arial" w:cs="Arial"/>
          <w:sz w:val="24"/>
          <w:szCs w:val="24"/>
        </w:rPr>
      </w:pPr>
      <w:r w:rsidRPr="00B32A97">
        <w:rPr>
          <w:rFonts w:ascii="Arial" w:hAnsi="Arial" w:cs="Arial"/>
          <w:sz w:val="24"/>
          <w:szCs w:val="24"/>
        </w:rPr>
        <w:t xml:space="preserve">the fifth defendant would issue interim, penultimate and final payment certificates in regards to the progress of the works, for payment of the sum stated in the relevant certificate due to the plaintiff payable by the first defendant within the period stated in the relevant certificate; </w:t>
      </w:r>
    </w:p>
    <w:p w:rsidR="00B32A97" w:rsidRPr="00B32A97" w:rsidRDefault="00B32A97" w:rsidP="00B32A97">
      <w:pPr>
        <w:pStyle w:val="ListParagraph"/>
        <w:rPr>
          <w:rFonts w:ascii="Arial" w:hAnsi="Arial" w:cs="Arial"/>
          <w:sz w:val="24"/>
          <w:szCs w:val="24"/>
        </w:rPr>
      </w:pPr>
    </w:p>
    <w:p w:rsidR="00B32A97" w:rsidRPr="00B32A97" w:rsidRDefault="00B32A97" w:rsidP="00B32A97">
      <w:pPr>
        <w:pStyle w:val="ListParagraph"/>
        <w:tabs>
          <w:tab w:val="left" w:pos="0"/>
          <w:tab w:val="left" w:pos="2010"/>
        </w:tabs>
        <w:spacing w:after="0" w:line="360" w:lineRule="auto"/>
        <w:ind w:left="1080"/>
        <w:jc w:val="both"/>
        <w:rPr>
          <w:rFonts w:ascii="Arial" w:hAnsi="Arial" w:cs="Arial"/>
          <w:sz w:val="24"/>
          <w:szCs w:val="24"/>
        </w:rPr>
      </w:pPr>
    </w:p>
    <w:p w:rsidR="00C96151" w:rsidRPr="00B32A97" w:rsidRDefault="00C96151" w:rsidP="00B32A97">
      <w:pPr>
        <w:pStyle w:val="ListParagraph"/>
        <w:numPr>
          <w:ilvl w:val="0"/>
          <w:numId w:val="5"/>
        </w:numPr>
        <w:tabs>
          <w:tab w:val="left" w:pos="0"/>
          <w:tab w:val="left" w:pos="2010"/>
        </w:tabs>
        <w:spacing w:after="0" w:line="360" w:lineRule="auto"/>
        <w:ind w:left="720"/>
        <w:jc w:val="both"/>
        <w:rPr>
          <w:rFonts w:ascii="Arial" w:hAnsi="Arial" w:cs="Arial"/>
          <w:sz w:val="24"/>
          <w:szCs w:val="24"/>
        </w:rPr>
      </w:pPr>
      <w:r w:rsidRPr="00B32A97">
        <w:rPr>
          <w:rFonts w:ascii="Arial" w:hAnsi="Arial" w:cs="Arial"/>
          <w:sz w:val="24"/>
          <w:szCs w:val="24"/>
        </w:rPr>
        <w:t xml:space="preserve">the period of payment by the first defendant to the plaintiff of any payment certificate would be 30 days from the date of issue of the certificate; </w:t>
      </w:r>
    </w:p>
    <w:p w:rsidR="00B32A97" w:rsidRPr="00B32A97" w:rsidRDefault="00B32A97" w:rsidP="00B32A97">
      <w:pPr>
        <w:pStyle w:val="ListParagraph"/>
        <w:tabs>
          <w:tab w:val="left" w:pos="0"/>
          <w:tab w:val="left" w:pos="2010"/>
        </w:tabs>
        <w:spacing w:after="0" w:line="360" w:lineRule="auto"/>
        <w:ind w:left="1080"/>
        <w:jc w:val="both"/>
        <w:rPr>
          <w:rFonts w:ascii="Arial" w:hAnsi="Arial" w:cs="Arial"/>
          <w:sz w:val="24"/>
          <w:szCs w:val="24"/>
        </w:rPr>
      </w:pPr>
    </w:p>
    <w:p w:rsidR="00C96151" w:rsidRPr="00B32A97" w:rsidRDefault="00C96151" w:rsidP="00B32A97">
      <w:pPr>
        <w:pStyle w:val="ListParagraph"/>
        <w:numPr>
          <w:ilvl w:val="0"/>
          <w:numId w:val="5"/>
        </w:numPr>
        <w:tabs>
          <w:tab w:val="left" w:pos="0"/>
          <w:tab w:val="left" w:pos="2010"/>
        </w:tabs>
        <w:spacing w:after="0" w:line="360" w:lineRule="auto"/>
        <w:ind w:left="720"/>
        <w:jc w:val="both"/>
        <w:rPr>
          <w:rFonts w:ascii="Arial" w:hAnsi="Arial" w:cs="Arial"/>
          <w:sz w:val="24"/>
          <w:szCs w:val="24"/>
        </w:rPr>
      </w:pPr>
      <w:proofErr w:type="gramStart"/>
      <w:r w:rsidRPr="00B32A97">
        <w:rPr>
          <w:rFonts w:ascii="Arial" w:hAnsi="Arial" w:cs="Arial"/>
          <w:sz w:val="24"/>
          <w:szCs w:val="24"/>
        </w:rPr>
        <w:t>the</w:t>
      </w:r>
      <w:proofErr w:type="gramEnd"/>
      <w:r w:rsidRPr="00B32A97">
        <w:rPr>
          <w:rFonts w:ascii="Arial" w:hAnsi="Arial" w:cs="Arial"/>
          <w:sz w:val="24"/>
          <w:szCs w:val="24"/>
        </w:rPr>
        <w:t xml:space="preserve"> afore-pleaded certificates, once duly issued, represent acknowledgments of debt. </w:t>
      </w:r>
    </w:p>
    <w:p w:rsidR="00B32A97" w:rsidRPr="00B32A97" w:rsidRDefault="00B32A97" w:rsidP="00B32A97">
      <w:pPr>
        <w:pStyle w:val="ListParagraph"/>
        <w:rPr>
          <w:rFonts w:ascii="Arial" w:hAnsi="Arial" w:cs="Arial"/>
          <w:sz w:val="24"/>
          <w:szCs w:val="24"/>
        </w:rPr>
      </w:pPr>
    </w:p>
    <w:p w:rsidR="00B32A97" w:rsidRPr="00B32A97" w:rsidRDefault="00B32A97" w:rsidP="00B32A97">
      <w:pPr>
        <w:pStyle w:val="ListParagraph"/>
        <w:tabs>
          <w:tab w:val="left" w:pos="0"/>
          <w:tab w:val="left" w:pos="2010"/>
        </w:tabs>
        <w:spacing w:after="0" w:line="360" w:lineRule="auto"/>
        <w:ind w:left="1080"/>
        <w:jc w:val="both"/>
        <w:rPr>
          <w:rFonts w:ascii="Arial" w:hAnsi="Arial" w:cs="Arial"/>
          <w:sz w:val="24"/>
          <w:szCs w:val="24"/>
        </w:rPr>
      </w:pPr>
    </w:p>
    <w:p w:rsidR="00B32A97" w:rsidRDefault="004A7843" w:rsidP="00B32A97">
      <w:pPr>
        <w:tabs>
          <w:tab w:val="left" w:pos="360"/>
          <w:tab w:val="left" w:pos="2010"/>
        </w:tabs>
        <w:spacing w:after="0" w:line="360" w:lineRule="auto"/>
        <w:jc w:val="both"/>
        <w:rPr>
          <w:rFonts w:ascii="Arial" w:hAnsi="Arial" w:cs="Arial"/>
          <w:sz w:val="24"/>
          <w:szCs w:val="24"/>
        </w:rPr>
      </w:pPr>
      <w:r w:rsidRPr="00942B75">
        <w:rPr>
          <w:rFonts w:ascii="Arial" w:hAnsi="Arial" w:cs="Arial"/>
          <w:sz w:val="24"/>
          <w:szCs w:val="24"/>
        </w:rPr>
        <w:t xml:space="preserve">b) </w:t>
      </w:r>
      <w:r w:rsidR="00C96151" w:rsidRPr="00942B75">
        <w:rPr>
          <w:rFonts w:ascii="Arial" w:hAnsi="Arial" w:cs="Arial"/>
          <w:sz w:val="24"/>
          <w:szCs w:val="24"/>
        </w:rPr>
        <w:t>The plaintiff duly complied with the terms of the agreement and finalized the project. Hereafter on 21 August 2014 the fifth defendant (acting as agent for the first defendant) issued a final payment certificate in the amount of NAD 286,867.17</w:t>
      </w:r>
      <w:r w:rsidR="009507E1" w:rsidRPr="00942B75">
        <w:rPr>
          <w:rFonts w:ascii="Arial" w:hAnsi="Arial" w:cs="Arial"/>
          <w:sz w:val="24"/>
          <w:szCs w:val="24"/>
        </w:rPr>
        <w:t xml:space="preserve"> (annexure ZF to the particulars of claim).</w:t>
      </w:r>
    </w:p>
    <w:p w:rsidR="00B32A97" w:rsidRDefault="00B32A97" w:rsidP="00B32A97">
      <w:pPr>
        <w:tabs>
          <w:tab w:val="left" w:pos="360"/>
          <w:tab w:val="left" w:pos="2010"/>
        </w:tabs>
        <w:spacing w:after="0" w:line="360" w:lineRule="auto"/>
        <w:jc w:val="both"/>
        <w:rPr>
          <w:rFonts w:ascii="Arial" w:hAnsi="Arial" w:cs="Arial"/>
          <w:sz w:val="24"/>
          <w:szCs w:val="24"/>
        </w:rPr>
      </w:pPr>
    </w:p>
    <w:p w:rsidR="009507E1" w:rsidRPr="00B32A97" w:rsidRDefault="00B32A97" w:rsidP="00B32A97">
      <w:pPr>
        <w:tabs>
          <w:tab w:val="left" w:pos="360"/>
          <w:tab w:val="left" w:pos="2010"/>
        </w:tabs>
        <w:spacing w:after="0" w:line="360" w:lineRule="auto"/>
        <w:jc w:val="both"/>
        <w:rPr>
          <w:rFonts w:ascii="Arial" w:hAnsi="Arial" w:cs="Arial"/>
          <w:sz w:val="24"/>
          <w:szCs w:val="24"/>
        </w:rPr>
      </w:pPr>
      <w:r w:rsidRPr="00B32A97">
        <w:rPr>
          <w:rFonts w:ascii="Arial" w:hAnsi="Arial" w:cs="Arial"/>
          <w:sz w:val="24"/>
          <w:szCs w:val="24"/>
        </w:rPr>
        <w:t>c)</w:t>
      </w:r>
      <w:r>
        <w:rPr>
          <w:rFonts w:ascii="Arial" w:hAnsi="Arial" w:cs="Arial"/>
          <w:sz w:val="24"/>
          <w:szCs w:val="24"/>
        </w:rPr>
        <w:tab/>
      </w:r>
      <w:r w:rsidR="009507E1" w:rsidRPr="00B32A97">
        <w:rPr>
          <w:rFonts w:ascii="Arial" w:hAnsi="Arial" w:cs="Arial"/>
          <w:sz w:val="24"/>
          <w:szCs w:val="24"/>
        </w:rPr>
        <w:t>The first defendant breached the terms of the agreement and final payment certificate, in failing to pay the plaintiff the amount of NAD 286,867.17.</w:t>
      </w:r>
    </w:p>
    <w:p w:rsidR="00B32A97" w:rsidRPr="00B32A97" w:rsidRDefault="00B32A97" w:rsidP="00B32A97">
      <w:pPr>
        <w:pStyle w:val="ListParagraph"/>
        <w:tabs>
          <w:tab w:val="left" w:pos="720"/>
          <w:tab w:val="left" w:pos="2010"/>
        </w:tabs>
        <w:spacing w:after="0" w:line="360" w:lineRule="auto"/>
        <w:ind w:left="1080"/>
        <w:jc w:val="both"/>
        <w:rPr>
          <w:rFonts w:ascii="Arial" w:hAnsi="Arial" w:cs="Arial"/>
          <w:sz w:val="24"/>
          <w:szCs w:val="24"/>
        </w:rPr>
      </w:pPr>
    </w:p>
    <w:p w:rsidR="004F79D6" w:rsidRPr="00B32A97" w:rsidRDefault="004F79D6" w:rsidP="00B32A97">
      <w:pPr>
        <w:pStyle w:val="ListParagraph"/>
        <w:numPr>
          <w:ilvl w:val="0"/>
          <w:numId w:val="3"/>
        </w:numPr>
        <w:tabs>
          <w:tab w:val="left" w:pos="720"/>
          <w:tab w:val="left" w:pos="2010"/>
        </w:tabs>
        <w:spacing w:after="0" w:line="360" w:lineRule="auto"/>
        <w:ind w:left="720" w:hanging="720"/>
        <w:jc w:val="both"/>
        <w:rPr>
          <w:rFonts w:ascii="Arial" w:hAnsi="Arial" w:cs="Arial"/>
          <w:sz w:val="24"/>
          <w:szCs w:val="24"/>
        </w:rPr>
      </w:pPr>
      <w:r w:rsidRPr="00B32A97">
        <w:rPr>
          <w:rFonts w:ascii="Arial" w:hAnsi="Arial" w:cs="Arial"/>
          <w:sz w:val="24"/>
          <w:szCs w:val="24"/>
        </w:rPr>
        <w:t>The final payment certificate (annexure ZF to the particulars of claim)</w:t>
      </w:r>
    </w:p>
    <w:p w:rsidR="00B32A97" w:rsidRPr="00B32A97" w:rsidRDefault="00B32A97" w:rsidP="00B32A97">
      <w:pPr>
        <w:pStyle w:val="ListParagraph"/>
        <w:tabs>
          <w:tab w:val="left" w:pos="720"/>
          <w:tab w:val="left" w:pos="2010"/>
        </w:tabs>
        <w:spacing w:after="0" w:line="360" w:lineRule="auto"/>
        <w:ind w:left="1080"/>
        <w:jc w:val="both"/>
        <w:rPr>
          <w:rFonts w:ascii="Arial" w:hAnsi="Arial" w:cs="Arial"/>
          <w:sz w:val="24"/>
          <w:szCs w:val="24"/>
        </w:rPr>
      </w:pPr>
    </w:p>
    <w:p w:rsidR="004A7843" w:rsidRPr="00B32A97" w:rsidRDefault="004F79D6" w:rsidP="00B32A97">
      <w:pPr>
        <w:pStyle w:val="ListParagraph"/>
        <w:numPr>
          <w:ilvl w:val="0"/>
          <w:numId w:val="6"/>
        </w:numPr>
        <w:tabs>
          <w:tab w:val="left" w:pos="720"/>
          <w:tab w:val="left" w:pos="1440"/>
        </w:tabs>
        <w:spacing w:after="0" w:line="360" w:lineRule="auto"/>
        <w:jc w:val="both"/>
        <w:rPr>
          <w:rFonts w:ascii="Arial" w:hAnsi="Arial" w:cs="Arial"/>
          <w:sz w:val="24"/>
          <w:szCs w:val="24"/>
        </w:rPr>
      </w:pPr>
      <w:r w:rsidRPr="00B32A97">
        <w:rPr>
          <w:rFonts w:ascii="Arial" w:hAnsi="Arial" w:cs="Arial"/>
          <w:sz w:val="24"/>
          <w:szCs w:val="24"/>
        </w:rPr>
        <w:t xml:space="preserve">was issued by the fifth defendant (in its capacity as the first defendant’s principle agent; </w:t>
      </w:r>
    </w:p>
    <w:p w:rsidR="00B32A97" w:rsidRPr="00B32A97" w:rsidRDefault="00B32A97" w:rsidP="00B32A97">
      <w:pPr>
        <w:pStyle w:val="ListParagraph"/>
        <w:tabs>
          <w:tab w:val="left" w:pos="720"/>
          <w:tab w:val="left" w:pos="1440"/>
        </w:tabs>
        <w:spacing w:after="0" w:line="360" w:lineRule="auto"/>
        <w:ind w:left="1440"/>
        <w:jc w:val="both"/>
        <w:rPr>
          <w:rFonts w:ascii="Arial" w:hAnsi="Arial" w:cs="Arial"/>
          <w:sz w:val="24"/>
          <w:szCs w:val="24"/>
        </w:rPr>
      </w:pPr>
    </w:p>
    <w:p w:rsidR="004A7843" w:rsidRPr="00942B75" w:rsidRDefault="00B32A97" w:rsidP="00B32A97">
      <w:pPr>
        <w:tabs>
          <w:tab w:val="left" w:pos="720"/>
        </w:tabs>
        <w:spacing w:after="0" w:line="360" w:lineRule="auto"/>
        <w:ind w:left="1440" w:hanging="1440"/>
        <w:jc w:val="both"/>
        <w:rPr>
          <w:rFonts w:ascii="Arial" w:hAnsi="Arial" w:cs="Arial"/>
          <w:sz w:val="24"/>
          <w:szCs w:val="24"/>
        </w:rPr>
      </w:pPr>
      <w:r>
        <w:rPr>
          <w:rFonts w:ascii="Arial" w:hAnsi="Arial" w:cs="Arial"/>
          <w:sz w:val="24"/>
          <w:szCs w:val="24"/>
        </w:rPr>
        <w:tab/>
      </w:r>
      <w:r w:rsidR="004A7843" w:rsidRPr="00942B75">
        <w:rPr>
          <w:rFonts w:ascii="Arial" w:hAnsi="Arial" w:cs="Arial"/>
          <w:sz w:val="24"/>
          <w:szCs w:val="24"/>
        </w:rPr>
        <w:t xml:space="preserve">ii) </w:t>
      </w:r>
      <w:r>
        <w:rPr>
          <w:rFonts w:ascii="Arial" w:hAnsi="Arial" w:cs="Arial"/>
          <w:sz w:val="24"/>
          <w:szCs w:val="24"/>
        </w:rPr>
        <w:tab/>
      </w:r>
      <w:proofErr w:type="gramStart"/>
      <w:r w:rsidR="004F79D6" w:rsidRPr="00942B75">
        <w:rPr>
          <w:rFonts w:ascii="Arial" w:hAnsi="Arial" w:cs="Arial"/>
          <w:sz w:val="24"/>
          <w:szCs w:val="24"/>
        </w:rPr>
        <w:t>constitute</w:t>
      </w:r>
      <w:proofErr w:type="gramEnd"/>
      <w:r w:rsidR="004F79D6" w:rsidRPr="00942B75">
        <w:rPr>
          <w:rFonts w:ascii="Arial" w:hAnsi="Arial" w:cs="Arial"/>
          <w:sz w:val="24"/>
          <w:szCs w:val="24"/>
        </w:rPr>
        <w:t xml:space="preserve"> an acknowledgment of indebtedness by the first defendant towards the plaintiff; </w:t>
      </w:r>
    </w:p>
    <w:p w:rsidR="004A7843" w:rsidRPr="00B32A97" w:rsidRDefault="004F79D6" w:rsidP="00B32A97">
      <w:pPr>
        <w:pStyle w:val="ListParagraph"/>
        <w:numPr>
          <w:ilvl w:val="0"/>
          <w:numId w:val="6"/>
        </w:numPr>
        <w:tabs>
          <w:tab w:val="left" w:pos="1440"/>
          <w:tab w:val="left" w:pos="2010"/>
        </w:tabs>
        <w:spacing w:after="0" w:line="360" w:lineRule="auto"/>
        <w:jc w:val="both"/>
        <w:rPr>
          <w:rFonts w:ascii="Arial" w:hAnsi="Arial" w:cs="Arial"/>
          <w:sz w:val="24"/>
          <w:szCs w:val="24"/>
        </w:rPr>
      </w:pPr>
      <w:r w:rsidRPr="00B32A97">
        <w:rPr>
          <w:rFonts w:ascii="Arial" w:hAnsi="Arial" w:cs="Arial"/>
          <w:sz w:val="24"/>
          <w:szCs w:val="24"/>
        </w:rPr>
        <w:lastRenderedPageBreak/>
        <w:t xml:space="preserve">reflects the outstanding balance of remuneration due to the plaintiff by the first defendant in respect of the plaintiff’s performance in respect of the project; </w:t>
      </w:r>
    </w:p>
    <w:p w:rsidR="00B32A97" w:rsidRPr="00B32A97" w:rsidRDefault="00B32A97" w:rsidP="00B32A97">
      <w:pPr>
        <w:pStyle w:val="ListParagraph"/>
        <w:tabs>
          <w:tab w:val="left" w:pos="1440"/>
          <w:tab w:val="left" w:pos="2010"/>
        </w:tabs>
        <w:spacing w:after="0" w:line="360" w:lineRule="auto"/>
        <w:ind w:left="1440"/>
        <w:jc w:val="both"/>
        <w:rPr>
          <w:rFonts w:ascii="Arial" w:hAnsi="Arial" w:cs="Arial"/>
          <w:sz w:val="24"/>
          <w:szCs w:val="24"/>
        </w:rPr>
      </w:pPr>
    </w:p>
    <w:p w:rsidR="004F79D6" w:rsidRPr="00B32A97" w:rsidRDefault="004F79D6" w:rsidP="00B32A97">
      <w:pPr>
        <w:pStyle w:val="ListParagraph"/>
        <w:numPr>
          <w:ilvl w:val="0"/>
          <w:numId w:val="6"/>
        </w:numPr>
        <w:tabs>
          <w:tab w:val="left" w:pos="1440"/>
          <w:tab w:val="left" w:pos="2010"/>
        </w:tabs>
        <w:spacing w:after="0" w:line="360" w:lineRule="auto"/>
        <w:jc w:val="both"/>
        <w:rPr>
          <w:rFonts w:ascii="Arial" w:hAnsi="Arial" w:cs="Arial"/>
          <w:sz w:val="24"/>
          <w:szCs w:val="24"/>
        </w:rPr>
      </w:pPr>
      <w:proofErr w:type="gramStart"/>
      <w:r w:rsidRPr="00B32A97">
        <w:rPr>
          <w:rFonts w:ascii="Arial" w:hAnsi="Arial" w:cs="Arial"/>
          <w:sz w:val="24"/>
          <w:szCs w:val="24"/>
        </w:rPr>
        <w:t>in</w:t>
      </w:r>
      <w:proofErr w:type="gramEnd"/>
      <w:r w:rsidRPr="00B32A97">
        <w:rPr>
          <w:rFonts w:ascii="Arial" w:hAnsi="Arial" w:cs="Arial"/>
          <w:sz w:val="24"/>
          <w:szCs w:val="24"/>
        </w:rPr>
        <w:t xml:space="preserve"> its own terms, expressly and unconditionally records a ‘promise to pay the amount on this Certificate’ to the plaintiff. </w:t>
      </w:r>
    </w:p>
    <w:p w:rsidR="00B32A97" w:rsidRPr="00B32A97" w:rsidRDefault="00B32A97" w:rsidP="00B32A97">
      <w:pPr>
        <w:tabs>
          <w:tab w:val="left" w:pos="1440"/>
          <w:tab w:val="left" w:pos="2010"/>
        </w:tabs>
        <w:spacing w:after="0" w:line="360" w:lineRule="auto"/>
        <w:jc w:val="both"/>
        <w:rPr>
          <w:rFonts w:ascii="Arial" w:hAnsi="Arial" w:cs="Arial"/>
          <w:sz w:val="24"/>
          <w:szCs w:val="24"/>
        </w:rPr>
      </w:pPr>
    </w:p>
    <w:p w:rsidR="006929DF" w:rsidRPr="00942B75" w:rsidRDefault="006929DF" w:rsidP="004C0134">
      <w:pPr>
        <w:pStyle w:val="Header"/>
        <w:tabs>
          <w:tab w:val="left" w:pos="720"/>
        </w:tabs>
        <w:rPr>
          <w:b/>
          <w:bCs/>
          <w:i/>
          <w:lang w:val="en-GB"/>
        </w:rPr>
      </w:pPr>
    </w:p>
    <w:p w:rsidR="009507E1" w:rsidRPr="00B32A97" w:rsidRDefault="009507E1" w:rsidP="004C0134">
      <w:pPr>
        <w:pStyle w:val="Header"/>
        <w:tabs>
          <w:tab w:val="left" w:pos="720"/>
        </w:tabs>
        <w:rPr>
          <w:bCs/>
          <w:u w:val="single"/>
          <w:lang w:val="en-GB"/>
        </w:rPr>
      </w:pPr>
      <w:r w:rsidRPr="00B32A97">
        <w:rPr>
          <w:bCs/>
          <w:u w:val="single"/>
          <w:lang w:val="en-GB"/>
        </w:rPr>
        <w:t>Grounds of defendant’s opposition of the summary judgment application</w:t>
      </w:r>
    </w:p>
    <w:p w:rsidR="009507E1" w:rsidRPr="00942B75" w:rsidRDefault="009507E1" w:rsidP="004C0134">
      <w:pPr>
        <w:pStyle w:val="Header"/>
        <w:tabs>
          <w:tab w:val="left" w:pos="720"/>
        </w:tabs>
        <w:rPr>
          <w:b/>
          <w:bCs/>
          <w:i/>
          <w:lang w:val="en-GB"/>
        </w:rPr>
      </w:pPr>
    </w:p>
    <w:p w:rsidR="009507E1" w:rsidRDefault="009507E1" w:rsidP="004C0134">
      <w:pPr>
        <w:pStyle w:val="Header"/>
        <w:tabs>
          <w:tab w:val="left" w:pos="720"/>
        </w:tabs>
        <w:rPr>
          <w:bCs/>
          <w:lang w:val="en-GB"/>
        </w:rPr>
      </w:pPr>
      <w:r w:rsidRPr="00942B75">
        <w:rPr>
          <w:bCs/>
          <w:lang w:val="en-GB"/>
        </w:rPr>
        <w:t>[4]</w:t>
      </w:r>
      <w:r w:rsidRPr="00942B75">
        <w:rPr>
          <w:bCs/>
          <w:lang w:val="en-GB"/>
        </w:rPr>
        <w:tab/>
        <w:t xml:space="preserve">The first defendant resists the application for summary judgment on the grounds that the: </w:t>
      </w:r>
    </w:p>
    <w:p w:rsidR="00B32A97" w:rsidRPr="00942B75" w:rsidRDefault="00B32A97" w:rsidP="004C0134">
      <w:pPr>
        <w:pStyle w:val="Header"/>
        <w:tabs>
          <w:tab w:val="left" w:pos="720"/>
        </w:tabs>
        <w:rPr>
          <w:bCs/>
          <w:lang w:val="en-GB"/>
        </w:rPr>
      </w:pPr>
    </w:p>
    <w:p w:rsidR="009507E1" w:rsidRDefault="009507E1" w:rsidP="00B32A97">
      <w:pPr>
        <w:pStyle w:val="Header"/>
        <w:numPr>
          <w:ilvl w:val="0"/>
          <w:numId w:val="7"/>
        </w:numPr>
        <w:tabs>
          <w:tab w:val="left" w:pos="0"/>
        </w:tabs>
        <w:ind w:hanging="720"/>
        <w:rPr>
          <w:bCs/>
          <w:lang w:val="en-GB"/>
        </w:rPr>
      </w:pPr>
      <w:r w:rsidRPr="00942B75">
        <w:rPr>
          <w:bCs/>
          <w:lang w:val="en-GB"/>
        </w:rPr>
        <w:t>there was non-compliance with Rule 45(7)</w:t>
      </w:r>
    </w:p>
    <w:p w:rsidR="00B32A97" w:rsidRPr="00942B75" w:rsidRDefault="00B32A97" w:rsidP="00B32A97">
      <w:pPr>
        <w:pStyle w:val="Header"/>
        <w:tabs>
          <w:tab w:val="left" w:pos="0"/>
        </w:tabs>
        <w:ind w:left="720"/>
        <w:rPr>
          <w:bCs/>
          <w:lang w:val="en-GB"/>
        </w:rPr>
      </w:pPr>
    </w:p>
    <w:p w:rsidR="00B32A97" w:rsidRDefault="009507E1" w:rsidP="00B32A97">
      <w:pPr>
        <w:pStyle w:val="Header"/>
        <w:numPr>
          <w:ilvl w:val="0"/>
          <w:numId w:val="7"/>
        </w:numPr>
        <w:tabs>
          <w:tab w:val="left" w:pos="0"/>
        </w:tabs>
        <w:ind w:hanging="720"/>
        <w:rPr>
          <w:bCs/>
          <w:lang w:val="en-GB"/>
        </w:rPr>
      </w:pPr>
      <w:proofErr w:type="gramStart"/>
      <w:r w:rsidRPr="00942B75">
        <w:rPr>
          <w:bCs/>
          <w:lang w:val="en-GB"/>
        </w:rPr>
        <w:t>reliance</w:t>
      </w:r>
      <w:proofErr w:type="gramEnd"/>
      <w:r w:rsidRPr="00942B75">
        <w:rPr>
          <w:bCs/>
          <w:lang w:val="en-GB"/>
        </w:rPr>
        <w:t xml:space="preserve"> on section 2(1) of the Limitation of Legal Pr</w:t>
      </w:r>
      <w:r w:rsidR="00B32A97">
        <w:rPr>
          <w:bCs/>
          <w:lang w:val="en-GB"/>
        </w:rPr>
        <w:t xml:space="preserve">oceedings (Provincial and Local </w:t>
      </w:r>
      <w:r w:rsidRPr="00942B75">
        <w:rPr>
          <w:bCs/>
          <w:lang w:val="en-GB"/>
        </w:rPr>
        <w:t xml:space="preserve">Authorities) Act 94 of 1970. </w:t>
      </w:r>
    </w:p>
    <w:p w:rsidR="00B32A97" w:rsidRDefault="00B32A97" w:rsidP="00B32A97">
      <w:pPr>
        <w:pStyle w:val="ListParagraph"/>
        <w:rPr>
          <w:bCs/>
          <w:lang w:val="en-GB"/>
        </w:rPr>
      </w:pPr>
    </w:p>
    <w:p w:rsidR="00003B7F" w:rsidRPr="00B32A97" w:rsidRDefault="00CF44D7" w:rsidP="00B32A97">
      <w:pPr>
        <w:pStyle w:val="Header"/>
        <w:numPr>
          <w:ilvl w:val="0"/>
          <w:numId w:val="7"/>
        </w:numPr>
        <w:tabs>
          <w:tab w:val="left" w:pos="0"/>
        </w:tabs>
        <w:ind w:hanging="720"/>
        <w:rPr>
          <w:bCs/>
          <w:lang w:val="en-GB"/>
        </w:rPr>
      </w:pPr>
      <w:r w:rsidRPr="00B32A97">
        <w:rPr>
          <w:bCs/>
          <w:lang w:val="en-GB"/>
        </w:rPr>
        <w:t>reliance on ‘government protocol and systems’ and ‘general operation protocols</w:t>
      </w:r>
      <w:r w:rsidRPr="00942B75">
        <w:t>‘</w:t>
      </w:r>
    </w:p>
    <w:p w:rsidR="00CF44D7" w:rsidRPr="00942B75" w:rsidRDefault="00CF44D7" w:rsidP="004C0134">
      <w:pPr>
        <w:pStyle w:val="Header"/>
        <w:tabs>
          <w:tab w:val="left" w:pos="720"/>
        </w:tabs>
      </w:pPr>
    </w:p>
    <w:p w:rsidR="006929DF" w:rsidRPr="00942B75" w:rsidRDefault="00CF44D7" w:rsidP="00CA6800">
      <w:pPr>
        <w:pStyle w:val="Header"/>
        <w:tabs>
          <w:tab w:val="left" w:pos="720"/>
        </w:tabs>
      </w:pPr>
      <w:r w:rsidRPr="00942B75">
        <w:t xml:space="preserve">[5] </w:t>
      </w:r>
      <w:r w:rsidRPr="00942B75">
        <w:tab/>
        <w:t xml:space="preserve">At the commence of the hearing in this matter </w:t>
      </w:r>
      <w:proofErr w:type="spellStart"/>
      <w:r w:rsidRPr="00942B75">
        <w:t>Mr</w:t>
      </w:r>
      <w:proofErr w:type="spellEnd"/>
      <w:r w:rsidRPr="00942B75">
        <w:t xml:space="preserve"> </w:t>
      </w:r>
      <w:proofErr w:type="spellStart"/>
      <w:r w:rsidRPr="00942B75">
        <w:t>Ndlovu</w:t>
      </w:r>
      <w:proofErr w:type="spellEnd"/>
      <w:r w:rsidRPr="00942B75">
        <w:t>, on behalf of the respondent, concede that the reliance on the section 2(1) of Limitation of Legal Proceedings (Provisional and Local Authorities) Act is not applicable to the matter at hand</w:t>
      </w:r>
      <w:r w:rsidR="004F79D6" w:rsidRPr="00942B75">
        <w:t xml:space="preserve"> and I am therefor not concerned with the aspect of the case. </w:t>
      </w:r>
      <w:r w:rsidR="006929DF" w:rsidRPr="00942B75">
        <w:t xml:space="preserve">   </w:t>
      </w:r>
    </w:p>
    <w:p w:rsidR="00B16A8F" w:rsidRPr="00942B75" w:rsidRDefault="00B16A8F" w:rsidP="004C0134">
      <w:pPr>
        <w:tabs>
          <w:tab w:val="left" w:pos="720"/>
          <w:tab w:val="left" w:pos="2010"/>
        </w:tabs>
        <w:spacing w:after="0" w:line="360" w:lineRule="auto"/>
        <w:ind w:left="720"/>
        <w:jc w:val="both"/>
        <w:rPr>
          <w:rFonts w:ascii="Arial" w:hAnsi="Arial" w:cs="Arial"/>
          <w:sz w:val="24"/>
          <w:szCs w:val="24"/>
        </w:rPr>
      </w:pPr>
    </w:p>
    <w:p w:rsidR="004F79D6" w:rsidRPr="00B32A97" w:rsidRDefault="004F79D6" w:rsidP="004C0134">
      <w:pPr>
        <w:pStyle w:val="Header"/>
        <w:tabs>
          <w:tab w:val="left" w:pos="720"/>
        </w:tabs>
        <w:rPr>
          <w:bCs/>
          <w:u w:val="single"/>
          <w:lang w:val="en-GB"/>
        </w:rPr>
      </w:pPr>
      <w:r w:rsidRPr="00B32A97">
        <w:rPr>
          <w:bCs/>
          <w:u w:val="single"/>
          <w:lang w:val="en-GB"/>
        </w:rPr>
        <w:t xml:space="preserve">Principles governing summary judgment </w:t>
      </w:r>
    </w:p>
    <w:p w:rsidR="004F79D6" w:rsidRPr="00942B75" w:rsidRDefault="004F79D6" w:rsidP="004C0134">
      <w:pPr>
        <w:pStyle w:val="Header"/>
        <w:tabs>
          <w:tab w:val="left" w:pos="720"/>
        </w:tabs>
        <w:rPr>
          <w:bCs/>
          <w:lang w:val="en-GB"/>
        </w:rPr>
      </w:pPr>
    </w:p>
    <w:p w:rsidR="004F79D6" w:rsidRPr="00942B75" w:rsidRDefault="004F79D6" w:rsidP="004C0134">
      <w:pPr>
        <w:tabs>
          <w:tab w:val="left" w:pos="810"/>
        </w:tabs>
        <w:spacing w:line="360" w:lineRule="auto"/>
        <w:jc w:val="both"/>
        <w:rPr>
          <w:rFonts w:ascii="Arial" w:hAnsi="Arial" w:cs="Arial"/>
        </w:rPr>
      </w:pPr>
      <w:r w:rsidRPr="00942B75">
        <w:rPr>
          <w:rFonts w:ascii="Arial" w:hAnsi="Arial" w:cs="Arial"/>
          <w:bCs/>
          <w:sz w:val="24"/>
          <w:szCs w:val="24"/>
          <w:lang w:val="en-GB"/>
        </w:rPr>
        <w:t>[</w:t>
      </w:r>
      <w:r w:rsidR="00416298" w:rsidRPr="00942B75">
        <w:rPr>
          <w:rFonts w:ascii="Arial" w:hAnsi="Arial" w:cs="Arial"/>
          <w:bCs/>
          <w:sz w:val="24"/>
          <w:szCs w:val="24"/>
          <w:lang w:val="en-GB"/>
        </w:rPr>
        <w:t>6</w:t>
      </w:r>
      <w:r w:rsidRPr="00942B75">
        <w:rPr>
          <w:rFonts w:ascii="Arial" w:hAnsi="Arial" w:cs="Arial"/>
          <w:bCs/>
          <w:sz w:val="24"/>
          <w:szCs w:val="24"/>
          <w:lang w:val="en-GB"/>
        </w:rPr>
        <w:t>]</w:t>
      </w:r>
      <w:r w:rsidRPr="00942B75">
        <w:rPr>
          <w:rFonts w:ascii="Arial" w:hAnsi="Arial" w:cs="Arial"/>
          <w:bCs/>
          <w:sz w:val="24"/>
          <w:szCs w:val="24"/>
          <w:lang w:val="en-GB"/>
        </w:rPr>
        <w:tab/>
      </w:r>
      <w:r w:rsidRPr="00942B75">
        <w:rPr>
          <w:rFonts w:ascii="Arial" w:hAnsi="Arial" w:cs="Arial"/>
          <w:sz w:val="24"/>
          <w:szCs w:val="24"/>
        </w:rPr>
        <w:t>The practice relating to summary judgments is governed by Rule 60 of the High Court Rules. Rule 60(5) provides as follows</w:t>
      </w:r>
      <w:r w:rsidRPr="00942B75">
        <w:rPr>
          <w:rFonts w:ascii="Arial" w:hAnsi="Arial" w:cs="Arial"/>
        </w:rPr>
        <w:t>.</w:t>
      </w:r>
    </w:p>
    <w:p w:rsidR="004F79D6" w:rsidRPr="00942B75" w:rsidRDefault="004F79D6" w:rsidP="004C0134">
      <w:pPr>
        <w:tabs>
          <w:tab w:val="left" w:pos="810"/>
        </w:tabs>
        <w:spacing w:line="360" w:lineRule="auto"/>
        <w:jc w:val="both"/>
        <w:rPr>
          <w:rFonts w:ascii="Arial" w:hAnsi="Arial" w:cs="Arial"/>
        </w:rPr>
      </w:pPr>
    </w:p>
    <w:p w:rsidR="004F79D6" w:rsidRPr="00942B75" w:rsidRDefault="004F79D6" w:rsidP="00B32A97">
      <w:pPr>
        <w:spacing w:line="360" w:lineRule="auto"/>
        <w:jc w:val="both"/>
        <w:rPr>
          <w:rFonts w:ascii="Arial" w:hAnsi="Arial" w:cs="Arial"/>
        </w:rPr>
      </w:pPr>
      <w:r w:rsidRPr="00942B75">
        <w:rPr>
          <w:rFonts w:ascii="Arial" w:hAnsi="Arial" w:cs="Arial"/>
        </w:rPr>
        <w:lastRenderedPageBreak/>
        <w:t xml:space="preserve">‘(5) </w:t>
      </w:r>
      <w:r w:rsidRPr="00942B75">
        <w:rPr>
          <w:rFonts w:ascii="Arial" w:hAnsi="Arial" w:cs="Arial"/>
        </w:rPr>
        <w:tab/>
        <w:t xml:space="preserve">On the hearing of an application for summary judgment, the defendant may - </w:t>
      </w:r>
    </w:p>
    <w:p w:rsidR="004F79D6" w:rsidRPr="00942B75" w:rsidRDefault="004F79D6" w:rsidP="00B32A97">
      <w:pPr>
        <w:spacing w:line="360" w:lineRule="auto"/>
        <w:ind w:left="1440" w:hanging="720"/>
        <w:jc w:val="both"/>
        <w:rPr>
          <w:rFonts w:ascii="Arial" w:hAnsi="Arial" w:cs="Arial"/>
        </w:rPr>
      </w:pPr>
      <w:r w:rsidRPr="00942B75">
        <w:rPr>
          <w:rFonts w:ascii="Arial" w:hAnsi="Arial" w:cs="Arial"/>
        </w:rPr>
        <w:t>(a)</w:t>
      </w:r>
      <w:r w:rsidRPr="00942B75">
        <w:rPr>
          <w:rFonts w:ascii="Arial" w:hAnsi="Arial" w:cs="Arial"/>
        </w:rPr>
        <w:tab/>
      </w:r>
      <w:proofErr w:type="gramStart"/>
      <w:r w:rsidRPr="00942B75">
        <w:rPr>
          <w:rFonts w:ascii="Arial" w:hAnsi="Arial" w:cs="Arial"/>
        </w:rPr>
        <w:t>where</w:t>
      </w:r>
      <w:proofErr w:type="gramEnd"/>
      <w:r w:rsidRPr="00942B75">
        <w:rPr>
          <w:rFonts w:ascii="Arial" w:hAnsi="Arial" w:cs="Arial"/>
        </w:rPr>
        <w:t xml:space="preserve"> applicable give security to the plaintiff to the satisfaction of the registrar for any judgment including costs which may be given; or </w:t>
      </w:r>
    </w:p>
    <w:p w:rsidR="004F79D6" w:rsidRPr="00942B75" w:rsidRDefault="004F79D6" w:rsidP="00B32A97">
      <w:pPr>
        <w:spacing w:line="360" w:lineRule="auto"/>
        <w:ind w:left="720"/>
        <w:jc w:val="both"/>
        <w:rPr>
          <w:rFonts w:ascii="Arial" w:hAnsi="Arial" w:cs="Arial"/>
        </w:rPr>
      </w:pPr>
      <w:r w:rsidRPr="00942B75">
        <w:rPr>
          <w:rFonts w:ascii="Arial" w:hAnsi="Arial" w:cs="Arial"/>
        </w:rPr>
        <w:t>(b)</w:t>
      </w:r>
      <w:r w:rsidRPr="00942B75">
        <w:rPr>
          <w:rFonts w:ascii="Arial" w:hAnsi="Arial" w:cs="Arial"/>
        </w:rPr>
        <w:tab/>
      </w:r>
      <w:proofErr w:type="gramStart"/>
      <w:r w:rsidRPr="00942B75">
        <w:rPr>
          <w:rFonts w:ascii="Arial" w:hAnsi="Arial" w:cs="Arial"/>
        </w:rPr>
        <w:t>satisfy</w:t>
      </w:r>
      <w:proofErr w:type="gramEnd"/>
      <w:r w:rsidRPr="00942B75">
        <w:rPr>
          <w:rFonts w:ascii="Arial" w:hAnsi="Arial" w:cs="Arial"/>
        </w:rPr>
        <w:t xml:space="preserve"> the court by –</w:t>
      </w:r>
    </w:p>
    <w:p w:rsidR="004F79D6" w:rsidRPr="00942B75" w:rsidRDefault="004F79D6" w:rsidP="00B32A97">
      <w:pPr>
        <w:spacing w:line="360" w:lineRule="auto"/>
        <w:ind w:left="2160" w:hanging="720"/>
        <w:jc w:val="both"/>
        <w:rPr>
          <w:rFonts w:ascii="Arial" w:hAnsi="Arial" w:cs="Arial"/>
        </w:rPr>
      </w:pPr>
      <w:r w:rsidRPr="00942B75">
        <w:rPr>
          <w:rFonts w:ascii="Arial" w:hAnsi="Arial" w:cs="Arial"/>
        </w:rPr>
        <w:t>(</w:t>
      </w:r>
      <w:proofErr w:type="spellStart"/>
      <w:r w:rsidRPr="00942B75">
        <w:rPr>
          <w:rFonts w:ascii="Arial" w:hAnsi="Arial" w:cs="Arial"/>
        </w:rPr>
        <w:t>i</w:t>
      </w:r>
      <w:proofErr w:type="spellEnd"/>
      <w:r w:rsidRPr="00942B75">
        <w:rPr>
          <w:rFonts w:ascii="Arial" w:hAnsi="Arial" w:cs="Arial"/>
        </w:rPr>
        <w:t>)</w:t>
      </w:r>
      <w:r w:rsidRPr="00942B75">
        <w:rPr>
          <w:rFonts w:ascii="Arial" w:hAnsi="Arial" w:cs="Arial"/>
        </w:rPr>
        <w:tab/>
        <w:t>affidavit which must be delivered before 12h00 on the court day but one preceding the day on which the application is to be heard); or</w:t>
      </w:r>
    </w:p>
    <w:p w:rsidR="004F79D6" w:rsidRPr="00942B75" w:rsidRDefault="004F79D6" w:rsidP="00B32A97">
      <w:pPr>
        <w:spacing w:line="360" w:lineRule="auto"/>
        <w:ind w:left="2160" w:hanging="720"/>
        <w:jc w:val="both"/>
        <w:rPr>
          <w:rFonts w:ascii="Arial" w:hAnsi="Arial" w:cs="Arial"/>
        </w:rPr>
      </w:pPr>
      <w:r w:rsidRPr="00942B75">
        <w:rPr>
          <w:rFonts w:ascii="Arial" w:hAnsi="Arial" w:cs="Arial"/>
        </w:rPr>
        <w:t>(ii)</w:t>
      </w:r>
      <w:r w:rsidRPr="00942B75">
        <w:rPr>
          <w:rFonts w:ascii="Arial" w:hAnsi="Arial" w:cs="Arial"/>
        </w:rPr>
        <w:tab/>
      </w:r>
      <w:proofErr w:type="gramStart"/>
      <w:r w:rsidRPr="00942B75">
        <w:rPr>
          <w:rFonts w:ascii="Arial" w:hAnsi="Arial" w:cs="Arial"/>
        </w:rPr>
        <w:t>by</w:t>
      </w:r>
      <w:proofErr w:type="gramEnd"/>
      <w:r w:rsidRPr="00942B75">
        <w:rPr>
          <w:rFonts w:ascii="Arial" w:hAnsi="Arial" w:cs="Arial"/>
        </w:rPr>
        <w:t xml:space="preserve"> oral evidence given with the leave of court, of himself or herself or of any other person who can swear positively to the fact </w:t>
      </w:r>
    </w:p>
    <w:p w:rsidR="004F79D6" w:rsidRPr="00942B75" w:rsidRDefault="004F79D6" w:rsidP="00B32A97">
      <w:pPr>
        <w:spacing w:line="360" w:lineRule="auto"/>
        <w:jc w:val="both"/>
        <w:rPr>
          <w:rFonts w:ascii="Arial" w:hAnsi="Arial" w:cs="Arial"/>
        </w:rPr>
      </w:pPr>
      <w:proofErr w:type="gramStart"/>
      <w:r w:rsidRPr="00942B75">
        <w:rPr>
          <w:rFonts w:ascii="Arial" w:hAnsi="Arial" w:cs="Arial"/>
        </w:rPr>
        <w:t>that</w:t>
      </w:r>
      <w:proofErr w:type="gramEnd"/>
      <w:r w:rsidRPr="00942B75">
        <w:rPr>
          <w:rFonts w:ascii="Arial" w:hAnsi="Arial" w:cs="Arial"/>
        </w:rPr>
        <w:t xml:space="preserve"> he or she has a </w:t>
      </w:r>
      <w:r w:rsidRPr="00942B75">
        <w:rPr>
          <w:rFonts w:ascii="Arial" w:hAnsi="Arial" w:cs="Arial"/>
          <w:i/>
        </w:rPr>
        <w:t xml:space="preserve">bona fide </w:t>
      </w:r>
      <w:proofErr w:type="spellStart"/>
      <w:r w:rsidRPr="00942B75">
        <w:rPr>
          <w:rFonts w:ascii="Arial" w:hAnsi="Arial" w:cs="Arial"/>
        </w:rPr>
        <w:t>defence</w:t>
      </w:r>
      <w:proofErr w:type="spellEnd"/>
      <w:r w:rsidRPr="00942B75">
        <w:rPr>
          <w:rFonts w:ascii="Arial" w:hAnsi="Arial" w:cs="Arial"/>
        </w:rPr>
        <w:t xml:space="preserve"> to the action, and such affidavit or evidence shall disclose fully the nature and grounds of the </w:t>
      </w:r>
      <w:proofErr w:type="spellStart"/>
      <w:r w:rsidRPr="00942B75">
        <w:rPr>
          <w:rFonts w:ascii="Arial" w:hAnsi="Arial" w:cs="Arial"/>
        </w:rPr>
        <w:t>defence</w:t>
      </w:r>
      <w:proofErr w:type="spellEnd"/>
      <w:r w:rsidRPr="00942B75">
        <w:rPr>
          <w:rFonts w:ascii="Arial" w:hAnsi="Arial" w:cs="Arial"/>
        </w:rPr>
        <w:t xml:space="preserve"> and the material facts relied on.’</w:t>
      </w:r>
    </w:p>
    <w:p w:rsidR="00A83E00" w:rsidRPr="00942B75" w:rsidRDefault="00A83E00" w:rsidP="004C0134">
      <w:pPr>
        <w:pStyle w:val="Header"/>
        <w:tabs>
          <w:tab w:val="left" w:pos="720"/>
        </w:tabs>
        <w:rPr>
          <w:bCs/>
          <w:lang w:val="en-GB"/>
        </w:rPr>
      </w:pPr>
    </w:p>
    <w:p w:rsidR="00736022" w:rsidRPr="00942B75" w:rsidRDefault="00736022" w:rsidP="004C0134">
      <w:pPr>
        <w:pStyle w:val="Header"/>
        <w:tabs>
          <w:tab w:val="left" w:pos="720"/>
        </w:tabs>
        <w:rPr>
          <w:bCs/>
          <w:lang w:val="en-GB"/>
        </w:rPr>
      </w:pPr>
      <w:r w:rsidRPr="00942B75">
        <w:rPr>
          <w:bCs/>
          <w:i/>
          <w:lang w:val="en-GB"/>
        </w:rPr>
        <w:t>Defence to be set out fully</w:t>
      </w:r>
    </w:p>
    <w:p w:rsidR="00CA6800" w:rsidRPr="00942B75" w:rsidRDefault="00CA6800" w:rsidP="004C0134">
      <w:pPr>
        <w:pStyle w:val="Header"/>
        <w:tabs>
          <w:tab w:val="left" w:pos="720"/>
        </w:tabs>
        <w:rPr>
          <w:bCs/>
          <w:lang w:val="en-GB"/>
        </w:rPr>
      </w:pPr>
    </w:p>
    <w:p w:rsidR="006F7F2A" w:rsidRDefault="006F7F2A" w:rsidP="00B32A97">
      <w:pPr>
        <w:pStyle w:val="NormalWeb"/>
        <w:shd w:val="clear" w:color="auto" w:fill="FFFFFF"/>
        <w:spacing w:before="0" w:beforeAutospacing="0" w:after="0" w:afterAutospacing="0" w:line="360" w:lineRule="auto"/>
        <w:jc w:val="both"/>
        <w:rPr>
          <w:rFonts w:ascii="Arial" w:hAnsi="Arial" w:cs="Arial"/>
          <w:lang w:val="en-ZA"/>
        </w:rPr>
      </w:pPr>
      <w:r w:rsidRPr="00942B75">
        <w:rPr>
          <w:rFonts w:ascii="Arial" w:hAnsi="Arial" w:cs="Arial"/>
          <w:lang w:val="en-ZA"/>
        </w:rPr>
        <w:t>[</w:t>
      </w:r>
      <w:r w:rsidR="00416298" w:rsidRPr="00942B75">
        <w:rPr>
          <w:rFonts w:ascii="Arial" w:hAnsi="Arial" w:cs="Arial"/>
          <w:lang w:val="en-ZA"/>
        </w:rPr>
        <w:t>7</w:t>
      </w:r>
      <w:r w:rsidRPr="00942B75">
        <w:rPr>
          <w:rFonts w:ascii="Arial" w:hAnsi="Arial" w:cs="Arial"/>
          <w:lang w:val="en-ZA"/>
        </w:rPr>
        <w:t>]</w:t>
      </w:r>
      <w:r w:rsidRPr="00942B75">
        <w:rPr>
          <w:rFonts w:ascii="Arial" w:hAnsi="Arial" w:cs="Arial"/>
          <w:lang w:val="en-ZA"/>
        </w:rPr>
        <w:tab/>
        <w:t xml:space="preserve">It is the case of the applicant that the first respondent does not fully set out its defence to the claim but instead reverted to purely technical defences in an effort to defeat the application for summary judgment. </w:t>
      </w:r>
    </w:p>
    <w:p w:rsidR="00B32A97" w:rsidRPr="00942B75" w:rsidRDefault="00B32A97" w:rsidP="00B32A97">
      <w:pPr>
        <w:pStyle w:val="NormalWeb"/>
        <w:shd w:val="clear" w:color="auto" w:fill="FFFFFF"/>
        <w:spacing w:before="0" w:beforeAutospacing="0" w:after="0" w:afterAutospacing="0" w:line="360" w:lineRule="auto"/>
        <w:jc w:val="both"/>
        <w:rPr>
          <w:rFonts w:ascii="Arial" w:hAnsi="Arial" w:cs="Arial"/>
          <w:lang w:val="en-ZA"/>
        </w:rPr>
      </w:pPr>
    </w:p>
    <w:p w:rsidR="00EF2F5A" w:rsidRPr="00942B75" w:rsidRDefault="006F7F2A" w:rsidP="00B32A97">
      <w:pPr>
        <w:pStyle w:val="NormalWeb"/>
        <w:shd w:val="clear" w:color="auto" w:fill="FFFFFF"/>
        <w:spacing w:before="0" w:beforeAutospacing="0" w:after="0" w:afterAutospacing="0" w:line="360" w:lineRule="auto"/>
        <w:jc w:val="both"/>
        <w:rPr>
          <w:rFonts w:ascii="Arial" w:hAnsi="Arial" w:cs="Arial"/>
          <w:lang w:val="en-ZA"/>
        </w:rPr>
      </w:pPr>
      <w:r w:rsidRPr="00942B75">
        <w:rPr>
          <w:rFonts w:ascii="Arial" w:hAnsi="Arial" w:cs="Arial"/>
          <w:lang w:val="en-ZA"/>
        </w:rPr>
        <w:t>[</w:t>
      </w:r>
      <w:r w:rsidR="00416298" w:rsidRPr="00942B75">
        <w:rPr>
          <w:rFonts w:ascii="Arial" w:hAnsi="Arial" w:cs="Arial"/>
          <w:lang w:val="en-ZA"/>
        </w:rPr>
        <w:t>8</w:t>
      </w:r>
      <w:r w:rsidRPr="00942B75">
        <w:rPr>
          <w:rFonts w:ascii="Arial" w:hAnsi="Arial" w:cs="Arial"/>
          <w:lang w:val="en-ZA"/>
        </w:rPr>
        <w:t>]</w:t>
      </w:r>
      <w:r w:rsidRPr="00942B75">
        <w:rPr>
          <w:rFonts w:ascii="Arial" w:hAnsi="Arial" w:cs="Arial"/>
          <w:lang w:val="en-ZA"/>
        </w:rPr>
        <w:tab/>
        <w:t xml:space="preserve">It is trite that </w:t>
      </w:r>
      <w:r w:rsidR="00DE5AF3" w:rsidRPr="00942B75">
        <w:rPr>
          <w:rFonts w:ascii="Arial" w:hAnsi="Arial" w:cs="Arial"/>
          <w:lang w:val="en-ZA"/>
        </w:rPr>
        <w:t>opposing affidavit has to contain a sufficient exposition of the facts which, if they were later to be proven and accepted by the trial court as true, would constitute a good defence in law</w:t>
      </w:r>
      <w:r w:rsidR="00B16A8F" w:rsidRPr="00942B75">
        <w:rPr>
          <w:rFonts w:ascii="Arial" w:hAnsi="Arial" w:cs="Arial"/>
          <w:lang w:val="en-ZA"/>
        </w:rPr>
        <w:t>.</w:t>
      </w:r>
      <w:r w:rsidR="00EF2F5A" w:rsidRPr="00942B75">
        <w:rPr>
          <w:rStyle w:val="FootnoteReference"/>
          <w:rFonts w:ascii="Arial" w:hAnsi="Arial" w:cs="Arial"/>
          <w:lang w:val="en-ZA"/>
        </w:rPr>
        <w:footnoteReference w:id="2"/>
      </w:r>
    </w:p>
    <w:p w:rsidR="00CA6800" w:rsidRPr="00942B75" w:rsidRDefault="00CA6800" w:rsidP="00B32A97">
      <w:pPr>
        <w:pStyle w:val="NormalWeb"/>
        <w:shd w:val="clear" w:color="auto" w:fill="FFFFFF"/>
        <w:spacing w:before="0" w:beforeAutospacing="0" w:after="0" w:afterAutospacing="0" w:line="360" w:lineRule="auto"/>
        <w:jc w:val="both"/>
        <w:rPr>
          <w:rFonts w:ascii="Arial" w:hAnsi="Arial" w:cs="Arial"/>
          <w:lang w:val="en-ZA"/>
        </w:rPr>
      </w:pPr>
    </w:p>
    <w:p w:rsidR="00DE5AF3" w:rsidRDefault="00EF2F5A" w:rsidP="00B32A97">
      <w:pPr>
        <w:pStyle w:val="NormalWeb"/>
        <w:shd w:val="clear" w:color="auto" w:fill="FFFFFF"/>
        <w:spacing w:before="0" w:beforeAutospacing="0" w:after="0" w:afterAutospacing="0" w:line="360" w:lineRule="auto"/>
        <w:jc w:val="both"/>
        <w:rPr>
          <w:rFonts w:ascii="Arial" w:hAnsi="Arial" w:cs="Arial"/>
          <w:lang w:val="en-ZA"/>
        </w:rPr>
      </w:pPr>
      <w:r w:rsidRPr="00942B75">
        <w:rPr>
          <w:rFonts w:ascii="Arial" w:hAnsi="Arial" w:cs="Arial"/>
          <w:lang w:val="en-ZA"/>
        </w:rPr>
        <w:t>[</w:t>
      </w:r>
      <w:r w:rsidR="00416298" w:rsidRPr="00942B75">
        <w:rPr>
          <w:rFonts w:ascii="Arial" w:hAnsi="Arial" w:cs="Arial"/>
          <w:lang w:val="en-ZA"/>
        </w:rPr>
        <w:t>9</w:t>
      </w:r>
      <w:r w:rsidRPr="00942B75">
        <w:rPr>
          <w:rFonts w:ascii="Arial" w:hAnsi="Arial" w:cs="Arial"/>
          <w:lang w:val="en-ZA"/>
        </w:rPr>
        <w:t>]</w:t>
      </w:r>
      <w:r w:rsidRPr="00942B75">
        <w:rPr>
          <w:rFonts w:ascii="Arial" w:hAnsi="Arial" w:cs="Arial"/>
          <w:lang w:val="en-ZA"/>
        </w:rPr>
        <w:tab/>
      </w:r>
      <w:r w:rsidR="00DE5AF3" w:rsidRPr="00942B75">
        <w:rPr>
          <w:rFonts w:ascii="Arial" w:hAnsi="Arial" w:cs="Arial"/>
          <w:lang w:val="en-ZA"/>
        </w:rPr>
        <w:t xml:space="preserve">The </w:t>
      </w:r>
      <w:r w:rsidR="0058143C" w:rsidRPr="00942B75">
        <w:rPr>
          <w:rFonts w:ascii="Arial" w:hAnsi="Arial" w:cs="Arial"/>
          <w:lang w:val="en-ZA"/>
        </w:rPr>
        <w:t xml:space="preserve">matter of </w:t>
      </w:r>
      <w:proofErr w:type="spellStart"/>
      <w:r w:rsidR="0058143C" w:rsidRPr="00942B75">
        <w:rPr>
          <w:rFonts w:ascii="Arial" w:hAnsi="Arial" w:cs="Arial"/>
          <w:i/>
          <w:lang w:val="en-ZA"/>
        </w:rPr>
        <w:t>Kukuri</w:t>
      </w:r>
      <w:proofErr w:type="spellEnd"/>
      <w:r w:rsidR="0058143C" w:rsidRPr="00942B75">
        <w:rPr>
          <w:rFonts w:ascii="Arial" w:hAnsi="Arial" w:cs="Arial"/>
          <w:i/>
          <w:lang w:val="en-ZA"/>
        </w:rPr>
        <w:t xml:space="preserve"> v Social Security Commission</w:t>
      </w:r>
      <w:r w:rsidR="0058143C" w:rsidRPr="00942B75">
        <w:rPr>
          <w:rFonts w:ascii="Arial" w:hAnsi="Arial" w:cs="Arial"/>
          <w:lang w:val="en-ZA"/>
        </w:rPr>
        <w:t xml:space="preserve"> SA17/2015 </w:t>
      </w:r>
      <w:proofErr w:type="spellStart"/>
      <w:r w:rsidR="0058143C" w:rsidRPr="00942B75">
        <w:rPr>
          <w:rFonts w:ascii="Arial" w:hAnsi="Arial" w:cs="Arial"/>
          <w:lang w:val="en-ZA"/>
        </w:rPr>
        <w:t>Mainga</w:t>
      </w:r>
      <w:proofErr w:type="spellEnd"/>
      <w:r w:rsidR="0058143C" w:rsidRPr="00942B75">
        <w:rPr>
          <w:rFonts w:ascii="Arial" w:hAnsi="Arial" w:cs="Arial"/>
          <w:lang w:val="en-ZA"/>
        </w:rPr>
        <w:t xml:space="preserve"> JA referred to the matter of</w:t>
      </w:r>
      <w:r w:rsidR="00416298" w:rsidRPr="00942B75">
        <w:rPr>
          <w:rFonts w:ascii="Arial" w:hAnsi="Arial" w:cs="Arial"/>
          <w:lang w:val="en-ZA"/>
        </w:rPr>
        <w:t xml:space="preserve"> </w:t>
      </w:r>
      <w:proofErr w:type="spellStart"/>
      <w:r w:rsidRPr="00942B75">
        <w:rPr>
          <w:rFonts w:ascii="Arial" w:hAnsi="Arial" w:cs="Arial"/>
          <w:bCs/>
          <w:i/>
          <w:lang w:val="en-ZA"/>
        </w:rPr>
        <w:t>Maharaj</w:t>
      </w:r>
      <w:proofErr w:type="spellEnd"/>
      <w:r w:rsidRPr="00942B75">
        <w:rPr>
          <w:rFonts w:ascii="Arial" w:hAnsi="Arial" w:cs="Arial"/>
          <w:bCs/>
          <w:i/>
          <w:lang w:val="en-ZA"/>
        </w:rPr>
        <w:t xml:space="preserve"> v Barclays National Bank</w:t>
      </w:r>
      <w:r w:rsidRPr="00942B75">
        <w:rPr>
          <w:rStyle w:val="FootnoteReference"/>
          <w:rFonts w:ascii="Arial" w:hAnsi="Arial" w:cs="Arial"/>
          <w:bCs/>
          <w:i/>
          <w:lang w:val="en-ZA"/>
        </w:rPr>
        <w:footnoteReference w:id="3"/>
      </w:r>
      <w:r w:rsidRPr="00942B75">
        <w:rPr>
          <w:rFonts w:ascii="Arial" w:hAnsi="Arial" w:cs="Arial"/>
          <w:lang w:val="en-ZA"/>
        </w:rPr>
        <w:t xml:space="preserve">  </w:t>
      </w:r>
      <w:r w:rsidR="00DE5AF3" w:rsidRPr="00942B75">
        <w:rPr>
          <w:rFonts w:ascii="Arial" w:hAnsi="Arial" w:cs="Arial"/>
          <w:lang w:val="en-ZA"/>
        </w:rPr>
        <w:t>where Corbett JA had this to say about the ambit of the rule of disclosure as it applies to the remedy of summary judgment</w:t>
      </w:r>
      <w:r w:rsidR="00B16A8F" w:rsidRPr="00942B75">
        <w:rPr>
          <w:rFonts w:ascii="Arial" w:hAnsi="Arial" w:cs="Arial"/>
          <w:lang w:val="en-ZA"/>
        </w:rPr>
        <w:t>:</w:t>
      </w:r>
      <w:r w:rsidR="00416298" w:rsidRPr="00942B75">
        <w:rPr>
          <w:rStyle w:val="FootnoteReference"/>
          <w:rFonts w:ascii="Arial" w:hAnsi="Arial" w:cs="Arial"/>
          <w:lang w:val="en-ZA"/>
        </w:rPr>
        <w:footnoteReference w:id="4"/>
      </w:r>
    </w:p>
    <w:p w:rsidR="00B32A97" w:rsidRPr="00942B75" w:rsidRDefault="00B32A97" w:rsidP="00B32A97">
      <w:pPr>
        <w:pStyle w:val="NormalWeb"/>
        <w:shd w:val="clear" w:color="auto" w:fill="FFFFFF"/>
        <w:spacing w:before="0" w:beforeAutospacing="0" w:after="0" w:afterAutospacing="0" w:line="360" w:lineRule="auto"/>
        <w:jc w:val="both"/>
        <w:rPr>
          <w:rFonts w:ascii="Arial" w:hAnsi="Arial" w:cs="Arial"/>
          <w:sz w:val="27"/>
          <w:szCs w:val="27"/>
        </w:rPr>
      </w:pPr>
    </w:p>
    <w:p w:rsidR="00DE5AF3" w:rsidRPr="00942B75" w:rsidRDefault="00B16A8F" w:rsidP="00CA6800">
      <w:pPr>
        <w:pStyle w:val="NormalWeb"/>
        <w:shd w:val="clear" w:color="auto" w:fill="FFFFFF"/>
        <w:spacing w:before="144" w:beforeAutospacing="0" w:after="0" w:afterAutospacing="0" w:line="360" w:lineRule="auto"/>
        <w:jc w:val="both"/>
        <w:rPr>
          <w:rFonts w:ascii="Arial" w:hAnsi="Arial" w:cs="Arial"/>
          <w:sz w:val="22"/>
          <w:szCs w:val="22"/>
          <w:lang w:val="en-ZA"/>
        </w:rPr>
      </w:pPr>
      <w:r w:rsidRPr="00942B75">
        <w:rPr>
          <w:rFonts w:ascii="Arial" w:hAnsi="Arial" w:cs="Arial"/>
          <w:sz w:val="27"/>
          <w:szCs w:val="27"/>
        </w:rPr>
        <w:lastRenderedPageBreak/>
        <w:t>‘</w:t>
      </w:r>
      <w:r w:rsidR="0058143C" w:rsidRPr="00942B75">
        <w:rPr>
          <w:rFonts w:ascii="Arial" w:hAnsi="Arial" w:cs="Arial"/>
          <w:sz w:val="22"/>
          <w:szCs w:val="22"/>
        </w:rPr>
        <w:t xml:space="preserve">All that the court enquires into is: (a) whether the defendant has “fully” disclosed the nature and grounds of his </w:t>
      </w:r>
      <w:proofErr w:type="spellStart"/>
      <w:r w:rsidR="0058143C" w:rsidRPr="00942B75">
        <w:rPr>
          <w:rFonts w:ascii="Arial" w:hAnsi="Arial" w:cs="Arial"/>
          <w:sz w:val="22"/>
          <w:szCs w:val="22"/>
        </w:rPr>
        <w:t>defence</w:t>
      </w:r>
      <w:proofErr w:type="spellEnd"/>
      <w:r w:rsidR="0058143C" w:rsidRPr="00942B75">
        <w:rPr>
          <w:rFonts w:ascii="Arial" w:hAnsi="Arial" w:cs="Arial"/>
          <w:sz w:val="22"/>
          <w:szCs w:val="22"/>
        </w:rPr>
        <w:t xml:space="preserve"> and the material facts upon which it is founded, and (b) whether on the facts so disclosed the defendant appears to have, as either the whole or part of claim, a </w:t>
      </w:r>
      <w:proofErr w:type="spellStart"/>
      <w:r w:rsidR="0058143C" w:rsidRPr="00942B75">
        <w:rPr>
          <w:rFonts w:ascii="Arial" w:hAnsi="Arial" w:cs="Arial"/>
          <w:sz w:val="22"/>
          <w:szCs w:val="22"/>
        </w:rPr>
        <w:t>defence</w:t>
      </w:r>
      <w:proofErr w:type="spellEnd"/>
      <w:r w:rsidR="0058143C" w:rsidRPr="00942B75">
        <w:rPr>
          <w:rFonts w:ascii="Arial" w:hAnsi="Arial" w:cs="Arial"/>
          <w:sz w:val="22"/>
          <w:szCs w:val="22"/>
        </w:rPr>
        <w:t xml:space="preserve"> which is both bona fide and good in law. </w:t>
      </w:r>
      <w:r w:rsidR="00416298" w:rsidRPr="00942B75">
        <w:rPr>
          <w:rFonts w:ascii="Arial" w:hAnsi="Arial" w:cs="Arial"/>
          <w:sz w:val="22"/>
          <w:szCs w:val="22"/>
        </w:rPr>
        <w:t>If satisfied on these matters the court must refuse summary judgment, either wholly or in part, as the case may be.</w:t>
      </w:r>
      <w:r w:rsidR="00416298" w:rsidRPr="00942B75">
        <w:rPr>
          <w:rFonts w:ascii="Arial" w:hAnsi="Arial" w:cs="Arial"/>
          <w:sz w:val="27"/>
          <w:szCs w:val="27"/>
        </w:rPr>
        <w:t xml:space="preserve"> </w:t>
      </w:r>
      <w:r w:rsidR="00DE5AF3" w:rsidRPr="00942B75">
        <w:rPr>
          <w:rFonts w:ascii="Arial" w:hAnsi="Arial" w:cs="Arial"/>
          <w:sz w:val="22"/>
          <w:szCs w:val="22"/>
          <w:lang w:val="en-ZA"/>
        </w:rPr>
        <w:t>The word “fully”, as used in the context of the Rule (and its</w:t>
      </w:r>
      <w:r w:rsidR="00CA10E7" w:rsidRPr="00942B75">
        <w:rPr>
          <w:rFonts w:ascii="Arial" w:hAnsi="Arial" w:cs="Arial"/>
          <w:sz w:val="22"/>
          <w:szCs w:val="22"/>
          <w:lang w:val="en-ZA"/>
        </w:rPr>
        <w:t xml:space="preserve"> p</w:t>
      </w:r>
      <w:r w:rsidR="00DE5AF3" w:rsidRPr="00942B75">
        <w:rPr>
          <w:rFonts w:ascii="Arial" w:hAnsi="Arial" w:cs="Arial"/>
          <w:sz w:val="22"/>
          <w:szCs w:val="22"/>
          <w:lang w:val="en-ZA"/>
        </w:rPr>
        <w:t>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w:t>
      </w:r>
      <w:r w:rsidR="00DE5AF3" w:rsidRPr="00942B75">
        <w:rPr>
          <w:rFonts w:ascii="Arial" w:hAnsi="Arial" w:cs="Arial"/>
          <w:i/>
          <w:iCs/>
          <w:sz w:val="22"/>
          <w:szCs w:val="22"/>
          <w:lang w:val="en-ZA"/>
        </w:rPr>
        <w:t>bona fide</w:t>
      </w:r>
      <w:r w:rsidRPr="00942B75">
        <w:rPr>
          <w:rFonts w:ascii="Arial" w:hAnsi="Arial" w:cs="Arial"/>
          <w:sz w:val="22"/>
          <w:szCs w:val="22"/>
          <w:lang w:val="en-ZA"/>
        </w:rPr>
        <w:t> defence.’</w:t>
      </w:r>
    </w:p>
    <w:p w:rsidR="00CA6800" w:rsidRPr="00942B75" w:rsidRDefault="00CA6800" w:rsidP="004C0134">
      <w:pPr>
        <w:pStyle w:val="NormalWeb"/>
        <w:shd w:val="clear" w:color="auto" w:fill="FFFFFF"/>
        <w:spacing w:before="144" w:beforeAutospacing="0" w:after="288" w:afterAutospacing="0" w:line="360" w:lineRule="auto"/>
        <w:jc w:val="both"/>
        <w:rPr>
          <w:rFonts w:ascii="Arial" w:hAnsi="Arial" w:cs="Arial"/>
          <w:sz w:val="22"/>
          <w:szCs w:val="22"/>
        </w:rPr>
      </w:pPr>
    </w:p>
    <w:p w:rsidR="00CA6800" w:rsidRPr="00942B75" w:rsidRDefault="00416298" w:rsidP="00CA6800">
      <w:pPr>
        <w:pStyle w:val="NormalWeb"/>
        <w:shd w:val="clear" w:color="auto" w:fill="FFFFFF"/>
        <w:spacing w:before="144" w:beforeAutospacing="0" w:after="0" w:afterAutospacing="0" w:line="360" w:lineRule="auto"/>
        <w:jc w:val="both"/>
        <w:rPr>
          <w:rFonts w:ascii="Arial" w:hAnsi="Arial" w:cs="Arial"/>
          <w:lang w:val="en-ZA"/>
        </w:rPr>
      </w:pPr>
      <w:r w:rsidRPr="00942B75">
        <w:rPr>
          <w:rFonts w:ascii="Arial" w:hAnsi="Arial" w:cs="Arial"/>
          <w:lang w:val="en-ZA"/>
        </w:rPr>
        <w:t>[10]</w:t>
      </w:r>
      <w:r w:rsidRPr="00942B75">
        <w:rPr>
          <w:lang w:val="en-ZA"/>
        </w:rPr>
        <w:tab/>
      </w:r>
      <w:r w:rsidR="00DE5AF3" w:rsidRPr="00942B75">
        <w:rPr>
          <w:rFonts w:ascii="Arial" w:hAnsi="Arial" w:cs="Arial"/>
          <w:lang w:val="en-ZA"/>
        </w:rPr>
        <w:t>The principle generally requires that details of the defence, the grounds thereof and the underlying material facts must be disclosed with sufficient particularity and completeness in the</w:t>
      </w:r>
      <w:r w:rsidR="00CA6800" w:rsidRPr="00942B75">
        <w:rPr>
          <w:rFonts w:ascii="Arial" w:hAnsi="Arial" w:cs="Arial"/>
          <w:lang w:val="en-ZA"/>
        </w:rPr>
        <w:t xml:space="preserve"> defendant’s opposing affidavit.</w:t>
      </w:r>
    </w:p>
    <w:p w:rsidR="00CA6800" w:rsidRPr="00942B75" w:rsidRDefault="00CA6800" w:rsidP="00CA6800">
      <w:pPr>
        <w:pStyle w:val="NormalWeb"/>
        <w:shd w:val="clear" w:color="auto" w:fill="FFFFFF"/>
        <w:spacing w:before="144" w:beforeAutospacing="0" w:after="0" w:afterAutospacing="0" w:line="360" w:lineRule="auto"/>
        <w:jc w:val="both"/>
        <w:rPr>
          <w:rFonts w:ascii="Arial" w:hAnsi="Arial" w:cs="Arial"/>
          <w:lang w:val="en-ZA"/>
        </w:rPr>
      </w:pPr>
    </w:p>
    <w:p w:rsidR="00CA6800" w:rsidRPr="00B32A97" w:rsidRDefault="00416298" w:rsidP="004C0134">
      <w:pPr>
        <w:pStyle w:val="Header"/>
        <w:tabs>
          <w:tab w:val="left" w:pos="720"/>
        </w:tabs>
        <w:rPr>
          <w:u w:val="single"/>
        </w:rPr>
      </w:pPr>
      <w:r w:rsidRPr="00B32A97">
        <w:rPr>
          <w:u w:val="single"/>
        </w:rPr>
        <w:t>Facts undisputed</w:t>
      </w:r>
    </w:p>
    <w:p w:rsidR="00CA6800" w:rsidRPr="00942B75" w:rsidRDefault="00CA6800" w:rsidP="004C0134">
      <w:pPr>
        <w:pStyle w:val="Header"/>
        <w:tabs>
          <w:tab w:val="left" w:pos="720"/>
        </w:tabs>
        <w:rPr>
          <w:i/>
        </w:rPr>
      </w:pPr>
    </w:p>
    <w:p w:rsidR="00B32A97" w:rsidRDefault="00416298" w:rsidP="004C0134">
      <w:pPr>
        <w:pStyle w:val="Header"/>
        <w:tabs>
          <w:tab w:val="left" w:pos="720"/>
        </w:tabs>
        <w:rPr>
          <w:shd w:val="clear" w:color="auto" w:fill="FFFFFF"/>
        </w:rPr>
      </w:pPr>
      <w:r w:rsidRPr="00942B75">
        <w:rPr>
          <w:shd w:val="clear" w:color="auto" w:fill="FFFFFF"/>
        </w:rPr>
        <w:t>[11]</w:t>
      </w:r>
      <w:r w:rsidRPr="00942B75">
        <w:rPr>
          <w:shd w:val="clear" w:color="auto" w:fill="FFFFFF"/>
        </w:rPr>
        <w:tab/>
        <w:t xml:space="preserve">With regards to the sufficient particularity and completeness of the opposing affidavit the following issues were not addressed and is therefore regarded as undisputed. </w:t>
      </w:r>
      <w:r w:rsidR="00206A90" w:rsidRPr="00942B75">
        <w:rPr>
          <w:shd w:val="clear" w:color="auto" w:fill="FFFFFF"/>
        </w:rPr>
        <w:t>T</w:t>
      </w:r>
      <w:r w:rsidRPr="00942B75">
        <w:rPr>
          <w:shd w:val="clear" w:color="auto" w:fill="FFFFFF"/>
        </w:rPr>
        <w:t xml:space="preserve">he first defendant- </w:t>
      </w:r>
      <w:r w:rsidRPr="00942B75">
        <w:rPr>
          <w:shd w:val="clear" w:color="auto" w:fill="FFFFFF"/>
        </w:rPr>
        <w:tab/>
      </w:r>
    </w:p>
    <w:p w:rsidR="00416298" w:rsidRPr="00942B75" w:rsidRDefault="00416298" w:rsidP="004C0134">
      <w:pPr>
        <w:pStyle w:val="Header"/>
        <w:tabs>
          <w:tab w:val="left" w:pos="720"/>
        </w:tabs>
        <w:rPr>
          <w:shd w:val="clear" w:color="auto" w:fill="FFFFFF"/>
        </w:rPr>
      </w:pPr>
      <w:r w:rsidRPr="00942B75">
        <w:rPr>
          <w:shd w:val="clear" w:color="auto" w:fill="FFFFFF"/>
        </w:rPr>
        <w:t xml:space="preserve"> </w:t>
      </w:r>
    </w:p>
    <w:p w:rsidR="00416298" w:rsidRDefault="00416298" w:rsidP="00B32A97">
      <w:pPr>
        <w:pStyle w:val="Header"/>
        <w:numPr>
          <w:ilvl w:val="0"/>
          <w:numId w:val="8"/>
        </w:numPr>
        <w:tabs>
          <w:tab w:val="left" w:pos="0"/>
        </w:tabs>
        <w:ind w:hanging="720"/>
        <w:rPr>
          <w:shd w:val="clear" w:color="auto" w:fill="FFFFFF"/>
        </w:rPr>
      </w:pPr>
      <w:r w:rsidRPr="00942B75">
        <w:rPr>
          <w:shd w:val="clear" w:color="auto" w:fill="FFFFFF"/>
        </w:rPr>
        <w:t>does not deny or dispute that the plaintiff has in its possession a Certificate of payment to the Contractor by the Employer ( ‘ZF1’);</w:t>
      </w:r>
    </w:p>
    <w:p w:rsidR="00B32A97" w:rsidRPr="00942B75" w:rsidRDefault="00B32A97" w:rsidP="00B32A97">
      <w:pPr>
        <w:pStyle w:val="Header"/>
        <w:tabs>
          <w:tab w:val="left" w:pos="0"/>
        </w:tabs>
        <w:ind w:left="720" w:hanging="720"/>
        <w:rPr>
          <w:shd w:val="clear" w:color="auto" w:fill="FFFFFF"/>
        </w:rPr>
      </w:pPr>
    </w:p>
    <w:p w:rsidR="00416298" w:rsidRDefault="00416298" w:rsidP="00B32A97">
      <w:pPr>
        <w:pStyle w:val="Header"/>
        <w:numPr>
          <w:ilvl w:val="0"/>
          <w:numId w:val="8"/>
        </w:numPr>
        <w:tabs>
          <w:tab w:val="left" w:pos="0"/>
        </w:tabs>
        <w:ind w:hanging="720"/>
        <w:rPr>
          <w:shd w:val="clear" w:color="auto" w:fill="FFFFFF"/>
        </w:rPr>
      </w:pPr>
      <w:r w:rsidRPr="00942B75">
        <w:rPr>
          <w:shd w:val="clear" w:color="auto" w:fill="FFFFFF"/>
        </w:rPr>
        <w:t>does not deny or dispute that it is in possession of the written agreement;</w:t>
      </w:r>
    </w:p>
    <w:p w:rsidR="00B32A97" w:rsidRPr="00942B75" w:rsidRDefault="00B32A97" w:rsidP="00B32A97">
      <w:pPr>
        <w:pStyle w:val="Header"/>
        <w:tabs>
          <w:tab w:val="left" w:pos="0"/>
        </w:tabs>
        <w:ind w:hanging="720"/>
        <w:rPr>
          <w:shd w:val="clear" w:color="auto" w:fill="FFFFFF"/>
        </w:rPr>
      </w:pPr>
    </w:p>
    <w:p w:rsidR="00B32A97" w:rsidRDefault="00416298" w:rsidP="00B32A97">
      <w:pPr>
        <w:pStyle w:val="Header"/>
        <w:numPr>
          <w:ilvl w:val="0"/>
          <w:numId w:val="8"/>
        </w:numPr>
        <w:tabs>
          <w:tab w:val="left" w:pos="0"/>
        </w:tabs>
        <w:ind w:hanging="720"/>
        <w:rPr>
          <w:shd w:val="clear" w:color="auto" w:fill="FFFFFF"/>
        </w:rPr>
      </w:pPr>
      <w:r w:rsidRPr="00942B75">
        <w:rPr>
          <w:shd w:val="clear" w:color="auto" w:fill="FFFFFF"/>
        </w:rPr>
        <w:t>does not deny or dispute the conclusion of the agreement or its material terms as set out in paragraph 3.2 supra;</w:t>
      </w:r>
    </w:p>
    <w:p w:rsidR="00B32A97" w:rsidRPr="00B32A97" w:rsidRDefault="00B32A97" w:rsidP="00B32A97">
      <w:pPr>
        <w:pStyle w:val="Header"/>
        <w:tabs>
          <w:tab w:val="left" w:pos="0"/>
        </w:tabs>
        <w:ind w:hanging="720"/>
        <w:rPr>
          <w:shd w:val="clear" w:color="auto" w:fill="FFFFFF"/>
        </w:rPr>
      </w:pPr>
    </w:p>
    <w:p w:rsidR="00416298" w:rsidRDefault="00416298" w:rsidP="00B32A97">
      <w:pPr>
        <w:pStyle w:val="Header"/>
        <w:numPr>
          <w:ilvl w:val="0"/>
          <w:numId w:val="8"/>
        </w:numPr>
        <w:tabs>
          <w:tab w:val="left" w:pos="0"/>
        </w:tabs>
        <w:ind w:hanging="720"/>
        <w:rPr>
          <w:shd w:val="clear" w:color="auto" w:fill="FFFFFF"/>
        </w:rPr>
      </w:pPr>
      <w:r w:rsidRPr="00942B75">
        <w:rPr>
          <w:shd w:val="clear" w:color="auto" w:fill="FFFFFF"/>
        </w:rPr>
        <w:lastRenderedPageBreak/>
        <w:t>does not deny or dispute that the plaintiff duly complied with its obligations in terms of the agreement (relevant to the relief sought);</w:t>
      </w:r>
    </w:p>
    <w:p w:rsidR="00B32A97" w:rsidRPr="00942B75" w:rsidRDefault="00B32A97" w:rsidP="00B32A97">
      <w:pPr>
        <w:pStyle w:val="Header"/>
        <w:tabs>
          <w:tab w:val="left" w:pos="0"/>
        </w:tabs>
        <w:ind w:hanging="720"/>
        <w:rPr>
          <w:shd w:val="clear" w:color="auto" w:fill="FFFFFF"/>
        </w:rPr>
      </w:pPr>
    </w:p>
    <w:p w:rsidR="00416298" w:rsidRDefault="00416298" w:rsidP="00B32A97">
      <w:pPr>
        <w:pStyle w:val="Header"/>
        <w:numPr>
          <w:ilvl w:val="0"/>
          <w:numId w:val="8"/>
        </w:numPr>
        <w:tabs>
          <w:tab w:val="left" w:pos="0"/>
        </w:tabs>
        <w:ind w:hanging="720"/>
        <w:rPr>
          <w:shd w:val="clear" w:color="auto" w:fill="FFFFFF"/>
        </w:rPr>
      </w:pPr>
      <w:r w:rsidRPr="00942B75">
        <w:rPr>
          <w:shd w:val="clear" w:color="auto" w:fill="FFFFFF"/>
        </w:rPr>
        <w:t>does not deny or dispute that the plaintiff attended to and finalized the project;</w:t>
      </w:r>
    </w:p>
    <w:p w:rsidR="00B32A97" w:rsidRPr="00942B75" w:rsidRDefault="00B32A97" w:rsidP="00B32A97">
      <w:pPr>
        <w:pStyle w:val="Header"/>
        <w:tabs>
          <w:tab w:val="left" w:pos="0"/>
        </w:tabs>
        <w:ind w:hanging="720"/>
        <w:rPr>
          <w:shd w:val="clear" w:color="auto" w:fill="FFFFFF"/>
        </w:rPr>
      </w:pPr>
    </w:p>
    <w:p w:rsidR="00416298" w:rsidRPr="00942B75" w:rsidRDefault="004F34BD" w:rsidP="00B32A97">
      <w:pPr>
        <w:pStyle w:val="Header"/>
        <w:tabs>
          <w:tab w:val="left" w:pos="720"/>
        </w:tabs>
        <w:ind w:hanging="720"/>
        <w:rPr>
          <w:shd w:val="clear" w:color="auto" w:fill="FFFFFF"/>
        </w:rPr>
      </w:pPr>
      <w:r w:rsidRPr="00942B75">
        <w:rPr>
          <w:shd w:val="clear" w:color="auto" w:fill="FFFFFF"/>
        </w:rPr>
        <w:tab/>
        <w:t xml:space="preserve">f)  </w:t>
      </w:r>
      <w:r w:rsidR="00B32A97">
        <w:rPr>
          <w:shd w:val="clear" w:color="auto" w:fill="FFFFFF"/>
        </w:rPr>
        <w:tab/>
      </w:r>
      <w:proofErr w:type="gramStart"/>
      <w:r w:rsidR="00416298" w:rsidRPr="00942B75">
        <w:rPr>
          <w:shd w:val="clear" w:color="auto" w:fill="FFFFFF"/>
        </w:rPr>
        <w:t>does</w:t>
      </w:r>
      <w:proofErr w:type="gramEnd"/>
      <w:r w:rsidR="00416298" w:rsidRPr="00942B75">
        <w:rPr>
          <w:shd w:val="clear" w:color="auto" w:fill="FFFFFF"/>
        </w:rPr>
        <w:t xml:space="preserve"> not make out a case for prejudice suffered in the answering affidavit.</w:t>
      </w:r>
      <w:r w:rsidR="00416298" w:rsidRPr="00942B75">
        <w:rPr>
          <w:shd w:val="clear" w:color="auto" w:fill="FFFFFF"/>
        </w:rPr>
        <w:tab/>
      </w:r>
    </w:p>
    <w:p w:rsidR="00736022" w:rsidRPr="00942B75" w:rsidRDefault="00736022" w:rsidP="004C0134">
      <w:pPr>
        <w:pStyle w:val="Header"/>
        <w:tabs>
          <w:tab w:val="left" w:pos="720"/>
        </w:tabs>
        <w:rPr>
          <w:bCs/>
          <w:lang w:val="en-GB"/>
        </w:rPr>
      </w:pPr>
    </w:p>
    <w:p w:rsidR="00A83E00" w:rsidRPr="00B32A97" w:rsidRDefault="00A83E00" w:rsidP="004C0134">
      <w:pPr>
        <w:pStyle w:val="Header"/>
        <w:tabs>
          <w:tab w:val="left" w:pos="720"/>
        </w:tabs>
        <w:rPr>
          <w:bCs/>
          <w:u w:val="single"/>
          <w:lang w:val="en-GB"/>
        </w:rPr>
      </w:pPr>
      <w:r w:rsidRPr="00B32A97">
        <w:rPr>
          <w:bCs/>
          <w:u w:val="single"/>
          <w:lang w:val="en-GB"/>
        </w:rPr>
        <w:t>Purely technical defence</w:t>
      </w:r>
      <w:r w:rsidR="00206A90" w:rsidRPr="00B32A97">
        <w:rPr>
          <w:bCs/>
          <w:u w:val="single"/>
          <w:lang w:val="en-GB"/>
        </w:rPr>
        <w:t xml:space="preserve"> </w:t>
      </w:r>
    </w:p>
    <w:p w:rsidR="00B32A97" w:rsidRPr="00942B75" w:rsidRDefault="00B32A97" w:rsidP="004C0134">
      <w:pPr>
        <w:pStyle w:val="Header"/>
        <w:tabs>
          <w:tab w:val="left" w:pos="720"/>
        </w:tabs>
        <w:rPr>
          <w:bCs/>
          <w:lang w:val="en-GB"/>
        </w:rPr>
      </w:pPr>
    </w:p>
    <w:p w:rsidR="00F43605" w:rsidRPr="00942B75" w:rsidRDefault="00416298" w:rsidP="004C0134">
      <w:pPr>
        <w:pStyle w:val="Header"/>
        <w:tabs>
          <w:tab w:val="left" w:pos="720"/>
        </w:tabs>
        <w:rPr>
          <w:bCs/>
          <w:lang w:val="en-GB"/>
        </w:rPr>
      </w:pPr>
      <w:r w:rsidRPr="00942B75">
        <w:rPr>
          <w:bCs/>
          <w:lang w:val="en-GB"/>
        </w:rPr>
        <w:t>[12]</w:t>
      </w:r>
      <w:r w:rsidRPr="00942B75">
        <w:rPr>
          <w:bCs/>
          <w:lang w:val="en-GB"/>
        </w:rPr>
        <w:tab/>
        <w:t xml:space="preserve">The issues left undisputed cuts to the heart of this matter and if these facts remain undisputed is there then merits in the argument on behalf of the applicant that the </w:t>
      </w:r>
      <w:r w:rsidR="00F43605" w:rsidRPr="00942B75">
        <w:rPr>
          <w:bCs/>
          <w:lang w:val="en-GB"/>
        </w:rPr>
        <w:t>defence</w:t>
      </w:r>
      <w:r w:rsidRPr="00942B75">
        <w:rPr>
          <w:bCs/>
          <w:lang w:val="en-GB"/>
        </w:rPr>
        <w:t xml:space="preserve"> of the respondent is </w:t>
      </w:r>
      <w:r w:rsidR="00F43605" w:rsidRPr="00942B75">
        <w:rPr>
          <w:bCs/>
          <w:lang w:val="en-GB"/>
        </w:rPr>
        <w:t>purely technical?</w:t>
      </w:r>
    </w:p>
    <w:p w:rsidR="00F43605" w:rsidRPr="00942B75" w:rsidRDefault="00F43605" w:rsidP="004C0134">
      <w:pPr>
        <w:pStyle w:val="Header"/>
        <w:tabs>
          <w:tab w:val="left" w:pos="720"/>
        </w:tabs>
        <w:rPr>
          <w:bCs/>
          <w:lang w:val="en-GB"/>
        </w:rPr>
      </w:pPr>
    </w:p>
    <w:p w:rsidR="00F43605" w:rsidRPr="00942B75" w:rsidRDefault="00F43605" w:rsidP="004C0134">
      <w:pPr>
        <w:pStyle w:val="Header"/>
        <w:tabs>
          <w:tab w:val="left" w:pos="720"/>
        </w:tabs>
      </w:pPr>
      <w:r w:rsidRPr="00942B75">
        <w:rPr>
          <w:bCs/>
          <w:lang w:val="en-GB"/>
        </w:rPr>
        <w:t>[13]</w:t>
      </w:r>
      <w:r w:rsidRPr="00942B75">
        <w:rPr>
          <w:bCs/>
          <w:lang w:val="en-GB"/>
        </w:rPr>
        <w:tab/>
        <w:t>As is clear from paragraph 4 supra the defences of the respondent is now limited to a) non-compliance with Rule 45(7) and b) reliance on ‘government protocol and systems’ and ‘general operation protocols</w:t>
      </w:r>
      <w:r w:rsidRPr="00942B75">
        <w:t xml:space="preserve">‘. The </w:t>
      </w:r>
      <w:proofErr w:type="spellStart"/>
      <w:r w:rsidRPr="00942B75">
        <w:t>defence</w:t>
      </w:r>
      <w:proofErr w:type="spellEnd"/>
      <w:r w:rsidRPr="00942B75">
        <w:t xml:space="preserve"> clearly does not go to merits of the matter before me. </w:t>
      </w:r>
    </w:p>
    <w:p w:rsidR="00F43605" w:rsidRPr="00942B75" w:rsidRDefault="00F43605" w:rsidP="004C0134">
      <w:pPr>
        <w:pStyle w:val="Header"/>
        <w:tabs>
          <w:tab w:val="left" w:pos="720"/>
        </w:tabs>
      </w:pPr>
    </w:p>
    <w:p w:rsidR="00F43605" w:rsidRPr="00942B75" w:rsidRDefault="00F43605" w:rsidP="004C0134">
      <w:pPr>
        <w:pStyle w:val="Header"/>
        <w:tabs>
          <w:tab w:val="left" w:pos="720"/>
        </w:tabs>
      </w:pPr>
      <w:r w:rsidRPr="00942B75">
        <w:t>[14]</w:t>
      </w:r>
      <w:r w:rsidRPr="00942B75">
        <w:tab/>
        <w:t xml:space="preserve"> In the matter of Liberty Group Ltd v Singh and Another 2012 (5) SA 526 (KZD</w:t>
      </w:r>
      <w:proofErr w:type="gramStart"/>
      <w:r w:rsidRPr="00942B75">
        <w:t>)  at</w:t>
      </w:r>
      <w:proofErr w:type="gramEnd"/>
      <w:r w:rsidRPr="00942B75">
        <w:t xml:space="preserve"> 538 B-H Swain J stated as follows: </w:t>
      </w:r>
    </w:p>
    <w:p w:rsidR="00B16A8F" w:rsidRPr="00942B75" w:rsidRDefault="00F43605" w:rsidP="004C0134">
      <w:pPr>
        <w:pStyle w:val="Header"/>
        <w:tabs>
          <w:tab w:val="left" w:pos="720"/>
        </w:tabs>
        <w:rPr>
          <w:bCs/>
          <w:lang w:val="en-GB"/>
        </w:rPr>
      </w:pPr>
      <w:r w:rsidRPr="00942B75">
        <w:rPr>
          <w:bCs/>
          <w:lang w:val="en-GB"/>
        </w:rPr>
        <w:t xml:space="preserve"> </w:t>
      </w:r>
    </w:p>
    <w:p w:rsidR="00A83E00" w:rsidRDefault="00F43605" w:rsidP="004C0134">
      <w:pPr>
        <w:pStyle w:val="Header"/>
        <w:tabs>
          <w:tab w:val="left" w:pos="720"/>
        </w:tabs>
        <w:rPr>
          <w:bCs/>
          <w:sz w:val="22"/>
          <w:szCs w:val="22"/>
          <w:lang w:val="en-GB"/>
        </w:rPr>
      </w:pPr>
      <w:r w:rsidRPr="00942B75">
        <w:rPr>
          <w:bCs/>
          <w:sz w:val="22"/>
          <w:szCs w:val="22"/>
          <w:lang w:val="en-GB"/>
        </w:rPr>
        <w:t>‘</w:t>
      </w:r>
      <w:r w:rsidR="00157710" w:rsidRPr="00942B75">
        <w:rPr>
          <w:bCs/>
          <w:sz w:val="22"/>
          <w:szCs w:val="22"/>
          <w:lang w:val="en-GB"/>
        </w:rPr>
        <w:t>[43]………………………..</w:t>
      </w:r>
      <w:r w:rsidR="00A83E00" w:rsidRPr="00942B75">
        <w:rPr>
          <w:bCs/>
          <w:sz w:val="22"/>
          <w:szCs w:val="22"/>
          <w:lang w:val="en-GB"/>
        </w:rPr>
        <w:t xml:space="preserve">The approach to be adopted to procedural or technical irregularities in a plaintiff's cause of action in summary judgment proceedings has been dealt with in a number of cases. The high-water mark in an insistence upon procedural or technical regularity on the part of a plaintiff in summary judgment proceedings is found in the remarks of Marais J in the case of </w:t>
      </w:r>
      <w:proofErr w:type="spellStart"/>
      <w:r w:rsidR="00A83E00" w:rsidRPr="00942B75">
        <w:rPr>
          <w:bCs/>
          <w:i/>
          <w:sz w:val="22"/>
          <w:szCs w:val="22"/>
          <w:lang w:val="en-GB"/>
        </w:rPr>
        <w:t>Mowschenson</w:t>
      </w:r>
      <w:proofErr w:type="spellEnd"/>
      <w:r w:rsidR="00A83E00" w:rsidRPr="00942B75">
        <w:rPr>
          <w:bCs/>
          <w:i/>
          <w:sz w:val="22"/>
          <w:szCs w:val="22"/>
          <w:lang w:val="en-GB"/>
        </w:rPr>
        <w:t xml:space="preserve"> and </w:t>
      </w:r>
      <w:proofErr w:type="spellStart"/>
      <w:r w:rsidR="00A83E00" w:rsidRPr="00942B75">
        <w:rPr>
          <w:bCs/>
          <w:i/>
          <w:sz w:val="22"/>
          <w:szCs w:val="22"/>
          <w:lang w:val="en-GB"/>
        </w:rPr>
        <w:t>Mowschenson</w:t>
      </w:r>
      <w:proofErr w:type="spellEnd"/>
      <w:r w:rsidR="00A83E00" w:rsidRPr="00942B75">
        <w:rPr>
          <w:bCs/>
          <w:i/>
          <w:sz w:val="22"/>
          <w:szCs w:val="22"/>
          <w:lang w:val="en-GB"/>
        </w:rPr>
        <w:t xml:space="preserve"> v Mercantile Acceptance Corporation of South Africa Ltd</w:t>
      </w:r>
      <w:r w:rsidR="00A83E00" w:rsidRPr="00942B75">
        <w:rPr>
          <w:bCs/>
          <w:sz w:val="22"/>
          <w:szCs w:val="22"/>
          <w:lang w:val="en-GB"/>
        </w:rPr>
        <w:t> 1959 (3) SA 362 (W) at 366F, where after pointing out that summary judgment is a stringent remedy and that it can only be granted if there is no doubt that the plaintiff has an unanswerable case, said the following:</w:t>
      </w:r>
    </w:p>
    <w:p w:rsidR="00F26682" w:rsidRPr="00942B75" w:rsidRDefault="00F26682" w:rsidP="004C0134">
      <w:pPr>
        <w:pStyle w:val="Header"/>
        <w:tabs>
          <w:tab w:val="left" w:pos="720"/>
        </w:tabs>
        <w:rPr>
          <w:bCs/>
          <w:lang w:val="en-GB"/>
        </w:rPr>
      </w:pPr>
    </w:p>
    <w:p w:rsidR="00A83E00" w:rsidRPr="00942B75" w:rsidRDefault="00F26682" w:rsidP="004C0134">
      <w:pPr>
        <w:pStyle w:val="Header"/>
        <w:tabs>
          <w:tab w:val="left" w:pos="720"/>
        </w:tabs>
        <w:rPr>
          <w:bCs/>
          <w:sz w:val="22"/>
          <w:szCs w:val="22"/>
          <w:lang w:val="en-GB"/>
        </w:rPr>
      </w:pPr>
      <w:r>
        <w:rPr>
          <w:bCs/>
          <w:sz w:val="22"/>
          <w:szCs w:val="22"/>
          <w:lang w:val="en-GB"/>
        </w:rPr>
        <w:tab/>
        <w:t>“</w:t>
      </w:r>
      <w:r w:rsidR="00A83E00" w:rsidRPr="00942B75">
        <w:rPr>
          <w:bCs/>
          <w:sz w:val="22"/>
          <w:szCs w:val="22"/>
          <w:lang w:val="en-GB"/>
        </w:rPr>
        <w:t>If it is reasonably possible that the plaintiff's application is defective or that the defendant has a good defence, the issue must, in my view, be deci</w:t>
      </w:r>
      <w:r>
        <w:rPr>
          <w:bCs/>
          <w:sz w:val="22"/>
          <w:szCs w:val="22"/>
          <w:lang w:val="en-GB"/>
        </w:rPr>
        <w:t>ded in favour of the defendant.”</w:t>
      </w:r>
    </w:p>
    <w:p w:rsidR="00F43605" w:rsidRPr="00942B75" w:rsidRDefault="00A83E00" w:rsidP="004C0134">
      <w:pPr>
        <w:pStyle w:val="Header"/>
        <w:tabs>
          <w:tab w:val="left" w:pos="720"/>
        </w:tabs>
        <w:rPr>
          <w:bCs/>
          <w:sz w:val="22"/>
          <w:szCs w:val="22"/>
          <w:lang w:val="en-GB"/>
        </w:rPr>
      </w:pPr>
      <w:r w:rsidRPr="00942B75">
        <w:rPr>
          <w:bCs/>
          <w:sz w:val="22"/>
          <w:szCs w:val="22"/>
          <w:lang w:val="en-GB"/>
        </w:rPr>
        <w:lastRenderedPageBreak/>
        <w:t xml:space="preserve">   </w:t>
      </w:r>
    </w:p>
    <w:p w:rsidR="00A83E00" w:rsidRPr="00942B75" w:rsidRDefault="00A83E00" w:rsidP="004C0134">
      <w:pPr>
        <w:pStyle w:val="Header"/>
        <w:tabs>
          <w:tab w:val="left" w:pos="720"/>
        </w:tabs>
        <w:rPr>
          <w:bCs/>
          <w:lang w:val="en-GB"/>
        </w:rPr>
      </w:pPr>
      <w:r w:rsidRPr="00942B75">
        <w:rPr>
          <w:bCs/>
          <w:sz w:val="22"/>
          <w:szCs w:val="22"/>
          <w:lang w:val="en-GB"/>
        </w:rPr>
        <w:t xml:space="preserve">However, in </w:t>
      </w:r>
      <w:r w:rsidRPr="00942B75">
        <w:rPr>
          <w:bCs/>
          <w:i/>
          <w:sz w:val="22"/>
          <w:szCs w:val="22"/>
          <w:lang w:val="en-GB"/>
        </w:rPr>
        <w:t>Van den Bergh v Weiner</w:t>
      </w:r>
      <w:r w:rsidRPr="00942B75">
        <w:rPr>
          <w:bCs/>
          <w:sz w:val="22"/>
          <w:szCs w:val="22"/>
          <w:lang w:val="en-GB"/>
        </w:rPr>
        <w:t xml:space="preserve"> 1976 (2) SA 297 (T) at 300B–C the full bench endorsed the view of </w:t>
      </w:r>
      <w:proofErr w:type="spellStart"/>
      <w:r w:rsidRPr="00942B75">
        <w:rPr>
          <w:bCs/>
          <w:sz w:val="22"/>
          <w:szCs w:val="22"/>
          <w:lang w:val="en-GB"/>
        </w:rPr>
        <w:t>Boshoff</w:t>
      </w:r>
      <w:proofErr w:type="spellEnd"/>
      <w:r w:rsidRPr="00942B75">
        <w:rPr>
          <w:bCs/>
          <w:sz w:val="22"/>
          <w:szCs w:val="22"/>
          <w:lang w:val="en-GB"/>
        </w:rPr>
        <w:t xml:space="preserve"> J, in </w:t>
      </w:r>
      <w:r w:rsidRPr="00942B75">
        <w:rPr>
          <w:bCs/>
          <w:i/>
          <w:sz w:val="22"/>
          <w:szCs w:val="22"/>
          <w:lang w:val="en-GB"/>
        </w:rPr>
        <w:t xml:space="preserve">WM Mentz &amp; </w:t>
      </w:r>
      <w:proofErr w:type="spellStart"/>
      <w:r w:rsidRPr="00942B75">
        <w:rPr>
          <w:bCs/>
          <w:i/>
          <w:sz w:val="22"/>
          <w:szCs w:val="22"/>
          <w:lang w:val="en-GB"/>
        </w:rPr>
        <w:t>Seuns</w:t>
      </w:r>
      <w:proofErr w:type="spellEnd"/>
      <w:r w:rsidRPr="00942B75">
        <w:rPr>
          <w:bCs/>
          <w:i/>
          <w:sz w:val="22"/>
          <w:szCs w:val="22"/>
          <w:lang w:val="en-GB"/>
        </w:rPr>
        <w:t xml:space="preserve"> (</w:t>
      </w:r>
      <w:proofErr w:type="spellStart"/>
      <w:r w:rsidRPr="00942B75">
        <w:rPr>
          <w:bCs/>
          <w:i/>
          <w:sz w:val="22"/>
          <w:szCs w:val="22"/>
          <w:lang w:val="en-GB"/>
        </w:rPr>
        <w:t>Bpk</w:t>
      </w:r>
      <w:proofErr w:type="spellEnd"/>
      <w:r w:rsidRPr="00942B75">
        <w:rPr>
          <w:bCs/>
          <w:i/>
          <w:sz w:val="22"/>
          <w:szCs w:val="22"/>
          <w:lang w:val="en-GB"/>
        </w:rPr>
        <w:t xml:space="preserve">) v </w:t>
      </w:r>
      <w:proofErr w:type="spellStart"/>
      <w:r w:rsidRPr="00942B75">
        <w:rPr>
          <w:bCs/>
          <w:i/>
          <w:sz w:val="22"/>
          <w:szCs w:val="22"/>
          <w:lang w:val="en-GB"/>
        </w:rPr>
        <w:t>Katzake</w:t>
      </w:r>
      <w:proofErr w:type="spellEnd"/>
      <w:r w:rsidRPr="00942B75">
        <w:rPr>
          <w:bCs/>
          <w:sz w:val="22"/>
          <w:szCs w:val="22"/>
          <w:lang w:val="en-GB"/>
        </w:rPr>
        <w:t xml:space="preserve"> 1969 (3) SA 306 (T) at 311A, that the passage in </w:t>
      </w:r>
      <w:proofErr w:type="spellStart"/>
      <w:r w:rsidRPr="00942B75">
        <w:rPr>
          <w:bCs/>
          <w:i/>
          <w:sz w:val="22"/>
          <w:szCs w:val="22"/>
          <w:lang w:val="en-GB"/>
        </w:rPr>
        <w:t>Mowschenson</w:t>
      </w:r>
      <w:proofErr w:type="spellEnd"/>
      <w:r w:rsidRPr="00942B75">
        <w:rPr>
          <w:bCs/>
          <w:sz w:val="22"/>
          <w:szCs w:val="22"/>
          <w:lang w:val="en-GB"/>
        </w:rPr>
        <w:t xml:space="preserve"> </w:t>
      </w:r>
      <w:proofErr w:type="gramStart"/>
      <w:r w:rsidRPr="00942B75">
        <w:rPr>
          <w:bCs/>
          <w:sz w:val="22"/>
          <w:szCs w:val="22"/>
          <w:lang w:val="en-GB"/>
        </w:rPr>
        <w:t>was  intended</w:t>
      </w:r>
      <w:proofErr w:type="gramEnd"/>
      <w:r w:rsidRPr="00942B75">
        <w:rPr>
          <w:bCs/>
          <w:sz w:val="22"/>
          <w:szCs w:val="22"/>
          <w:lang w:val="en-GB"/>
        </w:rPr>
        <w:t xml:space="preserve"> to allow a defendant to raise any technical point, no matter how insignificant, and thereby defeat the grant of summary judgment. It was never the intention to give weight to purely technical defences, because that would defeat </w:t>
      </w:r>
      <w:r w:rsidR="00F26682">
        <w:rPr>
          <w:bCs/>
          <w:sz w:val="22"/>
          <w:szCs w:val="22"/>
          <w:lang w:val="en-GB"/>
        </w:rPr>
        <w:t xml:space="preserve">the object of summary judgment </w:t>
      </w:r>
      <w:r w:rsidRPr="00942B75">
        <w:rPr>
          <w:bCs/>
          <w:sz w:val="22"/>
          <w:szCs w:val="22"/>
          <w:lang w:val="en-GB"/>
        </w:rPr>
        <w:t>proceedings</w:t>
      </w:r>
      <w:r w:rsidRPr="00942B75">
        <w:rPr>
          <w:bCs/>
          <w:lang w:val="en-GB"/>
        </w:rPr>
        <w:t>.</w:t>
      </w:r>
      <w:r w:rsidR="00157710" w:rsidRPr="00942B75">
        <w:rPr>
          <w:bCs/>
          <w:lang w:val="en-GB"/>
        </w:rPr>
        <w:t>’</w:t>
      </w:r>
    </w:p>
    <w:p w:rsidR="00736022" w:rsidRPr="00942B75" w:rsidRDefault="00157710" w:rsidP="004C0134">
      <w:pPr>
        <w:pStyle w:val="Header"/>
        <w:tabs>
          <w:tab w:val="left" w:pos="720"/>
        </w:tabs>
        <w:rPr>
          <w:bCs/>
          <w:sz w:val="22"/>
          <w:szCs w:val="22"/>
          <w:lang w:val="en-GB"/>
        </w:rPr>
      </w:pPr>
      <w:r w:rsidRPr="00942B75">
        <w:rPr>
          <w:bCs/>
          <w:sz w:val="22"/>
          <w:szCs w:val="22"/>
          <w:lang w:val="en-GB"/>
        </w:rPr>
        <w:tab/>
      </w:r>
    </w:p>
    <w:p w:rsidR="00157710" w:rsidRPr="00942B75" w:rsidRDefault="00157710" w:rsidP="00F26682">
      <w:pPr>
        <w:pStyle w:val="Header"/>
        <w:tabs>
          <w:tab w:val="left" w:pos="720"/>
          <w:tab w:val="left" w:pos="810"/>
        </w:tabs>
      </w:pPr>
      <w:r w:rsidRPr="00942B75">
        <w:rPr>
          <w:bCs/>
          <w:lang w:val="en-GB"/>
        </w:rPr>
        <w:t>[</w:t>
      </w:r>
      <w:r w:rsidR="004F34BD" w:rsidRPr="00942B75">
        <w:rPr>
          <w:bCs/>
          <w:lang w:val="en-GB"/>
        </w:rPr>
        <w:t>15</w:t>
      </w:r>
      <w:r w:rsidRPr="00942B75">
        <w:rPr>
          <w:bCs/>
          <w:lang w:val="en-GB"/>
        </w:rPr>
        <w:t xml:space="preserve">] </w:t>
      </w:r>
      <w:r w:rsidR="00F26682">
        <w:rPr>
          <w:bCs/>
          <w:lang w:val="en-GB"/>
        </w:rPr>
        <w:tab/>
      </w:r>
      <w:r w:rsidRPr="00942B75">
        <w:rPr>
          <w:bCs/>
          <w:lang w:val="en-GB"/>
        </w:rPr>
        <w:t>Reliance on the non-compliance with rule 45(7)</w:t>
      </w:r>
      <w:r w:rsidRPr="00942B75">
        <w:rPr>
          <w:rStyle w:val="FootnoteReference"/>
          <w:bCs/>
          <w:lang w:val="en-GB"/>
        </w:rPr>
        <w:footnoteReference w:id="5"/>
      </w:r>
      <w:r w:rsidRPr="00942B75">
        <w:rPr>
          <w:bCs/>
          <w:lang w:val="en-GB"/>
        </w:rPr>
        <w:t xml:space="preserve"> appears to be purely technical. </w:t>
      </w:r>
      <w:r w:rsidRPr="00942B75">
        <w:t>It is the case of the applicant that it does not have the agreement as set out in para 3.2 which sets out the terms of the agreement and that it verily believes that same is with the first respondents, alternatively the fifth respondent</w:t>
      </w:r>
      <w:r w:rsidR="00002804" w:rsidRPr="00942B75">
        <w:t>.</w:t>
      </w:r>
      <w:r w:rsidRPr="00942B75">
        <w:rPr>
          <w:rStyle w:val="FootnoteReference"/>
        </w:rPr>
        <w:footnoteReference w:id="6"/>
      </w:r>
      <w:r w:rsidRPr="00942B75">
        <w:t xml:space="preserve"> However the first respondent neither confirm nor denies this. </w:t>
      </w:r>
    </w:p>
    <w:p w:rsidR="00206A90" w:rsidRPr="00942B75" w:rsidRDefault="00206A90" w:rsidP="004C0134">
      <w:pPr>
        <w:pStyle w:val="Header"/>
        <w:tabs>
          <w:tab w:val="left" w:pos="720"/>
        </w:tabs>
      </w:pPr>
    </w:p>
    <w:p w:rsidR="00157710" w:rsidRPr="00942B75" w:rsidRDefault="00157710" w:rsidP="004C0134">
      <w:pPr>
        <w:pStyle w:val="Header"/>
        <w:tabs>
          <w:tab w:val="left" w:pos="720"/>
        </w:tabs>
        <w:rPr>
          <w:bCs/>
          <w:lang w:val="en-GB"/>
        </w:rPr>
      </w:pPr>
      <w:r w:rsidRPr="00942B75">
        <w:rPr>
          <w:bCs/>
          <w:lang w:val="en-GB"/>
        </w:rPr>
        <w:t>[</w:t>
      </w:r>
      <w:r w:rsidR="004F34BD" w:rsidRPr="00942B75">
        <w:rPr>
          <w:bCs/>
          <w:lang w:val="en-GB"/>
        </w:rPr>
        <w:t>16</w:t>
      </w:r>
      <w:r w:rsidRPr="00942B75">
        <w:rPr>
          <w:bCs/>
          <w:lang w:val="en-GB"/>
        </w:rPr>
        <w:t>]</w:t>
      </w:r>
      <w:r w:rsidRPr="00942B75">
        <w:rPr>
          <w:bCs/>
          <w:lang w:val="en-GB"/>
        </w:rPr>
        <w:tab/>
        <w:t xml:space="preserve">Instead the first respondent argues that the plaintiff failed to comply with the peremptory provision as set out in Rule 45(7) to attach the written contract relied upon, which renders the plaintiff’s claim and/or summons defective as it constitutes an irregular proceeding. </w:t>
      </w:r>
    </w:p>
    <w:p w:rsidR="00206A90" w:rsidRPr="00942B75" w:rsidRDefault="00206A90" w:rsidP="004C0134">
      <w:pPr>
        <w:pStyle w:val="Header"/>
        <w:tabs>
          <w:tab w:val="left" w:pos="720"/>
        </w:tabs>
        <w:rPr>
          <w:bCs/>
          <w:lang w:val="en-GB"/>
        </w:rPr>
      </w:pPr>
    </w:p>
    <w:p w:rsidR="00157710" w:rsidRPr="00942B75" w:rsidRDefault="00157710" w:rsidP="004C0134">
      <w:pPr>
        <w:pStyle w:val="Header"/>
        <w:tabs>
          <w:tab w:val="left" w:pos="720"/>
        </w:tabs>
        <w:rPr>
          <w:bCs/>
          <w:lang w:val="en-GB"/>
        </w:rPr>
      </w:pPr>
      <w:r w:rsidRPr="00942B75">
        <w:rPr>
          <w:bCs/>
          <w:lang w:val="en-GB"/>
        </w:rPr>
        <w:t>[</w:t>
      </w:r>
      <w:r w:rsidR="004F34BD" w:rsidRPr="00942B75">
        <w:rPr>
          <w:bCs/>
          <w:lang w:val="en-GB"/>
        </w:rPr>
        <w:t>17</w:t>
      </w:r>
      <w:r w:rsidRPr="00942B75">
        <w:rPr>
          <w:bCs/>
          <w:lang w:val="en-GB"/>
        </w:rPr>
        <w:t>]</w:t>
      </w:r>
      <w:r w:rsidRPr="00942B75">
        <w:rPr>
          <w:bCs/>
          <w:lang w:val="en-GB"/>
        </w:rPr>
        <w:tab/>
        <w:t xml:space="preserve">First respondent referred the court to </w:t>
      </w:r>
      <w:proofErr w:type="spellStart"/>
      <w:r w:rsidRPr="00942B75">
        <w:rPr>
          <w:bCs/>
          <w:i/>
          <w:lang w:val="en-GB"/>
        </w:rPr>
        <w:t>Moosa</w:t>
      </w:r>
      <w:proofErr w:type="spellEnd"/>
      <w:r w:rsidRPr="00942B75">
        <w:rPr>
          <w:bCs/>
          <w:i/>
          <w:lang w:val="en-GB"/>
        </w:rPr>
        <w:t xml:space="preserve"> and Others NNO v Hassam and Others NNO</w:t>
      </w:r>
      <w:r w:rsidRPr="00942B75">
        <w:rPr>
          <w:bCs/>
          <w:lang w:val="en-GB"/>
        </w:rPr>
        <w:t xml:space="preserve"> 2010 (2) SA 410 (KZP) where it was held that a party basing its cause of action upon a written agreement should obtain a true copy of the agreement before advancing its claim so as to comply with rule 18(6)</w:t>
      </w:r>
      <w:r w:rsidR="00B16A8F" w:rsidRPr="00942B75">
        <w:rPr>
          <w:bCs/>
          <w:lang w:val="en-GB"/>
        </w:rPr>
        <w:t>.</w:t>
      </w:r>
      <w:r w:rsidR="00D827A0" w:rsidRPr="00942B75">
        <w:rPr>
          <w:rStyle w:val="FootnoteReference"/>
          <w:bCs/>
          <w:lang w:val="en-GB"/>
        </w:rPr>
        <w:footnoteReference w:id="7"/>
      </w:r>
    </w:p>
    <w:p w:rsidR="00B16A8F" w:rsidRPr="00942B75" w:rsidRDefault="00B16A8F" w:rsidP="004C0134">
      <w:pPr>
        <w:pStyle w:val="Header"/>
        <w:tabs>
          <w:tab w:val="left" w:pos="720"/>
        </w:tabs>
        <w:rPr>
          <w:bCs/>
          <w:lang w:val="en-GB"/>
        </w:rPr>
      </w:pPr>
    </w:p>
    <w:p w:rsidR="00D827A0" w:rsidRPr="00942B75" w:rsidRDefault="00157710" w:rsidP="004C0134">
      <w:pPr>
        <w:pStyle w:val="Header"/>
        <w:tabs>
          <w:tab w:val="left" w:pos="720"/>
        </w:tabs>
        <w:rPr>
          <w:bCs/>
          <w:lang w:val="en-GB"/>
        </w:rPr>
      </w:pPr>
      <w:r w:rsidRPr="00942B75">
        <w:rPr>
          <w:bCs/>
          <w:lang w:val="en-GB"/>
        </w:rPr>
        <w:t>[</w:t>
      </w:r>
      <w:r w:rsidR="004F34BD" w:rsidRPr="00942B75">
        <w:rPr>
          <w:bCs/>
          <w:lang w:val="en-GB"/>
        </w:rPr>
        <w:t>18</w:t>
      </w:r>
      <w:r w:rsidRPr="00942B75">
        <w:rPr>
          <w:bCs/>
          <w:lang w:val="en-GB"/>
        </w:rPr>
        <w:t>]</w:t>
      </w:r>
      <w:r w:rsidRPr="00942B75">
        <w:rPr>
          <w:bCs/>
          <w:lang w:val="en-GB"/>
        </w:rPr>
        <w:tab/>
      </w:r>
      <w:r w:rsidR="00D827A0" w:rsidRPr="00942B75">
        <w:rPr>
          <w:bCs/>
          <w:lang w:val="en-GB"/>
        </w:rPr>
        <w:t xml:space="preserve">This issue was considered in the matter of </w:t>
      </w:r>
      <w:proofErr w:type="spellStart"/>
      <w:r w:rsidRPr="00942B75">
        <w:rPr>
          <w:bCs/>
          <w:i/>
          <w:lang w:val="en-GB"/>
        </w:rPr>
        <w:t>Namene</w:t>
      </w:r>
      <w:proofErr w:type="spellEnd"/>
      <w:r w:rsidRPr="00942B75">
        <w:rPr>
          <w:bCs/>
          <w:i/>
          <w:lang w:val="en-GB"/>
        </w:rPr>
        <w:t xml:space="preserve"> v </w:t>
      </w:r>
      <w:proofErr w:type="spellStart"/>
      <w:r w:rsidRPr="00942B75">
        <w:rPr>
          <w:bCs/>
          <w:i/>
          <w:lang w:val="en-GB"/>
        </w:rPr>
        <w:t>Khomas</w:t>
      </w:r>
      <w:proofErr w:type="spellEnd"/>
      <w:r w:rsidRPr="00942B75">
        <w:rPr>
          <w:bCs/>
          <w:i/>
          <w:lang w:val="en-GB"/>
        </w:rPr>
        <w:t xml:space="preserve"> Regiona</w:t>
      </w:r>
      <w:r w:rsidR="00D827A0" w:rsidRPr="00942B75">
        <w:rPr>
          <w:bCs/>
          <w:i/>
          <w:lang w:val="en-GB"/>
        </w:rPr>
        <w:t>l</w:t>
      </w:r>
      <w:r w:rsidRPr="00942B75">
        <w:rPr>
          <w:bCs/>
          <w:i/>
          <w:lang w:val="en-GB"/>
        </w:rPr>
        <w:t xml:space="preserve"> Council</w:t>
      </w:r>
      <w:r w:rsidR="00B16A8F" w:rsidRPr="00942B75">
        <w:rPr>
          <w:bCs/>
          <w:i/>
          <w:lang w:val="en-GB"/>
        </w:rPr>
        <w:t>.</w:t>
      </w:r>
      <w:r w:rsidR="00D827A0" w:rsidRPr="00942B75">
        <w:rPr>
          <w:rStyle w:val="FootnoteReference"/>
          <w:bCs/>
          <w:i/>
          <w:lang w:val="en-GB"/>
        </w:rPr>
        <w:footnoteReference w:id="8"/>
      </w:r>
    </w:p>
    <w:p w:rsidR="00D827A0" w:rsidRPr="00942B75" w:rsidRDefault="00D827A0" w:rsidP="004C0134">
      <w:pPr>
        <w:pStyle w:val="Header"/>
        <w:tabs>
          <w:tab w:val="left" w:pos="720"/>
        </w:tabs>
        <w:rPr>
          <w:bCs/>
          <w:lang w:val="en-GB"/>
        </w:rPr>
      </w:pPr>
      <w:r w:rsidRPr="00942B75">
        <w:rPr>
          <w:bCs/>
          <w:lang w:val="en-GB"/>
        </w:rPr>
        <w:t xml:space="preserve">One Mr. </w:t>
      </w:r>
      <w:proofErr w:type="spellStart"/>
      <w:r w:rsidRPr="00942B75">
        <w:rPr>
          <w:bCs/>
          <w:lang w:val="en-GB"/>
        </w:rPr>
        <w:t>Namene</w:t>
      </w:r>
      <w:proofErr w:type="spellEnd"/>
      <w:r w:rsidRPr="00942B75">
        <w:rPr>
          <w:bCs/>
          <w:lang w:val="en-GB"/>
        </w:rPr>
        <w:t xml:space="preserve"> opposed the action and filed a plea and counterclaim in which he relied on a written lease agreement for his occupation of the property and counterclaimed for </w:t>
      </w:r>
      <w:r w:rsidRPr="00942B75">
        <w:rPr>
          <w:bCs/>
          <w:lang w:val="en-GB"/>
        </w:rPr>
        <w:lastRenderedPageBreak/>
        <w:t xml:space="preserve">improvements. Mr. </w:t>
      </w:r>
      <w:proofErr w:type="spellStart"/>
      <w:r w:rsidRPr="00942B75">
        <w:rPr>
          <w:bCs/>
          <w:lang w:val="en-GB"/>
        </w:rPr>
        <w:t>Namene</w:t>
      </w:r>
      <w:proofErr w:type="spellEnd"/>
      <w:r w:rsidRPr="00942B75">
        <w:rPr>
          <w:bCs/>
          <w:lang w:val="en-GB"/>
        </w:rPr>
        <w:t xml:space="preserve"> was unable to attach the agreement or a copy thereof because it had become lost or was not available to him. The </w:t>
      </w:r>
      <w:proofErr w:type="spellStart"/>
      <w:r w:rsidRPr="00942B75">
        <w:rPr>
          <w:bCs/>
          <w:lang w:val="en-GB"/>
        </w:rPr>
        <w:t>Khomas</w:t>
      </w:r>
      <w:proofErr w:type="spellEnd"/>
      <w:r w:rsidRPr="00942B75">
        <w:rPr>
          <w:bCs/>
          <w:lang w:val="en-GB"/>
        </w:rPr>
        <w:t xml:space="preserve"> Regional Council </w:t>
      </w:r>
      <w:proofErr w:type="gramStart"/>
      <w:r w:rsidRPr="00942B75">
        <w:rPr>
          <w:bCs/>
          <w:lang w:val="en-GB"/>
        </w:rPr>
        <w:t>excepted</w:t>
      </w:r>
      <w:proofErr w:type="gramEnd"/>
      <w:r w:rsidRPr="00942B75">
        <w:rPr>
          <w:bCs/>
          <w:lang w:val="en-GB"/>
        </w:rPr>
        <w:t xml:space="preserve"> to the pleadings as lacking in the necessary averments to sustain the defence and counterclaim because rule 18(6) of the erstwhile High Court Rules required the written agreement relied upon to be attached to the pleadings.</w:t>
      </w:r>
    </w:p>
    <w:p w:rsidR="00D827A0" w:rsidRPr="00942B75" w:rsidRDefault="00D827A0" w:rsidP="004C0134">
      <w:pPr>
        <w:pStyle w:val="Header"/>
        <w:tabs>
          <w:tab w:val="left" w:pos="720"/>
        </w:tabs>
        <w:rPr>
          <w:bCs/>
          <w:lang w:val="en-GB"/>
        </w:rPr>
      </w:pPr>
    </w:p>
    <w:p w:rsidR="00157710" w:rsidRPr="00942B75" w:rsidRDefault="00D827A0" w:rsidP="004C0134">
      <w:pPr>
        <w:pStyle w:val="Header"/>
        <w:tabs>
          <w:tab w:val="left" w:pos="720"/>
        </w:tabs>
        <w:rPr>
          <w:bCs/>
          <w:sz w:val="22"/>
          <w:szCs w:val="22"/>
          <w:lang w:val="en-GB"/>
        </w:rPr>
      </w:pPr>
      <w:r w:rsidRPr="00942B75">
        <w:rPr>
          <w:bCs/>
          <w:lang w:val="en-GB"/>
        </w:rPr>
        <w:t>[</w:t>
      </w:r>
      <w:r w:rsidR="004F34BD" w:rsidRPr="00942B75">
        <w:rPr>
          <w:bCs/>
          <w:lang w:val="en-GB"/>
        </w:rPr>
        <w:t>19</w:t>
      </w:r>
      <w:r w:rsidRPr="00942B75">
        <w:rPr>
          <w:bCs/>
          <w:lang w:val="en-GB"/>
        </w:rPr>
        <w:t>]</w:t>
      </w:r>
      <w:r w:rsidRPr="00942B75">
        <w:rPr>
          <w:bCs/>
          <w:lang w:val="en-GB"/>
        </w:rPr>
        <w:tab/>
        <w:t xml:space="preserve">The High Court upheld the exception to the counterclaim and found that the wording in rule 18(6) is peremptory. On appeal </w:t>
      </w:r>
      <w:r w:rsidR="00157710" w:rsidRPr="00942B75">
        <w:rPr>
          <w:bCs/>
          <w:lang w:val="en-GB"/>
        </w:rPr>
        <w:t xml:space="preserve">Smuts JA (Hoff JA and </w:t>
      </w:r>
      <w:proofErr w:type="spellStart"/>
      <w:r w:rsidR="00157710" w:rsidRPr="00942B75">
        <w:rPr>
          <w:bCs/>
          <w:lang w:val="en-GB"/>
        </w:rPr>
        <w:t>Chomba</w:t>
      </w:r>
      <w:proofErr w:type="spellEnd"/>
      <w:r w:rsidR="00157710" w:rsidRPr="00942B75">
        <w:rPr>
          <w:bCs/>
          <w:lang w:val="en-GB"/>
        </w:rPr>
        <w:t xml:space="preserve"> AJA concurring) stated the following: </w:t>
      </w:r>
      <w:r w:rsidR="00157710" w:rsidRPr="00942B75">
        <w:rPr>
          <w:bCs/>
          <w:sz w:val="22"/>
          <w:szCs w:val="22"/>
          <w:lang w:val="en-GB"/>
        </w:rPr>
        <w:tab/>
      </w:r>
    </w:p>
    <w:p w:rsidR="00157710" w:rsidRPr="00942B75" w:rsidRDefault="00157710" w:rsidP="004C0134">
      <w:pPr>
        <w:pStyle w:val="Header"/>
        <w:tabs>
          <w:tab w:val="left" w:pos="720"/>
        </w:tabs>
        <w:rPr>
          <w:bCs/>
          <w:sz w:val="22"/>
          <w:szCs w:val="22"/>
          <w:lang w:val="en-GB"/>
        </w:rPr>
      </w:pPr>
      <w:r w:rsidRPr="00942B75">
        <w:rPr>
          <w:bCs/>
          <w:sz w:val="22"/>
          <w:szCs w:val="22"/>
          <w:lang w:val="en-GB"/>
        </w:rPr>
        <w:tab/>
      </w:r>
    </w:p>
    <w:p w:rsidR="00157710" w:rsidRPr="00942B75" w:rsidRDefault="00157710" w:rsidP="004C0134">
      <w:pPr>
        <w:pStyle w:val="Header"/>
        <w:tabs>
          <w:tab w:val="left" w:pos="720"/>
        </w:tabs>
        <w:rPr>
          <w:bCs/>
          <w:sz w:val="22"/>
          <w:szCs w:val="22"/>
          <w:lang w:val="en-GB"/>
        </w:rPr>
      </w:pPr>
      <w:r w:rsidRPr="00942B75">
        <w:rPr>
          <w:bCs/>
          <w:sz w:val="22"/>
          <w:szCs w:val="22"/>
          <w:lang w:val="en-GB"/>
        </w:rPr>
        <w:t>‘[18] The approach of the High Court is however incorrect. The elements of a cause of action or defence are determined by the substantive law and not with reference to the rules which set out procedural requirements. Occupying property with consent in the form of a lease agreement is a defence to a claim for eviction as a matter of substantive law. Where it is impossible for a party relying upon an agreement to produce the original written agreement or copy, the rules of evidence permit that party to prove its execution and terms by other evidence.</w:t>
      </w:r>
    </w:p>
    <w:p w:rsidR="00157710" w:rsidRDefault="00157710" w:rsidP="004C0134">
      <w:pPr>
        <w:pStyle w:val="Header"/>
        <w:tabs>
          <w:tab w:val="left" w:pos="720"/>
        </w:tabs>
        <w:rPr>
          <w:bCs/>
          <w:lang w:val="en-GB"/>
        </w:rPr>
      </w:pPr>
      <w:r w:rsidRPr="00942B75">
        <w:rPr>
          <w:bCs/>
          <w:lang w:val="en-GB"/>
        </w:rPr>
        <w:t xml:space="preserve"> And further at:</w:t>
      </w:r>
    </w:p>
    <w:p w:rsidR="00F26682" w:rsidRPr="00942B75" w:rsidRDefault="00F26682" w:rsidP="004C0134">
      <w:pPr>
        <w:pStyle w:val="Header"/>
        <w:tabs>
          <w:tab w:val="left" w:pos="720"/>
        </w:tabs>
        <w:rPr>
          <w:bCs/>
          <w:lang w:val="en-GB"/>
        </w:rPr>
      </w:pPr>
    </w:p>
    <w:p w:rsidR="00157710" w:rsidRDefault="00157710" w:rsidP="004C0134">
      <w:pPr>
        <w:pStyle w:val="Header"/>
        <w:tabs>
          <w:tab w:val="left" w:pos="720"/>
        </w:tabs>
        <w:rPr>
          <w:bCs/>
          <w:sz w:val="22"/>
          <w:szCs w:val="22"/>
          <w:lang w:val="en-GB"/>
        </w:rPr>
      </w:pPr>
      <w:r w:rsidRPr="00942B75">
        <w:rPr>
          <w:bCs/>
          <w:sz w:val="22"/>
          <w:szCs w:val="22"/>
          <w:lang w:val="en-GB"/>
        </w:rPr>
        <w:t xml:space="preserve">[21] An exception similar to that taken in this matter was roundly rejected by a full court in </w:t>
      </w:r>
      <w:r w:rsidRPr="00942B75">
        <w:rPr>
          <w:bCs/>
          <w:i/>
          <w:sz w:val="22"/>
          <w:szCs w:val="22"/>
          <w:lang w:val="en-GB"/>
        </w:rPr>
        <w:t xml:space="preserve">Absa Bank Ltd v </w:t>
      </w:r>
      <w:proofErr w:type="spellStart"/>
      <w:r w:rsidRPr="00942B75">
        <w:rPr>
          <w:bCs/>
          <w:i/>
          <w:sz w:val="22"/>
          <w:szCs w:val="22"/>
          <w:lang w:val="en-GB"/>
        </w:rPr>
        <w:t>Zalvest</w:t>
      </w:r>
      <w:proofErr w:type="spellEnd"/>
      <w:r w:rsidRPr="00942B75">
        <w:rPr>
          <w:bCs/>
          <w:i/>
          <w:sz w:val="22"/>
          <w:szCs w:val="22"/>
          <w:lang w:val="en-GB"/>
        </w:rPr>
        <w:t xml:space="preserve"> Twenty (Pty) Ltd and Another</w:t>
      </w:r>
      <w:r w:rsidRPr="00942B75">
        <w:rPr>
          <w:bCs/>
          <w:sz w:val="22"/>
          <w:szCs w:val="22"/>
          <w:lang w:val="en-GB"/>
        </w:rPr>
        <w:t xml:space="preserve"> 2014 (2) SA 119 (WCC). The court's well-reasoned approach is captured in these paragraphs:</w:t>
      </w:r>
    </w:p>
    <w:p w:rsidR="00F26682" w:rsidRPr="00942B75" w:rsidRDefault="00F26682" w:rsidP="004C0134">
      <w:pPr>
        <w:pStyle w:val="Header"/>
        <w:tabs>
          <w:tab w:val="left" w:pos="720"/>
        </w:tabs>
        <w:rPr>
          <w:bCs/>
          <w:sz w:val="22"/>
          <w:szCs w:val="22"/>
          <w:lang w:val="en-GB"/>
        </w:rPr>
      </w:pPr>
    </w:p>
    <w:p w:rsidR="00157710" w:rsidRDefault="00157710" w:rsidP="00F26682">
      <w:pPr>
        <w:pStyle w:val="Header"/>
        <w:tabs>
          <w:tab w:val="clear" w:pos="4153"/>
          <w:tab w:val="left" w:pos="0"/>
          <w:tab w:val="center" w:pos="720"/>
        </w:tabs>
        <w:rPr>
          <w:bCs/>
          <w:sz w:val="22"/>
          <w:szCs w:val="22"/>
          <w:lang w:val="en-GB"/>
        </w:rPr>
      </w:pPr>
      <w:r w:rsidRPr="00942B75">
        <w:rPr>
          <w:bCs/>
          <w:sz w:val="22"/>
          <w:szCs w:val="22"/>
          <w:lang w:val="en-GB"/>
        </w:rPr>
        <w:tab/>
      </w:r>
      <w:r w:rsidR="00F26682">
        <w:rPr>
          <w:bCs/>
          <w:sz w:val="22"/>
          <w:szCs w:val="22"/>
          <w:lang w:val="en-GB"/>
        </w:rPr>
        <w:tab/>
      </w:r>
      <w:r w:rsidRPr="00942B75">
        <w:rPr>
          <w:bCs/>
          <w:sz w:val="22"/>
          <w:szCs w:val="22"/>
          <w:lang w:val="en-GB"/>
        </w:rPr>
        <w:t>“[9] The rules of court exist in order to ensure fair play and good order in the conduct of litigation. The rules do not lay down the substantive legal requirements for a cause of action, nor in general are they concerned with the substantive law of evidence. The substantive law is to be found elsewhere, mainly in legislation and the common law. There is no rule of substantive law to the effect that a party to a written contract is precluded from enforcing it merely because the contract has been destroyed or lost. Even where a contract is required by law to be in writing (</w:t>
      </w:r>
      <w:proofErr w:type="spellStart"/>
      <w:r w:rsidRPr="00942B75">
        <w:rPr>
          <w:bCs/>
          <w:sz w:val="22"/>
          <w:szCs w:val="22"/>
          <w:lang w:val="en-GB"/>
        </w:rPr>
        <w:t>eg</w:t>
      </w:r>
      <w:proofErr w:type="spellEnd"/>
      <w:r w:rsidRPr="00942B75">
        <w:rPr>
          <w:bCs/>
          <w:sz w:val="22"/>
          <w:szCs w:val="22"/>
          <w:lang w:val="en-GB"/>
        </w:rPr>
        <w:t xml:space="preserve"> a contract for the sale of land or a suretyship), what the substantive law requires is that a written contract in accordance with the prescribed formalities should have been executed; the law does not say that the contract ceases to be of effect if it is destroyed or lost.  </w:t>
      </w:r>
    </w:p>
    <w:p w:rsidR="00F26682" w:rsidRPr="00942B75" w:rsidRDefault="00F26682" w:rsidP="00F26682">
      <w:pPr>
        <w:pStyle w:val="Header"/>
        <w:tabs>
          <w:tab w:val="clear" w:pos="4153"/>
          <w:tab w:val="left" w:pos="0"/>
          <w:tab w:val="center" w:pos="720"/>
        </w:tabs>
        <w:rPr>
          <w:bCs/>
          <w:sz w:val="22"/>
          <w:szCs w:val="22"/>
          <w:lang w:val="en-GB"/>
        </w:rPr>
      </w:pPr>
    </w:p>
    <w:p w:rsidR="00157710" w:rsidRDefault="00157710" w:rsidP="00F26682">
      <w:pPr>
        <w:pStyle w:val="Header"/>
        <w:tabs>
          <w:tab w:val="left" w:pos="0"/>
        </w:tabs>
        <w:rPr>
          <w:bCs/>
          <w:sz w:val="22"/>
          <w:szCs w:val="22"/>
          <w:lang w:val="en-GB"/>
        </w:rPr>
      </w:pPr>
      <w:r w:rsidRPr="00942B75">
        <w:rPr>
          <w:bCs/>
          <w:sz w:val="22"/>
          <w:szCs w:val="22"/>
          <w:lang w:val="en-GB"/>
        </w:rPr>
        <w:lastRenderedPageBreak/>
        <w:tab/>
        <w:t xml:space="preserve">[10] In regard to the substantive law of evidence, the original signed contract is the best evidence that a valid contract was concluded, and the general rule is thus that the original must be adduced. But there are exceptions to this rule, one of which is where the original has been destroyed or cannot be found despite a diligent search. . . .  </w:t>
      </w:r>
    </w:p>
    <w:p w:rsidR="00F26682" w:rsidRPr="00942B75" w:rsidRDefault="00F26682" w:rsidP="00F26682">
      <w:pPr>
        <w:pStyle w:val="Header"/>
        <w:tabs>
          <w:tab w:val="left" w:pos="0"/>
        </w:tabs>
        <w:rPr>
          <w:bCs/>
          <w:sz w:val="22"/>
          <w:szCs w:val="22"/>
          <w:lang w:val="en-GB"/>
        </w:rPr>
      </w:pPr>
    </w:p>
    <w:p w:rsidR="00157710" w:rsidRDefault="00157710" w:rsidP="00F26682">
      <w:pPr>
        <w:pStyle w:val="Header"/>
        <w:tabs>
          <w:tab w:val="left" w:pos="0"/>
        </w:tabs>
        <w:rPr>
          <w:bCs/>
          <w:sz w:val="22"/>
          <w:szCs w:val="22"/>
          <w:lang w:val="en-GB"/>
        </w:rPr>
      </w:pPr>
      <w:r w:rsidRPr="00942B75">
        <w:rPr>
          <w:bCs/>
          <w:sz w:val="22"/>
          <w:szCs w:val="22"/>
          <w:lang w:val="en-GB"/>
        </w:rPr>
        <w:tab/>
        <w:t xml:space="preserve">[11] That then is the substantive law. The rules of court exist to facilitate the ventilation of disputes arising from substantive law. The rules of court may only regulate matters of procedure; they cannot  </w:t>
      </w:r>
      <w:r w:rsidRPr="00942B75">
        <w:rPr>
          <w:bCs/>
          <w:sz w:val="22"/>
          <w:szCs w:val="22"/>
          <w:lang w:val="en-GB"/>
        </w:rPr>
        <w:tab/>
        <w:t>make or alter substantive law (United Reflective Converters (Pty) Ltd v Levine 1988 (4) SA 460 (W) at 463B – E and authority there cited). The court is, moreover, not a slave to the rules of court. As has often been said, the rules exist for the courts, not the courts for the rules (see Standard Bank of South Africa Ltd v Dawood 2012 (6) SA 151 (WCC) para 12). . . .</w:t>
      </w:r>
    </w:p>
    <w:p w:rsidR="00F26682" w:rsidRPr="00942B75" w:rsidRDefault="00F26682" w:rsidP="00F26682">
      <w:pPr>
        <w:pStyle w:val="Header"/>
        <w:tabs>
          <w:tab w:val="left" w:pos="0"/>
        </w:tabs>
        <w:rPr>
          <w:bCs/>
          <w:sz w:val="22"/>
          <w:szCs w:val="22"/>
          <w:lang w:val="en-GB"/>
        </w:rPr>
      </w:pPr>
    </w:p>
    <w:p w:rsidR="00157710" w:rsidRPr="00942B75" w:rsidRDefault="00157710" w:rsidP="00F26682">
      <w:pPr>
        <w:pStyle w:val="Header"/>
        <w:tabs>
          <w:tab w:val="left" w:pos="0"/>
        </w:tabs>
        <w:rPr>
          <w:bCs/>
          <w:sz w:val="22"/>
          <w:szCs w:val="22"/>
          <w:lang w:val="en-GB"/>
        </w:rPr>
      </w:pPr>
      <w:r w:rsidRPr="00942B75">
        <w:rPr>
          <w:bCs/>
          <w:sz w:val="22"/>
          <w:szCs w:val="22"/>
          <w:lang w:val="en-GB"/>
        </w:rPr>
        <w:tab/>
        <w:t xml:space="preserve">[12] A rule which purported to say that a party to a written contract was deprived of a cause of action if the written document was destroyed or lost would be ultra vires. But the rules say no such thing. Rule 18(6) is formulated on the assumption that the pleader is able to attach a copy of the written contract. In those circumstances the copy (or relevant part thereof) must be annexed. Rule 18(6) is not intended to compel compliance with the impossible. (I may add that it was only in 1987 that rule 18(6) was amended to require a pleader to annex a written copy of the contract on which he relied. Prior to that time the general position was that a pleader was not required to annex a copy of the contract — see, for example, Van </w:t>
      </w:r>
      <w:proofErr w:type="spellStart"/>
      <w:r w:rsidRPr="00942B75">
        <w:rPr>
          <w:bCs/>
          <w:sz w:val="22"/>
          <w:szCs w:val="22"/>
          <w:lang w:val="en-GB"/>
        </w:rPr>
        <w:t>Tonder</w:t>
      </w:r>
      <w:proofErr w:type="spellEnd"/>
      <w:r w:rsidRPr="00942B75">
        <w:rPr>
          <w:bCs/>
          <w:sz w:val="22"/>
          <w:szCs w:val="22"/>
          <w:lang w:val="en-GB"/>
        </w:rPr>
        <w:t xml:space="preserve"> v Western Credit Ltd 1966 (1) SA 189 (C) at 194B – H; South African Railways and Harbours v Deal Enterprises (Pty) Ltd  D  1975 (3) SA 944 (W) at 950D – H.)”’</w:t>
      </w:r>
    </w:p>
    <w:p w:rsidR="00157710" w:rsidRPr="00942B75" w:rsidRDefault="00157710" w:rsidP="004C0134">
      <w:pPr>
        <w:pStyle w:val="Header"/>
        <w:tabs>
          <w:tab w:val="left" w:pos="720"/>
        </w:tabs>
        <w:rPr>
          <w:bCs/>
          <w:i/>
          <w:lang w:val="en-GB"/>
        </w:rPr>
      </w:pPr>
    </w:p>
    <w:p w:rsidR="00157710" w:rsidRPr="00942B75" w:rsidRDefault="00157710" w:rsidP="004C0134">
      <w:pPr>
        <w:pStyle w:val="Header"/>
        <w:tabs>
          <w:tab w:val="left" w:pos="720"/>
        </w:tabs>
        <w:rPr>
          <w:bCs/>
          <w:lang w:val="en-GB"/>
        </w:rPr>
      </w:pPr>
      <w:r w:rsidRPr="00942B75">
        <w:rPr>
          <w:bCs/>
          <w:lang w:val="en-GB"/>
        </w:rPr>
        <w:t>[</w:t>
      </w:r>
      <w:r w:rsidR="004F34BD" w:rsidRPr="00942B75">
        <w:rPr>
          <w:bCs/>
          <w:lang w:val="en-GB"/>
        </w:rPr>
        <w:t>20</w:t>
      </w:r>
      <w:r w:rsidRPr="00942B75">
        <w:rPr>
          <w:bCs/>
          <w:lang w:val="en-GB"/>
        </w:rPr>
        <w:t>]</w:t>
      </w:r>
      <w:r w:rsidR="00FE56FF" w:rsidRPr="00942B75">
        <w:rPr>
          <w:bCs/>
          <w:lang w:val="en-GB"/>
        </w:rPr>
        <w:t xml:space="preserve"> </w:t>
      </w:r>
      <w:r w:rsidRPr="00942B75">
        <w:rPr>
          <w:bCs/>
          <w:lang w:val="en-GB"/>
        </w:rPr>
        <w:t xml:space="preserve"> </w:t>
      </w:r>
      <w:r w:rsidR="00FE56FF" w:rsidRPr="00942B75">
        <w:rPr>
          <w:bCs/>
          <w:lang w:val="en-GB"/>
        </w:rPr>
        <w:t xml:space="preserve"> </w:t>
      </w:r>
      <w:r w:rsidR="00FE56FF" w:rsidRPr="00942B75">
        <w:rPr>
          <w:bCs/>
          <w:lang w:val="en-GB"/>
        </w:rPr>
        <w:tab/>
        <w:t xml:space="preserve">I am of the opinion that the </w:t>
      </w:r>
      <w:proofErr w:type="spellStart"/>
      <w:r w:rsidR="00FE56FF" w:rsidRPr="00942B75">
        <w:rPr>
          <w:bCs/>
          <w:i/>
          <w:lang w:val="en-GB"/>
        </w:rPr>
        <w:t>Moosa</w:t>
      </w:r>
      <w:proofErr w:type="spellEnd"/>
      <w:r w:rsidR="00FE56FF" w:rsidRPr="00942B75">
        <w:rPr>
          <w:bCs/>
          <w:lang w:val="en-GB"/>
        </w:rPr>
        <w:t xml:space="preserve">-matter is distinguishable from the matter </w:t>
      </w:r>
      <w:r w:rsidR="00FE56FF" w:rsidRPr="00942B75">
        <w:rPr>
          <w:bCs/>
          <w:i/>
          <w:lang w:val="en-GB"/>
        </w:rPr>
        <w:t xml:space="preserve">in </w:t>
      </w:r>
      <w:proofErr w:type="spellStart"/>
      <w:r w:rsidR="00FE56FF" w:rsidRPr="00942B75">
        <w:rPr>
          <w:bCs/>
          <w:i/>
          <w:lang w:val="en-GB"/>
        </w:rPr>
        <w:t>casu</w:t>
      </w:r>
      <w:proofErr w:type="spellEnd"/>
      <w:r w:rsidR="00FE56FF" w:rsidRPr="00942B75">
        <w:rPr>
          <w:bCs/>
          <w:lang w:val="en-GB"/>
        </w:rPr>
        <w:t>.</w:t>
      </w:r>
      <w:r w:rsidRPr="00942B75">
        <w:rPr>
          <w:bCs/>
          <w:lang w:val="en-GB"/>
        </w:rPr>
        <w:t xml:space="preserve"> In </w:t>
      </w:r>
      <w:proofErr w:type="spellStart"/>
      <w:r w:rsidRPr="00942B75">
        <w:rPr>
          <w:bCs/>
          <w:lang w:val="en-GB"/>
        </w:rPr>
        <w:t>Moosa</w:t>
      </w:r>
      <w:proofErr w:type="spellEnd"/>
      <w:r w:rsidRPr="00942B75">
        <w:rPr>
          <w:bCs/>
          <w:lang w:val="en-GB"/>
        </w:rPr>
        <w:t xml:space="preserve"> an application to set aside a pleading as an irregular step in conflict with the rules was brought. The approach of the court in </w:t>
      </w:r>
      <w:proofErr w:type="spellStart"/>
      <w:r w:rsidRPr="00942B75">
        <w:rPr>
          <w:bCs/>
          <w:lang w:val="en-GB"/>
        </w:rPr>
        <w:t>Moosa</w:t>
      </w:r>
      <w:proofErr w:type="spellEnd"/>
      <w:r w:rsidRPr="00942B75">
        <w:rPr>
          <w:bCs/>
          <w:lang w:val="en-GB"/>
        </w:rPr>
        <w:t xml:space="preserve"> should be seen within that confined and limited context of non-compliance with rule 18(6) as an irregular step</w:t>
      </w:r>
      <w:r w:rsidR="00FE56FF" w:rsidRPr="00942B75">
        <w:rPr>
          <w:bCs/>
          <w:lang w:val="en-GB"/>
        </w:rPr>
        <w:t xml:space="preserve"> therefore reliance upon the </w:t>
      </w:r>
      <w:proofErr w:type="spellStart"/>
      <w:r w:rsidR="00FE56FF" w:rsidRPr="00942B75">
        <w:rPr>
          <w:bCs/>
          <w:lang w:val="en-GB"/>
        </w:rPr>
        <w:t>Moosa</w:t>
      </w:r>
      <w:proofErr w:type="spellEnd"/>
      <w:r w:rsidR="00FE56FF" w:rsidRPr="00942B75">
        <w:rPr>
          <w:bCs/>
          <w:lang w:val="en-GB"/>
        </w:rPr>
        <w:t xml:space="preserve"> is not apposite.</w:t>
      </w:r>
    </w:p>
    <w:p w:rsidR="006C48A2" w:rsidRPr="00942B75" w:rsidRDefault="006C48A2" w:rsidP="004C0134">
      <w:pPr>
        <w:pStyle w:val="Header"/>
        <w:tabs>
          <w:tab w:val="left" w:pos="720"/>
        </w:tabs>
        <w:rPr>
          <w:bCs/>
          <w:lang w:val="en-GB"/>
        </w:rPr>
      </w:pPr>
    </w:p>
    <w:p w:rsidR="006C48A2" w:rsidRPr="00942B75" w:rsidRDefault="006C48A2" w:rsidP="004C0134">
      <w:pPr>
        <w:pStyle w:val="Header"/>
        <w:tabs>
          <w:tab w:val="left" w:pos="720"/>
        </w:tabs>
        <w:rPr>
          <w:bCs/>
          <w:lang w:val="en-GB"/>
        </w:rPr>
      </w:pPr>
      <w:r w:rsidRPr="00942B75">
        <w:rPr>
          <w:bCs/>
          <w:lang w:val="en-GB"/>
        </w:rPr>
        <w:t>[</w:t>
      </w:r>
      <w:r w:rsidR="004F34BD" w:rsidRPr="00942B75">
        <w:rPr>
          <w:bCs/>
          <w:lang w:val="en-GB"/>
        </w:rPr>
        <w:t>21</w:t>
      </w:r>
      <w:r w:rsidRPr="00942B75">
        <w:rPr>
          <w:bCs/>
          <w:lang w:val="en-GB"/>
        </w:rPr>
        <w:t xml:space="preserve">] </w:t>
      </w:r>
      <w:r w:rsidRPr="00942B75">
        <w:rPr>
          <w:bCs/>
          <w:lang w:val="en-GB"/>
        </w:rPr>
        <w:tab/>
        <w:t>First respondent cannot rely on irregular step as</w:t>
      </w:r>
      <w:r w:rsidR="002739FB" w:rsidRPr="00942B75">
        <w:rPr>
          <w:bCs/>
          <w:lang w:val="en-GB"/>
        </w:rPr>
        <w:t xml:space="preserve"> in terms of</w:t>
      </w:r>
      <w:r w:rsidRPr="00942B75">
        <w:rPr>
          <w:bCs/>
          <w:lang w:val="en-GB"/>
        </w:rPr>
        <w:t xml:space="preserve"> Rule 61</w:t>
      </w:r>
      <w:r w:rsidR="002739FB" w:rsidRPr="00942B75">
        <w:rPr>
          <w:bCs/>
          <w:lang w:val="en-GB"/>
        </w:rPr>
        <w:t>(1)</w:t>
      </w:r>
      <w:r w:rsidRPr="00942B75">
        <w:rPr>
          <w:bCs/>
          <w:lang w:val="en-GB"/>
        </w:rPr>
        <w:t xml:space="preserve"> the respondent had to, within 10 days from becoming aware of the irregularity apply to the managing judge to set aside the step or proceeding. Such interlocutory application must be on notice to all parties and applicant in such an application must specify in the notice </w:t>
      </w:r>
      <w:r w:rsidRPr="00942B75">
        <w:rPr>
          <w:bCs/>
          <w:lang w:val="en-GB"/>
        </w:rPr>
        <w:lastRenderedPageBreak/>
        <w:t>the particulars of the irregularity and allege as well prejudice claimed to be suffered as a result of the alleged irregular step</w:t>
      </w:r>
      <w:r w:rsidR="002739FB" w:rsidRPr="00942B75">
        <w:rPr>
          <w:bCs/>
          <w:lang w:val="en-GB"/>
        </w:rPr>
        <w:t xml:space="preserve"> (Rule 61(2))</w:t>
      </w:r>
      <w:r w:rsidRPr="00942B75">
        <w:rPr>
          <w:bCs/>
          <w:lang w:val="en-GB"/>
        </w:rPr>
        <w:t xml:space="preserve">. </w:t>
      </w:r>
      <w:r w:rsidR="00206A90" w:rsidRPr="00942B75">
        <w:rPr>
          <w:bCs/>
          <w:lang w:val="en-GB"/>
        </w:rPr>
        <w:t xml:space="preserve">Prejudice must </w:t>
      </w:r>
      <w:r w:rsidR="00206A90" w:rsidRPr="00942B75">
        <w:rPr>
          <w:bCs/>
          <w:u w:val="single"/>
          <w:lang w:val="en-GB"/>
        </w:rPr>
        <w:t>specifically</w:t>
      </w:r>
      <w:r w:rsidR="00206A90" w:rsidRPr="00942B75">
        <w:rPr>
          <w:bCs/>
          <w:lang w:val="en-GB"/>
        </w:rPr>
        <w:t xml:space="preserve"> be alleged and no reference is made in the opposing affidavit to prejudice.  </w:t>
      </w:r>
    </w:p>
    <w:p w:rsidR="00157710" w:rsidRPr="00942B75" w:rsidRDefault="00157710" w:rsidP="004C0134">
      <w:pPr>
        <w:pStyle w:val="Header"/>
        <w:tabs>
          <w:tab w:val="left" w:pos="720"/>
        </w:tabs>
        <w:rPr>
          <w:bCs/>
          <w:lang w:val="en-GB"/>
        </w:rPr>
      </w:pPr>
    </w:p>
    <w:p w:rsidR="007E34AF" w:rsidRPr="00942B75" w:rsidRDefault="007E34AF" w:rsidP="004C0134">
      <w:pPr>
        <w:pStyle w:val="Header"/>
        <w:tabs>
          <w:tab w:val="left" w:pos="720"/>
        </w:tabs>
        <w:rPr>
          <w:bCs/>
          <w:lang w:val="en-GB"/>
        </w:rPr>
      </w:pPr>
      <w:r w:rsidRPr="00942B75">
        <w:rPr>
          <w:bCs/>
          <w:lang w:val="en-GB"/>
        </w:rPr>
        <w:t>[</w:t>
      </w:r>
      <w:r w:rsidR="004F34BD" w:rsidRPr="00942B75">
        <w:rPr>
          <w:bCs/>
          <w:lang w:val="en-GB"/>
        </w:rPr>
        <w:t>22</w:t>
      </w:r>
      <w:r w:rsidRPr="00942B75">
        <w:rPr>
          <w:bCs/>
          <w:lang w:val="en-GB"/>
        </w:rPr>
        <w:t>]</w:t>
      </w:r>
      <w:r w:rsidRPr="00942B75">
        <w:rPr>
          <w:bCs/>
          <w:lang w:val="en-GB"/>
        </w:rPr>
        <w:tab/>
        <w:t xml:space="preserve"> I am of the opinion that the defence raised in terms of Rule 45(7) is purely technical and has no merits. </w:t>
      </w:r>
    </w:p>
    <w:p w:rsidR="007E34AF" w:rsidRPr="00942B75" w:rsidRDefault="007E34AF" w:rsidP="004C0134">
      <w:pPr>
        <w:pStyle w:val="Header"/>
        <w:tabs>
          <w:tab w:val="left" w:pos="720"/>
        </w:tabs>
        <w:rPr>
          <w:bCs/>
          <w:lang w:val="en-GB"/>
        </w:rPr>
      </w:pPr>
    </w:p>
    <w:p w:rsidR="007E34AF" w:rsidRPr="00F26682" w:rsidRDefault="00F26682" w:rsidP="004C0134">
      <w:pPr>
        <w:pStyle w:val="Header"/>
        <w:tabs>
          <w:tab w:val="left" w:pos="720"/>
        </w:tabs>
        <w:rPr>
          <w:bCs/>
          <w:u w:val="single"/>
          <w:lang w:val="en-GB"/>
        </w:rPr>
      </w:pPr>
      <w:r>
        <w:rPr>
          <w:bCs/>
          <w:u w:val="single"/>
          <w:lang w:val="en-GB"/>
        </w:rPr>
        <w:t>Payment certificate</w:t>
      </w:r>
    </w:p>
    <w:p w:rsidR="007E34AF" w:rsidRPr="00942B75" w:rsidRDefault="007E34AF" w:rsidP="004C0134">
      <w:pPr>
        <w:pStyle w:val="Header"/>
        <w:tabs>
          <w:tab w:val="left" w:pos="720"/>
        </w:tabs>
        <w:rPr>
          <w:bCs/>
          <w:lang w:val="en-GB"/>
        </w:rPr>
      </w:pPr>
    </w:p>
    <w:p w:rsidR="006C48A2" w:rsidRPr="00942B75" w:rsidRDefault="006C48A2" w:rsidP="004C0134">
      <w:pPr>
        <w:pStyle w:val="Header"/>
        <w:tabs>
          <w:tab w:val="left" w:pos="720"/>
        </w:tabs>
        <w:rPr>
          <w:bCs/>
          <w:lang w:val="en-GB"/>
        </w:rPr>
      </w:pPr>
      <w:r w:rsidRPr="00942B75">
        <w:rPr>
          <w:bCs/>
          <w:lang w:val="en-GB"/>
        </w:rPr>
        <w:t>[</w:t>
      </w:r>
      <w:r w:rsidR="004F34BD" w:rsidRPr="00942B75">
        <w:rPr>
          <w:bCs/>
          <w:lang w:val="en-GB"/>
        </w:rPr>
        <w:t>23</w:t>
      </w:r>
      <w:r w:rsidRPr="00942B75">
        <w:rPr>
          <w:bCs/>
          <w:lang w:val="en-GB"/>
        </w:rPr>
        <w:t>]</w:t>
      </w:r>
      <w:r w:rsidRPr="00942B75">
        <w:rPr>
          <w:bCs/>
          <w:lang w:val="en-GB"/>
        </w:rPr>
        <w:tab/>
        <w:t xml:space="preserve">The </w:t>
      </w:r>
      <w:r w:rsidR="002739FB" w:rsidRPr="00942B75">
        <w:rPr>
          <w:bCs/>
          <w:lang w:val="en-GB"/>
        </w:rPr>
        <w:t>plaintiff</w:t>
      </w:r>
      <w:r w:rsidRPr="00942B75">
        <w:rPr>
          <w:bCs/>
          <w:lang w:val="en-GB"/>
        </w:rPr>
        <w:t xml:space="preserve"> attached the certificate of payment to the particulars of claim. The first </w:t>
      </w:r>
      <w:r w:rsidR="002739FB" w:rsidRPr="00942B75">
        <w:rPr>
          <w:bCs/>
          <w:lang w:val="en-GB"/>
        </w:rPr>
        <w:t>defendant</w:t>
      </w:r>
      <w:r w:rsidRPr="00942B75">
        <w:rPr>
          <w:bCs/>
          <w:lang w:val="en-GB"/>
        </w:rPr>
        <w:t xml:space="preserve"> can hardly now, whilst apparently being in possession of the written agreement,  cry foul that the </w:t>
      </w:r>
      <w:r w:rsidR="002739FB" w:rsidRPr="00942B75">
        <w:rPr>
          <w:bCs/>
          <w:lang w:val="en-GB"/>
        </w:rPr>
        <w:t>plaintiff</w:t>
      </w:r>
      <w:r w:rsidRPr="00942B75">
        <w:rPr>
          <w:bCs/>
          <w:lang w:val="en-GB"/>
        </w:rPr>
        <w:t xml:space="preserve"> did not attach same to the particular of claim and </w:t>
      </w:r>
      <w:r w:rsidR="002739FB" w:rsidRPr="00942B75">
        <w:rPr>
          <w:bCs/>
          <w:lang w:val="en-GB"/>
        </w:rPr>
        <w:t>then argue that as no contract setting out the express terms has been attached that the court cannot interpret the attached certificate to constitute an acknowledgment of debt.</w:t>
      </w:r>
    </w:p>
    <w:p w:rsidR="002739FB" w:rsidRPr="00942B75" w:rsidRDefault="002739FB" w:rsidP="004C0134">
      <w:pPr>
        <w:pStyle w:val="Header"/>
        <w:tabs>
          <w:tab w:val="left" w:pos="720"/>
        </w:tabs>
        <w:rPr>
          <w:bCs/>
          <w:lang w:val="en-GB"/>
        </w:rPr>
      </w:pPr>
    </w:p>
    <w:p w:rsidR="002739FB" w:rsidRPr="00942B75" w:rsidRDefault="002739FB" w:rsidP="004C0134">
      <w:pPr>
        <w:pStyle w:val="Header"/>
        <w:tabs>
          <w:tab w:val="left" w:pos="720"/>
        </w:tabs>
        <w:rPr>
          <w:bCs/>
          <w:lang w:val="en-GB"/>
        </w:rPr>
      </w:pPr>
      <w:r w:rsidRPr="00942B75">
        <w:rPr>
          <w:bCs/>
          <w:lang w:val="en-GB"/>
        </w:rPr>
        <w:t>[</w:t>
      </w:r>
      <w:r w:rsidR="004F34BD" w:rsidRPr="00942B75">
        <w:rPr>
          <w:bCs/>
          <w:lang w:val="en-GB"/>
        </w:rPr>
        <w:t>24</w:t>
      </w:r>
      <w:r w:rsidRPr="00942B75">
        <w:rPr>
          <w:bCs/>
          <w:lang w:val="en-GB"/>
        </w:rPr>
        <w:t xml:space="preserve">] </w:t>
      </w:r>
      <w:r w:rsidRPr="00942B75">
        <w:rPr>
          <w:bCs/>
          <w:lang w:val="en-GB"/>
        </w:rPr>
        <w:tab/>
        <w:t xml:space="preserve">Surely if the terms as set out in the particulars of claim was incorrect in the averments made the first respondent should have raise that in it its defence. The defendant queries the assertion that the certificated ZF1 constitutes an acknowledgment of debt and avers that it does not constitute one as it bears only one signature and does not have any counter signatures whose addition to the certificate would render it an acknowledgment of debt. </w:t>
      </w:r>
    </w:p>
    <w:p w:rsidR="002739FB" w:rsidRPr="00942B75" w:rsidRDefault="002739FB" w:rsidP="004C0134">
      <w:pPr>
        <w:pStyle w:val="Header"/>
        <w:tabs>
          <w:tab w:val="left" w:pos="720"/>
        </w:tabs>
        <w:rPr>
          <w:bCs/>
          <w:lang w:val="en-GB"/>
        </w:rPr>
      </w:pPr>
    </w:p>
    <w:p w:rsidR="007E34AF" w:rsidRDefault="007E34AF" w:rsidP="004C0134">
      <w:pPr>
        <w:pStyle w:val="Header"/>
        <w:tabs>
          <w:tab w:val="left" w:pos="720"/>
        </w:tabs>
        <w:rPr>
          <w:bCs/>
          <w:lang w:val="en-GB"/>
        </w:rPr>
      </w:pPr>
      <w:r w:rsidRPr="00942B75">
        <w:rPr>
          <w:bCs/>
          <w:lang w:val="en-GB"/>
        </w:rPr>
        <w:t>[</w:t>
      </w:r>
      <w:r w:rsidR="004F34BD" w:rsidRPr="00942B75">
        <w:rPr>
          <w:bCs/>
          <w:lang w:val="en-GB"/>
        </w:rPr>
        <w:t>25</w:t>
      </w:r>
      <w:r w:rsidRPr="00942B75">
        <w:rPr>
          <w:bCs/>
          <w:lang w:val="en-GB"/>
        </w:rPr>
        <w:t xml:space="preserve">] </w:t>
      </w:r>
      <w:r w:rsidRPr="00942B75">
        <w:rPr>
          <w:bCs/>
          <w:lang w:val="en-GB"/>
        </w:rPr>
        <w:tab/>
        <w:t xml:space="preserve">For purposes of this ruling I </w:t>
      </w:r>
      <w:r w:rsidR="00BE7B28" w:rsidRPr="00942B75">
        <w:rPr>
          <w:bCs/>
          <w:lang w:val="en-GB"/>
        </w:rPr>
        <w:t xml:space="preserve">will </w:t>
      </w:r>
      <w:r w:rsidR="00FD4C7E" w:rsidRPr="00942B75">
        <w:rPr>
          <w:bCs/>
          <w:lang w:val="en-GB"/>
        </w:rPr>
        <w:t>recreate</w:t>
      </w:r>
      <w:r w:rsidR="00BE7B28" w:rsidRPr="00942B75">
        <w:rPr>
          <w:bCs/>
          <w:lang w:val="en-GB"/>
        </w:rPr>
        <w:t xml:space="preserve"> </w:t>
      </w:r>
      <w:r w:rsidR="00FD4C7E" w:rsidRPr="00942B75">
        <w:rPr>
          <w:bCs/>
          <w:lang w:val="en-GB"/>
        </w:rPr>
        <w:t>the relevant portion</w:t>
      </w:r>
      <w:r w:rsidR="00BE7B28" w:rsidRPr="00942B75">
        <w:rPr>
          <w:bCs/>
          <w:lang w:val="en-GB"/>
        </w:rPr>
        <w:t xml:space="preserve"> of the certificate in question: </w:t>
      </w:r>
    </w:p>
    <w:p w:rsidR="00F26682" w:rsidRPr="00942B75" w:rsidRDefault="00F26682" w:rsidP="004C0134">
      <w:pPr>
        <w:pStyle w:val="Header"/>
        <w:tabs>
          <w:tab w:val="left" w:pos="720"/>
        </w:tabs>
        <w:rPr>
          <w:bCs/>
          <w:lang w:val="en-GB"/>
        </w:rPr>
      </w:pPr>
    </w:p>
    <w:p w:rsidR="00BE7B28" w:rsidRPr="00942B75" w:rsidRDefault="00BE7B28" w:rsidP="004C0134">
      <w:pPr>
        <w:pStyle w:val="Header"/>
        <w:tabs>
          <w:tab w:val="left" w:pos="720"/>
        </w:tabs>
        <w:rPr>
          <w:b/>
          <w:bCs/>
          <w:lang w:val="en-GB"/>
        </w:rPr>
      </w:pPr>
      <w:r w:rsidRPr="00942B75">
        <w:rPr>
          <w:bCs/>
          <w:lang w:val="en-GB"/>
        </w:rPr>
        <w:tab/>
      </w:r>
      <w:r w:rsidR="00CA6800" w:rsidRPr="00942B75">
        <w:rPr>
          <w:bCs/>
          <w:lang w:val="en-GB"/>
        </w:rPr>
        <w:t>‘</w:t>
      </w:r>
      <w:r w:rsidRPr="00942B75">
        <w:rPr>
          <w:bCs/>
          <w:lang w:val="en-GB"/>
        </w:rPr>
        <w:tab/>
      </w:r>
      <w:r w:rsidRPr="00942B75">
        <w:rPr>
          <w:b/>
          <w:bCs/>
          <w:lang w:val="en-GB"/>
        </w:rPr>
        <w:t>CERTIFICATE</w:t>
      </w:r>
    </w:p>
    <w:p w:rsidR="00BE7B28" w:rsidRPr="00942B75" w:rsidRDefault="00BE7B28" w:rsidP="004C0134">
      <w:pPr>
        <w:pStyle w:val="Header"/>
        <w:tabs>
          <w:tab w:val="left" w:pos="720"/>
        </w:tabs>
        <w:rPr>
          <w:bCs/>
          <w:lang w:val="en-GB"/>
        </w:rPr>
      </w:pPr>
      <w:r w:rsidRPr="00942B75">
        <w:rPr>
          <w:bCs/>
          <w:lang w:val="en-GB"/>
        </w:rPr>
        <w:tab/>
        <w:t>OF PAYMENT TO THE CONTRACTOR BY THE EMPLOYER</w:t>
      </w:r>
    </w:p>
    <w:p w:rsidR="00BE7B28" w:rsidRDefault="00BE7B28" w:rsidP="004C0134">
      <w:pPr>
        <w:pStyle w:val="Header"/>
        <w:tabs>
          <w:tab w:val="left" w:pos="720"/>
        </w:tabs>
        <w:rPr>
          <w:bCs/>
          <w:lang w:val="en-GB"/>
        </w:rPr>
      </w:pPr>
      <w:r w:rsidRPr="00942B75">
        <w:rPr>
          <w:bCs/>
          <w:lang w:val="en-GB"/>
        </w:rPr>
        <w:t>THIS CERTIFICATE OF PAYMENT TO BE PRESENTED BY THE CONTRACTOR TO THE EMPLOYER FOR PAYMENT</w:t>
      </w:r>
    </w:p>
    <w:p w:rsidR="00F26682" w:rsidRPr="00942B75" w:rsidRDefault="00F26682" w:rsidP="004C0134">
      <w:pPr>
        <w:pStyle w:val="Header"/>
        <w:tabs>
          <w:tab w:val="left" w:pos="720"/>
        </w:tabs>
        <w:rPr>
          <w:bCs/>
          <w:lang w:val="en-GB"/>
        </w:rPr>
      </w:pPr>
    </w:p>
    <w:p w:rsidR="00BE7B28" w:rsidRPr="00942B75" w:rsidRDefault="00BE7B28" w:rsidP="004C0134">
      <w:pPr>
        <w:pStyle w:val="Header"/>
        <w:tabs>
          <w:tab w:val="left" w:pos="720"/>
        </w:tabs>
        <w:rPr>
          <w:bCs/>
          <w:sz w:val="20"/>
          <w:szCs w:val="20"/>
          <w:lang w:val="en-GB"/>
        </w:rPr>
      </w:pPr>
      <w:r w:rsidRPr="00942B75">
        <w:rPr>
          <w:bCs/>
          <w:sz w:val="20"/>
          <w:szCs w:val="20"/>
          <w:lang w:val="en-GB"/>
        </w:rPr>
        <w:t>I, as the duly authorised Principal Agent of the Employer, certify in terms of the contract dated July 19, 2011</w:t>
      </w:r>
    </w:p>
    <w:p w:rsidR="00BE7B28" w:rsidRPr="00942B75" w:rsidRDefault="00BE7B28" w:rsidP="004C0134">
      <w:pPr>
        <w:pStyle w:val="Header"/>
        <w:tabs>
          <w:tab w:val="left" w:pos="720"/>
        </w:tabs>
        <w:rPr>
          <w:bCs/>
          <w:sz w:val="20"/>
          <w:szCs w:val="20"/>
          <w:lang w:val="en-GB"/>
        </w:rPr>
      </w:pPr>
      <w:r w:rsidRPr="00942B75">
        <w:rPr>
          <w:bCs/>
          <w:sz w:val="20"/>
          <w:szCs w:val="20"/>
          <w:lang w:val="en-GB"/>
        </w:rPr>
        <w:lastRenderedPageBreak/>
        <w:t xml:space="preserve">For work described in the Contract as THE PROVISION OF ELECTICAL INFRASTRUCTURE IN </w:t>
      </w:r>
    </w:p>
    <w:p w:rsidR="00BE7B28" w:rsidRPr="00942B75" w:rsidRDefault="00BE7B28" w:rsidP="004C0134">
      <w:pPr>
        <w:pStyle w:val="Header"/>
        <w:tabs>
          <w:tab w:val="left" w:pos="720"/>
        </w:tabs>
        <w:rPr>
          <w:bCs/>
          <w:sz w:val="20"/>
          <w:szCs w:val="20"/>
          <w:lang w:val="en-GB"/>
        </w:rPr>
      </w:pPr>
      <w:r w:rsidRPr="00942B75">
        <w:rPr>
          <w:bCs/>
          <w:sz w:val="20"/>
          <w:szCs w:val="20"/>
          <w:lang w:val="en-GB"/>
        </w:rPr>
        <w:t xml:space="preserve"> </w:t>
      </w:r>
      <w:r w:rsidRPr="00942B75">
        <w:rPr>
          <w:bCs/>
          <w:sz w:val="20"/>
          <w:szCs w:val="20"/>
          <w:lang w:val="en-GB"/>
        </w:rPr>
        <w:tab/>
      </w:r>
      <w:r w:rsidRPr="00942B75">
        <w:rPr>
          <w:bCs/>
          <w:sz w:val="20"/>
          <w:szCs w:val="20"/>
          <w:lang w:val="en-GB"/>
        </w:rPr>
        <w:tab/>
        <w:t xml:space="preserve">                     OTUZEMBA- OPUWO TOWN</w:t>
      </w:r>
    </w:p>
    <w:p w:rsidR="00BE7B28" w:rsidRPr="00942B75" w:rsidRDefault="00BE7B28" w:rsidP="004C0134">
      <w:pPr>
        <w:pStyle w:val="Header"/>
        <w:tabs>
          <w:tab w:val="left" w:pos="720"/>
        </w:tabs>
        <w:rPr>
          <w:bCs/>
          <w:sz w:val="20"/>
          <w:szCs w:val="20"/>
          <w:lang w:val="en-GB"/>
        </w:rPr>
      </w:pPr>
      <w:r w:rsidRPr="00942B75">
        <w:rPr>
          <w:bCs/>
          <w:sz w:val="20"/>
          <w:szCs w:val="20"/>
          <w:lang w:val="en-GB"/>
        </w:rPr>
        <w:tab/>
        <w:t xml:space="preserve">                            </w:t>
      </w:r>
      <w:proofErr w:type="gramStart"/>
      <w:r w:rsidRPr="00942B75">
        <w:rPr>
          <w:bCs/>
          <w:sz w:val="20"/>
          <w:szCs w:val="20"/>
          <w:lang w:val="en-GB"/>
        </w:rPr>
        <w:t>Situated  at</w:t>
      </w:r>
      <w:proofErr w:type="gramEnd"/>
      <w:r w:rsidRPr="00942B75">
        <w:rPr>
          <w:bCs/>
          <w:sz w:val="20"/>
          <w:szCs w:val="20"/>
          <w:lang w:val="en-GB"/>
        </w:rPr>
        <w:t xml:space="preserve">  OPUWU-KUNENE REGION</w:t>
      </w:r>
    </w:p>
    <w:p w:rsidR="00BE7B28" w:rsidRPr="00942B75" w:rsidRDefault="00BE7B28" w:rsidP="004C0134">
      <w:pPr>
        <w:pStyle w:val="Header"/>
        <w:tabs>
          <w:tab w:val="left" w:pos="720"/>
        </w:tabs>
        <w:rPr>
          <w:bCs/>
          <w:sz w:val="20"/>
          <w:szCs w:val="20"/>
          <w:lang w:val="en-GB"/>
        </w:rPr>
      </w:pPr>
      <w:r w:rsidRPr="00942B75">
        <w:rPr>
          <w:bCs/>
          <w:sz w:val="20"/>
          <w:szCs w:val="20"/>
          <w:lang w:val="en-GB"/>
        </w:rPr>
        <w:t xml:space="preserve">         Payment a set out is due by </w:t>
      </w:r>
      <w:proofErr w:type="gramStart"/>
      <w:r w:rsidRPr="00942B75">
        <w:rPr>
          <w:bCs/>
          <w:sz w:val="20"/>
          <w:szCs w:val="20"/>
          <w:lang w:val="en-GB"/>
        </w:rPr>
        <w:t>the  KUNENE</w:t>
      </w:r>
      <w:proofErr w:type="gramEnd"/>
      <w:r w:rsidRPr="00942B75">
        <w:rPr>
          <w:bCs/>
          <w:sz w:val="20"/>
          <w:szCs w:val="20"/>
          <w:lang w:val="en-GB"/>
        </w:rPr>
        <w:t xml:space="preserve"> REGIONAL COUNCIL under the auspices of MINISTER               </w:t>
      </w:r>
    </w:p>
    <w:p w:rsidR="00BE7B28" w:rsidRPr="00942B75" w:rsidRDefault="00BE7B28" w:rsidP="004C0134">
      <w:pPr>
        <w:pStyle w:val="Header"/>
        <w:tabs>
          <w:tab w:val="left" w:pos="720"/>
        </w:tabs>
        <w:ind w:left="2880" w:hanging="2880"/>
        <w:jc w:val="left"/>
        <w:rPr>
          <w:bCs/>
          <w:sz w:val="20"/>
          <w:szCs w:val="20"/>
          <w:lang w:val="en-GB"/>
        </w:rPr>
      </w:pPr>
      <w:r w:rsidRPr="00942B75">
        <w:rPr>
          <w:bCs/>
          <w:sz w:val="20"/>
          <w:szCs w:val="20"/>
          <w:lang w:val="en-GB"/>
        </w:rPr>
        <w:t xml:space="preserve">                                                             OF</w:t>
      </w:r>
      <w:r w:rsidRPr="00942B75">
        <w:rPr>
          <w:bCs/>
          <w:sz w:val="20"/>
          <w:szCs w:val="20"/>
          <w:lang w:val="en-GB"/>
        </w:rPr>
        <w:tab/>
        <w:t xml:space="preserve"> MINISTER OF REGIONAL AND LOCAL GOVERNMENT AND      </w:t>
      </w:r>
    </w:p>
    <w:p w:rsidR="00BE7B28" w:rsidRPr="00942B75" w:rsidRDefault="00BE7B28" w:rsidP="004C0134">
      <w:pPr>
        <w:pStyle w:val="Header"/>
        <w:tabs>
          <w:tab w:val="left" w:pos="720"/>
        </w:tabs>
        <w:ind w:left="2880" w:hanging="2880"/>
        <w:jc w:val="left"/>
        <w:rPr>
          <w:bCs/>
          <w:sz w:val="20"/>
          <w:szCs w:val="20"/>
          <w:lang w:val="en-GB"/>
        </w:rPr>
      </w:pPr>
      <w:r w:rsidRPr="00942B75">
        <w:rPr>
          <w:bCs/>
          <w:sz w:val="20"/>
          <w:szCs w:val="20"/>
          <w:lang w:val="en-GB"/>
        </w:rPr>
        <w:t xml:space="preserve">                                                             HOUSING</w:t>
      </w:r>
    </w:p>
    <w:p w:rsidR="002739FB" w:rsidRPr="00942B75" w:rsidRDefault="00BE7B28" w:rsidP="004C0134">
      <w:pPr>
        <w:pStyle w:val="Header"/>
        <w:tabs>
          <w:tab w:val="left" w:pos="720"/>
        </w:tabs>
        <w:rPr>
          <w:bCs/>
          <w:sz w:val="20"/>
          <w:szCs w:val="20"/>
          <w:lang w:val="en-GB"/>
        </w:rPr>
      </w:pPr>
      <w:r w:rsidRPr="00942B75">
        <w:rPr>
          <w:bCs/>
          <w:sz w:val="20"/>
          <w:szCs w:val="20"/>
          <w:lang w:val="en-GB"/>
        </w:rPr>
        <w:t xml:space="preserve">                    </w:t>
      </w:r>
      <w:proofErr w:type="gramStart"/>
      <w:r w:rsidRPr="00942B75">
        <w:rPr>
          <w:bCs/>
          <w:sz w:val="20"/>
          <w:szCs w:val="20"/>
          <w:lang w:val="en-GB"/>
        </w:rPr>
        <w:t>of</w:t>
      </w:r>
      <w:proofErr w:type="gramEnd"/>
      <w:r w:rsidRPr="00942B75">
        <w:rPr>
          <w:bCs/>
          <w:sz w:val="20"/>
          <w:szCs w:val="20"/>
          <w:lang w:val="en-GB"/>
        </w:rPr>
        <w:t xml:space="preserve"> (address of Employer) Private Bag 502, OPUWO</w:t>
      </w:r>
    </w:p>
    <w:p w:rsidR="00BE7B28" w:rsidRPr="00942B75" w:rsidRDefault="00BE7B28" w:rsidP="004C0134">
      <w:pPr>
        <w:pStyle w:val="Header"/>
        <w:tabs>
          <w:tab w:val="left" w:pos="720"/>
        </w:tabs>
        <w:rPr>
          <w:bCs/>
          <w:sz w:val="20"/>
          <w:szCs w:val="20"/>
          <w:lang w:val="en-GB"/>
        </w:rPr>
      </w:pPr>
      <w:r w:rsidRPr="00942B75">
        <w:rPr>
          <w:bCs/>
          <w:sz w:val="20"/>
          <w:szCs w:val="20"/>
          <w:lang w:val="en-GB"/>
        </w:rPr>
        <w:t xml:space="preserve">                                 </w:t>
      </w:r>
      <w:proofErr w:type="gramStart"/>
      <w:r w:rsidRPr="00942B75">
        <w:rPr>
          <w:bCs/>
          <w:sz w:val="20"/>
          <w:szCs w:val="20"/>
          <w:lang w:val="en-GB"/>
        </w:rPr>
        <w:t>to</w:t>
      </w:r>
      <w:proofErr w:type="gramEnd"/>
      <w:r w:rsidRPr="00942B75">
        <w:rPr>
          <w:bCs/>
          <w:sz w:val="20"/>
          <w:szCs w:val="20"/>
          <w:lang w:val="en-GB"/>
        </w:rPr>
        <w:t xml:space="preserve"> the contractor  ZONE FOUR ELECTRICAL CONTRACTORS CC</w:t>
      </w:r>
    </w:p>
    <w:p w:rsidR="00BE7B28" w:rsidRPr="00942B75" w:rsidRDefault="00BE7B28" w:rsidP="004C0134">
      <w:pPr>
        <w:pStyle w:val="Header"/>
        <w:tabs>
          <w:tab w:val="left" w:pos="720"/>
        </w:tabs>
        <w:rPr>
          <w:bCs/>
          <w:sz w:val="20"/>
          <w:szCs w:val="20"/>
          <w:lang w:val="en-GB"/>
        </w:rPr>
      </w:pPr>
      <w:r w:rsidRPr="00942B75">
        <w:rPr>
          <w:bCs/>
          <w:sz w:val="20"/>
          <w:szCs w:val="20"/>
          <w:lang w:val="en-GB"/>
        </w:rPr>
        <w:t xml:space="preserve">                   </w:t>
      </w:r>
      <w:proofErr w:type="gramStart"/>
      <w:r w:rsidRPr="00942B75">
        <w:rPr>
          <w:bCs/>
          <w:sz w:val="20"/>
          <w:szCs w:val="20"/>
          <w:lang w:val="en-GB"/>
        </w:rPr>
        <w:t>of</w:t>
      </w:r>
      <w:proofErr w:type="gramEnd"/>
      <w:r w:rsidRPr="00942B75">
        <w:rPr>
          <w:bCs/>
          <w:sz w:val="20"/>
          <w:szCs w:val="20"/>
          <w:lang w:val="en-GB"/>
        </w:rPr>
        <w:t xml:space="preserve"> (address of Contractor) P O BOX </w:t>
      </w:r>
      <w:r w:rsidR="00FD4C7E" w:rsidRPr="00942B75">
        <w:rPr>
          <w:bCs/>
          <w:sz w:val="20"/>
          <w:szCs w:val="20"/>
          <w:lang w:val="en-GB"/>
        </w:rPr>
        <w:t>877, ONDANGWA</w:t>
      </w:r>
    </w:p>
    <w:p w:rsidR="00FD4C7E" w:rsidRPr="00942B75" w:rsidRDefault="00FD4C7E" w:rsidP="004C0134">
      <w:pPr>
        <w:pStyle w:val="Header"/>
        <w:tabs>
          <w:tab w:val="left" w:pos="720"/>
        </w:tabs>
        <w:rPr>
          <w:bCs/>
          <w:sz w:val="20"/>
          <w:szCs w:val="20"/>
          <w:lang w:val="en-GB"/>
        </w:rPr>
      </w:pPr>
      <w:r w:rsidRPr="00942B75">
        <w:rPr>
          <w:bCs/>
          <w:sz w:val="20"/>
          <w:szCs w:val="20"/>
          <w:lang w:val="en-GB"/>
        </w:rPr>
        <w:t>and accordingly this Certificate is an acknowledgment of debt by the Employer to the Contractor and a promise to pay the amount of this Certificate to the Contractor, at the Contractor’s address as set  out above within 30 days of the date of issue of this Certificate (unless otherwise stated in the Contract)</w:t>
      </w:r>
      <w:r w:rsidR="00CA6800" w:rsidRPr="00942B75">
        <w:rPr>
          <w:bCs/>
          <w:sz w:val="20"/>
          <w:szCs w:val="20"/>
          <w:lang w:val="en-GB"/>
        </w:rPr>
        <w:t>’</w:t>
      </w:r>
    </w:p>
    <w:p w:rsidR="00736022" w:rsidRPr="00942B75" w:rsidRDefault="00736022" w:rsidP="004C0134">
      <w:pPr>
        <w:pStyle w:val="Header"/>
        <w:tabs>
          <w:tab w:val="left" w:pos="720"/>
        </w:tabs>
        <w:rPr>
          <w:bCs/>
          <w:lang w:val="en-GB"/>
        </w:rPr>
      </w:pPr>
    </w:p>
    <w:p w:rsidR="00FD4C7E" w:rsidRPr="00942B75" w:rsidRDefault="00FD4C7E" w:rsidP="004C0134">
      <w:pPr>
        <w:pStyle w:val="Header"/>
        <w:tabs>
          <w:tab w:val="left" w:pos="720"/>
        </w:tabs>
        <w:rPr>
          <w:bCs/>
          <w:lang w:val="en-GB"/>
        </w:rPr>
      </w:pPr>
      <w:r w:rsidRPr="00942B75">
        <w:rPr>
          <w:bCs/>
          <w:lang w:val="en-GB"/>
        </w:rPr>
        <w:t>[</w:t>
      </w:r>
      <w:r w:rsidR="00114E15" w:rsidRPr="00942B75">
        <w:rPr>
          <w:bCs/>
          <w:lang w:val="en-GB"/>
        </w:rPr>
        <w:t>26</w:t>
      </w:r>
      <w:r w:rsidRPr="00942B75">
        <w:rPr>
          <w:bCs/>
          <w:lang w:val="en-GB"/>
        </w:rPr>
        <w:t>]</w:t>
      </w:r>
      <w:r w:rsidRPr="00942B75">
        <w:rPr>
          <w:bCs/>
          <w:lang w:val="en-GB"/>
        </w:rPr>
        <w:tab/>
        <w:t>The calculations that follows hereafter is not repeated however the total amount due as calculated was indicated as N$ 286 867.19. The certificate was signed on behalf of the fifth defendant WML Consulting Engineers on 21 August 2014.</w:t>
      </w:r>
    </w:p>
    <w:p w:rsidR="00FD4C7E" w:rsidRPr="00942B75" w:rsidRDefault="00FD4C7E" w:rsidP="004C0134">
      <w:pPr>
        <w:pStyle w:val="Header"/>
        <w:tabs>
          <w:tab w:val="left" w:pos="720"/>
        </w:tabs>
        <w:rPr>
          <w:bCs/>
          <w:lang w:val="en-GB"/>
        </w:rPr>
      </w:pPr>
    </w:p>
    <w:p w:rsidR="00FD4C7E" w:rsidRPr="00942B75" w:rsidRDefault="00FD4C7E" w:rsidP="004C0134">
      <w:pPr>
        <w:pStyle w:val="Header"/>
        <w:tabs>
          <w:tab w:val="left" w:pos="720"/>
        </w:tabs>
        <w:rPr>
          <w:bCs/>
          <w:lang w:val="en-GB"/>
        </w:rPr>
      </w:pPr>
      <w:r w:rsidRPr="00942B75">
        <w:rPr>
          <w:bCs/>
          <w:lang w:val="en-GB"/>
        </w:rPr>
        <w:t>[</w:t>
      </w:r>
      <w:r w:rsidR="00114E15" w:rsidRPr="00942B75">
        <w:rPr>
          <w:bCs/>
          <w:lang w:val="en-GB"/>
        </w:rPr>
        <w:t>27</w:t>
      </w:r>
      <w:r w:rsidRPr="00942B75">
        <w:rPr>
          <w:bCs/>
          <w:lang w:val="en-GB"/>
        </w:rPr>
        <w:t>]</w:t>
      </w:r>
      <w:r w:rsidRPr="00942B75">
        <w:rPr>
          <w:bCs/>
          <w:lang w:val="en-GB"/>
        </w:rPr>
        <w:tab/>
        <w:t>From the certificate it is clear that the fifth defendant was the authorised principal agent of the firs</w:t>
      </w:r>
      <w:r w:rsidR="00251B00" w:rsidRPr="00942B75">
        <w:rPr>
          <w:bCs/>
          <w:lang w:val="en-GB"/>
        </w:rPr>
        <w:t>t</w:t>
      </w:r>
      <w:r w:rsidRPr="00942B75">
        <w:rPr>
          <w:bCs/>
          <w:lang w:val="en-GB"/>
        </w:rPr>
        <w:t xml:space="preserve"> defendant. </w:t>
      </w:r>
    </w:p>
    <w:p w:rsidR="00251B00" w:rsidRPr="00942B75" w:rsidRDefault="00251B00" w:rsidP="004C0134">
      <w:pPr>
        <w:pStyle w:val="Header"/>
        <w:tabs>
          <w:tab w:val="left" w:pos="720"/>
        </w:tabs>
        <w:rPr>
          <w:bCs/>
          <w:lang w:val="en-GB"/>
        </w:rPr>
      </w:pPr>
    </w:p>
    <w:p w:rsidR="00FD4C7E" w:rsidRPr="00942B75" w:rsidRDefault="00251B00" w:rsidP="004C0134">
      <w:pPr>
        <w:pStyle w:val="Header"/>
        <w:tabs>
          <w:tab w:val="left" w:pos="720"/>
        </w:tabs>
        <w:rPr>
          <w:bCs/>
          <w:lang w:val="en-GB"/>
        </w:rPr>
      </w:pPr>
      <w:r w:rsidRPr="00942B75">
        <w:rPr>
          <w:bCs/>
          <w:lang w:val="en-GB"/>
        </w:rPr>
        <w:t>[</w:t>
      </w:r>
      <w:r w:rsidR="00114E15" w:rsidRPr="00942B75">
        <w:rPr>
          <w:bCs/>
          <w:lang w:val="en-GB"/>
        </w:rPr>
        <w:t>28</w:t>
      </w:r>
      <w:r w:rsidRPr="00942B75">
        <w:rPr>
          <w:bCs/>
          <w:lang w:val="en-GB"/>
        </w:rPr>
        <w:t>]</w:t>
      </w:r>
      <w:r w:rsidRPr="00942B75">
        <w:rPr>
          <w:bCs/>
          <w:lang w:val="en-GB"/>
        </w:rPr>
        <w:tab/>
        <w:t xml:space="preserve">The issue that the first defendant has with this certificate is </w:t>
      </w:r>
      <w:r w:rsidR="002F0FD0" w:rsidRPr="00942B75">
        <w:rPr>
          <w:bCs/>
          <w:lang w:val="en-GB"/>
        </w:rPr>
        <w:t>that it was not co-signed by it or the</w:t>
      </w:r>
      <w:r w:rsidRPr="00942B75">
        <w:rPr>
          <w:bCs/>
          <w:lang w:val="en-GB"/>
        </w:rPr>
        <w:t xml:space="preserve"> line ministry or the plaintiff</w:t>
      </w:r>
      <w:r w:rsidR="002F0FD0" w:rsidRPr="00942B75">
        <w:rPr>
          <w:bCs/>
          <w:lang w:val="en-GB"/>
        </w:rPr>
        <w:t xml:space="preserve"> and thus government protocol was not followed. </w:t>
      </w:r>
    </w:p>
    <w:p w:rsidR="002F0FD0" w:rsidRPr="00942B75" w:rsidRDefault="002F0FD0" w:rsidP="004C0134">
      <w:pPr>
        <w:pStyle w:val="Header"/>
        <w:tabs>
          <w:tab w:val="left" w:pos="720"/>
        </w:tabs>
        <w:rPr>
          <w:bCs/>
          <w:lang w:val="en-GB"/>
        </w:rPr>
      </w:pPr>
    </w:p>
    <w:p w:rsidR="000974EA" w:rsidRPr="00942B75" w:rsidRDefault="000974EA" w:rsidP="004C0134">
      <w:pPr>
        <w:pStyle w:val="Header"/>
        <w:tabs>
          <w:tab w:val="left" w:pos="720"/>
        </w:tabs>
        <w:rPr>
          <w:bCs/>
          <w:lang w:val="en-GB"/>
        </w:rPr>
      </w:pPr>
      <w:r w:rsidRPr="00942B75">
        <w:rPr>
          <w:bCs/>
          <w:lang w:val="en-GB"/>
        </w:rPr>
        <w:t>[</w:t>
      </w:r>
      <w:r w:rsidR="00114E15" w:rsidRPr="00942B75">
        <w:rPr>
          <w:bCs/>
          <w:lang w:val="en-GB"/>
        </w:rPr>
        <w:t>29</w:t>
      </w:r>
      <w:r w:rsidRPr="00942B75">
        <w:rPr>
          <w:bCs/>
          <w:lang w:val="en-GB"/>
        </w:rPr>
        <w:t>]</w:t>
      </w:r>
      <w:r w:rsidRPr="00942B75">
        <w:rPr>
          <w:bCs/>
          <w:lang w:val="en-GB"/>
        </w:rPr>
        <w:tab/>
      </w:r>
      <w:r w:rsidR="00251B00" w:rsidRPr="00942B75">
        <w:rPr>
          <w:bCs/>
          <w:lang w:val="en-GB"/>
        </w:rPr>
        <w:t xml:space="preserve">In the matter of </w:t>
      </w:r>
      <w:proofErr w:type="spellStart"/>
      <w:r w:rsidRPr="00942B75">
        <w:rPr>
          <w:bCs/>
          <w:i/>
          <w:lang w:val="en-GB"/>
        </w:rPr>
        <w:t>Randcon</w:t>
      </w:r>
      <w:proofErr w:type="spellEnd"/>
      <w:r w:rsidRPr="00942B75">
        <w:rPr>
          <w:bCs/>
          <w:i/>
          <w:lang w:val="en-GB"/>
        </w:rPr>
        <w:t xml:space="preserve"> (Natal) (Pty) Ltd v Florida Twin Estates (Pty) Ltd</w:t>
      </w:r>
      <w:r w:rsidRPr="00942B75">
        <w:rPr>
          <w:bCs/>
          <w:lang w:val="en-GB"/>
        </w:rPr>
        <w:t> 1973 (4) SA 181 (D) at 183H - 184H,</w:t>
      </w:r>
      <w:r w:rsidR="00251B00" w:rsidRPr="00942B75">
        <w:rPr>
          <w:bCs/>
          <w:lang w:val="en-GB"/>
        </w:rPr>
        <w:t xml:space="preserve"> the court found</w:t>
      </w:r>
      <w:r w:rsidRPr="00942B75">
        <w:rPr>
          <w:bCs/>
          <w:lang w:val="en-GB"/>
        </w:rPr>
        <w:t xml:space="preserve"> that a final payment certificate is treated as a liquid document since it is issued by the employer's agent, with the consequence that the employer is in the same position it would have been in if it had itself signed an acknowledgment of debt in favour of the contractor.</w:t>
      </w:r>
    </w:p>
    <w:p w:rsidR="00251B00" w:rsidRPr="00942B75" w:rsidRDefault="00251B00" w:rsidP="004C0134">
      <w:pPr>
        <w:pStyle w:val="Header"/>
        <w:tabs>
          <w:tab w:val="left" w:pos="720"/>
        </w:tabs>
        <w:rPr>
          <w:bCs/>
          <w:lang w:val="en-GB"/>
        </w:rPr>
      </w:pPr>
    </w:p>
    <w:p w:rsidR="002F0FD0" w:rsidRPr="00942B75" w:rsidRDefault="00251B00" w:rsidP="004C0134">
      <w:pPr>
        <w:pStyle w:val="Header"/>
        <w:tabs>
          <w:tab w:val="left" w:pos="720"/>
        </w:tabs>
        <w:rPr>
          <w:bCs/>
          <w:lang w:val="en-GB"/>
        </w:rPr>
      </w:pPr>
      <w:r w:rsidRPr="00942B75">
        <w:rPr>
          <w:bCs/>
          <w:lang w:val="en-GB"/>
        </w:rPr>
        <w:t>[</w:t>
      </w:r>
      <w:r w:rsidR="00114E15" w:rsidRPr="00942B75">
        <w:rPr>
          <w:bCs/>
          <w:lang w:val="en-GB"/>
        </w:rPr>
        <w:t>30</w:t>
      </w:r>
      <w:r w:rsidRPr="00942B75">
        <w:rPr>
          <w:bCs/>
          <w:lang w:val="en-GB"/>
        </w:rPr>
        <w:t>]</w:t>
      </w:r>
      <w:r w:rsidRPr="00942B75">
        <w:rPr>
          <w:bCs/>
          <w:lang w:val="en-GB"/>
        </w:rPr>
        <w:tab/>
        <w:t>The final certificate quite clearly creates a debt due. Such a debt may be sued for without a prior demand</w:t>
      </w:r>
      <w:r w:rsidR="00C420A8" w:rsidRPr="00942B75">
        <w:rPr>
          <w:bCs/>
          <w:lang w:val="en-GB"/>
        </w:rPr>
        <w:t>.</w:t>
      </w:r>
      <w:r w:rsidRPr="00942B75">
        <w:rPr>
          <w:rStyle w:val="FootnoteReference"/>
          <w:bCs/>
          <w:lang w:val="en-GB"/>
        </w:rPr>
        <w:footnoteReference w:id="9"/>
      </w:r>
    </w:p>
    <w:p w:rsidR="002F0FD0" w:rsidRPr="00942B75" w:rsidRDefault="002F0FD0" w:rsidP="004C0134">
      <w:pPr>
        <w:pStyle w:val="Header"/>
        <w:tabs>
          <w:tab w:val="left" w:pos="720"/>
        </w:tabs>
        <w:rPr>
          <w:bCs/>
          <w:lang w:val="en-GB"/>
        </w:rPr>
      </w:pPr>
    </w:p>
    <w:p w:rsidR="002F0FD0" w:rsidRPr="00942B75" w:rsidRDefault="002F0FD0" w:rsidP="004C0134">
      <w:pPr>
        <w:pStyle w:val="Header"/>
        <w:tabs>
          <w:tab w:val="left" w:pos="720"/>
        </w:tabs>
        <w:rPr>
          <w:bCs/>
          <w:lang w:val="en-GB"/>
        </w:rPr>
      </w:pPr>
      <w:r w:rsidRPr="00942B75">
        <w:rPr>
          <w:bCs/>
          <w:lang w:val="en-GB"/>
        </w:rPr>
        <w:t>[</w:t>
      </w:r>
      <w:r w:rsidR="00114E15" w:rsidRPr="00942B75">
        <w:rPr>
          <w:bCs/>
          <w:lang w:val="en-GB"/>
        </w:rPr>
        <w:t>31</w:t>
      </w:r>
      <w:r w:rsidRPr="00942B75">
        <w:rPr>
          <w:bCs/>
          <w:lang w:val="en-GB"/>
        </w:rPr>
        <w:t xml:space="preserve">] </w:t>
      </w:r>
      <w:r w:rsidRPr="00942B75">
        <w:rPr>
          <w:bCs/>
          <w:lang w:val="en-GB"/>
        </w:rPr>
        <w:tab/>
        <w:t xml:space="preserve">Van </w:t>
      </w:r>
      <w:proofErr w:type="spellStart"/>
      <w:r w:rsidRPr="00942B75">
        <w:rPr>
          <w:bCs/>
          <w:lang w:val="en-GB"/>
        </w:rPr>
        <w:t>Heerden</w:t>
      </w:r>
      <w:proofErr w:type="spellEnd"/>
      <w:r w:rsidRPr="00942B75">
        <w:rPr>
          <w:bCs/>
          <w:lang w:val="en-GB"/>
        </w:rPr>
        <w:t xml:space="preserve"> J </w:t>
      </w:r>
      <w:r w:rsidR="00206A90" w:rsidRPr="00942B75">
        <w:rPr>
          <w:bCs/>
          <w:lang w:val="en-GB"/>
        </w:rPr>
        <w:t xml:space="preserve">further </w:t>
      </w:r>
      <w:r w:rsidRPr="00942B75">
        <w:rPr>
          <w:bCs/>
          <w:lang w:val="en-GB"/>
        </w:rPr>
        <w:t>state</w:t>
      </w:r>
      <w:r w:rsidR="00206A90" w:rsidRPr="00942B75">
        <w:rPr>
          <w:bCs/>
          <w:lang w:val="en-GB"/>
        </w:rPr>
        <w:t>s</w:t>
      </w:r>
      <w:r w:rsidRPr="00942B75">
        <w:rPr>
          <w:bCs/>
          <w:lang w:val="en-GB"/>
        </w:rPr>
        <w:t xml:space="preserve"> the following in the </w:t>
      </w:r>
      <w:proofErr w:type="spellStart"/>
      <w:r w:rsidRPr="00942B75">
        <w:rPr>
          <w:bCs/>
          <w:i/>
          <w:lang w:val="en-GB"/>
        </w:rPr>
        <w:t>Randcon</w:t>
      </w:r>
      <w:proofErr w:type="spellEnd"/>
      <w:r w:rsidRPr="00942B75">
        <w:rPr>
          <w:bCs/>
          <w:lang w:val="en-GB"/>
        </w:rPr>
        <w:t xml:space="preserve"> case at page 184 G-H: </w:t>
      </w:r>
    </w:p>
    <w:p w:rsidR="000974EA" w:rsidRPr="00942B75" w:rsidRDefault="002F0FD0" w:rsidP="004C0134">
      <w:pPr>
        <w:pStyle w:val="Header"/>
        <w:tabs>
          <w:tab w:val="left" w:pos="720"/>
        </w:tabs>
        <w:rPr>
          <w:bCs/>
          <w:sz w:val="22"/>
          <w:lang w:val="en-GB"/>
        </w:rPr>
      </w:pPr>
      <w:r w:rsidRPr="00942B75">
        <w:rPr>
          <w:bCs/>
          <w:sz w:val="22"/>
          <w:lang w:val="en-GB"/>
        </w:rPr>
        <w:t>‘</w:t>
      </w:r>
      <w:r w:rsidR="00251B00" w:rsidRPr="00942B75">
        <w:rPr>
          <w:bCs/>
          <w:sz w:val="22"/>
          <w:lang w:val="en-GB"/>
        </w:rPr>
        <w:t>It makes no difference, in my view, whether a debtor 'acknowledges' that an indebtedness is due by him to another or whether he 'certifies' to that effect. In both instances he admits that he owes an amount which is due.</w:t>
      </w:r>
      <w:r w:rsidRPr="00942B75">
        <w:rPr>
          <w:bCs/>
          <w:sz w:val="22"/>
          <w:lang w:val="en-GB"/>
        </w:rPr>
        <w:t>’</w:t>
      </w:r>
    </w:p>
    <w:p w:rsidR="002F0FD0" w:rsidRPr="00942B75" w:rsidRDefault="002F0FD0" w:rsidP="004C0134">
      <w:pPr>
        <w:pStyle w:val="Header"/>
        <w:tabs>
          <w:tab w:val="left" w:pos="720"/>
        </w:tabs>
        <w:rPr>
          <w:bCs/>
          <w:lang w:val="en-GB"/>
        </w:rPr>
      </w:pPr>
    </w:p>
    <w:p w:rsidR="002F0FD0" w:rsidRPr="00942B75" w:rsidRDefault="002F0FD0" w:rsidP="004C0134">
      <w:pPr>
        <w:pStyle w:val="Header"/>
        <w:tabs>
          <w:tab w:val="left" w:pos="720"/>
        </w:tabs>
        <w:rPr>
          <w:bCs/>
          <w:lang w:val="en-GB"/>
        </w:rPr>
      </w:pPr>
      <w:r w:rsidRPr="00942B75">
        <w:rPr>
          <w:bCs/>
          <w:lang w:val="en-GB"/>
        </w:rPr>
        <w:t>[</w:t>
      </w:r>
      <w:r w:rsidR="00114E15" w:rsidRPr="00942B75">
        <w:rPr>
          <w:bCs/>
          <w:lang w:val="en-GB"/>
        </w:rPr>
        <w:t>32</w:t>
      </w:r>
      <w:r w:rsidRPr="00942B75">
        <w:rPr>
          <w:bCs/>
          <w:lang w:val="en-GB"/>
        </w:rPr>
        <w:t>]</w:t>
      </w:r>
      <w:r w:rsidRPr="00942B75">
        <w:rPr>
          <w:bCs/>
          <w:lang w:val="en-GB"/>
        </w:rPr>
        <w:tab/>
        <w:t xml:space="preserve">The </w:t>
      </w:r>
      <w:r w:rsidR="00206A90" w:rsidRPr="00942B75">
        <w:rPr>
          <w:bCs/>
          <w:lang w:val="en-GB"/>
        </w:rPr>
        <w:t>terms of the agreement</w:t>
      </w:r>
      <w:r w:rsidRPr="00942B75">
        <w:rPr>
          <w:bCs/>
          <w:lang w:val="en-GB"/>
        </w:rPr>
        <w:t xml:space="preserve"> in alleged in the particulars of claim was not denied and is taken to be admitted.</w:t>
      </w:r>
      <w:r w:rsidR="00206A90" w:rsidRPr="00942B75">
        <w:rPr>
          <w:bCs/>
          <w:lang w:val="en-GB"/>
        </w:rPr>
        <w:t xml:space="preserve"> Therefore, whether first respondent signed the final certificate or not, it remains indebted by virtue of the signature of its agent.</w:t>
      </w:r>
    </w:p>
    <w:p w:rsidR="002F0FD0" w:rsidRPr="00942B75" w:rsidRDefault="002F0FD0" w:rsidP="004C0134">
      <w:pPr>
        <w:pStyle w:val="Header"/>
        <w:tabs>
          <w:tab w:val="left" w:pos="720"/>
        </w:tabs>
        <w:rPr>
          <w:bCs/>
          <w:lang w:val="en-GB"/>
        </w:rPr>
      </w:pPr>
    </w:p>
    <w:p w:rsidR="0021583D" w:rsidRPr="00942B75" w:rsidRDefault="0021583D" w:rsidP="004C0134">
      <w:pPr>
        <w:pStyle w:val="Header"/>
        <w:tabs>
          <w:tab w:val="left" w:pos="720"/>
        </w:tabs>
        <w:rPr>
          <w:bCs/>
          <w:lang w:val="en-GB"/>
        </w:rPr>
      </w:pPr>
      <w:r w:rsidRPr="00942B75">
        <w:rPr>
          <w:bCs/>
          <w:lang w:val="en-GB"/>
        </w:rPr>
        <w:t>[</w:t>
      </w:r>
      <w:r w:rsidR="00114E15" w:rsidRPr="00942B75">
        <w:rPr>
          <w:bCs/>
          <w:lang w:val="en-GB"/>
        </w:rPr>
        <w:t>33</w:t>
      </w:r>
      <w:r w:rsidRPr="00942B75">
        <w:rPr>
          <w:bCs/>
          <w:lang w:val="en-GB"/>
        </w:rPr>
        <w:t>]</w:t>
      </w:r>
      <w:r w:rsidRPr="00942B75">
        <w:rPr>
          <w:bCs/>
          <w:lang w:val="en-GB"/>
        </w:rPr>
        <w:tab/>
        <w:t xml:space="preserve">I am satisfied that upon proper construction of the certificate, evidences by its terms it amounts to an unconditional acknowledgment of indebtedness in the amount as set out in the particulars of claim. </w:t>
      </w:r>
    </w:p>
    <w:p w:rsidR="00206A90" w:rsidRPr="00942B75" w:rsidRDefault="00206A90" w:rsidP="004C0134">
      <w:pPr>
        <w:pStyle w:val="Header"/>
        <w:tabs>
          <w:tab w:val="left" w:pos="720"/>
        </w:tabs>
        <w:rPr>
          <w:bCs/>
          <w:lang w:val="en-GB"/>
        </w:rPr>
      </w:pPr>
    </w:p>
    <w:p w:rsidR="0021583D" w:rsidRPr="00F26682" w:rsidRDefault="00CA6800" w:rsidP="004C0134">
      <w:pPr>
        <w:pStyle w:val="Header"/>
        <w:tabs>
          <w:tab w:val="left" w:pos="720"/>
        </w:tabs>
        <w:rPr>
          <w:bCs/>
          <w:u w:val="single"/>
          <w:lang w:val="en-GB"/>
        </w:rPr>
      </w:pPr>
      <w:r w:rsidRPr="00F26682">
        <w:rPr>
          <w:bCs/>
          <w:u w:val="single"/>
          <w:lang w:val="en-GB"/>
        </w:rPr>
        <w:t>Conclusion</w:t>
      </w:r>
    </w:p>
    <w:p w:rsidR="00CA6800" w:rsidRPr="00942B75" w:rsidRDefault="00CA6800" w:rsidP="004C0134">
      <w:pPr>
        <w:pStyle w:val="Header"/>
        <w:tabs>
          <w:tab w:val="left" w:pos="720"/>
        </w:tabs>
        <w:rPr>
          <w:bCs/>
          <w:i/>
          <w:lang w:val="en-GB"/>
        </w:rPr>
      </w:pPr>
    </w:p>
    <w:p w:rsidR="001B59CD" w:rsidRPr="00942B75" w:rsidRDefault="000974EA" w:rsidP="004C0134">
      <w:pPr>
        <w:pStyle w:val="Header"/>
        <w:tabs>
          <w:tab w:val="left" w:pos="720"/>
        </w:tabs>
        <w:rPr>
          <w:bCs/>
          <w:lang w:val="en-GB"/>
        </w:rPr>
      </w:pPr>
      <w:r w:rsidRPr="00942B75">
        <w:rPr>
          <w:bCs/>
          <w:lang w:val="en-GB"/>
        </w:rPr>
        <w:t>[</w:t>
      </w:r>
      <w:r w:rsidR="00114E15" w:rsidRPr="00942B75">
        <w:rPr>
          <w:bCs/>
          <w:lang w:val="en-GB"/>
        </w:rPr>
        <w:t>34</w:t>
      </w:r>
      <w:r w:rsidRPr="00942B75">
        <w:rPr>
          <w:bCs/>
          <w:lang w:val="en-GB"/>
        </w:rPr>
        <w:t xml:space="preserve">] </w:t>
      </w:r>
      <w:r w:rsidR="0021583D" w:rsidRPr="00942B75">
        <w:rPr>
          <w:bCs/>
          <w:lang w:val="en-GB"/>
        </w:rPr>
        <w:t>Summary</w:t>
      </w:r>
      <w:r w:rsidRPr="00942B75">
        <w:rPr>
          <w:bCs/>
          <w:lang w:val="en-GB"/>
        </w:rPr>
        <w:t xml:space="preserve"> judgment procedure </w:t>
      </w:r>
      <w:r w:rsidR="0021583D" w:rsidRPr="00942B75">
        <w:rPr>
          <w:bCs/>
          <w:lang w:val="en-GB"/>
        </w:rPr>
        <w:t>i</w:t>
      </w:r>
      <w:r w:rsidRPr="00942B75">
        <w:rPr>
          <w:bCs/>
          <w:lang w:val="en-GB"/>
        </w:rPr>
        <w:t xml:space="preserve">s not intended to shut </w:t>
      </w:r>
      <w:r w:rsidR="0021583D" w:rsidRPr="00942B75">
        <w:rPr>
          <w:bCs/>
          <w:lang w:val="en-GB"/>
        </w:rPr>
        <w:t xml:space="preserve">the </w:t>
      </w:r>
      <w:r w:rsidRPr="00942B75">
        <w:rPr>
          <w:bCs/>
          <w:lang w:val="en-GB"/>
        </w:rPr>
        <w:t>defendant</w:t>
      </w:r>
      <w:r w:rsidR="0021583D" w:rsidRPr="00942B75">
        <w:rPr>
          <w:bCs/>
          <w:lang w:val="en-GB"/>
        </w:rPr>
        <w:t xml:space="preserve"> out from defending his claim however it is very clear that it has no sustainable defence in this matter. The work was done by the plaintiff and certified to be correctly done. Plaintiff is entitled to payment as clearly set out in the final certificate. Government protocol and technical defences cannot be allowed to undermine the plaintiff’s claim</w:t>
      </w:r>
      <w:r w:rsidR="001B59CD" w:rsidRPr="00942B75">
        <w:rPr>
          <w:bCs/>
          <w:lang w:val="en-GB"/>
        </w:rPr>
        <w:t>.</w:t>
      </w:r>
    </w:p>
    <w:p w:rsidR="00114E15" w:rsidRPr="00942B75" w:rsidRDefault="00114E15" w:rsidP="004C0134">
      <w:pPr>
        <w:pStyle w:val="Header"/>
        <w:tabs>
          <w:tab w:val="left" w:pos="720"/>
        </w:tabs>
        <w:rPr>
          <w:bCs/>
          <w:lang w:val="en-GB"/>
        </w:rPr>
      </w:pPr>
    </w:p>
    <w:p w:rsidR="00CA6800" w:rsidRDefault="00CA6800" w:rsidP="004C0134">
      <w:pPr>
        <w:pStyle w:val="Header"/>
        <w:tabs>
          <w:tab w:val="left" w:pos="720"/>
        </w:tabs>
        <w:rPr>
          <w:bCs/>
          <w:lang w:val="en-GB"/>
        </w:rPr>
      </w:pPr>
      <w:r w:rsidRPr="00942B75">
        <w:rPr>
          <w:bCs/>
          <w:lang w:val="en-GB"/>
        </w:rPr>
        <w:t>[35]</w:t>
      </w:r>
      <w:r w:rsidRPr="00942B75">
        <w:rPr>
          <w:bCs/>
          <w:lang w:val="en-GB"/>
        </w:rPr>
        <w:tab/>
      </w:r>
      <w:r w:rsidR="001B59CD" w:rsidRPr="00942B75">
        <w:rPr>
          <w:bCs/>
          <w:lang w:val="en-GB"/>
        </w:rPr>
        <w:t xml:space="preserve">My order is therefore as follows: </w:t>
      </w:r>
    </w:p>
    <w:p w:rsidR="00F26682" w:rsidRPr="00942B75" w:rsidRDefault="00F26682" w:rsidP="004C0134">
      <w:pPr>
        <w:pStyle w:val="Header"/>
        <w:tabs>
          <w:tab w:val="left" w:pos="720"/>
        </w:tabs>
        <w:rPr>
          <w:bCs/>
          <w:lang w:val="en-GB"/>
        </w:rPr>
      </w:pPr>
    </w:p>
    <w:p w:rsidR="001B59CD" w:rsidRDefault="001B59CD" w:rsidP="00114E15">
      <w:pPr>
        <w:pStyle w:val="Header"/>
        <w:tabs>
          <w:tab w:val="left" w:pos="720"/>
        </w:tabs>
        <w:rPr>
          <w:bCs/>
          <w:lang w:val="en-GB"/>
        </w:rPr>
      </w:pPr>
      <w:r w:rsidRPr="00942B75">
        <w:rPr>
          <w:bCs/>
          <w:lang w:val="en-GB"/>
        </w:rPr>
        <w:t xml:space="preserve">Application for summary judgment is granted against the First Defendant in the following terms: </w:t>
      </w:r>
    </w:p>
    <w:p w:rsidR="00F26682" w:rsidRPr="00942B75" w:rsidRDefault="00F26682" w:rsidP="00114E15">
      <w:pPr>
        <w:pStyle w:val="Header"/>
        <w:tabs>
          <w:tab w:val="left" w:pos="720"/>
        </w:tabs>
        <w:rPr>
          <w:bCs/>
          <w:lang w:val="en-GB"/>
        </w:rPr>
      </w:pPr>
    </w:p>
    <w:p w:rsidR="001B59CD" w:rsidRPr="00F26682" w:rsidRDefault="001B59CD" w:rsidP="00F26682">
      <w:pPr>
        <w:pStyle w:val="Header"/>
        <w:numPr>
          <w:ilvl w:val="0"/>
          <w:numId w:val="4"/>
        </w:numPr>
        <w:tabs>
          <w:tab w:val="left" w:pos="720"/>
        </w:tabs>
        <w:ind w:left="720" w:hanging="720"/>
        <w:rPr>
          <w:bCs/>
          <w:lang w:val="en-GB"/>
        </w:rPr>
      </w:pPr>
      <w:r w:rsidRPr="00942B75">
        <w:rPr>
          <w:bCs/>
          <w:lang w:val="en-GB"/>
        </w:rPr>
        <w:t xml:space="preserve">Payment in the amount of NAD </w:t>
      </w:r>
      <w:r w:rsidRPr="00942B75">
        <w:t>286,867.19;</w:t>
      </w:r>
    </w:p>
    <w:p w:rsidR="00F26682" w:rsidRPr="00942B75" w:rsidRDefault="00F26682" w:rsidP="00F26682">
      <w:pPr>
        <w:pStyle w:val="Header"/>
        <w:tabs>
          <w:tab w:val="left" w:pos="720"/>
        </w:tabs>
        <w:ind w:left="720"/>
        <w:rPr>
          <w:bCs/>
          <w:lang w:val="en-GB"/>
        </w:rPr>
      </w:pPr>
    </w:p>
    <w:p w:rsidR="001B59CD" w:rsidRPr="00942B75" w:rsidRDefault="001B59CD" w:rsidP="00F26682">
      <w:pPr>
        <w:pStyle w:val="Header"/>
        <w:numPr>
          <w:ilvl w:val="0"/>
          <w:numId w:val="4"/>
        </w:numPr>
        <w:tabs>
          <w:tab w:val="left" w:pos="720"/>
        </w:tabs>
        <w:ind w:left="720" w:hanging="720"/>
        <w:rPr>
          <w:bCs/>
          <w:lang w:val="en-GB"/>
        </w:rPr>
      </w:pPr>
      <w:r w:rsidRPr="00942B75">
        <w:t xml:space="preserve">Interest on the aforesaid amount at the rate of 20% per annum </w:t>
      </w:r>
      <w:r w:rsidRPr="00942B75">
        <w:rPr>
          <w:i/>
        </w:rPr>
        <w:t>a tempore morae</w:t>
      </w:r>
      <w:r w:rsidRPr="00942B75">
        <w:t xml:space="preserve"> from date of judgment to date of final payment;</w:t>
      </w:r>
    </w:p>
    <w:p w:rsidR="001B59CD" w:rsidRPr="00F26682" w:rsidRDefault="001B59CD" w:rsidP="00F26682">
      <w:pPr>
        <w:pStyle w:val="Header"/>
        <w:numPr>
          <w:ilvl w:val="0"/>
          <w:numId w:val="4"/>
        </w:numPr>
        <w:tabs>
          <w:tab w:val="left" w:pos="720"/>
        </w:tabs>
        <w:ind w:left="720" w:hanging="720"/>
        <w:rPr>
          <w:bCs/>
          <w:lang w:val="en-GB"/>
        </w:rPr>
      </w:pPr>
      <w:r w:rsidRPr="00942B75">
        <w:lastRenderedPageBreak/>
        <w:t xml:space="preserve"> Cost to include cost of one instructed and one instructing counsel limited to Rule 32(11).</w:t>
      </w:r>
    </w:p>
    <w:p w:rsidR="00F26682" w:rsidRDefault="00F26682" w:rsidP="00F26682">
      <w:pPr>
        <w:pStyle w:val="Header"/>
        <w:tabs>
          <w:tab w:val="left" w:pos="720"/>
        </w:tabs>
      </w:pPr>
    </w:p>
    <w:p w:rsidR="00F26682" w:rsidRPr="00942B75" w:rsidRDefault="00F26682" w:rsidP="00F26682">
      <w:pPr>
        <w:pStyle w:val="Header"/>
        <w:tabs>
          <w:tab w:val="left" w:pos="720"/>
        </w:tabs>
        <w:rPr>
          <w:bCs/>
          <w:lang w:val="en-GB"/>
        </w:rPr>
      </w:pPr>
    </w:p>
    <w:p w:rsidR="001B59CD" w:rsidRPr="00942B75" w:rsidRDefault="00FA12DF" w:rsidP="00FA12DF">
      <w:pPr>
        <w:pStyle w:val="Header"/>
        <w:tabs>
          <w:tab w:val="clear" w:pos="4153"/>
          <w:tab w:val="clear" w:pos="8306"/>
          <w:tab w:val="left" w:pos="5460"/>
        </w:tabs>
        <w:jc w:val="right"/>
        <w:rPr>
          <w:bCs/>
          <w:lang w:val="en-GB"/>
        </w:rPr>
      </w:pPr>
      <w:r w:rsidRPr="00942B75">
        <w:rPr>
          <w:bCs/>
          <w:lang w:val="en-GB"/>
        </w:rPr>
        <w:tab/>
        <w:t>______________</w:t>
      </w:r>
    </w:p>
    <w:p w:rsidR="001B59CD" w:rsidRPr="00942B75" w:rsidRDefault="001B59CD" w:rsidP="00FA12DF">
      <w:pPr>
        <w:pStyle w:val="Header"/>
        <w:tabs>
          <w:tab w:val="left" w:pos="720"/>
        </w:tabs>
        <w:jc w:val="right"/>
        <w:rPr>
          <w:bCs/>
          <w:lang w:val="en-GB"/>
        </w:rPr>
      </w:pPr>
      <w:r w:rsidRPr="00942B75">
        <w:rPr>
          <w:bCs/>
          <w:lang w:val="en-GB"/>
        </w:rPr>
        <w:t xml:space="preserve">                                                                                    JS Prinsloo</w:t>
      </w:r>
    </w:p>
    <w:p w:rsidR="001B59CD" w:rsidRPr="00942B75" w:rsidRDefault="001B59CD" w:rsidP="00FA12DF">
      <w:pPr>
        <w:pStyle w:val="Header"/>
        <w:tabs>
          <w:tab w:val="left" w:pos="720"/>
        </w:tabs>
        <w:jc w:val="right"/>
        <w:rPr>
          <w:bCs/>
          <w:lang w:val="en-GB"/>
        </w:rPr>
      </w:pPr>
      <w:r w:rsidRPr="00942B75">
        <w:rPr>
          <w:bCs/>
          <w:lang w:val="en-GB"/>
        </w:rPr>
        <w:tab/>
      </w:r>
      <w:r w:rsidRPr="00942B75">
        <w:rPr>
          <w:bCs/>
          <w:lang w:val="en-GB"/>
        </w:rPr>
        <w:tab/>
        <w:t xml:space="preserve">                                                 Judge</w:t>
      </w:r>
    </w:p>
    <w:p w:rsidR="008C7B1E" w:rsidRPr="00942B75" w:rsidRDefault="001B59CD" w:rsidP="004C0134">
      <w:pPr>
        <w:pStyle w:val="Header"/>
        <w:tabs>
          <w:tab w:val="left" w:pos="720"/>
        </w:tabs>
        <w:rPr>
          <w:bCs/>
          <w:lang w:val="en-GB"/>
        </w:rPr>
      </w:pPr>
      <w:r w:rsidRPr="00942B75">
        <w:rPr>
          <w:bCs/>
          <w:lang w:val="en-GB"/>
        </w:rPr>
        <w:tab/>
      </w: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CA6800" w:rsidRPr="00942B75" w:rsidRDefault="00CA6800" w:rsidP="004C0134">
      <w:pPr>
        <w:pStyle w:val="Header"/>
        <w:tabs>
          <w:tab w:val="left" w:pos="720"/>
        </w:tabs>
        <w:rPr>
          <w:bCs/>
          <w:lang w:val="en-GB"/>
        </w:rPr>
      </w:pPr>
    </w:p>
    <w:p w:rsidR="008C7B1E" w:rsidRPr="00942B75" w:rsidRDefault="008C7B1E" w:rsidP="004C0134">
      <w:pPr>
        <w:pStyle w:val="Header"/>
        <w:tabs>
          <w:tab w:val="left" w:pos="720"/>
        </w:tabs>
        <w:rPr>
          <w:bCs/>
          <w:lang w:val="en-GB"/>
        </w:rPr>
      </w:pPr>
      <w:r w:rsidRPr="00942B75">
        <w:rPr>
          <w:bCs/>
          <w:lang w:val="en-GB"/>
        </w:rPr>
        <w:lastRenderedPageBreak/>
        <w:t>APPEARANCES:</w:t>
      </w:r>
    </w:p>
    <w:p w:rsidR="008C7B1E" w:rsidRPr="00942B75" w:rsidRDefault="008C7B1E" w:rsidP="004C0134">
      <w:pPr>
        <w:pStyle w:val="Header"/>
        <w:tabs>
          <w:tab w:val="left" w:pos="720"/>
        </w:tabs>
        <w:rPr>
          <w:bCs/>
          <w:lang w:val="en-GB"/>
        </w:rPr>
      </w:pPr>
    </w:p>
    <w:p w:rsidR="0010520D" w:rsidRPr="00942B75" w:rsidRDefault="00F26682" w:rsidP="004C0134">
      <w:pPr>
        <w:pStyle w:val="Header"/>
        <w:tabs>
          <w:tab w:val="left" w:pos="720"/>
        </w:tabs>
        <w:rPr>
          <w:bCs/>
          <w:lang w:val="en-GB"/>
        </w:rPr>
      </w:pPr>
      <w:r>
        <w:rPr>
          <w:bCs/>
          <w:lang w:val="en-GB"/>
        </w:rPr>
        <w:t>PLAINTIFF:</w:t>
      </w:r>
      <w:r>
        <w:rPr>
          <w:bCs/>
          <w:lang w:val="en-GB"/>
        </w:rPr>
        <w:tab/>
      </w:r>
      <w:r w:rsidR="00CA6800" w:rsidRPr="00942B75">
        <w:rPr>
          <w:bCs/>
          <w:lang w:val="en-GB"/>
        </w:rPr>
        <w:t>D</w:t>
      </w:r>
      <w:r w:rsidR="00206A90" w:rsidRPr="00942B75">
        <w:rPr>
          <w:bCs/>
          <w:lang w:val="en-GB"/>
        </w:rPr>
        <w:t xml:space="preserve"> </w:t>
      </w:r>
      <w:proofErr w:type="spellStart"/>
      <w:r w:rsidR="00206A90" w:rsidRPr="00942B75">
        <w:rPr>
          <w:bCs/>
          <w:lang w:val="en-GB"/>
        </w:rPr>
        <w:t>Obbes</w:t>
      </w:r>
      <w:proofErr w:type="spellEnd"/>
      <w:r w:rsidR="00206A90" w:rsidRPr="00942B75">
        <w:rPr>
          <w:bCs/>
          <w:lang w:val="en-GB"/>
        </w:rPr>
        <w:t xml:space="preserve"> </w:t>
      </w:r>
    </w:p>
    <w:p w:rsidR="008C7B1E" w:rsidRPr="00942B75" w:rsidRDefault="0010520D" w:rsidP="004C0134">
      <w:pPr>
        <w:pStyle w:val="Header"/>
        <w:tabs>
          <w:tab w:val="left" w:pos="720"/>
        </w:tabs>
        <w:rPr>
          <w:bCs/>
          <w:lang w:val="en-GB"/>
        </w:rPr>
      </w:pPr>
      <w:r w:rsidRPr="00942B75">
        <w:rPr>
          <w:bCs/>
          <w:lang w:val="en-GB"/>
        </w:rPr>
        <w:tab/>
      </w:r>
      <w:r w:rsidRPr="00942B75">
        <w:rPr>
          <w:bCs/>
          <w:lang w:val="en-GB"/>
        </w:rPr>
        <w:tab/>
        <w:t xml:space="preserve">                   </w:t>
      </w:r>
      <w:r w:rsidR="00F26682">
        <w:rPr>
          <w:bCs/>
          <w:lang w:val="en-GB"/>
        </w:rPr>
        <w:t xml:space="preserve">                          </w:t>
      </w:r>
      <w:proofErr w:type="gramStart"/>
      <w:r w:rsidR="00F26682">
        <w:rPr>
          <w:bCs/>
          <w:lang w:val="en-GB"/>
        </w:rPr>
        <w:t>i</w:t>
      </w:r>
      <w:r w:rsidR="00CA6800" w:rsidRPr="00942B75">
        <w:rPr>
          <w:bCs/>
          <w:lang w:val="en-GB"/>
        </w:rPr>
        <w:t>nstructed</w:t>
      </w:r>
      <w:proofErr w:type="gramEnd"/>
      <w:r w:rsidR="00CA6800" w:rsidRPr="00942B75">
        <w:rPr>
          <w:bCs/>
          <w:lang w:val="en-GB"/>
        </w:rPr>
        <w:t xml:space="preserve"> by </w:t>
      </w:r>
      <w:r w:rsidR="00206A90" w:rsidRPr="00942B75">
        <w:rPr>
          <w:bCs/>
          <w:lang w:val="en-GB"/>
        </w:rPr>
        <w:t xml:space="preserve">Fisher, Quarmby and </w:t>
      </w:r>
      <w:proofErr w:type="spellStart"/>
      <w:r w:rsidR="00206A90" w:rsidRPr="00942B75">
        <w:rPr>
          <w:bCs/>
          <w:lang w:val="en-GB"/>
        </w:rPr>
        <w:t>Phei</w:t>
      </w:r>
      <w:r w:rsidR="00CA6800" w:rsidRPr="00942B75">
        <w:rPr>
          <w:bCs/>
          <w:lang w:val="en-GB"/>
        </w:rPr>
        <w:t>f</w:t>
      </w:r>
      <w:r w:rsidR="00206A90" w:rsidRPr="00942B75">
        <w:rPr>
          <w:bCs/>
          <w:lang w:val="en-GB"/>
        </w:rPr>
        <w:t>fer</w:t>
      </w:r>
      <w:proofErr w:type="spellEnd"/>
      <w:r w:rsidR="00F26682">
        <w:rPr>
          <w:bCs/>
          <w:lang w:val="en-GB"/>
        </w:rPr>
        <w:t>,</w:t>
      </w:r>
    </w:p>
    <w:p w:rsidR="008C7B1E" w:rsidRPr="00942B75" w:rsidRDefault="00206A90" w:rsidP="004C0134">
      <w:pPr>
        <w:pStyle w:val="Header"/>
        <w:tabs>
          <w:tab w:val="left" w:pos="720"/>
        </w:tabs>
        <w:rPr>
          <w:bCs/>
          <w:lang w:val="en-GB"/>
        </w:rPr>
      </w:pPr>
      <w:r w:rsidRPr="00942B75">
        <w:rPr>
          <w:bCs/>
          <w:lang w:val="en-GB"/>
        </w:rPr>
        <w:tab/>
      </w:r>
      <w:r w:rsidRPr="00942B75">
        <w:rPr>
          <w:bCs/>
          <w:lang w:val="en-GB"/>
        </w:rPr>
        <w:tab/>
      </w:r>
      <w:r w:rsidR="00F26682">
        <w:rPr>
          <w:bCs/>
          <w:lang w:val="en-GB"/>
        </w:rPr>
        <w:t xml:space="preserve">   </w:t>
      </w:r>
      <w:r w:rsidRPr="00942B75">
        <w:rPr>
          <w:bCs/>
          <w:lang w:val="en-GB"/>
        </w:rPr>
        <w:t>Windhoek</w:t>
      </w:r>
      <w:bookmarkStart w:id="0" w:name="_GoBack"/>
      <w:bookmarkEnd w:id="0"/>
    </w:p>
    <w:p w:rsidR="008C7B1E" w:rsidRPr="00942B75" w:rsidRDefault="008C7B1E" w:rsidP="004C0134">
      <w:pPr>
        <w:pStyle w:val="Header"/>
        <w:tabs>
          <w:tab w:val="left" w:pos="720"/>
        </w:tabs>
        <w:rPr>
          <w:bCs/>
          <w:lang w:val="en-GB"/>
        </w:rPr>
      </w:pPr>
    </w:p>
    <w:p w:rsidR="008C7B1E" w:rsidRPr="00942B75" w:rsidRDefault="008C7B1E" w:rsidP="004C0134">
      <w:pPr>
        <w:pStyle w:val="Header"/>
        <w:tabs>
          <w:tab w:val="left" w:pos="720"/>
        </w:tabs>
        <w:rPr>
          <w:bCs/>
          <w:lang w:val="en-GB"/>
        </w:rPr>
      </w:pPr>
    </w:p>
    <w:p w:rsidR="0010520D" w:rsidRPr="00942B75" w:rsidRDefault="008C7B1E" w:rsidP="00F26682">
      <w:pPr>
        <w:pStyle w:val="Header"/>
        <w:tabs>
          <w:tab w:val="left" w:pos="720"/>
          <w:tab w:val="left" w:pos="3600"/>
          <w:tab w:val="left" w:pos="3780"/>
        </w:tabs>
        <w:rPr>
          <w:bCs/>
          <w:lang w:val="en-GB"/>
        </w:rPr>
      </w:pPr>
      <w:r w:rsidRPr="00942B75">
        <w:rPr>
          <w:bCs/>
          <w:lang w:val="en-GB"/>
        </w:rPr>
        <w:t>DEFENDANTS:</w:t>
      </w:r>
      <w:r w:rsidR="0010520D" w:rsidRPr="00942B75">
        <w:rPr>
          <w:bCs/>
          <w:lang w:val="en-GB"/>
        </w:rPr>
        <w:t xml:space="preserve">                     </w:t>
      </w:r>
      <w:r w:rsidR="00F26682">
        <w:rPr>
          <w:bCs/>
          <w:lang w:val="en-GB"/>
        </w:rPr>
        <w:t xml:space="preserve">         </w:t>
      </w:r>
      <w:r w:rsidR="0010520D" w:rsidRPr="00942B75">
        <w:rPr>
          <w:bCs/>
          <w:lang w:val="en-GB"/>
        </w:rPr>
        <w:t xml:space="preserve">M </w:t>
      </w:r>
      <w:proofErr w:type="spellStart"/>
      <w:r w:rsidR="0010520D" w:rsidRPr="00942B75">
        <w:rPr>
          <w:bCs/>
          <w:lang w:val="en-GB"/>
        </w:rPr>
        <w:t>Ndlovu</w:t>
      </w:r>
      <w:proofErr w:type="spellEnd"/>
    </w:p>
    <w:p w:rsidR="008C7B1E" w:rsidRPr="00942B75" w:rsidRDefault="0010520D" w:rsidP="00F26682">
      <w:pPr>
        <w:pStyle w:val="Header"/>
        <w:tabs>
          <w:tab w:val="left" w:pos="720"/>
          <w:tab w:val="left" w:pos="3780"/>
        </w:tabs>
        <w:rPr>
          <w:bCs/>
          <w:lang w:val="en-GB"/>
        </w:rPr>
      </w:pPr>
      <w:r w:rsidRPr="00942B75">
        <w:rPr>
          <w:bCs/>
          <w:lang w:val="en-GB"/>
        </w:rPr>
        <w:t xml:space="preserve">                                 </w:t>
      </w:r>
      <w:r w:rsidR="00F26682">
        <w:rPr>
          <w:bCs/>
          <w:lang w:val="en-GB"/>
        </w:rPr>
        <w:t xml:space="preserve">                       </w:t>
      </w:r>
      <w:proofErr w:type="gramStart"/>
      <w:r w:rsidR="00F26682">
        <w:rPr>
          <w:bCs/>
          <w:lang w:val="en-GB"/>
        </w:rPr>
        <w:t>o</w:t>
      </w:r>
      <w:r w:rsidR="00CA6800" w:rsidRPr="00942B75">
        <w:rPr>
          <w:bCs/>
          <w:lang w:val="en-GB"/>
        </w:rPr>
        <w:t>f</w:t>
      </w:r>
      <w:proofErr w:type="gramEnd"/>
      <w:r w:rsidR="00CA6800" w:rsidRPr="00942B75">
        <w:rPr>
          <w:bCs/>
          <w:lang w:val="en-GB"/>
        </w:rPr>
        <w:t xml:space="preserve"> </w:t>
      </w:r>
      <w:r w:rsidRPr="00942B75">
        <w:rPr>
          <w:bCs/>
          <w:lang w:val="en-GB"/>
        </w:rPr>
        <w:t>Government Attorneys</w:t>
      </w:r>
      <w:r w:rsidR="00F26682">
        <w:rPr>
          <w:bCs/>
          <w:lang w:val="en-GB"/>
        </w:rPr>
        <w:t>, Windhoek</w:t>
      </w:r>
    </w:p>
    <w:sectPr w:rsidR="008C7B1E" w:rsidRPr="00942B75" w:rsidSect="00942B7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07" w:rsidRDefault="001D4907" w:rsidP="002310E1">
      <w:pPr>
        <w:spacing w:after="0" w:line="240" w:lineRule="auto"/>
      </w:pPr>
      <w:r>
        <w:separator/>
      </w:r>
    </w:p>
  </w:endnote>
  <w:endnote w:type="continuationSeparator" w:id="0">
    <w:p w:rsidR="001D4907" w:rsidRDefault="001D4907" w:rsidP="0023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07" w:rsidRDefault="001D4907" w:rsidP="002310E1">
      <w:pPr>
        <w:spacing w:after="0" w:line="240" w:lineRule="auto"/>
      </w:pPr>
      <w:r>
        <w:separator/>
      </w:r>
    </w:p>
  </w:footnote>
  <w:footnote w:type="continuationSeparator" w:id="0">
    <w:p w:rsidR="001D4907" w:rsidRDefault="001D4907" w:rsidP="002310E1">
      <w:pPr>
        <w:spacing w:after="0" w:line="240" w:lineRule="auto"/>
      </w:pPr>
      <w:r>
        <w:continuationSeparator/>
      </w:r>
    </w:p>
  </w:footnote>
  <w:footnote w:id="1">
    <w:p w:rsidR="00424D8C" w:rsidRPr="004F34BD" w:rsidRDefault="00424D8C" w:rsidP="00B32A97">
      <w:pPr>
        <w:pStyle w:val="FootnoteText"/>
        <w:jc w:val="both"/>
        <w:rPr>
          <w:rFonts w:ascii="Arial" w:hAnsi="Arial" w:cs="Arial"/>
        </w:rPr>
      </w:pPr>
      <w:r w:rsidRPr="004F34BD">
        <w:rPr>
          <w:rStyle w:val="FootnoteReference"/>
          <w:rFonts w:ascii="Arial" w:hAnsi="Arial" w:cs="Arial"/>
        </w:rPr>
        <w:footnoteRef/>
      </w:r>
      <w:r w:rsidRPr="004F34BD">
        <w:rPr>
          <w:rFonts w:ascii="Arial" w:hAnsi="Arial" w:cs="Arial"/>
        </w:rPr>
        <w:t xml:space="preserve"> Application for summary judgment dated 25 January 2018, prayers 1 to 3.</w:t>
      </w:r>
    </w:p>
  </w:footnote>
  <w:footnote w:id="2">
    <w:p w:rsidR="00EF2F5A" w:rsidRPr="00B32A97" w:rsidRDefault="00EF2F5A" w:rsidP="00B32A97">
      <w:pPr>
        <w:pStyle w:val="NormalWeb"/>
        <w:shd w:val="clear" w:color="auto" w:fill="FFFFFF"/>
        <w:spacing w:before="0" w:beforeAutospacing="0" w:after="0" w:afterAutospacing="0"/>
        <w:jc w:val="both"/>
        <w:rPr>
          <w:rFonts w:ascii="Arial" w:hAnsi="Arial" w:cs="Arial"/>
          <w:sz w:val="20"/>
          <w:szCs w:val="20"/>
        </w:rPr>
      </w:pPr>
      <w:r w:rsidRPr="00B32A97">
        <w:rPr>
          <w:rStyle w:val="FootnoteReference"/>
          <w:rFonts w:ascii="Arial" w:hAnsi="Arial" w:cs="Arial"/>
          <w:sz w:val="20"/>
          <w:szCs w:val="20"/>
        </w:rPr>
        <w:footnoteRef/>
      </w:r>
      <w:r w:rsidRPr="00B32A97">
        <w:rPr>
          <w:rFonts w:ascii="Arial" w:hAnsi="Arial" w:cs="Arial"/>
          <w:sz w:val="20"/>
          <w:szCs w:val="20"/>
        </w:rPr>
        <w:t xml:space="preserve"> </w:t>
      </w:r>
      <w:r w:rsidRPr="00B32A97">
        <w:rPr>
          <w:rFonts w:ascii="Arial" w:hAnsi="Arial" w:cs="Arial"/>
          <w:bCs/>
          <w:color w:val="242121"/>
          <w:sz w:val="20"/>
          <w:szCs w:val="20"/>
          <w:lang w:val="en-ZA"/>
        </w:rPr>
        <w:t>Breytenbach v Fiat SA (</w:t>
      </w:r>
      <w:proofErr w:type="spellStart"/>
      <w:r w:rsidRPr="00B32A97">
        <w:rPr>
          <w:rFonts w:ascii="Arial" w:hAnsi="Arial" w:cs="Arial"/>
          <w:bCs/>
          <w:color w:val="242121"/>
          <w:sz w:val="20"/>
          <w:szCs w:val="20"/>
          <w:lang w:val="en-ZA"/>
        </w:rPr>
        <w:t>Edms</w:t>
      </w:r>
      <w:proofErr w:type="spellEnd"/>
      <w:r w:rsidRPr="00B32A97">
        <w:rPr>
          <w:rFonts w:ascii="Arial" w:hAnsi="Arial" w:cs="Arial"/>
          <w:bCs/>
          <w:color w:val="242121"/>
          <w:sz w:val="20"/>
          <w:szCs w:val="20"/>
          <w:lang w:val="en-ZA"/>
        </w:rPr>
        <w:t xml:space="preserve">) </w:t>
      </w:r>
      <w:proofErr w:type="spellStart"/>
      <w:r w:rsidRPr="00B32A97">
        <w:rPr>
          <w:rFonts w:ascii="Arial" w:hAnsi="Arial" w:cs="Arial"/>
          <w:bCs/>
          <w:color w:val="242121"/>
          <w:sz w:val="20"/>
          <w:szCs w:val="20"/>
          <w:lang w:val="en-ZA"/>
        </w:rPr>
        <w:t>Bpk</w:t>
      </w:r>
      <w:proofErr w:type="spellEnd"/>
      <w:r w:rsidRPr="00B32A97">
        <w:rPr>
          <w:rFonts w:ascii="Arial" w:hAnsi="Arial" w:cs="Arial"/>
          <w:color w:val="242121"/>
          <w:sz w:val="20"/>
          <w:szCs w:val="20"/>
          <w:lang w:val="en-ZA"/>
        </w:rPr>
        <w:t> </w:t>
      </w:r>
      <w:hyperlink r:id="rId1" w:tooltip="View LawCiteRecord" w:history="1">
        <w:r w:rsidRPr="00B32A97">
          <w:rPr>
            <w:rStyle w:val="Hyperlink"/>
            <w:rFonts w:ascii="Arial" w:hAnsi="Arial" w:cs="Arial"/>
            <w:bCs/>
            <w:color w:val="0B4B0B"/>
            <w:sz w:val="20"/>
            <w:szCs w:val="20"/>
            <w:u w:val="none"/>
            <w:lang w:val="en-ZA"/>
          </w:rPr>
          <w:t>1976 (2) SA 226</w:t>
        </w:r>
      </w:hyperlink>
      <w:r w:rsidRPr="00B32A97">
        <w:rPr>
          <w:rFonts w:ascii="Arial" w:hAnsi="Arial" w:cs="Arial"/>
          <w:color w:val="242121"/>
          <w:sz w:val="20"/>
          <w:szCs w:val="20"/>
          <w:lang w:val="en-ZA"/>
        </w:rPr>
        <w:t> (T) at 227.</w:t>
      </w:r>
    </w:p>
  </w:footnote>
  <w:footnote w:id="3">
    <w:p w:rsidR="00EF2F5A" w:rsidRPr="00B32A97" w:rsidRDefault="00EF2F5A" w:rsidP="00B32A97">
      <w:pPr>
        <w:pStyle w:val="FootnoteText"/>
        <w:jc w:val="both"/>
        <w:rPr>
          <w:rFonts w:ascii="Arial" w:hAnsi="Arial" w:cs="Arial"/>
        </w:rPr>
      </w:pPr>
      <w:r w:rsidRPr="00B32A97">
        <w:rPr>
          <w:rStyle w:val="FootnoteReference"/>
          <w:rFonts w:ascii="Arial" w:hAnsi="Arial" w:cs="Arial"/>
        </w:rPr>
        <w:footnoteRef/>
      </w:r>
      <w:r w:rsidRPr="00B32A97">
        <w:rPr>
          <w:rFonts w:ascii="Arial" w:hAnsi="Arial" w:cs="Arial"/>
        </w:rPr>
        <w:t xml:space="preserve"> </w:t>
      </w:r>
      <w:hyperlink r:id="rId2" w:tooltip="View LawCiteRecord" w:history="1">
        <w:r w:rsidRPr="00B32A97">
          <w:rPr>
            <w:rStyle w:val="Hyperlink"/>
            <w:rFonts w:ascii="Arial" w:hAnsi="Arial" w:cs="Arial"/>
            <w:bCs/>
            <w:color w:val="0B4B0B"/>
            <w:lang w:val="en-ZA"/>
          </w:rPr>
          <w:t>1976 (1) SA 418</w:t>
        </w:r>
      </w:hyperlink>
      <w:r w:rsidRPr="00B32A97">
        <w:rPr>
          <w:rFonts w:ascii="Arial" w:hAnsi="Arial" w:cs="Arial"/>
          <w:color w:val="242121"/>
          <w:lang w:val="en-ZA"/>
        </w:rPr>
        <w:t> (A) at 426C</w:t>
      </w:r>
    </w:p>
  </w:footnote>
  <w:footnote w:id="4">
    <w:p w:rsidR="00416298" w:rsidRPr="00B32A97" w:rsidRDefault="00416298" w:rsidP="00B32A97">
      <w:pPr>
        <w:pStyle w:val="FootnoteText"/>
        <w:jc w:val="both"/>
        <w:rPr>
          <w:rFonts w:ascii="Arial" w:hAnsi="Arial" w:cs="Arial"/>
        </w:rPr>
      </w:pPr>
      <w:r w:rsidRPr="00B32A97">
        <w:rPr>
          <w:rStyle w:val="FootnoteReference"/>
          <w:rFonts w:ascii="Arial" w:hAnsi="Arial" w:cs="Arial"/>
        </w:rPr>
        <w:footnoteRef/>
      </w:r>
      <w:r w:rsidRPr="00B32A97">
        <w:rPr>
          <w:rFonts w:ascii="Arial" w:hAnsi="Arial" w:cs="Arial"/>
        </w:rPr>
        <w:t xml:space="preserve"> At 426 A -426 E</w:t>
      </w:r>
    </w:p>
  </w:footnote>
  <w:footnote w:id="5">
    <w:p w:rsidR="00157710" w:rsidRPr="004F34BD" w:rsidRDefault="00157710" w:rsidP="00F26682">
      <w:pPr>
        <w:pStyle w:val="Header"/>
        <w:tabs>
          <w:tab w:val="left" w:pos="720"/>
        </w:tabs>
        <w:spacing w:line="240" w:lineRule="auto"/>
        <w:rPr>
          <w:bCs/>
          <w:sz w:val="20"/>
          <w:szCs w:val="20"/>
          <w:lang w:val="en-GB"/>
        </w:rPr>
      </w:pPr>
      <w:r w:rsidRPr="004F34BD">
        <w:rPr>
          <w:rStyle w:val="FootnoteReference"/>
          <w:sz w:val="20"/>
          <w:szCs w:val="20"/>
        </w:rPr>
        <w:footnoteRef/>
      </w:r>
      <w:r w:rsidRPr="004F34BD">
        <w:rPr>
          <w:sz w:val="20"/>
          <w:szCs w:val="20"/>
        </w:rPr>
        <w:t xml:space="preserve"> </w:t>
      </w:r>
      <w:r w:rsidRPr="004F34BD">
        <w:rPr>
          <w:bCs/>
          <w:sz w:val="20"/>
          <w:szCs w:val="20"/>
          <w:lang w:val="en-GB"/>
        </w:rPr>
        <w:t>Rule 45(7) states as follows:</w:t>
      </w:r>
    </w:p>
    <w:p w:rsidR="00157710" w:rsidRPr="00F26682" w:rsidRDefault="00157710" w:rsidP="00F26682">
      <w:pPr>
        <w:pStyle w:val="Header"/>
        <w:tabs>
          <w:tab w:val="left" w:pos="720"/>
        </w:tabs>
        <w:spacing w:line="240" w:lineRule="auto"/>
        <w:ind w:left="720"/>
        <w:rPr>
          <w:bCs/>
          <w:sz w:val="20"/>
          <w:szCs w:val="20"/>
          <w:lang w:val="en-GB"/>
        </w:rPr>
      </w:pPr>
      <w:r w:rsidRPr="004F34BD">
        <w:rPr>
          <w:bCs/>
          <w:sz w:val="20"/>
          <w:szCs w:val="20"/>
          <w:lang w:val="en-GB"/>
        </w:rPr>
        <w:tab/>
        <w:t>(7)    A party who in his or her pleading relies on a contract must state whether the contract is written or oral and when, where and by whom it was concluded and if the contract is written a true copy thereof or part relied on in the pleading must be annexed to the pleading.</w:t>
      </w:r>
    </w:p>
  </w:footnote>
  <w:footnote w:id="6">
    <w:p w:rsidR="00157710" w:rsidRPr="004F34BD" w:rsidRDefault="00157710" w:rsidP="00F26682">
      <w:pPr>
        <w:pStyle w:val="FootnoteText"/>
        <w:jc w:val="both"/>
        <w:rPr>
          <w:rFonts w:ascii="Arial" w:hAnsi="Arial" w:cs="Arial"/>
        </w:rPr>
      </w:pPr>
      <w:r w:rsidRPr="004F34BD">
        <w:rPr>
          <w:rStyle w:val="FootnoteReference"/>
          <w:rFonts w:ascii="Arial" w:hAnsi="Arial" w:cs="Arial"/>
        </w:rPr>
        <w:footnoteRef/>
      </w:r>
      <w:r w:rsidRPr="004F34BD">
        <w:rPr>
          <w:rFonts w:ascii="Arial" w:hAnsi="Arial" w:cs="Arial"/>
        </w:rPr>
        <w:t xml:space="preserve"> Paragraph 7 of the Particulars of Claim.</w:t>
      </w:r>
    </w:p>
  </w:footnote>
  <w:footnote w:id="7">
    <w:p w:rsidR="00D827A0" w:rsidRPr="004F34BD" w:rsidRDefault="00D827A0" w:rsidP="00F26682">
      <w:pPr>
        <w:pStyle w:val="FootnoteText"/>
        <w:jc w:val="both"/>
        <w:rPr>
          <w:rFonts w:ascii="Arial" w:hAnsi="Arial" w:cs="Arial"/>
        </w:rPr>
      </w:pPr>
      <w:r w:rsidRPr="004F34BD">
        <w:rPr>
          <w:rStyle w:val="FootnoteReference"/>
          <w:rFonts w:ascii="Arial" w:hAnsi="Arial" w:cs="Arial"/>
        </w:rPr>
        <w:footnoteRef/>
      </w:r>
      <w:r w:rsidRPr="004F34BD">
        <w:rPr>
          <w:rFonts w:ascii="Arial" w:hAnsi="Arial" w:cs="Arial"/>
        </w:rPr>
        <w:t xml:space="preserve"> Wording of South African Rule 18(6) is similar to Namibian Rule 45(7).</w:t>
      </w:r>
    </w:p>
  </w:footnote>
  <w:footnote w:id="8">
    <w:p w:rsidR="00D827A0" w:rsidRPr="004F34BD" w:rsidRDefault="00D827A0" w:rsidP="00F26682">
      <w:pPr>
        <w:pStyle w:val="FootnoteText"/>
        <w:jc w:val="both"/>
        <w:rPr>
          <w:rFonts w:ascii="Arial" w:hAnsi="Arial" w:cs="Arial"/>
        </w:rPr>
      </w:pPr>
      <w:r w:rsidRPr="004F34BD">
        <w:rPr>
          <w:rStyle w:val="FootnoteReference"/>
          <w:rFonts w:ascii="Arial" w:hAnsi="Arial" w:cs="Arial"/>
        </w:rPr>
        <w:footnoteRef/>
      </w:r>
      <w:r w:rsidRPr="004F34BD">
        <w:rPr>
          <w:rFonts w:ascii="Arial" w:hAnsi="Arial" w:cs="Arial"/>
        </w:rPr>
        <w:t xml:space="preserve"> </w:t>
      </w:r>
      <w:r w:rsidRPr="004F34BD">
        <w:rPr>
          <w:rFonts w:ascii="Arial" w:hAnsi="Arial" w:cs="Arial"/>
          <w:bCs/>
          <w:lang w:val="en-GB"/>
        </w:rPr>
        <w:t>2016 (3) NR 701 (SC) at par [18]</w:t>
      </w:r>
      <w:r w:rsidR="00F26682">
        <w:rPr>
          <w:rFonts w:ascii="Arial" w:hAnsi="Arial" w:cs="Arial"/>
          <w:bCs/>
          <w:lang w:val="en-GB"/>
        </w:rPr>
        <w:t>.</w:t>
      </w:r>
    </w:p>
  </w:footnote>
  <w:footnote w:id="9">
    <w:p w:rsidR="00251B00" w:rsidRPr="004F34BD" w:rsidRDefault="00251B00" w:rsidP="00F26682">
      <w:pPr>
        <w:pStyle w:val="FootnoteText"/>
        <w:jc w:val="both"/>
        <w:rPr>
          <w:rFonts w:ascii="Arial" w:hAnsi="Arial" w:cs="Arial"/>
        </w:rPr>
      </w:pPr>
      <w:r w:rsidRPr="004F34BD">
        <w:rPr>
          <w:rStyle w:val="FootnoteReference"/>
          <w:rFonts w:ascii="Arial" w:hAnsi="Arial" w:cs="Arial"/>
        </w:rPr>
        <w:footnoteRef/>
      </w:r>
      <w:r w:rsidRPr="004F34BD">
        <w:rPr>
          <w:rFonts w:ascii="Arial" w:hAnsi="Arial" w:cs="Arial"/>
        </w:rPr>
        <w:t xml:space="preserve"> </w:t>
      </w:r>
      <w:r w:rsidRPr="004F34BD">
        <w:rPr>
          <w:rFonts w:ascii="Arial" w:hAnsi="Arial" w:cs="Arial"/>
          <w:bCs/>
          <w:lang w:val="en-GB"/>
        </w:rPr>
        <w:t xml:space="preserve">Cf. </w:t>
      </w:r>
      <w:proofErr w:type="spellStart"/>
      <w:r w:rsidRPr="004F34BD">
        <w:rPr>
          <w:rFonts w:ascii="Arial" w:hAnsi="Arial" w:cs="Arial"/>
          <w:bCs/>
          <w:lang w:val="en-GB"/>
        </w:rPr>
        <w:t>Jammine</w:t>
      </w:r>
      <w:proofErr w:type="spellEnd"/>
      <w:r w:rsidRPr="004F34BD">
        <w:rPr>
          <w:rFonts w:ascii="Arial" w:hAnsi="Arial" w:cs="Arial"/>
          <w:bCs/>
          <w:lang w:val="en-GB"/>
        </w:rPr>
        <w:t xml:space="preserve"> and Another v Emil, 1951 (4) SA 460 (T)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58008"/>
      <w:docPartObj>
        <w:docPartGallery w:val="Page Numbers (Top of Page)"/>
        <w:docPartUnique/>
      </w:docPartObj>
    </w:sdtPr>
    <w:sdtEndPr>
      <w:rPr>
        <w:noProof/>
      </w:rPr>
    </w:sdtEndPr>
    <w:sdtContent>
      <w:p w:rsidR="00942B75" w:rsidRDefault="00942B75">
        <w:pPr>
          <w:pStyle w:val="Header"/>
          <w:jc w:val="right"/>
        </w:pPr>
        <w:r>
          <w:fldChar w:fldCharType="begin"/>
        </w:r>
        <w:r>
          <w:instrText xml:space="preserve"> PAGE   \* MERGEFORMAT </w:instrText>
        </w:r>
        <w:r>
          <w:fldChar w:fldCharType="separate"/>
        </w:r>
        <w:r w:rsidR="00E66A71">
          <w:rPr>
            <w:noProof/>
          </w:rPr>
          <w:t>17</w:t>
        </w:r>
        <w:r>
          <w:rPr>
            <w:noProof/>
          </w:rPr>
          <w:fldChar w:fldCharType="end"/>
        </w:r>
      </w:p>
    </w:sdtContent>
  </w:sdt>
  <w:p w:rsidR="00942B75" w:rsidRDefault="00942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7CD"/>
    <w:multiLevelType w:val="hybridMultilevel"/>
    <w:tmpl w:val="913664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9177D"/>
    <w:multiLevelType w:val="hybridMultilevel"/>
    <w:tmpl w:val="790C4AD8"/>
    <w:lvl w:ilvl="0" w:tplc="CD060A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A574A"/>
    <w:multiLevelType w:val="hybridMultilevel"/>
    <w:tmpl w:val="7B528D68"/>
    <w:lvl w:ilvl="0" w:tplc="5F9EA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86FF7"/>
    <w:multiLevelType w:val="hybridMultilevel"/>
    <w:tmpl w:val="05EA56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13AE2"/>
    <w:multiLevelType w:val="hybridMultilevel"/>
    <w:tmpl w:val="D1625604"/>
    <w:lvl w:ilvl="0" w:tplc="A7DC22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87205"/>
    <w:multiLevelType w:val="hybridMultilevel"/>
    <w:tmpl w:val="64DA9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937BF"/>
    <w:multiLevelType w:val="hybridMultilevel"/>
    <w:tmpl w:val="326E242C"/>
    <w:lvl w:ilvl="0" w:tplc="5F9EA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F2247F"/>
    <w:multiLevelType w:val="hybridMultilevel"/>
    <w:tmpl w:val="89A4F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E1"/>
    <w:rsid w:val="00002804"/>
    <w:rsid w:val="00003B7F"/>
    <w:rsid w:val="0006171A"/>
    <w:rsid w:val="000974EA"/>
    <w:rsid w:val="000C6A7D"/>
    <w:rsid w:val="0010520D"/>
    <w:rsid w:val="00114E15"/>
    <w:rsid w:val="00122B11"/>
    <w:rsid w:val="00157710"/>
    <w:rsid w:val="00175387"/>
    <w:rsid w:val="001B59CD"/>
    <w:rsid w:val="001D4907"/>
    <w:rsid w:val="00206A90"/>
    <w:rsid w:val="0021583D"/>
    <w:rsid w:val="002310E1"/>
    <w:rsid w:val="00251918"/>
    <w:rsid w:val="00251B00"/>
    <w:rsid w:val="002739FB"/>
    <w:rsid w:val="002B0C59"/>
    <w:rsid w:val="002E54A1"/>
    <w:rsid w:val="002F0FD0"/>
    <w:rsid w:val="002F2D22"/>
    <w:rsid w:val="00332101"/>
    <w:rsid w:val="00416298"/>
    <w:rsid w:val="00424D8C"/>
    <w:rsid w:val="00480411"/>
    <w:rsid w:val="004A7843"/>
    <w:rsid w:val="004C0134"/>
    <w:rsid w:val="004F34BD"/>
    <w:rsid w:val="004F79D6"/>
    <w:rsid w:val="0058143C"/>
    <w:rsid w:val="00624DB1"/>
    <w:rsid w:val="006355B0"/>
    <w:rsid w:val="006929DF"/>
    <w:rsid w:val="006C48A2"/>
    <w:rsid w:val="006F7F2A"/>
    <w:rsid w:val="00736022"/>
    <w:rsid w:val="007E34AF"/>
    <w:rsid w:val="00803280"/>
    <w:rsid w:val="008C7B1E"/>
    <w:rsid w:val="009253C9"/>
    <w:rsid w:val="00942B75"/>
    <w:rsid w:val="009507E1"/>
    <w:rsid w:val="00A83E00"/>
    <w:rsid w:val="00AD404C"/>
    <w:rsid w:val="00B00CDD"/>
    <w:rsid w:val="00B16A8F"/>
    <w:rsid w:val="00B32A97"/>
    <w:rsid w:val="00B35FE2"/>
    <w:rsid w:val="00BE7B28"/>
    <w:rsid w:val="00C313A5"/>
    <w:rsid w:val="00C36BB1"/>
    <w:rsid w:val="00C420A8"/>
    <w:rsid w:val="00C96151"/>
    <w:rsid w:val="00C971D3"/>
    <w:rsid w:val="00CA10E7"/>
    <w:rsid w:val="00CA6800"/>
    <w:rsid w:val="00CF44D7"/>
    <w:rsid w:val="00D827A0"/>
    <w:rsid w:val="00DE5AF3"/>
    <w:rsid w:val="00DF4943"/>
    <w:rsid w:val="00E66A71"/>
    <w:rsid w:val="00EF2F5A"/>
    <w:rsid w:val="00EF7054"/>
    <w:rsid w:val="00F26682"/>
    <w:rsid w:val="00F43605"/>
    <w:rsid w:val="00F5788B"/>
    <w:rsid w:val="00F73936"/>
    <w:rsid w:val="00FA12DF"/>
    <w:rsid w:val="00FD4C7E"/>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436F-4547-4930-9C60-E69E159D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0E1"/>
    <w:pPr>
      <w:ind w:left="720"/>
      <w:contextualSpacing/>
    </w:pPr>
  </w:style>
  <w:style w:type="paragraph" w:styleId="FootnoteText">
    <w:name w:val="footnote text"/>
    <w:basedOn w:val="Normal"/>
    <w:link w:val="FootnoteTextChar"/>
    <w:uiPriority w:val="99"/>
    <w:semiHidden/>
    <w:unhideWhenUsed/>
    <w:rsid w:val="00231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0E1"/>
    <w:rPr>
      <w:sz w:val="20"/>
      <w:szCs w:val="20"/>
    </w:rPr>
  </w:style>
  <w:style w:type="character" w:styleId="FootnoteReference">
    <w:name w:val="footnote reference"/>
    <w:basedOn w:val="DefaultParagraphFont"/>
    <w:uiPriority w:val="99"/>
    <w:semiHidden/>
    <w:unhideWhenUsed/>
    <w:rsid w:val="002310E1"/>
    <w:rPr>
      <w:vertAlign w:val="superscript"/>
    </w:rPr>
  </w:style>
  <w:style w:type="paragraph" w:styleId="Header">
    <w:name w:val="header"/>
    <w:basedOn w:val="Normal"/>
    <w:link w:val="HeaderChar"/>
    <w:uiPriority w:val="99"/>
    <w:rsid w:val="009507E1"/>
    <w:pPr>
      <w:tabs>
        <w:tab w:val="center" w:pos="4153"/>
        <w:tab w:val="right" w:pos="8306"/>
      </w:tabs>
      <w:spacing w:after="0" w:line="360" w:lineRule="auto"/>
      <w:jc w:val="both"/>
    </w:pPr>
    <w:rPr>
      <w:rFonts w:ascii="Arial" w:eastAsia="Times New Roman" w:hAnsi="Arial" w:cs="Arial"/>
      <w:sz w:val="24"/>
      <w:szCs w:val="24"/>
    </w:rPr>
  </w:style>
  <w:style w:type="character" w:customStyle="1" w:styleId="HeaderChar">
    <w:name w:val="Header Char"/>
    <w:basedOn w:val="DefaultParagraphFont"/>
    <w:link w:val="Header"/>
    <w:uiPriority w:val="99"/>
    <w:rsid w:val="009507E1"/>
    <w:rPr>
      <w:rFonts w:ascii="Arial" w:eastAsia="Times New Roman" w:hAnsi="Arial" w:cs="Arial"/>
      <w:sz w:val="24"/>
      <w:szCs w:val="24"/>
    </w:rPr>
  </w:style>
  <w:style w:type="paragraph" w:styleId="NormalWeb">
    <w:name w:val="Normal (Web)"/>
    <w:basedOn w:val="Normal"/>
    <w:uiPriority w:val="99"/>
    <w:unhideWhenUsed/>
    <w:rsid w:val="00DE5A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AF3"/>
    <w:rPr>
      <w:color w:val="0000FF"/>
      <w:u w:val="single"/>
    </w:rPr>
  </w:style>
  <w:style w:type="paragraph" w:styleId="Footer">
    <w:name w:val="footer"/>
    <w:basedOn w:val="Normal"/>
    <w:link w:val="FooterChar"/>
    <w:uiPriority w:val="99"/>
    <w:unhideWhenUsed/>
    <w:rsid w:val="00942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B75"/>
  </w:style>
  <w:style w:type="paragraph" w:styleId="BalloonText">
    <w:name w:val="Balloon Text"/>
    <w:basedOn w:val="Normal"/>
    <w:link w:val="BalloonTextChar"/>
    <w:uiPriority w:val="99"/>
    <w:semiHidden/>
    <w:unhideWhenUsed/>
    <w:rsid w:val="00EF7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59082">
      <w:bodyDiv w:val="1"/>
      <w:marLeft w:val="0"/>
      <w:marRight w:val="0"/>
      <w:marTop w:val="0"/>
      <w:marBottom w:val="0"/>
      <w:divBdr>
        <w:top w:val="none" w:sz="0" w:space="0" w:color="auto"/>
        <w:left w:val="none" w:sz="0" w:space="0" w:color="auto"/>
        <w:bottom w:val="none" w:sz="0" w:space="0" w:color="auto"/>
        <w:right w:val="none" w:sz="0" w:space="0" w:color="auto"/>
      </w:divBdr>
    </w:div>
    <w:div w:id="18126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1976%20%281%29%20SA%20418" TargetMode="External"/><Relationship Id="rId1" Type="http://schemas.openxmlformats.org/officeDocument/2006/relationships/hyperlink" Target="http://www.saflii.org/cgi-bin/LawCite?cit=1976%20%282%29%20SA%2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2018-04-25T18:30:00+00:00</Judgment_x0020_Date>
    <Year xmlns="c1afb1bd-f2fb-40fd-9abb-aea55b4d7662">2018</Year>
  </documentManagement>
</p:properties>
</file>

<file path=customXml/itemProps1.xml><?xml version="1.0" encoding="utf-8"?>
<ds:datastoreItem xmlns:ds="http://schemas.openxmlformats.org/officeDocument/2006/customXml" ds:itemID="{E4B810F1-4D87-47A9-BC6D-63783BB61AD7}"/>
</file>

<file path=customXml/itemProps2.xml><?xml version="1.0" encoding="utf-8"?>
<ds:datastoreItem xmlns:ds="http://schemas.openxmlformats.org/officeDocument/2006/customXml" ds:itemID="{59D04A14-3D2C-469E-AAC5-21895F004DC8}"/>
</file>

<file path=customXml/itemProps3.xml><?xml version="1.0" encoding="utf-8"?>
<ds:datastoreItem xmlns:ds="http://schemas.openxmlformats.org/officeDocument/2006/customXml" ds:itemID="{01CC011E-707C-4184-837A-B9827C42E983}"/>
</file>

<file path=customXml/itemProps4.xml><?xml version="1.0" encoding="utf-8"?>
<ds:datastoreItem xmlns:ds="http://schemas.openxmlformats.org/officeDocument/2006/customXml" ds:itemID="{2D9ADF52-BCD2-4CCA-ADA0-0E926C18B1B6}"/>
</file>

<file path=docProps/app.xml><?xml version="1.0" encoding="utf-8"?>
<Properties xmlns="http://schemas.openxmlformats.org/officeDocument/2006/extended-properties" xmlns:vt="http://schemas.openxmlformats.org/officeDocument/2006/docPropsVTypes">
  <Template>Normal</Template>
  <TotalTime>75</TotalTime>
  <Pages>17</Pages>
  <Words>3739</Words>
  <Characters>21314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4 Electrical Contractors v Kunene Regional Council</dc:title>
  <dc:subject/>
  <dc:creator>Prinsloo Hannelie</dc:creator>
  <cp:keywords/>
  <dc:description/>
  <cp:lastModifiedBy>Nicole Januarie</cp:lastModifiedBy>
  <cp:revision>4</cp:revision>
  <cp:lastPrinted>2018-04-26T15:40:00Z</cp:lastPrinted>
  <dcterms:created xsi:type="dcterms:W3CDTF">2018-04-27T10:48:00Z</dcterms:created>
  <dcterms:modified xsi:type="dcterms:W3CDTF">2018-04-27T12:19:00Z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