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35AC2" w14:textId="77777777" w:rsidR="00686C0F" w:rsidRPr="00686C0F" w:rsidRDefault="00686C0F" w:rsidP="00686C0F">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0ECACA08" w14:textId="77777777" w:rsidR="00686C0F" w:rsidRPr="00686C0F" w:rsidRDefault="00686C0F" w:rsidP="00686C0F">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088CF5F3" wp14:editId="22C4328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4B5410B" w14:textId="598C11E1" w:rsidR="00686C0F" w:rsidRPr="00686C0F" w:rsidRDefault="00686C0F" w:rsidP="00686C0F">
      <w:pPr>
        <w:spacing w:line="360" w:lineRule="auto"/>
        <w:jc w:val="center"/>
        <w:rPr>
          <w:rFonts w:ascii="Arial" w:eastAsia="Calibri" w:hAnsi="Arial" w:cs="Arial"/>
          <w:b/>
          <w:lang w:val="en-US"/>
        </w:rPr>
      </w:pPr>
      <w:r w:rsidRPr="00686C0F">
        <w:rPr>
          <w:rFonts w:ascii="Arial" w:eastAsia="Calibri" w:hAnsi="Arial" w:cs="Arial"/>
          <w:b/>
          <w:lang w:val="en-US"/>
        </w:rPr>
        <w:t>HIGH COURT OF NAMIBIA</w:t>
      </w:r>
      <w:r w:rsidR="00E47031">
        <w:rPr>
          <w:rFonts w:ascii="Arial" w:eastAsia="Calibri" w:hAnsi="Arial" w:cs="Arial"/>
          <w:b/>
          <w:lang w:val="en-US"/>
        </w:rPr>
        <w:t>,</w:t>
      </w:r>
      <w:r w:rsidRPr="00686C0F">
        <w:rPr>
          <w:rFonts w:ascii="Arial" w:eastAsia="Calibri" w:hAnsi="Arial" w:cs="Arial"/>
          <w:b/>
          <w:lang w:val="en-US"/>
        </w:rPr>
        <w:t xml:space="preserve"> MAIN DIVISION, WINDHOEK</w:t>
      </w:r>
    </w:p>
    <w:p w14:paraId="375B3DBC" w14:textId="77777777" w:rsidR="007125E7" w:rsidRPr="00686C0F" w:rsidRDefault="007125E7" w:rsidP="00686C0F">
      <w:pPr>
        <w:spacing w:line="360" w:lineRule="auto"/>
        <w:jc w:val="center"/>
        <w:rPr>
          <w:rFonts w:ascii="Arial" w:hAnsi="Arial" w:cs="Arial"/>
          <w:b/>
        </w:rPr>
      </w:pPr>
    </w:p>
    <w:p w14:paraId="425C2FCF" w14:textId="77777777" w:rsidR="007125E7" w:rsidRPr="00686C0F" w:rsidRDefault="007125E7" w:rsidP="00686C0F">
      <w:pPr>
        <w:spacing w:line="360" w:lineRule="auto"/>
        <w:jc w:val="center"/>
        <w:rPr>
          <w:rFonts w:ascii="Arial" w:hAnsi="Arial" w:cs="Arial"/>
          <w:b/>
        </w:rPr>
      </w:pPr>
      <w:r w:rsidRPr="00686C0F">
        <w:rPr>
          <w:rFonts w:ascii="Arial" w:hAnsi="Arial" w:cs="Arial"/>
          <w:b/>
        </w:rPr>
        <w:t>JUDGMENT</w:t>
      </w:r>
    </w:p>
    <w:p w14:paraId="65A30239" w14:textId="77777777" w:rsidR="007125E7" w:rsidRPr="00686C0F" w:rsidRDefault="007125E7" w:rsidP="00686C0F">
      <w:pPr>
        <w:spacing w:line="360" w:lineRule="auto"/>
        <w:jc w:val="center"/>
        <w:rPr>
          <w:rFonts w:ascii="Arial" w:hAnsi="Arial" w:cs="Arial"/>
          <w:b/>
        </w:rPr>
      </w:pPr>
    </w:p>
    <w:p w14:paraId="39991F5F" w14:textId="6162A86B" w:rsidR="007125E7" w:rsidRPr="00686C0F" w:rsidRDefault="00FC533D" w:rsidP="00686C0F">
      <w:pPr>
        <w:spacing w:line="360" w:lineRule="auto"/>
        <w:jc w:val="right"/>
        <w:rPr>
          <w:rFonts w:ascii="Arial" w:hAnsi="Arial" w:cs="Arial"/>
        </w:rPr>
      </w:pPr>
      <w:r>
        <w:rPr>
          <w:rFonts w:ascii="Arial" w:hAnsi="Arial" w:cs="Arial"/>
        </w:rPr>
        <w:t>CASE NO:</w:t>
      </w:r>
      <w:r w:rsidR="007125E7" w:rsidRPr="00686C0F">
        <w:rPr>
          <w:rFonts w:ascii="Arial" w:hAnsi="Arial" w:cs="Arial"/>
        </w:rPr>
        <w:t xml:space="preserve"> I 2073/2015</w:t>
      </w:r>
    </w:p>
    <w:p w14:paraId="4255511C" w14:textId="77777777" w:rsidR="007125E7" w:rsidRPr="00686C0F" w:rsidRDefault="007125E7" w:rsidP="00686C0F">
      <w:pPr>
        <w:spacing w:line="360" w:lineRule="auto"/>
        <w:jc w:val="right"/>
        <w:rPr>
          <w:rFonts w:ascii="Arial" w:hAnsi="Arial" w:cs="Arial"/>
        </w:rPr>
      </w:pPr>
    </w:p>
    <w:p w14:paraId="5E157197" w14:textId="77777777" w:rsidR="007125E7" w:rsidRPr="00686C0F" w:rsidRDefault="007125E7" w:rsidP="00686C0F">
      <w:pPr>
        <w:spacing w:line="360" w:lineRule="auto"/>
        <w:jc w:val="both"/>
        <w:rPr>
          <w:rFonts w:ascii="Arial" w:hAnsi="Arial" w:cs="Arial"/>
        </w:rPr>
      </w:pPr>
      <w:r w:rsidRPr="00686C0F">
        <w:rPr>
          <w:rFonts w:ascii="Arial" w:hAnsi="Arial" w:cs="Arial"/>
        </w:rPr>
        <w:t>In the matter between:</w:t>
      </w:r>
    </w:p>
    <w:p w14:paraId="4209D40E" w14:textId="77777777" w:rsidR="007125E7" w:rsidRPr="00686C0F" w:rsidRDefault="007125E7" w:rsidP="00686C0F">
      <w:pPr>
        <w:spacing w:line="360" w:lineRule="auto"/>
        <w:jc w:val="both"/>
        <w:rPr>
          <w:rFonts w:ascii="Arial" w:hAnsi="Arial" w:cs="Arial"/>
        </w:rPr>
      </w:pPr>
    </w:p>
    <w:p w14:paraId="0E18ECBD" w14:textId="64B408CB" w:rsidR="007125E7" w:rsidRPr="00686C0F" w:rsidRDefault="00686C0F" w:rsidP="00686C0F">
      <w:pPr>
        <w:tabs>
          <w:tab w:val="right" w:pos="8222"/>
        </w:tabs>
        <w:spacing w:line="360" w:lineRule="auto"/>
        <w:jc w:val="both"/>
        <w:rPr>
          <w:rFonts w:ascii="Arial" w:hAnsi="Arial" w:cs="Arial"/>
          <w:b/>
        </w:rPr>
      </w:pPr>
      <w:r>
        <w:rPr>
          <w:rFonts w:ascii="Arial" w:hAnsi="Arial" w:cs="Arial"/>
          <w:b/>
        </w:rPr>
        <w:t xml:space="preserve">RALF HORST </w:t>
      </w:r>
      <w:r w:rsidR="007125E7" w:rsidRPr="00686C0F">
        <w:rPr>
          <w:rFonts w:ascii="Arial" w:hAnsi="Arial" w:cs="Arial"/>
          <w:b/>
        </w:rPr>
        <w:t xml:space="preserve">CONRAD                                                 </w:t>
      </w:r>
      <w:r>
        <w:rPr>
          <w:rFonts w:ascii="Arial" w:hAnsi="Arial" w:cs="Arial"/>
          <w:b/>
        </w:rPr>
        <w:t xml:space="preserve">     </w:t>
      </w:r>
      <w:r>
        <w:rPr>
          <w:rFonts w:ascii="Arial" w:hAnsi="Arial" w:cs="Arial"/>
          <w:b/>
        </w:rPr>
        <w:tab/>
      </w:r>
      <w:r w:rsidR="007125E7" w:rsidRPr="00686C0F">
        <w:rPr>
          <w:rFonts w:ascii="Arial" w:hAnsi="Arial" w:cs="Arial"/>
          <w:b/>
        </w:rPr>
        <w:t>PLAINTIFF</w:t>
      </w:r>
    </w:p>
    <w:p w14:paraId="6D3EC55B" w14:textId="77777777" w:rsidR="007125E7" w:rsidRPr="00686C0F" w:rsidRDefault="007125E7" w:rsidP="00686C0F">
      <w:pPr>
        <w:spacing w:line="360" w:lineRule="auto"/>
        <w:jc w:val="both"/>
        <w:rPr>
          <w:rFonts w:ascii="Arial" w:hAnsi="Arial" w:cs="Arial"/>
          <w:b/>
        </w:rPr>
      </w:pPr>
    </w:p>
    <w:p w14:paraId="1C2624D4" w14:textId="77777777" w:rsidR="007125E7" w:rsidRPr="00686C0F" w:rsidRDefault="007125E7" w:rsidP="00686C0F">
      <w:pPr>
        <w:spacing w:line="360" w:lineRule="auto"/>
        <w:jc w:val="both"/>
        <w:rPr>
          <w:rFonts w:ascii="Arial" w:hAnsi="Arial" w:cs="Arial"/>
        </w:rPr>
      </w:pPr>
      <w:proofErr w:type="gramStart"/>
      <w:r w:rsidRPr="00686C0F">
        <w:rPr>
          <w:rFonts w:ascii="Arial" w:hAnsi="Arial" w:cs="Arial"/>
        </w:rPr>
        <w:t>and</w:t>
      </w:r>
      <w:proofErr w:type="gramEnd"/>
    </w:p>
    <w:p w14:paraId="5BE547EF" w14:textId="77777777" w:rsidR="00686C0F" w:rsidRDefault="00686C0F" w:rsidP="00686C0F">
      <w:pPr>
        <w:tabs>
          <w:tab w:val="right" w:pos="8222"/>
        </w:tabs>
        <w:spacing w:line="360" w:lineRule="auto"/>
        <w:jc w:val="both"/>
        <w:rPr>
          <w:rFonts w:ascii="Arial" w:hAnsi="Arial" w:cs="Arial"/>
          <w:b/>
        </w:rPr>
      </w:pPr>
    </w:p>
    <w:p w14:paraId="39D77908" w14:textId="063CCBDD" w:rsidR="007125E7" w:rsidRPr="00686C0F" w:rsidRDefault="007125E7" w:rsidP="00686C0F">
      <w:pPr>
        <w:tabs>
          <w:tab w:val="right" w:pos="8222"/>
        </w:tabs>
        <w:spacing w:line="360" w:lineRule="auto"/>
        <w:jc w:val="both"/>
        <w:rPr>
          <w:rFonts w:ascii="Arial" w:hAnsi="Arial" w:cs="Arial"/>
          <w:b/>
        </w:rPr>
      </w:pPr>
      <w:r w:rsidRPr="00686C0F">
        <w:rPr>
          <w:rFonts w:ascii="Arial" w:hAnsi="Arial" w:cs="Arial"/>
          <w:b/>
        </w:rPr>
        <w:t xml:space="preserve">HENNING DOHRMANN                    </w:t>
      </w:r>
      <w:r w:rsidR="00686C0F">
        <w:rPr>
          <w:rFonts w:ascii="Arial" w:hAnsi="Arial" w:cs="Arial"/>
          <w:b/>
        </w:rPr>
        <w:t xml:space="preserve">                     </w:t>
      </w:r>
      <w:r w:rsidRPr="00686C0F">
        <w:rPr>
          <w:rFonts w:ascii="Arial" w:hAnsi="Arial" w:cs="Arial"/>
          <w:b/>
        </w:rPr>
        <w:t xml:space="preserve"> </w:t>
      </w:r>
      <w:r w:rsidR="00686C0F">
        <w:rPr>
          <w:rFonts w:ascii="Arial" w:hAnsi="Arial" w:cs="Arial"/>
          <w:b/>
        </w:rPr>
        <w:tab/>
      </w:r>
      <w:r w:rsidR="00686C0F" w:rsidRPr="00686C0F">
        <w:rPr>
          <w:rFonts w:ascii="Arial" w:hAnsi="Arial" w:cs="Arial"/>
          <w:b/>
        </w:rPr>
        <w:t>1</w:t>
      </w:r>
      <w:r w:rsidR="00686C0F" w:rsidRPr="00686C0F">
        <w:rPr>
          <w:rFonts w:ascii="Arial" w:hAnsi="Arial" w:cs="Arial"/>
          <w:b/>
          <w:vertAlign w:val="superscript"/>
        </w:rPr>
        <w:t>ST</w:t>
      </w:r>
      <w:r w:rsidR="00686C0F" w:rsidRPr="00686C0F">
        <w:rPr>
          <w:rFonts w:ascii="Arial" w:hAnsi="Arial" w:cs="Arial"/>
          <w:b/>
        </w:rPr>
        <w:t xml:space="preserve"> DEFENDANT</w:t>
      </w:r>
    </w:p>
    <w:p w14:paraId="1A4AF097" w14:textId="4CC28D3A" w:rsidR="007125E7" w:rsidRPr="00686C0F" w:rsidRDefault="007125E7" w:rsidP="00686C0F">
      <w:pPr>
        <w:tabs>
          <w:tab w:val="right" w:pos="8222"/>
        </w:tabs>
        <w:spacing w:line="360" w:lineRule="auto"/>
        <w:jc w:val="both"/>
        <w:rPr>
          <w:rFonts w:ascii="Arial" w:hAnsi="Arial" w:cs="Arial"/>
          <w:b/>
        </w:rPr>
      </w:pPr>
      <w:r w:rsidRPr="00686C0F">
        <w:rPr>
          <w:rFonts w:ascii="Arial" w:hAnsi="Arial" w:cs="Arial"/>
          <w:b/>
        </w:rPr>
        <w:t xml:space="preserve">ANJA MARIA DOHRMANN   </w:t>
      </w:r>
      <w:r w:rsidR="00686C0F">
        <w:rPr>
          <w:rFonts w:ascii="Arial" w:hAnsi="Arial" w:cs="Arial"/>
          <w:b/>
        </w:rPr>
        <w:t xml:space="preserve">                    </w:t>
      </w:r>
      <w:r w:rsidR="00686C0F">
        <w:rPr>
          <w:rFonts w:ascii="Arial" w:hAnsi="Arial" w:cs="Arial"/>
          <w:b/>
        </w:rPr>
        <w:tab/>
      </w:r>
      <w:r w:rsidRPr="00686C0F">
        <w:rPr>
          <w:rFonts w:ascii="Arial" w:hAnsi="Arial" w:cs="Arial"/>
          <w:b/>
        </w:rPr>
        <w:t xml:space="preserve"> 2</w:t>
      </w:r>
      <w:r w:rsidRPr="00686C0F">
        <w:rPr>
          <w:rFonts w:ascii="Arial" w:hAnsi="Arial" w:cs="Arial"/>
          <w:b/>
          <w:vertAlign w:val="superscript"/>
        </w:rPr>
        <w:t>ND</w:t>
      </w:r>
      <w:r w:rsidRPr="00686C0F">
        <w:rPr>
          <w:rFonts w:ascii="Arial" w:hAnsi="Arial" w:cs="Arial"/>
          <w:b/>
        </w:rPr>
        <w:t xml:space="preserve"> DEFENDANT</w:t>
      </w:r>
    </w:p>
    <w:p w14:paraId="47FC8BAD" w14:textId="77777777" w:rsidR="007125E7" w:rsidRPr="00686C0F" w:rsidRDefault="007125E7" w:rsidP="00686C0F">
      <w:pPr>
        <w:spacing w:line="360" w:lineRule="auto"/>
        <w:jc w:val="both"/>
        <w:rPr>
          <w:rFonts w:ascii="Arial" w:hAnsi="Arial" w:cs="Arial"/>
          <w:b/>
        </w:rPr>
      </w:pPr>
    </w:p>
    <w:p w14:paraId="3E8735E1" w14:textId="77777777" w:rsidR="007125E7" w:rsidRPr="00686C0F" w:rsidRDefault="007125E7" w:rsidP="00686C0F">
      <w:pPr>
        <w:spacing w:line="360" w:lineRule="auto"/>
        <w:jc w:val="both"/>
        <w:rPr>
          <w:rFonts w:ascii="Arial" w:hAnsi="Arial" w:cs="Arial"/>
        </w:rPr>
      </w:pPr>
    </w:p>
    <w:p w14:paraId="642ABDE5" w14:textId="1AB23A94" w:rsidR="007125E7" w:rsidRPr="005261D9" w:rsidRDefault="00FC533D" w:rsidP="00686C0F">
      <w:pPr>
        <w:spacing w:line="360" w:lineRule="auto"/>
        <w:jc w:val="both"/>
        <w:rPr>
          <w:rFonts w:ascii="Arial" w:hAnsi="Arial" w:cs="Arial"/>
        </w:rPr>
      </w:pPr>
      <w:r w:rsidRPr="00FC533D">
        <w:rPr>
          <w:rFonts w:ascii="Arial" w:hAnsi="Arial" w:cs="Arial"/>
          <w:b/>
        </w:rPr>
        <w:t>Neutral Citation:</w:t>
      </w:r>
      <w:r>
        <w:rPr>
          <w:rFonts w:ascii="Arial" w:hAnsi="Arial" w:cs="Arial"/>
          <w:i/>
        </w:rPr>
        <w:t xml:space="preserve"> Conrad v</w:t>
      </w:r>
      <w:r w:rsidR="007125E7" w:rsidRPr="00686C0F">
        <w:rPr>
          <w:rFonts w:ascii="Arial" w:hAnsi="Arial" w:cs="Arial"/>
          <w:i/>
        </w:rPr>
        <w:t xml:space="preserve"> </w:t>
      </w:r>
      <w:proofErr w:type="spellStart"/>
      <w:r w:rsidR="007125E7" w:rsidRPr="00686C0F">
        <w:rPr>
          <w:rFonts w:ascii="Arial" w:hAnsi="Arial" w:cs="Arial"/>
          <w:i/>
        </w:rPr>
        <w:t>Dohrmann</w:t>
      </w:r>
      <w:proofErr w:type="spellEnd"/>
      <w:r w:rsidR="007125E7" w:rsidRPr="00686C0F">
        <w:rPr>
          <w:rFonts w:ascii="Arial" w:hAnsi="Arial" w:cs="Arial"/>
          <w:i/>
        </w:rPr>
        <w:t xml:space="preserve"> </w:t>
      </w:r>
      <w:r w:rsidR="00FF5413">
        <w:rPr>
          <w:rFonts w:ascii="Arial" w:hAnsi="Arial" w:cs="Arial"/>
        </w:rPr>
        <w:t xml:space="preserve">(I2073/2015) </w:t>
      </w:r>
      <w:r w:rsidR="005261D9" w:rsidRPr="005261D9">
        <w:rPr>
          <w:rFonts w:ascii="Arial" w:hAnsi="Arial" w:cs="Arial"/>
        </w:rPr>
        <w:t xml:space="preserve">[2018] NAHCMD </w:t>
      </w:r>
      <w:r w:rsidR="007D01F2">
        <w:rPr>
          <w:rFonts w:ascii="Arial" w:hAnsi="Arial" w:cs="Arial"/>
        </w:rPr>
        <w:t>121</w:t>
      </w:r>
      <w:r w:rsidR="00FF5413">
        <w:rPr>
          <w:rFonts w:ascii="Arial" w:hAnsi="Arial" w:cs="Arial"/>
        </w:rPr>
        <w:t xml:space="preserve"> (14</w:t>
      </w:r>
      <w:r w:rsidR="005261D9" w:rsidRPr="005261D9">
        <w:rPr>
          <w:rFonts w:ascii="Arial" w:hAnsi="Arial" w:cs="Arial"/>
        </w:rPr>
        <w:t xml:space="preserve"> May 2018)</w:t>
      </w:r>
    </w:p>
    <w:p w14:paraId="060590F1" w14:textId="77777777" w:rsidR="00686C0F" w:rsidRDefault="00686C0F" w:rsidP="00686C0F">
      <w:pPr>
        <w:spacing w:line="360" w:lineRule="auto"/>
        <w:jc w:val="both"/>
        <w:rPr>
          <w:rFonts w:ascii="Arial" w:hAnsi="Arial" w:cs="Arial"/>
          <w:b/>
        </w:rPr>
      </w:pPr>
    </w:p>
    <w:p w14:paraId="1E961D5B" w14:textId="70FDB6D9" w:rsidR="00686C0F" w:rsidRPr="00FC533D" w:rsidRDefault="007125E7" w:rsidP="00FC533D">
      <w:pPr>
        <w:spacing w:line="360" w:lineRule="auto"/>
        <w:ind w:left="1560" w:hanging="1560"/>
        <w:jc w:val="both"/>
        <w:rPr>
          <w:rFonts w:ascii="Arial" w:hAnsi="Arial" w:cs="Arial"/>
        </w:rPr>
      </w:pPr>
      <w:r w:rsidRPr="00686C0F">
        <w:rPr>
          <w:rFonts w:ascii="Arial" w:hAnsi="Arial" w:cs="Arial"/>
          <w:b/>
        </w:rPr>
        <w:t xml:space="preserve">CORAM: </w:t>
      </w:r>
      <w:r w:rsidR="00FC533D">
        <w:rPr>
          <w:rFonts w:ascii="Arial" w:hAnsi="Arial" w:cs="Arial"/>
          <w:b/>
        </w:rPr>
        <w:tab/>
      </w:r>
      <w:r w:rsidRPr="00FC533D">
        <w:rPr>
          <w:rFonts w:ascii="Arial" w:hAnsi="Arial" w:cs="Arial"/>
        </w:rPr>
        <w:t>MASUKU J</w:t>
      </w:r>
    </w:p>
    <w:p w14:paraId="00601A72" w14:textId="7A560537" w:rsidR="00CF36F7" w:rsidRPr="00FC533D" w:rsidRDefault="00FC533D" w:rsidP="00FC533D">
      <w:pPr>
        <w:spacing w:line="360" w:lineRule="auto"/>
        <w:ind w:left="1560" w:hanging="1560"/>
        <w:jc w:val="both"/>
        <w:rPr>
          <w:rFonts w:ascii="Arial" w:hAnsi="Arial" w:cs="Arial"/>
          <w:b/>
        </w:rPr>
      </w:pPr>
      <w:r w:rsidRPr="00FC533D">
        <w:rPr>
          <w:rFonts w:ascii="Arial" w:hAnsi="Arial" w:cs="Arial"/>
          <w:b/>
        </w:rPr>
        <w:t>Heard:</w:t>
      </w:r>
      <w:r w:rsidRPr="00FC533D">
        <w:rPr>
          <w:rFonts w:ascii="Arial" w:hAnsi="Arial" w:cs="Arial"/>
          <w:b/>
        </w:rPr>
        <w:tab/>
      </w:r>
      <w:r w:rsidR="000D7BF2" w:rsidRPr="00FC533D">
        <w:rPr>
          <w:rFonts w:ascii="Arial" w:hAnsi="Arial" w:cs="Arial"/>
          <w:b/>
        </w:rPr>
        <w:t>7, 8, 9, 10, 11 November 2016 and 11, 12, 13, 14, 15 Sep</w:t>
      </w:r>
      <w:r w:rsidRPr="00FC533D">
        <w:rPr>
          <w:rFonts w:ascii="Arial" w:hAnsi="Arial" w:cs="Arial"/>
          <w:b/>
        </w:rPr>
        <w:t>tember 2017 and 30 January 2018</w:t>
      </w:r>
    </w:p>
    <w:p w14:paraId="639EAE37" w14:textId="018C80A6" w:rsidR="007125E7" w:rsidRPr="00FC533D" w:rsidRDefault="00FC533D" w:rsidP="00FC533D">
      <w:pPr>
        <w:spacing w:line="360" w:lineRule="auto"/>
        <w:ind w:left="1560" w:hanging="1560"/>
        <w:jc w:val="both"/>
        <w:rPr>
          <w:rFonts w:ascii="Arial" w:hAnsi="Arial" w:cs="Arial"/>
          <w:b/>
        </w:rPr>
      </w:pPr>
      <w:r w:rsidRPr="00FC533D">
        <w:rPr>
          <w:rFonts w:ascii="Arial" w:hAnsi="Arial" w:cs="Arial"/>
          <w:b/>
        </w:rPr>
        <w:t>Delivered:</w:t>
      </w:r>
      <w:r w:rsidRPr="00FC533D">
        <w:rPr>
          <w:rFonts w:ascii="Arial" w:hAnsi="Arial" w:cs="Arial"/>
          <w:b/>
        </w:rPr>
        <w:tab/>
      </w:r>
      <w:r w:rsidR="00FF5413" w:rsidRPr="00FC533D">
        <w:rPr>
          <w:rFonts w:ascii="Arial" w:hAnsi="Arial" w:cs="Arial"/>
          <w:b/>
        </w:rPr>
        <w:t>14</w:t>
      </w:r>
      <w:r w:rsidRPr="00FC533D">
        <w:rPr>
          <w:rFonts w:ascii="Arial" w:hAnsi="Arial" w:cs="Arial"/>
          <w:b/>
        </w:rPr>
        <w:t xml:space="preserve"> May 2018</w:t>
      </w:r>
    </w:p>
    <w:p w14:paraId="487F2715" w14:textId="77777777" w:rsidR="007125E7" w:rsidRPr="00686C0F" w:rsidRDefault="007125E7" w:rsidP="00686C0F">
      <w:pPr>
        <w:spacing w:line="360" w:lineRule="auto"/>
        <w:jc w:val="both"/>
        <w:rPr>
          <w:rFonts w:ascii="Arial" w:hAnsi="Arial" w:cs="Arial"/>
        </w:rPr>
      </w:pPr>
    </w:p>
    <w:p w14:paraId="5112FFBE" w14:textId="77777777" w:rsidR="00FC533D" w:rsidRDefault="007125E7" w:rsidP="00686C0F">
      <w:pPr>
        <w:spacing w:line="360" w:lineRule="auto"/>
        <w:jc w:val="both"/>
        <w:rPr>
          <w:rFonts w:ascii="Arial" w:hAnsi="Arial" w:cs="Arial"/>
        </w:rPr>
      </w:pPr>
      <w:proofErr w:type="spellStart"/>
      <w:r w:rsidRPr="00FC533D">
        <w:rPr>
          <w:rFonts w:ascii="Arial" w:hAnsi="Arial" w:cs="Arial"/>
          <w:b/>
        </w:rPr>
        <w:t>Flynote</w:t>
      </w:r>
      <w:proofErr w:type="spellEnd"/>
      <w:r w:rsidRPr="00FC533D">
        <w:rPr>
          <w:rFonts w:ascii="Arial" w:hAnsi="Arial" w:cs="Arial"/>
          <w:b/>
        </w:rPr>
        <w:t>:</w:t>
      </w:r>
      <w:r w:rsidR="0063757B" w:rsidRPr="00FC533D">
        <w:rPr>
          <w:rFonts w:ascii="Arial" w:hAnsi="Arial" w:cs="Arial"/>
          <w:b/>
        </w:rPr>
        <w:tab/>
      </w:r>
      <w:r w:rsidR="0063757B">
        <w:rPr>
          <w:rFonts w:ascii="Arial" w:hAnsi="Arial" w:cs="Arial"/>
          <w:b/>
        </w:rPr>
        <w:t xml:space="preserve">LAW OF CONTRACT </w:t>
      </w:r>
      <w:r w:rsidR="0063757B" w:rsidRPr="00FC533D">
        <w:rPr>
          <w:rFonts w:ascii="Arial" w:hAnsi="Arial" w:cs="Arial"/>
        </w:rPr>
        <w:t>–</w:t>
      </w:r>
      <w:r w:rsidR="0063757B">
        <w:rPr>
          <w:rFonts w:ascii="Arial" w:hAnsi="Arial" w:cs="Arial"/>
          <w:b/>
        </w:rPr>
        <w:t xml:space="preserve"> </w:t>
      </w:r>
      <w:r w:rsidR="0063757B">
        <w:rPr>
          <w:rFonts w:ascii="Arial" w:hAnsi="Arial" w:cs="Arial"/>
        </w:rPr>
        <w:t xml:space="preserve">Divisibility of a written contract – when applicable – repudiation of a contract – notice of cancellation of a contract. </w:t>
      </w:r>
    </w:p>
    <w:p w14:paraId="4BA9D13A" w14:textId="60E9FC74" w:rsidR="008F3E6E" w:rsidRDefault="0063757B" w:rsidP="00686C0F">
      <w:pPr>
        <w:spacing w:line="360" w:lineRule="auto"/>
        <w:jc w:val="both"/>
        <w:rPr>
          <w:rFonts w:ascii="Arial" w:hAnsi="Arial" w:cs="Arial"/>
        </w:rPr>
      </w:pPr>
      <w:r>
        <w:rPr>
          <w:rFonts w:ascii="Arial" w:hAnsi="Arial" w:cs="Arial"/>
          <w:b/>
        </w:rPr>
        <w:lastRenderedPageBreak/>
        <w:t xml:space="preserve">RULES OF COURT </w:t>
      </w:r>
      <w:r>
        <w:rPr>
          <w:rFonts w:ascii="Arial" w:hAnsi="Arial" w:cs="Arial"/>
        </w:rPr>
        <w:t>– Rule 37 – the import of a pre-trial order and its impact on live matters for determination by the court – impermissibility of including new issues not recorded in the pre-trial order, particularly in the absence of an application for the inclusion of the new matters, accompanied by a sound e</w:t>
      </w:r>
      <w:r w:rsidR="00C820FA">
        <w:rPr>
          <w:rFonts w:ascii="Arial" w:hAnsi="Arial" w:cs="Arial"/>
        </w:rPr>
        <w:t xml:space="preserve">xplanation for the order sought – Rule 130 – the need for legal practitioners to follow the provisions of this rule and not to merely file certificates which amount to lip service to the rule in question. </w:t>
      </w:r>
    </w:p>
    <w:p w14:paraId="0B86E594" w14:textId="77777777" w:rsidR="00FC533D" w:rsidRDefault="00FC533D" w:rsidP="00686C0F">
      <w:pPr>
        <w:spacing w:line="360" w:lineRule="auto"/>
        <w:jc w:val="both"/>
        <w:rPr>
          <w:rFonts w:ascii="Arial" w:hAnsi="Arial" w:cs="Arial"/>
          <w:b/>
        </w:rPr>
      </w:pPr>
    </w:p>
    <w:p w14:paraId="5C012D3A" w14:textId="77777777" w:rsidR="008F3E6E" w:rsidRDefault="0063757B" w:rsidP="00686C0F">
      <w:pPr>
        <w:spacing w:line="360" w:lineRule="auto"/>
        <w:jc w:val="both"/>
        <w:rPr>
          <w:rFonts w:ascii="Arial" w:hAnsi="Arial" w:cs="Arial"/>
        </w:rPr>
      </w:pPr>
      <w:r>
        <w:rPr>
          <w:rFonts w:ascii="Arial" w:hAnsi="Arial" w:cs="Arial"/>
          <w:b/>
        </w:rPr>
        <w:t xml:space="preserve">CIVIL PROCEDURE </w:t>
      </w:r>
      <w:r>
        <w:rPr>
          <w:rFonts w:ascii="Arial" w:hAnsi="Arial" w:cs="Arial"/>
        </w:rPr>
        <w:t xml:space="preserve">– </w:t>
      </w:r>
      <w:r w:rsidR="00C820FA">
        <w:rPr>
          <w:rFonts w:ascii="Arial" w:hAnsi="Arial" w:cs="Arial"/>
        </w:rPr>
        <w:t xml:space="preserve">the approach of the court where there are mutually destructive versions placed before the court – how the court should reach conclusions on reliability, creditworthiness and where the probabilities lie - </w:t>
      </w:r>
      <w:r>
        <w:rPr>
          <w:rFonts w:ascii="Arial" w:hAnsi="Arial" w:cs="Arial"/>
        </w:rPr>
        <w:t>the impermissibility of allowing the defendant the right to comment on the plaintiff’s witness’ statement after the latter has been excused and can no longer respond to the</w:t>
      </w:r>
      <w:r w:rsidR="00DF1ED8">
        <w:rPr>
          <w:rFonts w:ascii="Arial" w:hAnsi="Arial" w:cs="Arial"/>
        </w:rPr>
        <w:t xml:space="preserve"> said comments</w:t>
      </w:r>
      <w:r>
        <w:rPr>
          <w:rFonts w:ascii="Arial" w:hAnsi="Arial" w:cs="Arial"/>
        </w:rPr>
        <w:t xml:space="preserve"> – prejudice to the plaintiff – the need </w:t>
      </w:r>
      <w:r w:rsidR="00C820FA">
        <w:rPr>
          <w:rFonts w:ascii="Arial" w:hAnsi="Arial" w:cs="Arial"/>
        </w:rPr>
        <w:t>for</w:t>
      </w:r>
      <w:r>
        <w:rPr>
          <w:rFonts w:ascii="Arial" w:hAnsi="Arial" w:cs="Arial"/>
        </w:rPr>
        <w:t xml:space="preserve"> the defendant’s case</w:t>
      </w:r>
      <w:r w:rsidR="00C820FA">
        <w:rPr>
          <w:rFonts w:ascii="Arial" w:hAnsi="Arial" w:cs="Arial"/>
        </w:rPr>
        <w:t xml:space="preserve"> to be</w:t>
      </w:r>
      <w:r>
        <w:rPr>
          <w:rFonts w:ascii="Arial" w:hAnsi="Arial" w:cs="Arial"/>
        </w:rPr>
        <w:t xml:space="preserve"> fully </w:t>
      </w:r>
      <w:r w:rsidR="00C820FA">
        <w:rPr>
          <w:rFonts w:ascii="Arial" w:hAnsi="Arial" w:cs="Arial"/>
        </w:rPr>
        <w:t xml:space="preserve">put </w:t>
      </w:r>
      <w:r>
        <w:rPr>
          <w:rFonts w:ascii="Arial" w:hAnsi="Arial" w:cs="Arial"/>
        </w:rPr>
        <w:t>to the plaintiff i</w:t>
      </w:r>
      <w:r w:rsidR="00C820FA">
        <w:rPr>
          <w:rFonts w:ascii="Arial" w:hAnsi="Arial" w:cs="Arial"/>
        </w:rPr>
        <w:t>n cross-examination reinforced – the function and proper approach to heads of argument.</w:t>
      </w:r>
      <w:r w:rsidR="00836665">
        <w:rPr>
          <w:rFonts w:ascii="Arial" w:hAnsi="Arial" w:cs="Arial"/>
        </w:rPr>
        <w:t xml:space="preserve"> </w:t>
      </w:r>
    </w:p>
    <w:p w14:paraId="512226C5" w14:textId="77777777" w:rsidR="00FC533D" w:rsidRDefault="00FC533D" w:rsidP="00686C0F">
      <w:pPr>
        <w:spacing w:line="360" w:lineRule="auto"/>
        <w:jc w:val="both"/>
        <w:rPr>
          <w:rFonts w:ascii="Arial" w:hAnsi="Arial" w:cs="Arial"/>
          <w:b/>
        </w:rPr>
      </w:pPr>
    </w:p>
    <w:p w14:paraId="56250AF7" w14:textId="77777777" w:rsidR="008F3E6E" w:rsidRDefault="00CF36F7" w:rsidP="00686C0F">
      <w:pPr>
        <w:spacing w:line="360" w:lineRule="auto"/>
        <w:jc w:val="both"/>
        <w:rPr>
          <w:rFonts w:ascii="Arial" w:hAnsi="Arial" w:cs="Arial"/>
        </w:rPr>
      </w:pPr>
      <w:r>
        <w:rPr>
          <w:rFonts w:ascii="Arial" w:hAnsi="Arial" w:cs="Arial"/>
          <w:b/>
        </w:rPr>
        <w:t xml:space="preserve">LAW OF EVIDENCE </w:t>
      </w:r>
      <w:r>
        <w:rPr>
          <w:rFonts w:ascii="Arial" w:hAnsi="Arial" w:cs="Arial"/>
        </w:rPr>
        <w:t xml:space="preserve">– The necessity of a party putting its version to the opposing witnesses. Failure to do so results in the court regarding the evidence elicited therefrom as an afterthought – an adverse inference drawn from failure to call an important witness to testify – impermissibility of eliciting questions from the defendant regarding contents of a witness’ statement. </w:t>
      </w:r>
    </w:p>
    <w:p w14:paraId="263642C3" w14:textId="77777777" w:rsidR="00FC533D" w:rsidRDefault="00FC533D" w:rsidP="00686C0F">
      <w:pPr>
        <w:spacing w:line="360" w:lineRule="auto"/>
        <w:jc w:val="both"/>
        <w:rPr>
          <w:rFonts w:ascii="Arial" w:hAnsi="Arial" w:cs="Arial"/>
          <w:b/>
        </w:rPr>
      </w:pPr>
    </w:p>
    <w:p w14:paraId="510B3422" w14:textId="662291B3" w:rsidR="007125E7" w:rsidRPr="00836665" w:rsidRDefault="00836665" w:rsidP="00686C0F">
      <w:pPr>
        <w:spacing w:line="360" w:lineRule="auto"/>
        <w:jc w:val="both"/>
        <w:rPr>
          <w:rFonts w:ascii="Arial" w:hAnsi="Arial" w:cs="Arial"/>
        </w:rPr>
      </w:pPr>
      <w:r>
        <w:rPr>
          <w:rFonts w:ascii="Arial" w:hAnsi="Arial" w:cs="Arial"/>
          <w:b/>
        </w:rPr>
        <w:t xml:space="preserve">LEGAL ETHICS </w:t>
      </w:r>
      <w:r>
        <w:rPr>
          <w:rFonts w:ascii="Arial" w:hAnsi="Arial" w:cs="Arial"/>
        </w:rPr>
        <w:t>– the impropriety of a legal practitioner who acts on behalf of clients in a non-litigious matter, to then act on behalf of one of the parties to the dispute that later arises – the proper course is to withdraw and refer the parties to find lawyers to represent them in the litigious dispute.</w:t>
      </w:r>
      <w:r w:rsidR="00CF36F7">
        <w:rPr>
          <w:rFonts w:ascii="Arial" w:hAnsi="Arial" w:cs="Arial"/>
        </w:rPr>
        <w:t xml:space="preserve"> The role of counsel and function of heads or argument discussed.</w:t>
      </w:r>
    </w:p>
    <w:p w14:paraId="35DBDE95" w14:textId="77777777" w:rsidR="007125E7" w:rsidRPr="00686C0F" w:rsidRDefault="007125E7" w:rsidP="00686C0F">
      <w:pPr>
        <w:spacing w:line="360" w:lineRule="auto"/>
        <w:jc w:val="both"/>
        <w:rPr>
          <w:rFonts w:ascii="Arial" w:hAnsi="Arial" w:cs="Arial"/>
        </w:rPr>
      </w:pPr>
    </w:p>
    <w:p w14:paraId="4EF6D8FD" w14:textId="7FA6C818" w:rsidR="007125E7" w:rsidRDefault="007125E7" w:rsidP="00686C0F">
      <w:pPr>
        <w:spacing w:line="360" w:lineRule="auto"/>
        <w:jc w:val="both"/>
        <w:rPr>
          <w:rFonts w:ascii="Arial" w:hAnsi="Arial" w:cs="Arial"/>
        </w:rPr>
      </w:pPr>
      <w:r w:rsidRPr="00FC533D">
        <w:rPr>
          <w:rFonts w:ascii="Arial" w:hAnsi="Arial" w:cs="Arial"/>
          <w:b/>
        </w:rPr>
        <w:t>Summary:</w:t>
      </w:r>
      <w:r w:rsidR="00C820FA">
        <w:rPr>
          <w:rFonts w:ascii="Arial" w:hAnsi="Arial" w:cs="Arial"/>
        </w:rPr>
        <w:tab/>
        <w:t>The plaintiff and the defendant</w:t>
      </w:r>
      <w:r w:rsidR="00836665">
        <w:rPr>
          <w:rFonts w:ascii="Arial" w:hAnsi="Arial" w:cs="Arial"/>
        </w:rPr>
        <w:t>s</w:t>
      </w:r>
      <w:r w:rsidR="00C820FA">
        <w:rPr>
          <w:rFonts w:ascii="Arial" w:hAnsi="Arial" w:cs="Arial"/>
        </w:rPr>
        <w:t xml:space="preserve"> entered into a written agreement of sale in respect of 100% membership in a close corporation and sale of furniture and inventory. The plaintiff testified that he complied</w:t>
      </w:r>
      <w:r w:rsidR="00DF1ED8">
        <w:rPr>
          <w:rFonts w:ascii="Arial" w:hAnsi="Arial" w:cs="Arial"/>
        </w:rPr>
        <w:t xml:space="preserve"> with his part of the</w:t>
      </w:r>
      <w:r w:rsidR="00836665">
        <w:rPr>
          <w:rFonts w:ascii="Arial" w:hAnsi="Arial" w:cs="Arial"/>
        </w:rPr>
        <w:t xml:space="preserve"> agreement but the defendants failed to deliver the furniture and inventory he paid for in the sum of N$400 000.</w:t>
      </w:r>
    </w:p>
    <w:p w14:paraId="713250B6" w14:textId="77777777" w:rsidR="00836665" w:rsidRDefault="00836665" w:rsidP="00686C0F">
      <w:pPr>
        <w:spacing w:line="360" w:lineRule="auto"/>
        <w:jc w:val="both"/>
        <w:rPr>
          <w:rFonts w:ascii="Arial" w:hAnsi="Arial" w:cs="Arial"/>
        </w:rPr>
      </w:pPr>
    </w:p>
    <w:p w14:paraId="3CD1BC11" w14:textId="3C574079" w:rsidR="00836665" w:rsidRDefault="00836665" w:rsidP="00686C0F">
      <w:pPr>
        <w:spacing w:line="360" w:lineRule="auto"/>
        <w:jc w:val="both"/>
        <w:rPr>
          <w:rFonts w:ascii="Arial" w:hAnsi="Arial" w:cs="Arial"/>
        </w:rPr>
      </w:pPr>
      <w:r>
        <w:rPr>
          <w:rFonts w:ascii="Arial" w:hAnsi="Arial" w:cs="Arial"/>
          <w:i/>
        </w:rPr>
        <w:t xml:space="preserve">Held – </w:t>
      </w:r>
      <w:r>
        <w:rPr>
          <w:rFonts w:ascii="Arial" w:hAnsi="Arial" w:cs="Arial"/>
        </w:rPr>
        <w:t xml:space="preserve">though the agreement was </w:t>
      </w:r>
      <w:r w:rsidR="00DF1ED8">
        <w:rPr>
          <w:rFonts w:ascii="Arial" w:hAnsi="Arial" w:cs="Arial"/>
        </w:rPr>
        <w:t xml:space="preserve">contained in </w:t>
      </w:r>
      <w:r>
        <w:rPr>
          <w:rFonts w:ascii="Arial" w:hAnsi="Arial" w:cs="Arial"/>
        </w:rPr>
        <w:t>a single document, a reading thereof, together with the intention of the parties was that the agreement was divisible and separate and as a result of which the plaintiff could sue only in respect of the furniture and inventory.</w:t>
      </w:r>
    </w:p>
    <w:p w14:paraId="4317BE8B" w14:textId="77777777" w:rsidR="00294EAD" w:rsidRDefault="00294EAD" w:rsidP="00686C0F">
      <w:pPr>
        <w:spacing w:line="360" w:lineRule="auto"/>
        <w:jc w:val="both"/>
        <w:rPr>
          <w:rFonts w:ascii="Arial" w:hAnsi="Arial" w:cs="Arial"/>
        </w:rPr>
      </w:pPr>
    </w:p>
    <w:p w14:paraId="28C9384C" w14:textId="54F64A30" w:rsidR="00836665" w:rsidRDefault="00836665" w:rsidP="00686C0F">
      <w:pPr>
        <w:spacing w:line="360" w:lineRule="auto"/>
        <w:jc w:val="both"/>
        <w:rPr>
          <w:rFonts w:ascii="Arial" w:hAnsi="Arial" w:cs="Arial"/>
        </w:rPr>
      </w:pPr>
      <w:r>
        <w:rPr>
          <w:rFonts w:ascii="Arial" w:hAnsi="Arial" w:cs="Arial"/>
          <w:i/>
        </w:rPr>
        <w:t xml:space="preserve">Held further </w:t>
      </w:r>
      <w:r>
        <w:rPr>
          <w:rFonts w:ascii="Arial" w:hAnsi="Arial" w:cs="Arial"/>
        </w:rPr>
        <w:t>– that the defendants, in terms of th</w:t>
      </w:r>
      <w:r w:rsidR="008F3E6E">
        <w:rPr>
          <w:rFonts w:ascii="Arial" w:hAnsi="Arial" w:cs="Arial"/>
        </w:rPr>
        <w:t xml:space="preserve">eir behaviour, in availing the </w:t>
      </w:r>
      <w:r>
        <w:rPr>
          <w:rFonts w:ascii="Arial" w:hAnsi="Arial" w:cs="Arial"/>
        </w:rPr>
        <w:t>furniture and inventory worth N$ 20</w:t>
      </w:r>
      <w:r w:rsidR="00B725A1">
        <w:rPr>
          <w:rFonts w:ascii="Arial" w:hAnsi="Arial" w:cs="Arial"/>
        </w:rPr>
        <w:t xml:space="preserve"> </w:t>
      </w:r>
      <w:r w:rsidR="00E1254F">
        <w:rPr>
          <w:rFonts w:ascii="Arial" w:hAnsi="Arial" w:cs="Arial"/>
        </w:rPr>
        <w:t>830,</w:t>
      </w:r>
      <w:r>
        <w:rPr>
          <w:rFonts w:ascii="Arial" w:hAnsi="Arial" w:cs="Arial"/>
        </w:rPr>
        <w:t xml:space="preserve"> evinced an intention to no longer be bound by the agreement they had signed. It was in that context found that the plaintiff was, in the circumstances, entitled to cancel the contract as he did and was at large to claim the return of the money he had paid, against the tender of the furniture and inventory received.</w:t>
      </w:r>
    </w:p>
    <w:p w14:paraId="0D48BF7A" w14:textId="77777777" w:rsidR="00294EAD" w:rsidRDefault="00294EAD" w:rsidP="00686C0F">
      <w:pPr>
        <w:spacing w:line="360" w:lineRule="auto"/>
        <w:jc w:val="both"/>
        <w:rPr>
          <w:rFonts w:ascii="Arial" w:hAnsi="Arial" w:cs="Arial"/>
        </w:rPr>
      </w:pPr>
    </w:p>
    <w:p w14:paraId="3D35F396" w14:textId="17B526B3" w:rsidR="00970D24" w:rsidRDefault="00836665" w:rsidP="00686C0F">
      <w:pPr>
        <w:spacing w:line="360" w:lineRule="auto"/>
        <w:jc w:val="both"/>
        <w:rPr>
          <w:rFonts w:ascii="Arial" w:hAnsi="Arial" w:cs="Arial"/>
        </w:rPr>
      </w:pPr>
      <w:r>
        <w:rPr>
          <w:rFonts w:ascii="Arial" w:hAnsi="Arial" w:cs="Arial"/>
          <w:i/>
        </w:rPr>
        <w:t xml:space="preserve">Held – </w:t>
      </w:r>
      <w:r>
        <w:rPr>
          <w:rFonts w:ascii="Arial" w:hAnsi="Arial" w:cs="Arial"/>
        </w:rPr>
        <w:t>that the pre-trial ord</w:t>
      </w:r>
      <w:r w:rsidR="00DF1ED8">
        <w:rPr>
          <w:rFonts w:ascii="Arial" w:hAnsi="Arial" w:cs="Arial"/>
        </w:rPr>
        <w:t>er is a very important document</w:t>
      </w:r>
      <w:r>
        <w:rPr>
          <w:rFonts w:ascii="Arial" w:hAnsi="Arial" w:cs="Arial"/>
        </w:rPr>
        <w:t xml:space="preserve"> which carries the imprimatur of the court and outlines the issues to be decided at trial. In that regard, it is not open to a party to unilaterally include issues at the trial that were not recorded in the pre-trial order</w:t>
      </w:r>
      <w:r w:rsidR="00970D24">
        <w:rPr>
          <w:rFonts w:ascii="Arial" w:hAnsi="Arial" w:cs="Arial"/>
        </w:rPr>
        <w:t xml:space="preserve"> as this is prejudicial to the court and the other party, who may have no notice of the witnesses required to deal with that issue.</w:t>
      </w:r>
    </w:p>
    <w:p w14:paraId="3AE66DEF" w14:textId="77777777" w:rsidR="00294EAD" w:rsidRDefault="00294EAD" w:rsidP="00686C0F">
      <w:pPr>
        <w:spacing w:line="360" w:lineRule="auto"/>
        <w:jc w:val="both"/>
        <w:rPr>
          <w:rFonts w:ascii="Arial" w:hAnsi="Arial" w:cs="Arial"/>
        </w:rPr>
      </w:pPr>
    </w:p>
    <w:p w14:paraId="10A5DD08" w14:textId="3D5C9DD2" w:rsidR="00836665" w:rsidRDefault="00970D24" w:rsidP="00686C0F">
      <w:pPr>
        <w:spacing w:line="360" w:lineRule="auto"/>
        <w:jc w:val="both"/>
        <w:rPr>
          <w:rFonts w:ascii="Arial" w:hAnsi="Arial" w:cs="Arial"/>
        </w:rPr>
      </w:pPr>
      <w:r>
        <w:rPr>
          <w:rFonts w:ascii="Arial" w:hAnsi="Arial" w:cs="Arial"/>
          <w:i/>
        </w:rPr>
        <w:t xml:space="preserve">Held further – </w:t>
      </w:r>
      <w:r>
        <w:rPr>
          <w:rFonts w:ascii="Arial" w:hAnsi="Arial" w:cs="Arial"/>
        </w:rPr>
        <w:t>that a defendant’s legal practitioner, may not, after the plaintiff has been excused, elicit comments on the plaintiff’s witness’ statement as that is prejudicial to the plaintiff</w:t>
      </w:r>
      <w:r w:rsidR="00CF36F7">
        <w:rPr>
          <w:rFonts w:ascii="Arial" w:hAnsi="Arial" w:cs="Arial"/>
        </w:rPr>
        <w:t xml:space="preserve"> or his witnesses</w:t>
      </w:r>
      <w:r>
        <w:rPr>
          <w:rFonts w:ascii="Arial" w:hAnsi="Arial" w:cs="Arial"/>
        </w:rPr>
        <w:t>, who cannot, at that stage, be recalled to deal wit</w:t>
      </w:r>
      <w:r w:rsidR="00DF1ED8">
        <w:rPr>
          <w:rFonts w:ascii="Arial" w:hAnsi="Arial" w:cs="Arial"/>
        </w:rPr>
        <w:t xml:space="preserve">h the issues </w:t>
      </w:r>
      <w:r w:rsidR="00CF36F7">
        <w:rPr>
          <w:rFonts w:ascii="Arial" w:hAnsi="Arial" w:cs="Arial"/>
        </w:rPr>
        <w:t xml:space="preserve">subsequently </w:t>
      </w:r>
      <w:r w:rsidR="00DF1ED8">
        <w:rPr>
          <w:rFonts w:ascii="Arial" w:hAnsi="Arial" w:cs="Arial"/>
        </w:rPr>
        <w:t xml:space="preserve">raised. The proper </w:t>
      </w:r>
      <w:r>
        <w:rPr>
          <w:rFonts w:ascii="Arial" w:hAnsi="Arial" w:cs="Arial"/>
        </w:rPr>
        <w:t>course, is to put the entire version of the defendant about the former’s witness’ statement to him or her wh</w:t>
      </w:r>
      <w:r w:rsidR="000C0624">
        <w:rPr>
          <w:rFonts w:ascii="Arial" w:hAnsi="Arial" w:cs="Arial"/>
        </w:rPr>
        <w:t>ile he or she is in the witness</w:t>
      </w:r>
      <w:r>
        <w:rPr>
          <w:rFonts w:ascii="Arial" w:hAnsi="Arial" w:cs="Arial"/>
        </w:rPr>
        <w:t xml:space="preserve"> stand.</w:t>
      </w:r>
    </w:p>
    <w:p w14:paraId="35142FA9" w14:textId="77777777" w:rsidR="00294EAD" w:rsidRDefault="00294EAD" w:rsidP="00686C0F">
      <w:pPr>
        <w:spacing w:line="360" w:lineRule="auto"/>
        <w:jc w:val="both"/>
        <w:rPr>
          <w:rFonts w:ascii="Arial" w:hAnsi="Arial" w:cs="Arial"/>
        </w:rPr>
      </w:pPr>
    </w:p>
    <w:p w14:paraId="5A21888A" w14:textId="2E6D6727" w:rsidR="00970D24" w:rsidRDefault="00970D24" w:rsidP="00686C0F">
      <w:pPr>
        <w:spacing w:line="360" w:lineRule="auto"/>
        <w:jc w:val="both"/>
        <w:rPr>
          <w:rFonts w:ascii="Arial" w:hAnsi="Arial" w:cs="Arial"/>
        </w:rPr>
      </w:pPr>
      <w:r>
        <w:rPr>
          <w:rFonts w:ascii="Arial" w:hAnsi="Arial" w:cs="Arial"/>
          <w:i/>
        </w:rPr>
        <w:t xml:space="preserve">Held </w:t>
      </w:r>
      <w:r>
        <w:rPr>
          <w:rFonts w:ascii="Arial" w:hAnsi="Arial" w:cs="Arial"/>
        </w:rPr>
        <w:t xml:space="preserve">– that a legal practitioner, who acts for two parties in a non-litigious matter, should, after the parties cross swords, withdraw from the matter and refer both parties to independent lawyers to represent them. It is </w:t>
      </w:r>
      <w:r w:rsidR="00E1254F">
        <w:rPr>
          <w:rFonts w:ascii="Arial" w:hAnsi="Arial" w:cs="Arial"/>
        </w:rPr>
        <w:t>ethically improper</w:t>
      </w:r>
      <w:r>
        <w:rPr>
          <w:rFonts w:ascii="Arial" w:hAnsi="Arial" w:cs="Arial"/>
        </w:rPr>
        <w:t>, once a dispute arises, for that lawyer, to act on behalf of one of the protagonists.</w:t>
      </w:r>
    </w:p>
    <w:p w14:paraId="627524F5" w14:textId="77777777" w:rsidR="00294EAD" w:rsidRDefault="00294EAD" w:rsidP="00686C0F">
      <w:pPr>
        <w:spacing w:line="360" w:lineRule="auto"/>
        <w:jc w:val="both"/>
        <w:rPr>
          <w:rFonts w:ascii="Arial" w:hAnsi="Arial" w:cs="Arial"/>
        </w:rPr>
      </w:pPr>
    </w:p>
    <w:p w14:paraId="5A205056" w14:textId="259DE146" w:rsidR="00970D24" w:rsidRDefault="00970D24" w:rsidP="00686C0F">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legal practitioners have a duty to file proper heads of argument to assist the court by referring the court to the particular pages of the judgment referred to. Furthermore, that in filing a certificate in terms of Rule </w:t>
      </w:r>
      <w:r>
        <w:rPr>
          <w:rFonts w:ascii="Arial" w:hAnsi="Arial" w:cs="Arial"/>
        </w:rPr>
        <w:lastRenderedPageBreak/>
        <w:t xml:space="preserve">130, alleging that there </w:t>
      </w:r>
      <w:r w:rsidR="00DF1ED8">
        <w:rPr>
          <w:rFonts w:ascii="Arial" w:hAnsi="Arial" w:cs="Arial"/>
        </w:rPr>
        <w:t>are no local authorities in the</w:t>
      </w:r>
      <w:r>
        <w:rPr>
          <w:rFonts w:ascii="Arial" w:hAnsi="Arial" w:cs="Arial"/>
        </w:rPr>
        <w:t xml:space="preserve"> jurisdiction, legal practitioners should ensure that they have done the necessary research and that the certificate they file is accurately reflective of the true position on the ground.</w:t>
      </w:r>
      <w:r w:rsidR="00304774">
        <w:rPr>
          <w:rFonts w:ascii="Arial" w:hAnsi="Arial" w:cs="Arial"/>
        </w:rPr>
        <w:t xml:space="preserve"> Mere lip service to the provisions of this rule will not be tolerated.</w:t>
      </w:r>
    </w:p>
    <w:p w14:paraId="7DDD8EF5" w14:textId="77777777" w:rsidR="00304774" w:rsidRDefault="00304774" w:rsidP="00686C0F">
      <w:pPr>
        <w:spacing w:line="360" w:lineRule="auto"/>
        <w:jc w:val="both"/>
        <w:rPr>
          <w:rFonts w:ascii="Arial" w:hAnsi="Arial" w:cs="Arial"/>
        </w:rPr>
      </w:pPr>
    </w:p>
    <w:p w14:paraId="15F7A9DE" w14:textId="03020CC1" w:rsidR="00CF36F7" w:rsidRDefault="00CF36F7" w:rsidP="00686C0F">
      <w:pPr>
        <w:spacing w:line="360" w:lineRule="auto"/>
        <w:jc w:val="both"/>
        <w:rPr>
          <w:rFonts w:ascii="Arial" w:hAnsi="Arial" w:cs="Arial"/>
        </w:rPr>
      </w:pPr>
      <w:r>
        <w:rPr>
          <w:rFonts w:ascii="Arial" w:hAnsi="Arial" w:cs="Arial"/>
          <w:i/>
        </w:rPr>
        <w:t xml:space="preserve">Held that </w:t>
      </w:r>
      <w:r>
        <w:rPr>
          <w:rFonts w:ascii="Arial" w:hAnsi="Arial" w:cs="Arial"/>
        </w:rPr>
        <w:t>– failure to call an important witness for a party elicits an adverse inference. In this case, the defendant did not call a critical witness, being the 2</w:t>
      </w:r>
      <w:r w:rsidRPr="00CF36F7">
        <w:rPr>
          <w:rFonts w:ascii="Arial" w:hAnsi="Arial" w:cs="Arial"/>
          <w:vertAlign w:val="superscript"/>
        </w:rPr>
        <w:t>nd</w:t>
      </w:r>
      <w:r>
        <w:rPr>
          <w:rFonts w:ascii="Arial" w:hAnsi="Arial" w:cs="Arial"/>
        </w:rPr>
        <w:t xml:space="preserve"> defendant.</w:t>
      </w:r>
    </w:p>
    <w:p w14:paraId="495F65C5" w14:textId="77777777" w:rsidR="00CF36F7" w:rsidRDefault="00CF36F7" w:rsidP="00686C0F">
      <w:pPr>
        <w:spacing w:line="360" w:lineRule="auto"/>
        <w:jc w:val="both"/>
        <w:rPr>
          <w:rFonts w:ascii="Arial" w:hAnsi="Arial" w:cs="Arial"/>
        </w:rPr>
      </w:pPr>
    </w:p>
    <w:p w14:paraId="00AFEEA1" w14:textId="62906E66" w:rsidR="00CF36F7" w:rsidRPr="00CF36F7" w:rsidRDefault="00CF36F7" w:rsidP="00686C0F">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it is important for a party to put its case to the opposing witness while the latter is </w:t>
      </w:r>
      <w:r w:rsidR="000C0624">
        <w:rPr>
          <w:rFonts w:ascii="Arial" w:hAnsi="Arial" w:cs="Arial"/>
        </w:rPr>
        <w:t>still on the witness</w:t>
      </w:r>
      <w:r>
        <w:rPr>
          <w:rFonts w:ascii="Arial" w:hAnsi="Arial" w:cs="Arial"/>
        </w:rPr>
        <w:t xml:space="preserve"> stand. Failure to do so results in the court consigning the version put as an afterthought and liable therefor to rejection.</w:t>
      </w:r>
    </w:p>
    <w:p w14:paraId="29E9A23F" w14:textId="77777777" w:rsidR="00CF36F7" w:rsidRPr="00CF36F7" w:rsidRDefault="00CF36F7" w:rsidP="00686C0F">
      <w:pPr>
        <w:spacing w:line="360" w:lineRule="auto"/>
        <w:jc w:val="both"/>
        <w:rPr>
          <w:rFonts w:ascii="Arial" w:hAnsi="Arial" w:cs="Arial"/>
        </w:rPr>
      </w:pPr>
    </w:p>
    <w:p w14:paraId="77BB1C66" w14:textId="0AABFB99" w:rsidR="00304774" w:rsidRDefault="00304774" w:rsidP="00304774">
      <w:pPr>
        <w:spacing w:line="360" w:lineRule="auto"/>
        <w:jc w:val="both"/>
        <w:rPr>
          <w:rFonts w:ascii="Arial" w:hAnsi="Arial" w:cs="Arial"/>
        </w:rPr>
      </w:pPr>
      <w:r>
        <w:rPr>
          <w:rFonts w:ascii="Arial" w:hAnsi="Arial" w:cs="Arial"/>
        </w:rPr>
        <w:t>The court upheld the plaintiff’s main claim and held that</w:t>
      </w:r>
      <w:r w:rsidR="00DF1ED8">
        <w:rPr>
          <w:rFonts w:ascii="Arial" w:hAnsi="Arial" w:cs="Arial"/>
        </w:rPr>
        <w:t xml:space="preserve"> the divisi</w:t>
      </w:r>
      <w:r>
        <w:rPr>
          <w:rFonts w:ascii="Arial" w:hAnsi="Arial" w:cs="Arial"/>
        </w:rPr>
        <w:t>ble aspect of the agreement relating to the furniture and inventory, was properly cancelled and that the plaintiff was entitled to recover the amount of N$400 000, he had paid to the defendants, against him returning the furniture and inventory he had received from the defendants.</w:t>
      </w:r>
      <w:r w:rsidR="00DF1ED8">
        <w:rPr>
          <w:rFonts w:ascii="Arial" w:hAnsi="Arial" w:cs="Arial"/>
        </w:rPr>
        <w:t xml:space="preserve"> In the event the plaintiff failed to tender the furniture</w:t>
      </w:r>
      <w:r w:rsidR="00CF36F7">
        <w:rPr>
          <w:rFonts w:ascii="Arial" w:hAnsi="Arial" w:cs="Arial"/>
        </w:rPr>
        <w:t xml:space="preserve"> and inventory supplied, he would</w:t>
      </w:r>
      <w:r w:rsidR="00DF1ED8">
        <w:rPr>
          <w:rFonts w:ascii="Arial" w:hAnsi="Arial" w:cs="Arial"/>
        </w:rPr>
        <w:t xml:space="preserve"> be entitled to the purchase price of the inventory, less the value thereof as ascertained by the plaintiff’s expert witness.</w:t>
      </w:r>
    </w:p>
    <w:p w14:paraId="6A94C944" w14:textId="77777777" w:rsidR="007125E7" w:rsidRPr="00686C0F" w:rsidRDefault="007125E7" w:rsidP="00D555B1">
      <w:pPr>
        <w:pBdr>
          <w:bottom w:val="single" w:sz="4" w:space="1" w:color="auto"/>
        </w:pBdr>
        <w:jc w:val="both"/>
        <w:rPr>
          <w:rFonts w:ascii="Arial" w:hAnsi="Arial" w:cs="Arial"/>
        </w:rPr>
      </w:pPr>
    </w:p>
    <w:p w14:paraId="3FD242D2" w14:textId="77777777" w:rsidR="00D555B1" w:rsidRDefault="00D555B1" w:rsidP="00686C0F">
      <w:pPr>
        <w:jc w:val="center"/>
        <w:rPr>
          <w:rFonts w:ascii="Arial" w:hAnsi="Arial" w:cs="Arial"/>
          <w:b/>
        </w:rPr>
      </w:pPr>
    </w:p>
    <w:p w14:paraId="68FA1D07" w14:textId="77777777" w:rsidR="007125E7" w:rsidRPr="00686C0F" w:rsidRDefault="007125E7" w:rsidP="00686C0F">
      <w:pPr>
        <w:jc w:val="center"/>
        <w:rPr>
          <w:rFonts w:ascii="Arial" w:hAnsi="Arial" w:cs="Arial"/>
          <w:b/>
        </w:rPr>
      </w:pPr>
      <w:r w:rsidRPr="00686C0F">
        <w:rPr>
          <w:rFonts w:ascii="Arial" w:hAnsi="Arial" w:cs="Arial"/>
          <w:b/>
        </w:rPr>
        <w:t>ORDER</w:t>
      </w:r>
    </w:p>
    <w:p w14:paraId="5E3881E3" w14:textId="77777777" w:rsidR="007125E7" w:rsidRPr="00686C0F" w:rsidRDefault="007125E7" w:rsidP="00686C0F">
      <w:pPr>
        <w:pBdr>
          <w:bottom w:val="single" w:sz="6" w:space="1" w:color="auto"/>
        </w:pBdr>
        <w:jc w:val="center"/>
        <w:rPr>
          <w:rFonts w:ascii="Arial" w:hAnsi="Arial" w:cs="Arial"/>
          <w:b/>
        </w:rPr>
      </w:pPr>
    </w:p>
    <w:p w14:paraId="38DBD455" w14:textId="77777777" w:rsidR="007125E7" w:rsidRPr="00686C0F" w:rsidRDefault="007125E7" w:rsidP="00686C0F">
      <w:pPr>
        <w:spacing w:line="360" w:lineRule="auto"/>
        <w:rPr>
          <w:rFonts w:ascii="Arial" w:hAnsi="Arial" w:cs="Arial"/>
        </w:rPr>
      </w:pPr>
    </w:p>
    <w:p w14:paraId="05592B98" w14:textId="77777777" w:rsidR="00E057B5" w:rsidRDefault="00E057B5" w:rsidP="00FC533D">
      <w:pPr>
        <w:pStyle w:val="ListParagraph"/>
        <w:numPr>
          <w:ilvl w:val="0"/>
          <w:numId w:val="4"/>
        </w:numPr>
        <w:spacing w:line="360" w:lineRule="auto"/>
        <w:ind w:left="567" w:hanging="567"/>
        <w:jc w:val="both"/>
        <w:rPr>
          <w:rFonts w:ascii="Arial" w:hAnsi="Arial" w:cs="Arial"/>
        </w:rPr>
      </w:pPr>
      <w:r w:rsidRPr="001F26BE">
        <w:rPr>
          <w:rFonts w:ascii="Arial" w:hAnsi="Arial" w:cs="Arial"/>
        </w:rPr>
        <w:t>Payment of N$ 400 000 by the first and second defendants, to the plaintiff, jointly and severally, the one paying and the other being absolved.</w:t>
      </w:r>
    </w:p>
    <w:p w14:paraId="15911D69" w14:textId="77777777" w:rsidR="00FC533D" w:rsidRPr="001F26BE" w:rsidRDefault="00FC533D" w:rsidP="00FC533D">
      <w:pPr>
        <w:pStyle w:val="ListParagraph"/>
        <w:spacing w:line="360" w:lineRule="auto"/>
        <w:ind w:left="567"/>
        <w:jc w:val="both"/>
        <w:rPr>
          <w:rFonts w:ascii="Arial" w:hAnsi="Arial" w:cs="Arial"/>
        </w:rPr>
      </w:pPr>
    </w:p>
    <w:p w14:paraId="48EA293E" w14:textId="3DF63F7A" w:rsidR="00E057B5" w:rsidRDefault="00E057B5" w:rsidP="00FC533D">
      <w:pPr>
        <w:pStyle w:val="ListParagraph"/>
        <w:numPr>
          <w:ilvl w:val="0"/>
          <w:numId w:val="4"/>
        </w:numPr>
        <w:spacing w:line="360" w:lineRule="auto"/>
        <w:ind w:left="567" w:hanging="567"/>
        <w:jc w:val="both"/>
        <w:rPr>
          <w:rFonts w:ascii="Arial" w:hAnsi="Arial" w:cs="Arial"/>
        </w:rPr>
      </w:pPr>
      <w:r>
        <w:rPr>
          <w:rFonts w:ascii="Arial" w:hAnsi="Arial" w:cs="Arial"/>
        </w:rPr>
        <w:t xml:space="preserve">Interest of the aforesaid amount at the rate of 20% per annum </w:t>
      </w:r>
      <w:r>
        <w:rPr>
          <w:rFonts w:ascii="Arial" w:hAnsi="Arial" w:cs="Arial"/>
          <w:i/>
        </w:rPr>
        <w:t xml:space="preserve">tempore </w:t>
      </w:r>
      <w:proofErr w:type="spellStart"/>
      <w:r>
        <w:rPr>
          <w:rFonts w:ascii="Arial" w:hAnsi="Arial" w:cs="Arial"/>
          <w:i/>
        </w:rPr>
        <w:t>morae</w:t>
      </w:r>
      <w:proofErr w:type="spellEnd"/>
      <w:r w:rsidR="00B96090">
        <w:rPr>
          <w:rFonts w:ascii="Arial" w:hAnsi="Arial" w:cs="Arial"/>
        </w:rPr>
        <w:t>, to run from 7 July 2015</w:t>
      </w:r>
      <w:r>
        <w:rPr>
          <w:rFonts w:ascii="Arial" w:hAnsi="Arial" w:cs="Arial"/>
        </w:rPr>
        <w:t xml:space="preserve"> to the date of final payment.</w:t>
      </w:r>
    </w:p>
    <w:p w14:paraId="630F0921" w14:textId="77777777" w:rsidR="00FC533D" w:rsidRPr="00FC533D" w:rsidRDefault="00FC533D" w:rsidP="00FC533D">
      <w:pPr>
        <w:pStyle w:val="ListParagraph"/>
        <w:rPr>
          <w:rFonts w:ascii="Arial" w:hAnsi="Arial" w:cs="Arial"/>
        </w:rPr>
      </w:pPr>
    </w:p>
    <w:p w14:paraId="7B220461" w14:textId="77777777" w:rsidR="00FC533D" w:rsidRDefault="00FC533D" w:rsidP="00FC533D">
      <w:pPr>
        <w:pStyle w:val="ListParagraph"/>
        <w:spacing w:line="360" w:lineRule="auto"/>
        <w:ind w:left="567"/>
        <w:jc w:val="both"/>
        <w:rPr>
          <w:rFonts w:ascii="Arial" w:hAnsi="Arial" w:cs="Arial"/>
        </w:rPr>
      </w:pPr>
    </w:p>
    <w:p w14:paraId="5A3D0880" w14:textId="77777777" w:rsidR="00E057B5" w:rsidRDefault="00E057B5" w:rsidP="00FC533D">
      <w:pPr>
        <w:pStyle w:val="ListParagraph"/>
        <w:numPr>
          <w:ilvl w:val="0"/>
          <w:numId w:val="4"/>
        </w:numPr>
        <w:spacing w:line="360" w:lineRule="auto"/>
        <w:ind w:left="567" w:hanging="567"/>
        <w:jc w:val="both"/>
        <w:rPr>
          <w:rFonts w:ascii="Arial" w:hAnsi="Arial" w:cs="Arial"/>
        </w:rPr>
      </w:pPr>
      <w:r>
        <w:rPr>
          <w:rFonts w:ascii="Arial" w:hAnsi="Arial" w:cs="Arial"/>
        </w:rPr>
        <w:lastRenderedPageBreak/>
        <w:t>Costs of suit consequent upon the employment of one instructing and one instructed counsel.</w:t>
      </w:r>
    </w:p>
    <w:p w14:paraId="06F5F349" w14:textId="77777777" w:rsidR="00FC533D" w:rsidRDefault="00FC533D" w:rsidP="00FC533D">
      <w:pPr>
        <w:pStyle w:val="ListParagraph"/>
        <w:spacing w:line="360" w:lineRule="auto"/>
        <w:ind w:left="567"/>
        <w:jc w:val="both"/>
        <w:rPr>
          <w:rFonts w:ascii="Arial" w:hAnsi="Arial" w:cs="Arial"/>
        </w:rPr>
      </w:pPr>
    </w:p>
    <w:p w14:paraId="727BF7E7" w14:textId="2D3234C9" w:rsidR="00E057B5" w:rsidRDefault="00E057B5" w:rsidP="00FC533D">
      <w:pPr>
        <w:pStyle w:val="ListParagraph"/>
        <w:numPr>
          <w:ilvl w:val="0"/>
          <w:numId w:val="4"/>
        </w:numPr>
        <w:spacing w:line="360" w:lineRule="auto"/>
        <w:ind w:left="567" w:hanging="567"/>
        <w:jc w:val="both"/>
        <w:rPr>
          <w:rFonts w:ascii="Arial" w:hAnsi="Arial" w:cs="Arial"/>
        </w:rPr>
      </w:pPr>
      <w:r>
        <w:rPr>
          <w:rFonts w:ascii="Arial" w:hAnsi="Arial" w:cs="Arial"/>
        </w:rPr>
        <w:t>The payment of N$ 400 000 stipulated in paragraph 1 above, is contingent upon the tender made by the plaintiff to return the furniture and inventory valued at N$ 20 830, which must be done within t</w:t>
      </w:r>
      <w:r w:rsidR="006D72FE">
        <w:rPr>
          <w:rFonts w:ascii="Arial" w:hAnsi="Arial" w:cs="Arial"/>
        </w:rPr>
        <w:t>en (10</w:t>
      </w:r>
      <w:r>
        <w:rPr>
          <w:rFonts w:ascii="Arial" w:hAnsi="Arial" w:cs="Arial"/>
        </w:rPr>
        <w:t>) days of the date of this judgment, or such date as the court may in writing stipulate.</w:t>
      </w:r>
    </w:p>
    <w:p w14:paraId="2482F6D6" w14:textId="77777777" w:rsidR="00FC533D" w:rsidRPr="00FC533D" w:rsidRDefault="00FC533D" w:rsidP="00FC533D">
      <w:pPr>
        <w:spacing w:line="360" w:lineRule="auto"/>
        <w:jc w:val="both"/>
        <w:rPr>
          <w:rFonts w:ascii="Arial" w:hAnsi="Arial" w:cs="Arial"/>
        </w:rPr>
      </w:pPr>
    </w:p>
    <w:p w14:paraId="18E25E38" w14:textId="038DE741" w:rsidR="00E057B5" w:rsidRDefault="00065AF9" w:rsidP="00FC533D">
      <w:pPr>
        <w:pStyle w:val="ListParagraph"/>
        <w:numPr>
          <w:ilvl w:val="0"/>
          <w:numId w:val="4"/>
        </w:numPr>
        <w:spacing w:line="360" w:lineRule="auto"/>
        <w:ind w:left="567" w:hanging="567"/>
        <w:jc w:val="both"/>
        <w:rPr>
          <w:rFonts w:ascii="Arial" w:hAnsi="Arial" w:cs="Arial"/>
        </w:rPr>
      </w:pPr>
      <w:r>
        <w:rPr>
          <w:rFonts w:ascii="Arial" w:hAnsi="Arial" w:cs="Arial"/>
        </w:rPr>
        <w:t>In the event the tender</w:t>
      </w:r>
      <w:r w:rsidR="00E057B5">
        <w:rPr>
          <w:rFonts w:ascii="Arial" w:hAnsi="Arial" w:cs="Arial"/>
        </w:rPr>
        <w:t xml:space="preserve"> is not </w:t>
      </w:r>
      <w:r>
        <w:rPr>
          <w:rFonts w:ascii="Arial" w:hAnsi="Arial" w:cs="Arial"/>
        </w:rPr>
        <w:t>made</w:t>
      </w:r>
      <w:r w:rsidR="00E057B5">
        <w:rPr>
          <w:rFonts w:ascii="Arial" w:hAnsi="Arial" w:cs="Arial"/>
        </w:rPr>
        <w:t xml:space="preserve"> within the period stated in paragraph 4 above, the defendants are ordered to pay the plaintiff the amount of N$ 379, 170, with interest on the aforesaid amount calcu</w:t>
      </w:r>
      <w:r w:rsidR="00B96090">
        <w:rPr>
          <w:rFonts w:ascii="Arial" w:hAnsi="Arial" w:cs="Arial"/>
        </w:rPr>
        <w:t xml:space="preserve">lated from 7 July 2015, </w:t>
      </w:r>
      <w:r w:rsidR="00E057B5">
        <w:rPr>
          <w:rFonts w:ascii="Arial" w:hAnsi="Arial" w:cs="Arial"/>
        </w:rPr>
        <w:t>to the date of final payment.</w:t>
      </w:r>
    </w:p>
    <w:p w14:paraId="282C8107" w14:textId="77777777" w:rsidR="000D7BF2" w:rsidRDefault="000D7BF2" w:rsidP="00686C0F">
      <w:pPr>
        <w:jc w:val="both"/>
        <w:rPr>
          <w:rFonts w:ascii="Arial" w:hAnsi="Arial" w:cs="Arial"/>
        </w:rPr>
      </w:pPr>
    </w:p>
    <w:p w14:paraId="4E5EA124" w14:textId="77777777" w:rsidR="000D7BF2" w:rsidRDefault="000D7BF2" w:rsidP="00686C0F">
      <w:pPr>
        <w:jc w:val="both"/>
        <w:rPr>
          <w:rFonts w:ascii="Arial" w:hAnsi="Arial" w:cs="Arial"/>
        </w:rPr>
      </w:pPr>
    </w:p>
    <w:p w14:paraId="582B78F3" w14:textId="77777777" w:rsidR="000D7BF2" w:rsidRDefault="000D7BF2" w:rsidP="00E057B5">
      <w:pPr>
        <w:pBdr>
          <w:top w:val="single" w:sz="4" w:space="1" w:color="auto"/>
          <w:bottom w:val="single" w:sz="4" w:space="1" w:color="auto"/>
        </w:pBdr>
        <w:jc w:val="center"/>
        <w:rPr>
          <w:rFonts w:ascii="Arial" w:hAnsi="Arial" w:cs="Arial"/>
          <w:b/>
        </w:rPr>
      </w:pPr>
    </w:p>
    <w:p w14:paraId="0E717204" w14:textId="77777777" w:rsidR="007125E7" w:rsidRDefault="007125E7" w:rsidP="00E057B5">
      <w:pPr>
        <w:pBdr>
          <w:top w:val="single" w:sz="4" w:space="1" w:color="auto"/>
          <w:bottom w:val="single" w:sz="4" w:space="1" w:color="auto"/>
        </w:pBdr>
        <w:jc w:val="center"/>
        <w:rPr>
          <w:rFonts w:ascii="Arial" w:hAnsi="Arial" w:cs="Arial"/>
          <w:b/>
        </w:rPr>
      </w:pPr>
      <w:r w:rsidRPr="00686C0F">
        <w:rPr>
          <w:rFonts w:ascii="Arial" w:hAnsi="Arial" w:cs="Arial"/>
          <w:b/>
        </w:rPr>
        <w:t>JUDGMENT</w:t>
      </w:r>
    </w:p>
    <w:p w14:paraId="51D1658A" w14:textId="77777777" w:rsidR="00686C0F" w:rsidRPr="00686C0F" w:rsidRDefault="00686C0F" w:rsidP="00E057B5">
      <w:pPr>
        <w:pBdr>
          <w:top w:val="single" w:sz="4" w:space="1" w:color="auto"/>
          <w:bottom w:val="single" w:sz="4" w:space="1" w:color="auto"/>
        </w:pBdr>
        <w:jc w:val="center"/>
        <w:rPr>
          <w:rFonts w:ascii="Arial" w:hAnsi="Arial" w:cs="Arial"/>
          <w:b/>
        </w:rPr>
      </w:pPr>
    </w:p>
    <w:p w14:paraId="0923A86A" w14:textId="28C4AD27" w:rsidR="007125E7" w:rsidRPr="00FC533D" w:rsidRDefault="00FC533D" w:rsidP="00686C0F">
      <w:pPr>
        <w:spacing w:line="360" w:lineRule="auto"/>
        <w:jc w:val="both"/>
        <w:rPr>
          <w:rFonts w:ascii="Arial" w:hAnsi="Arial" w:cs="Arial"/>
        </w:rPr>
      </w:pPr>
      <w:r w:rsidRPr="00FC533D">
        <w:rPr>
          <w:rFonts w:ascii="Arial" w:hAnsi="Arial" w:cs="Arial"/>
        </w:rPr>
        <w:t>MASUKU J:</w:t>
      </w:r>
    </w:p>
    <w:p w14:paraId="3800A1E1" w14:textId="77777777" w:rsidR="007125E7" w:rsidRPr="00686C0F" w:rsidRDefault="007125E7" w:rsidP="00686C0F">
      <w:pPr>
        <w:spacing w:line="360" w:lineRule="auto"/>
        <w:jc w:val="both"/>
        <w:rPr>
          <w:rFonts w:ascii="Arial" w:hAnsi="Arial" w:cs="Arial"/>
          <w:b/>
        </w:rPr>
      </w:pPr>
    </w:p>
    <w:p w14:paraId="0B4F177F" w14:textId="77777777" w:rsidR="007125E7" w:rsidRPr="00686C0F" w:rsidRDefault="007125E7" w:rsidP="00686C0F">
      <w:pPr>
        <w:spacing w:line="360" w:lineRule="auto"/>
        <w:jc w:val="both"/>
        <w:rPr>
          <w:rFonts w:ascii="Arial" w:hAnsi="Arial" w:cs="Arial"/>
          <w:u w:val="single"/>
        </w:rPr>
      </w:pPr>
      <w:r w:rsidRPr="00686C0F">
        <w:rPr>
          <w:rFonts w:ascii="Arial" w:hAnsi="Arial" w:cs="Arial"/>
          <w:u w:val="single"/>
        </w:rPr>
        <w:t>Introduction</w:t>
      </w:r>
      <w:r w:rsidR="00A57A1A" w:rsidRPr="00686C0F">
        <w:rPr>
          <w:rFonts w:ascii="Arial" w:hAnsi="Arial" w:cs="Arial"/>
          <w:u w:val="single"/>
        </w:rPr>
        <w:t xml:space="preserve"> and background</w:t>
      </w:r>
    </w:p>
    <w:p w14:paraId="7445260B" w14:textId="77777777" w:rsidR="007125E7" w:rsidRPr="00686C0F" w:rsidRDefault="007125E7" w:rsidP="00686C0F">
      <w:pPr>
        <w:spacing w:line="360" w:lineRule="auto"/>
        <w:jc w:val="both"/>
        <w:rPr>
          <w:rFonts w:ascii="Arial" w:hAnsi="Arial" w:cs="Arial"/>
          <w:u w:val="single"/>
        </w:rPr>
      </w:pPr>
    </w:p>
    <w:p w14:paraId="1BD17C12" w14:textId="698CE384" w:rsidR="00ED2D22" w:rsidRPr="00686C0F" w:rsidRDefault="007125E7" w:rsidP="00686C0F">
      <w:pPr>
        <w:spacing w:line="360" w:lineRule="auto"/>
        <w:jc w:val="both"/>
        <w:rPr>
          <w:rFonts w:ascii="Arial" w:hAnsi="Arial" w:cs="Arial"/>
        </w:rPr>
      </w:pPr>
      <w:r w:rsidRPr="00686C0F">
        <w:rPr>
          <w:rFonts w:ascii="Arial" w:hAnsi="Arial" w:cs="Arial"/>
        </w:rPr>
        <w:t>[1]</w:t>
      </w:r>
      <w:r w:rsidRPr="00686C0F">
        <w:rPr>
          <w:rFonts w:ascii="Arial" w:hAnsi="Arial" w:cs="Arial"/>
        </w:rPr>
        <w:tab/>
        <w:t>The date 19 February 201</w:t>
      </w:r>
      <w:r w:rsidR="00304774">
        <w:rPr>
          <w:rFonts w:ascii="Arial" w:hAnsi="Arial" w:cs="Arial"/>
        </w:rPr>
        <w:t xml:space="preserve">1, </w:t>
      </w:r>
      <w:proofErr w:type="gramStart"/>
      <w:r w:rsidR="00304774">
        <w:rPr>
          <w:rFonts w:ascii="Arial" w:hAnsi="Arial" w:cs="Arial"/>
        </w:rPr>
        <w:t>may</w:t>
      </w:r>
      <w:proofErr w:type="gramEnd"/>
      <w:r w:rsidR="00CF36F7">
        <w:rPr>
          <w:rFonts w:ascii="Arial" w:hAnsi="Arial" w:cs="Arial"/>
        </w:rPr>
        <w:t>, to many,</w:t>
      </w:r>
      <w:r w:rsidR="00304774">
        <w:rPr>
          <w:rFonts w:ascii="Arial" w:hAnsi="Arial" w:cs="Arial"/>
        </w:rPr>
        <w:t xml:space="preserve"> have come and passed as mundane</w:t>
      </w:r>
      <w:r w:rsidR="00CF36F7">
        <w:rPr>
          <w:rFonts w:ascii="Arial" w:hAnsi="Arial" w:cs="Arial"/>
        </w:rPr>
        <w:t>, with nothing of consequence to record.</w:t>
      </w:r>
      <w:r w:rsidRPr="00686C0F">
        <w:rPr>
          <w:rFonts w:ascii="Arial" w:hAnsi="Arial" w:cs="Arial"/>
        </w:rPr>
        <w:t xml:space="preserve"> For the plaintiff and the defendants however, it was a remarkable day because on that day, in </w:t>
      </w:r>
      <w:proofErr w:type="spellStart"/>
      <w:r w:rsidRPr="00686C0F">
        <w:rPr>
          <w:rFonts w:ascii="Arial" w:hAnsi="Arial" w:cs="Arial"/>
        </w:rPr>
        <w:t>Swakopmund</w:t>
      </w:r>
      <w:proofErr w:type="spellEnd"/>
      <w:r w:rsidRPr="00686C0F">
        <w:rPr>
          <w:rFonts w:ascii="Arial" w:hAnsi="Arial" w:cs="Arial"/>
        </w:rPr>
        <w:t xml:space="preserve">, they signed </w:t>
      </w:r>
      <w:r w:rsidR="00F832AA" w:rsidRPr="00686C0F">
        <w:rPr>
          <w:rFonts w:ascii="Arial" w:hAnsi="Arial" w:cs="Arial"/>
        </w:rPr>
        <w:t xml:space="preserve">what may have been </w:t>
      </w:r>
      <w:r w:rsidRPr="00686C0F">
        <w:rPr>
          <w:rFonts w:ascii="Arial" w:hAnsi="Arial" w:cs="Arial"/>
        </w:rPr>
        <w:t>a</w:t>
      </w:r>
      <w:r w:rsidR="00F832AA" w:rsidRPr="00686C0F">
        <w:rPr>
          <w:rFonts w:ascii="Arial" w:hAnsi="Arial" w:cs="Arial"/>
        </w:rPr>
        <w:t xml:space="preserve"> destiny changing</w:t>
      </w:r>
      <w:r w:rsidRPr="00686C0F">
        <w:rPr>
          <w:rFonts w:ascii="Arial" w:hAnsi="Arial" w:cs="Arial"/>
        </w:rPr>
        <w:t xml:space="preserve"> written agreement in</w:t>
      </w:r>
      <w:r w:rsidR="00F832AA" w:rsidRPr="00686C0F">
        <w:rPr>
          <w:rFonts w:ascii="Arial" w:hAnsi="Arial" w:cs="Arial"/>
        </w:rPr>
        <w:t xml:space="preserve"> their respective lots. In terms of the said agreement,</w:t>
      </w:r>
      <w:r w:rsidRPr="00686C0F">
        <w:rPr>
          <w:rFonts w:ascii="Arial" w:hAnsi="Arial" w:cs="Arial"/>
        </w:rPr>
        <w:t xml:space="preserve"> the plaintiff bought 100% shares in a close corporation, </w:t>
      </w:r>
      <w:r w:rsidR="00F832AA" w:rsidRPr="00686C0F">
        <w:rPr>
          <w:rFonts w:ascii="Arial" w:hAnsi="Arial" w:cs="Arial"/>
        </w:rPr>
        <w:t xml:space="preserve">called </w:t>
      </w:r>
      <w:proofErr w:type="spellStart"/>
      <w:r w:rsidR="00ED2D22" w:rsidRPr="00686C0F">
        <w:rPr>
          <w:rFonts w:ascii="Arial" w:hAnsi="Arial" w:cs="Arial"/>
        </w:rPr>
        <w:t>Eulennest</w:t>
      </w:r>
      <w:proofErr w:type="spellEnd"/>
      <w:r w:rsidR="00ED2D22" w:rsidRPr="00686C0F">
        <w:rPr>
          <w:rFonts w:ascii="Arial" w:hAnsi="Arial" w:cs="Arial"/>
        </w:rPr>
        <w:t xml:space="preserve"> Investment CC, which owned property measuring 820 square metres in the Municipality of </w:t>
      </w:r>
      <w:proofErr w:type="spellStart"/>
      <w:r w:rsidR="00ED2D22" w:rsidRPr="00686C0F">
        <w:rPr>
          <w:rFonts w:ascii="Arial" w:hAnsi="Arial" w:cs="Arial"/>
        </w:rPr>
        <w:t>Swakopmund</w:t>
      </w:r>
      <w:proofErr w:type="spellEnd"/>
      <w:r w:rsidR="00ED2D22" w:rsidRPr="00686C0F">
        <w:rPr>
          <w:rFonts w:ascii="Arial" w:hAnsi="Arial" w:cs="Arial"/>
        </w:rPr>
        <w:t>.</w:t>
      </w:r>
    </w:p>
    <w:p w14:paraId="4E916C9F" w14:textId="77777777" w:rsidR="00ED2D22" w:rsidRPr="00686C0F" w:rsidRDefault="00ED2D22" w:rsidP="00686C0F">
      <w:pPr>
        <w:spacing w:line="360" w:lineRule="auto"/>
        <w:jc w:val="both"/>
        <w:rPr>
          <w:rFonts w:ascii="Arial" w:hAnsi="Arial" w:cs="Arial"/>
        </w:rPr>
      </w:pPr>
    </w:p>
    <w:p w14:paraId="3C00DE70" w14:textId="0EA12BAF" w:rsidR="00ED2D22" w:rsidRPr="00686C0F" w:rsidRDefault="00ED2D22" w:rsidP="00686C0F">
      <w:pPr>
        <w:spacing w:line="360" w:lineRule="auto"/>
        <w:jc w:val="both"/>
        <w:rPr>
          <w:rFonts w:ascii="Arial" w:hAnsi="Arial" w:cs="Arial"/>
        </w:rPr>
      </w:pPr>
      <w:r w:rsidRPr="00686C0F">
        <w:rPr>
          <w:rFonts w:ascii="Arial" w:hAnsi="Arial" w:cs="Arial"/>
        </w:rPr>
        <w:t>[2]</w:t>
      </w:r>
      <w:r w:rsidRPr="00686C0F">
        <w:rPr>
          <w:rFonts w:ascii="Arial" w:hAnsi="Arial" w:cs="Arial"/>
        </w:rPr>
        <w:tab/>
        <w:t>Furthermore, the plaintiff was</w:t>
      </w:r>
      <w:r w:rsidR="00F832AA" w:rsidRPr="00686C0F">
        <w:rPr>
          <w:rFonts w:ascii="Arial" w:hAnsi="Arial" w:cs="Arial"/>
        </w:rPr>
        <w:t>, in terms of the said agreement, liable</w:t>
      </w:r>
      <w:r w:rsidRPr="00686C0F">
        <w:rPr>
          <w:rFonts w:ascii="Arial" w:hAnsi="Arial" w:cs="Arial"/>
        </w:rPr>
        <w:t xml:space="preserve"> to pay an amount of N$ 400 000 for</w:t>
      </w:r>
      <w:r w:rsidR="007125E7" w:rsidRPr="00686C0F">
        <w:rPr>
          <w:rFonts w:ascii="Arial" w:hAnsi="Arial" w:cs="Arial"/>
        </w:rPr>
        <w:t xml:space="preserve"> certain furniture and inventory</w:t>
      </w:r>
      <w:r w:rsidRPr="00686C0F">
        <w:rPr>
          <w:rFonts w:ascii="Arial" w:hAnsi="Arial" w:cs="Arial"/>
        </w:rPr>
        <w:t xml:space="preserve"> </w:t>
      </w:r>
      <w:r w:rsidR="00304774">
        <w:rPr>
          <w:rFonts w:ascii="Arial" w:hAnsi="Arial" w:cs="Arial"/>
        </w:rPr>
        <w:t>sold to him by the defendants and which</w:t>
      </w:r>
      <w:r w:rsidRPr="00686C0F">
        <w:rPr>
          <w:rFonts w:ascii="Arial" w:hAnsi="Arial" w:cs="Arial"/>
        </w:rPr>
        <w:t xml:space="preserve"> was to be found on the</w:t>
      </w:r>
      <w:r w:rsidR="00304774">
        <w:rPr>
          <w:rFonts w:ascii="Arial" w:hAnsi="Arial" w:cs="Arial"/>
        </w:rPr>
        <w:t xml:space="preserve"> landed</w:t>
      </w:r>
      <w:r w:rsidRPr="00686C0F">
        <w:rPr>
          <w:rFonts w:ascii="Arial" w:hAnsi="Arial" w:cs="Arial"/>
        </w:rPr>
        <w:t xml:space="preserve"> property referred to above</w:t>
      </w:r>
      <w:r w:rsidR="007125E7" w:rsidRPr="00686C0F">
        <w:rPr>
          <w:rFonts w:ascii="Arial" w:hAnsi="Arial" w:cs="Arial"/>
        </w:rPr>
        <w:t>.</w:t>
      </w:r>
      <w:r w:rsidR="00CF36F7">
        <w:rPr>
          <w:rFonts w:ascii="Arial" w:hAnsi="Arial" w:cs="Arial"/>
        </w:rPr>
        <w:t xml:space="preserve"> There was mutual beneficiation from</w:t>
      </w:r>
      <w:r w:rsidR="003A2EE2">
        <w:rPr>
          <w:rFonts w:ascii="Arial" w:hAnsi="Arial" w:cs="Arial"/>
        </w:rPr>
        <w:t xml:space="preserve"> this agreement. The plaintiff acquired immovable property and also had furniture and an inventory in his </w:t>
      </w:r>
      <w:r w:rsidR="003A2EE2">
        <w:rPr>
          <w:rFonts w:ascii="Arial" w:hAnsi="Arial" w:cs="Arial"/>
        </w:rPr>
        <w:lastRenderedPageBreak/>
        <w:t>name. The defendants, on the other hand, received a healthy bank balance from the sale of their property, both movable and immovable.</w:t>
      </w:r>
    </w:p>
    <w:p w14:paraId="08623DE4" w14:textId="77777777" w:rsidR="00ED2D22" w:rsidRPr="00686C0F" w:rsidRDefault="00ED2D22" w:rsidP="00686C0F">
      <w:pPr>
        <w:spacing w:line="360" w:lineRule="auto"/>
        <w:jc w:val="both"/>
        <w:rPr>
          <w:rFonts w:ascii="Arial" w:hAnsi="Arial" w:cs="Arial"/>
        </w:rPr>
      </w:pPr>
    </w:p>
    <w:p w14:paraId="3BED0714" w14:textId="68ECF004" w:rsidR="00ED2D22" w:rsidRPr="00686C0F" w:rsidRDefault="00ED2D22" w:rsidP="00686C0F">
      <w:pPr>
        <w:spacing w:line="360" w:lineRule="auto"/>
        <w:jc w:val="both"/>
        <w:rPr>
          <w:rFonts w:ascii="Arial" w:hAnsi="Arial" w:cs="Arial"/>
        </w:rPr>
      </w:pPr>
      <w:r w:rsidRPr="00686C0F">
        <w:rPr>
          <w:rFonts w:ascii="Arial" w:hAnsi="Arial" w:cs="Arial"/>
        </w:rPr>
        <w:t>[3]</w:t>
      </w:r>
      <w:r w:rsidRPr="00686C0F">
        <w:rPr>
          <w:rFonts w:ascii="Arial" w:hAnsi="Arial" w:cs="Arial"/>
        </w:rPr>
        <w:tab/>
        <w:t>As some of these matters are wont to, a disagreement developed between the parties</w:t>
      </w:r>
      <w:r w:rsidR="003A2EE2">
        <w:rPr>
          <w:rFonts w:ascii="Arial" w:hAnsi="Arial" w:cs="Arial"/>
        </w:rPr>
        <w:t>, culminating in the present</w:t>
      </w:r>
      <w:r w:rsidRPr="00686C0F">
        <w:rPr>
          <w:rFonts w:ascii="Arial" w:hAnsi="Arial" w:cs="Arial"/>
        </w:rPr>
        <w:t xml:space="preserve"> suit. Chiefly, the plaintiff alleges that the defendants did not keep their part of the bargain in relation to the latter portion of the agreement, namely that they failed to deliver to him the furniture and inventory as </w:t>
      </w:r>
      <w:r w:rsidR="003A2EE2">
        <w:rPr>
          <w:rFonts w:ascii="Arial" w:hAnsi="Arial" w:cs="Arial"/>
        </w:rPr>
        <w:t xml:space="preserve">contemplated and </w:t>
      </w:r>
      <w:r w:rsidRPr="00686C0F">
        <w:rPr>
          <w:rFonts w:ascii="Arial" w:hAnsi="Arial" w:cs="Arial"/>
        </w:rPr>
        <w:t xml:space="preserve">recorded in the written agreement. </w:t>
      </w:r>
    </w:p>
    <w:p w14:paraId="0F356D66" w14:textId="77777777" w:rsidR="00ED2D22" w:rsidRPr="00686C0F" w:rsidRDefault="00ED2D22" w:rsidP="00686C0F">
      <w:pPr>
        <w:spacing w:line="360" w:lineRule="auto"/>
        <w:jc w:val="both"/>
        <w:rPr>
          <w:rFonts w:ascii="Arial" w:hAnsi="Arial" w:cs="Arial"/>
        </w:rPr>
      </w:pPr>
    </w:p>
    <w:p w14:paraId="0FB2A173" w14:textId="56E28EC7" w:rsidR="00ED2D22" w:rsidRDefault="00F832AA" w:rsidP="00686C0F">
      <w:pPr>
        <w:spacing w:line="360" w:lineRule="auto"/>
        <w:jc w:val="both"/>
        <w:rPr>
          <w:rFonts w:ascii="Arial" w:hAnsi="Arial" w:cs="Arial"/>
        </w:rPr>
      </w:pPr>
      <w:r w:rsidRPr="00686C0F">
        <w:rPr>
          <w:rFonts w:ascii="Arial" w:hAnsi="Arial" w:cs="Arial"/>
        </w:rPr>
        <w:t>[4</w:t>
      </w:r>
      <w:r w:rsidR="00ED2D22" w:rsidRPr="00686C0F">
        <w:rPr>
          <w:rFonts w:ascii="Arial" w:hAnsi="Arial" w:cs="Arial"/>
        </w:rPr>
        <w:t>]</w:t>
      </w:r>
      <w:r w:rsidR="00ED2D22" w:rsidRPr="00686C0F">
        <w:rPr>
          <w:rFonts w:ascii="Arial" w:hAnsi="Arial" w:cs="Arial"/>
        </w:rPr>
        <w:tab/>
        <w:t>I</w:t>
      </w:r>
      <w:r w:rsidR="00304774">
        <w:rPr>
          <w:rFonts w:ascii="Arial" w:hAnsi="Arial" w:cs="Arial"/>
        </w:rPr>
        <w:t>n consequence, the plaintiff</w:t>
      </w:r>
      <w:r w:rsidR="00ED2D22" w:rsidRPr="00686C0F">
        <w:rPr>
          <w:rFonts w:ascii="Arial" w:hAnsi="Arial" w:cs="Arial"/>
        </w:rPr>
        <w:t xml:space="preserve"> approached this court seeking alternative claims as follows: </w:t>
      </w:r>
    </w:p>
    <w:p w14:paraId="64C0CB60" w14:textId="77777777" w:rsidR="003A2EE2" w:rsidRPr="00686C0F" w:rsidRDefault="003A2EE2" w:rsidP="00686C0F">
      <w:pPr>
        <w:spacing w:line="360" w:lineRule="auto"/>
        <w:jc w:val="both"/>
        <w:rPr>
          <w:rFonts w:ascii="Arial" w:hAnsi="Arial" w:cs="Arial"/>
        </w:rPr>
      </w:pPr>
    </w:p>
    <w:p w14:paraId="1221639B" w14:textId="77777777" w:rsidR="001A7C0E" w:rsidRDefault="00F832AA" w:rsidP="003A2EE2">
      <w:pPr>
        <w:pStyle w:val="ListParagraph"/>
        <w:numPr>
          <w:ilvl w:val="0"/>
          <w:numId w:val="5"/>
        </w:numPr>
        <w:spacing w:line="360" w:lineRule="auto"/>
        <w:ind w:left="360"/>
        <w:jc w:val="both"/>
        <w:rPr>
          <w:rFonts w:ascii="Arial" w:hAnsi="Arial" w:cs="Arial"/>
        </w:rPr>
      </w:pPr>
      <w:proofErr w:type="gramStart"/>
      <w:r w:rsidRPr="001A7C0E">
        <w:rPr>
          <w:rFonts w:ascii="Arial" w:hAnsi="Arial" w:cs="Arial"/>
        </w:rPr>
        <w:t>a</w:t>
      </w:r>
      <w:proofErr w:type="gramEnd"/>
      <w:r w:rsidRPr="001A7C0E">
        <w:rPr>
          <w:rFonts w:ascii="Arial" w:hAnsi="Arial" w:cs="Arial"/>
        </w:rPr>
        <w:t xml:space="preserve"> claim based on the defendants’ alleged repudiation of the agreement in question. This was particularly in relation to the furniture and inventory, as the plaintiff claims that he cancelled the divisible portion of the said agreement, tendered the return of the furniture against the repayment by the defendants of the amount of N$ 400 000 paid to the defendants by the plaintiff;</w:t>
      </w:r>
    </w:p>
    <w:p w14:paraId="17BE14B2" w14:textId="77777777" w:rsidR="003166AB" w:rsidRDefault="003166AB" w:rsidP="003166AB">
      <w:pPr>
        <w:pStyle w:val="ListParagraph"/>
        <w:spacing w:line="360" w:lineRule="auto"/>
        <w:ind w:left="360"/>
        <w:jc w:val="both"/>
        <w:rPr>
          <w:rFonts w:ascii="Arial" w:hAnsi="Arial" w:cs="Arial"/>
        </w:rPr>
      </w:pPr>
    </w:p>
    <w:p w14:paraId="504C12A8" w14:textId="77777777" w:rsidR="001A7C0E" w:rsidRDefault="00F832AA" w:rsidP="001A7C0E">
      <w:pPr>
        <w:pStyle w:val="ListParagraph"/>
        <w:numPr>
          <w:ilvl w:val="0"/>
          <w:numId w:val="5"/>
        </w:numPr>
        <w:spacing w:line="360" w:lineRule="auto"/>
        <w:ind w:left="360"/>
        <w:jc w:val="both"/>
        <w:rPr>
          <w:rFonts w:ascii="Arial" w:hAnsi="Arial" w:cs="Arial"/>
        </w:rPr>
      </w:pPr>
      <w:r w:rsidRPr="001A7C0E">
        <w:rPr>
          <w:rFonts w:ascii="Arial" w:hAnsi="Arial" w:cs="Arial"/>
        </w:rPr>
        <w:t xml:space="preserve">a claim based on the defendants’ alleged material breach of the contract relating to the sale and purchase of the furniture and inventory which breach resulted in the plaintiff cancelling the divisible portion of the agreement </w:t>
      </w:r>
      <w:r w:rsidR="00912277" w:rsidRPr="001A7C0E">
        <w:rPr>
          <w:rFonts w:ascii="Arial" w:hAnsi="Arial" w:cs="Arial"/>
        </w:rPr>
        <w:t>and tendered</w:t>
      </w:r>
      <w:r w:rsidRPr="001A7C0E">
        <w:rPr>
          <w:rFonts w:ascii="Arial" w:hAnsi="Arial" w:cs="Arial"/>
        </w:rPr>
        <w:t xml:space="preserve"> a return of the furniture and inventory against the repayment of the amount of N$ 400 000, which is claimed against the defendants;</w:t>
      </w:r>
    </w:p>
    <w:p w14:paraId="722C9BF8" w14:textId="77777777" w:rsidR="003166AB" w:rsidRDefault="003166AB" w:rsidP="003166AB">
      <w:pPr>
        <w:pStyle w:val="ListParagraph"/>
        <w:spacing w:line="360" w:lineRule="auto"/>
        <w:ind w:left="360"/>
        <w:jc w:val="both"/>
        <w:rPr>
          <w:rFonts w:ascii="Arial" w:hAnsi="Arial" w:cs="Arial"/>
        </w:rPr>
      </w:pPr>
    </w:p>
    <w:p w14:paraId="237927E5" w14:textId="77777777" w:rsidR="003166AB" w:rsidRDefault="00F832AA" w:rsidP="003166AB">
      <w:pPr>
        <w:pStyle w:val="ListParagraph"/>
        <w:numPr>
          <w:ilvl w:val="0"/>
          <w:numId w:val="5"/>
        </w:numPr>
        <w:spacing w:line="360" w:lineRule="auto"/>
        <w:ind w:left="360"/>
        <w:jc w:val="both"/>
        <w:rPr>
          <w:rFonts w:ascii="Arial" w:hAnsi="Arial" w:cs="Arial"/>
        </w:rPr>
      </w:pPr>
      <w:r w:rsidRPr="001A7C0E">
        <w:rPr>
          <w:rFonts w:ascii="Arial" w:hAnsi="Arial" w:cs="Arial"/>
        </w:rPr>
        <w:t>an alternative claim based on certain misrepresentations allegedly made by the defendants to the plaintiff and which allegedly induced the latter to purchase the furniture and inventory, in respect of which the defendant cancelled the divisible portion of the agreement, tenders the return of the furniture and inventory against repayment of the amount of N$ 400 000 he paid to the defendants; and</w:t>
      </w:r>
    </w:p>
    <w:p w14:paraId="26F0EB22" w14:textId="77777777" w:rsidR="003166AB" w:rsidRDefault="003166AB" w:rsidP="003166AB">
      <w:pPr>
        <w:pStyle w:val="ListParagraph"/>
        <w:spacing w:line="360" w:lineRule="auto"/>
        <w:ind w:left="360"/>
        <w:jc w:val="both"/>
        <w:rPr>
          <w:rFonts w:ascii="Arial" w:hAnsi="Arial" w:cs="Arial"/>
        </w:rPr>
      </w:pPr>
    </w:p>
    <w:p w14:paraId="4F4D7B16" w14:textId="3D0584A2" w:rsidR="00F832AA" w:rsidRPr="003166AB" w:rsidRDefault="00F832AA" w:rsidP="003166AB">
      <w:pPr>
        <w:pStyle w:val="ListParagraph"/>
        <w:numPr>
          <w:ilvl w:val="0"/>
          <w:numId w:val="5"/>
        </w:numPr>
        <w:spacing w:line="360" w:lineRule="auto"/>
        <w:ind w:left="360"/>
        <w:jc w:val="both"/>
        <w:rPr>
          <w:rFonts w:ascii="Arial" w:hAnsi="Arial" w:cs="Arial"/>
        </w:rPr>
      </w:pPr>
      <w:proofErr w:type="gramStart"/>
      <w:r w:rsidRPr="003166AB">
        <w:rPr>
          <w:rFonts w:ascii="Arial" w:hAnsi="Arial" w:cs="Arial"/>
        </w:rPr>
        <w:t>a</w:t>
      </w:r>
      <w:proofErr w:type="gramEnd"/>
      <w:r w:rsidRPr="003166AB">
        <w:rPr>
          <w:rFonts w:ascii="Arial" w:hAnsi="Arial" w:cs="Arial"/>
        </w:rPr>
        <w:t xml:space="preserve"> claim allegedly based on unjust enrichment, in respect of which the plaintiff claims payment of the amount of N$ 379, 170.</w:t>
      </w:r>
    </w:p>
    <w:p w14:paraId="6A77D055" w14:textId="77777777" w:rsidR="00A57A1A" w:rsidRPr="00686C0F" w:rsidRDefault="00A57A1A" w:rsidP="00686C0F">
      <w:pPr>
        <w:spacing w:line="360" w:lineRule="auto"/>
        <w:jc w:val="both"/>
        <w:rPr>
          <w:rFonts w:ascii="Arial" w:hAnsi="Arial" w:cs="Arial"/>
        </w:rPr>
      </w:pPr>
    </w:p>
    <w:p w14:paraId="017617AD" w14:textId="4716E1BB" w:rsidR="00A57A1A" w:rsidRDefault="00A57A1A" w:rsidP="00686C0F">
      <w:pPr>
        <w:spacing w:line="360" w:lineRule="auto"/>
        <w:jc w:val="both"/>
        <w:rPr>
          <w:rFonts w:ascii="Arial" w:hAnsi="Arial" w:cs="Arial"/>
        </w:rPr>
      </w:pPr>
      <w:r w:rsidRPr="00686C0F">
        <w:rPr>
          <w:rFonts w:ascii="Arial" w:hAnsi="Arial" w:cs="Arial"/>
        </w:rPr>
        <w:t>[5]</w:t>
      </w:r>
      <w:r w:rsidRPr="00686C0F">
        <w:rPr>
          <w:rFonts w:ascii="Arial" w:hAnsi="Arial" w:cs="Arial"/>
        </w:rPr>
        <w:tab/>
        <w:t xml:space="preserve">Needless to say, the defendants denied </w:t>
      </w:r>
      <w:r w:rsidR="003A2EE2">
        <w:rPr>
          <w:rFonts w:ascii="Arial" w:hAnsi="Arial" w:cs="Arial"/>
        </w:rPr>
        <w:t xml:space="preserve">any </w:t>
      </w:r>
      <w:r w:rsidRPr="00686C0F">
        <w:rPr>
          <w:rFonts w:ascii="Arial" w:hAnsi="Arial" w:cs="Arial"/>
        </w:rPr>
        <w:t>liability for the main and alternative claims set out above and in this regard raised certain defences that it may not be necessary to set out at this particular juncture. In essence, the defendants moved the court to dismiss the plaintiff’s claim with costs as an unmeritorious claim.</w:t>
      </w:r>
      <w:r w:rsidR="00DE4FD5">
        <w:rPr>
          <w:rFonts w:ascii="Arial" w:hAnsi="Arial" w:cs="Arial"/>
        </w:rPr>
        <w:t xml:space="preserve"> I will, for purposes of consistency in this judgment, refer to the plaintiff as such and to the 1</w:t>
      </w:r>
      <w:r w:rsidR="00DE4FD5" w:rsidRPr="00DE4FD5">
        <w:rPr>
          <w:rFonts w:ascii="Arial" w:hAnsi="Arial" w:cs="Arial"/>
          <w:vertAlign w:val="superscript"/>
        </w:rPr>
        <w:t>st</w:t>
      </w:r>
      <w:r w:rsidR="00DE4FD5">
        <w:rPr>
          <w:rFonts w:ascii="Arial" w:hAnsi="Arial" w:cs="Arial"/>
        </w:rPr>
        <w:t xml:space="preserve"> defendant as such or merely as ‘the defendant’. I will refer to both defendants as ‘the defendants’.</w:t>
      </w:r>
    </w:p>
    <w:p w14:paraId="4C8C3D1D" w14:textId="77777777" w:rsidR="00304774" w:rsidRPr="00686C0F" w:rsidRDefault="00304774" w:rsidP="00686C0F">
      <w:pPr>
        <w:spacing w:line="360" w:lineRule="auto"/>
        <w:jc w:val="both"/>
        <w:rPr>
          <w:rFonts w:ascii="Arial" w:hAnsi="Arial" w:cs="Arial"/>
        </w:rPr>
      </w:pPr>
    </w:p>
    <w:p w14:paraId="2A76FF99" w14:textId="77777777" w:rsidR="00A57A1A" w:rsidRPr="00686C0F" w:rsidRDefault="00A57A1A" w:rsidP="00686C0F">
      <w:pPr>
        <w:spacing w:line="360" w:lineRule="auto"/>
        <w:jc w:val="both"/>
        <w:rPr>
          <w:rFonts w:ascii="Arial" w:hAnsi="Arial" w:cs="Arial"/>
          <w:u w:val="single"/>
        </w:rPr>
      </w:pPr>
      <w:r w:rsidRPr="00686C0F">
        <w:rPr>
          <w:rFonts w:ascii="Arial" w:hAnsi="Arial" w:cs="Arial"/>
          <w:u w:val="single"/>
        </w:rPr>
        <w:t>The pre-trial order</w:t>
      </w:r>
    </w:p>
    <w:p w14:paraId="32384974" w14:textId="77777777" w:rsidR="00A57A1A" w:rsidRPr="00686C0F" w:rsidRDefault="00A57A1A" w:rsidP="00686C0F">
      <w:pPr>
        <w:spacing w:line="360" w:lineRule="auto"/>
        <w:jc w:val="both"/>
        <w:rPr>
          <w:rFonts w:ascii="Arial" w:hAnsi="Arial" w:cs="Arial"/>
          <w:u w:val="single"/>
        </w:rPr>
      </w:pPr>
    </w:p>
    <w:p w14:paraId="3466C750" w14:textId="1FB2D099" w:rsidR="00A57A1A" w:rsidRPr="00686C0F" w:rsidRDefault="00A57A1A" w:rsidP="00686C0F">
      <w:pPr>
        <w:spacing w:line="360" w:lineRule="auto"/>
        <w:jc w:val="both"/>
        <w:rPr>
          <w:rFonts w:ascii="Arial" w:hAnsi="Arial" w:cs="Arial"/>
        </w:rPr>
      </w:pPr>
      <w:r w:rsidRPr="00686C0F">
        <w:rPr>
          <w:rFonts w:ascii="Arial" w:hAnsi="Arial" w:cs="Arial"/>
        </w:rPr>
        <w:t>[6]</w:t>
      </w:r>
      <w:r w:rsidRPr="00686C0F">
        <w:rPr>
          <w:rFonts w:ascii="Arial" w:hAnsi="Arial" w:cs="Arial"/>
        </w:rPr>
        <w:tab/>
        <w:t xml:space="preserve">The parties submitted a pre-trial report dated </w:t>
      </w:r>
      <w:r w:rsidR="00DF2868" w:rsidRPr="00686C0F">
        <w:rPr>
          <w:rFonts w:ascii="Arial" w:hAnsi="Arial" w:cs="Arial"/>
        </w:rPr>
        <w:t>1 April 2016, which was, on 20 April 2016</w:t>
      </w:r>
      <w:r w:rsidR="00DF1ED8">
        <w:rPr>
          <w:rFonts w:ascii="Arial" w:hAnsi="Arial" w:cs="Arial"/>
        </w:rPr>
        <w:t>,</w:t>
      </w:r>
      <w:r w:rsidR="00DF2868" w:rsidRPr="00686C0F">
        <w:rPr>
          <w:rFonts w:ascii="Arial" w:hAnsi="Arial" w:cs="Arial"/>
        </w:rPr>
        <w:t xml:space="preserve"> adopted an</w:t>
      </w:r>
      <w:r w:rsidR="00DF1ED8">
        <w:rPr>
          <w:rFonts w:ascii="Arial" w:hAnsi="Arial" w:cs="Arial"/>
        </w:rPr>
        <w:t>d</w:t>
      </w:r>
      <w:r w:rsidR="00DF2868" w:rsidRPr="00686C0F">
        <w:rPr>
          <w:rFonts w:ascii="Arial" w:hAnsi="Arial" w:cs="Arial"/>
        </w:rPr>
        <w:t xml:space="preserve"> made an order of court without any variations or amendments. I do not intend to reproduce the entire docu</w:t>
      </w:r>
      <w:r w:rsidR="00DF1ED8">
        <w:rPr>
          <w:rFonts w:ascii="Arial" w:hAnsi="Arial" w:cs="Arial"/>
        </w:rPr>
        <w:t>ment</w:t>
      </w:r>
      <w:r w:rsidR="00DF2868" w:rsidRPr="00686C0F">
        <w:rPr>
          <w:rFonts w:ascii="Arial" w:hAnsi="Arial" w:cs="Arial"/>
        </w:rPr>
        <w:t>, which is long and quite exhaustive of the issues the parties wished to submit to the court for determination. I will confine myself to a few areas that I consider germane to the present enquiry.</w:t>
      </w:r>
    </w:p>
    <w:p w14:paraId="65F913ED" w14:textId="77777777" w:rsidR="00DF2868" w:rsidRPr="00686C0F" w:rsidRDefault="00DF2868" w:rsidP="00686C0F">
      <w:pPr>
        <w:spacing w:line="360" w:lineRule="auto"/>
        <w:jc w:val="both"/>
        <w:rPr>
          <w:rFonts w:ascii="Arial" w:hAnsi="Arial" w:cs="Arial"/>
        </w:rPr>
      </w:pPr>
    </w:p>
    <w:p w14:paraId="1F7E54B6" w14:textId="42B1AAEE" w:rsidR="00DF2868" w:rsidRDefault="00DF2868" w:rsidP="00686C0F">
      <w:pPr>
        <w:spacing w:line="360" w:lineRule="auto"/>
        <w:jc w:val="both"/>
        <w:rPr>
          <w:rFonts w:ascii="Arial" w:hAnsi="Arial" w:cs="Arial"/>
        </w:rPr>
      </w:pPr>
      <w:r w:rsidRPr="00686C0F">
        <w:rPr>
          <w:rFonts w:ascii="Arial" w:hAnsi="Arial" w:cs="Arial"/>
        </w:rPr>
        <w:t>[7]</w:t>
      </w:r>
      <w:r w:rsidRPr="00686C0F">
        <w:rPr>
          <w:rFonts w:ascii="Arial" w:hAnsi="Arial" w:cs="Arial"/>
        </w:rPr>
        <w:tab/>
        <w:t xml:space="preserve">In regard to the issues of fact to be resolved, the parties identified </w:t>
      </w:r>
      <w:r w:rsidR="002D0E4C" w:rsidRPr="00686C0F">
        <w:rPr>
          <w:rFonts w:ascii="Arial" w:hAnsi="Arial" w:cs="Arial"/>
        </w:rPr>
        <w:t xml:space="preserve">a plethora of issues. I will, for purposes of this judgment, highlight some of the important issues and I do so below: </w:t>
      </w:r>
    </w:p>
    <w:p w14:paraId="1C33780D" w14:textId="77777777" w:rsidR="00FC533D" w:rsidRPr="00686C0F" w:rsidRDefault="00FC533D" w:rsidP="00686C0F">
      <w:pPr>
        <w:spacing w:line="360" w:lineRule="auto"/>
        <w:jc w:val="both"/>
        <w:rPr>
          <w:rFonts w:ascii="Arial" w:hAnsi="Arial" w:cs="Arial"/>
        </w:rPr>
      </w:pPr>
    </w:p>
    <w:p w14:paraId="4C849199" w14:textId="1F933AEC" w:rsidR="00DF2868" w:rsidRPr="00686C0F" w:rsidRDefault="00DF2868" w:rsidP="00686C0F">
      <w:pPr>
        <w:spacing w:line="360" w:lineRule="auto"/>
        <w:jc w:val="both"/>
        <w:rPr>
          <w:rFonts w:ascii="Arial" w:hAnsi="Arial" w:cs="Arial"/>
        </w:rPr>
      </w:pPr>
      <w:r w:rsidRPr="00686C0F">
        <w:rPr>
          <w:rFonts w:ascii="Arial" w:hAnsi="Arial" w:cs="Arial"/>
        </w:rPr>
        <w:t xml:space="preserve">(a) </w:t>
      </w:r>
      <w:r w:rsidR="00686C0F">
        <w:rPr>
          <w:rFonts w:ascii="Arial" w:hAnsi="Arial" w:cs="Arial"/>
        </w:rPr>
        <w:tab/>
      </w:r>
      <w:proofErr w:type="gramStart"/>
      <w:r w:rsidRPr="00686C0F">
        <w:rPr>
          <w:rFonts w:ascii="Arial" w:hAnsi="Arial" w:cs="Arial"/>
        </w:rPr>
        <w:t>what</w:t>
      </w:r>
      <w:proofErr w:type="gramEnd"/>
      <w:r w:rsidRPr="00686C0F">
        <w:rPr>
          <w:rFonts w:ascii="Arial" w:hAnsi="Arial" w:cs="Arial"/>
        </w:rPr>
        <w:t xml:space="preserve"> furniture and inventory was sold to the plaintiff by the defendants;</w:t>
      </w:r>
    </w:p>
    <w:p w14:paraId="14D27F5D" w14:textId="6E4835C9" w:rsidR="00DF2868" w:rsidRPr="00686C0F" w:rsidRDefault="00CD51B8" w:rsidP="00686C0F">
      <w:pPr>
        <w:spacing w:line="360" w:lineRule="auto"/>
        <w:ind w:left="720" w:hanging="720"/>
        <w:jc w:val="both"/>
        <w:rPr>
          <w:rFonts w:ascii="Arial" w:hAnsi="Arial" w:cs="Arial"/>
        </w:rPr>
      </w:pPr>
      <w:r w:rsidRPr="00686C0F">
        <w:rPr>
          <w:rFonts w:ascii="Arial" w:hAnsi="Arial" w:cs="Arial"/>
        </w:rPr>
        <w:t xml:space="preserve">(b) </w:t>
      </w:r>
      <w:r w:rsidR="00686C0F">
        <w:rPr>
          <w:rFonts w:ascii="Arial" w:hAnsi="Arial" w:cs="Arial"/>
        </w:rPr>
        <w:tab/>
      </w:r>
      <w:proofErr w:type="gramStart"/>
      <w:r w:rsidRPr="00686C0F">
        <w:rPr>
          <w:rFonts w:ascii="Arial" w:hAnsi="Arial" w:cs="Arial"/>
        </w:rPr>
        <w:t>whose</w:t>
      </w:r>
      <w:proofErr w:type="gramEnd"/>
      <w:r w:rsidR="00DF2868" w:rsidRPr="00686C0F">
        <w:rPr>
          <w:rFonts w:ascii="Arial" w:hAnsi="Arial" w:cs="Arial"/>
        </w:rPr>
        <w:t xml:space="preserve"> responsibility it was to draw the list of the furniture and inventory</w:t>
      </w:r>
      <w:r w:rsidRPr="00686C0F">
        <w:rPr>
          <w:rFonts w:ascii="Arial" w:hAnsi="Arial" w:cs="Arial"/>
        </w:rPr>
        <w:t xml:space="preserve"> as a separate annexure to the agreement;</w:t>
      </w:r>
      <w:r w:rsidR="00DF2868" w:rsidRPr="00686C0F">
        <w:rPr>
          <w:rFonts w:ascii="Arial" w:hAnsi="Arial" w:cs="Arial"/>
        </w:rPr>
        <w:t xml:space="preserve">  </w:t>
      </w:r>
    </w:p>
    <w:p w14:paraId="6A6CD206" w14:textId="63445235" w:rsidR="00CD51B8" w:rsidRPr="00686C0F" w:rsidRDefault="00CD51B8" w:rsidP="00686C0F">
      <w:pPr>
        <w:spacing w:line="360" w:lineRule="auto"/>
        <w:ind w:left="720" w:hanging="720"/>
        <w:jc w:val="both"/>
        <w:rPr>
          <w:rFonts w:ascii="Arial" w:hAnsi="Arial" w:cs="Arial"/>
        </w:rPr>
      </w:pPr>
      <w:r w:rsidRPr="00686C0F">
        <w:rPr>
          <w:rFonts w:ascii="Arial" w:hAnsi="Arial" w:cs="Arial"/>
        </w:rPr>
        <w:t>(c)</w:t>
      </w:r>
      <w:r w:rsidR="00686C0F">
        <w:rPr>
          <w:rFonts w:ascii="Arial" w:hAnsi="Arial" w:cs="Arial"/>
        </w:rPr>
        <w:tab/>
      </w:r>
      <w:r w:rsidRPr="00686C0F">
        <w:rPr>
          <w:rFonts w:ascii="Arial" w:hAnsi="Arial" w:cs="Arial"/>
        </w:rPr>
        <w:t xml:space="preserve"> whether the defendants sold to plaintiff the property in question relying on the representations, warranties and undertakings and indemnities given by the defendants and the plaintiff purchased the property free of all liens, charges and encumbrances, the subject matter, and the furniture and inventory; </w:t>
      </w:r>
    </w:p>
    <w:p w14:paraId="6BC215B5" w14:textId="4F12B490" w:rsidR="00CD51B8" w:rsidRPr="00686C0F" w:rsidRDefault="00CD51B8" w:rsidP="00686C0F">
      <w:pPr>
        <w:spacing w:line="360" w:lineRule="auto"/>
        <w:ind w:left="720" w:hanging="720"/>
        <w:jc w:val="both"/>
        <w:rPr>
          <w:rFonts w:ascii="Arial" w:hAnsi="Arial" w:cs="Arial"/>
        </w:rPr>
      </w:pPr>
      <w:r w:rsidRPr="00686C0F">
        <w:rPr>
          <w:rFonts w:ascii="Arial" w:hAnsi="Arial" w:cs="Arial"/>
        </w:rPr>
        <w:t xml:space="preserve">(d) </w:t>
      </w:r>
      <w:r w:rsidR="00686C0F">
        <w:rPr>
          <w:rFonts w:ascii="Arial" w:hAnsi="Arial" w:cs="Arial"/>
        </w:rPr>
        <w:tab/>
      </w:r>
      <w:proofErr w:type="gramStart"/>
      <w:r w:rsidRPr="00686C0F">
        <w:rPr>
          <w:rFonts w:ascii="Arial" w:hAnsi="Arial" w:cs="Arial"/>
        </w:rPr>
        <w:t>whether</w:t>
      </w:r>
      <w:proofErr w:type="gramEnd"/>
      <w:r w:rsidRPr="00686C0F">
        <w:rPr>
          <w:rFonts w:ascii="Arial" w:hAnsi="Arial" w:cs="Arial"/>
        </w:rPr>
        <w:t xml:space="preserve"> the sale and purchase of the interest and claims are indivisible from the sale and purchase of the furniture and inventory;</w:t>
      </w:r>
    </w:p>
    <w:p w14:paraId="0FC79F51" w14:textId="1BA5D514" w:rsidR="00CD51B8" w:rsidRPr="00686C0F" w:rsidRDefault="00CD51B8" w:rsidP="00686C0F">
      <w:pPr>
        <w:spacing w:line="360" w:lineRule="auto"/>
        <w:ind w:left="720" w:hanging="720"/>
        <w:jc w:val="both"/>
        <w:rPr>
          <w:rFonts w:ascii="Arial" w:hAnsi="Arial" w:cs="Arial"/>
        </w:rPr>
      </w:pPr>
      <w:r w:rsidRPr="00686C0F">
        <w:rPr>
          <w:rFonts w:ascii="Arial" w:hAnsi="Arial" w:cs="Arial"/>
        </w:rPr>
        <w:lastRenderedPageBreak/>
        <w:t xml:space="preserve">(e) </w:t>
      </w:r>
      <w:r w:rsidR="00686C0F">
        <w:rPr>
          <w:rFonts w:ascii="Arial" w:hAnsi="Arial" w:cs="Arial"/>
        </w:rPr>
        <w:tab/>
      </w:r>
      <w:r w:rsidRPr="00686C0F">
        <w:rPr>
          <w:rFonts w:ascii="Arial" w:hAnsi="Arial" w:cs="Arial"/>
        </w:rPr>
        <w:t>whether the only furniture and inventory the defendants left at the premises constituted only of a dirty carpet, a dining table, six chairs, a double bed mattress and side tables, two pine beds and a side cabinet;</w:t>
      </w:r>
    </w:p>
    <w:p w14:paraId="7837A2E4" w14:textId="43EC0ECC" w:rsidR="00CD51B8" w:rsidRPr="00686C0F" w:rsidRDefault="00CD51B8" w:rsidP="00686C0F">
      <w:pPr>
        <w:spacing w:line="360" w:lineRule="auto"/>
        <w:ind w:left="720" w:hanging="720"/>
        <w:jc w:val="both"/>
        <w:rPr>
          <w:rFonts w:ascii="Arial" w:hAnsi="Arial" w:cs="Arial"/>
        </w:rPr>
      </w:pPr>
      <w:r w:rsidRPr="00686C0F">
        <w:rPr>
          <w:rFonts w:ascii="Arial" w:hAnsi="Arial" w:cs="Arial"/>
        </w:rPr>
        <w:t>(f)</w:t>
      </w:r>
      <w:r w:rsidR="00686C0F">
        <w:rPr>
          <w:rFonts w:ascii="Arial" w:hAnsi="Arial" w:cs="Arial"/>
        </w:rPr>
        <w:tab/>
      </w:r>
      <w:r w:rsidRPr="00686C0F">
        <w:rPr>
          <w:rFonts w:ascii="Arial" w:hAnsi="Arial" w:cs="Arial"/>
        </w:rPr>
        <w:t xml:space="preserve"> </w:t>
      </w:r>
      <w:proofErr w:type="gramStart"/>
      <w:r w:rsidRPr="00686C0F">
        <w:rPr>
          <w:rFonts w:ascii="Arial" w:hAnsi="Arial" w:cs="Arial"/>
        </w:rPr>
        <w:t>whether</w:t>
      </w:r>
      <w:proofErr w:type="gramEnd"/>
      <w:r w:rsidRPr="00686C0F">
        <w:rPr>
          <w:rFonts w:ascii="Arial" w:hAnsi="Arial" w:cs="Arial"/>
        </w:rPr>
        <w:t xml:space="preserve"> the furniture and inventory delivered had a value of N$ 16 180;</w:t>
      </w:r>
    </w:p>
    <w:p w14:paraId="0970F513" w14:textId="52007A3B" w:rsidR="00CD51B8" w:rsidRPr="00686C0F" w:rsidRDefault="00CD51B8" w:rsidP="00686C0F">
      <w:pPr>
        <w:spacing w:line="360" w:lineRule="auto"/>
        <w:ind w:left="720" w:hanging="720"/>
        <w:jc w:val="both"/>
        <w:rPr>
          <w:rFonts w:ascii="Arial" w:hAnsi="Arial" w:cs="Arial"/>
        </w:rPr>
      </w:pPr>
      <w:r w:rsidRPr="00686C0F">
        <w:rPr>
          <w:rFonts w:ascii="Arial" w:hAnsi="Arial" w:cs="Arial"/>
        </w:rPr>
        <w:t>(g)</w:t>
      </w:r>
      <w:r w:rsidR="00686C0F">
        <w:rPr>
          <w:rFonts w:ascii="Arial" w:hAnsi="Arial" w:cs="Arial"/>
        </w:rPr>
        <w:tab/>
      </w:r>
      <w:r w:rsidRPr="00686C0F">
        <w:rPr>
          <w:rFonts w:ascii="Arial" w:hAnsi="Arial" w:cs="Arial"/>
        </w:rPr>
        <w:t xml:space="preserve"> </w:t>
      </w:r>
      <w:proofErr w:type="gramStart"/>
      <w:r w:rsidRPr="00686C0F">
        <w:rPr>
          <w:rFonts w:ascii="Arial" w:hAnsi="Arial" w:cs="Arial"/>
        </w:rPr>
        <w:t>whether</w:t>
      </w:r>
      <w:proofErr w:type="gramEnd"/>
      <w:r w:rsidRPr="00686C0F">
        <w:rPr>
          <w:rFonts w:ascii="Arial" w:hAnsi="Arial" w:cs="Arial"/>
        </w:rPr>
        <w:t xml:space="preserve"> the defendants’ conduct mentioned above constituted an unlawful repudiation of the divisible portion of the agreement;</w:t>
      </w:r>
    </w:p>
    <w:p w14:paraId="0AB5E7A7" w14:textId="775E0644" w:rsidR="002D0E4C" w:rsidRPr="00686C0F" w:rsidRDefault="00CD51B8" w:rsidP="00686C0F">
      <w:pPr>
        <w:spacing w:line="360" w:lineRule="auto"/>
        <w:ind w:left="720" w:hanging="720"/>
        <w:jc w:val="both"/>
        <w:rPr>
          <w:rFonts w:ascii="Arial" w:hAnsi="Arial" w:cs="Arial"/>
        </w:rPr>
      </w:pPr>
      <w:r w:rsidRPr="00686C0F">
        <w:rPr>
          <w:rFonts w:ascii="Arial" w:hAnsi="Arial" w:cs="Arial"/>
        </w:rPr>
        <w:t xml:space="preserve">(h) </w:t>
      </w:r>
      <w:r w:rsidR="00686C0F">
        <w:rPr>
          <w:rFonts w:ascii="Arial" w:hAnsi="Arial" w:cs="Arial"/>
        </w:rPr>
        <w:tab/>
      </w:r>
      <w:proofErr w:type="gramStart"/>
      <w:r w:rsidRPr="00686C0F">
        <w:rPr>
          <w:rFonts w:ascii="Arial" w:hAnsi="Arial" w:cs="Arial"/>
        </w:rPr>
        <w:t>whether</w:t>
      </w:r>
      <w:proofErr w:type="gramEnd"/>
      <w:r w:rsidRPr="00686C0F">
        <w:rPr>
          <w:rFonts w:ascii="Arial" w:hAnsi="Arial" w:cs="Arial"/>
        </w:rPr>
        <w:t xml:space="preserve"> the plaintiff had the right to cancel the divisible portion of the agreement relating to the sale</w:t>
      </w:r>
      <w:r w:rsidR="002D0E4C" w:rsidRPr="00686C0F">
        <w:rPr>
          <w:rFonts w:ascii="Arial" w:hAnsi="Arial" w:cs="Arial"/>
        </w:rPr>
        <w:t xml:space="preserve"> of the furniture and inventory;</w:t>
      </w:r>
    </w:p>
    <w:p w14:paraId="4D769146" w14:textId="6D2360ED" w:rsidR="00CD51B8" w:rsidRPr="00686C0F" w:rsidRDefault="002D0E4C" w:rsidP="00686C0F">
      <w:pPr>
        <w:spacing w:line="360" w:lineRule="auto"/>
        <w:ind w:left="720" w:hanging="720"/>
        <w:jc w:val="both"/>
        <w:rPr>
          <w:rFonts w:ascii="Arial" w:hAnsi="Arial" w:cs="Arial"/>
        </w:rPr>
      </w:pPr>
      <w:r w:rsidRPr="00686C0F">
        <w:rPr>
          <w:rFonts w:ascii="Arial" w:hAnsi="Arial" w:cs="Arial"/>
        </w:rPr>
        <w:t>(</w:t>
      </w:r>
      <w:proofErr w:type="spellStart"/>
      <w:r w:rsidRPr="00686C0F">
        <w:rPr>
          <w:rFonts w:ascii="Arial" w:hAnsi="Arial" w:cs="Arial"/>
        </w:rPr>
        <w:t>i</w:t>
      </w:r>
      <w:proofErr w:type="spellEnd"/>
      <w:r w:rsidRPr="00686C0F">
        <w:rPr>
          <w:rFonts w:ascii="Arial" w:hAnsi="Arial" w:cs="Arial"/>
        </w:rPr>
        <w:t xml:space="preserve">) </w:t>
      </w:r>
      <w:r w:rsidR="00686C0F">
        <w:rPr>
          <w:rFonts w:ascii="Arial" w:hAnsi="Arial" w:cs="Arial"/>
        </w:rPr>
        <w:tab/>
      </w:r>
      <w:r w:rsidRPr="00686C0F">
        <w:rPr>
          <w:rFonts w:ascii="Arial" w:hAnsi="Arial" w:cs="Arial"/>
        </w:rPr>
        <w:t xml:space="preserve">whether the defendants, by accepting the amount equivalent to N$400 000 in respect </w:t>
      </w:r>
      <w:r w:rsidR="00912277" w:rsidRPr="00686C0F">
        <w:rPr>
          <w:rFonts w:ascii="Arial" w:hAnsi="Arial" w:cs="Arial"/>
        </w:rPr>
        <w:t>of the</w:t>
      </w:r>
      <w:r w:rsidRPr="00686C0F">
        <w:rPr>
          <w:rFonts w:ascii="Arial" w:hAnsi="Arial" w:cs="Arial"/>
        </w:rPr>
        <w:t xml:space="preserve"> purchase of the furniture and inventory, represented to the plaintiff that an agreement was concluded between the parties regarding the sale and purchase of the furniture and inventory; the purchase consideration for the furniture and inventory is the Euro equivalent of N$400 000 and that upon payment of the said amount, the defendants shall make delivery of the furniture and inventory by leaving same behind for the plaintiff to take delivery upon occupation of the landed property.    </w:t>
      </w:r>
      <w:r w:rsidR="00CD51B8" w:rsidRPr="00686C0F">
        <w:rPr>
          <w:rFonts w:ascii="Arial" w:hAnsi="Arial" w:cs="Arial"/>
        </w:rPr>
        <w:t xml:space="preserve">   </w:t>
      </w:r>
    </w:p>
    <w:p w14:paraId="0571B450" w14:textId="77777777" w:rsidR="00896CD5" w:rsidRPr="00686C0F" w:rsidRDefault="00896CD5" w:rsidP="00686C0F">
      <w:pPr>
        <w:spacing w:line="360" w:lineRule="auto"/>
        <w:jc w:val="both"/>
        <w:rPr>
          <w:rFonts w:ascii="Arial" w:hAnsi="Arial" w:cs="Arial"/>
        </w:rPr>
      </w:pPr>
    </w:p>
    <w:p w14:paraId="1F0D8244" w14:textId="348BF173" w:rsidR="002D0E4C" w:rsidRPr="00686C0F" w:rsidRDefault="002D0E4C" w:rsidP="00686C0F">
      <w:pPr>
        <w:spacing w:line="360" w:lineRule="auto"/>
        <w:jc w:val="both"/>
        <w:rPr>
          <w:rFonts w:ascii="Arial" w:hAnsi="Arial" w:cs="Arial"/>
          <w:u w:val="single"/>
        </w:rPr>
      </w:pPr>
      <w:r w:rsidRPr="00686C0F">
        <w:rPr>
          <w:rFonts w:ascii="Arial" w:hAnsi="Arial" w:cs="Arial"/>
          <w:u w:val="single"/>
        </w:rPr>
        <w:t>Common cause facts and issues</w:t>
      </w:r>
    </w:p>
    <w:p w14:paraId="644B370E" w14:textId="77777777" w:rsidR="002D0E4C" w:rsidRPr="00686C0F" w:rsidRDefault="002D0E4C" w:rsidP="00686C0F">
      <w:pPr>
        <w:spacing w:line="360" w:lineRule="auto"/>
        <w:jc w:val="both"/>
        <w:rPr>
          <w:rFonts w:ascii="Arial" w:hAnsi="Arial" w:cs="Arial"/>
          <w:u w:val="single"/>
        </w:rPr>
      </w:pPr>
    </w:p>
    <w:p w14:paraId="77BA88B0" w14:textId="747D8E04" w:rsidR="002D0E4C" w:rsidRPr="00686C0F" w:rsidRDefault="002D0E4C" w:rsidP="00686C0F">
      <w:pPr>
        <w:spacing w:line="360" w:lineRule="auto"/>
        <w:jc w:val="both"/>
        <w:rPr>
          <w:rFonts w:ascii="Arial" w:hAnsi="Arial" w:cs="Arial"/>
        </w:rPr>
      </w:pPr>
      <w:r w:rsidRPr="00686C0F">
        <w:rPr>
          <w:rFonts w:ascii="Arial" w:hAnsi="Arial" w:cs="Arial"/>
        </w:rPr>
        <w:t>[8]</w:t>
      </w:r>
      <w:r w:rsidRPr="00686C0F">
        <w:rPr>
          <w:rFonts w:ascii="Arial" w:hAnsi="Arial" w:cs="Arial"/>
        </w:rPr>
        <w:tab/>
        <w:t xml:space="preserve">In the </w:t>
      </w:r>
      <w:proofErr w:type="spellStart"/>
      <w:r w:rsidRPr="00686C0F">
        <w:rPr>
          <w:rFonts w:ascii="Arial" w:hAnsi="Arial" w:cs="Arial"/>
        </w:rPr>
        <w:t>self same</w:t>
      </w:r>
      <w:proofErr w:type="spellEnd"/>
      <w:r w:rsidRPr="00686C0F">
        <w:rPr>
          <w:rFonts w:ascii="Arial" w:hAnsi="Arial" w:cs="Arial"/>
        </w:rPr>
        <w:t xml:space="preserve"> pre-trial report, the parties also identified the issues that were not in contention, and which can be regarded as common cause. These include the following:</w:t>
      </w:r>
    </w:p>
    <w:p w14:paraId="0FBE2A1D" w14:textId="77777777" w:rsidR="002D0E4C" w:rsidRPr="00686C0F" w:rsidRDefault="002D0E4C" w:rsidP="00686C0F">
      <w:pPr>
        <w:spacing w:line="360" w:lineRule="auto"/>
        <w:jc w:val="both"/>
        <w:rPr>
          <w:rFonts w:ascii="Arial" w:hAnsi="Arial" w:cs="Arial"/>
        </w:rPr>
      </w:pPr>
    </w:p>
    <w:p w14:paraId="0D625B5A" w14:textId="2193DDC1" w:rsidR="002D0E4C" w:rsidRPr="00686C0F" w:rsidRDefault="002D0E4C" w:rsidP="00686C0F">
      <w:pPr>
        <w:pStyle w:val="ListParagraph"/>
        <w:numPr>
          <w:ilvl w:val="0"/>
          <w:numId w:val="2"/>
        </w:numPr>
        <w:spacing w:line="360" w:lineRule="auto"/>
        <w:jc w:val="both"/>
        <w:rPr>
          <w:rFonts w:ascii="Arial" w:hAnsi="Arial" w:cs="Arial"/>
        </w:rPr>
      </w:pPr>
      <w:r w:rsidRPr="00686C0F">
        <w:rPr>
          <w:rFonts w:ascii="Arial" w:hAnsi="Arial" w:cs="Arial"/>
        </w:rPr>
        <w:t>the identity of the parties;</w:t>
      </w:r>
    </w:p>
    <w:p w14:paraId="115743BF" w14:textId="4BA2F6EA" w:rsidR="002D0E4C" w:rsidRPr="00686C0F" w:rsidRDefault="002D0E4C" w:rsidP="00686C0F">
      <w:pPr>
        <w:pStyle w:val="ListParagraph"/>
        <w:numPr>
          <w:ilvl w:val="0"/>
          <w:numId w:val="2"/>
        </w:numPr>
        <w:spacing w:line="360" w:lineRule="auto"/>
        <w:jc w:val="both"/>
        <w:rPr>
          <w:rFonts w:ascii="Arial" w:hAnsi="Arial" w:cs="Arial"/>
        </w:rPr>
      </w:pPr>
      <w:proofErr w:type="gramStart"/>
      <w:r w:rsidRPr="00686C0F">
        <w:rPr>
          <w:rFonts w:ascii="Arial" w:hAnsi="Arial" w:cs="Arial"/>
        </w:rPr>
        <w:t>the</w:t>
      </w:r>
      <w:proofErr w:type="gramEnd"/>
      <w:r w:rsidRPr="00686C0F">
        <w:rPr>
          <w:rFonts w:ascii="Arial" w:hAnsi="Arial" w:cs="Arial"/>
        </w:rPr>
        <w:t xml:space="preserve"> court’s jurisdiction to deal with the matter. This was important because the defendants are German citizens, living in Germany at the institution and conclusion of the trial;</w:t>
      </w:r>
    </w:p>
    <w:p w14:paraId="74C884FE" w14:textId="676D25CB" w:rsidR="002D0E4C" w:rsidRPr="00686C0F" w:rsidRDefault="002D0E4C" w:rsidP="00686C0F">
      <w:pPr>
        <w:pStyle w:val="ListParagraph"/>
        <w:numPr>
          <w:ilvl w:val="0"/>
          <w:numId w:val="2"/>
        </w:numPr>
        <w:spacing w:line="360" w:lineRule="auto"/>
        <w:jc w:val="both"/>
        <w:rPr>
          <w:rFonts w:ascii="Arial" w:hAnsi="Arial" w:cs="Arial"/>
        </w:rPr>
      </w:pPr>
      <w:r w:rsidRPr="00686C0F">
        <w:rPr>
          <w:rFonts w:ascii="Arial" w:hAnsi="Arial" w:cs="Arial"/>
        </w:rPr>
        <w:t>a legal</w:t>
      </w:r>
      <w:r w:rsidR="00A760B7">
        <w:rPr>
          <w:rFonts w:ascii="Arial" w:hAnsi="Arial" w:cs="Arial"/>
        </w:rPr>
        <w:t xml:space="preserve"> practitioner in </w:t>
      </w:r>
      <w:proofErr w:type="spellStart"/>
      <w:r w:rsidR="00A760B7">
        <w:rPr>
          <w:rFonts w:ascii="Arial" w:hAnsi="Arial" w:cs="Arial"/>
        </w:rPr>
        <w:t>Swakopmund</w:t>
      </w:r>
      <w:proofErr w:type="spellEnd"/>
      <w:r w:rsidR="00A760B7">
        <w:rPr>
          <w:rFonts w:ascii="Arial" w:hAnsi="Arial" w:cs="Arial"/>
        </w:rPr>
        <w:t>, Mr</w:t>
      </w:r>
      <w:bookmarkStart w:id="0" w:name="_GoBack"/>
      <w:bookmarkEnd w:id="0"/>
      <w:r w:rsidRPr="00686C0F">
        <w:rPr>
          <w:rFonts w:ascii="Arial" w:hAnsi="Arial" w:cs="Arial"/>
        </w:rPr>
        <w:t xml:space="preserve"> Ahrens, was requested to draw up a sale agreement between the parties;</w:t>
      </w:r>
    </w:p>
    <w:p w14:paraId="45E7458D" w14:textId="43C3D7C2" w:rsidR="002D0E4C" w:rsidRPr="00686C0F" w:rsidRDefault="002D0E4C" w:rsidP="00686C0F">
      <w:pPr>
        <w:pStyle w:val="ListParagraph"/>
        <w:numPr>
          <w:ilvl w:val="0"/>
          <w:numId w:val="2"/>
        </w:numPr>
        <w:spacing w:line="360" w:lineRule="auto"/>
        <w:jc w:val="both"/>
        <w:rPr>
          <w:rFonts w:ascii="Arial" w:hAnsi="Arial" w:cs="Arial"/>
        </w:rPr>
      </w:pPr>
      <w:r w:rsidRPr="00686C0F">
        <w:rPr>
          <w:rFonts w:ascii="Arial" w:hAnsi="Arial" w:cs="Arial"/>
        </w:rPr>
        <w:t xml:space="preserve">the </w:t>
      </w:r>
      <w:r w:rsidR="00DF1ED8">
        <w:rPr>
          <w:rFonts w:ascii="Arial" w:hAnsi="Arial" w:cs="Arial"/>
        </w:rPr>
        <w:t>agreement, after being read out,</w:t>
      </w:r>
      <w:r w:rsidRPr="00686C0F">
        <w:rPr>
          <w:rFonts w:ascii="Arial" w:hAnsi="Arial" w:cs="Arial"/>
        </w:rPr>
        <w:t xml:space="preserve"> was signed by the parties in </w:t>
      </w:r>
      <w:proofErr w:type="spellStart"/>
      <w:r w:rsidRPr="00686C0F">
        <w:rPr>
          <w:rFonts w:ascii="Arial" w:hAnsi="Arial" w:cs="Arial"/>
        </w:rPr>
        <w:t>Swakopmund</w:t>
      </w:r>
      <w:proofErr w:type="spellEnd"/>
      <w:r w:rsidR="00DF1ED8">
        <w:rPr>
          <w:rFonts w:ascii="Arial" w:hAnsi="Arial" w:cs="Arial"/>
        </w:rPr>
        <w:t>,</w:t>
      </w:r>
      <w:r w:rsidRPr="00686C0F">
        <w:rPr>
          <w:rFonts w:ascii="Arial" w:hAnsi="Arial" w:cs="Arial"/>
        </w:rPr>
        <w:t xml:space="preserve"> on 19 February 2011 and a true copy of which was attached to the particulars of claim;</w:t>
      </w:r>
    </w:p>
    <w:p w14:paraId="07C56ECB" w14:textId="67DD08F2" w:rsidR="002D0E4C" w:rsidRPr="00686C0F" w:rsidRDefault="002D0E4C" w:rsidP="00686C0F">
      <w:pPr>
        <w:pStyle w:val="ListParagraph"/>
        <w:numPr>
          <w:ilvl w:val="0"/>
          <w:numId w:val="2"/>
        </w:numPr>
        <w:spacing w:line="360" w:lineRule="auto"/>
        <w:jc w:val="both"/>
        <w:rPr>
          <w:rFonts w:ascii="Arial" w:hAnsi="Arial" w:cs="Arial"/>
        </w:rPr>
      </w:pPr>
      <w:proofErr w:type="gramStart"/>
      <w:r w:rsidRPr="00686C0F">
        <w:rPr>
          <w:rFonts w:ascii="Arial" w:hAnsi="Arial" w:cs="Arial"/>
        </w:rPr>
        <w:lastRenderedPageBreak/>
        <w:t>a</w:t>
      </w:r>
      <w:proofErr w:type="gramEnd"/>
      <w:r w:rsidRPr="00686C0F">
        <w:rPr>
          <w:rFonts w:ascii="Arial" w:hAnsi="Arial" w:cs="Arial"/>
        </w:rPr>
        <w:t xml:space="preserve"> ‘list of furniture and inventory’, although referred to in the agreement, was not availed at the signature of the agreement. In this regard, no such list was ever drawn up nor was it signed by the parties and annexe</w:t>
      </w:r>
      <w:r w:rsidR="00DF1ED8">
        <w:rPr>
          <w:rFonts w:ascii="Arial" w:hAnsi="Arial" w:cs="Arial"/>
        </w:rPr>
        <w:t>d to the sale agreement, as record</w:t>
      </w:r>
      <w:r w:rsidRPr="00686C0F">
        <w:rPr>
          <w:rFonts w:ascii="Arial" w:hAnsi="Arial" w:cs="Arial"/>
        </w:rPr>
        <w:t>ed therein;</w:t>
      </w:r>
    </w:p>
    <w:p w14:paraId="7D00690D" w14:textId="2B44FAF1" w:rsidR="002D0E4C" w:rsidRPr="00686C0F" w:rsidRDefault="002D0E4C" w:rsidP="00686C0F">
      <w:pPr>
        <w:pStyle w:val="ListParagraph"/>
        <w:numPr>
          <w:ilvl w:val="0"/>
          <w:numId w:val="2"/>
        </w:numPr>
        <w:spacing w:line="360" w:lineRule="auto"/>
        <w:jc w:val="both"/>
        <w:rPr>
          <w:rFonts w:ascii="Arial" w:hAnsi="Arial" w:cs="Arial"/>
        </w:rPr>
      </w:pPr>
      <w:r w:rsidRPr="00686C0F">
        <w:rPr>
          <w:rFonts w:ascii="Arial" w:hAnsi="Arial" w:cs="Arial"/>
        </w:rPr>
        <w:t>the plaintiff complied with his obligations by paying the equivalent of N$ 400 000 in Euro</w:t>
      </w:r>
      <w:r w:rsidR="00896CD5" w:rsidRPr="00686C0F">
        <w:rPr>
          <w:rFonts w:ascii="Arial" w:hAnsi="Arial" w:cs="Arial"/>
        </w:rPr>
        <w:t xml:space="preserve"> to the defendants;</w:t>
      </w:r>
    </w:p>
    <w:p w14:paraId="05EE8A86" w14:textId="10DE4A34" w:rsidR="00896CD5" w:rsidRPr="00686C0F" w:rsidRDefault="00896CD5" w:rsidP="00686C0F">
      <w:pPr>
        <w:pStyle w:val="ListParagraph"/>
        <w:numPr>
          <w:ilvl w:val="0"/>
          <w:numId w:val="2"/>
        </w:numPr>
        <w:spacing w:line="360" w:lineRule="auto"/>
        <w:jc w:val="both"/>
        <w:rPr>
          <w:rFonts w:ascii="Arial" w:hAnsi="Arial" w:cs="Arial"/>
        </w:rPr>
      </w:pPr>
      <w:r w:rsidRPr="00686C0F">
        <w:rPr>
          <w:rFonts w:ascii="Arial" w:hAnsi="Arial" w:cs="Arial"/>
        </w:rPr>
        <w:t xml:space="preserve">the defendants delivered certain furniture to the plaintiff, </w:t>
      </w:r>
      <w:r w:rsidRPr="00686C0F">
        <w:rPr>
          <w:rFonts w:ascii="Arial" w:hAnsi="Arial" w:cs="Arial"/>
          <w:i/>
        </w:rPr>
        <w:t xml:space="preserve">to wit, </w:t>
      </w:r>
      <w:r w:rsidRPr="00686C0F">
        <w:rPr>
          <w:rFonts w:ascii="Arial" w:hAnsi="Arial" w:cs="Arial"/>
        </w:rPr>
        <w:t>a leather lounge suite, with table and side cabinet; a dining table with 6 chairs; 2 cane lazy chairs; I big carpet; a kitchen fridge/freezer; a dishwasher and a washing machine; a double bed with mattress; two side cabinets; 2 single beds with mattresses and a further 2 single beds with mattresses;</w:t>
      </w:r>
    </w:p>
    <w:p w14:paraId="20A150C7" w14:textId="77777777" w:rsidR="00896CD5" w:rsidRPr="00686C0F" w:rsidRDefault="00896CD5" w:rsidP="00686C0F">
      <w:pPr>
        <w:pStyle w:val="ListParagraph"/>
        <w:numPr>
          <w:ilvl w:val="0"/>
          <w:numId w:val="2"/>
        </w:numPr>
        <w:spacing w:line="360" w:lineRule="auto"/>
        <w:jc w:val="both"/>
        <w:rPr>
          <w:rFonts w:ascii="Arial" w:hAnsi="Arial" w:cs="Arial"/>
        </w:rPr>
      </w:pPr>
      <w:r w:rsidRPr="00686C0F">
        <w:rPr>
          <w:rFonts w:ascii="Arial" w:hAnsi="Arial" w:cs="Arial"/>
        </w:rPr>
        <w:t>the defendants removed the clothing, main linen, cutlery, toys, buckets/pails, grill rosters, old dilapidated carpets, camping equipment and certain garden furniture;</w:t>
      </w:r>
    </w:p>
    <w:p w14:paraId="761F10CA" w14:textId="77777777" w:rsidR="00896CD5" w:rsidRDefault="00896CD5" w:rsidP="00686C0F">
      <w:pPr>
        <w:pStyle w:val="ListParagraph"/>
        <w:numPr>
          <w:ilvl w:val="0"/>
          <w:numId w:val="2"/>
        </w:numPr>
        <w:spacing w:line="360" w:lineRule="auto"/>
        <w:jc w:val="both"/>
        <w:rPr>
          <w:rFonts w:ascii="Arial" w:hAnsi="Arial" w:cs="Arial"/>
        </w:rPr>
      </w:pPr>
      <w:proofErr w:type="gramStart"/>
      <w:r w:rsidRPr="00686C0F">
        <w:rPr>
          <w:rFonts w:ascii="Arial" w:hAnsi="Arial" w:cs="Arial"/>
        </w:rPr>
        <w:t>the</w:t>
      </w:r>
      <w:proofErr w:type="gramEnd"/>
      <w:r w:rsidRPr="00686C0F">
        <w:rPr>
          <w:rFonts w:ascii="Arial" w:hAnsi="Arial" w:cs="Arial"/>
        </w:rPr>
        <w:t xml:space="preserve"> plaintiff, by letter dated 20 June 2011, elected to accept the alleged repudiation by the defendants and purported to cancel the divisible portion of the agreement relating to the sale of the furniture and inventory, which repudiation was communicated to the defendants in the same letter.</w:t>
      </w:r>
    </w:p>
    <w:p w14:paraId="64F4BD3F" w14:textId="77777777" w:rsidR="003A2EE2" w:rsidRDefault="003A2EE2" w:rsidP="003A2EE2">
      <w:pPr>
        <w:pStyle w:val="ListParagraph"/>
        <w:spacing w:line="360" w:lineRule="auto"/>
        <w:ind w:left="1080"/>
        <w:jc w:val="both"/>
        <w:rPr>
          <w:rFonts w:ascii="Arial" w:hAnsi="Arial" w:cs="Arial"/>
        </w:rPr>
      </w:pPr>
    </w:p>
    <w:p w14:paraId="35D0EFAB" w14:textId="002D5037" w:rsidR="00A77099" w:rsidRDefault="00A77099" w:rsidP="003A2EE2">
      <w:pPr>
        <w:spacing w:line="360" w:lineRule="auto"/>
        <w:jc w:val="both"/>
        <w:rPr>
          <w:rFonts w:ascii="Arial" w:hAnsi="Arial" w:cs="Arial"/>
          <w:u w:val="single"/>
        </w:rPr>
      </w:pPr>
      <w:r>
        <w:rPr>
          <w:rFonts w:ascii="Arial" w:hAnsi="Arial" w:cs="Arial"/>
          <w:u w:val="single"/>
        </w:rPr>
        <w:t>The chronicle of evidence led</w:t>
      </w:r>
    </w:p>
    <w:p w14:paraId="51B9EE38" w14:textId="77777777" w:rsidR="003A2EE2" w:rsidRDefault="003A2EE2" w:rsidP="00A77099">
      <w:pPr>
        <w:spacing w:line="360" w:lineRule="auto"/>
        <w:ind w:left="360"/>
        <w:jc w:val="both"/>
        <w:rPr>
          <w:rFonts w:ascii="Arial" w:hAnsi="Arial" w:cs="Arial"/>
          <w:u w:val="single"/>
        </w:rPr>
      </w:pPr>
    </w:p>
    <w:p w14:paraId="656B0C65" w14:textId="322BB48A" w:rsidR="00A77099" w:rsidRDefault="003A2EE2" w:rsidP="003A2EE2">
      <w:pPr>
        <w:spacing w:line="360" w:lineRule="auto"/>
        <w:jc w:val="both"/>
        <w:rPr>
          <w:rFonts w:ascii="Arial" w:hAnsi="Arial" w:cs="Arial"/>
        </w:rPr>
      </w:pPr>
      <w:r>
        <w:rPr>
          <w:rFonts w:ascii="Arial" w:hAnsi="Arial" w:cs="Arial"/>
        </w:rPr>
        <w:t>[9]</w:t>
      </w:r>
      <w:r>
        <w:rPr>
          <w:rFonts w:ascii="Arial" w:hAnsi="Arial" w:cs="Arial"/>
        </w:rPr>
        <w:tab/>
      </w:r>
      <w:r w:rsidR="00A77099">
        <w:rPr>
          <w:rFonts w:ascii="Arial" w:hAnsi="Arial" w:cs="Arial"/>
        </w:rPr>
        <w:t>In this leg of the judgment, I do not need to state each and every allegation of the witnesses made in court. I will attempt to refer only to what I consider to be the critical aspects of the evidence, which will, at the appropriate juncture, be analysed and findings of fact and credibility findings made where appropriate.</w:t>
      </w:r>
    </w:p>
    <w:p w14:paraId="004D991F" w14:textId="77777777" w:rsidR="003A2EE2" w:rsidRDefault="003A2EE2" w:rsidP="003A2EE2">
      <w:pPr>
        <w:spacing w:line="360" w:lineRule="auto"/>
        <w:jc w:val="both"/>
        <w:rPr>
          <w:rFonts w:ascii="Arial" w:hAnsi="Arial" w:cs="Arial"/>
        </w:rPr>
      </w:pPr>
    </w:p>
    <w:p w14:paraId="3E7DEF2E" w14:textId="7856C69B" w:rsidR="003A2EE2" w:rsidRDefault="00A77099" w:rsidP="00B96090">
      <w:pPr>
        <w:spacing w:line="360" w:lineRule="auto"/>
        <w:jc w:val="both"/>
        <w:rPr>
          <w:rFonts w:ascii="Arial" w:hAnsi="Arial" w:cs="Arial"/>
        </w:rPr>
      </w:pPr>
      <w:r>
        <w:rPr>
          <w:rFonts w:ascii="Arial" w:hAnsi="Arial" w:cs="Arial"/>
        </w:rPr>
        <w:t>[10]</w:t>
      </w:r>
      <w:r>
        <w:rPr>
          <w:rFonts w:ascii="Arial" w:hAnsi="Arial" w:cs="Arial"/>
        </w:rPr>
        <w:tab/>
        <w:t xml:space="preserve">The plaintiff was called as a witness, together with his expert witness, whose evidence was left totally unchallenged. The </w:t>
      </w:r>
      <w:r w:rsidR="00E1254F">
        <w:rPr>
          <w:rFonts w:ascii="Arial" w:hAnsi="Arial" w:cs="Arial"/>
        </w:rPr>
        <w:t>first defendant</w:t>
      </w:r>
      <w:r>
        <w:rPr>
          <w:rFonts w:ascii="Arial" w:hAnsi="Arial" w:cs="Arial"/>
        </w:rPr>
        <w:t xml:space="preserve"> testified and called two further witnesses whose evidence I find does not add much to the proceedings as will be evidence</w:t>
      </w:r>
      <w:r w:rsidR="00B96090">
        <w:rPr>
          <w:rFonts w:ascii="Arial" w:hAnsi="Arial" w:cs="Arial"/>
        </w:rPr>
        <w:t>d</w:t>
      </w:r>
      <w:r>
        <w:rPr>
          <w:rFonts w:ascii="Arial" w:hAnsi="Arial" w:cs="Arial"/>
        </w:rPr>
        <w:t xml:space="preserve"> as the judgment unfolds.</w:t>
      </w:r>
      <w:r w:rsidR="004E1838">
        <w:rPr>
          <w:rFonts w:ascii="Arial" w:hAnsi="Arial" w:cs="Arial"/>
        </w:rPr>
        <w:t xml:space="preserve"> I proceed to capture the salient portions of the relevant </w:t>
      </w:r>
      <w:proofErr w:type="gramStart"/>
      <w:r w:rsidR="004E1838">
        <w:rPr>
          <w:rFonts w:ascii="Arial" w:hAnsi="Arial" w:cs="Arial"/>
        </w:rPr>
        <w:t>witnesses</w:t>
      </w:r>
      <w:proofErr w:type="gramEnd"/>
      <w:r w:rsidR="004E1838">
        <w:rPr>
          <w:rFonts w:ascii="Arial" w:hAnsi="Arial" w:cs="Arial"/>
        </w:rPr>
        <w:t xml:space="preserve"> </w:t>
      </w:r>
      <w:r w:rsidR="00B96090">
        <w:rPr>
          <w:rFonts w:ascii="Arial" w:hAnsi="Arial" w:cs="Arial"/>
        </w:rPr>
        <w:t xml:space="preserve">evidence </w:t>
      </w:r>
      <w:r w:rsidR="004E1838">
        <w:rPr>
          <w:rFonts w:ascii="Arial" w:hAnsi="Arial" w:cs="Arial"/>
        </w:rPr>
        <w:t>below.</w:t>
      </w:r>
    </w:p>
    <w:p w14:paraId="644E098E" w14:textId="0022E37E" w:rsidR="004E1838" w:rsidRPr="00D42583" w:rsidRDefault="004E1838" w:rsidP="00137E61">
      <w:pPr>
        <w:spacing w:line="360" w:lineRule="auto"/>
        <w:jc w:val="both"/>
        <w:rPr>
          <w:rFonts w:ascii="Arial" w:hAnsi="Arial" w:cs="Arial"/>
          <w:i/>
        </w:rPr>
      </w:pPr>
      <w:r w:rsidRPr="00D42583">
        <w:rPr>
          <w:rFonts w:ascii="Arial" w:hAnsi="Arial" w:cs="Arial"/>
          <w:i/>
        </w:rPr>
        <w:lastRenderedPageBreak/>
        <w:t>The plaintiff</w:t>
      </w:r>
    </w:p>
    <w:p w14:paraId="2D48002D" w14:textId="77777777" w:rsidR="00137E61" w:rsidRDefault="00137E61" w:rsidP="00A77099">
      <w:pPr>
        <w:spacing w:line="360" w:lineRule="auto"/>
        <w:ind w:left="360"/>
        <w:jc w:val="both"/>
        <w:rPr>
          <w:rFonts w:ascii="Arial" w:hAnsi="Arial" w:cs="Arial"/>
          <w:i/>
        </w:rPr>
      </w:pPr>
    </w:p>
    <w:p w14:paraId="0EF2B8AA" w14:textId="55E50393" w:rsidR="00D42583" w:rsidRDefault="00D42583" w:rsidP="00137E61">
      <w:pPr>
        <w:spacing w:line="360" w:lineRule="auto"/>
        <w:jc w:val="both"/>
        <w:rPr>
          <w:rFonts w:ascii="Arial" w:hAnsi="Arial" w:cs="Arial"/>
        </w:rPr>
      </w:pPr>
      <w:r>
        <w:rPr>
          <w:rFonts w:ascii="Arial" w:hAnsi="Arial" w:cs="Arial"/>
        </w:rPr>
        <w:t>[11]</w:t>
      </w:r>
      <w:r>
        <w:rPr>
          <w:rFonts w:ascii="Arial" w:hAnsi="Arial" w:cs="Arial"/>
        </w:rPr>
        <w:tab/>
      </w:r>
      <w:r w:rsidR="00137E61">
        <w:rPr>
          <w:rFonts w:ascii="Arial" w:hAnsi="Arial" w:cs="Arial"/>
        </w:rPr>
        <w:t xml:space="preserve">The plaintiff testified that during February 2011 and at </w:t>
      </w:r>
      <w:proofErr w:type="spellStart"/>
      <w:r w:rsidR="00137E61">
        <w:rPr>
          <w:rFonts w:ascii="Arial" w:hAnsi="Arial" w:cs="Arial"/>
        </w:rPr>
        <w:t>Swakopmund</w:t>
      </w:r>
      <w:proofErr w:type="spellEnd"/>
      <w:r>
        <w:rPr>
          <w:rFonts w:ascii="Arial" w:hAnsi="Arial" w:cs="Arial"/>
        </w:rPr>
        <w:t>, he received information from</w:t>
      </w:r>
      <w:r w:rsidR="00137E61">
        <w:rPr>
          <w:rFonts w:ascii="Arial" w:hAnsi="Arial" w:cs="Arial"/>
        </w:rPr>
        <w:t xml:space="preserve"> a certain Mr </w:t>
      </w:r>
      <w:proofErr w:type="spellStart"/>
      <w:r w:rsidR="00137E61">
        <w:rPr>
          <w:rFonts w:ascii="Arial" w:hAnsi="Arial" w:cs="Arial"/>
        </w:rPr>
        <w:t>G</w:t>
      </w:r>
      <w:r>
        <w:rPr>
          <w:rFonts w:ascii="Arial" w:hAnsi="Arial" w:cs="Arial"/>
        </w:rPr>
        <w:t>r</w:t>
      </w:r>
      <w:r w:rsidR="00137E61">
        <w:rPr>
          <w:rFonts w:ascii="Arial" w:hAnsi="Arial" w:cs="Arial"/>
        </w:rPr>
        <w:t>abenkamp</w:t>
      </w:r>
      <w:proofErr w:type="spellEnd"/>
      <w:r w:rsidR="00137E61">
        <w:rPr>
          <w:rFonts w:ascii="Arial" w:hAnsi="Arial" w:cs="Arial"/>
        </w:rPr>
        <w:t xml:space="preserve"> </w:t>
      </w:r>
      <w:r>
        <w:rPr>
          <w:rFonts w:ascii="Arial" w:hAnsi="Arial" w:cs="Arial"/>
        </w:rPr>
        <w:t xml:space="preserve">to the effect </w:t>
      </w:r>
      <w:r w:rsidR="00137E61">
        <w:rPr>
          <w:rFonts w:ascii="Arial" w:hAnsi="Arial" w:cs="Arial"/>
        </w:rPr>
        <w:t>that th</w:t>
      </w:r>
      <w:r w:rsidR="00B96090">
        <w:rPr>
          <w:rFonts w:ascii="Arial" w:hAnsi="Arial" w:cs="Arial"/>
        </w:rPr>
        <w:t>e defendants are the owners of immovable</w:t>
      </w:r>
      <w:r w:rsidR="00137E61">
        <w:rPr>
          <w:rFonts w:ascii="Arial" w:hAnsi="Arial" w:cs="Arial"/>
        </w:rPr>
        <w:t xml:space="preserve"> property in </w:t>
      </w:r>
      <w:proofErr w:type="spellStart"/>
      <w:r w:rsidR="00137E61">
        <w:rPr>
          <w:rFonts w:ascii="Arial" w:hAnsi="Arial" w:cs="Arial"/>
        </w:rPr>
        <w:t>Rossmund</w:t>
      </w:r>
      <w:proofErr w:type="spellEnd"/>
      <w:r w:rsidR="00137E61">
        <w:rPr>
          <w:rFonts w:ascii="Arial" w:hAnsi="Arial" w:cs="Arial"/>
        </w:rPr>
        <w:t xml:space="preserve"> village</w:t>
      </w:r>
      <w:r w:rsidR="00B96090">
        <w:rPr>
          <w:rFonts w:ascii="Arial" w:hAnsi="Arial" w:cs="Arial"/>
        </w:rPr>
        <w:t>,</w:t>
      </w:r>
      <w:r w:rsidR="00137E61">
        <w:rPr>
          <w:rFonts w:ascii="Arial" w:hAnsi="Arial" w:cs="Arial"/>
        </w:rPr>
        <w:t xml:space="preserve"> which they intended to sell</w:t>
      </w:r>
      <w:r w:rsidR="00B96090">
        <w:rPr>
          <w:rFonts w:ascii="Arial" w:hAnsi="Arial" w:cs="Arial"/>
        </w:rPr>
        <w:t>,</w:t>
      </w:r>
      <w:r w:rsidR="00137E61">
        <w:rPr>
          <w:rFonts w:ascii="Arial" w:hAnsi="Arial" w:cs="Arial"/>
        </w:rPr>
        <w:t xml:space="preserve"> should they </w:t>
      </w:r>
      <w:r>
        <w:rPr>
          <w:rFonts w:ascii="Arial" w:hAnsi="Arial" w:cs="Arial"/>
        </w:rPr>
        <w:t>receive a good offer</w:t>
      </w:r>
      <w:r w:rsidR="00137E61">
        <w:rPr>
          <w:rFonts w:ascii="Arial" w:hAnsi="Arial" w:cs="Arial"/>
        </w:rPr>
        <w:t xml:space="preserve">. </w:t>
      </w:r>
      <w:r>
        <w:rPr>
          <w:rFonts w:ascii="Arial" w:hAnsi="Arial" w:cs="Arial"/>
        </w:rPr>
        <w:t>It was the plaintiff’s evidence that he</w:t>
      </w:r>
      <w:r w:rsidR="00137E61">
        <w:rPr>
          <w:rFonts w:ascii="Arial" w:hAnsi="Arial" w:cs="Arial"/>
        </w:rPr>
        <w:t xml:space="preserve"> was interested in purchasing property in Namibia, m</w:t>
      </w:r>
      <w:r>
        <w:rPr>
          <w:rFonts w:ascii="Arial" w:hAnsi="Arial" w:cs="Arial"/>
        </w:rPr>
        <w:t xml:space="preserve">ore particularly in </w:t>
      </w:r>
      <w:proofErr w:type="spellStart"/>
      <w:r>
        <w:rPr>
          <w:rFonts w:ascii="Arial" w:hAnsi="Arial" w:cs="Arial"/>
        </w:rPr>
        <w:t>Swakopmund</w:t>
      </w:r>
      <w:proofErr w:type="spellEnd"/>
      <w:r>
        <w:rPr>
          <w:rFonts w:ascii="Arial" w:hAnsi="Arial" w:cs="Arial"/>
        </w:rPr>
        <w:t>.</w:t>
      </w:r>
    </w:p>
    <w:p w14:paraId="692A1954" w14:textId="77777777" w:rsidR="003E4B59" w:rsidRDefault="003E4B59" w:rsidP="00137E61">
      <w:pPr>
        <w:spacing w:line="360" w:lineRule="auto"/>
        <w:jc w:val="both"/>
        <w:rPr>
          <w:rFonts w:ascii="Arial" w:hAnsi="Arial" w:cs="Arial"/>
        </w:rPr>
      </w:pPr>
    </w:p>
    <w:p w14:paraId="1554D3C4" w14:textId="00C30D61" w:rsidR="00137E61" w:rsidRDefault="00D42583" w:rsidP="00137E61">
      <w:pPr>
        <w:spacing w:line="360" w:lineRule="auto"/>
        <w:jc w:val="both"/>
        <w:rPr>
          <w:rFonts w:ascii="Arial" w:hAnsi="Arial" w:cs="Arial"/>
        </w:rPr>
      </w:pPr>
      <w:r>
        <w:rPr>
          <w:rFonts w:ascii="Arial" w:hAnsi="Arial" w:cs="Arial"/>
        </w:rPr>
        <w:t>[12]</w:t>
      </w:r>
      <w:r>
        <w:rPr>
          <w:rFonts w:ascii="Arial" w:hAnsi="Arial" w:cs="Arial"/>
        </w:rPr>
        <w:tab/>
        <w:t>The plaintiff thereupon</w:t>
      </w:r>
      <w:r w:rsidR="00A760B7">
        <w:rPr>
          <w:rFonts w:ascii="Arial" w:hAnsi="Arial" w:cs="Arial"/>
        </w:rPr>
        <w:t xml:space="preserve"> requested Mr</w:t>
      </w:r>
      <w:r w:rsidR="00137E61">
        <w:rPr>
          <w:rFonts w:ascii="Arial" w:hAnsi="Arial" w:cs="Arial"/>
        </w:rPr>
        <w:t xml:space="preserve"> </w:t>
      </w:r>
      <w:proofErr w:type="spellStart"/>
      <w:r w:rsidR="00137E61">
        <w:rPr>
          <w:rFonts w:ascii="Arial" w:hAnsi="Arial" w:cs="Arial"/>
        </w:rPr>
        <w:t>Grabenkamp</w:t>
      </w:r>
      <w:proofErr w:type="spellEnd"/>
      <w:r w:rsidR="00137E61">
        <w:rPr>
          <w:rFonts w:ascii="Arial" w:hAnsi="Arial" w:cs="Arial"/>
        </w:rPr>
        <w:t xml:space="preserve"> to arrange a meeting and house viewing with the defendants at the property.</w:t>
      </w:r>
      <w:r>
        <w:rPr>
          <w:rFonts w:ascii="Arial" w:hAnsi="Arial" w:cs="Arial"/>
        </w:rPr>
        <w:t xml:space="preserve"> The </w:t>
      </w:r>
      <w:r w:rsidR="00137E61">
        <w:rPr>
          <w:rFonts w:ascii="Arial" w:hAnsi="Arial" w:cs="Arial"/>
        </w:rPr>
        <w:t xml:space="preserve">meeting was arranged between the plaintiff and the defendants on 18 February 2011 at the property, specifically known as </w:t>
      </w:r>
      <w:proofErr w:type="spellStart"/>
      <w:r w:rsidR="00137E61">
        <w:rPr>
          <w:rFonts w:ascii="Arial" w:hAnsi="Arial" w:cs="Arial"/>
        </w:rPr>
        <w:t>Euphobi</w:t>
      </w:r>
      <w:r w:rsidR="00A760B7">
        <w:rPr>
          <w:rFonts w:ascii="Arial" w:hAnsi="Arial" w:cs="Arial"/>
        </w:rPr>
        <w:t>a</w:t>
      </w:r>
      <w:proofErr w:type="spellEnd"/>
      <w:r w:rsidR="00A760B7">
        <w:rPr>
          <w:rFonts w:ascii="Arial" w:hAnsi="Arial" w:cs="Arial"/>
        </w:rPr>
        <w:t xml:space="preserve"> Avenue Number 6, </w:t>
      </w:r>
      <w:proofErr w:type="spellStart"/>
      <w:r w:rsidR="00A760B7">
        <w:rPr>
          <w:rFonts w:ascii="Arial" w:hAnsi="Arial" w:cs="Arial"/>
        </w:rPr>
        <w:t>Rossmund</w:t>
      </w:r>
      <w:proofErr w:type="spellEnd"/>
      <w:r w:rsidR="00A760B7">
        <w:rPr>
          <w:rFonts w:ascii="Arial" w:hAnsi="Arial" w:cs="Arial"/>
        </w:rPr>
        <w:t>. Mr</w:t>
      </w:r>
      <w:r w:rsidR="00137E61">
        <w:rPr>
          <w:rFonts w:ascii="Arial" w:hAnsi="Arial" w:cs="Arial"/>
        </w:rPr>
        <w:t xml:space="preserve"> </w:t>
      </w:r>
      <w:proofErr w:type="spellStart"/>
      <w:r w:rsidR="00137E61">
        <w:rPr>
          <w:rFonts w:ascii="Arial" w:hAnsi="Arial" w:cs="Arial"/>
        </w:rPr>
        <w:t>Grabenkamp</w:t>
      </w:r>
      <w:proofErr w:type="spellEnd"/>
      <w:r w:rsidR="00137E61">
        <w:rPr>
          <w:rFonts w:ascii="Arial" w:hAnsi="Arial" w:cs="Arial"/>
        </w:rPr>
        <w:t xml:space="preserve"> was also present. The</w:t>
      </w:r>
      <w:r>
        <w:rPr>
          <w:rFonts w:ascii="Arial" w:hAnsi="Arial" w:cs="Arial"/>
        </w:rPr>
        <w:t>re the plaintiff</w:t>
      </w:r>
      <w:r w:rsidR="00137E61">
        <w:rPr>
          <w:rFonts w:ascii="Arial" w:hAnsi="Arial" w:cs="Arial"/>
        </w:rPr>
        <w:t xml:space="preserve"> viewed the house together with bo</w:t>
      </w:r>
      <w:r w:rsidR="00B96090">
        <w:rPr>
          <w:rFonts w:ascii="Arial" w:hAnsi="Arial" w:cs="Arial"/>
        </w:rPr>
        <w:t>th defendants. The plaintiff</w:t>
      </w:r>
      <w:r w:rsidR="00137E61">
        <w:rPr>
          <w:rFonts w:ascii="Arial" w:hAnsi="Arial" w:cs="Arial"/>
        </w:rPr>
        <w:t xml:space="preserve"> indicated his interest to purchase the </w:t>
      </w:r>
      <w:r>
        <w:rPr>
          <w:rFonts w:ascii="Arial" w:hAnsi="Arial" w:cs="Arial"/>
        </w:rPr>
        <w:t xml:space="preserve">house for </w:t>
      </w:r>
      <w:r w:rsidR="00137E61">
        <w:rPr>
          <w:rFonts w:ascii="Arial" w:hAnsi="Arial" w:cs="Arial"/>
        </w:rPr>
        <w:t>N$ 2,400,000.00.</w:t>
      </w:r>
    </w:p>
    <w:p w14:paraId="724CC118" w14:textId="77777777" w:rsidR="00137E61" w:rsidRDefault="00137E61" w:rsidP="00137E61">
      <w:pPr>
        <w:spacing w:line="360" w:lineRule="auto"/>
        <w:jc w:val="both"/>
        <w:rPr>
          <w:rFonts w:ascii="Arial" w:hAnsi="Arial" w:cs="Arial"/>
        </w:rPr>
      </w:pPr>
    </w:p>
    <w:p w14:paraId="0598AD15" w14:textId="109D3FEC" w:rsidR="00137E61" w:rsidRDefault="00D42583" w:rsidP="00137E61">
      <w:pPr>
        <w:spacing w:line="360" w:lineRule="auto"/>
        <w:jc w:val="both"/>
        <w:rPr>
          <w:rFonts w:ascii="Arial" w:hAnsi="Arial" w:cs="Arial"/>
        </w:rPr>
      </w:pPr>
      <w:r>
        <w:rPr>
          <w:rFonts w:ascii="Arial" w:hAnsi="Arial" w:cs="Arial"/>
        </w:rPr>
        <w:t>[13]</w:t>
      </w:r>
      <w:r>
        <w:rPr>
          <w:rFonts w:ascii="Arial" w:hAnsi="Arial" w:cs="Arial"/>
        </w:rPr>
        <w:tab/>
        <w:t>A</w:t>
      </w:r>
      <w:r w:rsidR="00137E61">
        <w:rPr>
          <w:rFonts w:ascii="Arial" w:hAnsi="Arial" w:cs="Arial"/>
        </w:rPr>
        <w:t>t that time that the</w:t>
      </w:r>
      <w:r w:rsidR="00B64445">
        <w:rPr>
          <w:rFonts w:ascii="Arial" w:hAnsi="Arial" w:cs="Arial"/>
        </w:rPr>
        <w:t xml:space="preserve"> first </w:t>
      </w:r>
      <w:r w:rsidR="00137E61">
        <w:rPr>
          <w:rFonts w:ascii="Arial" w:hAnsi="Arial" w:cs="Arial"/>
        </w:rPr>
        <w:t>defendant indicated</w:t>
      </w:r>
      <w:r>
        <w:rPr>
          <w:rFonts w:ascii="Arial" w:hAnsi="Arial" w:cs="Arial"/>
        </w:rPr>
        <w:t xml:space="preserve"> to the plaintiff that he wa</w:t>
      </w:r>
      <w:r w:rsidR="00137E61">
        <w:rPr>
          <w:rFonts w:ascii="Arial" w:hAnsi="Arial" w:cs="Arial"/>
        </w:rPr>
        <w:t>s selling the furniture an</w:t>
      </w:r>
      <w:r>
        <w:rPr>
          <w:rFonts w:ascii="Arial" w:hAnsi="Arial" w:cs="Arial"/>
        </w:rPr>
        <w:t>d inventory in the residence</w:t>
      </w:r>
      <w:r w:rsidR="00137E61">
        <w:rPr>
          <w:rFonts w:ascii="Arial" w:hAnsi="Arial" w:cs="Arial"/>
        </w:rPr>
        <w:t xml:space="preserve"> as seen by the plaintiff lock, stock and barrel, excluding the personal effects of the defendant</w:t>
      </w:r>
      <w:r>
        <w:rPr>
          <w:rFonts w:ascii="Arial" w:hAnsi="Arial" w:cs="Arial"/>
        </w:rPr>
        <w:t>s,</w:t>
      </w:r>
      <w:r w:rsidR="00137E61">
        <w:rPr>
          <w:rFonts w:ascii="Arial" w:hAnsi="Arial" w:cs="Arial"/>
        </w:rPr>
        <w:t xml:space="preserve"> such as</w:t>
      </w:r>
      <w:r>
        <w:rPr>
          <w:rFonts w:ascii="Arial" w:hAnsi="Arial" w:cs="Arial"/>
        </w:rPr>
        <w:t xml:space="preserve"> pictures of his children. T</w:t>
      </w:r>
      <w:r w:rsidR="00137E61">
        <w:rPr>
          <w:rFonts w:ascii="Arial" w:hAnsi="Arial" w:cs="Arial"/>
        </w:rPr>
        <w:t xml:space="preserve">he </w:t>
      </w:r>
      <w:r>
        <w:rPr>
          <w:rFonts w:ascii="Arial" w:hAnsi="Arial" w:cs="Arial"/>
        </w:rPr>
        <w:t xml:space="preserve">latter items the </w:t>
      </w:r>
      <w:r w:rsidR="00137E61">
        <w:rPr>
          <w:rFonts w:ascii="Arial" w:hAnsi="Arial" w:cs="Arial"/>
        </w:rPr>
        <w:t>defendant</w:t>
      </w:r>
      <w:r>
        <w:rPr>
          <w:rFonts w:ascii="Arial" w:hAnsi="Arial" w:cs="Arial"/>
        </w:rPr>
        <w:t>s</w:t>
      </w:r>
      <w:r w:rsidR="00137E61">
        <w:rPr>
          <w:rFonts w:ascii="Arial" w:hAnsi="Arial" w:cs="Arial"/>
        </w:rPr>
        <w:t xml:space="preserve"> wanted to sell in the amount of N$ 400,000.00.</w:t>
      </w:r>
    </w:p>
    <w:p w14:paraId="4D34BFBE" w14:textId="77777777" w:rsidR="00137E61" w:rsidRDefault="00137E61" w:rsidP="00137E61">
      <w:pPr>
        <w:spacing w:line="360" w:lineRule="auto"/>
        <w:jc w:val="both"/>
        <w:rPr>
          <w:rFonts w:ascii="Arial" w:hAnsi="Arial" w:cs="Arial"/>
        </w:rPr>
      </w:pPr>
    </w:p>
    <w:p w14:paraId="7BACAFF1" w14:textId="196F8A0A" w:rsidR="00137E61" w:rsidRDefault="00D42583" w:rsidP="00137E61">
      <w:pPr>
        <w:spacing w:line="360" w:lineRule="auto"/>
        <w:jc w:val="both"/>
        <w:rPr>
          <w:rFonts w:ascii="Arial" w:hAnsi="Arial" w:cs="Arial"/>
        </w:rPr>
      </w:pPr>
      <w:r>
        <w:rPr>
          <w:rFonts w:ascii="Arial" w:hAnsi="Arial" w:cs="Arial"/>
        </w:rPr>
        <w:t>[14]</w:t>
      </w:r>
      <w:r>
        <w:rPr>
          <w:rFonts w:ascii="Arial" w:hAnsi="Arial" w:cs="Arial"/>
        </w:rPr>
        <w:tab/>
        <w:t>The plaintiff testified that he</w:t>
      </w:r>
      <w:r w:rsidR="00137E61">
        <w:rPr>
          <w:rFonts w:ascii="Arial" w:hAnsi="Arial" w:cs="Arial"/>
        </w:rPr>
        <w:t xml:space="preserve"> was made to understand that if he should purchase the property</w:t>
      </w:r>
      <w:r>
        <w:rPr>
          <w:rFonts w:ascii="Arial" w:hAnsi="Arial" w:cs="Arial"/>
        </w:rPr>
        <w:t xml:space="preserve">, </w:t>
      </w:r>
      <w:r w:rsidR="00137E61">
        <w:rPr>
          <w:rFonts w:ascii="Arial" w:hAnsi="Arial" w:cs="Arial"/>
        </w:rPr>
        <w:t>the property</w:t>
      </w:r>
      <w:r>
        <w:rPr>
          <w:rFonts w:ascii="Arial" w:hAnsi="Arial" w:cs="Arial"/>
        </w:rPr>
        <w:t xml:space="preserve"> would be delivered to him</w:t>
      </w:r>
      <w:r w:rsidR="00137E61">
        <w:rPr>
          <w:rFonts w:ascii="Arial" w:hAnsi="Arial" w:cs="Arial"/>
        </w:rPr>
        <w:t xml:space="preserve"> as is and </w:t>
      </w:r>
      <w:r>
        <w:rPr>
          <w:rFonts w:ascii="Arial" w:hAnsi="Arial" w:cs="Arial"/>
        </w:rPr>
        <w:t xml:space="preserve">he </w:t>
      </w:r>
      <w:r w:rsidR="00137E61">
        <w:rPr>
          <w:rFonts w:ascii="Arial" w:hAnsi="Arial" w:cs="Arial"/>
        </w:rPr>
        <w:t>would</w:t>
      </w:r>
      <w:r>
        <w:rPr>
          <w:rFonts w:ascii="Arial" w:hAnsi="Arial" w:cs="Arial"/>
        </w:rPr>
        <w:t xml:space="preserve"> consequently</w:t>
      </w:r>
      <w:r w:rsidR="00137E61">
        <w:rPr>
          <w:rFonts w:ascii="Arial" w:hAnsi="Arial" w:cs="Arial"/>
        </w:rPr>
        <w:t xml:space="preserve"> move into a fu</w:t>
      </w:r>
      <w:r>
        <w:rPr>
          <w:rFonts w:ascii="Arial" w:hAnsi="Arial" w:cs="Arial"/>
        </w:rPr>
        <w:t>lly functional residence.</w:t>
      </w:r>
      <w:r w:rsidR="00137E61">
        <w:rPr>
          <w:rFonts w:ascii="Arial" w:hAnsi="Arial" w:cs="Arial"/>
        </w:rPr>
        <w:t xml:space="preserve"> </w:t>
      </w:r>
      <w:r w:rsidR="00E30A45">
        <w:rPr>
          <w:rFonts w:ascii="Arial" w:hAnsi="Arial" w:cs="Arial"/>
        </w:rPr>
        <w:t xml:space="preserve">In this regard, it was the plaintiff’s evidence that during the tour of the house, he took pictures of the interior of the residence and these were not for the purpose of recording the inventory and inventory. </w:t>
      </w:r>
    </w:p>
    <w:p w14:paraId="2AE69B2D" w14:textId="77777777" w:rsidR="00137E61" w:rsidRDefault="00137E61" w:rsidP="00137E61">
      <w:pPr>
        <w:spacing w:line="360" w:lineRule="auto"/>
        <w:jc w:val="both"/>
        <w:rPr>
          <w:rFonts w:ascii="Arial" w:hAnsi="Arial" w:cs="Arial"/>
        </w:rPr>
      </w:pPr>
    </w:p>
    <w:p w14:paraId="5A44A703" w14:textId="73F5BFEB" w:rsidR="00137E61" w:rsidRDefault="00D42583" w:rsidP="00137E61">
      <w:pPr>
        <w:spacing w:line="360" w:lineRule="auto"/>
        <w:jc w:val="both"/>
        <w:rPr>
          <w:rFonts w:ascii="Arial" w:hAnsi="Arial" w:cs="Arial"/>
        </w:rPr>
      </w:pPr>
      <w:r>
        <w:rPr>
          <w:rFonts w:ascii="Arial" w:hAnsi="Arial" w:cs="Arial"/>
        </w:rPr>
        <w:t>[15]</w:t>
      </w:r>
      <w:r>
        <w:rPr>
          <w:rFonts w:ascii="Arial" w:hAnsi="Arial" w:cs="Arial"/>
        </w:rPr>
        <w:tab/>
      </w:r>
      <w:r w:rsidR="00137E61">
        <w:rPr>
          <w:rFonts w:ascii="Arial" w:hAnsi="Arial" w:cs="Arial"/>
        </w:rPr>
        <w:t xml:space="preserve">The </w:t>
      </w:r>
      <w:r>
        <w:rPr>
          <w:rFonts w:ascii="Arial" w:hAnsi="Arial" w:cs="Arial"/>
        </w:rPr>
        <w:t>1</w:t>
      </w:r>
      <w:r w:rsidRPr="00D42583">
        <w:rPr>
          <w:rFonts w:ascii="Arial" w:hAnsi="Arial" w:cs="Arial"/>
          <w:vertAlign w:val="superscript"/>
        </w:rPr>
        <w:t>st</w:t>
      </w:r>
      <w:r>
        <w:rPr>
          <w:rFonts w:ascii="Arial" w:hAnsi="Arial" w:cs="Arial"/>
        </w:rPr>
        <w:t xml:space="preserve"> </w:t>
      </w:r>
      <w:r w:rsidR="00137E61">
        <w:rPr>
          <w:rFonts w:ascii="Arial" w:hAnsi="Arial" w:cs="Arial"/>
        </w:rPr>
        <w:t xml:space="preserve">defendant </w:t>
      </w:r>
      <w:r>
        <w:rPr>
          <w:rFonts w:ascii="Arial" w:hAnsi="Arial" w:cs="Arial"/>
        </w:rPr>
        <w:t xml:space="preserve">thereafter </w:t>
      </w:r>
      <w:r w:rsidR="00137E61">
        <w:rPr>
          <w:rFonts w:ascii="Arial" w:hAnsi="Arial" w:cs="Arial"/>
        </w:rPr>
        <w:t>inf</w:t>
      </w:r>
      <w:r>
        <w:rPr>
          <w:rFonts w:ascii="Arial" w:hAnsi="Arial" w:cs="Arial"/>
        </w:rPr>
        <w:t>ormed the plaintiff that he would</w:t>
      </w:r>
      <w:r w:rsidR="00137E61">
        <w:rPr>
          <w:rFonts w:ascii="Arial" w:hAnsi="Arial" w:cs="Arial"/>
        </w:rPr>
        <w:t xml:space="preserve"> contact his attorneys for the purpose of drafting a sale agreement</w:t>
      </w:r>
      <w:r>
        <w:rPr>
          <w:rFonts w:ascii="Arial" w:hAnsi="Arial" w:cs="Arial"/>
        </w:rPr>
        <w:t xml:space="preserve"> between the parties</w:t>
      </w:r>
      <w:r w:rsidR="00137E61">
        <w:rPr>
          <w:rFonts w:ascii="Arial" w:hAnsi="Arial" w:cs="Arial"/>
        </w:rPr>
        <w:t>.</w:t>
      </w:r>
      <w:r>
        <w:rPr>
          <w:rFonts w:ascii="Arial" w:hAnsi="Arial" w:cs="Arial"/>
        </w:rPr>
        <w:t xml:space="preserve"> An appointment</w:t>
      </w:r>
      <w:r w:rsidR="00137E61">
        <w:rPr>
          <w:rFonts w:ascii="Arial" w:hAnsi="Arial" w:cs="Arial"/>
        </w:rPr>
        <w:t xml:space="preserve"> with Mr Ahrens from Ahrens and Associates</w:t>
      </w:r>
      <w:r>
        <w:rPr>
          <w:rFonts w:ascii="Arial" w:hAnsi="Arial" w:cs="Arial"/>
        </w:rPr>
        <w:t>,</w:t>
      </w:r>
      <w:r w:rsidR="00137E61">
        <w:rPr>
          <w:rFonts w:ascii="Arial" w:hAnsi="Arial" w:cs="Arial"/>
        </w:rPr>
        <w:t xml:space="preserve"> in </w:t>
      </w:r>
      <w:proofErr w:type="spellStart"/>
      <w:r w:rsidR="00137E61">
        <w:rPr>
          <w:rFonts w:ascii="Arial" w:hAnsi="Arial" w:cs="Arial"/>
        </w:rPr>
        <w:t>Swakopmund</w:t>
      </w:r>
      <w:proofErr w:type="spellEnd"/>
      <w:r w:rsidR="00137E61">
        <w:rPr>
          <w:rFonts w:ascii="Arial" w:hAnsi="Arial" w:cs="Arial"/>
        </w:rPr>
        <w:t xml:space="preserve"> </w:t>
      </w:r>
      <w:r>
        <w:rPr>
          <w:rFonts w:ascii="Arial" w:hAnsi="Arial" w:cs="Arial"/>
        </w:rPr>
        <w:lastRenderedPageBreak/>
        <w:t>was arranged for 19 February 2011 and</w:t>
      </w:r>
      <w:r w:rsidR="00137E61">
        <w:rPr>
          <w:rFonts w:ascii="Arial" w:hAnsi="Arial" w:cs="Arial"/>
        </w:rPr>
        <w:t xml:space="preserve"> the plaintiff was informed thereof. Mr </w:t>
      </w:r>
      <w:proofErr w:type="spellStart"/>
      <w:r w:rsidR="00137E61">
        <w:rPr>
          <w:rFonts w:ascii="Arial" w:hAnsi="Arial" w:cs="Arial"/>
        </w:rPr>
        <w:t>Grabenkamp</w:t>
      </w:r>
      <w:proofErr w:type="spellEnd"/>
      <w:r w:rsidR="00137E61">
        <w:rPr>
          <w:rFonts w:ascii="Arial" w:hAnsi="Arial" w:cs="Arial"/>
        </w:rPr>
        <w:t xml:space="preserve"> accompanied the plaintiff to the c</w:t>
      </w:r>
      <w:r>
        <w:rPr>
          <w:rFonts w:ascii="Arial" w:hAnsi="Arial" w:cs="Arial"/>
        </w:rPr>
        <w:t>onsultation with</w:t>
      </w:r>
      <w:r w:rsidR="00137E61">
        <w:rPr>
          <w:rFonts w:ascii="Arial" w:hAnsi="Arial" w:cs="Arial"/>
        </w:rPr>
        <w:t xml:space="preserve"> Mr Ahrens.</w:t>
      </w:r>
    </w:p>
    <w:p w14:paraId="16C80904" w14:textId="77777777" w:rsidR="00137E61" w:rsidRDefault="00137E61" w:rsidP="00137E61">
      <w:pPr>
        <w:spacing w:line="360" w:lineRule="auto"/>
        <w:jc w:val="both"/>
        <w:rPr>
          <w:rFonts w:ascii="Arial" w:hAnsi="Arial" w:cs="Arial"/>
        </w:rPr>
      </w:pPr>
    </w:p>
    <w:p w14:paraId="32293BD0" w14:textId="48D208DD" w:rsidR="00137E61" w:rsidRDefault="00D42583" w:rsidP="00137E61">
      <w:pPr>
        <w:spacing w:line="360" w:lineRule="auto"/>
        <w:jc w:val="both"/>
        <w:rPr>
          <w:rFonts w:ascii="Arial" w:hAnsi="Arial" w:cs="Arial"/>
        </w:rPr>
      </w:pPr>
      <w:r>
        <w:rPr>
          <w:rFonts w:ascii="Arial" w:hAnsi="Arial" w:cs="Arial"/>
        </w:rPr>
        <w:t>[16]</w:t>
      </w:r>
      <w:r>
        <w:rPr>
          <w:rFonts w:ascii="Arial" w:hAnsi="Arial" w:cs="Arial"/>
        </w:rPr>
        <w:tab/>
      </w:r>
      <w:r w:rsidR="00137E61">
        <w:rPr>
          <w:rFonts w:ascii="Arial" w:hAnsi="Arial" w:cs="Arial"/>
        </w:rPr>
        <w:t>It was agreed, regard</w:t>
      </w:r>
      <w:r>
        <w:rPr>
          <w:rFonts w:ascii="Arial" w:hAnsi="Arial" w:cs="Arial"/>
        </w:rPr>
        <w:t>ing the property for sale, that</w:t>
      </w:r>
      <w:r w:rsidR="00137E61">
        <w:rPr>
          <w:rFonts w:ascii="Arial" w:hAnsi="Arial" w:cs="Arial"/>
        </w:rPr>
        <w:t xml:space="preserve"> portion 67 of the Farm No.161 in the Municipality of </w:t>
      </w:r>
      <w:proofErr w:type="spellStart"/>
      <w:r w:rsidR="00137E61">
        <w:rPr>
          <w:rFonts w:ascii="Arial" w:hAnsi="Arial" w:cs="Arial"/>
        </w:rPr>
        <w:t>Swakopmund</w:t>
      </w:r>
      <w:proofErr w:type="spellEnd"/>
      <w:r w:rsidR="00137E61">
        <w:rPr>
          <w:rFonts w:ascii="Arial" w:hAnsi="Arial" w:cs="Arial"/>
        </w:rPr>
        <w:t xml:space="preserve">, registration division “G”, </w:t>
      </w:r>
      <w:proofErr w:type="spellStart"/>
      <w:r w:rsidR="00137E61">
        <w:rPr>
          <w:rFonts w:ascii="Arial" w:hAnsi="Arial" w:cs="Arial"/>
        </w:rPr>
        <w:t>Erongo</w:t>
      </w:r>
      <w:proofErr w:type="spellEnd"/>
      <w:r w:rsidR="00137E61">
        <w:rPr>
          <w:rFonts w:ascii="Arial" w:hAnsi="Arial" w:cs="Arial"/>
        </w:rPr>
        <w:t xml:space="preserve"> Region, measuring 280m, held by Deed of Transfer No. 7810/2005 which was also known as </w:t>
      </w:r>
      <w:proofErr w:type="spellStart"/>
      <w:r w:rsidR="00137E61">
        <w:rPr>
          <w:rFonts w:ascii="Arial" w:hAnsi="Arial" w:cs="Arial"/>
        </w:rPr>
        <w:t>Euphobia</w:t>
      </w:r>
      <w:proofErr w:type="spellEnd"/>
      <w:r w:rsidR="00137E61">
        <w:rPr>
          <w:rFonts w:ascii="Arial" w:hAnsi="Arial" w:cs="Arial"/>
        </w:rPr>
        <w:t xml:space="preserve"> Avenue Number 6, </w:t>
      </w:r>
      <w:proofErr w:type="spellStart"/>
      <w:r w:rsidR="00137E61">
        <w:rPr>
          <w:rFonts w:ascii="Arial" w:hAnsi="Arial" w:cs="Arial"/>
        </w:rPr>
        <w:t>Rossmund</w:t>
      </w:r>
      <w:proofErr w:type="spellEnd"/>
      <w:r w:rsidR="00137E61">
        <w:rPr>
          <w:rFonts w:ascii="Arial" w:hAnsi="Arial" w:cs="Arial"/>
        </w:rPr>
        <w:t xml:space="preserve"> </w:t>
      </w:r>
      <w:proofErr w:type="spellStart"/>
      <w:r w:rsidR="00137E61">
        <w:rPr>
          <w:rFonts w:ascii="Arial" w:hAnsi="Arial" w:cs="Arial"/>
        </w:rPr>
        <w:t>Swakopmund</w:t>
      </w:r>
      <w:proofErr w:type="spellEnd"/>
      <w:r w:rsidR="00137E61">
        <w:rPr>
          <w:rFonts w:ascii="Arial" w:hAnsi="Arial" w:cs="Arial"/>
        </w:rPr>
        <w:t xml:space="preserve"> which was registered in the name of a close corporation known as </w:t>
      </w:r>
      <w:proofErr w:type="spellStart"/>
      <w:r w:rsidR="00137E61">
        <w:rPr>
          <w:rFonts w:ascii="Arial" w:hAnsi="Arial" w:cs="Arial"/>
        </w:rPr>
        <w:t>Eulen</w:t>
      </w:r>
      <w:proofErr w:type="spellEnd"/>
      <w:r w:rsidR="00137E61">
        <w:rPr>
          <w:rFonts w:ascii="Arial" w:hAnsi="Arial" w:cs="Arial"/>
        </w:rPr>
        <w:t xml:space="preserve"> Nest Investment CC</w:t>
      </w:r>
      <w:r>
        <w:rPr>
          <w:rFonts w:ascii="Arial" w:hAnsi="Arial" w:cs="Arial"/>
        </w:rPr>
        <w:t xml:space="preserve"> was being sold to the plaintiff</w:t>
      </w:r>
      <w:r w:rsidR="00137E61">
        <w:rPr>
          <w:rFonts w:ascii="Arial" w:hAnsi="Arial" w:cs="Arial"/>
        </w:rPr>
        <w:t>.</w:t>
      </w:r>
    </w:p>
    <w:p w14:paraId="0F1A9FCF" w14:textId="77777777" w:rsidR="003E4B59" w:rsidRDefault="003E4B59" w:rsidP="00137E61">
      <w:pPr>
        <w:spacing w:line="360" w:lineRule="auto"/>
        <w:jc w:val="both"/>
        <w:rPr>
          <w:rFonts w:ascii="Arial" w:hAnsi="Arial" w:cs="Arial"/>
        </w:rPr>
      </w:pPr>
    </w:p>
    <w:p w14:paraId="47528324" w14:textId="67A1C0F9" w:rsidR="00B96090" w:rsidRDefault="00D42583" w:rsidP="00137E61">
      <w:pPr>
        <w:spacing w:line="360" w:lineRule="auto"/>
        <w:jc w:val="both"/>
        <w:rPr>
          <w:rFonts w:ascii="Arial" w:hAnsi="Arial" w:cs="Arial"/>
        </w:rPr>
      </w:pPr>
      <w:r>
        <w:rPr>
          <w:rFonts w:ascii="Arial" w:hAnsi="Arial" w:cs="Arial"/>
        </w:rPr>
        <w:t>[17]</w:t>
      </w:r>
      <w:r>
        <w:rPr>
          <w:rFonts w:ascii="Arial" w:hAnsi="Arial" w:cs="Arial"/>
        </w:rPr>
        <w:tab/>
      </w:r>
      <w:r w:rsidR="00137E61">
        <w:rPr>
          <w:rFonts w:ascii="Arial" w:hAnsi="Arial" w:cs="Arial"/>
        </w:rPr>
        <w:t>The</w:t>
      </w:r>
      <w:r>
        <w:rPr>
          <w:rFonts w:ascii="Arial" w:hAnsi="Arial" w:cs="Arial"/>
        </w:rPr>
        <w:t xml:space="preserve"> purchasing of the property would</w:t>
      </w:r>
      <w:r w:rsidR="00137E61">
        <w:rPr>
          <w:rFonts w:ascii="Arial" w:hAnsi="Arial" w:cs="Arial"/>
        </w:rPr>
        <w:t xml:space="preserve"> be structured as a sale of members’ interest and cl</w:t>
      </w:r>
      <w:r>
        <w:rPr>
          <w:rFonts w:ascii="Arial" w:hAnsi="Arial" w:cs="Arial"/>
        </w:rPr>
        <w:t>aims of the said corporation. This</w:t>
      </w:r>
      <w:r w:rsidR="00137E61">
        <w:rPr>
          <w:rFonts w:ascii="Arial" w:hAnsi="Arial" w:cs="Arial"/>
        </w:rPr>
        <w:t xml:space="preserve"> was done so that the plaintiff as the purchaser could save transfer costs. There were </w:t>
      </w:r>
      <w:r>
        <w:rPr>
          <w:rFonts w:ascii="Arial" w:hAnsi="Arial" w:cs="Arial"/>
        </w:rPr>
        <w:t xml:space="preserve">consequently </w:t>
      </w:r>
      <w:r w:rsidR="00137E61">
        <w:rPr>
          <w:rFonts w:ascii="Arial" w:hAnsi="Arial" w:cs="Arial"/>
        </w:rPr>
        <w:t>two sale agreements namely, the members’ interest and claims</w:t>
      </w:r>
      <w:r w:rsidR="00FC533D">
        <w:rPr>
          <w:rFonts w:ascii="Arial" w:hAnsi="Arial" w:cs="Arial"/>
        </w:rPr>
        <w:t xml:space="preserve"> to the value of N$ 2,400,000</w:t>
      </w:r>
      <w:r w:rsidR="00137E61">
        <w:rPr>
          <w:rFonts w:ascii="Arial" w:hAnsi="Arial" w:cs="Arial"/>
        </w:rPr>
        <w:t xml:space="preserve"> for which specific separate payment arrangements were discussed and agreed to, and that of the furniture and invento</w:t>
      </w:r>
      <w:r w:rsidR="00FC533D">
        <w:rPr>
          <w:rFonts w:ascii="Arial" w:hAnsi="Arial" w:cs="Arial"/>
        </w:rPr>
        <w:t>ry in the amount of N$400,000</w:t>
      </w:r>
      <w:r w:rsidR="00137E61">
        <w:rPr>
          <w:rFonts w:ascii="Arial" w:hAnsi="Arial" w:cs="Arial"/>
        </w:rPr>
        <w:t xml:space="preserve"> and for which separate payment arrangement</w:t>
      </w:r>
      <w:r>
        <w:rPr>
          <w:rFonts w:ascii="Arial" w:hAnsi="Arial" w:cs="Arial"/>
        </w:rPr>
        <w:t>s</w:t>
      </w:r>
      <w:r w:rsidR="00137E61">
        <w:rPr>
          <w:rFonts w:ascii="Arial" w:hAnsi="Arial" w:cs="Arial"/>
        </w:rPr>
        <w:t xml:space="preserve"> were discussed and agreed to. </w:t>
      </w:r>
    </w:p>
    <w:p w14:paraId="4EAC7CB9" w14:textId="77777777" w:rsidR="00B96090" w:rsidRDefault="00B96090" w:rsidP="00137E61">
      <w:pPr>
        <w:spacing w:line="360" w:lineRule="auto"/>
        <w:jc w:val="both"/>
        <w:rPr>
          <w:rFonts w:ascii="Arial" w:hAnsi="Arial" w:cs="Arial"/>
        </w:rPr>
      </w:pPr>
    </w:p>
    <w:p w14:paraId="3B66DB16" w14:textId="4A399C20" w:rsidR="00137E61" w:rsidRDefault="00B96090" w:rsidP="00137E61">
      <w:pPr>
        <w:spacing w:line="360" w:lineRule="auto"/>
        <w:jc w:val="both"/>
        <w:rPr>
          <w:rFonts w:ascii="Arial" w:hAnsi="Arial" w:cs="Arial"/>
        </w:rPr>
      </w:pPr>
      <w:r>
        <w:rPr>
          <w:rFonts w:ascii="Arial" w:hAnsi="Arial" w:cs="Arial"/>
        </w:rPr>
        <w:t>[18]</w:t>
      </w:r>
      <w:r>
        <w:rPr>
          <w:rFonts w:ascii="Arial" w:hAnsi="Arial" w:cs="Arial"/>
        </w:rPr>
        <w:tab/>
      </w:r>
      <w:r w:rsidR="00137E61">
        <w:rPr>
          <w:rFonts w:ascii="Arial" w:hAnsi="Arial" w:cs="Arial"/>
        </w:rPr>
        <w:t>The sale agreement was concluded on 19 February 2011</w:t>
      </w:r>
      <w:r w:rsidR="00E30A45">
        <w:rPr>
          <w:rFonts w:ascii="Arial" w:hAnsi="Arial" w:cs="Arial"/>
        </w:rPr>
        <w:t xml:space="preserve"> and the list of the furniture and inventory was to be attached to the agreement as </w:t>
      </w:r>
      <w:r>
        <w:rPr>
          <w:rFonts w:ascii="Arial" w:hAnsi="Arial" w:cs="Arial"/>
        </w:rPr>
        <w:t xml:space="preserve">an </w:t>
      </w:r>
      <w:r w:rsidR="00E30A45">
        <w:rPr>
          <w:rFonts w:ascii="Arial" w:hAnsi="Arial" w:cs="Arial"/>
        </w:rPr>
        <w:t>annexure</w:t>
      </w:r>
      <w:r w:rsidR="00137E61">
        <w:rPr>
          <w:rFonts w:ascii="Arial" w:hAnsi="Arial" w:cs="Arial"/>
        </w:rPr>
        <w:t>.</w:t>
      </w:r>
    </w:p>
    <w:p w14:paraId="73EFA192" w14:textId="77777777" w:rsidR="00137E61" w:rsidRDefault="00137E61" w:rsidP="00137E61">
      <w:pPr>
        <w:spacing w:line="360" w:lineRule="auto"/>
        <w:jc w:val="both"/>
        <w:rPr>
          <w:rFonts w:ascii="Arial" w:hAnsi="Arial" w:cs="Arial"/>
        </w:rPr>
      </w:pPr>
    </w:p>
    <w:p w14:paraId="7E8AF56E" w14:textId="3719CDB7" w:rsidR="00E30A45" w:rsidRDefault="00E30A45" w:rsidP="00137E61">
      <w:pPr>
        <w:spacing w:line="360" w:lineRule="auto"/>
        <w:jc w:val="both"/>
        <w:rPr>
          <w:rFonts w:ascii="Arial" w:hAnsi="Arial" w:cs="Arial"/>
        </w:rPr>
      </w:pPr>
      <w:r>
        <w:rPr>
          <w:rFonts w:ascii="Arial" w:hAnsi="Arial" w:cs="Arial"/>
        </w:rPr>
        <w:t>[19]</w:t>
      </w:r>
      <w:r>
        <w:rPr>
          <w:rFonts w:ascii="Arial" w:hAnsi="Arial" w:cs="Arial"/>
        </w:rPr>
        <w:tab/>
        <w:t>After the</w:t>
      </w:r>
      <w:r w:rsidR="00A760B7">
        <w:rPr>
          <w:rFonts w:ascii="Arial" w:hAnsi="Arial" w:cs="Arial"/>
        </w:rPr>
        <w:t xml:space="preserve"> signature of the agreement, Mr</w:t>
      </w:r>
      <w:r>
        <w:rPr>
          <w:rFonts w:ascii="Arial" w:hAnsi="Arial" w:cs="Arial"/>
        </w:rPr>
        <w:t xml:space="preserve"> Ahrens requested to be furnished with the list as recorded in the agreem</w:t>
      </w:r>
      <w:r w:rsidR="00B64445">
        <w:rPr>
          <w:rFonts w:ascii="Arial" w:hAnsi="Arial" w:cs="Arial"/>
        </w:rPr>
        <w:t>ent but the first</w:t>
      </w:r>
      <w:r>
        <w:rPr>
          <w:rFonts w:ascii="Arial" w:hAnsi="Arial" w:cs="Arial"/>
        </w:rPr>
        <w:t xml:space="preserve"> defendant stated that he had not had the time to compile same in time for the consultation but would co</w:t>
      </w:r>
      <w:r w:rsidR="00A760B7">
        <w:rPr>
          <w:rFonts w:ascii="Arial" w:hAnsi="Arial" w:cs="Arial"/>
        </w:rPr>
        <w:t>mpile same and furnish it to Mr</w:t>
      </w:r>
      <w:r>
        <w:rPr>
          <w:rFonts w:ascii="Arial" w:hAnsi="Arial" w:cs="Arial"/>
        </w:rPr>
        <w:t xml:space="preserve"> Ahrens</w:t>
      </w:r>
      <w:r w:rsidR="00B96090">
        <w:rPr>
          <w:rFonts w:ascii="Arial" w:hAnsi="Arial" w:cs="Arial"/>
        </w:rPr>
        <w:t xml:space="preserve"> in the due course of time</w:t>
      </w:r>
      <w:r>
        <w:rPr>
          <w:rFonts w:ascii="Arial" w:hAnsi="Arial" w:cs="Arial"/>
        </w:rPr>
        <w:t>. The plaintiff testified that he expected that list to include all the furnitu</w:t>
      </w:r>
      <w:r w:rsidR="00B96090">
        <w:rPr>
          <w:rFonts w:ascii="Arial" w:hAnsi="Arial" w:cs="Arial"/>
        </w:rPr>
        <w:t>re and inventory he had seen</w:t>
      </w:r>
      <w:r>
        <w:rPr>
          <w:rFonts w:ascii="Arial" w:hAnsi="Arial" w:cs="Arial"/>
        </w:rPr>
        <w:t xml:space="preserve"> during the inspection of the premises the previous day.</w:t>
      </w:r>
    </w:p>
    <w:p w14:paraId="35F90F89" w14:textId="77777777" w:rsidR="00E30A45" w:rsidRDefault="00E30A45" w:rsidP="00137E61">
      <w:pPr>
        <w:spacing w:line="360" w:lineRule="auto"/>
        <w:jc w:val="both"/>
        <w:rPr>
          <w:rFonts w:ascii="Arial" w:hAnsi="Arial" w:cs="Arial"/>
        </w:rPr>
      </w:pPr>
    </w:p>
    <w:p w14:paraId="4B16624A" w14:textId="38CA2935" w:rsidR="00137E61" w:rsidRDefault="00E30A45" w:rsidP="00137E61">
      <w:pPr>
        <w:spacing w:line="360" w:lineRule="auto"/>
        <w:jc w:val="both"/>
        <w:rPr>
          <w:rFonts w:ascii="Arial" w:hAnsi="Arial" w:cs="Arial"/>
        </w:rPr>
      </w:pPr>
      <w:r>
        <w:rPr>
          <w:rFonts w:ascii="Arial" w:hAnsi="Arial" w:cs="Arial"/>
        </w:rPr>
        <w:t>[20</w:t>
      </w:r>
      <w:r w:rsidR="00D42583">
        <w:rPr>
          <w:rFonts w:ascii="Arial" w:hAnsi="Arial" w:cs="Arial"/>
        </w:rPr>
        <w:t>]</w:t>
      </w:r>
      <w:r w:rsidR="00D42583">
        <w:rPr>
          <w:rFonts w:ascii="Arial" w:hAnsi="Arial" w:cs="Arial"/>
        </w:rPr>
        <w:tab/>
        <w:t>It was the</w:t>
      </w:r>
      <w:r w:rsidR="00137E61">
        <w:rPr>
          <w:rFonts w:ascii="Arial" w:hAnsi="Arial" w:cs="Arial"/>
        </w:rPr>
        <w:t xml:space="preserve"> plaintiff</w:t>
      </w:r>
      <w:r w:rsidR="00D42583">
        <w:rPr>
          <w:rFonts w:ascii="Arial" w:hAnsi="Arial" w:cs="Arial"/>
        </w:rPr>
        <w:t>’s evidence that he</w:t>
      </w:r>
      <w:r w:rsidR="00137E61">
        <w:rPr>
          <w:rFonts w:ascii="Arial" w:hAnsi="Arial" w:cs="Arial"/>
        </w:rPr>
        <w:t xml:space="preserve"> never received a list of the furniture and inventory even though he was of the </w:t>
      </w:r>
      <w:r w:rsidR="00137E61" w:rsidRPr="00D42583">
        <w:rPr>
          <w:rFonts w:ascii="Arial" w:hAnsi="Arial" w:cs="Arial"/>
          <w:i/>
        </w:rPr>
        <w:t>bona fide</w:t>
      </w:r>
      <w:r w:rsidR="00137E61">
        <w:rPr>
          <w:rFonts w:ascii="Arial" w:hAnsi="Arial" w:cs="Arial"/>
        </w:rPr>
        <w:t xml:space="preserve"> belief that he would receive same</w:t>
      </w:r>
      <w:r w:rsidR="003A1430">
        <w:rPr>
          <w:rFonts w:ascii="Arial" w:hAnsi="Arial" w:cs="Arial"/>
        </w:rPr>
        <w:t>,</w:t>
      </w:r>
      <w:r w:rsidR="00137E61">
        <w:rPr>
          <w:rFonts w:ascii="Arial" w:hAnsi="Arial" w:cs="Arial"/>
        </w:rPr>
        <w:t xml:space="preserve"> once the plaintiff and defendants had concluded the sale agreement. The first defendant pointed out to the plaintiff the furniture and inventory he </w:t>
      </w:r>
      <w:r w:rsidR="00137E61">
        <w:rPr>
          <w:rFonts w:ascii="Arial" w:hAnsi="Arial" w:cs="Arial"/>
        </w:rPr>
        <w:lastRenderedPageBreak/>
        <w:t xml:space="preserve">intended to sell to the plaintiff. This </w:t>
      </w:r>
      <w:r w:rsidR="00D42583">
        <w:rPr>
          <w:rFonts w:ascii="Arial" w:hAnsi="Arial" w:cs="Arial"/>
        </w:rPr>
        <w:t xml:space="preserve">pointing out </w:t>
      </w:r>
      <w:r w:rsidR="00137E61">
        <w:rPr>
          <w:rFonts w:ascii="Arial" w:hAnsi="Arial" w:cs="Arial"/>
        </w:rPr>
        <w:t>was sufficient to the plaintiff as the first defendant is a practicing attorney in Ge</w:t>
      </w:r>
      <w:r w:rsidR="00B96090">
        <w:rPr>
          <w:rFonts w:ascii="Arial" w:hAnsi="Arial" w:cs="Arial"/>
        </w:rPr>
        <w:t xml:space="preserve">rmany and the plaintiff </w:t>
      </w:r>
      <w:r w:rsidR="00D42583">
        <w:rPr>
          <w:rFonts w:ascii="Arial" w:hAnsi="Arial" w:cs="Arial"/>
        </w:rPr>
        <w:t>thus reposed his trust in the 1</w:t>
      </w:r>
      <w:r w:rsidR="00D42583" w:rsidRPr="00D42583">
        <w:rPr>
          <w:rFonts w:ascii="Arial" w:hAnsi="Arial" w:cs="Arial"/>
          <w:vertAlign w:val="superscript"/>
        </w:rPr>
        <w:t>st</w:t>
      </w:r>
      <w:r w:rsidR="00D42583">
        <w:rPr>
          <w:rFonts w:ascii="Arial" w:hAnsi="Arial" w:cs="Arial"/>
        </w:rPr>
        <w:t xml:space="preserve"> defendant.</w:t>
      </w:r>
    </w:p>
    <w:p w14:paraId="34C57B4A" w14:textId="77777777" w:rsidR="00137E61" w:rsidRDefault="00137E61" w:rsidP="00137E61">
      <w:pPr>
        <w:spacing w:line="360" w:lineRule="auto"/>
        <w:jc w:val="both"/>
        <w:rPr>
          <w:rFonts w:ascii="Arial" w:hAnsi="Arial" w:cs="Arial"/>
        </w:rPr>
      </w:pPr>
    </w:p>
    <w:p w14:paraId="0D7BEF72" w14:textId="549E0FC6" w:rsidR="00137E61" w:rsidRDefault="00D42583" w:rsidP="00137E61">
      <w:pPr>
        <w:spacing w:line="360" w:lineRule="auto"/>
        <w:jc w:val="both"/>
        <w:rPr>
          <w:rFonts w:ascii="Arial" w:hAnsi="Arial" w:cs="Arial"/>
        </w:rPr>
      </w:pPr>
      <w:r>
        <w:rPr>
          <w:rFonts w:ascii="Arial" w:hAnsi="Arial" w:cs="Arial"/>
        </w:rPr>
        <w:t>[2</w:t>
      </w:r>
      <w:r w:rsidR="00E30A45">
        <w:rPr>
          <w:rFonts w:ascii="Arial" w:hAnsi="Arial" w:cs="Arial"/>
        </w:rPr>
        <w:t>1</w:t>
      </w:r>
      <w:r>
        <w:rPr>
          <w:rFonts w:ascii="Arial" w:hAnsi="Arial" w:cs="Arial"/>
        </w:rPr>
        <w:t>]</w:t>
      </w:r>
      <w:r>
        <w:rPr>
          <w:rFonts w:ascii="Arial" w:hAnsi="Arial" w:cs="Arial"/>
        </w:rPr>
        <w:tab/>
      </w:r>
      <w:r w:rsidR="00137E61">
        <w:rPr>
          <w:rFonts w:ascii="Arial" w:hAnsi="Arial" w:cs="Arial"/>
        </w:rPr>
        <w:t>It is common cause that the plaintiff paid the defendants the N$</w:t>
      </w:r>
      <w:r w:rsidR="00E30A45">
        <w:rPr>
          <w:rFonts w:ascii="Arial" w:hAnsi="Arial" w:cs="Arial"/>
        </w:rPr>
        <w:t xml:space="preserve"> 400,000</w:t>
      </w:r>
      <w:r w:rsidR="00137E61">
        <w:rPr>
          <w:rFonts w:ascii="Arial" w:hAnsi="Arial" w:cs="Arial"/>
        </w:rPr>
        <w:t xml:space="preserve"> for the furniture and inventory as agreed.</w:t>
      </w:r>
      <w:r>
        <w:rPr>
          <w:rFonts w:ascii="Arial" w:hAnsi="Arial" w:cs="Arial"/>
        </w:rPr>
        <w:t xml:space="preserve"> </w:t>
      </w:r>
      <w:r w:rsidR="00137E61">
        <w:rPr>
          <w:rFonts w:ascii="Arial" w:hAnsi="Arial" w:cs="Arial"/>
        </w:rPr>
        <w:t>It is further common cause the furniture</w:t>
      </w:r>
      <w:r>
        <w:rPr>
          <w:rFonts w:ascii="Arial" w:hAnsi="Arial" w:cs="Arial"/>
        </w:rPr>
        <w:t xml:space="preserve"> and inventory was never listed;</w:t>
      </w:r>
      <w:r w:rsidR="00137E61">
        <w:rPr>
          <w:rFonts w:ascii="Arial" w:hAnsi="Arial" w:cs="Arial"/>
        </w:rPr>
        <w:t xml:space="preserve"> never signed or initial</w:t>
      </w:r>
      <w:r>
        <w:rPr>
          <w:rFonts w:ascii="Arial" w:hAnsi="Arial" w:cs="Arial"/>
        </w:rPr>
        <w:t>l</w:t>
      </w:r>
      <w:r w:rsidR="00137E61">
        <w:rPr>
          <w:rFonts w:ascii="Arial" w:hAnsi="Arial" w:cs="Arial"/>
        </w:rPr>
        <w:t>ed by the parties to be part of the sale agreement as an annexure.</w:t>
      </w:r>
    </w:p>
    <w:p w14:paraId="669DB0DE" w14:textId="77777777" w:rsidR="00137E61" w:rsidRDefault="00137E61" w:rsidP="00137E61">
      <w:pPr>
        <w:spacing w:line="360" w:lineRule="auto"/>
        <w:jc w:val="both"/>
        <w:rPr>
          <w:rFonts w:ascii="Arial" w:hAnsi="Arial" w:cs="Arial"/>
        </w:rPr>
      </w:pPr>
    </w:p>
    <w:p w14:paraId="4A97274A" w14:textId="3B5E7543" w:rsidR="00137E61" w:rsidRDefault="007F1403" w:rsidP="00137E61">
      <w:pPr>
        <w:spacing w:line="360" w:lineRule="auto"/>
        <w:jc w:val="both"/>
        <w:rPr>
          <w:rFonts w:ascii="Arial" w:hAnsi="Arial" w:cs="Arial"/>
        </w:rPr>
      </w:pPr>
      <w:r>
        <w:rPr>
          <w:rFonts w:ascii="Arial" w:hAnsi="Arial" w:cs="Arial"/>
        </w:rPr>
        <w:t>[22</w:t>
      </w:r>
      <w:r w:rsidR="00D42583">
        <w:rPr>
          <w:rFonts w:ascii="Arial" w:hAnsi="Arial" w:cs="Arial"/>
        </w:rPr>
        <w:t>]</w:t>
      </w:r>
      <w:r w:rsidR="00D42583">
        <w:rPr>
          <w:rFonts w:ascii="Arial" w:hAnsi="Arial" w:cs="Arial"/>
        </w:rPr>
        <w:tab/>
      </w:r>
      <w:r w:rsidR="00137E61">
        <w:rPr>
          <w:rFonts w:ascii="Arial" w:hAnsi="Arial" w:cs="Arial"/>
        </w:rPr>
        <w:t>The pl</w:t>
      </w:r>
      <w:r w:rsidR="00D42583">
        <w:rPr>
          <w:rFonts w:ascii="Arial" w:hAnsi="Arial" w:cs="Arial"/>
        </w:rPr>
        <w:t>ain</w:t>
      </w:r>
      <w:r w:rsidR="00B96090">
        <w:rPr>
          <w:rFonts w:ascii="Arial" w:hAnsi="Arial" w:cs="Arial"/>
        </w:rPr>
        <w:t>tiff and defendants arranged for the</w:t>
      </w:r>
      <w:r w:rsidR="00D42583">
        <w:rPr>
          <w:rFonts w:ascii="Arial" w:hAnsi="Arial" w:cs="Arial"/>
        </w:rPr>
        <w:t xml:space="preserve"> </w:t>
      </w:r>
      <w:r w:rsidR="00137E61">
        <w:rPr>
          <w:rFonts w:ascii="Arial" w:hAnsi="Arial" w:cs="Arial"/>
        </w:rPr>
        <w:t xml:space="preserve">occupation of the property and takeover of the furniture and inventory on 30 April 2011. </w:t>
      </w:r>
      <w:r w:rsidR="00D42583">
        <w:rPr>
          <w:rFonts w:ascii="Arial" w:hAnsi="Arial" w:cs="Arial"/>
        </w:rPr>
        <w:t>The plaintiff testified that when he</w:t>
      </w:r>
      <w:r w:rsidR="00137E61">
        <w:rPr>
          <w:rFonts w:ascii="Arial" w:hAnsi="Arial" w:cs="Arial"/>
        </w:rPr>
        <w:t xml:space="preserve"> arrived </w:t>
      </w:r>
      <w:r w:rsidR="00A2679D">
        <w:rPr>
          <w:rFonts w:ascii="Arial" w:hAnsi="Arial" w:cs="Arial"/>
        </w:rPr>
        <w:t>at the premises, he</w:t>
      </w:r>
      <w:r w:rsidR="00137E61">
        <w:rPr>
          <w:rFonts w:ascii="Arial" w:hAnsi="Arial" w:cs="Arial"/>
        </w:rPr>
        <w:t xml:space="preserve"> noticed a truck in front of the hous</w:t>
      </w:r>
      <w:r w:rsidR="00A2679D">
        <w:rPr>
          <w:rFonts w:ascii="Arial" w:hAnsi="Arial" w:cs="Arial"/>
        </w:rPr>
        <w:t>e and some</w:t>
      </w:r>
      <w:r w:rsidR="00137E61">
        <w:rPr>
          <w:rFonts w:ascii="Arial" w:hAnsi="Arial" w:cs="Arial"/>
        </w:rPr>
        <w:t xml:space="preserve"> people were busy loading boxes</w:t>
      </w:r>
      <w:r w:rsidR="00A2679D">
        <w:rPr>
          <w:rFonts w:ascii="Arial" w:hAnsi="Arial" w:cs="Arial"/>
        </w:rPr>
        <w:t xml:space="preserve"> from the house into the truck</w:t>
      </w:r>
      <w:r w:rsidR="00137E61">
        <w:rPr>
          <w:rFonts w:ascii="Arial" w:hAnsi="Arial" w:cs="Arial"/>
        </w:rPr>
        <w:t>. Only the second defendant was present</w:t>
      </w:r>
      <w:r w:rsidR="00A2679D">
        <w:rPr>
          <w:rFonts w:ascii="Arial" w:hAnsi="Arial" w:cs="Arial"/>
        </w:rPr>
        <w:t xml:space="preserve"> at that stage</w:t>
      </w:r>
      <w:r w:rsidR="00137E61">
        <w:rPr>
          <w:rFonts w:ascii="Arial" w:hAnsi="Arial" w:cs="Arial"/>
        </w:rPr>
        <w:t>.</w:t>
      </w:r>
    </w:p>
    <w:p w14:paraId="23CB1847" w14:textId="77777777" w:rsidR="00137E61" w:rsidRDefault="00137E61" w:rsidP="00137E61">
      <w:pPr>
        <w:spacing w:line="360" w:lineRule="auto"/>
        <w:jc w:val="both"/>
        <w:rPr>
          <w:rFonts w:ascii="Arial" w:hAnsi="Arial" w:cs="Arial"/>
        </w:rPr>
      </w:pPr>
    </w:p>
    <w:p w14:paraId="416F1FD4" w14:textId="26EB53DF" w:rsidR="00137E61" w:rsidRDefault="007F1403" w:rsidP="00137E61">
      <w:pPr>
        <w:spacing w:line="360" w:lineRule="auto"/>
        <w:jc w:val="both"/>
        <w:rPr>
          <w:rFonts w:ascii="Arial" w:hAnsi="Arial" w:cs="Arial"/>
        </w:rPr>
      </w:pPr>
      <w:r>
        <w:rPr>
          <w:rFonts w:ascii="Arial" w:hAnsi="Arial" w:cs="Arial"/>
        </w:rPr>
        <w:t>[23</w:t>
      </w:r>
      <w:r w:rsidR="00A2679D">
        <w:rPr>
          <w:rFonts w:ascii="Arial" w:hAnsi="Arial" w:cs="Arial"/>
        </w:rPr>
        <w:t>]</w:t>
      </w:r>
      <w:r w:rsidR="00A2679D">
        <w:rPr>
          <w:rFonts w:ascii="Arial" w:hAnsi="Arial" w:cs="Arial"/>
        </w:rPr>
        <w:tab/>
        <w:t>When the p</w:t>
      </w:r>
      <w:r w:rsidR="00137E61">
        <w:rPr>
          <w:rFonts w:ascii="Arial" w:hAnsi="Arial" w:cs="Arial"/>
        </w:rPr>
        <w:t xml:space="preserve">laintiff entered the house </w:t>
      </w:r>
      <w:r w:rsidR="00A2679D">
        <w:rPr>
          <w:rFonts w:ascii="Arial" w:hAnsi="Arial" w:cs="Arial"/>
        </w:rPr>
        <w:t>it was his evidence that he</w:t>
      </w:r>
      <w:r w:rsidR="00137E61">
        <w:rPr>
          <w:rFonts w:ascii="Arial" w:hAnsi="Arial" w:cs="Arial"/>
        </w:rPr>
        <w:t xml:space="preserve"> was shocked to discover that almost all the furniture and inventory had been removed</w:t>
      </w:r>
      <w:r w:rsidR="00A2679D">
        <w:rPr>
          <w:rFonts w:ascii="Arial" w:hAnsi="Arial" w:cs="Arial"/>
        </w:rPr>
        <w:t xml:space="preserve"> therefrom. </w:t>
      </w:r>
      <w:r w:rsidR="00E30A45">
        <w:rPr>
          <w:rFonts w:ascii="Arial" w:hAnsi="Arial" w:cs="Arial"/>
        </w:rPr>
        <w:t xml:space="preserve">In this regard, all the pictures, paintings, utensils, ornaments, wall clocks and lamps and other décor were removed. </w:t>
      </w:r>
      <w:r w:rsidR="00A2679D">
        <w:rPr>
          <w:rFonts w:ascii="Arial" w:hAnsi="Arial" w:cs="Arial"/>
        </w:rPr>
        <w:t>When he attemp</w:t>
      </w:r>
      <w:r w:rsidR="00137E61">
        <w:rPr>
          <w:rFonts w:ascii="Arial" w:hAnsi="Arial" w:cs="Arial"/>
        </w:rPr>
        <w:t xml:space="preserve">ted to discuss this </w:t>
      </w:r>
      <w:r w:rsidR="00A2679D">
        <w:rPr>
          <w:rFonts w:ascii="Arial" w:hAnsi="Arial" w:cs="Arial"/>
        </w:rPr>
        <w:t xml:space="preserve">issue </w:t>
      </w:r>
      <w:r w:rsidR="00137E61">
        <w:rPr>
          <w:rFonts w:ascii="Arial" w:hAnsi="Arial" w:cs="Arial"/>
        </w:rPr>
        <w:t>with the first defendant</w:t>
      </w:r>
      <w:r w:rsidR="00A2679D">
        <w:rPr>
          <w:rFonts w:ascii="Arial" w:hAnsi="Arial" w:cs="Arial"/>
        </w:rPr>
        <w:t>,</w:t>
      </w:r>
      <w:r w:rsidR="00137E61">
        <w:rPr>
          <w:rFonts w:ascii="Arial" w:hAnsi="Arial" w:cs="Arial"/>
        </w:rPr>
        <w:t xml:space="preserve"> </w:t>
      </w:r>
      <w:r w:rsidR="00A2679D">
        <w:rPr>
          <w:rFonts w:ascii="Arial" w:hAnsi="Arial" w:cs="Arial"/>
        </w:rPr>
        <w:t>t</w:t>
      </w:r>
      <w:r w:rsidR="00137E61">
        <w:rPr>
          <w:rFonts w:ascii="Arial" w:hAnsi="Arial" w:cs="Arial"/>
        </w:rPr>
        <w:t xml:space="preserve">he </w:t>
      </w:r>
      <w:r w:rsidR="00A2679D">
        <w:rPr>
          <w:rFonts w:ascii="Arial" w:hAnsi="Arial" w:cs="Arial"/>
        </w:rPr>
        <w:t xml:space="preserve">latter informed him </w:t>
      </w:r>
      <w:r w:rsidR="00137E61">
        <w:rPr>
          <w:rFonts w:ascii="Arial" w:hAnsi="Arial" w:cs="Arial"/>
        </w:rPr>
        <w:t>that he was on his way to Germa</w:t>
      </w:r>
      <w:r w:rsidR="00A2679D">
        <w:rPr>
          <w:rFonts w:ascii="Arial" w:hAnsi="Arial" w:cs="Arial"/>
        </w:rPr>
        <w:t xml:space="preserve">ny and had no </w:t>
      </w:r>
      <w:r w:rsidR="00410C95">
        <w:rPr>
          <w:rFonts w:ascii="Arial" w:hAnsi="Arial" w:cs="Arial"/>
        </w:rPr>
        <w:t>time to resolve the issue. The first</w:t>
      </w:r>
      <w:r w:rsidR="00137E61">
        <w:rPr>
          <w:rFonts w:ascii="Arial" w:hAnsi="Arial" w:cs="Arial"/>
        </w:rPr>
        <w:t xml:space="preserve"> defendant </w:t>
      </w:r>
      <w:r>
        <w:rPr>
          <w:rFonts w:ascii="Arial" w:hAnsi="Arial" w:cs="Arial"/>
        </w:rPr>
        <w:t>gave the plaintiff som</w:t>
      </w:r>
      <w:r w:rsidR="00B96090">
        <w:rPr>
          <w:rFonts w:ascii="Arial" w:hAnsi="Arial" w:cs="Arial"/>
        </w:rPr>
        <w:t>e of the keys and</w:t>
      </w:r>
      <w:r>
        <w:rPr>
          <w:rFonts w:ascii="Arial" w:hAnsi="Arial" w:cs="Arial"/>
        </w:rPr>
        <w:t xml:space="preserve"> </w:t>
      </w:r>
      <w:r w:rsidR="00E1254F">
        <w:rPr>
          <w:rFonts w:ascii="Arial" w:hAnsi="Arial" w:cs="Arial"/>
        </w:rPr>
        <w:t xml:space="preserve">informed </w:t>
      </w:r>
      <w:r w:rsidR="00B96090">
        <w:rPr>
          <w:rFonts w:ascii="Arial" w:hAnsi="Arial" w:cs="Arial"/>
        </w:rPr>
        <w:t xml:space="preserve">him that </w:t>
      </w:r>
      <w:r w:rsidR="00E1254F">
        <w:rPr>
          <w:rFonts w:ascii="Arial" w:hAnsi="Arial" w:cs="Arial"/>
        </w:rPr>
        <w:t>a</w:t>
      </w:r>
      <w:r w:rsidR="00A2679D">
        <w:rPr>
          <w:rFonts w:ascii="Arial" w:hAnsi="Arial" w:cs="Arial"/>
        </w:rPr>
        <w:t xml:space="preserve"> c</w:t>
      </w:r>
      <w:r w:rsidR="00A760B7">
        <w:rPr>
          <w:rFonts w:ascii="Arial" w:hAnsi="Arial" w:cs="Arial"/>
        </w:rPr>
        <w:t>ertain Mr</w:t>
      </w:r>
      <w:r w:rsidR="00A2679D">
        <w:rPr>
          <w:rFonts w:ascii="Arial" w:hAnsi="Arial" w:cs="Arial"/>
        </w:rPr>
        <w:t xml:space="preserve"> </w:t>
      </w:r>
      <w:proofErr w:type="spellStart"/>
      <w:r w:rsidR="00A2679D">
        <w:rPr>
          <w:rFonts w:ascii="Arial" w:hAnsi="Arial" w:cs="Arial"/>
        </w:rPr>
        <w:t>Schlusche</w:t>
      </w:r>
      <w:proofErr w:type="spellEnd"/>
      <w:r w:rsidR="00A2679D">
        <w:rPr>
          <w:rFonts w:ascii="Arial" w:hAnsi="Arial" w:cs="Arial"/>
        </w:rPr>
        <w:t xml:space="preserve"> wou</w:t>
      </w:r>
      <w:r w:rsidR="00137E61">
        <w:rPr>
          <w:rFonts w:ascii="Arial" w:hAnsi="Arial" w:cs="Arial"/>
        </w:rPr>
        <w:t>l</w:t>
      </w:r>
      <w:r w:rsidR="00A2679D">
        <w:rPr>
          <w:rFonts w:ascii="Arial" w:hAnsi="Arial" w:cs="Arial"/>
        </w:rPr>
        <w:t xml:space="preserve">d attend to cleaning the house </w:t>
      </w:r>
      <w:r w:rsidR="00E1254F">
        <w:rPr>
          <w:rFonts w:ascii="Arial" w:hAnsi="Arial" w:cs="Arial"/>
        </w:rPr>
        <w:t>where after</w:t>
      </w:r>
      <w:r w:rsidR="00A2679D">
        <w:rPr>
          <w:rFonts w:ascii="Arial" w:hAnsi="Arial" w:cs="Arial"/>
        </w:rPr>
        <w:t>,</w:t>
      </w:r>
      <w:r w:rsidR="00137E61">
        <w:rPr>
          <w:rFonts w:ascii="Arial" w:hAnsi="Arial" w:cs="Arial"/>
        </w:rPr>
        <w:t xml:space="preserve"> the plaintiff would receive the remaining keys</w:t>
      </w:r>
      <w:r w:rsidR="00A2679D">
        <w:rPr>
          <w:rFonts w:ascii="Arial" w:hAnsi="Arial" w:cs="Arial"/>
        </w:rPr>
        <w:t xml:space="preserve"> to the property</w:t>
      </w:r>
      <w:r w:rsidR="00137E61">
        <w:rPr>
          <w:rFonts w:ascii="Arial" w:hAnsi="Arial" w:cs="Arial"/>
        </w:rPr>
        <w:t>.</w:t>
      </w:r>
    </w:p>
    <w:p w14:paraId="5F24DF28" w14:textId="77777777" w:rsidR="00137E61" w:rsidRDefault="00137E61" w:rsidP="00137E61">
      <w:pPr>
        <w:spacing w:line="360" w:lineRule="auto"/>
        <w:jc w:val="both"/>
        <w:rPr>
          <w:rFonts w:ascii="Arial" w:hAnsi="Arial" w:cs="Arial"/>
        </w:rPr>
      </w:pPr>
    </w:p>
    <w:p w14:paraId="2491E4E3" w14:textId="056428ED" w:rsidR="00137E61" w:rsidRDefault="007F1403" w:rsidP="00137E61">
      <w:pPr>
        <w:spacing w:line="360" w:lineRule="auto"/>
        <w:jc w:val="both"/>
        <w:rPr>
          <w:rFonts w:ascii="Arial" w:hAnsi="Arial" w:cs="Arial"/>
        </w:rPr>
      </w:pPr>
      <w:r>
        <w:rPr>
          <w:rFonts w:ascii="Arial" w:hAnsi="Arial" w:cs="Arial"/>
        </w:rPr>
        <w:t>[24</w:t>
      </w:r>
      <w:r w:rsidR="00A2679D">
        <w:rPr>
          <w:rFonts w:ascii="Arial" w:hAnsi="Arial" w:cs="Arial"/>
        </w:rPr>
        <w:t>]</w:t>
      </w:r>
      <w:r w:rsidR="00A2679D">
        <w:rPr>
          <w:rFonts w:ascii="Arial" w:hAnsi="Arial" w:cs="Arial"/>
        </w:rPr>
        <w:tab/>
        <w:t xml:space="preserve">The plaintiff further testified that </w:t>
      </w:r>
      <w:r w:rsidR="00A760B7">
        <w:rPr>
          <w:rFonts w:ascii="Arial" w:hAnsi="Arial" w:cs="Arial"/>
        </w:rPr>
        <w:t>Mr</w:t>
      </w:r>
      <w:r w:rsidR="00137E61">
        <w:rPr>
          <w:rFonts w:ascii="Arial" w:hAnsi="Arial" w:cs="Arial"/>
        </w:rPr>
        <w:t xml:space="preserve"> </w:t>
      </w:r>
      <w:proofErr w:type="spellStart"/>
      <w:r w:rsidR="00137E61">
        <w:rPr>
          <w:rFonts w:ascii="Arial" w:hAnsi="Arial" w:cs="Arial"/>
        </w:rPr>
        <w:t>Schlusche</w:t>
      </w:r>
      <w:proofErr w:type="spellEnd"/>
      <w:r w:rsidR="00A2679D">
        <w:rPr>
          <w:rFonts w:ascii="Arial" w:hAnsi="Arial" w:cs="Arial"/>
        </w:rPr>
        <w:t>, however,</w:t>
      </w:r>
      <w:r w:rsidR="00137E61">
        <w:rPr>
          <w:rFonts w:ascii="Arial" w:hAnsi="Arial" w:cs="Arial"/>
        </w:rPr>
        <w:t xml:space="preserve"> never came to clean the house and when the plaintiff con</w:t>
      </w:r>
      <w:r w:rsidR="00A760B7">
        <w:rPr>
          <w:rFonts w:ascii="Arial" w:hAnsi="Arial" w:cs="Arial"/>
        </w:rPr>
        <w:t>fronted Mr</w:t>
      </w:r>
      <w:r w:rsidR="00137E61">
        <w:rPr>
          <w:rFonts w:ascii="Arial" w:hAnsi="Arial" w:cs="Arial"/>
        </w:rPr>
        <w:t xml:space="preserve"> </w:t>
      </w:r>
      <w:proofErr w:type="spellStart"/>
      <w:r w:rsidR="00137E61">
        <w:rPr>
          <w:rFonts w:ascii="Arial" w:hAnsi="Arial" w:cs="Arial"/>
        </w:rPr>
        <w:t>Schlusche</w:t>
      </w:r>
      <w:proofErr w:type="spellEnd"/>
      <w:r w:rsidR="00137E61">
        <w:rPr>
          <w:rFonts w:ascii="Arial" w:hAnsi="Arial" w:cs="Arial"/>
        </w:rPr>
        <w:t xml:space="preserve"> on receiving the remaining keys, </w:t>
      </w:r>
      <w:r w:rsidR="00A2679D">
        <w:rPr>
          <w:rFonts w:ascii="Arial" w:hAnsi="Arial" w:cs="Arial"/>
        </w:rPr>
        <w:t xml:space="preserve">the latter </w:t>
      </w:r>
      <w:r w:rsidR="00137E61">
        <w:rPr>
          <w:rFonts w:ascii="Arial" w:hAnsi="Arial" w:cs="Arial"/>
        </w:rPr>
        <w:t xml:space="preserve">insisted the plaintiff </w:t>
      </w:r>
      <w:r w:rsidR="00A2679D">
        <w:rPr>
          <w:rFonts w:ascii="Arial" w:hAnsi="Arial" w:cs="Arial"/>
        </w:rPr>
        <w:t xml:space="preserve">should </w:t>
      </w:r>
      <w:r w:rsidR="00137E61">
        <w:rPr>
          <w:rFonts w:ascii="Arial" w:hAnsi="Arial" w:cs="Arial"/>
        </w:rPr>
        <w:t xml:space="preserve">sign </w:t>
      </w:r>
      <w:r w:rsidR="00A2679D">
        <w:rPr>
          <w:rFonts w:ascii="Arial" w:hAnsi="Arial" w:cs="Arial"/>
        </w:rPr>
        <w:t xml:space="preserve">an acknowledgment stating that </w:t>
      </w:r>
      <w:r w:rsidR="00137E61">
        <w:rPr>
          <w:rFonts w:ascii="Arial" w:hAnsi="Arial" w:cs="Arial"/>
        </w:rPr>
        <w:t xml:space="preserve">he </w:t>
      </w:r>
      <w:r w:rsidR="00A2679D">
        <w:rPr>
          <w:rFonts w:ascii="Arial" w:hAnsi="Arial" w:cs="Arial"/>
        </w:rPr>
        <w:t>had</w:t>
      </w:r>
      <w:r w:rsidR="00137E61">
        <w:rPr>
          <w:rFonts w:ascii="Arial" w:hAnsi="Arial" w:cs="Arial"/>
        </w:rPr>
        <w:t xml:space="preserve"> received the property, furniture and</w:t>
      </w:r>
      <w:r w:rsidR="00A2679D">
        <w:rPr>
          <w:rFonts w:ascii="Arial" w:hAnsi="Arial" w:cs="Arial"/>
        </w:rPr>
        <w:t xml:space="preserve"> fittings in good order. This,</w:t>
      </w:r>
      <w:r w:rsidR="00137E61">
        <w:rPr>
          <w:rFonts w:ascii="Arial" w:hAnsi="Arial" w:cs="Arial"/>
        </w:rPr>
        <w:t xml:space="preserve"> the plaintiff</w:t>
      </w:r>
      <w:r w:rsidR="00A2679D">
        <w:rPr>
          <w:rFonts w:ascii="Arial" w:hAnsi="Arial" w:cs="Arial"/>
        </w:rPr>
        <w:t xml:space="preserve"> testified, he</w:t>
      </w:r>
      <w:r w:rsidR="00137E61">
        <w:rPr>
          <w:rFonts w:ascii="Arial" w:hAnsi="Arial" w:cs="Arial"/>
        </w:rPr>
        <w:t xml:space="preserve"> was not prepared to do.</w:t>
      </w:r>
    </w:p>
    <w:p w14:paraId="0C06ACC3" w14:textId="77777777" w:rsidR="00137E61" w:rsidRDefault="00137E61" w:rsidP="00137E61">
      <w:pPr>
        <w:spacing w:line="360" w:lineRule="auto"/>
        <w:jc w:val="both"/>
        <w:rPr>
          <w:rFonts w:ascii="Arial" w:hAnsi="Arial" w:cs="Arial"/>
        </w:rPr>
      </w:pPr>
    </w:p>
    <w:p w14:paraId="60366ED7" w14:textId="64F460FA" w:rsidR="00A91890" w:rsidRDefault="007F1403" w:rsidP="00137E61">
      <w:pPr>
        <w:spacing w:line="360" w:lineRule="auto"/>
        <w:jc w:val="both"/>
        <w:rPr>
          <w:rFonts w:ascii="Arial" w:hAnsi="Arial" w:cs="Arial"/>
        </w:rPr>
      </w:pPr>
      <w:r>
        <w:rPr>
          <w:rFonts w:ascii="Arial" w:hAnsi="Arial" w:cs="Arial"/>
        </w:rPr>
        <w:t>[25</w:t>
      </w:r>
      <w:r w:rsidR="00A2679D">
        <w:rPr>
          <w:rFonts w:ascii="Arial" w:hAnsi="Arial" w:cs="Arial"/>
        </w:rPr>
        <w:t>]</w:t>
      </w:r>
      <w:r w:rsidR="00A2679D">
        <w:rPr>
          <w:rFonts w:ascii="Arial" w:hAnsi="Arial" w:cs="Arial"/>
        </w:rPr>
        <w:tab/>
      </w:r>
      <w:r w:rsidR="00137E61">
        <w:rPr>
          <w:rFonts w:ascii="Arial" w:hAnsi="Arial" w:cs="Arial"/>
        </w:rPr>
        <w:t>The plaintiff</w:t>
      </w:r>
      <w:r w:rsidR="00A2679D">
        <w:rPr>
          <w:rFonts w:ascii="Arial" w:hAnsi="Arial" w:cs="Arial"/>
        </w:rPr>
        <w:t xml:space="preserve"> in the course of time</w:t>
      </w:r>
      <w:r w:rsidR="00137E61">
        <w:rPr>
          <w:rFonts w:ascii="Arial" w:hAnsi="Arial" w:cs="Arial"/>
        </w:rPr>
        <w:t xml:space="preserve"> faxed </w:t>
      </w:r>
      <w:r w:rsidR="00A2679D">
        <w:rPr>
          <w:rFonts w:ascii="Arial" w:hAnsi="Arial" w:cs="Arial"/>
        </w:rPr>
        <w:t xml:space="preserve">a letter to </w:t>
      </w:r>
      <w:r w:rsidR="00137E61">
        <w:rPr>
          <w:rFonts w:ascii="Arial" w:hAnsi="Arial" w:cs="Arial"/>
        </w:rPr>
        <w:t>the defendants complaining about the furniture</w:t>
      </w:r>
      <w:r w:rsidR="00A2679D">
        <w:rPr>
          <w:rFonts w:ascii="Arial" w:hAnsi="Arial" w:cs="Arial"/>
        </w:rPr>
        <w:t>. The defendants responded thereto by letter, saying</w:t>
      </w:r>
      <w:r w:rsidR="00137E61">
        <w:rPr>
          <w:rFonts w:ascii="Arial" w:hAnsi="Arial" w:cs="Arial"/>
        </w:rPr>
        <w:t xml:space="preserve"> that </w:t>
      </w:r>
      <w:r w:rsidR="00A2679D">
        <w:rPr>
          <w:rFonts w:ascii="Arial" w:hAnsi="Arial" w:cs="Arial"/>
        </w:rPr>
        <w:t>t</w:t>
      </w:r>
      <w:r w:rsidR="00137E61">
        <w:rPr>
          <w:rFonts w:ascii="Arial" w:hAnsi="Arial" w:cs="Arial"/>
        </w:rPr>
        <w:t xml:space="preserve">he </w:t>
      </w:r>
      <w:r w:rsidR="00A2679D">
        <w:rPr>
          <w:rFonts w:ascii="Arial" w:hAnsi="Arial" w:cs="Arial"/>
        </w:rPr>
        <w:t xml:space="preserve">plaintiff had </w:t>
      </w:r>
      <w:r w:rsidR="00137E61">
        <w:rPr>
          <w:rFonts w:ascii="Arial" w:hAnsi="Arial" w:cs="Arial"/>
        </w:rPr>
        <w:t>never requested for an inventory</w:t>
      </w:r>
      <w:r w:rsidR="00A2679D">
        <w:rPr>
          <w:rFonts w:ascii="Arial" w:hAnsi="Arial" w:cs="Arial"/>
        </w:rPr>
        <w:t xml:space="preserve"> list. There</w:t>
      </w:r>
      <w:r w:rsidR="00137E61">
        <w:rPr>
          <w:rFonts w:ascii="Arial" w:hAnsi="Arial" w:cs="Arial"/>
        </w:rPr>
        <w:t>after</w:t>
      </w:r>
      <w:r w:rsidR="00A2679D">
        <w:rPr>
          <w:rFonts w:ascii="Arial" w:hAnsi="Arial" w:cs="Arial"/>
        </w:rPr>
        <w:t xml:space="preserve">, </w:t>
      </w:r>
      <w:r w:rsidR="00A2679D">
        <w:rPr>
          <w:rFonts w:ascii="Arial" w:hAnsi="Arial" w:cs="Arial"/>
        </w:rPr>
        <w:lastRenderedPageBreak/>
        <w:t>the plaintiff</w:t>
      </w:r>
      <w:r w:rsidR="00137E61">
        <w:rPr>
          <w:rFonts w:ascii="Arial" w:hAnsi="Arial" w:cs="Arial"/>
        </w:rPr>
        <w:t xml:space="preserve"> appo</w:t>
      </w:r>
      <w:r w:rsidR="00A760B7">
        <w:rPr>
          <w:rFonts w:ascii="Arial" w:hAnsi="Arial" w:cs="Arial"/>
        </w:rPr>
        <w:t>inted an expert Mr</w:t>
      </w:r>
      <w:r w:rsidR="00A91890">
        <w:rPr>
          <w:rFonts w:ascii="Arial" w:hAnsi="Arial" w:cs="Arial"/>
        </w:rPr>
        <w:t xml:space="preserve"> </w:t>
      </w:r>
      <w:proofErr w:type="spellStart"/>
      <w:r w:rsidR="00A91890">
        <w:rPr>
          <w:rFonts w:ascii="Arial" w:hAnsi="Arial" w:cs="Arial"/>
        </w:rPr>
        <w:t>Hasso</w:t>
      </w:r>
      <w:proofErr w:type="spellEnd"/>
      <w:r w:rsidR="00A91890">
        <w:rPr>
          <w:rFonts w:ascii="Arial" w:hAnsi="Arial" w:cs="Arial"/>
        </w:rPr>
        <w:t xml:space="preserve"> </w:t>
      </w:r>
      <w:proofErr w:type="spellStart"/>
      <w:r w:rsidR="00A91890">
        <w:rPr>
          <w:rFonts w:ascii="Arial" w:hAnsi="Arial" w:cs="Arial"/>
        </w:rPr>
        <w:t>Gantze</w:t>
      </w:r>
      <w:proofErr w:type="spellEnd"/>
      <w:r w:rsidR="00137E61">
        <w:rPr>
          <w:rFonts w:ascii="Arial" w:hAnsi="Arial" w:cs="Arial"/>
        </w:rPr>
        <w:t xml:space="preserve"> to </w:t>
      </w:r>
      <w:r w:rsidR="00B96090">
        <w:rPr>
          <w:rFonts w:ascii="Arial" w:hAnsi="Arial" w:cs="Arial"/>
        </w:rPr>
        <w:t>e</w:t>
      </w:r>
      <w:r w:rsidR="00137E61">
        <w:rPr>
          <w:rFonts w:ascii="Arial" w:hAnsi="Arial" w:cs="Arial"/>
        </w:rPr>
        <w:t>valu</w:t>
      </w:r>
      <w:r w:rsidR="00B96090">
        <w:rPr>
          <w:rFonts w:ascii="Arial" w:hAnsi="Arial" w:cs="Arial"/>
        </w:rPr>
        <w:t>at</w:t>
      </w:r>
      <w:r w:rsidR="00137E61">
        <w:rPr>
          <w:rFonts w:ascii="Arial" w:hAnsi="Arial" w:cs="Arial"/>
        </w:rPr>
        <w:t>e the property in the house, which h</w:t>
      </w:r>
      <w:r>
        <w:rPr>
          <w:rFonts w:ascii="Arial" w:hAnsi="Arial" w:cs="Arial"/>
        </w:rPr>
        <w:t>e found to be worth N$ 16,130</w:t>
      </w:r>
      <w:r w:rsidR="008C039F">
        <w:rPr>
          <w:rFonts w:ascii="Arial" w:hAnsi="Arial" w:cs="Arial"/>
        </w:rPr>
        <w:t>,</w:t>
      </w:r>
      <w:r>
        <w:rPr>
          <w:rFonts w:ascii="Arial" w:hAnsi="Arial" w:cs="Arial"/>
        </w:rPr>
        <w:t xml:space="preserve"> and to that effect attached his report and ascertainment of the value of the property</w:t>
      </w:r>
      <w:r w:rsidR="00137E61">
        <w:rPr>
          <w:rFonts w:ascii="Arial" w:hAnsi="Arial" w:cs="Arial"/>
        </w:rPr>
        <w:t>.</w:t>
      </w:r>
      <w:r w:rsidR="00A2679D">
        <w:rPr>
          <w:rFonts w:ascii="Arial" w:hAnsi="Arial" w:cs="Arial"/>
        </w:rPr>
        <w:t xml:space="preserve"> </w:t>
      </w:r>
    </w:p>
    <w:p w14:paraId="7C35C4F7" w14:textId="77777777" w:rsidR="00A91890" w:rsidRDefault="00A91890" w:rsidP="00137E61">
      <w:pPr>
        <w:spacing w:line="360" w:lineRule="auto"/>
        <w:jc w:val="both"/>
        <w:rPr>
          <w:rFonts w:ascii="Arial" w:hAnsi="Arial" w:cs="Arial"/>
        </w:rPr>
      </w:pPr>
    </w:p>
    <w:p w14:paraId="3C55C58C" w14:textId="3D51B745" w:rsidR="003A2EE2" w:rsidRDefault="00A91890" w:rsidP="00137E61">
      <w:pPr>
        <w:spacing w:line="360" w:lineRule="auto"/>
        <w:jc w:val="both"/>
        <w:rPr>
          <w:rFonts w:ascii="Arial" w:hAnsi="Arial" w:cs="Arial"/>
        </w:rPr>
      </w:pPr>
      <w:r>
        <w:rPr>
          <w:rFonts w:ascii="Arial" w:hAnsi="Arial" w:cs="Arial"/>
        </w:rPr>
        <w:t>[26]</w:t>
      </w:r>
      <w:r>
        <w:rPr>
          <w:rFonts w:ascii="Arial" w:hAnsi="Arial" w:cs="Arial"/>
        </w:rPr>
        <w:tab/>
        <w:t>For the purposes of the trial, however, the plaintif</w:t>
      </w:r>
      <w:r w:rsidR="00A760B7">
        <w:rPr>
          <w:rFonts w:ascii="Arial" w:hAnsi="Arial" w:cs="Arial"/>
        </w:rPr>
        <w:t>f called Mr</w:t>
      </w:r>
      <w:r>
        <w:rPr>
          <w:rFonts w:ascii="Arial" w:hAnsi="Arial" w:cs="Arial"/>
        </w:rPr>
        <w:t xml:space="preserve"> Michael </w:t>
      </w:r>
      <w:proofErr w:type="spellStart"/>
      <w:r>
        <w:rPr>
          <w:rFonts w:ascii="Arial" w:hAnsi="Arial" w:cs="Arial"/>
        </w:rPr>
        <w:t>Kriner</w:t>
      </w:r>
      <w:proofErr w:type="spellEnd"/>
      <w:r>
        <w:rPr>
          <w:rFonts w:ascii="Arial" w:hAnsi="Arial" w:cs="Arial"/>
        </w:rPr>
        <w:t xml:space="preserve">, an adult male assessor based in </w:t>
      </w:r>
      <w:proofErr w:type="spellStart"/>
      <w:r>
        <w:rPr>
          <w:rFonts w:ascii="Arial" w:hAnsi="Arial" w:cs="Arial"/>
        </w:rPr>
        <w:t>Swakopmund</w:t>
      </w:r>
      <w:proofErr w:type="spellEnd"/>
      <w:r>
        <w:rPr>
          <w:rFonts w:ascii="Arial" w:hAnsi="Arial" w:cs="Arial"/>
        </w:rPr>
        <w:t xml:space="preserve">, who assesses, amongst other things, second-hand furniture and household goods. </w:t>
      </w:r>
      <w:r w:rsidR="00A2679D">
        <w:rPr>
          <w:rFonts w:ascii="Arial" w:hAnsi="Arial" w:cs="Arial"/>
        </w:rPr>
        <w:t xml:space="preserve">His </w:t>
      </w:r>
      <w:r>
        <w:rPr>
          <w:rFonts w:ascii="Arial" w:hAnsi="Arial" w:cs="Arial"/>
        </w:rPr>
        <w:t xml:space="preserve">curriculum </w:t>
      </w:r>
      <w:r>
        <w:rPr>
          <w:rFonts w:ascii="Arial" w:hAnsi="Arial" w:cs="Arial"/>
          <w:i/>
        </w:rPr>
        <w:t xml:space="preserve">vitae </w:t>
      </w:r>
      <w:r>
        <w:rPr>
          <w:rFonts w:ascii="Arial" w:hAnsi="Arial" w:cs="Arial"/>
        </w:rPr>
        <w:t xml:space="preserve">was attached to his witness’ statement. </w:t>
      </w:r>
      <w:r w:rsidR="007F1403">
        <w:rPr>
          <w:rFonts w:ascii="Arial" w:hAnsi="Arial" w:cs="Arial"/>
        </w:rPr>
        <w:t>I am satisfied</w:t>
      </w:r>
      <w:r w:rsidR="00B96090">
        <w:rPr>
          <w:rFonts w:ascii="Arial" w:hAnsi="Arial" w:cs="Arial"/>
        </w:rPr>
        <w:t xml:space="preserve"> that he is an expert in his fi</w:t>
      </w:r>
      <w:r w:rsidR="007F1403">
        <w:rPr>
          <w:rFonts w:ascii="Arial" w:hAnsi="Arial" w:cs="Arial"/>
        </w:rPr>
        <w:t>e</w:t>
      </w:r>
      <w:r w:rsidR="00B96090">
        <w:rPr>
          <w:rFonts w:ascii="Arial" w:hAnsi="Arial" w:cs="Arial"/>
        </w:rPr>
        <w:t>l</w:t>
      </w:r>
      <w:r w:rsidR="007F1403">
        <w:rPr>
          <w:rFonts w:ascii="Arial" w:hAnsi="Arial" w:cs="Arial"/>
        </w:rPr>
        <w:t xml:space="preserve">d and the court is perfectly entitled to rely on his expert testimony. </w:t>
      </w:r>
      <w:r>
        <w:rPr>
          <w:rFonts w:ascii="Arial" w:hAnsi="Arial" w:cs="Arial"/>
        </w:rPr>
        <w:t xml:space="preserve">He valued the second hand furniture and household goods at the plaintiff’s house at N$ 20 830.  His evidence was not contested and must for that reason, be accepted without demur. </w:t>
      </w:r>
      <w:r w:rsidR="00A2679D">
        <w:rPr>
          <w:rFonts w:ascii="Arial" w:hAnsi="Arial" w:cs="Arial"/>
        </w:rPr>
        <w:t>The plaintiff thereafter closed his case.</w:t>
      </w:r>
    </w:p>
    <w:p w14:paraId="66918634" w14:textId="77777777" w:rsidR="00137E61" w:rsidRDefault="00137E61" w:rsidP="00137E61">
      <w:pPr>
        <w:spacing w:line="360" w:lineRule="auto"/>
        <w:jc w:val="both"/>
        <w:rPr>
          <w:rFonts w:ascii="Arial" w:hAnsi="Arial" w:cs="Arial"/>
        </w:rPr>
      </w:pPr>
    </w:p>
    <w:p w14:paraId="77D67831" w14:textId="6AE9CC84" w:rsidR="00137E61" w:rsidRPr="00A2679D" w:rsidRDefault="00A2679D" w:rsidP="00137E61">
      <w:pPr>
        <w:spacing w:line="360" w:lineRule="auto"/>
        <w:jc w:val="both"/>
        <w:rPr>
          <w:rFonts w:ascii="Arial" w:hAnsi="Arial" w:cs="Arial"/>
          <w:i/>
        </w:rPr>
      </w:pPr>
      <w:r>
        <w:rPr>
          <w:rFonts w:ascii="Arial" w:hAnsi="Arial" w:cs="Arial"/>
          <w:i/>
        </w:rPr>
        <w:t>The defendants’ case</w:t>
      </w:r>
    </w:p>
    <w:p w14:paraId="79CDE0F0" w14:textId="77777777" w:rsidR="00137E61" w:rsidRDefault="00137E61" w:rsidP="00137E61">
      <w:pPr>
        <w:spacing w:line="360" w:lineRule="auto"/>
        <w:jc w:val="both"/>
        <w:rPr>
          <w:rFonts w:ascii="Arial" w:hAnsi="Arial" w:cs="Arial"/>
        </w:rPr>
      </w:pPr>
    </w:p>
    <w:p w14:paraId="3D2B6E84" w14:textId="0CBF0281" w:rsidR="00137E61" w:rsidRDefault="00A91890" w:rsidP="00137E61">
      <w:pPr>
        <w:spacing w:line="360" w:lineRule="auto"/>
        <w:jc w:val="both"/>
        <w:rPr>
          <w:rFonts w:ascii="Arial" w:hAnsi="Arial" w:cs="Arial"/>
        </w:rPr>
      </w:pPr>
      <w:r>
        <w:rPr>
          <w:rFonts w:ascii="Arial" w:hAnsi="Arial" w:cs="Arial"/>
        </w:rPr>
        <w:t>[27</w:t>
      </w:r>
      <w:r w:rsidR="00A2679D">
        <w:rPr>
          <w:rFonts w:ascii="Arial" w:hAnsi="Arial" w:cs="Arial"/>
        </w:rPr>
        <w:t>]</w:t>
      </w:r>
      <w:r w:rsidR="00A2679D">
        <w:rPr>
          <w:rFonts w:ascii="Arial" w:hAnsi="Arial" w:cs="Arial"/>
        </w:rPr>
        <w:tab/>
        <w:t>As indicated earlier, t</w:t>
      </w:r>
      <w:r w:rsidR="00137E61">
        <w:rPr>
          <w:rFonts w:ascii="Arial" w:hAnsi="Arial" w:cs="Arial"/>
        </w:rPr>
        <w:t xml:space="preserve">he first </w:t>
      </w:r>
      <w:r w:rsidR="00A2679D">
        <w:rPr>
          <w:rFonts w:ascii="Arial" w:hAnsi="Arial" w:cs="Arial"/>
        </w:rPr>
        <w:t xml:space="preserve">defendant testified. His evidence was that he </w:t>
      </w:r>
      <w:r w:rsidR="00137E61">
        <w:rPr>
          <w:rFonts w:ascii="Arial" w:hAnsi="Arial" w:cs="Arial"/>
        </w:rPr>
        <w:t xml:space="preserve">and second defendants were co-owners </w:t>
      </w:r>
      <w:r w:rsidR="00A2679D">
        <w:rPr>
          <w:rFonts w:ascii="Arial" w:hAnsi="Arial" w:cs="Arial"/>
        </w:rPr>
        <w:t xml:space="preserve">of </w:t>
      </w:r>
      <w:proofErr w:type="spellStart"/>
      <w:r w:rsidR="00A2679D">
        <w:rPr>
          <w:rFonts w:ascii="Arial" w:hAnsi="Arial" w:cs="Arial"/>
        </w:rPr>
        <w:t>Eulennest</w:t>
      </w:r>
      <w:proofErr w:type="spellEnd"/>
      <w:r w:rsidR="00A2679D">
        <w:rPr>
          <w:rFonts w:ascii="Arial" w:hAnsi="Arial" w:cs="Arial"/>
        </w:rPr>
        <w:t xml:space="preserve"> Investment CC whose</w:t>
      </w:r>
      <w:r w:rsidR="00137E61">
        <w:rPr>
          <w:rFonts w:ascii="Arial" w:hAnsi="Arial" w:cs="Arial"/>
        </w:rPr>
        <w:t xml:space="preserve"> member</w:t>
      </w:r>
      <w:r w:rsidR="00A2679D">
        <w:rPr>
          <w:rFonts w:ascii="Arial" w:hAnsi="Arial" w:cs="Arial"/>
        </w:rPr>
        <w:t>s’</w:t>
      </w:r>
      <w:r w:rsidR="00137E61">
        <w:rPr>
          <w:rFonts w:ascii="Arial" w:hAnsi="Arial" w:cs="Arial"/>
        </w:rPr>
        <w:t xml:space="preserve"> interest they sold to the plaintiff on 19 February 2011.</w:t>
      </w:r>
      <w:r w:rsidR="00A2679D">
        <w:rPr>
          <w:rFonts w:ascii="Arial" w:hAnsi="Arial" w:cs="Arial"/>
        </w:rPr>
        <w:t xml:space="preserve"> </w:t>
      </w:r>
      <w:r w:rsidR="00137E61">
        <w:rPr>
          <w:rFonts w:ascii="Arial" w:hAnsi="Arial" w:cs="Arial"/>
        </w:rPr>
        <w:t>The first defendant testified that the purchase price was fixed at N$2,800,000.00 and that no specific allocation of house, garden and inventory was made.</w:t>
      </w:r>
    </w:p>
    <w:p w14:paraId="463B97A5" w14:textId="77777777" w:rsidR="00137E61" w:rsidRDefault="00137E61" w:rsidP="00137E61">
      <w:pPr>
        <w:spacing w:line="360" w:lineRule="auto"/>
        <w:jc w:val="both"/>
        <w:rPr>
          <w:rFonts w:ascii="Arial" w:hAnsi="Arial" w:cs="Arial"/>
        </w:rPr>
      </w:pPr>
    </w:p>
    <w:p w14:paraId="1C1726BF" w14:textId="069C6860" w:rsidR="00137E61" w:rsidRDefault="00A91890" w:rsidP="00137E61">
      <w:pPr>
        <w:spacing w:line="360" w:lineRule="auto"/>
        <w:jc w:val="both"/>
        <w:rPr>
          <w:rFonts w:ascii="Arial" w:hAnsi="Arial" w:cs="Arial"/>
        </w:rPr>
      </w:pPr>
      <w:r>
        <w:rPr>
          <w:rFonts w:ascii="Arial" w:hAnsi="Arial" w:cs="Arial"/>
        </w:rPr>
        <w:t>[28</w:t>
      </w:r>
      <w:r w:rsidR="00C06C69">
        <w:rPr>
          <w:rFonts w:ascii="Arial" w:hAnsi="Arial" w:cs="Arial"/>
        </w:rPr>
        <w:t>]</w:t>
      </w:r>
      <w:r w:rsidR="00C06C69">
        <w:rPr>
          <w:rFonts w:ascii="Arial" w:hAnsi="Arial" w:cs="Arial"/>
        </w:rPr>
        <w:tab/>
      </w:r>
      <w:r w:rsidR="00137E61">
        <w:rPr>
          <w:rFonts w:ascii="Arial" w:hAnsi="Arial" w:cs="Arial"/>
        </w:rPr>
        <w:t>The first defendant further testified that t</w:t>
      </w:r>
      <w:r w:rsidR="00A760B7">
        <w:rPr>
          <w:rFonts w:ascii="Arial" w:hAnsi="Arial" w:cs="Arial"/>
        </w:rPr>
        <w:t>he plaintiff had recommended Mr</w:t>
      </w:r>
      <w:r w:rsidR="00137E61">
        <w:rPr>
          <w:rFonts w:ascii="Arial" w:hAnsi="Arial" w:cs="Arial"/>
        </w:rPr>
        <w:t xml:space="preserve"> Ahrens from Ahrens &amp; Associates</w:t>
      </w:r>
      <w:r w:rsidR="00C06C69">
        <w:rPr>
          <w:rFonts w:ascii="Arial" w:hAnsi="Arial" w:cs="Arial"/>
        </w:rPr>
        <w:t xml:space="preserve"> </w:t>
      </w:r>
      <w:r w:rsidR="00B96090">
        <w:rPr>
          <w:rFonts w:ascii="Arial" w:hAnsi="Arial" w:cs="Arial"/>
        </w:rPr>
        <w:t xml:space="preserve">to </w:t>
      </w:r>
      <w:r w:rsidR="00C06C69">
        <w:rPr>
          <w:rFonts w:ascii="Arial" w:hAnsi="Arial" w:cs="Arial"/>
        </w:rPr>
        <w:t>draft the agreemen</w:t>
      </w:r>
      <w:r w:rsidR="00B96090">
        <w:rPr>
          <w:rFonts w:ascii="Arial" w:hAnsi="Arial" w:cs="Arial"/>
        </w:rPr>
        <w:t>t of sale between the parties. The f</w:t>
      </w:r>
      <w:r w:rsidR="00C06C69">
        <w:rPr>
          <w:rFonts w:ascii="Arial" w:hAnsi="Arial" w:cs="Arial"/>
        </w:rPr>
        <w:t xml:space="preserve">irst defendant further </w:t>
      </w:r>
      <w:r w:rsidR="00E1254F">
        <w:rPr>
          <w:rFonts w:ascii="Arial" w:hAnsi="Arial" w:cs="Arial"/>
        </w:rPr>
        <w:t>testified</w:t>
      </w:r>
      <w:r w:rsidR="00137E61">
        <w:rPr>
          <w:rFonts w:ascii="Arial" w:hAnsi="Arial" w:cs="Arial"/>
        </w:rPr>
        <w:t xml:space="preserve"> that the plaintiff did not have the full purchase price in Namibia</w:t>
      </w:r>
      <w:r w:rsidR="00C06C69">
        <w:rPr>
          <w:rFonts w:ascii="Arial" w:hAnsi="Arial" w:cs="Arial"/>
        </w:rPr>
        <w:t>n</w:t>
      </w:r>
      <w:r w:rsidR="00137E61">
        <w:rPr>
          <w:rFonts w:ascii="Arial" w:hAnsi="Arial" w:cs="Arial"/>
        </w:rPr>
        <w:t xml:space="preserve"> dollars and wanted</w:t>
      </w:r>
      <w:r w:rsidR="00C06C69">
        <w:rPr>
          <w:rFonts w:ascii="Arial" w:hAnsi="Arial" w:cs="Arial"/>
        </w:rPr>
        <w:t xml:space="preserve"> to settle the purchase price by making</w:t>
      </w:r>
      <w:r w:rsidR="00137E61">
        <w:rPr>
          <w:rFonts w:ascii="Arial" w:hAnsi="Arial" w:cs="Arial"/>
        </w:rPr>
        <w:t xml:space="preserve"> part-payment</w:t>
      </w:r>
      <w:r w:rsidR="00C06C69">
        <w:rPr>
          <w:rFonts w:ascii="Arial" w:hAnsi="Arial" w:cs="Arial"/>
        </w:rPr>
        <w:t>s</w:t>
      </w:r>
      <w:r w:rsidR="00137E61">
        <w:rPr>
          <w:rFonts w:ascii="Arial" w:hAnsi="Arial" w:cs="Arial"/>
        </w:rPr>
        <w:t xml:space="preserve"> </w:t>
      </w:r>
      <w:r w:rsidR="00C06C69">
        <w:rPr>
          <w:rFonts w:ascii="Arial" w:hAnsi="Arial" w:cs="Arial"/>
        </w:rPr>
        <w:t xml:space="preserve">being </w:t>
      </w:r>
      <w:r w:rsidR="00FC533D">
        <w:rPr>
          <w:rFonts w:ascii="Arial" w:hAnsi="Arial" w:cs="Arial"/>
        </w:rPr>
        <w:t>N$ 2,400,000 and N$400,000</w:t>
      </w:r>
      <w:r w:rsidR="00137E61">
        <w:rPr>
          <w:rFonts w:ascii="Arial" w:hAnsi="Arial" w:cs="Arial"/>
        </w:rPr>
        <w:t xml:space="preserve"> equivalent in Euro, which the first defendant alleges was excluding personal belongings and camping equipment.</w:t>
      </w:r>
    </w:p>
    <w:p w14:paraId="3F3627AE" w14:textId="77777777" w:rsidR="00137E61" w:rsidRDefault="00137E61" w:rsidP="00137E61">
      <w:pPr>
        <w:spacing w:line="360" w:lineRule="auto"/>
        <w:jc w:val="both"/>
        <w:rPr>
          <w:rFonts w:ascii="Arial" w:hAnsi="Arial" w:cs="Arial"/>
        </w:rPr>
      </w:pPr>
    </w:p>
    <w:p w14:paraId="1B9D2431" w14:textId="047BCE8A" w:rsidR="00137E61" w:rsidRDefault="00A91890" w:rsidP="00137E61">
      <w:pPr>
        <w:spacing w:line="360" w:lineRule="auto"/>
        <w:jc w:val="both"/>
        <w:rPr>
          <w:rFonts w:ascii="Arial" w:hAnsi="Arial" w:cs="Arial"/>
        </w:rPr>
      </w:pPr>
      <w:r>
        <w:rPr>
          <w:rFonts w:ascii="Arial" w:hAnsi="Arial" w:cs="Arial"/>
        </w:rPr>
        <w:t>[29</w:t>
      </w:r>
      <w:r w:rsidR="00C06C69">
        <w:rPr>
          <w:rFonts w:ascii="Arial" w:hAnsi="Arial" w:cs="Arial"/>
        </w:rPr>
        <w:t>]</w:t>
      </w:r>
      <w:r w:rsidR="00C06C69">
        <w:rPr>
          <w:rFonts w:ascii="Arial" w:hAnsi="Arial" w:cs="Arial"/>
        </w:rPr>
        <w:tab/>
      </w:r>
      <w:r w:rsidR="00137E61">
        <w:rPr>
          <w:rFonts w:ascii="Arial" w:hAnsi="Arial" w:cs="Arial"/>
        </w:rPr>
        <w:t xml:space="preserve">The inventory and furniture was to be inserted upon the request of the plaintiff </w:t>
      </w:r>
      <w:r w:rsidR="00A760B7">
        <w:rPr>
          <w:rFonts w:ascii="Arial" w:hAnsi="Arial" w:cs="Arial"/>
        </w:rPr>
        <w:t>and first defendant and that Mr</w:t>
      </w:r>
      <w:r w:rsidR="00137E61">
        <w:rPr>
          <w:rFonts w:ascii="Arial" w:hAnsi="Arial" w:cs="Arial"/>
        </w:rPr>
        <w:t xml:space="preserve"> Ahrens never had a true reflection of the value of the furniture and </w:t>
      </w:r>
      <w:r w:rsidR="00B96090">
        <w:rPr>
          <w:rFonts w:ascii="Arial" w:hAnsi="Arial" w:cs="Arial"/>
        </w:rPr>
        <w:t>inventory. T</w:t>
      </w:r>
      <w:r w:rsidR="00137E61">
        <w:rPr>
          <w:rFonts w:ascii="Arial" w:hAnsi="Arial" w:cs="Arial"/>
        </w:rPr>
        <w:t>he first defendant stated that there was never a separate valuation made on the furniture and inventory situated in the house.</w:t>
      </w:r>
    </w:p>
    <w:p w14:paraId="76822771" w14:textId="77777777" w:rsidR="00137E61" w:rsidRDefault="00137E61" w:rsidP="00137E61">
      <w:pPr>
        <w:spacing w:line="360" w:lineRule="auto"/>
        <w:jc w:val="both"/>
        <w:rPr>
          <w:rFonts w:ascii="Arial" w:hAnsi="Arial" w:cs="Arial"/>
        </w:rPr>
      </w:pPr>
    </w:p>
    <w:p w14:paraId="7A300A5D" w14:textId="22BFFDF1" w:rsidR="00137E61" w:rsidRDefault="00A91890" w:rsidP="00137E61">
      <w:pPr>
        <w:spacing w:line="360" w:lineRule="auto"/>
        <w:jc w:val="both"/>
        <w:rPr>
          <w:rFonts w:ascii="Arial" w:hAnsi="Arial" w:cs="Arial"/>
        </w:rPr>
      </w:pPr>
      <w:r>
        <w:rPr>
          <w:rFonts w:ascii="Arial" w:hAnsi="Arial" w:cs="Arial"/>
        </w:rPr>
        <w:t>[30</w:t>
      </w:r>
      <w:r w:rsidR="00C06C69">
        <w:rPr>
          <w:rFonts w:ascii="Arial" w:hAnsi="Arial" w:cs="Arial"/>
        </w:rPr>
        <w:t>]</w:t>
      </w:r>
      <w:r w:rsidR="00C06C69">
        <w:rPr>
          <w:rFonts w:ascii="Arial" w:hAnsi="Arial" w:cs="Arial"/>
        </w:rPr>
        <w:tab/>
        <w:t xml:space="preserve">It was his evidence that </w:t>
      </w:r>
      <w:r w:rsidR="00A760B7">
        <w:rPr>
          <w:rFonts w:ascii="Arial" w:hAnsi="Arial" w:cs="Arial"/>
        </w:rPr>
        <w:t>Mr</w:t>
      </w:r>
      <w:r w:rsidR="00137E61">
        <w:rPr>
          <w:rFonts w:ascii="Arial" w:hAnsi="Arial" w:cs="Arial"/>
        </w:rPr>
        <w:t xml:space="preserve"> Ahrens had requested a list of </w:t>
      </w:r>
      <w:r w:rsidR="00B96090">
        <w:rPr>
          <w:rFonts w:ascii="Arial" w:hAnsi="Arial" w:cs="Arial"/>
        </w:rPr>
        <w:t xml:space="preserve">the furniture and </w:t>
      </w:r>
      <w:r w:rsidR="00137E61">
        <w:rPr>
          <w:rFonts w:ascii="Arial" w:hAnsi="Arial" w:cs="Arial"/>
        </w:rPr>
        <w:t>inventory</w:t>
      </w:r>
      <w:r w:rsidR="00B96090">
        <w:rPr>
          <w:rFonts w:ascii="Arial" w:hAnsi="Arial" w:cs="Arial"/>
        </w:rPr>
        <w:t>,</w:t>
      </w:r>
      <w:r w:rsidR="00137E61">
        <w:rPr>
          <w:rFonts w:ascii="Arial" w:hAnsi="Arial" w:cs="Arial"/>
        </w:rPr>
        <w:t xml:space="preserve"> which was not available at the time of drafting the said agreement and requested the parties to produce such list at a later stage. The fi</w:t>
      </w:r>
      <w:r w:rsidR="00B96090">
        <w:rPr>
          <w:rFonts w:ascii="Arial" w:hAnsi="Arial" w:cs="Arial"/>
        </w:rPr>
        <w:t>rst defendant stated that he</w:t>
      </w:r>
      <w:r w:rsidR="00137E61">
        <w:rPr>
          <w:rFonts w:ascii="Arial" w:hAnsi="Arial" w:cs="Arial"/>
        </w:rPr>
        <w:t xml:space="preserve"> requested the plaintiff to draw up the i</w:t>
      </w:r>
      <w:r w:rsidR="00C06C69">
        <w:rPr>
          <w:rFonts w:ascii="Arial" w:hAnsi="Arial" w:cs="Arial"/>
        </w:rPr>
        <w:t>nventory</w:t>
      </w:r>
      <w:r w:rsidR="008C039F">
        <w:rPr>
          <w:rFonts w:ascii="Arial" w:hAnsi="Arial" w:cs="Arial"/>
        </w:rPr>
        <w:t>,</w:t>
      </w:r>
      <w:r w:rsidR="00C06C69">
        <w:rPr>
          <w:rFonts w:ascii="Arial" w:hAnsi="Arial" w:cs="Arial"/>
        </w:rPr>
        <w:t xml:space="preserve"> which the plaintiff</w:t>
      </w:r>
      <w:r w:rsidR="00137E61">
        <w:rPr>
          <w:rFonts w:ascii="Arial" w:hAnsi="Arial" w:cs="Arial"/>
        </w:rPr>
        <w:t xml:space="preserve"> refused to do and declared that a few photo</w:t>
      </w:r>
      <w:r w:rsidR="00B96090">
        <w:rPr>
          <w:rFonts w:ascii="Arial" w:hAnsi="Arial" w:cs="Arial"/>
        </w:rPr>
        <w:t>graph</w:t>
      </w:r>
      <w:r w:rsidR="00137E61">
        <w:rPr>
          <w:rFonts w:ascii="Arial" w:hAnsi="Arial" w:cs="Arial"/>
        </w:rPr>
        <w:t>s the plain</w:t>
      </w:r>
      <w:r w:rsidR="00B96090">
        <w:rPr>
          <w:rFonts w:ascii="Arial" w:hAnsi="Arial" w:cs="Arial"/>
        </w:rPr>
        <w:t>tiff had captured,</w:t>
      </w:r>
      <w:r w:rsidR="00137E61">
        <w:rPr>
          <w:rFonts w:ascii="Arial" w:hAnsi="Arial" w:cs="Arial"/>
        </w:rPr>
        <w:t xml:space="preserve"> would be sufficient</w:t>
      </w:r>
      <w:r w:rsidR="00C06C69">
        <w:rPr>
          <w:rFonts w:ascii="Arial" w:hAnsi="Arial" w:cs="Arial"/>
        </w:rPr>
        <w:t xml:space="preserve"> for the purpose</w:t>
      </w:r>
      <w:r w:rsidR="00137E61">
        <w:rPr>
          <w:rFonts w:ascii="Arial" w:hAnsi="Arial" w:cs="Arial"/>
        </w:rPr>
        <w:t>.</w:t>
      </w:r>
    </w:p>
    <w:p w14:paraId="200A9CC8" w14:textId="77777777" w:rsidR="00137E61" w:rsidRDefault="00137E61" w:rsidP="00137E61">
      <w:pPr>
        <w:spacing w:line="360" w:lineRule="auto"/>
        <w:jc w:val="both"/>
        <w:rPr>
          <w:rFonts w:ascii="Arial" w:hAnsi="Arial" w:cs="Arial"/>
        </w:rPr>
      </w:pPr>
    </w:p>
    <w:p w14:paraId="312A44A2" w14:textId="54780627" w:rsidR="00137E61" w:rsidRDefault="00A91890" w:rsidP="00137E61">
      <w:pPr>
        <w:spacing w:line="360" w:lineRule="auto"/>
        <w:jc w:val="both"/>
        <w:rPr>
          <w:rFonts w:ascii="Arial" w:hAnsi="Arial" w:cs="Arial"/>
        </w:rPr>
      </w:pPr>
      <w:r>
        <w:rPr>
          <w:rFonts w:ascii="Arial" w:hAnsi="Arial" w:cs="Arial"/>
        </w:rPr>
        <w:t>[31</w:t>
      </w:r>
      <w:r w:rsidR="007F1403">
        <w:rPr>
          <w:rFonts w:ascii="Arial" w:hAnsi="Arial" w:cs="Arial"/>
        </w:rPr>
        <w:t>]</w:t>
      </w:r>
      <w:r w:rsidR="007F1403">
        <w:rPr>
          <w:rFonts w:ascii="Arial" w:hAnsi="Arial" w:cs="Arial"/>
        </w:rPr>
        <w:tab/>
      </w:r>
      <w:r w:rsidR="00137E61">
        <w:rPr>
          <w:rFonts w:ascii="Arial" w:hAnsi="Arial" w:cs="Arial"/>
        </w:rPr>
        <w:t>The first defendant confirmed that</w:t>
      </w:r>
      <w:r w:rsidR="00B96090">
        <w:rPr>
          <w:rFonts w:ascii="Arial" w:hAnsi="Arial" w:cs="Arial"/>
        </w:rPr>
        <w:t xml:space="preserve"> he</w:t>
      </w:r>
      <w:r w:rsidR="00DE4FD5">
        <w:rPr>
          <w:rFonts w:ascii="Arial" w:hAnsi="Arial" w:cs="Arial"/>
        </w:rPr>
        <w:t>,</w:t>
      </w:r>
      <w:r w:rsidR="00B96090">
        <w:rPr>
          <w:rFonts w:ascii="Arial" w:hAnsi="Arial" w:cs="Arial"/>
        </w:rPr>
        <w:t xml:space="preserve"> and the second defendant</w:t>
      </w:r>
      <w:r w:rsidR="008C039F">
        <w:rPr>
          <w:rFonts w:ascii="Arial" w:hAnsi="Arial" w:cs="Arial"/>
        </w:rPr>
        <w:t>,</w:t>
      </w:r>
      <w:r w:rsidR="00B96090">
        <w:rPr>
          <w:rFonts w:ascii="Arial" w:hAnsi="Arial" w:cs="Arial"/>
        </w:rPr>
        <w:t xml:space="preserve"> </w:t>
      </w:r>
      <w:r w:rsidR="00137E61">
        <w:rPr>
          <w:rFonts w:ascii="Arial" w:hAnsi="Arial" w:cs="Arial"/>
        </w:rPr>
        <w:t>removed all their personal belongings and cleaned the house as best they could in order for the plaintiff to move into the house unhindered.</w:t>
      </w:r>
      <w:r w:rsidR="007F1403">
        <w:rPr>
          <w:rFonts w:ascii="Arial" w:hAnsi="Arial" w:cs="Arial"/>
        </w:rPr>
        <w:t xml:space="preserve"> </w:t>
      </w:r>
      <w:r w:rsidR="00137E61">
        <w:rPr>
          <w:rFonts w:ascii="Arial" w:hAnsi="Arial" w:cs="Arial"/>
        </w:rPr>
        <w:t>The first defendant confirmed that when the plaintiff arrived on 30 April 2011</w:t>
      </w:r>
      <w:r w:rsidR="00B96090">
        <w:rPr>
          <w:rFonts w:ascii="Arial" w:hAnsi="Arial" w:cs="Arial"/>
        </w:rPr>
        <w:t>,</w:t>
      </w:r>
      <w:r w:rsidR="00137E61">
        <w:rPr>
          <w:rFonts w:ascii="Arial" w:hAnsi="Arial" w:cs="Arial"/>
        </w:rPr>
        <w:t xml:space="preserve"> to take</w:t>
      </w:r>
      <w:r w:rsidR="00A760B7">
        <w:rPr>
          <w:rFonts w:ascii="Arial" w:hAnsi="Arial" w:cs="Arial"/>
        </w:rPr>
        <w:t xml:space="preserve"> possession of the property, Mr</w:t>
      </w:r>
      <w:r w:rsidR="00137E61">
        <w:rPr>
          <w:rFonts w:ascii="Arial" w:hAnsi="Arial" w:cs="Arial"/>
        </w:rPr>
        <w:t xml:space="preserve"> </w:t>
      </w:r>
      <w:proofErr w:type="spellStart"/>
      <w:r w:rsidR="00137E61">
        <w:rPr>
          <w:rFonts w:ascii="Arial" w:hAnsi="Arial" w:cs="Arial"/>
        </w:rPr>
        <w:t>Schlusche</w:t>
      </w:r>
      <w:proofErr w:type="spellEnd"/>
      <w:r w:rsidR="008C039F">
        <w:rPr>
          <w:rFonts w:ascii="Arial" w:hAnsi="Arial" w:cs="Arial"/>
        </w:rPr>
        <w:t>,</w:t>
      </w:r>
      <w:r w:rsidR="00137E61">
        <w:rPr>
          <w:rFonts w:ascii="Arial" w:hAnsi="Arial" w:cs="Arial"/>
        </w:rPr>
        <w:t xml:space="preserve"> was present. The first defendant requested from the plaintiff whether or not he had any objection during the handing over of the property. However, the plaintiff informed the first defendant he does not have the photos with him to know if he everything was in place.</w:t>
      </w:r>
    </w:p>
    <w:p w14:paraId="538054E6" w14:textId="77777777" w:rsidR="007F1403" w:rsidRDefault="007F1403" w:rsidP="00137E61">
      <w:pPr>
        <w:spacing w:line="360" w:lineRule="auto"/>
        <w:jc w:val="both"/>
        <w:rPr>
          <w:rFonts w:ascii="Arial" w:hAnsi="Arial" w:cs="Arial"/>
        </w:rPr>
      </w:pPr>
    </w:p>
    <w:p w14:paraId="5BFC3319" w14:textId="230EF58C" w:rsidR="00137E61" w:rsidRDefault="00A91890" w:rsidP="00137E61">
      <w:pPr>
        <w:spacing w:line="360" w:lineRule="auto"/>
        <w:jc w:val="both"/>
        <w:rPr>
          <w:rFonts w:ascii="Arial" w:hAnsi="Arial" w:cs="Arial"/>
        </w:rPr>
      </w:pPr>
      <w:r>
        <w:rPr>
          <w:rFonts w:ascii="Arial" w:hAnsi="Arial" w:cs="Arial"/>
        </w:rPr>
        <w:t>[32</w:t>
      </w:r>
      <w:r w:rsidR="00CD02B6">
        <w:rPr>
          <w:rFonts w:ascii="Arial" w:hAnsi="Arial" w:cs="Arial"/>
        </w:rPr>
        <w:t>]</w:t>
      </w:r>
      <w:r w:rsidR="00CD02B6">
        <w:rPr>
          <w:rFonts w:ascii="Arial" w:hAnsi="Arial" w:cs="Arial"/>
        </w:rPr>
        <w:tab/>
        <w:t>It was the first</w:t>
      </w:r>
      <w:r w:rsidR="007F1403">
        <w:rPr>
          <w:rFonts w:ascii="Arial" w:hAnsi="Arial" w:cs="Arial"/>
        </w:rPr>
        <w:t xml:space="preserve"> defendant’s evidence that </w:t>
      </w:r>
      <w:r w:rsidR="00137E61">
        <w:rPr>
          <w:rFonts w:ascii="Arial" w:hAnsi="Arial" w:cs="Arial"/>
        </w:rPr>
        <w:t>the plaintiff was requested on numerous occasions to sign the receipt for the proper handing-over of the house which the plaintiff refused to sign. The plaintiff requested that he</w:t>
      </w:r>
      <w:r w:rsidR="00B96090">
        <w:rPr>
          <w:rFonts w:ascii="Arial" w:hAnsi="Arial" w:cs="Arial"/>
        </w:rPr>
        <w:t xml:space="preserve"> have access to the house</w:t>
      </w:r>
      <w:r w:rsidR="00137E61">
        <w:rPr>
          <w:rFonts w:ascii="Arial" w:hAnsi="Arial" w:cs="Arial"/>
        </w:rPr>
        <w:t xml:space="preserve"> due to him </w:t>
      </w:r>
      <w:r w:rsidR="00B96090">
        <w:rPr>
          <w:rFonts w:ascii="Arial" w:hAnsi="Arial" w:cs="Arial"/>
        </w:rPr>
        <w:t xml:space="preserve">before </w:t>
      </w:r>
      <w:r w:rsidR="00137E61">
        <w:rPr>
          <w:rFonts w:ascii="Arial" w:hAnsi="Arial" w:cs="Arial"/>
        </w:rPr>
        <w:t>moving in on 1 May 2011. It was arranged that t</w:t>
      </w:r>
      <w:r w:rsidR="00FC533D">
        <w:rPr>
          <w:rFonts w:ascii="Arial" w:hAnsi="Arial" w:cs="Arial"/>
        </w:rPr>
        <w:t>he plaintiff would meet with Mr</w:t>
      </w:r>
      <w:r w:rsidR="00137E61">
        <w:rPr>
          <w:rFonts w:ascii="Arial" w:hAnsi="Arial" w:cs="Arial"/>
        </w:rPr>
        <w:t xml:space="preserve"> </w:t>
      </w:r>
      <w:proofErr w:type="spellStart"/>
      <w:r w:rsidR="00137E61">
        <w:rPr>
          <w:rFonts w:ascii="Arial" w:hAnsi="Arial" w:cs="Arial"/>
        </w:rPr>
        <w:t>Schlusche</w:t>
      </w:r>
      <w:proofErr w:type="spellEnd"/>
      <w:r w:rsidR="00137E61">
        <w:rPr>
          <w:rFonts w:ascii="Arial" w:hAnsi="Arial" w:cs="Arial"/>
        </w:rPr>
        <w:t xml:space="preserve"> to hand over the propert</w:t>
      </w:r>
      <w:r w:rsidR="00B96090">
        <w:rPr>
          <w:rFonts w:ascii="Arial" w:hAnsi="Arial" w:cs="Arial"/>
        </w:rPr>
        <w:t>y together with all the keys,</w:t>
      </w:r>
      <w:r w:rsidR="00137E61">
        <w:rPr>
          <w:rFonts w:ascii="Arial" w:hAnsi="Arial" w:cs="Arial"/>
        </w:rPr>
        <w:t xml:space="preserve"> accounts and insurance papers on 1 May 2011, but the plaintiff did not attend</w:t>
      </w:r>
      <w:r w:rsidR="007F1403">
        <w:rPr>
          <w:rFonts w:ascii="Arial" w:hAnsi="Arial" w:cs="Arial"/>
        </w:rPr>
        <w:t xml:space="preserve"> on that day</w:t>
      </w:r>
      <w:r w:rsidR="00137E61">
        <w:rPr>
          <w:rFonts w:ascii="Arial" w:hAnsi="Arial" w:cs="Arial"/>
        </w:rPr>
        <w:t>.</w:t>
      </w:r>
      <w:r w:rsidR="007F1403">
        <w:rPr>
          <w:rFonts w:ascii="Arial" w:hAnsi="Arial" w:cs="Arial"/>
        </w:rPr>
        <w:t xml:space="preserve"> </w:t>
      </w:r>
      <w:r w:rsidR="00137E61">
        <w:rPr>
          <w:rFonts w:ascii="Arial" w:hAnsi="Arial" w:cs="Arial"/>
        </w:rPr>
        <w:t>The plaintiff refuse</w:t>
      </w:r>
      <w:r w:rsidR="00FC533D">
        <w:rPr>
          <w:rFonts w:ascii="Arial" w:hAnsi="Arial" w:cs="Arial"/>
        </w:rPr>
        <w:t>d to deal with Mr</w:t>
      </w:r>
      <w:r w:rsidR="007F1403">
        <w:rPr>
          <w:rFonts w:ascii="Arial" w:hAnsi="Arial" w:cs="Arial"/>
        </w:rPr>
        <w:t xml:space="preserve"> </w:t>
      </w:r>
      <w:proofErr w:type="spellStart"/>
      <w:r w:rsidR="007F1403">
        <w:rPr>
          <w:rFonts w:ascii="Arial" w:hAnsi="Arial" w:cs="Arial"/>
        </w:rPr>
        <w:t>Schlusche</w:t>
      </w:r>
      <w:proofErr w:type="spellEnd"/>
      <w:r w:rsidR="007F1403">
        <w:rPr>
          <w:rFonts w:ascii="Arial" w:hAnsi="Arial" w:cs="Arial"/>
        </w:rPr>
        <w:t xml:space="preserve"> and by</w:t>
      </w:r>
      <w:r w:rsidR="00137E61">
        <w:rPr>
          <w:rFonts w:ascii="Arial" w:hAnsi="Arial" w:cs="Arial"/>
        </w:rPr>
        <w:t xml:space="preserve"> then the plaintiff </w:t>
      </w:r>
      <w:r w:rsidR="007F1403">
        <w:rPr>
          <w:rFonts w:ascii="Arial" w:hAnsi="Arial" w:cs="Arial"/>
        </w:rPr>
        <w:t xml:space="preserve">had </w:t>
      </w:r>
      <w:r w:rsidR="00137E61">
        <w:rPr>
          <w:rFonts w:ascii="Arial" w:hAnsi="Arial" w:cs="Arial"/>
        </w:rPr>
        <w:t xml:space="preserve">still not signed the receipt of </w:t>
      </w:r>
      <w:r w:rsidR="00B96090">
        <w:rPr>
          <w:rFonts w:ascii="Arial" w:hAnsi="Arial" w:cs="Arial"/>
        </w:rPr>
        <w:t>the proper hand-</w:t>
      </w:r>
      <w:r w:rsidR="00137E61">
        <w:rPr>
          <w:rFonts w:ascii="Arial" w:hAnsi="Arial" w:cs="Arial"/>
        </w:rPr>
        <w:t xml:space="preserve">over of the property. </w:t>
      </w:r>
    </w:p>
    <w:p w14:paraId="75413F3D" w14:textId="77777777" w:rsidR="00137E61" w:rsidRDefault="00137E61" w:rsidP="00137E61">
      <w:pPr>
        <w:spacing w:line="360" w:lineRule="auto"/>
        <w:jc w:val="both"/>
        <w:rPr>
          <w:rFonts w:ascii="Arial" w:hAnsi="Arial" w:cs="Arial"/>
        </w:rPr>
      </w:pPr>
    </w:p>
    <w:p w14:paraId="632407CF" w14:textId="5E3EEFFD" w:rsidR="00137E61" w:rsidRPr="0059750C" w:rsidRDefault="00A91890" w:rsidP="00137E61">
      <w:pPr>
        <w:spacing w:line="360" w:lineRule="auto"/>
        <w:jc w:val="both"/>
        <w:rPr>
          <w:rFonts w:ascii="Arial" w:hAnsi="Arial" w:cs="Arial"/>
        </w:rPr>
      </w:pPr>
      <w:r>
        <w:rPr>
          <w:rFonts w:ascii="Arial" w:hAnsi="Arial" w:cs="Arial"/>
        </w:rPr>
        <w:t>[33</w:t>
      </w:r>
      <w:r w:rsidR="007F1403">
        <w:rPr>
          <w:rFonts w:ascii="Arial" w:hAnsi="Arial" w:cs="Arial"/>
        </w:rPr>
        <w:t>]</w:t>
      </w:r>
      <w:r w:rsidR="007F1403">
        <w:rPr>
          <w:rFonts w:ascii="Arial" w:hAnsi="Arial" w:cs="Arial"/>
        </w:rPr>
        <w:tab/>
        <w:t>All in all, t</w:t>
      </w:r>
      <w:r w:rsidR="00137E61">
        <w:rPr>
          <w:rFonts w:ascii="Arial" w:hAnsi="Arial" w:cs="Arial"/>
        </w:rPr>
        <w:t xml:space="preserve">he first </w:t>
      </w:r>
      <w:r w:rsidR="007F1403">
        <w:rPr>
          <w:rFonts w:ascii="Arial" w:hAnsi="Arial" w:cs="Arial"/>
        </w:rPr>
        <w:t>defendant denied</w:t>
      </w:r>
      <w:r w:rsidR="00B96090">
        <w:rPr>
          <w:rFonts w:ascii="Arial" w:hAnsi="Arial" w:cs="Arial"/>
        </w:rPr>
        <w:t xml:space="preserve"> that the house</w:t>
      </w:r>
      <w:r w:rsidR="00137E61">
        <w:rPr>
          <w:rFonts w:ascii="Arial" w:hAnsi="Arial" w:cs="Arial"/>
        </w:rPr>
        <w:t xml:space="preserve"> was </w:t>
      </w:r>
      <w:r w:rsidR="00B96090">
        <w:rPr>
          <w:rFonts w:ascii="Arial" w:hAnsi="Arial" w:cs="Arial"/>
        </w:rPr>
        <w:t>s</w:t>
      </w:r>
      <w:r w:rsidR="00137E61">
        <w:rPr>
          <w:rFonts w:ascii="Arial" w:hAnsi="Arial" w:cs="Arial"/>
        </w:rPr>
        <w:t>tripped</w:t>
      </w:r>
      <w:r w:rsidR="007F1403">
        <w:rPr>
          <w:rFonts w:ascii="Arial" w:hAnsi="Arial" w:cs="Arial"/>
        </w:rPr>
        <w:t xml:space="preserve"> of all its furniture and further denied</w:t>
      </w:r>
      <w:r w:rsidR="00137E61">
        <w:rPr>
          <w:rFonts w:ascii="Arial" w:hAnsi="Arial" w:cs="Arial"/>
        </w:rPr>
        <w:t xml:space="preserve"> that the plaintiff conveyed his dismay on the proper hand over of the property on 30 April but rather later in May 2011.</w:t>
      </w:r>
    </w:p>
    <w:p w14:paraId="3E3B9664" w14:textId="77777777" w:rsidR="00137E61" w:rsidRDefault="00137E61" w:rsidP="00980AF2">
      <w:pPr>
        <w:spacing w:line="360" w:lineRule="auto"/>
        <w:jc w:val="both"/>
        <w:rPr>
          <w:rFonts w:ascii="Arial" w:hAnsi="Arial" w:cs="Arial"/>
        </w:rPr>
      </w:pPr>
    </w:p>
    <w:p w14:paraId="3BCE55F0" w14:textId="77777777" w:rsidR="00FC533D" w:rsidRDefault="00FC533D" w:rsidP="00980AF2">
      <w:pPr>
        <w:spacing w:line="360" w:lineRule="auto"/>
        <w:jc w:val="both"/>
        <w:rPr>
          <w:rFonts w:ascii="Arial" w:hAnsi="Arial" w:cs="Arial"/>
          <w:i/>
        </w:rPr>
      </w:pPr>
    </w:p>
    <w:p w14:paraId="75C39C5F" w14:textId="77777777" w:rsidR="00FC533D" w:rsidRDefault="00FC533D" w:rsidP="00980AF2">
      <w:pPr>
        <w:spacing w:line="360" w:lineRule="auto"/>
        <w:jc w:val="both"/>
        <w:rPr>
          <w:rFonts w:ascii="Arial" w:hAnsi="Arial" w:cs="Arial"/>
          <w:i/>
        </w:rPr>
      </w:pPr>
    </w:p>
    <w:p w14:paraId="6C52CD96" w14:textId="77777777" w:rsidR="00FC533D" w:rsidRDefault="00FC533D" w:rsidP="00980AF2">
      <w:pPr>
        <w:spacing w:line="360" w:lineRule="auto"/>
        <w:jc w:val="both"/>
        <w:rPr>
          <w:rFonts w:ascii="Arial" w:hAnsi="Arial" w:cs="Arial"/>
          <w:i/>
        </w:rPr>
      </w:pPr>
    </w:p>
    <w:p w14:paraId="1C86F2F2" w14:textId="54C8F0E5" w:rsidR="004E1838" w:rsidRDefault="00FC533D" w:rsidP="00980AF2">
      <w:pPr>
        <w:spacing w:line="360" w:lineRule="auto"/>
        <w:jc w:val="both"/>
        <w:rPr>
          <w:rFonts w:ascii="Arial" w:hAnsi="Arial" w:cs="Arial"/>
          <w:i/>
        </w:rPr>
      </w:pPr>
      <w:r>
        <w:rPr>
          <w:rFonts w:ascii="Arial" w:hAnsi="Arial" w:cs="Arial"/>
          <w:i/>
        </w:rPr>
        <w:lastRenderedPageBreak/>
        <w:t>Mr</w:t>
      </w:r>
      <w:r w:rsidR="00980AF2">
        <w:rPr>
          <w:rFonts w:ascii="Arial" w:hAnsi="Arial" w:cs="Arial"/>
          <w:i/>
        </w:rPr>
        <w:t xml:space="preserve"> </w:t>
      </w:r>
      <w:proofErr w:type="spellStart"/>
      <w:r w:rsidR="00980AF2">
        <w:rPr>
          <w:rFonts w:ascii="Arial" w:hAnsi="Arial" w:cs="Arial"/>
          <w:i/>
        </w:rPr>
        <w:t>Heiner</w:t>
      </w:r>
      <w:proofErr w:type="spellEnd"/>
      <w:r w:rsidR="00980AF2">
        <w:rPr>
          <w:rFonts w:ascii="Arial" w:hAnsi="Arial" w:cs="Arial"/>
          <w:i/>
        </w:rPr>
        <w:t xml:space="preserve"> Michael </w:t>
      </w:r>
      <w:proofErr w:type="spellStart"/>
      <w:r w:rsidR="00980AF2">
        <w:rPr>
          <w:rFonts w:ascii="Arial" w:hAnsi="Arial" w:cs="Arial"/>
          <w:i/>
        </w:rPr>
        <w:t>Schlusche</w:t>
      </w:r>
      <w:proofErr w:type="spellEnd"/>
    </w:p>
    <w:p w14:paraId="7F5DD78E" w14:textId="77777777" w:rsidR="00980AF2" w:rsidRDefault="00980AF2" w:rsidP="00980AF2">
      <w:pPr>
        <w:spacing w:line="360" w:lineRule="auto"/>
        <w:jc w:val="both"/>
        <w:rPr>
          <w:rFonts w:ascii="Arial" w:hAnsi="Arial" w:cs="Arial"/>
          <w:i/>
        </w:rPr>
      </w:pPr>
    </w:p>
    <w:p w14:paraId="4E235274" w14:textId="5CB68315" w:rsidR="00980AF2" w:rsidRDefault="00A91890" w:rsidP="00980AF2">
      <w:pPr>
        <w:spacing w:line="360" w:lineRule="auto"/>
        <w:jc w:val="both"/>
        <w:rPr>
          <w:rFonts w:ascii="Arial" w:hAnsi="Arial" w:cs="Arial"/>
        </w:rPr>
      </w:pPr>
      <w:r>
        <w:rPr>
          <w:rFonts w:ascii="Arial" w:hAnsi="Arial" w:cs="Arial"/>
        </w:rPr>
        <w:t>[34</w:t>
      </w:r>
      <w:r w:rsidR="00FC533D">
        <w:rPr>
          <w:rFonts w:ascii="Arial" w:hAnsi="Arial" w:cs="Arial"/>
        </w:rPr>
        <w:t>]</w:t>
      </w:r>
      <w:r w:rsidR="00FC533D">
        <w:rPr>
          <w:rFonts w:ascii="Arial" w:hAnsi="Arial" w:cs="Arial"/>
        </w:rPr>
        <w:tab/>
        <w:t>Mr</w:t>
      </w:r>
      <w:r w:rsidR="00980AF2">
        <w:rPr>
          <w:rFonts w:ascii="Arial" w:hAnsi="Arial" w:cs="Arial"/>
        </w:rPr>
        <w:t xml:space="preserve"> </w:t>
      </w:r>
      <w:proofErr w:type="spellStart"/>
      <w:r w:rsidR="00980AF2">
        <w:rPr>
          <w:rFonts w:ascii="Arial" w:hAnsi="Arial" w:cs="Arial"/>
        </w:rPr>
        <w:t>Schlusche</w:t>
      </w:r>
      <w:proofErr w:type="spellEnd"/>
      <w:r w:rsidR="00980AF2">
        <w:rPr>
          <w:rFonts w:ascii="Arial" w:hAnsi="Arial" w:cs="Arial"/>
        </w:rPr>
        <w:t xml:space="preserve"> stated that he used to visit the defendants’ house</w:t>
      </w:r>
      <w:r w:rsidR="00B96090">
        <w:rPr>
          <w:rFonts w:ascii="Arial" w:hAnsi="Arial" w:cs="Arial"/>
        </w:rPr>
        <w:t>,</w:t>
      </w:r>
      <w:r w:rsidR="00980AF2">
        <w:rPr>
          <w:rFonts w:ascii="Arial" w:hAnsi="Arial" w:cs="Arial"/>
        </w:rPr>
        <w:t xml:space="preserve"> which was fully furnished. He rec</w:t>
      </w:r>
      <w:r w:rsidR="00B96090">
        <w:rPr>
          <w:rFonts w:ascii="Arial" w:hAnsi="Arial" w:cs="Arial"/>
        </w:rPr>
        <w:t>ounted the furniture that he kne</w:t>
      </w:r>
      <w:r w:rsidR="00980AF2">
        <w:rPr>
          <w:rFonts w:ascii="Arial" w:hAnsi="Arial" w:cs="Arial"/>
        </w:rPr>
        <w:t>w was in the house, including a leather lounge suite with a table, side cabinet; a dining table with 6 chairs; 2 cane lazy cha</w:t>
      </w:r>
      <w:r w:rsidR="00B96090">
        <w:rPr>
          <w:rFonts w:ascii="Arial" w:hAnsi="Arial" w:cs="Arial"/>
        </w:rPr>
        <w:t xml:space="preserve">irs; 1 </w:t>
      </w:r>
      <w:r w:rsidR="00980AF2">
        <w:rPr>
          <w:rFonts w:ascii="Arial" w:hAnsi="Arial" w:cs="Arial"/>
        </w:rPr>
        <w:t xml:space="preserve">big carpet and other contents of the bedrooms. </w:t>
      </w:r>
    </w:p>
    <w:p w14:paraId="50044E91" w14:textId="77777777" w:rsidR="00980AF2" w:rsidRDefault="00980AF2" w:rsidP="00980AF2">
      <w:pPr>
        <w:spacing w:line="360" w:lineRule="auto"/>
        <w:jc w:val="both"/>
        <w:rPr>
          <w:rFonts w:ascii="Arial" w:hAnsi="Arial" w:cs="Arial"/>
        </w:rPr>
      </w:pPr>
    </w:p>
    <w:p w14:paraId="4AF8E320" w14:textId="408D2134" w:rsidR="00980AF2" w:rsidRDefault="00A91890" w:rsidP="00980AF2">
      <w:pPr>
        <w:spacing w:line="360" w:lineRule="auto"/>
        <w:jc w:val="both"/>
        <w:rPr>
          <w:rFonts w:ascii="Arial" w:hAnsi="Arial" w:cs="Arial"/>
        </w:rPr>
      </w:pPr>
      <w:r>
        <w:rPr>
          <w:rFonts w:ascii="Arial" w:hAnsi="Arial" w:cs="Arial"/>
        </w:rPr>
        <w:t>[35</w:t>
      </w:r>
      <w:r w:rsidR="00980AF2">
        <w:rPr>
          <w:rFonts w:ascii="Arial" w:hAnsi="Arial" w:cs="Arial"/>
        </w:rPr>
        <w:t>]</w:t>
      </w:r>
      <w:r w:rsidR="00980AF2">
        <w:rPr>
          <w:rFonts w:ascii="Arial" w:hAnsi="Arial" w:cs="Arial"/>
        </w:rPr>
        <w:tab/>
        <w:t>It was his evidence that the defendants departed to Windhoek during m</w:t>
      </w:r>
      <w:r w:rsidR="00EA745A">
        <w:rPr>
          <w:rFonts w:ascii="Arial" w:hAnsi="Arial" w:cs="Arial"/>
        </w:rPr>
        <w:t>idday on 30 April 2011 and the first</w:t>
      </w:r>
      <w:r w:rsidR="00980AF2">
        <w:rPr>
          <w:rFonts w:ascii="Arial" w:hAnsi="Arial" w:cs="Arial"/>
        </w:rPr>
        <w:t xml:space="preserve"> defendant handed the front door key and the garage alarm </w:t>
      </w:r>
      <w:r w:rsidR="00B96090">
        <w:rPr>
          <w:rFonts w:ascii="Arial" w:hAnsi="Arial" w:cs="Arial"/>
        </w:rPr>
        <w:t xml:space="preserve">and </w:t>
      </w:r>
      <w:r w:rsidR="00980AF2">
        <w:rPr>
          <w:rFonts w:ascii="Arial" w:hAnsi="Arial" w:cs="Arial"/>
        </w:rPr>
        <w:t xml:space="preserve">remote control to the plaintiff. It was his evidence that the house was left by the defendants fully furnished. </w:t>
      </w:r>
    </w:p>
    <w:p w14:paraId="45C8D8A2" w14:textId="77777777" w:rsidR="00980AF2" w:rsidRDefault="00980AF2" w:rsidP="00980AF2">
      <w:pPr>
        <w:spacing w:line="360" w:lineRule="auto"/>
        <w:jc w:val="both"/>
        <w:rPr>
          <w:rFonts w:ascii="Arial" w:hAnsi="Arial" w:cs="Arial"/>
        </w:rPr>
      </w:pPr>
    </w:p>
    <w:p w14:paraId="3692F8B2" w14:textId="65F001C7" w:rsidR="00980AF2" w:rsidRPr="00980AF2" w:rsidRDefault="00A91890" w:rsidP="00980AF2">
      <w:pPr>
        <w:spacing w:line="360" w:lineRule="auto"/>
        <w:jc w:val="both"/>
        <w:rPr>
          <w:rFonts w:ascii="Arial" w:hAnsi="Arial" w:cs="Arial"/>
        </w:rPr>
      </w:pPr>
      <w:r>
        <w:rPr>
          <w:rFonts w:ascii="Arial" w:hAnsi="Arial" w:cs="Arial"/>
        </w:rPr>
        <w:t>[36</w:t>
      </w:r>
      <w:r w:rsidR="00FC533D">
        <w:rPr>
          <w:rFonts w:ascii="Arial" w:hAnsi="Arial" w:cs="Arial"/>
        </w:rPr>
        <w:t>]</w:t>
      </w:r>
      <w:r w:rsidR="00FC533D">
        <w:rPr>
          <w:rFonts w:ascii="Arial" w:hAnsi="Arial" w:cs="Arial"/>
        </w:rPr>
        <w:tab/>
        <w:t>The evidence of Mr</w:t>
      </w:r>
      <w:r w:rsidR="00980AF2">
        <w:rPr>
          <w:rFonts w:ascii="Arial" w:hAnsi="Arial" w:cs="Arial"/>
        </w:rPr>
        <w:t xml:space="preserve"> </w:t>
      </w:r>
      <w:proofErr w:type="spellStart"/>
      <w:r w:rsidR="00980AF2">
        <w:rPr>
          <w:rFonts w:ascii="Arial" w:hAnsi="Arial" w:cs="Arial"/>
        </w:rPr>
        <w:t>Zeferinu</w:t>
      </w:r>
      <w:proofErr w:type="spellEnd"/>
      <w:r w:rsidR="00980AF2">
        <w:rPr>
          <w:rFonts w:ascii="Arial" w:hAnsi="Arial" w:cs="Arial"/>
        </w:rPr>
        <w:t xml:space="preserve"> </w:t>
      </w:r>
      <w:proofErr w:type="spellStart"/>
      <w:r w:rsidR="00980AF2">
        <w:rPr>
          <w:rFonts w:ascii="Arial" w:hAnsi="Arial" w:cs="Arial"/>
        </w:rPr>
        <w:t>Rozeriu</w:t>
      </w:r>
      <w:proofErr w:type="spellEnd"/>
      <w:r w:rsidR="00980AF2">
        <w:rPr>
          <w:rFonts w:ascii="Arial" w:hAnsi="Arial" w:cs="Arial"/>
        </w:rPr>
        <w:t>, also called by the defendants was almost a ca</w:t>
      </w:r>
      <w:r w:rsidR="00FC533D">
        <w:rPr>
          <w:rFonts w:ascii="Arial" w:hAnsi="Arial" w:cs="Arial"/>
        </w:rPr>
        <w:t>rbon copy of the evidence of Mr</w:t>
      </w:r>
      <w:r w:rsidR="00980AF2">
        <w:rPr>
          <w:rFonts w:ascii="Arial" w:hAnsi="Arial" w:cs="Arial"/>
        </w:rPr>
        <w:t xml:space="preserve"> </w:t>
      </w:r>
      <w:proofErr w:type="spellStart"/>
      <w:r w:rsidR="00980AF2">
        <w:rPr>
          <w:rFonts w:ascii="Arial" w:hAnsi="Arial" w:cs="Arial"/>
        </w:rPr>
        <w:t>Schlusche</w:t>
      </w:r>
      <w:proofErr w:type="spellEnd"/>
      <w:r w:rsidR="00980AF2">
        <w:rPr>
          <w:rFonts w:ascii="Arial" w:hAnsi="Arial" w:cs="Arial"/>
        </w:rPr>
        <w:t>. He stated that he often visited the house in question</w:t>
      </w:r>
      <w:r w:rsidR="008C039F">
        <w:rPr>
          <w:rFonts w:ascii="Arial" w:hAnsi="Arial" w:cs="Arial"/>
        </w:rPr>
        <w:t>,</w:t>
      </w:r>
      <w:r w:rsidR="00980AF2">
        <w:rPr>
          <w:rFonts w:ascii="Arial" w:hAnsi="Arial" w:cs="Arial"/>
        </w:rPr>
        <w:t xml:space="preserve"> which was fully furnished. He recounted the items referred to above</w:t>
      </w:r>
      <w:r w:rsidR="00FC533D">
        <w:rPr>
          <w:rFonts w:ascii="Arial" w:hAnsi="Arial" w:cs="Arial"/>
        </w:rPr>
        <w:t xml:space="preserve"> in the witness statement of Mr</w:t>
      </w:r>
      <w:r w:rsidR="00980AF2">
        <w:rPr>
          <w:rFonts w:ascii="Arial" w:hAnsi="Arial" w:cs="Arial"/>
        </w:rPr>
        <w:t xml:space="preserve"> </w:t>
      </w:r>
      <w:proofErr w:type="spellStart"/>
      <w:r w:rsidR="00980AF2">
        <w:rPr>
          <w:rFonts w:ascii="Arial" w:hAnsi="Arial" w:cs="Arial"/>
        </w:rPr>
        <w:t>Schlusche</w:t>
      </w:r>
      <w:proofErr w:type="spellEnd"/>
      <w:r w:rsidR="00980AF2">
        <w:rPr>
          <w:rFonts w:ascii="Arial" w:hAnsi="Arial" w:cs="Arial"/>
        </w:rPr>
        <w:t>. Significantly, it was his evidence that when the defendants left on 30 April 2011, the items remained intact inside the house and were never removed.</w:t>
      </w:r>
      <w:r w:rsidR="00240AF7">
        <w:rPr>
          <w:rFonts w:ascii="Arial" w:hAnsi="Arial" w:cs="Arial"/>
        </w:rPr>
        <w:t xml:space="preserve"> That was the extent of the evidence adduced by the parties.</w:t>
      </w:r>
    </w:p>
    <w:p w14:paraId="557E0761" w14:textId="77777777" w:rsidR="004E1838" w:rsidRPr="004E1838" w:rsidRDefault="004E1838" w:rsidP="00A77099">
      <w:pPr>
        <w:spacing w:line="360" w:lineRule="auto"/>
        <w:ind w:left="360"/>
        <w:jc w:val="both"/>
        <w:rPr>
          <w:rFonts w:ascii="Arial" w:hAnsi="Arial" w:cs="Arial"/>
        </w:rPr>
      </w:pPr>
    </w:p>
    <w:p w14:paraId="4303C462" w14:textId="77777777" w:rsidR="00896CD5" w:rsidRPr="00686C0F" w:rsidRDefault="00896CD5" w:rsidP="00240AF7">
      <w:pPr>
        <w:spacing w:line="360" w:lineRule="auto"/>
        <w:jc w:val="both"/>
        <w:rPr>
          <w:rFonts w:ascii="Arial" w:hAnsi="Arial" w:cs="Arial"/>
          <w:u w:val="single"/>
        </w:rPr>
      </w:pPr>
      <w:r w:rsidRPr="00686C0F">
        <w:rPr>
          <w:rFonts w:ascii="Arial" w:hAnsi="Arial" w:cs="Arial"/>
          <w:u w:val="single"/>
        </w:rPr>
        <w:t>Divisibility of the agreement</w:t>
      </w:r>
    </w:p>
    <w:p w14:paraId="2AC4793E" w14:textId="77777777" w:rsidR="00896CD5" w:rsidRPr="00686C0F" w:rsidRDefault="00896CD5" w:rsidP="00686C0F">
      <w:pPr>
        <w:spacing w:line="360" w:lineRule="auto"/>
        <w:ind w:left="360"/>
        <w:jc w:val="both"/>
        <w:rPr>
          <w:rFonts w:ascii="Arial" w:hAnsi="Arial" w:cs="Arial"/>
          <w:u w:val="single"/>
        </w:rPr>
      </w:pPr>
    </w:p>
    <w:p w14:paraId="72D92E9E" w14:textId="67E8AC31" w:rsidR="00896CD5" w:rsidRPr="00686C0F" w:rsidRDefault="00A91890" w:rsidP="00240AF7">
      <w:pPr>
        <w:spacing w:line="360" w:lineRule="auto"/>
        <w:jc w:val="both"/>
        <w:rPr>
          <w:rFonts w:ascii="Arial" w:hAnsi="Arial" w:cs="Arial"/>
        </w:rPr>
      </w:pPr>
      <w:r>
        <w:rPr>
          <w:rFonts w:ascii="Arial" w:hAnsi="Arial" w:cs="Arial"/>
        </w:rPr>
        <w:t>[37</w:t>
      </w:r>
      <w:r w:rsidR="00240AF7">
        <w:rPr>
          <w:rFonts w:ascii="Arial" w:hAnsi="Arial" w:cs="Arial"/>
        </w:rPr>
        <w:t>]</w:t>
      </w:r>
      <w:r w:rsidR="00240AF7">
        <w:rPr>
          <w:rFonts w:ascii="Arial" w:hAnsi="Arial" w:cs="Arial"/>
        </w:rPr>
        <w:tab/>
      </w:r>
      <w:r w:rsidR="00896CD5" w:rsidRPr="00686C0F">
        <w:rPr>
          <w:rFonts w:ascii="Arial" w:hAnsi="Arial" w:cs="Arial"/>
        </w:rPr>
        <w:t xml:space="preserve">I find it imperative, at this very early juncture in the judgment, to deal with the argument that loomed large, namely, whether </w:t>
      </w:r>
      <w:r w:rsidR="00F56D97">
        <w:rPr>
          <w:rFonts w:ascii="Arial" w:hAnsi="Arial" w:cs="Arial"/>
        </w:rPr>
        <w:t xml:space="preserve">or not, </w:t>
      </w:r>
      <w:r w:rsidR="00896CD5" w:rsidRPr="00686C0F">
        <w:rPr>
          <w:rFonts w:ascii="Arial" w:hAnsi="Arial" w:cs="Arial"/>
        </w:rPr>
        <w:t xml:space="preserve">the agreement signed by the parties, which was contained in one memorial, can be said to be divisible, as the plaintiff contends, namely, the </w:t>
      </w:r>
      <w:r w:rsidR="00791E63" w:rsidRPr="00686C0F">
        <w:rPr>
          <w:rFonts w:ascii="Arial" w:hAnsi="Arial" w:cs="Arial"/>
        </w:rPr>
        <w:t>acquisition of the shares in the close corporation, resulting in the plaintiff acquiring the landed property on the one hand, and the sale of the furniture and inventory, on the other.</w:t>
      </w:r>
      <w:r w:rsidR="00896CD5" w:rsidRPr="00686C0F">
        <w:rPr>
          <w:rFonts w:ascii="Arial" w:hAnsi="Arial" w:cs="Arial"/>
        </w:rPr>
        <w:t xml:space="preserve">  </w:t>
      </w:r>
    </w:p>
    <w:p w14:paraId="02443871" w14:textId="77777777" w:rsidR="00791E63" w:rsidRPr="00686C0F" w:rsidRDefault="00791E63" w:rsidP="00686C0F">
      <w:pPr>
        <w:spacing w:line="360" w:lineRule="auto"/>
        <w:ind w:left="360"/>
        <w:jc w:val="both"/>
        <w:rPr>
          <w:rFonts w:ascii="Arial" w:hAnsi="Arial" w:cs="Arial"/>
        </w:rPr>
      </w:pPr>
    </w:p>
    <w:p w14:paraId="0E35EE77" w14:textId="2525236B" w:rsidR="00791E63" w:rsidRPr="00686C0F" w:rsidRDefault="00A91890" w:rsidP="00240AF7">
      <w:pPr>
        <w:spacing w:line="360" w:lineRule="auto"/>
        <w:jc w:val="both"/>
        <w:rPr>
          <w:rFonts w:ascii="Arial" w:hAnsi="Arial" w:cs="Arial"/>
        </w:rPr>
      </w:pPr>
      <w:r>
        <w:rPr>
          <w:rFonts w:ascii="Arial" w:hAnsi="Arial" w:cs="Arial"/>
        </w:rPr>
        <w:t>[38</w:t>
      </w:r>
      <w:r w:rsidR="00240AF7">
        <w:rPr>
          <w:rFonts w:ascii="Arial" w:hAnsi="Arial" w:cs="Arial"/>
        </w:rPr>
        <w:t>]</w:t>
      </w:r>
      <w:r w:rsidR="00240AF7">
        <w:rPr>
          <w:rFonts w:ascii="Arial" w:hAnsi="Arial" w:cs="Arial"/>
        </w:rPr>
        <w:tab/>
      </w:r>
      <w:r w:rsidR="00791E63" w:rsidRPr="00686C0F">
        <w:rPr>
          <w:rFonts w:ascii="Arial" w:hAnsi="Arial" w:cs="Arial"/>
        </w:rPr>
        <w:t xml:space="preserve">I choose to follow this approach for the reason that if this issue is resolved this early, it may lead to a measure of clarity in the judgment, as it seems that the issue of divisibility of the agreement </w:t>
      </w:r>
      <w:r w:rsidR="00F56D97">
        <w:rPr>
          <w:rFonts w:ascii="Arial" w:hAnsi="Arial" w:cs="Arial"/>
        </w:rPr>
        <w:t>is a golden thread that</w:t>
      </w:r>
      <w:r w:rsidR="00791E63" w:rsidRPr="00686C0F">
        <w:rPr>
          <w:rFonts w:ascii="Arial" w:hAnsi="Arial" w:cs="Arial"/>
        </w:rPr>
        <w:t xml:space="preserve"> run</w:t>
      </w:r>
      <w:r w:rsidR="00F56D97">
        <w:rPr>
          <w:rFonts w:ascii="Arial" w:hAnsi="Arial" w:cs="Arial"/>
        </w:rPr>
        <w:t>s</w:t>
      </w:r>
      <w:r w:rsidR="00791E63" w:rsidRPr="00686C0F">
        <w:rPr>
          <w:rFonts w:ascii="Arial" w:hAnsi="Arial" w:cs="Arial"/>
        </w:rPr>
        <w:t xml:space="preserve"> through the main claim together with all the alternative claims. To put this issue </w:t>
      </w:r>
      <w:r w:rsidR="00791E63" w:rsidRPr="00686C0F">
        <w:rPr>
          <w:rFonts w:ascii="Arial" w:hAnsi="Arial" w:cs="Arial"/>
        </w:rPr>
        <w:lastRenderedPageBreak/>
        <w:t>at rest this early will conduce to clearing the way forward and making it possible to decide the other issues</w:t>
      </w:r>
      <w:r w:rsidR="00DF1ED8">
        <w:rPr>
          <w:rFonts w:ascii="Arial" w:hAnsi="Arial" w:cs="Arial"/>
        </w:rPr>
        <w:t>, hopefully,</w:t>
      </w:r>
      <w:r w:rsidR="00791E63" w:rsidRPr="00686C0F">
        <w:rPr>
          <w:rFonts w:ascii="Arial" w:hAnsi="Arial" w:cs="Arial"/>
        </w:rPr>
        <w:t xml:space="preserve"> with relative ease.</w:t>
      </w:r>
    </w:p>
    <w:p w14:paraId="3A33B57A" w14:textId="77777777" w:rsidR="00271604" w:rsidRPr="00686C0F" w:rsidRDefault="00271604" w:rsidP="00686C0F">
      <w:pPr>
        <w:spacing w:line="360" w:lineRule="auto"/>
        <w:ind w:left="360"/>
        <w:jc w:val="both"/>
        <w:rPr>
          <w:rFonts w:ascii="Arial" w:hAnsi="Arial" w:cs="Arial"/>
        </w:rPr>
      </w:pPr>
    </w:p>
    <w:p w14:paraId="6CC5EDB9" w14:textId="6D23CFF7" w:rsidR="00271604" w:rsidRPr="00686C0F" w:rsidRDefault="00A91890" w:rsidP="00240AF7">
      <w:pPr>
        <w:spacing w:line="360" w:lineRule="auto"/>
        <w:jc w:val="both"/>
        <w:rPr>
          <w:rFonts w:ascii="Arial" w:hAnsi="Arial" w:cs="Arial"/>
        </w:rPr>
      </w:pPr>
      <w:r>
        <w:rPr>
          <w:rFonts w:ascii="Arial" w:hAnsi="Arial" w:cs="Arial"/>
        </w:rPr>
        <w:t>[39</w:t>
      </w:r>
      <w:r w:rsidR="00240AF7">
        <w:rPr>
          <w:rFonts w:ascii="Arial" w:hAnsi="Arial" w:cs="Arial"/>
        </w:rPr>
        <w:t>]</w:t>
      </w:r>
      <w:r w:rsidR="00240AF7">
        <w:rPr>
          <w:rFonts w:ascii="Arial" w:hAnsi="Arial" w:cs="Arial"/>
        </w:rPr>
        <w:tab/>
      </w:r>
      <w:r w:rsidR="00271604" w:rsidRPr="00686C0F">
        <w:rPr>
          <w:rFonts w:ascii="Arial" w:hAnsi="Arial" w:cs="Arial"/>
        </w:rPr>
        <w:t xml:space="preserve">The first issue to </w:t>
      </w:r>
      <w:r w:rsidR="00DD3EA0" w:rsidRPr="00686C0F">
        <w:rPr>
          <w:rFonts w:ascii="Arial" w:hAnsi="Arial" w:cs="Arial"/>
        </w:rPr>
        <w:t>note</w:t>
      </w:r>
      <w:r w:rsidR="00271604" w:rsidRPr="00686C0F">
        <w:rPr>
          <w:rFonts w:ascii="Arial" w:hAnsi="Arial" w:cs="Arial"/>
        </w:rPr>
        <w:t xml:space="preserve"> is that the agreement contains a clause that deals with the divisibility of the contract. Clause 3.3 reads as follows:</w:t>
      </w:r>
    </w:p>
    <w:p w14:paraId="18066F25" w14:textId="77777777" w:rsidR="00271604" w:rsidRPr="00686C0F" w:rsidRDefault="00271604" w:rsidP="00686C0F">
      <w:pPr>
        <w:spacing w:line="360" w:lineRule="auto"/>
        <w:ind w:left="360"/>
        <w:jc w:val="both"/>
        <w:rPr>
          <w:rFonts w:ascii="Arial" w:hAnsi="Arial" w:cs="Arial"/>
        </w:rPr>
      </w:pPr>
    </w:p>
    <w:p w14:paraId="63F311B0" w14:textId="43810CA7" w:rsidR="00091D4A" w:rsidRPr="00686C0F" w:rsidRDefault="00091D4A" w:rsidP="00FC533D">
      <w:pPr>
        <w:spacing w:line="360" w:lineRule="auto"/>
        <w:jc w:val="both"/>
        <w:rPr>
          <w:rFonts w:ascii="Arial" w:hAnsi="Arial" w:cs="Arial"/>
          <w:sz w:val="22"/>
          <w:szCs w:val="22"/>
        </w:rPr>
      </w:pPr>
      <w:r w:rsidRPr="00686C0F">
        <w:rPr>
          <w:rFonts w:ascii="Arial" w:hAnsi="Arial" w:cs="Arial"/>
        </w:rPr>
        <w:t>‘</w:t>
      </w:r>
      <w:r w:rsidRPr="00686C0F">
        <w:rPr>
          <w:rFonts w:ascii="Arial" w:hAnsi="Arial" w:cs="Arial"/>
          <w:sz w:val="22"/>
          <w:szCs w:val="22"/>
        </w:rPr>
        <w:t>This transaction constitutes an indivisible sale of the interest and claims’.</w:t>
      </w:r>
    </w:p>
    <w:p w14:paraId="48EC5E3D" w14:textId="77777777" w:rsidR="00091D4A" w:rsidRPr="00686C0F" w:rsidRDefault="00091D4A" w:rsidP="00686C0F">
      <w:pPr>
        <w:spacing w:line="360" w:lineRule="auto"/>
        <w:ind w:left="360"/>
        <w:jc w:val="both"/>
        <w:rPr>
          <w:rFonts w:ascii="Arial" w:hAnsi="Arial" w:cs="Arial"/>
          <w:sz w:val="22"/>
          <w:szCs w:val="22"/>
        </w:rPr>
      </w:pPr>
    </w:p>
    <w:p w14:paraId="186F800F" w14:textId="306BFAE5" w:rsidR="00091D4A" w:rsidRPr="00686C0F" w:rsidRDefault="00091D4A" w:rsidP="00240AF7">
      <w:pPr>
        <w:spacing w:line="360" w:lineRule="auto"/>
        <w:jc w:val="both"/>
        <w:rPr>
          <w:rFonts w:ascii="Arial" w:hAnsi="Arial" w:cs="Arial"/>
          <w:sz w:val="22"/>
          <w:szCs w:val="22"/>
        </w:rPr>
      </w:pPr>
      <w:r w:rsidRPr="00686C0F">
        <w:rPr>
          <w:rFonts w:ascii="Arial" w:hAnsi="Arial" w:cs="Arial"/>
          <w:sz w:val="22"/>
          <w:szCs w:val="22"/>
        </w:rPr>
        <w:t>‘Interest’ and ‘claims’, referred to above, were also defined in the agreement as follows:</w:t>
      </w:r>
    </w:p>
    <w:p w14:paraId="72BF4FF9" w14:textId="77777777" w:rsidR="00091D4A" w:rsidRPr="00686C0F" w:rsidRDefault="00091D4A" w:rsidP="00686C0F">
      <w:pPr>
        <w:spacing w:line="360" w:lineRule="auto"/>
        <w:ind w:left="360"/>
        <w:jc w:val="both"/>
        <w:rPr>
          <w:rFonts w:ascii="Arial" w:hAnsi="Arial" w:cs="Arial"/>
          <w:sz w:val="22"/>
          <w:szCs w:val="22"/>
        </w:rPr>
      </w:pPr>
    </w:p>
    <w:p w14:paraId="3984EB59" w14:textId="0B0910E0" w:rsidR="00091D4A" w:rsidRDefault="00912277" w:rsidP="00240AF7">
      <w:pPr>
        <w:spacing w:line="360" w:lineRule="auto"/>
        <w:jc w:val="both"/>
        <w:rPr>
          <w:rFonts w:ascii="Arial" w:hAnsi="Arial" w:cs="Arial"/>
          <w:sz w:val="22"/>
          <w:szCs w:val="22"/>
        </w:rPr>
      </w:pPr>
      <w:r w:rsidRPr="00686C0F">
        <w:rPr>
          <w:rFonts w:ascii="Arial" w:hAnsi="Arial" w:cs="Arial"/>
          <w:sz w:val="22"/>
          <w:szCs w:val="22"/>
        </w:rPr>
        <w:t>‘2.6 The</w:t>
      </w:r>
      <w:r w:rsidR="00091D4A" w:rsidRPr="00686C0F">
        <w:rPr>
          <w:rFonts w:ascii="Arial" w:hAnsi="Arial" w:cs="Arial"/>
          <w:sz w:val="22"/>
          <w:szCs w:val="22"/>
        </w:rPr>
        <w:t xml:space="preserve"> INTEREST means 100% (One hundred </w:t>
      </w:r>
      <w:r w:rsidRPr="00686C0F">
        <w:rPr>
          <w:rFonts w:ascii="Arial" w:hAnsi="Arial" w:cs="Arial"/>
          <w:sz w:val="22"/>
          <w:szCs w:val="22"/>
        </w:rPr>
        <w:t>per cent</w:t>
      </w:r>
      <w:r w:rsidR="00091D4A" w:rsidRPr="00686C0F">
        <w:rPr>
          <w:rFonts w:ascii="Arial" w:hAnsi="Arial" w:cs="Arial"/>
          <w:sz w:val="22"/>
          <w:szCs w:val="22"/>
        </w:rPr>
        <w:t xml:space="preserve"> of the Seller’s interest in the CORPORATION.</w:t>
      </w:r>
    </w:p>
    <w:p w14:paraId="48CF48F2" w14:textId="77777777" w:rsidR="00FC533D" w:rsidRPr="00686C0F" w:rsidRDefault="00FC533D" w:rsidP="00240AF7">
      <w:pPr>
        <w:spacing w:line="360" w:lineRule="auto"/>
        <w:jc w:val="both"/>
        <w:rPr>
          <w:rFonts w:ascii="Arial" w:hAnsi="Arial" w:cs="Arial"/>
          <w:sz w:val="22"/>
          <w:szCs w:val="22"/>
        </w:rPr>
      </w:pPr>
    </w:p>
    <w:p w14:paraId="357AFD36" w14:textId="770FD44A" w:rsidR="00091D4A" w:rsidRPr="00686C0F" w:rsidRDefault="00091D4A" w:rsidP="00240AF7">
      <w:pPr>
        <w:spacing w:line="360" w:lineRule="auto"/>
        <w:jc w:val="both"/>
        <w:rPr>
          <w:rFonts w:ascii="Arial" w:hAnsi="Arial" w:cs="Arial"/>
          <w:sz w:val="22"/>
          <w:szCs w:val="22"/>
        </w:rPr>
      </w:pPr>
      <w:r w:rsidRPr="00686C0F">
        <w:rPr>
          <w:rFonts w:ascii="Arial" w:hAnsi="Arial" w:cs="Arial"/>
          <w:sz w:val="22"/>
          <w:szCs w:val="22"/>
        </w:rPr>
        <w:t>2.7 T</w:t>
      </w:r>
      <w:r w:rsidR="0051569D" w:rsidRPr="00686C0F">
        <w:rPr>
          <w:rFonts w:ascii="Arial" w:hAnsi="Arial" w:cs="Arial"/>
          <w:sz w:val="22"/>
          <w:szCs w:val="22"/>
        </w:rPr>
        <w:t>he CLAIMS mean 100% (one hundre</w:t>
      </w:r>
      <w:r w:rsidRPr="00686C0F">
        <w:rPr>
          <w:rFonts w:ascii="Arial" w:hAnsi="Arial" w:cs="Arial"/>
          <w:sz w:val="22"/>
          <w:szCs w:val="22"/>
        </w:rPr>
        <w:t xml:space="preserve">d </w:t>
      </w:r>
      <w:r w:rsidR="00912277" w:rsidRPr="00686C0F">
        <w:rPr>
          <w:rFonts w:ascii="Arial" w:hAnsi="Arial" w:cs="Arial"/>
          <w:sz w:val="22"/>
          <w:szCs w:val="22"/>
        </w:rPr>
        <w:t>per cent</w:t>
      </w:r>
      <w:r w:rsidRPr="00686C0F">
        <w:rPr>
          <w:rFonts w:ascii="Arial" w:hAnsi="Arial" w:cs="Arial"/>
          <w:sz w:val="22"/>
          <w:szCs w:val="22"/>
        </w:rPr>
        <w:t>) all sums of whatsoever nature and owing to the SELLER by the COR</w:t>
      </w:r>
      <w:r w:rsidR="00EA745A">
        <w:rPr>
          <w:rFonts w:ascii="Arial" w:hAnsi="Arial" w:cs="Arial"/>
          <w:sz w:val="22"/>
          <w:szCs w:val="22"/>
        </w:rPr>
        <w:t>PORATION on the EFFECTIVE DATE.’</w:t>
      </w:r>
    </w:p>
    <w:p w14:paraId="59A759AB" w14:textId="77777777" w:rsidR="00091D4A" w:rsidRPr="00686C0F" w:rsidRDefault="00091D4A" w:rsidP="00686C0F">
      <w:pPr>
        <w:spacing w:line="360" w:lineRule="auto"/>
        <w:ind w:left="360"/>
        <w:jc w:val="both"/>
        <w:rPr>
          <w:rFonts w:ascii="Arial" w:hAnsi="Arial" w:cs="Arial"/>
        </w:rPr>
      </w:pPr>
    </w:p>
    <w:p w14:paraId="05E2690D" w14:textId="762F3513" w:rsidR="00091D4A" w:rsidRPr="00686C0F" w:rsidRDefault="00A91890" w:rsidP="00240AF7">
      <w:pPr>
        <w:spacing w:line="360" w:lineRule="auto"/>
        <w:jc w:val="both"/>
        <w:rPr>
          <w:rFonts w:ascii="Arial" w:hAnsi="Arial" w:cs="Arial"/>
        </w:rPr>
      </w:pPr>
      <w:r>
        <w:rPr>
          <w:rFonts w:ascii="Arial" w:hAnsi="Arial" w:cs="Arial"/>
        </w:rPr>
        <w:t>[40</w:t>
      </w:r>
      <w:r w:rsidR="008C039F">
        <w:rPr>
          <w:rFonts w:ascii="Arial" w:hAnsi="Arial" w:cs="Arial"/>
        </w:rPr>
        <w:t xml:space="preserve">] </w:t>
      </w:r>
      <w:r w:rsidR="00091D4A" w:rsidRPr="00686C0F">
        <w:rPr>
          <w:rFonts w:ascii="Arial" w:hAnsi="Arial" w:cs="Arial"/>
        </w:rPr>
        <w:t xml:space="preserve">Clause 2.9. </w:t>
      </w:r>
      <w:proofErr w:type="gramStart"/>
      <w:r w:rsidR="00091D4A" w:rsidRPr="00686C0F">
        <w:rPr>
          <w:rFonts w:ascii="Arial" w:hAnsi="Arial" w:cs="Arial"/>
        </w:rPr>
        <w:t>of</w:t>
      </w:r>
      <w:proofErr w:type="gramEnd"/>
      <w:r w:rsidR="00091D4A" w:rsidRPr="00686C0F">
        <w:rPr>
          <w:rFonts w:ascii="Arial" w:hAnsi="Arial" w:cs="Arial"/>
        </w:rPr>
        <w:t xml:space="preserve"> the agreement, on the other hand defined the subject matter as ‘100% (One hundred </w:t>
      </w:r>
      <w:r w:rsidR="00912277" w:rsidRPr="00686C0F">
        <w:rPr>
          <w:rFonts w:ascii="Arial" w:hAnsi="Arial" w:cs="Arial"/>
        </w:rPr>
        <w:t>per cent</w:t>
      </w:r>
      <w:r w:rsidR="00091D4A" w:rsidRPr="00686C0F">
        <w:rPr>
          <w:rFonts w:ascii="Arial" w:hAnsi="Arial" w:cs="Arial"/>
        </w:rPr>
        <w:t>) the INTEREST and the CLAIMS’.</w:t>
      </w:r>
    </w:p>
    <w:p w14:paraId="532E436E" w14:textId="77777777" w:rsidR="00FC533D" w:rsidRDefault="00FC533D" w:rsidP="00FC533D">
      <w:pPr>
        <w:spacing w:line="360" w:lineRule="auto"/>
        <w:jc w:val="both"/>
        <w:rPr>
          <w:rFonts w:ascii="Arial" w:hAnsi="Arial" w:cs="Arial"/>
        </w:rPr>
      </w:pPr>
    </w:p>
    <w:p w14:paraId="2DD72461" w14:textId="30342374" w:rsidR="00091D4A" w:rsidRPr="00686C0F" w:rsidRDefault="00091D4A" w:rsidP="00FC533D">
      <w:pPr>
        <w:spacing w:line="360" w:lineRule="auto"/>
        <w:jc w:val="both"/>
        <w:rPr>
          <w:rFonts w:ascii="Arial" w:hAnsi="Arial" w:cs="Arial"/>
        </w:rPr>
      </w:pPr>
      <w:r w:rsidRPr="00B96090">
        <w:rPr>
          <w:rFonts w:ascii="Arial" w:hAnsi="Arial" w:cs="Arial"/>
        </w:rPr>
        <w:t>Furniture and inventory were defined in the agreement at clause 2.12 as</w:t>
      </w:r>
      <w:r w:rsidRPr="00EA745A">
        <w:rPr>
          <w:rFonts w:ascii="Arial" w:hAnsi="Arial" w:cs="Arial"/>
          <w:sz w:val="22"/>
          <w:szCs w:val="22"/>
        </w:rPr>
        <w:t xml:space="preserve">, </w:t>
      </w:r>
      <w:r w:rsidRPr="00686C0F">
        <w:rPr>
          <w:rFonts w:ascii="Arial" w:hAnsi="Arial" w:cs="Arial"/>
        </w:rPr>
        <w:t>‘</w:t>
      </w:r>
      <w:r w:rsidRPr="00DF1ED8">
        <w:rPr>
          <w:rFonts w:ascii="Arial" w:hAnsi="Arial" w:cs="Arial"/>
          <w:sz w:val="22"/>
          <w:szCs w:val="22"/>
        </w:rPr>
        <w:t xml:space="preserve">the furniture and inventory as found in the residence erected on </w:t>
      </w:r>
      <w:proofErr w:type="spellStart"/>
      <w:r w:rsidRPr="00DF1ED8">
        <w:rPr>
          <w:rFonts w:ascii="Arial" w:hAnsi="Arial" w:cs="Arial"/>
          <w:sz w:val="22"/>
          <w:szCs w:val="22"/>
        </w:rPr>
        <w:t>Erf</w:t>
      </w:r>
      <w:proofErr w:type="spellEnd"/>
      <w:r w:rsidRPr="00DF1ED8">
        <w:rPr>
          <w:rFonts w:ascii="Arial" w:hAnsi="Arial" w:cs="Arial"/>
          <w:sz w:val="22"/>
          <w:szCs w:val="22"/>
        </w:rPr>
        <w:t xml:space="preserve"> 67 </w:t>
      </w:r>
      <w:proofErr w:type="spellStart"/>
      <w:r w:rsidRPr="00DF1ED8">
        <w:rPr>
          <w:rFonts w:ascii="Arial" w:hAnsi="Arial" w:cs="Arial"/>
          <w:sz w:val="22"/>
          <w:szCs w:val="22"/>
        </w:rPr>
        <w:t>Swakopmund</w:t>
      </w:r>
      <w:proofErr w:type="spellEnd"/>
      <w:r w:rsidRPr="00DF1ED8">
        <w:rPr>
          <w:rFonts w:ascii="Arial" w:hAnsi="Arial" w:cs="Arial"/>
          <w:sz w:val="22"/>
          <w:szCs w:val="22"/>
        </w:rPr>
        <w:t xml:space="preserve"> and listed in a separate Annexure’</w:t>
      </w:r>
      <w:r w:rsidRPr="00686C0F">
        <w:rPr>
          <w:rFonts w:ascii="Arial" w:hAnsi="Arial" w:cs="Arial"/>
        </w:rPr>
        <w:t>.</w:t>
      </w:r>
    </w:p>
    <w:p w14:paraId="2FB35FCC" w14:textId="77777777" w:rsidR="00091D4A" w:rsidRPr="00686C0F" w:rsidRDefault="00091D4A" w:rsidP="00686C0F">
      <w:pPr>
        <w:spacing w:line="360" w:lineRule="auto"/>
        <w:ind w:left="360"/>
        <w:jc w:val="both"/>
        <w:rPr>
          <w:rFonts w:ascii="Arial" w:hAnsi="Arial" w:cs="Arial"/>
        </w:rPr>
      </w:pPr>
    </w:p>
    <w:p w14:paraId="1F31F57D" w14:textId="78FB3DD5" w:rsidR="00B86B4B" w:rsidRPr="00686C0F" w:rsidRDefault="00240AF7" w:rsidP="00240AF7">
      <w:pPr>
        <w:spacing w:line="360" w:lineRule="auto"/>
        <w:jc w:val="both"/>
        <w:rPr>
          <w:rFonts w:ascii="Arial" w:hAnsi="Arial" w:cs="Arial"/>
        </w:rPr>
      </w:pPr>
      <w:r>
        <w:rPr>
          <w:rFonts w:ascii="Arial" w:hAnsi="Arial" w:cs="Arial"/>
        </w:rPr>
        <w:t>[</w:t>
      </w:r>
      <w:r w:rsidR="00A91890">
        <w:rPr>
          <w:rFonts w:ascii="Arial" w:hAnsi="Arial" w:cs="Arial"/>
        </w:rPr>
        <w:t>41</w:t>
      </w:r>
      <w:r w:rsidR="0051569D" w:rsidRPr="00686C0F">
        <w:rPr>
          <w:rFonts w:ascii="Arial" w:hAnsi="Arial" w:cs="Arial"/>
        </w:rPr>
        <w:t>]</w:t>
      </w:r>
      <w:r w:rsidR="0051569D" w:rsidRPr="00686C0F">
        <w:rPr>
          <w:rFonts w:ascii="Arial" w:hAnsi="Arial" w:cs="Arial"/>
        </w:rPr>
        <w:tab/>
      </w:r>
      <w:r w:rsidR="00091D4A" w:rsidRPr="00686C0F">
        <w:rPr>
          <w:rFonts w:ascii="Arial" w:hAnsi="Arial" w:cs="Arial"/>
        </w:rPr>
        <w:t>The question for determination is whether the plaintiff is at large to cancel, as he purported to do, one portion of the written agreement, namely, the one relating to the</w:t>
      </w:r>
      <w:r w:rsidR="00F56D97">
        <w:rPr>
          <w:rFonts w:ascii="Arial" w:hAnsi="Arial" w:cs="Arial"/>
        </w:rPr>
        <w:t xml:space="preserve"> furniture and inventory, and lea</w:t>
      </w:r>
      <w:r w:rsidR="00091D4A" w:rsidRPr="00686C0F">
        <w:rPr>
          <w:rFonts w:ascii="Arial" w:hAnsi="Arial" w:cs="Arial"/>
        </w:rPr>
        <w:t xml:space="preserve">ve the one on the </w:t>
      </w:r>
      <w:r w:rsidR="00DF1ED8">
        <w:rPr>
          <w:rFonts w:ascii="Arial" w:hAnsi="Arial" w:cs="Arial"/>
        </w:rPr>
        <w:t xml:space="preserve">100% member’s </w:t>
      </w:r>
      <w:r w:rsidR="00091D4A" w:rsidRPr="00686C0F">
        <w:rPr>
          <w:rFonts w:ascii="Arial" w:hAnsi="Arial" w:cs="Arial"/>
        </w:rPr>
        <w:t>interest in the corporation intact? In other words, the question is whether the agreement in question was divisible</w:t>
      </w:r>
      <w:r w:rsidR="00B86B4B" w:rsidRPr="00686C0F">
        <w:rPr>
          <w:rFonts w:ascii="Arial" w:hAnsi="Arial" w:cs="Arial"/>
        </w:rPr>
        <w:t>.</w:t>
      </w:r>
    </w:p>
    <w:p w14:paraId="4BB1C182" w14:textId="77777777" w:rsidR="00B86B4B" w:rsidRPr="00686C0F" w:rsidRDefault="00B86B4B" w:rsidP="00686C0F">
      <w:pPr>
        <w:spacing w:line="360" w:lineRule="auto"/>
        <w:ind w:left="360"/>
        <w:jc w:val="both"/>
        <w:rPr>
          <w:rFonts w:ascii="Arial" w:hAnsi="Arial" w:cs="Arial"/>
        </w:rPr>
      </w:pPr>
    </w:p>
    <w:p w14:paraId="5742E89E" w14:textId="4420FBCC" w:rsidR="00091D4A" w:rsidRPr="00686C0F" w:rsidRDefault="00A91890" w:rsidP="00240AF7">
      <w:pPr>
        <w:spacing w:line="360" w:lineRule="auto"/>
        <w:jc w:val="both"/>
        <w:rPr>
          <w:rFonts w:ascii="Arial" w:hAnsi="Arial" w:cs="Arial"/>
        </w:rPr>
      </w:pPr>
      <w:r>
        <w:rPr>
          <w:rFonts w:ascii="Arial" w:hAnsi="Arial" w:cs="Arial"/>
        </w:rPr>
        <w:t>[42</w:t>
      </w:r>
      <w:r w:rsidR="00FC533D">
        <w:rPr>
          <w:rFonts w:ascii="Arial" w:hAnsi="Arial" w:cs="Arial"/>
        </w:rPr>
        <w:t>]</w:t>
      </w:r>
      <w:r w:rsidR="00FC533D">
        <w:rPr>
          <w:rFonts w:ascii="Arial" w:hAnsi="Arial" w:cs="Arial"/>
        </w:rPr>
        <w:tab/>
        <w:t>Ms</w:t>
      </w:r>
      <w:r w:rsidR="00B86B4B" w:rsidRPr="00686C0F">
        <w:rPr>
          <w:rFonts w:ascii="Arial" w:hAnsi="Arial" w:cs="Arial"/>
        </w:rPr>
        <w:t xml:space="preserve"> De </w:t>
      </w:r>
      <w:proofErr w:type="spellStart"/>
      <w:r w:rsidR="00B86B4B" w:rsidRPr="00686C0F">
        <w:rPr>
          <w:rFonts w:ascii="Arial" w:hAnsi="Arial" w:cs="Arial"/>
        </w:rPr>
        <w:t>Jager</w:t>
      </w:r>
      <w:proofErr w:type="spellEnd"/>
      <w:r w:rsidR="00B86B4B" w:rsidRPr="00686C0F">
        <w:rPr>
          <w:rFonts w:ascii="Arial" w:hAnsi="Arial" w:cs="Arial"/>
        </w:rPr>
        <w:t xml:space="preserve"> argued that the plaintiff was entitle</w:t>
      </w:r>
      <w:r w:rsidR="0051569D" w:rsidRPr="00686C0F">
        <w:rPr>
          <w:rFonts w:ascii="Arial" w:hAnsi="Arial" w:cs="Arial"/>
        </w:rPr>
        <w:t>d</w:t>
      </w:r>
      <w:r w:rsidR="00B86B4B" w:rsidRPr="00686C0F">
        <w:rPr>
          <w:rFonts w:ascii="Arial" w:hAnsi="Arial" w:cs="Arial"/>
        </w:rPr>
        <w:t>, as it were, to sever the agreement and choose to have one aspect of it enforced, namely, the one relating to the membership interest in the corporation, and on the other hand, cancel the one relating to the furniture and inventory</w:t>
      </w:r>
      <w:r w:rsidR="00B96090">
        <w:rPr>
          <w:rFonts w:ascii="Arial" w:hAnsi="Arial" w:cs="Arial"/>
        </w:rPr>
        <w:t>,</w:t>
      </w:r>
      <w:r w:rsidR="0051569D" w:rsidRPr="00686C0F">
        <w:rPr>
          <w:rFonts w:ascii="Arial" w:hAnsi="Arial" w:cs="Arial"/>
        </w:rPr>
        <w:t xml:space="preserve"> due to the defendants’ breach of same</w:t>
      </w:r>
      <w:r w:rsidR="00B86B4B" w:rsidRPr="00686C0F">
        <w:rPr>
          <w:rFonts w:ascii="Arial" w:hAnsi="Arial" w:cs="Arial"/>
        </w:rPr>
        <w:t xml:space="preserve">. It was her argument that properly read and construed, although </w:t>
      </w:r>
      <w:r w:rsidR="00B86B4B" w:rsidRPr="00686C0F">
        <w:rPr>
          <w:rFonts w:ascii="Arial" w:hAnsi="Arial" w:cs="Arial"/>
        </w:rPr>
        <w:lastRenderedPageBreak/>
        <w:t xml:space="preserve">the agreement in question dealt with the concept of divisibility, same related only to the indivisibility of the ‘interest’ and ‘claims’, which have been defined above. Significantly, she </w:t>
      </w:r>
      <w:r w:rsidR="00DF1ED8">
        <w:rPr>
          <w:rFonts w:ascii="Arial" w:hAnsi="Arial" w:cs="Arial"/>
        </w:rPr>
        <w:t xml:space="preserve">further </w:t>
      </w:r>
      <w:r w:rsidR="00B86B4B" w:rsidRPr="00686C0F">
        <w:rPr>
          <w:rFonts w:ascii="Arial" w:hAnsi="Arial" w:cs="Arial"/>
        </w:rPr>
        <w:t xml:space="preserve">argued, there is no clause in the agreement that records specifically </w:t>
      </w:r>
      <w:r w:rsidR="0051569D" w:rsidRPr="00686C0F">
        <w:rPr>
          <w:rFonts w:ascii="Arial" w:hAnsi="Arial" w:cs="Arial"/>
        </w:rPr>
        <w:t xml:space="preserve">and unambiguously, </w:t>
      </w:r>
      <w:r w:rsidR="00B86B4B" w:rsidRPr="00686C0F">
        <w:rPr>
          <w:rFonts w:ascii="Arial" w:hAnsi="Arial" w:cs="Arial"/>
        </w:rPr>
        <w:t xml:space="preserve">regarding the indivisibility of the interest </w:t>
      </w:r>
      <w:r w:rsidR="00DF1ED8">
        <w:rPr>
          <w:rFonts w:ascii="Arial" w:hAnsi="Arial" w:cs="Arial"/>
        </w:rPr>
        <w:t xml:space="preserve">particularly </w:t>
      </w:r>
      <w:r w:rsidR="00B86B4B" w:rsidRPr="00686C0F">
        <w:rPr>
          <w:rFonts w:ascii="Arial" w:hAnsi="Arial" w:cs="Arial"/>
        </w:rPr>
        <w:t>in</w:t>
      </w:r>
      <w:r w:rsidR="00DF1ED8">
        <w:rPr>
          <w:rFonts w:ascii="Arial" w:hAnsi="Arial" w:cs="Arial"/>
        </w:rPr>
        <w:t xml:space="preserve"> relation to</w:t>
      </w:r>
      <w:r w:rsidR="00B86B4B" w:rsidRPr="00686C0F">
        <w:rPr>
          <w:rFonts w:ascii="Arial" w:hAnsi="Arial" w:cs="Arial"/>
        </w:rPr>
        <w:t xml:space="preserve"> the </w:t>
      </w:r>
      <w:r w:rsidR="00DF1ED8">
        <w:rPr>
          <w:rFonts w:ascii="Arial" w:hAnsi="Arial" w:cs="Arial"/>
        </w:rPr>
        <w:t xml:space="preserve">member’s interest in the </w:t>
      </w:r>
      <w:r w:rsidR="00B86B4B" w:rsidRPr="00686C0F">
        <w:rPr>
          <w:rFonts w:ascii="Arial" w:hAnsi="Arial" w:cs="Arial"/>
        </w:rPr>
        <w:t xml:space="preserve">corporation </w:t>
      </w:r>
      <w:r w:rsidR="00DF1ED8">
        <w:rPr>
          <w:rFonts w:ascii="Arial" w:hAnsi="Arial" w:cs="Arial"/>
        </w:rPr>
        <w:t xml:space="preserve">of the one part </w:t>
      </w:r>
      <w:r w:rsidR="00B86B4B" w:rsidRPr="00686C0F">
        <w:rPr>
          <w:rFonts w:ascii="Arial" w:hAnsi="Arial" w:cs="Arial"/>
        </w:rPr>
        <w:t>and the furniture and inventory</w:t>
      </w:r>
      <w:r w:rsidR="00DF1ED8">
        <w:rPr>
          <w:rFonts w:ascii="Arial" w:hAnsi="Arial" w:cs="Arial"/>
        </w:rPr>
        <w:t>, of the other</w:t>
      </w:r>
      <w:r w:rsidR="00B86B4B" w:rsidRPr="00686C0F">
        <w:rPr>
          <w:rFonts w:ascii="Arial" w:hAnsi="Arial" w:cs="Arial"/>
        </w:rPr>
        <w:t>.</w:t>
      </w:r>
      <w:r w:rsidR="00091D4A" w:rsidRPr="00686C0F">
        <w:rPr>
          <w:rFonts w:ascii="Arial" w:hAnsi="Arial" w:cs="Arial"/>
        </w:rPr>
        <w:t xml:space="preserve"> </w:t>
      </w:r>
    </w:p>
    <w:p w14:paraId="75AC85F3" w14:textId="77777777" w:rsidR="0051569D" w:rsidRPr="00686C0F" w:rsidRDefault="0051569D" w:rsidP="00686C0F">
      <w:pPr>
        <w:spacing w:line="360" w:lineRule="auto"/>
        <w:ind w:left="360"/>
        <w:jc w:val="both"/>
        <w:rPr>
          <w:rFonts w:ascii="Arial" w:hAnsi="Arial" w:cs="Arial"/>
        </w:rPr>
      </w:pPr>
    </w:p>
    <w:p w14:paraId="769BB0E9" w14:textId="0C1DAE65" w:rsidR="0051569D" w:rsidRPr="00686C0F" w:rsidRDefault="00A91890" w:rsidP="00240AF7">
      <w:pPr>
        <w:spacing w:line="360" w:lineRule="auto"/>
        <w:jc w:val="both"/>
        <w:rPr>
          <w:rFonts w:ascii="Arial" w:hAnsi="Arial" w:cs="Arial"/>
        </w:rPr>
      </w:pPr>
      <w:r>
        <w:rPr>
          <w:rFonts w:ascii="Arial" w:hAnsi="Arial" w:cs="Arial"/>
        </w:rPr>
        <w:t>[43</w:t>
      </w:r>
      <w:r w:rsidR="00A760B7">
        <w:rPr>
          <w:rFonts w:ascii="Arial" w:hAnsi="Arial" w:cs="Arial"/>
        </w:rPr>
        <w:t>]</w:t>
      </w:r>
      <w:r w:rsidR="00A760B7">
        <w:rPr>
          <w:rFonts w:ascii="Arial" w:hAnsi="Arial" w:cs="Arial"/>
        </w:rPr>
        <w:tab/>
        <w:t>I have read Mr</w:t>
      </w:r>
      <w:r w:rsidR="0051569D" w:rsidRPr="00686C0F">
        <w:rPr>
          <w:rFonts w:ascii="Arial" w:hAnsi="Arial" w:cs="Arial"/>
        </w:rPr>
        <w:t xml:space="preserve"> Brandt’s written submissions and he does not appear to have dealt with this aspect of the matter at all. In that regard, I will consider</w:t>
      </w:r>
      <w:r w:rsidR="00DF1ED8">
        <w:rPr>
          <w:rFonts w:ascii="Arial" w:hAnsi="Arial" w:cs="Arial"/>
        </w:rPr>
        <w:t xml:space="preserve"> the submissions and case law Ms</w:t>
      </w:r>
      <w:r w:rsidR="0051569D" w:rsidRPr="00686C0F">
        <w:rPr>
          <w:rFonts w:ascii="Arial" w:hAnsi="Arial" w:cs="Arial"/>
        </w:rPr>
        <w:t xml:space="preserve"> De </w:t>
      </w:r>
      <w:proofErr w:type="spellStart"/>
      <w:r w:rsidR="0051569D" w:rsidRPr="00686C0F">
        <w:rPr>
          <w:rFonts w:ascii="Arial" w:hAnsi="Arial" w:cs="Arial"/>
        </w:rPr>
        <w:t>Jager</w:t>
      </w:r>
      <w:proofErr w:type="spellEnd"/>
      <w:r w:rsidR="0051569D" w:rsidRPr="00686C0F">
        <w:rPr>
          <w:rFonts w:ascii="Arial" w:hAnsi="Arial" w:cs="Arial"/>
        </w:rPr>
        <w:t xml:space="preserve"> </w:t>
      </w:r>
      <w:r w:rsidR="00DF1ED8">
        <w:rPr>
          <w:rFonts w:ascii="Arial" w:hAnsi="Arial" w:cs="Arial"/>
        </w:rPr>
        <w:t xml:space="preserve">studiously referred to and </w:t>
      </w:r>
      <w:r w:rsidR="0051569D" w:rsidRPr="00686C0F">
        <w:rPr>
          <w:rFonts w:ascii="Arial" w:hAnsi="Arial" w:cs="Arial"/>
        </w:rPr>
        <w:t>relied upon</w:t>
      </w:r>
      <w:r w:rsidR="00DF1ED8">
        <w:rPr>
          <w:rFonts w:ascii="Arial" w:hAnsi="Arial" w:cs="Arial"/>
        </w:rPr>
        <w:t>. I</w:t>
      </w:r>
      <w:r w:rsidR="0051569D" w:rsidRPr="00686C0F">
        <w:rPr>
          <w:rFonts w:ascii="Arial" w:hAnsi="Arial" w:cs="Arial"/>
        </w:rPr>
        <w:t xml:space="preserve"> </w:t>
      </w:r>
      <w:r w:rsidR="00DF1ED8">
        <w:rPr>
          <w:rFonts w:ascii="Arial" w:hAnsi="Arial" w:cs="Arial"/>
        </w:rPr>
        <w:t>will</w:t>
      </w:r>
      <w:r w:rsidR="0051569D" w:rsidRPr="00686C0F">
        <w:rPr>
          <w:rFonts w:ascii="Arial" w:hAnsi="Arial" w:cs="Arial"/>
        </w:rPr>
        <w:t xml:space="preserve"> thereafter decide whether the law and the factual situation that obtains in this matter is in her favour.</w:t>
      </w:r>
    </w:p>
    <w:p w14:paraId="210F4689" w14:textId="77777777" w:rsidR="0051569D" w:rsidRPr="00686C0F" w:rsidRDefault="0051569D" w:rsidP="00686C0F">
      <w:pPr>
        <w:spacing w:line="360" w:lineRule="auto"/>
        <w:ind w:left="360"/>
        <w:jc w:val="both"/>
        <w:rPr>
          <w:rFonts w:ascii="Arial" w:hAnsi="Arial" w:cs="Arial"/>
        </w:rPr>
      </w:pPr>
    </w:p>
    <w:p w14:paraId="09DE3009" w14:textId="2A907710" w:rsidR="0051569D" w:rsidRPr="00686C0F" w:rsidRDefault="0051569D" w:rsidP="00240AF7">
      <w:pPr>
        <w:spacing w:line="360" w:lineRule="auto"/>
        <w:jc w:val="both"/>
        <w:rPr>
          <w:rFonts w:ascii="Arial" w:hAnsi="Arial" w:cs="Arial"/>
        </w:rPr>
      </w:pPr>
      <w:r w:rsidRPr="00686C0F">
        <w:rPr>
          <w:rFonts w:ascii="Arial" w:hAnsi="Arial" w:cs="Arial"/>
        </w:rPr>
        <w:t>[</w:t>
      </w:r>
      <w:r w:rsidR="00A91890">
        <w:rPr>
          <w:rFonts w:ascii="Arial" w:hAnsi="Arial" w:cs="Arial"/>
        </w:rPr>
        <w:t>44</w:t>
      </w:r>
      <w:r w:rsidR="00A760B7">
        <w:rPr>
          <w:rFonts w:ascii="Arial" w:hAnsi="Arial" w:cs="Arial"/>
        </w:rPr>
        <w:t>]</w:t>
      </w:r>
      <w:r w:rsidR="00A760B7">
        <w:rPr>
          <w:rFonts w:ascii="Arial" w:hAnsi="Arial" w:cs="Arial"/>
        </w:rPr>
        <w:tab/>
        <w:t>Ms</w:t>
      </w:r>
      <w:r w:rsidRPr="00686C0F">
        <w:rPr>
          <w:rFonts w:ascii="Arial" w:hAnsi="Arial" w:cs="Arial"/>
        </w:rPr>
        <w:t xml:space="preserve"> De </w:t>
      </w:r>
      <w:proofErr w:type="spellStart"/>
      <w:r w:rsidRPr="00686C0F">
        <w:rPr>
          <w:rFonts w:ascii="Arial" w:hAnsi="Arial" w:cs="Arial"/>
        </w:rPr>
        <w:t>Jager</w:t>
      </w:r>
      <w:proofErr w:type="spellEnd"/>
      <w:r w:rsidRPr="00686C0F">
        <w:rPr>
          <w:rFonts w:ascii="Arial" w:hAnsi="Arial" w:cs="Arial"/>
        </w:rPr>
        <w:t xml:space="preserve">, in the first instance, relied on </w:t>
      </w:r>
      <w:proofErr w:type="spellStart"/>
      <w:r w:rsidRPr="00686C0F">
        <w:rPr>
          <w:rFonts w:ascii="Arial" w:hAnsi="Arial" w:cs="Arial"/>
          <w:i/>
        </w:rPr>
        <w:t>Collen</w:t>
      </w:r>
      <w:proofErr w:type="spellEnd"/>
      <w:r w:rsidRPr="00686C0F">
        <w:rPr>
          <w:rFonts w:ascii="Arial" w:hAnsi="Arial" w:cs="Arial"/>
          <w:i/>
        </w:rPr>
        <w:t xml:space="preserve"> v </w:t>
      </w:r>
      <w:proofErr w:type="spellStart"/>
      <w:r w:rsidRPr="00686C0F">
        <w:rPr>
          <w:rFonts w:ascii="Arial" w:hAnsi="Arial" w:cs="Arial"/>
          <w:i/>
        </w:rPr>
        <w:t>Rietfontein</w:t>
      </w:r>
      <w:proofErr w:type="spellEnd"/>
      <w:r w:rsidRPr="00686C0F">
        <w:rPr>
          <w:rFonts w:ascii="Arial" w:hAnsi="Arial" w:cs="Arial"/>
          <w:i/>
        </w:rPr>
        <w:t xml:space="preserve"> </w:t>
      </w:r>
      <w:r w:rsidR="00912277" w:rsidRPr="00686C0F">
        <w:rPr>
          <w:rFonts w:ascii="Arial" w:hAnsi="Arial" w:cs="Arial"/>
          <w:i/>
        </w:rPr>
        <w:t>Engineering</w:t>
      </w:r>
      <w:r w:rsidR="00DF1ED8">
        <w:rPr>
          <w:rFonts w:ascii="Arial" w:hAnsi="Arial" w:cs="Arial"/>
          <w:i/>
        </w:rPr>
        <w:t xml:space="preserve"> Works</w:t>
      </w:r>
      <w:r w:rsidRPr="00686C0F">
        <w:rPr>
          <w:rStyle w:val="FootnoteReference"/>
          <w:rFonts w:ascii="Arial" w:hAnsi="Arial" w:cs="Arial"/>
          <w:i/>
        </w:rPr>
        <w:footnoteReference w:id="1"/>
      </w:r>
      <w:r w:rsidRPr="00686C0F">
        <w:rPr>
          <w:rFonts w:ascii="Arial" w:hAnsi="Arial" w:cs="Arial"/>
          <w:i/>
        </w:rPr>
        <w:t xml:space="preserve"> </w:t>
      </w:r>
      <w:r w:rsidRPr="00686C0F">
        <w:rPr>
          <w:rFonts w:ascii="Arial" w:hAnsi="Arial" w:cs="Arial"/>
        </w:rPr>
        <w:t>where the Appellate Division of South Africa, reasoned as follows on this subject:</w:t>
      </w:r>
    </w:p>
    <w:p w14:paraId="1C9F2C31" w14:textId="77777777" w:rsidR="0051569D" w:rsidRPr="00686C0F" w:rsidRDefault="0051569D" w:rsidP="00686C0F">
      <w:pPr>
        <w:spacing w:line="360" w:lineRule="auto"/>
        <w:ind w:left="360"/>
        <w:jc w:val="both"/>
        <w:rPr>
          <w:rFonts w:ascii="Arial" w:hAnsi="Arial" w:cs="Arial"/>
        </w:rPr>
      </w:pPr>
    </w:p>
    <w:p w14:paraId="0EF72231" w14:textId="5BED698B" w:rsidR="0051569D" w:rsidRDefault="0051569D" w:rsidP="000959DA">
      <w:pPr>
        <w:spacing w:line="360" w:lineRule="auto"/>
        <w:jc w:val="both"/>
        <w:rPr>
          <w:rFonts w:ascii="Arial" w:hAnsi="Arial" w:cs="Arial"/>
          <w:sz w:val="22"/>
          <w:szCs w:val="22"/>
        </w:rPr>
      </w:pPr>
      <w:r w:rsidRPr="00686C0F">
        <w:rPr>
          <w:rFonts w:ascii="Arial" w:hAnsi="Arial" w:cs="Arial"/>
          <w:sz w:val="22"/>
          <w:szCs w:val="22"/>
        </w:rPr>
        <w:t xml:space="preserve">‘The remaining question is whether the contract between the parties was divisible or indivisible. In </w:t>
      </w:r>
      <w:r w:rsidRPr="00686C0F">
        <w:rPr>
          <w:rFonts w:ascii="Arial" w:hAnsi="Arial" w:cs="Arial"/>
          <w:i/>
          <w:sz w:val="22"/>
          <w:szCs w:val="22"/>
        </w:rPr>
        <w:t xml:space="preserve">Vorster Bros v </w:t>
      </w:r>
      <w:proofErr w:type="spellStart"/>
      <w:r w:rsidRPr="00686C0F">
        <w:rPr>
          <w:rFonts w:ascii="Arial" w:hAnsi="Arial" w:cs="Arial"/>
          <w:i/>
          <w:sz w:val="22"/>
          <w:szCs w:val="22"/>
        </w:rPr>
        <w:t>Louw</w:t>
      </w:r>
      <w:proofErr w:type="spellEnd"/>
      <w:r w:rsidRPr="00686C0F">
        <w:rPr>
          <w:rFonts w:ascii="Arial" w:hAnsi="Arial" w:cs="Arial"/>
          <w:i/>
          <w:sz w:val="22"/>
          <w:szCs w:val="22"/>
        </w:rPr>
        <w:t xml:space="preserve"> </w:t>
      </w:r>
      <w:r w:rsidRPr="00686C0F">
        <w:rPr>
          <w:rFonts w:ascii="Arial" w:hAnsi="Arial" w:cs="Arial"/>
          <w:sz w:val="22"/>
          <w:szCs w:val="22"/>
        </w:rPr>
        <w:t xml:space="preserve">(1910) TPD 1099, at 1113, DE VILLIERS, </w:t>
      </w:r>
      <w:proofErr w:type="gramStart"/>
      <w:r w:rsidRPr="00686C0F">
        <w:rPr>
          <w:rFonts w:ascii="Arial" w:hAnsi="Arial" w:cs="Arial"/>
          <w:sz w:val="22"/>
          <w:szCs w:val="22"/>
        </w:rPr>
        <w:t>J.P</w:t>
      </w:r>
      <w:proofErr w:type="gramEnd"/>
      <w:r w:rsidRPr="00686C0F">
        <w:rPr>
          <w:rFonts w:ascii="Arial" w:hAnsi="Arial" w:cs="Arial"/>
          <w:sz w:val="22"/>
          <w:szCs w:val="22"/>
        </w:rPr>
        <w:t>., stated:</w:t>
      </w:r>
    </w:p>
    <w:p w14:paraId="0BFFBF9D" w14:textId="77777777" w:rsidR="000959DA" w:rsidRPr="00686C0F" w:rsidRDefault="000959DA" w:rsidP="000959DA">
      <w:pPr>
        <w:spacing w:line="360" w:lineRule="auto"/>
        <w:jc w:val="both"/>
        <w:rPr>
          <w:rFonts w:ascii="Arial" w:hAnsi="Arial" w:cs="Arial"/>
          <w:sz w:val="22"/>
          <w:szCs w:val="22"/>
        </w:rPr>
      </w:pPr>
    </w:p>
    <w:p w14:paraId="4A759348" w14:textId="3DF6DF66" w:rsidR="00D96D95" w:rsidRDefault="00062E11" w:rsidP="000959DA">
      <w:pPr>
        <w:spacing w:line="360" w:lineRule="auto"/>
        <w:ind w:firstLine="720"/>
        <w:jc w:val="both"/>
        <w:rPr>
          <w:rFonts w:ascii="Arial" w:hAnsi="Arial" w:cs="Arial"/>
          <w:sz w:val="22"/>
          <w:szCs w:val="22"/>
        </w:rPr>
      </w:pPr>
      <w:r w:rsidRPr="00686C0F">
        <w:rPr>
          <w:rFonts w:ascii="Arial" w:hAnsi="Arial" w:cs="Arial"/>
          <w:sz w:val="22"/>
          <w:szCs w:val="22"/>
        </w:rPr>
        <w:t xml:space="preserve">“The authorities are clear that </w:t>
      </w:r>
      <w:proofErr w:type="spellStart"/>
      <w:r w:rsidRPr="00686C0F">
        <w:rPr>
          <w:rFonts w:ascii="Arial" w:hAnsi="Arial" w:cs="Arial"/>
          <w:sz w:val="22"/>
          <w:szCs w:val="22"/>
        </w:rPr>
        <w:t>redhibition</w:t>
      </w:r>
      <w:proofErr w:type="spellEnd"/>
      <w:r w:rsidRPr="00686C0F">
        <w:rPr>
          <w:rFonts w:ascii="Arial" w:hAnsi="Arial" w:cs="Arial"/>
          <w:sz w:val="22"/>
          <w:szCs w:val="22"/>
        </w:rPr>
        <w:t xml:space="preserve"> would comprise all the objects sold if in the ordinary course of business or by the contract itself they form such a unity that the particular pieces cannot be separated from one another. . .”</w:t>
      </w:r>
    </w:p>
    <w:p w14:paraId="6D66ACCB" w14:textId="77777777" w:rsidR="000959DA" w:rsidRPr="00686C0F" w:rsidRDefault="000959DA" w:rsidP="000959DA">
      <w:pPr>
        <w:spacing w:line="360" w:lineRule="auto"/>
        <w:ind w:firstLine="720"/>
        <w:jc w:val="both"/>
        <w:rPr>
          <w:rFonts w:ascii="Arial" w:hAnsi="Arial" w:cs="Arial"/>
          <w:sz w:val="22"/>
          <w:szCs w:val="22"/>
        </w:rPr>
      </w:pPr>
    </w:p>
    <w:p w14:paraId="656B2EF6" w14:textId="77777777" w:rsidR="00D96D95" w:rsidRDefault="00D96D95" w:rsidP="00240AF7">
      <w:pPr>
        <w:spacing w:line="360" w:lineRule="auto"/>
        <w:jc w:val="both"/>
        <w:rPr>
          <w:rFonts w:ascii="Arial" w:hAnsi="Arial" w:cs="Arial"/>
          <w:sz w:val="22"/>
          <w:szCs w:val="22"/>
        </w:rPr>
      </w:pPr>
      <w:r w:rsidRPr="00686C0F">
        <w:rPr>
          <w:rFonts w:ascii="Arial" w:hAnsi="Arial" w:cs="Arial"/>
          <w:sz w:val="22"/>
          <w:szCs w:val="22"/>
        </w:rPr>
        <w:t xml:space="preserve">The above passage appears to be a somewhat free translation of the cited passage in </w:t>
      </w:r>
      <w:proofErr w:type="spellStart"/>
      <w:r w:rsidRPr="00686C0F">
        <w:rPr>
          <w:rFonts w:ascii="Arial" w:hAnsi="Arial" w:cs="Arial"/>
          <w:sz w:val="22"/>
          <w:szCs w:val="22"/>
        </w:rPr>
        <w:t>Dernberg</w:t>
      </w:r>
      <w:proofErr w:type="spellEnd"/>
      <w:r w:rsidRPr="00686C0F">
        <w:rPr>
          <w:rFonts w:ascii="Arial" w:hAnsi="Arial" w:cs="Arial"/>
          <w:sz w:val="22"/>
          <w:szCs w:val="22"/>
        </w:rPr>
        <w:t>. I venture the following translation of the latter passage: -</w:t>
      </w:r>
    </w:p>
    <w:p w14:paraId="16FFE1E2" w14:textId="77777777" w:rsidR="000959DA" w:rsidRPr="00686C0F" w:rsidRDefault="000959DA" w:rsidP="00240AF7">
      <w:pPr>
        <w:spacing w:line="360" w:lineRule="auto"/>
        <w:jc w:val="both"/>
        <w:rPr>
          <w:rFonts w:ascii="Arial" w:hAnsi="Arial" w:cs="Arial"/>
          <w:sz w:val="22"/>
          <w:szCs w:val="22"/>
        </w:rPr>
      </w:pPr>
    </w:p>
    <w:p w14:paraId="6A78FE47" w14:textId="42E52718" w:rsidR="00D96D95" w:rsidRPr="00686C0F" w:rsidRDefault="00D96D95" w:rsidP="000959DA">
      <w:pPr>
        <w:spacing w:line="360" w:lineRule="auto"/>
        <w:ind w:firstLine="720"/>
        <w:jc w:val="both"/>
        <w:rPr>
          <w:rFonts w:ascii="Arial" w:hAnsi="Arial" w:cs="Arial"/>
          <w:sz w:val="22"/>
          <w:szCs w:val="22"/>
        </w:rPr>
      </w:pPr>
      <w:r w:rsidRPr="00686C0F">
        <w:rPr>
          <w:rFonts w:ascii="Arial" w:hAnsi="Arial" w:cs="Arial"/>
          <w:sz w:val="22"/>
          <w:szCs w:val="22"/>
        </w:rPr>
        <w:t xml:space="preserve">“When several articles are sold together and one of them is defective, the </w:t>
      </w:r>
      <w:proofErr w:type="spellStart"/>
      <w:r w:rsidRPr="00686C0F">
        <w:rPr>
          <w:rFonts w:ascii="Arial" w:hAnsi="Arial" w:cs="Arial"/>
          <w:sz w:val="22"/>
          <w:szCs w:val="22"/>
        </w:rPr>
        <w:t>redhibitory</w:t>
      </w:r>
      <w:proofErr w:type="spellEnd"/>
      <w:r w:rsidRPr="00686C0F">
        <w:rPr>
          <w:rFonts w:ascii="Arial" w:hAnsi="Arial" w:cs="Arial"/>
          <w:sz w:val="22"/>
          <w:szCs w:val="22"/>
        </w:rPr>
        <w:t xml:space="preserve"> action necessarily lies in respect of all, if they were bought in the business sense (</w:t>
      </w:r>
      <w:proofErr w:type="spellStart"/>
      <w:r w:rsidRPr="00686C0F">
        <w:rPr>
          <w:rFonts w:ascii="Arial" w:hAnsi="Arial" w:cs="Arial"/>
          <w:sz w:val="22"/>
          <w:szCs w:val="22"/>
        </w:rPr>
        <w:t>im</w:t>
      </w:r>
      <w:proofErr w:type="spellEnd"/>
      <w:r w:rsidRPr="00686C0F">
        <w:rPr>
          <w:rFonts w:ascii="Arial" w:hAnsi="Arial" w:cs="Arial"/>
          <w:sz w:val="22"/>
          <w:szCs w:val="22"/>
        </w:rPr>
        <w:t xml:space="preserve"> </w:t>
      </w:r>
      <w:proofErr w:type="spellStart"/>
      <w:r w:rsidRPr="00686C0F">
        <w:rPr>
          <w:rFonts w:ascii="Arial" w:hAnsi="Arial" w:cs="Arial"/>
          <w:sz w:val="22"/>
          <w:szCs w:val="22"/>
        </w:rPr>
        <w:t>Sinne</w:t>
      </w:r>
      <w:proofErr w:type="spellEnd"/>
      <w:r w:rsidRPr="00686C0F">
        <w:rPr>
          <w:rFonts w:ascii="Arial" w:hAnsi="Arial" w:cs="Arial"/>
          <w:sz w:val="22"/>
          <w:szCs w:val="22"/>
        </w:rPr>
        <w:t xml:space="preserve"> des </w:t>
      </w:r>
      <w:proofErr w:type="spellStart"/>
      <w:r w:rsidRPr="00686C0F">
        <w:rPr>
          <w:rFonts w:ascii="Arial" w:hAnsi="Arial" w:cs="Arial"/>
          <w:sz w:val="22"/>
          <w:szCs w:val="22"/>
        </w:rPr>
        <w:t>Verkehres</w:t>
      </w:r>
      <w:proofErr w:type="spellEnd"/>
      <w:r w:rsidRPr="00686C0F">
        <w:rPr>
          <w:rFonts w:ascii="Arial" w:hAnsi="Arial" w:cs="Arial"/>
          <w:sz w:val="22"/>
          <w:szCs w:val="22"/>
        </w:rPr>
        <w:t>) as a unity or if at the time of entering into the transaction there was an express declaration (</w:t>
      </w:r>
      <w:proofErr w:type="spellStart"/>
      <w:r w:rsidRPr="00686C0F">
        <w:rPr>
          <w:rFonts w:ascii="Arial" w:hAnsi="Arial" w:cs="Arial"/>
          <w:sz w:val="22"/>
          <w:szCs w:val="22"/>
        </w:rPr>
        <w:t>besonderer</w:t>
      </w:r>
      <w:proofErr w:type="spellEnd"/>
      <w:r w:rsidRPr="00686C0F">
        <w:rPr>
          <w:rFonts w:ascii="Arial" w:hAnsi="Arial" w:cs="Arial"/>
          <w:sz w:val="22"/>
          <w:szCs w:val="22"/>
        </w:rPr>
        <w:t xml:space="preserve"> </w:t>
      </w:r>
      <w:proofErr w:type="spellStart"/>
      <w:r w:rsidRPr="00686C0F">
        <w:rPr>
          <w:rFonts w:ascii="Arial" w:hAnsi="Arial" w:cs="Arial"/>
          <w:sz w:val="22"/>
          <w:szCs w:val="22"/>
        </w:rPr>
        <w:t>Erklaring</w:t>
      </w:r>
      <w:proofErr w:type="spellEnd"/>
      <w:r w:rsidRPr="00686C0F">
        <w:rPr>
          <w:rFonts w:ascii="Arial" w:hAnsi="Arial" w:cs="Arial"/>
          <w:sz w:val="22"/>
          <w:szCs w:val="22"/>
        </w:rPr>
        <w:t>) that they were being bought as a unity.”</w:t>
      </w:r>
    </w:p>
    <w:p w14:paraId="5DCFA271" w14:textId="0A3D33C3" w:rsidR="0051569D" w:rsidRDefault="00D96D95" w:rsidP="00240AF7">
      <w:pPr>
        <w:spacing w:line="360" w:lineRule="auto"/>
        <w:jc w:val="both"/>
        <w:rPr>
          <w:rFonts w:ascii="Arial" w:hAnsi="Arial" w:cs="Arial"/>
          <w:sz w:val="22"/>
          <w:szCs w:val="22"/>
        </w:rPr>
      </w:pPr>
      <w:proofErr w:type="spellStart"/>
      <w:r w:rsidRPr="00686C0F">
        <w:rPr>
          <w:rFonts w:ascii="Arial" w:hAnsi="Arial" w:cs="Arial"/>
          <w:sz w:val="22"/>
          <w:szCs w:val="22"/>
        </w:rPr>
        <w:lastRenderedPageBreak/>
        <w:t>Dernberg</w:t>
      </w:r>
      <w:proofErr w:type="spellEnd"/>
      <w:r w:rsidRPr="00686C0F">
        <w:rPr>
          <w:rFonts w:ascii="Arial" w:hAnsi="Arial" w:cs="Arial"/>
          <w:sz w:val="22"/>
          <w:szCs w:val="22"/>
        </w:rPr>
        <w:t xml:space="preserve"> does not explain what he means by the words “</w:t>
      </w:r>
      <w:proofErr w:type="spellStart"/>
      <w:r w:rsidRPr="00686C0F">
        <w:rPr>
          <w:rFonts w:ascii="Arial" w:hAnsi="Arial" w:cs="Arial"/>
          <w:sz w:val="22"/>
          <w:szCs w:val="22"/>
        </w:rPr>
        <w:t>besonderer</w:t>
      </w:r>
      <w:proofErr w:type="spellEnd"/>
      <w:r w:rsidRPr="00686C0F">
        <w:rPr>
          <w:rFonts w:ascii="Arial" w:hAnsi="Arial" w:cs="Arial"/>
          <w:sz w:val="22"/>
          <w:szCs w:val="22"/>
        </w:rPr>
        <w:t xml:space="preserve"> </w:t>
      </w:r>
      <w:proofErr w:type="spellStart"/>
      <w:r w:rsidRPr="00686C0F">
        <w:rPr>
          <w:rFonts w:ascii="Arial" w:hAnsi="Arial" w:cs="Arial"/>
          <w:sz w:val="22"/>
          <w:szCs w:val="22"/>
        </w:rPr>
        <w:t>Erklaring</w:t>
      </w:r>
      <w:proofErr w:type="spellEnd"/>
      <w:r w:rsidRPr="00686C0F">
        <w:rPr>
          <w:rFonts w:ascii="Arial" w:hAnsi="Arial" w:cs="Arial"/>
          <w:sz w:val="22"/>
          <w:szCs w:val="22"/>
        </w:rPr>
        <w:t xml:space="preserve">” but there can be no doubt that if the Court is satisfied that several articles were sold and bought as a unity, then the </w:t>
      </w:r>
      <w:proofErr w:type="spellStart"/>
      <w:r w:rsidRPr="00686C0F">
        <w:rPr>
          <w:rFonts w:ascii="Arial" w:hAnsi="Arial" w:cs="Arial"/>
          <w:sz w:val="22"/>
          <w:szCs w:val="22"/>
        </w:rPr>
        <w:t>redhibitory</w:t>
      </w:r>
      <w:proofErr w:type="spellEnd"/>
      <w:r w:rsidRPr="00686C0F">
        <w:rPr>
          <w:rFonts w:ascii="Arial" w:hAnsi="Arial" w:cs="Arial"/>
          <w:sz w:val="22"/>
          <w:szCs w:val="22"/>
        </w:rPr>
        <w:t xml:space="preserve"> action would lie in respect of all the articles if the vendor failed to implement his contract in respect of one of the articles. Support for this view may be found</w:t>
      </w:r>
      <w:r w:rsidR="00A55BA9" w:rsidRPr="00686C0F">
        <w:rPr>
          <w:rFonts w:ascii="Arial" w:hAnsi="Arial" w:cs="Arial"/>
          <w:sz w:val="22"/>
          <w:szCs w:val="22"/>
        </w:rPr>
        <w:t xml:space="preserve"> in the Digest (21</w:t>
      </w:r>
      <w:proofErr w:type="gramStart"/>
      <w:r w:rsidR="00A55BA9" w:rsidRPr="00686C0F">
        <w:rPr>
          <w:rFonts w:ascii="Arial" w:hAnsi="Arial" w:cs="Arial"/>
          <w:sz w:val="22"/>
          <w:szCs w:val="22"/>
        </w:rPr>
        <w:t>,1</w:t>
      </w:r>
      <w:proofErr w:type="gramEnd"/>
      <w:r w:rsidR="00A55BA9" w:rsidRPr="00686C0F">
        <w:rPr>
          <w:rFonts w:ascii="Arial" w:hAnsi="Arial" w:cs="Arial"/>
          <w:sz w:val="22"/>
          <w:szCs w:val="22"/>
        </w:rPr>
        <w:t xml:space="preserve"> 34.1) and </w:t>
      </w:r>
      <w:proofErr w:type="spellStart"/>
      <w:r w:rsidR="00A55BA9" w:rsidRPr="00686C0F">
        <w:rPr>
          <w:rFonts w:ascii="Arial" w:hAnsi="Arial" w:cs="Arial"/>
          <w:sz w:val="22"/>
          <w:szCs w:val="22"/>
        </w:rPr>
        <w:t>Voet</w:t>
      </w:r>
      <w:proofErr w:type="spellEnd"/>
      <w:r w:rsidR="00A55BA9" w:rsidRPr="00686C0F">
        <w:rPr>
          <w:rFonts w:ascii="Arial" w:hAnsi="Arial" w:cs="Arial"/>
          <w:sz w:val="22"/>
          <w:szCs w:val="22"/>
        </w:rPr>
        <w:t xml:space="preserve"> (21.1.4) and the following comment of </w:t>
      </w:r>
      <w:proofErr w:type="spellStart"/>
      <w:r w:rsidR="00A55BA9" w:rsidRPr="00686C0F">
        <w:rPr>
          <w:rFonts w:ascii="Arial" w:hAnsi="Arial" w:cs="Arial"/>
          <w:sz w:val="22"/>
          <w:szCs w:val="22"/>
        </w:rPr>
        <w:t>Brunnemann</w:t>
      </w:r>
      <w:proofErr w:type="spellEnd"/>
      <w:r w:rsidR="00A55BA9" w:rsidRPr="00686C0F">
        <w:rPr>
          <w:rFonts w:ascii="Arial" w:hAnsi="Arial" w:cs="Arial"/>
          <w:sz w:val="22"/>
          <w:szCs w:val="22"/>
        </w:rPr>
        <w:t xml:space="preserve">, who </w:t>
      </w:r>
      <w:proofErr w:type="spellStart"/>
      <w:r w:rsidR="00A55BA9" w:rsidRPr="00686C0F">
        <w:rPr>
          <w:rFonts w:ascii="Arial" w:hAnsi="Arial" w:cs="Arial"/>
          <w:sz w:val="22"/>
          <w:szCs w:val="22"/>
        </w:rPr>
        <w:t>Voet</w:t>
      </w:r>
      <w:proofErr w:type="spellEnd"/>
      <w:r w:rsidR="00A55BA9" w:rsidRPr="00686C0F">
        <w:rPr>
          <w:rFonts w:ascii="Arial" w:hAnsi="Arial" w:cs="Arial"/>
          <w:sz w:val="22"/>
          <w:szCs w:val="22"/>
        </w:rPr>
        <w:t xml:space="preserve"> cites – “Nam licet </w:t>
      </w:r>
      <w:proofErr w:type="spellStart"/>
      <w:r w:rsidR="00A55BA9" w:rsidRPr="00686C0F">
        <w:rPr>
          <w:rFonts w:ascii="Arial" w:hAnsi="Arial" w:cs="Arial"/>
          <w:sz w:val="22"/>
          <w:szCs w:val="22"/>
        </w:rPr>
        <w:t>singulis</w:t>
      </w:r>
      <w:proofErr w:type="spellEnd"/>
      <w:r w:rsidR="00A55BA9" w:rsidRPr="00686C0F">
        <w:rPr>
          <w:rFonts w:ascii="Arial" w:hAnsi="Arial" w:cs="Arial"/>
          <w:sz w:val="22"/>
          <w:szCs w:val="22"/>
        </w:rPr>
        <w:t xml:space="preserve"> rebus </w:t>
      </w:r>
      <w:proofErr w:type="spellStart"/>
      <w:r w:rsidR="00A55BA9" w:rsidRPr="00686C0F">
        <w:rPr>
          <w:rFonts w:ascii="Arial" w:hAnsi="Arial" w:cs="Arial"/>
          <w:sz w:val="22"/>
          <w:szCs w:val="22"/>
        </w:rPr>
        <w:t>pretium</w:t>
      </w:r>
      <w:proofErr w:type="spellEnd"/>
      <w:r w:rsidR="00A55BA9" w:rsidRPr="00686C0F">
        <w:rPr>
          <w:rFonts w:ascii="Arial" w:hAnsi="Arial" w:cs="Arial"/>
          <w:sz w:val="22"/>
          <w:szCs w:val="22"/>
        </w:rPr>
        <w:t xml:space="preserve"> dictum sit, </w:t>
      </w:r>
      <w:proofErr w:type="spellStart"/>
      <w:r w:rsidR="00A55BA9" w:rsidRPr="00686C0F">
        <w:rPr>
          <w:rFonts w:ascii="Arial" w:hAnsi="Arial" w:cs="Arial"/>
          <w:sz w:val="22"/>
          <w:szCs w:val="22"/>
        </w:rPr>
        <w:t>censebitur</w:t>
      </w:r>
      <w:proofErr w:type="spellEnd"/>
      <w:r w:rsidR="00A55BA9" w:rsidRPr="00686C0F">
        <w:rPr>
          <w:rFonts w:ascii="Arial" w:hAnsi="Arial" w:cs="Arial"/>
          <w:sz w:val="22"/>
          <w:szCs w:val="22"/>
        </w:rPr>
        <w:t xml:space="preserve"> </w:t>
      </w:r>
      <w:proofErr w:type="spellStart"/>
      <w:r w:rsidR="00A55BA9" w:rsidRPr="00686C0F">
        <w:rPr>
          <w:rFonts w:ascii="Arial" w:hAnsi="Arial" w:cs="Arial"/>
          <w:sz w:val="22"/>
          <w:szCs w:val="22"/>
        </w:rPr>
        <w:t>tamen</w:t>
      </w:r>
      <w:proofErr w:type="spellEnd"/>
      <w:r w:rsidR="00A55BA9" w:rsidRPr="00686C0F">
        <w:rPr>
          <w:rFonts w:ascii="Arial" w:hAnsi="Arial" w:cs="Arial"/>
          <w:sz w:val="22"/>
          <w:szCs w:val="22"/>
        </w:rPr>
        <w:t xml:space="preserve"> </w:t>
      </w:r>
      <w:proofErr w:type="spellStart"/>
      <w:r w:rsidR="00A55BA9" w:rsidRPr="00686C0F">
        <w:rPr>
          <w:rFonts w:ascii="Arial" w:hAnsi="Arial" w:cs="Arial"/>
          <w:sz w:val="22"/>
          <w:szCs w:val="22"/>
        </w:rPr>
        <w:t>una</w:t>
      </w:r>
      <w:proofErr w:type="spellEnd"/>
      <w:r w:rsidR="00A55BA9" w:rsidRPr="00686C0F">
        <w:rPr>
          <w:rFonts w:ascii="Arial" w:hAnsi="Arial" w:cs="Arial"/>
          <w:sz w:val="22"/>
          <w:szCs w:val="22"/>
        </w:rPr>
        <w:t xml:space="preserve"> </w:t>
      </w:r>
      <w:proofErr w:type="spellStart"/>
      <w:r w:rsidR="00A55BA9" w:rsidRPr="00686C0F">
        <w:rPr>
          <w:rFonts w:ascii="Arial" w:hAnsi="Arial" w:cs="Arial"/>
          <w:sz w:val="22"/>
          <w:szCs w:val="22"/>
        </w:rPr>
        <w:t>venditio</w:t>
      </w:r>
      <w:proofErr w:type="spellEnd"/>
      <w:r w:rsidR="00A55BA9" w:rsidRPr="00686C0F">
        <w:rPr>
          <w:rFonts w:ascii="Arial" w:hAnsi="Arial" w:cs="Arial"/>
          <w:sz w:val="22"/>
          <w:szCs w:val="22"/>
        </w:rPr>
        <w:t xml:space="preserve"> </w:t>
      </w:r>
      <w:proofErr w:type="spellStart"/>
      <w:r w:rsidR="00A55BA9" w:rsidRPr="00686C0F">
        <w:rPr>
          <w:rFonts w:ascii="Arial" w:hAnsi="Arial" w:cs="Arial"/>
          <w:sz w:val="22"/>
          <w:szCs w:val="22"/>
        </w:rPr>
        <w:t>unam</w:t>
      </w:r>
      <w:proofErr w:type="spellEnd"/>
      <w:r w:rsidR="00A55BA9" w:rsidRPr="00686C0F">
        <w:rPr>
          <w:rFonts w:ascii="Arial" w:hAnsi="Arial" w:cs="Arial"/>
          <w:sz w:val="22"/>
          <w:szCs w:val="22"/>
        </w:rPr>
        <w:t xml:space="preserve"> rem </w:t>
      </w:r>
      <w:proofErr w:type="spellStart"/>
      <w:r w:rsidR="00A55BA9" w:rsidRPr="00686C0F">
        <w:rPr>
          <w:rFonts w:ascii="Arial" w:hAnsi="Arial" w:cs="Arial"/>
          <w:sz w:val="22"/>
          <w:szCs w:val="22"/>
        </w:rPr>
        <w:t>emere</w:t>
      </w:r>
      <w:proofErr w:type="spellEnd"/>
      <w:r w:rsidR="00A55BA9" w:rsidRPr="00686C0F">
        <w:rPr>
          <w:rFonts w:ascii="Arial" w:hAnsi="Arial" w:cs="Arial"/>
          <w:sz w:val="22"/>
          <w:szCs w:val="22"/>
        </w:rPr>
        <w:t xml:space="preserve"> </w:t>
      </w:r>
      <w:proofErr w:type="spellStart"/>
      <w:r w:rsidR="00A55BA9" w:rsidRPr="00686C0F">
        <w:rPr>
          <w:rFonts w:ascii="Arial" w:hAnsi="Arial" w:cs="Arial"/>
          <w:sz w:val="22"/>
          <w:szCs w:val="22"/>
        </w:rPr>
        <w:t>vel</w:t>
      </w:r>
      <w:proofErr w:type="spellEnd"/>
      <w:r w:rsidR="00A55BA9" w:rsidRPr="00686C0F">
        <w:rPr>
          <w:rFonts w:ascii="Arial" w:hAnsi="Arial" w:cs="Arial"/>
          <w:sz w:val="22"/>
          <w:szCs w:val="22"/>
        </w:rPr>
        <w:t xml:space="preserve"> </w:t>
      </w:r>
      <w:proofErr w:type="spellStart"/>
      <w:r w:rsidR="00A55BA9" w:rsidRPr="00686C0F">
        <w:rPr>
          <w:rFonts w:ascii="Arial" w:hAnsi="Arial" w:cs="Arial"/>
          <w:sz w:val="22"/>
          <w:szCs w:val="22"/>
        </w:rPr>
        <w:t>vendere</w:t>
      </w:r>
      <w:proofErr w:type="spellEnd"/>
      <w:r w:rsidR="00A55BA9" w:rsidRPr="00686C0F">
        <w:rPr>
          <w:rFonts w:ascii="Arial" w:hAnsi="Arial" w:cs="Arial"/>
          <w:sz w:val="22"/>
          <w:szCs w:val="22"/>
        </w:rPr>
        <w:t xml:space="preserve"> non </w:t>
      </w:r>
      <w:proofErr w:type="spellStart"/>
      <w:r w:rsidR="00A55BA9" w:rsidRPr="00686C0F">
        <w:rPr>
          <w:rFonts w:ascii="Arial" w:hAnsi="Arial" w:cs="Arial"/>
          <w:sz w:val="22"/>
          <w:szCs w:val="22"/>
        </w:rPr>
        <w:t>voluisse</w:t>
      </w:r>
      <w:proofErr w:type="spellEnd"/>
      <w:r w:rsidR="00A55BA9" w:rsidRPr="00686C0F">
        <w:rPr>
          <w:rFonts w:ascii="Arial" w:hAnsi="Arial" w:cs="Arial"/>
          <w:sz w:val="22"/>
          <w:szCs w:val="22"/>
        </w:rPr>
        <w:t xml:space="preserve">.” (For although a price has been stated in respect of particular articles, it will nevertheless be held that there is one sale, if it is established that the buyer or the seller would not have been willing to buy or sell one article). In such a case the </w:t>
      </w:r>
      <w:proofErr w:type="spellStart"/>
      <w:r w:rsidR="00A55BA9" w:rsidRPr="00686C0F">
        <w:rPr>
          <w:rFonts w:ascii="Arial" w:hAnsi="Arial" w:cs="Arial"/>
          <w:sz w:val="22"/>
          <w:szCs w:val="22"/>
        </w:rPr>
        <w:t>redhibitory</w:t>
      </w:r>
      <w:proofErr w:type="spellEnd"/>
      <w:r w:rsidR="00A55BA9" w:rsidRPr="00686C0F">
        <w:rPr>
          <w:rFonts w:ascii="Arial" w:hAnsi="Arial" w:cs="Arial"/>
          <w:sz w:val="22"/>
          <w:szCs w:val="22"/>
        </w:rPr>
        <w:t xml:space="preserve"> action lies in respect of all the articles sold, if one should turn out to be defective.</w:t>
      </w:r>
    </w:p>
    <w:p w14:paraId="71895192" w14:textId="77777777" w:rsidR="000959DA" w:rsidRPr="00686C0F" w:rsidRDefault="000959DA" w:rsidP="00240AF7">
      <w:pPr>
        <w:spacing w:line="360" w:lineRule="auto"/>
        <w:jc w:val="both"/>
        <w:rPr>
          <w:rFonts w:ascii="Arial" w:hAnsi="Arial" w:cs="Arial"/>
          <w:sz w:val="22"/>
          <w:szCs w:val="22"/>
        </w:rPr>
      </w:pPr>
    </w:p>
    <w:p w14:paraId="60B49176" w14:textId="3208084C" w:rsidR="00A55BA9" w:rsidRPr="00E651FA" w:rsidRDefault="00A55BA9" w:rsidP="00240AF7">
      <w:pPr>
        <w:spacing w:line="360" w:lineRule="auto"/>
        <w:jc w:val="both"/>
        <w:rPr>
          <w:rFonts w:ascii="Arial" w:hAnsi="Arial" w:cs="Arial"/>
        </w:rPr>
      </w:pPr>
      <w:r w:rsidRPr="00686C0F">
        <w:rPr>
          <w:rFonts w:ascii="Arial" w:hAnsi="Arial" w:cs="Arial"/>
          <w:sz w:val="22"/>
          <w:szCs w:val="22"/>
        </w:rPr>
        <w:t xml:space="preserve">The question at issue really resolves itself into what was the intention of the parties at the time they entered into the contract. That intention may be expressly stated in the contract itself, in which case there can be no difficulty. The difficulty arises where there is no such express intention: where, in other words, the intention is a matter of inference. </w:t>
      </w:r>
      <w:r w:rsidRPr="00686C0F">
        <w:rPr>
          <w:rFonts w:ascii="Arial" w:hAnsi="Arial" w:cs="Arial"/>
          <w:sz w:val="22"/>
          <w:szCs w:val="22"/>
          <w:u w:val="single"/>
        </w:rPr>
        <w:t xml:space="preserve">It is, presumably, such cases which have led some authorities, such as </w:t>
      </w:r>
      <w:proofErr w:type="spellStart"/>
      <w:r w:rsidRPr="00686C0F">
        <w:rPr>
          <w:rFonts w:ascii="Arial" w:hAnsi="Arial" w:cs="Arial"/>
          <w:sz w:val="22"/>
          <w:szCs w:val="22"/>
          <w:u w:val="single"/>
        </w:rPr>
        <w:t>Pothier</w:t>
      </w:r>
      <w:proofErr w:type="spellEnd"/>
      <w:r w:rsidRPr="00686C0F">
        <w:rPr>
          <w:rFonts w:ascii="Arial" w:hAnsi="Arial" w:cs="Arial"/>
          <w:sz w:val="22"/>
          <w:szCs w:val="22"/>
          <w:u w:val="single"/>
        </w:rPr>
        <w:t xml:space="preserve"> on the Contract of Sale, par. 229. </w:t>
      </w:r>
      <w:proofErr w:type="gramStart"/>
      <w:r w:rsidRPr="00686C0F">
        <w:rPr>
          <w:rFonts w:ascii="Arial" w:hAnsi="Arial" w:cs="Arial"/>
          <w:sz w:val="22"/>
          <w:szCs w:val="22"/>
          <w:u w:val="single"/>
        </w:rPr>
        <w:t>to</w:t>
      </w:r>
      <w:proofErr w:type="gramEnd"/>
      <w:r w:rsidRPr="00686C0F">
        <w:rPr>
          <w:rFonts w:ascii="Arial" w:hAnsi="Arial" w:cs="Arial"/>
          <w:sz w:val="22"/>
          <w:szCs w:val="22"/>
          <w:u w:val="single"/>
        </w:rPr>
        <w:t xml:space="preserve"> say that separate prices create a strong presumption that the contract is divisible. </w:t>
      </w:r>
      <w:r w:rsidRPr="00686C0F">
        <w:rPr>
          <w:rFonts w:ascii="Arial" w:hAnsi="Arial" w:cs="Arial"/>
          <w:sz w:val="22"/>
          <w:szCs w:val="22"/>
        </w:rPr>
        <w:t xml:space="preserve">But although there is such a presumption it is, as, </w:t>
      </w:r>
      <w:proofErr w:type="spellStart"/>
      <w:r w:rsidRPr="00686C0F">
        <w:rPr>
          <w:rFonts w:ascii="Arial" w:hAnsi="Arial" w:cs="Arial"/>
          <w:sz w:val="22"/>
          <w:szCs w:val="22"/>
        </w:rPr>
        <w:t>Pothier</w:t>
      </w:r>
      <w:proofErr w:type="spellEnd"/>
      <w:r w:rsidRPr="00686C0F">
        <w:rPr>
          <w:rFonts w:ascii="Arial" w:hAnsi="Arial" w:cs="Arial"/>
          <w:sz w:val="22"/>
          <w:szCs w:val="22"/>
        </w:rPr>
        <w:t xml:space="preserve"> indicates</w:t>
      </w:r>
      <w:r w:rsidR="00BE40BC" w:rsidRPr="00686C0F">
        <w:rPr>
          <w:rFonts w:ascii="Arial" w:hAnsi="Arial" w:cs="Arial"/>
          <w:sz w:val="22"/>
          <w:szCs w:val="22"/>
        </w:rPr>
        <w:t xml:space="preserve">, only a presumption and must give way to the stronger presumption, which results from the quality of the things sold, such as in the case of the sale of a pair of carriage horses. I should add that the </w:t>
      </w:r>
      <w:r w:rsidR="00912277" w:rsidRPr="00686C0F">
        <w:rPr>
          <w:rFonts w:ascii="Arial" w:hAnsi="Arial" w:cs="Arial"/>
          <w:sz w:val="22"/>
          <w:szCs w:val="22"/>
        </w:rPr>
        <w:t>presumption based</w:t>
      </w:r>
      <w:r w:rsidR="00BE40BC" w:rsidRPr="00686C0F">
        <w:rPr>
          <w:rFonts w:ascii="Arial" w:hAnsi="Arial" w:cs="Arial"/>
          <w:sz w:val="22"/>
          <w:szCs w:val="22"/>
        </w:rPr>
        <w:t xml:space="preserve"> on separate prices must, of course, also give way to an expressed intention and also to any proper inference that the parties intended that the several articles should </w:t>
      </w:r>
      <w:r w:rsidR="009F146A" w:rsidRPr="00686C0F">
        <w:rPr>
          <w:rFonts w:ascii="Arial" w:hAnsi="Arial" w:cs="Arial"/>
          <w:sz w:val="22"/>
          <w:szCs w:val="22"/>
        </w:rPr>
        <w:t xml:space="preserve">be bought and </w:t>
      </w:r>
      <w:proofErr w:type="spellStart"/>
      <w:r w:rsidR="009F146A" w:rsidRPr="00686C0F">
        <w:rPr>
          <w:rFonts w:ascii="Arial" w:hAnsi="Arial" w:cs="Arial"/>
          <w:sz w:val="22"/>
          <w:szCs w:val="22"/>
        </w:rPr>
        <w:t>sols</w:t>
      </w:r>
      <w:proofErr w:type="spellEnd"/>
      <w:r w:rsidR="009F146A" w:rsidRPr="00686C0F">
        <w:rPr>
          <w:rFonts w:ascii="Arial" w:hAnsi="Arial" w:cs="Arial"/>
          <w:sz w:val="22"/>
          <w:szCs w:val="22"/>
        </w:rPr>
        <w:t xml:space="preserve"> as a whole.’</w:t>
      </w:r>
      <w:r w:rsidR="00E651FA">
        <w:rPr>
          <w:rFonts w:ascii="Arial" w:hAnsi="Arial" w:cs="Arial"/>
          <w:sz w:val="22"/>
          <w:szCs w:val="22"/>
        </w:rPr>
        <w:t xml:space="preserve"> </w:t>
      </w:r>
      <w:r w:rsidR="00E651FA">
        <w:rPr>
          <w:rFonts w:ascii="Arial" w:hAnsi="Arial" w:cs="Arial"/>
        </w:rPr>
        <w:t>(Emphasis added).</w:t>
      </w:r>
    </w:p>
    <w:p w14:paraId="4FE54A09" w14:textId="77777777" w:rsidR="009F146A" w:rsidRPr="00686C0F" w:rsidRDefault="009F146A" w:rsidP="00686C0F">
      <w:pPr>
        <w:spacing w:line="360" w:lineRule="auto"/>
        <w:ind w:left="360"/>
        <w:jc w:val="both"/>
        <w:rPr>
          <w:rFonts w:ascii="Arial" w:hAnsi="Arial" w:cs="Arial"/>
        </w:rPr>
      </w:pPr>
    </w:p>
    <w:p w14:paraId="2A560C58" w14:textId="23B6D358" w:rsidR="009F146A" w:rsidRPr="00686C0F" w:rsidRDefault="00A91890" w:rsidP="00240AF7">
      <w:pPr>
        <w:spacing w:line="360" w:lineRule="auto"/>
        <w:jc w:val="both"/>
        <w:rPr>
          <w:rFonts w:ascii="Arial" w:hAnsi="Arial" w:cs="Arial"/>
        </w:rPr>
      </w:pPr>
      <w:r>
        <w:rPr>
          <w:rFonts w:ascii="Arial" w:hAnsi="Arial" w:cs="Arial"/>
        </w:rPr>
        <w:t>[45</w:t>
      </w:r>
      <w:r w:rsidR="009F146A" w:rsidRPr="00686C0F">
        <w:rPr>
          <w:rFonts w:ascii="Arial" w:hAnsi="Arial" w:cs="Arial"/>
        </w:rPr>
        <w:t>]</w:t>
      </w:r>
      <w:r w:rsidR="009F146A" w:rsidRPr="00686C0F">
        <w:rPr>
          <w:rFonts w:ascii="Arial" w:hAnsi="Arial" w:cs="Arial"/>
        </w:rPr>
        <w:tab/>
        <w:t xml:space="preserve">The court was also referred to </w:t>
      </w:r>
      <w:proofErr w:type="spellStart"/>
      <w:r w:rsidR="009F146A" w:rsidRPr="00686C0F">
        <w:rPr>
          <w:rFonts w:ascii="Arial" w:hAnsi="Arial" w:cs="Arial"/>
          <w:i/>
        </w:rPr>
        <w:t>Exdev</w:t>
      </w:r>
      <w:proofErr w:type="spellEnd"/>
      <w:r w:rsidR="009F146A" w:rsidRPr="00686C0F">
        <w:rPr>
          <w:rFonts w:ascii="Arial" w:hAnsi="Arial" w:cs="Arial"/>
          <w:i/>
        </w:rPr>
        <w:t xml:space="preserve"> v </w:t>
      </w:r>
      <w:proofErr w:type="spellStart"/>
      <w:r w:rsidR="009F146A" w:rsidRPr="00686C0F">
        <w:rPr>
          <w:rFonts w:ascii="Arial" w:hAnsi="Arial" w:cs="Arial"/>
          <w:i/>
        </w:rPr>
        <w:t>Pekudei</w:t>
      </w:r>
      <w:proofErr w:type="spellEnd"/>
      <w:r w:rsidR="009F146A" w:rsidRPr="00686C0F">
        <w:rPr>
          <w:rFonts w:ascii="Arial" w:hAnsi="Arial" w:cs="Arial"/>
          <w:i/>
        </w:rPr>
        <w:t xml:space="preserve"> Investments (Pty) Ltd.</w:t>
      </w:r>
      <w:r w:rsidR="009F146A" w:rsidRPr="00686C0F">
        <w:rPr>
          <w:rStyle w:val="FootnoteReference"/>
          <w:rFonts w:ascii="Arial" w:hAnsi="Arial" w:cs="Arial"/>
          <w:i/>
        </w:rPr>
        <w:footnoteReference w:id="2"/>
      </w:r>
      <w:r w:rsidR="009F146A" w:rsidRPr="00686C0F">
        <w:rPr>
          <w:rFonts w:ascii="Arial" w:hAnsi="Arial" w:cs="Arial"/>
        </w:rPr>
        <w:t xml:space="preserve"> There, the </w:t>
      </w:r>
      <w:r w:rsidR="00DF1ED8">
        <w:rPr>
          <w:rFonts w:ascii="Arial" w:hAnsi="Arial" w:cs="Arial"/>
        </w:rPr>
        <w:t>Supreme Court of Appeal of South Africa</w:t>
      </w:r>
      <w:r w:rsidR="009F146A" w:rsidRPr="00686C0F">
        <w:rPr>
          <w:rFonts w:ascii="Arial" w:hAnsi="Arial" w:cs="Arial"/>
        </w:rPr>
        <w:t xml:space="preserve"> expressed itself in the following terms on this subject:</w:t>
      </w:r>
    </w:p>
    <w:p w14:paraId="3C0B5044" w14:textId="77777777" w:rsidR="000959DA" w:rsidRDefault="000959DA" w:rsidP="000959DA">
      <w:pPr>
        <w:spacing w:line="360" w:lineRule="auto"/>
        <w:jc w:val="both"/>
        <w:rPr>
          <w:rFonts w:ascii="Arial" w:hAnsi="Arial" w:cs="Arial"/>
        </w:rPr>
      </w:pPr>
    </w:p>
    <w:p w14:paraId="3ECA895D" w14:textId="56C5E464" w:rsidR="00565EDC" w:rsidRPr="00686C0F" w:rsidRDefault="009F146A" w:rsidP="000959DA">
      <w:pPr>
        <w:spacing w:line="360" w:lineRule="auto"/>
        <w:jc w:val="both"/>
        <w:rPr>
          <w:rFonts w:ascii="Arial" w:hAnsi="Arial" w:cs="Arial"/>
          <w:sz w:val="22"/>
          <w:szCs w:val="22"/>
        </w:rPr>
      </w:pPr>
      <w:r w:rsidRPr="00686C0F">
        <w:rPr>
          <w:rFonts w:ascii="Arial" w:hAnsi="Arial" w:cs="Arial"/>
          <w:sz w:val="22"/>
          <w:szCs w:val="22"/>
        </w:rPr>
        <w:t>‘</w:t>
      </w:r>
      <w:r w:rsidR="00341871" w:rsidRPr="00686C0F">
        <w:rPr>
          <w:rFonts w:ascii="Arial" w:hAnsi="Arial" w:cs="Arial"/>
          <w:sz w:val="22"/>
          <w:szCs w:val="22"/>
        </w:rPr>
        <w:t xml:space="preserve">[10] </w:t>
      </w:r>
      <w:r w:rsidRPr="00686C0F">
        <w:rPr>
          <w:rFonts w:ascii="Arial" w:hAnsi="Arial" w:cs="Arial"/>
          <w:sz w:val="22"/>
          <w:szCs w:val="22"/>
        </w:rPr>
        <w:t xml:space="preserve">At the outset it must be remembered that there is a distinction between the severance of a portion of a contract, </w:t>
      </w:r>
      <w:r w:rsidR="00912277" w:rsidRPr="00686C0F">
        <w:rPr>
          <w:rFonts w:ascii="Arial" w:hAnsi="Arial" w:cs="Arial"/>
          <w:sz w:val="22"/>
          <w:szCs w:val="22"/>
        </w:rPr>
        <w:t>e.g.</w:t>
      </w:r>
      <w:r w:rsidRPr="00686C0F">
        <w:rPr>
          <w:rFonts w:ascii="Arial" w:hAnsi="Arial" w:cs="Arial"/>
          <w:sz w:val="22"/>
          <w:szCs w:val="22"/>
        </w:rPr>
        <w:t xml:space="preserve"> on the grounds of vagueness or illegality, and recognising that a contract may contain several distinct and separate agreements </w:t>
      </w:r>
      <w:r w:rsidRPr="00686C0F">
        <w:rPr>
          <w:rFonts w:ascii="Arial" w:hAnsi="Arial" w:cs="Arial"/>
          <w:sz w:val="22"/>
          <w:szCs w:val="22"/>
        </w:rPr>
        <w:lastRenderedPageBreak/>
        <w:t>divisible from</w:t>
      </w:r>
      <w:r w:rsidR="00565EDC" w:rsidRPr="00686C0F">
        <w:rPr>
          <w:rFonts w:ascii="Arial" w:hAnsi="Arial" w:cs="Arial"/>
          <w:sz w:val="22"/>
          <w:szCs w:val="22"/>
        </w:rPr>
        <w:t xml:space="preserve"> each other. As was explained in </w:t>
      </w:r>
      <w:proofErr w:type="spellStart"/>
      <w:r w:rsidR="00565EDC" w:rsidRPr="00686C0F">
        <w:rPr>
          <w:rFonts w:ascii="Arial" w:hAnsi="Arial" w:cs="Arial"/>
          <w:sz w:val="22"/>
          <w:szCs w:val="22"/>
        </w:rPr>
        <w:t>Wessels</w:t>
      </w:r>
      <w:proofErr w:type="spellEnd"/>
      <w:r w:rsidR="00565EDC" w:rsidRPr="00686C0F">
        <w:rPr>
          <w:rFonts w:ascii="Arial" w:hAnsi="Arial" w:cs="Arial"/>
          <w:sz w:val="22"/>
          <w:szCs w:val="22"/>
        </w:rPr>
        <w:t xml:space="preserve"> </w:t>
      </w:r>
      <w:proofErr w:type="gramStart"/>
      <w:r w:rsidR="00565EDC" w:rsidRPr="00686C0F">
        <w:rPr>
          <w:rFonts w:ascii="Arial" w:hAnsi="Arial" w:cs="Arial"/>
          <w:sz w:val="22"/>
          <w:szCs w:val="22"/>
        </w:rPr>
        <w:t>The</w:t>
      </w:r>
      <w:proofErr w:type="gramEnd"/>
      <w:r w:rsidR="00565EDC" w:rsidRPr="00686C0F">
        <w:rPr>
          <w:rFonts w:ascii="Arial" w:hAnsi="Arial" w:cs="Arial"/>
          <w:sz w:val="22"/>
          <w:szCs w:val="22"/>
        </w:rPr>
        <w:t xml:space="preserve"> Law of Contract in South Africa 2ed </w:t>
      </w:r>
      <w:proofErr w:type="spellStart"/>
      <w:r w:rsidR="00565EDC" w:rsidRPr="00686C0F">
        <w:rPr>
          <w:rFonts w:ascii="Arial" w:hAnsi="Arial" w:cs="Arial"/>
          <w:sz w:val="22"/>
          <w:szCs w:val="22"/>
        </w:rPr>
        <w:t>vol</w:t>
      </w:r>
      <w:proofErr w:type="spellEnd"/>
      <w:r w:rsidR="00565EDC" w:rsidRPr="00686C0F">
        <w:rPr>
          <w:rFonts w:ascii="Arial" w:hAnsi="Arial" w:cs="Arial"/>
          <w:sz w:val="22"/>
          <w:szCs w:val="22"/>
        </w:rPr>
        <w:t xml:space="preserve"> 1 para 1615:</w:t>
      </w:r>
    </w:p>
    <w:p w14:paraId="765C7EC3" w14:textId="77777777" w:rsidR="00565EDC" w:rsidRPr="00686C0F" w:rsidRDefault="00565EDC" w:rsidP="00686C0F">
      <w:pPr>
        <w:spacing w:line="360" w:lineRule="auto"/>
        <w:ind w:left="360"/>
        <w:jc w:val="both"/>
        <w:rPr>
          <w:rFonts w:ascii="Arial" w:hAnsi="Arial" w:cs="Arial"/>
          <w:sz w:val="22"/>
          <w:szCs w:val="22"/>
        </w:rPr>
      </w:pPr>
    </w:p>
    <w:p w14:paraId="564B8451" w14:textId="00D7B76F" w:rsidR="009F146A" w:rsidRDefault="00565EDC" w:rsidP="000959DA">
      <w:pPr>
        <w:spacing w:line="360" w:lineRule="auto"/>
        <w:ind w:firstLine="720"/>
        <w:jc w:val="both"/>
        <w:rPr>
          <w:rFonts w:ascii="Arial" w:hAnsi="Arial" w:cs="Arial"/>
          <w:sz w:val="22"/>
          <w:szCs w:val="22"/>
        </w:rPr>
      </w:pPr>
      <w:r w:rsidRPr="00686C0F">
        <w:rPr>
          <w:rFonts w:ascii="Arial" w:hAnsi="Arial" w:cs="Arial"/>
          <w:sz w:val="22"/>
          <w:szCs w:val="22"/>
        </w:rPr>
        <w:t>“It is often loosely said that a contract is divisible or separable where, though in form there is only one contract, in reality, there are several distinct agreements entered into at the same time. There is, however, a clear distinction between this class of contract and a divisible or separable contract.</w:t>
      </w:r>
    </w:p>
    <w:p w14:paraId="19130EDB" w14:textId="77777777" w:rsidR="000959DA" w:rsidRPr="00686C0F" w:rsidRDefault="000959DA" w:rsidP="00240AF7">
      <w:pPr>
        <w:spacing w:line="360" w:lineRule="auto"/>
        <w:jc w:val="both"/>
        <w:rPr>
          <w:rFonts w:ascii="Arial" w:hAnsi="Arial" w:cs="Arial"/>
          <w:sz w:val="22"/>
          <w:szCs w:val="22"/>
        </w:rPr>
      </w:pPr>
    </w:p>
    <w:p w14:paraId="762B73EB" w14:textId="79E79CF3" w:rsidR="00565EDC" w:rsidRDefault="00565EDC" w:rsidP="00240AF7">
      <w:pPr>
        <w:spacing w:line="360" w:lineRule="auto"/>
        <w:jc w:val="both"/>
        <w:rPr>
          <w:rFonts w:ascii="Arial" w:hAnsi="Arial" w:cs="Arial"/>
          <w:sz w:val="22"/>
          <w:szCs w:val="22"/>
        </w:rPr>
      </w:pPr>
      <w:r w:rsidRPr="00686C0F">
        <w:rPr>
          <w:rFonts w:ascii="Arial" w:hAnsi="Arial" w:cs="Arial"/>
          <w:sz w:val="22"/>
          <w:szCs w:val="22"/>
        </w:rPr>
        <w:t xml:space="preserve">If the obligation </w:t>
      </w:r>
      <w:r w:rsidR="00F56D97">
        <w:rPr>
          <w:rFonts w:ascii="Arial" w:hAnsi="Arial" w:cs="Arial"/>
          <w:sz w:val="22"/>
          <w:szCs w:val="22"/>
        </w:rPr>
        <w:t>i</w:t>
      </w:r>
      <w:r w:rsidRPr="00686C0F">
        <w:rPr>
          <w:rFonts w:ascii="Arial" w:hAnsi="Arial" w:cs="Arial"/>
          <w:sz w:val="22"/>
          <w:szCs w:val="22"/>
        </w:rPr>
        <w:t>s divisible in the material or physical sense, there is only one contract, though the subject matter may consist of several parts considered as one whole. The contract is entire, but the object of the obligation is separable into homogenous parts. If, however, there are several distinct obligations, we are not dealing with a divisible or separable contract at all, but with a collection of separate c</w:t>
      </w:r>
      <w:r w:rsidR="00B96090">
        <w:rPr>
          <w:rFonts w:ascii="Arial" w:hAnsi="Arial" w:cs="Arial"/>
          <w:sz w:val="22"/>
          <w:szCs w:val="22"/>
        </w:rPr>
        <w:t>ontracts embodied</w:t>
      </w:r>
      <w:r w:rsidRPr="00686C0F">
        <w:rPr>
          <w:rFonts w:ascii="Arial" w:hAnsi="Arial" w:cs="Arial"/>
          <w:sz w:val="22"/>
          <w:szCs w:val="22"/>
        </w:rPr>
        <w:t xml:space="preserve"> in one single writing or agreement.</w:t>
      </w:r>
    </w:p>
    <w:p w14:paraId="0B2DAC59" w14:textId="77777777" w:rsidR="000959DA" w:rsidRPr="00686C0F" w:rsidRDefault="000959DA" w:rsidP="00240AF7">
      <w:pPr>
        <w:spacing w:line="360" w:lineRule="auto"/>
        <w:jc w:val="both"/>
        <w:rPr>
          <w:rFonts w:ascii="Arial" w:hAnsi="Arial" w:cs="Arial"/>
          <w:sz w:val="22"/>
          <w:szCs w:val="22"/>
        </w:rPr>
      </w:pPr>
    </w:p>
    <w:p w14:paraId="006E42CC" w14:textId="3EBB7C1E" w:rsidR="00565EDC" w:rsidRDefault="00565EDC" w:rsidP="00240AF7">
      <w:pPr>
        <w:spacing w:line="360" w:lineRule="auto"/>
        <w:jc w:val="both"/>
        <w:rPr>
          <w:rFonts w:ascii="Arial" w:hAnsi="Arial" w:cs="Arial"/>
          <w:sz w:val="22"/>
          <w:szCs w:val="22"/>
        </w:rPr>
      </w:pPr>
      <w:r w:rsidRPr="00686C0F">
        <w:rPr>
          <w:rFonts w:ascii="Arial" w:hAnsi="Arial" w:cs="Arial"/>
          <w:sz w:val="22"/>
          <w:szCs w:val="22"/>
        </w:rPr>
        <w:t>Thus the sale of a quantity of coal to be delivered by instalments of so many tons is, as a rule, an entire contract in which the obligation is divisible. In such a case it may be the intention of the parties that a default on the part of the seller in delivering, or on the part of the purchaser in accepting, one instalment will not justify a cancellation of the contract. (</w:t>
      </w:r>
      <w:r w:rsidRPr="00686C0F">
        <w:rPr>
          <w:rFonts w:ascii="Arial" w:hAnsi="Arial" w:cs="Arial"/>
          <w:i/>
          <w:sz w:val="22"/>
          <w:szCs w:val="22"/>
        </w:rPr>
        <w:t xml:space="preserve">Simpson v </w:t>
      </w:r>
      <w:proofErr w:type="spellStart"/>
      <w:r w:rsidRPr="00686C0F">
        <w:rPr>
          <w:rFonts w:ascii="Arial" w:hAnsi="Arial" w:cs="Arial"/>
          <w:i/>
          <w:sz w:val="22"/>
          <w:szCs w:val="22"/>
        </w:rPr>
        <w:t>Crippin</w:t>
      </w:r>
      <w:proofErr w:type="spellEnd"/>
      <w:r w:rsidRPr="00686C0F">
        <w:rPr>
          <w:rFonts w:ascii="Arial" w:hAnsi="Arial" w:cs="Arial"/>
          <w:i/>
          <w:sz w:val="22"/>
          <w:szCs w:val="22"/>
        </w:rPr>
        <w:t xml:space="preserve">, </w:t>
      </w:r>
      <w:r w:rsidRPr="00686C0F">
        <w:rPr>
          <w:rFonts w:ascii="Arial" w:hAnsi="Arial" w:cs="Arial"/>
          <w:sz w:val="22"/>
          <w:szCs w:val="22"/>
        </w:rPr>
        <w:t xml:space="preserve">1872, 8 LRQB 14: 42 LJQB 28: 27 LT 546). On the other hand, the sale of </w:t>
      </w:r>
      <w:proofErr w:type="spellStart"/>
      <w:r w:rsidRPr="00686C0F">
        <w:rPr>
          <w:rFonts w:ascii="Arial" w:hAnsi="Arial" w:cs="Arial"/>
          <w:sz w:val="22"/>
          <w:szCs w:val="22"/>
        </w:rPr>
        <w:t>Stichus</w:t>
      </w:r>
      <w:proofErr w:type="spellEnd"/>
      <w:r w:rsidRPr="00686C0F">
        <w:rPr>
          <w:rFonts w:ascii="Arial" w:hAnsi="Arial" w:cs="Arial"/>
          <w:sz w:val="22"/>
          <w:szCs w:val="22"/>
        </w:rPr>
        <w:t xml:space="preserve"> and </w:t>
      </w:r>
      <w:proofErr w:type="spellStart"/>
      <w:r w:rsidRPr="00686C0F">
        <w:rPr>
          <w:rFonts w:ascii="Arial" w:hAnsi="Arial" w:cs="Arial"/>
          <w:sz w:val="22"/>
          <w:szCs w:val="22"/>
        </w:rPr>
        <w:t>Pamphilus</w:t>
      </w:r>
      <w:proofErr w:type="spellEnd"/>
      <w:r w:rsidRPr="00686C0F">
        <w:rPr>
          <w:rFonts w:ascii="Arial" w:hAnsi="Arial" w:cs="Arial"/>
          <w:sz w:val="22"/>
          <w:szCs w:val="22"/>
        </w:rPr>
        <w:t xml:space="preserve"> for 100 and 200 </w:t>
      </w:r>
      <w:proofErr w:type="spellStart"/>
      <w:r w:rsidRPr="00686C0F">
        <w:rPr>
          <w:rFonts w:ascii="Arial" w:hAnsi="Arial" w:cs="Arial"/>
          <w:sz w:val="22"/>
          <w:szCs w:val="22"/>
        </w:rPr>
        <w:t>aurei</w:t>
      </w:r>
      <w:proofErr w:type="spellEnd"/>
      <w:r w:rsidR="00341871" w:rsidRPr="00686C0F">
        <w:rPr>
          <w:rFonts w:ascii="Arial" w:hAnsi="Arial" w:cs="Arial"/>
          <w:sz w:val="22"/>
          <w:szCs w:val="22"/>
        </w:rPr>
        <w:t xml:space="preserve"> respectively is in reality an independent sale of </w:t>
      </w:r>
      <w:proofErr w:type="spellStart"/>
      <w:r w:rsidR="00341871" w:rsidRPr="00686C0F">
        <w:rPr>
          <w:rFonts w:ascii="Arial" w:hAnsi="Arial" w:cs="Arial"/>
          <w:sz w:val="22"/>
          <w:szCs w:val="22"/>
        </w:rPr>
        <w:t>Stichus</w:t>
      </w:r>
      <w:proofErr w:type="spellEnd"/>
      <w:r w:rsidR="00341871" w:rsidRPr="00686C0F">
        <w:rPr>
          <w:rFonts w:ascii="Arial" w:hAnsi="Arial" w:cs="Arial"/>
          <w:sz w:val="22"/>
          <w:szCs w:val="22"/>
        </w:rPr>
        <w:t xml:space="preserve"> for 100 and of </w:t>
      </w:r>
      <w:proofErr w:type="spellStart"/>
      <w:r w:rsidR="00341871" w:rsidRPr="00686C0F">
        <w:rPr>
          <w:rFonts w:ascii="Arial" w:hAnsi="Arial" w:cs="Arial"/>
          <w:sz w:val="22"/>
          <w:szCs w:val="22"/>
        </w:rPr>
        <w:t>Pamphilus</w:t>
      </w:r>
      <w:proofErr w:type="spellEnd"/>
      <w:r w:rsidR="00341871" w:rsidRPr="00686C0F">
        <w:rPr>
          <w:rFonts w:ascii="Arial" w:hAnsi="Arial" w:cs="Arial"/>
          <w:sz w:val="22"/>
          <w:szCs w:val="22"/>
        </w:rPr>
        <w:t xml:space="preserve"> for 200 </w:t>
      </w:r>
      <w:proofErr w:type="spellStart"/>
      <w:r w:rsidR="00341871" w:rsidRPr="00686C0F">
        <w:rPr>
          <w:rFonts w:ascii="Arial" w:hAnsi="Arial" w:cs="Arial"/>
          <w:sz w:val="22"/>
          <w:szCs w:val="22"/>
        </w:rPr>
        <w:t>aurei</w:t>
      </w:r>
      <w:proofErr w:type="spellEnd"/>
      <w:r w:rsidR="00341871" w:rsidRPr="00686C0F">
        <w:rPr>
          <w:rFonts w:ascii="Arial" w:hAnsi="Arial" w:cs="Arial"/>
          <w:sz w:val="22"/>
          <w:szCs w:val="22"/>
        </w:rPr>
        <w:t xml:space="preserve"> (D. 451.29.pr).</w:t>
      </w:r>
      <w:r w:rsidRPr="00686C0F">
        <w:rPr>
          <w:rFonts w:ascii="Arial" w:hAnsi="Arial" w:cs="Arial"/>
          <w:sz w:val="22"/>
          <w:szCs w:val="22"/>
        </w:rPr>
        <w:t xml:space="preserve">  </w:t>
      </w:r>
    </w:p>
    <w:p w14:paraId="72397C10" w14:textId="77777777" w:rsidR="000959DA" w:rsidRPr="00686C0F" w:rsidRDefault="000959DA" w:rsidP="00240AF7">
      <w:pPr>
        <w:spacing w:line="360" w:lineRule="auto"/>
        <w:jc w:val="both"/>
        <w:rPr>
          <w:rFonts w:ascii="Arial" w:hAnsi="Arial" w:cs="Arial"/>
          <w:sz w:val="22"/>
          <w:szCs w:val="22"/>
        </w:rPr>
      </w:pPr>
    </w:p>
    <w:p w14:paraId="434BFE26" w14:textId="065F957A" w:rsidR="00341871" w:rsidRDefault="00341871" w:rsidP="00240AF7">
      <w:pPr>
        <w:spacing w:line="360" w:lineRule="auto"/>
        <w:jc w:val="both"/>
        <w:rPr>
          <w:rFonts w:ascii="Arial" w:hAnsi="Arial" w:cs="Arial"/>
          <w:sz w:val="22"/>
          <w:szCs w:val="22"/>
        </w:rPr>
      </w:pPr>
      <w:r w:rsidRPr="00686C0F">
        <w:rPr>
          <w:rFonts w:ascii="Arial" w:hAnsi="Arial" w:cs="Arial"/>
          <w:sz w:val="22"/>
          <w:szCs w:val="22"/>
        </w:rPr>
        <w:t>[11]</w:t>
      </w:r>
      <w:r w:rsidRPr="00686C0F">
        <w:rPr>
          <w:rFonts w:ascii="Arial" w:hAnsi="Arial" w:cs="Arial"/>
          <w:sz w:val="22"/>
          <w:szCs w:val="22"/>
        </w:rPr>
        <w:tab/>
        <w:t>Where there is a sale of ‘sev</w:t>
      </w:r>
      <w:r w:rsidR="00F56D97">
        <w:rPr>
          <w:rFonts w:ascii="Arial" w:hAnsi="Arial" w:cs="Arial"/>
          <w:sz w:val="22"/>
          <w:szCs w:val="22"/>
        </w:rPr>
        <w:t>eral distinct and separate item</w:t>
      </w:r>
      <w:r w:rsidRPr="00686C0F">
        <w:rPr>
          <w:rFonts w:ascii="Arial" w:hAnsi="Arial" w:cs="Arial"/>
          <w:sz w:val="22"/>
          <w:szCs w:val="22"/>
        </w:rPr>
        <w:t xml:space="preserve">s, and a price is fixed to each, the contract as a rule, will be held to be composed of several agreements.’ Furthermore, the nature of the performance required under a contract can be of decisive importance, and a contract is usually divisible where it makes provision for separate or distinctive performances. Thus in </w:t>
      </w:r>
      <w:r w:rsidRPr="00686C0F">
        <w:rPr>
          <w:rFonts w:ascii="Arial" w:hAnsi="Arial" w:cs="Arial"/>
          <w:i/>
          <w:sz w:val="22"/>
          <w:szCs w:val="22"/>
        </w:rPr>
        <w:t xml:space="preserve">Middleton v Carr </w:t>
      </w:r>
      <w:r w:rsidRPr="00686C0F">
        <w:rPr>
          <w:rFonts w:ascii="Arial" w:hAnsi="Arial" w:cs="Arial"/>
          <w:sz w:val="22"/>
          <w:szCs w:val="22"/>
        </w:rPr>
        <w:t xml:space="preserve">1949 (2) SA 374 (A) at 391 Schreiner JA, in concluding that an </w:t>
      </w:r>
      <w:r w:rsidR="00912277" w:rsidRPr="00686C0F">
        <w:rPr>
          <w:rFonts w:ascii="Arial" w:hAnsi="Arial" w:cs="Arial"/>
          <w:sz w:val="22"/>
          <w:szCs w:val="22"/>
        </w:rPr>
        <w:t>undertaking by</w:t>
      </w:r>
      <w:r w:rsidRPr="00686C0F">
        <w:rPr>
          <w:rFonts w:ascii="Arial" w:hAnsi="Arial" w:cs="Arial"/>
          <w:sz w:val="22"/>
          <w:szCs w:val="22"/>
        </w:rPr>
        <w:t xml:space="preserve"> a husband to pay his estranged wife a substantial sum of money was severable from a collusive agreement for divorce, said”</w:t>
      </w:r>
    </w:p>
    <w:p w14:paraId="225978B0" w14:textId="77777777" w:rsidR="000959DA" w:rsidRPr="00686C0F" w:rsidRDefault="000959DA" w:rsidP="00240AF7">
      <w:pPr>
        <w:spacing w:line="360" w:lineRule="auto"/>
        <w:jc w:val="both"/>
        <w:rPr>
          <w:rFonts w:ascii="Arial" w:hAnsi="Arial" w:cs="Arial"/>
          <w:sz w:val="22"/>
          <w:szCs w:val="22"/>
        </w:rPr>
      </w:pPr>
    </w:p>
    <w:p w14:paraId="24C9D290" w14:textId="6EA4CE66" w:rsidR="00341871" w:rsidRPr="00686C0F" w:rsidRDefault="00341871" w:rsidP="000959DA">
      <w:pPr>
        <w:spacing w:line="360" w:lineRule="auto"/>
        <w:ind w:firstLine="720"/>
        <w:jc w:val="both"/>
        <w:rPr>
          <w:rFonts w:ascii="Arial" w:hAnsi="Arial" w:cs="Arial"/>
          <w:sz w:val="22"/>
          <w:szCs w:val="22"/>
        </w:rPr>
      </w:pPr>
      <w:r w:rsidRPr="00686C0F">
        <w:rPr>
          <w:rFonts w:ascii="Arial" w:hAnsi="Arial" w:cs="Arial"/>
          <w:sz w:val="22"/>
          <w:szCs w:val="22"/>
        </w:rPr>
        <w:t>“But the fact that two agreements were made at the same time does not provide sufficient reason for treating them as in fact one agreement: to reach that conclusion it would be necessary to find some express or implied interlocking of their terms.’”</w:t>
      </w:r>
    </w:p>
    <w:p w14:paraId="71E5EFBD" w14:textId="77777777" w:rsidR="002A6108" w:rsidRPr="00686C0F" w:rsidRDefault="002A6108" w:rsidP="00686C0F">
      <w:pPr>
        <w:spacing w:line="360" w:lineRule="auto"/>
        <w:ind w:left="360"/>
        <w:jc w:val="both"/>
        <w:rPr>
          <w:rFonts w:ascii="Arial" w:hAnsi="Arial" w:cs="Arial"/>
        </w:rPr>
      </w:pPr>
    </w:p>
    <w:p w14:paraId="0F700298" w14:textId="4ECB4632" w:rsidR="002A6108" w:rsidRDefault="00A91890" w:rsidP="00A91890">
      <w:pPr>
        <w:spacing w:line="360" w:lineRule="auto"/>
        <w:jc w:val="both"/>
        <w:rPr>
          <w:rFonts w:ascii="Arial" w:hAnsi="Arial" w:cs="Arial"/>
        </w:rPr>
      </w:pPr>
      <w:r>
        <w:rPr>
          <w:rFonts w:ascii="Arial" w:hAnsi="Arial" w:cs="Arial"/>
        </w:rPr>
        <w:lastRenderedPageBreak/>
        <w:t>[46</w:t>
      </w:r>
      <w:r w:rsidR="002A6108" w:rsidRPr="00686C0F">
        <w:rPr>
          <w:rFonts w:ascii="Arial" w:hAnsi="Arial" w:cs="Arial"/>
        </w:rPr>
        <w:t>]</w:t>
      </w:r>
      <w:r w:rsidR="002A6108" w:rsidRPr="00686C0F">
        <w:rPr>
          <w:rFonts w:ascii="Arial" w:hAnsi="Arial" w:cs="Arial"/>
        </w:rPr>
        <w:tab/>
        <w:t>From the excerpts quoted above, it becomes clear that there is a general presumption that where there is a single agreement in respect of the sale and purchase of certain specifie</w:t>
      </w:r>
      <w:r w:rsidR="00E651FA">
        <w:rPr>
          <w:rFonts w:ascii="Arial" w:hAnsi="Arial" w:cs="Arial"/>
        </w:rPr>
        <w:t>d items,</w:t>
      </w:r>
      <w:r w:rsidR="002A6108" w:rsidRPr="00686C0F">
        <w:rPr>
          <w:rFonts w:ascii="Arial" w:hAnsi="Arial" w:cs="Arial"/>
        </w:rPr>
        <w:t xml:space="preserve"> that that contract is indivisible or inseparable. Th</w:t>
      </w:r>
      <w:r w:rsidR="00E651FA">
        <w:rPr>
          <w:rFonts w:ascii="Arial" w:hAnsi="Arial" w:cs="Arial"/>
        </w:rPr>
        <w:t>at notwithstanding, th</w:t>
      </w:r>
      <w:r w:rsidR="002A6108" w:rsidRPr="00686C0F">
        <w:rPr>
          <w:rFonts w:ascii="Arial" w:hAnsi="Arial" w:cs="Arial"/>
        </w:rPr>
        <w:t>ere are, however, instances</w:t>
      </w:r>
      <w:r w:rsidR="00B83135">
        <w:rPr>
          <w:rFonts w:ascii="Arial" w:hAnsi="Arial" w:cs="Arial"/>
        </w:rPr>
        <w:t xml:space="preserve"> detracting from the general rule</w:t>
      </w:r>
      <w:r w:rsidR="002A6108" w:rsidRPr="00686C0F">
        <w:rPr>
          <w:rFonts w:ascii="Arial" w:hAnsi="Arial" w:cs="Arial"/>
        </w:rPr>
        <w:t xml:space="preserve">, from which the opposite may </w:t>
      </w:r>
      <w:r w:rsidR="00E651FA">
        <w:rPr>
          <w:rFonts w:ascii="Arial" w:hAnsi="Arial" w:cs="Arial"/>
        </w:rPr>
        <w:t>be held, thus raising</w:t>
      </w:r>
      <w:r w:rsidR="002A6108" w:rsidRPr="00686C0F">
        <w:rPr>
          <w:rFonts w:ascii="Arial" w:hAnsi="Arial" w:cs="Arial"/>
        </w:rPr>
        <w:t xml:space="preserve"> a contrary presumption </w:t>
      </w:r>
      <w:r w:rsidR="00E651FA">
        <w:rPr>
          <w:rFonts w:ascii="Arial" w:hAnsi="Arial" w:cs="Arial"/>
        </w:rPr>
        <w:t>that the agreement is severable as it were. T</w:t>
      </w:r>
      <w:r w:rsidR="002A6108" w:rsidRPr="00686C0F">
        <w:rPr>
          <w:rFonts w:ascii="Arial" w:hAnsi="Arial" w:cs="Arial"/>
        </w:rPr>
        <w:t xml:space="preserve">hese </w:t>
      </w:r>
      <w:r w:rsidR="00E651FA">
        <w:rPr>
          <w:rFonts w:ascii="Arial" w:hAnsi="Arial" w:cs="Arial"/>
        </w:rPr>
        <w:t xml:space="preserve">circumstances </w:t>
      </w:r>
      <w:r w:rsidR="002A6108" w:rsidRPr="00686C0F">
        <w:rPr>
          <w:rFonts w:ascii="Arial" w:hAnsi="Arial" w:cs="Arial"/>
        </w:rPr>
        <w:t xml:space="preserve">are captured </w:t>
      </w:r>
      <w:r w:rsidR="00E651FA">
        <w:rPr>
          <w:rFonts w:ascii="Arial" w:hAnsi="Arial" w:cs="Arial"/>
        </w:rPr>
        <w:t xml:space="preserve">in the </w:t>
      </w:r>
      <w:r w:rsidR="002A6108" w:rsidRPr="00686C0F">
        <w:rPr>
          <w:rFonts w:ascii="Arial" w:hAnsi="Arial" w:cs="Arial"/>
        </w:rPr>
        <w:t>above</w:t>
      </w:r>
      <w:r w:rsidR="00E651FA">
        <w:rPr>
          <w:rFonts w:ascii="Arial" w:hAnsi="Arial" w:cs="Arial"/>
        </w:rPr>
        <w:t xml:space="preserve"> quotations</w:t>
      </w:r>
      <w:r w:rsidR="002A6108" w:rsidRPr="00686C0F">
        <w:rPr>
          <w:rFonts w:ascii="Arial" w:hAnsi="Arial" w:cs="Arial"/>
        </w:rPr>
        <w:t xml:space="preserve"> and I will not repeat them and </w:t>
      </w:r>
      <w:r w:rsidR="00B83135">
        <w:rPr>
          <w:rFonts w:ascii="Arial" w:hAnsi="Arial" w:cs="Arial"/>
        </w:rPr>
        <w:t xml:space="preserve">thus </w:t>
      </w:r>
      <w:r w:rsidR="002A6108" w:rsidRPr="00686C0F">
        <w:rPr>
          <w:rFonts w:ascii="Arial" w:hAnsi="Arial" w:cs="Arial"/>
        </w:rPr>
        <w:t>engage in a work of supererogation as it were.</w:t>
      </w:r>
    </w:p>
    <w:p w14:paraId="5D77A99D" w14:textId="77777777" w:rsidR="000959DA" w:rsidRPr="00686C0F" w:rsidRDefault="000959DA" w:rsidP="00A91890">
      <w:pPr>
        <w:spacing w:line="360" w:lineRule="auto"/>
        <w:jc w:val="both"/>
        <w:rPr>
          <w:rFonts w:ascii="Arial" w:hAnsi="Arial" w:cs="Arial"/>
        </w:rPr>
      </w:pPr>
    </w:p>
    <w:p w14:paraId="2786956A" w14:textId="10DD9B52" w:rsidR="002A6108" w:rsidRDefault="00A91890" w:rsidP="00240AF7">
      <w:pPr>
        <w:spacing w:line="360" w:lineRule="auto"/>
        <w:jc w:val="both"/>
        <w:rPr>
          <w:rFonts w:ascii="Arial" w:hAnsi="Arial" w:cs="Arial"/>
        </w:rPr>
      </w:pPr>
      <w:r>
        <w:rPr>
          <w:rFonts w:ascii="Arial" w:hAnsi="Arial" w:cs="Arial"/>
        </w:rPr>
        <w:t>[47</w:t>
      </w:r>
      <w:r w:rsidR="002A6108" w:rsidRPr="00686C0F">
        <w:rPr>
          <w:rFonts w:ascii="Arial" w:hAnsi="Arial" w:cs="Arial"/>
        </w:rPr>
        <w:t>]</w:t>
      </w:r>
      <w:r w:rsidR="002A6108" w:rsidRPr="00686C0F">
        <w:rPr>
          <w:rFonts w:ascii="Arial" w:hAnsi="Arial" w:cs="Arial"/>
        </w:rPr>
        <w:tab/>
        <w:t>In the instant case,</w:t>
      </w:r>
      <w:r w:rsidR="00A760B7">
        <w:rPr>
          <w:rFonts w:ascii="Arial" w:hAnsi="Arial" w:cs="Arial"/>
        </w:rPr>
        <w:t xml:space="preserve"> I am in full agreement with Ms</w:t>
      </w:r>
      <w:r w:rsidR="002A6108" w:rsidRPr="00686C0F">
        <w:rPr>
          <w:rFonts w:ascii="Arial" w:hAnsi="Arial" w:cs="Arial"/>
        </w:rPr>
        <w:t xml:space="preserve"> De </w:t>
      </w:r>
      <w:proofErr w:type="spellStart"/>
      <w:r w:rsidR="002A6108" w:rsidRPr="00686C0F">
        <w:rPr>
          <w:rFonts w:ascii="Arial" w:hAnsi="Arial" w:cs="Arial"/>
        </w:rPr>
        <w:t>Jager</w:t>
      </w:r>
      <w:proofErr w:type="spellEnd"/>
      <w:r w:rsidR="002A6108" w:rsidRPr="00686C0F">
        <w:rPr>
          <w:rFonts w:ascii="Arial" w:hAnsi="Arial" w:cs="Arial"/>
        </w:rPr>
        <w:t xml:space="preserve"> that the presumption that the agreement, in respect of the purchase of the members’ interest</w:t>
      </w:r>
      <w:r w:rsidR="00894493">
        <w:rPr>
          <w:rFonts w:ascii="Arial" w:hAnsi="Arial" w:cs="Arial"/>
        </w:rPr>
        <w:t>,</w:t>
      </w:r>
      <w:r w:rsidR="002A6108" w:rsidRPr="00686C0F">
        <w:rPr>
          <w:rFonts w:ascii="Arial" w:hAnsi="Arial" w:cs="Arial"/>
        </w:rPr>
        <w:t xml:space="preserve"> </w:t>
      </w:r>
      <w:r w:rsidR="00894493">
        <w:rPr>
          <w:rFonts w:ascii="Arial" w:hAnsi="Arial" w:cs="Arial"/>
        </w:rPr>
        <w:t>which in real terms is actually the sale of</w:t>
      </w:r>
      <w:r w:rsidR="00C00E2F">
        <w:rPr>
          <w:rFonts w:ascii="Arial" w:hAnsi="Arial" w:cs="Arial"/>
        </w:rPr>
        <w:t xml:space="preserve"> the</w:t>
      </w:r>
      <w:r w:rsidR="00894493">
        <w:rPr>
          <w:rFonts w:ascii="Arial" w:hAnsi="Arial" w:cs="Arial"/>
        </w:rPr>
        <w:t xml:space="preserve"> immovable property </w:t>
      </w:r>
      <w:r w:rsidR="002A6108" w:rsidRPr="00686C0F">
        <w:rPr>
          <w:rFonts w:ascii="Arial" w:hAnsi="Arial" w:cs="Arial"/>
        </w:rPr>
        <w:t>and the sale and purchase of the furniture and inventory</w:t>
      </w:r>
      <w:r w:rsidR="00C00E2F">
        <w:rPr>
          <w:rFonts w:ascii="Arial" w:hAnsi="Arial" w:cs="Arial"/>
        </w:rPr>
        <w:t xml:space="preserve"> to the plaintiff</w:t>
      </w:r>
      <w:r w:rsidR="00DF1ED8">
        <w:rPr>
          <w:rFonts w:ascii="Arial" w:hAnsi="Arial" w:cs="Arial"/>
        </w:rPr>
        <w:t>,</w:t>
      </w:r>
      <w:r w:rsidR="002A6108" w:rsidRPr="00686C0F">
        <w:rPr>
          <w:rFonts w:ascii="Arial" w:hAnsi="Arial" w:cs="Arial"/>
        </w:rPr>
        <w:t xml:space="preserve"> is in the peculiar setting of this case separable</w:t>
      </w:r>
      <w:r w:rsidR="00DF1ED8">
        <w:rPr>
          <w:rFonts w:ascii="Arial" w:hAnsi="Arial" w:cs="Arial"/>
        </w:rPr>
        <w:t xml:space="preserve"> or divisible</w:t>
      </w:r>
      <w:r w:rsidR="002A6108" w:rsidRPr="00686C0F">
        <w:rPr>
          <w:rFonts w:ascii="Arial" w:hAnsi="Arial" w:cs="Arial"/>
        </w:rPr>
        <w:t>. In the fi</w:t>
      </w:r>
      <w:r w:rsidR="00B83135">
        <w:rPr>
          <w:rFonts w:ascii="Arial" w:hAnsi="Arial" w:cs="Arial"/>
        </w:rPr>
        <w:t>rst place, as she correctly argu</w:t>
      </w:r>
      <w:r w:rsidR="002A6108" w:rsidRPr="00686C0F">
        <w:rPr>
          <w:rFonts w:ascii="Arial" w:hAnsi="Arial" w:cs="Arial"/>
        </w:rPr>
        <w:t>ed, there were different clauses that dealt with these two items in the agreement. Secondly, two different prices were stipulated for the sale and purchase of these distinct and separable items recorded in the agreement.</w:t>
      </w:r>
      <w:r w:rsidR="00497B61">
        <w:rPr>
          <w:rFonts w:ascii="Arial" w:hAnsi="Arial" w:cs="Arial"/>
        </w:rPr>
        <w:t xml:space="preserve"> These provide </w:t>
      </w:r>
      <w:r w:rsidR="00497B61">
        <w:rPr>
          <w:rFonts w:ascii="Arial" w:hAnsi="Arial" w:cs="Arial"/>
          <w:i/>
        </w:rPr>
        <w:t>indicia</w:t>
      </w:r>
      <w:r w:rsidR="00497B61">
        <w:rPr>
          <w:rFonts w:ascii="Arial" w:hAnsi="Arial" w:cs="Arial"/>
        </w:rPr>
        <w:t xml:space="preserve"> </w:t>
      </w:r>
      <w:r w:rsidR="00894493">
        <w:rPr>
          <w:rFonts w:ascii="Arial" w:hAnsi="Arial" w:cs="Arial"/>
        </w:rPr>
        <w:t>that the agreement consists of separate items for sale and is therefor</w:t>
      </w:r>
      <w:r w:rsidR="000959DA">
        <w:rPr>
          <w:rFonts w:ascii="Arial" w:hAnsi="Arial" w:cs="Arial"/>
        </w:rPr>
        <w:t>e</w:t>
      </w:r>
      <w:r w:rsidR="00894493">
        <w:rPr>
          <w:rFonts w:ascii="Arial" w:hAnsi="Arial" w:cs="Arial"/>
        </w:rPr>
        <w:t xml:space="preserve"> divisible</w:t>
      </w:r>
      <w:r w:rsidR="003A2EE2">
        <w:rPr>
          <w:rFonts w:ascii="Arial" w:hAnsi="Arial" w:cs="Arial"/>
        </w:rPr>
        <w:t>.</w:t>
      </w:r>
    </w:p>
    <w:p w14:paraId="457D1B0D" w14:textId="77777777" w:rsidR="00B96090" w:rsidRDefault="00B96090" w:rsidP="00240AF7">
      <w:pPr>
        <w:spacing w:line="360" w:lineRule="auto"/>
        <w:jc w:val="both"/>
        <w:rPr>
          <w:rFonts w:ascii="Arial" w:hAnsi="Arial" w:cs="Arial"/>
        </w:rPr>
      </w:pPr>
    </w:p>
    <w:p w14:paraId="6B839677" w14:textId="31D377BA" w:rsidR="00B96090" w:rsidRPr="00B96090" w:rsidRDefault="00A91890" w:rsidP="00240AF7">
      <w:pPr>
        <w:spacing w:line="360" w:lineRule="auto"/>
        <w:jc w:val="both"/>
        <w:rPr>
          <w:rFonts w:ascii="Arial" w:hAnsi="Arial" w:cs="Arial"/>
        </w:rPr>
      </w:pPr>
      <w:r>
        <w:rPr>
          <w:rFonts w:ascii="Arial" w:hAnsi="Arial" w:cs="Arial"/>
        </w:rPr>
        <w:t>[48</w:t>
      </w:r>
      <w:r w:rsidR="00B96090">
        <w:rPr>
          <w:rFonts w:ascii="Arial" w:hAnsi="Arial" w:cs="Arial"/>
        </w:rPr>
        <w:t>]</w:t>
      </w:r>
      <w:r w:rsidR="00B96090">
        <w:rPr>
          <w:rFonts w:ascii="Arial" w:hAnsi="Arial" w:cs="Arial"/>
        </w:rPr>
        <w:tab/>
        <w:t>Furthermore, it must be borne in mind that even the modes of delivery of these two distinct items</w:t>
      </w:r>
      <w:r w:rsidR="00DE4FD5">
        <w:rPr>
          <w:rFonts w:ascii="Arial" w:hAnsi="Arial" w:cs="Arial"/>
        </w:rPr>
        <w:t>,</w:t>
      </w:r>
      <w:r w:rsidR="00B96090">
        <w:rPr>
          <w:rFonts w:ascii="Arial" w:hAnsi="Arial" w:cs="Arial"/>
        </w:rPr>
        <w:t xml:space="preserve"> was different. The one may have been via the </w:t>
      </w:r>
      <w:proofErr w:type="spellStart"/>
      <w:r w:rsidR="00DE4FD5">
        <w:rPr>
          <w:rFonts w:ascii="Arial" w:hAnsi="Arial" w:cs="Arial"/>
          <w:i/>
        </w:rPr>
        <w:t>traditio</w:t>
      </w:r>
      <w:proofErr w:type="spellEnd"/>
      <w:r w:rsidR="00B96090">
        <w:rPr>
          <w:rFonts w:ascii="Arial" w:hAnsi="Arial" w:cs="Arial"/>
          <w:i/>
        </w:rPr>
        <w:t xml:space="preserve"> </w:t>
      </w:r>
      <w:proofErr w:type="spellStart"/>
      <w:r w:rsidR="00B96090">
        <w:rPr>
          <w:rFonts w:ascii="Arial" w:hAnsi="Arial" w:cs="Arial"/>
          <w:i/>
        </w:rPr>
        <w:t>brevi</w:t>
      </w:r>
      <w:proofErr w:type="spellEnd"/>
      <w:r w:rsidR="00B96090">
        <w:rPr>
          <w:rFonts w:ascii="Arial" w:hAnsi="Arial" w:cs="Arial"/>
          <w:i/>
        </w:rPr>
        <w:t xml:space="preserve"> </w:t>
      </w:r>
      <w:proofErr w:type="spellStart"/>
      <w:r w:rsidR="00B96090">
        <w:rPr>
          <w:rFonts w:ascii="Arial" w:hAnsi="Arial" w:cs="Arial"/>
          <w:i/>
        </w:rPr>
        <w:t>manu</w:t>
      </w:r>
      <w:proofErr w:type="spellEnd"/>
      <w:r w:rsidR="00B96090">
        <w:rPr>
          <w:rFonts w:ascii="Arial" w:hAnsi="Arial" w:cs="Arial"/>
          <w:i/>
        </w:rPr>
        <w:t xml:space="preserve"> </w:t>
      </w:r>
      <w:r w:rsidR="00DE4FD5">
        <w:rPr>
          <w:rFonts w:ascii="Arial" w:hAnsi="Arial" w:cs="Arial"/>
        </w:rPr>
        <w:t xml:space="preserve">(delivery by the short hand) </w:t>
      </w:r>
      <w:r w:rsidR="00B96090">
        <w:rPr>
          <w:rFonts w:ascii="Arial" w:hAnsi="Arial" w:cs="Arial"/>
        </w:rPr>
        <w:t xml:space="preserve">and the other, the </w:t>
      </w:r>
      <w:proofErr w:type="spellStart"/>
      <w:r w:rsidR="00DE4FD5">
        <w:rPr>
          <w:rFonts w:ascii="Arial" w:hAnsi="Arial" w:cs="Arial"/>
          <w:i/>
        </w:rPr>
        <w:t>traditio</w:t>
      </w:r>
      <w:proofErr w:type="spellEnd"/>
      <w:r w:rsidR="00B96090">
        <w:rPr>
          <w:rFonts w:ascii="Arial" w:hAnsi="Arial" w:cs="Arial"/>
          <w:i/>
        </w:rPr>
        <w:t xml:space="preserve"> longa </w:t>
      </w:r>
      <w:proofErr w:type="spellStart"/>
      <w:r w:rsidR="00B96090">
        <w:rPr>
          <w:rFonts w:ascii="Arial" w:hAnsi="Arial" w:cs="Arial"/>
          <w:i/>
        </w:rPr>
        <w:t>manu</w:t>
      </w:r>
      <w:proofErr w:type="spellEnd"/>
      <w:r w:rsidR="00DE4FD5">
        <w:rPr>
          <w:rFonts w:ascii="Arial" w:hAnsi="Arial" w:cs="Arial"/>
          <w:i/>
        </w:rPr>
        <w:t xml:space="preserve"> </w:t>
      </w:r>
      <w:r w:rsidR="00C00E2F">
        <w:rPr>
          <w:rFonts w:ascii="Arial" w:hAnsi="Arial" w:cs="Arial"/>
        </w:rPr>
        <w:t>(</w:t>
      </w:r>
      <w:r w:rsidR="00DE4FD5">
        <w:rPr>
          <w:rFonts w:ascii="Arial" w:hAnsi="Arial" w:cs="Arial"/>
        </w:rPr>
        <w:t>delivery by the long hand)</w:t>
      </w:r>
      <w:r w:rsidR="00B96090">
        <w:rPr>
          <w:rFonts w:ascii="Arial" w:hAnsi="Arial" w:cs="Arial"/>
        </w:rPr>
        <w:t xml:space="preserve">. </w:t>
      </w:r>
      <w:r w:rsidR="00894493">
        <w:rPr>
          <w:rFonts w:ascii="Arial" w:hAnsi="Arial" w:cs="Arial"/>
        </w:rPr>
        <w:t>It would also be important to have regard to the provisions of clause 12</w:t>
      </w:r>
      <w:r w:rsidR="008C039F">
        <w:rPr>
          <w:rFonts w:ascii="Arial" w:hAnsi="Arial" w:cs="Arial"/>
        </w:rPr>
        <w:t>,</w:t>
      </w:r>
      <w:r w:rsidR="00894493">
        <w:rPr>
          <w:rFonts w:ascii="Arial" w:hAnsi="Arial" w:cs="Arial"/>
        </w:rPr>
        <w:t xml:space="preserve"> which deal with what is referred to as ‘the subject matter’. In that regard, the subject matter related to the members’ interest and not the furniture and inventory. I deal with this</w:t>
      </w:r>
      <w:r w:rsidR="002C5AC9">
        <w:rPr>
          <w:rFonts w:ascii="Arial" w:hAnsi="Arial" w:cs="Arial"/>
        </w:rPr>
        <w:t xml:space="preserve"> issue in more detail </w:t>
      </w:r>
      <w:r w:rsidR="001E21B9">
        <w:rPr>
          <w:rFonts w:ascii="Arial" w:hAnsi="Arial" w:cs="Arial"/>
        </w:rPr>
        <w:t>from paragraph [106</w:t>
      </w:r>
      <w:r w:rsidR="00894493">
        <w:rPr>
          <w:rFonts w:ascii="Arial" w:hAnsi="Arial" w:cs="Arial"/>
        </w:rPr>
        <w:t>] below.</w:t>
      </w:r>
    </w:p>
    <w:p w14:paraId="4188610E" w14:textId="77777777" w:rsidR="003A2EE2" w:rsidRPr="00686C0F" w:rsidRDefault="003A2EE2" w:rsidP="00240AF7">
      <w:pPr>
        <w:spacing w:line="360" w:lineRule="auto"/>
        <w:jc w:val="both"/>
        <w:rPr>
          <w:rFonts w:ascii="Arial" w:hAnsi="Arial" w:cs="Arial"/>
        </w:rPr>
      </w:pPr>
    </w:p>
    <w:p w14:paraId="07826B44" w14:textId="2EFA0B53" w:rsidR="002A6108" w:rsidRPr="00686C0F" w:rsidRDefault="00A91890" w:rsidP="00240AF7">
      <w:pPr>
        <w:spacing w:line="360" w:lineRule="auto"/>
        <w:jc w:val="both"/>
        <w:rPr>
          <w:rFonts w:ascii="Arial" w:hAnsi="Arial" w:cs="Arial"/>
        </w:rPr>
      </w:pPr>
      <w:r>
        <w:rPr>
          <w:rFonts w:ascii="Arial" w:hAnsi="Arial" w:cs="Arial"/>
        </w:rPr>
        <w:t>[49</w:t>
      </w:r>
      <w:r w:rsidR="002A6108" w:rsidRPr="00686C0F">
        <w:rPr>
          <w:rFonts w:ascii="Arial" w:hAnsi="Arial" w:cs="Arial"/>
        </w:rPr>
        <w:t>]</w:t>
      </w:r>
      <w:r w:rsidR="002A6108" w:rsidRPr="00686C0F">
        <w:rPr>
          <w:rFonts w:ascii="Arial" w:hAnsi="Arial" w:cs="Arial"/>
        </w:rPr>
        <w:tab/>
        <w:t>Another issue that should not sink into oblivion, as one considers this issue</w:t>
      </w:r>
      <w:r w:rsidR="00497B61">
        <w:rPr>
          <w:rFonts w:ascii="Arial" w:hAnsi="Arial" w:cs="Arial"/>
        </w:rPr>
        <w:t>,</w:t>
      </w:r>
      <w:r w:rsidR="002A6108" w:rsidRPr="00686C0F">
        <w:rPr>
          <w:rFonts w:ascii="Arial" w:hAnsi="Arial" w:cs="Arial"/>
        </w:rPr>
        <w:t xml:space="preserve"> is that in terms of the clause that deals with the indivisibility of the contract, namely clause 3.3, it is stated in clear and unambiguous terms that what is indivisible is the ‘sale of the interest and claims’, which are defined in the agreement. From that definition, it is clear as </w:t>
      </w:r>
      <w:r w:rsidR="00912277" w:rsidRPr="00686C0F">
        <w:rPr>
          <w:rFonts w:ascii="Arial" w:hAnsi="Arial" w:cs="Arial"/>
        </w:rPr>
        <w:t>noonday</w:t>
      </w:r>
      <w:r w:rsidR="002A6108" w:rsidRPr="00686C0F">
        <w:rPr>
          <w:rFonts w:ascii="Arial" w:hAnsi="Arial" w:cs="Arial"/>
        </w:rPr>
        <w:t xml:space="preserve"> that those items </w:t>
      </w:r>
      <w:r w:rsidR="002A6108" w:rsidRPr="00686C0F">
        <w:rPr>
          <w:rFonts w:ascii="Arial" w:hAnsi="Arial" w:cs="Arial"/>
        </w:rPr>
        <w:lastRenderedPageBreak/>
        <w:t xml:space="preserve">referred to, deal exclusively with the sale relating to the members’ interest and nothing at all to do with the sale of the furniture and inventory. </w:t>
      </w:r>
    </w:p>
    <w:p w14:paraId="5DB27596" w14:textId="77777777" w:rsidR="002A6108" w:rsidRPr="00686C0F" w:rsidRDefault="002A6108" w:rsidP="00686C0F">
      <w:pPr>
        <w:spacing w:line="360" w:lineRule="auto"/>
        <w:ind w:left="360"/>
        <w:jc w:val="both"/>
        <w:rPr>
          <w:rFonts w:ascii="Arial" w:hAnsi="Arial" w:cs="Arial"/>
        </w:rPr>
      </w:pPr>
    </w:p>
    <w:p w14:paraId="1E724F22" w14:textId="580DF3AE" w:rsidR="002A6108" w:rsidRPr="00686C0F" w:rsidRDefault="00A91890" w:rsidP="00240AF7">
      <w:pPr>
        <w:spacing w:line="360" w:lineRule="auto"/>
        <w:jc w:val="both"/>
        <w:rPr>
          <w:rFonts w:ascii="Arial" w:hAnsi="Arial" w:cs="Arial"/>
        </w:rPr>
      </w:pPr>
      <w:r>
        <w:rPr>
          <w:rFonts w:ascii="Arial" w:hAnsi="Arial" w:cs="Arial"/>
        </w:rPr>
        <w:t>[50</w:t>
      </w:r>
      <w:r w:rsidR="002A6108" w:rsidRPr="00686C0F">
        <w:rPr>
          <w:rFonts w:ascii="Arial" w:hAnsi="Arial" w:cs="Arial"/>
        </w:rPr>
        <w:t>]</w:t>
      </w:r>
      <w:r w:rsidR="002A6108" w:rsidRPr="00686C0F">
        <w:rPr>
          <w:rFonts w:ascii="Arial" w:hAnsi="Arial" w:cs="Arial"/>
        </w:rPr>
        <w:tab/>
        <w:t>I am of the considered view that if it had been the intention of the parties to render t</w:t>
      </w:r>
      <w:r w:rsidR="00C00E2F">
        <w:rPr>
          <w:rFonts w:ascii="Arial" w:hAnsi="Arial" w:cs="Arial"/>
        </w:rPr>
        <w:t>he sale of the immovable property inseparable</w:t>
      </w:r>
      <w:r w:rsidR="002A6108" w:rsidRPr="00686C0F">
        <w:rPr>
          <w:rFonts w:ascii="Arial" w:hAnsi="Arial" w:cs="Arial"/>
        </w:rPr>
        <w:t xml:space="preserve"> from the sale of the furniture and fittings, they </w:t>
      </w:r>
      <w:r w:rsidR="00497B61">
        <w:rPr>
          <w:rFonts w:ascii="Arial" w:hAnsi="Arial" w:cs="Arial"/>
        </w:rPr>
        <w:t xml:space="preserve">had every opportunity to do so and </w:t>
      </w:r>
      <w:r w:rsidR="002A6108" w:rsidRPr="00686C0F">
        <w:rPr>
          <w:rFonts w:ascii="Arial" w:hAnsi="Arial" w:cs="Arial"/>
        </w:rPr>
        <w:t>would</w:t>
      </w:r>
      <w:r w:rsidR="00497B61">
        <w:rPr>
          <w:rFonts w:ascii="Arial" w:hAnsi="Arial" w:cs="Arial"/>
        </w:rPr>
        <w:t xml:space="preserve"> accordingly have recorded same</w:t>
      </w:r>
      <w:r w:rsidR="002A6108" w:rsidRPr="00686C0F">
        <w:rPr>
          <w:rFonts w:ascii="Arial" w:hAnsi="Arial" w:cs="Arial"/>
        </w:rPr>
        <w:t xml:space="preserve"> in very clear and unambiguous terms</w:t>
      </w:r>
      <w:r w:rsidR="00DF1ED8">
        <w:rPr>
          <w:rFonts w:ascii="Arial" w:hAnsi="Arial" w:cs="Arial"/>
        </w:rPr>
        <w:t xml:space="preserve"> in the agreement</w:t>
      </w:r>
      <w:r w:rsidR="002A6108" w:rsidRPr="00686C0F">
        <w:rPr>
          <w:rFonts w:ascii="Arial" w:hAnsi="Arial" w:cs="Arial"/>
        </w:rPr>
        <w:t>. That they did not do so</w:t>
      </w:r>
      <w:r w:rsidR="00DF1ED8">
        <w:rPr>
          <w:rFonts w:ascii="Arial" w:hAnsi="Arial" w:cs="Arial"/>
        </w:rPr>
        <w:t>,</w:t>
      </w:r>
      <w:r w:rsidR="002A6108" w:rsidRPr="00686C0F">
        <w:rPr>
          <w:rFonts w:ascii="Arial" w:hAnsi="Arial" w:cs="Arial"/>
        </w:rPr>
        <w:t xml:space="preserve"> and </w:t>
      </w:r>
      <w:r w:rsidR="00497B61">
        <w:rPr>
          <w:rFonts w:ascii="Arial" w:hAnsi="Arial" w:cs="Arial"/>
        </w:rPr>
        <w:t xml:space="preserve">also considering </w:t>
      </w:r>
      <w:r w:rsidR="002A6108" w:rsidRPr="00686C0F">
        <w:rPr>
          <w:rFonts w:ascii="Arial" w:hAnsi="Arial" w:cs="Arial"/>
        </w:rPr>
        <w:t xml:space="preserve">the clear divisibility of the items, considered </w:t>
      </w:r>
      <w:r w:rsidR="002A6108" w:rsidRPr="00686C0F">
        <w:rPr>
          <w:rFonts w:ascii="Arial" w:hAnsi="Arial" w:cs="Arial"/>
          <w:i/>
        </w:rPr>
        <w:t xml:space="preserve">in tandem </w:t>
      </w:r>
      <w:r w:rsidR="002A6108" w:rsidRPr="00686C0F">
        <w:rPr>
          <w:rFonts w:ascii="Arial" w:hAnsi="Arial" w:cs="Arial"/>
        </w:rPr>
        <w:t>with the injustice that may be yielded with dealing with w</w:t>
      </w:r>
      <w:r w:rsidR="00894493">
        <w:rPr>
          <w:rFonts w:ascii="Arial" w:hAnsi="Arial" w:cs="Arial"/>
        </w:rPr>
        <w:t>hat is the sale of two separately identifiable</w:t>
      </w:r>
      <w:r w:rsidR="002A6108" w:rsidRPr="00686C0F">
        <w:rPr>
          <w:rFonts w:ascii="Arial" w:hAnsi="Arial" w:cs="Arial"/>
        </w:rPr>
        <w:t xml:space="preserve"> and generally speaking unconnected items, save that the seller and the buyer are the same, is apparent. </w:t>
      </w:r>
    </w:p>
    <w:p w14:paraId="51AA02C8" w14:textId="77777777" w:rsidR="002A6108" w:rsidRPr="00686C0F" w:rsidRDefault="002A6108" w:rsidP="00686C0F">
      <w:pPr>
        <w:spacing w:line="360" w:lineRule="auto"/>
        <w:ind w:left="360"/>
        <w:jc w:val="both"/>
        <w:rPr>
          <w:rFonts w:ascii="Arial" w:hAnsi="Arial" w:cs="Arial"/>
        </w:rPr>
      </w:pPr>
    </w:p>
    <w:p w14:paraId="1D2B0D97" w14:textId="4399B3C1" w:rsidR="002A6108" w:rsidRPr="00686C0F" w:rsidRDefault="00A91890" w:rsidP="00240AF7">
      <w:pPr>
        <w:spacing w:line="360" w:lineRule="auto"/>
        <w:jc w:val="both"/>
        <w:rPr>
          <w:rFonts w:ascii="Arial" w:hAnsi="Arial" w:cs="Arial"/>
        </w:rPr>
      </w:pPr>
      <w:r>
        <w:rPr>
          <w:rFonts w:ascii="Arial" w:hAnsi="Arial" w:cs="Arial"/>
        </w:rPr>
        <w:t>[51</w:t>
      </w:r>
      <w:r w:rsidR="002A6108" w:rsidRPr="00686C0F">
        <w:rPr>
          <w:rFonts w:ascii="Arial" w:hAnsi="Arial" w:cs="Arial"/>
        </w:rPr>
        <w:t>]</w:t>
      </w:r>
      <w:r w:rsidR="002A6108" w:rsidRPr="00686C0F">
        <w:rPr>
          <w:rFonts w:ascii="Arial" w:hAnsi="Arial" w:cs="Arial"/>
        </w:rPr>
        <w:tab/>
        <w:t>Properly considered</w:t>
      </w:r>
      <w:r w:rsidR="00497B61">
        <w:rPr>
          <w:rFonts w:ascii="Arial" w:hAnsi="Arial" w:cs="Arial"/>
        </w:rPr>
        <w:t xml:space="preserve"> in context</w:t>
      </w:r>
      <w:r w:rsidR="002A6108" w:rsidRPr="00686C0F">
        <w:rPr>
          <w:rFonts w:ascii="Arial" w:hAnsi="Arial" w:cs="Arial"/>
        </w:rPr>
        <w:t>, the sale of one has no d</w:t>
      </w:r>
      <w:r w:rsidR="00497B61">
        <w:rPr>
          <w:rFonts w:ascii="Arial" w:hAnsi="Arial" w:cs="Arial"/>
        </w:rPr>
        <w:t>irect bearing on the other. T</w:t>
      </w:r>
      <w:r w:rsidR="002A6108" w:rsidRPr="00686C0F">
        <w:rPr>
          <w:rFonts w:ascii="Arial" w:hAnsi="Arial" w:cs="Arial"/>
        </w:rPr>
        <w:t>o then say</w:t>
      </w:r>
      <w:r w:rsidR="00A66B34">
        <w:rPr>
          <w:rFonts w:ascii="Arial" w:hAnsi="Arial" w:cs="Arial"/>
        </w:rPr>
        <w:t>, for argument’s sake</w:t>
      </w:r>
      <w:r w:rsidR="002A6108" w:rsidRPr="00686C0F">
        <w:rPr>
          <w:rFonts w:ascii="Arial" w:hAnsi="Arial" w:cs="Arial"/>
        </w:rPr>
        <w:t xml:space="preserve"> that because the sa</w:t>
      </w:r>
      <w:r w:rsidR="00A66B34">
        <w:rPr>
          <w:rFonts w:ascii="Arial" w:hAnsi="Arial" w:cs="Arial"/>
        </w:rPr>
        <w:t>le of the furniture and inventory should, for</w:t>
      </w:r>
      <w:r w:rsidR="002A6108" w:rsidRPr="00686C0F">
        <w:rPr>
          <w:rFonts w:ascii="Arial" w:hAnsi="Arial" w:cs="Arial"/>
        </w:rPr>
        <w:t xml:space="preserve"> compelling reasons advanced, </w:t>
      </w:r>
      <w:r w:rsidR="00A66B34">
        <w:rPr>
          <w:rFonts w:ascii="Arial" w:hAnsi="Arial" w:cs="Arial"/>
        </w:rPr>
        <w:t xml:space="preserve">fall away, </w:t>
      </w:r>
      <w:r w:rsidR="002A6108" w:rsidRPr="00686C0F">
        <w:rPr>
          <w:rFonts w:ascii="Arial" w:hAnsi="Arial" w:cs="Arial"/>
        </w:rPr>
        <w:t>then t</w:t>
      </w:r>
      <w:r w:rsidR="00A66B34">
        <w:rPr>
          <w:rFonts w:ascii="Arial" w:hAnsi="Arial" w:cs="Arial"/>
        </w:rPr>
        <w:t>he sale of the immovable property</w:t>
      </w:r>
      <w:r w:rsidR="002A6108" w:rsidRPr="00686C0F">
        <w:rPr>
          <w:rFonts w:ascii="Arial" w:hAnsi="Arial" w:cs="Arial"/>
        </w:rPr>
        <w:t xml:space="preserve"> should also fall away</w:t>
      </w:r>
      <w:r w:rsidR="00A66B34">
        <w:rPr>
          <w:rFonts w:ascii="Arial" w:hAnsi="Arial" w:cs="Arial"/>
        </w:rPr>
        <w:t>,</w:t>
      </w:r>
      <w:r w:rsidR="002A6108" w:rsidRPr="00686C0F">
        <w:rPr>
          <w:rFonts w:ascii="Arial" w:hAnsi="Arial" w:cs="Arial"/>
        </w:rPr>
        <w:t xml:space="preserve"> would </w:t>
      </w:r>
      <w:r w:rsidR="00497B61">
        <w:rPr>
          <w:rFonts w:ascii="Arial" w:hAnsi="Arial" w:cs="Arial"/>
        </w:rPr>
        <w:t xml:space="preserve">be </w:t>
      </w:r>
      <w:r w:rsidR="002A6108" w:rsidRPr="00686C0F">
        <w:rPr>
          <w:rFonts w:ascii="Arial" w:hAnsi="Arial" w:cs="Arial"/>
        </w:rPr>
        <w:t xml:space="preserve">disconcerting and at odds with the reason, propriety, convenience and more particularly, </w:t>
      </w:r>
      <w:r w:rsidR="00DF1ED8">
        <w:rPr>
          <w:rFonts w:ascii="Arial" w:hAnsi="Arial" w:cs="Arial"/>
        </w:rPr>
        <w:t xml:space="preserve">inconsistent with </w:t>
      </w:r>
      <w:r w:rsidR="002A6108" w:rsidRPr="00686C0F">
        <w:rPr>
          <w:rFonts w:ascii="Arial" w:hAnsi="Arial" w:cs="Arial"/>
        </w:rPr>
        <w:t>the parties’ intention, as can</w:t>
      </w:r>
      <w:r w:rsidR="00497B61">
        <w:rPr>
          <w:rFonts w:ascii="Arial" w:hAnsi="Arial" w:cs="Arial"/>
        </w:rPr>
        <w:t xml:space="preserve"> be fathomed from their conduct and the</w:t>
      </w:r>
      <w:r w:rsidR="00DF1ED8">
        <w:rPr>
          <w:rFonts w:ascii="Arial" w:hAnsi="Arial" w:cs="Arial"/>
        </w:rPr>
        <w:t xml:space="preserve"> words </w:t>
      </w:r>
      <w:r w:rsidR="00A66B34">
        <w:rPr>
          <w:rFonts w:ascii="Arial" w:hAnsi="Arial" w:cs="Arial"/>
        </w:rPr>
        <w:t>they chose to employ</w:t>
      </w:r>
      <w:r w:rsidR="00DF1ED8">
        <w:rPr>
          <w:rFonts w:ascii="Arial" w:hAnsi="Arial" w:cs="Arial"/>
        </w:rPr>
        <w:t xml:space="preserve"> in the</w:t>
      </w:r>
      <w:r w:rsidR="00497B61">
        <w:rPr>
          <w:rFonts w:ascii="Arial" w:hAnsi="Arial" w:cs="Arial"/>
        </w:rPr>
        <w:t xml:space="preserve"> memorial they</w:t>
      </w:r>
      <w:r w:rsidR="00DF1ED8">
        <w:rPr>
          <w:rFonts w:ascii="Arial" w:hAnsi="Arial" w:cs="Arial"/>
        </w:rPr>
        <w:t>, of their own free will</w:t>
      </w:r>
      <w:r w:rsidR="00894493">
        <w:rPr>
          <w:rFonts w:ascii="Arial" w:hAnsi="Arial" w:cs="Arial"/>
        </w:rPr>
        <w:t>, volition</w:t>
      </w:r>
      <w:r w:rsidR="00DF1ED8">
        <w:rPr>
          <w:rFonts w:ascii="Arial" w:hAnsi="Arial" w:cs="Arial"/>
        </w:rPr>
        <w:t xml:space="preserve"> and accord,</w:t>
      </w:r>
      <w:r w:rsidR="00497B61">
        <w:rPr>
          <w:rFonts w:ascii="Arial" w:hAnsi="Arial" w:cs="Arial"/>
        </w:rPr>
        <w:t xml:space="preserve"> reduced to writing</w:t>
      </w:r>
      <w:r w:rsidR="00A66B34">
        <w:rPr>
          <w:rFonts w:ascii="Arial" w:hAnsi="Arial" w:cs="Arial"/>
        </w:rPr>
        <w:t xml:space="preserve"> and signed</w:t>
      </w:r>
      <w:r w:rsidR="00497B61">
        <w:rPr>
          <w:rFonts w:ascii="Arial" w:hAnsi="Arial" w:cs="Arial"/>
        </w:rPr>
        <w:t>.</w:t>
      </w:r>
      <w:r w:rsidR="002A6108" w:rsidRPr="00686C0F">
        <w:rPr>
          <w:rFonts w:ascii="Arial" w:hAnsi="Arial" w:cs="Arial"/>
        </w:rPr>
        <w:t xml:space="preserve"> </w:t>
      </w:r>
    </w:p>
    <w:p w14:paraId="05343CE4" w14:textId="77777777" w:rsidR="002A6108" w:rsidRPr="00686C0F" w:rsidRDefault="002A6108" w:rsidP="00686C0F">
      <w:pPr>
        <w:spacing w:line="360" w:lineRule="auto"/>
        <w:ind w:left="360"/>
        <w:jc w:val="both"/>
        <w:rPr>
          <w:rFonts w:ascii="Arial" w:hAnsi="Arial" w:cs="Arial"/>
        </w:rPr>
      </w:pPr>
    </w:p>
    <w:p w14:paraId="522EADE2" w14:textId="608BE9E5" w:rsidR="00E651FA" w:rsidRDefault="00A91890" w:rsidP="00240AF7">
      <w:pPr>
        <w:spacing w:line="360" w:lineRule="auto"/>
        <w:jc w:val="both"/>
        <w:rPr>
          <w:rFonts w:ascii="Arial" w:hAnsi="Arial" w:cs="Arial"/>
        </w:rPr>
      </w:pPr>
      <w:r>
        <w:rPr>
          <w:rFonts w:ascii="Arial" w:hAnsi="Arial" w:cs="Arial"/>
        </w:rPr>
        <w:t>[52</w:t>
      </w:r>
      <w:r w:rsidR="00973958">
        <w:rPr>
          <w:rFonts w:ascii="Arial" w:hAnsi="Arial" w:cs="Arial"/>
        </w:rPr>
        <w:t>]</w:t>
      </w:r>
      <w:r w:rsidR="002A6108" w:rsidRPr="00686C0F">
        <w:rPr>
          <w:rFonts w:ascii="Arial" w:hAnsi="Arial" w:cs="Arial"/>
        </w:rPr>
        <w:tab/>
        <w:t>In the premises, I am of the considered view</w:t>
      </w:r>
      <w:r w:rsidR="001E21B9">
        <w:rPr>
          <w:rFonts w:ascii="Arial" w:hAnsi="Arial" w:cs="Arial"/>
        </w:rPr>
        <w:t>,</w:t>
      </w:r>
      <w:r w:rsidR="002A6108" w:rsidRPr="00686C0F">
        <w:rPr>
          <w:rFonts w:ascii="Arial" w:hAnsi="Arial" w:cs="Arial"/>
        </w:rPr>
        <w:t xml:space="preserve"> that </w:t>
      </w:r>
      <w:r w:rsidR="00912277" w:rsidRPr="00686C0F">
        <w:rPr>
          <w:rFonts w:ascii="Arial" w:hAnsi="Arial" w:cs="Arial"/>
        </w:rPr>
        <w:t>o</w:t>
      </w:r>
      <w:r w:rsidR="001E21B9">
        <w:rPr>
          <w:rFonts w:ascii="Arial" w:hAnsi="Arial" w:cs="Arial"/>
        </w:rPr>
        <w:t>n a mature consideration of all the facts applicable</w:t>
      </w:r>
      <w:r w:rsidR="00912277" w:rsidRPr="00686C0F">
        <w:rPr>
          <w:rFonts w:ascii="Arial" w:hAnsi="Arial" w:cs="Arial"/>
        </w:rPr>
        <w:t xml:space="preserve"> to the matter, from the vi</w:t>
      </w:r>
      <w:r w:rsidR="00894493">
        <w:rPr>
          <w:rFonts w:ascii="Arial" w:hAnsi="Arial" w:cs="Arial"/>
        </w:rPr>
        <w:t>ew of the parties’ intention</w:t>
      </w:r>
      <w:r w:rsidR="001E21B9">
        <w:rPr>
          <w:rFonts w:ascii="Arial" w:hAnsi="Arial" w:cs="Arial"/>
        </w:rPr>
        <w:t>,</w:t>
      </w:r>
      <w:r w:rsidR="00912277" w:rsidRPr="00686C0F">
        <w:rPr>
          <w:rFonts w:ascii="Arial" w:hAnsi="Arial" w:cs="Arial"/>
        </w:rPr>
        <w:t xml:space="preserve"> the practicalities and convenience</w:t>
      </w:r>
      <w:r w:rsidR="00497B61">
        <w:rPr>
          <w:rFonts w:ascii="Arial" w:hAnsi="Arial" w:cs="Arial"/>
        </w:rPr>
        <w:t xml:space="preserve"> attendant to this matter</w:t>
      </w:r>
      <w:r w:rsidR="00912277" w:rsidRPr="00686C0F">
        <w:rPr>
          <w:rFonts w:ascii="Arial" w:hAnsi="Arial" w:cs="Arial"/>
        </w:rPr>
        <w:t>, this is a proper case</w:t>
      </w:r>
      <w:r w:rsidR="001E21B9">
        <w:rPr>
          <w:rFonts w:ascii="Arial" w:hAnsi="Arial" w:cs="Arial"/>
        </w:rPr>
        <w:t>,</w:t>
      </w:r>
      <w:r w:rsidR="00912277" w:rsidRPr="00686C0F">
        <w:rPr>
          <w:rFonts w:ascii="Arial" w:hAnsi="Arial" w:cs="Arial"/>
        </w:rPr>
        <w:t xml:space="preserve"> which admits of the divisibility of the agreement and I therefor hold that</w:t>
      </w:r>
      <w:r w:rsidR="00FC6013">
        <w:rPr>
          <w:rFonts w:ascii="Arial" w:hAnsi="Arial" w:cs="Arial"/>
        </w:rPr>
        <w:t xml:space="preserve"> the agreement was divisible. The</w:t>
      </w:r>
      <w:r w:rsidR="00912277" w:rsidRPr="00686C0F">
        <w:rPr>
          <w:rFonts w:ascii="Arial" w:hAnsi="Arial" w:cs="Arial"/>
        </w:rPr>
        <w:t xml:space="preserve"> plaintiff</w:t>
      </w:r>
      <w:r w:rsidR="00FC6013">
        <w:rPr>
          <w:rFonts w:ascii="Arial" w:hAnsi="Arial" w:cs="Arial"/>
        </w:rPr>
        <w:t>’s prayer</w:t>
      </w:r>
      <w:r w:rsidR="00912277" w:rsidRPr="00686C0F">
        <w:rPr>
          <w:rFonts w:ascii="Arial" w:hAnsi="Arial" w:cs="Arial"/>
        </w:rPr>
        <w:t xml:space="preserve"> to have the portion of the agreement relating to the sale of the furniture and inventory set aside, do</w:t>
      </w:r>
      <w:r w:rsidR="00497B61">
        <w:rPr>
          <w:rFonts w:ascii="Arial" w:hAnsi="Arial" w:cs="Arial"/>
        </w:rPr>
        <w:t xml:space="preserve">es </w:t>
      </w:r>
      <w:r w:rsidR="00894493">
        <w:rPr>
          <w:rFonts w:ascii="Arial" w:hAnsi="Arial" w:cs="Arial"/>
        </w:rPr>
        <w:t>not automatically</w:t>
      </w:r>
      <w:r w:rsidR="00497B61">
        <w:rPr>
          <w:rFonts w:ascii="Arial" w:hAnsi="Arial" w:cs="Arial"/>
        </w:rPr>
        <w:t xml:space="preserve"> translate to</w:t>
      </w:r>
      <w:r w:rsidR="00912277" w:rsidRPr="00686C0F">
        <w:rPr>
          <w:rFonts w:ascii="Arial" w:hAnsi="Arial" w:cs="Arial"/>
        </w:rPr>
        <w:t xml:space="preserve"> the </w:t>
      </w:r>
      <w:r w:rsidR="00497B61">
        <w:rPr>
          <w:rFonts w:ascii="Arial" w:hAnsi="Arial" w:cs="Arial"/>
        </w:rPr>
        <w:t xml:space="preserve">conclusion that the </w:t>
      </w:r>
      <w:r w:rsidR="00C00E2F">
        <w:rPr>
          <w:rFonts w:ascii="Arial" w:hAnsi="Arial" w:cs="Arial"/>
        </w:rPr>
        <w:t>sale o</w:t>
      </w:r>
      <w:r w:rsidR="00A66B34">
        <w:rPr>
          <w:rFonts w:ascii="Arial" w:hAnsi="Arial" w:cs="Arial"/>
        </w:rPr>
        <w:t>f the immovable property</w:t>
      </w:r>
      <w:r w:rsidR="00C00E2F">
        <w:rPr>
          <w:rFonts w:ascii="Arial" w:hAnsi="Arial" w:cs="Arial"/>
        </w:rPr>
        <w:t xml:space="preserve"> </w:t>
      </w:r>
      <w:r w:rsidR="00912277" w:rsidRPr="00686C0F">
        <w:rPr>
          <w:rFonts w:ascii="Arial" w:hAnsi="Arial" w:cs="Arial"/>
        </w:rPr>
        <w:t xml:space="preserve">is also </w:t>
      </w:r>
      <w:r w:rsidR="00A66B34">
        <w:rPr>
          <w:rFonts w:ascii="Arial" w:hAnsi="Arial" w:cs="Arial"/>
        </w:rPr>
        <w:t xml:space="preserve">detrimentally </w:t>
      </w:r>
      <w:r w:rsidR="00912277" w:rsidRPr="00686C0F">
        <w:rPr>
          <w:rFonts w:ascii="Arial" w:hAnsi="Arial" w:cs="Arial"/>
        </w:rPr>
        <w:t>affected thereby.</w:t>
      </w:r>
    </w:p>
    <w:p w14:paraId="3E8631F5" w14:textId="77777777" w:rsidR="003A2EE2" w:rsidRDefault="003A2EE2" w:rsidP="00240AF7">
      <w:pPr>
        <w:spacing w:line="360" w:lineRule="auto"/>
        <w:jc w:val="both"/>
        <w:rPr>
          <w:rFonts w:ascii="Arial" w:hAnsi="Arial" w:cs="Arial"/>
        </w:rPr>
      </w:pPr>
    </w:p>
    <w:p w14:paraId="18A4DFCF" w14:textId="77777777" w:rsidR="000959DA" w:rsidRDefault="000959DA" w:rsidP="00240AF7">
      <w:pPr>
        <w:spacing w:line="360" w:lineRule="auto"/>
        <w:jc w:val="both"/>
        <w:rPr>
          <w:rFonts w:ascii="Arial" w:hAnsi="Arial" w:cs="Arial"/>
          <w:i/>
          <w:u w:val="single"/>
        </w:rPr>
      </w:pPr>
    </w:p>
    <w:p w14:paraId="082AB562" w14:textId="77777777" w:rsidR="000959DA" w:rsidRDefault="000959DA" w:rsidP="00240AF7">
      <w:pPr>
        <w:spacing w:line="360" w:lineRule="auto"/>
        <w:jc w:val="both"/>
        <w:rPr>
          <w:rFonts w:ascii="Arial" w:hAnsi="Arial" w:cs="Arial"/>
          <w:i/>
          <w:u w:val="single"/>
        </w:rPr>
      </w:pPr>
    </w:p>
    <w:p w14:paraId="697D3861" w14:textId="77777777" w:rsidR="000959DA" w:rsidRDefault="000959DA" w:rsidP="00240AF7">
      <w:pPr>
        <w:spacing w:line="360" w:lineRule="auto"/>
        <w:jc w:val="both"/>
        <w:rPr>
          <w:rFonts w:ascii="Arial" w:hAnsi="Arial" w:cs="Arial"/>
          <w:i/>
          <w:u w:val="single"/>
        </w:rPr>
      </w:pPr>
    </w:p>
    <w:p w14:paraId="63D1A04D" w14:textId="504FD40C" w:rsidR="00E651FA" w:rsidRPr="000959DA" w:rsidRDefault="00E651FA" w:rsidP="00240AF7">
      <w:pPr>
        <w:spacing w:line="360" w:lineRule="auto"/>
        <w:jc w:val="both"/>
        <w:rPr>
          <w:rFonts w:ascii="Arial" w:hAnsi="Arial" w:cs="Arial"/>
          <w:i/>
          <w:u w:val="single"/>
        </w:rPr>
      </w:pPr>
      <w:r w:rsidRPr="000959DA">
        <w:rPr>
          <w:rFonts w:ascii="Arial" w:hAnsi="Arial" w:cs="Arial"/>
          <w:i/>
          <w:u w:val="single"/>
        </w:rPr>
        <w:lastRenderedPageBreak/>
        <w:t xml:space="preserve">Locus </w:t>
      </w:r>
      <w:proofErr w:type="spellStart"/>
      <w:r w:rsidRPr="000959DA">
        <w:rPr>
          <w:rFonts w:ascii="Arial" w:hAnsi="Arial" w:cs="Arial"/>
          <w:i/>
          <w:u w:val="single"/>
        </w:rPr>
        <w:t>standi</w:t>
      </w:r>
      <w:proofErr w:type="spellEnd"/>
      <w:r w:rsidR="00A43BE8" w:rsidRPr="000959DA">
        <w:rPr>
          <w:rFonts w:ascii="Arial" w:hAnsi="Arial" w:cs="Arial"/>
          <w:i/>
          <w:u w:val="single"/>
        </w:rPr>
        <w:t xml:space="preserve"> in </w:t>
      </w:r>
      <w:proofErr w:type="spellStart"/>
      <w:r w:rsidR="00A43BE8" w:rsidRPr="000959DA">
        <w:rPr>
          <w:rFonts w:ascii="Arial" w:hAnsi="Arial" w:cs="Arial"/>
          <w:i/>
          <w:u w:val="single"/>
        </w:rPr>
        <w:t>judicio</w:t>
      </w:r>
      <w:proofErr w:type="spellEnd"/>
    </w:p>
    <w:p w14:paraId="149312AF" w14:textId="77777777" w:rsidR="00E651FA" w:rsidRDefault="00E651FA" w:rsidP="00686C0F">
      <w:pPr>
        <w:spacing w:line="360" w:lineRule="auto"/>
        <w:ind w:left="360"/>
        <w:jc w:val="both"/>
        <w:rPr>
          <w:rFonts w:ascii="Arial" w:hAnsi="Arial" w:cs="Arial"/>
          <w:i/>
          <w:u w:val="single"/>
        </w:rPr>
      </w:pPr>
    </w:p>
    <w:p w14:paraId="69409206" w14:textId="4990A267" w:rsidR="00E651FA" w:rsidRDefault="00240AF7" w:rsidP="00240AF7">
      <w:pPr>
        <w:spacing w:line="360" w:lineRule="auto"/>
        <w:jc w:val="both"/>
        <w:rPr>
          <w:rFonts w:ascii="Arial" w:hAnsi="Arial" w:cs="Arial"/>
          <w:i/>
        </w:rPr>
      </w:pPr>
      <w:r>
        <w:rPr>
          <w:rFonts w:ascii="Arial" w:hAnsi="Arial" w:cs="Arial"/>
        </w:rPr>
        <w:t>[</w:t>
      </w:r>
      <w:r w:rsidR="00A91890">
        <w:rPr>
          <w:rFonts w:ascii="Arial" w:hAnsi="Arial" w:cs="Arial"/>
        </w:rPr>
        <w:t>53</w:t>
      </w:r>
      <w:r w:rsidR="00E651FA">
        <w:rPr>
          <w:rFonts w:ascii="Arial" w:hAnsi="Arial" w:cs="Arial"/>
        </w:rPr>
        <w:t>]</w:t>
      </w:r>
      <w:r w:rsidR="00E651FA">
        <w:rPr>
          <w:rFonts w:ascii="Arial" w:hAnsi="Arial" w:cs="Arial"/>
        </w:rPr>
        <w:tab/>
        <w:t>In hi</w:t>
      </w:r>
      <w:r w:rsidR="00A760B7">
        <w:rPr>
          <w:rFonts w:ascii="Arial" w:hAnsi="Arial" w:cs="Arial"/>
        </w:rPr>
        <w:t>s written heads of argument, Mr</w:t>
      </w:r>
      <w:r w:rsidR="00E651FA">
        <w:rPr>
          <w:rFonts w:ascii="Arial" w:hAnsi="Arial" w:cs="Arial"/>
        </w:rPr>
        <w:t xml:space="preserve"> Brandt raised the issue that the plaintiff does not have the </w:t>
      </w:r>
      <w:r w:rsidR="00E651FA">
        <w:rPr>
          <w:rFonts w:ascii="Arial" w:hAnsi="Arial" w:cs="Arial"/>
          <w:i/>
        </w:rPr>
        <w:t xml:space="preserve">locus </w:t>
      </w:r>
      <w:proofErr w:type="spellStart"/>
      <w:r w:rsidR="00E651FA">
        <w:rPr>
          <w:rFonts w:ascii="Arial" w:hAnsi="Arial" w:cs="Arial"/>
          <w:i/>
        </w:rPr>
        <w:t>standi</w:t>
      </w:r>
      <w:proofErr w:type="spellEnd"/>
      <w:r w:rsidR="00E651FA">
        <w:rPr>
          <w:rFonts w:ascii="Arial" w:hAnsi="Arial" w:cs="Arial"/>
          <w:i/>
        </w:rPr>
        <w:t xml:space="preserve"> in </w:t>
      </w:r>
      <w:proofErr w:type="spellStart"/>
      <w:r w:rsidR="00E651FA">
        <w:rPr>
          <w:rFonts w:ascii="Arial" w:hAnsi="Arial" w:cs="Arial"/>
          <w:i/>
        </w:rPr>
        <w:t>judicio</w:t>
      </w:r>
      <w:proofErr w:type="spellEnd"/>
      <w:r w:rsidR="00E651FA">
        <w:rPr>
          <w:rFonts w:ascii="Arial" w:hAnsi="Arial" w:cs="Arial"/>
          <w:i/>
        </w:rPr>
        <w:t xml:space="preserve"> </w:t>
      </w:r>
      <w:r w:rsidR="00A66B34">
        <w:rPr>
          <w:rFonts w:ascii="Arial" w:hAnsi="Arial" w:cs="Arial"/>
        </w:rPr>
        <w:t xml:space="preserve">necessary </w:t>
      </w:r>
      <w:r w:rsidR="00E651FA">
        <w:rPr>
          <w:rFonts w:ascii="Arial" w:hAnsi="Arial" w:cs="Arial"/>
        </w:rPr>
        <w:t xml:space="preserve">to institute this action. He raised this issue as a point of law </w:t>
      </w:r>
      <w:r w:rsidR="00E651FA" w:rsidRPr="00E651FA">
        <w:rPr>
          <w:rFonts w:ascii="Arial" w:hAnsi="Arial" w:cs="Arial"/>
          <w:i/>
        </w:rPr>
        <w:t xml:space="preserve">in </w:t>
      </w:r>
      <w:proofErr w:type="spellStart"/>
      <w:r w:rsidR="00E651FA" w:rsidRPr="00E651FA">
        <w:rPr>
          <w:rFonts w:ascii="Arial" w:hAnsi="Arial" w:cs="Arial"/>
          <w:i/>
        </w:rPr>
        <w:t>limine</w:t>
      </w:r>
      <w:proofErr w:type="spellEnd"/>
      <w:r w:rsidR="00E651FA">
        <w:rPr>
          <w:rFonts w:ascii="Arial" w:hAnsi="Arial" w:cs="Arial"/>
        </w:rPr>
        <w:t xml:space="preserve">. This </w:t>
      </w:r>
      <w:r w:rsidR="00DD3EA0">
        <w:rPr>
          <w:rFonts w:ascii="Arial" w:hAnsi="Arial" w:cs="Arial"/>
        </w:rPr>
        <w:t>issue</w:t>
      </w:r>
      <w:r w:rsidR="00E651FA">
        <w:rPr>
          <w:rFonts w:ascii="Arial" w:hAnsi="Arial" w:cs="Arial"/>
        </w:rPr>
        <w:t xml:space="preserve"> </w:t>
      </w:r>
      <w:r w:rsidR="00DD3EA0">
        <w:rPr>
          <w:rFonts w:ascii="Arial" w:hAnsi="Arial" w:cs="Arial"/>
        </w:rPr>
        <w:t>was premised</w:t>
      </w:r>
      <w:r w:rsidR="00E651FA">
        <w:rPr>
          <w:rFonts w:ascii="Arial" w:hAnsi="Arial" w:cs="Arial"/>
        </w:rPr>
        <w:t xml:space="preserve"> on the argument that from the evidence adduced by the plaintiff, there is no evidence that the money paid in respect of the furniture and inventory was </w:t>
      </w:r>
      <w:r w:rsidR="00A66B34">
        <w:rPr>
          <w:rFonts w:ascii="Arial" w:hAnsi="Arial" w:cs="Arial"/>
        </w:rPr>
        <w:t>paid directly by</w:t>
      </w:r>
      <w:r w:rsidR="00E651FA">
        <w:rPr>
          <w:rFonts w:ascii="Arial" w:hAnsi="Arial" w:cs="Arial"/>
        </w:rPr>
        <w:t xml:space="preserve"> the plaintiff. It was accordingly argued that in the abs</w:t>
      </w:r>
      <w:r w:rsidR="00D32F9E">
        <w:rPr>
          <w:rFonts w:ascii="Arial" w:hAnsi="Arial" w:cs="Arial"/>
        </w:rPr>
        <w:t>ence of evidence that it was the plaintiff</w:t>
      </w:r>
      <w:r w:rsidR="00E651FA">
        <w:rPr>
          <w:rFonts w:ascii="Arial" w:hAnsi="Arial" w:cs="Arial"/>
        </w:rPr>
        <w:t xml:space="preserve"> and </w:t>
      </w:r>
      <w:proofErr w:type="spellStart"/>
      <w:r w:rsidR="00E651FA">
        <w:rPr>
          <w:rFonts w:ascii="Arial" w:hAnsi="Arial" w:cs="Arial"/>
        </w:rPr>
        <w:t>not</w:t>
      </w:r>
      <w:proofErr w:type="spellEnd"/>
      <w:r w:rsidR="00E651FA">
        <w:rPr>
          <w:rFonts w:ascii="Arial" w:hAnsi="Arial" w:cs="Arial"/>
        </w:rPr>
        <w:t xml:space="preserve"> other par</w:t>
      </w:r>
      <w:r w:rsidR="00A66B34">
        <w:rPr>
          <w:rFonts w:ascii="Arial" w:hAnsi="Arial" w:cs="Arial"/>
        </w:rPr>
        <w:t>ties on his behalf, who did so</w:t>
      </w:r>
      <w:r w:rsidR="00DD3EA0">
        <w:rPr>
          <w:rFonts w:ascii="Arial" w:hAnsi="Arial" w:cs="Arial"/>
        </w:rPr>
        <w:t xml:space="preserve"> then</w:t>
      </w:r>
      <w:r w:rsidR="00E651FA">
        <w:rPr>
          <w:rFonts w:ascii="Arial" w:hAnsi="Arial" w:cs="Arial"/>
        </w:rPr>
        <w:t xml:space="preserve"> the plaintiff</w:t>
      </w:r>
      <w:r w:rsidR="00A66B34">
        <w:rPr>
          <w:rFonts w:ascii="Arial" w:hAnsi="Arial" w:cs="Arial"/>
        </w:rPr>
        <w:t>,</w:t>
      </w:r>
      <w:r w:rsidR="00E651FA">
        <w:rPr>
          <w:rFonts w:ascii="Arial" w:hAnsi="Arial" w:cs="Arial"/>
        </w:rPr>
        <w:t xml:space="preserve"> should be non-suited therefor. In this regard, reliance was placed on the cases of </w:t>
      </w:r>
      <w:r w:rsidR="00E651FA">
        <w:rPr>
          <w:rFonts w:ascii="Arial" w:hAnsi="Arial" w:cs="Arial"/>
          <w:i/>
        </w:rPr>
        <w:t>Mars Inc</w:t>
      </w:r>
      <w:r w:rsidR="008C039F">
        <w:rPr>
          <w:rFonts w:ascii="Arial" w:hAnsi="Arial" w:cs="Arial"/>
          <w:i/>
        </w:rPr>
        <w:t>.</w:t>
      </w:r>
      <w:r w:rsidR="00E651FA">
        <w:rPr>
          <w:rFonts w:ascii="Arial" w:hAnsi="Arial" w:cs="Arial"/>
          <w:i/>
        </w:rPr>
        <w:t xml:space="preserve"> v Candy World (Pty) Ltd</w:t>
      </w:r>
      <w:r w:rsidR="00E651FA">
        <w:rPr>
          <w:rStyle w:val="FootnoteReference"/>
          <w:rFonts w:ascii="Arial" w:hAnsi="Arial" w:cs="Arial"/>
          <w:i/>
        </w:rPr>
        <w:footnoteReference w:id="3"/>
      </w:r>
      <w:r w:rsidR="00E651FA">
        <w:rPr>
          <w:rFonts w:ascii="Arial" w:hAnsi="Arial" w:cs="Arial"/>
        </w:rPr>
        <w:t xml:space="preserve"> and </w:t>
      </w:r>
      <w:proofErr w:type="spellStart"/>
      <w:r w:rsidR="00E651FA">
        <w:rPr>
          <w:rFonts w:ascii="Arial" w:hAnsi="Arial" w:cs="Arial"/>
          <w:i/>
        </w:rPr>
        <w:t>Kommissaris</w:t>
      </w:r>
      <w:proofErr w:type="spellEnd"/>
      <w:r w:rsidR="00E651FA">
        <w:rPr>
          <w:rFonts w:ascii="Arial" w:hAnsi="Arial" w:cs="Arial"/>
          <w:i/>
        </w:rPr>
        <w:t xml:space="preserve"> van </w:t>
      </w:r>
      <w:proofErr w:type="spellStart"/>
      <w:r w:rsidR="00E651FA">
        <w:rPr>
          <w:rFonts w:ascii="Arial" w:hAnsi="Arial" w:cs="Arial"/>
          <w:i/>
        </w:rPr>
        <w:t>Binnelandse</w:t>
      </w:r>
      <w:proofErr w:type="spellEnd"/>
      <w:r w:rsidR="00E651FA">
        <w:rPr>
          <w:rFonts w:ascii="Arial" w:hAnsi="Arial" w:cs="Arial"/>
          <w:i/>
        </w:rPr>
        <w:t xml:space="preserve"> </w:t>
      </w:r>
      <w:proofErr w:type="spellStart"/>
      <w:r w:rsidR="00E651FA">
        <w:rPr>
          <w:rFonts w:ascii="Arial" w:hAnsi="Arial" w:cs="Arial"/>
          <w:i/>
        </w:rPr>
        <w:t>Inkomste</w:t>
      </w:r>
      <w:proofErr w:type="spellEnd"/>
      <w:r w:rsidR="00E651FA">
        <w:rPr>
          <w:rFonts w:ascii="Arial" w:hAnsi="Arial" w:cs="Arial"/>
          <w:i/>
        </w:rPr>
        <w:t xml:space="preserve"> v Van der </w:t>
      </w:r>
      <w:proofErr w:type="spellStart"/>
      <w:r w:rsidR="00E651FA">
        <w:rPr>
          <w:rFonts w:ascii="Arial" w:hAnsi="Arial" w:cs="Arial"/>
          <w:i/>
        </w:rPr>
        <w:t>Heever</w:t>
      </w:r>
      <w:proofErr w:type="spellEnd"/>
      <w:r w:rsidR="00E651FA">
        <w:rPr>
          <w:rFonts w:ascii="Arial" w:hAnsi="Arial" w:cs="Arial"/>
          <w:i/>
        </w:rPr>
        <w:t>.</w:t>
      </w:r>
      <w:r w:rsidR="00E651FA">
        <w:rPr>
          <w:rStyle w:val="FootnoteReference"/>
          <w:rFonts w:ascii="Arial" w:hAnsi="Arial" w:cs="Arial"/>
          <w:i/>
        </w:rPr>
        <w:footnoteReference w:id="4"/>
      </w:r>
    </w:p>
    <w:p w14:paraId="24878688" w14:textId="77777777" w:rsidR="00E651FA" w:rsidRDefault="00E651FA" w:rsidP="00686C0F">
      <w:pPr>
        <w:spacing w:line="360" w:lineRule="auto"/>
        <w:ind w:left="360"/>
        <w:jc w:val="both"/>
        <w:rPr>
          <w:rFonts w:ascii="Arial" w:hAnsi="Arial" w:cs="Arial"/>
          <w:i/>
        </w:rPr>
      </w:pPr>
    </w:p>
    <w:p w14:paraId="76061860" w14:textId="40D75349" w:rsidR="007E58C5" w:rsidRDefault="00240AF7" w:rsidP="00240AF7">
      <w:pPr>
        <w:spacing w:line="360" w:lineRule="auto"/>
        <w:jc w:val="both"/>
        <w:rPr>
          <w:rFonts w:ascii="Arial" w:hAnsi="Arial" w:cs="Arial"/>
        </w:rPr>
      </w:pPr>
      <w:r>
        <w:rPr>
          <w:rFonts w:ascii="Arial" w:hAnsi="Arial" w:cs="Arial"/>
        </w:rPr>
        <w:t>[</w:t>
      </w:r>
      <w:r w:rsidR="00E651FA">
        <w:rPr>
          <w:rFonts w:ascii="Arial" w:hAnsi="Arial" w:cs="Arial"/>
        </w:rPr>
        <w:t>5</w:t>
      </w:r>
      <w:r w:rsidR="00A91890">
        <w:rPr>
          <w:rFonts w:ascii="Arial" w:hAnsi="Arial" w:cs="Arial"/>
        </w:rPr>
        <w:t>4</w:t>
      </w:r>
      <w:r w:rsidR="00A760B7">
        <w:rPr>
          <w:rFonts w:ascii="Arial" w:hAnsi="Arial" w:cs="Arial"/>
        </w:rPr>
        <w:t>]</w:t>
      </w:r>
      <w:r w:rsidR="00A760B7">
        <w:rPr>
          <w:rFonts w:ascii="Arial" w:hAnsi="Arial" w:cs="Arial"/>
        </w:rPr>
        <w:tab/>
        <w:t>Ms</w:t>
      </w:r>
      <w:r w:rsidR="00E651FA">
        <w:rPr>
          <w:rFonts w:ascii="Arial" w:hAnsi="Arial" w:cs="Arial"/>
        </w:rPr>
        <w:t xml:space="preserve"> De </w:t>
      </w:r>
      <w:proofErr w:type="spellStart"/>
      <w:r w:rsidR="00E651FA">
        <w:rPr>
          <w:rFonts w:ascii="Arial" w:hAnsi="Arial" w:cs="Arial"/>
        </w:rPr>
        <w:t>Jager</w:t>
      </w:r>
      <w:proofErr w:type="spellEnd"/>
      <w:r w:rsidR="00E651FA">
        <w:rPr>
          <w:rFonts w:ascii="Arial" w:hAnsi="Arial" w:cs="Arial"/>
        </w:rPr>
        <w:t>, for her pa</w:t>
      </w:r>
      <w:r w:rsidR="00A66B34">
        <w:rPr>
          <w:rFonts w:ascii="Arial" w:hAnsi="Arial" w:cs="Arial"/>
        </w:rPr>
        <w:t>rt, attacked the validity of this</w:t>
      </w:r>
      <w:r w:rsidR="00E651FA">
        <w:rPr>
          <w:rFonts w:ascii="Arial" w:hAnsi="Arial" w:cs="Arial"/>
        </w:rPr>
        <w:t xml:space="preserve"> point </w:t>
      </w:r>
      <w:r w:rsidR="00E651FA">
        <w:rPr>
          <w:rFonts w:ascii="Arial" w:hAnsi="Arial" w:cs="Arial"/>
          <w:i/>
        </w:rPr>
        <w:t xml:space="preserve">in </w:t>
      </w:r>
      <w:proofErr w:type="spellStart"/>
      <w:r w:rsidR="00E651FA">
        <w:rPr>
          <w:rFonts w:ascii="Arial" w:hAnsi="Arial" w:cs="Arial"/>
          <w:i/>
        </w:rPr>
        <w:t>limine</w:t>
      </w:r>
      <w:proofErr w:type="spellEnd"/>
      <w:r w:rsidR="00E651FA">
        <w:rPr>
          <w:rFonts w:ascii="Arial" w:hAnsi="Arial" w:cs="Arial"/>
          <w:i/>
        </w:rPr>
        <w:t xml:space="preserve"> </w:t>
      </w:r>
      <w:r w:rsidR="00E651FA">
        <w:rPr>
          <w:rFonts w:ascii="Arial" w:hAnsi="Arial" w:cs="Arial"/>
        </w:rPr>
        <w:t xml:space="preserve">on the basis that it should not be entertained at all by the court. Two particular reasons were raised in support of this </w:t>
      </w:r>
      <w:r w:rsidR="00A66B34">
        <w:rPr>
          <w:rFonts w:ascii="Arial" w:hAnsi="Arial" w:cs="Arial"/>
        </w:rPr>
        <w:t>pro</w:t>
      </w:r>
      <w:r w:rsidR="00E651FA">
        <w:rPr>
          <w:rFonts w:ascii="Arial" w:hAnsi="Arial" w:cs="Arial"/>
        </w:rPr>
        <w:t>position. First, it was argued on the plaintiff’s behalf that this issue has, like a mushroom plant, just emerged</w:t>
      </w:r>
      <w:r w:rsidR="00FC6013">
        <w:rPr>
          <w:rFonts w:ascii="Arial" w:hAnsi="Arial" w:cs="Arial"/>
        </w:rPr>
        <w:t>, without notice,</w:t>
      </w:r>
      <w:r w:rsidR="00E651FA">
        <w:rPr>
          <w:rFonts w:ascii="Arial" w:hAnsi="Arial" w:cs="Arial"/>
        </w:rPr>
        <w:t xml:space="preserve"> at the stage of making final submissions. It was argued that the issue was not identified as an issue for determination in the pre-trial order. Secondly, it was submitted on the plaintiff’s behalf that </w:t>
      </w:r>
      <w:r w:rsidR="007E58C5">
        <w:rPr>
          <w:rFonts w:ascii="Arial" w:hAnsi="Arial" w:cs="Arial"/>
        </w:rPr>
        <w:t>to make an already bad situation worse, this issue was not even raised in the pleadings, specifically in the defendants’ plea.</w:t>
      </w:r>
    </w:p>
    <w:p w14:paraId="16BCE572" w14:textId="77777777" w:rsidR="007E58C5" w:rsidRDefault="007E58C5" w:rsidP="00686C0F">
      <w:pPr>
        <w:spacing w:line="360" w:lineRule="auto"/>
        <w:ind w:left="360"/>
        <w:jc w:val="both"/>
        <w:rPr>
          <w:rFonts w:ascii="Arial" w:hAnsi="Arial" w:cs="Arial"/>
        </w:rPr>
      </w:pPr>
    </w:p>
    <w:p w14:paraId="57EE4AF9" w14:textId="5E458A89" w:rsidR="00FC6013" w:rsidRDefault="00A91890" w:rsidP="00240AF7">
      <w:pPr>
        <w:spacing w:line="360" w:lineRule="auto"/>
        <w:jc w:val="both"/>
        <w:rPr>
          <w:rFonts w:ascii="Arial" w:hAnsi="Arial" w:cs="Arial"/>
        </w:rPr>
      </w:pPr>
      <w:r>
        <w:rPr>
          <w:rFonts w:ascii="Arial" w:hAnsi="Arial" w:cs="Arial"/>
        </w:rPr>
        <w:t>[55</w:t>
      </w:r>
      <w:r w:rsidR="007E58C5">
        <w:rPr>
          <w:rFonts w:ascii="Arial" w:hAnsi="Arial" w:cs="Arial"/>
        </w:rPr>
        <w:t>]</w:t>
      </w:r>
      <w:r w:rsidR="007E58C5">
        <w:rPr>
          <w:rFonts w:ascii="Arial" w:hAnsi="Arial" w:cs="Arial"/>
        </w:rPr>
        <w:tab/>
        <w:t>I wish to deal with the plaintiff’s first a</w:t>
      </w:r>
      <w:r w:rsidR="00F56D97">
        <w:rPr>
          <w:rFonts w:ascii="Arial" w:hAnsi="Arial" w:cs="Arial"/>
        </w:rPr>
        <w:t>rgument first. In this regard, i</w:t>
      </w:r>
      <w:r w:rsidR="007E58C5">
        <w:rPr>
          <w:rFonts w:ascii="Arial" w:hAnsi="Arial" w:cs="Arial"/>
        </w:rPr>
        <w:t>t is vitally important to revisit the nature and function of a pre-trial report made by t</w:t>
      </w:r>
      <w:r w:rsidR="00237B63">
        <w:rPr>
          <w:rFonts w:ascii="Arial" w:hAnsi="Arial" w:cs="Arial"/>
        </w:rPr>
        <w:t xml:space="preserve">he parties, which </w:t>
      </w:r>
      <w:r w:rsidR="00FC6013">
        <w:rPr>
          <w:rFonts w:ascii="Arial" w:hAnsi="Arial" w:cs="Arial"/>
        </w:rPr>
        <w:t xml:space="preserve">in this case </w:t>
      </w:r>
      <w:r w:rsidR="00237B63">
        <w:rPr>
          <w:rFonts w:ascii="Arial" w:hAnsi="Arial" w:cs="Arial"/>
        </w:rPr>
        <w:t>metamorphosed</w:t>
      </w:r>
      <w:r w:rsidR="007E58C5">
        <w:rPr>
          <w:rFonts w:ascii="Arial" w:hAnsi="Arial" w:cs="Arial"/>
        </w:rPr>
        <w:t xml:space="preserve"> int</w:t>
      </w:r>
      <w:r w:rsidR="00D32F9E">
        <w:rPr>
          <w:rFonts w:ascii="Arial" w:hAnsi="Arial" w:cs="Arial"/>
        </w:rPr>
        <w:t>o a pre-trial order, once it had</w:t>
      </w:r>
      <w:r w:rsidR="007E58C5">
        <w:rPr>
          <w:rFonts w:ascii="Arial" w:hAnsi="Arial" w:cs="Arial"/>
        </w:rPr>
        <w:t xml:space="preserve"> gained the court’s imprimatur, with or without amendments effected or ordered by the court. I </w:t>
      </w:r>
      <w:r w:rsidR="00A760B7">
        <w:rPr>
          <w:rFonts w:ascii="Arial" w:hAnsi="Arial" w:cs="Arial"/>
        </w:rPr>
        <w:t>deal with this issue because Mr</w:t>
      </w:r>
      <w:r w:rsidR="007E58C5">
        <w:rPr>
          <w:rFonts w:ascii="Arial" w:hAnsi="Arial" w:cs="Arial"/>
        </w:rPr>
        <w:t xml:space="preserve"> Brandt did not deny, nor could he properly deny that this issue was not raised in the pre-trial order</w:t>
      </w:r>
      <w:r w:rsidR="00FC6013">
        <w:rPr>
          <w:rFonts w:ascii="Arial" w:hAnsi="Arial" w:cs="Arial"/>
        </w:rPr>
        <w:t xml:space="preserve"> as one in contention</w:t>
      </w:r>
      <w:r w:rsidR="007E58C5">
        <w:rPr>
          <w:rFonts w:ascii="Arial" w:hAnsi="Arial" w:cs="Arial"/>
        </w:rPr>
        <w:t xml:space="preserve">. </w:t>
      </w:r>
    </w:p>
    <w:p w14:paraId="1FBCBDF1" w14:textId="77777777" w:rsidR="00FC6013" w:rsidRDefault="00FC6013" w:rsidP="00686C0F">
      <w:pPr>
        <w:spacing w:line="360" w:lineRule="auto"/>
        <w:ind w:left="360"/>
        <w:jc w:val="both"/>
        <w:rPr>
          <w:rFonts w:ascii="Arial" w:hAnsi="Arial" w:cs="Arial"/>
        </w:rPr>
      </w:pPr>
    </w:p>
    <w:p w14:paraId="46FDCBE1" w14:textId="2E71D2D7" w:rsidR="00E651FA" w:rsidRDefault="00FC6013" w:rsidP="00240AF7">
      <w:pPr>
        <w:spacing w:line="360" w:lineRule="auto"/>
        <w:jc w:val="both"/>
        <w:rPr>
          <w:rFonts w:ascii="Arial" w:hAnsi="Arial" w:cs="Arial"/>
        </w:rPr>
      </w:pPr>
      <w:r>
        <w:rPr>
          <w:rFonts w:ascii="Arial" w:hAnsi="Arial" w:cs="Arial"/>
        </w:rPr>
        <w:lastRenderedPageBreak/>
        <w:t>[</w:t>
      </w:r>
      <w:r w:rsidR="00A91890">
        <w:rPr>
          <w:rFonts w:ascii="Arial" w:hAnsi="Arial" w:cs="Arial"/>
        </w:rPr>
        <w:t>56</w:t>
      </w:r>
      <w:r>
        <w:rPr>
          <w:rFonts w:ascii="Arial" w:hAnsi="Arial" w:cs="Arial"/>
        </w:rPr>
        <w:t>]</w:t>
      </w:r>
      <w:r>
        <w:rPr>
          <w:rFonts w:ascii="Arial" w:hAnsi="Arial" w:cs="Arial"/>
        </w:rPr>
        <w:tab/>
      </w:r>
      <w:r w:rsidR="007E58C5">
        <w:rPr>
          <w:rFonts w:ascii="Arial" w:hAnsi="Arial" w:cs="Arial"/>
        </w:rPr>
        <w:t xml:space="preserve">In this regard, I have stated some of the most important issues that were identified by the parties and subsequently endorsed by the court as issues for determination. I hereby confirm that the issue of </w:t>
      </w:r>
      <w:r w:rsidR="007E58C5">
        <w:rPr>
          <w:rFonts w:ascii="Arial" w:hAnsi="Arial" w:cs="Arial"/>
          <w:i/>
        </w:rPr>
        <w:t xml:space="preserve">locus </w:t>
      </w:r>
      <w:proofErr w:type="spellStart"/>
      <w:r w:rsidR="007E58C5">
        <w:rPr>
          <w:rFonts w:ascii="Arial" w:hAnsi="Arial" w:cs="Arial"/>
          <w:i/>
        </w:rPr>
        <w:t>standi</w:t>
      </w:r>
      <w:proofErr w:type="spellEnd"/>
      <w:r w:rsidR="007E58C5">
        <w:rPr>
          <w:rFonts w:ascii="Arial" w:hAnsi="Arial" w:cs="Arial"/>
          <w:i/>
        </w:rPr>
        <w:t xml:space="preserve"> </w:t>
      </w:r>
      <w:r w:rsidR="007E58C5">
        <w:rPr>
          <w:rFonts w:ascii="Arial" w:hAnsi="Arial" w:cs="Arial"/>
        </w:rPr>
        <w:t xml:space="preserve">is starkly absent from the pre-trial order. What is the effect of this? May a party, arrogate upon itself the right to deal with this issue notwithstanding that it was not included in the pre-trial order?  </w:t>
      </w:r>
    </w:p>
    <w:p w14:paraId="501B1562" w14:textId="77777777" w:rsidR="00237B63" w:rsidRDefault="00237B63" w:rsidP="00686C0F">
      <w:pPr>
        <w:spacing w:line="360" w:lineRule="auto"/>
        <w:ind w:left="360"/>
        <w:jc w:val="both"/>
        <w:rPr>
          <w:rFonts w:ascii="Arial" w:hAnsi="Arial" w:cs="Arial"/>
        </w:rPr>
      </w:pPr>
    </w:p>
    <w:p w14:paraId="7B39E780" w14:textId="5600014C" w:rsidR="00237B63" w:rsidRDefault="00A91890" w:rsidP="00240AF7">
      <w:pPr>
        <w:spacing w:line="360" w:lineRule="auto"/>
        <w:jc w:val="both"/>
        <w:rPr>
          <w:rFonts w:ascii="Arial" w:hAnsi="Arial" w:cs="Arial"/>
        </w:rPr>
      </w:pPr>
      <w:r>
        <w:rPr>
          <w:rFonts w:ascii="Arial" w:hAnsi="Arial" w:cs="Arial"/>
        </w:rPr>
        <w:t>[57</w:t>
      </w:r>
      <w:r w:rsidR="00237B63">
        <w:rPr>
          <w:rFonts w:ascii="Arial" w:hAnsi="Arial" w:cs="Arial"/>
        </w:rPr>
        <w:t>]</w:t>
      </w:r>
      <w:r w:rsidR="00237B63">
        <w:rPr>
          <w:rFonts w:ascii="Arial" w:hAnsi="Arial" w:cs="Arial"/>
        </w:rPr>
        <w:tab/>
        <w:t xml:space="preserve">This very question has recently been dealt with in the case of </w:t>
      </w:r>
      <w:r w:rsidR="00237B63">
        <w:rPr>
          <w:rFonts w:ascii="Arial" w:hAnsi="Arial" w:cs="Arial"/>
          <w:i/>
        </w:rPr>
        <w:t xml:space="preserve">The Board of Incorporators of the African Methodist Episcopal Church and Two Others v </w:t>
      </w:r>
      <w:proofErr w:type="spellStart"/>
      <w:r w:rsidR="00237B63">
        <w:rPr>
          <w:rFonts w:ascii="Arial" w:hAnsi="Arial" w:cs="Arial"/>
          <w:i/>
        </w:rPr>
        <w:t>Petrus</w:t>
      </w:r>
      <w:proofErr w:type="spellEnd"/>
      <w:r w:rsidR="00237B63">
        <w:rPr>
          <w:rFonts w:ascii="Arial" w:hAnsi="Arial" w:cs="Arial"/>
          <w:i/>
        </w:rPr>
        <w:t xml:space="preserve"> Simon Moses </w:t>
      </w:r>
      <w:proofErr w:type="spellStart"/>
      <w:r w:rsidR="00237B63">
        <w:rPr>
          <w:rFonts w:ascii="Arial" w:hAnsi="Arial" w:cs="Arial"/>
          <w:i/>
        </w:rPr>
        <w:t>Kooper</w:t>
      </w:r>
      <w:proofErr w:type="spellEnd"/>
      <w:r w:rsidR="00237B63">
        <w:rPr>
          <w:rFonts w:ascii="Arial" w:hAnsi="Arial" w:cs="Arial"/>
          <w:i/>
        </w:rPr>
        <w:t xml:space="preserve"> and Three Others</w:t>
      </w:r>
      <w:r w:rsidR="00237B63">
        <w:rPr>
          <w:rStyle w:val="FootnoteReference"/>
          <w:rFonts w:ascii="Arial" w:hAnsi="Arial" w:cs="Arial"/>
          <w:i/>
        </w:rPr>
        <w:footnoteReference w:id="5"/>
      </w:r>
      <w:r w:rsidR="00237B63">
        <w:rPr>
          <w:rFonts w:ascii="Arial" w:hAnsi="Arial" w:cs="Arial"/>
          <w:i/>
        </w:rPr>
        <w:t>,</w:t>
      </w:r>
      <w:r w:rsidR="00237B63">
        <w:rPr>
          <w:rFonts w:ascii="Arial" w:hAnsi="Arial" w:cs="Arial"/>
        </w:rPr>
        <w:t xml:space="preserve"> which can be said to be hot from the oven as it were. In that case, the court placed heavy reliance on sentiments powerfully expressed by Smuts J in </w:t>
      </w:r>
      <w:proofErr w:type="spellStart"/>
      <w:r w:rsidR="00237B63">
        <w:rPr>
          <w:rFonts w:ascii="Arial" w:hAnsi="Arial" w:cs="Arial"/>
          <w:i/>
        </w:rPr>
        <w:t>Scania</w:t>
      </w:r>
      <w:proofErr w:type="spellEnd"/>
      <w:r w:rsidR="00237B63">
        <w:rPr>
          <w:rFonts w:ascii="Arial" w:hAnsi="Arial" w:cs="Arial"/>
          <w:i/>
        </w:rPr>
        <w:t xml:space="preserve"> Finance Southern Africa (Pty) Ltd v Aggressive Transport CC,</w:t>
      </w:r>
      <w:r w:rsidR="00237B63">
        <w:rPr>
          <w:rStyle w:val="FootnoteReference"/>
          <w:rFonts w:ascii="Arial" w:hAnsi="Arial" w:cs="Arial"/>
          <w:i/>
        </w:rPr>
        <w:footnoteReference w:id="6"/>
      </w:r>
      <w:r w:rsidR="00237B63">
        <w:rPr>
          <w:rFonts w:ascii="Arial" w:hAnsi="Arial" w:cs="Arial"/>
        </w:rPr>
        <w:t xml:space="preserve"> where the learned Judge dealt with the pedestal in which pre-trial orders deserve to be placed in litigation.</w:t>
      </w:r>
    </w:p>
    <w:p w14:paraId="139A1824" w14:textId="77777777" w:rsidR="00237B63" w:rsidRDefault="00237B63" w:rsidP="00686C0F">
      <w:pPr>
        <w:spacing w:line="360" w:lineRule="auto"/>
        <w:ind w:left="360"/>
        <w:jc w:val="both"/>
        <w:rPr>
          <w:rFonts w:ascii="Arial" w:hAnsi="Arial" w:cs="Arial"/>
        </w:rPr>
      </w:pPr>
    </w:p>
    <w:p w14:paraId="199CD940" w14:textId="50C68A50" w:rsidR="00237B63" w:rsidRDefault="00A91890" w:rsidP="00240AF7">
      <w:pPr>
        <w:spacing w:line="360" w:lineRule="auto"/>
        <w:jc w:val="both"/>
        <w:rPr>
          <w:rFonts w:ascii="Arial" w:hAnsi="Arial" w:cs="Arial"/>
        </w:rPr>
      </w:pPr>
      <w:r>
        <w:rPr>
          <w:rFonts w:ascii="Arial" w:hAnsi="Arial" w:cs="Arial"/>
        </w:rPr>
        <w:t>[58</w:t>
      </w:r>
      <w:r w:rsidR="00237B63">
        <w:rPr>
          <w:rFonts w:ascii="Arial" w:hAnsi="Arial" w:cs="Arial"/>
        </w:rPr>
        <w:t>]</w:t>
      </w:r>
      <w:r w:rsidR="00237B63">
        <w:rPr>
          <w:rFonts w:ascii="Arial" w:hAnsi="Arial" w:cs="Arial"/>
        </w:rPr>
        <w:tab/>
        <w:t>The learned Judge commented on the matter as follows:</w:t>
      </w:r>
    </w:p>
    <w:p w14:paraId="0FC71DB0" w14:textId="77777777" w:rsidR="00237B63" w:rsidRDefault="00237B63" w:rsidP="00686C0F">
      <w:pPr>
        <w:spacing w:line="360" w:lineRule="auto"/>
        <w:ind w:left="360"/>
        <w:jc w:val="both"/>
        <w:rPr>
          <w:rFonts w:ascii="Arial" w:hAnsi="Arial" w:cs="Arial"/>
        </w:rPr>
      </w:pPr>
    </w:p>
    <w:p w14:paraId="58AA2E80" w14:textId="7AE6A56C" w:rsidR="00D14BE1" w:rsidRDefault="00237B63" w:rsidP="000959DA">
      <w:pPr>
        <w:spacing w:line="360" w:lineRule="auto"/>
        <w:jc w:val="both"/>
        <w:rPr>
          <w:rFonts w:ascii="Arial" w:hAnsi="Arial" w:cs="Arial"/>
        </w:rPr>
      </w:pPr>
      <w:r>
        <w:rPr>
          <w:rFonts w:ascii="Arial" w:hAnsi="Arial" w:cs="Arial"/>
        </w:rPr>
        <w:t>‘</w:t>
      </w:r>
      <w:r>
        <w:rPr>
          <w:rFonts w:ascii="Arial" w:hAnsi="Arial" w:cs="Arial"/>
          <w:sz w:val="22"/>
          <w:szCs w:val="22"/>
        </w:rPr>
        <w:t xml:space="preserve">This approach has now been trenchantly reinforced by rule 37(14) when a matter is subject of case management and for good reason. The parties have after all agreed upon the issues of fact and law to be resolved during the trial and which facts are not to be disputed. That agreement, as occurred in this matter, is then made an order of court. </w:t>
      </w:r>
      <w:r>
        <w:rPr>
          <w:rFonts w:ascii="Arial" w:hAnsi="Arial" w:cs="Arial"/>
          <w:sz w:val="22"/>
          <w:szCs w:val="22"/>
          <w:u w:val="single"/>
        </w:rPr>
        <w:t xml:space="preserve">Plainly, litigants are bound by the elections they make when agreeing upon which issues of fact and law are to be resolved during the trial and which relevant facts are not in dispute when preparing their draft pre-trial order. It is, after all an agreement to confine the </w:t>
      </w:r>
      <w:r w:rsidR="00920FFD">
        <w:rPr>
          <w:rFonts w:ascii="Arial" w:hAnsi="Arial" w:cs="Arial"/>
          <w:sz w:val="22"/>
          <w:szCs w:val="22"/>
          <w:u w:val="single"/>
        </w:rPr>
        <w:t>issues, which</w:t>
      </w:r>
      <w:r>
        <w:rPr>
          <w:rFonts w:ascii="Arial" w:hAnsi="Arial" w:cs="Arial"/>
          <w:sz w:val="22"/>
          <w:szCs w:val="22"/>
          <w:u w:val="single"/>
        </w:rPr>
        <w:t xml:space="preserve"> is binding upon them from which they cannot </w:t>
      </w:r>
      <w:proofErr w:type="spellStart"/>
      <w:r>
        <w:rPr>
          <w:rFonts w:ascii="Arial" w:hAnsi="Arial" w:cs="Arial"/>
          <w:sz w:val="22"/>
          <w:szCs w:val="22"/>
          <w:u w:val="single"/>
        </w:rPr>
        <w:t>resile</w:t>
      </w:r>
      <w:proofErr w:type="spellEnd"/>
      <w:r>
        <w:rPr>
          <w:rFonts w:ascii="Arial" w:hAnsi="Arial" w:cs="Arial"/>
          <w:sz w:val="22"/>
          <w:szCs w:val="22"/>
          <w:u w:val="single"/>
        </w:rPr>
        <w:t xml:space="preserve"> unless upon good cause shown. It is for this reason that the rule-giver included rule 37(14). To permit parties without a compelling and persuasive explanation to undo their concurrence to confine issues would fundamentally undermine the objectives of case management. </w:t>
      </w:r>
      <w:r w:rsidRPr="00D14BE1">
        <w:rPr>
          <w:rFonts w:ascii="Arial" w:hAnsi="Arial" w:cs="Arial"/>
          <w:sz w:val="22"/>
          <w:szCs w:val="22"/>
        </w:rPr>
        <w:t>It would cause delays and the unnecessary expense of an application and compromise the efficient use of available judi</w:t>
      </w:r>
      <w:r w:rsidR="00D14BE1" w:rsidRPr="00D14BE1">
        <w:rPr>
          <w:rFonts w:ascii="Arial" w:hAnsi="Arial" w:cs="Arial"/>
          <w:sz w:val="22"/>
          <w:szCs w:val="22"/>
        </w:rPr>
        <w:t>cial resources and unduly lengthen proceedings with the consequent cost implications for the parties and the administration of justice.</w:t>
      </w:r>
      <w:r w:rsidRPr="00D14BE1">
        <w:rPr>
          <w:rFonts w:ascii="Arial" w:hAnsi="Arial" w:cs="Arial"/>
          <w:sz w:val="22"/>
          <w:szCs w:val="22"/>
        </w:rPr>
        <w:t xml:space="preserve"> </w:t>
      </w:r>
      <w:r w:rsidR="00B517F3">
        <w:rPr>
          <w:rFonts w:ascii="Arial" w:hAnsi="Arial" w:cs="Arial"/>
        </w:rPr>
        <w:t>(Emphasis added).</w:t>
      </w:r>
    </w:p>
    <w:p w14:paraId="7B587F64" w14:textId="77777777" w:rsidR="00A41B98" w:rsidRDefault="00A41B98" w:rsidP="00240AF7">
      <w:pPr>
        <w:spacing w:line="360" w:lineRule="auto"/>
        <w:ind w:firstLine="360"/>
        <w:jc w:val="both"/>
        <w:rPr>
          <w:rFonts w:ascii="Arial" w:hAnsi="Arial" w:cs="Arial"/>
        </w:rPr>
      </w:pPr>
    </w:p>
    <w:p w14:paraId="00B0885B" w14:textId="18CEC6D1" w:rsidR="00D14BE1" w:rsidRDefault="00A91890" w:rsidP="00240AF7">
      <w:pPr>
        <w:spacing w:line="360" w:lineRule="auto"/>
        <w:jc w:val="both"/>
        <w:rPr>
          <w:rFonts w:ascii="Arial" w:hAnsi="Arial" w:cs="Arial"/>
        </w:rPr>
      </w:pPr>
      <w:r>
        <w:rPr>
          <w:rFonts w:ascii="Arial" w:hAnsi="Arial" w:cs="Arial"/>
        </w:rPr>
        <w:lastRenderedPageBreak/>
        <w:t>[59</w:t>
      </w:r>
      <w:r w:rsidR="00D14BE1">
        <w:rPr>
          <w:rFonts w:ascii="Arial" w:hAnsi="Arial" w:cs="Arial"/>
        </w:rPr>
        <w:t>]</w:t>
      </w:r>
      <w:r w:rsidR="00D14BE1">
        <w:rPr>
          <w:rFonts w:ascii="Arial" w:hAnsi="Arial" w:cs="Arial"/>
        </w:rPr>
        <w:tab/>
        <w:t>It is clear that the circumstances of t</w:t>
      </w:r>
      <w:r w:rsidR="00D32F9E">
        <w:rPr>
          <w:rFonts w:ascii="Arial" w:hAnsi="Arial" w:cs="Arial"/>
        </w:rPr>
        <w:t>his case are not on all fours with</w:t>
      </w:r>
      <w:r w:rsidR="00D14BE1">
        <w:rPr>
          <w:rFonts w:ascii="Arial" w:hAnsi="Arial" w:cs="Arial"/>
        </w:rPr>
        <w:t xml:space="preserve"> the matter before Smuts J. There is no attempt</w:t>
      </w:r>
      <w:r w:rsidR="00FC6013">
        <w:rPr>
          <w:rFonts w:ascii="Arial" w:hAnsi="Arial" w:cs="Arial"/>
        </w:rPr>
        <w:t>,</w:t>
      </w:r>
      <w:r w:rsidR="00D14BE1">
        <w:rPr>
          <w:rFonts w:ascii="Arial" w:hAnsi="Arial" w:cs="Arial"/>
        </w:rPr>
        <w:t xml:space="preserve"> in this case</w:t>
      </w:r>
      <w:r w:rsidR="00FC6013">
        <w:rPr>
          <w:rFonts w:ascii="Arial" w:hAnsi="Arial" w:cs="Arial"/>
        </w:rPr>
        <w:t>,</w:t>
      </w:r>
      <w:r w:rsidR="00D14BE1">
        <w:rPr>
          <w:rFonts w:ascii="Arial" w:hAnsi="Arial" w:cs="Arial"/>
        </w:rPr>
        <w:t xml:space="preserve"> by the defendants</w:t>
      </w:r>
      <w:r w:rsidR="00FC6013">
        <w:rPr>
          <w:rFonts w:ascii="Arial" w:hAnsi="Arial" w:cs="Arial"/>
        </w:rPr>
        <w:t>,</w:t>
      </w:r>
      <w:r w:rsidR="00D14BE1">
        <w:rPr>
          <w:rFonts w:ascii="Arial" w:hAnsi="Arial" w:cs="Arial"/>
        </w:rPr>
        <w:t xml:space="preserve"> to bring an application or some other judicial proceeding to change or extend the </w:t>
      </w:r>
      <w:r w:rsidR="00D32F9E">
        <w:rPr>
          <w:rFonts w:ascii="Arial" w:hAnsi="Arial" w:cs="Arial"/>
        </w:rPr>
        <w:t xml:space="preserve">reach of the </w:t>
      </w:r>
      <w:r w:rsidR="00D14BE1">
        <w:rPr>
          <w:rFonts w:ascii="Arial" w:hAnsi="Arial" w:cs="Arial"/>
        </w:rPr>
        <w:t>issues for determination. All that they have done, is to totally ignore the pre-trial order and to raise issues at the end of the trial for the first time, thus literally throwing the pre-trial order, to some extent, in the trash basket.</w:t>
      </w:r>
    </w:p>
    <w:p w14:paraId="1A2C8F43" w14:textId="77777777" w:rsidR="00240AF7" w:rsidRDefault="00240AF7" w:rsidP="00240AF7">
      <w:pPr>
        <w:spacing w:line="360" w:lineRule="auto"/>
        <w:jc w:val="both"/>
        <w:rPr>
          <w:rFonts w:ascii="Arial" w:hAnsi="Arial" w:cs="Arial"/>
        </w:rPr>
      </w:pPr>
    </w:p>
    <w:p w14:paraId="33CF9B90" w14:textId="61597154" w:rsidR="00D14BE1" w:rsidRDefault="00A91890" w:rsidP="00240AF7">
      <w:pPr>
        <w:spacing w:line="360" w:lineRule="auto"/>
        <w:jc w:val="both"/>
        <w:rPr>
          <w:rFonts w:ascii="Arial" w:hAnsi="Arial" w:cs="Arial"/>
        </w:rPr>
      </w:pPr>
      <w:r>
        <w:rPr>
          <w:rFonts w:ascii="Arial" w:hAnsi="Arial" w:cs="Arial"/>
        </w:rPr>
        <w:t>[60</w:t>
      </w:r>
      <w:r w:rsidR="00D14BE1">
        <w:rPr>
          <w:rFonts w:ascii="Arial" w:hAnsi="Arial" w:cs="Arial"/>
        </w:rPr>
        <w:t>]</w:t>
      </w:r>
      <w:r w:rsidR="00D14BE1">
        <w:rPr>
          <w:rFonts w:ascii="Arial" w:hAnsi="Arial" w:cs="Arial"/>
        </w:rPr>
        <w:tab/>
        <w:t xml:space="preserve">In dealing with a similar approach in the </w:t>
      </w:r>
      <w:r w:rsidR="00D14BE1">
        <w:rPr>
          <w:rFonts w:ascii="Arial" w:hAnsi="Arial" w:cs="Arial"/>
          <w:i/>
        </w:rPr>
        <w:t xml:space="preserve">Board of Incorporators </w:t>
      </w:r>
      <w:r w:rsidR="00D14BE1">
        <w:rPr>
          <w:rFonts w:ascii="Arial" w:hAnsi="Arial" w:cs="Arial"/>
        </w:rPr>
        <w:t xml:space="preserve">case, </w:t>
      </w:r>
      <w:r w:rsidR="00B517F3">
        <w:rPr>
          <w:rFonts w:ascii="Arial" w:hAnsi="Arial" w:cs="Arial"/>
        </w:rPr>
        <w:t>where the defendants raised the issue of capacity to sue for the first time</w:t>
      </w:r>
      <w:r w:rsidR="00FC6013">
        <w:rPr>
          <w:rFonts w:ascii="Arial" w:hAnsi="Arial" w:cs="Arial"/>
        </w:rPr>
        <w:t>,</w:t>
      </w:r>
      <w:r w:rsidR="00B517F3">
        <w:rPr>
          <w:rFonts w:ascii="Arial" w:hAnsi="Arial" w:cs="Arial"/>
        </w:rPr>
        <w:t xml:space="preserve"> at the stage of absolution from the instance, </w:t>
      </w:r>
      <w:r w:rsidR="00D14BE1">
        <w:rPr>
          <w:rFonts w:ascii="Arial" w:hAnsi="Arial" w:cs="Arial"/>
        </w:rPr>
        <w:t>th</w:t>
      </w:r>
      <w:r w:rsidR="00B517F3">
        <w:rPr>
          <w:rFonts w:ascii="Arial" w:hAnsi="Arial" w:cs="Arial"/>
        </w:rPr>
        <w:t>e court commented as follows at</w:t>
      </w:r>
      <w:r w:rsidR="00D14BE1">
        <w:rPr>
          <w:rFonts w:ascii="Arial" w:hAnsi="Arial" w:cs="Arial"/>
        </w:rPr>
        <w:t xml:space="preserve"> </w:t>
      </w:r>
      <w:r w:rsidR="00B517F3">
        <w:rPr>
          <w:rFonts w:ascii="Arial" w:hAnsi="Arial" w:cs="Arial"/>
        </w:rPr>
        <w:t>para [70] to [74]:</w:t>
      </w:r>
    </w:p>
    <w:p w14:paraId="5CD6E175" w14:textId="77777777" w:rsidR="00B517F3" w:rsidRDefault="00B517F3" w:rsidP="00686C0F">
      <w:pPr>
        <w:spacing w:line="360" w:lineRule="auto"/>
        <w:ind w:left="360"/>
        <w:jc w:val="both"/>
        <w:rPr>
          <w:rFonts w:ascii="Arial" w:hAnsi="Arial" w:cs="Arial"/>
        </w:rPr>
      </w:pPr>
    </w:p>
    <w:p w14:paraId="3A943453" w14:textId="0937377F" w:rsidR="00B517F3" w:rsidRDefault="00B517F3" w:rsidP="000959DA">
      <w:pPr>
        <w:spacing w:line="360" w:lineRule="auto"/>
        <w:jc w:val="both"/>
        <w:rPr>
          <w:rFonts w:ascii="Arial" w:hAnsi="Arial" w:cs="Arial"/>
          <w:sz w:val="22"/>
          <w:szCs w:val="22"/>
        </w:rPr>
      </w:pPr>
      <w:r>
        <w:rPr>
          <w:rFonts w:ascii="Arial" w:hAnsi="Arial" w:cs="Arial"/>
        </w:rPr>
        <w:t>‘</w:t>
      </w:r>
      <w:r w:rsidR="00465E7B">
        <w:rPr>
          <w:rFonts w:ascii="Arial" w:hAnsi="Arial" w:cs="Arial"/>
          <w:sz w:val="22"/>
          <w:szCs w:val="22"/>
        </w:rPr>
        <w:t>[70] I</w:t>
      </w:r>
      <w:r>
        <w:rPr>
          <w:rFonts w:ascii="Arial" w:hAnsi="Arial" w:cs="Arial"/>
          <w:sz w:val="22"/>
          <w:szCs w:val="22"/>
        </w:rPr>
        <w:t xml:space="preserve">n this case, I am of the firm view that there is no reason proffered as to why the issue of capacity to sue, should now fall for determination when the parties did not agree on it as an issue for determination in the first instance. Secondly, these issues were not submitted to the court for a variation of the court order. Such an application, in my firm view, should be accompanied with sound and compelling reasons why it is necessary for the parties, who are already in the </w:t>
      </w:r>
      <w:proofErr w:type="spellStart"/>
      <w:r>
        <w:rPr>
          <w:rFonts w:ascii="Arial" w:hAnsi="Arial" w:cs="Arial"/>
          <w:sz w:val="22"/>
          <w:szCs w:val="22"/>
        </w:rPr>
        <w:t>filed</w:t>
      </w:r>
      <w:proofErr w:type="spellEnd"/>
      <w:r>
        <w:rPr>
          <w:rFonts w:ascii="Arial" w:hAnsi="Arial" w:cs="Arial"/>
          <w:sz w:val="22"/>
          <w:szCs w:val="22"/>
        </w:rPr>
        <w:t xml:space="preserve"> of play, with the length and breadth of the issues identified well in advance, at the behest of the defendants, should, at the twelfth hour, (not even the eleventh, in the context of this case), so to speak, seek to change the goal posts</w:t>
      </w:r>
      <w:r w:rsidR="00465E7B">
        <w:rPr>
          <w:rFonts w:ascii="Arial" w:hAnsi="Arial" w:cs="Arial"/>
          <w:sz w:val="22"/>
          <w:szCs w:val="22"/>
        </w:rPr>
        <w:t xml:space="preserve"> and the nature and dimension of the issues for determination.</w:t>
      </w:r>
    </w:p>
    <w:p w14:paraId="1CC8E8B6" w14:textId="77777777" w:rsidR="00465E7B" w:rsidRDefault="00465E7B" w:rsidP="00D32F9E">
      <w:pPr>
        <w:spacing w:line="360" w:lineRule="auto"/>
        <w:jc w:val="both"/>
        <w:rPr>
          <w:rFonts w:ascii="Arial" w:hAnsi="Arial" w:cs="Arial"/>
          <w:sz w:val="22"/>
          <w:szCs w:val="22"/>
        </w:rPr>
      </w:pPr>
    </w:p>
    <w:p w14:paraId="7488B6BA" w14:textId="3FDE0D04" w:rsidR="00465E7B" w:rsidRDefault="00465E7B" w:rsidP="00240AF7">
      <w:pPr>
        <w:spacing w:line="360" w:lineRule="auto"/>
        <w:jc w:val="both"/>
        <w:rPr>
          <w:rFonts w:ascii="Arial" w:hAnsi="Arial" w:cs="Arial"/>
          <w:sz w:val="22"/>
          <w:szCs w:val="22"/>
        </w:rPr>
      </w:pPr>
      <w:r>
        <w:rPr>
          <w:rFonts w:ascii="Arial" w:hAnsi="Arial" w:cs="Arial"/>
          <w:sz w:val="22"/>
          <w:szCs w:val="22"/>
        </w:rPr>
        <w:t>[72] In this regard, parties should be made aware that once the pre-trial report is endorsed, they have themselves limited the issues that the court will be called upon to determine and that they, in a sense, nail themselves to the cross, as it were, of the issues identified for determination. This is an exercise that they may not easily wiggle out of, seeing as it carries the court’s stamp of approval by being made an order of court.</w:t>
      </w:r>
    </w:p>
    <w:p w14:paraId="1948A07D" w14:textId="77777777" w:rsidR="00465E7B" w:rsidRDefault="00465E7B" w:rsidP="00686C0F">
      <w:pPr>
        <w:spacing w:line="360" w:lineRule="auto"/>
        <w:ind w:left="360"/>
        <w:jc w:val="both"/>
        <w:rPr>
          <w:rFonts w:ascii="Arial" w:hAnsi="Arial" w:cs="Arial"/>
          <w:sz w:val="22"/>
          <w:szCs w:val="22"/>
        </w:rPr>
      </w:pPr>
    </w:p>
    <w:p w14:paraId="01777AF0" w14:textId="77777777" w:rsidR="00C4178B" w:rsidRDefault="00465E7B" w:rsidP="00240AF7">
      <w:pPr>
        <w:spacing w:line="360" w:lineRule="auto"/>
        <w:jc w:val="both"/>
        <w:rPr>
          <w:rFonts w:ascii="Arial" w:hAnsi="Arial" w:cs="Arial"/>
          <w:sz w:val="22"/>
          <w:szCs w:val="22"/>
        </w:rPr>
      </w:pPr>
      <w:r>
        <w:rPr>
          <w:rFonts w:ascii="Arial" w:hAnsi="Arial" w:cs="Arial"/>
          <w:sz w:val="22"/>
          <w:szCs w:val="22"/>
        </w:rPr>
        <w:t>[73] To depart theref</w:t>
      </w:r>
      <w:r w:rsidR="00C4178B">
        <w:rPr>
          <w:rFonts w:ascii="Arial" w:hAnsi="Arial" w:cs="Arial"/>
          <w:sz w:val="22"/>
          <w:szCs w:val="22"/>
        </w:rPr>
        <w:t>rom, it is clear that a full,</w:t>
      </w:r>
      <w:r>
        <w:rPr>
          <w:rFonts w:ascii="Arial" w:hAnsi="Arial" w:cs="Arial"/>
          <w:sz w:val="22"/>
          <w:szCs w:val="22"/>
        </w:rPr>
        <w:t xml:space="preserve"> proper </w:t>
      </w:r>
      <w:r w:rsidR="00C4178B">
        <w:rPr>
          <w:rFonts w:ascii="Arial" w:hAnsi="Arial" w:cs="Arial"/>
          <w:sz w:val="22"/>
          <w:szCs w:val="22"/>
        </w:rPr>
        <w:t xml:space="preserve">and convincing </w:t>
      </w:r>
      <w:r>
        <w:rPr>
          <w:rFonts w:ascii="Arial" w:hAnsi="Arial" w:cs="Arial"/>
          <w:sz w:val="22"/>
          <w:szCs w:val="22"/>
        </w:rPr>
        <w:t>e</w:t>
      </w:r>
      <w:r w:rsidR="00C4178B">
        <w:rPr>
          <w:rFonts w:ascii="Arial" w:hAnsi="Arial" w:cs="Arial"/>
          <w:sz w:val="22"/>
          <w:szCs w:val="22"/>
        </w:rPr>
        <w:t xml:space="preserve">xplanatory application should be timeously made to the court for the shifting of the goalposts as it were. At the same time, especial care should be taken in making doubly sure that the other party, not initiating the variation, is not negatively affected thereby, as in this case, when it is suddenly faced with an issue in argument, which it had no idea would, </w:t>
      </w:r>
      <w:r w:rsidR="00C4178B">
        <w:rPr>
          <w:rFonts w:ascii="Arial" w:hAnsi="Arial" w:cs="Arial"/>
          <w:sz w:val="22"/>
          <w:szCs w:val="22"/>
        </w:rPr>
        <w:lastRenderedPageBreak/>
        <w:t>at any stage, loom large for determination. To this extent, even the court is ambushed and is called upon to deal with issues it had no inkling would become live for determination. Such a scenario must be avoided at all costs.</w:t>
      </w:r>
    </w:p>
    <w:p w14:paraId="4C631F11" w14:textId="5FB3EC67" w:rsidR="00465E7B" w:rsidRDefault="00C4178B" w:rsidP="00686C0F">
      <w:pPr>
        <w:spacing w:line="360" w:lineRule="auto"/>
        <w:ind w:left="360"/>
        <w:jc w:val="both"/>
        <w:rPr>
          <w:rFonts w:ascii="Arial" w:hAnsi="Arial" w:cs="Arial"/>
          <w:sz w:val="22"/>
          <w:szCs w:val="22"/>
        </w:rPr>
      </w:pPr>
      <w:r>
        <w:rPr>
          <w:rFonts w:ascii="Arial" w:hAnsi="Arial" w:cs="Arial"/>
          <w:sz w:val="22"/>
          <w:szCs w:val="22"/>
        </w:rPr>
        <w:t xml:space="preserve"> </w:t>
      </w:r>
    </w:p>
    <w:p w14:paraId="1C1DF90E" w14:textId="46091379" w:rsidR="00B517F3" w:rsidRPr="00463B94" w:rsidRDefault="00465E7B" w:rsidP="00463B94">
      <w:pPr>
        <w:spacing w:line="360" w:lineRule="auto"/>
        <w:jc w:val="both"/>
        <w:rPr>
          <w:rFonts w:ascii="Arial" w:hAnsi="Arial" w:cs="Arial"/>
          <w:i/>
        </w:rPr>
      </w:pPr>
      <w:r>
        <w:rPr>
          <w:rFonts w:ascii="Arial" w:hAnsi="Arial" w:cs="Arial"/>
          <w:sz w:val="22"/>
          <w:szCs w:val="22"/>
        </w:rPr>
        <w:t>[74] A party to a trial should not blow hot and cold regarding the issues for determination. If the issues are finally committed to writing and have been made an order</w:t>
      </w:r>
      <w:r w:rsidR="00C4178B">
        <w:rPr>
          <w:rFonts w:ascii="Arial" w:hAnsi="Arial" w:cs="Arial"/>
          <w:sz w:val="22"/>
          <w:szCs w:val="22"/>
        </w:rPr>
        <w:t xml:space="preserve"> of court, it hardly lies in the mouth of a party to start approbating and reprobating at the same time. Certainty in this regard </w:t>
      </w:r>
      <w:r w:rsidR="00AA24E2">
        <w:rPr>
          <w:rFonts w:ascii="Arial" w:hAnsi="Arial" w:cs="Arial"/>
          <w:sz w:val="22"/>
          <w:szCs w:val="22"/>
        </w:rPr>
        <w:t xml:space="preserve">there </w:t>
      </w:r>
      <w:r w:rsidR="00C4178B">
        <w:rPr>
          <w:rFonts w:ascii="Arial" w:hAnsi="Arial" w:cs="Arial"/>
          <w:sz w:val="22"/>
          <w:szCs w:val="22"/>
        </w:rPr>
        <w:t xml:space="preserve">is need, as the identity of the witnesses that may be required to be called or subpoenaed, together with the determination of the days required for the trial rest to a large extent, on the nature and extent of the factual and legal issues identified for determination.’ </w:t>
      </w:r>
      <w:r>
        <w:rPr>
          <w:rFonts w:ascii="Arial" w:hAnsi="Arial" w:cs="Arial"/>
          <w:sz w:val="22"/>
          <w:szCs w:val="22"/>
        </w:rPr>
        <w:t xml:space="preserve">  </w:t>
      </w:r>
      <w:r w:rsidR="00D15989">
        <w:rPr>
          <w:rFonts w:ascii="Arial" w:hAnsi="Arial" w:cs="Arial"/>
        </w:rPr>
        <w:t xml:space="preserve">See also </w:t>
      </w:r>
      <w:r w:rsidR="00D15989">
        <w:rPr>
          <w:rFonts w:ascii="Arial" w:hAnsi="Arial" w:cs="Arial"/>
          <w:i/>
        </w:rPr>
        <w:t xml:space="preserve">De Beers Marine Namibia (Pty) Ltd v Lange </w:t>
      </w:r>
      <w:r w:rsidR="00D15989" w:rsidRPr="000959DA">
        <w:rPr>
          <w:rFonts w:ascii="Arial" w:hAnsi="Arial" w:cs="Arial"/>
          <w:i/>
        </w:rPr>
        <w:t>N.O.</w:t>
      </w:r>
      <w:r w:rsidR="00D15989">
        <w:rPr>
          <w:rFonts w:ascii="Arial" w:hAnsi="Arial" w:cs="Arial"/>
          <w:b/>
          <w:i/>
        </w:rPr>
        <w:t xml:space="preserve"> </w:t>
      </w:r>
      <w:r w:rsidR="00D15989">
        <w:rPr>
          <w:rFonts w:ascii="Arial" w:hAnsi="Arial" w:cs="Arial"/>
          <w:i/>
        </w:rPr>
        <w:t>And Others.</w:t>
      </w:r>
      <w:r w:rsidR="00D15989" w:rsidRPr="000959DA">
        <w:rPr>
          <w:rStyle w:val="FootnoteReference"/>
          <w:rFonts w:ascii="Arial" w:hAnsi="Arial" w:cs="Arial"/>
          <w:i/>
        </w:rPr>
        <w:footnoteReference w:id="7"/>
      </w:r>
      <w:r w:rsidR="00D15989">
        <w:rPr>
          <w:rFonts w:ascii="Arial" w:hAnsi="Arial" w:cs="Arial"/>
          <w:b/>
          <w:i/>
        </w:rPr>
        <w:t xml:space="preserve"> </w:t>
      </w:r>
    </w:p>
    <w:p w14:paraId="013A87BC" w14:textId="77777777" w:rsidR="00A91890" w:rsidRDefault="00A91890" w:rsidP="00240AF7">
      <w:pPr>
        <w:spacing w:line="360" w:lineRule="auto"/>
        <w:jc w:val="both"/>
        <w:rPr>
          <w:rFonts w:ascii="Arial" w:hAnsi="Arial" w:cs="Arial"/>
        </w:rPr>
      </w:pPr>
    </w:p>
    <w:p w14:paraId="0872B8DB" w14:textId="210624A2" w:rsidR="000567B0" w:rsidRDefault="00A91890" w:rsidP="00240AF7">
      <w:pPr>
        <w:spacing w:line="360" w:lineRule="auto"/>
        <w:jc w:val="both"/>
        <w:rPr>
          <w:rFonts w:ascii="Arial" w:hAnsi="Arial" w:cs="Arial"/>
        </w:rPr>
      </w:pPr>
      <w:r>
        <w:rPr>
          <w:rFonts w:ascii="Arial" w:hAnsi="Arial" w:cs="Arial"/>
        </w:rPr>
        <w:t>[61</w:t>
      </w:r>
      <w:r w:rsidR="00C4178B">
        <w:rPr>
          <w:rFonts w:ascii="Arial" w:hAnsi="Arial" w:cs="Arial"/>
        </w:rPr>
        <w:t>]</w:t>
      </w:r>
      <w:r w:rsidR="00C4178B">
        <w:rPr>
          <w:rFonts w:ascii="Arial" w:hAnsi="Arial" w:cs="Arial"/>
        </w:rPr>
        <w:tab/>
        <w:t>In view of the foregoing considerations, it becomes clear</w:t>
      </w:r>
      <w:r w:rsidR="00A66B34">
        <w:rPr>
          <w:rFonts w:ascii="Arial" w:hAnsi="Arial" w:cs="Arial"/>
        </w:rPr>
        <w:t>,</w:t>
      </w:r>
      <w:r w:rsidR="00C4178B">
        <w:rPr>
          <w:rFonts w:ascii="Arial" w:hAnsi="Arial" w:cs="Arial"/>
        </w:rPr>
        <w:t xml:space="preserve"> that the issue</w:t>
      </w:r>
      <w:r w:rsidR="00FC6013">
        <w:rPr>
          <w:rFonts w:ascii="Arial" w:hAnsi="Arial" w:cs="Arial"/>
        </w:rPr>
        <w:t xml:space="preserve"> of</w:t>
      </w:r>
      <w:r w:rsidR="00A66B34">
        <w:rPr>
          <w:rFonts w:ascii="Arial" w:hAnsi="Arial" w:cs="Arial"/>
        </w:rPr>
        <w:t xml:space="preserve"> </w:t>
      </w:r>
      <w:r w:rsidR="00C4178B">
        <w:rPr>
          <w:rFonts w:ascii="Arial" w:hAnsi="Arial" w:cs="Arial"/>
          <w:i/>
        </w:rPr>
        <w:t xml:space="preserve">locus </w:t>
      </w:r>
      <w:proofErr w:type="spellStart"/>
      <w:r w:rsidR="00C4178B">
        <w:rPr>
          <w:rFonts w:ascii="Arial" w:hAnsi="Arial" w:cs="Arial"/>
          <w:i/>
        </w:rPr>
        <w:t>standi</w:t>
      </w:r>
      <w:proofErr w:type="spellEnd"/>
      <w:r w:rsidR="00E244DF">
        <w:rPr>
          <w:rFonts w:ascii="Arial" w:hAnsi="Arial" w:cs="Arial"/>
          <w:i/>
        </w:rPr>
        <w:t>,</w:t>
      </w:r>
      <w:r w:rsidR="00C4178B">
        <w:rPr>
          <w:rFonts w:ascii="Arial" w:hAnsi="Arial" w:cs="Arial"/>
          <w:i/>
        </w:rPr>
        <w:t xml:space="preserve"> </w:t>
      </w:r>
      <w:r w:rsidR="00C4178B">
        <w:rPr>
          <w:rFonts w:ascii="Arial" w:hAnsi="Arial" w:cs="Arial"/>
        </w:rPr>
        <w:t xml:space="preserve">was not </w:t>
      </w:r>
      <w:r w:rsidR="00A66B34">
        <w:rPr>
          <w:rFonts w:ascii="Arial" w:hAnsi="Arial" w:cs="Arial"/>
        </w:rPr>
        <w:t>at all identified by the parties</w:t>
      </w:r>
      <w:r w:rsidR="00C4178B">
        <w:rPr>
          <w:rFonts w:ascii="Arial" w:hAnsi="Arial" w:cs="Arial"/>
        </w:rPr>
        <w:t xml:space="preserve"> as an issue for </w:t>
      </w:r>
      <w:r w:rsidR="00E244DF">
        <w:rPr>
          <w:rFonts w:ascii="Arial" w:hAnsi="Arial" w:cs="Arial"/>
        </w:rPr>
        <w:t xml:space="preserve">the court’s </w:t>
      </w:r>
      <w:r w:rsidR="00A66B34">
        <w:rPr>
          <w:rFonts w:ascii="Arial" w:hAnsi="Arial" w:cs="Arial"/>
        </w:rPr>
        <w:t>determination</w:t>
      </w:r>
      <w:r w:rsidR="00C4178B">
        <w:rPr>
          <w:rFonts w:ascii="Arial" w:hAnsi="Arial" w:cs="Arial"/>
        </w:rPr>
        <w:t xml:space="preserve">. In that event, the defendants cannot unilaterally impose </w:t>
      </w:r>
      <w:r w:rsidR="00FC6013">
        <w:rPr>
          <w:rFonts w:ascii="Arial" w:hAnsi="Arial" w:cs="Arial"/>
        </w:rPr>
        <w:t xml:space="preserve">it </w:t>
      </w:r>
      <w:r w:rsidR="00C4178B">
        <w:rPr>
          <w:rFonts w:ascii="Arial" w:hAnsi="Arial" w:cs="Arial"/>
        </w:rPr>
        <w:t xml:space="preserve">upon the opponent and the court </w:t>
      </w:r>
      <w:r w:rsidR="00FC6013">
        <w:rPr>
          <w:rFonts w:ascii="Arial" w:hAnsi="Arial" w:cs="Arial"/>
        </w:rPr>
        <w:t>as an issue to deal</w:t>
      </w:r>
      <w:r w:rsidR="00C4178B">
        <w:rPr>
          <w:rFonts w:ascii="Arial" w:hAnsi="Arial" w:cs="Arial"/>
        </w:rPr>
        <w:t xml:space="preserve"> </w:t>
      </w:r>
      <w:r w:rsidR="00D32F9E">
        <w:rPr>
          <w:rFonts w:ascii="Arial" w:hAnsi="Arial" w:cs="Arial"/>
        </w:rPr>
        <w:t xml:space="preserve">with </w:t>
      </w:r>
      <w:r w:rsidR="00C4178B">
        <w:rPr>
          <w:rFonts w:ascii="Arial" w:hAnsi="Arial" w:cs="Arial"/>
        </w:rPr>
        <w:t xml:space="preserve">in this fashion and </w:t>
      </w:r>
      <w:r w:rsidR="00FC6013">
        <w:rPr>
          <w:rFonts w:ascii="Arial" w:hAnsi="Arial" w:cs="Arial"/>
        </w:rPr>
        <w:t xml:space="preserve">particularly </w:t>
      </w:r>
      <w:r w:rsidR="00C4178B">
        <w:rPr>
          <w:rFonts w:ascii="Arial" w:hAnsi="Arial" w:cs="Arial"/>
        </w:rPr>
        <w:t>so late in the day. As indicated, had this issue been raised timeously, the plaintiff may have been able to deal with it and may have called the witnesses necessary to canvass the matter. This, he was denied by the defendants’ silence and inaction.</w:t>
      </w:r>
    </w:p>
    <w:p w14:paraId="3A017C50" w14:textId="77777777" w:rsidR="00240AF7" w:rsidRDefault="00240AF7" w:rsidP="00240AF7">
      <w:pPr>
        <w:spacing w:line="360" w:lineRule="auto"/>
        <w:jc w:val="both"/>
        <w:rPr>
          <w:rFonts w:ascii="Arial" w:hAnsi="Arial" w:cs="Arial"/>
        </w:rPr>
      </w:pPr>
    </w:p>
    <w:p w14:paraId="355C3A69" w14:textId="705AA3FC" w:rsidR="00A43BE8" w:rsidRDefault="00A91890" w:rsidP="00240AF7">
      <w:pPr>
        <w:spacing w:line="360" w:lineRule="auto"/>
        <w:jc w:val="both"/>
        <w:rPr>
          <w:rFonts w:ascii="Arial" w:hAnsi="Arial" w:cs="Arial"/>
        </w:rPr>
      </w:pPr>
      <w:r>
        <w:rPr>
          <w:rFonts w:ascii="Arial" w:hAnsi="Arial" w:cs="Arial"/>
        </w:rPr>
        <w:t>[62</w:t>
      </w:r>
      <w:r w:rsidR="000567B0">
        <w:rPr>
          <w:rFonts w:ascii="Arial" w:hAnsi="Arial" w:cs="Arial"/>
        </w:rPr>
        <w:t>]</w:t>
      </w:r>
      <w:r w:rsidR="000567B0">
        <w:rPr>
          <w:rFonts w:ascii="Arial" w:hAnsi="Arial" w:cs="Arial"/>
        </w:rPr>
        <w:tab/>
        <w:t>What makes this matter worse, a</w:t>
      </w:r>
      <w:r w:rsidR="00A43BE8">
        <w:rPr>
          <w:rFonts w:ascii="Arial" w:hAnsi="Arial" w:cs="Arial"/>
        </w:rPr>
        <w:t>n</w:t>
      </w:r>
      <w:r w:rsidR="000567B0">
        <w:rPr>
          <w:rFonts w:ascii="Arial" w:hAnsi="Arial" w:cs="Arial"/>
        </w:rPr>
        <w:t>d I move on to the plaintiff’s second point, is that this is an issue that was not even pleaded by the defendants</w:t>
      </w:r>
      <w:r w:rsidR="00A43BE8">
        <w:rPr>
          <w:rFonts w:ascii="Arial" w:hAnsi="Arial" w:cs="Arial"/>
        </w:rPr>
        <w:t xml:space="preserve"> in their plea</w:t>
      </w:r>
      <w:r w:rsidR="00D32F9E">
        <w:rPr>
          <w:rFonts w:ascii="Arial" w:hAnsi="Arial" w:cs="Arial"/>
        </w:rPr>
        <w:t>. As a result, the plaintiff wa</w:t>
      </w:r>
      <w:r w:rsidR="000567B0">
        <w:rPr>
          <w:rFonts w:ascii="Arial" w:hAnsi="Arial" w:cs="Arial"/>
        </w:rPr>
        <w:t>s denied an opportunity of dealing with it at pleading stage</w:t>
      </w:r>
      <w:r w:rsidR="00A43BE8">
        <w:rPr>
          <w:rFonts w:ascii="Arial" w:hAnsi="Arial" w:cs="Arial"/>
        </w:rPr>
        <w:t xml:space="preserve"> and is suddenly called upon to deal with it in closing argument for the very first time</w:t>
      </w:r>
      <w:r w:rsidR="000567B0">
        <w:rPr>
          <w:rFonts w:ascii="Arial" w:hAnsi="Arial" w:cs="Arial"/>
        </w:rPr>
        <w:t>.</w:t>
      </w:r>
    </w:p>
    <w:p w14:paraId="75E57518" w14:textId="77777777" w:rsidR="00A43BE8" w:rsidRDefault="00A43BE8" w:rsidP="00686C0F">
      <w:pPr>
        <w:spacing w:line="360" w:lineRule="auto"/>
        <w:ind w:left="360"/>
        <w:jc w:val="both"/>
        <w:rPr>
          <w:rFonts w:ascii="Arial" w:hAnsi="Arial" w:cs="Arial"/>
        </w:rPr>
      </w:pPr>
    </w:p>
    <w:p w14:paraId="17C7AA1A" w14:textId="4344328D" w:rsidR="00A43BE8" w:rsidRDefault="00A91890" w:rsidP="00240AF7">
      <w:pPr>
        <w:spacing w:line="360" w:lineRule="auto"/>
        <w:jc w:val="both"/>
        <w:rPr>
          <w:rFonts w:ascii="Arial" w:hAnsi="Arial" w:cs="Arial"/>
        </w:rPr>
      </w:pPr>
      <w:r>
        <w:rPr>
          <w:rFonts w:ascii="Arial" w:hAnsi="Arial" w:cs="Arial"/>
        </w:rPr>
        <w:t>[63</w:t>
      </w:r>
      <w:r w:rsidR="00A43BE8">
        <w:rPr>
          <w:rFonts w:ascii="Arial" w:hAnsi="Arial" w:cs="Arial"/>
        </w:rPr>
        <w:t>]</w:t>
      </w:r>
      <w:r w:rsidR="00A43BE8">
        <w:rPr>
          <w:rFonts w:ascii="Arial" w:hAnsi="Arial" w:cs="Arial"/>
        </w:rPr>
        <w:tab/>
        <w:t xml:space="preserve">I find it appropriate to briefly deal with the nature and function of pleadings in litigation. In </w:t>
      </w:r>
      <w:proofErr w:type="spellStart"/>
      <w:r w:rsidR="00A43BE8">
        <w:rPr>
          <w:rFonts w:ascii="Arial" w:hAnsi="Arial" w:cs="Arial"/>
          <w:i/>
        </w:rPr>
        <w:t>Zamnam</w:t>
      </w:r>
      <w:proofErr w:type="spellEnd"/>
      <w:r w:rsidR="00A43BE8">
        <w:rPr>
          <w:rFonts w:ascii="Arial" w:hAnsi="Arial" w:cs="Arial"/>
          <w:i/>
        </w:rPr>
        <w:t xml:space="preserve"> Exclusive Furniture CC v Josef </w:t>
      </w:r>
      <w:proofErr w:type="spellStart"/>
      <w:r w:rsidR="00A43BE8">
        <w:rPr>
          <w:rFonts w:ascii="Arial" w:hAnsi="Arial" w:cs="Arial"/>
          <w:i/>
        </w:rPr>
        <w:t>Stephanus</w:t>
      </w:r>
      <w:proofErr w:type="spellEnd"/>
      <w:r w:rsidR="00A43BE8">
        <w:rPr>
          <w:rFonts w:ascii="Arial" w:hAnsi="Arial" w:cs="Arial"/>
          <w:i/>
        </w:rPr>
        <w:t xml:space="preserve"> Lewis and Another,</w:t>
      </w:r>
      <w:r w:rsidR="00A43BE8">
        <w:rPr>
          <w:rStyle w:val="FootnoteReference"/>
          <w:rFonts w:ascii="Arial" w:hAnsi="Arial" w:cs="Arial"/>
          <w:i/>
        </w:rPr>
        <w:footnoteReference w:id="8"/>
      </w:r>
      <w:r w:rsidR="00A43BE8">
        <w:rPr>
          <w:rFonts w:ascii="Arial" w:hAnsi="Arial" w:cs="Arial"/>
          <w:i/>
        </w:rPr>
        <w:t xml:space="preserve"> </w:t>
      </w:r>
      <w:r w:rsidR="00A43BE8">
        <w:rPr>
          <w:rFonts w:ascii="Arial" w:hAnsi="Arial" w:cs="Arial"/>
        </w:rPr>
        <w:t xml:space="preserve">this court dealt with the function of pleadings. In this </w:t>
      </w:r>
      <w:r w:rsidR="00A43BE8">
        <w:rPr>
          <w:rFonts w:ascii="Arial" w:hAnsi="Arial" w:cs="Arial"/>
        </w:rPr>
        <w:lastRenderedPageBreak/>
        <w:t xml:space="preserve">regard, a number of cases were cited in support. These included </w:t>
      </w:r>
      <w:proofErr w:type="spellStart"/>
      <w:r w:rsidR="00A43BE8">
        <w:rPr>
          <w:rFonts w:ascii="Arial" w:hAnsi="Arial" w:cs="Arial"/>
          <w:i/>
        </w:rPr>
        <w:t>Spedding</w:t>
      </w:r>
      <w:proofErr w:type="spellEnd"/>
      <w:r w:rsidR="00A43BE8">
        <w:rPr>
          <w:rFonts w:ascii="Arial" w:hAnsi="Arial" w:cs="Arial"/>
          <w:i/>
        </w:rPr>
        <w:t xml:space="preserve"> v Fitzpatrick,</w:t>
      </w:r>
      <w:r w:rsidR="00A43BE8">
        <w:rPr>
          <w:rStyle w:val="FootnoteReference"/>
          <w:rFonts w:ascii="Arial" w:hAnsi="Arial" w:cs="Arial"/>
          <w:i/>
        </w:rPr>
        <w:footnoteReference w:id="9"/>
      </w:r>
      <w:r w:rsidR="00A43BE8">
        <w:rPr>
          <w:rFonts w:ascii="Arial" w:hAnsi="Arial" w:cs="Arial"/>
          <w:i/>
        </w:rPr>
        <w:t xml:space="preserve"> </w:t>
      </w:r>
      <w:r w:rsidR="00A43BE8">
        <w:rPr>
          <w:rFonts w:ascii="Arial" w:hAnsi="Arial" w:cs="Arial"/>
        </w:rPr>
        <w:t>where Lord Justice Cotton said the following of pleadings:</w:t>
      </w:r>
    </w:p>
    <w:p w14:paraId="50336B3C" w14:textId="77777777" w:rsidR="00A43BE8" w:rsidRDefault="00A43BE8" w:rsidP="00686C0F">
      <w:pPr>
        <w:spacing w:line="360" w:lineRule="auto"/>
        <w:ind w:left="360"/>
        <w:jc w:val="both"/>
        <w:rPr>
          <w:rFonts w:ascii="Arial" w:hAnsi="Arial" w:cs="Arial"/>
        </w:rPr>
      </w:pPr>
    </w:p>
    <w:p w14:paraId="3F0B0F2B" w14:textId="0256179B" w:rsidR="00A43BE8" w:rsidRDefault="00A43BE8" w:rsidP="000959DA">
      <w:pPr>
        <w:spacing w:line="360" w:lineRule="auto"/>
        <w:jc w:val="both"/>
        <w:rPr>
          <w:rFonts w:ascii="Arial" w:hAnsi="Arial" w:cs="Arial"/>
          <w:sz w:val="22"/>
          <w:szCs w:val="22"/>
        </w:rPr>
      </w:pPr>
      <w:r>
        <w:rPr>
          <w:rFonts w:ascii="Arial" w:hAnsi="Arial" w:cs="Arial"/>
        </w:rPr>
        <w:t>‘</w:t>
      </w:r>
      <w:r>
        <w:rPr>
          <w:rFonts w:ascii="Arial" w:hAnsi="Arial" w:cs="Arial"/>
          <w:sz w:val="22"/>
          <w:szCs w:val="22"/>
        </w:rPr>
        <w:t>The old system of pleading at common law was to conceal as much as possible what was going to be proved at the trial; but under the present system we ought to see to it that a party so states his case that his opponent shall not be taken by surprise. I take it that this is a principle of pleading which applies as well to our courts as to the Supreme Court of Judicature. It follows therefore that the plaintiff must set out his facts with such particularity that the defendant will know exactly what facts he will have to meet so as to enable him to disprove the correctness of the facts alleged against him.’</w:t>
      </w:r>
    </w:p>
    <w:p w14:paraId="27D3D440" w14:textId="77777777" w:rsidR="00A43BE8" w:rsidRDefault="00A43BE8" w:rsidP="00686C0F">
      <w:pPr>
        <w:spacing w:line="360" w:lineRule="auto"/>
        <w:ind w:left="360"/>
        <w:jc w:val="both"/>
        <w:rPr>
          <w:rFonts w:ascii="Arial" w:hAnsi="Arial" w:cs="Arial"/>
          <w:sz w:val="22"/>
          <w:szCs w:val="22"/>
        </w:rPr>
      </w:pPr>
    </w:p>
    <w:p w14:paraId="0734CFDB" w14:textId="77559D0B" w:rsidR="00761428" w:rsidRDefault="00A91890" w:rsidP="00240AF7">
      <w:pPr>
        <w:spacing w:line="360" w:lineRule="auto"/>
        <w:jc w:val="both"/>
        <w:rPr>
          <w:rFonts w:ascii="Arial" w:hAnsi="Arial" w:cs="Arial"/>
        </w:rPr>
      </w:pPr>
      <w:r>
        <w:rPr>
          <w:rFonts w:ascii="Arial" w:hAnsi="Arial" w:cs="Arial"/>
        </w:rPr>
        <w:t>[64</w:t>
      </w:r>
      <w:r w:rsidR="00A43BE8">
        <w:rPr>
          <w:rFonts w:ascii="Arial" w:hAnsi="Arial" w:cs="Arial"/>
        </w:rPr>
        <w:t>]</w:t>
      </w:r>
      <w:r w:rsidR="00A43BE8">
        <w:rPr>
          <w:rFonts w:ascii="Arial" w:hAnsi="Arial" w:cs="Arial"/>
        </w:rPr>
        <w:tab/>
        <w:t xml:space="preserve">In </w:t>
      </w:r>
      <w:r w:rsidR="00A43BE8">
        <w:rPr>
          <w:rFonts w:ascii="Arial" w:hAnsi="Arial" w:cs="Arial"/>
          <w:i/>
        </w:rPr>
        <w:t>Minister of Agriculture and Land Affairs and Another v De Klerk and Others,</w:t>
      </w:r>
      <w:r w:rsidR="00A43BE8">
        <w:rPr>
          <w:rStyle w:val="FootnoteReference"/>
          <w:rFonts w:ascii="Arial" w:hAnsi="Arial" w:cs="Arial"/>
          <w:i/>
        </w:rPr>
        <w:footnoteReference w:id="10"/>
      </w:r>
      <w:r w:rsidR="00A43BE8">
        <w:rPr>
          <w:rFonts w:ascii="Arial" w:hAnsi="Arial" w:cs="Arial"/>
          <w:i/>
        </w:rPr>
        <w:t xml:space="preserve"> </w:t>
      </w:r>
      <w:r w:rsidR="00A43BE8">
        <w:rPr>
          <w:rFonts w:ascii="Arial" w:hAnsi="Arial" w:cs="Arial"/>
        </w:rPr>
        <w:t xml:space="preserve">a case also cited with approval in </w:t>
      </w:r>
      <w:proofErr w:type="spellStart"/>
      <w:r w:rsidR="00A43BE8">
        <w:rPr>
          <w:rFonts w:ascii="Arial" w:hAnsi="Arial" w:cs="Arial"/>
          <w:i/>
        </w:rPr>
        <w:t>Zamnam</w:t>
      </w:r>
      <w:proofErr w:type="spellEnd"/>
      <w:r w:rsidR="00A43BE8">
        <w:rPr>
          <w:rFonts w:ascii="Arial" w:hAnsi="Arial" w:cs="Arial"/>
          <w:i/>
        </w:rPr>
        <w:t xml:space="preserve">, </w:t>
      </w:r>
      <w:r w:rsidR="00761428">
        <w:rPr>
          <w:rFonts w:ascii="Arial" w:hAnsi="Arial" w:cs="Arial"/>
        </w:rPr>
        <w:t>the court reasoned as follows about the function of pleadings:</w:t>
      </w:r>
    </w:p>
    <w:p w14:paraId="531A9D61" w14:textId="77777777" w:rsidR="00761428" w:rsidRDefault="00761428" w:rsidP="00686C0F">
      <w:pPr>
        <w:spacing w:line="360" w:lineRule="auto"/>
        <w:ind w:left="360"/>
        <w:jc w:val="both"/>
        <w:rPr>
          <w:rFonts w:ascii="Arial" w:hAnsi="Arial" w:cs="Arial"/>
        </w:rPr>
      </w:pPr>
    </w:p>
    <w:p w14:paraId="605995FD" w14:textId="23255AF8" w:rsidR="00C4178B" w:rsidRDefault="00761428" w:rsidP="000959DA">
      <w:pPr>
        <w:spacing w:line="360" w:lineRule="auto"/>
        <w:jc w:val="both"/>
        <w:rPr>
          <w:rFonts w:ascii="Arial" w:hAnsi="Arial" w:cs="Arial"/>
        </w:rPr>
      </w:pPr>
      <w:r>
        <w:rPr>
          <w:rFonts w:ascii="Arial" w:hAnsi="Arial" w:cs="Arial"/>
        </w:rPr>
        <w:t>‘</w:t>
      </w:r>
      <w:r>
        <w:rPr>
          <w:rFonts w:ascii="Arial" w:hAnsi="Arial" w:cs="Arial"/>
          <w:sz w:val="22"/>
          <w:szCs w:val="22"/>
        </w:rPr>
        <w:t xml:space="preserve">It is trite that the parties are bound by their pleadings – the object thereof being to enable the other party to know what case has to be met. </w:t>
      </w:r>
      <w:r w:rsidRPr="00761428">
        <w:rPr>
          <w:rFonts w:ascii="Arial" w:hAnsi="Arial" w:cs="Arial"/>
          <w:sz w:val="22"/>
          <w:szCs w:val="22"/>
          <w:u w:val="single"/>
        </w:rPr>
        <w:t>It</w:t>
      </w:r>
      <w:r>
        <w:rPr>
          <w:rFonts w:ascii="Arial" w:hAnsi="Arial" w:cs="Arial"/>
          <w:sz w:val="22"/>
          <w:szCs w:val="22"/>
          <w:u w:val="single"/>
        </w:rPr>
        <w:t xml:space="preserve"> is impermissible to plead one particular issue and then seek to pursue another at the trial.’ </w:t>
      </w:r>
      <w:r w:rsidRPr="00761428">
        <w:rPr>
          <w:rFonts w:ascii="Arial" w:hAnsi="Arial" w:cs="Arial"/>
        </w:rPr>
        <w:t>(Emphasis added).</w:t>
      </w:r>
    </w:p>
    <w:p w14:paraId="68194D90" w14:textId="77777777" w:rsidR="00761428" w:rsidRDefault="00761428" w:rsidP="00686C0F">
      <w:pPr>
        <w:spacing w:line="360" w:lineRule="auto"/>
        <w:ind w:left="360"/>
        <w:jc w:val="both"/>
        <w:rPr>
          <w:rFonts w:ascii="Arial" w:hAnsi="Arial" w:cs="Arial"/>
        </w:rPr>
      </w:pPr>
    </w:p>
    <w:p w14:paraId="2DC1796F" w14:textId="7FD29F82" w:rsidR="00761428" w:rsidRDefault="00A91890" w:rsidP="00240AF7">
      <w:pPr>
        <w:spacing w:line="360" w:lineRule="auto"/>
        <w:jc w:val="both"/>
        <w:rPr>
          <w:rFonts w:ascii="Arial" w:hAnsi="Arial" w:cs="Arial"/>
        </w:rPr>
      </w:pPr>
      <w:r>
        <w:rPr>
          <w:rFonts w:ascii="Arial" w:hAnsi="Arial" w:cs="Arial"/>
        </w:rPr>
        <w:t>[65</w:t>
      </w:r>
      <w:r w:rsidR="00761428">
        <w:rPr>
          <w:rFonts w:ascii="Arial" w:hAnsi="Arial" w:cs="Arial"/>
        </w:rPr>
        <w:t>]</w:t>
      </w:r>
      <w:r w:rsidR="00761428">
        <w:rPr>
          <w:rFonts w:ascii="Arial" w:hAnsi="Arial" w:cs="Arial"/>
        </w:rPr>
        <w:tab/>
        <w:t xml:space="preserve">From a local perspective, this court dealt with this issue in the following terms in </w:t>
      </w:r>
      <w:r w:rsidR="001E21B9">
        <w:rPr>
          <w:rFonts w:ascii="Arial" w:hAnsi="Arial" w:cs="Arial"/>
          <w:i/>
        </w:rPr>
        <w:t xml:space="preserve">Courtney-Clarke v </w:t>
      </w:r>
      <w:proofErr w:type="spellStart"/>
      <w:r w:rsidR="001E21B9">
        <w:rPr>
          <w:rFonts w:ascii="Arial" w:hAnsi="Arial" w:cs="Arial"/>
          <w:i/>
        </w:rPr>
        <w:t>Bassing</w:t>
      </w:r>
      <w:r w:rsidR="00761428">
        <w:rPr>
          <w:rFonts w:ascii="Arial" w:hAnsi="Arial" w:cs="Arial"/>
          <w:i/>
        </w:rPr>
        <w:t>t</w:t>
      </w:r>
      <w:r w:rsidR="001E21B9">
        <w:rPr>
          <w:rFonts w:ascii="Arial" w:hAnsi="Arial" w:cs="Arial"/>
          <w:i/>
        </w:rPr>
        <w:t>h</w:t>
      </w:r>
      <w:r w:rsidR="00761428">
        <w:rPr>
          <w:rFonts w:ascii="Arial" w:hAnsi="Arial" w:cs="Arial"/>
          <w:i/>
        </w:rPr>
        <w:t>waighte</w:t>
      </w:r>
      <w:proofErr w:type="spellEnd"/>
      <w:r w:rsidR="00761428">
        <w:rPr>
          <w:rFonts w:ascii="Arial" w:hAnsi="Arial" w:cs="Arial"/>
        </w:rPr>
        <w:t>;</w:t>
      </w:r>
      <w:r w:rsidR="00761428">
        <w:rPr>
          <w:rStyle w:val="FootnoteReference"/>
          <w:rFonts w:ascii="Arial" w:hAnsi="Arial" w:cs="Arial"/>
          <w:i/>
        </w:rPr>
        <w:footnoteReference w:id="11"/>
      </w:r>
    </w:p>
    <w:p w14:paraId="523A0873" w14:textId="77777777" w:rsidR="00761428" w:rsidRDefault="00761428" w:rsidP="00686C0F">
      <w:pPr>
        <w:spacing w:line="360" w:lineRule="auto"/>
        <w:ind w:left="360"/>
        <w:jc w:val="both"/>
        <w:rPr>
          <w:rFonts w:ascii="Arial" w:hAnsi="Arial" w:cs="Arial"/>
        </w:rPr>
      </w:pPr>
    </w:p>
    <w:p w14:paraId="02857007" w14:textId="53CB1C1B" w:rsidR="00761428" w:rsidRDefault="00761428" w:rsidP="000959DA">
      <w:pPr>
        <w:spacing w:line="360" w:lineRule="auto"/>
        <w:jc w:val="both"/>
        <w:rPr>
          <w:rFonts w:ascii="Arial" w:hAnsi="Arial" w:cs="Arial"/>
        </w:rPr>
      </w:pPr>
      <w:r>
        <w:rPr>
          <w:rFonts w:ascii="Arial" w:hAnsi="Arial" w:cs="Arial"/>
        </w:rPr>
        <w:t>‘</w:t>
      </w:r>
      <w:r>
        <w:rPr>
          <w:rFonts w:ascii="Arial" w:hAnsi="Arial" w:cs="Arial"/>
          <w:sz w:val="22"/>
          <w:szCs w:val="22"/>
        </w:rPr>
        <w:t xml:space="preserve">Secondly, it is trite that the pleadings define the issues between litigants and </w:t>
      </w:r>
      <w:r>
        <w:rPr>
          <w:rFonts w:ascii="Arial" w:hAnsi="Arial" w:cs="Arial"/>
          <w:sz w:val="22"/>
          <w:szCs w:val="22"/>
          <w:u w:val="single"/>
        </w:rPr>
        <w:t>in the trial, parties should be confined thereto.’</w:t>
      </w:r>
      <w:r>
        <w:rPr>
          <w:rFonts w:ascii="Arial" w:hAnsi="Arial" w:cs="Arial"/>
          <w:sz w:val="22"/>
          <w:szCs w:val="22"/>
        </w:rPr>
        <w:t xml:space="preserve"> (</w:t>
      </w:r>
      <w:r>
        <w:rPr>
          <w:rFonts w:ascii="Arial" w:hAnsi="Arial" w:cs="Arial"/>
        </w:rPr>
        <w:t>Emphasis added).</w:t>
      </w:r>
    </w:p>
    <w:p w14:paraId="2BD3FC39" w14:textId="77777777" w:rsidR="00410EF9" w:rsidRDefault="00410EF9" w:rsidP="00686C0F">
      <w:pPr>
        <w:spacing w:line="360" w:lineRule="auto"/>
        <w:ind w:left="360"/>
        <w:jc w:val="both"/>
        <w:rPr>
          <w:rFonts w:ascii="Arial" w:hAnsi="Arial" w:cs="Arial"/>
        </w:rPr>
      </w:pPr>
    </w:p>
    <w:p w14:paraId="7E7FD485" w14:textId="7E634A79" w:rsidR="00410EF9" w:rsidRDefault="00410EF9" w:rsidP="00240AF7">
      <w:pPr>
        <w:spacing w:line="360" w:lineRule="auto"/>
        <w:jc w:val="both"/>
        <w:rPr>
          <w:rFonts w:ascii="Arial" w:hAnsi="Arial" w:cs="Arial"/>
        </w:rPr>
      </w:pPr>
      <w:r>
        <w:rPr>
          <w:rFonts w:ascii="Arial" w:hAnsi="Arial" w:cs="Arial"/>
        </w:rPr>
        <w:t>[</w:t>
      </w:r>
      <w:r w:rsidR="00A91890">
        <w:rPr>
          <w:rFonts w:ascii="Arial" w:hAnsi="Arial" w:cs="Arial"/>
        </w:rPr>
        <w:t>66</w:t>
      </w:r>
      <w:r>
        <w:rPr>
          <w:rFonts w:ascii="Arial" w:hAnsi="Arial" w:cs="Arial"/>
        </w:rPr>
        <w:t>]</w:t>
      </w:r>
      <w:r>
        <w:rPr>
          <w:rFonts w:ascii="Arial" w:hAnsi="Arial" w:cs="Arial"/>
        </w:rPr>
        <w:tab/>
        <w:t xml:space="preserve">In </w:t>
      </w:r>
      <w:proofErr w:type="spellStart"/>
      <w:r>
        <w:rPr>
          <w:rFonts w:ascii="Arial" w:hAnsi="Arial" w:cs="Arial"/>
          <w:i/>
        </w:rPr>
        <w:t>Zamnam</w:t>
      </w:r>
      <w:proofErr w:type="spellEnd"/>
      <w:r>
        <w:rPr>
          <w:rFonts w:ascii="Arial" w:hAnsi="Arial" w:cs="Arial"/>
          <w:i/>
        </w:rPr>
        <w:t>,</w:t>
      </w:r>
      <w:r>
        <w:rPr>
          <w:rFonts w:ascii="Arial" w:hAnsi="Arial" w:cs="Arial"/>
        </w:rPr>
        <w:t xml:space="preserve"> having had regard to the foregoing authorities, the court summed up the position in the following language at para [14] and [15]:</w:t>
      </w:r>
    </w:p>
    <w:p w14:paraId="256FEF01" w14:textId="77777777" w:rsidR="00410EF9" w:rsidRDefault="00410EF9" w:rsidP="00686C0F">
      <w:pPr>
        <w:spacing w:line="360" w:lineRule="auto"/>
        <w:ind w:left="360"/>
        <w:jc w:val="both"/>
        <w:rPr>
          <w:rFonts w:ascii="Arial" w:hAnsi="Arial" w:cs="Arial"/>
        </w:rPr>
      </w:pPr>
    </w:p>
    <w:p w14:paraId="5230BCA6" w14:textId="56A2EAA4" w:rsidR="00410EF9" w:rsidRDefault="00240AF7" w:rsidP="000959DA">
      <w:pPr>
        <w:spacing w:line="360" w:lineRule="auto"/>
        <w:jc w:val="both"/>
        <w:rPr>
          <w:rFonts w:ascii="Arial" w:hAnsi="Arial" w:cs="Arial"/>
          <w:sz w:val="22"/>
          <w:szCs w:val="22"/>
        </w:rPr>
      </w:pPr>
      <w:r>
        <w:rPr>
          <w:rFonts w:ascii="Arial" w:hAnsi="Arial" w:cs="Arial"/>
        </w:rPr>
        <w:t>‘</w:t>
      </w:r>
      <w:r w:rsidR="00410EF9">
        <w:rPr>
          <w:rFonts w:ascii="Arial" w:hAnsi="Arial" w:cs="Arial"/>
          <w:sz w:val="22"/>
          <w:szCs w:val="22"/>
        </w:rPr>
        <w:t>[14]</w:t>
      </w:r>
      <w:r w:rsidR="00212D33">
        <w:rPr>
          <w:rFonts w:ascii="Arial" w:hAnsi="Arial" w:cs="Arial"/>
          <w:sz w:val="22"/>
          <w:szCs w:val="22"/>
        </w:rPr>
        <w:t xml:space="preserve"> </w:t>
      </w:r>
      <w:r w:rsidR="00410EF9">
        <w:rPr>
          <w:rFonts w:ascii="Arial" w:hAnsi="Arial" w:cs="Arial"/>
          <w:sz w:val="22"/>
          <w:szCs w:val="22"/>
        </w:rPr>
        <w:t xml:space="preserve">What is the import of all the foregoing? In my view, the principle that is clearly established from the authorities cited above is that pleadings are designed to mark the exact boundaries of the issues that the court will be required to determine at trial. In this regard, both parties, namely, the plaintiff and the defendant are required to plead </w:t>
      </w:r>
      <w:r w:rsidR="00410EF9">
        <w:rPr>
          <w:rFonts w:ascii="Arial" w:hAnsi="Arial" w:cs="Arial"/>
          <w:sz w:val="22"/>
          <w:szCs w:val="22"/>
        </w:rPr>
        <w:lastRenderedPageBreak/>
        <w:t>their respective cases fully and concisely so as to leave the other protagonist and the court in no doubt as to the exact nature and scope of the case and the evidence that may be required to establish the claim or the defence as the case may be.</w:t>
      </w:r>
    </w:p>
    <w:p w14:paraId="15EC0832" w14:textId="77777777" w:rsidR="00410EF9" w:rsidRDefault="00410EF9" w:rsidP="00686C0F">
      <w:pPr>
        <w:spacing w:line="360" w:lineRule="auto"/>
        <w:ind w:left="360"/>
        <w:jc w:val="both"/>
        <w:rPr>
          <w:rFonts w:ascii="Arial" w:hAnsi="Arial" w:cs="Arial"/>
          <w:sz w:val="22"/>
          <w:szCs w:val="22"/>
        </w:rPr>
      </w:pPr>
    </w:p>
    <w:p w14:paraId="1B0316DF" w14:textId="13CBC516" w:rsidR="00410EF9" w:rsidRDefault="00410EF9" w:rsidP="00240AF7">
      <w:pPr>
        <w:spacing w:line="360" w:lineRule="auto"/>
        <w:jc w:val="both"/>
        <w:rPr>
          <w:rFonts w:ascii="Arial" w:hAnsi="Arial" w:cs="Arial"/>
        </w:rPr>
      </w:pPr>
      <w:r>
        <w:rPr>
          <w:rFonts w:ascii="Arial" w:hAnsi="Arial" w:cs="Arial"/>
          <w:sz w:val="22"/>
          <w:szCs w:val="22"/>
        </w:rPr>
        <w:t>[15</w:t>
      </w:r>
      <w:r w:rsidR="000959DA">
        <w:rPr>
          <w:rFonts w:ascii="Arial" w:hAnsi="Arial" w:cs="Arial"/>
          <w:sz w:val="22"/>
          <w:szCs w:val="22"/>
        </w:rPr>
        <w:t>]</w:t>
      </w:r>
      <w:r>
        <w:rPr>
          <w:rFonts w:ascii="Arial" w:hAnsi="Arial" w:cs="Arial"/>
          <w:sz w:val="22"/>
          <w:szCs w:val="22"/>
        </w:rPr>
        <w:t xml:space="preserve"> For that reason, it would seem to me that the pleadings constitute the Alpha and Omega of the case, as it were. In this regard, the issues to be determined by the court, both factual and legal, should find their life, being and continued existence in the pleadings and nowhere else. </w:t>
      </w:r>
      <w:r w:rsidRPr="00212D33">
        <w:rPr>
          <w:rFonts w:ascii="Arial" w:hAnsi="Arial" w:cs="Arial"/>
          <w:sz w:val="22"/>
          <w:szCs w:val="22"/>
          <w:u w:val="single"/>
        </w:rPr>
        <w:t>Issues extraneous to those recorded in the pleadings, regardless of how interesting</w:t>
      </w:r>
      <w:r w:rsidR="00212D33" w:rsidRPr="00212D33">
        <w:rPr>
          <w:rFonts w:ascii="Arial" w:hAnsi="Arial" w:cs="Arial"/>
          <w:sz w:val="22"/>
          <w:szCs w:val="22"/>
          <w:u w:val="single"/>
        </w:rPr>
        <w:t>, causally connected, even if like Siamese twins, to the issues clearly spelt out in the pleadings, should, in my respectful view, not be entertained by the court’</w:t>
      </w:r>
      <w:r w:rsidR="00212D33">
        <w:rPr>
          <w:rFonts w:ascii="Arial" w:hAnsi="Arial" w:cs="Arial"/>
          <w:sz w:val="22"/>
          <w:szCs w:val="22"/>
        </w:rPr>
        <w:t xml:space="preserve">. </w:t>
      </w:r>
      <w:r w:rsidR="00212D33">
        <w:rPr>
          <w:rFonts w:ascii="Arial" w:hAnsi="Arial" w:cs="Arial"/>
        </w:rPr>
        <w:t>(Emphasis added).</w:t>
      </w:r>
    </w:p>
    <w:p w14:paraId="1CDBFED6" w14:textId="77777777" w:rsidR="0090155C" w:rsidRDefault="0090155C" w:rsidP="00686C0F">
      <w:pPr>
        <w:spacing w:line="360" w:lineRule="auto"/>
        <w:ind w:left="360"/>
        <w:jc w:val="both"/>
        <w:rPr>
          <w:rFonts w:ascii="Arial" w:hAnsi="Arial" w:cs="Arial"/>
        </w:rPr>
      </w:pPr>
    </w:p>
    <w:p w14:paraId="41A506ED" w14:textId="50CC6FAF" w:rsidR="0090155C" w:rsidRDefault="00240AF7" w:rsidP="00240AF7">
      <w:pPr>
        <w:spacing w:line="360" w:lineRule="auto"/>
        <w:jc w:val="both"/>
        <w:rPr>
          <w:rFonts w:ascii="Arial" w:hAnsi="Arial" w:cs="Arial"/>
        </w:rPr>
      </w:pPr>
      <w:r>
        <w:rPr>
          <w:rFonts w:ascii="Arial" w:hAnsi="Arial" w:cs="Arial"/>
        </w:rPr>
        <w:t>[</w:t>
      </w:r>
      <w:r w:rsidR="0090155C">
        <w:rPr>
          <w:rFonts w:ascii="Arial" w:hAnsi="Arial" w:cs="Arial"/>
        </w:rPr>
        <w:t>6</w:t>
      </w:r>
      <w:r w:rsidR="00A91890">
        <w:rPr>
          <w:rFonts w:ascii="Arial" w:hAnsi="Arial" w:cs="Arial"/>
        </w:rPr>
        <w:t>7</w:t>
      </w:r>
      <w:r w:rsidR="0090155C">
        <w:rPr>
          <w:rFonts w:ascii="Arial" w:hAnsi="Arial" w:cs="Arial"/>
        </w:rPr>
        <w:t>]</w:t>
      </w:r>
      <w:r w:rsidR="0090155C">
        <w:rPr>
          <w:rFonts w:ascii="Arial" w:hAnsi="Arial" w:cs="Arial"/>
        </w:rPr>
        <w:tab/>
        <w:t xml:space="preserve">It would appear, from the foregoing, that the defendants have breached the cardinal principles of pleading and </w:t>
      </w:r>
      <w:r w:rsidR="00FC6013">
        <w:rPr>
          <w:rFonts w:ascii="Arial" w:hAnsi="Arial" w:cs="Arial"/>
        </w:rPr>
        <w:t xml:space="preserve">the procedures to be followed at </w:t>
      </w:r>
      <w:r w:rsidR="0090155C">
        <w:rPr>
          <w:rFonts w:ascii="Arial" w:hAnsi="Arial" w:cs="Arial"/>
        </w:rPr>
        <w:t>trial by introducing</w:t>
      </w:r>
      <w:r w:rsidR="00AA24E2">
        <w:rPr>
          <w:rFonts w:ascii="Arial" w:hAnsi="Arial" w:cs="Arial"/>
        </w:rPr>
        <w:t xml:space="preserve"> for the first time,</w:t>
      </w:r>
      <w:r w:rsidR="0090155C">
        <w:rPr>
          <w:rFonts w:ascii="Arial" w:hAnsi="Arial" w:cs="Arial"/>
        </w:rPr>
        <w:t xml:space="preserve"> in closing argument</w:t>
      </w:r>
      <w:r w:rsidR="00AA24E2">
        <w:rPr>
          <w:rFonts w:ascii="Arial" w:hAnsi="Arial" w:cs="Arial"/>
        </w:rPr>
        <w:t>,</w:t>
      </w:r>
      <w:r w:rsidR="0090155C">
        <w:rPr>
          <w:rFonts w:ascii="Arial" w:hAnsi="Arial" w:cs="Arial"/>
        </w:rPr>
        <w:t xml:space="preserve"> issues that were never pleaded, nor, I may necessarily add, submitted to the court for determination during the case management stage. Where a party chooses to confine issues for determinat</w:t>
      </w:r>
      <w:r w:rsidR="00FC6013">
        <w:rPr>
          <w:rFonts w:ascii="Arial" w:hAnsi="Arial" w:cs="Arial"/>
        </w:rPr>
        <w:t>ion in the deep recesses of hi</w:t>
      </w:r>
      <w:r w:rsidR="0090155C">
        <w:rPr>
          <w:rFonts w:ascii="Arial" w:hAnsi="Arial" w:cs="Arial"/>
        </w:rPr>
        <w:t>s</w:t>
      </w:r>
      <w:r w:rsidR="00FC6013">
        <w:rPr>
          <w:rFonts w:ascii="Arial" w:hAnsi="Arial" w:cs="Arial"/>
        </w:rPr>
        <w:t xml:space="preserve"> or her</w:t>
      </w:r>
      <w:r w:rsidR="0090155C">
        <w:rPr>
          <w:rFonts w:ascii="Arial" w:hAnsi="Arial" w:cs="Arial"/>
        </w:rPr>
        <w:t xml:space="preserve"> bosom, until the last minute of the trial or the last stage before judgment, thus laying an ambush both for the court and the opponent, </w:t>
      </w:r>
      <w:r w:rsidR="0007780A">
        <w:rPr>
          <w:rFonts w:ascii="Arial" w:hAnsi="Arial" w:cs="Arial"/>
        </w:rPr>
        <w:t xml:space="preserve">he or she </w:t>
      </w:r>
      <w:r w:rsidR="0090155C">
        <w:rPr>
          <w:rFonts w:ascii="Arial" w:hAnsi="Arial" w:cs="Arial"/>
        </w:rPr>
        <w:t xml:space="preserve">should be faced with one unequivocal and firm response, namely, a stern </w:t>
      </w:r>
      <w:r w:rsidR="00AA24E2">
        <w:rPr>
          <w:rFonts w:ascii="Arial" w:hAnsi="Arial" w:cs="Arial"/>
        </w:rPr>
        <w:t>refusal by the court to entertain that issue</w:t>
      </w:r>
      <w:r w:rsidR="0090155C">
        <w:rPr>
          <w:rFonts w:ascii="Arial" w:hAnsi="Arial" w:cs="Arial"/>
        </w:rPr>
        <w:t xml:space="preserve"> or issues. This, in my considered view, is the fate that must await the defendants in this matter.</w:t>
      </w:r>
    </w:p>
    <w:p w14:paraId="2EF324B9" w14:textId="77777777" w:rsidR="0007780A" w:rsidRDefault="0007780A" w:rsidP="00686C0F">
      <w:pPr>
        <w:spacing w:line="360" w:lineRule="auto"/>
        <w:ind w:left="360"/>
        <w:jc w:val="both"/>
        <w:rPr>
          <w:rFonts w:ascii="Arial" w:hAnsi="Arial" w:cs="Arial"/>
        </w:rPr>
      </w:pPr>
    </w:p>
    <w:p w14:paraId="40D4A194" w14:textId="2B861B44" w:rsidR="0007780A" w:rsidRDefault="00A91890" w:rsidP="00240AF7">
      <w:pPr>
        <w:spacing w:line="360" w:lineRule="auto"/>
        <w:jc w:val="both"/>
        <w:rPr>
          <w:rFonts w:ascii="Arial" w:hAnsi="Arial" w:cs="Arial"/>
        </w:rPr>
      </w:pPr>
      <w:r>
        <w:rPr>
          <w:rFonts w:ascii="Arial" w:hAnsi="Arial" w:cs="Arial"/>
        </w:rPr>
        <w:t>[68</w:t>
      </w:r>
      <w:r w:rsidR="0007780A">
        <w:rPr>
          <w:rFonts w:ascii="Arial" w:hAnsi="Arial" w:cs="Arial"/>
        </w:rPr>
        <w:t>]</w:t>
      </w:r>
      <w:r w:rsidR="0007780A">
        <w:rPr>
          <w:rFonts w:ascii="Arial" w:hAnsi="Arial" w:cs="Arial"/>
        </w:rPr>
        <w:tab/>
        <w:t xml:space="preserve">What compounds issues in this matter is that from the portions quoted of the pre-trial order recorded above, it is clear that the plaintiff actually accepted that the amount of N$ 400 000 was paid by the plaintiff in compliance with the agreement. It is accordingly impermissible for a party, to then at trial, make a complete </w:t>
      </w:r>
      <w:r w:rsidR="00920FFD">
        <w:rPr>
          <w:rFonts w:ascii="Arial" w:hAnsi="Arial" w:cs="Arial"/>
          <w:i/>
        </w:rPr>
        <w:t>volte-face</w:t>
      </w:r>
      <w:r w:rsidR="0007780A">
        <w:rPr>
          <w:rFonts w:ascii="Arial" w:hAnsi="Arial" w:cs="Arial"/>
          <w:i/>
        </w:rPr>
        <w:t xml:space="preserve"> </w:t>
      </w:r>
      <w:r w:rsidR="0007780A">
        <w:rPr>
          <w:rFonts w:ascii="Arial" w:hAnsi="Arial" w:cs="Arial"/>
        </w:rPr>
        <w:t>in this regard. It must actually carry the greatest weight of condemnation by the court, which I hereby do</w:t>
      </w:r>
      <w:r w:rsidR="00D32F9E">
        <w:rPr>
          <w:rFonts w:ascii="Arial" w:hAnsi="Arial" w:cs="Arial"/>
        </w:rPr>
        <w:t xml:space="preserve"> express</w:t>
      </w:r>
      <w:r w:rsidR="0007780A">
        <w:rPr>
          <w:rFonts w:ascii="Arial" w:hAnsi="Arial" w:cs="Arial"/>
        </w:rPr>
        <w:t xml:space="preserve">.  </w:t>
      </w:r>
    </w:p>
    <w:p w14:paraId="00B628B6" w14:textId="77777777" w:rsidR="0090155C" w:rsidRDefault="0090155C" w:rsidP="00686C0F">
      <w:pPr>
        <w:spacing w:line="360" w:lineRule="auto"/>
        <w:ind w:left="360"/>
        <w:jc w:val="both"/>
        <w:rPr>
          <w:rFonts w:ascii="Arial" w:hAnsi="Arial" w:cs="Arial"/>
        </w:rPr>
      </w:pPr>
    </w:p>
    <w:p w14:paraId="3ECC163C" w14:textId="424FE8D0" w:rsidR="0090155C" w:rsidRDefault="00A91890" w:rsidP="00240AF7">
      <w:pPr>
        <w:spacing w:line="360" w:lineRule="auto"/>
        <w:jc w:val="both"/>
        <w:rPr>
          <w:rFonts w:ascii="Arial" w:hAnsi="Arial" w:cs="Arial"/>
        </w:rPr>
      </w:pPr>
      <w:r>
        <w:rPr>
          <w:rFonts w:ascii="Arial" w:hAnsi="Arial" w:cs="Arial"/>
        </w:rPr>
        <w:t>[69</w:t>
      </w:r>
      <w:r w:rsidR="0007780A">
        <w:rPr>
          <w:rFonts w:ascii="Arial" w:hAnsi="Arial" w:cs="Arial"/>
        </w:rPr>
        <w:t>]</w:t>
      </w:r>
      <w:r w:rsidR="0007780A">
        <w:rPr>
          <w:rFonts w:ascii="Arial" w:hAnsi="Arial" w:cs="Arial"/>
        </w:rPr>
        <w:tab/>
        <w:t>In the premises, I come to t</w:t>
      </w:r>
      <w:r w:rsidR="0090155C">
        <w:rPr>
          <w:rFonts w:ascii="Arial" w:hAnsi="Arial" w:cs="Arial"/>
        </w:rPr>
        <w:t xml:space="preserve">he </w:t>
      </w:r>
      <w:r w:rsidR="0007780A">
        <w:rPr>
          <w:rFonts w:ascii="Arial" w:hAnsi="Arial" w:cs="Arial"/>
        </w:rPr>
        <w:t xml:space="preserve">inexorable </w:t>
      </w:r>
      <w:r w:rsidR="0090155C">
        <w:rPr>
          <w:rFonts w:ascii="Arial" w:hAnsi="Arial" w:cs="Arial"/>
        </w:rPr>
        <w:t xml:space="preserve">view that due to the defendants’ iniquitous </w:t>
      </w:r>
      <w:r w:rsidR="007004CE">
        <w:rPr>
          <w:rFonts w:ascii="Arial" w:hAnsi="Arial" w:cs="Arial"/>
        </w:rPr>
        <w:t>action of raising issues not pleaded and also not included in the pre-trial order, the cour</w:t>
      </w:r>
      <w:r w:rsidR="0007780A">
        <w:rPr>
          <w:rFonts w:ascii="Arial" w:hAnsi="Arial" w:cs="Arial"/>
        </w:rPr>
        <w:t>t must refuse to entertain this issue,</w:t>
      </w:r>
      <w:r w:rsidR="007004CE">
        <w:rPr>
          <w:rFonts w:ascii="Arial" w:hAnsi="Arial" w:cs="Arial"/>
        </w:rPr>
        <w:t xml:space="preserve"> thus sending a clear </w:t>
      </w:r>
      <w:r w:rsidR="007004CE">
        <w:rPr>
          <w:rFonts w:ascii="Arial" w:hAnsi="Arial" w:cs="Arial"/>
        </w:rPr>
        <w:lastRenderedPageBreak/>
        <w:t xml:space="preserve">and unambiguous message that the rules matter and must be followed to the letter, failing which a heavy price may </w:t>
      </w:r>
      <w:r w:rsidR="00D32F9E">
        <w:rPr>
          <w:rFonts w:ascii="Arial" w:hAnsi="Arial" w:cs="Arial"/>
        </w:rPr>
        <w:t xml:space="preserve">have to </w:t>
      </w:r>
      <w:r w:rsidR="007004CE">
        <w:rPr>
          <w:rFonts w:ascii="Arial" w:hAnsi="Arial" w:cs="Arial"/>
        </w:rPr>
        <w:t xml:space="preserve">be paid. This is the price fitting </w:t>
      </w:r>
      <w:r w:rsidR="00D32F9E">
        <w:rPr>
          <w:rFonts w:ascii="Arial" w:hAnsi="Arial" w:cs="Arial"/>
        </w:rPr>
        <w:t xml:space="preserve">for </w:t>
      </w:r>
      <w:r w:rsidR="007004CE">
        <w:rPr>
          <w:rFonts w:ascii="Arial" w:hAnsi="Arial" w:cs="Arial"/>
        </w:rPr>
        <w:t>the defendants</w:t>
      </w:r>
      <w:r w:rsidR="00D32F9E">
        <w:rPr>
          <w:rFonts w:ascii="Arial" w:hAnsi="Arial" w:cs="Arial"/>
        </w:rPr>
        <w:t xml:space="preserve"> to pay</w:t>
      </w:r>
      <w:r w:rsidR="007004CE">
        <w:rPr>
          <w:rFonts w:ascii="Arial" w:hAnsi="Arial" w:cs="Arial"/>
        </w:rPr>
        <w:t xml:space="preserve"> in this matter for their actions</w:t>
      </w:r>
      <w:r w:rsidR="0007780A">
        <w:rPr>
          <w:rFonts w:ascii="Arial" w:hAnsi="Arial" w:cs="Arial"/>
        </w:rPr>
        <w:t>, which amount</w:t>
      </w:r>
      <w:r w:rsidR="00D32F9E">
        <w:rPr>
          <w:rFonts w:ascii="Arial" w:hAnsi="Arial" w:cs="Arial"/>
        </w:rPr>
        <w:t>s</w:t>
      </w:r>
      <w:r w:rsidR="0007780A">
        <w:rPr>
          <w:rFonts w:ascii="Arial" w:hAnsi="Arial" w:cs="Arial"/>
        </w:rPr>
        <w:t xml:space="preserve"> to them sending both the plaintiff and the court on a wild goose chase, as it were</w:t>
      </w:r>
      <w:r w:rsidR="007004CE">
        <w:rPr>
          <w:rFonts w:ascii="Arial" w:hAnsi="Arial" w:cs="Arial"/>
        </w:rPr>
        <w:t>. A strong message must be sent that parties will not be allowed to canvass issues not pleaded nor those that have not been sanctioned by the pre-trial order as open for determination</w:t>
      </w:r>
      <w:r w:rsidR="0007780A">
        <w:rPr>
          <w:rFonts w:ascii="Arial" w:hAnsi="Arial" w:cs="Arial"/>
        </w:rPr>
        <w:t xml:space="preserve"> at the stroke of the pen of one of the parties</w:t>
      </w:r>
      <w:r w:rsidR="007004CE">
        <w:rPr>
          <w:rFonts w:ascii="Arial" w:hAnsi="Arial" w:cs="Arial"/>
        </w:rPr>
        <w:t xml:space="preserve">. </w:t>
      </w:r>
      <w:r w:rsidR="0090155C">
        <w:rPr>
          <w:rFonts w:ascii="Arial" w:hAnsi="Arial" w:cs="Arial"/>
        </w:rPr>
        <w:t xml:space="preserve"> </w:t>
      </w:r>
    </w:p>
    <w:p w14:paraId="4DFF34A1" w14:textId="77777777" w:rsidR="00497B61" w:rsidRDefault="00497B61" w:rsidP="00686C0F">
      <w:pPr>
        <w:spacing w:line="360" w:lineRule="auto"/>
        <w:ind w:left="360"/>
        <w:jc w:val="both"/>
        <w:rPr>
          <w:rFonts w:ascii="Arial" w:hAnsi="Arial" w:cs="Arial"/>
        </w:rPr>
      </w:pPr>
    </w:p>
    <w:p w14:paraId="5292E479" w14:textId="72AAF307" w:rsidR="00497B61" w:rsidRDefault="00497B61" w:rsidP="00240AF7">
      <w:pPr>
        <w:spacing w:line="360" w:lineRule="auto"/>
        <w:jc w:val="both"/>
        <w:rPr>
          <w:rFonts w:ascii="Arial" w:hAnsi="Arial" w:cs="Arial"/>
          <w:u w:val="single"/>
        </w:rPr>
      </w:pPr>
      <w:r>
        <w:rPr>
          <w:rFonts w:ascii="Arial" w:hAnsi="Arial" w:cs="Arial"/>
          <w:u w:val="single"/>
        </w:rPr>
        <w:t>Analysis of the evidence and evaluation thereof</w:t>
      </w:r>
    </w:p>
    <w:p w14:paraId="6853D1F8" w14:textId="77777777" w:rsidR="00497B61" w:rsidRDefault="00497B61" w:rsidP="00686C0F">
      <w:pPr>
        <w:spacing w:line="360" w:lineRule="auto"/>
        <w:ind w:left="360"/>
        <w:jc w:val="both"/>
        <w:rPr>
          <w:rFonts w:ascii="Arial" w:hAnsi="Arial" w:cs="Arial"/>
          <w:u w:val="single"/>
        </w:rPr>
      </w:pPr>
    </w:p>
    <w:p w14:paraId="49C4C819" w14:textId="2AD74ED7" w:rsidR="00497B61" w:rsidRDefault="00A91890" w:rsidP="00240AF7">
      <w:pPr>
        <w:spacing w:line="360" w:lineRule="auto"/>
        <w:jc w:val="both"/>
        <w:rPr>
          <w:rFonts w:ascii="Arial" w:hAnsi="Arial" w:cs="Arial"/>
        </w:rPr>
      </w:pPr>
      <w:r>
        <w:rPr>
          <w:rFonts w:ascii="Arial" w:hAnsi="Arial" w:cs="Arial"/>
        </w:rPr>
        <w:t>[70</w:t>
      </w:r>
      <w:r w:rsidR="00497B61">
        <w:rPr>
          <w:rFonts w:ascii="Arial" w:hAnsi="Arial" w:cs="Arial"/>
        </w:rPr>
        <w:t>]</w:t>
      </w:r>
      <w:r w:rsidR="00497B61">
        <w:rPr>
          <w:rFonts w:ascii="Arial" w:hAnsi="Arial" w:cs="Arial"/>
        </w:rPr>
        <w:tab/>
        <w:t xml:space="preserve">It is clear from the discordant accounts testified to by the parties’ witnesses that their evidence is at complete variance. What must a court do in circumstances such as this, to arrive at </w:t>
      </w:r>
      <w:r w:rsidR="0007780A">
        <w:rPr>
          <w:rFonts w:ascii="Arial" w:hAnsi="Arial" w:cs="Arial"/>
        </w:rPr>
        <w:t xml:space="preserve">a </w:t>
      </w:r>
      <w:r w:rsidR="00497B61">
        <w:rPr>
          <w:rFonts w:ascii="Arial" w:hAnsi="Arial" w:cs="Arial"/>
        </w:rPr>
        <w:t>conclusion on where the probabilities lie at the end of the case, and which would eventually determine whether the party on whom the onus rests, has been able to discharge same?</w:t>
      </w:r>
    </w:p>
    <w:p w14:paraId="5C5F947D" w14:textId="77777777" w:rsidR="003A2EE2" w:rsidRDefault="003A2EE2" w:rsidP="00240AF7">
      <w:pPr>
        <w:spacing w:line="360" w:lineRule="auto"/>
        <w:jc w:val="both"/>
        <w:rPr>
          <w:rFonts w:ascii="Arial" w:hAnsi="Arial" w:cs="Arial"/>
        </w:rPr>
      </w:pPr>
    </w:p>
    <w:p w14:paraId="233A4EE1" w14:textId="72AA7840" w:rsidR="00497B61" w:rsidRDefault="00A91890" w:rsidP="00240AF7">
      <w:pPr>
        <w:spacing w:line="360" w:lineRule="auto"/>
        <w:jc w:val="both"/>
        <w:rPr>
          <w:rFonts w:ascii="Arial" w:hAnsi="Arial" w:cs="Arial"/>
        </w:rPr>
      </w:pPr>
      <w:r>
        <w:rPr>
          <w:rFonts w:ascii="Arial" w:hAnsi="Arial" w:cs="Arial"/>
        </w:rPr>
        <w:t>[71</w:t>
      </w:r>
      <w:r w:rsidR="00497B61">
        <w:rPr>
          <w:rFonts w:ascii="Arial" w:hAnsi="Arial" w:cs="Arial"/>
        </w:rPr>
        <w:t>]</w:t>
      </w:r>
      <w:r w:rsidR="00497B61">
        <w:rPr>
          <w:rFonts w:ascii="Arial" w:hAnsi="Arial" w:cs="Arial"/>
        </w:rPr>
        <w:tab/>
        <w:t xml:space="preserve">In </w:t>
      </w:r>
      <w:proofErr w:type="spellStart"/>
      <w:r w:rsidR="00130A0A">
        <w:rPr>
          <w:rFonts w:ascii="Arial" w:hAnsi="Arial" w:cs="Arial"/>
          <w:i/>
        </w:rPr>
        <w:t>Ndabeni</w:t>
      </w:r>
      <w:proofErr w:type="spellEnd"/>
      <w:r w:rsidR="00130A0A">
        <w:rPr>
          <w:rFonts w:ascii="Arial" w:hAnsi="Arial" w:cs="Arial"/>
          <w:i/>
        </w:rPr>
        <w:t xml:space="preserve"> v </w:t>
      </w:r>
      <w:proofErr w:type="spellStart"/>
      <w:r w:rsidR="00130A0A">
        <w:rPr>
          <w:rFonts w:ascii="Arial" w:hAnsi="Arial" w:cs="Arial"/>
          <w:i/>
        </w:rPr>
        <w:t>Nandu</w:t>
      </w:r>
      <w:proofErr w:type="spellEnd"/>
      <w:r w:rsidR="00130A0A">
        <w:rPr>
          <w:rFonts w:ascii="Arial" w:hAnsi="Arial" w:cs="Arial"/>
          <w:i/>
        </w:rPr>
        <w:t>,</w:t>
      </w:r>
      <w:r w:rsidR="00130A0A">
        <w:rPr>
          <w:rStyle w:val="FootnoteReference"/>
          <w:rFonts w:ascii="Arial" w:hAnsi="Arial" w:cs="Arial"/>
          <w:i/>
        </w:rPr>
        <w:footnoteReference w:id="12"/>
      </w:r>
      <w:r w:rsidR="00497B61">
        <w:rPr>
          <w:rFonts w:ascii="Arial" w:hAnsi="Arial" w:cs="Arial"/>
        </w:rPr>
        <w:t xml:space="preserve"> </w:t>
      </w:r>
      <w:r w:rsidR="00130A0A">
        <w:rPr>
          <w:rFonts w:ascii="Arial" w:hAnsi="Arial" w:cs="Arial"/>
        </w:rPr>
        <w:t xml:space="preserve">this court dealt with the proper approach to such issues. The court referred to the </w:t>
      </w:r>
      <w:r w:rsidR="00130A0A">
        <w:rPr>
          <w:rFonts w:ascii="Arial" w:hAnsi="Arial" w:cs="Arial"/>
          <w:i/>
        </w:rPr>
        <w:t xml:space="preserve">locus </w:t>
      </w:r>
      <w:proofErr w:type="spellStart"/>
      <w:r w:rsidR="00130A0A">
        <w:rPr>
          <w:rFonts w:ascii="Arial" w:hAnsi="Arial" w:cs="Arial"/>
          <w:i/>
        </w:rPr>
        <w:t>classicus</w:t>
      </w:r>
      <w:proofErr w:type="spellEnd"/>
      <w:r w:rsidR="00130A0A">
        <w:rPr>
          <w:rFonts w:ascii="Arial" w:hAnsi="Arial" w:cs="Arial"/>
          <w:i/>
        </w:rPr>
        <w:t xml:space="preserve"> </w:t>
      </w:r>
      <w:r w:rsidR="00130A0A">
        <w:rPr>
          <w:rFonts w:ascii="Arial" w:hAnsi="Arial" w:cs="Arial"/>
        </w:rPr>
        <w:t xml:space="preserve">judgment of </w:t>
      </w:r>
      <w:r w:rsidR="00130A0A">
        <w:rPr>
          <w:rFonts w:ascii="Arial" w:hAnsi="Arial" w:cs="Arial"/>
          <w:i/>
        </w:rPr>
        <w:t xml:space="preserve">SFW Group Ltd v </w:t>
      </w:r>
      <w:proofErr w:type="gramStart"/>
      <w:r w:rsidR="00130A0A">
        <w:rPr>
          <w:rFonts w:ascii="Arial" w:hAnsi="Arial" w:cs="Arial"/>
          <w:i/>
        </w:rPr>
        <w:t>Another</w:t>
      </w:r>
      <w:proofErr w:type="gramEnd"/>
      <w:r w:rsidR="00130A0A">
        <w:rPr>
          <w:rFonts w:ascii="Arial" w:hAnsi="Arial" w:cs="Arial"/>
          <w:i/>
        </w:rPr>
        <w:t xml:space="preserve"> v Martell Et </w:t>
      </w:r>
      <w:proofErr w:type="spellStart"/>
      <w:r w:rsidR="00130A0A">
        <w:rPr>
          <w:rFonts w:ascii="Arial" w:hAnsi="Arial" w:cs="Arial"/>
          <w:i/>
        </w:rPr>
        <w:t>Cie</w:t>
      </w:r>
      <w:proofErr w:type="spellEnd"/>
      <w:r w:rsidR="00130A0A">
        <w:rPr>
          <w:rFonts w:ascii="Arial" w:hAnsi="Arial" w:cs="Arial"/>
          <w:i/>
        </w:rPr>
        <w:t xml:space="preserve"> and Others,</w:t>
      </w:r>
      <w:r w:rsidR="00130A0A">
        <w:rPr>
          <w:rStyle w:val="FootnoteReference"/>
          <w:rFonts w:ascii="Arial" w:hAnsi="Arial" w:cs="Arial"/>
          <w:i/>
        </w:rPr>
        <w:footnoteReference w:id="13"/>
      </w:r>
      <w:r w:rsidR="00130A0A">
        <w:rPr>
          <w:rFonts w:ascii="Arial" w:hAnsi="Arial" w:cs="Arial"/>
          <w:i/>
        </w:rPr>
        <w:t xml:space="preserve"> </w:t>
      </w:r>
      <w:r w:rsidR="00130A0A">
        <w:rPr>
          <w:rFonts w:ascii="Arial" w:hAnsi="Arial" w:cs="Arial"/>
        </w:rPr>
        <w:t xml:space="preserve">which has been cited with approval in this jurisdiction in the case of </w:t>
      </w:r>
      <w:r w:rsidR="00130A0A">
        <w:rPr>
          <w:rFonts w:ascii="Arial" w:hAnsi="Arial" w:cs="Arial"/>
          <w:i/>
        </w:rPr>
        <w:t xml:space="preserve">Life Office of Namibia Ltd v </w:t>
      </w:r>
      <w:proofErr w:type="spellStart"/>
      <w:r w:rsidR="00130A0A">
        <w:rPr>
          <w:rFonts w:ascii="Arial" w:hAnsi="Arial" w:cs="Arial"/>
          <w:i/>
        </w:rPr>
        <w:t>Amakali</w:t>
      </w:r>
      <w:proofErr w:type="spellEnd"/>
      <w:r w:rsidR="00130A0A">
        <w:rPr>
          <w:rFonts w:ascii="Arial" w:hAnsi="Arial" w:cs="Arial"/>
          <w:i/>
        </w:rPr>
        <w:t>.</w:t>
      </w:r>
      <w:r w:rsidR="00130A0A">
        <w:rPr>
          <w:rStyle w:val="FootnoteReference"/>
          <w:rFonts w:ascii="Arial" w:hAnsi="Arial" w:cs="Arial"/>
          <w:i/>
        </w:rPr>
        <w:footnoteReference w:id="14"/>
      </w:r>
      <w:r w:rsidR="00130A0A">
        <w:rPr>
          <w:rFonts w:ascii="Arial" w:hAnsi="Arial" w:cs="Arial"/>
          <w:i/>
        </w:rPr>
        <w:t xml:space="preserve"> </w:t>
      </w:r>
      <w:proofErr w:type="spellStart"/>
      <w:r w:rsidR="00130A0A">
        <w:rPr>
          <w:rFonts w:ascii="Arial" w:hAnsi="Arial" w:cs="Arial"/>
        </w:rPr>
        <w:t>Nienaber</w:t>
      </w:r>
      <w:proofErr w:type="spellEnd"/>
      <w:r w:rsidR="00130A0A">
        <w:rPr>
          <w:rFonts w:ascii="Arial" w:hAnsi="Arial" w:cs="Arial"/>
        </w:rPr>
        <w:t xml:space="preserve"> JA, who wrote the judgment for the majority in the </w:t>
      </w:r>
      <w:r w:rsidR="00130A0A">
        <w:rPr>
          <w:rFonts w:ascii="Arial" w:hAnsi="Arial" w:cs="Arial"/>
          <w:i/>
        </w:rPr>
        <w:t xml:space="preserve">SFW </w:t>
      </w:r>
      <w:r w:rsidR="006E07B0">
        <w:rPr>
          <w:rFonts w:ascii="Arial" w:hAnsi="Arial" w:cs="Arial"/>
        </w:rPr>
        <w:t>case</w:t>
      </w:r>
      <w:r w:rsidR="0007780A">
        <w:rPr>
          <w:rFonts w:ascii="Arial" w:hAnsi="Arial" w:cs="Arial"/>
        </w:rPr>
        <w:t>,</w:t>
      </w:r>
      <w:r w:rsidR="006E07B0">
        <w:rPr>
          <w:rFonts w:ascii="Arial" w:hAnsi="Arial" w:cs="Arial"/>
        </w:rPr>
        <w:t xml:space="preserve"> st</w:t>
      </w:r>
      <w:r w:rsidR="00130A0A">
        <w:rPr>
          <w:rFonts w:ascii="Arial" w:hAnsi="Arial" w:cs="Arial"/>
        </w:rPr>
        <w:t>ated the applicable principles as follows:</w:t>
      </w:r>
    </w:p>
    <w:p w14:paraId="4A600515" w14:textId="77777777" w:rsidR="002B6A8C" w:rsidRDefault="002B6A8C" w:rsidP="00686C0F">
      <w:pPr>
        <w:spacing w:line="360" w:lineRule="auto"/>
        <w:ind w:left="360"/>
        <w:jc w:val="both"/>
        <w:rPr>
          <w:rFonts w:ascii="Arial" w:hAnsi="Arial" w:cs="Arial"/>
        </w:rPr>
      </w:pPr>
    </w:p>
    <w:p w14:paraId="1F69E1AF" w14:textId="24D74741" w:rsidR="00E27958" w:rsidRDefault="002B6A8C" w:rsidP="000959DA">
      <w:pPr>
        <w:spacing w:line="360" w:lineRule="auto"/>
        <w:jc w:val="both"/>
        <w:rPr>
          <w:rFonts w:ascii="Arial" w:hAnsi="Arial" w:cs="Arial"/>
          <w:sz w:val="22"/>
          <w:szCs w:val="22"/>
        </w:rPr>
      </w:pPr>
      <w:r>
        <w:rPr>
          <w:rFonts w:ascii="Arial" w:hAnsi="Arial" w:cs="Arial"/>
          <w:sz w:val="22"/>
          <w:szCs w:val="22"/>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w:t>
      </w:r>
      <w:r w:rsidR="00E27958">
        <w:rPr>
          <w:rFonts w:ascii="Arial" w:hAnsi="Arial" w:cs="Arial"/>
          <w:sz w:val="22"/>
          <w:szCs w:val="22"/>
        </w:rPr>
        <w:t>; and (c) the probabilities. As to (a), the court’s finding on the credibility of a particular witness will depend on its impression about the veracity of the witness. That, in turn, will depend on a variety of subsidiary factors, not necessarily in order of importance, such as (</w:t>
      </w:r>
      <w:proofErr w:type="spellStart"/>
      <w:r w:rsidR="00E27958">
        <w:rPr>
          <w:rFonts w:ascii="Arial" w:hAnsi="Arial" w:cs="Arial"/>
          <w:sz w:val="22"/>
          <w:szCs w:val="22"/>
        </w:rPr>
        <w:t>i</w:t>
      </w:r>
      <w:proofErr w:type="spellEnd"/>
      <w:r w:rsidR="00E27958">
        <w:rPr>
          <w:rFonts w:ascii="Arial" w:hAnsi="Arial" w:cs="Arial"/>
          <w:sz w:val="22"/>
          <w:szCs w:val="22"/>
        </w:rPr>
        <w:t xml:space="preserve">) the witness’s candour and demeanour; (ii) his bias, latent and blatant; (iii) internal contradictions in his evidence; (vi) external contradictions with what was pleaded or what was put on his behalf, or with established </w:t>
      </w:r>
      <w:r w:rsidR="00E27958">
        <w:rPr>
          <w:rFonts w:ascii="Arial" w:hAnsi="Arial" w:cs="Arial"/>
          <w:sz w:val="22"/>
          <w:szCs w:val="22"/>
        </w:rPr>
        <w:lastRenderedPageBreak/>
        <w:t>fact with his own extra-curial statements or actions; (v) the probability or improbability of particular aspects of his version; (vi) the calibre and cogency of his performance compared to that of other witnesses testifying about the same incident or events . . .’</w:t>
      </w:r>
    </w:p>
    <w:p w14:paraId="78C9CAE7" w14:textId="77777777" w:rsidR="00E27958" w:rsidRDefault="00E27958" w:rsidP="00E27958">
      <w:pPr>
        <w:spacing w:line="360" w:lineRule="auto"/>
        <w:ind w:left="360"/>
        <w:jc w:val="both"/>
        <w:rPr>
          <w:rFonts w:ascii="Arial" w:hAnsi="Arial" w:cs="Arial"/>
          <w:sz w:val="22"/>
          <w:szCs w:val="22"/>
        </w:rPr>
      </w:pPr>
    </w:p>
    <w:p w14:paraId="1A7FF9B0" w14:textId="3524FE5F" w:rsidR="002B6A8C" w:rsidRDefault="00A91890" w:rsidP="00240AF7">
      <w:pPr>
        <w:spacing w:line="360" w:lineRule="auto"/>
        <w:jc w:val="both"/>
        <w:rPr>
          <w:rFonts w:ascii="Arial" w:hAnsi="Arial" w:cs="Arial"/>
          <w:sz w:val="22"/>
          <w:szCs w:val="22"/>
        </w:rPr>
      </w:pPr>
      <w:r>
        <w:rPr>
          <w:rFonts w:ascii="Arial" w:hAnsi="Arial" w:cs="Arial"/>
        </w:rPr>
        <w:t>[72</w:t>
      </w:r>
      <w:r w:rsidR="00E27958">
        <w:rPr>
          <w:rFonts w:ascii="Arial" w:hAnsi="Arial" w:cs="Arial"/>
        </w:rPr>
        <w:t>]</w:t>
      </w:r>
      <w:r w:rsidR="00E27958">
        <w:rPr>
          <w:rFonts w:ascii="Arial" w:hAnsi="Arial" w:cs="Arial"/>
        </w:rPr>
        <w:tab/>
        <w:t xml:space="preserve">I will, at this juncture, deal with the evidence of both protagonists, with a view to deciding on their credibility and which of the irreconcilable versions </w:t>
      </w:r>
      <w:r w:rsidR="00EA13B2">
        <w:rPr>
          <w:rFonts w:ascii="Arial" w:hAnsi="Arial" w:cs="Arial"/>
        </w:rPr>
        <w:t xml:space="preserve">adduced </w:t>
      </w:r>
      <w:r w:rsidR="00E27958">
        <w:rPr>
          <w:rFonts w:ascii="Arial" w:hAnsi="Arial" w:cs="Arial"/>
        </w:rPr>
        <w:t xml:space="preserve">the court should </w:t>
      </w:r>
      <w:r w:rsidR="00D32F9E">
        <w:rPr>
          <w:rFonts w:ascii="Arial" w:hAnsi="Arial" w:cs="Arial"/>
        </w:rPr>
        <w:t>lend credence to</w:t>
      </w:r>
      <w:r w:rsidR="00E27958">
        <w:rPr>
          <w:rFonts w:ascii="Arial" w:hAnsi="Arial" w:cs="Arial"/>
        </w:rPr>
        <w:t>. In coming to a conclusion on this matter, the court will put to use the methods suggested by the court in the above case, or those of them that may prove applicable to the case at hand.</w:t>
      </w:r>
      <w:r w:rsidR="00E27958">
        <w:rPr>
          <w:rFonts w:ascii="Arial" w:hAnsi="Arial" w:cs="Arial"/>
          <w:sz w:val="22"/>
          <w:szCs w:val="22"/>
        </w:rPr>
        <w:t xml:space="preserve"> </w:t>
      </w:r>
    </w:p>
    <w:p w14:paraId="27FD274A" w14:textId="77777777" w:rsidR="00EA13B2" w:rsidRDefault="00EA13B2" w:rsidP="00E27958">
      <w:pPr>
        <w:spacing w:line="360" w:lineRule="auto"/>
        <w:ind w:left="360"/>
        <w:jc w:val="both"/>
        <w:rPr>
          <w:rFonts w:ascii="Arial" w:hAnsi="Arial" w:cs="Arial"/>
          <w:sz w:val="22"/>
          <w:szCs w:val="22"/>
        </w:rPr>
      </w:pPr>
    </w:p>
    <w:p w14:paraId="22E59CF6" w14:textId="7F00FBBA" w:rsidR="00AA24E2" w:rsidRDefault="00A91890" w:rsidP="00CA60A7">
      <w:pPr>
        <w:spacing w:line="360" w:lineRule="auto"/>
        <w:jc w:val="both"/>
        <w:rPr>
          <w:rFonts w:ascii="Arial" w:hAnsi="Arial" w:cs="Arial"/>
        </w:rPr>
      </w:pPr>
      <w:r>
        <w:rPr>
          <w:rFonts w:ascii="Arial" w:hAnsi="Arial" w:cs="Arial"/>
        </w:rPr>
        <w:t>[73</w:t>
      </w:r>
      <w:r w:rsidR="00EA13B2">
        <w:rPr>
          <w:rFonts w:ascii="Arial" w:hAnsi="Arial" w:cs="Arial"/>
        </w:rPr>
        <w:t>]</w:t>
      </w:r>
      <w:r w:rsidR="00EA13B2">
        <w:rPr>
          <w:rFonts w:ascii="Arial" w:hAnsi="Arial" w:cs="Arial"/>
        </w:rPr>
        <w:tab/>
        <w:t>The plaintiff, it must be accepted, is a very old man. That</w:t>
      </w:r>
      <w:r w:rsidR="00E244DF">
        <w:rPr>
          <w:rFonts w:ascii="Arial" w:hAnsi="Arial" w:cs="Arial"/>
        </w:rPr>
        <w:t>,</w:t>
      </w:r>
      <w:r w:rsidR="00EA13B2">
        <w:rPr>
          <w:rFonts w:ascii="Arial" w:hAnsi="Arial" w:cs="Arial"/>
        </w:rPr>
        <w:t xml:space="preserve"> notwithstanding, he </w:t>
      </w:r>
      <w:r w:rsidR="00F87D9F">
        <w:rPr>
          <w:rFonts w:ascii="Arial" w:hAnsi="Arial" w:cs="Arial"/>
        </w:rPr>
        <w:t xml:space="preserve">adduced his evidence matter-of-factly and in a chronological manner. In my view, he stood up well to </w:t>
      </w:r>
      <w:r w:rsidR="00DD3EA0">
        <w:rPr>
          <w:rFonts w:ascii="Arial" w:hAnsi="Arial" w:cs="Arial"/>
        </w:rPr>
        <w:t>cross-examination</w:t>
      </w:r>
      <w:r w:rsidR="00F87D9F">
        <w:rPr>
          <w:rFonts w:ascii="Arial" w:hAnsi="Arial" w:cs="Arial"/>
        </w:rPr>
        <w:t xml:space="preserve"> by </w:t>
      </w:r>
      <w:proofErr w:type="spellStart"/>
      <w:r w:rsidR="00F87D9F">
        <w:rPr>
          <w:rFonts w:ascii="Arial" w:hAnsi="Arial" w:cs="Arial"/>
        </w:rPr>
        <w:t>Mr.</w:t>
      </w:r>
      <w:proofErr w:type="spellEnd"/>
      <w:r w:rsidR="00F87D9F">
        <w:rPr>
          <w:rFonts w:ascii="Arial" w:hAnsi="Arial" w:cs="Arial"/>
        </w:rPr>
        <w:t xml:space="preserve"> Brandt. He was, in his evidence, constant as the Northern star. The</w:t>
      </w:r>
      <w:r w:rsidR="0007780A">
        <w:rPr>
          <w:rFonts w:ascii="Arial" w:hAnsi="Arial" w:cs="Arial"/>
        </w:rPr>
        <w:t>re is one</w:t>
      </w:r>
      <w:r w:rsidR="00F87D9F">
        <w:rPr>
          <w:rFonts w:ascii="Arial" w:hAnsi="Arial" w:cs="Arial"/>
        </w:rPr>
        <w:t xml:space="preserve"> blemish, if blemish it is, on his evidence, and </w:t>
      </w:r>
      <w:r w:rsidR="0007780A">
        <w:rPr>
          <w:rFonts w:ascii="Arial" w:hAnsi="Arial" w:cs="Arial"/>
        </w:rPr>
        <w:t xml:space="preserve">on </w:t>
      </w:r>
      <w:r w:rsidR="00F87D9F">
        <w:rPr>
          <w:rFonts w:ascii="Arial" w:hAnsi="Arial" w:cs="Arial"/>
        </w:rPr>
        <w:t xml:space="preserve">which </w:t>
      </w:r>
      <w:proofErr w:type="spellStart"/>
      <w:r w:rsidR="00F87D9F">
        <w:rPr>
          <w:rFonts w:ascii="Arial" w:hAnsi="Arial" w:cs="Arial"/>
        </w:rPr>
        <w:t>Mr.</w:t>
      </w:r>
      <w:proofErr w:type="spellEnd"/>
      <w:r w:rsidR="00F87D9F">
        <w:rPr>
          <w:rFonts w:ascii="Arial" w:hAnsi="Arial" w:cs="Arial"/>
        </w:rPr>
        <w:t xml:space="preserve"> Brandt capitalised. This related to the question whether the defendants’ children were present on the occasion when the defendants were leaving for Germany and were packing the property in the house in readiness for the plaintiff to move in.</w:t>
      </w:r>
    </w:p>
    <w:p w14:paraId="7D9D76A7" w14:textId="77777777" w:rsidR="00CA60A7" w:rsidRDefault="00CA60A7" w:rsidP="00CA60A7">
      <w:pPr>
        <w:spacing w:line="360" w:lineRule="auto"/>
        <w:jc w:val="both"/>
        <w:rPr>
          <w:rFonts w:ascii="Arial" w:hAnsi="Arial" w:cs="Arial"/>
        </w:rPr>
      </w:pPr>
    </w:p>
    <w:p w14:paraId="094AFD61" w14:textId="56717411" w:rsidR="00F87D9F" w:rsidRDefault="00A91890" w:rsidP="00CA60A7">
      <w:pPr>
        <w:spacing w:line="360" w:lineRule="auto"/>
        <w:jc w:val="both"/>
        <w:rPr>
          <w:rFonts w:ascii="Arial" w:hAnsi="Arial" w:cs="Arial"/>
        </w:rPr>
      </w:pPr>
      <w:r>
        <w:rPr>
          <w:rFonts w:ascii="Arial" w:hAnsi="Arial" w:cs="Arial"/>
        </w:rPr>
        <w:t>[74</w:t>
      </w:r>
      <w:r w:rsidR="00F87D9F">
        <w:rPr>
          <w:rFonts w:ascii="Arial" w:hAnsi="Arial" w:cs="Arial"/>
        </w:rPr>
        <w:t>]</w:t>
      </w:r>
      <w:r w:rsidR="00F87D9F">
        <w:rPr>
          <w:rFonts w:ascii="Arial" w:hAnsi="Arial" w:cs="Arial"/>
        </w:rPr>
        <w:tab/>
        <w:t xml:space="preserve">In his evidence, the plaintiff testified that when he </w:t>
      </w:r>
      <w:r w:rsidR="0007780A">
        <w:rPr>
          <w:rFonts w:ascii="Arial" w:hAnsi="Arial" w:cs="Arial"/>
        </w:rPr>
        <w:t xml:space="preserve">came to the defendants’ house, </w:t>
      </w:r>
      <w:r w:rsidR="00F87D9F">
        <w:rPr>
          <w:rFonts w:ascii="Arial" w:hAnsi="Arial" w:cs="Arial"/>
        </w:rPr>
        <w:t>he saw the defendants’ children playing around</w:t>
      </w:r>
      <w:r w:rsidR="0007780A">
        <w:rPr>
          <w:rFonts w:ascii="Arial" w:hAnsi="Arial" w:cs="Arial"/>
        </w:rPr>
        <w:t>,</w:t>
      </w:r>
      <w:r w:rsidR="00F87D9F">
        <w:rPr>
          <w:rFonts w:ascii="Arial" w:hAnsi="Arial" w:cs="Arial"/>
        </w:rPr>
        <w:t xml:space="preserve"> as the</w:t>
      </w:r>
      <w:r w:rsidR="00D32F9E">
        <w:rPr>
          <w:rFonts w:ascii="Arial" w:hAnsi="Arial" w:cs="Arial"/>
        </w:rPr>
        <w:t>ir</w:t>
      </w:r>
      <w:r w:rsidR="00F87D9F">
        <w:rPr>
          <w:rFonts w:ascii="Arial" w:hAnsi="Arial" w:cs="Arial"/>
        </w:rPr>
        <w:t xml:space="preserve"> mother was busy packing. In cross-examination, it was put to the plaintiff that his evidence in this regard, was incorrect, as the defendants’ children were not in Namibia but were left </w:t>
      </w:r>
      <w:r w:rsidR="006B0DFB">
        <w:rPr>
          <w:rFonts w:ascii="Arial" w:hAnsi="Arial" w:cs="Arial"/>
        </w:rPr>
        <w:t xml:space="preserve">behind </w:t>
      </w:r>
      <w:r w:rsidR="00F87D9F">
        <w:rPr>
          <w:rFonts w:ascii="Arial" w:hAnsi="Arial" w:cs="Arial"/>
        </w:rPr>
        <w:t xml:space="preserve">in Germany on that </w:t>
      </w:r>
      <w:r w:rsidR="006B0DFB">
        <w:rPr>
          <w:rFonts w:ascii="Arial" w:hAnsi="Arial" w:cs="Arial"/>
        </w:rPr>
        <w:t xml:space="preserve">particular </w:t>
      </w:r>
      <w:r w:rsidR="00F87D9F">
        <w:rPr>
          <w:rFonts w:ascii="Arial" w:hAnsi="Arial" w:cs="Arial"/>
        </w:rPr>
        <w:t>trip. In proof of thi</w:t>
      </w:r>
      <w:r w:rsidR="00D32F9E">
        <w:rPr>
          <w:rFonts w:ascii="Arial" w:hAnsi="Arial" w:cs="Arial"/>
        </w:rPr>
        <w:t>s, the defendants produced the children’s</w:t>
      </w:r>
      <w:r w:rsidR="00F87D9F">
        <w:rPr>
          <w:rFonts w:ascii="Arial" w:hAnsi="Arial" w:cs="Arial"/>
        </w:rPr>
        <w:t xml:space="preserve"> passports, which corroborated their version in that regard.</w:t>
      </w:r>
    </w:p>
    <w:p w14:paraId="6C0E9E99" w14:textId="77777777" w:rsidR="00F87D9F" w:rsidRDefault="00F87D9F" w:rsidP="00E27958">
      <w:pPr>
        <w:spacing w:line="360" w:lineRule="auto"/>
        <w:ind w:left="360"/>
        <w:jc w:val="both"/>
        <w:rPr>
          <w:rFonts w:ascii="Arial" w:hAnsi="Arial" w:cs="Arial"/>
        </w:rPr>
      </w:pPr>
    </w:p>
    <w:p w14:paraId="35D90159" w14:textId="68111B26" w:rsidR="00EA13B2" w:rsidRDefault="00A91890" w:rsidP="00CA60A7">
      <w:pPr>
        <w:spacing w:line="360" w:lineRule="auto"/>
        <w:jc w:val="both"/>
        <w:rPr>
          <w:rFonts w:ascii="Arial" w:hAnsi="Arial" w:cs="Arial"/>
        </w:rPr>
      </w:pPr>
      <w:r>
        <w:rPr>
          <w:rFonts w:ascii="Arial" w:hAnsi="Arial" w:cs="Arial"/>
        </w:rPr>
        <w:t>[75</w:t>
      </w:r>
      <w:r w:rsidR="00F87D9F">
        <w:rPr>
          <w:rFonts w:ascii="Arial" w:hAnsi="Arial" w:cs="Arial"/>
        </w:rPr>
        <w:t>]</w:t>
      </w:r>
      <w:r w:rsidR="00F87D9F">
        <w:rPr>
          <w:rFonts w:ascii="Arial" w:hAnsi="Arial" w:cs="Arial"/>
        </w:rPr>
        <w:tab/>
        <w:t xml:space="preserve">I am of the considered view that it is clear that the plaintiff was mistaken on this aspect of his evidence, as shown by independent evidence. His recollection of the </w:t>
      </w:r>
      <w:r w:rsidR="00DD3EA0">
        <w:rPr>
          <w:rFonts w:ascii="Arial" w:hAnsi="Arial" w:cs="Arial"/>
        </w:rPr>
        <w:t>event</w:t>
      </w:r>
      <w:r w:rsidR="00F87D9F">
        <w:rPr>
          <w:rFonts w:ascii="Arial" w:hAnsi="Arial" w:cs="Arial"/>
        </w:rPr>
        <w:t xml:space="preserve"> was, for that reason, incorrect. But should that reduce him to a liar so that the court should have no regard to </w:t>
      </w:r>
      <w:r w:rsidR="00640DAC">
        <w:rPr>
          <w:rFonts w:ascii="Arial" w:hAnsi="Arial" w:cs="Arial"/>
        </w:rPr>
        <w:t xml:space="preserve">the balance of </w:t>
      </w:r>
      <w:r w:rsidR="00F87D9F">
        <w:rPr>
          <w:rFonts w:ascii="Arial" w:hAnsi="Arial" w:cs="Arial"/>
        </w:rPr>
        <w:t xml:space="preserve">his evidence, particularly that which could </w:t>
      </w:r>
      <w:r w:rsidR="00B70906">
        <w:rPr>
          <w:rFonts w:ascii="Arial" w:hAnsi="Arial" w:cs="Arial"/>
        </w:rPr>
        <w:t>not be discredited in cross-exam</w:t>
      </w:r>
      <w:r w:rsidR="00F87D9F">
        <w:rPr>
          <w:rFonts w:ascii="Arial" w:hAnsi="Arial" w:cs="Arial"/>
        </w:rPr>
        <w:t>ination?</w:t>
      </w:r>
      <w:r w:rsidR="00B70906">
        <w:rPr>
          <w:rFonts w:ascii="Arial" w:hAnsi="Arial" w:cs="Arial"/>
        </w:rPr>
        <w:t xml:space="preserve"> I think not.</w:t>
      </w:r>
      <w:r w:rsidR="00F87D9F">
        <w:rPr>
          <w:rFonts w:ascii="Arial" w:hAnsi="Arial" w:cs="Arial"/>
        </w:rPr>
        <w:t xml:space="preserve">    </w:t>
      </w:r>
    </w:p>
    <w:p w14:paraId="456FA257" w14:textId="77777777" w:rsidR="00B70906" w:rsidRDefault="00B70906" w:rsidP="00E27958">
      <w:pPr>
        <w:spacing w:line="360" w:lineRule="auto"/>
        <w:ind w:left="360"/>
        <w:jc w:val="both"/>
        <w:rPr>
          <w:rFonts w:ascii="Arial" w:hAnsi="Arial" w:cs="Arial"/>
        </w:rPr>
      </w:pPr>
    </w:p>
    <w:p w14:paraId="1EC8D70E" w14:textId="2D3499DD" w:rsidR="00B67404" w:rsidRDefault="00A91890" w:rsidP="00CA60A7">
      <w:pPr>
        <w:spacing w:line="360" w:lineRule="auto"/>
        <w:jc w:val="both"/>
        <w:rPr>
          <w:rFonts w:ascii="Arial" w:hAnsi="Arial" w:cs="Arial"/>
        </w:rPr>
      </w:pPr>
      <w:r>
        <w:rPr>
          <w:rFonts w:ascii="Arial" w:hAnsi="Arial" w:cs="Arial"/>
        </w:rPr>
        <w:lastRenderedPageBreak/>
        <w:t>[76</w:t>
      </w:r>
      <w:r w:rsidR="00B70906">
        <w:rPr>
          <w:rFonts w:ascii="Arial" w:hAnsi="Arial" w:cs="Arial"/>
        </w:rPr>
        <w:t>]</w:t>
      </w:r>
      <w:r w:rsidR="00B70906">
        <w:rPr>
          <w:rFonts w:ascii="Arial" w:hAnsi="Arial" w:cs="Arial"/>
        </w:rPr>
        <w:tab/>
        <w:t xml:space="preserve">It must be recalled that the plaintiff is not a young man at all. </w:t>
      </w:r>
      <w:r w:rsidR="006B0DFB">
        <w:rPr>
          <w:rFonts w:ascii="Arial" w:hAnsi="Arial" w:cs="Arial"/>
        </w:rPr>
        <w:t xml:space="preserve">He is a man of mature age and generally of venerable disposition. </w:t>
      </w:r>
      <w:r w:rsidR="00B70906">
        <w:rPr>
          <w:rFonts w:ascii="Arial" w:hAnsi="Arial" w:cs="Arial"/>
        </w:rPr>
        <w:t xml:space="preserve">Other than this blemish in his evidence, one cannot fault </w:t>
      </w:r>
      <w:r w:rsidR="00640DAC">
        <w:rPr>
          <w:rFonts w:ascii="Arial" w:hAnsi="Arial" w:cs="Arial"/>
        </w:rPr>
        <w:t xml:space="preserve">the balance of </w:t>
      </w:r>
      <w:r w:rsidR="00B70906">
        <w:rPr>
          <w:rFonts w:ascii="Arial" w:hAnsi="Arial" w:cs="Arial"/>
        </w:rPr>
        <w:t xml:space="preserve">his evidence, in my view on any other score. As recorded above, he </w:t>
      </w:r>
      <w:r w:rsidR="006B0DFB">
        <w:rPr>
          <w:rFonts w:ascii="Arial" w:hAnsi="Arial" w:cs="Arial"/>
        </w:rPr>
        <w:t>was otherwise a credible witness</w:t>
      </w:r>
      <w:r w:rsidR="00B70906">
        <w:rPr>
          <w:rFonts w:ascii="Arial" w:hAnsi="Arial" w:cs="Arial"/>
        </w:rPr>
        <w:t xml:space="preserve"> </w:t>
      </w:r>
      <w:r w:rsidR="006B0DFB">
        <w:rPr>
          <w:rFonts w:ascii="Arial" w:hAnsi="Arial" w:cs="Arial"/>
        </w:rPr>
        <w:t xml:space="preserve">and </w:t>
      </w:r>
      <w:r w:rsidR="00640DAC">
        <w:rPr>
          <w:rFonts w:ascii="Arial" w:hAnsi="Arial" w:cs="Arial"/>
        </w:rPr>
        <w:t xml:space="preserve">who was </w:t>
      </w:r>
      <w:r w:rsidR="006B0DFB">
        <w:rPr>
          <w:rFonts w:ascii="Arial" w:hAnsi="Arial" w:cs="Arial"/>
        </w:rPr>
        <w:t xml:space="preserve">remarkably </w:t>
      </w:r>
      <w:r w:rsidR="00640DAC">
        <w:rPr>
          <w:rFonts w:ascii="Arial" w:hAnsi="Arial" w:cs="Arial"/>
        </w:rPr>
        <w:t>consistent i</w:t>
      </w:r>
      <w:r w:rsidR="00A41B98">
        <w:rPr>
          <w:rFonts w:ascii="Arial" w:hAnsi="Arial" w:cs="Arial"/>
        </w:rPr>
        <w:t>n his version. The incorrect rendition</w:t>
      </w:r>
      <w:r w:rsidR="00B70906">
        <w:rPr>
          <w:rFonts w:ascii="Arial" w:hAnsi="Arial" w:cs="Arial"/>
        </w:rPr>
        <w:t xml:space="preserve"> that he made in his evidence regarding the children, should</w:t>
      </w:r>
      <w:r w:rsidR="00640DAC">
        <w:rPr>
          <w:rFonts w:ascii="Arial" w:hAnsi="Arial" w:cs="Arial"/>
        </w:rPr>
        <w:t>, in my view, be</w:t>
      </w:r>
      <w:r w:rsidR="00B70906">
        <w:rPr>
          <w:rFonts w:ascii="Arial" w:hAnsi="Arial" w:cs="Arial"/>
        </w:rPr>
        <w:t xml:space="preserve"> attributed to a mistake in recollection and not a deliberate effort on his part to throw dust into the court’s eyes. It must, in this connection</w:t>
      </w:r>
      <w:r w:rsidR="006B0DFB">
        <w:rPr>
          <w:rFonts w:ascii="Arial" w:hAnsi="Arial" w:cs="Arial"/>
        </w:rPr>
        <w:t>,</w:t>
      </w:r>
      <w:r w:rsidR="00B70906">
        <w:rPr>
          <w:rFonts w:ascii="Arial" w:hAnsi="Arial" w:cs="Arial"/>
        </w:rPr>
        <w:t xml:space="preserve"> also be stated</w:t>
      </w:r>
      <w:r w:rsidR="00D32F9E">
        <w:rPr>
          <w:rFonts w:ascii="Arial" w:hAnsi="Arial" w:cs="Arial"/>
        </w:rPr>
        <w:t>,</w:t>
      </w:r>
      <w:r w:rsidR="00B70906">
        <w:rPr>
          <w:rFonts w:ascii="Arial" w:hAnsi="Arial" w:cs="Arial"/>
        </w:rPr>
        <w:t xml:space="preserve"> that the issue of the presence or indeed </w:t>
      </w:r>
      <w:r w:rsidR="006B0DFB">
        <w:rPr>
          <w:rFonts w:ascii="Arial" w:hAnsi="Arial" w:cs="Arial"/>
        </w:rPr>
        <w:t xml:space="preserve">the </w:t>
      </w:r>
      <w:r w:rsidR="00B70906">
        <w:rPr>
          <w:rFonts w:ascii="Arial" w:hAnsi="Arial" w:cs="Arial"/>
        </w:rPr>
        <w:t>absence</w:t>
      </w:r>
      <w:r w:rsidR="00B67404">
        <w:rPr>
          <w:rFonts w:ascii="Arial" w:hAnsi="Arial" w:cs="Arial"/>
        </w:rPr>
        <w:t xml:space="preserve"> of the children</w:t>
      </w:r>
      <w:r w:rsidR="006B0DFB">
        <w:rPr>
          <w:rFonts w:ascii="Arial" w:hAnsi="Arial" w:cs="Arial"/>
        </w:rPr>
        <w:t>,</w:t>
      </w:r>
      <w:r w:rsidR="00B67404">
        <w:rPr>
          <w:rFonts w:ascii="Arial" w:hAnsi="Arial" w:cs="Arial"/>
        </w:rPr>
        <w:t xml:space="preserve"> was</w:t>
      </w:r>
      <w:r w:rsidR="00D32F9E">
        <w:rPr>
          <w:rFonts w:ascii="Arial" w:hAnsi="Arial" w:cs="Arial"/>
        </w:rPr>
        <w:t>,</w:t>
      </w:r>
      <w:r w:rsidR="00B67404">
        <w:rPr>
          <w:rFonts w:ascii="Arial" w:hAnsi="Arial" w:cs="Arial"/>
        </w:rPr>
        <w:t xml:space="preserve"> nei</w:t>
      </w:r>
      <w:r w:rsidR="00B70906">
        <w:rPr>
          <w:rFonts w:ascii="Arial" w:hAnsi="Arial" w:cs="Arial"/>
        </w:rPr>
        <w:t>t</w:t>
      </w:r>
      <w:r w:rsidR="00B67404">
        <w:rPr>
          <w:rFonts w:ascii="Arial" w:hAnsi="Arial" w:cs="Arial"/>
        </w:rPr>
        <w:t>her</w:t>
      </w:r>
      <w:r w:rsidR="00B70906">
        <w:rPr>
          <w:rFonts w:ascii="Arial" w:hAnsi="Arial" w:cs="Arial"/>
        </w:rPr>
        <w:t xml:space="preserve"> material</w:t>
      </w:r>
      <w:r w:rsidR="00B67404">
        <w:rPr>
          <w:rFonts w:ascii="Arial" w:hAnsi="Arial" w:cs="Arial"/>
        </w:rPr>
        <w:t>, critical</w:t>
      </w:r>
      <w:r w:rsidR="00B70906">
        <w:rPr>
          <w:rFonts w:ascii="Arial" w:hAnsi="Arial" w:cs="Arial"/>
        </w:rPr>
        <w:t xml:space="preserve"> nor decisive to any of the key issues in the trial. </w:t>
      </w:r>
      <w:r w:rsidR="00B67404">
        <w:rPr>
          <w:rFonts w:ascii="Arial" w:hAnsi="Arial" w:cs="Arial"/>
        </w:rPr>
        <w:t>It was really colourless, so to speak, on the material issues in need of determination</w:t>
      </w:r>
      <w:r w:rsidR="00640DAC">
        <w:rPr>
          <w:rFonts w:ascii="Arial" w:hAnsi="Arial" w:cs="Arial"/>
        </w:rPr>
        <w:t xml:space="preserve"> by the court</w:t>
      </w:r>
      <w:r w:rsidR="00B67404">
        <w:rPr>
          <w:rFonts w:ascii="Arial" w:hAnsi="Arial" w:cs="Arial"/>
        </w:rPr>
        <w:t>.</w:t>
      </w:r>
    </w:p>
    <w:p w14:paraId="015261A8" w14:textId="77777777" w:rsidR="00B67404" w:rsidRDefault="00B67404" w:rsidP="00E27958">
      <w:pPr>
        <w:spacing w:line="360" w:lineRule="auto"/>
        <w:ind w:left="360"/>
        <w:jc w:val="both"/>
        <w:rPr>
          <w:rFonts w:ascii="Arial" w:hAnsi="Arial" w:cs="Arial"/>
        </w:rPr>
      </w:pPr>
    </w:p>
    <w:p w14:paraId="66B3B92C" w14:textId="471DDE93" w:rsidR="00B70906" w:rsidRDefault="00A91890" w:rsidP="00CA60A7">
      <w:pPr>
        <w:spacing w:line="360" w:lineRule="auto"/>
        <w:jc w:val="both"/>
        <w:rPr>
          <w:rFonts w:ascii="Arial" w:hAnsi="Arial" w:cs="Arial"/>
        </w:rPr>
      </w:pPr>
      <w:r>
        <w:rPr>
          <w:rFonts w:ascii="Arial" w:hAnsi="Arial" w:cs="Arial"/>
        </w:rPr>
        <w:t>[77</w:t>
      </w:r>
      <w:r w:rsidR="00B67404">
        <w:rPr>
          <w:rFonts w:ascii="Arial" w:hAnsi="Arial" w:cs="Arial"/>
        </w:rPr>
        <w:t>]</w:t>
      </w:r>
      <w:r w:rsidR="00B67404">
        <w:rPr>
          <w:rFonts w:ascii="Arial" w:hAnsi="Arial" w:cs="Arial"/>
        </w:rPr>
        <w:tab/>
        <w:t xml:space="preserve">In </w:t>
      </w:r>
      <w:r w:rsidR="00B67404">
        <w:rPr>
          <w:rFonts w:ascii="Arial" w:hAnsi="Arial" w:cs="Arial"/>
          <w:i/>
        </w:rPr>
        <w:t xml:space="preserve">S v </w:t>
      </w:r>
      <w:proofErr w:type="spellStart"/>
      <w:r w:rsidR="00B67404">
        <w:rPr>
          <w:rFonts w:ascii="Arial" w:hAnsi="Arial" w:cs="Arial"/>
          <w:i/>
        </w:rPr>
        <w:t>Oosthu</w:t>
      </w:r>
      <w:r w:rsidR="0015094A">
        <w:rPr>
          <w:rFonts w:ascii="Arial" w:hAnsi="Arial" w:cs="Arial"/>
          <w:i/>
        </w:rPr>
        <w:t>i</w:t>
      </w:r>
      <w:r w:rsidR="00B67404">
        <w:rPr>
          <w:rFonts w:ascii="Arial" w:hAnsi="Arial" w:cs="Arial"/>
          <w:i/>
        </w:rPr>
        <w:t>zen</w:t>
      </w:r>
      <w:proofErr w:type="spellEnd"/>
      <w:r w:rsidR="00B67404">
        <w:rPr>
          <w:rFonts w:ascii="Arial" w:hAnsi="Arial" w:cs="Arial"/>
        </w:rPr>
        <w:t>,</w:t>
      </w:r>
      <w:r w:rsidR="00B67404">
        <w:rPr>
          <w:rStyle w:val="FootnoteReference"/>
          <w:rFonts w:ascii="Arial" w:hAnsi="Arial" w:cs="Arial"/>
        </w:rPr>
        <w:footnoteReference w:id="15"/>
      </w:r>
      <w:r w:rsidR="00B67404">
        <w:rPr>
          <w:rFonts w:ascii="Arial" w:hAnsi="Arial" w:cs="Arial"/>
        </w:rPr>
        <w:t xml:space="preserve"> the court dealt with the </w:t>
      </w:r>
      <w:r w:rsidR="00635A5D">
        <w:rPr>
          <w:rFonts w:ascii="Arial" w:hAnsi="Arial" w:cs="Arial"/>
        </w:rPr>
        <w:t>issue arising in the following terms:</w:t>
      </w:r>
    </w:p>
    <w:p w14:paraId="78F6076D" w14:textId="77777777" w:rsidR="00635A5D" w:rsidRDefault="00635A5D" w:rsidP="00E27958">
      <w:pPr>
        <w:spacing w:line="360" w:lineRule="auto"/>
        <w:ind w:left="360"/>
        <w:jc w:val="both"/>
        <w:rPr>
          <w:rFonts w:ascii="Arial" w:hAnsi="Arial" w:cs="Arial"/>
        </w:rPr>
      </w:pPr>
    </w:p>
    <w:p w14:paraId="264ED8A2" w14:textId="0D4757C5" w:rsidR="00635A5D" w:rsidRDefault="00635A5D" w:rsidP="000959DA">
      <w:pPr>
        <w:spacing w:line="360" w:lineRule="auto"/>
        <w:jc w:val="both"/>
        <w:rPr>
          <w:rFonts w:ascii="Arial" w:hAnsi="Arial" w:cs="Arial"/>
          <w:sz w:val="22"/>
          <w:szCs w:val="22"/>
        </w:rPr>
      </w:pPr>
      <w:r>
        <w:rPr>
          <w:rFonts w:ascii="Arial" w:hAnsi="Arial" w:cs="Arial"/>
        </w:rPr>
        <w:t>‘</w:t>
      </w:r>
      <w:r>
        <w:rPr>
          <w:rFonts w:ascii="Arial" w:hAnsi="Arial" w:cs="Arial"/>
          <w:sz w:val="22"/>
          <w:szCs w:val="22"/>
        </w:rPr>
        <w:t>Plainly, it is not every error made by a witness that affects his credibility. In each case, the trier of fact has to make an evaluation; taking into account such matters as the nature of the contradictions, their number and importance, and their bearing on other parts of the witness’s evidence.’</w:t>
      </w:r>
    </w:p>
    <w:p w14:paraId="30250945" w14:textId="77777777" w:rsidR="00635A5D" w:rsidRDefault="00635A5D" w:rsidP="00E27958">
      <w:pPr>
        <w:spacing w:line="360" w:lineRule="auto"/>
        <w:ind w:left="360"/>
        <w:jc w:val="both"/>
        <w:rPr>
          <w:rFonts w:ascii="Arial" w:hAnsi="Arial" w:cs="Arial"/>
          <w:sz w:val="22"/>
          <w:szCs w:val="22"/>
        </w:rPr>
      </w:pPr>
    </w:p>
    <w:p w14:paraId="17E16473" w14:textId="791E1EDF" w:rsidR="00635A5D" w:rsidRDefault="00A91890" w:rsidP="00CA60A7">
      <w:pPr>
        <w:spacing w:line="360" w:lineRule="auto"/>
        <w:jc w:val="both"/>
        <w:rPr>
          <w:rFonts w:ascii="Arial" w:hAnsi="Arial" w:cs="Arial"/>
        </w:rPr>
      </w:pPr>
      <w:r>
        <w:rPr>
          <w:rFonts w:ascii="Arial" w:hAnsi="Arial" w:cs="Arial"/>
        </w:rPr>
        <w:t>[</w:t>
      </w:r>
      <w:r w:rsidR="00463B94">
        <w:rPr>
          <w:rFonts w:ascii="Arial" w:hAnsi="Arial" w:cs="Arial"/>
        </w:rPr>
        <w:t>7</w:t>
      </w:r>
      <w:r>
        <w:rPr>
          <w:rFonts w:ascii="Arial" w:hAnsi="Arial" w:cs="Arial"/>
        </w:rPr>
        <w:t>8</w:t>
      </w:r>
      <w:r w:rsidR="00635A5D">
        <w:rPr>
          <w:rFonts w:ascii="Arial" w:hAnsi="Arial" w:cs="Arial"/>
        </w:rPr>
        <w:t>]</w:t>
      </w:r>
      <w:r w:rsidR="00635A5D">
        <w:rPr>
          <w:rFonts w:ascii="Arial" w:hAnsi="Arial" w:cs="Arial"/>
        </w:rPr>
        <w:tab/>
        <w:t>I have dealt with this issue and come to the</w:t>
      </w:r>
      <w:r>
        <w:rPr>
          <w:rFonts w:ascii="Arial" w:hAnsi="Arial" w:cs="Arial"/>
        </w:rPr>
        <w:t xml:space="preserve"> conclusion that the witness can</w:t>
      </w:r>
      <w:r w:rsidR="00635A5D">
        <w:rPr>
          <w:rFonts w:ascii="Arial" w:hAnsi="Arial" w:cs="Arial"/>
        </w:rPr>
        <w:t>not be said to have been deliberately lying and this was not put to him or even suggested</w:t>
      </w:r>
      <w:r w:rsidR="006B0DFB">
        <w:rPr>
          <w:rFonts w:ascii="Arial" w:hAnsi="Arial" w:cs="Arial"/>
        </w:rPr>
        <w:t>, in any event</w:t>
      </w:r>
      <w:r w:rsidR="00635A5D">
        <w:rPr>
          <w:rFonts w:ascii="Arial" w:hAnsi="Arial" w:cs="Arial"/>
        </w:rPr>
        <w:t xml:space="preserve">. The fact of his age and time when the incident happened, on the one hand, namely in 2011, and on the other hand, when he adduced evidence, in 2017, around six to seven years, is certainly a long time by any standards. </w:t>
      </w:r>
      <w:r w:rsidR="00635A5D">
        <w:rPr>
          <w:rFonts w:ascii="Arial" w:hAnsi="Arial" w:cs="Arial"/>
          <w:i/>
        </w:rPr>
        <w:t xml:space="preserve">Ceteris paribus, </w:t>
      </w:r>
      <w:r w:rsidR="00635A5D">
        <w:rPr>
          <w:rFonts w:ascii="Arial" w:hAnsi="Arial" w:cs="Arial"/>
        </w:rPr>
        <w:t xml:space="preserve">human memory does not improve with time. I am of the view that this mistake cannot have the effect of the court debunking the plaintiff’s evidence </w:t>
      </w:r>
      <w:r w:rsidR="00D32F9E">
        <w:rPr>
          <w:rFonts w:ascii="Arial" w:hAnsi="Arial" w:cs="Arial"/>
        </w:rPr>
        <w:t xml:space="preserve">in its entirety </w:t>
      </w:r>
      <w:r w:rsidR="00635A5D">
        <w:rPr>
          <w:rFonts w:ascii="Arial" w:hAnsi="Arial" w:cs="Arial"/>
        </w:rPr>
        <w:t>based solely on this memory lapse and I so find.</w:t>
      </w:r>
    </w:p>
    <w:p w14:paraId="7BB99077" w14:textId="77777777" w:rsidR="00290290" w:rsidRDefault="00290290" w:rsidP="00E27958">
      <w:pPr>
        <w:spacing w:line="360" w:lineRule="auto"/>
        <w:ind w:left="360"/>
        <w:jc w:val="both"/>
        <w:rPr>
          <w:rFonts w:ascii="Arial" w:hAnsi="Arial" w:cs="Arial"/>
        </w:rPr>
      </w:pPr>
    </w:p>
    <w:p w14:paraId="18E81601" w14:textId="14F3047D" w:rsidR="00290290" w:rsidRPr="00635A5D" w:rsidRDefault="00CA60A7" w:rsidP="00CA60A7">
      <w:pPr>
        <w:spacing w:line="360" w:lineRule="auto"/>
        <w:jc w:val="both"/>
        <w:rPr>
          <w:rFonts w:ascii="Arial" w:hAnsi="Arial" w:cs="Arial"/>
        </w:rPr>
      </w:pPr>
      <w:r>
        <w:rPr>
          <w:rFonts w:ascii="Arial" w:hAnsi="Arial" w:cs="Arial"/>
        </w:rPr>
        <w:t>[7</w:t>
      </w:r>
      <w:r w:rsidR="00A91890">
        <w:rPr>
          <w:rFonts w:ascii="Arial" w:hAnsi="Arial" w:cs="Arial"/>
        </w:rPr>
        <w:t>9</w:t>
      </w:r>
      <w:r w:rsidR="00290290">
        <w:rPr>
          <w:rFonts w:ascii="Arial" w:hAnsi="Arial" w:cs="Arial"/>
        </w:rPr>
        <w:t>]</w:t>
      </w:r>
      <w:r w:rsidR="00290290">
        <w:rPr>
          <w:rFonts w:ascii="Arial" w:hAnsi="Arial" w:cs="Arial"/>
        </w:rPr>
        <w:tab/>
        <w:t>In this reg</w:t>
      </w:r>
      <w:r w:rsidR="001D349A">
        <w:rPr>
          <w:rFonts w:ascii="Arial" w:hAnsi="Arial" w:cs="Arial"/>
        </w:rPr>
        <w:t xml:space="preserve">ard, I must point out that the first </w:t>
      </w:r>
      <w:r w:rsidR="00290290">
        <w:rPr>
          <w:rFonts w:ascii="Arial" w:hAnsi="Arial" w:cs="Arial"/>
        </w:rPr>
        <w:t xml:space="preserve">defendant admitted in cross-examination that the plaintiff was mistaken in stating that the children were </w:t>
      </w:r>
      <w:r w:rsidR="00290290">
        <w:rPr>
          <w:rFonts w:ascii="Arial" w:hAnsi="Arial" w:cs="Arial"/>
        </w:rPr>
        <w:lastRenderedPageBreak/>
        <w:t>present and attributed this mistake to the plaintiff’s age, which is in line with my own finding in this regard.</w:t>
      </w:r>
    </w:p>
    <w:p w14:paraId="30E5B247" w14:textId="77777777" w:rsidR="00B70906" w:rsidRDefault="00B70906" w:rsidP="00E27958">
      <w:pPr>
        <w:spacing w:line="360" w:lineRule="auto"/>
        <w:ind w:left="360"/>
        <w:jc w:val="both"/>
        <w:rPr>
          <w:rFonts w:ascii="Arial" w:hAnsi="Arial" w:cs="Arial"/>
        </w:rPr>
      </w:pPr>
    </w:p>
    <w:p w14:paraId="12332131" w14:textId="414093AA" w:rsidR="00C2174A" w:rsidRDefault="00C2174A" w:rsidP="00CA60A7">
      <w:pPr>
        <w:spacing w:line="360" w:lineRule="auto"/>
        <w:jc w:val="both"/>
        <w:rPr>
          <w:rFonts w:ascii="Arial" w:hAnsi="Arial" w:cs="Arial"/>
        </w:rPr>
      </w:pPr>
      <w:r>
        <w:rPr>
          <w:rFonts w:ascii="Arial" w:hAnsi="Arial" w:cs="Arial"/>
        </w:rPr>
        <w:t>[</w:t>
      </w:r>
      <w:r w:rsidR="00A91890">
        <w:rPr>
          <w:rFonts w:ascii="Arial" w:hAnsi="Arial" w:cs="Arial"/>
        </w:rPr>
        <w:t>80</w:t>
      </w:r>
      <w:r w:rsidR="001D349A">
        <w:rPr>
          <w:rFonts w:ascii="Arial" w:hAnsi="Arial" w:cs="Arial"/>
        </w:rPr>
        <w:t>]</w:t>
      </w:r>
      <w:r w:rsidR="001D349A">
        <w:rPr>
          <w:rFonts w:ascii="Arial" w:hAnsi="Arial" w:cs="Arial"/>
        </w:rPr>
        <w:tab/>
        <w:t>The first</w:t>
      </w:r>
      <w:r>
        <w:rPr>
          <w:rFonts w:ascii="Arial" w:hAnsi="Arial" w:cs="Arial"/>
        </w:rPr>
        <w:t xml:space="preserve"> defendant, who was the main witness for the defendants, did not impress me as a credible witness. In the first place, he attempted to introduce evidence that contradicted the </w:t>
      </w:r>
      <w:proofErr w:type="spellStart"/>
      <w:r>
        <w:rPr>
          <w:rFonts w:ascii="Arial" w:hAnsi="Arial" w:cs="Arial"/>
        </w:rPr>
        <w:t>parol</w:t>
      </w:r>
      <w:proofErr w:type="spellEnd"/>
      <w:r>
        <w:rPr>
          <w:rFonts w:ascii="Arial" w:hAnsi="Arial" w:cs="Arial"/>
        </w:rPr>
        <w:t xml:space="preserve"> evidence rule, which is not permissible</w:t>
      </w:r>
      <w:r w:rsidR="006B0DFB">
        <w:rPr>
          <w:rFonts w:ascii="Arial" w:hAnsi="Arial" w:cs="Arial"/>
        </w:rPr>
        <w:t xml:space="preserve"> in this jurisdiction</w:t>
      </w:r>
      <w:r>
        <w:rPr>
          <w:rFonts w:ascii="Arial" w:hAnsi="Arial" w:cs="Arial"/>
        </w:rPr>
        <w:t xml:space="preserve">. He argued that in Germany, where </w:t>
      </w:r>
      <w:r w:rsidR="006B0DFB">
        <w:rPr>
          <w:rFonts w:ascii="Arial" w:hAnsi="Arial" w:cs="Arial"/>
        </w:rPr>
        <w:t xml:space="preserve">he </w:t>
      </w:r>
      <w:r>
        <w:rPr>
          <w:rFonts w:ascii="Arial" w:hAnsi="Arial" w:cs="Arial"/>
        </w:rPr>
        <w:t>practices</w:t>
      </w:r>
      <w:r w:rsidR="006B0DFB">
        <w:rPr>
          <w:rFonts w:ascii="Arial" w:hAnsi="Arial" w:cs="Arial"/>
        </w:rPr>
        <w:t xml:space="preserve"> law</w:t>
      </w:r>
      <w:r>
        <w:rPr>
          <w:rFonts w:ascii="Arial" w:hAnsi="Arial" w:cs="Arial"/>
        </w:rPr>
        <w:t xml:space="preserve">, this </w:t>
      </w:r>
      <w:r w:rsidR="006B0DFB">
        <w:rPr>
          <w:rFonts w:ascii="Arial" w:hAnsi="Arial" w:cs="Arial"/>
        </w:rPr>
        <w:t xml:space="preserve">is </w:t>
      </w:r>
      <w:r>
        <w:rPr>
          <w:rFonts w:ascii="Arial" w:hAnsi="Arial" w:cs="Arial"/>
        </w:rPr>
        <w:t xml:space="preserve">allowed and </w:t>
      </w:r>
      <w:r w:rsidR="006B0DFB">
        <w:rPr>
          <w:rFonts w:ascii="Arial" w:hAnsi="Arial" w:cs="Arial"/>
        </w:rPr>
        <w:t xml:space="preserve">is </w:t>
      </w:r>
      <w:r>
        <w:rPr>
          <w:rFonts w:ascii="Arial" w:hAnsi="Arial" w:cs="Arial"/>
        </w:rPr>
        <w:t>normal. He had to be reminded a number of times about the inadmissibility of the evidence he sought to tender. In this regard, I cannot treat the 1</w:t>
      </w:r>
      <w:r w:rsidRPr="00C2174A">
        <w:rPr>
          <w:rFonts w:ascii="Arial" w:hAnsi="Arial" w:cs="Arial"/>
          <w:vertAlign w:val="superscript"/>
        </w:rPr>
        <w:t>st</w:t>
      </w:r>
      <w:r>
        <w:rPr>
          <w:rFonts w:ascii="Arial" w:hAnsi="Arial" w:cs="Arial"/>
        </w:rPr>
        <w:t xml:space="preserve"> defendant as a normal witness as he is an admitted lawyer</w:t>
      </w:r>
      <w:r w:rsidR="006B0DFB">
        <w:rPr>
          <w:rFonts w:ascii="Arial" w:hAnsi="Arial" w:cs="Arial"/>
        </w:rPr>
        <w:t xml:space="preserve"> and should be aware of the imperm</w:t>
      </w:r>
      <w:r>
        <w:rPr>
          <w:rFonts w:ascii="Arial" w:hAnsi="Arial" w:cs="Arial"/>
        </w:rPr>
        <w:t>issibility of what he was trying to do.</w:t>
      </w:r>
    </w:p>
    <w:p w14:paraId="151B8B1A" w14:textId="77777777" w:rsidR="00C2174A" w:rsidRDefault="00C2174A" w:rsidP="00E27958">
      <w:pPr>
        <w:spacing w:line="360" w:lineRule="auto"/>
        <w:ind w:left="360"/>
        <w:jc w:val="both"/>
        <w:rPr>
          <w:rFonts w:ascii="Arial" w:hAnsi="Arial" w:cs="Arial"/>
        </w:rPr>
      </w:pPr>
    </w:p>
    <w:p w14:paraId="1A48167F" w14:textId="3C4EE042" w:rsidR="00C2174A" w:rsidRDefault="00A91890" w:rsidP="00CA60A7">
      <w:pPr>
        <w:spacing w:line="360" w:lineRule="auto"/>
        <w:jc w:val="both"/>
        <w:rPr>
          <w:rFonts w:ascii="Arial" w:hAnsi="Arial" w:cs="Arial"/>
        </w:rPr>
      </w:pPr>
      <w:r>
        <w:rPr>
          <w:rFonts w:ascii="Arial" w:hAnsi="Arial" w:cs="Arial"/>
        </w:rPr>
        <w:t>[81</w:t>
      </w:r>
      <w:r w:rsidR="00C2174A">
        <w:rPr>
          <w:rFonts w:ascii="Arial" w:hAnsi="Arial" w:cs="Arial"/>
        </w:rPr>
        <w:t>]</w:t>
      </w:r>
      <w:r w:rsidR="00C2174A">
        <w:rPr>
          <w:rFonts w:ascii="Arial" w:hAnsi="Arial" w:cs="Arial"/>
        </w:rPr>
        <w:tab/>
        <w:t xml:space="preserve">Secondly, he testified that the plaintiff refused to sign the acknowledgment of the receipt of the property and </w:t>
      </w:r>
      <w:r w:rsidR="006C7A71">
        <w:rPr>
          <w:rFonts w:ascii="Arial" w:hAnsi="Arial" w:cs="Arial"/>
        </w:rPr>
        <w:t xml:space="preserve">he </w:t>
      </w:r>
      <w:r w:rsidR="00C2174A">
        <w:rPr>
          <w:rFonts w:ascii="Arial" w:hAnsi="Arial" w:cs="Arial"/>
        </w:rPr>
        <w:t xml:space="preserve">did not understand why this was the case. On the same breath, he testified that the plaintiff was happy with the property he found in the premises, which is contradicted not only by the plaintiff’s evidence, but also </w:t>
      </w:r>
      <w:r w:rsidR="006C7A71">
        <w:rPr>
          <w:rFonts w:ascii="Arial" w:hAnsi="Arial" w:cs="Arial"/>
        </w:rPr>
        <w:t xml:space="preserve">by </w:t>
      </w:r>
      <w:r w:rsidR="00C2174A">
        <w:rPr>
          <w:rFonts w:ascii="Arial" w:hAnsi="Arial" w:cs="Arial"/>
        </w:rPr>
        <w:t xml:space="preserve">the </w:t>
      </w:r>
      <w:r w:rsidR="00DD3EA0">
        <w:rPr>
          <w:rFonts w:ascii="Arial" w:hAnsi="Arial" w:cs="Arial"/>
        </w:rPr>
        <w:t>letters, which</w:t>
      </w:r>
      <w:r w:rsidR="00C2174A">
        <w:rPr>
          <w:rFonts w:ascii="Arial" w:hAnsi="Arial" w:cs="Arial"/>
        </w:rPr>
        <w:t xml:space="preserve"> were admitted in evidence. This did the defendant’s evidence a </w:t>
      </w:r>
      <w:r w:rsidR="006C7A71">
        <w:rPr>
          <w:rFonts w:ascii="Arial" w:hAnsi="Arial" w:cs="Arial"/>
        </w:rPr>
        <w:t>major</w:t>
      </w:r>
      <w:r w:rsidR="00D32F9E">
        <w:rPr>
          <w:rFonts w:ascii="Arial" w:hAnsi="Arial" w:cs="Arial"/>
        </w:rPr>
        <w:t>, if not a shattering</w:t>
      </w:r>
      <w:r w:rsidR="006C7A71">
        <w:rPr>
          <w:rFonts w:ascii="Arial" w:hAnsi="Arial" w:cs="Arial"/>
        </w:rPr>
        <w:t xml:space="preserve"> </w:t>
      </w:r>
      <w:r w:rsidR="00C2174A">
        <w:rPr>
          <w:rFonts w:ascii="Arial" w:hAnsi="Arial" w:cs="Arial"/>
        </w:rPr>
        <w:t>blow</w:t>
      </w:r>
      <w:r w:rsidR="00D32F9E">
        <w:rPr>
          <w:rFonts w:ascii="Arial" w:hAnsi="Arial" w:cs="Arial"/>
        </w:rPr>
        <w:t>,</w:t>
      </w:r>
      <w:r w:rsidR="00C2174A">
        <w:rPr>
          <w:rFonts w:ascii="Arial" w:hAnsi="Arial" w:cs="Arial"/>
        </w:rPr>
        <w:t xml:space="preserve"> as far as</w:t>
      </w:r>
      <w:r w:rsidR="006C7A71">
        <w:rPr>
          <w:rFonts w:ascii="Arial" w:hAnsi="Arial" w:cs="Arial"/>
        </w:rPr>
        <w:t xml:space="preserve"> hi</w:t>
      </w:r>
      <w:r w:rsidR="00C2174A">
        <w:rPr>
          <w:rFonts w:ascii="Arial" w:hAnsi="Arial" w:cs="Arial"/>
        </w:rPr>
        <w:t>s credibility</w:t>
      </w:r>
      <w:r w:rsidR="006C7A71">
        <w:rPr>
          <w:rFonts w:ascii="Arial" w:hAnsi="Arial" w:cs="Arial"/>
        </w:rPr>
        <w:t xml:space="preserve"> is concerned</w:t>
      </w:r>
      <w:r w:rsidR="00C2174A">
        <w:rPr>
          <w:rFonts w:ascii="Arial" w:hAnsi="Arial" w:cs="Arial"/>
        </w:rPr>
        <w:t xml:space="preserve">. </w:t>
      </w:r>
    </w:p>
    <w:p w14:paraId="5DC35BC9" w14:textId="77777777" w:rsidR="00AA24E2" w:rsidRDefault="00AA24E2" w:rsidP="00E27958">
      <w:pPr>
        <w:spacing w:line="360" w:lineRule="auto"/>
        <w:ind w:left="360"/>
        <w:jc w:val="both"/>
        <w:rPr>
          <w:rFonts w:ascii="Arial" w:hAnsi="Arial" w:cs="Arial"/>
        </w:rPr>
      </w:pPr>
    </w:p>
    <w:p w14:paraId="0C9B1EE9" w14:textId="04A01112" w:rsidR="00C2174A" w:rsidRDefault="00A91890" w:rsidP="00CA60A7">
      <w:pPr>
        <w:spacing w:line="360" w:lineRule="auto"/>
        <w:jc w:val="both"/>
        <w:rPr>
          <w:rFonts w:ascii="Arial" w:hAnsi="Arial" w:cs="Arial"/>
        </w:rPr>
      </w:pPr>
      <w:r>
        <w:rPr>
          <w:rFonts w:ascii="Arial" w:hAnsi="Arial" w:cs="Arial"/>
        </w:rPr>
        <w:t>[82</w:t>
      </w:r>
      <w:r w:rsidR="00C2174A">
        <w:rPr>
          <w:rFonts w:ascii="Arial" w:hAnsi="Arial" w:cs="Arial"/>
        </w:rPr>
        <w:t>]</w:t>
      </w:r>
      <w:r w:rsidR="00C2174A">
        <w:rPr>
          <w:rFonts w:ascii="Arial" w:hAnsi="Arial" w:cs="Arial"/>
        </w:rPr>
        <w:tab/>
        <w:t xml:space="preserve">In this regard, it was clear from the plaintiff’s evidence that he was unhappy with the furniture delivered to him right from the onset and </w:t>
      </w:r>
      <w:r w:rsidR="006C7A71">
        <w:rPr>
          <w:rFonts w:ascii="Arial" w:hAnsi="Arial" w:cs="Arial"/>
        </w:rPr>
        <w:t xml:space="preserve">he </w:t>
      </w:r>
      <w:r w:rsidR="00C2174A">
        <w:rPr>
          <w:rFonts w:ascii="Arial" w:hAnsi="Arial" w:cs="Arial"/>
        </w:rPr>
        <w:t>registered his protestations and hence refused to append his signature to the receipt he was being asked to sign</w:t>
      </w:r>
      <w:r w:rsidR="006C7A71">
        <w:rPr>
          <w:rFonts w:ascii="Arial" w:hAnsi="Arial" w:cs="Arial"/>
        </w:rPr>
        <w:t xml:space="preserve"> by the defendants</w:t>
      </w:r>
      <w:r w:rsidR="00C2174A">
        <w:rPr>
          <w:rFonts w:ascii="Arial" w:hAnsi="Arial" w:cs="Arial"/>
        </w:rPr>
        <w:t>. In this regard, it s</w:t>
      </w:r>
      <w:r w:rsidR="001D349A">
        <w:rPr>
          <w:rFonts w:ascii="Arial" w:hAnsi="Arial" w:cs="Arial"/>
        </w:rPr>
        <w:t xml:space="preserve">eems to me nonsensical, as the first </w:t>
      </w:r>
      <w:r w:rsidR="00C2174A">
        <w:rPr>
          <w:rFonts w:ascii="Arial" w:hAnsi="Arial" w:cs="Arial"/>
        </w:rPr>
        <w:t>defendant sought to do, to expect the plaintiff, who was no</w:t>
      </w:r>
      <w:r w:rsidR="006C7A71">
        <w:rPr>
          <w:rFonts w:ascii="Arial" w:hAnsi="Arial" w:cs="Arial"/>
        </w:rPr>
        <w:t>t</w:t>
      </w:r>
      <w:r w:rsidR="00C2174A">
        <w:rPr>
          <w:rFonts w:ascii="Arial" w:hAnsi="Arial" w:cs="Arial"/>
        </w:rPr>
        <w:t xml:space="preserve"> the owner of the furniture and inventory, to prepare the annexure</w:t>
      </w:r>
      <w:r w:rsidR="006C7A71">
        <w:rPr>
          <w:rFonts w:ascii="Arial" w:hAnsi="Arial" w:cs="Arial"/>
        </w:rPr>
        <w:t xml:space="preserve"> referred to in the agreement</w:t>
      </w:r>
      <w:r w:rsidR="00C2174A">
        <w:rPr>
          <w:rFonts w:ascii="Arial" w:hAnsi="Arial" w:cs="Arial"/>
        </w:rPr>
        <w:t>. His evidence that he did not know the furniture, save the fleeting visit he made to the defendants’ home</w:t>
      </w:r>
      <w:r w:rsidR="006C7A71">
        <w:rPr>
          <w:rFonts w:ascii="Arial" w:hAnsi="Arial" w:cs="Arial"/>
        </w:rPr>
        <w:t>,</w:t>
      </w:r>
      <w:r w:rsidR="00C2174A">
        <w:rPr>
          <w:rFonts w:ascii="Arial" w:hAnsi="Arial" w:cs="Arial"/>
        </w:rPr>
        <w:t xml:space="preserve"> is consistent with the probabilities of the case and hence acceptable to the court</w:t>
      </w:r>
      <w:r w:rsidR="00D32F9E">
        <w:rPr>
          <w:rFonts w:ascii="Arial" w:hAnsi="Arial" w:cs="Arial"/>
        </w:rPr>
        <w:t xml:space="preserve"> and must be accept</w:t>
      </w:r>
      <w:r w:rsidR="006C7A71">
        <w:rPr>
          <w:rFonts w:ascii="Arial" w:hAnsi="Arial" w:cs="Arial"/>
        </w:rPr>
        <w:t>ed</w:t>
      </w:r>
      <w:r w:rsidR="00D32F9E">
        <w:rPr>
          <w:rFonts w:ascii="Arial" w:hAnsi="Arial" w:cs="Arial"/>
        </w:rPr>
        <w:t xml:space="preserve"> therefor</w:t>
      </w:r>
      <w:r w:rsidR="00C2174A">
        <w:rPr>
          <w:rFonts w:ascii="Arial" w:hAnsi="Arial" w:cs="Arial"/>
        </w:rPr>
        <w:t xml:space="preserve">.   </w:t>
      </w:r>
    </w:p>
    <w:p w14:paraId="67C42238" w14:textId="77777777" w:rsidR="00C2174A" w:rsidRDefault="00C2174A" w:rsidP="00E27958">
      <w:pPr>
        <w:spacing w:line="360" w:lineRule="auto"/>
        <w:ind w:left="360"/>
        <w:jc w:val="both"/>
        <w:rPr>
          <w:rFonts w:ascii="Arial" w:hAnsi="Arial" w:cs="Arial"/>
        </w:rPr>
      </w:pPr>
    </w:p>
    <w:p w14:paraId="6A61B182" w14:textId="5B341E9D" w:rsidR="00C2174A" w:rsidRDefault="00A91890" w:rsidP="00CA60A7">
      <w:pPr>
        <w:spacing w:line="360" w:lineRule="auto"/>
        <w:jc w:val="both"/>
        <w:rPr>
          <w:rFonts w:ascii="Arial" w:hAnsi="Arial" w:cs="Arial"/>
        </w:rPr>
      </w:pPr>
      <w:r>
        <w:rPr>
          <w:rFonts w:ascii="Arial" w:hAnsi="Arial" w:cs="Arial"/>
        </w:rPr>
        <w:t>[83</w:t>
      </w:r>
      <w:r w:rsidR="00C2174A">
        <w:rPr>
          <w:rFonts w:ascii="Arial" w:hAnsi="Arial" w:cs="Arial"/>
        </w:rPr>
        <w:t>]</w:t>
      </w:r>
      <w:r w:rsidR="00C2174A">
        <w:rPr>
          <w:rFonts w:ascii="Arial" w:hAnsi="Arial" w:cs="Arial"/>
        </w:rPr>
        <w:tab/>
        <w:t xml:space="preserve">The uncontested evidence was that most of the furniture and inventory was </w:t>
      </w:r>
      <w:r w:rsidR="001D349A">
        <w:rPr>
          <w:rFonts w:ascii="Arial" w:hAnsi="Arial" w:cs="Arial"/>
        </w:rPr>
        <w:t>removed from the house and the first</w:t>
      </w:r>
      <w:r w:rsidR="00C2174A">
        <w:rPr>
          <w:rFonts w:ascii="Arial" w:hAnsi="Arial" w:cs="Arial"/>
        </w:rPr>
        <w:t xml:space="preserve"> defendant was hard pressed to explain why that was the case as the plaintiff h</w:t>
      </w:r>
      <w:r w:rsidR="006C7A71">
        <w:rPr>
          <w:rFonts w:ascii="Arial" w:hAnsi="Arial" w:cs="Arial"/>
        </w:rPr>
        <w:t xml:space="preserve">ad paid a whooping N$400 000. </w:t>
      </w:r>
      <w:r w:rsidR="006C7A71">
        <w:rPr>
          <w:rFonts w:ascii="Arial" w:hAnsi="Arial" w:cs="Arial"/>
        </w:rPr>
        <w:lastRenderedPageBreak/>
        <w:t>That notwithstanding,</w:t>
      </w:r>
      <w:r w:rsidR="00C2174A">
        <w:rPr>
          <w:rFonts w:ascii="Arial" w:hAnsi="Arial" w:cs="Arial"/>
        </w:rPr>
        <w:t xml:space="preserve"> the defendants were busy</w:t>
      </w:r>
      <w:r w:rsidR="00E244DF">
        <w:rPr>
          <w:rFonts w:ascii="Arial" w:hAnsi="Arial" w:cs="Arial"/>
        </w:rPr>
        <w:t>,</w:t>
      </w:r>
      <w:r w:rsidR="00C2174A">
        <w:rPr>
          <w:rFonts w:ascii="Arial" w:hAnsi="Arial" w:cs="Arial"/>
        </w:rPr>
        <w:t xml:space="preserve"> removing the majority of items from the house to some storage facility some 200 or so metres</w:t>
      </w:r>
      <w:r w:rsidR="00E244DF">
        <w:rPr>
          <w:rFonts w:ascii="Arial" w:hAnsi="Arial" w:cs="Arial"/>
        </w:rPr>
        <w:t>,</w:t>
      </w:r>
      <w:r w:rsidR="00C2174A">
        <w:rPr>
          <w:rFonts w:ascii="Arial" w:hAnsi="Arial" w:cs="Arial"/>
        </w:rPr>
        <w:t xml:space="preserve"> away from the house. The plaintiff’s evidence that he found the defendant’s wife removing a mirror and protested at that</w:t>
      </w:r>
      <w:r w:rsidR="00AA24E2">
        <w:rPr>
          <w:rFonts w:ascii="Arial" w:hAnsi="Arial" w:cs="Arial"/>
        </w:rPr>
        <w:t xml:space="preserve"> action,</w:t>
      </w:r>
      <w:r w:rsidR="00C2174A">
        <w:rPr>
          <w:rFonts w:ascii="Arial" w:hAnsi="Arial" w:cs="Arial"/>
        </w:rPr>
        <w:t xml:space="preserve"> was not </w:t>
      </w:r>
      <w:r w:rsidR="00DD3EA0">
        <w:rPr>
          <w:rFonts w:ascii="Arial" w:hAnsi="Arial" w:cs="Arial"/>
        </w:rPr>
        <w:t>explained,</w:t>
      </w:r>
      <w:r w:rsidR="00C2174A">
        <w:rPr>
          <w:rFonts w:ascii="Arial" w:hAnsi="Arial" w:cs="Arial"/>
        </w:rPr>
        <w:t xml:space="preserve"> as the latter was not even called as a witness. His protestations were recorded but there was, in my view, no reasonable explanation for </w:t>
      </w:r>
      <w:r w:rsidR="00DD3EA0">
        <w:rPr>
          <w:rFonts w:ascii="Arial" w:hAnsi="Arial" w:cs="Arial"/>
        </w:rPr>
        <w:t>this,</w:t>
      </w:r>
      <w:r w:rsidR="00C2174A">
        <w:rPr>
          <w:rFonts w:ascii="Arial" w:hAnsi="Arial" w:cs="Arial"/>
        </w:rPr>
        <w:t xml:space="preserve"> as it seems to have gone against the agreement of the parties.</w:t>
      </w:r>
    </w:p>
    <w:p w14:paraId="3F45DA5E" w14:textId="77777777" w:rsidR="006C7A71" w:rsidRDefault="006C7A71" w:rsidP="00E27958">
      <w:pPr>
        <w:spacing w:line="360" w:lineRule="auto"/>
        <w:ind w:left="360"/>
        <w:jc w:val="both"/>
        <w:rPr>
          <w:rFonts w:ascii="Arial" w:hAnsi="Arial" w:cs="Arial"/>
        </w:rPr>
      </w:pPr>
    </w:p>
    <w:p w14:paraId="75D71FD0" w14:textId="52EB57E0" w:rsidR="006C7A71" w:rsidRDefault="00CA60A7" w:rsidP="00CA60A7">
      <w:pPr>
        <w:spacing w:line="360" w:lineRule="auto"/>
        <w:jc w:val="both"/>
        <w:rPr>
          <w:rFonts w:ascii="Arial" w:hAnsi="Arial" w:cs="Arial"/>
        </w:rPr>
      </w:pPr>
      <w:r>
        <w:rPr>
          <w:rFonts w:ascii="Arial" w:hAnsi="Arial" w:cs="Arial"/>
        </w:rPr>
        <w:t>[8</w:t>
      </w:r>
      <w:r w:rsidR="00A91890">
        <w:rPr>
          <w:rFonts w:ascii="Arial" w:hAnsi="Arial" w:cs="Arial"/>
        </w:rPr>
        <w:t>4</w:t>
      </w:r>
      <w:r w:rsidR="006C7A71">
        <w:rPr>
          <w:rFonts w:ascii="Arial" w:hAnsi="Arial" w:cs="Arial"/>
        </w:rPr>
        <w:t>]</w:t>
      </w:r>
      <w:r w:rsidR="006C7A71">
        <w:rPr>
          <w:rFonts w:ascii="Arial" w:hAnsi="Arial" w:cs="Arial"/>
        </w:rPr>
        <w:tab/>
        <w:t>I must, in this regard, point out that the 2</w:t>
      </w:r>
      <w:r w:rsidR="006C7A71" w:rsidRPr="006C7A71">
        <w:rPr>
          <w:rFonts w:ascii="Arial" w:hAnsi="Arial" w:cs="Arial"/>
          <w:vertAlign w:val="superscript"/>
        </w:rPr>
        <w:t>nd</w:t>
      </w:r>
      <w:r w:rsidR="006C7A71">
        <w:rPr>
          <w:rFonts w:ascii="Arial" w:hAnsi="Arial" w:cs="Arial"/>
        </w:rPr>
        <w:t xml:space="preserve"> defendant was not called as a witness, particularly to explain and put her version </w:t>
      </w:r>
      <w:r w:rsidR="00843433">
        <w:rPr>
          <w:rFonts w:ascii="Arial" w:hAnsi="Arial" w:cs="Arial"/>
        </w:rPr>
        <w:t xml:space="preserve">of the events </w:t>
      </w:r>
      <w:r w:rsidR="006C7A71">
        <w:rPr>
          <w:rFonts w:ascii="Arial" w:hAnsi="Arial" w:cs="Arial"/>
        </w:rPr>
        <w:t>to</w:t>
      </w:r>
      <w:r w:rsidR="00843433">
        <w:rPr>
          <w:rFonts w:ascii="Arial" w:hAnsi="Arial" w:cs="Arial"/>
        </w:rPr>
        <w:t xml:space="preserve"> the</w:t>
      </w:r>
      <w:r w:rsidR="006C7A71">
        <w:rPr>
          <w:rFonts w:ascii="Arial" w:hAnsi="Arial" w:cs="Arial"/>
        </w:rPr>
        <w:t xml:space="preserve"> court. In this regard, the plaintiff adduced evidence that touched upon her and in the circumstances, I am entitled to draw an adverse inference against her</w:t>
      </w:r>
      <w:r w:rsidR="00843433">
        <w:rPr>
          <w:rFonts w:ascii="Arial" w:hAnsi="Arial" w:cs="Arial"/>
        </w:rPr>
        <w:t>, though being a party to the proceedings but not availing herself as a witness.</w:t>
      </w:r>
      <w:r w:rsidR="006C7A71">
        <w:rPr>
          <w:rStyle w:val="FootnoteReference"/>
          <w:rFonts w:ascii="Arial" w:hAnsi="Arial" w:cs="Arial"/>
        </w:rPr>
        <w:footnoteReference w:id="16"/>
      </w:r>
    </w:p>
    <w:p w14:paraId="0918F7EB" w14:textId="77777777" w:rsidR="0015094A" w:rsidRDefault="0015094A" w:rsidP="00E27958">
      <w:pPr>
        <w:spacing w:line="360" w:lineRule="auto"/>
        <w:ind w:left="360"/>
        <w:jc w:val="both"/>
        <w:rPr>
          <w:rFonts w:ascii="Arial" w:hAnsi="Arial" w:cs="Arial"/>
        </w:rPr>
      </w:pPr>
    </w:p>
    <w:p w14:paraId="1DEBAA0C" w14:textId="2437A23D" w:rsidR="0015094A" w:rsidRDefault="00A91890" w:rsidP="00CA60A7">
      <w:pPr>
        <w:spacing w:line="360" w:lineRule="auto"/>
        <w:jc w:val="both"/>
        <w:rPr>
          <w:rFonts w:ascii="Arial" w:hAnsi="Arial" w:cs="Arial"/>
        </w:rPr>
      </w:pPr>
      <w:r>
        <w:rPr>
          <w:rFonts w:ascii="Arial" w:hAnsi="Arial" w:cs="Arial"/>
        </w:rPr>
        <w:t>[85</w:t>
      </w:r>
      <w:r w:rsidR="0015094A">
        <w:rPr>
          <w:rFonts w:ascii="Arial" w:hAnsi="Arial" w:cs="Arial"/>
        </w:rPr>
        <w:t>]</w:t>
      </w:r>
      <w:r w:rsidR="0015094A">
        <w:rPr>
          <w:rFonts w:ascii="Arial" w:hAnsi="Arial" w:cs="Arial"/>
        </w:rPr>
        <w:tab/>
        <w:t xml:space="preserve">On </w:t>
      </w:r>
      <w:r w:rsidR="001D349A">
        <w:rPr>
          <w:rFonts w:ascii="Arial" w:hAnsi="Arial" w:cs="Arial"/>
        </w:rPr>
        <w:t>a number of occasions when the first</w:t>
      </w:r>
      <w:r w:rsidR="0015094A">
        <w:rPr>
          <w:rFonts w:ascii="Arial" w:hAnsi="Arial" w:cs="Arial"/>
        </w:rPr>
        <w:t xml:space="preserve"> defendant found his back against the wall, his ready response was to allege</w:t>
      </w:r>
      <w:r w:rsidR="00D32F9E">
        <w:rPr>
          <w:rFonts w:ascii="Arial" w:hAnsi="Arial" w:cs="Arial"/>
        </w:rPr>
        <w:t>, what one may call the ’German card’ as it were, namely,</w:t>
      </w:r>
      <w:r w:rsidR="0015094A">
        <w:rPr>
          <w:rFonts w:ascii="Arial" w:hAnsi="Arial" w:cs="Arial"/>
        </w:rPr>
        <w:t xml:space="preserve"> that things in Germany are done differently</w:t>
      </w:r>
      <w:r w:rsidR="006C7A71">
        <w:rPr>
          <w:rFonts w:ascii="Arial" w:hAnsi="Arial" w:cs="Arial"/>
        </w:rPr>
        <w:t xml:space="preserve"> from this jurisdiction</w:t>
      </w:r>
      <w:r w:rsidR="0015094A">
        <w:rPr>
          <w:rFonts w:ascii="Arial" w:hAnsi="Arial" w:cs="Arial"/>
        </w:rPr>
        <w:t>, which I find and hold to be a lame excuse th</w:t>
      </w:r>
      <w:r w:rsidR="001D349A">
        <w:rPr>
          <w:rFonts w:ascii="Arial" w:hAnsi="Arial" w:cs="Arial"/>
        </w:rPr>
        <w:t>at did not serve to endear the first</w:t>
      </w:r>
      <w:r w:rsidR="0015094A">
        <w:rPr>
          <w:rFonts w:ascii="Arial" w:hAnsi="Arial" w:cs="Arial"/>
        </w:rPr>
        <w:t xml:space="preserve"> defendant in so far as his credibility was concerned. I have made reference to the issue of the attempt to import ‘facts’ that sought to negate the written agreement. </w:t>
      </w:r>
      <w:r w:rsidR="006C7A71">
        <w:rPr>
          <w:rFonts w:ascii="Arial" w:hAnsi="Arial" w:cs="Arial"/>
        </w:rPr>
        <w:t>He, as a lawyer, entered into a transaction in this jurisdiction and thus submitted himself to the law of this land. He cannot then be allowed to introduce some other law in the circumstances.</w:t>
      </w:r>
    </w:p>
    <w:p w14:paraId="00E3E686" w14:textId="77777777" w:rsidR="000A1277" w:rsidRDefault="000A1277" w:rsidP="00290290">
      <w:pPr>
        <w:spacing w:line="360" w:lineRule="auto"/>
        <w:ind w:left="360"/>
        <w:jc w:val="both"/>
        <w:rPr>
          <w:rFonts w:ascii="Arial" w:hAnsi="Arial" w:cs="Arial"/>
        </w:rPr>
      </w:pPr>
    </w:p>
    <w:p w14:paraId="420F4692" w14:textId="603D5286" w:rsidR="000A1277" w:rsidRDefault="00A91890" w:rsidP="00CA60A7">
      <w:pPr>
        <w:spacing w:line="360" w:lineRule="auto"/>
        <w:jc w:val="both"/>
        <w:rPr>
          <w:rFonts w:ascii="Arial" w:hAnsi="Arial" w:cs="Arial"/>
        </w:rPr>
      </w:pPr>
      <w:r>
        <w:rPr>
          <w:rFonts w:ascii="Arial" w:hAnsi="Arial" w:cs="Arial"/>
        </w:rPr>
        <w:t>[86</w:t>
      </w:r>
      <w:r w:rsidR="000A1277">
        <w:rPr>
          <w:rFonts w:ascii="Arial" w:hAnsi="Arial" w:cs="Arial"/>
        </w:rPr>
        <w:t>]</w:t>
      </w:r>
      <w:r w:rsidR="000A1277">
        <w:rPr>
          <w:rFonts w:ascii="Arial" w:hAnsi="Arial" w:cs="Arial"/>
        </w:rPr>
        <w:tab/>
        <w:t>Another example of how he tried to avoid giving straightforward</w:t>
      </w:r>
      <w:r w:rsidR="006C7A71">
        <w:rPr>
          <w:rFonts w:ascii="Arial" w:hAnsi="Arial" w:cs="Arial"/>
        </w:rPr>
        <w:t xml:space="preserve"> testimony and eventually attempted to hide</w:t>
      </w:r>
      <w:r w:rsidR="000A1277">
        <w:rPr>
          <w:rFonts w:ascii="Arial" w:hAnsi="Arial" w:cs="Arial"/>
        </w:rPr>
        <w:t xml:space="preserve"> behind how differently things are done in Germany</w:t>
      </w:r>
      <w:r w:rsidR="00F4335A">
        <w:rPr>
          <w:rFonts w:ascii="Arial" w:hAnsi="Arial" w:cs="Arial"/>
        </w:rPr>
        <w:t>,</w:t>
      </w:r>
      <w:r w:rsidR="000A1277">
        <w:rPr>
          <w:rFonts w:ascii="Arial" w:hAnsi="Arial" w:cs="Arial"/>
        </w:rPr>
        <w:t xml:space="preserve"> was in relat</w:t>
      </w:r>
      <w:r w:rsidR="00A760B7">
        <w:rPr>
          <w:rFonts w:ascii="Arial" w:hAnsi="Arial" w:cs="Arial"/>
        </w:rPr>
        <w:t>ion to who came to recommend Mr</w:t>
      </w:r>
      <w:r w:rsidR="000A1277">
        <w:rPr>
          <w:rFonts w:ascii="Arial" w:hAnsi="Arial" w:cs="Arial"/>
        </w:rPr>
        <w:t xml:space="preserve"> Ahrens to draft the agreement. This is how </w:t>
      </w:r>
      <w:r w:rsidR="001D349A">
        <w:rPr>
          <w:rFonts w:ascii="Arial" w:hAnsi="Arial" w:cs="Arial"/>
        </w:rPr>
        <w:t>the battle of wits between the first</w:t>
      </w:r>
      <w:r w:rsidR="00A760B7">
        <w:rPr>
          <w:rFonts w:ascii="Arial" w:hAnsi="Arial" w:cs="Arial"/>
        </w:rPr>
        <w:t xml:space="preserve"> defendant and Ms</w:t>
      </w:r>
      <w:r w:rsidR="000A1277">
        <w:rPr>
          <w:rFonts w:ascii="Arial" w:hAnsi="Arial" w:cs="Arial"/>
        </w:rPr>
        <w:t xml:space="preserve"> De </w:t>
      </w:r>
      <w:proofErr w:type="spellStart"/>
      <w:r w:rsidR="000A1277">
        <w:rPr>
          <w:rFonts w:ascii="Arial" w:hAnsi="Arial" w:cs="Arial"/>
        </w:rPr>
        <w:t>Jager</w:t>
      </w:r>
      <w:proofErr w:type="spellEnd"/>
      <w:r w:rsidR="000A1277">
        <w:rPr>
          <w:rFonts w:ascii="Arial" w:hAnsi="Arial" w:cs="Arial"/>
        </w:rPr>
        <w:t xml:space="preserve"> unfolded:</w:t>
      </w:r>
    </w:p>
    <w:p w14:paraId="064D114F" w14:textId="77777777" w:rsidR="000A1277" w:rsidRDefault="000A1277" w:rsidP="00290290">
      <w:pPr>
        <w:spacing w:line="360" w:lineRule="auto"/>
        <w:ind w:left="360"/>
        <w:jc w:val="both"/>
        <w:rPr>
          <w:rFonts w:ascii="Arial" w:hAnsi="Arial" w:cs="Arial"/>
        </w:rPr>
      </w:pPr>
    </w:p>
    <w:p w14:paraId="559DB646" w14:textId="64DA5C0E" w:rsidR="000A1277" w:rsidRDefault="000A1277" w:rsidP="000959DA">
      <w:pPr>
        <w:spacing w:line="360" w:lineRule="auto"/>
        <w:jc w:val="both"/>
        <w:rPr>
          <w:rFonts w:ascii="Arial" w:hAnsi="Arial" w:cs="Arial"/>
          <w:sz w:val="22"/>
          <w:szCs w:val="22"/>
        </w:rPr>
      </w:pPr>
      <w:r>
        <w:rPr>
          <w:rFonts w:ascii="Arial" w:hAnsi="Arial" w:cs="Arial"/>
        </w:rPr>
        <w:t>‘</w:t>
      </w:r>
      <w:r w:rsidR="00A760B7">
        <w:rPr>
          <w:rFonts w:ascii="Arial" w:hAnsi="Arial" w:cs="Arial"/>
          <w:sz w:val="22"/>
          <w:szCs w:val="22"/>
        </w:rPr>
        <w:t>Q: Who recommended Mr</w:t>
      </w:r>
      <w:r>
        <w:rPr>
          <w:rFonts w:ascii="Arial" w:hAnsi="Arial" w:cs="Arial"/>
          <w:sz w:val="22"/>
          <w:szCs w:val="22"/>
        </w:rPr>
        <w:t xml:space="preserve"> Ahrens to draft the agreement? </w:t>
      </w:r>
      <w:proofErr w:type="spellStart"/>
      <w:r>
        <w:rPr>
          <w:rFonts w:ascii="Arial" w:hAnsi="Arial" w:cs="Arial"/>
          <w:sz w:val="22"/>
          <w:szCs w:val="22"/>
        </w:rPr>
        <w:t>Gravenkamp</w:t>
      </w:r>
      <w:proofErr w:type="spellEnd"/>
      <w:r>
        <w:rPr>
          <w:rFonts w:ascii="Arial" w:hAnsi="Arial" w:cs="Arial"/>
          <w:sz w:val="22"/>
          <w:szCs w:val="22"/>
        </w:rPr>
        <w:t xml:space="preserve"> or the plaintiff?</w:t>
      </w:r>
    </w:p>
    <w:p w14:paraId="268E31B5" w14:textId="3193ABFF" w:rsidR="000A1277" w:rsidRDefault="000A1277" w:rsidP="00CA60A7">
      <w:pPr>
        <w:spacing w:line="360" w:lineRule="auto"/>
        <w:jc w:val="both"/>
        <w:rPr>
          <w:rFonts w:ascii="Arial" w:hAnsi="Arial" w:cs="Arial"/>
          <w:sz w:val="22"/>
          <w:szCs w:val="22"/>
        </w:rPr>
      </w:pPr>
      <w:r>
        <w:rPr>
          <w:rFonts w:ascii="Arial" w:hAnsi="Arial" w:cs="Arial"/>
          <w:sz w:val="22"/>
          <w:szCs w:val="22"/>
        </w:rPr>
        <w:lastRenderedPageBreak/>
        <w:t xml:space="preserve">A: It was both. </w:t>
      </w:r>
      <w:proofErr w:type="spellStart"/>
      <w:r>
        <w:rPr>
          <w:rFonts w:ascii="Arial" w:hAnsi="Arial" w:cs="Arial"/>
          <w:sz w:val="22"/>
          <w:szCs w:val="22"/>
        </w:rPr>
        <w:t>Gravenkamp</w:t>
      </w:r>
      <w:proofErr w:type="spellEnd"/>
      <w:r>
        <w:rPr>
          <w:rFonts w:ascii="Arial" w:hAnsi="Arial" w:cs="Arial"/>
          <w:sz w:val="22"/>
          <w:szCs w:val="22"/>
        </w:rPr>
        <w:t xml:space="preserve"> spoke for the plaintiff.</w:t>
      </w:r>
    </w:p>
    <w:p w14:paraId="093A364C" w14:textId="77777777" w:rsidR="000A1277" w:rsidRDefault="000A1277" w:rsidP="00290290">
      <w:pPr>
        <w:spacing w:line="360" w:lineRule="auto"/>
        <w:ind w:left="360"/>
        <w:jc w:val="both"/>
        <w:rPr>
          <w:rFonts w:ascii="Arial" w:hAnsi="Arial" w:cs="Arial"/>
          <w:sz w:val="22"/>
          <w:szCs w:val="22"/>
        </w:rPr>
      </w:pPr>
    </w:p>
    <w:p w14:paraId="1941C13A" w14:textId="5A2D274C" w:rsidR="000A1277" w:rsidRDefault="000A1277" w:rsidP="00CA60A7">
      <w:pPr>
        <w:spacing w:line="360" w:lineRule="auto"/>
        <w:jc w:val="both"/>
        <w:rPr>
          <w:rFonts w:ascii="Arial" w:hAnsi="Arial" w:cs="Arial"/>
          <w:sz w:val="22"/>
          <w:szCs w:val="22"/>
        </w:rPr>
      </w:pPr>
      <w:r>
        <w:rPr>
          <w:rFonts w:ascii="Arial" w:hAnsi="Arial" w:cs="Arial"/>
          <w:sz w:val="22"/>
          <w:szCs w:val="22"/>
        </w:rPr>
        <w:t xml:space="preserve">Q: You </w:t>
      </w:r>
      <w:r w:rsidR="00DD3EA0">
        <w:rPr>
          <w:rFonts w:ascii="Arial" w:hAnsi="Arial" w:cs="Arial"/>
          <w:sz w:val="22"/>
          <w:szCs w:val="22"/>
        </w:rPr>
        <w:t>can’t</w:t>
      </w:r>
      <w:r>
        <w:rPr>
          <w:rFonts w:ascii="Arial" w:hAnsi="Arial" w:cs="Arial"/>
          <w:sz w:val="22"/>
          <w:szCs w:val="22"/>
        </w:rPr>
        <w:t xml:space="preserve"> use one name for another. You must be specific.</w:t>
      </w:r>
    </w:p>
    <w:p w14:paraId="1E5D4997" w14:textId="1E7E965E" w:rsidR="000A1277" w:rsidRDefault="000A1277" w:rsidP="00CA60A7">
      <w:pPr>
        <w:spacing w:line="360" w:lineRule="auto"/>
        <w:jc w:val="both"/>
        <w:rPr>
          <w:rFonts w:ascii="Arial" w:hAnsi="Arial" w:cs="Arial"/>
          <w:sz w:val="22"/>
          <w:szCs w:val="22"/>
        </w:rPr>
      </w:pPr>
      <w:r>
        <w:rPr>
          <w:rFonts w:ascii="Arial" w:hAnsi="Arial" w:cs="Arial"/>
          <w:sz w:val="22"/>
          <w:szCs w:val="22"/>
        </w:rPr>
        <w:t>A: I don’t know. They came to me in one unit.</w:t>
      </w:r>
    </w:p>
    <w:p w14:paraId="35552524" w14:textId="77777777" w:rsidR="000A1277" w:rsidRDefault="000A1277" w:rsidP="00290290">
      <w:pPr>
        <w:spacing w:line="360" w:lineRule="auto"/>
        <w:ind w:left="360"/>
        <w:jc w:val="both"/>
        <w:rPr>
          <w:rFonts w:ascii="Arial" w:hAnsi="Arial" w:cs="Arial"/>
          <w:sz w:val="22"/>
          <w:szCs w:val="22"/>
        </w:rPr>
      </w:pPr>
    </w:p>
    <w:p w14:paraId="795B6824" w14:textId="5DBD2AE1" w:rsidR="000A1277" w:rsidRDefault="006C7A71" w:rsidP="00CA60A7">
      <w:pPr>
        <w:spacing w:line="360" w:lineRule="auto"/>
        <w:jc w:val="both"/>
        <w:rPr>
          <w:rFonts w:ascii="Arial" w:hAnsi="Arial" w:cs="Arial"/>
          <w:sz w:val="22"/>
          <w:szCs w:val="22"/>
        </w:rPr>
      </w:pPr>
      <w:r>
        <w:rPr>
          <w:rFonts w:ascii="Arial" w:hAnsi="Arial" w:cs="Arial"/>
          <w:sz w:val="22"/>
          <w:szCs w:val="22"/>
        </w:rPr>
        <w:t>Q: You presented it</w:t>
      </w:r>
      <w:r w:rsidR="000A1277">
        <w:rPr>
          <w:rFonts w:ascii="Arial" w:hAnsi="Arial" w:cs="Arial"/>
          <w:sz w:val="22"/>
          <w:szCs w:val="22"/>
        </w:rPr>
        <w:t xml:space="preserve"> as a fact that it was one and not the other?</w:t>
      </w:r>
    </w:p>
    <w:p w14:paraId="6E584677" w14:textId="2A1A9629" w:rsidR="000A1277" w:rsidRDefault="000A1277" w:rsidP="00CA60A7">
      <w:pPr>
        <w:spacing w:line="360" w:lineRule="auto"/>
        <w:jc w:val="both"/>
        <w:rPr>
          <w:rFonts w:ascii="Arial" w:hAnsi="Arial" w:cs="Arial"/>
          <w:sz w:val="22"/>
          <w:szCs w:val="22"/>
        </w:rPr>
      </w:pPr>
      <w:r>
        <w:rPr>
          <w:rFonts w:ascii="Arial" w:hAnsi="Arial" w:cs="Arial"/>
          <w:sz w:val="22"/>
          <w:szCs w:val="22"/>
        </w:rPr>
        <w:t>A: In Germany, if one appears, he appears for the other. You mention the other.</w:t>
      </w:r>
    </w:p>
    <w:p w14:paraId="0F3CC9E9" w14:textId="77777777" w:rsidR="000A1277" w:rsidRDefault="000A1277" w:rsidP="00290290">
      <w:pPr>
        <w:spacing w:line="360" w:lineRule="auto"/>
        <w:ind w:left="360"/>
        <w:jc w:val="both"/>
        <w:rPr>
          <w:rFonts w:ascii="Arial" w:hAnsi="Arial" w:cs="Arial"/>
          <w:sz w:val="22"/>
          <w:szCs w:val="22"/>
        </w:rPr>
      </w:pPr>
    </w:p>
    <w:p w14:paraId="58FF644E" w14:textId="241D7021" w:rsidR="000A1277" w:rsidRDefault="000A1277" w:rsidP="00CA60A7">
      <w:pPr>
        <w:spacing w:line="360" w:lineRule="auto"/>
        <w:jc w:val="both"/>
        <w:rPr>
          <w:rFonts w:ascii="Arial" w:hAnsi="Arial" w:cs="Arial"/>
          <w:sz w:val="22"/>
          <w:szCs w:val="22"/>
        </w:rPr>
      </w:pPr>
      <w:r>
        <w:rPr>
          <w:rFonts w:ascii="Arial" w:hAnsi="Arial" w:cs="Arial"/>
          <w:sz w:val="22"/>
          <w:szCs w:val="22"/>
        </w:rPr>
        <w:t>Q: Why not mention that it was so and so specifically?</w:t>
      </w:r>
    </w:p>
    <w:p w14:paraId="58B7F421" w14:textId="535E4440" w:rsidR="000A1277" w:rsidRDefault="000A1277" w:rsidP="00CA60A7">
      <w:pPr>
        <w:spacing w:line="360" w:lineRule="auto"/>
        <w:jc w:val="both"/>
        <w:rPr>
          <w:rFonts w:ascii="Arial" w:hAnsi="Arial" w:cs="Arial"/>
          <w:sz w:val="22"/>
          <w:szCs w:val="22"/>
        </w:rPr>
      </w:pPr>
      <w:r>
        <w:rPr>
          <w:rFonts w:ascii="Arial" w:hAnsi="Arial" w:cs="Arial"/>
          <w:sz w:val="22"/>
          <w:szCs w:val="22"/>
        </w:rPr>
        <w:t>A: In Germany, it is vice versa.</w:t>
      </w:r>
    </w:p>
    <w:p w14:paraId="330B4B8E" w14:textId="77777777" w:rsidR="000A1277" w:rsidRDefault="000A1277" w:rsidP="00290290">
      <w:pPr>
        <w:spacing w:line="360" w:lineRule="auto"/>
        <w:ind w:left="360"/>
        <w:jc w:val="both"/>
        <w:rPr>
          <w:rFonts w:ascii="Arial" w:hAnsi="Arial" w:cs="Arial"/>
          <w:sz w:val="22"/>
          <w:szCs w:val="22"/>
        </w:rPr>
      </w:pPr>
    </w:p>
    <w:p w14:paraId="626D37E5" w14:textId="49FC2125" w:rsidR="000A1277" w:rsidRDefault="000A1277" w:rsidP="00CA60A7">
      <w:pPr>
        <w:spacing w:line="360" w:lineRule="auto"/>
        <w:jc w:val="both"/>
        <w:rPr>
          <w:rFonts w:ascii="Arial" w:hAnsi="Arial" w:cs="Arial"/>
          <w:sz w:val="22"/>
          <w:szCs w:val="22"/>
        </w:rPr>
      </w:pPr>
      <w:r>
        <w:rPr>
          <w:rFonts w:ascii="Arial" w:hAnsi="Arial" w:cs="Arial"/>
          <w:sz w:val="22"/>
          <w:szCs w:val="22"/>
        </w:rPr>
        <w:t xml:space="preserve">Q: I put it to </w:t>
      </w:r>
      <w:r w:rsidR="00DD3EA0">
        <w:rPr>
          <w:rFonts w:ascii="Arial" w:hAnsi="Arial" w:cs="Arial"/>
          <w:sz w:val="22"/>
          <w:szCs w:val="22"/>
        </w:rPr>
        <w:t>you;</w:t>
      </w:r>
      <w:r>
        <w:rPr>
          <w:rFonts w:ascii="Arial" w:hAnsi="Arial" w:cs="Arial"/>
          <w:sz w:val="22"/>
          <w:szCs w:val="22"/>
        </w:rPr>
        <w:t xml:space="preserve"> this is nothing to do with the law. It is a factual issue.</w:t>
      </w:r>
    </w:p>
    <w:p w14:paraId="701B797C" w14:textId="2C8CA8B0" w:rsidR="000A1277" w:rsidRDefault="000A1277" w:rsidP="00CA60A7">
      <w:pPr>
        <w:spacing w:line="360" w:lineRule="auto"/>
        <w:jc w:val="both"/>
        <w:rPr>
          <w:rFonts w:ascii="Arial" w:hAnsi="Arial" w:cs="Arial"/>
          <w:sz w:val="22"/>
          <w:szCs w:val="22"/>
        </w:rPr>
      </w:pPr>
      <w:r>
        <w:rPr>
          <w:rFonts w:ascii="Arial" w:hAnsi="Arial" w:cs="Arial"/>
          <w:sz w:val="22"/>
          <w:szCs w:val="22"/>
        </w:rPr>
        <w:t>A: This is not a direct speech.</w:t>
      </w:r>
    </w:p>
    <w:p w14:paraId="3B6F012B" w14:textId="77777777" w:rsidR="000A1277" w:rsidRDefault="000A1277" w:rsidP="00290290">
      <w:pPr>
        <w:spacing w:line="360" w:lineRule="auto"/>
        <w:ind w:left="360"/>
        <w:jc w:val="both"/>
        <w:rPr>
          <w:rFonts w:ascii="Arial" w:hAnsi="Arial" w:cs="Arial"/>
          <w:sz w:val="22"/>
          <w:szCs w:val="22"/>
        </w:rPr>
      </w:pPr>
    </w:p>
    <w:p w14:paraId="2B302827" w14:textId="03AFA684" w:rsidR="000A1277" w:rsidRDefault="000A1277" w:rsidP="00CA60A7">
      <w:pPr>
        <w:spacing w:line="360" w:lineRule="auto"/>
        <w:jc w:val="both"/>
        <w:rPr>
          <w:rFonts w:ascii="Arial" w:hAnsi="Arial" w:cs="Arial"/>
          <w:sz w:val="22"/>
          <w:szCs w:val="22"/>
        </w:rPr>
      </w:pPr>
      <w:r>
        <w:rPr>
          <w:rFonts w:ascii="Arial" w:hAnsi="Arial" w:cs="Arial"/>
          <w:sz w:val="22"/>
          <w:szCs w:val="22"/>
        </w:rPr>
        <w:t>Q: Where does it say that?</w:t>
      </w:r>
    </w:p>
    <w:p w14:paraId="7BB91D4B" w14:textId="3D22DFA4" w:rsidR="00290290" w:rsidRDefault="000A1277" w:rsidP="00CA60A7">
      <w:pPr>
        <w:spacing w:line="360" w:lineRule="auto"/>
        <w:jc w:val="both"/>
        <w:rPr>
          <w:rFonts w:ascii="Arial" w:hAnsi="Arial" w:cs="Arial"/>
          <w:sz w:val="22"/>
          <w:szCs w:val="22"/>
        </w:rPr>
      </w:pPr>
      <w:r>
        <w:rPr>
          <w:rFonts w:ascii="Arial" w:hAnsi="Arial" w:cs="Arial"/>
          <w:sz w:val="22"/>
          <w:szCs w:val="22"/>
        </w:rPr>
        <w:t>A: In Germany.’</w:t>
      </w:r>
    </w:p>
    <w:p w14:paraId="06020678" w14:textId="77777777" w:rsidR="00843433" w:rsidRPr="006C7A71" w:rsidRDefault="00843433" w:rsidP="006C7A71">
      <w:pPr>
        <w:spacing w:line="360" w:lineRule="auto"/>
        <w:ind w:left="360"/>
        <w:jc w:val="both"/>
        <w:rPr>
          <w:rFonts w:ascii="Arial" w:hAnsi="Arial" w:cs="Arial"/>
          <w:sz w:val="22"/>
          <w:szCs w:val="22"/>
        </w:rPr>
      </w:pPr>
    </w:p>
    <w:p w14:paraId="6EF1C00E" w14:textId="6BCE8216" w:rsidR="000A1277" w:rsidRDefault="0061025E" w:rsidP="00CA60A7">
      <w:pPr>
        <w:spacing w:line="360" w:lineRule="auto"/>
        <w:jc w:val="both"/>
        <w:rPr>
          <w:rFonts w:ascii="Arial" w:hAnsi="Arial" w:cs="Arial"/>
        </w:rPr>
      </w:pPr>
      <w:r>
        <w:rPr>
          <w:rFonts w:ascii="Arial" w:hAnsi="Arial" w:cs="Arial"/>
        </w:rPr>
        <w:t>[</w:t>
      </w:r>
      <w:r w:rsidR="00A91890">
        <w:rPr>
          <w:rFonts w:ascii="Arial" w:hAnsi="Arial" w:cs="Arial"/>
        </w:rPr>
        <w:t>87</w:t>
      </w:r>
      <w:r>
        <w:rPr>
          <w:rFonts w:ascii="Arial" w:hAnsi="Arial" w:cs="Arial"/>
        </w:rPr>
        <w:t>]</w:t>
      </w:r>
      <w:r>
        <w:rPr>
          <w:rFonts w:ascii="Arial" w:hAnsi="Arial" w:cs="Arial"/>
        </w:rPr>
        <w:tab/>
        <w:t xml:space="preserve">It is clear, from the foregoing, that the defendant was </w:t>
      </w:r>
      <w:r w:rsidR="006C7A71">
        <w:rPr>
          <w:rFonts w:ascii="Arial" w:hAnsi="Arial" w:cs="Arial"/>
        </w:rPr>
        <w:t xml:space="preserve">being deliberately </w:t>
      </w:r>
      <w:r>
        <w:rPr>
          <w:rFonts w:ascii="Arial" w:hAnsi="Arial" w:cs="Arial"/>
        </w:rPr>
        <w:t>evasive and failed to answer clear and direct questions and used Germany as a ruse for his failure to answer the questions posed to him clearly and truthfully. In fact, on a number of occasions, he answered questions which had not been put to him, a sign that he was anticipatory in his answers, which did not do him a wor</w:t>
      </w:r>
      <w:r w:rsidR="00AA24E2">
        <w:rPr>
          <w:rFonts w:ascii="Arial" w:hAnsi="Arial" w:cs="Arial"/>
        </w:rPr>
        <w:t>ld of good as a witness worthy of credit</w:t>
      </w:r>
      <w:r>
        <w:rPr>
          <w:rFonts w:ascii="Arial" w:hAnsi="Arial" w:cs="Arial"/>
        </w:rPr>
        <w:t xml:space="preserve">. </w:t>
      </w:r>
    </w:p>
    <w:p w14:paraId="1A3DDF25" w14:textId="77777777" w:rsidR="0061025E" w:rsidRDefault="0061025E" w:rsidP="00290290">
      <w:pPr>
        <w:spacing w:line="360" w:lineRule="auto"/>
        <w:ind w:left="360"/>
        <w:jc w:val="both"/>
        <w:rPr>
          <w:rFonts w:ascii="Arial" w:hAnsi="Arial" w:cs="Arial"/>
        </w:rPr>
      </w:pPr>
    </w:p>
    <w:p w14:paraId="6AF8536A" w14:textId="71B9DCB0" w:rsidR="00152321" w:rsidRDefault="00A91890" w:rsidP="00CA60A7">
      <w:pPr>
        <w:spacing w:line="360" w:lineRule="auto"/>
        <w:jc w:val="both"/>
        <w:rPr>
          <w:rFonts w:ascii="Arial" w:hAnsi="Arial" w:cs="Arial"/>
        </w:rPr>
      </w:pPr>
      <w:r>
        <w:rPr>
          <w:rFonts w:ascii="Arial" w:hAnsi="Arial" w:cs="Arial"/>
        </w:rPr>
        <w:t>[88</w:t>
      </w:r>
      <w:r w:rsidR="001D349A">
        <w:rPr>
          <w:rFonts w:ascii="Arial" w:hAnsi="Arial" w:cs="Arial"/>
        </w:rPr>
        <w:t>]</w:t>
      </w:r>
      <w:r w:rsidR="001D349A">
        <w:rPr>
          <w:rFonts w:ascii="Arial" w:hAnsi="Arial" w:cs="Arial"/>
        </w:rPr>
        <w:tab/>
        <w:t>The first</w:t>
      </w:r>
      <w:r w:rsidR="00290290">
        <w:rPr>
          <w:rFonts w:ascii="Arial" w:hAnsi="Arial" w:cs="Arial"/>
        </w:rPr>
        <w:t xml:space="preserve"> defendant was at pains </w:t>
      </w:r>
      <w:r w:rsidR="0010627B">
        <w:rPr>
          <w:rFonts w:ascii="Arial" w:hAnsi="Arial" w:cs="Arial"/>
        </w:rPr>
        <w:t xml:space="preserve">to </w:t>
      </w:r>
      <w:r w:rsidR="00152321">
        <w:rPr>
          <w:rFonts w:ascii="Arial" w:hAnsi="Arial" w:cs="Arial"/>
        </w:rPr>
        <w:t xml:space="preserve">try to convincingly </w:t>
      </w:r>
      <w:r w:rsidR="0010627B">
        <w:rPr>
          <w:rFonts w:ascii="Arial" w:hAnsi="Arial" w:cs="Arial"/>
        </w:rPr>
        <w:t xml:space="preserve">explain the pictures that the plaintiff captured of the premises before the handover of the property and how bare the house looked after the defendants had left. </w:t>
      </w:r>
      <w:r w:rsidR="00152321">
        <w:rPr>
          <w:rFonts w:ascii="Arial" w:hAnsi="Arial" w:cs="Arial"/>
        </w:rPr>
        <w:t xml:space="preserve">It was like a </w:t>
      </w:r>
      <w:r w:rsidR="00152321">
        <w:rPr>
          <w:rFonts w:ascii="Arial" w:hAnsi="Arial" w:cs="Arial"/>
          <w:i/>
        </w:rPr>
        <w:t xml:space="preserve">tsunami </w:t>
      </w:r>
      <w:r w:rsidR="00152321">
        <w:rPr>
          <w:rFonts w:ascii="Arial" w:hAnsi="Arial" w:cs="Arial"/>
        </w:rPr>
        <w:t xml:space="preserve">had come and swept most of the furniture and other items away. </w:t>
      </w:r>
      <w:r w:rsidR="0010627B">
        <w:rPr>
          <w:rFonts w:ascii="Arial" w:hAnsi="Arial" w:cs="Arial"/>
        </w:rPr>
        <w:t xml:space="preserve">This was an objective fact that seemed to cement the plaintiff’s position and correspondingly </w:t>
      </w:r>
      <w:r w:rsidR="00AA24E2">
        <w:rPr>
          <w:rFonts w:ascii="Arial" w:hAnsi="Arial" w:cs="Arial"/>
        </w:rPr>
        <w:t xml:space="preserve">served to </w:t>
      </w:r>
      <w:r w:rsidR="0010627B">
        <w:rPr>
          <w:rFonts w:ascii="Arial" w:hAnsi="Arial" w:cs="Arial"/>
        </w:rPr>
        <w:t>weaken the credibility</w:t>
      </w:r>
      <w:r w:rsidR="00AA24E2">
        <w:rPr>
          <w:rFonts w:ascii="Arial" w:hAnsi="Arial" w:cs="Arial"/>
        </w:rPr>
        <w:t xml:space="preserve"> and believability</w:t>
      </w:r>
      <w:r w:rsidR="0010627B">
        <w:rPr>
          <w:rFonts w:ascii="Arial" w:hAnsi="Arial" w:cs="Arial"/>
        </w:rPr>
        <w:t xml:space="preserve"> of the defendants’ story. </w:t>
      </w:r>
    </w:p>
    <w:p w14:paraId="7C448A84" w14:textId="77777777" w:rsidR="00152321" w:rsidRDefault="00152321" w:rsidP="00290290">
      <w:pPr>
        <w:spacing w:line="360" w:lineRule="auto"/>
        <w:ind w:left="360"/>
        <w:jc w:val="both"/>
        <w:rPr>
          <w:rFonts w:ascii="Arial" w:hAnsi="Arial" w:cs="Arial"/>
        </w:rPr>
      </w:pPr>
    </w:p>
    <w:p w14:paraId="07A5B0B9" w14:textId="7578A427" w:rsidR="00290290" w:rsidRDefault="00152321" w:rsidP="00CA60A7">
      <w:pPr>
        <w:spacing w:line="360" w:lineRule="auto"/>
        <w:jc w:val="both"/>
        <w:rPr>
          <w:rFonts w:ascii="Arial" w:hAnsi="Arial" w:cs="Arial"/>
        </w:rPr>
      </w:pPr>
      <w:r>
        <w:rPr>
          <w:rFonts w:ascii="Arial" w:hAnsi="Arial" w:cs="Arial"/>
        </w:rPr>
        <w:t>[</w:t>
      </w:r>
      <w:r w:rsidR="00A91890">
        <w:rPr>
          <w:rFonts w:ascii="Arial" w:hAnsi="Arial" w:cs="Arial"/>
        </w:rPr>
        <w:t>89</w:t>
      </w:r>
      <w:r>
        <w:rPr>
          <w:rFonts w:ascii="Arial" w:hAnsi="Arial" w:cs="Arial"/>
        </w:rPr>
        <w:t>]</w:t>
      </w:r>
      <w:r>
        <w:rPr>
          <w:rFonts w:ascii="Arial" w:hAnsi="Arial" w:cs="Arial"/>
        </w:rPr>
        <w:tab/>
      </w:r>
      <w:r w:rsidR="0010627B">
        <w:rPr>
          <w:rFonts w:ascii="Arial" w:hAnsi="Arial" w:cs="Arial"/>
        </w:rPr>
        <w:t>The</w:t>
      </w:r>
      <w:r w:rsidR="00AA24E2">
        <w:rPr>
          <w:rFonts w:ascii="Arial" w:hAnsi="Arial" w:cs="Arial"/>
        </w:rPr>
        <w:t>se</w:t>
      </w:r>
      <w:r w:rsidR="0010627B">
        <w:rPr>
          <w:rFonts w:ascii="Arial" w:hAnsi="Arial" w:cs="Arial"/>
        </w:rPr>
        <w:t xml:space="preserve"> objective facts, served, in </w:t>
      </w:r>
      <w:r w:rsidR="00D32F9E">
        <w:rPr>
          <w:rFonts w:ascii="Arial" w:hAnsi="Arial" w:cs="Arial"/>
        </w:rPr>
        <w:t>my view, to break the defendant</w:t>
      </w:r>
      <w:r w:rsidR="0010627B">
        <w:rPr>
          <w:rFonts w:ascii="Arial" w:hAnsi="Arial" w:cs="Arial"/>
        </w:rPr>
        <w:t>s</w:t>
      </w:r>
      <w:r w:rsidR="00D32F9E">
        <w:rPr>
          <w:rFonts w:ascii="Arial" w:hAnsi="Arial" w:cs="Arial"/>
        </w:rPr>
        <w:t>’</w:t>
      </w:r>
      <w:r w:rsidR="0010627B">
        <w:rPr>
          <w:rFonts w:ascii="Arial" w:hAnsi="Arial" w:cs="Arial"/>
        </w:rPr>
        <w:t xml:space="preserve"> case to smithereens. The plaintiff’s recorded complaint that for all the money he paid, </w:t>
      </w:r>
      <w:r>
        <w:rPr>
          <w:rFonts w:ascii="Arial" w:hAnsi="Arial" w:cs="Arial"/>
        </w:rPr>
        <w:t>the defendants even failed to lea</w:t>
      </w:r>
      <w:r w:rsidR="0010627B">
        <w:rPr>
          <w:rFonts w:ascii="Arial" w:hAnsi="Arial" w:cs="Arial"/>
        </w:rPr>
        <w:t xml:space="preserve">ve a roll of toilet paper </w:t>
      </w:r>
      <w:r w:rsidR="00B8760F">
        <w:rPr>
          <w:rFonts w:ascii="Arial" w:hAnsi="Arial" w:cs="Arial"/>
        </w:rPr>
        <w:t xml:space="preserve">in the bathrooms, </w:t>
      </w:r>
      <w:r w:rsidR="0010627B">
        <w:rPr>
          <w:rFonts w:ascii="Arial" w:hAnsi="Arial" w:cs="Arial"/>
        </w:rPr>
        <w:t xml:space="preserve">was </w:t>
      </w:r>
      <w:r w:rsidR="0010627B">
        <w:rPr>
          <w:rFonts w:ascii="Arial" w:hAnsi="Arial" w:cs="Arial"/>
        </w:rPr>
        <w:lastRenderedPageBreak/>
        <w:t>understandable in the circumstances</w:t>
      </w:r>
      <w:r w:rsidR="00AA24E2">
        <w:rPr>
          <w:rFonts w:ascii="Arial" w:hAnsi="Arial" w:cs="Arial"/>
        </w:rPr>
        <w:t xml:space="preserve"> and was an unrehearsed response that served to show the level of </w:t>
      </w:r>
      <w:r>
        <w:rPr>
          <w:rFonts w:ascii="Arial" w:hAnsi="Arial" w:cs="Arial"/>
        </w:rPr>
        <w:t>hurt</w:t>
      </w:r>
      <w:r w:rsidR="00B8760F">
        <w:rPr>
          <w:rFonts w:ascii="Arial" w:hAnsi="Arial" w:cs="Arial"/>
        </w:rPr>
        <w:t>, disillusionment</w:t>
      </w:r>
      <w:r>
        <w:rPr>
          <w:rFonts w:ascii="Arial" w:hAnsi="Arial" w:cs="Arial"/>
        </w:rPr>
        <w:t xml:space="preserve"> and </w:t>
      </w:r>
      <w:r w:rsidR="00AA24E2">
        <w:rPr>
          <w:rFonts w:ascii="Arial" w:hAnsi="Arial" w:cs="Arial"/>
        </w:rPr>
        <w:t>despair he had reached</w:t>
      </w:r>
      <w:r>
        <w:rPr>
          <w:rFonts w:ascii="Arial" w:hAnsi="Arial" w:cs="Arial"/>
        </w:rPr>
        <w:t>,</w:t>
      </w:r>
      <w:r w:rsidR="00AA24E2">
        <w:rPr>
          <w:rFonts w:ascii="Arial" w:hAnsi="Arial" w:cs="Arial"/>
        </w:rPr>
        <w:t xml:space="preserve"> seeing the prospect of his money going </w:t>
      </w:r>
      <w:r>
        <w:rPr>
          <w:rFonts w:ascii="Arial" w:hAnsi="Arial" w:cs="Arial"/>
        </w:rPr>
        <w:t xml:space="preserve">down the drain and </w:t>
      </w:r>
      <w:r w:rsidR="00AA24E2">
        <w:rPr>
          <w:rFonts w:ascii="Arial" w:hAnsi="Arial" w:cs="Arial"/>
        </w:rPr>
        <w:t>for a song, as it were</w:t>
      </w:r>
      <w:r w:rsidR="0010627B">
        <w:rPr>
          <w:rFonts w:ascii="Arial" w:hAnsi="Arial" w:cs="Arial"/>
        </w:rPr>
        <w:t>.</w:t>
      </w:r>
    </w:p>
    <w:p w14:paraId="4A4370F4" w14:textId="77777777" w:rsidR="00AA24E2" w:rsidRDefault="00AA24E2" w:rsidP="00290290">
      <w:pPr>
        <w:spacing w:line="360" w:lineRule="auto"/>
        <w:ind w:left="360"/>
        <w:jc w:val="both"/>
        <w:rPr>
          <w:rFonts w:ascii="Arial" w:hAnsi="Arial" w:cs="Arial"/>
        </w:rPr>
      </w:pPr>
    </w:p>
    <w:p w14:paraId="6466A5DC" w14:textId="7021F411" w:rsidR="0061025E" w:rsidRDefault="00A91890" w:rsidP="00CA60A7">
      <w:pPr>
        <w:spacing w:line="360" w:lineRule="auto"/>
        <w:jc w:val="both"/>
        <w:rPr>
          <w:rFonts w:ascii="Arial" w:hAnsi="Arial" w:cs="Arial"/>
        </w:rPr>
      </w:pPr>
      <w:r>
        <w:rPr>
          <w:rFonts w:ascii="Arial" w:hAnsi="Arial" w:cs="Arial"/>
        </w:rPr>
        <w:t>[</w:t>
      </w:r>
      <w:r w:rsidR="00463B94">
        <w:rPr>
          <w:rFonts w:ascii="Arial" w:hAnsi="Arial" w:cs="Arial"/>
        </w:rPr>
        <w:t>9</w:t>
      </w:r>
      <w:r>
        <w:rPr>
          <w:rFonts w:ascii="Arial" w:hAnsi="Arial" w:cs="Arial"/>
        </w:rPr>
        <w:t>0</w:t>
      </w:r>
      <w:r w:rsidR="0061025E">
        <w:rPr>
          <w:rFonts w:ascii="Arial" w:hAnsi="Arial" w:cs="Arial"/>
        </w:rPr>
        <w:t>]</w:t>
      </w:r>
      <w:r w:rsidR="0061025E">
        <w:rPr>
          <w:rFonts w:ascii="Arial" w:hAnsi="Arial" w:cs="Arial"/>
        </w:rPr>
        <w:tab/>
        <w:t xml:space="preserve">Another issue that does </w:t>
      </w:r>
      <w:r w:rsidR="001D349A">
        <w:rPr>
          <w:rFonts w:ascii="Arial" w:hAnsi="Arial" w:cs="Arial"/>
        </w:rPr>
        <w:t>not paint the first</w:t>
      </w:r>
      <w:r w:rsidR="0061025E">
        <w:rPr>
          <w:rFonts w:ascii="Arial" w:hAnsi="Arial" w:cs="Arial"/>
        </w:rPr>
        <w:t xml:space="preserve"> defendant in a positive light relates to the issue of the invent</w:t>
      </w:r>
      <w:r w:rsidR="00A760B7">
        <w:rPr>
          <w:rFonts w:ascii="Arial" w:hAnsi="Arial" w:cs="Arial"/>
        </w:rPr>
        <w:t xml:space="preserve">ory. It was put to him that Mr </w:t>
      </w:r>
      <w:r w:rsidR="0061025E">
        <w:rPr>
          <w:rFonts w:ascii="Arial" w:hAnsi="Arial" w:cs="Arial"/>
        </w:rPr>
        <w:t xml:space="preserve">Ahrens required him to hand over the inventory. His answer was that the inventory was requested from </w:t>
      </w:r>
      <w:r w:rsidR="0061025E" w:rsidRPr="001D349A">
        <w:rPr>
          <w:rFonts w:ascii="Arial" w:hAnsi="Arial" w:cs="Arial"/>
        </w:rPr>
        <w:t>‘all of us’</w:t>
      </w:r>
      <w:r w:rsidR="00AA24E2">
        <w:rPr>
          <w:rFonts w:ascii="Arial" w:hAnsi="Arial" w:cs="Arial"/>
        </w:rPr>
        <w:t>, i.e. including the plaintiff</w:t>
      </w:r>
      <w:r w:rsidR="0061025E">
        <w:rPr>
          <w:rFonts w:ascii="Arial" w:hAnsi="Arial" w:cs="Arial"/>
        </w:rPr>
        <w:t>. He confirmed that the f</w:t>
      </w:r>
      <w:r w:rsidR="00A760B7">
        <w:rPr>
          <w:rFonts w:ascii="Arial" w:hAnsi="Arial" w:cs="Arial"/>
        </w:rPr>
        <w:t>ollowing day, Mr</w:t>
      </w:r>
      <w:r w:rsidR="0061025E">
        <w:rPr>
          <w:rFonts w:ascii="Arial" w:hAnsi="Arial" w:cs="Arial"/>
        </w:rPr>
        <w:t xml:space="preserve"> Ahrens again asked for the inventory but denied when put to him that he undertook to provide it when he arrived in Germany, as he did not have enough time</w:t>
      </w:r>
      <w:r w:rsidR="00AA24E2">
        <w:rPr>
          <w:rFonts w:ascii="Arial" w:hAnsi="Arial" w:cs="Arial"/>
        </w:rPr>
        <w:t xml:space="preserve"> to prepare one before departure</w:t>
      </w:r>
      <w:r w:rsidR="0061025E">
        <w:rPr>
          <w:rFonts w:ascii="Arial" w:hAnsi="Arial" w:cs="Arial"/>
        </w:rPr>
        <w:t xml:space="preserve">. This the defendant denied, claiming that they had enough time to submit it as they had taken photographs of the premises as both parties did not want the inventory list anymore. </w:t>
      </w:r>
    </w:p>
    <w:p w14:paraId="16BED7FA" w14:textId="77777777" w:rsidR="00843433" w:rsidRDefault="00843433" w:rsidP="00152321">
      <w:pPr>
        <w:spacing w:line="360" w:lineRule="auto"/>
        <w:ind w:left="360"/>
        <w:jc w:val="both"/>
        <w:rPr>
          <w:rFonts w:ascii="Arial" w:hAnsi="Arial" w:cs="Arial"/>
        </w:rPr>
      </w:pPr>
    </w:p>
    <w:p w14:paraId="657C08C1" w14:textId="75F9E47F" w:rsidR="00905AC6" w:rsidRDefault="00463B94" w:rsidP="00CA60A7">
      <w:pPr>
        <w:spacing w:line="360" w:lineRule="auto"/>
        <w:jc w:val="both"/>
        <w:rPr>
          <w:rFonts w:ascii="Arial" w:hAnsi="Arial" w:cs="Arial"/>
        </w:rPr>
      </w:pPr>
      <w:r>
        <w:rPr>
          <w:rFonts w:ascii="Arial" w:hAnsi="Arial" w:cs="Arial"/>
        </w:rPr>
        <w:t>[</w:t>
      </w:r>
      <w:r w:rsidR="00A41B98">
        <w:rPr>
          <w:rFonts w:ascii="Arial" w:hAnsi="Arial" w:cs="Arial"/>
        </w:rPr>
        <w:t>9</w:t>
      </w:r>
      <w:r w:rsidR="00A91890">
        <w:rPr>
          <w:rFonts w:ascii="Arial" w:hAnsi="Arial" w:cs="Arial"/>
        </w:rPr>
        <w:t>1</w:t>
      </w:r>
      <w:r w:rsidR="0061025E">
        <w:rPr>
          <w:rFonts w:ascii="Arial" w:hAnsi="Arial" w:cs="Arial"/>
        </w:rPr>
        <w:t>]</w:t>
      </w:r>
      <w:r w:rsidR="0061025E">
        <w:rPr>
          <w:rFonts w:ascii="Arial" w:hAnsi="Arial" w:cs="Arial"/>
        </w:rPr>
        <w:tab/>
        <w:t>I interpose and mention that this issue was never put to the plaintiff in cross-examination and was only mentioned for the first time by the defendant in cross-examination</w:t>
      </w:r>
      <w:r w:rsidR="00152321">
        <w:rPr>
          <w:rFonts w:ascii="Arial" w:hAnsi="Arial" w:cs="Arial"/>
        </w:rPr>
        <w:t>, and under intense and excruciating cross-examination, I must necessarily add</w:t>
      </w:r>
      <w:r w:rsidR="0061025E">
        <w:rPr>
          <w:rFonts w:ascii="Arial" w:hAnsi="Arial" w:cs="Arial"/>
        </w:rPr>
        <w:t xml:space="preserve">. </w:t>
      </w:r>
      <w:r w:rsidR="00AA24E2">
        <w:rPr>
          <w:rFonts w:ascii="Arial" w:hAnsi="Arial" w:cs="Arial"/>
        </w:rPr>
        <w:t xml:space="preserve">It was a face-saving version that was also self-serving to the defendants. </w:t>
      </w:r>
      <w:r w:rsidR="0061025E">
        <w:rPr>
          <w:rFonts w:ascii="Arial" w:hAnsi="Arial" w:cs="Arial"/>
        </w:rPr>
        <w:t xml:space="preserve">On the authority of </w:t>
      </w:r>
      <w:r w:rsidR="00905AC6">
        <w:rPr>
          <w:rFonts w:ascii="Arial" w:hAnsi="Arial" w:cs="Arial"/>
          <w:i/>
        </w:rPr>
        <w:t>Small v Smith</w:t>
      </w:r>
      <w:r w:rsidR="00AA24E2">
        <w:rPr>
          <w:rFonts w:ascii="Arial" w:hAnsi="Arial" w:cs="Arial"/>
          <w:i/>
        </w:rPr>
        <w:t>,</w:t>
      </w:r>
      <w:r w:rsidR="00905AC6">
        <w:rPr>
          <w:rStyle w:val="FootnoteReference"/>
          <w:rFonts w:ascii="Arial" w:hAnsi="Arial" w:cs="Arial"/>
          <w:i/>
        </w:rPr>
        <w:footnoteReference w:id="17"/>
      </w:r>
      <w:r w:rsidR="00905AC6">
        <w:rPr>
          <w:rFonts w:ascii="Arial" w:hAnsi="Arial" w:cs="Arial"/>
          <w:i/>
        </w:rPr>
        <w:t xml:space="preserve"> </w:t>
      </w:r>
      <w:r w:rsidR="00AA24E2">
        <w:rPr>
          <w:rFonts w:ascii="Arial" w:hAnsi="Arial" w:cs="Arial"/>
        </w:rPr>
        <w:t xml:space="preserve">and </w:t>
      </w:r>
      <w:r w:rsidR="00AA24E2">
        <w:rPr>
          <w:rFonts w:ascii="Arial" w:hAnsi="Arial" w:cs="Arial"/>
          <w:i/>
        </w:rPr>
        <w:t>South African Rugby Football Union v The President of South Africa,</w:t>
      </w:r>
      <w:r w:rsidR="00AA24E2">
        <w:rPr>
          <w:rStyle w:val="FootnoteReference"/>
          <w:rFonts w:ascii="Arial" w:hAnsi="Arial" w:cs="Arial"/>
          <w:i/>
        </w:rPr>
        <w:footnoteReference w:id="18"/>
      </w:r>
      <w:r w:rsidR="00AA24E2">
        <w:rPr>
          <w:rFonts w:ascii="Arial" w:hAnsi="Arial" w:cs="Arial"/>
          <w:i/>
        </w:rPr>
        <w:t xml:space="preserve"> </w:t>
      </w:r>
      <w:r w:rsidR="00905AC6">
        <w:rPr>
          <w:rFonts w:ascii="Arial" w:hAnsi="Arial" w:cs="Arial"/>
        </w:rPr>
        <w:t xml:space="preserve">this issue must be </w:t>
      </w:r>
      <w:r w:rsidR="00AA24E2">
        <w:rPr>
          <w:rFonts w:ascii="Arial" w:hAnsi="Arial" w:cs="Arial"/>
        </w:rPr>
        <w:t xml:space="preserve">regarded and consequently </w:t>
      </w:r>
      <w:r w:rsidR="00905AC6">
        <w:rPr>
          <w:rFonts w:ascii="Arial" w:hAnsi="Arial" w:cs="Arial"/>
        </w:rPr>
        <w:t xml:space="preserve">treated as an afterthought and I proceed to do so. It </w:t>
      </w:r>
      <w:r w:rsidR="00AA24E2">
        <w:rPr>
          <w:rFonts w:ascii="Arial" w:hAnsi="Arial" w:cs="Arial"/>
        </w:rPr>
        <w:t>is inconceivable that the plaintiff</w:t>
      </w:r>
      <w:r w:rsidR="00905AC6">
        <w:rPr>
          <w:rFonts w:ascii="Arial" w:hAnsi="Arial" w:cs="Arial"/>
        </w:rPr>
        <w:t xml:space="preserve"> would have agreed for the pictures to take the place of the inventory, </w:t>
      </w:r>
      <w:r w:rsidR="00AA24E2">
        <w:rPr>
          <w:rFonts w:ascii="Arial" w:hAnsi="Arial" w:cs="Arial"/>
        </w:rPr>
        <w:t xml:space="preserve">thus jettisoning that </w:t>
      </w:r>
      <w:r w:rsidR="00905AC6">
        <w:rPr>
          <w:rFonts w:ascii="Arial" w:hAnsi="Arial" w:cs="Arial"/>
        </w:rPr>
        <w:t xml:space="preserve">which was </w:t>
      </w:r>
      <w:r w:rsidR="00AA24E2">
        <w:rPr>
          <w:rFonts w:ascii="Arial" w:hAnsi="Arial" w:cs="Arial"/>
        </w:rPr>
        <w:t xml:space="preserve">specifically </w:t>
      </w:r>
      <w:r w:rsidR="00905AC6">
        <w:rPr>
          <w:rFonts w:ascii="Arial" w:hAnsi="Arial" w:cs="Arial"/>
        </w:rPr>
        <w:t>recorded in the written agreement.</w:t>
      </w:r>
    </w:p>
    <w:p w14:paraId="47BFD659" w14:textId="77777777" w:rsidR="00B725A1" w:rsidRDefault="00B725A1" w:rsidP="00AA24E2">
      <w:pPr>
        <w:spacing w:line="360" w:lineRule="auto"/>
        <w:ind w:left="360"/>
        <w:jc w:val="both"/>
        <w:rPr>
          <w:rFonts w:ascii="Arial" w:hAnsi="Arial" w:cs="Arial"/>
        </w:rPr>
      </w:pPr>
    </w:p>
    <w:p w14:paraId="74CD0214" w14:textId="1D678E17" w:rsidR="000849FB" w:rsidRDefault="00A41B98" w:rsidP="00CA60A7">
      <w:pPr>
        <w:spacing w:line="360" w:lineRule="auto"/>
        <w:jc w:val="both"/>
        <w:rPr>
          <w:rFonts w:ascii="Arial" w:hAnsi="Arial" w:cs="Arial"/>
        </w:rPr>
      </w:pPr>
      <w:r>
        <w:rPr>
          <w:rFonts w:ascii="Arial" w:hAnsi="Arial" w:cs="Arial"/>
        </w:rPr>
        <w:t>[9</w:t>
      </w:r>
      <w:r w:rsidR="00A91890">
        <w:rPr>
          <w:rFonts w:ascii="Arial" w:hAnsi="Arial" w:cs="Arial"/>
        </w:rPr>
        <w:t>2</w:t>
      </w:r>
      <w:r w:rsidR="00905AC6">
        <w:rPr>
          <w:rFonts w:ascii="Arial" w:hAnsi="Arial" w:cs="Arial"/>
        </w:rPr>
        <w:t>]</w:t>
      </w:r>
      <w:r w:rsidR="00905AC6">
        <w:rPr>
          <w:rFonts w:ascii="Arial" w:hAnsi="Arial" w:cs="Arial"/>
        </w:rPr>
        <w:tab/>
        <w:t xml:space="preserve">It was, in any event, put to the </w:t>
      </w:r>
      <w:r w:rsidR="001D349A">
        <w:rPr>
          <w:rFonts w:ascii="Arial" w:hAnsi="Arial" w:cs="Arial"/>
        </w:rPr>
        <w:t xml:space="preserve">first </w:t>
      </w:r>
      <w:r w:rsidR="00905AC6">
        <w:rPr>
          <w:rFonts w:ascii="Arial" w:hAnsi="Arial" w:cs="Arial"/>
        </w:rPr>
        <w:t>defendant that if his vers</w:t>
      </w:r>
      <w:r w:rsidR="00A760B7">
        <w:rPr>
          <w:rFonts w:ascii="Arial" w:hAnsi="Arial" w:cs="Arial"/>
        </w:rPr>
        <w:t>ion in this regard was true, Mr</w:t>
      </w:r>
      <w:r w:rsidR="00905AC6">
        <w:rPr>
          <w:rFonts w:ascii="Arial" w:hAnsi="Arial" w:cs="Arial"/>
        </w:rPr>
        <w:t xml:space="preserve"> Ahrens would have changed the agreement to reflect the parties’ latest intention. His an</w:t>
      </w:r>
      <w:r w:rsidR="00AA24E2">
        <w:rPr>
          <w:rFonts w:ascii="Arial" w:hAnsi="Arial" w:cs="Arial"/>
        </w:rPr>
        <w:t xml:space="preserve">swer was to agree but hastening </w:t>
      </w:r>
      <w:r w:rsidR="00905AC6">
        <w:rPr>
          <w:rFonts w:ascii="Arial" w:hAnsi="Arial" w:cs="Arial"/>
        </w:rPr>
        <w:t>to mention that both parties di</w:t>
      </w:r>
      <w:r w:rsidR="00AA24E2">
        <w:rPr>
          <w:rFonts w:ascii="Arial" w:hAnsi="Arial" w:cs="Arial"/>
        </w:rPr>
        <w:t>d not want this. When taxed</w:t>
      </w:r>
      <w:r w:rsidR="00905AC6">
        <w:rPr>
          <w:rFonts w:ascii="Arial" w:hAnsi="Arial" w:cs="Arial"/>
        </w:rPr>
        <w:t xml:space="preserve"> as to why he then signed the agreement in its original form, requiring that the list be attached, </w:t>
      </w:r>
      <w:r w:rsidR="00AA24E2">
        <w:rPr>
          <w:rFonts w:ascii="Arial" w:hAnsi="Arial" w:cs="Arial"/>
        </w:rPr>
        <w:t xml:space="preserve">if both parties </w:t>
      </w:r>
      <w:r w:rsidR="00AA24E2">
        <w:rPr>
          <w:rFonts w:ascii="Arial" w:hAnsi="Arial" w:cs="Arial"/>
        </w:rPr>
        <w:lastRenderedPageBreak/>
        <w:t xml:space="preserve">had had a change of heart as alleged by him, the </w:t>
      </w:r>
      <w:r w:rsidR="001D349A">
        <w:rPr>
          <w:rFonts w:ascii="Arial" w:hAnsi="Arial" w:cs="Arial"/>
        </w:rPr>
        <w:t xml:space="preserve">first </w:t>
      </w:r>
      <w:r w:rsidR="00AA24E2">
        <w:rPr>
          <w:rFonts w:ascii="Arial" w:hAnsi="Arial" w:cs="Arial"/>
        </w:rPr>
        <w:t>defendant reverted to</w:t>
      </w:r>
      <w:r w:rsidR="00905AC6">
        <w:rPr>
          <w:rFonts w:ascii="Arial" w:hAnsi="Arial" w:cs="Arial"/>
        </w:rPr>
        <w:t xml:space="preserve"> the Germany refrain again</w:t>
      </w:r>
      <w:r w:rsidR="00AA24E2">
        <w:rPr>
          <w:rFonts w:ascii="Arial" w:hAnsi="Arial" w:cs="Arial"/>
        </w:rPr>
        <w:t>,</w:t>
      </w:r>
      <w:r w:rsidR="00905AC6">
        <w:rPr>
          <w:rFonts w:ascii="Arial" w:hAnsi="Arial" w:cs="Arial"/>
        </w:rPr>
        <w:t xml:space="preserve"> namely that maybe that is how it is done in Namibia but in Germany, the parties, if they know what they want to sell, they can go against what they have recorded and signed in their written agreement. </w:t>
      </w:r>
      <w:r w:rsidR="00AA24E2">
        <w:rPr>
          <w:rFonts w:ascii="Arial" w:hAnsi="Arial" w:cs="Arial"/>
        </w:rPr>
        <w:t xml:space="preserve">I very much doubt that the defendant’s version is an accurate representation of German law, though I have no </w:t>
      </w:r>
      <w:r w:rsidR="003E27A0">
        <w:rPr>
          <w:rFonts w:ascii="Arial" w:hAnsi="Arial" w:cs="Arial"/>
        </w:rPr>
        <w:t>knowledge of how it works and it was not properly brought to this court and proved as a fact, it being foreign law.</w:t>
      </w:r>
    </w:p>
    <w:p w14:paraId="5DA35D7B" w14:textId="77777777" w:rsidR="000849FB" w:rsidRDefault="000849FB" w:rsidP="00290290">
      <w:pPr>
        <w:spacing w:line="360" w:lineRule="auto"/>
        <w:ind w:left="360"/>
        <w:jc w:val="both"/>
        <w:rPr>
          <w:rFonts w:ascii="Arial" w:hAnsi="Arial" w:cs="Arial"/>
        </w:rPr>
      </w:pPr>
    </w:p>
    <w:p w14:paraId="7AB127DF" w14:textId="3B54CB17" w:rsidR="00F4335A" w:rsidRDefault="00CA60A7" w:rsidP="00CA60A7">
      <w:pPr>
        <w:spacing w:line="360" w:lineRule="auto"/>
        <w:jc w:val="both"/>
        <w:rPr>
          <w:rFonts w:ascii="Arial" w:hAnsi="Arial" w:cs="Arial"/>
        </w:rPr>
      </w:pPr>
      <w:r>
        <w:rPr>
          <w:rFonts w:ascii="Arial" w:hAnsi="Arial" w:cs="Arial"/>
        </w:rPr>
        <w:t>[</w:t>
      </w:r>
      <w:r w:rsidR="00F4335A">
        <w:rPr>
          <w:rFonts w:ascii="Arial" w:hAnsi="Arial" w:cs="Arial"/>
        </w:rPr>
        <w:t>9</w:t>
      </w:r>
      <w:r w:rsidR="00A91890">
        <w:rPr>
          <w:rFonts w:ascii="Arial" w:hAnsi="Arial" w:cs="Arial"/>
        </w:rPr>
        <w:t>3</w:t>
      </w:r>
      <w:r w:rsidR="00F4335A">
        <w:rPr>
          <w:rFonts w:ascii="Arial" w:hAnsi="Arial" w:cs="Arial"/>
        </w:rPr>
        <w:t>]</w:t>
      </w:r>
      <w:r w:rsidR="00F4335A">
        <w:rPr>
          <w:rFonts w:ascii="Arial" w:hAnsi="Arial" w:cs="Arial"/>
        </w:rPr>
        <w:tab/>
        <w:t>Of particular interest, regarding the issue of the inventory, is the official translation of a letter written by the defendant, dated 9 June 2011, addressed to Ahrens &amp; Associates. In para1, the defendant says:</w:t>
      </w:r>
    </w:p>
    <w:p w14:paraId="16912F7C" w14:textId="77777777" w:rsidR="00F4335A" w:rsidRDefault="00F4335A" w:rsidP="00290290">
      <w:pPr>
        <w:spacing w:line="360" w:lineRule="auto"/>
        <w:ind w:left="360"/>
        <w:jc w:val="both"/>
        <w:rPr>
          <w:rFonts w:ascii="Arial" w:hAnsi="Arial" w:cs="Arial"/>
        </w:rPr>
      </w:pPr>
    </w:p>
    <w:p w14:paraId="4CDD8F79" w14:textId="3EE9AE18" w:rsidR="00F4335A" w:rsidRDefault="00F4335A" w:rsidP="000959DA">
      <w:pPr>
        <w:spacing w:line="360" w:lineRule="auto"/>
        <w:jc w:val="both"/>
        <w:rPr>
          <w:rFonts w:ascii="Arial" w:hAnsi="Arial" w:cs="Arial"/>
        </w:rPr>
      </w:pPr>
      <w:r>
        <w:rPr>
          <w:rFonts w:ascii="Arial" w:hAnsi="Arial" w:cs="Arial"/>
        </w:rPr>
        <w:t>‘</w:t>
      </w:r>
      <w:r w:rsidR="00A760B7">
        <w:rPr>
          <w:rFonts w:ascii="Arial" w:hAnsi="Arial" w:cs="Arial"/>
          <w:sz w:val="22"/>
          <w:szCs w:val="22"/>
        </w:rPr>
        <w:t>On enquiry, Mr</w:t>
      </w:r>
      <w:r w:rsidRPr="00F4335A">
        <w:rPr>
          <w:rFonts w:ascii="Arial" w:hAnsi="Arial" w:cs="Arial"/>
          <w:sz w:val="22"/>
          <w:szCs w:val="22"/>
        </w:rPr>
        <w:t xml:space="preserve"> Conrad himself specifically had chosen to do without the inventory list and believed that the photographs would suffice</w:t>
      </w:r>
      <w:r>
        <w:rPr>
          <w:rFonts w:ascii="Arial" w:hAnsi="Arial" w:cs="Arial"/>
        </w:rPr>
        <w:t xml:space="preserve">.’ </w:t>
      </w:r>
    </w:p>
    <w:p w14:paraId="78F613A4" w14:textId="77777777" w:rsidR="00F4335A" w:rsidRDefault="00F4335A" w:rsidP="00290290">
      <w:pPr>
        <w:spacing w:line="360" w:lineRule="auto"/>
        <w:ind w:left="360"/>
        <w:jc w:val="both"/>
        <w:rPr>
          <w:rFonts w:ascii="Arial" w:hAnsi="Arial" w:cs="Arial"/>
        </w:rPr>
      </w:pPr>
    </w:p>
    <w:p w14:paraId="135C6BF3" w14:textId="73E4E9D7" w:rsidR="00F4335A" w:rsidRDefault="00F4335A" w:rsidP="00CA60A7">
      <w:pPr>
        <w:spacing w:line="360" w:lineRule="auto"/>
        <w:jc w:val="both"/>
        <w:rPr>
          <w:rFonts w:ascii="Arial" w:hAnsi="Arial" w:cs="Arial"/>
        </w:rPr>
      </w:pPr>
      <w:r>
        <w:rPr>
          <w:rFonts w:ascii="Arial" w:hAnsi="Arial" w:cs="Arial"/>
        </w:rPr>
        <w:t>At para 3 of the same letter, the defendant expressed himself as follows:</w:t>
      </w:r>
    </w:p>
    <w:p w14:paraId="2FEBCD20" w14:textId="77777777" w:rsidR="00F4335A" w:rsidRDefault="00F4335A" w:rsidP="00290290">
      <w:pPr>
        <w:spacing w:line="360" w:lineRule="auto"/>
        <w:ind w:left="360"/>
        <w:jc w:val="both"/>
        <w:rPr>
          <w:rFonts w:ascii="Arial" w:hAnsi="Arial" w:cs="Arial"/>
        </w:rPr>
      </w:pPr>
    </w:p>
    <w:p w14:paraId="04290D62" w14:textId="4642B1DF" w:rsidR="00F4335A" w:rsidRDefault="00CA60A7" w:rsidP="000959DA">
      <w:pPr>
        <w:spacing w:line="360" w:lineRule="auto"/>
        <w:jc w:val="both"/>
        <w:rPr>
          <w:rFonts w:ascii="Arial" w:hAnsi="Arial" w:cs="Arial"/>
          <w:sz w:val="22"/>
          <w:szCs w:val="22"/>
        </w:rPr>
      </w:pPr>
      <w:r>
        <w:rPr>
          <w:rFonts w:ascii="Arial" w:hAnsi="Arial" w:cs="Arial"/>
        </w:rPr>
        <w:t>‘</w:t>
      </w:r>
      <w:r w:rsidR="00F4335A">
        <w:rPr>
          <w:rFonts w:ascii="Arial" w:hAnsi="Arial" w:cs="Arial"/>
          <w:sz w:val="22"/>
          <w:szCs w:val="22"/>
        </w:rPr>
        <w:t>In light of the fact that the purchaser did not want the inventory list and was not in possession of the photographs he had specifically taken for the purposes of hand-over, incorporating the related negotiation and documentation, could not take place.’</w:t>
      </w:r>
    </w:p>
    <w:p w14:paraId="6C2989D6" w14:textId="77777777" w:rsidR="00F4335A" w:rsidRDefault="00F4335A" w:rsidP="00290290">
      <w:pPr>
        <w:spacing w:line="360" w:lineRule="auto"/>
        <w:ind w:left="360"/>
        <w:jc w:val="both"/>
        <w:rPr>
          <w:rFonts w:ascii="Arial" w:hAnsi="Arial" w:cs="Arial"/>
          <w:sz w:val="22"/>
          <w:szCs w:val="22"/>
        </w:rPr>
      </w:pPr>
    </w:p>
    <w:p w14:paraId="1099D440" w14:textId="7EDCF8CA" w:rsidR="00F4335A" w:rsidRDefault="00A91890" w:rsidP="00CA60A7">
      <w:pPr>
        <w:spacing w:line="360" w:lineRule="auto"/>
        <w:jc w:val="both"/>
        <w:rPr>
          <w:rFonts w:ascii="Arial" w:hAnsi="Arial" w:cs="Arial"/>
        </w:rPr>
      </w:pPr>
      <w:r>
        <w:rPr>
          <w:rFonts w:ascii="Arial" w:hAnsi="Arial" w:cs="Arial"/>
        </w:rPr>
        <w:t>[94</w:t>
      </w:r>
      <w:r w:rsidR="00F4335A">
        <w:rPr>
          <w:rFonts w:ascii="Arial" w:hAnsi="Arial" w:cs="Arial"/>
        </w:rPr>
        <w:t>]</w:t>
      </w:r>
      <w:r w:rsidR="00F4335A">
        <w:rPr>
          <w:rFonts w:ascii="Arial" w:hAnsi="Arial" w:cs="Arial"/>
        </w:rPr>
        <w:tab/>
        <w:t>It is clear that the defendant’s position in regard to this issue, is convoluted. He said one thing during cross-examination, alleging that the parties did not want the inventory and it</w:t>
      </w:r>
      <w:r w:rsidR="00C468F3">
        <w:rPr>
          <w:rFonts w:ascii="Arial" w:hAnsi="Arial" w:cs="Arial"/>
        </w:rPr>
        <w:t xml:space="preserve"> i</w:t>
      </w:r>
      <w:r w:rsidR="00F4335A">
        <w:rPr>
          <w:rFonts w:ascii="Arial" w:hAnsi="Arial" w:cs="Arial"/>
        </w:rPr>
        <w:t>s clear that the plaintiff</w:t>
      </w:r>
      <w:r w:rsidR="00C468F3">
        <w:rPr>
          <w:rFonts w:ascii="Arial" w:hAnsi="Arial" w:cs="Arial"/>
        </w:rPr>
        <w:t xml:space="preserve"> denied the suggestion that he di</w:t>
      </w:r>
      <w:r w:rsidR="009A2BF6">
        <w:rPr>
          <w:rFonts w:ascii="Arial" w:hAnsi="Arial" w:cs="Arial"/>
        </w:rPr>
        <w:t xml:space="preserve">d away with the inventory. This </w:t>
      </w:r>
      <w:r w:rsidR="00C468F3">
        <w:rPr>
          <w:rFonts w:ascii="Arial" w:hAnsi="Arial" w:cs="Arial"/>
        </w:rPr>
        <w:t xml:space="preserve">places the defendant’s evidence in a precipice, </w:t>
      </w:r>
      <w:r w:rsidR="009A2BF6">
        <w:rPr>
          <w:rFonts w:ascii="Arial" w:hAnsi="Arial" w:cs="Arial"/>
        </w:rPr>
        <w:t>suggesting that it be consigned</w:t>
      </w:r>
      <w:r w:rsidR="00C468F3">
        <w:rPr>
          <w:rFonts w:ascii="Arial" w:hAnsi="Arial" w:cs="Arial"/>
        </w:rPr>
        <w:t xml:space="preserve"> to</w:t>
      </w:r>
      <w:r w:rsidR="009A2BF6">
        <w:rPr>
          <w:rFonts w:ascii="Arial" w:hAnsi="Arial" w:cs="Arial"/>
        </w:rPr>
        <w:t xml:space="preserve"> pigeonhole of</w:t>
      </w:r>
      <w:r w:rsidR="00C468F3">
        <w:rPr>
          <w:rFonts w:ascii="Arial" w:hAnsi="Arial" w:cs="Arial"/>
        </w:rPr>
        <w:t xml:space="preserve"> being not worthy of credit. His positi</w:t>
      </w:r>
      <w:r w:rsidR="00B725A1">
        <w:rPr>
          <w:rFonts w:ascii="Arial" w:hAnsi="Arial" w:cs="Arial"/>
        </w:rPr>
        <w:t>on on this critical issue was nei</w:t>
      </w:r>
      <w:r w:rsidR="00C468F3">
        <w:rPr>
          <w:rFonts w:ascii="Arial" w:hAnsi="Arial" w:cs="Arial"/>
        </w:rPr>
        <w:t>t</w:t>
      </w:r>
      <w:r w:rsidR="00B725A1">
        <w:rPr>
          <w:rFonts w:ascii="Arial" w:hAnsi="Arial" w:cs="Arial"/>
        </w:rPr>
        <w:t>her</w:t>
      </w:r>
      <w:r w:rsidR="00C468F3">
        <w:rPr>
          <w:rFonts w:ascii="Arial" w:hAnsi="Arial" w:cs="Arial"/>
        </w:rPr>
        <w:t xml:space="preserve"> clear nor consistent</w:t>
      </w:r>
      <w:r w:rsidR="009A2BF6">
        <w:rPr>
          <w:rFonts w:ascii="Arial" w:hAnsi="Arial" w:cs="Arial"/>
        </w:rPr>
        <w:t>, and thus unimpressive</w:t>
      </w:r>
      <w:r w:rsidR="00C468F3">
        <w:rPr>
          <w:rFonts w:ascii="Arial" w:hAnsi="Arial" w:cs="Arial"/>
        </w:rPr>
        <w:t>.</w:t>
      </w:r>
      <w:r w:rsidR="00B8760F">
        <w:rPr>
          <w:rFonts w:ascii="Arial" w:hAnsi="Arial" w:cs="Arial"/>
        </w:rPr>
        <w:t xml:space="preserve"> It is accordingly rejected.</w:t>
      </w:r>
    </w:p>
    <w:p w14:paraId="3E2CFE07" w14:textId="77777777" w:rsidR="00B725A1" w:rsidRPr="00F4335A" w:rsidRDefault="00B725A1" w:rsidP="00290290">
      <w:pPr>
        <w:spacing w:line="360" w:lineRule="auto"/>
        <w:ind w:left="360"/>
        <w:jc w:val="both"/>
        <w:rPr>
          <w:rFonts w:ascii="Arial" w:hAnsi="Arial" w:cs="Arial"/>
        </w:rPr>
      </w:pPr>
    </w:p>
    <w:p w14:paraId="33123C8E" w14:textId="0E2158F7" w:rsidR="00905AC6" w:rsidRDefault="00A91890" w:rsidP="00CA60A7">
      <w:pPr>
        <w:spacing w:line="360" w:lineRule="auto"/>
        <w:jc w:val="both"/>
        <w:rPr>
          <w:rFonts w:ascii="Arial" w:hAnsi="Arial" w:cs="Arial"/>
        </w:rPr>
      </w:pPr>
      <w:r>
        <w:rPr>
          <w:rFonts w:ascii="Arial" w:hAnsi="Arial" w:cs="Arial"/>
        </w:rPr>
        <w:t>[95</w:t>
      </w:r>
      <w:r w:rsidR="000849FB">
        <w:rPr>
          <w:rFonts w:ascii="Arial" w:hAnsi="Arial" w:cs="Arial"/>
        </w:rPr>
        <w:t>]</w:t>
      </w:r>
      <w:r w:rsidR="000849FB">
        <w:rPr>
          <w:rFonts w:ascii="Arial" w:hAnsi="Arial" w:cs="Arial"/>
        </w:rPr>
        <w:tab/>
        <w:t>It was the defendant’s</w:t>
      </w:r>
      <w:r w:rsidR="00905AC6">
        <w:rPr>
          <w:rFonts w:ascii="Arial" w:hAnsi="Arial" w:cs="Arial"/>
        </w:rPr>
        <w:t xml:space="preserve"> </w:t>
      </w:r>
      <w:r w:rsidR="003E27A0">
        <w:rPr>
          <w:rFonts w:ascii="Arial" w:hAnsi="Arial" w:cs="Arial"/>
        </w:rPr>
        <w:t xml:space="preserve">further </w:t>
      </w:r>
      <w:r w:rsidR="00905AC6">
        <w:rPr>
          <w:rFonts w:ascii="Arial" w:hAnsi="Arial" w:cs="Arial"/>
        </w:rPr>
        <w:t xml:space="preserve">evidence </w:t>
      </w:r>
      <w:r w:rsidR="003E27A0">
        <w:rPr>
          <w:rFonts w:ascii="Arial" w:hAnsi="Arial" w:cs="Arial"/>
        </w:rPr>
        <w:t xml:space="preserve">in heated cross-examination </w:t>
      </w:r>
      <w:r w:rsidR="00905AC6">
        <w:rPr>
          <w:rFonts w:ascii="Arial" w:hAnsi="Arial" w:cs="Arial"/>
        </w:rPr>
        <w:t xml:space="preserve">that the parties’ </w:t>
      </w:r>
      <w:r w:rsidR="003E27A0">
        <w:rPr>
          <w:rFonts w:ascii="Arial" w:hAnsi="Arial" w:cs="Arial"/>
        </w:rPr>
        <w:t xml:space="preserve">spoken </w:t>
      </w:r>
      <w:r w:rsidR="00905AC6">
        <w:rPr>
          <w:rFonts w:ascii="Arial" w:hAnsi="Arial" w:cs="Arial"/>
        </w:rPr>
        <w:t xml:space="preserve">word goes and carries more weight than what they have reduced to writing </w:t>
      </w:r>
      <w:r w:rsidR="003E27A0">
        <w:rPr>
          <w:rFonts w:ascii="Arial" w:hAnsi="Arial" w:cs="Arial"/>
        </w:rPr>
        <w:t xml:space="preserve">and have signed </w:t>
      </w:r>
      <w:r w:rsidR="00905AC6">
        <w:rPr>
          <w:rFonts w:ascii="Arial" w:hAnsi="Arial" w:cs="Arial"/>
        </w:rPr>
        <w:t>in Ger</w:t>
      </w:r>
      <w:r w:rsidR="009A2BF6">
        <w:rPr>
          <w:rFonts w:ascii="Arial" w:hAnsi="Arial" w:cs="Arial"/>
        </w:rPr>
        <w:t>many. This reaction clearly nailed</w:t>
      </w:r>
      <w:r w:rsidR="00905AC6">
        <w:rPr>
          <w:rFonts w:ascii="Arial" w:hAnsi="Arial" w:cs="Arial"/>
        </w:rPr>
        <w:t xml:space="preserve"> the defenda</w:t>
      </w:r>
      <w:r w:rsidR="00A760B7">
        <w:rPr>
          <w:rFonts w:ascii="Arial" w:hAnsi="Arial" w:cs="Arial"/>
        </w:rPr>
        <w:t>nt’s colours to the mast. As Ms</w:t>
      </w:r>
      <w:r w:rsidR="00905AC6">
        <w:rPr>
          <w:rFonts w:ascii="Arial" w:hAnsi="Arial" w:cs="Arial"/>
        </w:rPr>
        <w:t xml:space="preserve"> De </w:t>
      </w:r>
      <w:proofErr w:type="spellStart"/>
      <w:r w:rsidR="00905AC6">
        <w:rPr>
          <w:rFonts w:ascii="Arial" w:hAnsi="Arial" w:cs="Arial"/>
        </w:rPr>
        <w:t>Jager</w:t>
      </w:r>
      <w:proofErr w:type="spellEnd"/>
      <w:r w:rsidR="00905AC6">
        <w:rPr>
          <w:rFonts w:ascii="Arial" w:hAnsi="Arial" w:cs="Arial"/>
        </w:rPr>
        <w:t xml:space="preserve"> put to the defendant in cross-</w:t>
      </w:r>
      <w:r w:rsidR="00905AC6">
        <w:rPr>
          <w:rFonts w:ascii="Arial" w:hAnsi="Arial" w:cs="Arial"/>
        </w:rPr>
        <w:lastRenderedPageBreak/>
        <w:t xml:space="preserve">examination and in evidence, this evidence was improbable and I wholeheartedly agree. </w:t>
      </w:r>
    </w:p>
    <w:p w14:paraId="30CFB120" w14:textId="77777777" w:rsidR="00E61ABE" w:rsidRDefault="00E61ABE" w:rsidP="00290290">
      <w:pPr>
        <w:spacing w:line="360" w:lineRule="auto"/>
        <w:ind w:left="360"/>
        <w:jc w:val="both"/>
        <w:rPr>
          <w:rFonts w:ascii="Arial" w:hAnsi="Arial" w:cs="Arial"/>
        </w:rPr>
      </w:pPr>
    </w:p>
    <w:p w14:paraId="2ACAF32D" w14:textId="3FDBCA5E" w:rsidR="00E61ABE" w:rsidRDefault="00A91890" w:rsidP="00CA60A7">
      <w:pPr>
        <w:spacing w:line="360" w:lineRule="auto"/>
        <w:jc w:val="both"/>
        <w:rPr>
          <w:rFonts w:ascii="Arial" w:hAnsi="Arial" w:cs="Arial"/>
        </w:rPr>
      </w:pPr>
      <w:r>
        <w:rPr>
          <w:rFonts w:ascii="Arial" w:hAnsi="Arial" w:cs="Arial"/>
        </w:rPr>
        <w:t>[96</w:t>
      </w:r>
      <w:r w:rsidR="00E61ABE">
        <w:rPr>
          <w:rFonts w:ascii="Arial" w:hAnsi="Arial" w:cs="Arial"/>
        </w:rPr>
        <w:t>]</w:t>
      </w:r>
      <w:r w:rsidR="00E61ABE">
        <w:rPr>
          <w:rFonts w:ascii="Arial" w:hAnsi="Arial" w:cs="Arial"/>
        </w:rPr>
        <w:tab/>
        <w:t>Furthermore, it was the defendant’s evidence un</w:t>
      </w:r>
      <w:r w:rsidR="003E27A0">
        <w:rPr>
          <w:rFonts w:ascii="Arial" w:hAnsi="Arial" w:cs="Arial"/>
        </w:rPr>
        <w:t>der cross-examination that</w:t>
      </w:r>
      <w:r w:rsidR="00E61ABE">
        <w:rPr>
          <w:rFonts w:ascii="Arial" w:hAnsi="Arial" w:cs="Arial"/>
        </w:rPr>
        <w:t xml:space="preserve"> the parties agreed that they would not submit the inventory list but that photographs</w:t>
      </w:r>
      <w:r w:rsidR="003E27A0">
        <w:rPr>
          <w:rFonts w:ascii="Arial" w:hAnsi="Arial" w:cs="Arial"/>
        </w:rPr>
        <w:t>, which were captured,</w:t>
      </w:r>
      <w:r w:rsidR="00E61ABE">
        <w:rPr>
          <w:rFonts w:ascii="Arial" w:hAnsi="Arial" w:cs="Arial"/>
        </w:rPr>
        <w:t xml:space="preserve"> would replace the list. When asked about where the said photographs were, the </w:t>
      </w:r>
      <w:r w:rsidR="001D349A">
        <w:rPr>
          <w:rFonts w:ascii="Arial" w:hAnsi="Arial" w:cs="Arial"/>
        </w:rPr>
        <w:t xml:space="preserve">first </w:t>
      </w:r>
      <w:r w:rsidR="00E61ABE">
        <w:rPr>
          <w:rFonts w:ascii="Arial" w:hAnsi="Arial" w:cs="Arial"/>
        </w:rPr>
        <w:t>defendant expressed ignorance of same.</w:t>
      </w:r>
      <w:r w:rsidR="003E27A0">
        <w:rPr>
          <w:rFonts w:ascii="Arial" w:hAnsi="Arial" w:cs="Arial"/>
        </w:rPr>
        <w:t xml:space="preserve"> How that can be the case when reliance is to be placed on those photographs to complete the identity of the items sold just beggars belief.</w:t>
      </w:r>
    </w:p>
    <w:p w14:paraId="677EF615" w14:textId="77777777" w:rsidR="00817856" w:rsidRDefault="00817856" w:rsidP="00290290">
      <w:pPr>
        <w:spacing w:line="360" w:lineRule="auto"/>
        <w:ind w:left="360"/>
        <w:jc w:val="both"/>
        <w:rPr>
          <w:rFonts w:ascii="Arial" w:hAnsi="Arial" w:cs="Arial"/>
        </w:rPr>
      </w:pPr>
    </w:p>
    <w:p w14:paraId="0CB36B68" w14:textId="12FAD3A2" w:rsidR="00817856" w:rsidRDefault="00A91890" w:rsidP="00CA60A7">
      <w:pPr>
        <w:spacing w:line="360" w:lineRule="auto"/>
        <w:jc w:val="both"/>
        <w:rPr>
          <w:rFonts w:ascii="Arial" w:hAnsi="Arial" w:cs="Arial"/>
        </w:rPr>
      </w:pPr>
      <w:r>
        <w:rPr>
          <w:rFonts w:ascii="Arial" w:hAnsi="Arial" w:cs="Arial"/>
        </w:rPr>
        <w:t>[97</w:t>
      </w:r>
      <w:r w:rsidR="00817856">
        <w:rPr>
          <w:rFonts w:ascii="Arial" w:hAnsi="Arial" w:cs="Arial"/>
        </w:rPr>
        <w:t>]</w:t>
      </w:r>
      <w:r w:rsidR="00817856">
        <w:rPr>
          <w:rFonts w:ascii="Arial" w:hAnsi="Arial" w:cs="Arial"/>
        </w:rPr>
        <w:tab/>
        <w:t xml:space="preserve">A further reason for rejecting the </w:t>
      </w:r>
      <w:r w:rsidR="001D349A">
        <w:rPr>
          <w:rFonts w:ascii="Arial" w:hAnsi="Arial" w:cs="Arial"/>
        </w:rPr>
        <w:t xml:space="preserve">first </w:t>
      </w:r>
      <w:r w:rsidR="00817856">
        <w:rPr>
          <w:rFonts w:ascii="Arial" w:hAnsi="Arial" w:cs="Arial"/>
        </w:rPr>
        <w:t>defendant’s evidence as no</w:t>
      </w:r>
      <w:r w:rsidR="003E27A0">
        <w:rPr>
          <w:rFonts w:ascii="Arial" w:hAnsi="Arial" w:cs="Arial"/>
        </w:rPr>
        <w:t>t worthy of credit relates to a confirmatory</w:t>
      </w:r>
      <w:r w:rsidR="00817856">
        <w:rPr>
          <w:rFonts w:ascii="Arial" w:hAnsi="Arial" w:cs="Arial"/>
        </w:rPr>
        <w:t xml:space="preserve"> af</w:t>
      </w:r>
      <w:r w:rsidR="003E27A0">
        <w:rPr>
          <w:rFonts w:ascii="Arial" w:hAnsi="Arial" w:cs="Arial"/>
        </w:rPr>
        <w:t>fidavit that he filed in support of</w:t>
      </w:r>
      <w:r w:rsidR="00817856">
        <w:rPr>
          <w:rFonts w:ascii="Arial" w:hAnsi="Arial" w:cs="Arial"/>
        </w:rPr>
        <w:t xml:space="preserve"> an affidavit filed by his legal practitioner of record. This was in opposition to an application filed by the plaintiff to found and/or confirm jurisdiction. In the opposing affidavit, the defendants’ legal practitioner of record stated the following at para 5.4 of the said affidavit:</w:t>
      </w:r>
    </w:p>
    <w:p w14:paraId="0FF204B6" w14:textId="77777777" w:rsidR="00817856" w:rsidRDefault="00817856" w:rsidP="00290290">
      <w:pPr>
        <w:spacing w:line="360" w:lineRule="auto"/>
        <w:ind w:left="360"/>
        <w:jc w:val="both"/>
        <w:rPr>
          <w:rFonts w:ascii="Arial" w:hAnsi="Arial" w:cs="Arial"/>
        </w:rPr>
      </w:pPr>
    </w:p>
    <w:p w14:paraId="7932C49B" w14:textId="27F49852" w:rsidR="00817856" w:rsidRDefault="00817856" w:rsidP="000959DA">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The Applicant relies on the </w:t>
      </w:r>
      <w:r>
        <w:rPr>
          <w:rFonts w:ascii="Arial" w:hAnsi="Arial" w:cs="Arial"/>
          <w:sz w:val="22"/>
          <w:szCs w:val="22"/>
          <w:u w:val="single"/>
        </w:rPr>
        <w:t xml:space="preserve">written </w:t>
      </w:r>
      <w:r>
        <w:rPr>
          <w:rFonts w:ascii="Arial" w:hAnsi="Arial" w:cs="Arial"/>
          <w:sz w:val="22"/>
          <w:szCs w:val="22"/>
        </w:rPr>
        <w:t>agreement annexed as “RC1” in the Applicant’s Founding Affidavit, in an attempt to recover N$ 400 000-00 from the Respondents herein. No mention is made of the amount. The agreed purchase price in the agreement as referred to is N$2</w:t>
      </w:r>
      <w:proofErr w:type="gramStart"/>
      <w:r>
        <w:rPr>
          <w:rFonts w:ascii="Arial" w:hAnsi="Arial" w:cs="Arial"/>
          <w:sz w:val="22"/>
          <w:szCs w:val="22"/>
        </w:rPr>
        <w:t>,4</w:t>
      </w:r>
      <w:proofErr w:type="gramEnd"/>
      <w:r>
        <w:rPr>
          <w:rFonts w:ascii="Arial" w:hAnsi="Arial" w:cs="Arial"/>
          <w:sz w:val="22"/>
          <w:szCs w:val="22"/>
        </w:rPr>
        <w:t xml:space="preserve"> Million. In addition to the foregoing, there is no mention of any obligation to compile an inventory as per “RC1”.</w:t>
      </w:r>
    </w:p>
    <w:p w14:paraId="6C6B85C8" w14:textId="77777777" w:rsidR="003A2EE2" w:rsidRDefault="003A2EE2" w:rsidP="00CA60A7">
      <w:pPr>
        <w:spacing w:line="360" w:lineRule="auto"/>
        <w:jc w:val="both"/>
        <w:rPr>
          <w:rFonts w:ascii="Arial" w:hAnsi="Arial" w:cs="Arial"/>
        </w:rPr>
      </w:pPr>
    </w:p>
    <w:p w14:paraId="26DF5BEE" w14:textId="79B93E63" w:rsidR="00817856" w:rsidRDefault="00A91890" w:rsidP="00CA60A7">
      <w:pPr>
        <w:spacing w:line="360" w:lineRule="auto"/>
        <w:jc w:val="both"/>
        <w:rPr>
          <w:rFonts w:ascii="Arial" w:hAnsi="Arial" w:cs="Arial"/>
        </w:rPr>
      </w:pPr>
      <w:r>
        <w:rPr>
          <w:rFonts w:ascii="Arial" w:hAnsi="Arial" w:cs="Arial"/>
        </w:rPr>
        <w:t>[98</w:t>
      </w:r>
      <w:r w:rsidR="00817856">
        <w:rPr>
          <w:rFonts w:ascii="Arial" w:hAnsi="Arial" w:cs="Arial"/>
        </w:rPr>
        <w:t>]</w:t>
      </w:r>
      <w:r w:rsidR="00817856">
        <w:rPr>
          <w:rFonts w:ascii="Arial" w:hAnsi="Arial" w:cs="Arial"/>
        </w:rPr>
        <w:tab/>
        <w:t xml:space="preserve">It is a historical fact that in his evidence, the </w:t>
      </w:r>
      <w:r w:rsidR="000C5437">
        <w:rPr>
          <w:rFonts w:ascii="Arial" w:hAnsi="Arial" w:cs="Arial"/>
        </w:rPr>
        <w:t xml:space="preserve">first </w:t>
      </w:r>
      <w:r w:rsidR="00817856">
        <w:rPr>
          <w:rFonts w:ascii="Arial" w:hAnsi="Arial" w:cs="Arial"/>
        </w:rPr>
        <w:t xml:space="preserve">defendant departed from that evidence as it is clear that the agreement in issue makes a specific reference to the amount of N$ 400 000. To this extent, the </w:t>
      </w:r>
      <w:r w:rsidR="000C5437">
        <w:rPr>
          <w:rFonts w:ascii="Arial" w:hAnsi="Arial" w:cs="Arial"/>
        </w:rPr>
        <w:t xml:space="preserve">first </w:t>
      </w:r>
      <w:r w:rsidR="00817856">
        <w:rPr>
          <w:rFonts w:ascii="Arial" w:hAnsi="Arial" w:cs="Arial"/>
        </w:rPr>
        <w:t xml:space="preserve">defendant perjured himself in making common cause with the founding affidavit, whose contents he confirmed under oath. There are a few other issues, which on account of the length of the judgment, I am unable to include but which inexorably point in the direction that the </w:t>
      </w:r>
      <w:r w:rsidR="000C5437">
        <w:rPr>
          <w:rFonts w:ascii="Arial" w:hAnsi="Arial" w:cs="Arial"/>
        </w:rPr>
        <w:t xml:space="preserve">first </w:t>
      </w:r>
      <w:r w:rsidR="00817856">
        <w:rPr>
          <w:rFonts w:ascii="Arial" w:hAnsi="Arial" w:cs="Arial"/>
        </w:rPr>
        <w:t xml:space="preserve">defendant was a poor witness, whose credibility was torn to shreds and did not depict himself as a witness of credit. </w:t>
      </w:r>
    </w:p>
    <w:p w14:paraId="7B5FF65F" w14:textId="77777777" w:rsidR="00817856" w:rsidRDefault="00817856" w:rsidP="00290290">
      <w:pPr>
        <w:spacing w:line="360" w:lineRule="auto"/>
        <w:ind w:left="360"/>
        <w:jc w:val="both"/>
        <w:rPr>
          <w:rFonts w:ascii="Arial" w:hAnsi="Arial" w:cs="Arial"/>
        </w:rPr>
      </w:pPr>
    </w:p>
    <w:p w14:paraId="327839BA" w14:textId="58B9973D" w:rsidR="003E27A0" w:rsidRDefault="00C468F3" w:rsidP="00CA60A7">
      <w:pPr>
        <w:spacing w:line="360" w:lineRule="auto"/>
        <w:jc w:val="both"/>
        <w:rPr>
          <w:rFonts w:ascii="Arial" w:hAnsi="Arial" w:cs="Arial"/>
        </w:rPr>
      </w:pPr>
      <w:r>
        <w:rPr>
          <w:rFonts w:ascii="Arial" w:hAnsi="Arial" w:cs="Arial"/>
        </w:rPr>
        <w:lastRenderedPageBreak/>
        <w:t>[</w:t>
      </w:r>
      <w:r w:rsidR="00A91890">
        <w:rPr>
          <w:rFonts w:ascii="Arial" w:hAnsi="Arial" w:cs="Arial"/>
        </w:rPr>
        <w:t>99</w:t>
      </w:r>
      <w:r w:rsidR="00817856">
        <w:rPr>
          <w:rFonts w:ascii="Arial" w:hAnsi="Arial" w:cs="Arial"/>
        </w:rPr>
        <w:t>]</w:t>
      </w:r>
      <w:r w:rsidR="00817856">
        <w:rPr>
          <w:rFonts w:ascii="Arial" w:hAnsi="Arial" w:cs="Arial"/>
        </w:rPr>
        <w:tab/>
        <w:t>The other witnesses for the defendant</w:t>
      </w:r>
      <w:r w:rsidR="000C5437">
        <w:rPr>
          <w:rFonts w:ascii="Arial" w:hAnsi="Arial" w:cs="Arial"/>
        </w:rPr>
        <w:t>s</w:t>
      </w:r>
      <w:r w:rsidR="00817856">
        <w:rPr>
          <w:rFonts w:ascii="Arial" w:hAnsi="Arial" w:cs="Arial"/>
        </w:rPr>
        <w:t xml:space="preserve">, </w:t>
      </w:r>
      <w:proofErr w:type="spellStart"/>
      <w:r w:rsidR="00817856">
        <w:rPr>
          <w:rFonts w:ascii="Arial" w:hAnsi="Arial" w:cs="Arial"/>
        </w:rPr>
        <w:t>Messrs</w:t>
      </w:r>
      <w:r w:rsidR="00A66B34">
        <w:rPr>
          <w:rFonts w:ascii="Arial" w:hAnsi="Arial" w:cs="Arial"/>
        </w:rPr>
        <w:t>.</w:t>
      </w:r>
      <w:proofErr w:type="spellEnd"/>
      <w:r w:rsidR="00817856">
        <w:rPr>
          <w:rFonts w:ascii="Arial" w:hAnsi="Arial" w:cs="Arial"/>
        </w:rPr>
        <w:t xml:space="preserve"> </w:t>
      </w:r>
      <w:proofErr w:type="spellStart"/>
      <w:r w:rsidR="00817856">
        <w:rPr>
          <w:rFonts w:ascii="Arial" w:hAnsi="Arial" w:cs="Arial"/>
        </w:rPr>
        <w:t>Schlusche</w:t>
      </w:r>
      <w:proofErr w:type="spellEnd"/>
      <w:r w:rsidR="00817856">
        <w:rPr>
          <w:rFonts w:ascii="Arial" w:hAnsi="Arial" w:cs="Arial"/>
        </w:rPr>
        <w:t xml:space="preserve"> and </w:t>
      </w:r>
      <w:proofErr w:type="spellStart"/>
      <w:r w:rsidR="00817856">
        <w:rPr>
          <w:rFonts w:ascii="Arial" w:hAnsi="Arial" w:cs="Arial"/>
        </w:rPr>
        <w:t>Rozeriu</w:t>
      </w:r>
      <w:proofErr w:type="spellEnd"/>
      <w:r w:rsidR="00817856">
        <w:rPr>
          <w:rFonts w:ascii="Arial" w:hAnsi="Arial" w:cs="Arial"/>
        </w:rPr>
        <w:t xml:space="preserve"> did not know much about the furniture and they appear</w:t>
      </w:r>
      <w:r w:rsidR="003E27A0">
        <w:rPr>
          <w:rFonts w:ascii="Arial" w:hAnsi="Arial" w:cs="Arial"/>
        </w:rPr>
        <w:t>ed to have been</w:t>
      </w:r>
      <w:r w:rsidR="00817856">
        <w:rPr>
          <w:rFonts w:ascii="Arial" w:hAnsi="Arial" w:cs="Arial"/>
        </w:rPr>
        <w:t xml:space="preserve"> mistaken on the contents of the house before the handover of the property was made. There is </w:t>
      </w:r>
      <w:proofErr w:type="spellStart"/>
      <w:r w:rsidR="00817856">
        <w:rPr>
          <w:rFonts w:ascii="Arial" w:hAnsi="Arial" w:cs="Arial"/>
        </w:rPr>
        <w:t>therefor</w:t>
      </w:r>
      <w:proofErr w:type="spellEnd"/>
      <w:r w:rsidR="00817856">
        <w:rPr>
          <w:rFonts w:ascii="Arial" w:hAnsi="Arial" w:cs="Arial"/>
        </w:rPr>
        <w:t xml:space="preserve"> very little value that can be said to have been added by them to the</w:t>
      </w:r>
      <w:r w:rsidR="000C5437">
        <w:rPr>
          <w:rFonts w:ascii="Arial" w:hAnsi="Arial" w:cs="Arial"/>
        </w:rPr>
        <w:t xml:space="preserve"> first </w:t>
      </w:r>
      <w:r w:rsidR="00817856">
        <w:rPr>
          <w:rFonts w:ascii="Arial" w:hAnsi="Arial" w:cs="Arial"/>
        </w:rPr>
        <w:t xml:space="preserve">defendant’s </w:t>
      </w:r>
      <w:r w:rsidR="0008251A">
        <w:rPr>
          <w:rFonts w:ascii="Arial" w:hAnsi="Arial" w:cs="Arial"/>
        </w:rPr>
        <w:t xml:space="preserve">impoverished </w:t>
      </w:r>
      <w:r w:rsidR="00817856">
        <w:rPr>
          <w:rFonts w:ascii="Arial" w:hAnsi="Arial" w:cs="Arial"/>
        </w:rPr>
        <w:t>evidence</w:t>
      </w:r>
      <w:r w:rsidR="009A2BF6">
        <w:rPr>
          <w:rFonts w:ascii="Arial" w:hAnsi="Arial" w:cs="Arial"/>
        </w:rPr>
        <w:t xml:space="preserve"> in any event</w:t>
      </w:r>
      <w:r w:rsidR="00817856">
        <w:rPr>
          <w:rFonts w:ascii="Arial" w:hAnsi="Arial" w:cs="Arial"/>
        </w:rPr>
        <w:t>. In particular, it</w:t>
      </w:r>
      <w:r w:rsidR="00A760B7">
        <w:rPr>
          <w:rFonts w:ascii="Arial" w:hAnsi="Arial" w:cs="Arial"/>
        </w:rPr>
        <w:t xml:space="preserve"> became clear that Mr</w:t>
      </w:r>
      <w:r w:rsidR="00B725A1">
        <w:rPr>
          <w:rFonts w:ascii="Arial" w:hAnsi="Arial" w:cs="Arial"/>
        </w:rPr>
        <w:t xml:space="preserve"> </w:t>
      </w:r>
      <w:proofErr w:type="spellStart"/>
      <w:r w:rsidR="00B725A1">
        <w:rPr>
          <w:rFonts w:ascii="Arial" w:hAnsi="Arial" w:cs="Arial"/>
        </w:rPr>
        <w:t>Schlusch</w:t>
      </w:r>
      <w:r w:rsidR="00817856">
        <w:rPr>
          <w:rFonts w:ascii="Arial" w:hAnsi="Arial" w:cs="Arial"/>
        </w:rPr>
        <w:t>e</w:t>
      </w:r>
      <w:proofErr w:type="spellEnd"/>
      <w:r w:rsidR="00817856">
        <w:rPr>
          <w:rFonts w:ascii="Arial" w:hAnsi="Arial" w:cs="Arial"/>
        </w:rPr>
        <w:t>, who was alleged to have been present during the discussions</w:t>
      </w:r>
      <w:r w:rsidR="003E27A0">
        <w:rPr>
          <w:rFonts w:ascii="Arial" w:hAnsi="Arial" w:cs="Arial"/>
        </w:rPr>
        <w:t xml:space="preserve"> between the plaintiff and the defendant</w:t>
      </w:r>
      <w:r w:rsidR="00817856">
        <w:rPr>
          <w:rFonts w:ascii="Arial" w:hAnsi="Arial" w:cs="Arial"/>
        </w:rPr>
        <w:t xml:space="preserve">, was not party to the conversations between the </w:t>
      </w:r>
      <w:r w:rsidR="000C5437">
        <w:rPr>
          <w:rFonts w:ascii="Arial" w:hAnsi="Arial" w:cs="Arial"/>
        </w:rPr>
        <w:t xml:space="preserve">first </w:t>
      </w:r>
      <w:r w:rsidR="00817856">
        <w:rPr>
          <w:rFonts w:ascii="Arial" w:hAnsi="Arial" w:cs="Arial"/>
        </w:rPr>
        <w:t xml:space="preserve">defendant and the plaintiff as he was busy removing the items from the house to the garage where same was stored. The evidence of these witnesses added very little, if any value to the defendants’ case, </w:t>
      </w:r>
      <w:r w:rsidR="003E27A0">
        <w:rPr>
          <w:rFonts w:ascii="Arial" w:hAnsi="Arial" w:cs="Arial"/>
        </w:rPr>
        <w:t>and I can put this issue no higher.</w:t>
      </w:r>
    </w:p>
    <w:p w14:paraId="6EB1F9FC" w14:textId="77777777" w:rsidR="003E27A0" w:rsidRDefault="003E27A0" w:rsidP="00290290">
      <w:pPr>
        <w:spacing w:line="360" w:lineRule="auto"/>
        <w:ind w:left="360"/>
        <w:jc w:val="both"/>
        <w:rPr>
          <w:rFonts w:ascii="Arial" w:hAnsi="Arial" w:cs="Arial"/>
        </w:rPr>
      </w:pPr>
    </w:p>
    <w:p w14:paraId="37500B18" w14:textId="2A90D198" w:rsidR="00817856" w:rsidRDefault="00A91890" w:rsidP="00CA60A7">
      <w:pPr>
        <w:spacing w:line="360" w:lineRule="auto"/>
        <w:jc w:val="both"/>
        <w:rPr>
          <w:rFonts w:ascii="Arial" w:hAnsi="Arial" w:cs="Arial"/>
        </w:rPr>
      </w:pPr>
      <w:r>
        <w:rPr>
          <w:rFonts w:ascii="Arial" w:hAnsi="Arial" w:cs="Arial"/>
        </w:rPr>
        <w:t>[100</w:t>
      </w:r>
      <w:r w:rsidR="003E27A0">
        <w:rPr>
          <w:rFonts w:ascii="Arial" w:hAnsi="Arial" w:cs="Arial"/>
        </w:rPr>
        <w:t>]</w:t>
      </w:r>
      <w:r w:rsidR="003E27A0">
        <w:rPr>
          <w:rFonts w:ascii="Arial" w:hAnsi="Arial" w:cs="Arial"/>
        </w:rPr>
        <w:tab/>
        <w:t xml:space="preserve">In point of fact, the letters exchanged by the parties, considered in context, serve to detract materially from the version testified to under oath by the </w:t>
      </w:r>
      <w:r w:rsidR="00DD32B7">
        <w:rPr>
          <w:rFonts w:ascii="Arial" w:hAnsi="Arial" w:cs="Arial"/>
        </w:rPr>
        <w:t xml:space="preserve">first </w:t>
      </w:r>
      <w:r w:rsidR="003E27A0">
        <w:rPr>
          <w:rFonts w:ascii="Arial" w:hAnsi="Arial" w:cs="Arial"/>
        </w:rPr>
        <w:t xml:space="preserve">defendant, regarding the agreement not to have the list prepared. It is clear that the plaintiff refused to append his signature to a document indicating receipt of the contents of the house in good order, despite the insistence of the defendant before the latter departed </w:t>
      </w:r>
      <w:r w:rsidR="009A2BF6">
        <w:rPr>
          <w:rFonts w:ascii="Arial" w:hAnsi="Arial" w:cs="Arial"/>
        </w:rPr>
        <w:t>because from a very early stage.</w:t>
      </w:r>
      <w:r w:rsidR="003E27A0">
        <w:rPr>
          <w:rFonts w:ascii="Arial" w:hAnsi="Arial" w:cs="Arial"/>
        </w:rPr>
        <w:t xml:space="preserve"> </w:t>
      </w:r>
      <w:r w:rsidR="009A2BF6">
        <w:rPr>
          <w:rFonts w:ascii="Arial" w:hAnsi="Arial" w:cs="Arial"/>
        </w:rPr>
        <w:t>T</w:t>
      </w:r>
      <w:r w:rsidR="003E27A0">
        <w:rPr>
          <w:rFonts w:ascii="Arial" w:hAnsi="Arial" w:cs="Arial"/>
        </w:rPr>
        <w:t xml:space="preserve">he </w:t>
      </w:r>
      <w:r w:rsidR="009A2BF6">
        <w:rPr>
          <w:rFonts w:ascii="Arial" w:hAnsi="Arial" w:cs="Arial"/>
        </w:rPr>
        <w:t xml:space="preserve">plaintiff </w:t>
      </w:r>
      <w:r w:rsidR="003E27A0">
        <w:rPr>
          <w:rFonts w:ascii="Arial" w:hAnsi="Arial" w:cs="Arial"/>
        </w:rPr>
        <w:t>was of the opinion that he had been short-changed by the defendant as the property</w:t>
      </w:r>
      <w:r w:rsidR="001C4659">
        <w:rPr>
          <w:rFonts w:ascii="Arial" w:hAnsi="Arial" w:cs="Arial"/>
        </w:rPr>
        <w:t>, i.e. the furniture and inventory</w:t>
      </w:r>
      <w:r w:rsidR="003E27A0">
        <w:rPr>
          <w:rFonts w:ascii="Arial" w:hAnsi="Arial" w:cs="Arial"/>
        </w:rPr>
        <w:t xml:space="preserve"> he </w:t>
      </w:r>
      <w:r w:rsidR="00B8760F">
        <w:rPr>
          <w:rFonts w:ascii="Arial" w:hAnsi="Arial" w:cs="Arial"/>
        </w:rPr>
        <w:t xml:space="preserve">was </w:t>
      </w:r>
      <w:r w:rsidR="003E27A0">
        <w:rPr>
          <w:rFonts w:ascii="Arial" w:hAnsi="Arial" w:cs="Arial"/>
        </w:rPr>
        <w:t>purchasing</w:t>
      </w:r>
      <w:r w:rsidR="00B8760F">
        <w:rPr>
          <w:rFonts w:ascii="Arial" w:hAnsi="Arial" w:cs="Arial"/>
        </w:rPr>
        <w:t>,</w:t>
      </w:r>
      <w:r w:rsidR="003E27A0">
        <w:rPr>
          <w:rFonts w:ascii="Arial" w:hAnsi="Arial" w:cs="Arial"/>
        </w:rPr>
        <w:t xml:space="preserve"> was not identified.  </w:t>
      </w:r>
      <w:r w:rsidR="00817856">
        <w:rPr>
          <w:rFonts w:ascii="Arial" w:hAnsi="Arial" w:cs="Arial"/>
        </w:rPr>
        <w:t xml:space="preserve">  </w:t>
      </w:r>
    </w:p>
    <w:p w14:paraId="26588588" w14:textId="77777777" w:rsidR="001C4659" w:rsidRDefault="001C4659" w:rsidP="00290290">
      <w:pPr>
        <w:spacing w:line="360" w:lineRule="auto"/>
        <w:ind w:left="360"/>
        <w:jc w:val="both"/>
        <w:rPr>
          <w:rFonts w:ascii="Arial" w:hAnsi="Arial" w:cs="Arial"/>
        </w:rPr>
      </w:pPr>
    </w:p>
    <w:p w14:paraId="129DBC93" w14:textId="500F2C3C" w:rsidR="001C4659" w:rsidRDefault="00A91890" w:rsidP="00A91890">
      <w:pPr>
        <w:spacing w:line="360" w:lineRule="auto"/>
        <w:jc w:val="both"/>
        <w:rPr>
          <w:rFonts w:ascii="Arial" w:hAnsi="Arial" w:cs="Arial"/>
        </w:rPr>
      </w:pPr>
      <w:r>
        <w:rPr>
          <w:rFonts w:ascii="Arial" w:hAnsi="Arial" w:cs="Arial"/>
        </w:rPr>
        <w:t>[101</w:t>
      </w:r>
      <w:r w:rsidR="001C4659">
        <w:rPr>
          <w:rFonts w:ascii="Arial" w:hAnsi="Arial" w:cs="Arial"/>
        </w:rPr>
        <w:t>]</w:t>
      </w:r>
      <w:r w:rsidR="001C4659">
        <w:rPr>
          <w:rFonts w:ascii="Arial" w:hAnsi="Arial" w:cs="Arial"/>
        </w:rPr>
        <w:tab/>
        <w:t>In the circumstances, I find for a fact that the plaintiff, as undertaken, did pay to the defendants as amount of N$ 400 000 in respect of the furniture and inventory, which was supposed to be left behind by the defendants when they left for Germany. I also find for a</w:t>
      </w:r>
      <w:r w:rsidR="00B8760F">
        <w:rPr>
          <w:rFonts w:ascii="Arial" w:hAnsi="Arial" w:cs="Arial"/>
        </w:rPr>
        <w:t xml:space="preserve"> fact that the garden furniture and </w:t>
      </w:r>
      <w:r w:rsidR="001C4659">
        <w:rPr>
          <w:rFonts w:ascii="Arial" w:hAnsi="Arial" w:cs="Arial"/>
        </w:rPr>
        <w:t xml:space="preserve">camping equipment was removed by the defendants. Also removed by them </w:t>
      </w:r>
      <w:r w:rsidR="009A2BF6">
        <w:rPr>
          <w:rFonts w:ascii="Arial" w:hAnsi="Arial" w:cs="Arial"/>
        </w:rPr>
        <w:t xml:space="preserve">or on their instructions, </w:t>
      </w:r>
      <w:r w:rsidR="001C4659">
        <w:rPr>
          <w:rFonts w:ascii="Arial" w:hAnsi="Arial" w:cs="Arial"/>
        </w:rPr>
        <w:t xml:space="preserve">were pictures, paintings, ornaments, wall clocks, lamps, décor, kitchen utensils, linen and bedding. Whereas the plaintiff was shown a functional home when he did the inspection, </w:t>
      </w:r>
      <w:r w:rsidR="00B8760F">
        <w:rPr>
          <w:rFonts w:ascii="Arial" w:hAnsi="Arial" w:cs="Arial"/>
        </w:rPr>
        <w:t xml:space="preserve">the value of </w:t>
      </w:r>
      <w:r w:rsidR="001C4659">
        <w:rPr>
          <w:rFonts w:ascii="Arial" w:hAnsi="Arial" w:cs="Arial"/>
        </w:rPr>
        <w:t>what was he left with</w:t>
      </w:r>
      <w:r w:rsidR="00F30751">
        <w:rPr>
          <w:rFonts w:ascii="Arial" w:hAnsi="Arial" w:cs="Arial"/>
        </w:rPr>
        <w:t>, namely N$ 20 830,</w:t>
      </w:r>
      <w:r w:rsidR="001C4659">
        <w:rPr>
          <w:rFonts w:ascii="Arial" w:hAnsi="Arial" w:cs="Arial"/>
        </w:rPr>
        <w:t xml:space="preserve"> was </w:t>
      </w:r>
      <w:r w:rsidR="00B8760F">
        <w:rPr>
          <w:rFonts w:ascii="Arial" w:hAnsi="Arial" w:cs="Arial"/>
        </w:rPr>
        <w:t xml:space="preserve">nothing short of </w:t>
      </w:r>
      <w:r w:rsidR="001C4659">
        <w:rPr>
          <w:rFonts w:ascii="Arial" w:hAnsi="Arial" w:cs="Arial"/>
        </w:rPr>
        <w:t xml:space="preserve">a horror sight and nowhere near the amount </w:t>
      </w:r>
      <w:r w:rsidR="00F30751">
        <w:rPr>
          <w:rFonts w:ascii="Arial" w:hAnsi="Arial" w:cs="Arial"/>
        </w:rPr>
        <w:t xml:space="preserve">of N$ 400 000 </w:t>
      </w:r>
      <w:r w:rsidR="001C4659">
        <w:rPr>
          <w:rFonts w:ascii="Arial" w:hAnsi="Arial" w:cs="Arial"/>
        </w:rPr>
        <w:t>he had paid.</w:t>
      </w:r>
      <w:r w:rsidR="009147D9">
        <w:rPr>
          <w:rFonts w:ascii="Arial" w:hAnsi="Arial" w:cs="Arial"/>
        </w:rPr>
        <w:t xml:space="preserve"> He certainly did not get his money’s worth from every perspective on</w:t>
      </w:r>
      <w:r w:rsidR="009A2BF6">
        <w:rPr>
          <w:rFonts w:ascii="Arial" w:hAnsi="Arial" w:cs="Arial"/>
        </w:rPr>
        <w:t>e</w:t>
      </w:r>
      <w:r w:rsidR="009147D9">
        <w:rPr>
          <w:rFonts w:ascii="Arial" w:hAnsi="Arial" w:cs="Arial"/>
        </w:rPr>
        <w:t xml:space="preserve"> looks at what was delivered to </w:t>
      </w:r>
      <w:r w:rsidR="009A2BF6">
        <w:rPr>
          <w:rFonts w:ascii="Arial" w:hAnsi="Arial" w:cs="Arial"/>
        </w:rPr>
        <w:t>him in contradistinction to the fortune</w:t>
      </w:r>
      <w:r w:rsidR="009147D9">
        <w:rPr>
          <w:rFonts w:ascii="Arial" w:hAnsi="Arial" w:cs="Arial"/>
        </w:rPr>
        <w:t xml:space="preserve"> he paid.</w:t>
      </w:r>
      <w:r w:rsidR="00A66B34">
        <w:rPr>
          <w:rFonts w:ascii="Arial" w:hAnsi="Arial" w:cs="Arial"/>
        </w:rPr>
        <w:t xml:space="preserve"> I hold all these for a fact.</w:t>
      </w:r>
    </w:p>
    <w:p w14:paraId="17B17043" w14:textId="39C0DB81" w:rsidR="00151245" w:rsidRDefault="00A91890" w:rsidP="00CA60A7">
      <w:pPr>
        <w:spacing w:line="360" w:lineRule="auto"/>
        <w:jc w:val="both"/>
        <w:rPr>
          <w:rFonts w:ascii="Arial" w:hAnsi="Arial" w:cs="Arial"/>
        </w:rPr>
      </w:pPr>
      <w:r>
        <w:rPr>
          <w:rFonts w:ascii="Arial" w:hAnsi="Arial" w:cs="Arial"/>
        </w:rPr>
        <w:lastRenderedPageBreak/>
        <w:t>[102</w:t>
      </w:r>
      <w:r w:rsidR="001C4659">
        <w:rPr>
          <w:rFonts w:ascii="Arial" w:hAnsi="Arial" w:cs="Arial"/>
        </w:rPr>
        <w:t>]</w:t>
      </w:r>
      <w:r w:rsidR="001C4659">
        <w:rPr>
          <w:rFonts w:ascii="Arial" w:hAnsi="Arial" w:cs="Arial"/>
        </w:rPr>
        <w:tab/>
        <w:t xml:space="preserve">I also find that the evidence of the plaintiff’s expert witness, </w:t>
      </w:r>
      <w:r w:rsidR="00A760B7">
        <w:rPr>
          <w:rFonts w:ascii="Arial" w:hAnsi="Arial" w:cs="Arial"/>
        </w:rPr>
        <w:t>Mr</w:t>
      </w:r>
      <w:r w:rsidR="001E21B9">
        <w:rPr>
          <w:rFonts w:ascii="Arial" w:hAnsi="Arial" w:cs="Arial"/>
        </w:rPr>
        <w:t xml:space="preserve"> </w:t>
      </w:r>
      <w:proofErr w:type="spellStart"/>
      <w:r w:rsidR="001E21B9">
        <w:rPr>
          <w:rFonts w:ascii="Arial" w:hAnsi="Arial" w:cs="Arial"/>
        </w:rPr>
        <w:t>Kriner</w:t>
      </w:r>
      <w:proofErr w:type="spellEnd"/>
      <w:r w:rsidR="001E21B9">
        <w:rPr>
          <w:rFonts w:ascii="Arial" w:hAnsi="Arial" w:cs="Arial"/>
        </w:rPr>
        <w:t xml:space="preserve">, </w:t>
      </w:r>
      <w:r w:rsidR="001C4659">
        <w:rPr>
          <w:rFonts w:ascii="Arial" w:hAnsi="Arial" w:cs="Arial"/>
        </w:rPr>
        <w:t xml:space="preserve">whose evidence was left totally unhinged, in my view should stand. He testified on the value of the property that was left behind at the plaintiff’s house as being worth N$ 20 830. There was no evidence adduced </w:t>
      </w:r>
      <w:r w:rsidR="009A2BF6">
        <w:rPr>
          <w:rFonts w:ascii="Arial" w:hAnsi="Arial" w:cs="Arial"/>
        </w:rPr>
        <w:t xml:space="preserve">by or </w:t>
      </w:r>
      <w:r w:rsidR="001C4659">
        <w:rPr>
          <w:rFonts w:ascii="Arial" w:hAnsi="Arial" w:cs="Arial"/>
        </w:rPr>
        <w:t xml:space="preserve">on the defendants’ behalf, to gainsay this evidence and as such the said evidence remains </w:t>
      </w:r>
      <w:proofErr w:type="spellStart"/>
      <w:r w:rsidR="001C4659">
        <w:rPr>
          <w:rFonts w:ascii="Arial" w:hAnsi="Arial" w:cs="Arial"/>
        </w:rPr>
        <w:t>uncontradicted</w:t>
      </w:r>
      <w:proofErr w:type="spellEnd"/>
      <w:r w:rsidR="00151245">
        <w:rPr>
          <w:rFonts w:ascii="Arial" w:hAnsi="Arial" w:cs="Arial"/>
        </w:rPr>
        <w:t xml:space="preserve"> and must accordingly stand</w:t>
      </w:r>
      <w:r w:rsidR="001E21B9">
        <w:rPr>
          <w:rFonts w:ascii="Arial" w:hAnsi="Arial" w:cs="Arial"/>
        </w:rPr>
        <w:t xml:space="preserve"> and is accepted by the court</w:t>
      </w:r>
      <w:r w:rsidR="00151245">
        <w:rPr>
          <w:rFonts w:ascii="Arial" w:hAnsi="Arial" w:cs="Arial"/>
        </w:rPr>
        <w:t>.</w:t>
      </w:r>
    </w:p>
    <w:p w14:paraId="7D4CB348" w14:textId="77777777" w:rsidR="00151245" w:rsidRDefault="00151245" w:rsidP="00290290">
      <w:pPr>
        <w:spacing w:line="360" w:lineRule="auto"/>
        <w:ind w:left="360"/>
        <w:jc w:val="both"/>
        <w:rPr>
          <w:rFonts w:ascii="Arial" w:hAnsi="Arial" w:cs="Arial"/>
        </w:rPr>
      </w:pPr>
    </w:p>
    <w:p w14:paraId="16467D34" w14:textId="1DD90B82" w:rsidR="00151245" w:rsidRDefault="00A91890" w:rsidP="00CA60A7">
      <w:pPr>
        <w:spacing w:line="360" w:lineRule="auto"/>
        <w:jc w:val="both"/>
        <w:rPr>
          <w:rFonts w:ascii="Arial" w:hAnsi="Arial" w:cs="Arial"/>
        </w:rPr>
      </w:pPr>
      <w:r>
        <w:rPr>
          <w:rFonts w:ascii="Arial" w:hAnsi="Arial" w:cs="Arial"/>
        </w:rPr>
        <w:t>[103</w:t>
      </w:r>
      <w:r w:rsidR="00151245">
        <w:rPr>
          <w:rFonts w:ascii="Arial" w:hAnsi="Arial" w:cs="Arial"/>
        </w:rPr>
        <w:t>]</w:t>
      </w:r>
      <w:r w:rsidR="00151245">
        <w:rPr>
          <w:rFonts w:ascii="Arial" w:hAnsi="Arial" w:cs="Arial"/>
        </w:rPr>
        <w:tab/>
        <w:t>The que</w:t>
      </w:r>
      <w:r w:rsidR="009A2BF6">
        <w:rPr>
          <w:rFonts w:ascii="Arial" w:hAnsi="Arial" w:cs="Arial"/>
        </w:rPr>
        <w:t>stion that must now be answered</w:t>
      </w:r>
      <w:r w:rsidR="00151245">
        <w:rPr>
          <w:rFonts w:ascii="Arial" w:hAnsi="Arial" w:cs="Arial"/>
        </w:rPr>
        <w:t xml:space="preserve"> is whether the defe</w:t>
      </w:r>
      <w:r w:rsidR="009A2BF6">
        <w:rPr>
          <w:rFonts w:ascii="Arial" w:hAnsi="Arial" w:cs="Arial"/>
        </w:rPr>
        <w:t>ndants’ conduct as stated above</w:t>
      </w:r>
      <w:r w:rsidR="00151245">
        <w:rPr>
          <w:rFonts w:ascii="Arial" w:hAnsi="Arial" w:cs="Arial"/>
        </w:rPr>
        <w:t xml:space="preserve"> amounted to a repudiation of the agreement, such as to entitle the plaintiff to cancel same. In </w:t>
      </w:r>
      <w:r w:rsidR="00151245">
        <w:rPr>
          <w:rFonts w:ascii="Arial" w:hAnsi="Arial" w:cs="Arial"/>
          <w:i/>
        </w:rPr>
        <w:t xml:space="preserve">Mobile Telecommunications Ltd v </w:t>
      </w:r>
      <w:proofErr w:type="spellStart"/>
      <w:r w:rsidR="00151245">
        <w:rPr>
          <w:rFonts w:ascii="Arial" w:hAnsi="Arial" w:cs="Arial"/>
          <w:i/>
        </w:rPr>
        <w:t>Eckleben</w:t>
      </w:r>
      <w:proofErr w:type="spellEnd"/>
      <w:r w:rsidR="00151245">
        <w:rPr>
          <w:rFonts w:ascii="Arial" w:hAnsi="Arial" w:cs="Arial"/>
          <w:i/>
        </w:rPr>
        <w:t>,</w:t>
      </w:r>
      <w:r w:rsidR="00151245">
        <w:rPr>
          <w:rStyle w:val="FootnoteReference"/>
          <w:rFonts w:ascii="Arial" w:hAnsi="Arial" w:cs="Arial"/>
          <w:i/>
        </w:rPr>
        <w:footnoteReference w:id="19"/>
      </w:r>
      <w:r w:rsidR="00151245">
        <w:rPr>
          <w:rFonts w:ascii="Arial" w:hAnsi="Arial" w:cs="Arial"/>
        </w:rPr>
        <w:t xml:space="preserve"> the Supreme Court dealt with what constitutes a repudiation of a contract </w:t>
      </w:r>
      <w:r w:rsidR="009A2BF6">
        <w:rPr>
          <w:rFonts w:ascii="Arial" w:hAnsi="Arial" w:cs="Arial"/>
        </w:rPr>
        <w:t>in the following terms at para [</w:t>
      </w:r>
      <w:r w:rsidR="00151245">
        <w:rPr>
          <w:rFonts w:ascii="Arial" w:hAnsi="Arial" w:cs="Arial"/>
        </w:rPr>
        <w:t>14]:</w:t>
      </w:r>
    </w:p>
    <w:p w14:paraId="482C63F3" w14:textId="77777777" w:rsidR="00151245" w:rsidRDefault="00151245" w:rsidP="00290290">
      <w:pPr>
        <w:spacing w:line="360" w:lineRule="auto"/>
        <w:ind w:left="360"/>
        <w:jc w:val="both"/>
        <w:rPr>
          <w:rFonts w:ascii="Arial" w:hAnsi="Arial" w:cs="Arial"/>
        </w:rPr>
      </w:pPr>
    </w:p>
    <w:p w14:paraId="56F4347C" w14:textId="72059CB4" w:rsidR="00151245" w:rsidRDefault="00151245" w:rsidP="000959DA">
      <w:pPr>
        <w:spacing w:line="360" w:lineRule="auto"/>
        <w:jc w:val="both"/>
        <w:rPr>
          <w:rFonts w:ascii="Arial" w:hAnsi="Arial" w:cs="Arial"/>
          <w:sz w:val="22"/>
          <w:szCs w:val="22"/>
        </w:rPr>
      </w:pPr>
      <w:r>
        <w:rPr>
          <w:rFonts w:ascii="Arial" w:hAnsi="Arial" w:cs="Arial"/>
        </w:rPr>
        <w:t xml:space="preserve">‘ . . . </w:t>
      </w:r>
      <w:r w:rsidRPr="00151245">
        <w:rPr>
          <w:rFonts w:ascii="Arial" w:hAnsi="Arial" w:cs="Arial"/>
          <w:sz w:val="22"/>
          <w:szCs w:val="22"/>
        </w:rPr>
        <w:t>The test to determine whether conduct amounts to repudiation has been stated as bein</w:t>
      </w:r>
      <w:r>
        <w:rPr>
          <w:rFonts w:ascii="Arial" w:hAnsi="Arial" w:cs="Arial"/>
          <w:sz w:val="22"/>
          <w:szCs w:val="22"/>
        </w:rPr>
        <w:t xml:space="preserve">g “whether fairly interpreted it exhibits a deliberate and unequivocal intention no longer to be bound”. In </w:t>
      </w:r>
      <w:proofErr w:type="spellStart"/>
      <w:r>
        <w:rPr>
          <w:rFonts w:ascii="Arial" w:hAnsi="Arial" w:cs="Arial"/>
          <w:i/>
          <w:sz w:val="22"/>
          <w:szCs w:val="22"/>
        </w:rPr>
        <w:t>Ponisammy</w:t>
      </w:r>
      <w:proofErr w:type="spellEnd"/>
      <w:r>
        <w:rPr>
          <w:rFonts w:ascii="Arial" w:hAnsi="Arial" w:cs="Arial"/>
          <w:i/>
          <w:sz w:val="22"/>
          <w:szCs w:val="22"/>
        </w:rPr>
        <w:t xml:space="preserve"> and Another v Versailles Estates (Pty) Ltd, </w:t>
      </w:r>
      <w:r>
        <w:rPr>
          <w:rFonts w:ascii="Arial" w:hAnsi="Arial" w:cs="Arial"/>
          <w:sz w:val="22"/>
          <w:szCs w:val="22"/>
        </w:rPr>
        <w:t>the following passage from the judgment of Devlin J is cited with approval:</w:t>
      </w:r>
    </w:p>
    <w:p w14:paraId="0B548622" w14:textId="77777777" w:rsidR="000959DA" w:rsidRDefault="000959DA" w:rsidP="000959DA">
      <w:pPr>
        <w:spacing w:line="360" w:lineRule="auto"/>
        <w:jc w:val="both"/>
        <w:rPr>
          <w:rFonts w:ascii="Arial" w:hAnsi="Arial" w:cs="Arial"/>
          <w:sz w:val="22"/>
          <w:szCs w:val="22"/>
        </w:rPr>
      </w:pPr>
    </w:p>
    <w:p w14:paraId="43E6912F" w14:textId="1CF3A34E" w:rsidR="009147D9" w:rsidRDefault="0008251A" w:rsidP="000959DA">
      <w:pPr>
        <w:spacing w:line="360" w:lineRule="auto"/>
        <w:ind w:firstLine="720"/>
        <w:jc w:val="both"/>
        <w:rPr>
          <w:rFonts w:ascii="Arial" w:hAnsi="Arial" w:cs="Arial"/>
        </w:rPr>
      </w:pPr>
      <w:r>
        <w:rPr>
          <w:rFonts w:ascii="Arial" w:hAnsi="Arial" w:cs="Arial"/>
          <w:sz w:val="22"/>
          <w:szCs w:val="22"/>
        </w:rPr>
        <w:t xml:space="preserve">“A renunciation can be made either by words or by conduct, provided it is clearly made. It is often put that </w:t>
      </w:r>
      <w:proofErr w:type="spellStart"/>
      <w:r>
        <w:rPr>
          <w:rFonts w:ascii="Arial" w:hAnsi="Arial" w:cs="Arial"/>
          <w:sz w:val="22"/>
          <w:szCs w:val="22"/>
        </w:rPr>
        <w:t>renunciating</w:t>
      </w:r>
      <w:proofErr w:type="spellEnd"/>
      <w:r>
        <w:rPr>
          <w:rFonts w:ascii="Arial" w:hAnsi="Arial" w:cs="Arial"/>
          <w:sz w:val="22"/>
          <w:szCs w:val="22"/>
        </w:rPr>
        <w:t xml:space="preserve"> must evince an intention not to go on with the contract. The intention can be evinced either by words or conduct. The test of whether an intention is sufficiently evinced by conduct whether the party </w:t>
      </w:r>
      <w:proofErr w:type="spellStart"/>
      <w:r>
        <w:rPr>
          <w:rFonts w:ascii="Arial" w:hAnsi="Arial" w:cs="Arial"/>
          <w:sz w:val="22"/>
          <w:szCs w:val="22"/>
        </w:rPr>
        <w:t>renunciating</w:t>
      </w:r>
      <w:proofErr w:type="spellEnd"/>
      <w:r>
        <w:rPr>
          <w:rFonts w:ascii="Arial" w:hAnsi="Arial" w:cs="Arial"/>
          <w:sz w:val="22"/>
          <w:szCs w:val="22"/>
        </w:rPr>
        <w:t xml:space="preserve"> has acted in such a way as to lead a reasonable person to the conclusion that he does not intend to fulfil his part of the contract.</w:t>
      </w:r>
      <w:r w:rsidR="00980448">
        <w:rPr>
          <w:rFonts w:ascii="Arial" w:hAnsi="Arial" w:cs="Arial"/>
          <w:sz w:val="22"/>
          <w:szCs w:val="22"/>
        </w:rPr>
        <w:t>”</w:t>
      </w:r>
      <w:r>
        <w:rPr>
          <w:rFonts w:ascii="Arial" w:hAnsi="Arial" w:cs="Arial"/>
          <w:sz w:val="22"/>
          <w:szCs w:val="22"/>
        </w:rPr>
        <w:t xml:space="preserve"> </w:t>
      </w:r>
      <w:r w:rsidR="00151245">
        <w:rPr>
          <w:rFonts w:ascii="Arial" w:hAnsi="Arial" w:cs="Arial"/>
          <w:sz w:val="22"/>
          <w:szCs w:val="22"/>
        </w:rPr>
        <w:t xml:space="preserve">  </w:t>
      </w:r>
      <w:r w:rsidR="00151245" w:rsidRPr="00151245">
        <w:rPr>
          <w:rFonts w:ascii="Arial" w:hAnsi="Arial" w:cs="Arial"/>
        </w:rPr>
        <w:t xml:space="preserve"> </w:t>
      </w:r>
    </w:p>
    <w:p w14:paraId="1A76B0CA" w14:textId="77777777" w:rsidR="009147D9" w:rsidRDefault="009147D9" w:rsidP="00290290">
      <w:pPr>
        <w:spacing w:line="360" w:lineRule="auto"/>
        <w:ind w:left="360"/>
        <w:jc w:val="both"/>
        <w:rPr>
          <w:rFonts w:ascii="Arial" w:hAnsi="Arial" w:cs="Arial"/>
        </w:rPr>
      </w:pPr>
    </w:p>
    <w:p w14:paraId="3807E7C8" w14:textId="7DEAAD39" w:rsidR="009147D9" w:rsidRDefault="009147D9" w:rsidP="00CA60A7">
      <w:pPr>
        <w:spacing w:line="360" w:lineRule="auto"/>
        <w:jc w:val="both"/>
        <w:rPr>
          <w:rFonts w:ascii="Arial" w:hAnsi="Arial" w:cs="Arial"/>
          <w:sz w:val="22"/>
          <w:szCs w:val="22"/>
        </w:rPr>
      </w:pPr>
      <w:r>
        <w:rPr>
          <w:rFonts w:ascii="Arial" w:hAnsi="Arial" w:cs="Arial"/>
          <w:sz w:val="22"/>
          <w:szCs w:val="22"/>
        </w:rPr>
        <w:t xml:space="preserve">[15]  . . . In </w:t>
      </w:r>
      <w:r>
        <w:rPr>
          <w:rFonts w:ascii="Arial" w:hAnsi="Arial" w:cs="Arial"/>
          <w:i/>
          <w:sz w:val="22"/>
          <w:szCs w:val="22"/>
        </w:rPr>
        <w:t xml:space="preserve">Tuckers Land and Development Corporation (Pty) Ltd v </w:t>
      </w:r>
      <w:proofErr w:type="spellStart"/>
      <w:r>
        <w:rPr>
          <w:rFonts w:ascii="Arial" w:hAnsi="Arial" w:cs="Arial"/>
          <w:i/>
          <w:sz w:val="22"/>
          <w:szCs w:val="22"/>
        </w:rPr>
        <w:t>Hovis</w:t>
      </w:r>
      <w:proofErr w:type="spellEnd"/>
      <w:r>
        <w:rPr>
          <w:rFonts w:ascii="Arial" w:hAnsi="Arial" w:cs="Arial"/>
          <w:i/>
          <w:sz w:val="22"/>
          <w:szCs w:val="22"/>
        </w:rPr>
        <w:t xml:space="preserve">, </w:t>
      </w:r>
      <w:r>
        <w:rPr>
          <w:rFonts w:ascii="Arial" w:hAnsi="Arial" w:cs="Arial"/>
          <w:sz w:val="22"/>
          <w:szCs w:val="22"/>
        </w:rPr>
        <w:t xml:space="preserve">Jansen JA referring to the test in the </w:t>
      </w:r>
      <w:r>
        <w:rPr>
          <w:rFonts w:ascii="Arial" w:hAnsi="Arial" w:cs="Arial"/>
          <w:i/>
          <w:sz w:val="22"/>
          <w:szCs w:val="22"/>
        </w:rPr>
        <w:t xml:space="preserve">Universal Cargo Carriers Corporation </w:t>
      </w:r>
      <w:r>
        <w:rPr>
          <w:rFonts w:ascii="Arial" w:hAnsi="Arial" w:cs="Arial"/>
          <w:sz w:val="22"/>
          <w:szCs w:val="22"/>
        </w:rPr>
        <w:t>case, stated:</w:t>
      </w:r>
    </w:p>
    <w:p w14:paraId="44AA6F1D" w14:textId="77777777" w:rsidR="000959DA" w:rsidRDefault="000959DA" w:rsidP="00CA60A7">
      <w:pPr>
        <w:spacing w:line="360" w:lineRule="auto"/>
        <w:jc w:val="both"/>
        <w:rPr>
          <w:rFonts w:ascii="Arial" w:hAnsi="Arial" w:cs="Arial"/>
          <w:sz w:val="22"/>
          <w:szCs w:val="22"/>
        </w:rPr>
      </w:pPr>
    </w:p>
    <w:p w14:paraId="73543269" w14:textId="46D3D1AB" w:rsidR="009147D9" w:rsidRDefault="009147D9" w:rsidP="000959DA">
      <w:pPr>
        <w:spacing w:line="360" w:lineRule="auto"/>
        <w:ind w:firstLine="720"/>
        <w:jc w:val="both"/>
        <w:rPr>
          <w:rFonts w:ascii="Arial" w:hAnsi="Arial" w:cs="Arial"/>
          <w:sz w:val="22"/>
          <w:szCs w:val="22"/>
        </w:rPr>
      </w:pPr>
      <w:r>
        <w:rPr>
          <w:rFonts w:ascii="Arial" w:hAnsi="Arial" w:cs="Arial"/>
          <w:sz w:val="22"/>
          <w:szCs w:val="22"/>
        </w:rPr>
        <w:t>“The test here propounded is both practicable and fair, and this is the test which I propose to apply in the present case. The question is therefore: has the appellant acted in such a way as to lead a reasonable person</w:t>
      </w:r>
      <w:r w:rsidR="007F5CF7">
        <w:rPr>
          <w:rFonts w:ascii="Arial" w:hAnsi="Arial" w:cs="Arial"/>
          <w:sz w:val="22"/>
          <w:szCs w:val="22"/>
        </w:rPr>
        <w:t xml:space="preserve"> to the conclusion he does not intend to fulfil his part of the contract? Obviously, the reasonable person must be placed in the position of the </w:t>
      </w:r>
      <w:r w:rsidR="00DD3EA0">
        <w:rPr>
          <w:rFonts w:ascii="Arial" w:hAnsi="Arial" w:cs="Arial"/>
          <w:sz w:val="22"/>
          <w:szCs w:val="22"/>
        </w:rPr>
        <w:t xml:space="preserve">respondent </w:t>
      </w:r>
      <w:proofErr w:type="gramStart"/>
      <w:r w:rsidR="00DD3EA0">
        <w:rPr>
          <w:rFonts w:ascii="Arial" w:hAnsi="Arial" w:cs="Arial"/>
          <w:sz w:val="22"/>
          <w:szCs w:val="22"/>
        </w:rPr>
        <w:t>.</w:t>
      </w:r>
      <w:r w:rsidR="007F5CF7">
        <w:rPr>
          <w:rFonts w:ascii="Arial" w:hAnsi="Arial" w:cs="Arial"/>
          <w:sz w:val="22"/>
          <w:szCs w:val="22"/>
        </w:rPr>
        <w:t xml:space="preserve"> . </w:t>
      </w:r>
      <w:r w:rsidR="00DD3EA0">
        <w:rPr>
          <w:rFonts w:ascii="Arial" w:hAnsi="Arial" w:cs="Arial"/>
          <w:sz w:val="22"/>
          <w:szCs w:val="22"/>
        </w:rPr>
        <w:t>..”</w:t>
      </w:r>
      <w:proofErr w:type="gramEnd"/>
      <w:r w:rsidR="00980448">
        <w:rPr>
          <w:rFonts w:ascii="Arial" w:hAnsi="Arial" w:cs="Arial"/>
          <w:sz w:val="22"/>
          <w:szCs w:val="22"/>
        </w:rPr>
        <w:t>’</w:t>
      </w:r>
    </w:p>
    <w:p w14:paraId="3D9E0F61" w14:textId="77777777" w:rsidR="007F5CF7" w:rsidRDefault="007F5CF7" w:rsidP="00290290">
      <w:pPr>
        <w:spacing w:line="360" w:lineRule="auto"/>
        <w:ind w:left="360"/>
        <w:jc w:val="both"/>
        <w:rPr>
          <w:rFonts w:ascii="Arial" w:hAnsi="Arial" w:cs="Arial"/>
          <w:sz w:val="22"/>
          <w:szCs w:val="22"/>
        </w:rPr>
      </w:pPr>
    </w:p>
    <w:p w14:paraId="71D1F364" w14:textId="59757E2E" w:rsidR="007F5CF7" w:rsidRDefault="00A91890" w:rsidP="00CA60A7">
      <w:pPr>
        <w:spacing w:line="360" w:lineRule="auto"/>
        <w:jc w:val="both"/>
        <w:rPr>
          <w:rFonts w:ascii="Arial" w:hAnsi="Arial" w:cs="Arial"/>
        </w:rPr>
      </w:pPr>
      <w:r>
        <w:rPr>
          <w:rFonts w:ascii="Arial" w:hAnsi="Arial" w:cs="Arial"/>
        </w:rPr>
        <w:lastRenderedPageBreak/>
        <w:t>[104</w:t>
      </w:r>
      <w:r w:rsidR="007F5CF7">
        <w:rPr>
          <w:rFonts w:ascii="Arial" w:hAnsi="Arial" w:cs="Arial"/>
        </w:rPr>
        <w:t>]</w:t>
      </w:r>
      <w:r w:rsidR="007F5CF7">
        <w:rPr>
          <w:rFonts w:ascii="Arial" w:hAnsi="Arial" w:cs="Arial"/>
        </w:rPr>
        <w:tab/>
        <w:t xml:space="preserve">I am of the considered view that a full and sober consideration of the evidence and the manner in which the defendants acted, considered </w:t>
      </w:r>
      <w:r w:rsidR="007F5CF7">
        <w:rPr>
          <w:rFonts w:ascii="Arial" w:hAnsi="Arial" w:cs="Arial"/>
          <w:i/>
        </w:rPr>
        <w:t xml:space="preserve">in tandem </w:t>
      </w:r>
      <w:r w:rsidR="007F5CF7">
        <w:rPr>
          <w:rFonts w:ascii="Arial" w:hAnsi="Arial" w:cs="Arial"/>
        </w:rPr>
        <w:t>with the agreement that they sig</w:t>
      </w:r>
      <w:r w:rsidR="00B8760F">
        <w:rPr>
          <w:rFonts w:ascii="Arial" w:hAnsi="Arial" w:cs="Arial"/>
        </w:rPr>
        <w:t xml:space="preserve">ned and the money that they </w:t>
      </w:r>
      <w:r w:rsidR="007F5CF7">
        <w:rPr>
          <w:rFonts w:ascii="Arial" w:hAnsi="Arial" w:cs="Arial"/>
        </w:rPr>
        <w:t>received for the furniture and inventory, there can be no doubt in my mind that the removal of the majority of the furniture and other property that would have formed part of the inventory amounts to a repudiation of the contract by the defendants. This, in my view entitled the plaintiff to reasonably conclude that the defendants were no longer willing to be bound by the contract</w:t>
      </w:r>
      <w:r w:rsidR="00C801BC">
        <w:rPr>
          <w:rFonts w:ascii="Arial" w:hAnsi="Arial" w:cs="Arial"/>
        </w:rPr>
        <w:t xml:space="preserve"> they had signed</w:t>
      </w:r>
      <w:r w:rsidR="007F5CF7">
        <w:rPr>
          <w:rFonts w:ascii="Arial" w:hAnsi="Arial" w:cs="Arial"/>
        </w:rPr>
        <w:t>.</w:t>
      </w:r>
    </w:p>
    <w:p w14:paraId="7A3D5DFD" w14:textId="77777777" w:rsidR="00B8760F" w:rsidRDefault="00B8760F" w:rsidP="00CA60A7">
      <w:pPr>
        <w:spacing w:line="360" w:lineRule="auto"/>
        <w:jc w:val="both"/>
        <w:rPr>
          <w:rFonts w:ascii="Arial" w:hAnsi="Arial" w:cs="Arial"/>
        </w:rPr>
      </w:pPr>
    </w:p>
    <w:p w14:paraId="295B1C10" w14:textId="22A0AA3D" w:rsidR="00C91C30" w:rsidRDefault="00CA60A7" w:rsidP="00CA60A7">
      <w:pPr>
        <w:spacing w:line="360" w:lineRule="auto"/>
        <w:jc w:val="both"/>
        <w:rPr>
          <w:rFonts w:ascii="Arial" w:hAnsi="Arial" w:cs="Arial"/>
        </w:rPr>
      </w:pPr>
      <w:r>
        <w:rPr>
          <w:rFonts w:ascii="Arial" w:hAnsi="Arial" w:cs="Arial"/>
        </w:rPr>
        <w:t>[</w:t>
      </w:r>
      <w:r w:rsidR="00C468F3">
        <w:rPr>
          <w:rFonts w:ascii="Arial" w:hAnsi="Arial" w:cs="Arial"/>
        </w:rPr>
        <w:t>1</w:t>
      </w:r>
      <w:r w:rsidR="00A91890">
        <w:rPr>
          <w:rFonts w:ascii="Arial" w:hAnsi="Arial" w:cs="Arial"/>
        </w:rPr>
        <w:t>05</w:t>
      </w:r>
      <w:r w:rsidR="007F5CF7">
        <w:rPr>
          <w:rFonts w:ascii="Arial" w:hAnsi="Arial" w:cs="Arial"/>
        </w:rPr>
        <w:t>]</w:t>
      </w:r>
      <w:r w:rsidR="007F5CF7">
        <w:rPr>
          <w:rFonts w:ascii="Arial" w:hAnsi="Arial" w:cs="Arial"/>
        </w:rPr>
        <w:tab/>
      </w:r>
      <w:proofErr w:type="gramStart"/>
      <w:r w:rsidR="007F5CF7">
        <w:rPr>
          <w:rFonts w:ascii="Arial" w:hAnsi="Arial" w:cs="Arial"/>
        </w:rPr>
        <w:t>An</w:t>
      </w:r>
      <w:proofErr w:type="gramEnd"/>
      <w:r w:rsidR="007F5CF7">
        <w:rPr>
          <w:rFonts w:ascii="Arial" w:hAnsi="Arial" w:cs="Arial"/>
        </w:rPr>
        <w:t xml:space="preserve"> argument was advanced on behalf of the defendants to the effect that the plaintiff did not comply with the provisions of clause 12.2 of the agreement before </w:t>
      </w:r>
      <w:r w:rsidR="00C91C30">
        <w:rPr>
          <w:rFonts w:ascii="Arial" w:hAnsi="Arial" w:cs="Arial"/>
        </w:rPr>
        <w:t>cancelling the agreement. This clause called upon the plaintiff in this case, to give the defendants 14 days’ notice in writing to remedy the breach first before purporting to cancel the agreement. It was accordingly argued on the defendants’ behalf that the plaintiff is accordingly not entitled to the relief he seeks.</w:t>
      </w:r>
    </w:p>
    <w:p w14:paraId="533337DB" w14:textId="77777777" w:rsidR="00C91C30" w:rsidRDefault="00C91C30" w:rsidP="00290290">
      <w:pPr>
        <w:spacing w:line="360" w:lineRule="auto"/>
        <w:ind w:left="360"/>
        <w:jc w:val="both"/>
        <w:rPr>
          <w:rFonts w:ascii="Arial" w:hAnsi="Arial" w:cs="Arial"/>
        </w:rPr>
      </w:pPr>
    </w:p>
    <w:p w14:paraId="73C0DE17" w14:textId="1107EF10" w:rsidR="007F5CF7" w:rsidRDefault="00A91890" w:rsidP="00CA60A7">
      <w:pPr>
        <w:spacing w:line="360" w:lineRule="auto"/>
        <w:jc w:val="both"/>
        <w:rPr>
          <w:rFonts w:ascii="Arial" w:hAnsi="Arial" w:cs="Arial"/>
        </w:rPr>
      </w:pPr>
      <w:r>
        <w:rPr>
          <w:rFonts w:ascii="Arial" w:hAnsi="Arial" w:cs="Arial"/>
        </w:rPr>
        <w:t>[106</w:t>
      </w:r>
      <w:r w:rsidR="00A760B7">
        <w:rPr>
          <w:rFonts w:ascii="Arial" w:hAnsi="Arial" w:cs="Arial"/>
        </w:rPr>
        <w:t>]</w:t>
      </w:r>
      <w:r w:rsidR="00A760B7">
        <w:rPr>
          <w:rFonts w:ascii="Arial" w:hAnsi="Arial" w:cs="Arial"/>
        </w:rPr>
        <w:tab/>
        <w:t>Ms</w:t>
      </w:r>
      <w:r w:rsidR="00C91C30">
        <w:rPr>
          <w:rFonts w:ascii="Arial" w:hAnsi="Arial" w:cs="Arial"/>
        </w:rPr>
        <w:t xml:space="preserve"> De </w:t>
      </w:r>
      <w:proofErr w:type="spellStart"/>
      <w:r w:rsidR="00C91C30">
        <w:rPr>
          <w:rFonts w:ascii="Arial" w:hAnsi="Arial" w:cs="Arial"/>
        </w:rPr>
        <w:t>Jager</w:t>
      </w:r>
      <w:proofErr w:type="spellEnd"/>
      <w:r w:rsidR="00C91C30">
        <w:rPr>
          <w:rFonts w:ascii="Arial" w:hAnsi="Arial" w:cs="Arial"/>
        </w:rPr>
        <w:t xml:space="preserve"> argued that this clause does not apply to the furniture and inventory and for that reason has no bearing on the plaintiff’s </w:t>
      </w:r>
      <w:r w:rsidR="00C801BC">
        <w:rPr>
          <w:rFonts w:ascii="Arial" w:hAnsi="Arial" w:cs="Arial"/>
        </w:rPr>
        <w:t xml:space="preserve">present </w:t>
      </w:r>
      <w:r w:rsidR="00C91C30">
        <w:rPr>
          <w:rFonts w:ascii="Arial" w:hAnsi="Arial" w:cs="Arial"/>
        </w:rPr>
        <w:t>claim</w:t>
      </w:r>
      <w:r w:rsidR="00C801BC">
        <w:rPr>
          <w:rFonts w:ascii="Arial" w:hAnsi="Arial" w:cs="Arial"/>
        </w:rPr>
        <w:t xml:space="preserve"> whatsoever</w:t>
      </w:r>
      <w:r w:rsidR="00C91C30">
        <w:rPr>
          <w:rFonts w:ascii="Arial" w:hAnsi="Arial" w:cs="Arial"/>
        </w:rPr>
        <w:t>. I agree. In this regard, it is important to quote the said clause, entitled ‘DEFAULT BY SELLER’</w:t>
      </w:r>
      <w:r w:rsidR="00294EAD">
        <w:rPr>
          <w:rFonts w:ascii="Arial" w:hAnsi="Arial" w:cs="Arial"/>
        </w:rPr>
        <w:t xml:space="preserve"> in full</w:t>
      </w:r>
      <w:r w:rsidR="00C91C30">
        <w:rPr>
          <w:rFonts w:ascii="Arial" w:hAnsi="Arial" w:cs="Arial"/>
        </w:rPr>
        <w:t>. It reads as follows:</w:t>
      </w:r>
    </w:p>
    <w:p w14:paraId="3949414E" w14:textId="77777777" w:rsidR="00C91C30" w:rsidRDefault="00C91C30" w:rsidP="00290290">
      <w:pPr>
        <w:spacing w:line="360" w:lineRule="auto"/>
        <w:ind w:left="360"/>
        <w:jc w:val="both"/>
        <w:rPr>
          <w:rFonts w:ascii="Arial" w:hAnsi="Arial" w:cs="Arial"/>
        </w:rPr>
      </w:pPr>
    </w:p>
    <w:p w14:paraId="23EF928F" w14:textId="68DEC9C5" w:rsidR="00C91C30" w:rsidRDefault="00AB43AB" w:rsidP="000959DA">
      <w:pPr>
        <w:spacing w:line="360" w:lineRule="auto"/>
        <w:jc w:val="both"/>
        <w:rPr>
          <w:rFonts w:ascii="Arial" w:hAnsi="Arial" w:cs="Arial"/>
          <w:sz w:val="22"/>
          <w:szCs w:val="22"/>
        </w:rPr>
      </w:pPr>
      <w:r w:rsidRPr="00AB43AB">
        <w:rPr>
          <w:rFonts w:ascii="Arial" w:hAnsi="Arial" w:cs="Arial"/>
          <w:sz w:val="22"/>
          <w:szCs w:val="22"/>
        </w:rPr>
        <w:t>’</w:t>
      </w:r>
      <w:r>
        <w:rPr>
          <w:rFonts w:ascii="Arial" w:hAnsi="Arial" w:cs="Arial"/>
          <w:sz w:val="22"/>
          <w:szCs w:val="22"/>
        </w:rPr>
        <w:t>12.1</w:t>
      </w:r>
      <w:r w:rsidR="00C91C30" w:rsidRPr="00AB43AB">
        <w:rPr>
          <w:rFonts w:ascii="Arial" w:hAnsi="Arial" w:cs="Arial"/>
          <w:sz w:val="22"/>
          <w:szCs w:val="22"/>
        </w:rPr>
        <w:t>It</w:t>
      </w:r>
      <w:r w:rsidR="00C91C30" w:rsidRPr="00C91C30">
        <w:rPr>
          <w:rFonts w:ascii="Arial" w:hAnsi="Arial" w:cs="Arial"/>
          <w:sz w:val="22"/>
          <w:szCs w:val="22"/>
        </w:rPr>
        <w:t xml:space="preserve"> is recorded </w:t>
      </w:r>
      <w:r w:rsidR="00C91C30">
        <w:rPr>
          <w:rFonts w:ascii="Arial" w:hAnsi="Arial" w:cs="Arial"/>
          <w:sz w:val="22"/>
          <w:szCs w:val="22"/>
        </w:rPr>
        <w:t xml:space="preserve">and agreed </w:t>
      </w:r>
      <w:r w:rsidR="00C91C30" w:rsidRPr="00C91C30">
        <w:rPr>
          <w:rFonts w:ascii="Arial" w:hAnsi="Arial" w:cs="Arial"/>
          <w:sz w:val="22"/>
          <w:szCs w:val="22"/>
        </w:rPr>
        <w:t>that</w:t>
      </w:r>
      <w:r w:rsidR="00C91C30">
        <w:rPr>
          <w:rFonts w:ascii="Arial" w:hAnsi="Arial" w:cs="Arial"/>
          <w:sz w:val="22"/>
          <w:szCs w:val="22"/>
        </w:rPr>
        <w:t xml:space="preserve"> in purchasing the SUBJECT MATTER, the PURCHASER is relying on the representations, warranties, undertakings and indemnities given by the </w:t>
      </w:r>
      <w:r w:rsidR="00DD3EA0">
        <w:rPr>
          <w:rFonts w:ascii="Arial" w:hAnsi="Arial" w:cs="Arial"/>
          <w:sz w:val="22"/>
          <w:szCs w:val="22"/>
        </w:rPr>
        <w:t>SELLER as</w:t>
      </w:r>
      <w:r w:rsidR="00C91C30">
        <w:rPr>
          <w:rFonts w:ascii="Arial" w:hAnsi="Arial" w:cs="Arial"/>
          <w:sz w:val="22"/>
          <w:szCs w:val="22"/>
        </w:rPr>
        <w:t xml:space="preserve"> herein set forth.</w:t>
      </w:r>
    </w:p>
    <w:p w14:paraId="0B7691F7" w14:textId="77777777" w:rsidR="000959DA" w:rsidRDefault="000959DA" w:rsidP="000959DA">
      <w:pPr>
        <w:spacing w:line="360" w:lineRule="auto"/>
        <w:jc w:val="both"/>
        <w:rPr>
          <w:rFonts w:ascii="Arial" w:hAnsi="Arial" w:cs="Arial"/>
          <w:sz w:val="22"/>
          <w:szCs w:val="22"/>
        </w:rPr>
      </w:pPr>
    </w:p>
    <w:p w14:paraId="78C91C80" w14:textId="7F2BAF35" w:rsidR="00AB43AB" w:rsidRDefault="00AB43AB" w:rsidP="00CA60A7">
      <w:pPr>
        <w:spacing w:line="360" w:lineRule="auto"/>
        <w:jc w:val="both"/>
        <w:rPr>
          <w:rFonts w:ascii="Arial" w:hAnsi="Arial" w:cs="Arial"/>
          <w:sz w:val="22"/>
          <w:szCs w:val="22"/>
        </w:rPr>
      </w:pPr>
      <w:r>
        <w:rPr>
          <w:rFonts w:ascii="Arial" w:hAnsi="Arial" w:cs="Arial"/>
          <w:sz w:val="22"/>
          <w:szCs w:val="22"/>
        </w:rPr>
        <w:t>12.2 Should the SELLER breach all or any of the terms hereof or of the warranties or representations, then the PURCHASER shall (without prejudice to all or any other rights that he may enjoy in consequence of such breach) be entitled to cancel this agreement.</w:t>
      </w:r>
    </w:p>
    <w:p w14:paraId="5ECA6FBE" w14:textId="77777777" w:rsidR="000959DA" w:rsidRDefault="000959DA" w:rsidP="00CA60A7">
      <w:pPr>
        <w:spacing w:line="360" w:lineRule="auto"/>
        <w:jc w:val="both"/>
        <w:rPr>
          <w:rFonts w:ascii="Arial" w:hAnsi="Arial" w:cs="Arial"/>
          <w:sz w:val="22"/>
          <w:szCs w:val="22"/>
        </w:rPr>
      </w:pPr>
    </w:p>
    <w:p w14:paraId="49ED82CF" w14:textId="66FDCD24" w:rsidR="00AB43AB" w:rsidRDefault="00AB43AB" w:rsidP="00CA60A7">
      <w:pPr>
        <w:spacing w:line="360" w:lineRule="auto"/>
        <w:jc w:val="both"/>
        <w:rPr>
          <w:rFonts w:ascii="Arial" w:hAnsi="Arial" w:cs="Arial"/>
          <w:sz w:val="22"/>
          <w:szCs w:val="22"/>
        </w:rPr>
      </w:pPr>
      <w:r>
        <w:rPr>
          <w:rFonts w:ascii="Arial" w:hAnsi="Arial" w:cs="Arial"/>
          <w:sz w:val="22"/>
          <w:szCs w:val="22"/>
        </w:rPr>
        <w:t>12.3 The PURCHASER shall not be entitled to cancel this Agreement in the circumstances provided for in Clause 12.2 until he or his agent shall have first given the SELLER notice in writing, requiring the SELLER to remedy such breach within a period of 14 days of the receipt by them of the said notice.’</w:t>
      </w:r>
    </w:p>
    <w:p w14:paraId="31B3D42B" w14:textId="77777777" w:rsidR="00AB43AB" w:rsidRDefault="00AB43AB" w:rsidP="00290290">
      <w:pPr>
        <w:spacing w:line="360" w:lineRule="auto"/>
        <w:ind w:left="360"/>
        <w:jc w:val="both"/>
        <w:rPr>
          <w:rFonts w:ascii="Arial" w:hAnsi="Arial" w:cs="Arial"/>
          <w:sz w:val="22"/>
          <w:szCs w:val="22"/>
        </w:rPr>
      </w:pPr>
    </w:p>
    <w:p w14:paraId="5ADF3349" w14:textId="1BE131DD" w:rsidR="00AB43AB" w:rsidRDefault="00A91890" w:rsidP="00CA60A7">
      <w:pPr>
        <w:spacing w:line="360" w:lineRule="auto"/>
        <w:jc w:val="both"/>
        <w:rPr>
          <w:rFonts w:ascii="Arial" w:hAnsi="Arial" w:cs="Arial"/>
        </w:rPr>
      </w:pPr>
      <w:r>
        <w:rPr>
          <w:rFonts w:ascii="Arial" w:hAnsi="Arial" w:cs="Arial"/>
        </w:rPr>
        <w:t>[107</w:t>
      </w:r>
      <w:r w:rsidR="00AB43AB">
        <w:rPr>
          <w:rFonts w:ascii="Arial" w:hAnsi="Arial" w:cs="Arial"/>
        </w:rPr>
        <w:t>]</w:t>
      </w:r>
      <w:r w:rsidR="00AB43AB">
        <w:rPr>
          <w:rFonts w:ascii="Arial" w:hAnsi="Arial" w:cs="Arial"/>
        </w:rPr>
        <w:tab/>
      </w:r>
      <w:proofErr w:type="gramStart"/>
      <w:r w:rsidR="00AB43AB">
        <w:rPr>
          <w:rFonts w:ascii="Arial" w:hAnsi="Arial" w:cs="Arial"/>
        </w:rPr>
        <w:t>Properly</w:t>
      </w:r>
      <w:proofErr w:type="gramEnd"/>
      <w:r w:rsidR="00AB43AB">
        <w:rPr>
          <w:rFonts w:ascii="Arial" w:hAnsi="Arial" w:cs="Arial"/>
        </w:rPr>
        <w:t xml:space="preserve"> read in context, it is in my view clear that the clause applies strictly to default in respect of ‘the SUBJECT MATTER’ and that much is clear from clause 12.1. In clause 2.9 of the agreement, the </w:t>
      </w:r>
      <w:r w:rsidR="00C801BC">
        <w:rPr>
          <w:rFonts w:ascii="Arial" w:hAnsi="Arial" w:cs="Arial"/>
        </w:rPr>
        <w:t>‘</w:t>
      </w:r>
      <w:r w:rsidR="00AB43AB">
        <w:rPr>
          <w:rFonts w:ascii="Arial" w:hAnsi="Arial" w:cs="Arial"/>
        </w:rPr>
        <w:t>subject matter</w:t>
      </w:r>
      <w:r w:rsidR="00C801BC">
        <w:rPr>
          <w:rFonts w:ascii="Arial" w:hAnsi="Arial" w:cs="Arial"/>
        </w:rPr>
        <w:t>’</w:t>
      </w:r>
      <w:r w:rsidR="00AB43AB">
        <w:rPr>
          <w:rFonts w:ascii="Arial" w:hAnsi="Arial" w:cs="Arial"/>
        </w:rPr>
        <w:t xml:space="preserve"> of the sale is defined as ‘100% (One hundred percent) the INTEREST</w:t>
      </w:r>
      <w:r w:rsidR="0042197B">
        <w:rPr>
          <w:rFonts w:ascii="Arial" w:hAnsi="Arial" w:cs="Arial"/>
        </w:rPr>
        <w:t xml:space="preserve"> </w:t>
      </w:r>
      <w:r w:rsidR="00AB43AB">
        <w:rPr>
          <w:rFonts w:ascii="Arial" w:hAnsi="Arial" w:cs="Arial"/>
        </w:rPr>
        <w:t xml:space="preserve">and CLAIMS.’ In clause 3 of the same agreement, it is clear that the agreement applies to two separate </w:t>
      </w:r>
      <w:r w:rsidR="00DD3EA0">
        <w:rPr>
          <w:rFonts w:ascii="Arial" w:hAnsi="Arial" w:cs="Arial"/>
        </w:rPr>
        <w:t>aspects</w:t>
      </w:r>
      <w:r w:rsidR="00AB43AB">
        <w:rPr>
          <w:rFonts w:ascii="Arial" w:hAnsi="Arial" w:cs="Arial"/>
        </w:rPr>
        <w:t>, namely the SUBJECT MATTER and THE FURN</w:t>
      </w:r>
      <w:r w:rsidR="0042197B">
        <w:rPr>
          <w:rFonts w:ascii="Arial" w:hAnsi="Arial" w:cs="Arial"/>
        </w:rPr>
        <w:t>ITURE &amp;</w:t>
      </w:r>
      <w:r w:rsidR="00AB43AB">
        <w:rPr>
          <w:rFonts w:ascii="Arial" w:hAnsi="Arial" w:cs="Arial"/>
        </w:rPr>
        <w:t xml:space="preserve"> INVENTORY</w:t>
      </w:r>
      <w:r w:rsidR="0042197B">
        <w:rPr>
          <w:rFonts w:ascii="Arial" w:hAnsi="Arial" w:cs="Arial"/>
        </w:rPr>
        <w:t xml:space="preserve"> (LAST MENTIONED SEPARATELY LISTED IN AN ANNEXURE).</w:t>
      </w:r>
    </w:p>
    <w:p w14:paraId="21432BDE" w14:textId="77777777" w:rsidR="0042197B" w:rsidRDefault="0042197B" w:rsidP="00290290">
      <w:pPr>
        <w:spacing w:line="360" w:lineRule="auto"/>
        <w:ind w:left="360"/>
        <w:jc w:val="both"/>
        <w:rPr>
          <w:rFonts w:ascii="Arial" w:hAnsi="Arial" w:cs="Arial"/>
        </w:rPr>
      </w:pPr>
    </w:p>
    <w:p w14:paraId="2D0781C2" w14:textId="0067F876" w:rsidR="001C4659" w:rsidRDefault="00A91890" w:rsidP="00973958">
      <w:pPr>
        <w:spacing w:line="360" w:lineRule="auto"/>
        <w:jc w:val="both"/>
        <w:rPr>
          <w:rFonts w:ascii="Arial" w:hAnsi="Arial" w:cs="Arial"/>
        </w:rPr>
      </w:pPr>
      <w:r>
        <w:rPr>
          <w:rFonts w:ascii="Arial" w:hAnsi="Arial" w:cs="Arial"/>
        </w:rPr>
        <w:t>[108</w:t>
      </w:r>
      <w:r w:rsidR="0042197B">
        <w:rPr>
          <w:rFonts w:ascii="Arial" w:hAnsi="Arial" w:cs="Arial"/>
        </w:rPr>
        <w:t>]</w:t>
      </w:r>
      <w:r w:rsidR="0042197B">
        <w:rPr>
          <w:rFonts w:ascii="Arial" w:hAnsi="Arial" w:cs="Arial"/>
        </w:rPr>
        <w:tab/>
      </w:r>
      <w:proofErr w:type="gramStart"/>
      <w:r w:rsidR="0042197B">
        <w:rPr>
          <w:rFonts w:ascii="Arial" w:hAnsi="Arial" w:cs="Arial"/>
        </w:rPr>
        <w:t>For</w:t>
      </w:r>
      <w:proofErr w:type="gramEnd"/>
      <w:r w:rsidR="0042197B">
        <w:rPr>
          <w:rFonts w:ascii="Arial" w:hAnsi="Arial" w:cs="Arial"/>
        </w:rPr>
        <w:t xml:space="preserve"> the foregoing reasons, it becomes clear that the subject matter does not include the furniture and inventory. A reading of clause 12 shows indubitably that any default in that case referred exclusively to the subject matter and had nothing to do with the purchase of the furniture and inventory. It is for that reason that I am of</w:t>
      </w:r>
      <w:r w:rsidR="00A760B7">
        <w:rPr>
          <w:rFonts w:ascii="Arial" w:hAnsi="Arial" w:cs="Arial"/>
        </w:rPr>
        <w:t xml:space="preserve"> the considered opinion that Ms</w:t>
      </w:r>
      <w:r w:rsidR="0042197B">
        <w:rPr>
          <w:rFonts w:ascii="Arial" w:hAnsi="Arial" w:cs="Arial"/>
        </w:rPr>
        <w:t xml:space="preserve"> De </w:t>
      </w:r>
      <w:proofErr w:type="spellStart"/>
      <w:r w:rsidR="0042197B">
        <w:rPr>
          <w:rFonts w:ascii="Arial" w:hAnsi="Arial" w:cs="Arial"/>
        </w:rPr>
        <w:t>Ja</w:t>
      </w:r>
      <w:r w:rsidR="00A760B7">
        <w:rPr>
          <w:rFonts w:ascii="Arial" w:hAnsi="Arial" w:cs="Arial"/>
        </w:rPr>
        <w:t>ger</w:t>
      </w:r>
      <w:proofErr w:type="spellEnd"/>
      <w:r w:rsidR="00A760B7">
        <w:rPr>
          <w:rFonts w:ascii="Arial" w:hAnsi="Arial" w:cs="Arial"/>
        </w:rPr>
        <w:t xml:space="preserve"> is eminently correct and Mr</w:t>
      </w:r>
      <w:r w:rsidR="0042197B">
        <w:rPr>
          <w:rFonts w:ascii="Arial" w:hAnsi="Arial" w:cs="Arial"/>
        </w:rPr>
        <w:t xml:space="preserve"> Brandt is correspondingly wrong in his reliance on this clause. In any event, this issue was never plead</w:t>
      </w:r>
      <w:r w:rsidR="00C801BC">
        <w:rPr>
          <w:rFonts w:ascii="Arial" w:hAnsi="Arial" w:cs="Arial"/>
        </w:rPr>
        <w:t xml:space="preserve">ed by the defendants, thus </w:t>
      </w:r>
      <w:r w:rsidR="0042197B">
        <w:rPr>
          <w:rFonts w:ascii="Arial" w:hAnsi="Arial" w:cs="Arial"/>
        </w:rPr>
        <w:t>d</w:t>
      </w:r>
      <w:r w:rsidR="00C801BC">
        <w:rPr>
          <w:rFonts w:ascii="Arial" w:hAnsi="Arial" w:cs="Arial"/>
        </w:rPr>
        <w:t>epriv</w:t>
      </w:r>
      <w:r w:rsidR="0042197B">
        <w:rPr>
          <w:rFonts w:ascii="Arial" w:hAnsi="Arial" w:cs="Arial"/>
        </w:rPr>
        <w:t>ing the plaintiff</w:t>
      </w:r>
      <w:r w:rsidR="00A66B34">
        <w:rPr>
          <w:rFonts w:ascii="Arial" w:hAnsi="Arial" w:cs="Arial"/>
        </w:rPr>
        <w:t>,</w:t>
      </w:r>
      <w:r w:rsidR="00C801BC">
        <w:rPr>
          <w:rFonts w:ascii="Arial" w:hAnsi="Arial" w:cs="Arial"/>
        </w:rPr>
        <w:t xml:space="preserve"> of the necessary</w:t>
      </w:r>
      <w:r w:rsidR="0042197B">
        <w:rPr>
          <w:rFonts w:ascii="Arial" w:hAnsi="Arial" w:cs="Arial"/>
        </w:rPr>
        <w:t xml:space="preserve"> notice</w:t>
      </w:r>
      <w:r w:rsidR="00A66B34">
        <w:rPr>
          <w:rFonts w:ascii="Arial" w:hAnsi="Arial" w:cs="Arial"/>
        </w:rPr>
        <w:t>,</w:t>
      </w:r>
      <w:r w:rsidR="0042197B">
        <w:rPr>
          <w:rFonts w:ascii="Arial" w:hAnsi="Arial" w:cs="Arial"/>
        </w:rPr>
        <w:t xml:space="preserve"> to deal with it at the appropriate ti</w:t>
      </w:r>
      <w:r w:rsidR="00C801BC">
        <w:rPr>
          <w:rFonts w:ascii="Arial" w:hAnsi="Arial" w:cs="Arial"/>
        </w:rPr>
        <w:t>me. N</w:t>
      </w:r>
      <w:r w:rsidR="0042197B">
        <w:rPr>
          <w:rFonts w:ascii="Arial" w:hAnsi="Arial" w:cs="Arial"/>
        </w:rPr>
        <w:t xml:space="preserve">either, I must add, was it raised with the plaintiff in cross-examination. The defendants attempt to use </w:t>
      </w:r>
      <w:r w:rsidR="002257B5">
        <w:rPr>
          <w:rFonts w:ascii="Arial" w:hAnsi="Arial" w:cs="Arial"/>
        </w:rPr>
        <w:t xml:space="preserve">this </w:t>
      </w:r>
      <w:r w:rsidR="0042197B">
        <w:rPr>
          <w:rFonts w:ascii="Arial" w:hAnsi="Arial" w:cs="Arial"/>
        </w:rPr>
        <w:t>is as a sword when it was never even introduced in the pleadings as a shield, so to speak</w:t>
      </w:r>
      <w:r w:rsidR="00B8760F">
        <w:rPr>
          <w:rFonts w:ascii="Arial" w:hAnsi="Arial" w:cs="Arial"/>
        </w:rPr>
        <w:t>, must accordingly be rejected</w:t>
      </w:r>
      <w:r w:rsidR="00A66B34">
        <w:rPr>
          <w:rFonts w:ascii="Arial" w:hAnsi="Arial" w:cs="Arial"/>
        </w:rPr>
        <w:t xml:space="preserve"> as I hereby do</w:t>
      </w:r>
      <w:r w:rsidR="0042197B">
        <w:rPr>
          <w:rFonts w:ascii="Arial" w:hAnsi="Arial" w:cs="Arial"/>
        </w:rPr>
        <w:t>.</w:t>
      </w:r>
    </w:p>
    <w:p w14:paraId="6CC419F5" w14:textId="77777777" w:rsidR="003570CF" w:rsidRPr="00973958" w:rsidRDefault="003570CF" w:rsidP="00973958">
      <w:pPr>
        <w:spacing w:line="360" w:lineRule="auto"/>
        <w:jc w:val="both"/>
        <w:rPr>
          <w:rFonts w:ascii="Arial" w:hAnsi="Arial" w:cs="Arial"/>
        </w:rPr>
      </w:pPr>
    </w:p>
    <w:p w14:paraId="3C98EE5C" w14:textId="51CEA5E3" w:rsidR="00092F2F" w:rsidRDefault="00A91890" w:rsidP="00CA60A7">
      <w:pPr>
        <w:spacing w:line="360" w:lineRule="auto"/>
        <w:jc w:val="both"/>
        <w:rPr>
          <w:rFonts w:ascii="Arial" w:hAnsi="Arial" w:cs="Arial"/>
        </w:rPr>
      </w:pPr>
      <w:r>
        <w:rPr>
          <w:rFonts w:ascii="Arial" w:hAnsi="Arial" w:cs="Arial"/>
        </w:rPr>
        <w:t>[109</w:t>
      </w:r>
      <w:r w:rsidR="00A760B7">
        <w:rPr>
          <w:rFonts w:ascii="Arial" w:hAnsi="Arial" w:cs="Arial"/>
        </w:rPr>
        <w:t>]</w:t>
      </w:r>
      <w:r w:rsidR="00A760B7">
        <w:rPr>
          <w:rFonts w:ascii="Arial" w:hAnsi="Arial" w:cs="Arial"/>
        </w:rPr>
        <w:tab/>
        <w:t>Ms</w:t>
      </w:r>
      <w:r w:rsidR="002257B5">
        <w:rPr>
          <w:rFonts w:ascii="Arial" w:hAnsi="Arial" w:cs="Arial"/>
        </w:rPr>
        <w:t xml:space="preserve"> De </w:t>
      </w:r>
      <w:proofErr w:type="spellStart"/>
      <w:r w:rsidR="002257B5">
        <w:rPr>
          <w:rFonts w:ascii="Arial" w:hAnsi="Arial" w:cs="Arial"/>
        </w:rPr>
        <w:t>Jager</w:t>
      </w:r>
      <w:proofErr w:type="spellEnd"/>
      <w:r w:rsidR="002257B5">
        <w:rPr>
          <w:rFonts w:ascii="Arial" w:hAnsi="Arial" w:cs="Arial"/>
        </w:rPr>
        <w:t xml:space="preserve"> also argued, in the event her submissions recorded above did not carry the day, that even if the plaintiff had given notice, there was no prospect of the defendants </w:t>
      </w:r>
      <w:r w:rsidR="00092F2F">
        <w:rPr>
          <w:rFonts w:ascii="Arial" w:hAnsi="Arial" w:cs="Arial"/>
        </w:rPr>
        <w:t>remedying the breach for the reason that they left for Germany, with the property forming part of the furniture and inventory locked away. I do not think it is necessary to deal with this issue in the light of the clear and unambiguous wording of the agreement as discussed above.</w:t>
      </w:r>
    </w:p>
    <w:p w14:paraId="07215B88" w14:textId="77777777" w:rsidR="00C468F3" w:rsidRDefault="00C468F3" w:rsidP="00290290">
      <w:pPr>
        <w:spacing w:line="360" w:lineRule="auto"/>
        <w:ind w:left="360"/>
        <w:jc w:val="both"/>
        <w:rPr>
          <w:rFonts w:ascii="Arial" w:hAnsi="Arial" w:cs="Arial"/>
        </w:rPr>
      </w:pPr>
    </w:p>
    <w:p w14:paraId="122C8FDB" w14:textId="34D59D2B" w:rsidR="00C468F3" w:rsidRDefault="00A91890" w:rsidP="00CA60A7">
      <w:pPr>
        <w:spacing w:line="360" w:lineRule="auto"/>
        <w:jc w:val="both"/>
        <w:rPr>
          <w:rFonts w:ascii="Arial" w:hAnsi="Arial" w:cs="Arial"/>
        </w:rPr>
      </w:pPr>
      <w:r>
        <w:rPr>
          <w:rFonts w:ascii="Arial" w:hAnsi="Arial" w:cs="Arial"/>
        </w:rPr>
        <w:t>[110</w:t>
      </w:r>
      <w:r w:rsidR="00C468F3">
        <w:rPr>
          <w:rFonts w:ascii="Arial" w:hAnsi="Arial" w:cs="Arial"/>
        </w:rPr>
        <w:t>]</w:t>
      </w:r>
      <w:r w:rsidR="00C468F3">
        <w:rPr>
          <w:rFonts w:ascii="Arial" w:hAnsi="Arial" w:cs="Arial"/>
        </w:rPr>
        <w:tab/>
        <w:t>One thing is, however, certain</w:t>
      </w:r>
      <w:r w:rsidR="00C801BC">
        <w:rPr>
          <w:rFonts w:ascii="Arial" w:hAnsi="Arial" w:cs="Arial"/>
        </w:rPr>
        <w:t xml:space="preserve"> as death and taxes and it is</w:t>
      </w:r>
      <w:r w:rsidR="00A66B34">
        <w:rPr>
          <w:rFonts w:ascii="Arial" w:hAnsi="Arial" w:cs="Arial"/>
        </w:rPr>
        <w:t xml:space="preserve"> this -</w:t>
      </w:r>
      <w:r w:rsidR="00C468F3">
        <w:rPr>
          <w:rFonts w:ascii="Arial" w:hAnsi="Arial" w:cs="Arial"/>
        </w:rPr>
        <w:t xml:space="preserve"> the plaintiff, by letter dated 6 June 2011, authored by </w:t>
      </w:r>
      <w:proofErr w:type="spellStart"/>
      <w:r w:rsidR="00B8760F">
        <w:rPr>
          <w:rFonts w:ascii="Arial" w:hAnsi="Arial" w:cs="Arial"/>
        </w:rPr>
        <w:t>Messrs.</w:t>
      </w:r>
      <w:proofErr w:type="spellEnd"/>
      <w:r w:rsidR="00B8760F">
        <w:rPr>
          <w:rFonts w:ascii="Arial" w:hAnsi="Arial" w:cs="Arial"/>
        </w:rPr>
        <w:t xml:space="preserve"> </w:t>
      </w:r>
      <w:r w:rsidR="00C468F3">
        <w:rPr>
          <w:rFonts w:ascii="Arial" w:hAnsi="Arial" w:cs="Arial"/>
        </w:rPr>
        <w:t>Ahrens &amp; Associates on his behalf, cancelled the portion of the agreement re</w:t>
      </w:r>
      <w:r w:rsidR="00A66B34">
        <w:rPr>
          <w:rFonts w:ascii="Arial" w:hAnsi="Arial" w:cs="Arial"/>
        </w:rPr>
        <w:t>lating</w:t>
      </w:r>
      <w:r w:rsidR="00C468F3">
        <w:rPr>
          <w:rFonts w:ascii="Arial" w:hAnsi="Arial" w:cs="Arial"/>
        </w:rPr>
        <w:t xml:space="preserve"> to furniture and inventory in clear and unambiguous terms. A tender for the return of the </w:t>
      </w:r>
      <w:r w:rsidR="00C468F3">
        <w:rPr>
          <w:rFonts w:ascii="Arial" w:hAnsi="Arial" w:cs="Arial"/>
        </w:rPr>
        <w:lastRenderedPageBreak/>
        <w:t>furniture and inventory received, was also made in this letter. In this regard, at the top of page 3 of the letter under reference provides the following:</w:t>
      </w:r>
    </w:p>
    <w:p w14:paraId="25C136D7" w14:textId="52979089" w:rsidR="00C468F3" w:rsidRDefault="00C468F3" w:rsidP="00290290">
      <w:pPr>
        <w:spacing w:line="360" w:lineRule="auto"/>
        <w:ind w:left="360"/>
        <w:jc w:val="both"/>
        <w:rPr>
          <w:rFonts w:ascii="Arial" w:hAnsi="Arial" w:cs="Arial"/>
        </w:rPr>
      </w:pPr>
      <w:r>
        <w:rPr>
          <w:rFonts w:ascii="Arial" w:hAnsi="Arial" w:cs="Arial"/>
        </w:rPr>
        <w:t xml:space="preserve">  </w:t>
      </w:r>
    </w:p>
    <w:p w14:paraId="7665A982" w14:textId="10CA4E65" w:rsidR="00092F2F" w:rsidRDefault="00C468F3" w:rsidP="000959DA">
      <w:pPr>
        <w:spacing w:line="360" w:lineRule="auto"/>
        <w:jc w:val="both"/>
        <w:rPr>
          <w:rFonts w:ascii="Arial" w:hAnsi="Arial" w:cs="Arial"/>
          <w:sz w:val="22"/>
          <w:szCs w:val="22"/>
          <w:u w:val="single"/>
        </w:rPr>
      </w:pPr>
      <w:r>
        <w:rPr>
          <w:rFonts w:ascii="Arial" w:hAnsi="Arial" w:cs="Arial"/>
        </w:rPr>
        <w:t>‘</w:t>
      </w:r>
      <w:r w:rsidR="00A760B7">
        <w:rPr>
          <w:rFonts w:ascii="Arial" w:hAnsi="Arial" w:cs="Arial"/>
          <w:sz w:val="22"/>
          <w:szCs w:val="22"/>
        </w:rPr>
        <w:t>On instructions from Mr</w:t>
      </w:r>
      <w:r w:rsidR="00ED1D5F">
        <w:rPr>
          <w:rFonts w:ascii="Arial" w:hAnsi="Arial" w:cs="Arial"/>
          <w:sz w:val="22"/>
          <w:szCs w:val="22"/>
        </w:rPr>
        <w:t xml:space="preserve"> Conrad we have therefore been instructed to inform you, as we hereby do, that you have breached one part of the agreement, in our opinion a divisible part of the agreement</w:t>
      </w:r>
      <w:r w:rsidR="00A760B7">
        <w:rPr>
          <w:rFonts w:ascii="Arial" w:hAnsi="Arial" w:cs="Arial"/>
          <w:sz w:val="22"/>
          <w:szCs w:val="22"/>
        </w:rPr>
        <w:t>, by not having delivered to Mr</w:t>
      </w:r>
      <w:r w:rsidR="00ED1D5F">
        <w:rPr>
          <w:rFonts w:ascii="Arial" w:hAnsi="Arial" w:cs="Arial"/>
          <w:sz w:val="22"/>
          <w:szCs w:val="22"/>
        </w:rPr>
        <w:t xml:space="preserve"> Conrad </w:t>
      </w:r>
      <w:r w:rsidR="00ED1D5F">
        <w:rPr>
          <w:rFonts w:ascii="Arial" w:hAnsi="Arial" w:cs="Arial"/>
          <w:sz w:val="22"/>
          <w:szCs w:val="22"/>
          <w:u w:val="single"/>
        </w:rPr>
        <w:t>all the furniture and inventory which he purchased from you for n$400 000.00.’</w:t>
      </w:r>
    </w:p>
    <w:p w14:paraId="31D7B69D" w14:textId="77777777" w:rsidR="00ED1D5F" w:rsidRDefault="00ED1D5F" w:rsidP="00290290">
      <w:pPr>
        <w:spacing w:line="360" w:lineRule="auto"/>
        <w:ind w:left="360"/>
        <w:jc w:val="both"/>
        <w:rPr>
          <w:rFonts w:ascii="Arial" w:hAnsi="Arial" w:cs="Arial"/>
          <w:sz w:val="22"/>
          <w:szCs w:val="22"/>
          <w:u w:val="single"/>
        </w:rPr>
      </w:pPr>
    </w:p>
    <w:p w14:paraId="68AFE6EA" w14:textId="59E5AF3E" w:rsidR="00B725A1" w:rsidRDefault="00A91890" w:rsidP="00CA60A7">
      <w:pPr>
        <w:spacing w:line="360" w:lineRule="auto"/>
        <w:jc w:val="both"/>
        <w:rPr>
          <w:rFonts w:ascii="Arial" w:hAnsi="Arial" w:cs="Arial"/>
        </w:rPr>
      </w:pPr>
      <w:r>
        <w:rPr>
          <w:rFonts w:ascii="Arial" w:hAnsi="Arial" w:cs="Arial"/>
        </w:rPr>
        <w:t>[111</w:t>
      </w:r>
      <w:r w:rsidR="00B725A1">
        <w:rPr>
          <w:rFonts w:ascii="Arial" w:hAnsi="Arial" w:cs="Arial"/>
        </w:rPr>
        <w:t>]</w:t>
      </w:r>
      <w:r w:rsidR="00B725A1">
        <w:rPr>
          <w:rFonts w:ascii="Arial" w:hAnsi="Arial" w:cs="Arial"/>
        </w:rPr>
        <w:tab/>
        <w:t>It remains for me to comment, however, that i</w:t>
      </w:r>
      <w:r w:rsidR="00A760B7">
        <w:rPr>
          <w:rFonts w:ascii="Arial" w:hAnsi="Arial" w:cs="Arial"/>
        </w:rPr>
        <w:t>t was ethically improper for Mr</w:t>
      </w:r>
      <w:r w:rsidR="00B725A1">
        <w:rPr>
          <w:rFonts w:ascii="Arial" w:hAnsi="Arial" w:cs="Arial"/>
        </w:rPr>
        <w:t xml:space="preserve"> Ahrens to have written the letter in question on behalf of the plaintiff. I say so for the reason that it is clear that he initially acted on the instructions of both pa</w:t>
      </w:r>
      <w:r w:rsidR="00C801BC">
        <w:rPr>
          <w:rFonts w:ascii="Arial" w:hAnsi="Arial" w:cs="Arial"/>
        </w:rPr>
        <w:t>rties in drafting the agreement</w:t>
      </w:r>
      <w:r w:rsidR="00B725A1">
        <w:rPr>
          <w:rFonts w:ascii="Arial" w:hAnsi="Arial" w:cs="Arial"/>
        </w:rPr>
        <w:t xml:space="preserve"> in what was clearly a non-litigious matter at the time. When issues of breach of contract arose, however, and the matter ass</w:t>
      </w:r>
      <w:r w:rsidR="00A760B7">
        <w:rPr>
          <w:rFonts w:ascii="Arial" w:hAnsi="Arial" w:cs="Arial"/>
        </w:rPr>
        <w:t>umed a litigious trajectory, Mr</w:t>
      </w:r>
      <w:r w:rsidR="00B725A1">
        <w:rPr>
          <w:rFonts w:ascii="Arial" w:hAnsi="Arial" w:cs="Arial"/>
        </w:rPr>
        <w:t xml:space="preserve"> Ahrens should have withdrawn and referred both parties to find </w:t>
      </w:r>
      <w:r w:rsidR="00C801BC">
        <w:rPr>
          <w:rFonts w:ascii="Arial" w:hAnsi="Arial" w:cs="Arial"/>
        </w:rPr>
        <w:t xml:space="preserve">alternative </w:t>
      </w:r>
      <w:r w:rsidR="00B725A1">
        <w:rPr>
          <w:rFonts w:ascii="Arial" w:hAnsi="Arial" w:cs="Arial"/>
        </w:rPr>
        <w:t xml:space="preserve">lawyers to represent them thenceforth. Happily, it does not seem that he </w:t>
      </w:r>
      <w:r w:rsidR="00B8760F">
        <w:rPr>
          <w:rFonts w:ascii="Arial" w:hAnsi="Arial" w:cs="Arial"/>
        </w:rPr>
        <w:t>did any more after the letter</w:t>
      </w:r>
      <w:r w:rsidR="00B725A1">
        <w:rPr>
          <w:rFonts w:ascii="Arial" w:hAnsi="Arial" w:cs="Arial"/>
        </w:rPr>
        <w:t xml:space="preserve"> referred to above. </w:t>
      </w:r>
    </w:p>
    <w:p w14:paraId="78A9588F" w14:textId="77777777" w:rsidR="008628AE" w:rsidRDefault="008628AE" w:rsidP="00290290">
      <w:pPr>
        <w:spacing w:line="360" w:lineRule="auto"/>
        <w:ind w:left="360"/>
        <w:jc w:val="both"/>
        <w:rPr>
          <w:rFonts w:ascii="Arial" w:hAnsi="Arial" w:cs="Arial"/>
        </w:rPr>
      </w:pPr>
    </w:p>
    <w:p w14:paraId="13B76CD3" w14:textId="79812EBD" w:rsidR="008628AE" w:rsidRDefault="00A91890" w:rsidP="00CA60A7">
      <w:pPr>
        <w:spacing w:line="360" w:lineRule="auto"/>
        <w:jc w:val="both"/>
        <w:rPr>
          <w:rFonts w:ascii="Arial" w:hAnsi="Arial" w:cs="Arial"/>
        </w:rPr>
      </w:pPr>
      <w:r>
        <w:rPr>
          <w:rFonts w:ascii="Arial" w:hAnsi="Arial" w:cs="Arial"/>
        </w:rPr>
        <w:t>[112</w:t>
      </w:r>
      <w:r w:rsidR="009D2397">
        <w:rPr>
          <w:rFonts w:ascii="Arial" w:hAnsi="Arial" w:cs="Arial"/>
        </w:rPr>
        <w:t>]</w:t>
      </w:r>
      <w:r w:rsidR="009D2397">
        <w:rPr>
          <w:rFonts w:ascii="Arial" w:hAnsi="Arial" w:cs="Arial"/>
        </w:rPr>
        <w:tab/>
        <w:t>In support of the above</w:t>
      </w:r>
      <w:r w:rsidR="008628AE">
        <w:rPr>
          <w:rFonts w:ascii="Arial" w:hAnsi="Arial" w:cs="Arial"/>
        </w:rPr>
        <w:t xml:space="preserve"> proposition, the learned author Ingrid Hoffman, in her work entitled, Lewis &amp; </w:t>
      </w:r>
      <w:proofErr w:type="spellStart"/>
      <w:r w:rsidR="008628AE">
        <w:rPr>
          <w:rFonts w:ascii="Arial" w:hAnsi="Arial" w:cs="Arial"/>
        </w:rPr>
        <w:t>Kyrou’s</w:t>
      </w:r>
      <w:proofErr w:type="spellEnd"/>
      <w:r w:rsidR="008628AE">
        <w:rPr>
          <w:rFonts w:ascii="Arial" w:hAnsi="Arial" w:cs="Arial"/>
        </w:rPr>
        <w:t xml:space="preserve"> Handy Hints on Legal Practice,</w:t>
      </w:r>
      <w:r w:rsidR="008628AE">
        <w:rPr>
          <w:rStyle w:val="FootnoteReference"/>
          <w:rFonts w:ascii="Arial" w:hAnsi="Arial" w:cs="Arial"/>
        </w:rPr>
        <w:footnoteReference w:id="20"/>
      </w:r>
      <w:r w:rsidR="008628AE">
        <w:rPr>
          <w:rFonts w:ascii="Arial" w:hAnsi="Arial" w:cs="Arial"/>
        </w:rPr>
        <w:t xml:space="preserve"> says the following at p. 35:</w:t>
      </w:r>
    </w:p>
    <w:p w14:paraId="5053C398" w14:textId="77777777" w:rsidR="008628AE" w:rsidRDefault="008628AE" w:rsidP="00290290">
      <w:pPr>
        <w:spacing w:line="360" w:lineRule="auto"/>
        <w:ind w:left="360"/>
        <w:jc w:val="both"/>
        <w:rPr>
          <w:rFonts w:ascii="Arial" w:hAnsi="Arial" w:cs="Arial"/>
        </w:rPr>
      </w:pPr>
    </w:p>
    <w:p w14:paraId="4845BED6" w14:textId="0A596841" w:rsidR="008628AE" w:rsidRDefault="008628AE" w:rsidP="000959DA">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 distinction is sometimes drawn between litigious and non-litigious matters. Whilst </w:t>
      </w:r>
      <w:r w:rsidR="00294EAD">
        <w:rPr>
          <w:rFonts w:ascii="Arial" w:hAnsi="Arial" w:cs="Arial"/>
          <w:sz w:val="22"/>
          <w:szCs w:val="22"/>
        </w:rPr>
        <w:t>it is clear that you cannot act fo</w:t>
      </w:r>
      <w:r>
        <w:rPr>
          <w:rFonts w:ascii="Arial" w:hAnsi="Arial" w:cs="Arial"/>
          <w:sz w:val="22"/>
          <w:szCs w:val="22"/>
        </w:rPr>
        <w:t xml:space="preserve">r two opposing parties in an actual or contemplated litigation, in most jurisdictions there is no absolute rule precluding you from acting for both parties in non-litigious </w:t>
      </w:r>
      <w:proofErr w:type="gramStart"/>
      <w:r>
        <w:rPr>
          <w:rFonts w:ascii="Arial" w:hAnsi="Arial" w:cs="Arial"/>
          <w:sz w:val="22"/>
          <w:szCs w:val="22"/>
        </w:rPr>
        <w:t>matters.</w:t>
      </w:r>
      <w:proofErr w:type="gramEnd"/>
      <w:r>
        <w:rPr>
          <w:rFonts w:ascii="Arial" w:hAnsi="Arial" w:cs="Arial"/>
          <w:sz w:val="22"/>
          <w:szCs w:val="22"/>
        </w:rPr>
        <w:t xml:space="preserve"> However, it is generally unwise to do so and in certain circumstances, it might be misconduct to do so.’</w:t>
      </w:r>
    </w:p>
    <w:p w14:paraId="002E1175" w14:textId="77777777" w:rsidR="008628AE" w:rsidRDefault="008628AE" w:rsidP="00290290">
      <w:pPr>
        <w:spacing w:line="360" w:lineRule="auto"/>
        <w:ind w:left="360"/>
        <w:jc w:val="both"/>
        <w:rPr>
          <w:rFonts w:ascii="Arial" w:hAnsi="Arial" w:cs="Arial"/>
          <w:sz w:val="22"/>
          <w:szCs w:val="22"/>
        </w:rPr>
      </w:pPr>
    </w:p>
    <w:p w14:paraId="02606802" w14:textId="2FAC3B78" w:rsidR="008628AE" w:rsidRPr="00294EAD" w:rsidRDefault="00973958" w:rsidP="00CA60A7">
      <w:pPr>
        <w:spacing w:line="360" w:lineRule="auto"/>
        <w:jc w:val="both"/>
        <w:rPr>
          <w:rFonts w:ascii="Arial" w:hAnsi="Arial" w:cs="Arial"/>
        </w:rPr>
      </w:pPr>
      <w:r>
        <w:rPr>
          <w:rFonts w:ascii="Arial" w:hAnsi="Arial" w:cs="Arial"/>
        </w:rPr>
        <w:t>[</w:t>
      </w:r>
      <w:r w:rsidR="003570CF">
        <w:rPr>
          <w:rFonts w:ascii="Arial" w:hAnsi="Arial" w:cs="Arial"/>
        </w:rPr>
        <w:t>1</w:t>
      </w:r>
      <w:r>
        <w:rPr>
          <w:rFonts w:ascii="Arial" w:hAnsi="Arial" w:cs="Arial"/>
        </w:rPr>
        <w:t>1</w:t>
      </w:r>
      <w:r w:rsidR="00A91890">
        <w:rPr>
          <w:rFonts w:ascii="Arial" w:hAnsi="Arial" w:cs="Arial"/>
        </w:rPr>
        <w:t>3</w:t>
      </w:r>
      <w:r w:rsidR="008628AE">
        <w:rPr>
          <w:rFonts w:ascii="Arial" w:hAnsi="Arial" w:cs="Arial"/>
        </w:rPr>
        <w:t>]</w:t>
      </w:r>
      <w:r w:rsidR="008628AE">
        <w:rPr>
          <w:rFonts w:ascii="Arial" w:hAnsi="Arial" w:cs="Arial"/>
        </w:rPr>
        <w:tab/>
        <w:t>At p. 39, the learned author proceeds and states that, ‘</w:t>
      </w:r>
      <w:r w:rsidR="008628AE">
        <w:rPr>
          <w:rFonts w:ascii="Arial" w:hAnsi="Arial" w:cs="Arial"/>
          <w:sz w:val="22"/>
          <w:szCs w:val="22"/>
        </w:rPr>
        <w:t>Even if it were originally proper for you to act for both partie</w:t>
      </w:r>
      <w:r w:rsidR="009D2397">
        <w:rPr>
          <w:rFonts w:ascii="Arial" w:hAnsi="Arial" w:cs="Arial"/>
          <w:sz w:val="22"/>
          <w:szCs w:val="22"/>
        </w:rPr>
        <w:t xml:space="preserve">s to a transaction, once a dispute arises between the parties, you must cease acting for one of them. </w:t>
      </w:r>
      <w:r w:rsidR="009D2397" w:rsidRPr="00294EAD">
        <w:rPr>
          <w:rFonts w:ascii="Arial" w:hAnsi="Arial" w:cs="Arial"/>
          <w:sz w:val="22"/>
          <w:szCs w:val="22"/>
          <w:u w:val="single"/>
        </w:rPr>
        <w:t>In most cases, you will need to cease acting for both of them.’</w:t>
      </w:r>
      <w:r w:rsidR="00294EAD">
        <w:rPr>
          <w:rFonts w:ascii="Arial" w:hAnsi="Arial" w:cs="Arial"/>
          <w:sz w:val="22"/>
          <w:szCs w:val="22"/>
          <w:u w:val="single"/>
        </w:rPr>
        <w:t xml:space="preserve"> </w:t>
      </w:r>
      <w:r w:rsidR="00294EAD">
        <w:rPr>
          <w:rFonts w:ascii="Arial" w:hAnsi="Arial" w:cs="Arial"/>
          <w:u w:val="single"/>
        </w:rPr>
        <w:t>(</w:t>
      </w:r>
      <w:r w:rsidR="00294EAD">
        <w:rPr>
          <w:rFonts w:ascii="Arial" w:hAnsi="Arial" w:cs="Arial"/>
        </w:rPr>
        <w:t>Emphasis added).</w:t>
      </w:r>
    </w:p>
    <w:p w14:paraId="014905E0" w14:textId="77777777" w:rsidR="008628AE" w:rsidRDefault="008628AE" w:rsidP="00290290">
      <w:pPr>
        <w:spacing w:line="360" w:lineRule="auto"/>
        <w:ind w:left="360"/>
        <w:jc w:val="both"/>
        <w:rPr>
          <w:rFonts w:ascii="Arial" w:hAnsi="Arial" w:cs="Arial"/>
          <w:sz w:val="22"/>
          <w:szCs w:val="22"/>
        </w:rPr>
      </w:pPr>
    </w:p>
    <w:p w14:paraId="73331AED" w14:textId="715A7149" w:rsidR="009D2397" w:rsidRPr="009D2397" w:rsidRDefault="009D2397" w:rsidP="00CA60A7">
      <w:pPr>
        <w:spacing w:line="360" w:lineRule="auto"/>
        <w:jc w:val="both"/>
        <w:rPr>
          <w:rFonts w:ascii="Arial" w:hAnsi="Arial" w:cs="Arial"/>
        </w:rPr>
      </w:pPr>
      <w:r>
        <w:rPr>
          <w:rFonts w:ascii="Arial" w:hAnsi="Arial" w:cs="Arial"/>
        </w:rPr>
        <w:lastRenderedPageBreak/>
        <w:t>I will say nothing more of the matter as the comment was meant to be a guide, particularly to young legal practitioners</w:t>
      </w:r>
      <w:r w:rsidR="00294EAD">
        <w:rPr>
          <w:rFonts w:ascii="Arial" w:hAnsi="Arial" w:cs="Arial"/>
        </w:rPr>
        <w:t>,</w:t>
      </w:r>
      <w:r>
        <w:rPr>
          <w:rFonts w:ascii="Arial" w:hAnsi="Arial" w:cs="Arial"/>
        </w:rPr>
        <w:t xml:space="preserve"> who may find themselves caught in the horns of such a dilemma, so to speak.</w:t>
      </w:r>
    </w:p>
    <w:p w14:paraId="68117400" w14:textId="77777777" w:rsidR="00B725A1" w:rsidRPr="00B725A1" w:rsidRDefault="00B725A1" w:rsidP="00290290">
      <w:pPr>
        <w:spacing w:line="360" w:lineRule="auto"/>
        <w:ind w:left="360"/>
        <w:jc w:val="both"/>
        <w:rPr>
          <w:rFonts w:ascii="Arial" w:hAnsi="Arial" w:cs="Arial"/>
        </w:rPr>
      </w:pPr>
    </w:p>
    <w:p w14:paraId="3B8582EC" w14:textId="519F0EA6" w:rsidR="00ED1D5F" w:rsidRPr="00C801BC" w:rsidRDefault="009D2397" w:rsidP="00CA60A7">
      <w:pPr>
        <w:spacing w:line="360" w:lineRule="auto"/>
        <w:jc w:val="both"/>
        <w:rPr>
          <w:rFonts w:ascii="Arial" w:hAnsi="Arial" w:cs="Arial"/>
        </w:rPr>
      </w:pPr>
      <w:r>
        <w:rPr>
          <w:rFonts w:ascii="Arial" w:hAnsi="Arial" w:cs="Arial"/>
        </w:rPr>
        <w:t>[</w:t>
      </w:r>
      <w:r w:rsidR="00A91890">
        <w:rPr>
          <w:rFonts w:ascii="Arial" w:hAnsi="Arial" w:cs="Arial"/>
        </w:rPr>
        <w:t>114</w:t>
      </w:r>
      <w:r w:rsidR="00ED1D5F">
        <w:rPr>
          <w:rFonts w:ascii="Arial" w:hAnsi="Arial" w:cs="Arial"/>
        </w:rPr>
        <w:t>]</w:t>
      </w:r>
      <w:r w:rsidR="00ED1D5F">
        <w:rPr>
          <w:rFonts w:ascii="Arial" w:hAnsi="Arial" w:cs="Arial"/>
        </w:rPr>
        <w:tab/>
        <w:t>In this regar</w:t>
      </w:r>
      <w:r w:rsidR="000959DA">
        <w:rPr>
          <w:rFonts w:ascii="Arial" w:hAnsi="Arial" w:cs="Arial"/>
        </w:rPr>
        <w:t>d, Mr</w:t>
      </w:r>
      <w:r w:rsidR="00ED1D5F">
        <w:rPr>
          <w:rFonts w:ascii="Arial" w:hAnsi="Arial" w:cs="Arial"/>
        </w:rPr>
        <w:t xml:space="preserve"> Brandt had argued that the plaintiff did not give the defendants notice of cancellation o</w:t>
      </w:r>
      <w:r w:rsidR="00C801BC">
        <w:rPr>
          <w:rFonts w:ascii="Arial" w:hAnsi="Arial" w:cs="Arial"/>
        </w:rPr>
        <w:t>f the agreement. For this proposition, he</w:t>
      </w:r>
      <w:r w:rsidR="00ED1D5F">
        <w:rPr>
          <w:rFonts w:ascii="Arial" w:hAnsi="Arial" w:cs="Arial"/>
        </w:rPr>
        <w:t xml:space="preserve"> relied on some cases, one of them being </w:t>
      </w:r>
      <w:r w:rsidR="00ED1D5F">
        <w:rPr>
          <w:rFonts w:ascii="Arial" w:hAnsi="Arial" w:cs="Arial"/>
          <w:i/>
        </w:rPr>
        <w:t xml:space="preserve">Van </w:t>
      </w:r>
      <w:proofErr w:type="spellStart"/>
      <w:r w:rsidR="00ED1D5F">
        <w:rPr>
          <w:rFonts w:ascii="Arial" w:hAnsi="Arial" w:cs="Arial"/>
          <w:i/>
        </w:rPr>
        <w:t>Zyl</w:t>
      </w:r>
      <w:proofErr w:type="spellEnd"/>
      <w:r w:rsidR="00ED1D5F">
        <w:rPr>
          <w:rFonts w:ascii="Arial" w:hAnsi="Arial" w:cs="Arial"/>
          <w:i/>
        </w:rPr>
        <w:t xml:space="preserve"> v </w:t>
      </w:r>
      <w:proofErr w:type="spellStart"/>
      <w:r w:rsidR="00ED1D5F">
        <w:rPr>
          <w:rFonts w:ascii="Arial" w:hAnsi="Arial" w:cs="Arial"/>
          <w:i/>
        </w:rPr>
        <w:t>Roussow</w:t>
      </w:r>
      <w:proofErr w:type="spellEnd"/>
      <w:r w:rsidR="00ED1D5F">
        <w:rPr>
          <w:rFonts w:ascii="Arial" w:hAnsi="Arial" w:cs="Arial"/>
          <w:i/>
        </w:rPr>
        <w:t>.</w:t>
      </w:r>
      <w:r w:rsidR="00ED1D5F">
        <w:rPr>
          <w:rStyle w:val="FootnoteReference"/>
          <w:rFonts w:ascii="Arial" w:hAnsi="Arial" w:cs="Arial"/>
          <w:i/>
        </w:rPr>
        <w:footnoteReference w:id="21"/>
      </w:r>
      <w:r w:rsidR="00ED1D5F">
        <w:rPr>
          <w:rFonts w:ascii="Arial" w:hAnsi="Arial" w:cs="Arial"/>
          <w:i/>
        </w:rPr>
        <w:t xml:space="preserve"> </w:t>
      </w:r>
      <w:r w:rsidR="00ED1D5F">
        <w:rPr>
          <w:rFonts w:ascii="Arial" w:hAnsi="Arial" w:cs="Arial"/>
        </w:rPr>
        <w:t>I am accordingly satisfied</w:t>
      </w:r>
      <w:r w:rsidR="00C801BC">
        <w:rPr>
          <w:rFonts w:ascii="Arial" w:hAnsi="Arial" w:cs="Arial"/>
        </w:rPr>
        <w:t>, contrary to his argument,</w:t>
      </w:r>
      <w:r w:rsidR="00ED1D5F">
        <w:rPr>
          <w:rFonts w:ascii="Arial" w:hAnsi="Arial" w:cs="Arial"/>
        </w:rPr>
        <w:t xml:space="preserve"> that the plaintiff did give notice to the defendants as required in law although it does not seem to me, as I have found, to have been in terms of the agreement. No provision was made for the cancellation regarding the furniture and fittings as I have recorded earlier above. </w:t>
      </w:r>
      <w:r w:rsidR="00B8760F">
        <w:rPr>
          <w:rFonts w:ascii="Arial" w:hAnsi="Arial" w:cs="Arial"/>
        </w:rPr>
        <w:t>This</w:t>
      </w:r>
      <w:r w:rsidR="00C801BC">
        <w:rPr>
          <w:rFonts w:ascii="Arial" w:hAnsi="Arial" w:cs="Arial"/>
        </w:rPr>
        <w:t xml:space="preserve"> may have been done as a matter of course and </w:t>
      </w:r>
      <w:r w:rsidR="00C801BC">
        <w:rPr>
          <w:rFonts w:ascii="Arial" w:hAnsi="Arial" w:cs="Arial"/>
          <w:i/>
        </w:rPr>
        <w:t xml:space="preserve">ex </w:t>
      </w:r>
      <w:proofErr w:type="spellStart"/>
      <w:r w:rsidR="00C801BC">
        <w:rPr>
          <w:rFonts w:ascii="Arial" w:hAnsi="Arial" w:cs="Arial"/>
          <w:i/>
        </w:rPr>
        <w:t>abudanti</w:t>
      </w:r>
      <w:proofErr w:type="spellEnd"/>
      <w:r w:rsidR="00C801BC">
        <w:rPr>
          <w:rFonts w:ascii="Arial" w:hAnsi="Arial" w:cs="Arial"/>
          <w:i/>
        </w:rPr>
        <w:t xml:space="preserve"> </w:t>
      </w:r>
      <w:proofErr w:type="spellStart"/>
      <w:r w:rsidR="00C801BC">
        <w:rPr>
          <w:rFonts w:ascii="Arial" w:hAnsi="Arial" w:cs="Arial"/>
          <w:i/>
        </w:rPr>
        <w:t>cautela</w:t>
      </w:r>
      <w:proofErr w:type="spellEnd"/>
      <w:r w:rsidR="00C801BC">
        <w:rPr>
          <w:rFonts w:ascii="Arial" w:hAnsi="Arial" w:cs="Arial"/>
          <w:i/>
        </w:rPr>
        <w:t xml:space="preserve">, </w:t>
      </w:r>
      <w:r w:rsidR="00C801BC">
        <w:rPr>
          <w:rFonts w:ascii="Arial" w:hAnsi="Arial" w:cs="Arial"/>
        </w:rPr>
        <w:t>(out of the abundance of caution).</w:t>
      </w:r>
    </w:p>
    <w:p w14:paraId="3F68DCD5" w14:textId="77777777" w:rsidR="00ED1D5F" w:rsidRDefault="00ED1D5F" w:rsidP="00290290">
      <w:pPr>
        <w:spacing w:line="360" w:lineRule="auto"/>
        <w:ind w:left="360"/>
        <w:jc w:val="both"/>
        <w:rPr>
          <w:rFonts w:ascii="Arial" w:hAnsi="Arial" w:cs="Arial"/>
        </w:rPr>
      </w:pPr>
    </w:p>
    <w:p w14:paraId="34ECA681" w14:textId="07C2FFCC" w:rsidR="00ED1D5F" w:rsidRDefault="00CA60A7" w:rsidP="00CA60A7">
      <w:pPr>
        <w:spacing w:line="360" w:lineRule="auto"/>
        <w:jc w:val="both"/>
        <w:rPr>
          <w:rFonts w:ascii="Arial" w:hAnsi="Arial" w:cs="Arial"/>
        </w:rPr>
      </w:pPr>
      <w:r>
        <w:rPr>
          <w:rFonts w:ascii="Arial" w:hAnsi="Arial" w:cs="Arial"/>
        </w:rPr>
        <w:t>[1</w:t>
      </w:r>
      <w:r w:rsidR="009D2397">
        <w:rPr>
          <w:rFonts w:ascii="Arial" w:hAnsi="Arial" w:cs="Arial"/>
        </w:rPr>
        <w:t>1</w:t>
      </w:r>
      <w:r w:rsidR="00A91890">
        <w:rPr>
          <w:rFonts w:ascii="Arial" w:hAnsi="Arial" w:cs="Arial"/>
        </w:rPr>
        <w:t>5</w:t>
      </w:r>
      <w:r w:rsidR="00ED1D5F">
        <w:rPr>
          <w:rFonts w:ascii="Arial" w:hAnsi="Arial" w:cs="Arial"/>
        </w:rPr>
        <w:t>]</w:t>
      </w:r>
      <w:r w:rsidR="00ED1D5F">
        <w:rPr>
          <w:rFonts w:ascii="Arial" w:hAnsi="Arial" w:cs="Arial"/>
        </w:rPr>
        <w:tab/>
        <w:t>In this regard, I am of the considered opinion that the plaintiff</w:t>
      </w:r>
      <w:r w:rsidR="00F422C7">
        <w:rPr>
          <w:rFonts w:ascii="Arial" w:hAnsi="Arial" w:cs="Arial"/>
        </w:rPr>
        <w:t xml:space="preserve"> alleged and proved repudiation as require</w:t>
      </w:r>
      <w:r w:rsidR="00276900">
        <w:rPr>
          <w:rFonts w:ascii="Arial" w:hAnsi="Arial" w:cs="Arial"/>
        </w:rPr>
        <w:t>d of him in law. In this connection,</w:t>
      </w:r>
      <w:r w:rsidR="00F422C7">
        <w:rPr>
          <w:rFonts w:ascii="Arial" w:hAnsi="Arial" w:cs="Arial"/>
        </w:rPr>
        <w:t xml:space="preserve"> I have found that the defendants’ conduct</w:t>
      </w:r>
      <w:r w:rsidR="00B8760F">
        <w:rPr>
          <w:rFonts w:ascii="Arial" w:hAnsi="Arial" w:cs="Arial"/>
        </w:rPr>
        <w:t>,</w:t>
      </w:r>
      <w:r w:rsidR="00F422C7">
        <w:rPr>
          <w:rFonts w:ascii="Arial" w:hAnsi="Arial" w:cs="Arial"/>
        </w:rPr>
        <w:t xml:space="preserve"> objectively considered, evinced a clear and settled intention no longer to be bound by the contract. In this regard, the plaintiff, as found immediately above, elected to terminate the contract and communicated this election to the defendants as recorded above. This puts paid the</w:t>
      </w:r>
      <w:r w:rsidR="000959DA">
        <w:rPr>
          <w:rFonts w:ascii="Arial" w:hAnsi="Arial" w:cs="Arial"/>
        </w:rPr>
        <w:t xml:space="preserve"> argument to the contrary by Mr</w:t>
      </w:r>
      <w:r w:rsidR="00F422C7">
        <w:rPr>
          <w:rFonts w:ascii="Arial" w:hAnsi="Arial" w:cs="Arial"/>
        </w:rPr>
        <w:t xml:space="preserve"> Brandt.</w:t>
      </w:r>
    </w:p>
    <w:p w14:paraId="57C5C710" w14:textId="77777777" w:rsidR="00ED1D5F" w:rsidRPr="00ED1D5F" w:rsidRDefault="00ED1D5F" w:rsidP="00290290">
      <w:pPr>
        <w:spacing w:line="360" w:lineRule="auto"/>
        <w:ind w:left="360"/>
        <w:jc w:val="both"/>
        <w:rPr>
          <w:rFonts w:ascii="Arial" w:hAnsi="Arial" w:cs="Arial"/>
        </w:rPr>
      </w:pPr>
    </w:p>
    <w:p w14:paraId="16ED5E8A" w14:textId="47B14E1B" w:rsidR="002257B5" w:rsidRDefault="00A91890" w:rsidP="00CA60A7">
      <w:pPr>
        <w:spacing w:line="360" w:lineRule="auto"/>
        <w:jc w:val="both"/>
        <w:rPr>
          <w:rFonts w:ascii="Arial" w:hAnsi="Arial" w:cs="Arial"/>
        </w:rPr>
      </w:pPr>
      <w:r>
        <w:rPr>
          <w:rFonts w:ascii="Arial" w:hAnsi="Arial" w:cs="Arial"/>
        </w:rPr>
        <w:t>[116</w:t>
      </w:r>
      <w:r w:rsidR="00092F2F">
        <w:rPr>
          <w:rFonts w:ascii="Arial" w:hAnsi="Arial" w:cs="Arial"/>
        </w:rPr>
        <w:t>]</w:t>
      </w:r>
      <w:r w:rsidR="00092F2F">
        <w:rPr>
          <w:rFonts w:ascii="Arial" w:hAnsi="Arial" w:cs="Arial"/>
        </w:rPr>
        <w:tab/>
        <w:t>In view of the forego</w:t>
      </w:r>
      <w:r w:rsidR="00294EAD">
        <w:rPr>
          <w:rFonts w:ascii="Arial" w:hAnsi="Arial" w:cs="Arial"/>
        </w:rPr>
        <w:t>ing, I am of the considered opinion</w:t>
      </w:r>
      <w:r w:rsidR="00092F2F">
        <w:rPr>
          <w:rFonts w:ascii="Arial" w:hAnsi="Arial" w:cs="Arial"/>
        </w:rPr>
        <w:t xml:space="preserve"> that the plaintiff was able to d</w:t>
      </w:r>
      <w:r w:rsidR="00294EAD">
        <w:rPr>
          <w:rFonts w:ascii="Arial" w:hAnsi="Arial" w:cs="Arial"/>
        </w:rPr>
        <w:t>ischarge the onus thrust upon him</w:t>
      </w:r>
      <w:r w:rsidR="00092F2F">
        <w:rPr>
          <w:rFonts w:ascii="Arial" w:hAnsi="Arial" w:cs="Arial"/>
        </w:rPr>
        <w:t xml:space="preserve">. In my considered opinion, a case for the grant of the relief sought was made out on a balance of probabilities. On the other hand, the defendants’ case was very poor and </w:t>
      </w:r>
      <w:r w:rsidR="00276900">
        <w:rPr>
          <w:rFonts w:ascii="Arial" w:hAnsi="Arial" w:cs="Arial"/>
        </w:rPr>
        <w:t>vacillating. D</w:t>
      </w:r>
      <w:r w:rsidR="00A760B7">
        <w:rPr>
          <w:rFonts w:ascii="Arial" w:hAnsi="Arial" w:cs="Arial"/>
        </w:rPr>
        <w:t>espite his best efforts, Mr</w:t>
      </w:r>
      <w:r w:rsidR="00092F2F">
        <w:rPr>
          <w:rFonts w:ascii="Arial" w:hAnsi="Arial" w:cs="Arial"/>
        </w:rPr>
        <w:t xml:space="preserve"> Brandt could not stitch up the huge </w:t>
      </w:r>
      <w:r w:rsidR="00276900">
        <w:rPr>
          <w:rFonts w:ascii="Arial" w:hAnsi="Arial" w:cs="Arial"/>
        </w:rPr>
        <w:t xml:space="preserve">perforations and </w:t>
      </w:r>
      <w:r w:rsidR="00092F2F">
        <w:rPr>
          <w:rFonts w:ascii="Arial" w:hAnsi="Arial" w:cs="Arial"/>
        </w:rPr>
        <w:t>loophole</w:t>
      </w:r>
      <w:r w:rsidR="003570CF">
        <w:rPr>
          <w:rFonts w:ascii="Arial" w:hAnsi="Arial" w:cs="Arial"/>
        </w:rPr>
        <w:t>s</w:t>
      </w:r>
      <w:r w:rsidR="00092F2F">
        <w:rPr>
          <w:rFonts w:ascii="Arial" w:hAnsi="Arial" w:cs="Arial"/>
        </w:rPr>
        <w:t xml:space="preserve"> </w:t>
      </w:r>
      <w:r w:rsidR="003570CF">
        <w:rPr>
          <w:rFonts w:ascii="Arial" w:hAnsi="Arial" w:cs="Arial"/>
        </w:rPr>
        <w:t xml:space="preserve">to the defendants’ case </w:t>
      </w:r>
      <w:r w:rsidR="00092F2F">
        <w:rPr>
          <w:rFonts w:ascii="Arial" w:hAnsi="Arial" w:cs="Arial"/>
        </w:rPr>
        <w:t>that required clear</w:t>
      </w:r>
      <w:r w:rsidR="00877DE6">
        <w:rPr>
          <w:rFonts w:ascii="Arial" w:hAnsi="Arial" w:cs="Arial"/>
        </w:rPr>
        <w:t xml:space="preserve"> and persuasive answers that only his clients could give. This was not forthcoming</w:t>
      </w:r>
      <w:r w:rsidR="00B8760F">
        <w:rPr>
          <w:rFonts w:ascii="Arial" w:hAnsi="Arial" w:cs="Arial"/>
        </w:rPr>
        <w:t xml:space="preserve"> until the curtain on the entire trial was closed</w:t>
      </w:r>
      <w:r w:rsidR="00877DE6">
        <w:rPr>
          <w:rFonts w:ascii="Arial" w:hAnsi="Arial" w:cs="Arial"/>
        </w:rPr>
        <w:t>.</w:t>
      </w:r>
      <w:r w:rsidR="00092F2F">
        <w:rPr>
          <w:rFonts w:ascii="Arial" w:hAnsi="Arial" w:cs="Arial"/>
        </w:rPr>
        <w:t xml:space="preserve"> </w:t>
      </w:r>
    </w:p>
    <w:p w14:paraId="654A4613" w14:textId="77777777" w:rsidR="00877DE6" w:rsidRDefault="00877DE6" w:rsidP="00290290">
      <w:pPr>
        <w:spacing w:line="360" w:lineRule="auto"/>
        <w:ind w:left="360"/>
        <w:jc w:val="both"/>
        <w:rPr>
          <w:rFonts w:ascii="Arial" w:hAnsi="Arial" w:cs="Arial"/>
        </w:rPr>
      </w:pPr>
    </w:p>
    <w:p w14:paraId="26E147E3" w14:textId="77777777" w:rsidR="00A91890" w:rsidRDefault="00A91890" w:rsidP="00290290">
      <w:pPr>
        <w:spacing w:line="360" w:lineRule="auto"/>
        <w:ind w:left="360"/>
        <w:jc w:val="both"/>
        <w:rPr>
          <w:rFonts w:ascii="Arial" w:hAnsi="Arial" w:cs="Arial"/>
        </w:rPr>
      </w:pPr>
    </w:p>
    <w:p w14:paraId="6D6F2E13" w14:textId="1DF92898" w:rsidR="00877DE6" w:rsidRDefault="00877DE6" w:rsidP="00CA60A7">
      <w:pPr>
        <w:spacing w:line="360" w:lineRule="auto"/>
        <w:jc w:val="both"/>
        <w:rPr>
          <w:rFonts w:ascii="Arial" w:hAnsi="Arial" w:cs="Arial"/>
          <w:u w:val="single"/>
        </w:rPr>
      </w:pPr>
      <w:r>
        <w:rPr>
          <w:rFonts w:ascii="Arial" w:hAnsi="Arial" w:cs="Arial"/>
          <w:u w:val="single"/>
        </w:rPr>
        <w:lastRenderedPageBreak/>
        <w:t>Procedural issues</w:t>
      </w:r>
    </w:p>
    <w:p w14:paraId="5D4793AC" w14:textId="77777777" w:rsidR="00877DE6" w:rsidRDefault="00877DE6" w:rsidP="00290290">
      <w:pPr>
        <w:spacing w:line="360" w:lineRule="auto"/>
        <w:ind w:left="360"/>
        <w:jc w:val="both"/>
        <w:rPr>
          <w:rFonts w:ascii="Arial" w:hAnsi="Arial" w:cs="Arial"/>
          <w:u w:val="single"/>
        </w:rPr>
      </w:pPr>
    </w:p>
    <w:p w14:paraId="7A971366" w14:textId="35067935" w:rsidR="00877DE6" w:rsidRDefault="00A91890" w:rsidP="00CA60A7">
      <w:pPr>
        <w:spacing w:line="360" w:lineRule="auto"/>
        <w:jc w:val="both"/>
        <w:rPr>
          <w:rFonts w:ascii="Arial" w:hAnsi="Arial" w:cs="Arial"/>
        </w:rPr>
      </w:pPr>
      <w:r>
        <w:rPr>
          <w:rFonts w:ascii="Arial" w:hAnsi="Arial" w:cs="Arial"/>
        </w:rPr>
        <w:t>[117</w:t>
      </w:r>
      <w:r w:rsidR="00877DE6">
        <w:rPr>
          <w:rFonts w:ascii="Arial" w:hAnsi="Arial" w:cs="Arial"/>
        </w:rPr>
        <w:t>]</w:t>
      </w:r>
      <w:r w:rsidR="00877DE6">
        <w:rPr>
          <w:rFonts w:ascii="Arial" w:hAnsi="Arial" w:cs="Arial"/>
        </w:rPr>
        <w:tab/>
        <w:t>I am in duty bound to deal with two issues, as a matter of comment in this matter. The first relates to com</w:t>
      </w:r>
      <w:r w:rsidR="000959DA">
        <w:rPr>
          <w:rFonts w:ascii="Arial" w:hAnsi="Arial" w:cs="Arial"/>
        </w:rPr>
        <w:t>ments that were solicited by Mr</w:t>
      </w:r>
      <w:r w:rsidR="00877DE6">
        <w:rPr>
          <w:rFonts w:ascii="Arial" w:hAnsi="Arial" w:cs="Arial"/>
        </w:rPr>
        <w:t xml:space="preserve"> Brandt from the defendant regarding certain portions of the plaintiff’s witness’ statement, which I disallowed. The second issue relates to the closing submissions filed on behalf of the defendants. I will deal with the first issue first.</w:t>
      </w:r>
    </w:p>
    <w:p w14:paraId="69E0D026" w14:textId="77777777" w:rsidR="00294EAD" w:rsidRDefault="00294EAD" w:rsidP="00290290">
      <w:pPr>
        <w:spacing w:line="360" w:lineRule="auto"/>
        <w:ind w:left="360"/>
        <w:jc w:val="both"/>
        <w:rPr>
          <w:rFonts w:ascii="Arial" w:hAnsi="Arial" w:cs="Arial"/>
        </w:rPr>
      </w:pPr>
    </w:p>
    <w:p w14:paraId="709E21C9" w14:textId="44DB4B87" w:rsidR="00294EAD" w:rsidRPr="00294EAD" w:rsidRDefault="00294EAD" w:rsidP="00CA60A7">
      <w:pPr>
        <w:spacing w:line="360" w:lineRule="auto"/>
        <w:jc w:val="both"/>
        <w:rPr>
          <w:rFonts w:ascii="Arial" w:hAnsi="Arial" w:cs="Arial"/>
          <w:i/>
        </w:rPr>
      </w:pPr>
      <w:r>
        <w:rPr>
          <w:rFonts w:ascii="Arial" w:hAnsi="Arial" w:cs="Arial"/>
          <w:i/>
        </w:rPr>
        <w:t>Portions of plaint</w:t>
      </w:r>
      <w:r w:rsidR="0030436C">
        <w:rPr>
          <w:rFonts w:ascii="Arial" w:hAnsi="Arial" w:cs="Arial"/>
          <w:i/>
        </w:rPr>
        <w:t>iff’s witness put to defendant duri</w:t>
      </w:r>
      <w:r>
        <w:rPr>
          <w:rFonts w:ascii="Arial" w:hAnsi="Arial" w:cs="Arial"/>
          <w:i/>
        </w:rPr>
        <w:t>n</w:t>
      </w:r>
      <w:r w:rsidR="0030436C">
        <w:rPr>
          <w:rFonts w:ascii="Arial" w:hAnsi="Arial" w:cs="Arial"/>
          <w:i/>
        </w:rPr>
        <w:t>g</w:t>
      </w:r>
      <w:r>
        <w:rPr>
          <w:rFonts w:ascii="Arial" w:hAnsi="Arial" w:cs="Arial"/>
          <w:i/>
        </w:rPr>
        <w:t xml:space="preserve"> the latter’s sojourn in witness box</w:t>
      </w:r>
    </w:p>
    <w:p w14:paraId="11E9CA04" w14:textId="77777777" w:rsidR="00877DE6" w:rsidRDefault="00877DE6" w:rsidP="00290290">
      <w:pPr>
        <w:spacing w:line="360" w:lineRule="auto"/>
        <w:ind w:left="360"/>
        <w:jc w:val="both"/>
        <w:rPr>
          <w:rFonts w:ascii="Arial" w:hAnsi="Arial" w:cs="Arial"/>
        </w:rPr>
      </w:pPr>
    </w:p>
    <w:p w14:paraId="490D1FDA" w14:textId="52203E85" w:rsidR="00877DE6" w:rsidRDefault="00F422C7" w:rsidP="00CA60A7">
      <w:pPr>
        <w:spacing w:line="360" w:lineRule="auto"/>
        <w:jc w:val="both"/>
        <w:rPr>
          <w:rFonts w:ascii="Arial" w:hAnsi="Arial" w:cs="Arial"/>
        </w:rPr>
      </w:pPr>
      <w:r>
        <w:rPr>
          <w:rFonts w:ascii="Arial" w:hAnsi="Arial" w:cs="Arial"/>
        </w:rPr>
        <w:t>[</w:t>
      </w:r>
      <w:r w:rsidR="00A91890">
        <w:rPr>
          <w:rFonts w:ascii="Arial" w:hAnsi="Arial" w:cs="Arial"/>
        </w:rPr>
        <w:t>118</w:t>
      </w:r>
      <w:r w:rsidR="00877DE6">
        <w:rPr>
          <w:rFonts w:ascii="Arial" w:hAnsi="Arial" w:cs="Arial"/>
        </w:rPr>
        <w:t>]</w:t>
      </w:r>
      <w:r w:rsidR="00877DE6">
        <w:rPr>
          <w:rFonts w:ascii="Arial" w:hAnsi="Arial" w:cs="Arial"/>
        </w:rPr>
        <w:tab/>
      </w:r>
      <w:proofErr w:type="gramStart"/>
      <w:r w:rsidR="00877DE6">
        <w:rPr>
          <w:rFonts w:ascii="Arial" w:hAnsi="Arial" w:cs="Arial"/>
        </w:rPr>
        <w:t>After</w:t>
      </w:r>
      <w:proofErr w:type="gramEnd"/>
      <w:r w:rsidR="00877DE6">
        <w:rPr>
          <w:rFonts w:ascii="Arial" w:hAnsi="Arial" w:cs="Arial"/>
        </w:rPr>
        <w:t xml:space="preserve"> </w:t>
      </w:r>
      <w:r w:rsidR="00294EAD">
        <w:rPr>
          <w:rFonts w:ascii="Arial" w:hAnsi="Arial" w:cs="Arial"/>
        </w:rPr>
        <w:t>the defendant had finished reading</w:t>
      </w:r>
      <w:r w:rsidR="00877DE6">
        <w:rPr>
          <w:rFonts w:ascii="Arial" w:hAnsi="Arial" w:cs="Arial"/>
        </w:rPr>
        <w:t xml:space="preserve"> his stat</w:t>
      </w:r>
      <w:r w:rsidR="00294EAD">
        <w:rPr>
          <w:rFonts w:ascii="Arial" w:hAnsi="Arial" w:cs="Arial"/>
        </w:rPr>
        <w:t>ement into the record as requir</w:t>
      </w:r>
      <w:r w:rsidR="004C4431">
        <w:rPr>
          <w:rFonts w:ascii="Arial" w:hAnsi="Arial" w:cs="Arial"/>
        </w:rPr>
        <w:t>ed by rule 93</w:t>
      </w:r>
      <w:r w:rsidR="00877DE6">
        <w:rPr>
          <w:rFonts w:ascii="Arial" w:hAnsi="Arial" w:cs="Arial"/>
        </w:rPr>
        <w:t>(3), before h</w:t>
      </w:r>
      <w:r w:rsidR="000959DA">
        <w:rPr>
          <w:rFonts w:ascii="Arial" w:hAnsi="Arial" w:cs="Arial"/>
        </w:rPr>
        <w:t xml:space="preserve">e could be cross-examined by Ms De </w:t>
      </w:r>
      <w:proofErr w:type="spellStart"/>
      <w:r w:rsidR="000959DA">
        <w:rPr>
          <w:rFonts w:ascii="Arial" w:hAnsi="Arial" w:cs="Arial"/>
        </w:rPr>
        <w:t>Jager</w:t>
      </w:r>
      <w:proofErr w:type="spellEnd"/>
      <w:r w:rsidR="000959DA">
        <w:rPr>
          <w:rFonts w:ascii="Arial" w:hAnsi="Arial" w:cs="Arial"/>
        </w:rPr>
        <w:t>, Mr</w:t>
      </w:r>
      <w:r w:rsidR="00877DE6">
        <w:rPr>
          <w:rFonts w:ascii="Arial" w:hAnsi="Arial" w:cs="Arial"/>
        </w:rPr>
        <w:t xml:space="preserve"> Brandt solicited comments from the defendant regarding certain portions of the plaintiff’s witness’ statement. As indicated, I ruled this approach </w:t>
      </w:r>
      <w:r w:rsidR="00276900">
        <w:rPr>
          <w:rFonts w:ascii="Arial" w:hAnsi="Arial" w:cs="Arial"/>
        </w:rPr>
        <w:t xml:space="preserve">to be </w:t>
      </w:r>
      <w:r w:rsidR="00877DE6">
        <w:rPr>
          <w:rFonts w:ascii="Arial" w:hAnsi="Arial" w:cs="Arial"/>
        </w:rPr>
        <w:t>out of order for the reason that this raised a potential that the defendant would give answers in respect of</w:t>
      </w:r>
      <w:r w:rsidR="00276900">
        <w:rPr>
          <w:rFonts w:ascii="Arial" w:hAnsi="Arial" w:cs="Arial"/>
        </w:rPr>
        <w:t xml:space="preserve"> matters which the plaintiff could</w:t>
      </w:r>
      <w:r w:rsidR="00877DE6">
        <w:rPr>
          <w:rFonts w:ascii="Arial" w:hAnsi="Arial" w:cs="Arial"/>
        </w:rPr>
        <w:t xml:space="preserve"> no longer be called to come and deal with, having been </w:t>
      </w:r>
      <w:r w:rsidR="00B8760F">
        <w:rPr>
          <w:rFonts w:ascii="Arial" w:hAnsi="Arial" w:cs="Arial"/>
        </w:rPr>
        <w:t xml:space="preserve">properly </w:t>
      </w:r>
      <w:r w:rsidR="00877DE6">
        <w:rPr>
          <w:rFonts w:ascii="Arial" w:hAnsi="Arial" w:cs="Arial"/>
        </w:rPr>
        <w:t>excused.</w:t>
      </w:r>
    </w:p>
    <w:p w14:paraId="7930781F" w14:textId="77777777" w:rsidR="00877DE6" w:rsidRDefault="00877DE6" w:rsidP="00290290">
      <w:pPr>
        <w:spacing w:line="360" w:lineRule="auto"/>
        <w:ind w:left="360"/>
        <w:jc w:val="both"/>
        <w:rPr>
          <w:rFonts w:ascii="Arial" w:hAnsi="Arial" w:cs="Arial"/>
        </w:rPr>
      </w:pPr>
    </w:p>
    <w:p w14:paraId="04C8E5B5" w14:textId="49C94182" w:rsidR="00877DE6" w:rsidRDefault="00A91890" w:rsidP="00CA60A7">
      <w:pPr>
        <w:spacing w:line="360" w:lineRule="auto"/>
        <w:jc w:val="both"/>
        <w:rPr>
          <w:rFonts w:ascii="Arial" w:hAnsi="Arial" w:cs="Arial"/>
        </w:rPr>
      </w:pPr>
      <w:r>
        <w:rPr>
          <w:rFonts w:ascii="Arial" w:hAnsi="Arial" w:cs="Arial"/>
        </w:rPr>
        <w:t>[119</w:t>
      </w:r>
      <w:r w:rsidR="00877DE6">
        <w:rPr>
          <w:rFonts w:ascii="Arial" w:hAnsi="Arial" w:cs="Arial"/>
        </w:rPr>
        <w:t>]</w:t>
      </w:r>
      <w:r w:rsidR="00877DE6">
        <w:rPr>
          <w:rFonts w:ascii="Arial" w:hAnsi="Arial" w:cs="Arial"/>
        </w:rPr>
        <w:tab/>
        <w:t>I found this approach</w:t>
      </w:r>
      <w:r w:rsidR="0030436C">
        <w:rPr>
          <w:rFonts w:ascii="Arial" w:hAnsi="Arial" w:cs="Arial"/>
        </w:rPr>
        <w:t>,</w:t>
      </w:r>
      <w:r w:rsidR="00877DE6">
        <w:rPr>
          <w:rFonts w:ascii="Arial" w:hAnsi="Arial" w:cs="Arial"/>
        </w:rPr>
        <w:t xml:space="preserve"> not only not in keeping</w:t>
      </w:r>
      <w:r w:rsidR="00294EAD">
        <w:rPr>
          <w:rFonts w:ascii="Arial" w:hAnsi="Arial" w:cs="Arial"/>
        </w:rPr>
        <w:t xml:space="preserve"> with the rules and normal procedure</w:t>
      </w:r>
      <w:r w:rsidR="00276900">
        <w:rPr>
          <w:rFonts w:ascii="Arial" w:hAnsi="Arial" w:cs="Arial"/>
        </w:rPr>
        <w:t>s</w:t>
      </w:r>
      <w:r w:rsidR="00877DE6">
        <w:rPr>
          <w:rFonts w:ascii="Arial" w:hAnsi="Arial" w:cs="Arial"/>
        </w:rPr>
        <w:t xml:space="preserve"> of the conduct of a trial</w:t>
      </w:r>
      <w:r w:rsidR="0030436C">
        <w:rPr>
          <w:rFonts w:ascii="Arial" w:hAnsi="Arial" w:cs="Arial"/>
        </w:rPr>
        <w:t>,</w:t>
      </w:r>
      <w:r w:rsidR="00877DE6">
        <w:rPr>
          <w:rFonts w:ascii="Arial" w:hAnsi="Arial" w:cs="Arial"/>
        </w:rPr>
        <w:t xml:space="preserve"> but also potentially prejudicial to the plaintiff because the proper manner of dealing with instructions on the plaintiff’s witness’</w:t>
      </w:r>
      <w:r w:rsidR="00304774">
        <w:rPr>
          <w:rFonts w:ascii="Arial" w:hAnsi="Arial" w:cs="Arial"/>
        </w:rPr>
        <w:t>s</w:t>
      </w:r>
      <w:r w:rsidR="00877DE6">
        <w:rPr>
          <w:rFonts w:ascii="Arial" w:hAnsi="Arial" w:cs="Arial"/>
        </w:rPr>
        <w:t xml:space="preserve"> statement, is by cross-examination, where </w:t>
      </w:r>
      <w:r w:rsidR="00B8760F">
        <w:rPr>
          <w:rFonts w:ascii="Arial" w:hAnsi="Arial" w:cs="Arial"/>
        </w:rPr>
        <w:t>the defendant’s version is</w:t>
      </w:r>
      <w:r w:rsidR="00877DE6">
        <w:rPr>
          <w:rFonts w:ascii="Arial" w:hAnsi="Arial" w:cs="Arial"/>
        </w:rPr>
        <w:t xml:space="preserve"> put to the plaintiff. Where that is not done at the appropriate time, one cannot, regardless of how badly one’s case is disintegrating, </w:t>
      </w:r>
      <w:r w:rsidR="00C4393D">
        <w:rPr>
          <w:rFonts w:ascii="Arial" w:hAnsi="Arial" w:cs="Arial"/>
        </w:rPr>
        <w:t>then take advantage and put questions to deal with issues not raised in cross-examination once the plaintiff has been released and cannot be able to deal with those issues.</w:t>
      </w:r>
    </w:p>
    <w:p w14:paraId="19D67183" w14:textId="77777777" w:rsidR="00C4393D" w:rsidRDefault="00C4393D" w:rsidP="00290290">
      <w:pPr>
        <w:spacing w:line="360" w:lineRule="auto"/>
        <w:ind w:left="360"/>
        <w:jc w:val="both"/>
        <w:rPr>
          <w:rFonts w:ascii="Arial" w:hAnsi="Arial" w:cs="Arial"/>
        </w:rPr>
      </w:pPr>
    </w:p>
    <w:p w14:paraId="52CD7612" w14:textId="60601394" w:rsidR="00C4393D" w:rsidRDefault="00C468F3" w:rsidP="00CA60A7">
      <w:pPr>
        <w:spacing w:line="360" w:lineRule="auto"/>
        <w:jc w:val="both"/>
        <w:rPr>
          <w:rFonts w:ascii="Arial" w:hAnsi="Arial" w:cs="Arial"/>
        </w:rPr>
      </w:pPr>
      <w:r>
        <w:rPr>
          <w:rFonts w:ascii="Arial" w:hAnsi="Arial" w:cs="Arial"/>
        </w:rPr>
        <w:t>[</w:t>
      </w:r>
      <w:r w:rsidR="00A91890">
        <w:rPr>
          <w:rFonts w:ascii="Arial" w:hAnsi="Arial" w:cs="Arial"/>
        </w:rPr>
        <w:t>120</w:t>
      </w:r>
      <w:r w:rsidR="00C4393D">
        <w:rPr>
          <w:rFonts w:ascii="Arial" w:hAnsi="Arial" w:cs="Arial"/>
        </w:rPr>
        <w:t>]</w:t>
      </w:r>
      <w:r w:rsidR="00C4393D">
        <w:rPr>
          <w:rFonts w:ascii="Arial" w:hAnsi="Arial" w:cs="Arial"/>
        </w:rPr>
        <w:tab/>
        <w:t>If such a procedure was a</w:t>
      </w:r>
      <w:r w:rsidR="005F4B88">
        <w:rPr>
          <w:rFonts w:ascii="Arial" w:hAnsi="Arial" w:cs="Arial"/>
        </w:rPr>
        <w:t>llowed, there would be no end to</w:t>
      </w:r>
      <w:r w:rsidR="00C4393D">
        <w:rPr>
          <w:rFonts w:ascii="Arial" w:hAnsi="Arial" w:cs="Arial"/>
        </w:rPr>
        <w:t xml:space="preserve"> litigation as the plaintiff may then be entitled to be called to re-open his case, entailing further cross-examination, which may itself raise new issues that were never traversed at an earlier stage. I do hope that this judgment will assist in clarifying the permissible and impermissible in this regard. The introduction of witnesses’ statements by the new rules has not changed the rules of the game as it were, </w:t>
      </w:r>
      <w:r w:rsidR="00C4393D">
        <w:rPr>
          <w:rFonts w:ascii="Arial" w:hAnsi="Arial" w:cs="Arial"/>
        </w:rPr>
        <w:lastRenderedPageBreak/>
        <w:t>such as to allow t</w:t>
      </w:r>
      <w:r w:rsidR="000959DA">
        <w:rPr>
          <w:rFonts w:ascii="Arial" w:hAnsi="Arial" w:cs="Arial"/>
        </w:rPr>
        <w:t>he new set of questions that Mr</w:t>
      </w:r>
      <w:r w:rsidR="00C4393D">
        <w:rPr>
          <w:rFonts w:ascii="Arial" w:hAnsi="Arial" w:cs="Arial"/>
        </w:rPr>
        <w:t xml:space="preserve"> Brandt, in a genuine desire to advance his client’s case, sought to pursue. These are the reasons I declined the line of question adopted on the defendants’ behalf.</w:t>
      </w:r>
    </w:p>
    <w:p w14:paraId="0ACACEF5" w14:textId="77777777" w:rsidR="00C4393D" w:rsidRDefault="00C4393D" w:rsidP="00290290">
      <w:pPr>
        <w:spacing w:line="360" w:lineRule="auto"/>
        <w:ind w:left="360"/>
        <w:jc w:val="both"/>
        <w:rPr>
          <w:rFonts w:ascii="Arial" w:hAnsi="Arial" w:cs="Arial"/>
        </w:rPr>
      </w:pPr>
    </w:p>
    <w:p w14:paraId="359C592E" w14:textId="4A9FE96A" w:rsidR="00294EAD" w:rsidRDefault="00294EAD" w:rsidP="00CA60A7">
      <w:pPr>
        <w:spacing w:line="360" w:lineRule="auto"/>
        <w:jc w:val="both"/>
        <w:rPr>
          <w:rFonts w:ascii="Arial" w:hAnsi="Arial" w:cs="Arial"/>
          <w:i/>
        </w:rPr>
      </w:pPr>
      <w:r>
        <w:rPr>
          <w:rFonts w:ascii="Arial" w:hAnsi="Arial" w:cs="Arial"/>
          <w:i/>
        </w:rPr>
        <w:t>Compliance with Rule 130</w:t>
      </w:r>
    </w:p>
    <w:p w14:paraId="4A160A8F" w14:textId="77777777" w:rsidR="00294EAD" w:rsidRPr="00294EAD" w:rsidRDefault="00294EAD" w:rsidP="00290290">
      <w:pPr>
        <w:spacing w:line="360" w:lineRule="auto"/>
        <w:ind w:left="360"/>
        <w:jc w:val="both"/>
        <w:rPr>
          <w:rFonts w:ascii="Arial" w:hAnsi="Arial" w:cs="Arial"/>
          <w:i/>
        </w:rPr>
      </w:pPr>
    </w:p>
    <w:p w14:paraId="21723B76" w14:textId="0B7632F8" w:rsidR="00C4393D" w:rsidRDefault="009D2397" w:rsidP="00CA60A7">
      <w:pPr>
        <w:spacing w:line="360" w:lineRule="auto"/>
        <w:jc w:val="both"/>
        <w:rPr>
          <w:rFonts w:ascii="Arial" w:hAnsi="Arial" w:cs="Arial"/>
        </w:rPr>
      </w:pPr>
      <w:r>
        <w:rPr>
          <w:rFonts w:ascii="Arial" w:hAnsi="Arial" w:cs="Arial"/>
        </w:rPr>
        <w:t>[</w:t>
      </w:r>
      <w:r w:rsidR="00A91890">
        <w:rPr>
          <w:rFonts w:ascii="Arial" w:hAnsi="Arial" w:cs="Arial"/>
        </w:rPr>
        <w:t>121</w:t>
      </w:r>
      <w:r w:rsidR="00C4393D">
        <w:rPr>
          <w:rFonts w:ascii="Arial" w:hAnsi="Arial" w:cs="Arial"/>
        </w:rPr>
        <w:t>]</w:t>
      </w:r>
      <w:r w:rsidR="00C4393D">
        <w:rPr>
          <w:rFonts w:ascii="Arial" w:hAnsi="Arial" w:cs="Arial"/>
        </w:rPr>
        <w:tab/>
      </w:r>
      <w:proofErr w:type="gramStart"/>
      <w:r w:rsidR="00C4393D">
        <w:rPr>
          <w:rFonts w:ascii="Arial" w:hAnsi="Arial" w:cs="Arial"/>
        </w:rPr>
        <w:t>The</w:t>
      </w:r>
      <w:proofErr w:type="gramEnd"/>
      <w:r w:rsidR="00C4393D">
        <w:rPr>
          <w:rFonts w:ascii="Arial" w:hAnsi="Arial" w:cs="Arial"/>
        </w:rPr>
        <w:t xml:space="preserve"> last issue relates to the pro</w:t>
      </w:r>
      <w:r w:rsidR="005F4B88">
        <w:rPr>
          <w:rFonts w:ascii="Arial" w:hAnsi="Arial" w:cs="Arial"/>
        </w:rPr>
        <w:t>visions of rule 130, which deal</w:t>
      </w:r>
      <w:r w:rsidR="00C4393D">
        <w:rPr>
          <w:rFonts w:ascii="Arial" w:hAnsi="Arial" w:cs="Arial"/>
        </w:rPr>
        <w:t xml:space="preserve"> with the citation of foreign authority. The said rule reads as follows:</w:t>
      </w:r>
    </w:p>
    <w:p w14:paraId="7F541264" w14:textId="77777777" w:rsidR="00C4393D" w:rsidRDefault="00C4393D" w:rsidP="00290290">
      <w:pPr>
        <w:spacing w:line="360" w:lineRule="auto"/>
        <w:ind w:left="360"/>
        <w:jc w:val="both"/>
        <w:rPr>
          <w:rFonts w:ascii="Arial" w:hAnsi="Arial" w:cs="Arial"/>
        </w:rPr>
      </w:pPr>
    </w:p>
    <w:p w14:paraId="11D7F9FD" w14:textId="4603615C" w:rsidR="00C4393D" w:rsidRDefault="00C4393D" w:rsidP="000959DA">
      <w:pPr>
        <w:spacing w:line="360" w:lineRule="auto"/>
        <w:jc w:val="both"/>
        <w:rPr>
          <w:rFonts w:ascii="Arial" w:hAnsi="Arial" w:cs="Arial"/>
          <w:sz w:val="22"/>
          <w:szCs w:val="22"/>
        </w:rPr>
      </w:pPr>
      <w:r>
        <w:rPr>
          <w:rFonts w:ascii="Arial" w:hAnsi="Arial" w:cs="Arial"/>
        </w:rPr>
        <w:t>‘</w:t>
      </w:r>
      <w:r>
        <w:rPr>
          <w:rFonts w:ascii="Arial" w:hAnsi="Arial" w:cs="Arial"/>
          <w:sz w:val="22"/>
          <w:szCs w:val="22"/>
        </w:rPr>
        <w:t>Subject to Article 140(1) of the Namibian Constitution, where a legal practitioner in his or her heads of argument or any other written submissions or oral submissions relies on foreign authority in support of a proposition of law –</w:t>
      </w:r>
    </w:p>
    <w:p w14:paraId="3EE0486C" w14:textId="77777777" w:rsidR="005030A5" w:rsidRDefault="005030A5" w:rsidP="00290290">
      <w:pPr>
        <w:spacing w:line="360" w:lineRule="auto"/>
        <w:ind w:left="360"/>
        <w:jc w:val="both"/>
        <w:rPr>
          <w:rFonts w:ascii="Arial" w:hAnsi="Arial" w:cs="Arial"/>
          <w:sz w:val="22"/>
          <w:szCs w:val="22"/>
        </w:rPr>
      </w:pPr>
    </w:p>
    <w:p w14:paraId="7DAED0D9" w14:textId="60FF2D4C" w:rsidR="00C4393D" w:rsidRPr="005030A5" w:rsidRDefault="00C4393D" w:rsidP="000959DA">
      <w:pPr>
        <w:pStyle w:val="ListParagraph"/>
        <w:numPr>
          <w:ilvl w:val="0"/>
          <w:numId w:val="3"/>
        </w:numPr>
        <w:spacing w:line="360" w:lineRule="auto"/>
        <w:ind w:left="567" w:hanging="567"/>
        <w:jc w:val="both"/>
        <w:rPr>
          <w:rFonts w:ascii="Arial" w:hAnsi="Arial" w:cs="Arial"/>
          <w:sz w:val="22"/>
          <w:szCs w:val="22"/>
        </w:rPr>
      </w:pPr>
      <w:r w:rsidRPr="005030A5">
        <w:rPr>
          <w:rFonts w:ascii="Arial" w:hAnsi="Arial" w:cs="Arial"/>
          <w:sz w:val="22"/>
          <w:szCs w:val="22"/>
        </w:rPr>
        <w:t xml:space="preserve">he or she must certify that he or she is unable after </w:t>
      </w:r>
      <w:r w:rsidR="005030A5" w:rsidRPr="005030A5">
        <w:rPr>
          <w:rFonts w:ascii="Arial" w:hAnsi="Arial" w:cs="Arial"/>
          <w:sz w:val="22"/>
          <w:szCs w:val="22"/>
        </w:rPr>
        <w:t>(</w:t>
      </w:r>
      <w:r w:rsidR="005030A5" w:rsidRPr="005030A5">
        <w:rPr>
          <w:rFonts w:ascii="Arial" w:hAnsi="Arial" w:cs="Arial"/>
          <w:i/>
          <w:sz w:val="22"/>
          <w:szCs w:val="22"/>
        </w:rPr>
        <w:t>sic</w:t>
      </w:r>
      <w:r w:rsidR="005030A5" w:rsidRPr="005030A5">
        <w:rPr>
          <w:rFonts w:ascii="Arial" w:hAnsi="Arial" w:cs="Arial"/>
          <w:sz w:val="22"/>
          <w:szCs w:val="22"/>
        </w:rPr>
        <w:t xml:space="preserve">) </w:t>
      </w:r>
      <w:r w:rsidRPr="005030A5">
        <w:rPr>
          <w:rFonts w:ascii="Arial" w:hAnsi="Arial" w:cs="Arial"/>
          <w:sz w:val="22"/>
          <w:szCs w:val="22"/>
        </w:rPr>
        <w:t>diligent</w:t>
      </w:r>
      <w:r w:rsidR="005030A5" w:rsidRPr="005030A5">
        <w:rPr>
          <w:rFonts w:ascii="Arial" w:hAnsi="Arial" w:cs="Arial"/>
          <w:sz w:val="22"/>
          <w:szCs w:val="22"/>
        </w:rPr>
        <w:t xml:space="preserve"> search to find Namibian authority on the proposition of law under consideration; and</w:t>
      </w:r>
    </w:p>
    <w:p w14:paraId="3D4720F7" w14:textId="4E145321" w:rsidR="005030A5" w:rsidRDefault="005030A5" w:rsidP="000959DA">
      <w:pPr>
        <w:pStyle w:val="ListParagraph"/>
        <w:numPr>
          <w:ilvl w:val="0"/>
          <w:numId w:val="3"/>
        </w:numPr>
        <w:spacing w:line="360" w:lineRule="auto"/>
        <w:ind w:left="567" w:hanging="567"/>
        <w:jc w:val="both"/>
        <w:rPr>
          <w:rFonts w:ascii="Arial" w:hAnsi="Arial" w:cs="Arial"/>
          <w:sz w:val="22"/>
          <w:szCs w:val="22"/>
        </w:rPr>
      </w:pPr>
      <w:r>
        <w:rPr>
          <w:rFonts w:ascii="Arial" w:hAnsi="Arial" w:cs="Arial"/>
          <w:sz w:val="22"/>
          <w:szCs w:val="22"/>
        </w:rPr>
        <w:t>whether or not Namibian authority is available on the point, he or she must certify that he or she has satisfied himself or herself that there is no Namibian law, including the Namibian Constitution, that the foreign authority is said to establish.’</w:t>
      </w:r>
    </w:p>
    <w:p w14:paraId="7CC5F4D9" w14:textId="77777777" w:rsidR="005030A5" w:rsidRDefault="005030A5" w:rsidP="005030A5">
      <w:pPr>
        <w:spacing w:line="360" w:lineRule="auto"/>
        <w:ind w:left="360"/>
        <w:jc w:val="both"/>
        <w:rPr>
          <w:rFonts w:ascii="Arial" w:hAnsi="Arial" w:cs="Arial"/>
          <w:sz w:val="22"/>
          <w:szCs w:val="22"/>
        </w:rPr>
      </w:pPr>
    </w:p>
    <w:p w14:paraId="36C29CD7" w14:textId="54A89F12" w:rsidR="005030A5" w:rsidRDefault="00A91890" w:rsidP="00CA60A7">
      <w:pPr>
        <w:spacing w:line="360" w:lineRule="auto"/>
        <w:jc w:val="both"/>
        <w:rPr>
          <w:rFonts w:ascii="Arial" w:hAnsi="Arial" w:cs="Arial"/>
        </w:rPr>
      </w:pPr>
      <w:r>
        <w:rPr>
          <w:rFonts w:ascii="Arial" w:hAnsi="Arial" w:cs="Arial"/>
        </w:rPr>
        <w:t>[122</w:t>
      </w:r>
      <w:r w:rsidR="000959DA">
        <w:rPr>
          <w:rFonts w:ascii="Arial" w:hAnsi="Arial" w:cs="Arial"/>
        </w:rPr>
        <w:t>]</w:t>
      </w:r>
      <w:r w:rsidR="000959DA">
        <w:rPr>
          <w:rFonts w:ascii="Arial" w:hAnsi="Arial" w:cs="Arial"/>
        </w:rPr>
        <w:tab/>
      </w:r>
      <w:proofErr w:type="gramStart"/>
      <w:r w:rsidR="000959DA">
        <w:rPr>
          <w:rFonts w:ascii="Arial" w:hAnsi="Arial" w:cs="Arial"/>
        </w:rPr>
        <w:t>In</w:t>
      </w:r>
      <w:proofErr w:type="gramEnd"/>
      <w:r w:rsidR="000959DA">
        <w:rPr>
          <w:rFonts w:ascii="Arial" w:hAnsi="Arial" w:cs="Arial"/>
        </w:rPr>
        <w:t xml:space="preserve"> the instant case, Mr</w:t>
      </w:r>
      <w:r w:rsidR="005030A5">
        <w:rPr>
          <w:rFonts w:ascii="Arial" w:hAnsi="Arial" w:cs="Arial"/>
        </w:rPr>
        <w:t xml:space="preserve"> Brandt, for the defendants seems to have done a remarkable work in d</w:t>
      </w:r>
      <w:r w:rsidR="00294EAD">
        <w:rPr>
          <w:rFonts w:ascii="Arial" w:hAnsi="Arial" w:cs="Arial"/>
        </w:rPr>
        <w:t>oing his research. In his written</w:t>
      </w:r>
      <w:r w:rsidR="005030A5">
        <w:rPr>
          <w:rFonts w:ascii="Arial" w:hAnsi="Arial" w:cs="Arial"/>
        </w:rPr>
        <w:t xml:space="preserve"> submissions, he quoted a</w:t>
      </w:r>
      <w:r w:rsidR="005F4B88">
        <w:rPr>
          <w:rFonts w:ascii="Arial" w:hAnsi="Arial" w:cs="Arial"/>
        </w:rPr>
        <w:t>n unprecedented</w:t>
      </w:r>
      <w:r w:rsidR="005030A5">
        <w:rPr>
          <w:rFonts w:ascii="Arial" w:hAnsi="Arial" w:cs="Arial"/>
        </w:rPr>
        <w:t xml:space="preserve"> whooping 126 cases from South Africa and certified that despite a diligent search, he could not find Namibian authority on the legal propositions</w:t>
      </w:r>
      <w:r w:rsidR="00294EAD">
        <w:rPr>
          <w:rFonts w:ascii="Arial" w:hAnsi="Arial" w:cs="Arial"/>
        </w:rPr>
        <w:t xml:space="preserve"> canvassed</w:t>
      </w:r>
      <w:r w:rsidR="005030A5">
        <w:rPr>
          <w:rFonts w:ascii="Arial" w:hAnsi="Arial" w:cs="Arial"/>
        </w:rPr>
        <w:t xml:space="preserve">. This is simply incorrect as there are cases in this jurisdiction that deal with </w:t>
      </w:r>
      <w:r w:rsidR="00294EAD">
        <w:rPr>
          <w:rFonts w:ascii="Arial" w:hAnsi="Arial" w:cs="Arial"/>
        </w:rPr>
        <w:t xml:space="preserve">some of </w:t>
      </w:r>
      <w:r w:rsidR="005030A5">
        <w:rPr>
          <w:rFonts w:ascii="Arial" w:hAnsi="Arial" w:cs="Arial"/>
        </w:rPr>
        <w:t>the legal propositions he relied on.</w:t>
      </w:r>
    </w:p>
    <w:p w14:paraId="74F6837B" w14:textId="77777777" w:rsidR="00B725A1" w:rsidRDefault="00B725A1" w:rsidP="005030A5">
      <w:pPr>
        <w:spacing w:line="360" w:lineRule="auto"/>
        <w:ind w:left="360"/>
        <w:jc w:val="both"/>
        <w:rPr>
          <w:rFonts w:ascii="Arial" w:hAnsi="Arial" w:cs="Arial"/>
        </w:rPr>
      </w:pPr>
    </w:p>
    <w:p w14:paraId="3B597B39" w14:textId="15FA040E" w:rsidR="005030A5" w:rsidRDefault="00A91890" w:rsidP="00CA60A7">
      <w:pPr>
        <w:spacing w:line="360" w:lineRule="auto"/>
        <w:jc w:val="both"/>
        <w:rPr>
          <w:rFonts w:ascii="Arial" w:hAnsi="Arial" w:cs="Arial"/>
        </w:rPr>
      </w:pPr>
      <w:r>
        <w:rPr>
          <w:rFonts w:ascii="Arial" w:hAnsi="Arial" w:cs="Arial"/>
        </w:rPr>
        <w:t>[123</w:t>
      </w:r>
      <w:r w:rsidR="005030A5">
        <w:rPr>
          <w:rFonts w:ascii="Arial" w:hAnsi="Arial" w:cs="Arial"/>
        </w:rPr>
        <w:t>]</w:t>
      </w:r>
      <w:r w:rsidR="005030A5">
        <w:rPr>
          <w:rFonts w:ascii="Arial" w:hAnsi="Arial" w:cs="Arial"/>
        </w:rPr>
        <w:tab/>
        <w:t xml:space="preserve">In this regard, this court has commented on the need for legal practitioners to take the certificate in terms of this rule seriously and why this should be so. In </w:t>
      </w:r>
      <w:proofErr w:type="spellStart"/>
      <w:r w:rsidR="00E8054B">
        <w:rPr>
          <w:rFonts w:ascii="Arial" w:hAnsi="Arial" w:cs="Arial"/>
          <w:i/>
        </w:rPr>
        <w:t>Quenet</w:t>
      </w:r>
      <w:proofErr w:type="spellEnd"/>
      <w:r w:rsidR="00E8054B">
        <w:rPr>
          <w:rFonts w:ascii="Arial" w:hAnsi="Arial" w:cs="Arial"/>
          <w:i/>
        </w:rPr>
        <w:t xml:space="preserve"> Capital (Pty) Ltd v </w:t>
      </w:r>
      <w:proofErr w:type="spellStart"/>
      <w:r w:rsidR="00E8054B">
        <w:rPr>
          <w:rFonts w:ascii="Arial" w:hAnsi="Arial" w:cs="Arial"/>
          <w:i/>
        </w:rPr>
        <w:t>Transnamib</w:t>
      </w:r>
      <w:proofErr w:type="spellEnd"/>
      <w:r w:rsidR="00E8054B">
        <w:rPr>
          <w:rFonts w:ascii="Arial" w:hAnsi="Arial" w:cs="Arial"/>
          <w:i/>
        </w:rPr>
        <w:t>,</w:t>
      </w:r>
      <w:r w:rsidR="00E8054B">
        <w:rPr>
          <w:rStyle w:val="FootnoteReference"/>
          <w:rFonts w:ascii="Arial" w:hAnsi="Arial" w:cs="Arial"/>
          <w:i/>
        </w:rPr>
        <w:footnoteReference w:id="22"/>
      </w:r>
      <w:r w:rsidR="00E8054B">
        <w:rPr>
          <w:rFonts w:ascii="Arial" w:hAnsi="Arial" w:cs="Arial"/>
          <w:i/>
        </w:rPr>
        <w:t xml:space="preserve"> </w:t>
      </w:r>
      <w:r w:rsidR="00E8054B">
        <w:rPr>
          <w:rFonts w:ascii="Arial" w:hAnsi="Arial" w:cs="Arial"/>
        </w:rPr>
        <w:t>the court remarked on certificates willy-nilly filed by some practitioners, as follows:</w:t>
      </w:r>
    </w:p>
    <w:p w14:paraId="3DFB29CC" w14:textId="77777777" w:rsidR="00E8054B" w:rsidRDefault="00E8054B" w:rsidP="005030A5">
      <w:pPr>
        <w:spacing w:line="360" w:lineRule="auto"/>
        <w:ind w:left="360"/>
        <w:jc w:val="both"/>
        <w:rPr>
          <w:rFonts w:ascii="Arial" w:hAnsi="Arial" w:cs="Arial"/>
        </w:rPr>
      </w:pPr>
    </w:p>
    <w:p w14:paraId="23265F25" w14:textId="0F0397F7" w:rsidR="00E8054B" w:rsidRDefault="00E8054B" w:rsidP="000959DA">
      <w:pPr>
        <w:spacing w:line="360" w:lineRule="auto"/>
        <w:jc w:val="both"/>
        <w:rPr>
          <w:rFonts w:ascii="Arial" w:hAnsi="Arial" w:cs="Arial"/>
          <w:sz w:val="22"/>
          <w:szCs w:val="22"/>
        </w:rPr>
      </w:pPr>
      <w:r>
        <w:rPr>
          <w:rFonts w:ascii="Arial" w:hAnsi="Arial" w:cs="Arial"/>
        </w:rPr>
        <w:lastRenderedPageBreak/>
        <w:t>‘</w:t>
      </w:r>
      <w:r>
        <w:rPr>
          <w:rFonts w:ascii="Arial" w:hAnsi="Arial" w:cs="Arial"/>
          <w:sz w:val="22"/>
          <w:szCs w:val="22"/>
        </w:rPr>
        <w:t>[32] I note that most practitioners do not pay heed to the latter certification at all. That should not be the case. In relation to the former, it must be mentioned that the requirements of this rule are not pedantic and a mere shibboleth or religious incantation to be mumbled as a magic wand. The rule is to ensure homogenous growth and development of autochthonous jurisprudence and also to avoid conflicting judgments ushered in by foreign judgments which may unwittingly filter into our jurisprudence and bring uncertainty and hence confusion.</w:t>
      </w:r>
    </w:p>
    <w:p w14:paraId="17E98C71" w14:textId="77777777" w:rsidR="00CA60A7" w:rsidRDefault="00CA60A7" w:rsidP="00CA60A7">
      <w:pPr>
        <w:spacing w:line="360" w:lineRule="auto"/>
        <w:ind w:firstLine="360"/>
        <w:jc w:val="both"/>
        <w:rPr>
          <w:rFonts w:ascii="Arial" w:hAnsi="Arial" w:cs="Arial"/>
          <w:sz w:val="22"/>
          <w:szCs w:val="22"/>
        </w:rPr>
      </w:pPr>
    </w:p>
    <w:p w14:paraId="119F7A30" w14:textId="3EC4CC17" w:rsidR="00E8054B" w:rsidRDefault="00E8054B" w:rsidP="00CA60A7">
      <w:pPr>
        <w:spacing w:line="360" w:lineRule="auto"/>
        <w:jc w:val="both"/>
        <w:rPr>
          <w:rFonts w:ascii="Arial" w:hAnsi="Arial" w:cs="Arial"/>
          <w:sz w:val="22"/>
          <w:szCs w:val="22"/>
        </w:rPr>
      </w:pPr>
      <w:r>
        <w:rPr>
          <w:rFonts w:ascii="Arial" w:hAnsi="Arial" w:cs="Arial"/>
          <w:sz w:val="22"/>
          <w:szCs w:val="22"/>
        </w:rPr>
        <w:t>[33] It is incorrect for a legal practitioner to rely on foreign authority when local authority on the subject abounds. In the instant case, most of the cases relied on by the applicant’s legal representative were obtained from the Republic of South Africa</w:t>
      </w:r>
      <w:r w:rsidR="00FC7FD0">
        <w:rPr>
          <w:rFonts w:ascii="Arial" w:hAnsi="Arial" w:cs="Arial"/>
          <w:sz w:val="22"/>
          <w:szCs w:val="22"/>
        </w:rPr>
        <w:t xml:space="preserve"> and they relate to legal propositions which abound in this jurisdiction. That this is the case can be seen from the local case law that decorates this judgment.</w:t>
      </w:r>
    </w:p>
    <w:p w14:paraId="339D90B2" w14:textId="77777777" w:rsidR="00FC7FD0" w:rsidRDefault="00FC7FD0" w:rsidP="005030A5">
      <w:pPr>
        <w:spacing w:line="360" w:lineRule="auto"/>
        <w:ind w:left="360"/>
        <w:jc w:val="both"/>
        <w:rPr>
          <w:rFonts w:ascii="Arial" w:hAnsi="Arial" w:cs="Arial"/>
          <w:sz w:val="22"/>
          <w:szCs w:val="22"/>
        </w:rPr>
      </w:pPr>
    </w:p>
    <w:p w14:paraId="1ED65684" w14:textId="5ADCA085" w:rsidR="00FC7FD0" w:rsidRDefault="00FC7FD0" w:rsidP="00CA60A7">
      <w:pPr>
        <w:spacing w:line="360" w:lineRule="auto"/>
        <w:jc w:val="both"/>
        <w:rPr>
          <w:rFonts w:ascii="Arial" w:hAnsi="Arial" w:cs="Arial"/>
          <w:sz w:val="22"/>
          <w:szCs w:val="22"/>
        </w:rPr>
      </w:pPr>
      <w:r>
        <w:rPr>
          <w:rFonts w:ascii="Arial" w:hAnsi="Arial" w:cs="Arial"/>
          <w:sz w:val="22"/>
          <w:szCs w:val="22"/>
        </w:rPr>
        <w:t>[34]</w:t>
      </w:r>
      <w:r>
        <w:rPr>
          <w:rFonts w:ascii="Arial" w:hAnsi="Arial" w:cs="Arial"/>
          <w:sz w:val="22"/>
          <w:szCs w:val="22"/>
        </w:rPr>
        <w:tab/>
        <w:t>Mere lip service to the requirements of rule 130 will not do. Practitioners must appreciate that the court takes and is entitled to take their word, including any certification by them on the face of it and as a bank guaranteed cheque. This is so because they occupy an especial position of being officers of the court. If the court must start investigating the true circumstances behind a legal practitioner’s certificate, it is a sign that we have tough times ahead and that a legal practitioner’s certificate may be well returned marked “refer to the drawer.”’</w:t>
      </w:r>
    </w:p>
    <w:p w14:paraId="47B15F06" w14:textId="77777777" w:rsidR="00BC0086" w:rsidRDefault="00BC0086" w:rsidP="00BC0086">
      <w:pPr>
        <w:spacing w:line="360" w:lineRule="auto"/>
        <w:jc w:val="both"/>
        <w:rPr>
          <w:rFonts w:ascii="Arial" w:hAnsi="Arial" w:cs="Arial"/>
          <w:sz w:val="22"/>
          <w:szCs w:val="22"/>
        </w:rPr>
      </w:pPr>
    </w:p>
    <w:p w14:paraId="708BAF98" w14:textId="73BB299A" w:rsidR="00FC7FD0" w:rsidRDefault="00A91890" w:rsidP="00BC0086">
      <w:pPr>
        <w:spacing w:line="360" w:lineRule="auto"/>
        <w:jc w:val="both"/>
        <w:rPr>
          <w:rFonts w:ascii="Arial" w:hAnsi="Arial" w:cs="Arial"/>
        </w:rPr>
      </w:pPr>
      <w:r>
        <w:rPr>
          <w:rFonts w:ascii="Arial" w:hAnsi="Arial" w:cs="Arial"/>
        </w:rPr>
        <w:t>[124</w:t>
      </w:r>
      <w:r w:rsidR="00FC7FD0">
        <w:rPr>
          <w:rFonts w:ascii="Arial" w:hAnsi="Arial" w:cs="Arial"/>
        </w:rPr>
        <w:t>]</w:t>
      </w:r>
      <w:r w:rsidR="00FC7FD0">
        <w:rPr>
          <w:rFonts w:ascii="Arial" w:hAnsi="Arial" w:cs="Arial"/>
        </w:rPr>
        <w:tab/>
        <w:t>I fully embrace these remarks as being apposite in the instant matter. Legal practitioners should therefor take the certificates they sign seriously and not merely go through the motions required by the rule maker.</w:t>
      </w:r>
    </w:p>
    <w:p w14:paraId="2ABAFDA4" w14:textId="77777777" w:rsidR="00FC7FD0" w:rsidRDefault="00FC7FD0" w:rsidP="005030A5">
      <w:pPr>
        <w:spacing w:line="360" w:lineRule="auto"/>
        <w:ind w:left="360"/>
        <w:jc w:val="both"/>
        <w:rPr>
          <w:rFonts w:ascii="Arial" w:hAnsi="Arial" w:cs="Arial"/>
        </w:rPr>
      </w:pPr>
    </w:p>
    <w:p w14:paraId="6226DC6C" w14:textId="57EECFC7" w:rsidR="00FC7FD0" w:rsidRDefault="009D2397" w:rsidP="00BC0086">
      <w:pPr>
        <w:spacing w:line="360" w:lineRule="auto"/>
        <w:jc w:val="both"/>
        <w:rPr>
          <w:rFonts w:ascii="Arial" w:hAnsi="Arial" w:cs="Arial"/>
        </w:rPr>
      </w:pPr>
      <w:r>
        <w:rPr>
          <w:rFonts w:ascii="Arial" w:hAnsi="Arial" w:cs="Arial"/>
        </w:rPr>
        <w:t>[1</w:t>
      </w:r>
      <w:r w:rsidR="00A91890">
        <w:rPr>
          <w:rFonts w:ascii="Arial" w:hAnsi="Arial" w:cs="Arial"/>
        </w:rPr>
        <w:t>25</w:t>
      </w:r>
      <w:r w:rsidR="00FC7FD0">
        <w:rPr>
          <w:rFonts w:ascii="Arial" w:hAnsi="Arial" w:cs="Arial"/>
        </w:rPr>
        <w:t>]</w:t>
      </w:r>
      <w:r w:rsidR="00FC7FD0">
        <w:rPr>
          <w:rFonts w:ascii="Arial" w:hAnsi="Arial" w:cs="Arial"/>
        </w:rPr>
        <w:tab/>
        <w:t>Anot</w:t>
      </w:r>
      <w:r w:rsidR="000959DA">
        <w:rPr>
          <w:rFonts w:ascii="Arial" w:hAnsi="Arial" w:cs="Arial"/>
        </w:rPr>
        <w:t>her related matter regarding Mr</w:t>
      </w:r>
      <w:r w:rsidR="00FC7FD0">
        <w:rPr>
          <w:rFonts w:ascii="Arial" w:hAnsi="Arial" w:cs="Arial"/>
        </w:rPr>
        <w:t xml:space="preserve"> Brandt’s written submissions is that most of the numerous cases cited</w:t>
      </w:r>
      <w:r w:rsidR="005F4B88">
        <w:rPr>
          <w:rFonts w:ascii="Arial" w:hAnsi="Arial" w:cs="Arial"/>
        </w:rPr>
        <w:t>,</w:t>
      </w:r>
      <w:r w:rsidR="00FC7FD0">
        <w:rPr>
          <w:rFonts w:ascii="Arial" w:hAnsi="Arial" w:cs="Arial"/>
        </w:rPr>
        <w:t xml:space="preserve"> did not refer to particular pages, paragraphs or excerpts relied upon. For one, including the court</w:t>
      </w:r>
      <w:r w:rsidR="005F4B88">
        <w:rPr>
          <w:rFonts w:ascii="Arial" w:hAnsi="Arial" w:cs="Arial"/>
        </w:rPr>
        <w:t>,</w:t>
      </w:r>
      <w:r w:rsidR="00FC7FD0">
        <w:rPr>
          <w:rFonts w:ascii="Arial" w:hAnsi="Arial" w:cs="Arial"/>
        </w:rPr>
        <w:t xml:space="preserve"> to know where the argument advanced is predicated, one needs to plough through the entire 126 cases and try and fathom</w:t>
      </w:r>
      <w:r w:rsidR="008C0A43">
        <w:rPr>
          <w:rFonts w:ascii="Arial" w:hAnsi="Arial" w:cs="Arial"/>
        </w:rPr>
        <w:t>, with guesswork the main contributor, as to the correct portion relied on. T</w:t>
      </w:r>
      <w:r w:rsidR="00FC7FD0">
        <w:rPr>
          <w:rFonts w:ascii="Arial" w:hAnsi="Arial" w:cs="Arial"/>
        </w:rPr>
        <w:t xml:space="preserve">hat is not </w:t>
      </w:r>
      <w:r w:rsidR="005F4B88">
        <w:rPr>
          <w:rFonts w:ascii="Arial" w:hAnsi="Arial" w:cs="Arial"/>
        </w:rPr>
        <w:t xml:space="preserve">desirable, </w:t>
      </w:r>
      <w:r w:rsidR="00FC7FD0">
        <w:rPr>
          <w:rFonts w:ascii="Arial" w:hAnsi="Arial" w:cs="Arial"/>
        </w:rPr>
        <w:t>proper or fair both to the court and the other side.</w:t>
      </w:r>
      <w:r w:rsidR="001F26BE">
        <w:rPr>
          <w:rFonts w:ascii="Arial" w:hAnsi="Arial" w:cs="Arial"/>
        </w:rPr>
        <w:t xml:space="preserve"> Judges are</w:t>
      </w:r>
      <w:r w:rsidR="008C0A43">
        <w:rPr>
          <w:rFonts w:ascii="Arial" w:hAnsi="Arial" w:cs="Arial"/>
        </w:rPr>
        <w:t xml:space="preserve"> not necessarily impressed by the high number of cases referred to</w:t>
      </w:r>
      <w:r w:rsidR="005F4B88">
        <w:rPr>
          <w:rFonts w:ascii="Arial" w:hAnsi="Arial" w:cs="Arial"/>
        </w:rPr>
        <w:t>,</w:t>
      </w:r>
      <w:r w:rsidR="008C0A43">
        <w:rPr>
          <w:rFonts w:ascii="Arial" w:hAnsi="Arial" w:cs="Arial"/>
        </w:rPr>
        <w:t xml:space="preserve"> as much as a few cases</w:t>
      </w:r>
      <w:r w:rsidR="005F4B88">
        <w:rPr>
          <w:rFonts w:ascii="Arial" w:hAnsi="Arial" w:cs="Arial"/>
        </w:rPr>
        <w:t>,</w:t>
      </w:r>
      <w:r w:rsidR="008C0A43">
        <w:rPr>
          <w:rFonts w:ascii="Arial" w:hAnsi="Arial" w:cs="Arial"/>
        </w:rPr>
        <w:t xml:space="preserve"> with clear and discernible portions relied on </w:t>
      </w:r>
      <w:r w:rsidR="005F4B88">
        <w:rPr>
          <w:rFonts w:ascii="Arial" w:hAnsi="Arial" w:cs="Arial"/>
        </w:rPr>
        <w:t xml:space="preserve">and </w:t>
      </w:r>
      <w:r w:rsidR="008C0A43">
        <w:rPr>
          <w:rFonts w:ascii="Arial" w:hAnsi="Arial" w:cs="Arial"/>
        </w:rPr>
        <w:t>which can be identified readily with no particular difficulty.</w:t>
      </w:r>
      <w:r w:rsidR="00294EAD">
        <w:rPr>
          <w:rFonts w:ascii="Arial" w:hAnsi="Arial" w:cs="Arial"/>
        </w:rPr>
        <w:t xml:space="preserve"> We do hope </w:t>
      </w:r>
      <w:r w:rsidR="00294EAD">
        <w:rPr>
          <w:rFonts w:ascii="Arial" w:hAnsi="Arial" w:cs="Arial"/>
        </w:rPr>
        <w:lastRenderedPageBreak/>
        <w:t xml:space="preserve">that with time, our rules will be tailored on similar lines as those of Supreme Court in which a limit to </w:t>
      </w:r>
      <w:r w:rsidR="005F4B88">
        <w:rPr>
          <w:rFonts w:ascii="Arial" w:hAnsi="Arial" w:cs="Arial"/>
        </w:rPr>
        <w:t xml:space="preserve">the number of authorities </w:t>
      </w:r>
      <w:r w:rsidR="00294EAD">
        <w:rPr>
          <w:rFonts w:ascii="Arial" w:hAnsi="Arial" w:cs="Arial"/>
        </w:rPr>
        <w:t>authority</w:t>
      </w:r>
      <w:r w:rsidR="005F4B88">
        <w:rPr>
          <w:rFonts w:ascii="Arial" w:hAnsi="Arial" w:cs="Arial"/>
        </w:rPr>
        <w:t xml:space="preserve"> relied on</w:t>
      </w:r>
      <w:r w:rsidR="00294EAD">
        <w:rPr>
          <w:rFonts w:ascii="Arial" w:hAnsi="Arial" w:cs="Arial"/>
        </w:rPr>
        <w:t xml:space="preserve"> has been introduced.</w:t>
      </w:r>
    </w:p>
    <w:p w14:paraId="43827521" w14:textId="77777777" w:rsidR="001F26BE" w:rsidRDefault="001F26BE" w:rsidP="005030A5">
      <w:pPr>
        <w:spacing w:line="360" w:lineRule="auto"/>
        <w:ind w:left="360"/>
        <w:jc w:val="both"/>
        <w:rPr>
          <w:rFonts w:ascii="Arial" w:hAnsi="Arial" w:cs="Arial"/>
        </w:rPr>
      </w:pPr>
    </w:p>
    <w:p w14:paraId="78EC347F" w14:textId="41ED72C6" w:rsidR="009F2F79" w:rsidRDefault="009F2F79" w:rsidP="00BC0086">
      <w:pPr>
        <w:spacing w:line="360" w:lineRule="auto"/>
        <w:jc w:val="both"/>
        <w:rPr>
          <w:rFonts w:ascii="Arial" w:hAnsi="Arial" w:cs="Arial"/>
        </w:rPr>
      </w:pPr>
      <w:r>
        <w:rPr>
          <w:rFonts w:ascii="Arial" w:hAnsi="Arial" w:cs="Arial"/>
        </w:rPr>
        <w:t>[</w:t>
      </w:r>
      <w:r w:rsidR="00A91890">
        <w:rPr>
          <w:rFonts w:ascii="Arial" w:hAnsi="Arial" w:cs="Arial"/>
        </w:rPr>
        <w:t>126</w:t>
      </w:r>
      <w:r>
        <w:rPr>
          <w:rFonts w:ascii="Arial" w:hAnsi="Arial" w:cs="Arial"/>
        </w:rPr>
        <w:t>]</w:t>
      </w:r>
      <w:r>
        <w:rPr>
          <w:rFonts w:ascii="Arial" w:hAnsi="Arial" w:cs="Arial"/>
        </w:rPr>
        <w:tab/>
        <w:t xml:space="preserve">In </w:t>
      </w:r>
      <w:r>
        <w:rPr>
          <w:rFonts w:ascii="Arial" w:hAnsi="Arial" w:cs="Arial"/>
          <w:i/>
        </w:rPr>
        <w:t xml:space="preserve">S v </w:t>
      </w:r>
      <w:proofErr w:type="spellStart"/>
      <w:r>
        <w:rPr>
          <w:rFonts w:ascii="Arial" w:hAnsi="Arial" w:cs="Arial"/>
          <w:i/>
        </w:rPr>
        <w:t>Ntuli</w:t>
      </w:r>
      <w:proofErr w:type="spellEnd"/>
      <w:r>
        <w:rPr>
          <w:rStyle w:val="FootnoteReference"/>
          <w:rFonts w:ascii="Arial" w:hAnsi="Arial" w:cs="Arial"/>
          <w:i/>
        </w:rPr>
        <w:footnoteReference w:id="23"/>
      </w:r>
      <w:r>
        <w:rPr>
          <w:rFonts w:ascii="Arial" w:hAnsi="Arial" w:cs="Arial"/>
          <w:i/>
        </w:rPr>
        <w:t xml:space="preserve"> </w:t>
      </w:r>
      <w:r>
        <w:rPr>
          <w:rFonts w:ascii="Arial" w:hAnsi="Arial" w:cs="Arial"/>
        </w:rPr>
        <w:t>Marcus A.J. had the following to say regarding the function of heads of argument in court proceedings:</w:t>
      </w:r>
    </w:p>
    <w:p w14:paraId="480BF8B2" w14:textId="77777777" w:rsidR="009F2F79" w:rsidRDefault="009F2F79" w:rsidP="005030A5">
      <w:pPr>
        <w:spacing w:line="360" w:lineRule="auto"/>
        <w:ind w:left="360"/>
        <w:jc w:val="both"/>
        <w:rPr>
          <w:rFonts w:ascii="Arial" w:hAnsi="Arial" w:cs="Arial"/>
        </w:rPr>
      </w:pPr>
    </w:p>
    <w:p w14:paraId="2FAE8D82" w14:textId="7AA3C78C" w:rsidR="009F2F79" w:rsidRDefault="009F2F79" w:rsidP="000959DA">
      <w:pPr>
        <w:spacing w:line="360" w:lineRule="auto"/>
        <w:jc w:val="both"/>
        <w:rPr>
          <w:rFonts w:ascii="Arial" w:hAnsi="Arial" w:cs="Arial"/>
          <w:sz w:val="22"/>
          <w:szCs w:val="22"/>
        </w:rPr>
      </w:pPr>
      <w:r>
        <w:rPr>
          <w:rFonts w:ascii="Arial" w:hAnsi="Arial" w:cs="Arial"/>
        </w:rPr>
        <w:t>‘</w:t>
      </w:r>
      <w:r>
        <w:rPr>
          <w:rFonts w:ascii="Arial" w:hAnsi="Arial" w:cs="Arial"/>
          <w:sz w:val="22"/>
          <w:szCs w:val="22"/>
        </w:rPr>
        <w:t>At issue is simply the basic notion that the minimum required of counsel is to prepare and present a proper argument on behalf of his or her client. Heads of argument serve a critical purpose. They ought to articulate the best argument available to the appellant. They ought to engage fairly with the evidence and to advance submissions in relation thereto. They ought to deal with the case. Where this is not done and the work is left to the Judges, justice cannot be seen to be done. Accordingly, it is essential that those who have the privilege of appearing in the Superior Courts do their duty scrupulously in this regard</w:t>
      </w:r>
      <w:r w:rsidR="00A77099">
        <w:rPr>
          <w:rFonts w:ascii="Arial" w:hAnsi="Arial" w:cs="Arial"/>
          <w:sz w:val="22"/>
          <w:szCs w:val="22"/>
        </w:rPr>
        <w:t xml:space="preserve">.’   </w:t>
      </w:r>
    </w:p>
    <w:p w14:paraId="47D71B2C" w14:textId="77777777" w:rsidR="00A77099" w:rsidRDefault="00A77099" w:rsidP="005030A5">
      <w:pPr>
        <w:spacing w:line="360" w:lineRule="auto"/>
        <w:ind w:left="360"/>
        <w:jc w:val="both"/>
        <w:rPr>
          <w:rFonts w:ascii="Arial" w:hAnsi="Arial" w:cs="Arial"/>
          <w:sz w:val="22"/>
          <w:szCs w:val="22"/>
        </w:rPr>
      </w:pPr>
    </w:p>
    <w:p w14:paraId="223A4C24" w14:textId="6D6AB4EA" w:rsidR="00A77099" w:rsidRDefault="00A77099" w:rsidP="00BC0086">
      <w:pPr>
        <w:spacing w:line="360" w:lineRule="auto"/>
        <w:jc w:val="both"/>
        <w:rPr>
          <w:rFonts w:ascii="Arial" w:hAnsi="Arial" w:cs="Arial"/>
        </w:rPr>
      </w:pPr>
      <w:r>
        <w:rPr>
          <w:rFonts w:ascii="Arial" w:hAnsi="Arial" w:cs="Arial"/>
        </w:rPr>
        <w:t>[</w:t>
      </w:r>
      <w:r w:rsidR="00A91890">
        <w:rPr>
          <w:rFonts w:ascii="Arial" w:hAnsi="Arial" w:cs="Arial"/>
        </w:rPr>
        <w:t>127</w:t>
      </w:r>
      <w:r>
        <w:rPr>
          <w:rFonts w:ascii="Arial" w:hAnsi="Arial" w:cs="Arial"/>
        </w:rPr>
        <w:t>]</w:t>
      </w:r>
      <w:r>
        <w:rPr>
          <w:rFonts w:ascii="Arial" w:hAnsi="Arial" w:cs="Arial"/>
        </w:rPr>
        <w:tab/>
        <w:t>I can do no better than to repeat the above sentiments in this matter, particularly in relation to the manners that I have complained about in the heads of argument filed in this matter. Courts, in particular, should be assisted when case</w:t>
      </w:r>
      <w:r w:rsidR="00F30751">
        <w:rPr>
          <w:rFonts w:ascii="Arial" w:hAnsi="Arial" w:cs="Arial"/>
        </w:rPr>
        <w:t>s</w:t>
      </w:r>
      <w:r>
        <w:rPr>
          <w:rFonts w:ascii="Arial" w:hAnsi="Arial" w:cs="Arial"/>
        </w:rPr>
        <w:t xml:space="preserve"> are quoted, to be able to comprehend what point is being made and where. It is unfair to expect the court and the other side to plough scrupulously through a morass of judgments trying to find what may sometimes be a needle in a haystack.</w:t>
      </w:r>
    </w:p>
    <w:p w14:paraId="2C299A62" w14:textId="77777777" w:rsidR="000D7BF2" w:rsidRDefault="000D7BF2" w:rsidP="00BC0086">
      <w:pPr>
        <w:spacing w:line="360" w:lineRule="auto"/>
        <w:jc w:val="both"/>
        <w:rPr>
          <w:rFonts w:ascii="Arial" w:hAnsi="Arial" w:cs="Arial"/>
        </w:rPr>
      </w:pPr>
    </w:p>
    <w:p w14:paraId="7ED45C2F" w14:textId="6BCC2EFC" w:rsidR="001F26BE" w:rsidRDefault="001F26BE" w:rsidP="00CF36F7">
      <w:pPr>
        <w:spacing w:line="360" w:lineRule="auto"/>
        <w:jc w:val="both"/>
        <w:rPr>
          <w:rFonts w:ascii="Arial" w:hAnsi="Arial" w:cs="Arial"/>
          <w:u w:val="single"/>
        </w:rPr>
      </w:pPr>
      <w:r>
        <w:rPr>
          <w:rFonts w:ascii="Arial" w:hAnsi="Arial" w:cs="Arial"/>
          <w:u w:val="single"/>
        </w:rPr>
        <w:t>Disposal</w:t>
      </w:r>
    </w:p>
    <w:p w14:paraId="33E1782D" w14:textId="77777777" w:rsidR="001F26BE" w:rsidRDefault="001F26BE" w:rsidP="005030A5">
      <w:pPr>
        <w:spacing w:line="360" w:lineRule="auto"/>
        <w:ind w:left="360"/>
        <w:jc w:val="both"/>
        <w:rPr>
          <w:rFonts w:ascii="Arial" w:hAnsi="Arial" w:cs="Arial"/>
          <w:u w:val="single"/>
        </w:rPr>
      </w:pPr>
    </w:p>
    <w:p w14:paraId="1333752E" w14:textId="0AB32850" w:rsidR="001F26BE" w:rsidRDefault="00B725A1" w:rsidP="00CF36F7">
      <w:pPr>
        <w:spacing w:line="360" w:lineRule="auto"/>
        <w:jc w:val="both"/>
        <w:rPr>
          <w:rFonts w:ascii="Arial" w:hAnsi="Arial" w:cs="Arial"/>
        </w:rPr>
      </w:pPr>
      <w:r>
        <w:rPr>
          <w:rFonts w:ascii="Arial" w:hAnsi="Arial" w:cs="Arial"/>
        </w:rPr>
        <w:t>[</w:t>
      </w:r>
      <w:r w:rsidR="00A91890">
        <w:rPr>
          <w:rFonts w:ascii="Arial" w:hAnsi="Arial" w:cs="Arial"/>
        </w:rPr>
        <w:t>128</w:t>
      </w:r>
      <w:r w:rsidR="001F26BE">
        <w:rPr>
          <w:rFonts w:ascii="Arial" w:hAnsi="Arial" w:cs="Arial"/>
        </w:rPr>
        <w:t>]</w:t>
      </w:r>
      <w:r w:rsidR="001F26BE">
        <w:rPr>
          <w:rFonts w:ascii="Arial" w:hAnsi="Arial" w:cs="Arial"/>
        </w:rPr>
        <w:tab/>
      </w:r>
      <w:proofErr w:type="gramStart"/>
      <w:r w:rsidR="001F26BE">
        <w:rPr>
          <w:rFonts w:ascii="Arial" w:hAnsi="Arial" w:cs="Arial"/>
        </w:rPr>
        <w:t>In</w:t>
      </w:r>
      <w:proofErr w:type="gramEnd"/>
      <w:r w:rsidR="001F26BE">
        <w:rPr>
          <w:rFonts w:ascii="Arial" w:hAnsi="Arial" w:cs="Arial"/>
        </w:rPr>
        <w:t xml:space="preserve"> the premises, as indicated earlier, I am of the considered view that the plaintiff has made a good case for the main relief sought. In the premises, I grant the following order:</w:t>
      </w:r>
    </w:p>
    <w:p w14:paraId="37CD52A6" w14:textId="77777777" w:rsidR="000959DA" w:rsidRDefault="000959DA" w:rsidP="00CF36F7">
      <w:pPr>
        <w:spacing w:line="360" w:lineRule="auto"/>
        <w:jc w:val="both"/>
        <w:rPr>
          <w:rFonts w:ascii="Arial" w:hAnsi="Arial" w:cs="Arial"/>
        </w:rPr>
      </w:pPr>
    </w:p>
    <w:p w14:paraId="5C60A863" w14:textId="44C5B7A5" w:rsidR="001F26BE" w:rsidRPr="006D72FE" w:rsidRDefault="001F26BE" w:rsidP="000959DA">
      <w:pPr>
        <w:pStyle w:val="ListParagraph"/>
        <w:numPr>
          <w:ilvl w:val="0"/>
          <w:numId w:val="6"/>
        </w:numPr>
        <w:spacing w:line="360" w:lineRule="auto"/>
        <w:ind w:left="567" w:hanging="567"/>
        <w:jc w:val="both"/>
        <w:rPr>
          <w:rFonts w:ascii="Arial" w:hAnsi="Arial" w:cs="Arial"/>
        </w:rPr>
      </w:pPr>
      <w:r w:rsidRPr="006D72FE">
        <w:rPr>
          <w:rFonts w:ascii="Arial" w:hAnsi="Arial" w:cs="Arial"/>
        </w:rPr>
        <w:t>Payment of N$ 400 000 by the first and second defendants, to the plaintiff, jointly and severally, the one paying and the other being absolved.</w:t>
      </w:r>
    </w:p>
    <w:p w14:paraId="0F24DA07" w14:textId="66FB1C5C" w:rsidR="001F26BE" w:rsidRDefault="001F26BE" w:rsidP="000959DA">
      <w:pPr>
        <w:pStyle w:val="ListParagraph"/>
        <w:numPr>
          <w:ilvl w:val="0"/>
          <w:numId w:val="6"/>
        </w:numPr>
        <w:spacing w:line="360" w:lineRule="auto"/>
        <w:ind w:left="567" w:hanging="567"/>
        <w:jc w:val="both"/>
        <w:rPr>
          <w:rFonts w:ascii="Arial" w:hAnsi="Arial" w:cs="Arial"/>
        </w:rPr>
      </w:pPr>
      <w:r>
        <w:rPr>
          <w:rFonts w:ascii="Arial" w:hAnsi="Arial" w:cs="Arial"/>
        </w:rPr>
        <w:lastRenderedPageBreak/>
        <w:t xml:space="preserve">Interest of the aforesaid amount at the rate of 20% per annum </w:t>
      </w:r>
      <w:r>
        <w:rPr>
          <w:rFonts w:ascii="Arial" w:hAnsi="Arial" w:cs="Arial"/>
          <w:i/>
        </w:rPr>
        <w:t xml:space="preserve">tempore </w:t>
      </w:r>
      <w:proofErr w:type="spellStart"/>
      <w:r>
        <w:rPr>
          <w:rFonts w:ascii="Arial" w:hAnsi="Arial" w:cs="Arial"/>
          <w:i/>
        </w:rPr>
        <w:t>morae</w:t>
      </w:r>
      <w:proofErr w:type="spellEnd"/>
      <w:r>
        <w:rPr>
          <w:rFonts w:ascii="Arial" w:hAnsi="Arial" w:cs="Arial"/>
        </w:rPr>
        <w:t>, from</w:t>
      </w:r>
      <w:r w:rsidR="00B8760F">
        <w:rPr>
          <w:rFonts w:ascii="Arial" w:hAnsi="Arial" w:cs="Arial"/>
        </w:rPr>
        <w:t xml:space="preserve"> 7 July 2015</w:t>
      </w:r>
      <w:r w:rsidR="000D7BF2">
        <w:rPr>
          <w:rFonts w:ascii="Arial" w:hAnsi="Arial" w:cs="Arial"/>
        </w:rPr>
        <w:t xml:space="preserve"> to the date of final payment.</w:t>
      </w:r>
    </w:p>
    <w:p w14:paraId="58FF427C" w14:textId="77777777" w:rsidR="000959DA" w:rsidRDefault="000959DA" w:rsidP="000959DA">
      <w:pPr>
        <w:pStyle w:val="ListParagraph"/>
        <w:spacing w:line="360" w:lineRule="auto"/>
        <w:ind w:left="567"/>
        <w:jc w:val="both"/>
        <w:rPr>
          <w:rFonts w:ascii="Arial" w:hAnsi="Arial" w:cs="Arial"/>
        </w:rPr>
      </w:pPr>
    </w:p>
    <w:p w14:paraId="4A9ECADE" w14:textId="5C4B1FC3" w:rsidR="00DD3EA0" w:rsidRDefault="00DD3EA0" w:rsidP="000959DA">
      <w:pPr>
        <w:pStyle w:val="ListParagraph"/>
        <w:numPr>
          <w:ilvl w:val="0"/>
          <w:numId w:val="6"/>
        </w:numPr>
        <w:spacing w:line="360" w:lineRule="auto"/>
        <w:ind w:left="567" w:hanging="567"/>
        <w:jc w:val="both"/>
        <w:rPr>
          <w:rFonts w:ascii="Arial" w:hAnsi="Arial" w:cs="Arial"/>
        </w:rPr>
      </w:pPr>
      <w:r>
        <w:rPr>
          <w:rFonts w:ascii="Arial" w:hAnsi="Arial" w:cs="Arial"/>
        </w:rPr>
        <w:t>Costs of suit consequent upon the employment of one instructing and one instructed counsel.</w:t>
      </w:r>
    </w:p>
    <w:p w14:paraId="53A67553" w14:textId="77777777" w:rsidR="000959DA" w:rsidRPr="000959DA" w:rsidRDefault="000959DA" w:rsidP="000959DA">
      <w:pPr>
        <w:spacing w:line="360" w:lineRule="auto"/>
        <w:jc w:val="both"/>
        <w:rPr>
          <w:rFonts w:ascii="Arial" w:hAnsi="Arial" w:cs="Arial"/>
        </w:rPr>
      </w:pPr>
    </w:p>
    <w:p w14:paraId="48D98834" w14:textId="2E1DC788" w:rsidR="00DD3EA0" w:rsidRDefault="00DD3EA0" w:rsidP="000959DA">
      <w:pPr>
        <w:pStyle w:val="ListParagraph"/>
        <w:numPr>
          <w:ilvl w:val="0"/>
          <w:numId w:val="6"/>
        </w:numPr>
        <w:spacing w:line="360" w:lineRule="auto"/>
        <w:ind w:left="567" w:hanging="567"/>
        <w:jc w:val="both"/>
        <w:rPr>
          <w:rFonts w:ascii="Arial" w:hAnsi="Arial" w:cs="Arial"/>
        </w:rPr>
      </w:pPr>
      <w:r>
        <w:rPr>
          <w:rFonts w:ascii="Arial" w:hAnsi="Arial" w:cs="Arial"/>
        </w:rPr>
        <w:t xml:space="preserve">The payment of N$ 400 000 stipulated in paragraph 1 above, is contingent upon the tender made by the plaintiff to return the furniture and inventory valued at N$ 20 830, which must be done within </w:t>
      </w:r>
      <w:r w:rsidR="006D72FE">
        <w:rPr>
          <w:rFonts w:ascii="Arial" w:hAnsi="Arial" w:cs="Arial"/>
        </w:rPr>
        <w:t>ten (10</w:t>
      </w:r>
      <w:r>
        <w:rPr>
          <w:rFonts w:ascii="Arial" w:hAnsi="Arial" w:cs="Arial"/>
        </w:rPr>
        <w:t>) days of the date of this judgment, or such date as the court may in writing stipulate</w:t>
      </w:r>
      <w:r w:rsidR="00A66B34">
        <w:rPr>
          <w:rFonts w:ascii="Arial" w:hAnsi="Arial" w:cs="Arial"/>
        </w:rPr>
        <w:t xml:space="preserve"> upon application</w:t>
      </w:r>
      <w:r>
        <w:rPr>
          <w:rFonts w:ascii="Arial" w:hAnsi="Arial" w:cs="Arial"/>
        </w:rPr>
        <w:t>.</w:t>
      </w:r>
    </w:p>
    <w:p w14:paraId="2F6987EA" w14:textId="77777777" w:rsidR="000959DA" w:rsidRPr="000959DA" w:rsidRDefault="000959DA" w:rsidP="000959DA">
      <w:pPr>
        <w:spacing w:line="360" w:lineRule="auto"/>
        <w:jc w:val="both"/>
        <w:rPr>
          <w:rFonts w:ascii="Arial" w:hAnsi="Arial" w:cs="Arial"/>
        </w:rPr>
      </w:pPr>
    </w:p>
    <w:p w14:paraId="375609F7" w14:textId="243878D8" w:rsidR="00DD3EA0" w:rsidRDefault="00065AF9" w:rsidP="000959DA">
      <w:pPr>
        <w:pStyle w:val="ListParagraph"/>
        <w:numPr>
          <w:ilvl w:val="0"/>
          <w:numId w:val="6"/>
        </w:numPr>
        <w:spacing w:line="360" w:lineRule="auto"/>
        <w:ind w:left="567" w:hanging="567"/>
        <w:jc w:val="both"/>
        <w:rPr>
          <w:rFonts w:ascii="Arial" w:hAnsi="Arial" w:cs="Arial"/>
        </w:rPr>
      </w:pPr>
      <w:r>
        <w:rPr>
          <w:rFonts w:ascii="Arial" w:hAnsi="Arial" w:cs="Arial"/>
        </w:rPr>
        <w:t>In the event the tender is not ma</w:t>
      </w:r>
      <w:r w:rsidR="00DD3EA0">
        <w:rPr>
          <w:rFonts w:ascii="Arial" w:hAnsi="Arial" w:cs="Arial"/>
        </w:rPr>
        <w:t>d</w:t>
      </w:r>
      <w:r>
        <w:rPr>
          <w:rFonts w:ascii="Arial" w:hAnsi="Arial" w:cs="Arial"/>
        </w:rPr>
        <w:t>e</w:t>
      </w:r>
      <w:r w:rsidR="00DD3EA0">
        <w:rPr>
          <w:rFonts w:ascii="Arial" w:hAnsi="Arial" w:cs="Arial"/>
        </w:rPr>
        <w:t xml:space="preserve"> within the period stated in paragraph 4 above, the defendants are ordered to pay the plaintiff the amount of N$ 379, 170</w:t>
      </w:r>
      <w:r w:rsidR="001A2A64">
        <w:rPr>
          <w:rFonts w:ascii="Arial" w:hAnsi="Arial" w:cs="Arial"/>
        </w:rPr>
        <w:t>, with</w:t>
      </w:r>
      <w:r w:rsidR="00DD3EA0">
        <w:rPr>
          <w:rFonts w:ascii="Arial" w:hAnsi="Arial" w:cs="Arial"/>
        </w:rPr>
        <w:t xml:space="preserve"> interest on the af</w:t>
      </w:r>
      <w:r w:rsidR="000D7BF2">
        <w:rPr>
          <w:rFonts w:ascii="Arial" w:hAnsi="Arial" w:cs="Arial"/>
        </w:rPr>
        <w:t xml:space="preserve">oresaid amount calculated from </w:t>
      </w:r>
      <w:r w:rsidR="00B8760F">
        <w:rPr>
          <w:rFonts w:ascii="Arial" w:hAnsi="Arial" w:cs="Arial"/>
        </w:rPr>
        <w:t>7 July 2015</w:t>
      </w:r>
      <w:r w:rsidR="000D7BF2">
        <w:rPr>
          <w:rFonts w:ascii="Arial" w:hAnsi="Arial" w:cs="Arial"/>
        </w:rPr>
        <w:t xml:space="preserve"> to the date of final </w:t>
      </w:r>
      <w:r w:rsidR="00E057B5">
        <w:rPr>
          <w:rFonts w:ascii="Arial" w:hAnsi="Arial" w:cs="Arial"/>
        </w:rPr>
        <w:t>payment</w:t>
      </w:r>
      <w:r w:rsidR="000D7BF2">
        <w:rPr>
          <w:rFonts w:ascii="Arial" w:hAnsi="Arial" w:cs="Arial"/>
        </w:rPr>
        <w:t>.</w:t>
      </w:r>
    </w:p>
    <w:p w14:paraId="4343957A" w14:textId="77777777" w:rsidR="001A2A64" w:rsidRDefault="001A2A64" w:rsidP="001A2A64">
      <w:pPr>
        <w:spacing w:line="360" w:lineRule="auto"/>
        <w:jc w:val="both"/>
        <w:rPr>
          <w:rFonts w:ascii="Arial" w:hAnsi="Arial" w:cs="Arial"/>
        </w:rPr>
      </w:pPr>
    </w:p>
    <w:p w14:paraId="1D592F58" w14:textId="77777777" w:rsidR="001A2A64" w:rsidRDefault="001A2A64" w:rsidP="001A2A64">
      <w:pPr>
        <w:spacing w:line="360" w:lineRule="auto"/>
        <w:jc w:val="both"/>
        <w:rPr>
          <w:rFonts w:ascii="Arial" w:hAnsi="Arial" w:cs="Arial"/>
        </w:rPr>
      </w:pPr>
    </w:p>
    <w:p w14:paraId="43964F8C" w14:textId="77777777" w:rsidR="001A2A64" w:rsidRPr="004A63A9" w:rsidRDefault="001A2A64" w:rsidP="001A2A64">
      <w:pPr>
        <w:spacing w:line="360" w:lineRule="auto"/>
        <w:jc w:val="right"/>
        <w:rPr>
          <w:rFonts w:ascii="Arial" w:hAnsi="Arial" w:cs="Arial"/>
        </w:rPr>
      </w:pPr>
      <w:r w:rsidRPr="004A63A9">
        <w:rPr>
          <w:rFonts w:ascii="Arial" w:hAnsi="Arial" w:cs="Arial"/>
        </w:rPr>
        <w:t>___________</w:t>
      </w:r>
    </w:p>
    <w:p w14:paraId="7876751D" w14:textId="5804099A" w:rsidR="001A2A64" w:rsidRPr="0008787C" w:rsidRDefault="000959DA" w:rsidP="001A2A64">
      <w:pPr>
        <w:pStyle w:val="ListParagraph"/>
        <w:spacing w:line="360" w:lineRule="auto"/>
        <w:ind w:left="3600"/>
        <w:jc w:val="right"/>
        <w:rPr>
          <w:rFonts w:ascii="Arial" w:hAnsi="Arial" w:cs="Arial"/>
        </w:rPr>
      </w:pPr>
      <w:r>
        <w:rPr>
          <w:rFonts w:ascii="Arial" w:hAnsi="Arial" w:cs="Arial"/>
        </w:rPr>
        <w:t>TS</w:t>
      </w:r>
      <w:r w:rsidR="001A2A64" w:rsidRPr="0008787C">
        <w:rPr>
          <w:rFonts w:ascii="Arial" w:hAnsi="Arial" w:cs="Arial"/>
        </w:rPr>
        <w:t xml:space="preserve"> </w:t>
      </w:r>
      <w:proofErr w:type="spellStart"/>
      <w:r w:rsidR="001A2A64" w:rsidRPr="0008787C">
        <w:rPr>
          <w:rFonts w:ascii="Arial" w:hAnsi="Arial" w:cs="Arial"/>
        </w:rPr>
        <w:t>Masuku</w:t>
      </w:r>
      <w:proofErr w:type="spellEnd"/>
    </w:p>
    <w:p w14:paraId="7377DB3C" w14:textId="5437D7B6" w:rsidR="001A2A64" w:rsidRDefault="001A2A64" w:rsidP="00E057B5">
      <w:pPr>
        <w:pStyle w:val="ListParagraph"/>
        <w:tabs>
          <w:tab w:val="right" w:pos="9356"/>
        </w:tabs>
        <w:spacing w:line="360" w:lineRule="auto"/>
        <w:ind w:left="6480" w:firstLine="720"/>
        <w:jc w:val="right"/>
        <w:rPr>
          <w:rFonts w:ascii="Arial" w:hAnsi="Arial" w:cs="Arial"/>
        </w:rPr>
      </w:pPr>
      <w:r w:rsidRPr="0008787C">
        <w:rPr>
          <w:rFonts w:ascii="Arial" w:hAnsi="Arial" w:cs="Arial"/>
        </w:rPr>
        <w:t>Judge</w:t>
      </w:r>
    </w:p>
    <w:p w14:paraId="017A1578" w14:textId="582276D2" w:rsidR="001A2A64" w:rsidRDefault="001A2A64">
      <w:pPr>
        <w:rPr>
          <w:rFonts w:ascii="Arial" w:hAnsi="Arial" w:cs="Arial"/>
        </w:rPr>
      </w:pPr>
      <w:r>
        <w:rPr>
          <w:rFonts w:ascii="Arial" w:hAnsi="Arial" w:cs="Arial"/>
        </w:rPr>
        <w:br w:type="page"/>
      </w:r>
    </w:p>
    <w:p w14:paraId="1CA3EB47" w14:textId="77777777" w:rsidR="001A2A64" w:rsidRDefault="001A2A64" w:rsidP="001A2A64">
      <w:pPr>
        <w:spacing w:after="160" w:line="259" w:lineRule="auto"/>
        <w:rPr>
          <w:rFonts w:ascii="Arial" w:hAnsi="Arial" w:cs="Arial"/>
        </w:rPr>
      </w:pPr>
      <w:r>
        <w:rPr>
          <w:rFonts w:ascii="Arial" w:hAnsi="Arial" w:cs="Arial"/>
        </w:rPr>
        <w:lastRenderedPageBreak/>
        <w:t>APPEARANCES</w:t>
      </w:r>
    </w:p>
    <w:p w14:paraId="6BDB673F" w14:textId="77777777" w:rsidR="00A760B7" w:rsidRDefault="00A760B7" w:rsidP="001A2A64">
      <w:pPr>
        <w:spacing w:line="360" w:lineRule="auto"/>
        <w:rPr>
          <w:rFonts w:ascii="Arial" w:hAnsi="Arial" w:cs="Arial"/>
        </w:rPr>
      </w:pPr>
    </w:p>
    <w:p w14:paraId="5785D669" w14:textId="0A28BD88" w:rsidR="001A2A64" w:rsidRDefault="001A2A64" w:rsidP="001A2A64">
      <w:pPr>
        <w:spacing w:line="360" w:lineRule="auto"/>
        <w:rPr>
          <w:rFonts w:ascii="Arial" w:hAnsi="Arial" w:cs="Arial"/>
        </w:rPr>
      </w:pPr>
      <w:r>
        <w:rPr>
          <w:rFonts w:ascii="Arial" w:hAnsi="Arial" w:cs="Arial"/>
        </w:rPr>
        <w:t>PLAINTIFF</w:t>
      </w:r>
      <w:r w:rsidR="00292E2C">
        <w:rPr>
          <w:rFonts w:ascii="Arial" w:hAnsi="Arial" w:cs="Arial"/>
        </w:rPr>
        <w:t>:</w:t>
      </w:r>
      <w:r w:rsidR="000D7BF2">
        <w:rPr>
          <w:rFonts w:ascii="Arial" w:hAnsi="Arial" w:cs="Arial"/>
        </w:rPr>
        <w:tab/>
      </w:r>
      <w:r w:rsidR="000D7BF2">
        <w:rPr>
          <w:rFonts w:ascii="Arial" w:hAnsi="Arial" w:cs="Arial"/>
        </w:rPr>
        <w:tab/>
      </w:r>
      <w:r w:rsidR="000D7BF2">
        <w:rPr>
          <w:rFonts w:ascii="Arial" w:hAnsi="Arial" w:cs="Arial"/>
        </w:rPr>
        <w:tab/>
      </w:r>
      <w:r w:rsidR="000D7BF2">
        <w:rPr>
          <w:rFonts w:ascii="Arial" w:hAnsi="Arial" w:cs="Arial"/>
        </w:rPr>
        <w:tab/>
        <w:t xml:space="preserve">B De </w:t>
      </w:r>
      <w:proofErr w:type="spellStart"/>
      <w:r w:rsidR="000D7BF2">
        <w:rPr>
          <w:rFonts w:ascii="Arial" w:hAnsi="Arial" w:cs="Arial"/>
        </w:rPr>
        <w:t>Jager</w:t>
      </w:r>
      <w:proofErr w:type="spellEnd"/>
    </w:p>
    <w:p w14:paraId="447F6F42" w14:textId="135CE036" w:rsidR="001A2A64" w:rsidRDefault="00A760B7" w:rsidP="00292E2C">
      <w:pPr>
        <w:spacing w:line="360" w:lineRule="auto"/>
        <w:ind w:left="3600"/>
        <w:rPr>
          <w:rFonts w:ascii="Arial" w:hAnsi="Arial" w:cs="Arial"/>
        </w:rPr>
      </w:pPr>
      <w:proofErr w:type="gramStart"/>
      <w:r>
        <w:rPr>
          <w:rFonts w:ascii="Arial" w:hAnsi="Arial" w:cs="Arial"/>
        </w:rPr>
        <w:t>i</w:t>
      </w:r>
      <w:r w:rsidR="001A2A64">
        <w:rPr>
          <w:rFonts w:ascii="Arial" w:hAnsi="Arial" w:cs="Arial"/>
        </w:rPr>
        <w:t>nstructed</w:t>
      </w:r>
      <w:proofErr w:type="gramEnd"/>
      <w:r w:rsidR="001A2A64">
        <w:rPr>
          <w:rFonts w:ascii="Arial" w:hAnsi="Arial" w:cs="Arial"/>
        </w:rPr>
        <w:t xml:space="preserve"> by </w:t>
      </w:r>
      <w:r w:rsidR="000D7BF2">
        <w:rPr>
          <w:rFonts w:ascii="Arial" w:hAnsi="Arial" w:cs="Arial"/>
        </w:rPr>
        <w:t>Behrens &amp; Pfeiffer,</w:t>
      </w:r>
      <w:r w:rsidR="001A2A64">
        <w:rPr>
          <w:rFonts w:ascii="Arial" w:hAnsi="Arial" w:cs="Arial"/>
        </w:rPr>
        <w:t xml:space="preserve"> Windhoek</w:t>
      </w:r>
    </w:p>
    <w:p w14:paraId="67DC0D24" w14:textId="77777777" w:rsidR="001A2A64" w:rsidRDefault="001A2A64" w:rsidP="001A2A64">
      <w:pPr>
        <w:spacing w:line="360" w:lineRule="auto"/>
        <w:rPr>
          <w:rFonts w:ascii="Arial" w:hAnsi="Arial" w:cs="Arial"/>
        </w:rPr>
      </w:pPr>
    </w:p>
    <w:p w14:paraId="7FF119EE" w14:textId="6EE933EC" w:rsidR="001A2A64" w:rsidRDefault="001A2A64" w:rsidP="001A2A64">
      <w:pPr>
        <w:spacing w:line="360" w:lineRule="auto"/>
        <w:rPr>
          <w:rFonts w:ascii="Arial" w:hAnsi="Arial" w:cs="Arial"/>
        </w:rPr>
      </w:pPr>
      <w:r>
        <w:rPr>
          <w:rFonts w:ascii="Arial" w:hAnsi="Arial" w:cs="Arial"/>
        </w:rPr>
        <w:t>DEFENDANT</w:t>
      </w:r>
      <w:r w:rsidR="00292E2C">
        <w:rPr>
          <w:rFonts w:ascii="Arial" w:hAnsi="Arial" w:cs="Arial"/>
        </w:rPr>
        <w:t>S:</w:t>
      </w:r>
      <w:r w:rsidR="00A760B7">
        <w:rPr>
          <w:rFonts w:ascii="Arial" w:hAnsi="Arial" w:cs="Arial"/>
        </w:rPr>
        <w:tab/>
      </w:r>
      <w:r w:rsidR="00A760B7">
        <w:rPr>
          <w:rFonts w:ascii="Arial" w:hAnsi="Arial" w:cs="Arial"/>
        </w:rPr>
        <w:tab/>
      </w:r>
      <w:r w:rsidR="00A760B7">
        <w:rPr>
          <w:rFonts w:ascii="Arial" w:hAnsi="Arial" w:cs="Arial"/>
        </w:rPr>
        <w:tab/>
        <w:t>C</w:t>
      </w:r>
      <w:r w:rsidR="000D7BF2">
        <w:rPr>
          <w:rFonts w:ascii="Arial" w:hAnsi="Arial" w:cs="Arial"/>
        </w:rPr>
        <w:t xml:space="preserve"> Brandt </w:t>
      </w:r>
    </w:p>
    <w:p w14:paraId="5F7CC954" w14:textId="71B946BB" w:rsidR="001A2A64" w:rsidRPr="001C0FB6" w:rsidRDefault="00A760B7" w:rsidP="001A2A6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of</w:t>
      </w:r>
      <w:proofErr w:type="gramEnd"/>
      <w:r>
        <w:rPr>
          <w:rFonts w:ascii="Arial" w:hAnsi="Arial" w:cs="Arial"/>
        </w:rPr>
        <w:t xml:space="preserve"> C</w:t>
      </w:r>
      <w:r w:rsidR="000D7BF2">
        <w:rPr>
          <w:rFonts w:ascii="Arial" w:hAnsi="Arial" w:cs="Arial"/>
        </w:rPr>
        <w:t xml:space="preserve"> Brandt Attorneys</w:t>
      </w:r>
      <w:r w:rsidR="001A2A64">
        <w:rPr>
          <w:rFonts w:ascii="Arial" w:hAnsi="Arial" w:cs="Arial"/>
        </w:rPr>
        <w:t>, Windhoek</w:t>
      </w:r>
    </w:p>
    <w:p w14:paraId="3D353107" w14:textId="77777777" w:rsidR="001A2A64" w:rsidRPr="001A2A64" w:rsidRDefault="001A2A64" w:rsidP="001A2A64">
      <w:pPr>
        <w:spacing w:line="360" w:lineRule="auto"/>
        <w:jc w:val="both"/>
        <w:rPr>
          <w:rFonts w:ascii="Arial" w:hAnsi="Arial" w:cs="Arial"/>
        </w:rPr>
      </w:pPr>
    </w:p>
    <w:sectPr w:rsidR="001A2A64" w:rsidRPr="001A2A64" w:rsidSect="00686C0F">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FFFE" w14:textId="77777777" w:rsidR="007D6282" w:rsidRDefault="007D6282" w:rsidP="00B86B4B">
      <w:r>
        <w:separator/>
      </w:r>
    </w:p>
  </w:endnote>
  <w:endnote w:type="continuationSeparator" w:id="0">
    <w:p w14:paraId="63CA9910" w14:textId="77777777" w:rsidR="007D6282" w:rsidRDefault="007D6282" w:rsidP="00B8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D3F5" w14:textId="77777777" w:rsidR="007D6282" w:rsidRDefault="007D6282" w:rsidP="00B86B4B">
      <w:r>
        <w:separator/>
      </w:r>
    </w:p>
  </w:footnote>
  <w:footnote w:type="continuationSeparator" w:id="0">
    <w:p w14:paraId="6CC554B6" w14:textId="77777777" w:rsidR="007D6282" w:rsidRDefault="007D6282" w:rsidP="00B86B4B">
      <w:r>
        <w:continuationSeparator/>
      </w:r>
    </w:p>
  </w:footnote>
  <w:footnote w:id="1">
    <w:p w14:paraId="3B654918" w14:textId="365C49AD" w:rsidR="00F30751" w:rsidRPr="00686C0F" w:rsidRDefault="00F30751">
      <w:pPr>
        <w:pStyle w:val="FootnoteText"/>
        <w:rPr>
          <w:rFonts w:ascii="Arial" w:hAnsi="Arial" w:cs="Arial"/>
          <w:sz w:val="20"/>
          <w:szCs w:val="20"/>
          <w:lang w:val="en-US"/>
        </w:rPr>
      </w:pPr>
      <w:r w:rsidRPr="00686C0F">
        <w:rPr>
          <w:rStyle w:val="FootnoteReference"/>
          <w:rFonts w:ascii="Arial" w:hAnsi="Arial" w:cs="Arial"/>
          <w:sz w:val="20"/>
          <w:szCs w:val="20"/>
        </w:rPr>
        <w:footnoteRef/>
      </w:r>
      <w:r w:rsidRPr="00686C0F">
        <w:rPr>
          <w:rFonts w:ascii="Arial" w:hAnsi="Arial" w:cs="Arial"/>
          <w:sz w:val="20"/>
          <w:szCs w:val="20"/>
        </w:rPr>
        <w:t xml:space="preserve"> </w:t>
      </w:r>
      <w:r w:rsidRPr="00686C0F">
        <w:rPr>
          <w:rFonts w:ascii="Arial" w:hAnsi="Arial" w:cs="Arial"/>
          <w:sz w:val="20"/>
          <w:szCs w:val="20"/>
          <w:lang w:val="en-US"/>
        </w:rPr>
        <w:t>1948 (1) SA 413 (A) at 434 to 435.</w:t>
      </w:r>
    </w:p>
  </w:footnote>
  <w:footnote w:id="2">
    <w:p w14:paraId="0C6ECFBA" w14:textId="4117A61A" w:rsidR="00F30751" w:rsidRPr="00686C0F" w:rsidRDefault="00F30751" w:rsidP="000959DA">
      <w:pPr>
        <w:pStyle w:val="FootnoteText"/>
        <w:jc w:val="both"/>
        <w:rPr>
          <w:rFonts w:ascii="Arial" w:hAnsi="Arial" w:cs="Arial"/>
          <w:sz w:val="20"/>
          <w:szCs w:val="20"/>
          <w:lang w:val="en-US"/>
        </w:rPr>
      </w:pPr>
      <w:r w:rsidRPr="00686C0F">
        <w:rPr>
          <w:rStyle w:val="FootnoteReference"/>
          <w:rFonts w:ascii="Arial" w:hAnsi="Arial" w:cs="Arial"/>
          <w:sz w:val="20"/>
          <w:szCs w:val="20"/>
        </w:rPr>
        <w:footnoteRef/>
      </w:r>
      <w:r w:rsidRPr="00686C0F">
        <w:rPr>
          <w:rFonts w:ascii="Arial" w:hAnsi="Arial" w:cs="Arial"/>
          <w:sz w:val="20"/>
          <w:szCs w:val="20"/>
        </w:rPr>
        <w:t xml:space="preserve"> </w:t>
      </w:r>
      <w:r w:rsidRPr="00686C0F">
        <w:rPr>
          <w:rFonts w:ascii="Arial" w:hAnsi="Arial" w:cs="Arial"/>
          <w:sz w:val="20"/>
          <w:szCs w:val="20"/>
          <w:lang w:val="en-US"/>
        </w:rPr>
        <w:t>2011 (2) SA 292 (SCA) at paras [10] and [11].</w:t>
      </w:r>
    </w:p>
  </w:footnote>
  <w:footnote w:id="3">
    <w:p w14:paraId="5F3F1720" w14:textId="2D27BD2B"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1991 (1) SA 567 (A) at 575.</w:t>
      </w:r>
    </w:p>
  </w:footnote>
  <w:footnote w:id="4">
    <w:p w14:paraId="5D6A34B3" w14:textId="3CB23DF7"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1999 (3) All SA para. 10; 1999 (3) SA 1051 (SCA).</w:t>
      </w:r>
    </w:p>
  </w:footnote>
  <w:footnote w:id="5">
    <w:p w14:paraId="08AC231D" w14:textId="58C44A01"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(I 3244/2014) [2018] NAHCMD 5 (24 January 2018).</w:t>
      </w:r>
    </w:p>
  </w:footnote>
  <w:footnote w:id="6">
    <w:p w14:paraId="3988D57D" w14:textId="18124BDD"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(I 3499/2011) [2014] NAHCMD 57 (19 February 2014).</w:t>
      </w:r>
    </w:p>
  </w:footnote>
  <w:footnote w:id="7">
    <w:p w14:paraId="73D4C118" w14:textId="4EDA4590"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2014 (2) NR 437 (HC).</w:t>
      </w:r>
    </w:p>
  </w:footnote>
  <w:footnote w:id="8">
    <w:p w14:paraId="1C28AEAC" w14:textId="6ECF221E"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(I 4268/2010) [2016] NAHCMD 298 (30 September 2016).</w:t>
      </w:r>
    </w:p>
  </w:footnote>
  <w:footnote w:id="9">
    <w:p w14:paraId="484CD563" w14:textId="11C2F9DE"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 xml:space="preserve">38 </w:t>
      </w:r>
      <w:proofErr w:type="spellStart"/>
      <w:r w:rsidRPr="003E4B59">
        <w:rPr>
          <w:rFonts w:ascii="Arial" w:hAnsi="Arial" w:cs="Arial"/>
          <w:sz w:val="20"/>
          <w:szCs w:val="20"/>
          <w:lang w:val="en-US"/>
        </w:rPr>
        <w:t>Ch</w:t>
      </w:r>
      <w:proofErr w:type="spellEnd"/>
      <w:r w:rsidRPr="003E4B59">
        <w:rPr>
          <w:rFonts w:ascii="Arial" w:hAnsi="Arial" w:cs="Arial"/>
          <w:sz w:val="20"/>
          <w:szCs w:val="20"/>
          <w:lang w:val="en-US"/>
        </w:rPr>
        <w:t xml:space="preserve"> D at 410.</w:t>
      </w:r>
    </w:p>
  </w:footnote>
  <w:footnote w:id="10">
    <w:p w14:paraId="44ED9D3D" w14:textId="60C19095"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2014 (1) SA 212 (SCA) at para 39.</w:t>
      </w:r>
    </w:p>
  </w:footnote>
  <w:footnote w:id="11">
    <w:p w14:paraId="45DC40F2" w14:textId="7E4D7EDF"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1990 NR 89 (HC) at 95.</w:t>
      </w:r>
    </w:p>
  </w:footnote>
  <w:footnote w:id="12">
    <w:p w14:paraId="634D1199" w14:textId="5C3543EB"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(I 343/2013) [2015] NAHCMD 110 (11 May 2015).</w:t>
      </w:r>
    </w:p>
  </w:footnote>
  <w:footnote w:id="13">
    <w:p w14:paraId="1EE525D3" w14:textId="13029D89"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2003 (1) SA 11 (SCA) at p. 14H -15 E.</w:t>
      </w:r>
    </w:p>
  </w:footnote>
  <w:footnote w:id="14">
    <w:p w14:paraId="47ED8314" w14:textId="5740C560"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2014 NR 1119 (LC) p. 1129-1130.</w:t>
      </w:r>
    </w:p>
  </w:footnote>
  <w:footnote w:id="15">
    <w:p w14:paraId="0CAD2774" w14:textId="59AE7493"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1982 (3) SA 570 at 576 G.</w:t>
      </w:r>
    </w:p>
  </w:footnote>
  <w:footnote w:id="16">
    <w:p w14:paraId="17E7333B" w14:textId="4C5D093E"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0959DA">
        <w:rPr>
          <w:rFonts w:ascii="Arial" w:hAnsi="Arial" w:cs="Arial"/>
          <w:i/>
          <w:sz w:val="20"/>
          <w:szCs w:val="20"/>
        </w:rPr>
        <w:t>Elgin Fireclays Ltd v Webb</w:t>
      </w:r>
      <w:r w:rsidRPr="003E4B59">
        <w:rPr>
          <w:rFonts w:ascii="Arial" w:hAnsi="Arial" w:cs="Arial"/>
          <w:sz w:val="20"/>
          <w:szCs w:val="20"/>
        </w:rPr>
        <w:t xml:space="preserve"> 1947 (4) (SA) 744 (A) at 745. See also </w:t>
      </w:r>
      <w:r w:rsidRPr="000959DA">
        <w:rPr>
          <w:rFonts w:ascii="Arial" w:hAnsi="Arial" w:cs="Arial"/>
          <w:i/>
          <w:sz w:val="20"/>
          <w:szCs w:val="20"/>
        </w:rPr>
        <w:t>Munster Estates (Pty) Ltd v Killarney Hills (Pty) Ltd</w:t>
      </w:r>
      <w:r w:rsidRPr="003E4B59">
        <w:rPr>
          <w:rFonts w:ascii="Arial" w:hAnsi="Arial" w:cs="Arial"/>
          <w:sz w:val="20"/>
          <w:szCs w:val="20"/>
        </w:rPr>
        <w:t xml:space="preserve"> 1979 (1) SA 621 (AD).</w:t>
      </w:r>
    </w:p>
  </w:footnote>
  <w:footnote w:id="17">
    <w:p w14:paraId="7424EC72" w14:textId="32705602"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1954 (3) SA 434 (SWA) at 438.</w:t>
      </w:r>
    </w:p>
  </w:footnote>
  <w:footnote w:id="18">
    <w:p w14:paraId="4E0D3147" w14:textId="3684B1C6" w:rsidR="00F30751" w:rsidRPr="00AA24E2" w:rsidRDefault="00F30751" w:rsidP="000959DA">
      <w:pPr>
        <w:pStyle w:val="FootnoteText"/>
        <w:jc w:val="both"/>
        <w:rPr>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 xml:space="preserve">2001 (1) SA 1 (CC) at p. 36-38 paras [61] to [64]. See also </w:t>
      </w:r>
      <w:proofErr w:type="spellStart"/>
      <w:r w:rsidRPr="000959DA">
        <w:rPr>
          <w:rFonts w:ascii="Arial" w:hAnsi="Arial" w:cs="Arial"/>
          <w:i/>
          <w:sz w:val="20"/>
          <w:szCs w:val="20"/>
          <w:lang w:val="en-US"/>
        </w:rPr>
        <w:t>Swakopmund</w:t>
      </w:r>
      <w:proofErr w:type="spellEnd"/>
      <w:r w:rsidRPr="000959DA">
        <w:rPr>
          <w:rFonts w:ascii="Arial" w:hAnsi="Arial" w:cs="Arial"/>
          <w:i/>
          <w:sz w:val="20"/>
          <w:szCs w:val="20"/>
          <w:lang w:val="en-US"/>
        </w:rPr>
        <w:t xml:space="preserve"> Superstar v </w:t>
      </w:r>
      <w:proofErr w:type="spellStart"/>
      <w:r w:rsidRPr="000959DA">
        <w:rPr>
          <w:rFonts w:ascii="Arial" w:hAnsi="Arial" w:cs="Arial"/>
          <w:i/>
          <w:sz w:val="20"/>
          <w:szCs w:val="20"/>
          <w:lang w:val="en-US"/>
        </w:rPr>
        <w:t>Soltec</w:t>
      </w:r>
      <w:proofErr w:type="spellEnd"/>
      <w:r w:rsidRPr="000959DA">
        <w:rPr>
          <w:rFonts w:ascii="Arial" w:hAnsi="Arial" w:cs="Arial"/>
          <w:i/>
          <w:sz w:val="20"/>
          <w:szCs w:val="20"/>
          <w:lang w:val="en-US"/>
        </w:rPr>
        <w:t xml:space="preserve"> CC</w:t>
      </w:r>
      <w:r w:rsidRPr="003E4B59">
        <w:rPr>
          <w:rFonts w:ascii="Arial" w:hAnsi="Arial" w:cs="Arial"/>
          <w:sz w:val="20"/>
          <w:szCs w:val="20"/>
          <w:lang w:val="en-US"/>
        </w:rPr>
        <w:t xml:space="preserve"> (I 160/2015) [2017] NAHCMD 115 (18 April 2017).</w:t>
      </w:r>
    </w:p>
  </w:footnote>
  <w:footnote w:id="19">
    <w:p w14:paraId="5E233209" w14:textId="31F2ACDC"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2017 (2) NR 580 (SC)</w:t>
      </w:r>
      <w:r>
        <w:rPr>
          <w:rFonts w:ascii="Arial" w:hAnsi="Arial" w:cs="Arial"/>
          <w:sz w:val="20"/>
          <w:szCs w:val="20"/>
          <w:lang w:val="en-US"/>
        </w:rPr>
        <w:t>.</w:t>
      </w:r>
    </w:p>
  </w:footnote>
  <w:footnote w:id="20">
    <w:p w14:paraId="2AC64191" w14:textId="0E412578"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u w:val="single"/>
        </w:rPr>
        <w:t xml:space="preserve">Lewis &amp; </w:t>
      </w:r>
      <w:proofErr w:type="spellStart"/>
      <w:r w:rsidRPr="003E4B59">
        <w:rPr>
          <w:rFonts w:ascii="Arial" w:hAnsi="Arial" w:cs="Arial"/>
          <w:sz w:val="20"/>
          <w:szCs w:val="20"/>
          <w:u w:val="single"/>
        </w:rPr>
        <w:t>Kyrou’s</w:t>
      </w:r>
      <w:proofErr w:type="spellEnd"/>
      <w:r w:rsidRPr="003E4B59">
        <w:rPr>
          <w:rFonts w:ascii="Arial" w:hAnsi="Arial" w:cs="Arial"/>
          <w:sz w:val="20"/>
          <w:szCs w:val="20"/>
          <w:u w:val="single"/>
        </w:rPr>
        <w:t xml:space="preserve"> </w:t>
      </w:r>
      <w:r w:rsidRPr="003E4B59">
        <w:rPr>
          <w:rFonts w:ascii="Arial" w:hAnsi="Arial" w:cs="Arial"/>
          <w:sz w:val="20"/>
          <w:szCs w:val="20"/>
          <w:u w:val="single"/>
          <w:lang w:val="en-US"/>
        </w:rPr>
        <w:t>Handy Hints on Legal Practice</w:t>
      </w:r>
      <w:proofErr w:type="gramStart"/>
      <w:r w:rsidRPr="003E4B59">
        <w:rPr>
          <w:rFonts w:ascii="Arial" w:hAnsi="Arial" w:cs="Arial"/>
          <w:sz w:val="20"/>
          <w:szCs w:val="20"/>
          <w:u w:val="single"/>
          <w:lang w:val="en-US"/>
        </w:rPr>
        <w:t xml:space="preserve">, </w:t>
      </w:r>
      <w:r w:rsidRPr="003E4B59">
        <w:rPr>
          <w:rFonts w:ascii="Arial" w:hAnsi="Arial" w:cs="Arial"/>
          <w:sz w:val="20"/>
          <w:szCs w:val="20"/>
          <w:lang w:val="en-US"/>
        </w:rPr>
        <w:t xml:space="preserve"> South</w:t>
      </w:r>
      <w:proofErr w:type="gramEnd"/>
      <w:r w:rsidRPr="003E4B59">
        <w:rPr>
          <w:rFonts w:ascii="Arial" w:hAnsi="Arial" w:cs="Arial"/>
          <w:sz w:val="20"/>
          <w:szCs w:val="20"/>
          <w:lang w:val="en-US"/>
        </w:rPr>
        <w:t xml:space="preserve"> African Edition, Lexis </w:t>
      </w:r>
      <w:proofErr w:type="spellStart"/>
      <w:r w:rsidRPr="003E4B59">
        <w:rPr>
          <w:rFonts w:ascii="Arial" w:hAnsi="Arial" w:cs="Arial"/>
          <w:sz w:val="20"/>
          <w:szCs w:val="20"/>
          <w:lang w:val="en-US"/>
        </w:rPr>
        <w:t>Nexis</w:t>
      </w:r>
      <w:proofErr w:type="spellEnd"/>
      <w:r w:rsidRPr="003E4B59">
        <w:rPr>
          <w:rFonts w:ascii="Arial" w:hAnsi="Arial" w:cs="Arial"/>
          <w:sz w:val="20"/>
          <w:szCs w:val="20"/>
          <w:lang w:val="en-US"/>
        </w:rPr>
        <w:t>, 2004.</w:t>
      </w:r>
    </w:p>
  </w:footnote>
  <w:footnote w:id="21">
    <w:p w14:paraId="303FC83E" w14:textId="1E6BEF8A"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1976 (1) SA 773 (NC) 777-778.</w:t>
      </w:r>
    </w:p>
  </w:footnote>
  <w:footnote w:id="22">
    <w:p w14:paraId="676A98EB" w14:textId="395D3E5F" w:rsidR="00F30751" w:rsidRPr="003E4B59" w:rsidRDefault="00F30751" w:rsidP="000959DA">
      <w:pPr>
        <w:pStyle w:val="FootnoteText"/>
        <w:jc w:val="both"/>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(I 2679/2015) [2016] NAHCMD 104 (8April 2016) at para [32] – [34].</w:t>
      </w:r>
    </w:p>
  </w:footnote>
  <w:footnote w:id="23">
    <w:p w14:paraId="765E5115" w14:textId="211D4D3B" w:rsidR="00F30751" w:rsidRPr="003E4B59" w:rsidRDefault="00F30751">
      <w:pPr>
        <w:pStyle w:val="FootnoteText"/>
        <w:rPr>
          <w:rFonts w:ascii="Arial" w:hAnsi="Arial" w:cs="Arial"/>
          <w:sz w:val="20"/>
          <w:szCs w:val="20"/>
          <w:lang w:val="en-US"/>
        </w:rPr>
      </w:pPr>
      <w:r w:rsidRPr="003E4B59">
        <w:rPr>
          <w:rStyle w:val="FootnoteReference"/>
          <w:rFonts w:ascii="Arial" w:hAnsi="Arial" w:cs="Arial"/>
          <w:sz w:val="20"/>
          <w:szCs w:val="20"/>
        </w:rPr>
        <w:footnoteRef/>
      </w:r>
      <w:r w:rsidRPr="003E4B59">
        <w:rPr>
          <w:rFonts w:ascii="Arial" w:hAnsi="Arial" w:cs="Arial"/>
          <w:sz w:val="20"/>
          <w:szCs w:val="20"/>
        </w:rPr>
        <w:t xml:space="preserve"> </w:t>
      </w:r>
      <w:r w:rsidRPr="003E4B59">
        <w:rPr>
          <w:rFonts w:ascii="Arial" w:hAnsi="Arial" w:cs="Arial"/>
          <w:sz w:val="20"/>
          <w:szCs w:val="20"/>
          <w:lang w:val="en-US"/>
        </w:rPr>
        <w:t>2003 (4) SA 213 (W) at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F949" w14:textId="77777777" w:rsidR="00F30751" w:rsidRDefault="00F30751" w:rsidP="00515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11CCE" w14:textId="77777777" w:rsidR="00F30751" w:rsidRDefault="00F30751" w:rsidP="00B86B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02BD" w14:textId="77777777" w:rsidR="00F30751" w:rsidRDefault="00F30751" w:rsidP="00515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0B7">
      <w:rPr>
        <w:rStyle w:val="PageNumber"/>
        <w:noProof/>
      </w:rPr>
      <w:t>20</w:t>
    </w:r>
    <w:r>
      <w:rPr>
        <w:rStyle w:val="PageNumber"/>
      </w:rPr>
      <w:fldChar w:fldCharType="end"/>
    </w:r>
  </w:p>
  <w:p w14:paraId="6D7C91A3" w14:textId="77777777" w:rsidR="00F30751" w:rsidRDefault="00F30751" w:rsidP="00B86B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92F02"/>
    <w:multiLevelType w:val="hybridMultilevel"/>
    <w:tmpl w:val="B94AE96E"/>
    <w:lvl w:ilvl="0" w:tplc="E104013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E12CC"/>
    <w:multiLevelType w:val="hybridMultilevel"/>
    <w:tmpl w:val="C5000C0A"/>
    <w:lvl w:ilvl="0" w:tplc="6EA41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43470"/>
    <w:multiLevelType w:val="hybridMultilevel"/>
    <w:tmpl w:val="7376F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CF544E"/>
    <w:multiLevelType w:val="hybridMultilevel"/>
    <w:tmpl w:val="C1E610FA"/>
    <w:lvl w:ilvl="0" w:tplc="2CC6325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20ADF"/>
    <w:multiLevelType w:val="hybridMultilevel"/>
    <w:tmpl w:val="AC6ADE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B316E5"/>
    <w:multiLevelType w:val="hybridMultilevel"/>
    <w:tmpl w:val="CC0E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E7"/>
    <w:rsid w:val="000567B0"/>
    <w:rsid w:val="00062E11"/>
    <w:rsid w:val="00065AF9"/>
    <w:rsid w:val="00066F72"/>
    <w:rsid w:val="0007780A"/>
    <w:rsid w:val="0008251A"/>
    <w:rsid w:val="000849FB"/>
    <w:rsid w:val="00091D4A"/>
    <w:rsid w:val="00092F2F"/>
    <w:rsid w:val="000959DA"/>
    <w:rsid w:val="000A1277"/>
    <w:rsid w:val="000C0624"/>
    <w:rsid w:val="000C5437"/>
    <w:rsid w:val="000D7BF2"/>
    <w:rsid w:val="001012D7"/>
    <w:rsid w:val="0010627B"/>
    <w:rsid w:val="001268DA"/>
    <w:rsid w:val="00130A0A"/>
    <w:rsid w:val="00137E61"/>
    <w:rsid w:val="0015094A"/>
    <w:rsid w:val="00151245"/>
    <w:rsid w:val="00152321"/>
    <w:rsid w:val="001A2A64"/>
    <w:rsid w:val="001A7C0E"/>
    <w:rsid w:val="001C4659"/>
    <w:rsid w:val="001D349A"/>
    <w:rsid w:val="001E21B9"/>
    <w:rsid w:val="001F26BE"/>
    <w:rsid w:val="00201694"/>
    <w:rsid w:val="00204767"/>
    <w:rsid w:val="00212D33"/>
    <w:rsid w:val="002257B5"/>
    <w:rsid w:val="00237B63"/>
    <w:rsid w:val="00240AF7"/>
    <w:rsid w:val="00245FAD"/>
    <w:rsid w:val="00271604"/>
    <w:rsid w:val="00276900"/>
    <w:rsid w:val="00284301"/>
    <w:rsid w:val="00290290"/>
    <w:rsid w:val="00292E2C"/>
    <w:rsid w:val="00294EAD"/>
    <w:rsid w:val="002A6108"/>
    <w:rsid w:val="002B4EF7"/>
    <w:rsid w:val="002B6A8C"/>
    <w:rsid w:val="002C5AC9"/>
    <w:rsid w:val="002D0E4C"/>
    <w:rsid w:val="0030436C"/>
    <w:rsid w:val="00304774"/>
    <w:rsid w:val="003166AB"/>
    <w:rsid w:val="00341871"/>
    <w:rsid w:val="003570CF"/>
    <w:rsid w:val="00386585"/>
    <w:rsid w:val="003A1430"/>
    <w:rsid w:val="003A2EE2"/>
    <w:rsid w:val="003E27A0"/>
    <w:rsid w:val="003E4B59"/>
    <w:rsid w:val="00410C95"/>
    <w:rsid w:val="00410EF9"/>
    <w:rsid w:val="0042197B"/>
    <w:rsid w:val="004261B9"/>
    <w:rsid w:val="00463B94"/>
    <w:rsid w:val="00465E7B"/>
    <w:rsid w:val="00497B61"/>
    <w:rsid w:val="004C4431"/>
    <w:rsid w:val="004E1838"/>
    <w:rsid w:val="005030A5"/>
    <w:rsid w:val="0051569D"/>
    <w:rsid w:val="005261D9"/>
    <w:rsid w:val="00550DBF"/>
    <w:rsid w:val="00565EDC"/>
    <w:rsid w:val="005F0B6C"/>
    <w:rsid w:val="005F190C"/>
    <w:rsid w:val="005F4B88"/>
    <w:rsid w:val="0061025E"/>
    <w:rsid w:val="00635A5D"/>
    <w:rsid w:val="0063757B"/>
    <w:rsid w:val="00640DAC"/>
    <w:rsid w:val="00662B76"/>
    <w:rsid w:val="00686C0F"/>
    <w:rsid w:val="006B0DFB"/>
    <w:rsid w:val="006C7A71"/>
    <w:rsid w:val="006D72FE"/>
    <w:rsid w:val="006E07B0"/>
    <w:rsid w:val="006E486A"/>
    <w:rsid w:val="007004CE"/>
    <w:rsid w:val="007125E7"/>
    <w:rsid w:val="00761428"/>
    <w:rsid w:val="00780C53"/>
    <w:rsid w:val="00791E63"/>
    <w:rsid w:val="007D01F2"/>
    <w:rsid w:val="007D6282"/>
    <w:rsid w:val="007E58C5"/>
    <w:rsid w:val="007F1403"/>
    <w:rsid w:val="007F5CF7"/>
    <w:rsid w:val="008118B4"/>
    <w:rsid w:val="00817856"/>
    <w:rsid w:val="00836665"/>
    <w:rsid w:val="00843433"/>
    <w:rsid w:val="008628AE"/>
    <w:rsid w:val="00877DE6"/>
    <w:rsid w:val="008928F5"/>
    <w:rsid w:val="00894493"/>
    <w:rsid w:val="00896CD5"/>
    <w:rsid w:val="008C039F"/>
    <w:rsid w:val="008C08AC"/>
    <w:rsid w:val="008C0A43"/>
    <w:rsid w:val="008D1569"/>
    <w:rsid w:val="008F3E6E"/>
    <w:rsid w:val="0090155C"/>
    <w:rsid w:val="00905AC6"/>
    <w:rsid w:val="00912277"/>
    <w:rsid w:val="009147D9"/>
    <w:rsid w:val="00920FFD"/>
    <w:rsid w:val="009661EE"/>
    <w:rsid w:val="00970D24"/>
    <w:rsid w:val="00973958"/>
    <w:rsid w:val="00980448"/>
    <w:rsid w:val="00980AF2"/>
    <w:rsid w:val="009A2BF6"/>
    <w:rsid w:val="009C5589"/>
    <w:rsid w:val="009C7FA3"/>
    <w:rsid w:val="009D2397"/>
    <w:rsid w:val="009F146A"/>
    <w:rsid w:val="009F2F79"/>
    <w:rsid w:val="00A2679D"/>
    <w:rsid w:val="00A41B98"/>
    <w:rsid w:val="00A43BE8"/>
    <w:rsid w:val="00A55BA9"/>
    <w:rsid w:val="00A57A1A"/>
    <w:rsid w:val="00A66B34"/>
    <w:rsid w:val="00A760B7"/>
    <w:rsid w:val="00A77099"/>
    <w:rsid w:val="00A91890"/>
    <w:rsid w:val="00AA24E2"/>
    <w:rsid w:val="00AB43AB"/>
    <w:rsid w:val="00AE2A30"/>
    <w:rsid w:val="00B517F3"/>
    <w:rsid w:val="00B64445"/>
    <w:rsid w:val="00B67404"/>
    <w:rsid w:val="00B70906"/>
    <w:rsid w:val="00B725A1"/>
    <w:rsid w:val="00B83135"/>
    <w:rsid w:val="00B86B4B"/>
    <w:rsid w:val="00B8760F"/>
    <w:rsid w:val="00B96090"/>
    <w:rsid w:val="00BC0086"/>
    <w:rsid w:val="00BC5122"/>
    <w:rsid w:val="00BE40BC"/>
    <w:rsid w:val="00C00E2F"/>
    <w:rsid w:val="00C06C69"/>
    <w:rsid w:val="00C20343"/>
    <w:rsid w:val="00C2174A"/>
    <w:rsid w:val="00C4178B"/>
    <w:rsid w:val="00C4393D"/>
    <w:rsid w:val="00C468F3"/>
    <w:rsid w:val="00C801BC"/>
    <w:rsid w:val="00C820FA"/>
    <w:rsid w:val="00C85F68"/>
    <w:rsid w:val="00C91C30"/>
    <w:rsid w:val="00CA60A7"/>
    <w:rsid w:val="00CD02B6"/>
    <w:rsid w:val="00CD51B8"/>
    <w:rsid w:val="00CF36F7"/>
    <w:rsid w:val="00D004B2"/>
    <w:rsid w:val="00D14BE1"/>
    <w:rsid w:val="00D15989"/>
    <w:rsid w:val="00D32F9E"/>
    <w:rsid w:val="00D42583"/>
    <w:rsid w:val="00D555B1"/>
    <w:rsid w:val="00D96D95"/>
    <w:rsid w:val="00DD1FD1"/>
    <w:rsid w:val="00DD32B7"/>
    <w:rsid w:val="00DD3EA0"/>
    <w:rsid w:val="00DE4FD5"/>
    <w:rsid w:val="00DF1ED8"/>
    <w:rsid w:val="00DF2868"/>
    <w:rsid w:val="00E057B5"/>
    <w:rsid w:val="00E10D88"/>
    <w:rsid w:val="00E1254F"/>
    <w:rsid w:val="00E244DF"/>
    <w:rsid w:val="00E27958"/>
    <w:rsid w:val="00E30A45"/>
    <w:rsid w:val="00E47031"/>
    <w:rsid w:val="00E54FCA"/>
    <w:rsid w:val="00E61ABE"/>
    <w:rsid w:val="00E651FA"/>
    <w:rsid w:val="00E8054B"/>
    <w:rsid w:val="00EA13B2"/>
    <w:rsid w:val="00EA556C"/>
    <w:rsid w:val="00EA745A"/>
    <w:rsid w:val="00ED1D5F"/>
    <w:rsid w:val="00ED2D22"/>
    <w:rsid w:val="00EE6CE2"/>
    <w:rsid w:val="00F30751"/>
    <w:rsid w:val="00F422C7"/>
    <w:rsid w:val="00F4335A"/>
    <w:rsid w:val="00F53B0C"/>
    <w:rsid w:val="00F56D97"/>
    <w:rsid w:val="00F832AA"/>
    <w:rsid w:val="00F87D9F"/>
    <w:rsid w:val="00FC533D"/>
    <w:rsid w:val="00FC6013"/>
    <w:rsid w:val="00FC7FD0"/>
    <w:rsid w:val="00FF5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6AD58"/>
  <w14:defaultImageDpi w14:val="300"/>
  <w15:docId w15:val="{43C10200-1E63-429F-8D52-C2ECBB0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E7"/>
    <w:pPr>
      <w:ind w:left="720"/>
      <w:contextualSpacing/>
    </w:pPr>
  </w:style>
  <w:style w:type="paragraph" w:styleId="Header">
    <w:name w:val="header"/>
    <w:basedOn w:val="Normal"/>
    <w:link w:val="HeaderChar"/>
    <w:uiPriority w:val="99"/>
    <w:unhideWhenUsed/>
    <w:rsid w:val="00B86B4B"/>
    <w:pPr>
      <w:tabs>
        <w:tab w:val="center" w:pos="4320"/>
        <w:tab w:val="right" w:pos="8640"/>
      </w:tabs>
    </w:pPr>
  </w:style>
  <w:style w:type="character" w:customStyle="1" w:styleId="HeaderChar">
    <w:name w:val="Header Char"/>
    <w:basedOn w:val="DefaultParagraphFont"/>
    <w:link w:val="Header"/>
    <w:uiPriority w:val="99"/>
    <w:rsid w:val="00B86B4B"/>
  </w:style>
  <w:style w:type="character" w:styleId="PageNumber">
    <w:name w:val="page number"/>
    <w:basedOn w:val="DefaultParagraphFont"/>
    <w:uiPriority w:val="99"/>
    <w:semiHidden/>
    <w:unhideWhenUsed/>
    <w:rsid w:val="00B86B4B"/>
  </w:style>
  <w:style w:type="paragraph" w:styleId="FootnoteText">
    <w:name w:val="footnote text"/>
    <w:basedOn w:val="Normal"/>
    <w:link w:val="FootnoteTextChar"/>
    <w:uiPriority w:val="99"/>
    <w:unhideWhenUsed/>
    <w:rsid w:val="0051569D"/>
  </w:style>
  <w:style w:type="character" w:customStyle="1" w:styleId="FootnoteTextChar">
    <w:name w:val="Footnote Text Char"/>
    <w:basedOn w:val="DefaultParagraphFont"/>
    <w:link w:val="FootnoteText"/>
    <w:uiPriority w:val="99"/>
    <w:rsid w:val="0051569D"/>
  </w:style>
  <w:style w:type="character" w:styleId="FootnoteReference">
    <w:name w:val="footnote reference"/>
    <w:basedOn w:val="DefaultParagraphFont"/>
    <w:uiPriority w:val="99"/>
    <w:unhideWhenUsed/>
    <w:rsid w:val="0051569D"/>
    <w:rPr>
      <w:vertAlign w:val="superscript"/>
    </w:rPr>
  </w:style>
  <w:style w:type="paragraph" w:styleId="Footer">
    <w:name w:val="footer"/>
    <w:basedOn w:val="Normal"/>
    <w:link w:val="FooterChar"/>
    <w:uiPriority w:val="99"/>
    <w:unhideWhenUsed/>
    <w:rsid w:val="00686C0F"/>
    <w:pPr>
      <w:tabs>
        <w:tab w:val="center" w:pos="4513"/>
        <w:tab w:val="right" w:pos="9026"/>
      </w:tabs>
    </w:pPr>
  </w:style>
  <w:style w:type="character" w:customStyle="1" w:styleId="FooterChar">
    <w:name w:val="Footer Char"/>
    <w:basedOn w:val="DefaultParagraphFont"/>
    <w:link w:val="Footer"/>
    <w:uiPriority w:val="99"/>
    <w:rsid w:val="00686C0F"/>
  </w:style>
  <w:style w:type="paragraph" w:styleId="BalloonText">
    <w:name w:val="Balloon Text"/>
    <w:basedOn w:val="Normal"/>
    <w:link w:val="BalloonTextChar"/>
    <w:uiPriority w:val="99"/>
    <w:semiHidden/>
    <w:unhideWhenUsed/>
    <w:rsid w:val="00E651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1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2018-05-13T18:30:00+00:00</Judgment_x0020_Date>
    <Year xmlns="c1afb1bd-f2fb-40fd-9abb-aea55b4d7662">2018</Year>
  </documentManagement>
</p:properties>
</file>

<file path=customXml/itemProps1.xml><?xml version="1.0" encoding="utf-8"?>
<ds:datastoreItem xmlns:ds="http://schemas.openxmlformats.org/officeDocument/2006/customXml" ds:itemID="{C7FCEB8F-C823-48F8-A042-B6D723F2E264}"/>
</file>

<file path=customXml/itemProps2.xml><?xml version="1.0" encoding="utf-8"?>
<ds:datastoreItem xmlns:ds="http://schemas.openxmlformats.org/officeDocument/2006/customXml" ds:itemID="{AA69C1C3-1DBB-4A83-9B79-41716F326196}"/>
</file>

<file path=customXml/itemProps3.xml><?xml version="1.0" encoding="utf-8"?>
<ds:datastoreItem xmlns:ds="http://schemas.openxmlformats.org/officeDocument/2006/customXml" ds:itemID="{1243433A-9004-4A38-BE89-3D9956D5CE30}"/>
</file>

<file path=docProps/app.xml><?xml version="1.0" encoding="utf-8"?>
<Properties xmlns="http://schemas.openxmlformats.org/officeDocument/2006/extended-properties" xmlns:vt="http://schemas.openxmlformats.org/officeDocument/2006/docPropsVTypes">
  <Template>Normal</Template>
  <TotalTime>34</TotalTime>
  <Pages>48</Pages>
  <Words>14013</Words>
  <Characters>79879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93705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v Dohrmann </dc:title>
  <dc:subject/>
  <dc:creator>Thomas Masuku</dc:creator>
  <cp:keywords/>
  <dc:description/>
  <cp:lastModifiedBy>User</cp:lastModifiedBy>
  <cp:revision>4</cp:revision>
  <dcterms:created xsi:type="dcterms:W3CDTF">2018-05-14T14:34:00Z</dcterms:created>
  <dcterms:modified xsi:type="dcterms:W3CDTF">2018-05-15T06:28:00Z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