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34" w:rsidRPr="00C929CE" w:rsidRDefault="00173E34" w:rsidP="00173E34">
      <w:pPr>
        <w:spacing w:line="360" w:lineRule="auto"/>
        <w:jc w:val="center"/>
        <w:rPr>
          <w:rFonts w:ascii="Arial" w:eastAsia="Arial" w:hAnsi="Arial" w:cs="Arial"/>
          <w:b/>
        </w:rPr>
      </w:pPr>
      <w:r w:rsidRPr="00C929CE">
        <w:rPr>
          <w:rFonts w:ascii="Arial" w:eastAsia="Arial" w:hAnsi="Arial" w:cs="Arial"/>
          <w:b/>
        </w:rPr>
        <w:t>REPUBLIC OF NAMIBIA</w:t>
      </w:r>
      <w:r w:rsidRPr="00C929CE">
        <w:rPr>
          <w:rFonts w:ascii="Arial" w:hAnsi="Arial" w:cs="Arial"/>
          <w:noProof/>
          <w:lang w:val="en-US"/>
        </w:rPr>
        <mc:AlternateContent>
          <mc:Choice Requires="wps">
            <w:drawing>
              <wp:anchor distT="0" distB="0" distL="114300" distR="114300" simplePos="0" relativeHeight="251659264" behindDoc="0" locked="0" layoutInCell="1" hidden="0" allowOverlap="1" wp14:anchorId="3E2015A4" wp14:editId="6FEAF982">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73E34" w:rsidRDefault="00173E34" w:rsidP="00173E34">
                            <w:pPr>
                              <w:jc w:val="right"/>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334pt;margin-top:-4pt;width:134.25pt;height:20.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173E34" w:rsidRDefault="00173E34" w:rsidP="00173E34">
                      <w:pPr>
                        <w:jc w:val="right"/>
                        <w:textDirection w:val="btLr"/>
                      </w:pPr>
                    </w:p>
                  </w:txbxContent>
                </v:textbox>
                <w10:wrap anchorx="margin"/>
              </v:rect>
            </w:pict>
          </mc:Fallback>
        </mc:AlternateContent>
      </w:r>
    </w:p>
    <w:p w:rsidR="00173E34" w:rsidRPr="00C929CE" w:rsidRDefault="00173E34" w:rsidP="00173E34">
      <w:pPr>
        <w:spacing w:line="360" w:lineRule="auto"/>
        <w:rPr>
          <w:rFonts w:ascii="Arial" w:eastAsia="Arial" w:hAnsi="Arial" w:cs="Arial"/>
          <w:b/>
        </w:rPr>
      </w:pPr>
      <w:r w:rsidRPr="00C929CE">
        <w:rPr>
          <w:rFonts w:ascii="Arial" w:hAnsi="Arial" w:cs="Arial"/>
          <w:noProof/>
          <w:lang w:val="en-US"/>
        </w:rPr>
        <w:drawing>
          <wp:anchor distT="0" distB="0" distL="114300" distR="114300" simplePos="0" relativeHeight="251660288" behindDoc="0" locked="0" layoutInCell="1" hidden="0" allowOverlap="1" wp14:anchorId="2472F4A0" wp14:editId="691F7677">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9"/>
                    <a:srcRect/>
                    <a:stretch>
                      <a:fillRect/>
                    </a:stretch>
                  </pic:blipFill>
                  <pic:spPr>
                    <a:xfrm>
                      <a:off x="0" y="0"/>
                      <a:ext cx="1276350" cy="1323975"/>
                    </a:xfrm>
                    <a:prstGeom prst="rect">
                      <a:avLst/>
                    </a:prstGeom>
                    <a:ln/>
                  </pic:spPr>
                </pic:pic>
              </a:graphicData>
            </a:graphic>
          </wp:anchor>
        </w:drawing>
      </w:r>
    </w:p>
    <w:p w:rsidR="00173E34" w:rsidRPr="00C929CE" w:rsidRDefault="00173E34" w:rsidP="00173E34">
      <w:pPr>
        <w:spacing w:line="360" w:lineRule="auto"/>
        <w:rPr>
          <w:rFonts w:ascii="Arial" w:eastAsia="Arial" w:hAnsi="Arial" w:cs="Arial"/>
          <w:b/>
        </w:rPr>
      </w:pPr>
    </w:p>
    <w:p w:rsidR="00173E34" w:rsidRPr="00C929CE" w:rsidRDefault="00173E34" w:rsidP="00173E34">
      <w:pPr>
        <w:spacing w:line="360" w:lineRule="auto"/>
        <w:rPr>
          <w:rFonts w:ascii="Arial" w:eastAsia="Arial" w:hAnsi="Arial" w:cs="Arial"/>
          <w:b/>
        </w:rPr>
      </w:pPr>
    </w:p>
    <w:p w:rsidR="00173E34" w:rsidRPr="00C929CE" w:rsidRDefault="00173E34" w:rsidP="00173E34">
      <w:pPr>
        <w:spacing w:line="360" w:lineRule="auto"/>
        <w:rPr>
          <w:rFonts w:ascii="Arial" w:eastAsia="Arial" w:hAnsi="Arial" w:cs="Arial"/>
          <w:b/>
        </w:rPr>
      </w:pPr>
    </w:p>
    <w:p w:rsidR="00173E34" w:rsidRPr="00C929CE" w:rsidRDefault="00173E34" w:rsidP="00173E34">
      <w:pPr>
        <w:spacing w:line="360" w:lineRule="auto"/>
        <w:rPr>
          <w:rFonts w:ascii="Arial" w:eastAsia="Arial" w:hAnsi="Arial" w:cs="Arial"/>
          <w:b/>
        </w:rPr>
      </w:pPr>
    </w:p>
    <w:p w:rsidR="00173E34" w:rsidRPr="00C929CE" w:rsidRDefault="00173E34" w:rsidP="00173E34">
      <w:pPr>
        <w:spacing w:line="360" w:lineRule="auto"/>
        <w:jc w:val="center"/>
        <w:rPr>
          <w:rFonts w:ascii="Arial" w:eastAsia="Arial" w:hAnsi="Arial" w:cs="Arial"/>
          <w:b/>
        </w:rPr>
      </w:pPr>
    </w:p>
    <w:p w:rsidR="00173E34" w:rsidRPr="00C929CE" w:rsidRDefault="00173E34" w:rsidP="00173E34">
      <w:pPr>
        <w:spacing w:line="360" w:lineRule="auto"/>
        <w:jc w:val="center"/>
        <w:rPr>
          <w:rFonts w:ascii="Arial" w:eastAsia="Arial" w:hAnsi="Arial" w:cs="Arial"/>
          <w:b/>
        </w:rPr>
      </w:pPr>
    </w:p>
    <w:p w:rsidR="00173E34" w:rsidRPr="00C929CE" w:rsidRDefault="00173E34" w:rsidP="00173E34">
      <w:pPr>
        <w:spacing w:line="360" w:lineRule="auto"/>
        <w:jc w:val="center"/>
        <w:rPr>
          <w:rFonts w:ascii="Arial" w:eastAsia="Arial" w:hAnsi="Arial" w:cs="Arial"/>
          <w:b/>
        </w:rPr>
      </w:pPr>
      <w:r w:rsidRPr="00C929CE">
        <w:rPr>
          <w:rFonts w:ascii="Arial" w:eastAsia="Arial" w:hAnsi="Arial" w:cs="Arial"/>
          <w:b/>
        </w:rPr>
        <w:t>HIGH COURT OF NAMIBIA, MAIN DIVISION, WINDHOEK</w:t>
      </w:r>
    </w:p>
    <w:p w:rsidR="00173E34" w:rsidRPr="00C929CE" w:rsidRDefault="00173E34" w:rsidP="00173E34">
      <w:pPr>
        <w:spacing w:line="360" w:lineRule="auto"/>
        <w:rPr>
          <w:rFonts w:ascii="Arial" w:eastAsia="Arial" w:hAnsi="Arial" w:cs="Arial"/>
          <w:b/>
        </w:rPr>
      </w:pPr>
    </w:p>
    <w:p w:rsidR="00173E34" w:rsidRPr="00C929CE" w:rsidRDefault="00173E34" w:rsidP="00173E34">
      <w:pPr>
        <w:spacing w:line="360" w:lineRule="auto"/>
        <w:jc w:val="center"/>
        <w:rPr>
          <w:rFonts w:ascii="Arial" w:eastAsia="Arial" w:hAnsi="Arial" w:cs="Arial"/>
        </w:rPr>
      </w:pPr>
      <w:r w:rsidRPr="00C929CE">
        <w:rPr>
          <w:rFonts w:ascii="Arial" w:eastAsia="Arial" w:hAnsi="Arial" w:cs="Arial"/>
          <w:b/>
        </w:rPr>
        <w:t xml:space="preserve">RULING </w:t>
      </w:r>
    </w:p>
    <w:p w:rsidR="00173E34" w:rsidRPr="00C929CE" w:rsidRDefault="00173E34" w:rsidP="00173E34">
      <w:pPr>
        <w:spacing w:line="360" w:lineRule="auto"/>
        <w:jc w:val="right"/>
        <w:rPr>
          <w:rFonts w:ascii="Arial" w:eastAsia="Arial" w:hAnsi="Arial" w:cs="Arial"/>
        </w:rPr>
      </w:pPr>
    </w:p>
    <w:p w:rsidR="00173E34" w:rsidRPr="00C929CE" w:rsidRDefault="00173E34" w:rsidP="00173E34">
      <w:pPr>
        <w:tabs>
          <w:tab w:val="right" w:pos="9356"/>
        </w:tabs>
        <w:spacing w:line="360" w:lineRule="auto"/>
        <w:rPr>
          <w:rFonts w:ascii="Arial" w:eastAsia="Arial" w:hAnsi="Arial" w:cs="Arial"/>
          <w:b/>
        </w:rPr>
      </w:pPr>
      <w:r>
        <w:rPr>
          <w:rFonts w:ascii="Arial" w:eastAsia="Arial" w:hAnsi="Arial" w:cs="Arial"/>
        </w:rPr>
        <w:tab/>
        <w:t>Case No: I 5066/2014</w:t>
      </w:r>
    </w:p>
    <w:p w:rsidR="00173E34" w:rsidRPr="00C929CE" w:rsidRDefault="00173E34" w:rsidP="00173E34">
      <w:pPr>
        <w:spacing w:line="360" w:lineRule="auto"/>
        <w:ind w:firstLine="720"/>
        <w:jc w:val="center"/>
        <w:rPr>
          <w:rFonts w:ascii="Arial" w:eastAsia="Arial" w:hAnsi="Arial" w:cs="Arial"/>
        </w:rPr>
      </w:pPr>
    </w:p>
    <w:p w:rsidR="00173E34" w:rsidRPr="00C929CE" w:rsidRDefault="00173E34" w:rsidP="00173E34">
      <w:pPr>
        <w:spacing w:line="360" w:lineRule="auto"/>
        <w:rPr>
          <w:rFonts w:ascii="Arial" w:eastAsia="Arial" w:hAnsi="Arial" w:cs="Arial"/>
        </w:rPr>
      </w:pPr>
      <w:r w:rsidRPr="00C929CE">
        <w:rPr>
          <w:rFonts w:ascii="Arial" w:eastAsia="Arial" w:hAnsi="Arial" w:cs="Arial"/>
        </w:rPr>
        <w:t>In the matter between:</w:t>
      </w:r>
    </w:p>
    <w:p w:rsidR="00173E34" w:rsidRPr="00C929CE" w:rsidRDefault="00173E34" w:rsidP="00173E34">
      <w:pPr>
        <w:spacing w:line="360" w:lineRule="auto"/>
        <w:rPr>
          <w:rFonts w:ascii="Arial" w:eastAsia="Arial" w:hAnsi="Arial" w:cs="Arial"/>
        </w:rPr>
      </w:pPr>
    </w:p>
    <w:p w:rsidR="00173E34" w:rsidRPr="00C929CE" w:rsidRDefault="00AC1782" w:rsidP="00173E34">
      <w:pPr>
        <w:tabs>
          <w:tab w:val="right" w:pos="9356"/>
        </w:tabs>
        <w:spacing w:line="360" w:lineRule="auto"/>
        <w:rPr>
          <w:rFonts w:ascii="Arial" w:eastAsia="Arial" w:hAnsi="Arial" w:cs="Arial"/>
          <w:b/>
        </w:rPr>
      </w:pPr>
      <w:r>
        <w:rPr>
          <w:rFonts w:ascii="Arial" w:eastAsia="Arial" w:hAnsi="Arial" w:cs="Arial"/>
          <w:b/>
        </w:rPr>
        <w:t>S T</w:t>
      </w:r>
      <w:r w:rsidR="00173E34">
        <w:rPr>
          <w:rFonts w:ascii="Arial" w:eastAsia="Arial" w:hAnsi="Arial" w:cs="Arial"/>
          <w:b/>
        </w:rPr>
        <w:tab/>
        <w:t>PLAINTIFF</w:t>
      </w:r>
      <w:r w:rsidR="00173E34" w:rsidRPr="00C929CE">
        <w:rPr>
          <w:rFonts w:ascii="Arial" w:eastAsia="Arial" w:hAnsi="Arial" w:cs="Arial"/>
          <w:b/>
        </w:rPr>
        <w:t xml:space="preserve">                                                      </w:t>
      </w:r>
    </w:p>
    <w:p w:rsidR="00D17D17" w:rsidRDefault="00D17D17" w:rsidP="00173E34">
      <w:pPr>
        <w:spacing w:line="360" w:lineRule="auto"/>
        <w:rPr>
          <w:rFonts w:ascii="Arial" w:eastAsia="Arial" w:hAnsi="Arial" w:cs="Arial"/>
        </w:rPr>
      </w:pPr>
    </w:p>
    <w:p w:rsidR="00173E34" w:rsidRDefault="00D17D17" w:rsidP="00173E34">
      <w:pPr>
        <w:spacing w:line="360" w:lineRule="auto"/>
        <w:rPr>
          <w:rFonts w:ascii="Arial" w:eastAsia="Arial" w:hAnsi="Arial" w:cs="Arial"/>
        </w:rPr>
      </w:pPr>
      <w:proofErr w:type="gramStart"/>
      <w:r>
        <w:rPr>
          <w:rFonts w:ascii="Arial" w:eastAsia="Arial" w:hAnsi="Arial" w:cs="Arial"/>
        </w:rPr>
        <w:t>a</w:t>
      </w:r>
      <w:r w:rsidR="00173E34" w:rsidRPr="00C929CE">
        <w:rPr>
          <w:rFonts w:ascii="Arial" w:eastAsia="Arial" w:hAnsi="Arial" w:cs="Arial"/>
        </w:rPr>
        <w:t>nd</w:t>
      </w:r>
      <w:proofErr w:type="gramEnd"/>
    </w:p>
    <w:p w:rsidR="00D17D17" w:rsidRPr="00D04829" w:rsidRDefault="00D17D17" w:rsidP="00173E34">
      <w:pPr>
        <w:spacing w:line="360" w:lineRule="auto"/>
        <w:rPr>
          <w:rFonts w:ascii="Arial" w:eastAsia="Arial" w:hAnsi="Arial" w:cs="Arial"/>
        </w:rPr>
      </w:pPr>
    </w:p>
    <w:p w:rsidR="00173E34" w:rsidRDefault="00AC1782" w:rsidP="00173E34">
      <w:pPr>
        <w:tabs>
          <w:tab w:val="right" w:pos="9356"/>
        </w:tabs>
        <w:spacing w:line="360" w:lineRule="auto"/>
        <w:rPr>
          <w:rFonts w:ascii="Arial" w:eastAsia="Arial" w:hAnsi="Arial" w:cs="Arial"/>
          <w:b/>
        </w:rPr>
      </w:pPr>
      <w:r>
        <w:rPr>
          <w:rFonts w:ascii="Arial" w:eastAsia="Arial" w:hAnsi="Arial" w:cs="Arial"/>
          <w:b/>
        </w:rPr>
        <w:t xml:space="preserve">P </w:t>
      </w:r>
      <w:r w:rsidR="00173E34">
        <w:rPr>
          <w:rFonts w:ascii="Arial" w:eastAsia="Arial" w:hAnsi="Arial" w:cs="Arial"/>
          <w:b/>
        </w:rPr>
        <w:t>T</w:t>
      </w:r>
      <w:r w:rsidR="00173E34" w:rsidRPr="00C929CE">
        <w:rPr>
          <w:rFonts w:ascii="Arial" w:eastAsia="Arial" w:hAnsi="Arial" w:cs="Arial"/>
          <w:b/>
        </w:rPr>
        <w:tab/>
      </w:r>
      <w:r w:rsidR="00173E34">
        <w:rPr>
          <w:rFonts w:ascii="Arial" w:eastAsia="Arial" w:hAnsi="Arial" w:cs="Arial"/>
          <w:b/>
        </w:rPr>
        <w:t xml:space="preserve"> DEFENDANT</w:t>
      </w:r>
    </w:p>
    <w:p w:rsidR="00173E34" w:rsidRPr="00C929CE" w:rsidRDefault="00173E34" w:rsidP="00173E34">
      <w:pPr>
        <w:tabs>
          <w:tab w:val="right" w:pos="9356"/>
        </w:tabs>
        <w:spacing w:line="360" w:lineRule="auto"/>
        <w:rPr>
          <w:rFonts w:ascii="Arial" w:eastAsia="Arial" w:hAnsi="Arial" w:cs="Arial"/>
          <w:b/>
        </w:rPr>
      </w:pPr>
    </w:p>
    <w:p w:rsidR="00173E34" w:rsidRPr="00CF6E6F" w:rsidRDefault="00173E34" w:rsidP="00173E34">
      <w:pPr>
        <w:tabs>
          <w:tab w:val="right" w:pos="9356"/>
        </w:tabs>
        <w:spacing w:line="360" w:lineRule="auto"/>
        <w:jc w:val="both"/>
        <w:rPr>
          <w:rFonts w:ascii="Arial" w:eastAsia="Arial" w:hAnsi="Arial" w:cs="Arial"/>
        </w:rPr>
      </w:pPr>
      <w:r w:rsidRPr="00C929CE">
        <w:rPr>
          <w:rFonts w:ascii="Arial" w:eastAsia="Arial" w:hAnsi="Arial" w:cs="Arial"/>
          <w:b/>
        </w:rPr>
        <w:t>Neutral Citation</w:t>
      </w:r>
      <w:r w:rsidRPr="00C929CE">
        <w:rPr>
          <w:rFonts w:ascii="Arial" w:eastAsia="Arial" w:hAnsi="Arial" w:cs="Arial"/>
          <w:i/>
        </w:rPr>
        <w:t xml:space="preserve">: </w:t>
      </w:r>
      <w:r w:rsidR="00DC40BD">
        <w:rPr>
          <w:rFonts w:ascii="Arial" w:eastAsia="Arial" w:hAnsi="Arial" w:cs="Arial"/>
          <w:i/>
        </w:rPr>
        <w:t>S T</w:t>
      </w:r>
      <w:r w:rsidR="00AC1782">
        <w:rPr>
          <w:rFonts w:ascii="Arial" w:eastAsia="Arial" w:hAnsi="Arial" w:cs="Arial"/>
          <w:i/>
        </w:rPr>
        <w:t xml:space="preserve"> v P T</w:t>
      </w:r>
      <w:r w:rsidR="00CF6E6F">
        <w:rPr>
          <w:rFonts w:ascii="Arial" w:eastAsia="Arial" w:hAnsi="Arial" w:cs="Arial"/>
          <w:i/>
        </w:rPr>
        <w:t xml:space="preserve"> </w:t>
      </w:r>
      <w:r w:rsidR="00CF6E6F">
        <w:rPr>
          <w:rFonts w:ascii="Arial" w:eastAsia="Arial" w:hAnsi="Arial" w:cs="Arial"/>
        </w:rPr>
        <w:t>(I 5066/2014</w:t>
      </w:r>
      <w:r w:rsidR="0046222E">
        <w:rPr>
          <w:rFonts w:ascii="Arial" w:eastAsia="Arial" w:hAnsi="Arial" w:cs="Arial"/>
        </w:rPr>
        <w:t xml:space="preserve">) [2018] NAHCMD </w:t>
      </w:r>
      <w:r w:rsidR="004F25FE">
        <w:rPr>
          <w:rFonts w:ascii="Arial" w:eastAsia="Arial" w:hAnsi="Arial" w:cs="Arial"/>
        </w:rPr>
        <w:t>162</w:t>
      </w:r>
      <w:r w:rsidR="0046222E">
        <w:rPr>
          <w:rFonts w:ascii="Arial" w:eastAsia="Arial" w:hAnsi="Arial" w:cs="Arial"/>
        </w:rPr>
        <w:t xml:space="preserve"> (</w:t>
      </w:r>
      <w:r w:rsidR="00632DF8">
        <w:rPr>
          <w:rFonts w:ascii="Arial" w:eastAsia="Arial" w:hAnsi="Arial" w:cs="Arial"/>
        </w:rPr>
        <w:t>12</w:t>
      </w:r>
      <w:r w:rsidR="00CF6E6F">
        <w:rPr>
          <w:rFonts w:ascii="Arial" w:eastAsia="Arial" w:hAnsi="Arial" w:cs="Arial"/>
        </w:rPr>
        <w:t xml:space="preserve"> June 2018) </w:t>
      </w:r>
    </w:p>
    <w:p w:rsidR="00173E34" w:rsidRPr="00C929CE" w:rsidRDefault="00173E34" w:rsidP="00173E34">
      <w:pPr>
        <w:tabs>
          <w:tab w:val="right" w:pos="9356"/>
        </w:tabs>
        <w:spacing w:line="360" w:lineRule="auto"/>
        <w:jc w:val="both"/>
        <w:rPr>
          <w:rFonts w:ascii="Arial" w:eastAsia="Arial" w:hAnsi="Arial" w:cs="Arial"/>
        </w:rPr>
      </w:pPr>
    </w:p>
    <w:p w:rsidR="00173E34" w:rsidRPr="00D17D17" w:rsidRDefault="00173E34" w:rsidP="00173E34">
      <w:pPr>
        <w:spacing w:line="360" w:lineRule="auto"/>
        <w:rPr>
          <w:rFonts w:ascii="Arial" w:eastAsia="Arial" w:hAnsi="Arial" w:cs="Arial"/>
        </w:rPr>
      </w:pPr>
      <w:r w:rsidRPr="00C929CE">
        <w:rPr>
          <w:rFonts w:ascii="Arial" w:eastAsia="Arial" w:hAnsi="Arial" w:cs="Arial"/>
          <w:b/>
        </w:rPr>
        <w:t>CORAM:</w:t>
      </w:r>
      <w:r w:rsidRPr="00C929CE">
        <w:rPr>
          <w:rFonts w:ascii="Arial" w:eastAsia="Arial" w:hAnsi="Arial" w:cs="Arial"/>
          <w:b/>
        </w:rPr>
        <w:tab/>
      </w:r>
      <w:r w:rsidRPr="00D17D17">
        <w:rPr>
          <w:rFonts w:ascii="Arial" w:eastAsia="Arial" w:hAnsi="Arial" w:cs="Arial"/>
        </w:rPr>
        <w:t>PRINSLOO J</w:t>
      </w:r>
    </w:p>
    <w:p w:rsidR="00173E34" w:rsidRPr="00C929CE" w:rsidRDefault="00173E34" w:rsidP="00173E34">
      <w:pPr>
        <w:spacing w:line="360" w:lineRule="auto"/>
        <w:rPr>
          <w:rFonts w:ascii="Arial" w:eastAsia="Arial" w:hAnsi="Arial" w:cs="Arial"/>
          <w:b/>
        </w:rPr>
      </w:pPr>
      <w:r>
        <w:rPr>
          <w:rFonts w:ascii="Arial" w:eastAsia="Arial" w:hAnsi="Arial" w:cs="Arial"/>
          <w:b/>
        </w:rPr>
        <w:t xml:space="preserve">Heard: </w:t>
      </w:r>
      <w:r>
        <w:rPr>
          <w:rFonts w:ascii="Arial" w:eastAsia="Arial" w:hAnsi="Arial" w:cs="Arial"/>
          <w:b/>
        </w:rPr>
        <w:tab/>
      </w:r>
      <w:r w:rsidR="007147D6">
        <w:rPr>
          <w:rFonts w:ascii="Arial" w:eastAsia="Arial" w:hAnsi="Arial" w:cs="Arial"/>
          <w:b/>
        </w:rPr>
        <w:t xml:space="preserve">25 April </w:t>
      </w:r>
      <w:r w:rsidRPr="00C929CE">
        <w:rPr>
          <w:rFonts w:ascii="Arial" w:eastAsia="Arial" w:hAnsi="Arial" w:cs="Arial"/>
          <w:b/>
        </w:rPr>
        <w:t>2018</w:t>
      </w:r>
    </w:p>
    <w:p w:rsidR="00173E34" w:rsidRPr="00C929CE" w:rsidRDefault="00173E34" w:rsidP="00173E34">
      <w:pPr>
        <w:spacing w:line="360" w:lineRule="auto"/>
        <w:rPr>
          <w:rFonts w:ascii="Arial" w:eastAsia="Arial" w:hAnsi="Arial" w:cs="Arial"/>
          <w:b/>
        </w:rPr>
      </w:pPr>
      <w:r>
        <w:rPr>
          <w:rFonts w:ascii="Arial" w:eastAsia="Arial" w:hAnsi="Arial" w:cs="Arial"/>
          <w:b/>
        </w:rPr>
        <w:t xml:space="preserve">Delivered:  </w:t>
      </w:r>
      <w:r>
        <w:rPr>
          <w:rFonts w:ascii="Arial" w:eastAsia="Arial" w:hAnsi="Arial" w:cs="Arial"/>
          <w:b/>
        </w:rPr>
        <w:tab/>
      </w:r>
      <w:r w:rsidR="007147D6">
        <w:rPr>
          <w:rFonts w:ascii="Arial" w:eastAsia="Arial" w:hAnsi="Arial" w:cs="Arial"/>
          <w:b/>
        </w:rPr>
        <w:t>24 May</w:t>
      </w:r>
      <w:r w:rsidRPr="00C929CE">
        <w:rPr>
          <w:rFonts w:ascii="Arial" w:eastAsia="Arial" w:hAnsi="Arial" w:cs="Arial"/>
          <w:b/>
        </w:rPr>
        <w:t xml:space="preserve"> 2018</w:t>
      </w:r>
    </w:p>
    <w:p w:rsidR="00173E34" w:rsidRDefault="00173E34" w:rsidP="00173E34">
      <w:pPr>
        <w:spacing w:line="360" w:lineRule="auto"/>
        <w:rPr>
          <w:rFonts w:ascii="Arial" w:eastAsia="Arial" w:hAnsi="Arial" w:cs="Arial"/>
          <w:b/>
        </w:rPr>
      </w:pPr>
      <w:r>
        <w:rPr>
          <w:rFonts w:ascii="Arial" w:eastAsia="Arial" w:hAnsi="Arial" w:cs="Arial"/>
          <w:b/>
        </w:rPr>
        <w:t xml:space="preserve">Reasons:     </w:t>
      </w:r>
      <w:r w:rsidR="007147D6">
        <w:rPr>
          <w:rFonts w:ascii="Arial" w:eastAsia="Arial" w:hAnsi="Arial" w:cs="Arial"/>
          <w:b/>
        </w:rPr>
        <w:t xml:space="preserve">12 June </w:t>
      </w:r>
      <w:r w:rsidRPr="00C929CE">
        <w:rPr>
          <w:rFonts w:ascii="Arial" w:eastAsia="Arial" w:hAnsi="Arial" w:cs="Arial"/>
          <w:b/>
        </w:rPr>
        <w:t>2018</w:t>
      </w:r>
    </w:p>
    <w:p w:rsidR="00173E34" w:rsidRPr="00C929CE" w:rsidRDefault="00173E34" w:rsidP="00173E34">
      <w:pPr>
        <w:spacing w:line="360" w:lineRule="auto"/>
        <w:rPr>
          <w:rFonts w:ascii="Arial" w:eastAsia="Arial" w:hAnsi="Arial" w:cs="Arial"/>
          <w:b/>
        </w:rPr>
      </w:pPr>
    </w:p>
    <w:p w:rsidR="00173E34" w:rsidRPr="0078124E" w:rsidRDefault="00173E34" w:rsidP="00173E34">
      <w:pPr>
        <w:pStyle w:val="western"/>
        <w:shd w:val="clear" w:color="auto" w:fill="FFFFFF"/>
        <w:spacing w:before="144" w:beforeAutospacing="0" w:after="0" w:afterAutospacing="0" w:line="360" w:lineRule="auto"/>
        <w:jc w:val="both"/>
        <w:rPr>
          <w:rFonts w:ascii="Arial" w:hAnsi="Arial" w:cs="Arial"/>
          <w:shd w:val="clear" w:color="auto" w:fill="FFFFFF"/>
        </w:rPr>
      </w:pPr>
      <w:proofErr w:type="spellStart"/>
      <w:r w:rsidRPr="00C929CE">
        <w:rPr>
          <w:rFonts w:ascii="Arial" w:eastAsia="Arial" w:hAnsi="Arial" w:cs="Arial"/>
          <w:b/>
        </w:rPr>
        <w:t>Flynotes</w:t>
      </w:r>
      <w:proofErr w:type="spellEnd"/>
      <w:r w:rsidRPr="00C929CE">
        <w:rPr>
          <w:rFonts w:ascii="Arial" w:eastAsia="Arial" w:hAnsi="Arial" w:cs="Arial"/>
          <w:b/>
        </w:rPr>
        <w:t xml:space="preserve">: </w:t>
      </w:r>
      <w:r w:rsidR="0078124E">
        <w:rPr>
          <w:rFonts w:ascii="Arial" w:eastAsia="Arial" w:hAnsi="Arial" w:cs="Arial"/>
        </w:rPr>
        <w:t xml:space="preserve">Civil Practice – Compliance with Rule 32 (9) and (10) before launching an application – Role </w:t>
      </w:r>
      <w:r w:rsidR="00ED31FC">
        <w:rPr>
          <w:rFonts w:ascii="Arial" w:eastAsia="Arial" w:hAnsi="Arial" w:cs="Arial"/>
        </w:rPr>
        <w:t>of 32 (9) and (10) reiterated.</w:t>
      </w:r>
    </w:p>
    <w:p w:rsidR="00173E34" w:rsidRPr="00C929CE" w:rsidRDefault="00173E34" w:rsidP="00173E34">
      <w:pPr>
        <w:spacing w:line="360" w:lineRule="auto"/>
        <w:rPr>
          <w:rFonts w:ascii="Arial" w:eastAsia="Arial" w:hAnsi="Arial" w:cs="Arial"/>
          <w:b/>
        </w:rPr>
      </w:pPr>
    </w:p>
    <w:p w:rsidR="00173E34" w:rsidRDefault="00173E34" w:rsidP="00173E34">
      <w:pPr>
        <w:spacing w:line="360" w:lineRule="auto"/>
        <w:jc w:val="both"/>
        <w:rPr>
          <w:rFonts w:ascii="Arial" w:eastAsia="Arial" w:hAnsi="Arial" w:cs="Arial"/>
        </w:rPr>
      </w:pPr>
      <w:r w:rsidRPr="00C929CE">
        <w:rPr>
          <w:rFonts w:ascii="Arial" w:eastAsia="Arial" w:hAnsi="Arial" w:cs="Arial"/>
          <w:b/>
        </w:rPr>
        <w:t>Summary:</w:t>
      </w:r>
      <w:r w:rsidRPr="00C929CE">
        <w:rPr>
          <w:rFonts w:ascii="Arial" w:eastAsia="Arial" w:hAnsi="Arial" w:cs="Arial"/>
        </w:rPr>
        <w:t xml:space="preserve"> </w:t>
      </w:r>
      <w:r w:rsidR="00884FDC">
        <w:rPr>
          <w:rFonts w:ascii="Arial" w:eastAsia="Arial" w:hAnsi="Arial" w:cs="Arial"/>
        </w:rPr>
        <w:t xml:space="preserve">The </w:t>
      </w:r>
      <w:proofErr w:type="gramStart"/>
      <w:r w:rsidR="00884FDC">
        <w:rPr>
          <w:rFonts w:ascii="Arial" w:eastAsia="Arial" w:hAnsi="Arial" w:cs="Arial"/>
        </w:rPr>
        <w:t>plaintiff sought for a relief to bring an application have</w:t>
      </w:r>
      <w:proofErr w:type="gramEnd"/>
      <w:r w:rsidR="00884FDC">
        <w:rPr>
          <w:rFonts w:ascii="Arial" w:eastAsia="Arial" w:hAnsi="Arial" w:cs="Arial"/>
        </w:rPr>
        <w:t xml:space="preserve"> the order for restitution of conjugal rights granted to the defendant be rescinded and set aside. However, due to delays caused by issues surrounding the withdrawal and appointment of legal practitioners of record, the application to rescind the restitution of conjugal right’s order was not properly done before this court.</w:t>
      </w:r>
    </w:p>
    <w:p w:rsidR="00884FDC" w:rsidRDefault="00884FDC" w:rsidP="00173E34">
      <w:pPr>
        <w:spacing w:line="360" w:lineRule="auto"/>
        <w:jc w:val="both"/>
        <w:rPr>
          <w:rFonts w:ascii="Arial" w:eastAsia="Arial" w:hAnsi="Arial" w:cs="Arial"/>
        </w:rPr>
      </w:pPr>
    </w:p>
    <w:p w:rsidR="00884FDC" w:rsidRDefault="00884FDC" w:rsidP="00173E34">
      <w:pPr>
        <w:spacing w:line="360" w:lineRule="auto"/>
        <w:jc w:val="both"/>
        <w:rPr>
          <w:rFonts w:ascii="Arial" w:eastAsia="Arial" w:hAnsi="Arial" w:cs="Arial"/>
        </w:rPr>
      </w:pPr>
      <w:r>
        <w:rPr>
          <w:rFonts w:ascii="Arial" w:eastAsia="Arial" w:hAnsi="Arial" w:cs="Arial"/>
        </w:rPr>
        <w:t>The</w:t>
      </w:r>
      <w:r w:rsidR="00E95A59">
        <w:rPr>
          <w:rFonts w:ascii="Arial" w:eastAsia="Arial" w:hAnsi="Arial" w:cs="Arial"/>
        </w:rPr>
        <w:t xml:space="preserve"> plaintiff’s erstwhile legal practitioner made submissions that she was of the view that her withdrawal as legal practitioner of record was done properly and the appointment of the offices of Dr </w:t>
      </w:r>
      <w:proofErr w:type="spellStart"/>
      <w:r w:rsidR="00E95A59">
        <w:rPr>
          <w:rFonts w:ascii="Arial" w:eastAsia="Arial" w:hAnsi="Arial" w:cs="Arial"/>
        </w:rPr>
        <w:t>Weder</w:t>
      </w:r>
      <w:proofErr w:type="spellEnd"/>
      <w:r w:rsidR="00E95A59">
        <w:rPr>
          <w:rFonts w:ascii="Arial" w:eastAsia="Arial" w:hAnsi="Arial" w:cs="Arial"/>
        </w:rPr>
        <w:t xml:space="preserve"> </w:t>
      </w:r>
      <w:proofErr w:type="spellStart"/>
      <w:r w:rsidR="00E95A59">
        <w:rPr>
          <w:rFonts w:ascii="Arial" w:eastAsia="Arial" w:hAnsi="Arial" w:cs="Arial"/>
        </w:rPr>
        <w:t>Kauta</w:t>
      </w:r>
      <w:proofErr w:type="spellEnd"/>
      <w:r w:rsidR="00E95A59">
        <w:rPr>
          <w:rFonts w:ascii="Arial" w:eastAsia="Arial" w:hAnsi="Arial" w:cs="Arial"/>
        </w:rPr>
        <w:t xml:space="preserve"> and </w:t>
      </w:r>
      <w:proofErr w:type="spellStart"/>
      <w:r w:rsidR="00E95A59">
        <w:rPr>
          <w:rFonts w:ascii="Arial" w:eastAsia="Arial" w:hAnsi="Arial" w:cs="Arial"/>
        </w:rPr>
        <w:t>Hoveka</w:t>
      </w:r>
      <w:proofErr w:type="spellEnd"/>
      <w:r w:rsidR="00E95A59">
        <w:rPr>
          <w:rFonts w:ascii="Arial" w:eastAsia="Arial" w:hAnsi="Arial" w:cs="Arial"/>
        </w:rPr>
        <w:t xml:space="preserve"> properly substituted her as legal practitioners of record. </w:t>
      </w:r>
    </w:p>
    <w:p w:rsidR="00307C48" w:rsidRDefault="00307C48" w:rsidP="00173E34">
      <w:pPr>
        <w:spacing w:line="360" w:lineRule="auto"/>
        <w:jc w:val="both"/>
        <w:rPr>
          <w:rFonts w:ascii="Arial" w:eastAsia="Arial" w:hAnsi="Arial" w:cs="Arial"/>
        </w:rPr>
      </w:pPr>
    </w:p>
    <w:p w:rsidR="00307C48" w:rsidRDefault="00307C48" w:rsidP="00173E34">
      <w:pPr>
        <w:spacing w:line="360" w:lineRule="auto"/>
        <w:jc w:val="both"/>
        <w:rPr>
          <w:rFonts w:ascii="Arial" w:eastAsia="Arial" w:hAnsi="Arial" w:cs="Arial"/>
        </w:rPr>
      </w:pPr>
      <w:r>
        <w:rPr>
          <w:rFonts w:ascii="Arial" w:eastAsia="Arial" w:hAnsi="Arial" w:cs="Arial"/>
        </w:rPr>
        <w:t xml:space="preserve">The plaintiff also filed an affidavit explaining that indeed, the erstwhile legal practitioner of record informed him of her intentions to withdraw and that the offices of Dr </w:t>
      </w:r>
      <w:proofErr w:type="spellStart"/>
      <w:r>
        <w:rPr>
          <w:rFonts w:ascii="Arial" w:eastAsia="Arial" w:hAnsi="Arial" w:cs="Arial"/>
        </w:rPr>
        <w:t>Weder</w:t>
      </w:r>
      <w:proofErr w:type="spellEnd"/>
      <w:r>
        <w:rPr>
          <w:rFonts w:ascii="Arial" w:eastAsia="Arial" w:hAnsi="Arial" w:cs="Arial"/>
        </w:rPr>
        <w:t xml:space="preserve"> </w:t>
      </w:r>
      <w:proofErr w:type="spellStart"/>
      <w:r>
        <w:rPr>
          <w:rFonts w:ascii="Arial" w:eastAsia="Arial" w:hAnsi="Arial" w:cs="Arial"/>
        </w:rPr>
        <w:t>Kauta</w:t>
      </w:r>
      <w:proofErr w:type="spellEnd"/>
      <w:r>
        <w:rPr>
          <w:rFonts w:ascii="Arial" w:eastAsia="Arial" w:hAnsi="Arial" w:cs="Arial"/>
        </w:rPr>
        <w:t xml:space="preserve"> and </w:t>
      </w:r>
      <w:proofErr w:type="spellStart"/>
      <w:r>
        <w:rPr>
          <w:rFonts w:ascii="Arial" w:eastAsia="Arial" w:hAnsi="Arial" w:cs="Arial"/>
        </w:rPr>
        <w:t>Hoveka</w:t>
      </w:r>
      <w:proofErr w:type="spellEnd"/>
      <w:r>
        <w:rPr>
          <w:rFonts w:ascii="Arial" w:eastAsia="Arial" w:hAnsi="Arial" w:cs="Arial"/>
        </w:rPr>
        <w:t xml:space="preserve"> would replace her mandate. The plaintiff further submitted that due to the lack of activity on his instructions and/or the matter, he decided to take matters into his own hands by instructing the offices of </w:t>
      </w:r>
      <w:proofErr w:type="spellStart"/>
      <w:r>
        <w:rPr>
          <w:rFonts w:ascii="Arial" w:eastAsia="Arial" w:hAnsi="Arial" w:cs="Arial"/>
        </w:rPr>
        <w:t>Ueitele</w:t>
      </w:r>
      <w:proofErr w:type="spellEnd"/>
      <w:r>
        <w:rPr>
          <w:rFonts w:ascii="Arial" w:eastAsia="Arial" w:hAnsi="Arial" w:cs="Arial"/>
        </w:rPr>
        <w:t xml:space="preserve"> and Hans Inc. to further deal with his matter.</w:t>
      </w:r>
    </w:p>
    <w:p w:rsidR="00307C48" w:rsidRDefault="00307C48" w:rsidP="00173E34">
      <w:pPr>
        <w:spacing w:line="360" w:lineRule="auto"/>
        <w:jc w:val="both"/>
        <w:rPr>
          <w:rFonts w:ascii="Arial" w:eastAsia="Arial" w:hAnsi="Arial" w:cs="Arial"/>
        </w:rPr>
      </w:pPr>
    </w:p>
    <w:p w:rsidR="00307C48" w:rsidRPr="00C929CE" w:rsidRDefault="00C41579" w:rsidP="00173E34">
      <w:pPr>
        <w:spacing w:line="360" w:lineRule="auto"/>
        <w:jc w:val="both"/>
        <w:rPr>
          <w:rFonts w:ascii="Arial" w:eastAsia="Arial" w:hAnsi="Arial" w:cs="Arial"/>
        </w:rPr>
      </w:pPr>
      <w:r>
        <w:rPr>
          <w:rFonts w:ascii="Arial" w:eastAsia="Arial" w:hAnsi="Arial" w:cs="Arial"/>
        </w:rPr>
        <w:t>The defendant is however of</w:t>
      </w:r>
      <w:r w:rsidR="00307C48">
        <w:rPr>
          <w:rFonts w:ascii="Arial" w:eastAsia="Arial" w:hAnsi="Arial" w:cs="Arial"/>
        </w:rPr>
        <w:t xml:space="preserve"> the view that the erstwhile practitioner of record’s withdrawal was i</w:t>
      </w:r>
      <w:r>
        <w:rPr>
          <w:rFonts w:ascii="Arial" w:eastAsia="Arial" w:hAnsi="Arial" w:cs="Arial"/>
        </w:rPr>
        <w:t xml:space="preserve">mproperly and not in terms of the rules of court and further that the offices </w:t>
      </w:r>
      <w:proofErr w:type="spellStart"/>
      <w:r>
        <w:rPr>
          <w:rFonts w:ascii="Arial" w:eastAsia="Arial" w:hAnsi="Arial" w:cs="Arial"/>
        </w:rPr>
        <w:t>Ueitele</w:t>
      </w:r>
      <w:proofErr w:type="spellEnd"/>
      <w:r>
        <w:rPr>
          <w:rFonts w:ascii="Arial" w:eastAsia="Arial" w:hAnsi="Arial" w:cs="Arial"/>
        </w:rPr>
        <w:t xml:space="preserve"> and Hans Inc. had no authority to approach and contact the offices of the defendant’s legal practitioners in </w:t>
      </w:r>
      <w:r w:rsidR="00D43BCF">
        <w:rPr>
          <w:rFonts w:ascii="Arial" w:eastAsia="Arial" w:hAnsi="Arial" w:cs="Arial"/>
        </w:rPr>
        <w:t xml:space="preserve">dealing with </w:t>
      </w:r>
      <w:r>
        <w:rPr>
          <w:rFonts w:ascii="Arial" w:eastAsia="Arial" w:hAnsi="Arial" w:cs="Arial"/>
        </w:rPr>
        <w:t>this matter.</w:t>
      </w:r>
    </w:p>
    <w:p w:rsidR="00173E34" w:rsidRPr="00C929CE" w:rsidRDefault="00173E34" w:rsidP="00173E34">
      <w:pPr>
        <w:spacing w:line="360" w:lineRule="auto"/>
        <w:jc w:val="both"/>
        <w:rPr>
          <w:rFonts w:ascii="Arial" w:eastAsia="Arial" w:hAnsi="Arial" w:cs="Arial"/>
        </w:rPr>
      </w:pPr>
    </w:p>
    <w:p w:rsidR="00173E34" w:rsidRPr="00C929CE" w:rsidRDefault="00173E34" w:rsidP="00173E34">
      <w:pPr>
        <w:spacing w:line="360" w:lineRule="auto"/>
        <w:jc w:val="both"/>
        <w:rPr>
          <w:rFonts w:ascii="Arial" w:hAnsi="Arial" w:cs="Arial"/>
        </w:rPr>
      </w:pPr>
      <w:r w:rsidRPr="00C929CE">
        <w:rPr>
          <w:rFonts w:ascii="Arial" w:eastAsia="Arial" w:hAnsi="Arial" w:cs="Arial"/>
        </w:rPr>
        <w:t xml:space="preserve">Held – </w:t>
      </w:r>
      <w:r w:rsidR="009F495D">
        <w:rPr>
          <w:rFonts w:ascii="Arial" w:hAnsi="Arial" w:cs="Arial"/>
          <w:shd w:val="clear" w:color="auto" w:fill="FFFFFF"/>
        </w:rPr>
        <w:t>It is not for this court to punish the plaintiff for the poor execution of his wishes on the matter when the legal practitioners appointed could not do so.</w:t>
      </w:r>
    </w:p>
    <w:p w:rsidR="00173E34" w:rsidRPr="00C929CE" w:rsidRDefault="00173E34" w:rsidP="00173E34">
      <w:pPr>
        <w:spacing w:line="360" w:lineRule="auto"/>
        <w:jc w:val="both"/>
        <w:rPr>
          <w:rFonts w:ascii="Arial" w:hAnsi="Arial" w:cs="Arial"/>
        </w:rPr>
      </w:pPr>
    </w:p>
    <w:p w:rsidR="00173E34" w:rsidRDefault="00173E34" w:rsidP="00173E34">
      <w:pPr>
        <w:spacing w:line="360" w:lineRule="auto"/>
        <w:jc w:val="both"/>
        <w:rPr>
          <w:rFonts w:ascii="Arial" w:hAnsi="Arial" w:cs="Arial"/>
          <w:shd w:val="clear" w:color="auto" w:fill="FFFFFF"/>
        </w:rPr>
      </w:pPr>
      <w:r w:rsidRPr="00C929CE">
        <w:rPr>
          <w:rFonts w:ascii="Arial" w:hAnsi="Arial" w:cs="Arial"/>
        </w:rPr>
        <w:t>Held further that –</w:t>
      </w:r>
      <w:r w:rsidR="009F495D">
        <w:rPr>
          <w:rFonts w:ascii="Arial" w:hAnsi="Arial" w:cs="Arial"/>
        </w:rPr>
        <w:t xml:space="preserve"> </w:t>
      </w:r>
      <w:r w:rsidR="009F495D">
        <w:rPr>
          <w:rFonts w:ascii="Arial" w:hAnsi="Arial" w:cs="Arial"/>
          <w:shd w:val="clear" w:color="auto" w:fill="FFFFFF"/>
        </w:rPr>
        <w:t>It must also be borne in mind that this matter involves the status of the parties and this court cannot do injustice to a party wherein the default in any nature is not of his or her own doing</w:t>
      </w:r>
      <w:r w:rsidR="00CC0DE2">
        <w:rPr>
          <w:rFonts w:ascii="Arial" w:hAnsi="Arial" w:cs="Arial"/>
          <w:shd w:val="clear" w:color="auto" w:fill="FFFFFF"/>
        </w:rPr>
        <w:t>.</w:t>
      </w:r>
    </w:p>
    <w:p w:rsidR="00ED31FC" w:rsidRDefault="00ED31FC" w:rsidP="00173E34">
      <w:pPr>
        <w:spacing w:line="360" w:lineRule="auto"/>
        <w:jc w:val="both"/>
        <w:rPr>
          <w:rFonts w:ascii="Arial" w:hAnsi="Arial" w:cs="Arial"/>
          <w:shd w:val="clear" w:color="auto" w:fill="FFFFFF"/>
        </w:rPr>
      </w:pPr>
    </w:p>
    <w:p w:rsidR="00173E34" w:rsidRPr="00C929CE" w:rsidRDefault="00173E34" w:rsidP="00173E34">
      <w:pPr>
        <w:pBdr>
          <w:bottom w:val="single" w:sz="6" w:space="1" w:color="000000"/>
        </w:pBdr>
        <w:spacing w:line="360" w:lineRule="auto"/>
        <w:jc w:val="both"/>
        <w:rPr>
          <w:rFonts w:ascii="Arial" w:eastAsia="Arial" w:hAnsi="Arial" w:cs="Arial"/>
          <w:b/>
        </w:rPr>
      </w:pPr>
    </w:p>
    <w:p w:rsidR="00173E34" w:rsidRPr="00C929CE" w:rsidRDefault="00173E34" w:rsidP="00173E34">
      <w:pPr>
        <w:spacing w:line="360" w:lineRule="auto"/>
        <w:rPr>
          <w:rFonts w:ascii="Arial" w:eastAsia="Arial" w:hAnsi="Arial" w:cs="Arial"/>
          <w:b/>
        </w:rPr>
      </w:pPr>
    </w:p>
    <w:p w:rsidR="00173E34" w:rsidRPr="00C929CE" w:rsidRDefault="00173E34" w:rsidP="00173E34">
      <w:pPr>
        <w:spacing w:line="360" w:lineRule="auto"/>
        <w:jc w:val="center"/>
        <w:rPr>
          <w:rFonts w:ascii="Arial" w:eastAsia="Arial" w:hAnsi="Arial" w:cs="Arial"/>
          <w:b/>
        </w:rPr>
      </w:pPr>
      <w:r w:rsidRPr="00C929CE">
        <w:rPr>
          <w:rFonts w:ascii="Arial" w:eastAsia="Arial" w:hAnsi="Arial" w:cs="Arial"/>
          <w:b/>
        </w:rPr>
        <w:t>ORDER</w:t>
      </w:r>
    </w:p>
    <w:p w:rsidR="00173E34" w:rsidRPr="00C929CE" w:rsidRDefault="00173E34" w:rsidP="00173E34">
      <w:pPr>
        <w:pBdr>
          <w:bottom w:val="single" w:sz="6" w:space="1" w:color="000000"/>
        </w:pBdr>
        <w:spacing w:line="360" w:lineRule="auto"/>
        <w:jc w:val="center"/>
        <w:rPr>
          <w:rFonts w:ascii="Arial" w:eastAsia="Arial" w:hAnsi="Arial" w:cs="Arial"/>
          <w:b/>
        </w:rPr>
      </w:pPr>
    </w:p>
    <w:p w:rsidR="00173E34" w:rsidRPr="00C929CE" w:rsidRDefault="00173E34" w:rsidP="00173E34">
      <w:pPr>
        <w:spacing w:line="360" w:lineRule="auto"/>
        <w:jc w:val="both"/>
        <w:rPr>
          <w:rFonts w:ascii="Arial" w:eastAsia="Arial" w:hAnsi="Arial" w:cs="Arial"/>
        </w:rPr>
      </w:pPr>
    </w:p>
    <w:p w:rsidR="000223D3" w:rsidRPr="00317AE3" w:rsidRDefault="000223D3" w:rsidP="00D17D17">
      <w:pPr>
        <w:pStyle w:val="western"/>
        <w:numPr>
          <w:ilvl w:val="0"/>
          <w:numId w:val="2"/>
        </w:numPr>
        <w:shd w:val="clear" w:color="auto" w:fill="FFFFFF"/>
        <w:spacing w:before="0" w:beforeAutospacing="0" w:after="0" w:afterAutospacing="0" w:line="360" w:lineRule="auto"/>
        <w:ind w:hanging="720"/>
        <w:jc w:val="both"/>
        <w:rPr>
          <w:rFonts w:ascii="Arial" w:hAnsi="Arial" w:cs="Arial"/>
          <w:shd w:val="clear" w:color="auto" w:fill="FFFFFF"/>
        </w:rPr>
      </w:pPr>
      <w:r>
        <w:rPr>
          <w:rFonts w:ascii="Arial" w:hAnsi="Arial" w:cs="Arial"/>
          <w:shd w:val="clear" w:color="auto" w:fill="FFFFFF"/>
        </w:rPr>
        <w:t>Application for condonation of the late filing of rule 32 (10) report and notice of representation is granted.</w:t>
      </w:r>
    </w:p>
    <w:p w:rsidR="000223D3" w:rsidRDefault="000223D3" w:rsidP="00D17D17">
      <w:pPr>
        <w:pStyle w:val="western"/>
        <w:numPr>
          <w:ilvl w:val="0"/>
          <w:numId w:val="2"/>
        </w:numPr>
        <w:shd w:val="clear" w:color="auto" w:fill="FFFFFF"/>
        <w:spacing w:before="0" w:beforeAutospacing="0" w:after="0" w:afterAutospacing="0" w:line="360" w:lineRule="auto"/>
        <w:ind w:hanging="720"/>
        <w:jc w:val="both"/>
        <w:rPr>
          <w:rFonts w:ascii="Arial" w:hAnsi="Arial" w:cs="Arial"/>
          <w:shd w:val="clear" w:color="auto" w:fill="FFFFFF"/>
        </w:rPr>
      </w:pPr>
      <w:r>
        <w:rPr>
          <w:rFonts w:ascii="Arial" w:hAnsi="Arial" w:cs="Arial"/>
          <w:shd w:val="clear" w:color="auto" w:fill="FFFFFF"/>
        </w:rPr>
        <w:t>Application for rescission of the court order (restitution of conjugal rights) dated 16 November 2017 is granted and Plaintiff is allowed to defend the defendant’s claim.</w:t>
      </w:r>
    </w:p>
    <w:p w:rsidR="00173E34" w:rsidRPr="00D17D17" w:rsidRDefault="000223D3" w:rsidP="00173E34">
      <w:pPr>
        <w:pStyle w:val="western"/>
        <w:numPr>
          <w:ilvl w:val="0"/>
          <w:numId w:val="2"/>
        </w:numPr>
        <w:shd w:val="clear" w:color="auto" w:fill="FFFFFF"/>
        <w:spacing w:before="0" w:beforeAutospacing="0" w:after="0" w:afterAutospacing="0" w:line="360" w:lineRule="auto"/>
        <w:ind w:hanging="720"/>
        <w:jc w:val="both"/>
        <w:rPr>
          <w:rFonts w:ascii="Arial" w:hAnsi="Arial" w:cs="Arial"/>
          <w:shd w:val="clear" w:color="auto" w:fill="FFFFFF"/>
        </w:rPr>
      </w:pPr>
      <w:r>
        <w:rPr>
          <w:rFonts w:ascii="Arial" w:hAnsi="Arial" w:cs="Arial"/>
          <w:shd w:val="clear" w:color="auto" w:fill="FFFFFF"/>
        </w:rPr>
        <w:t xml:space="preserve">Application for rescission of court order dated 26 October 2017 dismissing Plaintiff’s claim is granted and Plaintiff is allowed to proceed with his claim against the Defendant. </w:t>
      </w: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______________________________________________________________________</w:t>
      </w:r>
    </w:p>
    <w:p w:rsidR="00173E34" w:rsidRPr="00C929CE" w:rsidRDefault="00173E34" w:rsidP="00173E34">
      <w:pPr>
        <w:spacing w:line="360" w:lineRule="auto"/>
        <w:jc w:val="center"/>
        <w:rPr>
          <w:rFonts w:ascii="Arial" w:eastAsia="Arial" w:hAnsi="Arial" w:cs="Arial"/>
          <w:b/>
        </w:rPr>
      </w:pPr>
      <w:r w:rsidRPr="00C929CE">
        <w:rPr>
          <w:rFonts w:ascii="Arial" w:eastAsia="Arial" w:hAnsi="Arial" w:cs="Arial"/>
          <w:b/>
        </w:rPr>
        <w:t>RULING</w:t>
      </w: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______________________________________________________________________</w:t>
      </w:r>
    </w:p>
    <w:p w:rsidR="00173E34" w:rsidRDefault="00D17D17" w:rsidP="00173E34">
      <w:pPr>
        <w:spacing w:line="360" w:lineRule="auto"/>
        <w:rPr>
          <w:rFonts w:ascii="Arial" w:eastAsia="Arial" w:hAnsi="Arial" w:cs="Arial"/>
        </w:rPr>
      </w:pPr>
      <w:r>
        <w:rPr>
          <w:rFonts w:ascii="Arial" w:eastAsia="Arial" w:hAnsi="Arial" w:cs="Arial"/>
        </w:rPr>
        <w:t>PRINSLOO, J:</w:t>
      </w:r>
    </w:p>
    <w:p w:rsidR="00D17D17" w:rsidRPr="00D17D17" w:rsidRDefault="00D17D17" w:rsidP="00173E34">
      <w:pPr>
        <w:spacing w:line="360" w:lineRule="auto"/>
        <w:rPr>
          <w:rFonts w:ascii="Arial" w:eastAsia="Arial" w:hAnsi="Arial" w:cs="Arial"/>
        </w:rPr>
      </w:pPr>
    </w:p>
    <w:p w:rsidR="00173E34" w:rsidRPr="00D17D17" w:rsidRDefault="00D17D17" w:rsidP="00173E34">
      <w:pPr>
        <w:spacing w:line="360" w:lineRule="auto"/>
        <w:jc w:val="both"/>
        <w:rPr>
          <w:rFonts w:ascii="Arial" w:eastAsia="Arial" w:hAnsi="Arial" w:cs="Arial"/>
          <w:u w:val="single"/>
        </w:rPr>
      </w:pPr>
      <w:r>
        <w:rPr>
          <w:rFonts w:ascii="Arial" w:eastAsia="Arial" w:hAnsi="Arial" w:cs="Arial"/>
          <w:u w:val="single"/>
        </w:rPr>
        <w:t>Introduction</w:t>
      </w:r>
    </w:p>
    <w:p w:rsidR="00173E34" w:rsidRPr="00C929CE" w:rsidRDefault="00173E34" w:rsidP="00173E34">
      <w:pPr>
        <w:spacing w:line="360" w:lineRule="auto"/>
        <w:jc w:val="both"/>
        <w:rPr>
          <w:rFonts w:ascii="Arial" w:eastAsia="Arial" w:hAnsi="Arial" w:cs="Arial"/>
          <w:b/>
        </w:rPr>
      </w:pPr>
    </w:p>
    <w:p w:rsidR="00CC0DE2" w:rsidRDefault="00173E34" w:rsidP="00173E34">
      <w:pPr>
        <w:spacing w:line="360" w:lineRule="auto"/>
        <w:jc w:val="both"/>
        <w:rPr>
          <w:rFonts w:ascii="Arial" w:eastAsia="Arial" w:hAnsi="Arial" w:cs="Arial"/>
        </w:rPr>
      </w:pPr>
      <w:r w:rsidRPr="00C929CE">
        <w:rPr>
          <w:rFonts w:ascii="Arial" w:eastAsia="Arial" w:hAnsi="Arial" w:cs="Arial"/>
        </w:rPr>
        <w:t>[1]</w:t>
      </w:r>
      <w:r w:rsidRPr="00C929CE">
        <w:rPr>
          <w:rFonts w:ascii="Arial" w:eastAsia="Arial" w:hAnsi="Arial" w:cs="Arial"/>
        </w:rPr>
        <w:tab/>
        <w:t xml:space="preserve"> </w:t>
      </w:r>
      <w:r w:rsidR="00DD6E01">
        <w:rPr>
          <w:rFonts w:ascii="Arial" w:eastAsia="Arial" w:hAnsi="Arial" w:cs="Arial"/>
        </w:rPr>
        <w:t>The provisions relating to Rule 32 (9) and (10) has received much debate in terms of how parties must satisfy the requirements thereof. What is true is that practitioners have seemingly differing methodologies</w:t>
      </w:r>
      <w:r w:rsidR="003C0AA0">
        <w:rPr>
          <w:rFonts w:ascii="Arial" w:eastAsia="Arial" w:hAnsi="Arial" w:cs="Arial"/>
        </w:rPr>
        <w:t xml:space="preserve"> or </w:t>
      </w:r>
      <w:proofErr w:type="gramStart"/>
      <w:r w:rsidR="003C0AA0">
        <w:rPr>
          <w:rFonts w:ascii="Arial" w:eastAsia="Arial" w:hAnsi="Arial" w:cs="Arial"/>
        </w:rPr>
        <w:t>techniques that is</w:t>
      </w:r>
      <w:proofErr w:type="gramEnd"/>
      <w:r w:rsidR="00DD6E01">
        <w:rPr>
          <w:rFonts w:ascii="Arial" w:eastAsia="Arial" w:hAnsi="Arial" w:cs="Arial"/>
        </w:rPr>
        <w:t xml:space="preserve"> perceived to be the correct procedure in relation to the fulfilment of the requirements provided in Rule 32 (9) and (10). This matter again brings about the scenario wherein practitioners have differing ways in its interpretation and application. </w:t>
      </w:r>
      <w:r w:rsidR="007B1B6F">
        <w:rPr>
          <w:rFonts w:ascii="Arial" w:eastAsia="Arial" w:hAnsi="Arial" w:cs="Arial"/>
        </w:rPr>
        <w:t xml:space="preserve">In addition, this court is called upon to determine when it is appropriate for a legal practitioner to act on behalf of a client wherein such client is </w:t>
      </w:r>
      <w:r w:rsidR="003C0AA0">
        <w:rPr>
          <w:rFonts w:ascii="Arial" w:eastAsia="Arial" w:hAnsi="Arial" w:cs="Arial"/>
        </w:rPr>
        <w:t>on the face of it,</w:t>
      </w:r>
      <w:r w:rsidR="007B1B6F">
        <w:rPr>
          <w:rFonts w:ascii="Arial" w:eastAsia="Arial" w:hAnsi="Arial" w:cs="Arial"/>
        </w:rPr>
        <w:t xml:space="preserve"> still represented by another legal practitioner on record.</w:t>
      </w:r>
      <w:r w:rsidR="00CC0DE2">
        <w:rPr>
          <w:rFonts w:ascii="Arial" w:eastAsia="Arial" w:hAnsi="Arial" w:cs="Arial"/>
        </w:rPr>
        <w:t xml:space="preserve"> Furthermore ancillary thereto</w:t>
      </w:r>
      <w:r w:rsidR="003A6748">
        <w:rPr>
          <w:rFonts w:ascii="Arial" w:eastAsia="Arial" w:hAnsi="Arial" w:cs="Arial"/>
        </w:rPr>
        <w:t>, this court must make determination in relation to a condonation application and opposition filed thereto.</w:t>
      </w:r>
    </w:p>
    <w:p w:rsidR="00DC40BD" w:rsidRDefault="00DC40BD" w:rsidP="00173E34">
      <w:pPr>
        <w:spacing w:line="360" w:lineRule="auto"/>
        <w:jc w:val="both"/>
        <w:rPr>
          <w:rFonts w:ascii="Arial" w:eastAsia="Arial" w:hAnsi="Arial" w:cs="Arial"/>
        </w:rPr>
      </w:pPr>
    </w:p>
    <w:p w:rsidR="002B3516" w:rsidRPr="00D17D17" w:rsidRDefault="007B0D04" w:rsidP="00173E34">
      <w:pPr>
        <w:spacing w:line="360" w:lineRule="auto"/>
        <w:jc w:val="both"/>
        <w:rPr>
          <w:rFonts w:ascii="Arial" w:eastAsia="Arial" w:hAnsi="Arial" w:cs="Arial"/>
          <w:u w:val="single"/>
        </w:rPr>
      </w:pPr>
      <w:r w:rsidRPr="00D17D17">
        <w:rPr>
          <w:rFonts w:ascii="Arial" w:eastAsia="Arial" w:hAnsi="Arial" w:cs="Arial"/>
          <w:u w:val="single"/>
        </w:rPr>
        <w:lastRenderedPageBreak/>
        <w:t xml:space="preserve">Background </w:t>
      </w:r>
    </w:p>
    <w:p w:rsidR="002B3516" w:rsidRPr="002B3516" w:rsidRDefault="002B3516" w:rsidP="00173E34">
      <w:pPr>
        <w:spacing w:line="360" w:lineRule="auto"/>
        <w:jc w:val="both"/>
        <w:rPr>
          <w:rFonts w:ascii="Arial" w:eastAsia="Arial" w:hAnsi="Arial" w:cs="Arial"/>
          <w:b/>
        </w:rPr>
      </w:pPr>
    </w:p>
    <w:p w:rsidR="004C56C8" w:rsidRPr="00ED31FC" w:rsidRDefault="00173E34" w:rsidP="002B3516">
      <w:pPr>
        <w:spacing w:line="360" w:lineRule="auto"/>
        <w:jc w:val="both"/>
        <w:rPr>
          <w:rFonts w:ascii="Arial" w:eastAsia="Arial" w:hAnsi="Arial" w:cs="Arial"/>
          <w:i/>
        </w:rPr>
      </w:pPr>
      <w:r w:rsidRPr="00C929CE">
        <w:rPr>
          <w:rFonts w:ascii="Arial" w:eastAsia="Arial" w:hAnsi="Arial" w:cs="Arial"/>
        </w:rPr>
        <w:t>[2]</w:t>
      </w:r>
      <w:r w:rsidRPr="00C929CE">
        <w:rPr>
          <w:rFonts w:ascii="Arial" w:eastAsia="Arial" w:hAnsi="Arial" w:cs="Arial"/>
        </w:rPr>
        <w:tab/>
      </w:r>
      <w:r w:rsidRPr="00C929CE">
        <w:rPr>
          <w:rFonts w:ascii="Arial" w:eastAsia="Arial" w:hAnsi="Arial" w:cs="Arial"/>
          <w:b/>
        </w:rPr>
        <w:t xml:space="preserve"> </w:t>
      </w:r>
      <w:r w:rsidR="00803C70">
        <w:rPr>
          <w:rFonts w:ascii="Arial" w:eastAsia="Arial" w:hAnsi="Arial" w:cs="Arial"/>
        </w:rPr>
        <w:t>This matter involves a rather unfortunate series of events in terms of which the plaintiff had approximately three different legal practitioners working on the plaintiff’s file.</w:t>
      </w:r>
      <w:r w:rsidR="001979CB">
        <w:rPr>
          <w:rFonts w:ascii="Arial" w:eastAsia="Arial" w:hAnsi="Arial" w:cs="Arial"/>
        </w:rPr>
        <w:t xml:space="preserve"> This matter has a long history as well, dating back to 20</w:t>
      </w:r>
      <w:r w:rsidR="00476163">
        <w:rPr>
          <w:rFonts w:ascii="Arial" w:eastAsia="Arial" w:hAnsi="Arial" w:cs="Arial"/>
        </w:rPr>
        <w:t xml:space="preserve">14 when the combined </w:t>
      </w:r>
      <w:proofErr w:type="gramStart"/>
      <w:r w:rsidR="00476163">
        <w:rPr>
          <w:rFonts w:ascii="Arial" w:eastAsia="Arial" w:hAnsi="Arial" w:cs="Arial"/>
        </w:rPr>
        <w:t>summons were</w:t>
      </w:r>
      <w:proofErr w:type="gramEnd"/>
      <w:r w:rsidR="001979CB">
        <w:rPr>
          <w:rFonts w:ascii="Arial" w:eastAsia="Arial" w:hAnsi="Arial" w:cs="Arial"/>
        </w:rPr>
        <w:t xml:space="preserve"> issued.</w:t>
      </w:r>
      <w:r w:rsidR="00892364">
        <w:rPr>
          <w:rFonts w:ascii="Arial" w:eastAsia="Arial" w:hAnsi="Arial" w:cs="Arial"/>
        </w:rPr>
        <w:t xml:space="preserve"> Court order dated 26 October 2017 struck the plaintiff’s claim as well as the defence to the defendant’s counterclaim.</w:t>
      </w:r>
      <w:r w:rsidR="00803C70">
        <w:rPr>
          <w:rFonts w:ascii="Arial" w:eastAsia="Arial" w:hAnsi="Arial" w:cs="Arial"/>
        </w:rPr>
        <w:t xml:space="preserve"> </w:t>
      </w:r>
      <w:r w:rsidR="002515E1">
        <w:rPr>
          <w:rFonts w:ascii="Arial" w:eastAsia="Arial" w:hAnsi="Arial" w:cs="Arial"/>
        </w:rPr>
        <w:t>T</w:t>
      </w:r>
      <w:r w:rsidR="002B3516">
        <w:rPr>
          <w:rFonts w:ascii="Arial" w:eastAsia="Arial" w:hAnsi="Arial" w:cs="Arial"/>
        </w:rPr>
        <w:t xml:space="preserve">he defendant in this matter was granted an order for restitution of conjugal rights by this court in court order dated 16 November 2017 </w:t>
      </w:r>
      <w:r w:rsidR="002515E1">
        <w:rPr>
          <w:rFonts w:ascii="Arial" w:eastAsia="Arial" w:hAnsi="Arial" w:cs="Arial"/>
        </w:rPr>
        <w:t xml:space="preserve">with a return date </w:t>
      </w:r>
      <w:r w:rsidR="00CC0DE2">
        <w:rPr>
          <w:rFonts w:ascii="Arial" w:eastAsia="Arial" w:hAnsi="Arial" w:cs="Arial"/>
        </w:rPr>
        <w:t>of 25</w:t>
      </w:r>
      <w:r w:rsidR="002B3516">
        <w:rPr>
          <w:rFonts w:ascii="Arial" w:eastAsia="Arial" w:hAnsi="Arial" w:cs="Arial"/>
        </w:rPr>
        <w:t xml:space="preserve"> January 2018</w:t>
      </w:r>
      <w:r w:rsidR="002515E1">
        <w:rPr>
          <w:rFonts w:ascii="Arial" w:eastAsia="Arial" w:hAnsi="Arial" w:cs="Arial"/>
        </w:rPr>
        <w:t>.</w:t>
      </w:r>
      <w:r w:rsidR="00ED31FC">
        <w:rPr>
          <w:rFonts w:ascii="Arial" w:eastAsia="Arial" w:hAnsi="Arial" w:cs="Arial"/>
          <w:i/>
        </w:rPr>
        <w:t xml:space="preserve"> </w:t>
      </w:r>
      <w:r w:rsidR="004C56C8">
        <w:rPr>
          <w:rFonts w:ascii="Arial" w:eastAsia="Arial" w:hAnsi="Arial" w:cs="Arial"/>
        </w:rPr>
        <w:t>I will now look at the events that transpired in respect of the plaintiff’s legal representation</w:t>
      </w:r>
      <w:r w:rsidR="00476163">
        <w:rPr>
          <w:rFonts w:ascii="Arial" w:eastAsia="Arial" w:hAnsi="Arial" w:cs="Arial"/>
        </w:rPr>
        <w:t>.</w:t>
      </w:r>
    </w:p>
    <w:p w:rsidR="00173E34" w:rsidRDefault="00173E34" w:rsidP="00173E34">
      <w:pPr>
        <w:spacing w:line="360" w:lineRule="auto"/>
        <w:jc w:val="both"/>
        <w:rPr>
          <w:rFonts w:ascii="Arial" w:eastAsia="Arial" w:hAnsi="Arial" w:cs="Arial"/>
          <w:b/>
        </w:rPr>
      </w:pPr>
    </w:p>
    <w:p w:rsidR="00A11FEB" w:rsidRPr="00D17D17" w:rsidRDefault="00A11FEB" w:rsidP="00173E34">
      <w:pPr>
        <w:spacing w:line="360" w:lineRule="auto"/>
        <w:jc w:val="both"/>
        <w:rPr>
          <w:rFonts w:ascii="Arial" w:eastAsia="Arial" w:hAnsi="Arial" w:cs="Arial"/>
          <w:u w:val="single"/>
        </w:rPr>
      </w:pPr>
      <w:r w:rsidRPr="00D17D17">
        <w:rPr>
          <w:rFonts w:ascii="Arial" w:eastAsia="Arial" w:hAnsi="Arial" w:cs="Arial"/>
          <w:u w:val="single"/>
        </w:rPr>
        <w:t>The issue surrounding the withdrawal of the plaintiff’s legal practitioner</w:t>
      </w:r>
    </w:p>
    <w:p w:rsidR="00A11FEB" w:rsidRPr="00A11FEB" w:rsidRDefault="00A11FEB" w:rsidP="00173E34">
      <w:pPr>
        <w:spacing w:line="360" w:lineRule="auto"/>
        <w:jc w:val="both"/>
        <w:rPr>
          <w:rFonts w:ascii="Arial" w:eastAsia="Arial" w:hAnsi="Arial" w:cs="Arial"/>
          <w:i/>
        </w:rPr>
      </w:pP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[3]</w:t>
      </w:r>
      <w:r w:rsidRPr="00C929CE">
        <w:rPr>
          <w:rFonts w:ascii="Arial" w:eastAsia="Arial" w:hAnsi="Arial" w:cs="Arial"/>
        </w:rPr>
        <w:tab/>
      </w:r>
      <w:r w:rsidR="0078282C">
        <w:rPr>
          <w:rFonts w:ascii="Arial" w:eastAsia="Arial" w:hAnsi="Arial" w:cs="Arial"/>
        </w:rPr>
        <w:t xml:space="preserve">Ms Isabella </w:t>
      </w:r>
      <w:proofErr w:type="spellStart"/>
      <w:r w:rsidR="0078282C">
        <w:rPr>
          <w:rFonts w:ascii="Arial" w:eastAsia="Arial" w:hAnsi="Arial" w:cs="Arial"/>
        </w:rPr>
        <w:t>Agenbach</w:t>
      </w:r>
      <w:proofErr w:type="spellEnd"/>
      <w:r w:rsidR="0078282C">
        <w:rPr>
          <w:rFonts w:ascii="Arial" w:eastAsia="Arial" w:hAnsi="Arial" w:cs="Arial"/>
        </w:rPr>
        <w:t xml:space="preserve">, practicing under the name and style of </w:t>
      </w:r>
      <w:proofErr w:type="spellStart"/>
      <w:r w:rsidR="0078282C">
        <w:rPr>
          <w:rFonts w:ascii="Arial" w:eastAsia="Arial" w:hAnsi="Arial" w:cs="Arial"/>
        </w:rPr>
        <w:t>Agenbach</w:t>
      </w:r>
      <w:proofErr w:type="spellEnd"/>
      <w:r w:rsidR="0078282C">
        <w:rPr>
          <w:rFonts w:ascii="Arial" w:eastAsia="Arial" w:hAnsi="Arial" w:cs="Arial"/>
        </w:rPr>
        <w:t xml:space="preserve"> Legal Practitioners &amp; Mediators at 19 George Hunter Street, Windhoek, Republic of Namibia, represented the plaintiff</w:t>
      </w:r>
      <w:r w:rsidR="00476163">
        <w:rPr>
          <w:rFonts w:ascii="Arial" w:eastAsia="Arial" w:hAnsi="Arial" w:cs="Arial"/>
        </w:rPr>
        <w:t xml:space="preserve"> </w:t>
      </w:r>
      <w:r w:rsidR="00CC0DE2">
        <w:rPr>
          <w:rFonts w:ascii="Arial" w:eastAsia="Arial" w:hAnsi="Arial" w:cs="Arial"/>
        </w:rPr>
        <w:t>from</w:t>
      </w:r>
      <w:r w:rsidR="007147D6">
        <w:rPr>
          <w:rFonts w:ascii="Arial" w:eastAsia="Arial" w:hAnsi="Arial" w:cs="Arial"/>
        </w:rPr>
        <w:t xml:space="preserve"> 2015</w:t>
      </w:r>
      <w:r w:rsidR="0078282C">
        <w:rPr>
          <w:rFonts w:ascii="Arial" w:eastAsia="Arial" w:hAnsi="Arial" w:cs="Arial"/>
        </w:rPr>
        <w:t xml:space="preserve"> until 22 June 2017, where she filed her notice of withdrawal, in which such notice indicated that the offices of Dr </w:t>
      </w:r>
      <w:proofErr w:type="spellStart"/>
      <w:r w:rsidR="0078282C">
        <w:rPr>
          <w:rFonts w:ascii="Arial" w:eastAsia="Arial" w:hAnsi="Arial" w:cs="Arial"/>
        </w:rPr>
        <w:t>Weder</w:t>
      </w:r>
      <w:proofErr w:type="spellEnd"/>
      <w:r w:rsidR="0078282C">
        <w:rPr>
          <w:rFonts w:ascii="Arial" w:eastAsia="Arial" w:hAnsi="Arial" w:cs="Arial"/>
        </w:rPr>
        <w:t xml:space="preserve">, </w:t>
      </w:r>
      <w:proofErr w:type="spellStart"/>
      <w:r w:rsidR="0078282C">
        <w:rPr>
          <w:rFonts w:ascii="Arial" w:eastAsia="Arial" w:hAnsi="Arial" w:cs="Arial"/>
        </w:rPr>
        <w:t>Kauta</w:t>
      </w:r>
      <w:proofErr w:type="spellEnd"/>
      <w:r w:rsidR="0078282C">
        <w:rPr>
          <w:rFonts w:ascii="Arial" w:eastAsia="Arial" w:hAnsi="Arial" w:cs="Arial"/>
        </w:rPr>
        <w:t xml:space="preserve"> &amp; </w:t>
      </w:r>
      <w:proofErr w:type="spellStart"/>
      <w:r w:rsidR="0078282C">
        <w:rPr>
          <w:rFonts w:ascii="Arial" w:eastAsia="Arial" w:hAnsi="Arial" w:cs="Arial"/>
        </w:rPr>
        <w:t>Hoveka</w:t>
      </w:r>
      <w:proofErr w:type="spellEnd"/>
      <w:r w:rsidR="0078282C">
        <w:rPr>
          <w:rFonts w:ascii="Arial" w:eastAsia="Arial" w:hAnsi="Arial" w:cs="Arial"/>
        </w:rPr>
        <w:t xml:space="preserve"> would be appointed or take over as legal practitioners of record in respect of the plaintiff</w:t>
      </w:r>
      <w:r w:rsidR="00CC0DE2">
        <w:rPr>
          <w:rFonts w:ascii="Arial" w:eastAsia="Arial" w:hAnsi="Arial" w:cs="Arial"/>
        </w:rPr>
        <w:t>. The return of service</w:t>
      </w:r>
      <w:r w:rsidR="0013690A">
        <w:rPr>
          <w:rFonts w:ascii="Arial" w:eastAsia="Arial" w:hAnsi="Arial" w:cs="Arial"/>
        </w:rPr>
        <w:t xml:space="preserve"> in respect of the notice of withdrawal was dated and served on the plaintiff on 27 October 2017 respectively. </w:t>
      </w:r>
      <w:r w:rsidR="00395E61">
        <w:rPr>
          <w:rFonts w:ascii="Arial" w:eastAsia="Arial" w:hAnsi="Arial" w:cs="Arial"/>
        </w:rPr>
        <w:t xml:space="preserve">In Ms </w:t>
      </w:r>
      <w:proofErr w:type="spellStart"/>
      <w:r w:rsidR="00395E61">
        <w:rPr>
          <w:rFonts w:ascii="Arial" w:eastAsia="Arial" w:hAnsi="Arial" w:cs="Arial"/>
        </w:rPr>
        <w:t>Agenbach’s</w:t>
      </w:r>
      <w:proofErr w:type="spellEnd"/>
      <w:r w:rsidR="00395E61">
        <w:rPr>
          <w:rFonts w:ascii="Arial" w:eastAsia="Arial" w:hAnsi="Arial" w:cs="Arial"/>
        </w:rPr>
        <w:t xml:space="preserve"> affidavit, she further states that the notice of withdrawal incorporating the notice of representation was served on the office</w:t>
      </w:r>
      <w:r w:rsidR="00476163">
        <w:rPr>
          <w:rFonts w:ascii="Arial" w:eastAsia="Arial" w:hAnsi="Arial" w:cs="Arial"/>
        </w:rPr>
        <w:t>s</w:t>
      </w:r>
      <w:r w:rsidR="00395E61">
        <w:rPr>
          <w:rFonts w:ascii="Arial" w:eastAsia="Arial" w:hAnsi="Arial" w:cs="Arial"/>
        </w:rPr>
        <w:t xml:space="preserve"> of </w:t>
      </w:r>
      <w:proofErr w:type="spellStart"/>
      <w:r w:rsidR="00395E61">
        <w:rPr>
          <w:rFonts w:ascii="Arial" w:eastAsia="Arial" w:hAnsi="Arial" w:cs="Arial"/>
        </w:rPr>
        <w:t>Tjituri</w:t>
      </w:r>
      <w:proofErr w:type="spellEnd"/>
      <w:r w:rsidR="00395E61">
        <w:rPr>
          <w:rFonts w:ascii="Arial" w:eastAsia="Arial" w:hAnsi="Arial" w:cs="Arial"/>
        </w:rPr>
        <w:t xml:space="preserve"> Law Chambers and the offices of Dr </w:t>
      </w:r>
      <w:proofErr w:type="spellStart"/>
      <w:r w:rsidR="00395E61">
        <w:rPr>
          <w:rFonts w:ascii="Arial" w:eastAsia="Arial" w:hAnsi="Arial" w:cs="Arial"/>
        </w:rPr>
        <w:t>Weder</w:t>
      </w:r>
      <w:proofErr w:type="spellEnd"/>
      <w:r w:rsidR="00395E61">
        <w:rPr>
          <w:rFonts w:ascii="Arial" w:eastAsia="Arial" w:hAnsi="Arial" w:cs="Arial"/>
        </w:rPr>
        <w:t xml:space="preserve">, </w:t>
      </w:r>
      <w:proofErr w:type="spellStart"/>
      <w:r w:rsidR="00395E61">
        <w:rPr>
          <w:rFonts w:ascii="Arial" w:eastAsia="Arial" w:hAnsi="Arial" w:cs="Arial"/>
        </w:rPr>
        <w:t>Kaut</w:t>
      </w:r>
      <w:r w:rsidR="00CC0DE2">
        <w:rPr>
          <w:rFonts w:ascii="Arial" w:eastAsia="Arial" w:hAnsi="Arial" w:cs="Arial"/>
        </w:rPr>
        <w:t>a</w:t>
      </w:r>
      <w:proofErr w:type="spellEnd"/>
      <w:r w:rsidR="00CC0DE2">
        <w:rPr>
          <w:rFonts w:ascii="Arial" w:eastAsia="Arial" w:hAnsi="Arial" w:cs="Arial"/>
        </w:rPr>
        <w:t xml:space="preserve"> &amp; </w:t>
      </w:r>
      <w:proofErr w:type="spellStart"/>
      <w:r w:rsidR="00CC0DE2">
        <w:rPr>
          <w:rFonts w:ascii="Arial" w:eastAsia="Arial" w:hAnsi="Arial" w:cs="Arial"/>
        </w:rPr>
        <w:t>Hoveka</w:t>
      </w:r>
      <w:proofErr w:type="spellEnd"/>
      <w:r w:rsidR="00CC0DE2">
        <w:rPr>
          <w:rFonts w:ascii="Arial" w:eastAsia="Arial" w:hAnsi="Arial" w:cs="Arial"/>
        </w:rPr>
        <w:t xml:space="preserve"> as well as with the R</w:t>
      </w:r>
      <w:r w:rsidR="00395E61">
        <w:rPr>
          <w:rFonts w:ascii="Arial" w:eastAsia="Arial" w:hAnsi="Arial" w:cs="Arial"/>
        </w:rPr>
        <w:t>egistrar</w:t>
      </w:r>
      <w:r w:rsidR="00CC0DE2">
        <w:rPr>
          <w:rFonts w:ascii="Arial" w:eastAsia="Arial" w:hAnsi="Arial" w:cs="Arial"/>
        </w:rPr>
        <w:t>’s office</w:t>
      </w:r>
      <w:r w:rsidR="00395E61">
        <w:rPr>
          <w:rFonts w:ascii="Arial" w:eastAsia="Arial" w:hAnsi="Arial" w:cs="Arial"/>
        </w:rPr>
        <w:t xml:space="preserve"> on 22 June 2017.</w:t>
      </w:r>
      <w:r w:rsidR="00246E41">
        <w:rPr>
          <w:rFonts w:ascii="Arial" w:eastAsia="Arial" w:hAnsi="Arial" w:cs="Arial"/>
        </w:rPr>
        <w:t xml:space="preserve"> The withdrawal, Ms </w:t>
      </w:r>
      <w:proofErr w:type="spellStart"/>
      <w:r w:rsidR="00246E41">
        <w:rPr>
          <w:rFonts w:ascii="Arial" w:eastAsia="Arial" w:hAnsi="Arial" w:cs="Arial"/>
        </w:rPr>
        <w:t>Agenbach</w:t>
      </w:r>
      <w:proofErr w:type="spellEnd"/>
      <w:r w:rsidR="00246E41">
        <w:rPr>
          <w:rFonts w:ascii="Arial" w:eastAsia="Arial" w:hAnsi="Arial" w:cs="Arial"/>
        </w:rPr>
        <w:t xml:space="preserve"> submits, was in compliance with Rule 44 of the High Court rules. </w:t>
      </w:r>
    </w:p>
    <w:p w:rsidR="00173E34" w:rsidRPr="00C929CE" w:rsidRDefault="00173E34" w:rsidP="00173E34">
      <w:pPr>
        <w:spacing w:line="360" w:lineRule="auto"/>
        <w:jc w:val="both"/>
        <w:rPr>
          <w:rFonts w:ascii="Arial" w:eastAsia="Arial" w:hAnsi="Arial" w:cs="Arial"/>
        </w:rPr>
      </w:pP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[4]</w:t>
      </w:r>
      <w:r w:rsidRPr="00C929CE">
        <w:rPr>
          <w:rFonts w:ascii="Arial" w:eastAsia="Arial" w:hAnsi="Arial" w:cs="Arial"/>
        </w:rPr>
        <w:tab/>
        <w:t xml:space="preserve"> </w:t>
      </w:r>
      <w:r w:rsidR="009A2EBE">
        <w:rPr>
          <w:rFonts w:ascii="Arial" w:eastAsia="Arial" w:hAnsi="Arial" w:cs="Arial"/>
        </w:rPr>
        <w:t xml:space="preserve">With the submissions made in Ms </w:t>
      </w:r>
      <w:proofErr w:type="spellStart"/>
      <w:r w:rsidR="009A2EBE">
        <w:rPr>
          <w:rFonts w:ascii="Arial" w:eastAsia="Arial" w:hAnsi="Arial" w:cs="Arial"/>
        </w:rPr>
        <w:t>Agenbach’s</w:t>
      </w:r>
      <w:proofErr w:type="spellEnd"/>
      <w:r w:rsidR="009A2EBE">
        <w:rPr>
          <w:rFonts w:ascii="Arial" w:eastAsia="Arial" w:hAnsi="Arial" w:cs="Arial"/>
        </w:rPr>
        <w:t xml:space="preserve"> affidavit, she wa</w:t>
      </w:r>
      <w:r w:rsidR="00476163">
        <w:rPr>
          <w:rFonts w:ascii="Arial" w:eastAsia="Arial" w:hAnsi="Arial" w:cs="Arial"/>
        </w:rPr>
        <w:t>s of the belief that Mr Marit</w:t>
      </w:r>
      <w:r w:rsidR="009A2EBE">
        <w:rPr>
          <w:rFonts w:ascii="Arial" w:eastAsia="Arial" w:hAnsi="Arial" w:cs="Arial"/>
        </w:rPr>
        <w:t xml:space="preserve">z was appointed in her view as the practitioner of record in view of the notice of withdrawal filed by her and as a result, focused on other matters that required her attention. She further submits that, with the order issued by this court on 18 September 2017 requiring Ms </w:t>
      </w:r>
      <w:proofErr w:type="spellStart"/>
      <w:r w:rsidR="009A2EBE">
        <w:rPr>
          <w:rFonts w:ascii="Arial" w:eastAsia="Arial" w:hAnsi="Arial" w:cs="Arial"/>
        </w:rPr>
        <w:t>Agenbach</w:t>
      </w:r>
      <w:proofErr w:type="spellEnd"/>
      <w:r w:rsidR="009A2EBE">
        <w:rPr>
          <w:rFonts w:ascii="Arial" w:eastAsia="Arial" w:hAnsi="Arial" w:cs="Arial"/>
        </w:rPr>
        <w:t xml:space="preserve"> to comply with Rule 44 (7), </w:t>
      </w:r>
      <w:r w:rsidR="00216DFE">
        <w:rPr>
          <w:rFonts w:ascii="Arial" w:eastAsia="Arial" w:hAnsi="Arial" w:cs="Arial"/>
        </w:rPr>
        <w:t xml:space="preserve">she was caught off guard and although trying to make arrangements to be released from Justice </w:t>
      </w:r>
      <w:proofErr w:type="spellStart"/>
      <w:r w:rsidR="00216DFE">
        <w:rPr>
          <w:rFonts w:ascii="Arial" w:eastAsia="Arial" w:hAnsi="Arial" w:cs="Arial"/>
        </w:rPr>
        <w:t>Unengu</w:t>
      </w:r>
      <w:proofErr w:type="spellEnd"/>
      <w:r w:rsidR="00216DFE">
        <w:rPr>
          <w:rFonts w:ascii="Arial" w:eastAsia="Arial" w:hAnsi="Arial" w:cs="Arial"/>
        </w:rPr>
        <w:t xml:space="preserve"> </w:t>
      </w:r>
      <w:r w:rsidR="00216DFE">
        <w:rPr>
          <w:rFonts w:ascii="Arial" w:eastAsia="Arial" w:hAnsi="Arial" w:cs="Arial"/>
        </w:rPr>
        <w:lastRenderedPageBreak/>
        <w:t xml:space="preserve">AJ’s court wherein she was engaged with a matter, she was not granted leave to attend to the court order issued from this court. </w:t>
      </w:r>
    </w:p>
    <w:p w:rsidR="00173E34" w:rsidRPr="00C929CE" w:rsidRDefault="00173E34" w:rsidP="00173E34">
      <w:pPr>
        <w:spacing w:line="360" w:lineRule="auto"/>
        <w:jc w:val="both"/>
        <w:rPr>
          <w:rFonts w:ascii="Arial" w:eastAsia="Arial" w:hAnsi="Arial" w:cs="Arial"/>
        </w:rPr>
      </w:pP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[5]</w:t>
      </w:r>
      <w:r w:rsidRPr="00C929CE">
        <w:rPr>
          <w:rFonts w:ascii="Arial" w:eastAsia="Arial" w:hAnsi="Arial" w:cs="Arial"/>
        </w:rPr>
        <w:tab/>
        <w:t xml:space="preserve"> </w:t>
      </w:r>
      <w:r w:rsidR="00BF676E">
        <w:rPr>
          <w:rFonts w:ascii="Arial" w:eastAsia="Arial" w:hAnsi="Arial" w:cs="Arial"/>
        </w:rPr>
        <w:t xml:space="preserve">Ms </w:t>
      </w:r>
      <w:proofErr w:type="spellStart"/>
      <w:r w:rsidR="00BF676E">
        <w:rPr>
          <w:rFonts w:ascii="Arial" w:eastAsia="Arial" w:hAnsi="Arial" w:cs="Arial"/>
        </w:rPr>
        <w:t>Agenbach</w:t>
      </w:r>
      <w:proofErr w:type="spellEnd"/>
      <w:r w:rsidR="00BF676E">
        <w:rPr>
          <w:rFonts w:ascii="Arial" w:eastAsia="Arial" w:hAnsi="Arial" w:cs="Arial"/>
        </w:rPr>
        <w:t xml:space="preserve"> further testified that with the court order dated 18 September 2017 having escaped her attention </w:t>
      </w:r>
      <w:r w:rsidR="000833F3">
        <w:rPr>
          <w:rFonts w:ascii="Arial" w:eastAsia="Arial" w:hAnsi="Arial" w:cs="Arial"/>
        </w:rPr>
        <w:t>unti</w:t>
      </w:r>
      <w:r w:rsidR="00BF676E">
        <w:rPr>
          <w:rFonts w:ascii="Arial" w:eastAsia="Arial" w:hAnsi="Arial" w:cs="Arial"/>
        </w:rPr>
        <w:t>l 25 October 2017 and not being able to attend the court proceedings dated 26 October 2017 wherein the plaintiff’s claim was struck, she respectfully submitted that her inability to attend to this court’s orders was not done in bad faith and genuinely believed her withdrawal to have been in compliance with Rule 44.</w:t>
      </w:r>
    </w:p>
    <w:p w:rsidR="00173E34" w:rsidRPr="00C929CE" w:rsidRDefault="00173E34" w:rsidP="00173E34">
      <w:pPr>
        <w:spacing w:line="360" w:lineRule="auto"/>
        <w:jc w:val="both"/>
        <w:rPr>
          <w:rFonts w:ascii="Arial" w:eastAsia="Arial" w:hAnsi="Arial" w:cs="Arial"/>
        </w:rPr>
      </w:pPr>
    </w:p>
    <w:p w:rsidR="004C56C8" w:rsidRDefault="00173E34" w:rsidP="00173E34">
      <w:pPr>
        <w:spacing w:line="360" w:lineRule="auto"/>
        <w:jc w:val="both"/>
        <w:rPr>
          <w:rFonts w:ascii="Arial" w:eastAsia="Arial" w:hAnsi="Arial" w:cs="Arial"/>
        </w:rPr>
      </w:pPr>
      <w:r w:rsidRPr="00C929CE">
        <w:rPr>
          <w:rFonts w:ascii="Arial" w:eastAsia="Arial" w:hAnsi="Arial" w:cs="Arial"/>
        </w:rPr>
        <w:t>[6]</w:t>
      </w:r>
      <w:r w:rsidRPr="00C929CE">
        <w:rPr>
          <w:rFonts w:ascii="Arial" w:eastAsia="Arial" w:hAnsi="Arial" w:cs="Arial"/>
        </w:rPr>
        <w:tab/>
        <w:t xml:space="preserve"> </w:t>
      </w:r>
      <w:r w:rsidR="004F25FE">
        <w:rPr>
          <w:rFonts w:ascii="Arial" w:eastAsia="Arial" w:hAnsi="Arial" w:cs="Arial"/>
        </w:rPr>
        <w:t xml:space="preserve">Seemingly, </w:t>
      </w:r>
      <w:r w:rsidR="00E42E79">
        <w:rPr>
          <w:rFonts w:ascii="Arial" w:eastAsia="Arial" w:hAnsi="Arial" w:cs="Arial"/>
        </w:rPr>
        <w:t xml:space="preserve">there seems to have been a miscommunication between the plaintiff and Ms </w:t>
      </w:r>
      <w:proofErr w:type="spellStart"/>
      <w:r w:rsidR="00E42E79">
        <w:rPr>
          <w:rFonts w:ascii="Arial" w:eastAsia="Arial" w:hAnsi="Arial" w:cs="Arial"/>
        </w:rPr>
        <w:t>Agenbach</w:t>
      </w:r>
      <w:proofErr w:type="spellEnd"/>
      <w:r w:rsidR="00E42E79">
        <w:rPr>
          <w:rFonts w:ascii="Arial" w:eastAsia="Arial" w:hAnsi="Arial" w:cs="Arial"/>
        </w:rPr>
        <w:t xml:space="preserve">, as Ms </w:t>
      </w:r>
      <w:proofErr w:type="spellStart"/>
      <w:r w:rsidR="00E42E79">
        <w:rPr>
          <w:rFonts w:ascii="Arial" w:eastAsia="Arial" w:hAnsi="Arial" w:cs="Arial"/>
        </w:rPr>
        <w:t>Agenbach</w:t>
      </w:r>
      <w:proofErr w:type="spellEnd"/>
      <w:r w:rsidR="00E42E79">
        <w:rPr>
          <w:rFonts w:ascii="Arial" w:eastAsia="Arial" w:hAnsi="Arial" w:cs="Arial"/>
        </w:rPr>
        <w:t xml:space="preserve"> submits that she was instructed by the plaintiff that if she is to withdraw, Mr Maritz is to be appointed as the practitioner of record and as a res</w:t>
      </w:r>
      <w:r w:rsidR="004F25FE">
        <w:rPr>
          <w:rFonts w:ascii="Arial" w:eastAsia="Arial" w:hAnsi="Arial" w:cs="Arial"/>
        </w:rPr>
        <w:t>ult, such was done. A</w:t>
      </w:r>
      <w:r w:rsidR="00E42E79">
        <w:rPr>
          <w:rFonts w:ascii="Arial" w:eastAsia="Arial" w:hAnsi="Arial" w:cs="Arial"/>
        </w:rPr>
        <w:t xml:space="preserve">s a result, Ms </w:t>
      </w:r>
      <w:proofErr w:type="spellStart"/>
      <w:r w:rsidR="00E42E79">
        <w:rPr>
          <w:rFonts w:ascii="Arial" w:eastAsia="Arial" w:hAnsi="Arial" w:cs="Arial"/>
        </w:rPr>
        <w:t>Agenbach</w:t>
      </w:r>
      <w:proofErr w:type="spellEnd"/>
      <w:r w:rsidR="00E42E79">
        <w:rPr>
          <w:rFonts w:ascii="Arial" w:eastAsia="Arial" w:hAnsi="Arial" w:cs="Arial"/>
        </w:rPr>
        <w:t xml:space="preserve"> totally withdrew from the matter and had it “out of sight and out of mind” until issues arose wherein Mr Maritz assured her that it will be sorted.</w:t>
      </w:r>
    </w:p>
    <w:p w:rsidR="00CC0425" w:rsidRDefault="00CC0425" w:rsidP="00173E34">
      <w:pPr>
        <w:spacing w:line="360" w:lineRule="auto"/>
        <w:jc w:val="both"/>
        <w:rPr>
          <w:rFonts w:ascii="Arial" w:eastAsia="Arial" w:hAnsi="Arial" w:cs="Arial"/>
        </w:rPr>
      </w:pPr>
    </w:p>
    <w:p w:rsidR="00CC0425" w:rsidRPr="00D17D17" w:rsidRDefault="002515E1" w:rsidP="00173E34">
      <w:pPr>
        <w:spacing w:line="360" w:lineRule="auto"/>
        <w:jc w:val="both"/>
        <w:rPr>
          <w:rFonts w:ascii="Arial" w:eastAsia="Arial" w:hAnsi="Arial" w:cs="Arial"/>
          <w:u w:val="single"/>
        </w:rPr>
      </w:pPr>
      <w:r w:rsidRPr="00D17D17">
        <w:rPr>
          <w:rFonts w:ascii="Arial" w:eastAsia="Arial" w:hAnsi="Arial" w:cs="Arial"/>
          <w:u w:val="single"/>
        </w:rPr>
        <w:t>Plaint</w:t>
      </w:r>
      <w:r w:rsidR="004F25FE" w:rsidRPr="00D17D17">
        <w:rPr>
          <w:rFonts w:ascii="Arial" w:eastAsia="Arial" w:hAnsi="Arial" w:cs="Arial"/>
          <w:u w:val="single"/>
        </w:rPr>
        <w:t>iff’s submissions</w:t>
      </w:r>
    </w:p>
    <w:p w:rsidR="00173E34" w:rsidRPr="00C929CE" w:rsidRDefault="00173E34" w:rsidP="00173E34">
      <w:pPr>
        <w:spacing w:line="360" w:lineRule="auto"/>
        <w:jc w:val="both"/>
        <w:rPr>
          <w:rFonts w:ascii="Arial" w:eastAsia="Arial" w:hAnsi="Arial" w:cs="Arial"/>
        </w:rPr>
      </w:pPr>
    </w:p>
    <w:p w:rsidR="00173E34" w:rsidRDefault="00173E34" w:rsidP="00173E34">
      <w:pPr>
        <w:spacing w:line="360" w:lineRule="auto"/>
        <w:jc w:val="both"/>
        <w:rPr>
          <w:rFonts w:ascii="Arial" w:eastAsia="Arial" w:hAnsi="Arial" w:cs="Arial"/>
        </w:rPr>
      </w:pPr>
      <w:r w:rsidRPr="00C929CE">
        <w:rPr>
          <w:rFonts w:ascii="Arial" w:eastAsia="Arial" w:hAnsi="Arial" w:cs="Arial"/>
        </w:rPr>
        <w:t>[7]</w:t>
      </w:r>
      <w:r w:rsidR="00AB3080">
        <w:rPr>
          <w:rFonts w:ascii="Arial" w:eastAsia="Arial" w:hAnsi="Arial" w:cs="Arial"/>
        </w:rPr>
        <w:tab/>
      </w:r>
      <w:r w:rsidR="004C56C8">
        <w:rPr>
          <w:rFonts w:ascii="Arial" w:eastAsia="Arial" w:hAnsi="Arial" w:cs="Arial"/>
        </w:rPr>
        <w:t xml:space="preserve">The affidavit filed in respect of the plaintiff corroborates the issues mentioned in Ms </w:t>
      </w:r>
      <w:proofErr w:type="spellStart"/>
      <w:r w:rsidR="004C56C8">
        <w:rPr>
          <w:rFonts w:ascii="Arial" w:eastAsia="Arial" w:hAnsi="Arial" w:cs="Arial"/>
        </w:rPr>
        <w:t>Agenbach’s</w:t>
      </w:r>
      <w:proofErr w:type="spellEnd"/>
      <w:r w:rsidR="004C56C8">
        <w:rPr>
          <w:rFonts w:ascii="Arial" w:eastAsia="Arial" w:hAnsi="Arial" w:cs="Arial"/>
        </w:rPr>
        <w:t xml:space="preserve"> affidavit. The plaintiff submits that on the 27</w:t>
      </w:r>
      <w:r w:rsidR="004C56C8" w:rsidRPr="004C56C8">
        <w:rPr>
          <w:rFonts w:ascii="Arial" w:eastAsia="Arial" w:hAnsi="Arial" w:cs="Arial"/>
          <w:vertAlign w:val="superscript"/>
        </w:rPr>
        <w:t>th</w:t>
      </w:r>
      <w:r w:rsidR="004C56C8">
        <w:rPr>
          <w:rFonts w:ascii="Arial" w:eastAsia="Arial" w:hAnsi="Arial" w:cs="Arial"/>
        </w:rPr>
        <w:t xml:space="preserve"> of October 2017, he was called by the office of Mr Maritz informing him that there was a document to be signed by him, turning out to </w:t>
      </w:r>
      <w:r w:rsidR="00C6177A">
        <w:rPr>
          <w:rFonts w:ascii="Arial" w:eastAsia="Arial" w:hAnsi="Arial" w:cs="Arial"/>
        </w:rPr>
        <w:t xml:space="preserve">be </w:t>
      </w:r>
      <w:r w:rsidR="004C56C8">
        <w:rPr>
          <w:rFonts w:ascii="Arial" w:eastAsia="Arial" w:hAnsi="Arial" w:cs="Arial"/>
        </w:rPr>
        <w:t xml:space="preserve">the notice of withdrawal by Ms </w:t>
      </w:r>
      <w:proofErr w:type="spellStart"/>
      <w:r w:rsidR="004C56C8">
        <w:rPr>
          <w:rFonts w:ascii="Arial" w:eastAsia="Arial" w:hAnsi="Arial" w:cs="Arial"/>
        </w:rPr>
        <w:t>Agenbach</w:t>
      </w:r>
      <w:proofErr w:type="spellEnd"/>
      <w:r w:rsidR="004C56C8">
        <w:rPr>
          <w:rFonts w:ascii="Arial" w:eastAsia="Arial" w:hAnsi="Arial" w:cs="Arial"/>
        </w:rPr>
        <w:t xml:space="preserve">.  </w:t>
      </w:r>
    </w:p>
    <w:p w:rsidR="00530F27" w:rsidRPr="00C929CE" w:rsidRDefault="00530F27" w:rsidP="00173E34">
      <w:pPr>
        <w:spacing w:line="360" w:lineRule="auto"/>
        <w:jc w:val="both"/>
        <w:rPr>
          <w:rFonts w:ascii="Arial" w:eastAsia="Arial" w:hAnsi="Arial" w:cs="Arial"/>
        </w:rPr>
      </w:pP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[8]</w:t>
      </w:r>
      <w:r w:rsidRPr="00C929CE">
        <w:rPr>
          <w:rFonts w:ascii="Arial" w:eastAsia="Arial" w:hAnsi="Arial" w:cs="Arial"/>
        </w:rPr>
        <w:tab/>
      </w:r>
      <w:r w:rsidR="00CC0425">
        <w:rPr>
          <w:rFonts w:ascii="Arial" w:eastAsia="Arial" w:hAnsi="Arial" w:cs="Arial"/>
        </w:rPr>
        <w:t xml:space="preserve">The plaintiff further submits that from the date he signed the notice of withdrawal to the date he made a surprise visit to Mr. Maritz’s office on 5 December 2017, he did not meet with Mr. Maritz. On that date, Mr. Maritz informed the plaintiff that the court was of the view that Ms </w:t>
      </w:r>
      <w:proofErr w:type="spellStart"/>
      <w:r w:rsidR="00CC0425">
        <w:rPr>
          <w:rFonts w:ascii="Arial" w:eastAsia="Arial" w:hAnsi="Arial" w:cs="Arial"/>
        </w:rPr>
        <w:t>Agenbach’s</w:t>
      </w:r>
      <w:proofErr w:type="spellEnd"/>
      <w:r w:rsidR="00CC0425">
        <w:rPr>
          <w:rFonts w:ascii="Arial" w:eastAsia="Arial" w:hAnsi="Arial" w:cs="Arial"/>
        </w:rPr>
        <w:t xml:space="preserve"> withdrawal was not properly done. Mr Maritz then sent the plaintiff to have a look at the court file and determine whether Ms </w:t>
      </w:r>
      <w:proofErr w:type="spellStart"/>
      <w:r w:rsidR="00CC0425">
        <w:rPr>
          <w:rFonts w:ascii="Arial" w:eastAsia="Arial" w:hAnsi="Arial" w:cs="Arial"/>
        </w:rPr>
        <w:t>Agenbach</w:t>
      </w:r>
      <w:proofErr w:type="spellEnd"/>
      <w:r w:rsidR="00CC0425">
        <w:rPr>
          <w:rFonts w:ascii="Arial" w:eastAsia="Arial" w:hAnsi="Arial" w:cs="Arial"/>
        </w:rPr>
        <w:t xml:space="preserve"> has filed a proper notice of withdrawal</w:t>
      </w:r>
      <w:r w:rsidR="00802D02">
        <w:rPr>
          <w:rFonts w:ascii="Arial" w:eastAsia="Arial" w:hAnsi="Arial" w:cs="Arial"/>
        </w:rPr>
        <w:t xml:space="preserve"> in order for him to come on record</w:t>
      </w:r>
      <w:r w:rsidR="00CC0425">
        <w:rPr>
          <w:rFonts w:ascii="Arial" w:eastAsia="Arial" w:hAnsi="Arial" w:cs="Arial"/>
        </w:rPr>
        <w:t xml:space="preserve">. </w:t>
      </w:r>
      <w:r w:rsidR="00802D02">
        <w:rPr>
          <w:rFonts w:ascii="Arial" w:eastAsia="Arial" w:hAnsi="Arial" w:cs="Arial"/>
        </w:rPr>
        <w:t>The plaintiff further avers that Mr Maritz informed him to come back the next</w:t>
      </w:r>
      <w:r w:rsidR="00C6177A">
        <w:rPr>
          <w:rFonts w:ascii="Arial" w:eastAsia="Arial" w:hAnsi="Arial" w:cs="Arial"/>
        </w:rPr>
        <w:t xml:space="preserve"> day</w:t>
      </w:r>
      <w:r w:rsidR="00802D02">
        <w:rPr>
          <w:rFonts w:ascii="Arial" w:eastAsia="Arial" w:hAnsi="Arial" w:cs="Arial"/>
        </w:rPr>
        <w:t>, 6 December 2017.</w:t>
      </w:r>
    </w:p>
    <w:p w:rsidR="00173E34" w:rsidRPr="00C929CE" w:rsidRDefault="00173E34" w:rsidP="00173E34">
      <w:pPr>
        <w:spacing w:line="360" w:lineRule="auto"/>
        <w:jc w:val="both"/>
        <w:rPr>
          <w:rFonts w:ascii="Arial" w:eastAsia="Arial" w:hAnsi="Arial" w:cs="Arial"/>
        </w:rPr>
      </w:pP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[9]</w:t>
      </w:r>
      <w:r w:rsidRPr="00C929CE">
        <w:rPr>
          <w:rFonts w:ascii="Arial" w:eastAsia="Arial" w:hAnsi="Arial" w:cs="Arial"/>
        </w:rPr>
        <w:tab/>
        <w:t xml:space="preserve"> </w:t>
      </w:r>
      <w:r w:rsidR="00802D02">
        <w:rPr>
          <w:rFonts w:ascii="Arial" w:eastAsia="Arial" w:hAnsi="Arial" w:cs="Arial"/>
        </w:rPr>
        <w:t>Upon returning to Mr Maritz’s office, the plaintiff avers that Mr Maritz was unable to see him and that he should come back in January 2018. The plaintiff further submits that Mr Maritz’s secretary gave him a copy of a court order</w:t>
      </w:r>
      <w:r w:rsidR="00950690">
        <w:rPr>
          <w:rFonts w:ascii="Arial" w:eastAsia="Arial" w:hAnsi="Arial" w:cs="Arial"/>
        </w:rPr>
        <w:t xml:space="preserve"> dated 16 November 2017 wherein the court granted a restitution of conjugal rights to the defendant with a return court date of 22 February 2018. </w:t>
      </w:r>
    </w:p>
    <w:p w:rsidR="00173E34" w:rsidRPr="00C929CE" w:rsidRDefault="00173E34" w:rsidP="00173E34">
      <w:pPr>
        <w:spacing w:line="360" w:lineRule="auto"/>
        <w:jc w:val="both"/>
        <w:rPr>
          <w:rFonts w:ascii="Arial" w:eastAsia="Arial" w:hAnsi="Arial" w:cs="Arial"/>
        </w:rPr>
      </w:pPr>
    </w:p>
    <w:p w:rsidR="00173E34" w:rsidRDefault="00173E34" w:rsidP="00173E34">
      <w:pPr>
        <w:spacing w:line="360" w:lineRule="auto"/>
        <w:jc w:val="both"/>
        <w:rPr>
          <w:rFonts w:ascii="Arial" w:eastAsia="Arial" w:hAnsi="Arial" w:cs="Arial"/>
        </w:rPr>
      </w:pPr>
      <w:r w:rsidRPr="00C929CE">
        <w:rPr>
          <w:rFonts w:ascii="Arial" w:eastAsia="Arial" w:hAnsi="Arial" w:cs="Arial"/>
        </w:rPr>
        <w:t>[10]</w:t>
      </w:r>
      <w:r w:rsidRPr="00C929CE">
        <w:rPr>
          <w:rFonts w:ascii="Arial" w:eastAsia="Arial" w:hAnsi="Arial" w:cs="Arial"/>
        </w:rPr>
        <w:tab/>
        <w:t xml:space="preserve"> </w:t>
      </w:r>
      <w:r w:rsidR="00F10D36">
        <w:rPr>
          <w:rFonts w:ascii="Arial" w:eastAsia="Arial" w:hAnsi="Arial" w:cs="Arial"/>
        </w:rPr>
        <w:t xml:space="preserve">The plaintiff further avers that due to the state of the uncertain legal representation issue, he instructed his son to pick up his file from the office of Mr Maritz and find him an alternative legal practitioner to take on his case. The plaintiff submits that on 7 December 2017, his son approached the offices of </w:t>
      </w:r>
      <w:proofErr w:type="spellStart"/>
      <w:r w:rsidR="00F10D36">
        <w:rPr>
          <w:rFonts w:ascii="Arial" w:eastAsia="Arial" w:hAnsi="Arial" w:cs="Arial"/>
        </w:rPr>
        <w:t>Ueitele</w:t>
      </w:r>
      <w:proofErr w:type="spellEnd"/>
      <w:r w:rsidR="00F10D36">
        <w:rPr>
          <w:rFonts w:ascii="Arial" w:eastAsia="Arial" w:hAnsi="Arial" w:cs="Arial"/>
        </w:rPr>
        <w:t xml:space="preserve"> &amp; Hans Inc. and scheduled an appointment for 18 January 2018 as the office was closing for the holidays on 8 December 2017.</w:t>
      </w:r>
    </w:p>
    <w:p w:rsidR="00E43CB0" w:rsidRPr="00C929CE" w:rsidRDefault="00E43CB0" w:rsidP="00173E34">
      <w:pPr>
        <w:spacing w:line="360" w:lineRule="auto"/>
        <w:jc w:val="both"/>
        <w:rPr>
          <w:rFonts w:ascii="Arial" w:eastAsia="Arial" w:hAnsi="Arial" w:cs="Arial"/>
        </w:rPr>
      </w:pPr>
    </w:p>
    <w:p w:rsidR="00173E34" w:rsidRPr="00C929CE" w:rsidRDefault="0034493E" w:rsidP="0034493E">
      <w:pPr>
        <w:tabs>
          <w:tab w:val="left" w:pos="810"/>
        </w:tabs>
        <w:spacing w:line="360" w:lineRule="auto"/>
        <w:jc w:val="both"/>
        <w:rPr>
          <w:rFonts w:ascii="Arial" w:eastAsia="Arial" w:hAnsi="Arial" w:cs="Arial"/>
        </w:rPr>
      </w:pPr>
      <w:r>
        <w:rPr>
          <w:rFonts w:ascii="Arial" w:eastAsia="Arial" w:hAnsi="Arial" w:cs="Arial"/>
        </w:rPr>
        <w:t>[11]</w:t>
      </w:r>
      <w:r>
        <w:rPr>
          <w:rFonts w:ascii="Arial" w:eastAsia="Arial" w:hAnsi="Arial" w:cs="Arial"/>
        </w:rPr>
        <w:tab/>
        <w:t>During consultations on the 18</w:t>
      </w:r>
      <w:r w:rsidRPr="0034493E">
        <w:rPr>
          <w:rFonts w:ascii="Arial" w:eastAsia="Arial" w:hAnsi="Arial" w:cs="Arial"/>
          <w:vertAlign w:val="superscript"/>
        </w:rPr>
        <w:t>th</w:t>
      </w:r>
      <w:r>
        <w:rPr>
          <w:rFonts w:ascii="Arial" w:eastAsia="Arial" w:hAnsi="Arial" w:cs="Arial"/>
        </w:rPr>
        <w:t xml:space="preserve"> of January 2018, the plaintiff indicates that he met with Ms Hans-</w:t>
      </w:r>
      <w:proofErr w:type="spellStart"/>
      <w:r>
        <w:rPr>
          <w:rFonts w:ascii="Arial" w:eastAsia="Arial" w:hAnsi="Arial" w:cs="Arial"/>
        </w:rPr>
        <w:t>Kaumbi</w:t>
      </w:r>
      <w:proofErr w:type="spellEnd"/>
      <w:r>
        <w:rPr>
          <w:rFonts w:ascii="Arial" w:eastAsia="Arial" w:hAnsi="Arial" w:cs="Arial"/>
        </w:rPr>
        <w:t xml:space="preserve"> of </w:t>
      </w:r>
      <w:proofErr w:type="spellStart"/>
      <w:r>
        <w:rPr>
          <w:rFonts w:ascii="Arial" w:eastAsia="Arial" w:hAnsi="Arial" w:cs="Arial"/>
        </w:rPr>
        <w:t>Ueitele</w:t>
      </w:r>
      <w:proofErr w:type="spellEnd"/>
      <w:r>
        <w:rPr>
          <w:rFonts w:ascii="Arial" w:eastAsia="Arial" w:hAnsi="Arial" w:cs="Arial"/>
        </w:rPr>
        <w:t xml:space="preserve"> &amp; Hans </w:t>
      </w:r>
      <w:proofErr w:type="spellStart"/>
      <w:r>
        <w:rPr>
          <w:rFonts w:ascii="Arial" w:eastAsia="Arial" w:hAnsi="Arial" w:cs="Arial"/>
        </w:rPr>
        <w:t>Inc</w:t>
      </w:r>
      <w:proofErr w:type="spellEnd"/>
      <w:r>
        <w:rPr>
          <w:rFonts w:ascii="Arial" w:eastAsia="Arial" w:hAnsi="Arial" w:cs="Arial"/>
        </w:rPr>
        <w:t xml:space="preserve"> that advised him that a rescission for the restitution of conjugal rights had to be brought before court on the 22</w:t>
      </w:r>
      <w:r w:rsidRPr="0034493E">
        <w:rPr>
          <w:rFonts w:ascii="Arial" w:eastAsia="Arial" w:hAnsi="Arial" w:cs="Arial"/>
          <w:vertAlign w:val="superscript"/>
        </w:rPr>
        <w:t>nd</w:t>
      </w:r>
      <w:r>
        <w:rPr>
          <w:rFonts w:ascii="Arial" w:eastAsia="Arial" w:hAnsi="Arial" w:cs="Arial"/>
        </w:rPr>
        <w:t xml:space="preserve"> of February 2018. </w:t>
      </w:r>
      <w:r w:rsidR="00D36B58">
        <w:rPr>
          <w:rFonts w:ascii="Arial" w:eastAsia="Arial" w:hAnsi="Arial" w:cs="Arial"/>
        </w:rPr>
        <w:t>The plaintiff then further averred that Ms Hans-</w:t>
      </w:r>
      <w:proofErr w:type="spellStart"/>
      <w:r w:rsidR="00D36B58">
        <w:rPr>
          <w:rFonts w:ascii="Arial" w:eastAsia="Arial" w:hAnsi="Arial" w:cs="Arial"/>
        </w:rPr>
        <w:t>Kaumbi</w:t>
      </w:r>
      <w:proofErr w:type="spellEnd"/>
      <w:r w:rsidR="00D36B58">
        <w:rPr>
          <w:rFonts w:ascii="Arial" w:eastAsia="Arial" w:hAnsi="Arial" w:cs="Arial"/>
        </w:rPr>
        <w:t xml:space="preserve"> contacted Ms </w:t>
      </w:r>
      <w:proofErr w:type="spellStart"/>
      <w:r w:rsidR="00D36B58">
        <w:rPr>
          <w:rFonts w:ascii="Arial" w:eastAsia="Arial" w:hAnsi="Arial" w:cs="Arial"/>
        </w:rPr>
        <w:t>Agenbach</w:t>
      </w:r>
      <w:proofErr w:type="spellEnd"/>
      <w:r w:rsidR="00D36B58">
        <w:rPr>
          <w:rFonts w:ascii="Arial" w:eastAsia="Arial" w:hAnsi="Arial" w:cs="Arial"/>
        </w:rPr>
        <w:t xml:space="preserve"> to get further information on the matter </w:t>
      </w:r>
      <w:r w:rsidR="00317502">
        <w:rPr>
          <w:rFonts w:ascii="Arial" w:eastAsia="Arial" w:hAnsi="Arial" w:cs="Arial"/>
        </w:rPr>
        <w:t xml:space="preserve">as it was unclear from the file </w:t>
      </w:r>
      <w:r w:rsidR="00D36B58">
        <w:rPr>
          <w:rFonts w:ascii="Arial" w:eastAsia="Arial" w:hAnsi="Arial" w:cs="Arial"/>
        </w:rPr>
        <w:t>provided by the plaintiff and she confirmed that she no longer was on the matter due to the notice of withdrawal and affidavit filed. The plaintiff further avers that Ms Hans-</w:t>
      </w:r>
      <w:proofErr w:type="spellStart"/>
      <w:r w:rsidR="00D36B58">
        <w:rPr>
          <w:rFonts w:ascii="Arial" w:eastAsia="Arial" w:hAnsi="Arial" w:cs="Arial"/>
        </w:rPr>
        <w:t>Kaumbi</w:t>
      </w:r>
      <w:proofErr w:type="spellEnd"/>
      <w:r w:rsidR="00D36B58">
        <w:rPr>
          <w:rFonts w:ascii="Arial" w:eastAsia="Arial" w:hAnsi="Arial" w:cs="Arial"/>
        </w:rPr>
        <w:t xml:space="preserve"> further attempted to </w:t>
      </w:r>
      <w:r w:rsidR="007663E3">
        <w:rPr>
          <w:rFonts w:ascii="Arial" w:eastAsia="Arial" w:hAnsi="Arial" w:cs="Arial"/>
        </w:rPr>
        <w:t xml:space="preserve">communicate with </w:t>
      </w:r>
      <w:r w:rsidR="00D36B58">
        <w:rPr>
          <w:rFonts w:ascii="Arial" w:eastAsia="Arial" w:hAnsi="Arial" w:cs="Arial"/>
        </w:rPr>
        <w:t xml:space="preserve">Mr Maritz and Mr </w:t>
      </w:r>
      <w:proofErr w:type="spellStart"/>
      <w:r w:rsidR="00D36B58">
        <w:rPr>
          <w:rFonts w:ascii="Arial" w:eastAsia="Arial" w:hAnsi="Arial" w:cs="Arial"/>
        </w:rPr>
        <w:t>Jantjies</w:t>
      </w:r>
      <w:proofErr w:type="spellEnd"/>
      <w:r w:rsidR="00D36B58">
        <w:rPr>
          <w:rFonts w:ascii="Arial" w:eastAsia="Arial" w:hAnsi="Arial" w:cs="Arial"/>
        </w:rPr>
        <w:t xml:space="preserve"> (who was on record for the defendant) whom both were not reachable</w:t>
      </w:r>
      <w:r w:rsidR="007663E3">
        <w:rPr>
          <w:rFonts w:ascii="Arial" w:eastAsia="Arial" w:hAnsi="Arial" w:cs="Arial"/>
        </w:rPr>
        <w:t>.</w:t>
      </w:r>
      <w:r w:rsidR="00D36B58">
        <w:rPr>
          <w:rFonts w:ascii="Arial" w:eastAsia="Arial" w:hAnsi="Arial" w:cs="Arial"/>
        </w:rPr>
        <w:t xml:space="preserve"> Ms Hans-</w:t>
      </w:r>
      <w:proofErr w:type="spellStart"/>
      <w:r w:rsidR="00D36B58">
        <w:rPr>
          <w:rFonts w:ascii="Arial" w:eastAsia="Arial" w:hAnsi="Arial" w:cs="Arial"/>
        </w:rPr>
        <w:t>Kaumbi</w:t>
      </w:r>
      <w:proofErr w:type="spellEnd"/>
      <w:r w:rsidR="00D36B58">
        <w:rPr>
          <w:rFonts w:ascii="Arial" w:eastAsia="Arial" w:hAnsi="Arial" w:cs="Arial"/>
        </w:rPr>
        <w:t xml:space="preserve"> managed to </w:t>
      </w:r>
      <w:r w:rsidR="007663E3">
        <w:rPr>
          <w:rFonts w:ascii="Arial" w:eastAsia="Arial" w:hAnsi="Arial" w:cs="Arial"/>
        </w:rPr>
        <w:t xml:space="preserve">communicate with Mr </w:t>
      </w:r>
      <w:proofErr w:type="spellStart"/>
      <w:r w:rsidR="007663E3">
        <w:rPr>
          <w:rFonts w:ascii="Arial" w:eastAsia="Arial" w:hAnsi="Arial" w:cs="Arial"/>
        </w:rPr>
        <w:t>Jantjies</w:t>
      </w:r>
      <w:proofErr w:type="spellEnd"/>
      <w:r w:rsidR="007663E3">
        <w:rPr>
          <w:rFonts w:ascii="Arial" w:eastAsia="Arial" w:hAnsi="Arial" w:cs="Arial"/>
        </w:rPr>
        <w:t xml:space="preserve"> telephonically regarding the matter and </w:t>
      </w:r>
      <w:r w:rsidR="00D36B58">
        <w:rPr>
          <w:rFonts w:ascii="Arial" w:eastAsia="Arial" w:hAnsi="Arial" w:cs="Arial"/>
        </w:rPr>
        <w:t>schedule</w:t>
      </w:r>
      <w:r w:rsidR="007663E3">
        <w:rPr>
          <w:rFonts w:ascii="Arial" w:eastAsia="Arial" w:hAnsi="Arial" w:cs="Arial"/>
        </w:rPr>
        <w:t>d</w:t>
      </w:r>
      <w:r w:rsidR="00D36B58">
        <w:rPr>
          <w:rFonts w:ascii="Arial" w:eastAsia="Arial" w:hAnsi="Arial" w:cs="Arial"/>
        </w:rPr>
        <w:t xml:space="preserve"> an appointment with Mr </w:t>
      </w:r>
      <w:proofErr w:type="spellStart"/>
      <w:r w:rsidR="00D36B58">
        <w:rPr>
          <w:rFonts w:ascii="Arial" w:eastAsia="Arial" w:hAnsi="Arial" w:cs="Arial"/>
        </w:rPr>
        <w:t>Jantjies</w:t>
      </w:r>
      <w:proofErr w:type="spellEnd"/>
      <w:r w:rsidR="00D36B58">
        <w:rPr>
          <w:rFonts w:ascii="Arial" w:eastAsia="Arial" w:hAnsi="Arial" w:cs="Arial"/>
        </w:rPr>
        <w:t xml:space="preserve"> for the 26</w:t>
      </w:r>
      <w:r w:rsidR="00D36B58" w:rsidRPr="00D36B58">
        <w:rPr>
          <w:rFonts w:ascii="Arial" w:eastAsia="Arial" w:hAnsi="Arial" w:cs="Arial"/>
          <w:vertAlign w:val="superscript"/>
        </w:rPr>
        <w:t>th</w:t>
      </w:r>
      <w:r w:rsidR="00D36B58">
        <w:rPr>
          <w:rFonts w:ascii="Arial" w:eastAsia="Arial" w:hAnsi="Arial" w:cs="Arial"/>
        </w:rPr>
        <w:t xml:space="preserve"> of January 2018 to resolve the matter amicably. </w:t>
      </w:r>
      <w:r w:rsidR="007663E3">
        <w:rPr>
          <w:rFonts w:ascii="Arial" w:eastAsia="Arial" w:hAnsi="Arial" w:cs="Arial"/>
        </w:rPr>
        <w:t xml:space="preserve">On the said date Mr </w:t>
      </w:r>
      <w:proofErr w:type="spellStart"/>
      <w:r w:rsidR="007663E3">
        <w:rPr>
          <w:rFonts w:ascii="Arial" w:eastAsia="Arial" w:hAnsi="Arial" w:cs="Arial"/>
        </w:rPr>
        <w:t>Jantjies</w:t>
      </w:r>
      <w:proofErr w:type="spellEnd"/>
      <w:r w:rsidR="007663E3">
        <w:rPr>
          <w:rFonts w:ascii="Arial" w:eastAsia="Arial" w:hAnsi="Arial" w:cs="Arial"/>
        </w:rPr>
        <w:t xml:space="preserve"> could not attend the meeting scheduled and advised</w:t>
      </w:r>
      <w:r w:rsidR="00D36B58">
        <w:rPr>
          <w:rFonts w:ascii="Arial" w:eastAsia="Arial" w:hAnsi="Arial" w:cs="Arial"/>
        </w:rPr>
        <w:t xml:space="preserve"> Ms Hans-</w:t>
      </w:r>
      <w:proofErr w:type="spellStart"/>
      <w:r w:rsidR="00D36B58">
        <w:rPr>
          <w:rFonts w:ascii="Arial" w:eastAsia="Arial" w:hAnsi="Arial" w:cs="Arial"/>
        </w:rPr>
        <w:t>Kaumbi</w:t>
      </w:r>
      <w:proofErr w:type="spellEnd"/>
      <w:r w:rsidR="00D36B58">
        <w:rPr>
          <w:rFonts w:ascii="Arial" w:eastAsia="Arial" w:hAnsi="Arial" w:cs="Arial"/>
        </w:rPr>
        <w:t xml:space="preserve"> that she could file the application for rescission.</w:t>
      </w:r>
    </w:p>
    <w:p w:rsidR="00173E34" w:rsidRPr="00C929CE" w:rsidRDefault="00173E34" w:rsidP="00173E34">
      <w:pPr>
        <w:spacing w:line="360" w:lineRule="auto"/>
        <w:jc w:val="both"/>
        <w:rPr>
          <w:rFonts w:ascii="Arial" w:eastAsia="Arial" w:hAnsi="Arial" w:cs="Arial"/>
        </w:rPr>
      </w:pPr>
    </w:p>
    <w:p w:rsidR="008B3241" w:rsidRPr="008D4CB4" w:rsidRDefault="00173E34" w:rsidP="00173E34">
      <w:pPr>
        <w:spacing w:line="360" w:lineRule="auto"/>
        <w:jc w:val="both"/>
        <w:rPr>
          <w:rFonts w:ascii="Arial" w:eastAsia="Arial" w:hAnsi="Arial" w:cs="Arial"/>
        </w:rPr>
      </w:pPr>
      <w:r w:rsidRPr="00C929CE">
        <w:rPr>
          <w:rFonts w:ascii="Arial" w:eastAsia="Arial" w:hAnsi="Arial" w:cs="Arial"/>
        </w:rPr>
        <w:t>[12]</w:t>
      </w:r>
      <w:r w:rsidRPr="00C929CE">
        <w:rPr>
          <w:rFonts w:ascii="Arial" w:eastAsia="Arial" w:hAnsi="Arial" w:cs="Arial"/>
        </w:rPr>
        <w:tab/>
        <w:t xml:space="preserve"> </w:t>
      </w:r>
      <w:r w:rsidR="00911C40">
        <w:rPr>
          <w:rFonts w:ascii="Arial" w:eastAsia="Arial" w:hAnsi="Arial" w:cs="Arial"/>
        </w:rPr>
        <w:t>The above primarily sets out the events that took place before this matter c</w:t>
      </w:r>
      <w:r w:rsidR="00317502">
        <w:rPr>
          <w:rFonts w:ascii="Arial" w:eastAsia="Arial" w:hAnsi="Arial" w:cs="Arial"/>
        </w:rPr>
        <w:t xml:space="preserve">oming before this court for a </w:t>
      </w:r>
      <w:r w:rsidR="00911C40">
        <w:rPr>
          <w:rFonts w:ascii="Arial" w:eastAsia="Arial" w:hAnsi="Arial" w:cs="Arial"/>
        </w:rPr>
        <w:t xml:space="preserve">rescission application. Having set out the events as </w:t>
      </w:r>
      <w:r w:rsidR="00911C40">
        <w:rPr>
          <w:rFonts w:ascii="Arial" w:eastAsia="Arial" w:hAnsi="Arial" w:cs="Arial"/>
        </w:rPr>
        <w:lastRenderedPageBreak/>
        <w:t>above, I will now move on to deal with the</w:t>
      </w:r>
      <w:r w:rsidR="008D4CB4">
        <w:rPr>
          <w:rFonts w:ascii="Arial" w:eastAsia="Arial" w:hAnsi="Arial" w:cs="Arial"/>
        </w:rPr>
        <w:t xml:space="preserve"> events that transpired before the</w:t>
      </w:r>
      <w:r w:rsidR="00911C40">
        <w:rPr>
          <w:rFonts w:ascii="Arial" w:eastAsia="Arial" w:hAnsi="Arial" w:cs="Arial"/>
        </w:rPr>
        <w:t xml:space="preserve"> application for rescission</w:t>
      </w:r>
      <w:r w:rsidR="008D4CB4">
        <w:rPr>
          <w:rFonts w:ascii="Arial" w:eastAsia="Arial" w:hAnsi="Arial" w:cs="Arial"/>
        </w:rPr>
        <w:t xml:space="preserve"> was filed before this court</w:t>
      </w:r>
      <w:r w:rsidR="00911C40">
        <w:rPr>
          <w:rFonts w:ascii="Arial" w:eastAsia="Arial" w:hAnsi="Arial" w:cs="Arial"/>
        </w:rPr>
        <w:t>.</w:t>
      </w:r>
    </w:p>
    <w:p w:rsidR="00173E34" w:rsidRPr="008B3241" w:rsidRDefault="008B3241" w:rsidP="00173E34">
      <w:pPr>
        <w:spacing w:line="360" w:lineRule="auto"/>
        <w:jc w:val="both"/>
        <w:rPr>
          <w:rFonts w:ascii="Arial" w:eastAsia="Arial" w:hAnsi="Arial" w:cs="Arial"/>
          <w:b/>
        </w:rPr>
      </w:pPr>
      <w:r w:rsidRPr="008B3241">
        <w:rPr>
          <w:rFonts w:ascii="Arial" w:eastAsia="Arial" w:hAnsi="Arial" w:cs="Arial"/>
          <w:b/>
        </w:rPr>
        <w:t xml:space="preserve"> </w:t>
      </w: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[13]</w:t>
      </w:r>
      <w:r w:rsidR="008B3241">
        <w:rPr>
          <w:rFonts w:ascii="Arial" w:eastAsia="Arial" w:hAnsi="Arial" w:cs="Arial"/>
        </w:rPr>
        <w:tab/>
      </w:r>
      <w:r w:rsidR="006E4C5A">
        <w:rPr>
          <w:rFonts w:ascii="Arial" w:eastAsia="Arial" w:hAnsi="Arial" w:cs="Arial"/>
        </w:rPr>
        <w:t>Before the rescission application was filed, the plaintiff’s legal practitioner of record, Ms Hans-</w:t>
      </w:r>
      <w:proofErr w:type="spellStart"/>
      <w:r w:rsidR="006E4C5A">
        <w:rPr>
          <w:rFonts w:ascii="Arial" w:eastAsia="Arial" w:hAnsi="Arial" w:cs="Arial"/>
        </w:rPr>
        <w:t>Kaumbi</w:t>
      </w:r>
      <w:proofErr w:type="spellEnd"/>
      <w:r w:rsidR="006E4C5A">
        <w:rPr>
          <w:rFonts w:ascii="Arial" w:eastAsia="Arial" w:hAnsi="Arial" w:cs="Arial"/>
        </w:rPr>
        <w:t>, filed a condonation application for failing to file her notice of representation and the report in terms of Rule 32 (10) timeously and not bringing the condonation application timeously as well.  In her affidavit accompanying the application, Ms Hans-</w:t>
      </w:r>
      <w:proofErr w:type="spellStart"/>
      <w:r w:rsidR="006E4C5A">
        <w:rPr>
          <w:rFonts w:ascii="Arial" w:eastAsia="Arial" w:hAnsi="Arial" w:cs="Arial"/>
        </w:rPr>
        <w:t>Kaumbi</w:t>
      </w:r>
      <w:proofErr w:type="spellEnd"/>
      <w:r w:rsidR="006E4C5A">
        <w:rPr>
          <w:rFonts w:ascii="Arial" w:eastAsia="Arial" w:hAnsi="Arial" w:cs="Arial"/>
        </w:rPr>
        <w:t xml:space="preserve"> submits that it was error from their messenger in that all the documents mentioned were to be filed on 30 January 2018 but instead they were filed in a staggered manner, resulting in the notice of motion superseding the notice or representation and the report in terms of rule 32 (10). She further submits that when she noticed the error, she addressed it with her counterpart, Mr </w:t>
      </w:r>
      <w:proofErr w:type="spellStart"/>
      <w:r w:rsidR="006E4C5A">
        <w:rPr>
          <w:rFonts w:ascii="Arial" w:eastAsia="Arial" w:hAnsi="Arial" w:cs="Arial"/>
        </w:rPr>
        <w:t>Jantjies</w:t>
      </w:r>
      <w:proofErr w:type="spellEnd"/>
      <w:r w:rsidR="006E4C5A">
        <w:rPr>
          <w:rFonts w:ascii="Arial" w:eastAsia="Arial" w:hAnsi="Arial" w:cs="Arial"/>
        </w:rPr>
        <w:t>, who then indicated that he would take up issue with it, hence the condonation application filed by Ms Hans-</w:t>
      </w:r>
      <w:proofErr w:type="spellStart"/>
      <w:r w:rsidR="006E4C5A">
        <w:rPr>
          <w:rFonts w:ascii="Arial" w:eastAsia="Arial" w:hAnsi="Arial" w:cs="Arial"/>
        </w:rPr>
        <w:t>Kaumbi</w:t>
      </w:r>
      <w:proofErr w:type="spellEnd"/>
      <w:r w:rsidR="006E4C5A">
        <w:rPr>
          <w:rFonts w:ascii="Arial" w:eastAsia="Arial" w:hAnsi="Arial" w:cs="Arial"/>
        </w:rPr>
        <w:t xml:space="preserve">.   </w:t>
      </w:r>
      <w:r w:rsidRPr="00C929CE">
        <w:rPr>
          <w:rFonts w:ascii="Arial" w:eastAsia="Arial" w:hAnsi="Arial" w:cs="Arial"/>
        </w:rPr>
        <w:tab/>
      </w:r>
    </w:p>
    <w:p w:rsidR="00173E34" w:rsidRPr="00C929CE" w:rsidRDefault="00173E34" w:rsidP="00173E34">
      <w:pPr>
        <w:spacing w:line="360" w:lineRule="auto"/>
        <w:jc w:val="both"/>
        <w:rPr>
          <w:rFonts w:ascii="Arial" w:eastAsia="Arial" w:hAnsi="Arial" w:cs="Arial"/>
        </w:rPr>
      </w:pPr>
    </w:p>
    <w:p w:rsidR="00173E34" w:rsidRPr="00C929CE" w:rsidRDefault="00173E34" w:rsidP="00173E34">
      <w:pPr>
        <w:spacing w:line="360" w:lineRule="auto"/>
        <w:jc w:val="both"/>
        <w:rPr>
          <w:rFonts w:ascii="Arial" w:eastAsia="Arial" w:hAnsi="Arial" w:cs="Arial"/>
        </w:rPr>
      </w:pPr>
      <w:r w:rsidRPr="00C929CE">
        <w:rPr>
          <w:rFonts w:ascii="Arial" w:eastAsia="Arial" w:hAnsi="Arial" w:cs="Arial"/>
        </w:rPr>
        <w:t>[14]</w:t>
      </w:r>
      <w:r w:rsidRPr="00C929CE">
        <w:rPr>
          <w:rFonts w:ascii="Arial" w:eastAsia="Arial" w:hAnsi="Arial" w:cs="Arial"/>
        </w:rPr>
        <w:tab/>
        <w:t xml:space="preserve"> </w:t>
      </w:r>
      <w:r w:rsidR="006E4C5A">
        <w:rPr>
          <w:rFonts w:ascii="Arial" w:eastAsia="Arial" w:hAnsi="Arial" w:cs="Arial"/>
        </w:rPr>
        <w:t xml:space="preserve">Following the above, the defendant through Mr </w:t>
      </w:r>
      <w:proofErr w:type="spellStart"/>
      <w:r w:rsidR="006E4C5A">
        <w:rPr>
          <w:rFonts w:ascii="Arial" w:eastAsia="Arial" w:hAnsi="Arial" w:cs="Arial"/>
        </w:rPr>
        <w:t>Jantjies</w:t>
      </w:r>
      <w:proofErr w:type="spellEnd"/>
      <w:r w:rsidR="006E4C5A">
        <w:rPr>
          <w:rFonts w:ascii="Arial" w:eastAsia="Arial" w:hAnsi="Arial" w:cs="Arial"/>
        </w:rPr>
        <w:t xml:space="preserve"> then filed a notice of opposition to the condonation application and this court ordered</w:t>
      </w:r>
      <w:r w:rsidR="008D4CB4">
        <w:rPr>
          <w:rStyle w:val="FootnoteReference"/>
          <w:rFonts w:ascii="Arial" w:eastAsia="Arial" w:hAnsi="Arial" w:cs="Arial"/>
        </w:rPr>
        <w:footnoteReference w:id="1"/>
      </w:r>
      <w:r w:rsidR="006E4C5A">
        <w:rPr>
          <w:rFonts w:ascii="Arial" w:eastAsia="Arial" w:hAnsi="Arial" w:cs="Arial"/>
        </w:rPr>
        <w:t xml:space="preserve"> that the </w:t>
      </w:r>
      <w:r w:rsidR="008D4CB4">
        <w:rPr>
          <w:rFonts w:ascii="Arial" w:eastAsia="Arial" w:hAnsi="Arial" w:cs="Arial"/>
        </w:rPr>
        <w:t>defendant should file its answering affidavit on or before 5 March 2018 and the plaintiff to file its replying affidavit on or before 19 March 2018 and further that the plaintiff’s heads of argument should be filed on or before 18 April 2018 and the defendant to file its heads of argument on or before 20 April</w:t>
      </w:r>
      <w:r w:rsidR="00340D27">
        <w:rPr>
          <w:rFonts w:ascii="Arial" w:eastAsia="Arial" w:hAnsi="Arial" w:cs="Arial"/>
        </w:rPr>
        <w:t>.</w:t>
      </w:r>
    </w:p>
    <w:p w:rsidR="00173E34" w:rsidRPr="00C929CE" w:rsidRDefault="00173E34" w:rsidP="00173E34">
      <w:pPr>
        <w:spacing w:line="360" w:lineRule="auto"/>
        <w:jc w:val="both"/>
        <w:rPr>
          <w:rFonts w:ascii="Arial" w:eastAsia="Arial" w:hAnsi="Arial" w:cs="Arial"/>
        </w:rPr>
      </w:pPr>
    </w:p>
    <w:p w:rsidR="00BB502C" w:rsidRPr="00AC1782" w:rsidRDefault="00173E34" w:rsidP="00AC1782">
      <w:pPr>
        <w:spacing w:line="360" w:lineRule="auto"/>
        <w:jc w:val="both"/>
        <w:rPr>
          <w:rFonts w:ascii="Arial" w:eastAsia="Arial" w:hAnsi="Arial" w:cs="Arial"/>
        </w:rPr>
      </w:pPr>
      <w:r w:rsidRPr="00C929CE">
        <w:rPr>
          <w:rFonts w:ascii="Arial" w:eastAsia="Arial" w:hAnsi="Arial" w:cs="Arial"/>
        </w:rPr>
        <w:t>[15]</w:t>
      </w:r>
      <w:r w:rsidRPr="00C929CE">
        <w:rPr>
          <w:rFonts w:ascii="Arial" w:eastAsia="Arial" w:hAnsi="Arial" w:cs="Arial"/>
        </w:rPr>
        <w:tab/>
      </w:r>
      <w:r w:rsidR="00340D27">
        <w:rPr>
          <w:rFonts w:ascii="Arial" w:eastAsia="Arial" w:hAnsi="Arial" w:cs="Arial"/>
        </w:rPr>
        <w:t xml:space="preserve">For purposes of this ruling, I will not address the averments made in the answering or replying affidavits </w:t>
      </w:r>
      <w:r w:rsidR="00317502">
        <w:rPr>
          <w:rFonts w:ascii="Arial" w:eastAsia="Arial" w:hAnsi="Arial" w:cs="Arial"/>
        </w:rPr>
        <w:t>but the heads of arguments instead</w:t>
      </w:r>
      <w:r w:rsidR="00340D27">
        <w:rPr>
          <w:rFonts w:ascii="Arial" w:eastAsia="Arial" w:hAnsi="Arial" w:cs="Arial"/>
        </w:rPr>
        <w:t>.</w:t>
      </w:r>
      <w:r w:rsidR="005475FD">
        <w:rPr>
          <w:rFonts w:ascii="Arial" w:eastAsia="Arial" w:hAnsi="Arial" w:cs="Arial"/>
        </w:rPr>
        <w:t xml:space="preserve"> However, before dealing with the heads of argument filed by the parties, Ms Hans-</w:t>
      </w:r>
      <w:proofErr w:type="spellStart"/>
      <w:r w:rsidR="005475FD">
        <w:rPr>
          <w:rFonts w:ascii="Arial" w:eastAsia="Arial" w:hAnsi="Arial" w:cs="Arial"/>
        </w:rPr>
        <w:t>Kaumbi</w:t>
      </w:r>
      <w:proofErr w:type="spellEnd"/>
      <w:r w:rsidR="005475FD">
        <w:rPr>
          <w:rFonts w:ascii="Arial" w:eastAsia="Arial" w:hAnsi="Arial" w:cs="Arial"/>
        </w:rPr>
        <w:t xml:space="preserve"> filed a condonation application for filing her heads of argument one day after the initial date in which they ought to have been filed. It’s safe to say that condonation can be granted in this respect as the defendant took no iss</w:t>
      </w:r>
      <w:r w:rsidR="00AC1782">
        <w:rPr>
          <w:rFonts w:ascii="Arial" w:eastAsia="Arial" w:hAnsi="Arial" w:cs="Arial"/>
        </w:rPr>
        <w:t>ue in this regard.</w:t>
      </w:r>
    </w:p>
    <w:p w:rsidR="002515E1" w:rsidRDefault="002515E1" w:rsidP="002515E1">
      <w:pPr>
        <w:pStyle w:val="western"/>
        <w:shd w:val="clear" w:color="auto" w:fill="FFFFFF"/>
        <w:spacing w:before="0" w:beforeAutospacing="0" w:after="0" w:afterAutospacing="0" w:line="360" w:lineRule="auto"/>
        <w:jc w:val="both"/>
        <w:rPr>
          <w:rFonts w:ascii="Arial" w:hAnsi="Arial" w:cs="Arial"/>
          <w:i/>
          <w:lang w:val="en-ZA"/>
        </w:rPr>
      </w:pPr>
      <w:r>
        <w:rPr>
          <w:rFonts w:ascii="Arial" w:hAnsi="Arial" w:cs="Arial"/>
          <w:i/>
          <w:lang w:val="en-ZA"/>
        </w:rPr>
        <w:t xml:space="preserve">Defendant’s submissions </w:t>
      </w:r>
    </w:p>
    <w:p w:rsidR="002515E1" w:rsidRPr="007F7EB7" w:rsidRDefault="002515E1" w:rsidP="002515E1">
      <w:pPr>
        <w:pStyle w:val="western"/>
        <w:shd w:val="clear" w:color="auto" w:fill="FFFFFF"/>
        <w:spacing w:before="0" w:beforeAutospacing="0" w:after="0" w:afterAutospacing="0" w:line="360" w:lineRule="auto"/>
        <w:jc w:val="both"/>
        <w:rPr>
          <w:rFonts w:ascii="Arial" w:hAnsi="Arial" w:cs="Arial"/>
          <w:i/>
          <w:lang w:val="en-ZA"/>
        </w:rPr>
      </w:pPr>
    </w:p>
    <w:p w:rsidR="002515E1" w:rsidRPr="00C929CE" w:rsidRDefault="002515E1" w:rsidP="002515E1">
      <w:pPr>
        <w:pStyle w:val="western"/>
        <w:shd w:val="clear" w:color="auto" w:fill="FFFFFF"/>
        <w:spacing w:before="0" w:beforeAutospacing="0" w:after="0" w:afterAutospacing="0" w:line="360" w:lineRule="auto"/>
        <w:jc w:val="both"/>
        <w:rPr>
          <w:rFonts w:ascii="Arial" w:hAnsi="Arial" w:cs="Arial"/>
          <w:sz w:val="22"/>
          <w:szCs w:val="22"/>
          <w:lang w:val="en-ZA"/>
        </w:rPr>
      </w:pPr>
      <w:r w:rsidRPr="00C929CE">
        <w:rPr>
          <w:rFonts w:ascii="Arial" w:hAnsi="Arial" w:cs="Arial"/>
          <w:lang w:val="en-ZA"/>
        </w:rPr>
        <w:lastRenderedPageBreak/>
        <w:t>[</w:t>
      </w:r>
      <w:r>
        <w:rPr>
          <w:rFonts w:ascii="Arial" w:hAnsi="Arial" w:cs="Arial"/>
          <w:lang w:val="en-ZA"/>
        </w:rPr>
        <w:t>16</w:t>
      </w:r>
      <w:r w:rsidRPr="00C929CE">
        <w:rPr>
          <w:rFonts w:ascii="Arial" w:hAnsi="Arial" w:cs="Arial"/>
          <w:lang w:val="en-ZA"/>
        </w:rPr>
        <w:t>]</w:t>
      </w:r>
      <w:r>
        <w:rPr>
          <w:rFonts w:ascii="Arial" w:hAnsi="Arial" w:cs="Arial"/>
          <w:lang w:val="en-ZA"/>
        </w:rPr>
        <w:tab/>
        <w:t>The defendant submits that the plaintiff’s legal practitioner had on 18 January 2018 no authority to approach the defendant’s legal practitioner as no notice of representation was filed at the time. The defendant submits that the reliance placed by the plaintiff on the phone call and informal meeting requested does not comply with the objectives of rule 32 (9) and is as a result not complied with. The defendants further submit that at the time of filing the rescission application as well as the condonation application, the office of Mr Maritz never formally withdrew as legal practitioners of record.</w:t>
      </w:r>
    </w:p>
    <w:p w:rsidR="002515E1" w:rsidRPr="00C929CE" w:rsidRDefault="002515E1" w:rsidP="002515E1">
      <w:pPr>
        <w:pStyle w:val="western"/>
        <w:shd w:val="clear" w:color="auto" w:fill="FFFFFF"/>
        <w:spacing w:before="144" w:beforeAutospacing="0" w:after="0" w:afterAutospacing="0" w:line="360" w:lineRule="auto"/>
        <w:rPr>
          <w:rFonts w:ascii="Arial" w:hAnsi="Arial" w:cs="Arial"/>
          <w:sz w:val="20"/>
          <w:szCs w:val="20"/>
          <w:lang w:val="en-ZA"/>
        </w:rPr>
      </w:pPr>
    </w:p>
    <w:p w:rsidR="002515E1" w:rsidRDefault="007663E3" w:rsidP="002515E1">
      <w:pPr>
        <w:pStyle w:val="western"/>
        <w:shd w:val="clear" w:color="auto" w:fill="FFFFFF"/>
        <w:spacing w:before="0" w:beforeAutospacing="0" w:after="0" w:afterAutospacing="0" w:line="360" w:lineRule="auto"/>
        <w:jc w:val="both"/>
        <w:rPr>
          <w:rFonts w:ascii="Arial" w:hAnsi="Arial" w:cs="Arial"/>
        </w:rPr>
      </w:pPr>
      <w:r>
        <w:rPr>
          <w:rFonts w:ascii="Arial" w:hAnsi="Arial" w:cs="Arial"/>
          <w:shd w:val="clear" w:color="auto" w:fill="FFFFFF"/>
        </w:rPr>
        <w:t>[</w:t>
      </w:r>
      <w:r w:rsidR="002515E1">
        <w:rPr>
          <w:rFonts w:ascii="Arial" w:hAnsi="Arial" w:cs="Arial"/>
          <w:shd w:val="clear" w:color="auto" w:fill="FFFFFF"/>
        </w:rPr>
        <w:t>17</w:t>
      </w:r>
      <w:r w:rsidR="002515E1" w:rsidRPr="00C929CE">
        <w:rPr>
          <w:rFonts w:ascii="Arial" w:hAnsi="Arial" w:cs="Arial"/>
          <w:shd w:val="clear" w:color="auto" w:fill="FFFFFF"/>
        </w:rPr>
        <w:t>]</w:t>
      </w:r>
      <w:r w:rsidR="002515E1" w:rsidRPr="00C929CE">
        <w:rPr>
          <w:rFonts w:ascii="Arial" w:hAnsi="Arial" w:cs="Arial"/>
          <w:shd w:val="clear" w:color="auto" w:fill="FFFFFF"/>
        </w:rPr>
        <w:tab/>
      </w:r>
      <w:r w:rsidR="002515E1">
        <w:rPr>
          <w:rFonts w:ascii="Arial" w:hAnsi="Arial" w:cs="Arial"/>
          <w:shd w:val="clear" w:color="auto" w:fill="FFFFFF"/>
        </w:rPr>
        <w:t xml:space="preserve">The defendant cites </w:t>
      </w:r>
      <w:r w:rsidR="002515E1">
        <w:rPr>
          <w:rFonts w:ascii="Arial" w:hAnsi="Arial" w:cs="Arial"/>
          <w:i/>
        </w:rPr>
        <w:t xml:space="preserve">Standard Bank Namibia Limited v </w:t>
      </w:r>
      <w:proofErr w:type="spellStart"/>
      <w:r w:rsidR="002515E1">
        <w:rPr>
          <w:rFonts w:ascii="Arial" w:hAnsi="Arial" w:cs="Arial"/>
          <w:i/>
        </w:rPr>
        <w:t>Gertze</w:t>
      </w:r>
      <w:proofErr w:type="spellEnd"/>
      <w:r w:rsidR="002515E1" w:rsidRPr="00A0413B">
        <w:rPr>
          <w:rFonts w:ascii="Arial" w:hAnsi="Arial" w:cs="Arial"/>
          <w:i/>
        </w:rPr>
        <w:t xml:space="preserve"> </w:t>
      </w:r>
      <w:r w:rsidR="002515E1" w:rsidRPr="00A0413B">
        <w:rPr>
          <w:rFonts w:ascii="Arial" w:hAnsi="Arial" w:cs="Arial"/>
        </w:rPr>
        <w:t>(</w:t>
      </w:r>
      <w:r w:rsidR="002515E1">
        <w:rPr>
          <w:rFonts w:ascii="Arial" w:hAnsi="Arial" w:cs="Arial"/>
        </w:rPr>
        <w:t>I 3614</w:t>
      </w:r>
      <w:r w:rsidR="002515E1" w:rsidRPr="00A0413B">
        <w:rPr>
          <w:rFonts w:ascii="Arial" w:hAnsi="Arial" w:cs="Arial"/>
        </w:rPr>
        <w:t>/201</w:t>
      </w:r>
      <w:r w:rsidR="002515E1">
        <w:rPr>
          <w:rFonts w:ascii="Arial" w:hAnsi="Arial" w:cs="Arial"/>
        </w:rPr>
        <w:t>3</w:t>
      </w:r>
      <w:r w:rsidR="002515E1" w:rsidRPr="00A0413B">
        <w:rPr>
          <w:rFonts w:ascii="Arial" w:hAnsi="Arial" w:cs="Arial"/>
        </w:rPr>
        <w:t>) [201</w:t>
      </w:r>
      <w:r w:rsidR="002515E1">
        <w:rPr>
          <w:rFonts w:ascii="Arial" w:hAnsi="Arial" w:cs="Arial"/>
        </w:rPr>
        <w:t>5</w:t>
      </w:r>
      <w:r w:rsidR="002515E1" w:rsidRPr="00A0413B">
        <w:rPr>
          <w:rFonts w:ascii="Arial" w:hAnsi="Arial" w:cs="Arial"/>
        </w:rPr>
        <w:t xml:space="preserve">] NAHCMD </w:t>
      </w:r>
      <w:r w:rsidR="002515E1">
        <w:rPr>
          <w:rFonts w:ascii="Arial" w:hAnsi="Arial" w:cs="Arial"/>
        </w:rPr>
        <w:t xml:space="preserve">77 </w:t>
      </w:r>
      <w:r w:rsidR="002515E1" w:rsidRPr="00A0413B">
        <w:rPr>
          <w:rFonts w:ascii="Arial" w:hAnsi="Arial" w:cs="Arial"/>
        </w:rPr>
        <w:t>(</w:t>
      </w:r>
      <w:r w:rsidR="002515E1">
        <w:rPr>
          <w:rFonts w:ascii="Arial" w:hAnsi="Arial" w:cs="Arial"/>
        </w:rPr>
        <w:t>31 March 2015</w:t>
      </w:r>
      <w:r w:rsidR="002515E1" w:rsidRPr="00A0413B">
        <w:rPr>
          <w:rFonts w:ascii="Arial" w:hAnsi="Arial" w:cs="Arial"/>
        </w:rPr>
        <w:t>)</w:t>
      </w:r>
      <w:r w:rsidR="002515E1">
        <w:rPr>
          <w:rFonts w:ascii="Arial" w:hAnsi="Arial" w:cs="Arial"/>
        </w:rPr>
        <w:t xml:space="preserve"> wherein Parker J (as he then was) made the following observations in respect of rule 32 (9) and (10):</w:t>
      </w:r>
    </w:p>
    <w:p w:rsidR="00D17D17" w:rsidRDefault="00D17D17" w:rsidP="002515E1">
      <w:pPr>
        <w:pStyle w:val="western"/>
        <w:shd w:val="clear" w:color="auto" w:fill="FFFFFF"/>
        <w:spacing w:before="0" w:beforeAutospacing="0" w:after="0" w:afterAutospacing="0" w:line="360" w:lineRule="auto"/>
        <w:jc w:val="both"/>
        <w:rPr>
          <w:rFonts w:ascii="Arial" w:hAnsi="Arial" w:cs="Arial"/>
        </w:rPr>
      </w:pPr>
    </w:p>
    <w:p w:rsidR="002515E1" w:rsidRDefault="002515E1" w:rsidP="00D17D17">
      <w:pPr>
        <w:pStyle w:val="western"/>
        <w:shd w:val="clear" w:color="auto" w:fill="FFFFFF"/>
        <w:spacing w:before="0" w:beforeAutospacing="0" w:after="0" w:afterAutospacing="0" w:line="360" w:lineRule="auto"/>
        <w:jc w:val="both"/>
        <w:rPr>
          <w:rFonts w:ascii="Arial" w:hAnsi="Arial" w:cs="Arial"/>
          <w:sz w:val="22"/>
        </w:rPr>
      </w:pPr>
      <w:r w:rsidRPr="008A7FF6">
        <w:rPr>
          <w:rFonts w:ascii="Arial" w:hAnsi="Arial" w:cs="Arial"/>
          <w:sz w:val="22"/>
        </w:rPr>
        <w:t>‘[5]</w:t>
      </w:r>
      <w:r w:rsidRPr="008A7FF6">
        <w:rPr>
          <w:rFonts w:ascii="Arial" w:hAnsi="Arial" w:cs="Arial"/>
          <w:sz w:val="22"/>
        </w:rPr>
        <w:tab/>
        <w:t xml:space="preserve">In holding that rule 32(9) and (10) are peremptory provisions, I reasoned in </w:t>
      </w:r>
      <w:proofErr w:type="spellStart"/>
      <w:r w:rsidRPr="00ED31FC">
        <w:rPr>
          <w:rFonts w:ascii="Arial" w:hAnsi="Arial" w:cs="Arial"/>
          <w:i/>
          <w:sz w:val="22"/>
        </w:rPr>
        <w:t>Mukata</w:t>
      </w:r>
      <w:proofErr w:type="spellEnd"/>
      <w:r w:rsidRPr="00ED31FC">
        <w:rPr>
          <w:rFonts w:ascii="Arial" w:hAnsi="Arial" w:cs="Arial"/>
          <w:i/>
          <w:sz w:val="22"/>
        </w:rPr>
        <w:t xml:space="preserve"> v </w:t>
      </w:r>
      <w:proofErr w:type="spellStart"/>
      <w:r w:rsidRPr="00ED31FC">
        <w:rPr>
          <w:rFonts w:ascii="Arial" w:hAnsi="Arial" w:cs="Arial"/>
          <w:i/>
          <w:sz w:val="22"/>
        </w:rPr>
        <w:t>Appolus</w:t>
      </w:r>
      <w:proofErr w:type="spellEnd"/>
      <w:r w:rsidRPr="008A7FF6">
        <w:rPr>
          <w:rFonts w:ascii="Arial" w:hAnsi="Arial" w:cs="Arial"/>
          <w:sz w:val="22"/>
        </w:rPr>
        <w:t xml:space="preserve"> (I 3396/2014) [2015] NAHCMD 5</w:t>
      </w:r>
      <w:r>
        <w:rPr>
          <w:rFonts w:ascii="Arial" w:hAnsi="Arial" w:cs="Arial"/>
          <w:sz w:val="22"/>
        </w:rPr>
        <w:t>4 (12 March 2015), para 6 thus:</w:t>
      </w:r>
    </w:p>
    <w:p w:rsidR="00D17D17" w:rsidRDefault="00D17D17" w:rsidP="00D17D17">
      <w:pPr>
        <w:pStyle w:val="western"/>
        <w:shd w:val="clear" w:color="auto" w:fill="FFFFFF"/>
        <w:spacing w:before="0" w:beforeAutospacing="0" w:after="0" w:afterAutospacing="0" w:line="360" w:lineRule="auto"/>
        <w:jc w:val="both"/>
        <w:rPr>
          <w:rFonts w:ascii="Arial" w:hAnsi="Arial" w:cs="Arial"/>
          <w:sz w:val="22"/>
        </w:rPr>
      </w:pPr>
    </w:p>
    <w:p w:rsidR="002515E1" w:rsidRDefault="002515E1" w:rsidP="00D17D17">
      <w:pPr>
        <w:pStyle w:val="western"/>
        <w:shd w:val="clear" w:color="auto" w:fill="FFFFFF"/>
        <w:spacing w:before="0" w:beforeAutospacing="0" w:after="0" w:afterAutospacing="0" w:line="360" w:lineRule="auto"/>
        <w:jc w:val="both"/>
        <w:rPr>
          <w:rFonts w:ascii="Arial" w:hAnsi="Arial" w:cs="Arial"/>
          <w:sz w:val="22"/>
        </w:rPr>
      </w:pPr>
      <w:r w:rsidRPr="008A7FF6">
        <w:rPr>
          <w:rFonts w:ascii="Arial" w:hAnsi="Arial" w:cs="Arial"/>
          <w:sz w:val="22"/>
        </w:rPr>
        <w:t xml:space="preserve">‘Considering the use of the word “must’ in Rule 32(9) and (10) and the intention of the rule maker as set out in Rule 1(2) concerning the overriding objective of the rules (see </w:t>
      </w:r>
      <w:r w:rsidRPr="00ED31FC">
        <w:rPr>
          <w:rFonts w:ascii="Arial" w:hAnsi="Arial" w:cs="Arial"/>
          <w:i/>
          <w:sz w:val="22"/>
        </w:rPr>
        <w:t xml:space="preserve">The International University of Management v </w:t>
      </w:r>
      <w:proofErr w:type="spellStart"/>
      <w:r w:rsidRPr="00ED31FC">
        <w:rPr>
          <w:rFonts w:ascii="Arial" w:hAnsi="Arial" w:cs="Arial"/>
          <w:i/>
          <w:sz w:val="22"/>
        </w:rPr>
        <w:t>Torbitt</w:t>
      </w:r>
      <w:proofErr w:type="spellEnd"/>
      <w:r w:rsidRPr="008A7FF6">
        <w:rPr>
          <w:rFonts w:ascii="Arial" w:hAnsi="Arial" w:cs="Arial"/>
          <w:sz w:val="22"/>
        </w:rPr>
        <w:t xml:space="preserve"> (LC 114/2013) [2014] NALCMD 6 (20 February 2014)), I conclude that the provisions of rule 32(9) and (10) are peremptory, and non-compl</w:t>
      </w:r>
      <w:r>
        <w:rPr>
          <w:rFonts w:ascii="Arial" w:hAnsi="Arial" w:cs="Arial"/>
          <w:sz w:val="22"/>
        </w:rPr>
        <w:t>iance with them must be fatal.</w:t>
      </w:r>
    </w:p>
    <w:p w:rsidR="00D17D17" w:rsidRPr="008A7FF6" w:rsidRDefault="00D17D17" w:rsidP="00D17D17">
      <w:pPr>
        <w:pStyle w:val="western"/>
        <w:shd w:val="clear" w:color="auto" w:fill="FFFFFF"/>
        <w:spacing w:before="0" w:beforeAutospacing="0" w:after="0" w:afterAutospacing="0" w:line="360" w:lineRule="auto"/>
        <w:jc w:val="both"/>
        <w:rPr>
          <w:rFonts w:ascii="Arial" w:hAnsi="Arial" w:cs="Arial"/>
          <w:sz w:val="22"/>
        </w:rPr>
      </w:pPr>
    </w:p>
    <w:p w:rsidR="002515E1" w:rsidRPr="008A7FF6" w:rsidRDefault="002515E1" w:rsidP="002515E1">
      <w:pPr>
        <w:pStyle w:val="western"/>
        <w:shd w:val="clear" w:color="auto" w:fill="FFFFFF"/>
        <w:spacing w:before="0" w:beforeAutospacing="0" w:after="0" w:afterAutospacing="0" w:line="360" w:lineRule="auto"/>
        <w:jc w:val="both"/>
        <w:rPr>
          <w:rFonts w:ascii="Arial" w:hAnsi="Arial" w:cs="Arial"/>
          <w:sz w:val="22"/>
          <w:shd w:val="clear" w:color="auto" w:fill="FFFFFF"/>
        </w:rPr>
      </w:pPr>
      <w:r w:rsidRPr="008A7FF6">
        <w:rPr>
          <w:rFonts w:ascii="Arial" w:hAnsi="Arial" w:cs="Arial"/>
          <w:sz w:val="22"/>
        </w:rPr>
        <w:t>[6]</w:t>
      </w:r>
      <w:r w:rsidRPr="008A7FF6">
        <w:rPr>
          <w:rFonts w:ascii="Arial" w:hAnsi="Arial" w:cs="Arial"/>
          <w:sz w:val="22"/>
        </w:rPr>
        <w:tab/>
        <w:t xml:space="preserve">In </w:t>
      </w:r>
      <w:proofErr w:type="spellStart"/>
      <w:r w:rsidRPr="008A7FF6">
        <w:rPr>
          <w:rFonts w:ascii="Arial" w:hAnsi="Arial" w:cs="Arial"/>
          <w:sz w:val="22"/>
        </w:rPr>
        <w:t>Mukata</w:t>
      </w:r>
      <w:proofErr w:type="spellEnd"/>
      <w:r w:rsidRPr="008A7FF6">
        <w:rPr>
          <w:rFonts w:ascii="Arial" w:hAnsi="Arial" w:cs="Arial"/>
          <w:sz w:val="22"/>
        </w:rPr>
        <w:t>, having found that the plaintiff had failed to comply with rule 32(9) and (10), the application for summary judgment (</w:t>
      </w:r>
      <w:proofErr w:type="spellStart"/>
      <w:r w:rsidRPr="008A7FF6">
        <w:rPr>
          <w:rFonts w:ascii="Arial" w:hAnsi="Arial" w:cs="Arial"/>
          <w:sz w:val="22"/>
        </w:rPr>
        <w:t>ie</w:t>
      </w:r>
      <w:proofErr w:type="spellEnd"/>
      <w:r w:rsidRPr="008A7FF6">
        <w:rPr>
          <w:rFonts w:ascii="Arial" w:hAnsi="Arial" w:cs="Arial"/>
          <w:sz w:val="22"/>
        </w:rPr>
        <w:t xml:space="preserve"> the interlocutory application which the plaintiff had launched) was struck from the roll. By a parity of reasoning, I should strike the rule 61 application, which is also an interlocutory proceeding, from the roll. I respectfully decline </w:t>
      </w:r>
      <w:proofErr w:type="spellStart"/>
      <w:r w:rsidRPr="008A7FF6">
        <w:rPr>
          <w:rFonts w:ascii="Arial" w:hAnsi="Arial" w:cs="Arial"/>
          <w:sz w:val="22"/>
        </w:rPr>
        <w:t>Mr</w:t>
      </w:r>
      <w:proofErr w:type="spellEnd"/>
      <w:r w:rsidRPr="008A7FF6">
        <w:rPr>
          <w:rFonts w:ascii="Arial" w:hAnsi="Arial" w:cs="Arial"/>
          <w:sz w:val="22"/>
        </w:rPr>
        <w:t xml:space="preserve"> Van </w:t>
      </w:r>
      <w:proofErr w:type="spellStart"/>
      <w:r w:rsidRPr="008A7FF6">
        <w:rPr>
          <w:rFonts w:ascii="Arial" w:hAnsi="Arial" w:cs="Arial"/>
          <w:sz w:val="22"/>
        </w:rPr>
        <w:t>Vuuren’s</w:t>
      </w:r>
      <w:proofErr w:type="spellEnd"/>
      <w:r w:rsidRPr="008A7FF6">
        <w:rPr>
          <w:rFonts w:ascii="Arial" w:hAnsi="Arial" w:cs="Arial"/>
          <w:sz w:val="22"/>
        </w:rPr>
        <w:t xml:space="preserve"> invitation that I dismiss the application.’</w:t>
      </w:r>
    </w:p>
    <w:p w:rsidR="002515E1" w:rsidRPr="00C929CE" w:rsidRDefault="002515E1" w:rsidP="002515E1">
      <w:pPr>
        <w:pStyle w:val="western"/>
        <w:shd w:val="clear" w:color="auto" w:fill="FFFFFF"/>
        <w:spacing w:before="144" w:beforeAutospacing="0" w:after="0" w:afterAutospacing="0" w:line="360" w:lineRule="auto"/>
        <w:jc w:val="both"/>
        <w:rPr>
          <w:rFonts w:ascii="Arial" w:hAnsi="Arial" w:cs="Arial"/>
          <w:shd w:val="clear" w:color="auto" w:fill="FFFFFF"/>
        </w:rPr>
      </w:pPr>
    </w:p>
    <w:p w:rsidR="002515E1" w:rsidRPr="00BB502C" w:rsidRDefault="002515E1" w:rsidP="00BB502C">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w:t>
      </w:r>
      <w:r w:rsidR="007663E3">
        <w:rPr>
          <w:rFonts w:ascii="Arial" w:hAnsi="Arial" w:cs="Arial"/>
          <w:shd w:val="clear" w:color="auto" w:fill="FFFFFF"/>
        </w:rPr>
        <w:t>18</w:t>
      </w:r>
      <w:r>
        <w:rPr>
          <w:rFonts w:ascii="Arial" w:hAnsi="Arial" w:cs="Arial"/>
          <w:shd w:val="clear" w:color="auto" w:fill="FFFFFF"/>
        </w:rPr>
        <w:t>]</w:t>
      </w:r>
      <w:r>
        <w:rPr>
          <w:rFonts w:ascii="Arial" w:hAnsi="Arial" w:cs="Arial"/>
          <w:shd w:val="clear" w:color="auto" w:fill="FFFFFF"/>
        </w:rPr>
        <w:tab/>
        <w:t>The defendant submit that the plaintiff has failed to meet the requirements of rule 32 (9) and (10) and the application should on that basis be dismissed with cost</w:t>
      </w:r>
      <w:r w:rsidR="00BB502C">
        <w:rPr>
          <w:rFonts w:ascii="Arial" w:hAnsi="Arial" w:cs="Arial"/>
          <w:shd w:val="clear" w:color="auto" w:fill="FFFFFF"/>
        </w:rPr>
        <w:t>s</w:t>
      </w:r>
      <w:r>
        <w:rPr>
          <w:rFonts w:ascii="Arial" w:hAnsi="Arial" w:cs="Arial"/>
          <w:shd w:val="clear" w:color="auto" w:fill="FFFFFF"/>
        </w:rPr>
        <w:t xml:space="preserve">. The defendant further submits that the abundance of case law on the requirements of </w:t>
      </w:r>
      <w:r>
        <w:rPr>
          <w:rFonts w:ascii="Arial" w:hAnsi="Arial" w:cs="Arial"/>
          <w:shd w:val="clear" w:color="auto" w:fill="FFFFFF"/>
        </w:rPr>
        <w:lastRenderedPageBreak/>
        <w:t xml:space="preserve">condonation application </w:t>
      </w:r>
      <w:proofErr w:type="gramStart"/>
      <w:r>
        <w:rPr>
          <w:rFonts w:ascii="Arial" w:hAnsi="Arial" w:cs="Arial"/>
          <w:shd w:val="clear" w:color="auto" w:fill="FFFFFF"/>
        </w:rPr>
        <w:t>are</w:t>
      </w:r>
      <w:proofErr w:type="gramEnd"/>
      <w:r>
        <w:rPr>
          <w:rFonts w:ascii="Arial" w:hAnsi="Arial" w:cs="Arial"/>
          <w:shd w:val="clear" w:color="auto" w:fill="FFFFFF"/>
        </w:rPr>
        <w:t xml:space="preserve"> concrete and that any relief granted by this court would be solely based</w:t>
      </w:r>
      <w:r w:rsidR="00BB502C">
        <w:rPr>
          <w:rFonts w:ascii="Arial" w:hAnsi="Arial" w:cs="Arial"/>
          <w:shd w:val="clear" w:color="auto" w:fill="FFFFFF"/>
        </w:rPr>
        <w:t xml:space="preserve"> on the indulgence of the court.</w:t>
      </w:r>
    </w:p>
    <w:p w:rsidR="009F495D" w:rsidRDefault="009F495D" w:rsidP="00173E34">
      <w:pPr>
        <w:autoSpaceDE w:val="0"/>
        <w:autoSpaceDN w:val="0"/>
        <w:adjustRightInd w:val="0"/>
        <w:spacing w:line="360" w:lineRule="auto"/>
        <w:jc w:val="both"/>
        <w:rPr>
          <w:rFonts w:ascii="Arial" w:eastAsiaTheme="minorHAnsi" w:hAnsi="Arial" w:cs="Arial"/>
          <w:sz w:val="22"/>
          <w:szCs w:val="22"/>
          <w:lang w:val="en-US"/>
        </w:rPr>
      </w:pPr>
    </w:p>
    <w:p w:rsidR="00496056" w:rsidRPr="00D17D17" w:rsidRDefault="007B0D04" w:rsidP="00173E34">
      <w:pPr>
        <w:autoSpaceDE w:val="0"/>
        <w:autoSpaceDN w:val="0"/>
        <w:adjustRightInd w:val="0"/>
        <w:spacing w:line="360" w:lineRule="auto"/>
        <w:jc w:val="both"/>
        <w:rPr>
          <w:rFonts w:ascii="Arial" w:eastAsiaTheme="minorHAnsi" w:hAnsi="Arial" w:cs="Arial"/>
          <w:u w:val="single"/>
          <w:lang w:val="en-US"/>
        </w:rPr>
      </w:pPr>
      <w:r w:rsidRPr="00D17D17">
        <w:rPr>
          <w:rFonts w:ascii="Arial" w:eastAsiaTheme="minorHAnsi" w:hAnsi="Arial" w:cs="Arial"/>
          <w:u w:val="single"/>
          <w:lang w:val="en-US"/>
        </w:rPr>
        <w:t>Applicable law</w:t>
      </w:r>
    </w:p>
    <w:p w:rsidR="00F078F1" w:rsidRPr="00496056" w:rsidRDefault="00F078F1" w:rsidP="00173E34">
      <w:pPr>
        <w:autoSpaceDE w:val="0"/>
        <w:autoSpaceDN w:val="0"/>
        <w:adjustRightInd w:val="0"/>
        <w:spacing w:line="360" w:lineRule="auto"/>
        <w:jc w:val="both"/>
        <w:rPr>
          <w:rFonts w:ascii="Arial" w:eastAsiaTheme="minorHAnsi" w:hAnsi="Arial" w:cs="Arial"/>
          <w:i/>
          <w:lang w:val="en-US"/>
        </w:rPr>
      </w:pPr>
    </w:p>
    <w:p w:rsidR="00C93DCC" w:rsidRDefault="00173E34" w:rsidP="004D1040">
      <w:pPr>
        <w:autoSpaceDE w:val="0"/>
        <w:autoSpaceDN w:val="0"/>
        <w:adjustRightInd w:val="0"/>
        <w:spacing w:line="360" w:lineRule="auto"/>
        <w:jc w:val="both"/>
        <w:rPr>
          <w:rFonts w:ascii="Arial" w:eastAsiaTheme="minorHAnsi" w:hAnsi="Arial" w:cs="Arial"/>
          <w:lang w:val="en-US"/>
        </w:rPr>
      </w:pPr>
      <w:r w:rsidRPr="00496056">
        <w:rPr>
          <w:rFonts w:ascii="Arial" w:eastAsiaTheme="minorHAnsi" w:hAnsi="Arial" w:cs="Arial"/>
          <w:lang w:val="en-US"/>
        </w:rPr>
        <w:t>[</w:t>
      </w:r>
      <w:r w:rsidR="007663E3">
        <w:rPr>
          <w:rFonts w:ascii="Arial" w:eastAsiaTheme="minorHAnsi" w:hAnsi="Arial" w:cs="Arial"/>
          <w:lang w:val="en-US"/>
        </w:rPr>
        <w:t>19</w:t>
      </w:r>
      <w:r w:rsidRPr="00496056">
        <w:rPr>
          <w:rFonts w:ascii="Arial" w:eastAsiaTheme="minorHAnsi" w:hAnsi="Arial" w:cs="Arial"/>
          <w:lang w:val="en-US"/>
        </w:rPr>
        <w:t>]</w:t>
      </w:r>
      <w:r w:rsidRPr="00496056">
        <w:rPr>
          <w:rFonts w:ascii="Arial" w:eastAsiaTheme="minorHAnsi" w:hAnsi="Arial" w:cs="Arial"/>
          <w:lang w:val="en-US"/>
        </w:rPr>
        <w:tab/>
        <w:t xml:space="preserve"> </w:t>
      </w:r>
      <w:r w:rsidR="007663E3">
        <w:rPr>
          <w:rFonts w:ascii="Arial" w:eastAsiaTheme="minorHAnsi" w:hAnsi="Arial" w:cs="Arial"/>
          <w:lang w:val="en-US"/>
        </w:rPr>
        <w:t xml:space="preserve">It was submitted by the plaintiff that </w:t>
      </w:r>
      <w:r w:rsidR="009B7467">
        <w:rPr>
          <w:rFonts w:ascii="Arial" w:eastAsiaTheme="minorHAnsi" w:hAnsi="Arial" w:cs="Arial"/>
          <w:lang w:val="en-US"/>
        </w:rPr>
        <w:t>rule 32 (9) was achieved</w:t>
      </w:r>
      <w:r w:rsidR="007663E3">
        <w:rPr>
          <w:rFonts w:ascii="Arial" w:eastAsiaTheme="minorHAnsi" w:hAnsi="Arial" w:cs="Arial"/>
          <w:lang w:val="en-US"/>
        </w:rPr>
        <w:t xml:space="preserve"> between</w:t>
      </w:r>
      <w:r w:rsidR="009B7467">
        <w:rPr>
          <w:rFonts w:ascii="Arial" w:eastAsiaTheme="minorHAnsi" w:hAnsi="Arial" w:cs="Arial"/>
          <w:lang w:val="en-US"/>
        </w:rPr>
        <w:t xml:space="preserve"> </w:t>
      </w:r>
      <w:r w:rsidR="007663E3">
        <w:rPr>
          <w:rFonts w:ascii="Arial" w:eastAsiaTheme="minorHAnsi" w:hAnsi="Arial" w:cs="Arial"/>
          <w:lang w:val="en-US"/>
        </w:rPr>
        <w:t xml:space="preserve">the parties </w:t>
      </w:r>
      <w:r w:rsidR="009B7467">
        <w:rPr>
          <w:rFonts w:ascii="Arial" w:eastAsiaTheme="minorHAnsi" w:hAnsi="Arial" w:cs="Arial"/>
          <w:lang w:val="en-US"/>
        </w:rPr>
        <w:t xml:space="preserve">and that the only issue raised in this regard is compliance in terms of rule 32 (10) filing of the report as envisaged in the rule. </w:t>
      </w:r>
      <w:r w:rsidR="0022547D">
        <w:rPr>
          <w:rFonts w:ascii="Arial" w:eastAsiaTheme="minorHAnsi" w:hAnsi="Arial" w:cs="Arial"/>
          <w:lang w:val="en-US"/>
        </w:rPr>
        <w:t>In this regard, the plaintiff holds the view that the purposes of rule</w:t>
      </w:r>
      <w:r w:rsidR="00F078F1">
        <w:rPr>
          <w:rFonts w:ascii="Arial" w:eastAsiaTheme="minorHAnsi" w:hAnsi="Arial" w:cs="Arial"/>
          <w:lang w:val="en-US"/>
        </w:rPr>
        <w:t xml:space="preserve"> </w:t>
      </w:r>
      <w:r w:rsidR="0022547D">
        <w:rPr>
          <w:rFonts w:ascii="Arial" w:eastAsiaTheme="minorHAnsi" w:hAnsi="Arial" w:cs="Arial"/>
          <w:lang w:val="en-US"/>
        </w:rPr>
        <w:t>32 (10) is the confirmation that the parties have engaged</w:t>
      </w:r>
      <w:r w:rsidR="007B0D04">
        <w:rPr>
          <w:rFonts w:ascii="Arial" w:eastAsiaTheme="minorHAnsi" w:hAnsi="Arial" w:cs="Arial"/>
          <w:lang w:val="en-US"/>
        </w:rPr>
        <w:t xml:space="preserve"> in</w:t>
      </w:r>
      <w:r w:rsidR="0022547D">
        <w:rPr>
          <w:rFonts w:ascii="Arial" w:eastAsiaTheme="minorHAnsi" w:hAnsi="Arial" w:cs="Arial"/>
          <w:lang w:val="en-US"/>
        </w:rPr>
        <w:t xml:space="preserve"> rule 32 (9) </w:t>
      </w:r>
      <w:r w:rsidR="00815E86">
        <w:rPr>
          <w:rFonts w:ascii="Arial" w:eastAsiaTheme="minorHAnsi" w:hAnsi="Arial" w:cs="Arial"/>
          <w:lang w:val="en-US"/>
        </w:rPr>
        <w:t>activities and that it is to confirm to court of that as well</w:t>
      </w:r>
      <w:r w:rsidR="004D1040">
        <w:rPr>
          <w:rFonts w:ascii="Arial" w:eastAsiaTheme="minorHAnsi" w:hAnsi="Arial" w:cs="Arial"/>
          <w:lang w:val="en-US"/>
        </w:rPr>
        <w:t>.</w:t>
      </w:r>
    </w:p>
    <w:p w:rsidR="004D1040" w:rsidRDefault="004D1040" w:rsidP="004D1040">
      <w:pPr>
        <w:autoSpaceDE w:val="0"/>
        <w:autoSpaceDN w:val="0"/>
        <w:adjustRightInd w:val="0"/>
        <w:spacing w:line="360" w:lineRule="auto"/>
        <w:jc w:val="both"/>
        <w:rPr>
          <w:rFonts w:ascii="Arial" w:eastAsiaTheme="minorHAnsi" w:hAnsi="Arial" w:cs="Arial"/>
          <w:lang w:val="en-US"/>
        </w:rPr>
      </w:pPr>
    </w:p>
    <w:p w:rsidR="00C93DCC" w:rsidRDefault="004D1040" w:rsidP="004D1040">
      <w:pPr>
        <w:autoSpaceDE w:val="0"/>
        <w:autoSpaceDN w:val="0"/>
        <w:adjustRightInd w:val="0"/>
        <w:spacing w:line="360" w:lineRule="auto"/>
        <w:jc w:val="both"/>
        <w:rPr>
          <w:rFonts w:ascii="Arial" w:hAnsi="Arial" w:cs="Arial"/>
        </w:rPr>
      </w:pPr>
      <w:r>
        <w:rPr>
          <w:rFonts w:ascii="Arial" w:eastAsiaTheme="minorHAnsi" w:hAnsi="Arial" w:cs="Arial"/>
          <w:lang w:val="en-US"/>
        </w:rPr>
        <w:t>[20]</w:t>
      </w:r>
      <w:r>
        <w:rPr>
          <w:rFonts w:ascii="Arial" w:eastAsiaTheme="minorHAnsi" w:hAnsi="Arial" w:cs="Arial"/>
          <w:lang w:val="en-US"/>
        </w:rPr>
        <w:tab/>
        <w:t>Interestingly enough, the defendant who did not actively part</w:t>
      </w:r>
      <w:r w:rsidR="00616D32">
        <w:rPr>
          <w:rFonts w:ascii="Arial" w:eastAsiaTheme="minorHAnsi" w:hAnsi="Arial" w:cs="Arial"/>
          <w:lang w:val="en-US"/>
        </w:rPr>
        <w:t>ake</w:t>
      </w:r>
      <w:r w:rsidR="007B0D04">
        <w:rPr>
          <w:rFonts w:ascii="Arial" w:eastAsiaTheme="minorHAnsi" w:hAnsi="Arial" w:cs="Arial"/>
          <w:lang w:val="en-US"/>
        </w:rPr>
        <w:t xml:space="preserve"> in the effort to settle </w:t>
      </w:r>
      <w:r>
        <w:rPr>
          <w:rFonts w:ascii="Arial" w:eastAsiaTheme="minorHAnsi" w:hAnsi="Arial" w:cs="Arial"/>
          <w:lang w:val="en-US"/>
        </w:rPr>
        <w:t xml:space="preserve">the matter </w:t>
      </w:r>
      <w:proofErr w:type="spellStart"/>
      <w:r>
        <w:rPr>
          <w:rFonts w:ascii="Arial" w:eastAsiaTheme="minorHAnsi" w:hAnsi="Arial" w:cs="Arial"/>
          <w:lang w:val="en-US"/>
        </w:rPr>
        <w:t>amica</w:t>
      </w:r>
      <w:r>
        <w:rPr>
          <w:rFonts w:ascii="Arial" w:hAnsi="Arial" w:cs="Arial"/>
        </w:rPr>
        <w:t>bly</w:t>
      </w:r>
      <w:proofErr w:type="spellEnd"/>
      <w:r>
        <w:rPr>
          <w:rFonts w:ascii="Arial" w:hAnsi="Arial" w:cs="Arial"/>
        </w:rPr>
        <w:t xml:space="preserve"> and in the spirit of the rules of court is now the one who argues that there was non-compliance with specific rule. A party can clearly not frustrate the process and then rely on the rule to wage it like a weapon against the opposing party. </w:t>
      </w:r>
    </w:p>
    <w:p w:rsidR="004D1040" w:rsidRPr="004D1040" w:rsidRDefault="004D1040" w:rsidP="004D1040">
      <w:pPr>
        <w:autoSpaceDE w:val="0"/>
        <w:autoSpaceDN w:val="0"/>
        <w:adjustRightInd w:val="0"/>
        <w:spacing w:line="360" w:lineRule="auto"/>
        <w:jc w:val="both"/>
        <w:rPr>
          <w:rFonts w:ascii="Arial" w:hAnsi="Arial" w:cs="Arial"/>
        </w:rPr>
      </w:pPr>
    </w:p>
    <w:p w:rsidR="00173E34" w:rsidRDefault="00173E34" w:rsidP="00173E34">
      <w:pPr>
        <w:spacing w:line="360" w:lineRule="auto"/>
        <w:jc w:val="both"/>
        <w:rPr>
          <w:rFonts w:ascii="Arial" w:hAnsi="Arial" w:cs="Arial"/>
        </w:rPr>
      </w:pPr>
      <w:r w:rsidRPr="00C929CE">
        <w:rPr>
          <w:rFonts w:ascii="Arial" w:hAnsi="Arial" w:cs="Arial"/>
        </w:rPr>
        <w:t>[</w:t>
      </w:r>
      <w:r w:rsidR="00BA204B">
        <w:rPr>
          <w:rFonts w:ascii="Arial" w:hAnsi="Arial" w:cs="Arial"/>
        </w:rPr>
        <w:t>21]</w:t>
      </w:r>
      <w:r w:rsidRPr="00C929CE">
        <w:rPr>
          <w:rFonts w:ascii="Arial" w:hAnsi="Arial" w:cs="Arial"/>
        </w:rPr>
        <w:tab/>
      </w:r>
      <w:r w:rsidR="00BA204B">
        <w:rPr>
          <w:rFonts w:ascii="Arial" w:hAnsi="Arial" w:cs="Arial"/>
        </w:rPr>
        <w:t xml:space="preserve">The report in terms of rule 32(10) was filed by the plaintiff albeit </w:t>
      </w:r>
      <w:r w:rsidR="00616D32">
        <w:rPr>
          <w:rFonts w:ascii="Arial" w:hAnsi="Arial" w:cs="Arial"/>
        </w:rPr>
        <w:t>a day or so</w:t>
      </w:r>
      <w:r w:rsidR="00BA204B">
        <w:rPr>
          <w:rFonts w:ascii="Arial" w:hAnsi="Arial" w:cs="Arial"/>
        </w:rPr>
        <w:t xml:space="preserve"> late</w:t>
      </w:r>
      <w:r w:rsidR="00616D32">
        <w:rPr>
          <w:rFonts w:ascii="Arial" w:hAnsi="Arial" w:cs="Arial"/>
        </w:rPr>
        <w:t>, which delay was explained to the satisfaction of the court. I a</w:t>
      </w:r>
      <w:r w:rsidR="007B0D04">
        <w:rPr>
          <w:rFonts w:ascii="Arial" w:hAnsi="Arial" w:cs="Arial"/>
        </w:rPr>
        <w:t>m thus satisfied that there was</w:t>
      </w:r>
      <w:r w:rsidR="00BA204B">
        <w:rPr>
          <w:rFonts w:ascii="Arial" w:hAnsi="Arial" w:cs="Arial"/>
        </w:rPr>
        <w:t xml:space="preserve"> </w:t>
      </w:r>
      <w:r w:rsidR="00891AD9">
        <w:rPr>
          <w:rFonts w:ascii="Arial" w:hAnsi="Arial" w:cs="Arial"/>
        </w:rPr>
        <w:t xml:space="preserve">compliance with rule 32. </w:t>
      </w:r>
    </w:p>
    <w:p w:rsidR="00173E34" w:rsidRDefault="00173E34" w:rsidP="00173E34">
      <w:pPr>
        <w:spacing w:line="360" w:lineRule="auto"/>
        <w:jc w:val="both"/>
        <w:rPr>
          <w:rFonts w:ascii="Arial" w:hAnsi="Arial" w:cs="Arial"/>
        </w:rPr>
      </w:pPr>
    </w:p>
    <w:p w:rsidR="001F2B7F" w:rsidRDefault="00173E34" w:rsidP="00FB6B41">
      <w:pPr>
        <w:spacing w:line="360" w:lineRule="auto"/>
        <w:jc w:val="both"/>
        <w:rPr>
          <w:rFonts w:ascii="Arial" w:hAnsi="Arial" w:cs="Arial"/>
          <w:lang w:val="en-US"/>
        </w:rPr>
      </w:pPr>
      <w:r w:rsidRPr="00C929CE">
        <w:rPr>
          <w:rFonts w:ascii="Arial" w:hAnsi="Arial" w:cs="Arial"/>
        </w:rPr>
        <w:t>[</w:t>
      </w:r>
      <w:r w:rsidR="00616D32">
        <w:rPr>
          <w:rFonts w:ascii="Arial" w:hAnsi="Arial" w:cs="Arial"/>
        </w:rPr>
        <w:t>22</w:t>
      </w:r>
      <w:r w:rsidRPr="00C929CE">
        <w:rPr>
          <w:rFonts w:ascii="Arial" w:hAnsi="Arial" w:cs="Arial"/>
        </w:rPr>
        <w:t>]</w:t>
      </w:r>
      <w:r w:rsidR="005C690E">
        <w:rPr>
          <w:rFonts w:ascii="Arial" w:hAnsi="Arial" w:cs="Arial"/>
        </w:rPr>
        <w:tab/>
      </w:r>
      <w:r w:rsidR="00616D32">
        <w:rPr>
          <w:rFonts w:ascii="Arial" w:hAnsi="Arial" w:cs="Arial"/>
        </w:rPr>
        <w:t>On the issue of</w:t>
      </w:r>
      <w:r w:rsidR="007B0D04">
        <w:rPr>
          <w:rFonts w:ascii="Arial" w:hAnsi="Arial" w:cs="Arial"/>
        </w:rPr>
        <w:t xml:space="preserve"> the rescission application, t</w:t>
      </w:r>
      <w:r w:rsidR="00616D32">
        <w:rPr>
          <w:rFonts w:ascii="Arial" w:hAnsi="Arial" w:cs="Arial"/>
        </w:rPr>
        <w:t xml:space="preserve">he </w:t>
      </w:r>
      <w:r w:rsidR="001F2B7F">
        <w:rPr>
          <w:rFonts w:ascii="Arial" w:hAnsi="Arial" w:cs="Arial"/>
        </w:rPr>
        <w:t xml:space="preserve">case of </w:t>
      </w:r>
      <w:proofErr w:type="spellStart"/>
      <w:r w:rsidR="001F2B7F" w:rsidRPr="001F2B7F">
        <w:rPr>
          <w:rFonts w:ascii="Arial" w:hAnsi="Arial" w:cs="Arial"/>
          <w:i/>
          <w:lang w:val="en-US"/>
        </w:rPr>
        <w:t>Transnamib</w:t>
      </w:r>
      <w:proofErr w:type="spellEnd"/>
      <w:r w:rsidR="001F2B7F" w:rsidRPr="001F2B7F">
        <w:rPr>
          <w:rFonts w:ascii="Arial" w:hAnsi="Arial" w:cs="Arial"/>
          <w:i/>
          <w:lang w:val="en-US"/>
        </w:rPr>
        <w:t xml:space="preserve"> Holdings Ltd v Bernhardt </w:t>
      </w:r>
      <w:proofErr w:type="spellStart"/>
      <w:r w:rsidR="001F2B7F" w:rsidRPr="001F2B7F">
        <w:rPr>
          <w:rFonts w:ascii="Arial" w:hAnsi="Arial" w:cs="Arial"/>
          <w:i/>
          <w:lang w:val="en-US"/>
        </w:rPr>
        <w:t>Garoëb</w:t>
      </w:r>
      <w:proofErr w:type="spellEnd"/>
      <w:r w:rsidR="001F2B7F" w:rsidRPr="001F2B7F">
        <w:rPr>
          <w:rFonts w:ascii="Arial" w:hAnsi="Arial" w:cs="Arial"/>
          <w:i/>
          <w:lang w:val="en-US"/>
        </w:rPr>
        <w:t xml:space="preserve"> </w:t>
      </w:r>
      <w:r w:rsidR="001F2B7F" w:rsidRPr="001F2B7F">
        <w:rPr>
          <w:rFonts w:ascii="Arial" w:hAnsi="Arial" w:cs="Arial"/>
          <w:lang w:val="en-US"/>
        </w:rPr>
        <w:t>(SA 26/2003) [2005] NASC 4 (04 August 2005)</w:t>
      </w:r>
      <w:r w:rsidR="001F2B7F">
        <w:rPr>
          <w:rFonts w:ascii="Arial" w:hAnsi="Arial" w:cs="Arial"/>
          <w:lang w:val="en-US"/>
        </w:rPr>
        <w:t xml:space="preserve"> </w:t>
      </w:r>
      <w:r w:rsidR="007E4FA5">
        <w:rPr>
          <w:rFonts w:ascii="Arial" w:hAnsi="Arial" w:cs="Arial"/>
          <w:lang w:val="en-US"/>
        </w:rPr>
        <w:t>illustrate</w:t>
      </w:r>
      <w:r w:rsidR="007B0D04">
        <w:rPr>
          <w:rFonts w:ascii="Arial" w:hAnsi="Arial" w:cs="Arial"/>
          <w:lang w:val="en-US"/>
        </w:rPr>
        <w:t>s</w:t>
      </w:r>
      <w:r w:rsidR="007E4FA5">
        <w:rPr>
          <w:rFonts w:ascii="Arial" w:hAnsi="Arial" w:cs="Arial"/>
          <w:lang w:val="en-US"/>
        </w:rPr>
        <w:t xml:space="preserve"> the position held by the Supreme Court in dealing with </w:t>
      </w:r>
      <w:r w:rsidR="007B0D04">
        <w:rPr>
          <w:rFonts w:ascii="Arial" w:hAnsi="Arial" w:cs="Arial"/>
          <w:lang w:val="en-US"/>
        </w:rPr>
        <w:t xml:space="preserve">an </w:t>
      </w:r>
      <w:r w:rsidR="007E4FA5">
        <w:rPr>
          <w:rFonts w:ascii="Arial" w:hAnsi="Arial" w:cs="Arial"/>
          <w:lang w:val="en-US"/>
        </w:rPr>
        <w:t xml:space="preserve">application for rescission of judgment, </w:t>
      </w:r>
      <w:r w:rsidR="001F2B7F">
        <w:rPr>
          <w:rFonts w:ascii="Arial" w:hAnsi="Arial" w:cs="Arial"/>
          <w:lang w:val="en-US"/>
        </w:rPr>
        <w:t>where the court held at para 9 that:</w:t>
      </w:r>
    </w:p>
    <w:p w:rsidR="009539CB" w:rsidRDefault="009539CB" w:rsidP="001F2B7F">
      <w:pPr>
        <w:spacing w:line="360" w:lineRule="auto"/>
        <w:jc w:val="both"/>
        <w:rPr>
          <w:rFonts w:ascii="Arial" w:hAnsi="Arial" w:cs="Arial"/>
          <w:lang w:val="en-US"/>
        </w:rPr>
      </w:pPr>
    </w:p>
    <w:p w:rsidR="001F2B7F" w:rsidRPr="001F2B7F" w:rsidRDefault="001F2B7F" w:rsidP="001F2B7F">
      <w:pPr>
        <w:spacing w:line="360" w:lineRule="auto"/>
        <w:jc w:val="both"/>
        <w:rPr>
          <w:rFonts w:ascii="Arial" w:hAnsi="Arial" w:cs="Arial"/>
          <w:sz w:val="22"/>
          <w:lang w:val="en-US"/>
        </w:rPr>
      </w:pPr>
      <w:r w:rsidRPr="001F2B7F">
        <w:rPr>
          <w:rFonts w:ascii="Arial" w:hAnsi="Arial" w:cs="Arial"/>
          <w:sz w:val="22"/>
          <w:lang w:val="en-US"/>
        </w:rPr>
        <w:t xml:space="preserve">‘In a long line of </w:t>
      </w:r>
      <w:r w:rsidR="007B0D04" w:rsidRPr="001F2B7F">
        <w:rPr>
          <w:rFonts w:ascii="Arial" w:hAnsi="Arial" w:cs="Arial"/>
          <w:sz w:val="22"/>
          <w:lang w:val="en-US"/>
        </w:rPr>
        <w:t>judgments</w:t>
      </w:r>
      <w:r w:rsidRPr="001F2B7F">
        <w:rPr>
          <w:rFonts w:ascii="Arial" w:hAnsi="Arial" w:cs="Arial"/>
          <w:sz w:val="22"/>
          <w:lang w:val="en-US"/>
        </w:rPr>
        <w:t xml:space="preserve"> the courts have by precedent distilled the essential criteria by which to determine whether “good cause” has been shown for default judgments to be rescinded or varied.  In </w:t>
      </w:r>
      <w:proofErr w:type="spellStart"/>
      <w:r w:rsidRPr="001F2B7F">
        <w:rPr>
          <w:rFonts w:ascii="Arial" w:hAnsi="Arial" w:cs="Arial"/>
          <w:i/>
          <w:sz w:val="22"/>
          <w:lang w:val="en-US"/>
        </w:rPr>
        <w:t>Leweis</w:t>
      </w:r>
      <w:proofErr w:type="spellEnd"/>
      <w:r w:rsidRPr="001F2B7F">
        <w:rPr>
          <w:rFonts w:ascii="Arial" w:hAnsi="Arial" w:cs="Arial"/>
          <w:i/>
          <w:sz w:val="22"/>
          <w:lang w:val="en-US"/>
        </w:rPr>
        <w:t xml:space="preserve"> v </w:t>
      </w:r>
      <w:proofErr w:type="spellStart"/>
      <w:r w:rsidRPr="001F2B7F">
        <w:rPr>
          <w:rFonts w:ascii="Arial" w:hAnsi="Arial" w:cs="Arial"/>
          <w:i/>
          <w:sz w:val="22"/>
          <w:lang w:val="en-US"/>
        </w:rPr>
        <w:t>Sampoio</w:t>
      </w:r>
      <w:proofErr w:type="spellEnd"/>
      <w:r w:rsidRPr="001F2B7F">
        <w:rPr>
          <w:rFonts w:ascii="Arial" w:hAnsi="Arial" w:cs="Arial"/>
          <w:sz w:val="22"/>
          <w:lang w:val="en-US"/>
        </w:rPr>
        <w:t xml:space="preserve"> 2000 NR 186 (SC) at 191G-H this Court approved the following content given to the requirements implied by that phrase in </w:t>
      </w:r>
      <w:r w:rsidRPr="001F2B7F">
        <w:rPr>
          <w:rFonts w:ascii="Arial" w:hAnsi="Arial" w:cs="Arial"/>
          <w:i/>
          <w:sz w:val="22"/>
          <w:lang w:val="en-US"/>
        </w:rPr>
        <w:t>Grant v Plumbers (Pty) Ltd</w:t>
      </w:r>
      <w:r w:rsidRPr="001F2B7F">
        <w:rPr>
          <w:rFonts w:ascii="Arial" w:hAnsi="Arial" w:cs="Arial"/>
          <w:sz w:val="22"/>
          <w:lang w:val="en-US"/>
        </w:rPr>
        <w:t>, 1949(2) SA 470 (0) at 476-477:</w:t>
      </w:r>
    </w:p>
    <w:p w:rsidR="001F2B7F" w:rsidRPr="001F2B7F" w:rsidRDefault="001F2B7F" w:rsidP="001F2B7F">
      <w:pPr>
        <w:spacing w:line="360" w:lineRule="auto"/>
        <w:jc w:val="both"/>
        <w:rPr>
          <w:rFonts w:ascii="Arial" w:hAnsi="Arial" w:cs="Arial"/>
          <w:sz w:val="22"/>
          <w:lang w:val="en-US"/>
        </w:rPr>
      </w:pPr>
      <w:r w:rsidRPr="001F2B7F">
        <w:rPr>
          <w:rFonts w:ascii="Arial" w:hAnsi="Arial" w:cs="Arial"/>
          <w:sz w:val="22"/>
          <w:lang w:val="en-US"/>
        </w:rPr>
        <w:tab/>
      </w:r>
    </w:p>
    <w:p w:rsidR="001F2B7F" w:rsidRDefault="001F2B7F" w:rsidP="00D17D17">
      <w:pPr>
        <w:spacing w:line="360" w:lineRule="auto"/>
        <w:ind w:firstLine="720"/>
        <w:jc w:val="both"/>
        <w:rPr>
          <w:rFonts w:ascii="Arial" w:hAnsi="Arial" w:cs="Arial"/>
          <w:sz w:val="22"/>
          <w:lang w:val="en-US"/>
        </w:rPr>
      </w:pPr>
      <w:r w:rsidRPr="001F2B7F">
        <w:rPr>
          <w:rFonts w:ascii="Arial" w:hAnsi="Arial" w:cs="Arial"/>
          <w:sz w:val="22"/>
          <w:lang w:val="en-US"/>
        </w:rPr>
        <w:lastRenderedPageBreak/>
        <w:t>“(</w:t>
      </w:r>
      <w:proofErr w:type="gramStart"/>
      <w:r w:rsidRPr="001F2B7F">
        <w:rPr>
          <w:rFonts w:ascii="Arial" w:hAnsi="Arial" w:cs="Arial"/>
          <w:sz w:val="22"/>
          <w:lang w:val="en-US"/>
        </w:rPr>
        <w:t>a</w:t>
      </w:r>
      <w:proofErr w:type="gramEnd"/>
      <w:r w:rsidRPr="001F2B7F">
        <w:rPr>
          <w:rFonts w:ascii="Arial" w:hAnsi="Arial" w:cs="Arial"/>
          <w:sz w:val="22"/>
          <w:lang w:val="en-US"/>
        </w:rPr>
        <w:t>)</w:t>
      </w:r>
      <w:r w:rsidRPr="001F2B7F">
        <w:rPr>
          <w:rFonts w:ascii="Arial" w:hAnsi="Arial" w:cs="Arial"/>
          <w:sz w:val="22"/>
          <w:lang w:val="en-US"/>
        </w:rPr>
        <w:tab/>
        <w:t>He must give a reasonable explanation of his default.  If it appears that his default was willful or that it was due to gross negligence, the Court should not come to his assistance.</w:t>
      </w:r>
    </w:p>
    <w:p w:rsidR="00D17D17" w:rsidRPr="001F2B7F" w:rsidRDefault="00D17D17" w:rsidP="00D17D17">
      <w:pPr>
        <w:spacing w:line="360" w:lineRule="auto"/>
        <w:ind w:firstLine="720"/>
        <w:jc w:val="both"/>
        <w:rPr>
          <w:rFonts w:ascii="Arial" w:hAnsi="Arial" w:cs="Arial"/>
          <w:sz w:val="22"/>
          <w:lang w:val="en-US"/>
        </w:rPr>
      </w:pPr>
    </w:p>
    <w:p w:rsidR="001F2B7F" w:rsidRDefault="001F2B7F" w:rsidP="001F2B7F">
      <w:pPr>
        <w:spacing w:line="360" w:lineRule="auto"/>
        <w:jc w:val="both"/>
        <w:rPr>
          <w:rFonts w:ascii="Arial" w:hAnsi="Arial" w:cs="Arial"/>
          <w:sz w:val="22"/>
          <w:lang w:val="en-US"/>
        </w:rPr>
      </w:pPr>
      <w:r w:rsidRPr="001F2B7F">
        <w:rPr>
          <w:rFonts w:ascii="Arial" w:hAnsi="Arial" w:cs="Arial"/>
          <w:sz w:val="22"/>
          <w:lang w:val="en-US"/>
        </w:rPr>
        <w:t xml:space="preserve"> b)</w:t>
      </w:r>
      <w:r w:rsidRPr="001F2B7F">
        <w:rPr>
          <w:rFonts w:ascii="Arial" w:hAnsi="Arial" w:cs="Arial"/>
          <w:sz w:val="22"/>
          <w:lang w:val="en-US"/>
        </w:rPr>
        <w:tab/>
        <w:t>His application must be bona fide and not made with the intention delaying the plaintiff’s claim.</w:t>
      </w:r>
    </w:p>
    <w:p w:rsidR="00D17D17" w:rsidRPr="001F2B7F" w:rsidRDefault="00D17D17" w:rsidP="001F2B7F">
      <w:pPr>
        <w:spacing w:line="360" w:lineRule="auto"/>
        <w:jc w:val="both"/>
        <w:rPr>
          <w:rFonts w:ascii="Arial" w:hAnsi="Arial" w:cs="Arial"/>
          <w:sz w:val="22"/>
          <w:lang w:val="en-US"/>
        </w:rPr>
      </w:pPr>
    </w:p>
    <w:p w:rsidR="001F2B7F" w:rsidRPr="00D17D17" w:rsidRDefault="00D17D17" w:rsidP="00D17D17">
      <w:pPr>
        <w:spacing w:line="360" w:lineRule="auto"/>
        <w:jc w:val="both"/>
        <w:rPr>
          <w:rFonts w:ascii="Arial" w:hAnsi="Arial" w:cs="Arial"/>
          <w:sz w:val="22"/>
          <w:lang w:val="en-US"/>
        </w:rPr>
      </w:pPr>
      <w:r w:rsidRPr="00D17D17">
        <w:rPr>
          <w:rFonts w:ascii="Arial" w:hAnsi="Arial" w:cs="Arial"/>
          <w:sz w:val="22"/>
          <w:lang w:val="en-US"/>
        </w:rPr>
        <w:t xml:space="preserve"> c</w:t>
      </w:r>
      <w:r>
        <w:rPr>
          <w:rFonts w:ascii="Arial" w:hAnsi="Arial" w:cs="Arial"/>
          <w:sz w:val="22"/>
          <w:lang w:val="en-US"/>
        </w:rPr>
        <w:t>)</w:t>
      </w:r>
      <w:r>
        <w:rPr>
          <w:rFonts w:ascii="Arial" w:hAnsi="Arial" w:cs="Arial"/>
          <w:sz w:val="22"/>
          <w:lang w:val="en-US"/>
        </w:rPr>
        <w:tab/>
      </w:r>
      <w:r w:rsidR="001F2B7F" w:rsidRPr="00D17D17">
        <w:rPr>
          <w:rFonts w:ascii="Arial" w:hAnsi="Arial" w:cs="Arial"/>
          <w:sz w:val="22"/>
          <w:lang w:val="en-US"/>
        </w:rPr>
        <w:t xml:space="preserve">He must show that he has a bona fide </w:t>
      </w:r>
      <w:proofErr w:type="spellStart"/>
      <w:r w:rsidR="001F2B7F" w:rsidRPr="00D17D17">
        <w:rPr>
          <w:rFonts w:ascii="Arial" w:hAnsi="Arial" w:cs="Arial"/>
          <w:sz w:val="22"/>
          <w:lang w:val="en-US"/>
        </w:rPr>
        <w:t>defence</w:t>
      </w:r>
      <w:proofErr w:type="spellEnd"/>
      <w:r w:rsidR="001F2B7F" w:rsidRPr="00D17D17">
        <w:rPr>
          <w:rFonts w:ascii="Arial" w:hAnsi="Arial" w:cs="Arial"/>
          <w:sz w:val="22"/>
          <w:lang w:val="en-US"/>
        </w:rPr>
        <w:t xml:space="preserve"> to the plaintiff’s claim.  It is sufficient if he makes out a prima facie </w:t>
      </w:r>
      <w:proofErr w:type="spellStart"/>
      <w:r w:rsidR="001F2B7F" w:rsidRPr="00D17D17">
        <w:rPr>
          <w:rFonts w:ascii="Arial" w:hAnsi="Arial" w:cs="Arial"/>
          <w:sz w:val="22"/>
          <w:lang w:val="en-US"/>
        </w:rPr>
        <w:t>defence</w:t>
      </w:r>
      <w:proofErr w:type="spellEnd"/>
      <w:r w:rsidR="001F2B7F" w:rsidRPr="00D17D17">
        <w:rPr>
          <w:rFonts w:ascii="Arial" w:hAnsi="Arial" w:cs="Arial"/>
          <w:sz w:val="22"/>
          <w:lang w:val="en-US"/>
        </w:rPr>
        <w:t xml:space="preserve"> in the sense of setting out averments which, if established at the trial, would entitle him to the relief asked for.  He need not deal fully with the merits of the case and produce evidence that the probabilities are actually in his </w:t>
      </w:r>
      <w:proofErr w:type="spellStart"/>
      <w:r w:rsidR="001F2B7F" w:rsidRPr="00D17D17">
        <w:rPr>
          <w:rFonts w:ascii="Arial" w:hAnsi="Arial" w:cs="Arial"/>
          <w:sz w:val="22"/>
          <w:lang w:val="en-US"/>
        </w:rPr>
        <w:t>favour</w:t>
      </w:r>
      <w:proofErr w:type="spellEnd"/>
      <w:r w:rsidR="001F2B7F" w:rsidRPr="00D17D17">
        <w:rPr>
          <w:rFonts w:ascii="Arial" w:hAnsi="Arial" w:cs="Arial"/>
          <w:sz w:val="22"/>
          <w:lang w:val="en-US"/>
        </w:rPr>
        <w:t>.”</w:t>
      </w:r>
    </w:p>
    <w:p w:rsidR="00D17D17" w:rsidRPr="00D17D17" w:rsidRDefault="00D17D17" w:rsidP="00D17D17">
      <w:pPr>
        <w:rPr>
          <w:lang w:val="en-US"/>
        </w:rPr>
      </w:pPr>
    </w:p>
    <w:p w:rsidR="005C690E" w:rsidRPr="00C929CE" w:rsidRDefault="00173E34" w:rsidP="00173E34">
      <w:pPr>
        <w:spacing w:line="360" w:lineRule="auto"/>
        <w:jc w:val="both"/>
        <w:rPr>
          <w:rFonts w:ascii="Arial" w:hAnsi="Arial" w:cs="Arial"/>
        </w:rPr>
      </w:pPr>
      <w:r w:rsidRPr="00C929CE">
        <w:rPr>
          <w:rFonts w:ascii="Arial" w:hAnsi="Arial" w:cs="Arial"/>
        </w:rPr>
        <w:tab/>
      </w:r>
    </w:p>
    <w:p w:rsidR="00645A00" w:rsidRDefault="00173E34" w:rsidP="00645A00">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rPr>
        <w:t>[</w:t>
      </w:r>
      <w:r w:rsidR="00006DD9">
        <w:rPr>
          <w:rFonts w:ascii="Arial" w:hAnsi="Arial" w:cs="Arial"/>
        </w:rPr>
        <w:t>23</w:t>
      </w:r>
      <w:r>
        <w:rPr>
          <w:rFonts w:ascii="Arial" w:hAnsi="Arial" w:cs="Arial"/>
        </w:rPr>
        <w:t>]</w:t>
      </w:r>
      <w:r>
        <w:rPr>
          <w:rFonts w:ascii="Arial" w:hAnsi="Arial" w:cs="Arial"/>
        </w:rPr>
        <w:tab/>
      </w:r>
      <w:r w:rsidR="00616D32">
        <w:rPr>
          <w:rFonts w:ascii="Arial" w:hAnsi="Arial" w:cs="Arial"/>
        </w:rPr>
        <w:t>Having regard to the detailed explanation file</w:t>
      </w:r>
      <w:r w:rsidR="007B0D04">
        <w:rPr>
          <w:rFonts w:ascii="Arial" w:hAnsi="Arial" w:cs="Arial"/>
        </w:rPr>
        <w:t>d</w:t>
      </w:r>
      <w:r w:rsidR="00616D32">
        <w:rPr>
          <w:rFonts w:ascii="Arial" w:hAnsi="Arial" w:cs="Arial"/>
        </w:rPr>
        <w:t xml:space="preserve"> on affidavit by the plaintiff</w:t>
      </w:r>
      <w:r w:rsidR="007B0D04">
        <w:rPr>
          <w:rFonts w:ascii="Arial" w:hAnsi="Arial" w:cs="Arial"/>
        </w:rPr>
        <w:t>,</w:t>
      </w:r>
      <w:r w:rsidR="00616D32">
        <w:rPr>
          <w:rFonts w:ascii="Arial" w:hAnsi="Arial" w:cs="Arial"/>
        </w:rPr>
        <w:t xml:space="preserve"> </w:t>
      </w:r>
      <w:r w:rsidR="00645A00">
        <w:rPr>
          <w:rFonts w:ascii="Arial" w:hAnsi="Arial" w:cs="Arial"/>
        </w:rPr>
        <w:t xml:space="preserve">he explains the </w:t>
      </w:r>
      <w:r w:rsidR="00645A00">
        <w:rPr>
          <w:rFonts w:ascii="Arial" w:hAnsi="Arial" w:cs="Arial"/>
          <w:iCs/>
          <w:shd w:val="clear" w:color="auto" w:fill="FFFFFF"/>
        </w:rPr>
        <w:t>steps to follow up on the progress of his matter and did not sit back and idle on the outcome after placing his matter in the hands of legal professionals, and as a result, the plaintiff was not in willful default</w:t>
      </w:r>
      <w:r w:rsidR="007B0D04">
        <w:rPr>
          <w:rFonts w:ascii="Arial" w:hAnsi="Arial" w:cs="Arial"/>
          <w:iCs/>
          <w:shd w:val="clear" w:color="auto" w:fill="FFFFFF"/>
        </w:rPr>
        <w:t>.</w:t>
      </w:r>
      <w:r w:rsidR="00645A00" w:rsidRPr="007B0D04">
        <w:rPr>
          <w:rStyle w:val="FootnoteReference"/>
          <w:rFonts w:ascii="Arial" w:hAnsi="Arial" w:cs="Arial"/>
        </w:rPr>
        <w:footnoteReference w:id="2"/>
      </w:r>
      <w:r w:rsidR="007B0D04">
        <w:rPr>
          <w:rFonts w:ascii="Arial" w:hAnsi="Arial" w:cs="Arial"/>
          <w:iCs/>
          <w:shd w:val="clear" w:color="auto" w:fill="FFFFFF"/>
        </w:rPr>
        <w:t xml:space="preserve"> </w:t>
      </w:r>
      <w:r w:rsidR="00645A00">
        <w:rPr>
          <w:rFonts w:ascii="Arial" w:hAnsi="Arial" w:cs="Arial"/>
          <w:shd w:val="clear" w:color="auto" w:fill="FFFFFF"/>
        </w:rPr>
        <w:t xml:space="preserve">It must be noted that the plaintiff, for all purposes, had the best intentions when it came to ensuring that his matter progressed as it should and that is admirable. Looking at the volume of affidavits filed in this matter, it is quite clear that fault cannot be bestowed on the plaintiff as it is the legal professionals that had no due diligence in ensuring that their client’s interests are best served. To some extent, the plaintiff was left in the dark in terms of the progress in his matter and it is only when he actively took over his file and appointing the offices of </w:t>
      </w:r>
      <w:proofErr w:type="spellStart"/>
      <w:r w:rsidR="00645A00">
        <w:rPr>
          <w:rFonts w:ascii="Arial" w:hAnsi="Arial" w:cs="Arial"/>
          <w:shd w:val="clear" w:color="auto" w:fill="FFFFFF"/>
        </w:rPr>
        <w:t>Ueitele</w:t>
      </w:r>
      <w:proofErr w:type="spellEnd"/>
      <w:r w:rsidR="00645A00">
        <w:rPr>
          <w:rFonts w:ascii="Arial" w:hAnsi="Arial" w:cs="Arial"/>
          <w:shd w:val="clear" w:color="auto" w:fill="FFFFFF"/>
        </w:rPr>
        <w:t xml:space="preserve"> &amp; Hans Inc. that the matter proceeded as it ought to have been. </w:t>
      </w:r>
    </w:p>
    <w:p w:rsidR="000B716A" w:rsidRDefault="000B716A" w:rsidP="00173E34">
      <w:pPr>
        <w:spacing w:line="360" w:lineRule="auto"/>
        <w:jc w:val="both"/>
        <w:rPr>
          <w:rFonts w:ascii="Arial" w:hAnsi="Arial" w:cs="Arial"/>
          <w:sz w:val="22"/>
        </w:rPr>
      </w:pPr>
    </w:p>
    <w:p w:rsidR="00006DD9" w:rsidRDefault="00173E34" w:rsidP="00173E34">
      <w:pPr>
        <w:spacing w:line="360" w:lineRule="auto"/>
        <w:jc w:val="both"/>
        <w:rPr>
          <w:rFonts w:ascii="Arial" w:hAnsi="Arial" w:cs="Arial"/>
        </w:rPr>
      </w:pPr>
      <w:r w:rsidRPr="00C929CE">
        <w:rPr>
          <w:rFonts w:ascii="Arial" w:hAnsi="Arial" w:cs="Arial"/>
        </w:rPr>
        <w:t>[2</w:t>
      </w:r>
      <w:r w:rsidR="00006DD9">
        <w:rPr>
          <w:rFonts w:ascii="Arial" w:hAnsi="Arial" w:cs="Arial"/>
        </w:rPr>
        <w:t>4</w:t>
      </w:r>
      <w:r w:rsidRPr="00C929CE">
        <w:rPr>
          <w:rFonts w:ascii="Arial" w:hAnsi="Arial" w:cs="Arial"/>
        </w:rPr>
        <w:t>]</w:t>
      </w:r>
      <w:r w:rsidR="00064C6A">
        <w:rPr>
          <w:rFonts w:ascii="Arial" w:hAnsi="Arial" w:cs="Arial"/>
        </w:rPr>
        <w:tab/>
      </w:r>
      <w:r w:rsidR="00006DD9" w:rsidRPr="00FB6B41">
        <w:rPr>
          <w:rFonts w:ascii="Arial" w:hAnsi="Arial" w:cs="Arial"/>
        </w:rPr>
        <w:t xml:space="preserve">The onus </w:t>
      </w:r>
      <w:r w:rsidR="00006DD9">
        <w:rPr>
          <w:rFonts w:ascii="Arial" w:hAnsi="Arial" w:cs="Arial"/>
        </w:rPr>
        <w:t>is</w:t>
      </w:r>
      <w:r w:rsidR="00006DD9" w:rsidRPr="00FB6B41">
        <w:rPr>
          <w:rFonts w:ascii="Arial" w:hAnsi="Arial" w:cs="Arial"/>
        </w:rPr>
        <w:t xml:space="preserve"> on the </w:t>
      </w:r>
      <w:r w:rsidR="00006DD9">
        <w:rPr>
          <w:rFonts w:ascii="Arial" w:hAnsi="Arial" w:cs="Arial"/>
        </w:rPr>
        <w:t xml:space="preserve">plaintiff </w:t>
      </w:r>
      <w:r w:rsidR="00006DD9" w:rsidRPr="00FB6B41">
        <w:rPr>
          <w:rFonts w:ascii="Arial" w:hAnsi="Arial" w:cs="Arial"/>
        </w:rPr>
        <w:t xml:space="preserve">to show that his application for a rescission </w:t>
      </w:r>
      <w:r w:rsidR="00006DD9">
        <w:rPr>
          <w:rFonts w:ascii="Arial" w:hAnsi="Arial" w:cs="Arial"/>
        </w:rPr>
        <w:t xml:space="preserve">is bona fide and that he has </w:t>
      </w:r>
      <w:r w:rsidR="00006DD9" w:rsidRPr="00FB6B41">
        <w:rPr>
          <w:rFonts w:ascii="Arial" w:hAnsi="Arial" w:cs="Arial"/>
        </w:rPr>
        <w:t xml:space="preserve">a </w:t>
      </w:r>
      <w:r w:rsidR="00006DD9" w:rsidRPr="00FB6B41">
        <w:rPr>
          <w:rFonts w:ascii="Arial" w:hAnsi="Arial" w:cs="Arial"/>
          <w:i/>
        </w:rPr>
        <w:t>bona fide</w:t>
      </w:r>
      <w:r w:rsidR="00006DD9" w:rsidRPr="00FB6B41">
        <w:rPr>
          <w:rFonts w:ascii="Arial" w:hAnsi="Arial" w:cs="Arial"/>
        </w:rPr>
        <w:t xml:space="preserve"> defence</w:t>
      </w:r>
      <w:r w:rsidR="00006DD9">
        <w:rPr>
          <w:rFonts w:ascii="Arial" w:hAnsi="Arial" w:cs="Arial"/>
        </w:rPr>
        <w:t>. With reference to the plaintiff’s affidavit</w:t>
      </w:r>
      <w:r w:rsidR="007B0D04">
        <w:rPr>
          <w:rFonts w:ascii="Arial" w:hAnsi="Arial" w:cs="Arial"/>
        </w:rPr>
        <w:t>,</w:t>
      </w:r>
      <w:r w:rsidR="00006DD9">
        <w:rPr>
          <w:rFonts w:ascii="Arial" w:hAnsi="Arial" w:cs="Arial"/>
        </w:rPr>
        <w:t xml:space="preserve"> it is clear that there is a triable defence to the defendant’s counterclaim.</w:t>
      </w:r>
    </w:p>
    <w:p w:rsidR="00DF286A" w:rsidRDefault="00DF286A" w:rsidP="00173E34">
      <w:pPr>
        <w:spacing w:line="360" w:lineRule="auto"/>
        <w:jc w:val="both"/>
        <w:rPr>
          <w:rFonts w:ascii="Arial" w:hAnsi="Arial" w:cs="Arial"/>
        </w:rPr>
      </w:pPr>
    </w:p>
    <w:p w:rsidR="00D17D17" w:rsidRDefault="00D17D17" w:rsidP="00173E34">
      <w:pPr>
        <w:pStyle w:val="western"/>
        <w:shd w:val="clear" w:color="auto" w:fill="FFFFFF"/>
        <w:spacing w:before="0" w:beforeAutospacing="0" w:after="0" w:afterAutospacing="0" w:line="360" w:lineRule="auto"/>
        <w:jc w:val="both"/>
        <w:rPr>
          <w:rFonts w:ascii="Arial" w:hAnsi="Arial" w:cs="Arial"/>
          <w:lang w:val="en-GB"/>
        </w:rPr>
      </w:pPr>
    </w:p>
    <w:p w:rsidR="00E30EEA" w:rsidRPr="00D17D17" w:rsidRDefault="00E30EEA" w:rsidP="00173E34">
      <w:pPr>
        <w:pStyle w:val="western"/>
        <w:shd w:val="clear" w:color="auto" w:fill="FFFFFF"/>
        <w:spacing w:before="0" w:beforeAutospacing="0" w:after="0" w:afterAutospacing="0" w:line="360" w:lineRule="auto"/>
        <w:jc w:val="both"/>
        <w:rPr>
          <w:rFonts w:ascii="Arial" w:hAnsi="Arial" w:cs="Arial"/>
          <w:u w:val="single"/>
          <w:shd w:val="clear" w:color="auto" w:fill="FFFFFF"/>
        </w:rPr>
      </w:pPr>
      <w:r w:rsidRPr="00D17D17">
        <w:rPr>
          <w:rFonts w:ascii="Arial" w:hAnsi="Arial" w:cs="Arial"/>
          <w:u w:val="single"/>
          <w:shd w:val="clear" w:color="auto" w:fill="FFFFFF"/>
        </w:rPr>
        <w:lastRenderedPageBreak/>
        <w:t xml:space="preserve">Conclusion </w:t>
      </w:r>
    </w:p>
    <w:p w:rsidR="00E30EEA" w:rsidRDefault="00E30EEA" w:rsidP="00173E34">
      <w:pPr>
        <w:pStyle w:val="western"/>
        <w:shd w:val="clear" w:color="auto" w:fill="FFFFFF"/>
        <w:spacing w:before="0" w:beforeAutospacing="0" w:after="0" w:afterAutospacing="0" w:line="360" w:lineRule="auto"/>
        <w:jc w:val="both"/>
        <w:rPr>
          <w:rFonts w:ascii="Arial" w:hAnsi="Arial" w:cs="Arial"/>
          <w:shd w:val="clear" w:color="auto" w:fill="FFFFFF"/>
        </w:rPr>
      </w:pPr>
    </w:p>
    <w:p w:rsidR="00006DD9" w:rsidRDefault="00E30EEA" w:rsidP="00006DD9">
      <w:pPr>
        <w:spacing w:line="360" w:lineRule="auto"/>
        <w:jc w:val="both"/>
        <w:rPr>
          <w:rFonts w:ascii="Arial" w:hAnsi="Arial" w:cs="Arial"/>
        </w:rPr>
      </w:pPr>
      <w:r>
        <w:rPr>
          <w:rFonts w:ascii="Arial" w:hAnsi="Arial" w:cs="Arial"/>
          <w:shd w:val="clear" w:color="auto" w:fill="FFFFFF"/>
        </w:rPr>
        <w:t>[2</w:t>
      </w:r>
      <w:r w:rsidR="00006DD9">
        <w:rPr>
          <w:rFonts w:ascii="Arial" w:hAnsi="Arial" w:cs="Arial"/>
          <w:shd w:val="clear" w:color="auto" w:fill="FFFFFF"/>
        </w:rPr>
        <w:t>5</w:t>
      </w:r>
      <w:r>
        <w:rPr>
          <w:rFonts w:ascii="Arial" w:hAnsi="Arial" w:cs="Arial"/>
          <w:shd w:val="clear" w:color="auto" w:fill="FFFFFF"/>
        </w:rPr>
        <w:t>]</w:t>
      </w:r>
      <w:r>
        <w:rPr>
          <w:rFonts w:ascii="Arial" w:hAnsi="Arial" w:cs="Arial"/>
          <w:shd w:val="clear" w:color="auto" w:fill="FFFFFF"/>
        </w:rPr>
        <w:tab/>
      </w:r>
      <w:r w:rsidR="00006DD9" w:rsidRPr="00FB6B41">
        <w:rPr>
          <w:rFonts w:ascii="Arial" w:hAnsi="Arial" w:cs="Arial"/>
        </w:rPr>
        <w:t>As to a Court</w:t>
      </w:r>
      <w:r w:rsidR="00006DD9">
        <w:rPr>
          <w:rFonts w:ascii="Arial" w:hAnsi="Arial" w:cs="Arial"/>
        </w:rPr>
        <w:t>'s approach in regard to such a rescission</w:t>
      </w:r>
      <w:r w:rsidR="00006DD9" w:rsidRPr="00FB6B41">
        <w:rPr>
          <w:rFonts w:ascii="Arial" w:hAnsi="Arial" w:cs="Arial"/>
        </w:rPr>
        <w:t xml:space="preserve"> application it was stated in </w:t>
      </w:r>
      <w:r w:rsidR="00006DD9" w:rsidRPr="00FB6B41">
        <w:rPr>
          <w:rFonts w:ascii="Arial" w:hAnsi="Arial" w:cs="Arial"/>
          <w:i/>
        </w:rPr>
        <w:t xml:space="preserve">De </w:t>
      </w:r>
      <w:proofErr w:type="spellStart"/>
      <w:r w:rsidR="00006DD9" w:rsidRPr="00FB6B41">
        <w:rPr>
          <w:rFonts w:ascii="Arial" w:hAnsi="Arial" w:cs="Arial"/>
          <w:i/>
        </w:rPr>
        <w:t>Witts</w:t>
      </w:r>
      <w:proofErr w:type="spellEnd"/>
      <w:r w:rsidR="00006DD9" w:rsidRPr="00FB6B41">
        <w:rPr>
          <w:rFonts w:ascii="Arial" w:hAnsi="Arial" w:cs="Arial"/>
          <w:i/>
        </w:rPr>
        <w:t xml:space="preserve"> Auto Body Repairs (Pty) Ltd v  </w:t>
      </w:r>
      <w:proofErr w:type="spellStart"/>
      <w:r w:rsidR="00006DD9" w:rsidRPr="00FB6B41">
        <w:rPr>
          <w:rFonts w:ascii="Arial" w:hAnsi="Arial" w:cs="Arial"/>
          <w:i/>
        </w:rPr>
        <w:t>Fedgen</w:t>
      </w:r>
      <w:proofErr w:type="spellEnd"/>
      <w:r w:rsidR="00006DD9" w:rsidRPr="00FB6B41">
        <w:rPr>
          <w:rFonts w:ascii="Arial" w:hAnsi="Arial" w:cs="Arial"/>
          <w:i/>
        </w:rPr>
        <w:t xml:space="preserve"> Insurance Co</w:t>
      </w:r>
      <w:r w:rsidR="00006DD9" w:rsidRPr="00FB6B41">
        <w:rPr>
          <w:rFonts w:ascii="Arial" w:hAnsi="Arial" w:cs="Arial"/>
        </w:rPr>
        <w:t xml:space="preserve"> Ltd 1994 (4) SA 705 (E) at 711E that </w:t>
      </w:r>
      <w:r w:rsidR="00D17D17">
        <w:rPr>
          <w:rFonts w:ascii="Arial" w:hAnsi="Arial" w:cs="Arial"/>
        </w:rPr>
        <w:t>–</w:t>
      </w:r>
    </w:p>
    <w:p w:rsidR="00D17D17" w:rsidRPr="00FB6B41" w:rsidRDefault="00D17D17" w:rsidP="00006DD9">
      <w:pPr>
        <w:spacing w:line="360" w:lineRule="auto"/>
        <w:jc w:val="both"/>
        <w:rPr>
          <w:rFonts w:ascii="Arial" w:hAnsi="Arial" w:cs="Arial"/>
        </w:rPr>
      </w:pPr>
    </w:p>
    <w:p w:rsidR="00006DD9" w:rsidRDefault="00006DD9" w:rsidP="00006DD9">
      <w:pPr>
        <w:spacing w:line="360" w:lineRule="auto"/>
        <w:jc w:val="both"/>
        <w:rPr>
          <w:rFonts w:ascii="Arial" w:hAnsi="Arial" w:cs="Arial"/>
        </w:rPr>
      </w:pPr>
      <w:r w:rsidRPr="00FB6B41">
        <w:rPr>
          <w:rFonts w:ascii="Arial" w:hAnsi="Arial" w:cs="Arial"/>
          <w:sz w:val="22"/>
          <w:szCs w:val="22"/>
        </w:rPr>
        <w:t>'An application for rescission is never simply an enquiry whether or not to penalise a party for his failure to follow the rules and procedures laid down for civil proceedings in our courts. The question is, rather, whether or not the explanation for the default and any accompanying conduct by the defaulter, be it wilful or negligent or otherwise, gives rise  to the probable inference that there is no bona fide defence and hence that the application for rescission is not bona fide</w:t>
      </w:r>
      <w:r w:rsidRPr="00FB6B41">
        <w:rPr>
          <w:rFonts w:ascii="Arial" w:hAnsi="Arial" w:cs="Arial"/>
        </w:rPr>
        <w:t>.'</w:t>
      </w:r>
    </w:p>
    <w:p w:rsidR="00006DD9" w:rsidRDefault="00006DD9" w:rsidP="00006DD9">
      <w:pPr>
        <w:spacing w:line="360" w:lineRule="auto"/>
        <w:jc w:val="both"/>
        <w:rPr>
          <w:rFonts w:ascii="Arial" w:hAnsi="Arial" w:cs="Arial"/>
        </w:rPr>
      </w:pPr>
    </w:p>
    <w:p w:rsidR="00006DD9" w:rsidRDefault="00006DD9" w:rsidP="00173E34">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[26]</w:t>
      </w:r>
      <w:r w:rsidR="00173E34" w:rsidRPr="00C929CE">
        <w:rPr>
          <w:rFonts w:ascii="Arial" w:hAnsi="Arial" w:cs="Arial"/>
          <w:shd w:val="clear" w:color="auto" w:fill="FFFFFF"/>
        </w:rPr>
        <w:tab/>
      </w:r>
      <w:r>
        <w:rPr>
          <w:rFonts w:ascii="Arial" w:hAnsi="Arial" w:cs="Arial"/>
          <w:shd w:val="clear" w:color="auto" w:fill="FFFFFF"/>
        </w:rPr>
        <w:t>T</w:t>
      </w:r>
      <w:r w:rsidR="00942616">
        <w:rPr>
          <w:rFonts w:ascii="Arial" w:hAnsi="Arial" w:cs="Arial"/>
          <w:shd w:val="clear" w:color="auto" w:fill="FFFFFF"/>
        </w:rPr>
        <w:t xml:space="preserve">his court </w:t>
      </w:r>
      <w:r>
        <w:rPr>
          <w:rFonts w:ascii="Arial" w:hAnsi="Arial" w:cs="Arial"/>
          <w:shd w:val="clear" w:color="auto" w:fill="FFFFFF"/>
        </w:rPr>
        <w:t xml:space="preserve">does not wish </w:t>
      </w:r>
      <w:r w:rsidR="00942616">
        <w:rPr>
          <w:rFonts w:ascii="Arial" w:hAnsi="Arial" w:cs="Arial"/>
          <w:shd w:val="clear" w:color="auto" w:fill="FFFFFF"/>
        </w:rPr>
        <w:t xml:space="preserve">to punish the plaintiff for the poor execution of his wishes on the matter when the legal practitioners appointed could not do so. Judging from the facts, the plaintiff had no willful intentions to unreasonably delay this matter before court. </w:t>
      </w:r>
    </w:p>
    <w:p w:rsidR="00006DD9" w:rsidRDefault="00006DD9" w:rsidP="00173E34">
      <w:pPr>
        <w:pStyle w:val="western"/>
        <w:shd w:val="clear" w:color="auto" w:fill="FFFFFF"/>
        <w:spacing w:before="0" w:beforeAutospacing="0" w:after="0" w:afterAutospacing="0" w:line="360" w:lineRule="auto"/>
        <w:jc w:val="both"/>
        <w:rPr>
          <w:rFonts w:ascii="Arial" w:hAnsi="Arial" w:cs="Arial"/>
          <w:shd w:val="clear" w:color="auto" w:fill="FFFFFF"/>
        </w:rPr>
      </w:pPr>
    </w:p>
    <w:p w:rsidR="00942616" w:rsidRDefault="00006DD9" w:rsidP="00173E34">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[27]</w:t>
      </w:r>
      <w:r>
        <w:rPr>
          <w:rFonts w:ascii="Arial" w:hAnsi="Arial" w:cs="Arial"/>
          <w:shd w:val="clear" w:color="auto" w:fill="FFFFFF"/>
        </w:rPr>
        <w:tab/>
      </w:r>
      <w:r w:rsidR="00942616">
        <w:rPr>
          <w:rFonts w:ascii="Arial" w:hAnsi="Arial" w:cs="Arial"/>
          <w:shd w:val="clear" w:color="auto" w:fill="FFFFFF"/>
        </w:rPr>
        <w:t>Had the legal practitioners of record and duly appointed</w:t>
      </w:r>
      <w:r w:rsidR="007B0D04">
        <w:rPr>
          <w:rFonts w:ascii="Arial" w:hAnsi="Arial" w:cs="Arial"/>
          <w:shd w:val="clear" w:color="auto" w:fill="FFFFFF"/>
        </w:rPr>
        <w:t xml:space="preserve"> as such</w:t>
      </w:r>
      <w:r w:rsidR="00942616">
        <w:rPr>
          <w:rFonts w:ascii="Arial" w:hAnsi="Arial" w:cs="Arial"/>
          <w:shd w:val="clear" w:color="auto" w:fill="FFFFFF"/>
        </w:rPr>
        <w:t xml:space="preserve"> had properly </w:t>
      </w:r>
      <w:r>
        <w:rPr>
          <w:rFonts w:ascii="Arial" w:hAnsi="Arial" w:cs="Arial"/>
          <w:shd w:val="clear" w:color="auto" w:fill="FFFFFF"/>
        </w:rPr>
        <w:t>executed</w:t>
      </w:r>
      <w:r w:rsidR="00942616">
        <w:rPr>
          <w:rFonts w:ascii="Arial" w:hAnsi="Arial" w:cs="Arial"/>
          <w:shd w:val="clear" w:color="auto" w:fill="FFFFFF"/>
        </w:rPr>
        <w:t xml:space="preserve"> their </w:t>
      </w:r>
      <w:proofErr w:type="gramStart"/>
      <w:r>
        <w:rPr>
          <w:rFonts w:ascii="Arial" w:hAnsi="Arial" w:cs="Arial"/>
          <w:shd w:val="clear" w:color="auto" w:fill="FFFFFF"/>
        </w:rPr>
        <w:t>brief</w:t>
      </w:r>
      <w:r w:rsidR="00942616">
        <w:rPr>
          <w:rFonts w:ascii="Arial" w:hAnsi="Arial" w:cs="Arial"/>
          <w:shd w:val="clear" w:color="auto" w:fill="FFFFFF"/>
        </w:rPr>
        <w:t>,</w:t>
      </w:r>
      <w:proofErr w:type="gramEnd"/>
      <w:r w:rsidR="00942616">
        <w:rPr>
          <w:rFonts w:ascii="Arial" w:hAnsi="Arial" w:cs="Arial"/>
          <w:shd w:val="clear" w:color="auto" w:fill="FFFFFF"/>
        </w:rPr>
        <w:t xml:space="preserve"> this matter would not have endured to this point and would have been</w:t>
      </w:r>
      <w:r w:rsidR="00D67B30">
        <w:rPr>
          <w:rFonts w:ascii="Arial" w:hAnsi="Arial" w:cs="Arial"/>
          <w:shd w:val="clear" w:color="auto" w:fill="FFFFFF"/>
        </w:rPr>
        <w:t xml:space="preserve"> presumably</w:t>
      </w:r>
      <w:r w:rsidR="00942616">
        <w:rPr>
          <w:rFonts w:ascii="Arial" w:hAnsi="Arial" w:cs="Arial"/>
          <w:shd w:val="clear" w:color="auto" w:fill="FFFFFF"/>
        </w:rPr>
        <w:t xml:space="preserve"> finalized by now. It must also be borne in mind that this matter involves the status of the parties and this court cannot </w:t>
      </w:r>
      <w:r w:rsidR="006716A7">
        <w:rPr>
          <w:rFonts w:ascii="Arial" w:hAnsi="Arial" w:cs="Arial"/>
          <w:shd w:val="clear" w:color="auto" w:fill="FFFFFF"/>
        </w:rPr>
        <w:t>do injustice to a party wherein the default in any nature is not of his or her own doing.</w:t>
      </w:r>
    </w:p>
    <w:p w:rsidR="00317AE3" w:rsidRDefault="00317AE3" w:rsidP="00173E34">
      <w:pPr>
        <w:pStyle w:val="western"/>
        <w:shd w:val="clear" w:color="auto" w:fill="FFFFFF"/>
        <w:spacing w:before="0" w:beforeAutospacing="0" w:after="0" w:afterAutospacing="0" w:line="360" w:lineRule="auto"/>
        <w:jc w:val="both"/>
        <w:rPr>
          <w:rFonts w:ascii="Arial" w:hAnsi="Arial" w:cs="Arial"/>
          <w:shd w:val="clear" w:color="auto" w:fill="FFFFFF"/>
        </w:rPr>
      </w:pPr>
    </w:p>
    <w:p w:rsidR="00942616" w:rsidRDefault="00942616" w:rsidP="00173E34">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[28]</w:t>
      </w:r>
      <w:r>
        <w:rPr>
          <w:rFonts w:ascii="Arial" w:hAnsi="Arial" w:cs="Arial"/>
          <w:shd w:val="clear" w:color="auto" w:fill="FFFFFF"/>
        </w:rPr>
        <w:tab/>
      </w:r>
      <w:r w:rsidR="00173E34" w:rsidRPr="00C929CE">
        <w:rPr>
          <w:rFonts w:ascii="Arial" w:hAnsi="Arial" w:cs="Arial"/>
          <w:shd w:val="clear" w:color="auto" w:fill="FFFFFF"/>
        </w:rPr>
        <w:t xml:space="preserve">My order is therefore as follows: </w:t>
      </w:r>
    </w:p>
    <w:p w:rsidR="00ED31FC" w:rsidRDefault="00ED31FC" w:rsidP="00173E34">
      <w:pPr>
        <w:pStyle w:val="western"/>
        <w:shd w:val="clear" w:color="auto" w:fill="FFFFFF"/>
        <w:spacing w:before="0" w:beforeAutospacing="0" w:after="0" w:afterAutospacing="0" w:line="360" w:lineRule="auto"/>
        <w:jc w:val="both"/>
        <w:rPr>
          <w:rFonts w:ascii="Arial" w:hAnsi="Arial" w:cs="Arial"/>
          <w:shd w:val="clear" w:color="auto" w:fill="FFFFFF"/>
        </w:rPr>
      </w:pPr>
    </w:p>
    <w:p w:rsidR="00942616" w:rsidRDefault="00942616" w:rsidP="00D17D17">
      <w:pPr>
        <w:pStyle w:val="western"/>
        <w:numPr>
          <w:ilvl w:val="0"/>
          <w:numId w:val="4"/>
        </w:numPr>
        <w:shd w:val="clear" w:color="auto" w:fill="FFFFFF"/>
        <w:spacing w:before="0" w:beforeAutospacing="0" w:after="0" w:afterAutospacing="0" w:line="360" w:lineRule="auto"/>
        <w:ind w:hanging="720"/>
        <w:jc w:val="both"/>
        <w:rPr>
          <w:rFonts w:ascii="Arial" w:hAnsi="Arial" w:cs="Arial"/>
          <w:shd w:val="clear" w:color="auto" w:fill="FFFFFF"/>
        </w:rPr>
      </w:pPr>
      <w:r>
        <w:rPr>
          <w:rFonts w:ascii="Arial" w:hAnsi="Arial" w:cs="Arial"/>
          <w:shd w:val="clear" w:color="auto" w:fill="FFFFFF"/>
        </w:rPr>
        <w:t>Application for condonation of the late filing of rule 32 (10) report and notice of representation is granted</w:t>
      </w:r>
      <w:r w:rsidR="00317AE3">
        <w:rPr>
          <w:rFonts w:ascii="Arial" w:hAnsi="Arial" w:cs="Arial"/>
          <w:shd w:val="clear" w:color="auto" w:fill="FFFFFF"/>
        </w:rPr>
        <w:t>.</w:t>
      </w:r>
    </w:p>
    <w:p w:rsidR="00D17D17" w:rsidRPr="00317AE3" w:rsidRDefault="00D17D17" w:rsidP="00D17D17">
      <w:pPr>
        <w:pStyle w:val="western"/>
        <w:shd w:val="clear" w:color="auto" w:fill="FFFFFF"/>
        <w:spacing w:before="0" w:beforeAutospacing="0" w:after="0" w:afterAutospacing="0" w:line="360" w:lineRule="auto"/>
        <w:ind w:left="720"/>
        <w:jc w:val="both"/>
        <w:rPr>
          <w:rFonts w:ascii="Arial" w:hAnsi="Arial" w:cs="Arial"/>
          <w:shd w:val="clear" w:color="auto" w:fill="FFFFFF"/>
        </w:rPr>
      </w:pPr>
    </w:p>
    <w:p w:rsidR="003C0AA0" w:rsidRDefault="003C0AA0" w:rsidP="00D17D17">
      <w:pPr>
        <w:pStyle w:val="western"/>
        <w:numPr>
          <w:ilvl w:val="0"/>
          <w:numId w:val="4"/>
        </w:numPr>
        <w:shd w:val="clear" w:color="auto" w:fill="FFFFFF"/>
        <w:spacing w:before="0" w:beforeAutospacing="0" w:after="0" w:afterAutospacing="0" w:line="360" w:lineRule="auto"/>
        <w:ind w:hanging="720"/>
        <w:jc w:val="both"/>
        <w:rPr>
          <w:rFonts w:ascii="Arial" w:hAnsi="Arial" w:cs="Arial"/>
          <w:shd w:val="clear" w:color="auto" w:fill="FFFFFF"/>
        </w:rPr>
      </w:pPr>
      <w:r>
        <w:rPr>
          <w:rFonts w:ascii="Arial" w:hAnsi="Arial" w:cs="Arial"/>
          <w:shd w:val="clear" w:color="auto" w:fill="FFFFFF"/>
        </w:rPr>
        <w:t>Application for rescission of the court order (restitution of conjugal rights) dated 16 November 2017 is granted and Plaintiff is allowed to defend the defendant’s claim.</w:t>
      </w:r>
    </w:p>
    <w:p w:rsidR="00D17D17" w:rsidRDefault="00D17D17" w:rsidP="00D17D17">
      <w:pPr>
        <w:pStyle w:val="western"/>
        <w:shd w:val="clear" w:color="auto" w:fill="FFFFFF"/>
        <w:spacing w:before="0" w:beforeAutospacing="0" w:after="0" w:afterAutospacing="0" w:line="360" w:lineRule="auto"/>
        <w:jc w:val="both"/>
        <w:rPr>
          <w:rFonts w:ascii="Arial" w:hAnsi="Arial" w:cs="Arial"/>
          <w:shd w:val="clear" w:color="auto" w:fill="FFFFFF"/>
        </w:rPr>
      </w:pPr>
    </w:p>
    <w:p w:rsidR="003C0AA0" w:rsidRDefault="003C0AA0" w:rsidP="00D17D17">
      <w:pPr>
        <w:pStyle w:val="western"/>
        <w:numPr>
          <w:ilvl w:val="0"/>
          <w:numId w:val="4"/>
        </w:numPr>
        <w:shd w:val="clear" w:color="auto" w:fill="FFFFFF"/>
        <w:spacing w:before="0" w:beforeAutospacing="0" w:after="0" w:afterAutospacing="0" w:line="360" w:lineRule="auto"/>
        <w:ind w:hanging="720"/>
        <w:jc w:val="both"/>
        <w:rPr>
          <w:rFonts w:ascii="Arial" w:hAnsi="Arial" w:cs="Arial"/>
          <w:shd w:val="clear" w:color="auto" w:fill="FFFFFF"/>
        </w:rPr>
      </w:pPr>
      <w:r>
        <w:rPr>
          <w:rFonts w:ascii="Arial" w:hAnsi="Arial" w:cs="Arial"/>
          <w:shd w:val="clear" w:color="auto" w:fill="FFFFFF"/>
        </w:rPr>
        <w:t xml:space="preserve">Application for rescission of court order dated 26 October 2017 dismissing Plaintiff’s claim is granted and Plaintiff is allowed to proceed with his claim against the Defendant. </w:t>
      </w:r>
    </w:p>
    <w:p w:rsidR="00ED31FC" w:rsidRDefault="00ED31FC" w:rsidP="00ED31FC">
      <w:pPr>
        <w:pStyle w:val="western"/>
        <w:shd w:val="clear" w:color="auto" w:fill="FFFFFF"/>
        <w:spacing w:before="0" w:beforeAutospacing="0" w:after="0" w:afterAutospacing="0" w:line="360" w:lineRule="auto"/>
        <w:ind w:left="360"/>
        <w:jc w:val="both"/>
        <w:rPr>
          <w:rFonts w:ascii="Arial" w:hAnsi="Arial" w:cs="Arial"/>
          <w:shd w:val="clear" w:color="auto" w:fill="FFFFFF"/>
        </w:rPr>
      </w:pPr>
    </w:p>
    <w:p w:rsidR="00173E34" w:rsidRPr="00C929CE" w:rsidRDefault="00173E34" w:rsidP="00ED31FC">
      <w:pPr>
        <w:pStyle w:val="western"/>
        <w:shd w:val="clear" w:color="auto" w:fill="FFFFFF"/>
        <w:spacing w:before="144" w:beforeAutospacing="0" w:after="0" w:afterAutospacing="0"/>
        <w:jc w:val="right"/>
        <w:rPr>
          <w:rFonts w:ascii="Arial" w:hAnsi="Arial" w:cs="Arial"/>
          <w:shd w:val="clear" w:color="auto" w:fill="FFFFFF"/>
        </w:rPr>
      </w:pPr>
      <w:r w:rsidRPr="00C929CE">
        <w:rPr>
          <w:rFonts w:ascii="Arial" w:hAnsi="Arial" w:cs="Arial"/>
          <w:shd w:val="clear" w:color="auto" w:fill="FFFFFF"/>
        </w:rPr>
        <w:t>______________________</w:t>
      </w:r>
    </w:p>
    <w:p w:rsidR="00173E34" w:rsidRPr="00C929CE" w:rsidRDefault="00ED31FC" w:rsidP="00ED31FC">
      <w:pPr>
        <w:pStyle w:val="western"/>
        <w:shd w:val="clear" w:color="auto" w:fill="FFFFFF"/>
        <w:spacing w:before="144" w:beforeAutospacing="0" w:after="0" w:afterAutospacing="0"/>
        <w:jc w:val="right"/>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00173E34" w:rsidRPr="00C929CE">
        <w:rPr>
          <w:rFonts w:ascii="Arial" w:hAnsi="Arial" w:cs="Arial"/>
          <w:shd w:val="clear" w:color="auto" w:fill="FFFFFF"/>
        </w:rPr>
        <w:tab/>
      </w:r>
      <w:r w:rsidR="00173E34" w:rsidRPr="00C929CE">
        <w:rPr>
          <w:rFonts w:ascii="Arial" w:hAnsi="Arial" w:cs="Arial"/>
          <w:shd w:val="clear" w:color="auto" w:fill="FFFFFF"/>
        </w:rPr>
        <w:tab/>
        <w:t>JS Prinsloo</w:t>
      </w:r>
    </w:p>
    <w:p w:rsidR="00173E34" w:rsidRPr="00C929CE" w:rsidRDefault="00173E34" w:rsidP="00ED31FC">
      <w:pPr>
        <w:pStyle w:val="western"/>
        <w:shd w:val="clear" w:color="auto" w:fill="FFFFFF"/>
        <w:spacing w:before="144" w:beforeAutospacing="0" w:after="0" w:afterAutospacing="0"/>
        <w:jc w:val="right"/>
        <w:rPr>
          <w:rFonts w:ascii="Arial" w:hAnsi="Arial" w:cs="Arial"/>
          <w:shd w:val="clear" w:color="auto" w:fill="FFFFFF"/>
        </w:rPr>
      </w:pP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r>
      <w:r w:rsidRPr="00C929CE">
        <w:rPr>
          <w:rFonts w:ascii="Arial" w:hAnsi="Arial" w:cs="Arial"/>
          <w:shd w:val="clear" w:color="auto" w:fill="FFFFFF"/>
        </w:rPr>
        <w:tab/>
        <w:t>Judge</w:t>
      </w:r>
    </w:p>
    <w:p w:rsidR="00173E34" w:rsidRDefault="00173E34"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Default="00DC40BD" w:rsidP="00173E34">
      <w:pPr>
        <w:spacing w:line="360" w:lineRule="auto"/>
        <w:rPr>
          <w:rFonts w:ascii="Arial" w:hAnsi="Arial" w:cs="Arial"/>
          <w:lang w:val="en-US"/>
        </w:rPr>
      </w:pPr>
    </w:p>
    <w:p w:rsidR="00DC40BD" w:rsidRPr="00C929CE" w:rsidRDefault="00DC40BD" w:rsidP="00173E34">
      <w:pPr>
        <w:spacing w:line="360" w:lineRule="auto"/>
        <w:rPr>
          <w:rFonts w:ascii="Arial" w:hAnsi="Arial" w:cs="Arial"/>
          <w:lang w:val="en-US"/>
        </w:rPr>
      </w:pPr>
    </w:p>
    <w:p w:rsidR="00ED31FC" w:rsidRDefault="00ED31FC" w:rsidP="00173E34">
      <w:pPr>
        <w:spacing w:line="360" w:lineRule="auto"/>
        <w:jc w:val="both"/>
        <w:rPr>
          <w:rFonts w:ascii="Arial" w:hAnsi="Arial" w:cs="Arial"/>
          <w:lang w:val="en-US"/>
        </w:rPr>
      </w:pPr>
    </w:p>
    <w:p w:rsidR="00173E34" w:rsidRPr="00C929CE" w:rsidRDefault="00A00C6F" w:rsidP="00173E34">
      <w:pPr>
        <w:spacing w:line="360" w:lineRule="auto"/>
        <w:jc w:val="both"/>
        <w:rPr>
          <w:rFonts w:ascii="Arial" w:hAnsi="Arial" w:cs="Arial"/>
          <w:lang w:val="en-US"/>
        </w:rPr>
      </w:pPr>
      <w:r>
        <w:rPr>
          <w:rFonts w:ascii="Arial" w:hAnsi="Arial" w:cs="Arial"/>
          <w:lang w:val="en-US"/>
        </w:rPr>
        <w:t>A</w:t>
      </w:r>
      <w:r w:rsidR="00173E34" w:rsidRPr="00C929CE">
        <w:rPr>
          <w:rFonts w:ascii="Arial" w:hAnsi="Arial" w:cs="Arial"/>
          <w:lang w:val="en-US"/>
        </w:rPr>
        <w:t>PPEARANCES:</w:t>
      </w:r>
    </w:p>
    <w:p w:rsidR="00173E34" w:rsidRPr="00C929CE" w:rsidRDefault="00173E34" w:rsidP="00173E34">
      <w:pPr>
        <w:spacing w:line="360" w:lineRule="auto"/>
        <w:jc w:val="both"/>
        <w:rPr>
          <w:rFonts w:ascii="Arial" w:hAnsi="Arial" w:cs="Arial"/>
          <w:lang w:val="en-US"/>
        </w:rPr>
      </w:pPr>
    </w:p>
    <w:p w:rsidR="00D17D17" w:rsidRDefault="00A00C6F" w:rsidP="00173E34">
      <w:pPr>
        <w:spacing w:line="360" w:lineRule="auto"/>
        <w:jc w:val="both"/>
        <w:rPr>
          <w:rFonts w:ascii="Arial" w:hAnsi="Arial" w:cs="Arial"/>
          <w:lang w:val="en-US"/>
        </w:rPr>
      </w:pPr>
      <w:r>
        <w:rPr>
          <w:rFonts w:ascii="Arial" w:hAnsi="Arial" w:cs="Arial"/>
          <w:lang w:val="en-US"/>
        </w:rPr>
        <w:t>PLAINTIFF</w:t>
      </w:r>
      <w:r w:rsidR="00173E34" w:rsidRPr="00C929CE">
        <w:rPr>
          <w:rFonts w:ascii="Arial" w:hAnsi="Arial" w:cs="Arial"/>
          <w:lang w:val="en-US"/>
        </w:rPr>
        <w:t>:</w:t>
      </w:r>
      <w:r w:rsidR="00173E34" w:rsidRPr="00C929CE">
        <w:rPr>
          <w:rFonts w:ascii="Arial" w:hAnsi="Arial" w:cs="Arial"/>
          <w:lang w:val="en-US"/>
        </w:rPr>
        <w:tab/>
      </w:r>
      <w:r w:rsidR="00D17D17">
        <w:rPr>
          <w:rFonts w:ascii="Arial" w:hAnsi="Arial" w:cs="Arial"/>
          <w:lang w:val="en-US"/>
        </w:rPr>
        <w:tab/>
      </w:r>
      <w:r w:rsidR="00D17D17">
        <w:rPr>
          <w:rFonts w:ascii="Arial" w:hAnsi="Arial" w:cs="Arial"/>
          <w:lang w:val="en-US"/>
        </w:rPr>
        <w:tab/>
      </w:r>
      <w:r w:rsidR="00D17D17">
        <w:rPr>
          <w:rFonts w:ascii="Arial" w:hAnsi="Arial" w:cs="Arial"/>
          <w:lang w:val="en-US"/>
        </w:rPr>
        <w:tab/>
      </w:r>
      <w:r>
        <w:rPr>
          <w:rFonts w:ascii="Arial" w:hAnsi="Arial" w:cs="Arial"/>
          <w:lang w:val="en-US"/>
        </w:rPr>
        <w:t>A D H</w:t>
      </w:r>
      <w:r w:rsidR="00D17D17">
        <w:rPr>
          <w:rFonts w:ascii="Arial" w:hAnsi="Arial" w:cs="Arial"/>
          <w:lang w:val="en-US"/>
        </w:rPr>
        <w:t>ans</w:t>
      </w:r>
      <w:r>
        <w:rPr>
          <w:rFonts w:ascii="Arial" w:hAnsi="Arial" w:cs="Arial"/>
          <w:lang w:val="en-US"/>
        </w:rPr>
        <w:t>-</w:t>
      </w:r>
      <w:proofErr w:type="spellStart"/>
      <w:r>
        <w:rPr>
          <w:rFonts w:ascii="Arial" w:hAnsi="Arial" w:cs="Arial"/>
          <w:lang w:val="en-US"/>
        </w:rPr>
        <w:t>K</w:t>
      </w:r>
      <w:r w:rsidR="00D17D17">
        <w:rPr>
          <w:rFonts w:ascii="Arial" w:hAnsi="Arial" w:cs="Arial"/>
          <w:lang w:val="en-US"/>
        </w:rPr>
        <w:t>aumbi</w:t>
      </w:r>
      <w:proofErr w:type="spellEnd"/>
    </w:p>
    <w:p w:rsidR="00173E34" w:rsidRPr="00C929CE" w:rsidRDefault="00D17D17" w:rsidP="00D17D17">
      <w:pPr>
        <w:spacing w:line="360" w:lineRule="auto"/>
        <w:ind w:left="2880" w:firstLine="720"/>
        <w:jc w:val="both"/>
        <w:rPr>
          <w:rFonts w:ascii="Arial" w:hAnsi="Arial" w:cs="Arial"/>
          <w:lang w:val="en-US"/>
        </w:rPr>
      </w:pPr>
      <w:proofErr w:type="gramStart"/>
      <w:r>
        <w:rPr>
          <w:rFonts w:ascii="Arial" w:hAnsi="Arial" w:cs="Arial"/>
          <w:lang w:val="en-US"/>
        </w:rPr>
        <w:t>of</w:t>
      </w:r>
      <w:proofErr w:type="gramEnd"/>
      <w:r>
        <w:rPr>
          <w:rFonts w:ascii="Arial" w:hAnsi="Arial" w:cs="Arial"/>
          <w:lang w:val="en-US"/>
        </w:rPr>
        <w:t xml:space="preserve"> </w:t>
      </w:r>
      <w:proofErr w:type="spellStart"/>
      <w:r w:rsidR="00A00C6F">
        <w:rPr>
          <w:rFonts w:ascii="Arial" w:hAnsi="Arial" w:cs="Arial"/>
          <w:lang w:val="en-US"/>
        </w:rPr>
        <w:t>Ueitele</w:t>
      </w:r>
      <w:proofErr w:type="spellEnd"/>
      <w:r w:rsidR="00A00C6F">
        <w:rPr>
          <w:rFonts w:ascii="Arial" w:hAnsi="Arial" w:cs="Arial"/>
          <w:lang w:val="en-US"/>
        </w:rPr>
        <w:t xml:space="preserve"> &amp; Hans Inc.</w:t>
      </w:r>
      <w:r>
        <w:rPr>
          <w:rFonts w:ascii="Arial" w:hAnsi="Arial" w:cs="Arial"/>
          <w:lang w:val="en-US"/>
        </w:rPr>
        <w:t>, Windhoek</w:t>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p>
    <w:p w:rsidR="00173E34" w:rsidRPr="00C929CE" w:rsidRDefault="00173E34" w:rsidP="00173E34">
      <w:pPr>
        <w:spacing w:line="360" w:lineRule="auto"/>
        <w:rPr>
          <w:rFonts w:ascii="Arial" w:hAnsi="Arial" w:cs="Arial"/>
          <w:lang w:val="en-US"/>
        </w:rPr>
      </w:pPr>
    </w:p>
    <w:p w:rsidR="00D17D17" w:rsidRDefault="00A00C6F" w:rsidP="00D17D17">
      <w:pPr>
        <w:spacing w:line="360" w:lineRule="auto"/>
        <w:rPr>
          <w:rFonts w:ascii="Arial" w:hAnsi="Arial" w:cs="Arial"/>
          <w:lang w:val="en-US"/>
        </w:rPr>
      </w:pPr>
      <w:r>
        <w:rPr>
          <w:rFonts w:ascii="Arial" w:hAnsi="Arial" w:cs="Arial"/>
          <w:lang w:val="en-US"/>
        </w:rPr>
        <w:t>DEFENDANTS</w:t>
      </w:r>
      <w:r w:rsidR="00173E34" w:rsidRPr="00C929CE">
        <w:rPr>
          <w:rFonts w:ascii="Arial" w:hAnsi="Arial" w:cs="Arial"/>
          <w:lang w:val="en-US"/>
        </w:rPr>
        <w:t>:</w:t>
      </w:r>
      <w:r w:rsidR="00D17D17">
        <w:rPr>
          <w:rFonts w:ascii="Arial" w:hAnsi="Arial" w:cs="Arial"/>
          <w:lang w:val="en-US"/>
        </w:rPr>
        <w:tab/>
      </w:r>
      <w:r w:rsidR="00D17D17">
        <w:rPr>
          <w:rFonts w:ascii="Arial" w:hAnsi="Arial" w:cs="Arial"/>
          <w:lang w:val="en-US"/>
        </w:rPr>
        <w:tab/>
      </w:r>
      <w:r w:rsidR="00D17D17">
        <w:rPr>
          <w:rFonts w:ascii="Arial" w:hAnsi="Arial" w:cs="Arial"/>
          <w:lang w:val="en-US"/>
        </w:rPr>
        <w:tab/>
      </w:r>
      <w:r>
        <w:rPr>
          <w:rFonts w:ascii="Arial" w:hAnsi="Arial" w:cs="Arial"/>
          <w:lang w:val="en-US"/>
        </w:rPr>
        <w:t xml:space="preserve">A </w:t>
      </w:r>
      <w:proofErr w:type="spellStart"/>
      <w:r>
        <w:rPr>
          <w:rFonts w:ascii="Arial" w:hAnsi="Arial" w:cs="Arial"/>
          <w:lang w:val="en-US"/>
        </w:rPr>
        <w:t>J</w:t>
      </w:r>
      <w:r w:rsidR="00D17D17">
        <w:rPr>
          <w:rFonts w:ascii="Arial" w:hAnsi="Arial" w:cs="Arial"/>
          <w:lang w:val="en-US"/>
        </w:rPr>
        <w:t>antjies</w:t>
      </w:r>
      <w:proofErr w:type="spellEnd"/>
    </w:p>
    <w:p w:rsidR="00173E34" w:rsidRPr="00C929CE" w:rsidRDefault="00D17D17" w:rsidP="00D17D17">
      <w:pPr>
        <w:spacing w:line="360" w:lineRule="auto"/>
        <w:ind w:left="2880" w:firstLine="720"/>
        <w:rPr>
          <w:rFonts w:ascii="Arial" w:hAnsi="Arial" w:cs="Arial"/>
          <w:lang w:val="en-US"/>
        </w:rPr>
      </w:pPr>
      <w:proofErr w:type="gramStart"/>
      <w:r>
        <w:rPr>
          <w:rFonts w:ascii="Arial" w:hAnsi="Arial" w:cs="Arial"/>
          <w:lang w:val="en-US"/>
        </w:rPr>
        <w:t>of</w:t>
      </w:r>
      <w:proofErr w:type="gramEnd"/>
      <w:r>
        <w:rPr>
          <w:rFonts w:ascii="Arial" w:hAnsi="Arial" w:cs="Arial"/>
          <w:lang w:val="en-US"/>
        </w:rPr>
        <w:t xml:space="preserve"> </w:t>
      </w:r>
      <w:proofErr w:type="spellStart"/>
      <w:r w:rsidR="00A00C6F">
        <w:rPr>
          <w:rFonts w:ascii="Arial" w:hAnsi="Arial" w:cs="Arial"/>
          <w:lang w:val="en-US"/>
        </w:rPr>
        <w:t>Siyomunji</w:t>
      </w:r>
      <w:proofErr w:type="spellEnd"/>
      <w:r w:rsidR="00A00C6F">
        <w:rPr>
          <w:rFonts w:ascii="Arial" w:hAnsi="Arial" w:cs="Arial"/>
          <w:lang w:val="en-US"/>
        </w:rPr>
        <w:t xml:space="preserve"> Law Chambers</w:t>
      </w:r>
      <w:r>
        <w:rPr>
          <w:rFonts w:ascii="Arial" w:hAnsi="Arial" w:cs="Arial"/>
          <w:lang w:val="en-US"/>
        </w:rPr>
        <w:t>, Windhoek</w:t>
      </w:r>
      <w:r w:rsidR="00173E34" w:rsidRPr="00C929CE">
        <w:rPr>
          <w:rFonts w:ascii="Arial" w:hAnsi="Arial" w:cs="Arial"/>
          <w:lang w:val="en-US"/>
        </w:rPr>
        <w:tab/>
      </w:r>
      <w:r w:rsidR="00173E34" w:rsidRPr="00C929CE">
        <w:rPr>
          <w:rFonts w:ascii="Arial" w:hAnsi="Arial" w:cs="Arial"/>
          <w:lang w:val="en-US"/>
        </w:rPr>
        <w:tab/>
      </w:r>
      <w:bookmarkStart w:id="0" w:name="_GoBack"/>
      <w:bookmarkEnd w:id="0"/>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r>
      <w:r w:rsidR="00173E34" w:rsidRPr="00C929CE">
        <w:rPr>
          <w:rFonts w:ascii="Arial" w:hAnsi="Arial" w:cs="Arial"/>
          <w:lang w:val="en-US"/>
        </w:rPr>
        <w:tab/>
        <w:t xml:space="preserve">   </w:t>
      </w:r>
    </w:p>
    <w:p w:rsidR="00245F8C" w:rsidRDefault="00245F8C"/>
    <w:sectPr w:rsidR="00245F8C" w:rsidSect="00B9089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CC" w:rsidRDefault="009723CC" w:rsidP="00173E34">
      <w:r>
        <w:separator/>
      </w:r>
    </w:p>
  </w:endnote>
  <w:endnote w:type="continuationSeparator" w:id="0">
    <w:p w:rsidR="009723CC" w:rsidRDefault="009723CC" w:rsidP="0017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CC" w:rsidRDefault="009723CC" w:rsidP="00173E34">
      <w:r>
        <w:separator/>
      </w:r>
    </w:p>
  </w:footnote>
  <w:footnote w:type="continuationSeparator" w:id="0">
    <w:p w:rsidR="009723CC" w:rsidRDefault="009723CC" w:rsidP="00173E34">
      <w:r>
        <w:continuationSeparator/>
      </w:r>
    </w:p>
  </w:footnote>
  <w:footnote w:id="1">
    <w:p w:rsidR="008D4CB4" w:rsidRPr="008C66AC" w:rsidRDefault="008D4CB4" w:rsidP="00D17D17">
      <w:pPr>
        <w:pStyle w:val="FootnoteText"/>
        <w:jc w:val="both"/>
        <w:rPr>
          <w:rFonts w:ascii="Arial" w:hAnsi="Arial" w:cs="Arial"/>
          <w:lang w:val="en-US"/>
        </w:rPr>
      </w:pPr>
      <w:r w:rsidRPr="008C66AC">
        <w:rPr>
          <w:rStyle w:val="FootnoteReference"/>
          <w:rFonts w:ascii="Arial" w:hAnsi="Arial" w:cs="Arial"/>
        </w:rPr>
        <w:footnoteRef/>
      </w:r>
      <w:r w:rsidRPr="008C66AC">
        <w:rPr>
          <w:rFonts w:ascii="Arial" w:hAnsi="Arial" w:cs="Arial"/>
        </w:rPr>
        <w:t xml:space="preserve"> </w:t>
      </w:r>
      <w:r w:rsidRPr="008C66AC">
        <w:rPr>
          <w:rFonts w:ascii="Arial" w:hAnsi="Arial" w:cs="Arial"/>
          <w:lang w:val="en-US"/>
        </w:rPr>
        <w:t>Through court order dated 1 March 2018.</w:t>
      </w:r>
    </w:p>
  </w:footnote>
  <w:footnote w:id="2">
    <w:p w:rsidR="00645A00" w:rsidRPr="008C66AC" w:rsidRDefault="00645A00" w:rsidP="00D17D17">
      <w:pPr>
        <w:pStyle w:val="FootnoteText"/>
        <w:jc w:val="both"/>
        <w:rPr>
          <w:rFonts w:ascii="Arial" w:hAnsi="Arial" w:cs="Arial"/>
          <w:lang w:val="en-US"/>
        </w:rPr>
      </w:pPr>
      <w:r w:rsidRPr="008C66AC">
        <w:rPr>
          <w:rStyle w:val="FootnoteReference"/>
          <w:rFonts w:ascii="Arial" w:hAnsi="Arial" w:cs="Arial"/>
        </w:rPr>
        <w:footnoteRef/>
      </w:r>
      <w:r w:rsidRPr="008C66AC">
        <w:rPr>
          <w:rFonts w:ascii="Arial" w:hAnsi="Arial" w:cs="Arial"/>
        </w:rPr>
        <w:t xml:space="preserve"> </w:t>
      </w:r>
      <w:proofErr w:type="spellStart"/>
      <w:r w:rsidRPr="00BA020F">
        <w:rPr>
          <w:rFonts w:ascii="Arial" w:hAnsi="Arial" w:cs="Arial"/>
          <w:i/>
        </w:rPr>
        <w:t>Neuman</w:t>
      </w:r>
      <w:proofErr w:type="spellEnd"/>
      <w:r w:rsidRPr="00BA020F">
        <w:rPr>
          <w:rFonts w:ascii="Arial" w:hAnsi="Arial" w:cs="Arial"/>
          <w:i/>
        </w:rPr>
        <w:t xml:space="preserve"> (Pty) Ltd v Marks</w:t>
      </w:r>
      <w:r>
        <w:rPr>
          <w:rFonts w:ascii="Arial" w:hAnsi="Arial" w:cs="Arial"/>
          <w:i/>
        </w:rPr>
        <w:t xml:space="preserve"> </w:t>
      </w:r>
      <w:r w:rsidRPr="008C66AC">
        <w:rPr>
          <w:rFonts w:ascii="Arial" w:hAnsi="Arial" w:cs="Arial"/>
          <w:lang w:val="en-US"/>
        </w:rPr>
        <w:t>1960 (2) 170 S.R. at pg. 173A-B</w:t>
      </w:r>
      <w:r>
        <w:rPr>
          <w:rFonts w:ascii="Arial" w:hAnsi="Arial" w:cs="Arial"/>
          <w:lang w:val="en-US"/>
        </w:rPr>
        <w:t>:</w:t>
      </w:r>
    </w:p>
    <w:p w:rsidR="00645A00" w:rsidRPr="008C66AC" w:rsidRDefault="00645A00" w:rsidP="00D17D17">
      <w:pPr>
        <w:jc w:val="both"/>
        <w:rPr>
          <w:rFonts w:ascii="Arial" w:hAnsi="Arial" w:cs="Arial"/>
          <w:lang w:val="en-US"/>
        </w:rPr>
      </w:pPr>
      <w:r w:rsidRPr="00616D32">
        <w:rPr>
          <w:rFonts w:ascii="Arial" w:hAnsi="Arial" w:cs="Arial"/>
          <w:sz w:val="20"/>
          <w:szCs w:val="20"/>
        </w:rPr>
        <w:t>“The true test, to my mind, is whether the default is a deliberate one – i.e. when a defendant with full knowledge of the set down and of the risks attendant on his default, freely takes a decision to refrain from appearing”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26003"/>
      <w:docPartObj>
        <w:docPartGallery w:val="Page Numbers (Top of Page)"/>
        <w:docPartUnique/>
      </w:docPartObj>
    </w:sdtPr>
    <w:sdtEndPr>
      <w:rPr>
        <w:noProof/>
      </w:rPr>
    </w:sdtEndPr>
    <w:sdtContent>
      <w:p w:rsidR="00B9089D" w:rsidRDefault="00976FA4">
        <w:pPr>
          <w:pStyle w:val="Header"/>
          <w:jc w:val="right"/>
        </w:pPr>
        <w:r>
          <w:fldChar w:fldCharType="begin"/>
        </w:r>
        <w:r>
          <w:instrText xml:space="preserve"> PAGE   \* MERGEFORMAT </w:instrText>
        </w:r>
        <w:r>
          <w:fldChar w:fldCharType="separate"/>
        </w:r>
        <w:r w:rsidR="00D17D17">
          <w:rPr>
            <w:noProof/>
          </w:rPr>
          <w:t>13</w:t>
        </w:r>
        <w:r>
          <w:rPr>
            <w:noProof/>
          </w:rPr>
          <w:fldChar w:fldCharType="end"/>
        </w:r>
      </w:p>
    </w:sdtContent>
  </w:sdt>
  <w:p w:rsidR="00B9089D" w:rsidRDefault="00972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35"/>
    <w:multiLevelType w:val="hybridMultilevel"/>
    <w:tmpl w:val="DD0A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622E9"/>
    <w:multiLevelType w:val="hybridMultilevel"/>
    <w:tmpl w:val="3DFC5A60"/>
    <w:lvl w:ilvl="0" w:tplc="89EE10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D17D8"/>
    <w:multiLevelType w:val="hybridMultilevel"/>
    <w:tmpl w:val="8028F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721B3"/>
    <w:multiLevelType w:val="hybridMultilevel"/>
    <w:tmpl w:val="8028F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34"/>
    <w:rsid w:val="00006DD9"/>
    <w:rsid w:val="000223D3"/>
    <w:rsid w:val="000569CE"/>
    <w:rsid w:val="00064C6A"/>
    <w:rsid w:val="000833F3"/>
    <w:rsid w:val="000B716A"/>
    <w:rsid w:val="0013690A"/>
    <w:rsid w:val="00173E34"/>
    <w:rsid w:val="001979CB"/>
    <w:rsid w:val="001D3CB4"/>
    <w:rsid w:val="001F2B7F"/>
    <w:rsid w:val="002001C5"/>
    <w:rsid w:val="00216DFE"/>
    <w:rsid w:val="0022547D"/>
    <w:rsid w:val="00245F8C"/>
    <w:rsid w:val="00246E41"/>
    <w:rsid w:val="002515E1"/>
    <w:rsid w:val="002B3516"/>
    <w:rsid w:val="00307C48"/>
    <w:rsid w:val="00317502"/>
    <w:rsid w:val="00317AE3"/>
    <w:rsid w:val="00340D27"/>
    <w:rsid w:val="0034493E"/>
    <w:rsid w:val="00361EF6"/>
    <w:rsid w:val="00362F5C"/>
    <w:rsid w:val="00395E61"/>
    <w:rsid w:val="003A6748"/>
    <w:rsid w:val="003C0AA0"/>
    <w:rsid w:val="003F2634"/>
    <w:rsid w:val="0046222E"/>
    <w:rsid w:val="00476163"/>
    <w:rsid w:val="00482760"/>
    <w:rsid w:val="00496056"/>
    <w:rsid w:val="004B4BE7"/>
    <w:rsid w:val="004C56C8"/>
    <w:rsid w:val="004D1040"/>
    <w:rsid w:val="004F25FE"/>
    <w:rsid w:val="00502520"/>
    <w:rsid w:val="00530F27"/>
    <w:rsid w:val="005421A8"/>
    <w:rsid w:val="005475FD"/>
    <w:rsid w:val="005C690E"/>
    <w:rsid w:val="00616D32"/>
    <w:rsid w:val="00632DF8"/>
    <w:rsid w:val="00645A00"/>
    <w:rsid w:val="006716A7"/>
    <w:rsid w:val="00691147"/>
    <w:rsid w:val="006E4C5A"/>
    <w:rsid w:val="006E7D2E"/>
    <w:rsid w:val="007147D6"/>
    <w:rsid w:val="00717AD6"/>
    <w:rsid w:val="00721431"/>
    <w:rsid w:val="00750F50"/>
    <w:rsid w:val="007663E3"/>
    <w:rsid w:val="0078124E"/>
    <w:rsid w:val="0078282C"/>
    <w:rsid w:val="00792B27"/>
    <w:rsid w:val="007B0D04"/>
    <w:rsid w:val="007B1B6F"/>
    <w:rsid w:val="007E4FA5"/>
    <w:rsid w:val="007F7EB7"/>
    <w:rsid w:val="00802D02"/>
    <w:rsid w:val="00803C70"/>
    <w:rsid w:val="00814076"/>
    <w:rsid w:val="00815E86"/>
    <w:rsid w:val="00884FDC"/>
    <w:rsid w:val="00887049"/>
    <w:rsid w:val="00891AD9"/>
    <w:rsid w:val="00892364"/>
    <w:rsid w:val="008A7FF6"/>
    <w:rsid w:val="008B3241"/>
    <w:rsid w:val="008C66AC"/>
    <w:rsid w:val="008D4CB4"/>
    <w:rsid w:val="00911C40"/>
    <w:rsid w:val="00942616"/>
    <w:rsid w:val="00950690"/>
    <w:rsid w:val="009539CB"/>
    <w:rsid w:val="009723CC"/>
    <w:rsid w:val="00976FA4"/>
    <w:rsid w:val="00996CDE"/>
    <w:rsid w:val="009A2EBE"/>
    <w:rsid w:val="009B7467"/>
    <w:rsid w:val="009C4F8F"/>
    <w:rsid w:val="009F495D"/>
    <w:rsid w:val="00A00C6F"/>
    <w:rsid w:val="00A11FEB"/>
    <w:rsid w:val="00A21A55"/>
    <w:rsid w:val="00A446B9"/>
    <w:rsid w:val="00AB3080"/>
    <w:rsid w:val="00AC1782"/>
    <w:rsid w:val="00AC3AD4"/>
    <w:rsid w:val="00BA020F"/>
    <w:rsid w:val="00BA204B"/>
    <w:rsid w:val="00BB502C"/>
    <w:rsid w:val="00BE145E"/>
    <w:rsid w:val="00BF676E"/>
    <w:rsid w:val="00C40933"/>
    <w:rsid w:val="00C41579"/>
    <w:rsid w:val="00C6177A"/>
    <w:rsid w:val="00C93DCC"/>
    <w:rsid w:val="00CC0425"/>
    <w:rsid w:val="00CC0DE2"/>
    <w:rsid w:val="00CD3118"/>
    <w:rsid w:val="00CF6E6F"/>
    <w:rsid w:val="00D17D17"/>
    <w:rsid w:val="00D36B58"/>
    <w:rsid w:val="00D43BCF"/>
    <w:rsid w:val="00D567B4"/>
    <w:rsid w:val="00D67B30"/>
    <w:rsid w:val="00D87258"/>
    <w:rsid w:val="00DA4692"/>
    <w:rsid w:val="00DC40BD"/>
    <w:rsid w:val="00DD6E01"/>
    <w:rsid w:val="00DF286A"/>
    <w:rsid w:val="00E161A9"/>
    <w:rsid w:val="00E30EEA"/>
    <w:rsid w:val="00E42E79"/>
    <w:rsid w:val="00E43CB0"/>
    <w:rsid w:val="00E95A59"/>
    <w:rsid w:val="00ED12B5"/>
    <w:rsid w:val="00ED31FC"/>
    <w:rsid w:val="00EE139B"/>
    <w:rsid w:val="00F06DC2"/>
    <w:rsid w:val="00F078F1"/>
    <w:rsid w:val="00F10D36"/>
    <w:rsid w:val="00F35473"/>
    <w:rsid w:val="00F412B5"/>
    <w:rsid w:val="00F73555"/>
    <w:rsid w:val="00F87EFB"/>
    <w:rsid w:val="00FB6B41"/>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E3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F2B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3E34"/>
    <w:rPr>
      <w:sz w:val="20"/>
      <w:szCs w:val="20"/>
    </w:rPr>
  </w:style>
  <w:style w:type="character" w:customStyle="1" w:styleId="FootnoteTextChar">
    <w:name w:val="Footnote Text Char"/>
    <w:basedOn w:val="DefaultParagraphFont"/>
    <w:link w:val="FootnoteText"/>
    <w:uiPriority w:val="99"/>
    <w:rsid w:val="00173E3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173E34"/>
    <w:rPr>
      <w:vertAlign w:val="superscript"/>
    </w:rPr>
  </w:style>
  <w:style w:type="paragraph" w:customStyle="1" w:styleId="western">
    <w:name w:val="western"/>
    <w:basedOn w:val="Normal"/>
    <w:rsid w:val="00173E34"/>
    <w:pPr>
      <w:spacing w:before="100" w:beforeAutospacing="1" w:after="100" w:afterAutospacing="1"/>
    </w:pPr>
    <w:rPr>
      <w:lang w:val="en-US"/>
    </w:rPr>
  </w:style>
  <w:style w:type="paragraph" w:styleId="Header">
    <w:name w:val="header"/>
    <w:basedOn w:val="Normal"/>
    <w:link w:val="HeaderChar"/>
    <w:uiPriority w:val="99"/>
    <w:unhideWhenUsed/>
    <w:rsid w:val="00173E34"/>
    <w:pPr>
      <w:tabs>
        <w:tab w:val="center" w:pos="4513"/>
        <w:tab w:val="right" w:pos="9026"/>
      </w:tabs>
    </w:pPr>
  </w:style>
  <w:style w:type="character" w:customStyle="1" w:styleId="HeaderChar">
    <w:name w:val="Header Char"/>
    <w:basedOn w:val="DefaultParagraphFont"/>
    <w:link w:val="Header"/>
    <w:uiPriority w:val="99"/>
    <w:rsid w:val="00173E3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C56C8"/>
    <w:pPr>
      <w:ind w:left="720"/>
      <w:contextualSpacing/>
    </w:pPr>
  </w:style>
  <w:style w:type="paragraph" w:styleId="NoSpacing">
    <w:name w:val="No Spacing"/>
    <w:uiPriority w:val="1"/>
    <w:qFormat/>
    <w:rsid w:val="00C93DCC"/>
    <w:pPr>
      <w:spacing w:after="0" w:line="240" w:lineRule="auto"/>
    </w:pPr>
    <w:rPr>
      <w:lang w:val="en-ZA"/>
    </w:rPr>
  </w:style>
  <w:style w:type="character" w:customStyle="1" w:styleId="Heading1Char">
    <w:name w:val="Heading 1 Char"/>
    <w:basedOn w:val="DefaultParagraphFont"/>
    <w:link w:val="Heading1"/>
    <w:uiPriority w:val="9"/>
    <w:rsid w:val="001F2B7F"/>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E3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F2B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3E34"/>
    <w:rPr>
      <w:sz w:val="20"/>
      <w:szCs w:val="20"/>
    </w:rPr>
  </w:style>
  <w:style w:type="character" w:customStyle="1" w:styleId="FootnoteTextChar">
    <w:name w:val="Footnote Text Char"/>
    <w:basedOn w:val="DefaultParagraphFont"/>
    <w:link w:val="FootnoteText"/>
    <w:uiPriority w:val="99"/>
    <w:rsid w:val="00173E3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173E34"/>
    <w:rPr>
      <w:vertAlign w:val="superscript"/>
    </w:rPr>
  </w:style>
  <w:style w:type="paragraph" w:customStyle="1" w:styleId="western">
    <w:name w:val="western"/>
    <w:basedOn w:val="Normal"/>
    <w:rsid w:val="00173E34"/>
    <w:pPr>
      <w:spacing w:before="100" w:beforeAutospacing="1" w:after="100" w:afterAutospacing="1"/>
    </w:pPr>
    <w:rPr>
      <w:lang w:val="en-US"/>
    </w:rPr>
  </w:style>
  <w:style w:type="paragraph" w:styleId="Header">
    <w:name w:val="header"/>
    <w:basedOn w:val="Normal"/>
    <w:link w:val="HeaderChar"/>
    <w:uiPriority w:val="99"/>
    <w:unhideWhenUsed/>
    <w:rsid w:val="00173E34"/>
    <w:pPr>
      <w:tabs>
        <w:tab w:val="center" w:pos="4513"/>
        <w:tab w:val="right" w:pos="9026"/>
      </w:tabs>
    </w:pPr>
  </w:style>
  <w:style w:type="character" w:customStyle="1" w:styleId="HeaderChar">
    <w:name w:val="Header Char"/>
    <w:basedOn w:val="DefaultParagraphFont"/>
    <w:link w:val="Header"/>
    <w:uiPriority w:val="99"/>
    <w:rsid w:val="00173E3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C56C8"/>
    <w:pPr>
      <w:ind w:left="720"/>
      <w:contextualSpacing/>
    </w:pPr>
  </w:style>
  <w:style w:type="paragraph" w:styleId="NoSpacing">
    <w:name w:val="No Spacing"/>
    <w:uiPriority w:val="1"/>
    <w:qFormat/>
    <w:rsid w:val="00C93DCC"/>
    <w:pPr>
      <w:spacing w:after="0" w:line="240" w:lineRule="auto"/>
    </w:pPr>
    <w:rPr>
      <w:lang w:val="en-ZA"/>
    </w:rPr>
  </w:style>
  <w:style w:type="character" w:customStyle="1" w:styleId="Heading1Char">
    <w:name w:val="Heading 1 Char"/>
    <w:basedOn w:val="DefaultParagraphFont"/>
    <w:link w:val="Heading1"/>
    <w:uiPriority w:val="9"/>
    <w:rsid w:val="001F2B7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3507">
      <w:bodyDiv w:val="1"/>
      <w:marLeft w:val="0"/>
      <w:marRight w:val="0"/>
      <w:marTop w:val="0"/>
      <w:marBottom w:val="0"/>
      <w:divBdr>
        <w:top w:val="none" w:sz="0" w:space="0" w:color="auto"/>
        <w:left w:val="none" w:sz="0" w:space="0" w:color="auto"/>
        <w:bottom w:val="none" w:sz="0" w:space="0" w:color="auto"/>
        <w:right w:val="none" w:sz="0" w:space="0" w:color="auto"/>
      </w:divBdr>
    </w:div>
    <w:div w:id="19862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2018-06-11T18:30:00+00:00</Judgment_x0020_Date>
    <Year xmlns="c1afb1bd-f2fb-40fd-9abb-aea55b4d7662">2018</Year>
  </documentManagement>
</p:properties>
</file>

<file path=customXml/itemProps1.xml><?xml version="1.0" encoding="utf-8"?>
<ds:datastoreItem xmlns:ds="http://schemas.openxmlformats.org/officeDocument/2006/customXml" ds:itemID="{66502896-9BA3-47C1-8AC8-7293976D5FDE}"/>
</file>

<file path=customXml/itemProps2.xml><?xml version="1.0" encoding="utf-8"?>
<ds:datastoreItem xmlns:ds="http://schemas.openxmlformats.org/officeDocument/2006/customXml" ds:itemID="{66C7851E-4E31-4BC1-9070-7C6EC4A8EB17}"/>
</file>

<file path=customXml/itemProps3.xml><?xml version="1.0" encoding="utf-8"?>
<ds:datastoreItem xmlns:ds="http://schemas.openxmlformats.org/officeDocument/2006/customXml" ds:itemID="{DC56A31C-D433-4E47-BDC4-D0BEA76BA77E}"/>
</file>

<file path=customXml/itemProps4.xml><?xml version="1.0" encoding="utf-8"?>
<ds:datastoreItem xmlns:ds="http://schemas.openxmlformats.org/officeDocument/2006/customXml" ds:itemID="{6FD91A48-8679-456B-9B95-D6CD7E6707E0}"/>
</file>

<file path=docProps/app.xml><?xml version="1.0" encoding="utf-8"?>
<Properties xmlns="http://schemas.openxmlformats.org/officeDocument/2006/extended-properties" xmlns:vt="http://schemas.openxmlformats.org/officeDocument/2006/docPropsVTypes">
  <Template>Normal</Template>
  <TotalTime>7</TotalTime>
  <Pages>13</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v P T</dc:title>
  <dc:creator>Priscilla Nande</dc:creator>
  <cp:lastModifiedBy>Nicole Januarie</cp:lastModifiedBy>
  <cp:revision>3</cp:revision>
  <dcterms:created xsi:type="dcterms:W3CDTF">2018-06-13T06:09:00Z</dcterms:created>
  <dcterms:modified xsi:type="dcterms:W3CDTF">2018-06-13T06:17:00Z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