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556" w:rsidRPr="00C929CE" w:rsidRDefault="00D26556" w:rsidP="00D26556">
      <w:pPr>
        <w:spacing w:line="360" w:lineRule="auto"/>
        <w:jc w:val="center"/>
        <w:rPr>
          <w:rFonts w:ascii="Arial" w:eastAsia="Arial" w:hAnsi="Arial" w:cs="Arial"/>
          <w:b/>
        </w:rPr>
      </w:pPr>
      <w:r w:rsidRPr="00C929CE">
        <w:rPr>
          <w:rFonts w:ascii="Arial" w:eastAsia="Arial" w:hAnsi="Arial" w:cs="Arial"/>
          <w:b/>
        </w:rPr>
        <w:t>REPUBLIC OF NAMIBIA</w:t>
      </w:r>
      <w:r w:rsidRPr="00C929CE">
        <w:rPr>
          <w:rFonts w:ascii="Arial" w:hAnsi="Arial" w:cs="Arial"/>
          <w:noProof/>
          <w:lang w:val="en-US"/>
        </w:rPr>
        <mc:AlternateContent>
          <mc:Choice Requires="wps">
            <w:drawing>
              <wp:anchor distT="0" distB="0" distL="114300" distR="114300" simplePos="0" relativeHeight="251659264" behindDoc="0" locked="0" layoutInCell="1" hidden="0" allowOverlap="1" wp14:anchorId="179768C1" wp14:editId="269A61D2">
                <wp:simplePos x="0" y="0"/>
                <wp:positionH relativeFrom="margin">
                  <wp:posOffset>4241800</wp:posOffset>
                </wp:positionH>
                <wp:positionV relativeFrom="paragraph">
                  <wp:posOffset>-50799</wp:posOffset>
                </wp:positionV>
                <wp:extent cx="1704975" cy="257175"/>
                <wp:effectExtent l="0" t="0" r="0" b="0"/>
                <wp:wrapNone/>
                <wp:docPr id="1" name="Rectangle 1"/>
                <wp:cNvGraphicFramePr/>
                <a:graphic xmlns:a="http://schemas.openxmlformats.org/drawingml/2006/main">
                  <a:graphicData uri="http://schemas.microsoft.com/office/word/2010/wordprocessingShape">
                    <wps:wsp>
                      <wps:cNvSpPr/>
                      <wps:spPr>
                        <a:xfrm>
                          <a:off x="4498275" y="3656175"/>
                          <a:ext cx="1695450" cy="2476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2A0411" w:rsidRDefault="002A0411" w:rsidP="00D26556">
                            <w:pPr>
                              <w:jc w:val="right"/>
                              <w:textDirection w:val="btLr"/>
                            </w:pPr>
                          </w:p>
                        </w:txbxContent>
                      </wps:txbx>
                      <wps:bodyPr spcFirstLastPara="1" wrap="square" lIns="91425" tIns="45700" rIns="91425" bIns="45700" anchor="t" anchorCtr="0"/>
                    </wps:wsp>
                  </a:graphicData>
                </a:graphic>
              </wp:anchor>
            </w:drawing>
          </mc:Choice>
          <mc:Fallback xmlns:w15="http://schemas.microsoft.com/office/word/2012/wordml">
            <w:pict>
              <v:rect w14:anchorId="179768C1" id="Rectangle 1" o:spid="_x0000_s1026" style="position:absolute;left:0;text-align:left;margin-left:334pt;margin-top:-4pt;width:134.25pt;height:20.2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" strokecolor="white">
                <v:stroke startarrowwidth="narrow" startarrowlength="short" endarrowwidth="narrow" endarrowlength="short"/>
                <v:textbox inset="2.53958mm,1.2694mm,2.53958mm,1.2694mm">
                  <w:txbxContent>
                    <w:p w:rsidR="002A0411" w:rsidRDefault="002A0411" w:rsidP="00D26556">
                      <w:pPr>
                        <w:jc w:val="right"/>
                        <w:textDirection w:val="btLr"/>
                      </w:pPr>
                    </w:p>
                  </w:txbxContent>
                </v:textbox>
                <w10:wrap anchorx="margin"/>
              </v:rect>
            </w:pict>
          </mc:Fallback>
        </mc:AlternateContent>
      </w:r>
    </w:p>
    <w:p w:rsidR="00D26556" w:rsidRPr="00C929CE" w:rsidRDefault="00D26556" w:rsidP="00D26556">
      <w:pPr>
        <w:spacing w:line="360" w:lineRule="auto"/>
        <w:rPr>
          <w:rFonts w:ascii="Arial" w:eastAsia="Arial" w:hAnsi="Arial" w:cs="Arial"/>
          <w:b/>
        </w:rPr>
      </w:pPr>
      <w:r w:rsidRPr="00C929CE">
        <w:rPr>
          <w:rFonts w:ascii="Arial" w:hAnsi="Arial" w:cs="Arial"/>
          <w:noProof/>
          <w:lang w:val="en-US"/>
        </w:rPr>
        <w:drawing>
          <wp:anchor distT="0" distB="0" distL="114300" distR="114300" simplePos="0" relativeHeight="251660288" behindDoc="0" locked="0" layoutInCell="1" hidden="0" allowOverlap="1" wp14:anchorId="0BA7877D" wp14:editId="350583DA">
            <wp:simplePos x="0" y="0"/>
            <wp:positionH relativeFrom="margin">
              <wp:posOffset>2333625</wp:posOffset>
            </wp:positionH>
            <wp:positionV relativeFrom="paragraph">
              <wp:posOffset>257175</wp:posOffset>
            </wp:positionV>
            <wp:extent cx="1276350" cy="1323975"/>
            <wp:effectExtent l="0" t="0" r="0" b="0"/>
            <wp:wrapSquare wrapText="bothSides" distT="0" distB="0" distL="114300" distR="114300"/>
            <wp:docPr id="2" name="image4.jpg" descr="Coat of Arms.bmp"/>
            <wp:cNvGraphicFramePr/>
            <a:graphic xmlns:a="http://schemas.openxmlformats.org/drawingml/2006/main">
              <a:graphicData uri="http://schemas.openxmlformats.org/drawingml/2006/picture">
                <pic:pic xmlns:pic="http://schemas.openxmlformats.org/drawingml/2006/picture">
                  <pic:nvPicPr>
                    <pic:cNvPr id="0" name="image4.jpg" descr="Coat of Arms.bmp"/>
                    <pic:cNvPicPr preferRelativeResize="0"/>
                  </pic:nvPicPr>
                  <pic:blipFill>
                    <a:blip r:embed="rId9"/>
                    <a:srcRect/>
                    <a:stretch>
                      <a:fillRect/>
                    </a:stretch>
                  </pic:blipFill>
                  <pic:spPr>
                    <a:xfrm>
                      <a:off x="0" y="0"/>
                      <a:ext cx="1276350" cy="1323975"/>
                    </a:xfrm>
                    <a:prstGeom prst="rect">
                      <a:avLst/>
                    </a:prstGeom>
                    <a:ln/>
                  </pic:spPr>
                </pic:pic>
              </a:graphicData>
            </a:graphic>
          </wp:anchor>
        </w:drawing>
      </w:r>
    </w:p>
    <w:p w:rsidR="00D26556" w:rsidRPr="00C929CE" w:rsidRDefault="00D26556" w:rsidP="00D26556">
      <w:pPr>
        <w:spacing w:line="360" w:lineRule="auto"/>
        <w:rPr>
          <w:rFonts w:ascii="Arial" w:eastAsia="Arial" w:hAnsi="Arial" w:cs="Arial"/>
          <w:b/>
        </w:rPr>
      </w:pPr>
    </w:p>
    <w:p w:rsidR="00D26556" w:rsidRPr="00C929CE" w:rsidRDefault="00D26556" w:rsidP="00D26556">
      <w:pPr>
        <w:spacing w:line="360" w:lineRule="auto"/>
        <w:rPr>
          <w:rFonts w:ascii="Arial" w:eastAsia="Arial" w:hAnsi="Arial" w:cs="Arial"/>
          <w:b/>
        </w:rPr>
      </w:pPr>
    </w:p>
    <w:p w:rsidR="00D26556" w:rsidRPr="00C929CE" w:rsidRDefault="00D26556" w:rsidP="00D26556">
      <w:pPr>
        <w:spacing w:line="360" w:lineRule="auto"/>
        <w:rPr>
          <w:rFonts w:ascii="Arial" w:eastAsia="Arial" w:hAnsi="Arial" w:cs="Arial"/>
          <w:b/>
        </w:rPr>
      </w:pPr>
    </w:p>
    <w:p w:rsidR="00D26556" w:rsidRPr="00C929CE" w:rsidRDefault="00D26556" w:rsidP="00D26556">
      <w:pPr>
        <w:spacing w:line="360" w:lineRule="auto"/>
        <w:rPr>
          <w:rFonts w:ascii="Arial" w:eastAsia="Arial" w:hAnsi="Arial" w:cs="Arial"/>
          <w:b/>
        </w:rPr>
      </w:pPr>
    </w:p>
    <w:p w:rsidR="00D26556" w:rsidRPr="00C929CE" w:rsidRDefault="00D26556" w:rsidP="00D26556">
      <w:pPr>
        <w:spacing w:line="360" w:lineRule="auto"/>
        <w:jc w:val="center"/>
        <w:rPr>
          <w:rFonts w:ascii="Arial" w:eastAsia="Arial" w:hAnsi="Arial" w:cs="Arial"/>
          <w:b/>
        </w:rPr>
      </w:pPr>
    </w:p>
    <w:p w:rsidR="00D26556" w:rsidRPr="00C929CE" w:rsidRDefault="00D26556" w:rsidP="00D26556">
      <w:pPr>
        <w:spacing w:line="360" w:lineRule="auto"/>
        <w:jc w:val="center"/>
        <w:rPr>
          <w:rFonts w:ascii="Arial" w:eastAsia="Arial" w:hAnsi="Arial" w:cs="Arial"/>
          <w:b/>
        </w:rPr>
      </w:pPr>
    </w:p>
    <w:p w:rsidR="00D26556" w:rsidRPr="00C929CE" w:rsidRDefault="00D26556" w:rsidP="00D26556">
      <w:pPr>
        <w:spacing w:line="360" w:lineRule="auto"/>
        <w:jc w:val="center"/>
        <w:rPr>
          <w:rFonts w:ascii="Arial" w:eastAsia="Arial" w:hAnsi="Arial" w:cs="Arial"/>
          <w:b/>
        </w:rPr>
      </w:pPr>
      <w:r w:rsidRPr="00C929CE">
        <w:rPr>
          <w:rFonts w:ascii="Arial" w:eastAsia="Arial" w:hAnsi="Arial" w:cs="Arial"/>
          <w:b/>
        </w:rPr>
        <w:t>HIGH COURT OF NAMIBIA, MAIN DIVISION, WINDHOEK</w:t>
      </w:r>
    </w:p>
    <w:p w:rsidR="00D26556" w:rsidRPr="00C929CE" w:rsidRDefault="00D26556" w:rsidP="00D26556">
      <w:pPr>
        <w:spacing w:line="360" w:lineRule="auto"/>
        <w:rPr>
          <w:rFonts w:ascii="Arial" w:eastAsia="Arial" w:hAnsi="Arial" w:cs="Arial"/>
          <w:b/>
        </w:rPr>
      </w:pPr>
    </w:p>
    <w:p w:rsidR="00D26556" w:rsidRPr="00C929CE" w:rsidRDefault="00D26556" w:rsidP="00D26556">
      <w:pPr>
        <w:spacing w:line="360" w:lineRule="auto"/>
        <w:jc w:val="center"/>
        <w:rPr>
          <w:rFonts w:ascii="Arial" w:eastAsia="Arial" w:hAnsi="Arial" w:cs="Arial"/>
        </w:rPr>
      </w:pPr>
      <w:r w:rsidRPr="00C929CE">
        <w:rPr>
          <w:rFonts w:ascii="Arial" w:eastAsia="Arial" w:hAnsi="Arial" w:cs="Arial"/>
          <w:b/>
        </w:rPr>
        <w:t xml:space="preserve">RULING </w:t>
      </w:r>
    </w:p>
    <w:p w:rsidR="00D26556" w:rsidRPr="00C929CE" w:rsidRDefault="00D26556" w:rsidP="00D26556">
      <w:pPr>
        <w:spacing w:line="360" w:lineRule="auto"/>
        <w:jc w:val="right"/>
        <w:rPr>
          <w:rFonts w:ascii="Arial" w:eastAsia="Arial" w:hAnsi="Arial" w:cs="Arial"/>
        </w:rPr>
      </w:pPr>
    </w:p>
    <w:p w:rsidR="00D26556" w:rsidRPr="00C929CE" w:rsidRDefault="00D26556" w:rsidP="00D26556">
      <w:pPr>
        <w:tabs>
          <w:tab w:val="right" w:pos="9356"/>
        </w:tabs>
        <w:spacing w:line="360" w:lineRule="auto"/>
        <w:rPr>
          <w:rFonts w:ascii="Arial" w:eastAsia="Arial" w:hAnsi="Arial" w:cs="Arial"/>
          <w:b/>
        </w:rPr>
      </w:pPr>
      <w:r>
        <w:rPr>
          <w:rFonts w:ascii="Arial" w:eastAsia="Arial" w:hAnsi="Arial" w:cs="Arial"/>
        </w:rPr>
        <w:tab/>
        <w:t>Case No: HC-MD-CIV-CON-2017/01344</w:t>
      </w:r>
      <w:r>
        <w:rPr>
          <w:rFonts w:ascii="Arial" w:eastAsia="Arial" w:hAnsi="Arial" w:cs="Arial"/>
        </w:rPr>
        <w:tab/>
      </w:r>
    </w:p>
    <w:p w:rsidR="00D26556" w:rsidRPr="00C929CE" w:rsidRDefault="00D26556" w:rsidP="00D26556">
      <w:pPr>
        <w:spacing w:line="360" w:lineRule="auto"/>
        <w:ind w:firstLine="720"/>
        <w:jc w:val="center"/>
        <w:rPr>
          <w:rFonts w:ascii="Arial" w:eastAsia="Arial" w:hAnsi="Arial" w:cs="Arial"/>
        </w:rPr>
      </w:pPr>
    </w:p>
    <w:p w:rsidR="00D26556" w:rsidRPr="00C929CE" w:rsidRDefault="00D26556" w:rsidP="00D26556">
      <w:pPr>
        <w:spacing w:line="360" w:lineRule="auto"/>
        <w:rPr>
          <w:rFonts w:ascii="Arial" w:eastAsia="Arial" w:hAnsi="Arial" w:cs="Arial"/>
        </w:rPr>
      </w:pPr>
      <w:r w:rsidRPr="00C929CE">
        <w:rPr>
          <w:rFonts w:ascii="Arial" w:eastAsia="Arial" w:hAnsi="Arial" w:cs="Arial"/>
        </w:rPr>
        <w:t>In the matter between:</w:t>
      </w:r>
    </w:p>
    <w:p w:rsidR="00D26556" w:rsidRPr="00C929CE" w:rsidRDefault="00D26556" w:rsidP="00D26556">
      <w:pPr>
        <w:spacing w:line="360" w:lineRule="auto"/>
        <w:rPr>
          <w:rFonts w:ascii="Arial" w:eastAsia="Arial" w:hAnsi="Arial" w:cs="Arial"/>
        </w:rPr>
      </w:pPr>
    </w:p>
    <w:p w:rsidR="00D26556" w:rsidRPr="00C929CE" w:rsidRDefault="00D26556" w:rsidP="00D26556">
      <w:pPr>
        <w:tabs>
          <w:tab w:val="right" w:pos="9356"/>
        </w:tabs>
        <w:spacing w:line="360" w:lineRule="auto"/>
        <w:rPr>
          <w:rFonts w:ascii="Arial" w:eastAsia="Arial" w:hAnsi="Arial" w:cs="Arial"/>
          <w:b/>
        </w:rPr>
      </w:pPr>
      <w:r>
        <w:rPr>
          <w:rFonts w:ascii="Arial" w:eastAsia="Arial" w:hAnsi="Arial" w:cs="Arial"/>
          <w:b/>
        </w:rPr>
        <w:t>J&amp;M CASINO CONSULTING CLOSE CORPORATION</w:t>
      </w:r>
      <w:r>
        <w:rPr>
          <w:rFonts w:ascii="Arial" w:eastAsia="Arial" w:hAnsi="Arial" w:cs="Arial"/>
          <w:b/>
        </w:rPr>
        <w:tab/>
        <w:t>PLAINTIFF</w:t>
      </w:r>
      <w:r w:rsidRPr="00C929CE">
        <w:rPr>
          <w:rFonts w:ascii="Arial" w:eastAsia="Arial" w:hAnsi="Arial" w:cs="Arial"/>
          <w:b/>
        </w:rPr>
        <w:t xml:space="preserve">                                                      </w:t>
      </w:r>
    </w:p>
    <w:p w:rsidR="00D26556" w:rsidRDefault="00D26556" w:rsidP="00D26556">
      <w:pPr>
        <w:spacing w:line="360" w:lineRule="auto"/>
        <w:rPr>
          <w:rFonts w:ascii="Arial" w:eastAsia="Arial" w:hAnsi="Arial" w:cs="Arial"/>
        </w:rPr>
      </w:pPr>
    </w:p>
    <w:p w:rsidR="00D26556" w:rsidRPr="00D04829" w:rsidRDefault="00D26556" w:rsidP="00D26556">
      <w:pPr>
        <w:spacing w:line="360" w:lineRule="auto"/>
        <w:rPr>
          <w:rFonts w:ascii="Arial" w:eastAsia="Arial" w:hAnsi="Arial" w:cs="Arial"/>
        </w:rPr>
      </w:pPr>
      <w:proofErr w:type="gramStart"/>
      <w:r w:rsidRPr="00C929CE">
        <w:rPr>
          <w:rFonts w:ascii="Arial" w:eastAsia="Arial" w:hAnsi="Arial" w:cs="Arial"/>
        </w:rPr>
        <w:t>and</w:t>
      </w:r>
      <w:proofErr w:type="gramEnd"/>
    </w:p>
    <w:p w:rsidR="00D26556" w:rsidRDefault="00D26556" w:rsidP="00D26556">
      <w:pPr>
        <w:tabs>
          <w:tab w:val="right" w:pos="9356"/>
        </w:tabs>
        <w:spacing w:line="360" w:lineRule="auto"/>
        <w:rPr>
          <w:rFonts w:ascii="Arial" w:eastAsia="Arial" w:hAnsi="Arial" w:cs="Arial"/>
          <w:b/>
        </w:rPr>
      </w:pPr>
    </w:p>
    <w:p w:rsidR="00D26556" w:rsidRDefault="00D26556" w:rsidP="00D26556">
      <w:pPr>
        <w:tabs>
          <w:tab w:val="right" w:pos="9356"/>
        </w:tabs>
        <w:spacing w:line="360" w:lineRule="auto"/>
        <w:rPr>
          <w:rFonts w:ascii="Arial" w:eastAsia="Arial" w:hAnsi="Arial" w:cs="Arial"/>
          <w:b/>
        </w:rPr>
      </w:pPr>
      <w:r>
        <w:rPr>
          <w:rFonts w:ascii="Arial" w:eastAsia="Arial" w:hAnsi="Arial" w:cs="Arial"/>
          <w:b/>
        </w:rPr>
        <w:t>UNITED AFRICA GROUP (PTY) LTD</w:t>
      </w:r>
      <w:r w:rsidRPr="00C929CE">
        <w:rPr>
          <w:rFonts w:ascii="Arial" w:eastAsia="Arial" w:hAnsi="Arial" w:cs="Arial"/>
          <w:b/>
        </w:rPr>
        <w:tab/>
      </w:r>
      <w:r>
        <w:rPr>
          <w:rFonts w:ascii="Arial" w:eastAsia="Arial" w:hAnsi="Arial" w:cs="Arial"/>
          <w:b/>
        </w:rPr>
        <w:t xml:space="preserve"> DEFENDANT</w:t>
      </w:r>
    </w:p>
    <w:p w:rsidR="00D26556" w:rsidRPr="00C929CE" w:rsidRDefault="00D26556" w:rsidP="00D26556">
      <w:pPr>
        <w:tabs>
          <w:tab w:val="right" w:pos="9356"/>
        </w:tabs>
        <w:spacing w:line="360" w:lineRule="auto"/>
        <w:rPr>
          <w:rFonts w:ascii="Arial" w:eastAsia="Arial" w:hAnsi="Arial" w:cs="Arial"/>
          <w:b/>
        </w:rPr>
      </w:pPr>
    </w:p>
    <w:p w:rsidR="00D26556" w:rsidRPr="006C2B43" w:rsidRDefault="00D26556" w:rsidP="00D26556">
      <w:pPr>
        <w:tabs>
          <w:tab w:val="right" w:pos="9356"/>
        </w:tabs>
        <w:spacing w:line="360" w:lineRule="auto"/>
        <w:jc w:val="both"/>
        <w:rPr>
          <w:rFonts w:ascii="Arial" w:eastAsia="Arial" w:hAnsi="Arial" w:cs="Arial"/>
          <w:color w:val="FF0000"/>
        </w:rPr>
      </w:pPr>
      <w:r w:rsidRPr="00046362">
        <w:rPr>
          <w:rFonts w:ascii="Arial" w:eastAsia="Arial" w:hAnsi="Arial" w:cs="Arial"/>
          <w:b/>
        </w:rPr>
        <w:t>Neutral Citation</w:t>
      </w:r>
      <w:r w:rsidRPr="00046362">
        <w:rPr>
          <w:rFonts w:ascii="Arial" w:eastAsia="Arial" w:hAnsi="Arial" w:cs="Arial"/>
          <w:b/>
          <w:i/>
        </w:rPr>
        <w:t>:</w:t>
      </w:r>
      <w:r w:rsidRPr="009875F9">
        <w:rPr>
          <w:rFonts w:ascii="Arial" w:eastAsia="Arial" w:hAnsi="Arial" w:cs="Arial"/>
          <w:i/>
        </w:rPr>
        <w:t xml:space="preserve"> </w:t>
      </w:r>
      <w:r w:rsidR="00046362">
        <w:rPr>
          <w:rFonts w:ascii="Arial" w:eastAsia="Arial" w:hAnsi="Arial" w:cs="Arial"/>
          <w:i/>
        </w:rPr>
        <w:t>J &amp; M Casino Consulting CC v</w:t>
      </w:r>
      <w:r w:rsidR="006C2B43" w:rsidRPr="009875F9">
        <w:rPr>
          <w:rFonts w:ascii="Arial" w:eastAsia="Arial" w:hAnsi="Arial" w:cs="Arial"/>
          <w:i/>
        </w:rPr>
        <w:t xml:space="preserve"> United Africa Group (Pty) Ltd </w:t>
      </w:r>
      <w:r w:rsidR="006C2B43" w:rsidRPr="009875F9">
        <w:rPr>
          <w:rFonts w:ascii="Arial" w:eastAsia="Arial" w:hAnsi="Arial" w:cs="Arial"/>
        </w:rPr>
        <w:t>(</w:t>
      </w:r>
      <w:r w:rsidR="006C2B43">
        <w:rPr>
          <w:rFonts w:ascii="Arial" w:eastAsia="Arial" w:hAnsi="Arial" w:cs="Arial"/>
        </w:rPr>
        <w:t xml:space="preserve">HC-MD-CIV-CON-2017/01344) [2018] NAHCMD </w:t>
      </w:r>
      <w:r w:rsidR="009875F9">
        <w:rPr>
          <w:rFonts w:ascii="Arial" w:eastAsia="Arial" w:hAnsi="Arial" w:cs="Arial"/>
        </w:rPr>
        <w:t>176</w:t>
      </w:r>
      <w:r w:rsidR="006C2B43">
        <w:rPr>
          <w:rFonts w:ascii="Arial" w:eastAsia="Arial" w:hAnsi="Arial" w:cs="Arial"/>
        </w:rPr>
        <w:t xml:space="preserve"> (</w:t>
      </w:r>
      <w:r w:rsidR="009875F9">
        <w:rPr>
          <w:rFonts w:ascii="Arial" w:eastAsia="Arial" w:hAnsi="Arial" w:cs="Arial"/>
        </w:rPr>
        <w:t>18</w:t>
      </w:r>
      <w:r w:rsidR="006C2B43">
        <w:rPr>
          <w:rFonts w:ascii="Arial" w:eastAsia="Arial" w:hAnsi="Arial" w:cs="Arial"/>
        </w:rPr>
        <w:t xml:space="preserve"> June 2018) </w:t>
      </w:r>
      <w:r w:rsidR="006C2B43">
        <w:rPr>
          <w:rFonts w:ascii="Arial" w:eastAsia="Arial" w:hAnsi="Arial" w:cs="Arial"/>
        </w:rPr>
        <w:tab/>
      </w:r>
    </w:p>
    <w:p w:rsidR="00D26556" w:rsidRPr="0027115E" w:rsidRDefault="00D26556" w:rsidP="00D26556">
      <w:pPr>
        <w:tabs>
          <w:tab w:val="right" w:pos="9356"/>
        </w:tabs>
        <w:spacing w:line="360" w:lineRule="auto"/>
        <w:jc w:val="both"/>
        <w:rPr>
          <w:rFonts w:ascii="Arial" w:eastAsia="Arial" w:hAnsi="Arial" w:cs="Arial"/>
          <w:color w:val="FF0000"/>
        </w:rPr>
      </w:pPr>
    </w:p>
    <w:p w:rsidR="00D26556" w:rsidRPr="009875F9" w:rsidRDefault="00D26556" w:rsidP="00D26556">
      <w:pPr>
        <w:spacing w:line="360" w:lineRule="auto"/>
        <w:rPr>
          <w:rFonts w:ascii="Arial" w:eastAsia="Arial" w:hAnsi="Arial" w:cs="Arial"/>
          <w:b/>
        </w:rPr>
      </w:pPr>
      <w:r w:rsidRPr="009875F9">
        <w:rPr>
          <w:rFonts w:ascii="Arial" w:eastAsia="Arial" w:hAnsi="Arial" w:cs="Arial"/>
          <w:b/>
        </w:rPr>
        <w:t>CORAM:</w:t>
      </w:r>
      <w:r w:rsidRPr="009875F9">
        <w:rPr>
          <w:rFonts w:ascii="Arial" w:eastAsia="Arial" w:hAnsi="Arial" w:cs="Arial"/>
          <w:b/>
        </w:rPr>
        <w:tab/>
      </w:r>
      <w:r w:rsidRPr="00046362">
        <w:rPr>
          <w:rFonts w:ascii="Arial" w:eastAsia="Arial" w:hAnsi="Arial" w:cs="Arial"/>
        </w:rPr>
        <w:t>PRINSLOO J</w:t>
      </w:r>
    </w:p>
    <w:p w:rsidR="00D26556" w:rsidRPr="009875F9" w:rsidRDefault="00D26556" w:rsidP="00D26556">
      <w:pPr>
        <w:spacing w:line="360" w:lineRule="auto"/>
        <w:rPr>
          <w:rFonts w:ascii="Arial" w:eastAsia="Arial" w:hAnsi="Arial" w:cs="Arial"/>
          <w:b/>
        </w:rPr>
      </w:pPr>
      <w:r w:rsidRPr="009875F9">
        <w:rPr>
          <w:rFonts w:ascii="Arial" w:eastAsia="Arial" w:hAnsi="Arial" w:cs="Arial"/>
          <w:b/>
        </w:rPr>
        <w:t xml:space="preserve">Heard: </w:t>
      </w:r>
      <w:r w:rsidRPr="009875F9">
        <w:rPr>
          <w:rFonts w:ascii="Arial" w:eastAsia="Arial" w:hAnsi="Arial" w:cs="Arial"/>
          <w:b/>
        </w:rPr>
        <w:tab/>
      </w:r>
      <w:r w:rsidR="00CD4AB5" w:rsidRPr="009875F9">
        <w:rPr>
          <w:rFonts w:ascii="Arial" w:eastAsia="Arial" w:hAnsi="Arial" w:cs="Arial"/>
          <w:b/>
        </w:rPr>
        <w:t>27 April</w:t>
      </w:r>
      <w:r w:rsidRPr="009875F9">
        <w:rPr>
          <w:rFonts w:ascii="Arial" w:eastAsia="Arial" w:hAnsi="Arial" w:cs="Arial"/>
          <w:b/>
        </w:rPr>
        <w:t xml:space="preserve"> 2018</w:t>
      </w:r>
    </w:p>
    <w:p w:rsidR="00D26556" w:rsidRPr="009875F9" w:rsidRDefault="00D26556" w:rsidP="00D26556">
      <w:pPr>
        <w:spacing w:line="360" w:lineRule="auto"/>
        <w:rPr>
          <w:rFonts w:ascii="Arial" w:eastAsia="Arial" w:hAnsi="Arial" w:cs="Arial"/>
          <w:b/>
        </w:rPr>
      </w:pPr>
      <w:r w:rsidRPr="009875F9">
        <w:rPr>
          <w:rFonts w:ascii="Arial" w:eastAsia="Arial" w:hAnsi="Arial" w:cs="Arial"/>
          <w:b/>
        </w:rPr>
        <w:t xml:space="preserve">Delivered:  </w:t>
      </w:r>
      <w:r w:rsidRPr="009875F9">
        <w:rPr>
          <w:rFonts w:ascii="Arial" w:eastAsia="Arial" w:hAnsi="Arial" w:cs="Arial"/>
          <w:b/>
        </w:rPr>
        <w:tab/>
      </w:r>
      <w:r w:rsidR="00CD4AB5" w:rsidRPr="009875F9">
        <w:rPr>
          <w:rFonts w:ascii="Arial" w:eastAsia="Arial" w:hAnsi="Arial" w:cs="Arial"/>
          <w:b/>
        </w:rPr>
        <w:t>6 June</w:t>
      </w:r>
      <w:r w:rsidRPr="009875F9">
        <w:rPr>
          <w:rFonts w:ascii="Arial" w:eastAsia="Arial" w:hAnsi="Arial" w:cs="Arial"/>
          <w:b/>
        </w:rPr>
        <w:t xml:space="preserve"> 2018</w:t>
      </w:r>
    </w:p>
    <w:p w:rsidR="00D26556" w:rsidRPr="009875F9" w:rsidRDefault="00D26556" w:rsidP="00D26556">
      <w:pPr>
        <w:spacing w:line="360" w:lineRule="auto"/>
        <w:rPr>
          <w:rFonts w:ascii="Arial" w:eastAsia="Arial" w:hAnsi="Arial" w:cs="Arial"/>
          <w:b/>
        </w:rPr>
      </w:pPr>
      <w:r w:rsidRPr="009875F9">
        <w:rPr>
          <w:rFonts w:ascii="Arial" w:eastAsia="Arial" w:hAnsi="Arial" w:cs="Arial"/>
          <w:b/>
        </w:rPr>
        <w:t xml:space="preserve">Reasons:     </w:t>
      </w:r>
      <w:r w:rsidR="009875F9" w:rsidRPr="009875F9">
        <w:rPr>
          <w:rFonts w:ascii="Arial" w:eastAsia="Arial" w:hAnsi="Arial" w:cs="Arial"/>
          <w:b/>
        </w:rPr>
        <w:t xml:space="preserve">18 </w:t>
      </w:r>
      <w:r w:rsidR="00CD4AB5" w:rsidRPr="009875F9">
        <w:rPr>
          <w:rFonts w:ascii="Arial" w:eastAsia="Arial" w:hAnsi="Arial" w:cs="Arial"/>
          <w:b/>
        </w:rPr>
        <w:t>June</w:t>
      </w:r>
      <w:r w:rsidRPr="009875F9">
        <w:rPr>
          <w:rFonts w:ascii="Arial" w:eastAsia="Arial" w:hAnsi="Arial" w:cs="Arial"/>
          <w:b/>
        </w:rPr>
        <w:t xml:space="preserve"> 2018</w:t>
      </w:r>
    </w:p>
    <w:p w:rsidR="00D26556" w:rsidRDefault="00D26556" w:rsidP="00D26556">
      <w:pPr>
        <w:spacing w:line="360" w:lineRule="auto"/>
        <w:rPr>
          <w:rFonts w:ascii="Arial" w:eastAsia="Arial" w:hAnsi="Arial" w:cs="Arial"/>
          <w:b/>
        </w:rPr>
      </w:pPr>
    </w:p>
    <w:p w:rsidR="006E12A5" w:rsidRDefault="006E12A5" w:rsidP="006E12A5">
      <w:pPr>
        <w:pBdr>
          <w:bottom w:val="single" w:sz="12" w:space="1" w:color="auto"/>
        </w:pBdr>
        <w:tabs>
          <w:tab w:val="left" w:pos="1035"/>
        </w:tabs>
        <w:spacing w:line="360" w:lineRule="auto"/>
        <w:rPr>
          <w:rFonts w:ascii="Arial" w:eastAsia="Arial" w:hAnsi="Arial" w:cs="Arial"/>
          <w:b/>
        </w:rPr>
      </w:pPr>
    </w:p>
    <w:p w:rsidR="00046362" w:rsidRPr="006E12A5" w:rsidRDefault="00046362" w:rsidP="006E12A5">
      <w:pPr>
        <w:pBdr>
          <w:bottom w:val="single" w:sz="12" w:space="1" w:color="auto"/>
        </w:pBdr>
        <w:tabs>
          <w:tab w:val="left" w:pos="1035"/>
        </w:tabs>
        <w:spacing w:line="360" w:lineRule="auto"/>
        <w:rPr>
          <w:rFonts w:ascii="Arial" w:eastAsia="Arial" w:hAnsi="Arial" w:cs="Arial"/>
          <w:b/>
        </w:rPr>
      </w:pPr>
    </w:p>
    <w:p w:rsidR="00D26556" w:rsidRPr="006E12A5" w:rsidRDefault="00D26556" w:rsidP="00D26556">
      <w:pPr>
        <w:pStyle w:val="western"/>
        <w:shd w:val="clear" w:color="auto" w:fill="FFFFFF"/>
        <w:spacing w:before="144" w:beforeAutospacing="0" w:after="0" w:afterAutospacing="0" w:line="360" w:lineRule="auto"/>
        <w:jc w:val="both"/>
        <w:rPr>
          <w:rFonts w:ascii="Arial" w:eastAsia="Arial" w:hAnsi="Arial" w:cs="Arial"/>
          <w:b/>
        </w:rPr>
      </w:pPr>
    </w:p>
    <w:p w:rsidR="00D26556" w:rsidRPr="006E12A5" w:rsidRDefault="00D26556" w:rsidP="00D26556">
      <w:pPr>
        <w:pStyle w:val="western"/>
        <w:shd w:val="clear" w:color="auto" w:fill="FFFFFF"/>
        <w:spacing w:before="144" w:beforeAutospacing="0" w:after="0" w:afterAutospacing="0" w:line="360" w:lineRule="auto"/>
        <w:jc w:val="both"/>
        <w:rPr>
          <w:rFonts w:ascii="Arial" w:eastAsia="Arial" w:hAnsi="Arial" w:cs="Arial"/>
          <w:b/>
        </w:rPr>
      </w:pPr>
      <w:r w:rsidRPr="006E12A5">
        <w:rPr>
          <w:rFonts w:ascii="Arial" w:eastAsia="Arial" w:hAnsi="Arial" w:cs="Arial"/>
          <w:b/>
        </w:rPr>
        <w:tab/>
      </w:r>
      <w:r w:rsidRPr="006E12A5">
        <w:rPr>
          <w:rFonts w:ascii="Arial" w:eastAsia="Arial" w:hAnsi="Arial" w:cs="Arial"/>
          <w:b/>
        </w:rPr>
        <w:tab/>
      </w:r>
      <w:r w:rsidRPr="006E12A5">
        <w:rPr>
          <w:rFonts w:ascii="Arial" w:eastAsia="Arial" w:hAnsi="Arial" w:cs="Arial"/>
          <w:b/>
        </w:rPr>
        <w:tab/>
      </w:r>
      <w:r w:rsidRPr="006E12A5">
        <w:rPr>
          <w:rFonts w:ascii="Arial" w:eastAsia="Arial" w:hAnsi="Arial" w:cs="Arial"/>
          <w:b/>
        </w:rPr>
        <w:tab/>
        <w:t>RULING IN TERMS OF PD 61</w:t>
      </w:r>
    </w:p>
    <w:p w:rsidR="00D26556" w:rsidRPr="006E12A5" w:rsidRDefault="00D26556" w:rsidP="00D26556">
      <w:pPr>
        <w:pStyle w:val="western"/>
        <w:shd w:val="clear" w:color="auto" w:fill="FFFFFF"/>
        <w:spacing w:before="144" w:beforeAutospacing="0" w:after="0" w:afterAutospacing="0" w:line="360" w:lineRule="auto"/>
        <w:jc w:val="both"/>
        <w:rPr>
          <w:rFonts w:ascii="Arial" w:eastAsia="Arial" w:hAnsi="Arial" w:cs="Arial"/>
          <w:b/>
        </w:rPr>
      </w:pPr>
      <w:r w:rsidRPr="006E12A5">
        <w:rPr>
          <w:rFonts w:ascii="Arial" w:eastAsia="Arial" w:hAnsi="Arial" w:cs="Arial"/>
          <w:b/>
        </w:rPr>
        <w:t>_____________________________________________________________________</w:t>
      </w:r>
      <w:r w:rsidR="006E12A5">
        <w:rPr>
          <w:rFonts w:ascii="Arial" w:eastAsia="Arial" w:hAnsi="Arial" w:cs="Arial"/>
          <w:b/>
        </w:rPr>
        <w:t>_</w:t>
      </w:r>
    </w:p>
    <w:p w:rsidR="00F869C4" w:rsidRDefault="00F869C4" w:rsidP="00F869C4">
      <w:pPr>
        <w:pStyle w:val="western"/>
        <w:shd w:val="clear" w:color="auto" w:fill="FFFFFF"/>
        <w:spacing w:before="0" w:beforeAutospacing="0" w:after="0" w:afterAutospacing="0" w:line="360" w:lineRule="auto"/>
        <w:jc w:val="both"/>
        <w:rPr>
          <w:rFonts w:ascii="Arial" w:hAnsi="Arial" w:cs="Arial"/>
          <w:shd w:val="clear" w:color="auto" w:fill="FFFFFF"/>
        </w:rPr>
      </w:pPr>
      <w:r>
        <w:rPr>
          <w:rFonts w:ascii="Arial" w:hAnsi="Arial" w:cs="Arial"/>
          <w:shd w:val="clear" w:color="auto" w:fill="FFFFFF"/>
        </w:rPr>
        <w:t>PRINSLOO, J:</w:t>
      </w:r>
    </w:p>
    <w:p w:rsidR="00F869C4" w:rsidRPr="00F869C4" w:rsidRDefault="00F869C4" w:rsidP="00F869C4">
      <w:pPr>
        <w:pStyle w:val="western"/>
        <w:shd w:val="clear" w:color="auto" w:fill="FFFFFF"/>
        <w:spacing w:before="0" w:beforeAutospacing="0" w:after="0" w:afterAutospacing="0" w:line="360" w:lineRule="auto"/>
        <w:jc w:val="both"/>
        <w:rPr>
          <w:rFonts w:ascii="Arial" w:hAnsi="Arial" w:cs="Arial"/>
          <w:shd w:val="clear" w:color="auto" w:fill="FFFFFF"/>
        </w:rPr>
      </w:pPr>
    </w:p>
    <w:p w:rsidR="00D26556" w:rsidRDefault="00EB7BF8" w:rsidP="00F869C4">
      <w:pPr>
        <w:pStyle w:val="western"/>
        <w:shd w:val="clear" w:color="auto" w:fill="FFFFFF"/>
        <w:spacing w:before="0" w:beforeAutospacing="0" w:after="0" w:afterAutospacing="0" w:line="360" w:lineRule="auto"/>
        <w:jc w:val="both"/>
        <w:rPr>
          <w:rFonts w:ascii="Arial" w:hAnsi="Arial" w:cs="Arial"/>
          <w:u w:val="single"/>
          <w:shd w:val="clear" w:color="auto" w:fill="FFFFFF"/>
        </w:rPr>
      </w:pPr>
      <w:r w:rsidRPr="00F869C4">
        <w:rPr>
          <w:rFonts w:ascii="Arial" w:hAnsi="Arial" w:cs="Arial"/>
          <w:u w:val="single"/>
          <w:shd w:val="clear" w:color="auto" w:fill="FFFFFF"/>
        </w:rPr>
        <w:t>Introduction</w:t>
      </w:r>
      <w:r w:rsidR="00D26556" w:rsidRPr="00F869C4">
        <w:rPr>
          <w:rFonts w:ascii="Arial" w:hAnsi="Arial" w:cs="Arial"/>
          <w:u w:val="single"/>
          <w:shd w:val="clear" w:color="auto" w:fill="FFFFFF"/>
        </w:rPr>
        <w:t xml:space="preserve">: </w:t>
      </w:r>
    </w:p>
    <w:p w:rsidR="00F869C4" w:rsidRPr="00F869C4" w:rsidRDefault="00F869C4" w:rsidP="00F869C4">
      <w:pPr>
        <w:pStyle w:val="western"/>
        <w:shd w:val="clear" w:color="auto" w:fill="FFFFFF"/>
        <w:spacing w:before="0" w:beforeAutospacing="0" w:after="0" w:afterAutospacing="0" w:line="360" w:lineRule="auto"/>
        <w:jc w:val="both"/>
        <w:rPr>
          <w:rFonts w:ascii="Arial" w:hAnsi="Arial" w:cs="Arial"/>
          <w:u w:val="single"/>
          <w:shd w:val="clear" w:color="auto" w:fill="FFFFFF"/>
        </w:rPr>
      </w:pPr>
    </w:p>
    <w:p w:rsidR="00D26556" w:rsidRDefault="00EB7BF8" w:rsidP="00F869C4">
      <w:pPr>
        <w:pStyle w:val="western"/>
        <w:shd w:val="clear" w:color="auto" w:fill="FFFFFF"/>
        <w:spacing w:before="0" w:beforeAutospacing="0" w:after="0" w:afterAutospacing="0" w:line="360" w:lineRule="auto"/>
        <w:jc w:val="both"/>
        <w:rPr>
          <w:rFonts w:ascii="Arial" w:hAnsi="Arial" w:cs="Arial"/>
          <w:shd w:val="clear" w:color="auto" w:fill="FFFFFF"/>
        </w:rPr>
      </w:pPr>
      <w:r>
        <w:rPr>
          <w:rFonts w:ascii="Arial" w:hAnsi="Arial" w:cs="Arial"/>
          <w:shd w:val="clear" w:color="auto" w:fill="FFFFFF"/>
        </w:rPr>
        <w:t>[1]</w:t>
      </w:r>
      <w:r>
        <w:rPr>
          <w:rFonts w:ascii="Arial" w:hAnsi="Arial" w:cs="Arial"/>
          <w:shd w:val="clear" w:color="auto" w:fill="FFFFFF"/>
        </w:rPr>
        <w:tab/>
      </w:r>
      <w:r w:rsidR="009F2C0F">
        <w:rPr>
          <w:rFonts w:ascii="Arial" w:hAnsi="Arial" w:cs="Arial"/>
          <w:shd w:val="clear" w:color="auto" w:fill="FFFFFF"/>
        </w:rPr>
        <w:t>The plaintiff</w:t>
      </w:r>
      <w:r w:rsidR="00FE5575">
        <w:rPr>
          <w:rStyle w:val="FootnoteReference"/>
          <w:rFonts w:ascii="Arial" w:hAnsi="Arial" w:cs="Arial"/>
          <w:shd w:val="clear" w:color="auto" w:fill="FFFFFF"/>
        </w:rPr>
        <w:footnoteReference w:id="1"/>
      </w:r>
      <w:r w:rsidR="009F2C0F">
        <w:rPr>
          <w:rFonts w:ascii="Arial" w:hAnsi="Arial" w:cs="Arial"/>
          <w:shd w:val="clear" w:color="auto" w:fill="FFFFFF"/>
        </w:rPr>
        <w:t xml:space="preserve"> issued summons against the defendant claiming </w:t>
      </w:r>
      <w:r w:rsidR="00F869C4">
        <w:rPr>
          <w:rFonts w:ascii="Arial" w:hAnsi="Arial" w:cs="Arial"/>
          <w:shd w:val="clear" w:color="auto" w:fill="FFFFFF"/>
        </w:rPr>
        <w:t xml:space="preserve">amounts totaling </w:t>
      </w:r>
      <w:r w:rsidR="001A51D3" w:rsidRPr="001A51D3">
        <w:rPr>
          <w:rFonts w:ascii="Arial" w:hAnsi="Arial" w:cs="Arial"/>
          <w:shd w:val="clear" w:color="auto" w:fill="FFFFFF"/>
        </w:rPr>
        <w:t>N$ 9</w:t>
      </w:r>
      <w:r w:rsidR="00F869C4" w:rsidRPr="001A51D3">
        <w:rPr>
          <w:rFonts w:ascii="Arial" w:hAnsi="Arial" w:cs="Arial"/>
          <w:shd w:val="clear" w:color="auto" w:fill="FFFFFF"/>
        </w:rPr>
        <w:t>1</w:t>
      </w:r>
      <w:r w:rsidR="00C04860">
        <w:rPr>
          <w:rFonts w:ascii="Arial" w:hAnsi="Arial" w:cs="Arial"/>
          <w:shd w:val="clear" w:color="auto" w:fill="FFFFFF"/>
        </w:rPr>
        <w:t>,</w:t>
      </w:r>
      <w:r w:rsidR="00F869C4" w:rsidRPr="001A51D3">
        <w:rPr>
          <w:rFonts w:ascii="Arial" w:hAnsi="Arial" w:cs="Arial"/>
          <w:shd w:val="clear" w:color="auto" w:fill="FFFFFF"/>
        </w:rPr>
        <w:t>55</w:t>
      </w:r>
      <w:r w:rsidR="001A51D3" w:rsidRPr="001A51D3">
        <w:rPr>
          <w:rFonts w:ascii="Arial" w:hAnsi="Arial" w:cs="Arial"/>
          <w:shd w:val="clear" w:color="auto" w:fill="FFFFFF"/>
        </w:rPr>
        <w:t>7</w:t>
      </w:r>
      <w:r w:rsidR="00C04860">
        <w:rPr>
          <w:rFonts w:ascii="Arial" w:hAnsi="Arial" w:cs="Arial"/>
          <w:shd w:val="clear" w:color="auto" w:fill="FFFFFF"/>
        </w:rPr>
        <w:t>,</w:t>
      </w:r>
      <w:r w:rsidR="00F869C4" w:rsidRPr="001A51D3">
        <w:rPr>
          <w:rFonts w:ascii="Arial" w:hAnsi="Arial" w:cs="Arial"/>
          <w:shd w:val="clear" w:color="auto" w:fill="FFFFFF"/>
        </w:rPr>
        <w:t>230</w:t>
      </w:r>
      <w:r w:rsidR="009F2C0F">
        <w:rPr>
          <w:rFonts w:ascii="Arial" w:hAnsi="Arial" w:cs="Arial"/>
          <w:shd w:val="clear" w:color="auto" w:fill="FFFFFF"/>
        </w:rPr>
        <w:t xml:space="preserve"> plus interest of 20% per annum calculated on various amounts making up the first mentioned amount. </w:t>
      </w:r>
      <w:bookmarkStart w:id="0" w:name="_GoBack"/>
      <w:bookmarkEnd w:id="0"/>
    </w:p>
    <w:p w:rsidR="006E12A5" w:rsidRDefault="006E12A5" w:rsidP="00F869C4">
      <w:pPr>
        <w:pStyle w:val="western"/>
        <w:shd w:val="clear" w:color="auto" w:fill="FFFFFF"/>
        <w:spacing w:before="0" w:beforeAutospacing="0" w:after="0" w:afterAutospacing="0" w:line="360" w:lineRule="auto"/>
        <w:jc w:val="both"/>
        <w:rPr>
          <w:rFonts w:ascii="Arial" w:hAnsi="Arial" w:cs="Arial"/>
          <w:shd w:val="clear" w:color="auto" w:fill="FFFFFF"/>
        </w:rPr>
      </w:pPr>
    </w:p>
    <w:p w:rsidR="009F2C0F" w:rsidRPr="00C929CE" w:rsidRDefault="00EB7BF8" w:rsidP="00F869C4">
      <w:pPr>
        <w:pStyle w:val="western"/>
        <w:shd w:val="clear" w:color="auto" w:fill="FFFFFF"/>
        <w:spacing w:before="0" w:beforeAutospacing="0" w:after="0" w:afterAutospacing="0" w:line="360" w:lineRule="auto"/>
        <w:jc w:val="both"/>
        <w:rPr>
          <w:rFonts w:ascii="Arial" w:hAnsi="Arial" w:cs="Arial"/>
          <w:shd w:val="clear" w:color="auto" w:fill="FFFFFF"/>
        </w:rPr>
      </w:pPr>
      <w:r>
        <w:rPr>
          <w:rFonts w:ascii="Arial" w:hAnsi="Arial" w:cs="Arial"/>
          <w:shd w:val="clear" w:color="auto" w:fill="FFFFFF"/>
        </w:rPr>
        <w:t>[2]</w:t>
      </w:r>
      <w:r>
        <w:rPr>
          <w:rFonts w:ascii="Arial" w:hAnsi="Arial" w:cs="Arial"/>
          <w:shd w:val="clear" w:color="auto" w:fill="FFFFFF"/>
        </w:rPr>
        <w:tab/>
      </w:r>
      <w:r w:rsidR="009F2C0F">
        <w:rPr>
          <w:rFonts w:ascii="Arial" w:hAnsi="Arial" w:cs="Arial"/>
          <w:shd w:val="clear" w:color="auto" w:fill="FFFFFF"/>
        </w:rPr>
        <w:t xml:space="preserve">The </w:t>
      </w:r>
      <w:r w:rsidR="003F0546">
        <w:rPr>
          <w:rFonts w:ascii="Arial" w:hAnsi="Arial" w:cs="Arial"/>
          <w:shd w:val="clear" w:color="auto" w:fill="FFFFFF"/>
        </w:rPr>
        <w:t>cause of action of the plaintiff concerns the written agreement entered into between the parties to operate a casino in Windhoek and said agreement was signed on 10 November 2009.</w:t>
      </w:r>
    </w:p>
    <w:p w:rsidR="00FE5575" w:rsidRDefault="00FE5575" w:rsidP="00F869C4">
      <w:pPr>
        <w:spacing w:line="360" w:lineRule="auto"/>
        <w:rPr>
          <w:rFonts w:ascii="Arial" w:eastAsia="Arial" w:hAnsi="Arial" w:cs="Arial"/>
          <w:b/>
        </w:rPr>
      </w:pPr>
    </w:p>
    <w:p w:rsidR="00D26556" w:rsidRPr="00F869C4" w:rsidRDefault="00FE5575" w:rsidP="00F869C4">
      <w:pPr>
        <w:spacing w:line="360" w:lineRule="auto"/>
        <w:jc w:val="both"/>
        <w:rPr>
          <w:rFonts w:ascii="Arial" w:eastAsia="Arial" w:hAnsi="Arial" w:cs="Arial"/>
          <w:u w:val="single"/>
        </w:rPr>
      </w:pPr>
      <w:r w:rsidRPr="00F869C4">
        <w:rPr>
          <w:rFonts w:ascii="Arial" w:eastAsia="Arial" w:hAnsi="Arial" w:cs="Arial"/>
          <w:u w:val="single"/>
        </w:rPr>
        <w:t>How are the parties before court?</w:t>
      </w:r>
    </w:p>
    <w:p w:rsidR="00FE5575" w:rsidRDefault="00FE5575" w:rsidP="00F869C4">
      <w:pPr>
        <w:spacing w:line="360" w:lineRule="auto"/>
        <w:jc w:val="both"/>
        <w:rPr>
          <w:rFonts w:ascii="Arial" w:eastAsia="Arial" w:hAnsi="Arial" w:cs="Arial"/>
        </w:rPr>
      </w:pPr>
    </w:p>
    <w:p w:rsidR="00FE5575" w:rsidRPr="00FE5575" w:rsidRDefault="00FE5575" w:rsidP="00F869C4">
      <w:pPr>
        <w:spacing w:line="360" w:lineRule="auto"/>
        <w:jc w:val="both"/>
        <w:rPr>
          <w:rFonts w:ascii="Arial" w:eastAsiaTheme="minorEastAsia" w:hAnsi="Arial" w:cs="Arial"/>
          <w:lang w:val="en-US"/>
        </w:rPr>
      </w:pPr>
      <w:r w:rsidRPr="00FE5575">
        <w:rPr>
          <w:rFonts w:ascii="Arial" w:eastAsia="Arial" w:hAnsi="Arial" w:cs="Arial"/>
        </w:rPr>
        <w:t>[3]</w:t>
      </w:r>
      <w:r w:rsidRPr="00FE5575">
        <w:rPr>
          <w:rFonts w:ascii="Arial" w:eastAsia="Arial" w:hAnsi="Arial" w:cs="Arial"/>
        </w:rPr>
        <w:tab/>
      </w:r>
      <w:r w:rsidR="00197F87">
        <w:rPr>
          <w:rFonts w:ascii="Arial" w:eastAsia="Arial" w:hAnsi="Arial" w:cs="Arial"/>
        </w:rPr>
        <w:t xml:space="preserve">The defendant raised an exception to the plaintiff’s particulars of claim on various grounds and as a result of the exception </w:t>
      </w:r>
      <w:proofErr w:type="gramStart"/>
      <w:r w:rsidR="00197F87">
        <w:rPr>
          <w:rFonts w:ascii="Arial" w:eastAsia="Arial" w:hAnsi="Arial" w:cs="Arial"/>
        </w:rPr>
        <w:t>raised</w:t>
      </w:r>
      <w:proofErr w:type="gramEnd"/>
      <w:r w:rsidR="00F03DD5">
        <w:rPr>
          <w:rFonts w:ascii="Arial" w:eastAsia="Arial" w:hAnsi="Arial" w:cs="Arial"/>
        </w:rPr>
        <w:t>,</w:t>
      </w:r>
      <w:r w:rsidR="00197F87">
        <w:rPr>
          <w:rFonts w:ascii="Arial" w:eastAsia="Arial" w:hAnsi="Arial" w:cs="Arial"/>
        </w:rPr>
        <w:t xml:space="preserve"> the plaintiff gave notice of its intention to amend the particulars of claim in terms of </w:t>
      </w:r>
      <w:r w:rsidRPr="00FE5575">
        <w:rPr>
          <w:rFonts w:ascii="Arial" w:hAnsi="Arial" w:cs="Arial"/>
        </w:rPr>
        <w:t>Rule 52</w:t>
      </w:r>
      <w:r w:rsidR="00197F87">
        <w:rPr>
          <w:rFonts w:ascii="Arial" w:hAnsi="Arial" w:cs="Arial"/>
        </w:rPr>
        <w:t xml:space="preserve">(1), ostensibly to remove the cause of the exception. The defendant objected to the intended amendment which resulted in the application for leave to amend. </w:t>
      </w:r>
      <w:r w:rsidR="003571F6">
        <w:rPr>
          <w:rFonts w:ascii="Arial" w:hAnsi="Arial" w:cs="Arial"/>
        </w:rPr>
        <w:t>Rule 52</w:t>
      </w:r>
      <w:r w:rsidRPr="00FE5575">
        <w:rPr>
          <w:rFonts w:ascii="Arial" w:hAnsi="Arial" w:cs="Arial"/>
        </w:rPr>
        <w:t xml:space="preserve"> of the Rules of Court regulates the procedure to be followed when a party seeks to amend a pleading. The application of the rule involves the exercise of discretion by the court to which an application to amend has been made. That discretion must obviously be exercised judicially.</w:t>
      </w:r>
      <w:r w:rsidRPr="00FE5575">
        <w:rPr>
          <w:rFonts w:ascii="Arial" w:hAnsi="Arial" w:cs="Arial"/>
          <w:vertAlign w:val="superscript"/>
        </w:rPr>
        <w:footnoteReference w:id="2"/>
      </w:r>
      <w:r w:rsidRPr="00FE5575">
        <w:rPr>
          <w:rFonts w:ascii="Arial" w:hAnsi="Arial" w:cs="Arial"/>
        </w:rPr>
        <w:t xml:space="preserve"> </w:t>
      </w:r>
    </w:p>
    <w:p w:rsidR="00FE5575" w:rsidRDefault="00FE5575" w:rsidP="00F869C4">
      <w:pPr>
        <w:spacing w:line="360" w:lineRule="auto"/>
        <w:jc w:val="both"/>
        <w:rPr>
          <w:rFonts w:ascii="Arial" w:eastAsia="Arial" w:hAnsi="Arial" w:cs="Arial"/>
          <w:b/>
        </w:rPr>
      </w:pPr>
    </w:p>
    <w:p w:rsidR="00D26556" w:rsidRPr="00F869C4" w:rsidRDefault="00FE5575" w:rsidP="00F869C4">
      <w:pPr>
        <w:spacing w:line="360" w:lineRule="auto"/>
        <w:jc w:val="both"/>
        <w:rPr>
          <w:rFonts w:ascii="Arial" w:eastAsia="Arial" w:hAnsi="Arial" w:cs="Arial"/>
          <w:u w:val="single"/>
        </w:rPr>
      </w:pPr>
      <w:r w:rsidRPr="00F869C4">
        <w:rPr>
          <w:rFonts w:ascii="Arial" w:eastAsia="Arial" w:hAnsi="Arial" w:cs="Arial"/>
          <w:u w:val="single"/>
        </w:rPr>
        <w:lastRenderedPageBreak/>
        <w:t>Why are the parties before court?</w:t>
      </w:r>
    </w:p>
    <w:p w:rsidR="00FE5575" w:rsidRDefault="00FE5575" w:rsidP="00F869C4">
      <w:pPr>
        <w:spacing w:line="360" w:lineRule="auto"/>
        <w:jc w:val="both"/>
        <w:rPr>
          <w:rFonts w:ascii="Arial" w:eastAsia="Arial" w:hAnsi="Arial" w:cs="Arial"/>
          <w:b/>
        </w:rPr>
      </w:pPr>
    </w:p>
    <w:p w:rsidR="00F869C4" w:rsidRDefault="00FE5575" w:rsidP="00F869C4">
      <w:pPr>
        <w:spacing w:line="360" w:lineRule="auto"/>
        <w:jc w:val="both"/>
        <w:rPr>
          <w:rFonts w:ascii="Arial" w:eastAsia="Arial" w:hAnsi="Arial" w:cs="Arial"/>
        </w:rPr>
      </w:pPr>
      <w:r>
        <w:rPr>
          <w:rFonts w:ascii="Arial" w:eastAsia="Arial" w:hAnsi="Arial" w:cs="Arial"/>
        </w:rPr>
        <w:t>[4]</w:t>
      </w:r>
      <w:r>
        <w:rPr>
          <w:rFonts w:ascii="Arial" w:eastAsia="Arial" w:hAnsi="Arial" w:cs="Arial"/>
        </w:rPr>
        <w:tab/>
      </w:r>
      <w:r w:rsidR="005B751A">
        <w:rPr>
          <w:rFonts w:ascii="Arial" w:eastAsia="Arial" w:hAnsi="Arial" w:cs="Arial"/>
        </w:rPr>
        <w:t>The defendant raised an exception to the particulars of claim on various grounds</w:t>
      </w:r>
      <w:r w:rsidR="00F869C4">
        <w:rPr>
          <w:rFonts w:ascii="Arial" w:eastAsia="Arial" w:hAnsi="Arial" w:cs="Arial"/>
        </w:rPr>
        <w:t>, i.e.</w:t>
      </w:r>
      <w:r>
        <w:rPr>
          <w:rFonts w:ascii="Arial" w:eastAsia="Arial" w:hAnsi="Arial" w:cs="Arial"/>
        </w:rPr>
        <w:t xml:space="preserve"> </w:t>
      </w:r>
    </w:p>
    <w:p w:rsidR="00F869C4" w:rsidRDefault="00FE5575" w:rsidP="00F869C4">
      <w:pPr>
        <w:spacing w:line="360" w:lineRule="auto"/>
        <w:jc w:val="both"/>
        <w:rPr>
          <w:rFonts w:ascii="Arial" w:eastAsia="Arial" w:hAnsi="Arial" w:cs="Arial"/>
        </w:rPr>
      </w:pPr>
      <w:r>
        <w:rPr>
          <w:rFonts w:ascii="Arial" w:eastAsia="Arial" w:hAnsi="Arial" w:cs="Arial"/>
        </w:rPr>
        <w:tab/>
      </w:r>
    </w:p>
    <w:p w:rsidR="00FE5575" w:rsidRDefault="00FE5575" w:rsidP="00F869C4">
      <w:pPr>
        <w:spacing w:line="360" w:lineRule="auto"/>
        <w:jc w:val="both"/>
        <w:rPr>
          <w:rFonts w:ascii="Arial" w:eastAsia="Arial" w:hAnsi="Arial" w:cs="Arial"/>
        </w:rPr>
      </w:pPr>
      <w:r>
        <w:rPr>
          <w:rFonts w:ascii="Arial" w:eastAsia="Arial" w:hAnsi="Arial" w:cs="Arial"/>
        </w:rPr>
        <w:t>a)</w:t>
      </w:r>
      <w:r>
        <w:rPr>
          <w:rFonts w:ascii="Arial" w:eastAsia="Arial" w:hAnsi="Arial" w:cs="Arial"/>
        </w:rPr>
        <w:tab/>
      </w:r>
      <w:proofErr w:type="gramStart"/>
      <w:r w:rsidR="00F03DD5" w:rsidRPr="009875F9">
        <w:rPr>
          <w:rFonts w:ascii="Arial" w:eastAsia="Arial" w:hAnsi="Arial" w:cs="Arial"/>
        </w:rPr>
        <w:t>the</w:t>
      </w:r>
      <w:proofErr w:type="gramEnd"/>
      <w:r w:rsidR="00F03DD5">
        <w:rPr>
          <w:rFonts w:ascii="Arial" w:eastAsia="Arial" w:hAnsi="Arial" w:cs="Arial"/>
        </w:rPr>
        <w:t xml:space="preserve"> n</w:t>
      </w:r>
      <w:r>
        <w:rPr>
          <w:rFonts w:ascii="Arial" w:eastAsia="Arial" w:hAnsi="Arial" w:cs="Arial"/>
        </w:rPr>
        <w:t>on-joinder of the nominee company</w:t>
      </w:r>
      <w:r w:rsidR="00F03DD5">
        <w:rPr>
          <w:rFonts w:ascii="Arial" w:eastAsia="Arial" w:hAnsi="Arial" w:cs="Arial"/>
        </w:rPr>
        <w:t>.</w:t>
      </w:r>
    </w:p>
    <w:p w:rsidR="00F869C4" w:rsidRDefault="00F869C4" w:rsidP="00F869C4">
      <w:pPr>
        <w:spacing w:line="360" w:lineRule="auto"/>
        <w:jc w:val="both"/>
        <w:rPr>
          <w:rFonts w:ascii="Arial" w:eastAsia="Arial" w:hAnsi="Arial" w:cs="Arial"/>
        </w:rPr>
      </w:pPr>
    </w:p>
    <w:p w:rsidR="00FE5575" w:rsidRDefault="00FE5575" w:rsidP="00F869C4">
      <w:pPr>
        <w:spacing w:line="360" w:lineRule="auto"/>
        <w:jc w:val="both"/>
        <w:rPr>
          <w:rFonts w:ascii="Arial" w:eastAsia="Arial" w:hAnsi="Arial" w:cs="Arial"/>
        </w:rPr>
      </w:pPr>
      <w:r>
        <w:rPr>
          <w:rFonts w:ascii="Arial" w:eastAsia="Arial" w:hAnsi="Arial" w:cs="Arial"/>
        </w:rPr>
        <w:t>b)</w:t>
      </w:r>
      <w:r>
        <w:rPr>
          <w:rFonts w:ascii="Arial" w:eastAsia="Arial" w:hAnsi="Arial" w:cs="Arial"/>
        </w:rPr>
        <w:tab/>
        <w:t>that the written agreement is unenforceable due to it bein</w:t>
      </w:r>
      <w:r w:rsidR="00F03DD5">
        <w:rPr>
          <w:rFonts w:ascii="Arial" w:eastAsia="Arial" w:hAnsi="Arial" w:cs="Arial"/>
        </w:rPr>
        <w:t>g in violation of s 25(1)(a) and (b) and s</w:t>
      </w:r>
      <w:r>
        <w:rPr>
          <w:rFonts w:ascii="Arial" w:eastAsia="Arial" w:hAnsi="Arial" w:cs="Arial"/>
        </w:rPr>
        <w:t xml:space="preserve"> </w:t>
      </w:r>
      <w:r w:rsidR="009875F9">
        <w:rPr>
          <w:rFonts w:ascii="Arial" w:eastAsia="Arial" w:hAnsi="Arial" w:cs="Arial"/>
        </w:rPr>
        <w:t>33</w:t>
      </w:r>
      <w:r>
        <w:rPr>
          <w:rFonts w:ascii="Arial" w:eastAsia="Arial" w:hAnsi="Arial" w:cs="Arial"/>
        </w:rPr>
        <w:t xml:space="preserve"> of the Casino and Gambling Houses Act, Act 32 of 1994 (as amended)</w:t>
      </w:r>
      <w:r w:rsidR="00197F87">
        <w:rPr>
          <w:rFonts w:ascii="Arial" w:eastAsia="Arial" w:hAnsi="Arial" w:cs="Arial"/>
        </w:rPr>
        <w:t>;</w:t>
      </w:r>
    </w:p>
    <w:p w:rsidR="00F869C4" w:rsidRDefault="00F869C4" w:rsidP="00F869C4">
      <w:pPr>
        <w:spacing w:line="360" w:lineRule="auto"/>
        <w:jc w:val="both"/>
        <w:rPr>
          <w:rFonts w:ascii="Arial" w:eastAsia="Arial" w:hAnsi="Arial" w:cs="Arial"/>
        </w:rPr>
      </w:pPr>
    </w:p>
    <w:p w:rsidR="00197F87" w:rsidRDefault="00197F87" w:rsidP="00F869C4">
      <w:pPr>
        <w:spacing w:line="360" w:lineRule="auto"/>
        <w:jc w:val="both"/>
        <w:rPr>
          <w:rFonts w:ascii="Arial" w:eastAsia="Arial" w:hAnsi="Arial" w:cs="Arial"/>
        </w:rPr>
      </w:pPr>
      <w:r>
        <w:rPr>
          <w:rFonts w:ascii="Arial" w:eastAsia="Arial" w:hAnsi="Arial" w:cs="Arial"/>
        </w:rPr>
        <w:t>c)</w:t>
      </w:r>
      <w:r>
        <w:rPr>
          <w:rFonts w:ascii="Arial" w:eastAsia="Arial" w:hAnsi="Arial" w:cs="Arial"/>
        </w:rPr>
        <w:tab/>
      </w:r>
      <w:proofErr w:type="gramStart"/>
      <w:r>
        <w:rPr>
          <w:rFonts w:ascii="Arial" w:eastAsia="Arial" w:hAnsi="Arial" w:cs="Arial"/>
        </w:rPr>
        <w:t>vi</w:t>
      </w:r>
      <w:r w:rsidR="00F03DD5">
        <w:rPr>
          <w:rFonts w:ascii="Arial" w:eastAsia="Arial" w:hAnsi="Arial" w:cs="Arial"/>
        </w:rPr>
        <w:t>olation</w:t>
      </w:r>
      <w:proofErr w:type="gramEnd"/>
      <w:r w:rsidR="00F03DD5">
        <w:rPr>
          <w:rFonts w:ascii="Arial" w:eastAsia="Arial" w:hAnsi="Arial" w:cs="Arial"/>
        </w:rPr>
        <w:t xml:space="preserve"> of provisions of s</w:t>
      </w:r>
      <w:r>
        <w:rPr>
          <w:rFonts w:ascii="Arial" w:eastAsia="Arial" w:hAnsi="Arial" w:cs="Arial"/>
        </w:rPr>
        <w:t xml:space="preserve"> 38 of the aforementioned Act.</w:t>
      </w:r>
    </w:p>
    <w:p w:rsidR="003F0546" w:rsidRDefault="005B751A" w:rsidP="00F869C4">
      <w:pPr>
        <w:spacing w:line="360" w:lineRule="auto"/>
        <w:jc w:val="both"/>
        <w:rPr>
          <w:rFonts w:ascii="Arial" w:eastAsia="Arial" w:hAnsi="Arial" w:cs="Arial"/>
        </w:rPr>
      </w:pPr>
      <w:r>
        <w:rPr>
          <w:rFonts w:ascii="Arial" w:eastAsia="Arial" w:hAnsi="Arial" w:cs="Arial"/>
        </w:rPr>
        <w:t xml:space="preserve"> </w:t>
      </w:r>
    </w:p>
    <w:p w:rsidR="003F0546" w:rsidRPr="00F869C4" w:rsidRDefault="00F03DD5" w:rsidP="00F869C4">
      <w:pPr>
        <w:spacing w:line="360" w:lineRule="auto"/>
        <w:jc w:val="both"/>
        <w:rPr>
          <w:rFonts w:ascii="Arial" w:eastAsia="Arial" w:hAnsi="Arial" w:cs="Arial"/>
          <w:u w:val="single"/>
        </w:rPr>
      </w:pPr>
      <w:r w:rsidRPr="00F869C4">
        <w:rPr>
          <w:rFonts w:ascii="Arial" w:eastAsia="Arial" w:hAnsi="Arial" w:cs="Arial"/>
          <w:u w:val="single"/>
        </w:rPr>
        <w:t>Submissions by the parties</w:t>
      </w:r>
    </w:p>
    <w:p w:rsidR="00F03DD5" w:rsidRPr="00EE769F" w:rsidRDefault="00F03DD5" w:rsidP="00F869C4">
      <w:pPr>
        <w:spacing w:line="360" w:lineRule="auto"/>
        <w:jc w:val="both"/>
        <w:rPr>
          <w:rFonts w:ascii="Arial" w:eastAsia="Arial" w:hAnsi="Arial" w:cs="Arial"/>
          <w:b/>
        </w:rPr>
      </w:pPr>
    </w:p>
    <w:p w:rsidR="005B751A" w:rsidRDefault="00EE769F" w:rsidP="00F869C4">
      <w:pPr>
        <w:spacing w:line="360" w:lineRule="auto"/>
        <w:jc w:val="both"/>
        <w:rPr>
          <w:rFonts w:ascii="Arial" w:eastAsia="Arial" w:hAnsi="Arial" w:cs="Arial"/>
        </w:rPr>
      </w:pPr>
      <w:r>
        <w:rPr>
          <w:rFonts w:ascii="Arial" w:eastAsia="Arial" w:hAnsi="Arial" w:cs="Arial"/>
        </w:rPr>
        <w:t xml:space="preserve">[5] </w:t>
      </w:r>
      <w:r>
        <w:rPr>
          <w:rFonts w:ascii="Arial" w:eastAsia="Arial" w:hAnsi="Arial" w:cs="Arial"/>
        </w:rPr>
        <w:tab/>
      </w:r>
      <w:r w:rsidR="00F03DD5" w:rsidRPr="009875F9">
        <w:rPr>
          <w:rFonts w:ascii="Arial" w:eastAsia="Arial" w:hAnsi="Arial" w:cs="Arial"/>
        </w:rPr>
        <w:t>The</w:t>
      </w:r>
      <w:r w:rsidR="00F03DD5" w:rsidRPr="00F03DD5">
        <w:rPr>
          <w:rFonts w:ascii="Arial" w:eastAsia="Arial" w:hAnsi="Arial" w:cs="Arial"/>
          <w:color w:val="FF0000"/>
        </w:rPr>
        <w:t xml:space="preserve"> </w:t>
      </w:r>
      <w:r w:rsidR="00F03DD5">
        <w:rPr>
          <w:rFonts w:ascii="Arial" w:eastAsia="Arial" w:hAnsi="Arial" w:cs="Arial"/>
        </w:rPr>
        <w:t>d</w:t>
      </w:r>
      <w:r w:rsidR="005B751A">
        <w:rPr>
          <w:rFonts w:ascii="Arial" w:eastAsia="Arial" w:hAnsi="Arial" w:cs="Arial"/>
        </w:rPr>
        <w:t xml:space="preserve">efendant’s objection to the intended amendment is on the basis that it is </w:t>
      </w:r>
      <w:proofErr w:type="spellStart"/>
      <w:r w:rsidR="005B751A">
        <w:rPr>
          <w:rFonts w:ascii="Arial" w:eastAsia="Arial" w:hAnsi="Arial" w:cs="Arial"/>
        </w:rPr>
        <w:t>excipiable</w:t>
      </w:r>
      <w:proofErr w:type="spellEnd"/>
      <w:r w:rsidR="005B751A">
        <w:rPr>
          <w:rFonts w:ascii="Arial" w:eastAsia="Arial" w:hAnsi="Arial" w:cs="Arial"/>
        </w:rPr>
        <w:t xml:space="preserve"> as it perpetuates </w:t>
      </w:r>
      <w:r w:rsidR="00F03DD5">
        <w:rPr>
          <w:rFonts w:ascii="Arial" w:eastAsia="Arial" w:hAnsi="Arial" w:cs="Arial"/>
        </w:rPr>
        <w:t>the failure to disclose a cause</w:t>
      </w:r>
      <w:r w:rsidR="005B751A">
        <w:rPr>
          <w:rFonts w:ascii="Arial" w:eastAsia="Arial" w:hAnsi="Arial" w:cs="Arial"/>
        </w:rPr>
        <w:t xml:space="preserve"> of action </w:t>
      </w:r>
      <w:r>
        <w:rPr>
          <w:rFonts w:ascii="Arial" w:eastAsia="Arial" w:hAnsi="Arial" w:cs="Arial"/>
        </w:rPr>
        <w:t>due to</w:t>
      </w:r>
      <w:r w:rsidR="005B751A">
        <w:rPr>
          <w:rFonts w:ascii="Arial" w:eastAsia="Arial" w:hAnsi="Arial" w:cs="Arial"/>
        </w:rPr>
        <w:t xml:space="preserve"> the written agreement being in violat</w:t>
      </w:r>
      <w:r w:rsidR="00F03DD5">
        <w:rPr>
          <w:rFonts w:ascii="Arial" w:eastAsia="Arial" w:hAnsi="Arial" w:cs="Arial"/>
        </w:rPr>
        <w:t xml:space="preserve">ion of the Casino and Gambling </w:t>
      </w:r>
      <w:r w:rsidR="005B751A">
        <w:rPr>
          <w:rFonts w:ascii="Arial" w:eastAsia="Arial" w:hAnsi="Arial" w:cs="Arial"/>
        </w:rPr>
        <w:t xml:space="preserve">Houses Act, Act 32 of 1994 (as amended) and therefore </w:t>
      </w:r>
      <w:r w:rsidR="000364B0">
        <w:rPr>
          <w:rFonts w:ascii="Arial" w:eastAsia="Arial" w:hAnsi="Arial" w:cs="Arial"/>
        </w:rPr>
        <w:t xml:space="preserve">unlawful and unenforceable. </w:t>
      </w:r>
    </w:p>
    <w:p w:rsidR="00EE769F" w:rsidRDefault="00EE769F" w:rsidP="00F869C4">
      <w:pPr>
        <w:spacing w:line="360" w:lineRule="auto"/>
        <w:jc w:val="both"/>
        <w:rPr>
          <w:rFonts w:ascii="Arial" w:eastAsia="Arial" w:hAnsi="Arial" w:cs="Arial"/>
        </w:rPr>
      </w:pPr>
    </w:p>
    <w:p w:rsidR="00EE769F" w:rsidRDefault="00EE769F" w:rsidP="00F869C4">
      <w:pPr>
        <w:spacing w:line="360" w:lineRule="auto"/>
        <w:jc w:val="both"/>
        <w:rPr>
          <w:rFonts w:ascii="Arial" w:eastAsia="Arial" w:hAnsi="Arial" w:cs="Arial"/>
        </w:rPr>
      </w:pPr>
      <w:r>
        <w:rPr>
          <w:rFonts w:ascii="Arial" w:eastAsia="Arial" w:hAnsi="Arial" w:cs="Arial"/>
        </w:rPr>
        <w:t>[6]</w:t>
      </w:r>
      <w:r>
        <w:rPr>
          <w:rFonts w:ascii="Arial" w:eastAsia="Arial" w:hAnsi="Arial" w:cs="Arial"/>
        </w:rPr>
        <w:tab/>
      </w:r>
      <w:r w:rsidR="00F03DD5" w:rsidRPr="009875F9">
        <w:rPr>
          <w:rFonts w:ascii="Arial" w:eastAsia="Arial" w:hAnsi="Arial" w:cs="Arial"/>
        </w:rPr>
        <w:t>The</w:t>
      </w:r>
      <w:r w:rsidR="00F03DD5">
        <w:rPr>
          <w:rFonts w:ascii="Arial" w:eastAsia="Arial" w:hAnsi="Arial" w:cs="Arial"/>
        </w:rPr>
        <w:t xml:space="preserve"> f</w:t>
      </w:r>
      <w:r w:rsidR="009C3929">
        <w:rPr>
          <w:rFonts w:ascii="Arial" w:eastAsia="Arial" w:hAnsi="Arial" w:cs="Arial"/>
        </w:rPr>
        <w:t>irst objection entails a plea of non-joinder of the nominee company</w:t>
      </w:r>
      <w:r w:rsidR="009875F9">
        <w:rPr>
          <w:rFonts w:ascii="Arial" w:eastAsia="Arial" w:hAnsi="Arial" w:cs="Arial"/>
        </w:rPr>
        <w:t xml:space="preserve">. Defendant </w:t>
      </w:r>
      <w:r w:rsidR="006503AE">
        <w:rPr>
          <w:rFonts w:ascii="Arial" w:eastAsia="Arial" w:hAnsi="Arial" w:cs="Arial"/>
        </w:rPr>
        <w:t xml:space="preserve">based the objection of on the fact </w:t>
      </w:r>
      <w:r w:rsidR="009875F9">
        <w:rPr>
          <w:rFonts w:ascii="Arial" w:eastAsia="Arial" w:hAnsi="Arial" w:cs="Arial"/>
        </w:rPr>
        <w:t>that if the amendment is allowed it would refer to another entity</w:t>
      </w:r>
      <w:r w:rsidR="006503AE">
        <w:rPr>
          <w:rFonts w:ascii="Arial" w:eastAsia="Arial" w:hAnsi="Arial" w:cs="Arial"/>
        </w:rPr>
        <w:t>, i.e. ‘Pride of Africa Hospitality (Pty) Ltd trading as Plaza Casino’, who would have a direct and substantial interest in the proceedings and its outcome.</w:t>
      </w:r>
      <w:r w:rsidR="00B359C2">
        <w:rPr>
          <w:rFonts w:ascii="Arial" w:eastAsia="Arial" w:hAnsi="Arial" w:cs="Arial"/>
        </w:rPr>
        <w:t xml:space="preserve"> </w:t>
      </w:r>
      <w:r w:rsidR="006503AE">
        <w:rPr>
          <w:rFonts w:ascii="Arial" w:eastAsia="Arial" w:hAnsi="Arial" w:cs="Arial"/>
        </w:rPr>
        <w:t xml:space="preserve">Defendant argued </w:t>
      </w:r>
      <w:r w:rsidR="00B359C2">
        <w:rPr>
          <w:rFonts w:ascii="Arial" w:eastAsia="Arial" w:hAnsi="Arial" w:cs="Arial"/>
        </w:rPr>
        <w:t>that it will not serve any purpose to allow the amendment</w:t>
      </w:r>
      <w:r w:rsidR="00F03DD5">
        <w:rPr>
          <w:rFonts w:ascii="Arial" w:eastAsia="Arial" w:hAnsi="Arial" w:cs="Arial"/>
        </w:rPr>
        <w:t xml:space="preserve">. </w:t>
      </w:r>
      <w:r w:rsidR="00F03DD5" w:rsidRPr="009875F9">
        <w:rPr>
          <w:rFonts w:ascii="Arial" w:eastAsia="Arial" w:hAnsi="Arial" w:cs="Arial"/>
        </w:rPr>
        <w:t>The</w:t>
      </w:r>
      <w:r w:rsidR="00F03DD5">
        <w:rPr>
          <w:rFonts w:ascii="Arial" w:eastAsia="Arial" w:hAnsi="Arial" w:cs="Arial"/>
        </w:rPr>
        <w:t xml:space="preserve"> d</w:t>
      </w:r>
      <w:r w:rsidR="00A21B53">
        <w:rPr>
          <w:rFonts w:ascii="Arial" w:eastAsia="Arial" w:hAnsi="Arial" w:cs="Arial"/>
        </w:rPr>
        <w:t xml:space="preserve">efendant contends that the agreement between the parties does not make provision for assignment. </w:t>
      </w:r>
    </w:p>
    <w:p w:rsidR="00EE769F" w:rsidRDefault="00EE769F" w:rsidP="00F869C4">
      <w:pPr>
        <w:spacing w:line="360" w:lineRule="auto"/>
        <w:jc w:val="both"/>
        <w:rPr>
          <w:rFonts w:ascii="Arial" w:eastAsia="Arial" w:hAnsi="Arial" w:cs="Arial"/>
        </w:rPr>
      </w:pPr>
    </w:p>
    <w:p w:rsidR="009C3929" w:rsidRPr="0081459E" w:rsidRDefault="00EE769F" w:rsidP="00F869C4">
      <w:pPr>
        <w:spacing w:line="360" w:lineRule="auto"/>
        <w:jc w:val="both"/>
        <w:rPr>
          <w:rFonts w:ascii="Arial" w:eastAsia="Arial" w:hAnsi="Arial" w:cs="Arial"/>
          <w:color w:val="FF0000"/>
        </w:rPr>
      </w:pPr>
      <w:r>
        <w:rPr>
          <w:rFonts w:ascii="Arial" w:eastAsia="Arial" w:hAnsi="Arial" w:cs="Arial"/>
        </w:rPr>
        <w:t>[7]</w:t>
      </w:r>
      <w:r>
        <w:rPr>
          <w:rFonts w:ascii="Arial" w:eastAsia="Arial" w:hAnsi="Arial" w:cs="Arial"/>
        </w:rPr>
        <w:tab/>
      </w:r>
      <w:r w:rsidR="00A21B53">
        <w:rPr>
          <w:rFonts w:ascii="Arial" w:eastAsia="Arial" w:hAnsi="Arial" w:cs="Arial"/>
        </w:rPr>
        <w:t>The second objection to the intended amendment of the particulars of claim is that the written agreement is unenforceable due to it being in violation</w:t>
      </w:r>
      <w:r w:rsidR="00F03DD5">
        <w:rPr>
          <w:rFonts w:ascii="Arial" w:eastAsia="Arial" w:hAnsi="Arial" w:cs="Arial"/>
        </w:rPr>
        <w:t xml:space="preserve"> of s</w:t>
      </w:r>
      <w:r w:rsidR="00A21B53">
        <w:rPr>
          <w:rFonts w:ascii="Arial" w:eastAsia="Arial" w:hAnsi="Arial" w:cs="Arial"/>
        </w:rPr>
        <w:t xml:space="preserve"> </w:t>
      </w:r>
      <w:r w:rsidR="00F03DD5" w:rsidRPr="009875F9">
        <w:rPr>
          <w:rFonts w:ascii="Arial" w:eastAsia="Arial" w:hAnsi="Arial" w:cs="Arial"/>
        </w:rPr>
        <w:t>25(1)(a) and (b) and s</w:t>
      </w:r>
      <w:r w:rsidR="00A21B53" w:rsidRPr="009875F9">
        <w:rPr>
          <w:rFonts w:ascii="Arial" w:eastAsia="Arial" w:hAnsi="Arial" w:cs="Arial"/>
        </w:rPr>
        <w:t xml:space="preserve"> </w:t>
      </w:r>
      <w:r w:rsidR="009875F9">
        <w:rPr>
          <w:rFonts w:ascii="Arial" w:eastAsia="Arial" w:hAnsi="Arial" w:cs="Arial"/>
        </w:rPr>
        <w:t>3</w:t>
      </w:r>
      <w:r w:rsidR="006503AE">
        <w:rPr>
          <w:rFonts w:ascii="Arial" w:eastAsia="Arial" w:hAnsi="Arial" w:cs="Arial"/>
        </w:rPr>
        <w:t>8</w:t>
      </w:r>
      <w:r w:rsidR="00A21B53" w:rsidRPr="009875F9">
        <w:rPr>
          <w:rFonts w:ascii="Arial" w:eastAsia="Arial" w:hAnsi="Arial" w:cs="Arial"/>
        </w:rPr>
        <w:t xml:space="preserve"> of the Casino and Gambling Houses Act. </w:t>
      </w:r>
    </w:p>
    <w:p w:rsidR="00EE769F" w:rsidRPr="0081459E" w:rsidRDefault="00EE769F" w:rsidP="00F869C4">
      <w:pPr>
        <w:spacing w:line="360" w:lineRule="auto"/>
        <w:jc w:val="both"/>
        <w:rPr>
          <w:rFonts w:ascii="Arial" w:eastAsia="Arial" w:hAnsi="Arial" w:cs="Arial"/>
          <w:color w:val="FF0000"/>
        </w:rPr>
      </w:pPr>
    </w:p>
    <w:p w:rsidR="00EE7A7B" w:rsidRDefault="00EE769F" w:rsidP="00F869C4">
      <w:pPr>
        <w:spacing w:line="360" w:lineRule="auto"/>
        <w:jc w:val="both"/>
        <w:rPr>
          <w:rFonts w:ascii="Arial" w:eastAsia="Arial" w:hAnsi="Arial" w:cs="Arial"/>
          <w:color w:val="FF0000"/>
        </w:rPr>
      </w:pPr>
      <w:r>
        <w:rPr>
          <w:rFonts w:ascii="Arial" w:eastAsia="Arial" w:hAnsi="Arial" w:cs="Arial"/>
        </w:rPr>
        <w:t>[8]</w:t>
      </w:r>
      <w:r>
        <w:rPr>
          <w:rFonts w:ascii="Arial" w:eastAsia="Arial" w:hAnsi="Arial" w:cs="Arial"/>
        </w:rPr>
        <w:tab/>
      </w:r>
      <w:r w:rsidR="00A21B53">
        <w:rPr>
          <w:rFonts w:ascii="Arial" w:eastAsia="Arial" w:hAnsi="Arial" w:cs="Arial"/>
        </w:rPr>
        <w:t>In reply</w:t>
      </w:r>
      <w:r w:rsidR="00F03DD5">
        <w:rPr>
          <w:rFonts w:ascii="Arial" w:eastAsia="Arial" w:hAnsi="Arial" w:cs="Arial"/>
        </w:rPr>
        <w:t>,</w:t>
      </w:r>
      <w:r w:rsidR="00A21B53">
        <w:rPr>
          <w:rFonts w:ascii="Arial" w:eastAsia="Arial" w:hAnsi="Arial" w:cs="Arial"/>
        </w:rPr>
        <w:t xml:space="preserve"> the plaintiff argued on the issue of non-joinder of the nominee company</w:t>
      </w:r>
      <w:r w:rsidR="00B770E9">
        <w:rPr>
          <w:rFonts w:ascii="Arial" w:eastAsia="Arial" w:hAnsi="Arial" w:cs="Arial"/>
        </w:rPr>
        <w:t>,</w:t>
      </w:r>
      <w:r w:rsidR="00A21B53">
        <w:rPr>
          <w:rFonts w:ascii="Arial" w:eastAsia="Arial" w:hAnsi="Arial" w:cs="Arial"/>
        </w:rPr>
        <w:t xml:space="preserve"> that a nominee </w:t>
      </w:r>
      <w:r w:rsidR="00A21B53" w:rsidRPr="006503AE">
        <w:rPr>
          <w:rFonts w:ascii="Arial" w:eastAsia="Arial" w:hAnsi="Arial" w:cs="Arial"/>
        </w:rPr>
        <w:t>can</w:t>
      </w:r>
      <w:r w:rsidR="009875F9" w:rsidRPr="006503AE">
        <w:rPr>
          <w:rFonts w:ascii="Arial" w:eastAsia="Arial" w:hAnsi="Arial" w:cs="Arial"/>
        </w:rPr>
        <w:t xml:space="preserve"> be,</w:t>
      </w:r>
      <w:r w:rsidR="00A21B53" w:rsidRPr="006503AE">
        <w:rPr>
          <w:rFonts w:ascii="Arial" w:eastAsia="Arial" w:hAnsi="Arial" w:cs="Arial"/>
        </w:rPr>
        <w:t xml:space="preserve"> an</w:t>
      </w:r>
      <w:r w:rsidR="0081459E" w:rsidRPr="006503AE">
        <w:rPr>
          <w:rFonts w:ascii="Arial" w:eastAsia="Arial" w:hAnsi="Arial" w:cs="Arial"/>
        </w:rPr>
        <w:t>d</w:t>
      </w:r>
      <w:r w:rsidR="00A21B53" w:rsidRPr="006503AE">
        <w:rPr>
          <w:rFonts w:ascii="Arial" w:eastAsia="Arial" w:hAnsi="Arial" w:cs="Arial"/>
        </w:rPr>
        <w:t xml:space="preserve"> often </w:t>
      </w:r>
      <w:r w:rsidR="00A21B53">
        <w:rPr>
          <w:rFonts w:ascii="Arial" w:eastAsia="Arial" w:hAnsi="Arial" w:cs="Arial"/>
        </w:rPr>
        <w:t>is</w:t>
      </w:r>
      <w:r w:rsidR="009875F9">
        <w:rPr>
          <w:rFonts w:ascii="Arial" w:eastAsia="Arial" w:hAnsi="Arial" w:cs="Arial"/>
        </w:rPr>
        <w:t>,</w:t>
      </w:r>
      <w:r w:rsidR="00A21B53">
        <w:rPr>
          <w:rFonts w:ascii="Arial" w:eastAsia="Arial" w:hAnsi="Arial" w:cs="Arial"/>
        </w:rPr>
        <w:t xml:space="preserve"> a representative or agent of a party holding right and acting on behalf of its principal and </w:t>
      </w:r>
      <w:r w:rsidR="00A21B53" w:rsidRPr="006503AE">
        <w:rPr>
          <w:rFonts w:ascii="Arial" w:eastAsia="Arial" w:hAnsi="Arial" w:cs="Arial"/>
        </w:rPr>
        <w:t xml:space="preserve">that on be the most beneficial interpretation this would be eminently plausible. </w:t>
      </w:r>
      <w:r w:rsidR="009875F9" w:rsidRPr="006503AE">
        <w:rPr>
          <w:rFonts w:ascii="Arial" w:eastAsia="Arial" w:hAnsi="Arial" w:cs="Arial"/>
        </w:rPr>
        <w:t xml:space="preserve">Plaintiff argued that what the actual arrangement between the defendant and Pride of Africa Hospitality (Pty) Ltd is will be a matter for evidence. </w:t>
      </w:r>
    </w:p>
    <w:p w:rsidR="009875F9" w:rsidRDefault="009875F9" w:rsidP="00F869C4">
      <w:pPr>
        <w:spacing w:line="360" w:lineRule="auto"/>
        <w:jc w:val="both"/>
        <w:rPr>
          <w:rFonts w:ascii="Arial" w:eastAsia="Arial" w:hAnsi="Arial" w:cs="Arial"/>
        </w:rPr>
      </w:pPr>
    </w:p>
    <w:p w:rsidR="00A21B53" w:rsidRDefault="00EE769F" w:rsidP="00F869C4">
      <w:pPr>
        <w:spacing w:line="360" w:lineRule="auto"/>
        <w:jc w:val="both"/>
        <w:rPr>
          <w:rFonts w:ascii="Arial" w:eastAsia="Arial" w:hAnsi="Arial" w:cs="Arial"/>
        </w:rPr>
      </w:pPr>
      <w:r>
        <w:rPr>
          <w:rFonts w:ascii="Arial" w:eastAsia="Arial" w:hAnsi="Arial" w:cs="Arial"/>
        </w:rPr>
        <w:t>[9]</w:t>
      </w:r>
      <w:r>
        <w:rPr>
          <w:rFonts w:ascii="Arial" w:eastAsia="Arial" w:hAnsi="Arial" w:cs="Arial"/>
        </w:rPr>
        <w:tab/>
      </w:r>
      <w:r w:rsidR="00A21B53">
        <w:rPr>
          <w:rFonts w:ascii="Arial" w:eastAsia="Arial" w:hAnsi="Arial" w:cs="Arial"/>
        </w:rPr>
        <w:t xml:space="preserve">Plaintiff further argues </w:t>
      </w:r>
      <w:r>
        <w:rPr>
          <w:rFonts w:ascii="Arial" w:eastAsia="Arial" w:hAnsi="Arial" w:cs="Arial"/>
        </w:rPr>
        <w:t>there is nothing i</w:t>
      </w:r>
      <w:r w:rsidR="00B770E9">
        <w:rPr>
          <w:rFonts w:ascii="Arial" w:eastAsia="Arial" w:hAnsi="Arial" w:cs="Arial"/>
        </w:rPr>
        <w:t>n the Act, particularly s</w:t>
      </w:r>
      <w:r>
        <w:rPr>
          <w:rFonts w:ascii="Arial" w:eastAsia="Arial" w:hAnsi="Arial" w:cs="Arial"/>
        </w:rPr>
        <w:t xml:space="preserve"> 25 and </w:t>
      </w:r>
      <w:r w:rsidR="00B770E9">
        <w:rPr>
          <w:rFonts w:ascii="Arial" w:eastAsia="Arial" w:hAnsi="Arial" w:cs="Arial"/>
        </w:rPr>
        <w:t xml:space="preserve">s </w:t>
      </w:r>
      <w:r>
        <w:rPr>
          <w:rFonts w:ascii="Arial" w:eastAsia="Arial" w:hAnsi="Arial" w:cs="Arial"/>
        </w:rPr>
        <w:t>3</w:t>
      </w:r>
      <w:r w:rsidR="009E0019">
        <w:rPr>
          <w:rFonts w:ascii="Arial" w:eastAsia="Arial" w:hAnsi="Arial" w:cs="Arial"/>
        </w:rPr>
        <w:t>8</w:t>
      </w:r>
      <w:r>
        <w:rPr>
          <w:rFonts w:ascii="Arial" w:eastAsia="Arial" w:hAnsi="Arial" w:cs="Arial"/>
        </w:rPr>
        <w:t xml:space="preserve">, which is to the effect that a contravention would amount to </w:t>
      </w:r>
      <w:r w:rsidR="00B770E9" w:rsidRPr="006503AE">
        <w:rPr>
          <w:rFonts w:ascii="Arial" w:eastAsia="Arial" w:hAnsi="Arial" w:cs="Arial"/>
        </w:rPr>
        <w:t>an</w:t>
      </w:r>
      <w:r w:rsidR="00B770E9">
        <w:rPr>
          <w:rFonts w:ascii="Arial" w:eastAsia="Arial" w:hAnsi="Arial" w:cs="Arial"/>
        </w:rPr>
        <w:t xml:space="preserve"> </w:t>
      </w:r>
      <w:r>
        <w:rPr>
          <w:rFonts w:ascii="Arial" w:eastAsia="Arial" w:hAnsi="Arial" w:cs="Arial"/>
        </w:rPr>
        <w:t xml:space="preserve">underlying contract being null and void and upon following the </w:t>
      </w:r>
      <w:r w:rsidRPr="00BA68FE">
        <w:rPr>
          <w:rFonts w:ascii="Arial" w:eastAsia="Arial" w:hAnsi="Arial" w:cs="Arial"/>
          <w:i/>
        </w:rPr>
        <w:t xml:space="preserve">Standard Bank v Estate van </w:t>
      </w:r>
      <w:proofErr w:type="spellStart"/>
      <w:r w:rsidRPr="00BA68FE">
        <w:rPr>
          <w:rFonts w:ascii="Arial" w:eastAsia="Arial" w:hAnsi="Arial" w:cs="Arial"/>
          <w:i/>
        </w:rPr>
        <w:t>Rhyn</w:t>
      </w:r>
      <w:proofErr w:type="spellEnd"/>
      <w:r w:rsidR="00B770E9">
        <w:rPr>
          <w:rStyle w:val="FootnoteReference"/>
          <w:rFonts w:ascii="Arial" w:eastAsia="Arial" w:hAnsi="Arial" w:cs="Arial"/>
        </w:rPr>
        <w:footnoteReference w:id="3"/>
      </w:r>
      <w:r>
        <w:rPr>
          <w:rFonts w:ascii="Arial" w:eastAsia="Arial" w:hAnsi="Arial" w:cs="Arial"/>
        </w:rPr>
        <w:t xml:space="preserve"> approach</w:t>
      </w:r>
      <w:r w:rsidR="00B770E9">
        <w:rPr>
          <w:rFonts w:ascii="Arial" w:eastAsia="Arial" w:hAnsi="Arial" w:cs="Arial"/>
        </w:rPr>
        <w:t>,</w:t>
      </w:r>
      <w:r>
        <w:rPr>
          <w:rFonts w:ascii="Arial" w:eastAsia="Arial" w:hAnsi="Arial" w:cs="Arial"/>
        </w:rPr>
        <w:t xml:space="preserve"> it would seem that the law is content with the penalty expressly provided. </w:t>
      </w:r>
    </w:p>
    <w:p w:rsidR="00360158" w:rsidRDefault="00360158" w:rsidP="00F869C4">
      <w:pPr>
        <w:spacing w:line="360" w:lineRule="auto"/>
        <w:jc w:val="both"/>
        <w:rPr>
          <w:rFonts w:ascii="Arial" w:eastAsia="Arial" w:hAnsi="Arial" w:cs="Arial"/>
        </w:rPr>
      </w:pPr>
    </w:p>
    <w:p w:rsidR="00BA68FE" w:rsidRDefault="00BA68FE" w:rsidP="00F869C4">
      <w:pPr>
        <w:spacing w:line="360" w:lineRule="auto"/>
        <w:jc w:val="both"/>
        <w:rPr>
          <w:rFonts w:ascii="Arial" w:eastAsia="Arial" w:hAnsi="Arial" w:cs="Arial"/>
        </w:rPr>
      </w:pPr>
      <w:r>
        <w:rPr>
          <w:rFonts w:ascii="Arial" w:eastAsia="Arial" w:hAnsi="Arial" w:cs="Arial"/>
        </w:rPr>
        <w:t>[10]</w:t>
      </w:r>
      <w:r>
        <w:rPr>
          <w:rFonts w:ascii="Arial" w:eastAsia="Arial" w:hAnsi="Arial" w:cs="Arial"/>
        </w:rPr>
        <w:tab/>
        <w:t>Plaintiff further argued that whether a contraventi</w:t>
      </w:r>
      <w:r w:rsidR="00F03DD5">
        <w:rPr>
          <w:rFonts w:ascii="Arial" w:eastAsia="Arial" w:hAnsi="Arial" w:cs="Arial"/>
        </w:rPr>
        <w:t>on of s</w:t>
      </w:r>
      <w:r>
        <w:rPr>
          <w:rFonts w:ascii="Arial" w:eastAsia="Arial" w:hAnsi="Arial" w:cs="Arial"/>
        </w:rPr>
        <w:t xml:space="preserve"> 25 or 3</w:t>
      </w:r>
      <w:r w:rsidR="009E0019">
        <w:rPr>
          <w:rFonts w:ascii="Arial" w:eastAsia="Arial" w:hAnsi="Arial" w:cs="Arial"/>
        </w:rPr>
        <w:t>8</w:t>
      </w:r>
      <w:r>
        <w:rPr>
          <w:rFonts w:ascii="Arial" w:eastAsia="Arial" w:hAnsi="Arial" w:cs="Arial"/>
        </w:rPr>
        <w:t xml:space="preserve"> of the Act would lead to invalidity of the underlying agreement would depend on the interpretation of the Act itself and that it is now trite in Namibia that interpretation of documents, including legislation, is done by having regard to the context and the circumstances </w:t>
      </w:r>
      <w:r w:rsidR="00360158">
        <w:rPr>
          <w:rFonts w:ascii="Arial" w:eastAsia="Arial" w:hAnsi="Arial" w:cs="Arial"/>
        </w:rPr>
        <w:t xml:space="preserve">upon its coming into existence which would require evidence. </w:t>
      </w:r>
    </w:p>
    <w:p w:rsidR="000364B0" w:rsidRDefault="000364B0" w:rsidP="00F869C4">
      <w:pPr>
        <w:spacing w:line="360" w:lineRule="auto"/>
        <w:jc w:val="both"/>
        <w:rPr>
          <w:rFonts w:ascii="Arial" w:eastAsia="Arial" w:hAnsi="Arial" w:cs="Arial"/>
        </w:rPr>
      </w:pPr>
    </w:p>
    <w:p w:rsidR="000364B0" w:rsidRPr="00F869C4" w:rsidRDefault="00263B27" w:rsidP="00F869C4">
      <w:pPr>
        <w:spacing w:line="360" w:lineRule="auto"/>
        <w:jc w:val="both"/>
        <w:rPr>
          <w:rFonts w:ascii="Arial" w:eastAsia="Arial" w:hAnsi="Arial" w:cs="Arial"/>
          <w:u w:val="single"/>
        </w:rPr>
      </w:pPr>
      <w:r w:rsidRPr="00F869C4">
        <w:rPr>
          <w:rFonts w:ascii="Arial" w:eastAsia="Arial" w:hAnsi="Arial" w:cs="Arial"/>
          <w:u w:val="single"/>
        </w:rPr>
        <w:t>Principle applicable</w:t>
      </w:r>
    </w:p>
    <w:p w:rsidR="00263B27" w:rsidRPr="00A829BC" w:rsidRDefault="00263B27" w:rsidP="00F869C4">
      <w:pPr>
        <w:spacing w:line="360" w:lineRule="auto"/>
        <w:jc w:val="both"/>
        <w:rPr>
          <w:rFonts w:ascii="Arial" w:eastAsia="Arial" w:hAnsi="Arial" w:cs="Arial"/>
          <w:b/>
        </w:rPr>
      </w:pPr>
    </w:p>
    <w:p w:rsidR="000364B0" w:rsidRDefault="00360158" w:rsidP="00F869C4">
      <w:pPr>
        <w:spacing w:line="360" w:lineRule="auto"/>
        <w:jc w:val="both"/>
        <w:rPr>
          <w:rFonts w:ascii="Arial" w:eastAsia="Arial" w:hAnsi="Arial" w:cs="Arial"/>
        </w:rPr>
      </w:pPr>
      <w:r>
        <w:rPr>
          <w:rFonts w:ascii="Arial" w:eastAsia="Arial" w:hAnsi="Arial" w:cs="Arial"/>
        </w:rPr>
        <w:t>[11]</w:t>
      </w:r>
      <w:r>
        <w:rPr>
          <w:rFonts w:ascii="Arial" w:eastAsia="Arial" w:hAnsi="Arial" w:cs="Arial"/>
        </w:rPr>
        <w:tab/>
      </w:r>
      <w:r w:rsidR="00A829BC">
        <w:rPr>
          <w:rFonts w:ascii="Arial" w:eastAsia="Arial" w:hAnsi="Arial" w:cs="Arial"/>
        </w:rPr>
        <w:t>The general principle</w:t>
      </w:r>
      <w:r w:rsidR="004E3C65">
        <w:rPr>
          <w:rStyle w:val="FootnoteReference"/>
          <w:rFonts w:ascii="Arial" w:eastAsia="Arial" w:hAnsi="Arial" w:cs="Arial"/>
        </w:rPr>
        <w:footnoteReference w:id="4"/>
      </w:r>
      <w:r w:rsidR="00A829BC">
        <w:rPr>
          <w:rFonts w:ascii="Arial" w:eastAsia="Arial" w:hAnsi="Arial" w:cs="Arial"/>
        </w:rPr>
        <w:t xml:space="preserve"> relating to amendments of pleading</w:t>
      </w:r>
      <w:r w:rsidR="00263B27">
        <w:rPr>
          <w:rFonts w:ascii="Arial" w:eastAsia="Arial" w:hAnsi="Arial" w:cs="Arial"/>
        </w:rPr>
        <w:t>s is that the c</w:t>
      </w:r>
      <w:r w:rsidR="00A829BC">
        <w:rPr>
          <w:rFonts w:ascii="Arial" w:eastAsia="Arial" w:hAnsi="Arial" w:cs="Arial"/>
        </w:rPr>
        <w:t xml:space="preserve">ourt is generally inclined to allow </w:t>
      </w:r>
      <w:r w:rsidR="00263B27">
        <w:rPr>
          <w:rFonts w:ascii="Arial" w:eastAsia="Arial" w:hAnsi="Arial" w:cs="Arial"/>
        </w:rPr>
        <w:t xml:space="preserve">an </w:t>
      </w:r>
      <w:r w:rsidR="00A829BC">
        <w:rPr>
          <w:rFonts w:ascii="Arial" w:eastAsia="Arial" w:hAnsi="Arial" w:cs="Arial"/>
        </w:rPr>
        <w:t xml:space="preserve">amendment intended to ‘obtain a proper ventilation of the dispute between the parties to determine the real issues between them, so that justice </w:t>
      </w:r>
      <w:r w:rsidR="00A829BC">
        <w:rPr>
          <w:rFonts w:ascii="Arial" w:eastAsia="Arial" w:hAnsi="Arial" w:cs="Arial"/>
        </w:rPr>
        <w:lastRenderedPageBreak/>
        <w:t>may be done</w:t>
      </w:r>
      <w:r w:rsidR="0081459E">
        <w:rPr>
          <w:rFonts w:ascii="Arial" w:eastAsia="Arial" w:hAnsi="Arial" w:cs="Arial"/>
        </w:rPr>
        <w:t>,</w:t>
      </w:r>
      <w:r w:rsidR="004E3C65">
        <w:rPr>
          <w:rStyle w:val="FootnoteReference"/>
          <w:rFonts w:ascii="Arial" w:eastAsia="Arial" w:hAnsi="Arial" w:cs="Arial"/>
        </w:rPr>
        <w:footnoteReference w:id="5"/>
      </w:r>
      <w:r w:rsidR="00A829BC">
        <w:rPr>
          <w:rFonts w:ascii="Arial" w:eastAsia="Arial" w:hAnsi="Arial" w:cs="Arial"/>
        </w:rPr>
        <w:t xml:space="preserve"> unless the application to amend is </w:t>
      </w:r>
      <w:r w:rsidR="00A829BC" w:rsidRPr="00360158">
        <w:rPr>
          <w:rFonts w:ascii="Arial" w:eastAsia="Arial" w:hAnsi="Arial" w:cs="Arial"/>
          <w:i/>
        </w:rPr>
        <w:t>mala fides</w:t>
      </w:r>
      <w:r w:rsidR="00A829BC">
        <w:rPr>
          <w:rFonts w:ascii="Arial" w:eastAsia="Arial" w:hAnsi="Arial" w:cs="Arial"/>
        </w:rPr>
        <w:t xml:space="preserve"> or unless such amendment would cause injustice to the other side which cannot be compensated by costs, or in other </w:t>
      </w:r>
      <w:r w:rsidR="004E3C65">
        <w:rPr>
          <w:rFonts w:ascii="Arial" w:eastAsia="Arial" w:hAnsi="Arial" w:cs="Arial"/>
        </w:rPr>
        <w:t>words, unless the parties cannot be put back for the purpose of justice in the same position as they were when the pleadings which it is sought to amend was filed</w:t>
      </w:r>
      <w:r w:rsidR="0081459E">
        <w:rPr>
          <w:rFonts w:ascii="Arial" w:eastAsia="Arial" w:hAnsi="Arial" w:cs="Arial"/>
        </w:rPr>
        <w:t>.’</w:t>
      </w:r>
      <w:r w:rsidR="007823EA">
        <w:rPr>
          <w:rStyle w:val="FootnoteReference"/>
          <w:rFonts w:ascii="Arial" w:eastAsia="Arial" w:hAnsi="Arial" w:cs="Arial"/>
        </w:rPr>
        <w:footnoteReference w:id="6"/>
      </w:r>
    </w:p>
    <w:p w:rsidR="00846FFD" w:rsidRDefault="00846FFD" w:rsidP="00F869C4">
      <w:pPr>
        <w:spacing w:line="360" w:lineRule="auto"/>
        <w:jc w:val="both"/>
        <w:rPr>
          <w:rFonts w:ascii="Arial" w:eastAsia="Arial" w:hAnsi="Arial" w:cs="Arial"/>
        </w:rPr>
      </w:pPr>
    </w:p>
    <w:p w:rsidR="006D3C74" w:rsidRDefault="00360158" w:rsidP="00F869C4">
      <w:pPr>
        <w:spacing w:line="360" w:lineRule="auto"/>
        <w:jc w:val="both"/>
        <w:rPr>
          <w:rFonts w:ascii="Arial" w:eastAsia="Arial" w:hAnsi="Arial" w:cs="Arial"/>
        </w:rPr>
      </w:pPr>
      <w:r>
        <w:rPr>
          <w:rFonts w:ascii="Arial" w:eastAsia="Arial" w:hAnsi="Arial" w:cs="Arial"/>
        </w:rPr>
        <w:t>[12]</w:t>
      </w:r>
      <w:r>
        <w:rPr>
          <w:rFonts w:ascii="Arial" w:eastAsia="Arial" w:hAnsi="Arial" w:cs="Arial"/>
        </w:rPr>
        <w:tab/>
      </w:r>
      <w:r w:rsidR="003F0BAD">
        <w:rPr>
          <w:rFonts w:ascii="Arial" w:eastAsia="Arial" w:hAnsi="Arial" w:cs="Arial"/>
        </w:rPr>
        <w:t xml:space="preserve">The </w:t>
      </w:r>
      <w:r w:rsidR="003F0BAD" w:rsidRPr="006503AE">
        <w:rPr>
          <w:rFonts w:ascii="Arial" w:eastAsia="Arial" w:hAnsi="Arial" w:cs="Arial"/>
        </w:rPr>
        <w:t>approach</w:t>
      </w:r>
      <w:r w:rsidR="00846FFD">
        <w:rPr>
          <w:rFonts w:ascii="Arial" w:eastAsia="Arial" w:hAnsi="Arial" w:cs="Arial"/>
        </w:rPr>
        <w:t xml:space="preserve"> of the defendant in this matter is that should the court allow the amendment of the particulars of claim</w:t>
      </w:r>
      <w:r w:rsidR="0008399F">
        <w:rPr>
          <w:rFonts w:ascii="Arial" w:eastAsia="Arial" w:hAnsi="Arial" w:cs="Arial"/>
        </w:rPr>
        <w:t>,</w:t>
      </w:r>
      <w:r w:rsidR="00846FFD">
        <w:rPr>
          <w:rFonts w:ascii="Arial" w:eastAsia="Arial" w:hAnsi="Arial" w:cs="Arial"/>
        </w:rPr>
        <w:t xml:space="preserve"> it would render the pleadings </w:t>
      </w:r>
      <w:proofErr w:type="spellStart"/>
      <w:r w:rsidR="00846FFD">
        <w:rPr>
          <w:rFonts w:ascii="Arial" w:eastAsia="Arial" w:hAnsi="Arial" w:cs="Arial"/>
        </w:rPr>
        <w:t>excipiable</w:t>
      </w:r>
      <w:proofErr w:type="spellEnd"/>
      <w:r w:rsidR="00846FFD">
        <w:rPr>
          <w:rFonts w:ascii="Arial" w:eastAsia="Arial" w:hAnsi="Arial" w:cs="Arial"/>
        </w:rPr>
        <w:t xml:space="preserve">. </w:t>
      </w:r>
      <w:r w:rsidR="006D3C74">
        <w:rPr>
          <w:rFonts w:ascii="Arial" w:eastAsia="Arial" w:hAnsi="Arial" w:cs="Arial"/>
        </w:rPr>
        <w:t>As the objection is on the basis that the amendment particulars of claim will not disclose a cause of action</w:t>
      </w:r>
      <w:r w:rsidR="0008399F">
        <w:rPr>
          <w:rFonts w:ascii="Arial" w:eastAsia="Arial" w:hAnsi="Arial" w:cs="Arial"/>
        </w:rPr>
        <w:t>,</w:t>
      </w:r>
      <w:r w:rsidR="006D3C74">
        <w:rPr>
          <w:rFonts w:ascii="Arial" w:eastAsia="Arial" w:hAnsi="Arial" w:cs="Arial"/>
        </w:rPr>
        <w:t xml:space="preserve"> the principle relating to exception</w:t>
      </w:r>
      <w:r w:rsidR="006503AE">
        <w:rPr>
          <w:rFonts w:ascii="Arial" w:eastAsia="Arial" w:hAnsi="Arial" w:cs="Arial"/>
        </w:rPr>
        <w:t>s</w:t>
      </w:r>
      <w:r w:rsidR="006D3C74">
        <w:rPr>
          <w:rFonts w:ascii="Arial" w:eastAsia="Arial" w:hAnsi="Arial" w:cs="Arial"/>
        </w:rPr>
        <w:t xml:space="preserve"> finds application.</w:t>
      </w:r>
    </w:p>
    <w:p w:rsidR="007823EA" w:rsidRDefault="007823EA" w:rsidP="00F869C4">
      <w:pPr>
        <w:spacing w:line="360" w:lineRule="auto"/>
        <w:jc w:val="both"/>
        <w:rPr>
          <w:rFonts w:ascii="Arial" w:eastAsia="Arial" w:hAnsi="Arial" w:cs="Arial"/>
        </w:rPr>
      </w:pPr>
    </w:p>
    <w:p w:rsidR="007823EA" w:rsidRDefault="00360158" w:rsidP="00F869C4">
      <w:pPr>
        <w:spacing w:line="360" w:lineRule="auto"/>
        <w:jc w:val="both"/>
        <w:rPr>
          <w:rFonts w:ascii="Arial" w:eastAsia="Arial" w:hAnsi="Arial" w:cs="Arial"/>
        </w:rPr>
      </w:pPr>
      <w:r>
        <w:rPr>
          <w:rFonts w:ascii="Arial" w:eastAsia="Arial" w:hAnsi="Arial" w:cs="Arial"/>
        </w:rPr>
        <w:t>[13]</w:t>
      </w:r>
      <w:r>
        <w:rPr>
          <w:rFonts w:ascii="Arial" w:eastAsia="Arial" w:hAnsi="Arial" w:cs="Arial"/>
        </w:rPr>
        <w:tab/>
      </w:r>
      <w:r w:rsidR="007823EA">
        <w:rPr>
          <w:rFonts w:ascii="Arial" w:eastAsia="Arial" w:hAnsi="Arial" w:cs="Arial"/>
        </w:rPr>
        <w:t xml:space="preserve">The accepted approach is that </w:t>
      </w:r>
      <w:r w:rsidR="003F0BAD" w:rsidRPr="006503AE">
        <w:rPr>
          <w:rFonts w:ascii="Arial" w:eastAsia="Arial" w:hAnsi="Arial" w:cs="Arial"/>
        </w:rPr>
        <w:t>an</w:t>
      </w:r>
      <w:r w:rsidR="003F0BAD">
        <w:rPr>
          <w:rFonts w:ascii="Arial" w:eastAsia="Arial" w:hAnsi="Arial" w:cs="Arial"/>
        </w:rPr>
        <w:t xml:space="preserve"> </w:t>
      </w:r>
      <w:r w:rsidR="007823EA">
        <w:rPr>
          <w:rFonts w:ascii="Arial" w:eastAsia="Arial" w:hAnsi="Arial" w:cs="Arial"/>
        </w:rPr>
        <w:t xml:space="preserve">amendment should not be granted where the introduction of such amendment would render such pleadings </w:t>
      </w:r>
      <w:proofErr w:type="spellStart"/>
      <w:r w:rsidR="007823EA">
        <w:rPr>
          <w:rFonts w:ascii="Arial" w:eastAsia="Arial" w:hAnsi="Arial" w:cs="Arial"/>
        </w:rPr>
        <w:t>excip</w:t>
      </w:r>
      <w:r w:rsidR="00846FFD">
        <w:rPr>
          <w:rFonts w:ascii="Arial" w:eastAsia="Arial" w:hAnsi="Arial" w:cs="Arial"/>
        </w:rPr>
        <w:t>iab</w:t>
      </w:r>
      <w:r w:rsidR="007823EA">
        <w:rPr>
          <w:rFonts w:ascii="Arial" w:eastAsia="Arial" w:hAnsi="Arial" w:cs="Arial"/>
        </w:rPr>
        <w:t>le</w:t>
      </w:r>
      <w:proofErr w:type="spellEnd"/>
      <w:r w:rsidR="002A407B">
        <w:rPr>
          <w:rFonts w:ascii="Arial" w:eastAsia="Arial" w:hAnsi="Arial" w:cs="Arial"/>
        </w:rPr>
        <w:t>,</w:t>
      </w:r>
      <w:r w:rsidR="007823EA">
        <w:rPr>
          <w:rStyle w:val="FootnoteReference"/>
          <w:rFonts w:ascii="Arial" w:eastAsia="Arial" w:hAnsi="Arial" w:cs="Arial"/>
        </w:rPr>
        <w:footnoteReference w:id="7"/>
      </w:r>
      <w:r w:rsidR="00846FFD">
        <w:rPr>
          <w:rFonts w:ascii="Arial" w:eastAsia="Arial" w:hAnsi="Arial" w:cs="Arial"/>
        </w:rPr>
        <w:t xml:space="preserve"> however before an amendment will be refused on the grounds of </w:t>
      </w:r>
      <w:proofErr w:type="spellStart"/>
      <w:r w:rsidR="00846FFD">
        <w:rPr>
          <w:rFonts w:ascii="Arial" w:eastAsia="Arial" w:hAnsi="Arial" w:cs="Arial"/>
        </w:rPr>
        <w:t>excipiability</w:t>
      </w:r>
      <w:proofErr w:type="spellEnd"/>
      <w:r w:rsidR="00846FFD">
        <w:rPr>
          <w:rFonts w:ascii="Arial" w:eastAsia="Arial" w:hAnsi="Arial" w:cs="Arial"/>
        </w:rPr>
        <w:t xml:space="preserve">, it must be clear that the amendment </w:t>
      </w:r>
      <w:r w:rsidR="00846FFD" w:rsidRPr="006503AE">
        <w:rPr>
          <w:rFonts w:ascii="Arial" w:eastAsia="Arial" w:hAnsi="Arial" w:cs="Arial"/>
          <w:b/>
        </w:rPr>
        <w:t>will</w:t>
      </w:r>
      <w:r w:rsidR="00846FFD" w:rsidRPr="006503AE">
        <w:rPr>
          <w:rFonts w:ascii="Arial" w:eastAsia="Arial" w:hAnsi="Arial" w:cs="Arial"/>
        </w:rPr>
        <w:t xml:space="preserve"> (not may) </w:t>
      </w:r>
      <w:r w:rsidR="00846FFD">
        <w:rPr>
          <w:rFonts w:ascii="Arial" w:eastAsia="Arial" w:hAnsi="Arial" w:cs="Arial"/>
        </w:rPr>
        <w:t xml:space="preserve">render the pleadings </w:t>
      </w:r>
      <w:proofErr w:type="spellStart"/>
      <w:r w:rsidR="00846FFD">
        <w:rPr>
          <w:rFonts w:ascii="Arial" w:eastAsia="Arial" w:hAnsi="Arial" w:cs="Arial"/>
        </w:rPr>
        <w:t>excipiable</w:t>
      </w:r>
      <w:proofErr w:type="spellEnd"/>
      <w:r w:rsidR="003F0BAD">
        <w:rPr>
          <w:rFonts w:ascii="Arial" w:eastAsia="Arial" w:hAnsi="Arial" w:cs="Arial"/>
        </w:rPr>
        <w:t>.</w:t>
      </w:r>
      <w:r w:rsidR="00846FFD">
        <w:rPr>
          <w:rStyle w:val="FootnoteReference"/>
          <w:rFonts w:ascii="Arial" w:eastAsia="Arial" w:hAnsi="Arial" w:cs="Arial"/>
        </w:rPr>
        <w:footnoteReference w:id="8"/>
      </w:r>
    </w:p>
    <w:p w:rsidR="00EB7BF8" w:rsidRDefault="00EB7BF8" w:rsidP="00F869C4">
      <w:pPr>
        <w:spacing w:line="360" w:lineRule="auto"/>
        <w:jc w:val="both"/>
        <w:rPr>
          <w:rFonts w:ascii="Arial" w:eastAsia="Arial" w:hAnsi="Arial" w:cs="Arial"/>
        </w:rPr>
      </w:pPr>
    </w:p>
    <w:p w:rsidR="00EB7BF8" w:rsidRPr="00EB7BF8" w:rsidRDefault="00360158" w:rsidP="00F869C4">
      <w:pPr>
        <w:spacing w:line="360" w:lineRule="auto"/>
        <w:jc w:val="both"/>
        <w:rPr>
          <w:rFonts w:ascii="Arial" w:hAnsi="Arial" w:cs="Arial"/>
        </w:rPr>
      </w:pPr>
      <w:r>
        <w:rPr>
          <w:rFonts w:ascii="Arial" w:hAnsi="Arial" w:cs="Arial"/>
        </w:rPr>
        <w:t>[14]</w:t>
      </w:r>
      <w:r>
        <w:rPr>
          <w:rFonts w:ascii="Arial" w:hAnsi="Arial" w:cs="Arial"/>
        </w:rPr>
        <w:tab/>
      </w:r>
      <w:r w:rsidR="00EB7BF8" w:rsidRPr="00EB7BF8">
        <w:rPr>
          <w:rFonts w:ascii="Arial" w:hAnsi="Arial" w:cs="Arial"/>
        </w:rPr>
        <w:t>The principle is that where an exception is taken on the grounds that no cause of action is disclosed or is sustainable on the particulars of claim, two aspects are to be emphasised. Firstly, for the purpose of deciding the exception, the facts as alleged in the plaintiff’s pleadings are taken</w:t>
      </w:r>
      <w:r w:rsidR="00CA3D2E">
        <w:rPr>
          <w:rFonts w:ascii="Arial" w:hAnsi="Arial" w:cs="Arial"/>
        </w:rPr>
        <w:t xml:space="preserve"> as correct. </w:t>
      </w:r>
      <w:r w:rsidR="00CA3D2E" w:rsidRPr="006503AE">
        <w:rPr>
          <w:rFonts w:ascii="Arial" w:hAnsi="Arial" w:cs="Arial"/>
        </w:rPr>
        <w:t>Secondly</w:t>
      </w:r>
      <w:r w:rsidR="00EB7BF8" w:rsidRPr="00EB7BF8">
        <w:rPr>
          <w:rFonts w:ascii="Arial" w:hAnsi="Arial" w:cs="Arial"/>
        </w:rPr>
        <w:t xml:space="preserve">, it is incumbent upon an excipient to persuade this court that upon every interpretation which the pleading can reasonably bear, no cause of action is disclosed. Stated otherwise, only if no possible evidence led on the pleadings can disclose a cause of action, will the particulars of claim be found to be </w:t>
      </w:r>
      <w:proofErr w:type="spellStart"/>
      <w:r w:rsidR="00EB7BF8" w:rsidRPr="00EB7BF8">
        <w:rPr>
          <w:rFonts w:ascii="Arial" w:hAnsi="Arial" w:cs="Arial"/>
        </w:rPr>
        <w:t>excipiable</w:t>
      </w:r>
      <w:proofErr w:type="spellEnd"/>
      <w:r w:rsidR="0014713A">
        <w:rPr>
          <w:rFonts w:ascii="Arial" w:hAnsi="Arial" w:cs="Arial"/>
        </w:rPr>
        <w:t>.</w:t>
      </w:r>
      <w:r w:rsidR="00EB7BF8">
        <w:rPr>
          <w:rStyle w:val="FootnoteReference"/>
          <w:rFonts w:ascii="Arial" w:hAnsi="Arial" w:cs="Arial"/>
        </w:rPr>
        <w:footnoteReference w:id="9"/>
      </w:r>
    </w:p>
    <w:p w:rsidR="00140CE6" w:rsidRDefault="00360158" w:rsidP="00F869C4">
      <w:pPr>
        <w:spacing w:line="360" w:lineRule="auto"/>
        <w:jc w:val="both"/>
        <w:rPr>
          <w:rFonts w:ascii="Arial" w:eastAsia="Arial" w:hAnsi="Arial" w:cs="Arial"/>
        </w:rPr>
      </w:pPr>
      <w:r w:rsidRPr="00360158">
        <w:rPr>
          <w:rFonts w:ascii="Arial" w:eastAsia="Arial" w:hAnsi="Arial" w:cs="Arial"/>
        </w:rPr>
        <w:lastRenderedPageBreak/>
        <w:t>[15]</w:t>
      </w:r>
      <w:r>
        <w:rPr>
          <w:rFonts w:ascii="Arial" w:eastAsia="Arial" w:hAnsi="Arial" w:cs="Arial"/>
          <w:i/>
        </w:rPr>
        <w:tab/>
      </w:r>
      <w:r w:rsidR="00140CE6" w:rsidRPr="006D3C74">
        <w:rPr>
          <w:rFonts w:ascii="Arial" w:eastAsia="Arial" w:hAnsi="Arial" w:cs="Arial"/>
          <w:i/>
        </w:rPr>
        <w:t>On the issue of non-joinder</w:t>
      </w:r>
      <w:r w:rsidR="00140CE6">
        <w:rPr>
          <w:rFonts w:ascii="Arial" w:eastAsia="Arial" w:hAnsi="Arial" w:cs="Arial"/>
        </w:rPr>
        <w:t xml:space="preserve">: Non-joinder does not affect the cause of action. It is a dilatory plea which, if upheld, will cause the matter to be postponed to allow joinder. It does not affect the cause of action, </w:t>
      </w:r>
      <w:r w:rsidR="00827217">
        <w:rPr>
          <w:rFonts w:ascii="Arial" w:eastAsia="Arial" w:hAnsi="Arial" w:cs="Arial"/>
        </w:rPr>
        <w:t>i.e.</w:t>
      </w:r>
      <w:r w:rsidR="00140CE6">
        <w:rPr>
          <w:rFonts w:ascii="Arial" w:eastAsia="Arial" w:hAnsi="Arial" w:cs="Arial"/>
        </w:rPr>
        <w:t xml:space="preserve"> </w:t>
      </w:r>
      <w:r w:rsidR="00827217">
        <w:rPr>
          <w:rFonts w:ascii="Arial" w:eastAsia="Arial" w:hAnsi="Arial" w:cs="Arial"/>
        </w:rPr>
        <w:t>t</w:t>
      </w:r>
      <w:r w:rsidR="00140CE6">
        <w:rPr>
          <w:rFonts w:ascii="Arial" w:eastAsia="Arial" w:hAnsi="Arial" w:cs="Arial"/>
        </w:rPr>
        <w:t xml:space="preserve">he validity of the cause of action. </w:t>
      </w:r>
    </w:p>
    <w:p w:rsidR="00140CE6" w:rsidRPr="00360158" w:rsidRDefault="00140CE6" w:rsidP="00F869C4">
      <w:pPr>
        <w:spacing w:line="360" w:lineRule="auto"/>
        <w:jc w:val="both"/>
        <w:rPr>
          <w:rFonts w:ascii="Arial" w:eastAsia="Arial" w:hAnsi="Arial" w:cs="Arial"/>
        </w:rPr>
      </w:pPr>
    </w:p>
    <w:p w:rsidR="00C40BB5" w:rsidRDefault="00360158" w:rsidP="00F869C4">
      <w:pPr>
        <w:spacing w:line="360" w:lineRule="auto"/>
        <w:jc w:val="both"/>
        <w:rPr>
          <w:rFonts w:ascii="Arial" w:eastAsia="Arial" w:hAnsi="Arial" w:cs="Arial"/>
        </w:rPr>
      </w:pPr>
      <w:r w:rsidRPr="00360158">
        <w:rPr>
          <w:rFonts w:ascii="Arial" w:eastAsia="Arial" w:hAnsi="Arial" w:cs="Arial"/>
        </w:rPr>
        <w:t>[16]</w:t>
      </w:r>
      <w:r>
        <w:rPr>
          <w:rFonts w:ascii="Arial" w:eastAsia="Arial" w:hAnsi="Arial" w:cs="Arial"/>
          <w:i/>
        </w:rPr>
        <w:tab/>
      </w:r>
      <w:r w:rsidR="00140CE6" w:rsidRPr="006D3C74">
        <w:rPr>
          <w:rFonts w:ascii="Arial" w:eastAsia="Arial" w:hAnsi="Arial" w:cs="Arial"/>
          <w:i/>
        </w:rPr>
        <w:t>On the issue of the invalidity of the contract due</w:t>
      </w:r>
      <w:r w:rsidR="00CA3D2E">
        <w:rPr>
          <w:rFonts w:ascii="Arial" w:eastAsia="Arial" w:hAnsi="Arial" w:cs="Arial"/>
          <w:i/>
        </w:rPr>
        <w:t xml:space="preserve"> to the contravention of s</w:t>
      </w:r>
      <w:r w:rsidR="00140CE6" w:rsidRPr="006D3C74">
        <w:rPr>
          <w:rFonts w:ascii="Arial" w:eastAsia="Arial" w:hAnsi="Arial" w:cs="Arial"/>
          <w:i/>
        </w:rPr>
        <w:t xml:space="preserve"> 25 and 38 of the Gambling Act</w:t>
      </w:r>
      <w:r w:rsidR="00140CE6">
        <w:rPr>
          <w:rFonts w:ascii="Arial" w:eastAsia="Arial" w:hAnsi="Arial" w:cs="Arial"/>
        </w:rPr>
        <w:t xml:space="preserve">:  </w:t>
      </w:r>
      <w:r w:rsidR="00715CEB">
        <w:rPr>
          <w:rFonts w:ascii="Arial" w:eastAsia="Arial" w:hAnsi="Arial" w:cs="Arial"/>
        </w:rPr>
        <w:t>Whether a contraven</w:t>
      </w:r>
      <w:r w:rsidR="00CA3D2E">
        <w:rPr>
          <w:rFonts w:ascii="Arial" w:eastAsia="Arial" w:hAnsi="Arial" w:cs="Arial"/>
        </w:rPr>
        <w:t>tion of the provision of s 25 or s</w:t>
      </w:r>
      <w:r w:rsidR="00715CEB">
        <w:rPr>
          <w:rFonts w:ascii="Arial" w:eastAsia="Arial" w:hAnsi="Arial" w:cs="Arial"/>
        </w:rPr>
        <w:t xml:space="preserve"> 38 of the Act would lead to invalidity of the underlying </w:t>
      </w:r>
      <w:proofErr w:type="gramStart"/>
      <w:r w:rsidR="00715CEB">
        <w:rPr>
          <w:rFonts w:ascii="Arial" w:eastAsia="Arial" w:hAnsi="Arial" w:cs="Arial"/>
        </w:rPr>
        <w:t>agreement,</w:t>
      </w:r>
      <w:proofErr w:type="gramEnd"/>
      <w:r w:rsidR="00715CEB">
        <w:rPr>
          <w:rFonts w:ascii="Arial" w:eastAsia="Arial" w:hAnsi="Arial" w:cs="Arial"/>
        </w:rPr>
        <w:t xml:space="preserve"> would depend on the interpretation of the Act itself. </w:t>
      </w:r>
    </w:p>
    <w:p w:rsidR="00CA3D2E" w:rsidRDefault="00CA3D2E" w:rsidP="00F869C4">
      <w:pPr>
        <w:spacing w:line="360" w:lineRule="auto"/>
        <w:jc w:val="both"/>
        <w:rPr>
          <w:rFonts w:ascii="Arial" w:eastAsia="Arial" w:hAnsi="Arial" w:cs="Arial"/>
        </w:rPr>
      </w:pPr>
    </w:p>
    <w:p w:rsidR="00C40BB5" w:rsidRDefault="00C40BB5" w:rsidP="00F869C4">
      <w:pPr>
        <w:spacing w:line="360" w:lineRule="auto"/>
        <w:jc w:val="both"/>
        <w:rPr>
          <w:rFonts w:ascii="Arial" w:eastAsia="Arial" w:hAnsi="Arial" w:cs="Arial"/>
        </w:rPr>
      </w:pPr>
      <w:r>
        <w:rPr>
          <w:rFonts w:ascii="Arial" w:eastAsia="Arial" w:hAnsi="Arial" w:cs="Arial"/>
        </w:rPr>
        <w:t xml:space="preserve">[17] </w:t>
      </w:r>
      <w:r>
        <w:rPr>
          <w:rFonts w:ascii="Arial" w:eastAsia="Arial" w:hAnsi="Arial" w:cs="Arial"/>
        </w:rPr>
        <w:tab/>
        <w:t xml:space="preserve">In </w:t>
      </w:r>
      <w:r w:rsidR="00CA3D2E">
        <w:rPr>
          <w:rFonts w:ascii="Arial" w:eastAsia="Arial" w:hAnsi="Arial" w:cs="Arial"/>
          <w:i/>
        </w:rPr>
        <w:t>Namibian Association o</w:t>
      </w:r>
      <w:r w:rsidRPr="00C40BB5">
        <w:rPr>
          <w:rFonts w:ascii="Arial" w:eastAsia="Arial" w:hAnsi="Arial" w:cs="Arial"/>
          <w:i/>
        </w:rPr>
        <w:t xml:space="preserve">f Medical Aid Funds and Others v Namibia Competition Commission </w:t>
      </w:r>
      <w:r w:rsidR="00CA3D2E" w:rsidRPr="00C40BB5">
        <w:rPr>
          <w:rFonts w:ascii="Arial" w:eastAsia="Arial" w:hAnsi="Arial" w:cs="Arial"/>
          <w:i/>
        </w:rPr>
        <w:t>and</w:t>
      </w:r>
      <w:r w:rsidRPr="00C40BB5">
        <w:rPr>
          <w:rFonts w:ascii="Arial" w:eastAsia="Arial" w:hAnsi="Arial" w:cs="Arial"/>
          <w:i/>
        </w:rPr>
        <w:t xml:space="preserve"> Another</w:t>
      </w:r>
      <w:r>
        <w:rPr>
          <w:rStyle w:val="FootnoteReference"/>
          <w:rFonts w:ascii="Arial" w:eastAsia="Arial" w:hAnsi="Arial" w:cs="Arial"/>
          <w:i/>
        </w:rPr>
        <w:footnoteReference w:id="10"/>
      </w:r>
      <w:r>
        <w:rPr>
          <w:rFonts w:ascii="Arial" w:eastAsia="Arial" w:hAnsi="Arial" w:cs="Arial"/>
          <w:i/>
        </w:rPr>
        <w:t xml:space="preserve"> </w:t>
      </w:r>
      <w:r>
        <w:rPr>
          <w:rFonts w:ascii="Arial" w:eastAsia="Arial" w:hAnsi="Arial" w:cs="Arial"/>
        </w:rPr>
        <w:t xml:space="preserve">at </w:t>
      </w:r>
      <w:r w:rsidR="00CA3D2E">
        <w:rPr>
          <w:rFonts w:ascii="Arial" w:eastAsia="Arial" w:hAnsi="Arial" w:cs="Arial"/>
        </w:rPr>
        <w:t xml:space="preserve">para 39, </w:t>
      </w:r>
      <w:r>
        <w:rPr>
          <w:rFonts w:ascii="Arial" w:eastAsia="Arial" w:hAnsi="Arial" w:cs="Arial"/>
        </w:rPr>
        <w:t>Smuts JA remarked:</w:t>
      </w:r>
    </w:p>
    <w:p w:rsidR="00F7195A" w:rsidRDefault="00F7195A" w:rsidP="00F869C4">
      <w:pPr>
        <w:spacing w:line="360" w:lineRule="auto"/>
        <w:jc w:val="both"/>
        <w:rPr>
          <w:rFonts w:ascii="Arial" w:eastAsia="Arial" w:hAnsi="Arial" w:cs="Arial"/>
        </w:rPr>
      </w:pPr>
    </w:p>
    <w:p w:rsidR="00C40BB5" w:rsidRDefault="00F7195A" w:rsidP="00F869C4">
      <w:pPr>
        <w:spacing w:line="360" w:lineRule="auto"/>
        <w:jc w:val="both"/>
        <w:rPr>
          <w:rFonts w:ascii="Arial" w:eastAsia="Arial" w:hAnsi="Arial" w:cs="Arial"/>
          <w:sz w:val="22"/>
          <w:szCs w:val="22"/>
        </w:rPr>
      </w:pPr>
      <w:r>
        <w:rPr>
          <w:rFonts w:ascii="Arial" w:eastAsia="Arial" w:hAnsi="Arial" w:cs="Arial"/>
          <w:sz w:val="22"/>
          <w:szCs w:val="22"/>
        </w:rPr>
        <w:t>‘</w:t>
      </w:r>
      <w:r w:rsidR="00CA3D2E">
        <w:rPr>
          <w:rFonts w:ascii="Arial" w:eastAsia="Arial" w:hAnsi="Arial" w:cs="Arial"/>
          <w:sz w:val="22"/>
          <w:szCs w:val="22"/>
        </w:rPr>
        <w:t>[39]</w:t>
      </w:r>
      <w:r w:rsidR="00C40BB5">
        <w:rPr>
          <w:rFonts w:ascii="Arial" w:eastAsia="Arial" w:hAnsi="Arial" w:cs="Arial"/>
          <w:sz w:val="22"/>
          <w:szCs w:val="22"/>
        </w:rPr>
        <w:tab/>
      </w:r>
      <w:r w:rsidR="00C40BB5" w:rsidRPr="00C40BB5">
        <w:rPr>
          <w:rFonts w:ascii="Arial" w:eastAsia="Arial" w:hAnsi="Arial" w:cs="Arial"/>
          <w:sz w:val="22"/>
          <w:szCs w:val="22"/>
        </w:rPr>
        <w:t xml:space="preserve">This court in </w:t>
      </w:r>
      <w:r w:rsidR="00C40BB5" w:rsidRPr="00CA3D2E">
        <w:rPr>
          <w:rFonts w:ascii="Arial" w:eastAsia="Arial" w:hAnsi="Arial" w:cs="Arial"/>
          <w:i/>
          <w:sz w:val="22"/>
          <w:szCs w:val="22"/>
        </w:rPr>
        <w:t>Total Namibia (Pty) Ltd v OBM Engineering</w:t>
      </w:r>
      <w:r w:rsidR="00CA3D2E" w:rsidRPr="00CA3D2E">
        <w:rPr>
          <w:rFonts w:ascii="Arial" w:eastAsia="Arial" w:hAnsi="Arial" w:cs="Arial"/>
          <w:i/>
          <w:sz w:val="22"/>
          <w:szCs w:val="22"/>
        </w:rPr>
        <w:t xml:space="preserve"> and Petroleum Distributors CC</w:t>
      </w:r>
      <w:r w:rsidR="00CA3D2E">
        <w:rPr>
          <w:rFonts w:ascii="Arial" w:eastAsia="Arial" w:hAnsi="Arial" w:cs="Arial"/>
          <w:sz w:val="22"/>
          <w:szCs w:val="22"/>
        </w:rPr>
        <w:t xml:space="preserve"> </w:t>
      </w:r>
      <w:r w:rsidR="00C40BB5" w:rsidRPr="00C40BB5">
        <w:rPr>
          <w:rFonts w:ascii="Arial" w:eastAsia="Arial" w:hAnsi="Arial" w:cs="Arial"/>
          <w:sz w:val="22"/>
          <w:szCs w:val="22"/>
        </w:rPr>
        <w:t>recently r</w:t>
      </w:r>
      <w:r w:rsidR="0014713A">
        <w:rPr>
          <w:rFonts w:ascii="Arial" w:eastAsia="Arial" w:hAnsi="Arial" w:cs="Arial"/>
          <w:sz w:val="22"/>
          <w:szCs w:val="22"/>
        </w:rPr>
        <w:t xml:space="preserve">eferred to the approach to be  </w:t>
      </w:r>
      <w:r w:rsidR="00C40BB5" w:rsidRPr="00C40BB5">
        <w:rPr>
          <w:rFonts w:ascii="Arial" w:eastAsia="Arial" w:hAnsi="Arial" w:cs="Arial"/>
          <w:sz w:val="22"/>
          <w:szCs w:val="22"/>
        </w:rPr>
        <w:t xml:space="preserve"> followed in the construction of text and cited the lucid articulation by Wallis JA of the approach to interpretation in </w:t>
      </w:r>
      <w:r w:rsidR="00C40BB5" w:rsidRPr="00C40BB5">
        <w:rPr>
          <w:rFonts w:ascii="Arial" w:eastAsia="Arial" w:hAnsi="Arial" w:cs="Arial"/>
          <w:i/>
          <w:sz w:val="22"/>
          <w:szCs w:val="22"/>
        </w:rPr>
        <w:t xml:space="preserve">South Africa in Natal Joint Municipal Pension Fund v </w:t>
      </w:r>
      <w:proofErr w:type="spellStart"/>
      <w:r w:rsidR="00C40BB5" w:rsidRPr="00C40BB5">
        <w:rPr>
          <w:rFonts w:ascii="Arial" w:eastAsia="Arial" w:hAnsi="Arial" w:cs="Arial"/>
          <w:i/>
          <w:sz w:val="22"/>
          <w:szCs w:val="22"/>
        </w:rPr>
        <w:t>Endumeni</w:t>
      </w:r>
      <w:proofErr w:type="spellEnd"/>
      <w:r w:rsidR="00C40BB5" w:rsidRPr="00C40BB5">
        <w:rPr>
          <w:rFonts w:ascii="Arial" w:eastAsia="Arial" w:hAnsi="Arial" w:cs="Arial"/>
          <w:i/>
          <w:sz w:val="22"/>
          <w:szCs w:val="22"/>
        </w:rPr>
        <w:t xml:space="preserve"> Municipality</w:t>
      </w:r>
      <w:r w:rsidR="00C40BB5" w:rsidRPr="00C40BB5">
        <w:rPr>
          <w:rFonts w:ascii="Arial" w:eastAsia="Arial" w:hAnsi="Arial" w:cs="Arial"/>
          <w:sz w:val="22"/>
          <w:szCs w:val="22"/>
        </w:rPr>
        <w:t>:</w:t>
      </w:r>
      <w:r w:rsidR="00C40BB5">
        <w:rPr>
          <w:rStyle w:val="FootnoteReference"/>
          <w:rFonts w:ascii="Arial" w:eastAsia="Arial" w:hAnsi="Arial" w:cs="Arial"/>
          <w:sz w:val="22"/>
          <w:szCs w:val="22"/>
        </w:rPr>
        <w:footnoteReference w:id="11"/>
      </w:r>
      <w:r w:rsidR="00C40BB5" w:rsidRPr="00C40BB5">
        <w:rPr>
          <w:rFonts w:ascii="Arial" w:eastAsia="Arial" w:hAnsi="Arial" w:cs="Arial"/>
          <w:sz w:val="22"/>
          <w:szCs w:val="22"/>
        </w:rPr>
        <w:t xml:space="preserve">  </w:t>
      </w:r>
    </w:p>
    <w:p w:rsidR="00F7195A" w:rsidRPr="00C40BB5" w:rsidRDefault="00F7195A" w:rsidP="00F869C4">
      <w:pPr>
        <w:spacing w:line="360" w:lineRule="auto"/>
        <w:jc w:val="both"/>
        <w:rPr>
          <w:rFonts w:ascii="Arial" w:eastAsia="Arial" w:hAnsi="Arial" w:cs="Arial"/>
          <w:sz w:val="22"/>
          <w:szCs w:val="22"/>
        </w:rPr>
      </w:pPr>
    </w:p>
    <w:p w:rsidR="00C40BB5" w:rsidRDefault="00C40BB5" w:rsidP="00F869C4">
      <w:pPr>
        <w:spacing w:line="360" w:lineRule="auto"/>
        <w:jc w:val="both"/>
        <w:rPr>
          <w:rFonts w:ascii="Arial" w:eastAsia="Arial" w:hAnsi="Arial" w:cs="Arial"/>
          <w:sz w:val="22"/>
          <w:szCs w:val="22"/>
        </w:rPr>
      </w:pPr>
      <w:r w:rsidRPr="00C40BB5">
        <w:rPr>
          <w:rFonts w:ascii="Arial" w:eastAsia="Arial" w:hAnsi="Arial" w:cs="Arial"/>
          <w:sz w:val="22"/>
          <w:szCs w:val="22"/>
        </w:rPr>
        <w:t xml:space="preserve">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all these factors. The process is objective, not subjective. A sensible meaning is to be preferred to one that leads to insensible or </w:t>
      </w:r>
      <w:proofErr w:type="spellStart"/>
      <w:r w:rsidRPr="00C40BB5">
        <w:rPr>
          <w:rFonts w:ascii="Arial" w:eastAsia="Arial" w:hAnsi="Arial" w:cs="Arial"/>
          <w:sz w:val="22"/>
          <w:szCs w:val="22"/>
        </w:rPr>
        <w:t>unbusiness</w:t>
      </w:r>
      <w:proofErr w:type="spellEnd"/>
      <w:r w:rsidR="00CA3D2E">
        <w:rPr>
          <w:rFonts w:ascii="Arial" w:eastAsia="Arial" w:hAnsi="Arial" w:cs="Arial"/>
          <w:sz w:val="22"/>
          <w:szCs w:val="22"/>
        </w:rPr>
        <w:t>-</w:t>
      </w:r>
      <w:r w:rsidRPr="00C40BB5">
        <w:rPr>
          <w:rFonts w:ascii="Arial" w:eastAsia="Arial" w:hAnsi="Arial" w:cs="Arial"/>
          <w:sz w:val="22"/>
          <w:szCs w:val="22"/>
        </w:rPr>
        <w:t>like results or undermines the apparent purpose of the document. Judges must be alert to, and guard against, the temptation to substitute what they regard as reasonable</w:t>
      </w:r>
      <w:r w:rsidR="00CA3D2E" w:rsidRPr="00C40BB5">
        <w:rPr>
          <w:rFonts w:ascii="Arial" w:eastAsia="Arial" w:hAnsi="Arial" w:cs="Arial"/>
          <w:sz w:val="22"/>
          <w:szCs w:val="22"/>
        </w:rPr>
        <w:t>, sensible</w:t>
      </w:r>
      <w:r w:rsidRPr="00C40BB5">
        <w:rPr>
          <w:rFonts w:ascii="Arial" w:eastAsia="Arial" w:hAnsi="Arial" w:cs="Arial"/>
          <w:sz w:val="22"/>
          <w:szCs w:val="22"/>
        </w:rPr>
        <w:t xml:space="preserve"> or </w:t>
      </w:r>
      <w:r w:rsidR="00CA3D2E" w:rsidRPr="00C40BB5">
        <w:rPr>
          <w:rFonts w:ascii="Arial" w:eastAsia="Arial" w:hAnsi="Arial" w:cs="Arial"/>
          <w:sz w:val="22"/>
          <w:szCs w:val="22"/>
        </w:rPr>
        <w:t>business-like</w:t>
      </w:r>
      <w:r w:rsidRPr="00C40BB5">
        <w:rPr>
          <w:rFonts w:ascii="Arial" w:eastAsia="Arial" w:hAnsi="Arial" w:cs="Arial"/>
          <w:sz w:val="22"/>
          <w:szCs w:val="22"/>
        </w:rPr>
        <w:t xml:space="preserve"> for the words actually used.'</w:t>
      </w:r>
    </w:p>
    <w:p w:rsidR="00C40BB5" w:rsidRDefault="00C40BB5" w:rsidP="00F869C4">
      <w:pPr>
        <w:spacing w:line="360" w:lineRule="auto"/>
        <w:jc w:val="both"/>
        <w:rPr>
          <w:rFonts w:ascii="Arial" w:eastAsia="Arial" w:hAnsi="Arial" w:cs="Arial"/>
          <w:sz w:val="22"/>
          <w:szCs w:val="22"/>
        </w:rPr>
      </w:pPr>
    </w:p>
    <w:p w:rsidR="00C40BB5" w:rsidRDefault="00C40BB5" w:rsidP="00F869C4">
      <w:pPr>
        <w:spacing w:line="360" w:lineRule="auto"/>
        <w:jc w:val="both"/>
        <w:rPr>
          <w:rFonts w:ascii="Arial" w:eastAsia="Arial" w:hAnsi="Arial" w:cs="Arial"/>
        </w:rPr>
      </w:pPr>
      <w:r>
        <w:rPr>
          <w:rFonts w:ascii="Arial" w:eastAsia="Arial" w:hAnsi="Arial" w:cs="Arial"/>
        </w:rPr>
        <w:lastRenderedPageBreak/>
        <w:t>[18]</w:t>
      </w:r>
      <w:r>
        <w:rPr>
          <w:rFonts w:ascii="Arial" w:eastAsia="Arial" w:hAnsi="Arial" w:cs="Arial"/>
        </w:rPr>
        <w:tab/>
        <w:t xml:space="preserve">This interpretation most probably requires evidence. Where an issue </w:t>
      </w:r>
      <w:proofErr w:type="gramStart"/>
      <w:r>
        <w:rPr>
          <w:rFonts w:ascii="Arial" w:eastAsia="Arial" w:hAnsi="Arial" w:cs="Arial"/>
        </w:rPr>
        <w:t>raised</w:t>
      </w:r>
      <w:proofErr w:type="gramEnd"/>
      <w:r>
        <w:rPr>
          <w:rFonts w:ascii="Arial" w:eastAsia="Arial" w:hAnsi="Arial" w:cs="Arial"/>
        </w:rPr>
        <w:t xml:space="preserve"> in an exception is inextricably intertwined with the dispute on the merit which can be canvassed at the trial, it is preferable that the exception be deferred for adjudication at the trial.</w:t>
      </w:r>
    </w:p>
    <w:p w:rsidR="00C40BB5" w:rsidRDefault="00C40BB5" w:rsidP="00F869C4">
      <w:pPr>
        <w:spacing w:line="360" w:lineRule="auto"/>
        <w:jc w:val="both"/>
        <w:rPr>
          <w:rFonts w:ascii="Arial" w:eastAsia="Arial" w:hAnsi="Arial" w:cs="Arial"/>
        </w:rPr>
      </w:pPr>
    </w:p>
    <w:p w:rsidR="00715CEB" w:rsidRDefault="00C40BB5" w:rsidP="00F869C4">
      <w:pPr>
        <w:spacing w:line="360" w:lineRule="auto"/>
        <w:jc w:val="both"/>
        <w:rPr>
          <w:rFonts w:ascii="Arial" w:eastAsia="Arial" w:hAnsi="Arial" w:cs="Arial"/>
        </w:rPr>
      </w:pPr>
      <w:r>
        <w:rPr>
          <w:rFonts w:ascii="Arial" w:eastAsia="Arial" w:hAnsi="Arial" w:cs="Arial"/>
        </w:rPr>
        <w:t>[19]</w:t>
      </w:r>
      <w:r>
        <w:rPr>
          <w:rFonts w:ascii="Arial" w:eastAsia="Arial" w:hAnsi="Arial" w:cs="Arial"/>
        </w:rPr>
        <w:tab/>
      </w:r>
      <w:r w:rsidR="00715CEB">
        <w:rPr>
          <w:rFonts w:ascii="Arial" w:eastAsia="Arial" w:hAnsi="Arial" w:cs="Arial"/>
        </w:rPr>
        <w:t xml:space="preserve"> </w:t>
      </w:r>
      <w:r w:rsidR="00074320">
        <w:rPr>
          <w:rFonts w:ascii="Arial" w:eastAsia="Arial" w:hAnsi="Arial" w:cs="Arial"/>
        </w:rPr>
        <w:t>The fact that the plaintiff puts a particular interpretation on a statutory provis</w:t>
      </w:r>
      <w:r w:rsidR="00CA3D2E">
        <w:rPr>
          <w:rFonts w:ascii="Arial" w:eastAsia="Arial" w:hAnsi="Arial" w:cs="Arial"/>
        </w:rPr>
        <w:t xml:space="preserve">ion that is different from </w:t>
      </w:r>
      <w:proofErr w:type="gramStart"/>
      <w:r w:rsidR="00CA3D2E">
        <w:rPr>
          <w:rFonts w:ascii="Arial" w:eastAsia="Arial" w:hAnsi="Arial" w:cs="Arial"/>
        </w:rPr>
        <w:t>that</w:t>
      </w:r>
      <w:proofErr w:type="gramEnd"/>
      <w:r w:rsidR="00CA3D2E">
        <w:rPr>
          <w:rFonts w:ascii="Arial" w:eastAsia="Arial" w:hAnsi="Arial" w:cs="Arial"/>
        </w:rPr>
        <w:t xml:space="preserve"> </w:t>
      </w:r>
      <w:r w:rsidR="00CA3D2E" w:rsidRPr="009E0019">
        <w:rPr>
          <w:rFonts w:ascii="Arial" w:eastAsia="Arial" w:hAnsi="Arial" w:cs="Arial"/>
        </w:rPr>
        <w:t>which</w:t>
      </w:r>
      <w:r w:rsidR="00CA3D2E">
        <w:rPr>
          <w:rFonts w:ascii="Arial" w:eastAsia="Arial" w:hAnsi="Arial" w:cs="Arial"/>
        </w:rPr>
        <w:t xml:space="preserve"> </w:t>
      </w:r>
      <w:r w:rsidR="00074320">
        <w:rPr>
          <w:rFonts w:ascii="Arial" w:eastAsia="Arial" w:hAnsi="Arial" w:cs="Arial"/>
        </w:rPr>
        <w:t xml:space="preserve">the defendant puts thereon, does not, in and of itself, render the proposed amendment </w:t>
      </w:r>
      <w:proofErr w:type="spellStart"/>
      <w:r w:rsidR="00074320">
        <w:rPr>
          <w:rFonts w:ascii="Arial" w:eastAsia="Arial" w:hAnsi="Arial" w:cs="Arial"/>
        </w:rPr>
        <w:t>excipiable</w:t>
      </w:r>
      <w:proofErr w:type="spellEnd"/>
      <w:r w:rsidR="00074320">
        <w:rPr>
          <w:rFonts w:ascii="Arial" w:eastAsia="Arial" w:hAnsi="Arial" w:cs="Arial"/>
        </w:rPr>
        <w:t>.</w:t>
      </w:r>
    </w:p>
    <w:p w:rsidR="00715CEB" w:rsidRDefault="00715CEB" w:rsidP="00F869C4">
      <w:pPr>
        <w:spacing w:line="360" w:lineRule="auto"/>
        <w:jc w:val="both"/>
        <w:rPr>
          <w:rFonts w:ascii="Arial" w:eastAsia="Arial" w:hAnsi="Arial" w:cs="Arial"/>
        </w:rPr>
      </w:pPr>
    </w:p>
    <w:p w:rsidR="00EE7A7B" w:rsidRDefault="00074320" w:rsidP="00F869C4">
      <w:pPr>
        <w:spacing w:line="360" w:lineRule="auto"/>
        <w:jc w:val="both"/>
        <w:rPr>
          <w:rFonts w:ascii="Arial" w:eastAsia="Arial" w:hAnsi="Arial" w:cs="Arial"/>
        </w:rPr>
      </w:pPr>
      <w:r>
        <w:rPr>
          <w:rFonts w:ascii="Arial" w:eastAsia="Arial" w:hAnsi="Arial" w:cs="Arial"/>
        </w:rPr>
        <w:t>[20]</w:t>
      </w:r>
      <w:r w:rsidR="00EE7A7B">
        <w:rPr>
          <w:rFonts w:ascii="Arial" w:eastAsia="Arial" w:hAnsi="Arial" w:cs="Arial"/>
        </w:rPr>
        <w:tab/>
      </w:r>
      <w:r w:rsidR="00140CE6">
        <w:rPr>
          <w:rFonts w:ascii="Arial" w:eastAsia="Arial" w:hAnsi="Arial" w:cs="Arial"/>
        </w:rPr>
        <w:t>In order to decide this issue</w:t>
      </w:r>
      <w:r w:rsidR="00CA3D2E">
        <w:rPr>
          <w:rFonts w:ascii="Arial" w:eastAsia="Arial" w:hAnsi="Arial" w:cs="Arial"/>
        </w:rPr>
        <w:t>,</w:t>
      </w:r>
      <w:r w:rsidR="00140CE6">
        <w:rPr>
          <w:rFonts w:ascii="Arial" w:eastAsia="Arial" w:hAnsi="Arial" w:cs="Arial"/>
        </w:rPr>
        <w:t xml:space="preserve"> the provision of the agreement must be ev</w:t>
      </w:r>
      <w:r w:rsidR="00CA3D2E">
        <w:rPr>
          <w:rFonts w:ascii="Arial" w:eastAsia="Arial" w:hAnsi="Arial" w:cs="Arial"/>
        </w:rPr>
        <w:t>aluated in the light of s</w:t>
      </w:r>
      <w:r w:rsidR="00140CE6">
        <w:rPr>
          <w:rFonts w:ascii="Arial" w:eastAsia="Arial" w:hAnsi="Arial" w:cs="Arial"/>
        </w:rPr>
        <w:t xml:space="preserve"> 25 and </w:t>
      </w:r>
      <w:r w:rsidR="00CA3D2E">
        <w:rPr>
          <w:rFonts w:ascii="Arial" w:eastAsia="Arial" w:hAnsi="Arial" w:cs="Arial"/>
        </w:rPr>
        <w:t xml:space="preserve">s </w:t>
      </w:r>
      <w:r w:rsidR="00140CE6">
        <w:rPr>
          <w:rFonts w:ascii="Arial" w:eastAsia="Arial" w:hAnsi="Arial" w:cs="Arial"/>
        </w:rPr>
        <w:t>38.</w:t>
      </w:r>
      <w:r w:rsidR="00EE7A7B" w:rsidRPr="00EE7A7B">
        <w:rPr>
          <w:rFonts w:ascii="Arial" w:eastAsia="Arial" w:hAnsi="Arial" w:cs="Arial"/>
        </w:rPr>
        <w:t xml:space="preserve"> </w:t>
      </w:r>
      <w:r w:rsidR="00EE7A7B">
        <w:rPr>
          <w:rFonts w:ascii="Arial" w:eastAsia="Arial" w:hAnsi="Arial" w:cs="Arial"/>
        </w:rPr>
        <w:t xml:space="preserve">Exception against the wording of a contract based on legislation would require </w:t>
      </w:r>
      <w:r w:rsidR="00EE7A7B" w:rsidRPr="009E0019">
        <w:rPr>
          <w:rFonts w:ascii="Arial" w:eastAsia="Arial" w:hAnsi="Arial" w:cs="Arial"/>
        </w:rPr>
        <w:t xml:space="preserve">both </w:t>
      </w:r>
      <w:r w:rsidR="00CA3D2E" w:rsidRPr="009E0019">
        <w:rPr>
          <w:rFonts w:ascii="Arial" w:eastAsia="Arial" w:hAnsi="Arial" w:cs="Arial"/>
        </w:rPr>
        <w:t xml:space="preserve">to </w:t>
      </w:r>
      <w:r w:rsidR="00EE7A7B" w:rsidRPr="009E0019">
        <w:rPr>
          <w:rFonts w:ascii="Arial" w:eastAsia="Arial" w:hAnsi="Arial" w:cs="Arial"/>
        </w:rPr>
        <w:t>be</w:t>
      </w:r>
      <w:r w:rsidR="00EE7A7B">
        <w:rPr>
          <w:rFonts w:ascii="Arial" w:eastAsia="Arial" w:hAnsi="Arial" w:cs="Arial"/>
        </w:rPr>
        <w:t xml:space="preserve"> interpreted and evidence is necessary. The court also </w:t>
      </w:r>
      <w:r w:rsidR="00EE7A7B" w:rsidRPr="009E0019">
        <w:rPr>
          <w:rFonts w:ascii="Arial" w:eastAsia="Arial" w:hAnsi="Arial" w:cs="Arial"/>
        </w:rPr>
        <w:t>need</w:t>
      </w:r>
      <w:r w:rsidR="00CA3D2E" w:rsidRPr="009E0019">
        <w:rPr>
          <w:rFonts w:ascii="Arial" w:eastAsia="Arial" w:hAnsi="Arial" w:cs="Arial"/>
        </w:rPr>
        <w:t>s</w:t>
      </w:r>
      <w:r w:rsidR="00EE7A7B">
        <w:rPr>
          <w:rFonts w:ascii="Arial" w:eastAsia="Arial" w:hAnsi="Arial" w:cs="Arial"/>
        </w:rPr>
        <w:t xml:space="preserve"> to determine what the intention of the legislature was and it is not appropriate to raise an exception in this regard at this stage because the court cannot interpret the agreement and the relevant legislation without hearing evidence. </w:t>
      </w:r>
    </w:p>
    <w:p w:rsidR="00EE7A7B" w:rsidRDefault="00EE7A7B" w:rsidP="00F869C4">
      <w:pPr>
        <w:spacing w:line="360" w:lineRule="auto"/>
        <w:jc w:val="both"/>
        <w:rPr>
          <w:rFonts w:ascii="Arial" w:eastAsia="Arial" w:hAnsi="Arial" w:cs="Arial"/>
        </w:rPr>
      </w:pPr>
    </w:p>
    <w:p w:rsidR="00140CE6" w:rsidRPr="00C929CE" w:rsidRDefault="00EE7A7B" w:rsidP="00F869C4">
      <w:pPr>
        <w:spacing w:line="360" w:lineRule="auto"/>
        <w:jc w:val="both"/>
        <w:rPr>
          <w:rFonts w:ascii="Arial" w:eastAsia="Arial" w:hAnsi="Arial" w:cs="Arial"/>
        </w:rPr>
      </w:pPr>
      <w:r>
        <w:rPr>
          <w:rFonts w:ascii="Arial" w:eastAsia="Arial" w:hAnsi="Arial" w:cs="Arial"/>
        </w:rPr>
        <w:t>[21]</w:t>
      </w:r>
      <w:r>
        <w:rPr>
          <w:rFonts w:ascii="Arial" w:eastAsia="Arial" w:hAnsi="Arial" w:cs="Arial"/>
        </w:rPr>
        <w:tab/>
        <w:t>I am not convinced that the defendant was able to satisfy the court that on all reasonable construction of the plaintiff’s particulars of claim as amplified and amended, and on all possible evidence that may be lead on the pleadings</w:t>
      </w:r>
      <w:r w:rsidR="003356D4">
        <w:rPr>
          <w:rFonts w:ascii="Arial" w:eastAsia="Arial" w:hAnsi="Arial" w:cs="Arial"/>
        </w:rPr>
        <w:t>,</w:t>
      </w:r>
      <w:r>
        <w:rPr>
          <w:rFonts w:ascii="Arial" w:eastAsia="Arial" w:hAnsi="Arial" w:cs="Arial"/>
        </w:rPr>
        <w:t xml:space="preserve"> that no cause of action is or can be disclosed</w:t>
      </w:r>
      <w:r w:rsidR="00836803">
        <w:rPr>
          <w:rFonts w:ascii="Arial" w:eastAsia="Arial" w:hAnsi="Arial" w:cs="Arial"/>
        </w:rPr>
        <w:t>.</w:t>
      </w:r>
    </w:p>
    <w:p w:rsidR="00EB7BF8" w:rsidRDefault="00EB7BF8" w:rsidP="00F869C4">
      <w:pPr>
        <w:spacing w:line="360" w:lineRule="auto"/>
      </w:pPr>
    </w:p>
    <w:p w:rsidR="00EB7BF8" w:rsidRPr="00F7195A" w:rsidRDefault="00CA3D2E" w:rsidP="00F7195A">
      <w:pPr>
        <w:spacing w:line="360" w:lineRule="auto"/>
        <w:jc w:val="both"/>
        <w:rPr>
          <w:rFonts w:ascii="Arial" w:hAnsi="Arial" w:cs="Arial"/>
          <w:u w:val="single"/>
        </w:rPr>
      </w:pPr>
      <w:r w:rsidRPr="00F7195A">
        <w:rPr>
          <w:rFonts w:ascii="Arial" w:hAnsi="Arial" w:cs="Arial"/>
          <w:u w:val="single"/>
        </w:rPr>
        <w:t>Costs</w:t>
      </w:r>
    </w:p>
    <w:p w:rsidR="00EB7BF8" w:rsidRPr="00EB7BF8" w:rsidRDefault="00EB7BF8" w:rsidP="00F869C4">
      <w:pPr>
        <w:spacing w:line="360" w:lineRule="auto"/>
        <w:rPr>
          <w:rFonts w:ascii="Arial" w:hAnsi="Arial" w:cs="Arial"/>
        </w:rPr>
      </w:pPr>
    </w:p>
    <w:p w:rsidR="00EB7BF8" w:rsidRDefault="00D71C04" w:rsidP="00F869C4">
      <w:pPr>
        <w:spacing w:line="360" w:lineRule="auto"/>
        <w:jc w:val="both"/>
        <w:rPr>
          <w:rFonts w:ascii="Arial" w:hAnsi="Arial" w:cs="Arial"/>
        </w:rPr>
      </w:pPr>
      <w:r>
        <w:rPr>
          <w:rFonts w:ascii="Arial" w:hAnsi="Arial" w:cs="Arial"/>
        </w:rPr>
        <w:t>[22]</w:t>
      </w:r>
      <w:r>
        <w:rPr>
          <w:rFonts w:ascii="Arial" w:hAnsi="Arial" w:cs="Arial"/>
        </w:rPr>
        <w:tab/>
      </w:r>
      <w:r w:rsidR="00EB7BF8">
        <w:rPr>
          <w:rFonts w:ascii="Arial" w:hAnsi="Arial" w:cs="Arial"/>
        </w:rPr>
        <w:t>With regards to the issue of costs, it is trite that costs follow the event. The general rule which governs the costs of application</w:t>
      </w:r>
      <w:r w:rsidR="003356D4">
        <w:rPr>
          <w:rFonts w:ascii="Arial" w:hAnsi="Arial" w:cs="Arial"/>
        </w:rPr>
        <w:t>s</w:t>
      </w:r>
      <w:r w:rsidR="00EB7BF8">
        <w:rPr>
          <w:rFonts w:ascii="Arial" w:hAnsi="Arial" w:cs="Arial"/>
        </w:rPr>
        <w:t xml:space="preserve"> for amendment is that the party seeking the amendment should pay the costs occasioned by such application. This is so because the applicant is seeking an indulgence for the court</w:t>
      </w:r>
      <w:r w:rsidR="003356D4">
        <w:rPr>
          <w:rFonts w:ascii="Arial" w:hAnsi="Arial" w:cs="Arial"/>
        </w:rPr>
        <w:t>.</w:t>
      </w:r>
      <w:r w:rsidR="00EB7BF8">
        <w:rPr>
          <w:rStyle w:val="FootnoteReference"/>
          <w:rFonts w:ascii="Arial" w:hAnsi="Arial" w:cs="Arial"/>
        </w:rPr>
        <w:footnoteReference w:id="12"/>
      </w:r>
    </w:p>
    <w:p w:rsidR="00EB7BF8" w:rsidRDefault="00EB7BF8" w:rsidP="00F869C4">
      <w:pPr>
        <w:spacing w:line="360" w:lineRule="auto"/>
        <w:rPr>
          <w:rFonts w:ascii="Arial" w:hAnsi="Arial" w:cs="Arial"/>
        </w:rPr>
      </w:pPr>
    </w:p>
    <w:p w:rsidR="00F7195A" w:rsidRDefault="00F7195A" w:rsidP="00F869C4">
      <w:pPr>
        <w:spacing w:line="360" w:lineRule="auto"/>
        <w:rPr>
          <w:rFonts w:ascii="Arial" w:hAnsi="Arial" w:cs="Arial"/>
        </w:rPr>
      </w:pPr>
    </w:p>
    <w:p w:rsidR="00F7195A" w:rsidRDefault="00F7195A" w:rsidP="00F869C4">
      <w:pPr>
        <w:spacing w:line="360" w:lineRule="auto"/>
        <w:rPr>
          <w:rFonts w:ascii="Arial" w:hAnsi="Arial" w:cs="Arial"/>
        </w:rPr>
      </w:pPr>
    </w:p>
    <w:p w:rsidR="00EB7BF8" w:rsidRDefault="00EB7BF8" w:rsidP="00F869C4">
      <w:pPr>
        <w:spacing w:line="360" w:lineRule="auto"/>
        <w:jc w:val="both"/>
        <w:rPr>
          <w:rFonts w:ascii="Arial" w:hAnsi="Arial" w:cs="Arial"/>
          <w:u w:val="single"/>
        </w:rPr>
      </w:pPr>
      <w:r w:rsidRPr="00F7195A">
        <w:rPr>
          <w:rFonts w:ascii="Arial" w:hAnsi="Arial" w:cs="Arial"/>
          <w:u w:val="single"/>
        </w:rPr>
        <w:lastRenderedPageBreak/>
        <w:t xml:space="preserve">Order: </w:t>
      </w:r>
    </w:p>
    <w:p w:rsidR="00F7195A" w:rsidRPr="00F7195A" w:rsidRDefault="00F7195A" w:rsidP="00F869C4">
      <w:pPr>
        <w:spacing w:line="360" w:lineRule="auto"/>
        <w:jc w:val="both"/>
        <w:rPr>
          <w:rFonts w:ascii="Arial" w:hAnsi="Arial" w:cs="Arial"/>
          <w:u w:val="single"/>
        </w:rPr>
      </w:pPr>
    </w:p>
    <w:p w:rsidR="00EB7BF8" w:rsidRDefault="00EB7BF8" w:rsidP="00F7195A">
      <w:pPr>
        <w:pStyle w:val="ListParagraph"/>
        <w:numPr>
          <w:ilvl w:val="0"/>
          <w:numId w:val="2"/>
        </w:numPr>
        <w:spacing w:line="360" w:lineRule="auto"/>
        <w:ind w:left="0" w:firstLine="11"/>
        <w:jc w:val="both"/>
        <w:rPr>
          <w:rFonts w:ascii="Arial" w:hAnsi="Arial" w:cs="Arial"/>
          <w:lang w:val="af-ZA"/>
        </w:rPr>
      </w:pPr>
      <w:r w:rsidRPr="00EB7BF8">
        <w:rPr>
          <w:rFonts w:ascii="Arial" w:hAnsi="Arial" w:cs="Arial"/>
          <w:lang w:val="af-ZA"/>
        </w:rPr>
        <w:t>The plaintiff is granted leave to amend its particulars of claim by the introduction of the amendments as set out in the Notice of intention to amend dated 16 November 2017;</w:t>
      </w:r>
    </w:p>
    <w:p w:rsidR="00F7195A" w:rsidRPr="00EB7BF8" w:rsidRDefault="00F7195A" w:rsidP="00F7195A">
      <w:pPr>
        <w:pStyle w:val="ListParagraph"/>
        <w:spacing w:line="360" w:lineRule="auto"/>
        <w:ind w:left="11"/>
        <w:jc w:val="both"/>
        <w:rPr>
          <w:rFonts w:ascii="Arial" w:hAnsi="Arial" w:cs="Arial"/>
          <w:lang w:val="af-ZA"/>
        </w:rPr>
      </w:pPr>
    </w:p>
    <w:p w:rsidR="00EB7BF8" w:rsidRPr="00EB7BF8" w:rsidRDefault="00EB7BF8" w:rsidP="00F7195A">
      <w:pPr>
        <w:pStyle w:val="ListParagraph"/>
        <w:numPr>
          <w:ilvl w:val="0"/>
          <w:numId w:val="2"/>
        </w:numPr>
        <w:spacing w:line="360" w:lineRule="auto"/>
        <w:ind w:left="0" w:firstLine="0"/>
        <w:jc w:val="both"/>
        <w:rPr>
          <w:rFonts w:ascii="Arial" w:hAnsi="Arial" w:cs="Arial"/>
          <w:lang w:val="af-ZA"/>
        </w:rPr>
      </w:pPr>
      <w:r w:rsidRPr="00EB7BF8">
        <w:rPr>
          <w:rFonts w:ascii="Arial" w:hAnsi="Arial" w:cs="Arial"/>
          <w:lang w:val="af-ZA"/>
        </w:rPr>
        <w:t>Plaintiff to pay the cost occassioned by the application.</w:t>
      </w:r>
    </w:p>
    <w:p w:rsidR="00EB7BF8" w:rsidRDefault="00EB7BF8" w:rsidP="00F869C4">
      <w:pPr>
        <w:spacing w:line="360" w:lineRule="auto"/>
        <w:rPr>
          <w:rFonts w:ascii="Arial" w:hAnsi="Arial" w:cs="Arial"/>
        </w:rPr>
      </w:pPr>
    </w:p>
    <w:p w:rsidR="003356D4" w:rsidRDefault="003356D4" w:rsidP="00F869C4">
      <w:pPr>
        <w:spacing w:line="360" w:lineRule="auto"/>
        <w:rPr>
          <w:rFonts w:ascii="Arial" w:hAnsi="Arial" w:cs="Arial"/>
        </w:rPr>
      </w:pPr>
    </w:p>
    <w:p w:rsidR="003356D4" w:rsidRDefault="003356D4" w:rsidP="00F869C4">
      <w:pPr>
        <w:spacing w:line="360" w:lineRule="auto"/>
        <w:rPr>
          <w:rFonts w:ascii="Arial" w:hAnsi="Arial" w:cs="Arial"/>
        </w:rPr>
      </w:pPr>
    </w:p>
    <w:p w:rsidR="003356D4" w:rsidRDefault="003356D4" w:rsidP="00F869C4">
      <w:pPr>
        <w:spacing w:line="360" w:lineRule="auto"/>
        <w:jc w:val="right"/>
        <w:rPr>
          <w:rFonts w:ascii="Arial" w:hAnsi="Arial" w:cs="Arial"/>
        </w:rPr>
      </w:pPr>
      <w:r>
        <w:rPr>
          <w:rFonts w:ascii="Arial" w:hAnsi="Arial" w:cs="Arial"/>
        </w:rPr>
        <w:t>_______________</w:t>
      </w:r>
    </w:p>
    <w:p w:rsidR="003356D4" w:rsidRDefault="003356D4" w:rsidP="00F869C4">
      <w:pPr>
        <w:spacing w:line="360" w:lineRule="auto"/>
        <w:jc w:val="right"/>
        <w:rPr>
          <w:rFonts w:ascii="Arial" w:hAnsi="Arial" w:cs="Arial"/>
        </w:rPr>
      </w:pPr>
      <w:r>
        <w:rPr>
          <w:rFonts w:ascii="Arial" w:hAnsi="Arial" w:cs="Arial"/>
        </w:rPr>
        <w:t>J S Prinsloo</w:t>
      </w:r>
    </w:p>
    <w:p w:rsidR="003356D4" w:rsidRDefault="003356D4" w:rsidP="00F869C4">
      <w:pPr>
        <w:spacing w:line="360" w:lineRule="auto"/>
        <w:jc w:val="right"/>
        <w:rPr>
          <w:rFonts w:ascii="Arial" w:hAnsi="Arial" w:cs="Arial"/>
        </w:rPr>
      </w:pPr>
      <w:r>
        <w:rPr>
          <w:rFonts w:ascii="Arial" w:hAnsi="Arial" w:cs="Arial"/>
        </w:rPr>
        <w:t>Judge</w:t>
      </w:r>
    </w:p>
    <w:p w:rsidR="003356D4" w:rsidRDefault="003356D4" w:rsidP="00F869C4">
      <w:pPr>
        <w:spacing w:line="360" w:lineRule="auto"/>
        <w:jc w:val="right"/>
        <w:rPr>
          <w:rFonts w:ascii="Arial" w:hAnsi="Arial" w:cs="Arial"/>
        </w:rPr>
      </w:pPr>
    </w:p>
    <w:p w:rsidR="003356D4" w:rsidRDefault="003356D4" w:rsidP="00F869C4">
      <w:pPr>
        <w:spacing w:line="360" w:lineRule="auto"/>
        <w:jc w:val="right"/>
        <w:rPr>
          <w:rFonts w:ascii="Arial" w:hAnsi="Arial" w:cs="Arial"/>
        </w:rPr>
      </w:pPr>
    </w:p>
    <w:p w:rsidR="003356D4" w:rsidRDefault="003356D4" w:rsidP="00F869C4">
      <w:pPr>
        <w:spacing w:line="360" w:lineRule="auto"/>
        <w:jc w:val="right"/>
        <w:rPr>
          <w:rFonts w:ascii="Arial" w:hAnsi="Arial" w:cs="Arial"/>
        </w:rPr>
      </w:pPr>
    </w:p>
    <w:p w:rsidR="003356D4" w:rsidRDefault="003356D4" w:rsidP="00F869C4">
      <w:pPr>
        <w:spacing w:line="360" w:lineRule="auto"/>
        <w:jc w:val="right"/>
        <w:rPr>
          <w:rFonts w:ascii="Arial" w:hAnsi="Arial" w:cs="Arial"/>
        </w:rPr>
      </w:pPr>
    </w:p>
    <w:p w:rsidR="003356D4" w:rsidRDefault="003356D4" w:rsidP="00F869C4">
      <w:pPr>
        <w:spacing w:line="360" w:lineRule="auto"/>
        <w:jc w:val="right"/>
        <w:rPr>
          <w:rFonts w:ascii="Arial" w:hAnsi="Arial" w:cs="Arial"/>
        </w:rPr>
      </w:pPr>
    </w:p>
    <w:p w:rsidR="003356D4" w:rsidRDefault="003356D4" w:rsidP="00F869C4">
      <w:pPr>
        <w:spacing w:line="360" w:lineRule="auto"/>
        <w:jc w:val="right"/>
        <w:rPr>
          <w:rFonts w:ascii="Arial" w:hAnsi="Arial" w:cs="Arial"/>
        </w:rPr>
      </w:pPr>
    </w:p>
    <w:p w:rsidR="003356D4" w:rsidRDefault="003356D4" w:rsidP="00F869C4">
      <w:pPr>
        <w:spacing w:line="360" w:lineRule="auto"/>
        <w:jc w:val="right"/>
        <w:rPr>
          <w:rFonts w:ascii="Arial" w:hAnsi="Arial" w:cs="Arial"/>
        </w:rPr>
      </w:pPr>
    </w:p>
    <w:p w:rsidR="00F7195A" w:rsidRDefault="00F7195A" w:rsidP="00F869C4">
      <w:pPr>
        <w:spacing w:line="360" w:lineRule="auto"/>
        <w:jc w:val="both"/>
        <w:rPr>
          <w:rFonts w:ascii="Arial" w:hAnsi="Arial" w:cs="Arial"/>
        </w:rPr>
      </w:pPr>
    </w:p>
    <w:p w:rsidR="00F7195A" w:rsidRDefault="00F7195A" w:rsidP="00F869C4">
      <w:pPr>
        <w:spacing w:line="360" w:lineRule="auto"/>
        <w:jc w:val="both"/>
        <w:rPr>
          <w:rFonts w:ascii="Arial" w:hAnsi="Arial" w:cs="Arial"/>
        </w:rPr>
      </w:pPr>
    </w:p>
    <w:p w:rsidR="00F7195A" w:rsidRDefault="00F7195A" w:rsidP="00F869C4">
      <w:pPr>
        <w:spacing w:line="360" w:lineRule="auto"/>
        <w:jc w:val="both"/>
        <w:rPr>
          <w:rFonts w:ascii="Arial" w:hAnsi="Arial" w:cs="Arial"/>
        </w:rPr>
      </w:pPr>
    </w:p>
    <w:p w:rsidR="00F7195A" w:rsidRDefault="00F7195A" w:rsidP="00F869C4">
      <w:pPr>
        <w:spacing w:line="360" w:lineRule="auto"/>
        <w:jc w:val="both"/>
        <w:rPr>
          <w:rFonts w:ascii="Arial" w:hAnsi="Arial" w:cs="Arial"/>
        </w:rPr>
      </w:pPr>
    </w:p>
    <w:p w:rsidR="00F7195A" w:rsidRDefault="00F7195A" w:rsidP="00F869C4">
      <w:pPr>
        <w:spacing w:line="360" w:lineRule="auto"/>
        <w:jc w:val="both"/>
        <w:rPr>
          <w:rFonts w:ascii="Arial" w:hAnsi="Arial" w:cs="Arial"/>
        </w:rPr>
      </w:pPr>
    </w:p>
    <w:p w:rsidR="00F7195A" w:rsidRDefault="00F7195A" w:rsidP="00F869C4">
      <w:pPr>
        <w:spacing w:line="360" w:lineRule="auto"/>
        <w:jc w:val="both"/>
        <w:rPr>
          <w:rFonts w:ascii="Arial" w:hAnsi="Arial" w:cs="Arial"/>
        </w:rPr>
      </w:pPr>
    </w:p>
    <w:p w:rsidR="00F7195A" w:rsidRDefault="00F7195A" w:rsidP="00F869C4">
      <w:pPr>
        <w:spacing w:line="360" w:lineRule="auto"/>
        <w:jc w:val="both"/>
        <w:rPr>
          <w:rFonts w:ascii="Arial" w:hAnsi="Arial" w:cs="Arial"/>
        </w:rPr>
      </w:pPr>
    </w:p>
    <w:p w:rsidR="00F7195A" w:rsidRDefault="00F7195A" w:rsidP="00F869C4">
      <w:pPr>
        <w:spacing w:line="360" w:lineRule="auto"/>
        <w:jc w:val="both"/>
        <w:rPr>
          <w:rFonts w:ascii="Arial" w:hAnsi="Arial" w:cs="Arial"/>
        </w:rPr>
      </w:pPr>
    </w:p>
    <w:p w:rsidR="00F7195A" w:rsidRDefault="00F7195A" w:rsidP="00F869C4">
      <w:pPr>
        <w:spacing w:line="360" w:lineRule="auto"/>
        <w:jc w:val="both"/>
        <w:rPr>
          <w:rFonts w:ascii="Arial" w:hAnsi="Arial" w:cs="Arial"/>
        </w:rPr>
      </w:pPr>
    </w:p>
    <w:p w:rsidR="00F7195A" w:rsidRDefault="00F7195A" w:rsidP="00F869C4">
      <w:pPr>
        <w:spacing w:line="360" w:lineRule="auto"/>
        <w:jc w:val="both"/>
        <w:rPr>
          <w:rFonts w:ascii="Arial" w:hAnsi="Arial" w:cs="Arial"/>
        </w:rPr>
      </w:pPr>
    </w:p>
    <w:p w:rsidR="00F7195A" w:rsidRDefault="00F7195A" w:rsidP="00F869C4">
      <w:pPr>
        <w:spacing w:line="360" w:lineRule="auto"/>
        <w:jc w:val="both"/>
        <w:rPr>
          <w:rFonts w:ascii="Arial" w:hAnsi="Arial" w:cs="Arial"/>
        </w:rPr>
      </w:pPr>
    </w:p>
    <w:p w:rsidR="003356D4" w:rsidRDefault="003356D4" w:rsidP="00F869C4">
      <w:pPr>
        <w:spacing w:line="360" w:lineRule="auto"/>
        <w:jc w:val="both"/>
        <w:rPr>
          <w:rFonts w:ascii="Arial" w:hAnsi="Arial" w:cs="Arial"/>
        </w:rPr>
      </w:pPr>
      <w:r>
        <w:rPr>
          <w:rFonts w:ascii="Arial" w:hAnsi="Arial" w:cs="Arial"/>
        </w:rPr>
        <w:lastRenderedPageBreak/>
        <w:t>APPEARANCES:</w:t>
      </w:r>
    </w:p>
    <w:p w:rsidR="003356D4" w:rsidRDefault="003356D4" w:rsidP="00F869C4">
      <w:pPr>
        <w:spacing w:line="360" w:lineRule="auto"/>
        <w:jc w:val="both"/>
        <w:rPr>
          <w:rFonts w:ascii="Arial" w:hAnsi="Arial" w:cs="Arial"/>
        </w:rPr>
      </w:pPr>
    </w:p>
    <w:p w:rsidR="003356D4" w:rsidRDefault="003356D4" w:rsidP="00F869C4">
      <w:pPr>
        <w:spacing w:line="360" w:lineRule="auto"/>
        <w:jc w:val="both"/>
        <w:rPr>
          <w:rFonts w:ascii="Arial" w:hAnsi="Arial" w:cs="Arial"/>
        </w:rPr>
      </w:pPr>
    </w:p>
    <w:p w:rsidR="003356D4" w:rsidRDefault="003356D4" w:rsidP="00F7195A">
      <w:pPr>
        <w:jc w:val="both"/>
        <w:rPr>
          <w:rFonts w:ascii="Arial" w:hAnsi="Arial" w:cs="Arial"/>
        </w:rPr>
      </w:pPr>
      <w:r>
        <w:rPr>
          <w:rFonts w:ascii="Arial" w:hAnsi="Arial" w:cs="Arial"/>
        </w:rPr>
        <w:t>PLAINTIFF:</w:t>
      </w:r>
      <w:r w:rsidR="00F7195A">
        <w:rPr>
          <w:rFonts w:ascii="Arial" w:hAnsi="Arial" w:cs="Arial"/>
        </w:rPr>
        <w:tab/>
      </w:r>
      <w:r w:rsidR="00F7195A">
        <w:rPr>
          <w:rFonts w:ascii="Arial" w:hAnsi="Arial" w:cs="Arial"/>
        </w:rPr>
        <w:tab/>
      </w:r>
      <w:r w:rsidR="00F7195A">
        <w:rPr>
          <w:rFonts w:ascii="Arial" w:hAnsi="Arial" w:cs="Arial"/>
        </w:rPr>
        <w:tab/>
      </w:r>
      <w:r w:rsidR="00F7195A">
        <w:rPr>
          <w:rFonts w:ascii="Arial" w:hAnsi="Arial" w:cs="Arial"/>
        </w:rPr>
        <w:tab/>
      </w:r>
      <w:r w:rsidR="00F7195A">
        <w:rPr>
          <w:rFonts w:ascii="Arial" w:hAnsi="Arial" w:cs="Arial"/>
        </w:rPr>
        <w:tab/>
      </w:r>
      <w:r w:rsidR="0091024F">
        <w:rPr>
          <w:rFonts w:ascii="Arial" w:hAnsi="Arial" w:cs="Arial"/>
        </w:rPr>
        <w:t>P C I Barnard</w:t>
      </w:r>
    </w:p>
    <w:p w:rsidR="006000AC" w:rsidRDefault="006000AC" w:rsidP="00F7195A">
      <w:pPr>
        <w:jc w:val="right"/>
        <w:rPr>
          <w:rFonts w:ascii="Arial" w:hAnsi="Arial" w:cs="Arial"/>
        </w:rPr>
      </w:pPr>
      <w:r>
        <w:rPr>
          <w:rFonts w:ascii="Arial" w:hAnsi="Arial" w:cs="Arial"/>
        </w:rPr>
        <w:t xml:space="preserve"> </w:t>
      </w:r>
    </w:p>
    <w:p w:rsidR="003356D4" w:rsidRDefault="00F7195A" w:rsidP="00F7195A">
      <w:pPr>
        <w:ind w:left="3600" w:firstLine="720"/>
        <w:rPr>
          <w:rFonts w:ascii="Arial" w:hAnsi="Arial" w:cs="Arial"/>
        </w:rPr>
      </w:pPr>
      <w:proofErr w:type="gramStart"/>
      <w:r>
        <w:rPr>
          <w:rFonts w:ascii="Arial" w:hAnsi="Arial" w:cs="Arial"/>
        </w:rPr>
        <w:t>i</w:t>
      </w:r>
      <w:r w:rsidR="0091024F">
        <w:rPr>
          <w:rFonts w:ascii="Arial" w:hAnsi="Arial" w:cs="Arial"/>
        </w:rPr>
        <w:t>nstructed</w:t>
      </w:r>
      <w:proofErr w:type="gramEnd"/>
      <w:r w:rsidR="0091024F">
        <w:rPr>
          <w:rFonts w:ascii="Arial" w:hAnsi="Arial" w:cs="Arial"/>
        </w:rPr>
        <w:t xml:space="preserve"> by </w:t>
      </w:r>
      <w:proofErr w:type="spellStart"/>
      <w:r w:rsidR="006000AC" w:rsidRPr="006000AC">
        <w:rPr>
          <w:rFonts w:ascii="Arial" w:hAnsi="Arial" w:cs="Arial"/>
        </w:rPr>
        <w:t>Cronjé</w:t>
      </w:r>
      <w:proofErr w:type="spellEnd"/>
      <w:r w:rsidR="006000AC" w:rsidRPr="006000AC">
        <w:rPr>
          <w:rFonts w:ascii="Arial" w:hAnsi="Arial" w:cs="Arial"/>
        </w:rPr>
        <w:t xml:space="preserve"> &amp; Co</w:t>
      </w:r>
      <w:r w:rsidR="006000AC">
        <w:rPr>
          <w:rFonts w:ascii="Arial" w:hAnsi="Arial" w:cs="Arial"/>
        </w:rPr>
        <w:t>., Windhoek</w:t>
      </w:r>
    </w:p>
    <w:p w:rsidR="003356D4" w:rsidRDefault="003356D4" w:rsidP="00F869C4">
      <w:pPr>
        <w:spacing w:line="360" w:lineRule="auto"/>
        <w:jc w:val="both"/>
        <w:rPr>
          <w:rFonts w:ascii="Arial" w:hAnsi="Arial" w:cs="Arial"/>
        </w:rPr>
      </w:pPr>
    </w:p>
    <w:p w:rsidR="003356D4" w:rsidRDefault="003356D4" w:rsidP="00F869C4">
      <w:pPr>
        <w:spacing w:line="360" w:lineRule="auto"/>
        <w:jc w:val="both"/>
        <w:rPr>
          <w:rFonts w:ascii="Arial" w:hAnsi="Arial" w:cs="Arial"/>
        </w:rPr>
      </w:pPr>
    </w:p>
    <w:p w:rsidR="003356D4" w:rsidRDefault="003356D4" w:rsidP="00F869C4">
      <w:pPr>
        <w:spacing w:line="360" w:lineRule="auto"/>
        <w:jc w:val="both"/>
        <w:rPr>
          <w:rFonts w:ascii="Arial" w:hAnsi="Arial" w:cs="Arial"/>
        </w:rPr>
      </w:pPr>
    </w:p>
    <w:p w:rsidR="003356D4" w:rsidRDefault="003356D4" w:rsidP="00F7195A">
      <w:pPr>
        <w:jc w:val="both"/>
        <w:rPr>
          <w:rFonts w:ascii="Arial" w:hAnsi="Arial" w:cs="Arial"/>
        </w:rPr>
      </w:pPr>
      <w:r>
        <w:rPr>
          <w:rFonts w:ascii="Arial" w:hAnsi="Arial" w:cs="Arial"/>
        </w:rPr>
        <w:t>DEFENDANT:</w:t>
      </w:r>
      <w:r w:rsidR="00F7195A">
        <w:rPr>
          <w:rFonts w:ascii="Arial" w:hAnsi="Arial" w:cs="Arial"/>
        </w:rPr>
        <w:tab/>
      </w:r>
      <w:r w:rsidR="00F7195A">
        <w:rPr>
          <w:rFonts w:ascii="Arial" w:hAnsi="Arial" w:cs="Arial"/>
        </w:rPr>
        <w:tab/>
      </w:r>
      <w:r w:rsidR="00F7195A">
        <w:rPr>
          <w:rFonts w:ascii="Arial" w:hAnsi="Arial" w:cs="Arial"/>
        </w:rPr>
        <w:tab/>
      </w:r>
      <w:r w:rsidR="00F7195A">
        <w:rPr>
          <w:rFonts w:ascii="Arial" w:hAnsi="Arial" w:cs="Arial"/>
        </w:rPr>
        <w:tab/>
      </w:r>
      <w:r w:rsidR="006000AC">
        <w:rPr>
          <w:rFonts w:ascii="Arial" w:hAnsi="Arial" w:cs="Arial"/>
        </w:rPr>
        <w:t xml:space="preserve">N </w:t>
      </w:r>
      <w:proofErr w:type="spellStart"/>
      <w:r w:rsidR="006000AC">
        <w:rPr>
          <w:rFonts w:ascii="Arial" w:hAnsi="Arial" w:cs="Arial"/>
        </w:rPr>
        <w:t>T</w:t>
      </w:r>
      <w:r w:rsidR="00F7195A">
        <w:rPr>
          <w:rFonts w:ascii="Arial" w:hAnsi="Arial" w:cs="Arial"/>
        </w:rPr>
        <w:t>jombe</w:t>
      </w:r>
      <w:proofErr w:type="spellEnd"/>
    </w:p>
    <w:p w:rsidR="006000AC" w:rsidRDefault="006000AC" w:rsidP="00F7195A">
      <w:pPr>
        <w:jc w:val="both"/>
        <w:rPr>
          <w:rFonts w:ascii="Arial" w:hAnsi="Arial" w:cs="Arial"/>
        </w:rPr>
      </w:pPr>
    </w:p>
    <w:p w:rsidR="006000AC" w:rsidRDefault="00F7195A" w:rsidP="00F7195A">
      <w:pPr>
        <w:ind w:left="3600" w:firstLine="720"/>
        <w:rPr>
          <w:rFonts w:ascii="Arial" w:hAnsi="Arial" w:cs="Arial"/>
        </w:rPr>
      </w:pPr>
      <w:proofErr w:type="gramStart"/>
      <w:r>
        <w:rPr>
          <w:rFonts w:ascii="Arial" w:hAnsi="Arial" w:cs="Arial"/>
        </w:rPr>
        <w:t>of</w:t>
      </w:r>
      <w:proofErr w:type="gramEnd"/>
      <w:r>
        <w:rPr>
          <w:rFonts w:ascii="Arial" w:hAnsi="Arial" w:cs="Arial"/>
        </w:rPr>
        <w:t xml:space="preserve"> </w:t>
      </w:r>
      <w:proofErr w:type="spellStart"/>
      <w:r w:rsidR="006000AC" w:rsidRPr="006000AC">
        <w:rPr>
          <w:rFonts w:ascii="Arial" w:hAnsi="Arial" w:cs="Arial"/>
        </w:rPr>
        <w:t>Tjombe</w:t>
      </w:r>
      <w:proofErr w:type="spellEnd"/>
      <w:r w:rsidR="006000AC" w:rsidRPr="006000AC">
        <w:rPr>
          <w:rFonts w:ascii="Arial" w:hAnsi="Arial" w:cs="Arial"/>
        </w:rPr>
        <w:t>–</w:t>
      </w:r>
      <w:proofErr w:type="spellStart"/>
      <w:r w:rsidR="006000AC" w:rsidRPr="006000AC">
        <w:rPr>
          <w:rFonts w:ascii="Arial" w:hAnsi="Arial" w:cs="Arial"/>
        </w:rPr>
        <w:t>Elago</w:t>
      </w:r>
      <w:proofErr w:type="spellEnd"/>
      <w:r w:rsidR="006000AC" w:rsidRPr="006000AC">
        <w:rPr>
          <w:rFonts w:ascii="Arial" w:hAnsi="Arial" w:cs="Arial"/>
        </w:rPr>
        <w:t xml:space="preserve"> Inc.</w:t>
      </w:r>
      <w:r w:rsidR="006000AC">
        <w:rPr>
          <w:rFonts w:ascii="Arial" w:hAnsi="Arial" w:cs="Arial"/>
        </w:rPr>
        <w:t>, Windhoek</w:t>
      </w:r>
    </w:p>
    <w:sectPr w:rsidR="006000AC" w:rsidSect="006E12A5">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26E" w:rsidRDefault="0089626E" w:rsidP="00406FFF">
      <w:r>
        <w:separator/>
      </w:r>
    </w:p>
  </w:endnote>
  <w:endnote w:type="continuationSeparator" w:id="0">
    <w:p w:rsidR="0089626E" w:rsidRDefault="0089626E" w:rsidP="00406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26E" w:rsidRDefault="0089626E" w:rsidP="00406FFF">
      <w:r>
        <w:separator/>
      </w:r>
    </w:p>
  </w:footnote>
  <w:footnote w:type="continuationSeparator" w:id="0">
    <w:p w:rsidR="0089626E" w:rsidRDefault="0089626E" w:rsidP="00406FFF">
      <w:r>
        <w:continuationSeparator/>
      </w:r>
    </w:p>
  </w:footnote>
  <w:footnote w:id="1">
    <w:p w:rsidR="00FE5575" w:rsidRPr="00F869C4" w:rsidRDefault="00FE5575" w:rsidP="00F869C4">
      <w:pPr>
        <w:pStyle w:val="FootnoteText"/>
        <w:jc w:val="both"/>
        <w:rPr>
          <w:rFonts w:ascii="Arial" w:hAnsi="Arial" w:cs="Arial"/>
          <w:lang w:val="af-ZA"/>
        </w:rPr>
      </w:pPr>
      <w:r w:rsidRPr="00F869C4">
        <w:rPr>
          <w:rStyle w:val="FootnoteReference"/>
          <w:rFonts w:ascii="Arial" w:hAnsi="Arial" w:cs="Arial"/>
        </w:rPr>
        <w:footnoteRef/>
      </w:r>
      <w:r w:rsidRPr="00F869C4">
        <w:rPr>
          <w:rFonts w:ascii="Arial" w:hAnsi="Arial" w:cs="Arial"/>
        </w:rPr>
        <w:t xml:space="preserve"> </w:t>
      </w:r>
      <w:r w:rsidRPr="00F869C4">
        <w:rPr>
          <w:rFonts w:ascii="Arial" w:hAnsi="Arial" w:cs="Arial"/>
          <w:shd w:val="clear" w:color="auto" w:fill="FFFFFF"/>
        </w:rPr>
        <w:t>For the sake of convenience I will refer to the parties as they are in the main action.</w:t>
      </w:r>
    </w:p>
  </w:footnote>
  <w:footnote w:id="2">
    <w:p w:rsidR="00FE5575" w:rsidRPr="00F869C4" w:rsidRDefault="00FE5575" w:rsidP="00F869C4">
      <w:pPr>
        <w:pStyle w:val="FootnoteText"/>
        <w:jc w:val="both"/>
        <w:rPr>
          <w:rFonts w:ascii="Arial" w:eastAsiaTheme="minorEastAsia" w:hAnsi="Arial" w:cs="Arial"/>
          <w:sz w:val="24"/>
          <w:szCs w:val="24"/>
          <w:lang w:val="en-US"/>
        </w:rPr>
      </w:pPr>
      <w:r w:rsidRPr="00F869C4">
        <w:rPr>
          <w:rFonts w:ascii="Arial" w:eastAsiaTheme="minorEastAsia" w:hAnsi="Arial" w:cs="Arial"/>
          <w:lang w:val="en-US"/>
        </w:rPr>
        <w:footnoteRef/>
      </w:r>
      <w:r w:rsidRPr="00F869C4">
        <w:rPr>
          <w:rFonts w:ascii="Arial" w:eastAsiaTheme="minorEastAsia" w:hAnsi="Arial" w:cs="Arial"/>
          <w:sz w:val="24"/>
          <w:szCs w:val="24"/>
          <w:lang w:val="en-US"/>
        </w:rPr>
        <w:t xml:space="preserve"> </w:t>
      </w:r>
      <w:proofErr w:type="spellStart"/>
      <w:r w:rsidRPr="00F869C4">
        <w:rPr>
          <w:rFonts w:ascii="Arial" w:eastAsiaTheme="minorEastAsia" w:hAnsi="Arial" w:cs="Arial"/>
          <w:szCs w:val="24"/>
        </w:rPr>
        <w:t>Cilliers</w:t>
      </w:r>
      <w:proofErr w:type="spellEnd"/>
      <w:r w:rsidRPr="00F869C4">
        <w:rPr>
          <w:rFonts w:ascii="Arial" w:eastAsiaTheme="minorEastAsia" w:hAnsi="Arial" w:cs="Arial"/>
          <w:szCs w:val="24"/>
        </w:rPr>
        <w:t xml:space="preserve">, Loots and </w:t>
      </w:r>
      <w:proofErr w:type="spellStart"/>
      <w:r w:rsidRPr="00F869C4">
        <w:rPr>
          <w:rFonts w:ascii="Arial" w:eastAsiaTheme="minorEastAsia" w:hAnsi="Arial" w:cs="Arial"/>
          <w:szCs w:val="24"/>
        </w:rPr>
        <w:t>Nel</w:t>
      </w:r>
      <w:proofErr w:type="spellEnd"/>
      <w:r w:rsidRPr="00F869C4">
        <w:rPr>
          <w:rFonts w:ascii="Arial" w:eastAsiaTheme="minorEastAsia" w:hAnsi="Arial" w:cs="Arial"/>
          <w:szCs w:val="24"/>
        </w:rPr>
        <w:t xml:space="preserve"> </w:t>
      </w:r>
      <w:proofErr w:type="spellStart"/>
      <w:r w:rsidRPr="00F869C4">
        <w:rPr>
          <w:rFonts w:ascii="Arial" w:eastAsiaTheme="minorEastAsia" w:hAnsi="Arial" w:cs="Arial"/>
          <w:i/>
          <w:szCs w:val="24"/>
        </w:rPr>
        <w:t>Herbstein</w:t>
      </w:r>
      <w:proofErr w:type="spellEnd"/>
      <w:r w:rsidRPr="00F869C4">
        <w:rPr>
          <w:rFonts w:ascii="Arial" w:eastAsiaTheme="minorEastAsia" w:hAnsi="Arial" w:cs="Arial"/>
          <w:i/>
          <w:szCs w:val="24"/>
        </w:rPr>
        <w:t xml:space="preserve"> and Van </w:t>
      </w:r>
      <w:proofErr w:type="spellStart"/>
      <w:r w:rsidRPr="00F869C4">
        <w:rPr>
          <w:rFonts w:ascii="Arial" w:eastAsiaTheme="minorEastAsia" w:hAnsi="Arial" w:cs="Arial"/>
          <w:i/>
          <w:szCs w:val="24"/>
        </w:rPr>
        <w:t>Winsen</w:t>
      </w:r>
      <w:proofErr w:type="spellEnd"/>
      <w:r w:rsidRPr="00F869C4">
        <w:rPr>
          <w:rFonts w:ascii="Arial" w:eastAsiaTheme="minorEastAsia" w:hAnsi="Arial" w:cs="Arial"/>
          <w:i/>
          <w:szCs w:val="24"/>
        </w:rPr>
        <w:t>: The Civil Practice of the High Courts of South Africa</w:t>
      </w:r>
      <w:r w:rsidRPr="00F869C4">
        <w:rPr>
          <w:rFonts w:ascii="Arial" w:eastAsiaTheme="minorEastAsia" w:hAnsi="Arial" w:cs="Arial"/>
          <w:szCs w:val="24"/>
        </w:rPr>
        <w:t xml:space="preserve"> (5 </w:t>
      </w:r>
      <w:proofErr w:type="spellStart"/>
      <w:proofErr w:type="gramStart"/>
      <w:r w:rsidRPr="00F869C4">
        <w:rPr>
          <w:rFonts w:ascii="Arial" w:eastAsiaTheme="minorEastAsia" w:hAnsi="Arial" w:cs="Arial"/>
          <w:szCs w:val="24"/>
        </w:rPr>
        <w:t>ed</w:t>
      </w:r>
      <w:proofErr w:type="spellEnd"/>
      <w:proofErr w:type="gramEnd"/>
      <w:r w:rsidRPr="00F869C4">
        <w:rPr>
          <w:rFonts w:ascii="Arial" w:eastAsiaTheme="minorEastAsia" w:hAnsi="Arial" w:cs="Arial"/>
          <w:szCs w:val="24"/>
        </w:rPr>
        <w:t xml:space="preserve">) (Vol 1) Cape Town, </w:t>
      </w:r>
      <w:proofErr w:type="spellStart"/>
      <w:r w:rsidRPr="00F869C4">
        <w:rPr>
          <w:rFonts w:ascii="Arial" w:eastAsiaTheme="minorEastAsia" w:hAnsi="Arial" w:cs="Arial"/>
          <w:szCs w:val="24"/>
        </w:rPr>
        <w:t>Juta</w:t>
      </w:r>
      <w:proofErr w:type="spellEnd"/>
      <w:r w:rsidRPr="00F869C4">
        <w:rPr>
          <w:rFonts w:ascii="Arial" w:eastAsiaTheme="minorEastAsia" w:hAnsi="Arial" w:cs="Arial"/>
          <w:szCs w:val="24"/>
        </w:rPr>
        <w:t xml:space="preserve"> and Co: 2009, 678. See too </w:t>
      </w:r>
      <w:r w:rsidRPr="00F869C4">
        <w:rPr>
          <w:rFonts w:ascii="Arial" w:eastAsiaTheme="minorEastAsia" w:hAnsi="Arial" w:cs="Arial"/>
          <w:i/>
          <w:szCs w:val="24"/>
        </w:rPr>
        <w:t>Robinson v Randfontein Estates Gold Mining Co Ltd</w:t>
      </w:r>
      <w:r w:rsidRPr="00F869C4">
        <w:rPr>
          <w:rFonts w:ascii="Arial" w:eastAsiaTheme="minorEastAsia" w:hAnsi="Arial" w:cs="Arial"/>
          <w:szCs w:val="24"/>
        </w:rPr>
        <w:t xml:space="preserve"> 1921 AD 168, 243; </w:t>
      </w:r>
      <w:r w:rsidRPr="00F869C4">
        <w:rPr>
          <w:rFonts w:ascii="Arial" w:eastAsiaTheme="minorEastAsia" w:hAnsi="Arial" w:cs="Arial"/>
          <w:i/>
          <w:szCs w:val="24"/>
        </w:rPr>
        <w:t>Caxton Ltd and others v Reeva Forman (Pty) Ltd and another</w:t>
      </w:r>
      <w:r w:rsidRPr="00F869C4">
        <w:rPr>
          <w:rFonts w:ascii="Arial" w:eastAsiaTheme="minorEastAsia" w:hAnsi="Arial" w:cs="Arial"/>
          <w:szCs w:val="24"/>
        </w:rPr>
        <w:t xml:space="preserve"> 1990 (3) SA 547 (A), 569G.</w:t>
      </w:r>
    </w:p>
  </w:footnote>
  <w:footnote w:id="3">
    <w:p w:rsidR="00B770E9" w:rsidRPr="00F869C4" w:rsidRDefault="00B770E9" w:rsidP="00F869C4">
      <w:pPr>
        <w:pStyle w:val="FootnoteText"/>
        <w:jc w:val="both"/>
        <w:rPr>
          <w:rFonts w:ascii="Arial" w:hAnsi="Arial" w:cs="Arial"/>
          <w:lang w:val="af-ZA"/>
        </w:rPr>
      </w:pPr>
      <w:r w:rsidRPr="00F869C4">
        <w:rPr>
          <w:rStyle w:val="FootnoteReference"/>
          <w:rFonts w:ascii="Arial" w:hAnsi="Arial" w:cs="Arial"/>
        </w:rPr>
        <w:footnoteRef/>
      </w:r>
      <w:r w:rsidRPr="00F869C4">
        <w:rPr>
          <w:rFonts w:ascii="Arial" w:hAnsi="Arial" w:cs="Arial"/>
        </w:rPr>
        <w:t xml:space="preserve"> 1925 AD 266 Per Solomon JA held (Innes CJ and </w:t>
      </w:r>
      <w:proofErr w:type="spellStart"/>
      <w:r w:rsidRPr="00F869C4">
        <w:rPr>
          <w:rFonts w:ascii="Arial" w:hAnsi="Arial" w:cs="Arial"/>
        </w:rPr>
        <w:t>Wessels</w:t>
      </w:r>
      <w:proofErr w:type="spellEnd"/>
      <w:r w:rsidRPr="00F869C4">
        <w:rPr>
          <w:rFonts w:ascii="Arial" w:hAnsi="Arial" w:cs="Arial"/>
        </w:rPr>
        <w:t xml:space="preserve"> JA concurring at 274: ‘The contention on behalf of the respondent is that when the Legislature penalises an act it impliedly prohibits it, and that the effect of the prohibition is to render the act null and void, even if no declaration of nullity is attached to the law. That, as a general proposition, may be accepted, but it is not a hard and fast rule universally applicable. After all, what we have to get at is the intention of the Legislature, and, if we are satisfied in any case that the Legislature did not intend to render the act invalid, we should not be justified in holding that it was. As </w:t>
      </w:r>
      <w:proofErr w:type="spellStart"/>
      <w:r w:rsidRPr="00F869C4">
        <w:rPr>
          <w:rFonts w:ascii="Arial" w:hAnsi="Arial" w:cs="Arial"/>
        </w:rPr>
        <w:t>Voet</w:t>
      </w:r>
      <w:proofErr w:type="spellEnd"/>
      <w:r w:rsidRPr="00F869C4">
        <w:rPr>
          <w:rFonts w:ascii="Arial" w:hAnsi="Arial" w:cs="Arial"/>
        </w:rPr>
        <w:t xml:space="preserve"> (1.3.16) puts it – “but that which is done contrary to law is not ipso jure null and void, where the law is content with a penalty laid down against those who contravene it.” Then, after giving some instances in illustration of this principle, he proceeds: “The reason of all this I take to be that in these and the like cases greater inconveniences and impropriety would result from the rescission of what was done, than would follow the act itself done contrary to the law”</w:t>
      </w:r>
      <w:r w:rsidR="00F7195A">
        <w:rPr>
          <w:rFonts w:ascii="Arial" w:hAnsi="Arial" w:cs="Arial"/>
        </w:rPr>
        <w:t>.</w:t>
      </w:r>
    </w:p>
  </w:footnote>
  <w:footnote w:id="4">
    <w:p w:rsidR="004E3C65" w:rsidRPr="00F869C4" w:rsidRDefault="004E3C65" w:rsidP="00F869C4">
      <w:pPr>
        <w:pStyle w:val="FootnoteText"/>
        <w:jc w:val="both"/>
        <w:rPr>
          <w:rFonts w:ascii="Arial" w:hAnsi="Arial" w:cs="Arial"/>
          <w:lang w:val="af-ZA"/>
        </w:rPr>
      </w:pPr>
      <w:r w:rsidRPr="00F869C4">
        <w:rPr>
          <w:rStyle w:val="FootnoteReference"/>
          <w:rFonts w:ascii="Arial" w:hAnsi="Arial" w:cs="Arial"/>
        </w:rPr>
        <w:footnoteRef/>
      </w:r>
      <w:proofErr w:type="spellStart"/>
      <w:r w:rsidRPr="00F869C4">
        <w:rPr>
          <w:rFonts w:ascii="Arial" w:hAnsi="Arial" w:cs="Arial"/>
          <w:i/>
        </w:rPr>
        <w:t>Dowles</w:t>
      </w:r>
      <w:proofErr w:type="spellEnd"/>
      <w:r w:rsidRPr="00F869C4">
        <w:rPr>
          <w:rFonts w:ascii="Arial" w:hAnsi="Arial" w:cs="Arial"/>
          <w:i/>
        </w:rPr>
        <w:t xml:space="preserve"> Manor Properties LTD v Bank of Namibia</w:t>
      </w:r>
      <w:r w:rsidRPr="00F869C4">
        <w:rPr>
          <w:rFonts w:ascii="Arial" w:hAnsi="Arial" w:cs="Arial"/>
        </w:rPr>
        <w:t xml:space="preserve"> 2005 NR 59 (HC) at page 65 (per Caney J in </w:t>
      </w:r>
      <w:r w:rsidRPr="00F869C4">
        <w:rPr>
          <w:rFonts w:ascii="Arial" w:hAnsi="Arial" w:cs="Arial"/>
          <w:i/>
        </w:rPr>
        <w:t>Trans-</w:t>
      </w:r>
      <w:proofErr w:type="spellStart"/>
      <w:r w:rsidRPr="00F869C4">
        <w:rPr>
          <w:rFonts w:ascii="Arial" w:hAnsi="Arial" w:cs="Arial"/>
          <w:i/>
        </w:rPr>
        <w:t>Drankensberg</w:t>
      </w:r>
      <w:proofErr w:type="spellEnd"/>
      <w:r w:rsidRPr="00F869C4">
        <w:rPr>
          <w:rFonts w:ascii="Arial" w:hAnsi="Arial" w:cs="Arial"/>
          <w:i/>
        </w:rPr>
        <w:t xml:space="preserve"> Bank </w:t>
      </w:r>
      <w:r w:rsidR="00BA68FE" w:rsidRPr="00F869C4">
        <w:rPr>
          <w:rFonts w:ascii="Arial" w:hAnsi="Arial" w:cs="Arial"/>
          <w:i/>
        </w:rPr>
        <w:t>L</w:t>
      </w:r>
      <w:r w:rsidRPr="00F869C4">
        <w:rPr>
          <w:rFonts w:ascii="Arial" w:hAnsi="Arial" w:cs="Arial"/>
          <w:i/>
        </w:rPr>
        <w:t xml:space="preserve">td (Under Judicial Management) v Combined Engineering (Pty) Ltd and Another </w:t>
      </w:r>
      <w:r w:rsidRPr="00F869C4">
        <w:rPr>
          <w:rFonts w:ascii="Arial" w:hAnsi="Arial" w:cs="Arial"/>
        </w:rPr>
        <w:t>1967(3) 632 (D) at 638A)</w:t>
      </w:r>
      <w:r w:rsidR="00263B27" w:rsidRPr="00F869C4">
        <w:rPr>
          <w:rFonts w:ascii="Arial" w:hAnsi="Arial" w:cs="Arial"/>
        </w:rPr>
        <w:t>.</w:t>
      </w:r>
    </w:p>
  </w:footnote>
  <w:footnote w:id="5">
    <w:p w:rsidR="004E3C65" w:rsidRPr="00F7195A" w:rsidRDefault="004E3C65" w:rsidP="00F7195A">
      <w:pPr>
        <w:pStyle w:val="FootnoteText"/>
        <w:jc w:val="both"/>
        <w:rPr>
          <w:rFonts w:ascii="Arial" w:hAnsi="Arial" w:cs="Arial"/>
          <w:lang w:val="af-ZA"/>
        </w:rPr>
      </w:pPr>
      <w:r w:rsidRPr="00F7195A">
        <w:rPr>
          <w:rStyle w:val="FootnoteReference"/>
          <w:rFonts w:ascii="Arial" w:hAnsi="Arial" w:cs="Arial"/>
        </w:rPr>
        <w:footnoteRef/>
      </w:r>
      <w:r w:rsidRPr="00F7195A">
        <w:rPr>
          <w:rFonts w:ascii="Arial" w:hAnsi="Arial" w:cs="Arial"/>
        </w:rPr>
        <w:t xml:space="preserve"> </w:t>
      </w:r>
      <w:proofErr w:type="gramStart"/>
      <w:r w:rsidR="007823EA" w:rsidRPr="00F7195A">
        <w:rPr>
          <w:rFonts w:ascii="Arial" w:hAnsi="Arial" w:cs="Arial"/>
        </w:rPr>
        <w:t xml:space="preserve">Supra (per Caney J in </w:t>
      </w:r>
      <w:r w:rsidR="007823EA" w:rsidRPr="00F7195A">
        <w:rPr>
          <w:rFonts w:ascii="Arial" w:hAnsi="Arial" w:cs="Arial"/>
          <w:i/>
        </w:rPr>
        <w:t>Trans-</w:t>
      </w:r>
      <w:proofErr w:type="spellStart"/>
      <w:r w:rsidR="007823EA" w:rsidRPr="00F7195A">
        <w:rPr>
          <w:rFonts w:ascii="Arial" w:hAnsi="Arial" w:cs="Arial"/>
          <w:i/>
        </w:rPr>
        <w:t>Drankensberg</w:t>
      </w:r>
      <w:proofErr w:type="spellEnd"/>
      <w:r w:rsidR="007823EA" w:rsidRPr="00F7195A">
        <w:rPr>
          <w:rFonts w:ascii="Arial" w:hAnsi="Arial" w:cs="Arial"/>
          <w:i/>
        </w:rPr>
        <w:t xml:space="preserve"> Bank ltd (Under Judicial Management) v Combined Engineering (Pty) Ltd and Another</w:t>
      </w:r>
      <w:r w:rsidR="007823EA" w:rsidRPr="00F7195A">
        <w:rPr>
          <w:rFonts w:ascii="Arial" w:hAnsi="Arial" w:cs="Arial"/>
        </w:rPr>
        <w:t xml:space="preserve"> 1967(3) 632 (D) at 638A)</w:t>
      </w:r>
      <w:r w:rsidR="00263B27" w:rsidRPr="00F7195A">
        <w:rPr>
          <w:rFonts w:ascii="Arial" w:hAnsi="Arial" w:cs="Arial"/>
        </w:rPr>
        <w:t>.</w:t>
      </w:r>
      <w:proofErr w:type="gramEnd"/>
    </w:p>
  </w:footnote>
  <w:footnote w:id="6">
    <w:p w:rsidR="007823EA" w:rsidRPr="00F7195A" w:rsidRDefault="007823EA" w:rsidP="00F7195A">
      <w:pPr>
        <w:pStyle w:val="FootnoteText"/>
        <w:jc w:val="both"/>
        <w:rPr>
          <w:rFonts w:ascii="Arial" w:hAnsi="Arial" w:cs="Arial"/>
          <w:lang w:val="af-ZA"/>
        </w:rPr>
      </w:pPr>
      <w:r w:rsidRPr="00F7195A">
        <w:rPr>
          <w:rStyle w:val="FootnoteReference"/>
          <w:rFonts w:ascii="Arial" w:hAnsi="Arial" w:cs="Arial"/>
        </w:rPr>
        <w:footnoteRef/>
      </w:r>
      <w:r w:rsidRPr="00F7195A">
        <w:rPr>
          <w:rFonts w:ascii="Arial" w:hAnsi="Arial" w:cs="Arial"/>
        </w:rPr>
        <w:t xml:space="preserve"> </w:t>
      </w:r>
      <w:proofErr w:type="gramStart"/>
      <w:r w:rsidRPr="00F7195A">
        <w:rPr>
          <w:rFonts w:ascii="Arial" w:hAnsi="Arial" w:cs="Arial"/>
        </w:rPr>
        <w:t xml:space="preserve">Supra (per </w:t>
      </w:r>
      <w:proofErr w:type="spellStart"/>
      <w:r w:rsidRPr="00F7195A">
        <w:rPr>
          <w:rFonts w:ascii="Arial" w:hAnsi="Arial" w:cs="Arial"/>
          <w:i/>
        </w:rPr>
        <w:t>Watermeyer</w:t>
      </w:r>
      <w:proofErr w:type="spellEnd"/>
      <w:r w:rsidRPr="00F7195A">
        <w:rPr>
          <w:rFonts w:ascii="Arial" w:hAnsi="Arial" w:cs="Arial"/>
          <w:i/>
        </w:rPr>
        <w:t xml:space="preserve"> J in </w:t>
      </w:r>
      <w:proofErr w:type="spellStart"/>
      <w:r w:rsidRPr="00F7195A">
        <w:rPr>
          <w:rFonts w:ascii="Arial" w:hAnsi="Arial" w:cs="Arial"/>
          <w:i/>
        </w:rPr>
        <w:t>Moolman</w:t>
      </w:r>
      <w:proofErr w:type="spellEnd"/>
      <w:r w:rsidRPr="00F7195A">
        <w:rPr>
          <w:rFonts w:ascii="Arial" w:hAnsi="Arial" w:cs="Arial"/>
          <w:i/>
        </w:rPr>
        <w:t xml:space="preserve"> v Estate </w:t>
      </w:r>
      <w:proofErr w:type="spellStart"/>
      <w:r w:rsidRPr="00F7195A">
        <w:rPr>
          <w:rFonts w:ascii="Arial" w:hAnsi="Arial" w:cs="Arial"/>
          <w:i/>
        </w:rPr>
        <w:t>Moolman</w:t>
      </w:r>
      <w:proofErr w:type="spellEnd"/>
      <w:r w:rsidRPr="00F7195A">
        <w:rPr>
          <w:rFonts w:ascii="Arial" w:hAnsi="Arial" w:cs="Arial"/>
        </w:rPr>
        <w:t xml:space="preserve"> 1927 CPD 27 at 29)</w:t>
      </w:r>
      <w:r w:rsidR="00263B27" w:rsidRPr="00F7195A">
        <w:rPr>
          <w:rFonts w:ascii="Arial" w:hAnsi="Arial" w:cs="Arial"/>
        </w:rPr>
        <w:t>.</w:t>
      </w:r>
      <w:proofErr w:type="gramEnd"/>
    </w:p>
  </w:footnote>
  <w:footnote w:id="7">
    <w:p w:rsidR="007823EA" w:rsidRPr="00F7195A" w:rsidRDefault="007823EA" w:rsidP="00F7195A">
      <w:pPr>
        <w:pStyle w:val="FootnoteText"/>
        <w:jc w:val="both"/>
        <w:rPr>
          <w:rFonts w:ascii="Arial" w:hAnsi="Arial" w:cs="Arial"/>
          <w:lang w:val="af-ZA"/>
        </w:rPr>
      </w:pPr>
      <w:r w:rsidRPr="00F7195A">
        <w:rPr>
          <w:rStyle w:val="FootnoteReference"/>
          <w:rFonts w:ascii="Arial" w:hAnsi="Arial" w:cs="Arial"/>
        </w:rPr>
        <w:footnoteRef/>
      </w:r>
      <w:r w:rsidRPr="00F7195A">
        <w:rPr>
          <w:rFonts w:ascii="Arial" w:hAnsi="Arial" w:cs="Arial"/>
        </w:rPr>
        <w:t xml:space="preserve"> </w:t>
      </w:r>
      <w:r w:rsidRPr="00F7195A">
        <w:rPr>
          <w:rFonts w:ascii="Arial" w:hAnsi="Arial" w:cs="Arial"/>
          <w:i/>
          <w:lang w:val="af-ZA"/>
        </w:rPr>
        <w:t>Cross v Ferreira</w:t>
      </w:r>
      <w:r w:rsidRPr="00F7195A">
        <w:rPr>
          <w:rFonts w:ascii="Arial" w:hAnsi="Arial" w:cs="Arial"/>
          <w:lang w:val="af-ZA"/>
        </w:rPr>
        <w:t xml:space="preserve"> 1950 (3) SA 443 (C) at 449G-450 G</w:t>
      </w:r>
      <w:r w:rsidR="0014713A" w:rsidRPr="00F7195A">
        <w:rPr>
          <w:rFonts w:ascii="Arial" w:hAnsi="Arial" w:cs="Arial"/>
          <w:lang w:val="af-ZA"/>
        </w:rPr>
        <w:t>.</w:t>
      </w:r>
    </w:p>
  </w:footnote>
  <w:footnote w:id="8">
    <w:p w:rsidR="00846FFD" w:rsidRPr="00F7195A" w:rsidRDefault="00846FFD" w:rsidP="00F7195A">
      <w:pPr>
        <w:pStyle w:val="FootnoteText"/>
        <w:jc w:val="both"/>
        <w:rPr>
          <w:rFonts w:ascii="Arial" w:hAnsi="Arial" w:cs="Arial"/>
          <w:lang w:val="af-ZA"/>
        </w:rPr>
      </w:pPr>
      <w:r w:rsidRPr="00F7195A">
        <w:rPr>
          <w:rStyle w:val="FootnoteReference"/>
          <w:rFonts w:ascii="Arial" w:hAnsi="Arial" w:cs="Arial"/>
        </w:rPr>
        <w:footnoteRef/>
      </w:r>
      <w:r w:rsidRPr="00F7195A">
        <w:rPr>
          <w:rFonts w:ascii="Arial" w:hAnsi="Arial" w:cs="Arial"/>
        </w:rPr>
        <w:t xml:space="preserve"> </w:t>
      </w:r>
      <w:proofErr w:type="gramStart"/>
      <w:r w:rsidRPr="00F7195A">
        <w:rPr>
          <w:rFonts w:ascii="Arial" w:hAnsi="Arial" w:cs="Arial"/>
          <w:i/>
        </w:rPr>
        <w:t xml:space="preserve">Bowring Barclays &amp; </w:t>
      </w:r>
      <w:proofErr w:type="spellStart"/>
      <w:r w:rsidRPr="00F7195A">
        <w:rPr>
          <w:rFonts w:ascii="Arial" w:hAnsi="Arial" w:cs="Arial"/>
          <w:i/>
        </w:rPr>
        <w:t>Genote</w:t>
      </w:r>
      <w:proofErr w:type="spellEnd"/>
      <w:r w:rsidRPr="00F7195A">
        <w:rPr>
          <w:rFonts w:ascii="Arial" w:hAnsi="Arial" w:cs="Arial"/>
          <w:i/>
        </w:rPr>
        <w:t xml:space="preserve"> (</w:t>
      </w:r>
      <w:proofErr w:type="spellStart"/>
      <w:r w:rsidRPr="00F7195A">
        <w:rPr>
          <w:rFonts w:ascii="Arial" w:hAnsi="Arial" w:cs="Arial"/>
          <w:i/>
        </w:rPr>
        <w:t>Edms</w:t>
      </w:r>
      <w:proofErr w:type="spellEnd"/>
      <w:r w:rsidRPr="00F7195A">
        <w:rPr>
          <w:rFonts w:ascii="Arial" w:hAnsi="Arial" w:cs="Arial"/>
          <w:i/>
        </w:rPr>
        <w:t xml:space="preserve">) </w:t>
      </w:r>
      <w:proofErr w:type="spellStart"/>
      <w:r w:rsidRPr="00F7195A">
        <w:rPr>
          <w:rFonts w:ascii="Arial" w:hAnsi="Arial" w:cs="Arial"/>
          <w:i/>
        </w:rPr>
        <w:t>Bpk</w:t>
      </w:r>
      <w:proofErr w:type="spellEnd"/>
      <w:r w:rsidRPr="00F7195A">
        <w:rPr>
          <w:rFonts w:ascii="Arial" w:hAnsi="Arial" w:cs="Arial"/>
          <w:i/>
        </w:rPr>
        <w:t xml:space="preserve"> v De </w:t>
      </w:r>
      <w:proofErr w:type="spellStart"/>
      <w:r w:rsidRPr="00F7195A">
        <w:rPr>
          <w:rFonts w:ascii="Arial" w:hAnsi="Arial" w:cs="Arial"/>
          <w:i/>
        </w:rPr>
        <w:t>Kock</w:t>
      </w:r>
      <w:proofErr w:type="spellEnd"/>
      <w:r w:rsidRPr="00F7195A">
        <w:rPr>
          <w:rFonts w:ascii="Arial" w:hAnsi="Arial" w:cs="Arial"/>
        </w:rPr>
        <w:t xml:space="preserve"> 1991 (1) SA 145 (SWA)</w:t>
      </w:r>
      <w:r w:rsidR="0014713A" w:rsidRPr="00F7195A">
        <w:rPr>
          <w:rFonts w:ascii="Arial" w:hAnsi="Arial" w:cs="Arial"/>
        </w:rPr>
        <w:t>.</w:t>
      </w:r>
      <w:proofErr w:type="gramEnd"/>
    </w:p>
  </w:footnote>
  <w:footnote w:id="9">
    <w:p w:rsidR="00EB7BF8" w:rsidRPr="00F7195A" w:rsidRDefault="00EB7BF8" w:rsidP="00F7195A">
      <w:pPr>
        <w:pStyle w:val="FootnoteText"/>
        <w:jc w:val="both"/>
        <w:rPr>
          <w:rFonts w:ascii="Arial" w:hAnsi="Arial" w:cs="Arial"/>
          <w:lang w:val="af-ZA"/>
        </w:rPr>
      </w:pPr>
      <w:r w:rsidRPr="00F7195A">
        <w:rPr>
          <w:rStyle w:val="FootnoteReference"/>
          <w:rFonts w:ascii="Arial" w:hAnsi="Arial" w:cs="Arial"/>
        </w:rPr>
        <w:footnoteRef/>
      </w:r>
      <w:r w:rsidRPr="00F7195A">
        <w:rPr>
          <w:rFonts w:ascii="Arial" w:hAnsi="Arial" w:cs="Arial"/>
        </w:rPr>
        <w:t xml:space="preserve"> </w:t>
      </w:r>
      <w:r w:rsidRPr="00F7195A">
        <w:rPr>
          <w:rFonts w:ascii="Arial" w:eastAsia="Arial" w:hAnsi="Arial" w:cs="Arial"/>
          <w:i/>
        </w:rPr>
        <w:t xml:space="preserve">Van </w:t>
      </w:r>
      <w:proofErr w:type="spellStart"/>
      <w:r w:rsidRPr="00F7195A">
        <w:rPr>
          <w:rFonts w:ascii="Arial" w:eastAsia="Arial" w:hAnsi="Arial" w:cs="Arial"/>
          <w:i/>
        </w:rPr>
        <w:t>Straten</w:t>
      </w:r>
      <w:proofErr w:type="spellEnd"/>
      <w:r w:rsidRPr="00F7195A">
        <w:rPr>
          <w:rFonts w:ascii="Arial" w:eastAsia="Arial" w:hAnsi="Arial" w:cs="Arial"/>
          <w:i/>
        </w:rPr>
        <w:t xml:space="preserve"> NO and another v Namibia Financial Institutions Supervisory Authority and Another</w:t>
      </w:r>
      <w:r w:rsidRPr="00F7195A">
        <w:rPr>
          <w:rFonts w:ascii="Arial" w:eastAsia="Arial" w:hAnsi="Arial" w:cs="Arial"/>
        </w:rPr>
        <w:t xml:space="preserve"> </w:t>
      </w:r>
      <w:proofErr w:type="gramStart"/>
      <w:r w:rsidRPr="00F7195A">
        <w:rPr>
          <w:rFonts w:ascii="Arial" w:eastAsia="Arial" w:hAnsi="Arial" w:cs="Arial"/>
        </w:rPr>
        <w:t>2016  (</w:t>
      </w:r>
      <w:proofErr w:type="gramEnd"/>
      <w:r w:rsidRPr="00F7195A">
        <w:rPr>
          <w:rFonts w:ascii="Arial" w:eastAsia="Arial" w:hAnsi="Arial" w:cs="Arial"/>
        </w:rPr>
        <w:t>3) NR 767 SC at [17]- [20].</w:t>
      </w:r>
      <w:r w:rsidR="00DB27F0" w:rsidRPr="00F7195A">
        <w:rPr>
          <w:rFonts w:ascii="Arial" w:eastAsia="Arial" w:hAnsi="Arial" w:cs="Arial"/>
        </w:rPr>
        <w:t xml:space="preserve"> </w:t>
      </w:r>
      <w:r w:rsidR="00DB27F0" w:rsidRPr="00F7195A">
        <w:rPr>
          <w:rFonts w:ascii="Arial" w:eastAsia="Arial" w:hAnsi="Arial" w:cs="Arial"/>
          <w:i/>
        </w:rPr>
        <w:t xml:space="preserve">Namibian Breweries Ltd v </w:t>
      </w:r>
      <w:proofErr w:type="spellStart"/>
      <w:r w:rsidR="00DB27F0" w:rsidRPr="00F7195A">
        <w:rPr>
          <w:rFonts w:ascii="Arial" w:eastAsia="Arial" w:hAnsi="Arial" w:cs="Arial"/>
          <w:i/>
        </w:rPr>
        <w:t>Seelinbinder</w:t>
      </w:r>
      <w:proofErr w:type="spellEnd"/>
      <w:r w:rsidR="00DB27F0" w:rsidRPr="00F7195A">
        <w:rPr>
          <w:rFonts w:ascii="Arial" w:eastAsia="Arial" w:hAnsi="Arial" w:cs="Arial"/>
          <w:i/>
        </w:rPr>
        <w:t>, Henning &amp; Partners</w:t>
      </w:r>
      <w:r w:rsidR="00DB27F0" w:rsidRPr="00F7195A">
        <w:rPr>
          <w:rFonts w:ascii="Arial" w:eastAsia="Arial" w:hAnsi="Arial" w:cs="Arial"/>
        </w:rPr>
        <w:t xml:space="preserve"> 2002 NR 155 (HC) at p. 160: ‘In deciding this point, the Court must remind itself that, having taken the exception, the defendant must satisfy the Court that, on all reasonable construction of the plaintiff’s particulars of claim as amplified and amended and on all possible evidence that may led on the pleadings, no cause of action is or can be disclosed. </w:t>
      </w:r>
      <w:r w:rsidR="00A829BC" w:rsidRPr="00F7195A">
        <w:rPr>
          <w:rFonts w:ascii="Arial" w:eastAsia="Arial" w:hAnsi="Arial" w:cs="Arial"/>
        </w:rPr>
        <w:t>The most beneficial construction that</w:t>
      </w:r>
      <w:r w:rsidR="0014713A" w:rsidRPr="00F7195A">
        <w:rPr>
          <w:rFonts w:ascii="Arial" w:eastAsia="Arial" w:hAnsi="Arial" w:cs="Arial"/>
        </w:rPr>
        <w:t xml:space="preserve"> can be given to the pleadings. . . .</w:t>
      </w:r>
      <w:r w:rsidR="00A829BC" w:rsidRPr="00F7195A">
        <w:rPr>
          <w:rFonts w:ascii="Arial" w:eastAsia="Arial" w:hAnsi="Arial" w:cs="Arial"/>
        </w:rPr>
        <w:t>’</w:t>
      </w:r>
    </w:p>
  </w:footnote>
  <w:footnote w:id="10">
    <w:p w:rsidR="00C40BB5" w:rsidRPr="00F7195A" w:rsidRDefault="00C40BB5" w:rsidP="00F7195A">
      <w:pPr>
        <w:pStyle w:val="FootnoteText"/>
        <w:jc w:val="both"/>
        <w:rPr>
          <w:rFonts w:ascii="Arial" w:hAnsi="Arial" w:cs="Arial"/>
          <w:lang w:val="af-ZA"/>
        </w:rPr>
      </w:pPr>
      <w:r w:rsidRPr="00F7195A">
        <w:rPr>
          <w:rStyle w:val="FootnoteReference"/>
          <w:rFonts w:ascii="Arial" w:hAnsi="Arial" w:cs="Arial"/>
        </w:rPr>
        <w:footnoteRef/>
      </w:r>
      <w:r w:rsidRPr="00F7195A">
        <w:rPr>
          <w:rFonts w:ascii="Arial" w:hAnsi="Arial" w:cs="Arial"/>
        </w:rPr>
        <w:t xml:space="preserve"> </w:t>
      </w:r>
      <w:proofErr w:type="gramStart"/>
      <w:r w:rsidRPr="00F7195A">
        <w:rPr>
          <w:rFonts w:ascii="Arial" w:eastAsia="Arial" w:hAnsi="Arial" w:cs="Arial"/>
        </w:rPr>
        <w:t>2017 (3) NR 853 (SC)</w:t>
      </w:r>
      <w:r w:rsidR="0014713A" w:rsidRPr="00F7195A">
        <w:rPr>
          <w:rFonts w:ascii="Arial" w:eastAsia="Arial" w:hAnsi="Arial" w:cs="Arial"/>
        </w:rPr>
        <w:t>.</w:t>
      </w:r>
      <w:proofErr w:type="gramEnd"/>
    </w:p>
  </w:footnote>
  <w:footnote w:id="11">
    <w:p w:rsidR="00C40BB5" w:rsidRPr="00F7195A" w:rsidRDefault="00C40BB5" w:rsidP="00F7195A">
      <w:pPr>
        <w:pStyle w:val="FootnoteText"/>
        <w:jc w:val="both"/>
        <w:rPr>
          <w:rFonts w:ascii="Arial" w:hAnsi="Arial" w:cs="Arial"/>
          <w:lang w:val="af-ZA"/>
        </w:rPr>
      </w:pPr>
      <w:r w:rsidRPr="00F7195A">
        <w:rPr>
          <w:rStyle w:val="FootnoteReference"/>
          <w:rFonts w:ascii="Arial" w:hAnsi="Arial" w:cs="Arial"/>
        </w:rPr>
        <w:footnoteRef/>
      </w:r>
      <w:r w:rsidRPr="00F7195A">
        <w:rPr>
          <w:rFonts w:ascii="Arial" w:hAnsi="Arial" w:cs="Arial"/>
        </w:rPr>
        <w:t xml:space="preserve"> </w:t>
      </w:r>
      <w:proofErr w:type="gramStart"/>
      <w:r w:rsidRPr="00F7195A">
        <w:rPr>
          <w:rFonts w:ascii="Arial" w:hAnsi="Arial" w:cs="Arial"/>
        </w:rPr>
        <w:t>2012 (4) SA 593 (SCA) ([2012] 2 All SA 262</w:t>
      </w:r>
      <w:r w:rsidR="0014713A" w:rsidRPr="00F7195A">
        <w:rPr>
          <w:rFonts w:ascii="Arial" w:hAnsi="Arial" w:cs="Arial"/>
        </w:rPr>
        <w:t>.</w:t>
      </w:r>
      <w:proofErr w:type="gramEnd"/>
    </w:p>
  </w:footnote>
  <w:footnote w:id="12">
    <w:p w:rsidR="00EB7BF8" w:rsidRPr="00F7195A" w:rsidRDefault="00EB7BF8" w:rsidP="00F7195A">
      <w:pPr>
        <w:pStyle w:val="FootnoteText"/>
        <w:jc w:val="both"/>
        <w:rPr>
          <w:rFonts w:ascii="Arial" w:hAnsi="Arial" w:cs="Arial"/>
          <w:lang w:val="af-ZA"/>
        </w:rPr>
      </w:pPr>
      <w:r w:rsidRPr="00F7195A">
        <w:rPr>
          <w:rStyle w:val="FootnoteReference"/>
          <w:rFonts w:ascii="Arial" w:hAnsi="Arial" w:cs="Arial"/>
        </w:rPr>
        <w:footnoteRef/>
      </w:r>
      <w:r w:rsidRPr="00F7195A">
        <w:rPr>
          <w:rFonts w:ascii="Arial" w:hAnsi="Arial" w:cs="Arial"/>
        </w:rPr>
        <w:t xml:space="preserve"> A C </w:t>
      </w:r>
      <w:proofErr w:type="spellStart"/>
      <w:r w:rsidRPr="00F7195A">
        <w:rPr>
          <w:rFonts w:ascii="Arial" w:hAnsi="Arial" w:cs="Arial"/>
        </w:rPr>
        <w:t>Celliers</w:t>
      </w:r>
      <w:proofErr w:type="spellEnd"/>
      <w:r w:rsidRPr="00F7195A">
        <w:rPr>
          <w:rFonts w:ascii="Arial" w:hAnsi="Arial" w:cs="Arial"/>
        </w:rPr>
        <w:t xml:space="preserve">: </w:t>
      </w:r>
      <w:r w:rsidRPr="00F7195A">
        <w:rPr>
          <w:rFonts w:ascii="Arial" w:hAnsi="Arial" w:cs="Arial"/>
          <w:i/>
          <w:lang w:val="af-ZA"/>
        </w:rPr>
        <w:t>Law of Costs</w:t>
      </w:r>
      <w:r w:rsidRPr="00F7195A">
        <w:rPr>
          <w:rFonts w:ascii="Arial" w:hAnsi="Arial" w:cs="Arial"/>
          <w:lang w:val="af-ZA"/>
        </w:rPr>
        <w:t xml:space="preserve"> at page 2-26 para 2.32</w:t>
      </w:r>
      <w:r w:rsidR="0014713A" w:rsidRPr="00F7195A">
        <w:rPr>
          <w:rFonts w:ascii="Arial" w:hAnsi="Arial" w:cs="Arial"/>
          <w:lang w:val="af-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444683"/>
      <w:docPartObj>
        <w:docPartGallery w:val="Page Numbers (Top of Page)"/>
        <w:docPartUnique/>
      </w:docPartObj>
    </w:sdtPr>
    <w:sdtEndPr>
      <w:rPr>
        <w:noProof/>
      </w:rPr>
    </w:sdtEndPr>
    <w:sdtContent>
      <w:p w:rsidR="006E12A5" w:rsidRDefault="006E12A5">
        <w:pPr>
          <w:pStyle w:val="Header"/>
          <w:jc w:val="right"/>
        </w:pPr>
        <w:r>
          <w:fldChar w:fldCharType="begin"/>
        </w:r>
        <w:r>
          <w:instrText xml:space="preserve"> PAGE   \* MERGEFORMAT </w:instrText>
        </w:r>
        <w:r>
          <w:fldChar w:fldCharType="separate"/>
        </w:r>
        <w:r w:rsidR="00C04860">
          <w:rPr>
            <w:noProof/>
          </w:rPr>
          <w:t>9</w:t>
        </w:r>
        <w:r>
          <w:rPr>
            <w:noProof/>
          </w:rPr>
          <w:fldChar w:fldCharType="end"/>
        </w:r>
      </w:p>
    </w:sdtContent>
  </w:sdt>
  <w:p w:rsidR="006E12A5" w:rsidRDefault="006E12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864"/>
    <w:multiLevelType w:val="hybridMultilevel"/>
    <w:tmpl w:val="432EB76A"/>
    <w:lvl w:ilvl="0" w:tplc="017438E6">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7F1A615E"/>
    <w:multiLevelType w:val="hybridMultilevel"/>
    <w:tmpl w:val="123CE238"/>
    <w:lvl w:ilvl="0" w:tplc="1C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556"/>
    <w:rsid w:val="00003B7F"/>
    <w:rsid w:val="00015C83"/>
    <w:rsid w:val="000364B0"/>
    <w:rsid w:val="00046362"/>
    <w:rsid w:val="00074320"/>
    <w:rsid w:val="0008399F"/>
    <w:rsid w:val="00140CE6"/>
    <w:rsid w:val="0014713A"/>
    <w:rsid w:val="00154B88"/>
    <w:rsid w:val="00197F87"/>
    <w:rsid w:val="001A51D3"/>
    <w:rsid w:val="0022137B"/>
    <w:rsid w:val="00263B27"/>
    <w:rsid w:val="002643BA"/>
    <w:rsid w:val="0027115E"/>
    <w:rsid w:val="002A0411"/>
    <w:rsid w:val="002A407B"/>
    <w:rsid w:val="00321E27"/>
    <w:rsid w:val="003356D4"/>
    <w:rsid w:val="003571F6"/>
    <w:rsid w:val="00360158"/>
    <w:rsid w:val="003F0546"/>
    <w:rsid w:val="003F0BAD"/>
    <w:rsid w:val="00406FFF"/>
    <w:rsid w:val="00415704"/>
    <w:rsid w:val="004157CE"/>
    <w:rsid w:val="004E3C65"/>
    <w:rsid w:val="00547E63"/>
    <w:rsid w:val="005B751A"/>
    <w:rsid w:val="006000AC"/>
    <w:rsid w:val="006503AE"/>
    <w:rsid w:val="006C2B43"/>
    <w:rsid w:val="006D3C74"/>
    <w:rsid w:val="006E12A5"/>
    <w:rsid w:val="00715CEB"/>
    <w:rsid w:val="007823EA"/>
    <w:rsid w:val="00803280"/>
    <w:rsid w:val="00803FB8"/>
    <w:rsid w:val="0081459E"/>
    <w:rsid w:val="00827217"/>
    <w:rsid w:val="00836803"/>
    <w:rsid w:val="00846FFD"/>
    <w:rsid w:val="0085229D"/>
    <w:rsid w:val="0089626E"/>
    <w:rsid w:val="008F1334"/>
    <w:rsid w:val="00905CAE"/>
    <w:rsid w:val="0091024F"/>
    <w:rsid w:val="009253C9"/>
    <w:rsid w:val="00932D29"/>
    <w:rsid w:val="009875F9"/>
    <w:rsid w:val="009C3929"/>
    <w:rsid w:val="009E0019"/>
    <w:rsid w:val="009F2C0F"/>
    <w:rsid w:val="00A21B53"/>
    <w:rsid w:val="00A4370A"/>
    <w:rsid w:val="00A829BC"/>
    <w:rsid w:val="00B359C2"/>
    <w:rsid w:val="00B50891"/>
    <w:rsid w:val="00B770E9"/>
    <w:rsid w:val="00BA68FE"/>
    <w:rsid w:val="00BB62CA"/>
    <w:rsid w:val="00C04860"/>
    <w:rsid w:val="00C23888"/>
    <w:rsid w:val="00C40BB5"/>
    <w:rsid w:val="00C971D3"/>
    <w:rsid w:val="00CA3D2E"/>
    <w:rsid w:val="00CD4AB5"/>
    <w:rsid w:val="00D26556"/>
    <w:rsid w:val="00D71C04"/>
    <w:rsid w:val="00D90311"/>
    <w:rsid w:val="00DB27F0"/>
    <w:rsid w:val="00EB7BF8"/>
    <w:rsid w:val="00EE769F"/>
    <w:rsid w:val="00EE7A7B"/>
    <w:rsid w:val="00F03DD5"/>
    <w:rsid w:val="00F7195A"/>
    <w:rsid w:val="00F869C4"/>
    <w:rsid w:val="00FE5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655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D26556"/>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406FFF"/>
    <w:rPr>
      <w:sz w:val="20"/>
      <w:szCs w:val="20"/>
    </w:rPr>
  </w:style>
  <w:style w:type="character" w:customStyle="1" w:styleId="FootnoteTextChar">
    <w:name w:val="Footnote Text Char"/>
    <w:basedOn w:val="DefaultParagraphFont"/>
    <w:link w:val="FootnoteText"/>
    <w:uiPriority w:val="99"/>
    <w:semiHidden/>
    <w:rsid w:val="00406FFF"/>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406FFF"/>
    <w:rPr>
      <w:vertAlign w:val="superscript"/>
    </w:rPr>
  </w:style>
  <w:style w:type="character" w:styleId="CommentReference">
    <w:name w:val="annotation reference"/>
    <w:basedOn w:val="DefaultParagraphFont"/>
    <w:uiPriority w:val="99"/>
    <w:semiHidden/>
    <w:unhideWhenUsed/>
    <w:rsid w:val="002A0411"/>
    <w:rPr>
      <w:sz w:val="16"/>
      <w:szCs w:val="16"/>
    </w:rPr>
  </w:style>
  <w:style w:type="paragraph" w:styleId="CommentText">
    <w:name w:val="annotation text"/>
    <w:basedOn w:val="Normal"/>
    <w:link w:val="CommentTextChar"/>
    <w:uiPriority w:val="99"/>
    <w:semiHidden/>
    <w:unhideWhenUsed/>
    <w:rsid w:val="002A0411"/>
    <w:rPr>
      <w:sz w:val="20"/>
      <w:szCs w:val="20"/>
    </w:rPr>
  </w:style>
  <w:style w:type="character" w:customStyle="1" w:styleId="CommentTextChar">
    <w:name w:val="Comment Text Char"/>
    <w:basedOn w:val="DefaultParagraphFont"/>
    <w:link w:val="CommentText"/>
    <w:uiPriority w:val="99"/>
    <w:semiHidden/>
    <w:rsid w:val="002A041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A0411"/>
    <w:rPr>
      <w:b/>
      <w:bCs/>
    </w:rPr>
  </w:style>
  <w:style w:type="character" w:customStyle="1" w:styleId="CommentSubjectChar">
    <w:name w:val="Comment Subject Char"/>
    <w:basedOn w:val="CommentTextChar"/>
    <w:link w:val="CommentSubject"/>
    <w:uiPriority w:val="99"/>
    <w:semiHidden/>
    <w:rsid w:val="002A0411"/>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2A0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411"/>
    <w:rPr>
      <w:rFonts w:ascii="Segoe UI" w:eastAsia="Times New Roman" w:hAnsi="Segoe UI" w:cs="Segoe UI"/>
      <w:sz w:val="18"/>
      <w:szCs w:val="18"/>
      <w:lang w:val="en-GB"/>
    </w:rPr>
  </w:style>
  <w:style w:type="paragraph" w:styleId="ListParagraph">
    <w:name w:val="List Paragraph"/>
    <w:basedOn w:val="Normal"/>
    <w:uiPriority w:val="34"/>
    <w:qFormat/>
    <w:rsid w:val="00EB7BF8"/>
    <w:pPr>
      <w:ind w:left="720"/>
      <w:contextualSpacing/>
    </w:pPr>
  </w:style>
  <w:style w:type="paragraph" w:styleId="Header">
    <w:name w:val="header"/>
    <w:basedOn w:val="Normal"/>
    <w:link w:val="HeaderChar"/>
    <w:uiPriority w:val="99"/>
    <w:unhideWhenUsed/>
    <w:rsid w:val="006E12A5"/>
    <w:pPr>
      <w:tabs>
        <w:tab w:val="center" w:pos="4513"/>
        <w:tab w:val="right" w:pos="9026"/>
      </w:tabs>
    </w:pPr>
  </w:style>
  <w:style w:type="character" w:customStyle="1" w:styleId="HeaderChar">
    <w:name w:val="Header Char"/>
    <w:basedOn w:val="DefaultParagraphFont"/>
    <w:link w:val="Header"/>
    <w:uiPriority w:val="99"/>
    <w:rsid w:val="006E12A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E12A5"/>
    <w:pPr>
      <w:tabs>
        <w:tab w:val="center" w:pos="4513"/>
        <w:tab w:val="right" w:pos="9026"/>
      </w:tabs>
    </w:pPr>
  </w:style>
  <w:style w:type="character" w:customStyle="1" w:styleId="FooterChar">
    <w:name w:val="Footer Char"/>
    <w:basedOn w:val="DefaultParagraphFont"/>
    <w:link w:val="Footer"/>
    <w:uiPriority w:val="99"/>
    <w:rsid w:val="006E12A5"/>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655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D26556"/>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406FFF"/>
    <w:rPr>
      <w:sz w:val="20"/>
      <w:szCs w:val="20"/>
    </w:rPr>
  </w:style>
  <w:style w:type="character" w:customStyle="1" w:styleId="FootnoteTextChar">
    <w:name w:val="Footnote Text Char"/>
    <w:basedOn w:val="DefaultParagraphFont"/>
    <w:link w:val="FootnoteText"/>
    <w:uiPriority w:val="99"/>
    <w:semiHidden/>
    <w:rsid w:val="00406FFF"/>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406FFF"/>
    <w:rPr>
      <w:vertAlign w:val="superscript"/>
    </w:rPr>
  </w:style>
  <w:style w:type="character" w:styleId="CommentReference">
    <w:name w:val="annotation reference"/>
    <w:basedOn w:val="DefaultParagraphFont"/>
    <w:uiPriority w:val="99"/>
    <w:semiHidden/>
    <w:unhideWhenUsed/>
    <w:rsid w:val="002A0411"/>
    <w:rPr>
      <w:sz w:val="16"/>
      <w:szCs w:val="16"/>
    </w:rPr>
  </w:style>
  <w:style w:type="paragraph" w:styleId="CommentText">
    <w:name w:val="annotation text"/>
    <w:basedOn w:val="Normal"/>
    <w:link w:val="CommentTextChar"/>
    <w:uiPriority w:val="99"/>
    <w:semiHidden/>
    <w:unhideWhenUsed/>
    <w:rsid w:val="002A0411"/>
    <w:rPr>
      <w:sz w:val="20"/>
      <w:szCs w:val="20"/>
    </w:rPr>
  </w:style>
  <w:style w:type="character" w:customStyle="1" w:styleId="CommentTextChar">
    <w:name w:val="Comment Text Char"/>
    <w:basedOn w:val="DefaultParagraphFont"/>
    <w:link w:val="CommentText"/>
    <w:uiPriority w:val="99"/>
    <w:semiHidden/>
    <w:rsid w:val="002A041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A0411"/>
    <w:rPr>
      <w:b/>
      <w:bCs/>
    </w:rPr>
  </w:style>
  <w:style w:type="character" w:customStyle="1" w:styleId="CommentSubjectChar">
    <w:name w:val="Comment Subject Char"/>
    <w:basedOn w:val="CommentTextChar"/>
    <w:link w:val="CommentSubject"/>
    <w:uiPriority w:val="99"/>
    <w:semiHidden/>
    <w:rsid w:val="002A0411"/>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2A0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411"/>
    <w:rPr>
      <w:rFonts w:ascii="Segoe UI" w:eastAsia="Times New Roman" w:hAnsi="Segoe UI" w:cs="Segoe UI"/>
      <w:sz w:val="18"/>
      <w:szCs w:val="18"/>
      <w:lang w:val="en-GB"/>
    </w:rPr>
  </w:style>
  <w:style w:type="paragraph" w:styleId="ListParagraph">
    <w:name w:val="List Paragraph"/>
    <w:basedOn w:val="Normal"/>
    <w:uiPriority w:val="34"/>
    <w:qFormat/>
    <w:rsid w:val="00EB7BF8"/>
    <w:pPr>
      <w:ind w:left="720"/>
      <w:contextualSpacing/>
    </w:pPr>
  </w:style>
  <w:style w:type="paragraph" w:styleId="Header">
    <w:name w:val="header"/>
    <w:basedOn w:val="Normal"/>
    <w:link w:val="HeaderChar"/>
    <w:uiPriority w:val="99"/>
    <w:unhideWhenUsed/>
    <w:rsid w:val="006E12A5"/>
    <w:pPr>
      <w:tabs>
        <w:tab w:val="center" w:pos="4513"/>
        <w:tab w:val="right" w:pos="9026"/>
      </w:tabs>
    </w:pPr>
  </w:style>
  <w:style w:type="character" w:customStyle="1" w:styleId="HeaderChar">
    <w:name w:val="Header Char"/>
    <w:basedOn w:val="DefaultParagraphFont"/>
    <w:link w:val="Header"/>
    <w:uiPriority w:val="99"/>
    <w:rsid w:val="006E12A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E12A5"/>
    <w:pPr>
      <w:tabs>
        <w:tab w:val="center" w:pos="4513"/>
        <w:tab w:val="right" w:pos="9026"/>
      </w:tabs>
    </w:pPr>
  </w:style>
  <w:style w:type="character" w:customStyle="1" w:styleId="FooterChar">
    <w:name w:val="Footer Char"/>
    <w:basedOn w:val="DefaultParagraphFont"/>
    <w:link w:val="Footer"/>
    <w:uiPriority w:val="99"/>
    <w:rsid w:val="006E12A5"/>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92729">
      <w:bodyDiv w:val="1"/>
      <w:marLeft w:val="0"/>
      <w:marRight w:val="0"/>
      <w:marTop w:val="0"/>
      <w:marBottom w:val="0"/>
      <w:divBdr>
        <w:top w:val="none" w:sz="0" w:space="0" w:color="auto"/>
        <w:left w:val="none" w:sz="0" w:space="0" w:color="auto"/>
        <w:bottom w:val="none" w:sz="0" w:space="0" w:color="auto"/>
        <w:right w:val="none" w:sz="0" w:space="0" w:color="auto"/>
      </w:divBdr>
    </w:div>
    <w:div w:id="177952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2018-06-17T18:30:00+00:00</Judgment_x0020_Date>
    <Year xmlns="c1afb1bd-f2fb-40fd-9abb-aea55b4d7662">2018</Year>
  </documentManagement>
</p:properties>
</file>

<file path=customXml/itemProps1.xml><?xml version="1.0" encoding="utf-8"?>
<ds:datastoreItem xmlns:ds="http://schemas.openxmlformats.org/officeDocument/2006/customXml" ds:itemID="{5B8BE2CE-3463-4112-8B77-63C7248AB913}"/>
</file>

<file path=customXml/itemProps2.xml><?xml version="1.0" encoding="utf-8"?>
<ds:datastoreItem xmlns:ds="http://schemas.openxmlformats.org/officeDocument/2006/customXml" ds:itemID="{BC94083D-5BD0-495A-9B0A-14D82559FCD5}"/>
</file>

<file path=customXml/itemProps3.xml><?xml version="1.0" encoding="utf-8"?>
<ds:datastoreItem xmlns:ds="http://schemas.openxmlformats.org/officeDocument/2006/customXml" ds:itemID="{19EFF71F-7A91-42CF-AEA8-2A868F05F8E7}"/>
</file>

<file path=customXml/itemProps4.xml><?xml version="1.0" encoding="utf-8"?>
<ds:datastoreItem xmlns:ds="http://schemas.openxmlformats.org/officeDocument/2006/customXml" ds:itemID="{79837179-1BE5-4417-A403-6F021C3C5397}"/>
</file>

<file path=docProps/app.xml><?xml version="1.0" encoding="utf-8"?>
<Properties xmlns="http://schemas.openxmlformats.org/officeDocument/2006/extended-properties" xmlns:vt="http://schemas.openxmlformats.org/officeDocument/2006/docPropsVTypes">
  <Template>Normal</Template>
  <TotalTime>27</TotalTime>
  <Pages>9</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and M Casino Consulting CC v United Africa Group (Pty) Ltd</dc:title>
  <dc:creator>Prinsloo Hannelie</dc:creator>
  <cp:lastModifiedBy>Nicole Januarie</cp:lastModifiedBy>
  <cp:revision>5</cp:revision>
  <cp:lastPrinted>2018-06-19T06:53:00Z</cp:lastPrinted>
  <dcterms:created xsi:type="dcterms:W3CDTF">2018-06-19T07:49:00Z</dcterms:created>
  <dcterms:modified xsi:type="dcterms:W3CDTF">2018-06-19T13:33:00Z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