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center"/>
        <w:rPr>
          <w:rFonts w:ascii="Arial Narrow" w:hAnsi="Arial Narrow"/>
          <w:sz w:val="28"/>
          <w:szCs w:val="28"/>
        </w:rPr>
      </w:pPr>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D217B7" w:rsidRPr="00D217B7" w:rsidRDefault="00D217B7" w:rsidP="00D217B7">
            <w:pPr>
              <w:rPr>
                <w:rFonts w:ascii="Arial Narrow" w:hAnsi="Arial Narrow" w:cs="Arial"/>
                <w:sz w:val="24"/>
                <w:szCs w:val="24"/>
              </w:rPr>
            </w:pPr>
            <w:proofErr w:type="spellStart"/>
            <w:r w:rsidRPr="00D217B7">
              <w:rPr>
                <w:rFonts w:ascii="Arial Narrow" w:hAnsi="Arial Narrow" w:cs="Arial"/>
                <w:sz w:val="24"/>
                <w:szCs w:val="24"/>
              </w:rPr>
              <w:t>Rossmund</w:t>
            </w:r>
            <w:proofErr w:type="spellEnd"/>
            <w:r w:rsidRPr="00D217B7">
              <w:rPr>
                <w:rFonts w:ascii="Arial Narrow" w:hAnsi="Arial Narrow" w:cs="Arial"/>
                <w:sz w:val="24"/>
                <w:szCs w:val="24"/>
              </w:rPr>
              <w:t xml:space="preserve"> Golf </w:t>
            </w:r>
            <w:r w:rsidR="001643B3">
              <w:rPr>
                <w:rFonts w:ascii="Arial Narrow" w:hAnsi="Arial Narrow" w:cs="Arial"/>
                <w:sz w:val="24"/>
                <w:szCs w:val="24"/>
              </w:rPr>
              <w:t>Estate Home Owners Association v</w:t>
            </w:r>
            <w:r w:rsidRPr="00D217B7">
              <w:rPr>
                <w:rFonts w:ascii="Arial Narrow" w:hAnsi="Arial Narrow" w:cs="Arial"/>
                <w:sz w:val="24"/>
                <w:szCs w:val="24"/>
              </w:rPr>
              <w:t>s M Hartmann Investments Eighty Two C</w:t>
            </w:r>
            <w:r w:rsidR="00C210B9">
              <w:rPr>
                <w:rFonts w:ascii="Arial Narrow" w:hAnsi="Arial Narrow" w:cs="Arial"/>
                <w:sz w:val="24"/>
                <w:szCs w:val="24"/>
              </w:rPr>
              <w:t>C</w:t>
            </w:r>
          </w:p>
          <w:p w:rsidR="00C73154" w:rsidRPr="00C73154" w:rsidRDefault="00C73154" w:rsidP="00D217B7">
            <w:pPr>
              <w:spacing w:line="360" w:lineRule="auto"/>
              <w:jc w:val="both"/>
              <w:rPr>
                <w:rFonts w:ascii="Arial Narrow" w:hAnsi="Arial Narrow" w:cs="Arial"/>
                <w:sz w:val="24"/>
                <w:szCs w:val="24"/>
              </w:rPr>
            </w:pP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D217B7" w:rsidRDefault="00D217B7" w:rsidP="00905A48">
            <w:pPr>
              <w:spacing w:line="360" w:lineRule="auto"/>
              <w:jc w:val="both"/>
              <w:rPr>
                <w:rFonts w:ascii="Arial Narrow" w:hAnsi="Arial Narrow"/>
                <w:sz w:val="24"/>
                <w:szCs w:val="24"/>
              </w:rPr>
            </w:pPr>
            <w:r w:rsidRPr="00D217B7">
              <w:rPr>
                <w:rFonts w:ascii="Arial Narrow" w:hAnsi="Arial Narrow" w:cs="Arial"/>
                <w:sz w:val="24"/>
                <w:szCs w:val="24"/>
              </w:rPr>
              <w:t>HC-MD-CIV-ACT-CON-2017/03671</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A0DA3">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w:t>
            </w:r>
            <w:r w:rsidR="006A0DA3">
              <w:rPr>
                <w:rFonts w:ascii="Arial Narrow" w:hAnsi="Arial Narrow" w:cs="Arial"/>
                <w:sz w:val="24"/>
                <w:szCs w:val="24"/>
              </w:rPr>
              <w:t>Justice</w:t>
            </w:r>
            <w:r w:rsidRPr="00C73154">
              <w:rPr>
                <w:rFonts w:ascii="Arial Narrow" w:hAnsi="Arial Narrow" w:cs="Arial"/>
                <w:sz w:val="24"/>
                <w:szCs w:val="24"/>
              </w:rPr>
              <w:t xml:space="preserve"> </w:t>
            </w:r>
            <w:r w:rsidR="00D217B7">
              <w:rPr>
                <w:rFonts w:ascii="Arial Narrow" w:hAnsi="Arial Narrow" w:cs="Arial"/>
                <w:sz w:val="24"/>
                <w:szCs w:val="24"/>
              </w:rPr>
              <w:t xml:space="preserve">Herman </w:t>
            </w:r>
            <w:proofErr w:type="spellStart"/>
            <w:r w:rsidR="00D217B7">
              <w:rPr>
                <w:rFonts w:ascii="Arial Narrow" w:hAnsi="Arial Narrow" w:cs="Arial"/>
                <w:sz w:val="24"/>
                <w:szCs w:val="24"/>
              </w:rPr>
              <w:t>Oosthuizen</w:t>
            </w:r>
            <w:proofErr w:type="spellEnd"/>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D217B7" w:rsidRDefault="00D217B7" w:rsidP="008C0AC7">
            <w:pPr>
              <w:spacing w:line="360" w:lineRule="auto"/>
              <w:rPr>
                <w:rFonts w:ascii="Arial Narrow" w:hAnsi="Arial Narrow"/>
                <w:sz w:val="24"/>
                <w:szCs w:val="24"/>
              </w:rPr>
            </w:pPr>
            <w:r w:rsidRPr="00D217B7">
              <w:rPr>
                <w:rFonts w:ascii="Arial Narrow" w:hAnsi="Arial Narrow" w:cs="Arial"/>
                <w:sz w:val="24"/>
                <w:szCs w:val="24"/>
              </w:rPr>
              <w:t>11 April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210B9" w:rsidRDefault="00D217B7" w:rsidP="005403D8">
            <w:pPr>
              <w:spacing w:line="360" w:lineRule="auto"/>
              <w:jc w:val="both"/>
              <w:rPr>
                <w:rFonts w:ascii="Arial Narrow" w:hAnsi="Arial Narrow"/>
                <w:sz w:val="24"/>
                <w:szCs w:val="24"/>
              </w:rPr>
            </w:pPr>
            <w:r w:rsidRPr="00C210B9">
              <w:rPr>
                <w:rFonts w:ascii="Arial Narrow" w:hAnsi="Arial Narrow"/>
                <w:sz w:val="24"/>
                <w:szCs w:val="24"/>
              </w:rPr>
              <w:t>21 June 2018</w:t>
            </w:r>
          </w:p>
        </w:tc>
      </w:tr>
      <w:tr w:rsidR="005955B1" w:rsidRPr="00C73154" w:rsidTr="00EB27A0">
        <w:tc>
          <w:tcPr>
            <w:tcW w:w="9720" w:type="dxa"/>
            <w:gridSpan w:val="3"/>
          </w:tcPr>
          <w:p w:rsidR="00D217B7" w:rsidRPr="00D217B7" w:rsidRDefault="005955B1" w:rsidP="00D217B7">
            <w:pPr>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proofErr w:type="spellStart"/>
            <w:r w:rsidR="00D217B7" w:rsidRPr="00D217B7">
              <w:rPr>
                <w:rFonts w:ascii="Arial Narrow" w:hAnsi="Arial Narrow" w:cs="Arial"/>
                <w:i/>
                <w:sz w:val="24"/>
                <w:szCs w:val="24"/>
              </w:rPr>
              <w:t>Rossmund</w:t>
            </w:r>
            <w:proofErr w:type="spellEnd"/>
            <w:r w:rsidR="00D217B7" w:rsidRPr="00D217B7">
              <w:rPr>
                <w:rFonts w:ascii="Arial Narrow" w:hAnsi="Arial Narrow" w:cs="Arial"/>
                <w:i/>
                <w:sz w:val="24"/>
                <w:szCs w:val="24"/>
              </w:rPr>
              <w:t xml:space="preserve"> Golf Estate Home Owners Association v M Hartmann Investments </w:t>
            </w:r>
            <w:proofErr w:type="spellStart"/>
            <w:r w:rsidR="00D217B7" w:rsidRPr="00D217B7">
              <w:rPr>
                <w:rFonts w:ascii="Arial Narrow" w:hAnsi="Arial Narrow" w:cs="Arial"/>
                <w:i/>
                <w:sz w:val="24"/>
                <w:szCs w:val="24"/>
              </w:rPr>
              <w:t>Eighy</w:t>
            </w:r>
            <w:proofErr w:type="spellEnd"/>
            <w:r w:rsidR="00D217B7" w:rsidRPr="00D217B7">
              <w:rPr>
                <w:rFonts w:ascii="Arial Narrow" w:hAnsi="Arial Narrow" w:cs="Arial"/>
                <w:i/>
                <w:sz w:val="24"/>
                <w:szCs w:val="24"/>
              </w:rPr>
              <w:t xml:space="preserve"> Two </w:t>
            </w:r>
            <w:r w:rsidR="00C210B9" w:rsidRPr="00D217B7">
              <w:rPr>
                <w:rFonts w:ascii="Arial Narrow" w:hAnsi="Arial Narrow" w:cs="Arial"/>
                <w:i/>
                <w:sz w:val="24"/>
                <w:szCs w:val="24"/>
              </w:rPr>
              <w:t>CC</w:t>
            </w:r>
            <w:r w:rsidR="00C210B9" w:rsidRPr="00D217B7">
              <w:rPr>
                <w:rFonts w:ascii="Arial Narrow" w:hAnsi="Arial Narrow" w:cs="Arial"/>
                <w:sz w:val="24"/>
                <w:szCs w:val="24"/>
              </w:rPr>
              <w:t xml:space="preserve"> </w:t>
            </w:r>
            <w:r w:rsidR="00D217B7" w:rsidRPr="00D217B7">
              <w:rPr>
                <w:rFonts w:ascii="Arial Narrow" w:hAnsi="Arial Narrow" w:cs="Arial"/>
                <w:sz w:val="24"/>
                <w:szCs w:val="24"/>
              </w:rPr>
              <w:t>(HC-MD-CIV-ACT-CON-2017/03671</w:t>
            </w:r>
            <w:r w:rsidR="00552FC8">
              <w:rPr>
                <w:rFonts w:ascii="Arial Narrow" w:hAnsi="Arial Narrow" w:cs="Arial"/>
                <w:sz w:val="24"/>
                <w:szCs w:val="24"/>
              </w:rPr>
              <w:t>)</w:t>
            </w:r>
            <w:bookmarkStart w:id="0" w:name="_GoBack"/>
            <w:bookmarkEnd w:id="0"/>
            <w:r w:rsidR="00D217B7" w:rsidRPr="00D217B7">
              <w:rPr>
                <w:rFonts w:ascii="Arial Narrow" w:hAnsi="Arial Narrow" w:cs="Arial"/>
                <w:sz w:val="24"/>
                <w:szCs w:val="24"/>
              </w:rPr>
              <w:t xml:space="preserve"> [2018] NAMCMD </w:t>
            </w:r>
            <w:r w:rsidR="00D217B7">
              <w:rPr>
                <w:rFonts w:ascii="Arial Narrow" w:hAnsi="Arial Narrow" w:cs="Arial"/>
                <w:sz w:val="24"/>
                <w:szCs w:val="24"/>
              </w:rPr>
              <w:t xml:space="preserve">184 </w:t>
            </w:r>
            <w:r w:rsidR="00D217B7" w:rsidRPr="00D217B7">
              <w:rPr>
                <w:rFonts w:ascii="Arial Narrow" w:hAnsi="Arial Narrow" w:cs="Arial"/>
                <w:sz w:val="24"/>
                <w:szCs w:val="24"/>
              </w:rPr>
              <w:t>(21 June 2018).</w:t>
            </w:r>
          </w:p>
          <w:p w:rsidR="005955B1" w:rsidRPr="005955B1" w:rsidRDefault="005955B1" w:rsidP="00D217B7">
            <w:pPr>
              <w:spacing w:line="360" w:lineRule="auto"/>
              <w:jc w:val="both"/>
              <w:rPr>
                <w:rFonts w:ascii="Arial Narrow" w:hAnsi="Arial Narrow" w:cs="Arial"/>
                <w:b/>
                <w:sz w:val="24"/>
                <w:szCs w:val="24"/>
              </w:rPr>
            </w:pPr>
          </w:p>
        </w:tc>
      </w:tr>
      <w:tr w:rsidR="00281FAB" w:rsidRPr="00C73154" w:rsidTr="005955B1">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Pr="00D217B7" w:rsidRDefault="00D217B7" w:rsidP="00EB27A0">
            <w:pPr>
              <w:spacing w:line="360" w:lineRule="auto"/>
              <w:jc w:val="both"/>
              <w:rPr>
                <w:rFonts w:ascii="Arial Narrow" w:hAnsi="Arial Narrow" w:cs="Arial"/>
                <w:sz w:val="24"/>
                <w:szCs w:val="24"/>
              </w:rPr>
            </w:pPr>
            <w:r w:rsidRPr="00D217B7">
              <w:rPr>
                <w:rFonts w:ascii="Arial Narrow" w:hAnsi="Arial Narrow" w:cs="Arial"/>
                <w:sz w:val="24"/>
                <w:szCs w:val="24"/>
              </w:rPr>
              <w:t>Exception Dismissed</w:t>
            </w:r>
          </w:p>
        </w:tc>
      </w:tr>
      <w:tr w:rsidR="00281FAB" w:rsidRPr="00C73154" w:rsidTr="00EB27A0">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EB27A0">
            <w:pPr>
              <w:spacing w:line="360" w:lineRule="auto"/>
              <w:jc w:val="both"/>
              <w:rPr>
                <w:rFonts w:ascii="Arial Narrow" w:hAnsi="Arial Narrow" w:cs="Arial"/>
                <w:sz w:val="16"/>
                <w:szCs w:val="16"/>
              </w:rPr>
            </w:pPr>
          </w:p>
          <w:p w:rsidR="00281FAB" w:rsidRPr="00C73154" w:rsidRDefault="00FD38C2" w:rsidP="00EB27A0">
            <w:pPr>
              <w:spacing w:line="360" w:lineRule="auto"/>
              <w:jc w:val="both"/>
              <w:rPr>
                <w:rFonts w:ascii="Arial Narrow" w:hAnsi="Arial Narrow" w:cs="Arial"/>
                <w:sz w:val="24"/>
                <w:szCs w:val="24"/>
              </w:rPr>
            </w:pPr>
            <w:r w:rsidRPr="00C73154">
              <w:rPr>
                <w:rFonts w:ascii="Arial Narrow" w:hAnsi="Arial Narrow" w:cs="Arial"/>
                <w:sz w:val="24"/>
                <w:szCs w:val="24"/>
              </w:rPr>
              <w:t>Having heard</w:t>
            </w:r>
            <w:r w:rsidR="00C73154">
              <w:rPr>
                <w:rFonts w:ascii="Arial Narrow" w:hAnsi="Arial Narrow" w:cs="Arial"/>
                <w:sz w:val="24"/>
                <w:szCs w:val="24"/>
              </w:rPr>
              <w:t xml:space="preserve"> </w:t>
            </w:r>
            <w:r w:rsidR="00C73154" w:rsidRPr="00C73154">
              <w:rPr>
                <w:rFonts w:ascii="Arial Narrow" w:hAnsi="Arial Narrow" w:cs="Arial"/>
                <w:b/>
                <w:sz w:val="24"/>
                <w:szCs w:val="24"/>
              </w:rPr>
              <w:t>Mr</w:t>
            </w:r>
            <w:r w:rsidR="0072576E">
              <w:rPr>
                <w:rFonts w:ascii="Arial Narrow" w:hAnsi="Arial Narrow" w:cs="Arial"/>
                <w:b/>
                <w:sz w:val="24"/>
                <w:szCs w:val="24"/>
              </w:rPr>
              <w:t xml:space="preserve"> Wolfgang Pfeiffer</w:t>
            </w:r>
            <w:r w:rsidRPr="00C73154">
              <w:rPr>
                <w:rFonts w:ascii="Arial Narrow" w:hAnsi="Arial Narrow" w:cs="Arial"/>
                <w:sz w:val="24"/>
                <w:szCs w:val="24"/>
              </w:rPr>
              <w:t xml:space="preserve">, </w:t>
            </w:r>
            <w:r w:rsidR="00FF561E" w:rsidRPr="00C73154">
              <w:rPr>
                <w:rFonts w:ascii="Arial Narrow" w:hAnsi="Arial Narrow" w:cs="Arial"/>
                <w:sz w:val="24"/>
                <w:szCs w:val="24"/>
              </w:rPr>
              <w:t xml:space="preserve">counsel for the </w:t>
            </w:r>
            <w:r w:rsidR="00FB2B08">
              <w:rPr>
                <w:rFonts w:ascii="Arial Narrow" w:hAnsi="Arial Narrow" w:cs="Arial"/>
                <w:sz w:val="24"/>
                <w:szCs w:val="24"/>
              </w:rPr>
              <w:t>plaintiff</w:t>
            </w:r>
            <w:r w:rsidRPr="00C73154">
              <w:rPr>
                <w:rFonts w:ascii="Arial Narrow" w:hAnsi="Arial Narrow" w:cs="Arial"/>
                <w:sz w:val="24"/>
                <w:szCs w:val="24"/>
              </w:rPr>
              <w:t xml:space="preserve">, and </w:t>
            </w:r>
            <w:r w:rsidR="00905A48" w:rsidRPr="00C73154">
              <w:rPr>
                <w:rFonts w:ascii="Arial Narrow" w:hAnsi="Arial Narrow" w:cs="Arial"/>
                <w:b/>
                <w:sz w:val="24"/>
                <w:szCs w:val="24"/>
              </w:rPr>
              <w:t>M</w:t>
            </w:r>
            <w:r w:rsidR="00C73154" w:rsidRPr="00C73154">
              <w:rPr>
                <w:rFonts w:ascii="Arial Narrow" w:hAnsi="Arial Narrow" w:cs="Arial"/>
                <w:b/>
                <w:sz w:val="24"/>
                <w:szCs w:val="24"/>
              </w:rPr>
              <w:t xml:space="preserve">r </w:t>
            </w:r>
            <w:r w:rsidR="0072576E">
              <w:rPr>
                <w:rFonts w:ascii="Arial Narrow" w:hAnsi="Arial Narrow" w:cs="Arial"/>
                <w:b/>
                <w:sz w:val="24"/>
                <w:szCs w:val="24"/>
              </w:rPr>
              <w:t xml:space="preserve">Louis </w:t>
            </w:r>
            <w:proofErr w:type="spellStart"/>
            <w:r w:rsidR="0072576E">
              <w:rPr>
                <w:rFonts w:ascii="Arial Narrow" w:hAnsi="Arial Narrow" w:cs="Arial"/>
                <w:b/>
                <w:sz w:val="24"/>
                <w:szCs w:val="24"/>
              </w:rPr>
              <w:t>Karstern</w:t>
            </w:r>
            <w:proofErr w:type="spellEnd"/>
            <w:r w:rsidRPr="00C73154">
              <w:rPr>
                <w:rFonts w:ascii="Arial Narrow" w:hAnsi="Arial Narrow" w:cs="Arial"/>
                <w:sz w:val="24"/>
                <w:szCs w:val="24"/>
              </w:rPr>
              <w:t>,</w:t>
            </w:r>
            <w:r w:rsidR="00FF561E" w:rsidRPr="00C73154">
              <w:rPr>
                <w:rFonts w:ascii="Arial Narrow" w:hAnsi="Arial Narrow" w:cs="Arial"/>
                <w:sz w:val="24"/>
                <w:szCs w:val="24"/>
              </w:rPr>
              <w:t xml:space="preserve"> counsel for the </w:t>
            </w:r>
            <w:r w:rsidR="0072576E">
              <w:rPr>
                <w:rFonts w:ascii="Arial Narrow" w:hAnsi="Arial Narrow" w:cs="Arial"/>
                <w:sz w:val="24"/>
                <w:szCs w:val="24"/>
              </w:rPr>
              <w:t>1</w:t>
            </w:r>
            <w:r w:rsidR="0072576E" w:rsidRPr="0072576E">
              <w:rPr>
                <w:rFonts w:ascii="Arial Narrow" w:hAnsi="Arial Narrow" w:cs="Arial"/>
                <w:sz w:val="24"/>
                <w:szCs w:val="24"/>
                <w:vertAlign w:val="superscript"/>
              </w:rPr>
              <w:t>st</w:t>
            </w:r>
            <w:r w:rsidR="0072576E">
              <w:rPr>
                <w:rFonts w:ascii="Arial Narrow" w:hAnsi="Arial Narrow" w:cs="Arial"/>
                <w:sz w:val="24"/>
                <w:szCs w:val="24"/>
              </w:rPr>
              <w:t xml:space="preserve"> defendant</w:t>
            </w:r>
            <w:r w:rsidRPr="00C73154">
              <w:rPr>
                <w:rFonts w:ascii="Arial Narrow" w:hAnsi="Arial Narrow" w:cs="Arial"/>
                <w:sz w:val="24"/>
                <w:szCs w:val="24"/>
              </w:rPr>
              <w:t>, and having read</w:t>
            </w:r>
            <w:r w:rsidR="006D2D84" w:rsidRPr="00C73154">
              <w:rPr>
                <w:rFonts w:ascii="Arial Narrow" w:hAnsi="Arial Narrow" w:cs="Arial"/>
                <w:sz w:val="24"/>
                <w:szCs w:val="24"/>
              </w:rPr>
              <w:t xml:space="preserve"> the documents filed of record:</w:t>
            </w:r>
          </w:p>
          <w:p w:rsidR="00EB27A0" w:rsidRPr="00C73154" w:rsidRDefault="00EB27A0" w:rsidP="00EB27A0">
            <w:pPr>
              <w:spacing w:line="360" w:lineRule="auto"/>
              <w:jc w:val="both"/>
              <w:rPr>
                <w:rFonts w:ascii="Arial Narrow" w:hAnsi="Arial Narrow" w:cs="Arial"/>
                <w:sz w:val="16"/>
                <w:szCs w:val="16"/>
              </w:rPr>
            </w:pPr>
          </w:p>
          <w:p w:rsidR="00EB27A0" w:rsidRPr="00C73154"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8D65E9" w:rsidRPr="00C73154" w:rsidRDefault="008D65E9" w:rsidP="00EB27A0">
            <w:pPr>
              <w:spacing w:line="360" w:lineRule="auto"/>
              <w:jc w:val="both"/>
              <w:rPr>
                <w:rFonts w:ascii="Arial Narrow" w:hAnsi="Arial Narrow" w:cs="Arial"/>
                <w:b/>
                <w:sz w:val="16"/>
                <w:szCs w:val="16"/>
              </w:rPr>
            </w:pPr>
          </w:p>
          <w:p w:rsidR="004378C5" w:rsidRPr="00473D05" w:rsidRDefault="004378C5" w:rsidP="004378C5">
            <w:pPr>
              <w:spacing w:line="360" w:lineRule="auto"/>
              <w:jc w:val="both"/>
              <w:rPr>
                <w:rFonts w:ascii="Arial" w:hAnsi="Arial" w:cs="Arial"/>
                <w:sz w:val="24"/>
                <w:szCs w:val="24"/>
              </w:rPr>
            </w:pPr>
            <w:r>
              <w:rPr>
                <w:rFonts w:ascii="Arial Narrow" w:hAnsi="Arial Narrow" w:cs="Arial"/>
                <w:sz w:val="24"/>
                <w:szCs w:val="24"/>
              </w:rPr>
              <w:t>1.</w:t>
            </w:r>
            <w:r>
              <w:rPr>
                <w:rFonts w:ascii="Arial Narrow" w:hAnsi="Arial Narrow" w:cs="Arial"/>
                <w:sz w:val="24"/>
                <w:szCs w:val="24"/>
              </w:rPr>
              <w:tab/>
            </w:r>
            <w:r w:rsidRPr="004378C5">
              <w:rPr>
                <w:rFonts w:ascii="Arial Narrow" w:hAnsi="Arial Narrow" w:cs="Arial"/>
                <w:sz w:val="24"/>
                <w:szCs w:val="24"/>
              </w:rPr>
              <w:t>First defendant's exception is dismissed with costs.</w:t>
            </w:r>
          </w:p>
          <w:p w:rsidR="00686B3F" w:rsidRPr="005955B1" w:rsidRDefault="00686B3F" w:rsidP="004378C5">
            <w:pPr>
              <w:pStyle w:val="ListParagraph"/>
              <w:spacing w:line="360" w:lineRule="auto"/>
              <w:ind w:left="446"/>
              <w:jc w:val="both"/>
              <w:rPr>
                <w:rFonts w:ascii="Arial Narrow" w:hAnsi="Arial Narrow" w:cs="Arial"/>
                <w:sz w:val="12"/>
                <w:szCs w:val="12"/>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w:t>
            </w:r>
            <w:r w:rsidRPr="004378C5">
              <w:rPr>
                <w:rFonts w:ascii="Arial Narrow" w:hAnsi="Arial Narrow" w:cs="Arial"/>
                <w:sz w:val="24"/>
                <w:szCs w:val="24"/>
              </w:rPr>
              <w:tab/>
              <w:t xml:space="preserve">In the joint case plan filed during December 2017, first defendant discloses 11 points why it intends to raise an exception.  It failed to identify whether it intends an exception on the basis that plaintiff's </w:t>
            </w:r>
            <w:proofErr w:type="gramStart"/>
            <w:r w:rsidRPr="004378C5">
              <w:rPr>
                <w:rFonts w:ascii="Arial Narrow" w:hAnsi="Arial Narrow" w:cs="Arial"/>
                <w:sz w:val="24"/>
                <w:szCs w:val="24"/>
              </w:rPr>
              <w:t>particulars of claim is</w:t>
            </w:r>
            <w:proofErr w:type="gramEnd"/>
            <w:r w:rsidRPr="004378C5">
              <w:rPr>
                <w:rFonts w:ascii="Arial Narrow" w:hAnsi="Arial Narrow" w:cs="Arial"/>
                <w:sz w:val="24"/>
                <w:szCs w:val="24"/>
              </w:rPr>
              <w:t xml:space="preserve"> vague and embarrassing or whether it fails to disclose a cause of action.</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2.</w:t>
            </w:r>
            <w:r w:rsidRPr="004378C5">
              <w:rPr>
                <w:rFonts w:ascii="Arial Narrow" w:hAnsi="Arial Narrow" w:cs="Arial"/>
                <w:sz w:val="24"/>
                <w:szCs w:val="24"/>
              </w:rPr>
              <w:tab/>
              <w:t>First defendant thereafter failed to provide plaintiff with a notice in terms of Rule 57(2) and therefore represented that its exception is not premised on the ground that the particulars of claim is vague and embarrassing.</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lastRenderedPageBreak/>
              <w:t>3.</w:t>
            </w:r>
            <w:r w:rsidRPr="004378C5">
              <w:rPr>
                <w:rFonts w:ascii="Arial Narrow" w:hAnsi="Arial Narrow" w:cs="Arial"/>
                <w:sz w:val="24"/>
                <w:szCs w:val="24"/>
              </w:rPr>
              <w:tab/>
              <w:t xml:space="preserve">When the Notice of Exception was delivered to plaintiff on 2 February 2018, it said in the introduction that plaintiff's particulars of claim </w:t>
            </w:r>
            <w:r w:rsidRPr="004378C5">
              <w:rPr>
                <w:rFonts w:ascii="Arial" w:hAnsi="Arial" w:cs="Arial"/>
                <w:sz w:val="24"/>
                <w:szCs w:val="24"/>
              </w:rPr>
              <w:t>‟</w:t>
            </w:r>
            <w:r w:rsidRPr="004378C5">
              <w:rPr>
                <w:rFonts w:ascii="Arial Narrow" w:hAnsi="Arial Narrow" w:cs="Arial"/>
                <w:sz w:val="24"/>
                <w:szCs w:val="24"/>
              </w:rPr>
              <w:t>are vague, embarrassing and fail to disclose a cause of action on the following grounds:”</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4.</w:t>
            </w:r>
            <w:r w:rsidRPr="004378C5">
              <w:rPr>
                <w:rFonts w:ascii="Arial Narrow" w:hAnsi="Arial Narrow" w:cs="Arial"/>
                <w:sz w:val="24"/>
                <w:szCs w:val="24"/>
              </w:rPr>
              <w:tab/>
              <w:t xml:space="preserve">What then follows is an attack on the </w:t>
            </w:r>
            <w:r w:rsidRPr="004378C5">
              <w:rPr>
                <w:rFonts w:ascii="Arial Narrow" w:hAnsi="Arial Narrow" w:cs="Arial"/>
                <w:i/>
                <w:sz w:val="24"/>
                <w:szCs w:val="24"/>
              </w:rPr>
              <w:t xml:space="preserve">locus standi in </w:t>
            </w:r>
            <w:proofErr w:type="spellStart"/>
            <w:r w:rsidRPr="004378C5">
              <w:rPr>
                <w:rFonts w:ascii="Arial Narrow" w:hAnsi="Arial Narrow" w:cs="Arial"/>
                <w:i/>
                <w:sz w:val="24"/>
                <w:szCs w:val="24"/>
              </w:rPr>
              <w:t>iudicio</w:t>
            </w:r>
            <w:proofErr w:type="spellEnd"/>
            <w:r w:rsidRPr="004378C5">
              <w:rPr>
                <w:rFonts w:ascii="Arial Narrow" w:hAnsi="Arial Narrow" w:cs="Arial"/>
                <w:sz w:val="24"/>
                <w:szCs w:val="24"/>
              </w:rPr>
              <w:t xml:space="preserve"> of the plaintiff to institute action against first defendant and therefore, it is alleged, no cause of action is made out by the plaintiff.  The alleged ground concerning vagueness and embarrassment was not addressed, nor pursued.</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5.</w:t>
            </w:r>
            <w:r w:rsidRPr="004378C5">
              <w:rPr>
                <w:rFonts w:ascii="Arial Narrow" w:hAnsi="Arial Narrow" w:cs="Arial"/>
                <w:sz w:val="24"/>
                <w:szCs w:val="24"/>
              </w:rPr>
              <w:tab/>
              <w:t>Apart from filing a purported Rule 32(10) report on 2 February 2018</w:t>
            </w:r>
            <w:r w:rsidRPr="004378C5">
              <w:rPr>
                <w:rFonts w:ascii="Arial Narrow" w:hAnsi="Arial Narrow" w:cs="Arial"/>
                <w:i/>
                <w:sz w:val="24"/>
                <w:szCs w:val="24"/>
              </w:rPr>
              <w:t xml:space="preserve"> </w:t>
            </w:r>
            <w:r w:rsidRPr="004378C5">
              <w:rPr>
                <w:rFonts w:ascii="Arial Narrow" w:hAnsi="Arial Narrow" w:cs="Arial"/>
                <w:sz w:val="24"/>
                <w:szCs w:val="24"/>
              </w:rPr>
              <w:t xml:space="preserve">referring to the joint case plan, there is no indication that first defendant engaged plaintiff in meaningful discussions to amicably resolve the intended exception.  The </w:t>
            </w:r>
            <w:proofErr w:type="spellStart"/>
            <w:r w:rsidRPr="004378C5">
              <w:rPr>
                <w:rFonts w:ascii="Arial Narrow" w:hAnsi="Arial Narrow" w:cs="Arial"/>
                <w:sz w:val="24"/>
                <w:szCs w:val="24"/>
              </w:rPr>
              <w:t>aforegoing</w:t>
            </w:r>
            <w:proofErr w:type="spellEnd"/>
            <w:r w:rsidRPr="004378C5">
              <w:rPr>
                <w:rFonts w:ascii="Arial Narrow" w:hAnsi="Arial Narrow" w:cs="Arial"/>
                <w:sz w:val="24"/>
                <w:szCs w:val="24"/>
              </w:rPr>
              <w:t xml:space="preserve"> remark in this paragraph did not play a determinative role in the decision of the court as the first defendant has laboured under the impression that it gave the plaintiff ample time to rectify/amend its particulars of claim so to remove the cause of complaint.</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6.</w:t>
            </w:r>
            <w:r w:rsidRPr="004378C5">
              <w:rPr>
                <w:rFonts w:ascii="Arial Narrow" w:hAnsi="Arial Narrow" w:cs="Arial"/>
                <w:sz w:val="24"/>
                <w:szCs w:val="24"/>
              </w:rPr>
              <w:tab/>
              <w:t xml:space="preserve">First defendant referred to paragraphs in the particulars of claim which according to first defendant show that plaintiff has no </w:t>
            </w:r>
            <w:r w:rsidRPr="004378C5">
              <w:rPr>
                <w:rFonts w:ascii="Arial Narrow" w:hAnsi="Arial Narrow" w:cs="Arial"/>
                <w:i/>
                <w:sz w:val="24"/>
                <w:szCs w:val="24"/>
              </w:rPr>
              <w:t>locus standi</w:t>
            </w:r>
            <w:r w:rsidRPr="004378C5">
              <w:rPr>
                <w:rFonts w:ascii="Arial Narrow" w:hAnsi="Arial Narrow" w:cs="Arial"/>
                <w:sz w:val="24"/>
                <w:szCs w:val="24"/>
              </w:rPr>
              <w:t xml:space="preserve"> and therefore no cause of action.</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7.</w:t>
            </w:r>
            <w:r w:rsidRPr="004378C5">
              <w:rPr>
                <w:rFonts w:ascii="Arial Narrow" w:hAnsi="Arial Narrow" w:cs="Arial"/>
                <w:sz w:val="24"/>
                <w:szCs w:val="24"/>
              </w:rPr>
              <w:tab/>
              <w:t xml:space="preserve">First defendant quoted authority stating that </w:t>
            </w:r>
            <w:r w:rsidRPr="004378C5">
              <w:rPr>
                <w:rFonts w:ascii="Arial" w:hAnsi="Arial" w:cs="Arial"/>
                <w:sz w:val="24"/>
                <w:szCs w:val="24"/>
              </w:rPr>
              <w:t>‟</w:t>
            </w:r>
            <w:r w:rsidRPr="004378C5">
              <w:rPr>
                <w:rFonts w:ascii="Arial Narrow" w:hAnsi="Arial Narrow" w:cs="Arial"/>
                <w:sz w:val="24"/>
                <w:szCs w:val="24"/>
              </w:rPr>
              <w:t xml:space="preserve">The </w:t>
            </w:r>
            <w:r w:rsidRPr="004378C5">
              <w:rPr>
                <w:rFonts w:ascii="Arial Narrow" w:hAnsi="Arial Narrow" w:cs="Arial"/>
                <w:i/>
                <w:sz w:val="24"/>
                <w:szCs w:val="24"/>
              </w:rPr>
              <w:t xml:space="preserve">locus standi in </w:t>
            </w:r>
            <w:proofErr w:type="spellStart"/>
            <w:r w:rsidRPr="004378C5">
              <w:rPr>
                <w:rFonts w:ascii="Arial Narrow" w:hAnsi="Arial Narrow" w:cs="Arial"/>
                <w:i/>
                <w:sz w:val="24"/>
                <w:szCs w:val="24"/>
              </w:rPr>
              <w:t>iudicio</w:t>
            </w:r>
            <w:proofErr w:type="spellEnd"/>
            <w:r w:rsidRPr="004378C5">
              <w:rPr>
                <w:rFonts w:ascii="Arial Narrow" w:hAnsi="Arial Narrow" w:cs="Arial"/>
                <w:i/>
                <w:sz w:val="24"/>
                <w:szCs w:val="24"/>
              </w:rPr>
              <w:t xml:space="preserve"> </w:t>
            </w:r>
            <w:r w:rsidRPr="004378C5">
              <w:rPr>
                <w:rFonts w:ascii="Arial Narrow" w:hAnsi="Arial Narrow" w:cs="Arial"/>
                <w:sz w:val="24"/>
                <w:szCs w:val="24"/>
              </w:rPr>
              <w:t xml:space="preserve">of a plaintiff must exist from the time the action was instituted until final judgment is delivered.  In the absence of </w:t>
            </w:r>
            <w:r w:rsidRPr="004378C5">
              <w:rPr>
                <w:rFonts w:ascii="Arial Narrow" w:hAnsi="Arial Narrow" w:cs="Arial"/>
                <w:i/>
                <w:sz w:val="24"/>
                <w:szCs w:val="24"/>
              </w:rPr>
              <w:t>locus standi</w:t>
            </w:r>
            <w:r w:rsidRPr="004378C5">
              <w:rPr>
                <w:rFonts w:ascii="Arial Narrow" w:hAnsi="Arial Narrow" w:cs="Arial"/>
                <w:sz w:val="24"/>
                <w:szCs w:val="24"/>
              </w:rPr>
              <w:t>, a plaintiff is not entitled to judgment, either on liability or on quantum”</w:t>
            </w:r>
            <w:r w:rsidRPr="004378C5">
              <w:rPr>
                <w:rStyle w:val="EndnoteReference"/>
                <w:rFonts w:ascii="Arial Narrow" w:hAnsi="Arial Narrow" w:cs="Arial"/>
                <w:sz w:val="24"/>
                <w:szCs w:val="24"/>
              </w:rPr>
              <w:endnoteReference w:id="1"/>
            </w:r>
            <w:r w:rsidRPr="004378C5">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8.</w:t>
            </w:r>
            <w:r w:rsidRPr="004378C5">
              <w:rPr>
                <w:rFonts w:ascii="Arial Narrow" w:hAnsi="Arial Narrow" w:cs="Arial"/>
                <w:sz w:val="24"/>
                <w:szCs w:val="24"/>
              </w:rPr>
              <w:tab/>
              <w:t xml:space="preserve">Despite the aforesaid authority and the fact that plaintiff only instituted action in </w:t>
            </w:r>
            <w:proofErr w:type="gramStart"/>
            <w:r w:rsidRPr="004378C5">
              <w:rPr>
                <w:rFonts w:ascii="Arial Narrow" w:hAnsi="Arial Narrow" w:cs="Arial"/>
                <w:sz w:val="24"/>
                <w:szCs w:val="24"/>
              </w:rPr>
              <w:t>2017,</w:t>
            </w:r>
            <w:proofErr w:type="gramEnd"/>
            <w:r w:rsidRPr="004378C5">
              <w:rPr>
                <w:rFonts w:ascii="Arial Narrow" w:hAnsi="Arial Narrow" w:cs="Arial"/>
                <w:sz w:val="24"/>
                <w:szCs w:val="24"/>
              </w:rPr>
              <w:t xml:space="preserve"> first defendant's complaints are directed to 2004/5.</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9.</w:t>
            </w:r>
            <w:r w:rsidRPr="004378C5">
              <w:rPr>
                <w:rFonts w:ascii="Arial Narrow" w:hAnsi="Arial Narrow" w:cs="Arial"/>
                <w:sz w:val="24"/>
                <w:szCs w:val="24"/>
              </w:rPr>
              <w:tab/>
              <w:t xml:space="preserve">In Van </w:t>
            </w:r>
            <w:proofErr w:type="spellStart"/>
            <w:r w:rsidRPr="004378C5">
              <w:rPr>
                <w:rFonts w:ascii="Arial Narrow" w:hAnsi="Arial Narrow" w:cs="Arial"/>
                <w:sz w:val="24"/>
                <w:szCs w:val="24"/>
              </w:rPr>
              <w:t>Straten</w:t>
            </w:r>
            <w:proofErr w:type="spellEnd"/>
            <w:r w:rsidRPr="004378C5">
              <w:rPr>
                <w:rFonts w:ascii="Arial Narrow" w:hAnsi="Arial Narrow" w:cs="Arial"/>
                <w:sz w:val="24"/>
                <w:szCs w:val="24"/>
              </w:rPr>
              <w:t xml:space="preserve"> v Namibia Financial Institutions Supervisory Authority and Another, 2016(3) NR 747 SC, paragraph (18) on pp 755 over on 756, the Namibian Supreme Court </w:t>
            </w:r>
            <w:proofErr w:type="spellStart"/>
            <w:r w:rsidRPr="004378C5">
              <w:rPr>
                <w:rFonts w:ascii="Arial Narrow" w:hAnsi="Arial Narrow" w:cs="Arial"/>
                <w:sz w:val="24"/>
                <w:szCs w:val="24"/>
              </w:rPr>
              <w:t>authoritively</w:t>
            </w:r>
            <w:proofErr w:type="spellEnd"/>
            <w:r w:rsidRPr="004378C5">
              <w:rPr>
                <w:rFonts w:ascii="Arial Narrow" w:hAnsi="Arial Narrow" w:cs="Arial"/>
                <w:sz w:val="24"/>
                <w:szCs w:val="24"/>
              </w:rPr>
              <w:t xml:space="preserve"> said:  </w:t>
            </w:r>
          </w:p>
          <w:p w:rsidR="004378C5" w:rsidRPr="004378C5" w:rsidRDefault="004378C5" w:rsidP="004378C5">
            <w:pPr>
              <w:spacing w:line="360" w:lineRule="auto"/>
              <w:jc w:val="both"/>
              <w:rPr>
                <w:rFonts w:ascii="Arial Narrow" w:hAnsi="Arial Narrow" w:cs="Arial"/>
                <w:sz w:val="24"/>
                <w:szCs w:val="24"/>
              </w:rPr>
            </w:pPr>
          </w:p>
          <w:p w:rsidR="004378C5" w:rsidRPr="004378C5" w:rsidRDefault="001643B3" w:rsidP="001643B3">
            <w:pPr>
              <w:spacing w:line="360" w:lineRule="auto"/>
              <w:ind w:left="5"/>
              <w:jc w:val="both"/>
              <w:rPr>
                <w:rFonts w:ascii="Arial Narrow" w:hAnsi="Arial Narrow" w:cs="Arial"/>
                <w:sz w:val="24"/>
                <w:szCs w:val="24"/>
              </w:rPr>
            </w:pPr>
            <w:r>
              <w:rPr>
                <w:rFonts w:ascii="Arial" w:hAnsi="Arial" w:cs="Arial"/>
                <w:sz w:val="24"/>
                <w:szCs w:val="24"/>
              </w:rPr>
              <w:t xml:space="preserve">           </w:t>
            </w:r>
            <w:r w:rsidR="004378C5" w:rsidRPr="004378C5">
              <w:rPr>
                <w:rFonts w:ascii="Arial" w:hAnsi="Arial" w:cs="Arial"/>
                <w:sz w:val="24"/>
                <w:szCs w:val="24"/>
              </w:rPr>
              <w:t>‟</w:t>
            </w:r>
            <w:r w:rsidR="004378C5" w:rsidRPr="004378C5">
              <w:rPr>
                <w:rFonts w:ascii="Arial Narrow" w:hAnsi="Arial Narrow" w:cs="Arial"/>
                <w:sz w:val="24"/>
                <w:szCs w:val="24"/>
              </w:rPr>
              <w:t xml:space="preserve">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w:t>
            </w:r>
            <w:proofErr w:type="spellStart"/>
            <w:r w:rsidR="004378C5" w:rsidRPr="004378C5">
              <w:rPr>
                <w:rFonts w:ascii="Arial Narrow" w:hAnsi="Arial Narrow" w:cs="Arial"/>
                <w:sz w:val="24"/>
                <w:szCs w:val="24"/>
              </w:rPr>
              <w:t>excipiable</w:t>
            </w:r>
            <w:proofErr w:type="spellEnd"/>
            <w:r w:rsidR="004378C5" w:rsidRPr="004378C5">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lastRenderedPageBreak/>
              <w:t>10.</w:t>
            </w:r>
            <w:r w:rsidRPr="004378C5">
              <w:rPr>
                <w:rFonts w:ascii="Arial Narrow" w:hAnsi="Arial Narrow" w:cs="Arial"/>
                <w:sz w:val="24"/>
                <w:szCs w:val="24"/>
              </w:rPr>
              <w:tab/>
              <w:t>It is therefore common cause that the facts alleged in plaintiff's particulars of claim are taken as correct for purposes of the exception.  That being so the first defendant must show the court that upon every interpretation which the particulars of claim can reasonably bear, no cause of action is disclosed.  The first defendant must convince the court that no possible evidence on the pleadings can disclose a cause of action.</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11.</w:t>
            </w:r>
            <w:r w:rsidRPr="004378C5">
              <w:rPr>
                <w:rFonts w:ascii="Arial Narrow" w:hAnsi="Arial Narrow" w:cs="Arial"/>
                <w:sz w:val="24"/>
                <w:szCs w:val="24"/>
              </w:rPr>
              <w:tab/>
              <w:t>The first defendant has failed to convince the court as envisaged.</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12.</w:t>
            </w:r>
            <w:r w:rsidRPr="004378C5">
              <w:rPr>
                <w:rFonts w:ascii="Arial Narrow" w:hAnsi="Arial Narrow" w:cs="Arial"/>
                <w:sz w:val="24"/>
                <w:szCs w:val="24"/>
              </w:rPr>
              <w:tab/>
              <w:t xml:space="preserve">First defendant introduced matter in its notice to except and heads of argument which was/were not pleaded and it fell </w:t>
            </w:r>
            <w:proofErr w:type="spellStart"/>
            <w:r w:rsidRPr="004378C5">
              <w:rPr>
                <w:rFonts w:ascii="Arial Narrow" w:hAnsi="Arial Narrow" w:cs="Arial"/>
                <w:sz w:val="24"/>
                <w:szCs w:val="24"/>
              </w:rPr>
              <w:t>foul</w:t>
            </w:r>
            <w:proofErr w:type="spellEnd"/>
            <w:r w:rsidRPr="004378C5">
              <w:rPr>
                <w:rFonts w:ascii="Arial Narrow" w:hAnsi="Arial Narrow" w:cs="Arial"/>
                <w:sz w:val="24"/>
                <w:szCs w:val="24"/>
              </w:rPr>
              <w:t xml:space="preserve"> of its own cited authority on </w:t>
            </w:r>
            <w:r w:rsidRPr="004378C5">
              <w:rPr>
                <w:rFonts w:ascii="Arial Narrow" w:hAnsi="Arial Narrow" w:cs="Arial"/>
                <w:i/>
                <w:sz w:val="24"/>
                <w:szCs w:val="24"/>
              </w:rPr>
              <w:t xml:space="preserve">locus standi in </w:t>
            </w:r>
            <w:proofErr w:type="spellStart"/>
            <w:r w:rsidRPr="004378C5">
              <w:rPr>
                <w:rFonts w:ascii="Arial Narrow" w:hAnsi="Arial Narrow" w:cs="Arial"/>
                <w:i/>
                <w:sz w:val="24"/>
                <w:szCs w:val="24"/>
              </w:rPr>
              <w:t>iudicio</w:t>
            </w:r>
            <w:proofErr w:type="spellEnd"/>
            <w:r w:rsidRPr="004378C5">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A23F8A"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13.</w:t>
            </w:r>
            <w:r w:rsidRPr="004378C5">
              <w:rPr>
                <w:rFonts w:ascii="Arial Narrow" w:hAnsi="Arial Narrow" w:cs="Arial"/>
                <w:sz w:val="24"/>
                <w:szCs w:val="24"/>
              </w:rPr>
              <w:tab/>
              <w:t>First defendant ought to plead its concerns, defences, and facts not apparent from the particulars of claim, in order for them to be properly ventilated by evidence during the trial.</w:t>
            </w:r>
          </w:p>
          <w:p w:rsidR="004378C5" w:rsidRPr="00C73154" w:rsidRDefault="004378C5" w:rsidP="004378C5">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FB2B08" w:rsidP="00FD38C2">
            <w:pPr>
              <w:spacing w:line="360" w:lineRule="auto"/>
              <w:jc w:val="center"/>
              <w:rPr>
                <w:rFonts w:ascii="Arial Narrow" w:hAnsi="Arial Narrow" w:cs="Arial"/>
                <w:b/>
                <w:sz w:val="24"/>
                <w:szCs w:val="24"/>
              </w:rPr>
            </w:pPr>
            <w:r>
              <w:rPr>
                <w:rFonts w:ascii="Arial Narrow" w:hAnsi="Arial Narrow" w:cs="Arial"/>
                <w:b/>
                <w:sz w:val="24"/>
                <w:szCs w:val="24"/>
              </w:rPr>
              <w:t>Plaintiff</w:t>
            </w:r>
            <w:r w:rsidR="00FD38C2" w:rsidRPr="00C73154">
              <w:rPr>
                <w:rFonts w:ascii="Arial Narrow" w:hAnsi="Arial Narrow" w:cs="Arial"/>
                <w:b/>
                <w:sz w:val="24"/>
                <w:szCs w:val="24"/>
              </w:rPr>
              <w:t>(s)</w:t>
            </w:r>
          </w:p>
        </w:tc>
        <w:tc>
          <w:tcPr>
            <w:tcW w:w="4950" w:type="dxa"/>
            <w:gridSpan w:val="2"/>
          </w:tcPr>
          <w:p w:rsidR="00FD38C2" w:rsidRPr="00C73154" w:rsidRDefault="00FB2B08" w:rsidP="00FF561E">
            <w:pPr>
              <w:spacing w:line="360" w:lineRule="auto"/>
              <w:jc w:val="center"/>
              <w:rPr>
                <w:rFonts w:ascii="Arial Narrow" w:hAnsi="Arial Narrow" w:cs="Arial"/>
                <w:b/>
                <w:sz w:val="24"/>
                <w:szCs w:val="24"/>
              </w:rPr>
            </w:pPr>
            <w:r>
              <w:rPr>
                <w:rFonts w:ascii="Arial Narrow" w:hAnsi="Arial Narrow" w:cs="Arial"/>
                <w:b/>
                <w:sz w:val="24"/>
                <w:szCs w:val="24"/>
              </w:rPr>
              <w:t>Defendant (s)</w:t>
            </w:r>
          </w:p>
        </w:tc>
      </w:tr>
      <w:tr w:rsidR="001F353F" w:rsidRPr="00C73154" w:rsidTr="00FD38C2">
        <w:tc>
          <w:tcPr>
            <w:tcW w:w="4770" w:type="dxa"/>
            <w:vMerge w:val="restart"/>
          </w:tcPr>
          <w:p w:rsidR="001F353F" w:rsidRDefault="001643B3" w:rsidP="0050338C">
            <w:pPr>
              <w:spacing w:line="360" w:lineRule="auto"/>
              <w:jc w:val="center"/>
              <w:rPr>
                <w:rFonts w:ascii="Arial Narrow" w:hAnsi="Arial Narrow" w:cs="Arial"/>
                <w:sz w:val="24"/>
                <w:szCs w:val="24"/>
              </w:rPr>
            </w:pPr>
            <w:r>
              <w:rPr>
                <w:rFonts w:ascii="Arial Narrow" w:hAnsi="Arial Narrow" w:cs="Arial"/>
                <w:sz w:val="24"/>
                <w:szCs w:val="24"/>
              </w:rPr>
              <w:t>W</w:t>
            </w:r>
            <w:r w:rsidR="001F353F">
              <w:rPr>
                <w:rFonts w:ascii="Arial Narrow" w:hAnsi="Arial Narrow" w:cs="Arial"/>
                <w:sz w:val="24"/>
                <w:szCs w:val="24"/>
              </w:rPr>
              <w:t xml:space="preserve"> Pfeiffer</w:t>
            </w:r>
          </w:p>
          <w:p w:rsidR="001F353F" w:rsidRPr="00C73154" w:rsidRDefault="001F353F" w:rsidP="0050338C">
            <w:pPr>
              <w:spacing w:line="360" w:lineRule="auto"/>
              <w:jc w:val="center"/>
              <w:rPr>
                <w:rFonts w:ascii="Arial Narrow" w:hAnsi="Arial Narrow" w:cs="Arial"/>
                <w:sz w:val="24"/>
                <w:szCs w:val="24"/>
              </w:rPr>
            </w:pPr>
            <w:r>
              <w:rPr>
                <w:rFonts w:ascii="Arial Narrow" w:hAnsi="Arial Narrow" w:cs="Arial"/>
                <w:sz w:val="24"/>
                <w:szCs w:val="24"/>
              </w:rPr>
              <w:t>Behrens &amp; Plaintiff</w:t>
            </w:r>
            <w:r w:rsidR="001643B3">
              <w:rPr>
                <w:rFonts w:ascii="Arial Narrow" w:hAnsi="Arial Narrow" w:cs="Arial"/>
                <w:sz w:val="24"/>
                <w:szCs w:val="24"/>
              </w:rPr>
              <w:t>, Windhoek</w:t>
            </w:r>
          </w:p>
          <w:p w:rsidR="001F353F" w:rsidRPr="00C73154" w:rsidRDefault="001F353F" w:rsidP="0050338C">
            <w:pPr>
              <w:spacing w:line="360" w:lineRule="auto"/>
              <w:jc w:val="center"/>
              <w:rPr>
                <w:rFonts w:ascii="Arial Narrow" w:hAnsi="Arial Narrow" w:cs="Arial"/>
                <w:sz w:val="24"/>
                <w:szCs w:val="24"/>
              </w:rPr>
            </w:pPr>
          </w:p>
        </w:tc>
        <w:tc>
          <w:tcPr>
            <w:tcW w:w="4950" w:type="dxa"/>
            <w:gridSpan w:val="2"/>
          </w:tcPr>
          <w:p w:rsidR="001F353F" w:rsidRDefault="001643B3" w:rsidP="0050338C">
            <w:pPr>
              <w:spacing w:line="360" w:lineRule="auto"/>
              <w:jc w:val="center"/>
              <w:rPr>
                <w:rFonts w:ascii="Arial Narrow" w:hAnsi="Arial Narrow" w:cs="Arial"/>
                <w:sz w:val="24"/>
                <w:szCs w:val="24"/>
              </w:rPr>
            </w:pPr>
            <w:r>
              <w:rPr>
                <w:rFonts w:ascii="Arial Narrow" w:hAnsi="Arial Narrow" w:cs="Arial"/>
                <w:sz w:val="24"/>
                <w:szCs w:val="24"/>
              </w:rPr>
              <w:t>L</w:t>
            </w:r>
            <w:r w:rsidR="001F353F">
              <w:rPr>
                <w:rFonts w:ascii="Arial Narrow" w:hAnsi="Arial Narrow" w:cs="Arial"/>
                <w:sz w:val="24"/>
                <w:szCs w:val="24"/>
              </w:rPr>
              <w:t xml:space="preserve"> </w:t>
            </w:r>
            <w:proofErr w:type="spellStart"/>
            <w:r w:rsidR="001F353F">
              <w:rPr>
                <w:rFonts w:ascii="Arial Narrow" w:hAnsi="Arial Narrow" w:cs="Arial"/>
                <w:sz w:val="24"/>
                <w:szCs w:val="24"/>
              </w:rPr>
              <w:t>Karsten</w:t>
            </w:r>
            <w:proofErr w:type="spellEnd"/>
          </w:p>
          <w:p w:rsidR="001F353F" w:rsidRPr="00C73154" w:rsidRDefault="001F353F" w:rsidP="0050338C">
            <w:pPr>
              <w:spacing w:line="360" w:lineRule="auto"/>
              <w:jc w:val="center"/>
              <w:rPr>
                <w:rFonts w:ascii="Arial Narrow" w:hAnsi="Arial Narrow" w:cs="Arial"/>
                <w:sz w:val="24"/>
                <w:szCs w:val="24"/>
              </w:rPr>
            </w:pPr>
            <w:r w:rsidRPr="00C73154">
              <w:rPr>
                <w:rFonts w:ascii="Arial Narrow" w:hAnsi="Arial Narrow" w:cs="Arial"/>
                <w:sz w:val="24"/>
                <w:szCs w:val="24"/>
              </w:rPr>
              <w:t xml:space="preserve">Louis </w:t>
            </w:r>
            <w:proofErr w:type="spellStart"/>
            <w:r w:rsidRPr="00C73154">
              <w:rPr>
                <w:rFonts w:ascii="Arial Narrow" w:hAnsi="Arial Narrow" w:cs="Arial"/>
                <w:sz w:val="24"/>
                <w:szCs w:val="24"/>
              </w:rPr>
              <w:t>Karsten</w:t>
            </w:r>
            <w:proofErr w:type="spellEnd"/>
            <w:r w:rsidRPr="00C73154">
              <w:rPr>
                <w:rFonts w:ascii="Arial Narrow" w:hAnsi="Arial Narrow" w:cs="Arial"/>
                <w:sz w:val="24"/>
                <w:szCs w:val="24"/>
              </w:rPr>
              <w:t xml:space="preserve"> Legal Practitioners</w:t>
            </w:r>
            <w:r w:rsidR="001643B3">
              <w:rPr>
                <w:rFonts w:ascii="Arial Narrow" w:hAnsi="Arial Narrow" w:cs="Arial"/>
                <w:sz w:val="24"/>
                <w:szCs w:val="24"/>
              </w:rPr>
              <w:t>, Windhoek</w:t>
            </w:r>
          </w:p>
        </w:tc>
      </w:tr>
      <w:tr w:rsidR="001F353F" w:rsidRPr="00C73154" w:rsidTr="00FD38C2">
        <w:tc>
          <w:tcPr>
            <w:tcW w:w="4770" w:type="dxa"/>
            <w:vMerge/>
          </w:tcPr>
          <w:p w:rsidR="001F353F" w:rsidRDefault="001F353F" w:rsidP="0050338C">
            <w:pPr>
              <w:spacing w:line="360" w:lineRule="auto"/>
              <w:jc w:val="center"/>
              <w:rPr>
                <w:rFonts w:ascii="Arial Narrow" w:hAnsi="Arial Narrow" w:cs="Arial"/>
                <w:sz w:val="24"/>
                <w:szCs w:val="24"/>
              </w:rPr>
            </w:pPr>
          </w:p>
        </w:tc>
        <w:tc>
          <w:tcPr>
            <w:tcW w:w="4950" w:type="dxa"/>
            <w:gridSpan w:val="2"/>
          </w:tcPr>
          <w:p w:rsidR="001F353F" w:rsidRDefault="001F353F" w:rsidP="0050338C">
            <w:pPr>
              <w:spacing w:line="360" w:lineRule="auto"/>
              <w:jc w:val="center"/>
              <w:rPr>
                <w:rFonts w:ascii="Arial Narrow" w:hAnsi="Arial Narrow" w:cs="Arial"/>
                <w:sz w:val="24"/>
                <w:szCs w:val="24"/>
              </w:rPr>
            </w:pPr>
          </w:p>
          <w:p w:rsidR="001F353F" w:rsidRDefault="001643B3" w:rsidP="0050338C">
            <w:pPr>
              <w:spacing w:line="360" w:lineRule="auto"/>
              <w:jc w:val="center"/>
              <w:rPr>
                <w:rFonts w:ascii="Arial Narrow" w:hAnsi="Arial Narrow" w:cs="Arial"/>
                <w:sz w:val="24"/>
                <w:szCs w:val="24"/>
              </w:rPr>
            </w:pPr>
            <w:r>
              <w:rPr>
                <w:rFonts w:ascii="Arial Narrow" w:hAnsi="Arial Narrow" w:cs="Arial"/>
                <w:sz w:val="24"/>
                <w:szCs w:val="24"/>
              </w:rPr>
              <w:t>M</w:t>
            </w:r>
            <w:r w:rsidR="001F353F">
              <w:rPr>
                <w:rFonts w:ascii="Arial Narrow" w:hAnsi="Arial Narrow" w:cs="Arial"/>
                <w:sz w:val="24"/>
                <w:szCs w:val="24"/>
              </w:rPr>
              <w:t xml:space="preserve"> Meyer</w:t>
            </w:r>
          </w:p>
          <w:p w:rsidR="001F353F" w:rsidRDefault="001F353F" w:rsidP="0050338C">
            <w:pPr>
              <w:spacing w:line="360" w:lineRule="auto"/>
              <w:jc w:val="center"/>
              <w:rPr>
                <w:rFonts w:ascii="Arial Narrow" w:hAnsi="Arial Narrow" w:cs="Arial"/>
                <w:sz w:val="24"/>
                <w:szCs w:val="24"/>
              </w:rPr>
            </w:pPr>
            <w:r>
              <w:rPr>
                <w:rFonts w:ascii="Arial Narrow" w:hAnsi="Arial Narrow" w:cs="Arial"/>
                <w:sz w:val="24"/>
                <w:szCs w:val="24"/>
              </w:rPr>
              <w:t>Office of the Government Attorney</w:t>
            </w:r>
            <w:r w:rsidR="001643B3">
              <w:rPr>
                <w:rFonts w:ascii="Arial Narrow" w:hAnsi="Arial Narrow" w:cs="Arial"/>
                <w:sz w:val="24"/>
                <w:szCs w:val="24"/>
              </w:rPr>
              <w:t>, Windhoek</w:t>
            </w:r>
          </w:p>
        </w:tc>
      </w:tr>
      <w:tr w:rsidR="001F353F" w:rsidRPr="00C73154" w:rsidTr="00FD38C2">
        <w:tc>
          <w:tcPr>
            <w:tcW w:w="4770" w:type="dxa"/>
            <w:vMerge/>
          </w:tcPr>
          <w:p w:rsidR="001F353F" w:rsidRDefault="001F353F" w:rsidP="0050338C">
            <w:pPr>
              <w:spacing w:line="360" w:lineRule="auto"/>
              <w:jc w:val="center"/>
              <w:rPr>
                <w:rFonts w:ascii="Arial Narrow" w:hAnsi="Arial Narrow" w:cs="Arial"/>
                <w:sz w:val="24"/>
                <w:szCs w:val="24"/>
              </w:rPr>
            </w:pPr>
          </w:p>
        </w:tc>
        <w:tc>
          <w:tcPr>
            <w:tcW w:w="4950" w:type="dxa"/>
            <w:gridSpan w:val="2"/>
          </w:tcPr>
          <w:p w:rsidR="001F353F" w:rsidRDefault="001F353F" w:rsidP="0050338C">
            <w:pPr>
              <w:spacing w:line="360" w:lineRule="auto"/>
              <w:jc w:val="center"/>
              <w:rPr>
                <w:rFonts w:ascii="Arial Narrow" w:hAnsi="Arial Narrow" w:cs="Arial"/>
                <w:sz w:val="24"/>
                <w:szCs w:val="24"/>
              </w:rPr>
            </w:pPr>
          </w:p>
          <w:p w:rsidR="001F353F" w:rsidRDefault="001F353F" w:rsidP="0050338C">
            <w:pPr>
              <w:spacing w:line="360" w:lineRule="auto"/>
              <w:jc w:val="center"/>
              <w:rPr>
                <w:rFonts w:ascii="Arial Narrow" w:hAnsi="Arial Narrow" w:cs="Arial"/>
                <w:sz w:val="24"/>
                <w:szCs w:val="24"/>
              </w:rPr>
            </w:pPr>
            <w:proofErr w:type="spellStart"/>
            <w:r>
              <w:rPr>
                <w:rFonts w:ascii="Arial Narrow" w:hAnsi="Arial Narrow" w:cs="Arial"/>
                <w:sz w:val="24"/>
                <w:szCs w:val="24"/>
              </w:rPr>
              <w:t>Rossmund</w:t>
            </w:r>
            <w:proofErr w:type="spellEnd"/>
            <w:r>
              <w:rPr>
                <w:rFonts w:ascii="Arial Narrow" w:hAnsi="Arial Narrow" w:cs="Arial"/>
                <w:sz w:val="24"/>
                <w:szCs w:val="24"/>
              </w:rPr>
              <w:t xml:space="preserve"> Golf Course CC</w:t>
            </w:r>
          </w:p>
        </w:tc>
      </w:tr>
    </w:tbl>
    <w:p w:rsidR="009B096F" w:rsidRDefault="009B096F" w:rsidP="00EB27A0">
      <w:pPr>
        <w:spacing w:after="0" w:line="360" w:lineRule="auto"/>
        <w:jc w:val="both"/>
        <w:rPr>
          <w:rFonts w:ascii="Arial Narrow" w:hAnsi="Arial Narrow"/>
          <w:sz w:val="24"/>
          <w:szCs w:val="24"/>
        </w:rPr>
      </w:pPr>
    </w:p>
    <w:sectPr w:rsidR="009B096F" w:rsidSect="0050338C">
      <w:footerReference w:type="default" r:id="rId12"/>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2F" w:rsidRDefault="006B662F" w:rsidP="00A23F8A">
      <w:pPr>
        <w:spacing w:after="0" w:line="240" w:lineRule="auto"/>
      </w:pPr>
      <w:r>
        <w:separator/>
      </w:r>
    </w:p>
  </w:endnote>
  <w:endnote w:type="continuationSeparator" w:id="0">
    <w:p w:rsidR="006B662F" w:rsidRDefault="006B662F" w:rsidP="00A23F8A">
      <w:pPr>
        <w:spacing w:after="0" w:line="240" w:lineRule="auto"/>
      </w:pPr>
      <w:r>
        <w:continuationSeparator/>
      </w:r>
    </w:p>
  </w:endnote>
  <w:endnote w:id="1">
    <w:p w:rsidR="004378C5" w:rsidRPr="001643B3" w:rsidRDefault="004378C5" w:rsidP="001643B3">
      <w:pPr>
        <w:pStyle w:val="EndnoteText"/>
        <w:jc w:val="both"/>
        <w:rPr>
          <w:rFonts w:ascii="Arial" w:hAnsi="Arial" w:cs="Arial"/>
        </w:rPr>
      </w:pPr>
      <w:r w:rsidRPr="001643B3">
        <w:rPr>
          <w:rStyle w:val="EndnoteReference"/>
          <w:rFonts w:ascii="Arial" w:hAnsi="Arial" w:cs="Arial"/>
        </w:rPr>
        <w:endnoteRef/>
      </w:r>
      <w:r w:rsidRPr="001643B3">
        <w:rPr>
          <w:rFonts w:ascii="Arial" w:hAnsi="Arial" w:cs="Arial"/>
        </w:rPr>
        <w:t xml:space="preserve"> </w:t>
      </w:r>
      <w:proofErr w:type="spellStart"/>
      <w:r w:rsidRPr="001643B3">
        <w:rPr>
          <w:rFonts w:ascii="Arial" w:hAnsi="Arial" w:cs="Arial"/>
          <w:i/>
        </w:rPr>
        <w:t>Siyepu</w:t>
      </w:r>
      <w:proofErr w:type="spellEnd"/>
      <w:r w:rsidRPr="001643B3">
        <w:rPr>
          <w:rFonts w:ascii="Arial" w:hAnsi="Arial" w:cs="Arial"/>
          <w:i/>
        </w:rPr>
        <w:t xml:space="preserve"> and </w:t>
      </w:r>
      <w:proofErr w:type="gramStart"/>
      <w:r w:rsidRPr="001643B3">
        <w:rPr>
          <w:rFonts w:ascii="Arial" w:hAnsi="Arial" w:cs="Arial"/>
          <w:i/>
        </w:rPr>
        <w:t>Others</w:t>
      </w:r>
      <w:proofErr w:type="gramEnd"/>
      <w:r w:rsidRPr="001643B3">
        <w:rPr>
          <w:rFonts w:ascii="Arial" w:hAnsi="Arial" w:cs="Arial"/>
          <w:i/>
        </w:rPr>
        <w:t xml:space="preserve"> v Premier of the Eastern Cape</w:t>
      </w:r>
      <w:r w:rsidRPr="001643B3">
        <w:rPr>
          <w:rFonts w:ascii="Arial" w:hAnsi="Arial" w:cs="Arial"/>
        </w:rPr>
        <w:t xml:space="preserve"> 2013(2) SA 425 (ECB), para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552FC8">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2F" w:rsidRDefault="006B662F" w:rsidP="00A23F8A">
      <w:pPr>
        <w:spacing w:after="0" w:line="240" w:lineRule="auto"/>
      </w:pPr>
      <w:r>
        <w:separator/>
      </w:r>
    </w:p>
  </w:footnote>
  <w:footnote w:type="continuationSeparator" w:id="0">
    <w:p w:rsidR="006B662F" w:rsidRDefault="006B662F"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C0A07"/>
    <w:rsid w:val="000D5FE9"/>
    <w:rsid w:val="00112D50"/>
    <w:rsid w:val="00113321"/>
    <w:rsid w:val="00124EC8"/>
    <w:rsid w:val="001643B3"/>
    <w:rsid w:val="00165FEE"/>
    <w:rsid w:val="001804AD"/>
    <w:rsid w:val="00180F75"/>
    <w:rsid w:val="001F1ECD"/>
    <w:rsid w:val="001F353F"/>
    <w:rsid w:val="001F4A48"/>
    <w:rsid w:val="002002FA"/>
    <w:rsid w:val="00203E3D"/>
    <w:rsid w:val="00281A10"/>
    <w:rsid w:val="00281FAB"/>
    <w:rsid w:val="002830F4"/>
    <w:rsid w:val="002D4C2A"/>
    <w:rsid w:val="00300CF7"/>
    <w:rsid w:val="0030287B"/>
    <w:rsid w:val="00323762"/>
    <w:rsid w:val="00334EC0"/>
    <w:rsid w:val="00347DBC"/>
    <w:rsid w:val="00371CD0"/>
    <w:rsid w:val="00396AF1"/>
    <w:rsid w:val="003A0103"/>
    <w:rsid w:val="003C4613"/>
    <w:rsid w:val="003E3D0D"/>
    <w:rsid w:val="003E50E8"/>
    <w:rsid w:val="003F52A2"/>
    <w:rsid w:val="00425554"/>
    <w:rsid w:val="00431CC4"/>
    <w:rsid w:val="004378C5"/>
    <w:rsid w:val="004546CC"/>
    <w:rsid w:val="00456199"/>
    <w:rsid w:val="004E7D33"/>
    <w:rsid w:val="0050338C"/>
    <w:rsid w:val="005234EE"/>
    <w:rsid w:val="005403D8"/>
    <w:rsid w:val="00552FC8"/>
    <w:rsid w:val="00560E2E"/>
    <w:rsid w:val="005955B1"/>
    <w:rsid w:val="005D0592"/>
    <w:rsid w:val="005D6172"/>
    <w:rsid w:val="005D7161"/>
    <w:rsid w:val="005E5A8F"/>
    <w:rsid w:val="006039AA"/>
    <w:rsid w:val="00621EE8"/>
    <w:rsid w:val="0062225A"/>
    <w:rsid w:val="006475B1"/>
    <w:rsid w:val="00652595"/>
    <w:rsid w:val="00686B3F"/>
    <w:rsid w:val="006A0DA3"/>
    <w:rsid w:val="006B662F"/>
    <w:rsid w:val="006D22F9"/>
    <w:rsid w:val="006D2D84"/>
    <w:rsid w:val="006D3624"/>
    <w:rsid w:val="006E2964"/>
    <w:rsid w:val="00715AD2"/>
    <w:rsid w:val="0072576E"/>
    <w:rsid w:val="0073012B"/>
    <w:rsid w:val="00777156"/>
    <w:rsid w:val="0078341F"/>
    <w:rsid w:val="0079456D"/>
    <w:rsid w:val="007C2DFE"/>
    <w:rsid w:val="00806B14"/>
    <w:rsid w:val="00823237"/>
    <w:rsid w:val="00851B88"/>
    <w:rsid w:val="00864008"/>
    <w:rsid w:val="00864FC2"/>
    <w:rsid w:val="008930A5"/>
    <w:rsid w:val="008A14A9"/>
    <w:rsid w:val="008C0AC7"/>
    <w:rsid w:val="008D65E9"/>
    <w:rsid w:val="008D79D4"/>
    <w:rsid w:val="00905A48"/>
    <w:rsid w:val="00912D4E"/>
    <w:rsid w:val="00947BEE"/>
    <w:rsid w:val="00952193"/>
    <w:rsid w:val="009B096F"/>
    <w:rsid w:val="009F6C8B"/>
    <w:rsid w:val="00A06FD8"/>
    <w:rsid w:val="00A14435"/>
    <w:rsid w:val="00A23F8A"/>
    <w:rsid w:val="00A258AF"/>
    <w:rsid w:val="00A53515"/>
    <w:rsid w:val="00A5758F"/>
    <w:rsid w:val="00A635A8"/>
    <w:rsid w:val="00A772D3"/>
    <w:rsid w:val="00A81203"/>
    <w:rsid w:val="00A81926"/>
    <w:rsid w:val="00A82F94"/>
    <w:rsid w:val="00AA3E46"/>
    <w:rsid w:val="00AB5193"/>
    <w:rsid w:val="00AC4198"/>
    <w:rsid w:val="00AD2963"/>
    <w:rsid w:val="00AE06C3"/>
    <w:rsid w:val="00B160EB"/>
    <w:rsid w:val="00B1649C"/>
    <w:rsid w:val="00B30012"/>
    <w:rsid w:val="00B337FC"/>
    <w:rsid w:val="00BA213D"/>
    <w:rsid w:val="00BA3715"/>
    <w:rsid w:val="00BB388A"/>
    <w:rsid w:val="00BC4D4A"/>
    <w:rsid w:val="00BC745A"/>
    <w:rsid w:val="00BE5489"/>
    <w:rsid w:val="00BE7DE8"/>
    <w:rsid w:val="00BF2258"/>
    <w:rsid w:val="00C04EBD"/>
    <w:rsid w:val="00C06B39"/>
    <w:rsid w:val="00C210B9"/>
    <w:rsid w:val="00C249D9"/>
    <w:rsid w:val="00C332BE"/>
    <w:rsid w:val="00C50A1F"/>
    <w:rsid w:val="00C72ABD"/>
    <w:rsid w:val="00C73154"/>
    <w:rsid w:val="00CA4320"/>
    <w:rsid w:val="00CC4E7A"/>
    <w:rsid w:val="00CC5024"/>
    <w:rsid w:val="00D217B7"/>
    <w:rsid w:val="00D22ACF"/>
    <w:rsid w:val="00D40029"/>
    <w:rsid w:val="00D862BF"/>
    <w:rsid w:val="00E3339B"/>
    <w:rsid w:val="00E92692"/>
    <w:rsid w:val="00EB27A0"/>
    <w:rsid w:val="00EF1EEC"/>
    <w:rsid w:val="00F16C57"/>
    <w:rsid w:val="00F53DDE"/>
    <w:rsid w:val="00F571A4"/>
    <w:rsid w:val="00F66EB8"/>
    <w:rsid w:val="00FB2B08"/>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2018-06-20T18:30:00+00:00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253B966F-C086-4849-8762-4E7C7D400E84}"/>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Rossmund Golf Estate v M Hartmann Investments 82 CC</dc:title>
  <dc:creator>E. Kharases</dc:creator>
  <cp:lastModifiedBy>Nicole Januarie</cp:lastModifiedBy>
  <cp:revision>3</cp:revision>
  <cp:lastPrinted>2018-06-26T08:12:00Z</cp:lastPrinted>
  <dcterms:created xsi:type="dcterms:W3CDTF">2018-06-26T13:39:00Z</dcterms:created>
  <dcterms:modified xsi:type="dcterms:W3CDTF">2018-06-26T13:39:00Z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