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1E54EA">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B87F91" w:rsidRDefault="00B87F91" w:rsidP="00B87F91">
            <w:pPr>
              <w:pStyle w:val="form-control-static"/>
              <w:shd w:val="clear" w:color="auto" w:fill="FFFFFF"/>
              <w:spacing w:before="0" w:beforeAutospacing="0" w:after="0" w:afterAutospacing="0"/>
              <w:rPr>
                <w:rFonts w:ascii="Arial Narrow" w:hAnsi="Arial Narrow" w:cs="Arial"/>
                <w:i/>
              </w:rPr>
            </w:pPr>
            <w:r w:rsidRPr="00B87F91">
              <w:rPr>
                <w:rFonts w:ascii="Arial Narrow" w:hAnsi="Arial Narrow" w:cs="Arial"/>
                <w:i/>
              </w:rPr>
              <w:t>P</w:t>
            </w:r>
            <w:r w:rsidR="007A2991" w:rsidRPr="00B87F91">
              <w:rPr>
                <w:rFonts w:ascii="Arial Narrow" w:hAnsi="Arial Narrow" w:cs="Arial"/>
                <w:i/>
              </w:rPr>
              <w:t xml:space="preserve">retorius </w:t>
            </w:r>
            <w:r w:rsidRPr="00B87F91">
              <w:rPr>
                <w:rFonts w:ascii="Arial Narrow" w:hAnsi="Arial Narrow" w:cs="Arial"/>
                <w:i/>
              </w:rPr>
              <w:t>v van Eck</w:t>
            </w: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Default="005247E2" w:rsidP="00B25D07">
            <w:pPr>
              <w:spacing w:line="360" w:lineRule="auto"/>
              <w:jc w:val="both"/>
              <w:rPr>
                <w:rFonts w:ascii="Arial Narrow" w:hAnsi="Arial Narrow" w:cs="Arial"/>
                <w:sz w:val="24"/>
                <w:szCs w:val="24"/>
              </w:rPr>
            </w:pPr>
            <w:r>
              <w:rPr>
                <w:rFonts w:ascii="Arial Narrow" w:hAnsi="Arial Narrow" w:cs="Arial"/>
                <w:sz w:val="24"/>
                <w:szCs w:val="24"/>
              </w:rPr>
              <w:t>I 45/2016</w:t>
            </w:r>
          </w:p>
          <w:p w:rsidR="00676F46" w:rsidRPr="00676F46" w:rsidRDefault="00C03667" w:rsidP="005247E2">
            <w:pPr>
              <w:spacing w:line="360" w:lineRule="auto"/>
              <w:jc w:val="both"/>
              <w:rPr>
                <w:rFonts w:ascii="Arial Narrow" w:hAnsi="Arial Narrow" w:cs="Arial"/>
                <w:sz w:val="24"/>
                <w:szCs w:val="24"/>
              </w:rPr>
            </w:pPr>
            <w:r>
              <w:rPr>
                <w:rFonts w:ascii="Arial Narrow" w:hAnsi="Arial Narrow" w:cs="Arial"/>
                <w:sz w:val="24"/>
                <w:szCs w:val="24"/>
              </w:rPr>
              <w:t>HC-MD-CIV-ACT-CON-2016/02538</w:t>
            </w:r>
          </w:p>
        </w:tc>
      </w:tr>
      <w:tr w:rsidR="00C73154" w:rsidRPr="00C73154" w:rsidTr="001E54EA">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sz w:val="24"/>
                <w:szCs w:val="24"/>
              </w:rPr>
              <w:t>High Court</w:t>
            </w:r>
          </w:p>
        </w:tc>
      </w:tr>
      <w:tr w:rsidR="005403D8" w:rsidRPr="00C73154" w:rsidTr="001E54EA">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6A0DA3">
            <w:pPr>
              <w:spacing w:line="360" w:lineRule="auto"/>
              <w:jc w:val="both"/>
              <w:rPr>
                <w:rFonts w:ascii="Arial Narrow" w:hAnsi="Arial Narrow" w:cs="Arial"/>
                <w:sz w:val="24"/>
                <w:szCs w:val="24"/>
              </w:rPr>
            </w:pPr>
            <w:r w:rsidRPr="00C73154">
              <w:rPr>
                <w:rFonts w:ascii="Arial Narrow" w:hAnsi="Arial Narrow" w:cs="Arial"/>
                <w:sz w:val="24"/>
                <w:szCs w:val="24"/>
              </w:rPr>
              <w:t xml:space="preserve">Honourable </w:t>
            </w:r>
            <w:r w:rsidR="006A0DA3">
              <w:rPr>
                <w:rFonts w:ascii="Arial Narrow" w:hAnsi="Arial Narrow" w:cs="Arial"/>
                <w:sz w:val="24"/>
                <w:szCs w:val="24"/>
              </w:rPr>
              <w:t>Justice</w:t>
            </w:r>
            <w:r w:rsidRPr="00C73154">
              <w:rPr>
                <w:rFonts w:ascii="Arial Narrow" w:hAnsi="Arial Narrow" w:cs="Arial"/>
                <w:sz w:val="24"/>
                <w:szCs w:val="24"/>
              </w:rPr>
              <w:t xml:space="preserve"> </w:t>
            </w:r>
            <w:r w:rsidR="00D217B7">
              <w:rPr>
                <w:rFonts w:ascii="Arial Narrow" w:hAnsi="Arial Narrow" w:cs="Arial"/>
                <w:sz w:val="24"/>
                <w:szCs w:val="24"/>
              </w:rPr>
              <w:t xml:space="preserve">Herman </w:t>
            </w:r>
            <w:proofErr w:type="spellStart"/>
            <w:r w:rsidR="00D217B7">
              <w:rPr>
                <w:rFonts w:ascii="Arial Narrow" w:hAnsi="Arial Narrow" w:cs="Arial"/>
                <w:sz w:val="24"/>
                <w:szCs w:val="24"/>
              </w:rPr>
              <w:t>Oosthuizen</w:t>
            </w:r>
            <w:proofErr w:type="spellEnd"/>
          </w:p>
        </w:tc>
        <w:tc>
          <w:tcPr>
            <w:tcW w:w="4323" w:type="dxa"/>
          </w:tcPr>
          <w:p w:rsidR="00DD21FA" w:rsidRDefault="005403D8" w:rsidP="00DD21FA">
            <w:pPr>
              <w:spacing w:line="360" w:lineRule="auto"/>
              <w:jc w:val="both"/>
              <w:rPr>
                <w:rFonts w:ascii="Arial Narrow" w:hAnsi="Arial Narrow"/>
                <w:b/>
                <w:sz w:val="24"/>
                <w:szCs w:val="24"/>
              </w:rPr>
            </w:pPr>
            <w:r w:rsidRPr="00C73154">
              <w:rPr>
                <w:rFonts w:ascii="Arial Narrow" w:hAnsi="Arial Narrow"/>
                <w:b/>
                <w:sz w:val="24"/>
                <w:szCs w:val="24"/>
              </w:rPr>
              <w:t>Date of hearing:</w:t>
            </w:r>
          </w:p>
          <w:p w:rsidR="00DD21FA" w:rsidRPr="00D217B7" w:rsidRDefault="006D5D45" w:rsidP="008C0AC7">
            <w:pPr>
              <w:spacing w:line="360" w:lineRule="auto"/>
              <w:rPr>
                <w:rFonts w:ascii="Arial Narrow" w:hAnsi="Arial Narrow"/>
                <w:sz w:val="24"/>
                <w:szCs w:val="24"/>
              </w:rPr>
            </w:pPr>
            <w:r>
              <w:rPr>
                <w:rFonts w:ascii="Arial Narrow" w:hAnsi="Arial Narrow"/>
                <w:sz w:val="24"/>
                <w:szCs w:val="24"/>
              </w:rPr>
              <w:t>10 July 2018</w:t>
            </w:r>
          </w:p>
        </w:tc>
      </w:tr>
      <w:tr w:rsidR="005403D8" w:rsidRPr="00C73154" w:rsidTr="001E54EA">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210B9" w:rsidRDefault="005247E2" w:rsidP="00186226">
            <w:pPr>
              <w:spacing w:line="360" w:lineRule="auto"/>
              <w:jc w:val="both"/>
              <w:rPr>
                <w:rFonts w:ascii="Arial Narrow" w:hAnsi="Arial Narrow"/>
                <w:sz w:val="24"/>
                <w:szCs w:val="24"/>
              </w:rPr>
            </w:pPr>
            <w:r>
              <w:rPr>
                <w:rFonts w:ascii="Arial Narrow" w:hAnsi="Arial Narrow"/>
                <w:sz w:val="24"/>
                <w:szCs w:val="24"/>
              </w:rPr>
              <w:t>1</w:t>
            </w:r>
            <w:r w:rsidR="00186226">
              <w:rPr>
                <w:rFonts w:ascii="Arial Narrow" w:hAnsi="Arial Narrow"/>
                <w:sz w:val="24"/>
                <w:szCs w:val="24"/>
              </w:rPr>
              <w:t>2</w:t>
            </w:r>
            <w:r w:rsidR="00D217B7" w:rsidRPr="00C210B9">
              <w:rPr>
                <w:rFonts w:ascii="Arial Narrow" w:hAnsi="Arial Narrow"/>
                <w:sz w:val="24"/>
                <w:szCs w:val="24"/>
              </w:rPr>
              <w:t xml:space="preserve"> Ju</w:t>
            </w:r>
            <w:r w:rsidR="00186226">
              <w:rPr>
                <w:rFonts w:ascii="Arial Narrow" w:hAnsi="Arial Narrow"/>
                <w:sz w:val="24"/>
                <w:szCs w:val="24"/>
              </w:rPr>
              <w:t>ly</w:t>
            </w:r>
            <w:r w:rsidR="00D217B7" w:rsidRPr="00C210B9">
              <w:rPr>
                <w:rFonts w:ascii="Arial Narrow" w:hAnsi="Arial Narrow"/>
                <w:sz w:val="24"/>
                <w:szCs w:val="24"/>
              </w:rPr>
              <w:t xml:space="preserve"> 2018</w:t>
            </w:r>
          </w:p>
        </w:tc>
      </w:tr>
      <w:tr w:rsidR="005955B1" w:rsidRPr="00C73154" w:rsidTr="001E54EA">
        <w:tc>
          <w:tcPr>
            <w:tcW w:w="9720" w:type="dxa"/>
            <w:gridSpan w:val="3"/>
          </w:tcPr>
          <w:p w:rsidR="00D217B7" w:rsidRPr="007A2991" w:rsidRDefault="005955B1" w:rsidP="007A2991">
            <w:pPr>
              <w:pStyle w:val="form-control-static"/>
              <w:shd w:val="clear" w:color="auto" w:fill="FFFFFF"/>
              <w:spacing w:before="0" w:beforeAutospacing="0" w:after="0" w:afterAutospacing="0"/>
              <w:rPr>
                <w:rFonts w:ascii="Arial Narrow" w:hAnsi="Arial Narrow" w:cs="Arial"/>
                <w:color w:val="333333"/>
              </w:rPr>
            </w:pPr>
            <w:r w:rsidRPr="005955B1">
              <w:rPr>
                <w:rFonts w:ascii="Arial Narrow" w:hAnsi="Arial Narrow" w:cs="Arial"/>
                <w:b/>
              </w:rPr>
              <w:t>Neutral citation:</w:t>
            </w:r>
            <w:r w:rsidR="00677240">
              <w:rPr>
                <w:rFonts w:ascii="Arial Narrow" w:hAnsi="Arial Narrow" w:cs="Arial"/>
                <w:b/>
              </w:rPr>
              <w:t xml:space="preserve"> </w:t>
            </w:r>
            <w:r>
              <w:rPr>
                <w:rFonts w:ascii="Arial Narrow" w:hAnsi="Arial Narrow" w:cs="Arial"/>
                <w:b/>
              </w:rPr>
              <w:t xml:space="preserve"> </w:t>
            </w:r>
            <w:r w:rsidR="005247E2">
              <w:rPr>
                <w:rFonts w:ascii="Arial Narrow" w:hAnsi="Arial Narrow" w:cs="Arial"/>
                <w:i/>
                <w:color w:val="333333"/>
              </w:rPr>
              <w:t>Pretorius</w:t>
            </w:r>
            <w:r w:rsidR="00677240">
              <w:rPr>
                <w:rFonts w:ascii="Arial Narrow" w:hAnsi="Arial Narrow" w:cs="Arial"/>
                <w:i/>
                <w:color w:val="333333"/>
                <w:shd w:val="clear" w:color="auto" w:fill="FFFFFF"/>
              </w:rPr>
              <w:t xml:space="preserve"> </w:t>
            </w:r>
            <w:r w:rsidR="00B25D07">
              <w:rPr>
                <w:rFonts w:ascii="Arial Narrow" w:hAnsi="Arial Narrow" w:cs="Arial"/>
                <w:i/>
                <w:color w:val="333333"/>
                <w:shd w:val="clear" w:color="auto" w:fill="FFFFFF"/>
              </w:rPr>
              <w:t>v</w:t>
            </w:r>
            <w:r w:rsidR="00677240">
              <w:rPr>
                <w:rFonts w:ascii="Arial Narrow" w:hAnsi="Arial Narrow" w:cs="Arial"/>
                <w:i/>
                <w:color w:val="333333"/>
                <w:shd w:val="clear" w:color="auto" w:fill="FFFFFF"/>
              </w:rPr>
              <w:t xml:space="preserve"> </w:t>
            </w:r>
            <w:r w:rsidR="005247E2">
              <w:rPr>
                <w:rFonts w:ascii="Arial Narrow" w:hAnsi="Arial Narrow" w:cs="Arial"/>
                <w:i/>
                <w:color w:val="333333"/>
              </w:rPr>
              <w:t>van Eck</w:t>
            </w:r>
            <w:r w:rsidR="00677240" w:rsidRPr="00D23152">
              <w:rPr>
                <w:rFonts w:ascii="Arial Narrow" w:hAnsi="Arial Narrow" w:cs="Arial"/>
                <w:i/>
                <w:color w:val="333333"/>
              </w:rPr>
              <w:t xml:space="preserve"> </w:t>
            </w:r>
            <w:r w:rsidR="005247E2">
              <w:rPr>
                <w:rFonts w:ascii="Arial Narrow" w:hAnsi="Arial Narrow" w:cs="Arial"/>
              </w:rPr>
              <w:t>(I 45/2016)</w:t>
            </w:r>
            <w:r w:rsidR="00C03667">
              <w:rPr>
                <w:rFonts w:ascii="Arial Narrow" w:hAnsi="Arial Narrow" w:cs="Arial"/>
              </w:rPr>
              <w:t xml:space="preserve"> </w:t>
            </w:r>
            <w:r w:rsidR="00D217B7" w:rsidRPr="00B25D07">
              <w:rPr>
                <w:rFonts w:ascii="Arial Narrow" w:hAnsi="Arial Narrow" w:cs="Arial"/>
              </w:rPr>
              <w:t xml:space="preserve">[2018] NAMCMD </w:t>
            </w:r>
            <w:r w:rsidR="00C03667">
              <w:rPr>
                <w:rFonts w:ascii="Arial Narrow" w:hAnsi="Arial Narrow" w:cs="Arial"/>
              </w:rPr>
              <w:t xml:space="preserve">209 </w:t>
            </w:r>
            <w:r w:rsidR="00B25D07">
              <w:rPr>
                <w:rFonts w:ascii="Arial Narrow" w:hAnsi="Arial Narrow" w:cs="Arial"/>
              </w:rPr>
              <w:t>(</w:t>
            </w:r>
            <w:r w:rsidR="005247E2">
              <w:rPr>
                <w:rFonts w:ascii="Arial Narrow" w:hAnsi="Arial Narrow" w:cs="Arial"/>
              </w:rPr>
              <w:t>1</w:t>
            </w:r>
            <w:r w:rsidR="00677240">
              <w:rPr>
                <w:rFonts w:ascii="Arial Narrow" w:hAnsi="Arial Narrow" w:cs="Arial"/>
              </w:rPr>
              <w:t>2</w:t>
            </w:r>
            <w:r w:rsidR="00D217B7" w:rsidRPr="00B25D07">
              <w:rPr>
                <w:rFonts w:ascii="Arial Narrow" w:hAnsi="Arial Narrow" w:cs="Arial"/>
              </w:rPr>
              <w:t xml:space="preserve"> Ju</w:t>
            </w:r>
            <w:r w:rsidR="00677240">
              <w:rPr>
                <w:rFonts w:ascii="Arial Narrow" w:hAnsi="Arial Narrow" w:cs="Arial"/>
              </w:rPr>
              <w:t>ly</w:t>
            </w:r>
            <w:r w:rsidR="00B87F91">
              <w:rPr>
                <w:rFonts w:ascii="Arial Narrow" w:hAnsi="Arial Narrow" w:cs="Arial"/>
              </w:rPr>
              <w:t xml:space="preserve"> 2018)</w:t>
            </w:r>
          </w:p>
          <w:p w:rsidR="005955B1" w:rsidRPr="005955B1" w:rsidRDefault="005955B1" w:rsidP="00D217B7">
            <w:pPr>
              <w:spacing w:line="360" w:lineRule="auto"/>
              <w:jc w:val="both"/>
              <w:rPr>
                <w:rFonts w:ascii="Arial Narrow" w:hAnsi="Arial Narrow" w:cs="Arial"/>
                <w:b/>
                <w:sz w:val="24"/>
                <w:szCs w:val="24"/>
              </w:rPr>
            </w:pPr>
          </w:p>
        </w:tc>
      </w:tr>
      <w:tr w:rsidR="00281FAB" w:rsidRPr="00C73154" w:rsidTr="001E54EA">
        <w:trPr>
          <w:trHeight w:val="947"/>
        </w:trPr>
        <w:tc>
          <w:tcPr>
            <w:tcW w:w="9720" w:type="dxa"/>
            <w:gridSpan w:val="3"/>
          </w:tcPr>
          <w:p w:rsidR="00686B3F" w:rsidRDefault="00281FAB" w:rsidP="006D5D45">
            <w:pPr>
              <w:spacing w:line="360" w:lineRule="auto"/>
              <w:jc w:val="both"/>
              <w:rPr>
                <w:rFonts w:ascii="Arial Narrow" w:hAnsi="Arial Narrow" w:cs="Arial"/>
                <w:sz w:val="24"/>
                <w:szCs w:val="24"/>
              </w:rPr>
            </w:pPr>
            <w:r w:rsidRPr="00C73154">
              <w:rPr>
                <w:rFonts w:ascii="Arial Narrow" w:hAnsi="Arial Narrow" w:cs="Arial"/>
                <w:b/>
                <w:sz w:val="24"/>
                <w:szCs w:val="24"/>
              </w:rPr>
              <w:t xml:space="preserve">Result </w:t>
            </w:r>
            <w:r w:rsidRPr="006D5D45">
              <w:rPr>
                <w:rFonts w:ascii="Arial Narrow" w:hAnsi="Arial Narrow" w:cs="Arial"/>
                <w:b/>
                <w:sz w:val="24"/>
                <w:szCs w:val="24"/>
              </w:rPr>
              <w:t>on</w:t>
            </w:r>
            <w:r w:rsidR="006D5D45" w:rsidRPr="006D5D45">
              <w:rPr>
                <w:rFonts w:ascii="Arial Narrow" w:hAnsi="Arial Narrow" w:cs="Arial"/>
                <w:b/>
                <w:sz w:val="24"/>
                <w:szCs w:val="24"/>
              </w:rPr>
              <w:t xml:space="preserve"> </w:t>
            </w:r>
            <w:r w:rsidR="006D5D45">
              <w:rPr>
                <w:rFonts w:ascii="Arial Narrow" w:hAnsi="Arial Narrow" w:cs="Arial"/>
                <w:b/>
                <w:sz w:val="24"/>
                <w:szCs w:val="24"/>
              </w:rPr>
              <w:t>a</w:t>
            </w:r>
            <w:r w:rsidR="006D5D45" w:rsidRPr="006D5D45">
              <w:rPr>
                <w:rFonts w:ascii="Arial Narrow" w:hAnsi="Arial Narrow" w:cs="Arial"/>
                <w:b/>
                <w:sz w:val="24"/>
                <w:szCs w:val="24"/>
              </w:rPr>
              <w:t>pplication for amendment of pleadings</w:t>
            </w:r>
            <w:r w:rsidR="006D5D45">
              <w:rPr>
                <w:rFonts w:ascii="Arial Narrow" w:hAnsi="Arial Narrow" w:cs="Arial"/>
                <w:sz w:val="24"/>
                <w:szCs w:val="24"/>
              </w:rPr>
              <w:t xml:space="preserve">:  </w:t>
            </w:r>
          </w:p>
          <w:p w:rsidR="006D5D45" w:rsidRPr="006D5D45" w:rsidRDefault="006D5D45" w:rsidP="006D5D45">
            <w:pPr>
              <w:spacing w:line="360" w:lineRule="auto"/>
              <w:jc w:val="both"/>
              <w:rPr>
                <w:rFonts w:ascii="Arial Narrow" w:hAnsi="Arial Narrow" w:cs="Arial"/>
                <w:b/>
                <w:sz w:val="24"/>
                <w:szCs w:val="24"/>
              </w:rPr>
            </w:pPr>
            <w:r>
              <w:rPr>
                <w:rFonts w:ascii="Arial Narrow" w:hAnsi="Arial Narrow" w:cs="Arial"/>
                <w:sz w:val="24"/>
                <w:szCs w:val="24"/>
              </w:rPr>
              <w:t>Unsuccessful.</w:t>
            </w:r>
          </w:p>
        </w:tc>
      </w:tr>
      <w:tr w:rsidR="00281FAB" w:rsidRPr="00C73154" w:rsidTr="001E54EA">
        <w:tc>
          <w:tcPr>
            <w:tcW w:w="9720" w:type="dxa"/>
            <w:gridSpan w:val="3"/>
          </w:tcPr>
          <w:p w:rsidR="00281FAB" w:rsidRPr="00C73154" w:rsidRDefault="00281FAB" w:rsidP="00EB27A0">
            <w:pPr>
              <w:spacing w:line="360" w:lineRule="auto"/>
              <w:jc w:val="both"/>
              <w:rPr>
                <w:rFonts w:ascii="Arial Narrow" w:hAnsi="Arial Narrow" w:cs="Arial"/>
                <w:b/>
                <w:sz w:val="24"/>
                <w:szCs w:val="24"/>
              </w:rPr>
            </w:pPr>
            <w:r w:rsidRPr="00C73154">
              <w:rPr>
                <w:rFonts w:ascii="Arial Narrow" w:hAnsi="Arial Narrow" w:cs="Arial"/>
                <w:b/>
                <w:sz w:val="24"/>
                <w:szCs w:val="24"/>
              </w:rPr>
              <w:t>The order:</w:t>
            </w:r>
          </w:p>
          <w:p w:rsidR="00C73154" w:rsidRDefault="00C73154" w:rsidP="00EB27A0">
            <w:pPr>
              <w:spacing w:line="360" w:lineRule="auto"/>
              <w:jc w:val="both"/>
              <w:rPr>
                <w:rFonts w:ascii="Arial Narrow" w:hAnsi="Arial Narrow" w:cs="Arial"/>
                <w:sz w:val="16"/>
                <w:szCs w:val="16"/>
              </w:rPr>
            </w:pPr>
          </w:p>
          <w:p w:rsidR="004A0400" w:rsidRPr="004A0400" w:rsidRDefault="004A0400" w:rsidP="004A0400">
            <w:pPr>
              <w:tabs>
                <w:tab w:val="right" w:pos="8931"/>
              </w:tabs>
              <w:spacing w:line="360" w:lineRule="auto"/>
              <w:jc w:val="both"/>
              <w:rPr>
                <w:rFonts w:ascii="Arial Narrow" w:hAnsi="Arial Narrow" w:cs="Arial"/>
                <w:sz w:val="24"/>
                <w:szCs w:val="24"/>
              </w:rPr>
            </w:pPr>
            <w:r w:rsidRPr="004A0400">
              <w:rPr>
                <w:rFonts w:ascii="Arial Narrow" w:hAnsi="Arial Narrow" w:cs="Arial"/>
                <w:sz w:val="24"/>
                <w:szCs w:val="24"/>
              </w:rPr>
              <w:t xml:space="preserve">Having heard </w:t>
            </w:r>
            <w:r w:rsidRPr="004A0400">
              <w:rPr>
                <w:rFonts w:ascii="Arial Narrow" w:hAnsi="Arial Narrow" w:cs="Arial"/>
                <w:b/>
                <w:sz w:val="24"/>
                <w:szCs w:val="24"/>
              </w:rPr>
              <w:t xml:space="preserve">Mr </w:t>
            </w:r>
            <w:proofErr w:type="spellStart"/>
            <w:r w:rsidRPr="004A0400">
              <w:rPr>
                <w:rFonts w:ascii="Arial Narrow" w:hAnsi="Arial Narrow" w:cs="Arial"/>
                <w:b/>
                <w:sz w:val="24"/>
                <w:szCs w:val="24"/>
              </w:rPr>
              <w:t>Strydom</w:t>
            </w:r>
            <w:proofErr w:type="spellEnd"/>
            <w:r w:rsidRPr="004A0400">
              <w:rPr>
                <w:rFonts w:ascii="Arial Narrow" w:hAnsi="Arial Narrow" w:cs="Arial"/>
                <w:b/>
                <w:sz w:val="24"/>
                <w:szCs w:val="24"/>
              </w:rPr>
              <w:t xml:space="preserve"> </w:t>
            </w:r>
            <w:r w:rsidRPr="004A0400">
              <w:rPr>
                <w:rFonts w:ascii="Arial Narrow" w:hAnsi="Arial Narrow" w:cs="Arial"/>
                <w:sz w:val="24"/>
                <w:szCs w:val="24"/>
              </w:rPr>
              <w:t xml:space="preserve">assisted by </w:t>
            </w:r>
            <w:r w:rsidRPr="004A0400">
              <w:rPr>
                <w:rFonts w:ascii="Arial Narrow" w:hAnsi="Arial Narrow" w:cs="Arial"/>
                <w:b/>
                <w:sz w:val="24"/>
                <w:szCs w:val="24"/>
              </w:rPr>
              <w:t xml:space="preserve">Ms </w:t>
            </w:r>
            <w:proofErr w:type="spellStart"/>
            <w:r w:rsidRPr="004A0400">
              <w:rPr>
                <w:rFonts w:ascii="Arial Narrow" w:hAnsi="Arial Narrow" w:cs="Arial"/>
                <w:b/>
                <w:sz w:val="24"/>
                <w:szCs w:val="24"/>
              </w:rPr>
              <w:t>Yssel</w:t>
            </w:r>
            <w:proofErr w:type="spellEnd"/>
            <w:r w:rsidRPr="004A0400">
              <w:rPr>
                <w:rFonts w:ascii="Arial Narrow" w:hAnsi="Arial Narrow" w:cs="Arial"/>
                <w:b/>
                <w:sz w:val="24"/>
                <w:szCs w:val="24"/>
              </w:rPr>
              <w:t xml:space="preserve">, </w:t>
            </w:r>
            <w:r w:rsidRPr="004A0400">
              <w:rPr>
                <w:rFonts w:ascii="Arial Narrow" w:hAnsi="Arial Narrow" w:cs="Arial"/>
                <w:sz w:val="24"/>
                <w:szCs w:val="24"/>
              </w:rPr>
              <w:t>counsel for the 1</w:t>
            </w:r>
            <w:r w:rsidRPr="004A0400">
              <w:rPr>
                <w:rFonts w:ascii="Arial Narrow" w:hAnsi="Arial Narrow" w:cs="Arial"/>
                <w:sz w:val="24"/>
                <w:szCs w:val="24"/>
                <w:vertAlign w:val="superscript"/>
              </w:rPr>
              <w:t>st</w:t>
            </w:r>
            <w:r w:rsidRPr="004A0400">
              <w:rPr>
                <w:rFonts w:ascii="Arial Narrow" w:hAnsi="Arial Narrow" w:cs="Arial"/>
                <w:sz w:val="24"/>
                <w:szCs w:val="24"/>
              </w:rPr>
              <w:t xml:space="preserve"> and 2</w:t>
            </w:r>
            <w:r w:rsidRPr="004A0400">
              <w:rPr>
                <w:rFonts w:ascii="Arial Narrow" w:hAnsi="Arial Narrow" w:cs="Arial"/>
                <w:sz w:val="24"/>
                <w:szCs w:val="24"/>
                <w:vertAlign w:val="superscript"/>
              </w:rPr>
              <w:t>nd</w:t>
            </w:r>
            <w:r w:rsidRPr="004A0400">
              <w:rPr>
                <w:rFonts w:ascii="Arial Narrow" w:hAnsi="Arial Narrow" w:cs="Arial"/>
                <w:sz w:val="24"/>
                <w:szCs w:val="24"/>
              </w:rPr>
              <w:t xml:space="preserve"> defendants, </w:t>
            </w:r>
            <w:r w:rsidRPr="004A0400">
              <w:rPr>
                <w:rFonts w:ascii="Arial Narrow" w:hAnsi="Arial Narrow" w:cs="Arial"/>
                <w:b/>
                <w:sz w:val="24"/>
                <w:szCs w:val="24"/>
              </w:rPr>
              <w:t>Mr Heathcote</w:t>
            </w:r>
            <w:r w:rsidRPr="004A0400">
              <w:rPr>
                <w:rFonts w:ascii="Arial Narrow" w:hAnsi="Arial Narrow" w:cs="Arial"/>
                <w:sz w:val="24"/>
                <w:szCs w:val="24"/>
              </w:rPr>
              <w:t xml:space="preserve"> assisted by </w:t>
            </w:r>
            <w:r w:rsidRPr="004A0400">
              <w:rPr>
                <w:rFonts w:ascii="Arial Narrow" w:hAnsi="Arial Narrow" w:cs="Arial"/>
                <w:b/>
                <w:sz w:val="24"/>
                <w:szCs w:val="24"/>
              </w:rPr>
              <w:t>Ms Campbell,</w:t>
            </w:r>
            <w:r w:rsidRPr="004A0400">
              <w:rPr>
                <w:rFonts w:ascii="Arial Narrow" w:hAnsi="Arial Narrow" w:cs="Arial"/>
                <w:sz w:val="24"/>
                <w:szCs w:val="24"/>
              </w:rPr>
              <w:t xml:space="preserve"> counsel for 4</w:t>
            </w:r>
            <w:r w:rsidRPr="004A0400">
              <w:rPr>
                <w:rFonts w:ascii="Arial Narrow" w:hAnsi="Arial Narrow" w:cs="Arial"/>
                <w:sz w:val="24"/>
                <w:szCs w:val="24"/>
                <w:vertAlign w:val="superscript"/>
              </w:rPr>
              <w:t>th</w:t>
            </w:r>
            <w:r w:rsidRPr="004A0400">
              <w:rPr>
                <w:rFonts w:ascii="Arial Narrow" w:hAnsi="Arial Narrow" w:cs="Arial"/>
                <w:sz w:val="24"/>
                <w:szCs w:val="24"/>
              </w:rPr>
              <w:t xml:space="preserve"> and 5</w:t>
            </w:r>
            <w:r w:rsidRPr="004A0400">
              <w:rPr>
                <w:rFonts w:ascii="Arial Narrow" w:hAnsi="Arial Narrow" w:cs="Arial"/>
                <w:sz w:val="24"/>
                <w:szCs w:val="24"/>
                <w:vertAlign w:val="superscript"/>
              </w:rPr>
              <w:t>th</w:t>
            </w:r>
            <w:r w:rsidRPr="004A0400">
              <w:rPr>
                <w:rFonts w:ascii="Arial Narrow" w:hAnsi="Arial Narrow" w:cs="Arial"/>
                <w:sz w:val="24"/>
                <w:szCs w:val="24"/>
              </w:rPr>
              <w:t xml:space="preserve"> defendants and having read </w:t>
            </w:r>
            <w:r w:rsidR="00B87F91">
              <w:rPr>
                <w:rFonts w:ascii="Arial Narrow" w:hAnsi="Arial Narrow" w:cs="Arial"/>
                <w:sz w:val="24"/>
                <w:szCs w:val="24"/>
              </w:rPr>
              <w:t>the documents filed of record:</w:t>
            </w:r>
          </w:p>
          <w:p w:rsidR="00EB27A0" w:rsidRPr="00C73154" w:rsidRDefault="00EB27A0" w:rsidP="00EB27A0">
            <w:pPr>
              <w:spacing w:line="360" w:lineRule="auto"/>
              <w:jc w:val="both"/>
              <w:rPr>
                <w:rFonts w:ascii="Arial Narrow" w:hAnsi="Arial Narrow" w:cs="Arial"/>
                <w:sz w:val="16"/>
                <w:szCs w:val="16"/>
              </w:rPr>
            </w:pPr>
          </w:p>
          <w:p w:rsidR="00EB27A0" w:rsidRPr="00C73154" w:rsidRDefault="00EB27A0" w:rsidP="00EB27A0">
            <w:pPr>
              <w:spacing w:line="360" w:lineRule="auto"/>
              <w:jc w:val="both"/>
              <w:rPr>
                <w:rFonts w:ascii="Arial Narrow" w:hAnsi="Arial Narrow" w:cs="Arial"/>
                <w:b/>
                <w:sz w:val="24"/>
                <w:szCs w:val="24"/>
              </w:rPr>
            </w:pPr>
            <w:r w:rsidRPr="00C73154">
              <w:rPr>
                <w:rFonts w:ascii="Arial Narrow" w:hAnsi="Arial Narrow" w:cs="Arial"/>
                <w:b/>
                <w:sz w:val="24"/>
                <w:szCs w:val="24"/>
              </w:rPr>
              <w:t>IT IS ORDERED THAT:</w:t>
            </w:r>
          </w:p>
          <w:p w:rsidR="007A4D5B" w:rsidRDefault="004756D8" w:rsidP="007A4D5B">
            <w:pPr>
              <w:spacing w:line="360" w:lineRule="auto"/>
              <w:jc w:val="both"/>
              <w:rPr>
                <w:rFonts w:ascii="Arial Narrow" w:hAnsi="Arial Narrow" w:cs="Arial"/>
                <w:sz w:val="24"/>
                <w:szCs w:val="24"/>
              </w:rPr>
            </w:pPr>
            <w:r>
              <w:rPr>
                <w:rFonts w:ascii="Arial Narrow" w:hAnsi="Arial Narrow" w:cs="Arial"/>
                <w:sz w:val="24"/>
                <w:szCs w:val="24"/>
              </w:rPr>
              <w:t>1.</w:t>
            </w:r>
            <w:r>
              <w:rPr>
                <w:rFonts w:ascii="Arial Narrow" w:hAnsi="Arial Narrow" w:cs="Arial"/>
                <w:sz w:val="24"/>
                <w:szCs w:val="24"/>
              </w:rPr>
              <w:tab/>
            </w:r>
            <w:r w:rsidR="004A0400">
              <w:rPr>
                <w:rFonts w:ascii="Arial Narrow" w:hAnsi="Arial Narrow" w:cs="Arial"/>
                <w:sz w:val="24"/>
                <w:szCs w:val="24"/>
              </w:rPr>
              <w:t>First and second defendant</w:t>
            </w:r>
            <w:r w:rsidR="007A4D5B">
              <w:rPr>
                <w:rFonts w:ascii="Arial Narrow" w:hAnsi="Arial Narrow" w:cs="Arial"/>
                <w:sz w:val="24"/>
                <w:szCs w:val="24"/>
              </w:rPr>
              <w:t>s</w:t>
            </w:r>
            <w:r w:rsidR="004A0400">
              <w:rPr>
                <w:rFonts w:ascii="Arial Narrow" w:hAnsi="Arial Narrow" w:cs="Arial"/>
                <w:sz w:val="24"/>
                <w:szCs w:val="24"/>
              </w:rPr>
              <w:t>'</w:t>
            </w:r>
            <w:r w:rsidR="007A4D5B">
              <w:rPr>
                <w:rFonts w:ascii="Arial Narrow" w:hAnsi="Arial Narrow" w:cs="Arial"/>
                <w:sz w:val="24"/>
                <w:szCs w:val="24"/>
              </w:rPr>
              <w:t xml:space="preserve"> application for amendment is refused.</w:t>
            </w:r>
          </w:p>
          <w:p w:rsidR="007A4D5B" w:rsidRDefault="007A4D5B" w:rsidP="007A4D5B">
            <w:pPr>
              <w:spacing w:line="360" w:lineRule="auto"/>
              <w:jc w:val="both"/>
              <w:rPr>
                <w:rFonts w:ascii="Arial Narrow" w:hAnsi="Arial Narrow" w:cs="Arial"/>
                <w:sz w:val="24"/>
                <w:szCs w:val="24"/>
              </w:rPr>
            </w:pPr>
          </w:p>
          <w:p w:rsidR="007A4D5B" w:rsidRDefault="007A4D5B" w:rsidP="007A4D5B">
            <w:pPr>
              <w:spacing w:line="360" w:lineRule="auto"/>
              <w:jc w:val="both"/>
              <w:rPr>
                <w:rFonts w:ascii="Arial Narrow" w:hAnsi="Arial Narrow" w:cs="Arial"/>
                <w:sz w:val="24"/>
                <w:szCs w:val="24"/>
              </w:rPr>
            </w:pPr>
            <w:r>
              <w:rPr>
                <w:rFonts w:ascii="Arial Narrow" w:hAnsi="Arial Narrow" w:cs="Arial"/>
                <w:sz w:val="24"/>
                <w:szCs w:val="24"/>
              </w:rPr>
              <w:t>2.</w:t>
            </w:r>
            <w:r>
              <w:rPr>
                <w:rFonts w:ascii="Arial Narrow" w:hAnsi="Arial Narrow" w:cs="Arial"/>
                <w:sz w:val="24"/>
                <w:szCs w:val="24"/>
              </w:rPr>
              <w:tab/>
              <w:t xml:space="preserve">Costs </w:t>
            </w:r>
            <w:proofErr w:type="gramStart"/>
            <w:r>
              <w:rPr>
                <w:rFonts w:ascii="Arial Narrow" w:hAnsi="Arial Narrow" w:cs="Arial"/>
                <w:sz w:val="24"/>
                <w:szCs w:val="24"/>
              </w:rPr>
              <w:t>is</w:t>
            </w:r>
            <w:proofErr w:type="gramEnd"/>
            <w:r>
              <w:rPr>
                <w:rFonts w:ascii="Arial Narrow" w:hAnsi="Arial Narrow" w:cs="Arial"/>
                <w:sz w:val="24"/>
                <w:szCs w:val="24"/>
              </w:rPr>
              <w:t xml:space="preserve"> awarded to the fourth and the fifth defendants on a party and party scale, which costs shall not be limited by Rule 32 (11) and to include the costs of one instructing and one instructed counsel.</w:t>
            </w:r>
          </w:p>
          <w:p w:rsidR="007A4D5B" w:rsidRDefault="007A4D5B" w:rsidP="007A4D5B">
            <w:pPr>
              <w:spacing w:line="360" w:lineRule="auto"/>
              <w:jc w:val="both"/>
              <w:rPr>
                <w:rFonts w:ascii="Arial Narrow" w:hAnsi="Arial Narrow" w:cs="Arial"/>
                <w:sz w:val="24"/>
                <w:szCs w:val="24"/>
              </w:rPr>
            </w:pPr>
          </w:p>
          <w:p w:rsidR="007A4D5B" w:rsidRDefault="007A4D5B" w:rsidP="007A4D5B">
            <w:pPr>
              <w:spacing w:line="360" w:lineRule="auto"/>
              <w:jc w:val="both"/>
              <w:rPr>
                <w:rFonts w:ascii="Arial Narrow" w:hAnsi="Arial Narrow" w:cs="Arial"/>
                <w:sz w:val="24"/>
                <w:szCs w:val="24"/>
              </w:rPr>
            </w:pPr>
            <w:r>
              <w:rPr>
                <w:rFonts w:ascii="Arial Narrow" w:hAnsi="Arial Narrow" w:cs="Arial"/>
                <w:sz w:val="24"/>
                <w:szCs w:val="24"/>
              </w:rPr>
              <w:t>3.</w:t>
            </w:r>
            <w:r>
              <w:rPr>
                <w:rFonts w:ascii="Arial Narrow" w:hAnsi="Arial Narrow" w:cs="Arial"/>
                <w:sz w:val="24"/>
                <w:szCs w:val="24"/>
              </w:rPr>
              <w:tab/>
              <w:t xml:space="preserve">The trial shall proceed on the fixed action roll from 16-26 July 2018 on the issues contained in the </w:t>
            </w:r>
            <w:r w:rsidR="004A0400">
              <w:rPr>
                <w:rFonts w:ascii="Arial Narrow" w:hAnsi="Arial Narrow" w:cs="Arial"/>
                <w:sz w:val="24"/>
                <w:szCs w:val="24"/>
              </w:rPr>
              <w:t>Substitute</w:t>
            </w:r>
            <w:r>
              <w:rPr>
                <w:rFonts w:ascii="Arial Narrow" w:hAnsi="Arial Narrow" w:cs="Arial"/>
                <w:sz w:val="24"/>
                <w:szCs w:val="24"/>
              </w:rPr>
              <w:t xml:space="preserve"> Pre-Trial Order of 19 October 2017.</w:t>
            </w:r>
          </w:p>
          <w:p w:rsidR="00686B3F" w:rsidRDefault="005D0E06" w:rsidP="004756D8">
            <w:pPr>
              <w:spacing w:line="360" w:lineRule="auto"/>
              <w:jc w:val="both"/>
              <w:rPr>
                <w:rFonts w:ascii="Arial Narrow" w:hAnsi="Arial Narrow" w:cs="Arial"/>
                <w:sz w:val="24"/>
                <w:szCs w:val="24"/>
              </w:rPr>
            </w:pPr>
            <w:r>
              <w:rPr>
                <w:rFonts w:ascii="Arial Narrow" w:hAnsi="Arial Narrow" w:cs="Arial"/>
                <w:sz w:val="24"/>
                <w:szCs w:val="24"/>
              </w:rPr>
              <w:br/>
            </w:r>
          </w:p>
          <w:p w:rsidR="005D0E06" w:rsidRDefault="005D0E06" w:rsidP="004756D8">
            <w:pPr>
              <w:spacing w:line="360" w:lineRule="auto"/>
              <w:jc w:val="both"/>
              <w:rPr>
                <w:rFonts w:ascii="Arial Narrow" w:hAnsi="Arial Narrow" w:cs="Arial"/>
                <w:sz w:val="24"/>
                <w:szCs w:val="24"/>
              </w:rPr>
            </w:pPr>
          </w:p>
          <w:p w:rsidR="005D0E06" w:rsidRDefault="005D0E06" w:rsidP="004756D8">
            <w:pPr>
              <w:spacing w:line="360" w:lineRule="auto"/>
              <w:jc w:val="both"/>
              <w:rPr>
                <w:rFonts w:ascii="Arial Narrow" w:hAnsi="Arial Narrow" w:cs="Arial"/>
                <w:sz w:val="24"/>
                <w:szCs w:val="24"/>
              </w:rPr>
            </w:pPr>
          </w:p>
          <w:p w:rsidR="00515FBD" w:rsidRDefault="00515FBD" w:rsidP="004756D8">
            <w:pPr>
              <w:spacing w:line="360" w:lineRule="auto"/>
              <w:jc w:val="both"/>
              <w:rPr>
                <w:rFonts w:ascii="Arial Narrow" w:hAnsi="Arial Narrow" w:cs="Arial"/>
                <w:sz w:val="24"/>
                <w:szCs w:val="24"/>
              </w:rPr>
            </w:pPr>
          </w:p>
          <w:p w:rsidR="005D0E06" w:rsidRPr="004756D8" w:rsidRDefault="005D0E06" w:rsidP="004756D8">
            <w:pPr>
              <w:spacing w:line="360" w:lineRule="auto"/>
              <w:jc w:val="both"/>
              <w:rPr>
                <w:rFonts w:ascii="Arial Narrow" w:hAnsi="Arial Narrow" w:cs="Arial"/>
                <w:sz w:val="24"/>
                <w:szCs w:val="24"/>
              </w:rPr>
            </w:pPr>
          </w:p>
        </w:tc>
      </w:tr>
      <w:tr w:rsidR="00281FAB" w:rsidRPr="00C73154" w:rsidTr="001E54EA">
        <w:tc>
          <w:tcPr>
            <w:tcW w:w="9720" w:type="dxa"/>
            <w:gridSpan w:val="3"/>
          </w:tcPr>
          <w:p w:rsidR="00281FAB" w:rsidRPr="00C73154" w:rsidRDefault="00EB27A0" w:rsidP="004A0400">
            <w:pPr>
              <w:spacing w:line="360" w:lineRule="auto"/>
              <w:jc w:val="both"/>
              <w:rPr>
                <w:rFonts w:ascii="Arial Narrow" w:hAnsi="Arial Narrow" w:cs="Arial"/>
                <w:b/>
                <w:sz w:val="24"/>
                <w:szCs w:val="24"/>
              </w:rPr>
            </w:pPr>
            <w:r w:rsidRPr="00C73154">
              <w:rPr>
                <w:rFonts w:ascii="Arial Narrow" w:hAnsi="Arial Narrow" w:cs="Arial"/>
                <w:b/>
                <w:sz w:val="24"/>
                <w:szCs w:val="24"/>
              </w:rPr>
              <w:lastRenderedPageBreak/>
              <w:t>Reasons</w:t>
            </w:r>
            <w:r w:rsidR="00A14435" w:rsidRPr="00C73154">
              <w:rPr>
                <w:rFonts w:ascii="Arial Narrow" w:hAnsi="Arial Narrow" w:cs="Arial"/>
                <w:b/>
                <w:sz w:val="24"/>
                <w:szCs w:val="24"/>
              </w:rPr>
              <w:t>:</w:t>
            </w:r>
          </w:p>
        </w:tc>
      </w:tr>
      <w:tr w:rsidR="00281FAB" w:rsidRPr="00C73154" w:rsidTr="001E54EA">
        <w:tc>
          <w:tcPr>
            <w:tcW w:w="9720" w:type="dxa"/>
            <w:gridSpan w:val="3"/>
          </w:tcPr>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1</w:t>
            </w:r>
            <w:r w:rsidR="00B87F91">
              <w:rPr>
                <w:rFonts w:ascii="Arial Narrow" w:hAnsi="Arial Narrow" w:cs="Arial"/>
                <w:sz w:val="24"/>
                <w:szCs w:val="24"/>
              </w:rPr>
              <w:t>.</w:t>
            </w:r>
            <w:r w:rsidRPr="004378C5">
              <w:rPr>
                <w:rFonts w:ascii="Arial Narrow" w:hAnsi="Arial Narrow" w:cs="Arial"/>
                <w:sz w:val="24"/>
                <w:szCs w:val="24"/>
              </w:rPr>
              <w:tab/>
            </w:r>
            <w:r w:rsidR="005247E2">
              <w:rPr>
                <w:rFonts w:ascii="Arial Narrow" w:hAnsi="Arial Narrow" w:cs="Arial"/>
                <w:sz w:val="24"/>
                <w:szCs w:val="24"/>
              </w:rPr>
              <w:t>First and second defendants seek an amendment to their pleadings to introduce a special plea of prescription at a very late stage and a mere 3 weeks before a complex consolidated case is set to start on trial on the fixed roll, set down for two weeks</w:t>
            </w:r>
            <w:r w:rsidR="003B267A">
              <w:rPr>
                <w:rFonts w:ascii="Arial Narrow" w:hAnsi="Arial Narrow" w:cs="Arial"/>
                <w:sz w:val="24"/>
                <w:szCs w:val="24"/>
              </w:rPr>
              <w:t>.</w:t>
            </w:r>
          </w:p>
          <w:p w:rsidR="006A18F2" w:rsidRPr="004378C5" w:rsidRDefault="006A18F2"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2.</w:t>
            </w:r>
            <w:r w:rsidRPr="004378C5">
              <w:rPr>
                <w:rFonts w:ascii="Arial Narrow" w:hAnsi="Arial Narrow" w:cs="Arial"/>
                <w:sz w:val="24"/>
                <w:szCs w:val="24"/>
              </w:rPr>
              <w:tab/>
            </w:r>
            <w:r w:rsidR="005247E2">
              <w:rPr>
                <w:rFonts w:ascii="Arial Narrow" w:hAnsi="Arial Narrow" w:cs="Arial"/>
                <w:sz w:val="24"/>
                <w:szCs w:val="24"/>
              </w:rPr>
              <w:t xml:space="preserve">The </w:t>
            </w:r>
            <w:r w:rsidR="004A0400">
              <w:rPr>
                <w:rFonts w:ascii="Arial Narrow" w:hAnsi="Arial Narrow" w:cs="Arial"/>
                <w:sz w:val="24"/>
                <w:szCs w:val="24"/>
              </w:rPr>
              <w:t>M</w:t>
            </w:r>
            <w:r w:rsidR="005247E2">
              <w:rPr>
                <w:rFonts w:ascii="Arial Narrow" w:hAnsi="Arial Narrow" w:cs="Arial"/>
                <w:sz w:val="24"/>
                <w:szCs w:val="24"/>
              </w:rPr>
              <w:t>anaging Judge directed truncated periods very different</w:t>
            </w:r>
            <w:r w:rsidR="004A0400">
              <w:rPr>
                <w:rFonts w:ascii="Arial Narrow" w:hAnsi="Arial Narrow" w:cs="Arial"/>
                <w:sz w:val="24"/>
                <w:szCs w:val="24"/>
              </w:rPr>
              <w:t xml:space="preserve"> from</w:t>
            </w:r>
            <w:r w:rsidR="005247E2">
              <w:rPr>
                <w:rFonts w:ascii="Arial Narrow" w:hAnsi="Arial Narrow" w:cs="Arial"/>
                <w:sz w:val="24"/>
                <w:szCs w:val="24"/>
              </w:rPr>
              <w:t xml:space="preserve"> the periods prescribed in Rule</w:t>
            </w:r>
            <w:r w:rsidR="004A0400">
              <w:rPr>
                <w:rFonts w:ascii="Arial Narrow" w:hAnsi="Arial Narrow" w:cs="Arial"/>
                <w:sz w:val="24"/>
                <w:szCs w:val="24"/>
              </w:rPr>
              <w:t xml:space="preserve"> 52 for filing process in order</w:t>
            </w:r>
            <w:r w:rsidR="005247E2">
              <w:rPr>
                <w:rFonts w:ascii="Arial Narrow" w:hAnsi="Arial Narrow" w:cs="Arial"/>
                <w:sz w:val="24"/>
                <w:szCs w:val="24"/>
              </w:rPr>
              <w:t xml:space="preserve"> to secure that the very late amendment sought does not result in the postponement of a fixed trial period already ordered</w:t>
            </w:r>
            <w:r w:rsidR="002545B1">
              <w:rPr>
                <w:rFonts w:ascii="Arial Narrow" w:hAnsi="Arial Narrow" w:cs="Arial"/>
                <w:sz w:val="24"/>
                <w:szCs w:val="24"/>
              </w:rPr>
              <w:t xml:space="preserve"> on 19 October 2017 under a regime</w:t>
            </w:r>
            <w:r w:rsidR="005247E2">
              <w:rPr>
                <w:rFonts w:ascii="Arial Narrow" w:hAnsi="Arial Narrow" w:cs="Arial"/>
                <w:sz w:val="24"/>
                <w:szCs w:val="24"/>
              </w:rPr>
              <w:t xml:space="preserve"> of case management designed for the orderly management of cases until they are trial ready</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3.</w:t>
            </w:r>
            <w:r w:rsidRPr="004378C5">
              <w:rPr>
                <w:rFonts w:ascii="Arial Narrow" w:hAnsi="Arial Narrow" w:cs="Arial"/>
                <w:sz w:val="24"/>
                <w:szCs w:val="24"/>
              </w:rPr>
              <w:tab/>
            </w:r>
            <w:r w:rsidR="005247E2">
              <w:rPr>
                <w:rFonts w:ascii="Arial Narrow" w:hAnsi="Arial Narrow" w:cs="Arial"/>
                <w:sz w:val="24"/>
                <w:szCs w:val="24"/>
              </w:rPr>
              <w:t xml:space="preserve">The </w:t>
            </w:r>
            <w:r w:rsidR="004A0400">
              <w:rPr>
                <w:rFonts w:ascii="Arial Narrow" w:hAnsi="Arial Narrow" w:cs="Arial"/>
                <w:sz w:val="24"/>
                <w:szCs w:val="24"/>
              </w:rPr>
              <w:t>S</w:t>
            </w:r>
            <w:r w:rsidR="002545B1">
              <w:rPr>
                <w:rFonts w:ascii="Arial Narrow" w:hAnsi="Arial Narrow" w:cs="Arial"/>
                <w:sz w:val="24"/>
                <w:szCs w:val="24"/>
              </w:rPr>
              <w:t>ubstituted</w:t>
            </w:r>
            <w:r w:rsidR="005247E2">
              <w:rPr>
                <w:rFonts w:ascii="Arial Narrow" w:hAnsi="Arial Narrow" w:cs="Arial"/>
                <w:sz w:val="24"/>
                <w:szCs w:val="24"/>
              </w:rPr>
              <w:t xml:space="preserve"> Pre-trial order of 19 October 2017 read</w:t>
            </w:r>
            <w:r w:rsidR="002545B1">
              <w:rPr>
                <w:rFonts w:ascii="Arial Narrow" w:hAnsi="Arial Narrow" w:cs="Arial"/>
                <w:sz w:val="24"/>
                <w:szCs w:val="24"/>
              </w:rPr>
              <w:t>s</w:t>
            </w:r>
            <w:r w:rsidR="005247E2">
              <w:rPr>
                <w:rFonts w:ascii="Arial Narrow" w:hAnsi="Arial Narrow" w:cs="Arial"/>
                <w:sz w:val="24"/>
                <w:szCs w:val="24"/>
              </w:rPr>
              <w:t xml:space="preserve"> as follow</w:t>
            </w:r>
            <w:r w:rsidR="004A0400">
              <w:rPr>
                <w:rFonts w:ascii="Arial Narrow" w:hAnsi="Arial Narrow" w:cs="Arial"/>
                <w:sz w:val="24"/>
                <w:szCs w:val="24"/>
              </w:rPr>
              <w:t>s</w:t>
            </w:r>
            <w:r w:rsidR="005247E2">
              <w:rPr>
                <w:rFonts w:ascii="Arial Narrow" w:hAnsi="Arial Narrow" w:cs="Arial"/>
                <w:sz w:val="24"/>
                <w:szCs w:val="24"/>
              </w:rPr>
              <w:t>:</w:t>
            </w:r>
          </w:p>
          <w:p w:rsidR="005247E2" w:rsidRDefault="005247E2" w:rsidP="004378C5">
            <w:pPr>
              <w:spacing w:line="360" w:lineRule="auto"/>
              <w:jc w:val="both"/>
              <w:rPr>
                <w:rFonts w:ascii="Arial Narrow" w:hAnsi="Arial Narrow" w:cs="Arial"/>
                <w:sz w:val="24"/>
                <w:szCs w:val="24"/>
              </w:rPr>
            </w:pPr>
          </w:p>
          <w:p w:rsidR="002A60A4" w:rsidRPr="002A60A4" w:rsidRDefault="00B87F91" w:rsidP="00B87F91">
            <w:pPr>
              <w:spacing w:line="360" w:lineRule="auto"/>
              <w:ind w:left="5" w:right="680"/>
              <w:contextualSpacing/>
              <w:jc w:val="both"/>
              <w:rPr>
                <w:rFonts w:ascii="Arial Narrow" w:eastAsia="Calibri" w:hAnsi="Arial Narrow" w:cs="Arial"/>
                <w:sz w:val="24"/>
                <w:szCs w:val="24"/>
                <w:lang w:val="en-GB"/>
              </w:rPr>
            </w:pPr>
            <w:r>
              <w:rPr>
                <w:rFonts w:ascii="Arial" w:eastAsia="Calibri" w:hAnsi="Arial" w:cs="Arial"/>
                <w:sz w:val="24"/>
                <w:szCs w:val="24"/>
                <w:lang w:val="en-GB"/>
              </w:rPr>
              <w:t xml:space="preserve">           </w:t>
            </w:r>
            <w:r w:rsidR="002A60A4">
              <w:rPr>
                <w:rFonts w:ascii="Arial" w:eastAsia="Calibri" w:hAnsi="Arial" w:cs="Arial"/>
                <w:sz w:val="24"/>
                <w:szCs w:val="24"/>
                <w:lang w:val="en-GB"/>
              </w:rPr>
              <w:t>‟</w:t>
            </w:r>
            <w:r w:rsidR="002A60A4" w:rsidRPr="002A60A4">
              <w:rPr>
                <w:rFonts w:ascii="Arial Narrow" w:eastAsia="Calibri" w:hAnsi="Arial Narrow" w:cs="Arial"/>
                <w:sz w:val="24"/>
                <w:szCs w:val="24"/>
                <w:lang w:val="en-GB"/>
              </w:rPr>
              <w:t>3.1</w:t>
            </w:r>
            <w:r w:rsidR="002A60A4" w:rsidRPr="002A60A4">
              <w:rPr>
                <w:rFonts w:ascii="Arial Narrow" w:eastAsia="Calibri" w:hAnsi="Arial Narrow" w:cs="Arial"/>
                <w:sz w:val="24"/>
                <w:szCs w:val="24"/>
                <w:lang w:val="en-GB"/>
              </w:rPr>
              <w:tab/>
              <w:t>The allocated trial dates on the action floating roll of 5 – 9 March 2018, are hereby vacated.</w:t>
            </w: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3.2</w:t>
            </w:r>
            <w:r w:rsidRPr="002A60A4">
              <w:rPr>
                <w:rFonts w:ascii="Arial Narrow" w:eastAsia="Calibri" w:hAnsi="Arial Narrow" w:cs="Arial"/>
                <w:b/>
                <w:sz w:val="24"/>
                <w:szCs w:val="24"/>
                <w:lang w:val="en-GB"/>
              </w:rPr>
              <w:tab/>
              <w:t>The new trial dates on the fixed action roll will be 16 – 26 July 2018 at 10h00.</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3.3</w:t>
            </w:r>
            <w:r w:rsidRPr="002A60A4">
              <w:rPr>
                <w:rFonts w:ascii="Arial Narrow" w:eastAsia="Calibri" w:hAnsi="Arial Narrow" w:cs="Arial"/>
                <w:sz w:val="24"/>
                <w:szCs w:val="24"/>
                <w:lang w:val="en-GB"/>
              </w:rPr>
              <w:tab/>
              <w:t>The pre-trial order of 18 September 2017 is hereby rescinded.</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3.4</w:t>
            </w:r>
            <w:r w:rsidRPr="002A60A4">
              <w:rPr>
                <w:rFonts w:ascii="Arial Narrow" w:eastAsia="Calibri" w:hAnsi="Arial Narrow" w:cs="Arial"/>
                <w:sz w:val="24"/>
                <w:szCs w:val="24"/>
                <w:lang w:val="en-GB"/>
              </w:rPr>
              <w:tab/>
              <w:t>The matter is referred to trial on the issues contained in paragraphs 1 and 2 in the proposed pre-trial order filed on 15 September 2017.</w:t>
            </w: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3.5</w:t>
            </w:r>
            <w:r w:rsidRPr="002A60A4">
              <w:rPr>
                <w:rFonts w:ascii="Arial Narrow" w:eastAsia="Calibri" w:hAnsi="Arial Narrow" w:cs="Arial"/>
                <w:sz w:val="24"/>
                <w:szCs w:val="24"/>
                <w:lang w:val="en-GB"/>
              </w:rPr>
              <w:tab/>
              <w:t>Paragraph 3 (facts not in dispute) of the proposed pre-trial order is made an order of court.</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3.6</w:t>
            </w:r>
            <w:r w:rsidRPr="002A60A4">
              <w:rPr>
                <w:rFonts w:ascii="Arial Narrow" w:eastAsia="Calibri" w:hAnsi="Arial Narrow" w:cs="Arial"/>
                <w:sz w:val="24"/>
                <w:szCs w:val="24"/>
                <w:lang w:val="en-GB"/>
              </w:rPr>
              <w:tab/>
              <w:t xml:space="preserve">Parties shall file their notices in terms of Rule 36(1) on or before </w:t>
            </w:r>
            <w:r w:rsidRPr="002A60A4">
              <w:rPr>
                <w:rFonts w:ascii="Arial Narrow" w:eastAsia="Calibri" w:hAnsi="Arial Narrow" w:cs="Arial"/>
                <w:sz w:val="24"/>
                <w:szCs w:val="24"/>
                <w:lang w:val="en-GB"/>
              </w:rPr>
              <w:br/>
              <w:t>2 February 2018.</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3.7</w:t>
            </w:r>
            <w:r w:rsidRPr="002A60A4">
              <w:rPr>
                <w:rFonts w:ascii="Arial Narrow" w:eastAsia="Calibri" w:hAnsi="Arial Narrow" w:cs="Arial"/>
                <w:sz w:val="24"/>
                <w:szCs w:val="24"/>
                <w:lang w:val="en-GB"/>
              </w:rPr>
              <w:tab/>
              <w:t xml:space="preserve">Parties shall supply each other with a list containing the names of their witnesses before 28 February 2018 and file their witness statements </w:t>
            </w:r>
            <w:r w:rsidRPr="002A60A4">
              <w:rPr>
                <w:rFonts w:ascii="Arial Narrow" w:eastAsia="Calibri" w:hAnsi="Arial Narrow" w:cs="Arial"/>
                <w:b/>
                <w:sz w:val="24"/>
                <w:szCs w:val="24"/>
                <w:lang w:val="en-GB"/>
              </w:rPr>
              <w:t>and</w:t>
            </w:r>
            <w:r w:rsidRPr="002A60A4">
              <w:rPr>
                <w:rFonts w:ascii="Arial Narrow" w:eastAsia="Calibri" w:hAnsi="Arial Narrow" w:cs="Arial"/>
                <w:sz w:val="24"/>
                <w:szCs w:val="24"/>
                <w:lang w:val="en-GB"/>
              </w:rPr>
              <w:t xml:space="preserve"> expert witness statements on or before 30 March 2018.</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3.8</w:t>
            </w:r>
            <w:r w:rsidRPr="002A60A4">
              <w:rPr>
                <w:rFonts w:ascii="Arial Narrow" w:eastAsia="Calibri" w:hAnsi="Arial Narrow" w:cs="Arial"/>
                <w:sz w:val="24"/>
                <w:szCs w:val="24"/>
                <w:lang w:val="en-GB"/>
              </w:rPr>
              <w:tab/>
              <w:t>Any further or augmented witness statements or expert reports (and statements) are to be filed on or before 20 April 2018</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lastRenderedPageBreak/>
              <w:t>3.9</w:t>
            </w:r>
            <w:r w:rsidRPr="002A60A4">
              <w:rPr>
                <w:rFonts w:ascii="Arial Narrow" w:eastAsia="Calibri" w:hAnsi="Arial Narrow" w:cs="Arial"/>
                <w:sz w:val="24"/>
                <w:szCs w:val="24"/>
                <w:lang w:val="en-GB"/>
              </w:rPr>
              <w:tab/>
              <w:t>Any rule 94 and 95 notices and requests for trial particulars are to be filed and served on the counterparty on or before 11 May 2018.</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3.10</w:t>
            </w:r>
            <w:r w:rsidRPr="002A60A4">
              <w:rPr>
                <w:rFonts w:ascii="Arial Narrow" w:eastAsia="Calibri" w:hAnsi="Arial Narrow" w:cs="Arial"/>
                <w:sz w:val="24"/>
                <w:szCs w:val="24"/>
                <w:lang w:val="en-GB"/>
              </w:rPr>
              <w:tab/>
              <w:t>Replies/answers to the above notices and requests are to be provided on or before 1 June 2018.</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3.11</w:t>
            </w:r>
            <w:r w:rsidRPr="002A60A4">
              <w:rPr>
                <w:rFonts w:ascii="Arial Narrow" w:eastAsia="Calibri" w:hAnsi="Arial Narrow" w:cs="Arial"/>
                <w:sz w:val="24"/>
                <w:szCs w:val="24"/>
                <w:lang w:val="en-GB"/>
              </w:rPr>
              <w:tab/>
              <w:t xml:space="preserve">On Friday 15 June 2018 any party intending to call witnesses by subpoena shall notify the other party of the identity of such witnesses and simultaneously provide the other party with a copy of the duly issued subpoena </w:t>
            </w:r>
            <w:proofErr w:type="spellStart"/>
            <w:r w:rsidRPr="002A60A4">
              <w:rPr>
                <w:rFonts w:ascii="Arial Narrow" w:eastAsia="Calibri" w:hAnsi="Arial Narrow" w:cs="Arial"/>
                <w:sz w:val="24"/>
                <w:szCs w:val="24"/>
                <w:lang w:val="en-GB"/>
              </w:rPr>
              <w:t>duces</w:t>
            </w:r>
            <w:proofErr w:type="spellEnd"/>
            <w:r w:rsidRPr="002A60A4">
              <w:rPr>
                <w:rFonts w:ascii="Arial Narrow" w:eastAsia="Calibri" w:hAnsi="Arial Narrow" w:cs="Arial"/>
                <w:sz w:val="24"/>
                <w:szCs w:val="24"/>
                <w:lang w:val="en-GB"/>
              </w:rPr>
              <w:t xml:space="preserve"> </w:t>
            </w:r>
            <w:proofErr w:type="spellStart"/>
            <w:r w:rsidRPr="002A60A4">
              <w:rPr>
                <w:rFonts w:ascii="Arial Narrow" w:eastAsia="Calibri" w:hAnsi="Arial Narrow" w:cs="Arial"/>
                <w:sz w:val="24"/>
                <w:szCs w:val="24"/>
                <w:lang w:val="en-GB"/>
              </w:rPr>
              <w:t>tecum</w:t>
            </w:r>
            <w:proofErr w:type="spellEnd"/>
            <w:r w:rsidRPr="002A60A4">
              <w:rPr>
                <w:rFonts w:ascii="Arial Narrow" w:eastAsia="Calibri" w:hAnsi="Arial Narrow" w:cs="Arial"/>
                <w:sz w:val="24"/>
                <w:szCs w:val="24"/>
                <w:lang w:val="en-GB"/>
              </w:rPr>
              <w:t xml:space="preserve"> in respect of such witnesses</w:t>
            </w:r>
          </w:p>
          <w:p w:rsidR="002A60A4" w:rsidRPr="002A60A4" w:rsidRDefault="002A60A4" w:rsidP="00B87F91">
            <w:pPr>
              <w:pStyle w:val="ListParagraph"/>
              <w:ind w:left="5" w:right="680"/>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3.12</w:t>
            </w:r>
            <w:r w:rsidRPr="002A60A4">
              <w:rPr>
                <w:rFonts w:ascii="Arial Narrow" w:eastAsia="Calibri" w:hAnsi="Arial Narrow" w:cs="Arial"/>
                <w:sz w:val="24"/>
                <w:szCs w:val="24"/>
                <w:lang w:val="en-GB"/>
              </w:rPr>
              <w:tab/>
              <w:t xml:space="preserve">Dr </w:t>
            </w:r>
            <w:proofErr w:type="spellStart"/>
            <w:r w:rsidRPr="002A60A4">
              <w:rPr>
                <w:rFonts w:ascii="Arial Narrow" w:eastAsia="Calibri" w:hAnsi="Arial Narrow" w:cs="Arial"/>
                <w:sz w:val="24"/>
                <w:szCs w:val="24"/>
                <w:lang w:val="en-GB"/>
              </w:rPr>
              <w:t>Weder</w:t>
            </w:r>
            <w:proofErr w:type="spellEnd"/>
            <w:r w:rsidRPr="002A60A4">
              <w:rPr>
                <w:rFonts w:ascii="Arial Narrow" w:eastAsia="Calibri" w:hAnsi="Arial Narrow" w:cs="Arial"/>
                <w:sz w:val="24"/>
                <w:szCs w:val="24"/>
                <w:lang w:val="en-GB"/>
              </w:rPr>
              <w:t xml:space="preserve">, </w:t>
            </w:r>
            <w:proofErr w:type="spellStart"/>
            <w:r w:rsidRPr="002A60A4">
              <w:rPr>
                <w:rFonts w:ascii="Arial Narrow" w:eastAsia="Calibri" w:hAnsi="Arial Narrow" w:cs="Arial"/>
                <w:sz w:val="24"/>
                <w:szCs w:val="24"/>
                <w:lang w:val="en-GB"/>
              </w:rPr>
              <w:t>Kauta</w:t>
            </w:r>
            <w:proofErr w:type="spellEnd"/>
            <w:r w:rsidRPr="002A60A4">
              <w:rPr>
                <w:rFonts w:ascii="Arial Narrow" w:eastAsia="Calibri" w:hAnsi="Arial Narrow" w:cs="Arial"/>
                <w:sz w:val="24"/>
                <w:szCs w:val="24"/>
                <w:lang w:val="en-GB"/>
              </w:rPr>
              <w:t xml:space="preserve"> &amp; </w:t>
            </w:r>
            <w:proofErr w:type="spellStart"/>
            <w:r w:rsidRPr="002A60A4">
              <w:rPr>
                <w:rFonts w:ascii="Arial Narrow" w:eastAsia="Calibri" w:hAnsi="Arial Narrow" w:cs="Arial"/>
                <w:sz w:val="24"/>
                <w:szCs w:val="24"/>
                <w:lang w:val="en-GB"/>
              </w:rPr>
              <w:t>Hoveka</w:t>
            </w:r>
            <w:proofErr w:type="spellEnd"/>
            <w:r w:rsidRPr="002A60A4">
              <w:rPr>
                <w:rFonts w:ascii="Arial Narrow" w:eastAsia="Calibri" w:hAnsi="Arial Narrow" w:cs="Arial"/>
                <w:sz w:val="24"/>
                <w:szCs w:val="24"/>
                <w:lang w:val="en-GB"/>
              </w:rPr>
              <w:t xml:space="preserve"> and Fisher, Quarmby &amp; Pfeifer shall index and paginate the court files on or before 15 June 2018</w:t>
            </w: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p>
          <w:p w:rsidR="002A60A4" w:rsidRPr="002A60A4" w:rsidRDefault="002A60A4" w:rsidP="00B87F91">
            <w:pPr>
              <w:spacing w:line="360" w:lineRule="auto"/>
              <w:ind w:left="5" w:right="680"/>
              <w:contextualSpacing/>
              <w:jc w:val="both"/>
              <w:rPr>
                <w:rFonts w:ascii="Arial Narrow" w:eastAsia="Calibri" w:hAnsi="Arial Narrow" w:cs="Arial"/>
                <w:sz w:val="24"/>
                <w:szCs w:val="24"/>
                <w:lang w:val="en-GB"/>
              </w:rPr>
            </w:pPr>
            <w:r w:rsidRPr="002A60A4">
              <w:rPr>
                <w:rFonts w:ascii="Arial Narrow" w:eastAsia="Calibri" w:hAnsi="Arial Narrow" w:cs="Arial"/>
                <w:sz w:val="24"/>
                <w:szCs w:val="24"/>
                <w:lang w:val="en-GB"/>
              </w:rPr>
              <w:t>3.13</w:t>
            </w:r>
            <w:r w:rsidRPr="002A60A4">
              <w:rPr>
                <w:rFonts w:ascii="Arial Narrow" w:eastAsia="Calibri" w:hAnsi="Arial Narrow" w:cs="Arial"/>
                <w:sz w:val="24"/>
                <w:szCs w:val="24"/>
                <w:lang w:val="en-GB"/>
              </w:rPr>
              <w:tab/>
              <w:t>The pre-trial status hearing is scheduled for Monday, 18 June 2018 at 14h00.</w:t>
            </w:r>
          </w:p>
          <w:p w:rsidR="002A60A4" w:rsidRPr="002A60A4" w:rsidRDefault="002A60A4" w:rsidP="00B87F91">
            <w:pPr>
              <w:ind w:left="5" w:right="680"/>
              <w:rPr>
                <w:rFonts w:ascii="Arial Narrow" w:eastAsia="Calibri" w:hAnsi="Arial Narrow" w:cs="Arial"/>
                <w:sz w:val="24"/>
                <w:szCs w:val="24"/>
              </w:rPr>
            </w:pPr>
          </w:p>
          <w:p w:rsidR="005247E2" w:rsidRPr="002A60A4" w:rsidRDefault="002A60A4" w:rsidP="00B87F91">
            <w:pPr>
              <w:spacing w:line="360" w:lineRule="auto"/>
              <w:ind w:left="5" w:right="680"/>
              <w:jc w:val="both"/>
              <w:rPr>
                <w:rFonts w:ascii="Arial Narrow" w:hAnsi="Arial Narrow" w:cs="Arial"/>
                <w:sz w:val="24"/>
                <w:szCs w:val="24"/>
              </w:rPr>
            </w:pPr>
            <w:r w:rsidRPr="002A60A4">
              <w:rPr>
                <w:rFonts w:ascii="Arial Narrow" w:eastAsia="Calibri" w:hAnsi="Arial Narrow" w:cs="Arial"/>
                <w:sz w:val="24"/>
                <w:szCs w:val="24"/>
              </w:rPr>
              <w:t>3.14</w:t>
            </w:r>
            <w:r w:rsidRPr="002A60A4">
              <w:rPr>
                <w:rFonts w:ascii="Arial Narrow" w:eastAsia="Calibri" w:hAnsi="Arial Narrow" w:cs="Arial"/>
                <w:sz w:val="24"/>
                <w:szCs w:val="24"/>
              </w:rPr>
              <w:tab/>
              <w:t>In the event of any of the Legal Practitioners withdrawing as representatives of their respective clients, the Notice of Withdrawal shall be served together with this order and the proposed pre-trial order filed on 15 September 2017 on their clients not less than six (6) weeks prior to the trial dates.</w:t>
            </w:r>
            <w:r>
              <w:rPr>
                <w:rFonts w:ascii="Arial Narrow" w:eastAsia="Calibri"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4378C5" w:rsidP="004378C5">
            <w:pPr>
              <w:spacing w:line="360" w:lineRule="auto"/>
              <w:jc w:val="both"/>
              <w:rPr>
                <w:rFonts w:ascii="Arial Narrow" w:hAnsi="Arial Narrow" w:cs="Arial"/>
                <w:sz w:val="24"/>
                <w:szCs w:val="24"/>
              </w:rPr>
            </w:pPr>
            <w:r w:rsidRPr="004378C5">
              <w:rPr>
                <w:rFonts w:ascii="Arial Narrow" w:hAnsi="Arial Narrow" w:cs="Arial"/>
                <w:sz w:val="24"/>
                <w:szCs w:val="24"/>
              </w:rPr>
              <w:t>4.</w:t>
            </w:r>
            <w:r w:rsidRPr="004378C5">
              <w:rPr>
                <w:rFonts w:ascii="Arial Narrow" w:hAnsi="Arial Narrow" w:cs="Arial"/>
                <w:sz w:val="24"/>
                <w:szCs w:val="24"/>
              </w:rPr>
              <w:tab/>
            </w:r>
            <w:r w:rsidR="002A60A4">
              <w:rPr>
                <w:rFonts w:ascii="Arial Narrow" w:hAnsi="Arial Narrow" w:cs="Arial"/>
                <w:sz w:val="24"/>
                <w:szCs w:val="24"/>
              </w:rPr>
              <w:t xml:space="preserve">The </w:t>
            </w:r>
            <w:r w:rsidR="00FE0F1F">
              <w:rPr>
                <w:rFonts w:ascii="Arial Narrow" w:hAnsi="Arial Narrow" w:cs="Arial"/>
                <w:sz w:val="24"/>
                <w:szCs w:val="24"/>
              </w:rPr>
              <w:t>a</w:t>
            </w:r>
            <w:r w:rsidR="002A60A4">
              <w:rPr>
                <w:rFonts w:ascii="Arial Narrow" w:hAnsi="Arial Narrow" w:cs="Arial"/>
                <w:sz w:val="24"/>
                <w:szCs w:val="24"/>
              </w:rPr>
              <w:t>foresaid order was premised on the agreement of the parties as embodied in their joint pre-trial report filed on 15 September 2017</w:t>
            </w:r>
            <w:r w:rsidR="00B45D29">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4378C5" w:rsidRPr="004378C5" w:rsidRDefault="00686347" w:rsidP="004378C5">
            <w:pPr>
              <w:spacing w:line="360" w:lineRule="auto"/>
              <w:jc w:val="both"/>
              <w:rPr>
                <w:rFonts w:ascii="Arial Narrow" w:hAnsi="Arial Narrow" w:cs="Arial"/>
                <w:sz w:val="24"/>
                <w:szCs w:val="24"/>
              </w:rPr>
            </w:pPr>
            <w:r>
              <w:rPr>
                <w:rFonts w:ascii="Arial Narrow" w:hAnsi="Arial Narrow" w:cs="Arial"/>
                <w:sz w:val="24"/>
                <w:szCs w:val="24"/>
              </w:rPr>
              <w:t>5</w:t>
            </w:r>
            <w:r w:rsidR="004378C5" w:rsidRPr="004378C5">
              <w:rPr>
                <w:rFonts w:ascii="Arial Narrow" w:hAnsi="Arial Narrow" w:cs="Arial"/>
                <w:sz w:val="24"/>
                <w:szCs w:val="24"/>
              </w:rPr>
              <w:t>.</w:t>
            </w:r>
            <w:r w:rsidR="00B318D1">
              <w:rPr>
                <w:rFonts w:ascii="Arial Narrow" w:hAnsi="Arial Narrow" w:cs="Arial"/>
                <w:sz w:val="24"/>
                <w:szCs w:val="24"/>
              </w:rPr>
              <w:tab/>
            </w:r>
            <w:r w:rsidR="000C785C">
              <w:rPr>
                <w:rFonts w:ascii="Arial Narrow" w:hAnsi="Arial Narrow" w:cs="Arial"/>
                <w:sz w:val="24"/>
                <w:szCs w:val="24"/>
              </w:rPr>
              <w:t>Deviating from the aforesaid order the first and second defendants filed their witness statements and augmented witness statement late</w:t>
            </w:r>
            <w:r w:rsidR="00B318D1">
              <w:rPr>
                <w:rFonts w:ascii="Arial Narrow" w:hAnsi="Arial Narrow" w:cs="Arial"/>
                <w:sz w:val="24"/>
                <w:szCs w:val="24"/>
              </w:rPr>
              <w:t>.</w:t>
            </w:r>
          </w:p>
          <w:p w:rsidR="004378C5" w:rsidRPr="004378C5" w:rsidRDefault="004378C5" w:rsidP="004378C5">
            <w:pPr>
              <w:spacing w:line="360" w:lineRule="auto"/>
              <w:jc w:val="both"/>
              <w:rPr>
                <w:rFonts w:ascii="Arial Narrow" w:hAnsi="Arial Narrow" w:cs="Arial"/>
                <w:sz w:val="24"/>
                <w:szCs w:val="24"/>
              </w:rPr>
            </w:pPr>
          </w:p>
          <w:p w:rsidR="00B318D1" w:rsidRDefault="00686347" w:rsidP="004378C5">
            <w:pPr>
              <w:spacing w:line="360" w:lineRule="auto"/>
              <w:jc w:val="both"/>
              <w:rPr>
                <w:rFonts w:ascii="Arial Narrow" w:hAnsi="Arial Narrow" w:cs="Arial"/>
                <w:sz w:val="24"/>
                <w:szCs w:val="24"/>
              </w:rPr>
            </w:pPr>
            <w:r>
              <w:rPr>
                <w:rFonts w:ascii="Arial Narrow" w:hAnsi="Arial Narrow" w:cs="Arial"/>
                <w:sz w:val="24"/>
                <w:szCs w:val="24"/>
              </w:rPr>
              <w:t>6</w:t>
            </w:r>
            <w:r w:rsidR="004378C5" w:rsidRPr="004378C5">
              <w:rPr>
                <w:rFonts w:ascii="Arial Narrow" w:hAnsi="Arial Narrow" w:cs="Arial"/>
                <w:sz w:val="24"/>
                <w:szCs w:val="24"/>
              </w:rPr>
              <w:tab/>
            </w:r>
            <w:r w:rsidR="000C785C">
              <w:rPr>
                <w:rFonts w:ascii="Arial Narrow" w:hAnsi="Arial Narrow" w:cs="Arial"/>
                <w:sz w:val="24"/>
                <w:szCs w:val="24"/>
              </w:rPr>
              <w:t>It seems that the other parties to the proposed pre-trial order and substituted pre-trial order did not formally object to the late filings in order to ensure that the matter remains on track to be heard on the fixed action roll for 16-26 July 2018</w:t>
            </w:r>
            <w:r>
              <w:rPr>
                <w:rFonts w:ascii="Arial Narrow" w:hAnsi="Arial Narrow" w:cs="Arial"/>
                <w:sz w:val="24"/>
                <w:szCs w:val="24"/>
              </w:rPr>
              <w:t>.</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7.</w:t>
            </w:r>
            <w:r>
              <w:rPr>
                <w:rFonts w:ascii="Arial Narrow" w:hAnsi="Arial Narrow" w:cs="Arial"/>
                <w:sz w:val="24"/>
                <w:szCs w:val="24"/>
              </w:rPr>
              <w:tab/>
              <w:t>Returning to the late attempt to amend by first and second defendants, the 4</w:t>
            </w:r>
            <w:r w:rsidRPr="000C785C">
              <w:rPr>
                <w:rFonts w:ascii="Arial Narrow" w:hAnsi="Arial Narrow" w:cs="Arial"/>
                <w:sz w:val="24"/>
                <w:szCs w:val="24"/>
                <w:vertAlign w:val="superscript"/>
              </w:rPr>
              <w:t>th</w:t>
            </w:r>
            <w:r>
              <w:rPr>
                <w:rFonts w:ascii="Arial Narrow" w:hAnsi="Arial Narrow" w:cs="Arial"/>
                <w:sz w:val="24"/>
                <w:szCs w:val="24"/>
              </w:rPr>
              <w:t xml:space="preserve"> and 5</w:t>
            </w:r>
            <w:r w:rsidRPr="000C785C">
              <w:rPr>
                <w:rFonts w:ascii="Arial Narrow" w:hAnsi="Arial Narrow" w:cs="Arial"/>
                <w:sz w:val="24"/>
                <w:szCs w:val="24"/>
                <w:vertAlign w:val="superscript"/>
              </w:rPr>
              <w:t>th</w:t>
            </w:r>
            <w:r>
              <w:rPr>
                <w:rFonts w:ascii="Arial Narrow" w:hAnsi="Arial Narrow" w:cs="Arial"/>
                <w:sz w:val="24"/>
                <w:szCs w:val="24"/>
              </w:rPr>
              <w:t xml:space="preserve"> defendants filed a notice to oppose, setting out their grounds of objection on 29 June 2018.  That is within 3 days instead of within 10 days.  Instead of within 10 days, first and second defendants were directed to file their </w:t>
            </w:r>
            <w:r w:rsidR="002545B1">
              <w:rPr>
                <w:rFonts w:ascii="Arial Narrow" w:hAnsi="Arial Narrow" w:cs="Arial"/>
                <w:sz w:val="24"/>
                <w:szCs w:val="24"/>
              </w:rPr>
              <w:t>application to amend within one</w:t>
            </w:r>
            <w:r>
              <w:rPr>
                <w:rFonts w:ascii="Arial Narrow" w:hAnsi="Arial Narrow" w:cs="Arial"/>
                <w:sz w:val="24"/>
                <w:szCs w:val="24"/>
              </w:rPr>
              <w:t xml:space="preserve"> court day on 2 July 2018, giving them the advantage of the interceding weekend.</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8.</w:t>
            </w:r>
            <w:r>
              <w:rPr>
                <w:rFonts w:ascii="Arial Narrow" w:hAnsi="Arial Narrow" w:cs="Arial"/>
                <w:sz w:val="24"/>
                <w:szCs w:val="24"/>
              </w:rPr>
              <w:tab/>
              <w:t>Only 4</w:t>
            </w:r>
            <w:r w:rsidRPr="000C785C">
              <w:rPr>
                <w:rFonts w:ascii="Arial Narrow" w:hAnsi="Arial Narrow" w:cs="Arial"/>
                <w:sz w:val="24"/>
                <w:szCs w:val="24"/>
                <w:vertAlign w:val="superscript"/>
              </w:rPr>
              <w:t>th</w:t>
            </w:r>
            <w:r>
              <w:rPr>
                <w:rFonts w:ascii="Arial Narrow" w:hAnsi="Arial Narrow" w:cs="Arial"/>
                <w:sz w:val="24"/>
                <w:szCs w:val="24"/>
              </w:rPr>
              <w:t xml:space="preserve"> and 5th defendants objected and they were directed to file their opposing affidavits on or before 5 July 2018, which they did.</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9.</w:t>
            </w:r>
            <w:r>
              <w:rPr>
                <w:rFonts w:ascii="Arial Narrow" w:hAnsi="Arial Narrow" w:cs="Arial"/>
                <w:sz w:val="24"/>
                <w:szCs w:val="24"/>
              </w:rPr>
              <w:tab/>
              <w:t>First and second defendants had to file their replying affidavit by 9 July 2018.</w:t>
            </w:r>
          </w:p>
          <w:p w:rsidR="000C785C" w:rsidRDefault="000C785C" w:rsidP="004378C5">
            <w:pPr>
              <w:spacing w:line="360" w:lineRule="auto"/>
              <w:jc w:val="both"/>
              <w:rPr>
                <w:rFonts w:ascii="Arial Narrow" w:hAnsi="Arial Narrow" w:cs="Arial"/>
                <w:sz w:val="24"/>
                <w:szCs w:val="24"/>
              </w:rPr>
            </w:pPr>
          </w:p>
          <w:p w:rsidR="000C785C" w:rsidRDefault="000C785C" w:rsidP="004378C5">
            <w:pPr>
              <w:spacing w:line="360" w:lineRule="auto"/>
              <w:jc w:val="both"/>
              <w:rPr>
                <w:rFonts w:ascii="Arial Narrow" w:hAnsi="Arial Narrow" w:cs="Arial"/>
                <w:sz w:val="24"/>
                <w:szCs w:val="24"/>
              </w:rPr>
            </w:pPr>
            <w:r>
              <w:rPr>
                <w:rFonts w:ascii="Arial Narrow" w:hAnsi="Arial Narrow" w:cs="Arial"/>
                <w:sz w:val="24"/>
                <w:szCs w:val="24"/>
              </w:rPr>
              <w:t>10.</w:t>
            </w:r>
            <w:r>
              <w:rPr>
                <w:rFonts w:ascii="Arial Narrow" w:hAnsi="Arial Narrow" w:cs="Arial"/>
                <w:sz w:val="24"/>
                <w:szCs w:val="24"/>
              </w:rPr>
              <w:tab/>
            </w:r>
            <w:r w:rsidR="002970CE">
              <w:rPr>
                <w:rFonts w:ascii="Arial Narrow" w:hAnsi="Arial Narrow" w:cs="Arial"/>
                <w:sz w:val="24"/>
                <w:szCs w:val="24"/>
              </w:rPr>
              <w:t>The objection was argued on 10 July 2018 and set to be ruled upon on 12 July 2018 at 09H00, within 3 days before the trial is due to start on issues agreed upon on 15 September 2017 which were not inclusive of prescription.</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11.</w:t>
            </w:r>
            <w:r>
              <w:rPr>
                <w:rFonts w:ascii="Arial Narrow" w:hAnsi="Arial Narrow" w:cs="Arial"/>
                <w:sz w:val="24"/>
                <w:szCs w:val="24"/>
              </w:rPr>
              <w:tab/>
              <w:t>The amendment</w:t>
            </w:r>
            <w:r w:rsidR="006107EA">
              <w:rPr>
                <w:rFonts w:ascii="Arial Narrow" w:hAnsi="Arial Narrow" w:cs="Arial"/>
                <w:sz w:val="24"/>
                <w:szCs w:val="24"/>
              </w:rPr>
              <w:t>s</w:t>
            </w:r>
            <w:r>
              <w:rPr>
                <w:rFonts w:ascii="Arial Narrow" w:hAnsi="Arial Narrow" w:cs="Arial"/>
                <w:sz w:val="24"/>
                <w:szCs w:val="24"/>
              </w:rPr>
              <w:t xml:space="preserve"> sought to be introduced are vexed and not simple and ought to have been traversed before the compromise of the parties on 15 September 2017.</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12.</w:t>
            </w:r>
            <w:r>
              <w:rPr>
                <w:rFonts w:ascii="Arial Narrow" w:hAnsi="Arial Narrow" w:cs="Arial"/>
                <w:sz w:val="24"/>
                <w:szCs w:val="24"/>
              </w:rPr>
              <w:tab/>
              <w:t>Rule 26(10) of the Rules of the High Court prescrib</w:t>
            </w:r>
            <w:r w:rsidR="001E54EA">
              <w:rPr>
                <w:rFonts w:ascii="Arial Narrow" w:hAnsi="Arial Narrow" w:cs="Arial"/>
                <w:sz w:val="24"/>
                <w:szCs w:val="24"/>
              </w:rPr>
              <w:t>e that issues and disputes not s</w:t>
            </w:r>
            <w:r>
              <w:rPr>
                <w:rFonts w:ascii="Arial Narrow" w:hAnsi="Arial Narrow" w:cs="Arial"/>
                <w:sz w:val="24"/>
                <w:szCs w:val="24"/>
              </w:rPr>
              <w:t>et out in the pre-trial order will not be available to the parties at the trial, except with leave of the managing judge or court granted on good cause shown.</w:t>
            </w:r>
          </w:p>
          <w:p w:rsidR="002970CE" w:rsidRDefault="002970CE" w:rsidP="004378C5">
            <w:pPr>
              <w:spacing w:line="360" w:lineRule="auto"/>
              <w:jc w:val="both"/>
              <w:rPr>
                <w:rFonts w:ascii="Arial Narrow" w:hAnsi="Arial Narrow" w:cs="Arial"/>
                <w:sz w:val="24"/>
                <w:szCs w:val="24"/>
              </w:rPr>
            </w:pPr>
          </w:p>
          <w:p w:rsidR="002970CE" w:rsidRDefault="002970CE" w:rsidP="004378C5">
            <w:pPr>
              <w:spacing w:line="360" w:lineRule="auto"/>
              <w:jc w:val="both"/>
              <w:rPr>
                <w:rFonts w:ascii="Arial Narrow" w:hAnsi="Arial Narrow" w:cs="Arial"/>
                <w:sz w:val="24"/>
                <w:szCs w:val="24"/>
              </w:rPr>
            </w:pPr>
            <w:r>
              <w:rPr>
                <w:rFonts w:ascii="Arial Narrow" w:hAnsi="Arial Narrow" w:cs="Arial"/>
                <w:sz w:val="24"/>
                <w:szCs w:val="24"/>
              </w:rPr>
              <w:t>13.</w:t>
            </w:r>
            <w:r>
              <w:rPr>
                <w:rFonts w:ascii="Arial Narrow" w:hAnsi="Arial Narrow" w:cs="Arial"/>
                <w:sz w:val="24"/>
                <w:szCs w:val="24"/>
              </w:rPr>
              <w:tab/>
              <w:t>Applica</w:t>
            </w:r>
            <w:r w:rsidR="006107EA">
              <w:rPr>
                <w:rFonts w:ascii="Arial Narrow" w:hAnsi="Arial Narrow" w:cs="Arial"/>
                <w:sz w:val="24"/>
                <w:szCs w:val="24"/>
              </w:rPr>
              <w:t>nt</w:t>
            </w:r>
            <w:r>
              <w:rPr>
                <w:rFonts w:ascii="Arial Narrow" w:hAnsi="Arial Narrow" w:cs="Arial"/>
                <w:sz w:val="24"/>
                <w:szCs w:val="24"/>
              </w:rPr>
              <w:t xml:space="preserve">s for the amendments, first and second defendants, have failed to show good cause.  In the chronology of what was required during the case management </w:t>
            </w:r>
            <w:r w:rsidR="000526F9">
              <w:rPr>
                <w:rFonts w:ascii="Arial Narrow" w:hAnsi="Arial Narrow" w:cs="Arial"/>
                <w:sz w:val="24"/>
                <w:szCs w:val="24"/>
              </w:rPr>
              <w:t>preceding</w:t>
            </w:r>
            <w:r>
              <w:rPr>
                <w:rFonts w:ascii="Arial Narrow" w:hAnsi="Arial Narrow" w:cs="Arial"/>
                <w:sz w:val="24"/>
                <w:szCs w:val="24"/>
              </w:rPr>
              <w:t xml:space="preserve"> the late application for amendment, the applicants for the indulgence they seek, have failed to satisfy t</w:t>
            </w:r>
            <w:r w:rsidR="000526F9">
              <w:rPr>
                <w:rFonts w:ascii="Arial Narrow" w:hAnsi="Arial Narrow" w:cs="Arial"/>
                <w:sz w:val="24"/>
                <w:szCs w:val="24"/>
              </w:rPr>
              <w:t>he court that they</w:t>
            </w:r>
            <w:r>
              <w:rPr>
                <w:rFonts w:ascii="Arial Narrow" w:hAnsi="Arial Narrow" w:cs="Arial"/>
                <w:sz w:val="24"/>
                <w:szCs w:val="24"/>
              </w:rPr>
              <w:t xml:space="preserve"> acted promptly; did not advance a sufficient explanation for their failure; did not </w:t>
            </w:r>
            <w:r w:rsidR="000526F9">
              <w:rPr>
                <w:rFonts w:ascii="Arial Narrow" w:hAnsi="Arial Narrow" w:cs="Arial"/>
                <w:sz w:val="24"/>
                <w:szCs w:val="24"/>
              </w:rPr>
              <w:t xml:space="preserve">address the liability for the failure sufficiently and did not convince the court that the fixed trial dates are not in jeopardy despite </w:t>
            </w:r>
            <w:r w:rsidR="006107EA">
              <w:rPr>
                <w:rFonts w:ascii="Arial Narrow" w:hAnsi="Arial Narrow" w:cs="Arial"/>
                <w:sz w:val="24"/>
                <w:szCs w:val="24"/>
              </w:rPr>
              <w:t xml:space="preserve">all parties' acquiescence that the </w:t>
            </w:r>
            <w:r w:rsidR="000526F9">
              <w:rPr>
                <w:rFonts w:ascii="Arial Narrow" w:hAnsi="Arial Narrow" w:cs="Arial"/>
                <w:sz w:val="24"/>
                <w:szCs w:val="24"/>
              </w:rPr>
              <w:t>trial must continue next week.</w:t>
            </w:r>
          </w:p>
          <w:p w:rsidR="000526F9" w:rsidRDefault="000526F9" w:rsidP="004378C5">
            <w:pPr>
              <w:spacing w:line="360" w:lineRule="auto"/>
              <w:jc w:val="both"/>
              <w:rPr>
                <w:rFonts w:ascii="Arial Narrow" w:hAnsi="Arial Narrow" w:cs="Arial"/>
                <w:sz w:val="24"/>
                <w:szCs w:val="24"/>
              </w:rPr>
            </w:pPr>
          </w:p>
          <w:p w:rsidR="000526F9" w:rsidRDefault="000526F9" w:rsidP="004378C5">
            <w:pPr>
              <w:spacing w:line="360" w:lineRule="auto"/>
              <w:jc w:val="both"/>
              <w:rPr>
                <w:rFonts w:ascii="Arial Narrow" w:hAnsi="Arial Narrow" w:cs="Arial"/>
                <w:sz w:val="24"/>
                <w:szCs w:val="24"/>
              </w:rPr>
            </w:pPr>
            <w:r>
              <w:rPr>
                <w:rFonts w:ascii="Arial Narrow" w:hAnsi="Arial Narrow" w:cs="Arial"/>
                <w:sz w:val="24"/>
                <w:szCs w:val="24"/>
              </w:rPr>
              <w:t>14.</w:t>
            </w:r>
            <w:r>
              <w:rPr>
                <w:rFonts w:ascii="Arial Narrow" w:hAnsi="Arial Narrow" w:cs="Arial"/>
                <w:sz w:val="24"/>
                <w:szCs w:val="24"/>
              </w:rPr>
              <w:tab/>
            </w:r>
            <w:r w:rsidR="009A1B43">
              <w:rPr>
                <w:rFonts w:ascii="Arial Narrow" w:hAnsi="Arial Narrow" w:cs="Arial"/>
                <w:sz w:val="24"/>
                <w:szCs w:val="24"/>
              </w:rPr>
              <w:t xml:space="preserve">The Court is mindful thereof that the amendments, if allowed, may or may </w:t>
            </w:r>
            <w:r w:rsidR="00B84174">
              <w:rPr>
                <w:rFonts w:ascii="Arial Narrow" w:hAnsi="Arial Narrow" w:cs="Arial"/>
                <w:sz w:val="24"/>
                <w:szCs w:val="24"/>
              </w:rPr>
              <w:t>not be expiable, should be replicated to and would necessitate a consensual amendment/addition to the pre-trial order.  It would necessitate changes which cannot be conveniently adjudicated upon without the likeliness of putting the imminent trial in jeopardy to the prejudice of all the other litigants.  It would likely put the trial judge and the due administration of justice in a position where issues, not properly dealt with during case management and the consequential joint pre-trial proposal with its resultant consensual pre-trial order, create controversy and discord during the trial.</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.1.</w:t>
            </w:r>
            <w:r w:rsidR="000526F9">
              <w:rPr>
                <w:rFonts w:ascii="Arial Narrow" w:hAnsi="Arial Narrow" w:cs="Arial"/>
                <w:sz w:val="24"/>
                <w:szCs w:val="24"/>
              </w:rPr>
              <w:tab/>
            </w:r>
            <w:r w:rsidR="009A1B43">
              <w:rPr>
                <w:rFonts w:ascii="Arial Narrow" w:hAnsi="Arial Narrow" w:cs="Arial"/>
                <w:sz w:val="24"/>
                <w:szCs w:val="24"/>
              </w:rPr>
              <w:t xml:space="preserve">Having considered the application on the basis I did, does not reduce the effort of the fourth and fifth </w:t>
            </w:r>
            <w:r w:rsidR="009A1B43">
              <w:rPr>
                <w:rFonts w:ascii="Arial Narrow" w:hAnsi="Arial Narrow" w:cs="Arial"/>
                <w:sz w:val="24"/>
                <w:szCs w:val="24"/>
              </w:rPr>
              <w:lastRenderedPageBreak/>
              <w:t>defendants in opposing the application and the content of their opposition which was necessary and expedient.</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.2</w:t>
            </w:r>
            <w:r w:rsidR="000526F9">
              <w:rPr>
                <w:rFonts w:ascii="Arial Narrow" w:hAnsi="Arial Narrow" w:cs="Arial"/>
                <w:sz w:val="24"/>
                <w:szCs w:val="24"/>
              </w:rPr>
              <w:tab/>
              <w:t>Applicants for the amendment used one instructing and one instructed counsel.</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.3</w:t>
            </w:r>
            <w:r w:rsidR="000526F9">
              <w:rPr>
                <w:rFonts w:ascii="Arial Narrow" w:hAnsi="Arial Narrow" w:cs="Arial"/>
                <w:sz w:val="24"/>
                <w:szCs w:val="24"/>
              </w:rPr>
              <w:tab/>
              <w:t>Fourth and fifth defendants used one instructing and two instructed counsel.</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.4</w:t>
            </w:r>
            <w:r w:rsidR="000526F9">
              <w:rPr>
                <w:rFonts w:ascii="Arial Narrow" w:hAnsi="Arial Narrow" w:cs="Arial"/>
                <w:sz w:val="24"/>
                <w:szCs w:val="24"/>
              </w:rPr>
              <w:tab/>
              <w:t>All counsel will appear in the trial which will commence within 3 court days (today and Monday included).</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.5</w:t>
            </w:r>
            <w:r w:rsidR="000526F9">
              <w:rPr>
                <w:rFonts w:ascii="Arial Narrow" w:hAnsi="Arial Narrow" w:cs="Arial"/>
                <w:sz w:val="24"/>
                <w:szCs w:val="24"/>
              </w:rPr>
              <w:tab/>
              <w:t>The application for the amendment and the resultant opposition were done in a very short period of time.  It was seriously pursued and warranted substantial effort and research from both sides.</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15</w:t>
            </w:r>
            <w:r w:rsidR="000526F9">
              <w:rPr>
                <w:rFonts w:ascii="Arial Narrow" w:hAnsi="Arial Narrow" w:cs="Arial"/>
                <w:sz w:val="24"/>
                <w:szCs w:val="24"/>
              </w:rPr>
              <w:t>.6</w:t>
            </w:r>
            <w:r w:rsidR="000526F9">
              <w:rPr>
                <w:rFonts w:ascii="Arial Narrow" w:hAnsi="Arial Narrow" w:cs="Arial"/>
                <w:sz w:val="24"/>
                <w:szCs w:val="24"/>
              </w:rPr>
              <w:tab/>
              <w:t xml:space="preserve">Due to the lateness the </w:t>
            </w:r>
            <w:r w:rsidR="009A1B43">
              <w:rPr>
                <w:rFonts w:ascii="Arial Narrow" w:hAnsi="Arial Narrow" w:cs="Arial"/>
                <w:sz w:val="24"/>
                <w:szCs w:val="24"/>
              </w:rPr>
              <w:t>C</w:t>
            </w:r>
            <w:r w:rsidR="000526F9">
              <w:rPr>
                <w:rFonts w:ascii="Arial Narrow" w:hAnsi="Arial Narrow" w:cs="Arial"/>
                <w:sz w:val="24"/>
                <w:szCs w:val="24"/>
              </w:rPr>
              <w:t>ourt shortened the time periods provided for in Rule 52 and directed the parties not to follow the formal Rule 32 (9) and (10) procedure as it would have wasted available limited time where the parties were at loggerheads and apparently not prone to reach an amicable resolution.</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16</w:t>
            </w:r>
            <w:r w:rsidR="000526F9">
              <w:rPr>
                <w:rFonts w:ascii="Arial Narrow" w:hAnsi="Arial Narrow" w:cs="Arial"/>
                <w:sz w:val="24"/>
                <w:szCs w:val="24"/>
              </w:rPr>
              <w:t>.</w:t>
            </w:r>
            <w:r w:rsidR="000526F9">
              <w:rPr>
                <w:rFonts w:ascii="Arial Narrow" w:hAnsi="Arial Narrow" w:cs="Arial"/>
                <w:sz w:val="24"/>
                <w:szCs w:val="24"/>
              </w:rPr>
              <w:tab/>
              <w:t>The following orders are made:</w:t>
            </w:r>
          </w:p>
          <w:p w:rsidR="000526F9" w:rsidRDefault="000526F9" w:rsidP="004378C5">
            <w:pPr>
              <w:spacing w:line="360" w:lineRule="auto"/>
              <w:jc w:val="both"/>
              <w:rPr>
                <w:rFonts w:ascii="Arial Narrow" w:hAnsi="Arial Narrow" w:cs="Arial"/>
                <w:sz w:val="24"/>
                <w:szCs w:val="24"/>
              </w:rPr>
            </w:pPr>
          </w:p>
          <w:p w:rsidR="000526F9" w:rsidRDefault="00297E96" w:rsidP="004378C5">
            <w:pPr>
              <w:spacing w:line="360" w:lineRule="auto"/>
              <w:jc w:val="both"/>
              <w:rPr>
                <w:rFonts w:ascii="Arial Narrow" w:hAnsi="Arial Narrow" w:cs="Arial"/>
                <w:sz w:val="24"/>
                <w:szCs w:val="24"/>
              </w:rPr>
            </w:pPr>
            <w:r>
              <w:rPr>
                <w:rFonts w:ascii="Arial Narrow" w:hAnsi="Arial Narrow" w:cs="Arial"/>
                <w:sz w:val="24"/>
                <w:szCs w:val="24"/>
              </w:rPr>
              <w:t>16</w:t>
            </w:r>
            <w:r w:rsidR="000526F9">
              <w:rPr>
                <w:rFonts w:ascii="Arial Narrow" w:hAnsi="Arial Narrow" w:cs="Arial"/>
                <w:sz w:val="24"/>
                <w:szCs w:val="24"/>
              </w:rPr>
              <w:t>.1</w:t>
            </w:r>
            <w:r w:rsidR="000526F9">
              <w:rPr>
                <w:rFonts w:ascii="Arial Narrow" w:hAnsi="Arial Narrow" w:cs="Arial"/>
                <w:sz w:val="24"/>
                <w:szCs w:val="24"/>
              </w:rPr>
              <w:tab/>
            </w:r>
            <w:r w:rsidR="001E54EA">
              <w:rPr>
                <w:rFonts w:ascii="Arial Narrow" w:hAnsi="Arial Narrow" w:cs="Arial"/>
                <w:sz w:val="24"/>
                <w:szCs w:val="24"/>
              </w:rPr>
              <w:t>First and second defendant</w:t>
            </w:r>
            <w:r w:rsidR="009A1B43">
              <w:rPr>
                <w:rFonts w:ascii="Arial Narrow" w:hAnsi="Arial Narrow" w:cs="Arial"/>
                <w:sz w:val="24"/>
                <w:szCs w:val="24"/>
              </w:rPr>
              <w:t>s</w:t>
            </w:r>
            <w:r w:rsidR="001E54EA">
              <w:rPr>
                <w:rFonts w:ascii="Arial Narrow" w:hAnsi="Arial Narrow" w:cs="Arial"/>
                <w:sz w:val="24"/>
                <w:szCs w:val="24"/>
              </w:rPr>
              <w:t>'</w:t>
            </w:r>
            <w:r w:rsidR="009A1B43">
              <w:rPr>
                <w:rFonts w:ascii="Arial Narrow" w:hAnsi="Arial Narrow" w:cs="Arial"/>
                <w:sz w:val="24"/>
                <w:szCs w:val="24"/>
              </w:rPr>
              <w:t xml:space="preserve"> application for amendment is refused.</w:t>
            </w:r>
          </w:p>
          <w:p w:rsidR="009A1B43" w:rsidRDefault="009A1B43" w:rsidP="004378C5">
            <w:pPr>
              <w:spacing w:line="360" w:lineRule="auto"/>
              <w:jc w:val="both"/>
              <w:rPr>
                <w:rFonts w:ascii="Arial Narrow" w:hAnsi="Arial Narrow" w:cs="Arial"/>
                <w:sz w:val="24"/>
                <w:szCs w:val="24"/>
              </w:rPr>
            </w:pPr>
          </w:p>
          <w:p w:rsidR="009A1B43" w:rsidRDefault="00297E96" w:rsidP="004378C5">
            <w:pPr>
              <w:spacing w:line="360" w:lineRule="auto"/>
              <w:jc w:val="both"/>
              <w:rPr>
                <w:rFonts w:ascii="Arial Narrow" w:hAnsi="Arial Narrow" w:cs="Arial"/>
                <w:sz w:val="24"/>
                <w:szCs w:val="24"/>
              </w:rPr>
            </w:pPr>
            <w:r>
              <w:rPr>
                <w:rFonts w:ascii="Arial Narrow" w:hAnsi="Arial Narrow" w:cs="Arial"/>
                <w:sz w:val="24"/>
                <w:szCs w:val="24"/>
              </w:rPr>
              <w:t>16</w:t>
            </w:r>
            <w:r w:rsidR="009A1B43">
              <w:rPr>
                <w:rFonts w:ascii="Arial Narrow" w:hAnsi="Arial Narrow" w:cs="Arial"/>
                <w:sz w:val="24"/>
                <w:szCs w:val="24"/>
              </w:rPr>
              <w:t>.2</w:t>
            </w:r>
            <w:r w:rsidR="009A1B43">
              <w:rPr>
                <w:rFonts w:ascii="Arial Narrow" w:hAnsi="Arial Narrow" w:cs="Arial"/>
                <w:sz w:val="24"/>
                <w:szCs w:val="24"/>
              </w:rPr>
              <w:tab/>
              <w:t xml:space="preserve">Costs </w:t>
            </w:r>
            <w:proofErr w:type="gramStart"/>
            <w:r w:rsidR="009A1B43">
              <w:rPr>
                <w:rFonts w:ascii="Arial Narrow" w:hAnsi="Arial Narrow" w:cs="Arial"/>
                <w:sz w:val="24"/>
                <w:szCs w:val="24"/>
              </w:rPr>
              <w:t>is</w:t>
            </w:r>
            <w:proofErr w:type="gramEnd"/>
            <w:r w:rsidR="009A1B43">
              <w:rPr>
                <w:rFonts w:ascii="Arial Narrow" w:hAnsi="Arial Narrow" w:cs="Arial"/>
                <w:sz w:val="24"/>
                <w:szCs w:val="24"/>
              </w:rPr>
              <w:t xml:space="preserve"> awarded to the fourth and the fifth defendants on a party and party scale, which costs shall not be limited by Rule 32 (11) and to include the costs of one instructing and one instructed counsel.</w:t>
            </w:r>
          </w:p>
          <w:p w:rsidR="009A1B43" w:rsidRDefault="009A1B43" w:rsidP="004378C5">
            <w:pPr>
              <w:spacing w:line="360" w:lineRule="auto"/>
              <w:jc w:val="both"/>
              <w:rPr>
                <w:rFonts w:ascii="Arial Narrow" w:hAnsi="Arial Narrow" w:cs="Arial"/>
                <w:sz w:val="24"/>
                <w:szCs w:val="24"/>
              </w:rPr>
            </w:pPr>
          </w:p>
          <w:p w:rsidR="009A1B43" w:rsidRDefault="00297E96" w:rsidP="004378C5">
            <w:pPr>
              <w:spacing w:line="360" w:lineRule="auto"/>
              <w:jc w:val="both"/>
              <w:rPr>
                <w:rFonts w:ascii="Arial Narrow" w:hAnsi="Arial Narrow" w:cs="Arial"/>
                <w:sz w:val="24"/>
                <w:szCs w:val="24"/>
              </w:rPr>
            </w:pPr>
            <w:r>
              <w:rPr>
                <w:rFonts w:ascii="Arial Narrow" w:hAnsi="Arial Narrow" w:cs="Arial"/>
                <w:sz w:val="24"/>
                <w:szCs w:val="24"/>
              </w:rPr>
              <w:t>16</w:t>
            </w:r>
            <w:r w:rsidR="009A1B43">
              <w:rPr>
                <w:rFonts w:ascii="Arial Narrow" w:hAnsi="Arial Narrow" w:cs="Arial"/>
                <w:sz w:val="24"/>
                <w:szCs w:val="24"/>
              </w:rPr>
              <w:t>.3</w:t>
            </w:r>
            <w:r w:rsidR="009A1B43">
              <w:rPr>
                <w:rFonts w:ascii="Arial Narrow" w:hAnsi="Arial Narrow" w:cs="Arial"/>
                <w:sz w:val="24"/>
                <w:szCs w:val="24"/>
              </w:rPr>
              <w:tab/>
              <w:t>The trial shall proceed on the fixed action roll from 16-26 July 2018 on the issues contained in the substituted Pre-Trial Order of 19 October 2017.</w:t>
            </w:r>
          </w:p>
          <w:p w:rsidR="004378C5" w:rsidRPr="00C73154" w:rsidRDefault="004378C5" w:rsidP="00B318D1">
            <w:pPr>
              <w:spacing w:line="360" w:lineRule="auto"/>
              <w:jc w:val="both"/>
              <w:rPr>
                <w:rFonts w:ascii="Arial Narrow" w:hAnsi="Arial Narrow" w:cs="Arial"/>
                <w:sz w:val="24"/>
                <w:szCs w:val="24"/>
              </w:rPr>
            </w:pPr>
          </w:p>
        </w:tc>
      </w:tr>
      <w:tr w:rsidR="00791092" w:rsidRPr="00C73154" w:rsidTr="00BD2B97">
        <w:tc>
          <w:tcPr>
            <w:tcW w:w="9720" w:type="dxa"/>
            <w:gridSpan w:val="3"/>
          </w:tcPr>
          <w:p w:rsidR="00791092" w:rsidRPr="00C73154" w:rsidRDefault="00791092" w:rsidP="00791092">
            <w:pPr>
              <w:spacing w:line="360" w:lineRule="auto"/>
              <w:rPr>
                <w:rFonts w:ascii="Arial Narrow" w:hAnsi="Arial Narrow" w:cs="Arial"/>
                <w:b/>
                <w:sz w:val="24"/>
                <w:szCs w:val="24"/>
              </w:rPr>
            </w:pPr>
            <w:r w:rsidRPr="00C73154">
              <w:rPr>
                <w:rFonts w:ascii="Arial Narrow" w:hAnsi="Arial Narrow" w:cs="Arial"/>
                <w:b/>
                <w:sz w:val="24"/>
                <w:szCs w:val="24"/>
              </w:rPr>
              <w:lastRenderedPageBreak/>
              <w:t>Judge’s signature:</w:t>
            </w:r>
          </w:p>
        </w:tc>
      </w:tr>
      <w:tr w:rsidR="00791092" w:rsidRPr="00C73154" w:rsidTr="00BA3177">
        <w:trPr>
          <w:trHeight w:val="835"/>
        </w:trPr>
        <w:tc>
          <w:tcPr>
            <w:tcW w:w="9720" w:type="dxa"/>
            <w:gridSpan w:val="3"/>
          </w:tcPr>
          <w:p w:rsidR="00791092" w:rsidRDefault="00791092" w:rsidP="00952193">
            <w:pPr>
              <w:spacing w:line="360" w:lineRule="auto"/>
              <w:jc w:val="both"/>
              <w:rPr>
                <w:rFonts w:ascii="Arial Narrow" w:hAnsi="Arial Narrow" w:cs="Arial"/>
                <w:sz w:val="24"/>
                <w:szCs w:val="24"/>
              </w:rPr>
            </w:pPr>
          </w:p>
          <w:p w:rsidR="00B87F91" w:rsidRDefault="00B87F91" w:rsidP="00952193">
            <w:pPr>
              <w:spacing w:line="360" w:lineRule="auto"/>
              <w:jc w:val="both"/>
              <w:rPr>
                <w:rFonts w:ascii="Arial Narrow" w:hAnsi="Arial Narrow" w:cs="Arial"/>
                <w:sz w:val="24"/>
                <w:szCs w:val="24"/>
              </w:rPr>
            </w:pPr>
          </w:p>
          <w:p w:rsidR="00B87F91" w:rsidRDefault="00B87F91" w:rsidP="00952193">
            <w:pPr>
              <w:spacing w:line="360" w:lineRule="auto"/>
              <w:jc w:val="both"/>
              <w:rPr>
                <w:rFonts w:ascii="Arial Narrow" w:hAnsi="Arial Narrow" w:cs="Arial"/>
                <w:sz w:val="24"/>
                <w:szCs w:val="24"/>
              </w:rPr>
            </w:pPr>
          </w:p>
          <w:p w:rsidR="00B87F91" w:rsidRPr="00C73154" w:rsidRDefault="00B87F91" w:rsidP="00952193">
            <w:pPr>
              <w:spacing w:line="360" w:lineRule="auto"/>
              <w:jc w:val="both"/>
              <w:rPr>
                <w:rFonts w:ascii="Arial Narrow" w:hAnsi="Arial Narrow" w:cs="Arial"/>
                <w:sz w:val="24"/>
                <w:szCs w:val="24"/>
              </w:rPr>
            </w:pPr>
            <w:bookmarkStart w:id="0" w:name="_GoBack"/>
            <w:bookmarkEnd w:id="0"/>
          </w:p>
        </w:tc>
      </w:tr>
      <w:tr w:rsidR="00A23F8A" w:rsidRPr="00C73154" w:rsidTr="001E54EA">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1E54EA">
        <w:tc>
          <w:tcPr>
            <w:tcW w:w="4770" w:type="dxa"/>
          </w:tcPr>
          <w:p w:rsidR="00FD38C2" w:rsidRPr="00C73154" w:rsidRDefault="006418A1" w:rsidP="00FD38C2">
            <w:pPr>
              <w:spacing w:line="360" w:lineRule="auto"/>
              <w:jc w:val="center"/>
              <w:rPr>
                <w:rFonts w:ascii="Arial Narrow" w:hAnsi="Arial Narrow" w:cs="Arial"/>
                <w:b/>
                <w:sz w:val="24"/>
                <w:szCs w:val="24"/>
              </w:rPr>
            </w:pPr>
            <w:r>
              <w:rPr>
                <w:rFonts w:ascii="Arial Narrow" w:hAnsi="Arial Narrow" w:cs="Arial"/>
                <w:b/>
                <w:sz w:val="24"/>
                <w:szCs w:val="24"/>
              </w:rPr>
              <w:lastRenderedPageBreak/>
              <w:t>1</w:t>
            </w:r>
            <w:r w:rsidRPr="006418A1">
              <w:rPr>
                <w:rFonts w:ascii="Arial Narrow" w:hAnsi="Arial Narrow" w:cs="Arial"/>
                <w:b/>
                <w:sz w:val="24"/>
                <w:szCs w:val="24"/>
                <w:vertAlign w:val="superscript"/>
              </w:rPr>
              <w:t>st</w:t>
            </w:r>
            <w:r>
              <w:rPr>
                <w:rFonts w:ascii="Arial Narrow" w:hAnsi="Arial Narrow" w:cs="Arial"/>
                <w:b/>
                <w:sz w:val="24"/>
                <w:szCs w:val="24"/>
              </w:rPr>
              <w:t xml:space="preserve"> and 2</w:t>
            </w:r>
            <w:r w:rsidRPr="006418A1">
              <w:rPr>
                <w:rFonts w:ascii="Arial Narrow" w:hAnsi="Arial Narrow" w:cs="Arial"/>
                <w:b/>
                <w:sz w:val="24"/>
                <w:szCs w:val="24"/>
                <w:vertAlign w:val="superscript"/>
              </w:rPr>
              <w:t>nd</w:t>
            </w:r>
            <w:r>
              <w:rPr>
                <w:rFonts w:ascii="Arial Narrow" w:hAnsi="Arial Narrow" w:cs="Arial"/>
                <w:b/>
                <w:sz w:val="24"/>
                <w:szCs w:val="24"/>
              </w:rPr>
              <w:t xml:space="preserve"> defendants (Applicants)</w:t>
            </w:r>
          </w:p>
        </w:tc>
        <w:tc>
          <w:tcPr>
            <w:tcW w:w="4950" w:type="dxa"/>
            <w:gridSpan w:val="2"/>
          </w:tcPr>
          <w:p w:rsidR="00FD38C2" w:rsidRPr="00C73154" w:rsidRDefault="006418A1" w:rsidP="006418A1">
            <w:pPr>
              <w:spacing w:line="360" w:lineRule="auto"/>
              <w:jc w:val="center"/>
              <w:rPr>
                <w:rFonts w:ascii="Arial Narrow" w:hAnsi="Arial Narrow" w:cs="Arial"/>
                <w:b/>
                <w:sz w:val="24"/>
                <w:szCs w:val="24"/>
              </w:rPr>
            </w:pPr>
            <w:r>
              <w:rPr>
                <w:rFonts w:ascii="Arial Narrow" w:hAnsi="Arial Narrow" w:cs="Arial"/>
                <w:b/>
                <w:sz w:val="24"/>
                <w:szCs w:val="24"/>
              </w:rPr>
              <w:t>4</w:t>
            </w:r>
            <w:r w:rsidRPr="006418A1">
              <w:rPr>
                <w:rFonts w:ascii="Arial Narrow" w:hAnsi="Arial Narrow" w:cs="Arial"/>
                <w:b/>
                <w:sz w:val="24"/>
                <w:szCs w:val="24"/>
                <w:vertAlign w:val="superscript"/>
              </w:rPr>
              <w:t>th</w:t>
            </w:r>
            <w:r>
              <w:rPr>
                <w:rFonts w:ascii="Arial Narrow" w:hAnsi="Arial Narrow" w:cs="Arial"/>
                <w:b/>
                <w:sz w:val="24"/>
                <w:szCs w:val="24"/>
              </w:rPr>
              <w:t xml:space="preserve"> and 5</w:t>
            </w:r>
            <w:r w:rsidRPr="006418A1">
              <w:rPr>
                <w:rFonts w:ascii="Arial Narrow" w:hAnsi="Arial Narrow" w:cs="Arial"/>
                <w:b/>
                <w:sz w:val="24"/>
                <w:szCs w:val="24"/>
                <w:vertAlign w:val="superscript"/>
              </w:rPr>
              <w:t>th</w:t>
            </w:r>
            <w:r>
              <w:rPr>
                <w:rFonts w:ascii="Arial Narrow" w:hAnsi="Arial Narrow" w:cs="Arial"/>
                <w:b/>
                <w:sz w:val="24"/>
                <w:szCs w:val="24"/>
              </w:rPr>
              <w:t xml:space="preserve"> Defendants (Respondents)</w:t>
            </w:r>
          </w:p>
        </w:tc>
      </w:tr>
      <w:tr w:rsidR="00F5564C" w:rsidRPr="00C73154" w:rsidTr="001E54EA">
        <w:trPr>
          <w:trHeight w:val="1591"/>
        </w:trPr>
        <w:tc>
          <w:tcPr>
            <w:tcW w:w="4770" w:type="dxa"/>
          </w:tcPr>
          <w:p w:rsidR="00F5564C" w:rsidRDefault="006418A1" w:rsidP="00B87F91">
            <w:pPr>
              <w:spacing w:line="360" w:lineRule="auto"/>
              <w:jc w:val="center"/>
              <w:rPr>
                <w:rFonts w:ascii="Arial Narrow" w:hAnsi="Arial Narrow" w:cs="Arial"/>
                <w:sz w:val="24"/>
                <w:szCs w:val="24"/>
              </w:rPr>
            </w:pPr>
            <w:proofErr w:type="spellStart"/>
            <w:r>
              <w:rPr>
                <w:rFonts w:ascii="Arial Narrow" w:hAnsi="Arial Narrow" w:cs="Arial"/>
                <w:sz w:val="24"/>
                <w:szCs w:val="24"/>
              </w:rPr>
              <w:t>Yssel</w:t>
            </w:r>
            <w:proofErr w:type="spellEnd"/>
          </w:p>
          <w:p w:rsidR="00F5564C" w:rsidRPr="00C73154" w:rsidRDefault="00B87F91" w:rsidP="00F5564C">
            <w:pPr>
              <w:spacing w:line="360" w:lineRule="auto"/>
              <w:jc w:val="center"/>
              <w:rPr>
                <w:rFonts w:ascii="Arial Narrow" w:hAnsi="Arial Narrow" w:cs="Arial"/>
                <w:sz w:val="24"/>
                <w:szCs w:val="24"/>
              </w:rPr>
            </w:pPr>
            <w:r>
              <w:rPr>
                <w:rFonts w:ascii="Arial Narrow" w:hAnsi="Arial Narrow" w:cs="Arial"/>
                <w:sz w:val="24"/>
                <w:szCs w:val="24"/>
              </w:rPr>
              <w:t xml:space="preserve">of </w:t>
            </w:r>
            <w:proofErr w:type="spellStart"/>
            <w:r w:rsidR="006418A1">
              <w:rPr>
                <w:rFonts w:ascii="Arial Narrow" w:hAnsi="Arial Narrow" w:cs="Arial"/>
                <w:sz w:val="24"/>
                <w:szCs w:val="24"/>
              </w:rPr>
              <w:t>Engling</w:t>
            </w:r>
            <w:proofErr w:type="spellEnd"/>
            <w:r w:rsidR="006418A1">
              <w:rPr>
                <w:rFonts w:ascii="Arial Narrow" w:hAnsi="Arial Narrow" w:cs="Arial"/>
                <w:sz w:val="24"/>
                <w:szCs w:val="24"/>
              </w:rPr>
              <w:t xml:space="preserve"> </w:t>
            </w:r>
            <w:proofErr w:type="spellStart"/>
            <w:r w:rsidR="006418A1">
              <w:rPr>
                <w:rFonts w:ascii="Arial Narrow" w:hAnsi="Arial Narrow" w:cs="Arial"/>
                <w:sz w:val="24"/>
                <w:szCs w:val="24"/>
              </w:rPr>
              <w:t>Stritter</w:t>
            </w:r>
            <w:proofErr w:type="spellEnd"/>
            <w:r w:rsidR="006418A1">
              <w:rPr>
                <w:rFonts w:ascii="Arial Narrow" w:hAnsi="Arial Narrow" w:cs="Arial"/>
                <w:sz w:val="24"/>
                <w:szCs w:val="24"/>
              </w:rPr>
              <w:t xml:space="preserve"> &amp; Partners</w:t>
            </w:r>
            <w:r>
              <w:rPr>
                <w:rFonts w:ascii="Arial Narrow" w:hAnsi="Arial Narrow" w:cs="Arial"/>
                <w:sz w:val="24"/>
                <w:szCs w:val="24"/>
              </w:rPr>
              <w:t>, Windhoek</w:t>
            </w:r>
          </w:p>
        </w:tc>
        <w:tc>
          <w:tcPr>
            <w:tcW w:w="4950" w:type="dxa"/>
            <w:gridSpan w:val="2"/>
          </w:tcPr>
          <w:p w:rsidR="005D28D9" w:rsidRDefault="00B87F91" w:rsidP="0050338C">
            <w:pPr>
              <w:spacing w:line="360" w:lineRule="auto"/>
              <w:jc w:val="center"/>
              <w:rPr>
                <w:rFonts w:ascii="Arial Narrow" w:hAnsi="Arial Narrow" w:cs="Arial"/>
                <w:sz w:val="24"/>
                <w:szCs w:val="24"/>
              </w:rPr>
            </w:pPr>
            <w:proofErr w:type="spellStart"/>
            <w:r>
              <w:rPr>
                <w:rFonts w:ascii="Arial Narrow" w:hAnsi="Arial Narrow" w:cs="Arial"/>
                <w:sz w:val="24"/>
                <w:szCs w:val="24"/>
              </w:rPr>
              <w:t>McCullogh</w:t>
            </w:r>
            <w:proofErr w:type="spellEnd"/>
          </w:p>
          <w:p w:rsidR="005D28D9" w:rsidRPr="00C73154" w:rsidRDefault="00B87F91" w:rsidP="0050338C">
            <w:pPr>
              <w:spacing w:line="360" w:lineRule="auto"/>
              <w:jc w:val="center"/>
              <w:rPr>
                <w:rFonts w:ascii="Arial Narrow" w:hAnsi="Arial Narrow" w:cs="Arial"/>
                <w:sz w:val="24"/>
                <w:szCs w:val="24"/>
              </w:rPr>
            </w:pPr>
            <w:r>
              <w:rPr>
                <w:rFonts w:ascii="Arial Narrow" w:hAnsi="Arial Narrow" w:cs="Arial"/>
                <w:sz w:val="24"/>
                <w:szCs w:val="24"/>
              </w:rPr>
              <w:t xml:space="preserve">of </w:t>
            </w:r>
            <w:r w:rsidR="005D28D9">
              <w:rPr>
                <w:rFonts w:ascii="Arial Narrow" w:hAnsi="Arial Narrow" w:cs="Arial"/>
                <w:sz w:val="24"/>
                <w:szCs w:val="24"/>
              </w:rPr>
              <w:t>Fisher, Quarmby &amp; Pfeifer</w:t>
            </w:r>
            <w:r>
              <w:rPr>
                <w:rFonts w:ascii="Arial Narrow" w:hAnsi="Arial Narrow" w:cs="Arial"/>
                <w:sz w:val="24"/>
                <w:szCs w:val="24"/>
              </w:rPr>
              <w:t>, Windhoek</w:t>
            </w:r>
          </w:p>
        </w:tc>
      </w:tr>
    </w:tbl>
    <w:p w:rsidR="009B096F" w:rsidRDefault="009B096F" w:rsidP="00054336">
      <w:pPr>
        <w:spacing w:after="0" w:line="360" w:lineRule="auto"/>
        <w:jc w:val="both"/>
        <w:rPr>
          <w:rFonts w:ascii="Arial Narrow" w:hAnsi="Arial Narrow"/>
          <w:sz w:val="24"/>
          <w:szCs w:val="24"/>
        </w:rPr>
      </w:pPr>
    </w:p>
    <w:sectPr w:rsidR="009B096F" w:rsidSect="00B87F91">
      <w:headerReference w:type="default" r:id="rId12"/>
      <w:footerReference w:type="default" r:id="rId13"/>
      <w:pgSz w:w="11906" w:h="16838"/>
      <w:pgMar w:top="1080" w:right="1440" w:bottom="1560"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D8" w:rsidRDefault="006B67D8" w:rsidP="00A23F8A">
      <w:pPr>
        <w:spacing w:after="0" w:line="240" w:lineRule="auto"/>
      </w:pPr>
      <w:r>
        <w:separator/>
      </w:r>
    </w:p>
  </w:endnote>
  <w:endnote w:type="continuationSeparator" w:id="0">
    <w:p w:rsidR="006B67D8" w:rsidRDefault="006B67D8"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D8" w:rsidRDefault="006B67D8" w:rsidP="00A23F8A">
      <w:pPr>
        <w:spacing w:after="0" w:line="240" w:lineRule="auto"/>
      </w:pPr>
      <w:r>
        <w:separator/>
      </w:r>
    </w:p>
  </w:footnote>
  <w:footnote w:type="continuationSeparator" w:id="0">
    <w:p w:rsidR="006B67D8" w:rsidRDefault="006B67D8" w:rsidP="00A23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51517"/>
      <w:docPartObj>
        <w:docPartGallery w:val="Page Numbers (Top of Page)"/>
        <w:docPartUnique/>
      </w:docPartObj>
    </w:sdtPr>
    <w:sdtEndPr>
      <w:rPr>
        <w:noProof/>
      </w:rPr>
    </w:sdtEndPr>
    <w:sdtContent>
      <w:p w:rsidR="00B87F91" w:rsidRDefault="00B87F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87F91" w:rsidRDefault="00B87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2CE2709"/>
    <w:multiLevelType w:val="hybridMultilevel"/>
    <w:tmpl w:val="E5520F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0"/>
  </w:num>
  <w:num w:numId="8">
    <w:abstractNumId w:val="8"/>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6F"/>
    <w:rsid w:val="00007708"/>
    <w:rsid w:val="000526F9"/>
    <w:rsid w:val="00054336"/>
    <w:rsid w:val="00060164"/>
    <w:rsid w:val="00067546"/>
    <w:rsid w:val="000B30DE"/>
    <w:rsid w:val="000C0A07"/>
    <w:rsid w:val="000C785C"/>
    <w:rsid w:val="000D5FE9"/>
    <w:rsid w:val="00112D50"/>
    <w:rsid w:val="00113321"/>
    <w:rsid w:val="00124EC8"/>
    <w:rsid w:val="00165FEE"/>
    <w:rsid w:val="001804AD"/>
    <w:rsid w:val="00186226"/>
    <w:rsid w:val="001B1B81"/>
    <w:rsid w:val="001C56D6"/>
    <w:rsid w:val="001C6FDA"/>
    <w:rsid w:val="001E54EA"/>
    <w:rsid w:val="001F1ECD"/>
    <w:rsid w:val="001F353F"/>
    <w:rsid w:val="001F4A48"/>
    <w:rsid w:val="002002FA"/>
    <w:rsid w:val="00203E3D"/>
    <w:rsid w:val="00252CA4"/>
    <w:rsid w:val="0025406A"/>
    <w:rsid w:val="002545B1"/>
    <w:rsid w:val="00262FD3"/>
    <w:rsid w:val="00281A10"/>
    <w:rsid w:val="00281FAB"/>
    <w:rsid w:val="002830F4"/>
    <w:rsid w:val="002970CE"/>
    <w:rsid w:val="00297E96"/>
    <w:rsid w:val="002A60A4"/>
    <w:rsid w:val="002C6C89"/>
    <w:rsid w:val="002D4C2A"/>
    <w:rsid w:val="002E19E0"/>
    <w:rsid w:val="00300CF7"/>
    <w:rsid w:val="0030287B"/>
    <w:rsid w:val="00310F6D"/>
    <w:rsid w:val="00323762"/>
    <w:rsid w:val="00325B5B"/>
    <w:rsid w:val="00334EC0"/>
    <w:rsid w:val="00347DBC"/>
    <w:rsid w:val="00371CD0"/>
    <w:rsid w:val="00387F54"/>
    <w:rsid w:val="00391905"/>
    <w:rsid w:val="00396AF1"/>
    <w:rsid w:val="003A0103"/>
    <w:rsid w:val="003A7B58"/>
    <w:rsid w:val="003B267A"/>
    <w:rsid w:val="003C4613"/>
    <w:rsid w:val="003D3115"/>
    <w:rsid w:val="003E09FF"/>
    <w:rsid w:val="003E3D0D"/>
    <w:rsid w:val="003E50E8"/>
    <w:rsid w:val="003F52A2"/>
    <w:rsid w:val="004005B8"/>
    <w:rsid w:val="00404BCC"/>
    <w:rsid w:val="00425554"/>
    <w:rsid w:val="00431CC4"/>
    <w:rsid w:val="004378C5"/>
    <w:rsid w:val="00447B52"/>
    <w:rsid w:val="004546CC"/>
    <w:rsid w:val="00456199"/>
    <w:rsid w:val="004708B1"/>
    <w:rsid w:val="004756D8"/>
    <w:rsid w:val="004A0400"/>
    <w:rsid w:val="004E7D33"/>
    <w:rsid w:val="0050338C"/>
    <w:rsid w:val="005076B5"/>
    <w:rsid w:val="00515FBD"/>
    <w:rsid w:val="005234EE"/>
    <w:rsid w:val="005247E2"/>
    <w:rsid w:val="005403D8"/>
    <w:rsid w:val="0055240C"/>
    <w:rsid w:val="00560E2E"/>
    <w:rsid w:val="00574A92"/>
    <w:rsid w:val="005955B1"/>
    <w:rsid w:val="005B4E4D"/>
    <w:rsid w:val="005D0592"/>
    <w:rsid w:val="005D0E06"/>
    <w:rsid w:val="005D28D9"/>
    <w:rsid w:val="005D6172"/>
    <w:rsid w:val="005D7161"/>
    <w:rsid w:val="005E1C51"/>
    <w:rsid w:val="005E5A8F"/>
    <w:rsid w:val="006039AA"/>
    <w:rsid w:val="006107EA"/>
    <w:rsid w:val="00621EE8"/>
    <w:rsid w:val="0062225A"/>
    <w:rsid w:val="0064073E"/>
    <w:rsid w:val="006418A1"/>
    <w:rsid w:val="006475B1"/>
    <w:rsid w:val="00652595"/>
    <w:rsid w:val="00676F46"/>
    <w:rsid w:val="00677240"/>
    <w:rsid w:val="00685B9E"/>
    <w:rsid w:val="00686347"/>
    <w:rsid w:val="00686B3F"/>
    <w:rsid w:val="0068770A"/>
    <w:rsid w:val="006A0DA3"/>
    <w:rsid w:val="006A18F2"/>
    <w:rsid w:val="006B67D8"/>
    <w:rsid w:val="006C3D3B"/>
    <w:rsid w:val="006D22F9"/>
    <w:rsid w:val="006D2D84"/>
    <w:rsid w:val="006D3624"/>
    <w:rsid w:val="006D5D45"/>
    <w:rsid w:val="006E1F3B"/>
    <w:rsid w:val="006E2964"/>
    <w:rsid w:val="00715AD2"/>
    <w:rsid w:val="00717C42"/>
    <w:rsid w:val="0072576E"/>
    <w:rsid w:val="0073012B"/>
    <w:rsid w:val="00777156"/>
    <w:rsid w:val="0078145F"/>
    <w:rsid w:val="00782CE4"/>
    <w:rsid w:val="0078341F"/>
    <w:rsid w:val="00791092"/>
    <w:rsid w:val="0079456D"/>
    <w:rsid w:val="007A0CE2"/>
    <w:rsid w:val="007A2991"/>
    <w:rsid w:val="007A4D5B"/>
    <w:rsid w:val="007A6546"/>
    <w:rsid w:val="007C2DFE"/>
    <w:rsid w:val="00806B14"/>
    <w:rsid w:val="00823237"/>
    <w:rsid w:val="00844CA5"/>
    <w:rsid w:val="008455F7"/>
    <w:rsid w:val="00851B88"/>
    <w:rsid w:val="00864008"/>
    <w:rsid w:val="00864FC2"/>
    <w:rsid w:val="008930A5"/>
    <w:rsid w:val="008A14A9"/>
    <w:rsid w:val="008C0AC7"/>
    <w:rsid w:val="008D65E9"/>
    <w:rsid w:val="008D79D4"/>
    <w:rsid w:val="008F37B5"/>
    <w:rsid w:val="00902C34"/>
    <w:rsid w:val="00905A48"/>
    <w:rsid w:val="00912D4E"/>
    <w:rsid w:val="00947BEE"/>
    <w:rsid w:val="00952193"/>
    <w:rsid w:val="00953C0B"/>
    <w:rsid w:val="00985AE2"/>
    <w:rsid w:val="00993C44"/>
    <w:rsid w:val="00994B82"/>
    <w:rsid w:val="009A1B43"/>
    <w:rsid w:val="009B096F"/>
    <w:rsid w:val="009F268A"/>
    <w:rsid w:val="009F6C8B"/>
    <w:rsid w:val="00A059C8"/>
    <w:rsid w:val="00A06FD8"/>
    <w:rsid w:val="00A14435"/>
    <w:rsid w:val="00A23F8A"/>
    <w:rsid w:val="00A258AF"/>
    <w:rsid w:val="00A50B01"/>
    <w:rsid w:val="00A5758F"/>
    <w:rsid w:val="00A635A8"/>
    <w:rsid w:val="00A67698"/>
    <w:rsid w:val="00A7511E"/>
    <w:rsid w:val="00A772D3"/>
    <w:rsid w:val="00A81203"/>
    <w:rsid w:val="00A81926"/>
    <w:rsid w:val="00A82F94"/>
    <w:rsid w:val="00A838E1"/>
    <w:rsid w:val="00A83EC1"/>
    <w:rsid w:val="00AB0A0B"/>
    <w:rsid w:val="00AB5193"/>
    <w:rsid w:val="00AC277C"/>
    <w:rsid w:val="00AC4198"/>
    <w:rsid w:val="00AD2963"/>
    <w:rsid w:val="00AD5466"/>
    <w:rsid w:val="00B06E05"/>
    <w:rsid w:val="00B160EB"/>
    <w:rsid w:val="00B1649C"/>
    <w:rsid w:val="00B25D07"/>
    <w:rsid w:val="00B30012"/>
    <w:rsid w:val="00B318D1"/>
    <w:rsid w:val="00B337FC"/>
    <w:rsid w:val="00B45D29"/>
    <w:rsid w:val="00B84174"/>
    <w:rsid w:val="00B87F91"/>
    <w:rsid w:val="00B942B6"/>
    <w:rsid w:val="00BA213D"/>
    <w:rsid w:val="00BA3715"/>
    <w:rsid w:val="00BB388A"/>
    <w:rsid w:val="00BC4D4A"/>
    <w:rsid w:val="00BC745A"/>
    <w:rsid w:val="00BD0FA7"/>
    <w:rsid w:val="00BE5489"/>
    <w:rsid w:val="00BE6621"/>
    <w:rsid w:val="00BE7DE8"/>
    <w:rsid w:val="00BF2258"/>
    <w:rsid w:val="00C03667"/>
    <w:rsid w:val="00C04EBD"/>
    <w:rsid w:val="00C06B39"/>
    <w:rsid w:val="00C14336"/>
    <w:rsid w:val="00C210B9"/>
    <w:rsid w:val="00C249D9"/>
    <w:rsid w:val="00C332BE"/>
    <w:rsid w:val="00C50A1F"/>
    <w:rsid w:val="00C72ABD"/>
    <w:rsid w:val="00C73154"/>
    <w:rsid w:val="00C80393"/>
    <w:rsid w:val="00C86149"/>
    <w:rsid w:val="00CA4320"/>
    <w:rsid w:val="00CA4B23"/>
    <w:rsid w:val="00CC4E7A"/>
    <w:rsid w:val="00CC5024"/>
    <w:rsid w:val="00CF688F"/>
    <w:rsid w:val="00D17199"/>
    <w:rsid w:val="00D217B7"/>
    <w:rsid w:val="00D22ACF"/>
    <w:rsid w:val="00D23152"/>
    <w:rsid w:val="00D40029"/>
    <w:rsid w:val="00D56E93"/>
    <w:rsid w:val="00D778A7"/>
    <w:rsid w:val="00D862BF"/>
    <w:rsid w:val="00DD21FA"/>
    <w:rsid w:val="00E3339B"/>
    <w:rsid w:val="00E45691"/>
    <w:rsid w:val="00E92692"/>
    <w:rsid w:val="00EB27A0"/>
    <w:rsid w:val="00EF1EEC"/>
    <w:rsid w:val="00F16C57"/>
    <w:rsid w:val="00F21603"/>
    <w:rsid w:val="00F446CF"/>
    <w:rsid w:val="00F53DDE"/>
    <w:rsid w:val="00F5564C"/>
    <w:rsid w:val="00F571A4"/>
    <w:rsid w:val="00F66EB8"/>
    <w:rsid w:val="00F7300B"/>
    <w:rsid w:val="00FB2B08"/>
    <w:rsid w:val="00FD3814"/>
    <w:rsid w:val="00FD38C2"/>
    <w:rsid w:val="00FE0F1F"/>
    <w:rsid w:val="00FE7BE9"/>
    <w:rsid w:val="00FE7D87"/>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2018-07-11T18:30:00+00:00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AE69-6C99-4EA8-8635-B7F35363D1F3}"/>
</file>

<file path=customXml/itemProps2.xml><?xml version="1.0" encoding="utf-8"?>
<ds:datastoreItem xmlns:ds="http://schemas.openxmlformats.org/officeDocument/2006/customXml" ds:itemID="{9A709729-5494-455D-B631-4337CD44EEAB}"/>
</file>

<file path=customXml/itemProps3.xml><?xml version="1.0" encoding="utf-8"?>
<ds:datastoreItem xmlns:ds="http://schemas.openxmlformats.org/officeDocument/2006/customXml" ds:itemID="{83388C56-6221-455D-A224-8AE77E8FAAC7}"/>
</file>

<file path=customXml/itemProps4.xml><?xml version="1.0" encoding="utf-8"?>
<ds:datastoreItem xmlns:ds="http://schemas.openxmlformats.org/officeDocument/2006/customXml" ds:itemID="{9A87BFE4-E752-4589-8834-B5940201605B}"/>
</file>

<file path=docProps/app.xml><?xml version="1.0" encoding="utf-8"?>
<Properties xmlns="http://schemas.openxmlformats.org/officeDocument/2006/extended-properties" xmlns:vt="http://schemas.openxmlformats.org/officeDocument/2006/docPropsVTypes">
  <Template>Normal</Template>
  <TotalTime>4</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Pretorius v van Eck</dc:title>
  <dc:creator>E. Kharases</dc:creator>
  <cp:lastModifiedBy>Nicole Januarie</cp:lastModifiedBy>
  <cp:revision>3</cp:revision>
  <cp:lastPrinted>2018-07-12T09:06:00Z</cp:lastPrinted>
  <dcterms:created xsi:type="dcterms:W3CDTF">2018-07-12T14:30:00Z</dcterms:created>
  <dcterms:modified xsi:type="dcterms:W3CDTF">2018-07-13T07:07:00Z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