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AC" w:rsidRPr="00EB65AB" w:rsidRDefault="00AA10AC" w:rsidP="00AA10AC">
      <w:pPr>
        <w:jc w:val="center"/>
        <w:rPr>
          <w:b/>
        </w:rPr>
      </w:pPr>
      <w:r w:rsidRPr="00EB65AB">
        <w:rPr>
          <w:b/>
        </w:rPr>
        <w:t>REPUBLIC OF NAMIBIA</w:t>
      </w:r>
    </w:p>
    <w:p w:rsidR="00AA10AC" w:rsidRPr="00EB65AB" w:rsidRDefault="00845795" w:rsidP="00AA10AC">
      <w:pPr>
        <w:jc w:val="center"/>
        <w:rPr>
          <w:b/>
          <w:sz w:val="32"/>
          <w:szCs w:val="32"/>
        </w:rPr>
      </w:pPr>
      <w:r w:rsidRPr="00EB65AB">
        <w:rPr>
          <w:b/>
          <w:noProof/>
          <w:sz w:val="32"/>
          <w:szCs w:val="32"/>
          <w:lang w:val="en-US"/>
        </w:rPr>
        <w:drawing>
          <wp:inline distT="0" distB="0" distL="0" distR="0" wp14:anchorId="38757FAC" wp14:editId="0EAFAC8D">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AA10AC" w:rsidRPr="00EB65AB" w:rsidRDefault="00AA10AC" w:rsidP="00AA10AC">
      <w:pPr>
        <w:jc w:val="center"/>
        <w:rPr>
          <w:b/>
        </w:rPr>
      </w:pPr>
    </w:p>
    <w:p w:rsidR="00AA10AC" w:rsidRPr="00EB65AB" w:rsidRDefault="00AA10AC" w:rsidP="00AA10AC">
      <w:pPr>
        <w:jc w:val="center"/>
        <w:rPr>
          <w:bCs/>
        </w:rPr>
      </w:pPr>
      <w:r w:rsidRPr="00EB65AB">
        <w:rPr>
          <w:b/>
        </w:rPr>
        <w:t>HIGH COURT OF NAMIBIA MAIN DIVISION, WINDHOEK</w:t>
      </w:r>
    </w:p>
    <w:p w:rsidR="00AA10AC" w:rsidRPr="00EB65AB" w:rsidRDefault="00AA10AC" w:rsidP="00AA10AC">
      <w:pPr>
        <w:jc w:val="center"/>
        <w:rPr>
          <w:b/>
        </w:rPr>
      </w:pPr>
    </w:p>
    <w:p w:rsidR="006B5FB6" w:rsidRPr="00EB65AB" w:rsidRDefault="006B5FB6" w:rsidP="00AA10AC">
      <w:pPr>
        <w:jc w:val="center"/>
        <w:rPr>
          <w:b/>
        </w:rPr>
      </w:pPr>
    </w:p>
    <w:p w:rsidR="00AA10AC" w:rsidRPr="00EB65AB" w:rsidRDefault="00AA10AC" w:rsidP="00AA10AC">
      <w:pPr>
        <w:jc w:val="right"/>
        <w:rPr>
          <w:b/>
        </w:rPr>
      </w:pPr>
      <w:r w:rsidRPr="00EB65AB">
        <w:t xml:space="preserve">             Case no:</w:t>
      </w:r>
      <w:r w:rsidRPr="00EB65AB">
        <w:tab/>
      </w:r>
      <w:r w:rsidR="006A4634" w:rsidRPr="008B3EFF">
        <w:t>HC-MD-CIV-</w:t>
      </w:r>
      <w:r w:rsidR="006B5FB6" w:rsidRPr="008B3EFF">
        <w:t>ACT-CON-</w:t>
      </w:r>
      <w:r w:rsidR="00863AC5" w:rsidRPr="008B3EFF">
        <w:t>2017/</w:t>
      </w:r>
      <w:r w:rsidR="00C43A6B" w:rsidRPr="008B3EFF">
        <w:t>3179</w:t>
      </w:r>
    </w:p>
    <w:p w:rsidR="00AA10AC" w:rsidRPr="00EB65AB" w:rsidRDefault="00AA10AC" w:rsidP="00AA10AC"/>
    <w:p w:rsidR="00AA10AC" w:rsidRPr="00EB65AB" w:rsidRDefault="00AA10AC" w:rsidP="00AA10AC">
      <w:r w:rsidRPr="00EB65AB">
        <w:t>In the matter between:</w:t>
      </w:r>
    </w:p>
    <w:p w:rsidR="00AA10AC" w:rsidRPr="00EB65AB" w:rsidRDefault="00AA10AC" w:rsidP="00AA10AC"/>
    <w:p w:rsidR="00AA10AC" w:rsidRPr="00EB65AB" w:rsidRDefault="00C43A6B" w:rsidP="000659C3">
      <w:pPr>
        <w:pStyle w:val="Heading4"/>
        <w:numPr>
          <w:ilvl w:val="0"/>
          <w:numId w:val="0"/>
        </w:numPr>
        <w:tabs>
          <w:tab w:val="clear" w:pos="3686"/>
          <w:tab w:val="right" w:pos="8280"/>
        </w:tabs>
        <w:rPr>
          <w:b/>
        </w:rPr>
      </w:pPr>
      <w:r w:rsidRPr="00EB65AB">
        <w:rPr>
          <w:b/>
        </w:rPr>
        <w:t>MIRAND</w:t>
      </w:r>
      <w:r w:rsidR="00863AC5" w:rsidRPr="00EB65AB">
        <w:rPr>
          <w:b/>
        </w:rPr>
        <w:t>A</w:t>
      </w:r>
      <w:r w:rsidRPr="00EB65AB">
        <w:rPr>
          <w:b/>
        </w:rPr>
        <w:t xml:space="preserve"> TYRE SERVICE (PTY) LTD</w:t>
      </w:r>
      <w:r w:rsidR="00AD60F5" w:rsidRPr="00EB65AB">
        <w:rPr>
          <w:b/>
        </w:rPr>
        <w:tab/>
      </w:r>
      <w:r w:rsidR="006B5FB6" w:rsidRPr="00EB65AB">
        <w:rPr>
          <w:b/>
        </w:rPr>
        <w:t>PLAINTIFF</w:t>
      </w:r>
    </w:p>
    <w:p w:rsidR="008B3EFF" w:rsidRDefault="008B3EFF" w:rsidP="00AA10AC"/>
    <w:p w:rsidR="00AA10AC" w:rsidRPr="00EB65AB" w:rsidRDefault="00AA10AC" w:rsidP="00AA10AC">
      <w:proofErr w:type="gramStart"/>
      <w:r w:rsidRPr="00EB65AB">
        <w:t>and</w:t>
      </w:r>
      <w:proofErr w:type="gramEnd"/>
    </w:p>
    <w:p w:rsidR="00C43A6B" w:rsidRPr="00EB65AB" w:rsidRDefault="00C43A6B" w:rsidP="000659C3">
      <w:pPr>
        <w:tabs>
          <w:tab w:val="right" w:pos="8280"/>
        </w:tabs>
        <w:rPr>
          <w:b/>
        </w:rPr>
      </w:pPr>
    </w:p>
    <w:p w:rsidR="00AA10AC" w:rsidRPr="00EB65AB" w:rsidRDefault="00C43A6B" w:rsidP="000659C3">
      <w:pPr>
        <w:tabs>
          <w:tab w:val="right" w:pos="8280"/>
        </w:tabs>
        <w:rPr>
          <w:b/>
        </w:rPr>
      </w:pPr>
      <w:r w:rsidRPr="00EB65AB">
        <w:rPr>
          <w:b/>
        </w:rPr>
        <w:t>JIN CASINGS AND TYRE SUPPLIES CC</w:t>
      </w:r>
      <w:r w:rsidR="00AA10AC" w:rsidRPr="00EB65AB">
        <w:rPr>
          <w:b/>
        </w:rPr>
        <w:tab/>
      </w:r>
      <w:r w:rsidRPr="00EB65AB">
        <w:rPr>
          <w:b/>
        </w:rPr>
        <w:t>1</w:t>
      </w:r>
      <w:r w:rsidRPr="00EB65AB">
        <w:rPr>
          <w:b/>
          <w:vertAlign w:val="superscript"/>
        </w:rPr>
        <w:t>ST</w:t>
      </w:r>
      <w:r w:rsidRPr="00EB65AB">
        <w:rPr>
          <w:b/>
        </w:rPr>
        <w:t xml:space="preserve"> </w:t>
      </w:r>
      <w:r w:rsidR="00AC5707" w:rsidRPr="00EB65AB">
        <w:rPr>
          <w:b/>
        </w:rPr>
        <w:t>DEFENDANT</w:t>
      </w:r>
    </w:p>
    <w:p w:rsidR="00C43A6B" w:rsidRPr="00EB65AB" w:rsidRDefault="00C43A6B" w:rsidP="000659C3">
      <w:pPr>
        <w:tabs>
          <w:tab w:val="right" w:pos="8280"/>
        </w:tabs>
        <w:rPr>
          <w:b/>
        </w:rPr>
      </w:pPr>
      <w:r w:rsidRPr="00EB65AB">
        <w:rPr>
          <w:b/>
        </w:rPr>
        <w:t>SIMEON NEUMBO</w:t>
      </w:r>
      <w:r w:rsidRPr="00EB65AB">
        <w:rPr>
          <w:b/>
        </w:rPr>
        <w:tab/>
        <w:t>2</w:t>
      </w:r>
      <w:r w:rsidRPr="00EB65AB">
        <w:rPr>
          <w:b/>
          <w:vertAlign w:val="superscript"/>
        </w:rPr>
        <w:t>ND</w:t>
      </w:r>
      <w:r w:rsidRPr="00EB65AB">
        <w:rPr>
          <w:b/>
        </w:rPr>
        <w:t xml:space="preserve"> DEFENDANT</w:t>
      </w:r>
    </w:p>
    <w:p w:rsidR="00C43A6B" w:rsidRPr="00EB65AB" w:rsidRDefault="00C43A6B" w:rsidP="000659C3">
      <w:pPr>
        <w:tabs>
          <w:tab w:val="right" w:pos="8280"/>
        </w:tabs>
        <w:rPr>
          <w:b/>
        </w:rPr>
      </w:pPr>
      <w:r w:rsidRPr="00EB65AB">
        <w:rPr>
          <w:b/>
        </w:rPr>
        <w:t>JULIA INAMUVULWA NEUMBO</w:t>
      </w:r>
      <w:r w:rsidRPr="00EB65AB">
        <w:rPr>
          <w:b/>
        </w:rPr>
        <w:tab/>
        <w:t>3</w:t>
      </w:r>
      <w:r w:rsidRPr="00EB65AB">
        <w:rPr>
          <w:b/>
          <w:vertAlign w:val="superscript"/>
        </w:rPr>
        <w:t>RD</w:t>
      </w:r>
      <w:r w:rsidRPr="00EB65AB">
        <w:rPr>
          <w:b/>
        </w:rPr>
        <w:t xml:space="preserve"> DEFENDANT</w:t>
      </w:r>
    </w:p>
    <w:p w:rsidR="00AA10AC" w:rsidRPr="00EB65AB" w:rsidRDefault="00AA10AC" w:rsidP="000659C3">
      <w:pPr>
        <w:tabs>
          <w:tab w:val="right" w:pos="8280"/>
        </w:tabs>
        <w:rPr>
          <w:b/>
        </w:rPr>
      </w:pPr>
    </w:p>
    <w:p w:rsidR="00AA10AC" w:rsidRPr="00EB65AB" w:rsidRDefault="00AA10AC" w:rsidP="00AA10AC">
      <w:pPr>
        <w:rPr>
          <w:b/>
          <w:u w:val="single"/>
        </w:rPr>
      </w:pPr>
    </w:p>
    <w:p w:rsidR="00355341" w:rsidRPr="00EB65AB" w:rsidRDefault="00355341" w:rsidP="003016BE">
      <w:r w:rsidRPr="00EB65AB">
        <w:rPr>
          <w:b/>
        </w:rPr>
        <w:t>Neutral citation:</w:t>
      </w:r>
      <w:r w:rsidR="003016BE" w:rsidRPr="00EB65AB">
        <w:rPr>
          <w:b/>
        </w:rPr>
        <w:t xml:space="preserve">  </w:t>
      </w:r>
      <w:r w:rsidR="003016BE" w:rsidRPr="00EB65AB">
        <w:rPr>
          <w:i/>
        </w:rPr>
        <w:t>M</w:t>
      </w:r>
      <w:r w:rsidR="0004242C">
        <w:rPr>
          <w:i/>
        </w:rPr>
        <w:t>iranda Tyre Service (Pty) Ltd v</w:t>
      </w:r>
      <w:bookmarkStart w:id="0" w:name="_GoBack"/>
      <w:bookmarkEnd w:id="0"/>
      <w:r w:rsidR="003016BE" w:rsidRPr="00EB65AB">
        <w:rPr>
          <w:i/>
        </w:rPr>
        <w:t xml:space="preserve"> </w:t>
      </w:r>
      <w:proofErr w:type="spellStart"/>
      <w:r w:rsidR="003016BE" w:rsidRPr="00EB65AB">
        <w:rPr>
          <w:i/>
        </w:rPr>
        <w:t>Jin</w:t>
      </w:r>
      <w:proofErr w:type="spellEnd"/>
      <w:r w:rsidR="003016BE" w:rsidRPr="00EB65AB">
        <w:rPr>
          <w:i/>
        </w:rPr>
        <w:t xml:space="preserve"> Casings and Tyre Supplies CC </w:t>
      </w:r>
      <w:r w:rsidR="003016BE" w:rsidRPr="00EB65AB">
        <w:t>(HC-MD-CIV-ACT-CON-2017/03179</w:t>
      </w:r>
      <w:r w:rsidR="00DD05D5" w:rsidRPr="00EB65AB">
        <w:t>)</w:t>
      </w:r>
      <w:r w:rsidR="008B3EFF">
        <w:t xml:space="preserve"> [2018]</w:t>
      </w:r>
      <w:r w:rsidR="00DD05D5" w:rsidRPr="00EB65AB">
        <w:t xml:space="preserve"> NAHCMD 247</w:t>
      </w:r>
      <w:r w:rsidR="00B85F7F" w:rsidRPr="00EB65AB">
        <w:t xml:space="preserve"> (10</w:t>
      </w:r>
      <w:r w:rsidR="003016BE" w:rsidRPr="00EB65AB">
        <w:t xml:space="preserve"> August 2018</w:t>
      </w:r>
      <w:r w:rsidR="008B3EFF">
        <w:t>)</w:t>
      </w:r>
    </w:p>
    <w:p w:rsidR="00AA10AC" w:rsidRPr="00EB65AB" w:rsidRDefault="00AA10AC" w:rsidP="00AA10AC">
      <w:pPr>
        <w:ind w:left="2160" w:hanging="2160"/>
      </w:pPr>
    </w:p>
    <w:p w:rsidR="00507DF6" w:rsidRPr="00EB65AB" w:rsidRDefault="00AA10AC" w:rsidP="009154D0">
      <w:pPr>
        <w:ind w:left="2160" w:hanging="2160"/>
        <w:rPr>
          <w:b/>
          <w:i/>
        </w:rPr>
      </w:pPr>
      <w:r w:rsidRPr="00EB65AB">
        <w:rPr>
          <w:b/>
        </w:rPr>
        <w:t>Coram:</w:t>
      </w:r>
      <w:r w:rsidRPr="00EB65AB">
        <w:tab/>
      </w:r>
      <w:r w:rsidR="00C43A6B" w:rsidRPr="00EB65AB">
        <w:t>PRINSLOO</w:t>
      </w:r>
      <w:r w:rsidR="00C21014" w:rsidRPr="00EB65AB">
        <w:t xml:space="preserve"> J</w:t>
      </w:r>
    </w:p>
    <w:p w:rsidR="00507DF6" w:rsidRPr="008B3EFF" w:rsidRDefault="00AA10AC" w:rsidP="007C68D8">
      <w:pPr>
        <w:ind w:left="2160" w:hanging="2160"/>
        <w:rPr>
          <w:b/>
        </w:rPr>
      </w:pPr>
      <w:r w:rsidRPr="00EB65AB">
        <w:rPr>
          <w:b/>
          <w:bCs/>
        </w:rPr>
        <w:t>Heard</w:t>
      </w:r>
      <w:r w:rsidRPr="00EB65AB">
        <w:t>:</w:t>
      </w:r>
      <w:r w:rsidRPr="00EB65AB">
        <w:tab/>
      </w:r>
      <w:r w:rsidR="00C43A6B" w:rsidRPr="008B3EFF">
        <w:rPr>
          <w:b/>
        </w:rPr>
        <w:t>10 July 2018</w:t>
      </w:r>
    </w:p>
    <w:p w:rsidR="00AA10AC" w:rsidRPr="008B3EFF" w:rsidRDefault="00AA10AC" w:rsidP="008B3EFF">
      <w:pPr>
        <w:ind w:left="2160" w:hanging="2160"/>
        <w:rPr>
          <w:b/>
        </w:rPr>
      </w:pPr>
      <w:r w:rsidRPr="008B3EFF">
        <w:rPr>
          <w:b/>
          <w:bCs/>
        </w:rPr>
        <w:t>Delivered</w:t>
      </w:r>
      <w:r w:rsidRPr="008B3EFF">
        <w:rPr>
          <w:b/>
        </w:rPr>
        <w:t>:</w:t>
      </w:r>
      <w:r w:rsidRPr="008B3EFF">
        <w:rPr>
          <w:b/>
        </w:rPr>
        <w:tab/>
      </w:r>
      <w:r w:rsidR="00C43A6B" w:rsidRPr="008B3EFF">
        <w:rPr>
          <w:b/>
        </w:rPr>
        <w:t>10 August 2018</w:t>
      </w:r>
    </w:p>
    <w:p w:rsidR="00AD60F5" w:rsidRPr="00EB65AB" w:rsidRDefault="00AD60F5" w:rsidP="00AA10AC">
      <w:pPr>
        <w:ind w:left="1440" w:hanging="1440"/>
      </w:pPr>
    </w:p>
    <w:p w:rsidR="00BC352C" w:rsidRPr="00EB65AB" w:rsidRDefault="00655F7D" w:rsidP="00BC352C">
      <w:proofErr w:type="spellStart"/>
      <w:r w:rsidRPr="00EB65AB">
        <w:rPr>
          <w:b/>
        </w:rPr>
        <w:t>Flynote</w:t>
      </w:r>
      <w:proofErr w:type="spellEnd"/>
      <w:r w:rsidRPr="00EB65AB">
        <w:rPr>
          <w:b/>
        </w:rPr>
        <w:t>:</w:t>
      </w:r>
      <w:r w:rsidRPr="00EB65AB">
        <w:rPr>
          <w:b/>
        </w:rPr>
        <w:tab/>
      </w:r>
      <w:r w:rsidR="00C21014" w:rsidRPr="00EB65AB">
        <w:t>Civil Procedure –</w:t>
      </w:r>
      <w:r w:rsidR="00BC352C" w:rsidRPr="00EB65AB">
        <w:t xml:space="preserve"> Summary judgment A</w:t>
      </w:r>
      <w:r w:rsidR="00EE2FD0" w:rsidRPr="00EB65AB">
        <w:t xml:space="preserve">pplication – </w:t>
      </w:r>
      <w:r w:rsidR="00BC352C" w:rsidRPr="00EB65AB">
        <w:t xml:space="preserve">Rule 60 </w:t>
      </w:r>
      <w:r w:rsidR="003B56DF" w:rsidRPr="00EB65AB">
        <w:t xml:space="preserve">– whether the defendants have a triable defence – defence of duress alleged – </w:t>
      </w:r>
      <w:r w:rsidR="003B56DF" w:rsidRPr="00EB65AB">
        <w:lastRenderedPageBreak/>
        <w:t>discrepancies alleged in respect of acknowledgment of debt signed – discrepancies in respect of claimed amounts by plaintiff – Court found t</w:t>
      </w:r>
      <w:r w:rsidR="003016BE" w:rsidRPr="00EB65AB">
        <w:t>h</w:t>
      </w:r>
      <w:r w:rsidR="003B56DF" w:rsidRPr="00EB65AB">
        <w:t>ere to be a triable defence – Summary Judgment Application refused.</w:t>
      </w:r>
    </w:p>
    <w:p w:rsidR="007D42B3" w:rsidRPr="00EB65AB" w:rsidRDefault="007D42B3" w:rsidP="00E74849"/>
    <w:p w:rsidR="00AD60F5" w:rsidRPr="00EB65AB" w:rsidRDefault="00655F7D" w:rsidP="001A6B13">
      <w:r w:rsidRPr="00EB65AB">
        <w:rPr>
          <w:b/>
        </w:rPr>
        <w:t>Summary:</w:t>
      </w:r>
      <w:r w:rsidRPr="00EB65AB">
        <w:rPr>
          <w:b/>
        </w:rPr>
        <w:tab/>
      </w:r>
      <w:r w:rsidR="00E439DE" w:rsidRPr="00EB65AB">
        <w:t xml:space="preserve">The application before this </w:t>
      </w:r>
      <w:proofErr w:type="gramStart"/>
      <w:r w:rsidR="00E439DE" w:rsidRPr="00EB65AB">
        <w:t>court,</w:t>
      </w:r>
      <w:proofErr w:type="gramEnd"/>
      <w:r w:rsidR="00E439DE" w:rsidRPr="00EB65AB">
        <w:t xml:space="preserve"> is an interlocutory application, more specifically a Summary Judgment Application. The plaintiff instituted action proceedings against the defendants for goods sold and delivered, </w:t>
      </w:r>
      <w:r w:rsidR="00B85F7F" w:rsidRPr="00EB65AB">
        <w:t>resulting</w:t>
      </w:r>
      <w:r w:rsidR="00E439DE" w:rsidRPr="00EB65AB">
        <w:t xml:space="preserve"> in an acknowledgment of debt being concluded</w:t>
      </w:r>
      <w:r w:rsidR="00B85F7F" w:rsidRPr="00EB65AB">
        <w:t>,</w:t>
      </w:r>
      <w:r w:rsidR="00E439DE" w:rsidRPr="00EB65AB">
        <w:t xml:space="preserve"> </w:t>
      </w:r>
      <w:r w:rsidR="00B85F7F" w:rsidRPr="00EB65AB">
        <w:t>w</w:t>
      </w:r>
      <w:r w:rsidR="00E439DE" w:rsidRPr="00EB65AB">
        <w:t>hich is also the basis of the plaintiff’s claim.</w:t>
      </w:r>
    </w:p>
    <w:p w:rsidR="00AD60F5" w:rsidRPr="00EB65AB" w:rsidRDefault="00AD60F5" w:rsidP="00AA10AC">
      <w:pPr>
        <w:ind w:left="1440" w:hanging="1440"/>
      </w:pPr>
    </w:p>
    <w:p w:rsidR="00117E40" w:rsidRPr="00EB65AB" w:rsidRDefault="00117E40" w:rsidP="00117E40">
      <w:r w:rsidRPr="00EB65AB">
        <w:t>The first defendant raises the defence of amongst others, duress and the authenticity of the acknowledgment of debt signed.</w:t>
      </w:r>
    </w:p>
    <w:p w:rsidR="00117E40" w:rsidRPr="00EB65AB" w:rsidRDefault="00117E40" w:rsidP="00117E40"/>
    <w:p w:rsidR="00117E40" w:rsidRPr="00EB65AB" w:rsidRDefault="00117E40" w:rsidP="00117E40">
      <w:r w:rsidRPr="00EB65AB">
        <w:rPr>
          <w:i/>
        </w:rPr>
        <w:t>Held</w:t>
      </w:r>
      <w:r w:rsidR="00755188" w:rsidRPr="00EB65AB">
        <w:rPr>
          <w:i/>
        </w:rPr>
        <w:t xml:space="preserve"> – </w:t>
      </w:r>
      <w:r w:rsidR="00755188" w:rsidRPr="00EB65AB">
        <w:t>t</w:t>
      </w:r>
      <w:r w:rsidRPr="00EB65AB">
        <w:t>hat the first defendant raised a triable defence and therefore the summary judgment could not succeed.</w:t>
      </w:r>
    </w:p>
    <w:p w:rsidR="00755188" w:rsidRPr="00EB65AB" w:rsidRDefault="00755188" w:rsidP="00117E40"/>
    <w:p w:rsidR="00117E40" w:rsidRPr="00EB65AB" w:rsidRDefault="00117E40" w:rsidP="00117E40">
      <w:r w:rsidRPr="00EB65AB">
        <w:rPr>
          <w:i/>
        </w:rPr>
        <w:t>Held</w:t>
      </w:r>
      <w:r w:rsidR="00755188" w:rsidRPr="00EB65AB">
        <w:rPr>
          <w:i/>
        </w:rPr>
        <w:t xml:space="preserve"> further – </w:t>
      </w:r>
      <w:r w:rsidR="00755188" w:rsidRPr="00EB65AB">
        <w:t>t</w:t>
      </w:r>
      <w:r w:rsidR="008F0B95" w:rsidRPr="00EB65AB">
        <w:t>he Summary Judgment Application is refused.</w:t>
      </w:r>
    </w:p>
    <w:p w:rsidR="00117E40" w:rsidRPr="00EB65AB" w:rsidRDefault="00117E40" w:rsidP="00117E40"/>
    <w:p w:rsidR="00655F7D" w:rsidRPr="00EB65AB" w:rsidRDefault="002D59DE" w:rsidP="00655F7D">
      <w:pPr>
        <w:rPr>
          <w:bCs/>
        </w:rPr>
      </w:pPr>
      <w:r>
        <w:rPr>
          <w:bCs/>
        </w:rPr>
        <w:pict>
          <v:rect id="_x0000_i1025" style="width:0;height:1.5pt" o:hralign="center" o:hrstd="t" o:hr="t" fillcolor="#a0a0a0" stroked="f"/>
        </w:pict>
      </w:r>
    </w:p>
    <w:p w:rsidR="00F6712A" w:rsidRPr="00EB65AB" w:rsidRDefault="00655F7D" w:rsidP="00E01FFB">
      <w:pPr>
        <w:jc w:val="center"/>
        <w:rPr>
          <w:b/>
          <w:bCs/>
        </w:rPr>
      </w:pPr>
      <w:r w:rsidRPr="00EB65AB">
        <w:rPr>
          <w:b/>
          <w:bCs/>
        </w:rPr>
        <w:t>ORDER</w:t>
      </w:r>
      <w:r w:rsidR="00F6712A" w:rsidRPr="00EB65AB">
        <w:rPr>
          <w:b/>
          <w:bCs/>
        </w:rPr>
        <w:softHyphen/>
      </w:r>
      <w:r w:rsidR="00F6712A" w:rsidRPr="00EB65AB">
        <w:rPr>
          <w:b/>
          <w:bCs/>
        </w:rPr>
        <w:softHyphen/>
      </w:r>
      <w:r w:rsidR="00F6712A" w:rsidRPr="00EB65AB">
        <w:rPr>
          <w:b/>
          <w:bCs/>
        </w:rPr>
        <w:softHyphen/>
      </w:r>
      <w:r w:rsidR="00F6712A" w:rsidRPr="00EB65AB">
        <w:rPr>
          <w:b/>
          <w:bCs/>
        </w:rPr>
        <w:softHyphen/>
      </w:r>
      <w:r w:rsidR="00F6712A" w:rsidRPr="00EB65AB">
        <w:rPr>
          <w:b/>
          <w:bCs/>
        </w:rPr>
        <w:softHyphen/>
      </w:r>
      <w:r w:rsidR="00F6712A" w:rsidRPr="00EB65AB">
        <w:rPr>
          <w:b/>
          <w:bCs/>
        </w:rPr>
        <w:softHyphen/>
      </w:r>
      <w:r w:rsidR="00F6712A" w:rsidRPr="00EB65AB">
        <w:rPr>
          <w:b/>
          <w:bCs/>
        </w:rPr>
        <w:softHyphen/>
      </w:r>
      <w:r w:rsidR="00F6712A" w:rsidRPr="00EB65AB">
        <w:rPr>
          <w:b/>
          <w:bCs/>
        </w:rPr>
        <w:softHyphen/>
      </w:r>
      <w:r w:rsidR="00F6712A" w:rsidRPr="00EB65AB">
        <w:rPr>
          <w:b/>
          <w:bCs/>
        </w:rPr>
        <w:softHyphen/>
      </w:r>
      <w:r w:rsidR="00F6712A" w:rsidRPr="00EB65AB">
        <w:rPr>
          <w:b/>
          <w:bCs/>
        </w:rPr>
        <w:softHyphen/>
      </w:r>
      <w:r w:rsidR="00F6712A" w:rsidRPr="00EB65AB">
        <w:rPr>
          <w:b/>
          <w:bCs/>
        </w:rPr>
        <w:softHyphen/>
      </w:r>
      <w:r w:rsidR="00F6712A" w:rsidRPr="00EB65AB">
        <w:rPr>
          <w:b/>
          <w:bCs/>
        </w:rPr>
        <w:softHyphen/>
      </w:r>
      <w:r w:rsidR="00F6712A" w:rsidRPr="00EB65AB">
        <w:rPr>
          <w:b/>
          <w:bCs/>
        </w:rPr>
        <w:softHyphen/>
      </w:r>
      <w:r w:rsidR="00F6712A" w:rsidRPr="00EB65AB">
        <w:rPr>
          <w:b/>
          <w:bCs/>
        </w:rPr>
        <w:softHyphen/>
      </w:r>
      <w:r w:rsidR="002D59DE">
        <w:rPr>
          <w:bCs/>
        </w:rPr>
        <w:pict>
          <v:rect id="_x0000_i1026" style="width:0;height:1.5pt" o:hralign="center" o:hrstd="t" o:hr="t" fillcolor="#a0a0a0" stroked="f"/>
        </w:pict>
      </w:r>
    </w:p>
    <w:p w:rsidR="00863AC5" w:rsidRDefault="00863AC5" w:rsidP="00B85F7F">
      <w:pPr>
        <w:pStyle w:val="ListParagraph"/>
        <w:numPr>
          <w:ilvl w:val="0"/>
          <w:numId w:val="29"/>
        </w:numPr>
      </w:pPr>
      <w:r w:rsidRPr="00EB65AB">
        <w:t>Application For summary judgment is refused</w:t>
      </w:r>
      <w:r w:rsidR="00EB65AB">
        <w:t>.</w:t>
      </w:r>
    </w:p>
    <w:p w:rsidR="008B3EFF" w:rsidRPr="00EB65AB" w:rsidRDefault="008B3EFF" w:rsidP="008B3EFF">
      <w:pPr>
        <w:pStyle w:val="ListParagraph"/>
        <w:ind w:left="360"/>
      </w:pPr>
    </w:p>
    <w:p w:rsidR="00863AC5" w:rsidRDefault="00863AC5" w:rsidP="00B85F7F">
      <w:pPr>
        <w:pStyle w:val="ListParagraph"/>
        <w:numPr>
          <w:ilvl w:val="0"/>
          <w:numId w:val="29"/>
        </w:numPr>
      </w:pPr>
      <w:r w:rsidRPr="00EB65AB">
        <w:t>Defendant is granted leave to defend the action.</w:t>
      </w:r>
    </w:p>
    <w:p w:rsidR="008B3EFF" w:rsidRPr="00EB65AB" w:rsidRDefault="008B3EFF" w:rsidP="008B3EFF"/>
    <w:p w:rsidR="00863AC5" w:rsidRDefault="00863AC5" w:rsidP="00B85F7F">
      <w:pPr>
        <w:pStyle w:val="ListParagraph"/>
        <w:numPr>
          <w:ilvl w:val="0"/>
          <w:numId w:val="29"/>
        </w:numPr>
      </w:pPr>
      <w:r w:rsidRPr="00EB65AB">
        <w:t xml:space="preserve">Cost in respect of the application in </w:t>
      </w:r>
      <w:proofErr w:type="spellStart"/>
      <w:r w:rsidRPr="00EB65AB">
        <w:t>casu</w:t>
      </w:r>
      <w:proofErr w:type="spellEnd"/>
      <w:r w:rsidRPr="00EB65AB">
        <w:t xml:space="preserve"> is reserved for the trial court. </w:t>
      </w:r>
    </w:p>
    <w:p w:rsidR="008B3EFF" w:rsidRPr="00EB65AB" w:rsidRDefault="008B3EFF" w:rsidP="008B3EFF"/>
    <w:p w:rsidR="00863AC5" w:rsidRDefault="00863AC5" w:rsidP="00B85F7F">
      <w:pPr>
        <w:pStyle w:val="ListParagraph"/>
        <w:numPr>
          <w:ilvl w:val="0"/>
          <w:numId w:val="29"/>
        </w:numPr>
      </w:pPr>
      <w:r w:rsidRPr="00EB65AB">
        <w:t xml:space="preserve">Costs: Scale of the wasted costs tendered for 28 March 2018 and 24 April 2018 to be on attorney and client scale. </w:t>
      </w:r>
    </w:p>
    <w:p w:rsidR="008B3EFF" w:rsidRPr="00EB65AB" w:rsidRDefault="008B3EFF" w:rsidP="008B3EFF"/>
    <w:p w:rsidR="00863AC5" w:rsidRDefault="00863AC5" w:rsidP="00EB65AB">
      <w:pPr>
        <w:pStyle w:val="ListParagraph"/>
        <w:numPr>
          <w:ilvl w:val="0"/>
          <w:numId w:val="29"/>
        </w:numPr>
      </w:pPr>
      <w:r w:rsidRPr="00EB65AB">
        <w:t>Case is postponed to 13 September 2018 at 15:00 for Case Plan Conference in terms of Rule 23(5).</w:t>
      </w:r>
    </w:p>
    <w:p w:rsidR="008B3EFF" w:rsidRDefault="008B3EFF" w:rsidP="008B3EFF">
      <w:pPr>
        <w:pStyle w:val="ListParagraph"/>
      </w:pPr>
    </w:p>
    <w:p w:rsidR="008B3EFF" w:rsidRPr="00EB65AB" w:rsidRDefault="008B3EFF" w:rsidP="008B3EFF">
      <w:pPr>
        <w:pStyle w:val="ListParagraph"/>
        <w:ind w:left="360"/>
      </w:pPr>
    </w:p>
    <w:p w:rsidR="00AA10AC" w:rsidRPr="00EB65AB" w:rsidRDefault="002D59DE" w:rsidP="00AA10AC">
      <w:pPr>
        <w:rPr>
          <w:bCs/>
        </w:rPr>
      </w:pPr>
      <w:r>
        <w:rPr>
          <w:bCs/>
        </w:rPr>
        <w:lastRenderedPageBreak/>
        <w:pict>
          <v:rect id="_x0000_i1027" style="width:0;height:1.5pt" o:hralign="center" o:hrstd="t" o:hr="t" fillcolor="#a0a0a0" stroked="f"/>
        </w:pict>
      </w:r>
    </w:p>
    <w:p w:rsidR="00AA10AC" w:rsidRPr="00EB65AB" w:rsidRDefault="00813175" w:rsidP="00AA10AC">
      <w:pPr>
        <w:jc w:val="center"/>
        <w:rPr>
          <w:b/>
        </w:rPr>
      </w:pPr>
      <w:r w:rsidRPr="00EB65AB">
        <w:rPr>
          <w:b/>
        </w:rPr>
        <w:t>RULING</w:t>
      </w:r>
    </w:p>
    <w:p w:rsidR="00AA10AC" w:rsidRPr="00EB65AB" w:rsidRDefault="002D59DE" w:rsidP="00AA10AC">
      <w:pPr>
        <w:jc w:val="center"/>
        <w:rPr>
          <w:b/>
        </w:rPr>
      </w:pPr>
      <w:r>
        <w:rPr>
          <w:bCs/>
        </w:rPr>
        <w:pict>
          <v:rect id="_x0000_i1028" style="width:0;height:1.5pt" o:hralign="center" o:hrstd="t" o:hr="t" fillcolor="#a0a0a0" stroked="f"/>
        </w:pict>
      </w:r>
    </w:p>
    <w:p w:rsidR="00AA10AC" w:rsidRPr="00EB65AB" w:rsidRDefault="00AA10AC" w:rsidP="00AA10AC">
      <w:pPr>
        <w:ind w:left="1440" w:hanging="1440"/>
      </w:pPr>
    </w:p>
    <w:p w:rsidR="0014557B" w:rsidRPr="00EB65AB" w:rsidRDefault="0014557B" w:rsidP="0014557B">
      <w:r w:rsidRPr="00EB65AB">
        <w:t>[1]</w:t>
      </w:r>
      <w:r w:rsidRPr="00EB65AB">
        <w:tab/>
        <w:t xml:space="preserve">The plaintiff </w:t>
      </w:r>
      <w:r w:rsidR="00C43A6B" w:rsidRPr="00EB65AB">
        <w:t xml:space="preserve">applied for summary judgment against the first and second defendants </w:t>
      </w:r>
      <w:r w:rsidR="00B863C2" w:rsidRPr="00EB65AB">
        <w:t>jointly and severally</w:t>
      </w:r>
      <w:r w:rsidR="00755188" w:rsidRPr="00EB65AB">
        <w:t xml:space="preserve">. </w:t>
      </w:r>
      <w:r w:rsidR="00C43A6B" w:rsidRPr="00EB65AB">
        <w:t>The first and second defend</w:t>
      </w:r>
      <w:r w:rsidR="00066D54" w:rsidRPr="00EB65AB">
        <w:t>ant opposed this application.  T</w:t>
      </w:r>
      <w:r w:rsidR="00C43A6B" w:rsidRPr="00EB65AB">
        <w:t>he second defendant as the managing partner of the first defendant filed the affid</w:t>
      </w:r>
      <w:r w:rsidR="00813175" w:rsidRPr="00EB65AB">
        <w:t>avit resisting summary judgment</w:t>
      </w:r>
      <w:r w:rsidR="00C31109" w:rsidRPr="00EB65AB">
        <w:t>.</w:t>
      </w:r>
      <w:r w:rsidR="00C31109" w:rsidRPr="00EB65AB">
        <w:rPr>
          <w:b/>
        </w:rPr>
        <w:t xml:space="preserve"> </w:t>
      </w:r>
      <w:r w:rsidR="00C43A6B" w:rsidRPr="00EB65AB">
        <w:t>For purposes of this ruling I will refer to the parties as they are in the main action.</w:t>
      </w:r>
    </w:p>
    <w:p w:rsidR="00C43A6B" w:rsidRPr="00EB65AB" w:rsidRDefault="00C43A6B" w:rsidP="00C43A6B">
      <w:pPr>
        <w:rPr>
          <w:i/>
        </w:rPr>
      </w:pPr>
    </w:p>
    <w:p w:rsidR="00C43A6B" w:rsidRPr="008B3EFF" w:rsidRDefault="00C43A6B" w:rsidP="00C43A6B">
      <w:pPr>
        <w:rPr>
          <w:u w:val="single"/>
        </w:rPr>
      </w:pPr>
      <w:r w:rsidRPr="008B3EFF">
        <w:rPr>
          <w:u w:val="single"/>
        </w:rPr>
        <w:t>The Pla</w:t>
      </w:r>
      <w:r w:rsidR="008B3EFF">
        <w:rPr>
          <w:u w:val="single"/>
        </w:rPr>
        <w:t>intiff’s cause of Action</w:t>
      </w:r>
    </w:p>
    <w:p w:rsidR="00C43A6B" w:rsidRPr="00EB65AB" w:rsidRDefault="00C43A6B" w:rsidP="00C43A6B">
      <w:pPr>
        <w:pStyle w:val="Heading1"/>
        <w:numPr>
          <w:ilvl w:val="0"/>
          <w:numId w:val="0"/>
        </w:numPr>
        <w:ind w:left="90"/>
      </w:pPr>
    </w:p>
    <w:p w:rsidR="00AB1965" w:rsidRPr="00EB65AB" w:rsidRDefault="00C43A6B" w:rsidP="0038773F">
      <w:pPr>
        <w:pStyle w:val="Heading1"/>
        <w:numPr>
          <w:ilvl w:val="0"/>
          <w:numId w:val="0"/>
        </w:numPr>
      </w:pPr>
      <w:r w:rsidRPr="00EB65AB">
        <w:t>[2]</w:t>
      </w:r>
      <w:r w:rsidRPr="00EB65AB">
        <w:tab/>
        <w:t>T</w:t>
      </w:r>
      <w:r w:rsidR="000D4B4C" w:rsidRPr="00EB65AB">
        <w:t>he plaintiff a</w:t>
      </w:r>
      <w:r w:rsidR="009907C5" w:rsidRPr="00EB65AB">
        <w:t>llege</w:t>
      </w:r>
      <w:r w:rsidRPr="00EB65AB">
        <w:t>s</w:t>
      </w:r>
      <w:r w:rsidR="000D4B4C" w:rsidRPr="00EB65AB">
        <w:t xml:space="preserve"> in its particulars of claim,</w:t>
      </w:r>
      <w:r w:rsidR="009907C5" w:rsidRPr="00EB65AB">
        <w:t xml:space="preserve"> that on 30 July 2006</w:t>
      </w:r>
      <w:r w:rsidR="009022D5" w:rsidRPr="00EB65AB">
        <w:t xml:space="preserve"> a</w:t>
      </w:r>
      <w:r w:rsidR="009907C5" w:rsidRPr="00EB65AB">
        <w:t>n</w:t>
      </w:r>
      <w:r w:rsidR="009022D5" w:rsidRPr="00EB65AB">
        <w:t xml:space="preserve"> oral agreement entered into between the plaintiff</w:t>
      </w:r>
      <w:r w:rsidRPr="00EB65AB">
        <w:t xml:space="preserve"> (</w:t>
      </w:r>
      <w:r w:rsidR="009907C5" w:rsidRPr="00EB65AB">
        <w:t xml:space="preserve">duly </w:t>
      </w:r>
      <w:r w:rsidR="009022D5" w:rsidRPr="00EB65AB">
        <w:t>represented by John Gary Docherty</w:t>
      </w:r>
      <w:r w:rsidRPr="00EB65AB">
        <w:t>)</w:t>
      </w:r>
      <w:r w:rsidR="009022D5" w:rsidRPr="00EB65AB">
        <w:t xml:space="preserve"> and the first defendant</w:t>
      </w:r>
      <w:r w:rsidRPr="00EB65AB">
        <w:t xml:space="preserve"> (</w:t>
      </w:r>
      <w:r w:rsidR="009907C5" w:rsidRPr="00EB65AB">
        <w:t>duly</w:t>
      </w:r>
      <w:r w:rsidR="009022D5" w:rsidRPr="00EB65AB">
        <w:t xml:space="preserve"> represented by the second defendant</w:t>
      </w:r>
      <w:r w:rsidRPr="00EB65AB">
        <w:t>)</w:t>
      </w:r>
      <w:r w:rsidR="009022D5" w:rsidRPr="00EB65AB">
        <w:t xml:space="preserve"> </w:t>
      </w:r>
      <w:r w:rsidR="004E47FD" w:rsidRPr="00EB65AB">
        <w:t>f</w:t>
      </w:r>
      <w:r w:rsidR="009022D5" w:rsidRPr="00EB65AB">
        <w:t xml:space="preserve">or the supply of </w:t>
      </w:r>
      <w:r w:rsidRPr="00EB65AB">
        <w:t>goods (</w:t>
      </w:r>
      <w:r w:rsidR="000D4B4C" w:rsidRPr="00EB65AB">
        <w:t>more specifically</w:t>
      </w:r>
      <w:r w:rsidR="000D4B4C" w:rsidRPr="00EB65AB">
        <w:rPr>
          <w:b/>
        </w:rPr>
        <w:t xml:space="preserve"> </w:t>
      </w:r>
      <w:r w:rsidR="009022D5" w:rsidRPr="00EB65AB">
        <w:t>tyres</w:t>
      </w:r>
      <w:r w:rsidRPr="00EB65AB">
        <w:t>)</w:t>
      </w:r>
      <w:r w:rsidR="009022D5" w:rsidRPr="00EB65AB">
        <w:t xml:space="preserve"> to the first defendant in exchange for payment of the plaintiff’s usual and customary rates. The first defendant had an open account with the plaintiff and once an order was placed with the plaintiff the </w:t>
      </w:r>
      <w:r w:rsidR="009907C5" w:rsidRPr="00EB65AB">
        <w:t>goods (</w:t>
      </w:r>
      <w:r w:rsidR="009022D5" w:rsidRPr="00EB65AB">
        <w:t>tyres</w:t>
      </w:r>
      <w:r w:rsidR="009907C5" w:rsidRPr="00EB65AB">
        <w:t>)</w:t>
      </w:r>
      <w:r w:rsidR="009022D5" w:rsidRPr="00EB65AB">
        <w:t xml:space="preserve"> would be dispatched from Australia to Namibia by container per sea freight. </w:t>
      </w:r>
    </w:p>
    <w:p w:rsidR="00AB1965" w:rsidRPr="00EB65AB" w:rsidRDefault="00AB1965" w:rsidP="00C43A6B">
      <w:pPr>
        <w:pStyle w:val="Heading1"/>
        <w:numPr>
          <w:ilvl w:val="0"/>
          <w:numId w:val="0"/>
        </w:numPr>
        <w:ind w:left="90"/>
      </w:pPr>
    </w:p>
    <w:p w:rsidR="00EA2B4F" w:rsidRPr="00EB65AB" w:rsidRDefault="00AB1965" w:rsidP="0038773F">
      <w:pPr>
        <w:pStyle w:val="Heading1"/>
        <w:numPr>
          <w:ilvl w:val="0"/>
          <w:numId w:val="0"/>
        </w:numPr>
      </w:pPr>
      <w:r w:rsidRPr="00EB65AB">
        <w:t>[3]</w:t>
      </w:r>
      <w:r w:rsidRPr="00EB65AB">
        <w:tab/>
      </w:r>
      <w:r w:rsidR="009022D5" w:rsidRPr="00EB65AB">
        <w:t>During 1 July 2006 up to 24 July 2012 the plaintiff sold and delivered t</w:t>
      </w:r>
      <w:r w:rsidR="009907C5" w:rsidRPr="00EB65AB">
        <w:t>o the first defendant</w:t>
      </w:r>
      <w:r w:rsidR="00B85F7F" w:rsidRPr="00EB65AB">
        <w:rPr>
          <w:strike/>
        </w:rPr>
        <w:t xml:space="preserve">. </w:t>
      </w:r>
      <w:r w:rsidR="00C43A6B" w:rsidRPr="00EB65AB">
        <w:t xml:space="preserve">The terms of the agreement as reached the parties were </w:t>
      </w:r>
      <w:r w:rsidR="00836FCE" w:rsidRPr="00EB65AB">
        <w:t>pleaded as background facts</w:t>
      </w:r>
      <w:r w:rsidR="00B85F7F" w:rsidRPr="00EB65AB">
        <w:t>:</w:t>
      </w:r>
      <w:r w:rsidR="00836FCE" w:rsidRPr="00EB65AB">
        <w:rPr>
          <w:rStyle w:val="FootnoteReference"/>
        </w:rPr>
        <w:footnoteReference w:id="1"/>
      </w:r>
    </w:p>
    <w:p w:rsidR="00C43A6B" w:rsidRPr="00EB65AB" w:rsidRDefault="00C43A6B" w:rsidP="00AB1965">
      <w:pPr>
        <w:pStyle w:val="Heading1"/>
        <w:numPr>
          <w:ilvl w:val="0"/>
          <w:numId w:val="0"/>
        </w:numPr>
        <w:ind w:left="90"/>
      </w:pPr>
      <w:r w:rsidRPr="00EB65AB">
        <w:lastRenderedPageBreak/>
        <w:t xml:space="preserve"> </w:t>
      </w:r>
    </w:p>
    <w:p w:rsidR="00C43A6B" w:rsidRPr="00EB65AB" w:rsidRDefault="00C43A6B" w:rsidP="00C43A6B">
      <w:pPr>
        <w:pStyle w:val="Heading1"/>
        <w:numPr>
          <w:ilvl w:val="0"/>
          <w:numId w:val="0"/>
        </w:numPr>
      </w:pPr>
      <w:r w:rsidRPr="00EB65AB">
        <w:t>[</w:t>
      </w:r>
      <w:r w:rsidR="00EA2B4F" w:rsidRPr="00EB65AB">
        <w:t>4</w:t>
      </w:r>
      <w:r w:rsidRPr="00EB65AB">
        <w:t>]</w:t>
      </w:r>
      <w:r w:rsidRPr="00EB65AB">
        <w:tab/>
        <w:t xml:space="preserve">Pursuant to the agreement the first defendant operated three separate accounts with the plaintiff by virtue of which it ordered and purchased goods from plaintiff as in terms of the agreement. </w:t>
      </w:r>
    </w:p>
    <w:p w:rsidR="00601B70" w:rsidRPr="00EB65AB" w:rsidRDefault="00601B70" w:rsidP="00601B70"/>
    <w:p w:rsidR="00C43A6B" w:rsidRPr="00EB65AB" w:rsidRDefault="0038773F" w:rsidP="00C43A6B">
      <w:r w:rsidRPr="00EB65AB">
        <w:t>[5</w:t>
      </w:r>
      <w:r w:rsidR="00C43A6B" w:rsidRPr="00EB65AB">
        <w:t>]</w:t>
      </w:r>
      <w:r w:rsidR="00C43A6B" w:rsidRPr="00EB65AB">
        <w:tab/>
        <w:t xml:space="preserve">Plaintiff complied with its obligations in terms of the agreement but </w:t>
      </w:r>
      <w:r w:rsidRPr="00EB65AB">
        <w:t xml:space="preserve">the </w:t>
      </w:r>
      <w:r w:rsidR="00C43A6B" w:rsidRPr="00EB65AB">
        <w:t>first defendant breached the said agreement by failing to effect payment for the outstanding amount for the goods sold and delivered</w:t>
      </w:r>
      <w:r w:rsidR="00B85F7F" w:rsidRPr="00EB65AB">
        <w:rPr>
          <w:strike/>
        </w:rPr>
        <w:t>.</w:t>
      </w:r>
    </w:p>
    <w:p w:rsidR="00601B70" w:rsidRPr="00EB65AB" w:rsidRDefault="00601B70" w:rsidP="00C43A6B"/>
    <w:p w:rsidR="00C43A6B" w:rsidRPr="00EB65AB" w:rsidRDefault="0038773F" w:rsidP="00EB65AB">
      <w:pPr>
        <w:pStyle w:val="Heading1"/>
        <w:numPr>
          <w:ilvl w:val="0"/>
          <w:numId w:val="0"/>
        </w:numPr>
      </w:pPr>
      <w:r w:rsidRPr="00EB65AB">
        <w:t>[6</w:t>
      </w:r>
      <w:r w:rsidR="00C43A6B" w:rsidRPr="00EB65AB">
        <w:t>]</w:t>
      </w:r>
      <w:r w:rsidR="00C43A6B" w:rsidRPr="00EB65AB">
        <w:tab/>
      </w:r>
      <w:r w:rsidR="009907C5" w:rsidRPr="00EB65AB">
        <w:t xml:space="preserve">On 22 July 2008 the plaintiff </w:t>
      </w:r>
      <w:r w:rsidR="00C43A6B" w:rsidRPr="00EB65AB">
        <w:t xml:space="preserve">(still </w:t>
      </w:r>
      <w:r w:rsidR="009907C5" w:rsidRPr="00EB65AB">
        <w:t xml:space="preserve">duly represented by </w:t>
      </w:r>
      <w:r w:rsidR="00C43A6B" w:rsidRPr="00EB65AB">
        <w:t>Mr.</w:t>
      </w:r>
      <w:r w:rsidR="009907C5" w:rsidRPr="00EB65AB">
        <w:t xml:space="preserve"> Docherty</w:t>
      </w:r>
      <w:r w:rsidR="00C43A6B" w:rsidRPr="00EB65AB">
        <w:t>)</w:t>
      </w:r>
      <w:r w:rsidR="009907C5" w:rsidRPr="00EB65AB">
        <w:t xml:space="preserve"> and the first defendant</w:t>
      </w:r>
      <w:r w:rsidR="00C43A6B" w:rsidRPr="00EB65AB">
        <w:t xml:space="preserve"> (</w:t>
      </w:r>
      <w:r w:rsidR="009907C5" w:rsidRPr="00EB65AB">
        <w:t>duly represented by the second defendant and the third defendant</w:t>
      </w:r>
      <w:r w:rsidR="00C43A6B" w:rsidRPr="00EB65AB">
        <w:t>)</w:t>
      </w:r>
      <w:r w:rsidR="009907C5" w:rsidRPr="00EB65AB">
        <w:t xml:space="preserve"> concluded a written commercial agreement whereby the first, second and third defendant agreed to be personally liable and responsible and would guarantee payment of the debt of the first defendant in the amount of $712,068.00 AUD to the plaintiff. The defendants however breached the commercial agreement by failing to effect payment due and payable to the plaintiff for the good sold and delivered. </w:t>
      </w:r>
    </w:p>
    <w:p w:rsidR="00601B70" w:rsidRPr="00EB65AB" w:rsidRDefault="00601B70" w:rsidP="00601B70"/>
    <w:p w:rsidR="009022D5" w:rsidRPr="00EB65AB" w:rsidRDefault="00E409A7" w:rsidP="00EB65AB">
      <w:pPr>
        <w:pStyle w:val="Heading1"/>
        <w:numPr>
          <w:ilvl w:val="0"/>
          <w:numId w:val="0"/>
        </w:numPr>
      </w:pPr>
      <w:r w:rsidRPr="00EB65AB">
        <w:t>[7</w:t>
      </w:r>
      <w:r w:rsidR="00C43A6B" w:rsidRPr="00EB65AB">
        <w:t>]</w:t>
      </w:r>
      <w:r w:rsidR="00C43A6B" w:rsidRPr="00EB65AB">
        <w:tab/>
      </w:r>
      <w:r w:rsidR="009907C5" w:rsidRPr="00EB65AB">
        <w:t xml:space="preserve">On 12 August 2015 the first defendant duly represented by the second defendant in writing acknowledged their indebtedness to the plaintiff in respect of the </w:t>
      </w:r>
      <w:r w:rsidRPr="00EB65AB">
        <w:t xml:space="preserve">following </w:t>
      </w:r>
      <w:r w:rsidR="009907C5" w:rsidRPr="00EB65AB">
        <w:t>amounts of $682,811.85 AUD, $43,348.63 AUD and $ 74, 812.00 AUD.</w:t>
      </w:r>
      <w:r w:rsidR="000F6D1F" w:rsidRPr="00EB65AB">
        <w:t xml:space="preserve"> The $682,811.85 AUD was in respect of tyres purchased from the plaintiff </w:t>
      </w:r>
      <w:proofErr w:type="gramStart"/>
      <w:r w:rsidR="000F6D1F" w:rsidRPr="00EB65AB">
        <w:t>which</w:t>
      </w:r>
      <w:proofErr w:type="gramEnd"/>
      <w:r w:rsidR="000F6D1F" w:rsidRPr="00EB65AB">
        <w:t xml:space="preserve"> was shipped to Namibia at the plaintiff’s expense.</w:t>
      </w:r>
      <w:r w:rsidR="00836FCE" w:rsidRPr="00EB65AB">
        <w:t xml:space="preserve"> It was on this acknowledgment of debt that the plaintiff bases its claim on. It is pleaded that t</w:t>
      </w:r>
      <w:r w:rsidR="000F6D1F" w:rsidRPr="00EB65AB">
        <w:t>he first and second defendants breached the acknowledgment of debt by failing to effect payment in accordance with their written undertaking</w:t>
      </w:r>
      <w:r w:rsidR="001A6B13" w:rsidRPr="00EB65AB">
        <w:t xml:space="preserve"> and as at the dates as set out in the acknowledgment of debt and the first and second defendants are therefor</w:t>
      </w:r>
      <w:r w:rsidR="0014557B" w:rsidRPr="00EB65AB">
        <w:t>e</w:t>
      </w:r>
      <w:r w:rsidR="001A6B13" w:rsidRPr="00EB65AB">
        <w:t xml:space="preserve"> indebted to the plaintiff in the amount of $800,972.48 AUD. </w:t>
      </w:r>
    </w:p>
    <w:p w:rsidR="00E409A7" w:rsidRPr="00EB65AB" w:rsidRDefault="00E409A7" w:rsidP="00E409A7"/>
    <w:p w:rsidR="00C43A6B" w:rsidRPr="00EB65AB" w:rsidRDefault="00D6498A" w:rsidP="00EB65AB">
      <w:pPr>
        <w:pStyle w:val="Heading1"/>
        <w:numPr>
          <w:ilvl w:val="0"/>
          <w:numId w:val="0"/>
        </w:numPr>
      </w:pPr>
      <w:r w:rsidRPr="00EB65AB">
        <w:t>[8</w:t>
      </w:r>
      <w:r w:rsidR="00C43A6B" w:rsidRPr="00EB65AB">
        <w:t>]</w:t>
      </w:r>
      <w:r w:rsidR="00C43A6B" w:rsidRPr="00EB65AB">
        <w:tab/>
      </w:r>
      <w:r w:rsidR="001A6B13" w:rsidRPr="00EB65AB">
        <w:t>In</w:t>
      </w:r>
      <w:r w:rsidR="00C43A6B" w:rsidRPr="00EB65AB">
        <w:t xml:space="preserve"> respect of</w:t>
      </w:r>
      <w:r w:rsidR="001A6B13" w:rsidRPr="00EB65AB">
        <w:t xml:space="preserve"> claim 2 </w:t>
      </w:r>
      <w:proofErr w:type="gramStart"/>
      <w:r w:rsidR="001A6B13" w:rsidRPr="00EB65AB">
        <w:t>plaintiff</w:t>
      </w:r>
      <w:proofErr w:type="gramEnd"/>
      <w:r w:rsidR="001A6B13" w:rsidRPr="00EB65AB">
        <w:t xml:space="preserve"> alleges that a </w:t>
      </w:r>
      <w:r w:rsidR="00C43A6B" w:rsidRPr="00EB65AB">
        <w:t>second</w:t>
      </w:r>
      <w:r w:rsidR="001A6B13" w:rsidRPr="00EB65AB">
        <w:t xml:space="preserve"> oral agreement</w:t>
      </w:r>
      <w:r w:rsidR="0014557B" w:rsidRPr="00EB65AB">
        <w:t xml:space="preserve"> (‘second agreement’)</w:t>
      </w:r>
      <w:r w:rsidR="001A6B13" w:rsidRPr="00EB65AB">
        <w:t xml:space="preserve"> was entered on 4 August 2015 </w:t>
      </w:r>
      <w:r w:rsidR="0014557B" w:rsidRPr="00EB65AB">
        <w:t xml:space="preserve">between the plaintiff and first defendant, still represented </w:t>
      </w:r>
      <w:r w:rsidR="00C43A6B" w:rsidRPr="00EB65AB">
        <w:t>as before</w:t>
      </w:r>
      <w:r w:rsidR="0014557B" w:rsidRPr="00EB65AB">
        <w:t>, on the same terms as set out in respect of claim 1.</w:t>
      </w:r>
    </w:p>
    <w:p w:rsidR="00601B70" w:rsidRPr="00EB65AB" w:rsidRDefault="00601B70" w:rsidP="00601B70"/>
    <w:p w:rsidR="009022D5" w:rsidRPr="00EB65AB" w:rsidRDefault="00D6498A" w:rsidP="00EB65AB">
      <w:pPr>
        <w:pStyle w:val="Heading1"/>
        <w:numPr>
          <w:ilvl w:val="0"/>
          <w:numId w:val="0"/>
        </w:numPr>
      </w:pPr>
      <w:r w:rsidRPr="00EB65AB">
        <w:t>[9</w:t>
      </w:r>
      <w:r w:rsidR="00C43A6B" w:rsidRPr="00EB65AB">
        <w:t>]</w:t>
      </w:r>
      <w:r w:rsidR="00C43A6B" w:rsidRPr="00EB65AB">
        <w:tab/>
      </w:r>
      <w:r w:rsidR="0014557B" w:rsidRPr="00EB65AB">
        <w:t xml:space="preserve"> In terms of the said agreement</w:t>
      </w:r>
      <w:r w:rsidR="003F602A" w:rsidRPr="00EB65AB">
        <w:t xml:space="preserve"> in respect of claim 2,</w:t>
      </w:r>
      <w:r w:rsidR="0014557B" w:rsidRPr="00EB65AB">
        <w:t xml:space="preserve"> plaintiff dispatched four more containers to the first defendant which was subsequently received by the first defendant. The first defendant allegedly breached the second agreement as at 8 December 2015 by failing and /or refusing to effect payment of the outstanding amount of $86, 590.63</w:t>
      </w:r>
    </w:p>
    <w:p w:rsidR="00C43A6B" w:rsidRPr="00EB65AB" w:rsidRDefault="00C43A6B" w:rsidP="00C43A6B"/>
    <w:p w:rsidR="00C43A6B" w:rsidRPr="00EB65AB" w:rsidRDefault="00D6498A" w:rsidP="00C43A6B">
      <w:r w:rsidRPr="00EB65AB">
        <w:t>[10</w:t>
      </w:r>
      <w:r w:rsidR="00C43A6B" w:rsidRPr="00EB65AB">
        <w:t>]</w:t>
      </w:r>
      <w:r w:rsidR="00C43A6B" w:rsidRPr="00EB65AB">
        <w:tab/>
        <w:t xml:space="preserve">The plaintiff therefore claim </w:t>
      </w:r>
      <w:r w:rsidR="00EB65AB">
        <w:t>in respect of claim 1 from the first and second d</w:t>
      </w:r>
      <w:r w:rsidR="00C43A6B" w:rsidRPr="00EB65AB">
        <w:t>efendants, jointly and severally payment in the amount of $800,972.48 AUD</w:t>
      </w:r>
      <w:r w:rsidR="00C43A6B" w:rsidRPr="00EB65AB">
        <w:rPr>
          <w:rStyle w:val="FootnoteReference"/>
        </w:rPr>
        <w:footnoteReference w:id="2"/>
      </w:r>
      <w:r w:rsidR="00C43A6B" w:rsidRPr="00EB65AB">
        <w:t xml:space="preserve"> and in respect of claim 2 the plaintiff claims against the First Defendant payment in the amount of $ 86,590.63 AUD with a similar alternative prayer as in claim 1. The plaintiff also seeks interest at a rate of 20% per annum </w:t>
      </w:r>
      <w:r w:rsidR="00C43A6B" w:rsidRPr="00EB65AB">
        <w:rPr>
          <w:i/>
        </w:rPr>
        <w:t>a tempore morae</w:t>
      </w:r>
      <w:r w:rsidR="00C43A6B" w:rsidRPr="00EB65AB">
        <w:t xml:space="preserve"> from date of judgment to date of final payment and costs at an attorney and own client scale. </w:t>
      </w:r>
    </w:p>
    <w:p w:rsidR="0078713A" w:rsidRPr="00EB65AB" w:rsidRDefault="0078713A" w:rsidP="00C43A6B">
      <w:pPr>
        <w:tabs>
          <w:tab w:val="left" w:pos="720"/>
          <w:tab w:val="left" w:pos="2010"/>
        </w:tabs>
        <w:rPr>
          <w:b/>
          <w:bCs/>
        </w:rPr>
      </w:pPr>
    </w:p>
    <w:p w:rsidR="00C43A6B" w:rsidRPr="00EB65AB" w:rsidRDefault="00C43A6B" w:rsidP="00C43A6B">
      <w:pPr>
        <w:tabs>
          <w:tab w:val="left" w:pos="720"/>
          <w:tab w:val="left" w:pos="2010"/>
        </w:tabs>
        <w:rPr>
          <w:bCs/>
        </w:rPr>
      </w:pPr>
      <w:r w:rsidRPr="00EB65AB">
        <w:rPr>
          <w:bCs/>
        </w:rPr>
        <w:t>[</w:t>
      </w:r>
      <w:r w:rsidR="00D6498A" w:rsidRPr="00EB65AB">
        <w:rPr>
          <w:bCs/>
        </w:rPr>
        <w:t>11</w:t>
      </w:r>
      <w:r w:rsidRPr="00EB65AB">
        <w:rPr>
          <w:bCs/>
        </w:rPr>
        <w:t>]</w:t>
      </w:r>
      <w:r w:rsidRPr="00EB65AB">
        <w:rPr>
          <w:bCs/>
        </w:rPr>
        <w:tab/>
        <w:t xml:space="preserve">The oral agreement and commercial agreement pleaded by plaintiff is apparently not the agreements the plaintiff base its claim as the plaintiff base its claim on the written acknowledgment of debt. The other two agreements were pleaded as part of the background facts and in that regard the third defendant is merely cited as an interested party and no relief </w:t>
      </w:r>
      <w:proofErr w:type="gramStart"/>
      <w:r w:rsidRPr="00EB65AB">
        <w:rPr>
          <w:bCs/>
        </w:rPr>
        <w:t>is</w:t>
      </w:r>
      <w:proofErr w:type="gramEnd"/>
      <w:r w:rsidRPr="00EB65AB">
        <w:rPr>
          <w:bCs/>
        </w:rPr>
        <w:t xml:space="preserve"> sought from her. </w:t>
      </w:r>
    </w:p>
    <w:p w:rsidR="008A3E18" w:rsidRPr="00EB65AB" w:rsidRDefault="008A3E18" w:rsidP="0078713A">
      <w:pPr>
        <w:pStyle w:val="Header"/>
        <w:tabs>
          <w:tab w:val="left" w:pos="720"/>
        </w:tabs>
        <w:rPr>
          <w:bCs/>
          <w:i/>
        </w:rPr>
      </w:pPr>
    </w:p>
    <w:p w:rsidR="0078713A" w:rsidRPr="008B3EFF" w:rsidRDefault="0078713A" w:rsidP="0078713A">
      <w:pPr>
        <w:pStyle w:val="Header"/>
        <w:tabs>
          <w:tab w:val="left" w:pos="720"/>
        </w:tabs>
        <w:rPr>
          <w:bCs/>
          <w:u w:val="single"/>
        </w:rPr>
      </w:pPr>
      <w:r w:rsidRPr="008B3EFF">
        <w:rPr>
          <w:bCs/>
          <w:u w:val="single"/>
        </w:rPr>
        <w:t>Grounds of defendant’s opposition of the summary judgment application</w:t>
      </w:r>
    </w:p>
    <w:p w:rsidR="0078713A" w:rsidRPr="00EB65AB" w:rsidRDefault="0078713A" w:rsidP="0078713A">
      <w:pPr>
        <w:pStyle w:val="Header"/>
        <w:tabs>
          <w:tab w:val="left" w:pos="720"/>
        </w:tabs>
        <w:rPr>
          <w:b/>
          <w:bCs/>
          <w:i/>
        </w:rPr>
      </w:pPr>
    </w:p>
    <w:p w:rsidR="0078713A" w:rsidRPr="00EB65AB" w:rsidRDefault="00C43A6B" w:rsidP="0078713A">
      <w:pPr>
        <w:pStyle w:val="Header"/>
        <w:tabs>
          <w:tab w:val="left" w:pos="720"/>
        </w:tabs>
        <w:rPr>
          <w:bCs/>
        </w:rPr>
      </w:pPr>
      <w:r w:rsidRPr="00EB65AB">
        <w:rPr>
          <w:bCs/>
        </w:rPr>
        <w:t>[</w:t>
      </w:r>
      <w:r w:rsidR="00D6498A" w:rsidRPr="00EB65AB">
        <w:rPr>
          <w:bCs/>
        </w:rPr>
        <w:t>12</w:t>
      </w:r>
      <w:r w:rsidR="008A3E18" w:rsidRPr="00EB65AB">
        <w:rPr>
          <w:bCs/>
        </w:rPr>
        <w:t>]</w:t>
      </w:r>
      <w:r w:rsidR="0078713A" w:rsidRPr="00EB65AB">
        <w:rPr>
          <w:bCs/>
        </w:rPr>
        <w:tab/>
        <w:t>The first</w:t>
      </w:r>
      <w:r w:rsidRPr="00EB65AB">
        <w:rPr>
          <w:bCs/>
        </w:rPr>
        <w:t xml:space="preserve"> and second</w:t>
      </w:r>
      <w:r w:rsidR="0078713A" w:rsidRPr="00EB65AB">
        <w:rPr>
          <w:bCs/>
        </w:rPr>
        <w:t xml:space="preserve"> defendant</w:t>
      </w:r>
      <w:r w:rsidRPr="00EB65AB">
        <w:rPr>
          <w:bCs/>
        </w:rPr>
        <w:t>s</w:t>
      </w:r>
      <w:r w:rsidR="0078713A" w:rsidRPr="00EB65AB">
        <w:rPr>
          <w:bCs/>
        </w:rPr>
        <w:t xml:space="preserve"> resist the application for summary judgment on the grounds</w:t>
      </w:r>
      <w:r w:rsidRPr="00EB65AB">
        <w:rPr>
          <w:bCs/>
        </w:rPr>
        <w:t>:</w:t>
      </w:r>
      <w:r w:rsidR="0078713A" w:rsidRPr="00EB65AB">
        <w:rPr>
          <w:bCs/>
        </w:rPr>
        <w:t xml:space="preserve"> </w:t>
      </w:r>
    </w:p>
    <w:p w:rsidR="008B3EFF" w:rsidRDefault="0078713A" w:rsidP="008B3EFF">
      <w:pPr>
        <w:pStyle w:val="Header"/>
        <w:tabs>
          <w:tab w:val="left" w:pos="0"/>
        </w:tabs>
        <w:rPr>
          <w:bCs/>
        </w:rPr>
      </w:pPr>
      <w:r w:rsidRPr="00EB65AB">
        <w:rPr>
          <w:bCs/>
        </w:rPr>
        <w:lastRenderedPageBreak/>
        <w:t xml:space="preserve">a) </w:t>
      </w:r>
      <w:proofErr w:type="gramStart"/>
      <w:r w:rsidR="00C43A6B" w:rsidRPr="00EB65AB">
        <w:rPr>
          <w:bCs/>
        </w:rPr>
        <w:t>authenticity</w:t>
      </w:r>
      <w:proofErr w:type="gramEnd"/>
      <w:r w:rsidR="00C43A6B" w:rsidRPr="00EB65AB">
        <w:rPr>
          <w:bCs/>
        </w:rPr>
        <w:t xml:space="preserve"> of the acknowledgment of debt</w:t>
      </w:r>
      <w:r w:rsidR="00601B70" w:rsidRPr="00EB65AB">
        <w:rPr>
          <w:bCs/>
        </w:rPr>
        <w:t xml:space="preserve">; </w:t>
      </w:r>
    </w:p>
    <w:p w:rsidR="008B3EFF" w:rsidRPr="00EB65AB" w:rsidRDefault="008B3EFF" w:rsidP="008B3EFF">
      <w:pPr>
        <w:pStyle w:val="Header"/>
        <w:tabs>
          <w:tab w:val="left" w:pos="0"/>
        </w:tabs>
        <w:rPr>
          <w:bCs/>
        </w:rPr>
      </w:pPr>
    </w:p>
    <w:p w:rsidR="0078713A" w:rsidRDefault="006F6624" w:rsidP="008B3EFF">
      <w:pPr>
        <w:pStyle w:val="Header"/>
        <w:tabs>
          <w:tab w:val="left" w:pos="0"/>
        </w:tabs>
        <w:ind w:left="720" w:hanging="720"/>
        <w:rPr>
          <w:bCs/>
        </w:rPr>
      </w:pPr>
      <w:r w:rsidRPr="00EB65AB">
        <w:rPr>
          <w:bCs/>
        </w:rPr>
        <w:t xml:space="preserve">b) </w:t>
      </w:r>
      <w:proofErr w:type="gramStart"/>
      <w:r w:rsidR="00C43A6B" w:rsidRPr="00EB65AB">
        <w:rPr>
          <w:bCs/>
        </w:rPr>
        <w:t>duress</w:t>
      </w:r>
      <w:proofErr w:type="gramEnd"/>
      <w:r w:rsidR="00C43A6B" w:rsidRPr="00EB65AB">
        <w:rPr>
          <w:bCs/>
        </w:rPr>
        <w:t>.</w:t>
      </w:r>
    </w:p>
    <w:p w:rsidR="008B3EFF" w:rsidRPr="00EB65AB" w:rsidRDefault="008B3EFF" w:rsidP="008B3EFF">
      <w:pPr>
        <w:pStyle w:val="Header"/>
        <w:tabs>
          <w:tab w:val="left" w:pos="0"/>
        </w:tabs>
        <w:ind w:left="720" w:hanging="720"/>
        <w:rPr>
          <w:bCs/>
        </w:rPr>
      </w:pPr>
    </w:p>
    <w:p w:rsidR="00836FCE" w:rsidRPr="00EB65AB" w:rsidRDefault="006F6624" w:rsidP="008B3EFF">
      <w:pPr>
        <w:pStyle w:val="Header"/>
        <w:tabs>
          <w:tab w:val="left" w:pos="0"/>
        </w:tabs>
      </w:pPr>
      <w:r w:rsidRPr="00EB65AB">
        <w:rPr>
          <w:bCs/>
        </w:rPr>
        <w:t xml:space="preserve">c) </w:t>
      </w:r>
      <w:proofErr w:type="gramStart"/>
      <w:r w:rsidR="00836FCE" w:rsidRPr="00EB65AB">
        <w:rPr>
          <w:bCs/>
        </w:rPr>
        <w:t>denied</w:t>
      </w:r>
      <w:proofErr w:type="gramEnd"/>
      <w:r w:rsidR="00836FCE" w:rsidRPr="00EB65AB">
        <w:rPr>
          <w:bCs/>
        </w:rPr>
        <w:t xml:space="preserve"> the existence of oral agreements or ter</w:t>
      </w:r>
      <w:r w:rsidR="008B3EFF">
        <w:rPr>
          <w:bCs/>
        </w:rPr>
        <w:t xml:space="preserve">ms as set out in particulars of </w:t>
      </w:r>
      <w:r w:rsidR="00836FCE" w:rsidRPr="00EB65AB">
        <w:rPr>
          <w:bCs/>
        </w:rPr>
        <w:t>claim.</w:t>
      </w:r>
    </w:p>
    <w:p w:rsidR="00A43B3D" w:rsidRPr="00EB65AB" w:rsidRDefault="00A43B3D" w:rsidP="0076645A"/>
    <w:p w:rsidR="00E75DF7" w:rsidRPr="00EB65AB" w:rsidRDefault="00C43A6B" w:rsidP="0076645A">
      <w:r w:rsidRPr="00EB65AB">
        <w:t>[</w:t>
      </w:r>
      <w:r w:rsidR="00D6498A" w:rsidRPr="00EB65AB">
        <w:t>13</w:t>
      </w:r>
      <w:r w:rsidRPr="00EB65AB">
        <w:t xml:space="preserve">] </w:t>
      </w:r>
      <w:r w:rsidRPr="00EB65AB">
        <w:tab/>
      </w:r>
      <w:r w:rsidR="00E75DF7" w:rsidRPr="00EB65AB">
        <w:t>In respect of the authenticity of the acknowledgment of debt</w:t>
      </w:r>
      <w:r w:rsidR="006F6624" w:rsidRPr="00EB65AB">
        <w:t>,</w:t>
      </w:r>
      <w:r w:rsidR="00E75DF7" w:rsidRPr="00EB65AB">
        <w:t xml:space="preserve"> the second defendant alleged that he and the plaintiff’s representative signed the acknowledgement together with two witnesses</w:t>
      </w:r>
      <w:r w:rsidR="006F6624" w:rsidRPr="00EB65AB">
        <w:t>,</w:t>
      </w:r>
      <w:r w:rsidR="00E75DF7" w:rsidRPr="00EB65AB">
        <w:t xml:space="preserve"> but the acknowledgment of debt presented attached to the particulars of claim only bear the signature of the second defendant and not that of the plaintiff’s representative or that of the witnesses. The second defendant also stated that he signed the acknowledgment of debt under duress and elaborated on the issue of duress to say that he signed the acknowledgment to assist Mr. Docherty, the representative of the plaintiff. He states that Mr. Docherty’s wife wanted to divorce him due to financial problems, amongst other things, and he needed a document to show his wife that he was expecting a large sum of money. </w:t>
      </w:r>
    </w:p>
    <w:p w:rsidR="00E75DF7" w:rsidRPr="00EB65AB" w:rsidRDefault="00E75DF7" w:rsidP="0076645A"/>
    <w:p w:rsidR="00E75DF7" w:rsidRPr="00EB65AB" w:rsidRDefault="00E75DF7" w:rsidP="0076645A">
      <w:r w:rsidRPr="00EB65AB">
        <w:t>[</w:t>
      </w:r>
      <w:r w:rsidR="00D6498A" w:rsidRPr="00EB65AB">
        <w:t>14</w:t>
      </w:r>
      <w:r w:rsidRPr="00EB65AB">
        <w:t>]</w:t>
      </w:r>
      <w:r w:rsidRPr="00EB65AB">
        <w:tab/>
      </w:r>
      <w:r w:rsidR="00A43B3D" w:rsidRPr="00EB65AB">
        <w:t>Mr. Jacobs, on behalf of the plaintiff,</w:t>
      </w:r>
      <w:r w:rsidRPr="00EB65AB">
        <w:t xml:space="preserve"> argued that the defences in respect of the acknowledgment of debt</w:t>
      </w:r>
      <w:r w:rsidR="006F6624" w:rsidRPr="00EB65AB">
        <w:t>,</w:t>
      </w:r>
      <w:r w:rsidRPr="00EB65AB">
        <w:t xml:space="preserve"> is nothing but questionable and that </w:t>
      </w:r>
      <w:r w:rsidR="006F1D9F" w:rsidRPr="00EB65AB">
        <w:t>defendants fails hopelessly in their attempt to raise these defences</w:t>
      </w:r>
      <w:r w:rsidR="00836FCE" w:rsidRPr="00EB65AB">
        <w:t xml:space="preserve"> and insisted that the oral agreements were pleaded as background facts to the claims only</w:t>
      </w:r>
      <w:r w:rsidR="006F1D9F" w:rsidRPr="00EB65AB">
        <w:t xml:space="preserve">. </w:t>
      </w:r>
    </w:p>
    <w:p w:rsidR="006F1D9F" w:rsidRPr="00EB65AB" w:rsidRDefault="006F1D9F" w:rsidP="0076645A"/>
    <w:p w:rsidR="007C3D4F" w:rsidRPr="00EB65AB" w:rsidRDefault="006F1D9F" w:rsidP="0076645A">
      <w:r w:rsidRPr="00EB65AB">
        <w:t>[</w:t>
      </w:r>
      <w:r w:rsidR="00D6498A" w:rsidRPr="00EB65AB">
        <w:t>15</w:t>
      </w:r>
      <w:r w:rsidRPr="00EB65AB">
        <w:t>]</w:t>
      </w:r>
      <w:r w:rsidR="00E75DF7" w:rsidRPr="00EB65AB">
        <w:t xml:space="preserve"> </w:t>
      </w:r>
      <w:r w:rsidRPr="00EB65AB">
        <w:tab/>
      </w:r>
      <w:r w:rsidR="006C6536" w:rsidRPr="00EB65AB">
        <w:t xml:space="preserve">The second defendant </w:t>
      </w:r>
      <w:r w:rsidRPr="00EB65AB">
        <w:t>further raises issues in respect of the invoices and figures that the plaintiff is relying on in support of its claim</w:t>
      </w:r>
      <w:r w:rsidR="006F6624" w:rsidRPr="00EB65AB">
        <w:t>s</w:t>
      </w:r>
      <w:r w:rsidRPr="00EB65AB">
        <w:t xml:space="preserve">. The second defendant </w:t>
      </w:r>
      <w:r w:rsidR="007C3D4F" w:rsidRPr="00EB65AB">
        <w:t xml:space="preserve">avers that </w:t>
      </w:r>
      <w:r w:rsidR="00836FCE" w:rsidRPr="00EB65AB">
        <w:t>it</w:t>
      </w:r>
      <w:r w:rsidR="007C3D4F" w:rsidRPr="00EB65AB">
        <w:t xml:space="preserve"> was either incorrectly claimed from the first defendant or </w:t>
      </w:r>
      <w:r w:rsidR="00836FCE" w:rsidRPr="00EB65AB">
        <w:t xml:space="preserve">certain payments were </w:t>
      </w:r>
      <w:r w:rsidR="007C3D4F" w:rsidRPr="00EB65AB">
        <w:t xml:space="preserve">not taken into consideration in calculating the amounts as set out in the particulars of claim. The second defendant made specific reference to the following: </w:t>
      </w:r>
    </w:p>
    <w:p w:rsidR="006F6624" w:rsidRPr="00EB65AB" w:rsidRDefault="006F6624" w:rsidP="0076645A"/>
    <w:p w:rsidR="00C43A6B" w:rsidRDefault="00C43A6B" w:rsidP="0076645A">
      <w:r w:rsidRPr="00EB65AB">
        <w:t>Claim 1:</w:t>
      </w:r>
    </w:p>
    <w:p w:rsidR="008B3EFF" w:rsidRPr="00EB65AB" w:rsidRDefault="008B3EFF" w:rsidP="0076645A"/>
    <w:p w:rsidR="00C43A6B" w:rsidRPr="00EB65AB" w:rsidRDefault="007C3D4F" w:rsidP="008B3EFF">
      <w:pPr>
        <w:pStyle w:val="ListParagraph"/>
        <w:numPr>
          <w:ilvl w:val="0"/>
          <w:numId w:val="23"/>
        </w:numPr>
        <w:tabs>
          <w:tab w:val="left" w:pos="720"/>
        </w:tabs>
        <w:ind w:left="720" w:hanging="720"/>
      </w:pPr>
      <w:r w:rsidRPr="00EB65AB">
        <w:t>Denies liability in respect of a</w:t>
      </w:r>
      <w:r w:rsidR="00C43A6B" w:rsidRPr="00EB65AB">
        <w:t>irfare</w:t>
      </w:r>
      <w:r w:rsidR="006C6536" w:rsidRPr="00EB65AB">
        <w:t xml:space="preserve"> claimed</w:t>
      </w:r>
      <w:r w:rsidR="00C43A6B" w:rsidRPr="00EB65AB">
        <w:t>;</w:t>
      </w:r>
    </w:p>
    <w:p w:rsidR="00C43A6B" w:rsidRDefault="007C3D4F" w:rsidP="008B3EFF">
      <w:pPr>
        <w:pStyle w:val="ListParagraph"/>
        <w:numPr>
          <w:ilvl w:val="0"/>
          <w:numId w:val="23"/>
        </w:numPr>
        <w:tabs>
          <w:tab w:val="left" w:pos="720"/>
        </w:tabs>
        <w:ind w:left="720" w:hanging="720"/>
      </w:pPr>
      <w:r w:rsidRPr="00EB65AB">
        <w:lastRenderedPageBreak/>
        <w:t>Denies liability in respect of c</w:t>
      </w:r>
      <w:r w:rsidR="00C43A6B" w:rsidRPr="00EB65AB">
        <w:t>ontainers that w</w:t>
      </w:r>
      <w:r w:rsidRPr="00EB65AB">
        <w:t>ere allegedly not received;</w:t>
      </w:r>
    </w:p>
    <w:p w:rsidR="008B3EFF" w:rsidRPr="00EB65AB" w:rsidRDefault="008B3EFF" w:rsidP="008B3EFF">
      <w:pPr>
        <w:pStyle w:val="ListParagraph"/>
        <w:tabs>
          <w:tab w:val="left" w:pos="720"/>
        </w:tabs>
      </w:pPr>
    </w:p>
    <w:p w:rsidR="00C43A6B" w:rsidRDefault="00C43A6B" w:rsidP="008B3EFF">
      <w:pPr>
        <w:pStyle w:val="ListParagraph"/>
        <w:numPr>
          <w:ilvl w:val="0"/>
          <w:numId w:val="23"/>
        </w:numPr>
        <w:tabs>
          <w:tab w:val="left" w:pos="720"/>
        </w:tabs>
        <w:ind w:left="720" w:hanging="720"/>
      </w:pPr>
      <w:proofErr w:type="spellStart"/>
      <w:r w:rsidRPr="00EB65AB">
        <w:t>Kalgin</w:t>
      </w:r>
      <w:proofErr w:type="spellEnd"/>
      <w:r w:rsidRPr="00EB65AB">
        <w:t xml:space="preserve"> debt</w:t>
      </w:r>
      <w:r w:rsidR="009307A7" w:rsidRPr="00EB65AB">
        <w:t xml:space="preserve"> which was already paid</w:t>
      </w:r>
      <w:r w:rsidRPr="00EB65AB">
        <w:t>;</w:t>
      </w:r>
    </w:p>
    <w:p w:rsidR="008B3EFF" w:rsidRPr="00EB65AB" w:rsidRDefault="008B3EFF" w:rsidP="008B3EFF">
      <w:pPr>
        <w:tabs>
          <w:tab w:val="left" w:pos="720"/>
        </w:tabs>
      </w:pPr>
    </w:p>
    <w:p w:rsidR="00E94335" w:rsidRDefault="007C3D4F" w:rsidP="008B3EFF">
      <w:pPr>
        <w:pStyle w:val="ListParagraph"/>
        <w:numPr>
          <w:ilvl w:val="0"/>
          <w:numId w:val="23"/>
        </w:numPr>
        <w:tabs>
          <w:tab w:val="left" w:pos="720"/>
        </w:tabs>
        <w:ind w:left="720" w:hanging="720"/>
      </w:pPr>
      <w:r w:rsidRPr="00EB65AB">
        <w:t>P</w:t>
      </w:r>
      <w:r w:rsidR="00C43A6B" w:rsidRPr="00EB65AB">
        <w:t>ayments that were made in respect of claim 1</w:t>
      </w:r>
      <w:r w:rsidRPr="00EB65AB">
        <w:t xml:space="preserve"> that were not taken into account</w:t>
      </w:r>
      <w:r w:rsidR="006C6536" w:rsidRPr="00EB65AB">
        <w:t>;</w:t>
      </w:r>
    </w:p>
    <w:p w:rsidR="008B3EFF" w:rsidRPr="00EB65AB" w:rsidRDefault="008B3EFF" w:rsidP="008B3EFF">
      <w:pPr>
        <w:tabs>
          <w:tab w:val="left" w:pos="720"/>
        </w:tabs>
      </w:pPr>
    </w:p>
    <w:p w:rsidR="00C43A6B" w:rsidRPr="00EB65AB" w:rsidRDefault="00E94335" w:rsidP="008B3EFF">
      <w:pPr>
        <w:pStyle w:val="ListParagraph"/>
        <w:numPr>
          <w:ilvl w:val="0"/>
          <w:numId w:val="23"/>
        </w:numPr>
        <w:tabs>
          <w:tab w:val="left" w:pos="720"/>
        </w:tabs>
        <w:ind w:left="720" w:hanging="720"/>
      </w:pPr>
      <w:r w:rsidRPr="00EB65AB">
        <w:t>Discount</w:t>
      </w:r>
      <w:r w:rsidR="006C6536" w:rsidRPr="00EB65AB">
        <w:t xml:space="preserve"> given by the </w:t>
      </w:r>
      <w:r w:rsidR="007C3D4F" w:rsidRPr="00EB65AB">
        <w:t>p</w:t>
      </w:r>
      <w:r w:rsidR="006C6536" w:rsidRPr="00EB65AB">
        <w:t>laintiff</w:t>
      </w:r>
      <w:r w:rsidR="007C3D4F" w:rsidRPr="00EB65AB">
        <w:t xml:space="preserve"> that was not taken into account</w:t>
      </w:r>
      <w:r w:rsidR="00C43A6B" w:rsidRPr="00EB65AB">
        <w:t>.</w:t>
      </w:r>
    </w:p>
    <w:p w:rsidR="00B44183" w:rsidRPr="00EB65AB" w:rsidRDefault="00B44183" w:rsidP="00BA7C78"/>
    <w:p w:rsidR="00BA7C78" w:rsidRDefault="00C43A6B" w:rsidP="00BA7C78">
      <w:r w:rsidRPr="00EB65AB">
        <w:t xml:space="preserve">Claim 2: </w:t>
      </w:r>
    </w:p>
    <w:p w:rsidR="008B3EFF" w:rsidRPr="00EB65AB" w:rsidRDefault="008B3EFF" w:rsidP="00BA7C78"/>
    <w:p w:rsidR="00C43A6B" w:rsidRDefault="007C3D4F" w:rsidP="008B3EFF">
      <w:pPr>
        <w:pStyle w:val="ListParagraph"/>
        <w:numPr>
          <w:ilvl w:val="0"/>
          <w:numId w:val="24"/>
        </w:numPr>
        <w:ind w:left="720" w:hanging="720"/>
      </w:pPr>
      <w:r w:rsidRPr="00EB65AB">
        <w:t>Denies liability in respect of c</w:t>
      </w:r>
      <w:r w:rsidR="00C43A6B" w:rsidRPr="00EB65AB">
        <w:t>ontainers  not delivered;</w:t>
      </w:r>
    </w:p>
    <w:p w:rsidR="008B3EFF" w:rsidRPr="00EB65AB" w:rsidRDefault="008B3EFF" w:rsidP="008B3EFF">
      <w:pPr>
        <w:pStyle w:val="ListParagraph"/>
      </w:pPr>
    </w:p>
    <w:p w:rsidR="00C43A6B" w:rsidRDefault="00C43A6B" w:rsidP="008B3EFF">
      <w:pPr>
        <w:pStyle w:val="ListParagraph"/>
        <w:numPr>
          <w:ilvl w:val="0"/>
          <w:numId w:val="24"/>
        </w:numPr>
        <w:ind w:left="720" w:hanging="720"/>
      </w:pPr>
      <w:r w:rsidRPr="00EB65AB">
        <w:t xml:space="preserve">Duplicated </w:t>
      </w:r>
      <w:proofErr w:type="spellStart"/>
      <w:r w:rsidRPr="00EB65AB">
        <w:t>Kalgin</w:t>
      </w:r>
      <w:proofErr w:type="spellEnd"/>
      <w:r w:rsidRPr="00EB65AB">
        <w:t xml:space="preserve"> account;</w:t>
      </w:r>
    </w:p>
    <w:p w:rsidR="008B3EFF" w:rsidRPr="00EB65AB" w:rsidRDefault="008B3EFF" w:rsidP="008B3EFF"/>
    <w:p w:rsidR="00C43A6B" w:rsidRDefault="007C3D4F" w:rsidP="008B3EFF">
      <w:pPr>
        <w:pStyle w:val="ListParagraph"/>
        <w:numPr>
          <w:ilvl w:val="0"/>
          <w:numId w:val="24"/>
        </w:numPr>
        <w:ind w:left="720" w:hanging="720"/>
      </w:pPr>
      <w:r w:rsidRPr="00EB65AB">
        <w:t>Denies liability in respect of c</w:t>
      </w:r>
      <w:r w:rsidR="00C43A6B" w:rsidRPr="00EB65AB">
        <w:t>onsultancy fees</w:t>
      </w:r>
      <w:r w:rsidRPr="00EB65AB">
        <w:t xml:space="preserve"> claimed</w:t>
      </w:r>
      <w:r w:rsidR="00C43A6B" w:rsidRPr="00EB65AB">
        <w:t xml:space="preserve">. </w:t>
      </w:r>
    </w:p>
    <w:p w:rsidR="008B3EFF" w:rsidRPr="00EB65AB" w:rsidRDefault="008B3EFF" w:rsidP="008B3EFF"/>
    <w:p w:rsidR="00C43A6B" w:rsidRPr="00EB65AB" w:rsidRDefault="00C43A6B" w:rsidP="00BA7C78">
      <w:r w:rsidRPr="00EB65AB">
        <w:t>[</w:t>
      </w:r>
      <w:r w:rsidR="00836FCE" w:rsidRPr="00EB65AB">
        <w:t>1</w:t>
      </w:r>
      <w:r w:rsidR="00D6498A" w:rsidRPr="00EB65AB">
        <w:t>6</w:t>
      </w:r>
      <w:r w:rsidRPr="00EB65AB">
        <w:t>]</w:t>
      </w:r>
      <w:r w:rsidRPr="00EB65AB">
        <w:tab/>
      </w:r>
      <w:r w:rsidR="00B44183" w:rsidRPr="00EB65AB">
        <w:t xml:space="preserve"> Mr. Jacobs</w:t>
      </w:r>
      <w:r w:rsidR="009307A7" w:rsidRPr="00EB65AB">
        <w:t xml:space="preserve"> agreed that the </w:t>
      </w:r>
      <w:r w:rsidR="006C6536" w:rsidRPr="00EB65AB">
        <w:t xml:space="preserve">court </w:t>
      </w:r>
      <w:r w:rsidR="009307A7" w:rsidRPr="00EB65AB">
        <w:t xml:space="preserve">should </w:t>
      </w:r>
      <w:r w:rsidR="006C6536" w:rsidRPr="00EB65AB">
        <w:t xml:space="preserve">accept the version of the defendants as set out in the founding papers as correct </w:t>
      </w:r>
      <w:r w:rsidR="009307A7" w:rsidRPr="00EB65AB">
        <w:t xml:space="preserve">and </w:t>
      </w:r>
      <w:r w:rsidR="00B44183" w:rsidRPr="00EB65AB">
        <w:t xml:space="preserve">directed the court’s attention to the fact that it was </w:t>
      </w:r>
      <w:r w:rsidR="009307A7" w:rsidRPr="00EB65AB">
        <w:t xml:space="preserve">indicated in </w:t>
      </w:r>
      <w:r w:rsidR="00B44183" w:rsidRPr="00EB65AB">
        <w:t>plaintiff’s</w:t>
      </w:r>
      <w:r w:rsidR="009307A7" w:rsidRPr="00EB65AB">
        <w:t xml:space="preserve"> heads of argument that </w:t>
      </w:r>
      <w:r w:rsidR="00B44183" w:rsidRPr="00EB65AB">
        <w:t>it</w:t>
      </w:r>
      <w:r w:rsidR="009307A7" w:rsidRPr="00EB65AB">
        <w:t xml:space="preserve"> will pray for summary judgment to be granted at a </w:t>
      </w:r>
      <w:r w:rsidR="006C6536" w:rsidRPr="00EB65AB">
        <w:t xml:space="preserve">reduced </w:t>
      </w:r>
      <w:r w:rsidR="009307A7" w:rsidRPr="00EB65AB">
        <w:t xml:space="preserve">amount, i.e. </w:t>
      </w:r>
      <w:r w:rsidRPr="00EB65AB">
        <w:t xml:space="preserve">in respect of claim 1 </w:t>
      </w:r>
      <w:r w:rsidR="006F6624" w:rsidRPr="00EB65AB">
        <w:t xml:space="preserve">an amount of </w:t>
      </w:r>
      <w:r w:rsidRPr="00EB65AB">
        <w:t xml:space="preserve">$ 394,371.08 AUD and in respect of claim 2 </w:t>
      </w:r>
      <w:r w:rsidR="006F6624" w:rsidRPr="00EB65AB">
        <w:t xml:space="preserve">an amount of </w:t>
      </w:r>
      <w:r w:rsidRPr="00EB65AB">
        <w:t>$ 25,429.00 AUD</w:t>
      </w:r>
      <w:r w:rsidR="009307A7" w:rsidRPr="00EB65AB">
        <w:t xml:space="preserve"> together with interest thereon and the cost to date. </w:t>
      </w:r>
    </w:p>
    <w:p w:rsidR="008A3E18" w:rsidRPr="00EB65AB" w:rsidRDefault="008A3E18" w:rsidP="00BA7C78"/>
    <w:p w:rsidR="00C43A6B" w:rsidRPr="00EB65AB" w:rsidRDefault="008A3E18" w:rsidP="00A43B3D">
      <w:r w:rsidRPr="00EB65AB">
        <w:t>[</w:t>
      </w:r>
      <w:r w:rsidR="00D6498A" w:rsidRPr="00EB65AB">
        <w:t>17</w:t>
      </w:r>
      <w:r w:rsidRPr="00EB65AB">
        <w:t>]</w:t>
      </w:r>
      <w:r w:rsidRPr="00EB65AB">
        <w:tab/>
      </w:r>
      <w:r w:rsidR="009307A7" w:rsidRPr="00EB65AB">
        <w:t>At this point it should be noted that the counsel for the plaintiff did not add the alleged discount granted to the first defendant into the equation</w:t>
      </w:r>
      <w:r w:rsidR="00B44183" w:rsidRPr="00EB65AB">
        <w:t xml:space="preserve"> in setting out the aforementioned figures</w:t>
      </w:r>
      <w:r w:rsidR="009307A7" w:rsidRPr="00EB65AB">
        <w:t xml:space="preserve">. </w:t>
      </w:r>
      <w:r w:rsidR="00B44183" w:rsidRPr="00EB65AB">
        <w:t>Mr. Jacobs</w:t>
      </w:r>
      <w:r w:rsidR="009307A7" w:rsidRPr="00EB65AB">
        <w:t xml:space="preserve"> argued</w:t>
      </w:r>
      <w:r w:rsidR="005939E7" w:rsidRPr="00EB65AB">
        <w:t>,</w:t>
      </w:r>
      <w:r w:rsidR="009307A7" w:rsidRPr="00EB65AB">
        <w:t xml:space="preserve"> that if the court find</w:t>
      </w:r>
      <w:r w:rsidR="005939E7" w:rsidRPr="00EB65AB">
        <w:t>s</w:t>
      </w:r>
      <w:r w:rsidR="009307A7" w:rsidRPr="00EB65AB">
        <w:t xml:space="preserve"> that the second defendant might pro</w:t>
      </w:r>
      <w:r w:rsidR="00A43B3D" w:rsidRPr="00EB65AB">
        <w:t>of the discount allegedly received</w:t>
      </w:r>
      <w:r w:rsidR="00B44183" w:rsidRPr="00EB65AB">
        <w:t xml:space="preserve"> from the plaintiff</w:t>
      </w:r>
      <w:r w:rsidR="005939E7" w:rsidRPr="00EB65AB">
        <w:t>,</w:t>
      </w:r>
      <w:r w:rsidR="00A43B3D" w:rsidRPr="00EB65AB">
        <w:t xml:space="preserve"> then the discount must be deducted from the claim amount</w:t>
      </w:r>
      <w:r w:rsidR="00B44183" w:rsidRPr="00EB65AB">
        <w:t>,</w:t>
      </w:r>
      <w:r w:rsidR="00A43B3D" w:rsidRPr="00EB65AB">
        <w:t xml:space="preserve"> which would then still leave an undisputed amount of in respect</w:t>
      </w:r>
      <w:r w:rsidRPr="00EB65AB">
        <w:t xml:space="preserve"> of claim 1 </w:t>
      </w:r>
      <w:r w:rsidR="00A43B3D" w:rsidRPr="00EB65AB">
        <w:t xml:space="preserve">in </w:t>
      </w:r>
      <w:r w:rsidRPr="00EB65AB">
        <w:t>the amount of $48,211</w:t>
      </w:r>
      <w:r w:rsidR="00E94335" w:rsidRPr="00EB65AB">
        <w:t>.23</w:t>
      </w:r>
      <w:r w:rsidRPr="00EB65AB">
        <w:t xml:space="preserve"> AUD. </w:t>
      </w:r>
      <w:r w:rsidR="00B44183" w:rsidRPr="00EB65AB">
        <w:t>Mr. Jacobus further</w:t>
      </w:r>
      <w:r w:rsidR="00A43B3D" w:rsidRPr="00EB65AB">
        <w:t xml:space="preserve"> argued that upon</w:t>
      </w:r>
      <w:r w:rsidRPr="00EB65AB">
        <w:t xml:space="preserve"> simple calculation of the amount</w:t>
      </w:r>
      <w:r w:rsidR="00B44183" w:rsidRPr="00EB65AB">
        <w:t>s</w:t>
      </w:r>
      <w:r w:rsidR="00E94335" w:rsidRPr="00EB65AB">
        <w:t xml:space="preserve"> in claim 1 and 2 it would then amount to $73,640.23 AUD</w:t>
      </w:r>
      <w:r w:rsidR="00A43B3D" w:rsidRPr="00EB65AB">
        <w:rPr>
          <w:rStyle w:val="FootnoteReference"/>
        </w:rPr>
        <w:footnoteReference w:id="3"/>
      </w:r>
      <w:r w:rsidR="00E94335" w:rsidRPr="00EB65AB">
        <w:t xml:space="preserve"> </w:t>
      </w:r>
      <w:r w:rsidR="00A43B3D" w:rsidRPr="00EB65AB">
        <w:t xml:space="preserve">for which </w:t>
      </w:r>
      <w:r w:rsidR="00A43B3D" w:rsidRPr="00EB65AB">
        <w:lastRenderedPageBreak/>
        <w:t xml:space="preserve">plaintiff will seek summary judgment. </w:t>
      </w:r>
    </w:p>
    <w:p w:rsidR="00A43B3D" w:rsidRPr="00EB65AB" w:rsidRDefault="00A43B3D" w:rsidP="00A43B3D"/>
    <w:p w:rsidR="00A43B3D" w:rsidRPr="00EB65AB" w:rsidRDefault="00A43B3D" w:rsidP="00A43B3D">
      <w:r w:rsidRPr="00EB65AB">
        <w:t>[</w:t>
      </w:r>
      <w:r w:rsidR="00D6498A" w:rsidRPr="00EB65AB">
        <w:t>18</w:t>
      </w:r>
      <w:r w:rsidRPr="00EB65AB">
        <w:t>]</w:t>
      </w:r>
      <w:r w:rsidRPr="00EB65AB">
        <w:tab/>
      </w:r>
      <w:r w:rsidR="00B44183" w:rsidRPr="00EB65AB">
        <w:t xml:space="preserve">Mr </w:t>
      </w:r>
      <w:proofErr w:type="spellStart"/>
      <w:r w:rsidR="00B44183" w:rsidRPr="00EB65AB">
        <w:t>Nekwaya</w:t>
      </w:r>
      <w:proofErr w:type="spellEnd"/>
      <w:r w:rsidR="00B44183" w:rsidRPr="00EB65AB">
        <w:t xml:space="preserve"> on behalf of the defendants</w:t>
      </w:r>
      <w:r w:rsidR="005939E7" w:rsidRPr="00EB65AB">
        <w:t xml:space="preserve"> argued</w:t>
      </w:r>
      <w:r w:rsidR="00B44183" w:rsidRPr="00EB65AB">
        <w:t xml:space="preserve"> that the application for summary judgment is misplaced and if the </w:t>
      </w:r>
      <w:r w:rsidR="00EB65AB" w:rsidRPr="00EB65AB">
        <w:t>court accepts</w:t>
      </w:r>
      <w:r w:rsidR="00B44183" w:rsidRPr="00EB65AB">
        <w:t xml:space="preserve"> what the second defenda</w:t>
      </w:r>
      <w:r w:rsidR="00206834" w:rsidRPr="00EB65AB">
        <w:t>n</w:t>
      </w:r>
      <w:r w:rsidR="00B44183" w:rsidRPr="00EB65AB">
        <w:t xml:space="preserve">t states under oath as correct </w:t>
      </w:r>
      <w:r w:rsidR="00206834" w:rsidRPr="00EB65AB">
        <w:t>then it is clear that there is a triable defence in this matter.</w:t>
      </w:r>
    </w:p>
    <w:p w:rsidR="00206834" w:rsidRPr="00EB65AB" w:rsidRDefault="00206834" w:rsidP="00A43B3D"/>
    <w:p w:rsidR="00206834" w:rsidRPr="00EB65AB" w:rsidRDefault="00206834" w:rsidP="00D6498A">
      <w:r w:rsidRPr="00EB65AB">
        <w:t>[</w:t>
      </w:r>
      <w:r w:rsidR="00D6498A" w:rsidRPr="00EB65AB">
        <w:t>19</w:t>
      </w:r>
      <w:r w:rsidR="005939E7" w:rsidRPr="00EB65AB">
        <w:t>]</w:t>
      </w:r>
      <w:r w:rsidR="005939E7" w:rsidRPr="00EB65AB">
        <w:tab/>
        <w:t>He</w:t>
      </w:r>
      <w:r w:rsidR="00863AC5" w:rsidRPr="00EB65AB">
        <w:t xml:space="preserve"> further</w:t>
      </w:r>
      <w:r w:rsidR="005939E7" w:rsidRPr="00EB65AB">
        <w:t xml:space="preserve"> argued </w:t>
      </w:r>
      <w:r w:rsidRPr="00EB65AB">
        <w:t xml:space="preserve">that the defendants raised defences that cannot be dealt with during summary judgment proceedings and </w:t>
      </w:r>
      <w:r w:rsidR="00654C06" w:rsidRPr="00EB65AB">
        <w:t>the issues raised in respect of the acknowledgement of debt are issues that can only be impugned at trial.</w:t>
      </w:r>
    </w:p>
    <w:p w:rsidR="00BD0903" w:rsidRPr="00EB65AB" w:rsidRDefault="00BD0903" w:rsidP="00D6498A">
      <w:pPr>
        <w:rPr>
          <w:i/>
        </w:rPr>
      </w:pPr>
    </w:p>
    <w:p w:rsidR="005939E7" w:rsidRPr="008B3EFF" w:rsidRDefault="00BD0903" w:rsidP="00D6498A">
      <w:pPr>
        <w:rPr>
          <w:u w:val="single"/>
        </w:rPr>
      </w:pPr>
      <w:r w:rsidRPr="008B3EFF">
        <w:rPr>
          <w:u w:val="single"/>
        </w:rPr>
        <w:t>Principles applicable to summary judgment</w:t>
      </w:r>
    </w:p>
    <w:p w:rsidR="00BD0903" w:rsidRPr="00EB65AB" w:rsidRDefault="00BD0903" w:rsidP="00D6498A"/>
    <w:p w:rsidR="00836FCE" w:rsidRPr="00EB65AB" w:rsidRDefault="00654C06" w:rsidP="00D6498A">
      <w:r w:rsidRPr="00EB65AB">
        <w:t>[</w:t>
      </w:r>
      <w:r w:rsidR="00D6498A" w:rsidRPr="00EB65AB">
        <w:t>20</w:t>
      </w:r>
      <w:r w:rsidRPr="00EB65AB">
        <w:t>]</w:t>
      </w:r>
      <w:r w:rsidRPr="00EB65AB">
        <w:tab/>
      </w:r>
      <w:r w:rsidR="00836FCE" w:rsidRPr="00EB65AB">
        <w:t xml:space="preserve">The principles applicable to summary judgment applications </w:t>
      </w:r>
      <w:proofErr w:type="gramStart"/>
      <w:r w:rsidR="00836FCE" w:rsidRPr="00EB65AB">
        <w:t>has</w:t>
      </w:r>
      <w:proofErr w:type="gramEnd"/>
      <w:r w:rsidR="00836FCE" w:rsidRPr="00EB65AB">
        <w:t xml:space="preserve"> been set out in our case law many times over and it need not be restated in this ruling.</w:t>
      </w:r>
      <w:r w:rsidR="005939E7" w:rsidRPr="00EB65AB">
        <w:t xml:space="preserve"> </w:t>
      </w:r>
      <w:r w:rsidR="00BA7C78" w:rsidRPr="00EB65AB">
        <w:t>It is, however, important to once again emphasise that summary judgment is an extremely extraordinary and drastic remedy which shuts the door finally to the defendant</w:t>
      </w:r>
      <w:r w:rsidR="00836FCE" w:rsidRPr="00EB65AB">
        <w:t>s</w:t>
      </w:r>
      <w:r w:rsidR="00BA7C78" w:rsidRPr="00EB65AB">
        <w:t xml:space="preserve">.  </w:t>
      </w:r>
    </w:p>
    <w:p w:rsidR="005939E7" w:rsidRPr="00EB65AB" w:rsidRDefault="005939E7" w:rsidP="00D6498A"/>
    <w:p w:rsidR="00836FCE" w:rsidRPr="00EB65AB" w:rsidRDefault="00836FCE" w:rsidP="00D6498A">
      <w:pPr>
        <w:pStyle w:val="Heading1"/>
        <w:numPr>
          <w:ilvl w:val="0"/>
          <w:numId w:val="0"/>
        </w:numPr>
      </w:pPr>
      <w:r w:rsidRPr="00EB65AB">
        <w:t>[</w:t>
      </w:r>
      <w:r w:rsidR="003B56DF" w:rsidRPr="00EB65AB">
        <w:t>21</w:t>
      </w:r>
      <w:r w:rsidRPr="00EB65AB">
        <w:t>]</w:t>
      </w:r>
      <w:r w:rsidRPr="00EB65AB">
        <w:tab/>
        <w:t xml:space="preserve">In </w:t>
      </w:r>
      <w:proofErr w:type="spellStart"/>
      <w:r w:rsidRPr="00EB65AB">
        <w:rPr>
          <w:i/>
        </w:rPr>
        <w:t>Kelnic</w:t>
      </w:r>
      <w:proofErr w:type="spellEnd"/>
      <w:r w:rsidRPr="00EB65AB">
        <w:rPr>
          <w:i/>
        </w:rPr>
        <w:t xml:space="preserve"> Construction (Pty) Ltd v </w:t>
      </w:r>
      <w:proofErr w:type="spellStart"/>
      <w:r w:rsidRPr="00EB65AB">
        <w:rPr>
          <w:i/>
        </w:rPr>
        <w:t>Cadilu</w:t>
      </w:r>
      <w:proofErr w:type="spellEnd"/>
      <w:r w:rsidRPr="00EB65AB">
        <w:rPr>
          <w:i/>
        </w:rPr>
        <w:t xml:space="preserve"> Fishing (Pty) Ltd</w:t>
      </w:r>
      <w:r w:rsidRPr="00EB65AB">
        <w:t xml:space="preserve"> 1998 NR 198 (HC) at 201 D – E the court endorsed the approach that courts should only grant summary judgment in instances where the plaintiff’s case is unanswerable.</w:t>
      </w:r>
    </w:p>
    <w:p w:rsidR="00836FCE" w:rsidRPr="00EB65AB" w:rsidRDefault="00836FCE" w:rsidP="00D6498A">
      <w:pPr>
        <w:pStyle w:val="Heading1"/>
        <w:numPr>
          <w:ilvl w:val="0"/>
          <w:numId w:val="0"/>
        </w:numPr>
      </w:pPr>
    </w:p>
    <w:p w:rsidR="00836FCE" w:rsidRPr="00EB65AB" w:rsidRDefault="003B56DF" w:rsidP="00D6498A">
      <w:pPr>
        <w:pStyle w:val="Heading1"/>
        <w:numPr>
          <w:ilvl w:val="0"/>
          <w:numId w:val="0"/>
        </w:numPr>
      </w:pPr>
      <w:r w:rsidRPr="00EB65AB">
        <w:t>[22</w:t>
      </w:r>
      <w:r w:rsidR="00836FCE" w:rsidRPr="00EB65AB">
        <w:t>]</w:t>
      </w:r>
      <w:r w:rsidR="00836FCE" w:rsidRPr="00EB65AB">
        <w:tab/>
        <w:t xml:space="preserve">If the court accepts for purposes of the current proceedings that the defendants’ version is correct then the plaintiff’s claim amount were reduced by 90%. It the </w:t>
      </w:r>
      <w:proofErr w:type="gramStart"/>
      <w:r w:rsidR="00836FCE" w:rsidRPr="00EB65AB">
        <w:t>defendants have a triable defence in respect the majority of the plaintiff’s claim then then is</w:t>
      </w:r>
      <w:proofErr w:type="gramEnd"/>
      <w:r w:rsidR="00836FCE" w:rsidRPr="00EB65AB">
        <w:t xml:space="preserve"> there is a reasonable possibility that the defendants might have a triable defence in respect of the remaining portion of the claim.</w:t>
      </w:r>
    </w:p>
    <w:p w:rsidR="00836FCE" w:rsidRPr="00EB65AB" w:rsidRDefault="00836FCE" w:rsidP="00836FCE">
      <w:r w:rsidRPr="00EB65AB">
        <w:t xml:space="preserve"> </w:t>
      </w:r>
    </w:p>
    <w:p w:rsidR="00836FCE" w:rsidRPr="00EB65AB" w:rsidRDefault="003B56DF" w:rsidP="00836FCE">
      <w:r w:rsidRPr="00EB65AB">
        <w:t>[23</w:t>
      </w:r>
      <w:r w:rsidR="00836FCE" w:rsidRPr="00EB65AB">
        <w:t>]</w:t>
      </w:r>
      <w:r w:rsidR="00836FCE" w:rsidRPr="00EB65AB">
        <w:tab/>
        <w:t xml:space="preserve">At the stage of summary judgment a defendant is not required to convince the court that all the facts mentioned by him or her are correct or undisputed. The court does not now weigh or decide factual disputed issues or </w:t>
      </w:r>
      <w:r w:rsidR="00836FCE" w:rsidRPr="00EB65AB">
        <w:lastRenderedPageBreak/>
        <w:t>determine which party is favoured by the balance of probabilities</w:t>
      </w:r>
      <w:r w:rsidR="00B85F7F" w:rsidRPr="00EB65AB">
        <w:t>.</w:t>
      </w:r>
      <w:r w:rsidR="00836FCE" w:rsidRPr="00EB65AB">
        <w:rPr>
          <w:rStyle w:val="FootnoteReference"/>
        </w:rPr>
        <w:footnoteReference w:id="4"/>
      </w:r>
    </w:p>
    <w:p w:rsidR="00836FCE" w:rsidRPr="00EB65AB" w:rsidRDefault="00836FCE" w:rsidP="00836FCE"/>
    <w:p w:rsidR="00D275C3" w:rsidRPr="00EB65AB" w:rsidRDefault="003B56DF" w:rsidP="00836FCE">
      <w:r w:rsidRPr="00EB65AB">
        <w:t>[24</w:t>
      </w:r>
      <w:r w:rsidR="00836FCE" w:rsidRPr="00EB65AB">
        <w:t>]</w:t>
      </w:r>
      <w:r w:rsidR="00836FCE" w:rsidRPr="00EB65AB">
        <w:tab/>
        <w:t xml:space="preserve">I have doubt that the plaintiff has an unanswerable case and is satisfied that there </w:t>
      </w:r>
      <w:r w:rsidR="00D275C3" w:rsidRPr="00EB65AB">
        <w:t xml:space="preserve">a reasonable possibility that </w:t>
      </w:r>
      <w:r w:rsidR="00836FCE" w:rsidRPr="00EB65AB">
        <w:t>the defence of the defendants</w:t>
      </w:r>
      <w:r w:rsidR="00D275C3" w:rsidRPr="00EB65AB">
        <w:t xml:space="preserve"> is good and therefore I exercised the court’s residual discretion in favour of the defendant and refused the summary judgment.</w:t>
      </w:r>
      <w:r w:rsidR="00D275C3" w:rsidRPr="00EB65AB">
        <w:rPr>
          <w:rStyle w:val="FootnoteReference"/>
        </w:rPr>
        <w:footnoteReference w:id="5"/>
      </w:r>
      <w:r w:rsidR="00D275C3" w:rsidRPr="00EB65AB">
        <w:t xml:space="preserve">    </w:t>
      </w:r>
    </w:p>
    <w:p w:rsidR="003B56DF" w:rsidRPr="00EB65AB" w:rsidRDefault="003B56DF" w:rsidP="00D275C3">
      <w:pPr>
        <w:pStyle w:val="BodyTextIndent"/>
        <w:spacing w:line="360" w:lineRule="auto"/>
        <w:ind w:left="0"/>
        <w:jc w:val="both"/>
        <w:rPr>
          <w:rFonts w:ascii="Arial" w:hAnsi="Arial" w:cs="Arial"/>
          <w:i/>
        </w:rPr>
      </w:pPr>
    </w:p>
    <w:p w:rsidR="00D275C3" w:rsidRPr="008B3EFF" w:rsidRDefault="008B3EFF" w:rsidP="00D275C3">
      <w:pPr>
        <w:pStyle w:val="BodyTextIndent"/>
        <w:spacing w:line="360" w:lineRule="auto"/>
        <w:ind w:left="0"/>
        <w:jc w:val="both"/>
        <w:rPr>
          <w:rFonts w:ascii="Arial" w:hAnsi="Arial" w:cs="Arial"/>
          <w:u w:val="single"/>
        </w:rPr>
      </w:pPr>
      <w:r>
        <w:rPr>
          <w:rFonts w:ascii="Arial" w:hAnsi="Arial" w:cs="Arial"/>
          <w:u w:val="single"/>
        </w:rPr>
        <w:t>Costs</w:t>
      </w:r>
    </w:p>
    <w:p w:rsidR="003B56DF" w:rsidRPr="00EB65AB" w:rsidRDefault="003B56DF" w:rsidP="00836FCE">
      <w:pPr>
        <w:pStyle w:val="BodyTextIndent"/>
        <w:spacing w:line="360" w:lineRule="auto"/>
        <w:ind w:left="0"/>
        <w:jc w:val="both"/>
        <w:rPr>
          <w:rFonts w:ascii="Arial" w:hAnsi="Arial" w:cs="Arial"/>
        </w:rPr>
      </w:pPr>
    </w:p>
    <w:p w:rsidR="0064633A" w:rsidRPr="00EB65AB" w:rsidRDefault="00836FCE" w:rsidP="0064633A">
      <w:pPr>
        <w:pStyle w:val="BodyTextIndent"/>
        <w:spacing w:line="360" w:lineRule="auto"/>
        <w:ind w:left="0"/>
        <w:rPr>
          <w:rFonts w:ascii="Arial" w:hAnsi="Arial" w:cs="Arial"/>
        </w:rPr>
      </w:pPr>
      <w:r w:rsidRPr="00EB65AB">
        <w:rPr>
          <w:rFonts w:ascii="Arial" w:hAnsi="Arial" w:cs="Arial"/>
        </w:rPr>
        <w:t>[2</w:t>
      </w:r>
      <w:r w:rsidR="003B56DF" w:rsidRPr="00EB65AB">
        <w:rPr>
          <w:rFonts w:ascii="Arial" w:hAnsi="Arial" w:cs="Arial"/>
        </w:rPr>
        <w:t>5</w:t>
      </w:r>
      <w:r w:rsidRPr="00EB65AB">
        <w:rPr>
          <w:rFonts w:ascii="Arial" w:hAnsi="Arial" w:cs="Arial"/>
        </w:rPr>
        <w:t xml:space="preserve">] </w:t>
      </w:r>
      <w:r w:rsidRPr="00EB65AB">
        <w:rPr>
          <w:rFonts w:ascii="Arial" w:hAnsi="Arial" w:cs="Arial"/>
        </w:rPr>
        <w:tab/>
        <w:t xml:space="preserve">Wasted costs </w:t>
      </w:r>
      <w:proofErr w:type="gramStart"/>
      <w:r w:rsidRPr="00EB65AB">
        <w:rPr>
          <w:rFonts w:ascii="Arial" w:hAnsi="Arial" w:cs="Arial"/>
        </w:rPr>
        <w:t>was</w:t>
      </w:r>
      <w:proofErr w:type="gramEnd"/>
      <w:r w:rsidRPr="00EB65AB">
        <w:rPr>
          <w:rFonts w:ascii="Arial" w:hAnsi="Arial" w:cs="Arial"/>
        </w:rPr>
        <w:t xml:space="preserve"> awarded in favour of the plaintiff in respect of the proceedings of 28 March 2018 and 24 April 2018</w:t>
      </w:r>
      <w:r w:rsidR="0064633A" w:rsidRPr="00EB65AB">
        <w:rPr>
          <w:rFonts w:ascii="Arial" w:hAnsi="Arial" w:cs="Arial"/>
        </w:rPr>
        <w:t xml:space="preserve"> however the nature of the wasted cost had to be determined.</w:t>
      </w:r>
    </w:p>
    <w:p w:rsidR="0064633A" w:rsidRPr="00EB65AB" w:rsidRDefault="0064633A" w:rsidP="0064633A">
      <w:pPr>
        <w:pStyle w:val="BodyTextIndent"/>
        <w:spacing w:line="360" w:lineRule="auto"/>
        <w:ind w:left="0"/>
        <w:rPr>
          <w:rFonts w:ascii="Arial" w:hAnsi="Arial" w:cs="Arial"/>
        </w:rPr>
      </w:pPr>
    </w:p>
    <w:p w:rsidR="0064633A" w:rsidRPr="00EB65AB" w:rsidRDefault="0064633A" w:rsidP="007F14D5">
      <w:pPr>
        <w:pStyle w:val="BodyTextIndent"/>
        <w:spacing w:line="360" w:lineRule="auto"/>
        <w:ind w:left="0"/>
        <w:jc w:val="both"/>
        <w:rPr>
          <w:rFonts w:ascii="Arial" w:hAnsi="Arial" w:cs="Arial"/>
        </w:rPr>
      </w:pPr>
      <w:r w:rsidRPr="00EB65AB">
        <w:rPr>
          <w:rFonts w:ascii="Arial" w:hAnsi="Arial" w:cs="Arial"/>
        </w:rPr>
        <w:t>[26]</w:t>
      </w:r>
      <w:r w:rsidRPr="00EB65AB">
        <w:rPr>
          <w:rFonts w:ascii="Arial" w:hAnsi="Arial" w:cs="Arial"/>
        </w:rPr>
        <w:tab/>
      </w:r>
      <w:r w:rsidR="003B08E9" w:rsidRPr="00EB65AB">
        <w:rPr>
          <w:rFonts w:ascii="Arial" w:hAnsi="Arial" w:cs="Arial"/>
        </w:rPr>
        <w:t xml:space="preserve"> </w:t>
      </w:r>
      <w:r w:rsidRPr="00EB65AB">
        <w:rPr>
          <w:rFonts w:ascii="Arial" w:hAnsi="Arial" w:cs="Arial"/>
        </w:rPr>
        <w:t xml:space="preserve">In the matter of </w:t>
      </w:r>
      <w:proofErr w:type="spellStart"/>
      <w:r w:rsidRPr="00EB65AB">
        <w:rPr>
          <w:rFonts w:ascii="Arial" w:hAnsi="Arial" w:cs="Arial"/>
          <w:i/>
        </w:rPr>
        <w:t>Mbekeni</w:t>
      </w:r>
      <w:proofErr w:type="spellEnd"/>
      <w:r w:rsidRPr="00EB65AB">
        <w:rPr>
          <w:rFonts w:ascii="Arial" w:hAnsi="Arial" w:cs="Arial"/>
          <w:i/>
        </w:rPr>
        <w:t xml:space="preserve"> v </w:t>
      </w:r>
      <w:proofErr w:type="spellStart"/>
      <w:r w:rsidRPr="00EB65AB">
        <w:rPr>
          <w:rFonts w:ascii="Arial" w:hAnsi="Arial" w:cs="Arial"/>
          <w:i/>
        </w:rPr>
        <w:t>Jika</w:t>
      </w:r>
      <w:proofErr w:type="spellEnd"/>
      <w:r w:rsidR="007F14D5">
        <w:rPr>
          <w:rFonts w:ascii="Arial" w:hAnsi="Arial" w:cs="Arial"/>
        </w:rPr>
        <w:t> 1995 (1) SA 423 (TK) at</w:t>
      </w:r>
      <w:r w:rsidRPr="00EB65AB">
        <w:rPr>
          <w:rFonts w:ascii="Arial" w:hAnsi="Arial" w:cs="Arial"/>
        </w:rPr>
        <w:t xml:space="preserve"> 424F - G wasted cost is defined as follows:</w:t>
      </w:r>
    </w:p>
    <w:p w:rsidR="00B85F7F" w:rsidRPr="00EB65AB" w:rsidRDefault="00B85F7F" w:rsidP="007F14D5">
      <w:pPr>
        <w:pStyle w:val="BodyTextIndent"/>
        <w:spacing w:line="360" w:lineRule="auto"/>
        <w:ind w:left="0"/>
        <w:jc w:val="both"/>
        <w:rPr>
          <w:rFonts w:ascii="Arial" w:hAnsi="Arial" w:cs="Arial"/>
        </w:rPr>
      </w:pPr>
    </w:p>
    <w:p w:rsidR="0064633A" w:rsidRPr="00EB65AB" w:rsidRDefault="0064633A" w:rsidP="007F14D5">
      <w:pPr>
        <w:pStyle w:val="BodyTextIndent"/>
        <w:spacing w:line="360" w:lineRule="auto"/>
        <w:ind w:left="0"/>
        <w:jc w:val="both"/>
        <w:rPr>
          <w:rFonts w:ascii="Arial" w:hAnsi="Arial" w:cs="Arial"/>
          <w:sz w:val="22"/>
        </w:rPr>
      </w:pPr>
      <w:proofErr w:type="gramStart"/>
      <w:r w:rsidRPr="00EB65AB">
        <w:rPr>
          <w:rFonts w:ascii="Arial" w:hAnsi="Arial" w:cs="Arial"/>
          <w:sz w:val="22"/>
        </w:rPr>
        <w:t>' ''Wasted</w:t>
      </w:r>
      <w:proofErr w:type="gramEnd"/>
      <w:r w:rsidRPr="00EB65AB">
        <w:rPr>
          <w:rFonts w:ascii="Arial" w:hAnsi="Arial" w:cs="Arial"/>
          <w:sz w:val="22"/>
        </w:rPr>
        <w:t xml:space="preserve"> costs'' are additional costs incurred by a party through the fault of his opponent or costs previously incurred which have become useless by reason o</w:t>
      </w:r>
      <w:r w:rsidR="00B85F7F" w:rsidRPr="00EB65AB">
        <w:rPr>
          <w:rFonts w:ascii="Arial" w:hAnsi="Arial" w:cs="Arial"/>
          <w:sz w:val="22"/>
        </w:rPr>
        <w:t>f his opponent's fault. . . . ‘</w:t>
      </w:r>
    </w:p>
    <w:p w:rsidR="0064633A" w:rsidRPr="00EB65AB" w:rsidRDefault="0064633A" w:rsidP="007F14D5">
      <w:pPr>
        <w:pStyle w:val="BodyTextIndent"/>
        <w:spacing w:line="360" w:lineRule="auto"/>
        <w:ind w:left="0"/>
        <w:jc w:val="both"/>
        <w:rPr>
          <w:rFonts w:ascii="Arial" w:hAnsi="Arial" w:cs="Arial"/>
          <w:shd w:val="clear" w:color="auto" w:fill="FFFFFF"/>
        </w:rPr>
      </w:pPr>
    </w:p>
    <w:p w:rsidR="0064633A" w:rsidRPr="00EB65AB" w:rsidRDefault="0064633A" w:rsidP="00836FCE">
      <w:pPr>
        <w:pStyle w:val="BodyTextIndent"/>
        <w:spacing w:line="360" w:lineRule="auto"/>
        <w:ind w:left="0"/>
        <w:jc w:val="both"/>
        <w:rPr>
          <w:rFonts w:ascii="Arial" w:hAnsi="Arial" w:cs="Arial"/>
          <w:shd w:val="clear" w:color="auto" w:fill="FFFFFF"/>
        </w:rPr>
      </w:pPr>
      <w:r w:rsidRPr="00EB65AB">
        <w:rPr>
          <w:rFonts w:ascii="Arial" w:hAnsi="Arial" w:cs="Arial"/>
          <w:shd w:val="clear" w:color="auto" w:fill="FFFFFF"/>
        </w:rPr>
        <w:t>[27]</w:t>
      </w:r>
      <w:r w:rsidRPr="00EB65AB">
        <w:rPr>
          <w:rFonts w:ascii="Arial" w:hAnsi="Arial" w:cs="Arial"/>
          <w:shd w:val="clear" w:color="auto" w:fill="FFFFFF"/>
        </w:rPr>
        <w:tab/>
        <w:t>In the case of </w:t>
      </w:r>
      <w:proofErr w:type="spellStart"/>
      <w:r w:rsidRPr="00EB65AB">
        <w:rPr>
          <w:rFonts w:ascii="Arial" w:hAnsi="Arial" w:cs="Arial"/>
          <w:bCs/>
          <w:i/>
          <w:shd w:val="clear" w:color="auto" w:fill="FFFFFF"/>
        </w:rPr>
        <w:t>Protea</w:t>
      </w:r>
      <w:proofErr w:type="spellEnd"/>
      <w:r w:rsidRPr="00EB65AB">
        <w:rPr>
          <w:rFonts w:ascii="Arial" w:hAnsi="Arial" w:cs="Arial"/>
          <w:bCs/>
          <w:i/>
          <w:shd w:val="clear" w:color="auto" w:fill="FFFFFF"/>
        </w:rPr>
        <w:t xml:space="preserve"> Life Co Ltd v </w:t>
      </w:r>
      <w:proofErr w:type="spellStart"/>
      <w:r w:rsidRPr="00EB65AB">
        <w:rPr>
          <w:rFonts w:ascii="Arial" w:hAnsi="Arial" w:cs="Arial"/>
          <w:bCs/>
          <w:i/>
          <w:shd w:val="clear" w:color="auto" w:fill="FFFFFF"/>
        </w:rPr>
        <w:t>Mich</w:t>
      </w:r>
      <w:proofErr w:type="spellEnd"/>
      <w:r w:rsidRPr="00EB65AB">
        <w:rPr>
          <w:rFonts w:ascii="Arial" w:hAnsi="Arial" w:cs="Arial"/>
          <w:bCs/>
          <w:i/>
          <w:shd w:val="clear" w:color="auto" w:fill="FFFFFF"/>
        </w:rPr>
        <w:t xml:space="preserve"> </w:t>
      </w:r>
      <w:proofErr w:type="spellStart"/>
      <w:r w:rsidRPr="00EB65AB">
        <w:rPr>
          <w:rFonts w:ascii="Arial" w:hAnsi="Arial" w:cs="Arial"/>
          <w:bCs/>
          <w:i/>
          <w:shd w:val="clear" w:color="auto" w:fill="FFFFFF"/>
        </w:rPr>
        <w:t>Quenet</w:t>
      </w:r>
      <w:proofErr w:type="spellEnd"/>
      <w:r w:rsidRPr="00EB65AB">
        <w:rPr>
          <w:rFonts w:ascii="Arial" w:hAnsi="Arial" w:cs="Arial"/>
          <w:bCs/>
          <w:i/>
          <w:shd w:val="clear" w:color="auto" w:fill="FFFFFF"/>
        </w:rPr>
        <w:t xml:space="preserve"> Financial Brokers </w:t>
      </w:r>
      <w:proofErr w:type="spellStart"/>
      <w:r w:rsidRPr="00EB65AB">
        <w:rPr>
          <w:rFonts w:ascii="Arial" w:hAnsi="Arial" w:cs="Arial"/>
          <w:bCs/>
          <w:i/>
          <w:shd w:val="clear" w:color="auto" w:fill="FFFFFF"/>
        </w:rPr>
        <w:t>en</w:t>
      </w:r>
      <w:proofErr w:type="spellEnd"/>
      <w:r w:rsidRPr="00EB65AB">
        <w:rPr>
          <w:rFonts w:ascii="Arial" w:hAnsi="Arial" w:cs="Arial"/>
          <w:bCs/>
          <w:i/>
          <w:shd w:val="clear" w:color="auto" w:fill="FFFFFF"/>
        </w:rPr>
        <w:t xml:space="preserve"> </w:t>
      </w:r>
      <w:proofErr w:type="spellStart"/>
      <w:r w:rsidRPr="00EB65AB">
        <w:rPr>
          <w:rFonts w:ascii="Arial" w:hAnsi="Arial" w:cs="Arial"/>
          <w:bCs/>
          <w:i/>
          <w:shd w:val="clear" w:color="auto" w:fill="FFFFFF"/>
        </w:rPr>
        <w:t>Andere</w:t>
      </w:r>
      <w:proofErr w:type="spellEnd"/>
      <w:r w:rsidRPr="00EB65AB">
        <w:rPr>
          <w:rFonts w:ascii="Arial" w:hAnsi="Arial" w:cs="Arial"/>
          <w:shd w:val="clear" w:color="auto" w:fill="FFFFFF"/>
        </w:rPr>
        <w:t> </w:t>
      </w:r>
      <w:hyperlink r:id="rId13" w:tooltip="View LawCiteRecord" w:history="1">
        <w:r w:rsidRPr="00EB65AB">
          <w:rPr>
            <w:rStyle w:val="Hyperlink"/>
            <w:rFonts w:ascii="Arial" w:hAnsi="Arial" w:cs="Arial"/>
            <w:bCs/>
            <w:color w:val="auto"/>
            <w:u w:val="none"/>
            <w:shd w:val="clear" w:color="auto" w:fill="FFFFFF"/>
          </w:rPr>
          <w:t>2001 (2) SA 636</w:t>
        </w:r>
      </w:hyperlink>
      <w:r w:rsidRPr="00EB65AB">
        <w:rPr>
          <w:rFonts w:ascii="Arial" w:hAnsi="Arial" w:cs="Arial"/>
          <w:shd w:val="clear" w:color="auto" w:fill="FFFFFF"/>
        </w:rPr>
        <w:t> (O) at 648 D – E it was held, with regards to wasted costs, that it must always be kept in mind that wasted costs do not relate only to work which has been wasted, but also to additional costs which have been incurred as a result of the actions of the party who was to blame.</w:t>
      </w:r>
    </w:p>
    <w:p w:rsidR="0064633A" w:rsidRPr="00EB65AB" w:rsidRDefault="0064633A" w:rsidP="00836FCE">
      <w:pPr>
        <w:pStyle w:val="BodyTextIndent"/>
        <w:spacing w:line="360" w:lineRule="auto"/>
        <w:ind w:left="0"/>
        <w:jc w:val="both"/>
        <w:rPr>
          <w:rFonts w:ascii="Arial" w:hAnsi="Arial" w:cs="Arial"/>
          <w:shd w:val="clear" w:color="auto" w:fill="FFFFFF"/>
        </w:rPr>
      </w:pPr>
    </w:p>
    <w:p w:rsidR="009E61D4" w:rsidRPr="00EB65AB" w:rsidRDefault="0064633A" w:rsidP="009E61D4">
      <w:pPr>
        <w:pStyle w:val="BodyTextIndent"/>
        <w:spacing w:line="360" w:lineRule="auto"/>
        <w:ind w:left="0"/>
        <w:jc w:val="both"/>
        <w:rPr>
          <w:rFonts w:ascii="Arial" w:hAnsi="Arial" w:cs="Arial"/>
        </w:rPr>
      </w:pPr>
      <w:r w:rsidRPr="00EB65AB">
        <w:rPr>
          <w:rFonts w:ascii="Arial" w:hAnsi="Arial" w:cs="Arial"/>
          <w:shd w:val="clear" w:color="auto" w:fill="FFFFFF"/>
        </w:rPr>
        <w:t xml:space="preserve">[28] </w:t>
      </w:r>
      <w:r w:rsidRPr="00EB65AB">
        <w:rPr>
          <w:rFonts w:ascii="Arial" w:hAnsi="Arial" w:cs="Arial"/>
          <w:shd w:val="clear" w:color="auto" w:fill="FFFFFF"/>
        </w:rPr>
        <w:tab/>
        <w:t>On the part of the defendants there were various non-compliances which resulted in the postponement</w:t>
      </w:r>
      <w:r w:rsidR="00BD0903" w:rsidRPr="00EB65AB">
        <w:rPr>
          <w:rFonts w:ascii="Arial" w:hAnsi="Arial" w:cs="Arial"/>
          <w:shd w:val="clear" w:color="auto" w:fill="FFFFFF"/>
        </w:rPr>
        <w:t>s</w:t>
      </w:r>
      <w:r w:rsidRPr="00EB65AB">
        <w:rPr>
          <w:rFonts w:ascii="Arial" w:hAnsi="Arial" w:cs="Arial"/>
          <w:shd w:val="clear" w:color="auto" w:fill="FFFFFF"/>
        </w:rPr>
        <w:t xml:space="preserve"> for which wasted cost was tendered. </w:t>
      </w:r>
      <w:r w:rsidR="009E61D4" w:rsidRPr="00EB65AB">
        <w:rPr>
          <w:rFonts w:ascii="Arial" w:hAnsi="Arial" w:cs="Arial"/>
          <w:shd w:val="clear" w:color="auto" w:fill="FFFFFF"/>
        </w:rPr>
        <w:t>T</w:t>
      </w:r>
      <w:r w:rsidR="009E61D4" w:rsidRPr="00EB65AB">
        <w:rPr>
          <w:rFonts w:ascii="Arial" w:hAnsi="Arial" w:cs="Arial"/>
        </w:rPr>
        <w:t>he conduct of the defendants demanded that costs be awarded against them on a punitive scale of attorney and client.</w:t>
      </w:r>
    </w:p>
    <w:p w:rsidR="00371581" w:rsidRPr="00EB65AB" w:rsidRDefault="00371581" w:rsidP="009E61D4">
      <w:pPr>
        <w:pStyle w:val="BodyTextIndent"/>
        <w:spacing w:line="360" w:lineRule="auto"/>
        <w:ind w:left="0"/>
        <w:jc w:val="both"/>
        <w:rPr>
          <w:rFonts w:ascii="Arial" w:hAnsi="Arial" w:cs="Arial"/>
        </w:rPr>
      </w:pPr>
    </w:p>
    <w:p w:rsidR="00371581" w:rsidRPr="00EB65AB" w:rsidRDefault="00371581" w:rsidP="009E61D4">
      <w:pPr>
        <w:pStyle w:val="BodyTextIndent"/>
        <w:spacing w:line="360" w:lineRule="auto"/>
        <w:ind w:left="0"/>
        <w:jc w:val="both"/>
        <w:rPr>
          <w:rFonts w:ascii="Arial" w:hAnsi="Arial" w:cs="Arial"/>
        </w:rPr>
      </w:pPr>
      <w:r w:rsidRPr="00EB65AB">
        <w:rPr>
          <w:rFonts w:ascii="Arial" w:hAnsi="Arial" w:cs="Arial"/>
        </w:rPr>
        <w:t xml:space="preserve">[29] </w:t>
      </w:r>
      <w:r w:rsidRPr="00EB65AB">
        <w:rPr>
          <w:rFonts w:ascii="Arial" w:hAnsi="Arial" w:cs="Arial"/>
        </w:rPr>
        <w:tab/>
        <w:t xml:space="preserve">The cost of the current application should however be reserved for the trial court. </w:t>
      </w:r>
    </w:p>
    <w:p w:rsidR="0064633A" w:rsidRPr="00EB65AB" w:rsidRDefault="0064633A" w:rsidP="00836FCE">
      <w:pPr>
        <w:pStyle w:val="BodyTextIndent"/>
        <w:spacing w:line="360" w:lineRule="auto"/>
        <w:ind w:left="0"/>
        <w:jc w:val="both"/>
        <w:rPr>
          <w:rFonts w:ascii="Arial" w:hAnsi="Arial" w:cs="Arial"/>
          <w:shd w:val="clear" w:color="auto" w:fill="FFFFFF"/>
        </w:rPr>
      </w:pPr>
    </w:p>
    <w:p w:rsidR="00C43A6B" w:rsidRPr="008B3EFF" w:rsidRDefault="008B3EFF" w:rsidP="00836FCE">
      <w:pPr>
        <w:pStyle w:val="BodyTextIndent"/>
        <w:spacing w:line="360" w:lineRule="auto"/>
        <w:ind w:left="0"/>
        <w:jc w:val="both"/>
        <w:rPr>
          <w:rFonts w:ascii="Arial" w:hAnsi="Arial" w:cs="Arial"/>
          <w:u w:val="single"/>
        </w:rPr>
      </w:pPr>
      <w:r>
        <w:rPr>
          <w:rFonts w:ascii="Arial" w:hAnsi="Arial" w:cs="Arial"/>
          <w:u w:val="single"/>
        </w:rPr>
        <w:t>ORDER</w:t>
      </w:r>
    </w:p>
    <w:p w:rsidR="008B3EFF" w:rsidRPr="00EB65AB" w:rsidRDefault="008B3EFF" w:rsidP="00836FCE">
      <w:pPr>
        <w:pStyle w:val="BodyTextIndent"/>
        <w:spacing w:line="360" w:lineRule="auto"/>
        <w:ind w:left="0"/>
        <w:jc w:val="both"/>
        <w:rPr>
          <w:rFonts w:ascii="Arial" w:hAnsi="Arial" w:cs="Arial"/>
        </w:rPr>
      </w:pPr>
    </w:p>
    <w:p w:rsidR="00C43A6B" w:rsidRDefault="00C43A6B" w:rsidP="008B3EFF">
      <w:pPr>
        <w:pStyle w:val="ListParagraph"/>
        <w:numPr>
          <w:ilvl w:val="0"/>
          <w:numId w:val="30"/>
        </w:numPr>
        <w:tabs>
          <w:tab w:val="left" w:pos="720"/>
        </w:tabs>
        <w:ind w:left="720" w:hanging="720"/>
      </w:pPr>
      <w:r w:rsidRPr="00EB65AB">
        <w:t xml:space="preserve">Application </w:t>
      </w:r>
      <w:r w:rsidR="005B4721" w:rsidRPr="00EB65AB">
        <w:t>f</w:t>
      </w:r>
      <w:r w:rsidRPr="00EB65AB">
        <w:t>or summary judgment is refused</w:t>
      </w:r>
      <w:r w:rsidR="008B3EFF">
        <w:t>.</w:t>
      </w:r>
    </w:p>
    <w:p w:rsidR="008B3EFF" w:rsidRPr="00EB65AB" w:rsidRDefault="008B3EFF" w:rsidP="008B3EFF">
      <w:pPr>
        <w:pStyle w:val="ListParagraph"/>
        <w:tabs>
          <w:tab w:val="left" w:pos="720"/>
        </w:tabs>
      </w:pPr>
    </w:p>
    <w:p w:rsidR="00C43A6B" w:rsidRDefault="00C43A6B" w:rsidP="008B3EFF">
      <w:pPr>
        <w:pStyle w:val="ListParagraph"/>
        <w:numPr>
          <w:ilvl w:val="0"/>
          <w:numId w:val="30"/>
        </w:numPr>
        <w:tabs>
          <w:tab w:val="left" w:pos="720"/>
        </w:tabs>
        <w:ind w:left="720" w:hanging="720"/>
      </w:pPr>
      <w:r w:rsidRPr="00EB65AB">
        <w:t>Defendant is granted leave to defend the action.</w:t>
      </w:r>
    </w:p>
    <w:p w:rsidR="008B3EFF" w:rsidRPr="00EB65AB" w:rsidRDefault="008B3EFF" w:rsidP="008B3EFF">
      <w:pPr>
        <w:tabs>
          <w:tab w:val="left" w:pos="720"/>
        </w:tabs>
      </w:pPr>
    </w:p>
    <w:p w:rsidR="00C43A6B" w:rsidRDefault="00C43A6B" w:rsidP="008B3EFF">
      <w:pPr>
        <w:pStyle w:val="ListParagraph"/>
        <w:numPr>
          <w:ilvl w:val="0"/>
          <w:numId w:val="30"/>
        </w:numPr>
        <w:tabs>
          <w:tab w:val="left" w:pos="720"/>
        </w:tabs>
        <w:ind w:left="720" w:hanging="720"/>
      </w:pPr>
      <w:r w:rsidRPr="00EB65AB">
        <w:t xml:space="preserve">Cost in respect of the application </w:t>
      </w:r>
      <w:r w:rsidRPr="00EB65AB">
        <w:rPr>
          <w:i/>
        </w:rPr>
        <w:t xml:space="preserve">in </w:t>
      </w:r>
      <w:proofErr w:type="spellStart"/>
      <w:r w:rsidRPr="00EB65AB">
        <w:rPr>
          <w:i/>
        </w:rPr>
        <w:t>casu</w:t>
      </w:r>
      <w:proofErr w:type="spellEnd"/>
      <w:r w:rsidRPr="00EB65AB">
        <w:t xml:space="preserve"> is reserved for the trial court. </w:t>
      </w:r>
    </w:p>
    <w:p w:rsidR="008B3EFF" w:rsidRPr="00EB65AB" w:rsidRDefault="008B3EFF" w:rsidP="008B3EFF">
      <w:pPr>
        <w:tabs>
          <w:tab w:val="left" w:pos="720"/>
        </w:tabs>
      </w:pPr>
    </w:p>
    <w:p w:rsidR="00507DF6" w:rsidRDefault="00C43A6B" w:rsidP="008B3EFF">
      <w:pPr>
        <w:pStyle w:val="ListParagraph"/>
        <w:numPr>
          <w:ilvl w:val="0"/>
          <w:numId w:val="30"/>
        </w:numPr>
        <w:tabs>
          <w:tab w:val="left" w:pos="720"/>
        </w:tabs>
        <w:ind w:left="720" w:hanging="720"/>
      </w:pPr>
      <w:r w:rsidRPr="00EB65AB">
        <w:t xml:space="preserve">Costs: Scale of the wasted costs tendered for 28 March 2018 and 24 April 2018 to be on attorney and client scale. </w:t>
      </w:r>
    </w:p>
    <w:p w:rsidR="008B3EFF" w:rsidRPr="00EB65AB" w:rsidRDefault="008B3EFF" w:rsidP="008B3EFF">
      <w:pPr>
        <w:tabs>
          <w:tab w:val="left" w:pos="720"/>
        </w:tabs>
      </w:pPr>
    </w:p>
    <w:p w:rsidR="00863AC5" w:rsidRPr="00EB65AB" w:rsidRDefault="00863AC5" w:rsidP="008B3EFF">
      <w:pPr>
        <w:pStyle w:val="ListParagraph"/>
        <w:numPr>
          <w:ilvl w:val="0"/>
          <w:numId w:val="30"/>
        </w:numPr>
        <w:tabs>
          <w:tab w:val="left" w:pos="720"/>
        </w:tabs>
        <w:ind w:left="720" w:hanging="720"/>
      </w:pPr>
      <w:r w:rsidRPr="00EB65AB">
        <w:t>Case is postponed to 13 September 2018 at 15:00 for Case Plan Conference in terms of Rule 23(5).</w:t>
      </w:r>
    </w:p>
    <w:p w:rsidR="00863AC5" w:rsidRPr="00EB65AB" w:rsidRDefault="00863AC5" w:rsidP="00863AC5">
      <w:pPr>
        <w:pStyle w:val="ListParagraph"/>
        <w:ind w:left="1170"/>
      </w:pPr>
    </w:p>
    <w:p w:rsidR="00AA10AC" w:rsidRPr="00EB65AB" w:rsidRDefault="00AE55C5" w:rsidP="00AE55C5">
      <w:pPr>
        <w:ind w:left="5220"/>
      </w:pPr>
      <w:r w:rsidRPr="00EB65AB">
        <w:t>_____________________</w:t>
      </w:r>
    </w:p>
    <w:p w:rsidR="00AA10AC" w:rsidRPr="00EB65AB" w:rsidRDefault="00C43A6B" w:rsidP="007F14D5">
      <w:pPr>
        <w:ind w:left="5220"/>
        <w:jc w:val="right"/>
      </w:pPr>
      <w:r w:rsidRPr="00EB65AB">
        <w:t>JS Prinsloo</w:t>
      </w:r>
    </w:p>
    <w:p w:rsidR="007F14D5" w:rsidRDefault="00AA10AC" w:rsidP="007F14D5">
      <w:pPr>
        <w:ind w:left="5220"/>
        <w:jc w:val="right"/>
      </w:pPr>
      <w:r w:rsidRPr="00EB65AB">
        <w:t>Judge</w:t>
      </w:r>
    </w:p>
    <w:p w:rsidR="008B3EFF" w:rsidRDefault="008B3EFF" w:rsidP="007F14D5"/>
    <w:p w:rsidR="008B3EFF" w:rsidRDefault="008B3EFF" w:rsidP="007F14D5"/>
    <w:p w:rsidR="008B3EFF" w:rsidRDefault="008B3EFF" w:rsidP="007F14D5"/>
    <w:p w:rsidR="008B3EFF" w:rsidRDefault="008B3EFF" w:rsidP="007F14D5"/>
    <w:p w:rsidR="008B3EFF" w:rsidRDefault="008B3EFF" w:rsidP="007F14D5"/>
    <w:p w:rsidR="008B3EFF" w:rsidRDefault="008B3EFF" w:rsidP="007F14D5"/>
    <w:p w:rsidR="008B3EFF" w:rsidRDefault="008B3EFF" w:rsidP="007F14D5"/>
    <w:p w:rsidR="008B3EFF" w:rsidRDefault="008B3EFF" w:rsidP="007F14D5"/>
    <w:p w:rsidR="008B3EFF" w:rsidRDefault="008B3EFF" w:rsidP="007F14D5"/>
    <w:p w:rsidR="008B3EFF" w:rsidRDefault="008B3EFF" w:rsidP="007F14D5"/>
    <w:p w:rsidR="008B3EFF" w:rsidRDefault="008B3EFF" w:rsidP="007F14D5"/>
    <w:p w:rsidR="008B3EFF" w:rsidRDefault="008B3EFF" w:rsidP="007F14D5"/>
    <w:p w:rsidR="008B3EFF" w:rsidRDefault="008B3EFF" w:rsidP="007F14D5"/>
    <w:p w:rsidR="00AA10AC" w:rsidRPr="00EB65AB" w:rsidRDefault="00AA10AC" w:rsidP="007F14D5">
      <w:r w:rsidRPr="00EB65AB">
        <w:lastRenderedPageBreak/>
        <w:t>APPEARANCES</w:t>
      </w:r>
    </w:p>
    <w:p w:rsidR="00AA10AC" w:rsidRPr="00EB65AB" w:rsidRDefault="00AA10AC" w:rsidP="00AA10AC">
      <w:pPr>
        <w:pStyle w:val="BodyText"/>
        <w:autoSpaceDE w:val="0"/>
        <w:autoSpaceDN w:val="0"/>
        <w:adjustRightInd w:val="0"/>
        <w:spacing w:line="360" w:lineRule="auto"/>
        <w:jc w:val="both"/>
        <w:rPr>
          <w:rFonts w:ascii="Arial" w:hAnsi="Arial" w:cs="Arial"/>
        </w:rPr>
      </w:pPr>
    </w:p>
    <w:p w:rsidR="00C43A6B" w:rsidRPr="00EB65AB" w:rsidRDefault="008B3EFF" w:rsidP="00C43A6B">
      <w:pPr>
        <w:tabs>
          <w:tab w:val="left" w:pos="3960"/>
        </w:tabs>
      </w:pPr>
      <w:r>
        <w:t xml:space="preserve">PLAINTIFF:                                      </w:t>
      </w:r>
      <w:r w:rsidR="00AA4CA0" w:rsidRPr="00EB65AB">
        <w:t>S J Jacobs (with</w:t>
      </w:r>
      <w:r>
        <w:t xml:space="preserve"> him</w:t>
      </w:r>
      <w:r w:rsidR="00AA4CA0" w:rsidRPr="00EB65AB">
        <w:t xml:space="preserve"> J </w:t>
      </w:r>
      <w:proofErr w:type="spellStart"/>
      <w:r w:rsidR="00AA4CA0" w:rsidRPr="00EB65AB">
        <w:t>Visser</w:t>
      </w:r>
      <w:proofErr w:type="spellEnd"/>
      <w:r w:rsidR="00AA4CA0" w:rsidRPr="00EB65AB">
        <w:t xml:space="preserve">) </w:t>
      </w:r>
    </w:p>
    <w:p w:rsidR="00AA10AC" w:rsidRPr="00EB65AB" w:rsidRDefault="008B3EFF" w:rsidP="008B3EFF">
      <w:pPr>
        <w:autoSpaceDE w:val="0"/>
        <w:autoSpaceDN w:val="0"/>
        <w:adjustRightInd w:val="0"/>
      </w:pPr>
      <w:r>
        <w:t xml:space="preserve">                                                          </w:t>
      </w:r>
      <w:proofErr w:type="gramStart"/>
      <w:r>
        <w:t>i</w:t>
      </w:r>
      <w:r w:rsidR="00AA4CA0" w:rsidRPr="00EB65AB">
        <w:t>nstructed</w:t>
      </w:r>
      <w:proofErr w:type="gramEnd"/>
      <w:r w:rsidR="00AA4CA0" w:rsidRPr="00EB65AB">
        <w:t xml:space="preserve"> by </w:t>
      </w:r>
      <w:proofErr w:type="spellStart"/>
      <w:r w:rsidR="00AA4CA0" w:rsidRPr="00EB65AB">
        <w:t>Koep</w:t>
      </w:r>
      <w:proofErr w:type="spellEnd"/>
      <w:r w:rsidR="00AA4CA0" w:rsidRPr="00EB65AB">
        <w:t xml:space="preserve"> &amp; Partners</w:t>
      </w:r>
      <w:r>
        <w:t>, Windhoek</w:t>
      </w:r>
    </w:p>
    <w:p w:rsidR="00AA4CA0" w:rsidRPr="00EB65AB" w:rsidRDefault="00AA4CA0" w:rsidP="00DD5FEC">
      <w:pPr>
        <w:autoSpaceDE w:val="0"/>
        <w:autoSpaceDN w:val="0"/>
        <w:adjustRightInd w:val="0"/>
        <w:ind w:left="3960"/>
      </w:pPr>
    </w:p>
    <w:p w:rsidR="00AA10AC" w:rsidRPr="00EB65AB" w:rsidRDefault="00AA10AC" w:rsidP="00AA10AC">
      <w:pPr>
        <w:autoSpaceDE w:val="0"/>
        <w:autoSpaceDN w:val="0"/>
        <w:adjustRightInd w:val="0"/>
        <w:ind w:left="3780" w:hanging="3780"/>
      </w:pPr>
    </w:p>
    <w:p w:rsidR="00AA10AC" w:rsidRPr="00EB65AB" w:rsidRDefault="008B3EFF" w:rsidP="00C43A6B">
      <w:pPr>
        <w:autoSpaceDE w:val="0"/>
        <w:autoSpaceDN w:val="0"/>
        <w:adjustRightInd w:val="0"/>
        <w:ind w:left="3960" w:hanging="3960"/>
      </w:pPr>
      <w:r>
        <w:t xml:space="preserve">DEFENDANT:                                   </w:t>
      </w:r>
      <w:r w:rsidR="00AA4CA0" w:rsidRPr="00EB65AB">
        <w:t xml:space="preserve">E </w:t>
      </w:r>
      <w:proofErr w:type="spellStart"/>
      <w:r w:rsidR="00AA4CA0" w:rsidRPr="00EB65AB">
        <w:t>Nekwaya</w:t>
      </w:r>
      <w:proofErr w:type="spellEnd"/>
      <w:r w:rsidR="00AA4CA0" w:rsidRPr="00EB65AB">
        <w:t xml:space="preserve"> (with</w:t>
      </w:r>
      <w:r>
        <w:t xml:space="preserve"> him</w:t>
      </w:r>
      <w:r w:rsidR="00AA4CA0" w:rsidRPr="00EB65AB">
        <w:t xml:space="preserve"> R </w:t>
      </w:r>
      <w:proofErr w:type="spellStart"/>
      <w:r w:rsidR="00AA4CA0" w:rsidRPr="00EB65AB">
        <w:t>Shipindo</w:t>
      </w:r>
      <w:proofErr w:type="spellEnd"/>
      <w:r w:rsidR="00AA4CA0" w:rsidRPr="00EB65AB">
        <w:t xml:space="preserve">) </w:t>
      </w:r>
    </w:p>
    <w:p w:rsidR="00AA4CA0" w:rsidRPr="00EB65AB" w:rsidRDefault="00AA4CA0" w:rsidP="00C43A6B">
      <w:pPr>
        <w:autoSpaceDE w:val="0"/>
        <w:autoSpaceDN w:val="0"/>
        <w:adjustRightInd w:val="0"/>
        <w:ind w:left="3960" w:hanging="3960"/>
      </w:pPr>
      <w:r w:rsidRPr="00EB65AB">
        <w:t xml:space="preserve">                            </w:t>
      </w:r>
      <w:r w:rsidR="008B3EFF">
        <w:t xml:space="preserve">                               </w:t>
      </w:r>
      <w:proofErr w:type="gramStart"/>
      <w:r w:rsidR="008B3EFF">
        <w:t>i</w:t>
      </w:r>
      <w:r w:rsidRPr="00EB65AB">
        <w:t>nstructed</w:t>
      </w:r>
      <w:proofErr w:type="gramEnd"/>
      <w:r w:rsidRPr="00EB65AB">
        <w:t xml:space="preserve"> by Metcalfe Attorneys, Windhoek</w:t>
      </w:r>
    </w:p>
    <w:p w:rsidR="00C43A6B" w:rsidRPr="00EB65AB" w:rsidRDefault="00C43A6B" w:rsidP="00C43A6B">
      <w:pPr>
        <w:autoSpaceDE w:val="0"/>
        <w:autoSpaceDN w:val="0"/>
        <w:adjustRightInd w:val="0"/>
        <w:ind w:left="3960" w:hanging="3960"/>
      </w:pPr>
    </w:p>
    <w:p w:rsidR="00D275C3" w:rsidRPr="00EB65AB" w:rsidRDefault="00D275C3" w:rsidP="008E6AF6">
      <w:pPr>
        <w:pStyle w:val="BodyTextIndent"/>
        <w:spacing w:line="360" w:lineRule="auto"/>
        <w:ind w:left="0"/>
        <w:jc w:val="both"/>
      </w:pPr>
    </w:p>
    <w:p w:rsidR="00D275C3" w:rsidRPr="00EB65AB" w:rsidRDefault="00D275C3">
      <w:pPr>
        <w:pStyle w:val="BodyTextIndent"/>
        <w:spacing w:line="360" w:lineRule="auto"/>
        <w:ind w:left="0"/>
        <w:jc w:val="both"/>
        <w:rPr>
          <w:rFonts w:ascii="Arial" w:hAnsi="Arial" w:cs="Arial"/>
        </w:rPr>
      </w:pPr>
    </w:p>
    <w:sectPr w:rsidR="00D275C3" w:rsidRPr="00EB65AB" w:rsidSect="00BA1680">
      <w:headerReference w:type="even" r:id="rId14"/>
      <w:headerReference w:type="default" r:id="rId15"/>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DE" w:rsidRDefault="002D59DE" w:rsidP="00916555">
      <w:r>
        <w:separator/>
      </w:r>
    </w:p>
  </w:endnote>
  <w:endnote w:type="continuationSeparator" w:id="0">
    <w:p w:rsidR="002D59DE" w:rsidRDefault="002D59DE" w:rsidP="0091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DE" w:rsidRDefault="002D59DE" w:rsidP="00916555">
      <w:r>
        <w:separator/>
      </w:r>
    </w:p>
  </w:footnote>
  <w:footnote w:type="continuationSeparator" w:id="0">
    <w:p w:rsidR="002D59DE" w:rsidRDefault="002D59DE" w:rsidP="00916555">
      <w:r>
        <w:continuationSeparator/>
      </w:r>
    </w:p>
  </w:footnote>
  <w:footnote w:id="1">
    <w:p w:rsidR="00BD0903" w:rsidRPr="00836FCE" w:rsidRDefault="00BD0903" w:rsidP="008B3EFF">
      <w:pPr>
        <w:ind w:left="720" w:hanging="720"/>
        <w:rPr>
          <w:sz w:val="20"/>
          <w:szCs w:val="20"/>
        </w:rPr>
      </w:pPr>
      <w:r>
        <w:rPr>
          <w:rStyle w:val="FootnoteReference"/>
        </w:rPr>
        <w:footnoteRef/>
      </w:r>
      <w:r>
        <w:t xml:space="preserve">    </w:t>
      </w:r>
      <w:r w:rsidRPr="00836FCE">
        <w:rPr>
          <w:sz w:val="20"/>
          <w:szCs w:val="20"/>
        </w:rPr>
        <w:t>(a)</w:t>
      </w:r>
      <w:r>
        <w:t xml:space="preserve"> </w:t>
      </w:r>
      <w:r w:rsidRPr="00836FCE">
        <w:rPr>
          <w:sz w:val="20"/>
          <w:szCs w:val="20"/>
        </w:rPr>
        <w:t>The first defendant  would from time to time order goods from the plaintiff on open account;</w:t>
      </w:r>
    </w:p>
    <w:p w:rsidR="00BD0903" w:rsidRPr="00836FCE" w:rsidRDefault="00BD0903" w:rsidP="00836FCE">
      <w:pPr>
        <w:pStyle w:val="ListParagraph"/>
        <w:numPr>
          <w:ilvl w:val="0"/>
          <w:numId w:val="27"/>
        </w:numPr>
        <w:rPr>
          <w:sz w:val="20"/>
          <w:szCs w:val="20"/>
        </w:rPr>
      </w:pPr>
      <w:r w:rsidRPr="00836FCE">
        <w:rPr>
          <w:sz w:val="20"/>
          <w:szCs w:val="20"/>
        </w:rPr>
        <w:t xml:space="preserve">Once the order has been placed by the first defendant the plaintiff would dispatch the goods from Australia to Namibia by container per sea freight; </w:t>
      </w:r>
    </w:p>
    <w:p w:rsidR="00BD0903" w:rsidRPr="00836FCE" w:rsidRDefault="00BD0903" w:rsidP="00836FCE">
      <w:pPr>
        <w:pStyle w:val="ListParagraph"/>
        <w:numPr>
          <w:ilvl w:val="0"/>
          <w:numId w:val="27"/>
        </w:numPr>
        <w:rPr>
          <w:sz w:val="20"/>
          <w:szCs w:val="20"/>
        </w:rPr>
      </w:pPr>
      <w:r w:rsidRPr="00836FCE">
        <w:rPr>
          <w:sz w:val="20"/>
          <w:szCs w:val="20"/>
        </w:rPr>
        <w:t>First defendant would be liable for payment of the goods at the plaintiff’s usual and customary rates upon placing the purchase order;</w:t>
      </w:r>
    </w:p>
    <w:p w:rsidR="00BD0903" w:rsidRPr="00836FCE" w:rsidRDefault="00BD0903" w:rsidP="00836FCE">
      <w:pPr>
        <w:pStyle w:val="ListParagraph"/>
        <w:numPr>
          <w:ilvl w:val="0"/>
          <w:numId w:val="27"/>
        </w:numPr>
        <w:rPr>
          <w:sz w:val="20"/>
          <w:szCs w:val="20"/>
        </w:rPr>
      </w:pPr>
      <w:r w:rsidRPr="00836FCE">
        <w:rPr>
          <w:sz w:val="20"/>
          <w:szCs w:val="20"/>
        </w:rPr>
        <w:t xml:space="preserve">Once the plaintiff has dispatched the goods unto the sea vessel all risk and responsibility in and to the goods passes onto the first defendant. </w:t>
      </w:r>
    </w:p>
    <w:p w:rsidR="00BD0903" w:rsidRPr="00836FCE" w:rsidRDefault="00BD0903" w:rsidP="00836FCE">
      <w:pPr>
        <w:pStyle w:val="ListParagraph"/>
        <w:numPr>
          <w:ilvl w:val="0"/>
          <w:numId w:val="27"/>
        </w:numPr>
        <w:rPr>
          <w:sz w:val="20"/>
          <w:szCs w:val="20"/>
        </w:rPr>
      </w:pPr>
      <w:r w:rsidRPr="00836FCE">
        <w:rPr>
          <w:sz w:val="20"/>
          <w:szCs w:val="20"/>
        </w:rPr>
        <w:t xml:space="preserve">All costs, charges, taxes and expenses incurred and associated with transport, delivery and clearing of goods by customs and Trans World Cargo (Pty) Ltd was payable by the first defendant. </w:t>
      </w:r>
    </w:p>
    <w:p w:rsidR="00BD0903" w:rsidRPr="00836FCE" w:rsidRDefault="00BD0903" w:rsidP="00836FCE">
      <w:pPr>
        <w:pStyle w:val="ListParagraph"/>
        <w:numPr>
          <w:ilvl w:val="0"/>
          <w:numId w:val="27"/>
        </w:numPr>
        <w:rPr>
          <w:sz w:val="20"/>
          <w:szCs w:val="20"/>
        </w:rPr>
      </w:pPr>
      <w:r w:rsidRPr="00836FCE">
        <w:rPr>
          <w:sz w:val="20"/>
          <w:szCs w:val="20"/>
        </w:rPr>
        <w:t xml:space="preserve">It would be in the discretion of plaintiff to allocate whichever payment received to whichever account operated by the first defendant at the time. </w:t>
      </w:r>
    </w:p>
    <w:p w:rsidR="00BD0903" w:rsidRPr="00836FCE" w:rsidRDefault="00BD0903">
      <w:pPr>
        <w:pStyle w:val="FootnoteText"/>
        <w:rPr>
          <w:lang w:val="af-ZA"/>
        </w:rPr>
      </w:pPr>
    </w:p>
  </w:footnote>
  <w:footnote w:id="2">
    <w:p w:rsidR="00BD0903" w:rsidRPr="00C43A6B" w:rsidRDefault="00BD0903">
      <w:pPr>
        <w:pStyle w:val="FootnoteText"/>
        <w:rPr>
          <w:lang w:val="af-ZA"/>
        </w:rPr>
      </w:pPr>
      <w:r>
        <w:rPr>
          <w:rStyle w:val="FootnoteReference"/>
        </w:rPr>
        <w:footnoteRef/>
      </w:r>
      <w:r>
        <w:t xml:space="preserve"> I</w:t>
      </w:r>
      <w:r w:rsidRPr="00C43A6B">
        <w:t>n the alternative</w:t>
      </w:r>
      <w:r>
        <w:t>,</w:t>
      </w:r>
      <w:r w:rsidRPr="00C43A6B">
        <w:t xml:space="preserve"> the equivalent value of $800,972.48 AUD in Namibian Dollars calculated at an exchange rate that will put the plaintiff in the financial position it would have occupied if payment was made when it became due.</w:t>
      </w:r>
    </w:p>
  </w:footnote>
  <w:footnote w:id="3">
    <w:p w:rsidR="00BD0903" w:rsidRPr="00A43B3D" w:rsidRDefault="00BD0903">
      <w:pPr>
        <w:pStyle w:val="FootnoteText"/>
        <w:rPr>
          <w:lang w:val="af-ZA"/>
        </w:rPr>
      </w:pPr>
      <w:r>
        <w:rPr>
          <w:rStyle w:val="FootnoteReference"/>
        </w:rPr>
        <w:footnoteRef/>
      </w:r>
      <w:r>
        <w:t xml:space="preserve">  Claim 1 $48,211.23 plus Claim 2 $ 25,429.00 AUD</w:t>
      </w:r>
      <w:r w:rsidR="00B85F7F">
        <w:t>.</w:t>
      </w:r>
    </w:p>
  </w:footnote>
  <w:footnote w:id="4">
    <w:p w:rsidR="00BD0903" w:rsidRPr="00836FCE" w:rsidRDefault="00BD0903">
      <w:pPr>
        <w:pStyle w:val="FootnoteText"/>
        <w:rPr>
          <w:lang w:val="af-ZA"/>
        </w:rPr>
      </w:pPr>
      <w:r>
        <w:rPr>
          <w:rStyle w:val="FootnoteReference"/>
        </w:rPr>
        <w:footnoteRef/>
      </w:r>
      <w:r>
        <w:t xml:space="preserve"> </w:t>
      </w:r>
      <w:proofErr w:type="gramStart"/>
      <w:r w:rsidRPr="00836FCE">
        <w:rPr>
          <w:i/>
        </w:rPr>
        <w:t xml:space="preserve">Easy Life Management (Cape) (Pty) Ltd </w:t>
      </w:r>
      <w:r w:rsidR="00B85F7F" w:rsidRPr="00836FCE">
        <w:rPr>
          <w:i/>
        </w:rPr>
        <w:t>and</w:t>
      </w:r>
      <w:r w:rsidR="00B85F7F">
        <w:rPr>
          <w:i/>
        </w:rPr>
        <w:t xml:space="preserve"> Another v</w:t>
      </w:r>
      <w:r w:rsidRPr="00836FCE">
        <w:rPr>
          <w:i/>
        </w:rPr>
        <w:t xml:space="preserve"> </w:t>
      </w:r>
      <w:r w:rsidR="00B85F7F">
        <w:rPr>
          <w:i/>
        </w:rPr>
        <w:t>Easy Fit Cupboards Windhoek CC a</w:t>
      </w:r>
      <w:r w:rsidRPr="00836FCE">
        <w:rPr>
          <w:i/>
        </w:rPr>
        <w:t>nd Others</w:t>
      </w:r>
      <w:r w:rsidRPr="00836FCE">
        <w:t xml:space="preserve"> 2008 (2) NR 686 (HC)</w:t>
      </w:r>
      <w:r w:rsidR="00B85F7F">
        <w:t>.</w:t>
      </w:r>
      <w:proofErr w:type="gramEnd"/>
    </w:p>
  </w:footnote>
  <w:footnote w:id="5">
    <w:p w:rsidR="00BD0903" w:rsidRPr="00AE51B9" w:rsidRDefault="00BD0903" w:rsidP="00D275C3">
      <w:pPr>
        <w:pStyle w:val="FootnoteText"/>
        <w:rPr>
          <w:lang w:val="en-US"/>
        </w:rPr>
      </w:pPr>
      <w:r>
        <w:rPr>
          <w:rStyle w:val="FootnoteReference"/>
        </w:rPr>
        <w:footnoteRef/>
      </w:r>
      <w:r>
        <w:t xml:space="preserve"> </w:t>
      </w:r>
      <w:proofErr w:type="gramStart"/>
      <w:r w:rsidRPr="00B907EB">
        <w:rPr>
          <w:i/>
          <w:lang w:val="en-US"/>
        </w:rPr>
        <w:t>Namibia Airports</w:t>
      </w:r>
      <w:r w:rsidRPr="00B907EB">
        <w:rPr>
          <w:i/>
          <w:lang w:val="en-ZA"/>
        </w:rPr>
        <w:t xml:space="preserve"> </w:t>
      </w:r>
      <w:r w:rsidRPr="00527554">
        <w:rPr>
          <w:i/>
          <w:lang w:val="en-ZA"/>
        </w:rPr>
        <w:t xml:space="preserve">Co Ltd v </w:t>
      </w:r>
      <w:proofErr w:type="spellStart"/>
      <w:r w:rsidRPr="00527554">
        <w:rPr>
          <w:i/>
          <w:lang w:val="en-ZA"/>
        </w:rPr>
        <w:t>Conradie</w:t>
      </w:r>
      <w:proofErr w:type="spellEnd"/>
      <w:r>
        <w:rPr>
          <w:i/>
          <w:lang w:val="en-ZA"/>
        </w:rPr>
        <w:t xml:space="preserve"> </w:t>
      </w:r>
      <w:r w:rsidRPr="00BE3C8F">
        <w:rPr>
          <w:lang w:val="en-ZA"/>
        </w:rPr>
        <w:t>above</w:t>
      </w:r>
      <w:r>
        <w:rPr>
          <w:lang w:val="en-US"/>
        </w:rPr>
        <w:t xml:space="preserve"> at 380 paras 21-22.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03" w:rsidRDefault="00BD0903" w:rsidP="009165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BD0903" w:rsidRDefault="00BD0903" w:rsidP="00916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03" w:rsidRPr="00916555" w:rsidRDefault="00BD0903" w:rsidP="00916555">
    <w:pPr>
      <w:jc w:val="right"/>
    </w:pPr>
    <w:r w:rsidRPr="00916555">
      <w:rPr>
        <w:rStyle w:val="PageNumber"/>
      </w:rPr>
      <w:fldChar w:fldCharType="begin"/>
    </w:r>
    <w:r w:rsidRPr="00916555">
      <w:rPr>
        <w:rStyle w:val="PageNumber"/>
      </w:rPr>
      <w:instrText xml:space="preserve"> PAGE </w:instrText>
    </w:r>
    <w:r w:rsidRPr="00916555">
      <w:rPr>
        <w:rStyle w:val="PageNumber"/>
      </w:rPr>
      <w:fldChar w:fldCharType="separate"/>
    </w:r>
    <w:r w:rsidR="0004242C">
      <w:rPr>
        <w:rStyle w:val="PageNumber"/>
        <w:noProof/>
      </w:rPr>
      <w:t>11</w:t>
    </w:r>
    <w:r w:rsidRPr="009165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BA80808"/>
    <w:lvl w:ilvl="0">
      <w:start w:val="1"/>
      <w:numFmt w:val="decimal"/>
      <w:lvlText w:val="%1."/>
      <w:lvlJc w:val="left"/>
      <w:pPr>
        <w:tabs>
          <w:tab w:val="num" w:pos="360"/>
        </w:tabs>
        <w:ind w:left="360" w:hanging="360"/>
      </w:pPr>
    </w:lvl>
  </w:abstractNum>
  <w:abstractNum w:abstractNumId="1">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60621C0C"/>
    <w:lvl w:ilvl="0">
      <w:start w:val="1"/>
      <w:numFmt w:val="decimal"/>
      <w:pStyle w:val="Heading1"/>
      <w:lvlText w:val="[%1]"/>
      <w:lvlJc w:val="left"/>
      <w:pPr>
        <w:tabs>
          <w:tab w:val="num" w:pos="827"/>
        </w:tabs>
        <w:ind w:left="9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90"/>
        </w:tabs>
        <w:ind w:left="1547" w:hanging="720"/>
      </w:pPr>
      <w:rPr>
        <w:rFonts w:ascii="Bookman Old Style" w:hAnsi="Bookman Old Style" w:hint="default"/>
        <w:sz w:val="24"/>
        <w:szCs w:val="24"/>
      </w:rPr>
    </w:lvl>
    <w:lvl w:ilvl="2">
      <w:start w:val="1"/>
      <w:numFmt w:val="decimal"/>
      <w:pStyle w:val="Heading3"/>
      <w:lvlText w:val="%1.%2.%3."/>
      <w:lvlJc w:val="left"/>
      <w:pPr>
        <w:tabs>
          <w:tab w:val="num" w:pos="1661"/>
        </w:tabs>
        <w:ind w:left="941" w:firstLine="0"/>
      </w:pPr>
      <w:rPr>
        <w:rFonts w:ascii="Bookman Old Style" w:hAnsi="Bookman Old Style" w:hint="default"/>
        <w:sz w:val="24"/>
        <w:szCs w:val="24"/>
      </w:rPr>
    </w:lvl>
    <w:lvl w:ilvl="3">
      <w:start w:val="1"/>
      <w:numFmt w:val="decimal"/>
      <w:pStyle w:val="Heading4"/>
      <w:lvlText w:val="%1.%2.%3.%4."/>
      <w:lvlJc w:val="left"/>
      <w:pPr>
        <w:tabs>
          <w:tab w:val="num" w:pos="90"/>
        </w:tabs>
        <w:ind w:left="2987" w:hanging="720"/>
      </w:pPr>
      <w:rPr>
        <w:rFonts w:ascii="Bookman Old Style" w:hAnsi="Bookman Old Style" w:hint="default"/>
        <w:sz w:val="24"/>
        <w:szCs w:val="24"/>
      </w:rPr>
    </w:lvl>
    <w:lvl w:ilvl="4">
      <w:start w:val="1"/>
      <w:numFmt w:val="decimal"/>
      <w:pStyle w:val="Heading5"/>
      <w:lvlText w:val="%1.%2.%3.%4.%5."/>
      <w:lvlJc w:val="left"/>
      <w:pPr>
        <w:tabs>
          <w:tab w:val="num" w:pos="90"/>
        </w:tabs>
        <w:ind w:left="3707" w:hanging="720"/>
      </w:pPr>
      <w:rPr>
        <w:rFonts w:hint="default"/>
      </w:rPr>
    </w:lvl>
    <w:lvl w:ilvl="5">
      <w:start w:val="1"/>
      <w:numFmt w:val="decimal"/>
      <w:pStyle w:val="Heading6"/>
      <w:lvlText w:val="%1.%2.%3.%4.%5.%6."/>
      <w:lvlJc w:val="left"/>
      <w:pPr>
        <w:tabs>
          <w:tab w:val="num" w:pos="90"/>
        </w:tabs>
        <w:ind w:left="4427" w:hanging="720"/>
      </w:pPr>
      <w:rPr>
        <w:rFonts w:hint="default"/>
      </w:rPr>
    </w:lvl>
    <w:lvl w:ilvl="6">
      <w:start w:val="1"/>
      <w:numFmt w:val="decimal"/>
      <w:pStyle w:val="Heading7"/>
      <w:lvlText w:val="%1.%2.%3.%4.%5.%6.%7."/>
      <w:lvlJc w:val="left"/>
      <w:pPr>
        <w:tabs>
          <w:tab w:val="num" w:pos="90"/>
        </w:tabs>
        <w:ind w:left="5147" w:hanging="720"/>
      </w:pPr>
      <w:rPr>
        <w:rFonts w:hint="default"/>
      </w:rPr>
    </w:lvl>
    <w:lvl w:ilvl="7">
      <w:start w:val="1"/>
      <w:numFmt w:val="decimal"/>
      <w:pStyle w:val="Heading8"/>
      <w:lvlText w:val="%1.%2.%3.%4.%5.%6.%7.%8."/>
      <w:lvlJc w:val="left"/>
      <w:pPr>
        <w:tabs>
          <w:tab w:val="num" w:pos="90"/>
        </w:tabs>
        <w:ind w:left="5867" w:hanging="720"/>
      </w:pPr>
      <w:rPr>
        <w:rFonts w:hint="default"/>
      </w:rPr>
    </w:lvl>
    <w:lvl w:ilvl="8">
      <w:start w:val="1"/>
      <w:numFmt w:val="decimal"/>
      <w:pStyle w:val="Heading9"/>
      <w:lvlText w:val="%1.%2.%3.%4.%5.%6.%7.%8.%9."/>
      <w:lvlJc w:val="left"/>
      <w:pPr>
        <w:tabs>
          <w:tab w:val="num" w:pos="90"/>
        </w:tabs>
        <w:ind w:left="6587" w:hanging="720"/>
      </w:pPr>
      <w:rPr>
        <w:rFonts w:hint="default"/>
      </w:rPr>
    </w:lvl>
  </w:abstractNum>
  <w:abstractNum w:abstractNumId="3">
    <w:nsid w:val="035036ED"/>
    <w:multiLevelType w:val="multilevel"/>
    <w:tmpl w:val="15129AF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hint="default"/>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4">
    <w:nsid w:val="072C554F"/>
    <w:multiLevelType w:val="hybridMultilevel"/>
    <w:tmpl w:val="2020EE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D67774"/>
    <w:multiLevelType w:val="multilevel"/>
    <w:tmpl w:val="77743E82"/>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6">
    <w:nsid w:val="171F455A"/>
    <w:multiLevelType w:val="hybridMultilevel"/>
    <w:tmpl w:val="BF8E37DE"/>
    <w:lvl w:ilvl="0" w:tplc="8A6273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3D388C"/>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8">
    <w:nsid w:val="239A0142"/>
    <w:multiLevelType w:val="hybridMultilevel"/>
    <w:tmpl w:val="2BA0DF60"/>
    <w:lvl w:ilvl="0" w:tplc="9B44305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4230A53"/>
    <w:multiLevelType w:val="multilevel"/>
    <w:tmpl w:val="8FAA13FE"/>
    <w:lvl w:ilvl="0">
      <w:start w:val="1"/>
      <w:numFmt w:val="decimal"/>
      <w:lvlText w:val="%1."/>
      <w:lvlJc w:val="left"/>
      <w:pPr>
        <w:tabs>
          <w:tab w:val="num" w:pos="0"/>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0"/>
        </w:tabs>
        <w:ind w:left="2177" w:hanging="72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10">
    <w:nsid w:val="2BF4614B"/>
    <w:multiLevelType w:val="multilevel"/>
    <w:tmpl w:val="591E53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11">
    <w:nsid w:val="3263400B"/>
    <w:multiLevelType w:val="hybridMultilevel"/>
    <w:tmpl w:val="70FAB5D2"/>
    <w:lvl w:ilvl="0" w:tplc="1F042002">
      <w:start w:val="1"/>
      <w:numFmt w:val="lowerLetter"/>
      <w:pStyle w:val="Heading2"/>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12">
    <w:nsid w:val="336A19BC"/>
    <w:multiLevelType w:val="hybridMultilevel"/>
    <w:tmpl w:val="773C96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8C7508"/>
    <w:multiLevelType w:val="multilevel"/>
    <w:tmpl w:val="1026D9A4"/>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14">
    <w:nsid w:val="557C4BBB"/>
    <w:multiLevelType w:val="hybridMultilevel"/>
    <w:tmpl w:val="F6FCE288"/>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56E14544"/>
    <w:multiLevelType w:val="hybridMultilevel"/>
    <w:tmpl w:val="11F6500A"/>
    <w:lvl w:ilvl="0" w:tplc="D5501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7">
    <w:nsid w:val="61901505"/>
    <w:multiLevelType w:val="hybridMultilevel"/>
    <w:tmpl w:val="3802F1EA"/>
    <w:lvl w:ilvl="0" w:tplc="E9E6D76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391A60"/>
    <w:multiLevelType w:val="hybridMultilevel"/>
    <w:tmpl w:val="D4E26EC2"/>
    <w:lvl w:ilvl="0" w:tplc="04048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5F7D9B"/>
    <w:multiLevelType w:val="multilevel"/>
    <w:tmpl w:val="50E2791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20">
    <w:nsid w:val="79C53D75"/>
    <w:multiLevelType w:val="hybridMultilevel"/>
    <w:tmpl w:val="BF8E37DE"/>
    <w:lvl w:ilvl="0" w:tplc="8A6273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6"/>
  </w:num>
  <w:num w:numId="13">
    <w:abstractNumId w:val="2"/>
  </w:num>
  <w:num w:numId="14">
    <w:abstractNumId w:val="9"/>
  </w:num>
  <w:num w:numId="15">
    <w:abstractNumId w:val="7"/>
  </w:num>
  <w:num w:numId="16">
    <w:abstractNumId w:val="3"/>
  </w:num>
  <w:num w:numId="17">
    <w:abstractNumId w:val="19"/>
  </w:num>
  <w:num w:numId="18">
    <w:abstractNumId w:val="10"/>
  </w:num>
  <w:num w:numId="19">
    <w:abstractNumId w:val="5"/>
  </w:num>
  <w:num w:numId="20">
    <w:abstractNumId w:val="13"/>
  </w:num>
  <w:num w:numId="21">
    <w:abstractNumId w:val="11"/>
  </w:num>
  <w:num w:numId="22">
    <w:abstractNumId w:val="8"/>
  </w:num>
  <w:num w:numId="23">
    <w:abstractNumId w:val="15"/>
  </w:num>
  <w:num w:numId="24">
    <w:abstractNumId w:val="18"/>
  </w:num>
  <w:num w:numId="25">
    <w:abstractNumId w:val="12"/>
  </w:num>
  <w:num w:numId="26">
    <w:abstractNumId w:val="6"/>
  </w:num>
  <w:num w:numId="27">
    <w:abstractNumId w:val="17"/>
  </w:num>
  <w:num w:numId="28">
    <w:abstractNumId w:val="20"/>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F6"/>
    <w:rsid w:val="000013BB"/>
    <w:rsid w:val="00012B58"/>
    <w:rsid w:val="0004242C"/>
    <w:rsid w:val="00056F1A"/>
    <w:rsid w:val="00064E84"/>
    <w:rsid w:val="000659C3"/>
    <w:rsid w:val="00066D15"/>
    <w:rsid w:val="00066D54"/>
    <w:rsid w:val="000D4B4C"/>
    <w:rsid w:val="000E3077"/>
    <w:rsid w:val="000E3ACC"/>
    <w:rsid w:val="000F6D1F"/>
    <w:rsid w:val="00117E40"/>
    <w:rsid w:val="001329E3"/>
    <w:rsid w:val="0014557B"/>
    <w:rsid w:val="00172998"/>
    <w:rsid w:val="0018529F"/>
    <w:rsid w:val="001A18D4"/>
    <w:rsid w:val="001A6B13"/>
    <w:rsid w:val="001C0EF7"/>
    <w:rsid w:val="00206834"/>
    <w:rsid w:val="002144E8"/>
    <w:rsid w:val="002472FD"/>
    <w:rsid w:val="00273AFB"/>
    <w:rsid w:val="00285703"/>
    <w:rsid w:val="002A631E"/>
    <w:rsid w:val="002D030A"/>
    <w:rsid w:val="002D59DE"/>
    <w:rsid w:val="003016BE"/>
    <w:rsid w:val="0034151D"/>
    <w:rsid w:val="00355341"/>
    <w:rsid w:val="00371581"/>
    <w:rsid w:val="0038773F"/>
    <w:rsid w:val="00390427"/>
    <w:rsid w:val="003B08E9"/>
    <w:rsid w:val="003B56DF"/>
    <w:rsid w:val="003D134C"/>
    <w:rsid w:val="003D325A"/>
    <w:rsid w:val="003E4D91"/>
    <w:rsid w:val="003E58F3"/>
    <w:rsid w:val="003F602A"/>
    <w:rsid w:val="00440004"/>
    <w:rsid w:val="00491F1A"/>
    <w:rsid w:val="004E47FD"/>
    <w:rsid w:val="004F6C67"/>
    <w:rsid w:val="00507DF6"/>
    <w:rsid w:val="00520514"/>
    <w:rsid w:val="00527554"/>
    <w:rsid w:val="00541E83"/>
    <w:rsid w:val="005626FB"/>
    <w:rsid w:val="005660AC"/>
    <w:rsid w:val="005736E4"/>
    <w:rsid w:val="005939E7"/>
    <w:rsid w:val="005B4721"/>
    <w:rsid w:val="005D48A6"/>
    <w:rsid w:val="005D6EB2"/>
    <w:rsid w:val="005E05F3"/>
    <w:rsid w:val="005F5116"/>
    <w:rsid w:val="005F5E80"/>
    <w:rsid w:val="00601B70"/>
    <w:rsid w:val="00622212"/>
    <w:rsid w:val="00626477"/>
    <w:rsid w:val="00644783"/>
    <w:rsid w:val="00645A02"/>
    <w:rsid w:val="0064633A"/>
    <w:rsid w:val="00654C06"/>
    <w:rsid w:val="00655F7D"/>
    <w:rsid w:val="00684337"/>
    <w:rsid w:val="006A4634"/>
    <w:rsid w:val="006B5FB6"/>
    <w:rsid w:val="006C6536"/>
    <w:rsid w:val="006D7D75"/>
    <w:rsid w:val="006E5E06"/>
    <w:rsid w:val="006F049B"/>
    <w:rsid w:val="006F1D9F"/>
    <w:rsid w:val="006F6624"/>
    <w:rsid w:val="00723811"/>
    <w:rsid w:val="00752A19"/>
    <w:rsid w:val="00755188"/>
    <w:rsid w:val="0076645A"/>
    <w:rsid w:val="00770F27"/>
    <w:rsid w:val="0078713A"/>
    <w:rsid w:val="007B0704"/>
    <w:rsid w:val="007C3D4F"/>
    <w:rsid w:val="007C68D8"/>
    <w:rsid w:val="007D1288"/>
    <w:rsid w:val="007D42B3"/>
    <w:rsid w:val="007F14D5"/>
    <w:rsid w:val="007F1842"/>
    <w:rsid w:val="008064A7"/>
    <w:rsid w:val="00806C6E"/>
    <w:rsid w:val="00811523"/>
    <w:rsid w:val="00813175"/>
    <w:rsid w:val="00814B10"/>
    <w:rsid w:val="00836FCE"/>
    <w:rsid w:val="00845795"/>
    <w:rsid w:val="00863AC5"/>
    <w:rsid w:val="00865F56"/>
    <w:rsid w:val="00866D95"/>
    <w:rsid w:val="00881FE8"/>
    <w:rsid w:val="008A274C"/>
    <w:rsid w:val="008A3E18"/>
    <w:rsid w:val="008B236B"/>
    <w:rsid w:val="008B3EFF"/>
    <w:rsid w:val="008D0C02"/>
    <w:rsid w:val="008E5D8B"/>
    <w:rsid w:val="008E6AF6"/>
    <w:rsid w:val="008F0B95"/>
    <w:rsid w:val="009022D5"/>
    <w:rsid w:val="009154D0"/>
    <w:rsid w:val="00916555"/>
    <w:rsid w:val="009307A7"/>
    <w:rsid w:val="00932553"/>
    <w:rsid w:val="00966F60"/>
    <w:rsid w:val="00973883"/>
    <w:rsid w:val="009879D3"/>
    <w:rsid w:val="0099040A"/>
    <w:rsid w:val="009907C5"/>
    <w:rsid w:val="00990F46"/>
    <w:rsid w:val="009A1417"/>
    <w:rsid w:val="009D3550"/>
    <w:rsid w:val="009E61D4"/>
    <w:rsid w:val="00A400F7"/>
    <w:rsid w:val="00A43B3D"/>
    <w:rsid w:val="00A648AB"/>
    <w:rsid w:val="00A9588E"/>
    <w:rsid w:val="00A961AE"/>
    <w:rsid w:val="00AA10AC"/>
    <w:rsid w:val="00AA4CA0"/>
    <w:rsid w:val="00AA776F"/>
    <w:rsid w:val="00AB1965"/>
    <w:rsid w:val="00AC5707"/>
    <w:rsid w:val="00AD53F1"/>
    <w:rsid w:val="00AD5782"/>
    <w:rsid w:val="00AD60F5"/>
    <w:rsid w:val="00AE51B9"/>
    <w:rsid w:val="00AE55C5"/>
    <w:rsid w:val="00AF4680"/>
    <w:rsid w:val="00AF5070"/>
    <w:rsid w:val="00B0473B"/>
    <w:rsid w:val="00B245FE"/>
    <w:rsid w:val="00B3292B"/>
    <w:rsid w:val="00B41332"/>
    <w:rsid w:val="00B44183"/>
    <w:rsid w:val="00B67A28"/>
    <w:rsid w:val="00B85F7F"/>
    <w:rsid w:val="00B863C2"/>
    <w:rsid w:val="00B8679B"/>
    <w:rsid w:val="00B87787"/>
    <w:rsid w:val="00B907EB"/>
    <w:rsid w:val="00BA1680"/>
    <w:rsid w:val="00BA7C78"/>
    <w:rsid w:val="00BC00D6"/>
    <w:rsid w:val="00BC1536"/>
    <w:rsid w:val="00BC352C"/>
    <w:rsid w:val="00BD0903"/>
    <w:rsid w:val="00BE264A"/>
    <w:rsid w:val="00BE3C8F"/>
    <w:rsid w:val="00BE7CFC"/>
    <w:rsid w:val="00C21014"/>
    <w:rsid w:val="00C31109"/>
    <w:rsid w:val="00C3124D"/>
    <w:rsid w:val="00C3126F"/>
    <w:rsid w:val="00C34D54"/>
    <w:rsid w:val="00C43A6B"/>
    <w:rsid w:val="00C47B12"/>
    <w:rsid w:val="00C60123"/>
    <w:rsid w:val="00C64A6B"/>
    <w:rsid w:val="00C670AC"/>
    <w:rsid w:val="00C74CCA"/>
    <w:rsid w:val="00C8546E"/>
    <w:rsid w:val="00C87BE4"/>
    <w:rsid w:val="00CA2EFE"/>
    <w:rsid w:val="00CA7E9B"/>
    <w:rsid w:val="00D0619A"/>
    <w:rsid w:val="00D14827"/>
    <w:rsid w:val="00D1595B"/>
    <w:rsid w:val="00D275C3"/>
    <w:rsid w:val="00D47282"/>
    <w:rsid w:val="00D6498A"/>
    <w:rsid w:val="00D754E8"/>
    <w:rsid w:val="00DA51A8"/>
    <w:rsid w:val="00DB016E"/>
    <w:rsid w:val="00DD05D5"/>
    <w:rsid w:val="00DD5FEC"/>
    <w:rsid w:val="00DF358D"/>
    <w:rsid w:val="00E01FFB"/>
    <w:rsid w:val="00E224C1"/>
    <w:rsid w:val="00E36C46"/>
    <w:rsid w:val="00E409A7"/>
    <w:rsid w:val="00E439DE"/>
    <w:rsid w:val="00E52167"/>
    <w:rsid w:val="00E715EF"/>
    <w:rsid w:val="00E74849"/>
    <w:rsid w:val="00E75DF7"/>
    <w:rsid w:val="00E804A9"/>
    <w:rsid w:val="00E91F40"/>
    <w:rsid w:val="00E94335"/>
    <w:rsid w:val="00EA2B4F"/>
    <w:rsid w:val="00EB1E5A"/>
    <w:rsid w:val="00EB65AB"/>
    <w:rsid w:val="00EC6A06"/>
    <w:rsid w:val="00EC6C7D"/>
    <w:rsid w:val="00ED05AD"/>
    <w:rsid w:val="00EE27F8"/>
    <w:rsid w:val="00EE2FD0"/>
    <w:rsid w:val="00EF0915"/>
    <w:rsid w:val="00F22372"/>
    <w:rsid w:val="00F3598F"/>
    <w:rsid w:val="00F6712A"/>
    <w:rsid w:val="00F869DE"/>
    <w:rsid w:val="00F94619"/>
    <w:rsid w:val="00F95357"/>
    <w:rsid w:val="00F97727"/>
    <w:rsid w:val="00FC6B8A"/>
    <w:rsid w:val="00FD54DB"/>
    <w:rsid w:val="00FF39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55"/>
    <w:pPr>
      <w:widowControl w:val="0"/>
      <w:spacing w:line="360" w:lineRule="auto"/>
      <w:jc w:val="both"/>
    </w:pPr>
    <w:rPr>
      <w:rFonts w:ascii="Arial" w:hAnsi="Arial" w:cs="Arial"/>
      <w:spacing w:val="-3"/>
      <w:sz w:val="24"/>
      <w:szCs w:val="24"/>
      <w:lang w:val="en-GB" w:eastAsia="en-US"/>
    </w:rPr>
  </w:style>
  <w:style w:type="paragraph" w:styleId="Heading1">
    <w:name w:val="heading 1"/>
    <w:basedOn w:val="Normal"/>
    <w:next w:val="Normal"/>
    <w:qFormat/>
    <w:rsid w:val="00507DF6"/>
    <w:pPr>
      <w:numPr>
        <w:numId w:val="13"/>
      </w:numPr>
      <w:outlineLvl w:val="0"/>
    </w:pPr>
  </w:style>
  <w:style w:type="paragraph" w:styleId="Heading2">
    <w:name w:val="heading 2"/>
    <w:basedOn w:val="Normal"/>
    <w:next w:val="Normal"/>
    <w:qFormat/>
    <w:rsid w:val="00ED05AD"/>
    <w:pPr>
      <w:numPr>
        <w:numId w:val="21"/>
      </w:numPr>
      <w:ind w:left="1080"/>
      <w:outlineLvl w:val="1"/>
    </w:pPr>
  </w:style>
  <w:style w:type="paragraph" w:styleId="Heading3">
    <w:name w:val="heading 3"/>
    <w:basedOn w:val="Normal"/>
    <w:next w:val="Normal"/>
    <w:qFormat/>
    <w:rsid w:val="00B87787"/>
    <w:pPr>
      <w:numPr>
        <w:ilvl w:val="2"/>
        <w:numId w:val="13"/>
      </w:numPr>
      <w:tabs>
        <w:tab w:val="left" w:pos="2552"/>
      </w:tabs>
      <w:outlineLvl w:val="2"/>
    </w:pPr>
  </w:style>
  <w:style w:type="paragraph" w:styleId="Heading4">
    <w:name w:val="heading 4"/>
    <w:basedOn w:val="Normal"/>
    <w:next w:val="Normal"/>
    <w:qFormat/>
    <w:rsid w:val="00B87787"/>
    <w:pPr>
      <w:numPr>
        <w:ilvl w:val="3"/>
        <w:numId w:val="13"/>
      </w:numPr>
      <w:tabs>
        <w:tab w:val="left" w:pos="3686"/>
      </w:tabs>
      <w:outlineLvl w:val="3"/>
    </w:pPr>
  </w:style>
  <w:style w:type="paragraph" w:styleId="Heading5">
    <w:name w:val="heading 5"/>
    <w:basedOn w:val="Normal"/>
    <w:next w:val="Normal"/>
    <w:qFormat/>
    <w:rsid w:val="00B87787"/>
    <w:pPr>
      <w:numPr>
        <w:ilvl w:val="4"/>
        <w:numId w:val="13"/>
      </w:numPr>
      <w:outlineLvl w:val="4"/>
    </w:pPr>
  </w:style>
  <w:style w:type="paragraph" w:styleId="Heading6">
    <w:name w:val="heading 6"/>
    <w:basedOn w:val="Normal"/>
    <w:next w:val="Normal"/>
    <w:qFormat/>
    <w:rsid w:val="00B87787"/>
    <w:pPr>
      <w:numPr>
        <w:ilvl w:val="5"/>
        <w:numId w:val="13"/>
      </w:numPr>
      <w:outlineLvl w:val="5"/>
    </w:pPr>
    <w:rPr>
      <w:i/>
      <w:sz w:val="22"/>
    </w:rPr>
  </w:style>
  <w:style w:type="paragraph" w:styleId="Heading7">
    <w:name w:val="heading 7"/>
    <w:basedOn w:val="Normal"/>
    <w:next w:val="Normal"/>
    <w:qFormat/>
    <w:rsid w:val="00B87787"/>
    <w:pPr>
      <w:numPr>
        <w:ilvl w:val="6"/>
        <w:numId w:val="13"/>
      </w:numPr>
      <w:outlineLvl w:val="6"/>
    </w:pPr>
  </w:style>
  <w:style w:type="paragraph" w:styleId="Heading8">
    <w:name w:val="heading 8"/>
    <w:basedOn w:val="Normal"/>
    <w:next w:val="Normal"/>
    <w:qFormat/>
    <w:rsid w:val="00B87787"/>
    <w:pPr>
      <w:numPr>
        <w:ilvl w:val="7"/>
        <w:numId w:val="13"/>
      </w:numPr>
      <w:outlineLvl w:val="7"/>
    </w:pPr>
    <w:rPr>
      <w:i/>
    </w:rPr>
  </w:style>
  <w:style w:type="paragraph" w:styleId="Heading9">
    <w:name w:val="heading 9"/>
    <w:basedOn w:val="Normal"/>
    <w:next w:val="Normal"/>
    <w:qFormat/>
    <w:rsid w:val="00B87787"/>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3D325A"/>
  </w:style>
  <w:style w:type="paragraph" w:styleId="EnvelopeReturn">
    <w:name w:val="envelope return"/>
    <w:basedOn w:val="Normal"/>
    <w:rsid w:val="003D325A"/>
    <w:rPr>
      <w:sz w:val="16"/>
    </w:rPr>
  </w:style>
  <w:style w:type="paragraph" w:styleId="Footer">
    <w:name w:val="footer"/>
    <w:basedOn w:val="Normal"/>
    <w:rsid w:val="003D325A"/>
    <w:pPr>
      <w:tabs>
        <w:tab w:val="center" w:pos="4320"/>
        <w:tab w:val="right" w:pos="8640"/>
      </w:tabs>
    </w:pPr>
  </w:style>
  <w:style w:type="paragraph" w:styleId="Header">
    <w:name w:val="header"/>
    <w:basedOn w:val="Normal"/>
    <w:link w:val="HeaderChar"/>
    <w:uiPriority w:val="99"/>
    <w:rsid w:val="003D325A"/>
    <w:pPr>
      <w:tabs>
        <w:tab w:val="center" w:pos="4320"/>
        <w:tab w:val="right" w:pos="8640"/>
      </w:tabs>
    </w:pPr>
  </w:style>
  <w:style w:type="paragraph" w:styleId="ListBullet">
    <w:name w:val="List Bullet"/>
    <w:basedOn w:val="Normal"/>
    <w:next w:val="Normal"/>
    <w:autoRedefine/>
    <w:rsid w:val="003D325A"/>
    <w:pPr>
      <w:spacing w:after="360"/>
      <w:ind w:left="357" w:hanging="357"/>
    </w:pPr>
  </w:style>
  <w:style w:type="paragraph" w:styleId="ListNumber">
    <w:name w:val="List Number"/>
    <w:basedOn w:val="Normal"/>
    <w:rsid w:val="003D325A"/>
    <w:pPr>
      <w:ind w:left="360" w:hanging="360"/>
    </w:pPr>
  </w:style>
  <w:style w:type="character" w:styleId="PageNumber">
    <w:name w:val="page number"/>
    <w:basedOn w:val="DefaultParagraphFont"/>
    <w:rsid w:val="003D325A"/>
    <w:rPr>
      <w:rFonts w:ascii="Arial" w:hAnsi="Arial"/>
    </w:rPr>
  </w:style>
  <w:style w:type="paragraph" w:styleId="Subtitle">
    <w:name w:val="Subtitle"/>
    <w:basedOn w:val="Normal"/>
    <w:qFormat/>
    <w:rsid w:val="003D325A"/>
    <w:pPr>
      <w:spacing w:after="60"/>
      <w:jc w:val="center"/>
    </w:pPr>
    <w:rPr>
      <w:i/>
    </w:rPr>
  </w:style>
  <w:style w:type="paragraph" w:styleId="BodyText">
    <w:name w:val="Body Text"/>
    <w:basedOn w:val="Normal"/>
    <w:link w:val="BodyTextChar"/>
    <w:rsid w:val="00AA10AC"/>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AA10AC"/>
    <w:rPr>
      <w:sz w:val="24"/>
      <w:szCs w:val="24"/>
      <w:lang w:val="en-GB" w:eastAsia="en-US"/>
    </w:rPr>
  </w:style>
  <w:style w:type="paragraph" w:styleId="BodyTextIndent">
    <w:name w:val="Body Text Indent"/>
    <w:basedOn w:val="Normal"/>
    <w:link w:val="BodyTextIndentChar"/>
    <w:rsid w:val="00AA10AC"/>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AA10AC"/>
    <w:rPr>
      <w:sz w:val="24"/>
      <w:szCs w:val="24"/>
      <w:lang w:val="en-GB" w:eastAsia="en-US"/>
    </w:rPr>
  </w:style>
  <w:style w:type="paragraph" w:styleId="FootnoteText">
    <w:name w:val="footnote text"/>
    <w:basedOn w:val="Normal"/>
    <w:link w:val="FootnoteTextChar"/>
    <w:uiPriority w:val="99"/>
    <w:rsid w:val="00C47B12"/>
    <w:rPr>
      <w:sz w:val="20"/>
      <w:szCs w:val="20"/>
    </w:rPr>
  </w:style>
  <w:style w:type="character" w:customStyle="1" w:styleId="FootnoteTextChar">
    <w:name w:val="Footnote Text Char"/>
    <w:basedOn w:val="DefaultParagraphFont"/>
    <w:link w:val="FootnoteText"/>
    <w:uiPriority w:val="99"/>
    <w:rsid w:val="00C47B12"/>
    <w:rPr>
      <w:rFonts w:ascii="Arial" w:hAnsi="Arial" w:cs="Arial"/>
      <w:spacing w:val="-3"/>
      <w:lang w:val="en-GB" w:eastAsia="en-US"/>
    </w:rPr>
  </w:style>
  <w:style w:type="character" w:styleId="FootnoteReference">
    <w:name w:val="footnote reference"/>
    <w:basedOn w:val="DefaultParagraphFont"/>
    <w:uiPriority w:val="99"/>
    <w:rsid w:val="00C47B12"/>
    <w:rPr>
      <w:vertAlign w:val="superscript"/>
    </w:rPr>
  </w:style>
  <w:style w:type="paragraph" w:styleId="BalloonText">
    <w:name w:val="Balloon Text"/>
    <w:basedOn w:val="Normal"/>
    <w:link w:val="BalloonTextChar"/>
    <w:rsid w:val="00507D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7DF6"/>
    <w:rPr>
      <w:rFonts w:ascii="Tahoma" w:hAnsi="Tahoma" w:cs="Tahoma"/>
      <w:spacing w:val="-3"/>
      <w:sz w:val="16"/>
      <w:szCs w:val="16"/>
      <w:lang w:val="en-GB" w:eastAsia="en-US"/>
    </w:rPr>
  </w:style>
  <w:style w:type="character" w:customStyle="1" w:styleId="HeaderChar">
    <w:name w:val="Header Char"/>
    <w:basedOn w:val="DefaultParagraphFont"/>
    <w:link w:val="Header"/>
    <w:uiPriority w:val="99"/>
    <w:rsid w:val="0078713A"/>
    <w:rPr>
      <w:rFonts w:ascii="Arial" w:hAnsi="Arial" w:cs="Arial"/>
      <w:spacing w:val="-3"/>
      <w:sz w:val="24"/>
      <w:szCs w:val="24"/>
      <w:lang w:val="en-GB" w:eastAsia="en-US"/>
    </w:rPr>
  </w:style>
  <w:style w:type="paragraph" w:styleId="ListParagraph">
    <w:name w:val="List Paragraph"/>
    <w:basedOn w:val="Normal"/>
    <w:uiPriority w:val="34"/>
    <w:qFormat/>
    <w:rsid w:val="00C43A6B"/>
    <w:pPr>
      <w:ind w:left="720"/>
      <w:contextualSpacing/>
    </w:pPr>
  </w:style>
  <w:style w:type="character" w:styleId="Hyperlink">
    <w:name w:val="Hyperlink"/>
    <w:basedOn w:val="DefaultParagraphFont"/>
    <w:uiPriority w:val="99"/>
    <w:semiHidden/>
    <w:unhideWhenUsed/>
    <w:rsid w:val="006463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55"/>
    <w:pPr>
      <w:widowControl w:val="0"/>
      <w:spacing w:line="360" w:lineRule="auto"/>
      <w:jc w:val="both"/>
    </w:pPr>
    <w:rPr>
      <w:rFonts w:ascii="Arial" w:hAnsi="Arial" w:cs="Arial"/>
      <w:spacing w:val="-3"/>
      <w:sz w:val="24"/>
      <w:szCs w:val="24"/>
      <w:lang w:val="en-GB" w:eastAsia="en-US"/>
    </w:rPr>
  </w:style>
  <w:style w:type="paragraph" w:styleId="Heading1">
    <w:name w:val="heading 1"/>
    <w:basedOn w:val="Normal"/>
    <w:next w:val="Normal"/>
    <w:qFormat/>
    <w:rsid w:val="00507DF6"/>
    <w:pPr>
      <w:numPr>
        <w:numId w:val="13"/>
      </w:numPr>
      <w:outlineLvl w:val="0"/>
    </w:pPr>
  </w:style>
  <w:style w:type="paragraph" w:styleId="Heading2">
    <w:name w:val="heading 2"/>
    <w:basedOn w:val="Normal"/>
    <w:next w:val="Normal"/>
    <w:qFormat/>
    <w:rsid w:val="00ED05AD"/>
    <w:pPr>
      <w:numPr>
        <w:numId w:val="21"/>
      </w:numPr>
      <w:ind w:left="1080"/>
      <w:outlineLvl w:val="1"/>
    </w:pPr>
  </w:style>
  <w:style w:type="paragraph" w:styleId="Heading3">
    <w:name w:val="heading 3"/>
    <w:basedOn w:val="Normal"/>
    <w:next w:val="Normal"/>
    <w:qFormat/>
    <w:rsid w:val="00B87787"/>
    <w:pPr>
      <w:numPr>
        <w:ilvl w:val="2"/>
        <w:numId w:val="13"/>
      </w:numPr>
      <w:tabs>
        <w:tab w:val="left" w:pos="2552"/>
      </w:tabs>
      <w:outlineLvl w:val="2"/>
    </w:pPr>
  </w:style>
  <w:style w:type="paragraph" w:styleId="Heading4">
    <w:name w:val="heading 4"/>
    <w:basedOn w:val="Normal"/>
    <w:next w:val="Normal"/>
    <w:qFormat/>
    <w:rsid w:val="00B87787"/>
    <w:pPr>
      <w:numPr>
        <w:ilvl w:val="3"/>
        <w:numId w:val="13"/>
      </w:numPr>
      <w:tabs>
        <w:tab w:val="left" w:pos="3686"/>
      </w:tabs>
      <w:outlineLvl w:val="3"/>
    </w:pPr>
  </w:style>
  <w:style w:type="paragraph" w:styleId="Heading5">
    <w:name w:val="heading 5"/>
    <w:basedOn w:val="Normal"/>
    <w:next w:val="Normal"/>
    <w:qFormat/>
    <w:rsid w:val="00B87787"/>
    <w:pPr>
      <w:numPr>
        <w:ilvl w:val="4"/>
        <w:numId w:val="13"/>
      </w:numPr>
      <w:outlineLvl w:val="4"/>
    </w:pPr>
  </w:style>
  <w:style w:type="paragraph" w:styleId="Heading6">
    <w:name w:val="heading 6"/>
    <w:basedOn w:val="Normal"/>
    <w:next w:val="Normal"/>
    <w:qFormat/>
    <w:rsid w:val="00B87787"/>
    <w:pPr>
      <w:numPr>
        <w:ilvl w:val="5"/>
        <w:numId w:val="13"/>
      </w:numPr>
      <w:outlineLvl w:val="5"/>
    </w:pPr>
    <w:rPr>
      <w:i/>
      <w:sz w:val="22"/>
    </w:rPr>
  </w:style>
  <w:style w:type="paragraph" w:styleId="Heading7">
    <w:name w:val="heading 7"/>
    <w:basedOn w:val="Normal"/>
    <w:next w:val="Normal"/>
    <w:qFormat/>
    <w:rsid w:val="00B87787"/>
    <w:pPr>
      <w:numPr>
        <w:ilvl w:val="6"/>
        <w:numId w:val="13"/>
      </w:numPr>
      <w:outlineLvl w:val="6"/>
    </w:pPr>
  </w:style>
  <w:style w:type="paragraph" w:styleId="Heading8">
    <w:name w:val="heading 8"/>
    <w:basedOn w:val="Normal"/>
    <w:next w:val="Normal"/>
    <w:qFormat/>
    <w:rsid w:val="00B87787"/>
    <w:pPr>
      <w:numPr>
        <w:ilvl w:val="7"/>
        <w:numId w:val="13"/>
      </w:numPr>
      <w:outlineLvl w:val="7"/>
    </w:pPr>
    <w:rPr>
      <w:i/>
    </w:rPr>
  </w:style>
  <w:style w:type="paragraph" w:styleId="Heading9">
    <w:name w:val="heading 9"/>
    <w:basedOn w:val="Normal"/>
    <w:next w:val="Normal"/>
    <w:qFormat/>
    <w:rsid w:val="00B87787"/>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3D325A"/>
  </w:style>
  <w:style w:type="paragraph" w:styleId="EnvelopeReturn">
    <w:name w:val="envelope return"/>
    <w:basedOn w:val="Normal"/>
    <w:rsid w:val="003D325A"/>
    <w:rPr>
      <w:sz w:val="16"/>
    </w:rPr>
  </w:style>
  <w:style w:type="paragraph" w:styleId="Footer">
    <w:name w:val="footer"/>
    <w:basedOn w:val="Normal"/>
    <w:rsid w:val="003D325A"/>
    <w:pPr>
      <w:tabs>
        <w:tab w:val="center" w:pos="4320"/>
        <w:tab w:val="right" w:pos="8640"/>
      </w:tabs>
    </w:pPr>
  </w:style>
  <w:style w:type="paragraph" w:styleId="Header">
    <w:name w:val="header"/>
    <w:basedOn w:val="Normal"/>
    <w:link w:val="HeaderChar"/>
    <w:uiPriority w:val="99"/>
    <w:rsid w:val="003D325A"/>
    <w:pPr>
      <w:tabs>
        <w:tab w:val="center" w:pos="4320"/>
        <w:tab w:val="right" w:pos="8640"/>
      </w:tabs>
    </w:pPr>
  </w:style>
  <w:style w:type="paragraph" w:styleId="ListBullet">
    <w:name w:val="List Bullet"/>
    <w:basedOn w:val="Normal"/>
    <w:next w:val="Normal"/>
    <w:autoRedefine/>
    <w:rsid w:val="003D325A"/>
    <w:pPr>
      <w:spacing w:after="360"/>
      <w:ind w:left="357" w:hanging="357"/>
    </w:pPr>
  </w:style>
  <w:style w:type="paragraph" w:styleId="ListNumber">
    <w:name w:val="List Number"/>
    <w:basedOn w:val="Normal"/>
    <w:rsid w:val="003D325A"/>
    <w:pPr>
      <w:ind w:left="360" w:hanging="360"/>
    </w:pPr>
  </w:style>
  <w:style w:type="character" w:styleId="PageNumber">
    <w:name w:val="page number"/>
    <w:basedOn w:val="DefaultParagraphFont"/>
    <w:rsid w:val="003D325A"/>
    <w:rPr>
      <w:rFonts w:ascii="Arial" w:hAnsi="Arial"/>
    </w:rPr>
  </w:style>
  <w:style w:type="paragraph" w:styleId="Subtitle">
    <w:name w:val="Subtitle"/>
    <w:basedOn w:val="Normal"/>
    <w:qFormat/>
    <w:rsid w:val="003D325A"/>
    <w:pPr>
      <w:spacing w:after="60"/>
      <w:jc w:val="center"/>
    </w:pPr>
    <w:rPr>
      <w:i/>
    </w:rPr>
  </w:style>
  <w:style w:type="paragraph" w:styleId="BodyText">
    <w:name w:val="Body Text"/>
    <w:basedOn w:val="Normal"/>
    <w:link w:val="BodyTextChar"/>
    <w:rsid w:val="00AA10AC"/>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AA10AC"/>
    <w:rPr>
      <w:sz w:val="24"/>
      <w:szCs w:val="24"/>
      <w:lang w:val="en-GB" w:eastAsia="en-US"/>
    </w:rPr>
  </w:style>
  <w:style w:type="paragraph" w:styleId="BodyTextIndent">
    <w:name w:val="Body Text Indent"/>
    <w:basedOn w:val="Normal"/>
    <w:link w:val="BodyTextIndentChar"/>
    <w:rsid w:val="00AA10AC"/>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AA10AC"/>
    <w:rPr>
      <w:sz w:val="24"/>
      <w:szCs w:val="24"/>
      <w:lang w:val="en-GB" w:eastAsia="en-US"/>
    </w:rPr>
  </w:style>
  <w:style w:type="paragraph" w:styleId="FootnoteText">
    <w:name w:val="footnote text"/>
    <w:basedOn w:val="Normal"/>
    <w:link w:val="FootnoteTextChar"/>
    <w:uiPriority w:val="99"/>
    <w:rsid w:val="00C47B12"/>
    <w:rPr>
      <w:sz w:val="20"/>
      <w:szCs w:val="20"/>
    </w:rPr>
  </w:style>
  <w:style w:type="character" w:customStyle="1" w:styleId="FootnoteTextChar">
    <w:name w:val="Footnote Text Char"/>
    <w:basedOn w:val="DefaultParagraphFont"/>
    <w:link w:val="FootnoteText"/>
    <w:uiPriority w:val="99"/>
    <w:rsid w:val="00C47B12"/>
    <w:rPr>
      <w:rFonts w:ascii="Arial" w:hAnsi="Arial" w:cs="Arial"/>
      <w:spacing w:val="-3"/>
      <w:lang w:val="en-GB" w:eastAsia="en-US"/>
    </w:rPr>
  </w:style>
  <w:style w:type="character" w:styleId="FootnoteReference">
    <w:name w:val="footnote reference"/>
    <w:basedOn w:val="DefaultParagraphFont"/>
    <w:uiPriority w:val="99"/>
    <w:rsid w:val="00C47B12"/>
    <w:rPr>
      <w:vertAlign w:val="superscript"/>
    </w:rPr>
  </w:style>
  <w:style w:type="paragraph" w:styleId="BalloonText">
    <w:name w:val="Balloon Text"/>
    <w:basedOn w:val="Normal"/>
    <w:link w:val="BalloonTextChar"/>
    <w:rsid w:val="00507D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7DF6"/>
    <w:rPr>
      <w:rFonts w:ascii="Tahoma" w:hAnsi="Tahoma" w:cs="Tahoma"/>
      <w:spacing w:val="-3"/>
      <w:sz w:val="16"/>
      <w:szCs w:val="16"/>
      <w:lang w:val="en-GB" w:eastAsia="en-US"/>
    </w:rPr>
  </w:style>
  <w:style w:type="character" w:customStyle="1" w:styleId="HeaderChar">
    <w:name w:val="Header Char"/>
    <w:basedOn w:val="DefaultParagraphFont"/>
    <w:link w:val="Header"/>
    <w:uiPriority w:val="99"/>
    <w:rsid w:val="0078713A"/>
    <w:rPr>
      <w:rFonts w:ascii="Arial" w:hAnsi="Arial" w:cs="Arial"/>
      <w:spacing w:val="-3"/>
      <w:sz w:val="24"/>
      <w:szCs w:val="24"/>
      <w:lang w:val="en-GB" w:eastAsia="en-US"/>
    </w:rPr>
  </w:style>
  <w:style w:type="paragraph" w:styleId="ListParagraph">
    <w:name w:val="List Paragraph"/>
    <w:basedOn w:val="Normal"/>
    <w:uiPriority w:val="34"/>
    <w:qFormat/>
    <w:rsid w:val="00C43A6B"/>
    <w:pPr>
      <w:ind w:left="720"/>
      <w:contextualSpacing/>
    </w:pPr>
  </w:style>
  <w:style w:type="character" w:styleId="Hyperlink">
    <w:name w:val="Hyperlink"/>
    <w:basedOn w:val="DefaultParagraphFont"/>
    <w:uiPriority w:val="99"/>
    <w:semiHidden/>
    <w:unhideWhenUsed/>
    <w:rsid w:val="00646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flii.org/cgi-bin/LawCite?cit=2001%20%282%29%20SA%20636"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Chambers\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2018-08-09T18:30:00+00:00</Judgment_x0020_Date>
    <Year xmlns="c1afb1bd-f2fb-40fd-9abb-aea55b4d7662">2018</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EA172-4A27-4213-8C71-4F73AB5F7CB9}"/>
</file>

<file path=customXml/itemProps2.xml><?xml version="1.0" encoding="utf-8"?>
<ds:datastoreItem xmlns:ds="http://schemas.openxmlformats.org/officeDocument/2006/customXml" ds:itemID="{73D4AC1E-9CAA-4E4E-B876-A58EFD09561C}"/>
</file>

<file path=customXml/itemProps3.xml><?xml version="1.0" encoding="utf-8"?>
<ds:datastoreItem xmlns:ds="http://schemas.openxmlformats.org/officeDocument/2006/customXml" ds:itemID="{F4379EBA-DE66-4A02-8F6C-1101C9867746}"/>
</file>

<file path=customXml/itemProps4.xml><?xml version="1.0" encoding="utf-8"?>
<ds:datastoreItem xmlns:ds="http://schemas.openxmlformats.org/officeDocument/2006/customXml" ds:itemID="{12C59E06-46BF-4DE8-9D0E-9627D9ED3C1A}"/>
</file>

<file path=docProps/app.xml><?xml version="1.0" encoding="utf-8"?>
<Properties xmlns="http://schemas.openxmlformats.org/officeDocument/2006/extended-properties" xmlns:vt="http://schemas.openxmlformats.org/officeDocument/2006/docPropsVTypes">
  <Template>Judgment</Template>
  <TotalTime>0</TotalTime>
  <Pages>11</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Miranda Tyre Service v Jin Casings and Tyre Supplies CC</dc:title>
  <dc:creator>PC</dc:creator>
  <cp:lastModifiedBy>Nicole Januarie</cp:lastModifiedBy>
  <cp:revision>3</cp:revision>
  <cp:lastPrinted>2018-08-10T14:16:00Z</cp:lastPrinted>
  <dcterms:created xsi:type="dcterms:W3CDTF">2018-08-17T09:30:00Z</dcterms:created>
  <dcterms:modified xsi:type="dcterms:W3CDTF">2018-08-17T09:39:00Z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