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3B" w:rsidRPr="00EB233B" w:rsidRDefault="00EB233B" w:rsidP="00EB233B">
      <w:pPr>
        <w:spacing w:after="0" w:line="360" w:lineRule="auto"/>
        <w:jc w:val="center"/>
        <w:rPr>
          <w:rFonts w:ascii="Arial" w:eastAsia="Calibri" w:hAnsi="Arial" w:cs="Arial"/>
          <w:b/>
          <w:sz w:val="24"/>
          <w:szCs w:val="24"/>
        </w:rPr>
      </w:pPr>
      <w:r>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B233B" w:rsidRDefault="00EB233B" w:rsidP="00EB23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B233B" w:rsidRDefault="00EB233B" w:rsidP="00EB233B">
                      <w:pPr>
                        <w:jc w:val="center"/>
                      </w:pPr>
                    </w:p>
                  </w:txbxContent>
                </v:textbox>
              </v:shape>
            </w:pict>
          </mc:Fallback>
        </mc:AlternateContent>
      </w:r>
      <w:r w:rsidRPr="00EB233B">
        <w:rPr>
          <w:rFonts w:ascii="Arial" w:eastAsia="Calibri" w:hAnsi="Arial" w:cs="Arial"/>
          <w:b/>
          <w:sz w:val="24"/>
          <w:szCs w:val="24"/>
        </w:rPr>
        <w:t>REPUBLIC OF NAMIBIA</w:t>
      </w:r>
    </w:p>
    <w:p w:rsidR="00EB233B" w:rsidRPr="00EB233B" w:rsidRDefault="00EB233B" w:rsidP="00EB233B">
      <w:pPr>
        <w:spacing w:after="0" w:line="360" w:lineRule="auto"/>
        <w:jc w:val="center"/>
        <w:rPr>
          <w:rFonts w:ascii="Calibri" w:eastAsia="Calibri" w:hAnsi="Calibri" w:cs="Times New Roman"/>
          <w:b/>
          <w:sz w:val="32"/>
          <w:szCs w:val="32"/>
        </w:rPr>
      </w:pPr>
      <w:r>
        <w:rPr>
          <w:rFonts w:ascii="Calibri" w:eastAsia="Calibri" w:hAnsi="Calibri" w:cs="Times New Roman"/>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B233B" w:rsidRPr="00EB233B" w:rsidRDefault="00EB233B" w:rsidP="00EB233B">
      <w:pPr>
        <w:spacing w:after="0" w:line="360" w:lineRule="auto"/>
        <w:jc w:val="center"/>
        <w:rPr>
          <w:rFonts w:ascii="Arial" w:eastAsia="Calibri" w:hAnsi="Arial" w:cs="Arial"/>
          <w:bCs/>
          <w:sz w:val="24"/>
          <w:szCs w:val="24"/>
        </w:rPr>
      </w:pPr>
      <w:r w:rsidRPr="00EB233B">
        <w:rPr>
          <w:rFonts w:ascii="Arial" w:eastAsia="Calibri" w:hAnsi="Arial" w:cs="Arial"/>
          <w:b/>
          <w:sz w:val="24"/>
          <w:szCs w:val="24"/>
        </w:rPr>
        <w:t>HIGH COURT OF NAMIBIA MAIN DIVISION, WINDHOEK</w:t>
      </w:r>
    </w:p>
    <w:p w:rsidR="00EB233B" w:rsidRPr="00EB233B" w:rsidRDefault="00EB233B" w:rsidP="00EB233B">
      <w:pPr>
        <w:spacing w:after="0" w:line="360" w:lineRule="auto"/>
        <w:jc w:val="center"/>
        <w:rPr>
          <w:rFonts w:ascii="Arial" w:eastAsia="Calibri" w:hAnsi="Arial" w:cs="Arial"/>
          <w:b/>
          <w:sz w:val="10"/>
          <w:szCs w:val="10"/>
        </w:rPr>
      </w:pPr>
    </w:p>
    <w:p w:rsidR="00EB233B" w:rsidRPr="00EB233B" w:rsidRDefault="00EB233B" w:rsidP="00EB233B">
      <w:pPr>
        <w:spacing w:after="0" w:line="360" w:lineRule="auto"/>
        <w:jc w:val="center"/>
        <w:rPr>
          <w:rFonts w:ascii="Arial" w:eastAsia="Calibri" w:hAnsi="Arial" w:cs="Arial"/>
          <w:b/>
          <w:sz w:val="24"/>
          <w:szCs w:val="24"/>
        </w:rPr>
      </w:pPr>
      <w:r w:rsidRPr="00EB233B">
        <w:rPr>
          <w:rFonts w:ascii="Arial" w:eastAsia="Calibri" w:hAnsi="Arial" w:cs="Arial"/>
          <w:b/>
          <w:sz w:val="24"/>
          <w:szCs w:val="24"/>
        </w:rPr>
        <w:t>JUDGMENT</w:t>
      </w:r>
    </w:p>
    <w:p w:rsidR="00EB233B" w:rsidRPr="00EB233B" w:rsidRDefault="00EB233B" w:rsidP="00EB233B">
      <w:pPr>
        <w:spacing w:after="0" w:line="360" w:lineRule="auto"/>
        <w:jc w:val="both"/>
        <w:rPr>
          <w:rFonts w:ascii="Arial" w:eastAsia="Calibri" w:hAnsi="Arial" w:cs="Arial"/>
          <w:b/>
          <w:sz w:val="20"/>
          <w:szCs w:val="20"/>
        </w:rPr>
      </w:pPr>
    </w:p>
    <w:p w:rsidR="00EB233B" w:rsidRPr="00EB233B" w:rsidRDefault="00EB233B" w:rsidP="00EB233B">
      <w:pPr>
        <w:tabs>
          <w:tab w:val="right" w:pos="9000"/>
        </w:tabs>
        <w:spacing w:after="0" w:line="360" w:lineRule="auto"/>
        <w:jc w:val="center"/>
        <w:rPr>
          <w:rFonts w:ascii="Arial" w:eastAsia="Calibri" w:hAnsi="Arial" w:cs="Arial"/>
          <w:b/>
          <w:sz w:val="24"/>
          <w:szCs w:val="24"/>
        </w:rPr>
      </w:pPr>
      <w:r w:rsidRPr="00EB233B">
        <w:rPr>
          <w:rFonts w:ascii="Arial" w:eastAsia="Calibri" w:hAnsi="Arial" w:cs="Arial"/>
          <w:b/>
          <w:sz w:val="24"/>
          <w:szCs w:val="24"/>
        </w:rPr>
        <w:tab/>
      </w:r>
      <w:r w:rsidRPr="00EB233B">
        <w:rPr>
          <w:rFonts w:ascii="Arial" w:eastAsia="Calibri" w:hAnsi="Arial" w:cs="Arial"/>
          <w:sz w:val="24"/>
          <w:szCs w:val="24"/>
        </w:rPr>
        <w:t xml:space="preserve">Case no: </w:t>
      </w:r>
      <w:r>
        <w:rPr>
          <w:rFonts w:ascii="Arial" w:eastAsia="Calibri" w:hAnsi="Arial" w:cs="Arial"/>
          <w:sz w:val="24"/>
          <w:szCs w:val="24"/>
          <w:shd w:val="clear" w:color="auto" w:fill="FFFFFF"/>
        </w:rPr>
        <w:t>I 1111/2006</w:t>
      </w:r>
    </w:p>
    <w:p w:rsidR="00EB233B" w:rsidRPr="00EB233B" w:rsidRDefault="00EB233B" w:rsidP="00EB233B">
      <w:pPr>
        <w:spacing w:after="0" w:line="360" w:lineRule="auto"/>
        <w:rPr>
          <w:rFonts w:ascii="Arial" w:eastAsia="Calibri" w:hAnsi="Arial" w:cs="Arial"/>
          <w:sz w:val="24"/>
          <w:szCs w:val="24"/>
        </w:rPr>
      </w:pPr>
    </w:p>
    <w:p w:rsidR="00EB233B" w:rsidRPr="00EB233B" w:rsidRDefault="00EB233B" w:rsidP="00EB233B">
      <w:pPr>
        <w:spacing w:after="0" w:line="360" w:lineRule="auto"/>
        <w:jc w:val="both"/>
        <w:rPr>
          <w:rFonts w:ascii="Arial" w:eastAsia="Calibri" w:hAnsi="Arial" w:cs="Arial"/>
          <w:sz w:val="24"/>
          <w:szCs w:val="24"/>
        </w:rPr>
      </w:pPr>
      <w:r w:rsidRPr="00EB233B">
        <w:rPr>
          <w:rFonts w:ascii="Arial" w:eastAsia="Calibri" w:hAnsi="Arial" w:cs="Arial"/>
          <w:sz w:val="24"/>
          <w:szCs w:val="24"/>
        </w:rPr>
        <w:t>In the matter between:</w:t>
      </w:r>
    </w:p>
    <w:p w:rsidR="00EB233B" w:rsidRPr="00EB233B" w:rsidRDefault="00EB233B" w:rsidP="00EB233B">
      <w:pPr>
        <w:spacing w:after="0" w:line="360" w:lineRule="auto"/>
        <w:jc w:val="both"/>
        <w:rPr>
          <w:rFonts w:ascii="Arial" w:eastAsia="Calibri" w:hAnsi="Arial" w:cs="Arial"/>
          <w:sz w:val="24"/>
          <w:szCs w:val="24"/>
        </w:rPr>
      </w:pPr>
    </w:p>
    <w:p w:rsidR="00EB233B" w:rsidRPr="00EB233B" w:rsidRDefault="00EB233B" w:rsidP="00EB233B">
      <w:pPr>
        <w:tabs>
          <w:tab w:val="right" w:pos="9000"/>
        </w:tabs>
        <w:spacing w:after="0" w:line="360" w:lineRule="auto"/>
        <w:jc w:val="both"/>
        <w:rPr>
          <w:rFonts w:ascii="Arial" w:eastAsia="Calibri" w:hAnsi="Arial" w:cs="Arial"/>
          <w:b/>
          <w:sz w:val="24"/>
          <w:szCs w:val="24"/>
          <w:lang w:val="en-GB"/>
        </w:rPr>
      </w:pPr>
      <w:r>
        <w:rPr>
          <w:rFonts w:ascii="Arial" w:eastAsia="Calibri" w:hAnsi="Arial" w:cs="Arial"/>
          <w:b/>
          <w:sz w:val="24"/>
          <w:szCs w:val="24"/>
          <w:shd w:val="clear" w:color="auto" w:fill="FFFFFF"/>
        </w:rPr>
        <w:t>OFFSHORE DEVELOPMENT COMPANY</w:t>
      </w:r>
      <w:r w:rsidR="00BE022D">
        <w:rPr>
          <w:rFonts w:ascii="Arial" w:eastAsia="Calibri" w:hAnsi="Arial" w:cs="Arial"/>
          <w:b/>
          <w:sz w:val="24"/>
          <w:szCs w:val="24"/>
          <w:lang w:val="en-GB"/>
        </w:rPr>
        <w:t xml:space="preserve"> (PTY) LI</w:t>
      </w:r>
      <w:r w:rsidR="00EB2097">
        <w:rPr>
          <w:rFonts w:ascii="Arial" w:eastAsia="Calibri" w:hAnsi="Arial" w:cs="Arial"/>
          <w:b/>
          <w:sz w:val="24"/>
          <w:szCs w:val="24"/>
          <w:lang w:val="en-GB"/>
        </w:rPr>
        <w:t xml:space="preserve">MITED                  </w:t>
      </w:r>
      <w:r>
        <w:rPr>
          <w:rFonts w:ascii="Arial" w:eastAsia="Calibri" w:hAnsi="Arial" w:cs="Arial"/>
          <w:b/>
          <w:sz w:val="24"/>
          <w:szCs w:val="24"/>
          <w:lang w:val="en-GB"/>
        </w:rPr>
        <w:t>PLAINTIFF</w:t>
      </w:r>
    </w:p>
    <w:p w:rsidR="00EB233B" w:rsidRDefault="00EB233B" w:rsidP="00EB233B">
      <w:pPr>
        <w:spacing w:after="0" w:line="360" w:lineRule="auto"/>
        <w:jc w:val="both"/>
        <w:rPr>
          <w:rFonts w:ascii="Arial" w:eastAsia="Calibri" w:hAnsi="Arial" w:cs="Arial"/>
          <w:sz w:val="24"/>
          <w:szCs w:val="24"/>
        </w:rPr>
      </w:pPr>
    </w:p>
    <w:p w:rsidR="00EB233B" w:rsidRPr="00EB233B" w:rsidRDefault="00EB233B" w:rsidP="00EB233B">
      <w:pPr>
        <w:spacing w:after="0" w:line="360" w:lineRule="auto"/>
        <w:jc w:val="both"/>
        <w:rPr>
          <w:rFonts w:ascii="Arial" w:eastAsia="Calibri" w:hAnsi="Arial" w:cs="Arial"/>
          <w:sz w:val="24"/>
          <w:szCs w:val="24"/>
        </w:rPr>
      </w:pPr>
      <w:proofErr w:type="gramStart"/>
      <w:r w:rsidRPr="00EB233B">
        <w:rPr>
          <w:rFonts w:ascii="Arial" w:eastAsia="Calibri" w:hAnsi="Arial" w:cs="Arial"/>
          <w:sz w:val="24"/>
          <w:szCs w:val="24"/>
        </w:rPr>
        <w:t>and</w:t>
      </w:r>
      <w:proofErr w:type="gramEnd"/>
    </w:p>
    <w:p w:rsidR="00EB233B" w:rsidRPr="00EB233B" w:rsidRDefault="00EB233B" w:rsidP="00EB233B">
      <w:pPr>
        <w:spacing w:after="0" w:line="360" w:lineRule="auto"/>
        <w:jc w:val="both"/>
        <w:rPr>
          <w:rFonts w:ascii="Arial" w:eastAsia="Calibri" w:hAnsi="Arial" w:cs="Arial"/>
          <w:sz w:val="16"/>
          <w:szCs w:val="16"/>
        </w:rPr>
      </w:pPr>
    </w:p>
    <w:p w:rsidR="00EB233B" w:rsidRPr="00EB233B" w:rsidRDefault="00EB233B" w:rsidP="00EB233B">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shd w:val="clear" w:color="auto" w:fill="FFFFFF"/>
        </w:rPr>
        <w:t>DELOITTE &amp; TOUCHE</w:t>
      </w:r>
      <w:r w:rsidRPr="00EB233B">
        <w:rPr>
          <w:rFonts w:ascii="Arial" w:eastAsia="Calibri" w:hAnsi="Arial" w:cs="Arial"/>
          <w:b/>
          <w:sz w:val="24"/>
          <w:szCs w:val="24"/>
        </w:rPr>
        <w:tab/>
      </w:r>
      <w:r>
        <w:rPr>
          <w:rFonts w:ascii="Arial" w:eastAsia="Calibri" w:hAnsi="Arial" w:cs="Arial"/>
          <w:b/>
          <w:sz w:val="24"/>
          <w:szCs w:val="24"/>
        </w:rPr>
        <w:t xml:space="preserve">  </w:t>
      </w:r>
      <w:r w:rsidR="00BE022D">
        <w:rPr>
          <w:rFonts w:ascii="Arial" w:eastAsia="Calibri" w:hAnsi="Arial" w:cs="Arial"/>
          <w:b/>
          <w:sz w:val="24"/>
          <w:szCs w:val="24"/>
        </w:rPr>
        <w:t xml:space="preserve">    </w:t>
      </w:r>
      <w:r>
        <w:rPr>
          <w:rFonts w:ascii="Arial" w:eastAsia="Calibri" w:hAnsi="Arial" w:cs="Arial"/>
          <w:b/>
          <w:sz w:val="24"/>
          <w:szCs w:val="24"/>
        </w:rPr>
        <w:t>DEFENDANT</w:t>
      </w:r>
    </w:p>
    <w:p w:rsidR="00EB233B" w:rsidRPr="00EB233B" w:rsidRDefault="00EB233B" w:rsidP="00EB233B">
      <w:pPr>
        <w:spacing w:after="0" w:line="360" w:lineRule="auto"/>
        <w:ind w:left="2160" w:hanging="2160"/>
        <w:jc w:val="both"/>
        <w:rPr>
          <w:rFonts w:ascii="Arial" w:eastAsia="Calibri" w:hAnsi="Arial" w:cs="Arial"/>
          <w:sz w:val="24"/>
          <w:szCs w:val="24"/>
        </w:rPr>
      </w:pPr>
    </w:p>
    <w:p w:rsidR="00EB233B" w:rsidRPr="00EB233B" w:rsidRDefault="00EB233B" w:rsidP="00DF1C7D">
      <w:pPr>
        <w:tabs>
          <w:tab w:val="left" w:pos="2268"/>
          <w:tab w:val="right" w:pos="9000"/>
        </w:tabs>
        <w:spacing w:after="0" w:line="360" w:lineRule="auto"/>
        <w:jc w:val="both"/>
        <w:rPr>
          <w:rFonts w:ascii="Arial" w:eastAsia="Calibri" w:hAnsi="Arial" w:cs="Arial"/>
          <w:sz w:val="24"/>
          <w:szCs w:val="24"/>
        </w:rPr>
      </w:pPr>
      <w:r w:rsidRPr="00EB233B">
        <w:rPr>
          <w:rFonts w:ascii="Arial" w:eastAsia="Calibri" w:hAnsi="Arial" w:cs="Arial"/>
          <w:b/>
          <w:sz w:val="24"/>
          <w:szCs w:val="24"/>
        </w:rPr>
        <w:t>Neutral citation:</w:t>
      </w:r>
      <w:r w:rsidRPr="00EB233B">
        <w:rPr>
          <w:rFonts w:ascii="Arial" w:eastAsia="Calibri" w:hAnsi="Arial" w:cs="Arial"/>
          <w:b/>
          <w:sz w:val="24"/>
          <w:szCs w:val="24"/>
        </w:rPr>
        <w:tab/>
      </w:r>
      <w:bookmarkStart w:id="0" w:name="_GoBack"/>
      <w:r>
        <w:rPr>
          <w:rFonts w:ascii="Arial" w:eastAsia="Calibri" w:hAnsi="Arial" w:cs="Arial"/>
          <w:i/>
          <w:sz w:val="24"/>
          <w:szCs w:val="24"/>
          <w:shd w:val="clear" w:color="auto" w:fill="FFFFFF"/>
        </w:rPr>
        <w:t>Offshore Development Company</w:t>
      </w:r>
      <w:r w:rsidRPr="00EB233B">
        <w:rPr>
          <w:rFonts w:ascii="Arial" w:eastAsia="Calibri" w:hAnsi="Arial" w:cs="Arial"/>
          <w:i/>
          <w:sz w:val="24"/>
          <w:szCs w:val="24"/>
          <w:shd w:val="clear" w:color="auto" w:fill="FFFFFF"/>
        </w:rPr>
        <w:t xml:space="preserve"> v </w:t>
      </w:r>
      <w:r>
        <w:rPr>
          <w:rFonts w:ascii="Arial" w:eastAsia="Calibri" w:hAnsi="Arial" w:cs="Arial"/>
          <w:i/>
          <w:sz w:val="24"/>
          <w:szCs w:val="24"/>
          <w:shd w:val="clear" w:color="auto" w:fill="FFFFFF"/>
        </w:rPr>
        <w:t xml:space="preserve">Deloitte &amp; </w:t>
      </w:r>
      <w:proofErr w:type="spellStart"/>
      <w:r>
        <w:rPr>
          <w:rFonts w:ascii="Arial" w:eastAsia="Calibri" w:hAnsi="Arial" w:cs="Arial"/>
          <w:i/>
          <w:sz w:val="24"/>
          <w:szCs w:val="24"/>
          <w:shd w:val="clear" w:color="auto" w:fill="FFFFFF"/>
        </w:rPr>
        <w:t>Touche</w:t>
      </w:r>
      <w:proofErr w:type="spellEnd"/>
      <w:r w:rsidRPr="00EB233B">
        <w:rPr>
          <w:rFonts w:ascii="Arial" w:eastAsia="Calibri" w:hAnsi="Arial" w:cs="Arial"/>
          <w:sz w:val="24"/>
          <w:szCs w:val="24"/>
          <w:shd w:val="clear" w:color="auto" w:fill="FFFFFF"/>
        </w:rPr>
        <w:t xml:space="preserve"> (</w:t>
      </w:r>
      <w:r>
        <w:rPr>
          <w:rFonts w:ascii="Arial" w:eastAsia="Calibri" w:hAnsi="Arial" w:cs="Arial"/>
          <w:sz w:val="24"/>
          <w:szCs w:val="24"/>
          <w:shd w:val="clear" w:color="auto" w:fill="FFFFFF"/>
        </w:rPr>
        <w:t>I 1111/2006</w:t>
      </w:r>
      <w:r w:rsidRPr="00EB233B">
        <w:rPr>
          <w:rFonts w:ascii="Arial" w:eastAsia="Calibri" w:hAnsi="Arial" w:cs="Arial"/>
          <w:sz w:val="24"/>
          <w:szCs w:val="24"/>
          <w:shd w:val="clear" w:color="auto" w:fill="FFFFFF"/>
        </w:rPr>
        <w:t>)</w:t>
      </w:r>
      <w:r w:rsidRPr="00EB233B">
        <w:rPr>
          <w:rFonts w:ascii="Arial" w:eastAsia="Calibri" w:hAnsi="Arial" w:cs="Arial"/>
          <w:sz w:val="24"/>
          <w:szCs w:val="24"/>
        </w:rPr>
        <w:t xml:space="preserve"> [2018] NAHCMD</w:t>
      </w:r>
      <w:r w:rsidRPr="00EB2097">
        <w:rPr>
          <w:rFonts w:ascii="Arial" w:eastAsia="Calibri" w:hAnsi="Arial" w:cs="Arial"/>
          <w:sz w:val="24"/>
          <w:szCs w:val="24"/>
        </w:rPr>
        <w:t xml:space="preserve"> </w:t>
      </w:r>
      <w:r w:rsidR="00EB2097" w:rsidRPr="00EB2097">
        <w:rPr>
          <w:rFonts w:ascii="Arial" w:eastAsia="Calibri" w:hAnsi="Arial" w:cs="Arial"/>
          <w:sz w:val="24"/>
          <w:szCs w:val="24"/>
        </w:rPr>
        <w:t>299</w:t>
      </w:r>
      <w:r w:rsidRPr="00EB233B">
        <w:rPr>
          <w:rFonts w:ascii="Arial" w:eastAsia="Calibri" w:hAnsi="Arial" w:cs="Arial"/>
          <w:sz w:val="24"/>
          <w:szCs w:val="24"/>
        </w:rPr>
        <w:t xml:space="preserve"> (</w:t>
      </w:r>
      <w:r w:rsidR="00F64AEF">
        <w:rPr>
          <w:rFonts w:ascii="Arial" w:eastAsia="Calibri" w:hAnsi="Arial" w:cs="Arial"/>
          <w:sz w:val="24"/>
          <w:szCs w:val="24"/>
        </w:rPr>
        <w:t>25</w:t>
      </w:r>
      <w:r w:rsidRPr="00EB233B">
        <w:rPr>
          <w:rFonts w:ascii="Arial" w:eastAsia="Calibri" w:hAnsi="Arial" w:cs="Arial"/>
          <w:sz w:val="24"/>
          <w:szCs w:val="24"/>
        </w:rPr>
        <w:t xml:space="preserve"> September 2018)</w:t>
      </w:r>
    </w:p>
    <w:bookmarkEnd w:id="0"/>
    <w:p w:rsidR="00EB233B" w:rsidRPr="00EB233B" w:rsidRDefault="00EB233B" w:rsidP="00EB233B">
      <w:pPr>
        <w:spacing w:after="0" w:line="360" w:lineRule="auto"/>
        <w:ind w:left="2160" w:hanging="2160"/>
        <w:jc w:val="both"/>
        <w:rPr>
          <w:rFonts w:ascii="Arial" w:eastAsia="Calibri" w:hAnsi="Arial" w:cs="Arial"/>
          <w:sz w:val="24"/>
          <w:szCs w:val="24"/>
        </w:rPr>
      </w:pPr>
    </w:p>
    <w:p w:rsidR="00EB233B" w:rsidRPr="00EB233B" w:rsidRDefault="00EB233B" w:rsidP="00EB233B">
      <w:pPr>
        <w:spacing w:after="0" w:line="360" w:lineRule="auto"/>
        <w:ind w:left="1440" w:hanging="1440"/>
        <w:jc w:val="both"/>
        <w:rPr>
          <w:rFonts w:ascii="Arial" w:eastAsia="Calibri" w:hAnsi="Arial" w:cs="Arial"/>
          <w:b/>
          <w:i/>
          <w:sz w:val="24"/>
          <w:szCs w:val="24"/>
        </w:rPr>
      </w:pPr>
      <w:r w:rsidRPr="00EB233B">
        <w:rPr>
          <w:rFonts w:ascii="Arial" w:eastAsia="Calibri" w:hAnsi="Arial" w:cs="Arial"/>
          <w:b/>
          <w:sz w:val="24"/>
          <w:szCs w:val="24"/>
        </w:rPr>
        <w:t>Coram:</w:t>
      </w:r>
      <w:r w:rsidRPr="00EB233B">
        <w:rPr>
          <w:rFonts w:ascii="Arial" w:eastAsia="Calibri" w:hAnsi="Arial" w:cs="Arial"/>
          <w:sz w:val="24"/>
          <w:szCs w:val="24"/>
        </w:rPr>
        <w:tab/>
        <w:t>PARKER AJ</w:t>
      </w:r>
    </w:p>
    <w:p w:rsidR="00F64AEF" w:rsidRDefault="00EB233B" w:rsidP="00F64AEF">
      <w:pPr>
        <w:spacing w:after="0" w:line="360" w:lineRule="auto"/>
        <w:ind w:left="1440" w:hanging="1440"/>
        <w:jc w:val="both"/>
        <w:rPr>
          <w:rFonts w:ascii="Arial" w:eastAsia="Calibri" w:hAnsi="Arial" w:cs="Arial"/>
          <w:b/>
          <w:sz w:val="24"/>
          <w:szCs w:val="24"/>
        </w:rPr>
      </w:pPr>
      <w:r w:rsidRPr="00EB233B">
        <w:rPr>
          <w:rFonts w:ascii="Arial" w:eastAsia="Calibri" w:hAnsi="Arial" w:cs="Arial"/>
          <w:b/>
          <w:bCs/>
          <w:sz w:val="24"/>
          <w:szCs w:val="24"/>
        </w:rPr>
        <w:t>Heard</w:t>
      </w:r>
      <w:r w:rsidRPr="00EB233B">
        <w:rPr>
          <w:rFonts w:ascii="Arial" w:eastAsia="Calibri" w:hAnsi="Arial" w:cs="Arial"/>
          <w:sz w:val="24"/>
          <w:szCs w:val="24"/>
        </w:rPr>
        <w:t>:</w:t>
      </w:r>
      <w:r w:rsidRPr="00EB233B">
        <w:rPr>
          <w:rFonts w:ascii="Arial" w:eastAsia="Calibri" w:hAnsi="Arial" w:cs="Arial"/>
          <w:sz w:val="24"/>
          <w:szCs w:val="24"/>
        </w:rPr>
        <w:tab/>
      </w:r>
      <w:r w:rsidR="00F64AEF">
        <w:rPr>
          <w:rFonts w:ascii="Arial" w:eastAsia="Calibri" w:hAnsi="Arial" w:cs="Arial"/>
          <w:b/>
          <w:sz w:val="24"/>
          <w:szCs w:val="24"/>
        </w:rPr>
        <w:t>4, 5, 6, 7, 8 and 11 June</w:t>
      </w:r>
      <w:r w:rsidR="00F64AEF" w:rsidRPr="00EB233B">
        <w:rPr>
          <w:rFonts w:ascii="Arial" w:eastAsia="Calibri" w:hAnsi="Arial" w:cs="Arial"/>
          <w:b/>
          <w:sz w:val="24"/>
          <w:szCs w:val="24"/>
        </w:rPr>
        <w:t xml:space="preserve"> 2018</w:t>
      </w:r>
      <w:r w:rsidR="00F64AEF">
        <w:rPr>
          <w:rFonts w:ascii="Arial" w:eastAsia="Calibri" w:hAnsi="Arial" w:cs="Arial"/>
          <w:b/>
          <w:sz w:val="24"/>
          <w:szCs w:val="24"/>
        </w:rPr>
        <w:t xml:space="preserve"> – 20 August 2018</w:t>
      </w:r>
    </w:p>
    <w:p w:rsidR="00EB233B" w:rsidRPr="00EB233B" w:rsidRDefault="00EB233B" w:rsidP="00F64AEF">
      <w:pPr>
        <w:spacing w:after="0" w:line="360" w:lineRule="auto"/>
        <w:ind w:left="1440" w:hanging="1440"/>
        <w:jc w:val="both"/>
        <w:rPr>
          <w:rFonts w:ascii="Arial" w:eastAsia="Calibri" w:hAnsi="Arial" w:cs="Arial"/>
          <w:b/>
          <w:sz w:val="24"/>
          <w:szCs w:val="24"/>
        </w:rPr>
      </w:pPr>
      <w:r w:rsidRPr="00EB233B">
        <w:rPr>
          <w:rFonts w:ascii="Arial" w:eastAsia="Calibri" w:hAnsi="Arial" w:cs="Arial"/>
          <w:b/>
          <w:bCs/>
          <w:sz w:val="24"/>
          <w:szCs w:val="24"/>
        </w:rPr>
        <w:t>Delivered</w:t>
      </w:r>
      <w:r w:rsidRPr="00EB233B">
        <w:rPr>
          <w:rFonts w:ascii="Arial" w:eastAsia="Calibri" w:hAnsi="Arial" w:cs="Arial"/>
          <w:sz w:val="24"/>
          <w:szCs w:val="24"/>
        </w:rPr>
        <w:t>:</w:t>
      </w:r>
      <w:r w:rsidRPr="00EB233B">
        <w:rPr>
          <w:rFonts w:ascii="Arial" w:eastAsia="Calibri" w:hAnsi="Arial" w:cs="Arial"/>
          <w:sz w:val="24"/>
          <w:szCs w:val="24"/>
        </w:rPr>
        <w:tab/>
      </w:r>
      <w:r w:rsidR="00307824">
        <w:rPr>
          <w:rFonts w:ascii="Arial" w:eastAsia="Calibri" w:hAnsi="Arial" w:cs="Arial"/>
          <w:b/>
          <w:sz w:val="24"/>
          <w:szCs w:val="24"/>
        </w:rPr>
        <w:t xml:space="preserve">25 </w:t>
      </w:r>
      <w:r w:rsidRPr="00EB233B">
        <w:rPr>
          <w:rFonts w:ascii="Arial" w:eastAsia="Calibri" w:hAnsi="Arial" w:cs="Arial"/>
          <w:b/>
          <w:sz w:val="24"/>
          <w:szCs w:val="24"/>
        </w:rPr>
        <w:t>September 2018</w:t>
      </w:r>
    </w:p>
    <w:p w:rsidR="00EB233B" w:rsidRPr="00EB233B" w:rsidRDefault="00EB233B" w:rsidP="00EB233B">
      <w:pPr>
        <w:spacing w:after="0" w:line="360" w:lineRule="auto"/>
        <w:jc w:val="both"/>
        <w:rPr>
          <w:rFonts w:ascii="Arial" w:eastAsia="Calibri" w:hAnsi="Arial" w:cs="Arial"/>
          <w:sz w:val="24"/>
          <w:szCs w:val="24"/>
        </w:rPr>
      </w:pPr>
    </w:p>
    <w:p w:rsidR="00EB233B" w:rsidRPr="00307824" w:rsidRDefault="00EB233B" w:rsidP="00EB233B">
      <w:pPr>
        <w:spacing w:after="0" w:line="360" w:lineRule="auto"/>
        <w:jc w:val="both"/>
        <w:rPr>
          <w:rFonts w:ascii="Arial" w:eastAsia="Times New Roman" w:hAnsi="Arial" w:cs="Arial"/>
          <w:sz w:val="24"/>
          <w:szCs w:val="24"/>
          <w:lang w:val="en-GB"/>
        </w:rPr>
      </w:pPr>
      <w:r w:rsidRPr="00EB233B">
        <w:rPr>
          <w:rFonts w:ascii="Arial" w:eastAsia="Times New Roman" w:hAnsi="Arial" w:cs="Arial"/>
          <w:b/>
          <w:sz w:val="24"/>
          <w:szCs w:val="24"/>
          <w:lang w:val="en-GB"/>
        </w:rPr>
        <w:t>Flynote:</w:t>
      </w:r>
      <w:r w:rsidR="00656B46">
        <w:rPr>
          <w:rFonts w:ascii="Arial" w:eastAsia="Times New Roman" w:hAnsi="Arial" w:cs="Arial"/>
          <w:b/>
          <w:sz w:val="24"/>
          <w:szCs w:val="24"/>
          <w:lang w:val="en-GB"/>
        </w:rPr>
        <w:tab/>
      </w:r>
      <w:r w:rsidR="00656B46">
        <w:rPr>
          <w:rFonts w:ascii="Arial" w:eastAsia="Times New Roman" w:hAnsi="Arial" w:cs="Arial"/>
          <w:sz w:val="24"/>
          <w:szCs w:val="24"/>
          <w:lang w:val="en-GB"/>
        </w:rPr>
        <w:t xml:space="preserve">Practice: Trial – Special case in terms of rule 63 of the rules of court – Separated issues in special case determined </w:t>
      </w:r>
      <w:r w:rsidR="00307824">
        <w:rPr>
          <w:rFonts w:ascii="Arial" w:eastAsia="Times New Roman" w:hAnsi="Arial" w:cs="Arial"/>
          <w:sz w:val="24"/>
          <w:szCs w:val="24"/>
          <w:lang w:val="en-GB"/>
        </w:rPr>
        <w:t xml:space="preserve">after </w:t>
      </w:r>
      <w:r w:rsidR="00656B46">
        <w:rPr>
          <w:rFonts w:ascii="Arial" w:eastAsia="Times New Roman" w:hAnsi="Arial" w:cs="Arial"/>
          <w:sz w:val="24"/>
          <w:szCs w:val="24"/>
          <w:lang w:val="en-GB"/>
        </w:rPr>
        <w:t>plaintiff’s evidence – Determination of separated issues resulting in conclusion of litigation</w:t>
      </w:r>
      <w:r w:rsidR="00307824">
        <w:rPr>
          <w:rFonts w:ascii="Arial" w:eastAsia="Times New Roman" w:hAnsi="Arial" w:cs="Arial"/>
          <w:sz w:val="24"/>
          <w:szCs w:val="24"/>
          <w:lang w:val="en-GB"/>
        </w:rPr>
        <w:t xml:space="preserve"> </w:t>
      </w:r>
      <w:r w:rsidR="00656B46">
        <w:rPr>
          <w:rFonts w:ascii="Arial" w:eastAsia="Times New Roman" w:hAnsi="Arial" w:cs="Arial"/>
          <w:sz w:val="24"/>
          <w:szCs w:val="24"/>
          <w:lang w:val="en-GB"/>
        </w:rPr>
        <w:t>– Court finding that moneys lost in investment made through defendant belonged to third entities – Court found therefore that the loss was not plaintiff’s</w:t>
      </w:r>
      <w:r w:rsidR="004F5E17">
        <w:rPr>
          <w:rFonts w:ascii="Arial" w:eastAsia="Times New Roman" w:hAnsi="Arial" w:cs="Arial"/>
          <w:sz w:val="24"/>
          <w:szCs w:val="24"/>
          <w:lang w:val="en-GB"/>
        </w:rPr>
        <w:t xml:space="preserve"> – </w:t>
      </w:r>
      <w:r w:rsidR="00307824">
        <w:rPr>
          <w:rFonts w:ascii="Arial" w:eastAsia="Times New Roman" w:hAnsi="Arial" w:cs="Arial"/>
          <w:sz w:val="24"/>
          <w:szCs w:val="24"/>
          <w:lang w:val="en-GB"/>
        </w:rPr>
        <w:t xml:space="preserve">Plaintiff’s patrimony was not diminished – </w:t>
      </w:r>
      <w:r w:rsidR="004F5E17">
        <w:rPr>
          <w:rFonts w:ascii="Arial" w:eastAsia="Times New Roman" w:hAnsi="Arial" w:cs="Arial"/>
          <w:sz w:val="24"/>
          <w:szCs w:val="24"/>
          <w:lang w:val="en-GB"/>
        </w:rPr>
        <w:t xml:space="preserve">Court held </w:t>
      </w:r>
      <w:r w:rsidR="004F5E17">
        <w:rPr>
          <w:rFonts w:ascii="Arial" w:eastAsia="Times New Roman" w:hAnsi="Arial" w:cs="Arial"/>
          <w:sz w:val="24"/>
          <w:szCs w:val="24"/>
          <w:lang w:val="en-GB"/>
        </w:rPr>
        <w:lastRenderedPageBreak/>
        <w:t xml:space="preserve">that no </w:t>
      </w:r>
      <w:r w:rsidR="00307824">
        <w:rPr>
          <w:rFonts w:ascii="Arial" w:eastAsia="Times New Roman" w:hAnsi="Arial" w:cs="Arial"/>
          <w:sz w:val="24"/>
          <w:szCs w:val="24"/>
          <w:lang w:val="en-GB"/>
        </w:rPr>
        <w:t>person</w:t>
      </w:r>
      <w:r w:rsidR="004F5E17">
        <w:rPr>
          <w:rFonts w:ascii="Arial" w:eastAsia="Times New Roman" w:hAnsi="Arial" w:cs="Arial"/>
          <w:sz w:val="24"/>
          <w:szCs w:val="24"/>
          <w:lang w:val="en-GB"/>
        </w:rPr>
        <w:t xml:space="preserve"> can lose what he or she himself had not possessed</w:t>
      </w:r>
      <w:r w:rsidR="00307824">
        <w:rPr>
          <w:rFonts w:ascii="Arial" w:eastAsia="Times New Roman" w:hAnsi="Arial" w:cs="Arial"/>
          <w:sz w:val="24"/>
          <w:szCs w:val="24"/>
          <w:lang w:val="en-GB"/>
        </w:rPr>
        <w:t xml:space="preserve"> – Principle of n</w:t>
      </w:r>
      <w:r w:rsidR="004F5E17" w:rsidRPr="004F5E17">
        <w:rPr>
          <w:rFonts w:ascii="Arial" w:eastAsia="Times New Roman" w:hAnsi="Arial" w:cs="Arial"/>
          <w:i/>
          <w:sz w:val="24"/>
          <w:szCs w:val="24"/>
          <w:lang w:val="en-GB"/>
        </w:rPr>
        <w:t>emo potest perdare quod ipse non possederat</w:t>
      </w:r>
      <w:r w:rsidR="004F5E17">
        <w:rPr>
          <w:rFonts w:ascii="Arial" w:eastAsia="Times New Roman" w:hAnsi="Arial" w:cs="Arial"/>
          <w:sz w:val="24"/>
          <w:szCs w:val="24"/>
          <w:lang w:val="en-GB"/>
        </w:rPr>
        <w:t xml:space="preserve"> </w:t>
      </w:r>
      <w:r w:rsidR="00307824">
        <w:rPr>
          <w:rFonts w:ascii="Arial" w:eastAsia="Times New Roman" w:hAnsi="Arial" w:cs="Arial"/>
          <w:sz w:val="24"/>
          <w:szCs w:val="24"/>
          <w:lang w:val="en-GB"/>
        </w:rPr>
        <w:t xml:space="preserve">applies </w:t>
      </w:r>
      <w:r w:rsidR="004F5E17">
        <w:rPr>
          <w:rFonts w:ascii="Arial" w:eastAsia="Times New Roman" w:hAnsi="Arial" w:cs="Arial"/>
          <w:sz w:val="24"/>
          <w:szCs w:val="24"/>
          <w:lang w:val="en-GB"/>
        </w:rPr>
        <w:t xml:space="preserve">– </w:t>
      </w:r>
      <w:r w:rsidR="005F2FE9">
        <w:rPr>
          <w:rFonts w:ascii="Arial" w:eastAsia="Times New Roman" w:hAnsi="Arial" w:cs="Arial"/>
          <w:sz w:val="24"/>
          <w:szCs w:val="24"/>
          <w:lang w:val="en-GB"/>
        </w:rPr>
        <w:t xml:space="preserve">Plaintiff could not claim what it itself had not lost – </w:t>
      </w:r>
      <w:r w:rsidR="004F5E17">
        <w:rPr>
          <w:rFonts w:ascii="Arial" w:eastAsia="Times New Roman" w:hAnsi="Arial" w:cs="Arial"/>
          <w:sz w:val="24"/>
          <w:szCs w:val="24"/>
          <w:lang w:val="en-GB"/>
        </w:rPr>
        <w:t>Consequently</w:t>
      </w:r>
      <w:r w:rsidR="005F2FE9">
        <w:rPr>
          <w:rFonts w:ascii="Arial" w:eastAsia="Times New Roman" w:hAnsi="Arial" w:cs="Arial"/>
          <w:sz w:val="24"/>
          <w:szCs w:val="24"/>
          <w:lang w:val="en-GB"/>
        </w:rPr>
        <w:t>,</w:t>
      </w:r>
      <w:r w:rsidR="004F5E17">
        <w:rPr>
          <w:rFonts w:ascii="Arial" w:eastAsia="Times New Roman" w:hAnsi="Arial" w:cs="Arial"/>
          <w:sz w:val="24"/>
          <w:szCs w:val="24"/>
          <w:lang w:val="en-GB"/>
        </w:rPr>
        <w:t xml:space="preserve"> separated issues determined in favour of defendant – Accordingly </w:t>
      </w:r>
      <w:r w:rsidR="00307824">
        <w:rPr>
          <w:rFonts w:ascii="Arial" w:eastAsia="Times New Roman" w:hAnsi="Arial" w:cs="Arial"/>
          <w:sz w:val="24"/>
          <w:szCs w:val="24"/>
          <w:lang w:val="en-GB"/>
        </w:rPr>
        <w:t xml:space="preserve">, </w:t>
      </w:r>
      <w:r w:rsidR="004F5E17">
        <w:rPr>
          <w:rFonts w:ascii="Arial" w:eastAsia="Times New Roman" w:hAnsi="Arial" w:cs="Arial"/>
          <w:sz w:val="24"/>
          <w:szCs w:val="24"/>
          <w:lang w:val="en-GB"/>
        </w:rPr>
        <w:t>plaintiff’s claim dismissed with costs.</w:t>
      </w:r>
      <w:r w:rsidRPr="00EB233B">
        <w:rPr>
          <w:rFonts w:ascii="Arial" w:eastAsia="Times New Roman" w:hAnsi="Arial" w:cs="Arial"/>
          <w:b/>
          <w:sz w:val="24"/>
          <w:szCs w:val="24"/>
          <w:lang w:val="en-GB"/>
        </w:rPr>
        <w:tab/>
      </w:r>
    </w:p>
    <w:p w:rsidR="004F5E17" w:rsidRDefault="004F5E17" w:rsidP="00EB233B">
      <w:pPr>
        <w:spacing w:after="0" w:line="360" w:lineRule="auto"/>
        <w:jc w:val="both"/>
        <w:rPr>
          <w:rFonts w:ascii="Arial" w:eastAsia="Calibri" w:hAnsi="Arial" w:cs="Arial"/>
          <w:b/>
          <w:sz w:val="24"/>
          <w:szCs w:val="24"/>
        </w:rPr>
      </w:pPr>
    </w:p>
    <w:p w:rsidR="00EB233B" w:rsidRPr="00EB233B" w:rsidRDefault="00EB233B" w:rsidP="00EB233B">
      <w:pPr>
        <w:spacing w:after="0" w:line="360" w:lineRule="auto"/>
        <w:jc w:val="both"/>
        <w:rPr>
          <w:rFonts w:ascii="Arial" w:eastAsia="Calibri" w:hAnsi="Arial" w:cs="Arial"/>
          <w:sz w:val="24"/>
          <w:szCs w:val="24"/>
        </w:rPr>
      </w:pPr>
      <w:r w:rsidRPr="00EB233B">
        <w:rPr>
          <w:rFonts w:ascii="Arial" w:eastAsia="Calibri" w:hAnsi="Arial" w:cs="Arial"/>
          <w:b/>
          <w:sz w:val="24"/>
          <w:szCs w:val="24"/>
        </w:rPr>
        <w:t>Summary:</w:t>
      </w:r>
      <w:r w:rsidRPr="00EB233B">
        <w:rPr>
          <w:rFonts w:ascii="Arial" w:eastAsia="Calibri" w:hAnsi="Arial" w:cs="Arial"/>
          <w:sz w:val="24"/>
          <w:szCs w:val="24"/>
        </w:rPr>
        <w:tab/>
      </w:r>
      <w:r w:rsidR="005F2FE9">
        <w:rPr>
          <w:rFonts w:ascii="Arial" w:eastAsia="Calibri" w:hAnsi="Arial" w:cs="Arial"/>
          <w:sz w:val="24"/>
          <w:szCs w:val="24"/>
        </w:rPr>
        <w:t xml:space="preserve">Practice – </w:t>
      </w:r>
      <w:r w:rsidR="004F5E17">
        <w:rPr>
          <w:rFonts w:ascii="Arial" w:eastAsia="Calibri" w:hAnsi="Arial" w:cs="Arial"/>
          <w:sz w:val="24"/>
          <w:szCs w:val="24"/>
        </w:rPr>
        <w:t xml:space="preserve">Trial – Special case in terms of rule 63 of the rules of court – Counsel for plaintiff and counsel for defendant by agreement </w:t>
      </w:r>
      <w:r w:rsidR="005F2FE9">
        <w:rPr>
          <w:rFonts w:ascii="Arial" w:eastAsia="Calibri" w:hAnsi="Arial" w:cs="Arial"/>
          <w:sz w:val="24"/>
          <w:szCs w:val="24"/>
        </w:rPr>
        <w:t>submitted to the</w:t>
      </w:r>
      <w:r w:rsidR="004F5E17">
        <w:rPr>
          <w:rFonts w:ascii="Arial" w:eastAsia="Calibri" w:hAnsi="Arial" w:cs="Arial"/>
          <w:sz w:val="24"/>
          <w:szCs w:val="24"/>
        </w:rPr>
        <w:t xml:space="preserve"> court </w:t>
      </w:r>
      <w:r w:rsidR="005F2FE9">
        <w:rPr>
          <w:rFonts w:ascii="Arial" w:eastAsia="Calibri" w:hAnsi="Arial" w:cs="Arial"/>
          <w:sz w:val="24"/>
          <w:szCs w:val="24"/>
        </w:rPr>
        <w:t xml:space="preserve">a </w:t>
      </w:r>
      <w:r w:rsidR="004F5E17">
        <w:rPr>
          <w:rFonts w:ascii="Arial" w:eastAsia="Calibri" w:hAnsi="Arial" w:cs="Arial"/>
          <w:sz w:val="24"/>
          <w:szCs w:val="24"/>
        </w:rPr>
        <w:t>special case in terms</w:t>
      </w:r>
      <w:r w:rsidR="005F2FE9">
        <w:rPr>
          <w:rFonts w:ascii="Arial" w:eastAsia="Calibri" w:hAnsi="Arial" w:cs="Arial"/>
          <w:sz w:val="24"/>
          <w:szCs w:val="24"/>
        </w:rPr>
        <w:t xml:space="preserve"> of rule 63</w:t>
      </w:r>
      <w:r w:rsidR="004F5E17">
        <w:rPr>
          <w:rFonts w:ascii="Arial" w:eastAsia="Calibri" w:hAnsi="Arial" w:cs="Arial"/>
          <w:sz w:val="24"/>
          <w:szCs w:val="24"/>
        </w:rPr>
        <w:t xml:space="preserve"> </w:t>
      </w:r>
      <w:r w:rsidR="00307824">
        <w:rPr>
          <w:rFonts w:ascii="Arial" w:eastAsia="Calibri" w:hAnsi="Arial" w:cs="Arial"/>
          <w:sz w:val="24"/>
          <w:szCs w:val="24"/>
        </w:rPr>
        <w:t>for</w:t>
      </w:r>
      <w:r w:rsidR="004F5E17">
        <w:rPr>
          <w:rFonts w:ascii="Arial" w:eastAsia="Calibri" w:hAnsi="Arial" w:cs="Arial"/>
          <w:sz w:val="24"/>
          <w:szCs w:val="24"/>
        </w:rPr>
        <w:t xml:space="preserve"> adjudication on in terms of th</w:t>
      </w:r>
      <w:r w:rsidR="00307824">
        <w:rPr>
          <w:rFonts w:ascii="Arial" w:eastAsia="Calibri" w:hAnsi="Arial" w:cs="Arial"/>
          <w:sz w:val="24"/>
          <w:szCs w:val="24"/>
        </w:rPr>
        <w:t>at</w:t>
      </w:r>
      <w:r w:rsidR="004F5E17">
        <w:rPr>
          <w:rFonts w:ascii="Arial" w:eastAsia="Calibri" w:hAnsi="Arial" w:cs="Arial"/>
          <w:sz w:val="24"/>
          <w:szCs w:val="24"/>
        </w:rPr>
        <w:t xml:space="preserve"> rule – Agreed separated issues determined after plaintiff’s evidence – Separated issues concerned whether plaintiff lost N$65m in an investment adventure for which its auditors being the defendant could be held liable on the basis of defendant having breached its contractual obligations in relation to </w:t>
      </w:r>
      <w:r w:rsidR="005F2FE9">
        <w:rPr>
          <w:rFonts w:ascii="Arial" w:eastAsia="Calibri" w:hAnsi="Arial" w:cs="Arial"/>
          <w:sz w:val="24"/>
          <w:szCs w:val="24"/>
        </w:rPr>
        <w:t xml:space="preserve">its </w:t>
      </w:r>
      <w:r w:rsidR="004F5E17">
        <w:rPr>
          <w:rFonts w:ascii="Arial" w:eastAsia="Calibri" w:hAnsi="Arial" w:cs="Arial"/>
          <w:sz w:val="24"/>
          <w:szCs w:val="24"/>
        </w:rPr>
        <w:t xml:space="preserve">audit of defendant’s financial statements for the year ending February 2003 – Court found that </w:t>
      </w:r>
      <w:r w:rsidR="00307824">
        <w:rPr>
          <w:rFonts w:ascii="Arial" w:eastAsia="Calibri" w:hAnsi="Arial" w:cs="Arial"/>
          <w:sz w:val="24"/>
          <w:szCs w:val="24"/>
        </w:rPr>
        <w:t>on the facts</w:t>
      </w:r>
      <w:r w:rsidR="004F5E17">
        <w:rPr>
          <w:rFonts w:ascii="Arial" w:eastAsia="Calibri" w:hAnsi="Arial" w:cs="Arial"/>
          <w:sz w:val="24"/>
          <w:szCs w:val="24"/>
        </w:rPr>
        <w:t xml:space="preserve"> third entities used defendant as a conduit through which the</w:t>
      </w:r>
      <w:r w:rsidR="005F2FE9">
        <w:rPr>
          <w:rFonts w:ascii="Arial" w:eastAsia="Calibri" w:hAnsi="Arial" w:cs="Arial"/>
          <w:sz w:val="24"/>
          <w:szCs w:val="24"/>
        </w:rPr>
        <w:t>y moved their</w:t>
      </w:r>
      <w:r w:rsidR="004F5E17">
        <w:rPr>
          <w:rFonts w:ascii="Arial" w:eastAsia="Calibri" w:hAnsi="Arial" w:cs="Arial"/>
          <w:sz w:val="24"/>
          <w:szCs w:val="24"/>
        </w:rPr>
        <w:t xml:space="preserve"> moneys to what turned out </w:t>
      </w:r>
      <w:r w:rsidR="00307824">
        <w:rPr>
          <w:rFonts w:ascii="Arial" w:eastAsia="Calibri" w:hAnsi="Arial" w:cs="Arial"/>
          <w:sz w:val="24"/>
          <w:szCs w:val="24"/>
        </w:rPr>
        <w:t xml:space="preserve">to </w:t>
      </w:r>
      <w:r w:rsidR="004F5E17">
        <w:rPr>
          <w:rFonts w:ascii="Arial" w:eastAsia="Calibri" w:hAnsi="Arial" w:cs="Arial"/>
          <w:sz w:val="24"/>
          <w:szCs w:val="24"/>
        </w:rPr>
        <w:t>be bogus and fraudulent investees – Court concluded that the moneys belonged to those third entities</w:t>
      </w:r>
      <w:r w:rsidR="00221E0D">
        <w:rPr>
          <w:rFonts w:ascii="Arial" w:eastAsia="Calibri" w:hAnsi="Arial" w:cs="Arial"/>
          <w:sz w:val="24"/>
          <w:szCs w:val="24"/>
        </w:rPr>
        <w:t xml:space="preserve"> and it was their investment – </w:t>
      </w:r>
      <w:r w:rsidR="00307824">
        <w:rPr>
          <w:rFonts w:ascii="Arial" w:eastAsia="Calibri" w:hAnsi="Arial" w:cs="Arial"/>
          <w:sz w:val="24"/>
          <w:szCs w:val="24"/>
        </w:rPr>
        <w:t xml:space="preserve">The investment was </w:t>
      </w:r>
      <w:r w:rsidR="00221E0D">
        <w:rPr>
          <w:rFonts w:ascii="Arial" w:eastAsia="Calibri" w:hAnsi="Arial" w:cs="Arial"/>
          <w:sz w:val="24"/>
          <w:szCs w:val="24"/>
        </w:rPr>
        <w:t>not defendant’s – Defendant could not lose what it had not itself possessed</w:t>
      </w:r>
      <w:r w:rsidR="005F2FE9">
        <w:rPr>
          <w:rFonts w:ascii="Arial" w:eastAsia="Calibri" w:hAnsi="Arial" w:cs="Arial"/>
          <w:sz w:val="24"/>
          <w:szCs w:val="24"/>
        </w:rPr>
        <w:t xml:space="preserve"> and therefore could not claim what it itself had not lost </w:t>
      </w:r>
      <w:r w:rsidR="00221E0D">
        <w:rPr>
          <w:rFonts w:ascii="Arial" w:eastAsia="Calibri" w:hAnsi="Arial" w:cs="Arial"/>
          <w:sz w:val="24"/>
          <w:szCs w:val="24"/>
        </w:rPr>
        <w:t xml:space="preserve"> – Consequently, separated issues determined in </w:t>
      </w:r>
      <w:r w:rsidR="00963F2F">
        <w:rPr>
          <w:rFonts w:ascii="Arial" w:eastAsia="Calibri" w:hAnsi="Arial" w:cs="Arial"/>
          <w:sz w:val="24"/>
          <w:szCs w:val="24"/>
        </w:rPr>
        <w:t xml:space="preserve">favour of </w:t>
      </w:r>
      <w:r w:rsidR="00221E0D">
        <w:rPr>
          <w:rFonts w:ascii="Arial" w:eastAsia="Calibri" w:hAnsi="Arial" w:cs="Arial"/>
          <w:sz w:val="24"/>
          <w:szCs w:val="24"/>
        </w:rPr>
        <w:t>defendant – Whereupon plaintiff’s claim dismissed with costs.</w:t>
      </w:r>
    </w:p>
    <w:p w:rsidR="00EB233B" w:rsidRPr="00EB233B" w:rsidRDefault="0053469C" w:rsidP="00EB233B">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5" style="width:0;height:1.5pt" o:hralign="center" o:hrstd="t" o:hr="t" fillcolor="#a0a0a0" stroked="f"/>
        </w:pict>
      </w:r>
    </w:p>
    <w:p w:rsidR="00EB233B" w:rsidRPr="00EB233B" w:rsidRDefault="00EB233B" w:rsidP="00EB233B">
      <w:pPr>
        <w:spacing w:after="0" w:line="360" w:lineRule="auto"/>
        <w:jc w:val="center"/>
        <w:rPr>
          <w:rFonts w:ascii="Arial" w:eastAsia="Calibri" w:hAnsi="Arial" w:cs="Arial"/>
          <w:b/>
          <w:bCs/>
          <w:sz w:val="24"/>
          <w:szCs w:val="24"/>
        </w:rPr>
      </w:pPr>
      <w:r w:rsidRPr="00EB233B">
        <w:rPr>
          <w:rFonts w:ascii="Arial" w:eastAsia="Calibri" w:hAnsi="Arial" w:cs="Arial"/>
          <w:b/>
          <w:bCs/>
          <w:sz w:val="24"/>
          <w:szCs w:val="24"/>
        </w:rPr>
        <w:t>ORDER</w:t>
      </w:r>
    </w:p>
    <w:p w:rsidR="00EB233B" w:rsidRPr="00EB233B" w:rsidRDefault="0053469C" w:rsidP="00EB233B">
      <w:pPr>
        <w:spacing w:after="0" w:line="360" w:lineRule="auto"/>
        <w:jc w:val="center"/>
        <w:rPr>
          <w:rFonts w:ascii="Arial" w:eastAsia="Calibri" w:hAnsi="Arial" w:cs="Arial"/>
          <w:b/>
          <w:bCs/>
          <w:sz w:val="24"/>
          <w:szCs w:val="24"/>
        </w:rPr>
      </w:pPr>
      <w:r>
        <w:rPr>
          <w:rFonts w:ascii="Arial" w:eastAsia="Calibri" w:hAnsi="Arial" w:cs="Arial"/>
          <w:bCs/>
          <w:sz w:val="24"/>
          <w:szCs w:val="24"/>
        </w:rPr>
        <w:pict>
          <v:rect id="_x0000_i1026" style="width:0;height:1.5pt" o:hralign="center" o:hrstd="t" o:hr="t" fillcolor="#a0a0a0" stroked="f"/>
        </w:pict>
      </w:r>
    </w:p>
    <w:p w:rsidR="00656B46" w:rsidRPr="00EB233B" w:rsidRDefault="00656B46" w:rsidP="00DF1C7D">
      <w:pPr>
        <w:pStyle w:val="NoSpacing"/>
        <w:spacing w:line="360" w:lineRule="auto"/>
        <w:jc w:val="both"/>
        <w:rPr>
          <w:rFonts w:ascii="Arial" w:hAnsi="Arial" w:cs="Arial"/>
          <w:sz w:val="24"/>
          <w:szCs w:val="24"/>
          <w:lang w:val="en-GB"/>
        </w:rPr>
      </w:pPr>
      <w:r>
        <w:rPr>
          <w:rFonts w:ascii="Arial" w:hAnsi="Arial" w:cs="Arial"/>
          <w:sz w:val="24"/>
          <w:szCs w:val="24"/>
          <w:lang w:val="en-GB"/>
        </w:rPr>
        <w:t>Plaintiff’s claim is dismissed with costs, including costs of one instructing counsel and two instructed counse</w:t>
      </w:r>
      <w:r w:rsidR="00963F2F">
        <w:rPr>
          <w:rFonts w:ascii="Arial" w:hAnsi="Arial" w:cs="Arial"/>
          <w:sz w:val="24"/>
          <w:szCs w:val="24"/>
          <w:lang w:val="en-GB"/>
        </w:rPr>
        <w:t>l</w:t>
      </w:r>
      <w:r w:rsidR="00570378">
        <w:rPr>
          <w:rFonts w:ascii="Arial" w:hAnsi="Arial" w:cs="Arial"/>
          <w:sz w:val="24"/>
          <w:szCs w:val="24"/>
          <w:lang w:val="en-GB"/>
        </w:rPr>
        <w:t>.</w:t>
      </w:r>
    </w:p>
    <w:p w:rsidR="00EB233B" w:rsidRPr="00EB233B" w:rsidRDefault="0053469C" w:rsidP="00EB233B">
      <w:pPr>
        <w:spacing w:after="0" w:line="360" w:lineRule="auto"/>
        <w:jc w:val="both"/>
        <w:rPr>
          <w:rFonts w:ascii="Arial" w:eastAsia="Calibri" w:hAnsi="Arial" w:cs="Arial"/>
          <w:bCs/>
          <w:sz w:val="24"/>
          <w:szCs w:val="24"/>
        </w:rPr>
      </w:pPr>
      <w:r>
        <w:rPr>
          <w:rFonts w:ascii="Arial" w:eastAsia="Calibri" w:hAnsi="Arial" w:cs="Arial"/>
          <w:bCs/>
          <w:sz w:val="24"/>
          <w:szCs w:val="24"/>
        </w:rPr>
        <w:pict>
          <v:rect id="_x0000_i1027" style="width:0;height:1.5pt" o:hralign="center" o:hrstd="t" o:hr="t" fillcolor="#a0a0a0" stroked="f"/>
        </w:pict>
      </w:r>
    </w:p>
    <w:p w:rsidR="00EB233B" w:rsidRPr="00EB233B" w:rsidRDefault="00EB233B" w:rsidP="00EB233B">
      <w:pPr>
        <w:spacing w:after="0" w:line="360" w:lineRule="auto"/>
        <w:jc w:val="center"/>
        <w:rPr>
          <w:rFonts w:ascii="Arial" w:eastAsia="Calibri" w:hAnsi="Arial" w:cs="Arial"/>
          <w:b/>
          <w:sz w:val="24"/>
          <w:szCs w:val="24"/>
        </w:rPr>
      </w:pPr>
      <w:r w:rsidRPr="00EB233B">
        <w:rPr>
          <w:rFonts w:ascii="Arial" w:eastAsia="Calibri" w:hAnsi="Arial" w:cs="Arial"/>
          <w:b/>
          <w:sz w:val="24"/>
          <w:szCs w:val="24"/>
        </w:rPr>
        <w:t>JUDGMENT</w:t>
      </w:r>
    </w:p>
    <w:p w:rsidR="00EB233B" w:rsidRPr="00EB233B" w:rsidRDefault="0053469C" w:rsidP="00656B46">
      <w:pPr>
        <w:spacing w:after="0" w:line="360" w:lineRule="auto"/>
        <w:jc w:val="center"/>
        <w:rPr>
          <w:rFonts w:ascii="Arial" w:eastAsia="Calibri" w:hAnsi="Arial" w:cs="Arial"/>
          <w:b/>
          <w:sz w:val="24"/>
          <w:szCs w:val="24"/>
        </w:rPr>
      </w:pPr>
      <w:r>
        <w:rPr>
          <w:rFonts w:ascii="Arial" w:eastAsia="Calibri" w:hAnsi="Arial" w:cs="Arial"/>
          <w:bCs/>
          <w:sz w:val="24"/>
          <w:szCs w:val="24"/>
        </w:rPr>
        <w:pict>
          <v:rect id="_x0000_i1028" style="width:0;height:1.5pt" o:hralign="center" o:hrstd="t" o:hr="t" fillcolor="#a0a0a0" stroked="f"/>
        </w:pict>
      </w:r>
    </w:p>
    <w:p w:rsidR="00EB233B" w:rsidRDefault="00EB233B" w:rsidP="00EB233B">
      <w:pPr>
        <w:spacing w:after="0" w:line="360" w:lineRule="auto"/>
        <w:ind w:left="1440" w:hanging="1440"/>
        <w:jc w:val="both"/>
        <w:rPr>
          <w:rFonts w:ascii="Arial" w:eastAsia="Calibri" w:hAnsi="Arial" w:cs="Arial"/>
          <w:sz w:val="24"/>
          <w:szCs w:val="24"/>
        </w:rPr>
      </w:pPr>
      <w:r w:rsidRPr="00EB233B">
        <w:rPr>
          <w:rFonts w:ascii="Arial" w:eastAsia="Calibri" w:hAnsi="Arial" w:cs="Arial"/>
          <w:sz w:val="24"/>
          <w:szCs w:val="24"/>
        </w:rPr>
        <w:t>PARKER AJ:</w:t>
      </w:r>
    </w:p>
    <w:p w:rsidR="00DF1C7D" w:rsidRDefault="00DF1C7D" w:rsidP="00EB233B">
      <w:pPr>
        <w:spacing w:after="0" w:line="360" w:lineRule="auto"/>
        <w:ind w:left="1440" w:hanging="1440"/>
        <w:jc w:val="both"/>
        <w:rPr>
          <w:rFonts w:ascii="Arial" w:eastAsia="Calibri" w:hAnsi="Arial" w:cs="Arial"/>
          <w:sz w:val="24"/>
          <w:szCs w:val="24"/>
        </w:rPr>
      </w:pPr>
    </w:p>
    <w:p w:rsidR="00824B99" w:rsidRDefault="00824B99" w:rsidP="00824B99">
      <w:pPr>
        <w:tabs>
          <w:tab w:val="left" w:pos="720"/>
          <w:tab w:val="left" w:pos="2268"/>
        </w:tabs>
        <w:spacing w:after="0" w:line="360" w:lineRule="auto"/>
        <w:jc w:val="both"/>
        <w:rPr>
          <w:rFonts w:ascii="Arial" w:eastAsia="Times New Roman" w:hAnsi="Arial" w:cs="Arial"/>
          <w:sz w:val="24"/>
          <w:szCs w:val="24"/>
          <w:lang w:val="en-GB"/>
        </w:rPr>
      </w:pPr>
      <w:r w:rsidRPr="00824B99">
        <w:rPr>
          <w:rFonts w:ascii="Arial" w:eastAsia="Times New Roman" w:hAnsi="Arial" w:cs="Arial"/>
          <w:sz w:val="24"/>
          <w:szCs w:val="24"/>
          <w:lang w:val="en-GB"/>
        </w:rPr>
        <w:lastRenderedPageBreak/>
        <w:t>[1]</w:t>
      </w:r>
      <w:r>
        <w:rPr>
          <w:rFonts w:ascii="Arial" w:eastAsia="Times New Roman" w:hAnsi="Arial" w:cs="Arial"/>
          <w:sz w:val="24"/>
          <w:szCs w:val="24"/>
          <w:lang w:val="en-GB"/>
        </w:rPr>
        <w:tab/>
        <w:t>Plaintiff is a State</w:t>
      </w:r>
      <w:r w:rsidR="00417F3E">
        <w:rPr>
          <w:rFonts w:ascii="Arial" w:eastAsia="Times New Roman" w:hAnsi="Arial" w:cs="Arial"/>
          <w:sz w:val="24"/>
          <w:szCs w:val="24"/>
          <w:lang w:val="en-GB"/>
        </w:rPr>
        <w:t>-</w:t>
      </w:r>
      <w:r>
        <w:rPr>
          <w:rFonts w:ascii="Arial" w:eastAsia="Times New Roman" w:hAnsi="Arial" w:cs="Arial"/>
          <w:sz w:val="24"/>
          <w:szCs w:val="24"/>
          <w:lang w:val="en-GB"/>
        </w:rPr>
        <w:t>Owned Enterprise (‘SOE’), which means, i</w:t>
      </w:r>
      <w:r w:rsidR="00417F3E">
        <w:rPr>
          <w:rFonts w:ascii="Arial" w:eastAsia="Times New Roman" w:hAnsi="Arial" w:cs="Arial"/>
          <w:sz w:val="24"/>
          <w:szCs w:val="24"/>
          <w:lang w:val="en-GB"/>
        </w:rPr>
        <w:t>n</w:t>
      </w:r>
      <w:r>
        <w:rPr>
          <w:rFonts w:ascii="Arial" w:eastAsia="Times New Roman" w:hAnsi="Arial" w:cs="Arial"/>
          <w:sz w:val="24"/>
          <w:szCs w:val="24"/>
          <w:lang w:val="en-GB"/>
        </w:rPr>
        <w:t xml:space="preserve"> common </w:t>
      </w:r>
      <w:r w:rsidR="00417F3E">
        <w:rPr>
          <w:rFonts w:ascii="Arial" w:eastAsia="Times New Roman" w:hAnsi="Arial" w:cs="Arial"/>
          <w:sz w:val="24"/>
          <w:szCs w:val="24"/>
          <w:lang w:val="en-GB"/>
        </w:rPr>
        <w:t>parlance</w:t>
      </w:r>
      <w:r>
        <w:rPr>
          <w:rFonts w:ascii="Arial" w:eastAsia="Times New Roman" w:hAnsi="Arial" w:cs="Arial"/>
          <w:sz w:val="24"/>
          <w:szCs w:val="24"/>
          <w:lang w:val="en-GB"/>
        </w:rPr>
        <w:t xml:space="preserve">, that plaintiff belongs to the State.  </w:t>
      </w:r>
      <w:r w:rsidR="00417F3E">
        <w:rPr>
          <w:rFonts w:ascii="Arial" w:eastAsia="Times New Roman" w:hAnsi="Arial" w:cs="Arial"/>
          <w:sz w:val="24"/>
          <w:szCs w:val="24"/>
          <w:lang w:val="en-GB"/>
        </w:rPr>
        <w:t>At all material</w:t>
      </w:r>
      <w:r>
        <w:rPr>
          <w:rFonts w:ascii="Arial" w:eastAsia="Times New Roman" w:hAnsi="Arial" w:cs="Arial"/>
          <w:sz w:val="24"/>
          <w:szCs w:val="24"/>
          <w:lang w:val="en-GB"/>
        </w:rPr>
        <w:t xml:space="preserve"> </w:t>
      </w:r>
      <w:proofErr w:type="gramStart"/>
      <w:r>
        <w:rPr>
          <w:rFonts w:ascii="Arial" w:eastAsia="Times New Roman" w:hAnsi="Arial" w:cs="Arial"/>
          <w:sz w:val="24"/>
          <w:szCs w:val="24"/>
          <w:lang w:val="en-GB"/>
        </w:rPr>
        <w:t>tim</w:t>
      </w:r>
      <w:r w:rsidR="00417F3E">
        <w:rPr>
          <w:rFonts w:ascii="Arial" w:eastAsia="Times New Roman" w:hAnsi="Arial" w:cs="Arial"/>
          <w:sz w:val="24"/>
          <w:szCs w:val="24"/>
          <w:lang w:val="en-GB"/>
        </w:rPr>
        <w:t>es</w:t>
      </w:r>
      <w:proofErr w:type="gramEnd"/>
      <w:r>
        <w:rPr>
          <w:rFonts w:ascii="Arial" w:eastAsia="Times New Roman" w:hAnsi="Arial" w:cs="Arial"/>
          <w:sz w:val="24"/>
          <w:szCs w:val="24"/>
          <w:lang w:val="en-GB"/>
        </w:rPr>
        <w:t xml:space="preserve"> plaintiff’s received funding from these three sources only:</w:t>
      </w:r>
    </w:p>
    <w:p w:rsidR="00DF1C7D" w:rsidRDefault="00DF1C7D" w:rsidP="00824B99">
      <w:pPr>
        <w:tabs>
          <w:tab w:val="left" w:pos="720"/>
          <w:tab w:val="left" w:pos="2268"/>
        </w:tabs>
        <w:spacing w:after="0" w:line="360" w:lineRule="auto"/>
        <w:jc w:val="both"/>
        <w:rPr>
          <w:rFonts w:ascii="Arial" w:eastAsia="Times New Roman" w:hAnsi="Arial" w:cs="Arial"/>
          <w:sz w:val="24"/>
          <w:szCs w:val="24"/>
          <w:lang w:val="en-GB"/>
        </w:rPr>
      </w:pPr>
    </w:p>
    <w:p w:rsidR="00824B99" w:rsidRPr="00DF1C7D" w:rsidRDefault="00824B99" w:rsidP="00DF1C7D">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r w:rsidRPr="00DF1C7D">
        <w:rPr>
          <w:rFonts w:ascii="Arial" w:eastAsia="Times New Roman" w:hAnsi="Arial" w:cs="Arial"/>
          <w:sz w:val="24"/>
          <w:szCs w:val="24"/>
          <w:lang w:val="en-GB"/>
        </w:rPr>
        <w:t>initially from the European Union as a grant</w:t>
      </w:r>
      <w:r w:rsidR="001E7006" w:rsidRPr="00DF1C7D">
        <w:rPr>
          <w:rFonts w:ascii="Arial" w:eastAsia="Times New Roman" w:hAnsi="Arial" w:cs="Arial"/>
          <w:sz w:val="24"/>
          <w:szCs w:val="24"/>
          <w:lang w:val="en-GB"/>
        </w:rPr>
        <w:t xml:space="preserve"> in the amount of N$ 32 million;</w:t>
      </w:r>
    </w:p>
    <w:p w:rsidR="00DF1C7D" w:rsidRPr="00DF1C7D" w:rsidRDefault="00DF1C7D" w:rsidP="00DF1C7D">
      <w:pPr>
        <w:pStyle w:val="ListParagraph"/>
        <w:tabs>
          <w:tab w:val="left" w:pos="720"/>
          <w:tab w:val="left" w:pos="2268"/>
        </w:tabs>
        <w:spacing w:after="0" w:line="360" w:lineRule="auto"/>
        <w:ind w:hanging="720"/>
        <w:jc w:val="both"/>
        <w:rPr>
          <w:rFonts w:ascii="Arial" w:eastAsia="Times New Roman" w:hAnsi="Arial" w:cs="Arial"/>
          <w:sz w:val="24"/>
          <w:szCs w:val="24"/>
          <w:lang w:val="en-GB"/>
        </w:rPr>
      </w:pPr>
    </w:p>
    <w:p w:rsidR="001E7006" w:rsidRPr="00DF1C7D" w:rsidRDefault="001E7006" w:rsidP="00DF1C7D">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r w:rsidRPr="00DF1C7D">
        <w:rPr>
          <w:rFonts w:ascii="Arial" w:eastAsia="Times New Roman" w:hAnsi="Arial" w:cs="Arial"/>
          <w:sz w:val="24"/>
          <w:szCs w:val="24"/>
          <w:lang w:val="en-GB"/>
        </w:rPr>
        <w:t xml:space="preserve">from the central Government; and </w:t>
      </w:r>
    </w:p>
    <w:p w:rsidR="00DF1C7D" w:rsidRPr="00DF1C7D" w:rsidRDefault="00DF1C7D" w:rsidP="00DF1C7D">
      <w:pPr>
        <w:tabs>
          <w:tab w:val="left" w:pos="720"/>
          <w:tab w:val="left" w:pos="2268"/>
        </w:tabs>
        <w:spacing w:after="0" w:line="360" w:lineRule="auto"/>
        <w:ind w:hanging="720"/>
        <w:jc w:val="both"/>
        <w:rPr>
          <w:rFonts w:ascii="Arial" w:eastAsia="Times New Roman" w:hAnsi="Arial" w:cs="Arial"/>
          <w:sz w:val="24"/>
          <w:szCs w:val="24"/>
          <w:lang w:val="en-GB"/>
        </w:rPr>
      </w:pPr>
    </w:p>
    <w:p w:rsidR="00DF1C7D" w:rsidRPr="00DF1C7D" w:rsidRDefault="001E7006" w:rsidP="00DF1C7D">
      <w:pPr>
        <w:pStyle w:val="ListParagraph"/>
        <w:numPr>
          <w:ilvl w:val="0"/>
          <w:numId w:val="2"/>
        </w:numPr>
        <w:tabs>
          <w:tab w:val="left" w:pos="720"/>
          <w:tab w:val="left" w:pos="2268"/>
        </w:tabs>
        <w:spacing w:after="0" w:line="360" w:lineRule="auto"/>
        <w:ind w:hanging="720"/>
        <w:jc w:val="both"/>
        <w:rPr>
          <w:rFonts w:ascii="Arial" w:eastAsia="Times New Roman" w:hAnsi="Arial" w:cs="Arial"/>
          <w:sz w:val="24"/>
          <w:szCs w:val="24"/>
          <w:lang w:val="en-GB"/>
        </w:rPr>
      </w:pPr>
      <w:proofErr w:type="gramStart"/>
      <w:r w:rsidRPr="00DF1C7D">
        <w:rPr>
          <w:rFonts w:ascii="Arial" w:eastAsia="Times New Roman" w:hAnsi="Arial" w:cs="Arial"/>
          <w:sz w:val="24"/>
          <w:szCs w:val="24"/>
          <w:lang w:val="en-GB"/>
        </w:rPr>
        <w:t>from</w:t>
      </w:r>
      <w:proofErr w:type="gramEnd"/>
      <w:r w:rsidRPr="00DF1C7D">
        <w:rPr>
          <w:rFonts w:ascii="Arial" w:eastAsia="Times New Roman" w:hAnsi="Arial" w:cs="Arial"/>
          <w:sz w:val="24"/>
          <w:szCs w:val="24"/>
          <w:lang w:val="en-GB"/>
        </w:rPr>
        <w:t xml:space="preserve"> interest</w:t>
      </w:r>
      <w:r w:rsidR="00417F3E" w:rsidRPr="00DF1C7D">
        <w:rPr>
          <w:rFonts w:ascii="Arial" w:eastAsia="Times New Roman" w:hAnsi="Arial" w:cs="Arial"/>
          <w:sz w:val="24"/>
          <w:szCs w:val="24"/>
          <w:lang w:val="en-GB"/>
        </w:rPr>
        <w:t>-</w:t>
      </w:r>
      <w:r w:rsidRPr="00DF1C7D">
        <w:rPr>
          <w:rFonts w:ascii="Arial" w:eastAsia="Times New Roman" w:hAnsi="Arial" w:cs="Arial"/>
          <w:sz w:val="24"/>
          <w:szCs w:val="24"/>
          <w:lang w:val="en-GB"/>
        </w:rPr>
        <w:t>bearing investments.</w:t>
      </w:r>
    </w:p>
    <w:p w:rsidR="001E7006" w:rsidRDefault="001E7006" w:rsidP="00824B99">
      <w:pPr>
        <w:tabs>
          <w:tab w:val="left" w:pos="720"/>
          <w:tab w:val="left" w:pos="2268"/>
        </w:tabs>
        <w:spacing w:after="0" w:line="360" w:lineRule="auto"/>
        <w:jc w:val="both"/>
        <w:rPr>
          <w:rFonts w:ascii="Arial" w:eastAsia="Times New Roman" w:hAnsi="Arial" w:cs="Arial"/>
          <w:sz w:val="24"/>
          <w:szCs w:val="24"/>
          <w:lang w:val="en-GB"/>
        </w:rPr>
      </w:pPr>
    </w:p>
    <w:p w:rsidR="001E7006" w:rsidRDefault="001E7006" w:rsidP="003C3F2E">
      <w:pPr>
        <w:tabs>
          <w:tab w:val="left" w:pos="720"/>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[2]</w:t>
      </w:r>
      <w:r>
        <w:rPr>
          <w:rFonts w:ascii="Arial" w:eastAsia="Times New Roman" w:hAnsi="Arial" w:cs="Arial"/>
          <w:sz w:val="24"/>
          <w:szCs w:val="24"/>
          <w:lang w:val="en-GB"/>
        </w:rPr>
        <w:tab/>
        <w:t>These facts came out in the evidence of Mr Bu</w:t>
      </w:r>
      <w:r w:rsidR="003C3F2E">
        <w:rPr>
          <w:rFonts w:ascii="Arial" w:eastAsia="Times New Roman" w:hAnsi="Arial" w:cs="Arial"/>
          <w:sz w:val="24"/>
          <w:szCs w:val="24"/>
          <w:lang w:val="en-GB"/>
        </w:rPr>
        <w:t>rmeister</w:t>
      </w:r>
      <w:r w:rsidR="00196D21">
        <w:rPr>
          <w:rFonts w:ascii="Arial" w:eastAsia="Times New Roman" w:hAnsi="Arial" w:cs="Arial"/>
          <w:sz w:val="24"/>
          <w:szCs w:val="24"/>
          <w:lang w:val="en-GB"/>
        </w:rPr>
        <w:t xml:space="preserve"> (plaintiff witness)</w:t>
      </w:r>
      <w:r w:rsidR="003C3F2E">
        <w:rPr>
          <w:rFonts w:ascii="Arial" w:eastAsia="Times New Roman" w:hAnsi="Arial" w:cs="Arial"/>
          <w:sz w:val="24"/>
          <w:szCs w:val="24"/>
          <w:lang w:val="en-GB"/>
        </w:rPr>
        <w:t xml:space="preserve"> who must know because B</w:t>
      </w:r>
      <w:r>
        <w:rPr>
          <w:rFonts w:ascii="Arial" w:eastAsia="Times New Roman" w:hAnsi="Arial" w:cs="Arial"/>
          <w:sz w:val="24"/>
          <w:szCs w:val="24"/>
          <w:lang w:val="en-GB"/>
        </w:rPr>
        <w:t xml:space="preserve">urmeister was the chairperson of plaintiff at the </w:t>
      </w:r>
      <w:r w:rsidR="00417F3E">
        <w:rPr>
          <w:rFonts w:ascii="Arial" w:eastAsia="Times New Roman" w:hAnsi="Arial" w:cs="Arial"/>
          <w:sz w:val="24"/>
          <w:szCs w:val="24"/>
          <w:lang w:val="en-GB"/>
        </w:rPr>
        <w:t>relevant</w:t>
      </w:r>
      <w:r>
        <w:rPr>
          <w:rFonts w:ascii="Arial" w:eastAsia="Times New Roman" w:hAnsi="Arial" w:cs="Arial"/>
          <w:sz w:val="24"/>
          <w:szCs w:val="24"/>
          <w:lang w:val="en-GB"/>
        </w:rPr>
        <w:t xml:space="preserve"> time.  There is no evidence tending to establish anything contrary as respects these facts.</w:t>
      </w:r>
    </w:p>
    <w:p w:rsidR="001E7006" w:rsidRDefault="001E7006" w:rsidP="001E7006">
      <w:pPr>
        <w:tabs>
          <w:tab w:val="left" w:pos="720"/>
          <w:tab w:val="left" w:pos="2268"/>
        </w:tabs>
        <w:spacing w:after="0" w:line="360" w:lineRule="auto"/>
        <w:jc w:val="both"/>
        <w:rPr>
          <w:rFonts w:ascii="Arial" w:eastAsia="Times New Roman" w:hAnsi="Arial" w:cs="Arial"/>
          <w:sz w:val="24"/>
          <w:szCs w:val="24"/>
          <w:lang w:val="en-GB"/>
        </w:rPr>
      </w:pPr>
    </w:p>
    <w:p w:rsidR="001E7006" w:rsidRDefault="001E7006" w:rsidP="001E700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[3]</w:t>
      </w:r>
      <w:r>
        <w:rPr>
          <w:rFonts w:ascii="Arial" w:eastAsia="Times New Roman" w:hAnsi="Arial" w:cs="Arial"/>
          <w:sz w:val="24"/>
          <w:szCs w:val="24"/>
          <w:lang w:val="en-GB"/>
        </w:rPr>
        <w:tab/>
        <w:t>Other important aspects of the case that emerge from the evidence concern the relationship</w:t>
      </w:r>
      <w:r w:rsidR="003C3F2E">
        <w:rPr>
          <w:rFonts w:ascii="Arial" w:eastAsia="Times New Roman" w:hAnsi="Arial" w:cs="Arial"/>
          <w:sz w:val="24"/>
          <w:szCs w:val="24"/>
          <w:lang w:val="en-GB"/>
        </w:rPr>
        <w:t xml:space="preserve"> between plaintiff and another SOE, namely, the National Development Corporation (‘NDC’).</w:t>
      </w:r>
    </w:p>
    <w:p w:rsidR="003C3F2E" w:rsidRDefault="003C3F2E" w:rsidP="001E7006">
      <w:pPr>
        <w:tabs>
          <w:tab w:val="left" w:pos="720"/>
          <w:tab w:val="left" w:pos="2268"/>
        </w:tabs>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They </w:t>
      </w:r>
      <w:r w:rsidR="00221E0D">
        <w:rPr>
          <w:rFonts w:ascii="Arial" w:eastAsia="Times New Roman" w:hAnsi="Arial" w:cs="Arial"/>
          <w:sz w:val="24"/>
          <w:szCs w:val="24"/>
          <w:lang w:val="en-GB"/>
        </w:rPr>
        <w:t>are thes</w:t>
      </w:r>
      <w:r>
        <w:rPr>
          <w:rFonts w:ascii="Arial" w:eastAsia="Times New Roman" w:hAnsi="Arial" w:cs="Arial"/>
          <w:sz w:val="24"/>
          <w:szCs w:val="24"/>
          <w:lang w:val="en-GB"/>
        </w:rPr>
        <w:t>e:</w:t>
      </w:r>
    </w:p>
    <w:p w:rsidR="00DF1C7D" w:rsidRDefault="00DF1C7D" w:rsidP="001E7006">
      <w:pPr>
        <w:tabs>
          <w:tab w:val="left" w:pos="720"/>
          <w:tab w:val="left" w:pos="2268"/>
        </w:tabs>
        <w:spacing w:after="0" w:line="360" w:lineRule="auto"/>
        <w:jc w:val="both"/>
        <w:rPr>
          <w:rFonts w:ascii="Arial" w:eastAsia="Times New Roman" w:hAnsi="Arial" w:cs="Arial"/>
          <w:sz w:val="24"/>
          <w:szCs w:val="24"/>
          <w:lang w:val="en-GB"/>
        </w:rPr>
      </w:pPr>
    </w:p>
    <w:p w:rsidR="003C3F2E" w:rsidRDefault="003C3F2E" w:rsidP="00DF1C7D">
      <w:pPr>
        <w:tabs>
          <w:tab w:val="left" w:pos="720"/>
          <w:tab w:val="left" w:pos="2268"/>
        </w:tabs>
        <w:spacing w:after="0" w:line="360" w:lineRule="auto"/>
        <w:ind w:left="720" w:hanging="720"/>
        <w:jc w:val="both"/>
        <w:rPr>
          <w:rFonts w:ascii="Arial" w:eastAsia="Times New Roman" w:hAnsi="Arial" w:cs="Arial"/>
          <w:sz w:val="24"/>
          <w:szCs w:val="24"/>
          <w:lang w:val="en-GB"/>
        </w:rPr>
      </w:pPr>
      <w:r w:rsidRPr="00221E0D">
        <w:rPr>
          <w:rFonts w:ascii="Arial" w:eastAsia="Times New Roman" w:hAnsi="Arial" w:cs="Arial"/>
          <w:sz w:val="24"/>
          <w:szCs w:val="24"/>
          <w:lang w:val="en-GB"/>
        </w:rPr>
        <w:t xml:space="preserve">(a) </w:t>
      </w:r>
      <w:r w:rsidR="00DF1C7D">
        <w:rPr>
          <w:rFonts w:ascii="Arial" w:eastAsia="Times New Roman" w:hAnsi="Arial" w:cs="Arial"/>
          <w:sz w:val="24"/>
          <w:szCs w:val="24"/>
          <w:lang w:val="en-GB"/>
        </w:rPr>
        <w:tab/>
      </w:r>
      <w:r w:rsidRPr="00221E0D">
        <w:rPr>
          <w:rFonts w:ascii="Arial" w:eastAsia="Times New Roman" w:hAnsi="Arial" w:cs="Arial"/>
          <w:sz w:val="24"/>
          <w:szCs w:val="24"/>
          <w:lang w:val="en-GB"/>
        </w:rPr>
        <w:t>NDC was the parent company to plaintiff</w:t>
      </w:r>
      <w:r w:rsidR="00417F3E">
        <w:rPr>
          <w:rFonts w:ascii="Arial" w:eastAsia="Times New Roman" w:hAnsi="Arial" w:cs="Arial"/>
          <w:sz w:val="24"/>
          <w:szCs w:val="24"/>
          <w:lang w:val="en-GB"/>
        </w:rPr>
        <w:t>,</w:t>
      </w:r>
      <w:r w:rsidRPr="00221E0D">
        <w:rPr>
          <w:rFonts w:ascii="Arial" w:eastAsia="Times New Roman" w:hAnsi="Arial" w:cs="Arial"/>
          <w:sz w:val="24"/>
          <w:szCs w:val="24"/>
          <w:lang w:val="en-GB"/>
        </w:rPr>
        <w:t xml:space="preserve"> as a subsidiary company; </w:t>
      </w:r>
    </w:p>
    <w:p w:rsidR="00221E0D" w:rsidRPr="00221E0D" w:rsidRDefault="00221E0D" w:rsidP="00DF1C7D">
      <w:pPr>
        <w:tabs>
          <w:tab w:val="left" w:pos="720"/>
          <w:tab w:val="left" w:pos="2268"/>
        </w:tabs>
        <w:spacing w:after="0" w:line="360" w:lineRule="auto"/>
        <w:ind w:left="720" w:hanging="720"/>
        <w:jc w:val="both"/>
        <w:rPr>
          <w:rFonts w:ascii="Arial" w:eastAsia="Times New Roman" w:hAnsi="Arial" w:cs="Arial"/>
          <w:sz w:val="24"/>
          <w:szCs w:val="24"/>
          <w:lang w:val="en-GB"/>
        </w:rPr>
      </w:pPr>
    </w:p>
    <w:p w:rsidR="00221E0D" w:rsidRPr="00221E0D" w:rsidRDefault="003C3F2E" w:rsidP="00DF1C7D">
      <w:pPr>
        <w:tabs>
          <w:tab w:val="left" w:pos="720"/>
          <w:tab w:val="left" w:pos="2268"/>
        </w:tabs>
        <w:spacing w:after="0" w:line="360" w:lineRule="auto"/>
        <w:ind w:left="720" w:hanging="720"/>
        <w:jc w:val="both"/>
        <w:rPr>
          <w:rFonts w:ascii="Arial" w:eastAsia="Times New Roman" w:hAnsi="Arial" w:cs="Arial"/>
          <w:sz w:val="24"/>
          <w:szCs w:val="24"/>
          <w:lang w:val="en-GB"/>
        </w:rPr>
      </w:pPr>
      <w:r w:rsidRPr="00221E0D">
        <w:rPr>
          <w:rFonts w:ascii="Arial" w:eastAsia="Times New Roman" w:hAnsi="Arial" w:cs="Arial"/>
          <w:sz w:val="24"/>
          <w:szCs w:val="24"/>
          <w:lang w:val="en-GB"/>
        </w:rPr>
        <w:t xml:space="preserve">(b) </w:t>
      </w:r>
      <w:r w:rsidR="00DF1C7D">
        <w:rPr>
          <w:rFonts w:ascii="Arial" w:eastAsia="Times New Roman" w:hAnsi="Arial" w:cs="Arial"/>
          <w:sz w:val="24"/>
          <w:szCs w:val="24"/>
          <w:lang w:val="en-GB"/>
        </w:rPr>
        <w:tab/>
      </w:r>
      <w:r w:rsidRPr="00221E0D">
        <w:rPr>
          <w:rFonts w:ascii="Arial" w:eastAsia="Times New Roman" w:hAnsi="Arial" w:cs="Arial"/>
          <w:sz w:val="24"/>
          <w:szCs w:val="24"/>
          <w:lang w:val="en-GB"/>
        </w:rPr>
        <w:t xml:space="preserve">Mr </w:t>
      </w:r>
      <w:proofErr w:type="spellStart"/>
      <w:r w:rsidRPr="00221E0D">
        <w:rPr>
          <w:rFonts w:ascii="Arial" w:eastAsia="Times New Roman" w:hAnsi="Arial" w:cs="Arial"/>
          <w:sz w:val="24"/>
          <w:szCs w:val="24"/>
          <w:lang w:val="en-GB"/>
        </w:rPr>
        <w:t>Burmeister</w:t>
      </w:r>
      <w:proofErr w:type="spellEnd"/>
      <w:r w:rsidRPr="00221E0D">
        <w:rPr>
          <w:rFonts w:ascii="Arial" w:eastAsia="Times New Roman" w:hAnsi="Arial" w:cs="Arial"/>
          <w:sz w:val="24"/>
          <w:szCs w:val="24"/>
          <w:lang w:val="en-GB"/>
        </w:rPr>
        <w:t xml:space="preserve"> (a plaintiff witness) was at the relevant time the chairperson of  </w:t>
      </w:r>
    </w:p>
    <w:p w:rsidR="00221E0D" w:rsidRDefault="00221E0D" w:rsidP="00DF1C7D">
      <w:pPr>
        <w:tabs>
          <w:tab w:val="left" w:pos="720"/>
          <w:tab w:val="left" w:pos="2268"/>
        </w:tabs>
        <w:spacing w:after="0" w:line="360" w:lineRule="auto"/>
        <w:ind w:left="720" w:hanging="720"/>
        <w:jc w:val="both"/>
        <w:rPr>
          <w:rFonts w:ascii="Arial" w:eastAsia="Times New Roman" w:hAnsi="Arial" w:cs="Arial"/>
          <w:sz w:val="24"/>
          <w:szCs w:val="24"/>
          <w:lang w:val="en-GB"/>
        </w:rPr>
      </w:pPr>
      <w:r w:rsidRPr="00221E0D">
        <w:rPr>
          <w:rFonts w:ascii="Arial" w:eastAsia="Times New Roman" w:hAnsi="Arial" w:cs="Arial"/>
          <w:sz w:val="24"/>
          <w:szCs w:val="24"/>
          <w:lang w:val="en-GB"/>
        </w:rPr>
        <w:t xml:space="preserve">     </w:t>
      </w:r>
      <w:r w:rsidR="00DF1C7D">
        <w:rPr>
          <w:rFonts w:ascii="Arial" w:eastAsia="Times New Roman" w:hAnsi="Arial" w:cs="Arial"/>
          <w:sz w:val="24"/>
          <w:szCs w:val="24"/>
          <w:lang w:val="en-GB"/>
        </w:rPr>
        <w:tab/>
      </w:r>
      <w:proofErr w:type="gramStart"/>
      <w:r w:rsidRPr="00221E0D">
        <w:rPr>
          <w:rFonts w:ascii="Arial" w:eastAsia="Times New Roman" w:hAnsi="Arial" w:cs="Arial"/>
          <w:sz w:val="24"/>
          <w:szCs w:val="24"/>
          <w:lang w:val="en-GB"/>
        </w:rPr>
        <w:t>the</w:t>
      </w:r>
      <w:proofErr w:type="gramEnd"/>
      <w:r w:rsidRPr="00221E0D">
        <w:rPr>
          <w:rFonts w:ascii="Arial" w:eastAsia="Times New Roman" w:hAnsi="Arial" w:cs="Arial"/>
          <w:sz w:val="24"/>
          <w:szCs w:val="24"/>
          <w:lang w:val="en-GB"/>
        </w:rPr>
        <w:t xml:space="preserve"> Board of Directors of plaintiff.</w:t>
      </w:r>
      <w:r w:rsidR="003C3F2E" w:rsidRPr="00221E0D">
        <w:rPr>
          <w:rFonts w:ascii="Arial" w:eastAsia="Times New Roman" w:hAnsi="Arial" w:cs="Arial"/>
          <w:sz w:val="24"/>
          <w:szCs w:val="24"/>
          <w:lang w:val="en-GB"/>
        </w:rPr>
        <w:t xml:space="preserve">        </w:t>
      </w:r>
    </w:p>
    <w:p w:rsidR="007A61EC" w:rsidRDefault="007A61EC" w:rsidP="00DF1C7D">
      <w:pPr>
        <w:tabs>
          <w:tab w:val="left" w:pos="720"/>
          <w:tab w:val="left" w:pos="2268"/>
        </w:tabs>
        <w:spacing w:after="0" w:line="360" w:lineRule="auto"/>
        <w:ind w:left="720" w:hanging="720"/>
        <w:jc w:val="both"/>
        <w:rPr>
          <w:rFonts w:ascii="Arial" w:eastAsia="Times New Roman" w:hAnsi="Arial" w:cs="Arial"/>
          <w:sz w:val="24"/>
          <w:szCs w:val="24"/>
          <w:lang w:val="en-GB"/>
        </w:rPr>
      </w:pPr>
    </w:p>
    <w:p w:rsidR="00F94E54" w:rsidRPr="00221E0D" w:rsidRDefault="003C3F2E" w:rsidP="00DF1C7D">
      <w:pPr>
        <w:tabs>
          <w:tab w:val="left" w:pos="720"/>
          <w:tab w:val="left" w:pos="2268"/>
        </w:tabs>
        <w:spacing w:after="0" w:line="360" w:lineRule="auto"/>
        <w:ind w:left="720" w:hanging="720"/>
        <w:jc w:val="both"/>
        <w:rPr>
          <w:rFonts w:ascii="Arial" w:eastAsia="Times New Roman" w:hAnsi="Arial" w:cs="Arial"/>
          <w:sz w:val="24"/>
          <w:szCs w:val="24"/>
          <w:lang w:val="en-GB"/>
        </w:rPr>
      </w:pPr>
      <w:r w:rsidRPr="00221E0D">
        <w:rPr>
          <w:rFonts w:ascii="Arial" w:eastAsia="Times New Roman" w:hAnsi="Arial" w:cs="Arial"/>
          <w:sz w:val="24"/>
          <w:szCs w:val="24"/>
          <w:lang w:val="en-GB"/>
        </w:rPr>
        <w:t xml:space="preserve">(c) </w:t>
      </w:r>
      <w:r w:rsidR="00DF1C7D">
        <w:rPr>
          <w:rFonts w:ascii="Arial" w:eastAsia="Times New Roman" w:hAnsi="Arial" w:cs="Arial"/>
          <w:sz w:val="24"/>
          <w:szCs w:val="24"/>
          <w:lang w:val="en-GB"/>
        </w:rPr>
        <w:tab/>
      </w:r>
      <w:r w:rsidRPr="00221E0D">
        <w:rPr>
          <w:rFonts w:ascii="Arial" w:eastAsia="Times New Roman" w:hAnsi="Arial" w:cs="Arial"/>
          <w:sz w:val="24"/>
          <w:szCs w:val="24"/>
          <w:lang w:val="en-GB"/>
        </w:rPr>
        <w:t>There was Mr A.P. Ndishishi, from the Ministry of Trade and Industry (‘MTI’</w:t>
      </w:r>
      <w:r w:rsidR="00C60D2A" w:rsidRPr="00221E0D">
        <w:rPr>
          <w:rFonts w:ascii="Arial" w:eastAsia="Times New Roman" w:hAnsi="Arial" w:cs="Arial"/>
          <w:sz w:val="24"/>
          <w:szCs w:val="24"/>
          <w:lang w:val="en-GB"/>
        </w:rPr>
        <w:t xml:space="preserve">),                 </w:t>
      </w:r>
    </w:p>
    <w:p w:rsidR="00221E0D" w:rsidRDefault="007A61EC" w:rsidP="00DF1C7D">
      <w:pPr>
        <w:tabs>
          <w:tab w:val="left" w:pos="720"/>
        </w:tabs>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DF1C7D">
        <w:rPr>
          <w:rFonts w:ascii="Arial" w:eastAsia="Times New Roman" w:hAnsi="Arial" w:cs="Arial"/>
          <w:sz w:val="24"/>
          <w:szCs w:val="24"/>
          <w:lang w:val="en-GB"/>
        </w:rPr>
        <w:tab/>
      </w:r>
      <w:proofErr w:type="gramStart"/>
      <w:r w:rsidR="00221E0D" w:rsidRPr="00221E0D">
        <w:rPr>
          <w:rFonts w:ascii="Arial" w:eastAsia="Times New Roman" w:hAnsi="Arial" w:cs="Arial"/>
          <w:sz w:val="24"/>
          <w:szCs w:val="24"/>
          <w:lang w:val="en-GB"/>
        </w:rPr>
        <w:t>as</w:t>
      </w:r>
      <w:proofErr w:type="gramEnd"/>
      <w:r w:rsidR="00221E0D" w:rsidRPr="00221E0D">
        <w:rPr>
          <w:rFonts w:ascii="Arial" w:eastAsia="Times New Roman" w:hAnsi="Arial" w:cs="Arial"/>
          <w:sz w:val="24"/>
          <w:szCs w:val="24"/>
          <w:lang w:val="en-GB"/>
        </w:rPr>
        <w:t xml:space="preserve"> a Board Member of plaintiff, with Mr D</w:t>
      </w:r>
      <w:r w:rsidR="00417F3E">
        <w:rPr>
          <w:rFonts w:ascii="Arial" w:eastAsia="Times New Roman" w:hAnsi="Arial" w:cs="Arial"/>
          <w:sz w:val="24"/>
          <w:szCs w:val="24"/>
          <w:lang w:val="en-GB"/>
        </w:rPr>
        <w:t>.</w:t>
      </w:r>
      <w:r w:rsidR="00221E0D" w:rsidRPr="00221E0D">
        <w:rPr>
          <w:rFonts w:ascii="Arial" w:eastAsia="Times New Roman" w:hAnsi="Arial" w:cs="Arial"/>
          <w:sz w:val="24"/>
          <w:szCs w:val="24"/>
          <w:lang w:val="en-GB"/>
        </w:rPr>
        <w:t xml:space="preserve"> </w:t>
      </w:r>
      <w:proofErr w:type="spellStart"/>
      <w:r w:rsidR="00221E0D" w:rsidRPr="00221E0D">
        <w:rPr>
          <w:rFonts w:ascii="Arial" w:eastAsia="Times New Roman" w:hAnsi="Arial" w:cs="Arial"/>
          <w:sz w:val="24"/>
          <w:szCs w:val="24"/>
          <w:lang w:val="en-GB"/>
        </w:rPr>
        <w:t>Nuuyoma</w:t>
      </w:r>
      <w:proofErr w:type="spellEnd"/>
      <w:r w:rsidR="00221E0D" w:rsidRPr="00221E0D">
        <w:rPr>
          <w:rFonts w:ascii="Arial" w:eastAsia="Times New Roman" w:hAnsi="Arial" w:cs="Arial"/>
          <w:sz w:val="24"/>
          <w:szCs w:val="24"/>
          <w:lang w:val="en-GB"/>
        </w:rPr>
        <w:t>, also from MTI</w:t>
      </w:r>
      <w:r w:rsidR="00417F3E">
        <w:rPr>
          <w:rFonts w:ascii="Arial" w:eastAsia="Times New Roman" w:hAnsi="Arial" w:cs="Arial"/>
          <w:sz w:val="24"/>
          <w:szCs w:val="24"/>
          <w:lang w:val="en-GB"/>
        </w:rPr>
        <w:t>,</w:t>
      </w:r>
      <w:r w:rsidR="00221E0D" w:rsidRPr="00221E0D">
        <w:rPr>
          <w:rFonts w:ascii="Arial" w:eastAsia="Times New Roman" w:hAnsi="Arial" w:cs="Arial"/>
          <w:sz w:val="24"/>
          <w:szCs w:val="24"/>
          <w:lang w:val="en-GB"/>
        </w:rPr>
        <w:t xml:space="preserve"> as an </w:t>
      </w:r>
      <w:r>
        <w:rPr>
          <w:rFonts w:ascii="Arial" w:eastAsia="Times New Roman" w:hAnsi="Arial" w:cs="Arial"/>
          <w:sz w:val="24"/>
          <w:szCs w:val="24"/>
          <w:lang w:val="en-GB"/>
        </w:rPr>
        <w:t xml:space="preserve"> </w:t>
      </w:r>
      <w:r w:rsidR="00221E0D" w:rsidRPr="00221E0D">
        <w:rPr>
          <w:rFonts w:ascii="Arial" w:eastAsia="Times New Roman" w:hAnsi="Arial" w:cs="Arial"/>
          <w:sz w:val="24"/>
          <w:szCs w:val="24"/>
          <w:lang w:val="en-GB"/>
        </w:rPr>
        <w:t xml:space="preserve">alternate </w:t>
      </w:r>
      <w:r>
        <w:rPr>
          <w:rFonts w:ascii="Arial" w:eastAsia="Times New Roman" w:hAnsi="Arial" w:cs="Arial"/>
          <w:sz w:val="24"/>
          <w:szCs w:val="24"/>
          <w:lang w:val="en-GB"/>
        </w:rPr>
        <w:t xml:space="preserve"> </w:t>
      </w:r>
      <w:r w:rsidR="00221E0D" w:rsidRPr="00221E0D">
        <w:rPr>
          <w:rFonts w:ascii="Arial" w:eastAsia="Times New Roman" w:hAnsi="Arial" w:cs="Arial"/>
          <w:sz w:val="24"/>
          <w:szCs w:val="24"/>
          <w:lang w:val="en-GB"/>
        </w:rPr>
        <w:t>member of plaintiff</w:t>
      </w:r>
      <w:r w:rsidR="00417F3E">
        <w:rPr>
          <w:rFonts w:ascii="Arial" w:eastAsia="Times New Roman" w:hAnsi="Arial" w:cs="Arial"/>
          <w:sz w:val="24"/>
          <w:szCs w:val="24"/>
          <w:lang w:val="en-GB"/>
        </w:rPr>
        <w:t>’s</w:t>
      </w:r>
      <w:r w:rsidR="00221E0D" w:rsidRPr="00221E0D">
        <w:rPr>
          <w:rFonts w:ascii="Arial" w:eastAsia="Times New Roman" w:hAnsi="Arial" w:cs="Arial"/>
          <w:sz w:val="24"/>
          <w:szCs w:val="24"/>
          <w:lang w:val="en-GB"/>
        </w:rPr>
        <w:t xml:space="preserve"> Board.</w:t>
      </w:r>
    </w:p>
    <w:p w:rsidR="00221E0D" w:rsidRPr="00221E0D" w:rsidRDefault="00221E0D" w:rsidP="00DF1C7D">
      <w:pPr>
        <w:tabs>
          <w:tab w:val="left" w:pos="720"/>
          <w:tab w:val="left" w:pos="2268"/>
        </w:tabs>
        <w:spacing w:after="0" w:line="360" w:lineRule="auto"/>
        <w:ind w:left="720" w:hanging="720"/>
        <w:jc w:val="both"/>
        <w:rPr>
          <w:rFonts w:ascii="Arial" w:eastAsia="Times New Roman" w:hAnsi="Arial" w:cs="Arial"/>
          <w:sz w:val="24"/>
          <w:szCs w:val="24"/>
          <w:lang w:val="en-GB"/>
        </w:rPr>
      </w:pPr>
    </w:p>
    <w:p w:rsidR="00221E0D" w:rsidRDefault="00C60D2A" w:rsidP="00DF1C7D">
      <w:pPr>
        <w:tabs>
          <w:tab w:val="left" w:pos="720"/>
        </w:tabs>
        <w:spacing w:after="0" w:line="360" w:lineRule="auto"/>
        <w:ind w:left="720" w:hanging="720"/>
        <w:jc w:val="both"/>
        <w:rPr>
          <w:rFonts w:ascii="Arial" w:eastAsia="Times New Roman" w:hAnsi="Arial" w:cs="Arial"/>
          <w:sz w:val="24"/>
          <w:szCs w:val="24"/>
          <w:lang w:val="en-GB"/>
        </w:rPr>
      </w:pPr>
      <w:r w:rsidRPr="00221E0D">
        <w:rPr>
          <w:rFonts w:ascii="Arial" w:eastAsia="Times New Roman" w:hAnsi="Arial" w:cs="Arial"/>
          <w:sz w:val="24"/>
          <w:szCs w:val="24"/>
          <w:lang w:val="en-GB"/>
        </w:rPr>
        <w:t xml:space="preserve">(d) </w:t>
      </w:r>
      <w:r w:rsidR="00DF1C7D">
        <w:rPr>
          <w:rFonts w:ascii="Arial" w:eastAsia="Times New Roman" w:hAnsi="Arial" w:cs="Arial"/>
          <w:sz w:val="24"/>
          <w:szCs w:val="24"/>
          <w:lang w:val="en-GB"/>
        </w:rPr>
        <w:tab/>
      </w:r>
      <w:proofErr w:type="spellStart"/>
      <w:r w:rsidRPr="00221E0D">
        <w:rPr>
          <w:rFonts w:ascii="Arial" w:eastAsia="Times New Roman" w:hAnsi="Arial" w:cs="Arial"/>
          <w:sz w:val="24"/>
          <w:szCs w:val="24"/>
          <w:lang w:val="en-GB"/>
        </w:rPr>
        <w:t>Burmeister</w:t>
      </w:r>
      <w:proofErr w:type="spellEnd"/>
      <w:r w:rsidRPr="00221E0D">
        <w:rPr>
          <w:rFonts w:ascii="Arial" w:eastAsia="Times New Roman" w:hAnsi="Arial" w:cs="Arial"/>
          <w:sz w:val="24"/>
          <w:szCs w:val="24"/>
          <w:lang w:val="en-GB"/>
        </w:rPr>
        <w:t xml:space="preserve"> and </w:t>
      </w:r>
      <w:proofErr w:type="spellStart"/>
      <w:r w:rsidRPr="00221E0D">
        <w:rPr>
          <w:rFonts w:ascii="Arial" w:eastAsia="Times New Roman" w:hAnsi="Arial" w:cs="Arial"/>
          <w:sz w:val="24"/>
          <w:szCs w:val="24"/>
          <w:lang w:val="en-GB"/>
        </w:rPr>
        <w:t>Ndishishi</w:t>
      </w:r>
      <w:proofErr w:type="spellEnd"/>
      <w:r w:rsidRPr="00221E0D">
        <w:rPr>
          <w:rFonts w:ascii="Arial" w:eastAsia="Times New Roman" w:hAnsi="Arial" w:cs="Arial"/>
          <w:sz w:val="24"/>
          <w:szCs w:val="24"/>
          <w:lang w:val="en-GB"/>
        </w:rPr>
        <w:t xml:space="preserve"> were present most of the time at plaintiff’s Board </w:t>
      </w:r>
      <w:r w:rsidR="007A61EC">
        <w:rPr>
          <w:rFonts w:ascii="Arial" w:eastAsia="Times New Roman" w:hAnsi="Arial" w:cs="Arial"/>
          <w:sz w:val="24"/>
          <w:szCs w:val="24"/>
          <w:lang w:val="en-GB"/>
        </w:rPr>
        <w:t xml:space="preserve">         </w:t>
      </w:r>
    </w:p>
    <w:p w:rsidR="007A61EC" w:rsidRDefault="007A61EC" w:rsidP="00DF1C7D">
      <w:pPr>
        <w:tabs>
          <w:tab w:val="left" w:pos="720"/>
        </w:tabs>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DF1C7D">
        <w:rPr>
          <w:rFonts w:ascii="Arial" w:eastAsia="Times New Roman" w:hAnsi="Arial" w:cs="Arial"/>
          <w:sz w:val="24"/>
          <w:szCs w:val="24"/>
          <w:lang w:val="en-GB"/>
        </w:rPr>
        <w:tab/>
      </w:r>
      <w:r w:rsidRPr="00221E0D">
        <w:rPr>
          <w:rFonts w:ascii="Arial" w:eastAsia="Times New Roman" w:hAnsi="Arial" w:cs="Arial"/>
          <w:sz w:val="24"/>
          <w:szCs w:val="24"/>
          <w:lang w:val="en-GB"/>
        </w:rPr>
        <w:t xml:space="preserve">Meetings; and what is more, Burmeister and Ndishishi were most active in the </w:t>
      </w:r>
    </w:p>
    <w:p w:rsidR="00F94E54" w:rsidRPr="007A61EC" w:rsidRDefault="007A61EC" w:rsidP="00DF1C7D">
      <w:pPr>
        <w:tabs>
          <w:tab w:val="left" w:pos="720"/>
        </w:tabs>
        <w:spacing w:after="0" w:line="360" w:lineRule="auto"/>
        <w:ind w:left="720" w:hanging="720"/>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00DF1C7D">
        <w:rPr>
          <w:rFonts w:ascii="Arial" w:eastAsia="Times New Roman" w:hAnsi="Arial" w:cs="Arial"/>
          <w:sz w:val="24"/>
          <w:szCs w:val="24"/>
          <w:lang w:val="en-GB"/>
        </w:rPr>
        <w:tab/>
      </w:r>
      <w:proofErr w:type="gramStart"/>
      <w:r w:rsidR="00417F3E" w:rsidRPr="00221E0D">
        <w:rPr>
          <w:rFonts w:ascii="Arial" w:eastAsia="Times New Roman" w:hAnsi="Arial" w:cs="Arial"/>
          <w:sz w:val="24"/>
          <w:szCs w:val="24"/>
          <w:lang w:val="en-GB"/>
        </w:rPr>
        <w:t xml:space="preserve">Board </w:t>
      </w:r>
      <w:r w:rsidR="00417F3E">
        <w:rPr>
          <w:rFonts w:ascii="Arial" w:eastAsia="Times New Roman" w:hAnsi="Arial" w:cs="Arial"/>
          <w:sz w:val="24"/>
          <w:szCs w:val="24"/>
          <w:lang w:val="en-GB"/>
        </w:rPr>
        <w:t>management of plaintiff.</w:t>
      </w:r>
      <w:proofErr w:type="gramEnd"/>
    </w:p>
    <w:p w:rsidR="00824B99" w:rsidRDefault="00C60D2A" w:rsidP="00DF1C7D">
      <w:pPr>
        <w:pStyle w:val="NoSpacing"/>
        <w:tabs>
          <w:tab w:val="left" w:pos="720"/>
        </w:tabs>
        <w:spacing w:line="360" w:lineRule="auto"/>
        <w:ind w:left="720" w:hanging="720"/>
        <w:jc w:val="both"/>
        <w:rPr>
          <w:rFonts w:ascii="Arial" w:hAnsi="Arial" w:cs="Arial"/>
          <w:sz w:val="24"/>
          <w:szCs w:val="24"/>
          <w:lang w:val="en-GB"/>
        </w:rPr>
      </w:pPr>
      <w:r w:rsidRPr="00C60D2A">
        <w:rPr>
          <w:rFonts w:ascii="Arial" w:hAnsi="Arial" w:cs="Arial"/>
          <w:sz w:val="24"/>
          <w:szCs w:val="24"/>
          <w:lang w:val="en-GB"/>
        </w:rPr>
        <w:lastRenderedPageBreak/>
        <w:t>(e)</w:t>
      </w:r>
      <w:r w:rsidR="00221E0D">
        <w:rPr>
          <w:rFonts w:ascii="Arial" w:hAnsi="Arial" w:cs="Arial"/>
          <w:sz w:val="24"/>
          <w:szCs w:val="24"/>
          <w:lang w:val="en-GB"/>
        </w:rPr>
        <w:t xml:space="preserve">  </w:t>
      </w:r>
      <w:r w:rsidR="00DF1C7D">
        <w:rPr>
          <w:rFonts w:ascii="Arial" w:hAnsi="Arial" w:cs="Arial"/>
          <w:sz w:val="24"/>
          <w:szCs w:val="24"/>
          <w:lang w:val="en-GB"/>
        </w:rPr>
        <w:tab/>
      </w:r>
      <w:r w:rsidRPr="00C60D2A">
        <w:rPr>
          <w:rFonts w:ascii="Arial" w:hAnsi="Arial" w:cs="Arial"/>
          <w:sz w:val="24"/>
          <w:szCs w:val="24"/>
          <w:lang w:val="en-GB"/>
        </w:rPr>
        <w:t xml:space="preserve">Mr A.S. </w:t>
      </w:r>
      <w:proofErr w:type="spellStart"/>
      <w:r w:rsidRPr="00C60D2A">
        <w:rPr>
          <w:rFonts w:ascii="Arial" w:hAnsi="Arial" w:cs="Arial"/>
          <w:sz w:val="24"/>
          <w:szCs w:val="24"/>
          <w:lang w:val="en-GB"/>
        </w:rPr>
        <w:t>Aboobakar</w:t>
      </w:r>
      <w:proofErr w:type="spellEnd"/>
      <w:r w:rsidRPr="00C60D2A">
        <w:rPr>
          <w:rFonts w:ascii="Arial" w:hAnsi="Arial" w:cs="Arial"/>
          <w:sz w:val="24"/>
          <w:szCs w:val="24"/>
          <w:lang w:val="en-GB"/>
        </w:rPr>
        <w:t xml:space="preserve"> was the Chief Executive Officer (‘CEO’) of both plaintiff</w:t>
      </w:r>
      <w:r>
        <w:rPr>
          <w:rFonts w:ascii="Arial" w:hAnsi="Arial" w:cs="Arial"/>
          <w:sz w:val="24"/>
          <w:szCs w:val="24"/>
          <w:lang w:val="en-GB"/>
        </w:rPr>
        <w:t xml:space="preserve"> and </w:t>
      </w:r>
    </w:p>
    <w:p w:rsidR="00F94E54" w:rsidRDefault="00221E0D" w:rsidP="00DF1C7D">
      <w:pPr>
        <w:pStyle w:val="NoSpacing"/>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 xml:space="preserve">      </w:t>
      </w:r>
      <w:r w:rsidR="00DF1C7D">
        <w:rPr>
          <w:rFonts w:ascii="Arial" w:hAnsi="Arial" w:cs="Arial"/>
          <w:sz w:val="24"/>
          <w:szCs w:val="24"/>
          <w:lang w:val="en-GB"/>
        </w:rPr>
        <w:tab/>
      </w:r>
      <w:proofErr w:type="gramStart"/>
      <w:r w:rsidR="00F94E54">
        <w:rPr>
          <w:rFonts w:ascii="Arial" w:hAnsi="Arial" w:cs="Arial"/>
          <w:sz w:val="24"/>
          <w:szCs w:val="24"/>
          <w:lang w:val="en-GB"/>
        </w:rPr>
        <w:t>NDC, as well as a member of the Board of Plaintiff.</w:t>
      </w:r>
      <w:proofErr w:type="gramEnd"/>
      <w:r w:rsidR="00F94E54">
        <w:rPr>
          <w:rFonts w:ascii="Arial" w:hAnsi="Arial" w:cs="Arial"/>
          <w:sz w:val="24"/>
          <w:szCs w:val="24"/>
          <w:lang w:val="en-GB"/>
        </w:rPr>
        <w:t xml:space="preserve">  In the result, Aboobakar was </w:t>
      </w:r>
    </w:p>
    <w:p w:rsidR="00F94E54" w:rsidRDefault="00221E0D" w:rsidP="00DF1C7D">
      <w:pPr>
        <w:pStyle w:val="NoSpacing"/>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 xml:space="preserve">      </w:t>
      </w:r>
      <w:r w:rsidR="00DF1C7D">
        <w:rPr>
          <w:rFonts w:ascii="Arial" w:hAnsi="Arial" w:cs="Arial"/>
          <w:sz w:val="24"/>
          <w:szCs w:val="24"/>
          <w:lang w:val="en-GB"/>
        </w:rPr>
        <w:tab/>
      </w:r>
      <w:proofErr w:type="gramStart"/>
      <w:r w:rsidR="00F94E54">
        <w:rPr>
          <w:rFonts w:ascii="Arial" w:hAnsi="Arial" w:cs="Arial"/>
          <w:sz w:val="24"/>
          <w:szCs w:val="24"/>
          <w:lang w:val="en-GB"/>
        </w:rPr>
        <w:t>also</w:t>
      </w:r>
      <w:proofErr w:type="gramEnd"/>
      <w:r w:rsidR="00F94E54">
        <w:rPr>
          <w:rFonts w:ascii="Arial" w:hAnsi="Arial" w:cs="Arial"/>
          <w:sz w:val="24"/>
          <w:szCs w:val="24"/>
          <w:lang w:val="en-GB"/>
        </w:rPr>
        <w:t xml:space="preserve"> part of the executive management of plaintiff, on top of being a member of </w:t>
      </w:r>
    </w:p>
    <w:p w:rsidR="00F94E54" w:rsidRDefault="00221E0D" w:rsidP="00DF1C7D">
      <w:pPr>
        <w:pStyle w:val="NoSpacing"/>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 xml:space="preserve">      </w:t>
      </w:r>
      <w:r w:rsidR="00DF1C7D">
        <w:rPr>
          <w:rFonts w:ascii="Arial" w:hAnsi="Arial" w:cs="Arial"/>
          <w:sz w:val="24"/>
          <w:szCs w:val="24"/>
          <w:lang w:val="en-GB"/>
        </w:rPr>
        <w:tab/>
      </w:r>
      <w:proofErr w:type="gramStart"/>
      <w:r w:rsidR="00F94E54">
        <w:rPr>
          <w:rFonts w:ascii="Arial" w:hAnsi="Arial" w:cs="Arial"/>
          <w:sz w:val="24"/>
          <w:szCs w:val="24"/>
          <w:lang w:val="en-GB"/>
        </w:rPr>
        <w:t>plaintiff’s</w:t>
      </w:r>
      <w:proofErr w:type="gramEnd"/>
      <w:r w:rsidR="00F94E54">
        <w:rPr>
          <w:rFonts w:ascii="Arial" w:hAnsi="Arial" w:cs="Arial"/>
          <w:sz w:val="24"/>
          <w:szCs w:val="24"/>
          <w:lang w:val="en-GB"/>
        </w:rPr>
        <w:t xml:space="preserve"> Board of Directors.</w:t>
      </w:r>
    </w:p>
    <w:p w:rsidR="00F94E54" w:rsidRDefault="00F94E54" w:rsidP="00F94E54">
      <w:pPr>
        <w:pStyle w:val="NoSpacing"/>
        <w:spacing w:line="360" w:lineRule="auto"/>
        <w:rPr>
          <w:rFonts w:ascii="Arial" w:hAnsi="Arial" w:cs="Arial"/>
          <w:sz w:val="24"/>
          <w:szCs w:val="24"/>
          <w:lang w:val="en-GB"/>
        </w:rPr>
      </w:pPr>
    </w:p>
    <w:p w:rsidR="00F94E54" w:rsidRDefault="00F94E54" w:rsidP="00F94E54">
      <w:pPr>
        <w:pStyle w:val="NoSpacing"/>
        <w:tabs>
          <w:tab w:val="left" w:pos="432"/>
          <w:tab w:val="left" w:pos="720"/>
        </w:tabs>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Pr>
          <w:rFonts w:ascii="Arial" w:hAnsi="Arial" w:cs="Arial"/>
          <w:sz w:val="24"/>
          <w:szCs w:val="24"/>
          <w:lang w:val="en-GB"/>
        </w:rPr>
        <w:tab/>
        <w:t>Plaintiff</w:t>
      </w:r>
      <w:r w:rsidR="00417F3E">
        <w:rPr>
          <w:rFonts w:ascii="Arial" w:hAnsi="Arial" w:cs="Arial"/>
          <w:sz w:val="24"/>
          <w:szCs w:val="24"/>
          <w:lang w:val="en-GB"/>
        </w:rPr>
        <w:t xml:space="preserve"> claims</w:t>
      </w:r>
      <w:r w:rsidR="00570378">
        <w:rPr>
          <w:rFonts w:ascii="Arial" w:hAnsi="Arial" w:cs="Arial"/>
          <w:sz w:val="24"/>
          <w:szCs w:val="24"/>
          <w:lang w:val="en-GB"/>
        </w:rPr>
        <w:t xml:space="preserve"> against defendant for N$65m</w:t>
      </w:r>
      <w:r>
        <w:rPr>
          <w:rFonts w:ascii="Arial" w:hAnsi="Arial" w:cs="Arial"/>
          <w:sz w:val="24"/>
          <w:szCs w:val="24"/>
          <w:lang w:val="en-GB"/>
        </w:rPr>
        <w:t xml:space="preserve">, representing a loss allegedly suffered by plaintiff and caused by defendant and arising from defendant’s breaching its contractual obligations respecting </w:t>
      </w:r>
      <w:r w:rsidR="00417F3E">
        <w:rPr>
          <w:rFonts w:ascii="Arial" w:hAnsi="Arial" w:cs="Arial"/>
          <w:sz w:val="24"/>
          <w:szCs w:val="24"/>
          <w:lang w:val="en-GB"/>
        </w:rPr>
        <w:t>defendant’s</w:t>
      </w:r>
      <w:r>
        <w:rPr>
          <w:rFonts w:ascii="Arial" w:hAnsi="Arial" w:cs="Arial"/>
          <w:sz w:val="24"/>
          <w:szCs w:val="24"/>
          <w:lang w:val="en-GB"/>
        </w:rPr>
        <w:t xml:space="preserve"> audit of plaintiff’s financial statements for the year ending February 2003.</w:t>
      </w:r>
    </w:p>
    <w:p w:rsidR="00F94E54" w:rsidRDefault="00F94E54" w:rsidP="00F94E54">
      <w:pPr>
        <w:pStyle w:val="NoSpacing"/>
        <w:tabs>
          <w:tab w:val="left" w:pos="432"/>
          <w:tab w:val="left" w:pos="720"/>
        </w:tabs>
        <w:spacing w:line="360" w:lineRule="auto"/>
        <w:jc w:val="both"/>
        <w:rPr>
          <w:rFonts w:ascii="Arial" w:hAnsi="Arial" w:cs="Arial"/>
          <w:sz w:val="24"/>
          <w:szCs w:val="24"/>
          <w:lang w:val="en-GB"/>
        </w:rPr>
      </w:pPr>
    </w:p>
    <w:p w:rsidR="0084669D" w:rsidRDefault="0084669D" w:rsidP="00F94E54">
      <w:pPr>
        <w:pStyle w:val="NoSpacing"/>
        <w:tabs>
          <w:tab w:val="left" w:pos="432"/>
          <w:tab w:val="left" w:pos="720"/>
        </w:tabs>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Pr>
          <w:rFonts w:ascii="Arial" w:hAnsi="Arial" w:cs="Arial"/>
          <w:sz w:val="24"/>
          <w:szCs w:val="24"/>
          <w:lang w:val="en-GB"/>
        </w:rPr>
        <w:tab/>
        <w:t xml:space="preserve">In the course of the proceedings when what remained in respect of plaintiff’s case was the adducing of expert-witness-evidence, both counsel, that is, Mr </w:t>
      </w:r>
      <w:r w:rsidR="00DA0830">
        <w:rPr>
          <w:rFonts w:ascii="Arial" w:hAnsi="Arial" w:cs="Arial"/>
          <w:sz w:val="24"/>
          <w:szCs w:val="24"/>
          <w:lang w:val="en-GB"/>
        </w:rPr>
        <w:t>Subel</w:t>
      </w:r>
      <w:r>
        <w:rPr>
          <w:rFonts w:ascii="Arial" w:hAnsi="Arial" w:cs="Arial"/>
          <w:sz w:val="24"/>
          <w:szCs w:val="24"/>
          <w:lang w:val="en-GB"/>
        </w:rPr>
        <w:t xml:space="preserve"> SC (</w:t>
      </w:r>
      <w:r w:rsidR="00417F3E">
        <w:rPr>
          <w:rFonts w:ascii="Arial" w:hAnsi="Arial" w:cs="Arial"/>
          <w:sz w:val="24"/>
          <w:szCs w:val="24"/>
          <w:lang w:val="en-GB"/>
        </w:rPr>
        <w:t>a</w:t>
      </w:r>
      <w:r>
        <w:rPr>
          <w:rFonts w:ascii="Arial" w:hAnsi="Arial" w:cs="Arial"/>
          <w:sz w:val="24"/>
          <w:szCs w:val="24"/>
          <w:lang w:val="en-GB"/>
        </w:rPr>
        <w:t>ssisted by Ms Schimming-Chase SC) for plaintiff, and Mr Van der Nest SC (assisted by Mr Heathcote SC) for defendant, raised a special case for adjudication</w:t>
      </w:r>
      <w:r w:rsidR="00417F3E">
        <w:rPr>
          <w:rFonts w:ascii="Arial" w:hAnsi="Arial" w:cs="Arial"/>
          <w:sz w:val="24"/>
          <w:szCs w:val="24"/>
          <w:lang w:val="en-GB"/>
        </w:rPr>
        <w:t xml:space="preserve"> on</w:t>
      </w:r>
      <w:r>
        <w:rPr>
          <w:rFonts w:ascii="Arial" w:hAnsi="Arial" w:cs="Arial"/>
          <w:sz w:val="24"/>
          <w:szCs w:val="24"/>
          <w:lang w:val="en-GB"/>
        </w:rPr>
        <w:t xml:space="preserve"> in terms of rule 63 of the rules of court.  Both counsel submitted comprehensive written submissions, apart from oral submissions.  I am grateful for their commendable industry.</w:t>
      </w:r>
    </w:p>
    <w:p w:rsidR="00210D39" w:rsidRDefault="00210D39" w:rsidP="00F94E54">
      <w:pPr>
        <w:pStyle w:val="NoSpacing"/>
        <w:tabs>
          <w:tab w:val="left" w:pos="432"/>
          <w:tab w:val="left" w:pos="720"/>
        </w:tabs>
        <w:spacing w:line="360" w:lineRule="auto"/>
        <w:jc w:val="both"/>
        <w:rPr>
          <w:rFonts w:ascii="Arial" w:hAnsi="Arial" w:cs="Arial"/>
          <w:sz w:val="24"/>
          <w:szCs w:val="24"/>
          <w:lang w:val="en-GB"/>
        </w:rPr>
      </w:pPr>
    </w:p>
    <w:p w:rsidR="00210D39" w:rsidRDefault="0033430B" w:rsidP="00F94E54">
      <w:pPr>
        <w:pStyle w:val="NoSpacing"/>
        <w:tabs>
          <w:tab w:val="left" w:pos="432"/>
          <w:tab w:val="left" w:pos="720"/>
        </w:tabs>
        <w:spacing w:line="360" w:lineRule="auto"/>
        <w:jc w:val="both"/>
        <w:rPr>
          <w:rFonts w:ascii="Arial" w:hAnsi="Arial" w:cs="Arial"/>
          <w:sz w:val="24"/>
          <w:szCs w:val="24"/>
          <w:lang w:val="en-GB"/>
        </w:rPr>
      </w:pPr>
      <w:r>
        <w:rPr>
          <w:rFonts w:ascii="Arial" w:hAnsi="Arial" w:cs="Arial"/>
          <w:sz w:val="24"/>
          <w:szCs w:val="24"/>
          <w:lang w:val="en-GB"/>
        </w:rPr>
        <w:t>[6</w:t>
      </w:r>
      <w:r w:rsidR="00210D39">
        <w:rPr>
          <w:rFonts w:ascii="Arial" w:hAnsi="Arial" w:cs="Arial"/>
          <w:sz w:val="24"/>
          <w:szCs w:val="24"/>
          <w:lang w:val="en-GB"/>
        </w:rPr>
        <w:t>]</w:t>
      </w:r>
      <w:r w:rsidR="00210D39">
        <w:rPr>
          <w:rFonts w:ascii="Arial" w:hAnsi="Arial" w:cs="Arial"/>
          <w:sz w:val="24"/>
          <w:szCs w:val="24"/>
          <w:lang w:val="en-GB"/>
        </w:rPr>
        <w:tab/>
      </w:r>
      <w:r w:rsidR="00210D39">
        <w:rPr>
          <w:rFonts w:ascii="Arial" w:hAnsi="Arial" w:cs="Arial"/>
          <w:sz w:val="24"/>
          <w:szCs w:val="24"/>
          <w:lang w:val="en-GB"/>
        </w:rPr>
        <w:tab/>
        <w:t>The separated issue</w:t>
      </w:r>
      <w:r w:rsidR="00417F3E">
        <w:rPr>
          <w:rFonts w:ascii="Arial" w:hAnsi="Arial" w:cs="Arial"/>
          <w:sz w:val="24"/>
          <w:szCs w:val="24"/>
          <w:lang w:val="en-GB"/>
        </w:rPr>
        <w:t>s</w:t>
      </w:r>
      <w:r w:rsidR="00210D39">
        <w:rPr>
          <w:rFonts w:ascii="Arial" w:hAnsi="Arial" w:cs="Arial"/>
          <w:sz w:val="24"/>
          <w:szCs w:val="24"/>
          <w:lang w:val="en-GB"/>
        </w:rPr>
        <w:t xml:space="preserve"> raised at that stage of the proceedings </w:t>
      </w:r>
      <w:r w:rsidR="00417F3E">
        <w:rPr>
          <w:rFonts w:ascii="Arial" w:hAnsi="Arial" w:cs="Arial"/>
          <w:sz w:val="24"/>
          <w:szCs w:val="24"/>
          <w:lang w:val="en-GB"/>
        </w:rPr>
        <w:t>are</w:t>
      </w:r>
      <w:r w:rsidR="00210D39">
        <w:rPr>
          <w:rFonts w:ascii="Arial" w:hAnsi="Arial" w:cs="Arial"/>
          <w:sz w:val="24"/>
          <w:szCs w:val="24"/>
          <w:lang w:val="en-GB"/>
        </w:rPr>
        <w:t xml:space="preserve"> whether</w:t>
      </w:r>
      <w:r>
        <w:rPr>
          <w:rFonts w:ascii="Arial" w:hAnsi="Arial" w:cs="Arial"/>
          <w:sz w:val="24"/>
          <w:szCs w:val="24"/>
          <w:lang w:val="en-GB"/>
        </w:rPr>
        <w:t xml:space="preserve"> plaintiff proved that it suffered a loss, and, if it suffered a loss, whether plaintiff has proved </w:t>
      </w:r>
      <w:r w:rsidR="00417F3E">
        <w:rPr>
          <w:rFonts w:ascii="Arial" w:hAnsi="Arial" w:cs="Arial"/>
          <w:sz w:val="24"/>
          <w:szCs w:val="24"/>
          <w:lang w:val="en-GB"/>
        </w:rPr>
        <w:t xml:space="preserve">its loss and </w:t>
      </w:r>
      <w:r>
        <w:rPr>
          <w:rFonts w:ascii="Arial" w:hAnsi="Arial" w:cs="Arial"/>
          <w:sz w:val="24"/>
          <w:szCs w:val="24"/>
          <w:lang w:val="en-GB"/>
        </w:rPr>
        <w:t xml:space="preserve">the quantum of </w:t>
      </w:r>
      <w:r w:rsidR="00417F3E">
        <w:rPr>
          <w:rFonts w:ascii="Arial" w:hAnsi="Arial" w:cs="Arial"/>
          <w:sz w:val="24"/>
          <w:szCs w:val="24"/>
          <w:lang w:val="en-GB"/>
        </w:rPr>
        <w:t>the</w:t>
      </w:r>
      <w:r>
        <w:rPr>
          <w:rFonts w:ascii="Arial" w:hAnsi="Arial" w:cs="Arial"/>
          <w:sz w:val="24"/>
          <w:szCs w:val="24"/>
          <w:lang w:val="en-GB"/>
        </w:rPr>
        <w:t xml:space="preserve"> loss.  Plaintiff pleads that if defendant had complied with its audit </w:t>
      </w:r>
      <w:r w:rsidR="0078641A">
        <w:rPr>
          <w:rFonts w:ascii="Arial" w:hAnsi="Arial" w:cs="Arial"/>
          <w:sz w:val="24"/>
          <w:szCs w:val="24"/>
          <w:lang w:val="en-GB"/>
        </w:rPr>
        <w:t xml:space="preserve">obligations, plaintiff would not have invested some N$65m with Great Triangle Investments (Pty) Ltd (‘GTI’) between April 2003 and January 2004, and that it would not have lost the N$65million which turned out to be an investment in a fraudulent investment scheme.  For defendant, N$55 million of the N$65 million loss claimed by the plaintiff does not represent loss suffered by plaintiff.  The reason is that, if loss was suffered, N$55 million was suffered by a separate thirty party, who has not claimed this from defendant, namely NDC.  Furthermore, N$7 million of the N$65 million loss claimed by the plaintiff does not represent </w:t>
      </w:r>
      <w:r w:rsidR="00417F3E">
        <w:rPr>
          <w:rFonts w:ascii="Arial" w:hAnsi="Arial" w:cs="Arial"/>
          <w:sz w:val="24"/>
          <w:szCs w:val="24"/>
          <w:lang w:val="en-GB"/>
        </w:rPr>
        <w:t>loss suffered by the plaintiff; for,</w:t>
      </w:r>
      <w:r w:rsidR="0078641A">
        <w:rPr>
          <w:rFonts w:ascii="Arial" w:hAnsi="Arial" w:cs="Arial"/>
          <w:sz w:val="24"/>
          <w:szCs w:val="24"/>
          <w:lang w:val="en-GB"/>
        </w:rPr>
        <w:t xml:space="preserve"> if loss was suffered, N$7 million was suffered by another separate third party, who has not claimed t</w:t>
      </w:r>
      <w:r w:rsidR="001F649E">
        <w:rPr>
          <w:rFonts w:ascii="Arial" w:hAnsi="Arial" w:cs="Arial"/>
          <w:sz w:val="24"/>
          <w:szCs w:val="24"/>
          <w:lang w:val="en-GB"/>
        </w:rPr>
        <w:t xml:space="preserve">his from defendant, namely </w:t>
      </w:r>
      <w:r w:rsidR="00755574">
        <w:rPr>
          <w:rFonts w:ascii="Arial" w:hAnsi="Arial" w:cs="Arial"/>
          <w:sz w:val="24"/>
          <w:szCs w:val="24"/>
          <w:lang w:val="en-GB"/>
        </w:rPr>
        <w:t>Silnam</w:t>
      </w:r>
      <w:r w:rsidR="0078641A">
        <w:rPr>
          <w:rFonts w:ascii="Arial" w:hAnsi="Arial" w:cs="Arial"/>
          <w:sz w:val="24"/>
          <w:szCs w:val="24"/>
          <w:lang w:val="en-GB"/>
        </w:rPr>
        <w:t xml:space="preserve"> Information Technologies (Pty) Limited. In any </w:t>
      </w:r>
      <w:r w:rsidR="0078641A">
        <w:rPr>
          <w:rFonts w:ascii="Arial" w:hAnsi="Arial" w:cs="Arial"/>
          <w:sz w:val="24"/>
          <w:szCs w:val="24"/>
          <w:lang w:val="en-GB"/>
        </w:rPr>
        <w:lastRenderedPageBreak/>
        <w:t>case, plaintiff has recovered amounts of no less that N$34 Million, alternatively N$15 million, from various parties, including the insolvent estate of Philip Andre Fourie, which has the effect of extinguishing the remainder of the plaintiff’s claim against the defendant.</w:t>
      </w:r>
    </w:p>
    <w:p w:rsidR="00FB6469" w:rsidRDefault="00FB6469" w:rsidP="00F94E54">
      <w:pPr>
        <w:pStyle w:val="NoSpacing"/>
        <w:tabs>
          <w:tab w:val="left" w:pos="432"/>
          <w:tab w:val="left" w:pos="720"/>
        </w:tabs>
        <w:spacing w:line="360" w:lineRule="auto"/>
        <w:jc w:val="both"/>
        <w:rPr>
          <w:rFonts w:ascii="Arial" w:hAnsi="Arial" w:cs="Arial"/>
          <w:sz w:val="24"/>
          <w:szCs w:val="24"/>
          <w:lang w:val="en-GB"/>
        </w:rPr>
      </w:pPr>
    </w:p>
    <w:p w:rsidR="00FB6469" w:rsidRDefault="00FB6469" w:rsidP="00F94E54">
      <w:pPr>
        <w:pStyle w:val="NoSpacing"/>
        <w:tabs>
          <w:tab w:val="left" w:pos="432"/>
          <w:tab w:val="left" w:pos="720"/>
        </w:tabs>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Pr>
          <w:rFonts w:ascii="Arial" w:hAnsi="Arial" w:cs="Arial"/>
          <w:sz w:val="24"/>
          <w:szCs w:val="24"/>
          <w:lang w:val="en-GB"/>
        </w:rPr>
        <w:tab/>
        <w:t>It follows that the separated issue</w:t>
      </w:r>
      <w:r w:rsidR="003D6642">
        <w:rPr>
          <w:rFonts w:ascii="Arial" w:hAnsi="Arial" w:cs="Arial"/>
          <w:sz w:val="24"/>
          <w:szCs w:val="24"/>
          <w:lang w:val="en-GB"/>
        </w:rPr>
        <w:t>s are</w:t>
      </w:r>
      <w:r>
        <w:rPr>
          <w:rFonts w:ascii="Arial" w:hAnsi="Arial" w:cs="Arial"/>
          <w:sz w:val="24"/>
          <w:szCs w:val="24"/>
          <w:lang w:val="en-GB"/>
        </w:rPr>
        <w:t xml:space="preserve"> not concerned with the question of whether defendant </w:t>
      </w:r>
      <w:r w:rsidR="009900CE">
        <w:rPr>
          <w:rFonts w:ascii="Arial" w:hAnsi="Arial" w:cs="Arial"/>
          <w:sz w:val="24"/>
          <w:szCs w:val="24"/>
          <w:lang w:val="en-GB"/>
        </w:rPr>
        <w:t>breached its contractual obligations towards plaintiff, or whether it was plaintiff’s conduct that caused it to suffer the loss claimed.  The separated issue</w:t>
      </w:r>
      <w:r w:rsidR="003D6642">
        <w:rPr>
          <w:rFonts w:ascii="Arial" w:hAnsi="Arial" w:cs="Arial"/>
          <w:sz w:val="24"/>
          <w:szCs w:val="24"/>
          <w:lang w:val="en-GB"/>
        </w:rPr>
        <w:t>s</w:t>
      </w:r>
      <w:r w:rsidR="009900CE">
        <w:rPr>
          <w:rFonts w:ascii="Arial" w:hAnsi="Arial" w:cs="Arial"/>
          <w:sz w:val="24"/>
          <w:szCs w:val="24"/>
          <w:lang w:val="en-GB"/>
        </w:rPr>
        <w:t xml:space="preserve"> concern this short and narrow question:  Has ODC proved a loss in either the amount of N$65</w:t>
      </w:r>
      <w:r w:rsidR="003D6642">
        <w:rPr>
          <w:rFonts w:ascii="Arial" w:hAnsi="Arial" w:cs="Arial"/>
          <w:sz w:val="24"/>
          <w:szCs w:val="24"/>
          <w:lang w:val="en-GB"/>
        </w:rPr>
        <w:t xml:space="preserve"> million</w:t>
      </w:r>
      <w:r w:rsidR="009900CE">
        <w:rPr>
          <w:rFonts w:ascii="Arial" w:hAnsi="Arial" w:cs="Arial"/>
          <w:sz w:val="24"/>
          <w:szCs w:val="24"/>
          <w:lang w:val="en-GB"/>
        </w:rPr>
        <w:t xml:space="preserve"> or a lesser amount? This, </w:t>
      </w:r>
      <w:r w:rsidR="003D6642">
        <w:rPr>
          <w:rFonts w:ascii="Arial" w:hAnsi="Arial" w:cs="Arial"/>
          <w:sz w:val="24"/>
          <w:szCs w:val="24"/>
          <w:lang w:val="en-GB"/>
        </w:rPr>
        <w:t>in my view</w:t>
      </w:r>
      <w:r w:rsidR="009900CE">
        <w:rPr>
          <w:rFonts w:ascii="Arial" w:hAnsi="Arial" w:cs="Arial"/>
          <w:sz w:val="24"/>
          <w:szCs w:val="24"/>
          <w:lang w:val="en-GB"/>
        </w:rPr>
        <w:t>, is</w:t>
      </w:r>
      <w:r w:rsidR="003D6642">
        <w:rPr>
          <w:rFonts w:ascii="Arial" w:hAnsi="Arial" w:cs="Arial"/>
          <w:sz w:val="24"/>
          <w:szCs w:val="24"/>
          <w:lang w:val="en-GB"/>
        </w:rPr>
        <w:t>, therefore,</w:t>
      </w:r>
      <w:r w:rsidR="009900CE">
        <w:rPr>
          <w:rFonts w:ascii="Arial" w:hAnsi="Arial" w:cs="Arial"/>
          <w:sz w:val="24"/>
          <w:szCs w:val="24"/>
          <w:lang w:val="en-GB"/>
        </w:rPr>
        <w:t xml:space="preserve"> the macro question that </w:t>
      </w:r>
      <w:r w:rsidR="003D6642">
        <w:rPr>
          <w:rFonts w:ascii="Arial" w:hAnsi="Arial" w:cs="Arial"/>
          <w:sz w:val="24"/>
          <w:szCs w:val="24"/>
          <w:lang w:val="en-GB"/>
        </w:rPr>
        <w:t xml:space="preserve">the </w:t>
      </w:r>
      <w:r w:rsidR="009900CE">
        <w:rPr>
          <w:rFonts w:ascii="Arial" w:hAnsi="Arial" w:cs="Arial"/>
          <w:sz w:val="24"/>
          <w:szCs w:val="24"/>
          <w:lang w:val="en-GB"/>
        </w:rPr>
        <w:t>court should answer:  Who suffered the loss and in what amount?</w:t>
      </w:r>
    </w:p>
    <w:p w:rsidR="00FE383E" w:rsidRDefault="00FE383E" w:rsidP="00F94E54">
      <w:pPr>
        <w:pStyle w:val="NoSpacing"/>
        <w:tabs>
          <w:tab w:val="left" w:pos="432"/>
          <w:tab w:val="left" w:pos="720"/>
        </w:tabs>
        <w:spacing w:line="360" w:lineRule="auto"/>
        <w:jc w:val="both"/>
        <w:rPr>
          <w:rFonts w:ascii="Arial" w:hAnsi="Arial" w:cs="Arial"/>
          <w:sz w:val="24"/>
          <w:szCs w:val="24"/>
          <w:lang w:val="en-GB"/>
        </w:rPr>
      </w:pPr>
    </w:p>
    <w:p w:rsidR="00FE383E" w:rsidRDefault="00FE383E" w:rsidP="00F94E54">
      <w:pPr>
        <w:pStyle w:val="NoSpacing"/>
        <w:tabs>
          <w:tab w:val="left" w:pos="432"/>
          <w:tab w:val="left" w:pos="720"/>
        </w:tabs>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Pr>
          <w:rFonts w:ascii="Arial" w:hAnsi="Arial" w:cs="Arial"/>
          <w:sz w:val="24"/>
          <w:szCs w:val="24"/>
          <w:lang w:val="en-GB"/>
        </w:rPr>
        <w:tab/>
        <w:t>I have set out para</w:t>
      </w:r>
      <w:r w:rsidR="003D6642">
        <w:rPr>
          <w:rFonts w:ascii="Arial" w:hAnsi="Arial" w:cs="Arial"/>
          <w:sz w:val="24"/>
          <w:szCs w:val="24"/>
          <w:lang w:val="en-GB"/>
        </w:rPr>
        <w:t xml:space="preserve"> 1</w:t>
      </w:r>
      <w:r>
        <w:rPr>
          <w:rFonts w:ascii="Arial" w:hAnsi="Arial" w:cs="Arial"/>
          <w:sz w:val="24"/>
          <w:szCs w:val="24"/>
          <w:lang w:val="en-GB"/>
        </w:rPr>
        <w:t xml:space="preserve"> above the three </w:t>
      </w:r>
      <w:r w:rsidR="003D6642">
        <w:rPr>
          <w:rFonts w:ascii="Arial" w:hAnsi="Arial" w:cs="Arial"/>
          <w:sz w:val="24"/>
          <w:szCs w:val="24"/>
          <w:lang w:val="en-GB"/>
        </w:rPr>
        <w:t xml:space="preserve">closed </w:t>
      </w:r>
      <w:r>
        <w:rPr>
          <w:rFonts w:ascii="Arial" w:hAnsi="Arial" w:cs="Arial"/>
          <w:sz w:val="24"/>
          <w:szCs w:val="24"/>
          <w:lang w:val="en-GB"/>
        </w:rPr>
        <w:t xml:space="preserve">sources of funding of plaintiff at all material times.  There is no evidence establishing the existence of additional sources of funding on top of those three sources.  </w:t>
      </w:r>
      <w:r w:rsidR="003D6642">
        <w:rPr>
          <w:rFonts w:ascii="Arial" w:hAnsi="Arial" w:cs="Arial"/>
          <w:sz w:val="24"/>
          <w:szCs w:val="24"/>
          <w:lang w:val="en-GB"/>
        </w:rPr>
        <w:t>For instance</w:t>
      </w:r>
      <w:r>
        <w:rPr>
          <w:rFonts w:ascii="Arial" w:hAnsi="Arial" w:cs="Arial"/>
          <w:sz w:val="24"/>
          <w:szCs w:val="24"/>
          <w:lang w:val="en-GB"/>
        </w:rPr>
        <w:t xml:space="preserve">, the evidence does not establish </w:t>
      </w:r>
      <w:r w:rsidR="003D6642">
        <w:rPr>
          <w:rFonts w:ascii="Arial" w:hAnsi="Arial" w:cs="Arial"/>
          <w:sz w:val="24"/>
          <w:szCs w:val="24"/>
          <w:lang w:val="en-GB"/>
        </w:rPr>
        <w:t xml:space="preserve">that </w:t>
      </w:r>
      <w:r>
        <w:rPr>
          <w:rFonts w:ascii="Arial" w:hAnsi="Arial" w:cs="Arial"/>
          <w:sz w:val="24"/>
          <w:szCs w:val="24"/>
          <w:lang w:val="en-GB"/>
        </w:rPr>
        <w:t xml:space="preserve">NDC was a fourth source of funding of plaintiff.  This point is crucial as will </w:t>
      </w:r>
      <w:r w:rsidR="003D6642">
        <w:rPr>
          <w:rFonts w:ascii="Arial" w:hAnsi="Arial" w:cs="Arial"/>
          <w:sz w:val="24"/>
          <w:szCs w:val="24"/>
          <w:lang w:val="en-GB"/>
        </w:rPr>
        <w:t xml:space="preserve">become </w:t>
      </w:r>
      <w:r>
        <w:rPr>
          <w:rFonts w:ascii="Arial" w:hAnsi="Arial" w:cs="Arial"/>
          <w:sz w:val="24"/>
          <w:szCs w:val="24"/>
          <w:lang w:val="en-GB"/>
        </w:rPr>
        <w:t>apparent shortly.  It follows</w:t>
      </w:r>
      <w:r w:rsidR="003D6642">
        <w:rPr>
          <w:rFonts w:ascii="Arial" w:hAnsi="Arial" w:cs="Arial"/>
          <w:sz w:val="24"/>
          <w:szCs w:val="24"/>
          <w:lang w:val="en-GB"/>
        </w:rPr>
        <w:t xml:space="preserve"> inevitably that</w:t>
      </w:r>
      <w:r w:rsidR="003D6642" w:rsidRPr="003D6642">
        <w:rPr>
          <w:rFonts w:ascii="Arial" w:hAnsi="Arial" w:cs="Arial"/>
          <w:sz w:val="24"/>
          <w:szCs w:val="24"/>
          <w:lang w:val="en-GB"/>
        </w:rPr>
        <w:t xml:space="preserve"> </w:t>
      </w:r>
      <w:r w:rsidR="003D6642">
        <w:rPr>
          <w:rFonts w:ascii="Arial" w:hAnsi="Arial" w:cs="Arial"/>
          <w:sz w:val="24"/>
          <w:szCs w:val="24"/>
          <w:lang w:val="en-GB"/>
        </w:rPr>
        <w:t>N$55 million of</w:t>
      </w:r>
      <w:r>
        <w:rPr>
          <w:rFonts w:ascii="Arial" w:hAnsi="Arial" w:cs="Arial"/>
          <w:sz w:val="24"/>
          <w:szCs w:val="24"/>
          <w:lang w:val="en-GB"/>
        </w:rPr>
        <w:t xml:space="preserve"> the N$65 million</w:t>
      </w:r>
      <w:r w:rsidR="003D6642">
        <w:rPr>
          <w:rFonts w:ascii="Arial" w:hAnsi="Arial" w:cs="Arial"/>
          <w:sz w:val="24"/>
          <w:szCs w:val="24"/>
          <w:lang w:val="en-GB"/>
        </w:rPr>
        <w:t xml:space="preserve"> investment </w:t>
      </w:r>
      <w:r>
        <w:rPr>
          <w:rFonts w:ascii="Arial" w:hAnsi="Arial" w:cs="Arial"/>
          <w:sz w:val="24"/>
          <w:szCs w:val="24"/>
          <w:lang w:val="en-GB"/>
        </w:rPr>
        <w:t>that was moved from NDC into plaintiff’s account</w:t>
      </w:r>
      <w:r w:rsidR="003D6642">
        <w:rPr>
          <w:rFonts w:ascii="Arial" w:hAnsi="Arial" w:cs="Arial"/>
          <w:sz w:val="24"/>
          <w:szCs w:val="24"/>
          <w:lang w:val="en-GB"/>
        </w:rPr>
        <w:t xml:space="preserve"> and was lost</w:t>
      </w:r>
      <w:r>
        <w:rPr>
          <w:rFonts w:ascii="Arial" w:hAnsi="Arial" w:cs="Arial"/>
          <w:sz w:val="24"/>
          <w:szCs w:val="24"/>
          <w:lang w:val="en-GB"/>
        </w:rPr>
        <w:t xml:space="preserve"> would belong to, and become an asset of</w:t>
      </w:r>
      <w:r w:rsidR="003D6642">
        <w:rPr>
          <w:rFonts w:ascii="Arial" w:hAnsi="Arial" w:cs="Arial"/>
          <w:sz w:val="24"/>
          <w:szCs w:val="24"/>
          <w:lang w:val="en-GB"/>
        </w:rPr>
        <w:t>,</w:t>
      </w:r>
      <w:r>
        <w:rPr>
          <w:rFonts w:ascii="Arial" w:hAnsi="Arial" w:cs="Arial"/>
          <w:sz w:val="24"/>
          <w:szCs w:val="24"/>
          <w:lang w:val="en-GB"/>
        </w:rPr>
        <w:t xml:space="preserve"> plaintiff, would be a loss to plaintiff, if – and only if – one of the following critical postulated situations was proved to exist; that is to say, if –</w:t>
      </w:r>
    </w:p>
    <w:p w:rsidR="00FE383E" w:rsidRDefault="00FE383E" w:rsidP="00F94E54">
      <w:pPr>
        <w:pStyle w:val="NoSpacing"/>
        <w:tabs>
          <w:tab w:val="left" w:pos="432"/>
          <w:tab w:val="left" w:pos="720"/>
        </w:tabs>
        <w:spacing w:line="360" w:lineRule="auto"/>
        <w:jc w:val="both"/>
        <w:rPr>
          <w:rFonts w:ascii="Arial" w:hAnsi="Arial" w:cs="Arial"/>
          <w:sz w:val="24"/>
          <w:szCs w:val="24"/>
          <w:lang w:val="en-GB"/>
        </w:rPr>
      </w:pPr>
    </w:p>
    <w:p w:rsidR="00FE383E" w:rsidRDefault="00FE383E" w:rsidP="00DF1C7D">
      <w:pPr>
        <w:pStyle w:val="NoSpacing"/>
        <w:numPr>
          <w:ilvl w:val="0"/>
          <w:numId w:val="3"/>
        </w:numPr>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NDC donated the N$55m to plaintiff (</w:t>
      </w:r>
      <w:r w:rsidR="00495CCB">
        <w:rPr>
          <w:rFonts w:ascii="Arial" w:hAnsi="Arial" w:cs="Arial"/>
          <w:sz w:val="24"/>
          <w:szCs w:val="24"/>
          <w:lang w:val="en-GB"/>
        </w:rPr>
        <w:t>Postulate 1).</w:t>
      </w:r>
    </w:p>
    <w:p w:rsidR="00DF1C7D" w:rsidRDefault="00DF1C7D" w:rsidP="00DF1C7D">
      <w:pPr>
        <w:pStyle w:val="NoSpacing"/>
        <w:tabs>
          <w:tab w:val="left" w:pos="432"/>
          <w:tab w:val="left" w:pos="720"/>
        </w:tabs>
        <w:spacing w:line="360" w:lineRule="auto"/>
        <w:ind w:left="720" w:hanging="720"/>
        <w:jc w:val="both"/>
        <w:rPr>
          <w:rFonts w:ascii="Arial" w:hAnsi="Arial" w:cs="Arial"/>
          <w:sz w:val="24"/>
          <w:szCs w:val="24"/>
          <w:lang w:val="en-GB"/>
        </w:rPr>
      </w:pPr>
    </w:p>
    <w:p w:rsidR="00495CCB" w:rsidRDefault="00495CCB" w:rsidP="00DF1C7D">
      <w:pPr>
        <w:pStyle w:val="NoSpacing"/>
        <w:numPr>
          <w:ilvl w:val="0"/>
          <w:numId w:val="3"/>
        </w:numPr>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NDC and plaintiff concluded a valid and enforceable agreement whereby NDC lent that amount to plaintiff (Postulate 2).</w:t>
      </w:r>
    </w:p>
    <w:p w:rsidR="00DF1C7D" w:rsidRDefault="00DF1C7D" w:rsidP="00DF1C7D">
      <w:pPr>
        <w:pStyle w:val="NoSpacing"/>
        <w:tabs>
          <w:tab w:val="left" w:pos="432"/>
          <w:tab w:val="left" w:pos="720"/>
        </w:tabs>
        <w:spacing w:line="360" w:lineRule="auto"/>
        <w:ind w:left="720" w:hanging="720"/>
        <w:jc w:val="both"/>
        <w:rPr>
          <w:rFonts w:ascii="Arial" w:hAnsi="Arial" w:cs="Arial"/>
          <w:sz w:val="24"/>
          <w:szCs w:val="24"/>
          <w:lang w:val="en-GB"/>
        </w:rPr>
      </w:pPr>
    </w:p>
    <w:p w:rsidR="00DF1C7D" w:rsidRPr="00DF1C7D" w:rsidRDefault="00495CCB" w:rsidP="00DF1C7D">
      <w:pPr>
        <w:pStyle w:val="NoSpacing"/>
        <w:numPr>
          <w:ilvl w:val="0"/>
          <w:numId w:val="3"/>
        </w:numPr>
        <w:tabs>
          <w:tab w:val="left" w:pos="720"/>
        </w:tabs>
        <w:spacing w:line="360" w:lineRule="auto"/>
        <w:ind w:left="720" w:hanging="720"/>
        <w:jc w:val="both"/>
        <w:rPr>
          <w:rFonts w:ascii="Arial" w:hAnsi="Arial" w:cs="Arial"/>
          <w:sz w:val="24"/>
          <w:szCs w:val="24"/>
          <w:lang w:val="en-GB"/>
        </w:rPr>
      </w:pPr>
      <w:r>
        <w:rPr>
          <w:rFonts w:ascii="Arial" w:hAnsi="Arial" w:cs="Arial"/>
          <w:sz w:val="24"/>
          <w:szCs w:val="24"/>
          <w:lang w:val="en-GB"/>
        </w:rPr>
        <w:t xml:space="preserve">NDC did not govern the investment adventure by plaintiff and NDC did not decide what must be done and what capital should be embarked on </w:t>
      </w:r>
      <w:r w:rsidR="003D6642">
        <w:rPr>
          <w:rFonts w:ascii="Arial" w:hAnsi="Arial" w:cs="Arial"/>
          <w:sz w:val="24"/>
          <w:szCs w:val="24"/>
          <w:lang w:val="en-GB"/>
        </w:rPr>
        <w:t xml:space="preserve">it </w:t>
      </w:r>
      <w:r>
        <w:rPr>
          <w:rFonts w:ascii="Arial" w:hAnsi="Arial" w:cs="Arial"/>
          <w:sz w:val="24"/>
          <w:szCs w:val="24"/>
          <w:lang w:val="en-GB"/>
        </w:rPr>
        <w:t>(Postulate 3).</w:t>
      </w:r>
    </w:p>
    <w:p w:rsidR="00495CCB" w:rsidRDefault="00495CCB" w:rsidP="00495CCB">
      <w:pPr>
        <w:pStyle w:val="NoSpacing"/>
        <w:tabs>
          <w:tab w:val="left" w:pos="432"/>
          <w:tab w:val="left" w:pos="720"/>
        </w:tabs>
        <w:spacing w:line="360" w:lineRule="auto"/>
        <w:ind w:left="432" w:hanging="432"/>
        <w:jc w:val="both"/>
        <w:rPr>
          <w:rFonts w:ascii="Arial" w:hAnsi="Arial" w:cs="Arial"/>
          <w:sz w:val="24"/>
          <w:szCs w:val="24"/>
          <w:lang w:val="en-GB"/>
        </w:rPr>
      </w:pPr>
    </w:p>
    <w:p w:rsidR="007A61EC" w:rsidRDefault="003D37D2" w:rsidP="00495CCB">
      <w:pPr>
        <w:pStyle w:val="NoSpacing"/>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495CCB">
        <w:rPr>
          <w:rFonts w:ascii="Arial" w:hAnsi="Arial" w:cs="Arial"/>
          <w:sz w:val="24"/>
          <w:szCs w:val="24"/>
          <w:lang w:val="en-GB"/>
        </w:rPr>
        <w:t>Mr Van der Nest proposed the first two postulated situations in his submission and I adopt them.  The three postulated situations represent the mi</w:t>
      </w:r>
      <w:r>
        <w:rPr>
          <w:rFonts w:ascii="Arial" w:hAnsi="Arial" w:cs="Arial"/>
          <w:sz w:val="24"/>
          <w:szCs w:val="24"/>
          <w:lang w:val="en-GB"/>
        </w:rPr>
        <w:t xml:space="preserve">cro issues that the </w:t>
      </w:r>
      <w:r>
        <w:rPr>
          <w:rFonts w:ascii="Arial" w:hAnsi="Arial" w:cs="Arial"/>
          <w:sz w:val="24"/>
          <w:szCs w:val="24"/>
          <w:lang w:val="en-GB"/>
        </w:rPr>
        <w:lastRenderedPageBreak/>
        <w:t xml:space="preserve">court ought to consider in order to determine the macro question mentioned in para </w:t>
      </w:r>
      <w:r w:rsidR="00A9591F">
        <w:rPr>
          <w:rFonts w:ascii="Arial" w:hAnsi="Arial" w:cs="Arial"/>
          <w:sz w:val="24"/>
          <w:szCs w:val="24"/>
          <w:lang w:val="en-GB"/>
        </w:rPr>
        <w:t>8</w:t>
      </w:r>
      <w:r>
        <w:rPr>
          <w:rFonts w:ascii="Arial" w:hAnsi="Arial" w:cs="Arial"/>
          <w:sz w:val="24"/>
          <w:szCs w:val="24"/>
          <w:lang w:val="en-GB"/>
        </w:rPr>
        <w:t xml:space="preserve"> above.  I now proceed to consider these critical postulated situations crafted as questions.</w:t>
      </w:r>
    </w:p>
    <w:p w:rsidR="00F64AEF" w:rsidRDefault="00F64AEF" w:rsidP="00495CCB">
      <w:pPr>
        <w:pStyle w:val="NoSpacing"/>
        <w:spacing w:line="360" w:lineRule="auto"/>
        <w:jc w:val="both"/>
        <w:rPr>
          <w:rFonts w:ascii="Arial" w:hAnsi="Arial" w:cs="Arial"/>
          <w:sz w:val="24"/>
          <w:szCs w:val="24"/>
          <w:lang w:val="en-GB"/>
        </w:rPr>
      </w:pPr>
    </w:p>
    <w:p w:rsidR="005C4075" w:rsidRDefault="003D37D2" w:rsidP="00DF1C7D">
      <w:pPr>
        <w:pStyle w:val="NoSpacing"/>
        <w:numPr>
          <w:ilvl w:val="0"/>
          <w:numId w:val="4"/>
        </w:numPr>
        <w:spacing w:line="360" w:lineRule="auto"/>
        <w:ind w:hanging="780"/>
        <w:jc w:val="both"/>
        <w:rPr>
          <w:rFonts w:ascii="Arial" w:hAnsi="Arial" w:cs="Arial"/>
          <w:sz w:val="24"/>
          <w:szCs w:val="24"/>
          <w:u w:val="single"/>
          <w:lang w:val="en-GB"/>
        </w:rPr>
      </w:pPr>
      <w:r w:rsidRPr="003D37D2">
        <w:rPr>
          <w:rFonts w:ascii="Arial" w:hAnsi="Arial" w:cs="Arial"/>
          <w:sz w:val="24"/>
          <w:szCs w:val="24"/>
          <w:u w:val="single"/>
          <w:lang w:val="en-GB"/>
        </w:rPr>
        <w:t>Did NDC donate the N$55m to plaintiff?</w:t>
      </w:r>
    </w:p>
    <w:p w:rsidR="00DF1C7D" w:rsidRDefault="00DF1C7D" w:rsidP="00DF1C7D">
      <w:pPr>
        <w:pStyle w:val="NoSpacing"/>
        <w:spacing w:line="360" w:lineRule="auto"/>
        <w:ind w:left="780"/>
        <w:jc w:val="both"/>
        <w:rPr>
          <w:rFonts w:ascii="Arial" w:hAnsi="Arial" w:cs="Arial"/>
          <w:sz w:val="24"/>
          <w:szCs w:val="24"/>
          <w:u w:val="single"/>
          <w:lang w:val="en-GB"/>
        </w:rPr>
      </w:pPr>
    </w:p>
    <w:p w:rsidR="003D37D2" w:rsidRDefault="003D37D2" w:rsidP="00495CCB">
      <w:pPr>
        <w:pStyle w:val="NoSpacing"/>
        <w:spacing w:line="360" w:lineRule="auto"/>
        <w:jc w:val="both"/>
        <w:rPr>
          <w:rFonts w:ascii="Arial" w:hAnsi="Arial" w:cs="Arial"/>
          <w:sz w:val="24"/>
          <w:szCs w:val="24"/>
          <w:lang w:val="en-GB"/>
        </w:rPr>
      </w:pPr>
      <w:r>
        <w:rPr>
          <w:rFonts w:ascii="Arial" w:hAnsi="Arial" w:cs="Arial"/>
          <w:sz w:val="24"/>
          <w:szCs w:val="24"/>
          <w:lang w:val="en-GB"/>
        </w:rPr>
        <w:t>[10</w:t>
      </w:r>
      <w:r w:rsidR="005C4075">
        <w:rPr>
          <w:rFonts w:ascii="Arial" w:hAnsi="Arial" w:cs="Arial"/>
          <w:sz w:val="24"/>
          <w:szCs w:val="24"/>
          <w:lang w:val="en-GB"/>
        </w:rPr>
        <w:t>]</w:t>
      </w:r>
      <w:r w:rsidR="005C4075">
        <w:rPr>
          <w:rFonts w:ascii="Arial" w:hAnsi="Arial" w:cs="Arial"/>
          <w:sz w:val="24"/>
          <w:szCs w:val="24"/>
          <w:lang w:val="en-GB"/>
        </w:rPr>
        <w:tab/>
      </w:r>
      <w:r>
        <w:rPr>
          <w:rFonts w:ascii="Arial" w:hAnsi="Arial" w:cs="Arial"/>
          <w:sz w:val="24"/>
          <w:szCs w:val="24"/>
          <w:lang w:val="en-GB"/>
        </w:rPr>
        <w:t xml:space="preserve">The evidence does not prove a donation by NDC to plaintiff.  And in that regard, </w:t>
      </w:r>
      <w:r w:rsidR="00A9591F">
        <w:rPr>
          <w:rFonts w:ascii="Arial" w:hAnsi="Arial" w:cs="Arial"/>
          <w:sz w:val="24"/>
          <w:szCs w:val="24"/>
          <w:lang w:val="en-GB"/>
        </w:rPr>
        <w:t xml:space="preserve">it </w:t>
      </w:r>
      <w:r>
        <w:rPr>
          <w:rFonts w:ascii="Arial" w:hAnsi="Arial" w:cs="Arial"/>
          <w:sz w:val="24"/>
          <w:szCs w:val="24"/>
          <w:lang w:val="en-GB"/>
        </w:rPr>
        <w:t>is important to emphasize the point that the evidence establishes that NDC was not one of the sources of the funding of plaintiff.</w:t>
      </w:r>
    </w:p>
    <w:p w:rsidR="007A61EC" w:rsidRPr="00221E0D" w:rsidRDefault="007A61EC" w:rsidP="00495CCB">
      <w:pPr>
        <w:pStyle w:val="NoSpacing"/>
        <w:spacing w:line="360" w:lineRule="auto"/>
        <w:jc w:val="both"/>
        <w:rPr>
          <w:rFonts w:ascii="Arial" w:hAnsi="Arial" w:cs="Arial"/>
          <w:sz w:val="24"/>
          <w:szCs w:val="24"/>
          <w:u w:val="single"/>
          <w:lang w:val="en-GB"/>
        </w:rPr>
      </w:pPr>
    </w:p>
    <w:p w:rsidR="003D37D2" w:rsidRDefault="003D37D2" w:rsidP="00DF1C7D">
      <w:pPr>
        <w:pStyle w:val="NoSpacing"/>
        <w:numPr>
          <w:ilvl w:val="0"/>
          <w:numId w:val="4"/>
        </w:numPr>
        <w:spacing w:line="360" w:lineRule="auto"/>
        <w:ind w:hanging="780"/>
        <w:jc w:val="both"/>
        <w:rPr>
          <w:rFonts w:ascii="Arial" w:hAnsi="Arial" w:cs="Arial"/>
          <w:sz w:val="24"/>
          <w:szCs w:val="24"/>
          <w:u w:val="single"/>
          <w:lang w:val="en-GB"/>
        </w:rPr>
      </w:pPr>
      <w:r w:rsidRPr="003D37D2">
        <w:rPr>
          <w:rFonts w:ascii="Arial" w:hAnsi="Arial" w:cs="Arial"/>
          <w:sz w:val="24"/>
          <w:szCs w:val="24"/>
          <w:u w:val="single"/>
          <w:lang w:val="en-GB"/>
        </w:rPr>
        <w:t>Did NDC and plaintiff conclude a loan agreement respecting the N$55m?</w:t>
      </w:r>
    </w:p>
    <w:p w:rsidR="00DF1C7D" w:rsidRDefault="00DF1C7D" w:rsidP="00DF1C7D">
      <w:pPr>
        <w:pStyle w:val="NoSpacing"/>
        <w:spacing w:line="360" w:lineRule="auto"/>
        <w:ind w:left="360"/>
        <w:jc w:val="both"/>
        <w:rPr>
          <w:rFonts w:ascii="Arial" w:hAnsi="Arial" w:cs="Arial"/>
          <w:sz w:val="24"/>
          <w:szCs w:val="24"/>
          <w:u w:val="single"/>
          <w:lang w:val="en-GB"/>
        </w:rPr>
      </w:pPr>
    </w:p>
    <w:p w:rsidR="003D37D2" w:rsidRDefault="003D37D2" w:rsidP="00495CCB">
      <w:pPr>
        <w:pStyle w:val="NoSpacing"/>
        <w:spacing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The evidence does not prove the existence of a loan agreement concluded between NDC and plaintiff whereby NDC lent N$55 million to plaintiff.  In the absence of such loan agreement it makes no sense in law or logic to say, as Mr De Wet (plaintiff witness) testified, that the moneys advanced by NDC to plaintiff are independent of the transaction between plaintiff and any ‘invest</w:t>
      </w:r>
      <w:r w:rsidR="00196D21">
        <w:rPr>
          <w:rFonts w:ascii="Arial" w:hAnsi="Arial" w:cs="Arial"/>
          <w:sz w:val="24"/>
          <w:szCs w:val="24"/>
          <w:lang w:val="en-GB"/>
        </w:rPr>
        <w:t>ee</w:t>
      </w:r>
      <w:r>
        <w:rPr>
          <w:rFonts w:ascii="Arial" w:hAnsi="Arial" w:cs="Arial"/>
          <w:sz w:val="24"/>
          <w:szCs w:val="24"/>
          <w:lang w:val="en-GB"/>
        </w:rPr>
        <w:t>s’.  I find that the evidence is overwhelming that there is no valid</w:t>
      </w:r>
      <w:r w:rsidR="00196D21">
        <w:rPr>
          <w:rFonts w:ascii="Arial" w:hAnsi="Arial" w:cs="Arial"/>
          <w:sz w:val="24"/>
          <w:szCs w:val="24"/>
          <w:lang w:val="en-GB"/>
        </w:rPr>
        <w:t xml:space="preserve"> and enforceable</w:t>
      </w:r>
      <w:r>
        <w:rPr>
          <w:rFonts w:ascii="Arial" w:hAnsi="Arial" w:cs="Arial"/>
          <w:sz w:val="24"/>
          <w:szCs w:val="24"/>
          <w:lang w:val="en-GB"/>
        </w:rPr>
        <w:t xml:space="preserve"> loa</w:t>
      </w:r>
      <w:r w:rsidR="00196D21">
        <w:rPr>
          <w:rFonts w:ascii="Arial" w:hAnsi="Arial" w:cs="Arial"/>
          <w:sz w:val="24"/>
          <w:szCs w:val="24"/>
          <w:lang w:val="en-GB"/>
        </w:rPr>
        <w:t>n</w:t>
      </w:r>
      <w:r>
        <w:rPr>
          <w:rFonts w:ascii="Arial" w:hAnsi="Arial" w:cs="Arial"/>
          <w:sz w:val="24"/>
          <w:szCs w:val="24"/>
          <w:lang w:val="en-GB"/>
        </w:rPr>
        <w:t xml:space="preserve"> agreement concluded between plaintiff and NDC whereby the latter lent the amount to the former.</w:t>
      </w:r>
    </w:p>
    <w:p w:rsidR="003D37D2" w:rsidRDefault="003D37D2" w:rsidP="00495CCB">
      <w:pPr>
        <w:pStyle w:val="NoSpacing"/>
        <w:spacing w:line="360" w:lineRule="auto"/>
        <w:jc w:val="both"/>
        <w:rPr>
          <w:rFonts w:ascii="Arial" w:hAnsi="Arial" w:cs="Arial"/>
          <w:sz w:val="24"/>
          <w:szCs w:val="24"/>
          <w:lang w:val="en-GB"/>
        </w:rPr>
      </w:pPr>
    </w:p>
    <w:p w:rsidR="003D37D2" w:rsidRPr="00854FDB" w:rsidRDefault="003D37D2" w:rsidP="00DF1C7D">
      <w:pPr>
        <w:pStyle w:val="NoSpacing"/>
        <w:spacing w:line="360" w:lineRule="auto"/>
        <w:ind w:left="720" w:hanging="720"/>
        <w:jc w:val="both"/>
        <w:rPr>
          <w:rFonts w:ascii="Arial" w:hAnsi="Arial" w:cs="Arial"/>
          <w:sz w:val="24"/>
          <w:szCs w:val="24"/>
          <w:u w:val="single"/>
          <w:lang w:val="en-GB"/>
        </w:rPr>
      </w:pPr>
      <w:r w:rsidRPr="00DF1C7D">
        <w:rPr>
          <w:rFonts w:ascii="Arial" w:hAnsi="Arial" w:cs="Arial"/>
          <w:sz w:val="24"/>
          <w:szCs w:val="24"/>
          <w:lang w:val="en-GB"/>
        </w:rPr>
        <w:t xml:space="preserve">(c) </w:t>
      </w:r>
      <w:r w:rsidR="00DF1C7D" w:rsidRPr="00DF1C7D">
        <w:rPr>
          <w:rFonts w:ascii="Arial" w:hAnsi="Arial" w:cs="Arial"/>
          <w:sz w:val="24"/>
          <w:szCs w:val="24"/>
          <w:lang w:val="en-GB"/>
        </w:rPr>
        <w:tab/>
      </w:r>
      <w:r w:rsidRPr="00854FDB">
        <w:rPr>
          <w:rFonts w:ascii="Arial" w:hAnsi="Arial" w:cs="Arial"/>
          <w:sz w:val="24"/>
          <w:szCs w:val="24"/>
          <w:u w:val="single"/>
          <w:lang w:val="en-GB"/>
        </w:rPr>
        <w:t xml:space="preserve">Did NDC govern the investment adventure by plaintiff and decide what should be </w:t>
      </w:r>
    </w:p>
    <w:p w:rsidR="00854FDB" w:rsidRDefault="00854FDB" w:rsidP="00495CCB">
      <w:pPr>
        <w:pStyle w:val="NoSpacing"/>
        <w:spacing w:line="360" w:lineRule="auto"/>
        <w:jc w:val="both"/>
        <w:rPr>
          <w:rFonts w:ascii="Arial" w:hAnsi="Arial" w:cs="Arial"/>
          <w:sz w:val="24"/>
          <w:szCs w:val="24"/>
          <w:u w:val="single"/>
          <w:lang w:val="en-GB"/>
        </w:rPr>
      </w:pPr>
      <w:r w:rsidRPr="00854FDB">
        <w:rPr>
          <w:rFonts w:ascii="Arial" w:hAnsi="Arial" w:cs="Arial"/>
          <w:sz w:val="24"/>
          <w:szCs w:val="24"/>
          <w:lang w:val="en-GB"/>
        </w:rPr>
        <w:t xml:space="preserve">     </w:t>
      </w:r>
      <w:r w:rsidR="00DF1C7D">
        <w:rPr>
          <w:rFonts w:ascii="Arial" w:hAnsi="Arial" w:cs="Arial"/>
          <w:sz w:val="24"/>
          <w:szCs w:val="24"/>
          <w:lang w:val="en-GB"/>
        </w:rPr>
        <w:tab/>
      </w:r>
      <w:proofErr w:type="gramStart"/>
      <w:r w:rsidRPr="00854FDB">
        <w:rPr>
          <w:rFonts w:ascii="Arial" w:hAnsi="Arial" w:cs="Arial"/>
          <w:sz w:val="24"/>
          <w:szCs w:val="24"/>
          <w:u w:val="single"/>
          <w:lang w:val="en-GB"/>
        </w:rPr>
        <w:t>done</w:t>
      </w:r>
      <w:proofErr w:type="gramEnd"/>
      <w:r w:rsidRPr="00854FDB">
        <w:rPr>
          <w:rFonts w:ascii="Arial" w:hAnsi="Arial" w:cs="Arial"/>
          <w:sz w:val="24"/>
          <w:szCs w:val="24"/>
          <w:u w:val="single"/>
          <w:lang w:val="en-GB"/>
        </w:rPr>
        <w:t xml:space="preserve"> and what capital to embark upon it?</w:t>
      </w:r>
    </w:p>
    <w:p w:rsidR="00DF1C7D" w:rsidRDefault="00DF1C7D" w:rsidP="00495CCB">
      <w:pPr>
        <w:pStyle w:val="NoSpacing"/>
        <w:spacing w:line="360" w:lineRule="auto"/>
        <w:jc w:val="both"/>
        <w:rPr>
          <w:rFonts w:ascii="Arial" w:hAnsi="Arial" w:cs="Arial"/>
          <w:sz w:val="24"/>
          <w:szCs w:val="24"/>
          <w:u w:val="single"/>
          <w:lang w:val="en-GB"/>
        </w:rPr>
      </w:pPr>
    </w:p>
    <w:p w:rsidR="00854FDB" w:rsidRDefault="00854FDB" w:rsidP="00495CCB">
      <w:pPr>
        <w:pStyle w:val="NoSpacing"/>
        <w:spacing w:line="360" w:lineRule="auto"/>
        <w:jc w:val="both"/>
        <w:rPr>
          <w:rFonts w:ascii="Arial" w:hAnsi="Arial" w:cs="Arial"/>
          <w:sz w:val="24"/>
          <w:szCs w:val="24"/>
          <w:lang w:val="en-GB"/>
        </w:rPr>
      </w:pPr>
      <w:r w:rsidRPr="00854FDB">
        <w:rPr>
          <w:rFonts w:ascii="Arial" w:hAnsi="Arial" w:cs="Arial"/>
          <w:sz w:val="24"/>
          <w:szCs w:val="24"/>
          <w:lang w:val="en-GB"/>
        </w:rPr>
        <w:t>[12]</w:t>
      </w:r>
      <w:r w:rsidRPr="00854FDB">
        <w:rPr>
          <w:rFonts w:ascii="Arial" w:hAnsi="Arial" w:cs="Arial"/>
          <w:sz w:val="24"/>
          <w:szCs w:val="24"/>
          <w:lang w:val="en-GB"/>
        </w:rPr>
        <w:tab/>
      </w:r>
      <w:r>
        <w:rPr>
          <w:rFonts w:ascii="Arial" w:hAnsi="Arial" w:cs="Arial"/>
          <w:sz w:val="24"/>
          <w:szCs w:val="24"/>
          <w:lang w:val="en-GB"/>
        </w:rPr>
        <w:t xml:space="preserve">There is no evidence proving that plaintiff requested NDC to move its N$55m into plaintiff’s account for plaintiff to use in any way plaintiff wished and on any operations that met plaintiff’s eyes.  Mr </w:t>
      </w:r>
      <w:r w:rsidR="00DA0830">
        <w:rPr>
          <w:rFonts w:ascii="Arial" w:hAnsi="Arial" w:cs="Arial"/>
          <w:sz w:val="24"/>
          <w:szCs w:val="24"/>
          <w:lang w:val="en-GB"/>
        </w:rPr>
        <w:t>Subel</w:t>
      </w:r>
      <w:r>
        <w:rPr>
          <w:rFonts w:ascii="Arial" w:hAnsi="Arial" w:cs="Arial"/>
          <w:sz w:val="24"/>
          <w:szCs w:val="24"/>
          <w:lang w:val="en-GB"/>
        </w:rPr>
        <w:t xml:space="preserve"> asked rhetorically in his submission:  Why didn’t NDC transfer the funds directly to GTI. Why indeed?  We will never know.  But from the evidence we know this</w:t>
      </w:r>
      <w:r w:rsidR="000C3DA9">
        <w:rPr>
          <w:rFonts w:ascii="Arial" w:hAnsi="Arial" w:cs="Arial"/>
          <w:sz w:val="24"/>
          <w:szCs w:val="24"/>
          <w:lang w:val="en-GB"/>
        </w:rPr>
        <w:t>.  NDC was not one of the sources of funding of plaintiff.  Nevertheless</w:t>
      </w:r>
      <w:r w:rsidR="002C3150">
        <w:rPr>
          <w:rFonts w:ascii="Arial" w:hAnsi="Arial" w:cs="Arial"/>
          <w:sz w:val="24"/>
          <w:szCs w:val="24"/>
          <w:lang w:val="en-GB"/>
        </w:rPr>
        <w:t xml:space="preserve">, </w:t>
      </w:r>
      <w:r w:rsidR="000C3DA9">
        <w:rPr>
          <w:rFonts w:ascii="Arial" w:hAnsi="Arial" w:cs="Arial"/>
          <w:sz w:val="24"/>
          <w:szCs w:val="24"/>
          <w:lang w:val="en-GB"/>
        </w:rPr>
        <w:t>N$55m were moved into plaintiff’s accoun</w:t>
      </w:r>
      <w:r w:rsidR="00196D21">
        <w:rPr>
          <w:rFonts w:ascii="Arial" w:hAnsi="Arial" w:cs="Arial"/>
          <w:sz w:val="24"/>
          <w:szCs w:val="24"/>
          <w:lang w:val="en-GB"/>
        </w:rPr>
        <w:t>t</w:t>
      </w:r>
      <w:r w:rsidR="000C3DA9">
        <w:rPr>
          <w:rFonts w:ascii="Arial" w:hAnsi="Arial" w:cs="Arial"/>
          <w:sz w:val="24"/>
          <w:szCs w:val="24"/>
          <w:lang w:val="en-GB"/>
        </w:rPr>
        <w:t>.</w:t>
      </w:r>
      <w:r w:rsidR="0046733A">
        <w:rPr>
          <w:rFonts w:ascii="Arial" w:hAnsi="Arial" w:cs="Arial"/>
          <w:sz w:val="24"/>
          <w:szCs w:val="24"/>
          <w:lang w:val="en-GB"/>
        </w:rPr>
        <w:t xml:space="preserve">  I have found previously that th</w:t>
      </w:r>
      <w:r w:rsidR="00196D21">
        <w:rPr>
          <w:rFonts w:ascii="Arial" w:hAnsi="Arial" w:cs="Arial"/>
          <w:sz w:val="24"/>
          <w:szCs w:val="24"/>
          <w:lang w:val="en-GB"/>
        </w:rPr>
        <w:t>o</w:t>
      </w:r>
      <w:r w:rsidR="0046733A">
        <w:rPr>
          <w:rFonts w:ascii="Arial" w:hAnsi="Arial" w:cs="Arial"/>
          <w:sz w:val="24"/>
          <w:szCs w:val="24"/>
          <w:lang w:val="en-GB"/>
        </w:rPr>
        <w:t>se funds were not moved into plaintiff’s account pursuant to the implementation of any</w:t>
      </w:r>
      <w:r w:rsidR="00196D21">
        <w:rPr>
          <w:rFonts w:ascii="Arial" w:hAnsi="Arial" w:cs="Arial"/>
          <w:sz w:val="24"/>
          <w:szCs w:val="24"/>
          <w:lang w:val="en-GB"/>
        </w:rPr>
        <w:t xml:space="preserve"> valid and enforceable </w:t>
      </w:r>
      <w:r w:rsidR="0046733A">
        <w:rPr>
          <w:rFonts w:ascii="Arial" w:hAnsi="Arial" w:cs="Arial"/>
          <w:sz w:val="24"/>
          <w:szCs w:val="24"/>
          <w:lang w:val="en-GB"/>
        </w:rPr>
        <w:t xml:space="preserve">loan agreement concluded between NDC and plaintiff </w:t>
      </w:r>
      <w:r w:rsidR="0046733A">
        <w:rPr>
          <w:rFonts w:ascii="Arial" w:hAnsi="Arial" w:cs="Arial"/>
          <w:sz w:val="24"/>
          <w:szCs w:val="24"/>
          <w:lang w:val="en-GB"/>
        </w:rPr>
        <w:lastRenderedPageBreak/>
        <w:t>whereby NDC lent plaintiff the amount.  Additionally, the ex post facto ‘Investment Management Agreement’ purportedly entered into between NDC and plaintiff is</w:t>
      </w:r>
      <w:r w:rsidR="00196D21">
        <w:rPr>
          <w:rFonts w:ascii="Arial" w:hAnsi="Arial" w:cs="Arial"/>
          <w:sz w:val="24"/>
          <w:szCs w:val="24"/>
          <w:lang w:val="en-GB"/>
        </w:rPr>
        <w:t xml:space="preserve"> clearly</w:t>
      </w:r>
      <w:r w:rsidR="0046733A">
        <w:rPr>
          <w:rFonts w:ascii="Arial" w:hAnsi="Arial" w:cs="Arial"/>
          <w:sz w:val="24"/>
          <w:szCs w:val="24"/>
          <w:lang w:val="en-GB"/>
        </w:rPr>
        <w:t xml:space="preserve"> invalid.  Furthermore, Burmeister confirmed that plaintiff did not approve the guarantee to assume liability for NDC’s loss that was given</w:t>
      </w:r>
      <w:r w:rsidR="00196D21">
        <w:rPr>
          <w:rFonts w:ascii="Arial" w:hAnsi="Arial" w:cs="Arial"/>
          <w:sz w:val="24"/>
          <w:szCs w:val="24"/>
          <w:lang w:val="en-GB"/>
        </w:rPr>
        <w:t xml:space="preserve"> to GTI</w:t>
      </w:r>
      <w:r w:rsidR="0046733A">
        <w:rPr>
          <w:rFonts w:ascii="Arial" w:hAnsi="Arial" w:cs="Arial"/>
          <w:sz w:val="24"/>
          <w:szCs w:val="24"/>
          <w:lang w:val="en-GB"/>
        </w:rPr>
        <w:t xml:space="preserve"> with regard to NDC’s investment.</w:t>
      </w:r>
    </w:p>
    <w:p w:rsidR="0046733A" w:rsidRDefault="0046733A" w:rsidP="00495CCB">
      <w:pPr>
        <w:pStyle w:val="NoSpacing"/>
        <w:spacing w:line="360" w:lineRule="auto"/>
        <w:jc w:val="both"/>
        <w:rPr>
          <w:rFonts w:ascii="Arial" w:hAnsi="Arial" w:cs="Arial"/>
          <w:sz w:val="24"/>
          <w:szCs w:val="24"/>
          <w:lang w:val="en-GB"/>
        </w:rPr>
      </w:pPr>
    </w:p>
    <w:p w:rsidR="0046733A" w:rsidRDefault="0046733A" w:rsidP="00495CCB">
      <w:pPr>
        <w:pStyle w:val="NoSpacing"/>
        <w:spacing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Thus, Mr </w:t>
      </w:r>
      <w:proofErr w:type="spellStart"/>
      <w:r w:rsidR="00DA0830">
        <w:rPr>
          <w:rFonts w:ascii="Arial" w:hAnsi="Arial" w:cs="Arial"/>
          <w:sz w:val="24"/>
          <w:szCs w:val="24"/>
          <w:lang w:val="en-GB"/>
        </w:rPr>
        <w:t>Subel</w:t>
      </w:r>
      <w:r>
        <w:rPr>
          <w:rFonts w:ascii="Arial" w:hAnsi="Arial" w:cs="Arial"/>
          <w:sz w:val="24"/>
          <w:szCs w:val="24"/>
          <w:lang w:val="en-GB"/>
        </w:rPr>
        <w:t>’s</w:t>
      </w:r>
      <w:proofErr w:type="spellEnd"/>
      <w:r>
        <w:rPr>
          <w:rFonts w:ascii="Arial" w:hAnsi="Arial" w:cs="Arial"/>
          <w:sz w:val="24"/>
          <w:szCs w:val="24"/>
          <w:lang w:val="en-GB"/>
        </w:rPr>
        <w:t xml:space="preserve"> submission that ‘NDC has simply made available funding to ODC which had, as principal made the investments in issue in its own right’ flies in the teeth of common business practices and law.  We are not talking about two simple traders</w:t>
      </w:r>
      <w:r w:rsidR="00803A63">
        <w:rPr>
          <w:rFonts w:ascii="Arial" w:hAnsi="Arial" w:cs="Arial"/>
          <w:sz w:val="24"/>
          <w:szCs w:val="24"/>
          <w:lang w:val="en-GB"/>
        </w:rPr>
        <w:t xml:space="preserve"> running Cuca Shops somewhere in one of the Regions of Namibia.  NDC is an SOE, so is ODC.  In the absence of a loan agreement, upon what legal basis and common sense had one SOE ‘simply made available funding’ to another SOE.  It matters tuppence about the principal/subsidiary relationship between NDC and ODC.  It is more </w:t>
      </w:r>
      <w:r w:rsidR="008D1670">
        <w:rPr>
          <w:rFonts w:ascii="Arial" w:hAnsi="Arial" w:cs="Arial"/>
          <w:sz w:val="24"/>
          <w:szCs w:val="24"/>
          <w:lang w:val="en-GB"/>
        </w:rPr>
        <w:t>probable</w:t>
      </w:r>
      <w:r w:rsidR="00803A63">
        <w:rPr>
          <w:rFonts w:ascii="Arial" w:hAnsi="Arial" w:cs="Arial"/>
          <w:sz w:val="24"/>
          <w:szCs w:val="24"/>
          <w:lang w:val="en-GB"/>
        </w:rPr>
        <w:t xml:space="preserve"> than not that NDC intended to use plaintiff as a condu</w:t>
      </w:r>
      <w:r w:rsidR="008D1670">
        <w:rPr>
          <w:rFonts w:ascii="Arial" w:hAnsi="Arial" w:cs="Arial"/>
          <w:sz w:val="24"/>
          <w:szCs w:val="24"/>
          <w:lang w:val="en-GB"/>
        </w:rPr>
        <w:t>i</w:t>
      </w:r>
      <w:r w:rsidR="00803A63">
        <w:rPr>
          <w:rFonts w:ascii="Arial" w:hAnsi="Arial" w:cs="Arial"/>
          <w:sz w:val="24"/>
          <w:szCs w:val="24"/>
          <w:lang w:val="en-GB"/>
        </w:rPr>
        <w:t>t</w:t>
      </w:r>
      <w:r w:rsidR="008D1670">
        <w:rPr>
          <w:rFonts w:ascii="Arial" w:hAnsi="Arial" w:cs="Arial"/>
          <w:sz w:val="24"/>
          <w:szCs w:val="24"/>
          <w:lang w:val="en-GB"/>
        </w:rPr>
        <w:t xml:space="preserve"> through which</w:t>
      </w:r>
      <w:r w:rsidR="00803A63">
        <w:rPr>
          <w:rFonts w:ascii="Arial" w:hAnsi="Arial" w:cs="Arial"/>
          <w:sz w:val="24"/>
          <w:szCs w:val="24"/>
          <w:lang w:val="en-GB"/>
        </w:rPr>
        <w:t xml:space="preserve"> to move its funds to designated investee of its choosing.  Whether NDC knew or did not know they were dealing with</w:t>
      </w:r>
      <w:r w:rsidR="008D1670">
        <w:rPr>
          <w:rFonts w:ascii="Arial" w:hAnsi="Arial" w:cs="Arial"/>
          <w:sz w:val="24"/>
          <w:szCs w:val="24"/>
          <w:lang w:val="en-GB"/>
        </w:rPr>
        <w:t xml:space="preserve"> a</w:t>
      </w:r>
      <w:r w:rsidR="00803A63">
        <w:rPr>
          <w:rFonts w:ascii="Arial" w:hAnsi="Arial" w:cs="Arial"/>
          <w:sz w:val="24"/>
          <w:szCs w:val="24"/>
          <w:lang w:val="en-GB"/>
        </w:rPr>
        <w:t xml:space="preserve"> bogus and fraudulent investee is, therefore, immaterial.  NDC did invest its moneys and it lost </w:t>
      </w:r>
      <w:r w:rsidR="008D1670">
        <w:rPr>
          <w:rFonts w:ascii="Arial" w:hAnsi="Arial" w:cs="Arial"/>
          <w:sz w:val="24"/>
          <w:szCs w:val="24"/>
          <w:lang w:val="en-GB"/>
        </w:rPr>
        <w:t xml:space="preserve">its </w:t>
      </w:r>
      <w:r w:rsidR="00803A63">
        <w:rPr>
          <w:rFonts w:ascii="Arial" w:hAnsi="Arial" w:cs="Arial"/>
          <w:sz w:val="24"/>
          <w:szCs w:val="24"/>
          <w:lang w:val="en-GB"/>
        </w:rPr>
        <w:t xml:space="preserve">moneys. </w:t>
      </w:r>
    </w:p>
    <w:p w:rsidR="00803A63" w:rsidRDefault="00803A63" w:rsidP="00495CCB">
      <w:pPr>
        <w:pStyle w:val="NoSpacing"/>
        <w:spacing w:line="360" w:lineRule="auto"/>
        <w:jc w:val="both"/>
        <w:rPr>
          <w:rFonts w:ascii="Arial" w:hAnsi="Arial" w:cs="Arial"/>
          <w:sz w:val="24"/>
          <w:szCs w:val="24"/>
          <w:lang w:val="en-GB"/>
        </w:rPr>
      </w:pPr>
    </w:p>
    <w:p w:rsidR="00803A63" w:rsidRDefault="00803A63" w:rsidP="00495CCB">
      <w:pPr>
        <w:pStyle w:val="NoSpacing"/>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Burmeister was clear and unequivocal in his testimony that plaintiff’s Board</w:t>
      </w:r>
      <w:r w:rsidR="008D1670">
        <w:rPr>
          <w:rFonts w:ascii="Arial" w:hAnsi="Arial" w:cs="Arial"/>
          <w:sz w:val="24"/>
          <w:szCs w:val="24"/>
          <w:lang w:val="en-GB"/>
        </w:rPr>
        <w:t>’s</w:t>
      </w:r>
      <w:r>
        <w:rPr>
          <w:rFonts w:ascii="Arial" w:hAnsi="Arial" w:cs="Arial"/>
          <w:sz w:val="24"/>
          <w:szCs w:val="24"/>
          <w:lang w:val="en-GB"/>
        </w:rPr>
        <w:t xml:space="preserve"> position has always been that plaintiff could not take responsibility for what happened to NDC’s investments, and so, plaintiff was not liable to NDC.  Indeed, Burmeister’s testimony does not establish that plaintiff’s investigations and legal action </w:t>
      </w:r>
      <w:r w:rsidR="008D1670">
        <w:rPr>
          <w:rFonts w:ascii="Arial" w:hAnsi="Arial" w:cs="Arial"/>
          <w:sz w:val="24"/>
          <w:szCs w:val="24"/>
          <w:lang w:val="en-GB"/>
        </w:rPr>
        <w:t xml:space="preserve">that plaintiff embarked on </w:t>
      </w:r>
      <w:r>
        <w:rPr>
          <w:rFonts w:ascii="Arial" w:hAnsi="Arial" w:cs="Arial"/>
          <w:sz w:val="24"/>
          <w:szCs w:val="24"/>
          <w:lang w:val="en-GB"/>
        </w:rPr>
        <w:t xml:space="preserve">were </w:t>
      </w:r>
      <w:r w:rsidR="008D1670">
        <w:rPr>
          <w:rFonts w:ascii="Arial" w:hAnsi="Arial" w:cs="Arial"/>
          <w:sz w:val="24"/>
          <w:szCs w:val="24"/>
          <w:lang w:val="en-GB"/>
        </w:rPr>
        <w:t xml:space="preserve">unambiguously </w:t>
      </w:r>
      <w:r>
        <w:rPr>
          <w:rFonts w:ascii="Arial" w:hAnsi="Arial" w:cs="Arial"/>
          <w:sz w:val="24"/>
          <w:szCs w:val="24"/>
          <w:lang w:val="en-GB"/>
        </w:rPr>
        <w:t xml:space="preserve">aimed at funds invested by plaintiff.  He said they were aimed at </w:t>
      </w:r>
      <w:r w:rsidR="00061375">
        <w:rPr>
          <w:rFonts w:ascii="Arial" w:hAnsi="Arial" w:cs="Arial"/>
          <w:sz w:val="24"/>
          <w:szCs w:val="24"/>
          <w:lang w:val="en-GB"/>
        </w:rPr>
        <w:t>funds invested rather by and /or</w:t>
      </w:r>
      <w:r>
        <w:rPr>
          <w:rFonts w:ascii="Arial" w:hAnsi="Arial" w:cs="Arial"/>
          <w:sz w:val="24"/>
          <w:szCs w:val="24"/>
          <w:lang w:val="en-GB"/>
        </w:rPr>
        <w:t xml:space="preserve"> through </w:t>
      </w:r>
      <w:r w:rsidR="00061375">
        <w:rPr>
          <w:rFonts w:ascii="Arial" w:hAnsi="Arial" w:cs="Arial"/>
          <w:sz w:val="24"/>
          <w:szCs w:val="24"/>
          <w:lang w:val="en-GB"/>
        </w:rPr>
        <w:t xml:space="preserve">plaintiff, including the funds belonging to NDC and </w:t>
      </w:r>
      <w:r w:rsidR="00D62F7F">
        <w:rPr>
          <w:rFonts w:ascii="Arial" w:hAnsi="Arial" w:cs="Arial"/>
          <w:sz w:val="24"/>
          <w:szCs w:val="24"/>
          <w:lang w:val="en-GB"/>
        </w:rPr>
        <w:t>S</w:t>
      </w:r>
      <w:r w:rsidR="00755574">
        <w:rPr>
          <w:rFonts w:ascii="Arial" w:hAnsi="Arial" w:cs="Arial"/>
          <w:sz w:val="24"/>
          <w:szCs w:val="24"/>
          <w:lang w:val="en-GB"/>
        </w:rPr>
        <w:t>ilnam</w:t>
      </w:r>
      <w:r w:rsidR="00061375">
        <w:rPr>
          <w:rFonts w:ascii="Arial" w:hAnsi="Arial" w:cs="Arial"/>
          <w:sz w:val="24"/>
          <w:szCs w:val="24"/>
          <w:lang w:val="en-GB"/>
        </w:rPr>
        <w:t>.</w:t>
      </w:r>
    </w:p>
    <w:p w:rsidR="00061375" w:rsidRDefault="00061375" w:rsidP="00495CCB">
      <w:pPr>
        <w:pStyle w:val="NoSpacing"/>
        <w:spacing w:line="360" w:lineRule="auto"/>
        <w:jc w:val="both"/>
        <w:rPr>
          <w:rFonts w:ascii="Arial" w:hAnsi="Arial" w:cs="Arial"/>
          <w:sz w:val="24"/>
          <w:szCs w:val="24"/>
          <w:lang w:val="en-GB"/>
        </w:rPr>
      </w:pPr>
    </w:p>
    <w:p w:rsidR="00061375" w:rsidRDefault="00061375" w:rsidP="00495CCB">
      <w:pPr>
        <w:pStyle w:val="NoSpacing"/>
        <w:spacing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Moreover, Burmeister agreed</w:t>
      </w:r>
      <w:r w:rsidR="00126169">
        <w:rPr>
          <w:rFonts w:ascii="Arial" w:hAnsi="Arial" w:cs="Arial"/>
          <w:sz w:val="24"/>
          <w:szCs w:val="24"/>
          <w:lang w:val="en-GB"/>
        </w:rPr>
        <w:t xml:space="preserve"> in his cross-examination-evidence</w:t>
      </w:r>
      <w:r>
        <w:rPr>
          <w:rFonts w:ascii="Arial" w:hAnsi="Arial" w:cs="Arial"/>
          <w:sz w:val="24"/>
          <w:szCs w:val="24"/>
          <w:lang w:val="en-GB"/>
        </w:rPr>
        <w:t>, having regard to affidavit statements made by Mr Ortman</w:t>
      </w:r>
      <w:r w:rsidR="00551A34">
        <w:rPr>
          <w:rFonts w:ascii="Arial" w:hAnsi="Arial" w:cs="Arial"/>
          <w:sz w:val="24"/>
          <w:szCs w:val="24"/>
          <w:lang w:val="en-GB"/>
        </w:rPr>
        <w:t>n</w:t>
      </w:r>
      <w:r>
        <w:rPr>
          <w:rFonts w:ascii="Arial" w:hAnsi="Arial" w:cs="Arial"/>
          <w:sz w:val="24"/>
          <w:szCs w:val="24"/>
          <w:lang w:val="en-GB"/>
        </w:rPr>
        <w:t xml:space="preserve"> and Ndishishi</w:t>
      </w:r>
      <w:r w:rsidR="00126169">
        <w:rPr>
          <w:rFonts w:ascii="Arial" w:hAnsi="Arial" w:cs="Arial"/>
          <w:sz w:val="24"/>
          <w:szCs w:val="24"/>
          <w:lang w:val="en-GB"/>
        </w:rPr>
        <w:t xml:space="preserve"> of plaintiff</w:t>
      </w:r>
      <w:r w:rsidR="00551A34">
        <w:rPr>
          <w:rFonts w:ascii="Arial" w:hAnsi="Arial" w:cs="Arial"/>
          <w:sz w:val="24"/>
          <w:szCs w:val="24"/>
          <w:lang w:val="en-GB"/>
        </w:rPr>
        <w:t xml:space="preserve"> </w:t>
      </w:r>
      <w:r>
        <w:rPr>
          <w:rFonts w:ascii="Arial" w:hAnsi="Arial" w:cs="Arial"/>
          <w:sz w:val="24"/>
          <w:szCs w:val="24"/>
          <w:lang w:val="en-GB"/>
        </w:rPr>
        <w:t xml:space="preserve">that he (Burmeister) and </w:t>
      </w:r>
      <w:r w:rsidR="0009739A">
        <w:rPr>
          <w:rFonts w:ascii="Arial" w:hAnsi="Arial" w:cs="Arial"/>
          <w:sz w:val="24"/>
          <w:szCs w:val="24"/>
          <w:lang w:val="en-GB"/>
        </w:rPr>
        <w:t>Aboobakar drew a distinction between plaintiff’s funds and NDC’s funds.</w:t>
      </w:r>
    </w:p>
    <w:p w:rsidR="0009739A" w:rsidRDefault="0009739A" w:rsidP="00495CCB">
      <w:pPr>
        <w:pStyle w:val="NoSpacing"/>
        <w:spacing w:line="360" w:lineRule="auto"/>
        <w:jc w:val="both"/>
        <w:rPr>
          <w:rFonts w:ascii="Arial" w:hAnsi="Arial" w:cs="Arial"/>
          <w:sz w:val="24"/>
          <w:szCs w:val="24"/>
          <w:lang w:val="en-GB"/>
        </w:rPr>
      </w:pPr>
    </w:p>
    <w:p w:rsidR="0009739A" w:rsidRDefault="0009739A" w:rsidP="00495CCB">
      <w:pPr>
        <w:pStyle w:val="NoSpacing"/>
        <w:spacing w:line="360" w:lineRule="auto"/>
        <w:jc w:val="both"/>
        <w:rPr>
          <w:rFonts w:ascii="Arial" w:hAnsi="Arial" w:cs="Arial"/>
          <w:sz w:val="24"/>
          <w:szCs w:val="24"/>
          <w:lang w:val="en-GB"/>
        </w:rPr>
      </w:pPr>
      <w:r>
        <w:rPr>
          <w:rFonts w:ascii="Arial" w:hAnsi="Arial" w:cs="Arial"/>
          <w:sz w:val="24"/>
          <w:szCs w:val="24"/>
          <w:lang w:val="en-GB"/>
        </w:rPr>
        <w:lastRenderedPageBreak/>
        <w:t>[16]</w:t>
      </w:r>
      <w:r>
        <w:rPr>
          <w:rFonts w:ascii="Arial" w:hAnsi="Arial" w:cs="Arial"/>
          <w:sz w:val="24"/>
          <w:szCs w:val="24"/>
          <w:lang w:val="en-GB"/>
        </w:rPr>
        <w:tab/>
        <w:t>In my judgment, the amount of N$55 million of the N$65 million invested, as aforesaid, in GTI (‘the GTI Investment’) was NDC’s moneys and was considered persistently as such by plaintiff and was invested by NDC in GTI.  NDC made a bad investment.</w:t>
      </w:r>
    </w:p>
    <w:p w:rsidR="0009739A" w:rsidRDefault="0009739A" w:rsidP="00495CCB">
      <w:pPr>
        <w:pStyle w:val="NoSpacing"/>
        <w:spacing w:line="360" w:lineRule="auto"/>
        <w:jc w:val="both"/>
        <w:rPr>
          <w:rFonts w:ascii="Arial" w:hAnsi="Arial" w:cs="Arial"/>
          <w:sz w:val="24"/>
          <w:szCs w:val="24"/>
          <w:lang w:val="en-GB"/>
        </w:rPr>
      </w:pPr>
    </w:p>
    <w:p w:rsidR="0009739A" w:rsidRDefault="0009739A" w:rsidP="00495CCB">
      <w:pPr>
        <w:pStyle w:val="NoSpacing"/>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 xml:space="preserve">The consideration of the evidence in the foregoing paragraphs concerning NDC funds and the conclusions I have reached there apply with equal force by the context to the </w:t>
      </w:r>
      <w:r w:rsidR="00D62F7F">
        <w:rPr>
          <w:rFonts w:ascii="Arial" w:hAnsi="Arial" w:cs="Arial"/>
          <w:sz w:val="24"/>
          <w:szCs w:val="24"/>
          <w:lang w:val="en-GB"/>
        </w:rPr>
        <w:t>S</w:t>
      </w:r>
      <w:r w:rsidR="00755574">
        <w:rPr>
          <w:rFonts w:ascii="Arial" w:hAnsi="Arial" w:cs="Arial"/>
          <w:sz w:val="24"/>
          <w:szCs w:val="24"/>
          <w:lang w:val="en-GB"/>
        </w:rPr>
        <w:t>ilnam</w:t>
      </w:r>
      <w:r w:rsidR="00D62F7F">
        <w:rPr>
          <w:rFonts w:ascii="Arial" w:hAnsi="Arial" w:cs="Arial"/>
          <w:sz w:val="24"/>
          <w:szCs w:val="24"/>
          <w:lang w:val="en-GB"/>
        </w:rPr>
        <w:t xml:space="preserve"> funds as a</w:t>
      </w:r>
      <w:r>
        <w:rPr>
          <w:rFonts w:ascii="Arial" w:hAnsi="Arial" w:cs="Arial"/>
          <w:sz w:val="24"/>
          <w:szCs w:val="24"/>
          <w:lang w:val="en-GB"/>
        </w:rPr>
        <w:t xml:space="preserve"> part of the N$65 million.  To recap</w:t>
      </w:r>
      <w:r w:rsidR="00317190">
        <w:rPr>
          <w:rFonts w:ascii="Arial" w:hAnsi="Arial" w:cs="Arial"/>
          <w:sz w:val="24"/>
          <w:szCs w:val="24"/>
          <w:lang w:val="en-GB"/>
        </w:rPr>
        <w:t xml:space="preserve"> with reference to Silnam:</w:t>
      </w:r>
      <w:r>
        <w:rPr>
          <w:rFonts w:ascii="Arial" w:hAnsi="Arial" w:cs="Arial"/>
          <w:sz w:val="24"/>
          <w:szCs w:val="24"/>
          <w:lang w:val="en-GB"/>
        </w:rPr>
        <w:t xml:space="preserve"> there is no evidence that (a) </w:t>
      </w:r>
      <w:r w:rsidR="00D62F7F">
        <w:rPr>
          <w:rFonts w:ascii="Arial" w:hAnsi="Arial" w:cs="Arial"/>
          <w:sz w:val="24"/>
          <w:szCs w:val="24"/>
          <w:lang w:val="en-GB"/>
        </w:rPr>
        <w:t>S</w:t>
      </w:r>
      <w:r w:rsidR="00755574">
        <w:rPr>
          <w:rFonts w:ascii="Arial" w:hAnsi="Arial" w:cs="Arial"/>
          <w:sz w:val="24"/>
          <w:szCs w:val="24"/>
          <w:lang w:val="en-GB"/>
        </w:rPr>
        <w:t>ilnam</w:t>
      </w:r>
      <w:r w:rsidR="00D62F7F">
        <w:rPr>
          <w:rFonts w:ascii="Arial" w:hAnsi="Arial" w:cs="Arial"/>
          <w:sz w:val="24"/>
          <w:szCs w:val="24"/>
          <w:lang w:val="en-GB"/>
        </w:rPr>
        <w:t xml:space="preserve"> </w:t>
      </w:r>
      <w:r>
        <w:rPr>
          <w:rFonts w:ascii="Arial" w:hAnsi="Arial" w:cs="Arial"/>
          <w:sz w:val="24"/>
          <w:szCs w:val="24"/>
          <w:lang w:val="en-GB"/>
        </w:rPr>
        <w:t xml:space="preserve">donated any funds to plaintiff; (b) </w:t>
      </w:r>
      <w:r w:rsidR="00D62F7F">
        <w:rPr>
          <w:rFonts w:ascii="Arial" w:hAnsi="Arial" w:cs="Arial"/>
          <w:sz w:val="24"/>
          <w:szCs w:val="24"/>
          <w:lang w:val="en-GB"/>
        </w:rPr>
        <w:t>S</w:t>
      </w:r>
      <w:r w:rsidR="00755574">
        <w:rPr>
          <w:rFonts w:ascii="Arial" w:hAnsi="Arial" w:cs="Arial"/>
          <w:sz w:val="24"/>
          <w:szCs w:val="24"/>
          <w:lang w:val="en-GB"/>
        </w:rPr>
        <w:t>ilnam</w:t>
      </w:r>
      <w:r>
        <w:rPr>
          <w:rFonts w:ascii="Arial" w:hAnsi="Arial" w:cs="Arial"/>
          <w:sz w:val="24"/>
          <w:szCs w:val="24"/>
          <w:lang w:val="en-GB"/>
        </w:rPr>
        <w:t xml:space="preserve"> was at the relevant time one of the sources of funding of plaintiff (see para 1 above); (c) plaintiff and </w:t>
      </w:r>
      <w:r w:rsidR="00D62F7F">
        <w:rPr>
          <w:rFonts w:ascii="Arial" w:hAnsi="Arial" w:cs="Arial"/>
          <w:sz w:val="24"/>
          <w:szCs w:val="24"/>
          <w:lang w:val="en-GB"/>
        </w:rPr>
        <w:t>S</w:t>
      </w:r>
      <w:r w:rsidR="00755574">
        <w:rPr>
          <w:rFonts w:ascii="Arial" w:hAnsi="Arial" w:cs="Arial"/>
          <w:sz w:val="24"/>
          <w:szCs w:val="24"/>
          <w:lang w:val="en-GB"/>
        </w:rPr>
        <w:t>ilnam</w:t>
      </w:r>
      <w:r>
        <w:rPr>
          <w:rFonts w:ascii="Arial" w:hAnsi="Arial" w:cs="Arial"/>
          <w:sz w:val="24"/>
          <w:szCs w:val="24"/>
          <w:lang w:val="en-GB"/>
        </w:rPr>
        <w:t xml:space="preserve"> entered into a loa</w:t>
      </w:r>
      <w:r w:rsidR="00317190">
        <w:rPr>
          <w:rFonts w:ascii="Arial" w:hAnsi="Arial" w:cs="Arial"/>
          <w:sz w:val="24"/>
          <w:szCs w:val="24"/>
          <w:lang w:val="en-GB"/>
        </w:rPr>
        <w:t>n</w:t>
      </w:r>
      <w:r>
        <w:rPr>
          <w:rFonts w:ascii="Arial" w:hAnsi="Arial" w:cs="Arial"/>
          <w:sz w:val="24"/>
          <w:szCs w:val="24"/>
          <w:lang w:val="en-GB"/>
        </w:rPr>
        <w:t xml:space="preserve"> agreement whereby </w:t>
      </w:r>
      <w:r w:rsidR="00D62F7F">
        <w:rPr>
          <w:rFonts w:ascii="Arial" w:hAnsi="Arial" w:cs="Arial"/>
          <w:sz w:val="24"/>
          <w:szCs w:val="24"/>
          <w:lang w:val="en-GB"/>
        </w:rPr>
        <w:t>S</w:t>
      </w:r>
      <w:r w:rsidR="00755574">
        <w:rPr>
          <w:rFonts w:ascii="Arial" w:hAnsi="Arial" w:cs="Arial"/>
          <w:sz w:val="24"/>
          <w:szCs w:val="24"/>
          <w:lang w:val="en-GB"/>
        </w:rPr>
        <w:t>ilnam</w:t>
      </w:r>
      <w:r>
        <w:rPr>
          <w:rFonts w:ascii="Arial" w:hAnsi="Arial" w:cs="Arial"/>
          <w:sz w:val="24"/>
          <w:szCs w:val="24"/>
          <w:lang w:val="en-GB"/>
        </w:rPr>
        <w:t xml:space="preserve"> lent money’s to plaintiff; (d) plaintiff and </w:t>
      </w:r>
      <w:r w:rsidR="00D62F7F">
        <w:rPr>
          <w:rFonts w:ascii="Arial" w:hAnsi="Arial" w:cs="Arial"/>
          <w:sz w:val="24"/>
          <w:szCs w:val="24"/>
          <w:lang w:val="en-GB"/>
        </w:rPr>
        <w:t>S</w:t>
      </w:r>
      <w:r w:rsidR="00755574">
        <w:rPr>
          <w:rFonts w:ascii="Arial" w:hAnsi="Arial" w:cs="Arial"/>
          <w:sz w:val="24"/>
          <w:szCs w:val="24"/>
          <w:lang w:val="en-GB"/>
        </w:rPr>
        <w:t>ilnam</w:t>
      </w:r>
      <w:r>
        <w:rPr>
          <w:rFonts w:ascii="Arial" w:hAnsi="Arial" w:cs="Arial"/>
          <w:sz w:val="24"/>
          <w:szCs w:val="24"/>
          <w:lang w:val="en-GB"/>
        </w:rPr>
        <w:t xml:space="preserve"> entered into any investment management services agreement whereby plaintiff invested </w:t>
      </w:r>
      <w:r w:rsidR="00D62F7F">
        <w:rPr>
          <w:rFonts w:ascii="Arial" w:hAnsi="Arial" w:cs="Arial"/>
          <w:sz w:val="24"/>
          <w:szCs w:val="24"/>
          <w:lang w:val="en-GB"/>
        </w:rPr>
        <w:t>S</w:t>
      </w:r>
      <w:r w:rsidR="00755574">
        <w:rPr>
          <w:rFonts w:ascii="Arial" w:hAnsi="Arial" w:cs="Arial"/>
          <w:sz w:val="24"/>
          <w:szCs w:val="24"/>
          <w:lang w:val="en-GB"/>
        </w:rPr>
        <w:t>ilnam</w:t>
      </w:r>
      <w:r w:rsidR="00317190">
        <w:rPr>
          <w:rFonts w:ascii="Arial" w:hAnsi="Arial" w:cs="Arial"/>
          <w:sz w:val="24"/>
          <w:szCs w:val="24"/>
          <w:lang w:val="en-GB"/>
        </w:rPr>
        <w:t>’s</w:t>
      </w:r>
      <w:r>
        <w:rPr>
          <w:rFonts w:ascii="Arial" w:hAnsi="Arial" w:cs="Arial"/>
          <w:sz w:val="24"/>
          <w:szCs w:val="24"/>
          <w:lang w:val="en-GB"/>
        </w:rPr>
        <w:t xml:space="preserve"> funds </w:t>
      </w:r>
      <w:r w:rsidR="00317190">
        <w:rPr>
          <w:rFonts w:ascii="Arial" w:hAnsi="Arial" w:cs="Arial"/>
          <w:sz w:val="24"/>
          <w:szCs w:val="24"/>
          <w:lang w:val="en-GB"/>
        </w:rPr>
        <w:t xml:space="preserve">and </w:t>
      </w:r>
      <w:r>
        <w:rPr>
          <w:rFonts w:ascii="Arial" w:hAnsi="Arial" w:cs="Arial"/>
          <w:sz w:val="24"/>
          <w:szCs w:val="24"/>
          <w:lang w:val="en-GB"/>
        </w:rPr>
        <w:t xml:space="preserve">managed such investment pursuant to such </w:t>
      </w:r>
      <w:r w:rsidR="001B39AB">
        <w:rPr>
          <w:rFonts w:ascii="Arial" w:hAnsi="Arial" w:cs="Arial"/>
          <w:sz w:val="24"/>
          <w:szCs w:val="24"/>
          <w:lang w:val="en-GB"/>
        </w:rPr>
        <w:t>agreement.</w:t>
      </w:r>
    </w:p>
    <w:p w:rsidR="001B39AB" w:rsidRDefault="001B39AB" w:rsidP="00495CCB">
      <w:pPr>
        <w:pStyle w:val="NoSpacing"/>
        <w:spacing w:line="360" w:lineRule="auto"/>
        <w:jc w:val="both"/>
        <w:rPr>
          <w:rFonts w:ascii="Arial" w:hAnsi="Arial" w:cs="Arial"/>
          <w:sz w:val="24"/>
          <w:szCs w:val="24"/>
          <w:lang w:val="en-GB"/>
        </w:rPr>
      </w:pPr>
    </w:p>
    <w:p w:rsidR="00D561B0" w:rsidRDefault="001B39AB" w:rsidP="00495CCB">
      <w:pPr>
        <w:pStyle w:val="NoSpacing"/>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Burmeister’s testimony is unequivocal and unambiguous in the</w:t>
      </w:r>
      <w:r w:rsidR="00317190">
        <w:rPr>
          <w:rFonts w:ascii="Arial" w:hAnsi="Arial" w:cs="Arial"/>
          <w:sz w:val="24"/>
          <w:szCs w:val="24"/>
          <w:lang w:val="en-GB"/>
        </w:rPr>
        <w:t>s</w:t>
      </w:r>
      <w:r>
        <w:rPr>
          <w:rFonts w:ascii="Arial" w:hAnsi="Arial" w:cs="Arial"/>
          <w:sz w:val="24"/>
          <w:szCs w:val="24"/>
          <w:lang w:val="en-GB"/>
        </w:rPr>
        <w:t xml:space="preserve">e terms:  Plaintiff’s Board was unaware of placement of funds by other institutions (e.g. NDC and </w:t>
      </w:r>
      <w:r w:rsidR="00D62F7F">
        <w:rPr>
          <w:rFonts w:ascii="Arial" w:hAnsi="Arial" w:cs="Arial"/>
          <w:sz w:val="24"/>
          <w:szCs w:val="24"/>
          <w:lang w:val="en-GB"/>
        </w:rPr>
        <w:t>S</w:t>
      </w:r>
      <w:r w:rsidR="00317190">
        <w:rPr>
          <w:rFonts w:ascii="Arial" w:hAnsi="Arial" w:cs="Arial"/>
          <w:sz w:val="24"/>
          <w:szCs w:val="24"/>
          <w:lang w:val="en-GB"/>
        </w:rPr>
        <w:t>ilnam</w:t>
      </w:r>
      <w:r>
        <w:rPr>
          <w:rFonts w:ascii="Arial" w:hAnsi="Arial" w:cs="Arial"/>
          <w:sz w:val="24"/>
          <w:szCs w:val="24"/>
          <w:lang w:val="en-GB"/>
        </w:rPr>
        <w:t xml:space="preserve"> for onward investment with Great Triangle (GTI).  Furthermore, the investigations and legal action that </w:t>
      </w:r>
      <w:r w:rsidR="00317190">
        <w:rPr>
          <w:rFonts w:ascii="Arial" w:hAnsi="Arial" w:cs="Arial"/>
          <w:sz w:val="24"/>
          <w:szCs w:val="24"/>
          <w:lang w:val="en-GB"/>
        </w:rPr>
        <w:t>were</w:t>
      </w:r>
      <w:r>
        <w:rPr>
          <w:rFonts w:ascii="Arial" w:hAnsi="Arial" w:cs="Arial"/>
          <w:sz w:val="24"/>
          <w:szCs w:val="24"/>
          <w:lang w:val="en-GB"/>
        </w:rPr>
        <w:t xml:space="preserve"> launched</w:t>
      </w:r>
      <w:r w:rsidR="00317190">
        <w:rPr>
          <w:rFonts w:ascii="Arial" w:hAnsi="Arial" w:cs="Arial"/>
          <w:sz w:val="24"/>
          <w:szCs w:val="24"/>
          <w:lang w:val="en-GB"/>
        </w:rPr>
        <w:t xml:space="preserve"> by plaintiff</w:t>
      </w:r>
      <w:r>
        <w:rPr>
          <w:rFonts w:ascii="Arial" w:hAnsi="Arial" w:cs="Arial"/>
          <w:sz w:val="24"/>
          <w:szCs w:val="24"/>
          <w:lang w:val="en-GB"/>
        </w:rPr>
        <w:t xml:space="preserve"> were aimed at recovering all the funds invested by and/or through plaintiff, including the funds belonging to NDC and </w:t>
      </w:r>
      <w:r w:rsidR="00D62F7F">
        <w:rPr>
          <w:rFonts w:ascii="Arial" w:hAnsi="Arial" w:cs="Arial"/>
          <w:sz w:val="24"/>
          <w:szCs w:val="24"/>
          <w:lang w:val="en-GB"/>
        </w:rPr>
        <w:t>S</w:t>
      </w:r>
      <w:r w:rsidR="00317190">
        <w:rPr>
          <w:rFonts w:ascii="Arial" w:hAnsi="Arial" w:cs="Arial"/>
          <w:sz w:val="24"/>
          <w:szCs w:val="24"/>
          <w:lang w:val="en-GB"/>
        </w:rPr>
        <w:t>ilnam</w:t>
      </w:r>
      <w:r>
        <w:rPr>
          <w:rFonts w:ascii="Arial" w:hAnsi="Arial" w:cs="Arial"/>
          <w:sz w:val="24"/>
          <w:szCs w:val="24"/>
          <w:lang w:val="en-GB"/>
        </w:rPr>
        <w:t xml:space="preserve">.  In addition, if all the invested funds were recovered, NDC </w:t>
      </w:r>
      <w:r w:rsidR="00317190">
        <w:rPr>
          <w:rFonts w:ascii="Arial" w:hAnsi="Arial" w:cs="Arial"/>
          <w:sz w:val="24"/>
          <w:szCs w:val="24"/>
          <w:lang w:val="en-GB"/>
        </w:rPr>
        <w:t>and Silnam</w:t>
      </w:r>
      <w:r>
        <w:rPr>
          <w:rFonts w:ascii="Arial" w:hAnsi="Arial" w:cs="Arial"/>
          <w:sz w:val="24"/>
          <w:szCs w:val="24"/>
          <w:lang w:val="en-GB"/>
        </w:rPr>
        <w:t xml:space="preserve"> would receive their recovered portions.  There is also the evidence that </w:t>
      </w:r>
      <w:r w:rsidR="00D62F7F">
        <w:rPr>
          <w:rFonts w:ascii="Arial" w:hAnsi="Arial" w:cs="Arial"/>
          <w:sz w:val="24"/>
          <w:szCs w:val="24"/>
          <w:lang w:val="en-GB"/>
        </w:rPr>
        <w:t>S</w:t>
      </w:r>
      <w:r w:rsidR="00317190">
        <w:rPr>
          <w:rFonts w:ascii="Arial" w:hAnsi="Arial" w:cs="Arial"/>
          <w:sz w:val="24"/>
          <w:szCs w:val="24"/>
          <w:lang w:val="en-GB"/>
        </w:rPr>
        <w:t>ilnam</w:t>
      </w:r>
      <w:r>
        <w:rPr>
          <w:rFonts w:ascii="Arial" w:hAnsi="Arial" w:cs="Arial"/>
          <w:sz w:val="24"/>
          <w:szCs w:val="24"/>
          <w:lang w:val="en-GB"/>
        </w:rPr>
        <w:t xml:space="preserve"> took action against plaintiff and recovered N$7 million.  These pieces of evidence cannot on any pan of scale debunk my holding that </w:t>
      </w:r>
      <w:r w:rsidR="00D62F7F">
        <w:rPr>
          <w:rFonts w:ascii="Arial" w:hAnsi="Arial" w:cs="Arial"/>
          <w:sz w:val="24"/>
          <w:szCs w:val="24"/>
          <w:lang w:val="en-GB"/>
        </w:rPr>
        <w:t>Silnam’s</w:t>
      </w:r>
      <w:r>
        <w:rPr>
          <w:rFonts w:ascii="Arial" w:hAnsi="Arial" w:cs="Arial"/>
          <w:sz w:val="24"/>
          <w:szCs w:val="24"/>
          <w:lang w:val="en-GB"/>
        </w:rPr>
        <w:t xml:space="preserve"> part of the N$65</w:t>
      </w:r>
      <w:r w:rsidR="00317190">
        <w:rPr>
          <w:rFonts w:ascii="Arial" w:hAnsi="Arial" w:cs="Arial"/>
          <w:sz w:val="24"/>
          <w:szCs w:val="24"/>
          <w:lang w:val="en-GB"/>
        </w:rPr>
        <w:t xml:space="preserve"> million</w:t>
      </w:r>
      <w:r>
        <w:rPr>
          <w:rFonts w:ascii="Arial" w:hAnsi="Arial" w:cs="Arial"/>
          <w:sz w:val="24"/>
          <w:szCs w:val="24"/>
          <w:lang w:val="en-GB"/>
        </w:rPr>
        <w:t xml:space="preserve"> </w:t>
      </w:r>
      <w:r w:rsidR="00317190">
        <w:rPr>
          <w:rFonts w:ascii="Arial" w:hAnsi="Arial" w:cs="Arial"/>
          <w:sz w:val="24"/>
          <w:szCs w:val="24"/>
          <w:lang w:val="en-GB"/>
        </w:rPr>
        <w:t>was</w:t>
      </w:r>
      <w:r>
        <w:rPr>
          <w:rFonts w:ascii="Arial" w:hAnsi="Arial" w:cs="Arial"/>
          <w:sz w:val="24"/>
          <w:szCs w:val="24"/>
          <w:lang w:val="en-GB"/>
        </w:rPr>
        <w:t xml:space="preserve"> </w:t>
      </w:r>
      <w:r w:rsidR="00D62F7F">
        <w:rPr>
          <w:rFonts w:ascii="Arial" w:hAnsi="Arial" w:cs="Arial"/>
          <w:sz w:val="24"/>
          <w:szCs w:val="24"/>
          <w:lang w:val="en-GB"/>
        </w:rPr>
        <w:t>Silnam’s</w:t>
      </w:r>
      <w:r>
        <w:rPr>
          <w:rFonts w:ascii="Arial" w:hAnsi="Arial" w:cs="Arial"/>
          <w:sz w:val="24"/>
          <w:szCs w:val="24"/>
          <w:lang w:val="en-GB"/>
        </w:rPr>
        <w:t xml:space="preserve"> funds and belonged to </w:t>
      </w:r>
      <w:r w:rsidR="00317190">
        <w:rPr>
          <w:rFonts w:ascii="Arial" w:hAnsi="Arial" w:cs="Arial"/>
          <w:sz w:val="24"/>
          <w:szCs w:val="24"/>
          <w:lang w:val="en-GB"/>
        </w:rPr>
        <w:t>it</w:t>
      </w:r>
      <w:r>
        <w:rPr>
          <w:rFonts w:ascii="Arial" w:hAnsi="Arial" w:cs="Arial"/>
          <w:sz w:val="24"/>
          <w:szCs w:val="24"/>
          <w:lang w:val="en-GB"/>
        </w:rPr>
        <w:t xml:space="preserve">.  Like the NDC part of the N$65 million, </w:t>
      </w:r>
      <w:r w:rsidR="00D62F7F">
        <w:rPr>
          <w:rFonts w:ascii="Arial" w:hAnsi="Arial" w:cs="Arial"/>
          <w:sz w:val="24"/>
          <w:szCs w:val="24"/>
          <w:lang w:val="en-GB"/>
        </w:rPr>
        <w:t>Silnam’s</w:t>
      </w:r>
      <w:r>
        <w:rPr>
          <w:rFonts w:ascii="Arial" w:hAnsi="Arial" w:cs="Arial"/>
          <w:sz w:val="24"/>
          <w:szCs w:val="24"/>
          <w:lang w:val="en-GB"/>
        </w:rPr>
        <w:t xml:space="preserve"> part was moved using plaintiff as a drain, for the funds to reach GTI.  The evidence shows that it has always been the unwavering position of plaintiff, as I have mentioned previously, that plaintiff could not take responsibility for what happened to </w:t>
      </w:r>
      <w:r w:rsidR="00D62F7F">
        <w:rPr>
          <w:rFonts w:ascii="Arial" w:hAnsi="Arial" w:cs="Arial"/>
          <w:sz w:val="24"/>
          <w:szCs w:val="24"/>
          <w:lang w:val="en-GB"/>
        </w:rPr>
        <w:t>Silnam’s</w:t>
      </w:r>
      <w:r>
        <w:rPr>
          <w:rFonts w:ascii="Arial" w:hAnsi="Arial" w:cs="Arial"/>
          <w:sz w:val="24"/>
          <w:szCs w:val="24"/>
          <w:lang w:val="en-GB"/>
        </w:rPr>
        <w:t xml:space="preserve"> investment </w:t>
      </w:r>
      <w:r w:rsidR="00317190">
        <w:rPr>
          <w:rFonts w:ascii="Arial" w:hAnsi="Arial" w:cs="Arial"/>
          <w:sz w:val="24"/>
          <w:szCs w:val="24"/>
          <w:lang w:val="en-GB"/>
        </w:rPr>
        <w:t xml:space="preserve">because </w:t>
      </w:r>
      <w:r>
        <w:rPr>
          <w:rFonts w:ascii="Arial" w:hAnsi="Arial" w:cs="Arial"/>
          <w:sz w:val="24"/>
          <w:szCs w:val="24"/>
          <w:lang w:val="en-GB"/>
        </w:rPr>
        <w:t xml:space="preserve">plaintiff is not legally responsible to </w:t>
      </w:r>
      <w:r w:rsidR="00D62F7F">
        <w:rPr>
          <w:rFonts w:ascii="Arial" w:hAnsi="Arial" w:cs="Arial"/>
          <w:sz w:val="24"/>
          <w:szCs w:val="24"/>
          <w:lang w:val="en-GB"/>
        </w:rPr>
        <w:t>S</w:t>
      </w:r>
      <w:r w:rsidR="00317190">
        <w:rPr>
          <w:rFonts w:ascii="Arial" w:hAnsi="Arial" w:cs="Arial"/>
          <w:sz w:val="24"/>
          <w:szCs w:val="24"/>
          <w:lang w:val="en-GB"/>
        </w:rPr>
        <w:t>ilnam</w:t>
      </w:r>
      <w:r>
        <w:rPr>
          <w:rFonts w:ascii="Arial" w:hAnsi="Arial" w:cs="Arial"/>
          <w:sz w:val="24"/>
          <w:szCs w:val="24"/>
          <w:lang w:val="en-GB"/>
        </w:rPr>
        <w:t xml:space="preserve"> for its loss in the investment</w:t>
      </w:r>
      <w:r w:rsidR="009E780E">
        <w:rPr>
          <w:rFonts w:ascii="Arial" w:hAnsi="Arial" w:cs="Arial"/>
          <w:sz w:val="24"/>
          <w:szCs w:val="24"/>
          <w:lang w:val="en-GB"/>
        </w:rPr>
        <w:t xml:space="preserve"> adventure.  Like NDC, </w:t>
      </w:r>
      <w:r w:rsidR="000A7D69">
        <w:rPr>
          <w:rFonts w:ascii="Arial" w:hAnsi="Arial" w:cs="Arial"/>
          <w:sz w:val="24"/>
          <w:szCs w:val="24"/>
          <w:lang w:val="en-GB"/>
        </w:rPr>
        <w:t>Silnam</w:t>
      </w:r>
      <w:r w:rsidR="009E780E">
        <w:rPr>
          <w:rFonts w:ascii="Arial" w:hAnsi="Arial" w:cs="Arial"/>
          <w:sz w:val="24"/>
          <w:szCs w:val="24"/>
          <w:lang w:val="en-GB"/>
        </w:rPr>
        <w:t xml:space="preserve"> also made a bad investment.  It is</w:t>
      </w:r>
      <w:r w:rsidR="000A7D69">
        <w:rPr>
          <w:rFonts w:ascii="Arial" w:hAnsi="Arial" w:cs="Arial"/>
          <w:sz w:val="24"/>
          <w:szCs w:val="24"/>
          <w:lang w:val="en-GB"/>
        </w:rPr>
        <w:t>,</w:t>
      </w:r>
      <w:r w:rsidR="009E780E">
        <w:rPr>
          <w:rFonts w:ascii="Arial" w:hAnsi="Arial" w:cs="Arial"/>
          <w:sz w:val="24"/>
          <w:szCs w:val="24"/>
          <w:lang w:val="en-GB"/>
        </w:rPr>
        <w:t xml:space="preserve"> therefore, inexplicable</w:t>
      </w:r>
      <w:r w:rsidR="000A7D69">
        <w:rPr>
          <w:rFonts w:ascii="Arial" w:hAnsi="Arial" w:cs="Arial"/>
          <w:sz w:val="24"/>
          <w:szCs w:val="24"/>
          <w:lang w:val="en-GB"/>
        </w:rPr>
        <w:t xml:space="preserve"> as to why</w:t>
      </w:r>
      <w:r w:rsidR="009E780E">
        <w:rPr>
          <w:rFonts w:ascii="Arial" w:hAnsi="Arial" w:cs="Arial"/>
          <w:sz w:val="24"/>
          <w:szCs w:val="24"/>
          <w:lang w:val="en-GB"/>
        </w:rPr>
        <w:t xml:space="preserve"> in the face of plaintiff’s steadfast position,</w:t>
      </w:r>
      <w:r w:rsidR="000A7D69">
        <w:rPr>
          <w:rFonts w:ascii="Arial" w:hAnsi="Arial" w:cs="Arial"/>
          <w:sz w:val="24"/>
          <w:szCs w:val="24"/>
          <w:lang w:val="en-GB"/>
        </w:rPr>
        <w:t xml:space="preserve"> as I have set it out above,</w:t>
      </w:r>
      <w:r w:rsidR="009E780E">
        <w:rPr>
          <w:rFonts w:ascii="Arial" w:hAnsi="Arial" w:cs="Arial"/>
          <w:sz w:val="24"/>
          <w:szCs w:val="24"/>
          <w:lang w:val="en-GB"/>
        </w:rPr>
        <w:t xml:space="preserve"> </w:t>
      </w:r>
      <w:r w:rsidR="000A7D69">
        <w:rPr>
          <w:rFonts w:ascii="Arial" w:hAnsi="Arial" w:cs="Arial"/>
          <w:sz w:val="24"/>
          <w:szCs w:val="24"/>
          <w:lang w:val="en-GB"/>
        </w:rPr>
        <w:t xml:space="preserve">Silnam </w:t>
      </w:r>
      <w:r w:rsidR="000A7D69">
        <w:rPr>
          <w:rFonts w:ascii="Arial" w:hAnsi="Arial" w:cs="Arial"/>
          <w:sz w:val="24"/>
          <w:szCs w:val="24"/>
          <w:lang w:val="en-GB"/>
        </w:rPr>
        <w:lastRenderedPageBreak/>
        <w:t>succeeded in taking action against plaintiff</w:t>
      </w:r>
      <w:r w:rsidR="009E780E">
        <w:rPr>
          <w:rFonts w:ascii="Arial" w:hAnsi="Arial" w:cs="Arial"/>
          <w:sz w:val="24"/>
          <w:szCs w:val="24"/>
          <w:lang w:val="en-GB"/>
        </w:rPr>
        <w:t xml:space="preserve">, resulting in </w:t>
      </w:r>
      <w:r w:rsidR="00D62F7F">
        <w:rPr>
          <w:rFonts w:ascii="Arial" w:hAnsi="Arial" w:cs="Arial"/>
          <w:sz w:val="24"/>
          <w:szCs w:val="24"/>
          <w:lang w:val="en-GB"/>
        </w:rPr>
        <w:t>S</w:t>
      </w:r>
      <w:r w:rsidR="000A7D69">
        <w:rPr>
          <w:rFonts w:ascii="Arial" w:hAnsi="Arial" w:cs="Arial"/>
          <w:sz w:val="24"/>
          <w:szCs w:val="24"/>
          <w:lang w:val="en-GB"/>
        </w:rPr>
        <w:t>ilnam</w:t>
      </w:r>
      <w:r w:rsidR="009E780E">
        <w:rPr>
          <w:rFonts w:ascii="Arial" w:hAnsi="Arial" w:cs="Arial"/>
          <w:sz w:val="24"/>
          <w:szCs w:val="24"/>
          <w:lang w:val="en-GB"/>
        </w:rPr>
        <w:t xml:space="preserve"> recovering N$7 </w:t>
      </w:r>
      <w:r w:rsidR="000A7D69">
        <w:rPr>
          <w:rFonts w:ascii="Arial" w:hAnsi="Arial" w:cs="Arial"/>
          <w:sz w:val="24"/>
          <w:szCs w:val="24"/>
          <w:lang w:val="en-GB"/>
        </w:rPr>
        <w:t>million from plaintiff</w:t>
      </w:r>
      <w:r w:rsidR="009E780E">
        <w:rPr>
          <w:rFonts w:ascii="Arial" w:hAnsi="Arial" w:cs="Arial"/>
          <w:sz w:val="24"/>
          <w:szCs w:val="24"/>
          <w:lang w:val="en-GB"/>
        </w:rPr>
        <w:t xml:space="preserve">.  It only shows the fibre of those who managed this SOE. </w:t>
      </w:r>
      <w:r w:rsidR="00D561B0">
        <w:rPr>
          <w:rFonts w:ascii="Arial" w:hAnsi="Arial" w:cs="Arial"/>
          <w:sz w:val="24"/>
          <w:szCs w:val="24"/>
          <w:lang w:val="en-GB"/>
        </w:rPr>
        <w:t>I</w:t>
      </w:r>
      <w:r w:rsidR="000A7D69">
        <w:rPr>
          <w:rFonts w:ascii="Arial" w:hAnsi="Arial" w:cs="Arial"/>
          <w:sz w:val="24"/>
          <w:szCs w:val="24"/>
          <w:lang w:val="en-GB"/>
        </w:rPr>
        <w:t>n virtue of the reasoning and conclusions</w:t>
      </w:r>
      <w:r w:rsidR="00D561B0">
        <w:rPr>
          <w:rFonts w:ascii="Arial" w:hAnsi="Arial" w:cs="Arial"/>
          <w:sz w:val="24"/>
          <w:szCs w:val="24"/>
          <w:lang w:val="en-GB"/>
        </w:rPr>
        <w:t xml:space="preserve"> made above</w:t>
      </w:r>
      <w:r w:rsidR="000A7D69">
        <w:rPr>
          <w:rFonts w:ascii="Arial" w:hAnsi="Arial" w:cs="Arial"/>
          <w:sz w:val="24"/>
          <w:szCs w:val="24"/>
          <w:lang w:val="en-GB"/>
        </w:rPr>
        <w:t xml:space="preserve"> regarding Silnam’s funds, t</w:t>
      </w:r>
      <w:r w:rsidR="009E780E">
        <w:rPr>
          <w:rFonts w:ascii="Arial" w:hAnsi="Arial" w:cs="Arial"/>
          <w:sz w:val="24"/>
          <w:szCs w:val="24"/>
          <w:lang w:val="en-GB"/>
        </w:rPr>
        <w:t>h</w:t>
      </w:r>
      <w:r w:rsidR="000A7D69">
        <w:rPr>
          <w:rFonts w:ascii="Arial" w:hAnsi="Arial" w:cs="Arial"/>
          <w:sz w:val="24"/>
          <w:szCs w:val="24"/>
          <w:lang w:val="en-GB"/>
        </w:rPr>
        <w:t>at</w:t>
      </w:r>
      <w:r w:rsidR="009E780E">
        <w:rPr>
          <w:rFonts w:ascii="Arial" w:hAnsi="Arial" w:cs="Arial"/>
          <w:sz w:val="24"/>
          <w:szCs w:val="24"/>
          <w:lang w:val="en-GB"/>
        </w:rPr>
        <w:t xml:space="preserve"> action</w:t>
      </w:r>
      <w:r w:rsidR="00D561B0">
        <w:rPr>
          <w:rFonts w:ascii="Arial" w:hAnsi="Arial" w:cs="Arial"/>
          <w:sz w:val="24"/>
          <w:szCs w:val="24"/>
          <w:lang w:val="en-GB"/>
        </w:rPr>
        <w:t xml:space="preserve">, in my judgment, </w:t>
      </w:r>
      <w:r w:rsidR="009E780E">
        <w:rPr>
          <w:rFonts w:ascii="Arial" w:hAnsi="Arial" w:cs="Arial"/>
          <w:sz w:val="24"/>
          <w:szCs w:val="24"/>
          <w:lang w:val="en-GB"/>
        </w:rPr>
        <w:t>is irrelevant in these proceedings</w:t>
      </w:r>
      <w:r w:rsidR="00D561B0">
        <w:rPr>
          <w:rFonts w:ascii="Arial" w:hAnsi="Arial" w:cs="Arial"/>
          <w:sz w:val="24"/>
          <w:szCs w:val="24"/>
          <w:lang w:val="en-GB"/>
        </w:rPr>
        <w:t>.</w:t>
      </w:r>
    </w:p>
    <w:p w:rsidR="005700DD" w:rsidRDefault="005700DD" w:rsidP="00495CCB">
      <w:pPr>
        <w:pStyle w:val="NoSpacing"/>
        <w:spacing w:line="360" w:lineRule="auto"/>
        <w:jc w:val="both"/>
        <w:rPr>
          <w:rFonts w:ascii="Arial" w:hAnsi="Arial" w:cs="Arial"/>
          <w:sz w:val="24"/>
          <w:szCs w:val="24"/>
          <w:lang w:val="en-GB"/>
        </w:rPr>
      </w:pPr>
    </w:p>
    <w:p w:rsidR="005700DD" w:rsidRPr="005700DD" w:rsidRDefault="009E780E" w:rsidP="005700DD">
      <w:pPr>
        <w:pStyle w:val="BodyText"/>
        <w:spacing w:line="360" w:lineRule="auto"/>
        <w:jc w:val="both"/>
        <w:rPr>
          <w:rFonts w:ascii="Arial" w:hAnsi="Arial" w:cs="Arial"/>
        </w:rPr>
      </w:pPr>
      <w:r w:rsidRPr="005700DD">
        <w:rPr>
          <w:rFonts w:ascii="Arial" w:hAnsi="Arial" w:cs="Arial"/>
        </w:rPr>
        <w:t xml:space="preserve"> </w:t>
      </w:r>
      <w:r w:rsidR="005700DD" w:rsidRPr="005700DD">
        <w:rPr>
          <w:rFonts w:ascii="Arial" w:hAnsi="Arial" w:cs="Arial"/>
        </w:rPr>
        <w:t>[1</w:t>
      </w:r>
      <w:r w:rsidR="007673CD">
        <w:rPr>
          <w:rFonts w:ascii="Arial" w:hAnsi="Arial" w:cs="Arial"/>
        </w:rPr>
        <w:t>9</w:t>
      </w:r>
      <w:r w:rsidR="005700DD" w:rsidRPr="005700DD">
        <w:rPr>
          <w:rFonts w:ascii="Arial" w:hAnsi="Arial" w:cs="Arial"/>
        </w:rPr>
        <w:t>]</w:t>
      </w:r>
      <w:r w:rsidR="005700DD" w:rsidRPr="005700DD">
        <w:rPr>
          <w:rFonts w:ascii="Arial" w:hAnsi="Arial" w:cs="Arial"/>
        </w:rPr>
        <w:tab/>
        <w:t xml:space="preserve">In </w:t>
      </w:r>
      <w:r w:rsidR="005700DD" w:rsidRPr="005700DD">
        <w:rPr>
          <w:rFonts w:ascii="Arial" w:hAnsi="Arial" w:cs="Arial"/>
          <w:i/>
        </w:rPr>
        <w:t>DM v SM</w:t>
      </w:r>
      <w:r w:rsidR="005700DD" w:rsidRPr="005700DD">
        <w:rPr>
          <w:rFonts w:ascii="Arial" w:hAnsi="Arial" w:cs="Arial"/>
        </w:rPr>
        <w:t xml:space="preserve"> 2014(4) NR 1074, para 26, I cited with approval the following principle enunciated by the Supreme Court in </w:t>
      </w:r>
      <w:r w:rsidR="005700DD" w:rsidRPr="005700DD">
        <w:rPr>
          <w:rFonts w:ascii="Arial" w:hAnsi="Arial" w:cs="Arial"/>
          <w:i/>
        </w:rPr>
        <w:t xml:space="preserve">M Pupkewitz &amp; Sons (Pty) Ltd t/a </w:t>
      </w:r>
      <w:proofErr w:type="spellStart"/>
      <w:r w:rsidR="005700DD" w:rsidRPr="005700DD">
        <w:rPr>
          <w:rFonts w:ascii="Arial" w:hAnsi="Arial" w:cs="Arial"/>
          <w:i/>
        </w:rPr>
        <w:t>Pupkewitz</w:t>
      </w:r>
      <w:proofErr w:type="spellEnd"/>
      <w:r w:rsidR="005700DD" w:rsidRPr="005700DD">
        <w:rPr>
          <w:rFonts w:ascii="Arial" w:hAnsi="Arial" w:cs="Arial"/>
          <w:i/>
        </w:rPr>
        <w:t xml:space="preserve"> </w:t>
      </w:r>
      <w:proofErr w:type="spellStart"/>
      <w:r w:rsidR="005700DD" w:rsidRPr="005700DD">
        <w:rPr>
          <w:rFonts w:ascii="Arial" w:hAnsi="Arial" w:cs="Arial"/>
          <w:i/>
        </w:rPr>
        <w:t>Megabuild</w:t>
      </w:r>
      <w:proofErr w:type="spellEnd"/>
      <w:r w:rsidR="005700DD" w:rsidRPr="005700DD">
        <w:rPr>
          <w:rFonts w:ascii="Arial" w:hAnsi="Arial" w:cs="Arial"/>
          <w:i/>
        </w:rPr>
        <w:t xml:space="preserve"> v </w:t>
      </w:r>
      <w:proofErr w:type="spellStart"/>
      <w:r w:rsidR="005700DD" w:rsidRPr="005700DD">
        <w:rPr>
          <w:rFonts w:ascii="Arial" w:hAnsi="Arial" w:cs="Arial"/>
          <w:i/>
        </w:rPr>
        <w:t>Kurz</w:t>
      </w:r>
      <w:proofErr w:type="spellEnd"/>
      <w:r w:rsidR="005700DD" w:rsidRPr="005700DD">
        <w:rPr>
          <w:rFonts w:ascii="Arial" w:hAnsi="Arial" w:cs="Arial"/>
        </w:rPr>
        <w:t xml:space="preserve"> 2008 (2) NR 775 (SC) at 790B-E:</w:t>
      </w:r>
    </w:p>
    <w:p w:rsidR="005700DD" w:rsidRDefault="005700DD" w:rsidP="005700DD">
      <w:pPr>
        <w:pStyle w:val="BodyText"/>
        <w:spacing w:line="360" w:lineRule="auto"/>
        <w:jc w:val="both"/>
        <w:rPr>
          <w:rFonts w:ascii="Arial" w:hAnsi="Arial" w:cs="Arial"/>
        </w:rPr>
      </w:pPr>
    </w:p>
    <w:p w:rsidR="005700DD" w:rsidRDefault="005700DD" w:rsidP="00DF1C7D">
      <w:pPr>
        <w:pStyle w:val="BodyText"/>
        <w:spacing w:line="360" w:lineRule="auto"/>
        <w:jc w:val="both"/>
        <w:rPr>
          <w:rFonts w:ascii="Arial" w:hAnsi="Arial" w:cs="Arial"/>
          <w:sz w:val="20"/>
          <w:szCs w:val="20"/>
        </w:rPr>
      </w:pPr>
      <w:r w:rsidRPr="005700DD">
        <w:rPr>
          <w:rFonts w:ascii="Arial" w:hAnsi="Arial" w:cs="Arial"/>
          <w:sz w:val="22"/>
          <w:szCs w:val="22"/>
        </w:rPr>
        <w:t>‘Now it is trite law that, in general, in finding facts and making inferences in a civil case, the Court may go upon a mere preponderance of probability, even although it’s so doing does not exclude every reasonable doubt … for, in finding facts or making inferences in a civil case, it seems to me that one may … by balancing probabilities select a conclusion which seems to be the more natural, or plausible, conclusion fro</w:t>
      </w:r>
      <w:r>
        <w:rPr>
          <w:rFonts w:ascii="Arial" w:hAnsi="Arial" w:cs="Arial"/>
          <w:sz w:val="20"/>
          <w:szCs w:val="20"/>
        </w:rPr>
        <w:t>m amongst several conceivable ones, even though that conclusion be not the only reasonable one.’</w:t>
      </w:r>
    </w:p>
    <w:p w:rsidR="005700DD" w:rsidRDefault="005700DD" w:rsidP="005700DD">
      <w:pPr>
        <w:pStyle w:val="BodyText"/>
        <w:spacing w:line="360" w:lineRule="auto"/>
        <w:jc w:val="both"/>
        <w:rPr>
          <w:rFonts w:ascii="Arial" w:hAnsi="Arial" w:cs="Arial"/>
        </w:rPr>
      </w:pPr>
    </w:p>
    <w:p w:rsidR="009E780E" w:rsidRDefault="005700DD" w:rsidP="007673CD">
      <w:pPr>
        <w:spacing w:line="360" w:lineRule="auto"/>
        <w:jc w:val="both"/>
        <w:rPr>
          <w:rFonts w:ascii="Arial" w:hAnsi="Arial" w:cs="Arial"/>
          <w:sz w:val="24"/>
          <w:szCs w:val="24"/>
          <w:lang w:val="en-GB"/>
        </w:rPr>
      </w:pPr>
      <w:r w:rsidRPr="007673CD">
        <w:rPr>
          <w:rFonts w:ascii="Arial" w:hAnsi="Arial" w:cs="Arial"/>
          <w:sz w:val="24"/>
          <w:szCs w:val="24"/>
        </w:rPr>
        <w:t>[</w:t>
      </w:r>
      <w:r w:rsidR="007673CD" w:rsidRPr="007673CD">
        <w:rPr>
          <w:rFonts w:ascii="Arial" w:hAnsi="Arial" w:cs="Arial"/>
          <w:sz w:val="24"/>
          <w:szCs w:val="24"/>
        </w:rPr>
        <w:t>20</w:t>
      </w:r>
      <w:r w:rsidRPr="007673CD">
        <w:rPr>
          <w:rFonts w:ascii="Arial" w:hAnsi="Arial" w:cs="Arial"/>
          <w:sz w:val="24"/>
          <w:szCs w:val="24"/>
        </w:rPr>
        <w:t>]</w:t>
      </w:r>
      <w:r w:rsidRPr="007673CD">
        <w:rPr>
          <w:rFonts w:ascii="Arial" w:hAnsi="Arial" w:cs="Arial"/>
          <w:sz w:val="24"/>
          <w:szCs w:val="24"/>
        </w:rPr>
        <w:tab/>
        <w:t xml:space="preserve">I have considered plaintiff’s evidence. I have </w:t>
      </w:r>
      <w:r w:rsidR="008D7A98">
        <w:rPr>
          <w:rFonts w:ascii="Arial" w:hAnsi="Arial" w:cs="Arial"/>
          <w:sz w:val="24"/>
          <w:szCs w:val="24"/>
        </w:rPr>
        <w:t>applied</w:t>
      </w:r>
      <w:r w:rsidRPr="007673CD">
        <w:rPr>
          <w:rFonts w:ascii="Arial" w:hAnsi="Arial" w:cs="Arial"/>
          <w:sz w:val="24"/>
          <w:szCs w:val="24"/>
        </w:rPr>
        <w:t xml:space="preserve"> </w:t>
      </w:r>
      <w:r w:rsidRPr="007673CD">
        <w:rPr>
          <w:rFonts w:ascii="Arial" w:hAnsi="Arial" w:cs="Arial"/>
          <w:i/>
          <w:sz w:val="24"/>
          <w:szCs w:val="24"/>
        </w:rPr>
        <w:t xml:space="preserve">M Pupkewitz &amp; Sons (Pty) Ltd t/a Pupkewitz Megabuild v </w:t>
      </w:r>
      <w:r w:rsidR="007673CD" w:rsidRPr="007673CD">
        <w:rPr>
          <w:rFonts w:ascii="Arial" w:hAnsi="Arial" w:cs="Arial"/>
          <w:i/>
          <w:sz w:val="24"/>
          <w:szCs w:val="24"/>
        </w:rPr>
        <w:t>Kurtz</w:t>
      </w:r>
      <w:r w:rsidRPr="007673CD">
        <w:rPr>
          <w:rFonts w:ascii="Arial" w:hAnsi="Arial" w:cs="Arial"/>
          <w:sz w:val="24"/>
          <w:szCs w:val="24"/>
        </w:rPr>
        <w:t xml:space="preserve">. I have gone on a preponderance of probability. Having done all that, I conclude that plaintiff has failed to prove that its patrimony </w:t>
      </w:r>
      <w:r w:rsidR="00597A27">
        <w:rPr>
          <w:rFonts w:ascii="Arial" w:hAnsi="Arial" w:cs="Arial"/>
          <w:sz w:val="24"/>
          <w:szCs w:val="24"/>
        </w:rPr>
        <w:t>w</w:t>
      </w:r>
      <w:r w:rsidRPr="007673CD">
        <w:rPr>
          <w:rFonts w:ascii="Arial" w:hAnsi="Arial" w:cs="Arial"/>
          <w:sz w:val="24"/>
          <w:szCs w:val="24"/>
        </w:rPr>
        <w:t xml:space="preserve">as </w:t>
      </w:r>
      <w:r>
        <w:rPr>
          <w:rFonts w:ascii="Arial" w:hAnsi="Arial" w:cs="Arial"/>
          <w:sz w:val="24"/>
          <w:szCs w:val="24"/>
        </w:rPr>
        <w:t>diminished by N$65 million for which it could claim from defendant.</w:t>
      </w:r>
      <w:r w:rsidR="007673CD">
        <w:rPr>
          <w:rFonts w:ascii="Arial" w:hAnsi="Arial" w:cs="Arial"/>
          <w:sz w:val="24"/>
          <w:szCs w:val="24"/>
        </w:rPr>
        <w:t xml:space="preserve"> </w:t>
      </w:r>
      <w:r w:rsidR="009E780E">
        <w:rPr>
          <w:rFonts w:ascii="Arial" w:hAnsi="Arial" w:cs="Arial"/>
          <w:sz w:val="24"/>
          <w:szCs w:val="24"/>
          <w:lang w:val="en-GB"/>
        </w:rPr>
        <w:t xml:space="preserve">Plaintiff has failed to prove that it has suffered a loss to the tune of N$65 million or at all respecting the GTI ‘investment’. </w:t>
      </w:r>
      <w:r w:rsidR="007673CD">
        <w:rPr>
          <w:rFonts w:ascii="Arial" w:hAnsi="Arial" w:cs="Arial"/>
          <w:sz w:val="24"/>
          <w:szCs w:val="24"/>
          <w:lang w:val="en-GB"/>
        </w:rPr>
        <w:t xml:space="preserve">The principle of </w:t>
      </w:r>
      <w:r w:rsidR="009E780E" w:rsidRPr="009E780E">
        <w:rPr>
          <w:rFonts w:ascii="Arial" w:hAnsi="Arial" w:cs="Arial"/>
          <w:i/>
          <w:sz w:val="24"/>
          <w:szCs w:val="24"/>
          <w:lang w:val="en-GB"/>
        </w:rPr>
        <w:t>Nemo potest perdare quod ipse non possederat</w:t>
      </w:r>
      <w:r w:rsidR="007673CD">
        <w:rPr>
          <w:rFonts w:ascii="Arial" w:hAnsi="Arial" w:cs="Arial"/>
          <w:i/>
          <w:sz w:val="24"/>
          <w:szCs w:val="24"/>
          <w:lang w:val="en-GB"/>
        </w:rPr>
        <w:t xml:space="preserve"> </w:t>
      </w:r>
      <w:r w:rsidR="007673CD" w:rsidRPr="007673CD">
        <w:rPr>
          <w:rFonts w:ascii="Arial" w:hAnsi="Arial" w:cs="Arial"/>
          <w:sz w:val="24"/>
          <w:szCs w:val="24"/>
          <w:lang w:val="en-GB"/>
        </w:rPr>
        <w:t>should apply.</w:t>
      </w:r>
      <w:r w:rsidR="009E780E" w:rsidRPr="007673CD">
        <w:rPr>
          <w:rFonts w:ascii="Arial" w:hAnsi="Arial" w:cs="Arial"/>
          <w:sz w:val="24"/>
          <w:szCs w:val="24"/>
          <w:lang w:val="en-GB"/>
        </w:rPr>
        <w:t xml:space="preserve">  </w:t>
      </w:r>
      <w:r w:rsidR="00F62D5B">
        <w:rPr>
          <w:rFonts w:ascii="Arial" w:hAnsi="Arial" w:cs="Arial"/>
          <w:sz w:val="24"/>
          <w:szCs w:val="24"/>
          <w:lang w:val="en-GB"/>
        </w:rPr>
        <w:t>It follows that plaintiff could not claim what it itself had not lost.</w:t>
      </w:r>
    </w:p>
    <w:p w:rsidR="009E780E" w:rsidRDefault="009E780E" w:rsidP="00495CCB">
      <w:pPr>
        <w:pStyle w:val="NoSpacing"/>
        <w:spacing w:line="360" w:lineRule="auto"/>
        <w:jc w:val="both"/>
        <w:rPr>
          <w:rFonts w:ascii="Arial" w:hAnsi="Arial" w:cs="Arial"/>
          <w:sz w:val="24"/>
          <w:szCs w:val="24"/>
          <w:lang w:val="en-GB"/>
        </w:rPr>
      </w:pPr>
    </w:p>
    <w:p w:rsidR="009E780E" w:rsidRDefault="009E780E" w:rsidP="00495CCB">
      <w:pPr>
        <w:pStyle w:val="NoSpacing"/>
        <w:spacing w:line="360" w:lineRule="auto"/>
        <w:jc w:val="both"/>
        <w:rPr>
          <w:rFonts w:ascii="Arial" w:hAnsi="Arial" w:cs="Arial"/>
          <w:sz w:val="24"/>
          <w:szCs w:val="24"/>
          <w:lang w:val="en-GB"/>
        </w:rPr>
      </w:pPr>
      <w:r>
        <w:rPr>
          <w:rFonts w:ascii="Arial" w:hAnsi="Arial" w:cs="Arial"/>
          <w:sz w:val="24"/>
          <w:szCs w:val="24"/>
          <w:lang w:val="en-GB"/>
        </w:rPr>
        <w:t>[20]</w:t>
      </w:r>
      <w:r>
        <w:rPr>
          <w:rFonts w:ascii="Arial" w:hAnsi="Arial" w:cs="Arial"/>
          <w:sz w:val="24"/>
          <w:szCs w:val="24"/>
          <w:lang w:val="en-GB"/>
        </w:rPr>
        <w:tab/>
        <w:t>Based on all these reasons, the separa</w:t>
      </w:r>
      <w:r w:rsidR="003E6134">
        <w:rPr>
          <w:rFonts w:ascii="Arial" w:hAnsi="Arial" w:cs="Arial"/>
          <w:sz w:val="24"/>
          <w:szCs w:val="24"/>
          <w:lang w:val="en-GB"/>
        </w:rPr>
        <w:t>ted issues are determined in fav</w:t>
      </w:r>
      <w:r>
        <w:rPr>
          <w:rFonts w:ascii="Arial" w:hAnsi="Arial" w:cs="Arial"/>
          <w:sz w:val="24"/>
          <w:szCs w:val="24"/>
          <w:lang w:val="en-GB"/>
        </w:rPr>
        <w:t xml:space="preserve">our </w:t>
      </w:r>
      <w:r w:rsidR="003E6134">
        <w:rPr>
          <w:rFonts w:ascii="Arial" w:hAnsi="Arial" w:cs="Arial"/>
          <w:sz w:val="24"/>
          <w:szCs w:val="24"/>
          <w:lang w:val="en-GB"/>
        </w:rPr>
        <w:t>of defendant; whereupon, I order as follows:</w:t>
      </w:r>
    </w:p>
    <w:p w:rsidR="003E6134" w:rsidRDefault="003E6134" w:rsidP="00495CCB">
      <w:pPr>
        <w:pStyle w:val="NoSpacing"/>
        <w:spacing w:line="360" w:lineRule="auto"/>
        <w:jc w:val="both"/>
        <w:rPr>
          <w:rFonts w:ascii="Arial" w:hAnsi="Arial" w:cs="Arial"/>
          <w:sz w:val="24"/>
          <w:szCs w:val="24"/>
          <w:lang w:val="en-GB"/>
        </w:rPr>
      </w:pPr>
    </w:p>
    <w:p w:rsidR="003E6134" w:rsidRDefault="003E6134" w:rsidP="00DF1C7D">
      <w:pPr>
        <w:pStyle w:val="NoSpacing"/>
        <w:spacing w:line="360" w:lineRule="auto"/>
        <w:jc w:val="both"/>
        <w:rPr>
          <w:rFonts w:ascii="Arial" w:hAnsi="Arial" w:cs="Arial"/>
          <w:sz w:val="24"/>
          <w:szCs w:val="24"/>
          <w:lang w:val="en-GB"/>
        </w:rPr>
      </w:pPr>
      <w:r>
        <w:rPr>
          <w:rFonts w:ascii="Arial" w:hAnsi="Arial" w:cs="Arial"/>
          <w:sz w:val="24"/>
          <w:szCs w:val="24"/>
          <w:lang w:val="en-GB"/>
        </w:rPr>
        <w:t>Plaintiff’s claim is dismissed with costs, including costs of one instructing counsel and two instructed counsel</w:t>
      </w:r>
      <w:r w:rsidR="00570378">
        <w:rPr>
          <w:rFonts w:ascii="Arial" w:hAnsi="Arial" w:cs="Arial"/>
          <w:sz w:val="24"/>
          <w:szCs w:val="24"/>
          <w:lang w:val="en-GB"/>
        </w:rPr>
        <w:t>.</w:t>
      </w:r>
    </w:p>
    <w:p w:rsidR="003E6134" w:rsidRDefault="003E6134" w:rsidP="003E6134">
      <w:pPr>
        <w:pStyle w:val="NoSpacing"/>
        <w:spacing w:line="360" w:lineRule="auto"/>
        <w:jc w:val="both"/>
        <w:rPr>
          <w:rFonts w:ascii="Arial" w:hAnsi="Arial" w:cs="Arial"/>
          <w:sz w:val="24"/>
          <w:szCs w:val="24"/>
          <w:lang w:val="en-GB"/>
        </w:rPr>
      </w:pPr>
    </w:p>
    <w:p w:rsidR="00DF1C7D" w:rsidRPr="009E780E" w:rsidRDefault="00DF1C7D" w:rsidP="003E6134">
      <w:pPr>
        <w:pStyle w:val="NoSpacing"/>
        <w:spacing w:line="360" w:lineRule="auto"/>
        <w:jc w:val="both"/>
        <w:rPr>
          <w:rFonts w:ascii="Arial" w:hAnsi="Arial" w:cs="Arial"/>
          <w:sz w:val="24"/>
          <w:szCs w:val="24"/>
          <w:lang w:val="en-GB"/>
        </w:rPr>
      </w:pPr>
    </w:p>
    <w:p w:rsidR="0009739A" w:rsidRPr="00DF1C7D" w:rsidRDefault="003E6134" w:rsidP="00495CCB">
      <w:pPr>
        <w:pStyle w:val="NoSpacing"/>
        <w:spacing w:line="360" w:lineRule="auto"/>
        <w:jc w:val="both"/>
        <w:rPr>
          <w:rFonts w:ascii="Arial" w:hAnsi="Arial" w:cs="Arial"/>
          <w:sz w:val="24"/>
          <w:szCs w:val="24"/>
          <w:lang w:val="en-GB"/>
        </w:rPr>
      </w:pPr>
      <w:r>
        <w:rPr>
          <w:rFonts w:ascii="Arial" w:hAnsi="Arial" w:cs="Arial"/>
          <w:sz w:val="24"/>
          <w:szCs w:val="24"/>
          <w:lang w:val="en-GB"/>
        </w:rPr>
        <w:lastRenderedPageBreak/>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DF1C7D">
        <w:rPr>
          <w:rFonts w:ascii="Arial" w:hAnsi="Arial" w:cs="Arial"/>
          <w:sz w:val="24"/>
          <w:szCs w:val="24"/>
          <w:lang w:val="en-GB"/>
        </w:rPr>
        <w:t>________________</w:t>
      </w:r>
    </w:p>
    <w:p w:rsidR="003E6134" w:rsidRPr="00DF1C7D" w:rsidRDefault="003E6134" w:rsidP="00495CCB">
      <w:pPr>
        <w:pStyle w:val="NoSpacing"/>
        <w:spacing w:line="360" w:lineRule="auto"/>
        <w:jc w:val="both"/>
        <w:rPr>
          <w:rFonts w:ascii="Arial" w:hAnsi="Arial" w:cs="Arial"/>
          <w:sz w:val="24"/>
          <w:szCs w:val="24"/>
          <w:lang w:val="en-GB"/>
        </w:rPr>
      </w:pP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00DF1C7D">
        <w:rPr>
          <w:rFonts w:ascii="Arial" w:hAnsi="Arial" w:cs="Arial"/>
          <w:sz w:val="24"/>
          <w:szCs w:val="24"/>
          <w:lang w:val="en-GB"/>
        </w:rPr>
        <w:t xml:space="preserve">C </w:t>
      </w:r>
      <w:r w:rsidRPr="00DF1C7D">
        <w:rPr>
          <w:rFonts w:ascii="Arial" w:hAnsi="Arial" w:cs="Arial"/>
          <w:sz w:val="24"/>
          <w:szCs w:val="24"/>
          <w:lang w:val="en-GB"/>
        </w:rPr>
        <w:t>Parker</w:t>
      </w:r>
    </w:p>
    <w:p w:rsidR="003E6134" w:rsidRPr="00DF1C7D" w:rsidRDefault="003E6134" w:rsidP="00495CCB">
      <w:pPr>
        <w:pStyle w:val="NoSpacing"/>
        <w:spacing w:line="360" w:lineRule="auto"/>
        <w:jc w:val="both"/>
        <w:rPr>
          <w:rFonts w:ascii="Arial" w:hAnsi="Arial" w:cs="Arial"/>
          <w:sz w:val="24"/>
          <w:szCs w:val="24"/>
          <w:lang w:val="en-GB"/>
        </w:rPr>
      </w:pP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r>
      <w:r w:rsidRPr="00DF1C7D">
        <w:rPr>
          <w:rFonts w:ascii="Arial" w:hAnsi="Arial" w:cs="Arial"/>
          <w:sz w:val="24"/>
          <w:szCs w:val="24"/>
          <w:lang w:val="en-GB"/>
        </w:rPr>
        <w:tab/>
        <w:t xml:space="preserve">Acting Judge </w:t>
      </w:r>
    </w:p>
    <w:p w:rsidR="00854FDB" w:rsidRPr="00854FDB" w:rsidRDefault="00854FDB" w:rsidP="00495CCB">
      <w:pPr>
        <w:pStyle w:val="NoSpacing"/>
        <w:spacing w:line="360" w:lineRule="auto"/>
        <w:jc w:val="both"/>
        <w:rPr>
          <w:rFonts w:ascii="Arial" w:hAnsi="Arial" w:cs="Arial"/>
          <w:sz w:val="24"/>
          <w:szCs w:val="24"/>
          <w:lang w:val="en-GB"/>
        </w:rPr>
      </w:pPr>
    </w:p>
    <w:p w:rsidR="003D37D2" w:rsidRPr="003D37D2" w:rsidRDefault="003D37D2" w:rsidP="00495CCB">
      <w:pPr>
        <w:pStyle w:val="NoSpacing"/>
        <w:spacing w:line="360" w:lineRule="auto"/>
        <w:jc w:val="both"/>
        <w:rPr>
          <w:rFonts w:ascii="Arial" w:hAnsi="Arial" w:cs="Arial"/>
          <w:sz w:val="24"/>
          <w:szCs w:val="24"/>
          <w:lang w:val="en-GB"/>
        </w:rPr>
      </w:pPr>
      <w:r>
        <w:rPr>
          <w:rFonts w:ascii="Arial" w:hAnsi="Arial" w:cs="Arial"/>
          <w:sz w:val="24"/>
          <w:szCs w:val="24"/>
          <w:lang w:val="en-GB"/>
        </w:rPr>
        <w:t xml:space="preserve"> </w:t>
      </w:r>
    </w:p>
    <w:p w:rsidR="00F94E54" w:rsidRPr="00824B99" w:rsidRDefault="00F94E54" w:rsidP="00F94E54">
      <w:pPr>
        <w:tabs>
          <w:tab w:val="left" w:pos="720"/>
          <w:tab w:val="left" w:pos="2268"/>
        </w:tabs>
        <w:spacing w:after="0" w:line="360" w:lineRule="auto"/>
        <w:jc w:val="both"/>
        <w:rPr>
          <w:rFonts w:ascii="Arial" w:eastAsia="Times New Roman" w:hAnsi="Arial" w:cs="Arial"/>
          <w:sz w:val="24"/>
          <w:szCs w:val="24"/>
          <w:lang w:val="en-GB"/>
        </w:rPr>
      </w:pPr>
    </w:p>
    <w:p w:rsidR="007A61EC" w:rsidRDefault="007A61EC" w:rsidP="00EB233B">
      <w:pPr>
        <w:pStyle w:val="NoSpacing"/>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DF1C7D" w:rsidRDefault="00DF1C7D" w:rsidP="00DF1C7D">
      <w:pPr>
        <w:pStyle w:val="NoSpacing"/>
        <w:jc w:val="both"/>
        <w:rPr>
          <w:rFonts w:ascii="Arial" w:hAnsi="Arial" w:cs="Arial"/>
          <w:sz w:val="24"/>
          <w:szCs w:val="24"/>
        </w:rPr>
      </w:pPr>
    </w:p>
    <w:p w:rsidR="007A61EC" w:rsidRPr="00DF1C7D" w:rsidRDefault="007A61EC" w:rsidP="00DF1C7D">
      <w:pPr>
        <w:pStyle w:val="NoSpacing"/>
        <w:jc w:val="both"/>
        <w:rPr>
          <w:rFonts w:ascii="Arial" w:hAnsi="Arial" w:cs="Arial"/>
          <w:sz w:val="24"/>
          <w:szCs w:val="24"/>
        </w:rPr>
      </w:pPr>
      <w:r w:rsidRPr="00DF1C7D">
        <w:rPr>
          <w:rFonts w:ascii="Arial" w:hAnsi="Arial" w:cs="Arial"/>
          <w:sz w:val="24"/>
          <w:szCs w:val="24"/>
        </w:rPr>
        <w:lastRenderedPageBreak/>
        <w:t>APPEARANCES:</w:t>
      </w:r>
    </w:p>
    <w:p w:rsidR="008A1B1B" w:rsidRPr="007254D5" w:rsidRDefault="008A1B1B" w:rsidP="00EB233B">
      <w:pPr>
        <w:pStyle w:val="NoSpacing"/>
        <w:rPr>
          <w:rFonts w:ascii="Arial" w:hAnsi="Arial" w:cs="Arial"/>
          <w:b/>
          <w:sz w:val="24"/>
          <w:szCs w:val="24"/>
        </w:rPr>
      </w:pPr>
    </w:p>
    <w:p w:rsidR="007A61EC" w:rsidRDefault="007A61EC" w:rsidP="00EB233B">
      <w:pPr>
        <w:pStyle w:val="NoSpacing"/>
        <w:rPr>
          <w:rFonts w:ascii="Arial" w:hAnsi="Arial" w:cs="Arial"/>
          <w:sz w:val="24"/>
          <w:szCs w:val="24"/>
        </w:rPr>
      </w:pPr>
    </w:p>
    <w:p w:rsidR="007A61EC" w:rsidRPr="007A61EC" w:rsidRDefault="007254D5" w:rsidP="007A61EC">
      <w:pPr>
        <w:tabs>
          <w:tab w:val="left" w:pos="1394"/>
          <w:tab w:val="left" w:pos="2970"/>
        </w:tabs>
        <w:spacing w:after="0" w:line="360" w:lineRule="auto"/>
        <w:jc w:val="both"/>
        <w:rPr>
          <w:rFonts w:ascii="Arial" w:eastAsia="Calibri" w:hAnsi="Arial" w:cs="Arial"/>
          <w:sz w:val="24"/>
          <w:szCs w:val="24"/>
        </w:rPr>
      </w:pPr>
      <w:r>
        <w:rPr>
          <w:rFonts w:ascii="Arial" w:eastAsia="Calibri" w:hAnsi="Arial" w:cs="Arial"/>
          <w:sz w:val="24"/>
          <w:szCs w:val="24"/>
          <w:lang w:val="en-GB"/>
        </w:rPr>
        <w:t>FOR PLAINTIFF</w:t>
      </w:r>
      <w:r w:rsidR="007A61EC" w:rsidRPr="007A61EC">
        <w:rPr>
          <w:rFonts w:ascii="Arial" w:eastAsia="Calibri" w:hAnsi="Arial" w:cs="Arial"/>
          <w:sz w:val="24"/>
          <w:szCs w:val="24"/>
        </w:rPr>
        <w:t>:</w:t>
      </w:r>
      <w:r>
        <w:rPr>
          <w:rFonts w:ascii="Arial" w:eastAsia="Calibri" w:hAnsi="Arial" w:cs="Arial"/>
          <w:sz w:val="24"/>
          <w:szCs w:val="24"/>
        </w:rPr>
        <w:t xml:space="preserve">          </w:t>
      </w:r>
      <w:r w:rsidR="00DF1C7D">
        <w:rPr>
          <w:rFonts w:ascii="Arial" w:eastAsia="Calibri" w:hAnsi="Arial" w:cs="Arial"/>
          <w:bCs/>
          <w:sz w:val="24"/>
          <w:szCs w:val="24"/>
          <w:lang w:val="en-ZA" w:eastAsia="en-ZA"/>
        </w:rPr>
        <w:t xml:space="preserve">A </w:t>
      </w:r>
      <w:proofErr w:type="spellStart"/>
      <w:r w:rsidR="00DF1C7D">
        <w:rPr>
          <w:rFonts w:ascii="Arial" w:eastAsia="Calibri" w:hAnsi="Arial" w:cs="Arial"/>
          <w:bCs/>
          <w:sz w:val="24"/>
          <w:szCs w:val="24"/>
          <w:lang w:val="en-ZA" w:eastAsia="en-ZA"/>
        </w:rPr>
        <w:t>Subel</w:t>
      </w:r>
      <w:proofErr w:type="spellEnd"/>
      <w:r w:rsidR="00DF1C7D">
        <w:rPr>
          <w:rFonts w:ascii="Arial" w:eastAsia="Calibri" w:hAnsi="Arial" w:cs="Arial"/>
          <w:bCs/>
          <w:sz w:val="24"/>
          <w:szCs w:val="24"/>
          <w:lang w:val="en-ZA" w:eastAsia="en-ZA"/>
        </w:rPr>
        <w:t xml:space="preserve"> </w:t>
      </w:r>
      <w:r w:rsidR="007A61EC" w:rsidRPr="007A61EC">
        <w:rPr>
          <w:rFonts w:ascii="Arial" w:eastAsia="Calibri" w:hAnsi="Arial" w:cs="Arial"/>
          <w:bCs/>
          <w:sz w:val="24"/>
          <w:szCs w:val="24"/>
          <w:lang w:val="en-ZA" w:eastAsia="en-ZA"/>
        </w:rPr>
        <w:t>(</w:t>
      </w:r>
      <w:r w:rsidR="00DF1C7D">
        <w:rPr>
          <w:rFonts w:ascii="Arial" w:eastAsia="Calibri" w:hAnsi="Arial" w:cs="Arial"/>
          <w:bCs/>
          <w:sz w:val="24"/>
          <w:szCs w:val="24"/>
          <w:lang w:val="en-ZA" w:eastAsia="en-ZA"/>
        </w:rPr>
        <w:t xml:space="preserve">with him E </w:t>
      </w:r>
      <w:proofErr w:type="spellStart"/>
      <w:r w:rsidR="00DF1C7D">
        <w:rPr>
          <w:rFonts w:ascii="Arial" w:eastAsia="Calibri" w:hAnsi="Arial" w:cs="Arial"/>
          <w:bCs/>
          <w:sz w:val="24"/>
          <w:szCs w:val="24"/>
          <w:lang w:val="en-ZA" w:eastAsia="en-ZA"/>
        </w:rPr>
        <w:t>Schimming</w:t>
      </w:r>
      <w:proofErr w:type="spellEnd"/>
      <w:r w:rsidR="00DF1C7D">
        <w:rPr>
          <w:rFonts w:ascii="Arial" w:eastAsia="Calibri" w:hAnsi="Arial" w:cs="Arial"/>
          <w:bCs/>
          <w:sz w:val="24"/>
          <w:szCs w:val="24"/>
          <w:lang w:val="en-ZA" w:eastAsia="en-ZA"/>
        </w:rPr>
        <w:t>-chase</w:t>
      </w:r>
      <w:r w:rsidR="007A61EC" w:rsidRPr="007A61EC">
        <w:rPr>
          <w:rFonts w:ascii="Arial" w:eastAsia="Calibri" w:hAnsi="Arial" w:cs="Arial"/>
          <w:bCs/>
          <w:sz w:val="24"/>
          <w:szCs w:val="24"/>
          <w:lang w:val="en-ZA" w:eastAsia="en-ZA"/>
        </w:rPr>
        <w:t>)</w:t>
      </w:r>
    </w:p>
    <w:p w:rsidR="007A61EC" w:rsidRPr="007A61EC" w:rsidRDefault="007254D5" w:rsidP="00DF1C7D">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00DF1C7D">
        <w:rPr>
          <w:rFonts w:ascii="Arial" w:eastAsia="Calibri" w:hAnsi="Arial" w:cs="Arial"/>
          <w:sz w:val="24"/>
          <w:szCs w:val="24"/>
        </w:rPr>
        <w:t>instructed</w:t>
      </w:r>
      <w:proofErr w:type="gramEnd"/>
      <w:r w:rsidR="00DF1C7D">
        <w:rPr>
          <w:rFonts w:ascii="Arial" w:eastAsia="Calibri" w:hAnsi="Arial" w:cs="Arial"/>
          <w:sz w:val="24"/>
          <w:szCs w:val="24"/>
        </w:rPr>
        <w:t xml:space="preserve"> by </w:t>
      </w:r>
      <w:proofErr w:type="spellStart"/>
      <w:r>
        <w:rPr>
          <w:rFonts w:ascii="Arial" w:eastAsia="Calibri" w:hAnsi="Arial" w:cs="Arial"/>
          <w:sz w:val="24"/>
          <w:szCs w:val="24"/>
        </w:rPr>
        <w:t>Theunissen</w:t>
      </w:r>
      <w:proofErr w:type="spellEnd"/>
      <w:r>
        <w:rPr>
          <w:rFonts w:ascii="Arial" w:eastAsia="Calibri" w:hAnsi="Arial" w:cs="Arial"/>
          <w:sz w:val="24"/>
          <w:szCs w:val="24"/>
        </w:rPr>
        <w:t xml:space="preserve">, </w:t>
      </w:r>
      <w:proofErr w:type="spellStart"/>
      <w:r>
        <w:rPr>
          <w:rFonts w:ascii="Arial" w:eastAsia="Calibri" w:hAnsi="Arial" w:cs="Arial"/>
          <w:sz w:val="24"/>
          <w:szCs w:val="24"/>
        </w:rPr>
        <w:t>Louw</w:t>
      </w:r>
      <w:proofErr w:type="spellEnd"/>
      <w:r>
        <w:rPr>
          <w:rFonts w:ascii="Arial" w:eastAsia="Calibri" w:hAnsi="Arial" w:cs="Arial"/>
          <w:sz w:val="24"/>
          <w:szCs w:val="24"/>
        </w:rPr>
        <w:t xml:space="preserve"> &amp; Partners</w:t>
      </w:r>
      <w:r w:rsidR="00DF1C7D">
        <w:rPr>
          <w:rFonts w:ascii="Arial" w:eastAsia="Calibri" w:hAnsi="Arial" w:cs="Arial"/>
          <w:sz w:val="24"/>
          <w:szCs w:val="24"/>
        </w:rPr>
        <w:t xml:space="preserve">, </w:t>
      </w:r>
      <w:r w:rsidR="007A61EC" w:rsidRPr="007A61EC">
        <w:rPr>
          <w:rFonts w:ascii="Arial" w:eastAsia="Calibri" w:hAnsi="Arial" w:cs="Arial"/>
          <w:sz w:val="24"/>
          <w:szCs w:val="24"/>
        </w:rPr>
        <w:t>Windhoek</w:t>
      </w:r>
    </w:p>
    <w:p w:rsidR="007A61EC" w:rsidRPr="007A61EC" w:rsidRDefault="007A61EC" w:rsidP="007A61EC">
      <w:pPr>
        <w:autoSpaceDE w:val="0"/>
        <w:autoSpaceDN w:val="0"/>
        <w:adjustRightInd w:val="0"/>
        <w:spacing w:after="0" w:line="360" w:lineRule="auto"/>
        <w:ind w:left="3780" w:hanging="3780"/>
        <w:jc w:val="both"/>
        <w:rPr>
          <w:rFonts w:ascii="Arial" w:eastAsia="Calibri" w:hAnsi="Arial" w:cs="Arial"/>
          <w:sz w:val="24"/>
          <w:szCs w:val="24"/>
        </w:rPr>
      </w:pPr>
    </w:p>
    <w:p w:rsidR="007A61EC" w:rsidRPr="007A61EC" w:rsidRDefault="007A61EC" w:rsidP="007A61EC">
      <w:pPr>
        <w:autoSpaceDE w:val="0"/>
        <w:autoSpaceDN w:val="0"/>
        <w:adjustRightInd w:val="0"/>
        <w:spacing w:after="0" w:line="360" w:lineRule="auto"/>
        <w:ind w:left="3780" w:hanging="3780"/>
        <w:jc w:val="both"/>
        <w:rPr>
          <w:rFonts w:ascii="Arial" w:eastAsia="Calibri" w:hAnsi="Arial" w:cs="Arial"/>
          <w:sz w:val="24"/>
          <w:szCs w:val="24"/>
        </w:rPr>
      </w:pPr>
    </w:p>
    <w:p w:rsidR="007A61EC" w:rsidRPr="007A61EC" w:rsidRDefault="007A61EC" w:rsidP="007A61EC">
      <w:pPr>
        <w:autoSpaceDE w:val="0"/>
        <w:autoSpaceDN w:val="0"/>
        <w:adjustRightInd w:val="0"/>
        <w:spacing w:after="0" w:line="360" w:lineRule="auto"/>
        <w:ind w:left="3780" w:hanging="3780"/>
        <w:jc w:val="both"/>
        <w:rPr>
          <w:rFonts w:ascii="Arial" w:eastAsia="Calibri" w:hAnsi="Arial" w:cs="Arial"/>
          <w:sz w:val="24"/>
          <w:szCs w:val="24"/>
        </w:rPr>
      </w:pPr>
    </w:p>
    <w:p w:rsidR="007A61EC" w:rsidRPr="007A61EC" w:rsidRDefault="007254D5" w:rsidP="007A61EC">
      <w:pPr>
        <w:tabs>
          <w:tab w:val="left" w:pos="1394"/>
          <w:tab w:val="left" w:pos="2250"/>
          <w:tab w:val="left" w:pos="2520"/>
          <w:tab w:val="left" w:pos="2977"/>
        </w:tabs>
        <w:spacing w:after="0" w:line="360" w:lineRule="auto"/>
        <w:jc w:val="both"/>
        <w:rPr>
          <w:rFonts w:ascii="Arial" w:eastAsia="Calibri" w:hAnsi="Arial" w:cs="Arial"/>
          <w:sz w:val="24"/>
          <w:szCs w:val="24"/>
        </w:rPr>
      </w:pPr>
      <w:r>
        <w:rPr>
          <w:rFonts w:ascii="Arial" w:eastAsia="Calibri" w:hAnsi="Arial" w:cs="Arial"/>
          <w:sz w:val="24"/>
          <w:szCs w:val="24"/>
        </w:rPr>
        <w:t>FOR DEFENDANT</w:t>
      </w:r>
      <w:r w:rsidR="007A61EC" w:rsidRPr="007A61EC">
        <w:rPr>
          <w:rFonts w:ascii="Arial" w:eastAsia="Calibri" w:hAnsi="Arial" w:cs="Arial"/>
          <w:sz w:val="24"/>
          <w:szCs w:val="24"/>
        </w:rPr>
        <w:t>:</w:t>
      </w:r>
      <w:r w:rsidR="007A61EC" w:rsidRPr="007A61EC">
        <w:rPr>
          <w:rFonts w:ascii="Arial" w:eastAsia="Calibri" w:hAnsi="Arial" w:cs="Arial"/>
          <w:sz w:val="24"/>
          <w:szCs w:val="24"/>
        </w:rPr>
        <w:tab/>
      </w:r>
      <w:r w:rsidR="007A61EC" w:rsidRPr="007A61EC">
        <w:rPr>
          <w:rFonts w:ascii="Arial" w:eastAsia="Calibri" w:hAnsi="Arial" w:cs="Arial"/>
          <w:sz w:val="24"/>
          <w:szCs w:val="24"/>
        </w:rPr>
        <w:tab/>
      </w:r>
      <w:r w:rsidR="00DF1C7D">
        <w:rPr>
          <w:rFonts w:ascii="Arial" w:eastAsia="Calibri" w:hAnsi="Arial" w:cs="Arial"/>
          <w:sz w:val="24"/>
          <w:szCs w:val="24"/>
        </w:rPr>
        <w:t>Van der Nest</w:t>
      </w:r>
      <w:r w:rsidR="007A61EC" w:rsidRPr="007A61EC">
        <w:rPr>
          <w:rFonts w:ascii="Arial" w:eastAsia="Calibri" w:hAnsi="Arial" w:cs="Arial"/>
          <w:sz w:val="24"/>
          <w:szCs w:val="24"/>
        </w:rPr>
        <w:t xml:space="preserve"> (</w:t>
      </w:r>
      <w:r w:rsidR="00DF1C7D">
        <w:rPr>
          <w:rFonts w:ascii="Arial" w:eastAsia="Calibri" w:hAnsi="Arial" w:cs="Arial"/>
          <w:sz w:val="24"/>
          <w:szCs w:val="24"/>
        </w:rPr>
        <w:t>with him R Heathcote</w:t>
      </w:r>
      <w:r w:rsidR="007A61EC" w:rsidRPr="007A61EC">
        <w:rPr>
          <w:rFonts w:ascii="Arial" w:eastAsia="Calibri" w:hAnsi="Arial" w:cs="Arial"/>
          <w:sz w:val="24"/>
          <w:szCs w:val="24"/>
        </w:rPr>
        <w:t>)</w:t>
      </w:r>
    </w:p>
    <w:p w:rsidR="007A61EC" w:rsidRPr="007A61EC" w:rsidRDefault="009959BE" w:rsidP="00DF1C7D">
      <w:pPr>
        <w:tabs>
          <w:tab w:val="left" w:pos="2520"/>
        </w:tabs>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 xml:space="preserve">                                     </w:t>
      </w:r>
      <w:proofErr w:type="gramStart"/>
      <w:r w:rsidR="00DF1C7D">
        <w:rPr>
          <w:rFonts w:ascii="Arial" w:eastAsia="Calibri" w:hAnsi="Arial" w:cs="Arial"/>
          <w:sz w:val="24"/>
          <w:szCs w:val="24"/>
        </w:rPr>
        <w:t>instructed</w:t>
      </w:r>
      <w:proofErr w:type="gramEnd"/>
      <w:r w:rsidR="00DF1C7D">
        <w:rPr>
          <w:rFonts w:ascii="Arial" w:eastAsia="Calibri" w:hAnsi="Arial" w:cs="Arial"/>
          <w:sz w:val="24"/>
          <w:szCs w:val="24"/>
        </w:rPr>
        <w:t xml:space="preserve"> by </w:t>
      </w:r>
      <w:proofErr w:type="spellStart"/>
      <w:r w:rsidR="007254D5">
        <w:rPr>
          <w:rFonts w:ascii="Arial" w:eastAsia="Calibri" w:hAnsi="Arial" w:cs="Arial"/>
          <w:sz w:val="24"/>
          <w:szCs w:val="24"/>
        </w:rPr>
        <w:t>Engling</w:t>
      </w:r>
      <w:proofErr w:type="spellEnd"/>
      <w:r w:rsidR="007254D5">
        <w:rPr>
          <w:rFonts w:ascii="Arial" w:eastAsia="Calibri" w:hAnsi="Arial" w:cs="Arial"/>
          <w:sz w:val="24"/>
          <w:szCs w:val="24"/>
        </w:rPr>
        <w:t xml:space="preserve">, </w:t>
      </w:r>
      <w:proofErr w:type="spellStart"/>
      <w:r w:rsidR="007254D5">
        <w:rPr>
          <w:rFonts w:ascii="Arial" w:eastAsia="Calibri" w:hAnsi="Arial" w:cs="Arial"/>
          <w:sz w:val="24"/>
          <w:szCs w:val="24"/>
        </w:rPr>
        <w:t>Stritter</w:t>
      </w:r>
      <w:proofErr w:type="spellEnd"/>
      <w:r w:rsidR="007254D5">
        <w:rPr>
          <w:rFonts w:ascii="Arial" w:eastAsia="Calibri" w:hAnsi="Arial" w:cs="Arial"/>
          <w:sz w:val="24"/>
          <w:szCs w:val="24"/>
        </w:rPr>
        <w:t xml:space="preserve"> &amp; Partners</w:t>
      </w:r>
      <w:r w:rsidR="007A61EC" w:rsidRPr="007A61EC">
        <w:rPr>
          <w:rFonts w:ascii="Arial" w:eastAsia="Calibri" w:hAnsi="Arial" w:cs="Arial"/>
          <w:sz w:val="24"/>
          <w:szCs w:val="24"/>
        </w:rPr>
        <w:t>, Windhoek</w:t>
      </w:r>
    </w:p>
    <w:p w:rsidR="007A61EC" w:rsidRPr="007A61EC" w:rsidRDefault="007A61EC" w:rsidP="007A61EC">
      <w:pPr>
        <w:autoSpaceDE w:val="0"/>
        <w:autoSpaceDN w:val="0"/>
        <w:adjustRightInd w:val="0"/>
        <w:spacing w:after="0" w:line="360" w:lineRule="auto"/>
        <w:jc w:val="both"/>
        <w:rPr>
          <w:rFonts w:ascii="Arial" w:eastAsia="Calibri" w:hAnsi="Arial" w:cs="Arial"/>
          <w:sz w:val="24"/>
          <w:szCs w:val="24"/>
        </w:rPr>
      </w:pPr>
    </w:p>
    <w:p w:rsidR="007A61EC" w:rsidRPr="007A61EC" w:rsidRDefault="007A61EC" w:rsidP="007A61EC">
      <w:pPr>
        <w:autoSpaceDE w:val="0"/>
        <w:autoSpaceDN w:val="0"/>
        <w:adjustRightInd w:val="0"/>
        <w:spacing w:after="0" w:line="360" w:lineRule="auto"/>
        <w:jc w:val="both"/>
        <w:rPr>
          <w:rFonts w:ascii="Arial" w:eastAsia="Calibri" w:hAnsi="Arial" w:cs="Arial"/>
          <w:sz w:val="24"/>
          <w:szCs w:val="24"/>
        </w:rPr>
      </w:pPr>
    </w:p>
    <w:p w:rsidR="007A61EC" w:rsidRPr="007A61EC" w:rsidRDefault="007A61EC" w:rsidP="007A61EC">
      <w:pPr>
        <w:autoSpaceDE w:val="0"/>
        <w:autoSpaceDN w:val="0"/>
        <w:adjustRightInd w:val="0"/>
        <w:spacing w:after="0" w:line="360" w:lineRule="auto"/>
        <w:jc w:val="both"/>
        <w:rPr>
          <w:rFonts w:ascii="Arial" w:eastAsia="Calibri" w:hAnsi="Arial" w:cs="Arial"/>
          <w:sz w:val="24"/>
          <w:szCs w:val="24"/>
        </w:rPr>
      </w:pPr>
    </w:p>
    <w:p w:rsidR="007A61EC" w:rsidRPr="00EB233B" w:rsidRDefault="007A61EC" w:rsidP="00EB233B">
      <w:pPr>
        <w:pStyle w:val="NoSpacing"/>
        <w:rPr>
          <w:rFonts w:ascii="Arial" w:hAnsi="Arial" w:cs="Arial"/>
          <w:sz w:val="24"/>
          <w:szCs w:val="24"/>
        </w:rPr>
      </w:pPr>
    </w:p>
    <w:sectPr w:rsidR="007A61EC" w:rsidRPr="00EB233B" w:rsidSect="008A1B1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9C" w:rsidRDefault="0053469C" w:rsidP="008A1B1B">
      <w:pPr>
        <w:spacing w:after="0" w:line="240" w:lineRule="auto"/>
      </w:pPr>
      <w:r>
        <w:separator/>
      </w:r>
    </w:p>
  </w:endnote>
  <w:endnote w:type="continuationSeparator" w:id="0">
    <w:p w:rsidR="0053469C" w:rsidRDefault="0053469C" w:rsidP="008A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9C" w:rsidRDefault="0053469C" w:rsidP="008A1B1B">
      <w:pPr>
        <w:spacing w:after="0" w:line="240" w:lineRule="auto"/>
      </w:pPr>
      <w:r>
        <w:separator/>
      </w:r>
    </w:p>
  </w:footnote>
  <w:footnote w:type="continuationSeparator" w:id="0">
    <w:p w:rsidR="0053469C" w:rsidRDefault="0053469C" w:rsidP="008A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254185"/>
      <w:docPartObj>
        <w:docPartGallery w:val="Page Numbers (Top of Page)"/>
        <w:docPartUnique/>
      </w:docPartObj>
    </w:sdtPr>
    <w:sdtEndPr>
      <w:rPr>
        <w:noProof/>
      </w:rPr>
    </w:sdtEndPr>
    <w:sdtContent>
      <w:p w:rsidR="008A1B1B" w:rsidRDefault="008A1B1B">
        <w:pPr>
          <w:pStyle w:val="Header"/>
          <w:jc w:val="right"/>
        </w:pPr>
        <w:r>
          <w:fldChar w:fldCharType="begin"/>
        </w:r>
        <w:r>
          <w:instrText xml:space="preserve"> PAGE   \* MERGEFORMAT </w:instrText>
        </w:r>
        <w:r>
          <w:fldChar w:fldCharType="separate"/>
        </w:r>
        <w:r w:rsidR="00DF1C7D">
          <w:rPr>
            <w:noProof/>
          </w:rPr>
          <w:t>2</w:t>
        </w:r>
        <w:r>
          <w:rPr>
            <w:noProof/>
          </w:rPr>
          <w:fldChar w:fldCharType="end"/>
        </w:r>
      </w:p>
    </w:sdtContent>
  </w:sdt>
  <w:p w:rsidR="008A1B1B" w:rsidRDefault="008A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D2D"/>
    <w:multiLevelType w:val="hybridMultilevel"/>
    <w:tmpl w:val="EDF45D48"/>
    <w:lvl w:ilvl="0" w:tplc="B434A1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11AE"/>
    <w:multiLevelType w:val="hybridMultilevel"/>
    <w:tmpl w:val="9DE6F7F2"/>
    <w:lvl w:ilvl="0" w:tplc="298A1E80">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11386"/>
    <w:multiLevelType w:val="hybridMultilevel"/>
    <w:tmpl w:val="D98085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C9166AC"/>
    <w:multiLevelType w:val="hybridMultilevel"/>
    <w:tmpl w:val="2FA646CE"/>
    <w:lvl w:ilvl="0" w:tplc="7AFEECDA">
      <w:start w:val="1"/>
      <w:numFmt w:val="decimal"/>
      <w:lvlText w:val="(%1)"/>
      <w:lvlJc w:val="left"/>
      <w:pPr>
        <w:ind w:left="1227" w:hanging="435"/>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3B"/>
    <w:rsid w:val="00061375"/>
    <w:rsid w:val="00070B49"/>
    <w:rsid w:val="0009739A"/>
    <w:rsid w:val="000A7D69"/>
    <w:rsid w:val="000C3DA9"/>
    <w:rsid w:val="00126169"/>
    <w:rsid w:val="00196D21"/>
    <w:rsid w:val="001B39AB"/>
    <w:rsid w:val="001B5D3C"/>
    <w:rsid w:val="001E40F3"/>
    <w:rsid w:val="001E7006"/>
    <w:rsid w:val="001F649E"/>
    <w:rsid w:val="00210D39"/>
    <w:rsid w:val="00221E0D"/>
    <w:rsid w:val="002C3150"/>
    <w:rsid w:val="00307824"/>
    <w:rsid w:val="00317190"/>
    <w:rsid w:val="0033430B"/>
    <w:rsid w:val="003A4CCC"/>
    <w:rsid w:val="003C3F2E"/>
    <w:rsid w:val="003C466E"/>
    <w:rsid w:val="003D2B37"/>
    <w:rsid w:val="003D37D2"/>
    <w:rsid w:val="003D6642"/>
    <w:rsid w:val="003E6134"/>
    <w:rsid w:val="00417F3E"/>
    <w:rsid w:val="004613E8"/>
    <w:rsid w:val="0046733A"/>
    <w:rsid w:val="00495CCB"/>
    <w:rsid w:val="004F5E17"/>
    <w:rsid w:val="0053469C"/>
    <w:rsid w:val="00551A34"/>
    <w:rsid w:val="00565475"/>
    <w:rsid w:val="005700DD"/>
    <w:rsid w:val="00570378"/>
    <w:rsid w:val="00597A27"/>
    <w:rsid w:val="005C4075"/>
    <w:rsid w:val="005F2FE9"/>
    <w:rsid w:val="00656B46"/>
    <w:rsid w:val="007254D5"/>
    <w:rsid w:val="00755574"/>
    <w:rsid w:val="007673CD"/>
    <w:rsid w:val="0078641A"/>
    <w:rsid w:val="007A61EC"/>
    <w:rsid w:val="007F7F79"/>
    <w:rsid w:val="00803A63"/>
    <w:rsid w:val="00824B99"/>
    <w:rsid w:val="0084669D"/>
    <w:rsid w:val="00854FDB"/>
    <w:rsid w:val="008A1B1B"/>
    <w:rsid w:val="008C3738"/>
    <w:rsid w:val="008D1670"/>
    <w:rsid w:val="008D7A98"/>
    <w:rsid w:val="008E7255"/>
    <w:rsid w:val="00963F2F"/>
    <w:rsid w:val="009900CE"/>
    <w:rsid w:val="009959BE"/>
    <w:rsid w:val="009E780E"/>
    <w:rsid w:val="00A9591F"/>
    <w:rsid w:val="00B73086"/>
    <w:rsid w:val="00BE022D"/>
    <w:rsid w:val="00C60D2A"/>
    <w:rsid w:val="00D561B0"/>
    <w:rsid w:val="00D62F7F"/>
    <w:rsid w:val="00DA0830"/>
    <w:rsid w:val="00DF1C7D"/>
    <w:rsid w:val="00E211EB"/>
    <w:rsid w:val="00E809E0"/>
    <w:rsid w:val="00EB2097"/>
    <w:rsid w:val="00EB233B"/>
    <w:rsid w:val="00F62D5B"/>
    <w:rsid w:val="00F64AEF"/>
    <w:rsid w:val="00F94E54"/>
    <w:rsid w:val="00FB6469"/>
    <w:rsid w:val="00FE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3B"/>
    <w:pPr>
      <w:spacing w:after="0" w:line="240" w:lineRule="auto"/>
    </w:pPr>
  </w:style>
  <w:style w:type="paragraph" w:styleId="BalloonText">
    <w:name w:val="Balloon Text"/>
    <w:basedOn w:val="Normal"/>
    <w:link w:val="BalloonTextChar"/>
    <w:uiPriority w:val="99"/>
    <w:semiHidden/>
    <w:unhideWhenUsed/>
    <w:rsid w:val="00EB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3B"/>
    <w:rPr>
      <w:rFonts w:ascii="Tahoma" w:hAnsi="Tahoma" w:cs="Tahoma"/>
      <w:sz w:val="16"/>
      <w:szCs w:val="16"/>
    </w:rPr>
  </w:style>
  <w:style w:type="paragraph" w:styleId="Header">
    <w:name w:val="header"/>
    <w:basedOn w:val="Normal"/>
    <w:link w:val="HeaderChar"/>
    <w:uiPriority w:val="99"/>
    <w:unhideWhenUsed/>
    <w:rsid w:val="008A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1B"/>
  </w:style>
  <w:style w:type="paragraph" w:styleId="Footer">
    <w:name w:val="footer"/>
    <w:basedOn w:val="Normal"/>
    <w:link w:val="FooterChar"/>
    <w:uiPriority w:val="99"/>
    <w:unhideWhenUsed/>
    <w:rsid w:val="008A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1B"/>
  </w:style>
  <w:style w:type="paragraph" w:styleId="BodyText">
    <w:name w:val="Body Text"/>
    <w:basedOn w:val="Normal"/>
    <w:link w:val="BodyTextChar"/>
    <w:semiHidden/>
    <w:unhideWhenUsed/>
    <w:rsid w:val="005700D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700D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F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33B"/>
    <w:pPr>
      <w:spacing w:after="0" w:line="240" w:lineRule="auto"/>
    </w:pPr>
  </w:style>
  <w:style w:type="paragraph" w:styleId="BalloonText">
    <w:name w:val="Balloon Text"/>
    <w:basedOn w:val="Normal"/>
    <w:link w:val="BalloonTextChar"/>
    <w:uiPriority w:val="99"/>
    <w:semiHidden/>
    <w:unhideWhenUsed/>
    <w:rsid w:val="00EB2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3B"/>
    <w:rPr>
      <w:rFonts w:ascii="Tahoma" w:hAnsi="Tahoma" w:cs="Tahoma"/>
      <w:sz w:val="16"/>
      <w:szCs w:val="16"/>
    </w:rPr>
  </w:style>
  <w:style w:type="paragraph" w:styleId="Header">
    <w:name w:val="header"/>
    <w:basedOn w:val="Normal"/>
    <w:link w:val="HeaderChar"/>
    <w:uiPriority w:val="99"/>
    <w:unhideWhenUsed/>
    <w:rsid w:val="008A1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1B"/>
  </w:style>
  <w:style w:type="paragraph" w:styleId="Footer">
    <w:name w:val="footer"/>
    <w:basedOn w:val="Normal"/>
    <w:link w:val="FooterChar"/>
    <w:uiPriority w:val="99"/>
    <w:unhideWhenUsed/>
    <w:rsid w:val="008A1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1B"/>
  </w:style>
  <w:style w:type="paragraph" w:styleId="BodyText">
    <w:name w:val="Body Text"/>
    <w:basedOn w:val="Normal"/>
    <w:link w:val="BodyTextChar"/>
    <w:semiHidden/>
    <w:unhideWhenUsed/>
    <w:rsid w:val="005700D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5700D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F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2018-09-24T18:30:00+00:00</Judgment_x0020_Date>
    <Year xmlns="c1afb1bd-f2fb-40fd-9abb-aea55b4d7662">2018</Year>
  </documentManagement>
</p:properties>
</file>

<file path=customXml/itemProps1.xml><?xml version="1.0" encoding="utf-8"?>
<ds:datastoreItem xmlns:ds="http://schemas.openxmlformats.org/officeDocument/2006/customXml" ds:itemID="{E2D32B1A-FC68-4851-B2AC-3F105F065F81}"/>
</file>

<file path=customXml/itemProps2.xml><?xml version="1.0" encoding="utf-8"?>
<ds:datastoreItem xmlns:ds="http://schemas.openxmlformats.org/officeDocument/2006/customXml" ds:itemID="{BFAEF971-53FA-4961-A7C1-A12DA3AEF166}"/>
</file>

<file path=customXml/itemProps3.xml><?xml version="1.0" encoding="utf-8"?>
<ds:datastoreItem xmlns:ds="http://schemas.openxmlformats.org/officeDocument/2006/customXml" ds:itemID="{CB9283FF-A62F-43E6-98A0-CC9DDDCA67A8}"/>
</file>

<file path=docProps/app.xml><?xml version="1.0" encoding="utf-8"?>
<Properties xmlns="http://schemas.openxmlformats.org/officeDocument/2006/extended-properties" xmlns:vt="http://schemas.openxmlformats.org/officeDocument/2006/docPropsVTypes">
  <Template>Normal</Template>
  <TotalTime>0</TotalTime>
  <Pages>11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Development Company v Deloitte and Touche</dc:title>
  <dc:creator>Thomas Shapaka</dc:creator>
  <cp:lastModifiedBy>Nicole Januarie</cp:lastModifiedBy>
  <cp:revision>2</cp:revision>
  <cp:lastPrinted>2018-09-20T08:55:00Z</cp:lastPrinted>
  <dcterms:created xsi:type="dcterms:W3CDTF">2018-09-26T09:33:00Z</dcterms:created>
  <dcterms:modified xsi:type="dcterms:W3CDTF">2018-09-26T09:33:00Z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