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7A032E" w:rsidP="007A032E">
      <w:pPr>
        <w:tabs>
          <w:tab w:val="center" w:pos="4513"/>
          <w:tab w:val="left" w:pos="8220"/>
        </w:tabs>
        <w:spacing w:after="0" w:line="360" w:lineRule="auto"/>
        <w:rPr>
          <w:rFonts w:ascii="Arial" w:hAnsi="Arial" w:cs="Arial"/>
          <w:b/>
          <w:sz w:val="24"/>
          <w:szCs w:val="24"/>
        </w:rPr>
      </w:pPr>
      <w:r>
        <w:rPr>
          <w:rFonts w:ascii="Arial" w:hAnsi="Arial" w:cs="Arial"/>
          <w:b/>
          <w:sz w:val="24"/>
          <w:szCs w:val="24"/>
        </w:rPr>
        <w:tab/>
      </w:r>
      <w:r w:rsidR="001B7E1F" w:rsidRPr="006E026B">
        <w:rPr>
          <w:rFonts w:ascii="Arial" w:hAnsi="Arial" w:cs="Arial"/>
          <w:b/>
          <w:sz w:val="24"/>
          <w:szCs w:val="24"/>
        </w:rPr>
        <w:t>REPUBLIC OF NAMIBIA</w:t>
      </w:r>
      <w:r>
        <w:rPr>
          <w:rFonts w:ascii="Arial" w:hAnsi="Arial" w:cs="Arial"/>
          <w:b/>
          <w:sz w:val="24"/>
          <w:szCs w:val="24"/>
        </w:rPr>
        <w:tab/>
      </w:r>
    </w:p>
    <w:p w:rsidR="001B7E1F" w:rsidRDefault="00945885" w:rsidP="001B7E1F">
      <w:pPr>
        <w:spacing w:after="0" w:line="360" w:lineRule="auto"/>
        <w:jc w:val="center"/>
        <w:rPr>
          <w:b/>
          <w:sz w:val="32"/>
          <w:szCs w:val="32"/>
        </w:rPr>
      </w:pPr>
      <w:r>
        <w:rPr>
          <w:b/>
          <w:noProof/>
          <w:sz w:val="32"/>
          <w:szCs w:val="32"/>
          <w:lang w:val="en-ZA" w:eastAsia="en-ZA"/>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1B7E1F" w:rsidRPr="006E026B" w:rsidRDefault="001B7E1F" w:rsidP="001B7E1F">
      <w:pPr>
        <w:spacing w:after="0" w:line="360" w:lineRule="auto"/>
        <w:rPr>
          <w:rFonts w:ascii="Arial" w:hAnsi="Arial" w:cs="Arial"/>
          <w:sz w:val="24"/>
          <w:szCs w:val="24"/>
        </w:rPr>
      </w:pPr>
    </w:p>
    <w:p w:rsidR="001B7E1F" w:rsidRDefault="00466C0D" w:rsidP="001B7E1F">
      <w:pPr>
        <w:spacing w:after="0" w:line="360" w:lineRule="auto"/>
        <w:rPr>
          <w:rFonts w:ascii="Arial" w:hAnsi="Arial" w:cs="Arial"/>
        </w:rPr>
      </w:pPr>
      <w:r w:rsidRPr="006F0EC9">
        <w:rPr>
          <w:rFonts w:ascii="Arial" w:hAnsi="Arial" w:cs="Arial"/>
          <w:sz w:val="24"/>
          <w:szCs w:val="24"/>
          <w:lang w:eastAsia="en-GB"/>
        </w:rPr>
        <w:t xml:space="preserve">In the </w:t>
      </w:r>
      <w:r w:rsidR="00AE7367">
        <w:rPr>
          <w:rFonts w:ascii="Arial" w:hAnsi="Arial" w:cs="Arial"/>
          <w:lang w:eastAsia="en-GB"/>
        </w:rPr>
        <w:t>matter between</w:t>
      </w:r>
      <w:r w:rsidRPr="006F0EC9">
        <w:rPr>
          <w:rFonts w:ascii="Arial" w:hAnsi="Arial" w:cs="Arial"/>
          <w:sz w:val="24"/>
          <w:szCs w:val="24"/>
          <w:lang w:eastAsia="en-GB"/>
        </w:rPr>
        <w:t>:</w:t>
      </w:r>
      <w:r w:rsidR="00711119">
        <w:rPr>
          <w:rFonts w:ascii="Arial" w:hAnsi="Arial" w:cs="Arial"/>
          <w:sz w:val="24"/>
          <w:szCs w:val="24"/>
        </w:rPr>
        <w:tab/>
      </w:r>
      <w:r w:rsidR="00AE7367">
        <w:rPr>
          <w:rFonts w:ascii="Arial" w:hAnsi="Arial" w:cs="Arial"/>
          <w:sz w:val="24"/>
          <w:szCs w:val="24"/>
        </w:rPr>
        <w:tab/>
      </w:r>
      <w:r w:rsidR="00711119">
        <w:rPr>
          <w:rFonts w:ascii="Arial" w:hAnsi="Arial" w:cs="Arial"/>
          <w:sz w:val="24"/>
          <w:szCs w:val="24"/>
        </w:rPr>
        <w:t xml:space="preserve">       </w:t>
      </w:r>
      <w:r w:rsidR="006F0EC9">
        <w:rPr>
          <w:rFonts w:ascii="Arial" w:hAnsi="Arial" w:cs="Arial"/>
          <w:sz w:val="24"/>
          <w:szCs w:val="24"/>
        </w:rPr>
        <w:tab/>
      </w:r>
      <w:r w:rsidR="00711119">
        <w:rPr>
          <w:rFonts w:ascii="Arial" w:hAnsi="Arial" w:cs="Arial"/>
          <w:sz w:val="24"/>
          <w:szCs w:val="24"/>
        </w:rPr>
        <w:t xml:space="preserve"> </w:t>
      </w:r>
      <w:r w:rsidR="005234BE" w:rsidRPr="006E026B">
        <w:rPr>
          <w:rFonts w:ascii="Arial" w:hAnsi="Arial" w:cs="Arial"/>
          <w:sz w:val="24"/>
          <w:szCs w:val="24"/>
        </w:rPr>
        <w:t>Case no</w:t>
      </w:r>
      <w:r w:rsidR="005234BE">
        <w:rPr>
          <w:rFonts w:ascii="Arial" w:hAnsi="Arial" w:cs="Arial"/>
          <w:sz w:val="24"/>
          <w:szCs w:val="24"/>
        </w:rPr>
        <w:t xml:space="preserve">: </w:t>
      </w:r>
      <w:r w:rsidRPr="0061314E">
        <w:rPr>
          <w:rFonts w:ascii="Arial" w:hAnsi="Arial" w:cs="Arial"/>
        </w:rPr>
        <w:t>HC-MD-CIV-MOT-EXP-2016/00275</w:t>
      </w:r>
    </w:p>
    <w:p w:rsidR="00AE7367" w:rsidRDefault="00AE7367" w:rsidP="001B7E1F">
      <w:pPr>
        <w:spacing w:after="0" w:line="360" w:lineRule="auto"/>
        <w:rPr>
          <w:rFonts w:ascii="Arial" w:hAnsi="Arial" w:cs="Arial"/>
        </w:rPr>
      </w:pPr>
    </w:p>
    <w:p w:rsidR="00711119" w:rsidRDefault="00711119" w:rsidP="001B7E1F">
      <w:pPr>
        <w:spacing w:after="0" w:line="360" w:lineRule="auto"/>
        <w:rPr>
          <w:rFonts w:ascii="Arial" w:hAnsi="Arial" w:cs="Arial"/>
          <w:sz w:val="24"/>
          <w:szCs w:val="24"/>
        </w:rPr>
      </w:pPr>
    </w:p>
    <w:p w:rsidR="00466C0D" w:rsidRDefault="00AE7367" w:rsidP="00516F95">
      <w:pPr>
        <w:spacing w:after="0" w:line="360" w:lineRule="auto"/>
        <w:jc w:val="both"/>
        <w:rPr>
          <w:rFonts w:ascii="Arial" w:hAnsi="Arial" w:cs="Arial"/>
          <w:b/>
          <w:lang w:eastAsia="en-GB"/>
        </w:rPr>
      </w:pPr>
      <w:r w:rsidRPr="00EA43B6">
        <w:rPr>
          <w:rFonts w:ascii="Arial" w:hAnsi="Arial" w:cs="Arial"/>
          <w:b/>
          <w:sz w:val="24"/>
          <w:szCs w:val="24"/>
          <w:lang w:eastAsia="en-GB"/>
        </w:rPr>
        <w:t>THE NAMIBIAN COMPETITION COMMISSION</w:t>
      </w:r>
      <w:r w:rsidR="00466C0D">
        <w:rPr>
          <w:rFonts w:ascii="Arial" w:hAnsi="Arial" w:cs="Arial"/>
          <w:b/>
          <w:lang w:eastAsia="en-GB"/>
        </w:rPr>
        <w:tab/>
      </w:r>
      <w:r w:rsidR="00466C0D">
        <w:rPr>
          <w:rFonts w:ascii="Arial" w:hAnsi="Arial" w:cs="Arial"/>
          <w:b/>
          <w:lang w:eastAsia="en-GB"/>
        </w:rPr>
        <w:tab/>
      </w:r>
      <w:r w:rsidR="00466C0D">
        <w:rPr>
          <w:rFonts w:ascii="Arial" w:hAnsi="Arial" w:cs="Arial"/>
          <w:b/>
          <w:lang w:eastAsia="en-GB"/>
        </w:rPr>
        <w:tab/>
        <w:t xml:space="preserve">       </w:t>
      </w:r>
      <w:r w:rsidR="00466C0D" w:rsidRPr="00EA43B6">
        <w:rPr>
          <w:rFonts w:ascii="Arial" w:hAnsi="Arial" w:cs="Arial"/>
          <w:b/>
          <w:sz w:val="24"/>
          <w:szCs w:val="24"/>
          <w:lang w:eastAsia="en-GB"/>
        </w:rPr>
        <w:t>APPLICANT</w:t>
      </w:r>
    </w:p>
    <w:p w:rsidR="00466C0D" w:rsidRDefault="00466C0D" w:rsidP="00516F95">
      <w:pPr>
        <w:spacing w:after="0" w:line="360" w:lineRule="auto"/>
        <w:jc w:val="both"/>
        <w:rPr>
          <w:rFonts w:ascii="Arial" w:hAnsi="Arial" w:cs="Arial"/>
          <w:b/>
          <w:lang w:eastAsia="en-GB"/>
        </w:rPr>
      </w:pPr>
    </w:p>
    <w:p w:rsidR="00466C0D" w:rsidRPr="00466C0D" w:rsidRDefault="00466C0D" w:rsidP="00516F95">
      <w:pPr>
        <w:spacing w:after="0" w:line="360" w:lineRule="auto"/>
        <w:jc w:val="both"/>
        <w:rPr>
          <w:rFonts w:ascii="Arial" w:hAnsi="Arial" w:cs="Arial"/>
          <w:sz w:val="24"/>
          <w:szCs w:val="24"/>
          <w:lang w:eastAsia="en-GB"/>
        </w:rPr>
      </w:pPr>
      <w:proofErr w:type="gramStart"/>
      <w:r>
        <w:rPr>
          <w:rFonts w:ascii="Arial" w:hAnsi="Arial" w:cs="Arial"/>
          <w:sz w:val="24"/>
          <w:szCs w:val="24"/>
          <w:lang w:eastAsia="en-GB"/>
        </w:rPr>
        <w:t>a</w:t>
      </w:r>
      <w:r w:rsidRPr="00466C0D">
        <w:rPr>
          <w:rFonts w:ascii="Arial" w:hAnsi="Arial" w:cs="Arial"/>
          <w:sz w:val="24"/>
          <w:szCs w:val="24"/>
          <w:lang w:eastAsia="en-GB"/>
        </w:rPr>
        <w:t>nd</w:t>
      </w:r>
      <w:proofErr w:type="gramEnd"/>
    </w:p>
    <w:p w:rsidR="00466C0D" w:rsidRPr="00466C0D" w:rsidRDefault="00466C0D" w:rsidP="00516F95">
      <w:pPr>
        <w:spacing w:after="0" w:line="360" w:lineRule="auto"/>
        <w:jc w:val="both"/>
        <w:rPr>
          <w:rFonts w:ascii="Arial" w:hAnsi="Arial" w:cs="Arial"/>
          <w:b/>
          <w:sz w:val="24"/>
          <w:szCs w:val="24"/>
        </w:rPr>
      </w:pPr>
      <w:r>
        <w:rPr>
          <w:rFonts w:ascii="Arial" w:hAnsi="Arial" w:cs="Arial"/>
          <w:b/>
          <w:lang w:eastAsia="en-GB"/>
        </w:rPr>
        <w:tab/>
      </w:r>
    </w:p>
    <w:p w:rsidR="00CC2BD2" w:rsidRDefault="00AE7367" w:rsidP="00516F95">
      <w:pPr>
        <w:tabs>
          <w:tab w:val="right" w:pos="9000"/>
        </w:tabs>
        <w:spacing w:after="0" w:line="360" w:lineRule="auto"/>
        <w:jc w:val="both"/>
        <w:rPr>
          <w:rFonts w:ascii="Arial" w:hAnsi="Arial" w:cs="Arial"/>
          <w:b/>
          <w:sz w:val="24"/>
          <w:szCs w:val="24"/>
        </w:rPr>
      </w:pPr>
      <w:r w:rsidRPr="00EA43B6">
        <w:rPr>
          <w:rFonts w:ascii="Arial" w:hAnsi="Arial" w:cs="Arial"/>
          <w:b/>
          <w:sz w:val="24"/>
          <w:szCs w:val="24"/>
          <w:lang w:eastAsia="en-GB"/>
        </w:rPr>
        <w:t>PUMA ENERGY (NAMIBIA) (PTY) LTD</w:t>
      </w:r>
      <w:r w:rsidR="009232E2">
        <w:rPr>
          <w:rFonts w:ascii="Arial" w:hAnsi="Arial" w:cs="Arial"/>
          <w:b/>
          <w:sz w:val="24"/>
          <w:szCs w:val="24"/>
        </w:rPr>
        <w:tab/>
      </w:r>
      <w:r w:rsidR="00711119">
        <w:rPr>
          <w:rFonts w:ascii="Arial" w:hAnsi="Arial" w:cs="Arial"/>
          <w:b/>
          <w:sz w:val="24"/>
          <w:szCs w:val="24"/>
        </w:rPr>
        <w:t>RESPONDENT</w:t>
      </w:r>
    </w:p>
    <w:p w:rsidR="00890D23" w:rsidRDefault="00890D23" w:rsidP="001B7E1F">
      <w:pPr>
        <w:spacing w:after="0" w:line="360" w:lineRule="auto"/>
        <w:rPr>
          <w:rFonts w:ascii="Arial" w:hAnsi="Arial" w:cs="Arial"/>
          <w:b/>
          <w:sz w:val="24"/>
          <w:szCs w:val="24"/>
          <w:u w:val="single"/>
        </w:rPr>
      </w:pPr>
    </w:p>
    <w:p w:rsidR="00B22F12" w:rsidRPr="006E026B" w:rsidRDefault="00B22F12" w:rsidP="001B7E1F">
      <w:pPr>
        <w:spacing w:after="0" w:line="360" w:lineRule="auto"/>
        <w:rPr>
          <w:rFonts w:ascii="Arial" w:hAnsi="Arial" w:cs="Arial"/>
          <w:b/>
          <w:sz w:val="24"/>
          <w:szCs w:val="24"/>
          <w:u w:val="single"/>
        </w:rPr>
      </w:pPr>
    </w:p>
    <w:p w:rsidR="001B7E1F" w:rsidRPr="005D6C92" w:rsidRDefault="00D709F4" w:rsidP="00C4765D">
      <w:pPr>
        <w:spacing w:after="0" w:line="360" w:lineRule="auto"/>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sidR="00466C0D">
        <w:rPr>
          <w:rFonts w:ascii="Arial" w:hAnsi="Arial" w:cs="Arial"/>
          <w:i/>
          <w:sz w:val="24"/>
          <w:szCs w:val="24"/>
        </w:rPr>
        <w:t>The Namibian Competition Commission</w:t>
      </w:r>
      <w:r w:rsidR="00652CB8">
        <w:rPr>
          <w:rFonts w:ascii="Arial" w:hAnsi="Arial" w:cs="Arial"/>
          <w:i/>
          <w:sz w:val="24"/>
          <w:szCs w:val="24"/>
        </w:rPr>
        <w:t xml:space="preserve"> </w:t>
      </w:r>
      <w:r w:rsidR="00D87766">
        <w:rPr>
          <w:rFonts w:ascii="Arial" w:hAnsi="Arial" w:cs="Arial"/>
          <w:i/>
          <w:sz w:val="24"/>
          <w:szCs w:val="24"/>
        </w:rPr>
        <w:t xml:space="preserve">v </w:t>
      </w:r>
      <w:r w:rsidR="00466C0D">
        <w:rPr>
          <w:rFonts w:ascii="Arial" w:hAnsi="Arial" w:cs="Arial"/>
          <w:i/>
          <w:sz w:val="24"/>
          <w:szCs w:val="24"/>
        </w:rPr>
        <w:t>Puma Energy (Namibia) (Pty) Ltd</w:t>
      </w:r>
      <w:r w:rsidR="00A30618">
        <w:rPr>
          <w:rFonts w:ascii="Arial" w:hAnsi="Arial" w:cs="Arial"/>
          <w:i/>
          <w:sz w:val="24"/>
          <w:szCs w:val="24"/>
        </w:rPr>
        <w:t xml:space="preserve"> </w:t>
      </w:r>
      <w:r w:rsidR="001B7E1F" w:rsidRPr="00466C0D">
        <w:rPr>
          <w:rFonts w:ascii="Arial" w:hAnsi="Arial" w:cs="Arial"/>
          <w:sz w:val="24"/>
          <w:szCs w:val="24"/>
        </w:rPr>
        <w:t>(</w:t>
      </w:r>
      <w:r w:rsidR="00466C0D" w:rsidRPr="00466C0D">
        <w:rPr>
          <w:rFonts w:ascii="Arial" w:hAnsi="Arial" w:cs="Arial"/>
          <w:sz w:val="24"/>
          <w:szCs w:val="24"/>
        </w:rPr>
        <w:t>HC-MD-CIV-MOT-EXP-2016/00275</w:t>
      </w:r>
      <w:r w:rsidR="001B7E1F" w:rsidRPr="005D6C92">
        <w:rPr>
          <w:rFonts w:ascii="Arial" w:hAnsi="Arial" w:cs="Arial"/>
          <w:sz w:val="24"/>
          <w:szCs w:val="24"/>
        </w:rPr>
        <w:t>) [20</w:t>
      </w:r>
      <w:r w:rsidR="00E11C67">
        <w:rPr>
          <w:rFonts w:ascii="Arial" w:hAnsi="Arial" w:cs="Arial"/>
          <w:sz w:val="24"/>
          <w:szCs w:val="24"/>
        </w:rPr>
        <w:t>1</w:t>
      </w:r>
      <w:r w:rsidR="00466C0D">
        <w:rPr>
          <w:rFonts w:ascii="Arial" w:hAnsi="Arial" w:cs="Arial"/>
          <w:sz w:val="24"/>
          <w:szCs w:val="24"/>
        </w:rPr>
        <w:t>8</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192123">
        <w:rPr>
          <w:rFonts w:ascii="Arial" w:hAnsi="Arial" w:cs="Arial"/>
          <w:sz w:val="24"/>
          <w:szCs w:val="24"/>
        </w:rPr>
        <w:t>356</w:t>
      </w:r>
      <w:r w:rsidR="001B7E1F" w:rsidRPr="005D6C92">
        <w:rPr>
          <w:rFonts w:ascii="Arial" w:hAnsi="Arial" w:cs="Arial"/>
          <w:sz w:val="24"/>
          <w:szCs w:val="24"/>
        </w:rPr>
        <w:t xml:space="preserve"> (</w:t>
      </w:r>
      <w:r w:rsidR="00DB17D1">
        <w:rPr>
          <w:rFonts w:ascii="Arial" w:hAnsi="Arial" w:cs="Arial"/>
          <w:sz w:val="24"/>
          <w:szCs w:val="24"/>
        </w:rPr>
        <w:t>8</w:t>
      </w:r>
      <w:r w:rsidR="008B76F1">
        <w:rPr>
          <w:rFonts w:ascii="Arial" w:hAnsi="Arial" w:cs="Arial"/>
          <w:sz w:val="24"/>
          <w:szCs w:val="24"/>
        </w:rPr>
        <w:t xml:space="preserve"> </w:t>
      </w:r>
      <w:r w:rsidR="00711119">
        <w:rPr>
          <w:rFonts w:ascii="Arial" w:hAnsi="Arial" w:cs="Arial"/>
          <w:sz w:val="24"/>
          <w:szCs w:val="24"/>
        </w:rPr>
        <w:t>November</w:t>
      </w:r>
      <w:r w:rsidR="001B7E1F">
        <w:rPr>
          <w:rFonts w:ascii="Arial" w:hAnsi="Arial" w:cs="Arial"/>
          <w:sz w:val="24"/>
          <w:szCs w:val="24"/>
        </w:rPr>
        <w:t xml:space="preserve"> </w:t>
      </w:r>
      <w:r w:rsidR="001B7E1F" w:rsidRPr="005D6C92">
        <w:rPr>
          <w:rFonts w:ascii="Arial" w:hAnsi="Arial" w:cs="Arial"/>
          <w:sz w:val="24"/>
          <w:szCs w:val="24"/>
        </w:rPr>
        <w:t>20</w:t>
      </w:r>
      <w:r w:rsidR="00E11C67">
        <w:rPr>
          <w:rFonts w:ascii="Arial" w:hAnsi="Arial" w:cs="Arial"/>
          <w:sz w:val="24"/>
          <w:szCs w:val="24"/>
        </w:rPr>
        <w:t>1</w:t>
      </w:r>
      <w:r w:rsidR="00466C0D">
        <w:rPr>
          <w:rFonts w:ascii="Arial" w:hAnsi="Arial" w:cs="Arial"/>
          <w:sz w:val="24"/>
          <w:szCs w:val="24"/>
        </w:rPr>
        <w:t>8</w:t>
      </w:r>
      <w:r w:rsidR="001B7E1F" w:rsidRPr="005D6C92">
        <w:rPr>
          <w:rFonts w:ascii="Arial" w:hAnsi="Arial" w:cs="Arial"/>
          <w:sz w:val="24"/>
          <w:szCs w:val="24"/>
        </w:rPr>
        <w:t>)</w:t>
      </w:r>
    </w:p>
    <w:bookmarkEnd w:id="0"/>
    <w:p w:rsidR="00890D23" w:rsidRDefault="00890D23" w:rsidP="004670BF">
      <w:pPr>
        <w:spacing w:after="0" w:line="360" w:lineRule="auto"/>
        <w:jc w:val="both"/>
        <w:rPr>
          <w:rFonts w:ascii="Arial" w:hAnsi="Arial" w:cs="Arial"/>
          <w:b/>
          <w:sz w:val="24"/>
          <w:szCs w:val="24"/>
        </w:rPr>
      </w:pPr>
    </w:p>
    <w:p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8B76F1">
        <w:rPr>
          <w:rFonts w:ascii="Arial" w:hAnsi="Arial" w:cs="Arial"/>
          <w:sz w:val="24"/>
          <w:szCs w:val="24"/>
        </w:rPr>
        <w:t xml:space="preserve">GEIER </w:t>
      </w:r>
      <w:r w:rsidR="0085672D">
        <w:rPr>
          <w:rFonts w:ascii="Arial" w:hAnsi="Arial" w:cs="Arial"/>
          <w:sz w:val="24"/>
          <w:szCs w:val="24"/>
        </w:rPr>
        <w:t>J</w:t>
      </w:r>
      <w:r w:rsidR="00DD3A5C">
        <w:rPr>
          <w:rFonts w:ascii="Arial" w:hAnsi="Arial" w:cs="Arial"/>
          <w:sz w:val="24"/>
          <w:szCs w:val="24"/>
        </w:rPr>
        <w:t xml:space="preserve"> </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466C0D">
        <w:rPr>
          <w:rFonts w:ascii="Arial" w:hAnsi="Arial" w:cs="Arial"/>
          <w:b/>
          <w:sz w:val="24"/>
          <w:szCs w:val="24"/>
        </w:rPr>
        <w:t>06</w:t>
      </w:r>
      <w:r w:rsidRPr="001B7E1F">
        <w:rPr>
          <w:rFonts w:ascii="Arial" w:hAnsi="Arial" w:cs="Arial"/>
          <w:b/>
          <w:sz w:val="24"/>
          <w:szCs w:val="24"/>
        </w:rPr>
        <w:t xml:space="preserve"> </w:t>
      </w:r>
      <w:r w:rsidR="00466C0D">
        <w:rPr>
          <w:rFonts w:ascii="Arial" w:hAnsi="Arial" w:cs="Arial"/>
          <w:b/>
          <w:sz w:val="24"/>
          <w:szCs w:val="24"/>
        </w:rPr>
        <w:t>September</w:t>
      </w:r>
      <w:r w:rsidRPr="001B7E1F">
        <w:rPr>
          <w:rFonts w:ascii="Arial" w:hAnsi="Arial" w:cs="Arial"/>
          <w:b/>
          <w:sz w:val="24"/>
          <w:szCs w:val="24"/>
        </w:rPr>
        <w:t xml:space="preserve"> 20</w:t>
      </w:r>
      <w:r w:rsidR="00E11C67">
        <w:rPr>
          <w:rFonts w:ascii="Arial" w:hAnsi="Arial" w:cs="Arial"/>
          <w:b/>
          <w:sz w:val="24"/>
          <w:szCs w:val="24"/>
        </w:rPr>
        <w:t>1</w:t>
      </w:r>
      <w:r w:rsidR="00466C0D">
        <w:rPr>
          <w:rFonts w:ascii="Arial" w:hAnsi="Arial" w:cs="Arial"/>
          <w:b/>
          <w:sz w:val="24"/>
          <w:szCs w:val="24"/>
        </w:rPr>
        <w:t>8</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21620D">
        <w:rPr>
          <w:rFonts w:ascii="Arial" w:hAnsi="Arial" w:cs="Arial"/>
          <w:b/>
          <w:sz w:val="24"/>
          <w:szCs w:val="24"/>
        </w:rPr>
        <w:t>08</w:t>
      </w:r>
      <w:r w:rsidRPr="001B7E1F">
        <w:rPr>
          <w:rFonts w:ascii="Arial" w:hAnsi="Arial" w:cs="Arial"/>
          <w:b/>
          <w:sz w:val="24"/>
          <w:szCs w:val="24"/>
        </w:rPr>
        <w:t xml:space="preserve"> </w:t>
      </w:r>
      <w:r w:rsidR="00711119">
        <w:rPr>
          <w:rFonts w:ascii="Arial" w:hAnsi="Arial" w:cs="Arial"/>
          <w:b/>
          <w:sz w:val="24"/>
          <w:szCs w:val="24"/>
        </w:rPr>
        <w:t>November</w:t>
      </w:r>
      <w:r w:rsidRPr="001B7E1F">
        <w:rPr>
          <w:rFonts w:ascii="Arial" w:hAnsi="Arial" w:cs="Arial"/>
          <w:b/>
          <w:sz w:val="24"/>
          <w:szCs w:val="24"/>
        </w:rPr>
        <w:t xml:space="preserve"> 20</w:t>
      </w:r>
      <w:r w:rsidR="00E11C67">
        <w:rPr>
          <w:rFonts w:ascii="Arial" w:hAnsi="Arial" w:cs="Arial"/>
          <w:b/>
          <w:sz w:val="24"/>
          <w:szCs w:val="24"/>
        </w:rPr>
        <w:t>1</w:t>
      </w:r>
      <w:r w:rsidR="00466C0D">
        <w:rPr>
          <w:rFonts w:ascii="Arial" w:hAnsi="Arial" w:cs="Arial"/>
          <w:b/>
          <w:sz w:val="24"/>
          <w:szCs w:val="24"/>
        </w:rPr>
        <w:t>8</w:t>
      </w:r>
    </w:p>
    <w:p w:rsidR="00B22F12" w:rsidRDefault="00B22F12" w:rsidP="001B7E1F">
      <w:pPr>
        <w:spacing w:after="0" w:line="360" w:lineRule="auto"/>
        <w:jc w:val="both"/>
        <w:rPr>
          <w:rFonts w:ascii="Arial" w:hAnsi="Arial" w:cs="Arial"/>
          <w:b/>
          <w:sz w:val="24"/>
          <w:szCs w:val="24"/>
        </w:rPr>
      </w:pPr>
    </w:p>
    <w:p w:rsidR="0021620D" w:rsidRDefault="0021620D" w:rsidP="001B7E1F">
      <w:pPr>
        <w:spacing w:after="0" w:line="360" w:lineRule="auto"/>
        <w:jc w:val="both"/>
        <w:rPr>
          <w:rFonts w:ascii="Arial" w:hAnsi="Arial" w:cs="Arial"/>
          <w:b/>
          <w:sz w:val="24"/>
          <w:szCs w:val="24"/>
        </w:rPr>
      </w:pPr>
    </w:p>
    <w:p w:rsidR="004073C6" w:rsidRDefault="00822E88" w:rsidP="00466C0D">
      <w:pPr>
        <w:spacing w:after="0" w:line="360" w:lineRule="auto"/>
        <w:jc w:val="both"/>
        <w:rPr>
          <w:rFonts w:ascii="Arial" w:hAnsi="Arial" w:cs="Arial"/>
          <w:sz w:val="24"/>
          <w:szCs w:val="24"/>
        </w:rPr>
      </w:pPr>
      <w:proofErr w:type="spellStart"/>
      <w:r w:rsidRPr="00D43E68">
        <w:rPr>
          <w:rFonts w:ascii="Arial" w:hAnsi="Arial" w:cs="Arial"/>
          <w:b/>
          <w:sz w:val="24"/>
          <w:szCs w:val="24"/>
        </w:rPr>
        <w:t>Flynote</w:t>
      </w:r>
      <w:proofErr w:type="spellEnd"/>
      <w:r>
        <w:rPr>
          <w:rFonts w:ascii="Arial" w:hAnsi="Arial" w:cs="Arial"/>
          <w:sz w:val="24"/>
          <w:szCs w:val="24"/>
        </w:rPr>
        <w:t>:</w:t>
      </w:r>
      <w:r w:rsidR="0078146B">
        <w:rPr>
          <w:rFonts w:ascii="Arial" w:hAnsi="Arial" w:cs="Arial"/>
          <w:sz w:val="24"/>
          <w:szCs w:val="24"/>
        </w:rPr>
        <w:t xml:space="preserve"> </w:t>
      </w:r>
      <w:r w:rsidR="005A2081">
        <w:rPr>
          <w:rFonts w:ascii="Arial" w:hAnsi="Arial" w:cs="Arial"/>
          <w:sz w:val="24"/>
          <w:szCs w:val="24"/>
        </w:rPr>
        <w:t xml:space="preserve">A warrant in terms of Section 34 of the Competition Act 2 of 2003 had been granted on application made </w:t>
      </w:r>
      <w:r w:rsidR="005A2081" w:rsidRPr="005A2081">
        <w:rPr>
          <w:rFonts w:ascii="Arial" w:hAnsi="Arial" w:cs="Arial"/>
          <w:i/>
          <w:sz w:val="24"/>
          <w:szCs w:val="24"/>
        </w:rPr>
        <w:t>ex parte</w:t>
      </w:r>
      <w:r w:rsidR="005A2081">
        <w:rPr>
          <w:rFonts w:ascii="Arial" w:hAnsi="Arial" w:cs="Arial"/>
          <w:sz w:val="24"/>
          <w:szCs w:val="24"/>
        </w:rPr>
        <w:t xml:space="preserve"> and </w:t>
      </w:r>
      <w:r w:rsidR="005A2081" w:rsidRPr="005A2081">
        <w:rPr>
          <w:rFonts w:ascii="Arial" w:hAnsi="Arial" w:cs="Arial"/>
          <w:i/>
          <w:sz w:val="24"/>
          <w:szCs w:val="24"/>
        </w:rPr>
        <w:t>in camera</w:t>
      </w:r>
      <w:r w:rsidR="005A2081">
        <w:rPr>
          <w:rFonts w:ascii="Arial" w:hAnsi="Arial" w:cs="Arial"/>
          <w:i/>
          <w:sz w:val="24"/>
          <w:szCs w:val="24"/>
        </w:rPr>
        <w:t xml:space="preserve"> </w:t>
      </w:r>
      <w:r w:rsidR="005A2081" w:rsidRPr="005A2081">
        <w:rPr>
          <w:rFonts w:ascii="Arial" w:hAnsi="Arial" w:cs="Arial"/>
          <w:sz w:val="24"/>
          <w:szCs w:val="24"/>
        </w:rPr>
        <w:t>by a Judge of the High Court</w:t>
      </w:r>
      <w:r w:rsidR="005A2081">
        <w:rPr>
          <w:rFonts w:ascii="Arial" w:hAnsi="Arial" w:cs="Arial"/>
          <w:sz w:val="24"/>
          <w:szCs w:val="24"/>
        </w:rPr>
        <w:t xml:space="preserve"> during September 2016</w:t>
      </w:r>
      <w:r w:rsidR="00A8742A">
        <w:rPr>
          <w:rFonts w:ascii="Arial" w:hAnsi="Arial" w:cs="Arial"/>
          <w:sz w:val="24"/>
          <w:szCs w:val="24"/>
        </w:rPr>
        <w:t xml:space="preserve"> to the Namibian Competition Commission</w:t>
      </w:r>
      <w:r w:rsidR="003531BA">
        <w:rPr>
          <w:rFonts w:ascii="Arial" w:hAnsi="Arial" w:cs="Arial"/>
          <w:sz w:val="24"/>
          <w:szCs w:val="24"/>
        </w:rPr>
        <w:t>.</w:t>
      </w:r>
      <w:r w:rsidR="005A2081">
        <w:rPr>
          <w:rFonts w:ascii="Arial" w:hAnsi="Arial" w:cs="Arial"/>
          <w:sz w:val="24"/>
          <w:szCs w:val="24"/>
        </w:rPr>
        <w:t xml:space="preserve"> </w:t>
      </w:r>
      <w:r w:rsidR="003531BA">
        <w:rPr>
          <w:rFonts w:ascii="Arial" w:hAnsi="Arial" w:cs="Arial"/>
          <w:sz w:val="24"/>
          <w:szCs w:val="24"/>
        </w:rPr>
        <w:t xml:space="preserve"> </w:t>
      </w:r>
      <w:r w:rsidR="005A2081">
        <w:rPr>
          <w:rFonts w:ascii="Arial" w:hAnsi="Arial" w:cs="Arial"/>
          <w:sz w:val="24"/>
          <w:szCs w:val="24"/>
        </w:rPr>
        <w:t>The search authorized by the warrant occurred from 15 to 17 September 2016. On</w:t>
      </w:r>
      <w:r w:rsidR="00A8742A">
        <w:rPr>
          <w:rFonts w:ascii="Arial" w:hAnsi="Arial" w:cs="Arial"/>
          <w:sz w:val="24"/>
          <w:szCs w:val="24"/>
        </w:rPr>
        <w:t xml:space="preserve"> 10 October 2016 the respondent</w:t>
      </w:r>
      <w:r w:rsidR="005A2081">
        <w:rPr>
          <w:rFonts w:ascii="Arial" w:hAnsi="Arial" w:cs="Arial"/>
          <w:sz w:val="24"/>
          <w:szCs w:val="24"/>
        </w:rPr>
        <w:t xml:space="preserve"> filed its anticipation notice and its notice of counter-application. </w:t>
      </w:r>
      <w:r w:rsidR="005A2081">
        <w:rPr>
          <w:rFonts w:ascii="Arial" w:hAnsi="Arial" w:cs="Arial"/>
          <w:sz w:val="24"/>
          <w:szCs w:val="24"/>
        </w:rPr>
        <w:lastRenderedPageBreak/>
        <w:t>Court holding that the respondent, Puma Energy Namibia Pty Ltd, in this i</w:t>
      </w:r>
      <w:r w:rsidR="00D40BE8">
        <w:rPr>
          <w:rFonts w:ascii="Arial" w:hAnsi="Arial" w:cs="Arial"/>
          <w:sz w:val="24"/>
          <w:szCs w:val="24"/>
        </w:rPr>
        <w:t>nstance was entitled as a matter of law</w:t>
      </w:r>
      <w:r w:rsidR="005A2081">
        <w:rPr>
          <w:rFonts w:ascii="Arial" w:hAnsi="Arial" w:cs="Arial"/>
          <w:sz w:val="24"/>
          <w:szCs w:val="24"/>
        </w:rPr>
        <w:t>, to a reconsideration</w:t>
      </w:r>
      <w:r w:rsidR="00D40BE8">
        <w:rPr>
          <w:rFonts w:ascii="Arial" w:hAnsi="Arial" w:cs="Arial"/>
          <w:sz w:val="24"/>
          <w:szCs w:val="24"/>
        </w:rPr>
        <w:t xml:space="preserve"> of the order authorizing the warrant, which regardless of its form, was provisional in nature and subject to reconsideration where the court was tasked </w:t>
      </w:r>
      <w:r w:rsidR="00D40BE8" w:rsidRPr="00043CF5">
        <w:rPr>
          <w:rFonts w:ascii="Arial" w:hAnsi="Arial" w:cs="Arial"/>
          <w:sz w:val="24"/>
          <w:szCs w:val="24"/>
        </w:rPr>
        <w:t>to consider the matter 'afresh' on the return date — that is on the merits — in the light of all the information which has by then been placed before the court — 'as if the order was first being applied for'.</w:t>
      </w:r>
    </w:p>
    <w:p w:rsidR="00D40BE8" w:rsidRDefault="00D40BE8" w:rsidP="00466C0D">
      <w:pPr>
        <w:spacing w:after="0" w:line="360" w:lineRule="auto"/>
        <w:jc w:val="both"/>
        <w:rPr>
          <w:rFonts w:ascii="Arial" w:hAnsi="Arial" w:cs="Arial"/>
          <w:sz w:val="24"/>
          <w:szCs w:val="24"/>
        </w:rPr>
      </w:pPr>
    </w:p>
    <w:p w:rsidR="00D40BE8" w:rsidRPr="00D40BE8" w:rsidRDefault="003A28E2" w:rsidP="00466C0D">
      <w:pPr>
        <w:spacing w:after="0" w:line="360" w:lineRule="auto"/>
        <w:jc w:val="both"/>
        <w:rPr>
          <w:rFonts w:ascii="Arial" w:hAnsi="Arial" w:cs="Arial"/>
          <w:sz w:val="24"/>
          <w:szCs w:val="24"/>
        </w:rPr>
      </w:pPr>
      <w:r>
        <w:rPr>
          <w:rFonts w:ascii="Arial" w:hAnsi="Arial" w:cs="Arial"/>
          <w:sz w:val="24"/>
          <w:szCs w:val="24"/>
        </w:rPr>
        <w:t>Court holding</w:t>
      </w:r>
      <w:r w:rsidR="00D40BE8">
        <w:rPr>
          <w:rFonts w:ascii="Arial" w:hAnsi="Arial" w:cs="Arial"/>
          <w:sz w:val="24"/>
          <w:szCs w:val="24"/>
        </w:rPr>
        <w:t xml:space="preserve"> that in such circumstances and once the court wa</w:t>
      </w:r>
      <w:r w:rsidR="00D40BE8" w:rsidRPr="00D40BE8">
        <w:rPr>
          <w:rFonts w:ascii="Arial" w:hAnsi="Arial" w:cs="Arial"/>
          <w:sz w:val="24"/>
          <w:szCs w:val="24"/>
        </w:rPr>
        <w:t>s appraised of the true facts, through the filing of an answer, the court</w:t>
      </w:r>
      <w:r w:rsidR="00D40BE8">
        <w:rPr>
          <w:rFonts w:ascii="Arial" w:hAnsi="Arial" w:cs="Arial"/>
          <w:sz w:val="24"/>
          <w:szCs w:val="24"/>
        </w:rPr>
        <w:t xml:space="preserve"> may set aside the former order</w:t>
      </w:r>
      <w:r>
        <w:rPr>
          <w:rFonts w:ascii="Arial" w:hAnsi="Arial" w:cs="Arial"/>
          <w:sz w:val="24"/>
          <w:szCs w:val="24"/>
        </w:rPr>
        <w:t>. This so it was held further wa</w:t>
      </w:r>
      <w:r w:rsidR="00D40BE8" w:rsidRPr="00D40BE8">
        <w:rPr>
          <w:rFonts w:ascii="Arial" w:hAnsi="Arial" w:cs="Arial"/>
          <w:sz w:val="24"/>
          <w:szCs w:val="24"/>
        </w:rPr>
        <w:t>s not int</w:t>
      </w:r>
      <w:r w:rsidR="00D40BE8">
        <w:rPr>
          <w:rFonts w:ascii="Arial" w:hAnsi="Arial" w:cs="Arial"/>
          <w:sz w:val="24"/>
          <w:szCs w:val="24"/>
        </w:rPr>
        <w:t>erference with the discretion that the previous court had exercised</w:t>
      </w:r>
      <w:r w:rsidR="00D40BE8" w:rsidRPr="00D40BE8">
        <w:rPr>
          <w:rFonts w:ascii="Arial" w:hAnsi="Arial" w:cs="Arial"/>
          <w:sz w:val="24"/>
          <w:szCs w:val="24"/>
        </w:rPr>
        <w:t>, but an exercise of the</w:t>
      </w:r>
      <w:r>
        <w:rPr>
          <w:rFonts w:ascii="Arial" w:hAnsi="Arial" w:cs="Arial"/>
          <w:sz w:val="24"/>
          <w:szCs w:val="24"/>
        </w:rPr>
        <w:t xml:space="preserve"> reconsidering</w:t>
      </w:r>
      <w:r w:rsidR="00D40BE8" w:rsidRPr="00D40BE8">
        <w:rPr>
          <w:rFonts w:ascii="Arial" w:hAnsi="Arial" w:cs="Arial"/>
          <w:sz w:val="24"/>
          <w:szCs w:val="24"/>
        </w:rPr>
        <w:t xml:space="preserve"> courts powers, in the light of further information placed before it</w:t>
      </w:r>
      <w:r>
        <w:rPr>
          <w:rFonts w:ascii="Arial" w:hAnsi="Arial" w:cs="Arial"/>
          <w:sz w:val="24"/>
          <w:szCs w:val="24"/>
        </w:rPr>
        <w:t>.</w:t>
      </w:r>
    </w:p>
    <w:p w:rsidR="00780E76" w:rsidRDefault="00780E76" w:rsidP="00CD39BE">
      <w:pPr>
        <w:spacing w:after="0" w:line="360" w:lineRule="auto"/>
        <w:jc w:val="both"/>
        <w:rPr>
          <w:rFonts w:ascii="Arial" w:hAnsi="Arial" w:cs="Arial"/>
          <w:b/>
          <w:sz w:val="24"/>
          <w:szCs w:val="24"/>
        </w:rPr>
      </w:pPr>
    </w:p>
    <w:p w:rsidR="00D11F3E" w:rsidRDefault="00B66966" w:rsidP="00516F95">
      <w:pPr>
        <w:spacing w:after="0" w:line="360" w:lineRule="auto"/>
        <w:jc w:val="both"/>
        <w:rPr>
          <w:rFonts w:ascii="Arial" w:hAnsi="Arial" w:cs="Arial"/>
          <w:sz w:val="24"/>
          <w:szCs w:val="24"/>
        </w:rPr>
      </w:pPr>
      <w:r w:rsidRPr="00D43E68">
        <w:rPr>
          <w:rFonts w:ascii="Arial" w:hAnsi="Arial" w:cs="Arial"/>
          <w:b/>
          <w:sz w:val="24"/>
          <w:szCs w:val="24"/>
        </w:rPr>
        <w:t>Summary</w:t>
      </w:r>
      <w:r w:rsidRPr="008F578C">
        <w:rPr>
          <w:rFonts w:ascii="Arial" w:hAnsi="Arial" w:cs="Arial"/>
          <w:sz w:val="24"/>
          <w:szCs w:val="24"/>
        </w:rPr>
        <w:t xml:space="preserve">: </w:t>
      </w:r>
      <w:r w:rsidR="00B3050E">
        <w:rPr>
          <w:rFonts w:ascii="Arial" w:hAnsi="Arial" w:cs="Arial"/>
          <w:sz w:val="24"/>
          <w:szCs w:val="24"/>
        </w:rPr>
        <w:t>The Namibian Competition Commission had applied for- and was granted a warrant to enter and search the premises of Puma Energy Namibia Pty Ltd for purposes of establish whether or not Puma was engaged in prohibitive practices as a result of a complaint received. The High Court authorized th</w:t>
      </w:r>
      <w:r w:rsidR="00D861C4">
        <w:rPr>
          <w:rFonts w:ascii="Arial" w:hAnsi="Arial" w:cs="Arial"/>
          <w:sz w:val="24"/>
          <w:szCs w:val="24"/>
        </w:rPr>
        <w:t>e applied for sear</w:t>
      </w:r>
      <w:r w:rsidR="00B3050E">
        <w:rPr>
          <w:rFonts w:ascii="Arial" w:hAnsi="Arial" w:cs="Arial"/>
          <w:sz w:val="24"/>
          <w:szCs w:val="24"/>
        </w:rPr>
        <w:t>ch and issued an appropriate warrant for such purpose in terms of Section 34 of the</w:t>
      </w:r>
      <w:r w:rsidR="00D861C4">
        <w:rPr>
          <w:rFonts w:ascii="Arial" w:hAnsi="Arial" w:cs="Arial"/>
          <w:sz w:val="24"/>
          <w:szCs w:val="24"/>
        </w:rPr>
        <w:t xml:space="preserve"> Competition Act 2 of 2003. The warrant was granted by order granted </w:t>
      </w:r>
      <w:r w:rsidR="00D861C4" w:rsidRPr="00D861C4">
        <w:rPr>
          <w:rFonts w:ascii="Arial" w:hAnsi="Arial" w:cs="Arial"/>
          <w:i/>
          <w:sz w:val="24"/>
          <w:szCs w:val="24"/>
        </w:rPr>
        <w:t>ex parte</w:t>
      </w:r>
      <w:r w:rsidR="00D861C4">
        <w:rPr>
          <w:rFonts w:ascii="Arial" w:hAnsi="Arial" w:cs="Arial"/>
          <w:sz w:val="24"/>
          <w:szCs w:val="24"/>
        </w:rPr>
        <w:t xml:space="preserve"> and </w:t>
      </w:r>
      <w:r w:rsidR="00D861C4" w:rsidRPr="00D861C4">
        <w:rPr>
          <w:rFonts w:ascii="Arial" w:hAnsi="Arial" w:cs="Arial"/>
          <w:i/>
          <w:sz w:val="24"/>
          <w:szCs w:val="24"/>
        </w:rPr>
        <w:t>in camera</w:t>
      </w:r>
      <w:r w:rsidR="00D861C4">
        <w:rPr>
          <w:rFonts w:ascii="Arial" w:hAnsi="Arial" w:cs="Arial"/>
          <w:sz w:val="24"/>
          <w:szCs w:val="24"/>
        </w:rPr>
        <w:t>.</w:t>
      </w:r>
    </w:p>
    <w:p w:rsidR="00D861C4" w:rsidRDefault="00D861C4" w:rsidP="00516F95">
      <w:pPr>
        <w:spacing w:after="0" w:line="360" w:lineRule="auto"/>
        <w:jc w:val="both"/>
        <w:rPr>
          <w:rFonts w:ascii="Arial" w:hAnsi="Arial" w:cs="Arial"/>
          <w:sz w:val="24"/>
          <w:szCs w:val="24"/>
        </w:rPr>
      </w:pPr>
    </w:p>
    <w:p w:rsidR="00D861C4" w:rsidRPr="00A1781B" w:rsidRDefault="00D861C4" w:rsidP="00516F95">
      <w:pPr>
        <w:spacing w:after="0" w:line="360" w:lineRule="auto"/>
        <w:jc w:val="both"/>
        <w:rPr>
          <w:rFonts w:ascii="Arial" w:hAnsi="Arial" w:cs="Arial"/>
          <w:sz w:val="24"/>
          <w:szCs w:val="24"/>
        </w:rPr>
      </w:pPr>
      <w:r>
        <w:rPr>
          <w:rFonts w:ascii="Arial" w:hAnsi="Arial" w:cs="Arial"/>
          <w:sz w:val="24"/>
          <w:szCs w:val="24"/>
        </w:rPr>
        <w:t xml:space="preserve">After holding that Puma was entitled to a reconsideration of the order as if the order was first being applied for the court upheld a point </w:t>
      </w:r>
      <w:r w:rsidRPr="0021620D">
        <w:rPr>
          <w:rFonts w:ascii="Arial" w:hAnsi="Arial" w:cs="Arial"/>
          <w:i/>
          <w:sz w:val="24"/>
          <w:szCs w:val="24"/>
        </w:rPr>
        <w:t xml:space="preserve">in </w:t>
      </w:r>
      <w:proofErr w:type="spellStart"/>
      <w:r w:rsidRPr="0021620D">
        <w:rPr>
          <w:rFonts w:ascii="Arial" w:hAnsi="Arial" w:cs="Arial"/>
          <w:i/>
          <w:sz w:val="24"/>
          <w:szCs w:val="24"/>
        </w:rPr>
        <w:t>limine</w:t>
      </w:r>
      <w:proofErr w:type="spellEnd"/>
      <w:r>
        <w:rPr>
          <w:rFonts w:ascii="Arial" w:hAnsi="Arial" w:cs="Arial"/>
          <w:sz w:val="24"/>
          <w:szCs w:val="24"/>
        </w:rPr>
        <w:t xml:space="preserve"> to the effect that</w:t>
      </w:r>
      <w:r w:rsidR="0021620D">
        <w:rPr>
          <w:rFonts w:ascii="Arial" w:hAnsi="Arial" w:cs="Arial"/>
          <w:sz w:val="24"/>
          <w:szCs w:val="24"/>
        </w:rPr>
        <w:t xml:space="preserve"> the acting secretary of the commission was not authorized to apply for the warrant in question, which finding then meant that the warrant fell to be set aside on that basis.</w:t>
      </w:r>
    </w:p>
    <w:p w:rsidR="00173AAF" w:rsidRDefault="00173AAF" w:rsidP="008A1EB5">
      <w:pPr>
        <w:spacing w:after="0" w:line="360" w:lineRule="auto"/>
        <w:jc w:val="both"/>
        <w:rPr>
          <w:rFonts w:ascii="Arial" w:hAnsi="Arial" w:cs="Arial"/>
          <w:bCs/>
          <w:sz w:val="24"/>
          <w:szCs w:val="24"/>
        </w:rPr>
      </w:pPr>
    </w:p>
    <w:p w:rsidR="001B7E1F" w:rsidRPr="006E026B" w:rsidRDefault="00C4765D"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3F0439" w:rsidRPr="00890D23" w:rsidRDefault="00C4765D" w:rsidP="00890D2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B3050E" w:rsidRDefault="00B3050E" w:rsidP="00B3050E">
      <w:pPr>
        <w:spacing w:after="0" w:line="360" w:lineRule="auto"/>
        <w:jc w:val="right"/>
        <w:rPr>
          <w:rFonts w:ascii="Arial" w:hAnsi="Arial" w:cs="Arial"/>
          <w:sz w:val="24"/>
          <w:szCs w:val="24"/>
        </w:rPr>
      </w:pPr>
    </w:p>
    <w:p w:rsidR="00B3050E" w:rsidRDefault="00B3050E" w:rsidP="00DB17D1">
      <w:pPr>
        <w:pStyle w:val="ListParagraph"/>
        <w:numPr>
          <w:ilvl w:val="0"/>
          <w:numId w:val="17"/>
        </w:numPr>
        <w:spacing w:line="360" w:lineRule="auto"/>
        <w:ind w:left="709" w:hanging="709"/>
        <w:jc w:val="both"/>
        <w:rPr>
          <w:rFonts w:cs="Arial"/>
        </w:rPr>
      </w:pPr>
      <w:r>
        <w:rPr>
          <w:rFonts w:cs="Arial"/>
        </w:rPr>
        <w:t>The warrant issued by the H</w:t>
      </w:r>
      <w:r w:rsidRPr="00753E5C">
        <w:rPr>
          <w:rFonts w:cs="Arial"/>
        </w:rPr>
        <w:t xml:space="preserve">onourable Mr Justice Angula, on 14 September 2016, </w:t>
      </w:r>
      <w:r>
        <w:rPr>
          <w:rFonts w:cs="Arial"/>
        </w:rPr>
        <w:t>is hereby</w:t>
      </w:r>
      <w:r w:rsidRPr="00753E5C">
        <w:rPr>
          <w:rFonts w:cs="Arial"/>
        </w:rPr>
        <w:t xml:space="preserve"> set aside</w:t>
      </w:r>
      <w:r>
        <w:rPr>
          <w:rFonts w:cs="Arial"/>
        </w:rPr>
        <w:t xml:space="preserve"> with costs</w:t>
      </w:r>
      <w:r w:rsidRPr="00753E5C">
        <w:rPr>
          <w:rFonts w:cs="Arial"/>
        </w:rPr>
        <w:t>.</w:t>
      </w:r>
    </w:p>
    <w:p w:rsidR="00B3050E" w:rsidRPr="00E36BFC" w:rsidRDefault="00B3050E" w:rsidP="00DB17D1">
      <w:pPr>
        <w:spacing w:after="0" w:line="360" w:lineRule="auto"/>
        <w:jc w:val="both"/>
        <w:rPr>
          <w:rFonts w:cs="Arial"/>
        </w:rPr>
      </w:pPr>
    </w:p>
    <w:p w:rsidR="00B3050E" w:rsidRDefault="00B3050E" w:rsidP="00DB17D1">
      <w:pPr>
        <w:pStyle w:val="ListParagraph"/>
        <w:numPr>
          <w:ilvl w:val="0"/>
          <w:numId w:val="17"/>
        </w:numPr>
        <w:spacing w:line="360" w:lineRule="auto"/>
        <w:ind w:left="709" w:hanging="709"/>
        <w:jc w:val="both"/>
        <w:rPr>
          <w:rFonts w:cs="Arial"/>
        </w:rPr>
      </w:pPr>
      <w:r>
        <w:rPr>
          <w:rFonts w:cs="Arial"/>
        </w:rPr>
        <w:t>Such costs</w:t>
      </w:r>
      <w:r w:rsidR="00313871">
        <w:rPr>
          <w:rFonts w:cs="Arial"/>
        </w:rPr>
        <w:t xml:space="preserve"> are to include the costs of three</w:t>
      </w:r>
      <w:r>
        <w:rPr>
          <w:rFonts w:cs="Arial"/>
        </w:rPr>
        <w:t xml:space="preserve"> instructed- and one instructing counsel.</w:t>
      </w:r>
    </w:p>
    <w:p w:rsidR="00B3050E" w:rsidRDefault="00B3050E" w:rsidP="00DB17D1">
      <w:pPr>
        <w:pStyle w:val="ListParagraph"/>
        <w:spacing w:line="360" w:lineRule="auto"/>
        <w:ind w:left="709"/>
        <w:jc w:val="both"/>
        <w:rPr>
          <w:rFonts w:cs="Arial"/>
        </w:rPr>
      </w:pPr>
    </w:p>
    <w:p w:rsidR="00B3050E" w:rsidRDefault="00B3050E" w:rsidP="00DB17D1">
      <w:pPr>
        <w:pStyle w:val="ListParagraph"/>
        <w:numPr>
          <w:ilvl w:val="0"/>
          <w:numId w:val="17"/>
        </w:numPr>
        <w:spacing w:line="360" w:lineRule="auto"/>
        <w:ind w:left="709" w:hanging="709"/>
        <w:jc w:val="both"/>
        <w:rPr>
          <w:rFonts w:cs="Arial"/>
        </w:rPr>
      </w:pPr>
      <w:r>
        <w:rPr>
          <w:rFonts w:cs="Arial"/>
        </w:rPr>
        <w:t>All bags containing hard copy documents</w:t>
      </w:r>
      <w:r w:rsidR="00A8742A">
        <w:rPr>
          <w:rFonts w:cs="Arial"/>
        </w:rPr>
        <w:t>,</w:t>
      </w:r>
      <w:r>
        <w:rPr>
          <w:rFonts w:cs="Arial"/>
        </w:rPr>
        <w:t xml:space="preserve"> seized from Puma by the Commission</w:t>
      </w:r>
      <w:r w:rsidR="00A8742A">
        <w:rPr>
          <w:rFonts w:cs="Arial"/>
        </w:rPr>
        <w:t>, during the period 15 to 17 September 2016,</w:t>
      </w:r>
      <w:r>
        <w:rPr>
          <w:rFonts w:cs="Arial"/>
        </w:rPr>
        <w:t xml:space="preserve"> together with all electronic devices as well as all Puma’s electronic data</w:t>
      </w:r>
      <w:r w:rsidRPr="00B3050E">
        <w:rPr>
          <w:rFonts w:cs="Arial"/>
        </w:rPr>
        <w:t xml:space="preserve"> </w:t>
      </w:r>
      <w:r w:rsidR="00A8742A">
        <w:rPr>
          <w:rFonts w:cs="Arial"/>
        </w:rPr>
        <w:t>seized and/</w:t>
      </w:r>
      <w:r>
        <w:rPr>
          <w:rFonts w:cs="Arial"/>
        </w:rPr>
        <w:t>or copied from Puma</w:t>
      </w:r>
      <w:r w:rsidR="00A8742A">
        <w:rPr>
          <w:rFonts w:cs="Arial"/>
        </w:rPr>
        <w:t xml:space="preserve"> electronic devices and server</w:t>
      </w:r>
      <w:r>
        <w:rPr>
          <w:rFonts w:cs="Arial"/>
        </w:rPr>
        <w:t xml:space="preserve"> by the Commission</w:t>
      </w:r>
      <w:r w:rsidR="00A8742A">
        <w:rPr>
          <w:rFonts w:cs="Arial"/>
        </w:rPr>
        <w:t>,</w:t>
      </w:r>
      <w:r>
        <w:rPr>
          <w:rFonts w:cs="Arial"/>
        </w:rPr>
        <w:t xml:space="preserve"> as kept by the Registrar for safekeeping in terms of the Court’s Order of 14 September 2016</w:t>
      </w:r>
      <w:r w:rsidR="00A8742A">
        <w:rPr>
          <w:rFonts w:cs="Arial"/>
        </w:rPr>
        <w:t>,</w:t>
      </w:r>
      <w:r>
        <w:rPr>
          <w:rFonts w:cs="Arial"/>
        </w:rPr>
        <w:t xml:space="preserve"> are to be returned to Puma within 2 days of this order.</w:t>
      </w:r>
    </w:p>
    <w:p w:rsidR="001604E8" w:rsidRPr="001604E8" w:rsidRDefault="001604E8" w:rsidP="00B3050E">
      <w:pPr>
        <w:spacing w:after="0" w:line="360" w:lineRule="auto"/>
        <w:jc w:val="both"/>
        <w:rPr>
          <w:rFonts w:ascii="Arial" w:hAnsi="Arial" w:cs="Arial"/>
          <w:sz w:val="24"/>
          <w:szCs w:val="24"/>
        </w:rPr>
      </w:pPr>
    </w:p>
    <w:p w:rsidR="001B7E1F" w:rsidRPr="006E026B" w:rsidRDefault="00C4765D"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C4765D"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207EC1" w:rsidRDefault="008B76F1" w:rsidP="00C4765D">
      <w:pPr>
        <w:spacing w:after="0" w:line="360" w:lineRule="auto"/>
        <w:jc w:val="both"/>
        <w:rPr>
          <w:rFonts w:ascii="Arial" w:hAnsi="Arial" w:cs="Arial"/>
          <w:b/>
          <w:i/>
          <w:sz w:val="24"/>
          <w:szCs w:val="24"/>
        </w:rPr>
      </w:pPr>
      <w:r w:rsidRPr="00207EC1">
        <w:rPr>
          <w:rFonts w:ascii="Arial" w:hAnsi="Arial" w:cs="Arial"/>
          <w:sz w:val="24"/>
          <w:szCs w:val="24"/>
        </w:rPr>
        <w:t>GEIER</w:t>
      </w:r>
      <w:r w:rsidR="00741B0B" w:rsidRPr="00207EC1">
        <w:rPr>
          <w:rFonts w:ascii="Arial" w:hAnsi="Arial" w:cs="Arial"/>
          <w:sz w:val="24"/>
          <w:szCs w:val="24"/>
        </w:rPr>
        <w:t xml:space="preserve"> </w:t>
      </w:r>
      <w:r w:rsidR="00261313" w:rsidRPr="00207EC1">
        <w:rPr>
          <w:rFonts w:ascii="Arial" w:hAnsi="Arial" w:cs="Arial"/>
          <w:sz w:val="24"/>
          <w:szCs w:val="24"/>
        </w:rPr>
        <w:t>J</w:t>
      </w:r>
      <w:r w:rsidR="00484780" w:rsidRPr="00207EC1">
        <w:rPr>
          <w:rFonts w:ascii="Arial" w:hAnsi="Arial" w:cs="Arial"/>
          <w:sz w:val="24"/>
          <w:szCs w:val="24"/>
        </w:rPr>
        <w:t>:</w:t>
      </w:r>
    </w:p>
    <w:p w:rsidR="005C217D" w:rsidRDefault="00935DFB" w:rsidP="003531BA">
      <w:pPr>
        <w:spacing w:after="0" w:line="360" w:lineRule="auto"/>
        <w:jc w:val="both"/>
        <w:rPr>
          <w:rFonts w:ascii="Arial" w:hAnsi="Arial" w:cs="Arial"/>
          <w:sz w:val="24"/>
          <w:szCs w:val="24"/>
        </w:rPr>
      </w:pPr>
      <w:r w:rsidRPr="00207EC1">
        <w:rPr>
          <w:rFonts w:ascii="Arial" w:hAnsi="Arial" w:cs="Arial"/>
          <w:sz w:val="24"/>
          <w:szCs w:val="24"/>
        </w:rPr>
        <w:t xml:space="preserve">  </w:t>
      </w:r>
    </w:p>
    <w:p w:rsidR="005C217D" w:rsidRDefault="005C217D" w:rsidP="003531BA">
      <w:pPr>
        <w:spacing w:after="0" w:line="360" w:lineRule="auto"/>
        <w:jc w:val="both"/>
        <w:rPr>
          <w:rFonts w:ascii="Arial" w:hAnsi="Arial" w:cs="Arial"/>
          <w:sz w:val="24"/>
          <w:szCs w:val="24"/>
        </w:rPr>
      </w:pPr>
      <w:r w:rsidRPr="005C217D">
        <w:rPr>
          <w:rFonts w:ascii="Arial" w:hAnsi="Arial" w:cs="Arial"/>
          <w:sz w:val="24"/>
          <w:szCs w:val="24"/>
        </w:rPr>
        <w:t>[1]</w:t>
      </w:r>
      <w:r w:rsidRPr="005C217D">
        <w:rPr>
          <w:rFonts w:ascii="Arial" w:hAnsi="Arial" w:cs="Arial"/>
          <w:sz w:val="24"/>
          <w:szCs w:val="24"/>
        </w:rPr>
        <w:tab/>
        <w:t>The Namibian Competition Commission was established</w:t>
      </w:r>
      <w:r>
        <w:rPr>
          <w:rFonts w:ascii="Arial" w:hAnsi="Arial" w:cs="Arial"/>
          <w:sz w:val="24"/>
          <w:szCs w:val="24"/>
        </w:rPr>
        <w:t xml:space="preserve"> by the Competition Act 2 of 2003 </w:t>
      </w:r>
      <w:r>
        <w:rPr>
          <w:rStyle w:val="FootnoteReference"/>
          <w:rFonts w:ascii="Arial" w:hAnsi="Arial"/>
          <w:sz w:val="24"/>
          <w:szCs w:val="24"/>
        </w:rPr>
        <w:footnoteReference w:id="1"/>
      </w:r>
      <w:r w:rsidRPr="005C217D">
        <w:rPr>
          <w:rFonts w:ascii="Arial" w:hAnsi="Arial" w:cs="Arial"/>
          <w:sz w:val="24"/>
          <w:szCs w:val="24"/>
        </w:rPr>
        <w:t xml:space="preserve"> to </w:t>
      </w:r>
      <w:r w:rsidRPr="005C217D">
        <w:rPr>
          <w:rFonts w:ascii="Arial" w:hAnsi="Arial" w:cs="Arial"/>
          <w:i/>
          <w:sz w:val="24"/>
          <w:szCs w:val="24"/>
        </w:rPr>
        <w:t>‘safeguard and promote competition in the Namibian market’</w:t>
      </w:r>
      <w:r w:rsidRPr="005C217D">
        <w:rPr>
          <w:rFonts w:ascii="Arial" w:hAnsi="Arial" w:cs="Arial"/>
          <w:sz w:val="24"/>
          <w:szCs w:val="24"/>
        </w:rPr>
        <w:t xml:space="preserve"> “</w:t>
      </w:r>
      <w:r>
        <w:rPr>
          <w:rStyle w:val="FootnoteReference"/>
          <w:rFonts w:ascii="Arial" w:hAnsi="Arial"/>
          <w:sz w:val="24"/>
          <w:szCs w:val="24"/>
        </w:rPr>
        <w:footnoteReference w:id="2"/>
      </w:r>
      <w:r w:rsidRPr="005C217D">
        <w:rPr>
          <w:rFonts w:ascii="Arial" w:hAnsi="Arial" w:cs="Arial"/>
          <w:sz w:val="24"/>
          <w:szCs w:val="24"/>
        </w:rPr>
        <w:t xml:space="preserve"> in order to</w:t>
      </w:r>
      <w:r>
        <w:rPr>
          <w:rFonts w:ascii="Arial" w:hAnsi="Arial" w:cs="Arial"/>
          <w:sz w:val="24"/>
          <w:szCs w:val="24"/>
        </w:rPr>
        <w:t>:</w:t>
      </w:r>
    </w:p>
    <w:p w:rsidR="00C4765D" w:rsidRDefault="00C4765D" w:rsidP="00C4765D">
      <w:pPr>
        <w:spacing w:after="0" w:line="360" w:lineRule="auto"/>
        <w:jc w:val="both"/>
        <w:rPr>
          <w:rFonts w:ascii="Arial" w:hAnsi="Arial" w:cs="Arial"/>
          <w:sz w:val="24"/>
          <w:szCs w:val="24"/>
        </w:rPr>
      </w:pPr>
    </w:p>
    <w:p w:rsidR="005C217D" w:rsidRDefault="005C217D" w:rsidP="00C4765D">
      <w:pPr>
        <w:spacing w:after="0" w:line="360" w:lineRule="auto"/>
        <w:jc w:val="both"/>
        <w:rPr>
          <w:rFonts w:ascii="Arial" w:hAnsi="Arial" w:cs="Arial"/>
        </w:rPr>
      </w:pPr>
      <w:r>
        <w:rPr>
          <w:rFonts w:ascii="Arial" w:hAnsi="Arial" w:cs="Arial"/>
          <w:sz w:val="24"/>
          <w:szCs w:val="24"/>
        </w:rPr>
        <w:t>‘</w:t>
      </w:r>
      <w:r w:rsidRPr="005C217D">
        <w:rPr>
          <w:rFonts w:ascii="Arial" w:hAnsi="Arial" w:cs="Arial"/>
        </w:rPr>
        <w:t>(a)</w:t>
      </w:r>
      <w:r w:rsidRPr="005C217D">
        <w:rPr>
          <w:rFonts w:ascii="Arial" w:hAnsi="Arial" w:cs="Arial"/>
        </w:rPr>
        <w:tab/>
        <w:t>promote the efficiency, adaptability and development of the Namibian economy;</w:t>
      </w:r>
    </w:p>
    <w:p w:rsidR="00C4765D" w:rsidRDefault="00C4765D" w:rsidP="00C4765D">
      <w:pPr>
        <w:spacing w:after="0" w:line="360" w:lineRule="auto"/>
        <w:jc w:val="both"/>
        <w:rPr>
          <w:rFonts w:ascii="Arial" w:hAnsi="Arial" w:cs="Arial"/>
        </w:rPr>
      </w:pPr>
    </w:p>
    <w:p w:rsidR="005C217D" w:rsidRDefault="005C217D" w:rsidP="003531BA">
      <w:pPr>
        <w:spacing w:after="0" w:line="360" w:lineRule="auto"/>
        <w:jc w:val="both"/>
        <w:rPr>
          <w:rFonts w:ascii="Arial" w:hAnsi="Arial" w:cs="Arial"/>
        </w:rPr>
      </w:pPr>
      <w:r w:rsidRPr="005C217D">
        <w:rPr>
          <w:rFonts w:ascii="Arial" w:hAnsi="Arial" w:cs="Arial"/>
        </w:rPr>
        <w:t>(b)</w:t>
      </w:r>
      <w:r w:rsidRPr="005C217D">
        <w:rPr>
          <w:rFonts w:ascii="Arial" w:hAnsi="Arial" w:cs="Arial"/>
        </w:rPr>
        <w:tab/>
      </w:r>
      <w:proofErr w:type="gramStart"/>
      <w:r w:rsidRPr="005C217D">
        <w:rPr>
          <w:rFonts w:ascii="Arial" w:hAnsi="Arial" w:cs="Arial"/>
        </w:rPr>
        <w:t>provide</w:t>
      </w:r>
      <w:proofErr w:type="gramEnd"/>
      <w:r w:rsidRPr="005C217D">
        <w:rPr>
          <w:rFonts w:ascii="Arial" w:hAnsi="Arial" w:cs="Arial"/>
        </w:rPr>
        <w:t xml:space="preserve"> consumers with competitive prices and product choices;</w:t>
      </w:r>
    </w:p>
    <w:p w:rsidR="00C4765D" w:rsidRPr="005C217D" w:rsidRDefault="00C4765D" w:rsidP="003531BA">
      <w:pPr>
        <w:spacing w:after="0" w:line="360" w:lineRule="auto"/>
        <w:jc w:val="both"/>
        <w:rPr>
          <w:rFonts w:ascii="Arial" w:hAnsi="Arial" w:cs="Arial"/>
        </w:rPr>
      </w:pPr>
    </w:p>
    <w:p w:rsidR="005C217D" w:rsidRDefault="005C217D" w:rsidP="003531BA">
      <w:pPr>
        <w:spacing w:after="0" w:line="360" w:lineRule="auto"/>
        <w:jc w:val="both"/>
        <w:rPr>
          <w:rFonts w:ascii="Arial" w:hAnsi="Arial" w:cs="Arial"/>
        </w:rPr>
      </w:pPr>
      <w:r w:rsidRPr="005C217D">
        <w:rPr>
          <w:rFonts w:ascii="Arial" w:hAnsi="Arial" w:cs="Arial"/>
        </w:rPr>
        <w:t>(c)</w:t>
      </w:r>
      <w:r w:rsidRPr="005C217D">
        <w:rPr>
          <w:rFonts w:ascii="Arial" w:hAnsi="Arial" w:cs="Arial"/>
        </w:rPr>
        <w:tab/>
      </w:r>
      <w:proofErr w:type="gramStart"/>
      <w:r w:rsidRPr="005C217D">
        <w:rPr>
          <w:rFonts w:ascii="Arial" w:hAnsi="Arial" w:cs="Arial"/>
        </w:rPr>
        <w:t>promote</w:t>
      </w:r>
      <w:proofErr w:type="gramEnd"/>
      <w:r w:rsidRPr="005C217D">
        <w:rPr>
          <w:rFonts w:ascii="Arial" w:hAnsi="Arial" w:cs="Arial"/>
        </w:rPr>
        <w:t xml:space="preserve"> employment and advance the social and economic welfare of Namibians;</w:t>
      </w:r>
    </w:p>
    <w:p w:rsidR="00C4765D" w:rsidRPr="005C217D" w:rsidRDefault="00C4765D" w:rsidP="003531BA">
      <w:pPr>
        <w:spacing w:after="0" w:line="360" w:lineRule="auto"/>
        <w:jc w:val="both"/>
        <w:rPr>
          <w:rFonts w:ascii="Arial" w:hAnsi="Arial" w:cs="Arial"/>
        </w:rPr>
      </w:pPr>
    </w:p>
    <w:p w:rsidR="005C217D" w:rsidRDefault="005C217D" w:rsidP="003531BA">
      <w:pPr>
        <w:spacing w:after="0" w:line="360" w:lineRule="auto"/>
        <w:jc w:val="both"/>
        <w:rPr>
          <w:rFonts w:ascii="Arial" w:hAnsi="Arial" w:cs="Arial"/>
        </w:rPr>
      </w:pPr>
      <w:r w:rsidRPr="005C217D">
        <w:rPr>
          <w:rFonts w:ascii="Arial" w:hAnsi="Arial" w:cs="Arial"/>
        </w:rPr>
        <w:t>(d)</w:t>
      </w:r>
      <w:r w:rsidRPr="005C217D">
        <w:rPr>
          <w:rFonts w:ascii="Arial" w:hAnsi="Arial" w:cs="Arial"/>
        </w:rPr>
        <w:tab/>
      </w:r>
      <w:proofErr w:type="gramStart"/>
      <w:r w:rsidRPr="005C217D">
        <w:rPr>
          <w:rFonts w:ascii="Arial" w:hAnsi="Arial" w:cs="Arial"/>
        </w:rPr>
        <w:t>expand</w:t>
      </w:r>
      <w:proofErr w:type="gramEnd"/>
      <w:r w:rsidRPr="005C217D">
        <w:rPr>
          <w:rFonts w:ascii="Arial" w:hAnsi="Arial" w:cs="Arial"/>
        </w:rPr>
        <w:t xml:space="preserve"> opportunities for Namibian participation in world markets while recognizing the role of foreign competition in Namibia;</w:t>
      </w:r>
    </w:p>
    <w:p w:rsidR="00C4765D" w:rsidRPr="005C217D" w:rsidRDefault="00C4765D" w:rsidP="003531BA">
      <w:pPr>
        <w:spacing w:after="0" w:line="360" w:lineRule="auto"/>
        <w:jc w:val="both"/>
        <w:rPr>
          <w:rFonts w:ascii="Arial" w:hAnsi="Arial" w:cs="Arial"/>
        </w:rPr>
      </w:pPr>
    </w:p>
    <w:p w:rsidR="005C217D" w:rsidRDefault="005C217D" w:rsidP="003531BA">
      <w:pPr>
        <w:spacing w:after="0" w:line="360" w:lineRule="auto"/>
        <w:jc w:val="both"/>
        <w:rPr>
          <w:rFonts w:ascii="Arial" w:hAnsi="Arial" w:cs="Arial"/>
        </w:rPr>
      </w:pPr>
      <w:r w:rsidRPr="005C217D">
        <w:rPr>
          <w:rFonts w:ascii="Arial" w:hAnsi="Arial" w:cs="Arial"/>
        </w:rPr>
        <w:t>(e)</w:t>
      </w:r>
      <w:r w:rsidRPr="005C217D">
        <w:rPr>
          <w:rFonts w:ascii="Arial" w:hAnsi="Arial" w:cs="Arial"/>
        </w:rPr>
        <w:tab/>
      </w:r>
      <w:proofErr w:type="gramStart"/>
      <w:r w:rsidRPr="005C217D">
        <w:rPr>
          <w:rFonts w:ascii="Arial" w:hAnsi="Arial" w:cs="Arial"/>
        </w:rPr>
        <w:t>ensure</w:t>
      </w:r>
      <w:proofErr w:type="gramEnd"/>
      <w:r w:rsidRPr="005C217D">
        <w:rPr>
          <w:rFonts w:ascii="Arial" w:hAnsi="Arial" w:cs="Arial"/>
        </w:rPr>
        <w:t xml:space="preserve"> that small undertakings have an equitable opportunity to participate in the Namibian economy; and</w:t>
      </w:r>
    </w:p>
    <w:p w:rsidR="00C4765D" w:rsidRPr="005C217D" w:rsidRDefault="00C4765D" w:rsidP="003531BA">
      <w:pPr>
        <w:spacing w:after="0" w:line="360" w:lineRule="auto"/>
        <w:jc w:val="both"/>
        <w:rPr>
          <w:rFonts w:ascii="Arial" w:hAnsi="Arial" w:cs="Arial"/>
        </w:rPr>
      </w:pPr>
    </w:p>
    <w:p w:rsidR="005C217D" w:rsidRPr="005C217D" w:rsidRDefault="005C217D" w:rsidP="003531BA">
      <w:pPr>
        <w:spacing w:after="0" w:line="360" w:lineRule="auto"/>
        <w:jc w:val="both"/>
        <w:rPr>
          <w:rFonts w:ascii="Arial" w:hAnsi="Arial" w:cs="Arial"/>
          <w:sz w:val="24"/>
          <w:szCs w:val="24"/>
        </w:rPr>
      </w:pPr>
      <w:r w:rsidRPr="005C217D">
        <w:rPr>
          <w:rFonts w:ascii="Arial" w:hAnsi="Arial" w:cs="Arial"/>
        </w:rPr>
        <w:t>(f)</w:t>
      </w:r>
      <w:r w:rsidRPr="005C217D">
        <w:rPr>
          <w:rFonts w:ascii="Arial" w:hAnsi="Arial" w:cs="Arial"/>
        </w:rPr>
        <w:tab/>
      </w:r>
      <w:proofErr w:type="gramStart"/>
      <w:r w:rsidRPr="005C217D">
        <w:rPr>
          <w:rFonts w:ascii="Arial" w:hAnsi="Arial" w:cs="Arial"/>
        </w:rPr>
        <w:t>promote</w:t>
      </w:r>
      <w:proofErr w:type="gramEnd"/>
      <w:r w:rsidRPr="005C217D">
        <w:rPr>
          <w:rFonts w:ascii="Arial" w:hAnsi="Arial" w:cs="Arial"/>
        </w:rPr>
        <w:t xml:space="preserve"> a greater spread of ownership, in particular to increase ownership stakes of historically disadvantaged persons.’ </w:t>
      </w:r>
      <w:r w:rsidRPr="005C217D">
        <w:rPr>
          <w:rStyle w:val="FootnoteReference"/>
          <w:rFonts w:ascii="Arial" w:hAnsi="Arial" w:cs="Arial"/>
          <w:sz w:val="24"/>
          <w:szCs w:val="24"/>
        </w:rPr>
        <w:footnoteReference w:id="3"/>
      </w:r>
    </w:p>
    <w:p w:rsidR="005C217D" w:rsidRDefault="005C217D" w:rsidP="003531BA">
      <w:pPr>
        <w:spacing w:after="0" w:line="360" w:lineRule="auto"/>
        <w:jc w:val="both"/>
        <w:rPr>
          <w:rFonts w:ascii="Arial" w:hAnsi="Arial" w:cs="Arial"/>
          <w:sz w:val="24"/>
          <w:szCs w:val="24"/>
        </w:rPr>
      </w:pPr>
    </w:p>
    <w:p w:rsidR="005C217D" w:rsidRDefault="005C217D" w:rsidP="003531BA">
      <w:pPr>
        <w:spacing w:after="0" w:line="360" w:lineRule="auto"/>
        <w:jc w:val="both"/>
        <w:rPr>
          <w:rFonts w:ascii="Arial" w:hAnsi="Arial" w:cs="Arial"/>
          <w:sz w:val="24"/>
          <w:szCs w:val="24"/>
        </w:rPr>
      </w:pPr>
      <w:r>
        <w:rPr>
          <w:rFonts w:ascii="Arial" w:hAnsi="Arial" w:cs="Arial"/>
          <w:sz w:val="24"/>
          <w:szCs w:val="24"/>
        </w:rPr>
        <w:t>[</w:t>
      </w:r>
      <w:r w:rsidR="003531BA">
        <w:rPr>
          <w:rFonts w:ascii="Arial" w:hAnsi="Arial" w:cs="Arial"/>
          <w:sz w:val="24"/>
          <w:szCs w:val="24"/>
        </w:rPr>
        <w:t>2</w:t>
      </w:r>
      <w:r>
        <w:rPr>
          <w:rFonts w:ascii="Arial" w:hAnsi="Arial" w:cs="Arial"/>
          <w:sz w:val="24"/>
          <w:szCs w:val="24"/>
        </w:rPr>
        <w:t>]</w:t>
      </w:r>
      <w:r>
        <w:rPr>
          <w:rFonts w:ascii="Arial" w:hAnsi="Arial" w:cs="Arial"/>
          <w:sz w:val="24"/>
          <w:szCs w:val="24"/>
        </w:rPr>
        <w:tab/>
        <w:t>The Commission’s</w:t>
      </w:r>
      <w:r w:rsidRPr="005C217D">
        <w:rPr>
          <w:rFonts w:ascii="Arial" w:hAnsi="Arial" w:cs="Arial"/>
          <w:sz w:val="24"/>
          <w:szCs w:val="24"/>
        </w:rPr>
        <w:t xml:space="preserve"> functions are set out in section 16.  </w:t>
      </w:r>
    </w:p>
    <w:p w:rsidR="005C217D" w:rsidRDefault="005C217D" w:rsidP="003531BA">
      <w:pPr>
        <w:spacing w:after="0" w:line="360" w:lineRule="auto"/>
        <w:jc w:val="both"/>
        <w:rPr>
          <w:rFonts w:ascii="Arial" w:hAnsi="Arial" w:cs="Arial"/>
          <w:sz w:val="24"/>
          <w:szCs w:val="24"/>
        </w:rPr>
      </w:pPr>
    </w:p>
    <w:p w:rsidR="005C217D" w:rsidRDefault="003531BA" w:rsidP="003531BA">
      <w:pPr>
        <w:spacing w:after="0" w:line="360" w:lineRule="auto"/>
        <w:jc w:val="both"/>
        <w:rPr>
          <w:rFonts w:ascii="Arial" w:hAnsi="Arial" w:cs="Arial"/>
          <w:sz w:val="24"/>
          <w:szCs w:val="24"/>
        </w:rPr>
      </w:pPr>
      <w:r>
        <w:rPr>
          <w:rFonts w:ascii="Arial" w:hAnsi="Arial" w:cs="Arial"/>
          <w:sz w:val="24"/>
          <w:szCs w:val="24"/>
        </w:rPr>
        <w:t>[3</w:t>
      </w:r>
      <w:r w:rsidR="005C217D">
        <w:rPr>
          <w:rFonts w:ascii="Arial" w:hAnsi="Arial" w:cs="Arial"/>
          <w:sz w:val="24"/>
          <w:szCs w:val="24"/>
        </w:rPr>
        <w:t>]</w:t>
      </w:r>
      <w:r w:rsidR="005C217D">
        <w:rPr>
          <w:rFonts w:ascii="Arial" w:hAnsi="Arial" w:cs="Arial"/>
          <w:sz w:val="24"/>
          <w:szCs w:val="24"/>
        </w:rPr>
        <w:tab/>
        <w:t>In order to achieve the purposes of the Act and to enable it to carry out its functions and duties effectively, the Commission is also tasked with the responsibility to investigate contraventions of the Act and for this purpose it is granted powers of investigation.</w:t>
      </w:r>
      <w:r w:rsidR="005C217D">
        <w:rPr>
          <w:rStyle w:val="FootnoteReference"/>
          <w:rFonts w:ascii="Arial" w:hAnsi="Arial"/>
          <w:sz w:val="24"/>
          <w:szCs w:val="24"/>
        </w:rPr>
        <w:footnoteReference w:id="4"/>
      </w:r>
    </w:p>
    <w:p w:rsidR="005C217D" w:rsidRDefault="005C217D" w:rsidP="003531BA">
      <w:pPr>
        <w:spacing w:after="0" w:line="360" w:lineRule="auto"/>
        <w:jc w:val="both"/>
        <w:rPr>
          <w:rFonts w:ascii="Arial" w:hAnsi="Arial" w:cs="Arial"/>
          <w:sz w:val="24"/>
          <w:szCs w:val="24"/>
        </w:rPr>
      </w:pPr>
    </w:p>
    <w:p w:rsidR="005C217D" w:rsidRDefault="003531BA" w:rsidP="003531BA">
      <w:pPr>
        <w:spacing w:after="0" w:line="360" w:lineRule="auto"/>
        <w:jc w:val="both"/>
        <w:rPr>
          <w:rFonts w:ascii="Arial" w:hAnsi="Arial" w:cs="Arial"/>
          <w:sz w:val="24"/>
          <w:szCs w:val="24"/>
        </w:rPr>
      </w:pPr>
      <w:r>
        <w:rPr>
          <w:rFonts w:ascii="Arial" w:hAnsi="Arial" w:cs="Arial"/>
          <w:sz w:val="24"/>
          <w:szCs w:val="24"/>
        </w:rPr>
        <w:t>[4</w:t>
      </w:r>
      <w:r w:rsidR="005C217D">
        <w:rPr>
          <w:rFonts w:ascii="Arial" w:hAnsi="Arial" w:cs="Arial"/>
          <w:sz w:val="24"/>
          <w:szCs w:val="24"/>
        </w:rPr>
        <w:t>]</w:t>
      </w:r>
      <w:r w:rsidR="005C217D">
        <w:rPr>
          <w:rFonts w:ascii="Arial" w:hAnsi="Arial" w:cs="Arial"/>
          <w:sz w:val="24"/>
          <w:szCs w:val="24"/>
        </w:rPr>
        <w:tab/>
        <w:t xml:space="preserve">More particularly the Commission’s powers in relation to investigations into ‘prohibitive practices’ </w:t>
      </w:r>
      <w:r w:rsidR="005C217D">
        <w:rPr>
          <w:rStyle w:val="FootnoteReference"/>
          <w:rFonts w:ascii="Arial" w:hAnsi="Arial"/>
          <w:sz w:val="24"/>
          <w:szCs w:val="24"/>
        </w:rPr>
        <w:footnoteReference w:id="5"/>
      </w:r>
      <w:r w:rsidR="005C217D">
        <w:rPr>
          <w:rFonts w:ascii="Arial" w:hAnsi="Arial" w:cs="Arial"/>
          <w:sz w:val="24"/>
          <w:szCs w:val="24"/>
        </w:rPr>
        <w:t xml:space="preserve"> are set out in Part IV of the Act.</w:t>
      </w:r>
    </w:p>
    <w:p w:rsidR="005C217D" w:rsidRDefault="005C217D" w:rsidP="003531BA">
      <w:pPr>
        <w:spacing w:after="0" w:line="360" w:lineRule="auto"/>
        <w:jc w:val="both"/>
        <w:rPr>
          <w:rFonts w:ascii="Arial" w:hAnsi="Arial" w:cs="Arial"/>
          <w:sz w:val="24"/>
          <w:szCs w:val="24"/>
        </w:rPr>
      </w:pPr>
    </w:p>
    <w:p w:rsidR="005C217D" w:rsidRPr="005C217D" w:rsidRDefault="003531BA" w:rsidP="003531BA">
      <w:pPr>
        <w:spacing w:after="0" w:line="360" w:lineRule="auto"/>
        <w:jc w:val="both"/>
        <w:rPr>
          <w:rFonts w:ascii="Arial" w:hAnsi="Arial" w:cs="Arial"/>
          <w:sz w:val="24"/>
          <w:szCs w:val="24"/>
        </w:rPr>
      </w:pPr>
      <w:r>
        <w:rPr>
          <w:rFonts w:ascii="Arial" w:hAnsi="Arial" w:cs="Arial"/>
          <w:sz w:val="24"/>
          <w:szCs w:val="24"/>
        </w:rPr>
        <w:t>[5</w:t>
      </w:r>
      <w:r w:rsidR="005B0775">
        <w:rPr>
          <w:rFonts w:ascii="Arial" w:hAnsi="Arial" w:cs="Arial"/>
          <w:sz w:val="24"/>
          <w:szCs w:val="24"/>
        </w:rPr>
        <w:t>]</w:t>
      </w:r>
      <w:r w:rsidR="005B0775">
        <w:rPr>
          <w:rFonts w:ascii="Arial" w:hAnsi="Arial" w:cs="Arial"/>
          <w:sz w:val="24"/>
          <w:szCs w:val="24"/>
        </w:rPr>
        <w:tab/>
        <w:t>The statute also provides for the opportunity</w:t>
      </w:r>
      <w:r w:rsidR="005C217D">
        <w:rPr>
          <w:rFonts w:ascii="Arial" w:hAnsi="Arial" w:cs="Arial"/>
          <w:sz w:val="24"/>
          <w:szCs w:val="24"/>
        </w:rPr>
        <w:t xml:space="preserve"> to enter and search premises pursuant to a warrant</w:t>
      </w:r>
      <w:r w:rsidR="005B0775">
        <w:rPr>
          <w:rFonts w:ascii="Arial" w:hAnsi="Arial" w:cs="Arial"/>
          <w:sz w:val="24"/>
          <w:szCs w:val="24"/>
        </w:rPr>
        <w:t>, which is to be issued by a Judge of the High Court</w:t>
      </w:r>
      <w:r w:rsidR="005C217D">
        <w:rPr>
          <w:rFonts w:ascii="Arial" w:hAnsi="Arial" w:cs="Arial"/>
          <w:sz w:val="24"/>
          <w:szCs w:val="24"/>
        </w:rPr>
        <w:t>.</w:t>
      </w:r>
    </w:p>
    <w:p w:rsidR="005C217D" w:rsidRDefault="005C217D" w:rsidP="003531BA">
      <w:pPr>
        <w:spacing w:after="0" w:line="360" w:lineRule="auto"/>
        <w:jc w:val="both"/>
        <w:rPr>
          <w:rFonts w:ascii="Arial" w:hAnsi="Arial" w:cs="Arial"/>
          <w:sz w:val="24"/>
          <w:szCs w:val="24"/>
        </w:rPr>
      </w:pPr>
    </w:p>
    <w:p w:rsidR="005C217D" w:rsidRDefault="003531BA" w:rsidP="003531BA">
      <w:pPr>
        <w:spacing w:after="0" w:line="360" w:lineRule="auto"/>
        <w:jc w:val="both"/>
        <w:rPr>
          <w:rFonts w:ascii="Arial" w:hAnsi="Arial" w:cs="Arial"/>
          <w:sz w:val="24"/>
          <w:szCs w:val="24"/>
        </w:rPr>
      </w:pPr>
      <w:r>
        <w:rPr>
          <w:rFonts w:ascii="Arial" w:hAnsi="Arial" w:cs="Arial"/>
          <w:sz w:val="24"/>
          <w:szCs w:val="24"/>
        </w:rPr>
        <w:t>[6</w:t>
      </w:r>
      <w:r w:rsidR="005B0775">
        <w:rPr>
          <w:rFonts w:ascii="Arial" w:hAnsi="Arial" w:cs="Arial"/>
          <w:sz w:val="24"/>
          <w:szCs w:val="24"/>
        </w:rPr>
        <w:t>]</w:t>
      </w:r>
      <w:r w:rsidR="005B0775">
        <w:rPr>
          <w:rFonts w:ascii="Arial" w:hAnsi="Arial" w:cs="Arial"/>
          <w:sz w:val="24"/>
          <w:szCs w:val="24"/>
        </w:rPr>
        <w:tab/>
        <w:t>T</w:t>
      </w:r>
      <w:r w:rsidR="005C217D">
        <w:rPr>
          <w:rFonts w:ascii="Arial" w:hAnsi="Arial" w:cs="Arial"/>
          <w:sz w:val="24"/>
          <w:szCs w:val="24"/>
        </w:rPr>
        <w:t>he Commission</w:t>
      </w:r>
      <w:r w:rsidR="005B0775">
        <w:rPr>
          <w:rFonts w:ascii="Arial" w:hAnsi="Arial" w:cs="Arial"/>
          <w:sz w:val="24"/>
          <w:szCs w:val="24"/>
        </w:rPr>
        <w:t xml:space="preserve"> then utilized these provisions</w:t>
      </w:r>
      <w:r w:rsidR="005C217D">
        <w:rPr>
          <w:rFonts w:ascii="Arial" w:hAnsi="Arial" w:cs="Arial"/>
          <w:sz w:val="24"/>
          <w:szCs w:val="24"/>
        </w:rPr>
        <w:t xml:space="preserve"> during September 2016 after it had received a complaint during March 2016 </w:t>
      </w:r>
      <w:r w:rsidR="005C217D" w:rsidRPr="005C217D">
        <w:rPr>
          <w:rFonts w:ascii="Arial" w:hAnsi="Arial" w:cs="Arial"/>
          <w:sz w:val="24"/>
          <w:szCs w:val="24"/>
        </w:rPr>
        <w:t xml:space="preserve">from the Aircraft Owners and Pilots Association of Namibia, alleging that Puma </w:t>
      </w:r>
      <w:r w:rsidR="005C217D">
        <w:rPr>
          <w:rFonts w:ascii="Arial" w:hAnsi="Arial" w:cs="Arial"/>
          <w:sz w:val="24"/>
          <w:szCs w:val="24"/>
        </w:rPr>
        <w:t>Energy (Namibia) Pty Ltd wa</w:t>
      </w:r>
      <w:r w:rsidR="005C217D" w:rsidRPr="005C217D">
        <w:rPr>
          <w:rFonts w:ascii="Arial" w:hAnsi="Arial" w:cs="Arial"/>
          <w:sz w:val="24"/>
          <w:szCs w:val="24"/>
        </w:rPr>
        <w:t>s abusing its dominance by charging excessive prices for aviation fuel supply at</w:t>
      </w:r>
      <w:r w:rsidR="005B0775">
        <w:rPr>
          <w:rFonts w:ascii="Arial" w:hAnsi="Arial" w:cs="Arial"/>
          <w:sz w:val="24"/>
          <w:szCs w:val="24"/>
        </w:rPr>
        <w:t xml:space="preserve"> the</w:t>
      </w:r>
      <w:r w:rsidR="005C217D" w:rsidRPr="005C217D">
        <w:rPr>
          <w:rFonts w:ascii="Arial" w:hAnsi="Arial" w:cs="Arial"/>
          <w:sz w:val="24"/>
          <w:szCs w:val="24"/>
        </w:rPr>
        <w:t xml:space="preserve"> Eros and Ondangwa airports, in contravention of section 26 of</w:t>
      </w:r>
      <w:r w:rsidR="005C217D">
        <w:rPr>
          <w:rFonts w:ascii="Arial" w:hAnsi="Arial" w:cs="Arial"/>
          <w:sz w:val="24"/>
          <w:szCs w:val="24"/>
        </w:rPr>
        <w:t xml:space="preserve"> the Competition Act</w:t>
      </w:r>
      <w:r w:rsidR="005C217D" w:rsidRPr="005C217D">
        <w:rPr>
          <w:rFonts w:ascii="Arial" w:hAnsi="Arial" w:cs="Arial"/>
          <w:sz w:val="24"/>
          <w:szCs w:val="24"/>
        </w:rPr>
        <w:t>.</w:t>
      </w:r>
      <w:r w:rsidR="005C217D" w:rsidRPr="005C217D">
        <w:rPr>
          <w:rStyle w:val="FootnoteReference"/>
          <w:rFonts w:ascii="Arial" w:hAnsi="Arial" w:cs="Arial"/>
          <w:sz w:val="24"/>
          <w:szCs w:val="24"/>
        </w:rPr>
        <w:footnoteReference w:id="6"/>
      </w:r>
    </w:p>
    <w:p w:rsidR="003531BA" w:rsidRPr="005C217D" w:rsidRDefault="003531BA" w:rsidP="003531BA">
      <w:pPr>
        <w:spacing w:after="0" w:line="360" w:lineRule="auto"/>
        <w:jc w:val="both"/>
        <w:rPr>
          <w:rFonts w:ascii="Arial" w:hAnsi="Arial" w:cs="Arial"/>
          <w:sz w:val="24"/>
          <w:szCs w:val="24"/>
        </w:rPr>
      </w:pPr>
    </w:p>
    <w:p w:rsidR="005C217D" w:rsidRDefault="005C217D" w:rsidP="003531BA">
      <w:pPr>
        <w:spacing w:after="0" w:line="360" w:lineRule="auto"/>
        <w:jc w:val="both"/>
        <w:rPr>
          <w:rFonts w:ascii="Arial" w:hAnsi="Arial" w:cs="Arial"/>
          <w:sz w:val="24"/>
          <w:szCs w:val="24"/>
        </w:rPr>
      </w:pPr>
      <w:r>
        <w:rPr>
          <w:rFonts w:ascii="Arial" w:hAnsi="Arial" w:cs="Arial"/>
          <w:sz w:val="24"/>
          <w:szCs w:val="24"/>
        </w:rPr>
        <w:t>[</w:t>
      </w:r>
      <w:r w:rsidR="003531BA">
        <w:rPr>
          <w:rFonts w:ascii="Arial" w:hAnsi="Arial" w:cs="Arial"/>
          <w:sz w:val="24"/>
          <w:szCs w:val="24"/>
        </w:rPr>
        <w:t>7</w:t>
      </w:r>
      <w:r>
        <w:rPr>
          <w:rFonts w:ascii="Arial" w:hAnsi="Arial" w:cs="Arial"/>
          <w:sz w:val="24"/>
          <w:szCs w:val="24"/>
        </w:rPr>
        <w:t>]</w:t>
      </w:r>
      <w:r>
        <w:rPr>
          <w:rFonts w:ascii="Arial" w:hAnsi="Arial" w:cs="Arial"/>
          <w:sz w:val="24"/>
          <w:szCs w:val="24"/>
        </w:rPr>
        <w:tab/>
      </w:r>
      <w:r w:rsidRPr="005C217D">
        <w:rPr>
          <w:rFonts w:ascii="Arial" w:hAnsi="Arial" w:cs="Arial"/>
          <w:sz w:val="24"/>
          <w:szCs w:val="24"/>
        </w:rPr>
        <w:t>The Commission initiated an investigation into the complaint,</w:t>
      </w:r>
      <w:r w:rsidRPr="005C217D">
        <w:rPr>
          <w:rStyle w:val="FootnoteReference"/>
          <w:rFonts w:ascii="Arial" w:hAnsi="Arial" w:cs="Arial"/>
          <w:sz w:val="24"/>
          <w:szCs w:val="24"/>
        </w:rPr>
        <w:footnoteReference w:id="7"/>
      </w:r>
      <w:r w:rsidRPr="005C217D">
        <w:rPr>
          <w:rFonts w:ascii="Arial" w:hAnsi="Arial" w:cs="Arial"/>
          <w:sz w:val="24"/>
          <w:szCs w:val="24"/>
        </w:rPr>
        <w:t xml:space="preserve"> and then applied, </w:t>
      </w:r>
      <w:r w:rsidRPr="005C217D">
        <w:rPr>
          <w:rFonts w:ascii="Arial" w:hAnsi="Arial" w:cs="Arial"/>
          <w:i/>
          <w:sz w:val="24"/>
          <w:szCs w:val="24"/>
        </w:rPr>
        <w:t>ex parte</w:t>
      </w:r>
      <w:r w:rsidRPr="005C217D">
        <w:rPr>
          <w:rFonts w:ascii="Arial" w:hAnsi="Arial" w:cs="Arial"/>
          <w:sz w:val="24"/>
          <w:szCs w:val="24"/>
        </w:rPr>
        <w:t xml:space="preserve">, for a search and seizure warrant in respect of Puma, in terms of section 34 of the Act.  </w:t>
      </w:r>
    </w:p>
    <w:p w:rsidR="005C217D" w:rsidRPr="005C217D" w:rsidRDefault="005C217D" w:rsidP="003531BA">
      <w:pPr>
        <w:spacing w:after="0" w:line="360" w:lineRule="auto"/>
        <w:jc w:val="both"/>
        <w:rPr>
          <w:rFonts w:ascii="Arial" w:hAnsi="Arial" w:cs="Arial"/>
          <w:sz w:val="24"/>
          <w:szCs w:val="24"/>
        </w:rPr>
      </w:pPr>
    </w:p>
    <w:p w:rsidR="005C217D" w:rsidRDefault="005C217D" w:rsidP="003531BA">
      <w:pPr>
        <w:spacing w:after="0" w:line="360" w:lineRule="auto"/>
        <w:jc w:val="both"/>
        <w:rPr>
          <w:rFonts w:ascii="Arial" w:hAnsi="Arial" w:cs="Arial"/>
          <w:sz w:val="24"/>
          <w:szCs w:val="24"/>
        </w:rPr>
      </w:pPr>
      <w:r>
        <w:rPr>
          <w:rFonts w:ascii="Arial" w:hAnsi="Arial" w:cs="Arial"/>
          <w:sz w:val="24"/>
          <w:szCs w:val="24"/>
        </w:rPr>
        <w:t>[</w:t>
      </w:r>
      <w:r w:rsidR="003531BA">
        <w:rPr>
          <w:rFonts w:ascii="Arial" w:hAnsi="Arial" w:cs="Arial"/>
          <w:sz w:val="24"/>
          <w:szCs w:val="24"/>
        </w:rPr>
        <w:t>8</w:t>
      </w:r>
      <w:r>
        <w:rPr>
          <w:rFonts w:ascii="Arial" w:hAnsi="Arial" w:cs="Arial"/>
          <w:sz w:val="24"/>
          <w:szCs w:val="24"/>
        </w:rPr>
        <w:t>]</w:t>
      </w:r>
      <w:r>
        <w:rPr>
          <w:rFonts w:ascii="Arial" w:hAnsi="Arial" w:cs="Arial"/>
          <w:sz w:val="24"/>
          <w:szCs w:val="24"/>
        </w:rPr>
        <w:tab/>
        <w:t>The warrant was granted by the</w:t>
      </w:r>
      <w:r w:rsidRPr="005C217D">
        <w:rPr>
          <w:rFonts w:ascii="Arial" w:hAnsi="Arial" w:cs="Arial"/>
          <w:sz w:val="24"/>
          <w:szCs w:val="24"/>
        </w:rPr>
        <w:t xml:space="preserve"> Court on 14 September 2016</w:t>
      </w:r>
      <w:r w:rsidR="004341DE">
        <w:rPr>
          <w:rFonts w:ascii="Arial" w:hAnsi="Arial" w:cs="Arial"/>
          <w:sz w:val="24"/>
          <w:szCs w:val="24"/>
        </w:rPr>
        <w:t xml:space="preserve"> -</w:t>
      </w:r>
      <w:r w:rsidRPr="005C217D">
        <w:rPr>
          <w:rFonts w:ascii="Arial" w:hAnsi="Arial" w:cs="Arial"/>
          <w:sz w:val="24"/>
          <w:szCs w:val="24"/>
        </w:rPr>
        <w:t xml:space="preserve"> on different terms to those originally sought</w:t>
      </w:r>
      <w:r w:rsidR="004341DE">
        <w:rPr>
          <w:rFonts w:ascii="Arial" w:hAnsi="Arial" w:cs="Arial"/>
          <w:sz w:val="24"/>
          <w:szCs w:val="24"/>
        </w:rPr>
        <w:t xml:space="preserve"> –</w:t>
      </w:r>
      <w:r w:rsidRPr="005C217D">
        <w:rPr>
          <w:rFonts w:ascii="Arial" w:hAnsi="Arial" w:cs="Arial"/>
          <w:sz w:val="24"/>
          <w:szCs w:val="24"/>
        </w:rPr>
        <w:t xml:space="preserve"> and</w:t>
      </w:r>
      <w:r w:rsidR="004341DE">
        <w:rPr>
          <w:rFonts w:ascii="Arial" w:hAnsi="Arial" w:cs="Arial"/>
          <w:sz w:val="24"/>
          <w:szCs w:val="24"/>
        </w:rPr>
        <w:t xml:space="preserve"> -</w:t>
      </w:r>
      <w:r w:rsidRPr="005C217D">
        <w:rPr>
          <w:rFonts w:ascii="Arial" w:hAnsi="Arial" w:cs="Arial"/>
          <w:sz w:val="24"/>
          <w:szCs w:val="24"/>
        </w:rPr>
        <w:t xml:space="preserve"> after the Learned Judge </w:t>
      </w:r>
      <w:r>
        <w:rPr>
          <w:rFonts w:ascii="Arial" w:hAnsi="Arial" w:cs="Arial"/>
          <w:sz w:val="24"/>
          <w:szCs w:val="24"/>
        </w:rPr>
        <w:t xml:space="preserve">had </w:t>
      </w:r>
      <w:r w:rsidRPr="005C217D">
        <w:rPr>
          <w:rFonts w:ascii="Arial" w:hAnsi="Arial" w:cs="Arial"/>
          <w:sz w:val="24"/>
          <w:szCs w:val="24"/>
        </w:rPr>
        <w:t xml:space="preserve">carefully examined the application and </w:t>
      </w:r>
      <w:r>
        <w:rPr>
          <w:rFonts w:ascii="Arial" w:hAnsi="Arial" w:cs="Arial"/>
          <w:sz w:val="24"/>
          <w:szCs w:val="24"/>
        </w:rPr>
        <w:t xml:space="preserve">had </w:t>
      </w:r>
      <w:r w:rsidRPr="005C217D">
        <w:rPr>
          <w:rFonts w:ascii="Arial" w:hAnsi="Arial" w:cs="Arial"/>
          <w:sz w:val="24"/>
          <w:szCs w:val="24"/>
        </w:rPr>
        <w:t>required further safeguards to be included in the order.</w:t>
      </w:r>
      <w:r w:rsidRPr="005C217D">
        <w:rPr>
          <w:rStyle w:val="FootnoteReference"/>
          <w:rFonts w:ascii="Arial" w:hAnsi="Arial" w:cs="Arial"/>
          <w:sz w:val="24"/>
          <w:szCs w:val="24"/>
        </w:rPr>
        <w:footnoteReference w:id="8"/>
      </w:r>
      <w:r w:rsidRPr="005C217D">
        <w:rPr>
          <w:rFonts w:ascii="Arial" w:hAnsi="Arial" w:cs="Arial"/>
          <w:sz w:val="24"/>
          <w:szCs w:val="24"/>
        </w:rPr>
        <w:t xml:space="preserve">  </w:t>
      </w:r>
    </w:p>
    <w:p w:rsidR="005C217D" w:rsidRDefault="005C217D" w:rsidP="003531BA">
      <w:pPr>
        <w:spacing w:after="0" w:line="360" w:lineRule="auto"/>
        <w:jc w:val="both"/>
        <w:rPr>
          <w:rFonts w:ascii="Arial" w:hAnsi="Arial" w:cs="Arial"/>
          <w:sz w:val="24"/>
          <w:szCs w:val="24"/>
        </w:rPr>
      </w:pPr>
    </w:p>
    <w:p w:rsidR="005C217D" w:rsidRPr="005C217D" w:rsidRDefault="005C217D" w:rsidP="003531BA">
      <w:pPr>
        <w:spacing w:after="0" w:line="360" w:lineRule="auto"/>
        <w:jc w:val="both"/>
        <w:rPr>
          <w:rFonts w:ascii="Arial" w:hAnsi="Arial" w:cs="Arial"/>
          <w:sz w:val="24"/>
          <w:szCs w:val="24"/>
        </w:rPr>
      </w:pPr>
      <w:r>
        <w:rPr>
          <w:rFonts w:ascii="Arial" w:hAnsi="Arial" w:cs="Arial"/>
          <w:sz w:val="24"/>
          <w:szCs w:val="24"/>
        </w:rPr>
        <w:t>[</w:t>
      </w:r>
      <w:r w:rsidR="003531BA">
        <w:rPr>
          <w:rFonts w:ascii="Arial" w:hAnsi="Arial" w:cs="Arial"/>
          <w:sz w:val="24"/>
          <w:szCs w:val="24"/>
        </w:rPr>
        <w:t>9</w:t>
      </w:r>
      <w:r>
        <w:rPr>
          <w:rFonts w:ascii="Arial" w:hAnsi="Arial" w:cs="Arial"/>
          <w:sz w:val="24"/>
          <w:szCs w:val="24"/>
        </w:rPr>
        <w:t>]</w:t>
      </w:r>
      <w:r>
        <w:rPr>
          <w:rFonts w:ascii="Arial" w:hAnsi="Arial" w:cs="Arial"/>
          <w:sz w:val="24"/>
          <w:szCs w:val="24"/>
        </w:rPr>
        <w:tab/>
      </w:r>
      <w:r w:rsidRPr="005C217D">
        <w:rPr>
          <w:rFonts w:ascii="Arial" w:hAnsi="Arial" w:cs="Arial"/>
          <w:sz w:val="24"/>
          <w:szCs w:val="24"/>
        </w:rPr>
        <w:t>The search and seizure</w:t>
      </w:r>
      <w:r>
        <w:rPr>
          <w:rFonts w:ascii="Arial" w:hAnsi="Arial" w:cs="Arial"/>
          <w:sz w:val="24"/>
          <w:szCs w:val="24"/>
        </w:rPr>
        <w:t xml:space="preserve"> operation</w:t>
      </w:r>
      <w:r w:rsidRPr="005C217D">
        <w:rPr>
          <w:rFonts w:ascii="Arial" w:hAnsi="Arial" w:cs="Arial"/>
          <w:sz w:val="24"/>
          <w:szCs w:val="24"/>
        </w:rPr>
        <w:t xml:space="preserve"> was con</w:t>
      </w:r>
      <w:r>
        <w:rPr>
          <w:rFonts w:ascii="Arial" w:hAnsi="Arial" w:cs="Arial"/>
          <w:sz w:val="24"/>
          <w:szCs w:val="24"/>
        </w:rPr>
        <w:t>ducted</w:t>
      </w:r>
      <w:r w:rsidRPr="005C217D">
        <w:rPr>
          <w:rFonts w:ascii="Arial" w:hAnsi="Arial" w:cs="Arial"/>
          <w:sz w:val="24"/>
          <w:szCs w:val="24"/>
        </w:rPr>
        <w:t xml:space="preserve"> on 15 to 17 September 2016.  </w:t>
      </w:r>
    </w:p>
    <w:p w:rsidR="005C217D" w:rsidRDefault="005C217D" w:rsidP="003531BA">
      <w:pPr>
        <w:spacing w:after="0" w:line="360" w:lineRule="auto"/>
        <w:jc w:val="both"/>
        <w:rPr>
          <w:rFonts w:ascii="Arial" w:hAnsi="Arial" w:cs="Arial"/>
          <w:sz w:val="24"/>
          <w:szCs w:val="24"/>
        </w:rPr>
      </w:pPr>
    </w:p>
    <w:p w:rsidR="005C217D" w:rsidRDefault="005C217D" w:rsidP="003531BA">
      <w:pPr>
        <w:spacing w:after="0" w:line="360" w:lineRule="auto"/>
        <w:jc w:val="both"/>
        <w:rPr>
          <w:rFonts w:ascii="Arial" w:hAnsi="Arial" w:cs="Arial"/>
          <w:sz w:val="24"/>
          <w:szCs w:val="24"/>
        </w:rPr>
      </w:pPr>
      <w:r>
        <w:rPr>
          <w:rFonts w:ascii="Arial" w:hAnsi="Arial" w:cs="Arial"/>
          <w:sz w:val="24"/>
          <w:szCs w:val="24"/>
        </w:rPr>
        <w:t>[</w:t>
      </w:r>
      <w:r w:rsidR="003531BA">
        <w:rPr>
          <w:rFonts w:ascii="Arial" w:hAnsi="Arial" w:cs="Arial"/>
          <w:sz w:val="24"/>
          <w:szCs w:val="24"/>
        </w:rPr>
        <w:t>10</w:t>
      </w:r>
      <w:r>
        <w:rPr>
          <w:rFonts w:ascii="Arial" w:hAnsi="Arial" w:cs="Arial"/>
          <w:sz w:val="24"/>
          <w:szCs w:val="24"/>
        </w:rPr>
        <w:t>]</w:t>
      </w:r>
      <w:r>
        <w:rPr>
          <w:rFonts w:ascii="Arial" w:hAnsi="Arial" w:cs="Arial"/>
          <w:sz w:val="24"/>
          <w:szCs w:val="24"/>
        </w:rPr>
        <w:tab/>
        <w:t>On 10 October 2016 Puma</w:t>
      </w:r>
      <w:r w:rsidRPr="005C217D">
        <w:rPr>
          <w:rFonts w:ascii="Arial" w:hAnsi="Arial" w:cs="Arial"/>
          <w:sz w:val="24"/>
          <w:szCs w:val="24"/>
        </w:rPr>
        <w:t xml:space="preserve"> instituted the </w:t>
      </w:r>
      <w:r>
        <w:rPr>
          <w:rFonts w:ascii="Arial" w:hAnsi="Arial" w:cs="Arial"/>
          <w:sz w:val="24"/>
          <w:szCs w:val="24"/>
        </w:rPr>
        <w:t>present proceedings through which it seeks a re-hearing of</w:t>
      </w:r>
      <w:r w:rsidRPr="005C217D">
        <w:rPr>
          <w:rFonts w:ascii="Arial" w:hAnsi="Arial" w:cs="Arial"/>
          <w:sz w:val="24"/>
          <w:szCs w:val="24"/>
        </w:rPr>
        <w:t xml:space="preserve"> the </w:t>
      </w:r>
      <w:r w:rsidRPr="005C217D">
        <w:rPr>
          <w:rFonts w:ascii="Arial" w:hAnsi="Arial" w:cs="Arial"/>
          <w:i/>
          <w:sz w:val="24"/>
          <w:szCs w:val="24"/>
        </w:rPr>
        <w:t>ex parte</w:t>
      </w:r>
      <w:r w:rsidR="00BE6E25">
        <w:rPr>
          <w:rFonts w:ascii="Arial" w:hAnsi="Arial" w:cs="Arial"/>
          <w:sz w:val="24"/>
          <w:szCs w:val="24"/>
        </w:rPr>
        <w:t xml:space="preserve"> and </w:t>
      </w:r>
      <w:r w:rsidR="00BE6E25" w:rsidRPr="00BE6E25">
        <w:rPr>
          <w:rFonts w:ascii="Arial" w:hAnsi="Arial" w:cs="Arial"/>
          <w:i/>
          <w:sz w:val="24"/>
          <w:szCs w:val="24"/>
        </w:rPr>
        <w:t>in camera</w:t>
      </w:r>
      <w:r w:rsidR="00BE6E25">
        <w:rPr>
          <w:rFonts w:ascii="Arial" w:hAnsi="Arial" w:cs="Arial"/>
          <w:sz w:val="24"/>
          <w:szCs w:val="24"/>
        </w:rPr>
        <w:t xml:space="preserve"> application</w:t>
      </w:r>
      <w:r w:rsidRPr="005C217D">
        <w:rPr>
          <w:rFonts w:ascii="Arial" w:hAnsi="Arial" w:cs="Arial"/>
          <w:sz w:val="24"/>
          <w:szCs w:val="24"/>
        </w:rPr>
        <w:t xml:space="preserve"> and</w:t>
      </w:r>
      <w:r>
        <w:rPr>
          <w:rFonts w:ascii="Arial" w:hAnsi="Arial" w:cs="Arial"/>
          <w:sz w:val="24"/>
          <w:szCs w:val="24"/>
        </w:rPr>
        <w:t xml:space="preserve"> pursuant to such a re-hearing</w:t>
      </w:r>
      <w:r w:rsidR="00BE6E25">
        <w:rPr>
          <w:rFonts w:ascii="Arial" w:hAnsi="Arial" w:cs="Arial"/>
          <w:sz w:val="24"/>
          <w:szCs w:val="24"/>
        </w:rPr>
        <w:t xml:space="preserve"> to seek the</w:t>
      </w:r>
      <w:r w:rsidRPr="005C217D">
        <w:rPr>
          <w:rFonts w:ascii="Arial" w:hAnsi="Arial" w:cs="Arial"/>
          <w:sz w:val="24"/>
          <w:szCs w:val="24"/>
        </w:rPr>
        <w:t xml:space="preserve"> dismissal</w:t>
      </w:r>
      <w:r w:rsidR="00BE6E25">
        <w:rPr>
          <w:rFonts w:ascii="Arial" w:hAnsi="Arial" w:cs="Arial"/>
          <w:sz w:val="24"/>
          <w:szCs w:val="24"/>
        </w:rPr>
        <w:t xml:space="preserve"> of the order granted to the Commission on an </w:t>
      </w:r>
      <w:r w:rsidR="00BE6E25" w:rsidRPr="00BE6E25">
        <w:rPr>
          <w:rFonts w:ascii="Arial" w:hAnsi="Arial" w:cs="Arial"/>
          <w:i/>
          <w:sz w:val="24"/>
          <w:szCs w:val="24"/>
        </w:rPr>
        <w:t>ex parte</w:t>
      </w:r>
      <w:r w:rsidR="00BE6E25">
        <w:rPr>
          <w:rFonts w:ascii="Arial" w:hAnsi="Arial" w:cs="Arial"/>
          <w:sz w:val="24"/>
          <w:szCs w:val="24"/>
        </w:rPr>
        <w:t xml:space="preserve"> basis</w:t>
      </w:r>
      <w:r w:rsidRPr="005C217D">
        <w:rPr>
          <w:rFonts w:ascii="Arial" w:hAnsi="Arial" w:cs="Arial"/>
          <w:sz w:val="24"/>
          <w:szCs w:val="24"/>
        </w:rPr>
        <w:t>.</w:t>
      </w:r>
      <w:r w:rsidRPr="005C217D">
        <w:rPr>
          <w:rStyle w:val="FootnoteReference"/>
          <w:rFonts w:ascii="Arial" w:hAnsi="Arial" w:cs="Arial"/>
          <w:sz w:val="24"/>
          <w:szCs w:val="24"/>
        </w:rPr>
        <w:footnoteReference w:id="9"/>
      </w:r>
      <w:r>
        <w:rPr>
          <w:rFonts w:ascii="Arial" w:hAnsi="Arial" w:cs="Arial"/>
          <w:sz w:val="24"/>
          <w:szCs w:val="24"/>
        </w:rPr>
        <w:t xml:space="preserve"> Puma also counter-applied</w:t>
      </w:r>
      <w:r w:rsidRPr="005C217D">
        <w:rPr>
          <w:rFonts w:ascii="Arial" w:hAnsi="Arial" w:cs="Arial"/>
          <w:sz w:val="24"/>
          <w:szCs w:val="24"/>
        </w:rPr>
        <w:t xml:space="preserve"> for an order declaring the warrant unlawful and</w:t>
      </w:r>
      <w:r>
        <w:rPr>
          <w:rFonts w:ascii="Arial" w:hAnsi="Arial" w:cs="Arial"/>
          <w:sz w:val="24"/>
          <w:szCs w:val="24"/>
        </w:rPr>
        <w:t xml:space="preserve"> for it to be set</w:t>
      </w:r>
      <w:r w:rsidRPr="005C217D">
        <w:rPr>
          <w:rFonts w:ascii="Arial" w:hAnsi="Arial" w:cs="Arial"/>
          <w:sz w:val="24"/>
          <w:szCs w:val="24"/>
        </w:rPr>
        <w:t xml:space="preserve"> aside. </w:t>
      </w:r>
    </w:p>
    <w:p w:rsidR="005C217D" w:rsidRDefault="005C217D" w:rsidP="003531BA">
      <w:pPr>
        <w:spacing w:after="0" w:line="360" w:lineRule="auto"/>
        <w:jc w:val="both"/>
        <w:rPr>
          <w:rFonts w:ascii="Arial" w:hAnsi="Arial" w:cs="Arial"/>
          <w:sz w:val="24"/>
          <w:szCs w:val="24"/>
        </w:rPr>
      </w:pPr>
    </w:p>
    <w:p w:rsidR="005C217D" w:rsidRDefault="005C217D" w:rsidP="003531BA">
      <w:pPr>
        <w:spacing w:after="0" w:line="360" w:lineRule="auto"/>
        <w:jc w:val="both"/>
        <w:rPr>
          <w:rFonts w:ascii="Arial" w:hAnsi="Arial" w:cs="Arial"/>
          <w:sz w:val="24"/>
          <w:szCs w:val="24"/>
        </w:rPr>
      </w:pPr>
      <w:r>
        <w:rPr>
          <w:rFonts w:ascii="Arial" w:hAnsi="Arial" w:cs="Arial"/>
          <w:sz w:val="24"/>
          <w:szCs w:val="24"/>
        </w:rPr>
        <w:t>[</w:t>
      </w:r>
      <w:r w:rsidR="003531BA">
        <w:rPr>
          <w:rFonts w:ascii="Arial" w:hAnsi="Arial" w:cs="Arial"/>
          <w:sz w:val="24"/>
          <w:szCs w:val="24"/>
        </w:rPr>
        <w:t>11</w:t>
      </w:r>
      <w:r>
        <w:rPr>
          <w:rFonts w:ascii="Arial" w:hAnsi="Arial" w:cs="Arial"/>
          <w:sz w:val="24"/>
          <w:szCs w:val="24"/>
        </w:rPr>
        <w:t>]</w:t>
      </w:r>
      <w:r>
        <w:rPr>
          <w:rFonts w:ascii="Arial" w:hAnsi="Arial" w:cs="Arial"/>
          <w:sz w:val="24"/>
          <w:szCs w:val="24"/>
        </w:rPr>
        <w:tab/>
        <w:t>These applications where opposed by the Commission.</w:t>
      </w:r>
    </w:p>
    <w:p w:rsidR="005C217D" w:rsidRDefault="005C217D" w:rsidP="003531BA">
      <w:pPr>
        <w:spacing w:after="0" w:line="360" w:lineRule="auto"/>
        <w:jc w:val="both"/>
        <w:rPr>
          <w:rFonts w:ascii="Arial" w:hAnsi="Arial" w:cs="Arial"/>
          <w:sz w:val="24"/>
          <w:szCs w:val="24"/>
        </w:rPr>
      </w:pPr>
    </w:p>
    <w:p w:rsidR="00D11ECE" w:rsidRPr="00C4765D" w:rsidRDefault="00D11ECE" w:rsidP="003531BA">
      <w:pPr>
        <w:spacing w:after="0" w:line="360" w:lineRule="auto"/>
        <w:jc w:val="both"/>
        <w:rPr>
          <w:rFonts w:ascii="Arial" w:hAnsi="Arial" w:cs="Arial"/>
          <w:sz w:val="24"/>
          <w:szCs w:val="24"/>
          <w:u w:val="single"/>
        </w:rPr>
      </w:pPr>
      <w:r w:rsidRPr="00C4765D">
        <w:rPr>
          <w:rFonts w:ascii="Arial" w:hAnsi="Arial" w:cs="Arial"/>
          <w:sz w:val="24"/>
          <w:szCs w:val="24"/>
          <w:u w:val="single"/>
        </w:rPr>
        <w:t>F</w:t>
      </w:r>
      <w:r w:rsidR="00BE6E25" w:rsidRPr="00C4765D">
        <w:rPr>
          <w:rFonts w:ascii="Arial" w:hAnsi="Arial" w:cs="Arial"/>
          <w:sz w:val="24"/>
          <w:szCs w:val="24"/>
          <w:u w:val="single"/>
        </w:rPr>
        <w:t>urther relevant backgroun</w:t>
      </w:r>
      <w:r w:rsidR="00DB17D1" w:rsidRPr="00C4765D">
        <w:rPr>
          <w:rFonts w:ascii="Arial" w:hAnsi="Arial" w:cs="Arial"/>
          <w:sz w:val="24"/>
          <w:szCs w:val="24"/>
          <w:u w:val="single"/>
        </w:rPr>
        <w:t>d</w:t>
      </w:r>
      <w:r w:rsidR="00BE6E25" w:rsidRPr="00C4765D">
        <w:rPr>
          <w:rFonts w:ascii="Arial" w:hAnsi="Arial" w:cs="Arial"/>
          <w:sz w:val="24"/>
          <w:szCs w:val="24"/>
          <w:u w:val="single"/>
        </w:rPr>
        <w:t xml:space="preserve"> facts</w:t>
      </w:r>
    </w:p>
    <w:p w:rsidR="005C217D" w:rsidRDefault="005C217D" w:rsidP="003531BA">
      <w:pPr>
        <w:spacing w:after="0" w:line="360" w:lineRule="auto"/>
        <w:jc w:val="both"/>
        <w:rPr>
          <w:rFonts w:ascii="Arial" w:hAnsi="Arial" w:cs="Arial"/>
          <w:sz w:val="24"/>
          <w:szCs w:val="24"/>
        </w:rPr>
      </w:pPr>
    </w:p>
    <w:p w:rsidR="005C217D" w:rsidRDefault="00D11ECE" w:rsidP="003531BA">
      <w:pPr>
        <w:spacing w:after="0" w:line="360" w:lineRule="auto"/>
        <w:jc w:val="both"/>
        <w:rPr>
          <w:rFonts w:ascii="Arial" w:hAnsi="Arial" w:cs="Arial"/>
          <w:sz w:val="24"/>
          <w:szCs w:val="24"/>
        </w:rPr>
      </w:pPr>
      <w:r>
        <w:rPr>
          <w:rFonts w:ascii="Arial" w:hAnsi="Arial" w:cs="Arial"/>
          <w:sz w:val="24"/>
          <w:szCs w:val="24"/>
        </w:rPr>
        <w:t>[</w:t>
      </w:r>
      <w:r w:rsidR="003531BA">
        <w:rPr>
          <w:rFonts w:ascii="Arial" w:hAnsi="Arial" w:cs="Arial"/>
          <w:sz w:val="24"/>
          <w:szCs w:val="24"/>
        </w:rPr>
        <w:t>12</w:t>
      </w:r>
      <w:r>
        <w:rPr>
          <w:rFonts w:ascii="Arial" w:hAnsi="Arial" w:cs="Arial"/>
          <w:sz w:val="24"/>
          <w:szCs w:val="24"/>
        </w:rPr>
        <w:t>]</w:t>
      </w:r>
      <w:r>
        <w:rPr>
          <w:rFonts w:ascii="Arial" w:hAnsi="Arial" w:cs="Arial"/>
          <w:sz w:val="24"/>
          <w:szCs w:val="24"/>
        </w:rPr>
        <w:tab/>
        <w:t>Counsel for the Commission summarized these in their heads of arguments as follows:</w:t>
      </w:r>
    </w:p>
    <w:p w:rsidR="00D11ECE" w:rsidRDefault="00D11ECE" w:rsidP="003531BA">
      <w:pPr>
        <w:spacing w:after="0" w:line="360" w:lineRule="auto"/>
        <w:jc w:val="both"/>
        <w:rPr>
          <w:rFonts w:ascii="Arial" w:hAnsi="Arial" w:cs="Arial"/>
          <w:sz w:val="24"/>
          <w:szCs w:val="24"/>
        </w:rPr>
      </w:pPr>
    </w:p>
    <w:p w:rsidR="00D11ECE" w:rsidRPr="00D11ECE" w:rsidRDefault="00D11ECE" w:rsidP="00C4765D">
      <w:pPr>
        <w:keepNext/>
        <w:spacing w:after="0" w:line="360" w:lineRule="auto"/>
        <w:jc w:val="both"/>
        <w:rPr>
          <w:rFonts w:ascii="Arial" w:hAnsi="Arial" w:cs="Arial"/>
        </w:rPr>
      </w:pPr>
      <w:r>
        <w:rPr>
          <w:rFonts w:ascii="Arial" w:hAnsi="Arial" w:cs="Arial"/>
        </w:rPr>
        <w:t>‘</w:t>
      </w:r>
      <w:r w:rsidRPr="00D11ECE">
        <w:rPr>
          <w:rFonts w:ascii="Arial" w:hAnsi="Arial" w:cs="Arial"/>
        </w:rPr>
        <w:t>The Commission initiated an investigation into Puma’s conduct, which is presently ongoing.  Its preliminary enquiries revealed that Puma is the only party that is authorised to dispense aviation fuel at Ondangwa airport and, until recently, was also the sole dispenser of aviation fuel at Eros airport.</w:t>
      </w:r>
      <w:r w:rsidRPr="00D11ECE">
        <w:rPr>
          <w:rStyle w:val="FootnoteReference"/>
          <w:rFonts w:ascii="Arial" w:hAnsi="Arial" w:cs="Arial"/>
        </w:rPr>
        <w:footnoteReference w:id="10"/>
      </w:r>
      <w:r w:rsidRPr="00D11ECE">
        <w:rPr>
          <w:rFonts w:ascii="Arial" w:hAnsi="Arial" w:cs="Arial"/>
        </w:rPr>
        <w:t xml:space="preserve">  Puma’s prices are recorded as being higher than suppliers at other outlier airports (who must pay more in costs for transporting the fuel).</w:t>
      </w:r>
      <w:r w:rsidRPr="00D11ECE">
        <w:rPr>
          <w:rStyle w:val="FootnoteReference"/>
          <w:rFonts w:ascii="Arial" w:hAnsi="Arial" w:cs="Arial"/>
        </w:rPr>
        <w:footnoteReference w:id="11"/>
      </w:r>
      <w:r w:rsidRPr="00D11ECE">
        <w:rPr>
          <w:rFonts w:ascii="Arial" w:hAnsi="Arial" w:cs="Arial"/>
        </w:rPr>
        <w:t xml:space="preserve">  The damages that are alleged to have been borne by competing operators are in excess of $20 500 000.</w:t>
      </w:r>
      <w:r w:rsidRPr="00D11ECE">
        <w:rPr>
          <w:rStyle w:val="FootnoteReference"/>
          <w:rFonts w:ascii="Arial" w:hAnsi="Arial" w:cs="Arial"/>
        </w:rPr>
        <w:footnoteReference w:id="12"/>
      </w:r>
      <w:r w:rsidRPr="00D11ECE">
        <w:rPr>
          <w:rFonts w:ascii="Arial" w:hAnsi="Arial" w:cs="Arial"/>
        </w:rPr>
        <w:t xml:space="preserve">  </w:t>
      </w:r>
    </w:p>
    <w:p w:rsidR="00DB17D1" w:rsidRDefault="00DB17D1" w:rsidP="003531BA">
      <w:pPr>
        <w:pStyle w:val="Heading2"/>
        <w:spacing w:line="360" w:lineRule="auto"/>
        <w:rPr>
          <w:rFonts w:ascii="Arial" w:hAnsi="Arial" w:cs="Arial"/>
          <w:sz w:val="22"/>
          <w:szCs w:val="22"/>
        </w:rPr>
      </w:pPr>
    </w:p>
    <w:p w:rsidR="00D11ECE" w:rsidRDefault="00D11ECE" w:rsidP="003531BA">
      <w:pPr>
        <w:pStyle w:val="Heading2"/>
        <w:spacing w:line="360" w:lineRule="auto"/>
        <w:rPr>
          <w:rFonts w:ascii="Arial" w:hAnsi="Arial" w:cs="Arial"/>
          <w:sz w:val="22"/>
          <w:szCs w:val="22"/>
        </w:rPr>
      </w:pPr>
      <w:r w:rsidRPr="00D11ECE">
        <w:rPr>
          <w:rFonts w:ascii="Arial" w:hAnsi="Arial" w:cs="Arial"/>
          <w:sz w:val="22"/>
          <w:szCs w:val="22"/>
        </w:rPr>
        <w:t>The application for a warrant</w:t>
      </w:r>
    </w:p>
    <w:p w:rsidR="00952A24" w:rsidRPr="00952A24" w:rsidRDefault="00952A24" w:rsidP="003531BA">
      <w:pPr>
        <w:spacing w:after="0" w:line="360" w:lineRule="auto"/>
        <w:rPr>
          <w:lang w:val="x-none" w:eastAsia="x-none"/>
        </w:rPr>
      </w:pPr>
    </w:p>
    <w:p w:rsidR="00D11ECE" w:rsidRPr="00D11ECE" w:rsidRDefault="00D11ECE" w:rsidP="003531BA">
      <w:pPr>
        <w:spacing w:after="0" w:line="360" w:lineRule="auto"/>
        <w:jc w:val="both"/>
        <w:rPr>
          <w:rFonts w:ascii="Arial" w:hAnsi="Arial" w:cs="Arial"/>
        </w:rPr>
      </w:pPr>
      <w:r w:rsidRPr="00D11ECE">
        <w:rPr>
          <w:rFonts w:ascii="Arial" w:hAnsi="Arial" w:cs="Arial"/>
        </w:rPr>
        <w:t>On 14 September 2016, the Commission determined to apply to the High Court for a warrant to conduct a search and seizure in terms of section 34 of the Competition Act.</w:t>
      </w:r>
      <w:r w:rsidRPr="00D11ECE">
        <w:rPr>
          <w:rStyle w:val="FootnoteReference"/>
          <w:rFonts w:ascii="Arial" w:hAnsi="Arial" w:cs="Arial"/>
        </w:rPr>
        <w:footnoteReference w:id="13"/>
      </w:r>
      <w:r w:rsidRPr="00D11ECE">
        <w:rPr>
          <w:rFonts w:ascii="Arial" w:hAnsi="Arial" w:cs="Arial"/>
        </w:rPr>
        <w:t xml:space="preserve">  The application was supported by a founding affidavit deposed to by Mr Ndalikokule, an employee of the Commission who at the time was acting as its Secretary, in which he stated amongst others that he was duly authorised to bring the proceedings.</w:t>
      </w:r>
      <w:r w:rsidRPr="00D11ECE">
        <w:rPr>
          <w:rStyle w:val="FootnoteReference"/>
          <w:rFonts w:ascii="Arial" w:hAnsi="Arial" w:cs="Arial"/>
        </w:rPr>
        <w:footnoteReference w:id="14"/>
      </w:r>
    </w:p>
    <w:p w:rsidR="00D11ECE" w:rsidRDefault="00D11ECE" w:rsidP="003531BA">
      <w:pPr>
        <w:spacing w:after="0" w:line="360" w:lineRule="auto"/>
        <w:jc w:val="both"/>
        <w:rPr>
          <w:rFonts w:ascii="Arial" w:hAnsi="Arial" w:cs="Arial"/>
        </w:rPr>
      </w:pPr>
      <w:r w:rsidRPr="00D11ECE">
        <w:rPr>
          <w:rFonts w:ascii="Arial" w:hAnsi="Arial" w:cs="Arial"/>
        </w:rPr>
        <w:lastRenderedPageBreak/>
        <w:t>The founding affidavit set out that, for the Competition Commission impartially to conduct the investigation, it requires Puma’s documentary proof relating to the following particularised information:</w:t>
      </w:r>
      <w:r w:rsidRPr="00D11ECE">
        <w:rPr>
          <w:rStyle w:val="FootnoteReference"/>
          <w:rFonts w:ascii="Arial" w:hAnsi="Arial" w:cs="Arial"/>
        </w:rPr>
        <w:footnoteReference w:id="15"/>
      </w:r>
    </w:p>
    <w:p w:rsidR="00BE6E25" w:rsidRPr="00D11ECE" w:rsidRDefault="00BE6E25" w:rsidP="003531BA">
      <w:pPr>
        <w:spacing w:after="0" w:line="360" w:lineRule="auto"/>
        <w:jc w:val="both"/>
        <w:rPr>
          <w:rFonts w:ascii="Arial" w:hAnsi="Arial" w:cs="Arial"/>
        </w:rPr>
      </w:pPr>
    </w:p>
    <w:p w:rsidR="00D11ECE" w:rsidRDefault="00D11ECE" w:rsidP="00DB17D1">
      <w:pPr>
        <w:pStyle w:val="ListParagraph"/>
        <w:numPr>
          <w:ilvl w:val="0"/>
          <w:numId w:val="4"/>
        </w:numPr>
        <w:spacing w:line="360" w:lineRule="auto"/>
        <w:ind w:hanging="720"/>
        <w:jc w:val="both"/>
        <w:rPr>
          <w:rFonts w:cs="Arial"/>
          <w:sz w:val="22"/>
          <w:szCs w:val="22"/>
        </w:rPr>
      </w:pPr>
      <w:r w:rsidRPr="00BE6E25">
        <w:rPr>
          <w:rFonts w:cs="Arial"/>
          <w:sz w:val="22"/>
          <w:szCs w:val="22"/>
        </w:rPr>
        <w:t>pricing strategies and policies;</w:t>
      </w:r>
    </w:p>
    <w:p w:rsidR="00C4765D" w:rsidRPr="00BE6E25" w:rsidRDefault="00C4765D" w:rsidP="00C4765D">
      <w:pPr>
        <w:pStyle w:val="ListParagraph"/>
        <w:spacing w:line="360" w:lineRule="auto"/>
        <w:jc w:val="both"/>
        <w:rPr>
          <w:rFonts w:cs="Arial"/>
          <w:sz w:val="22"/>
          <w:szCs w:val="22"/>
        </w:rPr>
      </w:pPr>
    </w:p>
    <w:p w:rsidR="00C4765D" w:rsidRDefault="00D11ECE" w:rsidP="00C4765D">
      <w:pPr>
        <w:pStyle w:val="ListParagraph"/>
        <w:numPr>
          <w:ilvl w:val="0"/>
          <w:numId w:val="4"/>
        </w:numPr>
        <w:spacing w:line="360" w:lineRule="auto"/>
        <w:ind w:left="0" w:firstLine="0"/>
        <w:jc w:val="both"/>
        <w:rPr>
          <w:rFonts w:cs="Arial"/>
          <w:sz w:val="22"/>
          <w:szCs w:val="22"/>
        </w:rPr>
      </w:pPr>
      <w:r w:rsidRPr="00BE6E25">
        <w:rPr>
          <w:rFonts w:cs="Arial"/>
          <w:sz w:val="22"/>
          <w:szCs w:val="22"/>
        </w:rPr>
        <w:t>demands studies;</w:t>
      </w:r>
    </w:p>
    <w:p w:rsidR="00C4765D" w:rsidRPr="00C4765D" w:rsidRDefault="00C4765D" w:rsidP="00C4765D">
      <w:pPr>
        <w:pStyle w:val="ListParagraph"/>
        <w:spacing w:line="360" w:lineRule="auto"/>
        <w:ind w:left="0"/>
        <w:jc w:val="both"/>
        <w:rPr>
          <w:rFonts w:cs="Arial"/>
          <w:sz w:val="22"/>
          <w:szCs w:val="22"/>
        </w:rPr>
      </w:pPr>
    </w:p>
    <w:p w:rsidR="00D11ECE" w:rsidRDefault="00D11ECE" w:rsidP="003531BA">
      <w:pPr>
        <w:pStyle w:val="ListParagraph"/>
        <w:numPr>
          <w:ilvl w:val="0"/>
          <w:numId w:val="4"/>
        </w:numPr>
        <w:spacing w:line="360" w:lineRule="auto"/>
        <w:ind w:left="0" w:firstLine="0"/>
        <w:jc w:val="both"/>
        <w:rPr>
          <w:rFonts w:cs="Arial"/>
          <w:sz w:val="22"/>
          <w:szCs w:val="22"/>
        </w:rPr>
      </w:pPr>
      <w:r w:rsidRPr="00BE6E25">
        <w:rPr>
          <w:rFonts w:cs="Arial"/>
          <w:sz w:val="22"/>
          <w:szCs w:val="22"/>
        </w:rPr>
        <w:t>company value/supply chain</w:t>
      </w:r>
      <w:r w:rsidR="00952A24" w:rsidRPr="00BE6E25">
        <w:rPr>
          <w:rFonts w:cs="Arial"/>
          <w:sz w:val="22"/>
          <w:szCs w:val="22"/>
        </w:rPr>
        <w:t xml:space="preserve"> </w:t>
      </w:r>
      <w:r w:rsidRPr="00BE6E25">
        <w:rPr>
          <w:rFonts w:cs="Arial"/>
          <w:sz w:val="22"/>
          <w:szCs w:val="22"/>
        </w:rPr>
        <w:t>cost of production/sourcing per litre that form part of the pricing;</w:t>
      </w:r>
    </w:p>
    <w:p w:rsidR="00C4765D" w:rsidRPr="00BE6E25" w:rsidRDefault="00C4765D" w:rsidP="00C4765D">
      <w:pPr>
        <w:pStyle w:val="ListParagraph"/>
        <w:spacing w:line="360" w:lineRule="auto"/>
        <w:ind w:left="0"/>
        <w:jc w:val="both"/>
        <w:rPr>
          <w:rFonts w:cs="Arial"/>
          <w:sz w:val="22"/>
          <w:szCs w:val="22"/>
        </w:rPr>
      </w:pPr>
    </w:p>
    <w:p w:rsidR="00D11ECE" w:rsidRDefault="00D11ECE" w:rsidP="003531BA">
      <w:pPr>
        <w:pStyle w:val="ListParagraph"/>
        <w:numPr>
          <w:ilvl w:val="0"/>
          <w:numId w:val="4"/>
        </w:numPr>
        <w:spacing w:line="360" w:lineRule="auto"/>
        <w:ind w:left="0" w:firstLine="0"/>
        <w:jc w:val="both"/>
        <w:rPr>
          <w:rFonts w:cs="Arial"/>
          <w:sz w:val="22"/>
          <w:szCs w:val="22"/>
        </w:rPr>
      </w:pPr>
      <w:r w:rsidRPr="00BE6E25">
        <w:rPr>
          <w:rFonts w:cs="Arial"/>
          <w:sz w:val="22"/>
          <w:szCs w:val="22"/>
        </w:rPr>
        <w:t>cost per item at each level of the value/supply chain;</w:t>
      </w:r>
    </w:p>
    <w:p w:rsidR="00C4765D" w:rsidRPr="00BE6E25" w:rsidRDefault="00C4765D" w:rsidP="00C4765D">
      <w:pPr>
        <w:pStyle w:val="ListParagraph"/>
        <w:spacing w:line="360" w:lineRule="auto"/>
        <w:ind w:left="0"/>
        <w:jc w:val="both"/>
        <w:rPr>
          <w:rFonts w:cs="Arial"/>
          <w:sz w:val="22"/>
          <w:szCs w:val="22"/>
        </w:rPr>
      </w:pPr>
    </w:p>
    <w:p w:rsidR="00D11ECE" w:rsidRDefault="00D11ECE" w:rsidP="003531BA">
      <w:pPr>
        <w:pStyle w:val="ListParagraph"/>
        <w:numPr>
          <w:ilvl w:val="0"/>
          <w:numId w:val="4"/>
        </w:numPr>
        <w:spacing w:line="360" w:lineRule="auto"/>
        <w:ind w:left="0" w:firstLine="0"/>
        <w:jc w:val="both"/>
        <w:rPr>
          <w:rFonts w:cs="Arial"/>
          <w:sz w:val="22"/>
          <w:szCs w:val="22"/>
        </w:rPr>
      </w:pPr>
      <w:r w:rsidRPr="00BE6E25">
        <w:rPr>
          <w:rFonts w:cs="Arial"/>
          <w:sz w:val="22"/>
          <w:szCs w:val="22"/>
        </w:rPr>
        <w:t>supply and distribution contracts;</w:t>
      </w:r>
    </w:p>
    <w:p w:rsidR="00C4765D" w:rsidRPr="00BE6E25" w:rsidRDefault="00C4765D" w:rsidP="00C4765D">
      <w:pPr>
        <w:pStyle w:val="ListParagraph"/>
        <w:spacing w:line="360" w:lineRule="auto"/>
        <w:ind w:left="0"/>
        <w:jc w:val="both"/>
        <w:rPr>
          <w:rFonts w:cs="Arial"/>
          <w:sz w:val="22"/>
          <w:szCs w:val="22"/>
        </w:rPr>
      </w:pPr>
    </w:p>
    <w:p w:rsidR="00D11ECE" w:rsidRDefault="00D11ECE" w:rsidP="003531BA">
      <w:pPr>
        <w:pStyle w:val="ListParagraph"/>
        <w:numPr>
          <w:ilvl w:val="0"/>
          <w:numId w:val="4"/>
        </w:numPr>
        <w:spacing w:line="360" w:lineRule="auto"/>
        <w:ind w:left="0" w:firstLine="0"/>
        <w:jc w:val="both"/>
        <w:rPr>
          <w:rFonts w:cs="Arial"/>
          <w:sz w:val="22"/>
          <w:szCs w:val="22"/>
        </w:rPr>
      </w:pPr>
      <w:r w:rsidRPr="00BE6E25">
        <w:rPr>
          <w:rFonts w:cs="Arial"/>
          <w:sz w:val="22"/>
          <w:szCs w:val="22"/>
        </w:rPr>
        <w:t>invoices for sourcing as well as all costs incurred at each level of the value/supply chain;</w:t>
      </w:r>
    </w:p>
    <w:p w:rsidR="00C4765D" w:rsidRPr="00BE6E25" w:rsidRDefault="00C4765D" w:rsidP="00C4765D">
      <w:pPr>
        <w:pStyle w:val="ListParagraph"/>
        <w:spacing w:line="360" w:lineRule="auto"/>
        <w:ind w:left="0"/>
        <w:jc w:val="both"/>
        <w:rPr>
          <w:rFonts w:cs="Arial"/>
          <w:sz w:val="22"/>
          <w:szCs w:val="22"/>
        </w:rPr>
      </w:pPr>
    </w:p>
    <w:p w:rsidR="00D11ECE" w:rsidRDefault="00D11ECE" w:rsidP="003531BA">
      <w:pPr>
        <w:pStyle w:val="ListParagraph"/>
        <w:numPr>
          <w:ilvl w:val="0"/>
          <w:numId w:val="4"/>
        </w:numPr>
        <w:spacing w:line="360" w:lineRule="auto"/>
        <w:ind w:left="0" w:firstLine="0"/>
        <w:jc w:val="both"/>
        <w:rPr>
          <w:rFonts w:cs="Arial"/>
          <w:sz w:val="22"/>
          <w:szCs w:val="22"/>
        </w:rPr>
      </w:pPr>
      <w:r w:rsidRPr="00BE6E25">
        <w:rPr>
          <w:rFonts w:cs="Arial"/>
          <w:sz w:val="22"/>
          <w:szCs w:val="22"/>
        </w:rPr>
        <w:t>financial statements; and</w:t>
      </w:r>
    </w:p>
    <w:p w:rsidR="00C4765D" w:rsidRPr="00BE6E25" w:rsidRDefault="00C4765D" w:rsidP="00C4765D">
      <w:pPr>
        <w:pStyle w:val="ListParagraph"/>
        <w:spacing w:line="360" w:lineRule="auto"/>
        <w:ind w:left="0"/>
        <w:jc w:val="both"/>
        <w:rPr>
          <w:rFonts w:cs="Arial"/>
          <w:sz w:val="22"/>
          <w:szCs w:val="22"/>
        </w:rPr>
      </w:pPr>
    </w:p>
    <w:p w:rsidR="00D11ECE" w:rsidRPr="00BE6E25" w:rsidRDefault="00D11ECE" w:rsidP="003531BA">
      <w:pPr>
        <w:pStyle w:val="ListParagraph"/>
        <w:numPr>
          <w:ilvl w:val="0"/>
          <w:numId w:val="4"/>
        </w:numPr>
        <w:spacing w:line="360" w:lineRule="auto"/>
        <w:ind w:left="0" w:firstLine="0"/>
        <w:jc w:val="both"/>
        <w:rPr>
          <w:rFonts w:cs="Arial"/>
          <w:sz w:val="22"/>
          <w:szCs w:val="22"/>
        </w:rPr>
      </w:pPr>
      <w:proofErr w:type="gramStart"/>
      <w:r w:rsidRPr="00BE6E25">
        <w:rPr>
          <w:rFonts w:cs="Arial"/>
          <w:sz w:val="22"/>
          <w:szCs w:val="22"/>
        </w:rPr>
        <w:t>meeting</w:t>
      </w:r>
      <w:proofErr w:type="gramEnd"/>
      <w:r w:rsidRPr="00BE6E25">
        <w:rPr>
          <w:rFonts w:cs="Arial"/>
          <w:sz w:val="22"/>
          <w:szCs w:val="22"/>
        </w:rPr>
        <w:t xml:space="preserve"> minutes.</w:t>
      </w:r>
    </w:p>
    <w:p w:rsidR="00952A24" w:rsidRPr="00BE6E25" w:rsidRDefault="00952A24" w:rsidP="003531BA">
      <w:pPr>
        <w:spacing w:after="0" w:line="360" w:lineRule="auto"/>
        <w:jc w:val="both"/>
        <w:rPr>
          <w:rFonts w:ascii="Arial" w:hAnsi="Arial" w:cs="Arial"/>
        </w:rPr>
      </w:pPr>
    </w:p>
    <w:p w:rsidR="00D11ECE" w:rsidRPr="00D11ECE" w:rsidRDefault="00D11ECE" w:rsidP="003531BA">
      <w:pPr>
        <w:spacing w:after="0" w:line="360" w:lineRule="auto"/>
        <w:jc w:val="both"/>
        <w:rPr>
          <w:rFonts w:ascii="Arial" w:hAnsi="Arial" w:cs="Arial"/>
        </w:rPr>
      </w:pPr>
      <w:r w:rsidRPr="00D11ECE">
        <w:rPr>
          <w:rFonts w:ascii="Arial" w:hAnsi="Arial" w:cs="Arial"/>
        </w:rPr>
        <w:t>The founding affidavit recorded that the Commission believed it required to conduct a search and seizure because:</w:t>
      </w:r>
    </w:p>
    <w:p w:rsidR="00952A24" w:rsidRPr="00BE6E25" w:rsidRDefault="00952A24" w:rsidP="003531BA">
      <w:pPr>
        <w:spacing w:after="0" w:line="360" w:lineRule="auto"/>
        <w:jc w:val="both"/>
        <w:rPr>
          <w:rFonts w:ascii="Arial" w:hAnsi="Arial" w:cs="Arial"/>
        </w:rPr>
      </w:pPr>
    </w:p>
    <w:p w:rsidR="00D11ECE" w:rsidRPr="00BE6E25" w:rsidRDefault="00D11ECE" w:rsidP="003531BA">
      <w:pPr>
        <w:pStyle w:val="ListParagraph"/>
        <w:numPr>
          <w:ilvl w:val="0"/>
          <w:numId w:val="5"/>
        </w:numPr>
        <w:spacing w:line="360" w:lineRule="auto"/>
        <w:ind w:left="0" w:firstLine="0"/>
        <w:jc w:val="both"/>
        <w:rPr>
          <w:rFonts w:cs="Arial"/>
          <w:sz w:val="22"/>
          <w:szCs w:val="22"/>
        </w:rPr>
      </w:pPr>
      <w:r w:rsidRPr="00BE6E25">
        <w:rPr>
          <w:rFonts w:cs="Arial"/>
          <w:sz w:val="22"/>
          <w:szCs w:val="22"/>
        </w:rPr>
        <w:t>Puma and its employees are unlikely to volunteer information to assist with the investigation – particularly since they are believed to have actively (but surreptitiously) engaged in prohibited conduct over an extended period of six years.  The Commission intends to proceed there by interviewing and interrogating them after it has obtained documents and information;</w:t>
      </w:r>
      <w:r w:rsidRPr="00BE6E25">
        <w:rPr>
          <w:rStyle w:val="FootnoteReference"/>
          <w:rFonts w:cs="Arial"/>
          <w:sz w:val="22"/>
          <w:szCs w:val="22"/>
        </w:rPr>
        <w:footnoteReference w:id="16"/>
      </w:r>
    </w:p>
    <w:p w:rsidR="00952A24" w:rsidRDefault="00952A24" w:rsidP="003531BA">
      <w:pPr>
        <w:pStyle w:val="ListParagraph"/>
        <w:spacing w:line="360" w:lineRule="auto"/>
        <w:jc w:val="both"/>
        <w:rPr>
          <w:rFonts w:cs="Arial"/>
        </w:rPr>
      </w:pPr>
    </w:p>
    <w:p w:rsidR="00D11ECE" w:rsidRPr="00952A24" w:rsidRDefault="00D11ECE" w:rsidP="002736B4">
      <w:pPr>
        <w:pStyle w:val="ListParagraph"/>
        <w:numPr>
          <w:ilvl w:val="0"/>
          <w:numId w:val="5"/>
        </w:numPr>
        <w:spacing w:line="360" w:lineRule="auto"/>
        <w:ind w:left="0" w:firstLine="0"/>
        <w:jc w:val="both"/>
        <w:rPr>
          <w:rFonts w:cs="Arial"/>
        </w:rPr>
      </w:pPr>
      <w:r w:rsidRPr="00952A24">
        <w:rPr>
          <w:rFonts w:cs="Arial"/>
          <w:sz w:val="22"/>
          <w:szCs w:val="22"/>
        </w:rPr>
        <w:t>a subpoena would not adequately safeguard the Commission’s investigation because the documents and information sought are liable to easy manipulation and disposal such that, absent a warrant, the investigation would be compromised;</w:t>
      </w:r>
      <w:r w:rsidRPr="00D11ECE">
        <w:rPr>
          <w:rStyle w:val="FootnoteReference"/>
          <w:rFonts w:cs="Arial"/>
          <w:sz w:val="22"/>
          <w:szCs w:val="22"/>
        </w:rPr>
        <w:footnoteReference w:id="17"/>
      </w:r>
      <w:r w:rsidRPr="00952A24">
        <w:rPr>
          <w:rFonts w:cs="Arial"/>
          <w:sz w:val="22"/>
          <w:szCs w:val="22"/>
        </w:rPr>
        <w:t xml:space="preserve"> and</w:t>
      </w:r>
    </w:p>
    <w:p w:rsidR="00952A24" w:rsidRPr="00952A24" w:rsidRDefault="00952A24" w:rsidP="002736B4">
      <w:pPr>
        <w:pStyle w:val="ListParagraph"/>
        <w:spacing w:line="360" w:lineRule="auto"/>
        <w:ind w:left="0"/>
        <w:rPr>
          <w:rFonts w:cs="Arial"/>
        </w:rPr>
      </w:pPr>
    </w:p>
    <w:p w:rsidR="00D11ECE" w:rsidRPr="00952A24" w:rsidRDefault="00D11ECE" w:rsidP="002736B4">
      <w:pPr>
        <w:pStyle w:val="ListParagraph"/>
        <w:numPr>
          <w:ilvl w:val="0"/>
          <w:numId w:val="5"/>
        </w:numPr>
        <w:spacing w:line="360" w:lineRule="auto"/>
        <w:ind w:left="0" w:firstLine="0"/>
        <w:jc w:val="both"/>
        <w:rPr>
          <w:rFonts w:cs="Arial"/>
        </w:rPr>
      </w:pPr>
      <w:r w:rsidRPr="00952A24">
        <w:rPr>
          <w:rFonts w:cs="Arial"/>
          <w:sz w:val="22"/>
          <w:szCs w:val="22"/>
        </w:rPr>
        <w:lastRenderedPageBreak/>
        <w:t>the evidence sought is not readily available from another source because it is contained in internal company documents that are not distributed to suppliers or customers.</w:t>
      </w:r>
      <w:r w:rsidRPr="00952A24">
        <w:rPr>
          <w:rStyle w:val="FootnoteReference"/>
          <w:rFonts w:cs="Arial"/>
          <w:sz w:val="22"/>
          <w:szCs w:val="22"/>
        </w:rPr>
        <w:t xml:space="preserve"> </w:t>
      </w:r>
      <w:r w:rsidRPr="00D11ECE">
        <w:rPr>
          <w:rStyle w:val="FootnoteReference"/>
          <w:rFonts w:cs="Arial"/>
          <w:sz w:val="22"/>
          <w:szCs w:val="22"/>
        </w:rPr>
        <w:footnoteReference w:id="18"/>
      </w:r>
    </w:p>
    <w:p w:rsidR="00952A24" w:rsidRPr="00952A24" w:rsidRDefault="00952A24" w:rsidP="003531BA">
      <w:pPr>
        <w:spacing w:after="0" w:line="360" w:lineRule="auto"/>
        <w:jc w:val="both"/>
        <w:rPr>
          <w:rStyle w:val="FootnoteReference"/>
          <w:rFonts w:ascii="Arial" w:hAnsi="Arial" w:cs="Arial"/>
          <w:sz w:val="24"/>
          <w:szCs w:val="24"/>
          <w:vertAlign w:val="baseline"/>
        </w:rPr>
      </w:pPr>
    </w:p>
    <w:p w:rsidR="00D11ECE" w:rsidRPr="00BE6E25" w:rsidRDefault="00D11ECE" w:rsidP="003531BA">
      <w:pPr>
        <w:spacing w:after="0" w:line="360" w:lineRule="auto"/>
        <w:jc w:val="both"/>
        <w:rPr>
          <w:rFonts w:ascii="Arial" w:hAnsi="Arial" w:cs="Arial"/>
        </w:rPr>
      </w:pPr>
      <w:r w:rsidRPr="00BE6E25">
        <w:rPr>
          <w:rFonts w:ascii="Arial" w:hAnsi="Arial" w:cs="Arial"/>
          <w:i/>
        </w:rPr>
        <w:t>The grant and execution of the warrant</w:t>
      </w:r>
    </w:p>
    <w:p w:rsidR="00952A24" w:rsidRDefault="00952A24" w:rsidP="003531BA">
      <w:pPr>
        <w:spacing w:after="0" w:line="360" w:lineRule="auto"/>
        <w:jc w:val="both"/>
        <w:rPr>
          <w:rFonts w:ascii="Arial" w:hAnsi="Arial" w:cs="Arial"/>
        </w:rPr>
      </w:pPr>
    </w:p>
    <w:p w:rsidR="00D11ECE" w:rsidRPr="00D11ECE" w:rsidRDefault="00D11ECE" w:rsidP="003531BA">
      <w:pPr>
        <w:spacing w:after="0" w:line="360" w:lineRule="auto"/>
        <w:jc w:val="both"/>
        <w:rPr>
          <w:rFonts w:ascii="Arial" w:hAnsi="Arial" w:cs="Arial"/>
        </w:rPr>
      </w:pPr>
      <w:r w:rsidRPr="00D11ECE">
        <w:rPr>
          <w:rFonts w:ascii="Arial" w:hAnsi="Arial" w:cs="Arial"/>
        </w:rPr>
        <w:t>The High Court granted the Commission’s application for a warrant on 14 September 2016.</w:t>
      </w:r>
      <w:r w:rsidRPr="00D11ECE">
        <w:rPr>
          <w:rStyle w:val="FootnoteReference"/>
          <w:rFonts w:ascii="Arial" w:hAnsi="Arial" w:cs="Arial"/>
        </w:rPr>
        <w:footnoteReference w:id="19"/>
      </w:r>
      <w:r w:rsidRPr="00D11ECE">
        <w:rPr>
          <w:rFonts w:ascii="Arial" w:hAnsi="Arial" w:cs="Arial"/>
        </w:rPr>
        <w:t xml:space="preserve">  As required by section 34(4) of the Act, the warrant identified the premises to be searched, the times at which the search could take place, and the inspectors authorised to conduct the search.  Significantly, the court order did not simply mirror the warrant sought.  It imposed additional limitations and safeguards on the search, including by:</w:t>
      </w:r>
    </w:p>
    <w:p w:rsidR="00952A24" w:rsidRPr="00952A24" w:rsidRDefault="00952A24" w:rsidP="003531BA">
      <w:pPr>
        <w:spacing w:after="0" w:line="360" w:lineRule="auto"/>
        <w:jc w:val="both"/>
        <w:rPr>
          <w:rFonts w:ascii="Arial" w:hAnsi="Arial" w:cs="Arial"/>
        </w:rPr>
      </w:pPr>
    </w:p>
    <w:p w:rsidR="00D11ECE" w:rsidRDefault="00D11ECE" w:rsidP="002736B4">
      <w:pPr>
        <w:pStyle w:val="ListParagraph"/>
        <w:numPr>
          <w:ilvl w:val="0"/>
          <w:numId w:val="6"/>
        </w:numPr>
        <w:spacing w:line="360" w:lineRule="auto"/>
        <w:ind w:left="0" w:firstLine="0"/>
        <w:jc w:val="both"/>
        <w:rPr>
          <w:rFonts w:cs="Arial"/>
          <w:sz w:val="22"/>
          <w:szCs w:val="22"/>
        </w:rPr>
      </w:pPr>
      <w:r w:rsidRPr="00952A24">
        <w:rPr>
          <w:rFonts w:cs="Arial"/>
          <w:sz w:val="22"/>
          <w:szCs w:val="22"/>
        </w:rPr>
        <w:t>expressly directing that the warrant and proof of the inspectors’ authority had to be provided to the owner or person in control at the search premises;</w:t>
      </w:r>
    </w:p>
    <w:p w:rsidR="00C4765D" w:rsidRPr="00952A24" w:rsidRDefault="00C4765D" w:rsidP="00C4765D">
      <w:pPr>
        <w:pStyle w:val="ListParagraph"/>
        <w:spacing w:line="360" w:lineRule="auto"/>
        <w:ind w:left="0"/>
        <w:jc w:val="both"/>
        <w:rPr>
          <w:rFonts w:cs="Arial"/>
          <w:sz w:val="22"/>
          <w:szCs w:val="22"/>
        </w:rPr>
      </w:pPr>
    </w:p>
    <w:p w:rsidR="00D11ECE" w:rsidRDefault="00D11ECE" w:rsidP="002736B4">
      <w:pPr>
        <w:pStyle w:val="ListParagraph"/>
        <w:numPr>
          <w:ilvl w:val="0"/>
          <w:numId w:val="6"/>
        </w:numPr>
        <w:spacing w:line="360" w:lineRule="auto"/>
        <w:ind w:left="0" w:firstLine="0"/>
        <w:jc w:val="both"/>
        <w:rPr>
          <w:rFonts w:cs="Arial"/>
          <w:sz w:val="22"/>
          <w:szCs w:val="22"/>
        </w:rPr>
      </w:pPr>
      <w:r w:rsidRPr="00952A24">
        <w:rPr>
          <w:rFonts w:cs="Arial"/>
          <w:sz w:val="22"/>
          <w:szCs w:val="22"/>
        </w:rPr>
        <w:t>providing for electronic data seized to be filed with the Registrar for safe-keeping, in the absence of a tripartite agreement being concluded to govern the search of such data; and</w:t>
      </w:r>
    </w:p>
    <w:p w:rsidR="00C4765D" w:rsidRPr="00952A24" w:rsidRDefault="00C4765D" w:rsidP="00C4765D">
      <w:pPr>
        <w:pStyle w:val="ListParagraph"/>
        <w:spacing w:line="360" w:lineRule="auto"/>
        <w:ind w:left="0"/>
        <w:jc w:val="both"/>
        <w:rPr>
          <w:rFonts w:cs="Arial"/>
          <w:sz w:val="22"/>
          <w:szCs w:val="22"/>
        </w:rPr>
      </w:pPr>
    </w:p>
    <w:p w:rsidR="00D11ECE" w:rsidRPr="00952A24" w:rsidRDefault="00D11ECE" w:rsidP="002736B4">
      <w:pPr>
        <w:pStyle w:val="ListParagraph"/>
        <w:numPr>
          <w:ilvl w:val="0"/>
          <w:numId w:val="6"/>
        </w:numPr>
        <w:spacing w:line="360" w:lineRule="auto"/>
        <w:ind w:left="0" w:firstLine="0"/>
        <w:jc w:val="both"/>
        <w:rPr>
          <w:rFonts w:cs="Arial"/>
          <w:sz w:val="22"/>
          <w:szCs w:val="22"/>
        </w:rPr>
      </w:pPr>
      <w:proofErr w:type="gramStart"/>
      <w:r w:rsidRPr="00952A24">
        <w:rPr>
          <w:rFonts w:cs="Arial"/>
          <w:sz w:val="22"/>
          <w:szCs w:val="22"/>
        </w:rPr>
        <w:t>permitting</w:t>
      </w:r>
      <w:proofErr w:type="gramEnd"/>
      <w:r w:rsidRPr="00952A24">
        <w:rPr>
          <w:rFonts w:cs="Arial"/>
          <w:sz w:val="22"/>
          <w:szCs w:val="22"/>
        </w:rPr>
        <w:t xml:space="preserve"> the Commission to run an audit trail if the search took place over more than one day, to ensure that the evidence had not been tampered with.</w:t>
      </w:r>
    </w:p>
    <w:p w:rsidR="00952A24" w:rsidRPr="00952A24" w:rsidRDefault="00952A24" w:rsidP="003531BA">
      <w:pPr>
        <w:spacing w:after="0" w:line="360" w:lineRule="auto"/>
        <w:jc w:val="both"/>
        <w:rPr>
          <w:rFonts w:ascii="Arial" w:hAnsi="Arial" w:cs="Arial"/>
        </w:rPr>
      </w:pPr>
    </w:p>
    <w:p w:rsidR="00D11ECE" w:rsidRDefault="00D11ECE" w:rsidP="003531BA">
      <w:pPr>
        <w:spacing w:after="0" w:line="360" w:lineRule="auto"/>
        <w:jc w:val="both"/>
        <w:rPr>
          <w:rFonts w:ascii="Arial" w:hAnsi="Arial" w:cs="Arial"/>
        </w:rPr>
      </w:pPr>
      <w:r w:rsidRPr="00D11ECE">
        <w:rPr>
          <w:rFonts w:ascii="Arial" w:hAnsi="Arial" w:cs="Arial"/>
        </w:rPr>
        <w:t>The search took place on 15 to 17 September 2016.</w:t>
      </w:r>
      <w:r w:rsidRPr="00D11ECE">
        <w:rPr>
          <w:rStyle w:val="FootnoteReference"/>
          <w:rFonts w:ascii="Arial" w:hAnsi="Arial" w:cs="Arial"/>
        </w:rPr>
        <w:footnoteReference w:id="20"/>
      </w:r>
      <w:r w:rsidRPr="00D11ECE">
        <w:rPr>
          <w:rFonts w:ascii="Arial" w:hAnsi="Arial" w:cs="Arial"/>
        </w:rPr>
        <w:t xml:space="preserve">  It was conducted by the Commission, with the assistance of an expert forensic information technology service provider, Century Technical Solutions (Pty) Ltd </w:t>
      </w:r>
      <w:r w:rsidRPr="00952A24">
        <w:rPr>
          <w:rFonts w:ascii="Arial" w:hAnsi="Arial" w:cs="Arial"/>
        </w:rPr>
        <w:t>(Century</w:t>
      </w:r>
      <w:r w:rsidRPr="00D11ECE">
        <w:rPr>
          <w:rFonts w:ascii="Arial" w:hAnsi="Arial" w:cs="Arial"/>
        </w:rPr>
        <w:t>) as well as representatives of the South African Competition Commission.</w:t>
      </w:r>
      <w:r w:rsidRPr="00D11ECE">
        <w:rPr>
          <w:rStyle w:val="FootnoteReference"/>
          <w:rFonts w:ascii="Arial" w:hAnsi="Arial" w:cs="Arial"/>
        </w:rPr>
        <w:footnoteReference w:id="21"/>
      </w:r>
    </w:p>
    <w:p w:rsidR="00952A24" w:rsidRPr="00D11ECE" w:rsidRDefault="00952A24" w:rsidP="003531BA">
      <w:pPr>
        <w:spacing w:after="0" w:line="360" w:lineRule="auto"/>
        <w:jc w:val="both"/>
        <w:rPr>
          <w:rFonts w:ascii="Arial" w:hAnsi="Arial" w:cs="Arial"/>
        </w:rPr>
      </w:pPr>
    </w:p>
    <w:p w:rsidR="00D11ECE" w:rsidRPr="00D11ECE" w:rsidRDefault="00D11ECE" w:rsidP="003531BA">
      <w:pPr>
        <w:spacing w:after="0" w:line="360" w:lineRule="auto"/>
        <w:jc w:val="both"/>
        <w:rPr>
          <w:rFonts w:ascii="Arial" w:hAnsi="Arial" w:cs="Arial"/>
        </w:rPr>
      </w:pPr>
      <w:r w:rsidRPr="00952A24">
        <w:rPr>
          <w:rFonts w:ascii="Arial" w:hAnsi="Arial" w:cs="Arial"/>
        </w:rPr>
        <w:t>Puma did not object to the search and willingly acceded to it.  Significantly</w:t>
      </w:r>
      <w:r w:rsidRPr="00D11ECE">
        <w:rPr>
          <w:rFonts w:ascii="Arial" w:hAnsi="Arial" w:cs="Arial"/>
        </w:rPr>
        <w:t>:</w:t>
      </w:r>
    </w:p>
    <w:p w:rsidR="00952A24" w:rsidRDefault="00952A24" w:rsidP="003531BA">
      <w:pPr>
        <w:spacing w:after="0" w:line="360" w:lineRule="auto"/>
        <w:jc w:val="both"/>
        <w:rPr>
          <w:rFonts w:ascii="Arial" w:hAnsi="Arial" w:cs="Arial"/>
        </w:rPr>
      </w:pPr>
    </w:p>
    <w:p w:rsidR="00D11ECE" w:rsidRPr="00D11ECE" w:rsidRDefault="00D11ECE" w:rsidP="003531BA">
      <w:pPr>
        <w:spacing w:after="0" w:line="360" w:lineRule="auto"/>
        <w:jc w:val="both"/>
        <w:rPr>
          <w:rFonts w:ascii="Arial" w:hAnsi="Arial" w:cs="Arial"/>
        </w:rPr>
      </w:pPr>
      <w:r w:rsidRPr="00D11ECE">
        <w:rPr>
          <w:rFonts w:ascii="Arial" w:hAnsi="Arial" w:cs="Arial"/>
        </w:rPr>
        <w:t>It is common cause that Puma was presented with the warrant, the relevant Form 4 Notice of Investigation and a tripartite agreement.</w:t>
      </w:r>
      <w:r w:rsidRPr="00D11ECE">
        <w:rPr>
          <w:rStyle w:val="FootnoteReference"/>
          <w:rFonts w:ascii="Arial" w:hAnsi="Arial" w:cs="Arial"/>
        </w:rPr>
        <w:footnoteReference w:id="22"/>
      </w:r>
      <w:r w:rsidRPr="00D11ECE">
        <w:rPr>
          <w:rFonts w:ascii="Arial" w:hAnsi="Arial" w:cs="Arial"/>
        </w:rPr>
        <w:t xml:space="preserve">  It was also provided with a copy of the founding affidavit in support of the application for its warrant.</w:t>
      </w:r>
      <w:r w:rsidRPr="00D11ECE">
        <w:rPr>
          <w:rStyle w:val="FootnoteReference"/>
          <w:rFonts w:ascii="Arial" w:hAnsi="Arial" w:cs="Arial"/>
        </w:rPr>
        <w:footnoteReference w:id="23"/>
      </w:r>
      <w:r w:rsidRPr="00D11ECE">
        <w:rPr>
          <w:rFonts w:ascii="Arial" w:hAnsi="Arial" w:cs="Arial"/>
        </w:rPr>
        <w:t xml:space="preserve"> </w:t>
      </w:r>
    </w:p>
    <w:p w:rsidR="00952A24" w:rsidRDefault="00952A24" w:rsidP="003531BA">
      <w:pPr>
        <w:spacing w:after="0" w:line="360" w:lineRule="auto"/>
        <w:jc w:val="both"/>
        <w:rPr>
          <w:rFonts w:ascii="Arial" w:hAnsi="Arial" w:cs="Arial"/>
          <w:b/>
        </w:rPr>
      </w:pPr>
    </w:p>
    <w:p w:rsidR="00D11ECE" w:rsidRDefault="00D11ECE" w:rsidP="003531BA">
      <w:pPr>
        <w:spacing w:after="0" w:line="360" w:lineRule="auto"/>
        <w:jc w:val="both"/>
        <w:rPr>
          <w:rFonts w:ascii="Arial" w:hAnsi="Arial" w:cs="Arial"/>
        </w:rPr>
      </w:pPr>
      <w:r w:rsidRPr="00952A24">
        <w:rPr>
          <w:rFonts w:ascii="Arial" w:hAnsi="Arial" w:cs="Arial"/>
        </w:rPr>
        <w:lastRenderedPageBreak/>
        <w:t>Puma was legally represented during the search.  Indeed, its legal representatives, Engling Stritter and Partners, agreed to an extension of the hours for execution of the warrant,</w:t>
      </w:r>
      <w:r w:rsidRPr="00952A24">
        <w:rPr>
          <w:rFonts w:ascii="Arial" w:hAnsi="Arial" w:cs="Arial"/>
          <w:vertAlign w:val="superscript"/>
        </w:rPr>
        <w:footnoteReference w:id="24"/>
      </w:r>
      <w:r w:rsidRPr="00952A24">
        <w:rPr>
          <w:rFonts w:ascii="Arial" w:hAnsi="Arial" w:cs="Arial"/>
        </w:rPr>
        <w:t xml:space="preserve"> and consented to Century’s taking forensic mirror images of the seized information into its possession.</w:t>
      </w:r>
      <w:r w:rsidRPr="00952A24">
        <w:rPr>
          <w:rFonts w:ascii="Arial" w:hAnsi="Arial" w:cs="Arial"/>
          <w:vertAlign w:val="superscript"/>
        </w:rPr>
        <w:footnoteReference w:id="25"/>
      </w:r>
      <w:r w:rsidRPr="00952A24">
        <w:rPr>
          <w:rFonts w:ascii="Arial" w:hAnsi="Arial" w:cs="Arial"/>
          <w:vertAlign w:val="superscript"/>
        </w:rPr>
        <w:t xml:space="preserve"> </w:t>
      </w:r>
      <w:r w:rsidRPr="00952A24">
        <w:rPr>
          <w:rFonts w:ascii="Arial" w:hAnsi="Arial" w:cs="Arial"/>
        </w:rPr>
        <w:t xml:space="preserve"> In doing so, they did not impugn the lawfulness of the search at all.</w:t>
      </w:r>
    </w:p>
    <w:p w:rsidR="00952A24" w:rsidRPr="00952A24" w:rsidRDefault="00952A24" w:rsidP="003531BA">
      <w:pPr>
        <w:spacing w:after="0" w:line="360" w:lineRule="auto"/>
        <w:jc w:val="both"/>
        <w:rPr>
          <w:rFonts w:ascii="Arial" w:hAnsi="Arial" w:cs="Arial"/>
        </w:rPr>
      </w:pPr>
    </w:p>
    <w:p w:rsidR="00D11ECE" w:rsidRDefault="00D11ECE" w:rsidP="003531BA">
      <w:pPr>
        <w:spacing w:after="0" w:line="360" w:lineRule="auto"/>
        <w:jc w:val="both"/>
        <w:rPr>
          <w:rFonts w:ascii="Arial" w:hAnsi="Arial" w:cs="Arial"/>
        </w:rPr>
      </w:pPr>
      <w:r w:rsidRPr="00D11ECE">
        <w:rPr>
          <w:rFonts w:ascii="Arial" w:hAnsi="Arial" w:cs="Arial"/>
        </w:rPr>
        <w:t>Puma initially refused the Commission access to its server, and insisted it would only allow access when its information technologist had arrived from South Africa.</w:t>
      </w:r>
      <w:r w:rsidRPr="00D11ECE">
        <w:rPr>
          <w:rStyle w:val="FootnoteReference"/>
          <w:rFonts w:ascii="Arial" w:hAnsi="Arial" w:cs="Arial"/>
        </w:rPr>
        <w:footnoteReference w:id="26"/>
      </w:r>
      <w:r w:rsidRPr="00D11ECE">
        <w:rPr>
          <w:rFonts w:ascii="Arial" w:hAnsi="Arial" w:cs="Arial"/>
        </w:rPr>
        <w:t xml:space="preserve">  The Commission was eventually granted access to the server at 15h20 – a full seven hours after the execution of the warrant begun.</w:t>
      </w:r>
      <w:r w:rsidRPr="00D11ECE">
        <w:rPr>
          <w:rFonts w:ascii="Arial" w:hAnsi="Arial" w:cs="Arial"/>
          <w:vertAlign w:val="superscript"/>
        </w:rPr>
        <w:footnoteReference w:id="27"/>
      </w:r>
      <w:r w:rsidRPr="00D11ECE">
        <w:rPr>
          <w:rFonts w:ascii="Arial" w:hAnsi="Arial" w:cs="Arial"/>
        </w:rPr>
        <w:t xml:space="preserve"> </w:t>
      </w:r>
    </w:p>
    <w:p w:rsidR="00952A24" w:rsidRPr="00D11ECE" w:rsidRDefault="00952A24" w:rsidP="003531BA">
      <w:pPr>
        <w:spacing w:after="0" w:line="360" w:lineRule="auto"/>
        <w:jc w:val="both"/>
        <w:rPr>
          <w:rFonts w:ascii="Arial" w:hAnsi="Arial" w:cs="Arial"/>
        </w:rPr>
      </w:pPr>
    </w:p>
    <w:p w:rsidR="00D11ECE" w:rsidRPr="00952A24" w:rsidRDefault="00D11ECE" w:rsidP="003531BA">
      <w:pPr>
        <w:spacing w:after="0" w:line="360" w:lineRule="auto"/>
        <w:jc w:val="both"/>
        <w:rPr>
          <w:rFonts w:ascii="Arial" w:hAnsi="Arial" w:cs="Arial"/>
        </w:rPr>
      </w:pPr>
      <w:r w:rsidRPr="00952A24">
        <w:rPr>
          <w:rFonts w:ascii="Arial" w:hAnsi="Arial" w:cs="Arial"/>
        </w:rPr>
        <w:t>Puma thus had a proper opportunity to consider and take advice on its position in relation to the search.  Having done so, it elected to acquiesce in the search.</w:t>
      </w:r>
    </w:p>
    <w:p w:rsidR="00952A24" w:rsidRDefault="00952A24" w:rsidP="003531BA">
      <w:pPr>
        <w:spacing w:after="0" w:line="360" w:lineRule="auto"/>
        <w:jc w:val="both"/>
        <w:rPr>
          <w:rFonts w:ascii="Arial" w:hAnsi="Arial" w:cs="Arial"/>
        </w:rPr>
      </w:pPr>
    </w:p>
    <w:p w:rsidR="00D11ECE" w:rsidRPr="00D11ECE" w:rsidRDefault="00D11ECE" w:rsidP="003531BA">
      <w:pPr>
        <w:spacing w:after="0" w:line="360" w:lineRule="auto"/>
        <w:jc w:val="both"/>
        <w:rPr>
          <w:rFonts w:ascii="Arial" w:hAnsi="Arial" w:cs="Arial"/>
        </w:rPr>
      </w:pPr>
      <w:r w:rsidRPr="00D11ECE">
        <w:rPr>
          <w:rFonts w:ascii="Arial" w:hAnsi="Arial" w:cs="Arial"/>
        </w:rPr>
        <w:t>Various materials were collected during the search, including hard copy documents, electronic devices and forensic mirror images of Puma’s server.</w:t>
      </w:r>
      <w:r w:rsidRPr="00D11ECE">
        <w:rPr>
          <w:rStyle w:val="FootnoteReference"/>
          <w:rFonts w:ascii="Arial" w:hAnsi="Arial" w:cs="Arial"/>
        </w:rPr>
        <w:footnoteReference w:id="28"/>
      </w:r>
      <w:r w:rsidRPr="00D11ECE">
        <w:rPr>
          <w:rFonts w:ascii="Arial" w:hAnsi="Arial" w:cs="Arial"/>
        </w:rPr>
        <w:t xml:space="preserve">  This evidence has been sealed in bags, which remain unopened to date.</w:t>
      </w:r>
    </w:p>
    <w:p w:rsidR="00952A24" w:rsidRDefault="00952A24" w:rsidP="003531BA">
      <w:pPr>
        <w:spacing w:after="0" w:line="360" w:lineRule="auto"/>
        <w:jc w:val="both"/>
        <w:rPr>
          <w:rFonts w:ascii="Arial" w:hAnsi="Arial" w:cs="Arial"/>
        </w:rPr>
      </w:pPr>
    </w:p>
    <w:p w:rsidR="00D11ECE" w:rsidRPr="00D11ECE" w:rsidRDefault="00D11ECE" w:rsidP="003531BA">
      <w:pPr>
        <w:spacing w:after="0" w:line="360" w:lineRule="auto"/>
        <w:jc w:val="both"/>
        <w:rPr>
          <w:rFonts w:ascii="Arial" w:hAnsi="Arial" w:cs="Arial"/>
        </w:rPr>
      </w:pPr>
      <w:r w:rsidRPr="00D11ECE">
        <w:rPr>
          <w:rFonts w:ascii="Arial" w:hAnsi="Arial" w:cs="Arial"/>
        </w:rPr>
        <w:t>The Commission has presented Puma with a draft tripartite agreement to be concluded between it, Century and Puma.  The agreement aims to protect Puma and any privilege claims it may have.</w:t>
      </w:r>
      <w:r w:rsidRPr="00D11ECE">
        <w:rPr>
          <w:rStyle w:val="FootnoteReference"/>
          <w:rFonts w:ascii="Arial" w:hAnsi="Arial" w:cs="Arial"/>
        </w:rPr>
        <w:footnoteReference w:id="29"/>
      </w:r>
      <w:r w:rsidRPr="00D11ECE">
        <w:rPr>
          <w:rFonts w:ascii="Arial" w:hAnsi="Arial" w:cs="Arial"/>
        </w:rPr>
        <w:t xml:space="preserve">  It envisages that Century will conduct key-word searches and similar processes on the mirror images taken of the seized servers and hard drives, to identify data relevant to the investigation.  A harddrive of relevant data will then be provided to Puma to identify and exclude privileged documents, before it is provided to the Commission.  To date, Puma has refused to sign the tripartite agreement despite an undertaking that they will request certain amendments thereto which they have not done to date.</w:t>
      </w:r>
      <w:r w:rsidRPr="00D11ECE">
        <w:rPr>
          <w:rStyle w:val="FootnoteReference"/>
          <w:rFonts w:ascii="Arial" w:hAnsi="Arial" w:cs="Arial"/>
        </w:rPr>
        <w:footnoteReference w:id="30"/>
      </w:r>
      <w:r w:rsidRPr="00D11ECE">
        <w:rPr>
          <w:rFonts w:ascii="Arial" w:hAnsi="Arial" w:cs="Arial"/>
        </w:rPr>
        <w:t xml:space="preserve"> </w:t>
      </w:r>
    </w:p>
    <w:p w:rsidR="00952A24" w:rsidRDefault="00952A24" w:rsidP="003531BA">
      <w:pPr>
        <w:spacing w:after="0" w:line="360" w:lineRule="auto"/>
        <w:jc w:val="both"/>
        <w:rPr>
          <w:rFonts w:ascii="Arial" w:hAnsi="Arial" w:cs="Arial"/>
        </w:rPr>
      </w:pPr>
    </w:p>
    <w:p w:rsidR="00D11ECE" w:rsidRPr="00D11ECE" w:rsidRDefault="00D11ECE" w:rsidP="003531BA">
      <w:pPr>
        <w:spacing w:after="0" w:line="360" w:lineRule="auto"/>
        <w:jc w:val="both"/>
        <w:rPr>
          <w:rFonts w:ascii="Arial" w:hAnsi="Arial" w:cs="Arial"/>
        </w:rPr>
      </w:pPr>
      <w:r w:rsidRPr="00D11ECE">
        <w:rPr>
          <w:rFonts w:ascii="Arial" w:hAnsi="Arial" w:cs="Arial"/>
        </w:rPr>
        <w:t>It is instructive to note that when the High Court granted the order of the 14</w:t>
      </w:r>
      <w:r w:rsidRPr="00D11ECE">
        <w:rPr>
          <w:rFonts w:ascii="Arial" w:hAnsi="Arial" w:cs="Arial"/>
          <w:vertAlign w:val="superscript"/>
        </w:rPr>
        <w:t>th</w:t>
      </w:r>
      <w:r w:rsidRPr="00D11ECE">
        <w:rPr>
          <w:rFonts w:ascii="Arial" w:hAnsi="Arial" w:cs="Arial"/>
        </w:rPr>
        <w:t xml:space="preserve"> September 2016, amongst others, it ordered that in the event Puma ‘does not agree to enter into a tripartite agreement, the Commission must file the electronic data seized with the Registrar of the High Court for safe keeping, pending further direction from the Court.’ On the 16 September 2016, </w:t>
      </w:r>
      <w:r w:rsidRPr="00D11ECE">
        <w:rPr>
          <w:rFonts w:ascii="Arial" w:hAnsi="Arial" w:cs="Arial"/>
        </w:rPr>
        <w:lastRenderedPageBreak/>
        <w:t xml:space="preserve">Puma agreed that Century take in its possession the evidence before the tripartite agreement is signed as it was considering making certain amendments. </w:t>
      </w:r>
      <w:r w:rsidRPr="00D11ECE">
        <w:rPr>
          <w:rStyle w:val="FootnoteReference"/>
          <w:rFonts w:ascii="Arial" w:hAnsi="Arial" w:cs="Arial"/>
        </w:rPr>
        <w:footnoteReference w:id="31"/>
      </w:r>
    </w:p>
    <w:p w:rsidR="00952A24" w:rsidRDefault="00952A24" w:rsidP="003531BA">
      <w:pPr>
        <w:widowControl w:val="0"/>
        <w:spacing w:after="0" w:line="360" w:lineRule="auto"/>
        <w:jc w:val="both"/>
        <w:rPr>
          <w:rFonts w:ascii="Arial" w:hAnsi="Arial" w:cs="Arial"/>
          <w:b/>
          <w:i/>
        </w:rPr>
      </w:pPr>
    </w:p>
    <w:p w:rsidR="00D11ECE" w:rsidRPr="00952A24" w:rsidRDefault="00D11ECE" w:rsidP="003531BA">
      <w:pPr>
        <w:widowControl w:val="0"/>
        <w:spacing w:after="0" w:line="360" w:lineRule="auto"/>
        <w:jc w:val="both"/>
        <w:rPr>
          <w:rFonts w:ascii="Arial" w:hAnsi="Arial" w:cs="Arial"/>
          <w:i/>
        </w:rPr>
      </w:pPr>
      <w:r w:rsidRPr="00952A24">
        <w:rPr>
          <w:rFonts w:ascii="Arial" w:hAnsi="Arial" w:cs="Arial"/>
          <w:i/>
        </w:rPr>
        <w:t xml:space="preserve">The present proceedings </w:t>
      </w:r>
    </w:p>
    <w:p w:rsidR="00952A24" w:rsidRDefault="00952A24" w:rsidP="003531BA">
      <w:pPr>
        <w:spacing w:after="0" w:line="360" w:lineRule="auto"/>
        <w:jc w:val="both"/>
        <w:rPr>
          <w:rFonts w:ascii="Arial" w:hAnsi="Arial" w:cs="Arial"/>
        </w:rPr>
      </w:pPr>
    </w:p>
    <w:p w:rsidR="00D11ECE" w:rsidRPr="00D11ECE" w:rsidRDefault="00D11ECE" w:rsidP="003531BA">
      <w:pPr>
        <w:spacing w:after="0" w:line="360" w:lineRule="auto"/>
        <w:jc w:val="both"/>
        <w:rPr>
          <w:rFonts w:ascii="Arial" w:hAnsi="Arial" w:cs="Arial"/>
        </w:rPr>
      </w:pPr>
      <w:r w:rsidRPr="00D11ECE">
        <w:rPr>
          <w:rFonts w:ascii="Arial" w:hAnsi="Arial" w:cs="Arial"/>
        </w:rPr>
        <w:t>It is against this backdrop that, on 10 October 2016, Puma launched proceedings to challenge the warrant, by way of an anticipation notice</w:t>
      </w:r>
      <w:r w:rsidRPr="00D11ECE">
        <w:rPr>
          <w:rStyle w:val="FootnoteReference"/>
          <w:rFonts w:ascii="Arial" w:hAnsi="Arial" w:cs="Arial"/>
        </w:rPr>
        <w:footnoteReference w:id="32"/>
      </w:r>
      <w:r w:rsidRPr="00D11ECE">
        <w:rPr>
          <w:rFonts w:ascii="Arial" w:hAnsi="Arial" w:cs="Arial"/>
        </w:rPr>
        <w:t xml:space="preserve"> paired with a counter-application.</w:t>
      </w:r>
      <w:r w:rsidRPr="00D11ECE">
        <w:rPr>
          <w:rStyle w:val="FootnoteReference"/>
          <w:rFonts w:ascii="Arial" w:hAnsi="Arial" w:cs="Arial"/>
        </w:rPr>
        <w:footnoteReference w:id="33"/>
      </w:r>
      <w:r w:rsidRPr="00D11ECE">
        <w:rPr>
          <w:rFonts w:ascii="Arial" w:hAnsi="Arial" w:cs="Arial"/>
        </w:rPr>
        <w:t xml:space="preserve">  Both the anticipation notice and the counter-application proceed from the premise that the application for a warrant is still open fo</w:t>
      </w:r>
      <w:r w:rsidR="00DB17D1">
        <w:rPr>
          <w:rFonts w:ascii="Arial" w:hAnsi="Arial" w:cs="Arial"/>
        </w:rPr>
        <w:t>r opposition and determination.</w:t>
      </w:r>
      <w:r w:rsidR="00952A24">
        <w:rPr>
          <w:rFonts w:ascii="Arial" w:hAnsi="Arial" w:cs="Arial"/>
        </w:rPr>
        <w:t>‘</w:t>
      </w:r>
      <w:r w:rsidRPr="00D11ECE">
        <w:rPr>
          <w:rFonts w:ascii="Arial" w:hAnsi="Arial" w:cs="Arial"/>
        </w:rPr>
        <w:t xml:space="preserve"> </w:t>
      </w:r>
    </w:p>
    <w:p w:rsidR="00D11ECE" w:rsidRDefault="00D11ECE" w:rsidP="003531BA">
      <w:pPr>
        <w:spacing w:after="0" w:line="360" w:lineRule="auto"/>
        <w:jc w:val="both"/>
        <w:rPr>
          <w:rFonts w:ascii="Arial" w:hAnsi="Arial" w:cs="Arial"/>
        </w:rPr>
      </w:pPr>
    </w:p>
    <w:p w:rsidR="00A90B52" w:rsidRPr="00A90B52" w:rsidRDefault="00A90B52" w:rsidP="003531BA">
      <w:pPr>
        <w:spacing w:after="0" w:line="360" w:lineRule="auto"/>
        <w:jc w:val="both"/>
        <w:rPr>
          <w:rFonts w:ascii="Arial" w:hAnsi="Arial" w:cs="Arial"/>
          <w:sz w:val="24"/>
          <w:szCs w:val="24"/>
        </w:rPr>
      </w:pPr>
      <w:r w:rsidRPr="00A90B52">
        <w:rPr>
          <w:rFonts w:ascii="Arial" w:hAnsi="Arial" w:cs="Arial"/>
          <w:sz w:val="24"/>
          <w:szCs w:val="24"/>
        </w:rPr>
        <w:t>[</w:t>
      </w:r>
      <w:r w:rsidR="002736B4">
        <w:rPr>
          <w:rFonts w:ascii="Arial" w:hAnsi="Arial" w:cs="Arial"/>
          <w:sz w:val="24"/>
          <w:szCs w:val="24"/>
        </w:rPr>
        <w:t>13</w:t>
      </w:r>
      <w:r w:rsidRPr="00A90B52">
        <w:rPr>
          <w:rFonts w:ascii="Arial" w:hAnsi="Arial" w:cs="Arial"/>
          <w:sz w:val="24"/>
          <w:szCs w:val="24"/>
        </w:rPr>
        <w:t>]</w:t>
      </w:r>
      <w:r w:rsidRPr="00A90B52">
        <w:rPr>
          <w:rFonts w:ascii="Arial" w:hAnsi="Arial" w:cs="Arial"/>
          <w:sz w:val="24"/>
          <w:szCs w:val="24"/>
        </w:rPr>
        <w:tab/>
        <w:t>Counsel for Puma</w:t>
      </w:r>
      <w:r>
        <w:rPr>
          <w:rFonts w:ascii="Arial" w:hAnsi="Arial" w:cs="Arial"/>
          <w:sz w:val="24"/>
          <w:szCs w:val="24"/>
        </w:rPr>
        <w:t xml:space="preserve">, in their heads of argument, </w:t>
      </w:r>
      <w:r w:rsidR="00B33591">
        <w:rPr>
          <w:rFonts w:ascii="Arial" w:hAnsi="Arial" w:cs="Arial"/>
          <w:sz w:val="24"/>
          <w:szCs w:val="24"/>
        </w:rPr>
        <w:t xml:space="preserve">and </w:t>
      </w:r>
      <w:r>
        <w:rPr>
          <w:rFonts w:ascii="Arial" w:hAnsi="Arial" w:cs="Arial"/>
          <w:sz w:val="24"/>
          <w:szCs w:val="24"/>
        </w:rPr>
        <w:t>in their summation of the relevant background facts placed a dif</w:t>
      </w:r>
      <w:r w:rsidR="00BE6E25">
        <w:rPr>
          <w:rFonts w:ascii="Arial" w:hAnsi="Arial" w:cs="Arial"/>
          <w:sz w:val="24"/>
          <w:szCs w:val="24"/>
        </w:rPr>
        <w:t>ferent emphasis on some of the above- sketched</w:t>
      </w:r>
      <w:r>
        <w:rPr>
          <w:rFonts w:ascii="Arial" w:hAnsi="Arial" w:cs="Arial"/>
          <w:sz w:val="24"/>
          <w:szCs w:val="24"/>
        </w:rPr>
        <w:t xml:space="preserve"> facts, which</w:t>
      </w:r>
      <w:r w:rsidR="00B33591">
        <w:rPr>
          <w:rFonts w:ascii="Arial" w:hAnsi="Arial" w:cs="Arial"/>
          <w:sz w:val="24"/>
          <w:szCs w:val="24"/>
        </w:rPr>
        <w:t xml:space="preserve"> nevertheless</w:t>
      </w:r>
      <w:r w:rsidR="00BE6E25">
        <w:rPr>
          <w:rFonts w:ascii="Arial" w:hAnsi="Arial" w:cs="Arial"/>
          <w:sz w:val="24"/>
          <w:szCs w:val="24"/>
        </w:rPr>
        <w:t>,</w:t>
      </w:r>
      <w:r w:rsidR="00B33591">
        <w:rPr>
          <w:rFonts w:ascii="Arial" w:hAnsi="Arial" w:cs="Arial"/>
          <w:sz w:val="24"/>
          <w:szCs w:val="24"/>
        </w:rPr>
        <w:t xml:space="preserve"> and</w:t>
      </w:r>
      <w:r>
        <w:rPr>
          <w:rFonts w:ascii="Arial" w:hAnsi="Arial" w:cs="Arial"/>
          <w:sz w:val="24"/>
          <w:szCs w:val="24"/>
        </w:rPr>
        <w:t xml:space="preserve"> in essence</w:t>
      </w:r>
      <w:r w:rsidR="00BE6E25">
        <w:rPr>
          <w:rFonts w:ascii="Arial" w:hAnsi="Arial" w:cs="Arial"/>
          <w:sz w:val="24"/>
          <w:szCs w:val="24"/>
        </w:rPr>
        <w:t>,</w:t>
      </w:r>
      <w:r>
        <w:rPr>
          <w:rFonts w:ascii="Arial" w:hAnsi="Arial" w:cs="Arial"/>
          <w:sz w:val="24"/>
          <w:szCs w:val="24"/>
        </w:rPr>
        <w:t xml:space="preserve"> are however common cause. For the sake of completeness I extract and list those aspects which in my view also have relevance. They are that:</w:t>
      </w:r>
    </w:p>
    <w:p w:rsidR="00D11ECE" w:rsidRPr="00B33591" w:rsidRDefault="00D11ECE" w:rsidP="003531BA">
      <w:pPr>
        <w:spacing w:after="0" w:line="360" w:lineRule="auto"/>
        <w:jc w:val="both"/>
        <w:rPr>
          <w:rFonts w:ascii="Arial" w:hAnsi="Arial" w:cs="Arial"/>
        </w:rPr>
      </w:pPr>
    </w:p>
    <w:p w:rsidR="00A90B52" w:rsidRPr="00B33591" w:rsidRDefault="002736B4" w:rsidP="00C4765D">
      <w:pPr>
        <w:pStyle w:val="ListParagraph"/>
        <w:widowControl/>
        <w:autoSpaceDE/>
        <w:autoSpaceDN/>
        <w:adjustRightInd/>
        <w:spacing w:line="360" w:lineRule="auto"/>
        <w:ind w:left="0"/>
        <w:jc w:val="both"/>
        <w:rPr>
          <w:rFonts w:cs="Arial"/>
          <w:sz w:val="22"/>
          <w:szCs w:val="22"/>
        </w:rPr>
      </w:pPr>
      <w:r>
        <w:rPr>
          <w:rFonts w:cs="Arial"/>
          <w:sz w:val="22"/>
          <w:szCs w:val="22"/>
        </w:rPr>
        <w:t>‘a)</w:t>
      </w:r>
      <w:r>
        <w:rPr>
          <w:rFonts w:cs="Arial"/>
          <w:sz w:val="22"/>
          <w:szCs w:val="22"/>
        </w:rPr>
        <w:tab/>
      </w:r>
      <w:r w:rsidR="00A90B52" w:rsidRPr="00B33591">
        <w:rPr>
          <w:rFonts w:cs="Arial"/>
          <w:sz w:val="22"/>
          <w:szCs w:val="22"/>
        </w:rPr>
        <w:t>Puma was not advised of the fact that t</w:t>
      </w:r>
      <w:r w:rsidR="00314216" w:rsidRPr="00B33591">
        <w:rPr>
          <w:rFonts w:cs="Arial"/>
          <w:sz w:val="22"/>
          <w:szCs w:val="22"/>
        </w:rPr>
        <w:t xml:space="preserve">he Commission had initiated the </w:t>
      </w:r>
      <w:r w:rsidR="00A90B52" w:rsidRPr="00B33591">
        <w:rPr>
          <w:rFonts w:cs="Arial"/>
          <w:sz w:val="22"/>
          <w:szCs w:val="22"/>
        </w:rPr>
        <w:t>investigation, and in the months that followed (since 23 March 2016) no requests were made to Puma for it to make submissions to the Commission or to provide it with any documents or information.  There are no available facts to reveal what, if anything, the Commission did in pursuit of its investigation in the six-month period between March and September 2016.  On the Commission's version, it appears to have done little more than to engage in a '</w:t>
      </w:r>
      <w:r w:rsidR="00A90B52" w:rsidRPr="00B33591">
        <w:rPr>
          <w:rFonts w:cs="Arial"/>
          <w:i/>
          <w:sz w:val="22"/>
          <w:szCs w:val="22"/>
        </w:rPr>
        <w:t>cursory analysis'</w:t>
      </w:r>
      <w:r w:rsidR="00A90B52" w:rsidRPr="00B33591">
        <w:rPr>
          <w:rFonts w:cs="Arial"/>
          <w:sz w:val="22"/>
          <w:szCs w:val="22"/>
        </w:rPr>
        <w:t xml:space="preserve"> of information submitted to it by the complainant.</w:t>
      </w:r>
      <w:r w:rsidR="00A90B52" w:rsidRPr="00B33591">
        <w:rPr>
          <w:rStyle w:val="FootnoteReference"/>
          <w:rFonts w:cs="Arial"/>
          <w:sz w:val="22"/>
          <w:szCs w:val="22"/>
        </w:rPr>
        <w:footnoteReference w:id="34"/>
      </w:r>
    </w:p>
    <w:p w:rsidR="00314216" w:rsidRPr="00B33591" w:rsidRDefault="00314216" w:rsidP="002736B4">
      <w:pPr>
        <w:pStyle w:val="ListParagraph"/>
        <w:widowControl/>
        <w:tabs>
          <w:tab w:val="left" w:pos="720"/>
        </w:tabs>
        <w:autoSpaceDE/>
        <w:autoSpaceDN/>
        <w:adjustRightInd/>
        <w:spacing w:line="360" w:lineRule="auto"/>
        <w:ind w:hanging="720"/>
        <w:jc w:val="both"/>
        <w:rPr>
          <w:rFonts w:cs="Arial"/>
          <w:sz w:val="22"/>
          <w:szCs w:val="22"/>
        </w:rPr>
      </w:pPr>
    </w:p>
    <w:p w:rsidR="00314216" w:rsidRPr="00B33591" w:rsidRDefault="00A90B52" w:rsidP="002736B4">
      <w:pPr>
        <w:pStyle w:val="ListParagraph"/>
        <w:widowControl/>
        <w:numPr>
          <w:ilvl w:val="0"/>
          <w:numId w:val="18"/>
        </w:numPr>
        <w:autoSpaceDE/>
        <w:autoSpaceDN/>
        <w:adjustRightInd/>
        <w:spacing w:line="360" w:lineRule="auto"/>
        <w:ind w:left="0" w:firstLine="0"/>
        <w:jc w:val="both"/>
        <w:rPr>
          <w:rFonts w:cs="Arial"/>
          <w:sz w:val="22"/>
          <w:szCs w:val="22"/>
        </w:rPr>
      </w:pPr>
      <w:r w:rsidRPr="00B33591">
        <w:rPr>
          <w:rFonts w:cs="Arial"/>
          <w:sz w:val="22"/>
          <w:szCs w:val="22"/>
        </w:rPr>
        <w:t>On 7 September 2016, the Commission launched an application for the issue of a search and seizure warrant in terms of section 34 of the Competition Act,</w:t>
      </w:r>
      <w:r w:rsidRPr="00B33591">
        <w:rPr>
          <w:rStyle w:val="FootnoteReference"/>
          <w:rFonts w:cs="Arial"/>
          <w:sz w:val="22"/>
          <w:szCs w:val="22"/>
        </w:rPr>
        <w:footnoteReference w:id="35"/>
      </w:r>
      <w:r w:rsidRPr="00B33591">
        <w:rPr>
          <w:rFonts w:cs="Arial"/>
          <w:sz w:val="22"/>
          <w:szCs w:val="22"/>
        </w:rPr>
        <w:t xml:space="preserve"> </w:t>
      </w:r>
      <w:r w:rsidRPr="00B33591">
        <w:rPr>
          <w:rFonts w:cs="Arial"/>
          <w:i/>
          <w:sz w:val="22"/>
          <w:szCs w:val="22"/>
        </w:rPr>
        <w:t xml:space="preserve">ex parte </w:t>
      </w:r>
      <w:r w:rsidRPr="00B33591">
        <w:rPr>
          <w:rFonts w:cs="Arial"/>
          <w:sz w:val="22"/>
          <w:szCs w:val="22"/>
        </w:rPr>
        <w:t xml:space="preserve">and </w:t>
      </w:r>
      <w:r w:rsidRPr="00B33591">
        <w:rPr>
          <w:rFonts w:cs="Arial"/>
          <w:i/>
          <w:sz w:val="22"/>
          <w:szCs w:val="22"/>
        </w:rPr>
        <w:t>in camera</w:t>
      </w:r>
      <w:r w:rsidRPr="00B33591">
        <w:rPr>
          <w:rFonts w:cs="Arial"/>
          <w:sz w:val="22"/>
          <w:szCs w:val="22"/>
        </w:rPr>
        <w:t>.</w:t>
      </w:r>
      <w:r w:rsidRPr="00B33591">
        <w:rPr>
          <w:rStyle w:val="FootnoteReference"/>
          <w:rFonts w:cs="Arial"/>
          <w:sz w:val="22"/>
          <w:szCs w:val="22"/>
        </w:rPr>
        <w:footnoteReference w:id="36"/>
      </w:r>
    </w:p>
    <w:p w:rsidR="00314216" w:rsidRPr="00B33591" w:rsidRDefault="00314216" w:rsidP="002736B4">
      <w:pPr>
        <w:pStyle w:val="ListParagraph"/>
        <w:spacing w:line="360" w:lineRule="auto"/>
        <w:ind w:hanging="720"/>
        <w:rPr>
          <w:rFonts w:cs="Arial"/>
          <w:sz w:val="22"/>
          <w:szCs w:val="22"/>
        </w:rPr>
      </w:pPr>
    </w:p>
    <w:p w:rsidR="00A90B52" w:rsidRPr="00B33591" w:rsidRDefault="002736B4" w:rsidP="002736B4">
      <w:pPr>
        <w:pStyle w:val="ListParagraph"/>
        <w:widowControl/>
        <w:autoSpaceDE/>
        <w:autoSpaceDN/>
        <w:adjustRightInd/>
        <w:spacing w:line="360" w:lineRule="auto"/>
        <w:ind w:left="0"/>
        <w:jc w:val="both"/>
        <w:rPr>
          <w:rFonts w:cs="Arial"/>
          <w:sz w:val="22"/>
          <w:szCs w:val="22"/>
        </w:rPr>
      </w:pPr>
      <w:r>
        <w:rPr>
          <w:rFonts w:cs="Arial"/>
          <w:sz w:val="22"/>
          <w:szCs w:val="22"/>
        </w:rPr>
        <w:t>c)</w:t>
      </w:r>
      <w:r>
        <w:rPr>
          <w:rFonts w:cs="Arial"/>
          <w:sz w:val="22"/>
          <w:szCs w:val="22"/>
        </w:rPr>
        <w:tab/>
      </w:r>
      <w:r w:rsidR="00A90B52" w:rsidRPr="00B33591">
        <w:rPr>
          <w:rFonts w:cs="Arial"/>
          <w:sz w:val="22"/>
          <w:szCs w:val="22"/>
        </w:rPr>
        <w:t>The Founding Affidavit in respect of this application was deposed to by Vitalis Ndalikokule ('</w:t>
      </w:r>
      <w:r w:rsidR="00A90B52" w:rsidRPr="00B33591">
        <w:rPr>
          <w:rFonts w:cs="Arial"/>
          <w:b/>
          <w:sz w:val="22"/>
          <w:szCs w:val="22"/>
        </w:rPr>
        <w:t>Ndalikokule</w:t>
      </w:r>
      <w:r w:rsidR="00A90B52" w:rsidRPr="00B33591">
        <w:rPr>
          <w:rFonts w:cs="Arial"/>
          <w:sz w:val="22"/>
          <w:szCs w:val="22"/>
        </w:rPr>
        <w:t>'),</w:t>
      </w:r>
      <w:r w:rsidR="00A90B52" w:rsidRPr="00B33591">
        <w:rPr>
          <w:rStyle w:val="FootnoteReference"/>
          <w:rFonts w:cs="Arial"/>
          <w:sz w:val="22"/>
          <w:szCs w:val="22"/>
        </w:rPr>
        <w:footnoteReference w:id="37"/>
      </w:r>
      <w:r w:rsidR="00A90B52" w:rsidRPr="00B33591">
        <w:rPr>
          <w:rFonts w:cs="Arial"/>
          <w:sz w:val="22"/>
          <w:szCs w:val="22"/>
        </w:rPr>
        <w:t xml:space="preserve"> the acting Secretary to the Commission</w:t>
      </w:r>
      <w:r w:rsidR="00A90B52" w:rsidRPr="00B33591">
        <w:rPr>
          <w:rStyle w:val="FootnoteReference"/>
          <w:rFonts w:cs="Arial"/>
          <w:sz w:val="22"/>
          <w:szCs w:val="22"/>
        </w:rPr>
        <w:footnoteReference w:id="38"/>
      </w:r>
      <w:r w:rsidR="00A90B52" w:rsidRPr="00B33591">
        <w:rPr>
          <w:rFonts w:cs="Arial"/>
          <w:sz w:val="22"/>
          <w:szCs w:val="22"/>
        </w:rPr>
        <w:t xml:space="preserve"> who relied on a delegation of authority.</w:t>
      </w:r>
      <w:r w:rsidR="00A90B52" w:rsidRPr="00B33591">
        <w:rPr>
          <w:rStyle w:val="FootnoteReference"/>
          <w:rFonts w:cs="Arial"/>
          <w:sz w:val="22"/>
          <w:szCs w:val="22"/>
        </w:rPr>
        <w:footnoteReference w:id="39"/>
      </w:r>
      <w:r w:rsidR="00A90B52" w:rsidRPr="00B33591">
        <w:rPr>
          <w:rFonts w:cs="Arial"/>
          <w:sz w:val="22"/>
          <w:szCs w:val="22"/>
        </w:rPr>
        <w:t xml:space="preserve">  The delegation relied on was a delegation of the '</w:t>
      </w:r>
      <w:r w:rsidR="00A90B52" w:rsidRPr="00B33591">
        <w:rPr>
          <w:rFonts w:cs="Arial"/>
          <w:i/>
          <w:sz w:val="22"/>
          <w:szCs w:val="22"/>
        </w:rPr>
        <w:t xml:space="preserve">powers to </w:t>
      </w:r>
      <w:r w:rsidR="00A90B52" w:rsidRPr="00B33591">
        <w:rPr>
          <w:rFonts w:cs="Arial"/>
          <w:i/>
          <w:sz w:val="22"/>
          <w:szCs w:val="22"/>
        </w:rPr>
        <w:lastRenderedPageBreak/>
        <w:t>investigate in terms of section 16(1)(f) and section 33 read with Rule 4 of the Competition Act &amp; Rules ... to the Office of the Secretary to the Commission'</w:t>
      </w:r>
      <w:r w:rsidR="00A90B52" w:rsidRPr="00B33591">
        <w:rPr>
          <w:rFonts w:cs="Arial"/>
          <w:sz w:val="22"/>
          <w:szCs w:val="22"/>
        </w:rPr>
        <w:t xml:space="preserve"> of 1 August 2012.</w:t>
      </w:r>
      <w:r w:rsidR="00A90B52" w:rsidRPr="00B33591">
        <w:rPr>
          <w:rStyle w:val="FootnoteReference"/>
          <w:rFonts w:cs="Arial"/>
          <w:sz w:val="22"/>
          <w:szCs w:val="22"/>
        </w:rPr>
        <w:footnoteReference w:id="40"/>
      </w:r>
    </w:p>
    <w:p w:rsidR="00314216" w:rsidRPr="00B33591" w:rsidRDefault="00314216" w:rsidP="002736B4">
      <w:pPr>
        <w:pStyle w:val="ListParagraph"/>
        <w:spacing w:line="360" w:lineRule="auto"/>
        <w:ind w:left="0"/>
        <w:rPr>
          <w:rFonts w:cs="Arial"/>
          <w:sz w:val="22"/>
          <w:szCs w:val="22"/>
        </w:rPr>
      </w:pPr>
    </w:p>
    <w:p w:rsidR="00A90B52" w:rsidRPr="00B33591" w:rsidRDefault="002736B4" w:rsidP="002736B4">
      <w:pPr>
        <w:pStyle w:val="ListParagraph"/>
        <w:widowControl/>
        <w:autoSpaceDE/>
        <w:autoSpaceDN/>
        <w:adjustRightInd/>
        <w:spacing w:line="360" w:lineRule="auto"/>
        <w:ind w:left="0"/>
        <w:jc w:val="both"/>
        <w:rPr>
          <w:rFonts w:cs="Arial"/>
          <w:sz w:val="22"/>
          <w:szCs w:val="22"/>
        </w:rPr>
      </w:pPr>
      <w:r>
        <w:rPr>
          <w:rFonts w:cs="Arial"/>
          <w:sz w:val="22"/>
          <w:szCs w:val="22"/>
        </w:rPr>
        <w:t>d)</w:t>
      </w:r>
      <w:r>
        <w:rPr>
          <w:rFonts w:cs="Arial"/>
          <w:sz w:val="22"/>
          <w:szCs w:val="22"/>
        </w:rPr>
        <w:tab/>
      </w:r>
      <w:r w:rsidR="00A90B52" w:rsidRPr="00B33591">
        <w:rPr>
          <w:rFonts w:cs="Arial"/>
          <w:sz w:val="22"/>
          <w:szCs w:val="22"/>
        </w:rPr>
        <w:t>The application was moved on 14 September 2016. It was issued on the same day,</w:t>
      </w:r>
      <w:r w:rsidR="00A90B52" w:rsidRPr="00B33591">
        <w:rPr>
          <w:rStyle w:val="FootnoteReference"/>
          <w:rFonts w:cs="Arial"/>
          <w:sz w:val="22"/>
          <w:szCs w:val="22"/>
        </w:rPr>
        <w:footnoteReference w:id="41"/>
      </w:r>
      <w:r w:rsidR="00A90B52" w:rsidRPr="00B33591">
        <w:rPr>
          <w:rFonts w:cs="Arial"/>
          <w:sz w:val="22"/>
          <w:szCs w:val="22"/>
        </w:rPr>
        <w:t xml:space="preserve"> but not before the court expressed concern about Puma's privacy and confidentiality.</w:t>
      </w:r>
      <w:r w:rsidR="00A90B52" w:rsidRPr="00B33591">
        <w:rPr>
          <w:rStyle w:val="FootnoteReference"/>
          <w:rFonts w:cs="Arial"/>
          <w:sz w:val="22"/>
          <w:szCs w:val="22"/>
        </w:rPr>
        <w:footnoteReference w:id="42"/>
      </w:r>
      <w:r w:rsidR="00A90B52" w:rsidRPr="00B33591">
        <w:rPr>
          <w:rFonts w:cs="Arial"/>
          <w:sz w:val="22"/>
          <w:szCs w:val="22"/>
        </w:rPr>
        <w:t xml:space="preserve">  For this reason, the court varied the order sought in two respects:</w:t>
      </w:r>
    </w:p>
    <w:p w:rsidR="00314216" w:rsidRPr="00B33591" w:rsidRDefault="00314216" w:rsidP="002736B4">
      <w:pPr>
        <w:pStyle w:val="ListParagraph"/>
        <w:spacing w:line="360" w:lineRule="auto"/>
        <w:ind w:left="0"/>
        <w:rPr>
          <w:rFonts w:cs="Arial"/>
          <w:sz w:val="22"/>
          <w:szCs w:val="22"/>
        </w:rPr>
      </w:pPr>
    </w:p>
    <w:p w:rsidR="00314216" w:rsidRDefault="00314216" w:rsidP="002736B4">
      <w:pPr>
        <w:pStyle w:val="ListParagraph"/>
        <w:widowControl/>
        <w:autoSpaceDE/>
        <w:autoSpaceDN/>
        <w:adjustRightInd/>
        <w:spacing w:line="360" w:lineRule="auto"/>
        <w:ind w:left="709"/>
        <w:jc w:val="both"/>
        <w:rPr>
          <w:rFonts w:cs="Arial"/>
          <w:sz w:val="22"/>
          <w:szCs w:val="22"/>
        </w:rPr>
      </w:pPr>
      <w:proofErr w:type="gramStart"/>
      <w:r w:rsidRPr="00B33591">
        <w:rPr>
          <w:rFonts w:cs="Arial"/>
          <w:sz w:val="22"/>
          <w:szCs w:val="22"/>
        </w:rPr>
        <w:t>aa</w:t>
      </w:r>
      <w:proofErr w:type="gramEnd"/>
      <w:r w:rsidRPr="00B33591">
        <w:rPr>
          <w:rFonts w:cs="Arial"/>
          <w:sz w:val="22"/>
          <w:szCs w:val="22"/>
        </w:rPr>
        <w:t>)</w:t>
      </w:r>
      <w:r w:rsidRPr="00B33591">
        <w:rPr>
          <w:rFonts w:cs="Arial"/>
          <w:sz w:val="22"/>
          <w:szCs w:val="22"/>
        </w:rPr>
        <w:tab/>
        <w:t>it limited the time of execution of the warrant, coupled with limitations on Puma's access to the server during the period of execution of the warrant;</w:t>
      </w:r>
      <w:r w:rsidRPr="00B33591">
        <w:rPr>
          <w:rStyle w:val="FootnoteReference"/>
          <w:rFonts w:cs="Arial"/>
          <w:sz w:val="22"/>
          <w:szCs w:val="22"/>
        </w:rPr>
        <w:footnoteReference w:id="43"/>
      </w:r>
      <w:r w:rsidRPr="00B33591">
        <w:rPr>
          <w:rFonts w:cs="Arial"/>
          <w:sz w:val="22"/>
          <w:szCs w:val="22"/>
        </w:rPr>
        <w:t xml:space="preserve"> and</w:t>
      </w:r>
    </w:p>
    <w:p w:rsidR="00C4765D" w:rsidRPr="00B33591" w:rsidRDefault="00C4765D" w:rsidP="002736B4">
      <w:pPr>
        <w:pStyle w:val="ListParagraph"/>
        <w:widowControl/>
        <w:autoSpaceDE/>
        <w:autoSpaceDN/>
        <w:adjustRightInd/>
        <w:spacing w:line="360" w:lineRule="auto"/>
        <w:ind w:left="709"/>
        <w:jc w:val="both"/>
        <w:rPr>
          <w:rFonts w:cs="Arial"/>
          <w:sz w:val="22"/>
          <w:szCs w:val="22"/>
        </w:rPr>
      </w:pPr>
    </w:p>
    <w:p w:rsidR="00314216" w:rsidRPr="00B33591" w:rsidRDefault="002736B4" w:rsidP="002736B4">
      <w:pPr>
        <w:pStyle w:val="ListParagraph"/>
        <w:widowControl/>
        <w:tabs>
          <w:tab w:val="left" w:pos="720"/>
        </w:tabs>
        <w:autoSpaceDE/>
        <w:autoSpaceDN/>
        <w:adjustRightInd/>
        <w:spacing w:line="360" w:lineRule="auto"/>
        <w:ind w:left="0"/>
        <w:jc w:val="both"/>
        <w:rPr>
          <w:rFonts w:cs="Arial"/>
          <w:sz w:val="22"/>
          <w:szCs w:val="22"/>
        </w:rPr>
      </w:pPr>
      <w:r>
        <w:rPr>
          <w:rFonts w:cs="Arial"/>
          <w:sz w:val="22"/>
          <w:szCs w:val="22"/>
        </w:rPr>
        <w:tab/>
      </w:r>
      <w:proofErr w:type="gramStart"/>
      <w:r>
        <w:rPr>
          <w:rFonts w:cs="Arial"/>
          <w:sz w:val="22"/>
          <w:szCs w:val="22"/>
        </w:rPr>
        <w:t>bb</w:t>
      </w:r>
      <w:proofErr w:type="gramEnd"/>
      <w:r>
        <w:rPr>
          <w:rFonts w:cs="Arial"/>
          <w:sz w:val="22"/>
          <w:szCs w:val="22"/>
        </w:rPr>
        <w:t>)</w:t>
      </w:r>
      <w:r>
        <w:rPr>
          <w:rFonts w:cs="Arial"/>
          <w:sz w:val="22"/>
          <w:szCs w:val="22"/>
        </w:rPr>
        <w:tab/>
      </w:r>
      <w:r w:rsidR="00314216" w:rsidRPr="00B33591">
        <w:rPr>
          <w:rFonts w:cs="Arial"/>
          <w:sz w:val="22"/>
          <w:szCs w:val="22"/>
        </w:rPr>
        <w:t>added an order that protected the confidentiality of Puma's information.</w:t>
      </w:r>
      <w:r w:rsidR="00314216" w:rsidRPr="00B33591">
        <w:rPr>
          <w:rStyle w:val="FootnoteReference"/>
          <w:rFonts w:cs="Arial"/>
          <w:sz w:val="22"/>
          <w:szCs w:val="22"/>
        </w:rPr>
        <w:footnoteReference w:id="44"/>
      </w:r>
    </w:p>
    <w:p w:rsidR="00314216" w:rsidRPr="00B33591" w:rsidRDefault="00314216" w:rsidP="002736B4">
      <w:pPr>
        <w:spacing w:after="0" w:line="360" w:lineRule="auto"/>
        <w:rPr>
          <w:rFonts w:cs="Arial"/>
        </w:rPr>
      </w:pPr>
    </w:p>
    <w:p w:rsidR="00314216" w:rsidRDefault="002736B4" w:rsidP="002736B4">
      <w:pPr>
        <w:pStyle w:val="ListParagraph"/>
        <w:widowControl/>
        <w:autoSpaceDE/>
        <w:autoSpaceDN/>
        <w:adjustRightInd/>
        <w:spacing w:line="360" w:lineRule="auto"/>
        <w:ind w:left="0"/>
        <w:jc w:val="both"/>
        <w:rPr>
          <w:rFonts w:cs="Arial"/>
          <w:sz w:val="22"/>
          <w:szCs w:val="22"/>
        </w:rPr>
      </w:pPr>
      <w:r>
        <w:rPr>
          <w:rFonts w:cs="Arial"/>
          <w:sz w:val="22"/>
          <w:szCs w:val="22"/>
        </w:rPr>
        <w:t>e)</w:t>
      </w:r>
      <w:r>
        <w:rPr>
          <w:rFonts w:cs="Arial"/>
          <w:sz w:val="22"/>
          <w:szCs w:val="22"/>
        </w:rPr>
        <w:tab/>
      </w:r>
      <w:r w:rsidR="00A90B52" w:rsidRPr="00B33591">
        <w:rPr>
          <w:rFonts w:cs="Arial"/>
          <w:sz w:val="22"/>
          <w:szCs w:val="22"/>
        </w:rPr>
        <w:t xml:space="preserve">The order does not include a return day, nor did it make express provision for opposition by Puma.  </w:t>
      </w:r>
    </w:p>
    <w:p w:rsidR="00B33591" w:rsidRPr="00B33591" w:rsidRDefault="00B33591" w:rsidP="002736B4">
      <w:pPr>
        <w:pStyle w:val="ListParagraph"/>
        <w:widowControl/>
        <w:autoSpaceDE/>
        <w:autoSpaceDN/>
        <w:adjustRightInd/>
        <w:spacing w:line="360" w:lineRule="auto"/>
        <w:ind w:left="0"/>
        <w:jc w:val="both"/>
        <w:rPr>
          <w:rFonts w:cs="Arial"/>
          <w:sz w:val="22"/>
          <w:szCs w:val="22"/>
        </w:rPr>
      </w:pPr>
    </w:p>
    <w:p w:rsidR="00B33591" w:rsidRDefault="002736B4" w:rsidP="002736B4">
      <w:pPr>
        <w:pStyle w:val="ListParagraph"/>
        <w:widowControl/>
        <w:autoSpaceDE/>
        <w:autoSpaceDN/>
        <w:adjustRightInd/>
        <w:spacing w:line="360" w:lineRule="auto"/>
        <w:ind w:left="0"/>
        <w:jc w:val="both"/>
        <w:rPr>
          <w:rFonts w:cs="Arial"/>
          <w:sz w:val="22"/>
          <w:szCs w:val="22"/>
        </w:rPr>
      </w:pPr>
      <w:r>
        <w:rPr>
          <w:rFonts w:cs="Arial"/>
          <w:sz w:val="22"/>
          <w:szCs w:val="22"/>
        </w:rPr>
        <w:t>f)</w:t>
      </w:r>
      <w:r>
        <w:rPr>
          <w:rFonts w:cs="Arial"/>
          <w:sz w:val="22"/>
          <w:szCs w:val="22"/>
        </w:rPr>
        <w:tab/>
      </w:r>
      <w:r w:rsidR="00A90B52" w:rsidRPr="00B33591">
        <w:rPr>
          <w:rFonts w:cs="Arial"/>
          <w:sz w:val="22"/>
          <w:szCs w:val="22"/>
        </w:rPr>
        <w:t>The search purportedly authorised by the warrant took place at Puma's premises from 15 to 17 September 2016 ('the Dawn Raid').</w:t>
      </w:r>
      <w:r w:rsidR="00A90B52" w:rsidRPr="00B33591">
        <w:rPr>
          <w:rStyle w:val="FootnoteReference"/>
          <w:rFonts w:cs="Arial"/>
          <w:sz w:val="22"/>
          <w:szCs w:val="22"/>
        </w:rPr>
        <w:footnoteReference w:id="45"/>
      </w:r>
      <w:r w:rsidR="00A90B52" w:rsidRPr="00B33591">
        <w:rPr>
          <w:rFonts w:cs="Arial"/>
          <w:sz w:val="22"/>
          <w:szCs w:val="22"/>
        </w:rPr>
        <w:t xml:space="preserve"> </w:t>
      </w:r>
    </w:p>
    <w:p w:rsidR="00B33591" w:rsidRPr="00B33591" w:rsidRDefault="00B33591" w:rsidP="002736B4">
      <w:pPr>
        <w:tabs>
          <w:tab w:val="left" w:pos="720"/>
        </w:tabs>
        <w:spacing w:after="0" w:line="360" w:lineRule="auto"/>
        <w:jc w:val="both"/>
        <w:rPr>
          <w:rFonts w:cs="Arial"/>
        </w:rPr>
      </w:pPr>
    </w:p>
    <w:p w:rsidR="00A90B52" w:rsidRPr="00B33591" w:rsidRDefault="00A90B52" w:rsidP="002736B4">
      <w:pPr>
        <w:pStyle w:val="ListParagraph"/>
        <w:widowControl/>
        <w:numPr>
          <w:ilvl w:val="0"/>
          <w:numId w:val="19"/>
        </w:numPr>
        <w:autoSpaceDE/>
        <w:autoSpaceDN/>
        <w:adjustRightInd/>
        <w:spacing w:line="360" w:lineRule="auto"/>
        <w:ind w:left="0" w:firstLine="0"/>
        <w:jc w:val="both"/>
        <w:rPr>
          <w:rFonts w:cs="Arial"/>
          <w:sz w:val="22"/>
          <w:szCs w:val="22"/>
        </w:rPr>
      </w:pPr>
      <w:r w:rsidRPr="00B33591">
        <w:rPr>
          <w:rFonts w:cs="Arial"/>
          <w:sz w:val="22"/>
          <w:szCs w:val="22"/>
        </w:rPr>
        <w:t>In the course of 15 September 2016, Puma was presented with the warrant, to which was annexed the notice of investigation, and a proposed tripartite agreement.</w:t>
      </w:r>
      <w:r w:rsidRPr="00B33591">
        <w:rPr>
          <w:rStyle w:val="FootnoteReference"/>
          <w:rFonts w:cs="Arial"/>
          <w:sz w:val="22"/>
          <w:szCs w:val="22"/>
        </w:rPr>
        <w:footnoteReference w:id="46"/>
      </w:r>
      <w:r w:rsidRPr="00B33591">
        <w:rPr>
          <w:rFonts w:cs="Arial"/>
          <w:sz w:val="22"/>
          <w:szCs w:val="22"/>
        </w:rPr>
        <w:t xml:space="preserve">  At the time, Puma was not served with copies of the notice of motion and founding affidavit in the warrant application.</w:t>
      </w:r>
      <w:r w:rsidRPr="00B33591">
        <w:rPr>
          <w:rStyle w:val="FootnoteReference"/>
          <w:rFonts w:cs="Arial"/>
          <w:sz w:val="22"/>
          <w:szCs w:val="22"/>
        </w:rPr>
        <w:footnoteReference w:id="47"/>
      </w:r>
    </w:p>
    <w:p w:rsidR="00B33591" w:rsidRPr="00B33591" w:rsidRDefault="00B33591" w:rsidP="002736B4">
      <w:pPr>
        <w:pStyle w:val="ListParagraph"/>
        <w:widowControl/>
        <w:tabs>
          <w:tab w:val="left" w:pos="720"/>
        </w:tabs>
        <w:autoSpaceDE/>
        <w:autoSpaceDN/>
        <w:adjustRightInd/>
        <w:spacing w:line="360" w:lineRule="auto"/>
        <w:ind w:left="0"/>
        <w:jc w:val="both"/>
        <w:rPr>
          <w:rFonts w:cs="Arial"/>
          <w:sz w:val="22"/>
          <w:szCs w:val="22"/>
        </w:rPr>
      </w:pPr>
    </w:p>
    <w:p w:rsidR="00B33591" w:rsidRDefault="00C325C8" w:rsidP="00C325C8">
      <w:pPr>
        <w:pStyle w:val="ListParagraph"/>
        <w:widowControl/>
        <w:tabs>
          <w:tab w:val="left" w:pos="720"/>
        </w:tabs>
        <w:autoSpaceDE/>
        <w:autoSpaceDN/>
        <w:adjustRightInd/>
        <w:spacing w:line="360" w:lineRule="auto"/>
        <w:ind w:left="0"/>
        <w:jc w:val="both"/>
        <w:rPr>
          <w:rFonts w:cs="Arial"/>
          <w:sz w:val="22"/>
          <w:szCs w:val="22"/>
        </w:rPr>
      </w:pPr>
      <w:r>
        <w:rPr>
          <w:rFonts w:cs="Arial"/>
          <w:sz w:val="22"/>
          <w:szCs w:val="22"/>
        </w:rPr>
        <w:t>h)</w:t>
      </w:r>
      <w:r>
        <w:rPr>
          <w:rFonts w:cs="Arial"/>
          <w:sz w:val="22"/>
          <w:szCs w:val="22"/>
        </w:rPr>
        <w:tab/>
      </w:r>
      <w:r w:rsidR="00A90B52" w:rsidRPr="00B33591">
        <w:rPr>
          <w:rFonts w:cs="Arial"/>
          <w:sz w:val="22"/>
          <w:szCs w:val="22"/>
        </w:rPr>
        <w:t>On 16 September 2016, a representative of Puma at the Eros Airport was handed a copy of the founding affidavit in the warrant application.</w:t>
      </w:r>
      <w:r w:rsidR="00A90B52" w:rsidRPr="00B33591">
        <w:rPr>
          <w:rStyle w:val="FootnoteReference"/>
          <w:rFonts w:cs="Arial"/>
          <w:sz w:val="22"/>
          <w:szCs w:val="22"/>
        </w:rPr>
        <w:footnoteReference w:id="48"/>
      </w:r>
      <w:r w:rsidR="00A90B52" w:rsidRPr="00B33591">
        <w:rPr>
          <w:rFonts w:cs="Arial"/>
          <w:sz w:val="22"/>
          <w:szCs w:val="22"/>
        </w:rPr>
        <w:t xml:space="preserve">  No copy of the application papers was handed to the Puma representatives at the Puma head offices at any stage during the Dawn Raid.  </w:t>
      </w:r>
    </w:p>
    <w:p w:rsidR="00B33591" w:rsidRPr="00B33591" w:rsidRDefault="00B33591" w:rsidP="002736B4">
      <w:pPr>
        <w:tabs>
          <w:tab w:val="left" w:pos="720"/>
        </w:tabs>
        <w:spacing w:after="0" w:line="360" w:lineRule="auto"/>
        <w:jc w:val="both"/>
        <w:rPr>
          <w:rFonts w:cs="Arial"/>
        </w:rPr>
      </w:pPr>
    </w:p>
    <w:p w:rsidR="00A90B52" w:rsidRPr="00B33591" w:rsidRDefault="00C325C8" w:rsidP="00C325C8">
      <w:pPr>
        <w:pStyle w:val="ListParagraph"/>
        <w:widowControl/>
        <w:tabs>
          <w:tab w:val="left" w:pos="720"/>
        </w:tabs>
        <w:autoSpaceDE/>
        <w:autoSpaceDN/>
        <w:adjustRightInd/>
        <w:spacing w:line="360" w:lineRule="auto"/>
        <w:ind w:left="0"/>
        <w:jc w:val="both"/>
        <w:rPr>
          <w:rFonts w:cs="Arial"/>
          <w:sz w:val="22"/>
          <w:szCs w:val="22"/>
        </w:rPr>
      </w:pPr>
      <w:r>
        <w:rPr>
          <w:rFonts w:cs="Arial"/>
          <w:sz w:val="22"/>
          <w:szCs w:val="22"/>
        </w:rPr>
        <w:t>i)</w:t>
      </w:r>
      <w:r>
        <w:rPr>
          <w:rFonts w:cs="Arial"/>
          <w:sz w:val="22"/>
          <w:szCs w:val="22"/>
        </w:rPr>
        <w:tab/>
      </w:r>
      <w:r w:rsidR="00A90B52" w:rsidRPr="00B33591">
        <w:rPr>
          <w:rFonts w:cs="Arial"/>
          <w:sz w:val="22"/>
          <w:szCs w:val="22"/>
        </w:rPr>
        <w:t xml:space="preserve">During the course of the Dawn Raid, a number of hardcopy documents were seized, as were various electronic devices.  In addition, forensic mirror images were created of these </w:t>
      </w:r>
      <w:r w:rsidR="00A90B52" w:rsidRPr="00B33591">
        <w:rPr>
          <w:rFonts w:cs="Arial"/>
          <w:sz w:val="22"/>
          <w:szCs w:val="22"/>
        </w:rPr>
        <w:lastRenderedPageBreak/>
        <w:t>electronic devices and of Puma's server.</w:t>
      </w:r>
      <w:r w:rsidR="00A90B52" w:rsidRPr="00B33591">
        <w:rPr>
          <w:rStyle w:val="FootnoteReference"/>
          <w:rFonts w:cs="Arial"/>
          <w:sz w:val="22"/>
          <w:szCs w:val="22"/>
        </w:rPr>
        <w:footnoteReference w:id="49"/>
      </w:r>
      <w:r w:rsidR="00A90B52" w:rsidRPr="00B33591">
        <w:rPr>
          <w:rFonts w:cs="Arial"/>
          <w:sz w:val="22"/>
          <w:szCs w:val="22"/>
        </w:rPr>
        <w:t xml:space="preserve">  This, after access to the server was authorised by Puma employees who flew in from South Africa for the purpose.</w:t>
      </w:r>
      <w:r w:rsidR="00A90B52" w:rsidRPr="00B33591">
        <w:rPr>
          <w:rStyle w:val="FootnoteReference"/>
          <w:rFonts w:cs="Arial"/>
          <w:sz w:val="22"/>
          <w:szCs w:val="22"/>
        </w:rPr>
        <w:footnoteReference w:id="50"/>
      </w:r>
    </w:p>
    <w:p w:rsidR="00B33591" w:rsidRPr="00B33591" w:rsidRDefault="00B33591" w:rsidP="002736B4">
      <w:pPr>
        <w:pStyle w:val="ListParagraph"/>
        <w:spacing w:line="360" w:lineRule="auto"/>
        <w:ind w:left="0"/>
        <w:rPr>
          <w:rFonts w:cs="Arial"/>
          <w:sz w:val="22"/>
          <w:szCs w:val="22"/>
        </w:rPr>
      </w:pPr>
    </w:p>
    <w:p w:rsidR="00B33591" w:rsidRDefault="00A90B52" w:rsidP="00C325C8">
      <w:pPr>
        <w:pStyle w:val="ListParagraph"/>
        <w:widowControl/>
        <w:numPr>
          <w:ilvl w:val="0"/>
          <w:numId w:val="20"/>
        </w:numPr>
        <w:autoSpaceDE/>
        <w:autoSpaceDN/>
        <w:adjustRightInd/>
        <w:spacing w:line="360" w:lineRule="auto"/>
        <w:ind w:left="0" w:firstLine="0"/>
        <w:jc w:val="both"/>
        <w:rPr>
          <w:rFonts w:cs="Arial"/>
          <w:sz w:val="22"/>
          <w:szCs w:val="22"/>
        </w:rPr>
      </w:pPr>
      <w:r w:rsidRPr="00B33591">
        <w:rPr>
          <w:rFonts w:cs="Arial"/>
          <w:sz w:val="22"/>
          <w:szCs w:val="22"/>
        </w:rPr>
        <w:t>On 21 September 2016, the Commission advised Puma's legal practitioners that it sought to unseal the evidence bags containing hard copy documents seized during the Dawn Raid in the period between 26 and 29 September 2016 and requested their presence at the unsealing.</w:t>
      </w:r>
      <w:r w:rsidRPr="00B33591">
        <w:rPr>
          <w:rStyle w:val="FootnoteReference"/>
          <w:rFonts w:cs="Arial"/>
          <w:sz w:val="22"/>
          <w:szCs w:val="22"/>
        </w:rPr>
        <w:footnoteReference w:id="51"/>
      </w:r>
    </w:p>
    <w:p w:rsidR="00B33591" w:rsidRPr="00B33591" w:rsidRDefault="00B33591" w:rsidP="002736B4">
      <w:pPr>
        <w:pStyle w:val="ListParagraph"/>
        <w:widowControl/>
        <w:tabs>
          <w:tab w:val="left" w:pos="720"/>
        </w:tabs>
        <w:autoSpaceDE/>
        <w:autoSpaceDN/>
        <w:adjustRightInd/>
        <w:spacing w:line="360" w:lineRule="auto"/>
        <w:ind w:left="0"/>
        <w:jc w:val="both"/>
        <w:rPr>
          <w:rFonts w:cs="Arial"/>
          <w:sz w:val="22"/>
          <w:szCs w:val="22"/>
        </w:rPr>
      </w:pPr>
    </w:p>
    <w:p w:rsidR="00B33591" w:rsidRDefault="00A90B52" w:rsidP="00C325C8">
      <w:pPr>
        <w:pStyle w:val="ListParagraph"/>
        <w:widowControl/>
        <w:numPr>
          <w:ilvl w:val="0"/>
          <w:numId w:val="20"/>
        </w:numPr>
        <w:autoSpaceDE/>
        <w:autoSpaceDN/>
        <w:adjustRightInd/>
        <w:spacing w:line="360" w:lineRule="auto"/>
        <w:ind w:left="0" w:firstLine="0"/>
        <w:jc w:val="both"/>
        <w:rPr>
          <w:rFonts w:cs="Arial"/>
          <w:sz w:val="22"/>
          <w:szCs w:val="22"/>
        </w:rPr>
      </w:pPr>
      <w:r w:rsidRPr="00B33591">
        <w:rPr>
          <w:rFonts w:cs="Arial"/>
          <w:sz w:val="22"/>
          <w:szCs w:val="22"/>
        </w:rPr>
        <w:t>On 22 September 2016, Puma's legal practitioners asked the Commission's legal practitioners for a copy of the affidavit that accompanied the application for the warrant.  It was provided on the same day.</w:t>
      </w:r>
      <w:r w:rsidRPr="00B33591">
        <w:rPr>
          <w:rStyle w:val="FootnoteReference"/>
          <w:rFonts w:cs="Arial"/>
          <w:sz w:val="22"/>
          <w:szCs w:val="22"/>
        </w:rPr>
        <w:footnoteReference w:id="52"/>
      </w:r>
    </w:p>
    <w:p w:rsidR="00B33591" w:rsidRPr="00B33591" w:rsidRDefault="00B33591" w:rsidP="002736B4">
      <w:pPr>
        <w:pStyle w:val="ListParagraph"/>
        <w:spacing w:line="360" w:lineRule="auto"/>
        <w:ind w:left="0"/>
        <w:rPr>
          <w:rFonts w:cs="Arial"/>
          <w:sz w:val="22"/>
          <w:szCs w:val="22"/>
        </w:rPr>
      </w:pPr>
    </w:p>
    <w:p w:rsidR="00A90B52" w:rsidRPr="00B33591" w:rsidRDefault="00A90B52" w:rsidP="00C325C8">
      <w:pPr>
        <w:pStyle w:val="ListParagraph"/>
        <w:widowControl/>
        <w:numPr>
          <w:ilvl w:val="0"/>
          <w:numId w:val="20"/>
        </w:numPr>
        <w:autoSpaceDE/>
        <w:autoSpaceDN/>
        <w:adjustRightInd/>
        <w:spacing w:line="360" w:lineRule="auto"/>
        <w:ind w:left="0" w:firstLine="0"/>
        <w:jc w:val="both"/>
        <w:rPr>
          <w:rFonts w:cs="Arial"/>
          <w:sz w:val="22"/>
          <w:szCs w:val="22"/>
        </w:rPr>
      </w:pPr>
      <w:r w:rsidRPr="00B33591">
        <w:rPr>
          <w:rFonts w:cs="Arial"/>
          <w:sz w:val="22"/>
          <w:szCs w:val="22"/>
        </w:rPr>
        <w:t>On 26 September 2016, Puma's legal practitioners advised that Puma intended launching a challenge and accordingly they requested that the unsealing of the evidence bags be postponed.</w:t>
      </w:r>
      <w:r w:rsidRPr="00B33591">
        <w:rPr>
          <w:rStyle w:val="FootnoteReference"/>
          <w:rFonts w:cs="Arial"/>
          <w:sz w:val="22"/>
          <w:szCs w:val="22"/>
        </w:rPr>
        <w:footnoteReference w:id="53"/>
      </w:r>
      <w:r w:rsidRPr="00B33591">
        <w:rPr>
          <w:rFonts w:cs="Arial"/>
          <w:sz w:val="22"/>
          <w:szCs w:val="22"/>
        </w:rPr>
        <w:t xml:space="preserve"> The Commission agreed on the following day, subject to a condition that Puma indicate the date by which it intended to launch its application.</w:t>
      </w:r>
      <w:r w:rsidRPr="00B33591">
        <w:rPr>
          <w:rStyle w:val="FootnoteReference"/>
          <w:rFonts w:cs="Arial"/>
          <w:sz w:val="22"/>
          <w:szCs w:val="22"/>
        </w:rPr>
        <w:footnoteReference w:id="54"/>
      </w:r>
      <w:r w:rsidRPr="00B33591">
        <w:rPr>
          <w:rFonts w:cs="Arial"/>
          <w:sz w:val="22"/>
          <w:szCs w:val="22"/>
        </w:rPr>
        <w:t xml:space="preserve">  In response, it was undertaken to file the application by 10 October 2016.</w:t>
      </w:r>
      <w:r w:rsidRPr="00B33591">
        <w:rPr>
          <w:rStyle w:val="FootnoteReference"/>
          <w:rFonts w:cs="Arial"/>
          <w:sz w:val="22"/>
          <w:szCs w:val="22"/>
        </w:rPr>
        <w:footnoteReference w:id="55"/>
      </w:r>
    </w:p>
    <w:p w:rsidR="00B33591" w:rsidRPr="00B33591" w:rsidRDefault="00B33591" w:rsidP="002736B4">
      <w:pPr>
        <w:spacing w:after="0" w:line="360" w:lineRule="auto"/>
        <w:rPr>
          <w:rFonts w:cs="Arial"/>
        </w:rPr>
      </w:pPr>
    </w:p>
    <w:p w:rsidR="00B33591" w:rsidRPr="00B33591" w:rsidRDefault="00A90B52" w:rsidP="00C325C8">
      <w:pPr>
        <w:pStyle w:val="ListParagraph"/>
        <w:widowControl/>
        <w:numPr>
          <w:ilvl w:val="0"/>
          <w:numId w:val="20"/>
        </w:numPr>
        <w:tabs>
          <w:tab w:val="left" w:pos="720"/>
        </w:tabs>
        <w:autoSpaceDE/>
        <w:autoSpaceDN/>
        <w:adjustRightInd/>
        <w:spacing w:line="360" w:lineRule="auto"/>
        <w:ind w:left="0" w:firstLine="0"/>
        <w:jc w:val="both"/>
        <w:rPr>
          <w:rFonts w:cs="Arial"/>
          <w:sz w:val="22"/>
          <w:szCs w:val="22"/>
        </w:rPr>
      </w:pPr>
      <w:r w:rsidRPr="00B33591">
        <w:rPr>
          <w:rFonts w:cs="Arial"/>
          <w:sz w:val="22"/>
          <w:szCs w:val="22"/>
        </w:rPr>
        <w:t>On 10 October 2016 Puma filed its anticipation notice,</w:t>
      </w:r>
      <w:r w:rsidRPr="00B33591">
        <w:rPr>
          <w:rStyle w:val="FootnoteReference"/>
          <w:rFonts w:cs="Arial"/>
          <w:sz w:val="22"/>
          <w:szCs w:val="22"/>
        </w:rPr>
        <w:footnoteReference w:id="56"/>
      </w:r>
      <w:r w:rsidRPr="00B33591">
        <w:rPr>
          <w:rFonts w:cs="Arial"/>
          <w:sz w:val="22"/>
          <w:szCs w:val="22"/>
        </w:rPr>
        <w:t xml:space="preserve"> as well as its notice of counter-application,</w:t>
      </w:r>
      <w:r w:rsidRPr="00B33591">
        <w:rPr>
          <w:rStyle w:val="FootnoteReference"/>
          <w:rFonts w:cs="Arial"/>
          <w:sz w:val="22"/>
          <w:szCs w:val="22"/>
        </w:rPr>
        <w:footnoteReference w:id="57"/>
      </w:r>
      <w:r w:rsidRPr="00B33591">
        <w:rPr>
          <w:rFonts w:cs="Arial"/>
          <w:sz w:val="22"/>
          <w:szCs w:val="22"/>
        </w:rPr>
        <w:t xml:space="preserve"> together with its affidavit in support of both notices.</w:t>
      </w:r>
      <w:r w:rsidRPr="00B33591">
        <w:rPr>
          <w:rStyle w:val="FootnoteReference"/>
          <w:rFonts w:cs="Arial"/>
          <w:sz w:val="22"/>
          <w:szCs w:val="22"/>
        </w:rPr>
        <w:footnoteReference w:id="58"/>
      </w:r>
      <w:r w:rsidRPr="00B33591">
        <w:rPr>
          <w:rFonts w:cs="Arial"/>
          <w:sz w:val="22"/>
          <w:szCs w:val="22"/>
        </w:rPr>
        <w:t xml:space="preserve"> </w:t>
      </w:r>
      <w:r w:rsidR="00B33591" w:rsidRPr="00B33591">
        <w:rPr>
          <w:rFonts w:cs="Arial"/>
          <w:sz w:val="22"/>
          <w:szCs w:val="22"/>
        </w:rPr>
        <w:t>‘</w:t>
      </w:r>
    </w:p>
    <w:p w:rsidR="00B33591" w:rsidRDefault="00B33591" w:rsidP="003531BA">
      <w:pPr>
        <w:tabs>
          <w:tab w:val="left" w:pos="720"/>
        </w:tabs>
        <w:spacing w:after="0" w:line="360" w:lineRule="auto"/>
        <w:jc w:val="both"/>
        <w:rPr>
          <w:rFonts w:ascii="Arial" w:eastAsia="Times New Roman" w:hAnsi="Arial" w:cs="Arial"/>
          <w:sz w:val="24"/>
          <w:szCs w:val="24"/>
        </w:rPr>
      </w:pPr>
    </w:p>
    <w:p w:rsidR="00A90B52" w:rsidRDefault="00B33591" w:rsidP="003531BA">
      <w:pPr>
        <w:tabs>
          <w:tab w:val="left" w:pos="720"/>
        </w:tabs>
        <w:spacing w:after="0" w:line="360" w:lineRule="auto"/>
        <w:jc w:val="both"/>
        <w:rPr>
          <w:rFonts w:ascii="Arial" w:hAnsi="Arial" w:cs="Arial"/>
          <w:sz w:val="24"/>
          <w:szCs w:val="24"/>
        </w:rPr>
      </w:pPr>
      <w:r>
        <w:rPr>
          <w:rFonts w:ascii="Arial" w:eastAsia="Times New Roman" w:hAnsi="Arial" w:cs="Arial"/>
          <w:sz w:val="24"/>
          <w:szCs w:val="24"/>
        </w:rPr>
        <w:t>[</w:t>
      </w:r>
      <w:r w:rsidR="00CE05BF">
        <w:rPr>
          <w:rFonts w:ascii="Arial" w:eastAsia="Times New Roman" w:hAnsi="Arial" w:cs="Arial"/>
          <w:sz w:val="24"/>
          <w:szCs w:val="24"/>
        </w:rPr>
        <w:t>14</w:t>
      </w:r>
      <w:r w:rsidRPr="00B33591">
        <w:rPr>
          <w:rFonts w:ascii="Arial" w:eastAsia="Times New Roman" w:hAnsi="Arial" w:cs="Arial"/>
          <w:sz w:val="24"/>
          <w:szCs w:val="24"/>
        </w:rPr>
        <w:t>]</w:t>
      </w:r>
      <w:r w:rsidRPr="00B33591">
        <w:rPr>
          <w:rFonts w:ascii="Arial" w:eastAsia="Times New Roman" w:hAnsi="Arial" w:cs="Arial"/>
          <w:sz w:val="24"/>
          <w:szCs w:val="24"/>
        </w:rPr>
        <w:tab/>
      </w:r>
      <w:r w:rsidR="00A90B52" w:rsidRPr="00B33591">
        <w:rPr>
          <w:rFonts w:ascii="Arial" w:hAnsi="Arial" w:cs="Arial"/>
          <w:sz w:val="24"/>
          <w:szCs w:val="24"/>
        </w:rPr>
        <w:t xml:space="preserve"> </w:t>
      </w:r>
      <w:r w:rsidRPr="00B33591">
        <w:rPr>
          <w:rFonts w:ascii="Arial" w:hAnsi="Arial" w:cs="Arial"/>
          <w:sz w:val="24"/>
          <w:szCs w:val="24"/>
        </w:rPr>
        <w:t>It is then against this background that</w:t>
      </w:r>
      <w:r>
        <w:rPr>
          <w:rFonts w:ascii="Arial" w:hAnsi="Arial" w:cs="Arial"/>
          <w:sz w:val="24"/>
          <w:szCs w:val="24"/>
        </w:rPr>
        <w:t xml:space="preserve"> </w:t>
      </w:r>
      <w:r w:rsidR="00677685">
        <w:rPr>
          <w:rFonts w:ascii="Arial" w:hAnsi="Arial" w:cs="Arial"/>
          <w:sz w:val="24"/>
          <w:szCs w:val="24"/>
        </w:rPr>
        <w:t>the parties presented their respective cases.</w:t>
      </w:r>
    </w:p>
    <w:p w:rsidR="00BE6E25" w:rsidRDefault="00BE6E25" w:rsidP="003531BA">
      <w:pPr>
        <w:tabs>
          <w:tab w:val="left" w:pos="720"/>
        </w:tabs>
        <w:spacing w:after="0" w:line="360" w:lineRule="auto"/>
        <w:jc w:val="both"/>
        <w:rPr>
          <w:rFonts w:ascii="Arial" w:hAnsi="Arial" w:cs="Arial"/>
          <w:sz w:val="24"/>
          <w:szCs w:val="24"/>
        </w:rPr>
      </w:pPr>
    </w:p>
    <w:p w:rsidR="00CF3914" w:rsidRPr="00DB17D1" w:rsidRDefault="00DB17D1" w:rsidP="003531BA">
      <w:pPr>
        <w:tabs>
          <w:tab w:val="left" w:pos="720"/>
        </w:tabs>
        <w:spacing w:after="0" w:line="360" w:lineRule="auto"/>
        <w:jc w:val="both"/>
        <w:rPr>
          <w:rFonts w:ascii="Arial" w:hAnsi="Arial" w:cs="Arial"/>
          <w:sz w:val="24"/>
          <w:szCs w:val="24"/>
          <w:u w:val="single"/>
        </w:rPr>
      </w:pPr>
      <w:r w:rsidRPr="00DB17D1">
        <w:rPr>
          <w:rFonts w:ascii="Arial" w:hAnsi="Arial" w:cs="Arial"/>
          <w:sz w:val="24"/>
          <w:szCs w:val="24"/>
          <w:u w:val="single"/>
        </w:rPr>
        <w:t xml:space="preserve">The Argument </w:t>
      </w:r>
      <w:r>
        <w:rPr>
          <w:rFonts w:ascii="Arial" w:hAnsi="Arial" w:cs="Arial"/>
          <w:sz w:val="24"/>
          <w:szCs w:val="24"/>
          <w:u w:val="single"/>
        </w:rPr>
        <w:t>f</w:t>
      </w:r>
      <w:r w:rsidRPr="00DB17D1">
        <w:rPr>
          <w:rFonts w:ascii="Arial" w:hAnsi="Arial" w:cs="Arial"/>
          <w:sz w:val="24"/>
          <w:szCs w:val="24"/>
          <w:u w:val="single"/>
        </w:rPr>
        <w:t>or Puma</w:t>
      </w:r>
    </w:p>
    <w:p w:rsidR="00656F21" w:rsidRDefault="00656F21" w:rsidP="003531BA">
      <w:pPr>
        <w:tabs>
          <w:tab w:val="left" w:pos="720"/>
        </w:tabs>
        <w:spacing w:after="0" w:line="360" w:lineRule="auto"/>
        <w:jc w:val="both"/>
        <w:rPr>
          <w:rFonts w:ascii="Arial" w:hAnsi="Arial" w:cs="Arial"/>
          <w:sz w:val="24"/>
          <w:szCs w:val="24"/>
        </w:rPr>
      </w:pPr>
    </w:p>
    <w:p w:rsidR="00656F21" w:rsidRPr="00656F21" w:rsidRDefault="00CF3914" w:rsidP="003531BA">
      <w:pPr>
        <w:tabs>
          <w:tab w:val="left" w:pos="720"/>
        </w:tabs>
        <w:spacing w:after="0" w:line="360" w:lineRule="auto"/>
        <w:jc w:val="both"/>
        <w:rPr>
          <w:rFonts w:ascii="Arial" w:hAnsi="Arial" w:cs="Arial"/>
          <w:sz w:val="24"/>
          <w:szCs w:val="24"/>
        </w:rPr>
      </w:pPr>
      <w:r>
        <w:rPr>
          <w:rFonts w:ascii="Arial" w:hAnsi="Arial" w:cs="Arial"/>
          <w:sz w:val="24"/>
          <w:szCs w:val="24"/>
        </w:rPr>
        <w:t>[</w:t>
      </w:r>
      <w:r w:rsidR="00CE05BF">
        <w:rPr>
          <w:rFonts w:ascii="Arial" w:hAnsi="Arial" w:cs="Arial"/>
          <w:sz w:val="24"/>
          <w:szCs w:val="24"/>
        </w:rPr>
        <w:t>15</w:t>
      </w:r>
      <w:r>
        <w:rPr>
          <w:rFonts w:ascii="Arial" w:hAnsi="Arial" w:cs="Arial"/>
          <w:sz w:val="24"/>
          <w:szCs w:val="24"/>
        </w:rPr>
        <w:t>]</w:t>
      </w:r>
      <w:r>
        <w:rPr>
          <w:rFonts w:ascii="Arial" w:hAnsi="Arial" w:cs="Arial"/>
          <w:sz w:val="24"/>
          <w:szCs w:val="24"/>
        </w:rPr>
        <w:tab/>
      </w:r>
      <w:r w:rsidR="00656F21">
        <w:rPr>
          <w:rFonts w:ascii="Arial" w:hAnsi="Arial" w:cs="Arial"/>
          <w:sz w:val="24"/>
          <w:szCs w:val="24"/>
        </w:rPr>
        <w:t>Counsel for Puma aligned their written submissions</w:t>
      </w:r>
      <w:r w:rsidR="008C5957">
        <w:rPr>
          <w:rFonts w:ascii="Arial" w:hAnsi="Arial" w:cs="Arial"/>
          <w:sz w:val="24"/>
          <w:szCs w:val="24"/>
        </w:rPr>
        <w:t xml:space="preserve"> with</w:t>
      </w:r>
      <w:r w:rsidR="00656F21">
        <w:rPr>
          <w:rFonts w:ascii="Arial" w:hAnsi="Arial" w:cs="Arial"/>
          <w:sz w:val="24"/>
          <w:szCs w:val="24"/>
        </w:rPr>
        <w:t xml:space="preserve"> the Commissions arguments which commenced with the disagreement with the Commission’s submission that </w:t>
      </w:r>
      <w:r w:rsidR="00656F21" w:rsidRPr="00656F21">
        <w:rPr>
          <w:rFonts w:ascii="Arial" w:hAnsi="Arial" w:cs="Arial"/>
          <w:sz w:val="24"/>
          <w:szCs w:val="24"/>
        </w:rPr>
        <w:t xml:space="preserve">Puma cannot competently invoke the process that it has (that is, by way of an anticipation notice and a counter-application), because – </w:t>
      </w:r>
    </w:p>
    <w:p w:rsidR="00656F21" w:rsidRPr="00AF4007" w:rsidRDefault="00656F21" w:rsidP="003531BA">
      <w:pPr>
        <w:pStyle w:val="ListParagraph"/>
        <w:tabs>
          <w:tab w:val="left" w:pos="720"/>
        </w:tabs>
        <w:spacing w:line="360" w:lineRule="auto"/>
        <w:ind w:left="0"/>
        <w:jc w:val="both"/>
        <w:rPr>
          <w:rFonts w:cs="Arial"/>
        </w:rPr>
      </w:pPr>
    </w:p>
    <w:p w:rsidR="00656F21" w:rsidRDefault="00656F21" w:rsidP="00CE05BF">
      <w:pPr>
        <w:pStyle w:val="ListParagraph"/>
        <w:widowControl/>
        <w:numPr>
          <w:ilvl w:val="0"/>
          <w:numId w:val="8"/>
        </w:numPr>
        <w:autoSpaceDE/>
        <w:autoSpaceDN/>
        <w:adjustRightInd/>
        <w:spacing w:line="360" w:lineRule="auto"/>
        <w:ind w:left="0" w:firstLine="0"/>
        <w:jc w:val="both"/>
        <w:rPr>
          <w:rFonts w:cs="Arial"/>
        </w:rPr>
      </w:pPr>
      <w:r w:rsidRPr="00AF4007">
        <w:rPr>
          <w:rFonts w:cs="Arial"/>
        </w:rPr>
        <w:t xml:space="preserve">the search was conducted with Puma's acquiescence, and its approach constitutes </w:t>
      </w:r>
      <w:r w:rsidR="00BE6E25">
        <w:rPr>
          <w:rFonts w:cs="Arial"/>
        </w:rPr>
        <w:t xml:space="preserve">an </w:t>
      </w:r>
      <w:r w:rsidRPr="00AF4007">
        <w:rPr>
          <w:rFonts w:cs="Arial"/>
        </w:rPr>
        <w:t>impermissible prevarication in the conduct of litigation;</w:t>
      </w:r>
      <w:r w:rsidRPr="00AF4007">
        <w:rPr>
          <w:rStyle w:val="FootnoteReference"/>
          <w:rFonts w:cs="Arial"/>
        </w:rPr>
        <w:footnoteReference w:id="59"/>
      </w:r>
    </w:p>
    <w:p w:rsidR="00C4765D" w:rsidRDefault="00C4765D" w:rsidP="00C4765D">
      <w:pPr>
        <w:pStyle w:val="ListParagraph"/>
        <w:widowControl/>
        <w:autoSpaceDE/>
        <w:autoSpaceDN/>
        <w:adjustRightInd/>
        <w:spacing w:line="360" w:lineRule="auto"/>
        <w:ind w:left="0"/>
        <w:jc w:val="both"/>
        <w:rPr>
          <w:rFonts w:cs="Arial"/>
        </w:rPr>
      </w:pPr>
    </w:p>
    <w:p w:rsidR="00656F21" w:rsidRDefault="00656F21" w:rsidP="00CE05BF">
      <w:pPr>
        <w:pStyle w:val="ListParagraph"/>
        <w:widowControl/>
        <w:numPr>
          <w:ilvl w:val="0"/>
          <w:numId w:val="8"/>
        </w:numPr>
        <w:autoSpaceDE/>
        <w:autoSpaceDN/>
        <w:adjustRightInd/>
        <w:spacing w:line="360" w:lineRule="auto"/>
        <w:ind w:left="0" w:firstLine="0"/>
        <w:jc w:val="both"/>
        <w:rPr>
          <w:rFonts w:cs="Arial"/>
        </w:rPr>
      </w:pPr>
      <w:r w:rsidRPr="00656F21">
        <w:rPr>
          <w:rFonts w:cs="Arial"/>
        </w:rPr>
        <w:t>the search is complete and the warrant has been discharged;</w:t>
      </w:r>
      <w:r w:rsidRPr="00AF4007">
        <w:rPr>
          <w:rStyle w:val="FootnoteReference"/>
          <w:rFonts w:cs="Arial"/>
        </w:rPr>
        <w:footnoteReference w:id="60"/>
      </w:r>
      <w:r w:rsidRPr="00656F21">
        <w:rPr>
          <w:rFonts w:cs="Arial"/>
        </w:rPr>
        <w:t xml:space="preserve"> and</w:t>
      </w:r>
    </w:p>
    <w:p w:rsidR="00C4765D" w:rsidRDefault="00C4765D" w:rsidP="00C4765D">
      <w:pPr>
        <w:pStyle w:val="ListParagraph"/>
        <w:widowControl/>
        <w:autoSpaceDE/>
        <w:autoSpaceDN/>
        <w:adjustRightInd/>
        <w:spacing w:line="360" w:lineRule="auto"/>
        <w:ind w:left="0"/>
        <w:jc w:val="both"/>
        <w:rPr>
          <w:rFonts w:cs="Arial"/>
        </w:rPr>
      </w:pPr>
    </w:p>
    <w:p w:rsidR="00656F21" w:rsidRPr="00656F21" w:rsidRDefault="00656F21" w:rsidP="00CE05BF">
      <w:pPr>
        <w:pStyle w:val="ListParagraph"/>
        <w:widowControl/>
        <w:numPr>
          <w:ilvl w:val="0"/>
          <w:numId w:val="8"/>
        </w:numPr>
        <w:autoSpaceDE/>
        <w:autoSpaceDN/>
        <w:adjustRightInd/>
        <w:spacing w:line="360" w:lineRule="auto"/>
        <w:ind w:left="0" w:firstLine="0"/>
        <w:jc w:val="both"/>
        <w:rPr>
          <w:rFonts w:cs="Arial"/>
        </w:rPr>
      </w:pPr>
      <w:proofErr w:type="gramStart"/>
      <w:r w:rsidRPr="00656F21">
        <w:rPr>
          <w:rFonts w:cs="Arial"/>
        </w:rPr>
        <w:t>the</w:t>
      </w:r>
      <w:proofErr w:type="gramEnd"/>
      <w:r w:rsidRPr="00656F21">
        <w:rPr>
          <w:rFonts w:cs="Arial"/>
        </w:rPr>
        <w:t xml:space="preserve"> relief sought in the anticipation notice and the notice of counter-application are mutually exclusive.</w:t>
      </w:r>
      <w:r w:rsidRPr="00AF4007">
        <w:rPr>
          <w:rStyle w:val="FootnoteReference"/>
          <w:rFonts w:cs="Arial"/>
        </w:rPr>
        <w:footnoteReference w:id="61"/>
      </w:r>
    </w:p>
    <w:p w:rsidR="00656F21" w:rsidRPr="00AF4007" w:rsidRDefault="00656F21" w:rsidP="003531BA">
      <w:pPr>
        <w:pStyle w:val="ListParagraph"/>
        <w:tabs>
          <w:tab w:val="left" w:pos="720"/>
        </w:tabs>
        <w:spacing w:line="360" w:lineRule="auto"/>
        <w:ind w:left="0"/>
        <w:jc w:val="both"/>
        <w:rPr>
          <w:rFonts w:cs="Arial"/>
        </w:rPr>
      </w:pPr>
    </w:p>
    <w:p w:rsidR="00656F21" w:rsidRPr="00A30E6A" w:rsidRDefault="00656F21" w:rsidP="003531BA">
      <w:pPr>
        <w:keepNext/>
        <w:tabs>
          <w:tab w:val="num" w:pos="0"/>
          <w:tab w:val="left" w:pos="720"/>
        </w:tabs>
        <w:spacing w:after="0" w:line="360" w:lineRule="auto"/>
        <w:jc w:val="both"/>
        <w:rPr>
          <w:rFonts w:ascii="Arial" w:hAnsi="Arial" w:cs="Arial"/>
          <w:sz w:val="24"/>
          <w:szCs w:val="24"/>
        </w:rPr>
      </w:pPr>
      <w:r w:rsidRPr="00656F21">
        <w:rPr>
          <w:rFonts w:ascii="Arial" w:hAnsi="Arial" w:cs="Arial"/>
          <w:sz w:val="24"/>
          <w:szCs w:val="24"/>
        </w:rPr>
        <w:t>[</w:t>
      </w:r>
      <w:r w:rsidR="00CE05BF">
        <w:rPr>
          <w:rFonts w:ascii="Arial" w:hAnsi="Arial" w:cs="Arial"/>
          <w:sz w:val="24"/>
          <w:szCs w:val="24"/>
        </w:rPr>
        <w:t>16</w:t>
      </w:r>
      <w:r w:rsidR="00BE6E25">
        <w:rPr>
          <w:rFonts w:ascii="Arial" w:hAnsi="Arial" w:cs="Arial"/>
          <w:sz w:val="24"/>
          <w:szCs w:val="24"/>
        </w:rPr>
        <w:t>]</w:t>
      </w:r>
      <w:r w:rsidR="00BE6E25">
        <w:rPr>
          <w:rFonts w:ascii="Arial" w:hAnsi="Arial" w:cs="Arial"/>
          <w:sz w:val="24"/>
          <w:szCs w:val="24"/>
        </w:rPr>
        <w:tab/>
        <w:t>Here it was firstly denied that Puma had</w:t>
      </w:r>
      <w:r w:rsidRPr="00656F21">
        <w:rPr>
          <w:rFonts w:ascii="Arial" w:hAnsi="Arial" w:cs="Arial"/>
          <w:sz w:val="24"/>
          <w:szCs w:val="24"/>
        </w:rPr>
        <w:t xml:space="preserve"> impermissibly prevaricated</w:t>
      </w:r>
      <w:r w:rsidR="00BE6E25">
        <w:rPr>
          <w:rFonts w:ascii="Arial" w:hAnsi="Arial" w:cs="Arial"/>
          <w:sz w:val="24"/>
          <w:szCs w:val="24"/>
        </w:rPr>
        <w:t xml:space="preserve"> and that</w:t>
      </w:r>
      <w:r w:rsidR="00A30E6A">
        <w:rPr>
          <w:rFonts w:ascii="Arial" w:hAnsi="Arial" w:cs="Arial"/>
          <w:sz w:val="24"/>
          <w:szCs w:val="24"/>
        </w:rPr>
        <w:t xml:space="preserve"> </w:t>
      </w:r>
      <w:r w:rsidRPr="00A30E6A">
        <w:rPr>
          <w:rFonts w:ascii="Arial" w:hAnsi="Arial" w:cs="Arial"/>
          <w:sz w:val="24"/>
          <w:szCs w:val="24"/>
        </w:rPr>
        <w:t>P</w:t>
      </w:r>
      <w:r w:rsidR="00A30E6A">
        <w:rPr>
          <w:rFonts w:ascii="Arial" w:hAnsi="Arial" w:cs="Arial"/>
          <w:sz w:val="24"/>
          <w:szCs w:val="24"/>
        </w:rPr>
        <w:t>uma's cooperation in allowing the Commission</w:t>
      </w:r>
      <w:r w:rsidRPr="00A30E6A">
        <w:rPr>
          <w:rFonts w:ascii="Arial" w:hAnsi="Arial" w:cs="Arial"/>
          <w:sz w:val="24"/>
          <w:szCs w:val="24"/>
        </w:rPr>
        <w:t xml:space="preserve"> to carry out the Dawn Raid in terms of the warrant did not amount to acquiescence to, and/or an election to accept, the validity of the warrant.</w:t>
      </w:r>
      <w:r w:rsidRPr="00A30E6A">
        <w:rPr>
          <w:rStyle w:val="FootnoteReference"/>
          <w:rFonts w:ascii="Arial" w:hAnsi="Arial" w:cs="Arial"/>
          <w:sz w:val="24"/>
          <w:szCs w:val="24"/>
        </w:rPr>
        <w:footnoteReference w:id="62"/>
      </w:r>
      <w:r w:rsidRPr="00A30E6A">
        <w:rPr>
          <w:rFonts w:ascii="Arial" w:hAnsi="Arial" w:cs="Arial"/>
          <w:sz w:val="24"/>
          <w:szCs w:val="24"/>
        </w:rPr>
        <w:t xml:space="preserve">  Puma allowed the warrant to be executed on the understanding that it reserved its right to challenge the validity thereof at a later stage.</w:t>
      </w:r>
      <w:r w:rsidRPr="00A30E6A">
        <w:rPr>
          <w:rStyle w:val="FootnoteReference"/>
          <w:rFonts w:ascii="Arial" w:hAnsi="Arial" w:cs="Arial"/>
          <w:sz w:val="24"/>
          <w:szCs w:val="24"/>
        </w:rPr>
        <w:footnoteReference w:id="63"/>
      </w:r>
      <w:r w:rsidRPr="00A30E6A">
        <w:rPr>
          <w:rFonts w:ascii="Arial" w:hAnsi="Arial" w:cs="Arial"/>
          <w:sz w:val="24"/>
          <w:szCs w:val="24"/>
        </w:rPr>
        <w:t xml:space="preserve">  This it was entitled to do, not least to ensure that, pending an approach to court to have the warrant set aside, </w:t>
      </w:r>
      <w:r w:rsidR="00A30E6A">
        <w:rPr>
          <w:rFonts w:ascii="Arial" w:hAnsi="Arial" w:cs="Arial"/>
          <w:sz w:val="24"/>
          <w:szCs w:val="24"/>
        </w:rPr>
        <w:t xml:space="preserve">it was not acting in contempt. </w:t>
      </w:r>
      <w:r w:rsidR="00A30E6A" w:rsidRPr="00A30E6A">
        <w:rPr>
          <w:rFonts w:ascii="Arial" w:hAnsi="Arial" w:cs="Arial"/>
          <w:sz w:val="24"/>
          <w:szCs w:val="24"/>
        </w:rPr>
        <w:t>This</w:t>
      </w:r>
      <w:r w:rsidRPr="00A30E6A">
        <w:rPr>
          <w:rFonts w:ascii="Arial" w:hAnsi="Arial" w:cs="Arial"/>
          <w:sz w:val="24"/>
          <w:szCs w:val="24"/>
        </w:rPr>
        <w:t xml:space="preserve"> approach was permissible as a matter of law and necessary as a matter of practicality.  </w:t>
      </w:r>
    </w:p>
    <w:p w:rsidR="00A30E6A" w:rsidRDefault="00A30E6A" w:rsidP="003531BA">
      <w:pPr>
        <w:pStyle w:val="ListParagraph"/>
        <w:widowControl/>
        <w:tabs>
          <w:tab w:val="left" w:pos="720"/>
        </w:tabs>
        <w:autoSpaceDE/>
        <w:autoSpaceDN/>
        <w:adjustRightInd/>
        <w:spacing w:line="360" w:lineRule="auto"/>
        <w:ind w:left="0"/>
        <w:jc w:val="both"/>
        <w:rPr>
          <w:rFonts w:cs="Arial"/>
        </w:rPr>
      </w:pPr>
    </w:p>
    <w:p w:rsidR="00656F21" w:rsidRPr="00AF4007" w:rsidRDefault="00A30E6A" w:rsidP="003531BA">
      <w:pPr>
        <w:pStyle w:val="ListParagraph"/>
        <w:widowControl/>
        <w:tabs>
          <w:tab w:val="left" w:pos="720"/>
        </w:tabs>
        <w:autoSpaceDE/>
        <w:autoSpaceDN/>
        <w:adjustRightInd/>
        <w:spacing w:line="360" w:lineRule="auto"/>
        <w:ind w:left="0"/>
        <w:jc w:val="both"/>
        <w:rPr>
          <w:rFonts w:cs="Arial"/>
        </w:rPr>
      </w:pPr>
      <w:r>
        <w:rPr>
          <w:rFonts w:cs="Arial"/>
        </w:rPr>
        <w:t>[</w:t>
      </w:r>
      <w:r w:rsidR="00CE05BF">
        <w:rPr>
          <w:rFonts w:cs="Arial"/>
        </w:rPr>
        <w:t>17</w:t>
      </w:r>
      <w:r>
        <w:rPr>
          <w:rFonts w:cs="Arial"/>
        </w:rPr>
        <w:t>]</w:t>
      </w:r>
      <w:r>
        <w:rPr>
          <w:rFonts w:cs="Arial"/>
        </w:rPr>
        <w:tab/>
      </w:r>
      <w:r w:rsidR="00656F21" w:rsidRPr="00AF4007">
        <w:rPr>
          <w:rFonts w:cs="Arial"/>
        </w:rPr>
        <w:t>It</w:t>
      </w:r>
      <w:r>
        <w:rPr>
          <w:rFonts w:cs="Arial"/>
        </w:rPr>
        <w:t xml:space="preserve"> was pointed out that it was</w:t>
      </w:r>
      <w:r w:rsidR="00656F21" w:rsidRPr="00AF4007">
        <w:rPr>
          <w:rFonts w:cs="Arial"/>
        </w:rPr>
        <w:t xml:space="preserve"> common cause that Puma did not have access to the application papers on the basis of which the warrant had been granted, prior to the execution of the warrant.  Accordingly, Puma did not have the opportunity, prior to the execution of the warrant, to form an opinion as to the correctness of the decision to grant the warrant and therefore whether or not to challenge it. It would have been unlawful for Puma to resist or interfere with the execution of a warrant.  It would have been impractical (and questionable as a matter of law) for Puma to institute urgent application proceedings or otherwise delay the Commission in its execution of the warrant, when Puma had yet to assess the merits of the decision to grant the order.</w:t>
      </w:r>
      <w:r w:rsidR="00656F21" w:rsidRPr="00AF4007">
        <w:rPr>
          <w:rStyle w:val="FootnoteReference"/>
          <w:rFonts w:cs="Arial"/>
        </w:rPr>
        <w:footnoteReference w:id="64"/>
      </w:r>
      <w:r w:rsidR="00656F21" w:rsidRPr="00AF4007">
        <w:rPr>
          <w:rFonts w:cs="Arial"/>
        </w:rPr>
        <w:t xml:space="preserve">  But that did not preclude it from challenging the warrant once it had the opportunity to consider the contents of the application for the warrant.  </w:t>
      </w:r>
    </w:p>
    <w:p w:rsidR="00656F21" w:rsidRPr="00AF4007" w:rsidRDefault="00656F21" w:rsidP="003531BA">
      <w:pPr>
        <w:pStyle w:val="ListParagraph"/>
        <w:spacing w:line="360" w:lineRule="auto"/>
        <w:rPr>
          <w:rFonts w:cs="Arial"/>
        </w:rPr>
      </w:pPr>
    </w:p>
    <w:p w:rsidR="00656F21" w:rsidRPr="0064442E" w:rsidRDefault="0022446B" w:rsidP="003531BA">
      <w:pPr>
        <w:tabs>
          <w:tab w:val="num" w:pos="0"/>
          <w:tab w:val="left" w:pos="720"/>
        </w:tabs>
        <w:spacing w:after="0" w:line="360" w:lineRule="auto"/>
        <w:jc w:val="both"/>
        <w:rPr>
          <w:rFonts w:ascii="Arial" w:hAnsi="Arial" w:cs="Arial"/>
          <w:sz w:val="24"/>
          <w:szCs w:val="24"/>
        </w:rPr>
      </w:pPr>
      <w:r w:rsidRPr="0022446B">
        <w:rPr>
          <w:rFonts w:ascii="Arial" w:hAnsi="Arial" w:cs="Arial"/>
          <w:sz w:val="24"/>
          <w:szCs w:val="24"/>
        </w:rPr>
        <w:lastRenderedPageBreak/>
        <w:t>[</w:t>
      </w:r>
      <w:r w:rsidR="00CE05BF">
        <w:rPr>
          <w:rFonts w:ascii="Arial" w:hAnsi="Arial" w:cs="Arial"/>
          <w:sz w:val="24"/>
          <w:szCs w:val="24"/>
        </w:rPr>
        <w:t>18</w:t>
      </w:r>
      <w:r w:rsidRPr="0022446B">
        <w:rPr>
          <w:rFonts w:ascii="Arial" w:hAnsi="Arial" w:cs="Arial"/>
          <w:sz w:val="24"/>
          <w:szCs w:val="24"/>
        </w:rPr>
        <w:t>]</w:t>
      </w:r>
      <w:r w:rsidRPr="0022446B">
        <w:rPr>
          <w:rFonts w:ascii="Arial" w:hAnsi="Arial" w:cs="Arial"/>
          <w:sz w:val="24"/>
          <w:szCs w:val="24"/>
        </w:rPr>
        <w:tab/>
      </w:r>
      <w:r w:rsidR="00656F21" w:rsidRPr="0022446B">
        <w:rPr>
          <w:rFonts w:ascii="Arial" w:hAnsi="Arial" w:cs="Arial"/>
          <w:sz w:val="24"/>
          <w:szCs w:val="24"/>
        </w:rPr>
        <w:t>It</w:t>
      </w:r>
      <w:r>
        <w:rPr>
          <w:rFonts w:ascii="Arial" w:hAnsi="Arial" w:cs="Arial"/>
          <w:sz w:val="24"/>
          <w:szCs w:val="24"/>
        </w:rPr>
        <w:t xml:space="preserve"> was further argued that it</w:t>
      </w:r>
      <w:r w:rsidR="00656F21" w:rsidRPr="0022446B">
        <w:rPr>
          <w:rFonts w:ascii="Arial" w:hAnsi="Arial" w:cs="Arial"/>
          <w:sz w:val="24"/>
          <w:szCs w:val="24"/>
        </w:rPr>
        <w:t xml:space="preserve"> makes no difference that the warrant has been '</w:t>
      </w:r>
      <w:r w:rsidR="00656F21" w:rsidRPr="0022446B">
        <w:rPr>
          <w:rFonts w:ascii="Arial" w:hAnsi="Arial" w:cs="Arial"/>
          <w:i/>
          <w:sz w:val="24"/>
          <w:szCs w:val="24"/>
        </w:rPr>
        <w:t>discharged</w:t>
      </w:r>
      <w:r w:rsidR="00656F21" w:rsidRPr="0022446B">
        <w:rPr>
          <w:rFonts w:ascii="Arial" w:hAnsi="Arial" w:cs="Arial"/>
          <w:sz w:val="24"/>
          <w:szCs w:val="24"/>
        </w:rPr>
        <w:t>'</w:t>
      </w:r>
      <w:r>
        <w:rPr>
          <w:rFonts w:ascii="Arial" w:hAnsi="Arial" w:cs="Arial"/>
          <w:sz w:val="24"/>
          <w:szCs w:val="24"/>
        </w:rPr>
        <w:t>. This submission was founded on the persuasive power of a</w:t>
      </w:r>
      <w:r w:rsidRPr="0022446B">
        <w:rPr>
          <w:rFonts w:cs="Arial"/>
        </w:rPr>
        <w:t xml:space="preserve"> </w:t>
      </w:r>
      <w:r w:rsidRPr="0022446B">
        <w:rPr>
          <w:rFonts w:ascii="Arial" w:hAnsi="Arial" w:cs="Arial"/>
          <w:sz w:val="24"/>
          <w:szCs w:val="24"/>
        </w:rPr>
        <w:t>South African Supreme Court of Appeal</w:t>
      </w:r>
      <w:r>
        <w:rPr>
          <w:rFonts w:ascii="Arial" w:hAnsi="Arial" w:cs="Arial"/>
          <w:sz w:val="24"/>
          <w:szCs w:val="24"/>
        </w:rPr>
        <w:t xml:space="preserve"> judgment, the </w:t>
      </w:r>
      <w:r w:rsidR="00A77F0E" w:rsidRPr="00A77F0E">
        <w:rPr>
          <w:rFonts w:ascii="Arial" w:hAnsi="Arial" w:cs="Arial"/>
          <w:i/>
          <w:color w:val="000000" w:themeColor="text1"/>
        </w:rPr>
        <w:t>Pretoria Portland Cement Company Ltd. v Competition Commission</w:t>
      </w:r>
      <w:r w:rsidR="00A77F0E" w:rsidRPr="00A77F0E">
        <w:rPr>
          <w:rFonts w:ascii="Arial" w:hAnsi="Arial" w:cs="Arial"/>
          <w:color w:val="000000" w:themeColor="text1"/>
        </w:rPr>
        <w:t xml:space="preserve"> </w:t>
      </w:r>
      <w:r w:rsidR="00A77F0E" w:rsidRPr="00A77F0E">
        <w:rPr>
          <w:rFonts w:ascii="Arial" w:hAnsi="Arial" w:cs="Arial"/>
          <w:bCs/>
          <w:color w:val="000000" w:themeColor="text1"/>
        </w:rPr>
        <w:t>2003 (2) SA 385 (SCA)</w:t>
      </w:r>
      <w:r w:rsidR="00A77F0E" w:rsidRPr="00801338">
        <w:rPr>
          <w:rFonts w:cs="Arial"/>
          <w:color w:val="000000" w:themeColor="text1"/>
          <w:sz w:val="20"/>
          <w:szCs w:val="20"/>
        </w:rPr>
        <w:t xml:space="preserve"> </w:t>
      </w:r>
      <w:r>
        <w:rPr>
          <w:rFonts w:ascii="Arial" w:hAnsi="Arial" w:cs="Arial"/>
          <w:sz w:val="24"/>
          <w:szCs w:val="24"/>
        </w:rPr>
        <w:t>judgment, in which the SCA had</w:t>
      </w:r>
      <w:r w:rsidR="0064442E">
        <w:rPr>
          <w:rFonts w:ascii="Arial" w:hAnsi="Arial" w:cs="Arial"/>
          <w:sz w:val="24"/>
          <w:szCs w:val="24"/>
        </w:rPr>
        <w:t xml:space="preserve"> considered a similar case in which</w:t>
      </w:r>
      <w:r>
        <w:rPr>
          <w:rFonts w:ascii="Arial" w:hAnsi="Arial" w:cs="Arial"/>
          <w:sz w:val="24"/>
          <w:szCs w:val="24"/>
        </w:rPr>
        <w:t xml:space="preserve"> the South African Competition Commission</w:t>
      </w:r>
      <w:r w:rsidR="0064442E">
        <w:rPr>
          <w:rFonts w:ascii="Arial" w:hAnsi="Arial" w:cs="Arial"/>
          <w:sz w:val="24"/>
          <w:szCs w:val="24"/>
        </w:rPr>
        <w:t xml:space="preserve"> had sought and was granted</w:t>
      </w:r>
      <w:r w:rsidR="0064442E" w:rsidRPr="0064442E">
        <w:rPr>
          <w:rFonts w:cs="Arial"/>
        </w:rPr>
        <w:t xml:space="preserve"> </w:t>
      </w:r>
      <w:r w:rsidR="0064442E" w:rsidRPr="0064442E">
        <w:rPr>
          <w:rFonts w:ascii="Arial" w:hAnsi="Arial" w:cs="Arial"/>
          <w:sz w:val="24"/>
          <w:szCs w:val="24"/>
        </w:rPr>
        <w:t xml:space="preserve">a </w:t>
      </w:r>
      <w:r w:rsidR="0064442E">
        <w:rPr>
          <w:rFonts w:ascii="Arial" w:hAnsi="Arial" w:cs="Arial"/>
          <w:sz w:val="24"/>
          <w:szCs w:val="24"/>
        </w:rPr>
        <w:t>warrant in terms of</w:t>
      </w:r>
      <w:r w:rsidR="0064442E" w:rsidRPr="0064442E">
        <w:rPr>
          <w:rFonts w:ascii="Arial" w:hAnsi="Arial" w:cs="Arial"/>
          <w:sz w:val="24"/>
          <w:szCs w:val="24"/>
        </w:rPr>
        <w:t xml:space="preserve"> section 34 of the </w:t>
      </w:r>
      <w:r w:rsidR="0064442E">
        <w:rPr>
          <w:rFonts w:ascii="Arial" w:hAnsi="Arial" w:cs="Arial"/>
          <w:sz w:val="24"/>
          <w:szCs w:val="24"/>
        </w:rPr>
        <w:t xml:space="preserve">South African </w:t>
      </w:r>
      <w:r w:rsidR="0064442E" w:rsidRPr="0064442E">
        <w:rPr>
          <w:rFonts w:ascii="Arial" w:hAnsi="Arial" w:cs="Arial"/>
          <w:sz w:val="24"/>
          <w:szCs w:val="24"/>
        </w:rPr>
        <w:t>Competition Act.</w:t>
      </w:r>
      <w:r w:rsidR="0064442E" w:rsidRPr="0064442E">
        <w:rPr>
          <w:rStyle w:val="FootnoteReference"/>
          <w:rFonts w:ascii="Arial" w:hAnsi="Arial" w:cs="Arial"/>
          <w:sz w:val="24"/>
          <w:szCs w:val="24"/>
        </w:rPr>
        <w:footnoteReference w:id="65"/>
      </w:r>
      <w:r w:rsidR="0064442E">
        <w:rPr>
          <w:rFonts w:cs="Arial"/>
        </w:rPr>
        <w:t xml:space="preserve">  </w:t>
      </w:r>
      <w:r w:rsidR="0064442E" w:rsidRPr="0064442E">
        <w:rPr>
          <w:rFonts w:ascii="Arial" w:hAnsi="Arial" w:cs="Arial"/>
          <w:sz w:val="24"/>
          <w:szCs w:val="24"/>
        </w:rPr>
        <w:t>in circumstances more fully describe</w:t>
      </w:r>
      <w:r w:rsidR="0064442E">
        <w:rPr>
          <w:rFonts w:ascii="Arial" w:hAnsi="Arial" w:cs="Arial"/>
          <w:sz w:val="24"/>
          <w:szCs w:val="24"/>
        </w:rPr>
        <w:t>d in the judgment of the SCA</w:t>
      </w:r>
      <w:r w:rsidR="0064442E" w:rsidRPr="0064442E">
        <w:rPr>
          <w:rFonts w:ascii="Arial" w:hAnsi="Arial" w:cs="Arial"/>
          <w:i/>
          <w:color w:val="000000" w:themeColor="text1"/>
          <w:sz w:val="24"/>
          <w:szCs w:val="24"/>
        </w:rPr>
        <w:t>.</w:t>
      </w:r>
      <w:r w:rsidR="0064442E" w:rsidRPr="0064442E">
        <w:rPr>
          <w:rStyle w:val="FootnoteReference"/>
          <w:rFonts w:ascii="Arial" w:hAnsi="Arial" w:cs="Arial"/>
          <w:i/>
          <w:color w:val="000000" w:themeColor="text1"/>
          <w:sz w:val="24"/>
          <w:szCs w:val="24"/>
        </w:rPr>
        <w:footnoteReference w:id="66"/>
      </w:r>
    </w:p>
    <w:p w:rsidR="00656F21" w:rsidRPr="00AF4007" w:rsidRDefault="00656F21" w:rsidP="003531BA">
      <w:pPr>
        <w:pStyle w:val="ListParagraph"/>
        <w:widowControl/>
        <w:tabs>
          <w:tab w:val="left" w:pos="720"/>
        </w:tabs>
        <w:autoSpaceDE/>
        <w:autoSpaceDN/>
        <w:adjustRightInd/>
        <w:spacing w:line="360" w:lineRule="auto"/>
        <w:ind w:left="0"/>
        <w:jc w:val="both"/>
        <w:rPr>
          <w:rFonts w:cs="Arial"/>
        </w:rPr>
      </w:pPr>
      <w:r w:rsidRPr="0064442E">
        <w:rPr>
          <w:rFonts w:cs="Arial"/>
          <w:color w:val="000000" w:themeColor="text1"/>
        </w:rPr>
        <w:t>The order</w:t>
      </w:r>
      <w:r w:rsidR="0064442E">
        <w:rPr>
          <w:rFonts w:cs="Arial"/>
          <w:color w:val="000000" w:themeColor="text1"/>
        </w:rPr>
        <w:t xml:space="preserve">, which was the subject matter of the appeal </w:t>
      </w:r>
      <w:r w:rsidRPr="0064442E">
        <w:rPr>
          <w:rFonts w:cs="Arial"/>
          <w:color w:val="000000" w:themeColor="text1"/>
        </w:rPr>
        <w:t>had in common with the order issued in the present instance that it included no return date, and that it made no provision for opposition.</w:t>
      </w:r>
      <w:r w:rsidRPr="00AF4007">
        <w:rPr>
          <w:rStyle w:val="FootnoteReference"/>
          <w:rFonts w:cs="Arial"/>
          <w:color w:val="000000" w:themeColor="text1"/>
        </w:rPr>
        <w:footnoteReference w:id="67"/>
      </w:r>
      <w:r w:rsidRPr="0064442E">
        <w:rPr>
          <w:rFonts w:cs="Arial"/>
          <w:color w:val="000000" w:themeColor="text1"/>
        </w:rPr>
        <w:t xml:space="preserve">  The search was conducted and documents were seized.</w:t>
      </w:r>
      <w:r w:rsidRPr="00AF4007">
        <w:rPr>
          <w:rStyle w:val="FootnoteReference"/>
          <w:rFonts w:cs="Arial"/>
          <w:color w:val="000000" w:themeColor="text1"/>
        </w:rPr>
        <w:footnoteReference w:id="68"/>
      </w:r>
      <w:r w:rsidRPr="0064442E">
        <w:rPr>
          <w:rFonts w:cs="Arial"/>
          <w:color w:val="000000" w:themeColor="text1"/>
        </w:rPr>
        <w:t xml:space="preserve">  Thereafter, an order was obtained to secure the seized documentation and preventing access thereto by the SA Commission pending the launch of an application to challenge the issue of the warrant.</w:t>
      </w:r>
      <w:r w:rsidRPr="00AF4007">
        <w:rPr>
          <w:rStyle w:val="FootnoteReference"/>
          <w:rFonts w:cs="Arial"/>
          <w:color w:val="000000" w:themeColor="text1"/>
        </w:rPr>
        <w:footnoteReference w:id="69"/>
      </w:r>
      <w:r w:rsidRPr="0064442E">
        <w:rPr>
          <w:rFonts w:cs="Arial"/>
          <w:color w:val="000000" w:themeColor="text1"/>
        </w:rPr>
        <w:t xml:space="preserve"> Pretoria Portland Cement </w:t>
      </w:r>
      <w:r w:rsidR="008906B1">
        <w:rPr>
          <w:rFonts w:cs="Arial"/>
          <w:color w:val="000000" w:themeColor="text1"/>
        </w:rPr>
        <w:t>(</w:t>
      </w:r>
      <w:r w:rsidRPr="008906B1">
        <w:rPr>
          <w:rFonts w:cs="Arial"/>
          <w:color w:val="000000" w:themeColor="text1"/>
        </w:rPr>
        <w:t>PPC</w:t>
      </w:r>
      <w:r w:rsidRPr="0064442E">
        <w:rPr>
          <w:rFonts w:cs="Arial"/>
          <w:color w:val="000000" w:themeColor="text1"/>
        </w:rPr>
        <w:t>) launched a self-standing application,</w:t>
      </w:r>
      <w:r w:rsidRPr="00AF4007">
        <w:rPr>
          <w:rStyle w:val="FootnoteReference"/>
          <w:rFonts w:cs="Arial"/>
          <w:color w:val="000000" w:themeColor="text1"/>
        </w:rPr>
        <w:footnoteReference w:id="70"/>
      </w:r>
      <w:r w:rsidR="0064442E">
        <w:rPr>
          <w:rFonts w:cs="Arial"/>
        </w:rPr>
        <w:t xml:space="preserve"> </w:t>
      </w:r>
      <w:r w:rsidRPr="00AF4007">
        <w:rPr>
          <w:rFonts w:cs="Arial"/>
        </w:rPr>
        <w:t>The SCA held that:</w:t>
      </w:r>
    </w:p>
    <w:p w:rsidR="00656F21" w:rsidRPr="00AF4007" w:rsidRDefault="00656F21" w:rsidP="003531BA">
      <w:pPr>
        <w:pStyle w:val="ListParagraph"/>
        <w:spacing w:line="360" w:lineRule="auto"/>
        <w:rPr>
          <w:rFonts w:cs="Arial"/>
        </w:rPr>
      </w:pPr>
    </w:p>
    <w:p w:rsidR="00656F21" w:rsidRPr="00AF4007" w:rsidRDefault="00656F21" w:rsidP="003531BA">
      <w:pPr>
        <w:pStyle w:val="ListParagraph"/>
        <w:widowControl/>
        <w:numPr>
          <w:ilvl w:val="1"/>
          <w:numId w:val="3"/>
        </w:numPr>
        <w:tabs>
          <w:tab w:val="clear" w:pos="1134"/>
          <w:tab w:val="num" w:pos="0"/>
          <w:tab w:val="left" w:pos="720"/>
        </w:tabs>
        <w:autoSpaceDE/>
        <w:autoSpaceDN/>
        <w:adjustRightInd/>
        <w:spacing w:line="360" w:lineRule="auto"/>
        <w:ind w:left="0" w:firstLine="0"/>
        <w:jc w:val="both"/>
        <w:rPr>
          <w:rFonts w:cs="Arial"/>
        </w:rPr>
      </w:pPr>
      <w:r w:rsidRPr="00AF4007">
        <w:rPr>
          <w:rFonts w:cs="Arial"/>
        </w:rPr>
        <w:t xml:space="preserve">where an </w:t>
      </w:r>
      <w:r w:rsidRPr="00AF4007">
        <w:rPr>
          <w:rFonts w:cs="Arial"/>
          <w:i/>
        </w:rPr>
        <w:t xml:space="preserve">ex parte </w:t>
      </w:r>
      <w:r w:rsidRPr="00AF4007">
        <w:rPr>
          <w:rFonts w:cs="Arial"/>
        </w:rPr>
        <w:t>order is granted, it may be corrected by another single judge through the ordinary processes of court;</w:t>
      </w:r>
      <w:r w:rsidRPr="00AF4007">
        <w:rPr>
          <w:rStyle w:val="FootnoteReference"/>
          <w:rFonts w:cs="Arial"/>
        </w:rPr>
        <w:footnoteReference w:id="71"/>
      </w:r>
    </w:p>
    <w:p w:rsidR="00656F21" w:rsidRPr="00AF4007" w:rsidRDefault="00656F21" w:rsidP="003531BA">
      <w:pPr>
        <w:pStyle w:val="ListParagraph"/>
        <w:tabs>
          <w:tab w:val="left" w:pos="720"/>
        </w:tabs>
        <w:spacing w:line="360" w:lineRule="auto"/>
        <w:ind w:left="0"/>
        <w:jc w:val="both"/>
        <w:rPr>
          <w:rFonts w:cs="Arial"/>
        </w:rPr>
      </w:pPr>
    </w:p>
    <w:p w:rsidR="00656F21" w:rsidRPr="00AF4007" w:rsidRDefault="00656F21" w:rsidP="003531BA">
      <w:pPr>
        <w:pStyle w:val="ListParagraph"/>
        <w:widowControl/>
        <w:numPr>
          <w:ilvl w:val="1"/>
          <w:numId w:val="3"/>
        </w:numPr>
        <w:tabs>
          <w:tab w:val="clear" w:pos="1134"/>
          <w:tab w:val="num" w:pos="0"/>
          <w:tab w:val="left" w:pos="720"/>
        </w:tabs>
        <w:autoSpaceDE/>
        <w:autoSpaceDN/>
        <w:adjustRightInd/>
        <w:spacing w:line="360" w:lineRule="auto"/>
        <w:ind w:left="0" w:firstLine="0"/>
        <w:jc w:val="both"/>
        <w:rPr>
          <w:rFonts w:cs="Arial"/>
        </w:rPr>
      </w:pPr>
      <w:r w:rsidRPr="00AF4007">
        <w:rPr>
          <w:rFonts w:cs="Arial"/>
        </w:rPr>
        <w:t xml:space="preserve">in a rehearing of a matter in which an </w:t>
      </w:r>
      <w:r w:rsidRPr="00AF4007">
        <w:rPr>
          <w:rFonts w:cs="Arial"/>
          <w:i/>
        </w:rPr>
        <w:t>ex parte</w:t>
      </w:r>
      <w:r w:rsidRPr="00AF4007">
        <w:rPr>
          <w:rFonts w:cs="Arial"/>
        </w:rPr>
        <w:t xml:space="preserve"> order has been made, grounds that in other circumstances may be raised as review grounds, may equally be raised in the rehearing, but that does not make the proceeding a review;</w:t>
      </w:r>
      <w:r w:rsidRPr="00AF4007">
        <w:rPr>
          <w:rStyle w:val="FootnoteReference"/>
          <w:rFonts w:cs="Arial"/>
        </w:rPr>
        <w:footnoteReference w:id="72"/>
      </w:r>
    </w:p>
    <w:p w:rsidR="00656F21" w:rsidRPr="00AF4007" w:rsidRDefault="00656F21" w:rsidP="003531BA">
      <w:pPr>
        <w:pStyle w:val="ListParagraph"/>
        <w:spacing w:line="360" w:lineRule="auto"/>
        <w:rPr>
          <w:rFonts w:cs="Arial"/>
        </w:rPr>
      </w:pPr>
    </w:p>
    <w:p w:rsidR="00656F21" w:rsidRPr="00AF4007" w:rsidRDefault="00656F21" w:rsidP="003531BA">
      <w:pPr>
        <w:pStyle w:val="ListParagraph"/>
        <w:widowControl/>
        <w:numPr>
          <w:ilvl w:val="1"/>
          <w:numId w:val="3"/>
        </w:numPr>
        <w:tabs>
          <w:tab w:val="clear" w:pos="1134"/>
          <w:tab w:val="num" w:pos="0"/>
          <w:tab w:val="left" w:pos="720"/>
        </w:tabs>
        <w:autoSpaceDE/>
        <w:autoSpaceDN/>
        <w:adjustRightInd/>
        <w:spacing w:line="360" w:lineRule="auto"/>
        <w:ind w:left="0" w:firstLine="0"/>
        <w:jc w:val="both"/>
        <w:rPr>
          <w:rFonts w:cs="Arial"/>
        </w:rPr>
      </w:pPr>
      <w:r w:rsidRPr="00AF4007">
        <w:rPr>
          <w:rFonts w:cs="Arial"/>
        </w:rPr>
        <w:t xml:space="preserve">any person who shows a direct and substantial interest in proceedings concerned with an order that was granted </w:t>
      </w:r>
      <w:r w:rsidRPr="00AF4007">
        <w:rPr>
          <w:rFonts w:cs="Arial"/>
          <w:i/>
        </w:rPr>
        <w:t>ex parte</w:t>
      </w:r>
      <w:r w:rsidRPr="00AF4007">
        <w:rPr>
          <w:rFonts w:cs="Arial"/>
        </w:rPr>
        <w:t xml:space="preserve">, and whose affidavit </w:t>
      </w:r>
      <w:r w:rsidRPr="00AF4007">
        <w:rPr>
          <w:rFonts w:cs="Arial"/>
          <w:color w:val="1B1919"/>
        </w:rPr>
        <w:t>indicates that his opposition might contribute something to a just decision of the case, should not be deprived of an opportunity of being heard;</w:t>
      </w:r>
      <w:r w:rsidRPr="00AF4007">
        <w:rPr>
          <w:rStyle w:val="FootnoteReference"/>
          <w:rFonts w:cs="Arial"/>
          <w:color w:val="1B1919"/>
        </w:rPr>
        <w:footnoteReference w:id="73"/>
      </w:r>
    </w:p>
    <w:p w:rsidR="00656F21" w:rsidRPr="00AF4007" w:rsidRDefault="00656F21" w:rsidP="003531BA">
      <w:pPr>
        <w:pStyle w:val="ListParagraph"/>
        <w:spacing w:line="360" w:lineRule="auto"/>
        <w:rPr>
          <w:rFonts w:cs="Arial"/>
        </w:rPr>
      </w:pPr>
    </w:p>
    <w:p w:rsidR="00656F21" w:rsidRDefault="00656F21" w:rsidP="003531BA">
      <w:pPr>
        <w:pStyle w:val="ListParagraph"/>
        <w:widowControl/>
        <w:numPr>
          <w:ilvl w:val="1"/>
          <w:numId w:val="3"/>
        </w:numPr>
        <w:tabs>
          <w:tab w:val="clear" w:pos="1134"/>
          <w:tab w:val="num" w:pos="0"/>
          <w:tab w:val="left" w:pos="720"/>
        </w:tabs>
        <w:autoSpaceDE/>
        <w:autoSpaceDN/>
        <w:adjustRightInd/>
        <w:spacing w:line="360" w:lineRule="auto"/>
        <w:ind w:left="0" w:firstLine="0"/>
        <w:jc w:val="both"/>
        <w:rPr>
          <w:rFonts w:cs="Arial"/>
          <w:color w:val="1B1919"/>
        </w:rPr>
      </w:pPr>
      <w:r w:rsidRPr="00AF4007">
        <w:rPr>
          <w:rFonts w:cs="Arial"/>
          <w:color w:val="1B1919"/>
        </w:rPr>
        <w:t xml:space="preserve">an order granted </w:t>
      </w:r>
      <w:r w:rsidRPr="00AF4007">
        <w:rPr>
          <w:rFonts w:cs="Arial"/>
          <w:i/>
          <w:iCs/>
          <w:color w:val="1B1919"/>
        </w:rPr>
        <w:t>ex parte</w:t>
      </w:r>
      <w:r w:rsidRPr="00AF4007">
        <w:rPr>
          <w:rFonts w:cs="Arial"/>
          <w:color w:val="1B1919"/>
        </w:rPr>
        <w:t xml:space="preserve"> is by its nature provisional, irrespective of the form which it takes, and once it is contested and the matter reconsidered by a court, the </w:t>
      </w:r>
      <w:r w:rsidRPr="00AF4007">
        <w:rPr>
          <w:rFonts w:cs="Arial"/>
          <w:color w:val="1B1919"/>
        </w:rPr>
        <w:lastRenderedPageBreak/>
        <w:t xml:space="preserve">party that launched the </w:t>
      </w:r>
      <w:r w:rsidRPr="00AF4007">
        <w:rPr>
          <w:rFonts w:cs="Arial"/>
          <w:i/>
          <w:color w:val="1B1919"/>
        </w:rPr>
        <w:t>ex parte</w:t>
      </w:r>
      <w:r w:rsidRPr="00AF4007">
        <w:rPr>
          <w:rFonts w:cs="Arial"/>
          <w:color w:val="1B1919"/>
        </w:rPr>
        <w:t xml:space="preserve"> proceedings is in no better position in other respects than it was at the time this occurred</w:t>
      </w:r>
      <w:r w:rsidRPr="00AF4007">
        <w:rPr>
          <w:rStyle w:val="FootnoteReference"/>
          <w:rFonts w:cs="Arial"/>
          <w:color w:val="1B1919"/>
        </w:rPr>
        <w:footnoteReference w:id="74"/>
      </w:r>
      <w:r w:rsidRPr="00AF4007">
        <w:rPr>
          <w:rFonts w:cs="Arial"/>
          <w:color w:val="1B1919"/>
        </w:rPr>
        <w:t xml:space="preserve"> (a position </w:t>
      </w:r>
      <w:r w:rsidR="00F6119D">
        <w:rPr>
          <w:rFonts w:cs="Arial"/>
          <w:color w:val="1B1919"/>
        </w:rPr>
        <w:t xml:space="preserve">that </w:t>
      </w:r>
      <w:r w:rsidRPr="00AF4007">
        <w:rPr>
          <w:rFonts w:cs="Arial"/>
          <w:color w:val="1B1919"/>
        </w:rPr>
        <w:t xml:space="preserve">was endorsed by the Supreme Court of Namibia in the matter of </w:t>
      </w:r>
      <w:r w:rsidRPr="00AF4007">
        <w:rPr>
          <w:rFonts w:cs="Arial"/>
          <w:i/>
          <w:color w:val="1B1919"/>
        </w:rPr>
        <w:t>Prosecutor-General v Uuyuni</w:t>
      </w:r>
      <w:r w:rsidRPr="00AF4007">
        <w:rPr>
          <w:rStyle w:val="FootnoteReference"/>
          <w:rFonts w:cs="Arial"/>
          <w:color w:val="1B1919"/>
        </w:rPr>
        <w:footnoteReference w:id="75"/>
      </w:r>
      <w:r w:rsidRPr="00AF4007">
        <w:rPr>
          <w:rFonts w:cs="Arial"/>
          <w:color w:val="1B1919"/>
        </w:rPr>
        <w:t>);</w:t>
      </w:r>
    </w:p>
    <w:p w:rsidR="0064442E" w:rsidRPr="00AF4007" w:rsidRDefault="0064442E" w:rsidP="003531BA">
      <w:pPr>
        <w:pStyle w:val="ListParagraph"/>
        <w:widowControl/>
        <w:tabs>
          <w:tab w:val="left" w:pos="720"/>
        </w:tabs>
        <w:autoSpaceDE/>
        <w:autoSpaceDN/>
        <w:adjustRightInd/>
        <w:spacing w:line="360" w:lineRule="auto"/>
        <w:ind w:left="0"/>
        <w:jc w:val="both"/>
        <w:rPr>
          <w:rFonts w:cs="Arial"/>
          <w:color w:val="1B1919"/>
        </w:rPr>
      </w:pPr>
    </w:p>
    <w:p w:rsidR="00656F21" w:rsidRPr="00AF4007" w:rsidRDefault="00656F21" w:rsidP="003531BA">
      <w:pPr>
        <w:pStyle w:val="ListParagraph"/>
        <w:widowControl/>
        <w:numPr>
          <w:ilvl w:val="1"/>
          <w:numId w:val="3"/>
        </w:numPr>
        <w:tabs>
          <w:tab w:val="clear" w:pos="1134"/>
          <w:tab w:val="num" w:pos="0"/>
          <w:tab w:val="left" w:pos="720"/>
        </w:tabs>
        <w:autoSpaceDE/>
        <w:autoSpaceDN/>
        <w:adjustRightInd/>
        <w:spacing w:line="360" w:lineRule="auto"/>
        <w:ind w:left="0" w:firstLine="0"/>
        <w:jc w:val="both"/>
        <w:rPr>
          <w:rFonts w:cs="Arial"/>
        </w:rPr>
      </w:pPr>
      <w:r w:rsidRPr="00AF4007">
        <w:rPr>
          <w:rFonts w:cs="Arial"/>
        </w:rPr>
        <w:t xml:space="preserve">the fundamental principle of </w:t>
      </w:r>
      <w:r w:rsidRPr="00AF4007">
        <w:rPr>
          <w:rFonts w:cs="Arial"/>
          <w:i/>
        </w:rPr>
        <w:t>audi alteram partem</w:t>
      </w:r>
      <w:r w:rsidRPr="00AF4007">
        <w:rPr>
          <w:rFonts w:cs="Arial"/>
        </w:rPr>
        <w:t xml:space="preserve"> dictates that a party's right to a hearing cannot be lost merely because a judge hearing an application </w:t>
      </w:r>
      <w:r w:rsidRPr="00AF4007">
        <w:rPr>
          <w:rFonts w:cs="Arial"/>
          <w:color w:val="1B1919"/>
        </w:rPr>
        <w:t>omitted to provide for a return day or to expressly draw to his attention the respondent’s right to resist relief obtained against him without his knowledge;</w:t>
      </w:r>
      <w:r w:rsidRPr="00AF4007">
        <w:rPr>
          <w:rStyle w:val="FootnoteReference"/>
          <w:rFonts w:cs="Arial"/>
          <w:color w:val="1B1919"/>
        </w:rPr>
        <w:footnoteReference w:id="76"/>
      </w:r>
    </w:p>
    <w:p w:rsidR="00656F21" w:rsidRPr="00AF4007" w:rsidRDefault="00656F21" w:rsidP="003531BA">
      <w:pPr>
        <w:pStyle w:val="ListParagraph"/>
        <w:tabs>
          <w:tab w:val="left" w:pos="720"/>
        </w:tabs>
        <w:spacing w:line="360" w:lineRule="auto"/>
        <w:ind w:left="0"/>
        <w:jc w:val="both"/>
        <w:rPr>
          <w:rFonts w:cs="Arial"/>
        </w:rPr>
      </w:pPr>
    </w:p>
    <w:p w:rsidR="00656F21" w:rsidRPr="00AF4007" w:rsidRDefault="00656F21" w:rsidP="003531BA">
      <w:pPr>
        <w:pStyle w:val="ListParagraph"/>
        <w:widowControl/>
        <w:numPr>
          <w:ilvl w:val="1"/>
          <w:numId w:val="3"/>
        </w:numPr>
        <w:tabs>
          <w:tab w:val="clear" w:pos="1134"/>
          <w:tab w:val="num" w:pos="0"/>
          <w:tab w:val="left" w:pos="720"/>
        </w:tabs>
        <w:autoSpaceDE/>
        <w:autoSpaceDN/>
        <w:adjustRightInd/>
        <w:spacing w:line="360" w:lineRule="auto"/>
        <w:ind w:left="0" w:firstLine="0"/>
        <w:jc w:val="both"/>
        <w:rPr>
          <w:rFonts w:cs="Arial"/>
        </w:rPr>
      </w:pPr>
      <w:r w:rsidRPr="00AF4007">
        <w:rPr>
          <w:rFonts w:cs="Arial"/>
          <w:color w:val="1B1919"/>
        </w:rPr>
        <w:t>the form that the opposition takes (whether as answer to the application launched or as a fresh application), matters not since law is concerned with substance.</w:t>
      </w:r>
      <w:r w:rsidRPr="00AF4007">
        <w:rPr>
          <w:rStyle w:val="FootnoteReference"/>
          <w:rFonts w:cs="Arial"/>
          <w:color w:val="1B1919"/>
        </w:rPr>
        <w:footnoteReference w:id="77"/>
      </w:r>
    </w:p>
    <w:p w:rsidR="00656F21" w:rsidRPr="00AF4007" w:rsidRDefault="00656F21" w:rsidP="003531BA">
      <w:pPr>
        <w:pStyle w:val="ListParagraph"/>
        <w:spacing w:line="360" w:lineRule="auto"/>
        <w:rPr>
          <w:rFonts w:cs="Arial"/>
        </w:rPr>
      </w:pPr>
    </w:p>
    <w:p w:rsidR="00656F21" w:rsidRPr="0064442E" w:rsidRDefault="0064442E" w:rsidP="003531BA">
      <w:pPr>
        <w:pStyle w:val="ListParagraph"/>
        <w:widowControl/>
        <w:tabs>
          <w:tab w:val="left" w:pos="720"/>
        </w:tabs>
        <w:autoSpaceDE/>
        <w:autoSpaceDN/>
        <w:adjustRightInd/>
        <w:spacing w:line="360" w:lineRule="auto"/>
        <w:ind w:left="0"/>
        <w:jc w:val="both"/>
        <w:rPr>
          <w:rFonts w:cs="Arial"/>
        </w:rPr>
      </w:pPr>
      <w:r>
        <w:rPr>
          <w:rFonts w:cs="Arial"/>
        </w:rPr>
        <w:t>[</w:t>
      </w:r>
      <w:r w:rsidR="00CE05BF">
        <w:rPr>
          <w:rFonts w:cs="Arial"/>
        </w:rPr>
        <w:t>19</w:t>
      </w:r>
      <w:r w:rsidR="00F6119D">
        <w:rPr>
          <w:rFonts w:cs="Arial"/>
        </w:rPr>
        <w:t>]</w:t>
      </w:r>
      <w:r w:rsidR="00F6119D">
        <w:rPr>
          <w:rFonts w:cs="Arial"/>
        </w:rPr>
        <w:tab/>
        <w:t>Counsel for PUMA then</w:t>
      </w:r>
      <w:r>
        <w:rPr>
          <w:rFonts w:cs="Arial"/>
        </w:rPr>
        <w:t xml:space="preserve"> argued that t</w:t>
      </w:r>
      <w:r w:rsidR="00656F21" w:rsidRPr="00AF4007">
        <w:rPr>
          <w:rFonts w:cs="Arial"/>
        </w:rPr>
        <w:t xml:space="preserve">he overriding principle applicable here is that, where an application for a warrant is brought </w:t>
      </w:r>
      <w:r w:rsidR="00656F21" w:rsidRPr="00AF4007">
        <w:rPr>
          <w:rFonts w:cs="Arial"/>
          <w:i/>
        </w:rPr>
        <w:t>ex parte</w:t>
      </w:r>
      <w:r w:rsidR="00656F21" w:rsidRPr="00AF4007">
        <w:rPr>
          <w:rFonts w:cs="Arial"/>
        </w:rPr>
        <w:t xml:space="preserve"> and in chambers, it is '</w:t>
      </w:r>
      <w:r w:rsidR="00656F21" w:rsidRPr="00AF4007">
        <w:rPr>
          <w:rFonts w:cs="Arial"/>
          <w:i/>
        </w:rPr>
        <w:t>by its nature provisional and subject to reconsideration a</w:t>
      </w:r>
      <w:r w:rsidR="00656F21" w:rsidRPr="00F6119D">
        <w:rPr>
          <w:rFonts w:cs="Arial"/>
          <w:i/>
          <w:color w:val="000000" w:themeColor="text1"/>
        </w:rPr>
        <w:t>fter all the parties who have an interest have been heard'</w:t>
      </w:r>
      <w:r w:rsidR="00656F21" w:rsidRPr="00AF4007">
        <w:rPr>
          <w:rFonts w:cs="Arial"/>
        </w:rPr>
        <w:t>.</w:t>
      </w:r>
      <w:r w:rsidR="00656F21" w:rsidRPr="00AF4007">
        <w:rPr>
          <w:rStyle w:val="FootnoteReference"/>
          <w:rFonts w:cs="Arial"/>
        </w:rPr>
        <w:footnoteReference w:id="78"/>
      </w:r>
      <w:r>
        <w:rPr>
          <w:rFonts w:cs="Arial"/>
        </w:rPr>
        <w:t xml:space="preserve"> </w:t>
      </w:r>
      <w:r w:rsidR="00656F21" w:rsidRPr="00AF4007">
        <w:rPr>
          <w:rFonts w:cs="Arial"/>
        </w:rPr>
        <w:t>It matters not that no return date was provided for</w:t>
      </w:r>
      <w:r w:rsidR="00656F21" w:rsidRPr="00AF4007">
        <w:rPr>
          <w:rFonts w:cs="Arial"/>
          <w:color w:val="000000" w:themeColor="text1"/>
        </w:rPr>
        <w:t xml:space="preserve">: </w:t>
      </w:r>
      <w:r w:rsidR="00656F21" w:rsidRPr="00AF4007">
        <w:rPr>
          <w:rFonts w:cs="Arial"/>
          <w:iCs/>
          <w:color w:val="000000" w:themeColor="text1"/>
        </w:rPr>
        <w:t xml:space="preserve">in </w:t>
      </w:r>
      <w:r w:rsidR="00656F21" w:rsidRPr="00AF4007">
        <w:rPr>
          <w:rFonts w:cs="Arial"/>
          <w:i/>
          <w:iCs/>
          <w:color w:val="000000" w:themeColor="text1"/>
        </w:rPr>
        <w:t>Samco Import &amp; Export v Magistrate of Fenian</w:t>
      </w:r>
      <w:r w:rsidR="00656F21" w:rsidRPr="00AF4007">
        <w:rPr>
          <w:rStyle w:val="FootnoteReference"/>
          <w:rFonts w:cs="Arial"/>
          <w:i/>
          <w:iCs/>
          <w:color w:val="000000" w:themeColor="text1"/>
        </w:rPr>
        <w:footnoteReference w:id="79"/>
      </w:r>
      <w:r w:rsidR="00656F21" w:rsidRPr="00AF4007">
        <w:rPr>
          <w:rFonts w:cs="Arial"/>
          <w:i/>
          <w:iCs/>
          <w:color w:val="000000" w:themeColor="text1"/>
        </w:rPr>
        <w:t>  ('</w:t>
      </w:r>
      <w:r w:rsidR="00656F21" w:rsidRPr="00F6119D">
        <w:rPr>
          <w:rFonts w:cs="Arial"/>
          <w:i/>
          <w:iCs/>
          <w:color w:val="000000" w:themeColor="text1"/>
        </w:rPr>
        <w:t>Samco</w:t>
      </w:r>
      <w:r w:rsidR="00656F21" w:rsidRPr="00AF4007">
        <w:rPr>
          <w:rFonts w:cs="Arial"/>
          <w:i/>
          <w:iCs/>
          <w:color w:val="000000" w:themeColor="text1"/>
        </w:rPr>
        <w:t>'</w:t>
      </w:r>
      <w:r w:rsidR="00656F21" w:rsidRPr="00AF4007">
        <w:rPr>
          <w:rFonts w:cs="Arial"/>
          <w:iCs/>
          <w:color w:val="000000" w:themeColor="text1"/>
        </w:rPr>
        <w:t>)</w:t>
      </w:r>
      <w:r w:rsidR="00656F21" w:rsidRPr="00AF4007">
        <w:rPr>
          <w:rFonts w:cs="Arial"/>
          <w:i/>
          <w:iCs/>
          <w:color w:val="000000" w:themeColor="text1"/>
        </w:rPr>
        <w:t xml:space="preserve"> </w:t>
      </w:r>
      <w:r w:rsidR="00656F21" w:rsidRPr="00AF4007">
        <w:rPr>
          <w:rFonts w:cs="Arial"/>
          <w:iCs/>
          <w:color w:val="000000" w:themeColor="text1"/>
        </w:rPr>
        <w:t xml:space="preserve">the High Court of Namibia held that the test whether an order is final or interlocutory was the nature of the application to the court, and </w:t>
      </w:r>
      <w:r w:rsidR="00656F21" w:rsidRPr="00F6119D">
        <w:rPr>
          <w:rFonts w:cs="Arial"/>
          <w:iCs/>
          <w:color w:val="000000" w:themeColor="text1"/>
        </w:rPr>
        <w:t>not the order which the court made</w:t>
      </w:r>
      <w:r w:rsidR="00656F21" w:rsidRPr="00AF4007">
        <w:rPr>
          <w:rFonts w:cs="Arial"/>
          <w:iCs/>
          <w:color w:val="000000" w:themeColor="text1"/>
        </w:rPr>
        <w:t xml:space="preserve"> in respect of such application.</w:t>
      </w:r>
      <w:r w:rsidR="00656F21" w:rsidRPr="00AF4007">
        <w:rPr>
          <w:rStyle w:val="FootnoteReference"/>
          <w:rFonts w:cs="Arial"/>
          <w:iCs/>
          <w:color w:val="000000" w:themeColor="text1"/>
        </w:rPr>
        <w:footnoteReference w:id="80"/>
      </w:r>
      <w:r w:rsidR="00656F21" w:rsidRPr="00AF4007">
        <w:rPr>
          <w:rFonts w:cs="Arial"/>
          <w:iCs/>
          <w:color w:val="000000" w:themeColor="text1"/>
        </w:rPr>
        <w:t xml:space="preserve">  An order is not final if it is alterable by the court whose order it is.</w:t>
      </w:r>
      <w:r w:rsidR="00656F21" w:rsidRPr="00AF4007">
        <w:rPr>
          <w:rStyle w:val="FootnoteReference"/>
          <w:rFonts w:cs="Arial"/>
          <w:iCs/>
          <w:color w:val="000000" w:themeColor="text1"/>
        </w:rPr>
        <w:footnoteReference w:id="81"/>
      </w:r>
      <w:r w:rsidR="00F6119D">
        <w:rPr>
          <w:rFonts w:cs="Arial"/>
          <w:iCs/>
          <w:color w:val="000000" w:themeColor="text1"/>
        </w:rPr>
        <w:t xml:space="preserve">  In the present case it was</w:t>
      </w:r>
      <w:r w:rsidR="00656F21" w:rsidRPr="00AF4007">
        <w:rPr>
          <w:rFonts w:cs="Arial"/>
          <w:iCs/>
          <w:color w:val="000000" w:themeColor="text1"/>
        </w:rPr>
        <w:t xml:space="preserve"> submit</w:t>
      </w:r>
      <w:r w:rsidR="00F6119D">
        <w:rPr>
          <w:rFonts w:cs="Arial"/>
          <w:iCs/>
          <w:color w:val="000000" w:themeColor="text1"/>
        </w:rPr>
        <w:t>ted</w:t>
      </w:r>
      <w:r w:rsidR="00656F21" w:rsidRPr="00AF4007">
        <w:rPr>
          <w:rFonts w:cs="Arial"/>
          <w:iCs/>
          <w:color w:val="000000" w:themeColor="text1"/>
        </w:rPr>
        <w:t xml:space="preserve"> that the order is alterable.  </w:t>
      </w:r>
    </w:p>
    <w:p w:rsidR="0064442E" w:rsidRDefault="0064442E" w:rsidP="003531BA">
      <w:pPr>
        <w:pStyle w:val="ListParagraph"/>
        <w:widowControl/>
        <w:tabs>
          <w:tab w:val="left" w:pos="720"/>
        </w:tabs>
        <w:autoSpaceDE/>
        <w:autoSpaceDN/>
        <w:adjustRightInd/>
        <w:spacing w:line="360" w:lineRule="auto"/>
        <w:ind w:left="0"/>
        <w:jc w:val="both"/>
        <w:rPr>
          <w:rFonts w:cs="Arial"/>
          <w:color w:val="000000" w:themeColor="text1"/>
        </w:rPr>
      </w:pPr>
    </w:p>
    <w:p w:rsidR="00656F21" w:rsidRPr="00AF4007" w:rsidRDefault="0064442E" w:rsidP="003531BA">
      <w:pPr>
        <w:pStyle w:val="ListParagraph"/>
        <w:widowControl/>
        <w:tabs>
          <w:tab w:val="left" w:pos="720"/>
        </w:tabs>
        <w:autoSpaceDE/>
        <w:autoSpaceDN/>
        <w:adjustRightInd/>
        <w:spacing w:line="360" w:lineRule="auto"/>
        <w:ind w:left="0"/>
        <w:jc w:val="both"/>
        <w:rPr>
          <w:rFonts w:cs="Arial"/>
          <w:color w:val="000000" w:themeColor="text1"/>
        </w:rPr>
      </w:pPr>
      <w:r>
        <w:rPr>
          <w:rFonts w:cs="Arial"/>
          <w:color w:val="000000" w:themeColor="text1"/>
        </w:rPr>
        <w:t>[</w:t>
      </w:r>
      <w:r w:rsidR="00CE05BF">
        <w:rPr>
          <w:rFonts w:cs="Arial"/>
          <w:color w:val="000000" w:themeColor="text1"/>
        </w:rPr>
        <w:t>20</w:t>
      </w:r>
      <w:r>
        <w:rPr>
          <w:rFonts w:cs="Arial"/>
          <w:color w:val="000000" w:themeColor="text1"/>
        </w:rPr>
        <w:t>]</w:t>
      </w:r>
      <w:r>
        <w:rPr>
          <w:rFonts w:cs="Arial"/>
          <w:color w:val="000000" w:themeColor="text1"/>
        </w:rPr>
        <w:tab/>
      </w:r>
      <w:r w:rsidR="00656F21" w:rsidRPr="00AF4007">
        <w:rPr>
          <w:rFonts w:cs="Arial"/>
          <w:iCs/>
          <w:color w:val="000000" w:themeColor="text1"/>
        </w:rPr>
        <w:t>It</w:t>
      </w:r>
      <w:r>
        <w:rPr>
          <w:rFonts w:cs="Arial"/>
          <w:iCs/>
          <w:color w:val="000000" w:themeColor="text1"/>
        </w:rPr>
        <w:t xml:space="preserve"> was</w:t>
      </w:r>
      <w:r w:rsidRPr="0064442E">
        <w:rPr>
          <w:rFonts w:cs="Arial"/>
          <w:iCs/>
          <w:color w:val="000000" w:themeColor="text1"/>
        </w:rPr>
        <w:t xml:space="preserve"> </w:t>
      </w:r>
      <w:r>
        <w:rPr>
          <w:rFonts w:cs="Arial"/>
          <w:iCs/>
          <w:color w:val="000000" w:themeColor="text1"/>
        </w:rPr>
        <w:t>submitted further that</w:t>
      </w:r>
      <w:r w:rsidR="00656F21" w:rsidRPr="00AF4007">
        <w:rPr>
          <w:rFonts w:cs="Arial"/>
          <w:iCs/>
          <w:color w:val="000000" w:themeColor="text1"/>
        </w:rPr>
        <w:t xml:space="preserve"> </w:t>
      </w:r>
      <w:r>
        <w:rPr>
          <w:rFonts w:cs="Arial"/>
          <w:iCs/>
          <w:color w:val="000000" w:themeColor="text1"/>
        </w:rPr>
        <w:t xml:space="preserve">it </w:t>
      </w:r>
      <w:r w:rsidR="00656F21" w:rsidRPr="00AF4007">
        <w:rPr>
          <w:rFonts w:cs="Arial"/>
          <w:iCs/>
          <w:color w:val="000000" w:themeColor="text1"/>
        </w:rPr>
        <w:t>makes no difference that the order has been given effect to, for the consequences of the order are capable of being undone through a return of the documents seized in the course of the s</w:t>
      </w:r>
      <w:r w:rsidR="00E166B0">
        <w:rPr>
          <w:rFonts w:cs="Arial"/>
          <w:iCs/>
          <w:color w:val="000000" w:themeColor="text1"/>
        </w:rPr>
        <w:t>earch and seizure operation. Counsel here em</w:t>
      </w:r>
      <w:r w:rsidR="00F6119D">
        <w:rPr>
          <w:rFonts w:cs="Arial"/>
          <w:iCs/>
          <w:color w:val="000000" w:themeColor="text1"/>
        </w:rPr>
        <w:t>p</w:t>
      </w:r>
      <w:r w:rsidR="00E166B0">
        <w:rPr>
          <w:rFonts w:cs="Arial"/>
          <w:iCs/>
          <w:color w:val="000000" w:themeColor="text1"/>
        </w:rPr>
        <w:t>hasised</w:t>
      </w:r>
      <w:r w:rsidR="00656F21" w:rsidRPr="00AF4007">
        <w:rPr>
          <w:rFonts w:cs="Arial"/>
          <w:iCs/>
          <w:color w:val="000000" w:themeColor="text1"/>
        </w:rPr>
        <w:t xml:space="preserve"> that the bags remain sealed and th</w:t>
      </w:r>
      <w:r w:rsidR="00E166B0">
        <w:rPr>
          <w:rFonts w:cs="Arial"/>
          <w:iCs/>
          <w:color w:val="000000" w:themeColor="text1"/>
        </w:rPr>
        <w:t>at the tri-partite agreement had</w:t>
      </w:r>
      <w:r w:rsidR="00656F21" w:rsidRPr="00AF4007">
        <w:rPr>
          <w:rFonts w:cs="Arial"/>
          <w:iCs/>
          <w:color w:val="000000" w:themeColor="text1"/>
        </w:rPr>
        <w:t xml:space="preserve"> not</w:t>
      </w:r>
      <w:r w:rsidR="00E166B0">
        <w:rPr>
          <w:rFonts w:cs="Arial"/>
          <w:iCs/>
          <w:color w:val="000000" w:themeColor="text1"/>
        </w:rPr>
        <w:t xml:space="preserve"> been</w:t>
      </w:r>
      <w:r w:rsidR="00656F21" w:rsidRPr="00AF4007">
        <w:rPr>
          <w:rFonts w:cs="Arial"/>
          <w:iCs/>
          <w:color w:val="000000" w:themeColor="text1"/>
        </w:rPr>
        <w:t xml:space="preserve"> signed.  </w:t>
      </w:r>
      <w:r w:rsidR="00E166B0">
        <w:rPr>
          <w:rFonts w:cs="Arial"/>
          <w:iCs/>
          <w:color w:val="000000" w:themeColor="text1"/>
        </w:rPr>
        <w:t xml:space="preserve">The Commission could thus </w:t>
      </w:r>
      <w:r w:rsidR="00656F21" w:rsidRPr="00AF4007">
        <w:rPr>
          <w:rFonts w:cs="Arial"/>
          <w:iCs/>
          <w:color w:val="000000" w:themeColor="text1"/>
        </w:rPr>
        <w:t xml:space="preserve">not demand of Puma to make allegations in support for the claim that the order that had been granted was </w:t>
      </w:r>
      <w:r w:rsidR="00656F21" w:rsidRPr="00AF4007">
        <w:rPr>
          <w:rFonts w:cs="Arial"/>
          <w:iCs/>
          <w:color w:val="000000" w:themeColor="text1"/>
        </w:rPr>
        <w:lastRenderedPageBreak/>
        <w:t>provisional, as it seeks to do.</w:t>
      </w:r>
      <w:r w:rsidR="00656F21" w:rsidRPr="00AF4007">
        <w:rPr>
          <w:rStyle w:val="FootnoteReference"/>
          <w:rFonts w:cs="Arial"/>
          <w:iCs/>
          <w:color w:val="000000" w:themeColor="text1"/>
        </w:rPr>
        <w:footnoteReference w:id="82"/>
      </w:r>
      <w:r w:rsidR="00656F21" w:rsidRPr="00AF4007">
        <w:rPr>
          <w:rFonts w:cs="Arial"/>
          <w:iCs/>
          <w:color w:val="000000" w:themeColor="text1"/>
        </w:rPr>
        <w:t xml:space="preserve">  The order is provisional as a matter of law.  It ought to have included a return date, but the fact that it did not, did not deprive Puma of the opportunity to challenge it.  Puma could not (and does not) rely on rule 72(7), because no return date was set.  This does not alter the nature of the application before court.  </w:t>
      </w:r>
    </w:p>
    <w:p w:rsidR="00656F21" w:rsidRPr="00AF4007" w:rsidRDefault="00656F21" w:rsidP="003531BA">
      <w:pPr>
        <w:pStyle w:val="ListParagraph"/>
        <w:tabs>
          <w:tab w:val="left" w:pos="720"/>
        </w:tabs>
        <w:spacing w:line="360" w:lineRule="auto"/>
        <w:ind w:left="0"/>
        <w:jc w:val="both"/>
        <w:rPr>
          <w:rFonts w:cs="Arial"/>
          <w:color w:val="000000" w:themeColor="text1"/>
        </w:rPr>
      </w:pPr>
    </w:p>
    <w:p w:rsidR="00656F21" w:rsidRPr="00485570" w:rsidRDefault="005C0884" w:rsidP="003531BA">
      <w:pPr>
        <w:keepNext/>
        <w:tabs>
          <w:tab w:val="num" w:pos="0"/>
          <w:tab w:val="left" w:pos="720"/>
        </w:tabs>
        <w:spacing w:after="0" w:line="360" w:lineRule="auto"/>
        <w:jc w:val="both"/>
        <w:rPr>
          <w:rFonts w:ascii="Arial" w:hAnsi="Arial" w:cs="Arial"/>
          <w:sz w:val="24"/>
          <w:szCs w:val="24"/>
        </w:rPr>
      </w:pPr>
      <w:r>
        <w:rPr>
          <w:rFonts w:ascii="Arial" w:hAnsi="Arial" w:cs="Arial"/>
          <w:sz w:val="24"/>
          <w:szCs w:val="24"/>
        </w:rPr>
        <w:t>[21</w:t>
      </w:r>
      <w:r w:rsidR="00E166B0" w:rsidRPr="00E166B0">
        <w:rPr>
          <w:rFonts w:ascii="Arial" w:hAnsi="Arial" w:cs="Arial"/>
          <w:sz w:val="24"/>
          <w:szCs w:val="24"/>
        </w:rPr>
        <w:t>]</w:t>
      </w:r>
      <w:r w:rsidR="00E166B0" w:rsidRPr="00E166B0">
        <w:rPr>
          <w:rFonts w:ascii="Arial" w:hAnsi="Arial" w:cs="Arial"/>
          <w:sz w:val="24"/>
          <w:szCs w:val="24"/>
        </w:rPr>
        <w:tab/>
      </w:r>
      <w:r w:rsidR="00E166B0">
        <w:rPr>
          <w:rFonts w:ascii="Arial" w:hAnsi="Arial" w:cs="Arial"/>
          <w:sz w:val="24"/>
          <w:szCs w:val="24"/>
        </w:rPr>
        <w:t>It was</w:t>
      </w:r>
      <w:r w:rsidR="00F6119D">
        <w:rPr>
          <w:rFonts w:ascii="Arial" w:hAnsi="Arial" w:cs="Arial"/>
          <w:sz w:val="24"/>
          <w:szCs w:val="24"/>
        </w:rPr>
        <w:t xml:space="preserve"> also</w:t>
      </w:r>
      <w:r w:rsidR="00E166B0">
        <w:rPr>
          <w:rFonts w:ascii="Arial" w:hAnsi="Arial" w:cs="Arial"/>
          <w:sz w:val="24"/>
          <w:szCs w:val="24"/>
        </w:rPr>
        <w:t xml:space="preserve"> denied that the relief sought was</w:t>
      </w:r>
      <w:r w:rsidR="00656F21" w:rsidRPr="00E166B0">
        <w:rPr>
          <w:rFonts w:ascii="Arial" w:hAnsi="Arial" w:cs="Arial"/>
          <w:sz w:val="24"/>
          <w:szCs w:val="24"/>
        </w:rPr>
        <w:t xml:space="preserve"> mutually exclusive</w:t>
      </w:r>
      <w:r w:rsidR="00E166B0">
        <w:rPr>
          <w:rFonts w:ascii="Arial" w:hAnsi="Arial" w:cs="Arial"/>
          <w:sz w:val="24"/>
          <w:szCs w:val="24"/>
        </w:rPr>
        <w:t xml:space="preserve"> as i</w:t>
      </w:r>
      <w:r w:rsidR="00656F21" w:rsidRPr="00E166B0">
        <w:rPr>
          <w:rFonts w:ascii="Arial" w:hAnsi="Arial" w:cs="Arial"/>
          <w:sz w:val="24"/>
          <w:szCs w:val="24"/>
        </w:rPr>
        <w:t xml:space="preserve">n the anticipation notice, Puma </w:t>
      </w:r>
      <w:r w:rsidR="00E166B0">
        <w:rPr>
          <w:rFonts w:ascii="Arial" w:hAnsi="Arial" w:cs="Arial"/>
          <w:sz w:val="24"/>
          <w:szCs w:val="24"/>
        </w:rPr>
        <w:t>was seeking</w:t>
      </w:r>
      <w:r w:rsidR="00656F21" w:rsidRPr="00E166B0">
        <w:rPr>
          <w:rFonts w:ascii="Arial" w:hAnsi="Arial" w:cs="Arial"/>
          <w:sz w:val="24"/>
          <w:szCs w:val="24"/>
        </w:rPr>
        <w:t xml:space="preserve"> </w:t>
      </w:r>
      <w:r w:rsidR="00E166B0">
        <w:rPr>
          <w:rFonts w:ascii="Arial" w:hAnsi="Arial" w:cs="Arial"/>
          <w:sz w:val="24"/>
          <w:szCs w:val="24"/>
        </w:rPr>
        <w:t xml:space="preserve">the </w:t>
      </w:r>
      <w:r w:rsidR="00656F21" w:rsidRPr="00E166B0">
        <w:rPr>
          <w:rFonts w:ascii="Arial" w:hAnsi="Arial" w:cs="Arial"/>
          <w:sz w:val="24"/>
          <w:szCs w:val="24"/>
        </w:rPr>
        <w:t xml:space="preserve">dismissal of the </w:t>
      </w:r>
      <w:r w:rsidR="00656F21" w:rsidRPr="00E166B0">
        <w:rPr>
          <w:rFonts w:ascii="Arial" w:hAnsi="Arial" w:cs="Arial"/>
          <w:i/>
          <w:sz w:val="24"/>
          <w:szCs w:val="24"/>
        </w:rPr>
        <w:t xml:space="preserve">ex parte </w:t>
      </w:r>
      <w:r w:rsidR="00656F21" w:rsidRPr="00E166B0">
        <w:rPr>
          <w:rFonts w:ascii="Arial" w:hAnsi="Arial" w:cs="Arial"/>
          <w:sz w:val="24"/>
          <w:szCs w:val="24"/>
        </w:rPr>
        <w:t xml:space="preserve">application and </w:t>
      </w:r>
      <w:r w:rsidR="00E166B0">
        <w:rPr>
          <w:rFonts w:ascii="Arial" w:hAnsi="Arial" w:cs="Arial"/>
          <w:sz w:val="24"/>
          <w:szCs w:val="24"/>
        </w:rPr>
        <w:t xml:space="preserve">the </w:t>
      </w:r>
      <w:r w:rsidR="00656F21" w:rsidRPr="00E166B0">
        <w:rPr>
          <w:rFonts w:ascii="Arial" w:hAnsi="Arial" w:cs="Arial"/>
          <w:sz w:val="24"/>
          <w:szCs w:val="24"/>
        </w:rPr>
        <w:t>return of the documents seized by the Commission.</w:t>
      </w:r>
      <w:r w:rsidR="00656F21" w:rsidRPr="00E166B0">
        <w:rPr>
          <w:rStyle w:val="FootnoteReference"/>
          <w:rFonts w:ascii="Arial" w:hAnsi="Arial" w:cs="Arial"/>
          <w:sz w:val="24"/>
          <w:szCs w:val="24"/>
        </w:rPr>
        <w:footnoteReference w:id="83"/>
      </w:r>
      <w:r w:rsidR="00656F21" w:rsidRPr="00E166B0">
        <w:rPr>
          <w:rFonts w:ascii="Arial" w:hAnsi="Arial" w:cs="Arial"/>
          <w:sz w:val="24"/>
          <w:szCs w:val="24"/>
        </w:rPr>
        <w:t xml:space="preserve">  In the counter-application, Puma</w:t>
      </w:r>
      <w:r w:rsidR="00E166B0">
        <w:rPr>
          <w:rFonts w:ascii="Arial" w:hAnsi="Arial" w:cs="Arial"/>
          <w:sz w:val="24"/>
          <w:szCs w:val="24"/>
        </w:rPr>
        <w:t xml:space="preserve"> was</w:t>
      </w:r>
      <w:r w:rsidR="00656F21" w:rsidRPr="00E166B0">
        <w:rPr>
          <w:rFonts w:ascii="Arial" w:hAnsi="Arial" w:cs="Arial"/>
          <w:sz w:val="24"/>
          <w:szCs w:val="24"/>
        </w:rPr>
        <w:t xml:space="preserve"> </w:t>
      </w:r>
      <w:r w:rsidR="00E166B0">
        <w:rPr>
          <w:rFonts w:ascii="Arial" w:hAnsi="Arial" w:cs="Arial"/>
          <w:sz w:val="24"/>
          <w:szCs w:val="24"/>
        </w:rPr>
        <w:t>seeking</w:t>
      </w:r>
      <w:r w:rsidR="00656F21" w:rsidRPr="00E166B0">
        <w:rPr>
          <w:rFonts w:ascii="Arial" w:hAnsi="Arial" w:cs="Arial"/>
          <w:sz w:val="24"/>
          <w:szCs w:val="24"/>
        </w:rPr>
        <w:t xml:space="preserve"> an order that the warrant and its execution be declared unlawful and </w:t>
      </w:r>
      <w:r w:rsidR="00E166B0">
        <w:rPr>
          <w:rFonts w:ascii="Arial" w:hAnsi="Arial" w:cs="Arial"/>
          <w:sz w:val="24"/>
          <w:szCs w:val="24"/>
        </w:rPr>
        <w:t xml:space="preserve">that it be </w:t>
      </w:r>
      <w:r w:rsidR="00656F21" w:rsidRPr="00E166B0">
        <w:rPr>
          <w:rFonts w:ascii="Arial" w:hAnsi="Arial" w:cs="Arial"/>
          <w:sz w:val="24"/>
          <w:szCs w:val="24"/>
        </w:rPr>
        <w:t>set aside, and for the seized documents to be returned.</w:t>
      </w:r>
      <w:r w:rsidR="00656F21" w:rsidRPr="00E166B0">
        <w:rPr>
          <w:rStyle w:val="FootnoteReference"/>
          <w:rFonts w:ascii="Arial" w:hAnsi="Arial" w:cs="Arial"/>
          <w:sz w:val="24"/>
          <w:szCs w:val="24"/>
        </w:rPr>
        <w:footnoteReference w:id="84"/>
      </w:r>
      <w:r w:rsidR="00656F21" w:rsidRPr="00E166B0">
        <w:rPr>
          <w:rFonts w:ascii="Arial" w:hAnsi="Arial" w:cs="Arial"/>
          <w:sz w:val="24"/>
          <w:szCs w:val="24"/>
        </w:rPr>
        <w:t xml:space="preserve">  The two sets of relief are not mutually exclusive - the relief sought is effectively cast in two different forms, to ensure that legal technicalities do not stand in the way of Puma obtaining relief</w:t>
      </w:r>
      <w:r w:rsidR="00E166B0">
        <w:rPr>
          <w:rFonts w:ascii="Arial" w:hAnsi="Arial" w:cs="Arial"/>
          <w:sz w:val="24"/>
          <w:szCs w:val="24"/>
        </w:rPr>
        <w:t>, as</w:t>
      </w:r>
      <w:r w:rsidR="00485570">
        <w:rPr>
          <w:rFonts w:ascii="Arial" w:hAnsi="Arial" w:cs="Arial"/>
          <w:sz w:val="24"/>
          <w:szCs w:val="24"/>
        </w:rPr>
        <w:t xml:space="preserve"> </w:t>
      </w:r>
      <w:r w:rsidR="00656F21" w:rsidRPr="00485570">
        <w:rPr>
          <w:rFonts w:ascii="Arial" w:hAnsi="Arial" w:cs="Arial"/>
          <w:sz w:val="24"/>
          <w:szCs w:val="24"/>
        </w:rPr>
        <w:t xml:space="preserve">if the </w:t>
      </w:r>
      <w:r w:rsidR="00656F21" w:rsidRPr="00485570">
        <w:rPr>
          <w:rFonts w:ascii="Arial" w:hAnsi="Arial" w:cs="Arial"/>
          <w:i/>
          <w:sz w:val="24"/>
          <w:szCs w:val="24"/>
        </w:rPr>
        <w:t xml:space="preserve">ex parte </w:t>
      </w:r>
      <w:r w:rsidR="00E166B0" w:rsidRPr="00485570">
        <w:rPr>
          <w:rFonts w:ascii="Arial" w:hAnsi="Arial" w:cs="Arial"/>
          <w:sz w:val="24"/>
          <w:szCs w:val="24"/>
        </w:rPr>
        <w:t>application were to be</w:t>
      </w:r>
      <w:r w:rsidR="00656F21" w:rsidRPr="00485570">
        <w:rPr>
          <w:rFonts w:ascii="Arial" w:hAnsi="Arial" w:cs="Arial"/>
          <w:sz w:val="24"/>
          <w:szCs w:val="24"/>
        </w:rPr>
        <w:t xml:space="preserve"> dismissed, it </w:t>
      </w:r>
      <w:r w:rsidR="00E166B0" w:rsidRPr="00485570">
        <w:rPr>
          <w:rFonts w:ascii="Arial" w:hAnsi="Arial" w:cs="Arial"/>
          <w:sz w:val="24"/>
          <w:szCs w:val="24"/>
        </w:rPr>
        <w:t>would follow</w:t>
      </w:r>
      <w:r w:rsidR="00656F21" w:rsidRPr="00485570">
        <w:rPr>
          <w:rFonts w:ascii="Arial" w:hAnsi="Arial" w:cs="Arial"/>
          <w:sz w:val="24"/>
          <w:szCs w:val="24"/>
        </w:rPr>
        <w:t xml:space="preserve"> axiomatically that the documents seized in consequenc</w:t>
      </w:r>
      <w:r w:rsidR="00485570">
        <w:rPr>
          <w:rFonts w:ascii="Arial" w:hAnsi="Arial" w:cs="Arial"/>
          <w:sz w:val="24"/>
          <w:szCs w:val="24"/>
        </w:rPr>
        <w:t>e of the order must be returned. Puma wa</w:t>
      </w:r>
      <w:r w:rsidR="00656F21" w:rsidRPr="00485570">
        <w:rPr>
          <w:rFonts w:ascii="Arial" w:hAnsi="Arial" w:cs="Arial"/>
          <w:sz w:val="24"/>
          <w:szCs w:val="24"/>
        </w:rPr>
        <w:t>s</w:t>
      </w:r>
      <w:r w:rsidR="00485570">
        <w:rPr>
          <w:rFonts w:ascii="Arial" w:hAnsi="Arial" w:cs="Arial"/>
          <w:sz w:val="24"/>
          <w:szCs w:val="24"/>
        </w:rPr>
        <w:t xml:space="preserve"> in any event</w:t>
      </w:r>
      <w:r w:rsidR="00656F21" w:rsidRPr="00485570">
        <w:rPr>
          <w:rFonts w:ascii="Arial" w:hAnsi="Arial" w:cs="Arial"/>
          <w:sz w:val="24"/>
          <w:szCs w:val="24"/>
        </w:rPr>
        <w:t xml:space="preserve"> exercising its right to challenge the grant of the order in consequence of the </w:t>
      </w:r>
      <w:r w:rsidR="00656F21" w:rsidRPr="00485570">
        <w:rPr>
          <w:rFonts w:ascii="Arial" w:hAnsi="Arial" w:cs="Arial"/>
          <w:i/>
          <w:sz w:val="24"/>
          <w:szCs w:val="24"/>
        </w:rPr>
        <w:t>ex parte</w:t>
      </w:r>
      <w:r w:rsidR="00485570">
        <w:rPr>
          <w:rFonts w:ascii="Arial" w:hAnsi="Arial" w:cs="Arial"/>
          <w:sz w:val="24"/>
          <w:szCs w:val="24"/>
        </w:rPr>
        <w:t xml:space="preserve"> application,</w:t>
      </w:r>
      <w:r w:rsidR="00485570" w:rsidRPr="00485570">
        <w:rPr>
          <w:rFonts w:ascii="Arial" w:hAnsi="Arial" w:cs="Arial"/>
          <w:sz w:val="24"/>
          <w:szCs w:val="24"/>
        </w:rPr>
        <w:t xml:space="preserve"> </w:t>
      </w:r>
      <w:r w:rsidR="00485570">
        <w:rPr>
          <w:rFonts w:ascii="Arial" w:hAnsi="Arial" w:cs="Arial"/>
          <w:sz w:val="24"/>
          <w:szCs w:val="24"/>
        </w:rPr>
        <w:t>in respect of which Puma wa</w:t>
      </w:r>
      <w:r w:rsidR="00656F21" w:rsidRPr="00485570">
        <w:rPr>
          <w:rFonts w:ascii="Arial" w:hAnsi="Arial" w:cs="Arial"/>
          <w:sz w:val="24"/>
          <w:szCs w:val="24"/>
        </w:rPr>
        <w:t xml:space="preserve">s fully entitled to proceed as it did in opposing the </w:t>
      </w:r>
      <w:r w:rsidR="00656F21" w:rsidRPr="00485570">
        <w:rPr>
          <w:rFonts w:ascii="Arial" w:hAnsi="Arial" w:cs="Arial"/>
          <w:i/>
          <w:sz w:val="24"/>
          <w:szCs w:val="24"/>
        </w:rPr>
        <w:t xml:space="preserve">ex parte </w:t>
      </w:r>
      <w:r w:rsidR="00656F21" w:rsidRPr="00485570">
        <w:rPr>
          <w:rFonts w:ascii="Arial" w:hAnsi="Arial" w:cs="Arial"/>
          <w:sz w:val="24"/>
          <w:szCs w:val="24"/>
        </w:rPr>
        <w:t>application by way of anticipation proceedings, but if the court</w:t>
      </w:r>
      <w:r w:rsidR="00485570">
        <w:rPr>
          <w:rFonts w:ascii="Arial" w:hAnsi="Arial" w:cs="Arial"/>
          <w:sz w:val="24"/>
          <w:szCs w:val="24"/>
        </w:rPr>
        <w:t xml:space="preserve"> would disagree</w:t>
      </w:r>
      <w:r w:rsidR="00656F21" w:rsidRPr="00485570">
        <w:rPr>
          <w:rFonts w:ascii="Arial" w:hAnsi="Arial" w:cs="Arial"/>
          <w:sz w:val="24"/>
          <w:szCs w:val="24"/>
        </w:rPr>
        <w:t>, then Puma</w:t>
      </w:r>
      <w:r w:rsidR="00485570">
        <w:rPr>
          <w:rFonts w:ascii="Arial" w:hAnsi="Arial" w:cs="Arial"/>
          <w:sz w:val="24"/>
          <w:szCs w:val="24"/>
        </w:rPr>
        <w:t xml:space="preserve"> would make</w:t>
      </w:r>
      <w:r w:rsidR="00656F21" w:rsidRPr="00485570">
        <w:rPr>
          <w:rFonts w:ascii="Arial" w:hAnsi="Arial" w:cs="Arial"/>
          <w:sz w:val="24"/>
          <w:szCs w:val="24"/>
        </w:rPr>
        <w:t xml:space="preserve"> application for relief as foreshadowed in the notice of counter-application.  </w:t>
      </w:r>
    </w:p>
    <w:p w:rsidR="00656F21" w:rsidRPr="00485570" w:rsidRDefault="00656F21" w:rsidP="003531BA">
      <w:pPr>
        <w:pStyle w:val="ListParagraph"/>
        <w:spacing w:line="360" w:lineRule="auto"/>
        <w:rPr>
          <w:rFonts w:cs="Arial"/>
        </w:rPr>
      </w:pPr>
    </w:p>
    <w:p w:rsidR="00656F21" w:rsidRPr="00AF4007" w:rsidRDefault="00485570" w:rsidP="003531BA">
      <w:pPr>
        <w:pStyle w:val="ListParagraph"/>
        <w:widowControl/>
        <w:tabs>
          <w:tab w:val="left" w:pos="720"/>
        </w:tabs>
        <w:autoSpaceDE/>
        <w:autoSpaceDN/>
        <w:adjustRightInd/>
        <w:spacing w:line="360" w:lineRule="auto"/>
        <w:ind w:left="0"/>
        <w:jc w:val="both"/>
        <w:rPr>
          <w:rFonts w:cs="Arial"/>
        </w:rPr>
      </w:pPr>
      <w:r>
        <w:rPr>
          <w:rFonts w:cs="Arial"/>
        </w:rPr>
        <w:t>[</w:t>
      </w:r>
      <w:r w:rsidR="005C0884">
        <w:rPr>
          <w:rFonts w:cs="Arial"/>
        </w:rPr>
        <w:t>22</w:t>
      </w:r>
      <w:r>
        <w:rPr>
          <w:rFonts w:cs="Arial"/>
        </w:rPr>
        <w:t>]</w:t>
      </w:r>
      <w:r>
        <w:rPr>
          <w:rFonts w:cs="Arial"/>
        </w:rPr>
        <w:tab/>
        <w:t>Counsel reiterated that</w:t>
      </w:r>
      <w:r w:rsidR="004F43D1">
        <w:rPr>
          <w:rFonts w:cs="Arial"/>
        </w:rPr>
        <w:t>,</w:t>
      </w:r>
      <w:r>
        <w:rPr>
          <w:rFonts w:cs="Arial"/>
        </w:rPr>
        <w:t xml:space="preserve"> a</w:t>
      </w:r>
      <w:r w:rsidR="00656F21" w:rsidRPr="00AF4007">
        <w:rPr>
          <w:rFonts w:cs="Arial"/>
        </w:rPr>
        <w:t xml:space="preserve">s the SCA </w:t>
      </w:r>
      <w:r>
        <w:rPr>
          <w:rFonts w:cs="Arial"/>
        </w:rPr>
        <w:t xml:space="preserve">had </w:t>
      </w:r>
      <w:r w:rsidR="00656F21" w:rsidRPr="00AF4007">
        <w:rPr>
          <w:rFonts w:cs="Arial"/>
        </w:rPr>
        <w:t>made</w:t>
      </w:r>
      <w:r>
        <w:rPr>
          <w:rFonts w:cs="Arial"/>
        </w:rPr>
        <w:t xml:space="preserve"> </w:t>
      </w:r>
      <w:r w:rsidR="004F43D1">
        <w:rPr>
          <w:rFonts w:cs="Arial"/>
        </w:rPr>
        <w:t xml:space="preserve">it </w:t>
      </w:r>
      <w:r>
        <w:rPr>
          <w:rFonts w:cs="Arial"/>
        </w:rPr>
        <w:t xml:space="preserve">plain in the PPC judgment, </w:t>
      </w:r>
      <w:r w:rsidR="00F6119D">
        <w:rPr>
          <w:rFonts w:cs="Arial"/>
        </w:rPr>
        <w:t xml:space="preserve">that </w:t>
      </w:r>
      <w:r>
        <w:rPr>
          <w:rFonts w:cs="Arial"/>
        </w:rPr>
        <w:t>it wa</w:t>
      </w:r>
      <w:r w:rsidR="00656F21" w:rsidRPr="00AF4007">
        <w:rPr>
          <w:rFonts w:cs="Arial"/>
        </w:rPr>
        <w:t>s not the</w:t>
      </w:r>
      <w:r>
        <w:rPr>
          <w:rFonts w:cs="Arial"/>
        </w:rPr>
        <w:t xml:space="preserve"> form in which the application wa</w:t>
      </w:r>
      <w:r w:rsidR="00656F21" w:rsidRPr="00AF4007">
        <w:rPr>
          <w:rFonts w:cs="Arial"/>
        </w:rPr>
        <w:t xml:space="preserve">s </w:t>
      </w:r>
      <w:r>
        <w:rPr>
          <w:rFonts w:cs="Arial"/>
        </w:rPr>
        <w:t>brought that wa</w:t>
      </w:r>
      <w:r w:rsidR="00F6119D">
        <w:rPr>
          <w:rFonts w:cs="Arial"/>
        </w:rPr>
        <w:t>s important and that</w:t>
      </w:r>
      <w:r w:rsidR="004F43D1">
        <w:rPr>
          <w:rFonts w:cs="Arial"/>
        </w:rPr>
        <w:t xml:space="preserve"> it wa</w:t>
      </w:r>
      <w:r w:rsidR="00656F21" w:rsidRPr="00AF4007">
        <w:rPr>
          <w:rFonts w:cs="Arial"/>
        </w:rPr>
        <w:t xml:space="preserve">s the substantive nature of the relief sought that must be taken into account.  </w:t>
      </w:r>
    </w:p>
    <w:p w:rsidR="00656F21" w:rsidRDefault="00656F21" w:rsidP="003531BA">
      <w:pPr>
        <w:pStyle w:val="ListParagraph"/>
        <w:tabs>
          <w:tab w:val="left" w:pos="720"/>
        </w:tabs>
        <w:spacing w:line="360" w:lineRule="auto"/>
        <w:ind w:left="0"/>
        <w:jc w:val="both"/>
        <w:rPr>
          <w:rFonts w:cs="Arial"/>
        </w:rPr>
      </w:pPr>
    </w:p>
    <w:p w:rsidR="00656F21" w:rsidRPr="004F43D1" w:rsidRDefault="004F43D1" w:rsidP="005C0884">
      <w:pPr>
        <w:pStyle w:val="ListParagraph"/>
        <w:widowControl/>
        <w:tabs>
          <w:tab w:val="left" w:pos="720"/>
        </w:tabs>
        <w:autoSpaceDE/>
        <w:autoSpaceDN/>
        <w:adjustRightInd/>
        <w:spacing w:line="360" w:lineRule="auto"/>
        <w:ind w:left="0"/>
        <w:jc w:val="both"/>
        <w:rPr>
          <w:rFonts w:cs="Arial"/>
        </w:rPr>
      </w:pPr>
      <w:r>
        <w:rPr>
          <w:rFonts w:cs="Arial"/>
        </w:rPr>
        <w:t>[</w:t>
      </w:r>
      <w:r w:rsidR="005C0884">
        <w:rPr>
          <w:rFonts w:cs="Arial"/>
        </w:rPr>
        <w:t>23</w:t>
      </w:r>
      <w:r>
        <w:rPr>
          <w:rFonts w:cs="Arial"/>
        </w:rPr>
        <w:t>]</w:t>
      </w:r>
      <w:r>
        <w:rPr>
          <w:rFonts w:cs="Arial"/>
        </w:rPr>
        <w:tab/>
        <w:t>In regard to the Commission’s contention</w:t>
      </w:r>
      <w:r w:rsidRPr="004F43D1">
        <w:rPr>
          <w:rFonts w:cs="Arial"/>
        </w:rPr>
        <w:t xml:space="preserve"> </w:t>
      </w:r>
      <w:r w:rsidRPr="00AF4007">
        <w:rPr>
          <w:rFonts w:cs="Arial"/>
        </w:rPr>
        <w:t xml:space="preserve">that, in granting the warrant, the court </w:t>
      </w:r>
      <w:r>
        <w:rPr>
          <w:rFonts w:cs="Arial"/>
        </w:rPr>
        <w:t xml:space="preserve">had </w:t>
      </w:r>
      <w:r w:rsidRPr="00AF4007">
        <w:rPr>
          <w:rFonts w:cs="Arial"/>
        </w:rPr>
        <w:t>exercised a discretion that should</w:t>
      </w:r>
      <w:r>
        <w:rPr>
          <w:rFonts w:cs="Arial"/>
        </w:rPr>
        <w:t xml:space="preserve"> not be lightly interfered with, </w:t>
      </w:r>
      <w:r w:rsidRPr="00AF4007">
        <w:rPr>
          <w:rStyle w:val="FootnoteReference"/>
          <w:rFonts w:cs="Arial"/>
        </w:rPr>
        <w:footnoteReference w:id="85"/>
      </w:r>
      <w:r>
        <w:rPr>
          <w:rFonts w:cs="Arial"/>
        </w:rPr>
        <w:t xml:space="preserve">  it was argued </w:t>
      </w:r>
      <w:r w:rsidR="00F6119D">
        <w:rPr>
          <w:rFonts w:cs="Arial"/>
        </w:rPr>
        <w:t xml:space="preserve">that </w:t>
      </w:r>
      <w:r>
        <w:rPr>
          <w:rFonts w:cs="Arial"/>
        </w:rPr>
        <w:t xml:space="preserve">the contended for review test was no bar to the grant of the relief sought by PUMA as </w:t>
      </w:r>
      <w:r w:rsidR="00656F21" w:rsidRPr="004F43D1">
        <w:rPr>
          <w:rFonts w:cs="Arial"/>
        </w:rPr>
        <w:t xml:space="preserve">the court can only issue the warrant if the statutory test has been met.  If the test has not been met, the court has no discretion to do so.  Moreover, the order granted in an </w:t>
      </w:r>
      <w:r w:rsidR="00656F21" w:rsidRPr="004F43D1">
        <w:rPr>
          <w:rFonts w:cs="Arial"/>
          <w:i/>
        </w:rPr>
        <w:t>ex parte</w:t>
      </w:r>
      <w:r w:rsidR="00656F21" w:rsidRPr="004F43D1">
        <w:rPr>
          <w:rFonts w:cs="Arial"/>
        </w:rPr>
        <w:t xml:space="preserve"> application is provisional and subject to reconsideration.  Once the court is appraised of the true facts, through the filing of an answer, the court may set aside </w:t>
      </w:r>
      <w:r w:rsidR="00656F21" w:rsidRPr="004F43D1">
        <w:rPr>
          <w:rFonts w:cs="Arial"/>
        </w:rPr>
        <w:lastRenderedPageBreak/>
        <w:t>the former order.</w:t>
      </w:r>
      <w:r w:rsidR="00656F21" w:rsidRPr="00AF4007">
        <w:rPr>
          <w:rStyle w:val="FootnoteReference"/>
          <w:rFonts w:cs="Arial"/>
        </w:rPr>
        <w:footnoteReference w:id="86"/>
      </w:r>
      <w:r w:rsidR="00656F21" w:rsidRPr="004F43D1">
        <w:rPr>
          <w:rFonts w:cs="Arial"/>
        </w:rPr>
        <w:t xml:space="preserve">  This is not interference with the discretion of the court, but an exercise of the courts powers, in light of further information placed before it.  </w:t>
      </w:r>
    </w:p>
    <w:p w:rsidR="00656F21" w:rsidRPr="004F43D1" w:rsidRDefault="00656F21" w:rsidP="003531BA">
      <w:pPr>
        <w:pStyle w:val="ListParagraph"/>
        <w:spacing w:line="360" w:lineRule="auto"/>
        <w:rPr>
          <w:rFonts w:cs="Arial"/>
        </w:rPr>
      </w:pPr>
    </w:p>
    <w:p w:rsidR="00656F21" w:rsidRDefault="004F43D1" w:rsidP="003531BA">
      <w:pPr>
        <w:tabs>
          <w:tab w:val="num" w:pos="0"/>
          <w:tab w:val="left" w:pos="720"/>
        </w:tabs>
        <w:spacing w:after="0" w:line="360" w:lineRule="auto"/>
        <w:jc w:val="both"/>
        <w:rPr>
          <w:rFonts w:ascii="Arial" w:hAnsi="Arial" w:cs="Arial"/>
          <w:sz w:val="24"/>
          <w:szCs w:val="24"/>
        </w:rPr>
      </w:pPr>
      <w:r w:rsidRPr="004F43D1">
        <w:rPr>
          <w:rFonts w:ascii="Arial" w:hAnsi="Arial" w:cs="Arial"/>
          <w:sz w:val="24"/>
          <w:szCs w:val="24"/>
        </w:rPr>
        <w:t>[</w:t>
      </w:r>
      <w:r w:rsidR="006D0AA7">
        <w:rPr>
          <w:rFonts w:ascii="Arial" w:hAnsi="Arial" w:cs="Arial"/>
          <w:sz w:val="24"/>
          <w:szCs w:val="24"/>
        </w:rPr>
        <w:t>24</w:t>
      </w:r>
      <w:r w:rsidRPr="004F43D1">
        <w:rPr>
          <w:rFonts w:ascii="Arial" w:hAnsi="Arial" w:cs="Arial"/>
          <w:sz w:val="24"/>
          <w:szCs w:val="24"/>
        </w:rPr>
        <w:t>]</w:t>
      </w:r>
      <w:r w:rsidRPr="004F43D1">
        <w:rPr>
          <w:rFonts w:ascii="Arial" w:hAnsi="Arial" w:cs="Arial"/>
          <w:sz w:val="24"/>
          <w:szCs w:val="24"/>
        </w:rPr>
        <w:tab/>
        <w:t xml:space="preserve">A further challenge to the grant of the order was mounted </w:t>
      </w:r>
      <w:r>
        <w:rPr>
          <w:rFonts w:ascii="Arial" w:hAnsi="Arial" w:cs="Arial"/>
          <w:sz w:val="24"/>
          <w:szCs w:val="24"/>
        </w:rPr>
        <w:t xml:space="preserve">on </w:t>
      </w:r>
      <w:r w:rsidRPr="004F43D1">
        <w:rPr>
          <w:rFonts w:ascii="Arial" w:hAnsi="Arial" w:cs="Arial"/>
          <w:sz w:val="24"/>
          <w:szCs w:val="24"/>
        </w:rPr>
        <w:t xml:space="preserve">Mr </w:t>
      </w:r>
      <w:r>
        <w:rPr>
          <w:rFonts w:ascii="Arial" w:hAnsi="Arial" w:cs="Arial"/>
          <w:sz w:val="24"/>
          <w:szCs w:val="24"/>
        </w:rPr>
        <w:t xml:space="preserve">Ndalikolule’s </w:t>
      </w:r>
      <w:r w:rsidRPr="004F43D1">
        <w:rPr>
          <w:rFonts w:ascii="Arial" w:hAnsi="Arial" w:cs="Arial"/>
          <w:sz w:val="24"/>
          <w:szCs w:val="24"/>
        </w:rPr>
        <w:t>absence of authority to apply for the grant of the warrant.</w:t>
      </w:r>
      <w:r>
        <w:rPr>
          <w:rFonts w:ascii="Arial" w:hAnsi="Arial" w:cs="Arial"/>
          <w:b/>
          <w:sz w:val="24"/>
          <w:szCs w:val="24"/>
        </w:rPr>
        <w:t xml:space="preserve"> </w:t>
      </w:r>
      <w:r w:rsidR="00C71A62" w:rsidRPr="004F43D1">
        <w:rPr>
          <w:rFonts w:ascii="Arial" w:hAnsi="Arial" w:cs="Arial"/>
          <w:sz w:val="24"/>
          <w:szCs w:val="24"/>
        </w:rPr>
        <w:t xml:space="preserve">Mr </w:t>
      </w:r>
      <w:r w:rsidR="00C71A62">
        <w:rPr>
          <w:rFonts w:ascii="Arial" w:hAnsi="Arial" w:cs="Arial"/>
          <w:sz w:val="24"/>
          <w:szCs w:val="24"/>
        </w:rPr>
        <w:t>Ndalikolule,</w:t>
      </w:r>
      <w:r w:rsidR="00C71A62" w:rsidRPr="004F43D1">
        <w:rPr>
          <w:rFonts w:ascii="Arial" w:hAnsi="Arial" w:cs="Arial"/>
          <w:sz w:val="24"/>
          <w:szCs w:val="24"/>
        </w:rPr>
        <w:t xml:space="preserve"> </w:t>
      </w:r>
      <w:r w:rsidR="00C71A62">
        <w:rPr>
          <w:rFonts w:ascii="Arial" w:hAnsi="Arial" w:cs="Arial"/>
          <w:sz w:val="24"/>
          <w:szCs w:val="24"/>
        </w:rPr>
        <w:t>t</w:t>
      </w:r>
      <w:r w:rsidR="00656F21" w:rsidRPr="004F43D1">
        <w:rPr>
          <w:rFonts w:ascii="Arial" w:hAnsi="Arial" w:cs="Arial"/>
          <w:sz w:val="24"/>
          <w:szCs w:val="24"/>
        </w:rPr>
        <w:t>he deponent to the founding affidavit</w:t>
      </w:r>
      <w:r w:rsidR="00C71A62">
        <w:rPr>
          <w:rFonts w:ascii="Arial" w:hAnsi="Arial" w:cs="Arial"/>
          <w:sz w:val="24"/>
          <w:szCs w:val="24"/>
        </w:rPr>
        <w:t>,</w:t>
      </w:r>
      <w:r w:rsidR="00656F21" w:rsidRPr="004F43D1">
        <w:rPr>
          <w:rFonts w:ascii="Arial" w:hAnsi="Arial" w:cs="Arial"/>
          <w:sz w:val="24"/>
          <w:szCs w:val="24"/>
        </w:rPr>
        <w:t xml:space="preserve"> was the acting Secretary to the Commission, who enjoys delegated powers of investigation in terms of section 16(1)(</w:t>
      </w:r>
      <w:r w:rsidR="00656F21" w:rsidRPr="004F43D1">
        <w:rPr>
          <w:rFonts w:ascii="Arial" w:hAnsi="Arial" w:cs="Arial"/>
          <w:i/>
          <w:sz w:val="24"/>
          <w:szCs w:val="24"/>
        </w:rPr>
        <w:t>f</w:t>
      </w:r>
      <w:r w:rsidR="00656F21" w:rsidRPr="004F43D1">
        <w:rPr>
          <w:rFonts w:ascii="Arial" w:hAnsi="Arial" w:cs="Arial"/>
          <w:sz w:val="24"/>
          <w:szCs w:val="24"/>
        </w:rPr>
        <w:t>) and section 33 of the Competition Act, read with Rule 4 of the Commission Rules.</w:t>
      </w:r>
      <w:r w:rsidR="00656F21" w:rsidRPr="004F43D1">
        <w:rPr>
          <w:rStyle w:val="FootnoteReference"/>
          <w:rFonts w:ascii="Arial" w:hAnsi="Arial" w:cs="Arial"/>
          <w:sz w:val="24"/>
          <w:szCs w:val="24"/>
        </w:rPr>
        <w:footnoteReference w:id="87"/>
      </w:r>
      <w:r w:rsidR="00656F21" w:rsidRPr="004F43D1">
        <w:rPr>
          <w:rFonts w:ascii="Arial" w:hAnsi="Arial" w:cs="Arial"/>
          <w:sz w:val="24"/>
          <w:szCs w:val="24"/>
        </w:rPr>
        <w:t xml:space="preserve">  The delegated power does not include an express delegation to exercise powers, or</w:t>
      </w:r>
      <w:r w:rsidR="00F6119D">
        <w:rPr>
          <w:rFonts w:ascii="Arial" w:hAnsi="Arial" w:cs="Arial"/>
          <w:sz w:val="24"/>
          <w:szCs w:val="24"/>
        </w:rPr>
        <w:t xml:space="preserve"> to</w:t>
      </w:r>
      <w:r w:rsidR="00656F21" w:rsidRPr="004F43D1">
        <w:rPr>
          <w:rFonts w:ascii="Arial" w:hAnsi="Arial" w:cs="Arial"/>
          <w:sz w:val="24"/>
          <w:szCs w:val="24"/>
        </w:rPr>
        <w:t xml:space="preserve"> make application, in terms of section 34 for the issue of a warrant.  It is Puma's position that the Secretary is not empowered to institute legal proceedings on behalf of the Commission, relating to its investigations, and to obtain a search warrant.</w:t>
      </w:r>
      <w:r w:rsidR="00656F21" w:rsidRPr="004F43D1">
        <w:rPr>
          <w:rStyle w:val="FootnoteReference"/>
          <w:rFonts w:ascii="Arial" w:hAnsi="Arial" w:cs="Arial"/>
          <w:sz w:val="24"/>
          <w:szCs w:val="24"/>
        </w:rPr>
        <w:footnoteReference w:id="88"/>
      </w:r>
      <w:r w:rsidR="00C71A62">
        <w:rPr>
          <w:rFonts w:ascii="Arial" w:hAnsi="Arial" w:cs="Arial"/>
          <w:sz w:val="24"/>
          <w:szCs w:val="24"/>
        </w:rPr>
        <w:t xml:space="preserve"> As </w:t>
      </w:r>
      <w:r w:rsidR="00C71A62" w:rsidRPr="00C71A62">
        <w:rPr>
          <w:rFonts w:ascii="Arial" w:hAnsi="Arial" w:cs="Arial"/>
          <w:sz w:val="24"/>
          <w:szCs w:val="24"/>
        </w:rPr>
        <w:t>t</w:t>
      </w:r>
      <w:r w:rsidR="00656F21" w:rsidRPr="00C71A62">
        <w:rPr>
          <w:rFonts w:ascii="Arial" w:hAnsi="Arial" w:cs="Arial"/>
          <w:sz w:val="24"/>
          <w:szCs w:val="24"/>
        </w:rPr>
        <w:t xml:space="preserve">he Commission </w:t>
      </w:r>
      <w:r w:rsidR="00C71A62">
        <w:rPr>
          <w:rFonts w:ascii="Arial" w:hAnsi="Arial" w:cs="Arial"/>
          <w:sz w:val="24"/>
          <w:szCs w:val="24"/>
        </w:rPr>
        <w:t>was arguing</w:t>
      </w:r>
      <w:r w:rsidR="00656F21" w:rsidRPr="00C71A62">
        <w:rPr>
          <w:rFonts w:ascii="Arial" w:hAnsi="Arial" w:cs="Arial"/>
          <w:sz w:val="24"/>
          <w:szCs w:val="24"/>
        </w:rPr>
        <w:t xml:space="preserve"> that, despite there being no express reference in the delegation to section 34, those powers could be exercised by the Secretary on the basis that those powers are incidental to the general investigative powers under section 16(1)(</w:t>
      </w:r>
      <w:r w:rsidR="00656F21" w:rsidRPr="00C71A62">
        <w:rPr>
          <w:rFonts w:ascii="Arial" w:hAnsi="Arial" w:cs="Arial"/>
          <w:i/>
          <w:sz w:val="24"/>
          <w:szCs w:val="24"/>
        </w:rPr>
        <w:t>f</w:t>
      </w:r>
      <w:r w:rsidR="00656F21" w:rsidRPr="00C71A62">
        <w:rPr>
          <w:rFonts w:ascii="Arial" w:hAnsi="Arial" w:cs="Arial"/>
          <w:sz w:val="24"/>
          <w:szCs w:val="24"/>
        </w:rPr>
        <w:t>)</w:t>
      </w:r>
      <w:r w:rsidR="00656F21" w:rsidRPr="00C71A62">
        <w:rPr>
          <w:rFonts w:ascii="Arial" w:hAnsi="Arial" w:cs="Arial"/>
          <w:i/>
          <w:sz w:val="24"/>
          <w:szCs w:val="24"/>
        </w:rPr>
        <w:t xml:space="preserve"> </w:t>
      </w:r>
      <w:r w:rsidR="00656F21" w:rsidRPr="00C71A62">
        <w:rPr>
          <w:rFonts w:ascii="Arial" w:hAnsi="Arial" w:cs="Arial"/>
          <w:sz w:val="24"/>
          <w:szCs w:val="24"/>
        </w:rPr>
        <w:t>delegated to him.</w:t>
      </w:r>
      <w:r w:rsidR="00656F21" w:rsidRPr="00C71A62">
        <w:rPr>
          <w:rStyle w:val="FootnoteReference"/>
          <w:rFonts w:ascii="Arial" w:hAnsi="Arial" w:cs="Arial"/>
          <w:sz w:val="24"/>
          <w:szCs w:val="24"/>
        </w:rPr>
        <w:footnoteReference w:id="89"/>
      </w:r>
      <w:r w:rsidR="00656F21" w:rsidRPr="00C71A62">
        <w:rPr>
          <w:rFonts w:ascii="Arial" w:hAnsi="Arial" w:cs="Arial"/>
          <w:sz w:val="24"/>
          <w:szCs w:val="24"/>
        </w:rPr>
        <w:t xml:space="preserve"> </w:t>
      </w:r>
      <w:r w:rsidR="00C71A62">
        <w:rPr>
          <w:rFonts w:ascii="Arial" w:hAnsi="Arial" w:cs="Arial"/>
          <w:sz w:val="24"/>
          <w:szCs w:val="24"/>
        </w:rPr>
        <w:t>It was thus noted that</w:t>
      </w:r>
      <w:r w:rsidR="00656F21" w:rsidRPr="00C71A62">
        <w:rPr>
          <w:rFonts w:ascii="Arial" w:hAnsi="Arial" w:cs="Arial"/>
          <w:sz w:val="24"/>
          <w:szCs w:val="24"/>
        </w:rPr>
        <w:t xml:space="preserve"> the position</w:t>
      </w:r>
      <w:r w:rsidR="00C71A62">
        <w:rPr>
          <w:rFonts w:ascii="Arial" w:hAnsi="Arial" w:cs="Arial"/>
          <w:sz w:val="24"/>
          <w:szCs w:val="24"/>
        </w:rPr>
        <w:t xml:space="preserve"> so</w:t>
      </w:r>
      <w:r w:rsidR="00656F21" w:rsidRPr="00C71A62">
        <w:rPr>
          <w:rFonts w:ascii="Arial" w:hAnsi="Arial" w:cs="Arial"/>
          <w:sz w:val="24"/>
          <w:szCs w:val="24"/>
        </w:rPr>
        <w:t xml:space="preserve"> adopted accepts implicitly (and correctly) that there was no express delegation of authority to the Secretary to exercise the powers conferred upon the Commission under section 34.</w:t>
      </w:r>
      <w:r w:rsidR="00656F21" w:rsidRPr="00AF4007">
        <w:rPr>
          <w:rFonts w:cs="Arial"/>
        </w:rPr>
        <w:t xml:space="preserve">  </w:t>
      </w:r>
      <w:r w:rsidR="00F6119D">
        <w:rPr>
          <w:rFonts w:ascii="Arial" w:hAnsi="Arial" w:cs="Arial"/>
          <w:sz w:val="24"/>
          <w:szCs w:val="24"/>
        </w:rPr>
        <w:t>It was pointed out that</w:t>
      </w:r>
      <w:r w:rsidR="00C71A62" w:rsidRPr="00C71A62">
        <w:rPr>
          <w:rFonts w:ascii="Arial" w:hAnsi="Arial" w:cs="Arial"/>
          <w:sz w:val="24"/>
          <w:szCs w:val="24"/>
        </w:rPr>
        <w:t xml:space="preserve"> </w:t>
      </w:r>
      <w:r w:rsidR="00C71A62">
        <w:rPr>
          <w:rFonts w:ascii="Arial" w:hAnsi="Arial" w:cs="Arial"/>
          <w:sz w:val="24"/>
          <w:szCs w:val="24"/>
        </w:rPr>
        <w:t>the Commission's stance</w:t>
      </w:r>
      <w:r w:rsidR="00656F21" w:rsidRPr="00C71A62">
        <w:rPr>
          <w:rFonts w:ascii="Arial" w:hAnsi="Arial" w:cs="Arial"/>
          <w:sz w:val="24"/>
          <w:szCs w:val="24"/>
        </w:rPr>
        <w:t xml:space="preserve"> does not take account of the content of the delegation that couples the delegation of the general investigative powers under section 16(1)(</w:t>
      </w:r>
      <w:r w:rsidR="00656F21" w:rsidRPr="00C71A62">
        <w:rPr>
          <w:rFonts w:ascii="Arial" w:hAnsi="Arial" w:cs="Arial"/>
          <w:i/>
          <w:sz w:val="24"/>
          <w:szCs w:val="24"/>
        </w:rPr>
        <w:t>f</w:t>
      </w:r>
      <w:r w:rsidR="00656F21" w:rsidRPr="00C71A62">
        <w:rPr>
          <w:rFonts w:ascii="Arial" w:hAnsi="Arial" w:cs="Arial"/>
          <w:sz w:val="24"/>
          <w:szCs w:val="24"/>
        </w:rPr>
        <w:t>) with a specific delegation of the powers under section 33, and section 33 only.  The extraordinary powers of investigation under sectio</w:t>
      </w:r>
      <w:r w:rsidR="00C71A62">
        <w:rPr>
          <w:rFonts w:ascii="Arial" w:hAnsi="Arial" w:cs="Arial"/>
          <w:sz w:val="24"/>
          <w:szCs w:val="24"/>
        </w:rPr>
        <w:t>n 34 are not delegated.  There wa</w:t>
      </w:r>
      <w:r w:rsidR="00656F21" w:rsidRPr="00C71A62">
        <w:rPr>
          <w:rFonts w:ascii="Arial" w:hAnsi="Arial" w:cs="Arial"/>
          <w:sz w:val="24"/>
          <w:szCs w:val="24"/>
        </w:rPr>
        <w:t>s</w:t>
      </w:r>
      <w:r w:rsidR="00C71A62">
        <w:rPr>
          <w:rFonts w:ascii="Arial" w:hAnsi="Arial" w:cs="Arial"/>
          <w:sz w:val="24"/>
          <w:szCs w:val="24"/>
        </w:rPr>
        <w:t xml:space="preserve"> thus</w:t>
      </w:r>
      <w:r w:rsidR="00656F21" w:rsidRPr="00C71A62">
        <w:rPr>
          <w:rFonts w:ascii="Arial" w:hAnsi="Arial" w:cs="Arial"/>
          <w:sz w:val="24"/>
          <w:szCs w:val="24"/>
        </w:rPr>
        <w:t xml:space="preserve"> no basis for c</w:t>
      </w:r>
      <w:r w:rsidR="00C71A62">
        <w:rPr>
          <w:rFonts w:ascii="Arial" w:hAnsi="Arial" w:cs="Arial"/>
          <w:sz w:val="24"/>
          <w:szCs w:val="24"/>
        </w:rPr>
        <w:t>onsidering that the delegation was or could be</w:t>
      </w:r>
      <w:r w:rsidR="00656F21" w:rsidRPr="00C71A62">
        <w:rPr>
          <w:rFonts w:ascii="Arial" w:hAnsi="Arial" w:cs="Arial"/>
          <w:sz w:val="24"/>
          <w:szCs w:val="24"/>
        </w:rPr>
        <w:t xml:space="preserve"> implied, particularly since the rationale for the delegation (said to be </w:t>
      </w:r>
      <w:r w:rsidR="00656F21" w:rsidRPr="00C71A62">
        <w:rPr>
          <w:rFonts w:ascii="Arial" w:hAnsi="Arial" w:cs="Arial"/>
          <w:i/>
          <w:sz w:val="24"/>
          <w:szCs w:val="24"/>
        </w:rPr>
        <w:t>nemo iudex in sua causa</w:t>
      </w:r>
      <w:r w:rsidR="00656F21" w:rsidRPr="00C71A62">
        <w:rPr>
          <w:rFonts w:ascii="Arial" w:hAnsi="Arial" w:cs="Arial"/>
          <w:sz w:val="24"/>
          <w:szCs w:val="24"/>
        </w:rPr>
        <w:t>) does not apply in relation to the section 34 powers.</w:t>
      </w:r>
      <w:r w:rsidR="00C71A62">
        <w:rPr>
          <w:rFonts w:ascii="Arial" w:hAnsi="Arial" w:cs="Arial"/>
          <w:sz w:val="24"/>
          <w:szCs w:val="24"/>
        </w:rPr>
        <w:t xml:space="preserve"> In such</w:t>
      </w:r>
      <w:r w:rsidR="00656F21" w:rsidRPr="00C71A62">
        <w:rPr>
          <w:rFonts w:ascii="Arial" w:hAnsi="Arial" w:cs="Arial"/>
          <w:sz w:val="24"/>
          <w:szCs w:val="24"/>
        </w:rPr>
        <w:t xml:space="preserve"> circumstances, the warrant falls to be set aside. </w:t>
      </w:r>
    </w:p>
    <w:p w:rsidR="00C71A62" w:rsidRDefault="00C71A62" w:rsidP="003531BA">
      <w:pPr>
        <w:tabs>
          <w:tab w:val="num" w:pos="0"/>
          <w:tab w:val="left" w:pos="720"/>
        </w:tabs>
        <w:spacing w:after="0" w:line="360" w:lineRule="auto"/>
        <w:jc w:val="both"/>
        <w:rPr>
          <w:rFonts w:ascii="Arial" w:hAnsi="Arial" w:cs="Arial"/>
          <w:sz w:val="24"/>
          <w:szCs w:val="24"/>
        </w:rPr>
      </w:pPr>
    </w:p>
    <w:p w:rsidR="00C71A62" w:rsidRPr="00C71A62" w:rsidRDefault="00C71A62" w:rsidP="003531BA">
      <w:pPr>
        <w:tabs>
          <w:tab w:val="num" w:pos="0"/>
          <w:tab w:val="left" w:pos="720"/>
        </w:tabs>
        <w:spacing w:after="0" w:line="360" w:lineRule="auto"/>
        <w:jc w:val="both"/>
        <w:rPr>
          <w:rFonts w:ascii="Arial" w:hAnsi="Arial" w:cs="Arial"/>
          <w:b/>
          <w:sz w:val="24"/>
          <w:szCs w:val="24"/>
        </w:rPr>
      </w:pPr>
      <w:r>
        <w:rPr>
          <w:rFonts w:ascii="Arial" w:hAnsi="Arial" w:cs="Arial"/>
          <w:sz w:val="24"/>
          <w:szCs w:val="24"/>
        </w:rPr>
        <w:t>[</w:t>
      </w:r>
      <w:r w:rsidR="006D0AA7">
        <w:rPr>
          <w:rFonts w:ascii="Arial" w:hAnsi="Arial" w:cs="Arial"/>
          <w:sz w:val="24"/>
          <w:szCs w:val="24"/>
        </w:rPr>
        <w:t>25</w:t>
      </w:r>
      <w:r>
        <w:rPr>
          <w:rFonts w:ascii="Arial" w:hAnsi="Arial" w:cs="Arial"/>
          <w:sz w:val="24"/>
          <w:szCs w:val="24"/>
        </w:rPr>
        <w:t>]</w:t>
      </w:r>
      <w:r>
        <w:rPr>
          <w:rFonts w:ascii="Arial" w:hAnsi="Arial" w:cs="Arial"/>
          <w:sz w:val="24"/>
          <w:szCs w:val="24"/>
        </w:rPr>
        <w:tab/>
        <w:t xml:space="preserve">Considerable argument was also focused on the jurisdictional requirement set by Section 34(3) of the Competition Act which requires that a judge may only issue a </w:t>
      </w:r>
      <w:r w:rsidR="00F6119D">
        <w:rPr>
          <w:rFonts w:ascii="Arial" w:hAnsi="Arial" w:cs="Arial"/>
          <w:sz w:val="24"/>
          <w:szCs w:val="24"/>
        </w:rPr>
        <w:lastRenderedPageBreak/>
        <w:t>warrant once satisfied that this</w:t>
      </w:r>
      <w:r>
        <w:rPr>
          <w:rFonts w:ascii="Arial" w:hAnsi="Arial" w:cs="Arial"/>
          <w:sz w:val="24"/>
          <w:szCs w:val="24"/>
        </w:rPr>
        <w:t xml:space="preserve"> ‘was necessary’ for purposes of a Commission investigation, and which requirement, so it was argued</w:t>
      </w:r>
      <w:r w:rsidR="005055F2">
        <w:rPr>
          <w:rFonts w:ascii="Arial" w:hAnsi="Arial" w:cs="Arial"/>
          <w:sz w:val="24"/>
          <w:szCs w:val="24"/>
        </w:rPr>
        <w:t>, had not been met</w:t>
      </w:r>
      <w:r>
        <w:rPr>
          <w:rFonts w:ascii="Arial" w:hAnsi="Arial" w:cs="Arial"/>
          <w:sz w:val="24"/>
          <w:szCs w:val="24"/>
        </w:rPr>
        <w:t>.</w:t>
      </w:r>
    </w:p>
    <w:p w:rsidR="00A90B52" w:rsidRDefault="00A90B52" w:rsidP="003531BA">
      <w:pPr>
        <w:spacing w:after="0" w:line="360" w:lineRule="auto"/>
        <w:rPr>
          <w:rFonts w:cs="Arial"/>
        </w:rPr>
      </w:pPr>
    </w:p>
    <w:p w:rsidR="005055F2" w:rsidRPr="008906B1" w:rsidRDefault="008906B1" w:rsidP="003531BA">
      <w:pPr>
        <w:spacing w:after="0" w:line="360" w:lineRule="auto"/>
        <w:rPr>
          <w:rFonts w:ascii="Arial" w:hAnsi="Arial" w:cs="Arial"/>
          <w:sz w:val="24"/>
          <w:szCs w:val="24"/>
          <w:u w:val="single"/>
        </w:rPr>
      </w:pPr>
      <w:r w:rsidRPr="008906B1">
        <w:rPr>
          <w:rFonts w:ascii="Arial" w:hAnsi="Arial" w:cs="Arial"/>
          <w:sz w:val="24"/>
          <w:szCs w:val="24"/>
          <w:u w:val="single"/>
        </w:rPr>
        <w:t>The Commission’s Argument</w:t>
      </w:r>
    </w:p>
    <w:p w:rsidR="005055F2" w:rsidRDefault="005055F2" w:rsidP="003531BA">
      <w:pPr>
        <w:spacing w:after="0" w:line="360" w:lineRule="auto"/>
        <w:rPr>
          <w:rFonts w:ascii="Arial" w:hAnsi="Arial" w:cs="Arial"/>
          <w:b/>
          <w:sz w:val="20"/>
          <w:szCs w:val="20"/>
        </w:rPr>
      </w:pPr>
    </w:p>
    <w:p w:rsidR="00D462B9" w:rsidRDefault="005055F2" w:rsidP="003531BA">
      <w:pPr>
        <w:spacing w:after="0" w:line="360" w:lineRule="auto"/>
        <w:jc w:val="both"/>
        <w:rPr>
          <w:rFonts w:ascii="Arial" w:hAnsi="Arial" w:cs="Arial"/>
          <w:sz w:val="24"/>
          <w:szCs w:val="24"/>
        </w:rPr>
      </w:pPr>
      <w:r w:rsidRPr="005055F2">
        <w:rPr>
          <w:rFonts w:ascii="Arial" w:hAnsi="Arial" w:cs="Arial"/>
          <w:sz w:val="24"/>
          <w:szCs w:val="24"/>
        </w:rPr>
        <w:t>[</w:t>
      </w:r>
      <w:r w:rsidR="006D0AA7">
        <w:rPr>
          <w:rFonts w:ascii="Arial" w:hAnsi="Arial" w:cs="Arial"/>
          <w:sz w:val="24"/>
          <w:szCs w:val="24"/>
        </w:rPr>
        <w:t>26</w:t>
      </w:r>
      <w:r w:rsidRPr="005055F2">
        <w:rPr>
          <w:rFonts w:ascii="Arial" w:hAnsi="Arial" w:cs="Arial"/>
          <w:sz w:val="24"/>
          <w:szCs w:val="24"/>
        </w:rPr>
        <w:t>]</w:t>
      </w:r>
      <w:r w:rsidRPr="005055F2">
        <w:rPr>
          <w:rFonts w:ascii="Arial" w:hAnsi="Arial" w:cs="Arial"/>
          <w:sz w:val="24"/>
          <w:szCs w:val="24"/>
        </w:rPr>
        <w:tab/>
      </w:r>
      <w:r w:rsidR="00D462B9">
        <w:rPr>
          <w:rFonts w:ascii="Arial" w:hAnsi="Arial" w:cs="Arial"/>
          <w:sz w:val="24"/>
          <w:szCs w:val="24"/>
        </w:rPr>
        <w:t xml:space="preserve">On an </w:t>
      </w:r>
      <w:r w:rsidR="00D462B9" w:rsidRPr="00D462B9">
        <w:rPr>
          <w:rFonts w:ascii="Arial" w:hAnsi="Arial" w:cs="Arial"/>
          <w:i/>
          <w:sz w:val="24"/>
          <w:szCs w:val="24"/>
        </w:rPr>
        <w:t>in limine</w:t>
      </w:r>
      <w:r w:rsidR="00D462B9">
        <w:rPr>
          <w:rFonts w:ascii="Arial" w:hAnsi="Arial" w:cs="Arial"/>
          <w:sz w:val="24"/>
          <w:szCs w:val="24"/>
        </w:rPr>
        <w:t xml:space="preserve"> basis</w:t>
      </w:r>
      <w:r w:rsidR="008B18DB">
        <w:rPr>
          <w:rFonts w:ascii="Arial" w:hAnsi="Arial" w:cs="Arial"/>
          <w:sz w:val="24"/>
          <w:szCs w:val="24"/>
        </w:rPr>
        <w:t xml:space="preserve"> -</w:t>
      </w:r>
      <w:r w:rsidR="00D462B9">
        <w:rPr>
          <w:rFonts w:ascii="Arial" w:hAnsi="Arial" w:cs="Arial"/>
          <w:sz w:val="24"/>
          <w:szCs w:val="24"/>
        </w:rPr>
        <w:t xml:space="preserve"> and on three grounds</w:t>
      </w:r>
      <w:r w:rsidR="008B18DB">
        <w:rPr>
          <w:rFonts w:ascii="Arial" w:hAnsi="Arial" w:cs="Arial"/>
          <w:sz w:val="24"/>
          <w:szCs w:val="24"/>
        </w:rPr>
        <w:t xml:space="preserve"> -</w:t>
      </w:r>
      <w:r w:rsidR="00D462B9">
        <w:rPr>
          <w:rFonts w:ascii="Arial" w:hAnsi="Arial" w:cs="Arial"/>
          <w:sz w:val="24"/>
          <w:szCs w:val="24"/>
        </w:rPr>
        <w:t xml:space="preserve"> it was contended that</w:t>
      </w:r>
      <w:r w:rsidR="00D462B9" w:rsidRPr="00D462B9">
        <w:rPr>
          <w:rFonts w:ascii="Arial" w:hAnsi="Arial" w:cs="Arial"/>
          <w:sz w:val="24"/>
          <w:szCs w:val="24"/>
        </w:rPr>
        <w:t xml:space="preserve"> Puma cannot competently i</w:t>
      </w:r>
      <w:r w:rsidR="00D462B9">
        <w:rPr>
          <w:rFonts w:ascii="Arial" w:hAnsi="Arial" w:cs="Arial"/>
          <w:sz w:val="24"/>
          <w:szCs w:val="24"/>
        </w:rPr>
        <w:t>nvoke the processes that it has</w:t>
      </w:r>
      <w:r w:rsidR="00D462B9" w:rsidRPr="00D462B9">
        <w:rPr>
          <w:rStyle w:val="FootnoteReference"/>
          <w:rFonts w:ascii="Arial" w:hAnsi="Arial" w:cs="Arial"/>
          <w:sz w:val="24"/>
          <w:szCs w:val="24"/>
        </w:rPr>
        <w:footnoteReference w:id="90"/>
      </w:r>
      <w:r w:rsidR="00D462B9">
        <w:rPr>
          <w:rFonts w:ascii="Arial" w:hAnsi="Arial" w:cs="Arial"/>
          <w:sz w:val="24"/>
          <w:szCs w:val="24"/>
        </w:rPr>
        <w:t xml:space="preserve">: </w:t>
      </w:r>
    </w:p>
    <w:p w:rsidR="00D462B9" w:rsidRDefault="00D462B9" w:rsidP="003531BA">
      <w:pPr>
        <w:spacing w:after="0" w:line="360" w:lineRule="auto"/>
        <w:jc w:val="both"/>
        <w:rPr>
          <w:rFonts w:ascii="Arial" w:hAnsi="Arial" w:cs="Arial"/>
          <w:sz w:val="24"/>
          <w:szCs w:val="24"/>
        </w:rPr>
      </w:pPr>
    </w:p>
    <w:p w:rsidR="00D462B9" w:rsidRPr="008B18DB" w:rsidRDefault="00D462B9" w:rsidP="006D0AA7">
      <w:pPr>
        <w:pStyle w:val="ListParagraph"/>
        <w:numPr>
          <w:ilvl w:val="0"/>
          <w:numId w:val="9"/>
        </w:numPr>
        <w:spacing w:line="360" w:lineRule="auto"/>
        <w:ind w:left="0" w:firstLine="0"/>
        <w:jc w:val="both"/>
        <w:rPr>
          <w:rFonts w:cs="Arial"/>
        </w:rPr>
      </w:pPr>
      <w:r>
        <w:rPr>
          <w:rFonts w:cs="Arial"/>
        </w:rPr>
        <w:t>F</w:t>
      </w:r>
      <w:r w:rsidRPr="00D462B9">
        <w:rPr>
          <w:rFonts w:cs="Arial"/>
        </w:rPr>
        <w:t xml:space="preserve">irstly, </w:t>
      </w:r>
      <w:r w:rsidR="008B18DB">
        <w:rPr>
          <w:rFonts w:cs="Arial"/>
        </w:rPr>
        <w:t xml:space="preserve">and as </w:t>
      </w:r>
      <w:r w:rsidRPr="00D462B9">
        <w:rPr>
          <w:rFonts w:cs="Arial"/>
        </w:rPr>
        <w:t>Puma elected to acquiesce in the search, rather than t</w:t>
      </w:r>
      <w:r w:rsidR="008B18DB">
        <w:rPr>
          <w:rFonts w:cs="Arial"/>
        </w:rPr>
        <w:t xml:space="preserve">o interdict or object to it the </w:t>
      </w:r>
      <w:r w:rsidRPr="00D462B9">
        <w:rPr>
          <w:rFonts w:cs="Arial"/>
        </w:rPr>
        <w:t>result</w:t>
      </w:r>
      <w:r w:rsidR="008B18DB">
        <w:rPr>
          <w:rFonts w:cs="Arial"/>
        </w:rPr>
        <w:t xml:space="preserve"> was that</w:t>
      </w:r>
      <w:r w:rsidRPr="00D462B9">
        <w:rPr>
          <w:rFonts w:cs="Arial"/>
        </w:rPr>
        <w:t xml:space="preserve"> the search has been cond</w:t>
      </w:r>
      <w:r w:rsidR="008B18DB">
        <w:rPr>
          <w:rFonts w:cs="Arial"/>
        </w:rPr>
        <w:t>ucted</w:t>
      </w:r>
      <w:r w:rsidRPr="008B18DB">
        <w:rPr>
          <w:rFonts w:cs="Arial"/>
        </w:rPr>
        <w:t xml:space="preserve"> and</w:t>
      </w:r>
      <w:r w:rsidR="008B18DB">
        <w:rPr>
          <w:rFonts w:cs="Arial"/>
        </w:rPr>
        <w:t>,</w:t>
      </w:r>
      <w:r w:rsidRPr="008B18DB">
        <w:rPr>
          <w:rFonts w:cs="Arial"/>
        </w:rPr>
        <w:t xml:space="preserve"> after having participated willingly in the search, Puma cannot belatedly seek to anticipate it or to bring </w:t>
      </w:r>
      <w:r w:rsidR="008B18DB" w:rsidRPr="008B18DB">
        <w:rPr>
          <w:rFonts w:cs="Arial"/>
        </w:rPr>
        <w:t>a counter-application against</w:t>
      </w:r>
      <w:r w:rsidRPr="008B18DB">
        <w:rPr>
          <w:rFonts w:cs="Arial"/>
        </w:rPr>
        <w:t xml:space="preserve"> the grant of the warrant.  By doing so, it impermissibly prevaricates in its conduct of litigation.</w:t>
      </w:r>
      <w:r w:rsidRPr="00D462B9">
        <w:rPr>
          <w:vertAlign w:val="superscript"/>
        </w:rPr>
        <w:footnoteReference w:id="91"/>
      </w:r>
      <w:r w:rsidRPr="008B18DB">
        <w:rPr>
          <w:rFonts w:cs="Arial"/>
          <w:vertAlign w:val="superscript"/>
        </w:rPr>
        <w:t xml:space="preserve"> </w:t>
      </w:r>
      <w:r w:rsidRPr="008B18DB">
        <w:rPr>
          <w:rFonts w:cs="Arial"/>
        </w:rPr>
        <w:t xml:space="preserve"> As South African courts have found:</w:t>
      </w:r>
    </w:p>
    <w:p w:rsidR="008B18DB" w:rsidRDefault="008B18DB" w:rsidP="003531BA">
      <w:pPr>
        <w:spacing w:after="0" w:line="360" w:lineRule="auto"/>
        <w:ind w:left="720" w:right="515"/>
        <w:jc w:val="both"/>
        <w:rPr>
          <w:rFonts w:ascii="Arial" w:hAnsi="Arial" w:cs="Arial"/>
        </w:rPr>
      </w:pPr>
    </w:p>
    <w:p w:rsidR="00D462B9" w:rsidRPr="00D462B9" w:rsidRDefault="00D462B9" w:rsidP="00C4765D">
      <w:pPr>
        <w:spacing w:after="0" w:line="360" w:lineRule="auto"/>
        <w:ind w:right="515" w:firstLine="720"/>
        <w:jc w:val="both"/>
        <w:rPr>
          <w:rFonts w:ascii="Arial" w:hAnsi="Arial" w:cs="Arial"/>
        </w:rPr>
      </w:pPr>
      <w:r w:rsidRPr="00D462B9">
        <w:rPr>
          <w:rFonts w:ascii="Arial" w:hAnsi="Arial" w:cs="Arial"/>
        </w:rPr>
        <w:t>“</w:t>
      </w:r>
      <w:r w:rsidRPr="00D462B9">
        <w:rPr>
          <w:rFonts w:ascii="Arial" w:hAnsi="Arial" w:cs="Arial"/>
          <w:i/>
        </w:rPr>
        <w:t xml:space="preserve">The principle of the right of election is a fundamental one in our law. . . . When exercising an election, the law does not allow a party to blow hot and cold. A right of election, once exercised, is irrevocable particularly when the </w:t>
      </w:r>
      <w:r w:rsidRPr="00D462B9">
        <w:rPr>
          <w:rFonts w:ascii="Arial" w:hAnsi="Arial" w:cs="Arial"/>
          <w:i/>
          <w:iCs/>
        </w:rPr>
        <w:t>volte face</w:t>
      </w:r>
      <w:r w:rsidRPr="00D462B9">
        <w:rPr>
          <w:rFonts w:ascii="Arial" w:hAnsi="Arial" w:cs="Arial"/>
          <w:i/>
        </w:rPr>
        <w:t xml:space="preserve"> is prejudicial or is unfair to another.</w:t>
      </w:r>
      <w:r w:rsidRPr="00D462B9">
        <w:rPr>
          <w:rFonts w:ascii="Arial" w:hAnsi="Arial" w:cs="Arial"/>
        </w:rPr>
        <w:t>”</w:t>
      </w:r>
      <w:r w:rsidRPr="00D462B9">
        <w:rPr>
          <w:rStyle w:val="FootnoteReference"/>
          <w:rFonts w:ascii="Arial" w:eastAsia="MS Mincho" w:hAnsi="Arial" w:cs="Arial"/>
        </w:rPr>
        <w:footnoteReference w:id="92"/>
      </w:r>
    </w:p>
    <w:p w:rsidR="00D462B9" w:rsidRPr="00AF4007" w:rsidRDefault="00D462B9" w:rsidP="003531BA">
      <w:pPr>
        <w:pStyle w:val="ListParagraph"/>
        <w:spacing w:line="360" w:lineRule="auto"/>
        <w:ind w:left="1440" w:right="516"/>
        <w:jc w:val="both"/>
        <w:rPr>
          <w:rFonts w:cs="Arial"/>
        </w:rPr>
      </w:pPr>
    </w:p>
    <w:p w:rsidR="008B18DB" w:rsidRDefault="008B18DB" w:rsidP="00C77205">
      <w:pPr>
        <w:spacing w:after="0" w:line="360" w:lineRule="auto"/>
        <w:ind w:right="515"/>
        <w:jc w:val="both"/>
        <w:rPr>
          <w:rFonts w:ascii="Arial" w:hAnsi="Arial" w:cs="Arial"/>
          <w:sz w:val="24"/>
          <w:szCs w:val="24"/>
        </w:rPr>
      </w:pPr>
      <w:r>
        <w:rPr>
          <w:rFonts w:ascii="Arial" w:hAnsi="Arial" w:cs="Arial"/>
          <w:sz w:val="24"/>
          <w:szCs w:val="24"/>
        </w:rPr>
        <w:t>Puma made the</w:t>
      </w:r>
      <w:r w:rsidR="00D462B9" w:rsidRPr="00D462B9">
        <w:rPr>
          <w:rFonts w:ascii="Arial" w:hAnsi="Arial" w:cs="Arial"/>
          <w:sz w:val="24"/>
          <w:szCs w:val="24"/>
        </w:rPr>
        <w:t xml:space="preserve"> election to permit the search, on legal advice and on notice of the grounds and basis for the search.  Having done so, it waived its right to anticipate or oppose its initial grant.  Th</w:t>
      </w:r>
      <w:r w:rsidR="00D462B9">
        <w:rPr>
          <w:rFonts w:ascii="Arial" w:hAnsi="Arial" w:cs="Arial"/>
          <w:sz w:val="24"/>
          <w:szCs w:val="24"/>
        </w:rPr>
        <w:t>at wa</w:t>
      </w:r>
      <w:r w:rsidR="00D462B9" w:rsidRPr="00D462B9">
        <w:rPr>
          <w:rFonts w:ascii="Arial" w:hAnsi="Arial" w:cs="Arial"/>
          <w:sz w:val="24"/>
          <w:szCs w:val="24"/>
        </w:rPr>
        <w:t>s so because</w:t>
      </w:r>
      <w:r w:rsidR="00F6119D">
        <w:rPr>
          <w:rFonts w:ascii="Arial" w:hAnsi="Arial" w:cs="Arial"/>
          <w:sz w:val="24"/>
          <w:szCs w:val="24"/>
        </w:rPr>
        <w:t xml:space="preserve"> an</w:t>
      </w:r>
      <w:r w:rsidR="00D462B9" w:rsidRPr="00D462B9">
        <w:rPr>
          <w:rFonts w:ascii="Arial" w:hAnsi="Arial" w:cs="Arial"/>
          <w:sz w:val="24"/>
          <w:szCs w:val="24"/>
        </w:rPr>
        <w:t xml:space="preserve"> “</w:t>
      </w:r>
      <w:r w:rsidR="00D462B9" w:rsidRPr="00D462B9">
        <w:rPr>
          <w:rFonts w:ascii="Arial" w:hAnsi="Arial" w:cs="Arial"/>
          <w:i/>
          <w:sz w:val="24"/>
          <w:szCs w:val="24"/>
        </w:rPr>
        <w:t>election generally involves a waiver: one right is waived by choosing to exercise another right which is inconsistent with the former</w:t>
      </w:r>
      <w:r w:rsidR="00D462B9" w:rsidRPr="00D462B9">
        <w:rPr>
          <w:rFonts w:ascii="Arial" w:hAnsi="Arial" w:cs="Arial"/>
          <w:sz w:val="24"/>
          <w:szCs w:val="24"/>
        </w:rPr>
        <w:t>.”</w:t>
      </w:r>
      <w:r w:rsidR="00D462B9" w:rsidRPr="00D462B9">
        <w:rPr>
          <w:rStyle w:val="FootnoteReference"/>
          <w:rFonts w:ascii="Arial" w:hAnsi="Arial" w:cs="Arial"/>
          <w:sz w:val="24"/>
          <w:szCs w:val="24"/>
        </w:rPr>
        <w:footnoteReference w:id="93"/>
      </w:r>
      <w:r w:rsidR="00F6119D">
        <w:rPr>
          <w:rFonts w:ascii="Arial" w:hAnsi="Arial" w:cs="Arial"/>
          <w:sz w:val="24"/>
          <w:szCs w:val="24"/>
        </w:rPr>
        <w:t xml:space="preserve">  Put differently, Puma</w:t>
      </w:r>
      <w:r w:rsidR="00D462B9" w:rsidRPr="00D462B9">
        <w:rPr>
          <w:rFonts w:ascii="Arial" w:hAnsi="Arial" w:cs="Arial"/>
          <w:sz w:val="24"/>
          <w:szCs w:val="24"/>
        </w:rPr>
        <w:t xml:space="preserve"> elected to allow the warrant to be executed; it cannot now resile from its choice.</w:t>
      </w:r>
    </w:p>
    <w:p w:rsidR="008B18DB" w:rsidRDefault="008B18DB" w:rsidP="003531BA">
      <w:pPr>
        <w:spacing w:after="0" w:line="360" w:lineRule="auto"/>
        <w:ind w:left="567" w:right="515"/>
        <w:jc w:val="both"/>
        <w:rPr>
          <w:rFonts w:ascii="Arial" w:hAnsi="Arial" w:cs="Arial"/>
          <w:sz w:val="24"/>
          <w:szCs w:val="24"/>
        </w:rPr>
      </w:pPr>
    </w:p>
    <w:p w:rsidR="00D462B9" w:rsidRPr="008B18DB" w:rsidRDefault="00D462B9" w:rsidP="002416C5">
      <w:pPr>
        <w:pStyle w:val="ListParagraph"/>
        <w:numPr>
          <w:ilvl w:val="0"/>
          <w:numId w:val="9"/>
        </w:numPr>
        <w:spacing w:line="360" w:lineRule="auto"/>
        <w:ind w:left="0" w:right="515" w:firstLine="0"/>
        <w:jc w:val="both"/>
        <w:rPr>
          <w:rFonts w:cs="Arial"/>
        </w:rPr>
      </w:pPr>
      <w:r w:rsidRPr="008B18DB">
        <w:rPr>
          <w:rFonts w:cs="Arial"/>
        </w:rPr>
        <w:t>Second</w:t>
      </w:r>
      <w:r w:rsidR="003F3A3B" w:rsidRPr="008B18DB">
        <w:rPr>
          <w:rFonts w:cs="Arial"/>
        </w:rPr>
        <w:t>ly,</w:t>
      </w:r>
      <w:r w:rsidRPr="008B18DB">
        <w:rPr>
          <w:rFonts w:cs="Arial"/>
        </w:rPr>
        <w:t xml:space="preserve"> and in any event</w:t>
      </w:r>
      <w:r w:rsidR="003F3A3B" w:rsidRPr="008B18DB">
        <w:rPr>
          <w:rFonts w:cs="Arial"/>
        </w:rPr>
        <w:t>, the result of Puma’s conduct wa</w:t>
      </w:r>
      <w:r w:rsidRPr="008B18DB">
        <w:rPr>
          <w:rFonts w:cs="Arial"/>
        </w:rPr>
        <w:t xml:space="preserve">s that the search has been completed and the warrant has been discharged.  The </w:t>
      </w:r>
      <w:r w:rsidRPr="008B18DB">
        <w:rPr>
          <w:rFonts w:cs="Arial"/>
        </w:rPr>
        <w:lastRenderedPageBreak/>
        <w:t>application for a warrant is no longer pen</w:t>
      </w:r>
      <w:r w:rsidR="00F6119D">
        <w:rPr>
          <w:rFonts w:cs="Arial"/>
        </w:rPr>
        <w:t xml:space="preserve">ding.  Puma consequently cannot </w:t>
      </w:r>
      <w:r w:rsidRPr="008B18DB">
        <w:rPr>
          <w:rFonts w:cs="Arial"/>
        </w:rPr>
        <w:t>anticipate it or bring a counter-application to it.</w:t>
      </w:r>
    </w:p>
    <w:p w:rsidR="003F3A3B" w:rsidRDefault="003F3A3B" w:rsidP="003531BA">
      <w:pPr>
        <w:spacing w:after="0" w:line="360" w:lineRule="auto"/>
        <w:jc w:val="both"/>
        <w:rPr>
          <w:rFonts w:cs="Arial"/>
        </w:rPr>
      </w:pPr>
    </w:p>
    <w:p w:rsidR="00D462B9" w:rsidRPr="008B18DB" w:rsidRDefault="00D6617A" w:rsidP="00C4765D">
      <w:pPr>
        <w:spacing w:after="0" w:line="360" w:lineRule="auto"/>
        <w:jc w:val="both"/>
        <w:rPr>
          <w:rFonts w:ascii="Arial" w:hAnsi="Arial" w:cs="Arial"/>
        </w:rPr>
      </w:pPr>
      <w:r>
        <w:rPr>
          <w:rFonts w:ascii="Arial" w:hAnsi="Arial" w:cs="Arial"/>
        </w:rPr>
        <w:t>‘</w:t>
      </w:r>
      <w:r w:rsidR="00D462B9" w:rsidRPr="008B18DB">
        <w:rPr>
          <w:rFonts w:ascii="Arial" w:hAnsi="Arial" w:cs="Arial"/>
        </w:rPr>
        <w:t>Rule 72(7) provides that “[</w:t>
      </w:r>
      <w:r w:rsidR="00D462B9" w:rsidRPr="008B18DB">
        <w:rPr>
          <w:rFonts w:ascii="Arial" w:hAnsi="Arial" w:cs="Arial"/>
          <w:i/>
        </w:rPr>
        <w:t>a</w:t>
      </w:r>
      <w:r w:rsidR="00D462B9" w:rsidRPr="008B18DB">
        <w:rPr>
          <w:rFonts w:ascii="Arial" w:hAnsi="Arial" w:cs="Arial"/>
        </w:rPr>
        <w:t>]</w:t>
      </w:r>
      <w:r w:rsidR="00D462B9" w:rsidRPr="008B18DB">
        <w:rPr>
          <w:rFonts w:ascii="Arial" w:hAnsi="Arial" w:cs="Arial"/>
          <w:i/>
        </w:rPr>
        <w:t xml:space="preserve">ny person against whom an order is granted ex parte may anticipate the return day on delivery of not less than 24 hours’ notice.”  </w:t>
      </w:r>
      <w:r w:rsidR="00D462B9" w:rsidRPr="008B18DB">
        <w:rPr>
          <w:rFonts w:ascii="Arial" w:hAnsi="Arial" w:cs="Arial"/>
        </w:rPr>
        <w:t>But it applies only in respect of a provisional order or at the very least before the order is executed and given full effect.  It is also required to be invoked rapidly an on “</w:t>
      </w:r>
      <w:r w:rsidR="00D462B9" w:rsidRPr="008B18DB">
        <w:rPr>
          <w:rFonts w:ascii="Arial" w:hAnsi="Arial" w:cs="Arial"/>
          <w:i/>
        </w:rPr>
        <w:t>very short notice</w:t>
      </w:r>
      <w:r w:rsidR="00D462B9" w:rsidRPr="008B18DB">
        <w:rPr>
          <w:rFonts w:ascii="Arial" w:hAnsi="Arial" w:cs="Arial"/>
        </w:rPr>
        <w:t>”.</w:t>
      </w:r>
      <w:r w:rsidR="00D462B9" w:rsidRPr="008B18DB">
        <w:rPr>
          <w:rStyle w:val="FootnoteReference"/>
          <w:rFonts w:ascii="Arial" w:hAnsi="Arial" w:cs="Arial"/>
        </w:rPr>
        <w:footnoteReference w:id="94"/>
      </w:r>
      <w:r w:rsidR="00D462B9" w:rsidRPr="008B18DB">
        <w:rPr>
          <w:rFonts w:ascii="Arial" w:hAnsi="Arial" w:cs="Arial"/>
        </w:rPr>
        <w:t xml:space="preserve">  Referring to rule 72(7)’s predecessor, Hoff J in the Namibian High Court noted that the rule is intended to aid a litigant who is taken by surprise by an </w:t>
      </w:r>
      <w:r w:rsidR="00D462B9" w:rsidRPr="008B18DB">
        <w:rPr>
          <w:rFonts w:ascii="Arial" w:hAnsi="Arial" w:cs="Arial"/>
          <w:i/>
        </w:rPr>
        <w:t xml:space="preserve">ex parte </w:t>
      </w:r>
      <w:r w:rsidR="00D462B9" w:rsidRPr="008B18DB">
        <w:rPr>
          <w:rFonts w:ascii="Arial" w:hAnsi="Arial" w:cs="Arial"/>
        </w:rPr>
        <w:t>order, and cannot be used in the context of extensions (of return days) or to circumvent having to properly set matters down.</w:t>
      </w:r>
      <w:r w:rsidR="00D462B9" w:rsidRPr="008B18DB">
        <w:rPr>
          <w:rStyle w:val="FootnoteReference"/>
          <w:rFonts w:ascii="Arial" w:hAnsi="Arial" w:cs="Arial"/>
        </w:rPr>
        <w:footnoteReference w:id="95"/>
      </w:r>
    </w:p>
    <w:p w:rsidR="003F3A3B" w:rsidRPr="008B18DB" w:rsidRDefault="003F3A3B" w:rsidP="003531BA">
      <w:pPr>
        <w:spacing w:after="0" w:line="360" w:lineRule="auto"/>
        <w:ind w:left="567"/>
        <w:jc w:val="both"/>
        <w:rPr>
          <w:rFonts w:ascii="Arial" w:hAnsi="Arial" w:cs="Arial"/>
          <w:sz w:val="24"/>
          <w:szCs w:val="24"/>
        </w:rPr>
      </w:pPr>
    </w:p>
    <w:p w:rsidR="00D462B9" w:rsidRDefault="00D462B9" w:rsidP="002416C5">
      <w:pPr>
        <w:spacing w:after="0" w:line="360" w:lineRule="auto"/>
        <w:jc w:val="both"/>
        <w:rPr>
          <w:rFonts w:ascii="Arial" w:hAnsi="Arial" w:cs="Arial"/>
        </w:rPr>
      </w:pPr>
      <w:r w:rsidRPr="00D6617A">
        <w:rPr>
          <w:rFonts w:ascii="Arial" w:hAnsi="Arial" w:cs="Arial"/>
        </w:rPr>
        <w:t>Puma has not met either of these requirements.  The order granting the warrant has been fulfilled, and it has waited almost a month after its grant and execution to file its anticipation notice.  As a result, the Rule 72(7) procedure is no longer available to it.</w:t>
      </w:r>
    </w:p>
    <w:p w:rsidR="00D6617A" w:rsidRPr="00D6617A" w:rsidRDefault="00D6617A" w:rsidP="002416C5">
      <w:pPr>
        <w:spacing w:after="0" w:line="360" w:lineRule="auto"/>
        <w:jc w:val="both"/>
        <w:rPr>
          <w:rFonts w:ascii="Arial" w:hAnsi="Arial" w:cs="Arial"/>
        </w:rPr>
      </w:pPr>
    </w:p>
    <w:p w:rsidR="00D462B9" w:rsidRDefault="00D462B9" w:rsidP="002416C5">
      <w:pPr>
        <w:spacing w:after="0" w:line="360" w:lineRule="auto"/>
        <w:jc w:val="both"/>
        <w:rPr>
          <w:rFonts w:ascii="Arial" w:hAnsi="Arial" w:cs="Arial"/>
        </w:rPr>
      </w:pPr>
      <w:r w:rsidRPr="00D6617A">
        <w:rPr>
          <w:rFonts w:ascii="Arial" w:hAnsi="Arial" w:cs="Arial"/>
        </w:rPr>
        <w:t>Hefer JA, in the context of executing a warrant in terms of Income Tax legislation, opined:</w:t>
      </w:r>
    </w:p>
    <w:p w:rsidR="00D6617A" w:rsidRPr="00D6617A" w:rsidRDefault="00D6617A" w:rsidP="002416C5">
      <w:pPr>
        <w:spacing w:after="0" w:line="360" w:lineRule="auto"/>
        <w:jc w:val="both"/>
        <w:rPr>
          <w:rFonts w:ascii="Arial" w:hAnsi="Arial" w:cs="Arial"/>
        </w:rPr>
      </w:pPr>
    </w:p>
    <w:p w:rsidR="00D462B9" w:rsidRPr="008B18DB" w:rsidRDefault="002416C5" w:rsidP="00C4765D">
      <w:pPr>
        <w:spacing w:after="0" w:line="360" w:lineRule="auto"/>
        <w:jc w:val="both"/>
        <w:rPr>
          <w:rFonts w:ascii="Arial" w:hAnsi="Arial" w:cs="Arial"/>
        </w:rPr>
      </w:pPr>
      <w:r>
        <w:rPr>
          <w:rFonts w:ascii="Arial" w:hAnsi="Arial" w:cs="Arial"/>
        </w:rPr>
        <w:t>‘</w:t>
      </w:r>
      <w:r w:rsidR="00D462B9" w:rsidRPr="008B18DB">
        <w:rPr>
          <w:rFonts w:ascii="Arial" w:hAnsi="Arial" w:cs="Arial"/>
        </w:rPr>
        <w:t>It is obvious that documents discovered as a result of a search may, in many cases, reveal the existence of other documents or articles for which further searches have to be made; and it is not easily conceivable that the Legislature would in such cases require a fresh authorisation for each further search. Be that as it may, the question whether several consecutive searches are authorised by any particular authorisation must be answered by reference to the terms of the authorisation itself. An authorisation under s 74(3), after all, confers a mandate and the duration of the mandate depends, in the absence of any statutory direction, upon the terms of the authorisation itself”</w:t>
      </w:r>
      <w:r w:rsidR="00D462B9" w:rsidRPr="008B18DB">
        <w:rPr>
          <w:rStyle w:val="FootnoteReference"/>
          <w:rFonts w:ascii="Arial" w:hAnsi="Arial" w:cs="Arial"/>
        </w:rPr>
        <w:footnoteReference w:id="96"/>
      </w:r>
    </w:p>
    <w:p w:rsidR="003F3A3B" w:rsidRPr="008B18DB" w:rsidRDefault="003F3A3B" w:rsidP="003531BA">
      <w:pPr>
        <w:spacing w:after="0" w:line="360" w:lineRule="auto"/>
        <w:jc w:val="both"/>
        <w:rPr>
          <w:rFonts w:ascii="Arial" w:hAnsi="Arial" w:cs="Arial"/>
        </w:rPr>
      </w:pPr>
    </w:p>
    <w:p w:rsidR="00D462B9" w:rsidRPr="00D6617A" w:rsidRDefault="00D462B9" w:rsidP="002416C5">
      <w:pPr>
        <w:spacing w:after="0" w:line="360" w:lineRule="auto"/>
        <w:jc w:val="both"/>
        <w:rPr>
          <w:rFonts w:ascii="Arial" w:hAnsi="Arial" w:cs="Arial"/>
        </w:rPr>
      </w:pPr>
      <w:r w:rsidRPr="00D6617A">
        <w:rPr>
          <w:rFonts w:ascii="Arial" w:hAnsi="Arial" w:cs="Arial"/>
        </w:rPr>
        <w:t>When the Court granted its order of 14 September 2016 it specifically ordered that the warrant must be executed in accordance with section 34(6) of the Act between the hours of 07h00 and 18h00.</w:t>
      </w:r>
      <w:r w:rsidRPr="00D6617A">
        <w:rPr>
          <w:rStyle w:val="FootnoteReference"/>
          <w:rFonts w:ascii="Arial" w:hAnsi="Arial" w:cs="Arial"/>
        </w:rPr>
        <w:footnoteReference w:id="97"/>
      </w:r>
    </w:p>
    <w:p w:rsidR="003F3A3B" w:rsidRPr="00D6617A" w:rsidRDefault="003F3A3B" w:rsidP="003531BA">
      <w:pPr>
        <w:spacing w:after="0" w:line="360" w:lineRule="auto"/>
        <w:ind w:left="567"/>
        <w:jc w:val="both"/>
        <w:rPr>
          <w:rFonts w:ascii="Arial" w:hAnsi="Arial" w:cs="Arial"/>
        </w:rPr>
      </w:pPr>
    </w:p>
    <w:p w:rsidR="00D462B9" w:rsidRPr="00D6617A" w:rsidRDefault="00D462B9" w:rsidP="002416C5">
      <w:pPr>
        <w:spacing w:after="0" w:line="360" w:lineRule="auto"/>
        <w:jc w:val="both"/>
        <w:rPr>
          <w:rFonts w:ascii="Arial" w:hAnsi="Arial" w:cs="Arial"/>
        </w:rPr>
      </w:pPr>
      <w:r w:rsidRPr="00D6617A">
        <w:rPr>
          <w:rFonts w:ascii="Arial" w:hAnsi="Arial" w:cs="Arial"/>
        </w:rPr>
        <w:t>Section 34(6) of the Act provides that:</w:t>
      </w:r>
    </w:p>
    <w:p w:rsidR="003F3A3B" w:rsidRDefault="003F3A3B" w:rsidP="003531BA">
      <w:pPr>
        <w:autoSpaceDE w:val="0"/>
        <w:autoSpaceDN w:val="0"/>
        <w:adjustRightInd w:val="0"/>
        <w:spacing w:after="0" w:line="360" w:lineRule="auto"/>
        <w:ind w:firstLine="567"/>
        <w:jc w:val="both"/>
        <w:rPr>
          <w:rFonts w:ascii="Arial" w:hAnsi="Arial" w:cs="Arial"/>
          <w:sz w:val="24"/>
          <w:szCs w:val="24"/>
        </w:rPr>
      </w:pPr>
    </w:p>
    <w:p w:rsidR="00D462B9" w:rsidRPr="00AF4007" w:rsidRDefault="003F3A3B" w:rsidP="00C4765D">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w:t>
      </w:r>
      <w:r w:rsidR="00D462B9" w:rsidRPr="002416C5">
        <w:rPr>
          <w:rFonts w:ascii="Arial" w:hAnsi="Arial" w:cs="Arial"/>
        </w:rPr>
        <w:t>A warrant may be executed on any day between 7:00 and 18:00 unless a</w:t>
      </w:r>
      <w:r w:rsidRPr="002416C5">
        <w:rPr>
          <w:rFonts w:ascii="Arial" w:hAnsi="Arial" w:cs="Arial"/>
        </w:rPr>
        <w:t xml:space="preserve"> </w:t>
      </w:r>
      <w:r w:rsidR="00D462B9" w:rsidRPr="002416C5">
        <w:rPr>
          <w:rFonts w:ascii="Arial" w:hAnsi="Arial" w:cs="Arial"/>
        </w:rPr>
        <w:t>different time that is reasonable in the circumstances is authorised and specified in the warrant by the judge granting the warrant.</w:t>
      </w:r>
      <w:r>
        <w:rPr>
          <w:rFonts w:ascii="Arial" w:hAnsi="Arial" w:cs="Arial"/>
          <w:sz w:val="24"/>
          <w:szCs w:val="24"/>
        </w:rPr>
        <w:t>’</w:t>
      </w:r>
    </w:p>
    <w:p w:rsidR="00D462B9" w:rsidRPr="00AF4007" w:rsidRDefault="00D462B9" w:rsidP="003531BA">
      <w:pPr>
        <w:pStyle w:val="ListParagraph"/>
        <w:spacing w:line="360" w:lineRule="auto"/>
        <w:ind w:left="1418"/>
        <w:jc w:val="both"/>
        <w:rPr>
          <w:rFonts w:cs="Arial"/>
        </w:rPr>
      </w:pPr>
    </w:p>
    <w:p w:rsidR="00D462B9" w:rsidRPr="00D6617A" w:rsidRDefault="00D462B9" w:rsidP="002416C5">
      <w:pPr>
        <w:spacing w:after="0" w:line="360" w:lineRule="auto"/>
        <w:jc w:val="both"/>
        <w:rPr>
          <w:rFonts w:ascii="Arial" w:hAnsi="Arial" w:cs="Arial"/>
        </w:rPr>
      </w:pPr>
      <w:r w:rsidRPr="00D6617A">
        <w:rPr>
          <w:rFonts w:ascii="Arial" w:hAnsi="Arial" w:cs="Arial"/>
        </w:rPr>
        <w:t>The terms of the Court Order were clear that the warrant was to be executed consecutively until it is discharged.</w:t>
      </w:r>
      <w:r w:rsidRPr="00D6617A">
        <w:rPr>
          <w:rStyle w:val="FootnoteReference"/>
          <w:rFonts w:ascii="Arial" w:hAnsi="Arial" w:cs="Arial"/>
        </w:rPr>
        <w:footnoteReference w:id="98"/>
      </w:r>
      <w:r w:rsidRPr="00D6617A">
        <w:rPr>
          <w:rFonts w:ascii="Arial" w:hAnsi="Arial" w:cs="Arial"/>
        </w:rPr>
        <w:t xml:space="preserve"> It is common cause between the parties that the warrant was executed on 15 September 2016 and was discharged on 17 September 2016. </w:t>
      </w:r>
      <w:r w:rsidRPr="00D6617A">
        <w:rPr>
          <w:rStyle w:val="FootnoteReference"/>
          <w:rFonts w:ascii="Arial" w:hAnsi="Arial" w:cs="Arial"/>
        </w:rPr>
        <w:footnoteReference w:id="99"/>
      </w:r>
      <w:r w:rsidRPr="00D6617A">
        <w:rPr>
          <w:rFonts w:ascii="Arial" w:hAnsi="Arial" w:cs="Arial"/>
        </w:rPr>
        <w:t xml:space="preserve">  The warrant issued by the Court in this matter therefore was discharged by execution on 17 September 2016 in terms of section 34(5)(a) of the Act. </w:t>
      </w:r>
    </w:p>
    <w:p w:rsidR="003F3A3B" w:rsidRPr="00D6617A" w:rsidRDefault="003F3A3B" w:rsidP="003531BA">
      <w:pPr>
        <w:spacing w:after="0" w:line="360" w:lineRule="auto"/>
        <w:jc w:val="both"/>
        <w:rPr>
          <w:rFonts w:cs="Arial"/>
        </w:rPr>
      </w:pPr>
    </w:p>
    <w:p w:rsidR="00D462B9" w:rsidRPr="00D6617A" w:rsidRDefault="00D462B9" w:rsidP="002416C5">
      <w:pPr>
        <w:spacing w:after="0" w:line="360" w:lineRule="auto"/>
        <w:jc w:val="both"/>
        <w:rPr>
          <w:rFonts w:ascii="Arial" w:hAnsi="Arial" w:cs="Arial"/>
        </w:rPr>
      </w:pPr>
      <w:r w:rsidRPr="00D6617A">
        <w:rPr>
          <w:rFonts w:ascii="Arial" w:hAnsi="Arial" w:cs="Arial"/>
        </w:rPr>
        <w:t>Its counter-application in terms of Rule 69 is similarly flawed. Counter applications can only be brought when there is a pending application for relief.  Once the order granted pursuant to the application is granted and indeed thereafter discharged, the application has been finalised and no counter-application can competently be brought.</w:t>
      </w:r>
    </w:p>
    <w:p w:rsidR="003F3A3B" w:rsidRPr="00D6617A" w:rsidRDefault="003F3A3B" w:rsidP="003531BA">
      <w:pPr>
        <w:spacing w:after="0" w:line="360" w:lineRule="auto"/>
        <w:ind w:left="567"/>
        <w:jc w:val="both"/>
        <w:rPr>
          <w:rFonts w:ascii="Arial" w:hAnsi="Arial" w:cs="Arial"/>
        </w:rPr>
      </w:pPr>
    </w:p>
    <w:p w:rsidR="00D462B9" w:rsidRPr="00D6617A" w:rsidRDefault="00D462B9" w:rsidP="002416C5">
      <w:pPr>
        <w:pStyle w:val="ListParagraph"/>
        <w:numPr>
          <w:ilvl w:val="0"/>
          <w:numId w:val="9"/>
        </w:numPr>
        <w:spacing w:line="360" w:lineRule="auto"/>
        <w:ind w:left="0" w:firstLine="0"/>
        <w:jc w:val="both"/>
        <w:rPr>
          <w:rFonts w:cs="Arial"/>
          <w:sz w:val="22"/>
          <w:szCs w:val="22"/>
        </w:rPr>
      </w:pPr>
      <w:r w:rsidRPr="00D6617A">
        <w:rPr>
          <w:rFonts w:cs="Arial"/>
          <w:sz w:val="22"/>
          <w:szCs w:val="22"/>
        </w:rPr>
        <w:t>Third</w:t>
      </w:r>
      <w:r w:rsidR="003F3A3B" w:rsidRPr="00D6617A">
        <w:rPr>
          <w:rFonts w:cs="Arial"/>
          <w:sz w:val="22"/>
          <w:szCs w:val="22"/>
        </w:rPr>
        <w:t>ly</w:t>
      </w:r>
      <w:r w:rsidRPr="00D6617A">
        <w:rPr>
          <w:rFonts w:cs="Arial"/>
          <w:sz w:val="22"/>
          <w:szCs w:val="22"/>
        </w:rPr>
        <w:t>, the relief sought in the anticipation notice and the counter-application are mutually exclusive. The anticipation notice seeks to restore the status quo ante.  The counter-application, by contrast, proceeds on the basis that a warrant has been granted, and seeks to challenge its outcome.  These are two fundamentally inconsistent methods of proceeding.  Puma cannot seek them in parallel to one another.</w:t>
      </w:r>
      <w:r w:rsidR="00D6617A" w:rsidRPr="00D6617A">
        <w:rPr>
          <w:rFonts w:cs="Arial"/>
          <w:sz w:val="22"/>
          <w:szCs w:val="22"/>
        </w:rPr>
        <w:t>’</w:t>
      </w:r>
    </w:p>
    <w:p w:rsidR="003F3A3B" w:rsidRPr="003F3A3B" w:rsidRDefault="003F3A3B" w:rsidP="003531BA">
      <w:pPr>
        <w:spacing w:after="0" w:line="360" w:lineRule="auto"/>
        <w:ind w:left="360"/>
        <w:jc w:val="both"/>
        <w:rPr>
          <w:rFonts w:cs="Arial"/>
        </w:rPr>
      </w:pPr>
    </w:p>
    <w:p w:rsidR="00D462B9" w:rsidRPr="003F3A3B" w:rsidRDefault="008B18DB" w:rsidP="003531BA">
      <w:pPr>
        <w:spacing w:after="0" w:line="360" w:lineRule="auto"/>
        <w:jc w:val="both"/>
        <w:rPr>
          <w:rFonts w:ascii="Arial" w:hAnsi="Arial" w:cs="Arial"/>
          <w:sz w:val="24"/>
          <w:szCs w:val="24"/>
        </w:rPr>
      </w:pPr>
      <w:r>
        <w:rPr>
          <w:rFonts w:ascii="Arial" w:hAnsi="Arial" w:cs="Arial"/>
          <w:sz w:val="24"/>
          <w:szCs w:val="24"/>
        </w:rPr>
        <w:t>[</w:t>
      </w:r>
      <w:r w:rsidR="002416C5">
        <w:rPr>
          <w:rFonts w:ascii="Arial" w:hAnsi="Arial" w:cs="Arial"/>
          <w:sz w:val="24"/>
          <w:szCs w:val="24"/>
        </w:rPr>
        <w:t>27</w:t>
      </w:r>
      <w:r>
        <w:rPr>
          <w:rFonts w:ascii="Arial" w:hAnsi="Arial" w:cs="Arial"/>
          <w:sz w:val="24"/>
          <w:szCs w:val="24"/>
        </w:rPr>
        <w:t>]</w:t>
      </w:r>
      <w:r>
        <w:rPr>
          <w:rFonts w:ascii="Arial" w:hAnsi="Arial" w:cs="Arial"/>
          <w:sz w:val="24"/>
          <w:szCs w:val="24"/>
        </w:rPr>
        <w:tab/>
      </w:r>
      <w:r w:rsidR="00ED1EE7">
        <w:rPr>
          <w:rFonts w:ascii="Arial" w:hAnsi="Arial" w:cs="Arial"/>
          <w:sz w:val="24"/>
          <w:szCs w:val="24"/>
        </w:rPr>
        <w:t>Counsel for the Commission</w:t>
      </w:r>
      <w:r w:rsidR="00D462B9" w:rsidRPr="003F3A3B">
        <w:rPr>
          <w:rFonts w:ascii="Arial" w:hAnsi="Arial" w:cs="Arial"/>
          <w:sz w:val="24"/>
          <w:szCs w:val="24"/>
        </w:rPr>
        <w:t xml:space="preserve"> accordingly submit</w:t>
      </w:r>
      <w:r w:rsidR="003F3A3B">
        <w:rPr>
          <w:rFonts w:ascii="Arial" w:hAnsi="Arial" w:cs="Arial"/>
          <w:sz w:val="24"/>
          <w:szCs w:val="24"/>
        </w:rPr>
        <w:t>ted that Puma had</w:t>
      </w:r>
      <w:r w:rsidR="00D462B9" w:rsidRPr="003F3A3B">
        <w:rPr>
          <w:rFonts w:ascii="Arial" w:hAnsi="Arial" w:cs="Arial"/>
          <w:sz w:val="24"/>
          <w:szCs w:val="24"/>
        </w:rPr>
        <w:t xml:space="preserve"> invo</w:t>
      </w:r>
      <w:r w:rsidR="003F3A3B">
        <w:rPr>
          <w:rFonts w:ascii="Arial" w:hAnsi="Arial" w:cs="Arial"/>
          <w:sz w:val="24"/>
          <w:szCs w:val="24"/>
        </w:rPr>
        <w:t>ked</w:t>
      </w:r>
      <w:r w:rsidR="00D462B9" w:rsidRPr="003F3A3B">
        <w:rPr>
          <w:rFonts w:ascii="Arial" w:hAnsi="Arial" w:cs="Arial"/>
          <w:sz w:val="24"/>
          <w:szCs w:val="24"/>
        </w:rPr>
        <w:t xml:space="preserve"> defective process</w:t>
      </w:r>
      <w:r w:rsidR="003F3A3B">
        <w:rPr>
          <w:rFonts w:ascii="Arial" w:hAnsi="Arial" w:cs="Arial"/>
          <w:sz w:val="24"/>
          <w:szCs w:val="24"/>
        </w:rPr>
        <w:t>es</w:t>
      </w:r>
      <w:r w:rsidR="00D462B9" w:rsidRPr="003F3A3B">
        <w:rPr>
          <w:rFonts w:ascii="Arial" w:hAnsi="Arial" w:cs="Arial"/>
          <w:sz w:val="24"/>
          <w:szCs w:val="24"/>
        </w:rPr>
        <w:t>.  Properly understood, these proceedings</w:t>
      </w:r>
      <w:r>
        <w:rPr>
          <w:rFonts w:ascii="Arial" w:hAnsi="Arial" w:cs="Arial"/>
          <w:sz w:val="24"/>
          <w:szCs w:val="24"/>
        </w:rPr>
        <w:t>, in</w:t>
      </w:r>
      <w:r w:rsidR="00ED1EE7">
        <w:rPr>
          <w:rFonts w:ascii="Arial" w:hAnsi="Arial" w:cs="Arial"/>
          <w:sz w:val="24"/>
          <w:szCs w:val="24"/>
        </w:rPr>
        <w:t xml:space="preserve"> their</w:t>
      </w:r>
      <w:r>
        <w:rPr>
          <w:rFonts w:ascii="Arial" w:hAnsi="Arial" w:cs="Arial"/>
          <w:sz w:val="24"/>
          <w:szCs w:val="24"/>
        </w:rPr>
        <w:t xml:space="preserve"> view,</w:t>
      </w:r>
      <w:r w:rsidR="00ED1EE7">
        <w:rPr>
          <w:rFonts w:ascii="Arial" w:hAnsi="Arial" w:cs="Arial"/>
          <w:sz w:val="24"/>
          <w:szCs w:val="24"/>
        </w:rPr>
        <w:t xml:space="preserve"> we</w:t>
      </w:r>
      <w:r w:rsidR="00D462B9" w:rsidRPr="003F3A3B">
        <w:rPr>
          <w:rFonts w:ascii="Arial" w:hAnsi="Arial" w:cs="Arial"/>
          <w:sz w:val="24"/>
          <w:szCs w:val="24"/>
        </w:rPr>
        <w:t xml:space="preserve">re </w:t>
      </w:r>
      <w:r w:rsidR="003F3A3B">
        <w:rPr>
          <w:rFonts w:ascii="Arial" w:hAnsi="Arial" w:cs="Arial"/>
          <w:sz w:val="24"/>
          <w:szCs w:val="24"/>
        </w:rPr>
        <w:t xml:space="preserve">actually </w:t>
      </w:r>
      <w:r w:rsidR="00D462B9" w:rsidRPr="003F3A3B">
        <w:rPr>
          <w:rFonts w:ascii="Arial" w:hAnsi="Arial" w:cs="Arial"/>
          <w:sz w:val="24"/>
          <w:szCs w:val="24"/>
        </w:rPr>
        <w:t>in the nature of a review.  Puma</w:t>
      </w:r>
      <w:r w:rsidR="00ED1EE7">
        <w:rPr>
          <w:rFonts w:ascii="Arial" w:hAnsi="Arial" w:cs="Arial"/>
          <w:sz w:val="24"/>
          <w:szCs w:val="24"/>
        </w:rPr>
        <w:t xml:space="preserve"> was seeking</w:t>
      </w:r>
      <w:r w:rsidR="00D462B9" w:rsidRPr="003F3A3B">
        <w:rPr>
          <w:rFonts w:ascii="Arial" w:hAnsi="Arial" w:cs="Arial"/>
          <w:sz w:val="24"/>
          <w:szCs w:val="24"/>
        </w:rPr>
        <w:t xml:space="preserve"> to set aside a warrant that has been granted and executed.  Indeed, Puma’s legal practitioners appear, implicitly, to recognise as much</w:t>
      </w:r>
      <w:r w:rsidR="00D6617A">
        <w:rPr>
          <w:rFonts w:ascii="Arial" w:hAnsi="Arial" w:cs="Arial"/>
          <w:sz w:val="24"/>
          <w:szCs w:val="24"/>
        </w:rPr>
        <w:t>, so the argument ran further</w:t>
      </w:r>
      <w:r w:rsidR="00D462B9" w:rsidRPr="003F3A3B">
        <w:rPr>
          <w:rFonts w:ascii="Arial" w:hAnsi="Arial" w:cs="Arial"/>
          <w:sz w:val="24"/>
          <w:szCs w:val="24"/>
        </w:rPr>
        <w:t>.  Their correspondence in anticipation of these proceedings notified the Commission that a review would be brought.</w:t>
      </w:r>
      <w:r w:rsidR="00D462B9" w:rsidRPr="003F3A3B">
        <w:rPr>
          <w:rStyle w:val="FootnoteReference"/>
          <w:rFonts w:ascii="Arial" w:hAnsi="Arial" w:cs="Arial"/>
          <w:sz w:val="24"/>
          <w:szCs w:val="24"/>
        </w:rPr>
        <w:footnoteReference w:id="100"/>
      </w:r>
      <w:r w:rsidR="003F3A3B">
        <w:rPr>
          <w:rFonts w:ascii="Arial" w:hAnsi="Arial" w:cs="Arial"/>
          <w:sz w:val="24"/>
          <w:szCs w:val="24"/>
        </w:rPr>
        <w:t xml:space="preserve"> That should have implications on</w:t>
      </w:r>
      <w:r w:rsidR="00D462B9" w:rsidRPr="003F3A3B">
        <w:rPr>
          <w:rFonts w:ascii="Arial" w:hAnsi="Arial" w:cs="Arial"/>
          <w:sz w:val="24"/>
          <w:szCs w:val="24"/>
        </w:rPr>
        <w:t xml:space="preserve"> the manner in which this matter must be approached and determined.  </w:t>
      </w:r>
    </w:p>
    <w:p w:rsidR="00D462B9" w:rsidRPr="00ED1EE7" w:rsidRDefault="00D462B9" w:rsidP="003531BA">
      <w:pPr>
        <w:pStyle w:val="Heading1"/>
        <w:spacing w:before="0" w:after="0" w:line="360" w:lineRule="auto"/>
        <w:rPr>
          <w:rFonts w:ascii="Arial" w:hAnsi="Arial" w:cs="Arial"/>
          <w:sz w:val="24"/>
          <w:szCs w:val="24"/>
        </w:rPr>
      </w:pPr>
    </w:p>
    <w:p w:rsidR="00D462B9" w:rsidRDefault="00ED1EE7" w:rsidP="003531BA">
      <w:pPr>
        <w:spacing w:after="0" w:line="360" w:lineRule="auto"/>
        <w:jc w:val="both"/>
        <w:rPr>
          <w:rFonts w:ascii="Arial" w:hAnsi="Arial" w:cs="Arial"/>
          <w:sz w:val="24"/>
          <w:szCs w:val="24"/>
          <w:lang w:val="en-ZA"/>
        </w:rPr>
      </w:pPr>
      <w:r>
        <w:rPr>
          <w:rFonts w:ascii="Arial" w:hAnsi="Arial" w:cs="Arial"/>
          <w:sz w:val="24"/>
          <w:szCs w:val="24"/>
        </w:rPr>
        <w:t>[</w:t>
      </w:r>
      <w:r w:rsidR="002416C5">
        <w:rPr>
          <w:rFonts w:ascii="Arial" w:hAnsi="Arial" w:cs="Arial"/>
          <w:sz w:val="24"/>
          <w:szCs w:val="24"/>
        </w:rPr>
        <w:t>28</w:t>
      </w:r>
      <w:r>
        <w:rPr>
          <w:rFonts w:ascii="Arial" w:hAnsi="Arial" w:cs="Arial"/>
          <w:sz w:val="24"/>
          <w:szCs w:val="24"/>
        </w:rPr>
        <w:t>]</w:t>
      </w:r>
      <w:r>
        <w:rPr>
          <w:rFonts w:ascii="Arial" w:hAnsi="Arial" w:cs="Arial"/>
          <w:sz w:val="24"/>
          <w:szCs w:val="24"/>
        </w:rPr>
        <w:tab/>
      </w:r>
      <w:r w:rsidRPr="00ED1EE7">
        <w:rPr>
          <w:rFonts w:ascii="Arial" w:hAnsi="Arial" w:cs="Arial"/>
          <w:sz w:val="24"/>
          <w:szCs w:val="24"/>
        </w:rPr>
        <w:t>On this score it was further submitted that i</w:t>
      </w:r>
      <w:r w:rsidR="00D462B9" w:rsidRPr="00ED1EE7">
        <w:rPr>
          <w:rFonts w:ascii="Arial" w:hAnsi="Arial" w:cs="Arial"/>
          <w:sz w:val="24"/>
          <w:szCs w:val="24"/>
        </w:rPr>
        <w:t xml:space="preserve">n granting the warrant, the High Court </w:t>
      </w:r>
      <w:r w:rsidR="00D6617A">
        <w:rPr>
          <w:rFonts w:ascii="Arial" w:hAnsi="Arial" w:cs="Arial"/>
          <w:sz w:val="24"/>
          <w:szCs w:val="24"/>
        </w:rPr>
        <w:t xml:space="preserve">had </w:t>
      </w:r>
      <w:r w:rsidR="00D462B9" w:rsidRPr="00ED1EE7">
        <w:rPr>
          <w:rFonts w:ascii="Arial" w:hAnsi="Arial" w:cs="Arial"/>
          <w:sz w:val="24"/>
          <w:szCs w:val="24"/>
        </w:rPr>
        <w:t>exercised a discretion that this Court should not lightly interfere with.</w:t>
      </w:r>
      <w:r w:rsidR="00D6617A">
        <w:rPr>
          <w:rFonts w:ascii="Arial" w:hAnsi="Arial" w:cs="Arial"/>
          <w:sz w:val="24"/>
          <w:szCs w:val="24"/>
        </w:rPr>
        <w:t xml:space="preserve"> H</w:t>
      </w:r>
      <w:r>
        <w:rPr>
          <w:rFonts w:ascii="Arial" w:hAnsi="Arial" w:cs="Arial"/>
          <w:sz w:val="24"/>
          <w:szCs w:val="24"/>
        </w:rPr>
        <w:t xml:space="preserve">ere </w:t>
      </w:r>
      <w:r>
        <w:rPr>
          <w:rFonts w:ascii="Arial" w:hAnsi="Arial" w:cs="Arial"/>
          <w:sz w:val="24"/>
          <w:szCs w:val="24"/>
        </w:rPr>
        <w:lastRenderedPageBreak/>
        <w:t>it wa</w:t>
      </w:r>
      <w:r w:rsidR="00D462B9" w:rsidRPr="00ED1EE7">
        <w:rPr>
          <w:rFonts w:ascii="Arial" w:hAnsi="Arial" w:cs="Arial"/>
          <w:sz w:val="24"/>
          <w:szCs w:val="24"/>
        </w:rPr>
        <w:t>s trite that the power to interfere in the exercise of a discretion by a court a quo is “</w:t>
      </w:r>
      <w:r w:rsidR="00D462B9" w:rsidRPr="00ED1EE7">
        <w:rPr>
          <w:rFonts w:ascii="Arial" w:hAnsi="Arial" w:cs="Arial"/>
          <w:i/>
          <w:sz w:val="24"/>
          <w:szCs w:val="24"/>
        </w:rPr>
        <w:t>strictly circumscribed</w:t>
      </w:r>
      <w:r w:rsidR="00D462B9" w:rsidRPr="00ED1EE7">
        <w:rPr>
          <w:rFonts w:ascii="Arial" w:hAnsi="Arial" w:cs="Arial"/>
          <w:sz w:val="24"/>
          <w:szCs w:val="24"/>
        </w:rPr>
        <w:t>”.</w:t>
      </w:r>
      <w:r w:rsidR="00D462B9" w:rsidRPr="00ED1EE7">
        <w:rPr>
          <w:rFonts w:ascii="Arial" w:hAnsi="Arial" w:cs="Arial"/>
          <w:sz w:val="24"/>
          <w:szCs w:val="24"/>
          <w:vertAlign w:val="superscript"/>
        </w:rPr>
        <w:footnoteReference w:id="101"/>
      </w:r>
      <w:r w:rsidR="00D462B9" w:rsidRPr="00ED1EE7">
        <w:rPr>
          <w:rFonts w:ascii="Arial" w:hAnsi="Arial" w:cs="Arial"/>
          <w:sz w:val="24"/>
          <w:szCs w:val="24"/>
          <w:vertAlign w:val="superscript"/>
        </w:rPr>
        <w:t xml:space="preserve"> </w:t>
      </w:r>
      <w:r w:rsidR="00D462B9" w:rsidRPr="00ED1EE7">
        <w:rPr>
          <w:rFonts w:ascii="Arial" w:hAnsi="Arial" w:cs="Arial"/>
          <w:sz w:val="24"/>
          <w:szCs w:val="24"/>
        </w:rPr>
        <w:t xml:space="preserve"> </w:t>
      </w:r>
      <w:r w:rsidR="00D462B9" w:rsidRPr="00ED1EE7">
        <w:rPr>
          <w:rFonts w:ascii="Arial" w:hAnsi="Arial" w:cs="Arial"/>
          <w:sz w:val="24"/>
          <w:szCs w:val="24"/>
          <w:lang w:val="en-ZA"/>
        </w:rPr>
        <w:t>The case law permits of a later court to intervene only “</w:t>
      </w:r>
      <w:r w:rsidR="00D462B9" w:rsidRPr="00ED1EE7">
        <w:rPr>
          <w:rFonts w:ascii="Arial" w:hAnsi="Arial" w:cs="Arial"/>
          <w:i/>
          <w:sz w:val="24"/>
          <w:szCs w:val="24"/>
          <w:lang w:val="en-ZA"/>
        </w:rPr>
        <w:t>if the court has exercised the discretionary power capriciously, was moved by a wrong principle of law or an incorrect appreciation of the facts, had not brought its unbiased judgment to bear on the issue, or had not acted for substantial reasons</w:t>
      </w:r>
      <w:r w:rsidR="00D462B9" w:rsidRPr="00ED1EE7">
        <w:rPr>
          <w:rFonts w:ascii="Arial" w:hAnsi="Arial" w:cs="Arial"/>
          <w:sz w:val="24"/>
          <w:szCs w:val="24"/>
          <w:lang w:val="en-ZA"/>
        </w:rPr>
        <w:t>.”</w:t>
      </w:r>
      <w:r w:rsidR="00D462B9" w:rsidRPr="00ED1EE7">
        <w:rPr>
          <w:rStyle w:val="FootnoteReference"/>
          <w:rFonts w:ascii="Arial" w:hAnsi="Arial" w:cs="Arial"/>
          <w:sz w:val="24"/>
          <w:szCs w:val="24"/>
          <w:lang w:val="en-ZA"/>
        </w:rPr>
        <w:footnoteReference w:id="102"/>
      </w:r>
      <w:r w:rsidR="00BE6820">
        <w:rPr>
          <w:rFonts w:ascii="Arial" w:hAnsi="Arial" w:cs="Arial"/>
          <w:sz w:val="24"/>
          <w:szCs w:val="24"/>
          <w:lang w:val="en-ZA"/>
        </w:rPr>
        <w:t xml:space="preserve"> (own emphasis.)</w:t>
      </w:r>
    </w:p>
    <w:p w:rsidR="00ED1EE7" w:rsidRPr="00ED1EE7" w:rsidRDefault="00ED1EE7" w:rsidP="003531BA">
      <w:pPr>
        <w:spacing w:after="0" w:line="360" w:lineRule="auto"/>
        <w:jc w:val="both"/>
        <w:rPr>
          <w:rFonts w:ascii="Arial" w:hAnsi="Arial" w:cs="Arial"/>
          <w:sz w:val="24"/>
          <w:szCs w:val="24"/>
        </w:rPr>
      </w:pPr>
    </w:p>
    <w:p w:rsidR="00D462B9" w:rsidRPr="00ED1EE7" w:rsidRDefault="00ED1EE7" w:rsidP="003531BA">
      <w:pPr>
        <w:spacing w:after="0" w:line="360" w:lineRule="auto"/>
        <w:jc w:val="both"/>
        <w:rPr>
          <w:rFonts w:ascii="Arial" w:hAnsi="Arial" w:cs="Arial"/>
          <w:sz w:val="24"/>
          <w:szCs w:val="24"/>
          <w:lang w:val="en-ZA"/>
        </w:rPr>
      </w:pPr>
      <w:r>
        <w:rPr>
          <w:rFonts w:ascii="Arial" w:hAnsi="Arial" w:cs="Arial"/>
          <w:sz w:val="24"/>
          <w:szCs w:val="24"/>
          <w:lang w:val="en-ZA"/>
        </w:rPr>
        <w:t>[</w:t>
      </w:r>
      <w:r w:rsidR="002416C5">
        <w:rPr>
          <w:rFonts w:ascii="Arial" w:hAnsi="Arial" w:cs="Arial"/>
          <w:sz w:val="24"/>
          <w:szCs w:val="24"/>
          <w:lang w:val="en-ZA"/>
        </w:rPr>
        <w:t>29</w:t>
      </w:r>
      <w:r>
        <w:rPr>
          <w:rFonts w:ascii="Arial" w:hAnsi="Arial" w:cs="Arial"/>
          <w:sz w:val="24"/>
          <w:szCs w:val="24"/>
          <w:lang w:val="en-ZA"/>
        </w:rPr>
        <w:t>]</w:t>
      </w:r>
      <w:r>
        <w:rPr>
          <w:rFonts w:ascii="Arial" w:hAnsi="Arial" w:cs="Arial"/>
          <w:sz w:val="24"/>
          <w:szCs w:val="24"/>
          <w:lang w:val="en-ZA"/>
        </w:rPr>
        <w:tab/>
      </w:r>
      <w:r w:rsidRPr="00ED1EE7">
        <w:rPr>
          <w:rFonts w:ascii="Arial" w:hAnsi="Arial" w:cs="Arial"/>
          <w:sz w:val="24"/>
          <w:szCs w:val="24"/>
          <w:lang w:val="en-ZA"/>
        </w:rPr>
        <w:t>It was t</w:t>
      </w:r>
      <w:r w:rsidR="00D462B9" w:rsidRPr="00ED1EE7">
        <w:rPr>
          <w:rFonts w:ascii="Arial" w:hAnsi="Arial" w:cs="Arial"/>
          <w:sz w:val="24"/>
          <w:szCs w:val="24"/>
          <w:lang w:val="en-ZA"/>
        </w:rPr>
        <w:t>hus</w:t>
      </w:r>
      <w:r w:rsidRPr="00ED1EE7">
        <w:rPr>
          <w:rFonts w:ascii="Arial" w:hAnsi="Arial" w:cs="Arial"/>
          <w:sz w:val="24"/>
          <w:szCs w:val="24"/>
          <w:lang w:val="en-ZA"/>
        </w:rPr>
        <w:t xml:space="preserve"> argued that</w:t>
      </w:r>
      <w:r>
        <w:rPr>
          <w:rFonts w:ascii="Arial" w:hAnsi="Arial" w:cs="Arial"/>
          <w:sz w:val="24"/>
          <w:szCs w:val="24"/>
          <w:lang w:val="en-ZA"/>
        </w:rPr>
        <w:t xml:space="preserve"> Puma could</w:t>
      </w:r>
      <w:r w:rsidR="00D462B9" w:rsidRPr="00ED1EE7">
        <w:rPr>
          <w:rFonts w:ascii="Arial" w:hAnsi="Arial" w:cs="Arial"/>
          <w:sz w:val="24"/>
          <w:szCs w:val="24"/>
          <w:lang w:val="en-ZA"/>
        </w:rPr>
        <w:t xml:space="preserve"> only succeed in setting aside the warrant if it can show that its grant was “</w:t>
      </w:r>
      <w:r w:rsidR="00D462B9" w:rsidRPr="00ED1EE7">
        <w:rPr>
          <w:rFonts w:ascii="Arial" w:hAnsi="Arial" w:cs="Arial"/>
          <w:i/>
          <w:sz w:val="24"/>
          <w:szCs w:val="24"/>
          <w:lang w:val="en-ZA"/>
        </w:rPr>
        <w:t>clearly wrong or if there were irregularities and/or misdirections justifying the setting aside of the findings and conclusions</w:t>
      </w:r>
      <w:r w:rsidR="00D462B9" w:rsidRPr="00ED1EE7">
        <w:rPr>
          <w:rFonts w:ascii="Arial" w:hAnsi="Arial" w:cs="Arial"/>
          <w:sz w:val="24"/>
          <w:szCs w:val="24"/>
          <w:lang w:val="en-ZA"/>
        </w:rPr>
        <w:t>”.</w:t>
      </w:r>
      <w:r w:rsidR="00D462B9" w:rsidRPr="00ED1EE7">
        <w:rPr>
          <w:rStyle w:val="FootnoteReference"/>
          <w:rFonts w:ascii="Arial" w:hAnsi="Arial" w:cs="Arial"/>
          <w:sz w:val="24"/>
          <w:szCs w:val="24"/>
          <w:lang w:val="en-ZA"/>
        </w:rPr>
        <w:footnoteReference w:id="103"/>
      </w:r>
      <w:r>
        <w:rPr>
          <w:rFonts w:ascii="Arial" w:hAnsi="Arial" w:cs="Arial"/>
          <w:sz w:val="24"/>
          <w:szCs w:val="24"/>
          <w:lang w:val="en-ZA"/>
        </w:rPr>
        <w:t xml:space="preserve"> N</w:t>
      </w:r>
      <w:r w:rsidR="00D462B9" w:rsidRPr="00ED1EE7">
        <w:rPr>
          <w:rFonts w:ascii="Arial" w:hAnsi="Arial" w:cs="Arial"/>
          <w:sz w:val="24"/>
          <w:szCs w:val="24"/>
        </w:rPr>
        <w:t>one of these grounds for interference pertain here.  Far from rubber-stamping</w:t>
      </w:r>
      <w:r>
        <w:rPr>
          <w:rFonts w:ascii="Arial" w:hAnsi="Arial" w:cs="Arial"/>
          <w:sz w:val="24"/>
          <w:szCs w:val="24"/>
        </w:rPr>
        <w:t xml:space="preserve"> the application, the Judge who had granted the warrant had</w:t>
      </w:r>
      <w:r w:rsidR="00D462B9" w:rsidRPr="00ED1EE7">
        <w:rPr>
          <w:rFonts w:ascii="Arial" w:hAnsi="Arial" w:cs="Arial"/>
          <w:sz w:val="24"/>
          <w:szCs w:val="24"/>
        </w:rPr>
        <w:t xml:space="preserve"> applied his mind and </w:t>
      </w:r>
      <w:r>
        <w:rPr>
          <w:rFonts w:ascii="Arial" w:hAnsi="Arial" w:cs="Arial"/>
          <w:sz w:val="24"/>
          <w:szCs w:val="24"/>
        </w:rPr>
        <w:t xml:space="preserve">had </w:t>
      </w:r>
      <w:r w:rsidR="00D462B9" w:rsidRPr="00ED1EE7">
        <w:rPr>
          <w:rFonts w:ascii="Arial" w:hAnsi="Arial" w:cs="Arial"/>
          <w:sz w:val="24"/>
          <w:szCs w:val="24"/>
        </w:rPr>
        <w:t>ultimately imposed additional restrictions on the conduct of the search and the terms of the warrant.  In doing so, he</w:t>
      </w:r>
      <w:r>
        <w:rPr>
          <w:rFonts w:ascii="Arial" w:hAnsi="Arial" w:cs="Arial"/>
          <w:sz w:val="24"/>
          <w:szCs w:val="24"/>
        </w:rPr>
        <w:t xml:space="preserve"> acted entirely appropriately. It could thus not be said</w:t>
      </w:r>
      <w:r>
        <w:rPr>
          <w:rFonts w:cs="Arial"/>
        </w:rPr>
        <w:t xml:space="preserve"> </w:t>
      </w:r>
      <w:r w:rsidRPr="00ED1EE7">
        <w:rPr>
          <w:rFonts w:ascii="Arial" w:hAnsi="Arial" w:cs="Arial"/>
          <w:sz w:val="24"/>
          <w:szCs w:val="24"/>
        </w:rPr>
        <w:t>that</w:t>
      </w:r>
      <w:r w:rsidR="00D462B9" w:rsidRPr="00ED1EE7">
        <w:rPr>
          <w:rFonts w:ascii="Arial" w:hAnsi="Arial" w:cs="Arial"/>
          <w:sz w:val="24"/>
          <w:szCs w:val="24"/>
        </w:rPr>
        <w:t xml:space="preserve"> no reasonable court would </w:t>
      </w:r>
      <w:r>
        <w:rPr>
          <w:rFonts w:ascii="Arial" w:hAnsi="Arial" w:cs="Arial"/>
          <w:sz w:val="24"/>
          <w:szCs w:val="24"/>
        </w:rPr>
        <w:t>not have authorised the warrant</w:t>
      </w:r>
      <w:r w:rsidR="00D462B9" w:rsidRPr="00ED1EE7">
        <w:rPr>
          <w:rFonts w:ascii="Arial" w:hAnsi="Arial" w:cs="Arial"/>
          <w:sz w:val="24"/>
          <w:szCs w:val="24"/>
        </w:rPr>
        <w:t>.</w:t>
      </w:r>
    </w:p>
    <w:p w:rsidR="00D462B9" w:rsidRPr="00404A25" w:rsidRDefault="00D462B9" w:rsidP="003531BA">
      <w:pPr>
        <w:widowControl w:val="0"/>
        <w:spacing w:after="0" w:line="360" w:lineRule="auto"/>
        <w:jc w:val="both"/>
        <w:rPr>
          <w:rFonts w:ascii="Arial" w:hAnsi="Arial" w:cs="Arial"/>
          <w:b/>
          <w:i/>
          <w:sz w:val="24"/>
          <w:szCs w:val="24"/>
        </w:rPr>
      </w:pPr>
    </w:p>
    <w:p w:rsidR="00D462B9" w:rsidRDefault="00404A25" w:rsidP="003531BA">
      <w:pPr>
        <w:spacing w:after="0" w:line="360" w:lineRule="auto"/>
        <w:jc w:val="both"/>
        <w:rPr>
          <w:rFonts w:ascii="Arial" w:hAnsi="Arial" w:cs="Arial"/>
          <w:sz w:val="24"/>
          <w:szCs w:val="24"/>
        </w:rPr>
      </w:pPr>
      <w:r w:rsidRPr="00404A25">
        <w:rPr>
          <w:rFonts w:ascii="Arial" w:hAnsi="Arial" w:cs="Arial"/>
          <w:sz w:val="24"/>
          <w:szCs w:val="24"/>
        </w:rPr>
        <w:t>[</w:t>
      </w:r>
      <w:r w:rsidR="002416C5">
        <w:rPr>
          <w:rFonts w:ascii="Arial" w:hAnsi="Arial" w:cs="Arial"/>
          <w:sz w:val="24"/>
          <w:szCs w:val="24"/>
        </w:rPr>
        <w:t>30</w:t>
      </w:r>
      <w:r w:rsidRPr="00404A25">
        <w:rPr>
          <w:rFonts w:ascii="Arial" w:hAnsi="Arial" w:cs="Arial"/>
          <w:sz w:val="24"/>
          <w:szCs w:val="24"/>
        </w:rPr>
        <w:t>]</w:t>
      </w:r>
      <w:r w:rsidRPr="00404A25">
        <w:rPr>
          <w:rFonts w:ascii="Arial" w:hAnsi="Arial" w:cs="Arial"/>
          <w:sz w:val="24"/>
          <w:szCs w:val="24"/>
        </w:rPr>
        <w:tab/>
      </w:r>
      <w:r>
        <w:rPr>
          <w:rFonts w:ascii="Arial" w:hAnsi="Arial" w:cs="Arial"/>
          <w:sz w:val="24"/>
          <w:szCs w:val="24"/>
        </w:rPr>
        <w:t xml:space="preserve">In response to the </w:t>
      </w:r>
      <w:r w:rsidRPr="00404A25">
        <w:rPr>
          <w:rFonts w:ascii="Arial" w:hAnsi="Arial" w:cs="Arial"/>
          <w:i/>
          <w:sz w:val="24"/>
          <w:szCs w:val="24"/>
        </w:rPr>
        <w:t>in limine</w:t>
      </w:r>
      <w:r>
        <w:rPr>
          <w:rFonts w:ascii="Arial" w:hAnsi="Arial" w:cs="Arial"/>
          <w:sz w:val="24"/>
          <w:szCs w:val="24"/>
        </w:rPr>
        <w:t xml:space="preserve"> objection in regard to Mr Ndalikokule’s authority to apply for the grant of the warrant raised by </w:t>
      </w:r>
      <w:r w:rsidR="00D462B9" w:rsidRPr="00404A25">
        <w:rPr>
          <w:rFonts w:ascii="Arial" w:hAnsi="Arial" w:cs="Arial"/>
          <w:sz w:val="24"/>
          <w:szCs w:val="24"/>
        </w:rPr>
        <w:t xml:space="preserve">Puma </w:t>
      </w:r>
      <w:r>
        <w:rPr>
          <w:rFonts w:ascii="Arial" w:hAnsi="Arial" w:cs="Arial"/>
          <w:sz w:val="24"/>
          <w:szCs w:val="24"/>
        </w:rPr>
        <w:t xml:space="preserve">the Commissions stance was that such objection should not be sustained. </w:t>
      </w:r>
    </w:p>
    <w:p w:rsidR="00404A25" w:rsidRPr="00404A25" w:rsidRDefault="00404A25" w:rsidP="003531BA">
      <w:pPr>
        <w:spacing w:after="0" w:line="360" w:lineRule="auto"/>
        <w:jc w:val="both"/>
        <w:rPr>
          <w:rFonts w:ascii="Arial" w:hAnsi="Arial" w:cs="Arial"/>
          <w:sz w:val="24"/>
          <w:szCs w:val="24"/>
        </w:rPr>
      </w:pPr>
    </w:p>
    <w:p w:rsidR="004F699F" w:rsidRDefault="004F699F" w:rsidP="003531BA">
      <w:pPr>
        <w:spacing w:after="0" w:line="360" w:lineRule="auto"/>
        <w:jc w:val="both"/>
        <w:rPr>
          <w:rFonts w:ascii="Arial" w:hAnsi="Arial" w:cs="Arial"/>
          <w:sz w:val="24"/>
          <w:szCs w:val="24"/>
        </w:rPr>
      </w:pPr>
      <w:r>
        <w:rPr>
          <w:rFonts w:ascii="Arial" w:hAnsi="Arial" w:cs="Arial"/>
          <w:sz w:val="24"/>
          <w:szCs w:val="24"/>
        </w:rPr>
        <w:t>[</w:t>
      </w:r>
      <w:r w:rsidR="002416C5">
        <w:rPr>
          <w:rFonts w:ascii="Arial" w:hAnsi="Arial" w:cs="Arial"/>
          <w:sz w:val="24"/>
          <w:szCs w:val="24"/>
        </w:rPr>
        <w:t>31</w:t>
      </w:r>
      <w:r>
        <w:rPr>
          <w:rFonts w:ascii="Arial" w:hAnsi="Arial" w:cs="Arial"/>
          <w:sz w:val="24"/>
          <w:szCs w:val="24"/>
        </w:rPr>
        <w:t>]</w:t>
      </w:r>
      <w:r>
        <w:rPr>
          <w:rFonts w:ascii="Arial" w:hAnsi="Arial" w:cs="Arial"/>
          <w:sz w:val="24"/>
          <w:szCs w:val="24"/>
        </w:rPr>
        <w:tab/>
        <w:t>This stance was based on</w:t>
      </w:r>
      <w:r w:rsidR="00404A25" w:rsidRPr="00404A25">
        <w:rPr>
          <w:rFonts w:ascii="Arial" w:hAnsi="Arial" w:cs="Arial"/>
          <w:sz w:val="24"/>
          <w:szCs w:val="24"/>
        </w:rPr>
        <w:t xml:space="preserve"> the </w:t>
      </w:r>
      <w:r>
        <w:rPr>
          <w:rFonts w:ascii="Arial" w:hAnsi="Arial" w:cs="Arial"/>
          <w:sz w:val="24"/>
          <w:szCs w:val="24"/>
        </w:rPr>
        <w:t xml:space="preserve">argument that </w:t>
      </w:r>
      <w:r w:rsidR="00D462B9" w:rsidRPr="00404A25">
        <w:rPr>
          <w:rFonts w:ascii="Arial" w:hAnsi="Arial" w:cs="Arial"/>
          <w:sz w:val="24"/>
          <w:szCs w:val="24"/>
        </w:rPr>
        <w:t>Mr Ndalikokule was appointed the acting Secretary of the Competition Commission from 1 July 2016.</w:t>
      </w:r>
      <w:r w:rsidR="00D462B9" w:rsidRPr="00404A25">
        <w:rPr>
          <w:rFonts w:ascii="Arial" w:hAnsi="Arial" w:cs="Arial"/>
          <w:sz w:val="24"/>
          <w:szCs w:val="24"/>
          <w:vertAlign w:val="superscript"/>
        </w:rPr>
        <w:footnoteReference w:id="104"/>
      </w:r>
      <w:r w:rsidR="00D462B9" w:rsidRPr="00404A25">
        <w:rPr>
          <w:rFonts w:ascii="Arial" w:hAnsi="Arial" w:cs="Arial"/>
          <w:sz w:val="24"/>
          <w:szCs w:val="24"/>
          <w:vertAlign w:val="superscript"/>
        </w:rPr>
        <w:t xml:space="preserve">   </w:t>
      </w:r>
      <w:r w:rsidR="00D462B9" w:rsidRPr="00404A25">
        <w:rPr>
          <w:rFonts w:ascii="Arial" w:hAnsi="Arial" w:cs="Arial"/>
          <w:sz w:val="24"/>
          <w:szCs w:val="24"/>
        </w:rPr>
        <w:t>Section 13 of the Act provides that the Secretary is responsible for ensuring</w:t>
      </w:r>
      <w:r w:rsidR="00D6617A">
        <w:rPr>
          <w:rFonts w:ascii="Arial" w:hAnsi="Arial" w:cs="Arial"/>
          <w:sz w:val="24"/>
          <w:szCs w:val="24"/>
        </w:rPr>
        <w:t xml:space="preserve"> the Commission’s</w:t>
      </w:r>
      <w:r w:rsidR="00D462B9" w:rsidRPr="00404A25">
        <w:rPr>
          <w:rFonts w:ascii="Arial" w:hAnsi="Arial" w:cs="Arial"/>
          <w:sz w:val="24"/>
          <w:szCs w:val="24"/>
        </w:rPr>
        <w:t xml:space="preserve"> efficient administration and for its organisation, control and management.  For as long as he hold</w:t>
      </w:r>
      <w:r>
        <w:rPr>
          <w:rFonts w:ascii="Arial" w:hAnsi="Arial" w:cs="Arial"/>
          <w:sz w:val="24"/>
          <w:szCs w:val="24"/>
        </w:rPr>
        <w:t>s the position, Mr Ndalikokule wa</w:t>
      </w:r>
      <w:r w:rsidR="00D462B9" w:rsidRPr="00404A25">
        <w:rPr>
          <w:rFonts w:ascii="Arial" w:hAnsi="Arial" w:cs="Arial"/>
          <w:sz w:val="24"/>
          <w:szCs w:val="24"/>
        </w:rPr>
        <w:t xml:space="preserve">s entitled to act as the Commission’s representative.  </w:t>
      </w:r>
      <w:r w:rsidR="00D462B9" w:rsidRPr="004F699F">
        <w:rPr>
          <w:rFonts w:ascii="Arial" w:hAnsi="Arial" w:cs="Arial"/>
          <w:sz w:val="24"/>
          <w:szCs w:val="24"/>
        </w:rPr>
        <w:t>In addition, in terms of section 12 of the Act and by way of a resolution, the Commission delegated to the Secretary its investigatory powers under sections 16 and 33 of the Act, read with Rule 4.</w:t>
      </w:r>
      <w:r w:rsidR="00D462B9" w:rsidRPr="004F699F">
        <w:rPr>
          <w:rFonts w:ascii="Arial" w:hAnsi="Arial" w:cs="Arial"/>
          <w:sz w:val="24"/>
          <w:szCs w:val="24"/>
          <w:vertAlign w:val="superscript"/>
        </w:rPr>
        <w:footnoteReference w:id="105"/>
      </w:r>
      <w:r w:rsidR="00D462B9" w:rsidRPr="004F699F">
        <w:rPr>
          <w:rFonts w:ascii="Arial" w:hAnsi="Arial" w:cs="Arial"/>
          <w:sz w:val="24"/>
          <w:szCs w:val="24"/>
        </w:rPr>
        <w:t xml:space="preserve">  Section 16(1)(f) of the Act mandates the Commission to investigate contraventions of the Act.  Section 33 further empowers </w:t>
      </w:r>
      <w:r w:rsidR="00D462B9" w:rsidRPr="004F699F">
        <w:rPr>
          <w:rFonts w:ascii="Arial" w:hAnsi="Arial" w:cs="Arial"/>
          <w:sz w:val="24"/>
          <w:szCs w:val="24"/>
        </w:rPr>
        <w:lastRenderedPageBreak/>
        <w:t>the Commission to commence an investigation into any conduct or proposed conduct which is alleged to constitute, or may constitute an infringement of either Part I or Part II of the Act.</w:t>
      </w:r>
      <w:r>
        <w:rPr>
          <w:rFonts w:ascii="Arial" w:hAnsi="Arial" w:cs="Arial"/>
          <w:sz w:val="24"/>
          <w:szCs w:val="24"/>
        </w:rPr>
        <w:t xml:space="preserve"> </w:t>
      </w:r>
      <w:r w:rsidR="00D462B9" w:rsidRPr="004F699F">
        <w:rPr>
          <w:rFonts w:ascii="Arial" w:hAnsi="Arial" w:cs="Arial"/>
          <w:sz w:val="24"/>
          <w:szCs w:val="24"/>
        </w:rPr>
        <w:t xml:space="preserve">As Secretary, Mr Ndalikokule is entitled to exercise any powers reasonably incidental or ancillary to those powers.  </w:t>
      </w:r>
    </w:p>
    <w:p w:rsidR="004F699F" w:rsidRDefault="004F699F" w:rsidP="003531BA">
      <w:pPr>
        <w:spacing w:after="0" w:line="360" w:lineRule="auto"/>
        <w:jc w:val="both"/>
        <w:rPr>
          <w:rFonts w:ascii="Arial" w:hAnsi="Arial" w:cs="Arial"/>
          <w:sz w:val="24"/>
          <w:szCs w:val="24"/>
        </w:rPr>
      </w:pPr>
    </w:p>
    <w:p w:rsidR="00D462B9" w:rsidRPr="004F699F" w:rsidRDefault="004F699F" w:rsidP="003531BA">
      <w:pPr>
        <w:spacing w:after="0" w:line="360" w:lineRule="auto"/>
        <w:jc w:val="both"/>
        <w:rPr>
          <w:rFonts w:ascii="Arial" w:hAnsi="Arial" w:cs="Arial"/>
          <w:sz w:val="24"/>
          <w:szCs w:val="24"/>
        </w:rPr>
      </w:pPr>
      <w:r>
        <w:rPr>
          <w:rFonts w:ascii="Arial" w:hAnsi="Arial" w:cs="Arial"/>
          <w:sz w:val="24"/>
          <w:szCs w:val="24"/>
        </w:rPr>
        <w:t>[</w:t>
      </w:r>
      <w:r w:rsidR="002416C5">
        <w:rPr>
          <w:rFonts w:ascii="Arial" w:hAnsi="Arial" w:cs="Arial"/>
          <w:sz w:val="24"/>
          <w:szCs w:val="24"/>
        </w:rPr>
        <w:t>32</w:t>
      </w:r>
      <w:r>
        <w:rPr>
          <w:rFonts w:ascii="Arial" w:hAnsi="Arial" w:cs="Arial"/>
          <w:sz w:val="24"/>
          <w:szCs w:val="24"/>
        </w:rPr>
        <w:t>]</w:t>
      </w:r>
      <w:r>
        <w:rPr>
          <w:rFonts w:ascii="Arial" w:hAnsi="Arial" w:cs="Arial"/>
          <w:sz w:val="24"/>
          <w:szCs w:val="24"/>
        </w:rPr>
        <w:tab/>
      </w:r>
      <w:r w:rsidR="00D462B9" w:rsidRPr="004F699F">
        <w:rPr>
          <w:rFonts w:ascii="Arial" w:hAnsi="Arial" w:cs="Arial"/>
          <w:sz w:val="24"/>
          <w:szCs w:val="24"/>
        </w:rPr>
        <w:t>The</w:t>
      </w:r>
      <w:r>
        <w:rPr>
          <w:rFonts w:ascii="Arial" w:hAnsi="Arial" w:cs="Arial"/>
          <w:sz w:val="24"/>
          <w:szCs w:val="24"/>
        </w:rPr>
        <w:t>se submissions where further based on the</w:t>
      </w:r>
      <w:r w:rsidR="00D462B9" w:rsidRPr="004F699F">
        <w:rPr>
          <w:rFonts w:ascii="Arial" w:hAnsi="Arial" w:cs="Arial"/>
          <w:sz w:val="24"/>
          <w:szCs w:val="24"/>
        </w:rPr>
        <w:t xml:space="preserve"> High Court</w:t>
      </w:r>
      <w:r>
        <w:rPr>
          <w:rFonts w:ascii="Arial" w:hAnsi="Arial" w:cs="Arial"/>
          <w:sz w:val="24"/>
          <w:szCs w:val="24"/>
        </w:rPr>
        <w:t>’s affirmation</w:t>
      </w:r>
      <w:r w:rsidR="001C682E">
        <w:rPr>
          <w:rFonts w:ascii="Arial" w:hAnsi="Arial" w:cs="Arial"/>
          <w:sz w:val="24"/>
          <w:szCs w:val="24"/>
        </w:rPr>
        <w:t xml:space="preserve"> that-</w:t>
      </w:r>
    </w:p>
    <w:p w:rsidR="004F699F" w:rsidRDefault="004F699F" w:rsidP="003531BA">
      <w:pPr>
        <w:spacing w:after="0" w:line="360" w:lineRule="auto"/>
        <w:ind w:right="515"/>
        <w:jc w:val="both"/>
        <w:rPr>
          <w:rFonts w:cs="Arial"/>
        </w:rPr>
      </w:pPr>
    </w:p>
    <w:p w:rsidR="00D462B9" w:rsidRDefault="001C682E" w:rsidP="00C4765D">
      <w:pPr>
        <w:spacing w:after="0" w:line="360" w:lineRule="auto"/>
        <w:ind w:right="515"/>
        <w:jc w:val="both"/>
        <w:rPr>
          <w:rFonts w:ascii="Arial" w:hAnsi="Arial" w:cs="Arial"/>
        </w:rPr>
      </w:pPr>
      <w:r>
        <w:rPr>
          <w:rFonts w:ascii="Arial" w:hAnsi="Arial" w:cs="Arial"/>
        </w:rPr>
        <w:t>‘</w:t>
      </w:r>
      <w:r w:rsidR="00D462B9" w:rsidRPr="004F699F">
        <w:rPr>
          <w:rFonts w:ascii="Arial" w:hAnsi="Arial" w:cs="Arial"/>
        </w:rPr>
        <w:t>It is settled law that whatever is reasonably incidental to the proper carrying out of an authorized power, is considered as impliedly authorized. (Johannesburg Consolidated Investment Co. Ltd v Marshalls Township Syndicate Ltd., 1917 AD 662 at p. 666; Randforntein Estates G. M. Co. Ltd v Randfontein Town Council, 1943 AD 475 at p. 495). It is clear, however, that only such powers will be implied as are reasonably ancillary to the main purpose.</w:t>
      </w:r>
    </w:p>
    <w:p w:rsidR="001C682E" w:rsidRPr="004F699F" w:rsidRDefault="001C682E" w:rsidP="003531BA">
      <w:pPr>
        <w:spacing w:after="0" w:line="360" w:lineRule="auto"/>
        <w:ind w:right="515" w:firstLine="720"/>
        <w:jc w:val="both"/>
        <w:rPr>
          <w:rFonts w:ascii="Arial" w:hAnsi="Arial" w:cs="Arial"/>
        </w:rPr>
      </w:pPr>
    </w:p>
    <w:p w:rsidR="00D462B9" w:rsidRDefault="00D462B9" w:rsidP="003531BA">
      <w:pPr>
        <w:spacing w:after="0" w:line="360" w:lineRule="auto"/>
        <w:ind w:right="515"/>
        <w:jc w:val="both"/>
        <w:rPr>
          <w:rFonts w:ascii="Arial" w:hAnsi="Arial" w:cs="Arial"/>
        </w:rPr>
      </w:pPr>
      <w:r w:rsidRPr="004F699F">
        <w:rPr>
          <w:rFonts w:ascii="Arial" w:hAnsi="Arial" w:cs="Arial"/>
        </w:rPr>
        <w:t>A power would be regarded as reasonably ancillary to the main power conferred if the true object which the Legislature had in mind in conferring that power, would be defeated if the ancillary power is not implied (Johannesburg Municipality v Davies and Another, 1925 AD 395 at p. 403 or if the power conferred cannot in practice be carried out in a reasonable manner unless the ancillary power is implied (City of Cape Town v Claremont Union College</w:t>
      </w:r>
      <w:r w:rsidR="001C682E">
        <w:rPr>
          <w:rFonts w:ascii="Arial" w:hAnsi="Arial" w:cs="Arial"/>
        </w:rPr>
        <w:t>, 1934 AD 414 at pp. 420, 421).’</w:t>
      </w:r>
      <w:r w:rsidRPr="004F699F">
        <w:rPr>
          <w:rStyle w:val="FootnoteReference"/>
          <w:rFonts w:ascii="Arial" w:hAnsi="Arial" w:cs="Arial"/>
        </w:rPr>
        <w:footnoteReference w:id="106"/>
      </w:r>
    </w:p>
    <w:p w:rsidR="004F699F" w:rsidRPr="004F699F" w:rsidRDefault="004F699F" w:rsidP="003531BA">
      <w:pPr>
        <w:spacing w:after="0" w:line="360" w:lineRule="auto"/>
        <w:ind w:right="515"/>
        <w:jc w:val="both"/>
        <w:rPr>
          <w:rFonts w:ascii="Arial" w:hAnsi="Arial" w:cs="Arial"/>
        </w:rPr>
      </w:pPr>
    </w:p>
    <w:p w:rsidR="00D462B9" w:rsidRDefault="001C682E" w:rsidP="003531BA">
      <w:pPr>
        <w:spacing w:after="0" w:line="360" w:lineRule="auto"/>
        <w:jc w:val="both"/>
        <w:rPr>
          <w:rFonts w:ascii="Arial" w:hAnsi="Arial" w:cs="Arial"/>
          <w:sz w:val="24"/>
          <w:szCs w:val="24"/>
        </w:rPr>
      </w:pPr>
      <w:r>
        <w:rPr>
          <w:rFonts w:ascii="Arial" w:hAnsi="Arial" w:cs="Arial"/>
          <w:sz w:val="24"/>
          <w:szCs w:val="24"/>
        </w:rPr>
        <w:t>[33</w:t>
      </w:r>
      <w:r w:rsidR="004F699F" w:rsidRPr="004F699F">
        <w:rPr>
          <w:rFonts w:ascii="Arial" w:hAnsi="Arial" w:cs="Arial"/>
          <w:sz w:val="24"/>
          <w:szCs w:val="24"/>
        </w:rPr>
        <w:t>]</w:t>
      </w:r>
      <w:r w:rsidR="004F699F" w:rsidRPr="004F699F">
        <w:rPr>
          <w:rFonts w:ascii="Arial" w:hAnsi="Arial" w:cs="Arial"/>
          <w:sz w:val="24"/>
          <w:szCs w:val="24"/>
        </w:rPr>
        <w:tab/>
        <w:t>It was thus argued that s</w:t>
      </w:r>
      <w:r w:rsidR="00D462B9" w:rsidRPr="004F699F">
        <w:rPr>
          <w:rFonts w:ascii="Arial" w:hAnsi="Arial" w:cs="Arial"/>
          <w:sz w:val="24"/>
          <w:szCs w:val="24"/>
        </w:rPr>
        <w:t>earch and seizure powers are incidental to and implied by, the investigatory powers c</w:t>
      </w:r>
      <w:r w:rsidR="004F699F">
        <w:rPr>
          <w:rFonts w:ascii="Arial" w:hAnsi="Arial" w:cs="Arial"/>
          <w:sz w:val="24"/>
          <w:szCs w:val="24"/>
        </w:rPr>
        <w:t>ontained in sections 16 and 33 and t</w:t>
      </w:r>
      <w:r w:rsidR="00D462B9" w:rsidRPr="004F699F">
        <w:rPr>
          <w:rFonts w:ascii="Arial" w:hAnsi="Arial" w:cs="Arial"/>
          <w:sz w:val="24"/>
          <w:szCs w:val="24"/>
        </w:rPr>
        <w:t>hat</w:t>
      </w:r>
      <w:r w:rsidR="004F699F">
        <w:rPr>
          <w:rFonts w:ascii="Arial" w:hAnsi="Arial" w:cs="Arial"/>
          <w:sz w:val="24"/>
          <w:szCs w:val="24"/>
        </w:rPr>
        <w:t xml:space="preserve"> this became</w:t>
      </w:r>
      <w:r w:rsidR="00D462B9" w:rsidRPr="004F699F">
        <w:rPr>
          <w:rFonts w:ascii="Arial" w:hAnsi="Arial" w:cs="Arial"/>
          <w:sz w:val="24"/>
          <w:szCs w:val="24"/>
        </w:rPr>
        <w:t xml:space="preserve"> clear from the following:</w:t>
      </w:r>
    </w:p>
    <w:p w:rsidR="004F699F" w:rsidRPr="004F699F" w:rsidRDefault="004F699F" w:rsidP="003531BA">
      <w:pPr>
        <w:spacing w:after="0" w:line="360" w:lineRule="auto"/>
        <w:jc w:val="both"/>
        <w:rPr>
          <w:rFonts w:ascii="Arial" w:hAnsi="Arial" w:cs="Arial"/>
          <w:sz w:val="24"/>
          <w:szCs w:val="24"/>
        </w:rPr>
      </w:pPr>
    </w:p>
    <w:p w:rsidR="00D462B9" w:rsidRDefault="00D462B9" w:rsidP="001C682E">
      <w:pPr>
        <w:pStyle w:val="ListParagraph"/>
        <w:numPr>
          <w:ilvl w:val="0"/>
          <w:numId w:val="10"/>
        </w:numPr>
        <w:spacing w:line="360" w:lineRule="auto"/>
        <w:ind w:left="0" w:firstLine="0"/>
        <w:jc w:val="both"/>
        <w:rPr>
          <w:rFonts w:cs="Arial"/>
        </w:rPr>
      </w:pPr>
      <w:r w:rsidRPr="004F699F">
        <w:rPr>
          <w:rFonts w:cs="Arial"/>
        </w:rPr>
        <w:t>Section 34 appears in the chapter and part of the Act headed “</w:t>
      </w:r>
      <w:r w:rsidRPr="004F699F">
        <w:rPr>
          <w:rFonts w:cs="Arial"/>
          <w:i/>
        </w:rPr>
        <w:t>Investigation into Prohibited Practices</w:t>
      </w:r>
      <w:r w:rsidRPr="004F699F">
        <w:rPr>
          <w:rFonts w:cs="Arial"/>
        </w:rPr>
        <w:t>”.  It recognises that search and seizure powers are constituent in – and one instantiation of – broader investigative powers.</w:t>
      </w:r>
    </w:p>
    <w:p w:rsidR="004F699F" w:rsidRDefault="004F699F" w:rsidP="003531BA">
      <w:pPr>
        <w:pStyle w:val="ListParagraph"/>
        <w:spacing w:line="360" w:lineRule="auto"/>
        <w:jc w:val="both"/>
        <w:rPr>
          <w:rFonts w:cs="Arial"/>
        </w:rPr>
      </w:pPr>
    </w:p>
    <w:p w:rsidR="00D462B9" w:rsidRPr="004F699F" w:rsidRDefault="00D462B9" w:rsidP="001C682E">
      <w:pPr>
        <w:pStyle w:val="ListParagraph"/>
        <w:numPr>
          <w:ilvl w:val="0"/>
          <w:numId w:val="10"/>
        </w:numPr>
        <w:spacing w:line="360" w:lineRule="auto"/>
        <w:ind w:left="0" w:firstLine="0"/>
        <w:jc w:val="both"/>
        <w:rPr>
          <w:rFonts w:cs="Arial"/>
        </w:rPr>
      </w:pPr>
      <w:r w:rsidRPr="004F699F">
        <w:rPr>
          <w:rFonts w:cs="Arial"/>
        </w:rPr>
        <w:t>Section 34(1) expressly links the search powers to the purpose of assisting the Commission in investigating whether an entity has engaged in prohibited conduct.  A power (and duty) to investigate suspected prohibited conduct thus naturally extends to, and includes, the power to apply for a search and seizure warrant.</w:t>
      </w:r>
    </w:p>
    <w:p w:rsidR="004F699F" w:rsidRPr="004F699F" w:rsidRDefault="004F699F" w:rsidP="003531BA">
      <w:pPr>
        <w:spacing w:after="0" w:line="360" w:lineRule="auto"/>
        <w:jc w:val="both"/>
        <w:rPr>
          <w:rFonts w:ascii="Arial" w:hAnsi="Arial" w:cs="Arial"/>
          <w:sz w:val="24"/>
          <w:szCs w:val="24"/>
        </w:rPr>
      </w:pPr>
    </w:p>
    <w:p w:rsidR="00D462B9" w:rsidRPr="004F699F" w:rsidRDefault="004F699F" w:rsidP="003531BA">
      <w:pPr>
        <w:spacing w:after="0" w:line="360" w:lineRule="auto"/>
        <w:jc w:val="both"/>
        <w:rPr>
          <w:rFonts w:ascii="Arial" w:hAnsi="Arial" w:cs="Arial"/>
          <w:sz w:val="24"/>
          <w:szCs w:val="24"/>
        </w:rPr>
      </w:pPr>
      <w:r>
        <w:rPr>
          <w:rFonts w:ascii="Arial" w:hAnsi="Arial" w:cs="Arial"/>
          <w:sz w:val="24"/>
          <w:szCs w:val="24"/>
        </w:rPr>
        <w:t>[</w:t>
      </w:r>
      <w:r w:rsidR="001C682E">
        <w:rPr>
          <w:rFonts w:ascii="Arial" w:hAnsi="Arial" w:cs="Arial"/>
          <w:sz w:val="24"/>
          <w:szCs w:val="24"/>
        </w:rPr>
        <w:t>34</w:t>
      </w:r>
      <w:r>
        <w:rPr>
          <w:rFonts w:ascii="Arial" w:hAnsi="Arial" w:cs="Arial"/>
          <w:sz w:val="24"/>
          <w:szCs w:val="24"/>
        </w:rPr>
        <w:t>]</w:t>
      </w:r>
      <w:r>
        <w:rPr>
          <w:rFonts w:ascii="Arial" w:hAnsi="Arial" w:cs="Arial"/>
          <w:sz w:val="24"/>
          <w:szCs w:val="24"/>
        </w:rPr>
        <w:tab/>
      </w:r>
      <w:r w:rsidR="00D462B9" w:rsidRPr="004F699F">
        <w:rPr>
          <w:rFonts w:ascii="Arial" w:hAnsi="Arial" w:cs="Arial"/>
          <w:sz w:val="24"/>
          <w:szCs w:val="24"/>
        </w:rPr>
        <w:t>The ability to apply fo</w:t>
      </w:r>
      <w:r>
        <w:rPr>
          <w:rFonts w:ascii="Arial" w:hAnsi="Arial" w:cs="Arial"/>
          <w:sz w:val="24"/>
          <w:szCs w:val="24"/>
        </w:rPr>
        <w:t>r a search and seizure warrant wa</w:t>
      </w:r>
      <w:r w:rsidR="00D462B9" w:rsidRPr="004F699F">
        <w:rPr>
          <w:rFonts w:ascii="Arial" w:hAnsi="Arial" w:cs="Arial"/>
          <w:sz w:val="24"/>
          <w:szCs w:val="24"/>
        </w:rPr>
        <w:t xml:space="preserve">s thus incidental to and implied by the power and function of the Commission to investigate alleged breaches of the Act.  As such, Mr Ndalikokule was authorised to apply for the warrant. </w:t>
      </w:r>
      <w:r w:rsidR="00412F87">
        <w:rPr>
          <w:rFonts w:ascii="Arial" w:hAnsi="Arial" w:cs="Arial"/>
          <w:sz w:val="24"/>
          <w:szCs w:val="24"/>
        </w:rPr>
        <w:t>Accordingly there wa</w:t>
      </w:r>
      <w:r w:rsidR="00D462B9" w:rsidRPr="004F699F">
        <w:rPr>
          <w:rFonts w:ascii="Arial" w:hAnsi="Arial" w:cs="Arial"/>
          <w:sz w:val="24"/>
          <w:szCs w:val="24"/>
        </w:rPr>
        <w:t>s no merit in the contention by Puma that the resolution did not authorise Mr Ndalikokule to institute legal proceedings on</w:t>
      </w:r>
      <w:r w:rsidR="00412F87">
        <w:rPr>
          <w:rFonts w:ascii="Arial" w:hAnsi="Arial" w:cs="Arial"/>
          <w:sz w:val="24"/>
          <w:szCs w:val="24"/>
        </w:rPr>
        <w:t xml:space="preserve"> behalf of the Commission.  It wa</w:t>
      </w:r>
      <w:r w:rsidR="00D462B9" w:rsidRPr="004F699F">
        <w:rPr>
          <w:rFonts w:ascii="Arial" w:hAnsi="Arial" w:cs="Arial"/>
          <w:sz w:val="24"/>
          <w:szCs w:val="24"/>
        </w:rPr>
        <w:t>s irrelevant whether Mr Ndalikokule had been authorised to depose to the founding affidavit. It is trite law that the deponent to an affidavit in motion proceedings need not be authorised by the party concerned to depose to an affidavit. ‘It is the institution of the proceedings and the prosecution thereof which must be authorised’.</w:t>
      </w:r>
      <w:r w:rsidR="00D462B9" w:rsidRPr="004F699F">
        <w:rPr>
          <w:rStyle w:val="FootnoteReference"/>
          <w:rFonts w:ascii="Arial" w:hAnsi="Arial" w:cs="Arial"/>
          <w:sz w:val="24"/>
          <w:szCs w:val="24"/>
        </w:rPr>
        <w:footnoteReference w:id="107"/>
      </w:r>
    </w:p>
    <w:p w:rsidR="00D462B9" w:rsidRPr="00412F87" w:rsidRDefault="00D462B9" w:rsidP="003531BA">
      <w:pPr>
        <w:spacing w:after="0" w:line="360" w:lineRule="auto"/>
        <w:jc w:val="both"/>
        <w:rPr>
          <w:rFonts w:ascii="Arial" w:hAnsi="Arial" w:cs="Arial"/>
          <w:sz w:val="24"/>
          <w:szCs w:val="24"/>
        </w:rPr>
      </w:pPr>
    </w:p>
    <w:p w:rsidR="00D462B9" w:rsidRDefault="00412F87" w:rsidP="003531BA">
      <w:pPr>
        <w:widowControl w:val="0"/>
        <w:spacing w:after="0" w:line="360" w:lineRule="auto"/>
        <w:jc w:val="both"/>
        <w:rPr>
          <w:rFonts w:ascii="Arial" w:hAnsi="Arial" w:cs="Arial"/>
          <w:sz w:val="24"/>
          <w:szCs w:val="24"/>
        </w:rPr>
      </w:pPr>
      <w:r w:rsidRPr="00412F87">
        <w:rPr>
          <w:rFonts w:ascii="Arial" w:hAnsi="Arial" w:cs="Arial"/>
          <w:sz w:val="24"/>
          <w:szCs w:val="24"/>
        </w:rPr>
        <w:t>[</w:t>
      </w:r>
      <w:r w:rsidR="001C682E">
        <w:rPr>
          <w:rFonts w:ascii="Arial" w:hAnsi="Arial" w:cs="Arial"/>
          <w:sz w:val="24"/>
          <w:szCs w:val="24"/>
        </w:rPr>
        <w:t>35</w:t>
      </w:r>
      <w:r w:rsidRPr="00412F87">
        <w:rPr>
          <w:rFonts w:ascii="Arial" w:hAnsi="Arial" w:cs="Arial"/>
          <w:sz w:val="24"/>
          <w:szCs w:val="24"/>
        </w:rPr>
        <w:t>]</w:t>
      </w:r>
      <w:r w:rsidRPr="00412F87">
        <w:rPr>
          <w:rFonts w:ascii="Arial" w:hAnsi="Arial" w:cs="Arial"/>
          <w:sz w:val="24"/>
          <w:szCs w:val="24"/>
        </w:rPr>
        <w:tab/>
        <w:t>Extensive argument was also made on t</w:t>
      </w:r>
      <w:r w:rsidR="00D462B9" w:rsidRPr="00412F87">
        <w:rPr>
          <w:rFonts w:ascii="Arial" w:hAnsi="Arial" w:cs="Arial"/>
          <w:sz w:val="24"/>
          <w:szCs w:val="24"/>
        </w:rPr>
        <w:t>he need for the warrant</w:t>
      </w:r>
      <w:r w:rsidRPr="00412F87">
        <w:rPr>
          <w:rFonts w:ascii="Arial" w:hAnsi="Arial" w:cs="Arial"/>
          <w:sz w:val="24"/>
          <w:szCs w:val="24"/>
        </w:rPr>
        <w:t xml:space="preserve"> and whether or not the Commission had shown</w:t>
      </w:r>
      <w:r w:rsidR="00130C29">
        <w:rPr>
          <w:rFonts w:ascii="Arial" w:hAnsi="Arial" w:cs="Arial"/>
          <w:sz w:val="24"/>
          <w:szCs w:val="24"/>
        </w:rPr>
        <w:t xml:space="preserve"> that the warrant was reasonably</w:t>
      </w:r>
      <w:r w:rsidRPr="00412F87">
        <w:rPr>
          <w:rFonts w:ascii="Arial" w:hAnsi="Arial" w:cs="Arial"/>
          <w:sz w:val="24"/>
          <w:szCs w:val="24"/>
        </w:rPr>
        <w:t xml:space="preserve"> necessary to the investigation.</w:t>
      </w:r>
      <w:r w:rsidR="00050DEF">
        <w:rPr>
          <w:rFonts w:ascii="Arial" w:hAnsi="Arial" w:cs="Arial"/>
          <w:sz w:val="24"/>
          <w:szCs w:val="24"/>
        </w:rPr>
        <w:t xml:space="preserve"> </w:t>
      </w:r>
      <w:r w:rsidR="005E6E31">
        <w:rPr>
          <w:rFonts w:ascii="Arial" w:hAnsi="Arial" w:cs="Arial"/>
          <w:sz w:val="24"/>
          <w:szCs w:val="24"/>
        </w:rPr>
        <w:t xml:space="preserve"> I will revert to this below.</w:t>
      </w:r>
    </w:p>
    <w:p w:rsidR="009B1EDB" w:rsidRDefault="009B1EDB" w:rsidP="003531BA">
      <w:pPr>
        <w:spacing w:after="0" w:line="360" w:lineRule="auto"/>
        <w:rPr>
          <w:rFonts w:cs="Arial"/>
        </w:rPr>
      </w:pPr>
    </w:p>
    <w:p w:rsidR="009829AC" w:rsidRDefault="009829AC" w:rsidP="003531BA">
      <w:pPr>
        <w:spacing w:after="0" w:line="360" w:lineRule="auto"/>
        <w:jc w:val="both"/>
        <w:rPr>
          <w:rFonts w:ascii="Arial" w:hAnsi="Arial" w:cs="Arial"/>
          <w:sz w:val="24"/>
          <w:szCs w:val="24"/>
        </w:rPr>
      </w:pPr>
      <w:r w:rsidRPr="009829AC">
        <w:rPr>
          <w:rFonts w:ascii="Arial" w:hAnsi="Arial" w:cs="Arial"/>
          <w:sz w:val="24"/>
          <w:szCs w:val="24"/>
        </w:rPr>
        <w:t>[</w:t>
      </w:r>
      <w:r w:rsidR="001C682E">
        <w:rPr>
          <w:rFonts w:ascii="Arial" w:hAnsi="Arial" w:cs="Arial"/>
          <w:sz w:val="24"/>
          <w:szCs w:val="24"/>
        </w:rPr>
        <w:t>36</w:t>
      </w:r>
      <w:r w:rsidRPr="009829AC">
        <w:rPr>
          <w:rFonts w:ascii="Arial" w:hAnsi="Arial" w:cs="Arial"/>
          <w:sz w:val="24"/>
          <w:szCs w:val="24"/>
        </w:rPr>
        <w:t>]</w:t>
      </w:r>
      <w:r w:rsidRPr="009829AC">
        <w:rPr>
          <w:rFonts w:ascii="Arial" w:hAnsi="Arial" w:cs="Arial"/>
          <w:sz w:val="24"/>
          <w:szCs w:val="24"/>
        </w:rPr>
        <w:tab/>
      </w:r>
      <w:r w:rsidR="00130C29">
        <w:rPr>
          <w:rFonts w:ascii="Arial" w:hAnsi="Arial" w:cs="Arial"/>
          <w:sz w:val="24"/>
          <w:szCs w:val="24"/>
        </w:rPr>
        <w:t>If one</w:t>
      </w:r>
      <w:r>
        <w:rPr>
          <w:rFonts w:ascii="Arial" w:hAnsi="Arial" w:cs="Arial"/>
          <w:sz w:val="24"/>
          <w:szCs w:val="24"/>
        </w:rPr>
        <w:t xml:space="preserve"> then turns to the arguments</w:t>
      </w:r>
      <w:r w:rsidR="008B1718">
        <w:rPr>
          <w:rFonts w:ascii="Arial" w:hAnsi="Arial" w:cs="Arial"/>
          <w:sz w:val="24"/>
          <w:szCs w:val="24"/>
        </w:rPr>
        <w:t xml:space="preserve"> and points</w:t>
      </w:r>
      <w:r>
        <w:rPr>
          <w:rFonts w:ascii="Arial" w:hAnsi="Arial" w:cs="Arial"/>
          <w:sz w:val="24"/>
          <w:szCs w:val="24"/>
        </w:rPr>
        <w:t xml:space="preserve"> raised by the parties</w:t>
      </w:r>
      <w:r w:rsidR="00130C29">
        <w:rPr>
          <w:rFonts w:ascii="Arial" w:hAnsi="Arial" w:cs="Arial"/>
          <w:sz w:val="24"/>
          <w:szCs w:val="24"/>
        </w:rPr>
        <w:t xml:space="preserve"> it does not take much</w:t>
      </w:r>
      <w:r w:rsidR="00F64AC3">
        <w:rPr>
          <w:rFonts w:ascii="Arial" w:hAnsi="Arial" w:cs="Arial"/>
          <w:sz w:val="24"/>
          <w:szCs w:val="24"/>
        </w:rPr>
        <w:t xml:space="preserve"> to realize that</w:t>
      </w:r>
      <w:r>
        <w:rPr>
          <w:rFonts w:ascii="Arial" w:hAnsi="Arial" w:cs="Arial"/>
          <w:sz w:val="24"/>
          <w:szCs w:val="24"/>
        </w:rPr>
        <w:t xml:space="preserve"> it </w:t>
      </w:r>
      <w:r w:rsidR="008B1718">
        <w:rPr>
          <w:rFonts w:ascii="Arial" w:hAnsi="Arial" w:cs="Arial"/>
          <w:sz w:val="24"/>
          <w:szCs w:val="24"/>
        </w:rPr>
        <w:t xml:space="preserve">not </w:t>
      </w:r>
      <w:r>
        <w:rPr>
          <w:rFonts w:ascii="Arial" w:hAnsi="Arial" w:cs="Arial"/>
          <w:sz w:val="24"/>
          <w:szCs w:val="24"/>
        </w:rPr>
        <w:t>only seems logic</w:t>
      </w:r>
      <w:r w:rsidR="008B1718">
        <w:rPr>
          <w:rFonts w:ascii="Arial" w:hAnsi="Arial" w:cs="Arial"/>
          <w:sz w:val="24"/>
          <w:szCs w:val="24"/>
        </w:rPr>
        <w:t xml:space="preserve"> but also convenient</w:t>
      </w:r>
      <w:r>
        <w:rPr>
          <w:rFonts w:ascii="Arial" w:hAnsi="Arial" w:cs="Arial"/>
          <w:sz w:val="24"/>
          <w:szCs w:val="24"/>
        </w:rPr>
        <w:t xml:space="preserve"> that the</w:t>
      </w:r>
      <w:r w:rsidR="00130C29">
        <w:rPr>
          <w:rFonts w:ascii="Arial" w:hAnsi="Arial" w:cs="Arial"/>
          <w:sz w:val="24"/>
          <w:szCs w:val="24"/>
        </w:rPr>
        <w:t xml:space="preserve"> resolution of the various issues</w:t>
      </w:r>
      <w:r w:rsidR="008B1718">
        <w:rPr>
          <w:rFonts w:ascii="Arial" w:hAnsi="Arial" w:cs="Arial"/>
          <w:sz w:val="24"/>
          <w:szCs w:val="24"/>
        </w:rPr>
        <w:t xml:space="preserve"> should</w:t>
      </w:r>
      <w:r>
        <w:rPr>
          <w:rFonts w:ascii="Arial" w:hAnsi="Arial" w:cs="Arial"/>
          <w:sz w:val="24"/>
          <w:szCs w:val="24"/>
        </w:rPr>
        <w:t xml:space="preserve"> commence with the</w:t>
      </w:r>
      <w:r w:rsidR="008B1718">
        <w:rPr>
          <w:rFonts w:ascii="Arial" w:hAnsi="Arial" w:cs="Arial"/>
          <w:sz w:val="24"/>
          <w:szCs w:val="24"/>
        </w:rPr>
        <w:t xml:space="preserve"> factual</w:t>
      </w:r>
      <w:r>
        <w:rPr>
          <w:rFonts w:ascii="Arial" w:hAnsi="Arial" w:cs="Arial"/>
          <w:sz w:val="24"/>
          <w:szCs w:val="24"/>
        </w:rPr>
        <w:t xml:space="preserve"> determination of whether or not </w:t>
      </w:r>
      <w:r w:rsidR="008B1718">
        <w:rPr>
          <w:rFonts w:ascii="Arial" w:hAnsi="Arial" w:cs="Arial"/>
          <w:sz w:val="24"/>
          <w:szCs w:val="24"/>
        </w:rPr>
        <w:t>the search</w:t>
      </w:r>
      <w:r w:rsidR="00130C29">
        <w:rPr>
          <w:rFonts w:ascii="Arial" w:hAnsi="Arial" w:cs="Arial"/>
          <w:sz w:val="24"/>
          <w:szCs w:val="24"/>
        </w:rPr>
        <w:t xml:space="preserve"> executed by the Commission during September 2016</w:t>
      </w:r>
      <w:r w:rsidR="008B1718">
        <w:rPr>
          <w:rFonts w:ascii="Arial" w:hAnsi="Arial" w:cs="Arial"/>
          <w:sz w:val="24"/>
          <w:szCs w:val="24"/>
        </w:rPr>
        <w:t xml:space="preserve"> has been completed and whether or not the warrant</w:t>
      </w:r>
      <w:r w:rsidR="00130C29">
        <w:rPr>
          <w:rFonts w:ascii="Arial" w:hAnsi="Arial" w:cs="Arial"/>
          <w:sz w:val="24"/>
          <w:szCs w:val="24"/>
        </w:rPr>
        <w:t xml:space="preserve"> obtained</w:t>
      </w:r>
      <w:r w:rsidR="008B1718">
        <w:rPr>
          <w:rFonts w:ascii="Arial" w:hAnsi="Arial" w:cs="Arial"/>
          <w:sz w:val="24"/>
          <w:szCs w:val="24"/>
        </w:rPr>
        <w:t xml:space="preserve"> was discharged</w:t>
      </w:r>
      <w:r>
        <w:rPr>
          <w:rFonts w:ascii="Arial" w:hAnsi="Arial" w:cs="Arial"/>
          <w:sz w:val="24"/>
          <w:szCs w:val="24"/>
        </w:rPr>
        <w:t xml:space="preserve">. </w:t>
      </w:r>
    </w:p>
    <w:p w:rsidR="008B1718" w:rsidRDefault="008B1718" w:rsidP="003531BA">
      <w:pPr>
        <w:spacing w:after="0" w:line="360" w:lineRule="auto"/>
        <w:jc w:val="both"/>
        <w:rPr>
          <w:rFonts w:ascii="Arial" w:hAnsi="Arial" w:cs="Arial"/>
          <w:sz w:val="24"/>
          <w:szCs w:val="24"/>
        </w:rPr>
      </w:pPr>
    </w:p>
    <w:p w:rsidR="008B1718" w:rsidRPr="008B1718" w:rsidRDefault="008B1718" w:rsidP="003531BA">
      <w:pPr>
        <w:spacing w:after="0" w:line="360" w:lineRule="auto"/>
        <w:jc w:val="both"/>
        <w:rPr>
          <w:rFonts w:ascii="Arial" w:hAnsi="Arial" w:cs="Arial"/>
          <w:sz w:val="24"/>
          <w:szCs w:val="24"/>
          <w:u w:val="single"/>
        </w:rPr>
      </w:pPr>
      <w:r w:rsidRPr="008B1718">
        <w:rPr>
          <w:rFonts w:ascii="Arial" w:hAnsi="Arial" w:cs="Arial"/>
          <w:sz w:val="24"/>
          <w:szCs w:val="24"/>
          <w:u w:val="single"/>
        </w:rPr>
        <w:t>Has the search been completed and the warrant been discharged?</w:t>
      </w:r>
    </w:p>
    <w:p w:rsidR="008B1718" w:rsidRDefault="008B1718" w:rsidP="003531BA">
      <w:pPr>
        <w:spacing w:after="0" w:line="360" w:lineRule="auto"/>
        <w:jc w:val="both"/>
        <w:rPr>
          <w:rFonts w:ascii="Arial" w:hAnsi="Arial" w:cs="Arial"/>
          <w:sz w:val="24"/>
          <w:szCs w:val="24"/>
        </w:rPr>
      </w:pPr>
    </w:p>
    <w:p w:rsidR="00F54C21" w:rsidRDefault="008B1718" w:rsidP="003531BA">
      <w:pPr>
        <w:spacing w:after="0" w:line="360" w:lineRule="auto"/>
        <w:jc w:val="both"/>
        <w:rPr>
          <w:rFonts w:ascii="Arial" w:hAnsi="Arial" w:cs="Arial"/>
          <w:sz w:val="24"/>
          <w:szCs w:val="24"/>
        </w:rPr>
      </w:pPr>
      <w:r>
        <w:rPr>
          <w:rFonts w:ascii="Arial" w:hAnsi="Arial" w:cs="Arial"/>
          <w:sz w:val="24"/>
          <w:szCs w:val="24"/>
        </w:rPr>
        <w:t>[</w:t>
      </w:r>
      <w:r w:rsidR="001C682E">
        <w:rPr>
          <w:rFonts w:ascii="Arial" w:hAnsi="Arial" w:cs="Arial"/>
          <w:sz w:val="24"/>
          <w:szCs w:val="24"/>
        </w:rPr>
        <w:t>37</w:t>
      </w:r>
      <w:r>
        <w:rPr>
          <w:rFonts w:ascii="Arial" w:hAnsi="Arial" w:cs="Arial"/>
          <w:sz w:val="24"/>
          <w:szCs w:val="24"/>
        </w:rPr>
        <w:t>]</w:t>
      </w:r>
      <w:r>
        <w:rPr>
          <w:rFonts w:ascii="Arial" w:hAnsi="Arial" w:cs="Arial"/>
          <w:sz w:val="24"/>
          <w:szCs w:val="24"/>
        </w:rPr>
        <w:tab/>
        <w:t xml:space="preserve">In order to resolve these questions the </w:t>
      </w:r>
      <w:r w:rsidR="006139E4">
        <w:rPr>
          <w:rFonts w:ascii="Arial" w:hAnsi="Arial" w:cs="Arial"/>
          <w:sz w:val="24"/>
          <w:szCs w:val="24"/>
        </w:rPr>
        <w:t xml:space="preserve">first </w:t>
      </w:r>
      <w:r>
        <w:rPr>
          <w:rFonts w:ascii="Arial" w:hAnsi="Arial" w:cs="Arial"/>
          <w:sz w:val="24"/>
          <w:szCs w:val="24"/>
        </w:rPr>
        <w:t>point o</w:t>
      </w:r>
      <w:r w:rsidR="00F54C21">
        <w:rPr>
          <w:rFonts w:ascii="Arial" w:hAnsi="Arial" w:cs="Arial"/>
          <w:sz w:val="24"/>
          <w:szCs w:val="24"/>
        </w:rPr>
        <w:t xml:space="preserve">f departure surely must </w:t>
      </w:r>
      <w:r>
        <w:rPr>
          <w:rFonts w:ascii="Arial" w:hAnsi="Arial" w:cs="Arial"/>
          <w:sz w:val="24"/>
          <w:szCs w:val="24"/>
        </w:rPr>
        <w:t xml:space="preserve">be the determination of what a search and the execution of a warrant would entail in order to </w:t>
      </w:r>
      <w:r w:rsidR="006139E4">
        <w:rPr>
          <w:rFonts w:ascii="Arial" w:hAnsi="Arial" w:cs="Arial"/>
          <w:sz w:val="24"/>
          <w:szCs w:val="24"/>
        </w:rPr>
        <w:t xml:space="preserve">then </w:t>
      </w:r>
      <w:r>
        <w:rPr>
          <w:rFonts w:ascii="Arial" w:hAnsi="Arial" w:cs="Arial"/>
          <w:sz w:val="24"/>
          <w:szCs w:val="24"/>
        </w:rPr>
        <w:t>be able to conclude</w:t>
      </w:r>
      <w:r w:rsidR="006139E4">
        <w:rPr>
          <w:rFonts w:ascii="Arial" w:hAnsi="Arial" w:cs="Arial"/>
          <w:sz w:val="24"/>
          <w:szCs w:val="24"/>
        </w:rPr>
        <w:t>, after an examination of</w:t>
      </w:r>
      <w:r>
        <w:rPr>
          <w:rFonts w:ascii="Arial" w:hAnsi="Arial" w:cs="Arial"/>
          <w:sz w:val="24"/>
          <w:szCs w:val="24"/>
        </w:rPr>
        <w:t xml:space="preserve"> the facts</w:t>
      </w:r>
      <w:r w:rsidR="006139E4">
        <w:rPr>
          <w:rFonts w:ascii="Arial" w:hAnsi="Arial" w:cs="Arial"/>
          <w:sz w:val="24"/>
          <w:szCs w:val="24"/>
        </w:rPr>
        <w:t>,</w:t>
      </w:r>
      <w:r>
        <w:rPr>
          <w:rFonts w:ascii="Arial" w:hAnsi="Arial" w:cs="Arial"/>
          <w:sz w:val="24"/>
          <w:szCs w:val="24"/>
        </w:rPr>
        <w:t xml:space="preserve"> whether or not the envisaged </w:t>
      </w:r>
      <w:r w:rsidR="006139E4">
        <w:rPr>
          <w:rFonts w:ascii="Arial" w:hAnsi="Arial" w:cs="Arial"/>
          <w:sz w:val="24"/>
          <w:szCs w:val="24"/>
        </w:rPr>
        <w:t>search-</w:t>
      </w:r>
      <w:r>
        <w:rPr>
          <w:rFonts w:ascii="Arial" w:hAnsi="Arial" w:cs="Arial"/>
          <w:sz w:val="24"/>
          <w:szCs w:val="24"/>
        </w:rPr>
        <w:t xml:space="preserve">processes have been concluded and the warrant has been discharged. </w:t>
      </w:r>
    </w:p>
    <w:p w:rsidR="00F54C21" w:rsidRDefault="00F54C21" w:rsidP="003531BA">
      <w:pPr>
        <w:spacing w:after="0" w:line="360" w:lineRule="auto"/>
        <w:jc w:val="both"/>
        <w:rPr>
          <w:rFonts w:ascii="Arial" w:hAnsi="Arial" w:cs="Arial"/>
          <w:sz w:val="24"/>
          <w:szCs w:val="24"/>
        </w:rPr>
      </w:pPr>
    </w:p>
    <w:p w:rsidR="008B1718" w:rsidRDefault="00F54C21" w:rsidP="003531BA">
      <w:pPr>
        <w:spacing w:after="0" w:line="360" w:lineRule="auto"/>
        <w:jc w:val="both"/>
        <w:rPr>
          <w:rFonts w:ascii="Arial" w:hAnsi="Arial" w:cs="Arial"/>
          <w:sz w:val="24"/>
          <w:szCs w:val="24"/>
        </w:rPr>
      </w:pPr>
      <w:r>
        <w:rPr>
          <w:rFonts w:ascii="Arial" w:hAnsi="Arial" w:cs="Arial"/>
          <w:sz w:val="24"/>
          <w:szCs w:val="24"/>
        </w:rPr>
        <w:t>[</w:t>
      </w:r>
      <w:r w:rsidR="001C682E">
        <w:rPr>
          <w:rFonts w:ascii="Arial" w:hAnsi="Arial" w:cs="Arial"/>
          <w:sz w:val="24"/>
          <w:szCs w:val="24"/>
        </w:rPr>
        <w:t>38</w:t>
      </w:r>
      <w:r>
        <w:rPr>
          <w:rFonts w:ascii="Arial" w:hAnsi="Arial" w:cs="Arial"/>
          <w:sz w:val="24"/>
          <w:szCs w:val="24"/>
        </w:rPr>
        <w:t>]</w:t>
      </w:r>
      <w:r>
        <w:rPr>
          <w:rFonts w:ascii="Arial" w:hAnsi="Arial" w:cs="Arial"/>
          <w:sz w:val="24"/>
          <w:szCs w:val="24"/>
        </w:rPr>
        <w:tab/>
        <w:t>From the provisions of Section 34 the following elements can be extracted:</w:t>
      </w:r>
    </w:p>
    <w:p w:rsidR="00F54C21" w:rsidRDefault="00F54C21" w:rsidP="003531BA">
      <w:pPr>
        <w:spacing w:after="0" w:line="360" w:lineRule="auto"/>
        <w:jc w:val="both"/>
        <w:rPr>
          <w:rFonts w:ascii="Arial" w:hAnsi="Arial" w:cs="Arial"/>
          <w:sz w:val="24"/>
          <w:szCs w:val="24"/>
        </w:rPr>
      </w:pPr>
    </w:p>
    <w:p w:rsidR="00F54C21" w:rsidRDefault="00F54C21" w:rsidP="001C682E">
      <w:pPr>
        <w:pStyle w:val="ListParagraph"/>
        <w:numPr>
          <w:ilvl w:val="0"/>
          <w:numId w:val="11"/>
        </w:numPr>
        <w:spacing w:line="360" w:lineRule="auto"/>
        <w:ind w:left="0" w:firstLine="0"/>
        <w:jc w:val="both"/>
        <w:rPr>
          <w:rFonts w:cs="Arial"/>
        </w:rPr>
      </w:pPr>
      <w:r>
        <w:rPr>
          <w:rFonts w:cs="Arial"/>
        </w:rPr>
        <w:lastRenderedPageBreak/>
        <w:t>The person/s authorized to execute the warrant may firstly enter upon and search the</w:t>
      </w:r>
      <w:r w:rsidRPr="00F54C21">
        <w:rPr>
          <w:rFonts w:cs="Arial"/>
        </w:rPr>
        <w:t xml:space="preserve"> premises;</w:t>
      </w:r>
      <w:r w:rsidR="00915A56" w:rsidRPr="00915A56">
        <w:t xml:space="preserve"> </w:t>
      </w:r>
      <w:r w:rsidR="00915A56" w:rsidRPr="00915A56">
        <w:rPr>
          <w:rFonts w:cs="Arial"/>
        </w:rPr>
        <w:t>Upon first entering any premises under a warrant the person</w:t>
      </w:r>
      <w:r w:rsidR="00915A56">
        <w:rPr>
          <w:rFonts w:cs="Arial"/>
        </w:rPr>
        <w:t xml:space="preserve"> authorised by the warrant must </w:t>
      </w:r>
      <w:r w:rsidR="00915A56" w:rsidRPr="00915A56">
        <w:rPr>
          <w:rFonts w:cs="Arial"/>
        </w:rPr>
        <w:t>provide to the owner or person in control of the premises proof of-</w:t>
      </w:r>
      <w:r w:rsidR="00915A56">
        <w:rPr>
          <w:rFonts w:cs="Arial"/>
        </w:rPr>
        <w:t xml:space="preserve"> </w:t>
      </w:r>
      <w:r w:rsidR="00C345CB">
        <w:rPr>
          <w:rFonts w:cs="Arial"/>
        </w:rPr>
        <w:t xml:space="preserve">(i) </w:t>
      </w:r>
      <w:r w:rsidR="00915A56" w:rsidRPr="00915A56">
        <w:rPr>
          <w:rFonts w:cs="Arial"/>
        </w:rPr>
        <w:t>his or her authority to enter the premises by handing a copy of the warrant to that person; and</w:t>
      </w:r>
      <w:r w:rsidR="00915A56">
        <w:rPr>
          <w:rFonts w:cs="Arial"/>
        </w:rPr>
        <w:t xml:space="preserve"> </w:t>
      </w:r>
      <w:r w:rsidR="00C345CB">
        <w:rPr>
          <w:rFonts w:cs="Arial"/>
        </w:rPr>
        <w:t xml:space="preserve">(ii) </w:t>
      </w:r>
      <w:r w:rsidR="00915A56">
        <w:rPr>
          <w:rFonts w:cs="Arial"/>
        </w:rPr>
        <w:t xml:space="preserve">his or her identity; or </w:t>
      </w:r>
      <w:r w:rsidR="00915A56" w:rsidRPr="00915A56">
        <w:rPr>
          <w:rFonts w:cs="Arial"/>
        </w:rPr>
        <w:t>if none of the pe</w:t>
      </w:r>
      <w:r w:rsidR="00C345CB">
        <w:rPr>
          <w:rFonts w:cs="Arial"/>
        </w:rPr>
        <w:t>rsons mentioned</w:t>
      </w:r>
      <w:r w:rsidR="00915A56" w:rsidRPr="00915A56">
        <w:rPr>
          <w:rFonts w:cs="Arial"/>
        </w:rPr>
        <w:t xml:space="preserve"> is present, </w:t>
      </w:r>
      <w:r w:rsidR="00130C29">
        <w:rPr>
          <w:rFonts w:cs="Arial"/>
        </w:rPr>
        <w:t xml:space="preserve">by then </w:t>
      </w:r>
      <w:r w:rsidR="00915A56" w:rsidRPr="00915A56">
        <w:rPr>
          <w:rFonts w:cs="Arial"/>
        </w:rPr>
        <w:t>affix</w:t>
      </w:r>
      <w:r w:rsidR="00130C29">
        <w:rPr>
          <w:rFonts w:cs="Arial"/>
        </w:rPr>
        <w:t>ing</w:t>
      </w:r>
      <w:r w:rsidR="00915A56" w:rsidRPr="00915A56">
        <w:rPr>
          <w:rFonts w:cs="Arial"/>
        </w:rPr>
        <w:t xml:space="preserve"> a copy of the warrant to the premises in a prominent and visible place</w:t>
      </w:r>
      <w:r w:rsidR="001C682E">
        <w:rPr>
          <w:rFonts w:cs="Arial"/>
        </w:rPr>
        <w:t>;</w:t>
      </w:r>
    </w:p>
    <w:p w:rsidR="001C682E" w:rsidRPr="00915A56" w:rsidRDefault="001C682E" w:rsidP="001C682E">
      <w:pPr>
        <w:pStyle w:val="ListParagraph"/>
        <w:spacing w:line="360" w:lineRule="auto"/>
        <w:ind w:left="0"/>
        <w:jc w:val="both"/>
        <w:rPr>
          <w:rFonts w:cs="Arial"/>
        </w:rPr>
      </w:pPr>
    </w:p>
    <w:p w:rsidR="00F54C21" w:rsidRDefault="00F54C21" w:rsidP="001C682E">
      <w:pPr>
        <w:pStyle w:val="ListParagraph"/>
        <w:numPr>
          <w:ilvl w:val="0"/>
          <w:numId w:val="11"/>
        </w:numPr>
        <w:spacing w:line="360" w:lineRule="auto"/>
        <w:ind w:left="0" w:firstLine="0"/>
        <w:jc w:val="both"/>
        <w:rPr>
          <w:rFonts w:cs="Arial"/>
        </w:rPr>
      </w:pPr>
      <w:r>
        <w:rPr>
          <w:rFonts w:cs="Arial"/>
        </w:rPr>
        <w:t xml:space="preserve">The person/s authorized to execute the warrant may </w:t>
      </w:r>
      <w:r w:rsidR="00130C29">
        <w:rPr>
          <w:rFonts w:cs="Arial"/>
        </w:rPr>
        <w:t xml:space="preserve">then </w:t>
      </w:r>
      <w:r w:rsidRPr="00F54C21">
        <w:rPr>
          <w:rFonts w:cs="Arial"/>
        </w:rPr>
        <w:t xml:space="preserve">search any person on the premises if there are reasonable grounds for believing that the person has personal possession of </w:t>
      </w:r>
      <w:r w:rsidR="00130C29">
        <w:rPr>
          <w:rFonts w:cs="Arial"/>
        </w:rPr>
        <w:t>any document or article that may have</w:t>
      </w:r>
      <w:r w:rsidRPr="00F54C21">
        <w:rPr>
          <w:rFonts w:cs="Arial"/>
        </w:rPr>
        <w:t xml:space="preserve"> a bearing on the investigation;</w:t>
      </w:r>
    </w:p>
    <w:p w:rsidR="001C682E" w:rsidRDefault="001C682E" w:rsidP="001C682E">
      <w:pPr>
        <w:pStyle w:val="ListParagraph"/>
        <w:spacing w:line="360" w:lineRule="auto"/>
        <w:ind w:left="0"/>
        <w:jc w:val="both"/>
        <w:rPr>
          <w:rFonts w:cs="Arial"/>
        </w:rPr>
      </w:pPr>
    </w:p>
    <w:p w:rsidR="00F54C21" w:rsidRDefault="00F54C21" w:rsidP="001C682E">
      <w:pPr>
        <w:pStyle w:val="ListParagraph"/>
        <w:numPr>
          <w:ilvl w:val="0"/>
          <w:numId w:val="11"/>
        </w:numPr>
        <w:spacing w:line="360" w:lineRule="auto"/>
        <w:ind w:left="0" w:firstLine="0"/>
        <w:jc w:val="both"/>
        <w:rPr>
          <w:rFonts w:cs="Arial"/>
        </w:rPr>
      </w:pPr>
      <w:r>
        <w:rPr>
          <w:rFonts w:cs="Arial"/>
        </w:rPr>
        <w:t xml:space="preserve">The person/s authorized to execute the warrant may </w:t>
      </w:r>
      <w:r w:rsidRPr="00F54C21">
        <w:rPr>
          <w:rFonts w:cs="Arial"/>
        </w:rPr>
        <w:t>examine any document or article found on the premises that has a bearing on the investigation;</w:t>
      </w:r>
    </w:p>
    <w:p w:rsidR="001C682E" w:rsidRDefault="001C682E" w:rsidP="001C682E">
      <w:pPr>
        <w:pStyle w:val="ListParagraph"/>
        <w:spacing w:line="360" w:lineRule="auto"/>
        <w:ind w:left="0"/>
        <w:jc w:val="both"/>
        <w:rPr>
          <w:rFonts w:cs="Arial"/>
        </w:rPr>
      </w:pPr>
    </w:p>
    <w:p w:rsidR="00F54C21" w:rsidRDefault="00F54C21" w:rsidP="001C682E">
      <w:pPr>
        <w:pStyle w:val="ListParagraph"/>
        <w:numPr>
          <w:ilvl w:val="0"/>
          <w:numId w:val="11"/>
        </w:numPr>
        <w:spacing w:line="360" w:lineRule="auto"/>
        <w:ind w:left="0" w:firstLine="0"/>
        <w:jc w:val="both"/>
        <w:rPr>
          <w:rFonts w:cs="Arial"/>
        </w:rPr>
      </w:pPr>
      <w:r>
        <w:rPr>
          <w:rFonts w:cs="Arial"/>
        </w:rPr>
        <w:t xml:space="preserve">The person/s authorized to execute the warrant may </w:t>
      </w:r>
      <w:r w:rsidRPr="00F54C21">
        <w:rPr>
          <w:rFonts w:cs="Arial"/>
        </w:rPr>
        <w:t>request any information about any document or article from-</w:t>
      </w:r>
    </w:p>
    <w:p w:rsidR="00AA4E12" w:rsidRPr="00AA4E12" w:rsidRDefault="00AA4E12" w:rsidP="003531BA">
      <w:pPr>
        <w:pStyle w:val="ListParagraph"/>
        <w:spacing w:line="360" w:lineRule="auto"/>
        <w:jc w:val="both"/>
        <w:rPr>
          <w:rFonts w:cs="Arial"/>
        </w:rPr>
      </w:pPr>
    </w:p>
    <w:p w:rsidR="00F54C21" w:rsidRDefault="00F54C21" w:rsidP="001C682E">
      <w:pPr>
        <w:pStyle w:val="ListParagraph"/>
        <w:numPr>
          <w:ilvl w:val="0"/>
          <w:numId w:val="12"/>
        </w:numPr>
        <w:spacing w:line="360" w:lineRule="auto"/>
        <w:ind w:left="1418" w:hanging="709"/>
        <w:jc w:val="both"/>
        <w:rPr>
          <w:rFonts w:cs="Arial"/>
        </w:rPr>
      </w:pPr>
      <w:r w:rsidRPr="00F54C21">
        <w:rPr>
          <w:rFonts w:cs="Arial"/>
        </w:rPr>
        <w:t>the owner of the premises;</w:t>
      </w:r>
    </w:p>
    <w:p w:rsidR="00C4765D" w:rsidRPr="00F54C21" w:rsidRDefault="00C4765D" w:rsidP="00C4765D">
      <w:pPr>
        <w:pStyle w:val="ListParagraph"/>
        <w:spacing w:line="360" w:lineRule="auto"/>
        <w:ind w:left="1418"/>
        <w:jc w:val="both"/>
        <w:rPr>
          <w:rFonts w:cs="Arial"/>
        </w:rPr>
      </w:pPr>
    </w:p>
    <w:p w:rsidR="00F54C21" w:rsidRDefault="00F54C21" w:rsidP="001C682E">
      <w:pPr>
        <w:pStyle w:val="ListParagraph"/>
        <w:numPr>
          <w:ilvl w:val="0"/>
          <w:numId w:val="12"/>
        </w:numPr>
        <w:spacing w:line="360" w:lineRule="auto"/>
        <w:ind w:left="1418" w:hanging="709"/>
        <w:jc w:val="both"/>
        <w:rPr>
          <w:rFonts w:cs="Arial"/>
        </w:rPr>
      </w:pPr>
      <w:r w:rsidRPr="00F54C21">
        <w:rPr>
          <w:rFonts w:cs="Arial"/>
        </w:rPr>
        <w:t>the person in control of the premises;</w:t>
      </w:r>
    </w:p>
    <w:p w:rsidR="00C4765D" w:rsidRPr="00C4765D" w:rsidRDefault="00C4765D" w:rsidP="00C4765D">
      <w:pPr>
        <w:spacing w:line="360" w:lineRule="auto"/>
        <w:jc w:val="both"/>
        <w:rPr>
          <w:rFonts w:cs="Arial"/>
        </w:rPr>
      </w:pPr>
    </w:p>
    <w:p w:rsidR="00F54C21" w:rsidRDefault="00F54C21" w:rsidP="00C4765D">
      <w:pPr>
        <w:pStyle w:val="ListParagraph"/>
        <w:numPr>
          <w:ilvl w:val="0"/>
          <w:numId w:val="12"/>
        </w:numPr>
        <w:spacing w:line="360" w:lineRule="auto"/>
        <w:jc w:val="both"/>
        <w:rPr>
          <w:rFonts w:cs="Arial"/>
        </w:rPr>
      </w:pPr>
      <w:r w:rsidRPr="00F54C21">
        <w:rPr>
          <w:rFonts w:cs="Arial"/>
        </w:rPr>
        <w:t>any</w:t>
      </w:r>
      <w:r w:rsidR="00130C29">
        <w:rPr>
          <w:rFonts w:cs="Arial"/>
        </w:rPr>
        <w:t xml:space="preserve"> person who has control of a</w:t>
      </w:r>
      <w:r w:rsidRPr="00F54C21">
        <w:rPr>
          <w:rFonts w:cs="Arial"/>
        </w:rPr>
        <w:t xml:space="preserve"> document or article; or</w:t>
      </w:r>
    </w:p>
    <w:p w:rsidR="00C4765D" w:rsidRPr="00C4765D" w:rsidRDefault="00C4765D" w:rsidP="00C4765D">
      <w:pPr>
        <w:spacing w:line="360" w:lineRule="auto"/>
        <w:jc w:val="both"/>
        <w:rPr>
          <w:rFonts w:cs="Arial"/>
        </w:rPr>
      </w:pPr>
    </w:p>
    <w:p w:rsidR="00F54C21" w:rsidRDefault="00F54C21" w:rsidP="001C682E">
      <w:pPr>
        <w:pStyle w:val="ListParagraph"/>
        <w:numPr>
          <w:ilvl w:val="0"/>
          <w:numId w:val="12"/>
        </w:numPr>
        <w:spacing w:line="360" w:lineRule="auto"/>
        <w:ind w:left="1418" w:hanging="709"/>
        <w:jc w:val="both"/>
        <w:rPr>
          <w:rFonts w:cs="Arial"/>
        </w:rPr>
      </w:pPr>
      <w:r w:rsidRPr="00F54C21">
        <w:rPr>
          <w:rFonts w:cs="Arial"/>
        </w:rPr>
        <w:t>any other person who may have the information;</w:t>
      </w:r>
    </w:p>
    <w:p w:rsidR="00AA4E12" w:rsidRPr="00F54C21" w:rsidRDefault="00AA4E12" w:rsidP="003531BA">
      <w:pPr>
        <w:pStyle w:val="ListParagraph"/>
        <w:spacing w:line="360" w:lineRule="auto"/>
        <w:ind w:left="1440"/>
        <w:jc w:val="both"/>
        <w:rPr>
          <w:rFonts w:cs="Arial"/>
        </w:rPr>
      </w:pPr>
    </w:p>
    <w:p w:rsidR="00F54C21" w:rsidRDefault="00AA4E12" w:rsidP="001C682E">
      <w:pPr>
        <w:pStyle w:val="ListParagraph"/>
        <w:numPr>
          <w:ilvl w:val="0"/>
          <w:numId w:val="11"/>
        </w:numPr>
        <w:spacing w:line="360" w:lineRule="auto"/>
        <w:ind w:left="0" w:firstLine="0"/>
        <w:jc w:val="both"/>
        <w:rPr>
          <w:rFonts w:cs="Arial"/>
        </w:rPr>
      </w:pPr>
      <w:r>
        <w:rPr>
          <w:rFonts w:cs="Arial"/>
        </w:rPr>
        <w:t xml:space="preserve">The person/s authorized to execute the warrant may </w:t>
      </w:r>
      <w:r w:rsidR="00F54C21" w:rsidRPr="00AA4E12">
        <w:rPr>
          <w:rFonts w:cs="Arial"/>
        </w:rPr>
        <w:t>take extracts from, or make copies of, any book or document found on the premises that has a bearing on the investigation;</w:t>
      </w:r>
    </w:p>
    <w:p w:rsidR="001C682E" w:rsidRDefault="001C682E" w:rsidP="001C682E">
      <w:pPr>
        <w:pStyle w:val="ListParagraph"/>
        <w:spacing w:line="360" w:lineRule="auto"/>
        <w:ind w:left="0"/>
        <w:jc w:val="both"/>
        <w:rPr>
          <w:rFonts w:cs="Arial"/>
        </w:rPr>
      </w:pPr>
    </w:p>
    <w:p w:rsidR="00F54C21" w:rsidRDefault="00AA4E12" w:rsidP="001C682E">
      <w:pPr>
        <w:pStyle w:val="ListParagraph"/>
        <w:numPr>
          <w:ilvl w:val="0"/>
          <w:numId w:val="11"/>
        </w:numPr>
        <w:spacing w:line="360" w:lineRule="auto"/>
        <w:ind w:left="0" w:firstLine="0"/>
        <w:jc w:val="both"/>
        <w:rPr>
          <w:rFonts w:cs="Arial"/>
        </w:rPr>
      </w:pPr>
      <w:r>
        <w:rPr>
          <w:rFonts w:cs="Arial"/>
        </w:rPr>
        <w:t xml:space="preserve">The person/s authorized to execute the warrant may </w:t>
      </w:r>
      <w:r w:rsidR="00F54C21" w:rsidRPr="00AA4E12">
        <w:rPr>
          <w:rFonts w:cs="Arial"/>
        </w:rPr>
        <w:t>use any computer system on the premises, or require assistance of any person on the premises to use that computer system, to-</w:t>
      </w:r>
    </w:p>
    <w:p w:rsidR="00AA4E12" w:rsidRDefault="00AA4E12" w:rsidP="003531BA">
      <w:pPr>
        <w:pStyle w:val="ListParagraph"/>
        <w:spacing w:line="360" w:lineRule="auto"/>
        <w:jc w:val="both"/>
        <w:rPr>
          <w:rFonts w:cs="Arial"/>
        </w:rPr>
      </w:pPr>
    </w:p>
    <w:p w:rsidR="00AA4E12" w:rsidRDefault="00AA4E12" w:rsidP="00C4765D">
      <w:pPr>
        <w:pStyle w:val="ListParagraph"/>
        <w:numPr>
          <w:ilvl w:val="0"/>
          <w:numId w:val="22"/>
        </w:numPr>
        <w:spacing w:line="360" w:lineRule="auto"/>
        <w:jc w:val="both"/>
        <w:rPr>
          <w:rFonts w:cs="Arial"/>
        </w:rPr>
      </w:pPr>
      <w:r w:rsidRPr="00AA4E12">
        <w:rPr>
          <w:rFonts w:cs="Arial"/>
        </w:rPr>
        <w:t xml:space="preserve">search any data contained in or </w:t>
      </w:r>
      <w:r w:rsidR="00130C29">
        <w:rPr>
          <w:rFonts w:cs="Arial"/>
        </w:rPr>
        <w:t>that may be available on</w:t>
      </w:r>
      <w:r w:rsidRPr="00AA4E12">
        <w:rPr>
          <w:rFonts w:cs="Arial"/>
        </w:rPr>
        <w:t xml:space="preserve"> that computer system;</w:t>
      </w:r>
    </w:p>
    <w:p w:rsidR="00C4765D" w:rsidRPr="00AA4E12" w:rsidRDefault="00C4765D" w:rsidP="00C4765D">
      <w:pPr>
        <w:pStyle w:val="ListParagraph"/>
        <w:spacing w:line="360" w:lineRule="auto"/>
        <w:ind w:left="1440"/>
        <w:jc w:val="both"/>
        <w:rPr>
          <w:rFonts w:cs="Arial"/>
        </w:rPr>
      </w:pPr>
    </w:p>
    <w:p w:rsidR="00AA4E12" w:rsidRDefault="00AA4E12" w:rsidP="00C4765D">
      <w:pPr>
        <w:pStyle w:val="ListParagraph"/>
        <w:numPr>
          <w:ilvl w:val="0"/>
          <w:numId w:val="22"/>
        </w:numPr>
        <w:spacing w:line="360" w:lineRule="auto"/>
        <w:jc w:val="both"/>
        <w:rPr>
          <w:rFonts w:cs="Arial"/>
        </w:rPr>
      </w:pPr>
      <w:r w:rsidRPr="00AA4E12">
        <w:rPr>
          <w:rFonts w:cs="Arial"/>
        </w:rPr>
        <w:t>reproduce any record from that data; and</w:t>
      </w:r>
    </w:p>
    <w:p w:rsidR="00C4765D" w:rsidRPr="00C4765D" w:rsidRDefault="00C4765D" w:rsidP="00C4765D">
      <w:pPr>
        <w:spacing w:line="360" w:lineRule="auto"/>
        <w:jc w:val="both"/>
        <w:rPr>
          <w:rFonts w:cs="Arial"/>
        </w:rPr>
      </w:pPr>
    </w:p>
    <w:p w:rsidR="00AA4E12" w:rsidRPr="00AA4E12" w:rsidRDefault="00AA4E12" w:rsidP="001C682E">
      <w:pPr>
        <w:pStyle w:val="ListParagraph"/>
        <w:spacing w:line="360" w:lineRule="auto"/>
        <w:ind w:left="1418" w:hanging="698"/>
        <w:jc w:val="both"/>
        <w:rPr>
          <w:rFonts w:cs="Arial"/>
        </w:rPr>
      </w:pPr>
      <w:r w:rsidRPr="00AA4E12">
        <w:rPr>
          <w:rFonts w:cs="Arial"/>
        </w:rPr>
        <w:t>(iii)</w:t>
      </w:r>
      <w:r w:rsidRPr="00AA4E12">
        <w:rPr>
          <w:rFonts w:cs="Arial"/>
        </w:rPr>
        <w:tab/>
      </w:r>
      <w:proofErr w:type="gramStart"/>
      <w:r w:rsidRPr="00AA4E12">
        <w:rPr>
          <w:rFonts w:cs="Arial"/>
        </w:rPr>
        <w:t>seize</w:t>
      </w:r>
      <w:proofErr w:type="gramEnd"/>
      <w:r w:rsidRPr="00AA4E12">
        <w:rPr>
          <w:rFonts w:cs="Arial"/>
        </w:rPr>
        <w:t xml:space="preserve"> any output from that computer for examination and copying; and</w:t>
      </w:r>
    </w:p>
    <w:p w:rsidR="00AA4E12" w:rsidRPr="00AA4E12" w:rsidRDefault="00AA4E12" w:rsidP="003531BA">
      <w:pPr>
        <w:spacing w:after="0" w:line="360" w:lineRule="auto"/>
        <w:jc w:val="both"/>
        <w:rPr>
          <w:rFonts w:cs="Arial"/>
        </w:rPr>
      </w:pPr>
    </w:p>
    <w:p w:rsidR="00F54C21" w:rsidRDefault="00AA4E12" w:rsidP="001C682E">
      <w:pPr>
        <w:pStyle w:val="ListParagraph"/>
        <w:numPr>
          <w:ilvl w:val="0"/>
          <w:numId w:val="11"/>
        </w:numPr>
        <w:spacing w:line="360" w:lineRule="auto"/>
        <w:ind w:left="0" w:firstLine="0"/>
        <w:jc w:val="both"/>
        <w:rPr>
          <w:rFonts w:cs="Arial"/>
        </w:rPr>
      </w:pPr>
      <w:r>
        <w:rPr>
          <w:rFonts w:cs="Arial"/>
        </w:rPr>
        <w:t xml:space="preserve">The person/s authorized to execute the warrant may </w:t>
      </w:r>
      <w:r w:rsidR="00F54C21" w:rsidRPr="00AA4E12">
        <w:rPr>
          <w:rFonts w:cs="Arial"/>
        </w:rPr>
        <w:t>attach and, if necessary, remove from the premises for examination and safekeeping anything that has</w:t>
      </w:r>
      <w:r w:rsidR="00915A56">
        <w:rPr>
          <w:rFonts w:cs="Arial"/>
        </w:rPr>
        <w:t xml:space="preserve"> a bearing on the investigation;</w:t>
      </w:r>
    </w:p>
    <w:p w:rsidR="001C682E" w:rsidRDefault="001C682E" w:rsidP="001C682E">
      <w:pPr>
        <w:pStyle w:val="ListParagraph"/>
        <w:spacing w:line="360" w:lineRule="auto"/>
        <w:ind w:left="0"/>
        <w:jc w:val="both"/>
        <w:rPr>
          <w:rFonts w:cs="Arial"/>
        </w:rPr>
      </w:pPr>
    </w:p>
    <w:p w:rsidR="00915A56" w:rsidRPr="00915A56" w:rsidRDefault="00915A56" w:rsidP="001C682E">
      <w:pPr>
        <w:pStyle w:val="ListParagraph"/>
        <w:numPr>
          <w:ilvl w:val="0"/>
          <w:numId w:val="11"/>
        </w:numPr>
        <w:spacing w:line="360" w:lineRule="auto"/>
        <w:ind w:left="0" w:firstLine="0"/>
        <w:jc w:val="both"/>
        <w:rPr>
          <w:rFonts w:cs="Arial"/>
        </w:rPr>
      </w:pPr>
      <w:r>
        <w:rPr>
          <w:rFonts w:cs="Arial"/>
        </w:rPr>
        <w:t>If the person/s authorized to execute the warrant</w:t>
      </w:r>
      <w:r w:rsidRPr="00915A56">
        <w:rPr>
          <w:rFonts w:cs="Arial"/>
        </w:rPr>
        <w:t xml:space="preserve"> remove</w:t>
      </w:r>
      <w:r>
        <w:rPr>
          <w:rFonts w:cs="Arial"/>
        </w:rPr>
        <w:t>/</w:t>
      </w:r>
      <w:r w:rsidRPr="00915A56">
        <w:rPr>
          <w:rFonts w:cs="Arial"/>
        </w:rPr>
        <w:t xml:space="preserve">s anything from any </w:t>
      </w:r>
      <w:r w:rsidR="00130C29">
        <w:rPr>
          <w:rFonts w:cs="Arial"/>
        </w:rPr>
        <w:t>premises</w:t>
      </w:r>
      <w:r>
        <w:rPr>
          <w:rFonts w:cs="Arial"/>
        </w:rPr>
        <w:t xml:space="preserve"> he</w:t>
      </w:r>
      <w:r w:rsidR="00130C29">
        <w:rPr>
          <w:rFonts w:cs="Arial"/>
        </w:rPr>
        <w:t>/she</w:t>
      </w:r>
      <w:r w:rsidRPr="00915A56">
        <w:rPr>
          <w:rFonts w:cs="Arial"/>
        </w:rPr>
        <w:t xml:space="preserve"> must-</w:t>
      </w:r>
    </w:p>
    <w:p w:rsidR="00915A56" w:rsidRDefault="00915A56" w:rsidP="003531BA">
      <w:pPr>
        <w:spacing w:after="0" w:line="360" w:lineRule="auto"/>
        <w:ind w:left="720"/>
        <w:jc w:val="both"/>
        <w:rPr>
          <w:rFonts w:ascii="Arial" w:hAnsi="Arial" w:cs="Arial"/>
          <w:sz w:val="24"/>
          <w:szCs w:val="24"/>
        </w:rPr>
      </w:pPr>
    </w:p>
    <w:p w:rsidR="00915A56" w:rsidRPr="00C4765D" w:rsidRDefault="00915A56" w:rsidP="00C4765D">
      <w:pPr>
        <w:pStyle w:val="ListParagraph"/>
        <w:numPr>
          <w:ilvl w:val="0"/>
          <w:numId w:val="23"/>
        </w:numPr>
        <w:spacing w:line="360" w:lineRule="auto"/>
        <w:jc w:val="both"/>
        <w:rPr>
          <w:rFonts w:cs="Arial"/>
        </w:rPr>
      </w:pPr>
      <w:r w:rsidRPr="00C4765D">
        <w:rPr>
          <w:rFonts w:cs="Arial"/>
        </w:rPr>
        <w:t>issue a receipt for that thing to the owner of, or person in control of, the premises; and</w:t>
      </w:r>
    </w:p>
    <w:p w:rsidR="00C4765D" w:rsidRPr="00C4765D" w:rsidRDefault="00C4765D" w:rsidP="00C4765D">
      <w:pPr>
        <w:pStyle w:val="ListParagraph"/>
        <w:spacing w:line="360" w:lineRule="auto"/>
        <w:ind w:left="1440"/>
        <w:jc w:val="both"/>
        <w:rPr>
          <w:rFonts w:cs="Arial"/>
        </w:rPr>
      </w:pPr>
    </w:p>
    <w:p w:rsidR="00915A56" w:rsidRPr="00915A56" w:rsidRDefault="00915A56" w:rsidP="001C682E">
      <w:pPr>
        <w:spacing w:after="0" w:line="360" w:lineRule="auto"/>
        <w:ind w:left="1440" w:hanging="720"/>
        <w:jc w:val="both"/>
        <w:rPr>
          <w:rFonts w:ascii="Arial" w:hAnsi="Arial" w:cs="Arial"/>
          <w:sz w:val="24"/>
          <w:szCs w:val="24"/>
        </w:rPr>
      </w:pPr>
      <w:r w:rsidRPr="00915A56">
        <w:rPr>
          <w:rFonts w:ascii="Arial" w:hAnsi="Arial" w:cs="Arial"/>
          <w:sz w:val="24"/>
          <w:szCs w:val="24"/>
        </w:rPr>
        <w:t>(b)</w:t>
      </w:r>
      <w:r w:rsidRPr="00915A56">
        <w:rPr>
          <w:rFonts w:ascii="Arial" w:hAnsi="Arial" w:cs="Arial"/>
          <w:sz w:val="24"/>
          <w:szCs w:val="24"/>
        </w:rPr>
        <w:tab/>
      </w:r>
      <w:proofErr w:type="gramStart"/>
      <w:r w:rsidRPr="00915A56">
        <w:rPr>
          <w:rFonts w:ascii="Arial" w:hAnsi="Arial" w:cs="Arial"/>
          <w:sz w:val="24"/>
          <w:szCs w:val="24"/>
        </w:rPr>
        <w:t>return</w:t>
      </w:r>
      <w:proofErr w:type="gramEnd"/>
      <w:r w:rsidRPr="00915A56">
        <w:rPr>
          <w:rFonts w:ascii="Arial" w:hAnsi="Arial" w:cs="Arial"/>
          <w:sz w:val="24"/>
          <w:szCs w:val="24"/>
        </w:rPr>
        <w:t xml:space="preserve"> that thing as soon as practicable after achieving the purpose for which it was removed.</w:t>
      </w:r>
    </w:p>
    <w:p w:rsidR="00F64AC3" w:rsidRDefault="00915A56" w:rsidP="001C682E">
      <w:pPr>
        <w:spacing w:after="0" w:line="360" w:lineRule="auto"/>
        <w:jc w:val="both"/>
        <w:rPr>
          <w:rFonts w:ascii="Arial" w:hAnsi="Arial" w:cs="Arial"/>
          <w:sz w:val="24"/>
          <w:szCs w:val="24"/>
        </w:rPr>
      </w:pPr>
      <w:r w:rsidRPr="00915A56">
        <w:rPr>
          <w:rFonts w:ascii="Arial" w:hAnsi="Arial" w:cs="Arial"/>
          <w:sz w:val="24"/>
          <w:szCs w:val="24"/>
        </w:rPr>
        <w:tab/>
      </w:r>
    </w:p>
    <w:p w:rsidR="00915A56" w:rsidRDefault="00F64AC3" w:rsidP="001C682E">
      <w:pPr>
        <w:spacing w:after="0" w:line="360" w:lineRule="auto"/>
        <w:jc w:val="both"/>
        <w:rPr>
          <w:rFonts w:ascii="Arial" w:hAnsi="Arial" w:cs="Arial"/>
          <w:sz w:val="24"/>
          <w:szCs w:val="24"/>
        </w:rPr>
      </w:pPr>
      <w:r>
        <w:rPr>
          <w:rFonts w:ascii="Arial" w:hAnsi="Arial" w:cs="Arial"/>
          <w:sz w:val="24"/>
          <w:szCs w:val="24"/>
        </w:rPr>
        <w:t>[</w:t>
      </w:r>
      <w:r w:rsidR="001C682E">
        <w:rPr>
          <w:rFonts w:ascii="Arial" w:hAnsi="Arial" w:cs="Arial"/>
          <w:sz w:val="24"/>
          <w:szCs w:val="24"/>
        </w:rPr>
        <w:t>39</w:t>
      </w:r>
      <w:r>
        <w:rPr>
          <w:rFonts w:ascii="Arial" w:hAnsi="Arial" w:cs="Arial"/>
          <w:sz w:val="24"/>
          <w:szCs w:val="24"/>
        </w:rPr>
        <w:t>]</w:t>
      </w:r>
      <w:r>
        <w:rPr>
          <w:rFonts w:ascii="Arial" w:hAnsi="Arial" w:cs="Arial"/>
          <w:sz w:val="24"/>
          <w:szCs w:val="24"/>
        </w:rPr>
        <w:tab/>
        <w:t>From the common cause facts between the parties it appears that</w:t>
      </w:r>
      <w:r w:rsidR="00915A56">
        <w:rPr>
          <w:rFonts w:ascii="Arial" w:hAnsi="Arial" w:cs="Arial"/>
          <w:sz w:val="24"/>
          <w:szCs w:val="24"/>
        </w:rPr>
        <w:t xml:space="preserve"> the following did occur:</w:t>
      </w:r>
    </w:p>
    <w:p w:rsidR="00C345CB" w:rsidRDefault="00C345CB" w:rsidP="003531BA">
      <w:pPr>
        <w:spacing w:after="0" w:line="360" w:lineRule="auto"/>
        <w:jc w:val="both"/>
        <w:rPr>
          <w:rFonts w:ascii="Arial" w:hAnsi="Arial" w:cs="Arial"/>
          <w:sz w:val="24"/>
          <w:szCs w:val="24"/>
        </w:rPr>
      </w:pPr>
    </w:p>
    <w:p w:rsidR="00C345CB" w:rsidRDefault="00C345CB" w:rsidP="00195DCD">
      <w:pPr>
        <w:pStyle w:val="ListParagraph"/>
        <w:numPr>
          <w:ilvl w:val="0"/>
          <w:numId w:val="13"/>
        </w:numPr>
        <w:spacing w:line="360" w:lineRule="auto"/>
        <w:ind w:left="0" w:firstLine="0"/>
        <w:jc w:val="both"/>
        <w:rPr>
          <w:rFonts w:cs="Arial"/>
        </w:rPr>
      </w:pPr>
      <w:r w:rsidRPr="00C345CB">
        <w:rPr>
          <w:rFonts w:cs="Arial"/>
        </w:rPr>
        <w:t>The</w:t>
      </w:r>
      <w:r>
        <w:rPr>
          <w:rFonts w:cs="Arial"/>
        </w:rPr>
        <w:t xml:space="preserve"> pysical search</w:t>
      </w:r>
      <w:r w:rsidR="008A2C04">
        <w:rPr>
          <w:rFonts w:cs="Arial"/>
        </w:rPr>
        <w:t>,</w:t>
      </w:r>
      <w:r w:rsidRPr="00C345CB">
        <w:rPr>
          <w:rFonts w:cs="Arial"/>
        </w:rPr>
        <w:t xml:space="preserve"> authorised by the warrant</w:t>
      </w:r>
      <w:r w:rsidR="008A2C04">
        <w:rPr>
          <w:rFonts w:cs="Arial"/>
        </w:rPr>
        <w:t>,</w:t>
      </w:r>
      <w:r w:rsidRPr="00C345CB">
        <w:rPr>
          <w:rFonts w:cs="Arial"/>
        </w:rPr>
        <w:t xml:space="preserve"> took place at Puma's premises</w:t>
      </w:r>
      <w:r>
        <w:rPr>
          <w:rFonts w:cs="Arial"/>
        </w:rPr>
        <w:t xml:space="preserve"> from 15 to 17 September 2016</w:t>
      </w:r>
      <w:r w:rsidRPr="00C345CB">
        <w:rPr>
          <w:rFonts w:cs="Arial"/>
        </w:rPr>
        <w:t xml:space="preserve">. </w:t>
      </w:r>
      <w:r w:rsidRPr="00AF4007">
        <w:rPr>
          <w:rFonts w:cs="Arial"/>
        </w:rPr>
        <w:t>It was conducted by the Commission, with the assistance of an expert forensic information technology service provider, Century Technical Solutions (Pty) Ltd (</w:t>
      </w:r>
      <w:r w:rsidRPr="00130C29">
        <w:rPr>
          <w:rFonts w:cs="Arial"/>
        </w:rPr>
        <w:t>Century</w:t>
      </w:r>
      <w:r w:rsidRPr="00AF4007">
        <w:rPr>
          <w:rFonts w:cs="Arial"/>
        </w:rPr>
        <w:t>) as well as representatives of the South African Competition Commission</w:t>
      </w:r>
      <w:r w:rsidR="008A2C04">
        <w:rPr>
          <w:rFonts w:cs="Arial"/>
        </w:rPr>
        <w:t>;</w:t>
      </w:r>
    </w:p>
    <w:p w:rsidR="00195DCD" w:rsidRDefault="00195DCD" w:rsidP="00195DCD">
      <w:pPr>
        <w:pStyle w:val="ListParagraph"/>
        <w:spacing w:line="360" w:lineRule="auto"/>
        <w:ind w:left="0"/>
        <w:jc w:val="both"/>
        <w:rPr>
          <w:rFonts w:cs="Arial"/>
        </w:rPr>
      </w:pPr>
    </w:p>
    <w:p w:rsidR="00195DCD" w:rsidRDefault="00C345CB" w:rsidP="00195DCD">
      <w:pPr>
        <w:pStyle w:val="ListParagraph"/>
        <w:numPr>
          <w:ilvl w:val="0"/>
          <w:numId w:val="13"/>
        </w:numPr>
        <w:spacing w:line="360" w:lineRule="auto"/>
        <w:ind w:left="0" w:firstLine="0"/>
        <w:jc w:val="both"/>
        <w:rPr>
          <w:rFonts w:cs="Arial"/>
        </w:rPr>
      </w:pPr>
      <w:r w:rsidRPr="00C345CB">
        <w:rPr>
          <w:rFonts w:cs="Arial"/>
        </w:rPr>
        <w:t xml:space="preserve">In the course of 15 September 2016, Puma was presented with the warrant, to which was annexed the notice of investigation, and </w:t>
      </w:r>
      <w:r w:rsidR="00373B3B">
        <w:rPr>
          <w:rFonts w:cs="Arial"/>
        </w:rPr>
        <w:t>a proposed tripartite agreement;</w:t>
      </w:r>
      <w:r w:rsidRPr="00C345CB">
        <w:rPr>
          <w:rFonts w:cs="Arial"/>
        </w:rPr>
        <w:t xml:space="preserve"> </w:t>
      </w:r>
    </w:p>
    <w:p w:rsidR="00C345CB" w:rsidRDefault="00C345CB" w:rsidP="00195DCD">
      <w:pPr>
        <w:pStyle w:val="ListParagraph"/>
        <w:spacing w:line="360" w:lineRule="auto"/>
        <w:ind w:left="0"/>
        <w:jc w:val="both"/>
        <w:rPr>
          <w:rFonts w:cs="Arial"/>
        </w:rPr>
      </w:pPr>
      <w:r w:rsidRPr="00C345CB">
        <w:rPr>
          <w:rFonts w:cs="Arial"/>
        </w:rPr>
        <w:t xml:space="preserve"> </w:t>
      </w:r>
    </w:p>
    <w:p w:rsidR="00195DCD" w:rsidRDefault="00C345CB" w:rsidP="00195DCD">
      <w:pPr>
        <w:pStyle w:val="ListParagraph"/>
        <w:numPr>
          <w:ilvl w:val="0"/>
          <w:numId w:val="13"/>
        </w:numPr>
        <w:spacing w:line="360" w:lineRule="auto"/>
        <w:ind w:left="0" w:firstLine="0"/>
        <w:jc w:val="both"/>
        <w:rPr>
          <w:rFonts w:cs="Arial"/>
        </w:rPr>
      </w:pPr>
      <w:r w:rsidRPr="00C345CB">
        <w:rPr>
          <w:rFonts w:cs="Arial"/>
        </w:rPr>
        <w:t>Du</w:t>
      </w:r>
      <w:r>
        <w:rPr>
          <w:rFonts w:cs="Arial"/>
        </w:rPr>
        <w:t>ring the course of the search</w:t>
      </w:r>
      <w:r w:rsidRPr="00C345CB">
        <w:rPr>
          <w:rFonts w:cs="Arial"/>
        </w:rPr>
        <w:t xml:space="preserve">, a number of hardcopy documents were seized, as </w:t>
      </w:r>
      <w:r w:rsidR="00373B3B">
        <w:rPr>
          <w:rFonts w:cs="Arial"/>
        </w:rPr>
        <w:t>were various electronic devices;</w:t>
      </w:r>
      <w:r w:rsidRPr="00C345CB">
        <w:rPr>
          <w:rFonts w:cs="Arial"/>
        </w:rPr>
        <w:t xml:space="preserve"> </w:t>
      </w:r>
    </w:p>
    <w:p w:rsidR="00373B3B" w:rsidRDefault="00C345CB" w:rsidP="00195DCD">
      <w:pPr>
        <w:pStyle w:val="ListParagraph"/>
        <w:spacing w:line="360" w:lineRule="auto"/>
        <w:ind w:left="0"/>
        <w:jc w:val="both"/>
        <w:rPr>
          <w:rFonts w:cs="Arial"/>
        </w:rPr>
      </w:pPr>
      <w:r w:rsidRPr="00C345CB">
        <w:rPr>
          <w:rFonts w:cs="Arial"/>
        </w:rPr>
        <w:lastRenderedPageBreak/>
        <w:t xml:space="preserve"> </w:t>
      </w:r>
    </w:p>
    <w:p w:rsidR="00C345CB" w:rsidRDefault="00C345CB" w:rsidP="00195DCD">
      <w:pPr>
        <w:pStyle w:val="ListParagraph"/>
        <w:numPr>
          <w:ilvl w:val="0"/>
          <w:numId w:val="13"/>
        </w:numPr>
        <w:spacing w:line="360" w:lineRule="auto"/>
        <w:ind w:left="0" w:firstLine="0"/>
        <w:jc w:val="both"/>
        <w:rPr>
          <w:rFonts w:cs="Arial"/>
        </w:rPr>
      </w:pPr>
      <w:r w:rsidRPr="00C345CB">
        <w:rPr>
          <w:rFonts w:cs="Arial"/>
        </w:rPr>
        <w:t>In addition, forensic mirror images were created of these electronic devices and of Puma's server.  This, after access to the server was authorised by Puma employees who flew in from South Africa for the purpose</w:t>
      </w:r>
      <w:r w:rsidR="00373B3B">
        <w:rPr>
          <w:rFonts w:cs="Arial"/>
        </w:rPr>
        <w:t>;</w:t>
      </w:r>
    </w:p>
    <w:p w:rsidR="00195DCD" w:rsidRDefault="00195DCD" w:rsidP="00195DCD">
      <w:pPr>
        <w:pStyle w:val="ListParagraph"/>
        <w:spacing w:line="360" w:lineRule="auto"/>
        <w:ind w:left="0"/>
        <w:jc w:val="both"/>
        <w:rPr>
          <w:rFonts w:cs="Arial"/>
        </w:rPr>
      </w:pPr>
    </w:p>
    <w:p w:rsidR="00C345CB" w:rsidRDefault="00C345CB" w:rsidP="00195DCD">
      <w:pPr>
        <w:pStyle w:val="ListParagraph"/>
        <w:numPr>
          <w:ilvl w:val="0"/>
          <w:numId w:val="13"/>
        </w:numPr>
        <w:spacing w:line="360" w:lineRule="auto"/>
        <w:ind w:left="0" w:firstLine="0"/>
        <w:jc w:val="both"/>
        <w:rPr>
          <w:rFonts w:cs="Arial"/>
        </w:rPr>
      </w:pPr>
      <w:r w:rsidRPr="00C345CB">
        <w:rPr>
          <w:rFonts w:cs="Arial"/>
        </w:rPr>
        <w:t xml:space="preserve">On 21 September 2016, the Commission advised Puma's legal practitioners </w:t>
      </w:r>
      <w:r w:rsidR="00373B3B">
        <w:rPr>
          <w:rFonts w:cs="Arial"/>
        </w:rPr>
        <w:t>that it wanted</w:t>
      </w:r>
      <w:r w:rsidRPr="00C345CB">
        <w:rPr>
          <w:rFonts w:cs="Arial"/>
        </w:rPr>
        <w:t xml:space="preserve"> to unseal the evidence bags containing hard copy docum</w:t>
      </w:r>
      <w:r>
        <w:rPr>
          <w:rFonts w:cs="Arial"/>
        </w:rPr>
        <w:t>ents seized during the search</w:t>
      </w:r>
      <w:r w:rsidRPr="00C345CB">
        <w:rPr>
          <w:rFonts w:cs="Arial"/>
        </w:rPr>
        <w:t xml:space="preserve"> and requested their pre</w:t>
      </w:r>
      <w:r w:rsidR="00373B3B">
        <w:rPr>
          <w:rFonts w:cs="Arial"/>
        </w:rPr>
        <w:t>sence at the unsealing</w:t>
      </w:r>
      <w:r w:rsidR="00130C29" w:rsidRPr="00130C29">
        <w:rPr>
          <w:rFonts w:cs="Arial"/>
        </w:rPr>
        <w:t xml:space="preserve"> </w:t>
      </w:r>
      <w:r w:rsidR="00130C29" w:rsidRPr="00C345CB">
        <w:rPr>
          <w:rFonts w:cs="Arial"/>
        </w:rPr>
        <w:t>in the period between 26 and 29 September 2016</w:t>
      </w:r>
      <w:r w:rsidR="00373B3B">
        <w:rPr>
          <w:rFonts w:cs="Arial"/>
        </w:rPr>
        <w:t>;</w:t>
      </w:r>
    </w:p>
    <w:p w:rsidR="00195DCD" w:rsidRDefault="00195DCD" w:rsidP="00195DCD">
      <w:pPr>
        <w:pStyle w:val="ListParagraph"/>
        <w:spacing w:line="360" w:lineRule="auto"/>
        <w:ind w:left="0"/>
        <w:jc w:val="both"/>
        <w:rPr>
          <w:rFonts w:cs="Arial"/>
        </w:rPr>
      </w:pPr>
    </w:p>
    <w:p w:rsidR="00C345CB" w:rsidRDefault="00C345CB" w:rsidP="00195DCD">
      <w:pPr>
        <w:pStyle w:val="ListParagraph"/>
        <w:numPr>
          <w:ilvl w:val="0"/>
          <w:numId w:val="13"/>
        </w:numPr>
        <w:spacing w:line="360" w:lineRule="auto"/>
        <w:ind w:left="0" w:firstLine="0"/>
        <w:jc w:val="both"/>
        <w:rPr>
          <w:rFonts w:cs="Arial"/>
        </w:rPr>
      </w:pPr>
      <w:r w:rsidRPr="00C345CB">
        <w:rPr>
          <w:rFonts w:cs="Arial"/>
        </w:rPr>
        <w:t>On 26 September 2016, Puma's legal practitioners advised</w:t>
      </w:r>
      <w:r w:rsidR="00130C29">
        <w:rPr>
          <w:rFonts w:cs="Arial"/>
        </w:rPr>
        <w:t xml:space="preserve"> the Commission</w:t>
      </w:r>
      <w:r w:rsidRPr="00C345CB">
        <w:rPr>
          <w:rFonts w:cs="Arial"/>
        </w:rPr>
        <w:t xml:space="preserve"> that Puma intended launching a challenge and accordingly they requested that th</w:t>
      </w:r>
      <w:r w:rsidR="00130C29">
        <w:rPr>
          <w:rFonts w:cs="Arial"/>
        </w:rPr>
        <w:t>e unsealing of the evidence</w:t>
      </w:r>
      <w:r w:rsidRPr="00C345CB">
        <w:rPr>
          <w:rFonts w:cs="Arial"/>
        </w:rPr>
        <w:t xml:space="preserve"> be postponed. The Commission agreed on the following day, subject to a condition that Puma indicate the date by which it int</w:t>
      </w:r>
      <w:r w:rsidR="00373B3B">
        <w:rPr>
          <w:rFonts w:cs="Arial"/>
        </w:rPr>
        <w:t>ended to launch its application;</w:t>
      </w:r>
    </w:p>
    <w:p w:rsidR="00195DCD" w:rsidRDefault="00195DCD" w:rsidP="00195DCD">
      <w:pPr>
        <w:pStyle w:val="ListParagraph"/>
        <w:spacing w:line="360" w:lineRule="auto"/>
        <w:ind w:left="0"/>
        <w:jc w:val="both"/>
        <w:rPr>
          <w:rFonts w:cs="Arial"/>
        </w:rPr>
      </w:pPr>
    </w:p>
    <w:p w:rsidR="00351DA6" w:rsidRDefault="00351DA6" w:rsidP="00195DCD">
      <w:pPr>
        <w:pStyle w:val="ListParagraph"/>
        <w:numPr>
          <w:ilvl w:val="0"/>
          <w:numId w:val="13"/>
        </w:numPr>
        <w:autoSpaceDE/>
        <w:autoSpaceDN/>
        <w:adjustRightInd/>
        <w:spacing w:line="360" w:lineRule="auto"/>
        <w:ind w:left="0" w:firstLine="0"/>
        <w:jc w:val="both"/>
        <w:rPr>
          <w:rFonts w:cs="Arial"/>
        </w:rPr>
      </w:pPr>
      <w:r w:rsidRPr="00AF4007">
        <w:rPr>
          <w:rFonts w:cs="Arial"/>
        </w:rPr>
        <w:t>Various materials</w:t>
      </w:r>
      <w:r w:rsidR="00130C29">
        <w:rPr>
          <w:rFonts w:cs="Arial"/>
        </w:rPr>
        <w:t xml:space="preserve"> and data was</w:t>
      </w:r>
      <w:r w:rsidRPr="00AF4007">
        <w:rPr>
          <w:rFonts w:cs="Arial"/>
        </w:rPr>
        <w:t xml:space="preserve"> collected during the search</w:t>
      </w:r>
      <w:r w:rsidR="00130C29">
        <w:rPr>
          <w:rFonts w:cs="Arial"/>
        </w:rPr>
        <w:t>, including hard copy documents</w:t>
      </w:r>
      <w:r w:rsidRPr="00AF4007">
        <w:rPr>
          <w:rFonts w:cs="Arial"/>
        </w:rPr>
        <w:t xml:space="preserve"> and forensic mirror images</w:t>
      </w:r>
      <w:r w:rsidR="00130C29">
        <w:rPr>
          <w:rFonts w:cs="Arial"/>
        </w:rPr>
        <w:t xml:space="preserve"> made</w:t>
      </w:r>
      <w:r w:rsidRPr="00AF4007">
        <w:rPr>
          <w:rFonts w:cs="Arial"/>
        </w:rPr>
        <w:t xml:space="preserve"> of</w:t>
      </w:r>
      <w:r w:rsidR="00130C29">
        <w:rPr>
          <w:rFonts w:cs="Arial"/>
        </w:rPr>
        <w:t xml:space="preserve"> the data contained on the</w:t>
      </w:r>
      <w:r w:rsidR="00130C29" w:rsidRPr="00130C29">
        <w:rPr>
          <w:rFonts w:cs="Arial"/>
        </w:rPr>
        <w:t xml:space="preserve"> </w:t>
      </w:r>
      <w:r w:rsidR="00130C29" w:rsidRPr="00AF4007">
        <w:rPr>
          <w:rFonts w:cs="Arial"/>
        </w:rPr>
        <w:t>electronic devices</w:t>
      </w:r>
      <w:r w:rsidR="00130C29">
        <w:rPr>
          <w:rFonts w:cs="Arial"/>
        </w:rPr>
        <w:t xml:space="preserve"> seized and those made from</w:t>
      </w:r>
      <w:r w:rsidRPr="00AF4007">
        <w:rPr>
          <w:rFonts w:cs="Arial"/>
        </w:rPr>
        <w:t xml:space="preserve"> Puma’s server.</w:t>
      </w:r>
      <w:r w:rsidRPr="00AF4007">
        <w:rPr>
          <w:rStyle w:val="FootnoteReference"/>
          <w:rFonts w:cs="Arial"/>
        </w:rPr>
        <w:footnoteReference w:id="108"/>
      </w:r>
      <w:r w:rsidRPr="00AF4007">
        <w:rPr>
          <w:rFonts w:cs="Arial"/>
        </w:rPr>
        <w:t xml:space="preserve">  This evidence has been sealed in bags</w:t>
      </w:r>
      <w:r w:rsidR="00130C29">
        <w:rPr>
          <w:rFonts w:cs="Arial"/>
        </w:rPr>
        <w:t xml:space="preserve"> or is in the Registrar’s safe-keeping and</w:t>
      </w:r>
      <w:r w:rsidR="00195DCD">
        <w:rPr>
          <w:rFonts w:cs="Arial"/>
        </w:rPr>
        <w:t xml:space="preserve"> which remain unopened</w:t>
      </w:r>
      <w:r w:rsidR="00130C29">
        <w:rPr>
          <w:rFonts w:cs="Arial"/>
        </w:rPr>
        <w:t>/unaccessed</w:t>
      </w:r>
      <w:r w:rsidR="00195DCD">
        <w:rPr>
          <w:rFonts w:cs="Arial"/>
        </w:rPr>
        <w:t xml:space="preserve"> to date;</w:t>
      </w:r>
    </w:p>
    <w:p w:rsidR="00195DCD" w:rsidRPr="00AF4007" w:rsidRDefault="00195DCD" w:rsidP="00195DCD">
      <w:pPr>
        <w:pStyle w:val="ListParagraph"/>
        <w:autoSpaceDE/>
        <w:autoSpaceDN/>
        <w:adjustRightInd/>
        <w:spacing w:line="360" w:lineRule="auto"/>
        <w:ind w:left="0"/>
        <w:jc w:val="both"/>
        <w:rPr>
          <w:rFonts w:cs="Arial"/>
        </w:rPr>
      </w:pPr>
    </w:p>
    <w:p w:rsidR="00351DA6" w:rsidRDefault="00351DA6" w:rsidP="00195DCD">
      <w:pPr>
        <w:pStyle w:val="ListParagraph"/>
        <w:numPr>
          <w:ilvl w:val="0"/>
          <w:numId w:val="13"/>
        </w:numPr>
        <w:autoSpaceDE/>
        <w:autoSpaceDN/>
        <w:adjustRightInd/>
        <w:spacing w:line="360" w:lineRule="auto"/>
        <w:ind w:left="0" w:firstLine="0"/>
        <w:jc w:val="both"/>
        <w:rPr>
          <w:rFonts w:cs="Arial"/>
        </w:rPr>
      </w:pPr>
      <w:r>
        <w:rPr>
          <w:rFonts w:cs="Arial"/>
        </w:rPr>
        <w:t>The Commission also</w:t>
      </w:r>
      <w:r w:rsidRPr="00AF4007">
        <w:rPr>
          <w:rFonts w:cs="Arial"/>
        </w:rPr>
        <w:t xml:space="preserve"> presented Puma with a draft tripartite agreement to be concluded between it, Century and Puma.  The agreement </w:t>
      </w:r>
      <w:r w:rsidR="00130C29">
        <w:rPr>
          <w:rFonts w:cs="Arial"/>
        </w:rPr>
        <w:t>was aimed at</w:t>
      </w:r>
      <w:r w:rsidRPr="00AF4007">
        <w:rPr>
          <w:rFonts w:cs="Arial"/>
        </w:rPr>
        <w:t xml:space="preserve"> protect</w:t>
      </w:r>
      <w:r w:rsidR="00130C29">
        <w:rPr>
          <w:rFonts w:cs="Arial"/>
        </w:rPr>
        <w:t>ing</w:t>
      </w:r>
      <w:r w:rsidRPr="00AF4007">
        <w:rPr>
          <w:rFonts w:cs="Arial"/>
        </w:rPr>
        <w:t xml:space="preserve"> Puma and any privilege claims it may have.  It envisages that Century will conduct key-word searches and similar processes on the mirror images taken of the seized servers and hard drives, to identify data relevant to the investigation.  A hard</w:t>
      </w:r>
      <w:r w:rsidR="00195DCD">
        <w:rPr>
          <w:rFonts w:cs="Arial"/>
        </w:rPr>
        <w:t xml:space="preserve"> </w:t>
      </w:r>
      <w:r w:rsidRPr="00AF4007">
        <w:rPr>
          <w:rFonts w:cs="Arial"/>
        </w:rPr>
        <w:t>drive of relevant data will then be provided to Puma to identify and exclude privileged documents, before it is provided to the Commission.  To date, Puma has refused to sign the tripartite agreement despite an undertaking that they will request certain amendments thereto w</w:t>
      </w:r>
      <w:r w:rsidR="00373B3B">
        <w:rPr>
          <w:rFonts w:cs="Arial"/>
        </w:rPr>
        <w:t>hich they have not done to date;</w:t>
      </w:r>
    </w:p>
    <w:p w:rsidR="00195DCD" w:rsidRPr="00AF4007" w:rsidRDefault="00195DCD" w:rsidP="00195DCD">
      <w:pPr>
        <w:pStyle w:val="ListParagraph"/>
        <w:autoSpaceDE/>
        <w:autoSpaceDN/>
        <w:adjustRightInd/>
        <w:spacing w:line="360" w:lineRule="auto"/>
        <w:ind w:left="0"/>
        <w:jc w:val="both"/>
        <w:rPr>
          <w:rFonts w:cs="Arial"/>
        </w:rPr>
      </w:pPr>
    </w:p>
    <w:p w:rsidR="00F54C21" w:rsidRDefault="00351DA6" w:rsidP="00195DCD">
      <w:pPr>
        <w:pStyle w:val="ListParagraph"/>
        <w:numPr>
          <w:ilvl w:val="0"/>
          <w:numId w:val="13"/>
        </w:numPr>
        <w:autoSpaceDE/>
        <w:autoSpaceDN/>
        <w:adjustRightInd/>
        <w:spacing w:line="360" w:lineRule="auto"/>
        <w:ind w:left="0" w:firstLine="0"/>
        <w:jc w:val="both"/>
        <w:rPr>
          <w:rFonts w:cs="Arial"/>
        </w:rPr>
      </w:pPr>
      <w:r>
        <w:rPr>
          <w:rFonts w:cs="Arial"/>
        </w:rPr>
        <w:t>W</w:t>
      </w:r>
      <w:r w:rsidRPr="00AF4007">
        <w:rPr>
          <w:rFonts w:cs="Arial"/>
        </w:rPr>
        <w:t>hen the High Court granted the order of the 14</w:t>
      </w:r>
      <w:r w:rsidRPr="00AF4007">
        <w:rPr>
          <w:rFonts w:cs="Arial"/>
          <w:vertAlign w:val="superscript"/>
        </w:rPr>
        <w:t>th</w:t>
      </w:r>
      <w:r w:rsidRPr="00AF4007">
        <w:rPr>
          <w:rFonts w:cs="Arial"/>
        </w:rPr>
        <w:t xml:space="preserve"> September 2016, amongst others, it ordered that in the event Puma ‘does not agree to enter into a tripartite </w:t>
      </w:r>
      <w:r w:rsidRPr="00AF4007">
        <w:rPr>
          <w:rFonts w:cs="Arial"/>
        </w:rPr>
        <w:lastRenderedPageBreak/>
        <w:t>agreement, the Commission must file the electronic data seized with the Registrar of the High Court for safe</w:t>
      </w:r>
      <w:r w:rsidR="00A87757">
        <w:rPr>
          <w:rFonts w:cs="Arial"/>
        </w:rPr>
        <w:t>-</w:t>
      </w:r>
      <w:r w:rsidRPr="00AF4007">
        <w:rPr>
          <w:rFonts w:cs="Arial"/>
        </w:rPr>
        <w:t xml:space="preserve"> keeping, pending further direction from the Court.’ </w:t>
      </w:r>
      <w:r w:rsidR="00A87757">
        <w:rPr>
          <w:rFonts w:cs="Arial"/>
        </w:rPr>
        <w:t>To date this data remains unaccessed in the Registrar’s safe-keeping</w:t>
      </w:r>
    </w:p>
    <w:p w:rsidR="00351DA6" w:rsidRDefault="00351DA6" w:rsidP="003531BA">
      <w:pPr>
        <w:spacing w:after="0" w:line="360" w:lineRule="auto"/>
        <w:jc w:val="both"/>
        <w:rPr>
          <w:rFonts w:cs="Arial"/>
        </w:rPr>
      </w:pPr>
    </w:p>
    <w:p w:rsidR="00BC168E" w:rsidRDefault="00BC168E" w:rsidP="003531BA">
      <w:pPr>
        <w:spacing w:after="0" w:line="360" w:lineRule="auto"/>
        <w:jc w:val="both"/>
        <w:rPr>
          <w:rFonts w:ascii="Arial" w:hAnsi="Arial" w:cs="Arial"/>
          <w:sz w:val="24"/>
          <w:szCs w:val="24"/>
        </w:rPr>
      </w:pPr>
      <w:r>
        <w:rPr>
          <w:rFonts w:ascii="Arial" w:hAnsi="Arial" w:cs="Arial"/>
          <w:sz w:val="24"/>
          <w:szCs w:val="24"/>
        </w:rPr>
        <w:t>[</w:t>
      </w:r>
      <w:r w:rsidR="00195DCD">
        <w:rPr>
          <w:rFonts w:ascii="Arial" w:hAnsi="Arial" w:cs="Arial"/>
          <w:sz w:val="24"/>
          <w:szCs w:val="24"/>
        </w:rPr>
        <w:t>40</w:t>
      </w:r>
      <w:r>
        <w:rPr>
          <w:rFonts w:ascii="Arial" w:hAnsi="Arial" w:cs="Arial"/>
          <w:sz w:val="24"/>
          <w:szCs w:val="24"/>
        </w:rPr>
        <w:t>]</w:t>
      </w:r>
      <w:r>
        <w:rPr>
          <w:rFonts w:ascii="Arial" w:hAnsi="Arial" w:cs="Arial"/>
          <w:sz w:val="24"/>
          <w:szCs w:val="24"/>
        </w:rPr>
        <w:tab/>
        <w:t>If one then consider</w:t>
      </w:r>
      <w:r w:rsidRPr="00BC168E">
        <w:rPr>
          <w:rFonts w:ascii="Arial" w:hAnsi="Arial" w:cs="Arial"/>
          <w:sz w:val="24"/>
          <w:szCs w:val="24"/>
        </w:rPr>
        <w:t>s the above facts</w:t>
      </w:r>
      <w:r>
        <w:rPr>
          <w:rFonts w:ascii="Arial" w:hAnsi="Arial" w:cs="Arial"/>
          <w:sz w:val="24"/>
          <w:szCs w:val="24"/>
        </w:rPr>
        <w:t xml:space="preserve"> it appears that</w:t>
      </w:r>
      <w:r w:rsidR="00E94A64">
        <w:rPr>
          <w:rFonts w:ascii="Arial" w:hAnsi="Arial" w:cs="Arial"/>
          <w:sz w:val="24"/>
          <w:szCs w:val="24"/>
        </w:rPr>
        <w:t xml:space="preserve"> the search remains incomplete as:</w:t>
      </w:r>
    </w:p>
    <w:p w:rsidR="00E94A64" w:rsidRDefault="00E94A64" w:rsidP="003531BA">
      <w:pPr>
        <w:spacing w:after="0" w:line="360" w:lineRule="auto"/>
        <w:jc w:val="both"/>
        <w:rPr>
          <w:rFonts w:ascii="Arial" w:hAnsi="Arial" w:cs="Arial"/>
          <w:sz w:val="24"/>
          <w:szCs w:val="24"/>
        </w:rPr>
      </w:pPr>
    </w:p>
    <w:p w:rsidR="00E94A64" w:rsidRDefault="00E94A64" w:rsidP="00195DCD">
      <w:pPr>
        <w:pStyle w:val="ListParagraph"/>
        <w:numPr>
          <w:ilvl w:val="0"/>
          <w:numId w:val="14"/>
        </w:numPr>
        <w:spacing w:line="360" w:lineRule="auto"/>
        <w:ind w:left="0" w:firstLine="0"/>
        <w:jc w:val="both"/>
        <w:rPr>
          <w:rFonts w:cs="Arial"/>
        </w:rPr>
      </w:pPr>
      <w:r>
        <w:rPr>
          <w:rFonts w:cs="Arial"/>
        </w:rPr>
        <w:t>The hardcopies of all documents seized during the search remain sealed in bags, which</w:t>
      </w:r>
      <w:r w:rsidR="00A87757">
        <w:rPr>
          <w:rFonts w:cs="Arial"/>
        </w:rPr>
        <w:t xml:space="preserve"> bags,</w:t>
      </w:r>
      <w:r>
        <w:rPr>
          <w:rFonts w:cs="Arial"/>
        </w:rPr>
        <w:t xml:space="preserve"> to date</w:t>
      </w:r>
      <w:r w:rsidR="00A87757">
        <w:rPr>
          <w:rFonts w:cs="Arial"/>
        </w:rPr>
        <w:t>,</w:t>
      </w:r>
      <w:r>
        <w:rPr>
          <w:rFonts w:cs="Arial"/>
        </w:rPr>
        <w:t xml:space="preserve"> have remained up-opened</w:t>
      </w:r>
      <w:r w:rsidR="00634681">
        <w:rPr>
          <w:rFonts w:cs="Arial"/>
        </w:rPr>
        <w:t xml:space="preserve">. No search </w:t>
      </w:r>
      <w:r w:rsidR="00A87757">
        <w:rPr>
          <w:rFonts w:cs="Arial"/>
        </w:rPr>
        <w:t>has as yet been conducted to</w:t>
      </w:r>
      <w:r w:rsidR="00634681">
        <w:rPr>
          <w:rFonts w:cs="Arial"/>
        </w:rPr>
        <w:t xml:space="preserve"> determine whether or not any of the hardcopies seized during the search have any relevance to the pending investigation; </w:t>
      </w:r>
      <w:r>
        <w:rPr>
          <w:rFonts w:cs="Arial"/>
        </w:rPr>
        <w:t>and</w:t>
      </w:r>
    </w:p>
    <w:p w:rsidR="00634681" w:rsidRDefault="00634681" w:rsidP="00195DCD">
      <w:pPr>
        <w:pStyle w:val="ListParagraph"/>
        <w:spacing w:line="360" w:lineRule="auto"/>
        <w:ind w:left="0"/>
        <w:jc w:val="both"/>
        <w:rPr>
          <w:rFonts w:cs="Arial"/>
        </w:rPr>
      </w:pPr>
    </w:p>
    <w:p w:rsidR="00E94A64" w:rsidRPr="00E94A64" w:rsidRDefault="00E94A64" w:rsidP="00195DCD">
      <w:pPr>
        <w:pStyle w:val="ListParagraph"/>
        <w:numPr>
          <w:ilvl w:val="0"/>
          <w:numId w:val="14"/>
        </w:numPr>
        <w:spacing w:line="360" w:lineRule="auto"/>
        <w:ind w:left="0" w:firstLine="0"/>
        <w:jc w:val="both"/>
        <w:rPr>
          <w:rFonts w:cs="Arial"/>
        </w:rPr>
      </w:pPr>
      <w:r>
        <w:rPr>
          <w:rFonts w:cs="Arial"/>
        </w:rPr>
        <w:t>The electronic data seized/copied during the search</w:t>
      </w:r>
      <w:r w:rsidR="00A87757">
        <w:rPr>
          <w:rFonts w:cs="Arial"/>
        </w:rPr>
        <w:t xml:space="preserve"> from electronic devices and Puma’s server</w:t>
      </w:r>
      <w:r>
        <w:rPr>
          <w:rFonts w:cs="Arial"/>
        </w:rPr>
        <w:t xml:space="preserve"> remains filed with the Registrar for safekeeping. This data has also not yet been accessed and </w:t>
      </w:r>
      <w:r w:rsidR="00A87757">
        <w:rPr>
          <w:rFonts w:cs="Arial"/>
        </w:rPr>
        <w:t xml:space="preserve">or been </w:t>
      </w:r>
      <w:r>
        <w:rPr>
          <w:rFonts w:cs="Arial"/>
        </w:rPr>
        <w:t xml:space="preserve">subjected to any scrutiny such as the envisaged key-word-searches in order to determine whether any of its contents/data is relevant to the investigation.  </w:t>
      </w:r>
    </w:p>
    <w:p w:rsidR="00C345CB" w:rsidRDefault="00C345CB" w:rsidP="003531BA">
      <w:pPr>
        <w:spacing w:after="0" w:line="360" w:lineRule="auto"/>
        <w:jc w:val="both"/>
        <w:rPr>
          <w:rFonts w:ascii="Arial" w:hAnsi="Arial" w:cs="Arial"/>
          <w:sz w:val="24"/>
          <w:szCs w:val="24"/>
        </w:rPr>
      </w:pPr>
    </w:p>
    <w:p w:rsidR="00E94A64" w:rsidRDefault="00634681" w:rsidP="003531BA">
      <w:pPr>
        <w:spacing w:after="0" w:line="360" w:lineRule="auto"/>
        <w:jc w:val="both"/>
        <w:rPr>
          <w:rFonts w:ascii="Arial" w:hAnsi="Arial" w:cs="Arial"/>
          <w:sz w:val="24"/>
          <w:szCs w:val="24"/>
        </w:rPr>
      </w:pPr>
      <w:r>
        <w:rPr>
          <w:rFonts w:ascii="Arial" w:hAnsi="Arial" w:cs="Arial"/>
          <w:sz w:val="24"/>
          <w:szCs w:val="24"/>
        </w:rPr>
        <w:t>[</w:t>
      </w:r>
      <w:r w:rsidR="00195DCD">
        <w:rPr>
          <w:rFonts w:ascii="Arial" w:hAnsi="Arial" w:cs="Arial"/>
          <w:sz w:val="24"/>
          <w:szCs w:val="24"/>
        </w:rPr>
        <w:t>41</w:t>
      </w:r>
      <w:r>
        <w:rPr>
          <w:rFonts w:ascii="Arial" w:hAnsi="Arial" w:cs="Arial"/>
          <w:sz w:val="24"/>
          <w:szCs w:val="24"/>
        </w:rPr>
        <w:t>]</w:t>
      </w:r>
      <w:r>
        <w:rPr>
          <w:rFonts w:ascii="Arial" w:hAnsi="Arial" w:cs="Arial"/>
          <w:sz w:val="24"/>
          <w:szCs w:val="24"/>
        </w:rPr>
        <w:tab/>
        <w:t>Surely a</w:t>
      </w:r>
      <w:r w:rsidR="00A87757">
        <w:rPr>
          <w:rFonts w:ascii="Arial" w:hAnsi="Arial" w:cs="Arial"/>
          <w:sz w:val="24"/>
          <w:szCs w:val="24"/>
        </w:rPr>
        <w:t>ny</w:t>
      </w:r>
      <w:r>
        <w:rPr>
          <w:rFonts w:ascii="Arial" w:hAnsi="Arial" w:cs="Arial"/>
          <w:sz w:val="24"/>
          <w:szCs w:val="24"/>
        </w:rPr>
        <w:t xml:space="preserve"> search and seizure operation can only be regarded as complete once an evaluation of the material seized has also occurred from which its relevance and further use can be determined.</w:t>
      </w:r>
      <w:r w:rsidR="0048009F">
        <w:rPr>
          <w:rFonts w:ascii="Arial" w:hAnsi="Arial" w:cs="Arial"/>
          <w:sz w:val="24"/>
          <w:szCs w:val="24"/>
        </w:rPr>
        <w:t xml:space="preserve"> Also the object of such a search will only have been achieved if its outcome determines or</w:t>
      </w:r>
      <w:r w:rsidR="0048009F" w:rsidRPr="0048009F">
        <w:t xml:space="preserve"> </w:t>
      </w:r>
      <w:r w:rsidR="0048009F">
        <w:rPr>
          <w:rFonts w:ascii="Arial" w:hAnsi="Arial" w:cs="Arial"/>
          <w:sz w:val="24"/>
          <w:szCs w:val="24"/>
        </w:rPr>
        <w:t>assists</w:t>
      </w:r>
      <w:r w:rsidR="0048009F" w:rsidRPr="0048009F">
        <w:rPr>
          <w:rFonts w:ascii="Arial" w:hAnsi="Arial" w:cs="Arial"/>
          <w:sz w:val="24"/>
          <w:szCs w:val="24"/>
        </w:rPr>
        <w:t xml:space="preserve"> the Commission to ascertain or establish whether any undertaking has engaged in or is engaging or is about to engage in conduct that constitutes or may constitute an infringement of the Pa</w:t>
      </w:r>
      <w:r w:rsidR="0048009F">
        <w:rPr>
          <w:rFonts w:ascii="Arial" w:hAnsi="Arial" w:cs="Arial"/>
          <w:sz w:val="24"/>
          <w:szCs w:val="24"/>
        </w:rPr>
        <w:t>rt I or the Part II prohibition contained in the Competition Act. Before all this has not occurred no search can be regarded as complete in my view. I</w:t>
      </w:r>
      <w:r>
        <w:rPr>
          <w:rFonts w:ascii="Arial" w:hAnsi="Arial" w:cs="Arial"/>
          <w:sz w:val="24"/>
          <w:szCs w:val="24"/>
        </w:rPr>
        <w:t>t must therefore be concluded tha</w:t>
      </w:r>
      <w:r w:rsidR="00373B3B">
        <w:rPr>
          <w:rFonts w:ascii="Arial" w:hAnsi="Arial" w:cs="Arial"/>
          <w:sz w:val="24"/>
          <w:szCs w:val="24"/>
        </w:rPr>
        <w:t>t</w:t>
      </w:r>
      <w:r w:rsidR="0048009F">
        <w:rPr>
          <w:rFonts w:ascii="Arial" w:hAnsi="Arial" w:cs="Arial"/>
          <w:sz w:val="24"/>
          <w:szCs w:val="24"/>
        </w:rPr>
        <w:t xml:space="preserve"> the submission made on behalf of the Commission to the effect that the search has been completed cannot be upheld.</w:t>
      </w:r>
    </w:p>
    <w:p w:rsidR="0048009F" w:rsidRDefault="0048009F" w:rsidP="003531BA">
      <w:pPr>
        <w:spacing w:after="0" w:line="360" w:lineRule="auto"/>
        <w:jc w:val="both"/>
        <w:rPr>
          <w:rFonts w:ascii="Arial" w:hAnsi="Arial" w:cs="Arial"/>
          <w:sz w:val="24"/>
          <w:szCs w:val="24"/>
        </w:rPr>
      </w:pPr>
    </w:p>
    <w:p w:rsidR="0048009F" w:rsidRDefault="0048009F" w:rsidP="003531BA">
      <w:pPr>
        <w:spacing w:after="0" w:line="360" w:lineRule="auto"/>
        <w:jc w:val="both"/>
        <w:rPr>
          <w:rFonts w:ascii="Arial" w:hAnsi="Arial" w:cs="Arial"/>
          <w:sz w:val="24"/>
          <w:szCs w:val="24"/>
        </w:rPr>
      </w:pPr>
      <w:r>
        <w:rPr>
          <w:rFonts w:ascii="Arial" w:hAnsi="Arial" w:cs="Arial"/>
          <w:sz w:val="24"/>
          <w:szCs w:val="24"/>
        </w:rPr>
        <w:t>[</w:t>
      </w:r>
      <w:r w:rsidR="00195DCD">
        <w:rPr>
          <w:rFonts w:ascii="Arial" w:hAnsi="Arial" w:cs="Arial"/>
          <w:sz w:val="24"/>
          <w:szCs w:val="24"/>
        </w:rPr>
        <w:t>42</w:t>
      </w:r>
      <w:r>
        <w:rPr>
          <w:rFonts w:ascii="Arial" w:hAnsi="Arial" w:cs="Arial"/>
          <w:sz w:val="24"/>
          <w:szCs w:val="24"/>
        </w:rPr>
        <w:t>]</w:t>
      </w:r>
      <w:r>
        <w:rPr>
          <w:rFonts w:ascii="Arial" w:hAnsi="Arial" w:cs="Arial"/>
          <w:sz w:val="24"/>
          <w:szCs w:val="24"/>
        </w:rPr>
        <w:tab/>
        <w:t>Counsel for the Commission however submit further that the warrant has been discharged. In this regard it seems that this submission stands on firmer ground. Section</w:t>
      </w:r>
      <w:r w:rsidRPr="0048009F">
        <w:t xml:space="preserve"> </w:t>
      </w:r>
      <w:r w:rsidRPr="0048009F">
        <w:rPr>
          <w:rFonts w:ascii="Arial" w:hAnsi="Arial" w:cs="Arial"/>
          <w:sz w:val="24"/>
          <w:szCs w:val="24"/>
        </w:rPr>
        <w:t xml:space="preserve">34 (5) </w:t>
      </w:r>
      <w:r>
        <w:rPr>
          <w:rFonts w:ascii="Arial" w:hAnsi="Arial" w:cs="Arial"/>
          <w:sz w:val="24"/>
          <w:szCs w:val="24"/>
        </w:rPr>
        <w:t>states : ‘</w:t>
      </w:r>
      <w:r w:rsidRPr="0048009F">
        <w:rPr>
          <w:rFonts w:ascii="Arial" w:hAnsi="Arial" w:cs="Arial"/>
          <w:sz w:val="24"/>
          <w:szCs w:val="24"/>
        </w:rPr>
        <w:t>A warrant continues in force for a period of 30 days from the d</w:t>
      </w:r>
      <w:r>
        <w:rPr>
          <w:rFonts w:ascii="Arial" w:hAnsi="Arial" w:cs="Arial"/>
          <w:sz w:val="24"/>
          <w:szCs w:val="24"/>
        </w:rPr>
        <w:t xml:space="preserve">ate it is issued but lapses if- </w:t>
      </w:r>
      <w:r w:rsidRPr="0048009F">
        <w:rPr>
          <w:rFonts w:ascii="Arial" w:hAnsi="Arial" w:cs="Arial"/>
          <w:sz w:val="24"/>
          <w:szCs w:val="24"/>
        </w:rPr>
        <w:t>(a)</w:t>
      </w:r>
      <w:r w:rsidRPr="0048009F">
        <w:rPr>
          <w:rFonts w:ascii="Arial" w:hAnsi="Arial" w:cs="Arial"/>
          <w:sz w:val="24"/>
          <w:szCs w:val="24"/>
        </w:rPr>
        <w:tab/>
        <w:t xml:space="preserve">the purpose for which </w:t>
      </w:r>
      <w:r>
        <w:rPr>
          <w:rFonts w:ascii="Arial" w:hAnsi="Arial" w:cs="Arial"/>
          <w:sz w:val="24"/>
          <w:szCs w:val="24"/>
        </w:rPr>
        <w:t xml:space="preserve">it was granted is satisfied; or </w:t>
      </w:r>
      <w:r w:rsidRPr="0048009F">
        <w:rPr>
          <w:rFonts w:ascii="Arial" w:hAnsi="Arial" w:cs="Arial"/>
          <w:sz w:val="24"/>
          <w:szCs w:val="24"/>
        </w:rPr>
        <w:t>(b)</w:t>
      </w:r>
      <w:r w:rsidRPr="0048009F">
        <w:rPr>
          <w:rFonts w:ascii="Arial" w:hAnsi="Arial" w:cs="Arial"/>
          <w:sz w:val="24"/>
          <w:szCs w:val="24"/>
        </w:rPr>
        <w:tab/>
        <w:t>it is cancelled by the judge by whom it was issued or by any other judge of the Court.</w:t>
      </w:r>
    </w:p>
    <w:p w:rsidR="00A82855" w:rsidRDefault="00A82855" w:rsidP="003531BA">
      <w:pPr>
        <w:spacing w:after="0" w:line="360" w:lineRule="auto"/>
        <w:jc w:val="both"/>
        <w:rPr>
          <w:rFonts w:ascii="Arial" w:hAnsi="Arial" w:cs="Arial"/>
          <w:sz w:val="24"/>
          <w:szCs w:val="24"/>
        </w:rPr>
      </w:pPr>
    </w:p>
    <w:p w:rsidR="00A82855" w:rsidRDefault="00A82855" w:rsidP="003531BA">
      <w:pPr>
        <w:spacing w:after="0" w:line="360" w:lineRule="auto"/>
        <w:jc w:val="both"/>
        <w:rPr>
          <w:rFonts w:ascii="Arial" w:hAnsi="Arial" w:cs="Arial"/>
          <w:sz w:val="24"/>
          <w:szCs w:val="24"/>
        </w:rPr>
      </w:pPr>
      <w:r>
        <w:rPr>
          <w:rFonts w:ascii="Arial" w:hAnsi="Arial" w:cs="Arial"/>
          <w:sz w:val="24"/>
          <w:szCs w:val="24"/>
        </w:rPr>
        <w:t>[</w:t>
      </w:r>
      <w:r w:rsidR="00195DCD">
        <w:rPr>
          <w:rFonts w:ascii="Arial" w:hAnsi="Arial" w:cs="Arial"/>
          <w:sz w:val="24"/>
          <w:szCs w:val="24"/>
        </w:rPr>
        <w:t>43</w:t>
      </w:r>
      <w:r>
        <w:rPr>
          <w:rFonts w:ascii="Arial" w:hAnsi="Arial" w:cs="Arial"/>
          <w:sz w:val="24"/>
          <w:szCs w:val="24"/>
        </w:rPr>
        <w:t>]</w:t>
      </w:r>
      <w:r>
        <w:rPr>
          <w:rFonts w:ascii="Arial" w:hAnsi="Arial" w:cs="Arial"/>
          <w:sz w:val="24"/>
          <w:szCs w:val="24"/>
        </w:rPr>
        <w:tab/>
        <w:t>Here it is firstly clear that the warrant</w:t>
      </w:r>
      <w:r w:rsidR="00A87757">
        <w:rPr>
          <w:rFonts w:ascii="Arial" w:hAnsi="Arial" w:cs="Arial"/>
          <w:sz w:val="24"/>
          <w:szCs w:val="24"/>
        </w:rPr>
        <w:t xml:space="preserve"> has not lapsed because it was</w:t>
      </w:r>
      <w:r>
        <w:rPr>
          <w:rFonts w:ascii="Arial" w:hAnsi="Arial" w:cs="Arial"/>
          <w:sz w:val="24"/>
          <w:szCs w:val="24"/>
        </w:rPr>
        <w:t xml:space="preserve"> cancelled. Sub-section (b) is thus not applicable. I have already found that the purpose</w:t>
      </w:r>
      <w:r w:rsidR="003B361C">
        <w:rPr>
          <w:rFonts w:ascii="Arial" w:hAnsi="Arial" w:cs="Arial"/>
          <w:sz w:val="24"/>
          <w:szCs w:val="24"/>
        </w:rPr>
        <w:t>,</w:t>
      </w:r>
      <w:r>
        <w:rPr>
          <w:rFonts w:ascii="Arial" w:hAnsi="Arial" w:cs="Arial"/>
          <w:sz w:val="24"/>
          <w:szCs w:val="24"/>
        </w:rPr>
        <w:t xml:space="preserve"> for which the warrant was granted in this instance</w:t>
      </w:r>
      <w:r w:rsidR="003B361C">
        <w:rPr>
          <w:rFonts w:ascii="Arial" w:hAnsi="Arial" w:cs="Arial"/>
          <w:sz w:val="24"/>
          <w:szCs w:val="24"/>
        </w:rPr>
        <w:t>,</w:t>
      </w:r>
      <w:r>
        <w:rPr>
          <w:rFonts w:ascii="Arial" w:hAnsi="Arial" w:cs="Arial"/>
          <w:sz w:val="24"/>
          <w:szCs w:val="24"/>
        </w:rPr>
        <w:t xml:space="preserve"> was not satisfied.</w:t>
      </w:r>
      <w:r w:rsidR="00A87757">
        <w:rPr>
          <w:rFonts w:ascii="Arial" w:hAnsi="Arial" w:cs="Arial"/>
          <w:sz w:val="24"/>
          <w:szCs w:val="24"/>
        </w:rPr>
        <w:t xml:space="preserve"> So the warrant has also not lapsed in terms of sub-section (a).</w:t>
      </w:r>
      <w:r>
        <w:rPr>
          <w:rFonts w:ascii="Arial" w:hAnsi="Arial" w:cs="Arial"/>
          <w:sz w:val="24"/>
          <w:szCs w:val="24"/>
        </w:rPr>
        <w:t xml:space="preserve"> But</w:t>
      </w:r>
      <w:r w:rsidR="00373B3B">
        <w:rPr>
          <w:rFonts w:ascii="Arial" w:hAnsi="Arial" w:cs="Arial"/>
          <w:sz w:val="24"/>
          <w:szCs w:val="24"/>
        </w:rPr>
        <w:t xml:space="preserve"> as the warrant clearly only had</w:t>
      </w:r>
      <w:r>
        <w:rPr>
          <w:rFonts w:ascii="Arial" w:hAnsi="Arial" w:cs="Arial"/>
          <w:sz w:val="24"/>
          <w:szCs w:val="24"/>
        </w:rPr>
        <w:t xml:space="preserve"> force for a period of 30 days, which </w:t>
      </w:r>
      <w:r w:rsidR="003B361C">
        <w:rPr>
          <w:rFonts w:ascii="Arial" w:hAnsi="Arial" w:cs="Arial"/>
          <w:sz w:val="24"/>
          <w:szCs w:val="24"/>
        </w:rPr>
        <w:t>period has elapsed</w:t>
      </w:r>
      <w:r w:rsidR="00373B3B">
        <w:rPr>
          <w:rFonts w:ascii="Arial" w:hAnsi="Arial" w:cs="Arial"/>
          <w:sz w:val="24"/>
          <w:szCs w:val="24"/>
        </w:rPr>
        <w:t xml:space="preserve">, it must </w:t>
      </w:r>
      <w:r w:rsidR="00A87757">
        <w:rPr>
          <w:rFonts w:ascii="Arial" w:hAnsi="Arial" w:cs="Arial"/>
          <w:sz w:val="24"/>
          <w:szCs w:val="24"/>
        </w:rPr>
        <w:t xml:space="preserve">in any event </w:t>
      </w:r>
      <w:r w:rsidR="00373B3B">
        <w:rPr>
          <w:rFonts w:ascii="Arial" w:hAnsi="Arial" w:cs="Arial"/>
          <w:sz w:val="24"/>
          <w:szCs w:val="24"/>
        </w:rPr>
        <w:t xml:space="preserve">be regarded as having lapsed </w:t>
      </w:r>
      <w:r w:rsidR="00373B3B" w:rsidRPr="00373B3B">
        <w:rPr>
          <w:rFonts w:ascii="Arial" w:hAnsi="Arial" w:cs="Arial"/>
          <w:i/>
          <w:sz w:val="24"/>
          <w:szCs w:val="24"/>
        </w:rPr>
        <w:t>ex lege</w:t>
      </w:r>
      <w:r w:rsidR="003B361C">
        <w:rPr>
          <w:rFonts w:ascii="Arial" w:hAnsi="Arial" w:cs="Arial"/>
          <w:sz w:val="24"/>
          <w:szCs w:val="24"/>
        </w:rPr>
        <w:t>. So</w:t>
      </w:r>
      <w:r w:rsidR="00A87757">
        <w:rPr>
          <w:rFonts w:ascii="Arial" w:hAnsi="Arial" w:cs="Arial"/>
          <w:sz w:val="24"/>
          <w:szCs w:val="24"/>
        </w:rPr>
        <w:t>,</w:t>
      </w:r>
      <w:r w:rsidR="003B361C">
        <w:rPr>
          <w:rFonts w:ascii="Arial" w:hAnsi="Arial" w:cs="Arial"/>
          <w:sz w:val="24"/>
          <w:szCs w:val="24"/>
        </w:rPr>
        <w:t xml:space="preserve"> regardless</w:t>
      </w:r>
      <w:r>
        <w:rPr>
          <w:rFonts w:ascii="Arial" w:hAnsi="Arial" w:cs="Arial"/>
          <w:sz w:val="24"/>
          <w:szCs w:val="24"/>
        </w:rPr>
        <w:t xml:space="preserve"> </w:t>
      </w:r>
      <w:r w:rsidR="00373B3B">
        <w:rPr>
          <w:rFonts w:ascii="Arial" w:hAnsi="Arial" w:cs="Arial"/>
          <w:sz w:val="24"/>
          <w:szCs w:val="24"/>
        </w:rPr>
        <w:t xml:space="preserve">of whether or not </w:t>
      </w:r>
      <w:r>
        <w:rPr>
          <w:rFonts w:ascii="Arial" w:hAnsi="Arial" w:cs="Arial"/>
          <w:sz w:val="24"/>
          <w:szCs w:val="24"/>
        </w:rPr>
        <w:t>the warrant must by now be regarded as having lapsed, or discharged by time</w:t>
      </w:r>
      <w:r w:rsidR="00373B3B">
        <w:rPr>
          <w:rFonts w:ascii="Arial" w:hAnsi="Arial" w:cs="Arial"/>
          <w:sz w:val="24"/>
          <w:szCs w:val="24"/>
        </w:rPr>
        <w:t>,</w:t>
      </w:r>
      <w:r w:rsidR="003B361C">
        <w:rPr>
          <w:rFonts w:ascii="Arial" w:hAnsi="Arial" w:cs="Arial"/>
          <w:sz w:val="24"/>
          <w:szCs w:val="24"/>
        </w:rPr>
        <w:t xml:space="preserve"> if regard is had to </w:t>
      </w:r>
      <w:r w:rsidR="00A87757">
        <w:rPr>
          <w:rFonts w:ascii="Arial" w:hAnsi="Arial" w:cs="Arial"/>
          <w:sz w:val="24"/>
          <w:szCs w:val="24"/>
        </w:rPr>
        <w:t xml:space="preserve">the provisions of </w:t>
      </w:r>
      <w:r w:rsidR="003B361C">
        <w:rPr>
          <w:rFonts w:ascii="Arial" w:hAnsi="Arial" w:cs="Arial"/>
          <w:sz w:val="24"/>
          <w:szCs w:val="24"/>
        </w:rPr>
        <w:t>section 34(5)</w:t>
      </w:r>
      <w:r w:rsidR="00373B3B">
        <w:rPr>
          <w:rFonts w:ascii="Arial" w:hAnsi="Arial" w:cs="Arial"/>
          <w:sz w:val="24"/>
          <w:szCs w:val="24"/>
        </w:rPr>
        <w:t xml:space="preserve">, counsel for the Commission </w:t>
      </w:r>
      <w:r w:rsidR="003B361C">
        <w:rPr>
          <w:rFonts w:ascii="Arial" w:hAnsi="Arial" w:cs="Arial"/>
          <w:sz w:val="24"/>
          <w:szCs w:val="24"/>
        </w:rPr>
        <w:t>utilized</w:t>
      </w:r>
      <w:r>
        <w:rPr>
          <w:rFonts w:ascii="Arial" w:hAnsi="Arial" w:cs="Arial"/>
          <w:sz w:val="24"/>
          <w:szCs w:val="24"/>
        </w:rPr>
        <w:t xml:space="preserve"> this consequence</w:t>
      </w:r>
      <w:r w:rsidR="003B361C">
        <w:rPr>
          <w:rFonts w:ascii="Arial" w:hAnsi="Arial" w:cs="Arial"/>
          <w:sz w:val="24"/>
          <w:szCs w:val="24"/>
        </w:rPr>
        <w:t>, mutatis mutandis,</w:t>
      </w:r>
      <w:r>
        <w:rPr>
          <w:rFonts w:ascii="Arial" w:hAnsi="Arial" w:cs="Arial"/>
          <w:sz w:val="24"/>
          <w:szCs w:val="24"/>
        </w:rPr>
        <w:t xml:space="preserve"> to bolster their argument </w:t>
      </w:r>
      <w:r w:rsidR="00373B3B">
        <w:rPr>
          <w:rFonts w:ascii="Arial" w:hAnsi="Arial" w:cs="Arial"/>
          <w:sz w:val="24"/>
          <w:szCs w:val="24"/>
        </w:rPr>
        <w:t>that, as the warrant wa</w:t>
      </w:r>
      <w:r>
        <w:rPr>
          <w:rFonts w:ascii="Arial" w:hAnsi="Arial" w:cs="Arial"/>
          <w:sz w:val="24"/>
          <w:szCs w:val="24"/>
        </w:rPr>
        <w:t>s</w:t>
      </w:r>
      <w:r w:rsidR="00373B3B">
        <w:rPr>
          <w:rFonts w:ascii="Arial" w:hAnsi="Arial" w:cs="Arial"/>
          <w:sz w:val="24"/>
          <w:szCs w:val="24"/>
        </w:rPr>
        <w:t xml:space="preserve"> thus no longer pending, there wa</w:t>
      </w:r>
      <w:r>
        <w:rPr>
          <w:rFonts w:ascii="Arial" w:hAnsi="Arial" w:cs="Arial"/>
          <w:sz w:val="24"/>
          <w:szCs w:val="24"/>
        </w:rPr>
        <w:t xml:space="preserve">s nothing to anticipate or </w:t>
      </w:r>
      <w:r w:rsidR="00A87757">
        <w:rPr>
          <w:rFonts w:ascii="Arial" w:hAnsi="Arial" w:cs="Arial"/>
          <w:sz w:val="24"/>
          <w:szCs w:val="24"/>
        </w:rPr>
        <w:t xml:space="preserve">to </w:t>
      </w:r>
      <w:r>
        <w:rPr>
          <w:rFonts w:ascii="Arial" w:hAnsi="Arial" w:cs="Arial"/>
          <w:sz w:val="24"/>
          <w:szCs w:val="24"/>
        </w:rPr>
        <w:t>counter</w:t>
      </w:r>
      <w:r w:rsidR="003B361C">
        <w:rPr>
          <w:rFonts w:ascii="Arial" w:hAnsi="Arial" w:cs="Arial"/>
          <w:sz w:val="24"/>
          <w:szCs w:val="24"/>
        </w:rPr>
        <w:t xml:space="preserve"> or </w:t>
      </w:r>
      <w:r w:rsidR="00A87757">
        <w:rPr>
          <w:rFonts w:ascii="Arial" w:hAnsi="Arial" w:cs="Arial"/>
          <w:sz w:val="24"/>
          <w:szCs w:val="24"/>
        </w:rPr>
        <w:t xml:space="preserve">to </w:t>
      </w:r>
      <w:r w:rsidR="003B361C">
        <w:rPr>
          <w:rFonts w:ascii="Arial" w:hAnsi="Arial" w:cs="Arial"/>
          <w:sz w:val="24"/>
          <w:szCs w:val="24"/>
        </w:rPr>
        <w:t>reconsider</w:t>
      </w:r>
      <w:r>
        <w:rPr>
          <w:rFonts w:ascii="Arial" w:hAnsi="Arial" w:cs="Arial"/>
          <w:sz w:val="24"/>
          <w:szCs w:val="24"/>
        </w:rPr>
        <w:t>.</w:t>
      </w:r>
    </w:p>
    <w:p w:rsidR="00A82855" w:rsidRDefault="00A82855" w:rsidP="003531BA">
      <w:pPr>
        <w:spacing w:after="0" w:line="360" w:lineRule="auto"/>
        <w:jc w:val="both"/>
        <w:rPr>
          <w:rFonts w:ascii="Arial" w:hAnsi="Arial" w:cs="Arial"/>
          <w:sz w:val="24"/>
          <w:szCs w:val="24"/>
        </w:rPr>
      </w:pPr>
    </w:p>
    <w:p w:rsidR="00A82855" w:rsidRPr="009829AC" w:rsidRDefault="00A82855" w:rsidP="003531BA">
      <w:pPr>
        <w:spacing w:after="0" w:line="360" w:lineRule="auto"/>
        <w:jc w:val="both"/>
        <w:rPr>
          <w:rFonts w:ascii="Arial" w:hAnsi="Arial" w:cs="Arial"/>
          <w:sz w:val="24"/>
          <w:szCs w:val="24"/>
        </w:rPr>
      </w:pPr>
      <w:r>
        <w:rPr>
          <w:rFonts w:ascii="Arial" w:hAnsi="Arial" w:cs="Arial"/>
          <w:sz w:val="24"/>
          <w:szCs w:val="24"/>
        </w:rPr>
        <w:t>[</w:t>
      </w:r>
      <w:r w:rsidR="00195DCD">
        <w:rPr>
          <w:rFonts w:ascii="Arial" w:hAnsi="Arial" w:cs="Arial"/>
          <w:sz w:val="24"/>
          <w:szCs w:val="24"/>
        </w:rPr>
        <w:t>44</w:t>
      </w:r>
      <w:r>
        <w:rPr>
          <w:rFonts w:ascii="Arial" w:hAnsi="Arial" w:cs="Arial"/>
          <w:sz w:val="24"/>
          <w:szCs w:val="24"/>
        </w:rPr>
        <w:t>]</w:t>
      </w:r>
      <w:r>
        <w:rPr>
          <w:rFonts w:ascii="Arial" w:hAnsi="Arial" w:cs="Arial"/>
          <w:sz w:val="24"/>
          <w:szCs w:val="24"/>
        </w:rPr>
        <w:tab/>
        <w:t>Counsel for Puma contend</w:t>
      </w:r>
      <w:r w:rsidR="00373B3B">
        <w:rPr>
          <w:rFonts w:ascii="Arial" w:hAnsi="Arial" w:cs="Arial"/>
          <w:sz w:val="24"/>
          <w:szCs w:val="24"/>
        </w:rPr>
        <w:t>ed</w:t>
      </w:r>
      <w:r>
        <w:rPr>
          <w:rFonts w:ascii="Arial" w:hAnsi="Arial" w:cs="Arial"/>
          <w:sz w:val="24"/>
          <w:szCs w:val="24"/>
        </w:rPr>
        <w:t xml:space="preserve"> on the other hand that this aspect is immaterial as their client is entitled to a re-consideration</w:t>
      </w:r>
      <w:r w:rsidR="003B361C">
        <w:rPr>
          <w:rFonts w:ascii="Arial" w:hAnsi="Arial" w:cs="Arial"/>
          <w:sz w:val="24"/>
          <w:szCs w:val="24"/>
        </w:rPr>
        <w:t>.</w:t>
      </w:r>
      <w:r>
        <w:rPr>
          <w:rFonts w:ascii="Arial" w:hAnsi="Arial" w:cs="Arial"/>
          <w:sz w:val="24"/>
          <w:szCs w:val="24"/>
        </w:rPr>
        <w:t xml:space="preserve"> </w:t>
      </w:r>
    </w:p>
    <w:p w:rsidR="00D11ECE" w:rsidRDefault="00D11ECE" w:rsidP="003531BA">
      <w:pPr>
        <w:spacing w:after="0" w:line="360" w:lineRule="auto"/>
        <w:jc w:val="both"/>
        <w:rPr>
          <w:rFonts w:ascii="Arial" w:hAnsi="Arial" w:cs="Arial"/>
          <w:sz w:val="24"/>
          <w:szCs w:val="24"/>
        </w:rPr>
      </w:pPr>
    </w:p>
    <w:p w:rsidR="00D11ECE" w:rsidRDefault="00BC6D05" w:rsidP="003531BA">
      <w:pPr>
        <w:spacing w:after="0" w:line="360" w:lineRule="auto"/>
        <w:jc w:val="both"/>
        <w:rPr>
          <w:rFonts w:ascii="Arial" w:hAnsi="Arial" w:cs="Arial"/>
          <w:sz w:val="24"/>
          <w:szCs w:val="24"/>
          <w:u w:val="single"/>
        </w:rPr>
      </w:pPr>
      <w:r w:rsidRPr="00BC6D05">
        <w:rPr>
          <w:rFonts w:ascii="Arial" w:hAnsi="Arial" w:cs="Arial"/>
          <w:sz w:val="24"/>
          <w:szCs w:val="24"/>
          <w:u w:val="single"/>
        </w:rPr>
        <w:t>Should there be a reconsideration</w:t>
      </w:r>
    </w:p>
    <w:p w:rsidR="00473AE1" w:rsidRDefault="00473AE1" w:rsidP="003531BA">
      <w:pPr>
        <w:tabs>
          <w:tab w:val="left" w:pos="720"/>
        </w:tabs>
        <w:spacing w:after="0" w:line="360" w:lineRule="auto"/>
        <w:jc w:val="both"/>
        <w:rPr>
          <w:rFonts w:ascii="Arial" w:hAnsi="Arial" w:cs="Arial"/>
          <w:sz w:val="24"/>
          <w:szCs w:val="24"/>
          <w:u w:val="single"/>
        </w:rPr>
      </w:pPr>
    </w:p>
    <w:p w:rsidR="00BC6D05" w:rsidRDefault="000E7F21" w:rsidP="003531BA">
      <w:pPr>
        <w:tabs>
          <w:tab w:val="left" w:pos="720"/>
        </w:tabs>
        <w:spacing w:after="0" w:line="360" w:lineRule="auto"/>
        <w:jc w:val="both"/>
        <w:rPr>
          <w:rFonts w:ascii="Arial" w:hAnsi="Arial" w:cs="Arial"/>
          <w:sz w:val="24"/>
          <w:szCs w:val="24"/>
        </w:rPr>
      </w:pPr>
      <w:r>
        <w:rPr>
          <w:rFonts w:ascii="Arial" w:hAnsi="Arial" w:cs="Arial"/>
          <w:sz w:val="24"/>
          <w:szCs w:val="24"/>
        </w:rPr>
        <w:t>[</w:t>
      </w:r>
      <w:r w:rsidR="00195DCD">
        <w:rPr>
          <w:rFonts w:ascii="Arial" w:hAnsi="Arial" w:cs="Arial"/>
          <w:sz w:val="24"/>
          <w:szCs w:val="24"/>
        </w:rPr>
        <w:t>45</w:t>
      </w:r>
      <w:r>
        <w:rPr>
          <w:rFonts w:ascii="Arial" w:hAnsi="Arial" w:cs="Arial"/>
          <w:sz w:val="24"/>
          <w:szCs w:val="24"/>
        </w:rPr>
        <w:t>]</w:t>
      </w:r>
      <w:r>
        <w:rPr>
          <w:rFonts w:ascii="Arial" w:hAnsi="Arial" w:cs="Arial"/>
          <w:sz w:val="24"/>
          <w:szCs w:val="24"/>
        </w:rPr>
        <w:tab/>
      </w:r>
      <w:r w:rsidR="001B6745">
        <w:rPr>
          <w:rFonts w:ascii="Arial" w:hAnsi="Arial" w:cs="Arial"/>
          <w:sz w:val="24"/>
          <w:szCs w:val="24"/>
        </w:rPr>
        <w:t xml:space="preserve">Here </w:t>
      </w:r>
      <w:r w:rsidR="00473AE1" w:rsidRPr="00473AE1">
        <w:rPr>
          <w:rFonts w:ascii="Arial" w:hAnsi="Arial" w:cs="Arial"/>
          <w:sz w:val="24"/>
          <w:szCs w:val="24"/>
        </w:rPr>
        <w:t xml:space="preserve">Counsel for Puma have relied on the overriding principle applicable that, where an application for a warrant is brought </w:t>
      </w:r>
      <w:r w:rsidR="00473AE1" w:rsidRPr="00473AE1">
        <w:rPr>
          <w:rFonts w:ascii="Arial" w:hAnsi="Arial" w:cs="Arial"/>
          <w:i/>
          <w:sz w:val="24"/>
          <w:szCs w:val="24"/>
        </w:rPr>
        <w:t>ex parte</w:t>
      </w:r>
      <w:r w:rsidR="00473AE1" w:rsidRPr="00473AE1">
        <w:rPr>
          <w:rFonts w:ascii="Arial" w:hAnsi="Arial" w:cs="Arial"/>
          <w:sz w:val="24"/>
          <w:szCs w:val="24"/>
        </w:rPr>
        <w:t xml:space="preserve"> and in chambers, it is '</w:t>
      </w:r>
      <w:r w:rsidR="00473AE1" w:rsidRPr="00473AE1">
        <w:rPr>
          <w:rFonts w:ascii="Arial" w:hAnsi="Arial" w:cs="Arial"/>
          <w:i/>
          <w:sz w:val="24"/>
          <w:szCs w:val="24"/>
        </w:rPr>
        <w:t xml:space="preserve">by its nature provisional and subject to reconsideration. </w:t>
      </w:r>
      <w:r w:rsidR="00473AE1" w:rsidRPr="00473AE1">
        <w:rPr>
          <w:rFonts w:ascii="Arial" w:hAnsi="Arial" w:cs="Arial"/>
          <w:sz w:val="24"/>
          <w:szCs w:val="24"/>
        </w:rPr>
        <w:t xml:space="preserve"> It matters not th</w:t>
      </w:r>
      <w:r>
        <w:rPr>
          <w:rFonts w:ascii="Arial" w:hAnsi="Arial" w:cs="Arial"/>
          <w:sz w:val="24"/>
          <w:szCs w:val="24"/>
        </w:rPr>
        <w:t xml:space="preserve">at no return date was provided. </w:t>
      </w:r>
    </w:p>
    <w:p w:rsidR="000E7F21" w:rsidRDefault="000E7F21" w:rsidP="003531BA">
      <w:pPr>
        <w:tabs>
          <w:tab w:val="left" w:pos="720"/>
        </w:tabs>
        <w:spacing w:after="0" w:line="360" w:lineRule="auto"/>
        <w:jc w:val="both"/>
        <w:rPr>
          <w:rFonts w:ascii="Arial" w:hAnsi="Arial" w:cs="Arial"/>
          <w:sz w:val="24"/>
          <w:szCs w:val="24"/>
        </w:rPr>
      </w:pPr>
    </w:p>
    <w:p w:rsidR="000E7F21" w:rsidRDefault="007D57D8" w:rsidP="003531BA">
      <w:pPr>
        <w:tabs>
          <w:tab w:val="left" w:pos="720"/>
        </w:tabs>
        <w:spacing w:after="0" w:line="360" w:lineRule="auto"/>
        <w:jc w:val="both"/>
        <w:rPr>
          <w:rFonts w:ascii="Arial" w:hAnsi="Arial" w:cs="Arial"/>
          <w:sz w:val="24"/>
          <w:szCs w:val="24"/>
        </w:rPr>
      </w:pPr>
      <w:r>
        <w:rPr>
          <w:rFonts w:ascii="Arial" w:hAnsi="Arial" w:cs="Arial"/>
          <w:sz w:val="24"/>
          <w:szCs w:val="24"/>
        </w:rPr>
        <w:t>[</w:t>
      </w:r>
      <w:r w:rsidR="00195DCD">
        <w:rPr>
          <w:rFonts w:ascii="Arial" w:hAnsi="Arial" w:cs="Arial"/>
          <w:sz w:val="24"/>
          <w:szCs w:val="24"/>
        </w:rPr>
        <w:t>46</w:t>
      </w:r>
      <w:r>
        <w:rPr>
          <w:rFonts w:ascii="Arial" w:hAnsi="Arial" w:cs="Arial"/>
          <w:sz w:val="24"/>
          <w:szCs w:val="24"/>
        </w:rPr>
        <w:t>]</w:t>
      </w:r>
      <w:r>
        <w:rPr>
          <w:rFonts w:ascii="Arial" w:hAnsi="Arial" w:cs="Arial"/>
          <w:sz w:val="24"/>
          <w:szCs w:val="24"/>
        </w:rPr>
        <w:tab/>
      </w:r>
      <w:r w:rsidR="000E7F21">
        <w:rPr>
          <w:rFonts w:ascii="Arial" w:hAnsi="Arial" w:cs="Arial"/>
          <w:sz w:val="24"/>
          <w:szCs w:val="24"/>
        </w:rPr>
        <w:t xml:space="preserve">For this proposition they rely on the </w:t>
      </w:r>
      <w:r w:rsidR="000E7F21" w:rsidRPr="007D57D8">
        <w:rPr>
          <w:rFonts w:ascii="Arial" w:hAnsi="Arial" w:cs="Arial"/>
          <w:i/>
          <w:sz w:val="24"/>
          <w:szCs w:val="24"/>
        </w:rPr>
        <w:t>PPC</w:t>
      </w:r>
      <w:r w:rsidR="000E7F21">
        <w:rPr>
          <w:rFonts w:ascii="Arial" w:hAnsi="Arial" w:cs="Arial"/>
          <w:sz w:val="24"/>
          <w:szCs w:val="24"/>
        </w:rPr>
        <w:t xml:space="preserve"> judgment</w:t>
      </w:r>
      <w:r w:rsidR="00576ECA">
        <w:rPr>
          <w:rStyle w:val="FootnoteReference"/>
          <w:rFonts w:ascii="Arial" w:hAnsi="Arial"/>
          <w:sz w:val="24"/>
          <w:szCs w:val="24"/>
        </w:rPr>
        <w:footnoteReference w:id="109"/>
      </w:r>
      <w:r w:rsidR="000E7F21">
        <w:rPr>
          <w:rFonts w:ascii="Arial" w:hAnsi="Arial" w:cs="Arial"/>
          <w:sz w:val="24"/>
          <w:szCs w:val="24"/>
        </w:rPr>
        <w:t xml:space="preserve"> as approved in Namibia</w:t>
      </w:r>
      <w:r>
        <w:rPr>
          <w:rFonts w:ascii="Arial" w:hAnsi="Arial" w:cs="Arial"/>
          <w:sz w:val="24"/>
          <w:szCs w:val="24"/>
        </w:rPr>
        <w:t xml:space="preserve"> in </w:t>
      </w:r>
      <w:r w:rsidRPr="007D57D8">
        <w:rPr>
          <w:rFonts w:ascii="Arial" w:hAnsi="Arial" w:cs="Arial"/>
          <w:i/>
          <w:sz w:val="24"/>
          <w:szCs w:val="24"/>
        </w:rPr>
        <w:t>Prosecutor-General v Lameck</w:t>
      </w:r>
      <w:r w:rsidRPr="007D57D8">
        <w:rPr>
          <w:rFonts w:ascii="Arial" w:hAnsi="Arial" w:cs="Arial"/>
          <w:sz w:val="24"/>
          <w:szCs w:val="24"/>
        </w:rPr>
        <w:t xml:space="preserve"> 2010 (1) NR 156 (HC)</w:t>
      </w:r>
      <w:r w:rsidR="00043CF5">
        <w:rPr>
          <w:rFonts w:ascii="Arial" w:hAnsi="Arial" w:cs="Arial"/>
          <w:sz w:val="24"/>
          <w:szCs w:val="24"/>
        </w:rPr>
        <w:t xml:space="preserve"> at [4] as confirmed</w:t>
      </w:r>
      <w:r>
        <w:rPr>
          <w:rFonts w:ascii="Arial" w:hAnsi="Arial" w:cs="Arial"/>
          <w:sz w:val="24"/>
          <w:szCs w:val="24"/>
        </w:rPr>
        <w:t xml:space="preserve"> in a number of subsequent Namibian </w:t>
      </w:r>
      <w:r w:rsidR="00043CF5">
        <w:rPr>
          <w:rFonts w:ascii="Arial" w:hAnsi="Arial" w:cs="Arial"/>
          <w:sz w:val="24"/>
          <w:szCs w:val="24"/>
        </w:rPr>
        <w:t xml:space="preserve">decisions. See </w:t>
      </w:r>
      <w:r w:rsidR="004D4C87">
        <w:rPr>
          <w:rFonts w:ascii="Arial" w:hAnsi="Arial" w:cs="Arial"/>
          <w:sz w:val="24"/>
          <w:szCs w:val="24"/>
        </w:rPr>
        <w:t>for instance</w:t>
      </w:r>
      <w:r w:rsidR="00122DBE">
        <w:rPr>
          <w:rFonts w:ascii="Arial" w:hAnsi="Arial" w:cs="Arial"/>
          <w:sz w:val="24"/>
          <w:szCs w:val="24"/>
        </w:rPr>
        <w:t xml:space="preserve">: </w:t>
      </w:r>
      <w:r w:rsidR="00122DBE" w:rsidRPr="00043CF5">
        <w:rPr>
          <w:rFonts w:ascii="Arial" w:hAnsi="Arial" w:cs="Arial"/>
          <w:i/>
          <w:sz w:val="24"/>
          <w:szCs w:val="24"/>
        </w:rPr>
        <w:t>Prosecutor-General v Uuyuni</w:t>
      </w:r>
      <w:r w:rsidR="00122DBE" w:rsidRPr="00122DBE">
        <w:rPr>
          <w:rFonts w:ascii="Arial" w:hAnsi="Arial" w:cs="Arial"/>
          <w:sz w:val="24"/>
          <w:szCs w:val="24"/>
        </w:rPr>
        <w:t xml:space="preserve"> 2014 (1) NR 105 (HC)</w:t>
      </w:r>
      <w:r w:rsidR="00122DBE">
        <w:rPr>
          <w:rFonts w:ascii="Arial" w:hAnsi="Arial" w:cs="Arial"/>
          <w:sz w:val="24"/>
          <w:szCs w:val="24"/>
        </w:rPr>
        <w:t xml:space="preserve"> at [69] to [70],</w:t>
      </w:r>
      <w:r w:rsidR="00122DBE" w:rsidRPr="00122DBE">
        <w:t xml:space="preserve"> </w:t>
      </w:r>
      <w:r w:rsidR="00122DBE" w:rsidRPr="00043CF5">
        <w:rPr>
          <w:rFonts w:ascii="Arial" w:hAnsi="Arial" w:cs="Arial"/>
          <w:i/>
          <w:sz w:val="24"/>
          <w:szCs w:val="24"/>
        </w:rPr>
        <w:t>Shalli v A</w:t>
      </w:r>
      <w:r w:rsidR="00043CF5">
        <w:rPr>
          <w:rFonts w:ascii="Arial" w:hAnsi="Arial" w:cs="Arial"/>
          <w:i/>
          <w:sz w:val="24"/>
          <w:szCs w:val="24"/>
        </w:rPr>
        <w:t>ttorney</w:t>
      </w:r>
      <w:r w:rsidR="00122DBE" w:rsidRPr="00043CF5">
        <w:rPr>
          <w:rFonts w:ascii="Arial" w:hAnsi="Arial" w:cs="Arial"/>
          <w:i/>
          <w:sz w:val="24"/>
          <w:szCs w:val="24"/>
        </w:rPr>
        <w:t>-G</w:t>
      </w:r>
      <w:r w:rsidR="00043CF5">
        <w:rPr>
          <w:rFonts w:ascii="Arial" w:hAnsi="Arial" w:cs="Arial"/>
          <w:i/>
          <w:sz w:val="24"/>
          <w:szCs w:val="24"/>
        </w:rPr>
        <w:t xml:space="preserve">eneral </w:t>
      </w:r>
      <w:r w:rsidR="00122DBE" w:rsidRPr="00043CF5">
        <w:rPr>
          <w:rFonts w:ascii="Arial" w:hAnsi="Arial" w:cs="Arial"/>
          <w:i/>
          <w:sz w:val="24"/>
          <w:szCs w:val="24"/>
        </w:rPr>
        <w:t xml:space="preserve"> </w:t>
      </w:r>
      <w:r w:rsidR="00122DBE" w:rsidRPr="00122DBE">
        <w:rPr>
          <w:rFonts w:ascii="Arial" w:hAnsi="Arial" w:cs="Arial"/>
          <w:sz w:val="24"/>
          <w:szCs w:val="24"/>
        </w:rPr>
        <w:t>2013 (3) NR 613 (HC)</w:t>
      </w:r>
      <w:r w:rsidR="00576ECA">
        <w:rPr>
          <w:rFonts w:ascii="Arial" w:hAnsi="Arial" w:cs="Arial"/>
          <w:sz w:val="24"/>
          <w:szCs w:val="24"/>
        </w:rPr>
        <w:t xml:space="preserve"> at [35] to [37]</w:t>
      </w:r>
      <w:r w:rsidR="00122DBE">
        <w:rPr>
          <w:rFonts w:ascii="Arial" w:hAnsi="Arial" w:cs="Arial"/>
          <w:sz w:val="24"/>
          <w:szCs w:val="24"/>
        </w:rPr>
        <w:t>,</w:t>
      </w:r>
      <w:r w:rsidR="00043CF5" w:rsidRPr="00043CF5">
        <w:t xml:space="preserve"> </w:t>
      </w:r>
      <w:r w:rsidR="00043CF5" w:rsidRPr="00043CF5">
        <w:rPr>
          <w:rFonts w:ascii="Arial" w:hAnsi="Arial" w:cs="Arial"/>
          <w:i/>
          <w:sz w:val="24"/>
          <w:szCs w:val="24"/>
        </w:rPr>
        <w:t>Uuyuni, Prosecutor-General</w:t>
      </w:r>
      <w:r w:rsidR="00043CF5" w:rsidRPr="00043CF5">
        <w:rPr>
          <w:rFonts w:ascii="Arial" w:hAnsi="Arial" w:cs="Arial"/>
          <w:sz w:val="24"/>
          <w:szCs w:val="24"/>
        </w:rPr>
        <w:t xml:space="preserve"> v 2015 (3) NR 886 (SC)</w:t>
      </w:r>
      <w:r w:rsidR="00A8742A">
        <w:rPr>
          <w:rFonts w:ascii="Arial" w:hAnsi="Arial" w:cs="Arial"/>
          <w:sz w:val="24"/>
          <w:szCs w:val="24"/>
        </w:rPr>
        <w:t xml:space="preserve"> at [33]</w:t>
      </w:r>
      <w:r w:rsidR="00043CF5">
        <w:rPr>
          <w:rFonts w:ascii="Arial" w:hAnsi="Arial" w:cs="Arial"/>
          <w:sz w:val="24"/>
          <w:szCs w:val="24"/>
        </w:rPr>
        <w:t xml:space="preserve"> and</w:t>
      </w:r>
      <w:r w:rsidR="00122DBE" w:rsidRPr="00122DBE">
        <w:t xml:space="preserve"> </w:t>
      </w:r>
      <w:r w:rsidR="00122DBE" w:rsidRPr="00043CF5">
        <w:rPr>
          <w:rFonts w:ascii="Arial" w:hAnsi="Arial" w:cs="Arial"/>
          <w:i/>
          <w:sz w:val="24"/>
          <w:szCs w:val="24"/>
        </w:rPr>
        <w:t>Atlantic Ocean Management Group (Pty) Ltd v Prosecutor-General</w:t>
      </w:r>
      <w:r w:rsidR="00122DBE" w:rsidRPr="00122DBE">
        <w:rPr>
          <w:rFonts w:ascii="Arial" w:hAnsi="Arial" w:cs="Arial"/>
          <w:sz w:val="24"/>
          <w:szCs w:val="24"/>
        </w:rPr>
        <w:t xml:space="preserve"> 2017 (4) NR 939 (HC)</w:t>
      </w:r>
      <w:r w:rsidR="00122DBE">
        <w:rPr>
          <w:rFonts w:ascii="Arial" w:hAnsi="Arial" w:cs="Arial"/>
          <w:sz w:val="24"/>
          <w:szCs w:val="24"/>
        </w:rPr>
        <w:t xml:space="preserve"> at </w:t>
      </w:r>
      <w:r w:rsidR="00A8742A">
        <w:rPr>
          <w:rFonts w:ascii="Arial" w:hAnsi="Arial" w:cs="Arial"/>
          <w:sz w:val="24"/>
          <w:szCs w:val="24"/>
        </w:rPr>
        <w:t>[30]</w:t>
      </w:r>
      <w:r w:rsidR="00122DBE">
        <w:rPr>
          <w:rFonts w:ascii="Arial" w:hAnsi="Arial" w:cs="Arial"/>
          <w:sz w:val="24"/>
          <w:szCs w:val="24"/>
        </w:rPr>
        <w:t xml:space="preserve"> to </w:t>
      </w:r>
      <w:r w:rsidR="00A8742A">
        <w:rPr>
          <w:rFonts w:ascii="Arial" w:hAnsi="Arial" w:cs="Arial"/>
          <w:sz w:val="24"/>
          <w:szCs w:val="24"/>
        </w:rPr>
        <w:t>[</w:t>
      </w:r>
      <w:r w:rsidR="00122DBE">
        <w:rPr>
          <w:rFonts w:ascii="Arial" w:hAnsi="Arial" w:cs="Arial"/>
          <w:sz w:val="24"/>
          <w:szCs w:val="24"/>
        </w:rPr>
        <w:t>33</w:t>
      </w:r>
      <w:r w:rsidR="00A8742A">
        <w:rPr>
          <w:rFonts w:ascii="Arial" w:hAnsi="Arial" w:cs="Arial"/>
          <w:sz w:val="24"/>
          <w:szCs w:val="24"/>
        </w:rPr>
        <w:t>]</w:t>
      </w:r>
      <w:r w:rsidR="00043CF5">
        <w:rPr>
          <w:rFonts w:ascii="Arial" w:hAnsi="Arial" w:cs="Arial"/>
          <w:sz w:val="24"/>
          <w:szCs w:val="24"/>
        </w:rPr>
        <w:t>.</w:t>
      </w:r>
    </w:p>
    <w:p w:rsidR="00043CF5" w:rsidRDefault="00043CF5" w:rsidP="003531BA">
      <w:pPr>
        <w:tabs>
          <w:tab w:val="left" w:pos="720"/>
        </w:tabs>
        <w:spacing w:after="0" w:line="360" w:lineRule="auto"/>
        <w:jc w:val="both"/>
        <w:rPr>
          <w:rFonts w:ascii="Arial" w:hAnsi="Arial" w:cs="Arial"/>
          <w:sz w:val="24"/>
          <w:szCs w:val="24"/>
        </w:rPr>
      </w:pPr>
    </w:p>
    <w:p w:rsidR="00043CF5" w:rsidRPr="00473AE1" w:rsidRDefault="00043CF5" w:rsidP="003531BA">
      <w:pPr>
        <w:tabs>
          <w:tab w:val="left" w:pos="720"/>
        </w:tabs>
        <w:spacing w:after="0" w:line="360" w:lineRule="auto"/>
        <w:jc w:val="both"/>
        <w:rPr>
          <w:rFonts w:ascii="Arial" w:hAnsi="Arial" w:cs="Arial"/>
          <w:sz w:val="24"/>
          <w:szCs w:val="24"/>
        </w:rPr>
      </w:pPr>
      <w:r>
        <w:rPr>
          <w:rFonts w:ascii="Arial" w:hAnsi="Arial" w:cs="Arial"/>
          <w:sz w:val="24"/>
          <w:szCs w:val="24"/>
        </w:rPr>
        <w:t>[</w:t>
      </w:r>
      <w:r w:rsidR="00195DCD">
        <w:rPr>
          <w:rFonts w:ascii="Arial" w:hAnsi="Arial" w:cs="Arial"/>
          <w:sz w:val="24"/>
          <w:szCs w:val="24"/>
        </w:rPr>
        <w:t>47</w:t>
      </w:r>
      <w:r>
        <w:rPr>
          <w:rFonts w:ascii="Arial" w:hAnsi="Arial" w:cs="Arial"/>
          <w:sz w:val="24"/>
          <w:szCs w:val="24"/>
        </w:rPr>
        <w:t>]</w:t>
      </w:r>
      <w:r>
        <w:rPr>
          <w:rFonts w:ascii="Arial" w:hAnsi="Arial" w:cs="Arial"/>
          <w:sz w:val="24"/>
          <w:szCs w:val="24"/>
        </w:rPr>
        <w:tab/>
        <w:t xml:space="preserve"> The principle is thus firmly established, namely that the court</w:t>
      </w:r>
      <w:r>
        <w:t>,</w:t>
      </w:r>
      <w:r w:rsidRPr="00043CF5">
        <w:rPr>
          <w:rFonts w:ascii="Arial" w:hAnsi="Arial" w:cs="Arial"/>
          <w:sz w:val="24"/>
          <w:szCs w:val="24"/>
        </w:rPr>
        <w:t xml:space="preserve"> on the approved test</w:t>
      </w:r>
      <w:r>
        <w:rPr>
          <w:rFonts w:ascii="Arial" w:hAnsi="Arial" w:cs="Arial"/>
          <w:sz w:val="24"/>
          <w:szCs w:val="24"/>
        </w:rPr>
        <w:t xml:space="preserve"> as</w:t>
      </w:r>
      <w:r w:rsidRPr="00043CF5">
        <w:rPr>
          <w:rFonts w:ascii="Arial" w:hAnsi="Arial" w:cs="Arial"/>
          <w:sz w:val="24"/>
          <w:szCs w:val="24"/>
        </w:rPr>
        <w:t xml:space="preserve"> </w:t>
      </w:r>
      <w:r>
        <w:rPr>
          <w:rFonts w:ascii="Arial" w:hAnsi="Arial" w:cs="Arial"/>
          <w:sz w:val="24"/>
          <w:szCs w:val="24"/>
        </w:rPr>
        <w:t xml:space="preserve">originally </w:t>
      </w:r>
      <w:r w:rsidRPr="00043CF5">
        <w:rPr>
          <w:rFonts w:ascii="Arial" w:hAnsi="Arial" w:cs="Arial"/>
          <w:sz w:val="24"/>
          <w:szCs w:val="24"/>
        </w:rPr>
        <w:t>formulated</w:t>
      </w:r>
      <w:r>
        <w:rPr>
          <w:rFonts w:ascii="Arial" w:hAnsi="Arial" w:cs="Arial"/>
          <w:sz w:val="24"/>
          <w:szCs w:val="24"/>
        </w:rPr>
        <w:t xml:space="preserve"> by Nugent J</w:t>
      </w:r>
      <w:r w:rsidRPr="00043CF5">
        <w:rPr>
          <w:rFonts w:ascii="Arial" w:hAnsi="Arial" w:cs="Arial"/>
          <w:sz w:val="24"/>
          <w:szCs w:val="24"/>
        </w:rPr>
        <w:t xml:space="preserve"> in the South African judgment of Gomesh</w:t>
      </w:r>
      <w:r>
        <w:rPr>
          <w:rFonts w:ascii="Arial" w:hAnsi="Arial" w:cs="Arial"/>
          <w:sz w:val="24"/>
          <w:szCs w:val="24"/>
        </w:rPr>
        <w:t>i-</w:t>
      </w:r>
      <w:r>
        <w:rPr>
          <w:rFonts w:ascii="Arial" w:hAnsi="Arial" w:cs="Arial"/>
          <w:sz w:val="24"/>
          <w:szCs w:val="24"/>
        </w:rPr>
        <w:lastRenderedPageBreak/>
        <w:t>Bozorg v Yousefi,</w:t>
      </w:r>
      <w:r>
        <w:rPr>
          <w:rStyle w:val="FootnoteReference"/>
          <w:rFonts w:ascii="Arial" w:hAnsi="Arial"/>
          <w:sz w:val="24"/>
          <w:szCs w:val="24"/>
        </w:rPr>
        <w:footnoteReference w:id="110"/>
      </w:r>
      <w:r w:rsidR="00E130E8">
        <w:rPr>
          <w:rFonts w:ascii="Arial" w:hAnsi="Arial" w:cs="Arial"/>
          <w:sz w:val="24"/>
          <w:szCs w:val="24"/>
        </w:rPr>
        <w:t xml:space="preserve">  is essentially tasked</w:t>
      </w:r>
      <w:r>
        <w:rPr>
          <w:rFonts w:ascii="Arial" w:hAnsi="Arial" w:cs="Arial"/>
          <w:sz w:val="24"/>
          <w:szCs w:val="24"/>
        </w:rPr>
        <w:t xml:space="preserve"> </w:t>
      </w:r>
      <w:r w:rsidRPr="00043CF5">
        <w:rPr>
          <w:rFonts w:ascii="Arial" w:hAnsi="Arial" w:cs="Arial"/>
          <w:sz w:val="24"/>
          <w:szCs w:val="24"/>
        </w:rPr>
        <w:t xml:space="preserve">to consider the matter 'afresh' on the return date — that is on the merits — in the light of all the information which has by then been placed before the court — 'as if the order was first being applied for'. </w:t>
      </w:r>
      <w:r w:rsidR="00E130E8">
        <w:rPr>
          <w:rStyle w:val="FootnoteReference"/>
          <w:rFonts w:ascii="Arial" w:hAnsi="Arial"/>
          <w:sz w:val="24"/>
          <w:szCs w:val="24"/>
        </w:rPr>
        <w:footnoteReference w:id="111"/>
      </w:r>
      <w:r w:rsidR="00E130E8">
        <w:rPr>
          <w:rFonts w:ascii="Arial" w:hAnsi="Arial" w:cs="Arial"/>
          <w:sz w:val="24"/>
          <w:szCs w:val="24"/>
        </w:rPr>
        <w:t xml:space="preserve"> </w:t>
      </w:r>
    </w:p>
    <w:p w:rsidR="00D11ECE" w:rsidRDefault="00D11ECE" w:rsidP="003531BA">
      <w:pPr>
        <w:spacing w:after="0" w:line="360" w:lineRule="auto"/>
        <w:jc w:val="both"/>
        <w:rPr>
          <w:rFonts w:ascii="Arial" w:hAnsi="Arial" w:cs="Arial"/>
          <w:sz w:val="24"/>
          <w:szCs w:val="24"/>
        </w:rPr>
      </w:pPr>
    </w:p>
    <w:p w:rsidR="005770B5" w:rsidRDefault="00E130E8" w:rsidP="003531BA">
      <w:pPr>
        <w:spacing w:after="0" w:line="360" w:lineRule="auto"/>
        <w:jc w:val="both"/>
        <w:rPr>
          <w:rFonts w:ascii="Arial" w:hAnsi="Arial" w:cs="Arial"/>
          <w:sz w:val="24"/>
          <w:szCs w:val="24"/>
        </w:rPr>
      </w:pPr>
      <w:r>
        <w:rPr>
          <w:rFonts w:ascii="Arial" w:hAnsi="Arial" w:cs="Arial"/>
          <w:sz w:val="24"/>
          <w:szCs w:val="24"/>
        </w:rPr>
        <w:t>[</w:t>
      </w:r>
      <w:r w:rsidR="00195DCD">
        <w:rPr>
          <w:rFonts w:ascii="Arial" w:hAnsi="Arial" w:cs="Arial"/>
          <w:sz w:val="24"/>
          <w:szCs w:val="24"/>
        </w:rPr>
        <w:t>48</w:t>
      </w:r>
      <w:r>
        <w:rPr>
          <w:rFonts w:ascii="Arial" w:hAnsi="Arial" w:cs="Arial"/>
          <w:sz w:val="24"/>
          <w:szCs w:val="24"/>
        </w:rPr>
        <w:t>]</w:t>
      </w:r>
      <w:r>
        <w:rPr>
          <w:rFonts w:ascii="Arial" w:hAnsi="Arial" w:cs="Arial"/>
          <w:sz w:val="24"/>
          <w:szCs w:val="24"/>
        </w:rPr>
        <w:tab/>
      </w:r>
      <w:r w:rsidR="00576ECA">
        <w:rPr>
          <w:rFonts w:ascii="Arial" w:hAnsi="Arial" w:cs="Arial"/>
          <w:sz w:val="24"/>
          <w:szCs w:val="24"/>
        </w:rPr>
        <w:t>With reference to these leading authorities t</w:t>
      </w:r>
      <w:r>
        <w:rPr>
          <w:rFonts w:ascii="Arial" w:hAnsi="Arial" w:cs="Arial"/>
          <w:sz w:val="24"/>
          <w:szCs w:val="24"/>
        </w:rPr>
        <w:t>he submissions made on behalf of Puma</w:t>
      </w:r>
      <w:r w:rsidR="005770B5">
        <w:rPr>
          <w:rFonts w:ascii="Arial" w:hAnsi="Arial" w:cs="Arial"/>
          <w:sz w:val="24"/>
          <w:szCs w:val="24"/>
        </w:rPr>
        <w:t>:</w:t>
      </w:r>
    </w:p>
    <w:p w:rsidR="00D40BE8" w:rsidRDefault="00D40BE8" w:rsidP="003531BA">
      <w:pPr>
        <w:spacing w:after="0" w:line="360" w:lineRule="auto"/>
        <w:jc w:val="both"/>
        <w:rPr>
          <w:rFonts w:ascii="Arial" w:hAnsi="Arial" w:cs="Arial"/>
          <w:sz w:val="24"/>
          <w:szCs w:val="24"/>
        </w:rPr>
      </w:pPr>
    </w:p>
    <w:p w:rsidR="005770B5" w:rsidRPr="00195DCD" w:rsidRDefault="005770B5" w:rsidP="00195DCD">
      <w:pPr>
        <w:pStyle w:val="ListParagraph"/>
        <w:numPr>
          <w:ilvl w:val="0"/>
          <w:numId w:val="15"/>
        </w:numPr>
        <w:spacing w:line="360" w:lineRule="auto"/>
        <w:ind w:left="0" w:firstLine="0"/>
        <w:jc w:val="both"/>
        <w:rPr>
          <w:rFonts w:cs="Arial"/>
        </w:rPr>
      </w:pPr>
      <w:r w:rsidRPr="005770B5">
        <w:rPr>
          <w:rFonts w:cs="Arial"/>
        </w:rPr>
        <w:t>that It matters not that no return date was provided for</w:t>
      </w:r>
      <w:r>
        <w:rPr>
          <w:rFonts w:cs="Arial"/>
          <w:color w:val="000000" w:themeColor="text1"/>
        </w:rPr>
        <w:t>; and</w:t>
      </w:r>
    </w:p>
    <w:p w:rsidR="00195DCD" w:rsidRPr="00195DCD" w:rsidRDefault="00195DCD" w:rsidP="00195DCD">
      <w:pPr>
        <w:pStyle w:val="ListParagraph"/>
        <w:spacing w:line="360" w:lineRule="auto"/>
        <w:ind w:left="0"/>
        <w:jc w:val="both"/>
        <w:rPr>
          <w:rFonts w:cs="Arial"/>
        </w:rPr>
      </w:pPr>
    </w:p>
    <w:p w:rsidR="005770B5" w:rsidRPr="00195DCD" w:rsidRDefault="005770B5" w:rsidP="00195DCD">
      <w:pPr>
        <w:pStyle w:val="ListParagraph"/>
        <w:numPr>
          <w:ilvl w:val="0"/>
          <w:numId w:val="15"/>
        </w:numPr>
        <w:spacing w:line="360" w:lineRule="auto"/>
        <w:ind w:left="0" w:firstLine="0"/>
        <w:jc w:val="both"/>
        <w:rPr>
          <w:rFonts w:cs="Arial"/>
        </w:rPr>
      </w:pPr>
      <w:r>
        <w:rPr>
          <w:rFonts w:cs="Arial"/>
          <w:color w:val="000000" w:themeColor="text1"/>
        </w:rPr>
        <w:t>that the order made by Angula DJP is provisional as a matter of law; and</w:t>
      </w:r>
    </w:p>
    <w:p w:rsidR="00195DCD" w:rsidRPr="005770B5" w:rsidRDefault="00195DCD" w:rsidP="00195DCD">
      <w:pPr>
        <w:pStyle w:val="ListParagraph"/>
        <w:spacing w:line="360" w:lineRule="auto"/>
        <w:ind w:left="0"/>
        <w:jc w:val="both"/>
        <w:rPr>
          <w:rFonts w:cs="Arial"/>
        </w:rPr>
      </w:pPr>
    </w:p>
    <w:p w:rsidR="005770B5" w:rsidRPr="00195DCD" w:rsidRDefault="00762F0B" w:rsidP="00195DCD">
      <w:pPr>
        <w:pStyle w:val="ListParagraph"/>
        <w:numPr>
          <w:ilvl w:val="0"/>
          <w:numId w:val="15"/>
        </w:numPr>
        <w:spacing w:line="360" w:lineRule="auto"/>
        <w:ind w:left="0" w:firstLine="0"/>
        <w:jc w:val="both"/>
        <w:rPr>
          <w:rFonts w:cs="Arial"/>
        </w:rPr>
      </w:pPr>
      <w:r>
        <w:rPr>
          <w:rFonts w:cs="Arial"/>
          <w:iCs/>
          <w:color w:val="000000" w:themeColor="text1"/>
        </w:rPr>
        <w:t>t</w:t>
      </w:r>
      <w:r w:rsidR="005770B5">
        <w:rPr>
          <w:rFonts w:cs="Arial"/>
          <w:iCs/>
          <w:color w:val="000000" w:themeColor="text1"/>
        </w:rPr>
        <w:t>hat it</w:t>
      </w:r>
      <w:r w:rsidR="005770B5" w:rsidRPr="005770B5">
        <w:rPr>
          <w:rFonts w:cs="Arial"/>
          <w:iCs/>
          <w:color w:val="000000" w:themeColor="text1"/>
        </w:rPr>
        <w:t xml:space="preserve"> makes no difference that the order has been given effect to, for the consequences of the order are capable of being undone through a return of the documents seized in the course of the search and seizur</w:t>
      </w:r>
      <w:r w:rsidR="007775D2">
        <w:rPr>
          <w:rFonts w:cs="Arial"/>
          <w:iCs/>
          <w:color w:val="000000" w:themeColor="text1"/>
        </w:rPr>
        <w:t>e operation :the bags remain sealed and</w:t>
      </w:r>
      <w:r w:rsidR="005770B5" w:rsidRPr="005770B5">
        <w:rPr>
          <w:rFonts w:cs="Arial"/>
          <w:iCs/>
          <w:color w:val="000000" w:themeColor="text1"/>
        </w:rPr>
        <w:t xml:space="preserve"> the tri-p</w:t>
      </w:r>
      <w:r w:rsidR="007775D2">
        <w:rPr>
          <w:rFonts w:cs="Arial"/>
          <w:iCs/>
          <w:color w:val="000000" w:themeColor="text1"/>
        </w:rPr>
        <w:t>artite agreement was not signed;</w:t>
      </w:r>
      <w:r w:rsidR="00576ECA">
        <w:rPr>
          <w:rFonts w:cs="Arial"/>
          <w:iCs/>
          <w:color w:val="000000" w:themeColor="text1"/>
        </w:rPr>
        <w:t xml:space="preserve"> and</w:t>
      </w:r>
    </w:p>
    <w:p w:rsidR="00195DCD" w:rsidRPr="005770B5" w:rsidRDefault="00195DCD" w:rsidP="00195DCD">
      <w:pPr>
        <w:pStyle w:val="ListParagraph"/>
        <w:spacing w:line="360" w:lineRule="auto"/>
        <w:ind w:left="0"/>
        <w:jc w:val="both"/>
        <w:rPr>
          <w:rFonts w:cs="Arial"/>
        </w:rPr>
      </w:pPr>
    </w:p>
    <w:p w:rsidR="005770B5" w:rsidRPr="00195DCD" w:rsidRDefault="007775D2" w:rsidP="00195DCD">
      <w:pPr>
        <w:pStyle w:val="ListParagraph"/>
        <w:numPr>
          <w:ilvl w:val="0"/>
          <w:numId w:val="15"/>
        </w:numPr>
        <w:spacing w:line="360" w:lineRule="auto"/>
        <w:ind w:left="0" w:firstLine="0"/>
        <w:jc w:val="both"/>
        <w:rPr>
          <w:rFonts w:cs="Arial"/>
        </w:rPr>
      </w:pPr>
      <w:r>
        <w:rPr>
          <w:rFonts w:cs="Arial"/>
          <w:iCs/>
          <w:color w:val="000000" w:themeColor="text1"/>
        </w:rPr>
        <w:t>that t</w:t>
      </w:r>
      <w:r w:rsidR="005770B5">
        <w:rPr>
          <w:rFonts w:cs="Arial"/>
          <w:iCs/>
          <w:color w:val="000000" w:themeColor="text1"/>
        </w:rPr>
        <w:t>he fact that the order made by Angula DJP</w:t>
      </w:r>
      <w:r w:rsidR="005770B5" w:rsidRPr="005770B5">
        <w:rPr>
          <w:rFonts w:cs="Arial"/>
          <w:iCs/>
          <w:color w:val="000000" w:themeColor="text1"/>
        </w:rPr>
        <w:t xml:space="preserve"> ought to have included a return date</w:t>
      </w:r>
      <w:r w:rsidR="005770B5">
        <w:rPr>
          <w:rFonts w:cs="Arial"/>
          <w:iCs/>
          <w:color w:val="000000" w:themeColor="text1"/>
        </w:rPr>
        <w:t>, does</w:t>
      </w:r>
      <w:r w:rsidR="005770B5" w:rsidRPr="005770B5">
        <w:rPr>
          <w:rFonts w:cs="Arial"/>
          <w:iCs/>
          <w:color w:val="000000" w:themeColor="text1"/>
        </w:rPr>
        <w:t xml:space="preserve"> not deprive Puma of th</w:t>
      </w:r>
      <w:r>
        <w:rPr>
          <w:rFonts w:cs="Arial"/>
          <w:iCs/>
          <w:color w:val="000000" w:themeColor="text1"/>
        </w:rPr>
        <w:t>e opportunity to challenge it;</w:t>
      </w:r>
      <w:r w:rsidR="00762F0B">
        <w:rPr>
          <w:rFonts w:cs="Arial"/>
          <w:iCs/>
          <w:color w:val="000000" w:themeColor="text1"/>
        </w:rPr>
        <w:t xml:space="preserve"> and</w:t>
      </w:r>
    </w:p>
    <w:p w:rsidR="00195DCD" w:rsidRPr="005770B5" w:rsidRDefault="00195DCD" w:rsidP="00195DCD">
      <w:pPr>
        <w:pStyle w:val="ListParagraph"/>
        <w:spacing w:line="360" w:lineRule="auto"/>
        <w:ind w:left="0"/>
        <w:jc w:val="both"/>
        <w:rPr>
          <w:rFonts w:cs="Arial"/>
        </w:rPr>
      </w:pPr>
    </w:p>
    <w:p w:rsidR="00762F0B" w:rsidRPr="00762F0B" w:rsidRDefault="007775D2" w:rsidP="00195DCD">
      <w:pPr>
        <w:pStyle w:val="ListParagraph"/>
        <w:numPr>
          <w:ilvl w:val="0"/>
          <w:numId w:val="15"/>
        </w:numPr>
        <w:spacing w:line="360" w:lineRule="auto"/>
        <w:ind w:left="0" w:firstLine="0"/>
        <w:jc w:val="both"/>
        <w:rPr>
          <w:rFonts w:cs="Arial"/>
        </w:rPr>
      </w:pPr>
      <w:r>
        <w:rPr>
          <w:rFonts w:cs="Arial"/>
          <w:iCs/>
          <w:color w:val="000000" w:themeColor="text1"/>
        </w:rPr>
        <w:t>that t</w:t>
      </w:r>
      <w:r w:rsidR="005770B5">
        <w:rPr>
          <w:rFonts w:cs="Arial"/>
          <w:iCs/>
          <w:color w:val="000000" w:themeColor="text1"/>
        </w:rPr>
        <w:t xml:space="preserve">his was not </w:t>
      </w:r>
      <w:r>
        <w:rPr>
          <w:rFonts w:cs="Arial"/>
          <w:iCs/>
          <w:color w:val="000000" w:themeColor="text1"/>
        </w:rPr>
        <w:t>a challenge which was relia</w:t>
      </w:r>
      <w:r w:rsidR="005770B5">
        <w:rPr>
          <w:rFonts w:cs="Arial"/>
          <w:iCs/>
          <w:color w:val="000000" w:themeColor="text1"/>
        </w:rPr>
        <w:t xml:space="preserve">nt </w:t>
      </w:r>
      <w:r w:rsidR="005770B5" w:rsidRPr="005770B5">
        <w:rPr>
          <w:rFonts w:cs="Arial"/>
          <w:iCs/>
          <w:color w:val="000000" w:themeColor="text1"/>
        </w:rPr>
        <w:t>on ru</w:t>
      </w:r>
      <w:r>
        <w:rPr>
          <w:rFonts w:cs="Arial"/>
          <w:iCs/>
          <w:color w:val="000000" w:themeColor="text1"/>
        </w:rPr>
        <w:t>le 72(7)</w:t>
      </w:r>
      <w:r w:rsidR="00762F0B">
        <w:rPr>
          <w:rFonts w:cs="Arial"/>
          <w:iCs/>
          <w:color w:val="000000" w:themeColor="text1"/>
        </w:rPr>
        <w:t>;</w:t>
      </w:r>
    </w:p>
    <w:p w:rsidR="00762F0B" w:rsidRDefault="00762F0B" w:rsidP="003531BA">
      <w:pPr>
        <w:spacing w:after="0" w:line="360" w:lineRule="auto"/>
        <w:jc w:val="both"/>
        <w:rPr>
          <w:rFonts w:cs="Arial"/>
          <w:iCs/>
          <w:color w:val="000000" w:themeColor="text1"/>
        </w:rPr>
      </w:pPr>
    </w:p>
    <w:p w:rsidR="005770B5" w:rsidRDefault="00762F0B" w:rsidP="003531BA">
      <w:pPr>
        <w:spacing w:after="0" w:line="360" w:lineRule="auto"/>
        <w:jc w:val="both"/>
        <w:rPr>
          <w:rFonts w:ascii="Arial" w:hAnsi="Arial" w:cs="Arial"/>
          <w:iCs/>
          <w:color w:val="000000" w:themeColor="text1"/>
          <w:sz w:val="24"/>
          <w:szCs w:val="24"/>
        </w:rPr>
      </w:pPr>
      <w:r w:rsidRPr="00762F0B">
        <w:rPr>
          <w:rFonts w:ascii="Arial" w:hAnsi="Arial" w:cs="Arial"/>
          <w:iCs/>
          <w:color w:val="000000" w:themeColor="text1"/>
          <w:sz w:val="24"/>
          <w:szCs w:val="24"/>
        </w:rPr>
        <w:t>will thus have to be upheld</w:t>
      </w:r>
      <w:r w:rsidR="005770B5" w:rsidRPr="00762F0B">
        <w:rPr>
          <w:rFonts w:ascii="Arial" w:hAnsi="Arial" w:cs="Arial"/>
          <w:iCs/>
          <w:color w:val="000000" w:themeColor="text1"/>
          <w:sz w:val="24"/>
          <w:szCs w:val="24"/>
        </w:rPr>
        <w:t xml:space="preserve">.  </w:t>
      </w:r>
    </w:p>
    <w:p w:rsidR="00762F0B" w:rsidRDefault="00762F0B" w:rsidP="003531BA">
      <w:pPr>
        <w:spacing w:after="0" w:line="360" w:lineRule="auto"/>
        <w:jc w:val="both"/>
        <w:rPr>
          <w:rFonts w:ascii="Arial" w:hAnsi="Arial" w:cs="Arial"/>
          <w:iCs/>
          <w:color w:val="000000" w:themeColor="text1"/>
          <w:sz w:val="24"/>
          <w:szCs w:val="24"/>
        </w:rPr>
      </w:pPr>
    </w:p>
    <w:p w:rsidR="00762F0B" w:rsidRPr="00762F0B" w:rsidRDefault="00762F0B" w:rsidP="003531BA">
      <w:pPr>
        <w:spacing w:after="0" w:line="360" w:lineRule="auto"/>
        <w:jc w:val="both"/>
        <w:rPr>
          <w:rFonts w:ascii="Arial" w:hAnsi="Arial" w:cs="Arial"/>
          <w:sz w:val="24"/>
          <w:szCs w:val="24"/>
        </w:rPr>
      </w:pPr>
      <w:r>
        <w:rPr>
          <w:rFonts w:ascii="Arial" w:hAnsi="Arial" w:cs="Arial"/>
          <w:iCs/>
          <w:color w:val="000000" w:themeColor="text1"/>
          <w:sz w:val="24"/>
          <w:szCs w:val="24"/>
        </w:rPr>
        <w:t>[</w:t>
      </w:r>
      <w:r w:rsidR="00195DCD">
        <w:rPr>
          <w:rFonts w:ascii="Arial" w:hAnsi="Arial" w:cs="Arial"/>
          <w:iCs/>
          <w:color w:val="000000" w:themeColor="text1"/>
          <w:sz w:val="24"/>
          <w:szCs w:val="24"/>
        </w:rPr>
        <w:t>49</w:t>
      </w:r>
      <w:r>
        <w:rPr>
          <w:rFonts w:ascii="Arial" w:hAnsi="Arial" w:cs="Arial"/>
          <w:iCs/>
          <w:color w:val="000000" w:themeColor="text1"/>
          <w:sz w:val="24"/>
          <w:szCs w:val="24"/>
        </w:rPr>
        <w:t>]</w:t>
      </w:r>
      <w:r>
        <w:rPr>
          <w:rFonts w:ascii="Arial" w:hAnsi="Arial" w:cs="Arial"/>
          <w:iCs/>
          <w:color w:val="000000" w:themeColor="text1"/>
          <w:sz w:val="24"/>
          <w:szCs w:val="24"/>
        </w:rPr>
        <w:tab/>
        <w:t>I also agree</w:t>
      </w:r>
      <w:r w:rsidRPr="00762F0B">
        <w:rPr>
          <w:rFonts w:cs="Arial"/>
        </w:rPr>
        <w:t xml:space="preserve"> </w:t>
      </w:r>
      <w:r>
        <w:rPr>
          <w:rFonts w:ascii="Arial" w:hAnsi="Arial" w:cs="Arial"/>
          <w:sz w:val="24"/>
          <w:szCs w:val="24"/>
        </w:rPr>
        <w:t>that the</w:t>
      </w:r>
      <w:r w:rsidRPr="00762F0B">
        <w:rPr>
          <w:rFonts w:ascii="Arial" w:hAnsi="Arial" w:cs="Arial"/>
          <w:sz w:val="24"/>
          <w:szCs w:val="24"/>
        </w:rPr>
        <w:t xml:space="preserve"> relief</w:t>
      </w:r>
      <w:r>
        <w:rPr>
          <w:rFonts w:ascii="Arial" w:hAnsi="Arial" w:cs="Arial"/>
          <w:sz w:val="24"/>
          <w:szCs w:val="24"/>
        </w:rPr>
        <w:t xml:space="preserve"> seeking the dismissal of the order granted as a result of the </w:t>
      </w:r>
      <w:r w:rsidRPr="00576ECA">
        <w:rPr>
          <w:rFonts w:ascii="Arial" w:hAnsi="Arial" w:cs="Arial"/>
          <w:i/>
          <w:sz w:val="24"/>
          <w:szCs w:val="24"/>
        </w:rPr>
        <w:t>ex parte</w:t>
      </w:r>
      <w:r>
        <w:rPr>
          <w:rFonts w:ascii="Arial" w:hAnsi="Arial" w:cs="Arial"/>
          <w:sz w:val="24"/>
          <w:szCs w:val="24"/>
        </w:rPr>
        <w:t xml:space="preserve"> application is not mutually exclusive with the relief sought through the counter-application. If Puma should succeed in undoing the </w:t>
      </w:r>
      <w:r w:rsidRPr="00762F0B">
        <w:rPr>
          <w:rFonts w:ascii="Arial" w:hAnsi="Arial" w:cs="Arial"/>
          <w:i/>
          <w:sz w:val="24"/>
          <w:szCs w:val="24"/>
        </w:rPr>
        <w:t>ex parte</w:t>
      </w:r>
      <w:r>
        <w:rPr>
          <w:rFonts w:ascii="Arial" w:hAnsi="Arial" w:cs="Arial"/>
          <w:sz w:val="24"/>
          <w:szCs w:val="24"/>
        </w:rPr>
        <w:t xml:space="preserve"> order which granted the warrant in the first place it would indeed follow ‘axiomatically’ that documents and materials that were seized, would have to be returned. Similar relief would flow from the declaration sought in the counter-application</w:t>
      </w:r>
      <w:r w:rsidR="00C44149">
        <w:rPr>
          <w:rFonts w:ascii="Arial" w:hAnsi="Arial" w:cs="Arial"/>
          <w:sz w:val="24"/>
          <w:szCs w:val="24"/>
        </w:rPr>
        <w:t>, should it succeed.</w:t>
      </w:r>
    </w:p>
    <w:p w:rsidR="005770B5" w:rsidRPr="00AF4007" w:rsidRDefault="005770B5" w:rsidP="003531BA">
      <w:pPr>
        <w:keepNext/>
        <w:tabs>
          <w:tab w:val="num" w:pos="0"/>
          <w:tab w:val="left" w:pos="720"/>
        </w:tabs>
        <w:spacing w:after="0" w:line="360" w:lineRule="auto"/>
        <w:jc w:val="both"/>
        <w:rPr>
          <w:rFonts w:ascii="Arial" w:hAnsi="Arial" w:cs="Arial"/>
          <w:sz w:val="24"/>
          <w:szCs w:val="24"/>
          <w:u w:val="single"/>
        </w:rPr>
      </w:pPr>
    </w:p>
    <w:p w:rsidR="005770B5" w:rsidRDefault="00C44149" w:rsidP="003531BA">
      <w:pPr>
        <w:pStyle w:val="ListParagraph"/>
        <w:tabs>
          <w:tab w:val="left" w:pos="720"/>
        </w:tabs>
        <w:spacing w:line="360" w:lineRule="auto"/>
        <w:ind w:left="0"/>
        <w:jc w:val="both"/>
        <w:rPr>
          <w:rFonts w:cs="Arial"/>
        </w:rPr>
      </w:pPr>
      <w:r>
        <w:rPr>
          <w:rFonts w:cs="Arial"/>
        </w:rPr>
        <w:t>[</w:t>
      </w:r>
      <w:r w:rsidR="00195DCD">
        <w:rPr>
          <w:rFonts w:cs="Arial"/>
        </w:rPr>
        <w:t>50</w:t>
      </w:r>
      <w:r>
        <w:rPr>
          <w:rFonts w:cs="Arial"/>
        </w:rPr>
        <w:t>]</w:t>
      </w:r>
      <w:r>
        <w:rPr>
          <w:rFonts w:cs="Arial"/>
        </w:rPr>
        <w:tab/>
        <w:t>Finally it should be said that I find myself also in agreement with Puma’s argument that the</w:t>
      </w:r>
      <w:r w:rsidR="005805F6">
        <w:rPr>
          <w:rFonts w:cs="Arial"/>
        </w:rPr>
        <w:t xml:space="preserve"> principle that the</w:t>
      </w:r>
      <w:r>
        <w:rPr>
          <w:rFonts w:cs="Arial"/>
        </w:rPr>
        <w:t xml:space="preserve"> discretion which the court exercised, when it </w:t>
      </w:r>
      <w:r>
        <w:rPr>
          <w:rFonts w:cs="Arial"/>
        </w:rPr>
        <w:lastRenderedPageBreak/>
        <w:t>granted the warrant, is something that cannot be interfered with lightly, finds no application</w:t>
      </w:r>
      <w:r w:rsidR="005805F6">
        <w:rPr>
          <w:rFonts w:cs="Arial"/>
        </w:rPr>
        <w:t xml:space="preserve"> in this instance,</w:t>
      </w:r>
      <w:r w:rsidRPr="00C44149">
        <w:rPr>
          <w:rFonts w:cs="Arial"/>
        </w:rPr>
        <w:t xml:space="preserve"> </w:t>
      </w:r>
      <w:r>
        <w:rPr>
          <w:rFonts w:cs="Arial"/>
        </w:rPr>
        <w:t xml:space="preserve">as </w:t>
      </w:r>
      <w:r w:rsidRPr="00AF4007">
        <w:rPr>
          <w:rFonts w:cs="Arial"/>
        </w:rPr>
        <w:t>the order</w:t>
      </w:r>
      <w:r w:rsidR="005805F6">
        <w:rPr>
          <w:rFonts w:cs="Arial"/>
        </w:rPr>
        <w:t>,</w:t>
      </w:r>
      <w:r>
        <w:rPr>
          <w:rFonts w:cs="Arial"/>
        </w:rPr>
        <w:t xml:space="preserve"> granting the warrant</w:t>
      </w:r>
      <w:r w:rsidR="005805F6">
        <w:rPr>
          <w:rFonts w:cs="Arial"/>
        </w:rPr>
        <w:t>,</w:t>
      </w:r>
      <w:r>
        <w:rPr>
          <w:rFonts w:cs="Arial"/>
        </w:rPr>
        <w:t xml:space="preserve"> was</w:t>
      </w:r>
      <w:r w:rsidR="00DD5712">
        <w:rPr>
          <w:rFonts w:cs="Arial"/>
        </w:rPr>
        <w:t xml:space="preserve"> granted in</w:t>
      </w:r>
      <w:r w:rsidR="00373B3B">
        <w:rPr>
          <w:rFonts w:cs="Arial"/>
        </w:rPr>
        <w:t xml:space="preserve"> </w:t>
      </w:r>
      <w:r w:rsidR="00373B3B" w:rsidRPr="00373B3B">
        <w:rPr>
          <w:rFonts w:cs="Arial"/>
          <w:i/>
        </w:rPr>
        <w:t>in camera</w:t>
      </w:r>
      <w:r w:rsidR="00373B3B">
        <w:rPr>
          <w:rFonts w:cs="Arial"/>
        </w:rPr>
        <w:t xml:space="preserve"> and</w:t>
      </w:r>
      <w:r w:rsidR="00DD5712">
        <w:rPr>
          <w:rFonts w:cs="Arial"/>
        </w:rPr>
        <w:t xml:space="preserve"> on an</w:t>
      </w:r>
      <w:r w:rsidRPr="00AF4007">
        <w:rPr>
          <w:rFonts w:cs="Arial"/>
        </w:rPr>
        <w:t xml:space="preserve"> </w:t>
      </w:r>
      <w:r w:rsidRPr="00AF4007">
        <w:rPr>
          <w:rFonts w:cs="Arial"/>
          <w:i/>
        </w:rPr>
        <w:t>ex parte</w:t>
      </w:r>
      <w:r w:rsidR="00DD5712">
        <w:rPr>
          <w:rFonts w:cs="Arial"/>
        </w:rPr>
        <w:t xml:space="preserve"> basis</w:t>
      </w:r>
      <w:r>
        <w:rPr>
          <w:rFonts w:cs="Arial"/>
        </w:rPr>
        <w:t>, which makes the grant</w:t>
      </w:r>
      <w:r w:rsidRPr="00AF4007">
        <w:rPr>
          <w:rFonts w:cs="Arial"/>
        </w:rPr>
        <w:t xml:space="preserve"> provisional and subject to</w:t>
      </w:r>
      <w:r>
        <w:rPr>
          <w:rFonts w:cs="Arial"/>
        </w:rPr>
        <w:t xml:space="preserve"> a</w:t>
      </w:r>
      <w:r w:rsidRPr="00AF4007">
        <w:rPr>
          <w:rFonts w:cs="Arial"/>
        </w:rPr>
        <w:t xml:space="preserve"> reconsideration.  Once the court is appraised of the true facts, through the filing of an answer, the court may set aside the former order. This is not interference with the discretion of the court, but an exercise of the courts powers, in </w:t>
      </w:r>
      <w:r w:rsidR="005805F6">
        <w:rPr>
          <w:rFonts w:cs="Arial"/>
        </w:rPr>
        <w:t xml:space="preserve">the </w:t>
      </w:r>
      <w:r w:rsidRPr="00AF4007">
        <w:rPr>
          <w:rFonts w:cs="Arial"/>
        </w:rPr>
        <w:t>light of further information placed before it.</w:t>
      </w:r>
    </w:p>
    <w:p w:rsidR="005770B5" w:rsidRPr="005805F6" w:rsidRDefault="005770B5" w:rsidP="003531BA">
      <w:pPr>
        <w:pStyle w:val="ListParagraph"/>
        <w:spacing w:line="360" w:lineRule="auto"/>
        <w:rPr>
          <w:rFonts w:cs="Arial"/>
        </w:rPr>
      </w:pPr>
    </w:p>
    <w:p w:rsidR="005770B5" w:rsidRDefault="005805F6" w:rsidP="003531BA">
      <w:pPr>
        <w:spacing w:after="0" w:line="360" w:lineRule="auto"/>
        <w:jc w:val="both"/>
        <w:rPr>
          <w:rFonts w:ascii="Arial" w:hAnsi="Arial" w:cs="Arial"/>
          <w:sz w:val="24"/>
          <w:szCs w:val="24"/>
        </w:rPr>
      </w:pPr>
      <w:r w:rsidRPr="005805F6">
        <w:rPr>
          <w:rFonts w:ascii="Arial" w:hAnsi="Arial" w:cs="Arial"/>
          <w:sz w:val="24"/>
          <w:szCs w:val="24"/>
        </w:rPr>
        <w:t>[</w:t>
      </w:r>
      <w:r w:rsidR="00195DCD">
        <w:rPr>
          <w:rFonts w:ascii="Arial" w:hAnsi="Arial" w:cs="Arial"/>
          <w:sz w:val="24"/>
          <w:szCs w:val="24"/>
        </w:rPr>
        <w:t>51</w:t>
      </w:r>
      <w:r w:rsidRPr="005805F6">
        <w:rPr>
          <w:rFonts w:ascii="Arial" w:hAnsi="Arial" w:cs="Arial"/>
          <w:sz w:val="24"/>
          <w:szCs w:val="24"/>
        </w:rPr>
        <w:t>]</w:t>
      </w:r>
      <w:r w:rsidRPr="005805F6">
        <w:rPr>
          <w:rFonts w:ascii="Arial" w:hAnsi="Arial" w:cs="Arial"/>
          <w:sz w:val="24"/>
          <w:szCs w:val="24"/>
        </w:rPr>
        <w:tab/>
        <w:t>Acc</w:t>
      </w:r>
      <w:r>
        <w:rPr>
          <w:rFonts w:ascii="Arial" w:hAnsi="Arial" w:cs="Arial"/>
          <w:sz w:val="24"/>
          <w:szCs w:val="24"/>
        </w:rPr>
        <w:t>o</w:t>
      </w:r>
      <w:r w:rsidRPr="005805F6">
        <w:rPr>
          <w:rFonts w:ascii="Arial" w:hAnsi="Arial" w:cs="Arial"/>
          <w:sz w:val="24"/>
          <w:szCs w:val="24"/>
        </w:rPr>
        <w:t>rdingly I find further that</w:t>
      </w:r>
      <w:r>
        <w:rPr>
          <w:rFonts w:ascii="Arial" w:hAnsi="Arial" w:cs="Arial"/>
          <w:sz w:val="24"/>
          <w:szCs w:val="24"/>
        </w:rPr>
        <w:t xml:space="preserve"> the proceedings which Puma has brought, where competently brought.</w:t>
      </w:r>
    </w:p>
    <w:p w:rsidR="00B30AAA" w:rsidRDefault="00B30AAA" w:rsidP="003531BA">
      <w:pPr>
        <w:spacing w:after="0" w:line="360" w:lineRule="auto"/>
        <w:jc w:val="both"/>
        <w:rPr>
          <w:rFonts w:ascii="Arial" w:hAnsi="Arial" w:cs="Arial"/>
          <w:sz w:val="24"/>
          <w:szCs w:val="24"/>
        </w:rPr>
      </w:pPr>
    </w:p>
    <w:p w:rsidR="00D048ED" w:rsidRDefault="00B30AAA" w:rsidP="003531BA">
      <w:pPr>
        <w:spacing w:after="0" w:line="360" w:lineRule="auto"/>
        <w:jc w:val="both"/>
        <w:rPr>
          <w:rFonts w:ascii="Arial" w:hAnsi="Arial" w:cs="Arial"/>
          <w:sz w:val="24"/>
          <w:szCs w:val="24"/>
        </w:rPr>
      </w:pPr>
      <w:r>
        <w:rPr>
          <w:rFonts w:ascii="Arial" w:hAnsi="Arial" w:cs="Arial"/>
          <w:sz w:val="24"/>
          <w:szCs w:val="24"/>
        </w:rPr>
        <w:t>[</w:t>
      </w:r>
      <w:r w:rsidR="00195DCD">
        <w:rPr>
          <w:rFonts w:ascii="Arial" w:hAnsi="Arial" w:cs="Arial"/>
          <w:sz w:val="24"/>
          <w:szCs w:val="24"/>
        </w:rPr>
        <w:t>52</w:t>
      </w:r>
      <w:r>
        <w:rPr>
          <w:rFonts w:ascii="Arial" w:hAnsi="Arial" w:cs="Arial"/>
          <w:sz w:val="24"/>
          <w:szCs w:val="24"/>
        </w:rPr>
        <w:t>]</w:t>
      </w:r>
      <w:r>
        <w:rPr>
          <w:rFonts w:ascii="Arial" w:hAnsi="Arial" w:cs="Arial"/>
          <w:sz w:val="24"/>
          <w:szCs w:val="24"/>
        </w:rPr>
        <w:tab/>
        <w:t>Inherent in this finding is</w:t>
      </w:r>
      <w:r w:rsidR="00576ECA">
        <w:rPr>
          <w:rFonts w:ascii="Arial" w:hAnsi="Arial" w:cs="Arial"/>
          <w:sz w:val="24"/>
          <w:szCs w:val="24"/>
        </w:rPr>
        <w:t>, at the same time,</w:t>
      </w:r>
      <w:r>
        <w:rPr>
          <w:rFonts w:ascii="Arial" w:hAnsi="Arial" w:cs="Arial"/>
          <w:sz w:val="24"/>
          <w:szCs w:val="24"/>
        </w:rPr>
        <w:t xml:space="preserve"> the rejection of the argument that Puma</w:t>
      </w:r>
      <w:r w:rsidR="00DD5712">
        <w:rPr>
          <w:rFonts w:ascii="Arial" w:hAnsi="Arial" w:cs="Arial"/>
          <w:sz w:val="24"/>
          <w:szCs w:val="24"/>
        </w:rPr>
        <w:t xml:space="preserve"> has</w:t>
      </w:r>
      <w:r w:rsidR="00D048ED">
        <w:rPr>
          <w:rFonts w:ascii="Arial" w:hAnsi="Arial" w:cs="Arial"/>
          <w:sz w:val="24"/>
          <w:szCs w:val="24"/>
        </w:rPr>
        <w:t xml:space="preserve"> impermissibly prevaricated </w:t>
      </w:r>
      <w:r w:rsidR="00DD5712">
        <w:rPr>
          <w:rFonts w:ascii="Arial" w:hAnsi="Arial" w:cs="Arial"/>
          <w:sz w:val="24"/>
          <w:szCs w:val="24"/>
        </w:rPr>
        <w:t>and/</w:t>
      </w:r>
      <w:r w:rsidR="00D048ED">
        <w:rPr>
          <w:rFonts w:ascii="Arial" w:hAnsi="Arial" w:cs="Arial"/>
          <w:sz w:val="24"/>
          <w:szCs w:val="24"/>
        </w:rPr>
        <w:t>or</w:t>
      </w:r>
      <w:r>
        <w:rPr>
          <w:rFonts w:ascii="Arial" w:hAnsi="Arial" w:cs="Arial"/>
          <w:sz w:val="24"/>
          <w:szCs w:val="24"/>
        </w:rPr>
        <w:t xml:space="preserve"> waived its rights in that it </w:t>
      </w:r>
      <w:r w:rsidR="00DD5712">
        <w:rPr>
          <w:rFonts w:ascii="Arial" w:hAnsi="Arial" w:cs="Arial"/>
          <w:sz w:val="24"/>
          <w:szCs w:val="24"/>
        </w:rPr>
        <w:t xml:space="preserve">seemingly </w:t>
      </w:r>
      <w:r>
        <w:rPr>
          <w:rFonts w:ascii="Arial" w:hAnsi="Arial" w:cs="Arial"/>
          <w:sz w:val="24"/>
          <w:szCs w:val="24"/>
        </w:rPr>
        <w:t>elected to acquiesce in the search rather than to interdict or object to it. In this regard it</w:t>
      </w:r>
      <w:r w:rsidR="00576ECA">
        <w:rPr>
          <w:rFonts w:ascii="Arial" w:hAnsi="Arial" w:cs="Arial"/>
          <w:sz w:val="24"/>
          <w:szCs w:val="24"/>
        </w:rPr>
        <w:t xml:space="preserve"> is</w:t>
      </w:r>
      <w:r>
        <w:rPr>
          <w:rFonts w:ascii="Arial" w:hAnsi="Arial" w:cs="Arial"/>
          <w:sz w:val="24"/>
          <w:szCs w:val="24"/>
        </w:rPr>
        <w:t xml:space="preserve"> obviously to be taken into account firstly that a party is not likely deemed to have waived its rights. No decision by Puma to abandon its rights was ever communicated to the Commission expressly or impliedly.</w:t>
      </w:r>
      <w:r w:rsidR="00D048ED">
        <w:rPr>
          <w:rFonts w:ascii="Arial" w:hAnsi="Arial" w:cs="Arial"/>
          <w:sz w:val="24"/>
          <w:szCs w:val="24"/>
        </w:rPr>
        <w:t xml:space="preserve"> </w:t>
      </w:r>
      <w:r w:rsidR="00576ECA">
        <w:rPr>
          <w:rFonts w:ascii="Arial" w:hAnsi="Arial" w:cs="Arial"/>
          <w:sz w:val="24"/>
          <w:szCs w:val="24"/>
        </w:rPr>
        <w:t>On the contrary i</w:t>
      </w:r>
      <w:r w:rsidR="00D048ED">
        <w:rPr>
          <w:rFonts w:ascii="Arial" w:hAnsi="Arial" w:cs="Arial"/>
          <w:sz w:val="24"/>
          <w:szCs w:val="24"/>
        </w:rPr>
        <w:t xml:space="preserve">t was expressly contended that </w:t>
      </w:r>
      <w:r w:rsidR="00D048ED" w:rsidRPr="00D048ED">
        <w:rPr>
          <w:rFonts w:ascii="Arial" w:hAnsi="Arial" w:cs="Arial"/>
          <w:sz w:val="24"/>
          <w:szCs w:val="24"/>
        </w:rPr>
        <w:t>Puma's cooperation in all</w:t>
      </w:r>
      <w:r w:rsidR="00D048ED">
        <w:rPr>
          <w:rFonts w:ascii="Arial" w:hAnsi="Arial" w:cs="Arial"/>
          <w:sz w:val="24"/>
          <w:szCs w:val="24"/>
        </w:rPr>
        <w:t>owing the Commission</w:t>
      </w:r>
      <w:r w:rsidR="00D048ED" w:rsidRPr="00D048ED">
        <w:rPr>
          <w:rFonts w:ascii="Arial" w:hAnsi="Arial" w:cs="Arial"/>
          <w:sz w:val="24"/>
          <w:szCs w:val="24"/>
        </w:rPr>
        <w:t xml:space="preserve"> to carry out the Dawn Raid in terms of the warrant d</w:t>
      </w:r>
      <w:r w:rsidR="008348B0">
        <w:rPr>
          <w:rFonts w:ascii="Arial" w:hAnsi="Arial" w:cs="Arial"/>
          <w:sz w:val="24"/>
          <w:szCs w:val="24"/>
        </w:rPr>
        <w:t>id not amount to acquiescence</w:t>
      </w:r>
      <w:r w:rsidR="00D048ED" w:rsidRPr="00D048ED">
        <w:rPr>
          <w:rFonts w:ascii="Arial" w:hAnsi="Arial" w:cs="Arial"/>
          <w:sz w:val="24"/>
          <w:szCs w:val="24"/>
        </w:rPr>
        <w:t>, and/or an election to accept, the validity of the warrant.</w:t>
      </w:r>
      <w:r w:rsidR="00D048ED" w:rsidRPr="00D048ED">
        <w:rPr>
          <w:rStyle w:val="FootnoteReference"/>
          <w:rFonts w:ascii="Arial" w:hAnsi="Arial" w:cs="Arial"/>
          <w:sz w:val="24"/>
          <w:szCs w:val="24"/>
        </w:rPr>
        <w:footnoteReference w:id="112"/>
      </w:r>
      <w:r w:rsidR="00D048ED" w:rsidRPr="00D048ED">
        <w:rPr>
          <w:rFonts w:ascii="Arial" w:hAnsi="Arial" w:cs="Arial"/>
          <w:sz w:val="24"/>
          <w:szCs w:val="24"/>
        </w:rPr>
        <w:t xml:space="preserve"> </w:t>
      </w:r>
      <w:r w:rsidR="00D048ED">
        <w:rPr>
          <w:rFonts w:ascii="Arial" w:hAnsi="Arial" w:cs="Arial"/>
          <w:sz w:val="24"/>
          <w:szCs w:val="24"/>
        </w:rPr>
        <w:t>Puma explained its initial inactivity by explaining that it</w:t>
      </w:r>
      <w:r w:rsidR="00D048ED" w:rsidRPr="00D048ED">
        <w:rPr>
          <w:rFonts w:ascii="Arial" w:hAnsi="Arial" w:cs="Arial"/>
          <w:sz w:val="24"/>
          <w:szCs w:val="24"/>
        </w:rPr>
        <w:t xml:space="preserve"> allowed the warrant to be executed on the understanding that it reserved its right</w:t>
      </w:r>
      <w:r w:rsidR="00576ECA">
        <w:rPr>
          <w:rFonts w:ascii="Arial" w:hAnsi="Arial" w:cs="Arial"/>
          <w:sz w:val="24"/>
          <w:szCs w:val="24"/>
        </w:rPr>
        <w:t>s</w:t>
      </w:r>
      <w:r w:rsidR="00D048ED" w:rsidRPr="00D048ED">
        <w:rPr>
          <w:rFonts w:ascii="Arial" w:hAnsi="Arial" w:cs="Arial"/>
          <w:sz w:val="24"/>
          <w:szCs w:val="24"/>
        </w:rPr>
        <w:t xml:space="preserve"> to challenge the validity thereof at a later stage.</w:t>
      </w:r>
      <w:r w:rsidR="00D048ED" w:rsidRPr="00D048ED">
        <w:rPr>
          <w:rStyle w:val="FootnoteReference"/>
          <w:rFonts w:ascii="Arial" w:hAnsi="Arial" w:cs="Arial"/>
          <w:sz w:val="24"/>
          <w:szCs w:val="24"/>
        </w:rPr>
        <w:footnoteReference w:id="113"/>
      </w:r>
      <w:r w:rsidR="00D048ED" w:rsidRPr="00D048ED">
        <w:rPr>
          <w:rFonts w:ascii="Arial" w:hAnsi="Arial" w:cs="Arial"/>
          <w:sz w:val="24"/>
          <w:szCs w:val="24"/>
        </w:rPr>
        <w:t xml:space="preserve">  This it was entitled to do</w:t>
      </w:r>
      <w:r w:rsidR="008348B0">
        <w:rPr>
          <w:rFonts w:ascii="Arial" w:hAnsi="Arial" w:cs="Arial"/>
          <w:sz w:val="24"/>
          <w:szCs w:val="24"/>
        </w:rPr>
        <w:t xml:space="preserve"> initially</w:t>
      </w:r>
      <w:r w:rsidR="00D048ED" w:rsidRPr="00D048ED">
        <w:rPr>
          <w:rFonts w:ascii="Arial" w:hAnsi="Arial" w:cs="Arial"/>
          <w:sz w:val="24"/>
          <w:szCs w:val="24"/>
        </w:rPr>
        <w:t xml:space="preserve">, not least to ensure that, pending an approach to court to have the warrant set aside, it was not acting in contempt. </w:t>
      </w:r>
      <w:r w:rsidR="00D048ED">
        <w:rPr>
          <w:rFonts w:ascii="Arial" w:hAnsi="Arial" w:cs="Arial"/>
          <w:sz w:val="24"/>
          <w:szCs w:val="24"/>
        </w:rPr>
        <w:t>I agree that</w:t>
      </w:r>
      <w:r w:rsidR="00D048ED" w:rsidRPr="00D048ED">
        <w:rPr>
          <w:rFonts w:ascii="Arial" w:hAnsi="Arial" w:cs="Arial"/>
          <w:sz w:val="24"/>
          <w:szCs w:val="24"/>
        </w:rPr>
        <w:t xml:space="preserve"> </w:t>
      </w:r>
      <w:r w:rsidR="00D048ED">
        <w:rPr>
          <w:rFonts w:ascii="Arial" w:hAnsi="Arial" w:cs="Arial"/>
          <w:sz w:val="24"/>
          <w:szCs w:val="24"/>
        </w:rPr>
        <w:t>this was a permissible</w:t>
      </w:r>
      <w:r w:rsidR="00D048ED">
        <w:rPr>
          <w:rFonts w:cs="Arial"/>
        </w:rPr>
        <w:t xml:space="preserve"> </w:t>
      </w:r>
      <w:r w:rsidR="00D048ED" w:rsidRPr="00D048ED">
        <w:rPr>
          <w:rFonts w:ascii="Arial" w:hAnsi="Arial" w:cs="Arial"/>
          <w:sz w:val="24"/>
          <w:szCs w:val="24"/>
        </w:rPr>
        <w:t>approach as a matter of law and necessary as a matter of practicality</w:t>
      </w:r>
      <w:r w:rsidR="00D048ED">
        <w:rPr>
          <w:rFonts w:ascii="Arial" w:hAnsi="Arial" w:cs="Arial"/>
          <w:sz w:val="24"/>
          <w:szCs w:val="24"/>
        </w:rPr>
        <w:t>. What is of</w:t>
      </w:r>
      <w:r w:rsidR="00D048ED" w:rsidRPr="00AF4007">
        <w:rPr>
          <w:rFonts w:cs="Arial"/>
        </w:rPr>
        <w:t xml:space="preserve"> </w:t>
      </w:r>
      <w:r w:rsidR="00D048ED" w:rsidRPr="00D048ED">
        <w:rPr>
          <w:rFonts w:ascii="Arial" w:hAnsi="Arial" w:cs="Arial"/>
          <w:sz w:val="24"/>
          <w:szCs w:val="24"/>
        </w:rPr>
        <w:t>further</w:t>
      </w:r>
      <w:r w:rsidR="00D048ED">
        <w:rPr>
          <w:rFonts w:ascii="Arial" w:hAnsi="Arial" w:cs="Arial"/>
          <w:sz w:val="24"/>
          <w:szCs w:val="24"/>
        </w:rPr>
        <w:t xml:space="preserve"> cardinal</w:t>
      </w:r>
      <w:r w:rsidR="00D048ED" w:rsidRPr="00D048ED">
        <w:rPr>
          <w:rFonts w:ascii="Arial" w:hAnsi="Arial" w:cs="Arial"/>
          <w:sz w:val="24"/>
          <w:szCs w:val="24"/>
        </w:rPr>
        <w:t xml:space="preserve"> relevance</w:t>
      </w:r>
      <w:r w:rsidR="00D048ED">
        <w:rPr>
          <w:rFonts w:ascii="Arial" w:hAnsi="Arial" w:cs="Arial"/>
          <w:sz w:val="24"/>
          <w:szCs w:val="24"/>
        </w:rPr>
        <w:t xml:space="preserve"> is</w:t>
      </w:r>
      <w:r w:rsidR="00D048ED" w:rsidRPr="00D048ED">
        <w:rPr>
          <w:rFonts w:ascii="Arial" w:hAnsi="Arial" w:cs="Arial"/>
          <w:sz w:val="24"/>
          <w:szCs w:val="24"/>
        </w:rPr>
        <w:t xml:space="preserve"> that Puma did not</w:t>
      </w:r>
      <w:r w:rsidR="00576ECA">
        <w:rPr>
          <w:rFonts w:ascii="Arial" w:hAnsi="Arial" w:cs="Arial"/>
          <w:sz w:val="24"/>
          <w:szCs w:val="24"/>
        </w:rPr>
        <w:t xml:space="preserve"> immediately</w:t>
      </w:r>
      <w:r w:rsidR="00D048ED" w:rsidRPr="00D048ED">
        <w:rPr>
          <w:rFonts w:ascii="Arial" w:hAnsi="Arial" w:cs="Arial"/>
          <w:sz w:val="24"/>
          <w:szCs w:val="24"/>
        </w:rPr>
        <w:t xml:space="preserve"> have access to the application papers</w:t>
      </w:r>
      <w:r w:rsidR="00D048ED">
        <w:rPr>
          <w:rFonts w:ascii="Arial" w:hAnsi="Arial" w:cs="Arial"/>
          <w:sz w:val="24"/>
          <w:szCs w:val="24"/>
        </w:rPr>
        <w:t xml:space="preserve"> and thus did not immediately know on which basis</w:t>
      </w:r>
      <w:r w:rsidR="00D048ED" w:rsidRPr="00D048ED">
        <w:rPr>
          <w:rFonts w:ascii="Arial" w:hAnsi="Arial" w:cs="Arial"/>
          <w:sz w:val="24"/>
          <w:szCs w:val="24"/>
        </w:rPr>
        <w:t xml:space="preserve"> the warrant had been</w:t>
      </w:r>
      <w:r w:rsidR="008348B0">
        <w:rPr>
          <w:rFonts w:ascii="Arial" w:hAnsi="Arial" w:cs="Arial"/>
          <w:sz w:val="24"/>
          <w:szCs w:val="24"/>
        </w:rPr>
        <w:t xml:space="preserve"> applied for and</w:t>
      </w:r>
      <w:r w:rsidR="00D048ED" w:rsidRPr="00D048ED">
        <w:rPr>
          <w:rFonts w:ascii="Arial" w:hAnsi="Arial" w:cs="Arial"/>
          <w:sz w:val="24"/>
          <w:szCs w:val="24"/>
        </w:rPr>
        <w:t xml:space="preserve"> granted, prior to the execution of the warrant.  Accordingly, Puma did not have the opportunity, prior to the execution of the warrant, to form an</w:t>
      </w:r>
      <w:r w:rsidR="00D048ED">
        <w:rPr>
          <w:rFonts w:ascii="Arial" w:hAnsi="Arial" w:cs="Arial"/>
          <w:sz w:val="24"/>
          <w:szCs w:val="24"/>
        </w:rPr>
        <w:t xml:space="preserve"> educated</w:t>
      </w:r>
      <w:r w:rsidR="00D048ED" w:rsidRPr="00D048ED">
        <w:rPr>
          <w:rFonts w:ascii="Arial" w:hAnsi="Arial" w:cs="Arial"/>
          <w:sz w:val="24"/>
          <w:szCs w:val="24"/>
        </w:rPr>
        <w:t xml:space="preserve"> opinion as to the correctness of the decision to grant the warrant and therefore </w:t>
      </w:r>
      <w:r w:rsidR="00D048ED">
        <w:rPr>
          <w:rFonts w:ascii="Arial" w:hAnsi="Arial" w:cs="Arial"/>
          <w:sz w:val="24"/>
          <w:szCs w:val="24"/>
        </w:rPr>
        <w:t xml:space="preserve">it was not immediately in the position to decide </w:t>
      </w:r>
      <w:r w:rsidR="00D048ED" w:rsidRPr="00D048ED">
        <w:rPr>
          <w:rFonts w:ascii="Arial" w:hAnsi="Arial" w:cs="Arial"/>
          <w:sz w:val="24"/>
          <w:szCs w:val="24"/>
        </w:rPr>
        <w:t>whether or not to challenge it. It</w:t>
      </w:r>
      <w:r w:rsidR="00D048ED">
        <w:rPr>
          <w:rFonts w:ascii="Arial" w:hAnsi="Arial" w:cs="Arial"/>
          <w:sz w:val="24"/>
          <w:szCs w:val="24"/>
        </w:rPr>
        <w:t xml:space="preserve"> is also clear that</w:t>
      </w:r>
      <w:r w:rsidR="00576ECA">
        <w:rPr>
          <w:rFonts w:ascii="Arial" w:hAnsi="Arial" w:cs="Arial"/>
          <w:sz w:val="24"/>
          <w:szCs w:val="24"/>
        </w:rPr>
        <w:t xml:space="preserve"> it </w:t>
      </w:r>
      <w:r w:rsidR="00D048ED" w:rsidRPr="00D048ED">
        <w:rPr>
          <w:rFonts w:ascii="Arial" w:hAnsi="Arial" w:cs="Arial"/>
          <w:sz w:val="24"/>
          <w:szCs w:val="24"/>
        </w:rPr>
        <w:t>would have been unlawful for Puma to resist or interfere with the execution of a warrant</w:t>
      </w:r>
      <w:r w:rsidR="00D048ED">
        <w:rPr>
          <w:rFonts w:ascii="Arial" w:hAnsi="Arial" w:cs="Arial"/>
          <w:sz w:val="24"/>
          <w:szCs w:val="24"/>
        </w:rPr>
        <w:t>, seemingly issue</w:t>
      </w:r>
      <w:r w:rsidR="00576ECA">
        <w:rPr>
          <w:rFonts w:ascii="Arial" w:hAnsi="Arial" w:cs="Arial"/>
          <w:sz w:val="24"/>
          <w:szCs w:val="24"/>
        </w:rPr>
        <w:t>d</w:t>
      </w:r>
      <w:r w:rsidR="00D048ED">
        <w:rPr>
          <w:rFonts w:ascii="Arial" w:hAnsi="Arial" w:cs="Arial"/>
          <w:sz w:val="24"/>
          <w:szCs w:val="24"/>
        </w:rPr>
        <w:t xml:space="preserve"> on a lawful basis</w:t>
      </w:r>
      <w:r w:rsidR="008348B0">
        <w:rPr>
          <w:rFonts w:ascii="Arial" w:hAnsi="Arial" w:cs="Arial"/>
          <w:sz w:val="24"/>
          <w:szCs w:val="24"/>
        </w:rPr>
        <w:t xml:space="preserve"> by</w:t>
      </w:r>
      <w:r w:rsidR="00576ECA">
        <w:rPr>
          <w:rFonts w:ascii="Arial" w:hAnsi="Arial" w:cs="Arial"/>
          <w:sz w:val="24"/>
          <w:szCs w:val="24"/>
        </w:rPr>
        <w:t xml:space="preserve"> a Judge of</w:t>
      </w:r>
      <w:r w:rsidR="008348B0">
        <w:rPr>
          <w:rFonts w:ascii="Arial" w:hAnsi="Arial" w:cs="Arial"/>
          <w:sz w:val="24"/>
          <w:szCs w:val="24"/>
        </w:rPr>
        <w:t xml:space="preserve"> the High Court</w:t>
      </w:r>
      <w:r w:rsidR="00D048ED" w:rsidRPr="00D048ED">
        <w:rPr>
          <w:rFonts w:ascii="Arial" w:hAnsi="Arial" w:cs="Arial"/>
          <w:sz w:val="24"/>
          <w:szCs w:val="24"/>
        </w:rPr>
        <w:t>.  I</w:t>
      </w:r>
      <w:r w:rsidR="00D048ED">
        <w:rPr>
          <w:rFonts w:ascii="Arial" w:hAnsi="Arial" w:cs="Arial"/>
          <w:sz w:val="24"/>
          <w:szCs w:val="24"/>
        </w:rPr>
        <w:t xml:space="preserve"> also agree that i</w:t>
      </w:r>
      <w:r w:rsidR="00D048ED" w:rsidRPr="00D048ED">
        <w:rPr>
          <w:rFonts w:ascii="Arial" w:hAnsi="Arial" w:cs="Arial"/>
          <w:sz w:val="24"/>
          <w:szCs w:val="24"/>
        </w:rPr>
        <w:t xml:space="preserve">t would have been </w:t>
      </w:r>
      <w:r w:rsidR="00D048ED" w:rsidRPr="00D048ED">
        <w:rPr>
          <w:rFonts w:ascii="Arial" w:hAnsi="Arial" w:cs="Arial"/>
          <w:sz w:val="24"/>
          <w:szCs w:val="24"/>
        </w:rPr>
        <w:lastRenderedPageBreak/>
        <w:t>impractical (and questionable as a matter of law) for Puma to institute urgent application proceedings or otherwise delay the Commission in its execution of the warrant, when Puma had yet to assess the merits of the decision to grant the order.</w:t>
      </w:r>
      <w:r w:rsidR="00D048ED" w:rsidRPr="00D048ED">
        <w:rPr>
          <w:rStyle w:val="FootnoteReference"/>
          <w:rFonts w:ascii="Arial" w:hAnsi="Arial" w:cs="Arial"/>
          <w:sz w:val="24"/>
          <w:szCs w:val="24"/>
        </w:rPr>
        <w:footnoteReference w:id="114"/>
      </w:r>
      <w:r w:rsidR="00D048ED" w:rsidRPr="00D048ED">
        <w:rPr>
          <w:rFonts w:ascii="Arial" w:hAnsi="Arial" w:cs="Arial"/>
          <w:sz w:val="24"/>
          <w:szCs w:val="24"/>
        </w:rPr>
        <w:t xml:space="preserve">  But that did not preclude it from challenging the warrant once it </w:t>
      </w:r>
      <w:r w:rsidR="00576ECA">
        <w:rPr>
          <w:rFonts w:ascii="Arial" w:hAnsi="Arial" w:cs="Arial"/>
          <w:sz w:val="24"/>
          <w:szCs w:val="24"/>
        </w:rPr>
        <w:t xml:space="preserve">had </w:t>
      </w:r>
      <w:r w:rsidR="00D048ED" w:rsidRPr="00D048ED">
        <w:rPr>
          <w:rFonts w:ascii="Arial" w:hAnsi="Arial" w:cs="Arial"/>
          <w:sz w:val="24"/>
          <w:szCs w:val="24"/>
        </w:rPr>
        <w:t>had the opportunity to</w:t>
      </w:r>
      <w:r w:rsidR="00576ECA">
        <w:rPr>
          <w:rFonts w:ascii="Arial" w:hAnsi="Arial" w:cs="Arial"/>
          <w:sz w:val="24"/>
          <w:szCs w:val="24"/>
        </w:rPr>
        <w:t xml:space="preserve"> properly</w:t>
      </w:r>
      <w:r w:rsidR="00D048ED" w:rsidRPr="00D048ED">
        <w:rPr>
          <w:rFonts w:ascii="Arial" w:hAnsi="Arial" w:cs="Arial"/>
          <w:sz w:val="24"/>
          <w:szCs w:val="24"/>
        </w:rPr>
        <w:t xml:space="preserve"> consider the contents of t</w:t>
      </w:r>
      <w:r w:rsidR="00D048ED">
        <w:rPr>
          <w:rFonts w:ascii="Arial" w:hAnsi="Arial" w:cs="Arial"/>
          <w:sz w:val="24"/>
          <w:szCs w:val="24"/>
        </w:rPr>
        <w:t>he application for the warrant. I take into account further that</w:t>
      </w:r>
      <w:r w:rsidR="008348B0">
        <w:rPr>
          <w:rFonts w:ascii="Arial" w:hAnsi="Arial" w:cs="Arial"/>
          <w:sz w:val="24"/>
          <w:szCs w:val="24"/>
        </w:rPr>
        <w:t xml:space="preserve"> Puma first obtained knowledge of the warrant on 15 September 2016 - on the occasion of the so-called ‘dawn raid’ – and - that by 26 September 2016 – that is a mere 11 days later </w:t>
      </w:r>
      <w:r w:rsidR="00576ECA">
        <w:rPr>
          <w:rFonts w:ascii="Arial" w:hAnsi="Arial" w:cs="Arial"/>
          <w:sz w:val="24"/>
          <w:szCs w:val="24"/>
        </w:rPr>
        <w:t>–</w:t>
      </w:r>
      <w:r w:rsidR="008348B0">
        <w:rPr>
          <w:rFonts w:ascii="Arial" w:hAnsi="Arial" w:cs="Arial"/>
          <w:sz w:val="24"/>
          <w:szCs w:val="24"/>
        </w:rPr>
        <w:t xml:space="preserve"> </w:t>
      </w:r>
      <w:r w:rsidR="00576ECA">
        <w:rPr>
          <w:rFonts w:ascii="Arial" w:hAnsi="Arial" w:cs="Arial"/>
          <w:sz w:val="24"/>
          <w:szCs w:val="24"/>
        </w:rPr>
        <w:t>and after having reserved Puma</w:t>
      </w:r>
      <w:r w:rsidR="00BE6820">
        <w:rPr>
          <w:rFonts w:ascii="Arial" w:hAnsi="Arial" w:cs="Arial"/>
          <w:sz w:val="24"/>
          <w:szCs w:val="24"/>
        </w:rPr>
        <w:t>’</w:t>
      </w:r>
      <w:r w:rsidR="00576ECA">
        <w:rPr>
          <w:rFonts w:ascii="Arial" w:hAnsi="Arial" w:cs="Arial"/>
          <w:sz w:val="24"/>
          <w:szCs w:val="24"/>
        </w:rPr>
        <w:t xml:space="preserve">s rights - </w:t>
      </w:r>
      <w:r w:rsidR="008348B0">
        <w:rPr>
          <w:rFonts w:ascii="Arial" w:hAnsi="Arial" w:cs="Arial"/>
          <w:sz w:val="24"/>
          <w:szCs w:val="24"/>
        </w:rPr>
        <w:t>Puma’s legal practitioners advised that they would launch a challenge thereto. The election to challenge the warrant was in my view and in the circumstances also not delayed unreasonably.</w:t>
      </w:r>
      <w:r w:rsidR="00B819C6">
        <w:rPr>
          <w:rFonts w:ascii="Arial" w:hAnsi="Arial" w:cs="Arial"/>
          <w:sz w:val="24"/>
          <w:szCs w:val="24"/>
        </w:rPr>
        <w:t xml:space="preserve"> Importantly also Puma’s legal representatives requested the Commission</w:t>
      </w:r>
      <w:r w:rsidR="00D048ED" w:rsidRPr="00D048ED">
        <w:rPr>
          <w:rFonts w:ascii="Arial" w:hAnsi="Arial" w:cs="Arial"/>
          <w:sz w:val="24"/>
          <w:szCs w:val="24"/>
        </w:rPr>
        <w:t xml:space="preserve"> </w:t>
      </w:r>
      <w:r w:rsidR="00B819C6">
        <w:rPr>
          <w:rFonts w:ascii="Arial" w:hAnsi="Arial" w:cs="Arial"/>
          <w:sz w:val="24"/>
          <w:szCs w:val="24"/>
        </w:rPr>
        <w:t>to postpone the opening of the bags containing hardcopies and the analysis of the copied electronic data pending the outcome of the intended legal challenge.</w:t>
      </w:r>
    </w:p>
    <w:p w:rsidR="00DD5712" w:rsidRDefault="00DD5712" w:rsidP="003531BA">
      <w:pPr>
        <w:spacing w:after="0" w:line="360" w:lineRule="auto"/>
        <w:jc w:val="both"/>
        <w:rPr>
          <w:rFonts w:ascii="Arial" w:hAnsi="Arial" w:cs="Arial"/>
          <w:sz w:val="24"/>
          <w:szCs w:val="24"/>
        </w:rPr>
      </w:pPr>
    </w:p>
    <w:p w:rsidR="00DD5712" w:rsidRDefault="00DD5712" w:rsidP="003531BA">
      <w:pPr>
        <w:spacing w:after="0" w:line="360" w:lineRule="auto"/>
        <w:jc w:val="both"/>
        <w:rPr>
          <w:rFonts w:ascii="Arial" w:hAnsi="Arial" w:cs="Arial"/>
          <w:sz w:val="24"/>
          <w:szCs w:val="24"/>
        </w:rPr>
      </w:pPr>
      <w:r>
        <w:rPr>
          <w:rFonts w:ascii="Arial" w:hAnsi="Arial" w:cs="Arial"/>
          <w:sz w:val="24"/>
          <w:szCs w:val="24"/>
        </w:rPr>
        <w:t>[</w:t>
      </w:r>
      <w:r w:rsidR="00195DCD">
        <w:rPr>
          <w:rFonts w:ascii="Arial" w:hAnsi="Arial" w:cs="Arial"/>
          <w:sz w:val="24"/>
          <w:szCs w:val="24"/>
        </w:rPr>
        <w:t>53</w:t>
      </w:r>
      <w:r>
        <w:rPr>
          <w:rFonts w:ascii="Arial" w:hAnsi="Arial" w:cs="Arial"/>
          <w:sz w:val="24"/>
          <w:szCs w:val="24"/>
        </w:rPr>
        <w:t>]</w:t>
      </w:r>
      <w:r>
        <w:rPr>
          <w:rFonts w:ascii="Arial" w:hAnsi="Arial" w:cs="Arial"/>
          <w:sz w:val="24"/>
          <w:szCs w:val="24"/>
        </w:rPr>
        <w:tab/>
        <w:t>Having then disposed of the various preliminary issues considered above I believe that the time for a reconsideration of the order granting the warrant, as made on 14 September 2016, has arrived.</w:t>
      </w:r>
    </w:p>
    <w:p w:rsidR="00DD5712" w:rsidRDefault="00DD5712" w:rsidP="003531BA">
      <w:pPr>
        <w:spacing w:after="0" w:line="360" w:lineRule="auto"/>
        <w:jc w:val="both"/>
        <w:rPr>
          <w:rFonts w:ascii="Arial" w:hAnsi="Arial" w:cs="Arial"/>
          <w:sz w:val="24"/>
          <w:szCs w:val="24"/>
        </w:rPr>
      </w:pPr>
    </w:p>
    <w:p w:rsidR="00DD5712" w:rsidRDefault="00DD5712" w:rsidP="003531BA">
      <w:pPr>
        <w:spacing w:after="0" w:line="360" w:lineRule="auto"/>
        <w:jc w:val="both"/>
        <w:rPr>
          <w:rFonts w:ascii="Arial" w:hAnsi="Arial" w:cs="Arial"/>
          <w:sz w:val="24"/>
          <w:szCs w:val="24"/>
          <w:u w:val="single"/>
        </w:rPr>
      </w:pPr>
      <w:r w:rsidRPr="00DD5712">
        <w:rPr>
          <w:rFonts w:ascii="Arial" w:hAnsi="Arial" w:cs="Arial"/>
          <w:sz w:val="24"/>
          <w:szCs w:val="24"/>
          <w:u w:val="single"/>
        </w:rPr>
        <w:t>The re-consideration</w:t>
      </w:r>
    </w:p>
    <w:p w:rsidR="00DD5712" w:rsidRDefault="00DD5712" w:rsidP="003531BA">
      <w:pPr>
        <w:spacing w:after="0" w:line="360" w:lineRule="auto"/>
        <w:jc w:val="both"/>
        <w:rPr>
          <w:rFonts w:ascii="Arial" w:hAnsi="Arial" w:cs="Arial"/>
          <w:sz w:val="24"/>
          <w:szCs w:val="24"/>
          <w:u w:val="single"/>
        </w:rPr>
      </w:pPr>
    </w:p>
    <w:p w:rsidR="00DD5712" w:rsidRDefault="00DD5712" w:rsidP="003531BA">
      <w:pPr>
        <w:spacing w:after="0" w:line="360" w:lineRule="auto"/>
        <w:jc w:val="both"/>
        <w:rPr>
          <w:rFonts w:ascii="Arial" w:hAnsi="Arial" w:cs="Arial"/>
          <w:sz w:val="24"/>
          <w:szCs w:val="24"/>
        </w:rPr>
      </w:pPr>
      <w:r w:rsidRPr="00DD5712">
        <w:rPr>
          <w:rFonts w:ascii="Arial" w:hAnsi="Arial" w:cs="Arial"/>
          <w:sz w:val="24"/>
          <w:szCs w:val="24"/>
        </w:rPr>
        <w:t>[</w:t>
      </w:r>
      <w:r w:rsidR="00195DCD">
        <w:rPr>
          <w:rFonts w:ascii="Arial" w:hAnsi="Arial" w:cs="Arial"/>
          <w:sz w:val="24"/>
          <w:szCs w:val="24"/>
        </w:rPr>
        <w:t>54</w:t>
      </w:r>
      <w:r w:rsidRPr="00DD5712">
        <w:rPr>
          <w:rFonts w:ascii="Arial" w:hAnsi="Arial" w:cs="Arial"/>
          <w:sz w:val="24"/>
          <w:szCs w:val="24"/>
        </w:rPr>
        <w:t>]</w:t>
      </w:r>
      <w:r w:rsidRPr="00DD5712">
        <w:rPr>
          <w:rFonts w:ascii="Arial" w:hAnsi="Arial" w:cs="Arial"/>
          <w:sz w:val="24"/>
          <w:szCs w:val="24"/>
        </w:rPr>
        <w:tab/>
      </w:r>
      <w:r>
        <w:rPr>
          <w:rFonts w:ascii="Arial" w:hAnsi="Arial" w:cs="Arial"/>
          <w:sz w:val="24"/>
          <w:szCs w:val="24"/>
        </w:rPr>
        <w:t>Also he</w:t>
      </w:r>
      <w:r w:rsidR="0085676B">
        <w:rPr>
          <w:rFonts w:ascii="Arial" w:hAnsi="Arial" w:cs="Arial"/>
          <w:sz w:val="24"/>
          <w:szCs w:val="24"/>
        </w:rPr>
        <w:t>re a preliminary point came into play</w:t>
      </w:r>
      <w:r>
        <w:rPr>
          <w:rFonts w:ascii="Arial" w:hAnsi="Arial" w:cs="Arial"/>
          <w:sz w:val="24"/>
          <w:szCs w:val="24"/>
        </w:rPr>
        <w:t>, namely</w:t>
      </w:r>
      <w:r w:rsidR="0085676B">
        <w:rPr>
          <w:rFonts w:ascii="Arial" w:hAnsi="Arial" w:cs="Arial"/>
          <w:sz w:val="24"/>
          <w:szCs w:val="24"/>
        </w:rPr>
        <w:t xml:space="preserve"> Puma’s point</w:t>
      </w:r>
      <w:r w:rsidR="00810675">
        <w:rPr>
          <w:rFonts w:ascii="Arial" w:hAnsi="Arial" w:cs="Arial"/>
          <w:sz w:val="24"/>
          <w:szCs w:val="24"/>
        </w:rPr>
        <w:t xml:space="preserve"> relating to the absence</w:t>
      </w:r>
      <w:r>
        <w:rPr>
          <w:rFonts w:ascii="Arial" w:hAnsi="Arial" w:cs="Arial"/>
          <w:sz w:val="24"/>
          <w:szCs w:val="24"/>
        </w:rPr>
        <w:t xml:space="preserve"> of</w:t>
      </w:r>
      <w:r w:rsidR="00810675">
        <w:rPr>
          <w:rFonts w:ascii="Arial" w:hAnsi="Arial" w:cs="Arial"/>
          <w:sz w:val="24"/>
          <w:szCs w:val="24"/>
        </w:rPr>
        <w:t xml:space="preserve"> the Commission’s acting secretary’s</w:t>
      </w:r>
      <w:r>
        <w:rPr>
          <w:rFonts w:ascii="Arial" w:hAnsi="Arial" w:cs="Arial"/>
          <w:sz w:val="24"/>
          <w:szCs w:val="24"/>
        </w:rPr>
        <w:t xml:space="preserve"> authority</w:t>
      </w:r>
      <w:r w:rsidR="00810675">
        <w:rPr>
          <w:rFonts w:ascii="Arial" w:hAnsi="Arial" w:cs="Arial"/>
          <w:sz w:val="24"/>
          <w:szCs w:val="24"/>
        </w:rPr>
        <w:t xml:space="preserve"> to make application in terms of Section 34 for the issue of a warrant.</w:t>
      </w:r>
      <w:r w:rsidR="00440F22">
        <w:rPr>
          <w:rFonts w:ascii="Arial" w:hAnsi="Arial" w:cs="Arial"/>
          <w:sz w:val="24"/>
          <w:szCs w:val="24"/>
        </w:rPr>
        <w:t xml:space="preserve"> </w:t>
      </w:r>
      <w:r w:rsidR="0085676B">
        <w:rPr>
          <w:rFonts w:ascii="Arial" w:hAnsi="Arial" w:cs="Arial"/>
          <w:sz w:val="24"/>
          <w:szCs w:val="24"/>
        </w:rPr>
        <w:t>As t</w:t>
      </w:r>
      <w:r w:rsidR="00440F22">
        <w:rPr>
          <w:rFonts w:ascii="Arial" w:hAnsi="Arial" w:cs="Arial"/>
          <w:sz w:val="24"/>
          <w:szCs w:val="24"/>
        </w:rPr>
        <w:t>he question of authority is clearly one of those fundamental legal technical objections that req</w:t>
      </w:r>
      <w:r w:rsidR="0085676B">
        <w:rPr>
          <w:rFonts w:ascii="Arial" w:hAnsi="Arial" w:cs="Arial"/>
          <w:sz w:val="24"/>
          <w:szCs w:val="24"/>
        </w:rPr>
        <w:t xml:space="preserve">uire an </w:t>
      </w:r>
      <w:r w:rsidR="0085676B" w:rsidRPr="0085676B">
        <w:rPr>
          <w:rFonts w:ascii="Arial" w:hAnsi="Arial" w:cs="Arial"/>
          <w:i/>
          <w:sz w:val="24"/>
          <w:szCs w:val="24"/>
        </w:rPr>
        <w:t>in limine</w:t>
      </w:r>
      <w:r w:rsidR="0085676B">
        <w:rPr>
          <w:rFonts w:ascii="Arial" w:hAnsi="Arial" w:cs="Arial"/>
          <w:sz w:val="24"/>
          <w:szCs w:val="24"/>
        </w:rPr>
        <w:t xml:space="preserve"> determination this point requires resolution before any re-consideration of the merits </w:t>
      </w:r>
      <w:r w:rsidR="0071152A">
        <w:rPr>
          <w:rFonts w:ascii="Arial" w:hAnsi="Arial" w:cs="Arial"/>
          <w:sz w:val="24"/>
          <w:szCs w:val="24"/>
        </w:rPr>
        <w:t xml:space="preserve">proper </w:t>
      </w:r>
      <w:r w:rsidR="0085676B">
        <w:rPr>
          <w:rFonts w:ascii="Arial" w:hAnsi="Arial" w:cs="Arial"/>
          <w:sz w:val="24"/>
          <w:szCs w:val="24"/>
        </w:rPr>
        <w:t>can even get off the ground.</w:t>
      </w:r>
    </w:p>
    <w:p w:rsidR="0085676B" w:rsidRDefault="0085676B" w:rsidP="003531BA">
      <w:pPr>
        <w:spacing w:after="0" w:line="360" w:lineRule="auto"/>
        <w:jc w:val="both"/>
        <w:rPr>
          <w:rFonts w:ascii="Arial" w:hAnsi="Arial" w:cs="Arial"/>
          <w:sz w:val="24"/>
          <w:szCs w:val="24"/>
        </w:rPr>
      </w:pPr>
    </w:p>
    <w:p w:rsidR="0085676B" w:rsidRDefault="0085676B" w:rsidP="003531BA">
      <w:pPr>
        <w:spacing w:after="0" w:line="360" w:lineRule="auto"/>
        <w:jc w:val="both"/>
        <w:rPr>
          <w:rFonts w:ascii="Arial" w:hAnsi="Arial" w:cs="Arial"/>
          <w:sz w:val="24"/>
          <w:szCs w:val="24"/>
        </w:rPr>
      </w:pPr>
      <w:r>
        <w:rPr>
          <w:rFonts w:ascii="Arial" w:hAnsi="Arial" w:cs="Arial"/>
          <w:sz w:val="24"/>
          <w:szCs w:val="24"/>
        </w:rPr>
        <w:t>[</w:t>
      </w:r>
      <w:r w:rsidR="00195DCD">
        <w:rPr>
          <w:rFonts w:ascii="Arial" w:hAnsi="Arial" w:cs="Arial"/>
          <w:sz w:val="24"/>
          <w:szCs w:val="24"/>
        </w:rPr>
        <w:t>55</w:t>
      </w:r>
      <w:r>
        <w:rPr>
          <w:rFonts w:ascii="Arial" w:hAnsi="Arial" w:cs="Arial"/>
          <w:sz w:val="24"/>
          <w:szCs w:val="24"/>
        </w:rPr>
        <w:t>]</w:t>
      </w:r>
      <w:r>
        <w:rPr>
          <w:rFonts w:ascii="Arial" w:hAnsi="Arial" w:cs="Arial"/>
          <w:sz w:val="24"/>
          <w:szCs w:val="24"/>
        </w:rPr>
        <w:tab/>
        <w:t>It will be recalled that</w:t>
      </w:r>
      <w:r w:rsidR="0071152A">
        <w:rPr>
          <w:rFonts w:ascii="Arial" w:hAnsi="Arial" w:cs="Arial"/>
          <w:sz w:val="24"/>
          <w:szCs w:val="24"/>
        </w:rPr>
        <w:t xml:space="preserve"> – once faced with this objection - the Commission was immediately constrained to argue that the</w:t>
      </w:r>
      <w:r w:rsidR="0071152A" w:rsidRPr="0071152A">
        <w:rPr>
          <w:rFonts w:ascii="Arial" w:hAnsi="Arial" w:cs="Arial"/>
          <w:sz w:val="24"/>
          <w:szCs w:val="24"/>
        </w:rPr>
        <w:t xml:space="preserve"> </w:t>
      </w:r>
      <w:r w:rsidR="0071152A">
        <w:rPr>
          <w:rFonts w:ascii="Arial" w:hAnsi="Arial" w:cs="Arial"/>
          <w:sz w:val="24"/>
          <w:szCs w:val="24"/>
        </w:rPr>
        <w:t>Commission’s acting secretary’s authority</w:t>
      </w:r>
      <w:r w:rsidR="00805087">
        <w:rPr>
          <w:rFonts w:ascii="Arial" w:hAnsi="Arial" w:cs="Arial"/>
          <w:sz w:val="24"/>
          <w:szCs w:val="24"/>
        </w:rPr>
        <w:t xml:space="preserve"> – that is Mr Ndalikolule’s authority -</w:t>
      </w:r>
      <w:r w:rsidR="0071152A">
        <w:rPr>
          <w:rFonts w:ascii="Arial" w:hAnsi="Arial" w:cs="Arial"/>
          <w:sz w:val="24"/>
          <w:szCs w:val="24"/>
        </w:rPr>
        <w:t xml:space="preserve"> was to be implied</w:t>
      </w:r>
      <w:r w:rsidR="0062515D">
        <w:rPr>
          <w:rFonts w:ascii="Arial" w:hAnsi="Arial" w:cs="Arial"/>
          <w:sz w:val="24"/>
          <w:szCs w:val="24"/>
        </w:rPr>
        <w:t xml:space="preserve"> only as the ability of the</w:t>
      </w:r>
      <w:r w:rsidR="0071152A" w:rsidRPr="0071152A">
        <w:rPr>
          <w:rFonts w:ascii="Arial" w:hAnsi="Arial" w:cs="Arial"/>
          <w:sz w:val="24"/>
          <w:szCs w:val="24"/>
        </w:rPr>
        <w:t xml:space="preserve"> </w:t>
      </w:r>
      <w:r w:rsidR="0071152A">
        <w:rPr>
          <w:rFonts w:ascii="Arial" w:hAnsi="Arial" w:cs="Arial"/>
          <w:sz w:val="24"/>
          <w:szCs w:val="24"/>
        </w:rPr>
        <w:t>Commission’s acting secretary’s authority apply for the warrant was</w:t>
      </w:r>
      <w:r w:rsidR="0062515D">
        <w:rPr>
          <w:rFonts w:ascii="Arial" w:hAnsi="Arial" w:cs="Arial"/>
          <w:sz w:val="24"/>
          <w:szCs w:val="24"/>
        </w:rPr>
        <w:t xml:space="preserve"> merely</w:t>
      </w:r>
      <w:r w:rsidR="0071152A">
        <w:rPr>
          <w:rFonts w:ascii="Arial" w:hAnsi="Arial" w:cs="Arial"/>
          <w:sz w:val="24"/>
          <w:szCs w:val="24"/>
        </w:rPr>
        <w:t xml:space="preserve"> incidental to and to be implied from the power and function of the Commission to investigate alleged breaches of the Act. The Commission thus argued with reference to the </w:t>
      </w:r>
      <w:r w:rsidR="0071152A">
        <w:rPr>
          <w:rFonts w:ascii="Arial" w:hAnsi="Arial" w:cs="Arial"/>
          <w:sz w:val="24"/>
          <w:szCs w:val="24"/>
        </w:rPr>
        <w:lastRenderedPageBreak/>
        <w:t>investigatory powers contained in sections 16 and 33 that search and seizure powers were incidental to- and to be implied from such powers. In addition reliance was placed on the provisions of section 34 which appears in the Chapter and Part of the Act headed ‘Investigation into Prohibited Practices’ which so recognizes that search and seizure powers are constituent</w:t>
      </w:r>
      <w:r w:rsidR="00805087">
        <w:rPr>
          <w:rFonts w:ascii="Arial" w:hAnsi="Arial" w:cs="Arial"/>
          <w:sz w:val="24"/>
          <w:szCs w:val="24"/>
        </w:rPr>
        <w:t xml:space="preserve"> in – and </w:t>
      </w:r>
      <w:r w:rsidR="0062515D">
        <w:rPr>
          <w:rFonts w:ascii="Arial" w:hAnsi="Arial" w:cs="Arial"/>
          <w:sz w:val="24"/>
          <w:szCs w:val="24"/>
        </w:rPr>
        <w:t xml:space="preserve">are </w:t>
      </w:r>
      <w:r w:rsidR="00DD3144">
        <w:rPr>
          <w:rFonts w:ascii="Arial" w:hAnsi="Arial" w:cs="Arial"/>
          <w:sz w:val="24"/>
          <w:szCs w:val="24"/>
        </w:rPr>
        <w:t>one instanta</w:t>
      </w:r>
      <w:r w:rsidR="00805087">
        <w:rPr>
          <w:rFonts w:ascii="Arial" w:hAnsi="Arial" w:cs="Arial"/>
          <w:sz w:val="24"/>
          <w:szCs w:val="24"/>
        </w:rPr>
        <w:t>tion of the Commissions broader investigative powers. It was further argued in defence to the point of authority that the power and duty to investigate suspected prohibited conduct would naturally extend to and include the power to apply for a warrant. In this regard the provisions of section 34(1) were supportive of this as the section expressly linked the search powers to the purpose of assisting the Commission in its investigations.</w:t>
      </w:r>
    </w:p>
    <w:p w:rsidR="00CF439D" w:rsidRDefault="00CF439D" w:rsidP="003531BA">
      <w:pPr>
        <w:spacing w:after="0" w:line="360" w:lineRule="auto"/>
        <w:jc w:val="both"/>
        <w:rPr>
          <w:rFonts w:ascii="Arial" w:hAnsi="Arial" w:cs="Arial"/>
          <w:sz w:val="24"/>
          <w:szCs w:val="24"/>
        </w:rPr>
      </w:pPr>
    </w:p>
    <w:p w:rsidR="00CF439D" w:rsidRPr="00AF4007" w:rsidRDefault="00CF439D" w:rsidP="003531BA">
      <w:pPr>
        <w:pStyle w:val="ListParagraph"/>
        <w:widowControl/>
        <w:tabs>
          <w:tab w:val="left" w:pos="720"/>
        </w:tabs>
        <w:autoSpaceDE/>
        <w:autoSpaceDN/>
        <w:adjustRightInd/>
        <w:spacing w:line="360" w:lineRule="auto"/>
        <w:ind w:left="0"/>
        <w:jc w:val="both"/>
        <w:rPr>
          <w:rFonts w:cs="Arial"/>
        </w:rPr>
      </w:pPr>
      <w:r>
        <w:rPr>
          <w:rFonts w:cs="Arial"/>
        </w:rPr>
        <w:t>[</w:t>
      </w:r>
      <w:r w:rsidR="00195DCD">
        <w:rPr>
          <w:rFonts w:cs="Arial"/>
        </w:rPr>
        <w:t>56</w:t>
      </w:r>
      <w:r>
        <w:rPr>
          <w:rFonts w:cs="Arial"/>
        </w:rPr>
        <w:t>]</w:t>
      </w:r>
      <w:r>
        <w:rPr>
          <w:rFonts w:cs="Arial"/>
        </w:rPr>
        <w:tab/>
        <w:t>Puma’s essential counter-argument pointed out that</w:t>
      </w:r>
      <w:r w:rsidRPr="00CF439D">
        <w:rPr>
          <w:rFonts w:cs="Arial"/>
        </w:rPr>
        <w:t xml:space="preserve"> </w:t>
      </w:r>
      <w:r>
        <w:rPr>
          <w:rFonts w:cs="Arial"/>
        </w:rPr>
        <w:t>the Commission's stance</w:t>
      </w:r>
      <w:r w:rsidRPr="00AF4007">
        <w:rPr>
          <w:rFonts w:cs="Arial"/>
        </w:rPr>
        <w:t xml:space="preserve"> d</w:t>
      </w:r>
      <w:r>
        <w:rPr>
          <w:rFonts w:cs="Arial"/>
        </w:rPr>
        <w:t>id not take</w:t>
      </w:r>
      <w:r w:rsidR="00DD3144">
        <w:rPr>
          <w:rFonts w:cs="Arial"/>
        </w:rPr>
        <w:t xml:space="preserve"> into</w:t>
      </w:r>
      <w:r>
        <w:rPr>
          <w:rFonts w:cs="Arial"/>
        </w:rPr>
        <w:t xml:space="preserve"> account that</w:t>
      </w:r>
      <w:r w:rsidRPr="00AF4007">
        <w:rPr>
          <w:rFonts w:cs="Arial"/>
        </w:rPr>
        <w:t xml:space="preserve"> the content of the delegation couples the delegation of the general investigative powers under section 16(1)(</w:t>
      </w:r>
      <w:r w:rsidRPr="00AF4007">
        <w:rPr>
          <w:rFonts w:cs="Arial"/>
          <w:i/>
        </w:rPr>
        <w:t>f</w:t>
      </w:r>
      <w:r w:rsidRPr="00AF4007">
        <w:rPr>
          <w:rFonts w:cs="Arial"/>
        </w:rPr>
        <w:t>) with a specific delegation of the powers under section 33, and section 33 only. The extraordinary powers of invest</w:t>
      </w:r>
      <w:r>
        <w:rPr>
          <w:rFonts w:cs="Arial"/>
        </w:rPr>
        <w:t>igation under section 34 were not delegated. There wa</w:t>
      </w:r>
      <w:r w:rsidRPr="00AF4007">
        <w:rPr>
          <w:rFonts w:cs="Arial"/>
        </w:rPr>
        <w:t>s</w:t>
      </w:r>
      <w:r>
        <w:rPr>
          <w:rFonts w:cs="Arial"/>
        </w:rPr>
        <w:t xml:space="preserve"> thus</w:t>
      </w:r>
      <w:r w:rsidRPr="00AF4007">
        <w:rPr>
          <w:rFonts w:cs="Arial"/>
        </w:rPr>
        <w:t xml:space="preserve"> no basis for co</w:t>
      </w:r>
      <w:r>
        <w:rPr>
          <w:rFonts w:cs="Arial"/>
        </w:rPr>
        <w:t>nsidering that the delegation could be</w:t>
      </w:r>
      <w:r w:rsidRPr="00AF4007">
        <w:rPr>
          <w:rFonts w:cs="Arial"/>
        </w:rPr>
        <w:t xml:space="preserve"> implied, particularly since the rationale for the delegation (said to be </w:t>
      </w:r>
      <w:r w:rsidRPr="00AF4007">
        <w:rPr>
          <w:rFonts w:cs="Arial"/>
          <w:i/>
        </w:rPr>
        <w:t>nemo iudex in sua causa</w:t>
      </w:r>
      <w:r w:rsidRPr="00AF4007">
        <w:rPr>
          <w:rFonts w:cs="Arial"/>
        </w:rPr>
        <w:t>) does not apply in relation to the section 34 powers.</w:t>
      </w:r>
    </w:p>
    <w:p w:rsidR="00440F22" w:rsidRDefault="00440F22" w:rsidP="003531BA">
      <w:pPr>
        <w:widowControl w:val="0"/>
        <w:spacing w:after="0" w:line="360" w:lineRule="auto"/>
        <w:jc w:val="both"/>
        <w:rPr>
          <w:rFonts w:ascii="Arial" w:hAnsi="Arial" w:cs="Arial"/>
          <w:sz w:val="24"/>
          <w:szCs w:val="24"/>
        </w:rPr>
      </w:pPr>
    </w:p>
    <w:p w:rsidR="00440F22" w:rsidRPr="005E6E31" w:rsidRDefault="00440F22" w:rsidP="003531BA">
      <w:pPr>
        <w:widowControl w:val="0"/>
        <w:spacing w:after="0" w:line="360" w:lineRule="auto"/>
        <w:jc w:val="both"/>
        <w:rPr>
          <w:rFonts w:ascii="Arial" w:hAnsi="Arial" w:cs="Arial"/>
          <w:sz w:val="24"/>
          <w:szCs w:val="24"/>
          <w:u w:val="single"/>
        </w:rPr>
      </w:pPr>
      <w:r>
        <w:rPr>
          <w:rFonts w:ascii="Arial" w:hAnsi="Arial" w:cs="Arial"/>
          <w:sz w:val="24"/>
          <w:szCs w:val="24"/>
          <w:u w:val="single"/>
        </w:rPr>
        <w:t>Puma’s a</w:t>
      </w:r>
      <w:r w:rsidRPr="005E6E31">
        <w:rPr>
          <w:rFonts w:ascii="Arial" w:hAnsi="Arial" w:cs="Arial"/>
          <w:sz w:val="24"/>
          <w:szCs w:val="24"/>
          <w:u w:val="single"/>
        </w:rPr>
        <w:t>dd</w:t>
      </w:r>
      <w:r>
        <w:rPr>
          <w:rFonts w:ascii="Arial" w:hAnsi="Arial" w:cs="Arial"/>
          <w:sz w:val="24"/>
          <w:szCs w:val="24"/>
          <w:u w:val="single"/>
        </w:rPr>
        <w:t>itional submissions on</w:t>
      </w:r>
      <w:r w:rsidRPr="005E6E31">
        <w:rPr>
          <w:rFonts w:ascii="Arial" w:hAnsi="Arial" w:cs="Arial"/>
          <w:sz w:val="24"/>
          <w:szCs w:val="24"/>
          <w:u w:val="single"/>
        </w:rPr>
        <w:t xml:space="preserve"> the point of authority</w:t>
      </w:r>
    </w:p>
    <w:p w:rsidR="00440F22" w:rsidRDefault="00440F22" w:rsidP="003531BA">
      <w:pPr>
        <w:spacing w:after="0" w:line="360" w:lineRule="auto"/>
        <w:jc w:val="both"/>
        <w:rPr>
          <w:rFonts w:ascii="Arial" w:hAnsi="Arial" w:cs="Arial"/>
          <w:sz w:val="24"/>
          <w:szCs w:val="24"/>
        </w:rPr>
      </w:pPr>
    </w:p>
    <w:p w:rsidR="00440F22" w:rsidRDefault="00440F22" w:rsidP="003531BA">
      <w:pPr>
        <w:spacing w:after="0" w:line="360" w:lineRule="auto"/>
        <w:jc w:val="both"/>
        <w:rPr>
          <w:rFonts w:ascii="Arial" w:hAnsi="Arial" w:cs="Arial"/>
          <w:sz w:val="24"/>
          <w:szCs w:val="24"/>
        </w:rPr>
      </w:pPr>
      <w:r>
        <w:rPr>
          <w:rFonts w:ascii="Arial" w:hAnsi="Arial" w:cs="Arial"/>
          <w:sz w:val="24"/>
          <w:szCs w:val="24"/>
        </w:rPr>
        <w:t>[</w:t>
      </w:r>
      <w:r w:rsidR="00195DCD">
        <w:rPr>
          <w:rFonts w:ascii="Arial" w:hAnsi="Arial" w:cs="Arial"/>
          <w:sz w:val="24"/>
          <w:szCs w:val="24"/>
        </w:rPr>
        <w:t>57</w:t>
      </w:r>
      <w:r>
        <w:rPr>
          <w:rFonts w:ascii="Arial" w:hAnsi="Arial" w:cs="Arial"/>
          <w:sz w:val="24"/>
          <w:szCs w:val="24"/>
        </w:rPr>
        <w:t>]</w:t>
      </w:r>
      <w:r>
        <w:rPr>
          <w:rFonts w:ascii="Arial" w:hAnsi="Arial" w:cs="Arial"/>
          <w:sz w:val="24"/>
          <w:szCs w:val="24"/>
        </w:rPr>
        <w:tab/>
        <w:t>Here it should be mentioned that the Commission’s counsel complained during the hearing of this matter that the thrust of Puma’s argument on this score had shifted. At the conclusion of the hearing – and in order to cure any possible prejudice that might have accrued - the court thus directed the parties, by way of its Order of 6 September 2018, to file additional written submission</w:t>
      </w:r>
      <w:r w:rsidR="00B819C6">
        <w:rPr>
          <w:rFonts w:ascii="Arial" w:hAnsi="Arial" w:cs="Arial"/>
          <w:sz w:val="24"/>
          <w:szCs w:val="24"/>
        </w:rPr>
        <w:t>s</w:t>
      </w:r>
      <w:r>
        <w:rPr>
          <w:rFonts w:ascii="Arial" w:hAnsi="Arial" w:cs="Arial"/>
          <w:sz w:val="24"/>
          <w:szCs w:val="24"/>
        </w:rPr>
        <w:t xml:space="preserve"> on this point. Only Puma availed itself of this opportunity.</w:t>
      </w:r>
    </w:p>
    <w:p w:rsidR="00440F22" w:rsidRDefault="00440F22" w:rsidP="003531BA">
      <w:pPr>
        <w:spacing w:after="0" w:line="360" w:lineRule="auto"/>
        <w:jc w:val="both"/>
        <w:rPr>
          <w:rFonts w:ascii="Arial" w:hAnsi="Arial" w:cs="Arial"/>
          <w:sz w:val="24"/>
          <w:szCs w:val="24"/>
        </w:rPr>
      </w:pPr>
    </w:p>
    <w:p w:rsidR="00C4765D" w:rsidRDefault="00440F22" w:rsidP="00C4765D">
      <w:pPr>
        <w:spacing w:after="0" w:line="360" w:lineRule="auto"/>
        <w:jc w:val="both"/>
        <w:rPr>
          <w:rFonts w:ascii="Arial" w:hAnsi="Arial" w:cs="Arial"/>
          <w:sz w:val="24"/>
          <w:szCs w:val="24"/>
        </w:rPr>
      </w:pPr>
      <w:r>
        <w:rPr>
          <w:rFonts w:ascii="Arial" w:hAnsi="Arial" w:cs="Arial"/>
          <w:sz w:val="24"/>
          <w:szCs w:val="24"/>
        </w:rPr>
        <w:t>[</w:t>
      </w:r>
      <w:r w:rsidR="00195DCD">
        <w:rPr>
          <w:rFonts w:ascii="Arial" w:hAnsi="Arial" w:cs="Arial"/>
          <w:sz w:val="24"/>
          <w:szCs w:val="24"/>
        </w:rPr>
        <w:t>58</w:t>
      </w:r>
      <w:r>
        <w:rPr>
          <w:rFonts w:ascii="Arial" w:hAnsi="Arial" w:cs="Arial"/>
          <w:sz w:val="24"/>
          <w:szCs w:val="24"/>
        </w:rPr>
        <w:t>]</w:t>
      </w:r>
      <w:r>
        <w:rPr>
          <w:rFonts w:ascii="Arial" w:hAnsi="Arial" w:cs="Arial"/>
          <w:sz w:val="24"/>
          <w:szCs w:val="24"/>
        </w:rPr>
        <w:tab/>
        <w:t xml:space="preserve">Puma’s additional/amplified submissions, which I quote verbatim, ran as follows </w:t>
      </w:r>
    </w:p>
    <w:p w:rsidR="00C4765D" w:rsidRDefault="00C4765D" w:rsidP="00C4765D">
      <w:pPr>
        <w:spacing w:after="0" w:line="360" w:lineRule="auto"/>
        <w:jc w:val="both"/>
        <w:rPr>
          <w:rFonts w:ascii="Arial" w:hAnsi="Arial" w:cs="Arial"/>
          <w:sz w:val="24"/>
          <w:szCs w:val="24"/>
        </w:rPr>
      </w:pPr>
    </w:p>
    <w:p w:rsidR="00440F22" w:rsidRPr="00C4765D" w:rsidRDefault="00440F22" w:rsidP="00C4765D">
      <w:pPr>
        <w:spacing w:after="0" w:line="360" w:lineRule="auto"/>
        <w:jc w:val="both"/>
        <w:rPr>
          <w:rFonts w:ascii="Arial" w:hAnsi="Arial" w:cs="Arial"/>
          <w:sz w:val="24"/>
          <w:szCs w:val="24"/>
        </w:rPr>
      </w:pPr>
      <w:r>
        <w:rPr>
          <w:rFonts w:ascii="Arial" w:hAnsi="Arial" w:cs="Arial"/>
          <w:b/>
        </w:rPr>
        <w:t>‘</w:t>
      </w:r>
      <w:r w:rsidRPr="00DD3144">
        <w:rPr>
          <w:rFonts w:ascii="Arial" w:hAnsi="Arial" w:cs="Arial"/>
        </w:rPr>
        <w:t>NO</w:t>
      </w:r>
      <w:r w:rsidR="00CF439D" w:rsidRPr="00DD3144">
        <w:rPr>
          <w:rFonts w:ascii="Arial" w:hAnsi="Arial" w:cs="Arial"/>
        </w:rPr>
        <w:t xml:space="preserve"> PROPER DELEGATION OF AUTHORITY</w:t>
      </w:r>
    </w:p>
    <w:p w:rsidR="00195DCD" w:rsidRPr="009829AC" w:rsidRDefault="00195DCD" w:rsidP="003531BA">
      <w:pPr>
        <w:keepNext/>
        <w:spacing w:after="0" w:line="360" w:lineRule="auto"/>
        <w:ind w:firstLine="720"/>
        <w:jc w:val="both"/>
        <w:rPr>
          <w:rFonts w:ascii="Arial" w:hAnsi="Arial" w:cs="Arial"/>
          <w:b/>
        </w:rPr>
      </w:pPr>
    </w:p>
    <w:p w:rsidR="00440F22" w:rsidRPr="009829AC" w:rsidRDefault="00440F22" w:rsidP="003531BA">
      <w:pPr>
        <w:pStyle w:val="ListParagraph"/>
        <w:widowControl/>
        <w:numPr>
          <w:ilvl w:val="0"/>
          <w:numId w:val="3"/>
        </w:numPr>
        <w:tabs>
          <w:tab w:val="clear" w:pos="567"/>
        </w:tabs>
        <w:autoSpaceDE/>
        <w:autoSpaceDN/>
        <w:adjustRightInd/>
        <w:spacing w:line="360" w:lineRule="auto"/>
        <w:ind w:left="0" w:firstLine="0"/>
        <w:jc w:val="both"/>
        <w:rPr>
          <w:rFonts w:cs="Arial"/>
          <w:sz w:val="22"/>
          <w:szCs w:val="22"/>
        </w:rPr>
      </w:pPr>
      <w:r w:rsidRPr="009829AC">
        <w:rPr>
          <w:rFonts w:cs="Arial"/>
          <w:sz w:val="22"/>
          <w:szCs w:val="22"/>
        </w:rPr>
        <w:t>In applying for the warrant, the deponent relied on a delegation of authority</w:t>
      </w:r>
      <w:r w:rsidRPr="009829AC">
        <w:rPr>
          <w:rStyle w:val="FootnoteReference"/>
          <w:rFonts w:cs="Arial"/>
          <w:sz w:val="22"/>
          <w:szCs w:val="22"/>
        </w:rPr>
        <w:footnoteReference w:id="115"/>
      </w:r>
      <w:r w:rsidRPr="009829AC">
        <w:rPr>
          <w:rFonts w:cs="Arial"/>
          <w:sz w:val="22"/>
          <w:szCs w:val="22"/>
        </w:rPr>
        <w:t xml:space="preserve"> attached to the founding affidavit.</w:t>
      </w:r>
      <w:r w:rsidRPr="009829AC">
        <w:rPr>
          <w:rStyle w:val="FootnoteReference"/>
          <w:rFonts w:cs="Arial"/>
          <w:sz w:val="22"/>
          <w:szCs w:val="22"/>
        </w:rPr>
        <w:footnoteReference w:id="116"/>
      </w:r>
      <w:r w:rsidRPr="009829AC">
        <w:rPr>
          <w:rFonts w:cs="Arial"/>
          <w:sz w:val="22"/>
          <w:szCs w:val="22"/>
        </w:rPr>
        <w:t xml:space="preserve">  </w:t>
      </w:r>
    </w:p>
    <w:p w:rsidR="00440F22" w:rsidRPr="009829AC" w:rsidRDefault="00440F22" w:rsidP="003531BA">
      <w:pPr>
        <w:pStyle w:val="ListParagraph"/>
        <w:spacing w:line="360" w:lineRule="auto"/>
        <w:ind w:left="0"/>
        <w:jc w:val="both"/>
        <w:rPr>
          <w:rFonts w:cs="Arial"/>
          <w:sz w:val="22"/>
          <w:szCs w:val="22"/>
        </w:rPr>
      </w:pPr>
    </w:p>
    <w:p w:rsidR="00440F22" w:rsidRPr="009829AC" w:rsidRDefault="00440F22" w:rsidP="003531BA">
      <w:pPr>
        <w:pStyle w:val="ListParagraph"/>
        <w:widowControl/>
        <w:numPr>
          <w:ilvl w:val="0"/>
          <w:numId w:val="3"/>
        </w:numPr>
        <w:tabs>
          <w:tab w:val="clear" w:pos="567"/>
        </w:tabs>
        <w:autoSpaceDE/>
        <w:autoSpaceDN/>
        <w:adjustRightInd/>
        <w:spacing w:line="360" w:lineRule="auto"/>
        <w:ind w:left="0" w:firstLine="0"/>
        <w:jc w:val="both"/>
        <w:rPr>
          <w:rFonts w:cs="Arial"/>
          <w:sz w:val="22"/>
          <w:szCs w:val="22"/>
        </w:rPr>
      </w:pPr>
      <w:r w:rsidRPr="009829AC">
        <w:rPr>
          <w:rFonts w:cs="Arial"/>
          <w:sz w:val="22"/>
          <w:szCs w:val="22"/>
        </w:rPr>
        <w:t>The delegation relied on was a delegation only of the powers of investigation under section 16(1)(</w:t>
      </w:r>
      <w:r w:rsidRPr="009829AC">
        <w:rPr>
          <w:rFonts w:cs="Arial"/>
          <w:i/>
          <w:sz w:val="22"/>
          <w:szCs w:val="22"/>
        </w:rPr>
        <w:t>f</w:t>
      </w:r>
      <w:r w:rsidRPr="009829AC">
        <w:rPr>
          <w:rFonts w:cs="Arial"/>
          <w:sz w:val="22"/>
          <w:szCs w:val="22"/>
        </w:rPr>
        <w:t>) and section 33 of the Competition Act 2 of 2003 (</w:t>
      </w:r>
      <w:r w:rsidRPr="00DD3144">
        <w:rPr>
          <w:rFonts w:cs="Arial"/>
          <w:sz w:val="22"/>
          <w:szCs w:val="22"/>
        </w:rPr>
        <w:t>'the Competition Act'</w:t>
      </w:r>
      <w:r w:rsidRPr="009829AC">
        <w:rPr>
          <w:rFonts w:cs="Arial"/>
          <w:sz w:val="22"/>
          <w:szCs w:val="22"/>
        </w:rPr>
        <w:t>), read with Rule 4 of the Rules in terms of the Competition Act 2 of 2003 (‘</w:t>
      </w:r>
      <w:r w:rsidRPr="00DD3144">
        <w:rPr>
          <w:rFonts w:cs="Arial"/>
          <w:sz w:val="22"/>
          <w:szCs w:val="22"/>
        </w:rPr>
        <w:t>the Commission Rules</w:t>
      </w:r>
      <w:r w:rsidRPr="009829AC">
        <w:rPr>
          <w:rFonts w:cs="Arial"/>
          <w:sz w:val="22"/>
          <w:szCs w:val="22"/>
        </w:rPr>
        <w:t xml:space="preserve">’):  </w:t>
      </w:r>
    </w:p>
    <w:p w:rsidR="00440F22" w:rsidRPr="009829AC" w:rsidRDefault="00440F22" w:rsidP="003531BA">
      <w:pPr>
        <w:pStyle w:val="ListParagraph"/>
        <w:spacing w:line="360" w:lineRule="auto"/>
        <w:rPr>
          <w:rFonts w:cs="Arial"/>
          <w:sz w:val="22"/>
          <w:szCs w:val="22"/>
        </w:rPr>
      </w:pPr>
    </w:p>
    <w:p w:rsidR="00440F22" w:rsidRPr="009829AC" w:rsidRDefault="00440F22" w:rsidP="00195DCD">
      <w:pPr>
        <w:pStyle w:val="ListParagraph"/>
        <w:widowControl/>
        <w:numPr>
          <w:ilvl w:val="1"/>
          <w:numId w:val="3"/>
        </w:numPr>
        <w:tabs>
          <w:tab w:val="clear" w:pos="1134"/>
        </w:tabs>
        <w:autoSpaceDE/>
        <w:autoSpaceDN/>
        <w:adjustRightInd/>
        <w:spacing w:line="360" w:lineRule="auto"/>
        <w:ind w:left="709" w:firstLine="0"/>
        <w:jc w:val="both"/>
        <w:rPr>
          <w:rFonts w:cs="Arial"/>
          <w:sz w:val="22"/>
          <w:szCs w:val="22"/>
        </w:rPr>
      </w:pPr>
      <w:r w:rsidRPr="009829AC">
        <w:rPr>
          <w:rFonts w:cs="Arial"/>
          <w:sz w:val="22"/>
          <w:szCs w:val="22"/>
        </w:rPr>
        <w:t>section 16(1)(</w:t>
      </w:r>
      <w:r w:rsidRPr="009829AC">
        <w:rPr>
          <w:rFonts w:cs="Arial"/>
          <w:i/>
          <w:sz w:val="22"/>
          <w:szCs w:val="22"/>
        </w:rPr>
        <w:t>f</w:t>
      </w:r>
      <w:r w:rsidRPr="009829AC">
        <w:rPr>
          <w:rFonts w:cs="Arial"/>
          <w:sz w:val="22"/>
          <w:szCs w:val="22"/>
        </w:rPr>
        <w:t>) records as one of the functions of the Namibian Competition Commission (‘</w:t>
      </w:r>
      <w:r w:rsidRPr="00DD3144">
        <w:rPr>
          <w:rFonts w:cs="Arial"/>
          <w:sz w:val="22"/>
          <w:szCs w:val="22"/>
        </w:rPr>
        <w:t>the Commission’</w:t>
      </w:r>
      <w:r w:rsidRPr="009829AC">
        <w:rPr>
          <w:rFonts w:cs="Arial"/>
          <w:sz w:val="22"/>
          <w:szCs w:val="22"/>
        </w:rPr>
        <w:t>), the responsibility to investigate contraventions of the Competition Act;</w:t>
      </w:r>
    </w:p>
    <w:p w:rsidR="00440F22" w:rsidRPr="009829AC" w:rsidRDefault="00440F22" w:rsidP="00195DCD">
      <w:pPr>
        <w:pStyle w:val="ListParagraph"/>
        <w:spacing w:line="360" w:lineRule="auto"/>
        <w:ind w:left="709"/>
        <w:jc w:val="both"/>
        <w:rPr>
          <w:rFonts w:cs="Arial"/>
          <w:sz w:val="22"/>
          <w:szCs w:val="22"/>
        </w:rPr>
      </w:pPr>
    </w:p>
    <w:p w:rsidR="00440F22" w:rsidRPr="009829AC" w:rsidRDefault="00440F22" w:rsidP="00195DCD">
      <w:pPr>
        <w:pStyle w:val="ListParagraph"/>
        <w:widowControl/>
        <w:numPr>
          <w:ilvl w:val="1"/>
          <w:numId w:val="3"/>
        </w:numPr>
        <w:tabs>
          <w:tab w:val="clear" w:pos="1134"/>
        </w:tabs>
        <w:autoSpaceDE/>
        <w:autoSpaceDN/>
        <w:adjustRightInd/>
        <w:spacing w:line="360" w:lineRule="auto"/>
        <w:ind w:left="709" w:firstLine="0"/>
        <w:jc w:val="both"/>
        <w:rPr>
          <w:rFonts w:cs="Arial"/>
          <w:sz w:val="22"/>
          <w:szCs w:val="22"/>
        </w:rPr>
      </w:pPr>
      <w:r w:rsidRPr="009829AC">
        <w:rPr>
          <w:rFonts w:cs="Arial"/>
          <w:sz w:val="22"/>
          <w:szCs w:val="22"/>
        </w:rPr>
        <w:t>section 33 deals with the circumstances in which the Commission is entitled to employ its investigative powers;</w:t>
      </w:r>
    </w:p>
    <w:p w:rsidR="00440F22" w:rsidRPr="009829AC" w:rsidRDefault="00440F22" w:rsidP="00195DCD">
      <w:pPr>
        <w:pStyle w:val="ListParagraph"/>
        <w:spacing w:line="360" w:lineRule="auto"/>
        <w:ind w:left="709"/>
        <w:rPr>
          <w:rFonts w:cs="Arial"/>
          <w:sz w:val="22"/>
          <w:szCs w:val="22"/>
        </w:rPr>
      </w:pPr>
    </w:p>
    <w:p w:rsidR="00440F22" w:rsidRPr="009829AC" w:rsidRDefault="00440F22" w:rsidP="00195DCD">
      <w:pPr>
        <w:pStyle w:val="ListParagraph"/>
        <w:widowControl/>
        <w:numPr>
          <w:ilvl w:val="1"/>
          <w:numId w:val="3"/>
        </w:numPr>
        <w:tabs>
          <w:tab w:val="clear" w:pos="1134"/>
        </w:tabs>
        <w:autoSpaceDE/>
        <w:autoSpaceDN/>
        <w:adjustRightInd/>
        <w:spacing w:line="360" w:lineRule="auto"/>
        <w:ind w:left="709" w:firstLine="0"/>
        <w:jc w:val="both"/>
        <w:rPr>
          <w:rFonts w:cs="Arial"/>
          <w:sz w:val="22"/>
          <w:szCs w:val="22"/>
        </w:rPr>
      </w:pPr>
      <w:r w:rsidRPr="009829AC">
        <w:rPr>
          <w:rFonts w:cs="Arial"/>
          <w:sz w:val="22"/>
          <w:szCs w:val="22"/>
        </w:rPr>
        <w:t xml:space="preserve">rule 4 provides for the assignment by the Commission of functions of the Commission to members of staff of the Commission.  </w:t>
      </w:r>
    </w:p>
    <w:p w:rsidR="00440F22" w:rsidRPr="009829AC" w:rsidRDefault="00440F22" w:rsidP="003531BA">
      <w:pPr>
        <w:pStyle w:val="ListParagraph"/>
        <w:spacing w:line="360" w:lineRule="auto"/>
        <w:rPr>
          <w:rFonts w:cs="Arial"/>
          <w:sz w:val="22"/>
          <w:szCs w:val="22"/>
        </w:rPr>
      </w:pPr>
    </w:p>
    <w:p w:rsidR="00440F22" w:rsidRPr="009829AC" w:rsidRDefault="00440F22" w:rsidP="003531BA">
      <w:pPr>
        <w:pStyle w:val="ListParagraph"/>
        <w:widowControl/>
        <w:numPr>
          <w:ilvl w:val="0"/>
          <w:numId w:val="3"/>
        </w:numPr>
        <w:tabs>
          <w:tab w:val="clear" w:pos="567"/>
        </w:tabs>
        <w:autoSpaceDE/>
        <w:autoSpaceDN/>
        <w:adjustRightInd/>
        <w:spacing w:line="360" w:lineRule="auto"/>
        <w:ind w:left="0" w:firstLine="0"/>
        <w:jc w:val="both"/>
        <w:rPr>
          <w:rFonts w:cs="Arial"/>
          <w:sz w:val="22"/>
          <w:szCs w:val="22"/>
        </w:rPr>
      </w:pPr>
      <w:r w:rsidRPr="009829AC">
        <w:rPr>
          <w:rFonts w:cs="Arial"/>
          <w:sz w:val="22"/>
          <w:szCs w:val="22"/>
        </w:rPr>
        <w:t>The powers in sections 16(1)(</w:t>
      </w:r>
      <w:r w:rsidRPr="009829AC">
        <w:rPr>
          <w:rFonts w:cs="Arial"/>
          <w:i/>
          <w:sz w:val="22"/>
          <w:szCs w:val="22"/>
        </w:rPr>
        <w:t>f</w:t>
      </w:r>
      <w:r w:rsidRPr="009829AC">
        <w:rPr>
          <w:rFonts w:cs="Arial"/>
          <w:sz w:val="22"/>
          <w:szCs w:val="22"/>
        </w:rPr>
        <w:t xml:space="preserve">) and 33 are powers of the Commission.  </w:t>
      </w:r>
    </w:p>
    <w:p w:rsidR="00440F22" w:rsidRPr="009829AC" w:rsidRDefault="00440F22" w:rsidP="003531BA">
      <w:pPr>
        <w:pStyle w:val="ListParagraph"/>
        <w:spacing w:line="360" w:lineRule="auto"/>
        <w:ind w:left="0"/>
        <w:jc w:val="both"/>
        <w:rPr>
          <w:rFonts w:cs="Arial"/>
          <w:sz w:val="22"/>
          <w:szCs w:val="22"/>
        </w:rPr>
      </w:pPr>
    </w:p>
    <w:p w:rsidR="00440F22" w:rsidRPr="009829AC" w:rsidRDefault="00440F22" w:rsidP="003531BA">
      <w:pPr>
        <w:pStyle w:val="ListParagraph"/>
        <w:widowControl/>
        <w:numPr>
          <w:ilvl w:val="0"/>
          <w:numId w:val="3"/>
        </w:numPr>
        <w:tabs>
          <w:tab w:val="clear" w:pos="567"/>
        </w:tabs>
        <w:autoSpaceDE/>
        <w:autoSpaceDN/>
        <w:adjustRightInd/>
        <w:spacing w:line="360" w:lineRule="auto"/>
        <w:ind w:left="0" w:firstLine="0"/>
        <w:jc w:val="both"/>
        <w:rPr>
          <w:rFonts w:cs="Arial"/>
          <w:sz w:val="22"/>
          <w:szCs w:val="22"/>
        </w:rPr>
      </w:pPr>
      <w:r w:rsidRPr="009829AC">
        <w:rPr>
          <w:rFonts w:cs="Arial"/>
          <w:sz w:val="22"/>
          <w:szCs w:val="22"/>
        </w:rPr>
        <w:t xml:space="preserve">The application for the warrant that forms the subject-matter of this litigation </w:t>
      </w:r>
      <w:r w:rsidRPr="009829AC">
        <w:rPr>
          <w:rFonts w:cs="Arial"/>
          <w:sz w:val="22"/>
          <w:szCs w:val="22"/>
          <w:u w:val="single"/>
        </w:rPr>
        <w:t>was made in terms of section 34, a section in respect of which no delegation was recorded</w:t>
      </w:r>
      <w:r w:rsidRPr="009829AC">
        <w:rPr>
          <w:rFonts w:cs="Arial"/>
          <w:sz w:val="22"/>
          <w:szCs w:val="22"/>
        </w:rPr>
        <w:t xml:space="preserve">.  In response to the respondent pointing this out, the Commission has sought to argue that the delegation is implied.  However, this submission ignores the fact that section 34 is not concerned with a power vested in the Commission.  </w:t>
      </w:r>
    </w:p>
    <w:p w:rsidR="00440F22" w:rsidRPr="009829AC" w:rsidRDefault="00440F22" w:rsidP="003531BA">
      <w:pPr>
        <w:pStyle w:val="ListParagraph"/>
        <w:spacing w:line="360" w:lineRule="auto"/>
        <w:rPr>
          <w:rFonts w:cs="Arial"/>
          <w:sz w:val="22"/>
          <w:szCs w:val="22"/>
        </w:rPr>
      </w:pPr>
    </w:p>
    <w:p w:rsidR="00440F22" w:rsidRPr="009829AC" w:rsidRDefault="00440F22" w:rsidP="007E4482">
      <w:pPr>
        <w:pStyle w:val="ListParagraph"/>
        <w:widowControl/>
        <w:numPr>
          <w:ilvl w:val="1"/>
          <w:numId w:val="3"/>
        </w:numPr>
        <w:tabs>
          <w:tab w:val="clear" w:pos="1134"/>
        </w:tabs>
        <w:autoSpaceDE/>
        <w:autoSpaceDN/>
        <w:adjustRightInd/>
        <w:spacing w:line="360" w:lineRule="auto"/>
        <w:ind w:left="709" w:firstLine="0"/>
        <w:jc w:val="both"/>
        <w:rPr>
          <w:rFonts w:cs="Arial"/>
          <w:sz w:val="22"/>
          <w:szCs w:val="22"/>
        </w:rPr>
      </w:pPr>
      <w:r w:rsidRPr="009829AC">
        <w:rPr>
          <w:rFonts w:cs="Arial"/>
          <w:sz w:val="22"/>
          <w:szCs w:val="22"/>
        </w:rPr>
        <w:t>Section 34 empowers an ‘</w:t>
      </w:r>
      <w:r w:rsidRPr="009829AC">
        <w:rPr>
          <w:rFonts w:cs="Arial"/>
          <w:i/>
          <w:sz w:val="22"/>
          <w:szCs w:val="22"/>
        </w:rPr>
        <w:t>inspector</w:t>
      </w:r>
      <w:r w:rsidRPr="009829AC">
        <w:rPr>
          <w:rFonts w:cs="Arial"/>
          <w:sz w:val="22"/>
          <w:szCs w:val="22"/>
        </w:rPr>
        <w:t xml:space="preserve">’, </w:t>
      </w:r>
      <w:r w:rsidRPr="009829AC">
        <w:rPr>
          <w:rFonts w:cs="Arial"/>
          <w:i/>
          <w:sz w:val="22"/>
          <w:szCs w:val="22"/>
        </w:rPr>
        <w:t>ie</w:t>
      </w:r>
      <w:r w:rsidRPr="009829AC">
        <w:rPr>
          <w:rFonts w:cs="Arial"/>
          <w:sz w:val="22"/>
          <w:szCs w:val="22"/>
        </w:rPr>
        <w:t xml:space="preserve"> a person designated or appointed in terms of section 14(1) of the Competition Act, to take the actions set out in section 34(1), if a judge issues a warrant for ‘</w:t>
      </w:r>
      <w:r w:rsidRPr="009829AC">
        <w:rPr>
          <w:rFonts w:cs="Arial"/>
          <w:i/>
          <w:sz w:val="22"/>
          <w:szCs w:val="22"/>
        </w:rPr>
        <w:t>an inspector to exercise those powers’</w:t>
      </w:r>
      <w:r w:rsidRPr="009829AC">
        <w:rPr>
          <w:rFonts w:cs="Arial"/>
          <w:sz w:val="22"/>
          <w:szCs w:val="22"/>
        </w:rPr>
        <w:t>.  As section 34(4)(</w:t>
      </w:r>
      <w:r w:rsidRPr="009829AC">
        <w:rPr>
          <w:rFonts w:cs="Arial"/>
          <w:i/>
          <w:sz w:val="22"/>
          <w:szCs w:val="22"/>
        </w:rPr>
        <w:t>b</w:t>
      </w:r>
      <w:r w:rsidRPr="009829AC">
        <w:rPr>
          <w:rFonts w:cs="Arial"/>
          <w:sz w:val="22"/>
          <w:szCs w:val="22"/>
        </w:rPr>
        <w:t>) shows, it is an inspector that is granted the authority, not the Commission.  The Competition Act is unambiguous in vesting the power to apply for a warrant in the inspector.</w:t>
      </w:r>
    </w:p>
    <w:p w:rsidR="00440F22" w:rsidRPr="009829AC" w:rsidRDefault="00440F22" w:rsidP="007E4482">
      <w:pPr>
        <w:pStyle w:val="ListParagraph"/>
        <w:spacing w:line="360" w:lineRule="auto"/>
        <w:ind w:left="709"/>
        <w:jc w:val="both"/>
        <w:rPr>
          <w:rFonts w:cs="Arial"/>
          <w:sz w:val="22"/>
          <w:szCs w:val="22"/>
        </w:rPr>
      </w:pPr>
    </w:p>
    <w:p w:rsidR="00440F22" w:rsidRPr="009829AC" w:rsidRDefault="00440F22" w:rsidP="007E4482">
      <w:pPr>
        <w:pStyle w:val="ListParagraph"/>
        <w:widowControl/>
        <w:numPr>
          <w:ilvl w:val="1"/>
          <w:numId w:val="3"/>
        </w:numPr>
        <w:tabs>
          <w:tab w:val="clear" w:pos="1134"/>
        </w:tabs>
        <w:autoSpaceDE/>
        <w:autoSpaceDN/>
        <w:adjustRightInd/>
        <w:spacing w:line="360" w:lineRule="auto"/>
        <w:ind w:left="709" w:firstLine="0"/>
        <w:jc w:val="both"/>
        <w:rPr>
          <w:rFonts w:cs="Arial"/>
          <w:sz w:val="22"/>
          <w:szCs w:val="22"/>
        </w:rPr>
      </w:pPr>
      <w:r w:rsidRPr="009829AC">
        <w:rPr>
          <w:rFonts w:cs="Arial"/>
          <w:sz w:val="22"/>
          <w:szCs w:val="22"/>
        </w:rPr>
        <w:t xml:space="preserve">The choice of the legislature makes sense.  </w:t>
      </w:r>
    </w:p>
    <w:p w:rsidR="00440F22" w:rsidRPr="009829AC" w:rsidRDefault="00440F22" w:rsidP="007E4482">
      <w:pPr>
        <w:pStyle w:val="ListParagraph"/>
        <w:spacing w:line="360" w:lineRule="auto"/>
        <w:ind w:left="709"/>
        <w:rPr>
          <w:rFonts w:cs="Arial"/>
          <w:sz w:val="22"/>
          <w:szCs w:val="22"/>
        </w:rPr>
      </w:pPr>
    </w:p>
    <w:p w:rsidR="00440F22" w:rsidRPr="009829AC" w:rsidRDefault="00440F22" w:rsidP="007E4482">
      <w:pPr>
        <w:pStyle w:val="ListParagraph"/>
        <w:widowControl/>
        <w:numPr>
          <w:ilvl w:val="1"/>
          <w:numId w:val="3"/>
        </w:numPr>
        <w:tabs>
          <w:tab w:val="clear" w:pos="1134"/>
        </w:tabs>
        <w:autoSpaceDE/>
        <w:autoSpaceDN/>
        <w:adjustRightInd/>
        <w:spacing w:line="360" w:lineRule="auto"/>
        <w:ind w:left="709" w:firstLine="0"/>
        <w:jc w:val="both"/>
        <w:rPr>
          <w:rFonts w:cs="Arial"/>
          <w:sz w:val="22"/>
          <w:szCs w:val="22"/>
        </w:rPr>
      </w:pPr>
      <w:r w:rsidRPr="009829AC">
        <w:rPr>
          <w:rFonts w:cs="Arial"/>
          <w:sz w:val="22"/>
          <w:szCs w:val="22"/>
        </w:rPr>
        <w:lastRenderedPageBreak/>
        <w:t>We submit that the inspector is the party that is authorised under the statute to make application for the issue of the warrant, since the inspector is the person most familiar with the state of the investigation and thus in a position to make out a case to a judge that:</w:t>
      </w:r>
    </w:p>
    <w:p w:rsidR="00440F22" w:rsidRPr="009829AC" w:rsidRDefault="00440F22" w:rsidP="003531BA">
      <w:pPr>
        <w:pStyle w:val="ListParagraph"/>
        <w:spacing w:line="360" w:lineRule="auto"/>
        <w:rPr>
          <w:rFonts w:cs="Arial"/>
          <w:sz w:val="22"/>
          <w:szCs w:val="22"/>
        </w:rPr>
      </w:pPr>
    </w:p>
    <w:p w:rsidR="00440F22" w:rsidRPr="009829AC" w:rsidRDefault="00440F22" w:rsidP="007E4482">
      <w:pPr>
        <w:pStyle w:val="ListParagraph"/>
        <w:widowControl/>
        <w:numPr>
          <w:ilvl w:val="2"/>
          <w:numId w:val="3"/>
        </w:numPr>
        <w:tabs>
          <w:tab w:val="clear" w:pos="1701"/>
        </w:tabs>
        <w:autoSpaceDE/>
        <w:autoSpaceDN/>
        <w:adjustRightInd/>
        <w:spacing w:line="360" w:lineRule="auto"/>
        <w:ind w:left="1418" w:firstLine="0"/>
        <w:jc w:val="both"/>
        <w:rPr>
          <w:rFonts w:cs="Arial"/>
          <w:sz w:val="22"/>
          <w:szCs w:val="22"/>
        </w:rPr>
      </w:pPr>
      <w:r w:rsidRPr="009829AC">
        <w:rPr>
          <w:rFonts w:cs="Arial"/>
          <w:sz w:val="22"/>
          <w:szCs w:val="22"/>
        </w:rPr>
        <w:t>the search and seizure will ultimately assist the Commission to ascertain whether a contravention has taken place, as contemplated in section 34(1) of the Competition Act;</w:t>
      </w:r>
    </w:p>
    <w:p w:rsidR="00440F22" w:rsidRPr="009829AC" w:rsidRDefault="00440F22" w:rsidP="007E4482">
      <w:pPr>
        <w:pStyle w:val="ListParagraph"/>
        <w:spacing w:line="360" w:lineRule="auto"/>
        <w:ind w:left="1418"/>
        <w:jc w:val="both"/>
        <w:rPr>
          <w:rFonts w:cs="Arial"/>
          <w:sz w:val="22"/>
          <w:szCs w:val="22"/>
        </w:rPr>
      </w:pPr>
    </w:p>
    <w:p w:rsidR="00440F22" w:rsidRPr="009829AC" w:rsidRDefault="00440F22" w:rsidP="007E4482">
      <w:pPr>
        <w:pStyle w:val="ListParagraph"/>
        <w:widowControl/>
        <w:numPr>
          <w:ilvl w:val="2"/>
          <w:numId w:val="3"/>
        </w:numPr>
        <w:tabs>
          <w:tab w:val="clear" w:pos="1701"/>
        </w:tabs>
        <w:autoSpaceDE/>
        <w:autoSpaceDN/>
        <w:adjustRightInd/>
        <w:spacing w:line="360" w:lineRule="auto"/>
        <w:ind w:left="1418" w:firstLine="0"/>
        <w:jc w:val="both"/>
        <w:rPr>
          <w:rFonts w:cs="Arial"/>
          <w:sz w:val="22"/>
          <w:szCs w:val="22"/>
        </w:rPr>
      </w:pPr>
      <w:r w:rsidRPr="009829AC">
        <w:rPr>
          <w:rFonts w:cs="Arial"/>
          <w:sz w:val="22"/>
          <w:szCs w:val="22"/>
        </w:rPr>
        <w:t xml:space="preserve">the exercise of the invasive powers is necessary for the determination of that question, as required by section 34(3) of the Competition Act. </w:t>
      </w:r>
    </w:p>
    <w:p w:rsidR="00440F22" w:rsidRPr="009829AC" w:rsidRDefault="00440F22" w:rsidP="003531BA">
      <w:pPr>
        <w:pStyle w:val="ListParagraph"/>
        <w:spacing w:line="360" w:lineRule="auto"/>
        <w:rPr>
          <w:rFonts w:cs="Arial"/>
          <w:sz w:val="22"/>
          <w:szCs w:val="22"/>
        </w:rPr>
      </w:pPr>
    </w:p>
    <w:p w:rsidR="00440F22" w:rsidRPr="009829AC" w:rsidRDefault="00440F22" w:rsidP="007E4482">
      <w:pPr>
        <w:pStyle w:val="ListParagraph"/>
        <w:widowControl/>
        <w:numPr>
          <w:ilvl w:val="1"/>
          <w:numId w:val="3"/>
        </w:numPr>
        <w:tabs>
          <w:tab w:val="clear" w:pos="1134"/>
        </w:tabs>
        <w:autoSpaceDE/>
        <w:autoSpaceDN/>
        <w:adjustRightInd/>
        <w:spacing w:line="360" w:lineRule="auto"/>
        <w:ind w:left="709" w:firstLine="0"/>
        <w:jc w:val="both"/>
        <w:rPr>
          <w:rFonts w:cs="Arial"/>
          <w:sz w:val="22"/>
          <w:szCs w:val="22"/>
        </w:rPr>
      </w:pPr>
      <w:r w:rsidRPr="009829AC">
        <w:rPr>
          <w:rFonts w:cs="Arial"/>
          <w:sz w:val="22"/>
          <w:szCs w:val="22"/>
        </w:rPr>
        <w:t xml:space="preserve">Moreover, section 34 deals with a situation where the exercise of certain investigative actions by an inspector is made subject to judicial oversight and, ultimately, the terms of any warrant issued by this Court.  Search and seizure that follows upon a warrant issued in consequence of a section 34 application does not constitute the exercise of powers vested in the Commission, but the exercise of a power vested in an investigator who was authorised to exercise such power.   </w:t>
      </w:r>
    </w:p>
    <w:p w:rsidR="00440F22" w:rsidRPr="009829AC" w:rsidRDefault="00440F22" w:rsidP="003531BA">
      <w:pPr>
        <w:pStyle w:val="ListParagraph"/>
        <w:spacing w:line="360" w:lineRule="auto"/>
        <w:ind w:left="0"/>
        <w:jc w:val="both"/>
        <w:rPr>
          <w:rFonts w:cs="Arial"/>
          <w:sz w:val="22"/>
          <w:szCs w:val="22"/>
        </w:rPr>
      </w:pPr>
    </w:p>
    <w:p w:rsidR="00440F22" w:rsidRPr="009829AC" w:rsidRDefault="00440F22" w:rsidP="003531BA">
      <w:pPr>
        <w:pStyle w:val="ListParagraph"/>
        <w:widowControl/>
        <w:numPr>
          <w:ilvl w:val="0"/>
          <w:numId w:val="3"/>
        </w:numPr>
        <w:tabs>
          <w:tab w:val="clear" w:pos="567"/>
        </w:tabs>
        <w:autoSpaceDE/>
        <w:autoSpaceDN/>
        <w:adjustRightInd/>
        <w:spacing w:line="360" w:lineRule="auto"/>
        <w:ind w:left="0" w:firstLine="0"/>
        <w:jc w:val="both"/>
        <w:rPr>
          <w:rFonts w:cs="Arial"/>
          <w:sz w:val="22"/>
          <w:szCs w:val="22"/>
        </w:rPr>
      </w:pPr>
      <w:r w:rsidRPr="009829AC">
        <w:rPr>
          <w:rFonts w:cs="Arial"/>
          <w:sz w:val="22"/>
          <w:szCs w:val="22"/>
        </w:rPr>
        <w:t>What is patently clear is that section 34 does not vest any power in the Commission.  In this regard it is different from section 16(1)(</w:t>
      </w:r>
      <w:r w:rsidRPr="009829AC">
        <w:rPr>
          <w:rFonts w:cs="Arial"/>
          <w:i/>
          <w:sz w:val="22"/>
          <w:szCs w:val="22"/>
        </w:rPr>
        <w:t>f</w:t>
      </w:r>
      <w:r w:rsidRPr="009829AC">
        <w:rPr>
          <w:rFonts w:cs="Arial"/>
          <w:sz w:val="22"/>
          <w:szCs w:val="22"/>
        </w:rPr>
        <w:t xml:space="preserve">) and section 33, which expressly confer certain investigative powers on the Commission, as discussed above. Section 34 is also distinguishable, for example, from section 35(1), where the power to receive evidence is given to the Commission, as opposed to an inspector.  The ancillary powers described in section 35 are similarly assigned to the Commission, and not to inspectors.  It is different also from section 36, which directs the Commission to give notice of the outcome of its investigations, and not an inspector.  The same distinguishing factor is to be found in section 37 (under which the Commission may receive oral representations), section 38 (institution of proceedings by the Commission), section 39 (power of the Commission to make application for interim relief to the High Court), section 40 (power of the Commission to enter into a consent agreement) and the like.   </w:t>
      </w:r>
    </w:p>
    <w:p w:rsidR="00440F22" w:rsidRPr="009829AC" w:rsidRDefault="00440F22" w:rsidP="003531BA">
      <w:pPr>
        <w:pStyle w:val="ListParagraph"/>
        <w:spacing w:line="360" w:lineRule="auto"/>
        <w:ind w:left="0"/>
        <w:jc w:val="both"/>
        <w:rPr>
          <w:rFonts w:cs="Arial"/>
          <w:sz w:val="22"/>
          <w:szCs w:val="22"/>
        </w:rPr>
      </w:pPr>
    </w:p>
    <w:p w:rsidR="00440F22" w:rsidRPr="009829AC" w:rsidRDefault="00440F22" w:rsidP="007E4482">
      <w:pPr>
        <w:pStyle w:val="ListParagraph"/>
        <w:widowControl/>
        <w:numPr>
          <w:ilvl w:val="1"/>
          <w:numId w:val="3"/>
        </w:numPr>
        <w:tabs>
          <w:tab w:val="clear" w:pos="1134"/>
        </w:tabs>
        <w:autoSpaceDE/>
        <w:autoSpaceDN/>
        <w:adjustRightInd/>
        <w:spacing w:line="360" w:lineRule="auto"/>
        <w:ind w:left="709" w:firstLine="0"/>
        <w:jc w:val="both"/>
        <w:rPr>
          <w:rFonts w:cs="Arial"/>
          <w:sz w:val="22"/>
          <w:szCs w:val="22"/>
        </w:rPr>
      </w:pPr>
      <w:r w:rsidRPr="009829AC">
        <w:rPr>
          <w:rFonts w:cs="Arial"/>
          <w:sz w:val="22"/>
          <w:szCs w:val="22"/>
        </w:rPr>
        <w:t>What</w:t>
      </w:r>
      <w:r w:rsidRPr="009829AC">
        <w:rPr>
          <w:rFonts w:cs="Arial"/>
          <w:sz w:val="22"/>
          <w:szCs w:val="22"/>
          <w:u w:val="single"/>
        </w:rPr>
        <w:t xml:space="preserve"> is evident from a consideration of the various sections, is that the legislature made a choice.  A careful distinction was drawn between the various powers vested in the Commission and the power to apply for a warrant, vested in an investigator.</w:t>
      </w:r>
      <w:r w:rsidRPr="009829AC">
        <w:rPr>
          <w:rFonts w:cs="Arial"/>
          <w:sz w:val="22"/>
          <w:szCs w:val="22"/>
        </w:rPr>
        <w:t xml:space="preserve"> </w:t>
      </w:r>
    </w:p>
    <w:p w:rsidR="00440F22" w:rsidRPr="009829AC" w:rsidRDefault="00440F22" w:rsidP="007E4482">
      <w:pPr>
        <w:pStyle w:val="ListParagraph"/>
        <w:spacing w:line="360" w:lineRule="auto"/>
        <w:ind w:left="709"/>
        <w:jc w:val="both"/>
        <w:rPr>
          <w:rFonts w:cs="Arial"/>
          <w:sz w:val="22"/>
          <w:szCs w:val="22"/>
        </w:rPr>
      </w:pPr>
      <w:r w:rsidRPr="009829AC">
        <w:rPr>
          <w:rFonts w:cs="Arial"/>
          <w:sz w:val="22"/>
          <w:szCs w:val="22"/>
        </w:rPr>
        <w:t xml:space="preserve"> </w:t>
      </w:r>
    </w:p>
    <w:p w:rsidR="00440F22" w:rsidRPr="009829AC" w:rsidRDefault="00440F22" w:rsidP="007E4482">
      <w:pPr>
        <w:pStyle w:val="ListParagraph"/>
        <w:widowControl/>
        <w:numPr>
          <w:ilvl w:val="1"/>
          <w:numId w:val="3"/>
        </w:numPr>
        <w:tabs>
          <w:tab w:val="clear" w:pos="1134"/>
        </w:tabs>
        <w:autoSpaceDE/>
        <w:autoSpaceDN/>
        <w:adjustRightInd/>
        <w:spacing w:line="360" w:lineRule="auto"/>
        <w:ind w:left="709" w:firstLine="0"/>
        <w:jc w:val="both"/>
        <w:rPr>
          <w:rFonts w:cs="Arial"/>
          <w:sz w:val="22"/>
          <w:szCs w:val="22"/>
        </w:rPr>
      </w:pPr>
      <w:r w:rsidRPr="009829AC">
        <w:rPr>
          <w:rFonts w:cs="Arial"/>
          <w:color w:val="000000" w:themeColor="text1"/>
          <w:sz w:val="22"/>
          <w:szCs w:val="22"/>
          <w:lang w:val="en-ZA"/>
        </w:rPr>
        <w:lastRenderedPageBreak/>
        <w:t xml:space="preserve">In </w:t>
      </w:r>
      <w:r w:rsidRPr="009829AC">
        <w:rPr>
          <w:rFonts w:cs="Arial"/>
          <w:color w:val="000000" w:themeColor="text1"/>
          <w:sz w:val="22"/>
          <w:szCs w:val="22"/>
          <w:u w:val="single"/>
          <w:lang w:val="en-ZA"/>
        </w:rPr>
        <w:t>statutory interpretation, words should be given their ordinary and grammatical meaning,</w:t>
      </w:r>
      <w:r w:rsidRPr="009829AC">
        <w:rPr>
          <w:rStyle w:val="FootnoteReference"/>
          <w:rFonts w:cs="Arial"/>
          <w:color w:val="000000" w:themeColor="text1"/>
          <w:sz w:val="22"/>
          <w:szCs w:val="22"/>
          <w:u w:val="single"/>
          <w:lang w:val="en-ZA"/>
        </w:rPr>
        <w:footnoteReference w:id="117"/>
      </w:r>
      <w:r w:rsidRPr="009829AC">
        <w:rPr>
          <w:rFonts w:cs="Arial"/>
          <w:color w:val="000000" w:themeColor="text1"/>
          <w:sz w:val="22"/>
          <w:szCs w:val="22"/>
          <w:u w:val="single"/>
          <w:lang w:val="en-ZA"/>
        </w:rPr>
        <w:t xml:space="preserve"> unless it would lead to '</w:t>
      </w:r>
      <w:r w:rsidRPr="009829AC">
        <w:rPr>
          <w:rFonts w:cs="Arial"/>
          <w:i/>
          <w:color w:val="000000" w:themeColor="text1"/>
          <w:sz w:val="22"/>
          <w:szCs w:val="22"/>
          <w:u w:val="single"/>
          <w:lang w:val="en-ZA"/>
        </w:rPr>
        <w:t>absurdity or a result which is unjust, unreasonable or inconsistent with other provisions, or repugnant to the general object, tenor or policy of the statute</w:t>
      </w:r>
      <w:r w:rsidRPr="009829AC">
        <w:rPr>
          <w:rFonts w:cs="Arial"/>
          <w:color w:val="000000" w:themeColor="text1"/>
          <w:sz w:val="22"/>
          <w:szCs w:val="22"/>
          <w:u w:val="single"/>
          <w:lang w:val="en-ZA"/>
        </w:rPr>
        <w:t>'.</w:t>
      </w:r>
      <w:r w:rsidRPr="009829AC">
        <w:rPr>
          <w:rStyle w:val="FootnoteReference"/>
          <w:rFonts w:cs="Arial"/>
          <w:color w:val="000000" w:themeColor="text1"/>
          <w:sz w:val="22"/>
          <w:szCs w:val="22"/>
          <w:u w:val="single"/>
          <w:lang w:val="en-ZA"/>
        </w:rPr>
        <w:footnoteReference w:id="118"/>
      </w:r>
      <w:r w:rsidRPr="009829AC">
        <w:rPr>
          <w:rFonts w:cs="Arial"/>
          <w:color w:val="000000" w:themeColor="text1"/>
          <w:sz w:val="22"/>
          <w:szCs w:val="22"/>
          <w:u w:val="single"/>
          <w:lang w:val="en-ZA"/>
        </w:rPr>
        <w:t xml:space="preserve"> Furthermore, intelligibility of language requires consistency.</w:t>
      </w:r>
      <w:r w:rsidRPr="009829AC">
        <w:rPr>
          <w:rStyle w:val="FootnoteReference"/>
          <w:rFonts w:cs="Arial"/>
          <w:color w:val="000000" w:themeColor="text1"/>
          <w:sz w:val="22"/>
          <w:szCs w:val="22"/>
          <w:u w:val="single"/>
          <w:lang w:val="en-ZA"/>
        </w:rPr>
        <w:footnoteReference w:id="119"/>
      </w:r>
      <w:r w:rsidRPr="009829AC">
        <w:rPr>
          <w:rFonts w:cs="Arial"/>
          <w:color w:val="000000" w:themeColor="text1"/>
          <w:sz w:val="22"/>
          <w:szCs w:val="22"/>
          <w:u w:val="single"/>
          <w:lang w:val="en-ZA"/>
        </w:rPr>
        <w:t xml:space="preserve">  Where there is a manifest change in phraseology or terminology, it may be assumed that this imports a change in the intention on the part of the legislature.</w:t>
      </w:r>
      <w:r w:rsidRPr="009829AC">
        <w:rPr>
          <w:rStyle w:val="FootnoteReference"/>
          <w:rFonts w:cs="Arial"/>
          <w:color w:val="000000" w:themeColor="text1"/>
          <w:sz w:val="22"/>
          <w:szCs w:val="22"/>
          <w:lang w:val="en-ZA"/>
        </w:rPr>
        <w:footnoteReference w:id="120"/>
      </w:r>
      <w:r w:rsidRPr="009829AC">
        <w:rPr>
          <w:rFonts w:cs="Arial"/>
          <w:color w:val="000000" w:themeColor="text1"/>
          <w:sz w:val="22"/>
          <w:szCs w:val="22"/>
          <w:lang w:val="en-ZA"/>
        </w:rPr>
        <w:t xml:space="preserve">  </w:t>
      </w:r>
    </w:p>
    <w:p w:rsidR="00440F22" w:rsidRPr="009829AC" w:rsidRDefault="00440F22" w:rsidP="007E4482">
      <w:pPr>
        <w:pStyle w:val="ListParagraph"/>
        <w:spacing w:line="360" w:lineRule="auto"/>
        <w:ind w:left="709"/>
        <w:rPr>
          <w:rFonts w:cs="Arial"/>
          <w:sz w:val="22"/>
          <w:szCs w:val="22"/>
        </w:rPr>
      </w:pPr>
    </w:p>
    <w:p w:rsidR="00440F22" w:rsidRPr="009829AC" w:rsidRDefault="00440F22" w:rsidP="007E4482">
      <w:pPr>
        <w:pStyle w:val="level1"/>
        <w:numPr>
          <w:ilvl w:val="1"/>
          <w:numId w:val="3"/>
        </w:numPr>
        <w:tabs>
          <w:tab w:val="clear" w:pos="1134"/>
        </w:tabs>
        <w:spacing w:after="0" w:line="360" w:lineRule="auto"/>
        <w:ind w:left="709" w:firstLine="0"/>
        <w:jc w:val="both"/>
        <w:rPr>
          <w:rFonts w:ascii="Arial" w:eastAsiaTheme="minorHAnsi" w:hAnsi="Arial" w:cs="Arial"/>
          <w:color w:val="1B1919"/>
          <w:sz w:val="22"/>
          <w:szCs w:val="22"/>
          <w:u w:val="single"/>
        </w:rPr>
      </w:pPr>
      <w:r w:rsidRPr="009829AC">
        <w:rPr>
          <w:rFonts w:ascii="Arial" w:hAnsi="Arial" w:cs="Arial"/>
          <w:color w:val="000000" w:themeColor="text1"/>
          <w:sz w:val="22"/>
          <w:szCs w:val="22"/>
          <w:u w:val="single"/>
        </w:rPr>
        <w:t>Legislation confers powers on named officers ('</w:t>
      </w:r>
      <w:r w:rsidRPr="009829AC">
        <w:rPr>
          <w:rFonts w:ascii="Arial" w:hAnsi="Arial" w:cs="Arial"/>
          <w:i/>
          <w:color w:val="000000" w:themeColor="text1"/>
          <w:sz w:val="22"/>
          <w:szCs w:val="22"/>
          <w:u w:val="single"/>
        </w:rPr>
        <w:t>the Secretary</w:t>
      </w:r>
      <w:r w:rsidRPr="009829AC">
        <w:rPr>
          <w:rFonts w:ascii="Arial" w:hAnsi="Arial" w:cs="Arial"/>
          <w:color w:val="000000" w:themeColor="text1"/>
          <w:sz w:val="22"/>
          <w:szCs w:val="22"/>
          <w:u w:val="single"/>
        </w:rPr>
        <w:t>' or ‘</w:t>
      </w:r>
      <w:r w:rsidRPr="009829AC">
        <w:rPr>
          <w:rFonts w:ascii="Arial" w:hAnsi="Arial" w:cs="Arial"/>
          <w:i/>
          <w:color w:val="000000" w:themeColor="text1"/>
          <w:sz w:val="22"/>
          <w:szCs w:val="22"/>
          <w:u w:val="single"/>
        </w:rPr>
        <w:t>an inspector’</w:t>
      </w:r>
      <w:r w:rsidRPr="009829AC">
        <w:rPr>
          <w:rFonts w:ascii="Arial" w:hAnsi="Arial" w:cs="Arial"/>
          <w:color w:val="000000" w:themeColor="text1"/>
          <w:sz w:val="22"/>
          <w:szCs w:val="22"/>
          <w:u w:val="single"/>
        </w:rPr>
        <w:t>) or bodies ('</w:t>
      </w:r>
      <w:r w:rsidRPr="009829AC">
        <w:rPr>
          <w:rFonts w:ascii="Arial" w:hAnsi="Arial" w:cs="Arial"/>
          <w:i/>
          <w:color w:val="000000" w:themeColor="text1"/>
          <w:sz w:val="22"/>
          <w:szCs w:val="22"/>
          <w:u w:val="single"/>
        </w:rPr>
        <w:t>the Commission</w:t>
      </w:r>
      <w:r w:rsidRPr="009829AC">
        <w:rPr>
          <w:rFonts w:ascii="Arial" w:hAnsi="Arial" w:cs="Arial"/>
          <w:color w:val="000000" w:themeColor="text1"/>
          <w:sz w:val="22"/>
          <w:szCs w:val="22"/>
          <w:u w:val="single"/>
        </w:rPr>
        <w:t>').  Specific offices or institutions are intended and they have to be identified by reference to the definitions or descriptions in the empowering legislation.  When power is conferred upon an office or statutory body it is intended that the power should be exercised by that office or body and no one else:</w:t>
      </w:r>
      <w:r w:rsidRPr="009829AC">
        <w:rPr>
          <w:rStyle w:val="FootnoteReference"/>
          <w:rFonts w:ascii="Arial" w:hAnsi="Arial" w:cs="Arial"/>
          <w:color w:val="000000" w:themeColor="text1"/>
          <w:sz w:val="22"/>
          <w:szCs w:val="22"/>
          <w:u w:val="single"/>
        </w:rPr>
        <w:footnoteReference w:id="121"/>
      </w:r>
      <w:r w:rsidRPr="009829AC">
        <w:rPr>
          <w:rFonts w:ascii="Arial" w:hAnsi="Arial" w:cs="Arial"/>
          <w:color w:val="000000" w:themeColor="text1"/>
          <w:sz w:val="22"/>
          <w:szCs w:val="22"/>
          <w:u w:val="single"/>
        </w:rPr>
        <w:t xml:space="preserve"> </w:t>
      </w:r>
    </w:p>
    <w:p w:rsidR="00440F22" w:rsidRPr="009829AC" w:rsidRDefault="00440F22" w:rsidP="003531BA">
      <w:pPr>
        <w:pStyle w:val="level1"/>
        <w:spacing w:after="0" w:line="360" w:lineRule="auto"/>
        <w:jc w:val="both"/>
        <w:rPr>
          <w:rFonts w:ascii="Arial" w:eastAsiaTheme="minorHAnsi" w:hAnsi="Arial" w:cs="Arial"/>
          <w:color w:val="1B1919"/>
          <w:sz w:val="22"/>
          <w:szCs w:val="22"/>
        </w:rPr>
      </w:pPr>
      <w:r w:rsidRPr="009829AC">
        <w:rPr>
          <w:rFonts w:ascii="Arial" w:hAnsi="Arial" w:cs="Arial"/>
          <w:color w:val="000000" w:themeColor="text1"/>
          <w:sz w:val="22"/>
          <w:szCs w:val="22"/>
        </w:rPr>
        <w:t xml:space="preserve"> </w:t>
      </w:r>
    </w:p>
    <w:p w:rsidR="00440F22" w:rsidRPr="009829AC" w:rsidRDefault="00440F22" w:rsidP="007E4482">
      <w:pPr>
        <w:pStyle w:val="level1"/>
        <w:spacing w:after="0" w:line="360" w:lineRule="auto"/>
        <w:ind w:left="709"/>
        <w:jc w:val="both"/>
        <w:rPr>
          <w:rFonts w:ascii="Arial" w:eastAsiaTheme="minorHAnsi" w:hAnsi="Arial" w:cs="Arial"/>
          <w:color w:val="1B1919"/>
          <w:sz w:val="22"/>
          <w:szCs w:val="22"/>
        </w:rPr>
      </w:pPr>
      <w:r w:rsidRPr="009829AC">
        <w:rPr>
          <w:rFonts w:ascii="Arial" w:eastAsiaTheme="minorHAnsi" w:hAnsi="Arial" w:cs="Arial"/>
          <w:color w:val="1B1919"/>
          <w:sz w:val="22"/>
          <w:szCs w:val="22"/>
        </w:rPr>
        <w:t xml:space="preserve">'Power must be exercised in a lawful way in a constitutional state. This requires that it must be exercised by the </w:t>
      </w:r>
      <w:r w:rsidRPr="009829AC">
        <w:rPr>
          <w:rFonts w:ascii="Arial" w:eastAsiaTheme="minorHAnsi" w:hAnsi="Arial" w:cs="Arial"/>
          <w:color w:val="1B1919"/>
          <w:sz w:val="22"/>
          <w:szCs w:val="22"/>
          <w:u w:val="single"/>
        </w:rPr>
        <w:t>authority upon whom it is conferred</w:t>
      </w:r>
      <w:r w:rsidRPr="009829AC">
        <w:rPr>
          <w:rFonts w:ascii="Arial" w:eastAsiaTheme="minorHAnsi" w:hAnsi="Arial" w:cs="Arial"/>
          <w:color w:val="1B1919"/>
          <w:sz w:val="22"/>
          <w:szCs w:val="22"/>
        </w:rPr>
        <w:t xml:space="preserve">. Unauthorised delegation is administratively invalid because it constitutes a usurpation of parliamentary legislative authority.  In a sense </w:t>
      </w:r>
      <w:r w:rsidRPr="009829AC">
        <w:rPr>
          <w:rFonts w:ascii="Arial" w:eastAsiaTheme="minorHAnsi" w:hAnsi="Arial" w:cs="Arial"/>
          <w:color w:val="1B1919"/>
          <w:sz w:val="22"/>
          <w:szCs w:val="22"/>
          <w:u w:val="single"/>
        </w:rPr>
        <w:t>unlawful delegation is an abdication of power, which cannot be tolerated in a constitutional state</w:t>
      </w:r>
      <w:r w:rsidRPr="009829AC">
        <w:rPr>
          <w:rFonts w:ascii="Arial" w:eastAsiaTheme="minorHAnsi" w:hAnsi="Arial" w:cs="Arial"/>
          <w:color w:val="1B1919"/>
          <w:sz w:val="22"/>
          <w:szCs w:val="22"/>
        </w:rPr>
        <w:t>.'</w:t>
      </w:r>
      <w:r w:rsidRPr="009829AC">
        <w:rPr>
          <w:rStyle w:val="FootnoteReference"/>
          <w:rFonts w:ascii="Arial" w:eastAsiaTheme="minorHAnsi" w:hAnsi="Arial" w:cs="Arial"/>
          <w:color w:val="1B1919"/>
          <w:sz w:val="22"/>
          <w:szCs w:val="22"/>
        </w:rPr>
        <w:footnoteReference w:id="122"/>
      </w:r>
    </w:p>
    <w:p w:rsidR="00440F22" w:rsidRPr="009829AC" w:rsidRDefault="00440F22" w:rsidP="003531BA">
      <w:pPr>
        <w:pStyle w:val="level1"/>
        <w:spacing w:after="0" w:line="360" w:lineRule="auto"/>
        <w:jc w:val="both"/>
        <w:rPr>
          <w:rFonts w:ascii="Arial" w:hAnsi="Arial" w:cs="Arial"/>
          <w:color w:val="000000" w:themeColor="text1"/>
          <w:sz w:val="22"/>
          <w:szCs w:val="22"/>
        </w:rPr>
      </w:pPr>
    </w:p>
    <w:p w:rsidR="00E153E7" w:rsidRDefault="00440F22" w:rsidP="00C4765D">
      <w:pPr>
        <w:pStyle w:val="level1"/>
        <w:numPr>
          <w:ilvl w:val="1"/>
          <w:numId w:val="3"/>
        </w:numPr>
        <w:tabs>
          <w:tab w:val="clear" w:pos="1134"/>
        </w:tabs>
        <w:spacing w:after="0" w:line="360" w:lineRule="auto"/>
        <w:ind w:left="0" w:firstLine="0"/>
        <w:jc w:val="both"/>
        <w:rPr>
          <w:rFonts w:ascii="Arial" w:hAnsi="Arial" w:cs="Arial"/>
          <w:color w:val="000000" w:themeColor="text1"/>
          <w:sz w:val="22"/>
          <w:szCs w:val="22"/>
          <w:u w:val="single"/>
        </w:rPr>
      </w:pPr>
      <w:r w:rsidRPr="009829AC">
        <w:rPr>
          <w:rFonts w:ascii="Arial" w:hAnsi="Arial" w:cs="Arial"/>
          <w:color w:val="000000" w:themeColor="text1"/>
          <w:sz w:val="22"/>
          <w:szCs w:val="22"/>
          <w:u w:val="single"/>
        </w:rPr>
        <w:t xml:space="preserve">If someone else purports to exercise the power, that act is </w:t>
      </w:r>
      <w:r w:rsidRPr="009829AC">
        <w:rPr>
          <w:rFonts w:ascii="Arial" w:hAnsi="Arial" w:cs="Arial"/>
          <w:i/>
          <w:color w:val="000000" w:themeColor="text1"/>
          <w:sz w:val="22"/>
          <w:szCs w:val="22"/>
          <w:u w:val="single"/>
        </w:rPr>
        <w:t>ultra vires</w:t>
      </w:r>
      <w:r w:rsidRPr="009829AC">
        <w:rPr>
          <w:rFonts w:ascii="Arial" w:hAnsi="Arial" w:cs="Arial"/>
          <w:color w:val="000000" w:themeColor="text1"/>
          <w:sz w:val="22"/>
          <w:szCs w:val="22"/>
          <w:u w:val="single"/>
        </w:rPr>
        <w:t xml:space="preserve"> and invalid.</w:t>
      </w:r>
      <w:r w:rsidRPr="009829AC">
        <w:rPr>
          <w:rStyle w:val="FootnoteReference"/>
          <w:rFonts w:ascii="Arial" w:hAnsi="Arial" w:cs="Arial"/>
          <w:color w:val="000000" w:themeColor="text1"/>
          <w:sz w:val="22"/>
          <w:szCs w:val="22"/>
          <w:u w:val="single"/>
        </w:rPr>
        <w:footnoteReference w:id="123"/>
      </w:r>
      <w:r w:rsidRPr="009829AC">
        <w:rPr>
          <w:rFonts w:ascii="Arial" w:hAnsi="Arial" w:cs="Arial"/>
          <w:color w:val="000000" w:themeColor="text1"/>
          <w:sz w:val="22"/>
          <w:szCs w:val="22"/>
          <w:u w:val="single"/>
        </w:rPr>
        <w:t xml:space="preserve">  This is so because the recipient of the power is chosen for a purpose.  </w:t>
      </w:r>
    </w:p>
    <w:p w:rsidR="00440F22" w:rsidRPr="009829AC" w:rsidRDefault="00440F22" w:rsidP="00E153E7">
      <w:pPr>
        <w:pStyle w:val="level1"/>
        <w:spacing w:after="0" w:line="360" w:lineRule="auto"/>
        <w:jc w:val="both"/>
        <w:rPr>
          <w:rFonts w:ascii="Arial" w:hAnsi="Arial" w:cs="Arial"/>
          <w:color w:val="000000" w:themeColor="text1"/>
          <w:sz w:val="22"/>
          <w:szCs w:val="22"/>
          <w:u w:val="single"/>
        </w:rPr>
      </w:pPr>
      <w:r w:rsidRPr="009829AC">
        <w:rPr>
          <w:rFonts w:ascii="Arial" w:hAnsi="Arial" w:cs="Arial"/>
          <w:color w:val="000000" w:themeColor="text1"/>
          <w:sz w:val="22"/>
          <w:szCs w:val="22"/>
          <w:u w:val="single"/>
        </w:rPr>
        <w:lastRenderedPageBreak/>
        <w:t xml:space="preserve">Should he allow that power to be exercised by someone who was not chosen, he will have </w:t>
      </w:r>
      <w:proofErr w:type="gramStart"/>
      <w:r w:rsidRPr="009829AC">
        <w:rPr>
          <w:rFonts w:ascii="Arial" w:hAnsi="Arial" w:cs="Arial"/>
          <w:color w:val="000000" w:themeColor="text1"/>
          <w:sz w:val="22"/>
          <w:szCs w:val="22"/>
          <w:u w:val="single"/>
        </w:rPr>
        <w:t>abdicated</w:t>
      </w:r>
      <w:proofErr w:type="gramEnd"/>
      <w:r w:rsidRPr="009829AC">
        <w:rPr>
          <w:rFonts w:ascii="Arial" w:hAnsi="Arial" w:cs="Arial"/>
          <w:color w:val="000000" w:themeColor="text1"/>
          <w:sz w:val="22"/>
          <w:szCs w:val="22"/>
          <w:u w:val="single"/>
        </w:rPr>
        <w:t xml:space="preserve"> his power and will not have complied with the legislation.</w:t>
      </w:r>
      <w:r w:rsidRPr="009829AC">
        <w:rPr>
          <w:rStyle w:val="FootnoteReference"/>
          <w:rFonts w:ascii="Arial" w:hAnsi="Arial" w:cs="Arial"/>
          <w:color w:val="000000" w:themeColor="text1"/>
          <w:sz w:val="22"/>
          <w:szCs w:val="22"/>
          <w:u w:val="single"/>
        </w:rPr>
        <w:footnoteReference w:id="124"/>
      </w:r>
      <w:r w:rsidRPr="009829AC">
        <w:rPr>
          <w:rFonts w:ascii="Arial" w:hAnsi="Arial" w:cs="Arial"/>
          <w:color w:val="000000" w:themeColor="text1"/>
          <w:sz w:val="22"/>
          <w:szCs w:val="22"/>
          <w:u w:val="single"/>
        </w:rPr>
        <w:t xml:space="preserve">  </w:t>
      </w:r>
    </w:p>
    <w:p w:rsidR="00440F22" w:rsidRPr="009829AC" w:rsidRDefault="00440F22" w:rsidP="003531BA">
      <w:pPr>
        <w:pStyle w:val="level1"/>
        <w:spacing w:after="0" w:line="360" w:lineRule="auto"/>
        <w:jc w:val="both"/>
        <w:rPr>
          <w:rFonts w:ascii="Arial" w:hAnsi="Arial" w:cs="Arial"/>
          <w:color w:val="000000" w:themeColor="text1"/>
          <w:sz w:val="22"/>
          <w:szCs w:val="22"/>
          <w:u w:val="single"/>
        </w:rPr>
      </w:pPr>
    </w:p>
    <w:p w:rsidR="00440F22" w:rsidRPr="009829AC" w:rsidRDefault="00440F22" w:rsidP="003531BA">
      <w:pPr>
        <w:pStyle w:val="ListParagraph"/>
        <w:widowControl/>
        <w:numPr>
          <w:ilvl w:val="0"/>
          <w:numId w:val="3"/>
        </w:numPr>
        <w:tabs>
          <w:tab w:val="clear" w:pos="567"/>
        </w:tabs>
        <w:autoSpaceDE/>
        <w:autoSpaceDN/>
        <w:adjustRightInd/>
        <w:spacing w:line="360" w:lineRule="auto"/>
        <w:ind w:left="0" w:firstLine="0"/>
        <w:contextualSpacing/>
        <w:jc w:val="both"/>
        <w:rPr>
          <w:rFonts w:cs="Arial"/>
          <w:sz w:val="22"/>
          <w:szCs w:val="22"/>
          <w:u w:val="single"/>
        </w:rPr>
      </w:pPr>
      <w:r w:rsidRPr="009829AC">
        <w:rPr>
          <w:rFonts w:cs="Arial"/>
          <w:sz w:val="22"/>
          <w:szCs w:val="22"/>
          <w:u w:val="single"/>
        </w:rPr>
        <w:t xml:space="preserve">Not only is the statute clear in its distinction between the powers vested in the Commission, and the power to apply for a warrant that is vested in the investigator; the language used in the delegation was also carefully chosen, we submit for the same reason.  The delegation was expressly confined to a delegation of powers vested in the Commission.  The delegation did not purport to delegate any powers under section 34, precisely because the Commission must have appreciated that those powers were vested in investigators, and therefore not capable of delegation by the Commission.  </w:t>
      </w:r>
    </w:p>
    <w:p w:rsidR="00440F22" w:rsidRPr="009829AC" w:rsidRDefault="00440F22" w:rsidP="003531BA">
      <w:pPr>
        <w:pStyle w:val="ListParagraph"/>
        <w:spacing w:line="360" w:lineRule="auto"/>
        <w:ind w:left="0"/>
        <w:jc w:val="both"/>
        <w:rPr>
          <w:rFonts w:cs="Arial"/>
          <w:sz w:val="22"/>
          <w:szCs w:val="22"/>
        </w:rPr>
      </w:pPr>
    </w:p>
    <w:p w:rsidR="00440F22" w:rsidRPr="009829AC" w:rsidRDefault="00440F22" w:rsidP="003531BA">
      <w:pPr>
        <w:pStyle w:val="ListParagraph"/>
        <w:widowControl/>
        <w:numPr>
          <w:ilvl w:val="0"/>
          <w:numId w:val="3"/>
        </w:numPr>
        <w:tabs>
          <w:tab w:val="clear" w:pos="567"/>
        </w:tabs>
        <w:autoSpaceDE/>
        <w:autoSpaceDN/>
        <w:adjustRightInd/>
        <w:spacing w:line="360" w:lineRule="auto"/>
        <w:ind w:left="0" w:firstLine="0"/>
        <w:contextualSpacing/>
        <w:jc w:val="both"/>
        <w:rPr>
          <w:rFonts w:cs="Arial"/>
          <w:sz w:val="22"/>
          <w:szCs w:val="22"/>
        </w:rPr>
      </w:pPr>
      <w:r w:rsidRPr="009829AC">
        <w:rPr>
          <w:rFonts w:cs="Arial"/>
          <w:sz w:val="22"/>
          <w:szCs w:val="22"/>
          <w:u w:val="single"/>
        </w:rPr>
        <w:t>Since section 34 confers no power upon the Commission, there can be no inference that the delegation of powers conferred under section 16(1)(</w:t>
      </w:r>
      <w:r w:rsidRPr="009829AC">
        <w:rPr>
          <w:rFonts w:cs="Arial"/>
          <w:i/>
          <w:sz w:val="22"/>
          <w:szCs w:val="22"/>
          <w:u w:val="single"/>
        </w:rPr>
        <w:t>f</w:t>
      </w:r>
      <w:r w:rsidRPr="009829AC">
        <w:rPr>
          <w:rFonts w:cs="Arial"/>
          <w:sz w:val="22"/>
          <w:szCs w:val="22"/>
          <w:u w:val="single"/>
        </w:rPr>
        <w:t>) and section 33 axiomatically includes a delegation of section 34 powers.  On the contrary, we submit</w:t>
      </w:r>
      <w:r w:rsidRPr="009829AC">
        <w:rPr>
          <w:rFonts w:cs="Arial"/>
          <w:sz w:val="22"/>
          <w:szCs w:val="22"/>
        </w:rPr>
        <w:t xml:space="preserve"> that  - </w:t>
      </w:r>
    </w:p>
    <w:p w:rsidR="00440F22" w:rsidRPr="009829AC" w:rsidRDefault="00440F22" w:rsidP="003531BA">
      <w:pPr>
        <w:pStyle w:val="ListParagraph"/>
        <w:spacing w:line="360" w:lineRule="auto"/>
        <w:ind w:left="0"/>
        <w:jc w:val="both"/>
        <w:rPr>
          <w:rFonts w:cs="Arial"/>
          <w:sz w:val="22"/>
          <w:szCs w:val="22"/>
        </w:rPr>
      </w:pPr>
    </w:p>
    <w:p w:rsidR="00440F22" w:rsidRPr="009829AC" w:rsidRDefault="00440F22" w:rsidP="00341CD8">
      <w:pPr>
        <w:pStyle w:val="ListParagraph"/>
        <w:widowControl/>
        <w:numPr>
          <w:ilvl w:val="1"/>
          <w:numId w:val="3"/>
        </w:numPr>
        <w:tabs>
          <w:tab w:val="clear" w:pos="1134"/>
        </w:tabs>
        <w:autoSpaceDE/>
        <w:autoSpaceDN/>
        <w:adjustRightInd/>
        <w:spacing w:line="360" w:lineRule="auto"/>
        <w:ind w:left="709" w:firstLine="0"/>
        <w:contextualSpacing/>
        <w:jc w:val="both"/>
        <w:rPr>
          <w:rFonts w:cs="Arial"/>
          <w:sz w:val="22"/>
          <w:szCs w:val="22"/>
        </w:rPr>
      </w:pPr>
      <w:r w:rsidRPr="009829AC">
        <w:rPr>
          <w:rFonts w:cs="Arial"/>
          <w:sz w:val="22"/>
          <w:szCs w:val="22"/>
        </w:rPr>
        <w:t xml:space="preserve">the delegation relied on by the Commission was not a delegation of powers conferred under section 34; </w:t>
      </w:r>
    </w:p>
    <w:p w:rsidR="00440F22" w:rsidRPr="009829AC" w:rsidRDefault="00440F22" w:rsidP="00341CD8">
      <w:pPr>
        <w:pStyle w:val="ListParagraph"/>
        <w:spacing w:line="360" w:lineRule="auto"/>
        <w:ind w:left="709"/>
        <w:jc w:val="both"/>
        <w:rPr>
          <w:rFonts w:cs="Arial"/>
          <w:sz w:val="22"/>
          <w:szCs w:val="22"/>
        </w:rPr>
      </w:pPr>
    </w:p>
    <w:p w:rsidR="00440F22" w:rsidRPr="009829AC" w:rsidRDefault="00440F22" w:rsidP="00341CD8">
      <w:pPr>
        <w:pStyle w:val="ListParagraph"/>
        <w:widowControl/>
        <w:numPr>
          <w:ilvl w:val="1"/>
          <w:numId w:val="3"/>
        </w:numPr>
        <w:tabs>
          <w:tab w:val="clear" w:pos="1134"/>
        </w:tabs>
        <w:autoSpaceDE/>
        <w:autoSpaceDN/>
        <w:adjustRightInd/>
        <w:spacing w:line="360" w:lineRule="auto"/>
        <w:ind w:left="709" w:firstLine="0"/>
        <w:contextualSpacing/>
        <w:jc w:val="both"/>
        <w:rPr>
          <w:rFonts w:cs="Arial"/>
          <w:sz w:val="22"/>
          <w:szCs w:val="22"/>
        </w:rPr>
      </w:pPr>
      <w:r w:rsidRPr="009829AC">
        <w:rPr>
          <w:rFonts w:cs="Arial"/>
          <w:sz w:val="22"/>
          <w:szCs w:val="22"/>
        </w:rPr>
        <w:t>no delegation can be inferred in circumstances where the Commission enjoys no power to delegate under section 34; and</w:t>
      </w:r>
    </w:p>
    <w:p w:rsidR="00440F22" w:rsidRPr="009829AC" w:rsidRDefault="00440F22" w:rsidP="00341CD8">
      <w:pPr>
        <w:pStyle w:val="ListParagraph"/>
        <w:widowControl/>
        <w:autoSpaceDE/>
        <w:autoSpaceDN/>
        <w:adjustRightInd/>
        <w:spacing w:line="360" w:lineRule="auto"/>
        <w:ind w:left="709"/>
        <w:contextualSpacing/>
        <w:jc w:val="both"/>
        <w:rPr>
          <w:rFonts w:cs="Arial"/>
          <w:sz w:val="22"/>
          <w:szCs w:val="22"/>
        </w:rPr>
      </w:pPr>
    </w:p>
    <w:p w:rsidR="00440F22" w:rsidRPr="009829AC" w:rsidRDefault="00440F22" w:rsidP="00341CD8">
      <w:pPr>
        <w:pStyle w:val="ListParagraph"/>
        <w:widowControl/>
        <w:numPr>
          <w:ilvl w:val="1"/>
          <w:numId w:val="3"/>
        </w:numPr>
        <w:tabs>
          <w:tab w:val="clear" w:pos="1134"/>
        </w:tabs>
        <w:autoSpaceDE/>
        <w:autoSpaceDN/>
        <w:adjustRightInd/>
        <w:spacing w:line="360" w:lineRule="auto"/>
        <w:ind w:left="709" w:firstLine="0"/>
        <w:contextualSpacing/>
        <w:jc w:val="both"/>
        <w:rPr>
          <w:rFonts w:cs="Arial"/>
          <w:sz w:val="22"/>
          <w:szCs w:val="22"/>
        </w:rPr>
      </w:pPr>
      <w:r w:rsidRPr="009829AC">
        <w:rPr>
          <w:rFonts w:cs="Arial"/>
          <w:sz w:val="22"/>
          <w:szCs w:val="22"/>
        </w:rPr>
        <w:t xml:space="preserve">the purported delegation of powers conferred in terms of section 34 was unlawful, to the extent that reliance was placed on such implied delegation, given that the Commission enjoyed no power to delegate.  </w:t>
      </w:r>
    </w:p>
    <w:p w:rsidR="00440F22" w:rsidRPr="009829AC" w:rsidRDefault="00440F22" w:rsidP="003531BA">
      <w:pPr>
        <w:pStyle w:val="ListParagraph"/>
        <w:spacing w:line="360" w:lineRule="auto"/>
        <w:ind w:left="0"/>
        <w:jc w:val="both"/>
        <w:rPr>
          <w:rFonts w:cs="Arial"/>
          <w:sz w:val="22"/>
          <w:szCs w:val="22"/>
        </w:rPr>
      </w:pPr>
    </w:p>
    <w:p w:rsidR="00440F22" w:rsidRDefault="00440F22" w:rsidP="003531BA">
      <w:pPr>
        <w:pStyle w:val="ListParagraph"/>
        <w:widowControl/>
        <w:numPr>
          <w:ilvl w:val="0"/>
          <w:numId w:val="3"/>
        </w:numPr>
        <w:tabs>
          <w:tab w:val="clear" w:pos="567"/>
        </w:tabs>
        <w:autoSpaceDE/>
        <w:autoSpaceDN/>
        <w:adjustRightInd/>
        <w:spacing w:line="360" w:lineRule="auto"/>
        <w:ind w:left="0" w:firstLine="0"/>
        <w:contextualSpacing/>
        <w:jc w:val="both"/>
        <w:rPr>
          <w:rFonts w:cs="Arial"/>
        </w:rPr>
      </w:pPr>
      <w:r w:rsidRPr="009829AC">
        <w:rPr>
          <w:rFonts w:cs="Arial"/>
          <w:sz w:val="22"/>
          <w:szCs w:val="22"/>
        </w:rPr>
        <w:t>For this reason alone, the warrant issued by the honourable Mr Justice Angula falls to be set aside.’</w:t>
      </w:r>
      <w:r>
        <w:rPr>
          <w:rFonts w:cs="Arial"/>
        </w:rPr>
        <w:t xml:space="preserve">  </w:t>
      </w:r>
    </w:p>
    <w:p w:rsidR="00B30AAA" w:rsidRPr="007566BF" w:rsidRDefault="00B30AAA" w:rsidP="003531BA">
      <w:pPr>
        <w:keepNext/>
        <w:tabs>
          <w:tab w:val="num" w:pos="0"/>
          <w:tab w:val="left" w:pos="720"/>
        </w:tabs>
        <w:spacing w:after="0" w:line="360" w:lineRule="auto"/>
        <w:jc w:val="both"/>
        <w:rPr>
          <w:rFonts w:ascii="Arial" w:hAnsi="Arial" w:cs="Arial"/>
          <w:sz w:val="24"/>
          <w:szCs w:val="24"/>
        </w:rPr>
      </w:pPr>
    </w:p>
    <w:p w:rsidR="00E775B8" w:rsidRDefault="007566BF" w:rsidP="003531BA">
      <w:pPr>
        <w:spacing w:after="0" w:line="360" w:lineRule="auto"/>
        <w:jc w:val="both"/>
        <w:rPr>
          <w:rFonts w:ascii="Arial" w:hAnsi="Arial" w:cs="Arial"/>
          <w:sz w:val="24"/>
          <w:szCs w:val="24"/>
        </w:rPr>
      </w:pPr>
      <w:r w:rsidRPr="007566BF">
        <w:rPr>
          <w:rFonts w:ascii="Arial" w:hAnsi="Arial" w:cs="Arial"/>
          <w:sz w:val="24"/>
          <w:szCs w:val="24"/>
        </w:rPr>
        <w:t>[</w:t>
      </w:r>
      <w:r w:rsidR="005E7FED">
        <w:rPr>
          <w:rFonts w:ascii="Arial" w:hAnsi="Arial" w:cs="Arial"/>
          <w:sz w:val="24"/>
          <w:szCs w:val="24"/>
        </w:rPr>
        <w:t>59</w:t>
      </w:r>
      <w:r w:rsidRPr="007566BF">
        <w:rPr>
          <w:rFonts w:ascii="Arial" w:hAnsi="Arial" w:cs="Arial"/>
          <w:sz w:val="24"/>
          <w:szCs w:val="24"/>
        </w:rPr>
        <w:t>]</w:t>
      </w:r>
      <w:r w:rsidRPr="007566BF">
        <w:rPr>
          <w:rFonts w:ascii="Arial" w:hAnsi="Arial" w:cs="Arial"/>
          <w:sz w:val="24"/>
          <w:szCs w:val="24"/>
        </w:rPr>
        <w:tab/>
        <w:t>The</w:t>
      </w:r>
      <w:r w:rsidR="0062515D">
        <w:rPr>
          <w:rFonts w:ascii="Arial" w:hAnsi="Arial" w:cs="Arial"/>
          <w:sz w:val="24"/>
          <w:szCs w:val="24"/>
        </w:rPr>
        <w:t xml:space="preserve"> additional written</w:t>
      </w:r>
      <w:r w:rsidRPr="007566BF">
        <w:rPr>
          <w:rFonts w:ascii="Arial" w:hAnsi="Arial" w:cs="Arial"/>
          <w:sz w:val="24"/>
          <w:szCs w:val="24"/>
        </w:rPr>
        <w:t xml:space="preserve"> argument is meticulous and it is compellingly made.</w:t>
      </w:r>
      <w:r w:rsidR="00DD3144">
        <w:rPr>
          <w:rFonts w:ascii="Arial" w:hAnsi="Arial" w:cs="Arial"/>
          <w:sz w:val="24"/>
          <w:szCs w:val="24"/>
        </w:rPr>
        <w:t xml:space="preserve"> It is indeed common cause that the warrant, forming the subject matter of this case, was applied for in terms of Section 34.</w:t>
      </w:r>
      <w:r w:rsidR="00E775B8" w:rsidRPr="00E775B8">
        <w:rPr>
          <w:rFonts w:ascii="Arial" w:hAnsi="Arial" w:cs="Arial"/>
          <w:sz w:val="24"/>
          <w:szCs w:val="24"/>
        </w:rPr>
        <w:t xml:space="preserve"> It is also so that this is a section in respect of which no delegation was recorded.</w:t>
      </w:r>
      <w:r w:rsidR="00E775B8">
        <w:rPr>
          <w:rFonts w:ascii="Arial" w:hAnsi="Arial" w:cs="Arial"/>
          <w:sz w:val="24"/>
          <w:szCs w:val="24"/>
        </w:rPr>
        <w:t xml:space="preserve"> On examination it appears that </w:t>
      </w:r>
      <w:r w:rsidR="00E775B8" w:rsidRPr="00E775B8">
        <w:rPr>
          <w:rFonts w:ascii="Arial" w:hAnsi="Arial" w:cs="Arial"/>
          <w:sz w:val="24"/>
          <w:szCs w:val="24"/>
        </w:rPr>
        <w:t xml:space="preserve">Section 34 </w:t>
      </w:r>
      <w:r w:rsidR="00E775B8">
        <w:rPr>
          <w:rFonts w:ascii="Arial" w:hAnsi="Arial" w:cs="Arial"/>
          <w:sz w:val="24"/>
          <w:szCs w:val="24"/>
        </w:rPr>
        <w:t xml:space="preserve">expressly </w:t>
      </w:r>
      <w:r w:rsidR="00E775B8" w:rsidRPr="00E775B8">
        <w:rPr>
          <w:rFonts w:ascii="Arial" w:hAnsi="Arial" w:cs="Arial"/>
          <w:sz w:val="24"/>
          <w:szCs w:val="24"/>
        </w:rPr>
        <w:t>empowers an ‘</w:t>
      </w:r>
      <w:r w:rsidR="00E775B8" w:rsidRPr="00E775B8">
        <w:rPr>
          <w:rFonts w:ascii="Arial" w:hAnsi="Arial" w:cs="Arial"/>
          <w:i/>
          <w:sz w:val="24"/>
          <w:szCs w:val="24"/>
        </w:rPr>
        <w:t>inspector</w:t>
      </w:r>
      <w:r w:rsidR="00E775B8" w:rsidRPr="00E775B8">
        <w:rPr>
          <w:rFonts w:ascii="Arial" w:hAnsi="Arial" w:cs="Arial"/>
          <w:sz w:val="24"/>
          <w:szCs w:val="24"/>
        </w:rPr>
        <w:t xml:space="preserve">’, </w:t>
      </w:r>
      <w:r w:rsidR="00E775B8" w:rsidRPr="00E775B8">
        <w:rPr>
          <w:rFonts w:ascii="Arial" w:hAnsi="Arial" w:cs="Arial"/>
          <w:i/>
          <w:sz w:val="24"/>
          <w:szCs w:val="24"/>
        </w:rPr>
        <w:t>ie</w:t>
      </w:r>
      <w:r w:rsidR="00E775B8" w:rsidRPr="00E775B8">
        <w:rPr>
          <w:rFonts w:ascii="Arial" w:hAnsi="Arial" w:cs="Arial"/>
          <w:sz w:val="24"/>
          <w:szCs w:val="24"/>
        </w:rPr>
        <w:t xml:space="preserve"> a person designated or appointed in terms of section 14(1) of the Competition Act, to take the a</w:t>
      </w:r>
      <w:r w:rsidR="00132FB1">
        <w:rPr>
          <w:rFonts w:ascii="Arial" w:hAnsi="Arial" w:cs="Arial"/>
          <w:sz w:val="24"/>
          <w:szCs w:val="24"/>
        </w:rPr>
        <w:t>ctions set out in section 34(1) and</w:t>
      </w:r>
      <w:r w:rsidR="00E775B8" w:rsidRPr="00E775B8">
        <w:rPr>
          <w:rFonts w:ascii="Arial" w:hAnsi="Arial" w:cs="Arial"/>
          <w:sz w:val="24"/>
          <w:szCs w:val="24"/>
        </w:rPr>
        <w:t xml:space="preserve"> if a judge issues a warrant for ‘</w:t>
      </w:r>
      <w:r w:rsidR="00E775B8" w:rsidRPr="00E775B8">
        <w:rPr>
          <w:rFonts w:ascii="Arial" w:hAnsi="Arial" w:cs="Arial"/>
          <w:i/>
          <w:sz w:val="24"/>
          <w:szCs w:val="24"/>
        </w:rPr>
        <w:t>an inspector to exercise those powers’</w:t>
      </w:r>
      <w:r w:rsidR="00E775B8">
        <w:rPr>
          <w:rFonts w:ascii="Arial" w:hAnsi="Arial" w:cs="Arial"/>
          <w:sz w:val="24"/>
          <w:szCs w:val="24"/>
        </w:rPr>
        <w:t>.  In terms of</w:t>
      </w:r>
      <w:r w:rsidR="00E775B8" w:rsidRPr="00E775B8">
        <w:rPr>
          <w:rFonts w:ascii="Arial" w:hAnsi="Arial" w:cs="Arial"/>
          <w:sz w:val="24"/>
          <w:szCs w:val="24"/>
        </w:rPr>
        <w:t xml:space="preserve"> section 34(4)(</w:t>
      </w:r>
      <w:r w:rsidR="00E775B8" w:rsidRPr="00E775B8">
        <w:rPr>
          <w:rFonts w:ascii="Arial" w:hAnsi="Arial" w:cs="Arial"/>
          <w:i/>
          <w:sz w:val="24"/>
          <w:szCs w:val="24"/>
        </w:rPr>
        <w:t>b</w:t>
      </w:r>
      <w:r w:rsidR="00E775B8">
        <w:rPr>
          <w:rFonts w:ascii="Arial" w:hAnsi="Arial" w:cs="Arial"/>
          <w:sz w:val="24"/>
          <w:szCs w:val="24"/>
        </w:rPr>
        <w:t>)</w:t>
      </w:r>
      <w:r w:rsidR="00E775B8" w:rsidRPr="00E775B8">
        <w:rPr>
          <w:rFonts w:ascii="Arial" w:hAnsi="Arial" w:cs="Arial"/>
          <w:sz w:val="24"/>
          <w:szCs w:val="24"/>
        </w:rPr>
        <w:t xml:space="preserve"> it is</w:t>
      </w:r>
      <w:r w:rsidR="00E775B8">
        <w:rPr>
          <w:rFonts w:ascii="Arial" w:hAnsi="Arial" w:cs="Arial"/>
          <w:sz w:val="24"/>
          <w:szCs w:val="24"/>
        </w:rPr>
        <w:t xml:space="preserve"> </w:t>
      </w:r>
      <w:r w:rsidR="00E775B8">
        <w:rPr>
          <w:rFonts w:ascii="Arial" w:hAnsi="Arial" w:cs="Arial"/>
          <w:sz w:val="24"/>
          <w:szCs w:val="24"/>
        </w:rPr>
        <w:lastRenderedPageBreak/>
        <w:t>indeed</w:t>
      </w:r>
      <w:r w:rsidR="00E775B8" w:rsidRPr="00E775B8">
        <w:rPr>
          <w:rFonts w:ascii="Arial" w:hAnsi="Arial" w:cs="Arial"/>
          <w:sz w:val="24"/>
          <w:szCs w:val="24"/>
        </w:rPr>
        <w:t xml:space="preserve"> </w:t>
      </w:r>
      <w:r w:rsidR="00E775B8">
        <w:rPr>
          <w:rFonts w:ascii="Arial" w:hAnsi="Arial" w:cs="Arial"/>
          <w:sz w:val="24"/>
          <w:szCs w:val="24"/>
        </w:rPr>
        <w:t>an inspector that is granted this</w:t>
      </w:r>
      <w:r w:rsidR="00E775B8" w:rsidRPr="00E775B8">
        <w:rPr>
          <w:rFonts w:ascii="Arial" w:hAnsi="Arial" w:cs="Arial"/>
          <w:sz w:val="24"/>
          <w:szCs w:val="24"/>
        </w:rPr>
        <w:t xml:space="preserve"> authority</w:t>
      </w:r>
      <w:r w:rsidR="00132FB1">
        <w:rPr>
          <w:rFonts w:ascii="Arial" w:hAnsi="Arial" w:cs="Arial"/>
          <w:sz w:val="24"/>
          <w:szCs w:val="24"/>
        </w:rPr>
        <w:t xml:space="preserve"> by the Court</w:t>
      </w:r>
      <w:r w:rsidR="00E775B8" w:rsidRPr="00E775B8">
        <w:rPr>
          <w:rFonts w:ascii="Arial" w:hAnsi="Arial" w:cs="Arial"/>
          <w:sz w:val="24"/>
          <w:szCs w:val="24"/>
        </w:rPr>
        <w:t xml:space="preserve">, not the Commission.  </w:t>
      </w:r>
      <w:r w:rsidR="00E775B8">
        <w:rPr>
          <w:rFonts w:ascii="Arial" w:hAnsi="Arial" w:cs="Arial"/>
          <w:sz w:val="24"/>
          <w:szCs w:val="24"/>
        </w:rPr>
        <w:t>I agree that t</w:t>
      </w:r>
      <w:r w:rsidR="00E775B8" w:rsidRPr="00E775B8">
        <w:rPr>
          <w:rFonts w:ascii="Arial" w:hAnsi="Arial" w:cs="Arial"/>
          <w:sz w:val="24"/>
          <w:szCs w:val="24"/>
        </w:rPr>
        <w:t>he Competition Act is unambiguous in vesting the pow</w:t>
      </w:r>
      <w:r w:rsidR="00E775B8">
        <w:rPr>
          <w:rFonts w:ascii="Arial" w:hAnsi="Arial" w:cs="Arial"/>
          <w:sz w:val="24"/>
          <w:szCs w:val="24"/>
        </w:rPr>
        <w:t>er to apply for a warrant in an</w:t>
      </w:r>
      <w:r w:rsidR="00E775B8" w:rsidRPr="00E775B8">
        <w:rPr>
          <w:rFonts w:ascii="Arial" w:hAnsi="Arial" w:cs="Arial"/>
          <w:sz w:val="24"/>
          <w:szCs w:val="24"/>
        </w:rPr>
        <w:t xml:space="preserve"> inspector.</w:t>
      </w:r>
    </w:p>
    <w:p w:rsidR="00E775B8" w:rsidRDefault="00E775B8" w:rsidP="003531BA">
      <w:pPr>
        <w:spacing w:after="0" w:line="360" w:lineRule="auto"/>
        <w:jc w:val="both"/>
        <w:rPr>
          <w:rFonts w:ascii="Arial" w:hAnsi="Arial" w:cs="Arial"/>
          <w:sz w:val="24"/>
          <w:szCs w:val="24"/>
        </w:rPr>
      </w:pPr>
    </w:p>
    <w:p w:rsidR="00C50B61" w:rsidRDefault="00E775B8" w:rsidP="003531BA">
      <w:pPr>
        <w:spacing w:after="0" w:line="360" w:lineRule="auto"/>
        <w:jc w:val="both"/>
        <w:rPr>
          <w:rFonts w:ascii="Arial" w:hAnsi="Arial" w:cs="Arial"/>
          <w:sz w:val="24"/>
          <w:szCs w:val="24"/>
        </w:rPr>
      </w:pPr>
      <w:r>
        <w:rPr>
          <w:rFonts w:ascii="Arial" w:hAnsi="Arial" w:cs="Arial"/>
          <w:sz w:val="24"/>
          <w:szCs w:val="24"/>
        </w:rPr>
        <w:t>[</w:t>
      </w:r>
      <w:r w:rsidR="00F024A6">
        <w:rPr>
          <w:rFonts w:ascii="Arial" w:hAnsi="Arial" w:cs="Arial"/>
          <w:sz w:val="24"/>
          <w:szCs w:val="24"/>
        </w:rPr>
        <w:t>60</w:t>
      </w:r>
      <w:r>
        <w:rPr>
          <w:rFonts w:ascii="Arial" w:hAnsi="Arial" w:cs="Arial"/>
          <w:sz w:val="24"/>
          <w:szCs w:val="24"/>
        </w:rPr>
        <w:t>]</w:t>
      </w:r>
      <w:r>
        <w:rPr>
          <w:rFonts w:ascii="Arial" w:hAnsi="Arial" w:cs="Arial"/>
          <w:sz w:val="24"/>
          <w:szCs w:val="24"/>
        </w:rPr>
        <w:tab/>
        <w:t>Also the supportive arguments mustered on behalf of PUMA make sense, as</w:t>
      </w:r>
      <w:r w:rsidR="00C50B61">
        <w:rPr>
          <w:rFonts w:ascii="Arial" w:hAnsi="Arial" w:cs="Arial"/>
          <w:sz w:val="24"/>
          <w:szCs w:val="24"/>
        </w:rPr>
        <w:t>:</w:t>
      </w:r>
    </w:p>
    <w:p w:rsidR="00C50B61" w:rsidRDefault="00C50B61" w:rsidP="003531BA">
      <w:pPr>
        <w:spacing w:after="0" w:line="360" w:lineRule="auto"/>
        <w:jc w:val="both"/>
        <w:rPr>
          <w:rFonts w:ascii="Arial" w:hAnsi="Arial" w:cs="Arial"/>
          <w:sz w:val="24"/>
          <w:szCs w:val="24"/>
        </w:rPr>
      </w:pPr>
    </w:p>
    <w:p w:rsidR="00C50B61" w:rsidRDefault="00E775B8" w:rsidP="00F024A6">
      <w:pPr>
        <w:pStyle w:val="ListParagraph"/>
        <w:numPr>
          <w:ilvl w:val="0"/>
          <w:numId w:val="16"/>
        </w:numPr>
        <w:spacing w:line="360" w:lineRule="auto"/>
        <w:ind w:left="0" w:firstLine="0"/>
        <w:jc w:val="both"/>
        <w:rPr>
          <w:rFonts w:cs="Arial"/>
        </w:rPr>
      </w:pPr>
      <w:r w:rsidRPr="00C50B61">
        <w:rPr>
          <w:rFonts w:cs="Arial"/>
        </w:rPr>
        <w:t>it is the inspector</w:t>
      </w:r>
      <w:r w:rsidR="00C50B61">
        <w:rPr>
          <w:rFonts w:cs="Arial"/>
        </w:rPr>
        <w:t xml:space="preserve"> that</w:t>
      </w:r>
      <w:r w:rsidRPr="00C50B61">
        <w:rPr>
          <w:rFonts w:cs="Arial"/>
        </w:rPr>
        <w:t xml:space="preserve"> is the party that is </w:t>
      </w:r>
      <w:r w:rsidR="00BD64E4" w:rsidRPr="00C50B61">
        <w:rPr>
          <w:rFonts w:cs="Arial"/>
        </w:rPr>
        <w:t>authorized,</w:t>
      </w:r>
      <w:r w:rsidRPr="00C50B61">
        <w:rPr>
          <w:rFonts w:cs="Arial"/>
        </w:rPr>
        <w:t xml:space="preserve"> under the statute</w:t>
      </w:r>
      <w:r w:rsidR="00BD64E4" w:rsidRPr="00C50B61">
        <w:rPr>
          <w:rFonts w:cs="Arial"/>
        </w:rPr>
        <w:t>,</w:t>
      </w:r>
      <w:r w:rsidRPr="00C50B61">
        <w:rPr>
          <w:rFonts w:cs="Arial"/>
        </w:rPr>
        <w:t xml:space="preserve"> to make application for the issue of the warrant, since</w:t>
      </w:r>
      <w:r w:rsidR="00C50B61">
        <w:rPr>
          <w:rFonts w:cs="Arial"/>
        </w:rPr>
        <w:t xml:space="preserve"> it is</w:t>
      </w:r>
      <w:r w:rsidRPr="00C50B61">
        <w:rPr>
          <w:rFonts w:cs="Arial"/>
        </w:rPr>
        <w:t xml:space="preserve"> the inspector</w:t>
      </w:r>
      <w:r w:rsidR="00C50B61">
        <w:rPr>
          <w:rFonts w:cs="Arial"/>
        </w:rPr>
        <w:t xml:space="preserve"> that</w:t>
      </w:r>
      <w:r w:rsidRPr="00C50B61">
        <w:rPr>
          <w:rFonts w:cs="Arial"/>
        </w:rPr>
        <w:t xml:space="preserve"> is the person most familiar with the state of the investigation and</w:t>
      </w:r>
      <w:r w:rsidR="00BD64E4" w:rsidRPr="00C50B61">
        <w:rPr>
          <w:rFonts w:cs="Arial"/>
        </w:rPr>
        <w:t xml:space="preserve"> he or she is</w:t>
      </w:r>
      <w:r w:rsidRPr="00C50B61">
        <w:rPr>
          <w:rFonts w:cs="Arial"/>
        </w:rPr>
        <w:t xml:space="preserve"> thus</w:t>
      </w:r>
      <w:r w:rsidR="00BD64E4" w:rsidRPr="00C50B61">
        <w:rPr>
          <w:rFonts w:cs="Arial"/>
        </w:rPr>
        <w:t xml:space="preserve"> most likely to be in the</w:t>
      </w:r>
      <w:r w:rsidR="0062515D">
        <w:rPr>
          <w:rFonts w:cs="Arial"/>
        </w:rPr>
        <w:t xml:space="preserve"> best</w:t>
      </w:r>
      <w:r w:rsidRPr="00C50B61">
        <w:rPr>
          <w:rFonts w:cs="Arial"/>
        </w:rPr>
        <w:t xml:space="preserve"> position to </w:t>
      </w:r>
      <w:r w:rsidR="00C50B61">
        <w:rPr>
          <w:rFonts w:cs="Arial"/>
        </w:rPr>
        <w:t>make out a case to a judge;</w:t>
      </w:r>
    </w:p>
    <w:p w:rsidR="00C50B61" w:rsidRDefault="00C50B61" w:rsidP="00F024A6">
      <w:pPr>
        <w:pStyle w:val="ListParagraph"/>
        <w:spacing w:line="360" w:lineRule="auto"/>
        <w:ind w:left="0"/>
        <w:jc w:val="both"/>
        <w:rPr>
          <w:rFonts w:cs="Arial"/>
        </w:rPr>
      </w:pPr>
    </w:p>
    <w:p w:rsidR="00C50B61" w:rsidRDefault="00C50B61" w:rsidP="00F024A6">
      <w:pPr>
        <w:pStyle w:val="ListParagraph"/>
        <w:numPr>
          <w:ilvl w:val="0"/>
          <w:numId w:val="16"/>
        </w:numPr>
        <w:spacing w:line="360" w:lineRule="auto"/>
        <w:ind w:left="0" w:firstLine="0"/>
        <w:jc w:val="both"/>
        <w:rPr>
          <w:rFonts w:cs="Arial"/>
        </w:rPr>
      </w:pPr>
      <w:r>
        <w:rPr>
          <w:rFonts w:cs="Arial"/>
        </w:rPr>
        <w:t>i</w:t>
      </w:r>
      <w:r w:rsidR="00BD64E4" w:rsidRPr="00C50B61">
        <w:rPr>
          <w:rFonts w:cs="Arial"/>
        </w:rPr>
        <w:t>t is also so that S</w:t>
      </w:r>
      <w:r w:rsidR="00E775B8" w:rsidRPr="00C50B61">
        <w:rPr>
          <w:rFonts w:cs="Arial"/>
        </w:rPr>
        <w:t>ection 34 deals with a situati</w:t>
      </w:r>
      <w:r w:rsidR="00BD64E4" w:rsidRPr="00C50B61">
        <w:rPr>
          <w:rFonts w:cs="Arial"/>
        </w:rPr>
        <w:t>on where the exercise of the</w:t>
      </w:r>
      <w:r w:rsidR="00E775B8" w:rsidRPr="00C50B61">
        <w:rPr>
          <w:rFonts w:cs="Arial"/>
        </w:rPr>
        <w:t xml:space="preserve"> investig</w:t>
      </w:r>
      <w:r w:rsidR="00BD64E4" w:rsidRPr="00C50B61">
        <w:rPr>
          <w:rFonts w:cs="Arial"/>
        </w:rPr>
        <w:t>ative actions by an inspector are</w:t>
      </w:r>
      <w:r w:rsidR="00E775B8" w:rsidRPr="00C50B61">
        <w:rPr>
          <w:rFonts w:cs="Arial"/>
        </w:rPr>
        <w:t xml:space="preserve"> made subject to judicial oversight and, ultimately, the terms of a</w:t>
      </w:r>
      <w:r>
        <w:rPr>
          <w:rFonts w:cs="Arial"/>
        </w:rPr>
        <w:t>ny warrant issued by this Court;</w:t>
      </w:r>
      <w:r w:rsidR="00E775B8" w:rsidRPr="00C50B61">
        <w:rPr>
          <w:rFonts w:cs="Arial"/>
        </w:rPr>
        <w:t xml:space="preserve">  </w:t>
      </w:r>
    </w:p>
    <w:p w:rsidR="00C50B61" w:rsidRPr="00C50B61" w:rsidRDefault="00C50B61" w:rsidP="00F024A6">
      <w:pPr>
        <w:pStyle w:val="ListParagraph"/>
        <w:spacing w:line="360" w:lineRule="auto"/>
        <w:ind w:left="0"/>
        <w:rPr>
          <w:rFonts w:cs="Arial"/>
        </w:rPr>
      </w:pPr>
    </w:p>
    <w:p w:rsidR="00C50B61" w:rsidRDefault="00C50B61" w:rsidP="00F024A6">
      <w:pPr>
        <w:pStyle w:val="ListParagraph"/>
        <w:numPr>
          <w:ilvl w:val="0"/>
          <w:numId w:val="16"/>
        </w:numPr>
        <w:spacing w:line="360" w:lineRule="auto"/>
        <w:ind w:left="0" w:firstLine="0"/>
        <w:jc w:val="both"/>
        <w:rPr>
          <w:rFonts w:cs="Arial"/>
        </w:rPr>
      </w:pPr>
      <w:r>
        <w:rPr>
          <w:rFonts w:cs="Arial"/>
        </w:rPr>
        <w:t>t</w:t>
      </w:r>
      <w:r w:rsidR="00BD64E4" w:rsidRPr="00C50B61">
        <w:rPr>
          <w:rFonts w:cs="Arial"/>
        </w:rPr>
        <w:t>he s</w:t>
      </w:r>
      <w:r w:rsidR="00E775B8" w:rsidRPr="00C50B61">
        <w:rPr>
          <w:rFonts w:cs="Arial"/>
        </w:rPr>
        <w:t>earch and seizure that follows upon a warrant issued in consequence of a section 34 application does not constitute the exercise of powers vested in the Commission</w:t>
      </w:r>
      <w:r w:rsidR="00BD64E4" w:rsidRPr="00C50B61">
        <w:rPr>
          <w:rFonts w:cs="Arial"/>
        </w:rPr>
        <w:t xml:space="preserve"> by the warrant</w:t>
      </w:r>
      <w:r w:rsidR="00E775B8" w:rsidRPr="00C50B61">
        <w:rPr>
          <w:rFonts w:cs="Arial"/>
        </w:rPr>
        <w:t xml:space="preserve">, but the exercise of a power </w:t>
      </w:r>
      <w:r w:rsidR="0062515D">
        <w:rPr>
          <w:rFonts w:cs="Arial"/>
        </w:rPr>
        <w:t>vested in an investigator who i</w:t>
      </w:r>
      <w:r w:rsidR="00E775B8" w:rsidRPr="00C50B61">
        <w:rPr>
          <w:rFonts w:cs="Arial"/>
        </w:rPr>
        <w:t xml:space="preserve">s </w:t>
      </w:r>
      <w:r w:rsidR="0062515D">
        <w:rPr>
          <w:rFonts w:cs="Arial"/>
        </w:rPr>
        <w:t>authorized by court order to exercise the</w:t>
      </w:r>
      <w:r w:rsidR="00E775B8" w:rsidRPr="00C50B61">
        <w:rPr>
          <w:rFonts w:cs="Arial"/>
        </w:rPr>
        <w:t xml:space="preserve"> power</w:t>
      </w:r>
      <w:r w:rsidR="0062515D">
        <w:rPr>
          <w:rFonts w:cs="Arial"/>
        </w:rPr>
        <w:t>s granted in</w:t>
      </w:r>
      <w:r w:rsidR="00BD64E4" w:rsidRPr="00C50B61">
        <w:rPr>
          <w:rFonts w:cs="Arial"/>
        </w:rPr>
        <w:t xml:space="preserve"> the warrant in question</w:t>
      </w:r>
      <w:r>
        <w:rPr>
          <w:rFonts w:cs="Arial"/>
        </w:rPr>
        <w:t>;</w:t>
      </w:r>
    </w:p>
    <w:p w:rsidR="00C50B61" w:rsidRPr="00C50B61" w:rsidRDefault="00C50B61" w:rsidP="003531BA">
      <w:pPr>
        <w:spacing w:after="0" w:line="360" w:lineRule="auto"/>
        <w:jc w:val="both"/>
        <w:rPr>
          <w:rFonts w:cs="Arial"/>
        </w:rPr>
      </w:pPr>
    </w:p>
    <w:p w:rsidR="00C50B61" w:rsidRDefault="00C50B61" w:rsidP="00F024A6">
      <w:pPr>
        <w:pStyle w:val="ListParagraph"/>
        <w:numPr>
          <w:ilvl w:val="0"/>
          <w:numId w:val="16"/>
        </w:numPr>
        <w:spacing w:line="360" w:lineRule="auto"/>
        <w:ind w:left="0" w:firstLine="0"/>
        <w:jc w:val="both"/>
        <w:rPr>
          <w:rFonts w:cs="Arial"/>
        </w:rPr>
      </w:pPr>
      <w:r>
        <w:rPr>
          <w:rFonts w:cs="Arial"/>
        </w:rPr>
        <w:t>t</w:t>
      </w:r>
      <w:r w:rsidR="00BD64E4" w:rsidRPr="00C50B61">
        <w:rPr>
          <w:rFonts w:cs="Arial"/>
        </w:rPr>
        <w:t>his position is to be distinguished</w:t>
      </w:r>
      <w:r w:rsidR="00E775B8" w:rsidRPr="00C50B61">
        <w:rPr>
          <w:rFonts w:cs="Arial"/>
        </w:rPr>
        <w:t xml:space="preserve"> from</w:t>
      </w:r>
      <w:r w:rsidR="00BD64E4" w:rsidRPr="00C50B61">
        <w:rPr>
          <w:rFonts w:cs="Arial"/>
        </w:rPr>
        <w:t xml:space="preserve"> the position created by</w:t>
      </w:r>
      <w:r w:rsidR="00E775B8" w:rsidRPr="00C50B61">
        <w:rPr>
          <w:rFonts w:cs="Arial"/>
        </w:rPr>
        <w:t xml:space="preserve"> section 16(1)(</w:t>
      </w:r>
      <w:r w:rsidR="00E775B8" w:rsidRPr="00C50B61">
        <w:rPr>
          <w:rFonts w:cs="Arial"/>
          <w:i/>
        </w:rPr>
        <w:t>f</w:t>
      </w:r>
      <w:r w:rsidR="00E775B8" w:rsidRPr="00C50B61">
        <w:rPr>
          <w:rFonts w:cs="Arial"/>
        </w:rPr>
        <w:t>) and section 33, which</w:t>
      </w:r>
      <w:r w:rsidR="00BD64E4" w:rsidRPr="00C50B61">
        <w:rPr>
          <w:rFonts w:cs="Arial"/>
        </w:rPr>
        <w:t xml:space="preserve"> sections</w:t>
      </w:r>
      <w:r w:rsidR="00E775B8" w:rsidRPr="00C50B61">
        <w:rPr>
          <w:rFonts w:cs="Arial"/>
        </w:rPr>
        <w:t xml:space="preserve"> expressly confer certain investigative powers on th</w:t>
      </w:r>
      <w:r w:rsidR="00BD64E4" w:rsidRPr="00C50B61">
        <w:rPr>
          <w:rFonts w:cs="Arial"/>
        </w:rPr>
        <w:t>e Commission</w:t>
      </w:r>
      <w:r>
        <w:rPr>
          <w:rFonts w:cs="Arial"/>
        </w:rPr>
        <w:t>;</w:t>
      </w:r>
    </w:p>
    <w:p w:rsidR="00C50B61" w:rsidRPr="00C50B61" w:rsidRDefault="00C50B61" w:rsidP="00F024A6">
      <w:pPr>
        <w:spacing w:after="0" w:line="360" w:lineRule="auto"/>
        <w:jc w:val="both"/>
        <w:rPr>
          <w:rFonts w:cs="Arial"/>
        </w:rPr>
      </w:pPr>
    </w:p>
    <w:p w:rsidR="00C50B61" w:rsidRDefault="00C50B61" w:rsidP="00F024A6">
      <w:pPr>
        <w:pStyle w:val="ListParagraph"/>
        <w:numPr>
          <w:ilvl w:val="0"/>
          <w:numId w:val="16"/>
        </w:numPr>
        <w:spacing w:line="360" w:lineRule="auto"/>
        <w:ind w:left="0" w:firstLine="0"/>
        <w:jc w:val="both"/>
        <w:rPr>
          <w:rFonts w:cs="Arial"/>
        </w:rPr>
      </w:pPr>
      <w:r>
        <w:rPr>
          <w:rFonts w:cs="Arial"/>
        </w:rPr>
        <w:t>s</w:t>
      </w:r>
      <w:r w:rsidR="00E775B8" w:rsidRPr="00C50B61">
        <w:rPr>
          <w:rFonts w:cs="Arial"/>
        </w:rPr>
        <w:t>ection 34 is also distinguishable, for example, from section 35(1), where the power to receive evidence is given to the Commissio</w:t>
      </w:r>
      <w:r>
        <w:rPr>
          <w:rFonts w:cs="Arial"/>
        </w:rPr>
        <w:t>n, as opposed to an inspector;</w:t>
      </w:r>
    </w:p>
    <w:p w:rsidR="00C50B61" w:rsidRPr="00C50B61" w:rsidRDefault="00C50B61" w:rsidP="00F024A6">
      <w:pPr>
        <w:spacing w:after="0" w:line="360" w:lineRule="auto"/>
        <w:jc w:val="both"/>
        <w:rPr>
          <w:rFonts w:cs="Arial"/>
        </w:rPr>
      </w:pPr>
    </w:p>
    <w:p w:rsidR="00C50B61" w:rsidRDefault="00C50B61" w:rsidP="00F024A6">
      <w:pPr>
        <w:pStyle w:val="ListParagraph"/>
        <w:numPr>
          <w:ilvl w:val="0"/>
          <w:numId w:val="16"/>
        </w:numPr>
        <w:spacing w:line="360" w:lineRule="auto"/>
        <w:ind w:left="0" w:firstLine="0"/>
        <w:jc w:val="both"/>
        <w:rPr>
          <w:rFonts w:cs="Arial"/>
        </w:rPr>
      </w:pPr>
      <w:r>
        <w:rPr>
          <w:rFonts w:cs="Arial"/>
        </w:rPr>
        <w:t>t</w:t>
      </w:r>
      <w:r w:rsidR="00E775B8" w:rsidRPr="00C50B61">
        <w:rPr>
          <w:rFonts w:cs="Arial"/>
        </w:rPr>
        <w:t>he ancillary powers described in section 35 are similarly assigned to the Comm</w:t>
      </w:r>
      <w:r>
        <w:rPr>
          <w:rFonts w:cs="Arial"/>
        </w:rPr>
        <w:t>ission, and not to inspectors;</w:t>
      </w:r>
    </w:p>
    <w:p w:rsidR="00C50B61" w:rsidRPr="00C50B61" w:rsidRDefault="00C50B61" w:rsidP="00F024A6">
      <w:pPr>
        <w:spacing w:after="0" w:line="360" w:lineRule="auto"/>
        <w:jc w:val="both"/>
        <w:rPr>
          <w:rFonts w:cs="Arial"/>
        </w:rPr>
      </w:pPr>
    </w:p>
    <w:p w:rsidR="00C50B61" w:rsidRDefault="00C50B61" w:rsidP="00F024A6">
      <w:pPr>
        <w:pStyle w:val="ListParagraph"/>
        <w:numPr>
          <w:ilvl w:val="0"/>
          <w:numId w:val="16"/>
        </w:numPr>
        <w:spacing w:line="360" w:lineRule="auto"/>
        <w:ind w:left="0" w:firstLine="0"/>
        <w:jc w:val="both"/>
        <w:rPr>
          <w:rFonts w:cs="Arial"/>
        </w:rPr>
      </w:pPr>
      <w:r>
        <w:rPr>
          <w:rFonts w:cs="Arial"/>
        </w:rPr>
        <w:t>i</w:t>
      </w:r>
      <w:r w:rsidR="00E775B8" w:rsidRPr="00C50B61">
        <w:rPr>
          <w:rFonts w:cs="Arial"/>
        </w:rPr>
        <w:t>t is different also from section 36, which directs the Commission to give notice of the outcome of its inves</w:t>
      </w:r>
      <w:r>
        <w:rPr>
          <w:rFonts w:cs="Arial"/>
        </w:rPr>
        <w:t>tigations, and not an inspector;</w:t>
      </w:r>
    </w:p>
    <w:p w:rsidR="00C50B61" w:rsidRPr="00C50B61" w:rsidRDefault="00E775B8" w:rsidP="00F024A6">
      <w:pPr>
        <w:spacing w:after="0" w:line="360" w:lineRule="auto"/>
        <w:jc w:val="both"/>
        <w:rPr>
          <w:rFonts w:cs="Arial"/>
        </w:rPr>
      </w:pPr>
      <w:r w:rsidRPr="00C50B61">
        <w:rPr>
          <w:rFonts w:cs="Arial"/>
        </w:rPr>
        <w:t xml:space="preserve">  </w:t>
      </w:r>
    </w:p>
    <w:p w:rsidR="00E775B8" w:rsidRPr="00C50B61" w:rsidRDefault="00C50B61" w:rsidP="00F024A6">
      <w:pPr>
        <w:pStyle w:val="ListParagraph"/>
        <w:numPr>
          <w:ilvl w:val="0"/>
          <w:numId w:val="16"/>
        </w:numPr>
        <w:spacing w:line="360" w:lineRule="auto"/>
        <w:ind w:left="0" w:firstLine="0"/>
        <w:jc w:val="both"/>
        <w:rPr>
          <w:rFonts w:cs="Arial"/>
        </w:rPr>
      </w:pPr>
      <w:r>
        <w:rPr>
          <w:rFonts w:cs="Arial"/>
        </w:rPr>
        <w:t>t</w:t>
      </w:r>
      <w:r w:rsidR="00E775B8" w:rsidRPr="00C50B61">
        <w:rPr>
          <w:rFonts w:cs="Arial"/>
        </w:rPr>
        <w:t>he same distinguishing factor</w:t>
      </w:r>
      <w:r>
        <w:rPr>
          <w:rFonts w:cs="Arial"/>
        </w:rPr>
        <w:t>s are</w:t>
      </w:r>
      <w:r w:rsidR="00E775B8" w:rsidRPr="00C50B61">
        <w:rPr>
          <w:rFonts w:cs="Arial"/>
        </w:rPr>
        <w:t xml:space="preserve"> to be found in section 37 (under which the Commission may receive oral representations), section 38 (institution of proceedings </w:t>
      </w:r>
      <w:r w:rsidR="00E775B8" w:rsidRPr="00C50B61">
        <w:rPr>
          <w:rFonts w:cs="Arial"/>
        </w:rPr>
        <w:lastRenderedPageBreak/>
        <w:t>by the Commission), section 39 (power of the Commission to make application for in</w:t>
      </w:r>
      <w:r>
        <w:rPr>
          <w:rFonts w:cs="Arial"/>
        </w:rPr>
        <w:t>terim relief to the High Court) and</w:t>
      </w:r>
      <w:r w:rsidR="00E775B8" w:rsidRPr="00C50B61">
        <w:rPr>
          <w:rFonts w:cs="Arial"/>
        </w:rPr>
        <w:t xml:space="preserve"> section 40 (power of the Commission to enter into a consent agreement) and the like.   </w:t>
      </w:r>
    </w:p>
    <w:p w:rsidR="00C50B61" w:rsidRDefault="00C50B61" w:rsidP="003531BA">
      <w:pPr>
        <w:pStyle w:val="ListParagraph"/>
        <w:widowControl/>
        <w:autoSpaceDE/>
        <w:autoSpaceDN/>
        <w:adjustRightInd/>
        <w:spacing w:line="360" w:lineRule="auto"/>
        <w:ind w:left="0"/>
        <w:jc w:val="both"/>
        <w:rPr>
          <w:rFonts w:cs="Arial"/>
          <w:u w:val="single"/>
        </w:rPr>
      </w:pPr>
    </w:p>
    <w:p w:rsidR="009976C6" w:rsidRDefault="00C50B61" w:rsidP="003531BA">
      <w:pPr>
        <w:pStyle w:val="ListParagraph"/>
        <w:widowControl/>
        <w:autoSpaceDE/>
        <w:autoSpaceDN/>
        <w:adjustRightInd/>
        <w:spacing w:line="360" w:lineRule="auto"/>
        <w:ind w:left="0"/>
        <w:jc w:val="both"/>
        <w:rPr>
          <w:rFonts w:cs="Arial"/>
        </w:rPr>
      </w:pPr>
      <w:r w:rsidRPr="00C50B61">
        <w:rPr>
          <w:rFonts w:cs="Arial"/>
        </w:rPr>
        <w:t>[</w:t>
      </w:r>
      <w:r w:rsidR="00F024A6">
        <w:rPr>
          <w:rFonts w:cs="Arial"/>
        </w:rPr>
        <w:t>61</w:t>
      </w:r>
      <w:r w:rsidRPr="00C50B61">
        <w:rPr>
          <w:rFonts w:cs="Arial"/>
        </w:rPr>
        <w:t>]</w:t>
      </w:r>
      <w:r w:rsidRPr="00C50B61">
        <w:rPr>
          <w:rFonts w:cs="Arial"/>
        </w:rPr>
        <w:tab/>
      </w:r>
      <w:r>
        <w:rPr>
          <w:rFonts w:cs="Arial"/>
        </w:rPr>
        <w:t xml:space="preserve">I </w:t>
      </w:r>
      <w:r w:rsidR="0062515D">
        <w:rPr>
          <w:rFonts w:cs="Arial"/>
        </w:rPr>
        <w:t>agree with the submission that it</w:t>
      </w:r>
      <w:r>
        <w:rPr>
          <w:rFonts w:cs="Arial"/>
        </w:rPr>
        <w:t xml:space="preserve"> is evident from the</w:t>
      </w:r>
      <w:r w:rsidR="00E775B8" w:rsidRPr="00C50B61">
        <w:rPr>
          <w:rFonts w:cs="Arial"/>
        </w:rPr>
        <w:t xml:space="preserve"> consideration of the various sections</w:t>
      </w:r>
      <w:r>
        <w:rPr>
          <w:rFonts w:cs="Arial"/>
        </w:rPr>
        <w:t xml:space="preserve"> listed above</w:t>
      </w:r>
      <w:r w:rsidR="0062515D">
        <w:rPr>
          <w:rFonts w:cs="Arial"/>
        </w:rPr>
        <w:t xml:space="preserve">, </w:t>
      </w:r>
      <w:r w:rsidR="00E775B8" w:rsidRPr="00C50B61">
        <w:rPr>
          <w:rFonts w:cs="Arial"/>
        </w:rPr>
        <w:t>that</w:t>
      </w:r>
      <w:r>
        <w:rPr>
          <w:rFonts w:cs="Arial"/>
        </w:rPr>
        <w:t xml:space="preserve"> the legislature has made a choice and</w:t>
      </w:r>
      <w:r w:rsidR="0071752D">
        <w:rPr>
          <w:rFonts w:cs="Arial"/>
        </w:rPr>
        <w:t xml:space="preserve"> that it appears from those sections</w:t>
      </w:r>
      <w:r>
        <w:rPr>
          <w:rFonts w:cs="Arial"/>
        </w:rPr>
        <w:t xml:space="preserve"> that the legislature has made a considered distinction</w:t>
      </w:r>
      <w:r w:rsidR="00E775B8" w:rsidRPr="00C50B61">
        <w:rPr>
          <w:rFonts w:cs="Arial"/>
        </w:rPr>
        <w:t xml:space="preserve"> between the various powers vested in the Commission and th</w:t>
      </w:r>
      <w:r w:rsidR="00132FB1">
        <w:rPr>
          <w:rFonts w:cs="Arial"/>
        </w:rPr>
        <w:t xml:space="preserve">e power to apply for a warrant which is </w:t>
      </w:r>
      <w:r w:rsidR="00E775B8" w:rsidRPr="00C50B61">
        <w:rPr>
          <w:rFonts w:cs="Arial"/>
        </w:rPr>
        <w:t xml:space="preserve">vested in an investigator. </w:t>
      </w:r>
    </w:p>
    <w:p w:rsidR="009976C6" w:rsidRDefault="009976C6" w:rsidP="003531BA">
      <w:pPr>
        <w:pStyle w:val="ListParagraph"/>
        <w:widowControl/>
        <w:autoSpaceDE/>
        <w:autoSpaceDN/>
        <w:adjustRightInd/>
        <w:spacing w:line="360" w:lineRule="auto"/>
        <w:ind w:left="0"/>
        <w:jc w:val="both"/>
        <w:rPr>
          <w:rFonts w:cs="Arial"/>
        </w:rPr>
      </w:pPr>
    </w:p>
    <w:p w:rsidR="0071752D" w:rsidRDefault="009976C6" w:rsidP="003531BA">
      <w:pPr>
        <w:pStyle w:val="ListParagraph"/>
        <w:widowControl/>
        <w:autoSpaceDE/>
        <w:autoSpaceDN/>
        <w:adjustRightInd/>
        <w:spacing w:line="360" w:lineRule="auto"/>
        <w:ind w:left="0"/>
        <w:jc w:val="both"/>
        <w:rPr>
          <w:rFonts w:cs="Arial"/>
        </w:rPr>
      </w:pPr>
      <w:r>
        <w:rPr>
          <w:rFonts w:cs="Arial"/>
        </w:rPr>
        <w:t>[</w:t>
      </w:r>
      <w:r w:rsidR="00F024A6">
        <w:rPr>
          <w:rFonts w:cs="Arial"/>
        </w:rPr>
        <w:t>62</w:t>
      </w:r>
      <w:r w:rsidR="0071752D">
        <w:rPr>
          <w:rFonts w:cs="Arial"/>
        </w:rPr>
        <w:t>]</w:t>
      </w:r>
      <w:r w:rsidR="0071752D">
        <w:rPr>
          <w:rFonts w:cs="Arial"/>
        </w:rPr>
        <w:tab/>
        <w:t>Puma’s</w:t>
      </w:r>
      <w:r>
        <w:rPr>
          <w:rFonts w:cs="Arial"/>
        </w:rPr>
        <w:t xml:space="preserve"> submissions ar</w:t>
      </w:r>
      <w:r w:rsidR="002133C6">
        <w:rPr>
          <w:rFonts w:cs="Arial"/>
        </w:rPr>
        <w:t>e further</w:t>
      </w:r>
      <w:r>
        <w:rPr>
          <w:rFonts w:cs="Arial"/>
        </w:rPr>
        <w:t xml:space="preserve"> underscored by the various</w:t>
      </w:r>
      <w:r w:rsidR="0071752D">
        <w:rPr>
          <w:rFonts w:cs="Arial"/>
        </w:rPr>
        <w:t xml:space="preserve"> relied upon and</w:t>
      </w:r>
      <w:r>
        <w:rPr>
          <w:rFonts w:cs="Arial"/>
        </w:rPr>
        <w:t xml:space="preserve"> applicable canons of statutory interpretation, which all militate towards a literal interpretation of the sections in question, resulting in a position where it can by no stretch of t</w:t>
      </w:r>
      <w:r w:rsidR="0071752D">
        <w:rPr>
          <w:rFonts w:cs="Arial"/>
        </w:rPr>
        <w:t>he imagination be said that the contended for</w:t>
      </w:r>
      <w:r>
        <w:rPr>
          <w:rFonts w:cs="Arial"/>
        </w:rPr>
        <w:t xml:space="preserve"> interpretation would result in an absurdity or an unjust result or even one that would be inconsistent with the other provisions of the Competition Act. </w:t>
      </w:r>
    </w:p>
    <w:p w:rsidR="00132FB1" w:rsidRDefault="00132FB1" w:rsidP="003531BA">
      <w:pPr>
        <w:pStyle w:val="ListParagraph"/>
        <w:widowControl/>
        <w:autoSpaceDE/>
        <w:autoSpaceDN/>
        <w:adjustRightInd/>
        <w:spacing w:line="360" w:lineRule="auto"/>
        <w:ind w:left="0"/>
        <w:jc w:val="both"/>
        <w:rPr>
          <w:rFonts w:cs="Arial"/>
        </w:rPr>
      </w:pPr>
    </w:p>
    <w:p w:rsidR="00E775B8" w:rsidRPr="00C50B61" w:rsidRDefault="0071752D" w:rsidP="003531BA">
      <w:pPr>
        <w:pStyle w:val="ListParagraph"/>
        <w:widowControl/>
        <w:autoSpaceDE/>
        <w:autoSpaceDN/>
        <w:adjustRightInd/>
        <w:spacing w:line="360" w:lineRule="auto"/>
        <w:ind w:left="0"/>
        <w:jc w:val="both"/>
        <w:rPr>
          <w:rFonts w:cs="Arial"/>
        </w:rPr>
      </w:pPr>
      <w:r>
        <w:rPr>
          <w:rFonts w:cs="Arial"/>
        </w:rPr>
        <w:t>[</w:t>
      </w:r>
      <w:r w:rsidR="00490A96">
        <w:rPr>
          <w:rFonts w:cs="Arial"/>
        </w:rPr>
        <w:t>63</w:t>
      </w:r>
      <w:r>
        <w:rPr>
          <w:rFonts w:cs="Arial"/>
        </w:rPr>
        <w:t>]</w:t>
      </w:r>
      <w:r>
        <w:rPr>
          <w:rFonts w:cs="Arial"/>
        </w:rPr>
        <w:tab/>
      </w:r>
      <w:r w:rsidR="002133C6">
        <w:rPr>
          <w:rFonts w:cs="Arial"/>
        </w:rPr>
        <w:t>Th</w:t>
      </w:r>
      <w:r w:rsidR="009976C6">
        <w:rPr>
          <w:rFonts w:cs="Arial"/>
        </w:rPr>
        <w:t>e above analysis and comparison of the various sections has</w:t>
      </w:r>
      <w:r>
        <w:rPr>
          <w:rFonts w:cs="Arial"/>
        </w:rPr>
        <w:t xml:space="preserve"> also in my view</w:t>
      </w:r>
      <w:r w:rsidR="009976C6">
        <w:rPr>
          <w:rFonts w:cs="Arial"/>
        </w:rPr>
        <w:t xml:space="preserve"> shown – through the phraseology </w:t>
      </w:r>
      <w:r w:rsidR="002133C6">
        <w:rPr>
          <w:rFonts w:cs="Arial"/>
        </w:rPr>
        <w:t>utilized -</w:t>
      </w:r>
      <w:r w:rsidR="009976C6">
        <w:rPr>
          <w:rFonts w:cs="Arial"/>
        </w:rPr>
        <w:t xml:space="preserve"> that the legislature intended to draw a distinction between the powers of the Commission and those afforded to an</w:t>
      </w:r>
      <w:r w:rsidR="00132FB1">
        <w:rPr>
          <w:rFonts w:cs="Arial"/>
        </w:rPr>
        <w:t xml:space="preserve"> investigator in pursuance of a judicially</w:t>
      </w:r>
      <w:r w:rsidR="009976C6">
        <w:rPr>
          <w:rFonts w:cs="Arial"/>
        </w:rPr>
        <w:t xml:space="preserve"> authorised warrant.</w:t>
      </w:r>
    </w:p>
    <w:p w:rsidR="004F0E9E" w:rsidRDefault="004F0E9E" w:rsidP="003531BA">
      <w:pPr>
        <w:spacing w:after="0" w:line="360" w:lineRule="auto"/>
        <w:jc w:val="both"/>
        <w:rPr>
          <w:rFonts w:ascii="Arial" w:hAnsi="Arial" w:cs="Arial"/>
          <w:sz w:val="24"/>
          <w:szCs w:val="24"/>
        </w:rPr>
      </w:pPr>
    </w:p>
    <w:p w:rsidR="002133C6" w:rsidRDefault="002133C6" w:rsidP="003531BA">
      <w:pPr>
        <w:pStyle w:val="level1"/>
        <w:spacing w:after="0" w:line="360" w:lineRule="auto"/>
        <w:jc w:val="both"/>
        <w:rPr>
          <w:rFonts w:ascii="Arial" w:eastAsia="Calibri" w:hAnsi="Arial" w:cs="Arial"/>
          <w:lang w:val="en-US"/>
        </w:rPr>
      </w:pPr>
      <w:r>
        <w:rPr>
          <w:rFonts w:ascii="Arial" w:eastAsia="Calibri" w:hAnsi="Arial" w:cs="Arial"/>
          <w:lang w:val="en-US"/>
        </w:rPr>
        <w:t>[</w:t>
      </w:r>
      <w:r w:rsidR="00F024A6">
        <w:rPr>
          <w:rFonts w:ascii="Arial" w:eastAsia="Calibri" w:hAnsi="Arial" w:cs="Arial"/>
          <w:lang w:val="en-US"/>
        </w:rPr>
        <w:t>6</w:t>
      </w:r>
      <w:r w:rsidR="00490A96">
        <w:rPr>
          <w:rFonts w:ascii="Arial" w:eastAsia="Calibri" w:hAnsi="Arial" w:cs="Arial"/>
          <w:lang w:val="en-US"/>
        </w:rPr>
        <w:t>4</w:t>
      </w:r>
      <w:r>
        <w:rPr>
          <w:rFonts w:ascii="Arial" w:eastAsia="Calibri" w:hAnsi="Arial" w:cs="Arial"/>
          <w:lang w:val="en-US"/>
        </w:rPr>
        <w:t>]</w:t>
      </w:r>
      <w:r>
        <w:rPr>
          <w:rFonts w:ascii="Arial" w:eastAsia="Calibri" w:hAnsi="Arial" w:cs="Arial"/>
          <w:lang w:val="en-US"/>
        </w:rPr>
        <w:tab/>
      </w:r>
      <w:r w:rsidR="0071752D">
        <w:rPr>
          <w:rFonts w:ascii="Arial" w:eastAsia="Calibri" w:hAnsi="Arial" w:cs="Arial"/>
          <w:lang w:val="en-US"/>
        </w:rPr>
        <w:t>In addition</w:t>
      </w:r>
      <w:r>
        <w:rPr>
          <w:rFonts w:ascii="Arial" w:eastAsia="Calibri" w:hAnsi="Arial" w:cs="Arial"/>
          <w:lang w:val="en-US"/>
        </w:rPr>
        <w:t xml:space="preserve"> the supportiv</w:t>
      </w:r>
      <w:r w:rsidR="0071752D">
        <w:rPr>
          <w:rFonts w:ascii="Arial" w:eastAsia="Calibri" w:hAnsi="Arial" w:cs="Arial"/>
          <w:lang w:val="en-US"/>
        </w:rPr>
        <w:t>e argument is also particularly</w:t>
      </w:r>
      <w:r w:rsidR="00F024A6">
        <w:rPr>
          <w:rFonts w:ascii="Arial" w:eastAsia="Calibri" w:hAnsi="Arial" w:cs="Arial"/>
          <w:lang w:val="en-US"/>
        </w:rPr>
        <w:t xml:space="preserve"> well made, namely</w:t>
      </w:r>
      <w:r>
        <w:rPr>
          <w:rFonts w:ascii="Arial" w:eastAsia="Calibri" w:hAnsi="Arial" w:cs="Arial"/>
          <w:lang w:val="en-US"/>
        </w:rPr>
        <w:t xml:space="preserve"> that:</w:t>
      </w:r>
    </w:p>
    <w:p w:rsidR="002133C6" w:rsidRDefault="002133C6" w:rsidP="003531BA">
      <w:pPr>
        <w:pStyle w:val="level1"/>
        <w:spacing w:after="0" w:line="360" w:lineRule="auto"/>
        <w:jc w:val="both"/>
        <w:rPr>
          <w:rFonts w:ascii="Arial" w:eastAsia="Calibri" w:hAnsi="Arial" w:cs="Arial"/>
          <w:lang w:val="en-US"/>
        </w:rPr>
      </w:pPr>
    </w:p>
    <w:p w:rsidR="009976C6" w:rsidRPr="002133C6" w:rsidRDefault="002133C6" w:rsidP="00E153E7">
      <w:pPr>
        <w:pStyle w:val="level1"/>
        <w:spacing w:after="0" w:line="360" w:lineRule="auto"/>
        <w:jc w:val="both"/>
        <w:rPr>
          <w:rFonts w:ascii="Arial" w:eastAsiaTheme="minorHAnsi" w:hAnsi="Arial" w:cs="Arial"/>
          <w:color w:val="1B1919"/>
          <w:sz w:val="22"/>
          <w:szCs w:val="22"/>
        </w:rPr>
      </w:pPr>
      <w:proofErr w:type="gramStart"/>
      <w:r w:rsidRPr="002133C6">
        <w:rPr>
          <w:rFonts w:ascii="Arial" w:hAnsi="Arial" w:cs="Arial"/>
          <w:color w:val="000000" w:themeColor="text1"/>
          <w:sz w:val="22"/>
          <w:szCs w:val="22"/>
        </w:rPr>
        <w:t>‘ …</w:t>
      </w:r>
      <w:proofErr w:type="gramEnd"/>
      <w:r w:rsidRPr="002133C6">
        <w:rPr>
          <w:rFonts w:ascii="Arial" w:hAnsi="Arial" w:cs="Arial"/>
          <w:color w:val="000000" w:themeColor="text1"/>
          <w:sz w:val="22"/>
          <w:szCs w:val="22"/>
        </w:rPr>
        <w:t xml:space="preserve"> l</w:t>
      </w:r>
      <w:r w:rsidR="009976C6" w:rsidRPr="002133C6">
        <w:rPr>
          <w:rFonts w:ascii="Arial" w:hAnsi="Arial" w:cs="Arial"/>
          <w:color w:val="000000" w:themeColor="text1"/>
          <w:sz w:val="22"/>
          <w:szCs w:val="22"/>
        </w:rPr>
        <w:t>egislation</w:t>
      </w:r>
      <w:r w:rsidRPr="002133C6">
        <w:rPr>
          <w:rFonts w:ascii="Arial" w:hAnsi="Arial" w:cs="Arial"/>
          <w:color w:val="000000" w:themeColor="text1"/>
          <w:sz w:val="22"/>
          <w:szCs w:val="22"/>
        </w:rPr>
        <w:t xml:space="preserve"> </w:t>
      </w:r>
      <w:r w:rsidRPr="002133C6">
        <w:rPr>
          <w:rFonts w:ascii="Arial" w:hAnsi="Arial" w:cs="Arial"/>
          <w:i/>
          <w:color w:val="000000" w:themeColor="text1"/>
          <w:sz w:val="22"/>
          <w:szCs w:val="22"/>
        </w:rPr>
        <w:t>(often)</w:t>
      </w:r>
      <w:r w:rsidR="009976C6" w:rsidRPr="002133C6">
        <w:rPr>
          <w:rFonts w:ascii="Arial" w:hAnsi="Arial" w:cs="Arial"/>
          <w:i/>
          <w:color w:val="000000" w:themeColor="text1"/>
          <w:sz w:val="22"/>
          <w:szCs w:val="22"/>
        </w:rPr>
        <w:t xml:space="preserve"> </w:t>
      </w:r>
      <w:r w:rsidR="009976C6" w:rsidRPr="002133C6">
        <w:rPr>
          <w:rFonts w:ascii="Arial" w:hAnsi="Arial" w:cs="Arial"/>
          <w:color w:val="000000" w:themeColor="text1"/>
          <w:sz w:val="22"/>
          <w:szCs w:val="22"/>
        </w:rPr>
        <w:t>confers powers on named officers ('</w:t>
      </w:r>
      <w:r w:rsidR="009976C6" w:rsidRPr="002133C6">
        <w:rPr>
          <w:rFonts w:ascii="Arial" w:hAnsi="Arial" w:cs="Arial"/>
          <w:i/>
          <w:color w:val="000000" w:themeColor="text1"/>
          <w:sz w:val="22"/>
          <w:szCs w:val="22"/>
        </w:rPr>
        <w:t>the Secretary</w:t>
      </w:r>
      <w:r w:rsidR="009976C6" w:rsidRPr="002133C6">
        <w:rPr>
          <w:rFonts w:ascii="Arial" w:hAnsi="Arial" w:cs="Arial"/>
          <w:color w:val="000000" w:themeColor="text1"/>
          <w:sz w:val="22"/>
          <w:szCs w:val="22"/>
        </w:rPr>
        <w:t>' or ‘</w:t>
      </w:r>
      <w:r w:rsidR="009976C6" w:rsidRPr="002133C6">
        <w:rPr>
          <w:rFonts w:ascii="Arial" w:hAnsi="Arial" w:cs="Arial"/>
          <w:i/>
          <w:color w:val="000000" w:themeColor="text1"/>
          <w:sz w:val="22"/>
          <w:szCs w:val="22"/>
        </w:rPr>
        <w:t>an inspector’</w:t>
      </w:r>
      <w:r w:rsidR="009976C6" w:rsidRPr="002133C6">
        <w:rPr>
          <w:rFonts w:ascii="Arial" w:hAnsi="Arial" w:cs="Arial"/>
          <w:color w:val="000000" w:themeColor="text1"/>
          <w:sz w:val="22"/>
          <w:szCs w:val="22"/>
        </w:rPr>
        <w:t>) or bodies ('</w:t>
      </w:r>
      <w:r w:rsidR="009976C6" w:rsidRPr="002133C6">
        <w:rPr>
          <w:rFonts w:ascii="Arial" w:hAnsi="Arial" w:cs="Arial"/>
          <w:i/>
          <w:color w:val="000000" w:themeColor="text1"/>
          <w:sz w:val="22"/>
          <w:szCs w:val="22"/>
        </w:rPr>
        <w:t>the Commission</w:t>
      </w:r>
      <w:r w:rsidR="009976C6" w:rsidRPr="002133C6">
        <w:rPr>
          <w:rFonts w:ascii="Arial" w:hAnsi="Arial" w:cs="Arial"/>
          <w:color w:val="000000" w:themeColor="text1"/>
          <w:sz w:val="22"/>
          <w:szCs w:val="22"/>
        </w:rPr>
        <w:t>').  Specific offices or institutions are intended and they have to be identified by reference to the definitions or descriptions in the empowering legislation.  When power is conferred upon an office or statutory body it is intended that the power should be exercised by that office or body and no one else:</w:t>
      </w:r>
    </w:p>
    <w:p w:rsidR="009976C6" w:rsidRPr="002133C6" w:rsidRDefault="009976C6" w:rsidP="003531BA">
      <w:pPr>
        <w:pStyle w:val="level1"/>
        <w:spacing w:after="0" w:line="360" w:lineRule="auto"/>
        <w:jc w:val="both"/>
        <w:rPr>
          <w:rFonts w:ascii="Arial" w:eastAsiaTheme="minorHAnsi" w:hAnsi="Arial" w:cs="Arial"/>
          <w:color w:val="1B1919"/>
          <w:sz w:val="22"/>
          <w:szCs w:val="22"/>
        </w:rPr>
      </w:pPr>
      <w:r w:rsidRPr="002133C6">
        <w:rPr>
          <w:rFonts w:ascii="Arial" w:hAnsi="Arial" w:cs="Arial"/>
          <w:color w:val="000000" w:themeColor="text1"/>
          <w:sz w:val="22"/>
          <w:szCs w:val="22"/>
        </w:rPr>
        <w:t xml:space="preserve"> </w:t>
      </w:r>
    </w:p>
    <w:p w:rsidR="009976C6" w:rsidRPr="002133C6" w:rsidRDefault="009976C6" w:rsidP="00E153E7">
      <w:pPr>
        <w:pStyle w:val="level1"/>
        <w:spacing w:after="0" w:line="360" w:lineRule="auto"/>
        <w:jc w:val="both"/>
        <w:rPr>
          <w:rFonts w:ascii="Arial" w:eastAsiaTheme="minorHAnsi" w:hAnsi="Arial" w:cs="Arial"/>
          <w:i/>
          <w:color w:val="1B1919"/>
          <w:sz w:val="22"/>
          <w:szCs w:val="22"/>
        </w:rPr>
      </w:pPr>
      <w:r w:rsidRPr="002133C6">
        <w:rPr>
          <w:rFonts w:ascii="Arial" w:eastAsiaTheme="minorHAnsi" w:hAnsi="Arial" w:cs="Arial"/>
          <w:i/>
          <w:color w:val="1B1919"/>
          <w:sz w:val="22"/>
          <w:szCs w:val="22"/>
        </w:rPr>
        <w:t xml:space="preserve">'Power must be exercised in a lawful way in a constitutional state. This requires that it must be exercised by the </w:t>
      </w:r>
      <w:r w:rsidRPr="002133C6">
        <w:rPr>
          <w:rFonts w:ascii="Arial" w:eastAsiaTheme="minorHAnsi" w:hAnsi="Arial" w:cs="Arial"/>
          <w:i/>
          <w:color w:val="1B1919"/>
          <w:sz w:val="22"/>
          <w:szCs w:val="22"/>
          <w:u w:val="single"/>
        </w:rPr>
        <w:t>authority upon whom it is conferred</w:t>
      </w:r>
      <w:r w:rsidRPr="002133C6">
        <w:rPr>
          <w:rFonts w:ascii="Arial" w:eastAsiaTheme="minorHAnsi" w:hAnsi="Arial" w:cs="Arial"/>
          <w:i/>
          <w:color w:val="1B1919"/>
          <w:sz w:val="22"/>
          <w:szCs w:val="22"/>
        </w:rPr>
        <w:t xml:space="preserve">. Unauthorised delegation is administratively invalid because it constitutes a usurpation of parliamentary legislative </w:t>
      </w:r>
      <w:r w:rsidRPr="002133C6">
        <w:rPr>
          <w:rFonts w:ascii="Arial" w:eastAsiaTheme="minorHAnsi" w:hAnsi="Arial" w:cs="Arial"/>
          <w:i/>
          <w:color w:val="1B1919"/>
          <w:sz w:val="22"/>
          <w:szCs w:val="22"/>
        </w:rPr>
        <w:lastRenderedPageBreak/>
        <w:t>authority.  In a sense unlawful delegation is an abdication of power, which cannot be tolerated in a constitutional state.'</w:t>
      </w:r>
      <w:r w:rsidRPr="002133C6">
        <w:rPr>
          <w:rStyle w:val="FootnoteReference"/>
          <w:rFonts w:ascii="Arial" w:eastAsiaTheme="minorHAnsi" w:hAnsi="Arial" w:cs="Arial"/>
          <w:i/>
          <w:color w:val="1B1919"/>
          <w:sz w:val="22"/>
          <w:szCs w:val="22"/>
        </w:rPr>
        <w:footnoteReference w:id="125"/>
      </w:r>
    </w:p>
    <w:p w:rsidR="009976C6" w:rsidRPr="002133C6" w:rsidRDefault="009976C6" w:rsidP="003531BA">
      <w:pPr>
        <w:pStyle w:val="level1"/>
        <w:spacing w:after="0" w:line="360" w:lineRule="auto"/>
        <w:jc w:val="both"/>
        <w:rPr>
          <w:rFonts w:ascii="Arial" w:hAnsi="Arial" w:cs="Arial"/>
          <w:i/>
          <w:color w:val="000000" w:themeColor="text1"/>
          <w:sz w:val="22"/>
          <w:szCs w:val="22"/>
        </w:rPr>
      </w:pPr>
    </w:p>
    <w:p w:rsidR="009976C6" w:rsidRPr="002133C6" w:rsidRDefault="009976C6" w:rsidP="003531BA">
      <w:pPr>
        <w:pStyle w:val="level1"/>
        <w:spacing w:after="0" w:line="360" w:lineRule="auto"/>
        <w:jc w:val="both"/>
        <w:rPr>
          <w:rFonts w:ascii="Arial" w:hAnsi="Arial" w:cs="Arial"/>
          <w:color w:val="000000" w:themeColor="text1"/>
        </w:rPr>
      </w:pPr>
      <w:r w:rsidRPr="002133C6">
        <w:rPr>
          <w:rFonts w:ascii="Arial" w:hAnsi="Arial" w:cs="Arial"/>
          <w:color w:val="000000" w:themeColor="text1"/>
          <w:sz w:val="22"/>
          <w:szCs w:val="22"/>
        </w:rPr>
        <w:t xml:space="preserve">If someone else purports to exercise the power, that act is </w:t>
      </w:r>
      <w:r w:rsidRPr="002133C6">
        <w:rPr>
          <w:rFonts w:ascii="Arial" w:hAnsi="Arial" w:cs="Arial"/>
          <w:i/>
          <w:color w:val="000000" w:themeColor="text1"/>
          <w:sz w:val="22"/>
          <w:szCs w:val="22"/>
        </w:rPr>
        <w:t>ultra vires</w:t>
      </w:r>
      <w:r w:rsidRPr="002133C6">
        <w:rPr>
          <w:rFonts w:ascii="Arial" w:hAnsi="Arial" w:cs="Arial"/>
          <w:color w:val="000000" w:themeColor="text1"/>
          <w:sz w:val="22"/>
          <w:szCs w:val="22"/>
        </w:rPr>
        <w:t xml:space="preserve"> and invalid.</w:t>
      </w:r>
      <w:r w:rsidRPr="002133C6">
        <w:rPr>
          <w:rStyle w:val="FootnoteReference"/>
          <w:rFonts w:ascii="Arial" w:hAnsi="Arial" w:cs="Arial"/>
          <w:color w:val="000000" w:themeColor="text1"/>
          <w:sz w:val="22"/>
          <w:szCs w:val="22"/>
        </w:rPr>
        <w:footnoteReference w:id="126"/>
      </w:r>
      <w:r w:rsidRPr="002133C6">
        <w:rPr>
          <w:rFonts w:ascii="Arial" w:hAnsi="Arial" w:cs="Arial"/>
          <w:color w:val="000000" w:themeColor="text1"/>
          <w:sz w:val="22"/>
          <w:szCs w:val="22"/>
        </w:rPr>
        <w:t xml:space="preserve">  This is so because the recipient of the power is chosen for a purpose.  Should he allow that power to be exercised by someone who was not chosen, he will have abdicated his power and will not have complied with the legislation.</w:t>
      </w:r>
      <w:r w:rsidRPr="002133C6">
        <w:rPr>
          <w:rStyle w:val="FootnoteReference"/>
          <w:rFonts w:ascii="Arial" w:hAnsi="Arial" w:cs="Arial"/>
          <w:color w:val="000000" w:themeColor="text1"/>
          <w:sz w:val="22"/>
          <w:szCs w:val="22"/>
        </w:rPr>
        <w:footnoteReference w:id="127"/>
      </w:r>
      <w:r w:rsidRPr="002133C6">
        <w:rPr>
          <w:rFonts w:ascii="Arial" w:hAnsi="Arial" w:cs="Arial"/>
          <w:color w:val="000000" w:themeColor="text1"/>
          <w:sz w:val="22"/>
          <w:szCs w:val="22"/>
        </w:rPr>
        <w:t xml:space="preserve"> </w:t>
      </w:r>
      <w:r w:rsidR="002133C6" w:rsidRPr="002133C6">
        <w:rPr>
          <w:rFonts w:ascii="Arial" w:hAnsi="Arial" w:cs="Arial"/>
          <w:color w:val="000000" w:themeColor="text1"/>
          <w:sz w:val="22"/>
          <w:szCs w:val="22"/>
        </w:rPr>
        <w:t>‘</w:t>
      </w:r>
      <w:r w:rsidRPr="002133C6">
        <w:rPr>
          <w:rFonts w:ascii="Arial" w:hAnsi="Arial" w:cs="Arial"/>
          <w:color w:val="000000" w:themeColor="text1"/>
        </w:rPr>
        <w:t xml:space="preserve"> </w:t>
      </w:r>
    </w:p>
    <w:p w:rsidR="002133C6" w:rsidRDefault="002133C6" w:rsidP="003531BA">
      <w:pPr>
        <w:pStyle w:val="ListParagraph"/>
        <w:widowControl/>
        <w:autoSpaceDE/>
        <w:autoSpaceDN/>
        <w:adjustRightInd/>
        <w:spacing w:line="360" w:lineRule="auto"/>
        <w:ind w:left="0"/>
        <w:contextualSpacing/>
        <w:jc w:val="both"/>
        <w:rPr>
          <w:rFonts w:cs="Arial"/>
          <w:sz w:val="22"/>
          <w:szCs w:val="22"/>
          <w:u w:val="single"/>
        </w:rPr>
      </w:pPr>
    </w:p>
    <w:p w:rsidR="009976C6" w:rsidRPr="00157421" w:rsidRDefault="002133C6" w:rsidP="003531BA">
      <w:pPr>
        <w:pStyle w:val="ListParagraph"/>
        <w:widowControl/>
        <w:autoSpaceDE/>
        <w:autoSpaceDN/>
        <w:adjustRightInd/>
        <w:spacing w:line="360" w:lineRule="auto"/>
        <w:ind w:left="0"/>
        <w:contextualSpacing/>
        <w:jc w:val="both"/>
        <w:rPr>
          <w:rFonts w:cs="Arial"/>
          <w:u w:val="single"/>
        </w:rPr>
      </w:pPr>
      <w:r w:rsidRPr="002133C6">
        <w:rPr>
          <w:rFonts w:cs="Arial"/>
        </w:rPr>
        <w:t>[</w:t>
      </w:r>
      <w:r w:rsidR="00F024A6">
        <w:rPr>
          <w:rFonts w:cs="Arial"/>
        </w:rPr>
        <w:t>6</w:t>
      </w:r>
      <w:r w:rsidR="00490A96">
        <w:rPr>
          <w:rFonts w:cs="Arial"/>
        </w:rPr>
        <w:t>5</w:t>
      </w:r>
      <w:r w:rsidRPr="002133C6">
        <w:rPr>
          <w:rFonts w:cs="Arial"/>
        </w:rPr>
        <w:t>]</w:t>
      </w:r>
      <w:r w:rsidRPr="002133C6">
        <w:rPr>
          <w:rFonts w:cs="Arial"/>
        </w:rPr>
        <w:tab/>
      </w:r>
      <w:r w:rsidR="00157421">
        <w:rPr>
          <w:rFonts w:cs="Arial"/>
        </w:rPr>
        <w:t>It must follow further from the above that if any powers could be delegated by the Commission it could only be those powers which the Competition Act confers on the Commission. As the section 34 power was a power that was not conferred by the statute on the Commission the Commission could not delegate any such powers to</w:t>
      </w:r>
      <w:r w:rsidR="00753E5C">
        <w:rPr>
          <w:rFonts w:cs="Arial"/>
        </w:rPr>
        <w:t xml:space="preserve"> i</w:t>
      </w:r>
      <w:r w:rsidR="00157421">
        <w:rPr>
          <w:rFonts w:cs="Arial"/>
        </w:rPr>
        <w:t>t</w:t>
      </w:r>
      <w:r w:rsidR="00753E5C">
        <w:rPr>
          <w:rFonts w:cs="Arial"/>
        </w:rPr>
        <w:t>s</w:t>
      </w:r>
      <w:r w:rsidR="00157421">
        <w:rPr>
          <w:rFonts w:cs="Arial"/>
        </w:rPr>
        <w:t xml:space="preserve"> Acting Secretary</w:t>
      </w:r>
      <w:r w:rsidR="00753E5C">
        <w:rPr>
          <w:rFonts w:cs="Arial"/>
        </w:rPr>
        <w:t>,</w:t>
      </w:r>
      <w:r w:rsidR="00157421">
        <w:rPr>
          <w:rFonts w:cs="Arial"/>
        </w:rPr>
        <w:t xml:space="preserve"> Mr Ndalikolule. </w:t>
      </w:r>
      <w:r w:rsidR="0071752D">
        <w:rPr>
          <w:rFonts w:cs="Arial"/>
        </w:rPr>
        <w:t>Factually t</w:t>
      </w:r>
      <w:r w:rsidR="009976C6" w:rsidRPr="00157421">
        <w:rPr>
          <w:rFonts w:cs="Arial"/>
        </w:rPr>
        <w:t>he delegation</w:t>
      </w:r>
      <w:r w:rsidR="00157421">
        <w:rPr>
          <w:rFonts w:cs="Arial"/>
        </w:rPr>
        <w:t xml:space="preserve"> in question</w:t>
      </w:r>
      <w:r w:rsidR="009976C6" w:rsidRPr="00157421">
        <w:rPr>
          <w:rFonts w:cs="Arial"/>
        </w:rPr>
        <w:t xml:space="preserve"> was </w:t>
      </w:r>
      <w:r w:rsidR="00313871">
        <w:rPr>
          <w:rFonts w:cs="Arial"/>
        </w:rPr>
        <w:t xml:space="preserve">also </w:t>
      </w:r>
      <w:r w:rsidR="009976C6" w:rsidRPr="00157421">
        <w:rPr>
          <w:rFonts w:cs="Arial"/>
        </w:rPr>
        <w:t>expressly confined to a delegation of power</w:t>
      </w:r>
      <w:r w:rsidR="00157421">
        <w:rPr>
          <w:rFonts w:cs="Arial"/>
        </w:rPr>
        <w:t>s vested in the Commission.  That</w:t>
      </w:r>
      <w:r w:rsidR="009976C6" w:rsidRPr="00157421">
        <w:rPr>
          <w:rFonts w:cs="Arial"/>
        </w:rPr>
        <w:t xml:space="preserve"> delegation did not</w:t>
      </w:r>
      <w:r w:rsidR="00157421">
        <w:rPr>
          <w:rFonts w:cs="Arial"/>
        </w:rPr>
        <w:t xml:space="preserve"> even</w:t>
      </w:r>
      <w:r w:rsidR="009976C6" w:rsidRPr="00157421">
        <w:rPr>
          <w:rFonts w:cs="Arial"/>
        </w:rPr>
        <w:t xml:space="preserve"> purport to deleg</w:t>
      </w:r>
      <w:r w:rsidR="00157421" w:rsidRPr="00157421">
        <w:rPr>
          <w:rFonts w:cs="Arial"/>
        </w:rPr>
        <w:t xml:space="preserve">ate any powers under section 34 </w:t>
      </w:r>
      <w:r w:rsidR="009976C6" w:rsidRPr="00157421">
        <w:rPr>
          <w:rFonts w:cs="Arial"/>
        </w:rPr>
        <w:t>vested</w:t>
      </w:r>
      <w:r w:rsidR="00157421">
        <w:rPr>
          <w:rFonts w:cs="Arial"/>
        </w:rPr>
        <w:t xml:space="preserve"> in investigators,</w:t>
      </w:r>
      <w:r w:rsidR="00132FB1">
        <w:rPr>
          <w:rFonts w:cs="Arial"/>
        </w:rPr>
        <w:t xml:space="preserve"> which in any event were</w:t>
      </w:r>
      <w:r w:rsidR="009976C6" w:rsidRPr="00157421">
        <w:rPr>
          <w:rFonts w:cs="Arial"/>
        </w:rPr>
        <w:t xml:space="preserve"> not</w:t>
      </w:r>
      <w:r w:rsidR="00157421">
        <w:rPr>
          <w:rFonts w:cs="Arial"/>
        </w:rPr>
        <w:t xml:space="preserve"> being</w:t>
      </w:r>
      <w:r w:rsidR="009976C6" w:rsidRPr="00157421">
        <w:rPr>
          <w:rFonts w:cs="Arial"/>
        </w:rPr>
        <w:t xml:space="preserve"> capable of delegation by the Commission.</w:t>
      </w:r>
      <w:r w:rsidR="009976C6" w:rsidRPr="002133C6">
        <w:rPr>
          <w:rFonts w:cs="Arial"/>
          <w:u w:val="single"/>
        </w:rPr>
        <w:t xml:space="preserve">  </w:t>
      </w:r>
    </w:p>
    <w:p w:rsidR="00157421" w:rsidRDefault="00157421" w:rsidP="003531BA">
      <w:pPr>
        <w:pStyle w:val="ListParagraph"/>
        <w:widowControl/>
        <w:autoSpaceDE/>
        <w:autoSpaceDN/>
        <w:adjustRightInd/>
        <w:spacing w:line="360" w:lineRule="auto"/>
        <w:ind w:left="0"/>
        <w:contextualSpacing/>
        <w:jc w:val="both"/>
        <w:rPr>
          <w:rFonts w:cs="Arial"/>
        </w:rPr>
      </w:pPr>
    </w:p>
    <w:p w:rsidR="00753E5C" w:rsidRDefault="00157421" w:rsidP="003531BA">
      <w:pPr>
        <w:pStyle w:val="ListParagraph"/>
        <w:widowControl/>
        <w:autoSpaceDE/>
        <w:autoSpaceDN/>
        <w:adjustRightInd/>
        <w:spacing w:line="360" w:lineRule="auto"/>
        <w:ind w:left="0"/>
        <w:contextualSpacing/>
        <w:jc w:val="both"/>
        <w:rPr>
          <w:rFonts w:cs="Arial"/>
        </w:rPr>
      </w:pPr>
      <w:r>
        <w:rPr>
          <w:rFonts w:cs="Arial"/>
        </w:rPr>
        <w:t>[</w:t>
      </w:r>
      <w:r w:rsidR="00F024A6">
        <w:rPr>
          <w:rFonts w:cs="Arial"/>
        </w:rPr>
        <w:t>6</w:t>
      </w:r>
      <w:r w:rsidR="00490A96">
        <w:rPr>
          <w:rFonts w:cs="Arial"/>
        </w:rPr>
        <w:t>6</w:t>
      </w:r>
      <w:r>
        <w:rPr>
          <w:rFonts w:cs="Arial"/>
        </w:rPr>
        <w:t>]</w:t>
      </w:r>
      <w:r>
        <w:rPr>
          <w:rFonts w:cs="Arial"/>
        </w:rPr>
        <w:tab/>
        <w:t>It follows that in such circumstances</w:t>
      </w:r>
      <w:r w:rsidR="009976C6" w:rsidRPr="00157421">
        <w:rPr>
          <w:rFonts w:cs="Arial"/>
        </w:rPr>
        <w:t xml:space="preserve"> there can be no inference that the delegation of powers conferred under section 16(1)(</w:t>
      </w:r>
      <w:r w:rsidR="009976C6" w:rsidRPr="00157421">
        <w:rPr>
          <w:rFonts w:cs="Arial"/>
          <w:i/>
        </w:rPr>
        <w:t>f</w:t>
      </w:r>
      <w:r w:rsidR="009976C6" w:rsidRPr="00157421">
        <w:rPr>
          <w:rFonts w:cs="Arial"/>
        </w:rPr>
        <w:t>) and section 33 axiomatically includes a delegation of section 34 powers</w:t>
      </w:r>
      <w:r w:rsidR="00753E5C">
        <w:rPr>
          <w:rFonts w:cs="Arial"/>
        </w:rPr>
        <w:t xml:space="preserve"> or that such delegation can be implied in circumstances where the Commission enjoyed no powers which it could delegate</w:t>
      </w:r>
      <w:r w:rsidR="009976C6" w:rsidRPr="00157421">
        <w:rPr>
          <w:rFonts w:cs="Arial"/>
        </w:rPr>
        <w:t>.</w:t>
      </w:r>
      <w:r w:rsidR="00753E5C">
        <w:rPr>
          <w:rFonts w:cs="Arial"/>
        </w:rPr>
        <w:t xml:space="preserve"> The Commission</w:t>
      </w:r>
      <w:r w:rsidR="00132FB1">
        <w:rPr>
          <w:rFonts w:cs="Arial"/>
        </w:rPr>
        <w:t>’s</w:t>
      </w:r>
      <w:r w:rsidR="00753E5C">
        <w:rPr>
          <w:rFonts w:cs="Arial"/>
        </w:rPr>
        <w:t xml:space="preserve"> argument on this score must therefore fail.</w:t>
      </w:r>
      <w:r w:rsidR="009976C6" w:rsidRPr="00157421">
        <w:rPr>
          <w:rFonts w:cs="Arial"/>
        </w:rPr>
        <w:t xml:space="preserve">  </w:t>
      </w:r>
    </w:p>
    <w:p w:rsidR="00753E5C" w:rsidRPr="00753E5C" w:rsidRDefault="00753E5C" w:rsidP="003531BA">
      <w:pPr>
        <w:pStyle w:val="ListParagraph"/>
        <w:widowControl/>
        <w:autoSpaceDE/>
        <w:autoSpaceDN/>
        <w:adjustRightInd/>
        <w:spacing w:line="360" w:lineRule="auto"/>
        <w:ind w:left="0"/>
        <w:contextualSpacing/>
        <w:jc w:val="both"/>
        <w:rPr>
          <w:rFonts w:cs="Arial"/>
        </w:rPr>
      </w:pPr>
    </w:p>
    <w:p w:rsidR="009976C6" w:rsidRDefault="00753E5C" w:rsidP="003531BA">
      <w:pPr>
        <w:pStyle w:val="ListParagraph"/>
        <w:spacing w:line="360" w:lineRule="auto"/>
        <w:ind w:left="0"/>
        <w:jc w:val="both"/>
        <w:rPr>
          <w:rFonts w:cs="Arial"/>
        </w:rPr>
      </w:pPr>
      <w:r w:rsidRPr="00753E5C">
        <w:rPr>
          <w:rFonts w:cs="Arial"/>
        </w:rPr>
        <w:t>[</w:t>
      </w:r>
      <w:r w:rsidR="00F024A6">
        <w:rPr>
          <w:rFonts w:cs="Arial"/>
        </w:rPr>
        <w:t>6</w:t>
      </w:r>
      <w:r w:rsidR="00490A96">
        <w:rPr>
          <w:rFonts w:cs="Arial"/>
        </w:rPr>
        <w:t>7</w:t>
      </w:r>
      <w:r w:rsidRPr="00753E5C">
        <w:rPr>
          <w:rFonts w:cs="Arial"/>
        </w:rPr>
        <w:t>]</w:t>
      </w:r>
      <w:r w:rsidRPr="00753E5C">
        <w:rPr>
          <w:rFonts w:cs="Arial"/>
        </w:rPr>
        <w:tab/>
        <w:t>For these</w:t>
      </w:r>
      <w:r w:rsidR="009976C6" w:rsidRPr="00753E5C">
        <w:rPr>
          <w:rFonts w:cs="Arial"/>
        </w:rPr>
        <w:t xml:space="preserve"> reason</w:t>
      </w:r>
      <w:r w:rsidRPr="00753E5C">
        <w:rPr>
          <w:rFonts w:cs="Arial"/>
        </w:rPr>
        <w:t>s</w:t>
      </w:r>
      <w:r w:rsidR="000B2DDE">
        <w:rPr>
          <w:rFonts w:cs="Arial"/>
        </w:rPr>
        <w:t xml:space="preserve"> it is then found that Mr Ndalikolule was not authorized</w:t>
      </w:r>
      <w:r w:rsidR="00132FB1">
        <w:rPr>
          <w:rFonts w:cs="Arial"/>
        </w:rPr>
        <w:t xml:space="preserve"> expressly or impliedly</w:t>
      </w:r>
      <w:r w:rsidR="000B2DDE">
        <w:rPr>
          <w:rFonts w:cs="Arial"/>
        </w:rPr>
        <w:t xml:space="preserve"> to apply for the warrant in question, which means that the warrant issued by the H</w:t>
      </w:r>
      <w:r w:rsidR="009976C6" w:rsidRPr="00753E5C">
        <w:rPr>
          <w:rFonts w:cs="Arial"/>
        </w:rPr>
        <w:t>onourable Mr Justice Angula</w:t>
      </w:r>
      <w:r>
        <w:rPr>
          <w:rFonts w:cs="Arial"/>
        </w:rPr>
        <w:t>,</w:t>
      </w:r>
      <w:r w:rsidR="009976C6" w:rsidRPr="00753E5C">
        <w:rPr>
          <w:rFonts w:cs="Arial"/>
        </w:rPr>
        <w:t xml:space="preserve"> </w:t>
      </w:r>
      <w:r>
        <w:rPr>
          <w:rFonts w:cs="Arial"/>
        </w:rPr>
        <w:t xml:space="preserve">on 14 September 2016, </w:t>
      </w:r>
      <w:r w:rsidR="00E52BAA">
        <w:rPr>
          <w:rFonts w:cs="Arial"/>
        </w:rPr>
        <w:t>falls to be set aside</w:t>
      </w:r>
      <w:r w:rsidR="00132FB1">
        <w:rPr>
          <w:rFonts w:cs="Arial"/>
        </w:rPr>
        <w:t xml:space="preserve"> on that ground</w:t>
      </w:r>
      <w:r w:rsidR="00E52BAA">
        <w:rPr>
          <w:rFonts w:cs="Arial"/>
        </w:rPr>
        <w:t>.</w:t>
      </w:r>
      <w:r w:rsidR="009976C6" w:rsidRPr="00753E5C">
        <w:rPr>
          <w:rFonts w:cs="Arial"/>
        </w:rPr>
        <w:t xml:space="preserve"> </w:t>
      </w:r>
    </w:p>
    <w:p w:rsidR="005A2081" w:rsidRDefault="005A2081" w:rsidP="003531BA">
      <w:pPr>
        <w:pStyle w:val="ListParagraph"/>
        <w:spacing w:line="360" w:lineRule="auto"/>
        <w:ind w:left="0"/>
        <w:jc w:val="both"/>
        <w:rPr>
          <w:rFonts w:cs="Arial"/>
        </w:rPr>
      </w:pPr>
    </w:p>
    <w:p w:rsidR="005A2081" w:rsidRPr="00753E5C" w:rsidRDefault="005A2081" w:rsidP="003531BA">
      <w:pPr>
        <w:pStyle w:val="ListParagraph"/>
        <w:spacing w:line="360" w:lineRule="auto"/>
        <w:ind w:left="0"/>
        <w:jc w:val="both"/>
        <w:rPr>
          <w:rFonts w:cs="Arial"/>
        </w:rPr>
      </w:pPr>
      <w:r>
        <w:rPr>
          <w:rFonts w:cs="Arial"/>
        </w:rPr>
        <w:t>[</w:t>
      </w:r>
      <w:r w:rsidR="00E52BAA">
        <w:rPr>
          <w:rFonts w:cs="Arial"/>
        </w:rPr>
        <w:t>6</w:t>
      </w:r>
      <w:r w:rsidR="00490A96">
        <w:rPr>
          <w:rFonts w:cs="Arial"/>
        </w:rPr>
        <w:t>8</w:t>
      </w:r>
      <w:r>
        <w:rPr>
          <w:rFonts w:cs="Arial"/>
        </w:rPr>
        <w:t>]</w:t>
      </w:r>
      <w:r>
        <w:rPr>
          <w:rFonts w:cs="Arial"/>
        </w:rPr>
        <w:tab/>
        <w:t>This finding then also obviates the need to deal with the remaining issues</w:t>
      </w:r>
      <w:r w:rsidR="000B2DDE">
        <w:rPr>
          <w:rFonts w:cs="Arial"/>
        </w:rPr>
        <w:t xml:space="preserve"> and </w:t>
      </w:r>
      <w:r w:rsidR="000B2DDE">
        <w:rPr>
          <w:rFonts w:cs="Arial"/>
        </w:rPr>
        <w:lastRenderedPageBreak/>
        <w:t>arguments</w:t>
      </w:r>
      <w:r>
        <w:rPr>
          <w:rFonts w:cs="Arial"/>
        </w:rPr>
        <w:t xml:space="preserve"> raised by the parties.</w:t>
      </w:r>
      <w:r w:rsidR="000F59AC">
        <w:rPr>
          <w:rFonts w:cs="Arial"/>
        </w:rPr>
        <w:t xml:space="preserve">  At the same time the need to determine the counter-application similarly falls away.</w:t>
      </w:r>
    </w:p>
    <w:p w:rsidR="00753E5C" w:rsidRDefault="00753E5C" w:rsidP="003531BA">
      <w:pPr>
        <w:spacing w:after="0" w:line="360" w:lineRule="auto"/>
        <w:jc w:val="both"/>
        <w:rPr>
          <w:rFonts w:ascii="Arial" w:hAnsi="Arial" w:cs="Arial"/>
          <w:sz w:val="24"/>
          <w:szCs w:val="24"/>
        </w:rPr>
      </w:pPr>
    </w:p>
    <w:p w:rsidR="00753E5C" w:rsidRDefault="00753E5C" w:rsidP="003531BA">
      <w:pPr>
        <w:spacing w:after="0" w:line="360" w:lineRule="auto"/>
        <w:jc w:val="both"/>
        <w:rPr>
          <w:rFonts w:ascii="Arial" w:hAnsi="Arial" w:cs="Arial"/>
          <w:sz w:val="24"/>
          <w:szCs w:val="24"/>
        </w:rPr>
      </w:pPr>
      <w:r>
        <w:rPr>
          <w:rFonts w:ascii="Arial" w:hAnsi="Arial" w:cs="Arial"/>
          <w:sz w:val="24"/>
          <w:szCs w:val="24"/>
        </w:rPr>
        <w:t>[</w:t>
      </w:r>
      <w:r w:rsidR="00E52BAA">
        <w:rPr>
          <w:rFonts w:ascii="Arial" w:hAnsi="Arial" w:cs="Arial"/>
          <w:sz w:val="24"/>
          <w:szCs w:val="24"/>
        </w:rPr>
        <w:t>6</w:t>
      </w:r>
      <w:r w:rsidR="00490A96">
        <w:rPr>
          <w:rFonts w:ascii="Arial" w:hAnsi="Arial" w:cs="Arial"/>
          <w:sz w:val="24"/>
          <w:szCs w:val="24"/>
        </w:rPr>
        <w:t>9</w:t>
      </w:r>
      <w:r>
        <w:rPr>
          <w:rFonts w:ascii="Arial" w:hAnsi="Arial" w:cs="Arial"/>
          <w:sz w:val="24"/>
          <w:szCs w:val="24"/>
        </w:rPr>
        <w:t>]</w:t>
      </w:r>
      <w:r>
        <w:rPr>
          <w:rFonts w:ascii="Arial" w:hAnsi="Arial" w:cs="Arial"/>
          <w:sz w:val="24"/>
          <w:szCs w:val="24"/>
        </w:rPr>
        <w:tab/>
        <w:t xml:space="preserve">I </w:t>
      </w:r>
      <w:r w:rsidR="005A2081">
        <w:rPr>
          <w:rFonts w:ascii="Arial" w:hAnsi="Arial" w:cs="Arial"/>
          <w:sz w:val="24"/>
          <w:szCs w:val="24"/>
        </w:rPr>
        <w:t xml:space="preserve">also </w:t>
      </w:r>
      <w:r>
        <w:rPr>
          <w:rFonts w:ascii="Arial" w:hAnsi="Arial" w:cs="Arial"/>
          <w:sz w:val="24"/>
          <w:szCs w:val="24"/>
        </w:rPr>
        <w:t>see no reason why</w:t>
      </w:r>
      <w:r w:rsidR="005A2081">
        <w:rPr>
          <w:rFonts w:ascii="Arial" w:hAnsi="Arial" w:cs="Arial"/>
          <w:sz w:val="24"/>
          <w:szCs w:val="24"/>
        </w:rPr>
        <w:t>,</w:t>
      </w:r>
      <w:r>
        <w:rPr>
          <w:rFonts w:ascii="Arial" w:hAnsi="Arial" w:cs="Arial"/>
          <w:sz w:val="24"/>
          <w:szCs w:val="24"/>
        </w:rPr>
        <w:t xml:space="preserve"> in the circumstances</w:t>
      </w:r>
      <w:r w:rsidR="005A2081">
        <w:rPr>
          <w:rFonts w:ascii="Arial" w:hAnsi="Arial" w:cs="Arial"/>
          <w:sz w:val="24"/>
          <w:szCs w:val="24"/>
        </w:rPr>
        <w:t xml:space="preserve"> of this case,</w:t>
      </w:r>
      <w:r>
        <w:rPr>
          <w:rFonts w:ascii="Arial" w:hAnsi="Arial" w:cs="Arial"/>
          <w:sz w:val="24"/>
          <w:szCs w:val="24"/>
        </w:rPr>
        <w:t xml:space="preserve"> the general rule</w:t>
      </w:r>
      <w:r w:rsidR="005A2081">
        <w:rPr>
          <w:rFonts w:ascii="Arial" w:hAnsi="Arial" w:cs="Arial"/>
          <w:sz w:val="24"/>
          <w:szCs w:val="24"/>
        </w:rPr>
        <w:t>,</w:t>
      </w:r>
      <w:r>
        <w:rPr>
          <w:rFonts w:ascii="Arial" w:hAnsi="Arial" w:cs="Arial"/>
          <w:sz w:val="24"/>
          <w:szCs w:val="24"/>
        </w:rPr>
        <w:t xml:space="preserve"> relating to the award of costs</w:t>
      </w:r>
      <w:r w:rsidR="005A2081">
        <w:rPr>
          <w:rFonts w:ascii="Arial" w:hAnsi="Arial" w:cs="Arial"/>
          <w:sz w:val="24"/>
          <w:szCs w:val="24"/>
        </w:rPr>
        <w:t>, should not be followed</w:t>
      </w:r>
      <w:r>
        <w:rPr>
          <w:rFonts w:ascii="Arial" w:hAnsi="Arial" w:cs="Arial"/>
          <w:sz w:val="24"/>
          <w:szCs w:val="24"/>
        </w:rPr>
        <w:t>.</w:t>
      </w:r>
    </w:p>
    <w:p w:rsidR="00753E5C" w:rsidRDefault="00753E5C" w:rsidP="003531BA">
      <w:pPr>
        <w:spacing w:after="0" w:line="360" w:lineRule="auto"/>
        <w:jc w:val="both"/>
        <w:rPr>
          <w:rFonts w:ascii="Arial" w:hAnsi="Arial" w:cs="Arial"/>
          <w:sz w:val="24"/>
          <w:szCs w:val="24"/>
        </w:rPr>
      </w:pPr>
    </w:p>
    <w:p w:rsidR="00753E5C" w:rsidRPr="00753E5C" w:rsidRDefault="00753E5C" w:rsidP="003531BA">
      <w:pPr>
        <w:spacing w:after="0" w:line="360" w:lineRule="auto"/>
        <w:jc w:val="both"/>
        <w:rPr>
          <w:rFonts w:ascii="Arial" w:hAnsi="Arial" w:cs="Arial"/>
          <w:sz w:val="24"/>
          <w:szCs w:val="24"/>
        </w:rPr>
      </w:pPr>
      <w:r>
        <w:rPr>
          <w:rFonts w:ascii="Arial" w:hAnsi="Arial" w:cs="Arial"/>
          <w:sz w:val="24"/>
          <w:szCs w:val="24"/>
        </w:rPr>
        <w:t>[</w:t>
      </w:r>
      <w:r w:rsidR="00490A96">
        <w:rPr>
          <w:rFonts w:ascii="Arial" w:hAnsi="Arial" w:cs="Arial"/>
          <w:sz w:val="24"/>
          <w:szCs w:val="24"/>
        </w:rPr>
        <w:t>70</w:t>
      </w:r>
      <w:r>
        <w:rPr>
          <w:rFonts w:ascii="Arial" w:hAnsi="Arial" w:cs="Arial"/>
          <w:sz w:val="24"/>
          <w:szCs w:val="24"/>
        </w:rPr>
        <w:t>]</w:t>
      </w:r>
      <w:r>
        <w:rPr>
          <w:rFonts w:ascii="Arial" w:hAnsi="Arial" w:cs="Arial"/>
          <w:sz w:val="24"/>
          <w:szCs w:val="24"/>
        </w:rPr>
        <w:tab/>
        <w:t>Accordingly, and in the result</w:t>
      </w:r>
      <w:r w:rsidR="005A2081">
        <w:rPr>
          <w:rFonts w:ascii="Arial" w:hAnsi="Arial" w:cs="Arial"/>
          <w:sz w:val="24"/>
          <w:szCs w:val="24"/>
        </w:rPr>
        <w:t>,</w:t>
      </w:r>
      <w:r>
        <w:rPr>
          <w:rFonts w:ascii="Arial" w:hAnsi="Arial" w:cs="Arial"/>
          <w:sz w:val="24"/>
          <w:szCs w:val="24"/>
        </w:rPr>
        <w:t xml:space="preserve"> the following orders are made:</w:t>
      </w:r>
      <w:r>
        <w:rPr>
          <w:rFonts w:ascii="Arial" w:hAnsi="Arial" w:cs="Arial"/>
          <w:sz w:val="24"/>
          <w:szCs w:val="24"/>
        </w:rPr>
        <w:tab/>
      </w:r>
    </w:p>
    <w:p w:rsidR="00132FB1" w:rsidRDefault="00132FB1" w:rsidP="003531BA">
      <w:pPr>
        <w:spacing w:after="0" w:line="360" w:lineRule="auto"/>
        <w:jc w:val="right"/>
        <w:rPr>
          <w:rFonts w:ascii="Arial" w:hAnsi="Arial" w:cs="Arial"/>
          <w:sz w:val="24"/>
          <w:szCs w:val="24"/>
        </w:rPr>
      </w:pPr>
    </w:p>
    <w:p w:rsidR="00753E5C" w:rsidRDefault="00E52BAA" w:rsidP="00192123">
      <w:pPr>
        <w:pStyle w:val="ListParagraph"/>
        <w:numPr>
          <w:ilvl w:val="0"/>
          <w:numId w:val="21"/>
        </w:numPr>
        <w:spacing w:line="360" w:lineRule="auto"/>
        <w:ind w:hanging="720"/>
        <w:jc w:val="both"/>
        <w:rPr>
          <w:rFonts w:cs="Arial"/>
        </w:rPr>
      </w:pPr>
      <w:r>
        <w:rPr>
          <w:rFonts w:cs="Arial"/>
        </w:rPr>
        <w:t>T</w:t>
      </w:r>
      <w:r w:rsidR="00B3050E">
        <w:rPr>
          <w:rFonts w:cs="Arial"/>
        </w:rPr>
        <w:t>he warrant issued by the H</w:t>
      </w:r>
      <w:r w:rsidR="00753E5C" w:rsidRPr="00753E5C">
        <w:rPr>
          <w:rFonts w:cs="Arial"/>
        </w:rPr>
        <w:t xml:space="preserve">onourable Mr Justice Angula, on 14 September 2016, </w:t>
      </w:r>
      <w:r w:rsidR="00753E5C">
        <w:rPr>
          <w:rFonts w:cs="Arial"/>
        </w:rPr>
        <w:t>is hereby</w:t>
      </w:r>
      <w:r w:rsidR="00753E5C" w:rsidRPr="00753E5C">
        <w:rPr>
          <w:rFonts w:cs="Arial"/>
        </w:rPr>
        <w:t xml:space="preserve"> set aside</w:t>
      </w:r>
      <w:r w:rsidR="00E36BFC">
        <w:rPr>
          <w:rFonts w:cs="Arial"/>
        </w:rPr>
        <w:t xml:space="preserve"> with costs</w:t>
      </w:r>
      <w:r w:rsidR="00753E5C" w:rsidRPr="00753E5C">
        <w:rPr>
          <w:rFonts w:cs="Arial"/>
        </w:rPr>
        <w:t>.</w:t>
      </w:r>
    </w:p>
    <w:p w:rsidR="00E36BFC" w:rsidRPr="00E36BFC" w:rsidRDefault="00E36BFC" w:rsidP="00192123">
      <w:pPr>
        <w:spacing w:after="0" w:line="360" w:lineRule="auto"/>
        <w:jc w:val="both"/>
        <w:rPr>
          <w:rFonts w:cs="Arial"/>
        </w:rPr>
      </w:pPr>
    </w:p>
    <w:p w:rsidR="00E36BFC" w:rsidRDefault="00E36BFC" w:rsidP="00192123">
      <w:pPr>
        <w:pStyle w:val="ListParagraph"/>
        <w:numPr>
          <w:ilvl w:val="0"/>
          <w:numId w:val="21"/>
        </w:numPr>
        <w:spacing w:line="360" w:lineRule="auto"/>
        <w:ind w:hanging="720"/>
        <w:jc w:val="both"/>
        <w:rPr>
          <w:rFonts w:cs="Arial"/>
        </w:rPr>
      </w:pPr>
      <w:r>
        <w:rPr>
          <w:rFonts w:cs="Arial"/>
        </w:rPr>
        <w:t>Such costs</w:t>
      </w:r>
      <w:r w:rsidR="00313871">
        <w:rPr>
          <w:rFonts w:cs="Arial"/>
        </w:rPr>
        <w:t xml:space="preserve"> are to include the costs of three</w:t>
      </w:r>
      <w:r>
        <w:rPr>
          <w:rFonts w:cs="Arial"/>
        </w:rPr>
        <w:t xml:space="preserve"> instructed- and one instructing counsel</w:t>
      </w:r>
      <w:r w:rsidR="00B3050E">
        <w:rPr>
          <w:rFonts w:cs="Arial"/>
        </w:rPr>
        <w:t>.</w:t>
      </w:r>
    </w:p>
    <w:p w:rsidR="00A8742A" w:rsidRPr="00A8742A" w:rsidRDefault="00A8742A" w:rsidP="00192123">
      <w:pPr>
        <w:pStyle w:val="ListParagraph"/>
        <w:spacing w:line="360" w:lineRule="auto"/>
        <w:rPr>
          <w:rFonts w:cs="Arial"/>
        </w:rPr>
      </w:pPr>
    </w:p>
    <w:p w:rsidR="00A8742A" w:rsidRPr="00A8742A" w:rsidRDefault="00A8742A" w:rsidP="00192123">
      <w:pPr>
        <w:pStyle w:val="ListParagraph"/>
        <w:numPr>
          <w:ilvl w:val="0"/>
          <w:numId w:val="21"/>
        </w:numPr>
        <w:spacing w:line="360" w:lineRule="auto"/>
        <w:ind w:hanging="720"/>
        <w:jc w:val="both"/>
        <w:rPr>
          <w:rFonts w:cs="Arial"/>
        </w:rPr>
      </w:pPr>
      <w:r w:rsidRPr="00A8742A">
        <w:rPr>
          <w:rFonts w:cs="Arial"/>
        </w:rPr>
        <w:t>All bags containing hard copy documents</w:t>
      </w:r>
      <w:r>
        <w:rPr>
          <w:rFonts w:cs="Arial"/>
        </w:rPr>
        <w:t>,</w:t>
      </w:r>
      <w:r w:rsidRPr="00A8742A">
        <w:rPr>
          <w:rFonts w:cs="Arial"/>
        </w:rPr>
        <w:t xml:space="preserve"> seized from Puma</w:t>
      </w:r>
      <w:r>
        <w:rPr>
          <w:rFonts w:cs="Arial"/>
        </w:rPr>
        <w:t>,</w:t>
      </w:r>
      <w:r w:rsidRPr="00A8742A">
        <w:rPr>
          <w:rFonts w:cs="Arial"/>
        </w:rPr>
        <w:t xml:space="preserve"> by the Commission</w:t>
      </w:r>
      <w:r>
        <w:rPr>
          <w:rFonts w:cs="Arial"/>
        </w:rPr>
        <w:t>,</w:t>
      </w:r>
      <w:r w:rsidRPr="00A8742A">
        <w:rPr>
          <w:rFonts w:cs="Arial"/>
        </w:rPr>
        <w:t xml:space="preserve"> during the period 15 to 17 September 2016</w:t>
      </w:r>
      <w:r>
        <w:rPr>
          <w:rFonts w:cs="Arial"/>
        </w:rPr>
        <w:t>,</w:t>
      </w:r>
      <w:r w:rsidRPr="00A8742A">
        <w:rPr>
          <w:rFonts w:cs="Arial"/>
        </w:rPr>
        <w:t xml:space="preserve"> together with all electronic devices as well as all Puma’s electronic data </w:t>
      </w:r>
      <w:r>
        <w:rPr>
          <w:rFonts w:cs="Arial"/>
        </w:rPr>
        <w:t>seized and/</w:t>
      </w:r>
      <w:r w:rsidRPr="00A8742A">
        <w:rPr>
          <w:rFonts w:cs="Arial"/>
        </w:rPr>
        <w:t>or copied from Puma electronic devices and server by the Commission</w:t>
      </w:r>
      <w:r>
        <w:rPr>
          <w:rFonts w:cs="Arial"/>
        </w:rPr>
        <w:t>,</w:t>
      </w:r>
      <w:r w:rsidRPr="00A8742A">
        <w:rPr>
          <w:rFonts w:cs="Arial"/>
        </w:rPr>
        <w:t xml:space="preserve"> as kept by the Registrar for safekeeping in terms of the Court’s Order of 14 September 2016</w:t>
      </w:r>
      <w:r>
        <w:rPr>
          <w:rFonts w:cs="Arial"/>
        </w:rPr>
        <w:t>,</w:t>
      </w:r>
      <w:r w:rsidRPr="00A8742A">
        <w:rPr>
          <w:rFonts w:cs="Arial"/>
        </w:rPr>
        <w:t xml:space="preserve"> are to be returned to Puma within 2 days of this order.</w:t>
      </w:r>
    </w:p>
    <w:p w:rsidR="00A8742A" w:rsidRPr="001604E8" w:rsidRDefault="00A8742A" w:rsidP="00A8742A">
      <w:pPr>
        <w:spacing w:after="0" w:line="360" w:lineRule="auto"/>
        <w:jc w:val="both"/>
        <w:rPr>
          <w:rFonts w:ascii="Arial" w:hAnsi="Arial" w:cs="Arial"/>
          <w:sz w:val="24"/>
          <w:szCs w:val="24"/>
        </w:rPr>
      </w:pPr>
    </w:p>
    <w:p w:rsidR="00753E5C" w:rsidRDefault="00753E5C" w:rsidP="00E52BAA">
      <w:pPr>
        <w:pStyle w:val="ListParagraph"/>
        <w:spacing w:line="360" w:lineRule="auto"/>
        <w:ind w:left="709" w:hanging="709"/>
        <w:jc w:val="both"/>
        <w:rPr>
          <w:rFonts w:cs="Arial"/>
        </w:rPr>
      </w:pPr>
    </w:p>
    <w:p w:rsidR="00753E5C" w:rsidRDefault="00753E5C" w:rsidP="001B7E1F">
      <w:pPr>
        <w:spacing w:after="0" w:line="360" w:lineRule="auto"/>
        <w:jc w:val="right"/>
        <w:rPr>
          <w:rFonts w:ascii="Arial" w:hAnsi="Arial" w:cs="Arial"/>
          <w:sz w:val="24"/>
          <w:szCs w:val="24"/>
        </w:rPr>
      </w:pPr>
    </w:p>
    <w:p w:rsidR="00EC3DC8" w:rsidRDefault="00EC3DC8"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2D389E" w:rsidP="001B7E1F">
      <w:pPr>
        <w:spacing w:after="0" w:line="360" w:lineRule="auto"/>
        <w:jc w:val="right"/>
        <w:rPr>
          <w:rFonts w:ascii="Arial" w:hAnsi="Arial" w:cs="Arial"/>
          <w:sz w:val="24"/>
          <w:szCs w:val="24"/>
        </w:rPr>
      </w:pPr>
      <w:r>
        <w:rPr>
          <w:rFonts w:ascii="Arial" w:hAnsi="Arial" w:cs="Arial"/>
          <w:sz w:val="24"/>
          <w:szCs w:val="24"/>
        </w:rPr>
        <w:t>H GEIER</w:t>
      </w:r>
    </w:p>
    <w:p w:rsidR="001B7E1F" w:rsidRDefault="009C3F33" w:rsidP="009C3F33">
      <w:pPr>
        <w:ind w:left="7920"/>
        <w:rPr>
          <w:rFonts w:ascii="Arial" w:hAnsi="Arial" w:cs="Arial"/>
          <w:sz w:val="24"/>
          <w:szCs w:val="24"/>
        </w:rPr>
      </w:pPr>
      <w:r>
        <w:t xml:space="preserve">        </w:t>
      </w:r>
      <w:r w:rsidR="00741B0B" w:rsidRPr="009C3F33">
        <w:rPr>
          <w:rFonts w:ascii="Arial" w:hAnsi="Arial" w:cs="Arial"/>
          <w:sz w:val="24"/>
          <w:szCs w:val="24"/>
        </w:rPr>
        <w:t>Judge</w:t>
      </w:r>
    </w:p>
    <w:p w:rsidR="00484780" w:rsidRDefault="00484780" w:rsidP="009C3F33">
      <w:pPr>
        <w:ind w:left="7920"/>
        <w:rPr>
          <w:rFonts w:ascii="Arial" w:hAnsi="Arial" w:cs="Arial"/>
          <w:sz w:val="24"/>
          <w:szCs w:val="24"/>
        </w:rPr>
      </w:pPr>
    </w:p>
    <w:p w:rsidR="00484780" w:rsidRDefault="00484780" w:rsidP="009C3F33">
      <w:pPr>
        <w:ind w:left="7920"/>
        <w:rPr>
          <w:rFonts w:ascii="Arial" w:hAnsi="Arial" w:cs="Arial"/>
          <w:sz w:val="24"/>
          <w:szCs w:val="24"/>
        </w:rPr>
      </w:pPr>
    </w:p>
    <w:p w:rsidR="00132FB1" w:rsidRDefault="00132FB1" w:rsidP="001B7E1F">
      <w:pPr>
        <w:pStyle w:val="BodyText"/>
        <w:autoSpaceDE w:val="0"/>
        <w:autoSpaceDN w:val="0"/>
        <w:adjustRightInd w:val="0"/>
        <w:spacing w:line="360" w:lineRule="auto"/>
        <w:jc w:val="both"/>
        <w:rPr>
          <w:rFonts w:ascii="Arial" w:hAnsi="Arial" w:cs="Arial"/>
        </w:rPr>
      </w:pPr>
    </w:p>
    <w:p w:rsidR="00132FB1" w:rsidRDefault="00132FB1" w:rsidP="001B7E1F">
      <w:pPr>
        <w:pStyle w:val="BodyText"/>
        <w:autoSpaceDE w:val="0"/>
        <w:autoSpaceDN w:val="0"/>
        <w:adjustRightInd w:val="0"/>
        <w:spacing w:line="360" w:lineRule="auto"/>
        <w:jc w:val="both"/>
        <w:rPr>
          <w:rFonts w:ascii="Arial" w:hAnsi="Arial" w:cs="Arial"/>
        </w:rPr>
      </w:pPr>
    </w:p>
    <w:p w:rsidR="00132FB1" w:rsidRDefault="00132FB1" w:rsidP="001B7E1F">
      <w:pPr>
        <w:pStyle w:val="BodyText"/>
        <w:autoSpaceDE w:val="0"/>
        <w:autoSpaceDN w:val="0"/>
        <w:adjustRightInd w:val="0"/>
        <w:spacing w:line="360" w:lineRule="auto"/>
        <w:jc w:val="both"/>
        <w:rPr>
          <w:rFonts w:ascii="Arial" w:hAnsi="Arial" w:cs="Arial"/>
        </w:rPr>
      </w:pPr>
    </w:p>
    <w:p w:rsidR="00132FB1" w:rsidRDefault="00132FB1" w:rsidP="001B7E1F">
      <w:pPr>
        <w:pStyle w:val="BodyText"/>
        <w:autoSpaceDE w:val="0"/>
        <w:autoSpaceDN w:val="0"/>
        <w:adjustRightInd w:val="0"/>
        <w:spacing w:line="360" w:lineRule="auto"/>
        <w:jc w:val="both"/>
        <w:rPr>
          <w:rFonts w:ascii="Arial" w:hAnsi="Arial" w:cs="Arial"/>
        </w:rPr>
      </w:pPr>
    </w:p>
    <w:p w:rsidR="00E153E7" w:rsidRDefault="00E153E7"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AE7367" w:rsidRDefault="00207EC1" w:rsidP="00AE7367">
      <w:pPr>
        <w:tabs>
          <w:tab w:val="left" w:pos="1394"/>
          <w:tab w:val="left" w:pos="2528"/>
        </w:tabs>
        <w:spacing w:after="0" w:line="360" w:lineRule="auto"/>
        <w:jc w:val="both"/>
        <w:rPr>
          <w:rFonts w:ascii="Arial" w:hAnsi="Arial" w:cs="Arial"/>
          <w:sz w:val="24"/>
          <w:szCs w:val="24"/>
        </w:rPr>
      </w:pPr>
      <w:r>
        <w:rPr>
          <w:rFonts w:ascii="Arial" w:hAnsi="Arial" w:cs="Arial"/>
        </w:rPr>
        <w:t>APPLICANT</w:t>
      </w:r>
      <w:r w:rsidR="005F473C">
        <w:rPr>
          <w:rFonts w:ascii="Arial" w:hAnsi="Arial" w:cs="Arial"/>
        </w:rPr>
        <w:t>:</w:t>
      </w:r>
      <w:r w:rsidR="00C500EA">
        <w:rPr>
          <w:rFonts w:ascii="Arial" w:hAnsi="Arial" w:cs="Arial"/>
        </w:rPr>
        <w:tab/>
      </w:r>
      <w:r w:rsidR="001B7E1F" w:rsidRPr="000E7777">
        <w:rPr>
          <w:rFonts w:ascii="Arial" w:hAnsi="Arial" w:cs="Arial"/>
        </w:rPr>
        <w:t xml:space="preserve"> </w:t>
      </w:r>
      <w:r w:rsidR="009D4926">
        <w:rPr>
          <w:rFonts w:ascii="Arial" w:hAnsi="Arial" w:cs="Arial"/>
        </w:rPr>
        <w:tab/>
      </w:r>
      <w:r w:rsidR="00AE7367">
        <w:rPr>
          <w:rFonts w:ascii="Arial" w:hAnsi="Arial" w:cs="Arial"/>
        </w:rPr>
        <w:tab/>
      </w:r>
      <w:r w:rsidR="00AE7367">
        <w:rPr>
          <w:rFonts w:ascii="Arial" w:hAnsi="Arial" w:cs="Arial"/>
        </w:rPr>
        <w:tab/>
      </w:r>
      <w:r w:rsidR="00E153E7">
        <w:rPr>
          <w:rFonts w:ascii="Arial" w:hAnsi="Arial" w:cs="Arial"/>
          <w:sz w:val="24"/>
          <w:szCs w:val="24"/>
        </w:rPr>
        <w:t xml:space="preserve">R A </w:t>
      </w:r>
      <w:proofErr w:type="spellStart"/>
      <w:r w:rsidR="00E153E7">
        <w:rPr>
          <w:rFonts w:ascii="Arial" w:hAnsi="Arial" w:cs="Arial"/>
          <w:sz w:val="24"/>
          <w:szCs w:val="24"/>
        </w:rPr>
        <w:t>Bhana</w:t>
      </w:r>
      <w:proofErr w:type="spellEnd"/>
      <w:r w:rsidR="00AE7367">
        <w:rPr>
          <w:rFonts w:ascii="Arial" w:hAnsi="Arial" w:cs="Arial"/>
          <w:sz w:val="24"/>
          <w:szCs w:val="24"/>
        </w:rPr>
        <w:t xml:space="preserve"> (with him I Goodman)</w:t>
      </w:r>
    </w:p>
    <w:p w:rsidR="00AE7367" w:rsidRDefault="00E153E7" w:rsidP="00AE7367">
      <w:pPr>
        <w:pStyle w:val="BodyTextIndent"/>
        <w:tabs>
          <w:tab w:val="left" w:pos="1394"/>
          <w:tab w:val="left" w:pos="2528"/>
        </w:tabs>
        <w:spacing w:line="360" w:lineRule="auto"/>
        <w:ind w:left="2528" w:hanging="252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i</w:t>
      </w:r>
      <w:r w:rsidR="00AE7367">
        <w:rPr>
          <w:rFonts w:ascii="Arial" w:hAnsi="Arial" w:cs="Arial"/>
        </w:rPr>
        <w:t>nstructed</w:t>
      </w:r>
      <w:proofErr w:type="gramEnd"/>
      <w:r w:rsidR="00AE7367">
        <w:rPr>
          <w:rFonts w:ascii="Arial" w:hAnsi="Arial" w:cs="Arial"/>
        </w:rPr>
        <w:t xml:space="preserve"> by </w:t>
      </w:r>
      <w:r w:rsidR="00AE7367" w:rsidRPr="00AF4007">
        <w:rPr>
          <w:rFonts w:ascii="Arial" w:hAnsi="Arial" w:cs="Arial"/>
        </w:rPr>
        <w:t xml:space="preserve">Dr </w:t>
      </w:r>
      <w:proofErr w:type="spellStart"/>
      <w:r w:rsidR="00AE7367" w:rsidRPr="00AF4007">
        <w:rPr>
          <w:rFonts w:ascii="Arial" w:hAnsi="Arial" w:cs="Arial"/>
        </w:rPr>
        <w:t>Weder</w:t>
      </w:r>
      <w:proofErr w:type="spellEnd"/>
      <w:r w:rsidR="00AE7367" w:rsidRPr="00AF4007">
        <w:rPr>
          <w:rFonts w:ascii="Arial" w:hAnsi="Arial" w:cs="Arial"/>
        </w:rPr>
        <w:t xml:space="preserve">, </w:t>
      </w:r>
      <w:proofErr w:type="spellStart"/>
      <w:r w:rsidR="00AE7367" w:rsidRPr="00AF4007">
        <w:rPr>
          <w:rFonts w:ascii="Arial" w:hAnsi="Arial" w:cs="Arial"/>
        </w:rPr>
        <w:t>Kauta</w:t>
      </w:r>
      <w:proofErr w:type="spellEnd"/>
      <w:r w:rsidR="00AE7367" w:rsidRPr="00AF4007">
        <w:rPr>
          <w:rFonts w:ascii="Arial" w:hAnsi="Arial" w:cs="Arial"/>
        </w:rPr>
        <w:t xml:space="preserve"> &amp; </w:t>
      </w:r>
      <w:proofErr w:type="spellStart"/>
      <w:r w:rsidR="00AE7367" w:rsidRPr="00AF4007">
        <w:rPr>
          <w:rFonts w:ascii="Arial" w:hAnsi="Arial" w:cs="Arial"/>
        </w:rPr>
        <w:t>Hoveka</w:t>
      </w:r>
      <w:proofErr w:type="spellEnd"/>
      <w:r w:rsidR="00AE7367" w:rsidRPr="00AF4007">
        <w:rPr>
          <w:rFonts w:ascii="Arial" w:hAnsi="Arial" w:cs="Arial"/>
        </w:rPr>
        <w:t xml:space="preserve"> Inc</w:t>
      </w:r>
      <w:r w:rsidR="00AE7367">
        <w:rPr>
          <w:rFonts w:ascii="Arial" w:hAnsi="Arial" w:cs="Arial"/>
        </w:rPr>
        <w:t xml:space="preserve">., </w:t>
      </w:r>
    </w:p>
    <w:p w:rsidR="00AE7367" w:rsidRPr="000E7777" w:rsidRDefault="00AE7367" w:rsidP="00AE7367">
      <w:pPr>
        <w:pStyle w:val="BodyTextIndent"/>
        <w:tabs>
          <w:tab w:val="left" w:pos="1394"/>
          <w:tab w:val="left" w:pos="2528"/>
        </w:tabs>
        <w:spacing w:line="360" w:lineRule="auto"/>
        <w:ind w:left="2528" w:hanging="252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Windhoek</w:t>
      </w:r>
    </w:p>
    <w:p w:rsidR="00A657F1" w:rsidRDefault="00A657F1" w:rsidP="00A657F1">
      <w:pPr>
        <w:tabs>
          <w:tab w:val="left" w:pos="1394"/>
          <w:tab w:val="left" w:pos="2528"/>
          <w:tab w:val="left" w:pos="3780"/>
        </w:tabs>
        <w:spacing w:after="0" w:line="360" w:lineRule="auto"/>
        <w:jc w:val="both"/>
        <w:rPr>
          <w:rFonts w:ascii="Arial" w:hAnsi="Arial" w:cs="Arial"/>
        </w:rPr>
      </w:pPr>
    </w:p>
    <w:p w:rsidR="00AE7367" w:rsidRDefault="00207EC1" w:rsidP="00AE7367">
      <w:pPr>
        <w:pStyle w:val="BodyTextIndent"/>
        <w:tabs>
          <w:tab w:val="left" w:pos="1394"/>
          <w:tab w:val="left" w:pos="2528"/>
        </w:tabs>
        <w:spacing w:line="360" w:lineRule="auto"/>
        <w:ind w:left="3600" w:hanging="3600"/>
        <w:jc w:val="both"/>
        <w:rPr>
          <w:rFonts w:ascii="Arial" w:hAnsi="Arial" w:cs="Arial"/>
        </w:rPr>
      </w:pPr>
      <w:r w:rsidRPr="00A657F1">
        <w:rPr>
          <w:rFonts w:ascii="Arial" w:hAnsi="Arial" w:cs="Arial"/>
        </w:rPr>
        <w:t>RESPONDENT</w:t>
      </w:r>
      <w:r w:rsidR="00E1343E" w:rsidRPr="00A657F1">
        <w:rPr>
          <w:rFonts w:ascii="Arial" w:hAnsi="Arial" w:cs="Arial"/>
        </w:rPr>
        <w:t>:</w:t>
      </w:r>
      <w:r w:rsidR="00B87DB8" w:rsidRPr="00A657F1">
        <w:rPr>
          <w:rFonts w:ascii="Arial" w:hAnsi="Arial" w:cs="Arial"/>
        </w:rPr>
        <w:tab/>
      </w:r>
      <w:r>
        <w:rPr>
          <w:rFonts w:ascii="Arial" w:hAnsi="Arial" w:cs="Arial"/>
        </w:rPr>
        <w:tab/>
      </w:r>
      <w:r w:rsidR="00E153E7">
        <w:rPr>
          <w:rFonts w:ascii="Arial" w:hAnsi="Arial" w:cs="Arial"/>
        </w:rPr>
        <w:t xml:space="preserve">W </w:t>
      </w:r>
      <w:proofErr w:type="spellStart"/>
      <w:r w:rsidR="00E153E7">
        <w:rPr>
          <w:rFonts w:ascii="Arial" w:hAnsi="Arial" w:cs="Arial"/>
        </w:rPr>
        <w:t>Trengrove</w:t>
      </w:r>
      <w:proofErr w:type="spellEnd"/>
      <w:r w:rsidR="00E153E7">
        <w:rPr>
          <w:rFonts w:ascii="Arial" w:hAnsi="Arial" w:cs="Arial"/>
        </w:rPr>
        <w:t xml:space="preserve"> </w:t>
      </w:r>
      <w:r w:rsidR="00AE7367">
        <w:rPr>
          <w:rFonts w:ascii="Arial" w:hAnsi="Arial" w:cs="Arial"/>
        </w:rPr>
        <w:t xml:space="preserve">(with him M </w:t>
      </w:r>
      <w:proofErr w:type="spellStart"/>
      <w:r w:rsidR="00AE7367">
        <w:rPr>
          <w:rFonts w:ascii="Arial" w:hAnsi="Arial" w:cs="Arial"/>
        </w:rPr>
        <w:t>Engelbrecht</w:t>
      </w:r>
      <w:proofErr w:type="spellEnd"/>
      <w:r w:rsidR="00AE7367">
        <w:rPr>
          <w:rFonts w:ascii="Arial" w:hAnsi="Arial" w:cs="Arial"/>
        </w:rPr>
        <w:t xml:space="preserve"> and B De </w:t>
      </w:r>
      <w:proofErr w:type="spellStart"/>
      <w:r w:rsidR="00AE7367">
        <w:rPr>
          <w:rFonts w:ascii="Arial" w:hAnsi="Arial" w:cs="Arial"/>
        </w:rPr>
        <w:t>Jager</w:t>
      </w:r>
      <w:proofErr w:type="spellEnd"/>
      <w:r w:rsidR="00AE7367">
        <w:rPr>
          <w:rFonts w:ascii="Arial" w:hAnsi="Arial" w:cs="Arial"/>
        </w:rPr>
        <w:t>)</w:t>
      </w:r>
    </w:p>
    <w:p w:rsidR="00AE7367" w:rsidRDefault="00E153E7" w:rsidP="00AE7367">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w:t>
      </w:r>
      <w:r w:rsidR="00AE7367">
        <w:rPr>
          <w:rFonts w:ascii="Arial" w:hAnsi="Arial" w:cs="Arial"/>
          <w:sz w:val="24"/>
          <w:szCs w:val="24"/>
        </w:rPr>
        <w:t>nstructed</w:t>
      </w:r>
      <w:proofErr w:type="gramEnd"/>
      <w:r w:rsidR="00AE7367">
        <w:rPr>
          <w:rFonts w:ascii="Arial" w:hAnsi="Arial" w:cs="Arial"/>
          <w:sz w:val="24"/>
          <w:szCs w:val="24"/>
        </w:rPr>
        <w:t xml:space="preserve"> by </w:t>
      </w:r>
      <w:proofErr w:type="spellStart"/>
      <w:r w:rsidR="00AE7367" w:rsidRPr="00AF4007">
        <w:rPr>
          <w:rFonts w:ascii="Arial" w:hAnsi="Arial" w:cs="Arial"/>
          <w:sz w:val="24"/>
          <w:szCs w:val="24"/>
        </w:rPr>
        <w:t>Engling</w:t>
      </w:r>
      <w:proofErr w:type="spellEnd"/>
      <w:r w:rsidR="00AE7367" w:rsidRPr="00AF4007">
        <w:rPr>
          <w:rFonts w:ascii="Arial" w:hAnsi="Arial" w:cs="Arial"/>
          <w:sz w:val="24"/>
          <w:szCs w:val="24"/>
        </w:rPr>
        <w:t xml:space="preserve">, </w:t>
      </w:r>
      <w:proofErr w:type="spellStart"/>
      <w:r w:rsidR="00AE7367" w:rsidRPr="00AF4007">
        <w:rPr>
          <w:rFonts w:ascii="Arial" w:hAnsi="Arial" w:cs="Arial"/>
          <w:sz w:val="24"/>
          <w:szCs w:val="24"/>
        </w:rPr>
        <w:t>Stritter</w:t>
      </w:r>
      <w:proofErr w:type="spellEnd"/>
      <w:r w:rsidR="00AE7367" w:rsidRPr="00AF4007">
        <w:rPr>
          <w:rFonts w:ascii="Arial" w:hAnsi="Arial" w:cs="Arial"/>
          <w:sz w:val="24"/>
          <w:szCs w:val="24"/>
        </w:rPr>
        <w:t xml:space="preserve"> &amp; Partners</w:t>
      </w:r>
      <w:r w:rsidR="00AE7367">
        <w:rPr>
          <w:rFonts w:ascii="Arial" w:hAnsi="Arial" w:cs="Arial"/>
          <w:sz w:val="24"/>
          <w:szCs w:val="24"/>
        </w:rPr>
        <w:t>,</w:t>
      </w:r>
    </w:p>
    <w:p w:rsidR="00AE7367" w:rsidRPr="000E7777" w:rsidRDefault="00AE7367" w:rsidP="00AE7367">
      <w:pPr>
        <w:spacing w:after="0" w:line="360" w:lineRule="auto"/>
        <w:ind w:left="2880" w:firstLine="720"/>
        <w:rPr>
          <w:rFonts w:ascii="Arial" w:hAnsi="Arial" w:cs="Arial"/>
          <w:sz w:val="24"/>
          <w:szCs w:val="24"/>
        </w:rPr>
      </w:pPr>
      <w:r>
        <w:rPr>
          <w:rFonts w:ascii="Arial" w:hAnsi="Arial" w:cs="Arial"/>
          <w:sz w:val="24"/>
          <w:szCs w:val="24"/>
        </w:rPr>
        <w:t>Windhoek</w:t>
      </w:r>
    </w:p>
    <w:p w:rsidR="00AE7367" w:rsidRDefault="00AE7367" w:rsidP="00AE7367">
      <w:pPr>
        <w:autoSpaceDE w:val="0"/>
        <w:autoSpaceDN w:val="0"/>
        <w:adjustRightInd w:val="0"/>
        <w:spacing w:after="0" w:line="360" w:lineRule="auto"/>
        <w:ind w:left="3780" w:hanging="3780"/>
        <w:jc w:val="both"/>
        <w:rPr>
          <w:rFonts w:ascii="Arial" w:hAnsi="Arial" w:cs="Arial"/>
          <w:sz w:val="24"/>
          <w:szCs w:val="24"/>
        </w:rPr>
      </w:pPr>
    </w:p>
    <w:p w:rsidR="00E1343E" w:rsidRDefault="00E1343E" w:rsidP="00AE7367">
      <w:pPr>
        <w:tabs>
          <w:tab w:val="left" w:pos="1394"/>
          <w:tab w:val="left" w:pos="2528"/>
        </w:tabs>
        <w:spacing w:after="0" w:line="360" w:lineRule="auto"/>
        <w:jc w:val="both"/>
        <w:rPr>
          <w:rFonts w:ascii="Arial" w:hAnsi="Arial" w:cs="Arial"/>
        </w:rPr>
      </w:pPr>
    </w:p>
    <w:p w:rsidR="005F1286" w:rsidRPr="000E7777" w:rsidRDefault="00971A81" w:rsidP="005F1286">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 xml:space="preserve">                                                                                                                                                                                            </w:t>
      </w:r>
      <w:r w:rsidR="005F1286">
        <w:rPr>
          <w:rFonts w:ascii="Arial" w:hAnsi="Arial" w:cs="Arial"/>
        </w:rPr>
        <w:tab/>
      </w:r>
      <w:r w:rsidR="005F1286">
        <w:rPr>
          <w:rFonts w:ascii="Arial" w:hAnsi="Arial" w:cs="Arial"/>
        </w:rPr>
        <w:tab/>
      </w:r>
      <w:r w:rsidR="005F1286">
        <w:rPr>
          <w:rFonts w:ascii="Arial" w:hAnsi="Arial" w:cs="Arial"/>
        </w:rPr>
        <w:tab/>
      </w:r>
    </w:p>
    <w:p w:rsidR="001B7E1F" w:rsidRDefault="001B7E1F" w:rsidP="001B7E1F">
      <w:pPr>
        <w:spacing w:after="0" w:line="360" w:lineRule="auto"/>
        <w:jc w:val="both"/>
        <w:rPr>
          <w:rFonts w:ascii="Arial" w:hAnsi="Arial" w:cs="Arial"/>
        </w:rPr>
      </w:pPr>
    </w:p>
    <w:p w:rsidR="001B7E1F" w:rsidRPr="00FA01DB" w:rsidRDefault="001B7E1F" w:rsidP="001B7E1F">
      <w:pPr>
        <w:spacing w:after="0" w:line="360" w:lineRule="auto"/>
        <w:jc w:val="both"/>
        <w:rPr>
          <w:rFonts w:ascii="Arial" w:hAnsi="Arial" w:cs="Arial"/>
          <w:sz w:val="24"/>
          <w:szCs w:val="24"/>
        </w:rPr>
      </w:pPr>
    </w:p>
    <w:p w:rsidR="001B7E1F" w:rsidRPr="00FA01DB" w:rsidRDefault="001B7E1F" w:rsidP="001B7E1F">
      <w:pPr>
        <w:spacing w:after="0" w:line="360" w:lineRule="auto"/>
        <w:rPr>
          <w:sz w:val="24"/>
          <w:szCs w:val="24"/>
        </w:rPr>
      </w:pPr>
    </w:p>
    <w:p w:rsidR="00CE2E4E" w:rsidRDefault="00CE2E4E" w:rsidP="0020786D">
      <w:pPr>
        <w:tabs>
          <w:tab w:val="num" w:pos="0"/>
          <w:tab w:val="left" w:pos="720"/>
        </w:tabs>
        <w:spacing w:after="0" w:line="360" w:lineRule="auto"/>
        <w:jc w:val="both"/>
        <w:rPr>
          <w:rFonts w:ascii="Arial" w:hAnsi="Arial" w:cs="Arial"/>
          <w:b/>
          <w:sz w:val="24"/>
          <w:szCs w:val="24"/>
          <w:lang w:eastAsia="en-GB"/>
        </w:rPr>
      </w:pPr>
    </w:p>
    <w:p w:rsidR="00945DCE" w:rsidRDefault="00945DCE" w:rsidP="00901B03">
      <w:pPr>
        <w:pStyle w:val="NoSpacing"/>
      </w:pPr>
    </w:p>
    <w:p w:rsidR="00CE2E4E" w:rsidRPr="00901B03" w:rsidRDefault="00CE2E4E" w:rsidP="00901B03">
      <w:pPr>
        <w:pStyle w:val="NoSpacing"/>
      </w:pPr>
    </w:p>
    <w:sectPr w:rsidR="00CE2E4E" w:rsidRPr="00901B03"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31" w:rsidRDefault="00604031" w:rsidP="00741B0B">
      <w:pPr>
        <w:spacing w:after="0" w:line="240" w:lineRule="auto"/>
      </w:pPr>
      <w:r>
        <w:separator/>
      </w:r>
    </w:p>
  </w:endnote>
  <w:endnote w:type="continuationSeparator" w:id="0">
    <w:p w:rsidR="00604031" w:rsidRDefault="00604031"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31" w:rsidRDefault="00604031" w:rsidP="00741B0B">
      <w:pPr>
        <w:spacing w:after="0" w:line="240" w:lineRule="auto"/>
      </w:pPr>
      <w:r>
        <w:separator/>
      </w:r>
    </w:p>
  </w:footnote>
  <w:footnote w:type="continuationSeparator" w:id="0">
    <w:p w:rsidR="00604031" w:rsidRDefault="00604031" w:rsidP="00741B0B">
      <w:pPr>
        <w:spacing w:after="0" w:line="240" w:lineRule="auto"/>
      </w:pPr>
      <w:r>
        <w:continuationSeparator/>
      </w:r>
    </w:p>
  </w:footnote>
  <w:footnote w:id="1">
    <w:p w:rsidR="00C4765D" w:rsidRPr="005C217D" w:rsidRDefault="00C4765D" w:rsidP="00C4765D">
      <w:pPr>
        <w:pStyle w:val="FootnoteText"/>
        <w:jc w:val="both"/>
        <w:rPr>
          <w:sz w:val="20"/>
          <w:szCs w:val="20"/>
          <w:lang w:val="en-US"/>
        </w:rPr>
      </w:pPr>
      <w:r w:rsidRPr="005C217D">
        <w:rPr>
          <w:rStyle w:val="FootnoteReference"/>
          <w:sz w:val="20"/>
          <w:szCs w:val="20"/>
        </w:rPr>
        <w:footnoteRef/>
      </w:r>
      <w:r w:rsidRPr="005C217D">
        <w:rPr>
          <w:sz w:val="20"/>
          <w:szCs w:val="20"/>
        </w:rPr>
        <w:t xml:space="preserve"> </w:t>
      </w:r>
      <w:r>
        <w:rPr>
          <w:sz w:val="20"/>
          <w:szCs w:val="20"/>
          <w:lang w:val="en-US"/>
        </w:rPr>
        <w:t>See</w:t>
      </w:r>
      <w:r w:rsidRPr="005C217D">
        <w:rPr>
          <w:sz w:val="20"/>
          <w:szCs w:val="20"/>
          <w:lang w:val="en-US"/>
        </w:rPr>
        <w:t>: Section 4</w:t>
      </w:r>
      <w:r>
        <w:rPr>
          <w:sz w:val="20"/>
          <w:szCs w:val="20"/>
          <w:lang w:val="en-US"/>
        </w:rPr>
        <w:t>.</w:t>
      </w:r>
    </w:p>
  </w:footnote>
  <w:footnote w:id="2">
    <w:p w:rsidR="00C4765D" w:rsidRPr="005C217D" w:rsidRDefault="00C4765D" w:rsidP="00C4765D">
      <w:pPr>
        <w:pStyle w:val="FootnoteText"/>
        <w:jc w:val="both"/>
        <w:rPr>
          <w:sz w:val="20"/>
          <w:szCs w:val="20"/>
          <w:lang w:val="en-US"/>
        </w:rPr>
      </w:pPr>
      <w:r w:rsidRPr="005C217D">
        <w:rPr>
          <w:rStyle w:val="FootnoteReference"/>
          <w:sz w:val="20"/>
          <w:szCs w:val="20"/>
        </w:rPr>
        <w:footnoteRef/>
      </w:r>
      <w:r w:rsidRPr="005C217D">
        <w:rPr>
          <w:sz w:val="20"/>
          <w:szCs w:val="20"/>
        </w:rPr>
        <w:t xml:space="preserve"> </w:t>
      </w:r>
      <w:r w:rsidRPr="005C217D">
        <w:rPr>
          <w:sz w:val="20"/>
          <w:szCs w:val="20"/>
          <w:lang w:val="en-US"/>
        </w:rPr>
        <w:t>See Preamble</w:t>
      </w:r>
      <w:r>
        <w:rPr>
          <w:sz w:val="20"/>
          <w:szCs w:val="20"/>
          <w:lang w:val="en-US"/>
        </w:rPr>
        <w:t>.</w:t>
      </w:r>
    </w:p>
  </w:footnote>
  <w:footnote w:id="3">
    <w:p w:rsidR="00C4765D" w:rsidRPr="003531BA" w:rsidRDefault="00C4765D" w:rsidP="00C4765D">
      <w:pPr>
        <w:pStyle w:val="FootnoteText"/>
        <w:jc w:val="both"/>
        <w:rPr>
          <w:rFonts w:cs="Arial"/>
          <w:sz w:val="20"/>
          <w:szCs w:val="20"/>
          <w:lang w:val="en-ZA"/>
        </w:rPr>
      </w:pPr>
      <w:r w:rsidRPr="0061314E">
        <w:rPr>
          <w:rStyle w:val="FootnoteReference"/>
          <w:rFonts w:cs="Arial"/>
          <w:sz w:val="20"/>
          <w:szCs w:val="20"/>
        </w:rPr>
        <w:footnoteRef/>
      </w:r>
      <w:r>
        <w:rPr>
          <w:rFonts w:cs="Arial"/>
          <w:sz w:val="20"/>
          <w:szCs w:val="20"/>
        </w:rPr>
        <w:t xml:space="preserve"> Section 2 of the Act. </w:t>
      </w:r>
      <w:r w:rsidRPr="0061314E">
        <w:rPr>
          <w:rFonts w:cs="Arial"/>
          <w:sz w:val="20"/>
          <w:szCs w:val="20"/>
        </w:rPr>
        <w:t xml:space="preserve">See also </w:t>
      </w:r>
      <w:r w:rsidRPr="0061314E">
        <w:rPr>
          <w:rFonts w:cs="Arial"/>
          <w:i/>
          <w:sz w:val="20"/>
          <w:szCs w:val="20"/>
        </w:rPr>
        <w:t xml:space="preserve">Namibian Competition Commission and Another v Wal-Mart Stores Incorporated </w:t>
      </w:r>
      <w:r w:rsidRPr="0061314E">
        <w:rPr>
          <w:rFonts w:cs="Arial"/>
          <w:sz w:val="20"/>
          <w:szCs w:val="20"/>
        </w:rPr>
        <w:t>2011 NASC 11 para 24</w:t>
      </w:r>
      <w:r>
        <w:rPr>
          <w:rFonts w:cs="Arial"/>
          <w:sz w:val="20"/>
          <w:szCs w:val="20"/>
          <w:lang w:val="en-ZA"/>
        </w:rPr>
        <w:t>.</w:t>
      </w:r>
    </w:p>
  </w:footnote>
  <w:footnote w:id="4">
    <w:p w:rsidR="00C4765D" w:rsidRPr="005C217D" w:rsidRDefault="00C4765D" w:rsidP="00C4765D">
      <w:pPr>
        <w:pStyle w:val="FootnoteText"/>
        <w:jc w:val="both"/>
        <w:rPr>
          <w:sz w:val="20"/>
          <w:szCs w:val="20"/>
          <w:lang w:val="en-US"/>
        </w:rPr>
      </w:pPr>
      <w:r w:rsidRPr="005C217D">
        <w:rPr>
          <w:rStyle w:val="FootnoteReference"/>
          <w:sz w:val="20"/>
          <w:szCs w:val="20"/>
        </w:rPr>
        <w:footnoteRef/>
      </w:r>
      <w:r w:rsidRPr="005C217D">
        <w:rPr>
          <w:sz w:val="20"/>
          <w:szCs w:val="20"/>
        </w:rPr>
        <w:t xml:space="preserve"> </w:t>
      </w:r>
      <w:r w:rsidRPr="005C217D">
        <w:rPr>
          <w:sz w:val="20"/>
          <w:szCs w:val="20"/>
          <w:lang w:val="en-US"/>
        </w:rPr>
        <w:t>See Section 16(f)</w:t>
      </w:r>
      <w:r>
        <w:rPr>
          <w:sz w:val="20"/>
          <w:szCs w:val="20"/>
          <w:lang w:val="en-US"/>
        </w:rPr>
        <w:t>.</w:t>
      </w:r>
    </w:p>
  </w:footnote>
  <w:footnote w:id="5">
    <w:p w:rsidR="00C4765D" w:rsidRPr="005C217D" w:rsidRDefault="00C4765D" w:rsidP="00C4765D">
      <w:pPr>
        <w:pStyle w:val="FootnoteText"/>
        <w:jc w:val="both"/>
        <w:rPr>
          <w:sz w:val="20"/>
          <w:szCs w:val="20"/>
          <w:lang w:val="en-US"/>
        </w:rPr>
      </w:pPr>
      <w:r w:rsidRPr="005C217D">
        <w:rPr>
          <w:rStyle w:val="FootnoteReference"/>
          <w:sz w:val="20"/>
          <w:szCs w:val="20"/>
        </w:rPr>
        <w:footnoteRef/>
      </w:r>
      <w:r w:rsidRPr="005C217D">
        <w:rPr>
          <w:sz w:val="20"/>
          <w:szCs w:val="20"/>
        </w:rPr>
        <w:t xml:space="preserve"> </w:t>
      </w:r>
      <w:r w:rsidRPr="005C217D">
        <w:rPr>
          <w:sz w:val="20"/>
          <w:szCs w:val="20"/>
          <w:lang w:val="en-US"/>
        </w:rPr>
        <w:t>As set out in Parts I and II</w:t>
      </w:r>
      <w:r>
        <w:rPr>
          <w:sz w:val="20"/>
          <w:szCs w:val="20"/>
          <w:lang w:val="en-US"/>
        </w:rPr>
        <w:t xml:space="preserve"> of the Act.</w:t>
      </w:r>
    </w:p>
  </w:footnote>
  <w:footnote w:id="6">
    <w:p w:rsidR="00C4765D" w:rsidRPr="005C217D" w:rsidRDefault="00C4765D" w:rsidP="00C4765D">
      <w:pPr>
        <w:pStyle w:val="FootnoteText"/>
        <w:jc w:val="both"/>
        <w:rPr>
          <w:rFonts w:cs="Arial"/>
          <w:sz w:val="20"/>
          <w:szCs w:val="20"/>
        </w:rPr>
      </w:pPr>
      <w:r w:rsidRPr="0061314E">
        <w:rPr>
          <w:rStyle w:val="FootnoteReference"/>
          <w:rFonts w:cs="Arial"/>
          <w:sz w:val="20"/>
          <w:szCs w:val="20"/>
        </w:rPr>
        <w:footnoteRef/>
      </w:r>
      <w:r>
        <w:rPr>
          <w:rFonts w:cs="Arial"/>
          <w:sz w:val="20"/>
          <w:szCs w:val="20"/>
        </w:rPr>
        <w:t xml:space="preserve"> </w:t>
      </w:r>
      <w:r w:rsidRPr="0061314E">
        <w:rPr>
          <w:rFonts w:cs="Arial"/>
          <w:sz w:val="20"/>
          <w:szCs w:val="20"/>
        </w:rPr>
        <w:t>Section 26 of the Act provides that:</w:t>
      </w:r>
      <w:r>
        <w:rPr>
          <w:rFonts w:cs="Arial"/>
          <w:sz w:val="20"/>
          <w:szCs w:val="20"/>
          <w:lang w:val="en-US"/>
        </w:rPr>
        <w:t xml:space="preserve"> </w:t>
      </w:r>
      <w:r w:rsidRPr="0061314E">
        <w:rPr>
          <w:rFonts w:cs="Arial"/>
          <w:sz w:val="20"/>
          <w:szCs w:val="20"/>
        </w:rPr>
        <w:t>“</w:t>
      </w:r>
      <w:r>
        <w:rPr>
          <w:rFonts w:cs="Arial"/>
          <w:i/>
          <w:sz w:val="20"/>
          <w:szCs w:val="20"/>
        </w:rPr>
        <w:t xml:space="preserve">(1) </w:t>
      </w:r>
      <w:r w:rsidRPr="0061314E">
        <w:rPr>
          <w:rFonts w:cs="Arial"/>
          <w:i/>
          <w:sz w:val="20"/>
          <w:szCs w:val="20"/>
        </w:rPr>
        <w:t>Any conduct on the part of</w:t>
      </w:r>
      <w:r>
        <w:rPr>
          <w:rFonts w:cs="Arial"/>
          <w:i/>
          <w:sz w:val="20"/>
          <w:szCs w:val="20"/>
        </w:rPr>
        <w:t xml:space="preserve"> one or more undertakings which </w:t>
      </w:r>
      <w:r w:rsidRPr="0061314E">
        <w:rPr>
          <w:rFonts w:cs="Arial"/>
          <w:i/>
          <w:sz w:val="20"/>
          <w:szCs w:val="20"/>
        </w:rPr>
        <w:t>amounts to the abuse of a dominant position in a market in Namibia, or a part of Namibia, is prohibited.</w:t>
      </w:r>
      <w:r>
        <w:rPr>
          <w:rFonts w:cs="Arial"/>
          <w:sz w:val="20"/>
          <w:szCs w:val="20"/>
          <w:lang w:val="en-US"/>
        </w:rPr>
        <w:t xml:space="preserve"> </w:t>
      </w:r>
      <w:r>
        <w:rPr>
          <w:rFonts w:cs="Arial"/>
          <w:i/>
          <w:sz w:val="20"/>
          <w:szCs w:val="20"/>
        </w:rPr>
        <w:t xml:space="preserve">(2) </w:t>
      </w:r>
      <w:r w:rsidRPr="0061314E">
        <w:rPr>
          <w:rFonts w:cs="Arial"/>
          <w:i/>
          <w:sz w:val="20"/>
          <w:szCs w:val="20"/>
        </w:rPr>
        <w:t>Without prejudice to the generality of subsection (1), abuse of a dominant position includes—</w:t>
      </w:r>
      <w:r>
        <w:rPr>
          <w:rFonts w:cs="Arial"/>
          <w:i/>
          <w:sz w:val="20"/>
          <w:szCs w:val="20"/>
        </w:rPr>
        <w:t xml:space="preserve">(a) </w:t>
      </w:r>
      <w:r w:rsidRPr="0061314E">
        <w:rPr>
          <w:rFonts w:cs="Arial"/>
          <w:i/>
          <w:sz w:val="20"/>
          <w:szCs w:val="20"/>
          <w:u w:val="single"/>
        </w:rPr>
        <w:t>directly or indirectly imposing unfair purchase or selling prices or other unfair trading conditions</w:t>
      </w:r>
      <w:r w:rsidRPr="0061314E">
        <w:rPr>
          <w:rFonts w:cs="Arial"/>
          <w:i/>
          <w:sz w:val="20"/>
          <w:szCs w:val="20"/>
        </w:rPr>
        <w:t>;</w:t>
      </w:r>
      <w:r>
        <w:rPr>
          <w:rFonts w:cs="Arial"/>
          <w:sz w:val="20"/>
          <w:szCs w:val="20"/>
          <w:lang w:val="en-US"/>
        </w:rPr>
        <w:t xml:space="preserve"> </w:t>
      </w:r>
      <w:r>
        <w:rPr>
          <w:rFonts w:cs="Arial"/>
          <w:i/>
          <w:sz w:val="20"/>
          <w:szCs w:val="20"/>
        </w:rPr>
        <w:t xml:space="preserve">(b) </w:t>
      </w:r>
      <w:r w:rsidRPr="0061314E">
        <w:rPr>
          <w:rFonts w:cs="Arial"/>
          <w:i/>
          <w:sz w:val="20"/>
          <w:szCs w:val="20"/>
        </w:rPr>
        <w:t>limiting or restricting production, market outlets or market access, investment, technical development or technological progress;</w:t>
      </w:r>
      <w:r>
        <w:rPr>
          <w:rFonts w:cs="Arial"/>
          <w:sz w:val="20"/>
          <w:szCs w:val="20"/>
          <w:lang w:val="en-US"/>
        </w:rPr>
        <w:t xml:space="preserve"> </w:t>
      </w:r>
      <w:r>
        <w:rPr>
          <w:rFonts w:cs="Arial"/>
          <w:i/>
          <w:sz w:val="20"/>
          <w:szCs w:val="20"/>
        </w:rPr>
        <w:t xml:space="preserve">(c) applying </w:t>
      </w:r>
      <w:r w:rsidRPr="0061314E">
        <w:rPr>
          <w:rFonts w:cs="Arial"/>
          <w:i/>
          <w:sz w:val="20"/>
          <w:szCs w:val="20"/>
        </w:rPr>
        <w:t>dissimilar conditions to equivalent transactions with other trading parties; and</w:t>
      </w:r>
      <w:r>
        <w:rPr>
          <w:rFonts w:cs="Arial"/>
          <w:sz w:val="20"/>
          <w:szCs w:val="20"/>
          <w:lang w:val="en-US"/>
        </w:rPr>
        <w:t xml:space="preserve"> </w:t>
      </w:r>
      <w:r>
        <w:rPr>
          <w:rFonts w:cs="Arial"/>
          <w:i/>
          <w:sz w:val="20"/>
          <w:szCs w:val="20"/>
        </w:rPr>
        <w:t xml:space="preserve">(d) </w:t>
      </w:r>
      <w:r w:rsidRPr="0061314E">
        <w:rPr>
          <w:rFonts w:cs="Arial"/>
          <w:i/>
          <w:sz w:val="20"/>
          <w:szCs w:val="20"/>
        </w:rPr>
        <w:t>making the conclusion of contracts subject to acceptance by other parties of supplementary conditions which by their nature or according to commercial usage have no connection with the subject-matter of the contracts.”</w:t>
      </w:r>
    </w:p>
  </w:footnote>
  <w:footnote w:id="7">
    <w:p w:rsidR="00C4765D" w:rsidRPr="003531BA" w:rsidRDefault="00C4765D" w:rsidP="00C4765D">
      <w:pPr>
        <w:pStyle w:val="FootnoteText"/>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1, Item 10 Page 42 </w:t>
      </w:r>
      <w:r w:rsidRPr="0061314E">
        <w:rPr>
          <w:rFonts w:cs="Arial"/>
          <w:sz w:val="20"/>
          <w:szCs w:val="20"/>
        </w:rPr>
        <w:t>Founding Affidavit – Puma’s Counter-Application Annexure DD3</w:t>
      </w:r>
      <w:r>
        <w:rPr>
          <w:rFonts w:cs="Arial"/>
          <w:sz w:val="20"/>
          <w:szCs w:val="20"/>
          <w:lang w:val="en-ZA"/>
        </w:rPr>
        <w:t>.</w:t>
      </w:r>
    </w:p>
  </w:footnote>
  <w:footnote w:id="8">
    <w:p w:rsidR="00C4765D" w:rsidRPr="003531BA" w:rsidRDefault="00C4765D" w:rsidP="00C4765D">
      <w:pPr>
        <w:pStyle w:val="FootnoteText"/>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1, Item 10 Page 29 </w:t>
      </w:r>
      <w:r w:rsidRPr="0061314E">
        <w:rPr>
          <w:rFonts w:cs="Arial"/>
          <w:sz w:val="20"/>
          <w:szCs w:val="20"/>
        </w:rPr>
        <w:t>Court order 14 September 2016 annexe</w:t>
      </w:r>
      <w:r>
        <w:rPr>
          <w:rFonts w:cs="Arial"/>
          <w:sz w:val="20"/>
          <w:szCs w:val="20"/>
        </w:rPr>
        <w:t xml:space="preserve">d to Puma’s Counter-Application </w:t>
      </w:r>
      <w:r w:rsidRPr="0061314E">
        <w:rPr>
          <w:rFonts w:cs="Arial"/>
          <w:sz w:val="20"/>
          <w:szCs w:val="20"/>
        </w:rPr>
        <w:t>as DD1</w:t>
      </w:r>
      <w:r>
        <w:rPr>
          <w:rFonts w:cs="Arial"/>
          <w:sz w:val="20"/>
          <w:szCs w:val="20"/>
          <w:lang w:val="en-ZA"/>
        </w:rPr>
        <w:t>.</w:t>
      </w:r>
    </w:p>
  </w:footnote>
  <w:footnote w:id="9">
    <w:p w:rsidR="00C4765D" w:rsidRPr="0061314E" w:rsidRDefault="00C4765D" w:rsidP="005C217D">
      <w:pPr>
        <w:pStyle w:val="FootnoteText"/>
        <w:ind w:left="567" w:hanging="567"/>
        <w:jc w:val="both"/>
        <w:rPr>
          <w:rFonts w:cs="Arial"/>
          <w:sz w:val="20"/>
          <w:szCs w:val="20"/>
        </w:rPr>
      </w:pPr>
      <w:r w:rsidRPr="0061314E">
        <w:rPr>
          <w:rStyle w:val="FootnoteReference"/>
          <w:rFonts w:cs="Arial"/>
          <w:sz w:val="20"/>
          <w:szCs w:val="20"/>
        </w:rPr>
        <w:footnoteRef/>
      </w:r>
      <w:r>
        <w:rPr>
          <w:rFonts w:cs="Arial"/>
          <w:sz w:val="20"/>
          <w:szCs w:val="20"/>
        </w:rPr>
        <w:t xml:space="preserve"> Bundle 1 Item 8 Page 1 -3</w:t>
      </w:r>
      <w:r>
        <w:rPr>
          <w:rFonts w:cs="Arial"/>
          <w:sz w:val="20"/>
          <w:szCs w:val="20"/>
          <w:lang w:val="en-ZA"/>
        </w:rPr>
        <w:t>.</w:t>
      </w:r>
      <w:r>
        <w:rPr>
          <w:rFonts w:cs="Arial"/>
          <w:sz w:val="20"/>
          <w:szCs w:val="20"/>
        </w:rPr>
        <w:t xml:space="preserve"> </w:t>
      </w:r>
    </w:p>
  </w:footnote>
  <w:footnote w:id="10">
    <w:p w:rsidR="00C4765D" w:rsidRPr="0061314E" w:rsidRDefault="00C4765D" w:rsidP="00D11ECE">
      <w:pPr>
        <w:pStyle w:val="FootnoteText"/>
        <w:ind w:left="567" w:hanging="567"/>
        <w:jc w:val="both"/>
        <w:rPr>
          <w:rFonts w:cs="Arial"/>
          <w:sz w:val="20"/>
          <w:szCs w:val="20"/>
        </w:rPr>
      </w:pPr>
      <w:r w:rsidRPr="0061314E">
        <w:rPr>
          <w:rStyle w:val="FootnoteReference"/>
          <w:rFonts w:cs="Arial"/>
          <w:sz w:val="20"/>
          <w:szCs w:val="20"/>
        </w:rPr>
        <w:footnoteRef/>
      </w:r>
      <w:r>
        <w:rPr>
          <w:rFonts w:cs="Arial"/>
          <w:sz w:val="20"/>
          <w:szCs w:val="20"/>
        </w:rPr>
        <w:t xml:space="preserve"> Bundle 1, Item 2 Page 8 </w:t>
      </w:r>
      <w:r w:rsidRPr="0061314E">
        <w:rPr>
          <w:rFonts w:cs="Arial"/>
          <w:sz w:val="20"/>
          <w:szCs w:val="20"/>
        </w:rPr>
        <w:t xml:space="preserve">Founding Affidavit </w:t>
      </w:r>
      <w:r w:rsidRPr="0061314E">
        <w:rPr>
          <w:rFonts w:cs="Arial"/>
          <w:i/>
          <w:sz w:val="20"/>
          <w:szCs w:val="20"/>
        </w:rPr>
        <w:t xml:space="preserve">Ex Parte </w:t>
      </w:r>
      <w:r w:rsidRPr="0061314E">
        <w:rPr>
          <w:rFonts w:cs="Arial"/>
          <w:sz w:val="20"/>
          <w:szCs w:val="20"/>
        </w:rPr>
        <w:t>Application para 31.2.</w:t>
      </w:r>
    </w:p>
  </w:footnote>
  <w:footnote w:id="11">
    <w:p w:rsidR="00C4765D" w:rsidRPr="003531BA" w:rsidRDefault="00C4765D" w:rsidP="00D11ECE">
      <w:pPr>
        <w:pStyle w:val="FootnoteText"/>
        <w:ind w:left="567" w:hanging="567"/>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1, Item 2 Page 8 </w:t>
      </w:r>
      <w:r w:rsidRPr="0061314E">
        <w:rPr>
          <w:rFonts w:cs="Arial"/>
          <w:sz w:val="20"/>
          <w:szCs w:val="20"/>
        </w:rPr>
        <w:t xml:space="preserve">Founding Affidavit </w:t>
      </w:r>
      <w:r w:rsidRPr="0061314E">
        <w:rPr>
          <w:rFonts w:cs="Arial"/>
          <w:i/>
          <w:sz w:val="20"/>
          <w:szCs w:val="20"/>
        </w:rPr>
        <w:t xml:space="preserve">Ex Parte </w:t>
      </w:r>
      <w:r w:rsidRPr="0061314E">
        <w:rPr>
          <w:rFonts w:cs="Arial"/>
          <w:sz w:val="20"/>
          <w:szCs w:val="20"/>
        </w:rPr>
        <w:t>Application para 31.4</w:t>
      </w:r>
      <w:r>
        <w:rPr>
          <w:rFonts w:cs="Arial"/>
          <w:sz w:val="20"/>
          <w:szCs w:val="20"/>
          <w:lang w:val="en-ZA"/>
        </w:rPr>
        <w:t>.</w:t>
      </w:r>
    </w:p>
  </w:footnote>
  <w:footnote w:id="12">
    <w:p w:rsidR="00C4765D" w:rsidRPr="003531BA" w:rsidRDefault="00C4765D" w:rsidP="003531BA">
      <w:pPr>
        <w:pStyle w:val="FootnoteText"/>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2 Item 16 Page 9 </w:t>
      </w:r>
      <w:r w:rsidRPr="0061314E">
        <w:rPr>
          <w:rFonts w:cs="Arial"/>
          <w:sz w:val="20"/>
          <w:szCs w:val="20"/>
        </w:rPr>
        <w:t>Class Complaint, Competition Commission’s Answering Affidavit Annexure VND7 para 27</w:t>
      </w:r>
      <w:r>
        <w:rPr>
          <w:rFonts w:cs="Arial"/>
          <w:sz w:val="20"/>
          <w:szCs w:val="20"/>
          <w:lang w:val="en-ZA"/>
        </w:rPr>
        <w:t>.</w:t>
      </w:r>
    </w:p>
  </w:footnote>
  <w:footnote w:id="13">
    <w:p w:rsidR="00C4765D" w:rsidRPr="003531BA" w:rsidRDefault="00C4765D" w:rsidP="00D11ECE">
      <w:pPr>
        <w:pStyle w:val="FootnoteText"/>
        <w:ind w:left="567" w:hanging="567"/>
        <w:jc w:val="both"/>
        <w:rPr>
          <w:rFonts w:cs="Arial"/>
          <w:b/>
          <w:sz w:val="20"/>
          <w:szCs w:val="20"/>
          <w:lang w:val="en-ZA"/>
        </w:rPr>
      </w:pPr>
      <w:r w:rsidRPr="0061314E">
        <w:rPr>
          <w:rStyle w:val="FootnoteReference"/>
          <w:rFonts w:cs="Arial"/>
          <w:sz w:val="20"/>
          <w:szCs w:val="20"/>
        </w:rPr>
        <w:footnoteRef/>
      </w:r>
      <w:r>
        <w:rPr>
          <w:rFonts w:cs="Arial"/>
          <w:sz w:val="20"/>
          <w:szCs w:val="20"/>
        </w:rPr>
        <w:t xml:space="preserve"> Bundle 1 Item 1 Page 1 -2 </w:t>
      </w:r>
      <w:r w:rsidRPr="0061314E">
        <w:rPr>
          <w:rFonts w:cs="Arial"/>
          <w:sz w:val="20"/>
          <w:szCs w:val="20"/>
        </w:rPr>
        <w:t xml:space="preserve">Notice of Motion </w:t>
      </w:r>
      <w:r w:rsidRPr="0061314E">
        <w:rPr>
          <w:rFonts w:cs="Arial"/>
          <w:i/>
          <w:sz w:val="20"/>
          <w:szCs w:val="20"/>
        </w:rPr>
        <w:t xml:space="preserve">Ex Parte </w:t>
      </w:r>
      <w:r w:rsidRPr="0061314E">
        <w:rPr>
          <w:rFonts w:cs="Arial"/>
          <w:sz w:val="20"/>
          <w:szCs w:val="20"/>
        </w:rPr>
        <w:t>Application</w:t>
      </w:r>
      <w:r>
        <w:rPr>
          <w:rFonts w:cs="Arial"/>
          <w:sz w:val="20"/>
          <w:szCs w:val="20"/>
          <w:lang w:val="en-ZA"/>
        </w:rPr>
        <w:t>.</w:t>
      </w:r>
    </w:p>
  </w:footnote>
  <w:footnote w:id="14">
    <w:p w:rsidR="00C4765D" w:rsidRPr="0061314E" w:rsidRDefault="00C4765D" w:rsidP="00D11ECE">
      <w:pPr>
        <w:pStyle w:val="FootnoteText"/>
        <w:ind w:left="567" w:hanging="567"/>
        <w:jc w:val="both"/>
        <w:rPr>
          <w:rFonts w:cs="Arial"/>
          <w:sz w:val="20"/>
          <w:szCs w:val="20"/>
        </w:rPr>
      </w:pPr>
      <w:r w:rsidRPr="0061314E">
        <w:rPr>
          <w:rStyle w:val="FootnoteReference"/>
          <w:rFonts w:cs="Arial"/>
          <w:sz w:val="20"/>
          <w:szCs w:val="20"/>
        </w:rPr>
        <w:footnoteRef/>
      </w:r>
      <w:r>
        <w:rPr>
          <w:rFonts w:cs="Arial"/>
          <w:sz w:val="20"/>
          <w:szCs w:val="20"/>
        </w:rPr>
        <w:t xml:space="preserve"> Bundle 1 Item 2 Page 1 </w:t>
      </w:r>
      <w:r w:rsidRPr="0061314E">
        <w:rPr>
          <w:rFonts w:cs="Arial"/>
          <w:sz w:val="20"/>
          <w:szCs w:val="20"/>
        </w:rPr>
        <w:t xml:space="preserve">Founding Affidavit </w:t>
      </w:r>
      <w:r w:rsidRPr="0061314E">
        <w:rPr>
          <w:rFonts w:cs="Arial"/>
          <w:i/>
          <w:sz w:val="20"/>
          <w:szCs w:val="20"/>
        </w:rPr>
        <w:t xml:space="preserve">Ex Parte </w:t>
      </w:r>
      <w:r w:rsidRPr="0061314E">
        <w:rPr>
          <w:rFonts w:cs="Arial"/>
          <w:sz w:val="20"/>
          <w:szCs w:val="20"/>
        </w:rPr>
        <w:t>Application para 1.1</w:t>
      </w:r>
      <w:r>
        <w:rPr>
          <w:rFonts w:cs="Arial"/>
          <w:sz w:val="20"/>
          <w:szCs w:val="20"/>
        </w:rPr>
        <w:t xml:space="preserve"> and 1.2</w:t>
      </w:r>
      <w:r>
        <w:rPr>
          <w:rFonts w:cs="Arial"/>
          <w:sz w:val="20"/>
          <w:szCs w:val="20"/>
          <w:lang w:val="en-ZA"/>
        </w:rPr>
        <w:t>.</w:t>
      </w:r>
      <w:r>
        <w:rPr>
          <w:rFonts w:cs="Arial"/>
          <w:sz w:val="20"/>
          <w:szCs w:val="20"/>
        </w:rPr>
        <w:t xml:space="preserve"> </w:t>
      </w:r>
    </w:p>
  </w:footnote>
  <w:footnote w:id="15">
    <w:p w:rsidR="00C4765D" w:rsidRPr="003531BA" w:rsidRDefault="00C4765D" w:rsidP="003531BA">
      <w:pPr>
        <w:pStyle w:val="FootnoteText"/>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1, Item 2 Page 5 </w:t>
      </w:r>
      <w:r w:rsidRPr="0061314E">
        <w:rPr>
          <w:rFonts w:cs="Arial"/>
          <w:sz w:val="20"/>
          <w:szCs w:val="20"/>
        </w:rPr>
        <w:t xml:space="preserve">Founding Affidavit </w:t>
      </w:r>
      <w:r w:rsidRPr="0061314E">
        <w:rPr>
          <w:rFonts w:cs="Arial"/>
          <w:i/>
          <w:sz w:val="20"/>
          <w:szCs w:val="20"/>
        </w:rPr>
        <w:t xml:space="preserve">Ex Parte </w:t>
      </w:r>
      <w:r w:rsidRPr="0061314E">
        <w:rPr>
          <w:rFonts w:cs="Arial"/>
          <w:sz w:val="20"/>
          <w:szCs w:val="20"/>
        </w:rPr>
        <w:t xml:space="preserve">Application para 16; see also </w:t>
      </w:r>
      <w:r>
        <w:rPr>
          <w:rFonts w:cs="Arial"/>
          <w:sz w:val="20"/>
          <w:szCs w:val="20"/>
        </w:rPr>
        <w:t xml:space="preserve">Bundle 1 Item 3 Page 6 </w:t>
      </w:r>
      <w:r w:rsidRPr="0061314E">
        <w:rPr>
          <w:rFonts w:cs="Arial"/>
          <w:sz w:val="20"/>
          <w:szCs w:val="20"/>
        </w:rPr>
        <w:t xml:space="preserve">Founding Affidavit </w:t>
      </w:r>
      <w:r w:rsidRPr="0061314E">
        <w:rPr>
          <w:rFonts w:cs="Arial"/>
          <w:i/>
          <w:sz w:val="20"/>
          <w:szCs w:val="20"/>
        </w:rPr>
        <w:t xml:space="preserve">Ex Parte </w:t>
      </w:r>
      <w:r w:rsidRPr="0061314E">
        <w:rPr>
          <w:rFonts w:cs="Arial"/>
          <w:sz w:val="20"/>
          <w:szCs w:val="20"/>
        </w:rPr>
        <w:t>Application Annexure “A”</w:t>
      </w:r>
      <w:r>
        <w:rPr>
          <w:rFonts w:cs="Arial"/>
          <w:sz w:val="20"/>
          <w:szCs w:val="20"/>
          <w:lang w:val="en-ZA"/>
        </w:rPr>
        <w:t>.</w:t>
      </w:r>
    </w:p>
  </w:footnote>
  <w:footnote w:id="16">
    <w:p w:rsidR="00C4765D" w:rsidRPr="002736B4" w:rsidRDefault="00C4765D" w:rsidP="00D11ECE">
      <w:pPr>
        <w:pStyle w:val="FootnoteText"/>
        <w:ind w:left="567" w:hanging="567"/>
        <w:rPr>
          <w:rFonts w:cs="Arial"/>
          <w:sz w:val="20"/>
          <w:szCs w:val="20"/>
          <w:lang w:val="en-ZA"/>
        </w:rPr>
      </w:pPr>
      <w:r w:rsidRPr="0061314E">
        <w:rPr>
          <w:rStyle w:val="FootnoteReference"/>
          <w:rFonts w:cs="Arial"/>
          <w:sz w:val="20"/>
          <w:szCs w:val="20"/>
        </w:rPr>
        <w:footnoteRef/>
      </w:r>
      <w:r>
        <w:rPr>
          <w:rFonts w:cs="Arial"/>
          <w:sz w:val="20"/>
          <w:szCs w:val="20"/>
        </w:rPr>
        <w:t xml:space="preserve"> Bundle1 Item 2 Page 7 </w:t>
      </w:r>
      <w:r w:rsidRPr="0061314E">
        <w:rPr>
          <w:rFonts w:cs="Arial"/>
          <w:sz w:val="20"/>
          <w:szCs w:val="20"/>
        </w:rPr>
        <w:t xml:space="preserve">Founding Affidavit </w:t>
      </w:r>
      <w:r w:rsidRPr="0061314E">
        <w:rPr>
          <w:rFonts w:cs="Arial"/>
          <w:i/>
          <w:sz w:val="20"/>
          <w:szCs w:val="20"/>
        </w:rPr>
        <w:t xml:space="preserve">Ex Parte </w:t>
      </w:r>
      <w:r w:rsidRPr="0061314E">
        <w:rPr>
          <w:rFonts w:cs="Arial"/>
          <w:sz w:val="20"/>
          <w:szCs w:val="20"/>
        </w:rPr>
        <w:t>Application paras 25-26</w:t>
      </w:r>
      <w:r>
        <w:rPr>
          <w:rFonts w:cs="Arial"/>
          <w:sz w:val="20"/>
          <w:szCs w:val="20"/>
          <w:lang w:val="en-ZA"/>
        </w:rPr>
        <w:t>.</w:t>
      </w:r>
    </w:p>
  </w:footnote>
  <w:footnote w:id="17">
    <w:p w:rsidR="00C4765D" w:rsidRPr="002736B4" w:rsidRDefault="00C4765D" w:rsidP="00D11ECE">
      <w:pPr>
        <w:pStyle w:val="FootnoteText"/>
        <w:ind w:left="567" w:hanging="567"/>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1 Item 2 Page 5 and 6 </w:t>
      </w:r>
      <w:r w:rsidRPr="0061314E">
        <w:rPr>
          <w:rFonts w:cs="Arial"/>
          <w:sz w:val="20"/>
          <w:szCs w:val="20"/>
        </w:rPr>
        <w:t xml:space="preserve">Founding Affidavit </w:t>
      </w:r>
      <w:r w:rsidRPr="0061314E">
        <w:rPr>
          <w:rFonts w:cs="Arial"/>
          <w:i/>
          <w:sz w:val="20"/>
          <w:szCs w:val="20"/>
        </w:rPr>
        <w:t xml:space="preserve">Ex Parte </w:t>
      </w:r>
      <w:r w:rsidRPr="0061314E">
        <w:rPr>
          <w:rFonts w:cs="Arial"/>
          <w:sz w:val="20"/>
          <w:szCs w:val="20"/>
        </w:rPr>
        <w:t>Application para 17, 23</w:t>
      </w:r>
      <w:r>
        <w:rPr>
          <w:rFonts w:cs="Arial"/>
          <w:sz w:val="20"/>
          <w:szCs w:val="20"/>
          <w:lang w:val="en-ZA"/>
        </w:rPr>
        <w:t>.</w:t>
      </w:r>
    </w:p>
  </w:footnote>
  <w:footnote w:id="18">
    <w:p w:rsidR="00C4765D" w:rsidRPr="002736B4" w:rsidRDefault="00C4765D" w:rsidP="00D11ECE">
      <w:pPr>
        <w:pStyle w:val="FootnoteText"/>
        <w:ind w:left="567" w:hanging="567"/>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1 Item 2 Page 5 and 7 </w:t>
      </w:r>
      <w:r w:rsidRPr="0061314E">
        <w:rPr>
          <w:rFonts w:cs="Arial"/>
          <w:sz w:val="20"/>
          <w:szCs w:val="20"/>
        </w:rPr>
        <w:t xml:space="preserve">Founding Affidavit </w:t>
      </w:r>
      <w:r w:rsidRPr="0061314E">
        <w:rPr>
          <w:rFonts w:cs="Arial"/>
          <w:i/>
          <w:sz w:val="20"/>
          <w:szCs w:val="20"/>
        </w:rPr>
        <w:t xml:space="preserve">Ex Parte </w:t>
      </w:r>
      <w:r w:rsidRPr="0061314E">
        <w:rPr>
          <w:rFonts w:cs="Arial"/>
          <w:sz w:val="20"/>
          <w:szCs w:val="20"/>
        </w:rPr>
        <w:t>Application para 18, 24</w:t>
      </w:r>
      <w:r>
        <w:rPr>
          <w:rFonts w:cs="Arial"/>
          <w:sz w:val="20"/>
          <w:szCs w:val="20"/>
          <w:lang w:val="en-ZA"/>
        </w:rPr>
        <w:t>.</w:t>
      </w:r>
    </w:p>
  </w:footnote>
  <w:footnote w:id="19">
    <w:p w:rsidR="00C4765D" w:rsidRPr="002736B4" w:rsidRDefault="00C4765D" w:rsidP="002736B4">
      <w:pPr>
        <w:pStyle w:val="FootnoteText"/>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1 Item 10 Page 29 </w:t>
      </w:r>
      <w:r w:rsidRPr="0061314E">
        <w:rPr>
          <w:rFonts w:cs="Arial"/>
          <w:sz w:val="20"/>
          <w:szCs w:val="20"/>
        </w:rPr>
        <w:t>Court order 14 September 2016 annexed to Puma’s Counter-Application as DD1</w:t>
      </w:r>
      <w:r>
        <w:rPr>
          <w:rFonts w:cs="Arial"/>
          <w:sz w:val="20"/>
          <w:szCs w:val="20"/>
          <w:lang w:val="en-ZA"/>
        </w:rPr>
        <w:t>.</w:t>
      </w:r>
    </w:p>
  </w:footnote>
  <w:footnote w:id="20">
    <w:p w:rsidR="00C4765D" w:rsidRPr="002736B4" w:rsidRDefault="00C4765D" w:rsidP="00D11ECE">
      <w:pPr>
        <w:pStyle w:val="FootnoteText"/>
        <w:ind w:left="567" w:hanging="567"/>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1 Item 10 Page 3 </w:t>
      </w:r>
      <w:r w:rsidRPr="0061314E">
        <w:rPr>
          <w:rFonts w:cs="Arial"/>
          <w:sz w:val="20"/>
          <w:szCs w:val="20"/>
        </w:rPr>
        <w:t>Founding Affidavit – Puma’s Counter-Application para 5</w:t>
      </w:r>
      <w:r>
        <w:rPr>
          <w:rFonts w:cs="Arial"/>
          <w:sz w:val="20"/>
          <w:szCs w:val="20"/>
          <w:lang w:val="en-ZA"/>
        </w:rPr>
        <w:t>.</w:t>
      </w:r>
    </w:p>
  </w:footnote>
  <w:footnote w:id="21">
    <w:p w:rsidR="00C4765D" w:rsidRPr="002736B4" w:rsidRDefault="00C4765D" w:rsidP="00D11ECE">
      <w:pPr>
        <w:pStyle w:val="FootnoteText"/>
        <w:ind w:left="567" w:hanging="567"/>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1 Item 10 Page 5 </w:t>
      </w:r>
      <w:r w:rsidRPr="0061314E">
        <w:rPr>
          <w:rFonts w:cs="Arial"/>
          <w:sz w:val="20"/>
          <w:szCs w:val="20"/>
        </w:rPr>
        <w:t>Founding Affidavit – Puma’s Counter-Application para 14</w:t>
      </w:r>
      <w:r>
        <w:rPr>
          <w:rFonts w:cs="Arial"/>
          <w:sz w:val="20"/>
          <w:szCs w:val="20"/>
          <w:lang w:val="en-ZA"/>
        </w:rPr>
        <w:t>.</w:t>
      </w:r>
    </w:p>
  </w:footnote>
  <w:footnote w:id="22">
    <w:p w:rsidR="00C4765D" w:rsidRPr="002736B4" w:rsidRDefault="00C4765D" w:rsidP="00D11ECE">
      <w:pPr>
        <w:pStyle w:val="FootnoteText"/>
        <w:ind w:left="567" w:hanging="567"/>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1 Item 10 Page 5 – 6 </w:t>
      </w:r>
      <w:r w:rsidRPr="0061314E">
        <w:rPr>
          <w:rFonts w:cs="Arial"/>
          <w:sz w:val="20"/>
          <w:szCs w:val="20"/>
        </w:rPr>
        <w:t>Founding Affidavit – Puma’s Counter-Application para 15</w:t>
      </w:r>
      <w:r>
        <w:rPr>
          <w:rFonts w:cs="Arial"/>
          <w:sz w:val="20"/>
          <w:szCs w:val="20"/>
          <w:lang w:val="en-ZA"/>
        </w:rPr>
        <w:t>.</w:t>
      </w:r>
    </w:p>
  </w:footnote>
  <w:footnote w:id="23">
    <w:p w:rsidR="00C4765D" w:rsidRPr="002736B4" w:rsidRDefault="00C4765D" w:rsidP="002736B4">
      <w:pPr>
        <w:pStyle w:val="FootnoteText"/>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2 Item 17 Page 1 – 2 </w:t>
      </w:r>
      <w:r w:rsidRPr="0061314E">
        <w:rPr>
          <w:rFonts w:cs="Arial"/>
          <w:sz w:val="20"/>
          <w:szCs w:val="20"/>
        </w:rPr>
        <w:t xml:space="preserve">Melissa </w:t>
      </w:r>
      <w:proofErr w:type="spellStart"/>
      <w:r w:rsidRPr="0061314E">
        <w:rPr>
          <w:rFonts w:cs="Arial"/>
          <w:sz w:val="20"/>
          <w:szCs w:val="20"/>
        </w:rPr>
        <w:t>Hanmer</w:t>
      </w:r>
      <w:proofErr w:type="spellEnd"/>
      <w:r w:rsidRPr="0061314E">
        <w:rPr>
          <w:rFonts w:cs="Arial"/>
          <w:sz w:val="20"/>
          <w:szCs w:val="20"/>
        </w:rPr>
        <w:t xml:space="preserve"> Confirmatory Affidavit; </w:t>
      </w:r>
      <w:r>
        <w:rPr>
          <w:rFonts w:cs="Arial"/>
          <w:sz w:val="20"/>
          <w:szCs w:val="20"/>
        </w:rPr>
        <w:t xml:space="preserve">Bundle 2 Item 16 Page 101 </w:t>
      </w:r>
      <w:r w:rsidRPr="0061314E">
        <w:rPr>
          <w:rFonts w:cs="Arial"/>
          <w:sz w:val="20"/>
          <w:szCs w:val="20"/>
        </w:rPr>
        <w:t>Copy of the front page of the Competition Commission’s Founding Affidavit bearing the signature of a Puma employee attached to Answering Affidavit as “VND8”</w:t>
      </w:r>
      <w:r>
        <w:rPr>
          <w:rFonts w:cs="Arial"/>
          <w:sz w:val="20"/>
          <w:szCs w:val="20"/>
          <w:lang w:val="en-ZA"/>
        </w:rPr>
        <w:t>.</w:t>
      </w:r>
    </w:p>
  </w:footnote>
  <w:footnote w:id="24">
    <w:p w:rsidR="00C4765D" w:rsidRPr="002736B4" w:rsidRDefault="00C4765D" w:rsidP="00C4765D">
      <w:pPr>
        <w:pStyle w:val="FootnoteText"/>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1 Item 10 Page 9 </w:t>
      </w:r>
      <w:r w:rsidRPr="0061314E">
        <w:rPr>
          <w:rFonts w:cs="Arial"/>
          <w:sz w:val="20"/>
          <w:szCs w:val="20"/>
        </w:rPr>
        <w:t xml:space="preserve">Founding Affidavit – Puma’s Counter-Application para 27; </w:t>
      </w:r>
      <w:r>
        <w:rPr>
          <w:rFonts w:cs="Arial"/>
          <w:sz w:val="20"/>
          <w:szCs w:val="20"/>
        </w:rPr>
        <w:t xml:space="preserve">Bundle 1 Item 10 Page 53 </w:t>
      </w:r>
      <w:r w:rsidRPr="0061314E">
        <w:rPr>
          <w:rFonts w:cs="Arial"/>
          <w:sz w:val="20"/>
          <w:szCs w:val="20"/>
        </w:rPr>
        <w:t xml:space="preserve">Letter from </w:t>
      </w:r>
      <w:proofErr w:type="spellStart"/>
      <w:r w:rsidRPr="0061314E">
        <w:rPr>
          <w:rFonts w:cs="Arial"/>
          <w:sz w:val="20"/>
          <w:szCs w:val="20"/>
        </w:rPr>
        <w:t>Engling</w:t>
      </w:r>
      <w:proofErr w:type="spellEnd"/>
      <w:r w:rsidRPr="0061314E">
        <w:rPr>
          <w:rFonts w:cs="Arial"/>
          <w:sz w:val="20"/>
          <w:szCs w:val="20"/>
        </w:rPr>
        <w:t xml:space="preserve">, </w:t>
      </w:r>
      <w:proofErr w:type="spellStart"/>
      <w:r w:rsidRPr="0061314E">
        <w:rPr>
          <w:rFonts w:cs="Arial"/>
          <w:sz w:val="20"/>
          <w:szCs w:val="20"/>
        </w:rPr>
        <w:t>Stritter</w:t>
      </w:r>
      <w:proofErr w:type="spellEnd"/>
      <w:r w:rsidRPr="0061314E">
        <w:rPr>
          <w:rFonts w:cs="Arial"/>
          <w:sz w:val="20"/>
          <w:szCs w:val="20"/>
        </w:rPr>
        <w:t xml:space="preserve"> and Partners annexed to Puma’s Founding Affidavit as “DD5”</w:t>
      </w:r>
      <w:r>
        <w:rPr>
          <w:rFonts w:cs="Arial"/>
          <w:sz w:val="20"/>
          <w:szCs w:val="20"/>
          <w:lang w:val="en-ZA"/>
        </w:rPr>
        <w:t>.</w:t>
      </w:r>
    </w:p>
  </w:footnote>
  <w:footnote w:id="25">
    <w:p w:rsidR="00C4765D" w:rsidRPr="002736B4" w:rsidRDefault="00C4765D" w:rsidP="00C4765D">
      <w:pPr>
        <w:pStyle w:val="FootnoteText"/>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1 Item 10 Page 9 </w:t>
      </w:r>
      <w:r w:rsidRPr="0061314E">
        <w:rPr>
          <w:rFonts w:cs="Arial"/>
          <w:sz w:val="20"/>
          <w:szCs w:val="20"/>
        </w:rPr>
        <w:t xml:space="preserve">Founding Affidavit – Puma’s Counter-Application para 28; </w:t>
      </w:r>
      <w:r>
        <w:rPr>
          <w:rFonts w:cs="Arial"/>
          <w:sz w:val="20"/>
          <w:szCs w:val="20"/>
        </w:rPr>
        <w:t xml:space="preserve">Bundle 1 Item 10 Page 55 </w:t>
      </w:r>
      <w:r w:rsidRPr="0061314E">
        <w:rPr>
          <w:rFonts w:cs="Arial"/>
          <w:sz w:val="20"/>
          <w:szCs w:val="20"/>
        </w:rPr>
        <w:t xml:space="preserve">Letter from </w:t>
      </w:r>
      <w:proofErr w:type="spellStart"/>
      <w:r w:rsidRPr="0061314E">
        <w:rPr>
          <w:rFonts w:cs="Arial"/>
          <w:sz w:val="20"/>
          <w:szCs w:val="20"/>
        </w:rPr>
        <w:t>Engling</w:t>
      </w:r>
      <w:proofErr w:type="spellEnd"/>
      <w:r w:rsidRPr="0061314E">
        <w:rPr>
          <w:rFonts w:cs="Arial"/>
          <w:sz w:val="20"/>
          <w:szCs w:val="20"/>
        </w:rPr>
        <w:t xml:space="preserve">, </w:t>
      </w:r>
      <w:proofErr w:type="spellStart"/>
      <w:r w:rsidRPr="0061314E">
        <w:rPr>
          <w:rFonts w:cs="Arial"/>
          <w:sz w:val="20"/>
          <w:szCs w:val="20"/>
        </w:rPr>
        <w:t>Stritter</w:t>
      </w:r>
      <w:proofErr w:type="spellEnd"/>
      <w:r w:rsidRPr="0061314E">
        <w:rPr>
          <w:rFonts w:cs="Arial"/>
          <w:sz w:val="20"/>
          <w:szCs w:val="20"/>
        </w:rPr>
        <w:t xml:space="preserve"> and Partners annexed to Puma’s Founding Affidavit as “DD6”</w:t>
      </w:r>
      <w:r>
        <w:rPr>
          <w:rFonts w:cs="Arial"/>
          <w:sz w:val="20"/>
          <w:szCs w:val="20"/>
          <w:lang w:val="en-ZA"/>
        </w:rPr>
        <w:t>.</w:t>
      </w:r>
    </w:p>
  </w:footnote>
  <w:footnote w:id="26">
    <w:p w:rsidR="00C4765D" w:rsidRPr="002736B4" w:rsidRDefault="00C4765D" w:rsidP="00C4765D">
      <w:pPr>
        <w:pStyle w:val="FootnoteText"/>
        <w:ind w:left="567" w:hanging="567"/>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2 Item 14 Page 4 </w:t>
      </w:r>
      <w:r w:rsidRPr="0061314E">
        <w:rPr>
          <w:rFonts w:cs="Arial"/>
          <w:sz w:val="20"/>
          <w:szCs w:val="20"/>
        </w:rPr>
        <w:t>Answering affidavit – Puma’s Counter-Application para 12</w:t>
      </w:r>
      <w:r>
        <w:rPr>
          <w:rFonts w:cs="Arial"/>
          <w:sz w:val="20"/>
          <w:szCs w:val="20"/>
          <w:lang w:val="en-ZA"/>
        </w:rPr>
        <w:t>.</w:t>
      </w:r>
    </w:p>
  </w:footnote>
  <w:footnote w:id="27">
    <w:p w:rsidR="00C4765D" w:rsidRPr="0061314E" w:rsidRDefault="00C4765D" w:rsidP="00C4765D">
      <w:pPr>
        <w:pStyle w:val="FootnoteText"/>
        <w:jc w:val="both"/>
        <w:rPr>
          <w:rFonts w:cs="Arial"/>
          <w:sz w:val="20"/>
          <w:szCs w:val="20"/>
        </w:rPr>
      </w:pPr>
      <w:r w:rsidRPr="0061314E">
        <w:rPr>
          <w:rStyle w:val="FootnoteReference"/>
          <w:rFonts w:cs="Arial"/>
          <w:sz w:val="20"/>
          <w:szCs w:val="20"/>
        </w:rPr>
        <w:footnoteRef/>
      </w:r>
      <w:r>
        <w:rPr>
          <w:rFonts w:cs="Arial"/>
          <w:sz w:val="20"/>
          <w:szCs w:val="20"/>
        </w:rPr>
        <w:t xml:space="preserve"> Bundle 2 Item 14 Page 34 Letter from Dr</w:t>
      </w:r>
      <w:r w:rsidRPr="0061314E">
        <w:rPr>
          <w:rFonts w:cs="Arial"/>
          <w:sz w:val="20"/>
          <w:szCs w:val="20"/>
        </w:rPr>
        <w:t xml:space="preserve"> </w:t>
      </w:r>
      <w:proofErr w:type="spellStart"/>
      <w:r w:rsidRPr="0061314E">
        <w:rPr>
          <w:rFonts w:cs="Arial"/>
          <w:sz w:val="20"/>
          <w:szCs w:val="20"/>
        </w:rPr>
        <w:t>Weder</w:t>
      </w:r>
      <w:proofErr w:type="spellEnd"/>
      <w:r w:rsidRPr="0061314E">
        <w:rPr>
          <w:rFonts w:cs="Arial"/>
          <w:sz w:val="20"/>
          <w:szCs w:val="20"/>
        </w:rPr>
        <w:t xml:space="preserve">, </w:t>
      </w:r>
      <w:proofErr w:type="spellStart"/>
      <w:r w:rsidRPr="0061314E">
        <w:rPr>
          <w:rFonts w:cs="Arial"/>
          <w:sz w:val="20"/>
          <w:szCs w:val="20"/>
        </w:rPr>
        <w:t>Kauta</w:t>
      </w:r>
      <w:proofErr w:type="spellEnd"/>
      <w:r w:rsidRPr="0061314E">
        <w:rPr>
          <w:rFonts w:cs="Arial"/>
          <w:sz w:val="20"/>
          <w:szCs w:val="20"/>
        </w:rPr>
        <w:t xml:space="preserve"> and </w:t>
      </w:r>
      <w:proofErr w:type="spellStart"/>
      <w:r w:rsidRPr="0061314E">
        <w:rPr>
          <w:rFonts w:cs="Arial"/>
          <w:sz w:val="20"/>
          <w:szCs w:val="20"/>
        </w:rPr>
        <w:t>Hoveka</w:t>
      </w:r>
      <w:proofErr w:type="spellEnd"/>
      <w:r w:rsidRPr="0061314E">
        <w:rPr>
          <w:rFonts w:cs="Arial"/>
          <w:sz w:val="20"/>
          <w:szCs w:val="20"/>
        </w:rPr>
        <w:t xml:space="preserve"> </w:t>
      </w:r>
      <w:proofErr w:type="spellStart"/>
      <w:r w:rsidRPr="0061314E">
        <w:rPr>
          <w:rFonts w:cs="Arial"/>
          <w:sz w:val="20"/>
          <w:szCs w:val="20"/>
        </w:rPr>
        <w:t>Inc</w:t>
      </w:r>
      <w:proofErr w:type="spellEnd"/>
      <w:r w:rsidRPr="0061314E">
        <w:rPr>
          <w:rFonts w:cs="Arial"/>
          <w:sz w:val="20"/>
          <w:szCs w:val="20"/>
        </w:rPr>
        <w:t xml:space="preserve"> attached to the Competition Commission’s Answering Affidavit as “VND3”.</w:t>
      </w:r>
    </w:p>
  </w:footnote>
  <w:footnote w:id="28">
    <w:p w:rsidR="00C4765D" w:rsidRPr="002736B4" w:rsidRDefault="00C4765D" w:rsidP="00C4765D">
      <w:pPr>
        <w:pStyle w:val="FootnoteText"/>
        <w:ind w:left="567" w:hanging="567"/>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1 Item 10 Page 3 </w:t>
      </w:r>
      <w:r w:rsidRPr="0061314E">
        <w:rPr>
          <w:rFonts w:cs="Arial"/>
          <w:sz w:val="20"/>
          <w:szCs w:val="20"/>
        </w:rPr>
        <w:t>Founding Affidavit – Puma’s Counter-Application para 5</w:t>
      </w:r>
      <w:r>
        <w:rPr>
          <w:rFonts w:cs="Arial"/>
          <w:sz w:val="20"/>
          <w:szCs w:val="20"/>
          <w:lang w:val="en-ZA"/>
        </w:rPr>
        <w:t>.</w:t>
      </w:r>
    </w:p>
  </w:footnote>
  <w:footnote w:id="29">
    <w:p w:rsidR="00C4765D" w:rsidRPr="002736B4" w:rsidRDefault="00C4765D" w:rsidP="00C4765D">
      <w:pPr>
        <w:pStyle w:val="FootnoteText"/>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1 Item 10 Page 48 </w:t>
      </w:r>
      <w:r w:rsidRPr="0061314E">
        <w:rPr>
          <w:rFonts w:cs="Arial"/>
          <w:sz w:val="20"/>
          <w:szCs w:val="20"/>
        </w:rPr>
        <w:t>Draft Agreement attached to Puma’s Counter-Application as Annexure DD4</w:t>
      </w:r>
      <w:r>
        <w:rPr>
          <w:rFonts w:cs="Arial"/>
          <w:sz w:val="20"/>
          <w:szCs w:val="20"/>
          <w:lang w:val="en-ZA"/>
        </w:rPr>
        <w:t>.</w:t>
      </w:r>
    </w:p>
  </w:footnote>
  <w:footnote w:id="30">
    <w:p w:rsidR="00C4765D" w:rsidRPr="00C325C8" w:rsidRDefault="00C4765D" w:rsidP="00C4765D">
      <w:pPr>
        <w:pStyle w:val="FootnoteText"/>
        <w:ind w:left="567" w:hanging="567"/>
        <w:jc w:val="both"/>
        <w:rPr>
          <w:sz w:val="20"/>
          <w:szCs w:val="20"/>
          <w:lang w:val="en-ZA"/>
        </w:rPr>
      </w:pPr>
      <w:r w:rsidRPr="00476F43">
        <w:rPr>
          <w:rStyle w:val="FootnoteReference"/>
          <w:sz w:val="20"/>
          <w:szCs w:val="20"/>
        </w:rPr>
        <w:footnoteRef/>
      </w:r>
      <w:r w:rsidRPr="00476F43">
        <w:rPr>
          <w:sz w:val="20"/>
          <w:szCs w:val="20"/>
        </w:rPr>
        <w:t xml:space="preserve"> </w:t>
      </w:r>
      <w:r w:rsidRPr="00476F43">
        <w:rPr>
          <w:rFonts w:cs="Arial"/>
          <w:sz w:val="20"/>
          <w:szCs w:val="20"/>
        </w:rPr>
        <w:t>Bundle 1 Item 10 Page</w:t>
      </w:r>
      <w:r>
        <w:rPr>
          <w:sz w:val="20"/>
          <w:szCs w:val="20"/>
        </w:rPr>
        <w:t xml:space="preserve"> 56 Founding Affidavit – Puma Counter Application para 2</w:t>
      </w:r>
      <w:r>
        <w:rPr>
          <w:sz w:val="20"/>
          <w:szCs w:val="20"/>
          <w:lang w:val="en-ZA"/>
        </w:rPr>
        <w:t>.</w:t>
      </w:r>
    </w:p>
  </w:footnote>
  <w:footnote w:id="31">
    <w:p w:rsidR="00C4765D" w:rsidRPr="00317129" w:rsidRDefault="00C4765D" w:rsidP="00C4765D">
      <w:pPr>
        <w:pStyle w:val="FootnoteText"/>
        <w:jc w:val="both"/>
        <w:rPr>
          <w:rFonts w:cs="Arial"/>
          <w:sz w:val="20"/>
          <w:szCs w:val="20"/>
        </w:rPr>
      </w:pPr>
      <w:r w:rsidRPr="00D51BAA">
        <w:rPr>
          <w:rStyle w:val="FootnoteReference"/>
          <w:sz w:val="20"/>
          <w:szCs w:val="20"/>
        </w:rPr>
        <w:footnoteRef/>
      </w:r>
      <w:r>
        <w:rPr>
          <w:sz w:val="20"/>
          <w:szCs w:val="20"/>
        </w:rPr>
        <w:t xml:space="preserve"> </w:t>
      </w:r>
      <w:r w:rsidRPr="00317129">
        <w:rPr>
          <w:rFonts w:cs="Arial"/>
          <w:sz w:val="20"/>
          <w:szCs w:val="20"/>
        </w:rPr>
        <w:t xml:space="preserve">Bundle 1 Item </w:t>
      </w:r>
      <w:r>
        <w:rPr>
          <w:rFonts w:cs="Arial"/>
          <w:sz w:val="20"/>
          <w:szCs w:val="20"/>
        </w:rPr>
        <w:t>6 Page 1 Court Order para 4, Bundle 1 Item 10 Page 56  Founding Affidavit – Puma’s Counter application annexure ‘DD6’</w:t>
      </w:r>
      <w:r>
        <w:rPr>
          <w:rFonts w:cs="Arial"/>
          <w:sz w:val="20"/>
          <w:szCs w:val="20"/>
          <w:lang w:val="en-ZA"/>
        </w:rPr>
        <w:t>.</w:t>
      </w:r>
      <w:r>
        <w:rPr>
          <w:rFonts w:cs="Arial"/>
          <w:sz w:val="20"/>
          <w:szCs w:val="20"/>
        </w:rPr>
        <w:t xml:space="preserve">  </w:t>
      </w:r>
    </w:p>
  </w:footnote>
  <w:footnote w:id="32">
    <w:p w:rsidR="00C4765D" w:rsidRPr="00C325C8" w:rsidRDefault="00C4765D" w:rsidP="00C4765D">
      <w:pPr>
        <w:pStyle w:val="FootnoteText"/>
        <w:ind w:left="567" w:hanging="567"/>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1 Item 8 Page 1 -3 </w:t>
      </w:r>
      <w:r w:rsidRPr="0061314E">
        <w:rPr>
          <w:rFonts w:cs="Arial"/>
          <w:sz w:val="20"/>
          <w:szCs w:val="20"/>
        </w:rPr>
        <w:t>Puma’s Anticipation Notice</w:t>
      </w:r>
      <w:r>
        <w:rPr>
          <w:rFonts w:cs="Arial"/>
          <w:sz w:val="20"/>
          <w:szCs w:val="20"/>
          <w:lang w:val="en-ZA"/>
        </w:rPr>
        <w:t>.</w:t>
      </w:r>
    </w:p>
  </w:footnote>
  <w:footnote w:id="33">
    <w:p w:rsidR="00C4765D" w:rsidRPr="00C325C8" w:rsidRDefault="00C4765D" w:rsidP="00C4765D">
      <w:pPr>
        <w:pStyle w:val="FootnoteText"/>
        <w:ind w:left="567" w:hanging="567"/>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1 Item 9 Page 1 -4 </w:t>
      </w:r>
      <w:r w:rsidRPr="0061314E">
        <w:rPr>
          <w:rFonts w:cs="Arial"/>
          <w:sz w:val="20"/>
          <w:szCs w:val="20"/>
        </w:rPr>
        <w:t>Puma’s Counter-Application</w:t>
      </w:r>
      <w:r>
        <w:rPr>
          <w:rFonts w:cs="Arial"/>
          <w:sz w:val="20"/>
          <w:szCs w:val="20"/>
          <w:lang w:val="en-ZA"/>
        </w:rPr>
        <w:t>.</w:t>
      </w:r>
    </w:p>
  </w:footnote>
  <w:footnote w:id="34">
    <w:p w:rsidR="00C4765D" w:rsidRPr="00801338" w:rsidRDefault="00C4765D" w:rsidP="00C4765D">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Commission FA para 22 Bundle 2 p 6.  </w:t>
      </w:r>
    </w:p>
  </w:footnote>
  <w:footnote w:id="35">
    <w:p w:rsidR="00C4765D" w:rsidRPr="00801338" w:rsidRDefault="00C4765D" w:rsidP="00C4765D">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Commission Notice Bundle 1 pp 1 - 2; Puma affidavit para 11 Bundle 10 p 4.  </w:t>
      </w:r>
    </w:p>
  </w:footnote>
  <w:footnote w:id="36">
    <w:p w:rsidR="00C4765D" w:rsidRPr="00801338" w:rsidRDefault="00C4765D" w:rsidP="00C4765D">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Commission FA para 7 Bundle 2 p 3 and para 12 Bundle 2 p 4.  </w:t>
      </w:r>
    </w:p>
  </w:footnote>
  <w:footnote w:id="37">
    <w:p w:rsidR="00C4765D" w:rsidRPr="00801338" w:rsidRDefault="00C4765D" w:rsidP="00C4765D">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Commission FA Bundle 2 p 2; Puma affidavit para 11 Bundle 10 p 4.  </w:t>
      </w:r>
    </w:p>
  </w:footnote>
  <w:footnote w:id="38">
    <w:p w:rsidR="00C4765D" w:rsidRPr="00801338" w:rsidRDefault="00C4765D" w:rsidP="00C4765D">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Commission FA para 1.1 Bundle 2 p 2.  </w:t>
      </w:r>
    </w:p>
  </w:footnote>
  <w:footnote w:id="39">
    <w:p w:rsidR="00C4765D" w:rsidRPr="00801338" w:rsidRDefault="00C4765D" w:rsidP="00C4765D">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Commission FA para 1.2 Bundle 2 p 2.  </w:t>
      </w:r>
    </w:p>
  </w:footnote>
  <w:footnote w:id="40">
    <w:p w:rsidR="00C4765D" w:rsidRPr="00801338" w:rsidRDefault="00C4765D" w:rsidP="00C4765D">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Annexure VD1 Bundle 3 p 1.  </w:t>
      </w:r>
    </w:p>
  </w:footnote>
  <w:footnote w:id="41">
    <w:p w:rsidR="00C4765D" w:rsidRPr="00801338" w:rsidRDefault="00C4765D" w:rsidP="00C4765D">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Puma affidavit para 4 Bundle 10 p 3 and para 12 Bundle 10 p 5. </w:t>
      </w:r>
    </w:p>
  </w:footnote>
  <w:footnote w:id="42">
    <w:p w:rsidR="00C4765D" w:rsidRPr="00801338" w:rsidRDefault="00C4765D" w:rsidP="00C4765D">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Commission AA para 7 Bundle 17 p 3.  </w:t>
      </w:r>
    </w:p>
  </w:footnote>
  <w:footnote w:id="43">
    <w:p w:rsidR="00C4765D" w:rsidRPr="00801338" w:rsidRDefault="00C4765D" w:rsidP="00C4765D">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Commission AA para 8 Bundle 17 p 3.  </w:t>
      </w:r>
    </w:p>
  </w:footnote>
  <w:footnote w:id="44">
    <w:p w:rsidR="00C4765D" w:rsidRPr="00801338" w:rsidRDefault="00C4765D" w:rsidP="00C4765D">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Commission AA para 9 Bundle 17 p 3.  </w:t>
      </w:r>
    </w:p>
  </w:footnote>
  <w:footnote w:id="45">
    <w:p w:rsidR="00C4765D" w:rsidRPr="00801338" w:rsidRDefault="00C4765D" w:rsidP="00C4765D">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Puma affidavit para 5 Bundle 10 p 3 and paras 23 - 30 Bundle 10 pp 8 - 9.  </w:t>
      </w:r>
    </w:p>
  </w:footnote>
  <w:footnote w:id="46">
    <w:p w:rsidR="00C4765D" w:rsidRPr="00801338" w:rsidRDefault="00C4765D" w:rsidP="00C4765D">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Puma affidavit para 15 Bundle 10 p 5.  </w:t>
      </w:r>
    </w:p>
  </w:footnote>
  <w:footnote w:id="47">
    <w:p w:rsidR="00C4765D" w:rsidRPr="00801338" w:rsidRDefault="00C4765D" w:rsidP="00C4765D">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Puma affidavit para 16 Bundle 10 p 6.  </w:t>
      </w:r>
    </w:p>
  </w:footnote>
  <w:footnote w:id="48">
    <w:p w:rsidR="00C4765D" w:rsidRPr="00801338" w:rsidRDefault="00C4765D" w:rsidP="00C4765D">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Commission AA para 59 Bundle 14 p 16; Annexure VND8 Bundle 16 p 101.  </w:t>
      </w:r>
    </w:p>
  </w:footnote>
  <w:footnote w:id="49">
    <w:p w:rsidR="00C4765D" w:rsidRPr="00801338" w:rsidRDefault="00C4765D" w:rsidP="00C325C8">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Puma affidavit para 5 Bundle 10 p 3 and para 31 Bundle 10 p 10.  </w:t>
      </w:r>
    </w:p>
  </w:footnote>
  <w:footnote w:id="50">
    <w:p w:rsidR="00C4765D" w:rsidRPr="00801338" w:rsidRDefault="00C4765D" w:rsidP="00C325C8">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Puma affidavit para 23 Bundle 10 p 8.  </w:t>
      </w:r>
    </w:p>
  </w:footnote>
  <w:footnote w:id="51">
    <w:p w:rsidR="00C4765D" w:rsidRPr="00801338" w:rsidRDefault="00C4765D" w:rsidP="00C325C8">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Puma affidavit para 32 Bundle 10 p 10.  </w:t>
      </w:r>
    </w:p>
  </w:footnote>
  <w:footnote w:id="52">
    <w:p w:rsidR="00C4765D" w:rsidRPr="00801338" w:rsidRDefault="00C4765D" w:rsidP="00C325C8">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Annexure RA4 Bundle 20 p 17.  </w:t>
      </w:r>
    </w:p>
  </w:footnote>
  <w:footnote w:id="53">
    <w:p w:rsidR="00C4765D" w:rsidRPr="00801338" w:rsidRDefault="00C4765D" w:rsidP="00C325C8">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Puma affidavit para 33 Bundle 10 pp 10 - 11.  </w:t>
      </w:r>
    </w:p>
  </w:footnote>
  <w:footnote w:id="54">
    <w:p w:rsidR="00C4765D" w:rsidRPr="00801338" w:rsidRDefault="00C4765D" w:rsidP="00C325C8">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Puma affidavit para 34 Bundle 10 p 11.  </w:t>
      </w:r>
    </w:p>
  </w:footnote>
  <w:footnote w:id="55">
    <w:p w:rsidR="00C4765D" w:rsidRPr="00801338" w:rsidRDefault="00C4765D" w:rsidP="00C325C8">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Puma affidavit para 35 Bundle 10 p 11.  </w:t>
      </w:r>
    </w:p>
  </w:footnote>
  <w:footnote w:id="56">
    <w:p w:rsidR="00C4765D" w:rsidRPr="00801338" w:rsidRDefault="00C4765D" w:rsidP="00C325C8">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Anticipation notice Bundle 8 pp 1 - 3.  </w:t>
      </w:r>
    </w:p>
  </w:footnote>
  <w:footnote w:id="57">
    <w:p w:rsidR="00C4765D" w:rsidRPr="00801338" w:rsidRDefault="00C4765D" w:rsidP="00C325C8">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Notice of counter-application Bundle 9 pp 1 - 4.</w:t>
      </w:r>
    </w:p>
  </w:footnote>
  <w:footnote w:id="58">
    <w:p w:rsidR="00C4765D" w:rsidRPr="00801338" w:rsidRDefault="00C4765D" w:rsidP="00C325C8">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Puma affidavit para 6 Bundle 10 p 3.  </w:t>
      </w:r>
    </w:p>
  </w:footnote>
  <w:footnote w:id="59">
    <w:p w:rsidR="00C4765D" w:rsidRPr="00801338" w:rsidRDefault="00C4765D" w:rsidP="00CE05BF">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Commission heads paras 32 - 34 pp 15 - 16. </w:t>
      </w:r>
    </w:p>
  </w:footnote>
  <w:footnote w:id="60">
    <w:p w:rsidR="00C4765D" w:rsidRPr="00801338" w:rsidRDefault="00C4765D" w:rsidP="00CE05BF">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Commission heads para 35 pp 16 - 19.  </w:t>
      </w:r>
    </w:p>
  </w:footnote>
  <w:footnote w:id="61">
    <w:p w:rsidR="00C4765D" w:rsidRPr="00801338" w:rsidRDefault="00C4765D" w:rsidP="00DB17D1">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Commission heads para 36 p 19.  </w:t>
      </w:r>
    </w:p>
  </w:footnote>
  <w:footnote w:id="62">
    <w:p w:rsidR="00C4765D" w:rsidRPr="00801338" w:rsidRDefault="00C4765D" w:rsidP="00DB17D1">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Puma RA para 14 p 6.  </w:t>
      </w:r>
    </w:p>
  </w:footnote>
  <w:footnote w:id="63">
    <w:p w:rsidR="00C4765D" w:rsidRPr="00801338" w:rsidRDefault="00C4765D" w:rsidP="00DB17D1">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Puma RA para 15 Bundle 19 p 6.  </w:t>
      </w:r>
    </w:p>
  </w:footnote>
  <w:footnote w:id="64">
    <w:p w:rsidR="00C4765D" w:rsidRPr="00801338" w:rsidRDefault="00C4765D" w:rsidP="00DB17D1">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Puma RA para 16 Bundle 19 p 6.  </w:t>
      </w:r>
    </w:p>
  </w:footnote>
  <w:footnote w:id="65">
    <w:p w:rsidR="00C4765D" w:rsidRPr="00C4765D" w:rsidRDefault="00C4765D" w:rsidP="00DB17D1">
      <w:pPr>
        <w:pStyle w:val="FootnoteText"/>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r w:rsidRPr="00C4765D">
        <w:rPr>
          <w:rFonts w:cs="Arial"/>
          <w:color w:val="000000" w:themeColor="text1"/>
          <w:sz w:val="20"/>
          <w:szCs w:val="20"/>
        </w:rPr>
        <w:t xml:space="preserve">See SA Competition Act s 46 - s 49.  </w:t>
      </w:r>
    </w:p>
  </w:footnote>
  <w:footnote w:id="66">
    <w:p w:rsidR="00C4765D" w:rsidRPr="00C4765D" w:rsidRDefault="00C4765D" w:rsidP="00DB17D1">
      <w:pPr>
        <w:pStyle w:val="FootnoteText"/>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r w:rsidRPr="00C4765D">
        <w:rPr>
          <w:rFonts w:cs="Arial"/>
          <w:i/>
          <w:color w:val="000000" w:themeColor="text1"/>
          <w:sz w:val="20"/>
          <w:szCs w:val="20"/>
        </w:rPr>
        <w:t>Pretoria Portland Cement Company Ltd. v Competition Commission</w:t>
      </w:r>
      <w:r w:rsidRPr="00C4765D">
        <w:rPr>
          <w:rFonts w:cs="Arial"/>
          <w:color w:val="000000" w:themeColor="text1"/>
          <w:sz w:val="20"/>
          <w:szCs w:val="20"/>
        </w:rPr>
        <w:t xml:space="preserve"> </w:t>
      </w:r>
      <w:r w:rsidRPr="00C4765D">
        <w:rPr>
          <w:rFonts w:cs="Arial"/>
          <w:bCs/>
          <w:color w:val="000000" w:themeColor="text1"/>
          <w:sz w:val="20"/>
          <w:szCs w:val="20"/>
        </w:rPr>
        <w:t>2003 (2) SA 385 (SCA)</w:t>
      </w:r>
      <w:r w:rsidRPr="00C4765D">
        <w:rPr>
          <w:rFonts w:cs="Arial"/>
          <w:bCs/>
          <w:color w:val="000000" w:themeColor="text1"/>
          <w:sz w:val="20"/>
          <w:szCs w:val="20"/>
          <w:lang w:val="en-ZA"/>
        </w:rPr>
        <w:t>.</w:t>
      </w:r>
      <w:r w:rsidRPr="00C4765D">
        <w:rPr>
          <w:rFonts w:cs="Arial"/>
          <w:color w:val="000000" w:themeColor="text1"/>
          <w:sz w:val="20"/>
          <w:szCs w:val="20"/>
        </w:rPr>
        <w:t xml:space="preserve">  </w:t>
      </w:r>
    </w:p>
  </w:footnote>
  <w:footnote w:id="67">
    <w:p w:rsidR="00C4765D" w:rsidRPr="00C4765D" w:rsidRDefault="00C4765D" w:rsidP="00CE05BF">
      <w:pPr>
        <w:pStyle w:val="FootnoteText"/>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r w:rsidRPr="00C4765D">
        <w:rPr>
          <w:rFonts w:cs="Arial"/>
          <w:color w:val="000000" w:themeColor="text1"/>
          <w:sz w:val="20"/>
          <w:szCs w:val="20"/>
        </w:rPr>
        <w:t xml:space="preserve">PPC judgment para 2.  </w:t>
      </w:r>
    </w:p>
  </w:footnote>
  <w:footnote w:id="68">
    <w:p w:rsidR="00C4765D" w:rsidRPr="00C4765D" w:rsidRDefault="00C4765D" w:rsidP="00CE05BF">
      <w:pPr>
        <w:pStyle w:val="FootnoteText"/>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r w:rsidRPr="00C4765D">
        <w:rPr>
          <w:rFonts w:cs="Arial"/>
          <w:color w:val="000000" w:themeColor="text1"/>
          <w:sz w:val="20"/>
          <w:szCs w:val="20"/>
        </w:rPr>
        <w:t xml:space="preserve">PPC judgment para 2.  </w:t>
      </w:r>
    </w:p>
  </w:footnote>
  <w:footnote w:id="69">
    <w:p w:rsidR="00C4765D" w:rsidRPr="00C4765D" w:rsidRDefault="00C4765D" w:rsidP="00CE05BF">
      <w:pPr>
        <w:pStyle w:val="FootnoteText"/>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r w:rsidRPr="00C4765D">
        <w:rPr>
          <w:rFonts w:cs="Arial"/>
          <w:color w:val="000000" w:themeColor="text1"/>
          <w:sz w:val="20"/>
          <w:szCs w:val="20"/>
        </w:rPr>
        <w:t xml:space="preserve">PPC judgment para 3.  </w:t>
      </w:r>
    </w:p>
  </w:footnote>
  <w:footnote w:id="70">
    <w:p w:rsidR="00C4765D" w:rsidRPr="00C4765D" w:rsidRDefault="00C4765D" w:rsidP="00CE05BF">
      <w:pPr>
        <w:pStyle w:val="FootnoteText"/>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r w:rsidRPr="00C4765D">
        <w:rPr>
          <w:rFonts w:cs="Arial"/>
          <w:color w:val="000000" w:themeColor="text1"/>
          <w:sz w:val="20"/>
          <w:szCs w:val="20"/>
        </w:rPr>
        <w:t xml:space="preserve">PPC judgment para 3.  </w:t>
      </w:r>
    </w:p>
  </w:footnote>
  <w:footnote w:id="71">
    <w:p w:rsidR="00C4765D" w:rsidRPr="00C4765D" w:rsidRDefault="00C4765D" w:rsidP="00CE05BF">
      <w:pPr>
        <w:pStyle w:val="FootnoteText"/>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r w:rsidRPr="00C4765D">
        <w:rPr>
          <w:rFonts w:cs="Arial"/>
          <w:color w:val="000000" w:themeColor="text1"/>
          <w:sz w:val="20"/>
          <w:szCs w:val="20"/>
        </w:rPr>
        <w:t xml:space="preserve">PPC judgment para 36.  </w:t>
      </w:r>
    </w:p>
  </w:footnote>
  <w:footnote w:id="72">
    <w:p w:rsidR="00C4765D" w:rsidRPr="00C4765D" w:rsidRDefault="00C4765D" w:rsidP="00CE05BF">
      <w:pPr>
        <w:pStyle w:val="FootnoteText"/>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r w:rsidRPr="00C4765D">
        <w:rPr>
          <w:rFonts w:cs="Arial"/>
          <w:color w:val="000000" w:themeColor="text1"/>
          <w:sz w:val="20"/>
          <w:szCs w:val="20"/>
        </w:rPr>
        <w:t xml:space="preserve">PPC judgment para 36.  </w:t>
      </w:r>
    </w:p>
  </w:footnote>
  <w:footnote w:id="73">
    <w:p w:rsidR="00C4765D" w:rsidRPr="00C4765D" w:rsidRDefault="00C4765D" w:rsidP="00CE05BF">
      <w:pPr>
        <w:pStyle w:val="FootnoteText"/>
        <w:jc w:val="both"/>
        <w:rPr>
          <w:rFonts w:cs="Arial"/>
          <w:i/>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r w:rsidRPr="00C4765D">
        <w:rPr>
          <w:rFonts w:cs="Arial"/>
          <w:color w:val="000000" w:themeColor="text1"/>
          <w:sz w:val="20"/>
          <w:szCs w:val="20"/>
        </w:rPr>
        <w:t xml:space="preserve">PPC judgment para 44, citing </w:t>
      </w:r>
      <w:r w:rsidRPr="00C4765D">
        <w:rPr>
          <w:rFonts w:cs="Arial"/>
          <w:i/>
          <w:iCs/>
          <w:color w:val="000000" w:themeColor="text1"/>
          <w:sz w:val="20"/>
          <w:szCs w:val="20"/>
        </w:rPr>
        <w:t xml:space="preserve">Schlesinger v Schlesinger </w:t>
      </w:r>
      <w:hyperlink r:id="rId1" w:history="1">
        <w:r w:rsidRPr="00C4765D">
          <w:rPr>
            <w:rFonts w:cs="Arial"/>
            <w:bCs/>
            <w:color w:val="000000" w:themeColor="text1"/>
            <w:sz w:val="20"/>
            <w:szCs w:val="20"/>
            <w:u w:color="0E3C0B"/>
          </w:rPr>
          <w:t>1979 (4) SA 342</w:t>
        </w:r>
      </w:hyperlink>
      <w:r w:rsidRPr="00C4765D">
        <w:rPr>
          <w:rFonts w:cs="Arial"/>
          <w:color w:val="000000" w:themeColor="text1"/>
          <w:sz w:val="20"/>
          <w:szCs w:val="20"/>
        </w:rPr>
        <w:t xml:space="preserve"> (W) at 347 – 348A.  </w:t>
      </w:r>
    </w:p>
  </w:footnote>
  <w:footnote w:id="74">
    <w:p w:rsidR="00C4765D" w:rsidRPr="00C4765D" w:rsidRDefault="00C4765D" w:rsidP="00C4765D">
      <w:pPr>
        <w:pStyle w:val="FootnoteText"/>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r w:rsidRPr="00C4765D">
        <w:rPr>
          <w:rFonts w:cs="Arial"/>
          <w:color w:val="000000" w:themeColor="text1"/>
          <w:sz w:val="20"/>
          <w:szCs w:val="20"/>
        </w:rPr>
        <w:t xml:space="preserve">PPC judgment para 45, citing </w:t>
      </w:r>
      <w:r w:rsidRPr="00C4765D">
        <w:rPr>
          <w:rFonts w:cs="Arial"/>
          <w:i/>
          <w:iCs/>
          <w:color w:val="000000" w:themeColor="text1"/>
          <w:sz w:val="20"/>
          <w:szCs w:val="20"/>
        </w:rPr>
        <w:t>Ghomeshi–</w:t>
      </w:r>
      <w:proofErr w:type="spellStart"/>
      <w:r w:rsidRPr="00C4765D">
        <w:rPr>
          <w:rFonts w:cs="Arial"/>
          <w:i/>
          <w:iCs/>
          <w:color w:val="000000" w:themeColor="text1"/>
          <w:sz w:val="20"/>
          <w:szCs w:val="20"/>
        </w:rPr>
        <w:t>Bozorg</w:t>
      </w:r>
      <w:proofErr w:type="spellEnd"/>
      <w:r w:rsidRPr="00C4765D">
        <w:rPr>
          <w:rFonts w:cs="Arial"/>
          <w:i/>
          <w:iCs/>
          <w:color w:val="000000" w:themeColor="text1"/>
          <w:sz w:val="20"/>
          <w:szCs w:val="20"/>
        </w:rPr>
        <w:t xml:space="preserve"> v </w:t>
      </w:r>
      <w:proofErr w:type="spellStart"/>
      <w:r w:rsidRPr="00C4765D">
        <w:rPr>
          <w:rFonts w:cs="Arial"/>
          <w:i/>
          <w:iCs/>
          <w:color w:val="000000" w:themeColor="text1"/>
          <w:sz w:val="20"/>
          <w:szCs w:val="20"/>
        </w:rPr>
        <w:t>Yousefi</w:t>
      </w:r>
      <w:proofErr w:type="spellEnd"/>
      <w:r w:rsidRPr="00C4765D">
        <w:rPr>
          <w:rFonts w:cs="Arial"/>
          <w:i/>
          <w:iCs/>
          <w:color w:val="000000" w:themeColor="text1"/>
          <w:sz w:val="20"/>
          <w:szCs w:val="20"/>
        </w:rPr>
        <w:t xml:space="preserve"> </w:t>
      </w:r>
      <w:hyperlink r:id="rId2" w:history="1">
        <w:r w:rsidRPr="00C4765D">
          <w:rPr>
            <w:rFonts w:cs="Arial"/>
            <w:bCs/>
            <w:color w:val="000000" w:themeColor="text1"/>
            <w:sz w:val="20"/>
            <w:szCs w:val="20"/>
            <w:u w:color="0E3C0B"/>
          </w:rPr>
          <w:t>1998 (1) SA 692</w:t>
        </w:r>
      </w:hyperlink>
      <w:r w:rsidRPr="00C4765D">
        <w:rPr>
          <w:rFonts w:cs="Arial"/>
          <w:color w:val="000000" w:themeColor="text1"/>
          <w:sz w:val="20"/>
          <w:szCs w:val="20"/>
        </w:rPr>
        <w:t xml:space="preserve"> (W) at 696D-E.  </w:t>
      </w:r>
    </w:p>
  </w:footnote>
  <w:footnote w:id="75">
    <w:p w:rsidR="00C4765D" w:rsidRPr="00C4765D" w:rsidRDefault="00C4765D" w:rsidP="00C4765D">
      <w:pPr>
        <w:pStyle w:val="FootnoteText"/>
        <w:jc w:val="both"/>
        <w:rPr>
          <w:rFonts w:cs="Arial"/>
          <w:sz w:val="20"/>
          <w:szCs w:val="20"/>
          <w:lang w:val="en-ZA"/>
        </w:rPr>
      </w:pPr>
      <w:r w:rsidRPr="00C4765D">
        <w:rPr>
          <w:rStyle w:val="FootnoteReference"/>
          <w:rFonts w:cs="Arial"/>
          <w:sz w:val="20"/>
          <w:szCs w:val="20"/>
        </w:rPr>
        <w:footnoteRef/>
      </w:r>
      <w:r w:rsidRPr="00C4765D">
        <w:rPr>
          <w:rFonts w:cs="Arial"/>
          <w:sz w:val="20"/>
          <w:szCs w:val="20"/>
        </w:rPr>
        <w:t xml:space="preserve"> </w:t>
      </w:r>
      <w:r w:rsidRPr="00C4765D">
        <w:rPr>
          <w:rFonts w:cs="Arial"/>
          <w:i/>
          <w:sz w:val="20"/>
          <w:szCs w:val="20"/>
          <w:lang w:val="en-ZA"/>
        </w:rPr>
        <w:t xml:space="preserve">Prosecutor-General v </w:t>
      </w:r>
      <w:proofErr w:type="spellStart"/>
      <w:r w:rsidRPr="00C4765D">
        <w:rPr>
          <w:rFonts w:cs="Arial"/>
          <w:i/>
          <w:color w:val="1B1919"/>
          <w:sz w:val="20"/>
          <w:szCs w:val="20"/>
        </w:rPr>
        <w:t>Uuyuni</w:t>
      </w:r>
      <w:proofErr w:type="spellEnd"/>
      <w:r w:rsidRPr="00C4765D">
        <w:rPr>
          <w:rFonts w:cs="Arial"/>
          <w:color w:val="1B1919"/>
          <w:sz w:val="20"/>
          <w:szCs w:val="20"/>
        </w:rPr>
        <w:t xml:space="preserve"> 2015 (3) NR 886 (SC) at para 33</w:t>
      </w:r>
      <w:r w:rsidRPr="00C4765D">
        <w:rPr>
          <w:rFonts w:cs="Arial"/>
          <w:color w:val="1B1919"/>
          <w:sz w:val="20"/>
          <w:szCs w:val="20"/>
          <w:lang w:val="en-ZA"/>
        </w:rPr>
        <w:t>.</w:t>
      </w:r>
    </w:p>
  </w:footnote>
  <w:footnote w:id="76">
    <w:p w:rsidR="00C4765D" w:rsidRPr="00C4765D" w:rsidRDefault="00C4765D" w:rsidP="00C4765D">
      <w:pPr>
        <w:pStyle w:val="FootnoteText"/>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r w:rsidRPr="00C4765D">
        <w:rPr>
          <w:rFonts w:cs="Arial"/>
          <w:color w:val="000000" w:themeColor="text1"/>
          <w:sz w:val="20"/>
          <w:szCs w:val="20"/>
        </w:rPr>
        <w:t xml:space="preserve">PPC judgment para 46.  </w:t>
      </w:r>
    </w:p>
  </w:footnote>
  <w:footnote w:id="77">
    <w:p w:rsidR="00C4765D" w:rsidRPr="00C4765D" w:rsidRDefault="00C4765D" w:rsidP="00C4765D">
      <w:pPr>
        <w:pStyle w:val="FootnoteText"/>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r w:rsidRPr="00C4765D">
        <w:rPr>
          <w:rFonts w:cs="Arial"/>
          <w:color w:val="000000" w:themeColor="text1"/>
          <w:sz w:val="20"/>
          <w:szCs w:val="20"/>
        </w:rPr>
        <w:t xml:space="preserve">PPC judgment para 48.  </w:t>
      </w:r>
    </w:p>
  </w:footnote>
  <w:footnote w:id="78">
    <w:p w:rsidR="00C4765D" w:rsidRPr="00C4765D" w:rsidRDefault="00C4765D" w:rsidP="00C4765D">
      <w:pPr>
        <w:pStyle w:val="FootnoteText"/>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proofErr w:type="spellStart"/>
      <w:r w:rsidRPr="00C4765D">
        <w:rPr>
          <w:rFonts w:cs="Arial"/>
          <w:i/>
          <w:color w:val="000000" w:themeColor="text1"/>
          <w:sz w:val="20"/>
          <w:szCs w:val="20"/>
        </w:rPr>
        <w:t>Thint</w:t>
      </w:r>
      <w:proofErr w:type="spellEnd"/>
      <w:r w:rsidRPr="00C4765D">
        <w:rPr>
          <w:rFonts w:cs="Arial"/>
          <w:i/>
          <w:color w:val="000000" w:themeColor="text1"/>
          <w:sz w:val="20"/>
          <w:szCs w:val="20"/>
        </w:rPr>
        <w:t xml:space="preserve"> CC</w:t>
      </w:r>
      <w:r w:rsidRPr="00C4765D">
        <w:rPr>
          <w:rFonts w:cs="Arial"/>
          <w:color w:val="000000" w:themeColor="text1"/>
          <w:sz w:val="20"/>
          <w:szCs w:val="20"/>
        </w:rPr>
        <w:t xml:space="preserve"> para 9, referring to </w:t>
      </w:r>
      <w:r w:rsidRPr="00C4765D">
        <w:rPr>
          <w:rFonts w:cs="Arial"/>
          <w:i/>
          <w:color w:val="000000" w:themeColor="text1"/>
          <w:sz w:val="20"/>
          <w:szCs w:val="20"/>
        </w:rPr>
        <w:t>PPC SCA</w:t>
      </w:r>
      <w:r w:rsidRPr="00C4765D">
        <w:rPr>
          <w:rFonts w:cs="Arial"/>
          <w:color w:val="000000" w:themeColor="text1"/>
          <w:sz w:val="20"/>
          <w:szCs w:val="20"/>
        </w:rPr>
        <w:t xml:space="preserve"> paras 2 and 44 - 48.</w:t>
      </w:r>
    </w:p>
  </w:footnote>
  <w:footnote w:id="79">
    <w:p w:rsidR="00C4765D" w:rsidRPr="00C4765D" w:rsidRDefault="00C4765D" w:rsidP="00C4765D">
      <w:pPr>
        <w:spacing w:after="0" w:line="240" w:lineRule="auto"/>
        <w:jc w:val="both"/>
        <w:rPr>
          <w:rFonts w:ascii="Arial" w:hAnsi="Arial" w:cs="Arial"/>
          <w:color w:val="000000" w:themeColor="text1"/>
          <w:sz w:val="20"/>
          <w:szCs w:val="20"/>
        </w:rPr>
      </w:pPr>
      <w:r w:rsidRPr="00C4765D">
        <w:rPr>
          <w:rStyle w:val="FootnoteReference"/>
          <w:rFonts w:ascii="Arial" w:hAnsi="Arial" w:cs="Arial"/>
          <w:color w:val="000000" w:themeColor="text1"/>
          <w:sz w:val="20"/>
          <w:szCs w:val="20"/>
        </w:rPr>
        <w:footnoteRef/>
      </w:r>
      <w:r w:rsidRPr="00C4765D">
        <w:rPr>
          <w:rFonts w:ascii="Arial" w:hAnsi="Arial" w:cs="Arial"/>
          <w:color w:val="000000" w:themeColor="text1"/>
          <w:sz w:val="20"/>
          <w:szCs w:val="20"/>
        </w:rPr>
        <w:t xml:space="preserve"> </w:t>
      </w:r>
      <w:proofErr w:type="spellStart"/>
      <w:r w:rsidRPr="00C4765D">
        <w:rPr>
          <w:rFonts w:ascii="Arial" w:hAnsi="Arial" w:cs="Arial"/>
          <w:i/>
          <w:iCs/>
          <w:color w:val="000000" w:themeColor="text1"/>
          <w:sz w:val="20"/>
          <w:szCs w:val="20"/>
        </w:rPr>
        <w:t>Samco</w:t>
      </w:r>
      <w:proofErr w:type="spellEnd"/>
      <w:r w:rsidRPr="00C4765D">
        <w:rPr>
          <w:rFonts w:ascii="Arial" w:hAnsi="Arial" w:cs="Arial"/>
          <w:i/>
          <w:iCs/>
          <w:color w:val="000000" w:themeColor="text1"/>
          <w:sz w:val="20"/>
          <w:szCs w:val="20"/>
        </w:rPr>
        <w:t xml:space="preserve"> Import &amp; Export v Magistrate of </w:t>
      </w:r>
      <w:proofErr w:type="spellStart"/>
      <w:r w:rsidRPr="00C4765D">
        <w:rPr>
          <w:rFonts w:ascii="Arial" w:hAnsi="Arial" w:cs="Arial"/>
          <w:i/>
          <w:iCs/>
          <w:color w:val="000000" w:themeColor="text1"/>
          <w:sz w:val="20"/>
          <w:szCs w:val="20"/>
        </w:rPr>
        <w:t>Fenian</w:t>
      </w:r>
      <w:proofErr w:type="spellEnd"/>
      <w:r w:rsidRPr="00C4765D">
        <w:rPr>
          <w:rFonts w:ascii="Arial" w:hAnsi="Arial" w:cs="Arial"/>
          <w:i/>
          <w:iCs/>
          <w:color w:val="000000" w:themeColor="text1"/>
          <w:sz w:val="20"/>
          <w:szCs w:val="20"/>
        </w:rPr>
        <w:t xml:space="preserve"> [2009] NAHC 9</w:t>
      </w:r>
      <w:r w:rsidRPr="00C4765D">
        <w:rPr>
          <w:rFonts w:ascii="Arial" w:hAnsi="Arial" w:cs="Arial"/>
          <w:iCs/>
          <w:color w:val="000000" w:themeColor="text1"/>
          <w:sz w:val="20"/>
          <w:szCs w:val="20"/>
        </w:rPr>
        <w:t xml:space="preserve">.  </w:t>
      </w:r>
    </w:p>
  </w:footnote>
  <w:footnote w:id="80">
    <w:p w:rsidR="00C4765D" w:rsidRPr="00C4765D" w:rsidRDefault="00C4765D" w:rsidP="00C4765D">
      <w:pPr>
        <w:pStyle w:val="FootnoteText"/>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r w:rsidRPr="00C4765D">
        <w:rPr>
          <w:rFonts w:cs="Arial"/>
          <w:color w:val="000000" w:themeColor="text1"/>
          <w:sz w:val="20"/>
          <w:szCs w:val="20"/>
        </w:rPr>
        <w:t xml:space="preserve">At para 9.  </w:t>
      </w:r>
    </w:p>
  </w:footnote>
  <w:footnote w:id="81">
    <w:p w:rsidR="00C4765D" w:rsidRPr="00C4765D" w:rsidRDefault="00C4765D" w:rsidP="00C4765D">
      <w:pPr>
        <w:pStyle w:val="FootnoteText"/>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r w:rsidRPr="00C4765D">
        <w:rPr>
          <w:rFonts w:cs="Arial"/>
          <w:i/>
          <w:color w:val="000000" w:themeColor="text1"/>
          <w:sz w:val="20"/>
          <w:szCs w:val="20"/>
        </w:rPr>
        <w:t>Phillips and others v National Director of Public Prosecutions</w:t>
      </w:r>
      <w:r w:rsidRPr="00C4765D">
        <w:rPr>
          <w:rFonts w:cs="Arial"/>
          <w:color w:val="000000" w:themeColor="text1"/>
          <w:sz w:val="20"/>
          <w:szCs w:val="20"/>
        </w:rPr>
        <w:t xml:space="preserve"> 2003 (6) SA 447 (SCA), cited with approval in </w:t>
      </w:r>
      <w:proofErr w:type="spellStart"/>
      <w:r w:rsidRPr="00C4765D">
        <w:rPr>
          <w:rFonts w:cs="Arial"/>
          <w:i/>
          <w:iCs/>
          <w:color w:val="000000" w:themeColor="text1"/>
          <w:sz w:val="20"/>
          <w:szCs w:val="20"/>
        </w:rPr>
        <w:t>Samco</w:t>
      </w:r>
      <w:proofErr w:type="spellEnd"/>
      <w:r w:rsidRPr="00C4765D">
        <w:rPr>
          <w:rFonts w:cs="Arial"/>
          <w:i/>
          <w:iCs/>
          <w:color w:val="000000" w:themeColor="text1"/>
          <w:sz w:val="20"/>
          <w:szCs w:val="20"/>
        </w:rPr>
        <w:t xml:space="preserve"> Import &amp; Export v Magistrate of </w:t>
      </w:r>
      <w:proofErr w:type="spellStart"/>
      <w:r w:rsidRPr="00C4765D">
        <w:rPr>
          <w:rFonts w:cs="Arial"/>
          <w:i/>
          <w:iCs/>
          <w:color w:val="000000" w:themeColor="text1"/>
          <w:sz w:val="20"/>
          <w:szCs w:val="20"/>
        </w:rPr>
        <w:t>Fenian</w:t>
      </w:r>
      <w:proofErr w:type="spellEnd"/>
      <w:r w:rsidRPr="00C4765D">
        <w:rPr>
          <w:rFonts w:cs="Arial"/>
          <w:i/>
          <w:iCs/>
          <w:color w:val="000000" w:themeColor="text1"/>
          <w:sz w:val="20"/>
          <w:szCs w:val="20"/>
        </w:rPr>
        <w:t xml:space="preserve"> [2009] NAHC 9</w:t>
      </w:r>
      <w:r w:rsidRPr="00C4765D">
        <w:rPr>
          <w:rFonts w:cs="Arial"/>
          <w:iCs/>
          <w:color w:val="000000" w:themeColor="text1"/>
          <w:sz w:val="20"/>
          <w:szCs w:val="20"/>
        </w:rPr>
        <w:t xml:space="preserve"> at para 10.  </w:t>
      </w:r>
    </w:p>
  </w:footnote>
  <w:footnote w:id="82">
    <w:p w:rsidR="00C4765D" w:rsidRPr="00801338" w:rsidRDefault="00C4765D" w:rsidP="006D0AA7">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w:t>
      </w:r>
      <w:r w:rsidRPr="00801338">
        <w:rPr>
          <w:rFonts w:cs="Arial"/>
          <w:color w:val="000000" w:themeColor="text1"/>
          <w:sz w:val="20"/>
          <w:szCs w:val="20"/>
        </w:rPr>
        <w:t xml:space="preserve">Commission AA para 19 Bundle 14 p 6.  </w:t>
      </w:r>
    </w:p>
  </w:footnote>
  <w:footnote w:id="83">
    <w:p w:rsidR="00C4765D" w:rsidRPr="00801338" w:rsidRDefault="00C4765D" w:rsidP="006D0AA7">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Anticipation notice prayers 1 and 2 Bundle 8 p 2.  </w:t>
      </w:r>
    </w:p>
  </w:footnote>
  <w:footnote w:id="84">
    <w:p w:rsidR="00C4765D" w:rsidRPr="00801338" w:rsidRDefault="00C4765D" w:rsidP="006D0AA7">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Notice of counter-application prayers 1 - 3 Bundle 9 p 2.  </w:t>
      </w:r>
    </w:p>
  </w:footnote>
  <w:footnote w:id="85">
    <w:p w:rsidR="00C4765D" w:rsidRPr="00801338" w:rsidRDefault="00C4765D" w:rsidP="006D0AA7">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Commission heads para 39 p 19.  </w:t>
      </w:r>
    </w:p>
  </w:footnote>
  <w:footnote w:id="86">
    <w:p w:rsidR="00C4765D" w:rsidRPr="00C4765D" w:rsidRDefault="00C4765D" w:rsidP="00C4765D">
      <w:pPr>
        <w:spacing w:after="0" w:line="240" w:lineRule="auto"/>
        <w:jc w:val="both"/>
        <w:rPr>
          <w:rFonts w:ascii="Arial" w:hAnsi="Arial" w:cs="Arial"/>
          <w:color w:val="000000" w:themeColor="text1"/>
          <w:sz w:val="20"/>
          <w:szCs w:val="20"/>
        </w:rPr>
      </w:pPr>
      <w:r w:rsidRPr="00C4765D">
        <w:rPr>
          <w:rStyle w:val="FootnoteReference"/>
          <w:rFonts w:ascii="Arial" w:hAnsi="Arial" w:cs="Arial"/>
          <w:color w:val="000000" w:themeColor="text1"/>
          <w:sz w:val="20"/>
          <w:szCs w:val="20"/>
        </w:rPr>
        <w:footnoteRef/>
      </w:r>
      <w:r w:rsidRPr="00C4765D">
        <w:rPr>
          <w:rFonts w:ascii="Arial" w:hAnsi="Arial" w:cs="Arial"/>
          <w:color w:val="000000" w:themeColor="text1"/>
          <w:sz w:val="20"/>
          <w:szCs w:val="20"/>
        </w:rPr>
        <w:t xml:space="preserve"> </w:t>
      </w:r>
      <w:r w:rsidRPr="00C4765D">
        <w:rPr>
          <w:rFonts w:ascii="Arial" w:hAnsi="Arial" w:cs="Arial"/>
          <w:i/>
          <w:color w:val="000000" w:themeColor="text1"/>
          <w:sz w:val="20"/>
          <w:szCs w:val="20"/>
        </w:rPr>
        <w:t xml:space="preserve">Standard Bank of Namibia v </w:t>
      </w:r>
      <w:proofErr w:type="spellStart"/>
      <w:r w:rsidRPr="00C4765D">
        <w:rPr>
          <w:rFonts w:ascii="Arial" w:hAnsi="Arial" w:cs="Arial"/>
          <w:i/>
          <w:color w:val="000000" w:themeColor="text1"/>
          <w:sz w:val="20"/>
          <w:szCs w:val="20"/>
        </w:rPr>
        <w:t>Potgieter</w:t>
      </w:r>
      <w:proofErr w:type="spellEnd"/>
      <w:r w:rsidRPr="00C4765D">
        <w:rPr>
          <w:rFonts w:ascii="Arial" w:hAnsi="Arial" w:cs="Arial"/>
          <w:i/>
          <w:color w:val="000000" w:themeColor="text1"/>
          <w:sz w:val="20"/>
          <w:szCs w:val="20"/>
        </w:rPr>
        <w:t xml:space="preserve"> and Another </w:t>
      </w:r>
      <w:r w:rsidRPr="00C4765D">
        <w:rPr>
          <w:rFonts w:ascii="Arial" w:eastAsia="Times New Roman" w:hAnsi="Arial" w:cs="Arial"/>
          <w:sz w:val="20"/>
          <w:szCs w:val="20"/>
          <w:lang w:val="en-ZA" w:eastAsia="en-ZA"/>
        </w:rPr>
        <w:t>2000 NR 120 (HC) at 125F</w:t>
      </w:r>
      <w:r w:rsidRPr="00C4765D">
        <w:rPr>
          <w:rFonts w:ascii="Arial" w:hAnsi="Arial" w:cs="Arial"/>
          <w:color w:val="000000" w:themeColor="text1"/>
          <w:sz w:val="20"/>
          <w:szCs w:val="20"/>
        </w:rPr>
        <w:t xml:space="preserve">, approving </w:t>
      </w:r>
      <w:r w:rsidRPr="00C4765D">
        <w:rPr>
          <w:rFonts w:ascii="Arial" w:hAnsi="Arial" w:cs="Arial"/>
          <w:i/>
          <w:color w:val="000000" w:themeColor="text1"/>
          <w:sz w:val="20"/>
          <w:szCs w:val="20"/>
        </w:rPr>
        <w:t>Serious Economic Offences and Others v Hyundai Motor Distributors (Pty) Ltd and  Others: In re Hyundai Motor Distributors (Pty) Ltd and Others v Smit NO and Others</w:t>
      </w:r>
      <w:r w:rsidRPr="00C4765D">
        <w:rPr>
          <w:rFonts w:ascii="Arial" w:hAnsi="Arial" w:cs="Arial"/>
          <w:color w:val="000000" w:themeColor="text1"/>
          <w:sz w:val="20"/>
          <w:szCs w:val="20"/>
        </w:rPr>
        <w:t xml:space="preserve"> </w:t>
      </w:r>
      <w:hyperlink r:id="rId3" w:history="1">
        <w:r w:rsidRPr="00C4765D">
          <w:rPr>
            <w:rFonts w:ascii="Arial" w:hAnsi="Arial" w:cs="Arial"/>
            <w:color w:val="000000" w:themeColor="text1"/>
            <w:sz w:val="20"/>
            <w:szCs w:val="20"/>
          </w:rPr>
          <w:t>2001 (1) SA 545</w:t>
        </w:r>
      </w:hyperlink>
      <w:r w:rsidRPr="00C4765D">
        <w:rPr>
          <w:rFonts w:ascii="Arial" w:hAnsi="Arial" w:cs="Arial"/>
          <w:color w:val="000000" w:themeColor="text1"/>
          <w:sz w:val="20"/>
          <w:szCs w:val="20"/>
        </w:rPr>
        <w:t xml:space="preserve"> (CC) (</w:t>
      </w:r>
      <w:r w:rsidRPr="00C4765D">
        <w:rPr>
          <w:rFonts w:ascii="Arial" w:hAnsi="Arial" w:cs="Arial"/>
          <w:b/>
          <w:color w:val="000000" w:themeColor="text1"/>
          <w:sz w:val="20"/>
          <w:szCs w:val="20"/>
        </w:rPr>
        <w:t>'</w:t>
      </w:r>
      <w:r w:rsidRPr="00C4765D">
        <w:rPr>
          <w:rFonts w:ascii="Arial" w:hAnsi="Arial" w:cs="Arial"/>
          <w:color w:val="000000" w:themeColor="text1"/>
          <w:sz w:val="20"/>
          <w:szCs w:val="20"/>
        </w:rPr>
        <w:t xml:space="preserve">Hyundai judgment') para 73.  The Hyundai judgment, in turn, cited </w:t>
      </w:r>
      <w:r w:rsidRPr="00C4765D">
        <w:rPr>
          <w:rFonts w:ascii="Arial" w:hAnsi="Arial" w:cs="Arial"/>
          <w:i/>
          <w:iCs/>
          <w:color w:val="000000" w:themeColor="text1"/>
          <w:sz w:val="20"/>
          <w:szCs w:val="20"/>
        </w:rPr>
        <w:t xml:space="preserve">National Director of Public Prosecutions v </w:t>
      </w:r>
      <w:proofErr w:type="spellStart"/>
      <w:r w:rsidRPr="00C4765D">
        <w:rPr>
          <w:rFonts w:ascii="Arial" w:hAnsi="Arial" w:cs="Arial"/>
          <w:i/>
          <w:iCs/>
          <w:color w:val="000000" w:themeColor="text1"/>
          <w:sz w:val="20"/>
          <w:szCs w:val="20"/>
        </w:rPr>
        <w:t>Basson</w:t>
      </w:r>
      <w:proofErr w:type="spellEnd"/>
      <w:r w:rsidRPr="00C4765D">
        <w:rPr>
          <w:rFonts w:ascii="Arial" w:hAnsi="Arial" w:cs="Arial"/>
          <w:color w:val="000000" w:themeColor="text1"/>
          <w:sz w:val="20"/>
          <w:szCs w:val="20"/>
        </w:rPr>
        <w:t xml:space="preserve"> </w:t>
      </w:r>
      <w:hyperlink r:id="rId4" w:history="1">
        <w:r w:rsidRPr="00C4765D">
          <w:rPr>
            <w:rFonts w:ascii="Arial" w:hAnsi="Arial" w:cs="Arial"/>
            <w:color w:val="000000" w:themeColor="text1"/>
            <w:sz w:val="20"/>
            <w:szCs w:val="20"/>
            <w:u w:color="0649FF"/>
          </w:rPr>
          <w:t xml:space="preserve">2002 (1) SA 419 </w:t>
        </w:r>
      </w:hyperlink>
      <w:r w:rsidRPr="00C4765D">
        <w:rPr>
          <w:rFonts w:ascii="Arial" w:hAnsi="Arial" w:cs="Arial"/>
          <w:color w:val="000000" w:themeColor="text1"/>
          <w:sz w:val="20"/>
          <w:szCs w:val="20"/>
        </w:rPr>
        <w:t xml:space="preserve">para 21 and </w:t>
      </w:r>
      <w:r w:rsidRPr="00C4765D">
        <w:rPr>
          <w:rFonts w:ascii="Arial" w:hAnsi="Arial" w:cs="Arial"/>
          <w:i/>
          <w:iCs/>
          <w:color w:val="000000" w:themeColor="text1"/>
          <w:sz w:val="20"/>
          <w:szCs w:val="20"/>
        </w:rPr>
        <w:t>Schlesinger v Schlesinger</w:t>
      </w:r>
      <w:r w:rsidRPr="00C4765D">
        <w:rPr>
          <w:rFonts w:ascii="Arial" w:hAnsi="Arial" w:cs="Arial"/>
          <w:color w:val="000000" w:themeColor="text1"/>
          <w:sz w:val="20"/>
          <w:szCs w:val="20"/>
        </w:rPr>
        <w:t> </w:t>
      </w:r>
      <w:hyperlink r:id="rId5" w:history="1">
        <w:r w:rsidRPr="00C4765D">
          <w:rPr>
            <w:rFonts w:ascii="Arial" w:hAnsi="Arial" w:cs="Arial"/>
            <w:color w:val="000000" w:themeColor="text1"/>
            <w:sz w:val="20"/>
            <w:szCs w:val="20"/>
            <w:u w:color="0649FF"/>
          </w:rPr>
          <w:t>1979 (4) SA 342 (W)</w:t>
        </w:r>
      </w:hyperlink>
      <w:r w:rsidRPr="00C4765D">
        <w:rPr>
          <w:rFonts w:ascii="Arial" w:hAnsi="Arial" w:cs="Arial"/>
          <w:color w:val="000000" w:themeColor="text1"/>
          <w:sz w:val="20"/>
          <w:szCs w:val="20"/>
        </w:rPr>
        <w:t xml:space="preserve"> at 348E - 349B.</w:t>
      </w:r>
    </w:p>
  </w:footnote>
  <w:footnote w:id="87">
    <w:p w:rsidR="00C4765D" w:rsidRPr="00C4765D" w:rsidRDefault="00C4765D" w:rsidP="00C4765D">
      <w:pPr>
        <w:pStyle w:val="FootnoteText"/>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r w:rsidRPr="00C4765D">
        <w:rPr>
          <w:rFonts w:cs="Arial"/>
          <w:color w:val="000000" w:themeColor="text1"/>
          <w:sz w:val="20"/>
          <w:szCs w:val="20"/>
        </w:rPr>
        <w:t xml:space="preserve">Commission FA paras 1.1 - 1.2 Bundle 2 p 1, read with annexure VD1 Bundle 3 p 1. </w:t>
      </w:r>
    </w:p>
  </w:footnote>
  <w:footnote w:id="88">
    <w:p w:rsidR="00C4765D" w:rsidRPr="00C4765D" w:rsidRDefault="00C4765D" w:rsidP="00C4765D">
      <w:pPr>
        <w:pStyle w:val="FootnoteText"/>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r w:rsidRPr="00C4765D">
        <w:rPr>
          <w:rFonts w:cs="Arial"/>
          <w:color w:val="000000" w:themeColor="text1"/>
          <w:sz w:val="20"/>
          <w:szCs w:val="20"/>
        </w:rPr>
        <w:t xml:space="preserve">Puma RA para 44 Bundle 19 pp 13 - 14.  </w:t>
      </w:r>
    </w:p>
  </w:footnote>
  <w:footnote w:id="89">
    <w:p w:rsidR="00C4765D" w:rsidRPr="00C4765D" w:rsidRDefault="00C4765D" w:rsidP="00C4765D">
      <w:pPr>
        <w:pStyle w:val="FootnoteText"/>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r w:rsidRPr="00C4765D">
        <w:rPr>
          <w:rFonts w:cs="Arial"/>
          <w:color w:val="000000" w:themeColor="text1"/>
          <w:sz w:val="20"/>
          <w:szCs w:val="20"/>
        </w:rPr>
        <w:t xml:space="preserve">Commission heads paras 51 - 53 pp 22 - 23.  </w:t>
      </w:r>
    </w:p>
  </w:footnote>
  <w:footnote w:id="90">
    <w:p w:rsidR="00C4765D" w:rsidRPr="00C77205" w:rsidRDefault="00C4765D" w:rsidP="00C4765D">
      <w:pPr>
        <w:pStyle w:val="FootnoteText"/>
        <w:jc w:val="both"/>
        <w:rPr>
          <w:rFonts w:cs="Arial"/>
          <w:sz w:val="20"/>
          <w:szCs w:val="20"/>
        </w:rPr>
      </w:pPr>
      <w:r w:rsidRPr="0061314E">
        <w:rPr>
          <w:rStyle w:val="FootnoteReference"/>
          <w:rFonts w:cs="Arial"/>
          <w:sz w:val="20"/>
          <w:szCs w:val="20"/>
        </w:rPr>
        <w:footnoteRef/>
      </w:r>
      <w:r>
        <w:rPr>
          <w:rFonts w:cs="Arial"/>
          <w:sz w:val="20"/>
          <w:szCs w:val="20"/>
        </w:rPr>
        <w:t xml:space="preserve"> </w:t>
      </w:r>
      <w:r w:rsidRPr="00C77205">
        <w:rPr>
          <w:rFonts w:cs="Arial"/>
          <w:sz w:val="20"/>
          <w:szCs w:val="20"/>
        </w:rPr>
        <w:t>We note that the Commission has, in the case management process, consented to be treated as the applicant in these proceedings, merely for convenience and to avoid unnecessary interlocutory skirmishes.  As its answering affidavit shows, it has never conceded that its application remains pending or that Puma is properly regarded as a respondent in this matter.</w:t>
      </w:r>
    </w:p>
  </w:footnote>
  <w:footnote w:id="91">
    <w:p w:rsidR="00C4765D" w:rsidRPr="00C77205" w:rsidRDefault="00C4765D" w:rsidP="00C4765D">
      <w:pPr>
        <w:pStyle w:val="FootnoteText"/>
        <w:jc w:val="both"/>
        <w:rPr>
          <w:rFonts w:cs="Arial"/>
          <w:sz w:val="20"/>
          <w:szCs w:val="20"/>
          <w:lang w:val="en-ZA"/>
        </w:rPr>
      </w:pPr>
      <w:r w:rsidRPr="00C77205">
        <w:rPr>
          <w:rStyle w:val="FootnoteReference"/>
          <w:rFonts w:cs="Arial"/>
          <w:sz w:val="20"/>
          <w:szCs w:val="20"/>
        </w:rPr>
        <w:footnoteRef/>
      </w:r>
      <w:r>
        <w:rPr>
          <w:rFonts w:cs="Arial"/>
          <w:sz w:val="20"/>
          <w:szCs w:val="20"/>
        </w:rPr>
        <w:t xml:space="preserve"> </w:t>
      </w:r>
      <w:proofErr w:type="spellStart"/>
      <w:r w:rsidRPr="00C77205">
        <w:rPr>
          <w:rFonts w:cs="Arial"/>
          <w:i/>
          <w:sz w:val="20"/>
          <w:szCs w:val="20"/>
        </w:rPr>
        <w:t>Kahua</w:t>
      </w:r>
      <w:proofErr w:type="spellEnd"/>
      <w:r w:rsidRPr="00C77205">
        <w:rPr>
          <w:rFonts w:cs="Arial"/>
          <w:i/>
          <w:sz w:val="20"/>
          <w:szCs w:val="20"/>
        </w:rPr>
        <w:t xml:space="preserve"> and Others v Minister of Regional And Local Government, Housing And Rural Development and Another</w:t>
      </w:r>
      <w:r w:rsidRPr="00C77205">
        <w:rPr>
          <w:rFonts w:cs="Arial"/>
          <w:sz w:val="20"/>
          <w:szCs w:val="20"/>
        </w:rPr>
        <w:t xml:space="preserve"> [2014] NAHCMD 1 para 18</w:t>
      </w:r>
      <w:r>
        <w:rPr>
          <w:rFonts w:cs="Arial"/>
          <w:sz w:val="20"/>
          <w:szCs w:val="20"/>
          <w:lang w:val="en-ZA"/>
        </w:rPr>
        <w:t>.</w:t>
      </w:r>
    </w:p>
  </w:footnote>
  <w:footnote w:id="92">
    <w:p w:rsidR="00C4765D" w:rsidRPr="00C77205" w:rsidRDefault="00C4765D" w:rsidP="00C4765D">
      <w:pPr>
        <w:spacing w:after="0" w:line="240" w:lineRule="auto"/>
        <w:jc w:val="both"/>
        <w:rPr>
          <w:rFonts w:ascii="Arial" w:hAnsi="Arial" w:cs="Arial"/>
          <w:sz w:val="20"/>
        </w:rPr>
      </w:pPr>
      <w:r w:rsidRPr="00C77205">
        <w:rPr>
          <w:rStyle w:val="FootnoteReference"/>
          <w:rFonts w:ascii="Arial" w:eastAsia="MS Mincho" w:hAnsi="Arial" w:cs="Arial"/>
          <w:sz w:val="20"/>
        </w:rPr>
        <w:footnoteRef/>
      </w:r>
      <w:r>
        <w:rPr>
          <w:rFonts w:ascii="Arial" w:hAnsi="Arial" w:cs="Arial"/>
          <w:sz w:val="20"/>
        </w:rPr>
        <w:t xml:space="preserve"> </w:t>
      </w:r>
      <w:r w:rsidRPr="00C77205">
        <w:rPr>
          <w:rFonts w:ascii="Arial" w:hAnsi="Arial" w:cs="Arial"/>
          <w:i/>
          <w:sz w:val="20"/>
        </w:rPr>
        <w:t>Equity Aviation Services (Pty) Ltd v Commission for Conciliation, Mediation and Arbitration and Others</w:t>
      </w:r>
      <w:r w:rsidRPr="00C77205">
        <w:rPr>
          <w:rFonts w:ascii="Arial" w:hAnsi="Arial" w:cs="Arial"/>
          <w:sz w:val="20"/>
        </w:rPr>
        <w:t xml:space="preserve"> 2009 (1) SA 390 (CC); 2009 (2) BCLR 111 (CC) para 54, citing </w:t>
      </w:r>
      <w:r w:rsidRPr="00C77205">
        <w:rPr>
          <w:rFonts w:ascii="Arial" w:hAnsi="Arial" w:cs="Arial"/>
          <w:i/>
          <w:iCs/>
          <w:sz w:val="20"/>
        </w:rPr>
        <w:t xml:space="preserve">Chamber of Mines v NUM </w:t>
      </w:r>
      <w:r w:rsidRPr="00C77205">
        <w:rPr>
          <w:rFonts w:ascii="Arial" w:hAnsi="Arial" w:cs="Arial"/>
          <w:sz w:val="20"/>
        </w:rPr>
        <w:t>1987 (1) SA 668 (AD) at 681D-G with approval</w:t>
      </w:r>
      <w:r>
        <w:rPr>
          <w:rFonts w:ascii="Arial" w:hAnsi="Arial" w:cs="Arial"/>
          <w:sz w:val="20"/>
        </w:rPr>
        <w:t>.</w:t>
      </w:r>
    </w:p>
  </w:footnote>
  <w:footnote w:id="93">
    <w:p w:rsidR="00C4765D" w:rsidRPr="00C77205" w:rsidRDefault="00C4765D" w:rsidP="00C4765D">
      <w:pPr>
        <w:pStyle w:val="FootnoteText"/>
        <w:jc w:val="both"/>
        <w:rPr>
          <w:rFonts w:cs="Arial"/>
          <w:sz w:val="20"/>
          <w:szCs w:val="20"/>
        </w:rPr>
      </w:pPr>
      <w:r w:rsidRPr="00C77205">
        <w:rPr>
          <w:rStyle w:val="FootnoteReference"/>
          <w:rFonts w:cs="Arial"/>
          <w:sz w:val="20"/>
          <w:szCs w:val="20"/>
        </w:rPr>
        <w:footnoteRef/>
      </w:r>
      <w:r>
        <w:rPr>
          <w:rFonts w:cs="Arial"/>
          <w:sz w:val="20"/>
          <w:szCs w:val="20"/>
        </w:rPr>
        <w:t xml:space="preserve"> </w:t>
      </w:r>
      <w:r w:rsidRPr="00C77205">
        <w:rPr>
          <w:rFonts w:cs="Arial"/>
          <w:i/>
          <w:sz w:val="20"/>
          <w:szCs w:val="20"/>
        </w:rPr>
        <w:t xml:space="preserve">Feinstein v </w:t>
      </w:r>
      <w:proofErr w:type="spellStart"/>
      <w:r w:rsidRPr="00C77205">
        <w:rPr>
          <w:rFonts w:cs="Arial"/>
          <w:i/>
          <w:sz w:val="20"/>
          <w:szCs w:val="20"/>
        </w:rPr>
        <w:t>Niggli</w:t>
      </w:r>
      <w:proofErr w:type="spellEnd"/>
      <w:r w:rsidRPr="00C77205">
        <w:rPr>
          <w:rFonts w:cs="Arial"/>
          <w:i/>
          <w:sz w:val="20"/>
          <w:szCs w:val="20"/>
        </w:rPr>
        <w:t xml:space="preserve"> and Another </w:t>
      </w:r>
      <w:r w:rsidRPr="00C77205">
        <w:rPr>
          <w:rFonts w:cs="Arial"/>
          <w:sz w:val="20"/>
          <w:szCs w:val="20"/>
        </w:rPr>
        <w:t xml:space="preserve">1981 (2) SA 684 (A) at 698 E-H, quoted with approval in </w:t>
      </w:r>
      <w:proofErr w:type="spellStart"/>
      <w:r w:rsidRPr="00C77205">
        <w:rPr>
          <w:rFonts w:cs="Arial"/>
          <w:i/>
          <w:sz w:val="20"/>
          <w:szCs w:val="20"/>
        </w:rPr>
        <w:t>Mbekele</w:t>
      </w:r>
      <w:proofErr w:type="spellEnd"/>
      <w:r w:rsidRPr="00C77205">
        <w:rPr>
          <w:rFonts w:cs="Arial"/>
          <w:i/>
          <w:sz w:val="20"/>
          <w:szCs w:val="20"/>
        </w:rPr>
        <w:t xml:space="preserve"> v Standard Bank Namibia Ltd Vehicle and Asset Finance ((P). I 698.2009) </w:t>
      </w:r>
      <w:r w:rsidRPr="00C77205">
        <w:rPr>
          <w:rFonts w:cs="Arial"/>
          <w:sz w:val="20"/>
          <w:szCs w:val="20"/>
        </w:rPr>
        <w:t>[2011] NAHC 18 para 22</w:t>
      </w:r>
    </w:p>
  </w:footnote>
  <w:footnote w:id="94">
    <w:p w:rsidR="00C4765D" w:rsidRPr="00C4765D" w:rsidRDefault="00C4765D" w:rsidP="00C4765D">
      <w:pPr>
        <w:pStyle w:val="FootnoteText"/>
        <w:ind w:left="567" w:hanging="567"/>
        <w:jc w:val="both"/>
        <w:rPr>
          <w:rFonts w:cs="Arial"/>
          <w:sz w:val="20"/>
          <w:szCs w:val="20"/>
          <w:lang w:val="en-ZA"/>
        </w:rPr>
      </w:pPr>
      <w:r w:rsidRPr="00C4765D">
        <w:rPr>
          <w:rStyle w:val="FootnoteReference"/>
          <w:rFonts w:cs="Arial"/>
          <w:sz w:val="20"/>
          <w:szCs w:val="20"/>
        </w:rPr>
        <w:footnoteRef/>
      </w:r>
      <w:r w:rsidRPr="00C4765D">
        <w:rPr>
          <w:rFonts w:cs="Arial"/>
          <w:sz w:val="20"/>
          <w:szCs w:val="20"/>
        </w:rPr>
        <w:t xml:space="preserve"> </w:t>
      </w:r>
      <w:r w:rsidRPr="00C4765D">
        <w:rPr>
          <w:rFonts w:cs="Arial"/>
          <w:i/>
          <w:sz w:val="20"/>
          <w:szCs w:val="20"/>
        </w:rPr>
        <w:t xml:space="preserve">Standard Bank of Namibia Ltd v Atlantic Meat Market (Pty) Ltd </w:t>
      </w:r>
      <w:r w:rsidRPr="00C4765D">
        <w:rPr>
          <w:rFonts w:cs="Arial"/>
          <w:sz w:val="20"/>
          <w:szCs w:val="20"/>
        </w:rPr>
        <w:t>[2014] NASC 14 para 25</w:t>
      </w:r>
      <w:r w:rsidRPr="00C4765D">
        <w:rPr>
          <w:rFonts w:cs="Arial"/>
          <w:sz w:val="20"/>
          <w:szCs w:val="20"/>
          <w:lang w:val="en-ZA"/>
        </w:rPr>
        <w:t>.</w:t>
      </w:r>
    </w:p>
  </w:footnote>
  <w:footnote w:id="95">
    <w:p w:rsidR="00C4765D" w:rsidRPr="00C4765D" w:rsidRDefault="00C4765D" w:rsidP="00C4765D">
      <w:pPr>
        <w:pStyle w:val="FootnoteText"/>
        <w:jc w:val="both"/>
        <w:rPr>
          <w:rFonts w:cs="Arial"/>
          <w:sz w:val="20"/>
          <w:szCs w:val="20"/>
          <w:lang w:val="en-ZA"/>
        </w:rPr>
      </w:pPr>
      <w:r w:rsidRPr="00C4765D">
        <w:rPr>
          <w:rStyle w:val="FootnoteReference"/>
          <w:rFonts w:cs="Arial"/>
          <w:sz w:val="20"/>
          <w:szCs w:val="20"/>
        </w:rPr>
        <w:footnoteRef/>
      </w:r>
      <w:r w:rsidRPr="00C4765D">
        <w:rPr>
          <w:rFonts w:cs="Arial"/>
          <w:sz w:val="20"/>
          <w:szCs w:val="20"/>
        </w:rPr>
        <w:t xml:space="preserve"> </w:t>
      </w:r>
      <w:r w:rsidRPr="00C4765D">
        <w:rPr>
          <w:rFonts w:cs="Arial"/>
          <w:i/>
          <w:sz w:val="20"/>
          <w:szCs w:val="20"/>
        </w:rPr>
        <w:t xml:space="preserve">Neves and Another v Andre </w:t>
      </w:r>
      <w:proofErr w:type="spellStart"/>
      <w:r w:rsidRPr="00C4765D">
        <w:rPr>
          <w:rFonts w:cs="Arial"/>
          <w:i/>
          <w:sz w:val="20"/>
          <w:szCs w:val="20"/>
        </w:rPr>
        <w:t>Neethling</w:t>
      </w:r>
      <w:proofErr w:type="spellEnd"/>
      <w:r w:rsidRPr="00C4765D">
        <w:rPr>
          <w:rFonts w:cs="Arial"/>
          <w:i/>
          <w:sz w:val="20"/>
          <w:szCs w:val="20"/>
        </w:rPr>
        <w:t xml:space="preserve"> t/a Andre </w:t>
      </w:r>
      <w:proofErr w:type="spellStart"/>
      <w:r w:rsidRPr="00C4765D">
        <w:rPr>
          <w:rFonts w:cs="Arial"/>
          <w:i/>
          <w:sz w:val="20"/>
          <w:szCs w:val="20"/>
        </w:rPr>
        <w:t>Neethling</w:t>
      </w:r>
      <w:proofErr w:type="spellEnd"/>
      <w:r w:rsidRPr="00C4765D">
        <w:rPr>
          <w:rFonts w:cs="Arial"/>
          <w:i/>
          <w:sz w:val="20"/>
          <w:szCs w:val="20"/>
        </w:rPr>
        <w:t xml:space="preserve"> Consultancy and Others </w:t>
      </w:r>
      <w:r w:rsidRPr="00C4765D">
        <w:rPr>
          <w:rFonts w:cs="Arial"/>
          <w:sz w:val="20"/>
          <w:szCs w:val="20"/>
        </w:rPr>
        <w:t xml:space="preserve">[2012] NAHC 135 para 5, quoting with approval from </w:t>
      </w:r>
      <w:r w:rsidRPr="00C4765D">
        <w:rPr>
          <w:rFonts w:cs="Arial"/>
          <w:i/>
          <w:sz w:val="20"/>
          <w:szCs w:val="20"/>
        </w:rPr>
        <w:t xml:space="preserve">Peacock Television Co (Pty) Ltd v Transkei Development Corporation </w:t>
      </w:r>
      <w:r w:rsidRPr="00C4765D">
        <w:rPr>
          <w:rFonts w:cs="Arial"/>
          <w:sz w:val="20"/>
          <w:szCs w:val="20"/>
        </w:rPr>
        <w:t>1998 (2) SA 259 (</w:t>
      </w:r>
      <w:proofErr w:type="spellStart"/>
      <w:r w:rsidRPr="00C4765D">
        <w:rPr>
          <w:rFonts w:cs="Arial"/>
          <w:sz w:val="20"/>
          <w:szCs w:val="20"/>
        </w:rPr>
        <w:t>Tk</w:t>
      </w:r>
      <w:proofErr w:type="spellEnd"/>
      <w:r w:rsidRPr="00C4765D">
        <w:rPr>
          <w:rFonts w:cs="Arial"/>
          <w:sz w:val="20"/>
          <w:szCs w:val="20"/>
        </w:rPr>
        <w:t>)</w:t>
      </w:r>
      <w:r w:rsidRPr="00C4765D">
        <w:rPr>
          <w:rFonts w:cs="Arial"/>
          <w:i/>
          <w:sz w:val="20"/>
          <w:szCs w:val="20"/>
        </w:rPr>
        <w:t xml:space="preserve"> </w:t>
      </w:r>
      <w:r w:rsidRPr="00C4765D">
        <w:rPr>
          <w:rFonts w:cs="Arial"/>
          <w:sz w:val="20"/>
          <w:szCs w:val="20"/>
        </w:rPr>
        <w:t>at 262 G-H</w:t>
      </w:r>
      <w:r w:rsidRPr="00C4765D">
        <w:rPr>
          <w:rFonts w:cs="Arial"/>
          <w:sz w:val="20"/>
          <w:szCs w:val="20"/>
          <w:lang w:val="en-ZA"/>
        </w:rPr>
        <w:t>.</w:t>
      </w:r>
    </w:p>
  </w:footnote>
  <w:footnote w:id="96">
    <w:p w:rsidR="00C4765D" w:rsidRPr="00C4765D" w:rsidRDefault="00C4765D" w:rsidP="00C4765D">
      <w:pPr>
        <w:pStyle w:val="FootnoteText"/>
        <w:jc w:val="both"/>
        <w:rPr>
          <w:rFonts w:cs="Arial"/>
          <w:sz w:val="20"/>
          <w:szCs w:val="20"/>
          <w:lang w:val="en-ZA"/>
        </w:rPr>
      </w:pPr>
      <w:r w:rsidRPr="00C4765D">
        <w:rPr>
          <w:rStyle w:val="FootnoteReference"/>
          <w:sz w:val="20"/>
          <w:szCs w:val="20"/>
        </w:rPr>
        <w:footnoteRef/>
      </w:r>
      <w:r w:rsidRPr="00C4765D">
        <w:rPr>
          <w:rFonts w:cs="Arial"/>
          <w:i/>
          <w:sz w:val="20"/>
          <w:szCs w:val="20"/>
        </w:rPr>
        <w:t>Rudolph and Another v Commissioner for Inland Revenue and Others</w:t>
      </w:r>
      <w:r w:rsidRPr="00C4765D">
        <w:rPr>
          <w:rFonts w:cs="Arial"/>
          <w:sz w:val="20"/>
          <w:szCs w:val="20"/>
        </w:rPr>
        <w:t xml:space="preserve"> 1997 (4) SA 391 (SCA) at 398 C – E</w:t>
      </w:r>
      <w:r w:rsidRPr="00C4765D">
        <w:rPr>
          <w:rFonts w:cs="Arial"/>
          <w:sz w:val="20"/>
          <w:szCs w:val="20"/>
          <w:lang w:val="en-ZA"/>
        </w:rPr>
        <w:t>.</w:t>
      </w:r>
    </w:p>
  </w:footnote>
  <w:footnote w:id="97">
    <w:p w:rsidR="00C4765D" w:rsidRPr="00C4765D" w:rsidRDefault="00C4765D" w:rsidP="00C4765D">
      <w:pPr>
        <w:pStyle w:val="FootnoteText"/>
        <w:tabs>
          <w:tab w:val="left" w:pos="567"/>
        </w:tabs>
        <w:jc w:val="both"/>
        <w:rPr>
          <w:sz w:val="20"/>
          <w:szCs w:val="20"/>
        </w:rPr>
      </w:pPr>
      <w:r w:rsidRPr="00C4765D">
        <w:rPr>
          <w:rStyle w:val="FootnoteReference"/>
          <w:sz w:val="20"/>
          <w:szCs w:val="20"/>
        </w:rPr>
        <w:footnoteRef/>
      </w:r>
      <w:r w:rsidRPr="00C4765D">
        <w:rPr>
          <w:sz w:val="20"/>
          <w:szCs w:val="20"/>
        </w:rPr>
        <w:t xml:space="preserve"> </w:t>
      </w:r>
      <w:r w:rsidRPr="00C4765D">
        <w:rPr>
          <w:rFonts w:cs="Arial"/>
          <w:sz w:val="20"/>
          <w:szCs w:val="20"/>
        </w:rPr>
        <w:t>Bundle 1 Item 6 Page 1 Court Order para 3</w:t>
      </w:r>
      <w:r w:rsidRPr="00C4765D">
        <w:rPr>
          <w:rFonts w:cs="Arial"/>
          <w:sz w:val="20"/>
          <w:szCs w:val="20"/>
          <w:lang w:val="en-ZA"/>
        </w:rPr>
        <w:t>.</w:t>
      </w:r>
      <w:r w:rsidRPr="00C4765D">
        <w:rPr>
          <w:sz w:val="20"/>
          <w:szCs w:val="20"/>
        </w:rPr>
        <w:t xml:space="preserve"> </w:t>
      </w:r>
    </w:p>
  </w:footnote>
  <w:footnote w:id="98">
    <w:p w:rsidR="00C4765D" w:rsidRDefault="00C4765D" w:rsidP="002416C5">
      <w:pPr>
        <w:pStyle w:val="FootnoteText"/>
      </w:pPr>
      <w:r>
        <w:rPr>
          <w:rStyle w:val="FootnoteReference"/>
        </w:rPr>
        <w:footnoteRef/>
      </w:r>
      <w:r>
        <w:t xml:space="preserve"> </w:t>
      </w:r>
      <w:r w:rsidRPr="00BB4701">
        <w:rPr>
          <w:rFonts w:cs="Arial"/>
          <w:sz w:val="20"/>
          <w:szCs w:val="20"/>
        </w:rPr>
        <w:t>Bundle 1 Item 6 Page 1 Court Order para 3</w:t>
      </w:r>
      <w:r>
        <w:rPr>
          <w:rFonts w:cs="Arial"/>
          <w:sz w:val="20"/>
          <w:szCs w:val="20"/>
        </w:rPr>
        <w:t>, Bundle 1 Item 10 Page 55 - 56 Founding Affidavit – Puma’s Counter application annexure ‘DD6</w:t>
      </w:r>
      <w:r>
        <w:rPr>
          <w:rFonts w:cs="Arial"/>
          <w:sz w:val="20"/>
          <w:szCs w:val="20"/>
          <w:lang w:val="en-ZA"/>
        </w:rPr>
        <w:t>.</w:t>
      </w:r>
      <w:r>
        <w:rPr>
          <w:rFonts w:cs="Arial"/>
          <w:sz w:val="20"/>
          <w:szCs w:val="20"/>
        </w:rPr>
        <w:t>’</w:t>
      </w:r>
    </w:p>
  </w:footnote>
  <w:footnote w:id="99">
    <w:p w:rsidR="00C4765D" w:rsidRDefault="00C4765D" w:rsidP="00D462B9">
      <w:pPr>
        <w:pStyle w:val="FootnoteText"/>
      </w:pPr>
    </w:p>
  </w:footnote>
  <w:footnote w:id="100">
    <w:p w:rsidR="00C4765D" w:rsidRPr="002416C5" w:rsidRDefault="00C4765D" w:rsidP="002416C5">
      <w:pPr>
        <w:pStyle w:val="FootnoteText"/>
        <w:rPr>
          <w:rFonts w:cs="Arial"/>
          <w:sz w:val="20"/>
          <w:szCs w:val="20"/>
          <w:lang w:val="en-ZA"/>
        </w:rPr>
      </w:pPr>
      <w:r w:rsidRPr="0061314E">
        <w:rPr>
          <w:rStyle w:val="FootnoteReference"/>
          <w:rFonts w:cs="Arial"/>
          <w:sz w:val="20"/>
          <w:szCs w:val="20"/>
        </w:rPr>
        <w:footnoteRef/>
      </w:r>
      <w:r>
        <w:rPr>
          <w:rFonts w:cs="Arial"/>
          <w:sz w:val="20"/>
          <w:szCs w:val="20"/>
        </w:rPr>
        <w:t xml:space="preserve"> </w:t>
      </w:r>
      <w:r>
        <w:rPr>
          <w:rFonts w:cs="Arial"/>
          <w:sz w:val="20"/>
          <w:szCs w:val="20"/>
        </w:rPr>
        <w:t xml:space="preserve">Bundle 1 Item 11 Page 90 </w:t>
      </w:r>
      <w:r w:rsidRPr="0061314E">
        <w:rPr>
          <w:rFonts w:cs="Arial"/>
          <w:sz w:val="20"/>
          <w:szCs w:val="20"/>
        </w:rPr>
        <w:t xml:space="preserve">Letter from </w:t>
      </w:r>
      <w:proofErr w:type="spellStart"/>
      <w:r w:rsidRPr="0061314E">
        <w:rPr>
          <w:rFonts w:cs="Arial"/>
          <w:sz w:val="20"/>
          <w:szCs w:val="20"/>
        </w:rPr>
        <w:t>Engling</w:t>
      </w:r>
      <w:proofErr w:type="spellEnd"/>
      <w:r w:rsidRPr="0061314E">
        <w:rPr>
          <w:rFonts w:cs="Arial"/>
          <w:sz w:val="20"/>
          <w:szCs w:val="20"/>
        </w:rPr>
        <w:t xml:space="preserve">, </w:t>
      </w:r>
      <w:proofErr w:type="spellStart"/>
      <w:r w:rsidRPr="0061314E">
        <w:rPr>
          <w:rFonts w:cs="Arial"/>
          <w:sz w:val="20"/>
          <w:szCs w:val="20"/>
        </w:rPr>
        <w:t>Stritter</w:t>
      </w:r>
      <w:proofErr w:type="spellEnd"/>
      <w:r w:rsidRPr="0061314E">
        <w:rPr>
          <w:rFonts w:cs="Arial"/>
          <w:sz w:val="20"/>
          <w:szCs w:val="20"/>
        </w:rPr>
        <w:t xml:space="preserve"> and Partners annexed to Puma’s Founding Affidavit as “DD9” para 2</w:t>
      </w:r>
      <w:r>
        <w:rPr>
          <w:rFonts w:cs="Arial"/>
          <w:sz w:val="20"/>
          <w:szCs w:val="20"/>
          <w:lang w:val="en-ZA"/>
        </w:rPr>
        <w:t>.</w:t>
      </w:r>
    </w:p>
  </w:footnote>
  <w:footnote w:id="101">
    <w:p w:rsidR="00C4765D" w:rsidRPr="002416C5" w:rsidRDefault="00C4765D" w:rsidP="002416C5">
      <w:pPr>
        <w:pStyle w:val="FootnoteText"/>
        <w:jc w:val="both"/>
        <w:rPr>
          <w:rFonts w:cs="Arial"/>
          <w:sz w:val="20"/>
          <w:szCs w:val="20"/>
          <w:lang w:val="en-ZA"/>
        </w:rPr>
      </w:pPr>
      <w:r w:rsidRPr="0061314E">
        <w:rPr>
          <w:rStyle w:val="FootnoteReference"/>
          <w:rFonts w:cs="Arial"/>
          <w:sz w:val="20"/>
          <w:szCs w:val="20"/>
        </w:rPr>
        <w:footnoteRef/>
      </w:r>
      <w:r>
        <w:rPr>
          <w:rFonts w:cs="Arial"/>
          <w:sz w:val="20"/>
          <w:szCs w:val="20"/>
        </w:rPr>
        <w:t xml:space="preserve"> </w:t>
      </w:r>
      <w:r w:rsidRPr="0061314E">
        <w:rPr>
          <w:rFonts w:cs="Arial"/>
          <w:i/>
          <w:sz w:val="20"/>
          <w:szCs w:val="20"/>
        </w:rPr>
        <w:t>Rally for Democracy and Progress and Others v Electoral Commission of Namibia and Others</w:t>
      </w:r>
      <w:r w:rsidRPr="0061314E">
        <w:rPr>
          <w:rFonts w:cs="Arial"/>
          <w:sz w:val="20"/>
          <w:szCs w:val="20"/>
        </w:rPr>
        <w:t xml:space="preserve"> [2012] NASC 21 para 106</w:t>
      </w:r>
      <w:r>
        <w:rPr>
          <w:rFonts w:cs="Arial"/>
          <w:sz w:val="20"/>
          <w:szCs w:val="20"/>
          <w:lang w:val="en-ZA"/>
        </w:rPr>
        <w:t>.</w:t>
      </w:r>
    </w:p>
  </w:footnote>
  <w:footnote w:id="102">
    <w:p w:rsidR="00C4765D" w:rsidRPr="002416C5" w:rsidRDefault="00C4765D" w:rsidP="002416C5">
      <w:pPr>
        <w:pStyle w:val="FootnoteText"/>
        <w:jc w:val="both"/>
        <w:rPr>
          <w:rFonts w:cs="Arial"/>
          <w:sz w:val="20"/>
          <w:szCs w:val="20"/>
          <w:lang w:val="en-ZA"/>
        </w:rPr>
      </w:pPr>
      <w:r w:rsidRPr="0061314E">
        <w:rPr>
          <w:rStyle w:val="FootnoteReference"/>
          <w:rFonts w:cs="Arial"/>
          <w:sz w:val="20"/>
          <w:szCs w:val="20"/>
        </w:rPr>
        <w:footnoteRef/>
      </w:r>
      <w:r>
        <w:rPr>
          <w:rFonts w:cs="Arial"/>
          <w:sz w:val="20"/>
          <w:szCs w:val="20"/>
        </w:rPr>
        <w:t xml:space="preserve"> </w:t>
      </w:r>
      <w:r w:rsidRPr="0061314E">
        <w:rPr>
          <w:rFonts w:cs="Arial"/>
          <w:i/>
          <w:sz w:val="20"/>
          <w:szCs w:val="20"/>
        </w:rPr>
        <w:t xml:space="preserve">Ferris and Another v </w:t>
      </w:r>
      <w:proofErr w:type="spellStart"/>
      <w:r w:rsidRPr="0061314E">
        <w:rPr>
          <w:rFonts w:cs="Arial"/>
          <w:i/>
          <w:sz w:val="20"/>
          <w:szCs w:val="20"/>
        </w:rPr>
        <w:t>Firstrand</w:t>
      </w:r>
      <w:proofErr w:type="spellEnd"/>
      <w:r w:rsidRPr="0061314E">
        <w:rPr>
          <w:rFonts w:cs="Arial"/>
          <w:i/>
          <w:sz w:val="20"/>
          <w:szCs w:val="20"/>
        </w:rPr>
        <w:t xml:space="preserve"> Bank Limited and Another</w:t>
      </w:r>
      <w:r w:rsidRPr="0061314E">
        <w:rPr>
          <w:rFonts w:cs="Arial"/>
          <w:sz w:val="20"/>
          <w:szCs w:val="20"/>
        </w:rPr>
        <w:t xml:space="preserve"> [2013] ZACC 46; 2014 (3) BCLR 321 (CC); 2014 (3) SA 39 (CC) para 28</w:t>
      </w:r>
      <w:r>
        <w:rPr>
          <w:rFonts w:cs="Arial"/>
          <w:sz w:val="20"/>
          <w:szCs w:val="20"/>
          <w:lang w:val="en-ZA"/>
        </w:rPr>
        <w:t>.</w:t>
      </w:r>
    </w:p>
  </w:footnote>
  <w:footnote w:id="103">
    <w:p w:rsidR="00C4765D" w:rsidRPr="0061314E" w:rsidRDefault="00C4765D" w:rsidP="002416C5">
      <w:pPr>
        <w:pStyle w:val="FootnoteText"/>
        <w:jc w:val="both"/>
        <w:rPr>
          <w:rFonts w:cs="Arial"/>
          <w:sz w:val="20"/>
          <w:szCs w:val="20"/>
        </w:rPr>
      </w:pPr>
      <w:r w:rsidRPr="0061314E">
        <w:rPr>
          <w:rStyle w:val="FootnoteReference"/>
          <w:rFonts w:cs="Arial"/>
          <w:sz w:val="20"/>
          <w:szCs w:val="20"/>
        </w:rPr>
        <w:footnoteRef/>
      </w:r>
      <w:r>
        <w:rPr>
          <w:rFonts w:cs="Arial"/>
          <w:sz w:val="20"/>
          <w:szCs w:val="20"/>
        </w:rPr>
        <w:t xml:space="preserve"> </w:t>
      </w:r>
      <w:proofErr w:type="spellStart"/>
      <w:r w:rsidRPr="0061314E">
        <w:rPr>
          <w:rFonts w:cs="Arial"/>
          <w:i/>
          <w:sz w:val="20"/>
          <w:szCs w:val="20"/>
        </w:rPr>
        <w:t>Ekandjo</w:t>
      </w:r>
      <w:proofErr w:type="spellEnd"/>
      <w:r w:rsidRPr="0061314E">
        <w:rPr>
          <w:rFonts w:cs="Arial"/>
          <w:i/>
          <w:sz w:val="20"/>
          <w:szCs w:val="20"/>
        </w:rPr>
        <w:t xml:space="preserve"> NO v Van Der Berg</w:t>
      </w:r>
      <w:r w:rsidRPr="0061314E">
        <w:rPr>
          <w:rFonts w:cs="Arial"/>
          <w:sz w:val="20"/>
          <w:szCs w:val="20"/>
        </w:rPr>
        <w:t xml:space="preserve"> [2008] NASC 20; 2008 (2) NR 548 (SC) para 19.  See also </w:t>
      </w:r>
      <w:proofErr w:type="spellStart"/>
      <w:r w:rsidRPr="0061314E">
        <w:rPr>
          <w:rFonts w:cs="Arial"/>
          <w:i/>
          <w:sz w:val="20"/>
          <w:szCs w:val="20"/>
        </w:rPr>
        <w:t>Aussenkehr</w:t>
      </w:r>
      <w:proofErr w:type="spellEnd"/>
      <w:r w:rsidRPr="0061314E">
        <w:rPr>
          <w:rFonts w:cs="Arial"/>
          <w:i/>
          <w:sz w:val="20"/>
          <w:szCs w:val="20"/>
        </w:rPr>
        <w:t xml:space="preserve"> Farms (Pty) Ltd v Namibia Development Corporation Ltd</w:t>
      </w:r>
      <w:r w:rsidRPr="0061314E">
        <w:rPr>
          <w:rFonts w:cs="Arial"/>
          <w:sz w:val="20"/>
          <w:szCs w:val="20"/>
        </w:rPr>
        <w:t xml:space="preserve"> [2012] NASC 15 para 58.</w:t>
      </w:r>
    </w:p>
  </w:footnote>
  <w:footnote w:id="104">
    <w:p w:rsidR="00C4765D" w:rsidRPr="002416C5" w:rsidRDefault="00C4765D" w:rsidP="002416C5">
      <w:pPr>
        <w:pStyle w:val="FootnoteText"/>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2 Item 14 Page 40 </w:t>
      </w:r>
      <w:r w:rsidRPr="0061314E">
        <w:rPr>
          <w:rFonts w:cs="Arial"/>
          <w:sz w:val="20"/>
          <w:szCs w:val="20"/>
        </w:rPr>
        <w:t>Letter from Competition Commission, attached to Answering Affidavit as “VND5”</w:t>
      </w:r>
      <w:r>
        <w:rPr>
          <w:rFonts w:cs="Arial"/>
          <w:sz w:val="20"/>
          <w:szCs w:val="20"/>
          <w:lang w:val="en-ZA"/>
        </w:rPr>
        <w:t>.</w:t>
      </w:r>
    </w:p>
  </w:footnote>
  <w:footnote w:id="105">
    <w:p w:rsidR="00C4765D" w:rsidRPr="001C682E" w:rsidRDefault="00C4765D" w:rsidP="00D462B9">
      <w:pPr>
        <w:pStyle w:val="FootnoteText"/>
        <w:ind w:left="567" w:hanging="567"/>
        <w:jc w:val="both"/>
        <w:rPr>
          <w:rFonts w:cs="Arial"/>
          <w:sz w:val="20"/>
          <w:szCs w:val="20"/>
          <w:lang w:val="en-ZA"/>
        </w:rPr>
      </w:pPr>
      <w:r w:rsidRPr="0061314E">
        <w:rPr>
          <w:rStyle w:val="FootnoteReference"/>
          <w:rFonts w:cs="Arial"/>
          <w:sz w:val="20"/>
          <w:szCs w:val="20"/>
        </w:rPr>
        <w:footnoteRef/>
      </w:r>
      <w:r>
        <w:rPr>
          <w:rFonts w:cs="Arial"/>
          <w:sz w:val="20"/>
          <w:szCs w:val="20"/>
        </w:rPr>
        <w:t xml:space="preserve"> Bundle 1 Item 3 Page 1 </w:t>
      </w:r>
      <w:r w:rsidRPr="0061314E">
        <w:rPr>
          <w:rFonts w:cs="Arial"/>
          <w:sz w:val="20"/>
          <w:szCs w:val="20"/>
        </w:rPr>
        <w:t xml:space="preserve">Founding Affidavit </w:t>
      </w:r>
      <w:r w:rsidRPr="0061314E">
        <w:rPr>
          <w:rFonts w:cs="Arial"/>
          <w:i/>
          <w:sz w:val="20"/>
          <w:szCs w:val="20"/>
        </w:rPr>
        <w:t xml:space="preserve">Ex Parte </w:t>
      </w:r>
      <w:r w:rsidRPr="0061314E">
        <w:rPr>
          <w:rFonts w:cs="Arial"/>
          <w:sz w:val="20"/>
          <w:szCs w:val="20"/>
        </w:rPr>
        <w:t>Application Annexure VD1</w:t>
      </w:r>
      <w:r>
        <w:rPr>
          <w:rFonts w:cs="Arial"/>
          <w:sz w:val="20"/>
          <w:szCs w:val="20"/>
          <w:lang w:val="en-ZA"/>
        </w:rPr>
        <w:t>.</w:t>
      </w:r>
    </w:p>
  </w:footnote>
  <w:footnote w:id="106">
    <w:p w:rsidR="00C4765D" w:rsidRPr="0061314E" w:rsidRDefault="00C4765D" w:rsidP="001C682E">
      <w:pPr>
        <w:pStyle w:val="FootnoteText"/>
        <w:jc w:val="both"/>
        <w:rPr>
          <w:rFonts w:cs="Arial"/>
          <w:sz w:val="20"/>
          <w:szCs w:val="20"/>
        </w:rPr>
      </w:pPr>
      <w:r w:rsidRPr="0061314E">
        <w:rPr>
          <w:rStyle w:val="FootnoteReference"/>
          <w:rFonts w:cs="Arial"/>
          <w:sz w:val="20"/>
          <w:szCs w:val="20"/>
        </w:rPr>
        <w:footnoteRef/>
      </w:r>
      <w:r>
        <w:rPr>
          <w:rFonts w:cs="Arial"/>
          <w:sz w:val="20"/>
          <w:szCs w:val="20"/>
        </w:rPr>
        <w:t xml:space="preserve"> </w:t>
      </w:r>
      <w:proofErr w:type="spellStart"/>
      <w:r w:rsidRPr="0061314E">
        <w:rPr>
          <w:rFonts w:cs="Arial"/>
          <w:i/>
          <w:sz w:val="20"/>
          <w:szCs w:val="20"/>
        </w:rPr>
        <w:t>Trustco</w:t>
      </w:r>
      <w:proofErr w:type="spellEnd"/>
      <w:r w:rsidRPr="0061314E">
        <w:rPr>
          <w:rFonts w:cs="Arial"/>
          <w:i/>
          <w:sz w:val="20"/>
          <w:szCs w:val="20"/>
        </w:rPr>
        <w:t xml:space="preserve"> Group International (Pty) Ltd v </w:t>
      </w:r>
      <w:proofErr w:type="spellStart"/>
      <w:r w:rsidRPr="0061314E">
        <w:rPr>
          <w:rFonts w:cs="Arial"/>
          <w:i/>
          <w:sz w:val="20"/>
          <w:szCs w:val="20"/>
        </w:rPr>
        <w:t>Katzao</w:t>
      </w:r>
      <w:proofErr w:type="spellEnd"/>
      <w:r w:rsidRPr="0061314E">
        <w:rPr>
          <w:rFonts w:cs="Arial"/>
          <w:sz w:val="20"/>
          <w:szCs w:val="20"/>
        </w:rPr>
        <w:t xml:space="preserve"> [2011] NAHC 350 para 11.  See also, in the context of agency relationships, </w:t>
      </w:r>
      <w:proofErr w:type="spellStart"/>
      <w:r w:rsidRPr="0061314E">
        <w:rPr>
          <w:rFonts w:cs="Arial"/>
          <w:i/>
          <w:sz w:val="20"/>
          <w:szCs w:val="20"/>
        </w:rPr>
        <w:t>Worku</w:t>
      </w:r>
      <w:proofErr w:type="spellEnd"/>
      <w:r w:rsidRPr="0061314E">
        <w:rPr>
          <w:rFonts w:cs="Arial"/>
          <w:i/>
          <w:sz w:val="20"/>
          <w:szCs w:val="20"/>
        </w:rPr>
        <w:t xml:space="preserve"> v Equity Aviation (Pty) Ltd</w:t>
      </w:r>
      <w:r w:rsidRPr="0061314E">
        <w:rPr>
          <w:rFonts w:cs="Arial"/>
          <w:sz w:val="20"/>
          <w:szCs w:val="20"/>
        </w:rPr>
        <w:t xml:space="preserve"> [2009] NASC 10 para 27:</w:t>
      </w:r>
    </w:p>
    <w:p w:rsidR="00C4765D" w:rsidRPr="0061314E" w:rsidRDefault="00C4765D" w:rsidP="001C682E">
      <w:pPr>
        <w:pStyle w:val="FootnoteText"/>
        <w:ind w:right="515"/>
        <w:jc w:val="both"/>
        <w:rPr>
          <w:rFonts w:cs="Arial"/>
          <w:sz w:val="20"/>
          <w:szCs w:val="20"/>
        </w:rPr>
      </w:pPr>
      <w:r w:rsidRPr="0061314E">
        <w:rPr>
          <w:rFonts w:cs="Arial"/>
          <w:sz w:val="20"/>
          <w:szCs w:val="20"/>
        </w:rPr>
        <w:t>“</w:t>
      </w:r>
      <w:r w:rsidRPr="0061314E">
        <w:rPr>
          <w:rFonts w:cs="Arial"/>
          <w:i/>
          <w:sz w:val="20"/>
          <w:szCs w:val="20"/>
        </w:rPr>
        <w:t>It is equally trite that the authority of the agent is generally construed in such a way as to include not only the powers expressly conferred upon him or her, but also such powers as are necessarily incidental or ancillary to the performance of his mandate</w:t>
      </w:r>
      <w:r w:rsidRPr="0061314E">
        <w:rPr>
          <w:rFonts w:cs="Arial"/>
          <w:sz w:val="20"/>
          <w:szCs w:val="20"/>
        </w:rPr>
        <w:t>”.</w:t>
      </w:r>
    </w:p>
  </w:footnote>
  <w:footnote w:id="107">
    <w:p w:rsidR="00C4765D" w:rsidRPr="00C4765D" w:rsidRDefault="00C4765D" w:rsidP="00C4765D">
      <w:pPr>
        <w:spacing w:after="0" w:line="240" w:lineRule="auto"/>
        <w:jc w:val="both"/>
        <w:rPr>
          <w:rFonts w:ascii="Arial" w:hAnsi="Arial" w:cs="Arial"/>
          <w:bCs/>
          <w:color w:val="000000"/>
          <w:sz w:val="20"/>
          <w:szCs w:val="20"/>
          <w:lang w:eastAsia="en-GB"/>
        </w:rPr>
      </w:pPr>
      <w:r w:rsidRPr="00C4765D">
        <w:rPr>
          <w:rStyle w:val="FootnoteReference"/>
          <w:rFonts w:ascii="Arial" w:hAnsi="Arial" w:cs="Arial"/>
          <w:sz w:val="20"/>
          <w:szCs w:val="20"/>
        </w:rPr>
        <w:footnoteRef/>
      </w:r>
      <w:r w:rsidRPr="00C4765D">
        <w:rPr>
          <w:rFonts w:ascii="Arial" w:hAnsi="Arial" w:cs="Arial"/>
          <w:sz w:val="20"/>
          <w:szCs w:val="20"/>
        </w:rPr>
        <w:t xml:space="preserve"> </w:t>
      </w:r>
      <w:proofErr w:type="spellStart"/>
      <w:r w:rsidRPr="00C4765D">
        <w:rPr>
          <w:rFonts w:ascii="Arial" w:hAnsi="Arial" w:cs="Arial"/>
          <w:i/>
          <w:sz w:val="20"/>
          <w:szCs w:val="20"/>
        </w:rPr>
        <w:t>Ganes</w:t>
      </w:r>
      <w:proofErr w:type="spellEnd"/>
      <w:r w:rsidRPr="00C4765D">
        <w:rPr>
          <w:rFonts w:ascii="Arial" w:hAnsi="Arial" w:cs="Arial"/>
          <w:i/>
          <w:sz w:val="20"/>
          <w:szCs w:val="20"/>
        </w:rPr>
        <w:t xml:space="preserve"> and Another v Telecom Namibia Limited</w:t>
      </w:r>
      <w:r w:rsidRPr="00C4765D">
        <w:rPr>
          <w:rFonts w:ascii="Arial" w:hAnsi="Arial" w:cs="Arial"/>
          <w:sz w:val="20"/>
          <w:szCs w:val="20"/>
        </w:rPr>
        <w:t xml:space="preserve"> 2004 (3) SA 615 (SCA) at 624 para 19 approved in </w:t>
      </w:r>
      <w:proofErr w:type="spellStart"/>
      <w:r w:rsidRPr="00C4765D">
        <w:rPr>
          <w:rFonts w:ascii="Arial" w:hAnsi="Arial" w:cs="Arial"/>
          <w:bCs/>
          <w:i/>
          <w:color w:val="000000"/>
          <w:sz w:val="20"/>
          <w:szCs w:val="20"/>
          <w:lang w:eastAsia="en-GB"/>
        </w:rPr>
        <w:t>Otjozondu</w:t>
      </w:r>
      <w:proofErr w:type="spellEnd"/>
      <w:r w:rsidRPr="00C4765D">
        <w:rPr>
          <w:rFonts w:ascii="Arial" w:hAnsi="Arial" w:cs="Arial"/>
          <w:bCs/>
          <w:i/>
          <w:color w:val="000000"/>
          <w:sz w:val="20"/>
          <w:szCs w:val="20"/>
          <w:lang w:eastAsia="en-GB"/>
        </w:rPr>
        <w:t xml:space="preserve"> Mining (Pty) Ltd V Purity Manganese (Pty) Ltd</w:t>
      </w:r>
      <w:r w:rsidRPr="00C4765D">
        <w:rPr>
          <w:rFonts w:ascii="Arial" w:hAnsi="Arial" w:cs="Arial"/>
          <w:bCs/>
          <w:color w:val="000000"/>
          <w:sz w:val="20"/>
          <w:szCs w:val="20"/>
          <w:lang w:eastAsia="en-GB"/>
        </w:rPr>
        <w:t xml:space="preserve"> 2011 (1) NR 298 (HC) at 311 and 312 para 49 and 54.</w:t>
      </w:r>
    </w:p>
  </w:footnote>
  <w:footnote w:id="108">
    <w:p w:rsidR="00C4765D" w:rsidRPr="00195DCD" w:rsidRDefault="00C4765D" w:rsidP="00351DA6">
      <w:pPr>
        <w:pStyle w:val="FootnoteText"/>
        <w:ind w:left="567" w:hanging="567"/>
        <w:jc w:val="both"/>
        <w:rPr>
          <w:rFonts w:cs="Arial"/>
          <w:sz w:val="20"/>
          <w:szCs w:val="20"/>
          <w:lang w:val="en-ZA"/>
        </w:rPr>
      </w:pPr>
      <w:r w:rsidRPr="0061314E">
        <w:rPr>
          <w:rStyle w:val="FootnoteReference"/>
          <w:rFonts w:cs="Arial"/>
          <w:sz w:val="20"/>
          <w:szCs w:val="20"/>
        </w:rPr>
        <w:footnoteRef/>
      </w:r>
      <w:r>
        <w:rPr>
          <w:rFonts w:cs="Arial"/>
          <w:sz w:val="20"/>
          <w:szCs w:val="20"/>
        </w:rPr>
        <w:t xml:space="preserve"> </w:t>
      </w:r>
      <w:r>
        <w:rPr>
          <w:rFonts w:cs="Arial"/>
          <w:sz w:val="20"/>
          <w:szCs w:val="20"/>
        </w:rPr>
        <w:t xml:space="preserve">Bundle 1 Item 10 Page 3 </w:t>
      </w:r>
      <w:r w:rsidRPr="0061314E">
        <w:rPr>
          <w:rFonts w:cs="Arial"/>
          <w:sz w:val="20"/>
          <w:szCs w:val="20"/>
        </w:rPr>
        <w:t>Founding Affidavit – Puma’s Counter-Application para 5</w:t>
      </w:r>
      <w:r>
        <w:rPr>
          <w:rFonts w:cs="Arial"/>
          <w:sz w:val="20"/>
          <w:szCs w:val="20"/>
          <w:lang w:val="en-ZA"/>
        </w:rPr>
        <w:t>.</w:t>
      </w:r>
    </w:p>
  </w:footnote>
  <w:footnote w:id="109">
    <w:p w:rsidR="00C4765D" w:rsidRPr="00BE6820" w:rsidRDefault="00C4765D" w:rsidP="00C4765D">
      <w:pPr>
        <w:pStyle w:val="FootnoteText"/>
        <w:jc w:val="both"/>
        <w:rPr>
          <w:sz w:val="20"/>
          <w:szCs w:val="20"/>
          <w:lang w:val="en-ZA"/>
        </w:rPr>
      </w:pPr>
      <w:r w:rsidRPr="00576ECA">
        <w:rPr>
          <w:rStyle w:val="FootnoteReference"/>
          <w:sz w:val="20"/>
          <w:szCs w:val="20"/>
        </w:rPr>
        <w:footnoteRef/>
      </w:r>
      <w:r w:rsidRPr="00576ECA">
        <w:rPr>
          <w:sz w:val="20"/>
          <w:szCs w:val="20"/>
        </w:rPr>
        <w:t xml:space="preserve"> </w:t>
      </w:r>
      <w:r w:rsidRPr="00576ECA">
        <w:rPr>
          <w:i/>
          <w:sz w:val="20"/>
          <w:szCs w:val="20"/>
        </w:rPr>
        <w:t>Pretoria Portland Cement Co Ltd and Another v Competition Commission and Others</w:t>
      </w:r>
      <w:r w:rsidRPr="00576ECA">
        <w:rPr>
          <w:sz w:val="20"/>
          <w:szCs w:val="20"/>
        </w:rPr>
        <w:t xml:space="preserve"> 2003 (2) SA 385 (SCA) at 404B</w:t>
      </w:r>
      <w:r>
        <w:rPr>
          <w:sz w:val="20"/>
          <w:szCs w:val="20"/>
          <w:lang w:val="en-ZA"/>
        </w:rPr>
        <w:t>.</w:t>
      </w:r>
    </w:p>
  </w:footnote>
  <w:footnote w:id="110">
    <w:p w:rsidR="00C4765D" w:rsidRPr="00195DCD" w:rsidRDefault="00C4765D" w:rsidP="00043CF5">
      <w:pPr>
        <w:pStyle w:val="FootnoteText"/>
        <w:jc w:val="both"/>
        <w:rPr>
          <w:sz w:val="20"/>
          <w:szCs w:val="20"/>
          <w:lang w:val="en-ZA"/>
        </w:rPr>
      </w:pPr>
      <w:r w:rsidRPr="00043CF5">
        <w:rPr>
          <w:rStyle w:val="FootnoteReference"/>
          <w:sz w:val="20"/>
          <w:szCs w:val="20"/>
        </w:rPr>
        <w:footnoteRef/>
      </w:r>
      <w:r w:rsidRPr="00043CF5">
        <w:rPr>
          <w:sz w:val="20"/>
          <w:szCs w:val="20"/>
        </w:rPr>
        <w:t xml:space="preserve"> 1998 (1) SA 692 (W) as approved in </w:t>
      </w:r>
      <w:r w:rsidRPr="00E130E8">
        <w:rPr>
          <w:i/>
          <w:sz w:val="20"/>
          <w:szCs w:val="20"/>
        </w:rPr>
        <w:t>Pretoria Portland Cement Co Ltd and Another v Competition Commission and Others</w:t>
      </w:r>
      <w:r w:rsidRPr="00043CF5">
        <w:rPr>
          <w:sz w:val="20"/>
          <w:szCs w:val="20"/>
        </w:rPr>
        <w:t xml:space="preserve"> 2003 (2) SA 385 (SCA) at 404B</w:t>
      </w:r>
      <w:r>
        <w:rPr>
          <w:sz w:val="20"/>
          <w:szCs w:val="20"/>
          <w:lang w:val="en-ZA"/>
        </w:rPr>
        <w:t>.</w:t>
      </w:r>
    </w:p>
  </w:footnote>
  <w:footnote w:id="111">
    <w:p w:rsidR="00C4765D" w:rsidRPr="00195DCD" w:rsidRDefault="00C4765D" w:rsidP="00E130E8">
      <w:pPr>
        <w:pStyle w:val="FootnoteText"/>
        <w:jc w:val="both"/>
        <w:rPr>
          <w:sz w:val="20"/>
          <w:szCs w:val="20"/>
          <w:lang w:val="en-ZA"/>
        </w:rPr>
      </w:pPr>
      <w:r w:rsidRPr="00E130E8">
        <w:rPr>
          <w:rStyle w:val="FootnoteReference"/>
          <w:sz w:val="20"/>
          <w:szCs w:val="20"/>
        </w:rPr>
        <w:footnoteRef/>
      </w:r>
      <w:r w:rsidRPr="00E130E8">
        <w:rPr>
          <w:sz w:val="20"/>
          <w:szCs w:val="20"/>
        </w:rPr>
        <w:t xml:space="preserve"> </w:t>
      </w:r>
      <w:proofErr w:type="spellStart"/>
      <w:r w:rsidRPr="00E130E8">
        <w:rPr>
          <w:i/>
          <w:sz w:val="20"/>
          <w:szCs w:val="20"/>
        </w:rPr>
        <w:t>Gomeshi-Bozorg</w:t>
      </w:r>
      <w:proofErr w:type="spellEnd"/>
      <w:r w:rsidRPr="00E130E8">
        <w:rPr>
          <w:i/>
          <w:sz w:val="20"/>
          <w:szCs w:val="20"/>
        </w:rPr>
        <w:t xml:space="preserve"> v </w:t>
      </w:r>
      <w:proofErr w:type="spellStart"/>
      <w:r w:rsidRPr="00E130E8">
        <w:rPr>
          <w:i/>
          <w:sz w:val="20"/>
          <w:szCs w:val="20"/>
        </w:rPr>
        <w:t>Yousefi</w:t>
      </w:r>
      <w:proofErr w:type="spellEnd"/>
      <w:r w:rsidRPr="00E130E8">
        <w:rPr>
          <w:sz w:val="20"/>
          <w:szCs w:val="20"/>
        </w:rPr>
        <w:t xml:space="preserve"> op </w:t>
      </w:r>
      <w:proofErr w:type="spellStart"/>
      <w:r w:rsidRPr="00E130E8">
        <w:rPr>
          <w:sz w:val="20"/>
          <w:szCs w:val="20"/>
        </w:rPr>
        <w:t>cit</w:t>
      </w:r>
      <w:proofErr w:type="spellEnd"/>
      <w:r w:rsidRPr="00E130E8">
        <w:rPr>
          <w:sz w:val="20"/>
          <w:szCs w:val="20"/>
        </w:rPr>
        <w:t xml:space="preserve"> at 696</w:t>
      </w:r>
      <w:r>
        <w:rPr>
          <w:sz w:val="20"/>
          <w:szCs w:val="20"/>
          <w:lang w:val="en-ZA"/>
        </w:rPr>
        <w:t>.</w:t>
      </w:r>
    </w:p>
  </w:footnote>
  <w:footnote w:id="112">
    <w:p w:rsidR="00C4765D" w:rsidRPr="00801338" w:rsidRDefault="00C4765D" w:rsidP="00195DCD">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Puma RA para 14 p 6.  </w:t>
      </w:r>
    </w:p>
  </w:footnote>
  <w:footnote w:id="113">
    <w:p w:rsidR="00C4765D" w:rsidRPr="00801338" w:rsidRDefault="00C4765D" w:rsidP="00195DCD">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Puma RA para 15 Bundle 19 p 6.  </w:t>
      </w:r>
    </w:p>
  </w:footnote>
  <w:footnote w:id="114">
    <w:p w:rsidR="00C4765D" w:rsidRPr="00801338" w:rsidRDefault="00C4765D" w:rsidP="00195DCD">
      <w:pPr>
        <w:pStyle w:val="FootnoteText"/>
        <w:jc w:val="both"/>
        <w:rPr>
          <w:rFonts w:cs="Arial"/>
          <w:color w:val="000000" w:themeColor="text1"/>
          <w:sz w:val="20"/>
          <w:szCs w:val="20"/>
        </w:rPr>
      </w:pPr>
      <w:r w:rsidRPr="00801338">
        <w:rPr>
          <w:rStyle w:val="FootnoteReference"/>
          <w:rFonts w:cs="Arial"/>
          <w:color w:val="000000" w:themeColor="text1"/>
          <w:sz w:val="20"/>
          <w:szCs w:val="20"/>
        </w:rPr>
        <w:footnoteRef/>
      </w:r>
      <w:r w:rsidRPr="00801338">
        <w:rPr>
          <w:rFonts w:cs="Arial"/>
          <w:color w:val="000000" w:themeColor="text1"/>
          <w:sz w:val="20"/>
          <w:szCs w:val="20"/>
        </w:rPr>
        <w:t xml:space="preserve"> Puma RA para 16 Bundle 19 p 6.  </w:t>
      </w:r>
    </w:p>
  </w:footnote>
  <w:footnote w:id="115">
    <w:p w:rsidR="00C4765D" w:rsidRPr="009E7242" w:rsidRDefault="00C4765D" w:rsidP="00C4765D">
      <w:pPr>
        <w:pStyle w:val="FootnoteText"/>
        <w:jc w:val="both"/>
        <w:rPr>
          <w:rFonts w:cs="Arial"/>
          <w:sz w:val="20"/>
          <w:szCs w:val="20"/>
        </w:rPr>
      </w:pPr>
      <w:r w:rsidRPr="009E7242">
        <w:rPr>
          <w:rStyle w:val="FootnoteReference"/>
          <w:rFonts w:cs="Arial"/>
          <w:sz w:val="20"/>
          <w:szCs w:val="20"/>
        </w:rPr>
        <w:footnoteRef/>
      </w:r>
      <w:r w:rsidRPr="009E7242">
        <w:rPr>
          <w:rFonts w:cs="Arial"/>
          <w:sz w:val="20"/>
          <w:szCs w:val="20"/>
        </w:rPr>
        <w:t xml:space="preserve"> FA para 1.2 Item 2 p 1.</w:t>
      </w:r>
    </w:p>
  </w:footnote>
  <w:footnote w:id="116">
    <w:p w:rsidR="00C4765D" w:rsidRPr="009E7242" w:rsidRDefault="00C4765D" w:rsidP="00C4765D">
      <w:pPr>
        <w:pStyle w:val="FootnoteText"/>
        <w:jc w:val="both"/>
        <w:rPr>
          <w:rFonts w:cs="Arial"/>
          <w:sz w:val="20"/>
          <w:szCs w:val="20"/>
        </w:rPr>
      </w:pPr>
      <w:r w:rsidRPr="009E7242">
        <w:rPr>
          <w:rStyle w:val="FootnoteReference"/>
          <w:rFonts w:cs="Arial"/>
          <w:sz w:val="20"/>
          <w:szCs w:val="20"/>
        </w:rPr>
        <w:footnoteRef/>
      </w:r>
      <w:r w:rsidRPr="009E7242">
        <w:rPr>
          <w:rFonts w:cs="Arial"/>
          <w:sz w:val="20"/>
          <w:szCs w:val="20"/>
        </w:rPr>
        <w:t xml:space="preserve"> Annexure VD1 Item 3 p 1.  </w:t>
      </w:r>
    </w:p>
  </w:footnote>
  <w:footnote w:id="117">
    <w:p w:rsidR="00C4765D" w:rsidRPr="00C4765D" w:rsidRDefault="00C4765D" w:rsidP="00440F22">
      <w:pPr>
        <w:pStyle w:val="FootnoteText"/>
        <w:spacing w:line="276" w:lineRule="auto"/>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bookmarkStart w:id="1" w:name="_Hlk524593295"/>
      <w:r w:rsidRPr="00C4765D">
        <w:rPr>
          <w:rFonts w:cs="Arial"/>
          <w:color w:val="000000" w:themeColor="text1"/>
          <w:sz w:val="20"/>
          <w:szCs w:val="20"/>
        </w:rPr>
        <w:t xml:space="preserve">GE Devenish </w:t>
      </w:r>
      <w:r w:rsidRPr="00C4765D">
        <w:rPr>
          <w:rFonts w:cs="Arial"/>
          <w:i/>
          <w:color w:val="000000" w:themeColor="text1"/>
          <w:sz w:val="20"/>
          <w:szCs w:val="20"/>
        </w:rPr>
        <w:t>Interpretation of Statutes</w:t>
      </w:r>
      <w:r w:rsidRPr="00C4765D">
        <w:rPr>
          <w:rFonts w:cs="Arial"/>
          <w:color w:val="000000" w:themeColor="text1"/>
          <w:sz w:val="20"/>
          <w:szCs w:val="20"/>
        </w:rPr>
        <w:t xml:space="preserve"> </w:t>
      </w:r>
      <w:proofErr w:type="spellStart"/>
      <w:r w:rsidRPr="00C4765D">
        <w:rPr>
          <w:rFonts w:cs="Arial"/>
          <w:color w:val="000000" w:themeColor="text1"/>
          <w:sz w:val="20"/>
          <w:szCs w:val="20"/>
        </w:rPr>
        <w:t>Juta</w:t>
      </w:r>
      <w:proofErr w:type="spellEnd"/>
      <w:r w:rsidRPr="00C4765D">
        <w:rPr>
          <w:rFonts w:cs="Arial"/>
          <w:color w:val="000000" w:themeColor="text1"/>
          <w:sz w:val="20"/>
          <w:szCs w:val="20"/>
        </w:rPr>
        <w:t xml:space="preserve"> 1992</w:t>
      </w:r>
      <w:bookmarkEnd w:id="1"/>
      <w:r w:rsidRPr="00C4765D">
        <w:rPr>
          <w:rFonts w:cs="Arial"/>
          <w:color w:val="000000" w:themeColor="text1"/>
          <w:sz w:val="20"/>
          <w:szCs w:val="20"/>
        </w:rPr>
        <w:t xml:space="preserve"> at p 26. </w:t>
      </w:r>
      <w:bookmarkStart w:id="2" w:name="_Hlk524593314"/>
      <w:r w:rsidRPr="00C4765D">
        <w:rPr>
          <w:rFonts w:cs="Arial"/>
          <w:i/>
          <w:color w:val="000000" w:themeColor="text1"/>
          <w:sz w:val="20"/>
          <w:szCs w:val="20"/>
        </w:rPr>
        <w:t>Minister of Justice v Magistrates’ Commission and Another</w:t>
      </w:r>
      <w:r w:rsidRPr="00C4765D">
        <w:rPr>
          <w:rFonts w:cs="Arial"/>
          <w:color w:val="000000" w:themeColor="text1"/>
          <w:sz w:val="20"/>
          <w:szCs w:val="20"/>
        </w:rPr>
        <w:t xml:space="preserve"> 2012 (2) NR 743 (SC)</w:t>
      </w:r>
      <w:bookmarkEnd w:id="2"/>
      <w:r w:rsidRPr="00C4765D">
        <w:rPr>
          <w:rFonts w:cs="Arial"/>
          <w:color w:val="000000" w:themeColor="text1"/>
          <w:sz w:val="20"/>
          <w:szCs w:val="20"/>
        </w:rPr>
        <w:t xml:space="preserve"> at paragraph 27.  </w:t>
      </w:r>
    </w:p>
  </w:footnote>
  <w:footnote w:id="118">
    <w:p w:rsidR="00C4765D" w:rsidRPr="00C4765D" w:rsidRDefault="00C4765D" w:rsidP="00440F22">
      <w:pPr>
        <w:pStyle w:val="FootnoteText"/>
        <w:spacing w:line="276" w:lineRule="auto"/>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bookmarkStart w:id="3" w:name="_Hlk524593327"/>
      <w:proofErr w:type="spellStart"/>
      <w:r w:rsidRPr="00C4765D">
        <w:rPr>
          <w:rFonts w:cs="Arial"/>
          <w:i/>
          <w:color w:val="000000" w:themeColor="text1"/>
          <w:sz w:val="20"/>
          <w:szCs w:val="20"/>
        </w:rPr>
        <w:t>Volschenk</w:t>
      </w:r>
      <w:proofErr w:type="spellEnd"/>
      <w:r w:rsidRPr="00C4765D">
        <w:rPr>
          <w:rFonts w:cs="Arial"/>
          <w:i/>
          <w:color w:val="000000" w:themeColor="text1"/>
          <w:sz w:val="20"/>
          <w:szCs w:val="20"/>
        </w:rPr>
        <w:t xml:space="preserve"> v </w:t>
      </w:r>
      <w:proofErr w:type="spellStart"/>
      <w:r w:rsidRPr="00C4765D">
        <w:rPr>
          <w:rFonts w:cs="Arial"/>
          <w:i/>
          <w:color w:val="000000" w:themeColor="text1"/>
          <w:sz w:val="20"/>
          <w:szCs w:val="20"/>
        </w:rPr>
        <w:t>Volschenk</w:t>
      </w:r>
      <w:proofErr w:type="spellEnd"/>
      <w:r w:rsidRPr="00C4765D">
        <w:rPr>
          <w:rFonts w:cs="Arial"/>
          <w:i/>
          <w:color w:val="000000" w:themeColor="text1"/>
          <w:sz w:val="20"/>
          <w:szCs w:val="20"/>
        </w:rPr>
        <w:t xml:space="preserve"> </w:t>
      </w:r>
      <w:r w:rsidRPr="00C4765D">
        <w:rPr>
          <w:rFonts w:cs="Arial"/>
          <w:color w:val="000000" w:themeColor="text1"/>
          <w:sz w:val="20"/>
          <w:szCs w:val="20"/>
        </w:rPr>
        <w:t>1946 TPD</w:t>
      </w:r>
      <w:bookmarkEnd w:id="3"/>
      <w:r w:rsidRPr="00C4765D">
        <w:rPr>
          <w:rFonts w:cs="Arial"/>
          <w:color w:val="000000" w:themeColor="text1"/>
          <w:sz w:val="20"/>
          <w:szCs w:val="20"/>
        </w:rPr>
        <w:t xml:space="preserve"> 486 at 488. </w:t>
      </w:r>
      <w:r w:rsidRPr="00C4765D">
        <w:rPr>
          <w:rFonts w:cs="Arial"/>
          <w:i/>
          <w:color w:val="000000" w:themeColor="text1"/>
          <w:sz w:val="20"/>
          <w:szCs w:val="20"/>
        </w:rPr>
        <w:t>Minister of Justice v Magistrates’ Commission and Another</w:t>
      </w:r>
      <w:r w:rsidRPr="00C4765D">
        <w:rPr>
          <w:rFonts w:cs="Arial"/>
          <w:color w:val="000000" w:themeColor="text1"/>
          <w:sz w:val="20"/>
          <w:szCs w:val="20"/>
        </w:rPr>
        <w:t xml:space="preserve"> 2012 (2) NR 743 (SC) at paragraph 27.  </w:t>
      </w:r>
    </w:p>
  </w:footnote>
  <w:footnote w:id="119">
    <w:p w:rsidR="00C4765D" w:rsidRPr="00C4765D" w:rsidRDefault="00C4765D" w:rsidP="00440F22">
      <w:pPr>
        <w:pStyle w:val="FootnoteText"/>
        <w:spacing w:line="276" w:lineRule="auto"/>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bookmarkStart w:id="4" w:name="_Hlk524593359"/>
      <w:r w:rsidRPr="00C4765D">
        <w:rPr>
          <w:rFonts w:cs="Arial"/>
          <w:i/>
          <w:color w:val="000000" w:themeColor="text1"/>
          <w:sz w:val="20"/>
          <w:szCs w:val="20"/>
        </w:rPr>
        <w:t xml:space="preserve">Minister of Interior v </w:t>
      </w:r>
      <w:proofErr w:type="spellStart"/>
      <w:r w:rsidRPr="00C4765D">
        <w:rPr>
          <w:rFonts w:cs="Arial"/>
          <w:i/>
          <w:color w:val="000000" w:themeColor="text1"/>
          <w:sz w:val="20"/>
          <w:szCs w:val="20"/>
        </w:rPr>
        <w:t>Machadodorp</w:t>
      </w:r>
      <w:proofErr w:type="spellEnd"/>
      <w:r w:rsidRPr="00C4765D">
        <w:rPr>
          <w:rFonts w:cs="Arial"/>
          <w:i/>
          <w:color w:val="000000" w:themeColor="text1"/>
          <w:sz w:val="20"/>
          <w:szCs w:val="20"/>
        </w:rPr>
        <w:t xml:space="preserve"> Investments (Pty) ltd and another</w:t>
      </w:r>
      <w:r w:rsidRPr="00C4765D">
        <w:rPr>
          <w:rFonts w:cs="Arial"/>
          <w:color w:val="000000" w:themeColor="text1"/>
          <w:sz w:val="20"/>
          <w:szCs w:val="20"/>
        </w:rPr>
        <w:t xml:space="preserve"> 1957 (2) SA 395 (A)</w:t>
      </w:r>
      <w:bookmarkEnd w:id="4"/>
      <w:r w:rsidRPr="00C4765D">
        <w:rPr>
          <w:rFonts w:cs="Arial"/>
          <w:color w:val="000000" w:themeColor="text1"/>
          <w:sz w:val="20"/>
          <w:szCs w:val="20"/>
        </w:rPr>
        <w:t xml:space="preserve">; </w:t>
      </w:r>
      <w:bookmarkStart w:id="5" w:name="_Hlk524593372"/>
      <w:r w:rsidRPr="00C4765D">
        <w:rPr>
          <w:rFonts w:cs="Arial"/>
          <w:i/>
          <w:color w:val="000000" w:themeColor="text1"/>
          <w:sz w:val="20"/>
          <w:szCs w:val="20"/>
        </w:rPr>
        <w:t xml:space="preserve">Durban City Council v Shell and BP Southern Africa Petroleum Refineries (Pty) Ltd </w:t>
      </w:r>
      <w:r w:rsidRPr="00C4765D">
        <w:rPr>
          <w:rFonts w:cs="Arial"/>
          <w:color w:val="000000" w:themeColor="text1"/>
          <w:sz w:val="20"/>
          <w:szCs w:val="20"/>
        </w:rPr>
        <w:t>1971 (4) SA 446 (A)</w:t>
      </w:r>
      <w:bookmarkEnd w:id="5"/>
      <w:r w:rsidRPr="00C4765D">
        <w:rPr>
          <w:rFonts w:cs="Arial"/>
          <w:color w:val="000000" w:themeColor="text1"/>
          <w:sz w:val="20"/>
          <w:szCs w:val="20"/>
        </w:rPr>
        <w:t xml:space="preserve"> at 457.  </w:t>
      </w:r>
    </w:p>
  </w:footnote>
  <w:footnote w:id="120">
    <w:p w:rsidR="00C4765D" w:rsidRPr="00C4765D" w:rsidRDefault="00C4765D" w:rsidP="00440F22">
      <w:pPr>
        <w:pStyle w:val="FootnoteText"/>
        <w:spacing w:line="276" w:lineRule="auto"/>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bookmarkStart w:id="6" w:name="_Hlk524593386"/>
      <w:r w:rsidRPr="00C4765D">
        <w:rPr>
          <w:rFonts w:cs="Arial"/>
          <w:i/>
          <w:color w:val="000000" w:themeColor="text1"/>
          <w:sz w:val="20"/>
          <w:szCs w:val="20"/>
        </w:rPr>
        <w:t xml:space="preserve">Marine &amp; Trade Insurance Co Ltd v Workmen’s Compensation Commissioner </w:t>
      </w:r>
      <w:r w:rsidRPr="00C4765D">
        <w:rPr>
          <w:rFonts w:cs="Arial"/>
          <w:color w:val="000000" w:themeColor="text1"/>
          <w:sz w:val="20"/>
          <w:szCs w:val="20"/>
        </w:rPr>
        <w:t>1972 (1) SA 535 (N)</w:t>
      </w:r>
      <w:bookmarkEnd w:id="6"/>
      <w:r w:rsidRPr="00C4765D">
        <w:rPr>
          <w:rFonts w:cs="Arial"/>
          <w:color w:val="000000" w:themeColor="text1"/>
          <w:sz w:val="20"/>
          <w:szCs w:val="20"/>
        </w:rPr>
        <w:t xml:space="preserve"> at 539. </w:t>
      </w:r>
      <w:bookmarkStart w:id="7" w:name="_Hlk524593407"/>
      <w:r w:rsidRPr="00C4765D">
        <w:rPr>
          <w:rFonts w:cs="Arial"/>
          <w:i/>
          <w:color w:val="000000" w:themeColor="text1"/>
          <w:sz w:val="20"/>
          <w:szCs w:val="20"/>
        </w:rPr>
        <w:t>Republican Party of Namibia and Another v Electoral Commission of Namibia and Others</w:t>
      </w:r>
      <w:r w:rsidRPr="00C4765D">
        <w:rPr>
          <w:rFonts w:cs="Arial"/>
          <w:color w:val="000000" w:themeColor="text1"/>
          <w:sz w:val="20"/>
          <w:szCs w:val="20"/>
        </w:rPr>
        <w:t xml:space="preserve"> 2010 (1) NR 73 (HC)</w:t>
      </w:r>
      <w:bookmarkEnd w:id="7"/>
      <w:r w:rsidRPr="00C4765D">
        <w:rPr>
          <w:rFonts w:cs="Arial"/>
          <w:color w:val="000000" w:themeColor="text1"/>
          <w:sz w:val="20"/>
          <w:szCs w:val="20"/>
        </w:rPr>
        <w:t xml:space="preserve"> at 98C.  </w:t>
      </w:r>
    </w:p>
  </w:footnote>
  <w:footnote w:id="121">
    <w:p w:rsidR="00C4765D" w:rsidRPr="00C4765D" w:rsidRDefault="00C4765D" w:rsidP="00440F22">
      <w:pPr>
        <w:pStyle w:val="FootnoteText"/>
        <w:spacing w:line="276" w:lineRule="auto"/>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bookmarkStart w:id="8" w:name="_Hlk524593419"/>
      <w:r w:rsidRPr="00C4765D">
        <w:rPr>
          <w:rFonts w:cs="Arial"/>
          <w:color w:val="000000" w:themeColor="text1"/>
          <w:sz w:val="20"/>
          <w:szCs w:val="20"/>
        </w:rPr>
        <w:t xml:space="preserve">Baxter </w:t>
      </w:r>
      <w:r w:rsidRPr="00C4765D">
        <w:rPr>
          <w:rFonts w:cs="Arial"/>
          <w:i/>
          <w:color w:val="000000" w:themeColor="text1"/>
          <w:sz w:val="20"/>
          <w:szCs w:val="20"/>
        </w:rPr>
        <w:t>Administrative Law</w:t>
      </w:r>
      <w:r w:rsidRPr="00C4765D">
        <w:rPr>
          <w:rFonts w:cs="Arial"/>
          <w:color w:val="000000" w:themeColor="text1"/>
          <w:sz w:val="20"/>
          <w:szCs w:val="20"/>
        </w:rPr>
        <w:t xml:space="preserve"> </w:t>
      </w:r>
      <w:proofErr w:type="spellStart"/>
      <w:r w:rsidRPr="00C4765D">
        <w:rPr>
          <w:rFonts w:cs="Arial"/>
          <w:color w:val="000000" w:themeColor="text1"/>
          <w:sz w:val="20"/>
          <w:szCs w:val="20"/>
        </w:rPr>
        <w:t>Juta</w:t>
      </w:r>
      <w:proofErr w:type="spellEnd"/>
      <w:r w:rsidRPr="00C4765D">
        <w:rPr>
          <w:rFonts w:cs="Arial"/>
          <w:color w:val="000000" w:themeColor="text1"/>
          <w:sz w:val="20"/>
          <w:szCs w:val="20"/>
        </w:rPr>
        <w:t xml:space="preserve"> 1984</w:t>
      </w:r>
      <w:bookmarkEnd w:id="8"/>
      <w:r w:rsidRPr="00C4765D">
        <w:rPr>
          <w:rFonts w:cs="Arial"/>
          <w:color w:val="000000" w:themeColor="text1"/>
          <w:sz w:val="20"/>
          <w:szCs w:val="20"/>
        </w:rPr>
        <w:t xml:space="preserve"> at p 426 and p 434, cited with approval in </w:t>
      </w:r>
      <w:bookmarkStart w:id="9" w:name="_Hlk524593435"/>
      <w:proofErr w:type="spellStart"/>
      <w:r w:rsidRPr="00C4765D">
        <w:rPr>
          <w:rFonts w:cs="Arial"/>
          <w:i/>
          <w:color w:val="000000" w:themeColor="text1"/>
          <w:sz w:val="20"/>
          <w:szCs w:val="20"/>
        </w:rPr>
        <w:t>Molefe</w:t>
      </w:r>
      <w:proofErr w:type="spellEnd"/>
      <w:r w:rsidRPr="00C4765D">
        <w:rPr>
          <w:rFonts w:cs="Arial"/>
          <w:i/>
          <w:color w:val="000000" w:themeColor="text1"/>
          <w:sz w:val="20"/>
          <w:szCs w:val="20"/>
        </w:rPr>
        <w:t xml:space="preserve"> v </w:t>
      </w:r>
      <w:proofErr w:type="spellStart"/>
      <w:r w:rsidRPr="00C4765D">
        <w:rPr>
          <w:rFonts w:cs="Arial"/>
          <w:i/>
          <w:color w:val="000000" w:themeColor="text1"/>
          <w:sz w:val="20"/>
          <w:szCs w:val="20"/>
        </w:rPr>
        <w:t>Dihlabeng</w:t>
      </w:r>
      <w:proofErr w:type="spellEnd"/>
      <w:r w:rsidRPr="00C4765D">
        <w:rPr>
          <w:rFonts w:cs="Arial"/>
          <w:i/>
          <w:color w:val="000000" w:themeColor="text1"/>
          <w:sz w:val="20"/>
          <w:szCs w:val="20"/>
        </w:rPr>
        <w:t xml:space="preserve"> Local Municipality</w:t>
      </w:r>
      <w:r w:rsidRPr="00C4765D">
        <w:rPr>
          <w:rFonts w:cs="Arial"/>
          <w:color w:val="000000" w:themeColor="text1"/>
          <w:sz w:val="20"/>
          <w:szCs w:val="20"/>
        </w:rPr>
        <w:t xml:space="preserve"> [2003] ZAFSHC 35; [2003] ZAFSHC 9 (5 June 2003)</w:t>
      </w:r>
      <w:bookmarkEnd w:id="9"/>
      <w:r w:rsidRPr="00C4765D">
        <w:rPr>
          <w:rFonts w:cs="Arial"/>
          <w:color w:val="000000" w:themeColor="text1"/>
          <w:sz w:val="20"/>
          <w:szCs w:val="20"/>
        </w:rPr>
        <w:t xml:space="preserve"> at para 35.  See also </w:t>
      </w:r>
      <w:bookmarkStart w:id="10" w:name="_Hlk524593449"/>
      <w:proofErr w:type="spellStart"/>
      <w:r w:rsidRPr="00C4765D">
        <w:rPr>
          <w:rFonts w:cs="Arial"/>
          <w:bCs/>
          <w:i/>
          <w:color w:val="000000" w:themeColor="text1"/>
          <w:sz w:val="20"/>
          <w:szCs w:val="20"/>
          <w:u w:color="1B1919"/>
        </w:rPr>
        <w:t>Shidiack</w:t>
      </w:r>
      <w:proofErr w:type="spellEnd"/>
      <w:r w:rsidRPr="00C4765D">
        <w:rPr>
          <w:rFonts w:cs="Arial"/>
          <w:bCs/>
          <w:i/>
          <w:color w:val="000000" w:themeColor="text1"/>
          <w:sz w:val="20"/>
          <w:szCs w:val="20"/>
          <w:u w:color="1B1919"/>
        </w:rPr>
        <w:t xml:space="preserve"> v Union Government</w:t>
      </w:r>
      <w:r w:rsidRPr="00C4765D">
        <w:rPr>
          <w:rFonts w:cs="Arial"/>
          <w:color w:val="000000" w:themeColor="text1"/>
          <w:sz w:val="20"/>
          <w:szCs w:val="20"/>
          <w:u w:color="1B1919"/>
        </w:rPr>
        <w:t xml:space="preserve"> </w:t>
      </w:r>
      <w:hyperlink r:id="rId6" w:history="1">
        <w:r w:rsidRPr="00C4765D">
          <w:rPr>
            <w:rFonts w:cs="Arial"/>
            <w:bCs/>
            <w:color w:val="000000" w:themeColor="text1"/>
            <w:sz w:val="20"/>
            <w:szCs w:val="20"/>
            <w:u w:color="1B1919"/>
          </w:rPr>
          <w:t>1912 AD 642</w:t>
        </w:r>
      </w:hyperlink>
      <w:bookmarkEnd w:id="10"/>
      <w:r w:rsidRPr="00C4765D">
        <w:rPr>
          <w:rFonts w:cs="Arial"/>
          <w:color w:val="000000" w:themeColor="text1"/>
          <w:sz w:val="20"/>
          <w:szCs w:val="20"/>
          <w:u w:color="1B1919"/>
        </w:rPr>
        <w:t xml:space="preserve"> at 648. </w:t>
      </w:r>
      <w:bookmarkStart w:id="11" w:name="_Hlk524593465"/>
      <w:r w:rsidRPr="00C4765D">
        <w:rPr>
          <w:rFonts w:cs="Arial"/>
          <w:i/>
          <w:color w:val="000000" w:themeColor="text1"/>
          <w:sz w:val="20"/>
          <w:szCs w:val="20"/>
          <w:u w:color="1B1919"/>
        </w:rPr>
        <w:t>Social Security Commission and Another v Coetzee</w:t>
      </w:r>
      <w:r w:rsidRPr="00C4765D">
        <w:rPr>
          <w:rFonts w:cs="Arial"/>
          <w:color w:val="000000" w:themeColor="text1"/>
          <w:sz w:val="20"/>
          <w:szCs w:val="20"/>
          <w:u w:color="1B1919"/>
        </w:rPr>
        <w:t xml:space="preserve"> 2016 (2) NR 388 (SC)</w:t>
      </w:r>
      <w:bookmarkEnd w:id="11"/>
      <w:r w:rsidRPr="00C4765D">
        <w:rPr>
          <w:rFonts w:cs="Arial"/>
          <w:color w:val="000000" w:themeColor="text1"/>
          <w:sz w:val="20"/>
          <w:szCs w:val="20"/>
          <w:u w:color="1B1919"/>
        </w:rPr>
        <w:t xml:space="preserve"> at paragraph 25 to 28. </w:t>
      </w:r>
      <w:bookmarkStart w:id="12" w:name="_Hlk524593480"/>
      <w:r w:rsidRPr="00C4765D">
        <w:rPr>
          <w:rFonts w:cs="Arial"/>
          <w:i/>
          <w:color w:val="000000" w:themeColor="text1"/>
          <w:sz w:val="20"/>
          <w:szCs w:val="20"/>
          <w:u w:color="1B1919"/>
        </w:rPr>
        <w:t xml:space="preserve">Waterberg Big Game Hunting Lodge </w:t>
      </w:r>
      <w:proofErr w:type="spellStart"/>
      <w:r w:rsidRPr="00C4765D">
        <w:rPr>
          <w:rFonts w:cs="Arial"/>
          <w:i/>
          <w:color w:val="000000" w:themeColor="text1"/>
          <w:sz w:val="20"/>
          <w:szCs w:val="20"/>
          <w:u w:color="1B1919"/>
        </w:rPr>
        <w:t>Otjahewita</w:t>
      </w:r>
      <w:proofErr w:type="spellEnd"/>
      <w:r w:rsidRPr="00C4765D">
        <w:rPr>
          <w:rFonts w:cs="Arial"/>
          <w:i/>
          <w:color w:val="000000" w:themeColor="text1"/>
          <w:sz w:val="20"/>
          <w:szCs w:val="20"/>
          <w:u w:color="1B1919"/>
        </w:rPr>
        <w:t xml:space="preserve"> (Pty) Ltd v Minister of Environment and Tourism</w:t>
      </w:r>
      <w:r w:rsidRPr="00C4765D">
        <w:rPr>
          <w:rFonts w:cs="Arial"/>
          <w:color w:val="000000" w:themeColor="text1"/>
          <w:sz w:val="20"/>
          <w:szCs w:val="20"/>
          <w:u w:color="1B1919"/>
        </w:rPr>
        <w:t xml:space="preserve"> 2010 (1) NR 1 (SC)</w:t>
      </w:r>
      <w:bookmarkEnd w:id="12"/>
      <w:r w:rsidRPr="00C4765D">
        <w:rPr>
          <w:rFonts w:cs="Arial"/>
          <w:color w:val="000000" w:themeColor="text1"/>
          <w:sz w:val="20"/>
          <w:szCs w:val="20"/>
          <w:u w:color="1B1919"/>
        </w:rPr>
        <w:t xml:space="preserve"> at 13D.</w:t>
      </w:r>
    </w:p>
  </w:footnote>
  <w:footnote w:id="122">
    <w:p w:rsidR="00C4765D" w:rsidRPr="00C4765D" w:rsidRDefault="00C4765D" w:rsidP="00440F22">
      <w:pPr>
        <w:pStyle w:val="FootnoteText"/>
        <w:jc w:val="both"/>
        <w:rPr>
          <w:rFonts w:cs="Arial"/>
          <w:sz w:val="20"/>
          <w:szCs w:val="20"/>
        </w:rPr>
      </w:pPr>
      <w:r w:rsidRPr="00C4765D">
        <w:rPr>
          <w:rStyle w:val="FootnoteReference"/>
          <w:rFonts w:cs="Arial"/>
          <w:sz w:val="20"/>
          <w:szCs w:val="20"/>
        </w:rPr>
        <w:footnoteRef/>
      </w:r>
      <w:r w:rsidRPr="00C4765D">
        <w:rPr>
          <w:rFonts w:cs="Arial"/>
          <w:sz w:val="20"/>
          <w:szCs w:val="20"/>
        </w:rPr>
        <w:t xml:space="preserve"> </w:t>
      </w:r>
      <w:bookmarkStart w:id="13" w:name="_Hlk524593503"/>
      <w:r w:rsidRPr="00C4765D">
        <w:rPr>
          <w:rFonts w:cs="Arial"/>
          <w:bCs/>
          <w:color w:val="1B1919"/>
          <w:sz w:val="20"/>
          <w:szCs w:val="20"/>
        </w:rPr>
        <w:t xml:space="preserve">Devenish, </w:t>
      </w:r>
      <w:proofErr w:type="spellStart"/>
      <w:r w:rsidRPr="00C4765D">
        <w:rPr>
          <w:rFonts w:cs="Arial"/>
          <w:bCs/>
          <w:color w:val="1B1919"/>
          <w:sz w:val="20"/>
          <w:szCs w:val="20"/>
        </w:rPr>
        <w:t>Govender</w:t>
      </w:r>
      <w:proofErr w:type="spellEnd"/>
      <w:r w:rsidRPr="00C4765D">
        <w:rPr>
          <w:rFonts w:cs="Arial"/>
          <w:bCs/>
          <w:color w:val="1B1919"/>
          <w:sz w:val="20"/>
          <w:szCs w:val="20"/>
        </w:rPr>
        <w:t xml:space="preserve"> and Hulme: </w:t>
      </w:r>
      <w:r w:rsidRPr="00C4765D">
        <w:rPr>
          <w:rFonts w:cs="Arial"/>
          <w:bCs/>
          <w:i/>
          <w:color w:val="1B1919"/>
          <w:sz w:val="20"/>
          <w:szCs w:val="20"/>
        </w:rPr>
        <w:t>Administrative Law and Justice in South Africa</w:t>
      </w:r>
      <w:r w:rsidRPr="00C4765D">
        <w:rPr>
          <w:rFonts w:cs="Arial"/>
          <w:color w:val="1B1919"/>
          <w:sz w:val="20"/>
          <w:szCs w:val="20"/>
        </w:rPr>
        <w:t xml:space="preserve"> (2001)</w:t>
      </w:r>
      <w:bookmarkEnd w:id="13"/>
      <w:r w:rsidRPr="00C4765D">
        <w:rPr>
          <w:rFonts w:cs="Arial"/>
          <w:color w:val="1B1919"/>
          <w:sz w:val="20"/>
          <w:szCs w:val="20"/>
        </w:rPr>
        <w:t xml:space="preserve"> at para 5 p 69, emphasis supplied. </w:t>
      </w:r>
      <w:bookmarkStart w:id="14" w:name="_Hlk524593523"/>
      <w:r w:rsidRPr="00C4765D">
        <w:rPr>
          <w:rFonts w:cs="Arial"/>
          <w:i/>
          <w:color w:val="1B1919"/>
          <w:sz w:val="20"/>
          <w:szCs w:val="20"/>
        </w:rPr>
        <w:t>Rally for Democracy and Progress and Others v Electoral Commission of Namibia and Others</w:t>
      </w:r>
      <w:r w:rsidRPr="00C4765D">
        <w:rPr>
          <w:rFonts w:cs="Arial"/>
          <w:color w:val="1B1919"/>
          <w:sz w:val="20"/>
          <w:szCs w:val="20"/>
        </w:rPr>
        <w:t xml:space="preserve"> 2010 (2) NR 487 (SC)</w:t>
      </w:r>
      <w:bookmarkEnd w:id="14"/>
      <w:r w:rsidRPr="00C4765D">
        <w:rPr>
          <w:rFonts w:cs="Arial"/>
          <w:color w:val="1B1919"/>
          <w:sz w:val="20"/>
          <w:szCs w:val="20"/>
        </w:rPr>
        <w:t xml:space="preserve"> at paragraph 23.</w:t>
      </w:r>
    </w:p>
  </w:footnote>
  <w:footnote w:id="123">
    <w:p w:rsidR="00C4765D" w:rsidRPr="00C4765D" w:rsidRDefault="00C4765D" w:rsidP="00440F22">
      <w:pPr>
        <w:pStyle w:val="FootnoteText"/>
        <w:spacing w:line="276" w:lineRule="auto"/>
        <w:jc w:val="both"/>
        <w:rPr>
          <w:rFonts w:cs="Arial"/>
          <w:color w:val="000000" w:themeColor="text1"/>
          <w:sz w:val="20"/>
          <w:szCs w:val="20"/>
        </w:rPr>
      </w:pPr>
      <w:r w:rsidRPr="00C4765D">
        <w:rPr>
          <w:rStyle w:val="FootnoteReference"/>
          <w:rFonts w:cs="Arial"/>
          <w:color w:val="000000" w:themeColor="text1"/>
          <w:sz w:val="20"/>
          <w:szCs w:val="20"/>
        </w:rPr>
        <w:footnoteRef/>
      </w:r>
      <w:r w:rsidRPr="00C4765D">
        <w:rPr>
          <w:rFonts w:cs="Arial"/>
          <w:color w:val="000000" w:themeColor="text1"/>
          <w:sz w:val="20"/>
          <w:szCs w:val="20"/>
        </w:rPr>
        <w:t xml:space="preserve"> </w:t>
      </w:r>
      <w:bookmarkStart w:id="15" w:name="_Hlk524593542"/>
      <w:proofErr w:type="spellStart"/>
      <w:r w:rsidRPr="00C4765D">
        <w:rPr>
          <w:rFonts w:cs="Arial"/>
          <w:i/>
          <w:color w:val="000000" w:themeColor="text1"/>
          <w:sz w:val="20"/>
          <w:szCs w:val="20"/>
        </w:rPr>
        <w:t>Sigaba</w:t>
      </w:r>
      <w:proofErr w:type="spellEnd"/>
      <w:r w:rsidRPr="00C4765D">
        <w:rPr>
          <w:rFonts w:cs="Arial"/>
          <w:i/>
          <w:color w:val="000000" w:themeColor="text1"/>
          <w:sz w:val="20"/>
          <w:szCs w:val="20"/>
        </w:rPr>
        <w:t xml:space="preserve"> v Minister of Defence and Police</w:t>
      </w:r>
      <w:r w:rsidRPr="00C4765D">
        <w:rPr>
          <w:rFonts w:cs="Arial"/>
          <w:color w:val="000000" w:themeColor="text1"/>
          <w:sz w:val="20"/>
          <w:szCs w:val="20"/>
        </w:rPr>
        <w:t xml:space="preserve"> 1980 (3) SA 535 (</w:t>
      </w:r>
      <w:proofErr w:type="spellStart"/>
      <w:r w:rsidRPr="00C4765D">
        <w:rPr>
          <w:rFonts w:cs="Arial"/>
          <w:color w:val="000000" w:themeColor="text1"/>
          <w:sz w:val="20"/>
          <w:szCs w:val="20"/>
        </w:rPr>
        <w:t>Tk</w:t>
      </w:r>
      <w:proofErr w:type="spellEnd"/>
      <w:r w:rsidRPr="00C4765D">
        <w:rPr>
          <w:rFonts w:cs="Arial"/>
          <w:color w:val="000000" w:themeColor="text1"/>
          <w:sz w:val="20"/>
          <w:szCs w:val="20"/>
        </w:rPr>
        <w:t>)</w:t>
      </w:r>
      <w:bookmarkEnd w:id="15"/>
      <w:r w:rsidRPr="00C4765D">
        <w:rPr>
          <w:rFonts w:cs="Arial"/>
          <w:color w:val="000000" w:themeColor="text1"/>
          <w:sz w:val="20"/>
          <w:szCs w:val="20"/>
        </w:rPr>
        <w:t xml:space="preserve"> at 541. </w:t>
      </w:r>
      <w:bookmarkStart w:id="16" w:name="_Hlk524593557"/>
      <w:r w:rsidRPr="00C4765D">
        <w:rPr>
          <w:rFonts w:cs="Arial"/>
          <w:i/>
          <w:color w:val="000000" w:themeColor="text1"/>
          <w:sz w:val="20"/>
          <w:szCs w:val="20"/>
        </w:rPr>
        <w:t>Skeleton Coast Safaris v Namibia Tender Board and Others</w:t>
      </w:r>
      <w:r w:rsidRPr="00C4765D">
        <w:rPr>
          <w:rFonts w:cs="Arial"/>
          <w:color w:val="000000" w:themeColor="text1"/>
          <w:sz w:val="20"/>
          <w:szCs w:val="20"/>
        </w:rPr>
        <w:t xml:space="preserve"> 1993 NR 288 (HC)</w:t>
      </w:r>
      <w:bookmarkEnd w:id="16"/>
      <w:r w:rsidRPr="00C4765D">
        <w:rPr>
          <w:rFonts w:cs="Arial"/>
          <w:color w:val="000000" w:themeColor="text1"/>
          <w:sz w:val="20"/>
          <w:szCs w:val="20"/>
        </w:rPr>
        <w:t xml:space="preserve"> at 299J – 300A. </w:t>
      </w:r>
      <w:bookmarkStart w:id="17" w:name="_Hlk524593573"/>
      <w:proofErr w:type="spellStart"/>
      <w:r w:rsidRPr="00C4765D">
        <w:rPr>
          <w:rFonts w:cs="Arial"/>
          <w:i/>
          <w:color w:val="000000" w:themeColor="text1"/>
          <w:sz w:val="20"/>
          <w:szCs w:val="20"/>
        </w:rPr>
        <w:t>Mbambus</w:t>
      </w:r>
      <w:proofErr w:type="spellEnd"/>
      <w:r w:rsidRPr="00C4765D">
        <w:rPr>
          <w:rFonts w:cs="Arial"/>
          <w:i/>
          <w:color w:val="000000" w:themeColor="text1"/>
          <w:sz w:val="20"/>
          <w:szCs w:val="20"/>
        </w:rPr>
        <w:t xml:space="preserve"> v Motor Vehicle Accident Fund</w:t>
      </w:r>
      <w:r w:rsidRPr="00C4765D">
        <w:rPr>
          <w:rFonts w:cs="Arial"/>
          <w:color w:val="000000" w:themeColor="text1"/>
          <w:sz w:val="20"/>
          <w:szCs w:val="20"/>
        </w:rPr>
        <w:t xml:space="preserve"> 2011 (1) NR 238 (HC)</w:t>
      </w:r>
      <w:bookmarkEnd w:id="17"/>
      <w:r w:rsidRPr="00C4765D">
        <w:rPr>
          <w:rFonts w:cs="Arial"/>
          <w:color w:val="000000" w:themeColor="text1"/>
          <w:sz w:val="20"/>
          <w:szCs w:val="20"/>
        </w:rPr>
        <w:t xml:space="preserve"> at 246C – 246F.</w:t>
      </w:r>
    </w:p>
  </w:footnote>
  <w:footnote w:id="124">
    <w:p w:rsidR="00C4765D" w:rsidRPr="009E7242" w:rsidRDefault="00C4765D" w:rsidP="00440F22">
      <w:pPr>
        <w:pStyle w:val="FootnoteText"/>
        <w:spacing w:line="276" w:lineRule="auto"/>
        <w:jc w:val="both"/>
        <w:rPr>
          <w:rFonts w:cs="Arial"/>
          <w:color w:val="000000" w:themeColor="text1"/>
          <w:sz w:val="20"/>
          <w:szCs w:val="20"/>
        </w:rPr>
      </w:pPr>
      <w:r w:rsidRPr="009E7242">
        <w:rPr>
          <w:rStyle w:val="FootnoteReference"/>
          <w:rFonts w:cs="Arial"/>
          <w:color w:val="000000" w:themeColor="text1"/>
          <w:sz w:val="20"/>
          <w:szCs w:val="20"/>
        </w:rPr>
        <w:footnoteRef/>
      </w:r>
      <w:r w:rsidRPr="009E7242">
        <w:rPr>
          <w:rFonts w:cs="Arial"/>
          <w:color w:val="000000" w:themeColor="text1"/>
          <w:sz w:val="20"/>
          <w:szCs w:val="20"/>
        </w:rPr>
        <w:t xml:space="preserve"> </w:t>
      </w:r>
      <w:r w:rsidRPr="009E7242">
        <w:rPr>
          <w:rFonts w:cs="Arial"/>
          <w:color w:val="000000" w:themeColor="text1"/>
          <w:sz w:val="20"/>
          <w:szCs w:val="20"/>
        </w:rPr>
        <w:t xml:space="preserve">Baxter </w:t>
      </w:r>
      <w:r w:rsidRPr="009E7242">
        <w:rPr>
          <w:rFonts w:cs="Arial"/>
          <w:i/>
          <w:color w:val="000000" w:themeColor="text1"/>
          <w:sz w:val="20"/>
          <w:szCs w:val="20"/>
        </w:rPr>
        <w:t>Administrative Law</w:t>
      </w:r>
      <w:r w:rsidRPr="009E7242">
        <w:rPr>
          <w:rFonts w:cs="Arial"/>
          <w:color w:val="000000" w:themeColor="text1"/>
          <w:sz w:val="20"/>
          <w:szCs w:val="20"/>
        </w:rPr>
        <w:t xml:space="preserve"> </w:t>
      </w:r>
      <w:proofErr w:type="spellStart"/>
      <w:r w:rsidRPr="009E7242">
        <w:rPr>
          <w:rFonts w:cs="Arial"/>
          <w:color w:val="000000" w:themeColor="text1"/>
          <w:sz w:val="20"/>
          <w:szCs w:val="20"/>
        </w:rPr>
        <w:t>Juta</w:t>
      </w:r>
      <w:proofErr w:type="spellEnd"/>
      <w:r w:rsidRPr="009E7242">
        <w:rPr>
          <w:rFonts w:cs="Arial"/>
          <w:color w:val="000000" w:themeColor="text1"/>
          <w:sz w:val="20"/>
          <w:szCs w:val="20"/>
        </w:rPr>
        <w:t xml:space="preserve"> 1984 at p 434. </w:t>
      </w:r>
      <w:bookmarkStart w:id="18" w:name="_Hlk524593599"/>
      <w:r w:rsidRPr="00287BFE">
        <w:rPr>
          <w:rFonts w:cs="Arial"/>
          <w:i/>
          <w:color w:val="000000" w:themeColor="text1"/>
          <w:sz w:val="20"/>
          <w:szCs w:val="20"/>
        </w:rPr>
        <w:t xml:space="preserve">Anhui Foreign Economic Construction (Group) Corp Ltd v Minister of Works and Transport and Others </w:t>
      </w:r>
      <w:r w:rsidRPr="00441ED5">
        <w:rPr>
          <w:rFonts w:cs="Arial"/>
          <w:color w:val="000000" w:themeColor="text1"/>
          <w:sz w:val="20"/>
          <w:szCs w:val="20"/>
        </w:rPr>
        <w:t>2016 (4) NR 10</w:t>
      </w:r>
      <w:r>
        <w:rPr>
          <w:rFonts w:cs="Arial"/>
          <w:color w:val="000000" w:themeColor="text1"/>
          <w:sz w:val="20"/>
          <w:szCs w:val="20"/>
        </w:rPr>
        <w:t>8</w:t>
      </w:r>
      <w:r w:rsidRPr="00441ED5">
        <w:rPr>
          <w:rFonts w:cs="Arial"/>
          <w:color w:val="000000" w:themeColor="text1"/>
          <w:sz w:val="20"/>
          <w:szCs w:val="20"/>
        </w:rPr>
        <w:t>7 (HC)</w:t>
      </w:r>
      <w:bookmarkEnd w:id="18"/>
      <w:r w:rsidRPr="00441ED5">
        <w:rPr>
          <w:rFonts w:cs="Arial"/>
          <w:color w:val="000000" w:themeColor="text1"/>
          <w:sz w:val="20"/>
          <w:szCs w:val="20"/>
        </w:rPr>
        <w:t xml:space="preserve"> at</w:t>
      </w:r>
      <w:r>
        <w:rPr>
          <w:rFonts w:cs="Arial"/>
          <w:color w:val="000000" w:themeColor="text1"/>
          <w:sz w:val="20"/>
          <w:szCs w:val="20"/>
        </w:rPr>
        <w:t xml:space="preserve"> paragraph 49.</w:t>
      </w:r>
    </w:p>
  </w:footnote>
  <w:footnote w:id="125">
    <w:p w:rsidR="00C4765D" w:rsidRPr="009E7242" w:rsidRDefault="00C4765D" w:rsidP="009976C6">
      <w:pPr>
        <w:pStyle w:val="FootnoteText"/>
        <w:jc w:val="both"/>
        <w:rPr>
          <w:rFonts w:cs="Arial"/>
          <w:sz w:val="20"/>
          <w:szCs w:val="20"/>
        </w:rPr>
      </w:pPr>
      <w:r w:rsidRPr="009E7242">
        <w:rPr>
          <w:rStyle w:val="FootnoteReference"/>
          <w:rFonts w:cs="Arial"/>
          <w:sz w:val="20"/>
          <w:szCs w:val="20"/>
        </w:rPr>
        <w:footnoteRef/>
      </w:r>
      <w:r w:rsidRPr="009E7242">
        <w:rPr>
          <w:rFonts w:cs="Arial"/>
          <w:sz w:val="20"/>
          <w:szCs w:val="20"/>
        </w:rPr>
        <w:t xml:space="preserve"> </w:t>
      </w:r>
      <w:r w:rsidRPr="009E7242">
        <w:rPr>
          <w:rFonts w:cs="Arial"/>
          <w:bCs/>
          <w:color w:val="1B1919"/>
          <w:sz w:val="20"/>
          <w:szCs w:val="20"/>
        </w:rPr>
        <w:t xml:space="preserve">Devenish, </w:t>
      </w:r>
      <w:proofErr w:type="spellStart"/>
      <w:r w:rsidRPr="009E7242">
        <w:rPr>
          <w:rFonts w:cs="Arial"/>
          <w:bCs/>
          <w:color w:val="1B1919"/>
          <w:sz w:val="20"/>
          <w:szCs w:val="20"/>
        </w:rPr>
        <w:t>Govender</w:t>
      </w:r>
      <w:proofErr w:type="spellEnd"/>
      <w:r w:rsidRPr="009E7242">
        <w:rPr>
          <w:rFonts w:cs="Arial"/>
          <w:bCs/>
          <w:color w:val="1B1919"/>
          <w:sz w:val="20"/>
          <w:szCs w:val="20"/>
        </w:rPr>
        <w:t xml:space="preserve"> and Hulme: </w:t>
      </w:r>
      <w:r w:rsidRPr="009E7242">
        <w:rPr>
          <w:rFonts w:cs="Arial"/>
          <w:bCs/>
          <w:i/>
          <w:color w:val="1B1919"/>
          <w:sz w:val="20"/>
          <w:szCs w:val="20"/>
        </w:rPr>
        <w:t>Administrative Law and Justice in South Africa</w:t>
      </w:r>
      <w:r w:rsidRPr="009E7242">
        <w:rPr>
          <w:rFonts w:cs="Arial"/>
          <w:color w:val="1B1919"/>
          <w:sz w:val="20"/>
          <w:szCs w:val="20"/>
        </w:rPr>
        <w:t xml:space="preserve"> (2001) at para 5 p 69, emphasis supplied.</w:t>
      </w:r>
      <w:r>
        <w:rPr>
          <w:rFonts w:cs="Arial"/>
          <w:color w:val="1B1919"/>
          <w:sz w:val="20"/>
          <w:szCs w:val="20"/>
        </w:rPr>
        <w:t xml:space="preserve"> </w:t>
      </w:r>
      <w:r w:rsidRPr="00287BFE">
        <w:rPr>
          <w:rFonts w:cs="Arial"/>
          <w:i/>
          <w:color w:val="1B1919"/>
          <w:sz w:val="20"/>
          <w:szCs w:val="20"/>
        </w:rPr>
        <w:t>Rally for Democracy and Progress and Others v Electoral Commission of Namibia and Others</w:t>
      </w:r>
      <w:r>
        <w:rPr>
          <w:rFonts w:cs="Arial"/>
          <w:color w:val="1B1919"/>
          <w:sz w:val="20"/>
          <w:szCs w:val="20"/>
        </w:rPr>
        <w:t xml:space="preserve"> 2010 (2) NR 487 (SC) at paragraph 23.</w:t>
      </w:r>
    </w:p>
  </w:footnote>
  <w:footnote w:id="126">
    <w:p w:rsidR="00C4765D" w:rsidRPr="009E7242" w:rsidRDefault="00C4765D" w:rsidP="009976C6">
      <w:pPr>
        <w:pStyle w:val="FootnoteText"/>
        <w:spacing w:line="276" w:lineRule="auto"/>
        <w:jc w:val="both"/>
        <w:rPr>
          <w:rFonts w:cs="Arial"/>
          <w:color w:val="000000" w:themeColor="text1"/>
          <w:sz w:val="20"/>
          <w:szCs w:val="20"/>
        </w:rPr>
      </w:pPr>
      <w:r w:rsidRPr="009E7242">
        <w:rPr>
          <w:rStyle w:val="FootnoteReference"/>
          <w:rFonts w:cs="Arial"/>
          <w:color w:val="000000" w:themeColor="text1"/>
          <w:sz w:val="20"/>
          <w:szCs w:val="20"/>
        </w:rPr>
        <w:footnoteRef/>
      </w:r>
      <w:r w:rsidRPr="009E7242">
        <w:rPr>
          <w:rFonts w:cs="Arial"/>
          <w:color w:val="000000" w:themeColor="text1"/>
          <w:sz w:val="20"/>
          <w:szCs w:val="20"/>
        </w:rPr>
        <w:t xml:space="preserve"> </w:t>
      </w:r>
      <w:proofErr w:type="spellStart"/>
      <w:r w:rsidRPr="009E7242">
        <w:rPr>
          <w:rFonts w:cs="Arial"/>
          <w:i/>
          <w:color w:val="000000" w:themeColor="text1"/>
          <w:sz w:val="20"/>
          <w:szCs w:val="20"/>
        </w:rPr>
        <w:t>Sigaba</w:t>
      </w:r>
      <w:proofErr w:type="spellEnd"/>
      <w:r w:rsidRPr="009E7242">
        <w:rPr>
          <w:rFonts w:cs="Arial"/>
          <w:i/>
          <w:color w:val="000000" w:themeColor="text1"/>
          <w:sz w:val="20"/>
          <w:szCs w:val="20"/>
        </w:rPr>
        <w:t xml:space="preserve"> v Minister of Defence and Police</w:t>
      </w:r>
      <w:r w:rsidRPr="009E7242">
        <w:rPr>
          <w:rFonts w:cs="Arial"/>
          <w:color w:val="000000" w:themeColor="text1"/>
          <w:sz w:val="20"/>
          <w:szCs w:val="20"/>
        </w:rPr>
        <w:t xml:space="preserve"> 1980 (3) SA 535 (</w:t>
      </w:r>
      <w:proofErr w:type="spellStart"/>
      <w:r w:rsidRPr="009E7242">
        <w:rPr>
          <w:rFonts w:cs="Arial"/>
          <w:color w:val="000000" w:themeColor="text1"/>
          <w:sz w:val="20"/>
          <w:szCs w:val="20"/>
        </w:rPr>
        <w:t>Tk</w:t>
      </w:r>
      <w:proofErr w:type="spellEnd"/>
      <w:r w:rsidRPr="009E7242">
        <w:rPr>
          <w:rFonts w:cs="Arial"/>
          <w:color w:val="000000" w:themeColor="text1"/>
          <w:sz w:val="20"/>
          <w:szCs w:val="20"/>
        </w:rPr>
        <w:t>) at 541.</w:t>
      </w:r>
      <w:r>
        <w:rPr>
          <w:rFonts w:cs="Arial"/>
          <w:color w:val="000000" w:themeColor="text1"/>
          <w:sz w:val="20"/>
          <w:szCs w:val="20"/>
        </w:rPr>
        <w:t xml:space="preserve"> </w:t>
      </w:r>
      <w:r w:rsidRPr="00287BFE">
        <w:rPr>
          <w:rFonts w:cs="Arial"/>
          <w:i/>
          <w:color w:val="000000" w:themeColor="text1"/>
          <w:sz w:val="20"/>
          <w:szCs w:val="20"/>
        </w:rPr>
        <w:t>Skeleton Coast Safaris v Namibia Tender Board and Others</w:t>
      </w:r>
      <w:r>
        <w:rPr>
          <w:rFonts w:cs="Arial"/>
          <w:color w:val="000000" w:themeColor="text1"/>
          <w:sz w:val="20"/>
          <w:szCs w:val="20"/>
        </w:rPr>
        <w:t xml:space="preserve"> 19</w:t>
      </w:r>
      <w:r>
        <w:rPr>
          <w:rFonts w:cs="Arial"/>
          <w:color w:val="000000" w:themeColor="text1"/>
          <w:sz w:val="20"/>
          <w:szCs w:val="20"/>
          <w:lang w:val="en-US"/>
        </w:rPr>
        <w:t xml:space="preserve"> the Commission could not </w:t>
      </w:r>
      <w:proofErr w:type="spellStart"/>
      <w:r>
        <w:rPr>
          <w:rFonts w:cs="Arial"/>
          <w:color w:val="000000" w:themeColor="text1"/>
          <w:sz w:val="20"/>
          <w:szCs w:val="20"/>
          <w:lang w:val="en-US"/>
        </w:rPr>
        <w:t>delgate</w:t>
      </w:r>
      <w:proofErr w:type="spellEnd"/>
      <w:r>
        <w:rPr>
          <w:rFonts w:cs="Arial"/>
          <w:color w:val="000000" w:themeColor="text1"/>
          <w:sz w:val="20"/>
          <w:szCs w:val="20"/>
        </w:rPr>
        <w:t xml:space="preserve">93 NR 288 (HC) at 299J – 300A. </w:t>
      </w:r>
      <w:proofErr w:type="spellStart"/>
      <w:r w:rsidRPr="00287BFE">
        <w:rPr>
          <w:rFonts w:cs="Arial"/>
          <w:i/>
          <w:color w:val="000000" w:themeColor="text1"/>
          <w:sz w:val="20"/>
          <w:szCs w:val="20"/>
        </w:rPr>
        <w:t>Mbambus</w:t>
      </w:r>
      <w:proofErr w:type="spellEnd"/>
      <w:r w:rsidRPr="00287BFE">
        <w:rPr>
          <w:rFonts w:cs="Arial"/>
          <w:i/>
          <w:color w:val="000000" w:themeColor="text1"/>
          <w:sz w:val="20"/>
          <w:szCs w:val="20"/>
        </w:rPr>
        <w:t xml:space="preserve"> v Motor Vehicle Accident Fund</w:t>
      </w:r>
      <w:r>
        <w:rPr>
          <w:rFonts w:cs="Arial"/>
          <w:color w:val="000000" w:themeColor="text1"/>
          <w:sz w:val="20"/>
          <w:szCs w:val="20"/>
        </w:rPr>
        <w:t xml:space="preserve"> 2011 (1) NR 238 (HC) at 246C – 246F.</w:t>
      </w:r>
    </w:p>
  </w:footnote>
  <w:footnote w:id="127">
    <w:p w:rsidR="00C4765D" w:rsidRPr="009E7242" w:rsidRDefault="00C4765D" w:rsidP="009976C6">
      <w:pPr>
        <w:pStyle w:val="FootnoteText"/>
        <w:spacing w:line="276" w:lineRule="auto"/>
        <w:jc w:val="both"/>
        <w:rPr>
          <w:rFonts w:cs="Arial"/>
          <w:color w:val="000000" w:themeColor="text1"/>
          <w:sz w:val="20"/>
          <w:szCs w:val="20"/>
        </w:rPr>
      </w:pPr>
      <w:r w:rsidRPr="009E7242">
        <w:rPr>
          <w:rStyle w:val="FootnoteReference"/>
          <w:rFonts w:cs="Arial"/>
          <w:color w:val="000000" w:themeColor="text1"/>
          <w:sz w:val="20"/>
          <w:szCs w:val="20"/>
        </w:rPr>
        <w:footnoteRef/>
      </w:r>
      <w:r w:rsidRPr="009E7242">
        <w:rPr>
          <w:rFonts w:cs="Arial"/>
          <w:color w:val="000000" w:themeColor="text1"/>
          <w:sz w:val="20"/>
          <w:szCs w:val="20"/>
        </w:rPr>
        <w:t xml:space="preserve"> Baxter </w:t>
      </w:r>
      <w:r w:rsidRPr="009E7242">
        <w:rPr>
          <w:rFonts w:cs="Arial"/>
          <w:i/>
          <w:color w:val="000000" w:themeColor="text1"/>
          <w:sz w:val="20"/>
          <w:szCs w:val="20"/>
        </w:rPr>
        <w:t>Administrative Law</w:t>
      </w:r>
      <w:r w:rsidRPr="009E7242">
        <w:rPr>
          <w:rFonts w:cs="Arial"/>
          <w:color w:val="000000" w:themeColor="text1"/>
          <w:sz w:val="20"/>
          <w:szCs w:val="20"/>
        </w:rPr>
        <w:t xml:space="preserve"> </w:t>
      </w:r>
      <w:proofErr w:type="spellStart"/>
      <w:r w:rsidRPr="009E7242">
        <w:rPr>
          <w:rFonts w:cs="Arial"/>
          <w:color w:val="000000" w:themeColor="text1"/>
          <w:sz w:val="20"/>
          <w:szCs w:val="20"/>
        </w:rPr>
        <w:t>Juta</w:t>
      </w:r>
      <w:proofErr w:type="spellEnd"/>
      <w:r w:rsidRPr="009E7242">
        <w:rPr>
          <w:rFonts w:cs="Arial"/>
          <w:color w:val="000000" w:themeColor="text1"/>
          <w:sz w:val="20"/>
          <w:szCs w:val="20"/>
        </w:rPr>
        <w:t xml:space="preserve"> 1984 at p 434. </w:t>
      </w:r>
      <w:r w:rsidRPr="00287BFE">
        <w:rPr>
          <w:rFonts w:cs="Arial"/>
          <w:i/>
          <w:color w:val="000000" w:themeColor="text1"/>
          <w:sz w:val="20"/>
          <w:szCs w:val="20"/>
        </w:rPr>
        <w:t xml:space="preserve">Anhui Foreign Economic Construction (Group) Corp Ltd v Minister of Works and Transport and Others </w:t>
      </w:r>
      <w:r w:rsidRPr="00441ED5">
        <w:rPr>
          <w:rFonts w:cs="Arial"/>
          <w:color w:val="000000" w:themeColor="text1"/>
          <w:sz w:val="20"/>
          <w:szCs w:val="20"/>
        </w:rPr>
        <w:t>2016 (4) NR 10</w:t>
      </w:r>
      <w:r>
        <w:rPr>
          <w:rFonts w:cs="Arial"/>
          <w:color w:val="000000" w:themeColor="text1"/>
          <w:sz w:val="20"/>
          <w:szCs w:val="20"/>
        </w:rPr>
        <w:t>8</w:t>
      </w:r>
      <w:r w:rsidRPr="00441ED5">
        <w:rPr>
          <w:rFonts w:cs="Arial"/>
          <w:color w:val="000000" w:themeColor="text1"/>
          <w:sz w:val="20"/>
          <w:szCs w:val="20"/>
        </w:rPr>
        <w:t>7 (HC) at</w:t>
      </w:r>
      <w:r>
        <w:rPr>
          <w:rFonts w:cs="Arial"/>
          <w:color w:val="000000" w:themeColor="text1"/>
          <w:sz w:val="20"/>
          <w:szCs w:val="20"/>
        </w:rPr>
        <w:t xml:space="preserve"> paragraph 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65D" w:rsidRDefault="00C4765D">
    <w:pPr>
      <w:pStyle w:val="Header"/>
      <w:jc w:val="right"/>
    </w:pPr>
    <w:r>
      <w:fldChar w:fldCharType="begin"/>
    </w:r>
    <w:r>
      <w:instrText xml:space="preserve"> PAGE   \* MERGEFORMAT </w:instrText>
    </w:r>
    <w:r>
      <w:fldChar w:fldCharType="separate"/>
    </w:r>
    <w:r w:rsidR="00E153E7">
      <w:rPr>
        <w:noProof/>
      </w:rPr>
      <w:t>21</w:t>
    </w:r>
    <w:r>
      <w:fldChar w:fldCharType="end"/>
    </w:r>
  </w:p>
  <w:p w:rsidR="00C4765D" w:rsidRDefault="00C47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2D01"/>
    <w:multiLevelType w:val="multilevel"/>
    <w:tmpl w:val="065A06F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2268"/>
        </w:tabs>
        <w:ind w:left="2268" w:hanging="22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C7197E"/>
    <w:multiLevelType w:val="hybridMultilevel"/>
    <w:tmpl w:val="EF588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E2421"/>
    <w:multiLevelType w:val="hybridMultilevel"/>
    <w:tmpl w:val="21C04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E10D53"/>
    <w:multiLevelType w:val="hybridMultilevel"/>
    <w:tmpl w:val="560A0D96"/>
    <w:lvl w:ilvl="0" w:tplc="AAF27A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81D584B"/>
    <w:multiLevelType w:val="hybridMultilevel"/>
    <w:tmpl w:val="678CC7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D61C13"/>
    <w:multiLevelType w:val="hybridMultilevel"/>
    <w:tmpl w:val="EDF8CD32"/>
    <w:lvl w:ilvl="0" w:tplc="8DC657A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F21B6"/>
    <w:multiLevelType w:val="hybridMultilevel"/>
    <w:tmpl w:val="0DCA5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C23F3"/>
    <w:multiLevelType w:val="hybridMultilevel"/>
    <w:tmpl w:val="DB805C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21836"/>
    <w:multiLevelType w:val="hybridMultilevel"/>
    <w:tmpl w:val="75BAE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B002814"/>
    <w:multiLevelType w:val="hybridMultilevel"/>
    <w:tmpl w:val="C9B4A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019BC"/>
    <w:multiLevelType w:val="hybridMultilevel"/>
    <w:tmpl w:val="FED28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21968"/>
    <w:multiLevelType w:val="hybridMultilevel"/>
    <w:tmpl w:val="66F07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CA522A"/>
    <w:multiLevelType w:val="hybridMultilevel"/>
    <w:tmpl w:val="7A800386"/>
    <w:lvl w:ilvl="0" w:tplc="690EA914">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8D83E7C"/>
    <w:multiLevelType w:val="hybridMultilevel"/>
    <w:tmpl w:val="D464B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816A4"/>
    <w:multiLevelType w:val="hybridMultilevel"/>
    <w:tmpl w:val="BF829144"/>
    <w:lvl w:ilvl="0" w:tplc="41CCC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205766"/>
    <w:multiLevelType w:val="hybridMultilevel"/>
    <w:tmpl w:val="D4D6AB42"/>
    <w:lvl w:ilvl="0" w:tplc="E68AEA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EA29D9"/>
    <w:multiLevelType w:val="hybridMultilevel"/>
    <w:tmpl w:val="57D61160"/>
    <w:lvl w:ilvl="0" w:tplc="479695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0DC2ECE"/>
    <w:multiLevelType w:val="hybridMultilevel"/>
    <w:tmpl w:val="1452D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B80C02"/>
    <w:multiLevelType w:val="hybridMultilevel"/>
    <w:tmpl w:val="AC34E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F7E63"/>
    <w:multiLevelType w:val="hybridMultilevel"/>
    <w:tmpl w:val="3EE8987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DEC54BA"/>
    <w:multiLevelType w:val="hybridMultilevel"/>
    <w:tmpl w:val="77346B28"/>
    <w:lvl w:ilvl="0" w:tplc="690EA914">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89B2E4F"/>
    <w:multiLevelType w:val="hybridMultilevel"/>
    <w:tmpl w:val="E62E0280"/>
    <w:lvl w:ilvl="0" w:tplc="690EA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5"/>
  </w:num>
  <w:num w:numId="5">
    <w:abstractNumId w:val="19"/>
  </w:num>
  <w:num w:numId="6">
    <w:abstractNumId w:val="7"/>
  </w:num>
  <w:num w:numId="7">
    <w:abstractNumId w:val="22"/>
  </w:num>
  <w:num w:numId="8">
    <w:abstractNumId w:val="1"/>
  </w:num>
  <w:num w:numId="9">
    <w:abstractNumId w:val="8"/>
  </w:num>
  <w:num w:numId="10">
    <w:abstractNumId w:val="14"/>
  </w:num>
  <w:num w:numId="11">
    <w:abstractNumId w:val="18"/>
  </w:num>
  <w:num w:numId="12">
    <w:abstractNumId w:val="16"/>
  </w:num>
  <w:num w:numId="13">
    <w:abstractNumId w:val="11"/>
  </w:num>
  <w:num w:numId="14">
    <w:abstractNumId w:val="6"/>
  </w:num>
  <w:num w:numId="15">
    <w:abstractNumId w:val="10"/>
  </w:num>
  <w:num w:numId="16">
    <w:abstractNumId w:val="12"/>
  </w:num>
  <w:num w:numId="17">
    <w:abstractNumId w:val="15"/>
  </w:num>
  <w:num w:numId="18">
    <w:abstractNumId w:val="20"/>
  </w:num>
  <w:num w:numId="19">
    <w:abstractNumId w:val="13"/>
  </w:num>
  <w:num w:numId="20">
    <w:abstractNumId w:val="21"/>
  </w:num>
  <w:num w:numId="21">
    <w:abstractNumId w:val="4"/>
  </w:num>
  <w:num w:numId="22">
    <w:abstractNumId w:val="3"/>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63"/>
    <w:rsid w:val="000057B8"/>
    <w:rsid w:val="00005BFB"/>
    <w:rsid w:val="00005E6C"/>
    <w:rsid w:val="00011225"/>
    <w:rsid w:val="00011BF0"/>
    <w:rsid w:val="00011D5E"/>
    <w:rsid w:val="00011EB3"/>
    <w:rsid w:val="00012185"/>
    <w:rsid w:val="00012EAF"/>
    <w:rsid w:val="00013917"/>
    <w:rsid w:val="0001454F"/>
    <w:rsid w:val="00015CE0"/>
    <w:rsid w:val="00016D77"/>
    <w:rsid w:val="00020CAB"/>
    <w:rsid w:val="000226E8"/>
    <w:rsid w:val="00022D0F"/>
    <w:rsid w:val="00023709"/>
    <w:rsid w:val="000241F7"/>
    <w:rsid w:val="000258AA"/>
    <w:rsid w:val="000309A0"/>
    <w:rsid w:val="000312A7"/>
    <w:rsid w:val="00032FAD"/>
    <w:rsid w:val="000342F9"/>
    <w:rsid w:val="00036A90"/>
    <w:rsid w:val="00036F66"/>
    <w:rsid w:val="0003703F"/>
    <w:rsid w:val="00037142"/>
    <w:rsid w:val="00040FFE"/>
    <w:rsid w:val="0004175E"/>
    <w:rsid w:val="00042D93"/>
    <w:rsid w:val="00043CF5"/>
    <w:rsid w:val="00044D1C"/>
    <w:rsid w:val="00044EC7"/>
    <w:rsid w:val="0004602C"/>
    <w:rsid w:val="00047981"/>
    <w:rsid w:val="000501BF"/>
    <w:rsid w:val="00050DEF"/>
    <w:rsid w:val="00052051"/>
    <w:rsid w:val="000530D0"/>
    <w:rsid w:val="00053B8F"/>
    <w:rsid w:val="00055531"/>
    <w:rsid w:val="00061653"/>
    <w:rsid w:val="00062099"/>
    <w:rsid w:val="00063B8F"/>
    <w:rsid w:val="000644B5"/>
    <w:rsid w:val="0006607C"/>
    <w:rsid w:val="00067DC1"/>
    <w:rsid w:val="00071B93"/>
    <w:rsid w:val="00075EF6"/>
    <w:rsid w:val="0007785A"/>
    <w:rsid w:val="00080E27"/>
    <w:rsid w:val="000856BD"/>
    <w:rsid w:val="000857B0"/>
    <w:rsid w:val="00090F93"/>
    <w:rsid w:val="000911CB"/>
    <w:rsid w:val="00091934"/>
    <w:rsid w:val="00091FC6"/>
    <w:rsid w:val="000921A4"/>
    <w:rsid w:val="000929FA"/>
    <w:rsid w:val="00094F4D"/>
    <w:rsid w:val="00095FC2"/>
    <w:rsid w:val="00096A92"/>
    <w:rsid w:val="000A14C8"/>
    <w:rsid w:val="000A16DA"/>
    <w:rsid w:val="000A24ED"/>
    <w:rsid w:val="000A3111"/>
    <w:rsid w:val="000A36B4"/>
    <w:rsid w:val="000A46D0"/>
    <w:rsid w:val="000A5CD3"/>
    <w:rsid w:val="000A7447"/>
    <w:rsid w:val="000A7DC6"/>
    <w:rsid w:val="000B2DDE"/>
    <w:rsid w:val="000B2FB5"/>
    <w:rsid w:val="000B7686"/>
    <w:rsid w:val="000C18B2"/>
    <w:rsid w:val="000C2E4A"/>
    <w:rsid w:val="000C4C89"/>
    <w:rsid w:val="000D1452"/>
    <w:rsid w:val="000D1680"/>
    <w:rsid w:val="000D2143"/>
    <w:rsid w:val="000D481F"/>
    <w:rsid w:val="000D53E1"/>
    <w:rsid w:val="000D70E5"/>
    <w:rsid w:val="000D7100"/>
    <w:rsid w:val="000E112A"/>
    <w:rsid w:val="000E13C5"/>
    <w:rsid w:val="000E1D91"/>
    <w:rsid w:val="000E1FDF"/>
    <w:rsid w:val="000E242E"/>
    <w:rsid w:val="000E25C9"/>
    <w:rsid w:val="000E4AD2"/>
    <w:rsid w:val="000E5F25"/>
    <w:rsid w:val="000E727A"/>
    <w:rsid w:val="000E7F21"/>
    <w:rsid w:val="000F04D7"/>
    <w:rsid w:val="000F16B9"/>
    <w:rsid w:val="000F2018"/>
    <w:rsid w:val="000F2BF2"/>
    <w:rsid w:val="000F3A16"/>
    <w:rsid w:val="000F59AC"/>
    <w:rsid w:val="000F7D26"/>
    <w:rsid w:val="00101576"/>
    <w:rsid w:val="0010166B"/>
    <w:rsid w:val="00103C38"/>
    <w:rsid w:val="001074F6"/>
    <w:rsid w:val="001079CB"/>
    <w:rsid w:val="00110899"/>
    <w:rsid w:val="00111C4D"/>
    <w:rsid w:val="00112FFC"/>
    <w:rsid w:val="00116727"/>
    <w:rsid w:val="0011760E"/>
    <w:rsid w:val="0011794F"/>
    <w:rsid w:val="00117D54"/>
    <w:rsid w:val="00120B17"/>
    <w:rsid w:val="001210C7"/>
    <w:rsid w:val="00121190"/>
    <w:rsid w:val="001223DD"/>
    <w:rsid w:val="00122DBE"/>
    <w:rsid w:val="00125409"/>
    <w:rsid w:val="00130C29"/>
    <w:rsid w:val="00130F62"/>
    <w:rsid w:val="001314F6"/>
    <w:rsid w:val="00131B0E"/>
    <w:rsid w:val="001327A3"/>
    <w:rsid w:val="00132FB1"/>
    <w:rsid w:val="00133CCB"/>
    <w:rsid w:val="00134BAA"/>
    <w:rsid w:val="00134D77"/>
    <w:rsid w:val="00134F8F"/>
    <w:rsid w:val="00135525"/>
    <w:rsid w:val="00140648"/>
    <w:rsid w:val="001409AA"/>
    <w:rsid w:val="00141474"/>
    <w:rsid w:val="00141C30"/>
    <w:rsid w:val="00142724"/>
    <w:rsid w:val="00142894"/>
    <w:rsid w:val="00143356"/>
    <w:rsid w:val="00143490"/>
    <w:rsid w:val="001469DF"/>
    <w:rsid w:val="00151B51"/>
    <w:rsid w:val="0015261C"/>
    <w:rsid w:val="001535B6"/>
    <w:rsid w:val="001545A9"/>
    <w:rsid w:val="0015486A"/>
    <w:rsid w:val="00156E41"/>
    <w:rsid w:val="00156EDE"/>
    <w:rsid w:val="00157421"/>
    <w:rsid w:val="00157C57"/>
    <w:rsid w:val="001604E8"/>
    <w:rsid w:val="0016050D"/>
    <w:rsid w:val="00160F80"/>
    <w:rsid w:val="00161DAE"/>
    <w:rsid w:val="0016406E"/>
    <w:rsid w:val="001658A5"/>
    <w:rsid w:val="0016634C"/>
    <w:rsid w:val="001666F7"/>
    <w:rsid w:val="00167074"/>
    <w:rsid w:val="00170661"/>
    <w:rsid w:val="00171240"/>
    <w:rsid w:val="00172288"/>
    <w:rsid w:val="001726A5"/>
    <w:rsid w:val="00172961"/>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90985"/>
    <w:rsid w:val="00192123"/>
    <w:rsid w:val="001930EB"/>
    <w:rsid w:val="00194118"/>
    <w:rsid w:val="00195DCD"/>
    <w:rsid w:val="00197B5C"/>
    <w:rsid w:val="00197FE8"/>
    <w:rsid w:val="001A0110"/>
    <w:rsid w:val="001A15AD"/>
    <w:rsid w:val="001A21A3"/>
    <w:rsid w:val="001A2BA6"/>
    <w:rsid w:val="001A3842"/>
    <w:rsid w:val="001A712D"/>
    <w:rsid w:val="001B12E0"/>
    <w:rsid w:val="001B1D7F"/>
    <w:rsid w:val="001B3B94"/>
    <w:rsid w:val="001B6745"/>
    <w:rsid w:val="001B7E1F"/>
    <w:rsid w:val="001C037D"/>
    <w:rsid w:val="001C0761"/>
    <w:rsid w:val="001C0910"/>
    <w:rsid w:val="001C0F5A"/>
    <w:rsid w:val="001C1A0E"/>
    <w:rsid w:val="001C2444"/>
    <w:rsid w:val="001C402C"/>
    <w:rsid w:val="001C41B0"/>
    <w:rsid w:val="001C46E6"/>
    <w:rsid w:val="001C4789"/>
    <w:rsid w:val="001C682E"/>
    <w:rsid w:val="001C71EE"/>
    <w:rsid w:val="001C7916"/>
    <w:rsid w:val="001D1C4C"/>
    <w:rsid w:val="001D2EF3"/>
    <w:rsid w:val="001D5770"/>
    <w:rsid w:val="001E1B81"/>
    <w:rsid w:val="001E5488"/>
    <w:rsid w:val="001E74EA"/>
    <w:rsid w:val="001F0BCC"/>
    <w:rsid w:val="001F3F05"/>
    <w:rsid w:val="001F4140"/>
    <w:rsid w:val="001F4EF8"/>
    <w:rsid w:val="001F60AD"/>
    <w:rsid w:val="001F717C"/>
    <w:rsid w:val="0020195A"/>
    <w:rsid w:val="00204C96"/>
    <w:rsid w:val="00204FA7"/>
    <w:rsid w:val="0020786D"/>
    <w:rsid w:val="00207EC1"/>
    <w:rsid w:val="0021102C"/>
    <w:rsid w:val="0021117B"/>
    <w:rsid w:val="002133C6"/>
    <w:rsid w:val="00213D43"/>
    <w:rsid w:val="0021620D"/>
    <w:rsid w:val="00220A91"/>
    <w:rsid w:val="0022151F"/>
    <w:rsid w:val="00222460"/>
    <w:rsid w:val="00223013"/>
    <w:rsid w:val="0022434E"/>
    <w:rsid w:val="002243D3"/>
    <w:rsid w:val="0022446B"/>
    <w:rsid w:val="00224DF3"/>
    <w:rsid w:val="002251DC"/>
    <w:rsid w:val="002251E0"/>
    <w:rsid w:val="00232DB1"/>
    <w:rsid w:val="00232E1A"/>
    <w:rsid w:val="002334FC"/>
    <w:rsid w:val="00233D60"/>
    <w:rsid w:val="00234E7B"/>
    <w:rsid w:val="0023534E"/>
    <w:rsid w:val="0023595B"/>
    <w:rsid w:val="002362CD"/>
    <w:rsid w:val="002416C5"/>
    <w:rsid w:val="00244D4B"/>
    <w:rsid w:val="00246361"/>
    <w:rsid w:val="00246674"/>
    <w:rsid w:val="0025300D"/>
    <w:rsid w:val="00253308"/>
    <w:rsid w:val="00254441"/>
    <w:rsid w:val="00257083"/>
    <w:rsid w:val="00260348"/>
    <w:rsid w:val="00261313"/>
    <w:rsid w:val="00262A5C"/>
    <w:rsid w:val="0026343E"/>
    <w:rsid w:val="0026376C"/>
    <w:rsid w:val="00265377"/>
    <w:rsid w:val="00273438"/>
    <w:rsid w:val="002736B4"/>
    <w:rsid w:val="002738FE"/>
    <w:rsid w:val="00275052"/>
    <w:rsid w:val="00276370"/>
    <w:rsid w:val="00277A6A"/>
    <w:rsid w:val="00280832"/>
    <w:rsid w:val="002823F8"/>
    <w:rsid w:val="0028503B"/>
    <w:rsid w:val="0028505B"/>
    <w:rsid w:val="002854DC"/>
    <w:rsid w:val="002866C4"/>
    <w:rsid w:val="00287A2C"/>
    <w:rsid w:val="0029012A"/>
    <w:rsid w:val="00291E38"/>
    <w:rsid w:val="00292393"/>
    <w:rsid w:val="00293299"/>
    <w:rsid w:val="00293621"/>
    <w:rsid w:val="00294350"/>
    <w:rsid w:val="00294BE2"/>
    <w:rsid w:val="00294E61"/>
    <w:rsid w:val="0029549A"/>
    <w:rsid w:val="002969E3"/>
    <w:rsid w:val="00296A7A"/>
    <w:rsid w:val="002A149E"/>
    <w:rsid w:val="002A3B20"/>
    <w:rsid w:val="002A4686"/>
    <w:rsid w:val="002A4E11"/>
    <w:rsid w:val="002A5A2F"/>
    <w:rsid w:val="002A62DC"/>
    <w:rsid w:val="002B0ADF"/>
    <w:rsid w:val="002B0CF7"/>
    <w:rsid w:val="002B2E9C"/>
    <w:rsid w:val="002B3444"/>
    <w:rsid w:val="002B3A1C"/>
    <w:rsid w:val="002B3D55"/>
    <w:rsid w:val="002B3EA5"/>
    <w:rsid w:val="002B4320"/>
    <w:rsid w:val="002B4DD2"/>
    <w:rsid w:val="002B5342"/>
    <w:rsid w:val="002B6508"/>
    <w:rsid w:val="002B6CE6"/>
    <w:rsid w:val="002C442A"/>
    <w:rsid w:val="002C7D3F"/>
    <w:rsid w:val="002D184D"/>
    <w:rsid w:val="002D22FB"/>
    <w:rsid w:val="002D389E"/>
    <w:rsid w:val="002D4758"/>
    <w:rsid w:val="002D4988"/>
    <w:rsid w:val="002E0A8A"/>
    <w:rsid w:val="002E1259"/>
    <w:rsid w:val="002E4559"/>
    <w:rsid w:val="002E5416"/>
    <w:rsid w:val="002E6E4C"/>
    <w:rsid w:val="002E6EAA"/>
    <w:rsid w:val="002F1674"/>
    <w:rsid w:val="002F2A51"/>
    <w:rsid w:val="002F357C"/>
    <w:rsid w:val="002F57FE"/>
    <w:rsid w:val="002F6B09"/>
    <w:rsid w:val="002F6B2D"/>
    <w:rsid w:val="002F7836"/>
    <w:rsid w:val="00301DEE"/>
    <w:rsid w:val="00301F4A"/>
    <w:rsid w:val="00303355"/>
    <w:rsid w:val="00306DEB"/>
    <w:rsid w:val="003126DC"/>
    <w:rsid w:val="00312EF8"/>
    <w:rsid w:val="00312FD2"/>
    <w:rsid w:val="00313871"/>
    <w:rsid w:val="00314129"/>
    <w:rsid w:val="00314216"/>
    <w:rsid w:val="00314774"/>
    <w:rsid w:val="003156A8"/>
    <w:rsid w:val="003204AA"/>
    <w:rsid w:val="003211A7"/>
    <w:rsid w:val="00322F71"/>
    <w:rsid w:val="003230FC"/>
    <w:rsid w:val="00323A00"/>
    <w:rsid w:val="003243F5"/>
    <w:rsid w:val="00325791"/>
    <w:rsid w:val="003264C6"/>
    <w:rsid w:val="0032729F"/>
    <w:rsid w:val="00327DFC"/>
    <w:rsid w:val="00330CF3"/>
    <w:rsid w:val="00331729"/>
    <w:rsid w:val="0033230A"/>
    <w:rsid w:val="003337F1"/>
    <w:rsid w:val="003341A3"/>
    <w:rsid w:val="00334F7F"/>
    <w:rsid w:val="00337624"/>
    <w:rsid w:val="00340E32"/>
    <w:rsid w:val="0034144F"/>
    <w:rsid w:val="00341CD8"/>
    <w:rsid w:val="00343A52"/>
    <w:rsid w:val="00345971"/>
    <w:rsid w:val="00345D60"/>
    <w:rsid w:val="00346453"/>
    <w:rsid w:val="00351DA6"/>
    <w:rsid w:val="00352B3A"/>
    <w:rsid w:val="00352D5D"/>
    <w:rsid w:val="003531BA"/>
    <w:rsid w:val="003556B6"/>
    <w:rsid w:val="00355EBF"/>
    <w:rsid w:val="003567DB"/>
    <w:rsid w:val="00360042"/>
    <w:rsid w:val="00362E29"/>
    <w:rsid w:val="00363AD6"/>
    <w:rsid w:val="003664D7"/>
    <w:rsid w:val="00367A06"/>
    <w:rsid w:val="00367BD3"/>
    <w:rsid w:val="00367E94"/>
    <w:rsid w:val="00370892"/>
    <w:rsid w:val="0037162B"/>
    <w:rsid w:val="00371A29"/>
    <w:rsid w:val="00372B12"/>
    <w:rsid w:val="00373B3B"/>
    <w:rsid w:val="0037510E"/>
    <w:rsid w:val="00376137"/>
    <w:rsid w:val="00376B3F"/>
    <w:rsid w:val="00376D3B"/>
    <w:rsid w:val="003779B1"/>
    <w:rsid w:val="00377DF6"/>
    <w:rsid w:val="00380A86"/>
    <w:rsid w:val="00383B08"/>
    <w:rsid w:val="00384DE4"/>
    <w:rsid w:val="00385440"/>
    <w:rsid w:val="00390472"/>
    <w:rsid w:val="00391B17"/>
    <w:rsid w:val="00391FEE"/>
    <w:rsid w:val="00392F96"/>
    <w:rsid w:val="00393038"/>
    <w:rsid w:val="00393346"/>
    <w:rsid w:val="00394866"/>
    <w:rsid w:val="003948D2"/>
    <w:rsid w:val="00394A86"/>
    <w:rsid w:val="00394E9E"/>
    <w:rsid w:val="00394FD6"/>
    <w:rsid w:val="00397FD3"/>
    <w:rsid w:val="003A05B4"/>
    <w:rsid w:val="003A12E6"/>
    <w:rsid w:val="003A1571"/>
    <w:rsid w:val="003A1A10"/>
    <w:rsid w:val="003A1A15"/>
    <w:rsid w:val="003A1E54"/>
    <w:rsid w:val="003A28E2"/>
    <w:rsid w:val="003A4407"/>
    <w:rsid w:val="003A74E8"/>
    <w:rsid w:val="003B0CFD"/>
    <w:rsid w:val="003B175E"/>
    <w:rsid w:val="003B35EF"/>
    <w:rsid w:val="003B361C"/>
    <w:rsid w:val="003B746E"/>
    <w:rsid w:val="003C1F20"/>
    <w:rsid w:val="003C2BC3"/>
    <w:rsid w:val="003D154D"/>
    <w:rsid w:val="003D16E8"/>
    <w:rsid w:val="003D3463"/>
    <w:rsid w:val="003D4666"/>
    <w:rsid w:val="003D692F"/>
    <w:rsid w:val="003D77D6"/>
    <w:rsid w:val="003E2D98"/>
    <w:rsid w:val="003E4945"/>
    <w:rsid w:val="003E515A"/>
    <w:rsid w:val="003E64B0"/>
    <w:rsid w:val="003E767F"/>
    <w:rsid w:val="003E781A"/>
    <w:rsid w:val="003F0439"/>
    <w:rsid w:val="003F0C0B"/>
    <w:rsid w:val="003F14C4"/>
    <w:rsid w:val="003F20C1"/>
    <w:rsid w:val="003F29D5"/>
    <w:rsid w:val="003F307F"/>
    <w:rsid w:val="003F3A3B"/>
    <w:rsid w:val="003F6729"/>
    <w:rsid w:val="003F7013"/>
    <w:rsid w:val="003F77F7"/>
    <w:rsid w:val="004008A1"/>
    <w:rsid w:val="00404296"/>
    <w:rsid w:val="00404A25"/>
    <w:rsid w:val="00404D61"/>
    <w:rsid w:val="00405C6E"/>
    <w:rsid w:val="00406659"/>
    <w:rsid w:val="004073C6"/>
    <w:rsid w:val="00412F87"/>
    <w:rsid w:val="004147C7"/>
    <w:rsid w:val="00414C05"/>
    <w:rsid w:val="00415566"/>
    <w:rsid w:val="0041643E"/>
    <w:rsid w:val="00420B82"/>
    <w:rsid w:val="00422921"/>
    <w:rsid w:val="00422C2A"/>
    <w:rsid w:val="00422C7C"/>
    <w:rsid w:val="0042301F"/>
    <w:rsid w:val="0042330B"/>
    <w:rsid w:val="0042421B"/>
    <w:rsid w:val="00425886"/>
    <w:rsid w:val="0043005E"/>
    <w:rsid w:val="004315C7"/>
    <w:rsid w:val="00433CB1"/>
    <w:rsid w:val="004341DE"/>
    <w:rsid w:val="0043629D"/>
    <w:rsid w:val="00440C92"/>
    <w:rsid w:val="00440F22"/>
    <w:rsid w:val="0044132B"/>
    <w:rsid w:val="00445AD9"/>
    <w:rsid w:val="0044712B"/>
    <w:rsid w:val="00460F7B"/>
    <w:rsid w:val="00461AF4"/>
    <w:rsid w:val="00462780"/>
    <w:rsid w:val="00464842"/>
    <w:rsid w:val="004659BE"/>
    <w:rsid w:val="00466270"/>
    <w:rsid w:val="00466C0D"/>
    <w:rsid w:val="00466E2C"/>
    <w:rsid w:val="004670BF"/>
    <w:rsid w:val="00467966"/>
    <w:rsid w:val="0047000B"/>
    <w:rsid w:val="00473AE1"/>
    <w:rsid w:val="00476043"/>
    <w:rsid w:val="00477825"/>
    <w:rsid w:val="0048009F"/>
    <w:rsid w:val="00481556"/>
    <w:rsid w:val="00482899"/>
    <w:rsid w:val="00483438"/>
    <w:rsid w:val="00483760"/>
    <w:rsid w:val="00484034"/>
    <w:rsid w:val="004843DC"/>
    <w:rsid w:val="00484780"/>
    <w:rsid w:val="00485570"/>
    <w:rsid w:val="00490A96"/>
    <w:rsid w:val="00492D0A"/>
    <w:rsid w:val="00495E3A"/>
    <w:rsid w:val="004A490A"/>
    <w:rsid w:val="004A65A5"/>
    <w:rsid w:val="004A6AA2"/>
    <w:rsid w:val="004A7DAA"/>
    <w:rsid w:val="004A7E48"/>
    <w:rsid w:val="004B37F7"/>
    <w:rsid w:val="004B57A9"/>
    <w:rsid w:val="004B6D74"/>
    <w:rsid w:val="004C4036"/>
    <w:rsid w:val="004C5BC7"/>
    <w:rsid w:val="004C6C0C"/>
    <w:rsid w:val="004C71DB"/>
    <w:rsid w:val="004C796E"/>
    <w:rsid w:val="004D2689"/>
    <w:rsid w:val="004D30AD"/>
    <w:rsid w:val="004D43A4"/>
    <w:rsid w:val="004D4C87"/>
    <w:rsid w:val="004D5920"/>
    <w:rsid w:val="004D5C0A"/>
    <w:rsid w:val="004E0D6B"/>
    <w:rsid w:val="004F0E9E"/>
    <w:rsid w:val="004F2271"/>
    <w:rsid w:val="004F43D1"/>
    <w:rsid w:val="004F4A59"/>
    <w:rsid w:val="004F699F"/>
    <w:rsid w:val="004F727E"/>
    <w:rsid w:val="004F7672"/>
    <w:rsid w:val="005005CD"/>
    <w:rsid w:val="00502818"/>
    <w:rsid w:val="00502A16"/>
    <w:rsid w:val="00502A4E"/>
    <w:rsid w:val="00502DF8"/>
    <w:rsid w:val="00503133"/>
    <w:rsid w:val="005039CF"/>
    <w:rsid w:val="005055F2"/>
    <w:rsid w:val="005056F0"/>
    <w:rsid w:val="00507D93"/>
    <w:rsid w:val="00510E12"/>
    <w:rsid w:val="00511395"/>
    <w:rsid w:val="005140E0"/>
    <w:rsid w:val="0051467A"/>
    <w:rsid w:val="00516D14"/>
    <w:rsid w:val="00516F95"/>
    <w:rsid w:val="00517C72"/>
    <w:rsid w:val="00521730"/>
    <w:rsid w:val="005234BE"/>
    <w:rsid w:val="00524729"/>
    <w:rsid w:val="00525CC5"/>
    <w:rsid w:val="0052609A"/>
    <w:rsid w:val="0052690A"/>
    <w:rsid w:val="00530CF6"/>
    <w:rsid w:val="00530DF3"/>
    <w:rsid w:val="0053245E"/>
    <w:rsid w:val="00532EE4"/>
    <w:rsid w:val="0053428B"/>
    <w:rsid w:val="00535D82"/>
    <w:rsid w:val="00536812"/>
    <w:rsid w:val="00537FE1"/>
    <w:rsid w:val="00543D59"/>
    <w:rsid w:val="00543F2A"/>
    <w:rsid w:val="00545A6C"/>
    <w:rsid w:val="00546928"/>
    <w:rsid w:val="00547898"/>
    <w:rsid w:val="00551B5E"/>
    <w:rsid w:val="005544CA"/>
    <w:rsid w:val="00554868"/>
    <w:rsid w:val="00555ED0"/>
    <w:rsid w:val="00556B74"/>
    <w:rsid w:val="00560021"/>
    <w:rsid w:val="00560554"/>
    <w:rsid w:val="005613C4"/>
    <w:rsid w:val="0056429B"/>
    <w:rsid w:val="005650ED"/>
    <w:rsid w:val="00566892"/>
    <w:rsid w:val="00567B0A"/>
    <w:rsid w:val="005703E1"/>
    <w:rsid w:val="00572201"/>
    <w:rsid w:val="00572EC2"/>
    <w:rsid w:val="00575B78"/>
    <w:rsid w:val="00576ECA"/>
    <w:rsid w:val="005770B5"/>
    <w:rsid w:val="005777AC"/>
    <w:rsid w:val="00577ECA"/>
    <w:rsid w:val="005805F6"/>
    <w:rsid w:val="00582421"/>
    <w:rsid w:val="00582487"/>
    <w:rsid w:val="0058401A"/>
    <w:rsid w:val="00584852"/>
    <w:rsid w:val="00587011"/>
    <w:rsid w:val="005946AC"/>
    <w:rsid w:val="00595B72"/>
    <w:rsid w:val="0059749F"/>
    <w:rsid w:val="00597810"/>
    <w:rsid w:val="005A2081"/>
    <w:rsid w:val="005A66BC"/>
    <w:rsid w:val="005A767F"/>
    <w:rsid w:val="005A7D7B"/>
    <w:rsid w:val="005A7EE2"/>
    <w:rsid w:val="005B006E"/>
    <w:rsid w:val="005B0775"/>
    <w:rsid w:val="005B0E2A"/>
    <w:rsid w:val="005B0E41"/>
    <w:rsid w:val="005B12B4"/>
    <w:rsid w:val="005B1BA4"/>
    <w:rsid w:val="005B457C"/>
    <w:rsid w:val="005B500D"/>
    <w:rsid w:val="005C0884"/>
    <w:rsid w:val="005C2105"/>
    <w:rsid w:val="005C217D"/>
    <w:rsid w:val="005C32A2"/>
    <w:rsid w:val="005C3987"/>
    <w:rsid w:val="005C665E"/>
    <w:rsid w:val="005C705B"/>
    <w:rsid w:val="005D01B4"/>
    <w:rsid w:val="005D37AC"/>
    <w:rsid w:val="005D3FEC"/>
    <w:rsid w:val="005D4163"/>
    <w:rsid w:val="005D7FCA"/>
    <w:rsid w:val="005E256F"/>
    <w:rsid w:val="005E387B"/>
    <w:rsid w:val="005E6E31"/>
    <w:rsid w:val="005E7FED"/>
    <w:rsid w:val="005F0220"/>
    <w:rsid w:val="005F1286"/>
    <w:rsid w:val="005F1C9C"/>
    <w:rsid w:val="005F1D9F"/>
    <w:rsid w:val="005F2712"/>
    <w:rsid w:val="005F3BCF"/>
    <w:rsid w:val="005F3F4F"/>
    <w:rsid w:val="005F473C"/>
    <w:rsid w:val="005F5291"/>
    <w:rsid w:val="005F559D"/>
    <w:rsid w:val="005F7797"/>
    <w:rsid w:val="00600AEB"/>
    <w:rsid w:val="00601B08"/>
    <w:rsid w:val="00604031"/>
    <w:rsid w:val="00610A7A"/>
    <w:rsid w:val="006123FF"/>
    <w:rsid w:val="006139E4"/>
    <w:rsid w:val="00617B9A"/>
    <w:rsid w:val="00621003"/>
    <w:rsid w:val="00621BE0"/>
    <w:rsid w:val="00622437"/>
    <w:rsid w:val="00622729"/>
    <w:rsid w:val="00622DC9"/>
    <w:rsid w:val="00623D8F"/>
    <w:rsid w:val="0062515D"/>
    <w:rsid w:val="00625395"/>
    <w:rsid w:val="00627B31"/>
    <w:rsid w:val="00631C61"/>
    <w:rsid w:val="00632BD2"/>
    <w:rsid w:val="00633DB4"/>
    <w:rsid w:val="00634022"/>
    <w:rsid w:val="00634681"/>
    <w:rsid w:val="00634CD5"/>
    <w:rsid w:val="006359B6"/>
    <w:rsid w:val="0064107C"/>
    <w:rsid w:val="0064442E"/>
    <w:rsid w:val="00647233"/>
    <w:rsid w:val="00650DFB"/>
    <w:rsid w:val="0065290B"/>
    <w:rsid w:val="00652CB8"/>
    <w:rsid w:val="00653DD4"/>
    <w:rsid w:val="00656F21"/>
    <w:rsid w:val="00662994"/>
    <w:rsid w:val="00663F79"/>
    <w:rsid w:val="00664EFC"/>
    <w:rsid w:val="00667CB5"/>
    <w:rsid w:val="00670662"/>
    <w:rsid w:val="006724C3"/>
    <w:rsid w:val="00672AFD"/>
    <w:rsid w:val="00673D49"/>
    <w:rsid w:val="00674060"/>
    <w:rsid w:val="00674AB4"/>
    <w:rsid w:val="00675CDE"/>
    <w:rsid w:val="00676CC5"/>
    <w:rsid w:val="00677685"/>
    <w:rsid w:val="00677833"/>
    <w:rsid w:val="00680231"/>
    <w:rsid w:val="006830D8"/>
    <w:rsid w:val="00683C51"/>
    <w:rsid w:val="00684575"/>
    <w:rsid w:val="00686864"/>
    <w:rsid w:val="00687D4B"/>
    <w:rsid w:val="00690B4B"/>
    <w:rsid w:val="00692319"/>
    <w:rsid w:val="006948C5"/>
    <w:rsid w:val="006A00F9"/>
    <w:rsid w:val="006A0EF6"/>
    <w:rsid w:val="006A1E10"/>
    <w:rsid w:val="006A2180"/>
    <w:rsid w:val="006A4021"/>
    <w:rsid w:val="006A4833"/>
    <w:rsid w:val="006A6211"/>
    <w:rsid w:val="006B0AB9"/>
    <w:rsid w:val="006B3AEF"/>
    <w:rsid w:val="006B400C"/>
    <w:rsid w:val="006B4039"/>
    <w:rsid w:val="006B60A4"/>
    <w:rsid w:val="006B7494"/>
    <w:rsid w:val="006C3554"/>
    <w:rsid w:val="006C46A0"/>
    <w:rsid w:val="006C56F4"/>
    <w:rsid w:val="006C613C"/>
    <w:rsid w:val="006C6150"/>
    <w:rsid w:val="006C6CC9"/>
    <w:rsid w:val="006D0023"/>
    <w:rsid w:val="006D03AF"/>
    <w:rsid w:val="006D0AA7"/>
    <w:rsid w:val="006D122A"/>
    <w:rsid w:val="006D2D7A"/>
    <w:rsid w:val="006D433E"/>
    <w:rsid w:val="006D5219"/>
    <w:rsid w:val="006D56D6"/>
    <w:rsid w:val="006D5C05"/>
    <w:rsid w:val="006E0984"/>
    <w:rsid w:val="006E2EF9"/>
    <w:rsid w:val="006E37F4"/>
    <w:rsid w:val="006E3CC4"/>
    <w:rsid w:val="006E431B"/>
    <w:rsid w:val="006E6694"/>
    <w:rsid w:val="006E713C"/>
    <w:rsid w:val="006F0EC9"/>
    <w:rsid w:val="006F2140"/>
    <w:rsid w:val="006F24D1"/>
    <w:rsid w:val="006F2B02"/>
    <w:rsid w:val="006F46B7"/>
    <w:rsid w:val="006F4E66"/>
    <w:rsid w:val="006F4ED3"/>
    <w:rsid w:val="006F5F4A"/>
    <w:rsid w:val="006F6343"/>
    <w:rsid w:val="00703C79"/>
    <w:rsid w:val="00704752"/>
    <w:rsid w:val="0070478B"/>
    <w:rsid w:val="00706DDA"/>
    <w:rsid w:val="00707C34"/>
    <w:rsid w:val="00711119"/>
    <w:rsid w:val="0071152A"/>
    <w:rsid w:val="00711F71"/>
    <w:rsid w:val="00714046"/>
    <w:rsid w:val="00715174"/>
    <w:rsid w:val="00716CB6"/>
    <w:rsid w:val="0071752D"/>
    <w:rsid w:val="00720B0A"/>
    <w:rsid w:val="00720CF1"/>
    <w:rsid w:val="007215C9"/>
    <w:rsid w:val="00721B05"/>
    <w:rsid w:val="00723072"/>
    <w:rsid w:val="00723F0B"/>
    <w:rsid w:val="007275BD"/>
    <w:rsid w:val="007309C0"/>
    <w:rsid w:val="00731280"/>
    <w:rsid w:val="00731874"/>
    <w:rsid w:val="0073296A"/>
    <w:rsid w:val="007362A2"/>
    <w:rsid w:val="00740AFA"/>
    <w:rsid w:val="00740D8B"/>
    <w:rsid w:val="00741B0B"/>
    <w:rsid w:val="00742154"/>
    <w:rsid w:val="00743420"/>
    <w:rsid w:val="00744CBE"/>
    <w:rsid w:val="0074603A"/>
    <w:rsid w:val="00747520"/>
    <w:rsid w:val="0075374C"/>
    <w:rsid w:val="00753E5C"/>
    <w:rsid w:val="00755290"/>
    <w:rsid w:val="00755935"/>
    <w:rsid w:val="007566BF"/>
    <w:rsid w:val="00757684"/>
    <w:rsid w:val="00757F90"/>
    <w:rsid w:val="00762F0B"/>
    <w:rsid w:val="0076600D"/>
    <w:rsid w:val="007707F6"/>
    <w:rsid w:val="00774590"/>
    <w:rsid w:val="007767B7"/>
    <w:rsid w:val="007775D2"/>
    <w:rsid w:val="007801CE"/>
    <w:rsid w:val="00780E76"/>
    <w:rsid w:val="00781095"/>
    <w:rsid w:val="0078146B"/>
    <w:rsid w:val="007822D3"/>
    <w:rsid w:val="0078730A"/>
    <w:rsid w:val="00790878"/>
    <w:rsid w:val="00790A50"/>
    <w:rsid w:val="0079290E"/>
    <w:rsid w:val="0079523C"/>
    <w:rsid w:val="007A032E"/>
    <w:rsid w:val="007A13B0"/>
    <w:rsid w:val="007A2036"/>
    <w:rsid w:val="007A2CC7"/>
    <w:rsid w:val="007A2F09"/>
    <w:rsid w:val="007A3D40"/>
    <w:rsid w:val="007A78F2"/>
    <w:rsid w:val="007B0B38"/>
    <w:rsid w:val="007B14AE"/>
    <w:rsid w:val="007B1F33"/>
    <w:rsid w:val="007B34C8"/>
    <w:rsid w:val="007B3D03"/>
    <w:rsid w:val="007B45B5"/>
    <w:rsid w:val="007B4935"/>
    <w:rsid w:val="007B4E78"/>
    <w:rsid w:val="007B6C0A"/>
    <w:rsid w:val="007B70B0"/>
    <w:rsid w:val="007B7F3E"/>
    <w:rsid w:val="007C026A"/>
    <w:rsid w:val="007C2B08"/>
    <w:rsid w:val="007C4190"/>
    <w:rsid w:val="007C62AA"/>
    <w:rsid w:val="007C69F0"/>
    <w:rsid w:val="007C6D2A"/>
    <w:rsid w:val="007C76B5"/>
    <w:rsid w:val="007D21F5"/>
    <w:rsid w:val="007D2442"/>
    <w:rsid w:val="007D2FEB"/>
    <w:rsid w:val="007D57D8"/>
    <w:rsid w:val="007D5A68"/>
    <w:rsid w:val="007D73E7"/>
    <w:rsid w:val="007E02DA"/>
    <w:rsid w:val="007E0895"/>
    <w:rsid w:val="007E0CA6"/>
    <w:rsid w:val="007E12C9"/>
    <w:rsid w:val="007E2458"/>
    <w:rsid w:val="007E2F81"/>
    <w:rsid w:val="007E349A"/>
    <w:rsid w:val="007E3661"/>
    <w:rsid w:val="007E4482"/>
    <w:rsid w:val="007E578C"/>
    <w:rsid w:val="007F1670"/>
    <w:rsid w:val="007F382A"/>
    <w:rsid w:val="007F3AC5"/>
    <w:rsid w:val="00800752"/>
    <w:rsid w:val="008018D6"/>
    <w:rsid w:val="00801C68"/>
    <w:rsid w:val="008027B2"/>
    <w:rsid w:val="008028E5"/>
    <w:rsid w:val="00802911"/>
    <w:rsid w:val="008046BB"/>
    <w:rsid w:val="00805087"/>
    <w:rsid w:val="008070B5"/>
    <w:rsid w:val="0080791E"/>
    <w:rsid w:val="00810675"/>
    <w:rsid w:val="00810F83"/>
    <w:rsid w:val="00811BED"/>
    <w:rsid w:val="00813129"/>
    <w:rsid w:val="008139BD"/>
    <w:rsid w:val="00814E80"/>
    <w:rsid w:val="0081620C"/>
    <w:rsid w:val="008203F4"/>
    <w:rsid w:val="00822E88"/>
    <w:rsid w:val="00823152"/>
    <w:rsid w:val="00823A2D"/>
    <w:rsid w:val="008260B4"/>
    <w:rsid w:val="00826BC0"/>
    <w:rsid w:val="00827386"/>
    <w:rsid w:val="00830AA1"/>
    <w:rsid w:val="00830E6B"/>
    <w:rsid w:val="00830EBA"/>
    <w:rsid w:val="00832303"/>
    <w:rsid w:val="00832622"/>
    <w:rsid w:val="00833161"/>
    <w:rsid w:val="0083346C"/>
    <w:rsid w:val="00833692"/>
    <w:rsid w:val="008336FC"/>
    <w:rsid w:val="008348B0"/>
    <w:rsid w:val="00834D1D"/>
    <w:rsid w:val="008404CE"/>
    <w:rsid w:val="008409A3"/>
    <w:rsid w:val="00842593"/>
    <w:rsid w:val="00842974"/>
    <w:rsid w:val="00844B03"/>
    <w:rsid w:val="0084501A"/>
    <w:rsid w:val="0084654D"/>
    <w:rsid w:val="00850976"/>
    <w:rsid w:val="008514FC"/>
    <w:rsid w:val="008524F0"/>
    <w:rsid w:val="00854EE3"/>
    <w:rsid w:val="0085672D"/>
    <w:rsid w:val="0085676B"/>
    <w:rsid w:val="00856947"/>
    <w:rsid w:val="00856C62"/>
    <w:rsid w:val="00856D59"/>
    <w:rsid w:val="008614EC"/>
    <w:rsid w:val="00861A34"/>
    <w:rsid w:val="00865549"/>
    <w:rsid w:val="0086569C"/>
    <w:rsid w:val="00867700"/>
    <w:rsid w:val="0087162C"/>
    <w:rsid w:val="00871DCB"/>
    <w:rsid w:val="0087217A"/>
    <w:rsid w:val="00874014"/>
    <w:rsid w:val="00874D6C"/>
    <w:rsid w:val="00875E8C"/>
    <w:rsid w:val="008764D3"/>
    <w:rsid w:val="008849D2"/>
    <w:rsid w:val="00885908"/>
    <w:rsid w:val="0088696E"/>
    <w:rsid w:val="008906B1"/>
    <w:rsid w:val="00890D23"/>
    <w:rsid w:val="00892ABC"/>
    <w:rsid w:val="00893EB4"/>
    <w:rsid w:val="00894F50"/>
    <w:rsid w:val="008A028B"/>
    <w:rsid w:val="008A0E45"/>
    <w:rsid w:val="008A0E96"/>
    <w:rsid w:val="008A1A59"/>
    <w:rsid w:val="008A1EB5"/>
    <w:rsid w:val="008A2C04"/>
    <w:rsid w:val="008A42B3"/>
    <w:rsid w:val="008A5448"/>
    <w:rsid w:val="008A72F0"/>
    <w:rsid w:val="008B03A9"/>
    <w:rsid w:val="008B04C9"/>
    <w:rsid w:val="008B0572"/>
    <w:rsid w:val="008B11A0"/>
    <w:rsid w:val="008B1718"/>
    <w:rsid w:val="008B1789"/>
    <w:rsid w:val="008B18DB"/>
    <w:rsid w:val="008B1E56"/>
    <w:rsid w:val="008B271A"/>
    <w:rsid w:val="008B37C5"/>
    <w:rsid w:val="008B52F4"/>
    <w:rsid w:val="008B5FDC"/>
    <w:rsid w:val="008B6389"/>
    <w:rsid w:val="008B6776"/>
    <w:rsid w:val="008B69FE"/>
    <w:rsid w:val="008B76F1"/>
    <w:rsid w:val="008C1A88"/>
    <w:rsid w:val="008C2EFB"/>
    <w:rsid w:val="008C4BA3"/>
    <w:rsid w:val="008C5957"/>
    <w:rsid w:val="008C608B"/>
    <w:rsid w:val="008C7480"/>
    <w:rsid w:val="008C7C3A"/>
    <w:rsid w:val="008D18A9"/>
    <w:rsid w:val="008D3D10"/>
    <w:rsid w:val="008D51C4"/>
    <w:rsid w:val="008D5B63"/>
    <w:rsid w:val="008D7106"/>
    <w:rsid w:val="008E3AFC"/>
    <w:rsid w:val="008E4330"/>
    <w:rsid w:val="008E4420"/>
    <w:rsid w:val="008E644E"/>
    <w:rsid w:val="008E6AAA"/>
    <w:rsid w:val="008F1F5E"/>
    <w:rsid w:val="008F422F"/>
    <w:rsid w:val="008F578C"/>
    <w:rsid w:val="008F591E"/>
    <w:rsid w:val="008F5DAF"/>
    <w:rsid w:val="00901697"/>
    <w:rsid w:val="00901B03"/>
    <w:rsid w:val="00901EA2"/>
    <w:rsid w:val="00902ED4"/>
    <w:rsid w:val="00905436"/>
    <w:rsid w:val="0090586B"/>
    <w:rsid w:val="009061A1"/>
    <w:rsid w:val="00906C61"/>
    <w:rsid w:val="00911D56"/>
    <w:rsid w:val="009127B3"/>
    <w:rsid w:val="00913807"/>
    <w:rsid w:val="0091493E"/>
    <w:rsid w:val="00914EA0"/>
    <w:rsid w:val="00915A56"/>
    <w:rsid w:val="009203D7"/>
    <w:rsid w:val="00920870"/>
    <w:rsid w:val="00921752"/>
    <w:rsid w:val="00922DC0"/>
    <w:rsid w:val="009232E2"/>
    <w:rsid w:val="00925589"/>
    <w:rsid w:val="00926531"/>
    <w:rsid w:val="009273DE"/>
    <w:rsid w:val="00927FCE"/>
    <w:rsid w:val="00930C75"/>
    <w:rsid w:val="0093121F"/>
    <w:rsid w:val="00933827"/>
    <w:rsid w:val="009346BC"/>
    <w:rsid w:val="00934952"/>
    <w:rsid w:val="00935DFB"/>
    <w:rsid w:val="00937A56"/>
    <w:rsid w:val="009413B9"/>
    <w:rsid w:val="009416FF"/>
    <w:rsid w:val="00942903"/>
    <w:rsid w:val="00942B94"/>
    <w:rsid w:val="00945885"/>
    <w:rsid w:val="00945DCE"/>
    <w:rsid w:val="009503D6"/>
    <w:rsid w:val="009506FF"/>
    <w:rsid w:val="00952A24"/>
    <w:rsid w:val="00953734"/>
    <w:rsid w:val="00955501"/>
    <w:rsid w:val="00961B0B"/>
    <w:rsid w:val="00963458"/>
    <w:rsid w:val="00964ED5"/>
    <w:rsid w:val="0096677B"/>
    <w:rsid w:val="00966F34"/>
    <w:rsid w:val="009673C3"/>
    <w:rsid w:val="00971061"/>
    <w:rsid w:val="009711E1"/>
    <w:rsid w:val="00971A81"/>
    <w:rsid w:val="0097241C"/>
    <w:rsid w:val="00973CFE"/>
    <w:rsid w:val="009742B9"/>
    <w:rsid w:val="00977FF5"/>
    <w:rsid w:val="009829AC"/>
    <w:rsid w:val="009840F3"/>
    <w:rsid w:val="00985572"/>
    <w:rsid w:val="00985DAD"/>
    <w:rsid w:val="0098666B"/>
    <w:rsid w:val="00990846"/>
    <w:rsid w:val="009938CA"/>
    <w:rsid w:val="00995E5E"/>
    <w:rsid w:val="009976C6"/>
    <w:rsid w:val="009A02BB"/>
    <w:rsid w:val="009A0B26"/>
    <w:rsid w:val="009A1E9E"/>
    <w:rsid w:val="009A3345"/>
    <w:rsid w:val="009A3701"/>
    <w:rsid w:val="009A53EE"/>
    <w:rsid w:val="009A56BF"/>
    <w:rsid w:val="009A6EBF"/>
    <w:rsid w:val="009B05C4"/>
    <w:rsid w:val="009B1178"/>
    <w:rsid w:val="009B1EDB"/>
    <w:rsid w:val="009B2DAA"/>
    <w:rsid w:val="009B3F32"/>
    <w:rsid w:val="009B4B09"/>
    <w:rsid w:val="009B55C4"/>
    <w:rsid w:val="009B5AE3"/>
    <w:rsid w:val="009C1AA7"/>
    <w:rsid w:val="009C2C28"/>
    <w:rsid w:val="009C3D70"/>
    <w:rsid w:val="009C3F33"/>
    <w:rsid w:val="009C49C2"/>
    <w:rsid w:val="009C4AF8"/>
    <w:rsid w:val="009C5D1A"/>
    <w:rsid w:val="009C5E47"/>
    <w:rsid w:val="009C5F4D"/>
    <w:rsid w:val="009D1498"/>
    <w:rsid w:val="009D485E"/>
    <w:rsid w:val="009D4926"/>
    <w:rsid w:val="009D4E57"/>
    <w:rsid w:val="009D64DE"/>
    <w:rsid w:val="009E12DA"/>
    <w:rsid w:val="009E2908"/>
    <w:rsid w:val="009E3036"/>
    <w:rsid w:val="009E30E1"/>
    <w:rsid w:val="009E3F50"/>
    <w:rsid w:val="009E4AEE"/>
    <w:rsid w:val="009E544F"/>
    <w:rsid w:val="009E61F1"/>
    <w:rsid w:val="009E74DB"/>
    <w:rsid w:val="009E7A1C"/>
    <w:rsid w:val="009F18B4"/>
    <w:rsid w:val="009F1C93"/>
    <w:rsid w:val="009F2F79"/>
    <w:rsid w:val="009F49E9"/>
    <w:rsid w:val="009F4C66"/>
    <w:rsid w:val="009F64CB"/>
    <w:rsid w:val="00A00671"/>
    <w:rsid w:val="00A00A41"/>
    <w:rsid w:val="00A0205B"/>
    <w:rsid w:val="00A042AA"/>
    <w:rsid w:val="00A04E5B"/>
    <w:rsid w:val="00A06C44"/>
    <w:rsid w:val="00A07580"/>
    <w:rsid w:val="00A10463"/>
    <w:rsid w:val="00A1154E"/>
    <w:rsid w:val="00A13396"/>
    <w:rsid w:val="00A137FA"/>
    <w:rsid w:val="00A16211"/>
    <w:rsid w:val="00A16D5E"/>
    <w:rsid w:val="00A1733E"/>
    <w:rsid w:val="00A1781B"/>
    <w:rsid w:val="00A17C0B"/>
    <w:rsid w:val="00A20467"/>
    <w:rsid w:val="00A20C35"/>
    <w:rsid w:val="00A22311"/>
    <w:rsid w:val="00A224E1"/>
    <w:rsid w:val="00A2256B"/>
    <w:rsid w:val="00A231F6"/>
    <w:rsid w:val="00A24D7F"/>
    <w:rsid w:val="00A254EE"/>
    <w:rsid w:val="00A25571"/>
    <w:rsid w:val="00A30618"/>
    <w:rsid w:val="00A30E6A"/>
    <w:rsid w:val="00A310D3"/>
    <w:rsid w:val="00A321FD"/>
    <w:rsid w:val="00A34AC9"/>
    <w:rsid w:val="00A356A6"/>
    <w:rsid w:val="00A36EAD"/>
    <w:rsid w:val="00A36F20"/>
    <w:rsid w:val="00A3720F"/>
    <w:rsid w:val="00A403DD"/>
    <w:rsid w:val="00A41B72"/>
    <w:rsid w:val="00A44304"/>
    <w:rsid w:val="00A44DA9"/>
    <w:rsid w:val="00A453FC"/>
    <w:rsid w:val="00A462C5"/>
    <w:rsid w:val="00A4645D"/>
    <w:rsid w:val="00A47F0F"/>
    <w:rsid w:val="00A51022"/>
    <w:rsid w:val="00A5108F"/>
    <w:rsid w:val="00A5190A"/>
    <w:rsid w:val="00A51CE4"/>
    <w:rsid w:val="00A538AF"/>
    <w:rsid w:val="00A53F54"/>
    <w:rsid w:val="00A5649B"/>
    <w:rsid w:val="00A5775C"/>
    <w:rsid w:val="00A617E0"/>
    <w:rsid w:val="00A63DC4"/>
    <w:rsid w:val="00A657F1"/>
    <w:rsid w:val="00A66900"/>
    <w:rsid w:val="00A70411"/>
    <w:rsid w:val="00A716C0"/>
    <w:rsid w:val="00A71C0B"/>
    <w:rsid w:val="00A757DF"/>
    <w:rsid w:val="00A761EB"/>
    <w:rsid w:val="00A7788F"/>
    <w:rsid w:val="00A77BFA"/>
    <w:rsid w:val="00A77F0E"/>
    <w:rsid w:val="00A80E02"/>
    <w:rsid w:val="00A82855"/>
    <w:rsid w:val="00A82FC7"/>
    <w:rsid w:val="00A83443"/>
    <w:rsid w:val="00A83BB8"/>
    <w:rsid w:val="00A83D0D"/>
    <w:rsid w:val="00A84C6F"/>
    <w:rsid w:val="00A8587B"/>
    <w:rsid w:val="00A86AF3"/>
    <w:rsid w:val="00A8742A"/>
    <w:rsid w:val="00A87757"/>
    <w:rsid w:val="00A879C4"/>
    <w:rsid w:val="00A90B52"/>
    <w:rsid w:val="00A92845"/>
    <w:rsid w:val="00A940C4"/>
    <w:rsid w:val="00A9438F"/>
    <w:rsid w:val="00A952E0"/>
    <w:rsid w:val="00A96338"/>
    <w:rsid w:val="00AA099F"/>
    <w:rsid w:val="00AA2A6E"/>
    <w:rsid w:val="00AA4053"/>
    <w:rsid w:val="00AA4071"/>
    <w:rsid w:val="00AA47AC"/>
    <w:rsid w:val="00AA4E12"/>
    <w:rsid w:val="00AA5774"/>
    <w:rsid w:val="00AA75CD"/>
    <w:rsid w:val="00AB0625"/>
    <w:rsid w:val="00AB3FA6"/>
    <w:rsid w:val="00AB42DE"/>
    <w:rsid w:val="00AB7537"/>
    <w:rsid w:val="00AC009B"/>
    <w:rsid w:val="00AC04B7"/>
    <w:rsid w:val="00AC14C1"/>
    <w:rsid w:val="00AC340B"/>
    <w:rsid w:val="00AC5A16"/>
    <w:rsid w:val="00AC7E46"/>
    <w:rsid w:val="00AD48FC"/>
    <w:rsid w:val="00AD4F40"/>
    <w:rsid w:val="00AD5655"/>
    <w:rsid w:val="00AD5A81"/>
    <w:rsid w:val="00AD75BE"/>
    <w:rsid w:val="00AE0A48"/>
    <w:rsid w:val="00AE14FE"/>
    <w:rsid w:val="00AE1CA3"/>
    <w:rsid w:val="00AE2839"/>
    <w:rsid w:val="00AE2ED7"/>
    <w:rsid w:val="00AE32E8"/>
    <w:rsid w:val="00AE4A50"/>
    <w:rsid w:val="00AE50F9"/>
    <w:rsid w:val="00AE69BA"/>
    <w:rsid w:val="00AE7367"/>
    <w:rsid w:val="00AE7C1B"/>
    <w:rsid w:val="00AE7DB2"/>
    <w:rsid w:val="00AF0BF5"/>
    <w:rsid w:val="00AF10FA"/>
    <w:rsid w:val="00AF19EF"/>
    <w:rsid w:val="00AF2215"/>
    <w:rsid w:val="00AF3F87"/>
    <w:rsid w:val="00AF4007"/>
    <w:rsid w:val="00AF4D4A"/>
    <w:rsid w:val="00AF5303"/>
    <w:rsid w:val="00AF74FE"/>
    <w:rsid w:val="00AF7580"/>
    <w:rsid w:val="00B00D37"/>
    <w:rsid w:val="00B01304"/>
    <w:rsid w:val="00B05679"/>
    <w:rsid w:val="00B07E27"/>
    <w:rsid w:val="00B120D6"/>
    <w:rsid w:val="00B12232"/>
    <w:rsid w:val="00B16F4D"/>
    <w:rsid w:val="00B17DCB"/>
    <w:rsid w:val="00B21E11"/>
    <w:rsid w:val="00B22F12"/>
    <w:rsid w:val="00B22F42"/>
    <w:rsid w:val="00B23E62"/>
    <w:rsid w:val="00B265AE"/>
    <w:rsid w:val="00B3050E"/>
    <w:rsid w:val="00B30AAA"/>
    <w:rsid w:val="00B3201E"/>
    <w:rsid w:val="00B328D3"/>
    <w:rsid w:val="00B33591"/>
    <w:rsid w:val="00B335F2"/>
    <w:rsid w:val="00B35A70"/>
    <w:rsid w:val="00B35E77"/>
    <w:rsid w:val="00B400D9"/>
    <w:rsid w:val="00B40271"/>
    <w:rsid w:val="00B40805"/>
    <w:rsid w:val="00B41A6E"/>
    <w:rsid w:val="00B42C30"/>
    <w:rsid w:val="00B4323B"/>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E5A"/>
    <w:rsid w:val="00B60BA9"/>
    <w:rsid w:val="00B6163D"/>
    <w:rsid w:val="00B6235A"/>
    <w:rsid w:val="00B66966"/>
    <w:rsid w:val="00B6792E"/>
    <w:rsid w:val="00B70556"/>
    <w:rsid w:val="00B71B68"/>
    <w:rsid w:val="00B74A1A"/>
    <w:rsid w:val="00B752E3"/>
    <w:rsid w:val="00B75E86"/>
    <w:rsid w:val="00B800BE"/>
    <w:rsid w:val="00B819C6"/>
    <w:rsid w:val="00B82302"/>
    <w:rsid w:val="00B85369"/>
    <w:rsid w:val="00B85ECD"/>
    <w:rsid w:val="00B87DB8"/>
    <w:rsid w:val="00B90776"/>
    <w:rsid w:val="00B915AE"/>
    <w:rsid w:val="00B92BDA"/>
    <w:rsid w:val="00B930C3"/>
    <w:rsid w:val="00B936A9"/>
    <w:rsid w:val="00B9421A"/>
    <w:rsid w:val="00B94FCF"/>
    <w:rsid w:val="00B95BC1"/>
    <w:rsid w:val="00B96A67"/>
    <w:rsid w:val="00B96C04"/>
    <w:rsid w:val="00BA374B"/>
    <w:rsid w:val="00BA5DCB"/>
    <w:rsid w:val="00BA771C"/>
    <w:rsid w:val="00BB1902"/>
    <w:rsid w:val="00BB354E"/>
    <w:rsid w:val="00BB466C"/>
    <w:rsid w:val="00BB473F"/>
    <w:rsid w:val="00BB7732"/>
    <w:rsid w:val="00BC0AD2"/>
    <w:rsid w:val="00BC168E"/>
    <w:rsid w:val="00BC1D92"/>
    <w:rsid w:val="00BC2916"/>
    <w:rsid w:val="00BC6D05"/>
    <w:rsid w:val="00BC7703"/>
    <w:rsid w:val="00BC7729"/>
    <w:rsid w:val="00BD0510"/>
    <w:rsid w:val="00BD123E"/>
    <w:rsid w:val="00BD128F"/>
    <w:rsid w:val="00BD6310"/>
    <w:rsid w:val="00BD64E4"/>
    <w:rsid w:val="00BD6BBB"/>
    <w:rsid w:val="00BD78CC"/>
    <w:rsid w:val="00BE04FF"/>
    <w:rsid w:val="00BE120C"/>
    <w:rsid w:val="00BE18BE"/>
    <w:rsid w:val="00BE2E94"/>
    <w:rsid w:val="00BE5271"/>
    <w:rsid w:val="00BE64AF"/>
    <w:rsid w:val="00BE66B4"/>
    <w:rsid w:val="00BE6820"/>
    <w:rsid w:val="00BE6E25"/>
    <w:rsid w:val="00BF1087"/>
    <w:rsid w:val="00BF198B"/>
    <w:rsid w:val="00BF357B"/>
    <w:rsid w:val="00BF5F9F"/>
    <w:rsid w:val="00BF736F"/>
    <w:rsid w:val="00C002AE"/>
    <w:rsid w:val="00C035DC"/>
    <w:rsid w:val="00C039F2"/>
    <w:rsid w:val="00C064AA"/>
    <w:rsid w:val="00C103BD"/>
    <w:rsid w:val="00C11CC3"/>
    <w:rsid w:val="00C14457"/>
    <w:rsid w:val="00C14787"/>
    <w:rsid w:val="00C14FA4"/>
    <w:rsid w:val="00C169F8"/>
    <w:rsid w:val="00C20D76"/>
    <w:rsid w:val="00C211F1"/>
    <w:rsid w:val="00C265E5"/>
    <w:rsid w:val="00C278A4"/>
    <w:rsid w:val="00C325C8"/>
    <w:rsid w:val="00C325E6"/>
    <w:rsid w:val="00C32791"/>
    <w:rsid w:val="00C3423C"/>
    <w:rsid w:val="00C345CB"/>
    <w:rsid w:val="00C345DC"/>
    <w:rsid w:val="00C34D00"/>
    <w:rsid w:val="00C34F43"/>
    <w:rsid w:val="00C3512F"/>
    <w:rsid w:val="00C37282"/>
    <w:rsid w:val="00C405D2"/>
    <w:rsid w:val="00C44149"/>
    <w:rsid w:val="00C44975"/>
    <w:rsid w:val="00C45605"/>
    <w:rsid w:val="00C4647A"/>
    <w:rsid w:val="00C4765D"/>
    <w:rsid w:val="00C500EA"/>
    <w:rsid w:val="00C50B61"/>
    <w:rsid w:val="00C52048"/>
    <w:rsid w:val="00C572C0"/>
    <w:rsid w:val="00C576C2"/>
    <w:rsid w:val="00C61010"/>
    <w:rsid w:val="00C61DC8"/>
    <w:rsid w:val="00C6244F"/>
    <w:rsid w:val="00C62917"/>
    <w:rsid w:val="00C63605"/>
    <w:rsid w:val="00C63EFA"/>
    <w:rsid w:val="00C64D5C"/>
    <w:rsid w:val="00C662C1"/>
    <w:rsid w:val="00C665E3"/>
    <w:rsid w:val="00C666EA"/>
    <w:rsid w:val="00C67C69"/>
    <w:rsid w:val="00C71A62"/>
    <w:rsid w:val="00C75859"/>
    <w:rsid w:val="00C76344"/>
    <w:rsid w:val="00C77205"/>
    <w:rsid w:val="00C77425"/>
    <w:rsid w:val="00C80918"/>
    <w:rsid w:val="00C81069"/>
    <w:rsid w:val="00C811A3"/>
    <w:rsid w:val="00C81723"/>
    <w:rsid w:val="00C85EB3"/>
    <w:rsid w:val="00C873F9"/>
    <w:rsid w:val="00C87A1D"/>
    <w:rsid w:val="00C87AE7"/>
    <w:rsid w:val="00C90E60"/>
    <w:rsid w:val="00C9173D"/>
    <w:rsid w:val="00C93D7F"/>
    <w:rsid w:val="00C94C2C"/>
    <w:rsid w:val="00C95388"/>
    <w:rsid w:val="00C95400"/>
    <w:rsid w:val="00C9570B"/>
    <w:rsid w:val="00C95A02"/>
    <w:rsid w:val="00CA05F2"/>
    <w:rsid w:val="00CA173F"/>
    <w:rsid w:val="00CA4B88"/>
    <w:rsid w:val="00CA50C7"/>
    <w:rsid w:val="00CA743C"/>
    <w:rsid w:val="00CB1043"/>
    <w:rsid w:val="00CB1B60"/>
    <w:rsid w:val="00CB4937"/>
    <w:rsid w:val="00CB4B13"/>
    <w:rsid w:val="00CB5DD5"/>
    <w:rsid w:val="00CB5ED3"/>
    <w:rsid w:val="00CB6C5F"/>
    <w:rsid w:val="00CB7467"/>
    <w:rsid w:val="00CC1A6C"/>
    <w:rsid w:val="00CC22F6"/>
    <w:rsid w:val="00CC2BD2"/>
    <w:rsid w:val="00CC5A36"/>
    <w:rsid w:val="00CC5BB0"/>
    <w:rsid w:val="00CC6B56"/>
    <w:rsid w:val="00CC7A1B"/>
    <w:rsid w:val="00CD0842"/>
    <w:rsid w:val="00CD1F94"/>
    <w:rsid w:val="00CD2523"/>
    <w:rsid w:val="00CD30EE"/>
    <w:rsid w:val="00CD3745"/>
    <w:rsid w:val="00CD39BE"/>
    <w:rsid w:val="00CE009B"/>
    <w:rsid w:val="00CE05BF"/>
    <w:rsid w:val="00CE13C9"/>
    <w:rsid w:val="00CE1941"/>
    <w:rsid w:val="00CE1EF4"/>
    <w:rsid w:val="00CE271F"/>
    <w:rsid w:val="00CE2E4E"/>
    <w:rsid w:val="00CE3C32"/>
    <w:rsid w:val="00CE6CDC"/>
    <w:rsid w:val="00CE7352"/>
    <w:rsid w:val="00CF1D0F"/>
    <w:rsid w:val="00CF25F6"/>
    <w:rsid w:val="00CF3914"/>
    <w:rsid w:val="00CF439D"/>
    <w:rsid w:val="00CF47B2"/>
    <w:rsid w:val="00CF5868"/>
    <w:rsid w:val="00CF5A35"/>
    <w:rsid w:val="00CF64CC"/>
    <w:rsid w:val="00D009AF"/>
    <w:rsid w:val="00D0146E"/>
    <w:rsid w:val="00D03115"/>
    <w:rsid w:val="00D033FA"/>
    <w:rsid w:val="00D048ED"/>
    <w:rsid w:val="00D0524D"/>
    <w:rsid w:val="00D06B51"/>
    <w:rsid w:val="00D11ECE"/>
    <w:rsid w:val="00D11F3E"/>
    <w:rsid w:val="00D15920"/>
    <w:rsid w:val="00D15E31"/>
    <w:rsid w:val="00D16351"/>
    <w:rsid w:val="00D16991"/>
    <w:rsid w:val="00D16C5E"/>
    <w:rsid w:val="00D1702E"/>
    <w:rsid w:val="00D20506"/>
    <w:rsid w:val="00D215C5"/>
    <w:rsid w:val="00D23CE7"/>
    <w:rsid w:val="00D244E4"/>
    <w:rsid w:val="00D24875"/>
    <w:rsid w:val="00D25AB0"/>
    <w:rsid w:val="00D2778B"/>
    <w:rsid w:val="00D27D33"/>
    <w:rsid w:val="00D302D4"/>
    <w:rsid w:val="00D3495D"/>
    <w:rsid w:val="00D358BD"/>
    <w:rsid w:val="00D40BE8"/>
    <w:rsid w:val="00D42CF0"/>
    <w:rsid w:val="00D43E68"/>
    <w:rsid w:val="00D44A41"/>
    <w:rsid w:val="00D44C2F"/>
    <w:rsid w:val="00D45D1C"/>
    <w:rsid w:val="00D45DD2"/>
    <w:rsid w:val="00D45F0A"/>
    <w:rsid w:val="00D462B9"/>
    <w:rsid w:val="00D47B91"/>
    <w:rsid w:val="00D47D6C"/>
    <w:rsid w:val="00D5072D"/>
    <w:rsid w:val="00D50E7D"/>
    <w:rsid w:val="00D51824"/>
    <w:rsid w:val="00D52B95"/>
    <w:rsid w:val="00D53394"/>
    <w:rsid w:val="00D54DCB"/>
    <w:rsid w:val="00D6197C"/>
    <w:rsid w:val="00D6531E"/>
    <w:rsid w:val="00D6617A"/>
    <w:rsid w:val="00D6672A"/>
    <w:rsid w:val="00D66CE3"/>
    <w:rsid w:val="00D709F4"/>
    <w:rsid w:val="00D70A0F"/>
    <w:rsid w:val="00D72508"/>
    <w:rsid w:val="00D7339A"/>
    <w:rsid w:val="00D73C82"/>
    <w:rsid w:val="00D73DEE"/>
    <w:rsid w:val="00D76AB2"/>
    <w:rsid w:val="00D777E8"/>
    <w:rsid w:val="00D77F24"/>
    <w:rsid w:val="00D80409"/>
    <w:rsid w:val="00D81BAC"/>
    <w:rsid w:val="00D861C4"/>
    <w:rsid w:val="00D86DE1"/>
    <w:rsid w:val="00D87766"/>
    <w:rsid w:val="00D92C4F"/>
    <w:rsid w:val="00D9380C"/>
    <w:rsid w:val="00D96EBA"/>
    <w:rsid w:val="00D97486"/>
    <w:rsid w:val="00D974C1"/>
    <w:rsid w:val="00D97708"/>
    <w:rsid w:val="00D97CC1"/>
    <w:rsid w:val="00DA0594"/>
    <w:rsid w:val="00DA1318"/>
    <w:rsid w:val="00DA3E7E"/>
    <w:rsid w:val="00DA4BB3"/>
    <w:rsid w:val="00DA6442"/>
    <w:rsid w:val="00DA79BF"/>
    <w:rsid w:val="00DA7C84"/>
    <w:rsid w:val="00DB17D1"/>
    <w:rsid w:val="00DB31AD"/>
    <w:rsid w:val="00DB42F8"/>
    <w:rsid w:val="00DB490A"/>
    <w:rsid w:val="00DB6171"/>
    <w:rsid w:val="00DC0678"/>
    <w:rsid w:val="00DC3EA1"/>
    <w:rsid w:val="00DC46C9"/>
    <w:rsid w:val="00DC478F"/>
    <w:rsid w:val="00DC51BD"/>
    <w:rsid w:val="00DC5E0B"/>
    <w:rsid w:val="00DC6E15"/>
    <w:rsid w:val="00DC76DF"/>
    <w:rsid w:val="00DD2062"/>
    <w:rsid w:val="00DD3144"/>
    <w:rsid w:val="00DD3A5C"/>
    <w:rsid w:val="00DD5421"/>
    <w:rsid w:val="00DD5712"/>
    <w:rsid w:val="00DD5B9E"/>
    <w:rsid w:val="00DE0E1F"/>
    <w:rsid w:val="00DE16BC"/>
    <w:rsid w:val="00DE5827"/>
    <w:rsid w:val="00DE5C57"/>
    <w:rsid w:val="00DE63ED"/>
    <w:rsid w:val="00DE7696"/>
    <w:rsid w:val="00DE79CC"/>
    <w:rsid w:val="00DF0280"/>
    <w:rsid w:val="00DF1D2A"/>
    <w:rsid w:val="00DF2ACB"/>
    <w:rsid w:val="00DF323B"/>
    <w:rsid w:val="00DF6910"/>
    <w:rsid w:val="00DF7356"/>
    <w:rsid w:val="00E01248"/>
    <w:rsid w:val="00E02920"/>
    <w:rsid w:val="00E02DBC"/>
    <w:rsid w:val="00E0318A"/>
    <w:rsid w:val="00E0378A"/>
    <w:rsid w:val="00E038D4"/>
    <w:rsid w:val="00E03B19"/>
    <w:rsid w:val="00E04010"/>
    <w:rsid w:val="00E04102"/>
    <w:rsid w:val="00E044D7"/>
    <w:rsid w:val="00E04A28"/>
    <w:rsid w:val="00E10C35"/>
    <w:rsid w:val="00E11C12"/>
    <w:rsid w:val="00E11C67"/>
    <w:rsid w:val="00E11D68"/>
    <w:rsid w:val="00E130E8"/>
    <w:rsid w:val="00E1343E"/>
    <w:rsid w:val="00E13AF7"/>
    <w:rsid w:val="00E14715"/>
    <w:rsid w:val="00E153E7"/>
    <w:rsid w:val="00E166B0"/>
    <w:rsid w:val="00E23B32"/>
    <w:rsid w:val="00E24BF2"/>
    <w:rsid w:val="00E26DF3"/>
    <w:rsid w:val="00E306FF"/>
    <w:rsid w:val="00E30D83"/>
    <w:rsid w:val="00E31576"/>
    <w:rsid w:val="00E344DA"/>
    <w:rsid w:val="00E357B0"/>
    <w:rsid w:val="00E35C93"/>
    <w:rsid w:val="00E36BFC"/>
    <w:rsid w:val="00E37E05"/>
    <w:rsid w:val="00E37E5F"/>
    <w:rsid w:val="00E41D3E"/>
    <w:rsid w:val="00E42557"/>
    <w:rsid w:val="00E437A1"/>
    <w:rsid w:val="00E43915"/>
    <w:rsid w:val="00E46204"/>
    <w:rsid w:val="00E47A07"/>
    <w:rsid w:val="00E47A2C"/>
    <w:rsid w:val="00E5074E"/>
    <w:rsid w:val="00E50A9F"/>
    <w:rsid w:val="00E50AD0"/>
    <w:rsid w:val="00E50C5D"/>
    <w:rsid w:val="00E5264E"/>
    <w:rsid w:val="00E52BAA"/>
    <w:rsid w:val="00E52D29"/>
    <w:rsid w:val="00E52D8F"/>
    <w:rsid w:val="00E548EC"/>
    <w:rsid w:val="00E54FA6"/>
    <w:rsid w:val="00E551B6"/>
    <w:rsid w:val="00E56CD4"/>
    <w:rsid w:val="00E62CB8"/>
    <w:rsid w:val="00E64407"/>
    <w:rsid w:val="00E70161"/>
    <w:rsid w:val="00E735A3"/>
    <w:rsid w:val="00E73DD0"/>
    <w:rsid w:val="00E76211"/>
    <w:rsid w:val="00E7626D"/>
    <w:rsid w:val="00E775B8"/>
    <w:rsid w:val="00E7761C"/>
    <w:rsid w:val="00E8011B"/>
    <w:rsid w:val="00E802F7"/>
    <w:rsid w:val="00E8099A"/>
    <w:rsid w:val="00E84210"/>
    <w:rsid w:val="00E84F77"/>
    <w:rsid w:val="00E8536C"/>
    <w:rsid w:val="00E85CB1"/>
    <w:rsid w:val="00E87923"/>
    <w:rsid w:val="00E90891"/>
    <w:rsid w:val="00E90ACA"/>
    <w:rsid w:val="00E90F87"/>
    <w:rsid w:val="00E91737"/>
    <w:rsid w:val="00E92107"/>
    <w:rsid w:val="00E92F19"/>
    <w:rsid w:val="00E94A64"/>
    <w:rsid w:val="00E96F0C"/>
    <w:rsid w:val="00E96FE8"/>
    <w:rsid w:val="00EA43B6"/>
    <w:rsid w:val="00EA63F7"/>
    <w:rsid w:val="00EB1668"/>
    <w:rsid w:val="00EB3000"/>
    <w:rsid w:val="00EB368C"/>
    <w:rsid w:val="00EB4F8A"/>
    <w:rsid w:val="00EB5384"/>
    <w:rsid w:val="00EB6C60"/>
    <w:rsid w:val="00EC1311"/>
    <w:rsid w:val="00EC2486"/>
    <w:rsid w:val="00EC26A5"/>
    <w:rsid w:val="00EC311B"/>
    <w:rsid w:val="00EC3940"/>
    <w:rsid w:val="00EC3DC8"/>
    <w:rsid w:val="00EC41FC"/>
    <w:rsid w:val="00EC49F2"/>
    <w:rsid w:val="00EC5E0B"/>
    <w:rsid w:val="00EC75B2"/>
    <w:rsid w:val="00ED1EE7"/>
    <w:rsid w:val="00ED1F50"/>
    <w:rsid w:val="00ED5505"/>
    <w:rsid w:val="00ED64EB"/>
    <w:rsid w:val="00ED67E6"/>
    <w:rsid w:val="00ED6C9F"/>
    <w:rsid w:val="00ED6F75"/>
    <w:rsid w:val="00EE03EB"/>
    <w:rsid w:val="00EE0DA3"/>
    <w:rsid w:val="00EE101F"/>
    <w:rsid w:val="00EE10F9"/>
    <w:rsid w:val="00EE161B"/>
    <w:rsid w:val="00EE2188"/>
    <w:rsid w:val="00EE2F63"/>
    <w:rsid w:val="00EE4112"/>
    <w:rsid w:val="00EF0F2F"/>
    <w:rsid w:val="00EF0F9B"/>
    <w:rsid w:val="00EF19BE"/>
    <w:rsid w:val="00EF1D35"/>
    <w:rsid w:val="00EF56EE"/>
    <w:rsid w:val="00F01161"/>
    <w:rsid w:val="00F01A4C"/>
    <w:rsid w:val="00F02252"/>
    <w:rsid w:val="00F024A6"/>
    <w:rsid w:val="00F05028"/>
    <w:rsid w:val="00F113B2"/>
    <w:rsid w:val="00F1361D"/>
    <w:rsid w:val="00F13723"/>
    <w:rsid w:val="00F14373"/>
    <w:rsid w:val="00F145F1"/>
    <w:rsid w:val="00F15042"/>
    <w:rsid w:val="00F15EDA"/>
    <w:rsid w:val="00F20CA1"/>
    <w:rsid w:val="00F20CEA"/>
    <w:rsid w:val="00F215A3"/>
    <w:rsid w:val="00F2188A"/>
    <w:rsid w:val="00F23B11"/>
    <w:rsid w:val="00F252D8"/>
    <w:rsid w:val="00F319E8"/>
    <w:rsid w:val="00F33479"/>
    <w:rsid w:val="00F33E44"/>
    <w:rsid w:val="00F360AC"/>
    <w:rsid w:val="00F4031B"/>
    <w:rsid w:val="00F4237F"/>
    <w:rsid w:val="00F42A57"/>
    <w:rsid w:val="00F42D4C"/>
    <w:rsid w:val="00F4380D"/>
    <w:rsid w:val="00F43E65"/>
    <w:rsid w:val="00F44757"/>
    <w:rsid w:val="00F47346"/>
    <w:rsid w:val="00F510EF"/>
    <w:rsid w:val="00F51344"/>
    <w:rsid w:val="00F51607"/>
    <w:rsid w:val="00F51BE3"/>
    <w:rsid w:val="00F5237B"/>
    <w:rsid w:val="00F53067"/>
    <w:rsid w:val="00F540D8"/>
    <w:rsid w:val="00F54C21"/>
    <w:rsid w:val="00F56E2A"/>
    <w:rsid w:val="00F6119D"/>
    <w:rsid w:val="00F62240"/>
    <w:rsid w:val="00F6370B"/>
    <w:rsid w:val="00F6407D"/>
    <w:rsid w:val="00F64289"/>
    <w:rsid w:val="00F64AC3"/>
    <w:rsid w:val="00F65D22"/>
    <w:rsid w:val="00F66850"/>
    <w:rsid w:val="00F67F9F"/>
    <w:rsid w:val="00F70A37"/>
    <w:rsid w:val="00F7114A"/>
    <w:rsid w:val="00F7293E"/>
    <w:rsid w:val="00F73162"/>
    <w:rsid w:val="00F73355"/>
    <w:rsid w:val="00F73ED3"/>
    <w:rsid w:val="00F75E57"/>
    <w:rsid w:val="00F77756"/>
    <w:rsid w:val="00F77D27"/>
    <w:rsid w:val="00F800D1"/>
    <w:rsid w:val="00F81822"/>
    <w:rsid w:val="00F81F7C"/>
    <w:rsid w:val="00F86675"/>
    <w:rsid w:val="00F90313"/>
    <w:rsid w:val="00F939F0"/>
    <w:rsid w:val="00F963B3"/>
    <w:rsid w:val="00F97183"/>
    <w:rsid w:val="00FA01DB"/>
    <w:rsid w:val="00FA080A"/>
    <w:rsid w:val="00FA0CED"/>
    <w:rsid w:val="00FA137C"/>
    <w:rsid w:val="00FA2F8E"/>
    <w:rsid w:val="00FA318C"/>
    <w:rsid w:val="00FA40D2"/>
    <w:rsid w:val="00FA745E"/>
    <w:rsid w:val="00FA75C3"/>
    <w:rsid w:val="00FB1C41"/>
    <w:rsid w:val="00FB3442"/>
    <w:rsid w:val="00FB3DC8"/>
    <w:rsid w:val="00FB4C6E"/>
    <w:rsid w:val="00FB5272"/>
    <w:rsid w:val="00FC0C27"/>
    <w:rsid w:val="00FC26DC"/>
    <w:rsid w:val="00FC30FC"/>
    <w:rsid w:val="00FC600E"/>
    <w:rsid w:val="00FC73E1"/>
    <w:rsid w:val="00FD097B"/>
    <w:rsid w:val="00FD692F"/>
    <w:rsid w:val="00FD6948"/>
    <w:rsid w:val="00FD7109"/>
    <w:rsid w:val="00FD7E6E"/>
    <w:rsid w:val="00FE12AC"/>
    <w:rsid w:val="00FE20DF"/>
    <w:rsid w:val="00FE2891"/>
    <w:rsid w:val="00FE3BE5"/>
    <w:rsid w:val="00FE482A"/>
    <w:rsid w:val="00FE48EE"/>
    <w:rsid w:val="00FE53EF"/>
    <w:rsid w:val="00FE5A01"/>
    <w:rsid w:val="00FE76C8"/>
    <w:rsid w:val="00FF1CDB"/>
    <w:rsid w:val="00FF3E1A"/>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uiPriority w:val="99"/>
    <w:rsid w:val="009506FF"/>
    <w:rPr>
      <w:rFonts w:ascii="Arial" w:eastAsia="Times New Roman" w:hAnsi="Arial"/>
      <w:sz w:val="24"/>
      <w:szCs w:val="24"/>
      <w:lang w:val="x-none" w:eastAsia="x-none"/>
    </w:rPr>
  </w:style>
  <w:style w:type="character" w:styleId="FootnoteReference">
    <w:name w:val="footnote reference"/>
    <w:aliases w:val="Ref,de nota al pie,註腳內容"/>
    <w:uiPriority w:val="99"/>
    <w:unhideWhenUsed/>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ipproducts.jutalaw.co.za/nxt/foliolinks.asp?f=xhitlist&amp;xhitlist_x=Advanced&amp;xhitlist_vpc=first&amp;xhitlist_xsl=querylink.xsl&amp;xhitlist_sel=title;path;content-type;home-title&amp;xhitlist_d=%7Bsalr%7D&amp;xhitlist_q=%5Bfield%20folio-destination-name:'011545'%5D&amp;xhitlist_md=target-id=0-0-0-6959" TargetMode="External"/><Relationship Id="rId2" Type="http://schemas.openxmlformats.org/officeDocument/2006/relationships/hyperlink" Target="http://www.saflii.org/cgi-bin/LawCite?cit=1998%20%281%29%20SA%20692" TargetMode="External"/><Relationship Id="rId1" Type="http://schemas.openxmlformats.org/officeDocument/2006/relationships/hyperlink" Target="http://www.saflii.org/cgi-bin/LawCite?cit=1979%20%284%29%20SA%20342" TargetMode="External"/><Relationship Id="rId6" Type="http://schemas.openxmlformats.org/officeDocument/2006/relationships/hyperlink" Target="http://www.saflii.org/cgi-bin/LawCite?cit=1912%20AD%20642" TargetMode="External"/><Relationship Id="rId5" Type="http://schemas.openxmlformats.org/officeDocument/2006/relationships/hyperlink" Target="http://ipproducts.jutalaw.co.za/nxt/foliolinks.asp?f=xhitlist&amp;xhitlist_x=Advanced&amp;xhitlist_vpc=first&amp;xhitlist_xsl=querylink.xsl&amp;xhitlist_sel=title;path;content-type;home-title&amp;xhitlist_d=%7Bsalr%7D&amp;xhitlist_q=%5Bfield%20folio-destination-name:'794342'%5D&amp;xhitlist_md=target-id=0-0-0-54179" TargetMode="External"/><Relationship Id="rId4" Type="http://schemas.openxmlformats.org/officeDocument/2006/relationships/hyperlink" Target="http://ipproducts.jutalaw.co.za/nxt/foliolinks.asp?f=xhitlist&amp;xhitlist_x=Advanced&amp;xhitlist_vpc=first&amp;xhitlist_xsl=querylink.xsl&amp;xhitlist_sel=title;path;content-type;home-title&amp;xhitlist_d=%7Bsalr%7D&amp;xhitlist_q=%5Bfield%20folio-destination-name:'021419'%5D&amp;xhitlist_md=target-id=0-0-0-748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2018-11-07T18:30:00+00:00</Judgment_x0020_Date>
    <Year xmlns="c1afb1bd-f2fb-40fd-9abb-aea55b4d7662">2018</Year>
  </documentManagement>
</p:properties>
</file>

<file path=customXml/itemProps1.xml><?xml version="1.0" encoding="utf-8"?>
<ds:datastoreItem xmlns:ds="http://schemas.openxmlformats.org/officeDocument/2006/customXml" ds:itemID="{7147153F-54FD-4576-B9A5-C20184A14141}"/>
</file>

<file path=customXml/itemProps2.xml><?xml version="1.0" encoding="utf-8"?>
<ds:datastoreItem xmlns:ds="http://schemas.openxmlformats.org/officeDocument/2006/customXml" ds:itemID="{84E5EC3F-DFEE-4AA9-B3EE-FFF5A304E985}"/>
</file>

<file path=customXml/itemProps3.xml><?xml version="1.0" encoding="utf-8"?>
<ds:datastoreItem xmlns:ds="http://schemas.openxmlformats.org/officeDocument/2006/customXml" ds:itemID="{F2DBC0A2-17C1-4B4E-B905-D85DE657AAE6}"/>
</file>

<file path=customXml/itemProps4.xml><?xml version="1.0" encoding="utf-8"?>
<ds:datastoreItem xmlns:ds="http://schemas.openxmlformats.org/officeDocument/2006/customXml" ds:itemID="{B43CC1A4-3348-4DBF-9B2B-C1B6DC625D01}"/>
</file>

<file path=docProps/app.xml><?xml version="1.0" encoding="utf-8"?>
<Properties xmlns="http://schemas.openxmlformats.org/officeDocument/2006/extended-properties" xmlns:vt="http://schemas.openxmlformats.org/officeDocument/2006/docPropsVTypes">
  <Template>JUDGMENT TEMPLATE</Template>
  <TotalTime>0</TotalTime>
  <Pages>40</Pages>
  <Words>10818</Words>
  <Characters>61667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 v Puma Energy (Namibia) (Pty) Ltd</dc:title>
  <dc:subject/>
  <dc:creator>High Court Judge 5</dc:creator>
  <cp:keywords/>
  <cp:lastModifiedBy>Nicole Januarie</cp:lastModifiedBy>
  <cp:revision>2</cp:revision>
  <cp:lastPrinted>2018-11-08T10:16:00Z</cp:lastPrinted>
  <dcterms:created xsi:type="dcterms:W3CDTF">2018-11-08T13:37:00Z</dcterms:created>
  <dcterms:modified xsi:type="dcterms:W3CDTF">2018-11-08T13:37:00Z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