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Pr="00922CA7" w:rsidRDefault="00C73154" w:rsidP="009C7093">
      <w:pPr>
        <w:spacing w:after="0" w:line="240" w:lineRule="auto"/>
        <w:jc w:val="center"/>
        <w:rPr>
          <w:rFonts w:ascii="Arial Narrow" w:hAnsi="Arial Narrow"/>
          <w:sz w:val="28"/>
          <w:szCs w:val="28"/>
        </w:rPr>
      </w:pPr>
      <w:r w:rsidRPr="00922CA7">
        <w:rPr>
          <w:rFonts w:ascii="Arial Narrow" w:hAnsi="Arial Narrow"/>
          <w:sz w:val="28"/>
          <w:szCs w:val="28"/>
        </w:rPr>
        <w:t>“ANNEXURE 11”</w:t>
      </w:r>
    </w:p>
    <w:p w:rsidR="009C7093" w:rsidRPr="00922CA7" w:rsidRDefault="009C7093" w:rsidP="009C7093">
      <w:pPr>
        <w:spacing w:after="0" w:line="240" w:lineRule="auto"/>
        <w:jc w:val="center"/>
        <w:rPr>
          <w:rFonts w:ascii="Arial Narrow" w:hAnsi="Arial Narrow"/>
          <w:sz w:val="28"/>
          <w:szCs w:val="28"/>
        </w:rPr>
      </w:pPr>
      <w:r w:rsidRPr="00922CA7">
        <w:rPr>
          <w:rFonts w:ascii="Arial Narrow" w:hAnsi="Arial Narrow"/>
          <w:sz w:val="28"/>
          <w:szCs w:val="28"/>
        </w:rPr>
        <w:t>Practice Directive 61</w:t>
      </w:r>
    </w:p>
    <w:p w:rsidR="00C73154" w:rsidRPr="00922CA7" w:rsidRDefault="00C73154" w:rsidP="00C73154">
      <w:pPr>
        <w:spacing w:after="0" w:line="360" w:lineRule="auto"/>
        <w:jc w:val="both"/>
        <w:rPr>
          <w:rFonts w:ascii="Arial Narrow" w:hAnsi="Arial Narrow"/>
          <w:sz w:val="24"/>
          <w:szCs w:val="24"/>
        </w:rPr>
      </w:pPr>
    </w:p>
    <w:p w:rsidR="00C73154" w:rsidRPr="00922CA7" w:rsidRDefault="00C73154" w:rsidP="00C73154">
      <w:pPr>
        <w:spacing w:after="0" w:line="360" w:lineRule="auto"/>
        <w:jc w:val="center"/>
        <w:rPr>
          <w:rFonts w:ascii="Arial Narrow" w:hAnsi="Arial Narrow"/>
          <w:b/>
          <w:sz w:val="26"/>
          <w:szCs w:val="26"/>
        </w:rPr>
      </w:pPr>
      <w:r w:rsidRPr="00922CA7">
        <w:rPr>
          <w:rFonts w:ascii="Arial Narrow" w:hAnsi="Arial Narrow"/>
          <w:b/>
          <w:sz w:val="26"/>
          <w:szCs w:val="26"/>
        </w:rPr>
        <w:t>IN THE HIGH COURT OF NAMIBIA</w:t>
      </w:r>
    </w:p>
    <w:p w:rsidR="00281FAB" w:rsidRPr="00922CA7" w:rsidRDefault="00281FAB" w:rsidP="00EB27A0">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922CA7" w:rsidTr="005403D8">
        <w:trPr>
          <w:trHeight w:val="744"/>
        </w:trPr>
        <w:tc>
          <w:tcPr>
            <w:tcW w:w="5397" w:type="dxa"/>
            <w:gridSpan w:val="2"/>
            <w:vMerge w:val="restart"/>
          </w:tcPr>
          <w:p w:rsidR="00C73154" w:rsidRPr="00922CA7" w:rsidRDefault="00C73154" w:rsidP="00EB27A0">
            <w:pPr>
              <w:spacing w:line="360" w:lineRule="auto"/>
              <w:jc w:val="both"/>
              <w:rPr>
                <w:rFonts w:ascii="Arial Narrow" w:hAnsi="Arial Narrow" w:cs="Arial"/>
                <w:sz w:val="26"/>
                <w:szCs w:val="26"/>
              </w:rPr>
            </w:pPr>
            <w:r w:rsidRPr="00922CA7">
              <w:rPr>
                <w:rFonts w:ascii="Arial Narrow" w:hAnsi="Arial Narrow" w:cs="Arial"/>
                <w:b/>
                <w:sz w:val="26"/>
                <w:szCs w:val="26"/>
              </w:rPr>
              <w:t>Case Title:</w:t>
            </w:r>
          </w:p>
          <w:p w:rsidR="00C73154" w:rsidRPr="00922CA7" w:rsidRDefault="00922CA7" w:rsidP="006D2D84">
            <w:pPr>
              <w:spacing w:line="360" w:lineRule="auto"/>
              <w:jc w:val="both"/>
              <w:rPr>
                <w:rFonts w:ascii="Arial Narrow" w:hAnsi="Arial Narrow" w:cs="Arial"/>
                <w:sz w:val="26"/>
                <w:szCs w:val="26"/>
              </w:rPr>
            </w:pPr>
            <w:r>
              <w:rPr>
                <w:rFonts w:ascii="Arial Narrow" w:hAnsi="Arial Narrow" w:cs="Arial"/>
                <w:sz w:val="26"/>
                <w:szCs w:val="26"/>
              </w:rPr>
              <w:t>Gecko Salt (Pty) Ltd // The Minister of Mines and Energy &amp; 8 Others</w:t>
            </w:r>
          </w:p>
          <w:p w:rsidR="00C73154" w:rsidRPr="00922CA7" w:rsidRDefault="00C73154" w:rsidP="006D2D84">
            <w:pPr>
              <w:spacing w:line="360" w:lineRule="auto"/>
              <w:jc w:val="both"/>
              <w:rPr>
                <w:rFonts w:ascii="Arial Narrow" w:hAnsi="Arial Narrow" w:cs="Arial"/>
                <w:sz w:val="26"/>
                <w:szCs w:val="26"/>
              </w:rPr>
            </w:pPr>
          </w:p>
        </w:tc>
        <w:tc>
          <w:tcPr>
            <w:tcW w:w="4323" w:type="dxa"/>
          </w:tcPr>
          <w:p w:rsidR="00C73154" w:rsidRPr="00922CA7" w:rsidRDefault="00C73154" w:rsidP="00905A48">
            <w:pPr>
              <w:spacing w:line="360" w:lineRule="auto"/>
              <w:jc w:val="both"/>
              <w:rPr>
                <w:rFonts w:ascii="Arial Narrow" w:hAnsi="Arial Narrow"/>
                <w:b/>
                <w:sz w:val="26"/>
                <w:szCs w:val="26"/>
              </w:rPr>
            </w:pPr>
            <w:r w:rsidRPr="00922CA7">
              <w:rPr>
                <w:rFonts w:ascii="Arial Narrow" w:hAnsi="Arial Narrow"/>
                <w:b/>
                <w:sz w:val="26"/>
                <w:szCs w:val="26"/>
              </w:rPr>
              <w:t>Case No:</w:t>
            </w:r>
          </w:p>
          <w:p w:rsidR="00C73154" w:rsidRPr="00922CA7" w:rsidRDefault="00922CA7" w:rsidP="00890143">
            <w:pPr>
              <w:spacing w:line="360" w:lineRule="auto"/>
              <w:jc w:val="both"/>
              <w:rPr>
                <w:rFonts w:ascii="Arial Narrow" w:hAnsi="Arial Narrow"/>
                <w:sz w:val="26"/>
                <w:szCs w:val="26"/>
              </w:rPr>
            </w:pPr>
            <w:r w:rsidRPr="00922CA7">
              <w:rPr>
                <w:rFonts w:ascii="Arial Narrow" w:hAnsi="Arial Narrow"/>
                <w:sz w:val="26"/>
                <w:szCs w:val="26"/>
                <w:lang w:val="en-US"/>
              </w:rPr>
              <w:t>HC-MD-CIV-MOT-REV-2017/00307</w:t>
            </w:r>
          </w:p>
        </w:tc>
      </w:tr>
      <w:tr w:rsidR="00C73154" w:rsidRPr="00922CA7" w:rsidTr="005403D8">
        <w:trPr>
          <w:trHeight w:val="844"/>
        </w:trPr>
        <w:tc>
          <w:tcPr>
            <w:tcW w:w="5397" w:type="dxa"/>
            <w:gridSpan w:val="2"/>
            <w:vMerge/>
          </w:tcPr>
          <w:p w:rsidR="00C73154" w:rsidRPr="00922CA7" w:rsidRDefault="00C73154" w:rsidP="00EB27A0">
            <w:pPr>
              <w:spacing w:line="360" w:lineRule="auto"/>
              <w:jc w:val="both"/>
              <w:rPr>
                <w:rFonts w:ascii="Arial Narrow" w:hAnsi="Arial Narrow" w:cs="Arial"/>
                <w:sz w:val="26"/>
                <w:szCs w:val="26"/>
              </w:rPr>
            </w:pPr>
          </w:p>
        </w:tc>
        <w:tc>
          <w:tcPr>
            <w:tcW w:w="4323" w:type="dxa"/>
          </w:tcPr>
          <w:p w:rsidR="00C73154" w:rsidRPr="00922CA7" w:rsidRDefault="00C73154" w:rsidP="00EB27A0">
            <w:pPr>
              <w:spacing w:line="360" w:lineRule="auto"/>
              <w:jc w:val="both"/>
              <w:rPr>
                <w:rFonts w:ascii="Arial Narrow" w:hAnsi="Arial Narrow"/>
                <w:sz w:val="26"/>
                <w:szCs w:val="26"/>
              </w:rPr>
            </w:pPr>
            <w:r w:rsidRPr="00922CA7">
              <w:rPr>
                <w:rFonts w:ascii="Arial Narrow" w:hAnsi="Arial Narrow"/>
                <w:b/>
                <w:sz w:val="26"/>
                <w:szCs w:val="26"/>
              </w:rPr>
              <w:t>Division of Court:</w:t>
            </w:r>
          </w:p>
          <w:p w:rsidR="00C73154" w:rsidRPr="00922CA7" w:rsidRDefault="00C73154" w:rsidP="00922CA7">
            <w:pPr>
              <w:spacing w:line="360" w:lineRule="auto"/>
              <w:jc w:val="both"/>
              <w:rPr>
                <w:rFonts w:ascii="Arial Narrow" w:hAnsi="Arial Narrow"/>
                <w:sz w:val="26"/>
                <w:szCs w:val="26"/>
              </w:rPr>
            </w:pPr>
            <w:r w:rsidRPr="00922CA7">
              <w:rPr>
                <w:rFonts w:ascii="Arial Narrow" w:hAnsi="Arial Narrow"/>
                <w:sz w:val="26"/>
                <w:szCs w:val="26"/>
              </w:rPr>
              <w:t>H</w:t>
            </w:r>
            <w:r w:rsidR="00922CA7">
              <w:rPr>
                <w:rFonts w:ascii="Arial Narrow" w:hAnsi="Arial Narrow"/>
                <w:sz w:val="26"/>
                <w:szCs w:val="26"/>
              </w:rPr>
              <w:t>igh Court</w:t>
            </w:r>
            <w:r w:rsidR="00092FD2" w:rsidRPr="00922CA7">
              <w:rPr>
                <w:rFonts w:ascii="Arial Narrow" w:hAnsi="Arial Narrow"/>
                <w:sz w:val="26"/>
                <w:szCs w:val="26"/>
              </w:rPr>
              <w:t xml:space="preserve"> (M</w:t>
            </w:r>
            <w:r w:rsidR="00922CA7">
              <w:rPr>
                <w:rFonts w:ascii="Arial Narrow" w:hAnsi="Arial Narrow"/>
                <w:sz w:val="26"/>
                <w:szCs w:val="26"/>
              </w:rPr>
              <w:t>ain Division</w:t>
            </w:r>
            <w:r w:rsidR="00890143" w:rsidRPr="00922CA7">
              <w:rPr>
                <w:rFonts w:ascii="Arial Narrow" w:hAnsi="Arial Narrow"/>
                <w:sz w:val="26"/>
                <w:szCs w:val="26"/>
              </w:rPr>
              <w:t>)</w:t>
            </w:r>
          </w:p>
        </w:tc>
      </w:tr>
      <w:tr w:rsidR="005403D8" w:rsidRPr="00922CA7" w:rsidTr="005403D8">
        <w:trPr>
          <w:trHeight w:val="645"/>
        </w:trPr>
        <w:tc>
          <w:tcPr>
            <w:tcW w:w="5397" w:type="dxa"/>
            <w:gridSpan w:val="2"/>
            <w:vMerge w:val="restart"/>
          </w:tcPr>
          <w:p w:rsidR="005403D8" w:rsidRPr="00922CA7" w:rsidRDefault="005403D8" w:rsidP="00EB27A0">
            <w:pPr>
              <w:spacing w:line="360" w:lineRule="auto"/>
              <w:jc w:val="both"/>
              <w:rPr>
                <w:rFonts w:ascii="Arial Narrow" w:hAnsi="Arial Narrow" w:cs="Arial"/>
                <w:b/>
                <w:sz w:val="26"/>
                <w:szCs w:val="26"/>
              </w:rPr>
            </w:pPr>
            <w:r w:rsidRPr="00922CA7">
              <w:rPr>
                <w:rFonts w:ascii="Arial Narrow" w:hAnsi="Arial Narrow" w:cs="Arial"/>
                <w:b/>
                <w:sz w:val="26"/>
                <w:szCs w:val="26"/>
              </w:rPr>
              <w:t>Heard before:</w:t>
            </w:r>
          </w:p>
          <w:p w:rsidR="005403D8" w:rsidRPr="00922CA7" w:rsidRDefault="005403D8" w:rsidP="00922CA7">
            <w:pPr>
              <w:spacing w:line="360" w:lineRule="auto"/>
              <w:jc w:val="both"/>
              <w:rPr>
                <w:rFonts w:ascii="Arial Narrow" w:hAnsi="Arial Narrow" w:cs="Arial"/>
                <w:sz w:val="26"/>
                <w:szCs w:val="26"/>
              </w:rPr>
            </w:pPr>
            <w:r w:rsidRPr="00922CA7">
              <w:rPr>
                <w:rFonts w:ascii="Arial Narrow" w:hAnsi="Arial Narrow" w:cs="Arial"/>
                <w:sz w:val="26"/>
                <w:szCs w:val="26"/>
              </w:rPr>
              <w:t>H</w:t>
            </w:r>
            <w:r w:rsidR="00922CA7">
              <w:rPr>
                <w:rFonts w:ascii="Arial Narrow" w:hAnsi="Arial Narrow" w:cs="Arial"/>
                <w:sz w:val="26"/>
                <w:szCs w:val="26"/>
              </w:rPr>
              <w:t xml:space="preserve">onourable Mr Justice </w:t>
            </w:r>
            <w:proofErr w:type="spellStart"/>
            <w:r w:rsidR="00922CA7">
              <w:rPr>
                <w:rFonts w:ascii="Arial Narrow" w:hAnsi="Arial Narrow" w:cs="Arial"/>
                <w:sz w:val="26"/>
                <w:szCs w:val="26"/>
              </w:rPr>
              <w:t>Angula</w:t>
            </w:r>
            <w:proofErr w:type="spellEnd"/>
            <w:r w:rsidR="00922CA7">
              <w:rPr>
                <w:rFonts w:ascii="Arial Narrow" w:hAnsi="Arial Narrow" w:cs="Arial"/>
                <w:sz w:val="26"/>
                <w:szCs w:val="26"/>
              </w:rPr>
              <w:t>, Deputy</w:t>
            </w:r>
            <w:r w:rsidR="00092FD2" w:rsidRPr="00922CA7">
              <w:rPr>
                <w:rFonts w:ascii="Arial Narrow" w:hAnsi="Arial Narrow" w:cs="Arial"/>
                <w:sz w:val="26"/>
                <w:szCs w:val="26"/>
              </w:rPr>
              <w:t xml:space="preserve"> J</w:t>
            </w:r>
            <w:r w:rsidR="00922CA7">
              <w:rPr>
                <w:rFonts w:ascii="Arial Narrow" w:hAnsi="Arial Narrow" w:cs="Arial"/>
                <w:sz w:val="26"/>
                <w:szCs w:val="26"/>
              </w:rPr>
              <w:t>udge</w:t>
            </w:r>
            <w:r w:rsidR="00092FD2" w:rsidRPr="00922CA7">
              <w:rPr>
                <w:rFonts w:ascii="Arial Narrow" w:hAnsi="Arial Narrow" w:cs="Arial"/>
                <w:sz w:val="26"/>
                <w:szCs w:val="26"/>
              </w:rPr>
              <w:t>-P</w:t>
            </w:r>
            <w:r w:rsidR="00922CA7">
              <w:rPr>
                <w:rFonts w:ascii="Arial Narrow" w:hAnsi="Arial Narrow" w:cs="Arial"/>
                <w:sz w:val="26"/>
                <w:szCs w:val="26"/>
              </w:rPr>
              <w:t>resident</w:t>
            </w:r>
          </w:p>
        </w:tc>
        <w:tc>
          <w:tcPr>
            <w:tcW w:w="4323" w:type="dxa"/>
          </w:tcPr>
          <w:p w:rsidR="005403D8" w:rsidRPr="00922CA7" w:rsidRDefault="005403D8" w:rsidP="00EB27A0">
            <w:pPr>
              <w:spacing w:line="360" w:lineRule="auto"/>
              <w:jc w:val="both"/>
              <w:rPr>
                <w:rFonts w:ascii="Arial Narrow" w:hAnsi="Arial Narrow"/>
                <w:b/>
                <w:sz w:val="26"/>
                <w:szCs w:val="26"/>
              </w:rPr>
            </w:pPr>
            <w:r w:rsidRPr="00922CA7">
              <w:rPr>
                <w:rFonts w:ascii="Arial Narrow" w:hAnsi="Arial Narrow"/>
                <w:b/>
                <w:sz w:val="26"/>
                <w:szCs w:val="26"/>
              </w:rPr>
              <w:t>Date of hearing:</w:t>
            </w:r>
          </w:p>
          <w:p w:rsidR="005403D8" w:rsidRPr="00922CA7" w:rsidRDefault="00922CA7" w:rsidP="00922CA7">
            <w:pPr>
              <w:spacing w:line="360" w:lineRule="auto"/>
              <w:rPr>
                <w:rFonts w:ascii="Arial Narrow" w:hAnsi="Arial Narrow"/>
                <w:sz w:val="26"/>
                <w:szCs w:val="26"/>
              </w:rPr>
            </w:pPr>
            <w:r w:rsidRPr="00922CA7">
              <w:rPr>
                <w:rFonts w:ascii="Arial Narrow" w:hAnsi="Arial Narrow"/>
                <w:sz w:val="26"/>
                <w:szCs w:val="26"/>
              </w:rPr>
              <w:t xml:space="preserve">1 </w:t>
            </w:r>
            <w:r>
              <w:rPr>
                <w:rFonts w:ascii="Arial Narrow" w:hAnsi="Arial Narrow"/>
                <w:sz w:val="26"/>
                <w:szCs w:val="26"/>
              </w:rPr>
              <w:t>October</w:t>
            </w:r>
            <w:r w:rsidR="005403D8" w:rsidRPr="00922CA7">
              <w:rPr>
                <w:rFonts w:ascii="Arial Narrow" w:hAnsi="Arial Narrow"/>
                <w:sz w:val="26"/>
                <w:szCs w:val="26"/>
              </w:rPr>
              <w:t xml:space="preserve"> 2018</w:t>
            </w:r>
          </w:p>
        </w:tc>
      </w:tr>
      <w:tr w:rsidR="005403D8" w:rsidRPr="00922CA7" w:rsidTr="00FD38C2">
        <w:trPr>
          <w:trHeight w:val="588"/>
        </w:trPr>
        <w:tc>
          <w:tcPr>
            <w:tcW w:w="5397" w:type="dxa"/>
            <w:gridSpan w:val="2"/>
            <w:vMerge/>
          </w:tcPr>
          <w:p w:rsidR="005403D8" w:rsidRPr="00922CA7" w:rsidRDefault="005403D8" w:rsidP="00EB27A0">
            <w:pPr>
              <w:spacing w:line="360" w:lineRule="auto"/>
              <w:jc w:val="both"/>
              <w:rPr>
                <w:rFonts w:ascii="Arial Narrow" w:hAnsi="Arial Narrow" w:cs="Arial"/>
                <w:b/>
                <w:sz w:val="26"/>
                <w:szCs w:val="26"/>
              </w:rPr>
            </w:pPr>
          </w:p>
        </w:tc>
        <w:tc>
          <w:tcPr>
            <w:tcW w:w="4323" w:type="dxa"/>
          </w:tcPr>
          <w:p w:rsidR="005403D8" w:rsidRPr="00922CA7" w:rsidRDefault="005403D8" w:rsidP="005403D8">
            <w:pPr>
              <w:spacing w:line="360" w:lineRule="auto"/>
              <w:jc w:val="both"/>
              <w:rPr>
                <w:rFonts w:ascii="Arial Narrow" w:hAnsi="Arial Narrow"/>
                <w:b/>
                <w:sz w:val="26"/>
                <w:szCs w:val="26"/>
              </w:rPr>
            </w:pPr>
            <w:r w:rsidRPr="00922CA7">
              <w:rPr>
                <w:rFonts w:ascii="Arial Narrow" w:hAnsi="Arial Narrow"/>
                <w:b/>
                <w:sz w:val="26"/>
                <w:szCs w:val="26"/>
              </w:rPr>
              <w:t>Delivered on:</w:t>
            </w:r>
          </w:p>
          <w:p w:rsidR="005403D8" w:rsidRPr="00922CA7" w:rsidRDefault="00922CA7" w:rsidP="00922CA7">
            <w:pPr>
              <w:spacing w:line="360" w:lineRule="auto"/>
              <w:jc w:val="both"/>
              <w:rPr>
                <w:rFonts w:ascii="Arial Narrow" w:hAnsi="Arial Narrow"/>
                <w:b/>
                <w:sz w:val="26"/>
                <w:szCs w:val="26"/>
              </w:rPr>
            </w:pPr>
            <w:r w:rsidRPr="00922CA7">
              <w:rPr>
                <w:rFonts w:ascii="Arial Narrow" w:hAnsi="Arial Narrow"/>
                <w:sz w:val="26"/>
                <w:szCs w:val="26"/>
              </w:rPr>
              <w:t>15</w:t>
            </w:r>
            <w:r w:rsidR="00797247" w:rsidRPr="00922CA7">
              <w:rPr>
                <w:rFonts w:ascii="Arial Narrow" w:hAnsi="Arial Narrow"/>
                <w:sz w:val="26"/>
                <w:szCs w:val="26"/>
              </w:rPr>
              <w:t xml:space="preserve"> </w:t>
            </w:r>
            <w:r>
              <w:rPr>
                <w:rFonts w:ascii="Arial Narrow" w:hAnsi="Arial Narrow"/>
                <w:sz w:val="26"/>
                <w:szCs w:val="26"/>
              </w:rPr>
              <w:t>November</w:t>
            </w:r>
            <w:r w:rsidR="00797247" w:rsidRPr="00922CA7">
              <w:rPr>
                <w:rFonts w:ascii="Arial Narrow" w:hAnsi="Arial Narrow"/>
                <w:sz w:val="26"/>
                <w:szCs w:val="26"/>
              </w:rPr>
              <w:t xml:space="preserve"> </w:t>
            </w:r>
            <w:r w:rsidR="005403D8" w:rsidRPr="00922CA7">
              <w:rPr>
                <w:rFonts w:ascii="Arial Narrow" w:hAnsi="Arial Narrow"/>
                <w:sz w:val="26"/>
                <w:szCs w:val="26"/>
              </w:rPr>
              <w:t>2018</w:t>
            </w:r>
          </w:p>
        </w:tc>
      </w:tr>
      <w:tr w:rsidR="005955B1" w:rsidRPr="00922CA7" w:rsidTr="00922CA7">
        <w:trPr>
          <w:trHeight w:val="972"/>
        </w:trPr>
        <w:tc>
          <w:tcPr>
            <w:tcW w:w="9720" w:type="dxa"/>
            <w:gridSpan w:val="3"/>
          </w:tcPr>
          <w:p w:rsidR="00890143" w:rsidRPr="00922CA7" w:rsidRDefault="005955B1" w:rsidP="005C040C">
            <w:pPr>
              <w:spacing w:line="360" w:lineRule="auto"/>
              <w:jc w:val="both"/>
              <w:rPr>
                <w:rFonts w:ascii="Arial Narrow" w:hAnsi="Arial Narrow" w:cs="Arial"/>
                <w:sz w:val="26"/>
                <w:szCs w:val="26"/>
              </w:rPr>
            </w:pPr>
            <w:r w:rsidRPr="00922CA7">
              <w:rPr>
                <w:rFonts w:ascii="Arial Narrow" w:hAnsi="Arial Narrow" w:cs="Arial"/>
                <w:b/>
                <w:sz w:val="26"/>
                <w:szCs w:val="26"/>
              </w:rPr>
              <w:t xml:space="preserve">Neutral citation: </w:t>
            </w:r>
            <w:r w:rsidR="00922CA7" w:rsidRPr="00922CA7">
              <w:rPr>
                <w:rFonts w:ascii="Arial Narrow" w:hAnsi="Arial Narrow" w:cs="Arial"/>
                <w:i/>
                <w:sz w:val="26"/>
                <w:szCs w:val="26"/>
              </w:rPr>
              <w:t>Gecko Salt (Pty)</w:t>
            </w:r>
            <w:bookmarkStart w:id="0" w:name="_GoBack"/>
            <w:bookmarkEnd w:id="0"/>
            <w:r w:rsidR="00922CA7" w:rsidRPr="00922CA7">
              <w:rPr>
                <w:rFonts w:ascii="Arial Narrow" w:hAnsi="Arial Narrow" w:cs="Arial"/>
                <w:i/>
                <w:sz w:val="26"/>
                <w:szCs w:val="26"/>
              </w:rPr>
              <w:t xml:space="preserve"> Ltd</w:t>
            </w:r>
            <w:r w:rsidR="00B4625E" w:rsidRPr="00922CA7">
              <w:rPr>
                <w:rFonts w:ascii="Arial Narrow" w:hAnsi="Arial Narrow" w:cs="Arial"/>
                <w:i/>
                <w:sz w:val="26"/>
                <w:szCs w:val="26"/>
              </w:rPr>
              <w:t xml:space="preserve"> v </w:t>
            </w:r>
            <w:r w:rsidR="00922CA7" w:rsidRPr="00922CA7">
              <w:rPr>
                <w:rFonts w:ascii="Arial Narrow" w:hAnsi="Arial Narrow" w:cs="Arial"/>
                <w:i/>
                <w:sz w:val="26"/>
                <w:szCs w:val="26"/>
              </w:rPr>
              <w:t>The Minister of Mines and Energy</w:t>
            </w:r>
            <w:r w:rsidR="00B4625E" w:rsidRPr="00922CA7">
              <w:rPr>
                <w:rFonts w:ascii="Arial Narrow" w:hAnsi="Arial Narrow" w:cs="Arial"/>
                <w:b/>
                <w:sz w:val="26"/>
                <w:szCs w:val="26"/>
              </w:rPr>
              <w:t xml:space="preserve"> </w:t>
            </w:r>
            <w:r w:rsidR="00B4625E" w:rsidRPr="00922CA7">
              <w:rPr>
                <w:rFonts w:ascii="Arial Narrow" w:hAnsi="Arial Narrow" w:cs="Arial"/>
                <w:sz w:val="26"/>
                <w:szCs w:val="26"/>
              </w:rPr>
              <w:t>(</w:t>
            </w:r>
            <w:r w:rsidR="00922CA7" w:rsidRPr="00922CA7">
              <w:rPr>
                <w:rFonts w:ascii="Arial Narrow" w:hAnsi="Arial Narrow"/>
                <w:sz w:val="26"/>
                <w:szCs w:val="26"/>
                <w:lang w:val="en-US"/>
              </w:rPr>
              <w:t>HC-MD-CIV-MOT-REV-2017/00307</w:t>
            </w:r>
            <w:r w:rsidR="00B4625E" w:rsidRPr="00922CA7">
              <w:rPr>
                <w:rFonts w:ascii="Arial Narrow" w:hAnsi="Arial Narrow" w:cs="Arial"/>
                <w:sz w:val="26"/>
                <w:szCs w:val="26"/>
              </w:rPr>
              <w:t>)</w:t>
            </w:r>
            <w:r w:rsidR="00B4625E" w:rsidRPr="00922CA7">
              <w:rPr>
                <w:rFonts w:ascii="Arial Narrow" w:hAnsi="Arial Narrow" w:cs="Arial"/>
                <w:b/>
                <w:sz w:val="26"/>
                <w:szCs w:val="26"/>
              </w:rPr>
              <w:t xml:space="preserve"> </w:t>
            </w:r>
            <w:r w:rsidR="00B4625E" w:rsidRPr="00922CA7">
              <w:rPr>
                <w:rFonts w:ascii="Arial Narrow" w:hAnsi="Arial Narrow" w:cs="Arial"/>
                <w:sz w:val="26"/>
                <w:szCs w:val="26"/>
              </w:rPr>
              <w:t xml:space="preserve">[2018] </w:t>
            </w:r>
            <w:r w:rsidRPr="00922CA7">
              <w:rPr>
                <w:rFonts w:ascii="Arial Narrow" w:hAnsi="Arial Narrow" w:cs="Arial"/>
                <w:sz w:val="26"/>
                <w:szCs w:val="26"/>
              </w:rPr>
              <w:t xml:space="preserve">NAHCMD </w:t>
            </w:r>
            <w:r w:rsidR="005C040C">
              <w:rPr>
                <w:rFonts w:ascii="Arial Narrow" w:hAnsi="Arial Narrow" w:cs="Arial"/>
                <w:sz w:val="26"/>
                <w:szCs w:val="26"/>
              </w:rPr>
              <w:t>364</w:t>
            </w:r>
            <w:r w:rsidR="00922CA7" w:rsidRPr="00922CA7">
              <w:rPr>
                <w:rFonts w:ascii="Arial Narrow" w:hAnsi="Arial Narrow" w:cs="Arial"/>
                <w:sz w:val="26"/>
                <w:szCs w:val="26"/>
              </w:rPr>
              <w:t xml:space="preserve"> (1</w:t>
            </w:r>
            <w:r w:rsidR="00B4625E" w:rsidRPr="00922CA7">
              <w:rPr>
                <w:rFonts w:ascii="Arial Narrow" w:hAnsi="Arial Narrow" w:cs="Arial"/>
                <w:sz w:val="26"/>
                <w:szCs w:val="26"/>
              </w:rPr>
              <w:t>5 November</w:t>
            </w:r>
            <w:r w:rsidRPr="00922CA7">
              <w:rPr>
                <w:rFonts w:ascii="Arial Narrow" w:hAnsi="Arial Narrow" w:cs="Arial"/>
                <w:sz w:val="26"/>
                <w:szCs w:val="26"/>
              </w:rPr>
              <w:t xml:space="preserve"> 2018)</w:t>
            </w:r>
          </w:p>
        </w:tc>
      </w:tr>
      <w:tr w:rsidR="00281FAB" w:rsidRPr="00922CA7" w:rsidTr="00EB27A0">
        <w:tc>
          <w:tcPr>
            <w:tcW w:w="9720" w:type="dxa"/>
            <w:gridSpan w:val="3"/>
          </w:tcPr>
          <w:p w:rsidR="00281FAB" w:rsidRPr="00922CA7" w:rsidRDefault="00281FAB" w:rsidP="00EB27A0">
            <w:pPr>
              <w:spacing w:line="360" w:lineRule="auto"/>
              <w:jc w:val="both"/>
              <w:rPr>
                <w:rFonts w:ascii="Arial Narrow" w:hAnsi="Arial Narrow" w:cs="Arial"/>
                <w:b/>
                <w:sz w:val="26"/>
                <w:szCs w:val="26"/>
              </w:rPr>
            </w:pPr>
            <w:r w:rsidRPr="00922CA7">
              <w:rPr>
                <w:rFonts w:ascii="Arial Narrow" w:hAnsi="Arial Narrow" w:cs="Arial"/>
                <w:b/>
                <w:sz w:val="26"/>
                <w:szCs w:val="26"/>
              </w:rPr>
              <w:t>The order:</w:t>
            </w:r>
          </w:p>
          <w:p w:rsidR="00281FAB" w:rsidRPr="00922CA7" w:rsidRDefault="00FD38C2" w:rsidP="00EB27A0">
            <w:pPr>
              <w:spacing w:line="360" w:lineRule="auto"/>
              <w:jc w:val="both"/>
              <w:rPr>
                <w:rFonts w:ascii="Arial Narrow" w:hAnsi="Arial Narrow" w:cs="Arial"/>
                <w:sz w:val="26"/>
                <w:szCs w:val="26"/>
              </w:rPr>
            </w:pPr>
            <w:r w:rsidRPr="00922CA7">
              <w:rPr>
                <w:rFonts w:ascii="Arial Narrow" w:hAnsi="Arial Narrow" w:cs="Arial"/>
                <w:sz w:val="26"/>
                <w:szCs w:val="26"/>
              </w:rPr>
              <w:t>Having heard</w:t>
            </w:r>
            <w:r w:rsidR="00C73154" w:rsidRPr="00922CA7">
              <w:rPr>
                <w:rFonts w:ascii="Arial Narrow" w:hAnsi="Arial Narrow" w:cs="Arial"/>
                <w:sz w:val="26"/>
                <w:szCs w:val="26"/>
              </w:rPr>
              <w:t xml:space="preserve"> </w:t>
            </w:r>
            <w:r w:rsidR="00C73154" w:rsidRPr="00922CA7">
              <w:rPr>
                <w:rFonts w:ascii="Arial Narrow" w:hAnsi="Arial Narrow" w:cs="Arial"/>
                <w:b/>
                <w:sz w:val="26"/>
                <w:szCs w:val="26"/>
              </w:rPr>
              <w:t>Mr</w:t>
            </w:r>
            <w:r w:rsidR="00797247" w:rsidRPr="00922CA7">
              <w:rPr>
                <w:rFonts w:ascii="Arial Narrow" w:hAnsi="Arial Narrow" w:cs="Arial"/>
                <w:b/>
                <w:sz w:val="26"/>
                <w:szCs w:val="26"/>
              </w:rPr>
              <w:t xml:space="preserve"> </w:t>
            </w:r>
            <w:proofErr w:type="spellStart"/>
            <w:r w:rsidR="00377DE4">
              <w:rPr>
                <w:rFonts w:ascii="Arial Narrow" w:hAnsi="Arial Narrow" w:cs="Arial"/>
                <w:b/>
                <w:sz w:val="26"/>
                <w:szCs w:val="26"/>
              </w:rPr>
              <w:t>Rorke</w:t>
            </w:r>
            <w:proofErr w:type="spellEnd"/>
            <w:r w:rsidRPr="00922CA7">
              <w:rPr>
                <w:rFonts w:ascii="Arial Narrow" w:hAnsi="Arial Narrow" w:cs="Arial"/>
                <w:sz w:val="26"/>
                <w:szCs w:val="26"/>
              </w:rPr>
              <w:t xml:space="preserve">, </w:t>
            </w:r>
            <w:r w:rsidR="00FF561E" w:rsidRPr="00922CA7">
              <w:rPr>
                <w:rFonts w:ascii="Arial Narrow" w:hAnsi="Arial Narrow" w:cs="Arial"/>
                <w:sz w:val="26"/>
                <w:szCs w:val="26"/>
              </w:rPr>
              <w:t>counsel for the ap</w:t>
            </w:r>
            <w:r w:rsidR="00797247" w:rsidRPr="00922CA7">
              <w:rPr>
                <w:rFonts w:ascii="Arial Narrow" w:hAnsi="Arial Narrow" w:cs="Arial"/>
                <w:sz w:val="26"/>
                <w:szCs w:val="26"/>
              </w:rPr>
              <w:t>plicant</w:t>
            </w:r>
            <w:r w:rsidRPr="00922CA7">
              <w:rPr>
                <w:rFonts w:ascii="Arial Narrow" w:hAnsi="Arial Narrow" w:cs="Arial"/>
                <w:sz w:val="26"/>
                <w:szCs w:val="26"/>
              </w:rPr>
              <w:t xml:space="preserve">, and </w:t>
            </w:r>
            <w:r w:rsidR="00922CA7">
              <w:rPr>
                <w:rFonts w:ascii="Arial Narrow" w:hAnsi="Arial Narrow" w:cs="Arial"/>
                <w:b/>
                <w:sz w:val="26"/>
                <w:szCs w:val="26"/>
              </w:rPr>
              <w:t xml:space="preserve">Mr Corbett </w:t>
            </w:r>
            <w:r w:rsidR="00922CA7" w:rsidRPr="00922CA7">
              <w:rPr>
                <w:rFonts w:ascii="Arial Narrow" w:hAnsi="Arial Narrow" w:cs="Arial"/>
                <w:sz w:val="26"/>
                <w:szCs w:val="26"/>
              </w:rPr>
              <w:t>(assisted by</w:t>
            </w:r>
            <w:r w:rsidR="00922CA7">
              <w:rPr>
                <w:rFonts w:ascii="Arial Narrow" w:hAnsi="Arial Narrow" w:cs="Arial"/>
                <w:b/>
                <w:sz w:val="26"/>
                <w:szCs w:val="26"/>
              </w:rPr>
              <w:t xml:space="preserve"> Mr </w:t>
            </w:r>
            <w:proofErr w:type="spellStart"/>
            <w:r w:rsidR="00922CA7">
              <w:rPr>
                <w:rFonts w:ascii="Arial Narrow" w:hAnsi="Arial Narrow" w:cs="Arial"/>
                <w:b/>
                <w:sz w:val="26"/>
                <w:szCs w:val="26"/>
              </w:rPr>
              <w:t>Obbes</w:t>
            </w:r>
            <w:proofErr w:type="spellEnd"/>
            <w:r w:rsidR="00922CA7" w:rsidRPr="00922CA7">
              <w:rPr>
                <w:rFonts w:ascii="Arial Narrow" w:hAnsi="Arial Narrow" w:cs="Arial"/>
                <w:sz w:val="26"/>
                <w:szCs w:val="26"/>
              </w:rPr>
              <w:t>)</w:t>
            </w:r>
            <w:r w:rsidRPr="00922CA7">
              <w:rPr>
                <w:rFonts w:ascii="Arial Narrow" w:hAnsi="Arial Narrow" w:cs="Arial"/>
                <w:sz w:val="26"/>
                <w:szCs w:val="26"/>
              </w:rPr>
              <w:t>,</w:t>
            </w:r>
            <w:r w:rsidR="00FF561E" w:rsidRPr="00922CA7">
              <w:rPr>
                <w:rFonts w:ascii="Arial Narrow" w:hAnsi="Arial Narrow" w:cs="Arial"/>
                <w:sz w:val="26"/>
                <w:szCs w:val="26"/>
              </w:rPr>
              <w:t xml:space="preserve"> counsel for the</w:t>
            </w:r>
            <w:r w:rsidR="009C7093" w:rsidRPr="00922CA7">
              <w:rPr>
                <w:rFonts w:ascii="Arial Narrow" w:hAnsi="Arial Narrow" w:cs="Arial"/>
                <w:sz w:val="26"/>
                <w:szCs w:val="26"/>
              </w:rPr>
              <w:t xml:space="preserve"> </w:t>
            </w:r>
            <w:r w:rsidR="00922CA7">
              <w:rPr>
                <w:rFonts w:ascii="Arial Narrow" w:hAnsi="Arial Narrow" w:cs="Arial"/>
                <w:sz w:val="26"/>
                <w:szCs w:val="26"/>
              </w:rPr>
              <w:t>third, fourth and fifth</w:t>
            </w:r>
            <w:r w:rsidR="00FF561E" w:rsidRPr="00922CA7">
              <w:rPr>
                <w:rFonts w:ascii="Arial Narrow" w:hAnsi="Arial Narrow" w:cs="Arial"/>
                <w:sz w:val="26"/>
                <w:szCs w:val="26"/>
              </w:rPr>
              <w:t xml:space="preserve"> </w:t>
            </w:r>
            <w:r w:rsidR="009C7093" w:rsidRPr="00922CA7">
              <w:rPr>
                <w:rFonts w:ascii="Arial Narrow" w:hAnsi="Arial Narrow" w:cs="Arial"/>
                <w:sz w:val="26"/>
                <w:szCs w:val="26"/>
              </w:rPr>
              <w:t>responden</w:t>
            </w:r>
            <w:r w:rsidRPr="00922CA7">
              <w:rPr>
                <w:rFonts w:ascii="Arial Narrow" w:hAnsi="Arial Narrow" w:cs="Arial"/>
                <w:sz w:val="26"/>
                <w:szCs w:val="26"/>
              </w:rPr>
              <w:t>t</w:t>
            </w:r>
            <w:r w:rsidR="009C7093" w:rsidRPr="00922CA7">
              <w:rPr>
                <w:rFonts w:ascii="Arial Narrow" w:hAnsi="Arial Narrow" w:cs="Arial"/>
                <w:sz w:val="26"/>
                <w:szCs w:val="26"/>
              </w:rPr>
              <w:t>s</w:t>
            </w:r>
            <w:r w:rsidRPr="00922CA7">
              <w:rPr>
                <w:rFonts w:ascii="Arial Narrow" w:hAnsi="Arial Narrow" w:cs="Arial"/>
                <w:sz w:val="26"/>
                <w:szCs w:val="26"/>
              </w:rPr>
              <w:t xml:space="preserve">, </w:t>
            </w:r>
            <w:r w:rsidR="00922CA7">
              <w:rPr>
                <w:rFonts w:ascii="Arial Narrow" w:hAnsi="Arial Narrow" w:cs="Arial"/>
                <w:b/>
                <w:sz w:val="26"/>
                <w:szCs w:val="26"/>
              </w:rPr>
              <w:t>Mr Gaya</w:t>
            </w:r>
            <w:r w:rsidR="00922CA7" w:rsidRPr="00922CA7">
              <w:rPr>
                <w:rFonts w:ascii="Arial Narrow" w:hAnsi="Arial Narrow" w:cs="Arial"/>
                <w:sz w:val="26"/>
                <w:szCs w:val="26"/>
              </w:rPr>
              <w:t xml:space="preserve">, </w:t>
            </w:r>
            <w:r w:rsidR="00922CA7">
              <w:rPr>
                <w:rFonts w:ascii="Arial Narrow" w:hAnsi="Arial Narrow" w:cs="Arial"/>
                <w:sz w:val="26"/>
                <w:szCs w:val="26"/>
              </w:rPr>
              <w:t xml:space="preserve">counsel for the ninth respondent, </w:t>
            </w:r>
            <w:r w:rsidRPr="00922CA7">
              <w:rPr>
                <w:rFonts w:ascii="Arial Narrow" w:hAnsi="Arial Narrow" w:cs="Arial"/>
                <w:sz w:val="26"/>
                <w:szCs w:val="26"/>
              </w:rPr>
              <w:t>and having read</w:t>
            </w:r>
            <w:r w:rsidR="006D2D84" w:rsidRPr="00922CA7">
              <w:rPr>
                <w:rFonts w:ascii="Arial Narrow" w:hAnsi="Arial Narrow" w:cs="Arial"/>
                <w:sz w:val="26"/>
                <w:szCs w:val="26"/>
              </w:rPr>
              <w:t xml:space="preserve"> the documents filed of record:</w:t>
            </w:r>
          </w:p>
          <w:p w:rsidR="00EB27A0" w:rsidRPr="00922CA7" w:rsidRDefault="00EB27A0" w:rsidP="00EB27A0">
            <w:pPr>
              <w:spacing w:line="360" w:lineRule="auto"/>
              <w:jc w:val="both"/>
              <w:rPr>
                <w:rFonts w:ascii="Arial Narrow" w:hAnsi="Arial Narrow" w:cs="Arial"/>
                <w:sz w:val="20"/>
                <w:szCs w:val="20"/>
              </w:rPr>
            </w:pPr>
          </w:p>
          <w:p w:rsidR="00EB27A0" w:rsidRPr="00922CA7" w:rsidRDefault="00EB27A0" w:rsidP="00EB27A0">
            <w:pPr>
              <w:spacing w:line="360" w:lineRule="auto"/>
              <w:jc w:val="both"/>
              <w:rPr>
                <w:rFonts w:ascii="Arial Narrow" w:hAnsi="Arial Narrow" w:cs="Arial"/>
                <w:b/>
                <w:sz w:val="26"/>
                <w:szCs w:val="26"/>
              </w:rPr>
            </w:pPr>
            <w:r w:rsidRPr="00922CA7">
              <w:rPr>
                <w:rFonts w:ascii="Arial Narrow" w:hAnsi="Arial Narrow" w:cs="Arial"/>
                <w:b/>
                <w:sz w:val="26"/>
                <w:szCs w:val="26"/>
              </w:rPr>
              <w:t>IT IS ORDERED THAT:</w:t>
            </w:r>
          </w:p>
          <w:p w:rsidR="008D65E9" w:rsidRPr="00922CA7" w:rsidRDefault="008D65E9" w:rsidP="00EB27A0">
            <w:pPr>
              <w:spacing w:line="360" w:lineRule="auto"/>
              <w:jc w:val="both"/>
              <w:rPr>
                <w:rFonts w:ascii="Arial Narrow" w:hAnsi="Arial Narrow" w:cs="Arial"/>
                <w:b/>
                <w:sz w:val="20"/>
                <w:szCs w:val="20"/>
              </w:rPr>
            </w:pPr>
          </w:p>
          <w:p w:rsidR="007447AE" w:rsidRPr="00377DE4" w:rsidRDefault="00922CA7" w:rsidP="00377DE4">
            <w:pPr>
              <w:pStyle w:val="ListParagraph"/>
              <w:numPr>
                <w:ilvl w:val="0"/>
                <w:numId w:val="14"/>
              </w:numPr>
              <w:spacing w:line="360" w:lineRule="auto"/>
              <w:ind w:left="588" w:hanging="588"/>
              <w:jc w:val="both"/>
              <w:rPr>
                <w:rFonts w:ascii="Arial Narrow" w:hAnsi="Arial Narrow" w:cs="Arial"/>
                <w:sz w:val="26"/>
                <w:szCs w:val="26"/>
              </w:rPr>
            </w:pPr>
            <w:r w:rsidRPr="00377DE4">
              <w:rPr>
                <w:rFonts w:ascii="Arial Narrow" w:hAnsi="Arial Narrow" w:cs="Arial"/>
                <w:sz w:val="26"/>
                <w:szCs w:val="26"/>
              </w:rPr>
              <w:t>The application for leave to amend is struck from the roll with costs. Costs to include costs of one instructing and two instructed counsel</w:t>
            </w:r>
            <w:r w:rsidR="007447AE" w:rsidRPr="00377DE4">
              <w:rPr>
                <w:rFonts w:ascii="Arial Narrow" w:hAnsi="Arial Narrow" w:cs="Arial"/>
                <w:sz w:val="26"/>
                <w:szCs w:val="26"/>
              </w:rPr>
              <w:t>.</w:t>
            </w:r>
          </w:p>
          <w:p w:rsidR="007447AE" w:rsidRPr="00922CA7" w:rsidRDefault="007447AE" w:rsidP="00393E41">
            <w:pPr>
              <w:spacing w:line="360" w:lineRule="auto"/>
              <w:ind w:left="20"/>
              <w:jc w:val="both"/>
              <w:rPr>
                <w:rFonts w:ascii="Arial Narrow" w:hAnsi="Arial Narrow" w:cs="Arial"/>
                <w:sz w:val="20"/>
                <w:szCs w:val="20"/>
              </w:rPr>
            </w:pPr>
          </w:p>
          <w:p w:rsidR="00905A48" w:rsidRPr="00377DE4" w:rsidRDefault="00837272" w:rsidP="00377DE4">
            <w:pPr>
              <w:pStyle w:val="ListParagraph"/>
              <w:numPr>
                <w:ilvl w:val="0"/>
                <w:numId w:val="14"/>
              </w:numPr>
              <w:spacing w:line="360" w:lineRule="auto"/>
              <w:ind w:left="588" w:hanging="568"/>
              <w:jc w:val="both"/>
              <w:rPr>
                <w:rFonts w:ascii="Arial Narrow" w:hAnsi="Arial Narrow" w:cs="Arial"/>
                <w:sz w:val="26"/>
                <w:szCs w:val="26"/>
              </w:rPr>
            </w:pPr>
            <w:r w:rsidRPr="00377DE4">
              <w:rPr>
                <w:rFonts w:ascii="Arial Narrow" w:hAnsi="Arial Narrow" w:cs="Arial"/>
                <w:sz w:val="26"/>
                <w:szCs w:val="26"/>
              </w:rPr>
              <w:t>T</w:t>
            </w:r>
            <w:r w:rsidR="00922CA7" w:rsidRPr="00377DE4">
              <w:rPr>
                <w:rFonts w:ascii="Arial Narrow" w:hAnsi="Arial Narrow" w:cs="Arial"/>
                <w:sz w:val="26"/>
                <w:szCs w:val="26"/>
              </w:rPr>
              <w:t xml:space="preserve">he matter is postponed to </w:t>
            </w:r>
            <w:r w:rsidR="00922CA7" w:rsidRPr="00377DE4">
              <w:rPr>
                <w:rFonts w:ascii="Arial Narrow" w:hAnsi="Arial Narrow" w:cs="Arial"/>
                <w:b/>
                <w:sz w:val="26"/>
                <w:szCs w:val="26"/>
              </w:rPr>
              <w:t>28 November 2018</w:t>
            </w:r>
            <w:r w:rsidR="00922CA7" w:rsidRPr="00377DE4">
              <w:rPr>
                <w:rFonts w:ascii="Arial Narrow" w:hAnsi="Arial Narrow" w:cs="Arial"/>
                <w:sz w:val="26"/>
                <w:szCs w:val="26"/>
              </w:rPr>
              <w:t xml:space="preserve"> at </w:t>
            </w:r>
            <w:r w:rsidR="00922CA7" w:rsidRPr="00377DE4">
              <w:rPr>
                <w:rFonts w:ascii="Arial Narrow" w:hAnsi="Arial Narrow" w:cs="Arial"/>
                <w:b/>
                <w:sz w:val="26"/>
                <w:szCs w:val="26"/>
              </w:rPr>
              <w:t>09h00</w:t>
            </w:r>
            <w:r w:rsidR="00922CA7" w:rsidRPr="00377DE4">
              <w:rPr>
                <w:rFonts w:ascii="Arial Narrow" w:hAnsi="Arial Narrow" w:cs="Arial"/>
                <w:sz w:val="26"/>
                <w:szCs w:val="26"/>
              </w:rPr>
              <w:t xml:space="preserve"> </w:t>
            </w:r>
            <w:r w:rsidR="007D736B" w:rsidRPr="00377DE4">
              <w:rPr>
                <w:rFonts w:ascii="Arial Narrow" w:hAnsi="Arial Narrow" w:cs="Arial"/>
                <w:sz w:val="26"/>
                <w:szCs w:val="26"/>
              </w:rPr>
              <w:t>for status hearing in chamber</w:t>
            </w:r>
            <w:r w:rsidR="00377DE4">
              <w:rPr>
                <w:rFonts w:ascii="Arial Narrow" w:hAnsi="Arial Narrow" w:cs="Arial"/>
                <w:sz w:val="26"/>
                <w:szCs w:val="26"/>
              </w:rPr>
              <w:t>s</w:t>
            </w:r>
            <w:r w:rsidRPr="00377DE4">
              <w:rPr>
                <w:rFonts w:ascii="Arial Narrow" w:hAnsi="Arial Narrow" w:cs="Arial"/>
                <w:sz w:val="26"/>
                <w:szCs w:val="26"/>
              </w:rPr>
              <w:t>.</w:t>
            </w:r>
          </w:p>
          <w:p w:rsidR="00686B3F" w:rsidRPr="00922CA7" w:rsidRDefault="00686B3F" w:rsidP="00922CA7">
            <w:pPr>
              <w:spacing w:line="360" w:lineRule="auto"/>
              <w:jc w:val="both"/>
              <w:rPr>
                <w:rFonts w:ascii="Arial Narrow" w:hAnsi="Arial Narrow" w:cs="Arial"/>
                <w:sz w:val="26"/>
                <w:szCs w:val="26"/>
              </w:rPr>
            </w:pPr>
          </w:p>
        </w:tc>
      </w:tr>
      <w:tr w:rsidR="00281FAB" w:rsidRPr="00922CA7" w:rsidTr="00EB27A0">
        <w:tc>
          <w:tcPr>
            <w:tcW w:w="9720" w:type="dxa"/>
            <w:gridSpan w:val="3"/>
          </w:tcPr>
          <w:p w:rsidR="00281FAB" w:rsidRPr="00922CA7" w:rsidRDefault="00EB27A0" w:rsidP="00864008">
            <w:pPr>
              <w:spacing w:line="360" w:lineRule="auto"/>
              <w:jc w:val="both"/>
              <w:rPr>
                <w:rFonts w:ascii="Arial Narrow" w:hAnsi="Arial Narrow" w:cs="Arial"/>
                <w:b/>
                <w:sz w:val="26"/>
                <w:szCs w:val="26"/>
              </w:rPr>
            </w:pPr>
            <w:r w:rsidRPr="00922CA7">
              <w:rPr>
                <w:rFonts w:ascii="Arial Narrow" w:hAnsi="Arial Narrow" w:cs="Arial"/>
                <w:b/>
                <w:sz w:val="26"/>
                <w:szCs w:val="26"/>
              </w:rPr>
              <w:t xml:space="preserve">Reasons for </w:t>
            </w:r>
            <w:r w:rsidR="00864008" w:rsidRPr="00922CA7">
              <w:rPr>
                <w:rFonts w:ascii="Arial Narrow" w:hAnsi="Arial Narrow" w:cs="Arial"/>
                <w:b/>
                <w:sz w:val="26"/>
                <w:szCs w:val="26"/>
              </w:rPr>
              <w:t>orders</w:t>
            </w:r>
            <w:r w:rsidR="00A14435" w:rsidRPr="00922CA7">
              <w:rPr>
                <w:rFonts w:ascii="Arial Narrow" w:hAnsi="Arial Narrow" w:cs="Arial"/>
                <w:b/>
                <w:sz w:val="26"/>
                <w:szCs w:val="26"/>
              </w:rPr>
              <w:t>:</w:t>
            </w:r>
          </w:p>
        </w:tc>
      </w:tr>
      <w:tr w:rsidR="00281FAB" w:rsidRPr="00922CA7" w:rsidTr="00EB27A0">
        <w:tc>
          <w:tcPr>
            <w:tcW w:w="9720" w:type="dxa"/>
            <w:gridSpan w:val="3"/>
          </w:tcPr>
          <w:p w:rsidR="00A6494E" w:rsidRPr="00922CA7" w:rsidRDefault="00A6494E" w:rsidP="00FD38C2">
            <w:pPr>
              <w:spacing w:line="360" w:lineRule="auto"/>
              <w:jc w:val="both"/>
              <w:rPr>
                <w:rFonts w:ascii="Arial Narrow" w:hAnsi="Arial Narrow" w:cs="Arial"/>
                <w:sz w:val="26"/>
                <w:szCs w:val="26"/>
              </w:rPr>
            </w:pPr>
          </w:p>
          <w:p w:rsidR="00A4515E" w:rsidRDefault="009C7093" w:rsidP="00FD38C2">
            <w:pPr>
              <w:spacing w:line="360" w:lineRule="auto"/>
              <w:jc w:val="both"/>
              <w:rPr>
                <w:rFonts w:ascii="Arial Narrow" w:hAnsi="Arial Narrow" w:cs="Arial"/>
                <w:sz w:val="26"/>
                <w:szCs w:val="26"/>
              </w:rPr>
            </w:pPr>
            <w:r w:rsidRPr="00922CA7">
              <w:rPr>
                <w:rFonts w:ascii="Arial Narrow" w:hAnsi="Arial Narrow" w:cs="Arial"/>
                <w:sz w:val="26"/>
                <w:szCs w:val="26"/>
              </w:rPr>
              <w:t>[</w:t>
            </w:r>
            <w:r w:rsidRPr="007D736B">
              <w:rPr>
                <w:rFonts w:ascii="Arial Narrow" w:hAnsi="Arial Narrow" w:cs="Arial"/>
                <w:sz w:val="26"/>
                <w:szCs w:val="26"/>
              </w:rPr>
              <w:t xml:space="preserve">1]   </w:t>
            </w:r>
            <w:r w:rsidR="007D736B" w:rsidRPr="007D736B">
              <w:rPr>
                <w:rFonts w:ascii="Arial Narrow" w:hAnsi="Arial Narrow" w:cs="Arial"/>
                <w:sz w:val="26"/>
                <w:szCs w:val="26"/>
              </w:rPr>
              <w:t>The applicant seeks leave to amend its Notice of Motion in the main review application by inserting a new prayer which reads</w:t>
            </w:r>
            <w:r w:rsidR="007D736B">
              <w:rPr>
                <w:rFonts w:ascii="Arial Narrow" w:hAnsi="Arial Narrow" w:cs="Arial"/>
                <w:sz w:val="26"/>
                <w:szCs w:val="26"/>
              </w:rPr>
              <w:t>. ‘</w:t>
            </w:r>
            <w:r w:rsidR="007D736B" w:rsidRPr="007D736B">
              <w:rPr>
                <w:rFonts w:ascii="Arial Narrow" w:hAnsi="Arial Narrow" w:cs="Arial"/>
                <w:sz w:val="26"/>
                <w:szCs w:val="26"/>
              </w:rPr>
              <w:t>That it be ordered that mining licences 82D, 82E and 82F have been abandoned and therefore lapsed’</w:t>
            </w:r>
            <w:r w:rsidR="00B53D6D" w:rsidRPr="007D736B">
              <w:rPr>
                <w:rFonts w:ascii="Arial Narrow" w:hAnsi="Arial Narrow" w:cs="Arial"/>
                <w:sz w:val="26"/>
                <w:szCs w:val="26"/>
              </w:rPr>
              <w:t>.</w:t>
            </w:r>
          </w:p>
          <w:p w:rsidR="00B53D6D" w:rsidRPr="007D736B" w:rsidRDefault="00B53D6D" w:rsidP="00FD38C2">
            <w:pPr>
              <w:spacing w:line="360" w:lineRule="auto"/>
              <w:jc w:val="both"/>
              <w:rPr>
                <w:rFonts w:ascii="Arial Narrow" w:hAnsi="Arial Narrow" w:cs="Arial"/>
                <w:sz w:val="26"/>
                <w:szCs w:val="26"/>
              </w:rPr>
            </w:pPr>
          </w:p>
          <w:p w:rsidR="00CC4D82" w:rsidRPr="007D736B" w:rsidRDefault="00A6494E" w:rsidP="00377DE4">
            <w:pPr>
              <w:spacing w:line="360" w:lineRule="auto"/>
              <w:jc w:val="both"/>
              <w:rPr>
                <w:rFonts w:ascii="Arial Narrow" w:hAnsi="Arial Narrow" w:cs="Arial"/>
                <w:sz w:val="26"/>
                <w:szCs w:val="26"/>
              </w:rPr>
            </w:pPr>
            <w:r w:rsidRPr="007D736B">
              <w:rPr>
                <w:rFonts w:ascii="Arial Narrow" w:hAnsi="Arial Narrow" w:cs="Arial"/>
                <w:sz w:val="26"/>
                <w:szCs w:val="26"/>
              </w:rPr>
              <w:lastRenderedPageBreak/>
              <w:t>[2</w:t>
            </w:r>
            <w:r w:rsidR="00377DE4">
              <w:rPr>
                <w:rFonts w:ascii="Arial Narrow" w:hAnsi="Arial Narrow" w:cs="Arial"/>
                <w:sz w:val="26"/>
                <w:szCs w:val="26"/>
              </w:rPr>
              <w:t xml:space="preserve">] </w:t>
            </w:r>
            <w:r w:rsidR="007D736B" w:rsidRPr="007D736B">
              <w:rPr>
                <w:rFonts w:ascii="Arial Narrow" w:hAnsi="Arial Narrow" w:cs="Arial"/>
                <w:sz w:val="26"/>
                <w:szCs w:val="26"/>
              </w:rPr>
              <w:t xml:space="preserve">The </w:t>
            </w:r>
            <w:r w:rsidR="007D736B">
              <w:rPr>
                <w:rFonts w:ascii="Arial Narrow" w:hAnsi="Arial Narrow" w:cs="Arial"/>
                <w:sz w:val="26"/>
                <w:szCs w:val="26"/>
              </w:rPr>
              <w:t>third</w:t>
            </w:r>
            <w:r w:rsidR="007D736B" w:rsidRPr="007D736B">
              <w:rPr>
                <w:rFonts w:ascii="Arial Narrow" w:hAnsi="Arial Narrow" w:cs="Arial"/>
                <w:sz w:val="26"/>
                <w:szCs w:val="26"/>
              </w:rPr>
              <w:t xml:space="preserve">, </w:t>
            </w:r>
            <w:r w:rsidR="007D736B">
              <w:rPr>
                <w:rFonts w:ascii="Arial Narrow" w:hAnsi="Arial Narrow" w:cs="Arial"/>
                <w:sz w:val="26"/>
                <w:szCs w:val="26"/>
              </w:rPr>
              <w:t>fourth</w:t>
            </w:r>
            <w:r w:rsidR="007D736B" w:rsidRPr="007D736B">
              <w:rPr>
                <w:rFonts w:ascii="Arial Narrow" w:hAnsi="Arial Narrow" w:cs="Arial"/>
                <w:sz w:val="26"/>
                <w:szCs w:val="26"/>
              </w:rPr>
              <w:t xml:space="preserve"> and </w:t>
            </w:r>
            <w:r w:rsidR="007D736B">
              <w:rPr>
                <w:rFonts w:ascii="Arial Narrow" w:hAnsi="Arial Narrow" w:cs="Arial"/>
                <w:sz w:val="26"/>
                <w:szCs w:val="26"/>
              </w:rPr>
              <w:t>fifth</w:t>
            </w:r>
            <w:r w:rsidR="007D736B" w:rsidRPr="007D736B">
              <w:rPr>
                <w:rFonts w:ascii="Arial Narrow" w:hAnsi="Arial Narrow" w:cs="Arial"/>
                <w:sz w:val="26"/>
                <w:szCs w:val="26"/>
              </w:rPr>
              <w:t xml:space="preserve"> respondents (‘the respondents’) filed an objection to the notice of amendment contending </w:t>
            </w:r>
            <w:r w:rsidR="007D736B" w:rsidRPr="007D736B">
              <w:rPr>
                <w:rFonts w:ascii="Arial Narrow" w:hAnsi="Arial Narrow" w:cs="Arial"/>
                <w:i/>
                <w:sz w:val="26"/>
                <w:szCs w:val="26"/>
              </w:rPr>
              <w:t>inter alia</w:t>
            </w:r>
            <w:r w:rsidR="007D736B" w:rsidRPr="007D736B">
              <w:rPr>
                <w:rFonts w:ascii="Arial Narrow" w:hAnsi="Arial Narrow" w:cs="Arial"/>
                <w:sz w:val="26"/>
                <w:szCs w:val="26"/>
              </w:rPr>
              <w:t xml:space="preserve"> that the applicant has not complied with </w:t>
            </w:r>
            <w:r w:rsidR="007D736B">
              <w:rPr>
                <w:rFonts w:ascii="Arial Narrow" w:hAnsi="Arial Narrow" w:cs="Arial"/>
                <w:sz w:val="26"/>
                <w:szCs w:val="26"/>
              </w:rPr>
              <w:t>r</w:t>
            </w:r>
            <w:r w:rsidR="007D736B" w:rsidRPr="007D736B">
              <w:rPr>
                <w:rFonts w:ascii="Arial Narrow" w:hAnsi="Arial Narrow" w:cs="Arial"/>
                <w:sz w:val="26"/>
                <w:szCs w:val="26"/>
              </w:rPr>
              <w:t>ule 32(9) and (10)</w:t>
            </w:r>
            <w:r w:rsidR="007D736B">
              <w:rPr>
                <w:rFonts w:ascii="Arial Narrow" w:hAnsi="Arial Narrow" w:cs="Arial"/>
                <w:sz w:val="26"/>
                <w:szCs w:val="26"/>
              </w:rPr>
              <w:t>.</w:t>
            </w:r>
          </w:p>
          <w:p w:rsidR="00CC4D82" w:rsidRPr="007D736B" w:rsidRDefault="00CC4D82" w:rsidP="00377DE4">
            <w:pPr>
              <w:spacing w:line="360" w:lineRule="auto"/>
              <w:jc w:val="both"/>
              <w:rPr>
                <w:rFonts w:ascii="Arial Narrow" w:hAnsi="Arial Narrow" w:cs="Arial"/>
                <w:sz w:val="26"/>
                <w:szCs w:val="26"/>
              </w:rPr>
            </w:pPr>
          </w:p>
          <w:p w:rsidR="00A16AC6" w:rsidRPr="007D736B" w:rsidRDefault="00A6494E" w:rsidP="00377DE4">
            <w:pPr>
              <w:spacing w:line="360" w:lineRule="auto"/>
              <w:jc w:val="both"/>
              <w:rPr>
                <w:rFonts w:ascii="Arial Narrow" w:hAnsi="Arial Narrow" w:cs="Arial"/>
                <w:sz w:val="26"/>
                <w:szCs w:val="26"/>
              </w:rPr>
            </w:pPr>
            <w:r w:rsidRPr="007D736B">
              <w:rPr>
                <w:rFonts w:ascii="Arial Narrow" w:hAnsi="Arial Narrow" w:cs="Arial"/>
                <w:sz w:val="26"/>
                <w:szCs w:val="26"/>
              </w:rPr>
              <w:t>[3]</w:t>
            </w:r>
            <w:r w:rsidR="00B53D6D" w:rsidRPr="007D736B">
              <w:rPr>
                <w:rFonts w:ascii="Arial Narrow" w:hAnsi="Arial Narrow" w:cs="Arial"/>
                <w:sz w:val="26"/>
                <w:szCs w:val="26"/>
              </w:rPr>
              <w:t xml:space="preserve"> </w:t>
            </w:r>
            <w:r w:rsidR="009C7093" w:rsidRPr="007D736B">
              <w:rPr>
                <w:rFonts w:ascii="Arial Narrow" w:hAnsi="Arial Narrow" w:cs="Arial"/>
                <w:sz w:val="26"/>
                <w:szCs w:val="26"/>
              </w:rPr>
              <w:t xml:space="preserve">  </w:t>
            </w:r>
            <w:r w:rsidR="007D736B" w:rsidRPr="007D736B">
              <w:rPr>
                <w:rFonts w:ascii="Arial Narrow" w:hAnsi="Arial Narrow" w:cs="Arial"/>
                <w:sz w:val="26"/>
                <w:szCs w:val="26"/>
              </w:rPr>
              <w:t>In my view</w:t>
            </w:r>
            <w:r w:rsidR="007D736B" w:rsidRPr="007D736B">
              <w:rPr>
                <w:rFonts w:ascii="Arial Narrow" w:hAnsi="Arial Narrow" w:cs="Arial"/>
                <w:sz w:val="26"/>
                <w:szCs w:val="26"/>
                <w:lang w:val="en-US"/>
              </w:rPr>
              <w:t xml:space="preserve"> point that the applicant has not complied with </w:t>
            </w:r>
            <w:r w:rsidR="007D736B">
              <w:rPr>
                <w:rFonts w:ascii="Arial Narrow" w:hAnsi="Arial Narrow" w:cs="Arial"/>
                <w:sz w:val="26"/>
                <w:szCs w:val="26"/>
                <w:lang w:val="en-US"/>
              </w:rPr>
              <w:t>r</w:t>
            </w:r>
            <w:r w:rsidR="007D736B" w:rsidRPr="007D736B">
              <w:rPr>
                <w:rFonts w:ascii="Arial Narrow" w:hAnsi="Arial Narrow" w:cs="Arial"/>
                <w:sz w:val="26"/>
                <w:szCs w:val="26"/>
                <w:lang w:val="en-US"/>
              </w:rPr>
              <w:t xml:space="preserve">ule 32(9) and (10) is fatal and dispositive of the application for </w:t>
            </w:r>
            <w:r w:rsidR="007D736B" w:rsidRPr="005C040C">
              <w:rPr>
                <w:rFonts w:ascii="Arial Narrow" w:hAnsi="Arial Narrow" w:cs="Arial"/>
                <w:sz w:val="26"/>
                <w:szCs w:val="26"/>
                <w:lang w:val="en-US"/>
              </w:rPr>
              <w:t>the following reasons</w:t>
            </w:r>
            <w:r w:rsidR="005C040C">
              <w:rPr>
                <w:rFonts w:ascii="Arial Narrow" w:hAnsi="Arial Narrow" w:cs="Arial"/>
                <w:sz w:val="26"/>
                <w:szCs w:val="26"/>
              </w:rPr>
              <w:t>:</w:t>
            </w:r>
          </w:p>
          <w:p w:rsidR="00A16AC6" w:rsidRPr="007D736B" w:rsidRDefault="00A16AC6" w:rsidP="00377DE4">
            <w:pPr>
              <w:spacing w:line="360" w:lineRule="auto"/>
              <w:jc w:val="both"/>
              <w:rPr>
                <w:rFonts w:ascii="Arial Narrow" w:hAnsi="Arial Narrow" w:cs="Arial"/>
                <w:sz w:val="26"/>
                <w:szCs w:val="26"/>
              </w:rPr>
            </w:pPr>
          </w:p>
          <w:p w:rsidR="00B66325" w:rsidRPr="005C040C" w:rsidRDefault="005C040C" w:rsidP="00377DE4">
            <w:pPr>
              <w:spacing w:line="360" w:lineRule="auto"/>
              <w:ind w:left="304"/>
              <w:jc w:val="both"/>
              <w:rPr>
                <w:rFonts w:ascii="Arial Narrow" w:hAnsi="Arial Narrow" w:cs="Arial"/>
                <w:sz w:val="26"/>
                <w:szCs w:val="26"/>
              </w:rPr>
            </w:pPr>
            <w:proofErr w:type="gramStart"/>
            <w:r>
              <w:rPr>
                <w:rFonts w:ascii="Arial Narrow" w:hAnsi="Arial Narrow" w:cs="Arial"/>
                <w:sz w:val="26"/>
                <w:szCs w:val="26"/>
              </w:rPr>
              <w:t xml:space="preserve">3.1  </w:t>
            </w:r>
            <w:r w:rsidR="007D736B" w:rsidRPr="005C040C">
              <w:rPr>
                <w:rFonts w:ascii="Arial Narrow" w:hAnsi="Arial Narrow" w:cs="Arial"/>
                <w:sz w:val="26"/>
                <w:szCs w:val="26"/>
              </w:rPr>
              <w:t>This</w:t>
            </w:r>
            <w:proofErr w:type="gramEnd"/>
            <w:r w:rsidR="007D736B" w:rsidRPr="005C040C">
              <w:rPr>
                <w:rFonts w:ascii="Arial Narrow" w:hAnsi="Arial Narrow" w:cs="Arial"/>
                <w:sz w:val="26"/>
                <w:szCs w:val="26"/>
              </w:rPr>
              <w:t xml:space="preserve"> court has held in a number of cases that compliance with rule 32(9) and (10) is mandatory; that a party who did not</w:t>
            </w:r>
            <w:r w:rsidRPr="005C040C">
              <w:rPr>
                <w:rFonts w:ascii="Arial Narrow" w:hAnsi="Arial Narrow" w:cs="Arial"/>
                <w:sz w:val="26"/>
                <w:szCs w:val="26"/>
              </w:rPr>
              <w:t>,</w:t>
            </w:r>
            <w:r w:rsidR="007D736B" w:rsidRPr="005C040C">
              <w:rPr>
                <w:rFonts w:ascii="Arial Narrow" w:hAnsi="Arial Narrow" w:cs="Arial"/>
                <w:sz w:val="26"/>
                <w:szCs w:val="26"/>
              </w:rPr>
              <w:t xml:space="preserve"> prior to the launching of the amendment application, seek an amicable solution with the opposing party, nor did </w:t>
            </w:r>
            <w:r w:rsidRPr="005C040C">
              <w:rPr>
                <w:rFonts w:ascii="Arial Narrow" w:hAnsi="Arial Narrow" w:cs="Arial"/>
                <w:sz w:val="26"/>
                <w:szCs w:val="26"/>
              </w:rPr>
              <w:t>such</w:t>
            </w:r>
            <w:r w:rsidR="007D736B" w:rsidRPr="005C040C">
              <w:rPr>
                <w:rFonts w:ascii="Arial Narrow" w:hAnsi="Arial Narrow" w:cs="Arial"/>
                <w:sz w:val="26"/>
                <w:szCs w:val="26"/>
              </w:rPr>
              <w:t xml:space="preserve"> file with the Registrar a report detailing the steps taken to have </w:t>
            </w:r>
            <w:r w:rsidRPr="005C040C">
              <w:rPr>
                <w:rFonts w:ascii="Arial Narrow" w:hAnsi="Arial Narrow" w:cs="Arial"/>
                <w:sz w:val="26"/>
                <w:szCs w:val="26"/>
              </w:rPr>
              <w:t>the matter resolved amicably, is</w:t>
            </w:r>
            <w:r w:rsidR="007D736B" w:rsidRPr="005C040C">
              <w:rPr>
                <w:rFonts w:ascii="Arial Narrow" w:hAnsi="Arial Narrow" w:cs="Arial"/>
                <w:sz w:val="26"/>
                <w:szCs w:val="26"/>
              </w:rPr>
              <w:t xml:space="preserve"> non-suited for such non-compliance</w:t>
            </w:r>
            <w:r w:rsidR="009C7093" w:rsidRPr="005C040C">
              <w:rPr>
                <w:rFonts w:ascii="Arial Narrow" w:hAnsi="Arial Narrow" w:cs="Arial"/>
                <w:sz w:val="26"/>
                <w:szCs w:val="26"/>
              </w:rPr>
              <w:t>.</w:t>
            </w:r>
          </w:p>
          <w:p w:rsidR="00A4515E" w:rsidRPr="007D736B" w:rsidRDefault="00A4515E" w:rsidP="00377DE4">
            <w:pPr>
              <w:spacing w:line="360" w:lineRule="auto"/>
              <w:ind w:left="446"/>
              <w:jc w:val="both"/>
              <w:rPr>
                <w:rFonts w:ascii="Arial Narrow" w:hAnsi="Arial Narrow" w:cs="Arial"/>
                <w:sz w:val="26"/>
                <w:szCs w:val="26"/>
              </w:rPr>
            </w:pPr>
          </w:p>
          <w:p w:rsidR="007D736B" w:rsidRPr="007D736B" w:rsidRDefault="005C040C" w:rsidP="00377DE4">
            <w:pPr>
              <w:spacing w:line="360" w:lineRule="auto"/>
              <w:ind w:left="446"/>
              <w:jc w:val="both"/>
              <w:rPr>
                <w:rFonts w:ascii="Arial Narrow" w:hAnsi="Arial Narrow" w:cs="Arial"/>
                <w:sz w:val="26"/>
                <w:szCs w:val="26"/>
              </w:rPr>
            </w:pPr>
            <w:r>
              <w:rPr>
                <w:rFonts w:ascii="Arial Narrow" w:hAnsi="Arial Narrow" w:cs="Arial"/>
                <w:sz w:val="26"/>
                <w:szCs w:val="26"/>
              </w:rPr>
              <w:t xml:space="preserve">3.2    </w:t>
            </w:r>
            <w:r w:rsidR="007D736B" w:rsidRPr="007D736B">
              <w:rPr>
                <w:rFonts w:ascii="Arial Narrow" w:hAnsi="Arial Narrow" w:cs="Arial"/>
                <w:sz w:val="26"/>
                <w:szCs w:val="26"/>
              </w:rPr>
              <w:t>Furthermore</w:t>
            </w:r>
            <w:r w:rsidR="007D736B">
              <w:rPr>
                <w:rFonts w:ascii="Arial Narrow" w:hAnsi="Arial Narrow" w:cs="Arial"/>
                <w:sz w:val="26"/>
                <w:szCs w:val="26"/>
              </w:rPr>
              <w:t xml:space="preserve"> that when </w:t>
            </w:r>
            <w:r w:rsidR="007D736B" w:rsidRPr="007D736B">
              <w:rPr>
                <w:rFonts w:ascii="Arial Narrow" w:hAnsi="Arial Narrow" w:cs="Arial"/>
                <w:sz w:val="26"/>
                <w:szCs w:val="26"/>
              </w:rPr>
              <w:t xml:space="preserve">considering the </w:t>
            </w:r>
            <w:r w:rsidR="007D736B" w:rsidRPr="007D736B">
              <w:rPr>
                <w:rFonts w:ascii="Arial Narrow" w:hAnsi="Arial Narrow" w:cs="Arial"/>
                <w:sz w:val="26"/>
                <w:szCs w:val="26"/>
                <w:lang w:val="en-US"/>
              </w:rPr>
              <w:t>use of the word ‘must’ in rule 32(9) and (10) it make it clear that the intention of the rule-maker as set out in rule 1(2) concerning the overriding objective of the rules, the provisions of rule 39(9) and (10) are peremptory, and non-compliance with them must be fatal</w:t>
            </w:r>
            <w:r w:rsidR="007D736B" w:rsidRPr="007D736B">
              <w:rPr>
                <w:rStyle w:val="FootnoteReference"/>
                <w:rFonts w:ascii="Arial Narrow" w:hAnsi="Arial Narrow" w:cs="Arial"/>
                <w:sz w:val="26"/>
                <w:szCs w:val="26"/>
                <w:lang w:val="en-US"/>
              </w:rPr>
              <w:footnoteReference w:id="1"/>
            </w:r>
            <w:r w:rsidR="007D736B" w:rsidRPr="007D736B">
              <w:rPr>
                <w:rFonts w:ascii="Arial Narrow" w:hAnsi="Arial Narrow" w:cs="Arial"/>
                <w:sz w:val="26"/>
                <w:szCs w:val="26"/>
                <w:lang w:val="en-US"/>
              </w:rPr>
              <w:t>.</w:t>
            </w:r>
          </w:p>
          <w:p w:rsidR="00B66325" w:rsidRPr="007D736B" w:rsidRDefault="00B66325" w:rsidP="00377DE4">
            <w:pPr>
              <w:spacing w:line="360" w:lineRule="auto"/>
              <w:ind w:left="446"/>
              <w:jc w:val="both"/>
              <w:rPr>
                <w:rFonts w:ascii="Arial Narrow" w:hAnsi="Arial Narrow" w:cs="Arial"/>
                <w:sz w:val="26"/>
                <w:szCs w:val="26"/>
              </w:rPr>
            </w:pPr>
          </w:p>
          <w:p w:rsidR="00B07B4B" w:rsidRPr="007D736B" w:rsidRDefault="005C040C" w:rsidP="00377DE4">
            <w:pPr>
              <w:spacing w:line="360" w:lineRule="auto"/>
              <w:ind w:left="446"/>
              <w:jc w:val="both"/>
              <w:rPr>
                <w:rFonts w:ascii="Arial Narrow" w:hAnsi="Arial Narrow" w:cs="Arial"/>
                <w:sz w:val="26"/>
                <w:szCs w:val="26"/>
              </w:rPr>
            </w:pPr>
            <w:r>
              <w:rPr>
                <w:rFonts w:ascii="Arial Narrow" w:hAnsi="Arial Narrow" w:cs="Arial"/>
                <w:sz w:val="26"/>
                <w:szCs w:val="26"/>
              </w:rPr>
              <w:t xml:space="preserve">3.3    </w:t>
            </w:r>
            <w:r w:rsidR="007D736B" w:rsidRPr="007D736B">
              <w:rPr>
                <w:rFonts w:ascii="Arial Narrow" w:hAnsi="Arial Narrow" w:cs="Arial"/>
                <w:sz w:val="26"/>
                <w:szCs w:val="26"/>
              </w:rPr>
              <w:t xml:space="preserve">It has further been held that a </w:t>
            </w:r>
            <w:r w:rsidR="007D736B" w:rsidRPr="007D736B">
              <w:rPr>
                <w:rFonts w:ascii="Arial Narrow" w:hAnsi="Arial Narrow" w:cs="Arial"/>
                <w:sz w:val="26"/>
                <w:szCs w:val="26"/>
                <w:lang w:val="en-US"/>
              </w:rPr>
              <w:t xml:space="preserve">court cannot proceed to hear and determine </w:t>
            </w:r>
            <w:r>
              <w:rPr>
                <w:rFonts w:ascii="Arial Narrow" w:hAnsi="Arial Narrow" w:cs="Arial"/>
                <w:sz w:val="26"/>
                <w:szCs w:val="26"/>
                <w:lang w:val="en-US"/>
              </w:rPr>
              <w:t>an</w:t>
            </w:r>
            <w:r w:rsidR="007D736B" w:rsidRPr="007D736B">
              <w:rPr>
                <w:rFonts w:ascii="Arial Narrow" w:hAnsi="Arial Narrow" w:cs="Arial"/>
                <w:sz w:val="26"/>
                <w:szCs w:val="26"/>
                <w:lang w:val="en-US"/>
              </w:rPr>
              <w:t xml:space="preserve"> interlocutory application where there had been a non-compliance with </w:t>
            </w:r>
            <w:r>
              <w:rPr>
                <w:rFonts w:ascii="Arial Narrow" w:hAnsi="Arial Narrow" w:cs="Arial"/>
                <w:sz w:val="26"/>
                <w:szCs w:val="26"/>
                <w:lang w:val="en-US"/>
              </w:rPr>
              <w:t>sub-rule</w:t>
            </w:r>
            <w:r w:rsidR="007D736B" w:rsidRPr="007D736B">
              <w:rPr>
                <w:rFonts w:ascii="Arial Narrow" w:hAnsi="Arial Narrow" w:cs="Arial"/>
                <w:sz w:val="26"/>
                <w:szCs w:val="26"/>
                <w:lang w:val="en-US"/>
              </w:rPr>
              <w:t xml:space="preserve"> in question; that the entry into the portals of the court to argue an interlocutory application must go via the route of rule 32(9) and (10) and any party who attempts to access the court without having gone through the route of the said sub-rules can be regarded as improperly before court and the court may not entertain that proceeding</w:t>
            </w:r>
            <w:r w:rsidR="007D736B" w:rsidRPr="007D736B">
              <w:rPr>
                <w:rStyle w:val="FootnoteReference"/>
                <w:rFonts w:ascii="Arial Narrow" w:hAnsi="Arial Narrow" w:cs="Arial"/>
                <w:sz w:val="26"/>
                <w:szCs w:val="26"/>
                <w:lang w:val="en-US"/>
              </w:rPr>
              <w:footnoteReference w:id="2"/>
            </w:r>
            <w:r w:rsidR="00BF6DAE" w:rsidRPr="007D736B">
              <w:rPr>
                <w:rFonts w:ascii="Arial Narrow" w:hAnsi="Arial Narrow" w:cs="Arial"/>
                <w:sz w:val="26"/>
                <w:szCs w:val="26"/>
              </w:rPr>
              <w:t>.</w:t>
            </w:r>
          </w:p>
          <w:p w:rsidR="00BF6DAE" w:rsidRPr="007D736B" w:rsidRDefault="00BF6DAE" w:rsidP="00377DE4">
            <w:pPr>
              <w:spacing w:line="360" w:lineRule="auto"/>
              <w:ind w:left="446"/>
              <w:jc w:val="both"/>
              <w:rPr>
                <w:rFonts w:ascii="Arial Narrow" w:hAnsi="Arial Narrow" w:cs="Arial"/>
                <w:sz w:val="26"/>
                <w:szCs w:val="26"/>
              </w:rPr>
            </w:pPr>
          </w:p>
          <w:p w:rsidR="00BF6DAE" w:rsidRPr="007D736B" w:rsidRDefault="005C040C" w:rsidP="00377DE4">
            <w:pPr>
              <w:spacing w:line="360" w:lineRule="auto"/>
              <w:ind w:left="446"/>
              <w:jc w:val="both"/>
              <w:rPr>
                <w:rFonts w:ascii="Arial Narrow" w:hAnsi="Arial Narrow" w:cs="Arial"/>
                <w:sz w:val="26"/>
                <w:szCs w:val="26"/>
              </w:rPr>
            </w:pPr>
            <w:r>
              <w:rPr>
                <w:rFonts w:ascii="Arial Narrow" w:hAnsi="Arial Narrow" w:cs="Arial"/>
                <w:sz w:val="26"/>
                <w:szCs w:val="26"/>
              </w:rPr>
              <w:t xml:space="preserve">3.4    </w:t>
            </w:r>
            <w:r w:rsidR="007D736B" w:rsidRPr="007D736B">
              <w:rPr>
                <w:rFonts w:ascii="Arial Narrow" w:hAnsi="Arial Narrow" w:cs="Arial"/>
                <w:sz w:val="26"/>
                <w:szCs w:val="26"/>
              </w:rPr>
              <w:t>It is common cause that the applicant did not comply with rule 32 (9) and (10)</w:t>
            </w:r>
            <w:r w:rsidR="00393E41" w:rsidRPr="007D736B">
              <w:rPr>
                <w:rFonts w:ascii="Arial Narrow" w:hAnsi="Arial Narrow" w:cs="Arial"/>
                <w:sz w:val="26"/>
                <w:szCs w:val="26"/>
              </w:rPr>
              <w:t>.</w:t>
            </w:r>
          </w:p>
          <w:p w:rsidR="00D0287E" w:rsidRPr="007D736B" w:rsidRDefault="00D0287E" w:rsidP="00FD38C2">
            <w:pPr>
              <w:spacing w:line="360" w:lineRule="auto"/>
              <w:jc w:val="both"/>
              <w:rPr>
                <w:rFonts w:ascii="Arial Narrow" w:hAnsi="Arial Narrow" w:cs="Arial"/>
                <w:sz w:val="26"/>
                <w:szCs w:val="26"/>
              </w:rPr>
            </w:pPr>
          </w:p>
          <w:p w:rsidR="00BF6DAE" w:rsidRPr="007D736B" w:rsidRDefault="005C040C" w:rsidP="00393E41">
            <w:pPr>
              <w:spacing w:line="360" w:lineRule="auto"/>
              <w:ind w:firstLine="20"/>
              <w:jc w:val="both"/>
              <w:rPr>
                <w:rFonts w:ascii="Arial Narrow" w:hAnsi="Arial Narrow" w:cs="Arial"/>
                <w:sz w:val="26"/>
                <w:szCs w:val="26"/>
              </w:rPr>
            </w:pPr>
            <w:r>
              <w:rPr>
                <w:rFonts w:ascii="Arial Narrow" w:hAnsi="Arial Narrow" w:cs="Arial"/>
                <w:sz w:val="26"/>
                <w:szCs w:val="26"/>
              </w:rPr>
              <w:t>[4</w:t>
            </w:r>
            <w:r w:rsidR="00393E41" w:rsidRPr="007D736B">
              <w:rPr>
                <w:rFonts w:ascii="Arial Narrow" w:hAnsi="Arial Narrow" w:cs="Arial"/>
                <w:sz w:val="26"/>
                <w:szCs w:val="26"/>
              </w:rPr>
              <w:t xml:space="preserve">]   </w:t>
            </w:r>
            <w:r w:rsidR="007D736B" w:rsidRPr="007D736B">
              <w:rPr>
                <w:rFonts w:ascii="Arial Narrow" w:hAnsi="Arial Narrow" w:cs="Arial"/>
                <w:sz w:val="26"/>
                <w:szCs w:val="26"/>
              </w:rPr>
              <w:t xml:space="preserve">It follows therefore that the </w:t>
            </w:r>
            <w:r w:rsidR="007D736B" w:rsidRPr="007D736B">
              <w:rPr>
                <w:rFonts w:ascii="Arial Narrow" w:hAnsi="Arial Narrow" w:cs="Arial"/>
                <w:sz w:val="26"/>
                <w:szCs w:val="26"/>
                <w:lang w:val="en-US"/>
              </w:rPr>
              <w:t>application stands to be struck from the roll</w:t>
            </w:r>
            <w:r w:rsidR="00F3787E" w:rsidRPr="007D736B">
              <w:rPr>
                <w:rFonts w:ascii="Arial Narrow" w:hAnsi="Arial Narrow" w:cs="Arial"/>
                <w:sz w:val="26"/>
                <w:szCs w:val="26"/>
              </w:rPr>
              <w:t>.</w:t>
            </w:r>
          </w:p>
          <w:p w:rsidR="00A23F8A" w:rsidRDefault="00A23F8A" w:rsidP="007D736B">
            <w:pPr>
              <w:spacing w:line="360" w:lineRule="auto"/>
              <w:jc w:val="both"/>
              <w:rPr>
                <w:rFonts w:ascii="Arial Narrow" w:hAnsi="Arial Narrow" w:cs="Arial"/>
                <w:sz w:val="26"/>
                <w:szCs w:val="26"/>
              </w:rPr>
            </w:pPr>
          </w:p>
          <w:p w:rsidR="005C040C" w:rsidRDefault="005C040C" w:rsidP="007D736B">
            <w:pPr>
              <w:spacing w:line="360" w:lineRule="auto"/>
              <w:jc w:val="both"/>
              <w:rPr>
                <w:rFonts w:ascii="Arial Narrow" w:hAnsi="Arial Narrow" w:cs="Arial"/>
                <w:sz w:val="26"/>
                <w:szCs w:val="26"/>
              </w:rPr>
            </w:pPr>
          </w:p>
          <w:p w:rsidR="00377DE4" w:rsidRDefault="00377DE4" w:rsidP="007D736B">
            <w:pPr>
              <w:spacing w:line="360" w:lineRule="auto"/>
              <w:jc w:val="both"/>
              <w:rPr>
                <w:rFonts w:ascii="Arial Narrow" w:hAnsi="Arial Narrow" w:cs="Arial"/>
                <w:sz w:val="26"/>
                <w:szCs w:val="26"/>
              </w:rPr>
            </w:pPr>
          </w:p>
          <w:p w:rsidR="00377DE4" w:rsidRPr="007D736B" w:rsidRDefault="00377DE4" w:rsidP="007D736B">
            <w:pPr>
              <w:spacing w:line="360" w:lineRule="auto"/>
              <w:jc w:val="both"/>
              <w:rPr>
                <w:rFonts w:ascii="Arial Narrow" w:hAnsi="Arial Narrow" w:cs="Arial"/>
                <w:sz w:val="26"/>
                <w:szCs w:val="26"/>
              </w:rPr>
            </w:pPr>
          </w:p>
        </w:tc>
      </w:tr>
      <w:tr w:rsidR="00BE5489" w:rsidRPr="00922CA7" w:rsidTr="00C04EBD">
        <w:tc>
          <w:tcPr>
            <w:tcW w:w="4770" w:type="dxa"/>
          </w:tcPr>
          <w:p w:rsidR="00BE5489" w:rsidRPr="00922CA7" w:rsidRDefault="00EB27A0" w:rsidP="0050338C">
            <w:pPr>
              <w:spacing w:line="360" w:lineRule="auto"/>
              <w:jc w:val="center"/>
              <w:rPr>
                <w:rFonts w:ascii="Arial Narrow" w:hAnsi="Arial Narrow" w:cs="Arial"/>
                <w:b/>
                <w:sz w:val="26"/>
                <w:szCs w:val="26"/>
              </w:rPr>
            </w:pPr>
            <w:r w:rsidRPr="00922CA7">
              <w:rPr>
                <w:rFonts w:ascii="Arial Narrow" w:hAnsi="Arial Narrow" w:cs="Arial"/>
                <w:b/>
                <w:sz w:val="26"/>
                <w:szCs w:val="26"/>
              </w:rPr>
              <w:lastRenderedPageBreak/>
              <w:t>Judge’s signature:</w:t>
            </w:r>
          </w:p>
        </w:tc>
        <w:tc>
          <w:tcPr>
            <w:tcW w:w="4950" w:type="dxa"/>
            <w:gridSpan w:val="2"/>
          </w:tcPr>
          <w:p w:rsidR="00BE5489" w:rsidRPr="00922CA7" w:rsidRDefault="00EB27A0" w:rsidP="0050338C">
            <w:pPr>
              <w:spacing w:line="360" w:lineRule="auto"/>
              <w:jc w:val="center"/>
              <w:rPr>
                <w:rFonts w:ascii="Arial Narrow" w:hAnsi="Arial Narrow" w:cs="Arial"/>
                <w:b/>
                <w:sz w:val="26"/>
                <w:szCs w:val="26"/>
              </w:rPr>
            </w:pPr>
            <w:r w:rsidRPr="00922CA7">
              <w:rPr>
                <w:rFonts w:ascii="Arial Narrow" w:hAnsi="Arial Narrow" w:cs="Arial"/>
                <w:b/>
                <w:sz w:val="26"/>
                <w:szCs w:val="26"/>
              </w:rPr>
              <w:t>Note to the parties:</w:t>
            </w:r>
          </w:p>
        </w:tc>
      </w:tr>
      <w:tr w:rsidR="00BE5489" w:rsidRPr="00922CA7" w:rsidTr="0050338C">
        <w:trPr>
          <w:trHeight w:val="1114"/>
        </w:trPr>
        <w:tc>
          <w:tcPr>
            <w:tcW w:w="4770" w:type="dxa"/>
          </w:tcPr>
          <w:p w:rsidR="00BE5489" w:rsidRPr="00922CA7" w:rsidRDefault="00BE5489" w:rsidP="00EB27A0">
            <w:pPr>
              <w:spacing w:line="360" w:lineRule="auto"/>
              <w:jc w:val="both"/>
              <w:rPr>
                <w:rFonts w:ascii="Arial Narrow" w:hAnsi="Arial Narrow" w:cs="Arial"/>
                <w:sz w:val="26"/>
                <w:szCs w:val="26"/>
              </w:rPr>
            </w:pPr>
          </w:p>
          <w:p w:rsidR="009F6C8B" w:rsidRDefault="009F6C8B" w:rsidP="00EB27A0">
            <w:pPr>
              <w:spacing w:line="360" w:lineRule="auto"/>
              <w:jc w:val="both"/>
              <w:rPr>
                <w:rFonts w:ascii="Arial Narrow" w:hAnsi="Arial Narrow" w:cs="Arial"/>
                <w:sz w:val="26"/>
                <w:szCs w:val="26"/>
              </w:rPr>
            </w:pPr>
          </w:p>
          <w:p w:rsidR="005C040C" w:rsidRPr="00922CA7" w:rsidRDefault="005C040C" w:rsidP="00EB27A0">
            <w:pPr>
              <w:spacing w:line="360" w:lineRule="auto"/>
              <w:jc w:val="both"/>
              <w:rPr>
                <w:rFonts w:ascii="Arial Narrow" w:hAnsi="Arial Narrow" w:cs="Arial"/>
                <w:sz w:val="26"/>
                <w:szCs w:val="26"/>
              </w:rPr>
            </w:pPr>
          </w:p>
        </w:tc>
        <w:tc>
          <w:tcPr>
            <w:tcW w:w="4950" w:type="dxa"/>
            <w:gridSpan w:val="2"/>
          </w:tcPr>
          <w:p w:rsidR="00BE5489" w:rsidRPr="00922CA7" w:rsidRDefault="0060394A" w:rsidP="00952193">
            <w:pPr>
              <w:spacing w:line="360" w:lineRule="auto"/>
              <w:jc w:val="both"/>
              <w:rPr>
                <w:rFonts w:ascii="Arial Narrow" w:hAnsi="Arial Narrow" w:cs="Arial"/>
                <w:sz w:val="26"/>
                <w:szCs w:val="26"/>
              </w:rPr>
            </w:pPr>
            <w:r w:rsidRPr="00922CA7">
              <w:rPr>
                <w:rFonts w:ascii="Arial Narrow" w:hAnsi="Arial Narrow" w:cs="Arial"/>
                <w:sz w:val="26"/>
                <w:szCs w:val="26"/>
              </w:rPr>
              <w:t>Not applicable.</w:t>
            </w:r>
          </w:p>
        </w:tc>
      </w:tr>
      <w:tr w:rsidR="00A23F8A" w:rsidRPr="00922CA7" w:rsidTr="00B530B4">
        <w:tc>
          <w:tcPr>
            <w:tcW w:w="9720" w:type="dxa"/>
            <w:gridSpan w:val="3"/>
          </w:tcPr>
          <w:p w:rsidR="00A23F8A" w:rsidRPr="00922CA7" w:rsidRDefault="00A23F8A" w:rsidP="00A23F8A">
            <w:pPr>
              <w:spacing w:line="360" w:lineRule="auto"/>
              <w:jc w:val="center"/>
              <w:rPr>
                <w:rFonts w:ascii="Arial Narrow" w:hAnsi="Arial Narrow" w:cs="Arial"/>
                <w:b/>
                <w:sz w:val="26"/>
                <w:szCs w:val="26"/>
              </w:rPr>
            </w:pPr>
            <w:r w:rsidRPr="00922CA7">
              <w:rPr>
                <w:rFonts w:ascii="Arial Narrow" w:hAnsi="Arial Narrow" w:cs="Arial"/>
                <w:b/>
                <w:sz w:val="26"/>
                <w:szCs w:val="26"/>
              </w:rPr>
              <w:t>Counsel:</w:t>
            </w:r>
          </w:p>
        </w:tc>
      </w:tr>
      <w:tr w:rsidR="00FD38C2" w:rsidRPr="00922CA7" w:rsidTr="00FD38C2">
        <w:tc>
          <w:tcPr>
            <w:tcW w:w="4770" w:type="dxa"/>
          </w:tcPr>
          <w:p w:rsidR="00FD38C2" w:rsidRPr="00922CA7" w:rsidRDefault="00890143" w:rsidP="00890143">
            <w:pPr>
              <w:spacing w:line="360" w:lineRule="auto"/>
              <w:jc w:val="center"/>
              <w:rPr>
                <w:rFonts w:ascii="Arial Narrow" w:hAnsi="Arial Narrow" w:cs="Arial"/>
                <w:b/>
                <w:sz w:val="26"/>
                <w:szCs w:val="26"/>
              </w:rPr>
            </w:pPr>
            <w:r w:rsidRPr="00922CA7">
              <w:rPr>
                <w:rFonts w:ascii="Arial Narrow" w:hAnsi="Arial Narrow" w:cs="Arial"/>
                <w:b/>
                <w:sz w:val="26"/>
                <w:szCs w:val="26"/>
              </w:rPr>
              <w:t>Applicant</w:t>
            </w:r>
          </w:p>
        </w:tc>
        <w:tc>
          <w:tcPr>
            <w:tcW w:w="4950" w:type="dxa"/>
            <w:gridSpan w:val="2"/>
          </w:tcPr>
          <w:p w:rsidR="00FD38C2" w:rsidRPr="00922CA7" w:rsidRDefault="00377DE4" w:rsidP="00E05851">
            <w:pPr>
              <w:spacing w:line="360" w:lineRule="auto"/>
              <w:jc w:val="center"/>
              <w:rPr>
                <w:rFonts w:ascii="Arial Narrow" w:hAnsi="Arial Narrow" w:cs="Arial"/>
                <w:b/>
                <w:sz w:val="26"/>
                <w:szCs w:val="26"/>
              </w:rPr>
            </w:pPr>
            <w:r w:rsidRPr="00922CA7">
              <w:rPr>
                <w:rFonts w:ascii="Arial Narrow" w:hAnsi="Arial Narrow" w:cs="Arial"/>
                <w:b/>
                <w:sz w:val="26"/>
                <w:szCs w:val="26"/>
              </w:rPr>
              <w:t>Third, Fourth and Fifth Respondents</w:t>
            </w:r>
          </w:p>
        </w:tc>
      </w:tr>
      <w:tr w:rsidR="00E05851" w:rsidRPr="00922CA7" w:rsidTr="00FD38C2">
        <w:tc>
          <w:tcPr>
            <w:tcW w:w="4770" w:type="dxa"/>
          </w:tcPr>
          <w:p w:rsidR="00A23F8A" w:rsidRPr="00922CA7" w:rsidRDefault="00377DE4" w:rsidP="0050338C">
            <w:pPr>
              <w:spacing w:line="360" w:lineRule="auto"/>
              <w:jc w:val="center"/>
              <w:rPr>
                <w:rFonts w:ascii="Arial Narrow" w:hAnsi="Arial Narrow" w:cs="Arial"/>
                <w:sz w:val="26"/>
                <w:szCs w:val="26"/>
              </w:rPr>
            </w:pPr>
            <w:r>
              <w:rPr>
                <w:rFonts w:ascii="Arial Narrow" w:hAnsi="Arial Narrow" w:cs="Arial"/>
                <w:sz w:val="26"/>
                <w:szCs w:val="26"/>
              </w:rPr>
              <w:t xml:space="preserve">S C </w:t>
            </w:r>
            <w:proofErr w:type="spellStart"/>
            <w:r>
              <w:rPr>
                <w:rFonts w:ascii="Arial Narrow" w:hAnsi="Arial Narrow" w:cs="Arial"/>
                <w:sz w:val="26"/>
                <w:szCs w:val="26"/>
              </w:rPr>
              <w:t>Rorke</w:t>
            </w:r>
            <w:proofErr w:type="spellEnd"/>
          </w:p>
          <w:p w:rsidR="00B160EB" w:rsidRPr="00377DE4" w:rsidRDefault="00B160EB" w:rsidP="0050338C">
            <w:pPr>
              <w:spacing w:line="360" w:lineRule="auto"/>
              <w:jc w:val="center"/>
              <w:rPr>
                <w:rFonts w:ascii="Arial Narrow" w:hAnsi="Arial Narrow" w:cs="Arial"/>
                <w:sz w:val="26"/>
                <w:szCs w:val="26"/>
              </w:rPr>
            </w:pPr>
            <w:r w:rsidRPr="00377DE4">
              <w:rPr>
                <w:rFonts w:ascii="Arial Narrow" w:hAnsi="Arial Narrow" w:cs="Arial"/>
                <w:sz w:val="26"/>
                <w:szCs w:val="26"/>
              </w:rPr>
              <w:t>instructed by</w:t>
            </w:r>
          </w:p>
          <w:p w:rsidR="006D2D84" w:rsidRPr="00922CA7" w:rsidRDefault="00E05851" w:rsidP="00922CA7">
            <w:pPr>
              <w:spacing w:line="360" w:lineRule="auto"/>
              <w:jc w:val="center"/>
              <w:rPr>
                <w:rFonts w:ascii="Arial Narrow" w:hAnsi="Arial Narrow" w:cs="Arial"/>
                <w:sz w:val="26"/>
                <w:szCs w:val="26"/>
              </w:rPr>
            </w:pPr>
            <w:r w:rsidRPr="00922CA7">
              <w:rPr>
                <w:rFonts w:ascii="Arial Narrow" w:hAnsi="Arial Narrow" w:cs="Arial"/>
                <w:sz w:val="26"/>
                <w:szCs w:val="26"/>
                <w:shd w:val="clear" w:color="auto" w:fill="FFFFFF"/>
              </w:rPr>
              <w:t>Ellis &amp; Partners Legal Practitioners</w:t>
            </w:r>
            <w:r w:rsidR="00997334" w:rsidRPr="00922CA7">
              <w:rPr>
                <w:rFonts w:ascii="Arial Narrow" w:hAnsi="Arial Narrow" w:cs="Arial"/>
                <w:sz w:val="26"/>
                <w:szCs w:val="26"/>
              </w:rPr>
              <w:t>, Windhoek</w:t>
            </w:r>
          </w:p>
          <w:p w:rsidR="00922CA7" w:rsidRPr="00922CA7" w:rsidRDefault="00922CA7" w:rsidP="00922CA7">
            <w:pPr>
              <w:spacing w:line="360" w:lineRule="auto"/>
              <w:jc w:val="center"/>
              <w:rPr>
                <w:rFonts w:ascii="Arial Narrow" w:hAnsi="Arial Narrow" w:cs="Arial"/>
                <w:sz w:val="26"/>
                <w:szCs w:val="26"/>
              </w:rPr>
            </w:pPr>
          </w:p>
        </w:tc>
        <w:tc>
          <w:tcPr>
            <w:tcW w:w="4950" w:type="dxa"/>
            <w:gridSpan w:val="2"/>
          </w:tcPr>
          <w:p w:rsidR="00377DE4" w:rsidRPr="00922CA7" w:rsidRDefault="00377DE4" w:rsidP="00377DE4">
            <w:pPr>
              <w:spacing w:line="360" w:lineRule="auto"/>
              <w:jc w:val="center"/>
              <w:rPr>
                <w:rFonts w:ascii="Arial Narrow" w:hAnsi="Arial Narrow" w:cs="Arial"/>
                <w:sz w:val="26"/>
                <w:szCs w:val="26"/>
              </w:rPr>
            </w:pPr>
            <w:r>
              <w:rPr>
                <w:rFonts w:ascii="Arial Narrow" w:hAnsi="Arial Narrow" w:cs="Arial"/>
                <w:sz w:val="26"/>
                <w:szCs w:val="26"/>
              </w:rPr>
              <w:t xml:space="preserve">A Corbett (with him </w:t>
            </w:r>
            <w:r w:rsidRPr="00922CA7">
              <w:rPr>
                <w:rFonts w:ascii="Arial Narrow" w:hAnsi="Arial Narrow" w:cs="Arial"/>
                <w:sz w:val="26"/>
                <w:szCs w:val="26"/>
              </w:rPr>
              <w:t xml:space="preserve">D </w:t>
            </w:r>
            <w:proofErr w:type="spellStart"/>
            <w:r w:rsidRPr="00922CA7">
              <w:rPr>
                <w:rFonts w:ascii="Arial Narrow" w:hAnsi="Arial Narrow" w:cs="Arial"/>
                <w:sz w:val="26"/>
                <w:szCs w:val="26"/>
              </w:rPr>
              <w:t>Obbes</w:t>
            </w:r>
            <w:proofErr w:type="spellEnd"/>
            <w:r w:rsidRPr="00922CA7">
              <w:rPr>
                <w:rFonts w:ascii="Arial Narrow" w:hAnsi="Arial Narrow" w:cs="Arial"/>
                <w:sz w:val="26"/>
                <w:szCs w:val="26"/>
              </w:rPr>
              <w:t>)</w:t>
            </w:r>
          </w:p>
          <w:p w:rsidR="00377DE4" w:rsidRPr="00377DE4" w:rsidRDefault="00377DE4" w:rsidP="00377DE4">
            <w:pPr>
              <w:spacing w:line="360" w:lineRule="auto"/>
              <w:jc w:val="center"/>
              <w:rPr>
                <w:rFonts w:ascii="Arial Narrow" w:hAnsi="Arial Narrow" w:cs="Arial"/>
                <w:sz w:val="26"/>
                <w:szCs w:val="26"/>
              </w:rPr>
            </w:pPr>
            <w:r>
              <w:rPr>
                <w:rFonts w:ascii="Arial Narrow" w:hAnsi="Arial Narrow" w:cs="Arial"/>
                <w:sz w:val="26"/>
                <w:szCs w:val="26"/>
              </w:rPr>
              <w:t>in</w:t>
            </w:r>
            <w:r w:rsidRPr="00377DE4">
              <w:rPr>
                <w:rFonts w:ascii="Arial Narrow" w:hAnsi="Arial Narrow" w:cs="Arial"/>
                <w:sz w:val="26"/>
                <w:szCs w:val="26"/>
              </w:rPr>
              <w:t>structed by</w:t>
            </w:r>
          </w:p>
          <w:p w:rsidR="00377DE4" w:rsidRPr="00922CA7" w:rsidRDefault="00377DE4" w:rsidP="00377DE4">
            <w:pPr>
              <w:spacing w:line="360" w:lineRule="auto"/>
              <w:jc w:val="center"/>
              <w:rPr>
                <w:rFonts w:ascii="Arial Narrow" w:hAnsi="Arial Narrow" w:cs="Arial"/>
                <w:sz w:val="26"/>
                <w:szCs w:val="26"/>
                <w:shd w:val="clear" w:color="auto" w:fill="FFFFFF"/>
              </w:rPr>
            </w:pPr>
            <w:proofErr w:type="spellStart"/>
            <w:r w:rsidRPr="00922CA7">
              <w:rPr>
                <w:rFonts w:ascii="Arial Narrow" w:hAnsi="Arial Narrow" w:cs="Arial"/>
                <w:sz w:val="26"/>
                <w:szCs w:val="26"/>
                <w:shd w:val="clear" w:color="auto" w:fill="FFFFFF"/>
              </w:rPr>
              <w:t>Engling</w:t>
            </w:r>
            <w:proofErr w:type="spellEnd"/>
            <w:r w:rsidRPr="00922CA7">
              <w:rPr>
                <w:rFonts w:ascii="Arial Narrow" w:hAnsi="Arial Narrow" w:cs="Arial"/>
                <w:sz w:val="26"/>
                <w:szCs w:val="26"/>
                <w:shd w:val="clear" w:color="auto" w:fill="FFFFFF"/>
              </w:rPr>
              <w:t xml:space="preserve">, </w:t>
            </w:r>
            <w:proofErr w:type="spellStart"/>
            <w:r w:rsidRPr="00922CA7">
              <w:rPr>
                <w:rFonts w:ascii="Arial Narrow" w:hAnsi="Arial Narrow" w:cs="Arial"/>
                <w:sz w:val="26"/>
                <w:szCs w:val="26"/>
                <w:shd w:val="clear" w:color="auto" w:fill="FFFFFF"/>
              </w:rPr>
              <w:t>Stritter</w:t>
            </w:r>
            <w:proofErr w:type="spellEnd"/>
            <w:r w:rsidRPr="00922CA7">
              <w:rPr>
                <w:rFonts w:ascii="Arial Narrow" w:hAnsi="Arial Narrow" w:cs="Arial"/>
                <w:sz w:val="26"/>
                <w:szCs w:val="26"/>
                <w:shd w:val="clear" w:color="auto" w:fill="FFFFFF"/>
              </w:rPr>
              <w:t xml:space="preserve"> &amp; Partners, Windhoek</w:t>
            </w:r>
          </w:p>
          <w:p w:rsidR="00FD38C2" w:rsidRPr="00922CA7" w:rsidRDefault="00FD38C2" w:rsidP="00377DE4">
            <w:pPr>
              <w:spacing w:line="360" w:lineRule="auto"/>
              <w:rPr>
                <w:rFonts w:ascii="Arial Narrow" w:hAnsi="Arial Narrow" w:cs="Arial"/>
                <w:sz w:val="26"/>
                <w:szCs w:val="26"/>
              </w:rPr>
            </w:pPr>
          </w:p>
        </w:tc>
      </w:tr>
      <w:tr w:rsidR="00E05851" w:rsidRPr="00922CA7" w:rsidTr="00FD38C2">
        <w:tc>
          <w:tcPr>
            <w:tcW w:w="4770" w:type="dxa"/>
          </w:tcPr>
          <w:p w:rsidR="00E05851" w:rsidRPr="00922CA7" w:rsidRDefault="00E05851" w:rsidP="0050338C">
            <w:pPr>
              <w:spacing w:line="360" w:lineRule="auto"/>
              <w:jc w:val="center"/>
              <w:rPr>
                <w:rFonts w:ascii="Arial Narrow" w:hAnsi="Arial Narrow" w:cs="Arial"/>
                <w:sz w:val="26"/>
                <w:szCs w:val="26"/>
              </w:rPr>
            </w:pPr>
          </w:p>
        </w:tc>
        <w:tc>
          <w:tcPr>
            <w:tcW w:w="4950" w:type="dxa"/>
            <w:gridSpan w:val="2"/>
          </w:tcPr>
          <w:p w:rsidR="00E05851" w:rsidRPr="00922CA7" w:rsidRDefault="00377DE4" w:rsidP="00E05851">
            <w:pPr>
              <w:spacing w:line="360" w:lineRule="auto"/>
              <w:jc w:val="center"/>
              <w:rPr>
                <w:rFonts w:ascii="Arial Narrow" w:hAnsi="Arial Narrow" w:cs="Arial"/>
                <w:b/>
                <w:sz w:val="26"/>
                <w:szCs w:val="26"/>
              </w:rPr>
            </w:pPr>
            <w:r w:rsidRPr="00922CA7">
              <w:rPr>
                <w:rFonts w:ascii="Arial Narrow" w:hAnsi="Arial Narrow" w:cs="Arial"/>
                <w:b/>
                <w:sz w:val="26"/>
                <w:szCs w:val="26"/>
              </w:rPr>
              <w:t>Ninth Respondent</w:t>
            </w:r>
          </w:p>
        </w:tc>
      </w:tr>
      <w:tr w:rsidR="00922CA7" w:rsidRPr="00922CA7" w:rsidTr="00FD38C2">
        <w:tc>
          <w:tcPr>
            <w:tcW w:w="4770" w:type="dxa"/>
          </w:tcPr>
          <w:p w:rsidR="00E05851" w:rsidRPr="00922CA7" w:rsidRDefault="00E05851" w:rsidP="0050338C">
            <w:pPr>
              <w:spacing w:line="360" w:lineRule="auto"/>
              <w:jc w:val="center"/>
              <w:rPr>
                <w:rFonts w:ascii="Arial Narrow" w:hAnsi="Arial Narrow" w:cs="Arial"/>
                <w:sz w:val="26"/>
                <w:szCs w:val="26"/>
              </w:rPr>
            </w:pPr>
          </w:p>
        </w:tc>
        <w:tc>
          <w:tcPr>
            <w:tcW w:w="4950" w:type="dxa"/>
            <w:gridSpan w:val="2"/>
          </w:tcPr>
          <w:p w:rsidR="00377DE4" w:rsidRPr="00922CA7" w:rsidRDefault="00377DE4" w:rsidP="00377DE4">
            <w:pPr>
              <w:spacing w:line="360" w:lineRule="auto"/>
              <w:jc w:val="center"/>
              <w:rPr>
                <w:rFonts w:ascii="Arial Narrow" w:hAnsi="Arial Narrow" w:cs="Arial"/>
                <w:sz w:val="26"/>
                <w:szCs w:val="26"/>
              </w:rPr>
            </w:pPr>
            <w:r w:rsidRPr="00922CA7">
              <w:rPr>
                <w:rFonts w:ascii="Arial Narrow" w:hAnsi="Arial Narrow" w:cs="Arial"/>
                <w:sz w:val="26"/>
                <w:szCs w:val="26"/>
              </w:rPr>
              <w:t>J Gaya</w:t>
            </w:r>
          </w:p>
          <w:p w:rsidR="00377DE4" w:rsidRPr="00377DE4" w:rsidRDefault="00377DE4" w:rsidP="00377DE4">
            <w:pPr>
              <w:spacing w:line="360" w:lineRule="auto"/>
              <w:jc w:val="center"/>
              <w:rPr>
                <w:rFonts w:ascii="Arial Narrow" w:hAnsi="Arial Narrow" w:cs="Arial"/>
                <w:sz w:val="26"/>
                <w:szCs w:val="26"/>
              </w:rPr>
            </w:pPr>
            <w:r w:rsidRPr="00377DE4">
              <w:rPr>
                <w:rFonts w:ascii="Arial Narrow" w:hAnsi="Arial Narrow" w:cs="Arial"/>
                <w:sz w:val="26"/>
                <w:szCs w:val="26"/>
              </w:rPr>
              <w:t>of</w:t>
            </w:r>
          </w:p>
          <w:p w:rsidR="00922CA7" w:rsidRDefault="00377DE4" w:rsidP="00377DE4">
            <w:pPr>
              <w:spacing w:line="360" w:lineRule="auto"/>
              <w:jc w:val="center"/>
              <w:rPr>
                <w:rFonts w:ascii="Arial Narrow" w:hAnsi="Arial Narrow"/>
                <w:sz w:val="26"/>
                <w:szCs w:val="26"/>
              </w:rPr>
            </w:pPr>
            <w:r w:rsidRPr="00922CA7">
              <w:rPr>
                <w:rFonts w:ascii="Arial Narrow" w:hAnsi="Arial Narrow"/>
                <w:sz w:val="26"/>
                <w:szCs w:val="26"/>
              </w:rPr>
              <w:t>Fisher, Quarmby &amp; Pfeifer, Windhoek</w:t>
            </w:r>
          </w:p>
          <w:p w:rsidR="00377DE4" w:rsidRPr="00377DE4" w:rsidRDefault="00377DE4" w:rsidP="00377DE4">
            <w:pPr>
              <w:spacing w:line="360" w:lineRule="auto"/>
              <w:jc w:val="center"/>
              <w:rPr>
                <w:rFonts w:ascii="Arial Narrow" w:hAnsi="Arial Narrow"/>
                <w:sz w:val="26"/>
                <w:szCs w:val="26"/>
              </w:rPr>
            </w:pPr>
          </w:p>
        </w:tc>
      </w:tr>
    </w:tbl>
    <w:p w:rsidR="009B096F" w:rsidRPr="00922CA7" w:rsidRDefault="009B096F" w:rsidP="00EB27A0">
      <w:pPr>
        <w:spacing w:after="0" w:line="360" w:lineRule="auto"/>
        <w:jc w:val="both"/>
        <w:rPr>
          <w:rFonts w:ascii="Arial Narrow" w:hAnsi="Arial Narrow"/>
          <w:sz w:val="26"/>
          <w:szCs w:val="26"/>
        </w:rPr>
      </w:pPr>
    </w:p>
    <w:sectPr w:rsidR="009B096F" w:rsidRPr="00922CA7" w:rsidSect="00377DE4">
      <w:headerReference w:type="default" r:id="rId8"/>
      <w:footerReference w:type="default" r:id="rId9"/>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FE" w:rsidRDefault="007655FE" w:rsidP="00A23F8A">
      <w:pPr>
        <w:spacing w:after="0" w:line="240" w:lineRule="auto"/>
      </w:pPr>
      <w:r>
        <w:separator/>
      </w:r>
    </w:p>
  </w:endnote>
  <w:endnote w:type="continuationSeparator" w:id="0">
    <w:p w:rsidR="007655FE" w:rsidRDefault="007655FE"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FE" w:rsidRDefault="007655FE" w:rsidP="00A23F8A">
      <w:pPr>
        <w:spacing w:after="0" w:line="240" w:lineRule="auto"/>
      </w:pPr>
      <w:r>
        <w:separator/>
      </w:r>
    </w:p>
  </w:footnote>
  <w:footnote w:type="continuationSeparator" w:id="0">
    <w:p w:rsidR="007655FE" w:rsidRDefault="007655FE" w:rsidP="00A23F8A">
      <w:pPr>
        <w:spacing w:after="0" w:line="240" w:lineRule="auto"/>
      </w:pPr>
      <w:r>
        <w:continuationSeparator/>
      </w:r>
    </w:p>
  </w:footnote>
  <w:footnote w:id="1">
    <w:p w:rsidR="007D736B" w:rsidRPr="00377DE4" w:rsidRDefault="007D736B" w:rsidP="00377DE4">
      <w:pPr>
        <w:pStyle w:val="FootnoteText"/>
        <w:jc w:val="both"/>
        <w:rPr>
          <w:rFonts w:ascii="Arial Narrow" w:hAnsi="Arial Narrow"/>
        </w:rPr>
      </w:pPr>
      <w:r w:rsidRPr="00377DE4">
        <w:rPr>
          <w:rStyle w:val="FootnoteReference"/>
          <w:rFonts w:ascii="Arial Narrow" w:hAnsi="Arial Narrow"/>
        </w:rPr>
        <w:footnoteRef/>
      </w:r>
      <w:r w:rsidRPr="00377DE4">
        <w:rPr>
          <w:rFonts w:ascii="Arial Narrow" w:hAnsi="Arial Narrow"/>
        </w:rPr>
        <w:t xml:space="preserve"> </w:t>
      </w:r>
      <w:proofErr w:type="spellStart"/>
      <w:r w:rsidRPr="00377DE4">
        <w:rPr>
          <w:rFonts w:ascii="Arial Narrow" w:hAnsi="Arial Narrow"/>
          <w:i/>
        </w:rPr>
        <w:t>Mukata</w:t>
      </w:r>
      <w:proofErr w:type="spellEnd"/>
      <w:r w:rsidRPr="00377DE4">
        <w:rPr>
          <w:rFonts w:ascii="Arial Narrow" w:hAnsi="Arial Narrow"/>
          <w:i/>
        </w:rPr>
        <w:t xml:space="preserve"> v </w:t>
      </w:r>
      <w:proofErr w:type="spellStart"/>
      <w:r w:rsidRPr="00377DE4">
        <w:rPr>
          <w:rFonts w:ascii="Arial Narrow" w:hAnsi="Arial Narrow"/>
          <w:i/>
        </w:rPr>
        <w:t>Appolus</w:t>
      </w:r>
      <w:proofErr w:type="spellEnd"/>
      <w:r w:rsidRPr="00377DE4">
        <w:rPr>
          <w:rFonts w:ascii="Arial Narrow" w:hAnsi="Arial Narrow"/>
        </w:rPr>
        <w:t xml:space="preserve"> </w:t>
      </w:r>
      <w:r w:rsidRPr="00377DE4">
        <w:rPr>
          <w:rFonts w:ascii="Arial Narrow" w:hAnsi="Arial Narrow" w:cs="Arial"/>
        </w:rPr>
        <w:t>(I 3396/2014) [2015] NAHCMD 54 (12 March 2015)</w:t>
      </w:r>
      <w:r w:rsidR="00377DE4">
        <w:rPr>
          <w:rFonts w:ascii="Arial Narrow" w:hAnsi="Arial Narrow" w:cs="Arial"/>
        </w:rPr>
        <w:t>.</w:t>
      </w:r>
    </w:p>
  </w:footnote>
  <w:footnote w:id="2">
    <w:p w:rsidR="007D736B" w:rsidRPr="00377DE4" w:rsidRDefault="007D736B" w:rsidP="00377DE4">
      <w:pPr>
        <w:pStyle w:val="FootnoteText"/>
        <w:jc w:val="both"/>
        <w:rPr>
          <w:rFonts w:ascii="Arial Narrow" w:hAnsi="Arial Narrow"/>
        </w:rPr>
      </w:pPr>
      <w:r w:rsidRPr="00377DE4">
        <w:rPr>
          <w:rStyle w:val="FootnoteReference"/>
          <w:rFonts w:ascii="Arial Narrow" w:hAnsi="Arial Narrow"/>
        </w:rPr>
        <w:footnoteRef/>
      </w:r>
      <w:r w:rsidRPr="00377DE4">
        <w:rPr>
          <w:rFonts w:ascii="Arial Narrow" w:hAnsi="Arial Narrow"/>
        </w:rPr>
        <w:t xml:space="preserve"> Visagie v Visagie </w:t>
      </w:r>
      <w:r w:rsidRPr="00377DE4">
        <w:rPr>
          <w:rFonts w:ascii="Arial Narrow" w:hAnsi="Arial Narrow" w:cs="Arial"/>
        </w:rPr>
        <w:t>(I 1956/2014) [2015] NAHCMD 117 (26 May 2015)</w:t>
      </w:r>
      <w:r w:rsidR="00377DE4">
        <w:rPr>
          <w:rFonts w:ascii="Arial Narrow" w:hAnsi="Arial Narrow"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536267"/>
      <w:docPartObj>
        <w:docPartGallery w:val="Page Numbers (Top of Page)"/>
        <w:docPartUnique/>
      </w:docPartObj>
    </w:sdtPr>
    <w:sdtEndPr>
      <w:rPr>
        <w:noProof/>
      </w:rPr>
    </w:sdtEndPr>
    <w:sdtContent>
      <w:p w:rsidR="00377DE4" w:rsidRDefault="00377DE4">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377DE4" w:rsidRDefault="00377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4E39"/>
    <w:multiLevelType w:val="hybridMultilevel"/>
    <w:tmpl w:val="948A0F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DFE1B27"/>
    <w:multiLevelType w:val="hybridMultilevel"/>
    <w:tmpl w:val="AD2CF240"/>
    <w:lvl w:ilvl="0" w:tplc="76D411F8">
      <w:start w:val="1"/>
      <w:numFmt w:val="decimal"/>
      <w:lvlText w:val="2.%1"/>
      <w:lvlJc w:val="left"/>
      <w:pPr>
        <w:ind w:left="1166" w:hanging="360"/>
      </w:pPr>
      <w:rPr>
        <w:rFonts w:hint="default"/>
      </w:rPr>
    </w:lvl>
    <w:lvl w:ilvl="1" w:tplc="1C090019" w:tentative="1">
      <w:start w:val="1"/>
      <w:numFmt w:val="lowerLetter"/>
      <w:lvlText w:val="%2."/>
      <w:lvlJc w:val="left"/>
      <w:pPr>
        <w:ind w:left="1886" w:hanging="360"/>
      </w:pPr>
    </w:lvl>
    <w:lvl w:ilvl="2" w:tplc="1C09001B" w:tentative="1">
      <w:start w:val="1"/>
      <w:numFmt w:val="lowerRoman"/>
      <w:lvlText w:val="%3."/>
      <w:lvlJc w:val="right"/>
      <w:pPr>
        <w:ind w:left="2606" w:hanging="180"/>
      </w:pPr>
    </w:lvl>
    <w:lvl w:ilvl="3" w:tplc="1C09000F" w:tentative="1">
      <w:start w:val="1"/>
      <w:numFmt w:val="decimal"/>
      <w:lvlText w:val="%4."/>
      <w:lvlJc w:val="left"/>
      <w:pPr>
        <w:ind w:left="3326" w:hanging="360"/>
      </w:pPr>
    </w:lvl>
    <w:lvl w:ilvl="4" w:tplc="1C090019" w:tentative="1">
      <w:start w:val="1"/>
      <w:numFmt w:val="lowerLetter"/>
      <w:lvlText w:val="%5."/>
      <w:lvlJc w:val="left"/>
      <w:pPr>
        <w:ind w:left="4046" w:hanging="360"/>
      </w:pPr>
    </w:lvl>
    <w:lvl w:ilvl="5" w:tplc="1C09001B" w:tentative="1">
      <w:start w:val="1"/>
      <w:numFmt w:val="lowerRoman"/>
      <w:lvlText w:val="%6."/>
      <w:lvlJc w:val="right"/>
      <w:pPr>
        <w:ind w:left="4766" w:hanging="180"/>
      </w:pPr>
    </w:lvl>
    <w:lvl w:ilvl="6" w:tplc="1C09000F" w:tentative="1">
      <w:start w:val="1"/>
      <w:numFmt w:val="decimal"/>
      <w:lvlText w:val="%7."/>
      <w:lvlJc w:val="left"/>
      <w:pPr>
        <w:ind w:left="5486" w:hanging="360"/>
      </w:pPr>
    </w:lvl>
    <w:lvl w:ilvl="7" w:tplc="1C090019" w:tentative="1">
      <w:start w:val="1"/>
      <w:numFmt w:val="lowerLetter"/>
      <w:lvlText w:val="%8."/>
      <w:lvlJc w:val="left"/>
      <w:pPr>
        <w:ind w:left="6206" w:hanging="360"/>
      </w:pPr>
    </w:lvl>
    <w:lvl w:ilvl="8" w:tplc="1C09001B" w:tentative="1">
      <w:start w:val="1"/>
      <w:numFmt w:val="lowerRoman"/>
      <w:lvlText w:val="%9."/>
      <w:lvlJc w:val="right"/>
      <w:pPr>
        <w:ind w:left="6926" w:hanging="180"/>
      </w:pPr>
    </w:lvl>
  </w:abstractNum>
  <w:abstractNum w:abstractNumId="3">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9">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F33512E"/>
    <w:multiLevelType w:val="hybridMultilevel"/>
    <w:tmpl w:val="F5F6A5BE"/>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42173"/>
    <w:multiLevelType w:val="hybridMultilevel"/>
    <w:tmpl w:val="28943628"/>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7"/>
  </w:num>
  <w:num w:numId="6">
    <w:abstractNumId w:val="5"/>
  </w:num>
  <w:num w:numId="7">
    <w:abstractNumId w:val="12"/>
  </w:num>
  <w:num w:numId="8">
    <w:abstractNumId w:val="11"/>
  </w:num>
  <w:num w:numId="9">
    <w:abstractNumId w:val="4"/>
  </w:num>
  <w:num w:numId="10">
    <w:abstractNumId w:val="8"/>
  </w:num>
  <w:num w:numId="11">
    <w:abstractNumId w:val="3"/>
  </w:num>
  <w:num w:numId="12">
    <w:abstractNumId w:val="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92FD2"/>
    <w:rsid w:val="000C0A07"/>
    <w:rsid w:val="000D5FE9"/>
    <w:rsid w:val="00112D50"/>
    <w:rsid w:val="00113321"/>
    <w:rsid w:val="00124EC8"/>
    <w:rsid w:val="00165FEE"/>
    <w:rsid w:val="0017153C"/>
    <w:rsid w:val="001804AD"/>
    <w:rsid w:val="001B710C"/>
    <w:rsid w:val="001D41D2"/>
    <w:rsid w:val="001F1ECD"/>
    <w:rsid w:val="001F4A48"/>
    <w:rsid w:val="002002FA"/>
    <w:rsid w:val="00203E3D"/>
    <w:rsid w:val="002207D9"/>
    <w:rsid w:val="00281A10"/>
    <w:rsid w:val="00281FAB"/>
    <w:rsid w:val="002C3150"/>
    <w:rsid w:val="002D4C2A"/>
    <w:rsid w:val="002E3BFB"/>
    <w:rsid w:val="00300CF7"/>
    <w:rsid w:val="0030287B"/>
    <w:rsid w:val="00323762"/>
    <w:rsid w:val="00330CE3"/>
    <w:rsid w:val="00334EC0"/>
    <w:rsid w:val="00342AC5"/>
    <w:rsid w:val="00347DBC"/>
    <w:rsid w:val="00371CD0"/>
    <w:rsid w:val="00377DE4"/>
    <w:rsid w:val="00393E41"/>
    <w:rsid w:val="00396AF1"/>
    <w:rsid w:val="003A0103"/>
    <w:rsid w:val="003A6ABD"/>
    <w:rsid w:val="003A7E2F"/>
    <w:rsid w:val="003C4613"/>
    <w:rsid w:val="003E3D0D"/>
    <w:rsid w:val="003E50E8"/>
    <w:rsid w:val="003F52A2"/>
    <w:rsid w:val="00425554"/>
    <w:rsid w:val="004514DE"/>
    <w:rsid w:val="004546CC"/>
    <w:rsid w:val="00456199"/>
    <w:rsid w:val="0048174C"/>
    <w:rsid w:val="004B355E"/>
    <w:rsid w:val="004B5538"/>
    <w:rsid w:val="004E7D33"/>
    <w:rsid w:val="0050338C"/>
    <w:rsid w:val="005234EE"/>
    <w:rsid w:val="005403D8"/>
    <w:rsid w:val="005955B1"/>
    <w:rsid w:val="005A66F8"/>
    <w:rsid w:val="005C040C"/>
    <w:rsid w:val="005D0592"/>
    <w:rsid w:val="005D6172"/>
    <w:rsid w:val="005D7161"/>
    <w:rsid w:val="005E5A8F"/>
    <w:rsid w:val="0060394A"/>
    <w:rsid w:val="006039AA"/>
    <w:rsid w:val="00621EE8"/>
    <w:rsid w:val="0062225A"/>
    <w:rsid w:val="006475B1"/>
    <w:rsid w:val="00652595"/>
    <w:rsid w:val="00686B3F"/>
    <w:rsid w:val="006C2872"/>
    <w:rsid w:val="006D1141"/>
    <w:rsid w:val="006D22F9"/>
    <w:rsid w:val="006D2D84"/>
    <w:rsid w:val="006E2964"/>
    <w:rsid w:val="00715AD2"/>
    <w:rsid w:val="0072065F"/>
    <w:rsid w:val="00723F03"/>
    <w:rsid w:val="0072640A"/>
    <w:rsid w:val="0073012B"/>
    <w:rsid w:val="007447AE"/>
    <w:rsid w:val="007655FE"/>
    <w:rsid w:val="0078341F"/>
    <w:rsid w:val="0079456D"/>
    <w:rsid w:val="00797188"/>
    <w:rsid w:val="00797247"/>
    <w:rsid w:val="007B4EB0"/>
    <w:rsid w:val="007D736B"/>
    <w:rsid w:val="00805BCE"/>
    <w:rsid w:val="00806B14"/>
    <w:rsid w:val="00812E09"/>
    <w:rsid w:val="0081352A"/>
    <w:rsid w:val="00823237"/>
    <w:rsid w:val="00825474"/>
    <w:rsid w:val="00837272"/>
    <w:rsid w:val="00851B88"/>
    <w:rsid w:val="00864008"/>
    <w:rsid w:val="00864FC2"/>
    <w:rsid w:val="00890143"/>
    <w:rsid w:val="008904DE"/>
    <w:rsid w:val="008930A5"/>
    <w:rsid w:val="008A14A9"/>
    <w:rsid w:val="008C0AC7"/>
    <w:rsid w:val="008D2B93"/>
    <w:rsid w:val="008D65E9"/>
    <w:rsid w:val="008D79D4"/>
    <w:rsid w:val="00905A48"/>
    <w:rsid w:val="00912D4E"/>
    <w:rsid w:val="00922CA7"/>
    <w:rsid w:val="00947BEE"/>
    <w:rsid w:val="00952193"/>
    <w:rsid w:val="009633A4"/>
    <w:rsid w:val="00997334"/>
    <w:rsid w:val="009A5F60"/>
    <w:rsid w:val="009B096F"/>
    <w:rsid w:val="009C7093"/>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5193"/>
    <w:rsid w:val="00AC4198"/>
    <w:rsid w:val="00B07B4B"/>
    <w:rsid w:val="00B160EB"/>
    <w:rsid w:val="00B1649C"/>
    <w:rsid w:val="00B30012"/>
    <w:rsid w:val="00B337FC"/>
    <w:rsid w:val="00B4625E"/>
    <w:rsid w:val="00B462A8"/>
    <w:rsid w:val="00B53D6D"/>
    <w:rsid w:val="00B66325"/>
    <w:rsid w:val="00BA213D"/>
    <w:rsid w:val="00BA3715"/>
    <w:rsid w:val="00BA48EA"/>
    <w:rsid w:val="00BB388A"/>
    <w:rsid w:val="00BC4D4A"/>
    <w:rsid w:val="00BE5489"/>
    <w:rsid w:val="00BE7DE8"/>
    <w:rsid w:val="00BF539E"/>
    <w:rsid w:val="00BF6DAE"/>
    <w:rsid w:val="00C04EBD"/>
    <w:rsid w:val="00C06B39"/>
    <w:rsid w:val="00C249D9"/>
    <w:rsid w:val="00C332BE"/>
    <w:rsid w:val="00C50A1F"/>
    <w:rsid w:val="00C73154"/>
    <w:rsid w:val="00CA4320"/>
    <w:rsid w:val="00CC191C"/>
    <w:rsid w:val="00CC4D82"/>
    <w:rsid w:val="00CC4E7A"/>
    <w:rsid w:val="00CC5024"/>
    <w:rsid w:val="00D0287E"/>
    <w:rsid w:val="00D10858"/>
    <w:rsid w:val="00D22ACF"/>
    <w:rsid w:val="00D40029"/>
    <w:rsid w:val="00D64023"/>
    <w:rsid w:val="00D73FFF"/>
    <w:rsid w:val="00D862BF"/>
    <w:rsid w:val="00E05851"/>
    <w:rsid w:val="00E1002B"/>
    <w:rsid w:val="00E3339B"/>
    <w:rsid w:val="00E44BBF"/>
    <w:rsid w:val="00E619CB"/>
    <w:rsid w:val="00EA06CF"/>
    <w:rsid w:val="00EB27A0"/>
    <w:rsid w:val="00F11950"/>
    <w:rsid w:val="00F16C57"/>
    <w:rsid w:val="00F3787E"/>
    <w:rsid w:val="00F53DDE"/>
    <w:rsid w:val="00F571A4"/>
    <w:rsid w:val="00F66EB8"/>
    <w:rsid w:val="00FB2069"/>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2018-11-14T18:30:00+00:00</Judgment_x0020_Date>
    <Year xmlns="c1afb1bd-f2fb-40fd-9abb-aea55b4d7662">2018</Year>
  </documentManagement>
</p:properties>
</file>

<file path=customXml/itemProps1.xml><?xml version="1.0" encoding="utf-8"?>
<ds:datastoreItem xmlns:ds="http://schemas.openxmlformats.org/officeDocument/2006/customXml" ds:itemID="{3F84EE16-C481-4AD6-B389-AF619AB52EE1}"/>
</file>

<file path=customXml/itemProps2.xml><?xml version="1.0" encoding="utf-8"?>
<ds:datastoreItem xmlns:ds="http://schemas.openxmlformats.org/officeDocument/2006/customXml" ds:itemID="{83C60870-6403-4A93-9A0E-4E7FA360A658}"/>
</file>

<file path=customXml/itemProps3.xml><?xml version="1.0" encoding="utf-8"?>
<ds:datastoreItem xmlns:ds="http://schemas.openxmlformats.org/officeDocument/2006/customXml" ds:itemID="{6930B5CA-627C-4BDD-9699-A0BDB82FD921}"/>
</file>

<file path=customXml/itemProps4.xml><?xml version="1.0" encoding="utf-8"?>
<ds:datastoreItem xmlns:ds="http://schemas.openxmlformats.org/officeDocument/2006/customXml" ds:itemID="{1E7D3531-DD02-4EB7-BFAB-83FA4F03E3C3}"/>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Gecko Salt (Pty) Ltd v The Minister of Mines and Energy</dc:title>
  <dc:subject/>
  <dc:creator>E. Kharases</dc:creator>
  <cp:keywords/>
  <dc:description/>
  <cp:lastModifiedBy>Nicole Januarie</cp:lastModifiedBy>
  <cp:revision>2</cp:revision>
  <cp:lastPrinted>2018-11-05T09:07:00Z</cp:lastPrinted>
  <dcterms:created xsi:type="dcterms:W3CDTF">2018-11-16T08:03:00Z</dcterms:created>
  <dcterms:modified xsi:type="dcterms:W3CDTF">2018-11-16T08:03:00Z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