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374" w:rsidRPr="00283785" w:rsidRDefault="001B1374" w:rsidP="00283785">
      <w:pPr>
        <w:spacing w:after="0" w:line="360" w:lineRule="auto"/>
        <w:jc w:val="center"/>
        <w:rPr>
          <w:rFonts w:ascii="Arial" w:hAnsi="Arial" w:cs="Arial"/>
          <w:b/>
          <w:sz w:val="24"/>
          <w:szCs w:val="24"/>
        </w:rPr>
      </w:pPr>
      <w:r w:rsidRPr="00283785">
        <w:rPr>
          <w:rFonts w:ascii="Arial" w:hAnsi="Arial" w:cs="Arial"/>
          <w:b/>
          <w:noProof/>
          <w:sz w:val="24"/>
          <w:szCs w:val="24"/>
        </w:rPr>
        <mc:AlternateContent>
          <mc:Choice Requires="wps">
            <w:drawing>
              <wp:anchor distT="0" distB="0" distL="114300" distR="114300" simplePos="0" relativeHeight="251659264" behindDoc="0" locked="0" layoutInCell="1" allowOverlap="1" wp14:anchorId="5D237025" wp14:editId="339227DD">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1B1374" w:rsidRPr="000A0FD8" w:rsidRDefault="001B1374" w:rsidP="001B1374">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37025"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1B1374" w:rsidRPr="000A0FD8" w:rsidRDefault="001B1374" w:rsidP="001B1374">
                      <w:pPr>
                        <w:jc w:val="right"/>
                        <w:rPr>
                          <w:rFonts w:ascii="Arial" w:hAnsi="Arial" w:cs="Arial"/>
                          <w:b/>
                          <w:sz w:val="24"/>
                          <w:szCs w:val="24"/>
                        </w:rPr>
                      </w:pPr>
                    </w:p>
                  </w:txbxContent>
                </v:textbox>
                <w10:wrap anchorx="margin"/>
              </v:shape>
            </w:pict>
          </mc:Fallback>
        </mc:AlternateContent>
      </w:r>
      <w:r w:rsidRPr="00283785">
        <w:rPr>
          <w:rFonts w:ascii="Arial" w:hAnsi="Arial" w:cs="Arial"/>
          <w:b/>
          <w:sz w:val="24"/>
          <w:szCs w:val="24"/>
        </w:rPr>
        <w:t>REPUBLIC OF NAMIBIA</w:t>
      </w:r>
    </w:p>
    <w:p w:rsidR="001B1374" w:rsidRPr="00283785" w:rsidRDefault="001B1374" w:rsidP="00283785">
      <w:pPr>
        <w:spacing w:after="0" w:line="360" w:lineRule="auto"/>
        <w:jc w:val="both"/>
        <w:rPr>
          <w:rFonts w:ascii="Arial" w:hAnsi="Arial" w:cs="Arial"/>
          <w:b/>
          <w:sz w:val="24"/>
          <w:szCs w:val="24"/>
        </w:rPr>
      </w:pPr>
      <w:r w:rsidRPr="00283785">
        <w:rPr>
          <w:rFonts w:ascii="Arial" w:hAnsi="Arial" w:cs="Arial"/>
          <w:b/>
          <w:noProof/>
          <w:sz w:val="24"/>
          <w:szCs w:val="24"/>
        </w:rPr>
        <w:drawing>
          <wp:anchor distT="0" distB="0" distL="114300" distR="114300" simplePos="0" relativeHeight="251660288" behindDoc="0" locked="0" layoutInCell="1" allowOverlap="1" wp14:anchorId="79F849FD" wp14:editId="453B5975">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1B1374" w:rsidRPr="00283785" w:rsidRDefault="001B1374" w:rsidP="00283785">
      <w:pPr>
        <w:spacing w:after="0" w:line="360" w:lineRule="auto"/>
        <w:jc w:val="both"/>
        <w:rPr>
          <w:rFonts w:ascii="Arial" w:hAnsi="Arial" w:cs="Arial"/>
          <w:b/>
          <w:sz w:val="24"/>
          <w:szCs w:val="24"/>
        </w:rPr>
      </w:pPr>
    </w:p>
    <w:p w:rsidR="001B1374" w:rsidRPr="00283785" w:rsidRDefault="001B1374" w:rsidP="00283785">
      <w:pPr>
        <w:spacing w:after="0" w:line="360" w:lineRule="auto"/>
        <w:jc w:val="both"/>
        <w:rPr>
          <w:rFonts w:ascii="Arial" w:hAnsi="Arial" w:cs="Arial"/>
          <w:b/>
          <w:sz w:val="24"/>
          <w:szCs w:val="24"/>
        </w:rPr>
      </w:pPr>
    </w:p>
    <w:p w:rsidR="001B1374" w:rsidRPr="00283785" w:rsidRDefault="001B1374" w:rsidP="00283785">
      <w:pPr>
        <w:spacing w:after="0" w:line="360" w:lineRule="auto"/>
        <w:jc w:val="both"/>
        <w:rPr>
          <w:rFonts w:ascii="Arial" w:hAnsi="Arial" w:cs="Arial"/>
          <w:b/>
          <w:sz w:val="24"/>
          <w:szCs w:val="24"/>
        </w:rPr>
      </w:pPr>
    </w:p>
    <w:p w:rsidR="001B1374" w:rsidRPr="00283785" w:rsidRDefault="001B1374" w:rsidP="00283785">
      <w:pPr>
        <w:spacing w:after="0" w:line="360" w:lineRule="auto"/>
        <w:jc w:val="both"/>
        <w:rPr>
          <w:rFonts w:ascii="Arial" w:hAnsi="Arial" w:cs="Arial"/>
          <w:b/>
          <w:sz w:val="24"/>
          <w:szCs w:val="24"/>
        </w:rPr>
      </w:pPr>
    </w:p>
    <w:p w:rsidR="001B1374" w:rsidRPr="00283785" w:rsidRDefault="001B1374" w:rsidP="00283785">
      <w:pPr>
        <w:spacing w:after="0" w:line="360" w:lineRule="auto"/>
        <w:jc w:val="both"/>
        <w:rPr>
          <w:rFonts w:ascii="Arial" w:hAnsi="Arial" w:cs="Arial"/>
          <w:b/>
          <w:sz w:val="24"/>
          <w:szCs w:val="24"/>
        </w:rPr>
      </w:pPr>
    </w:p>
    <w:p w:rsidR="001B1374" w:rsidRPr="00283785" w:rsidRDefault="001B1374" w:rsidP="00283785">
      <w:pPr>
        <w:spacing w:after="0" w:line="360" w:lineRule="auto"/>
        <w:jc w:val="both"/>
        <w:rPr>
          <w:rFonts w:ascii="Arial" w:hAnsi="Arial" w:cs="Arial"/>
          <w:b/>
          <w:sz w:val="24"/>
          <w:szCs w:val="24"/>
        </w:rPr>
      </w:pPr>
    </w:p>
    <w:p w:rsidR="001B1374" w:rsidRPr="00283785" w:rsidRDefault="001B1374" w:rsidP="00283785">
      <w:pPr>
        <w:spacing w:after="0" w:line="360" w:lineRule="auto"/>
        <w:jc w:val="center"/>
        <w:rPr>
          <w:rFonts w:ascii="Arial" w:hAnsi="Arial" w:cs="Arial"/>
          <w:b/>
          <w:sz w:val="24"/>
          <w:szCs w:val="24"/>
        </w:rPr>
      </w:pPr>
      <w:r w:rsidRPr="00283785">
        <w:rPr>
          <w:rFonts w:ascii="Arial" w:hAnsi="Arial" w:cs="Arial"/>
          <w:b/>
          <w:sz w:val="24"/>
          <w:szCs w:val="24"/>
        </w:rPr>
        <w:t>HIGH COURT OF NAMIBIA, MAIN DIVISION, WINDHOEK</w:t>
      </w:r>
    </w:p>
    <w:p w:rsidR="001B1374" w:rsidRPr="00283785" w:rsidRDefault="001B1374" w:rsidP="00283785">
      <w:pPr>
        <w:spacing w:after="0" w:line="360" w:lineRule="auto"/>
        <w:jc w:val="both"/>
        <w:rPr>
          <w:rFonts w:ascii="Arial" w:hAnsi="Arial" w:cs="Arial"/>
          <w:b/>
          <w:sz w:val="24"/>
          <w:szCs w:val="24"/>
        </w:rPr>
      </w:pPr>
    </w:p>
    <w:p w:rsidR="001B1374" w:rsidRPr="00283785" w:rsidRDefault="001B1374" w:rsidP="00283785">
      <w:pPr>
        <w:spacing w:after="0" w:line="360" w:lineRule="auto"/>
        <w:jc w:val="center"/>
        <w:rPr>
          <w:rFonts w:ascii="Arial" w:hAnsi="Arial" w:cs="Arial"/>
          <w:sz w:val="24"/>
          <w:szCs w:val="24"/>
        </w:rPr>
      </w:pPr>
      <w:r w:rsidRPr="00283785">
        <w:rPr>
          <w:rFonts w:ascii="Arial" w:hAnsi="Arial" w:cs="Arial"/>
          <w:b/>
          <w:sz w:val="24"/>
          <w:szCs w:val="24"/>
        </w:rPr>
        <w:t>RULING ON OPPOSITION TO RULE 108 APPLICATION</w:t>
      </w:r>
    </w:p>
    <w:p w:rsidR="001B1374" w:rsidRPr="00283785" w:rsidRDefault="001B1374" w:rsidP="00283785">
      <w:pPr>
        <w:spacing w:after="0" w:line="360" w:lineRule="auto"/>
        <w:jc w:val="both"/>
        <w:rPr>
          <w:rFonts w:ascii="Arial" w:hAnsi="Arial" w:cs="Arial"/>
          <w:sz w:val="24"/>
          <w:szCs w:val="24"/>
        </w:rPr>
      </w:pPr>
    </w:p>
    <w:p w:rsidR="001B1374" w:rsidRPr="00283785" w:rsidRDefault="001B1374" w:rsidP="00283785">
      <w:pPr>
        <w:spacing w:after="0" w:line="360" w:lineRule="auto"/>
        <w:jc w:val="right"/>
        <w:rPr>
          <w:rFonts w:ascii="Arial" w:hAnsi="Arial" w:cs="Arial"/>
          <w:sz w:val="24"/>
          <w:szCs w:val="24"/>
        </w:rPr>
      </w:pPr>
      <w:r w:rsidRPr="00283785">
        <w:rPr>
          <w:rFonts w:ascii="Arial" w:hAnsi="Arial" w:cs="Arial"/>
          <w:sz w:val="24"/>
          <w:szCs w:val="24"/>
        </w:rPr>
        <w:t>Case no: HC-MD-CIV-ACT-CON-2016/02493</w:t>
      </w:r>
    </w:p>
    <w:p w:rsidR="001B1374" w:rsidRPr="00283785" w:rsidRDefault="001B1374" w:rsidP="00283785">
      <w:pPr>
        <w:spacing w:after="0" w:line="360" w:lineRule="auto"/>
        <w:jc w:val="both"/>
        <w:rPr>
          <w:rFonts w:ascii="Arial" w:hAnsi="Arial" w:cs="Arial"/>
          <w:sz w:val="24"/>
          <w:szCs w:val="24"/>
        </w:rPr>
      </w:pPr>
      <w:r w:rsidRPr="00283785">
        <w:rPr>
          <w:rFonts w:ascii="Arial" w:hAnsi="Arial" w:cs="Arial"/>
          <w:sz w:val="24"/>
          <w:szCs w:val="24"/>
        </w:rPr>
        <w:t>In the matter between:</w:t>
      </w:r>
    </w:p>
    <w:p w:rsidR="001B1374" w:rsidRPr="00283785" w:rsidRDefault="001B1374" w:rsidP="00283785">
      <w:pPr>
        <w:spacing w:after="0" w:line="360" w:lineRule="auto"/>
        <w:jc w:val="both"/>
        <w:rPr>
          <w:rFonts w:ascii="Arial" w:hAnsi="Arial" w:cs="Arial"/>
          <w:sz w:val="24"/>
          <w:szCs w:val="24"/>
        </w:rPr>
      </w:pPr>
    </w:p>
    <w:p w:rsidR="001B1374" w:rsidRPr="00283785" w:rsidRDefault="001B1374" w:rsidP="00283785">
      <w:pPr>
        <w:tabs>
          <w:tab w:val="right" w:pos="9356"/>
        </w:tabs>
        <w:spacing w:after="0" w:line="360" w:lineRule="auto"/>
        <w:jc w:val="both"/>
        <w:rPr>
          <w:rFonts w:ascii="Arial" w:hAnsi="Arial" w:cs="Arial"/>
          <w:b/>
          <w:sz w:val="24"/>
          <w:szCs w:val="24"/>
        </w:rPr>
      </w:pPr>
      <w:r w:rsidRPr="00283785">
        <w:rPr>
          <w:rFonts w:ascii="Arial" w:hAnsi="Arial" w:cs="Arial"/>
          <w:b/>
          <w:sz w:val="24"/>
          <w:szCs w:val="24"/>
        </w:rPr>
        <w:t>MILKA MARTHA ARNOLDINE MUNGUNDA</w:t>
      </w:r>
      <w:r w:rsidRPr="00283785">
        <w:rPr>
          <w:rFonts w:ascii="Arial" w:hAnsi="Arial" w:cs="Arial"/>
          <w:b/>
          <w:sz w:val="24"/>
          <w:szCs w:val="24"/>
        </w:rPr>
        <w:tab/>
        <w:t xml:space="preserve">APPLICANT/PLAINTIFF                                                      </w:t>
      </w:r>
    </w:p>
    <w:p w:rsidR="001B1374" w:rsidRPr="00283785" w:rsidRDefault="001B1374" w:rsidP="00283785">
      <w:pPr>
        <w:tabs>
          <w:tab w:val="right" w:pos="9356"/>
        </w:tabs>
        <w:spacing w:after="0" w:line="360" w:lineRule="auto"/>
        <w:jc w:val="both"/>
        <w:rPr>
          <w:rFonts w:ascii="Arial" w:hAnsi="Arial" w:cs="Arial"/>
          <w:b/>
          <w:sz w:val="24"/>
          <w:szCs w:val="24"/>
        </w:rPr>
      </w:pPr>
    </w:p>
    <w:p w:rsidR="001B1374" w:rsidRPr="00283785" w:rsidRDefault="001B1374" w:rsidP="00283785">
      <w:pPr>
        <w:spacing w:after="0" w:line="360" w:lineRule="auto"/>
        <w:jc w:val="both"/>
        <w:rPr>
          <w:rFonts w:ascii="Arial" w:hAnsi="Arial" w:cs="Arial"/>
          <w:sz w:val="24"/>
          <w:szCs w:val="24"/>
        </w:rPr>
      </w:pPr>
      <w:r w:rsidRPr="00283785">
        <w:rPr>
          <w:rFonts w:ascii="Arial" w:hAnsi="Arial" w:cs="Arial"/>
          <w:sz w:val="24"/>
          <w:szCs w:val="24"/>
        </w:rPr>
        <w:t>and</w:t>
      </w:r>
    </w:p>
    <w:p w:rsidR="001B1374" w:rsidRPr="00283785" w:rsidRDefault="001B1374" w:rsidP="00283785">
      <w:pPr>
        <w:spacing w:after="0" w:line="360" w:lineRule="auto"/>
        <w:jc w:val="both"/>
        <w:rPr>
          <w:rFonts w:ascii="Arial" w:hAnsi="Arial" w:cs="Arial"/>
          <w:b/>
          <w:sz w:val="24"/>
          <w:szCs w:val="24"/>
        </w:rPr>
      </w:pPr>
    </w:p>
    <w:p w:rsidR="001B1374" w:rsidRPr="00283785" w:rsidRDefault="001B1374" w:rsidP="00283785">
      <w:pPr>
        <w:tabs>
          <w:tab w:val="right" w:pos="9356"/>
        </w:tabs>
        <w:spacing w:after="0" w:line="360" w:lineRule="auto"/>
        <w:jc w:val="both"/>
        <w:rPr>
          <w:rFonts w:ascii="Arial" w:hAnsi="Arial" w:cs="Arial"/>
          <w:b/>
          <w:sz w:val="24"/>
          <w:szCs w:val="24"/>
        </w:rPr>
      </w:pPr>
      <w:r w:rsidRPr="00283785">
        <w:rPr>
          <w:rFonts w:ascii="Arial" w:hAnsi="Arial" w:cs="Arial"/>
          <w:b/>
          <w:sz w:val="24"/>
          <w:szCs w:val="24"/>
        </w:rPr>
        <w:t>MARION ANGELIKA BARTH</w:t>
      </w:r>
      <w:r w:rsidRPr="00283785">
        <w:rPr>
          <w:rFonts w:ascii="Arial" w:hAnsi="Arial" w:cs="Arial"/>
          <w:b/>
          <w:sz w:val="24"/>
          <w:szCs w:val="24"/>
        </w:rPr>
        <w:tab/>
        <w:t>RESPONDENT/DEFENDANT</w:t>
      </w:r>
    </w:p>
    <w:p w:rsidR="001B1374" w:rsidRPr="00283785" w:rsidRDefault="001B1374" w:rsidP="00283785">
      <w:pPr>
        <w:spacing w:after="0" w:line="360" w:lineRule="auto"/>
        <w:jc w:val="both"/>
        <w:rPr>
          <w:rFonts w:ascii="Arial" w:hAnsi="Arial" w:cs="Arial"/>
          <w:b/>
          <w:sz w:val="24"/>
          <w:szCs w:val="24"/>
        </w:rPr>
      </w:pPr>
    </w:p>
    <w:p w:rsidR="001B1374" w:rsidRDefault="001B1374" w:rsidP="00787E43">
      <w:pPr>
        <w:tabs>
          <w:tab w:val="left" w:pos="2127"/>
          <w:tab w:val="right" w:pos="9356"/>
        </w:tabs>
        <w:spacing w:after="0" w:line="360" w:lineRule="auto"/>
        <w:ind w:left="2070" w:hanging="2070"/>
        <w:jc w:val="both"/>
        <w:rPr>
          <w:rFonts w:ascii="Arial" w:hAnsi="Arial" w:cs="Arial"/>
          <w:sz w:val="24"/>
          <w:szCs w:val="24"/>
        </w:rPr>
      </w:pPr>
      <w:r w:rsidRPr="00283785">
        <w:rPr>
          <w:rFonts w:ascii="Arial" w:hAnsi="Arial" w:cs="Arial"/>
          <w:b/>
          <w:sz w:val="24"/>
          <w:szCs w:val="24"/>
        </w:rPr>
        <w:t>Neutral Citation</w:t>
      </w:r>
      <w:r w:rsidRPr="00283785">
        <w:rPr>
          <w:rFonts w:ascii="Arial" w:hAnsi="Arial" w:cs="Arial"/>
          <w:i/>
          <w:sz w:val="24"/>
          <w:szCs w:val="24"/>
        </w:rPr>
        <w:t>:</w:t>
      </w:r>
      <w:r w:rsidR="00142314" w:rsidRPr="00283785">
        <w:rPr>
          <w:rFonts w:ascii="Arial" w:hAnsi="Arial" w:cs="Arial"/>
          <w:i/>
          <w:sz w:val="24"/>
          <w:szCs w:val="24"/>
        </w:rPr>
        <w:tab/>
      </w:r>
      <w:r w:rsidR="00DC0FA6">
        <w:rPr>
          <w:rFonts w:ascii="Arial" w:hAnsi="Arial" w:cs="Arial"/>
          <w:i/>
          <w:sz w:val="24"/>
          <w:szCs w:val="24"/>
        </w:rPr>
        <w:t>Mungunda v</w:t>
      </w:r>
      <w:r w:rsidRPr="00283785">
        <w:rPr>
          <w:rFonts w:ascii="Arial" w:hAnsi="Arial" w:cs="Arial"/>
          <w:i/>
          <w:sz w:val="24"/>
          <w:szCs w:val="24"/>
        </w:rPr>
        <w:t xml:space="preserve"> Barth</w:t>
      </w:r>
      <w:r w:rsidR="00142314" w:rsidRPr="00283785">
        <w:rPr>
          <w:rFonts w:ascii="Arial" w:hAnsi="Arial" w:cs="Arial"/>
          <w:i/>
          <w:sz w:val="24"/>
          <w:szCs w:val="24"/>
        </w:rPr>
        <w:t xml:space="preserve"> </w:t>
      </w:r>
      <w:r w:rsidRPr="00283785">
        <w:rPr>
          <w:rFonts w:ascii="Arial" w:hAnsi="Arial" w:cs="Arial"/>
          <w:sz w:val="24"/>
          <w:szCs w:val="24"/>
        </w:rPr>
        <w:t xml:space="preserve">(HC-MD-CIV-ACT-CON-2016/02493) </w:t>
      </w:r>
      <w:bookmarkStart w:id="0" w:name="_GoBack"/>
      <w:bookmarkEnd w:id="0"/>
      <w:r w:rsidRPr="00283785">
        <w:rPr>
          <w:rFonts w:ascii="Arial" w:hAnsi="Arial" w:cs="Arial"/>
          <w:sz w:val="24"/>
          <w:szCs w:val="24"/>
        </w:rPr>
        <w:t xml:space="preserve">[2018] NAHCMD </w:t>
      </w:r>
      <w:r w:rsidR="00B77F65" w:rsidRPr="00283785">
        <w:rPr>
          <w:rFonts w:ascii="Arial" w:hAnsi="Arial" w:cs="Arial"/>
          <w:sz w:val="24"/>
          <w:szCs w:val="24"/>
        </w:rPr>
        <w:t>66</w:t>
      </w:r>
      <w:r w:rsidR="00F46DC6" w:rsidRPr="00283785">
        <w:rPr>
          <w:rFonts w:ascii="Arial" w:hAnsi="Arial" w:cs="Arial"/>
          <w:sz w:val="24"/>
          <w:szCs w:val="24"/>
        </w:rPr>
        <w:t xml:space="preserve"> (14 </w:t>
      </w:r>
      <w:r w:rsidRPr="00283785">
        <w:rPr>
          <w:rFonts w:ascii="Arial" w:hAnsi="Arial" w:cs="Arial"/>
          <w:sz w:val="24"/>
          <w:szCs w:val="24"/>
        </w:rPr>
        <w:t>March 2018)</w:t>
      </w:r>
    </w:p>
    <w:p w:rsidR="00283785" w:rsidRPr="00283785" w:rsidRDefault="00283785" w:rsidP="00283785">
      <w:pPr>
        <w:tabs>
          <w:tab w:val="left" w:pos="2127"/>
          <w:tab w:val="right" w:pos="9356"/>
        </w:tabs>
        <w:spacing w:after="0" w:line="360" w:lineRule="auto"/>
        <w:jc w:val="both"/>
        <w:rPr>
          <w:rFonts w:ascii="Arial" w:hAnsi="Arial" w:cs="Arial"/>
          <w:b/>
          <w:sz w:val="24"/>
          <w:szCs w:val="24"/>
        </w:rPr>
      </w:pPr>
    </w:p>
    <w:p w:rsidR="004B52A0" w:rsidRPr="00787E43" w:rsidRDefault="001B1374" w:rsidP="004B52A0">
      <w:pPr>
        <w:spacing w:after="0" w:line="360" w:lineRule="auto"/>
        <w:jc w:val="both"/>
        <w:rPr>
          <w:rFonts w:ascii="Arial" w:hAnsi="Arial" w:cs="Arial"/>
          <w:sz w:val="24"/>
          <w:szCs w:val="24"/>
        </w:rPr>
      </w:pPr>
      <w:r w:rsidRPr="00283785">
        <w:rPr>
          <w:rFonts w:ascii="Arial" w:hAnsi="Arial" w:cs="Arial"/>
          <w:b/>
          <w:sz w:val="24"/>
          <w:szCs w:val="24"/>
        </w:rPr>
        <w:t>CORAM:</w:t>
      </w:r>
      <w:r w:rsidRPr="00283785">
        <w:rPr>
          <w:rFonts w:ascii="Arial" w:hAnsi="Arial" w:cs="Arial"/>
          <w:b/>
          <w:sz w:val="24"/>
          <w:szCs w:val="24"/>
        </w:rPr>
        <w:tab/>
      </w:r>
      <w:r w:rsidRPr="00787E43">
        <w:rPr>
          <w:rFonts w:ascii="Arial" w:hAnsi="Arial" w:cs="Arial"/>
          <w:sz w:val="24"/>
          <w:szCs w:val="24"/>
        </w:rPr>
        <w:t>PRINSLOO J</w:t>
      </w:r>
    </w:p>
    <w:p w:rsidR="004B52A0" w:rsidRPr="00283785" w:rsidRDefault="001B1374" w:rsidP="00283785">
      <w:pPr>
        <w:spacing w:after="0" w:line="360" w:lineRule="auto"/>
        <w:jc w:val="both"/>
        <w:rPr>
          <w:rFonts w:ascii="Arial" w:hAnsi="Arial" w:cs="Arial"/>
          <w:b/>
          <w:sz w:val="24"/>
          <w:szCs w:val="24"/>
        </w:rPr>
      </w:pPr>
      <w:r w:rsidRPr="00283785">
        <w:rPr>
          <w:rFonts w:ascii="Arial" w:hAnsi="Arial" w:cs="Arial"/>
          <w:b/>
          <w:sz w:val="24"/>
          <w:szCs w:val="24"/>
        </w:rPr>
        <w:t xml:space="preserve">Heard: </w:t>
      </w:r>
      <w:r w:rsidRPr="00283785">
        <w:rPr>
          <w:rFonts w:ascii="Arial" w:hAnsi="Arial" w:cs="Arial"/>
          <w:b/>
          <w:sz w:val="24"/>
          <w:szCs w:val="24"/>
        </w:rPr>
        <w:tab/>
        <w:t>28 February 2018</w:t>
      </w:r>
    </w:p>
    <w:p w:rsidR="001B1374" w:rsidRPr="00283785" w:rsidRDefault="001B1374" w:rsidP="00283785">
      <w:pPr>
        <w:spacing w:after="0" w:line="360" w:lineRule="auto"/>
        <w:jc w:val="both"/>
        <w:rPr>
          <w:rFonts w:ascii="Arial" w:hAnsi="Arial" w:cs="Arial"/>
          <w:b/>
          <w:sz w:val="24"/>
          <w:szCs w:val="24"/>
        </w:rPr>
      </w:pPr>
      <w:r w:rsidRPr="00283785">
        <w:rPr>
          <w:rFonts w:ascii="Arial" w:hAnsi="Arial" w:cs="Arial"/>
          <w:b/>
          <w:sz w:val="24"/>
          <w:szCs w:val="24"/>
        </w:rPr>
        <w:t xml:space="preserve">Delivered:  </w:t>
      </w:r>
      <w:r w:rsidRPr="00283785">
        <w:rPr>
          <w:rFonts w:ascii="Arial" w:hAnsi="Arial" w:cs="Arial"/>
          <w:b/>
          <w:sz w:val="24"/>
          <w:szCs w:val="24"/>
        </w:rPr>
        <w:tab/>
        <w:t>14 March 2018</w:t>
      </w:r>
    </w:p>
    <w:p w:rsidR="00822229" w:rsidRPr="00283785" w:rsidRDefault="00283785" w:rsidP="00283785">
      <w:pPr>
        <w:spacing w:after="0" w:line="360" w:lineRule="auto"/>
        <w:jc w:val="both"/>
        <w:rPr>
          <w:rFonts w:ascii="Arial" w:hAnsi="Arial" w:cs="Arial"/>
          <w:b/>
          <w:sz w:val="24"/>
          <w:szCs w:val="24"/>
        </w:rPr>
      </w:pPr>
      <w:r w:rsidRPr="00283785">
        <w:rPr>
          <w:rFonts w:ascii="Arial" w:hAnsi="Arial" w:cs="Arial"/>
          <w:b/>
          <w:sz w:val="24"/>
          <w:szCs w:val="24"/>
        </w:rPr>
        <w:t>Reasons:      23</w:t>
      </w:r>
      <w:r w:rsidR="00822229" w:rsidRPr="00283785">
        <w:rPr>
          <w:rFonts w:ascii="Arial" w:hAnsi="Arial" w:cs="Arial"/>
          <w:b/>
          <w:sz w:val="24"/>
          <w:szCs w:val="24"/>
        </w:rPr>
        <w:t xml:space="preserve"> March 2018</w:t>
      </w:r>
    </w:p>
    <w:p w:rsidR="001B1374" w:rsidRPr="00283785" w:rsidRDefault="001B1374" w:rsidP="00283785">
      <w:pPr>
        <w:spacing w:after="0" w:line="360" w:lineRule="auto"/>
        <w:jc w:val="both"/>
        <w:rPr>
          <w:rFonts w:ascii="Arial" w:hAnsi="Arial" w:cs="Arial"/>
          <w:b/>
          <w:sz w:val="24"/>
          <w:szCs w:val="24"/>
        </w:rPr>
      </w:pPr>
    </w:p>
    <w:p w:rsidR="001B1374" w:rsidRDefault="001B1374" w:rsidP="00283785">
      <w:pPr>
        <w:spacing w:after="0" w:line="360" w:lineRule="auto"/>
        <w:jc w:val="both"/>
        <w:rPr>
          <w:rFonts w:ascii="Arial" w:hAnsi="Arial" w:cs="Arial"/>
          <w:b/>
          <w:sz w:val="24"/>
          <w:szCs w:val="24"/>
        </w:rPr>
      </w:pPr>
    </w:p>
    <w:p w:rsidR="00787E43" w:rsidRDefault="00787E43" w:rsidP="00283785">
      <w:pPr>
        <w:spacing w:after="0" w:line="360" w:lineRule="auto"/>
        <w:jc w:val="both"/>
        <w:rPr>
          <w:rFonts w:ascii="Arial" w:hAnsi="Arial" w:cs="Arial"/>
          <w:b/>
          <w:sz w:val="24"/>
          <w:szCs w:val="24"/>
        </w:rPr>
      </w:pPr>
    </w:p>
    <w:p w:rsidR="001B1374" w:rsidRDefault="001B1374" w:rsidP="00283785">
      <w:pPr>
        <w:pBdr>
          <w:bottom w:val="single" w:sz="6" w:space="1" w:color="auto"/>
        </w:pBdr>
        <w:spacing w:after="0" w:line="360" w:lineRule="auto"/>
        <w:jc w:val="both"/>
        <w:rPr>
          <w:rFonts w:ascii="Arial" w:hAnsi="Arial" w:cs="Arial"/>
          <w:b/>
          <w:sz w:val="24"/>
          <w:szCs w:val="24"/>
        </w:rPr>
      </w:pPr>
    </w:p>
    <w:p w:rsidR="007D0B6E" w:rsidRPr="00283785" w:rsidRDefault="007D0B6E" w:rsidP="00283785">
      <w:pPr>
        <w:pBdr>
          <w:bottom w:val="single" w:sz="6" w:space="1" w:color="auto"/>
        </w:pBdr>
        <w:spacing w:after="0" w:line="360" w:lineRule="auto"/>
        <w:jc w:val="both"/>
        <w:rPr>
          <w:rFonts w:ascii="Arial" w:hAnsi="Arial" w:cs="Arial"/>
          <w:b/>
          <w:sz w:val="24"/>
          <w:szCs w:val="24"/>
        </w:rPr>
      </w:pPr>
    </w:p>
    <w:p w:rsidR="001B1374" w:rsidRPr="00283785" w:rsidRDefault="001B1374" w:rsidP="00283785">
      <w:pPr>
        <w:spacing w:after="0" w:line="360" w:lineRule="auto"/>
        <w:jc w:val="both"/>
        <w:rPr>
          <w:rFonts w:ascii="Arial" w:hAnsi="Arial" w:cs="Arial"/>
          <w:b/>
          <w:sz w:val="24"/>
          <w:szCs w:val="24"/>
        </w:rPr>
      </w:pPr>
    </w:p>
    <w:p w:rsidR="001B1374" w:rsidRPr="00283785" w:rsidRDefault="001B1374" w:rsidP="00283785">
      <w:pPr>
        <w:spacing w:after="0" w:line="360" w:lineRule="auto"/>
        <w:jc w:val="center"/>
        <w:rPr>
          <w:rFonts w:ascii="Arial" w:hAnsi="Arial" w:cs="Arial"/>
          <w:b/>
          <w:sz w:val="24"/>
          <w:szCs w:val="24"/>
        </w:rPr>
      </w:pPr>
      <w:r w:rsidRPr="00283785">
        <w:rPr>
          <w:rFonts w:ascii="Arial" w:hAnsi="Arial" w:cs="Arial"/>
          <w:b/>
          <w:sz w:val="24"/>
          <w:szCs w:val="24"/>
        </w:rPr>
        <w:t>ORDER</w:t>
      </w:r>
    </w:p>
    <w:p w:rsidR="001B1374" w:rsidRPr="00283785" w:rsidRDefault="001B1374" w:rsidP="00283785">
      <w:pPr>
        <w:pBdr>
          <w:bottom w:val="single" w:sz="6" w:space="1" w:color="auto"/>
        </w:pBdr>
        <w:spacing w:after="0" w:line="360" w:lineRule="auto"/>
        <w:jc w:val="both"/>
        <w:rPr>
          <w:rFonts w:ascii="Arial" w:hAnsi="Arial" w:cs="Arial"/>
          <w:b/>
          <w:sz w:val="24"/>
          <w:szCs w:val="24"/>
        </w:rPr>
      </w:pPr>
    </w:p>
    <w:p w:rsidR="001B1374" w:rsidRPr="00283785" w:rsidRDefault="001B1374" w:rsidP="00283785">
      <w:pPr>
        <w:spacing w:after="0" w:line="360" w:lineRule="auto"/>
        <w:jc w:val="both"/>
        <w:rPr>
          <w:rFonts w:ascii="Arial" w:hAnsi="Arial" w:cs="Arial"/>
          <w:b/>
          <w:sz w:val="24"/>
          <w:szCs w:val="24"/>
        </w:rPr>
      </w:pPr>
    </w:p>
    <w:p w:rsidR="00787E43" w:rsidRDefault="008F7581" w:rsidP="00787E43">
      <w:pPr>
        <w:pStyle w:val="bold"/>
        <w:numPr>
          <w:ilvl w:val="0"/>
          <w:numId w:val="1"/>
        </w:numPr>
        <w:spacing w:before="0" w:beforeAutospacing="0" w:after="0" w:afterAutospacing="0" w:line="360" w:lineRule="auto"/>
        <w:ind w:hanging="720"/>
        <w:jc w:val="both"/>
        <w:rPr>
          <w:rFonts w:ascii="Arial" w:hAnsi="Arial" w:cs="Arial"/>
        </w:rPr>
      </w:pPr>
      <w:r w:rsidRPr="00283785">
        <w:rPr>
          <w:rFonts w:ascii="Arial" w:hAnsi="Arial" w:cs="Arial"/>
        </w:rPr>
        <w:t>The property known as the Remainder of Farm Frischgewaagd No. 289, Registration Division "K" measuring:  2720,8233 Hectares held by Deed of Transfer No. T411/2000 is declared as specially executable.</w:t>
      </w:r>
    </w:p>
    <w:p w:rsidR="00787E43" w:rsidRPr="00787E43" w:rsidRDefault="00787E43" w:rsidP="00787E43">
      <w:pPr>
        <w:pStyle w:val="bold"/>
        <w:spacing w:before="0" w:beforeAutospacing="0" w:after="0" w:afterAutospacing="0" w:line="360" w:lineRule="auto"/>
        <w:ind w:left="720"/>
        <w:jc w:val="both"/>
        <w:rPr>
          <w:rFonts w:ascii="Arial" w:hAnsi="Arial" w:cs="Arial"/>
        </w:rPr>
      </w:pPr>
    </w:p>
    <w:p w:rsidR="008F7581" w:rsidRDefault="008F7581" w:rsidP="00787E43">
      <w:pPr>
        <w:pStyle w:val="bold"/>
        <w:numPr>
          <w:ilvl w:val="0"/>
          <w:numId w:val="1"/>
        </w:numPr>
        <w:spacing w:before="0" w:beforeAutospacing="0" w:after="0" w:afterAutospacing="0" w:line="360" w:lineRule="auto"/>
        <w:ind w:hanging="720"/>
        <w:jc w:val="both"/>
        <w:rPr>
          <w:rFonts w:ascii="Arial" w:hAnsi="Arial" w:cs="Arial"/>
        </w:rPr>
      </w:pPr>
      <w:r w:rsidRPr="00283785">
        <w:rPr>
          <w:rFonts w:ascii="Arial" w:hAnsi="Arial" w:cs="Arial"/>
        </w:rPr>
        <w:t>Costs of suit.</w:t>
      </w:r>
    </w:p>
    <w:p w:rsidR="00787E43" w:rsidRPr="00283785" w:rsidRDefault="00787E43" w:rsidP="00787E43">
      <w:pPr>
        <w:pStyle w:val="bold"/>
        <w:spacing w:before="0" w:beforeAutospacing="0" w:after="0" w:afterAutospacing="0" w:line="360" w:lineRule="auto"/>
        <w:jc w:val="both"/>
        <w:rPr>
          <w:rFonts w:ascii="Arial" w:hAnsi="Arial" w:cs="Arial"/>
        </w:rPr>
      </w:pPr>
    </w:p>
    <w:p w:rsidR="001B1374" w:rsidRDefault="008F7581" w:rsidP="00787E43">
      <w:pPr>
        <w:pStyle w:val="bold"/>
        <w:numPr>
          <w:ilvl w:val="0"/>
          <w:numId w:val="1"/>
        </w:numPr>
        <w:spacing w:before="0" w:beforeAutospacing="0" w:after="0" w:afterAutospacing="0" w:line="360" w:lineRule="auto"/>
        <w:ind w:hanging="720"/>
        <w:jc w:val="both"/>
        <w:rPr>
          <w:rFonts w:ascii="Arial" w:hAnsi="Arial" w:cs="Arial"/>
        </w:rPr>
      </w:pPr>
      <w:r w:rsidRPr="00283785">
        <w:rPr>
          <w:rFonts w:ascii="Arial" w:hAnsi="Arial" w:cs="Arial"/>
        </w:rPr>
        <w:t>Matter is removed from the roll.</w:t>
      </w:r>
      <w:r w:rsidR="001B1374" w:rsidRPr="00283785">
        <w:rPr>
          <w:rFonts w:ascii="Arial" w:hAnsi="Arial" w:cs="Arial"/>
        </w:rPr>
        <w:t xml:space="preserve"> </w:t>
      </w:r>
    </w:p>
    <w:p w:rsidR="00787E43" w:rsidRPr="00283785" w:rsidRDefault="00787E43" w:rsidP="00787E43">
      <w:pPr>
        <w:pStyle w:val="bold"/>
        <w:spacing w:before="0" w:beforeAutospacing="0" w:after="0" w:afterAutospacing="0" w:line="360" w:lineRule="auto"/>
        <w:jc w:val="both"/>
        <w:rPr>
          <w:rFonts w:ascii="Arial" w:hAnsi="Arial" w:cs="Arial"/>
        </w:rPr>
      </w:pPr>
    </w:p>
    <w:p w:rsidR="001B1374" w:rsidRPr="00283785" w:rsidRDefault="001B1374" w:rsidP="00283785">
      <w:pPr>
        <w:spacing w:line="360" w:lineRule="auto"/>
        <w:jc w:val="both"/>
        <w:rPr>
          <w:rFonts w:ascii="Arial" w:hAnsi="Arial" w:cs="Arial"/>
        </w:rPr>
      </w:pPr>
      <w:r w:rsidRPr="00283785">
        <w:rPr>
          <w:rFonts w:ascii="Arial" w:hAnsi="Arial" w:cs="Arial"/>
        </w:rPr>
        <w:t>_____________________________________________________</w:t>
      </w:r>
      <w:r w:rsidR="00283785">
        <w:rPr>
          <w:rFonts w:ascii="Arial" w:hAnsi="Arial" w:cs="Arial"/>
        </w:rPr>
        <w:t>_______________________</w:t>
      </w:r>
    </w:p>
    <w:p w:rsidR="001B1374" w:rsidRPr="00283785" w:rsidRDefault="001B1374" w:rsidP="00283785">
      <w:pPr>
        <w:spacing w:line="360" w:lineRule="auto"/>
        <w:jc w:val="center"/>
        <w:rPr>
          <w:rFonts w:ascii="Arial" w:hAnsi="Arial" w:cs="Arial"/>
          <w:b/>
          <w:sz w:val="24"/>
          <w:szCs w:val="24"/>
        </w:rPr>
      </w:pPr>
      <w:r w:rsidRPr="00283785">
        <w:rPr>
          <w:rFonts w:ascii="Arial" w:hAnsi="Arial" w:cs="Arial"/>
          <w:b/>
          <w:sz w:val="24"/>
          <w:szCs w:val="24"/>
        </w:rPr>
        <w:t>RULING IN TERMS OF PRACTICE DIRECTIVES 61</w:t>
      </w:r>
    </w:p>
    <w:p w:rsidR="001B1374" w:rsidRPr="00283785" w:rsidRDefault="001B1374" w:rsidP="00283785">
      <w:pPr>
        <w:spacing w:line="360" w:lineRule="auto"/>
        <w:jc w:val="both"/>
        <w:rPr>
          <w:rFonts w:ascii="Arial" w:hAnsi="Arial" w:cs="Arial"/>
        </w:rPr>
      </w:pPr>
      <w:r w:rsidRPr="00283785">
        <w:rPr>
          <w:rFonts w:ascii="Arial" w:hAnsi="Arial" w:cs="Arial"/>
        </w:rPr>
        <w:t>_____________________________________________________</w:t>
      </w:r>
      <w:r w:rsidR="00283785">
        <w:rPr>
          <w:rFonts w:ascii="Arial" w:hAnsi="Arial" w:cs="Arial"/>
        </w:rPr>
        <w:t>_______________________</w:t>
      </w:r>
    </w:p>
    <w:p w:rsidR="001B1374" w:rsidRDefault="00787E43" w:rsidP="00787E43">
      <w:pPr>
        <w:spacing w:after="0" w:line="360" w:lineRule="auto"/>
        <w:jc w:val="both"/>
        <w:rPr>
          <w:rFonts w:ascii="Arial" w:hAnsi="Arial" w:cs="Arial"/>
        </w:rPr>
      </w:pPr>
      <w:r>
        <w:rPr>
          <w:rFonts w:ascii="Arial" w:hAnsi="Arial" w:cs="Arial"/>
        </w:rPr>
        <w:t>PRINSLOO J:</w:t>
      </w:r>
    </w:p>
    <w:p w:rsidR="00787E43" w:rsidRPr="00283785" w:rsidRDefault="00787E43" w:rsidP="00787E43">
      <w:pPr>
        <w:spacing w:after="0" w:line="360" w:lineRule="auto"/>
        <w:jc w:val="both"/>
        <w:rPr>
          <w:rFonts w:ascii="Arial" w:hAnsi="Arial" w:cs="Arial"/>
        </w:rPr>
      </w:pPr>
    </w:p>
    <w:p w:rsidR="001B1374" w:rsidRDefault="001B1374" w:rsidP="00787E43">
      <w:pPr>
        <w:spacing w:after="0" w:line="360" w:lineRule="auto"/>
        <w:jc w:val="both"/>
        <w:rPr>
          <w:rFonts w:ascii="Arial" w:hAnsi="Arial" w:cs="Arial"/>
          <w:sz w:val="24"/>
          <w:u w:val="single"/>
        </w:rPr>
      </w:pPr>
      <w:r w:rsidRPr="00283785">
        <w:rPr>
          <w:rFonts w:ascii="Arial" w:hAnsi="Arial" w:cs="Arial"/>
          <w:sz w:val="24"/>
          <w:u w:val="single"/>
        </w:rPr>
        <w:t>Introduction</w:t>
      </w:r>
    </w:p>
    <w:p w:rsidR="00787E43" w:rsidRPr="00283785" w:rsidRDefault="00787E43" w:rsidP="00787E43">
      <w:pPr>
        <w:spacing w:after="0" w:line="360" w:lineRule="auto"/>
        <w:jc w:val="both"/>
        <w:rPr>
          <w:rFonts w:ascii="Arial" w:hAnsi="Arial" w:cs="Arial"/>
          <w:sz w:val="24"/>
          <w:u w:val="single"/>
        </w:rPr>
      </w:pPr>
    </w:p>
    <w:p w:rsidR="001B1374" w:rsidRPr="00283785" w:rsidRDefault="001B1374" w:rsidP="00787E43">
      <w:pPr>
        <w:spacing w:after="0" w:line="360" w:lineRule="auto"/>
        <w:jc w:val="both"/>
        <w:rPr>
          <w:rFonts w:ascii="Arial" w:hAnsi="Arial" w:cs="Arial"/>
          <w:sz w:val="24"/>
        </w:rPr>
      </w:pPr>
      <w:r w:rsidRPr="00283785">
        <w:rPr>
          <w:rFonts w:ascii="Arial" w:hAnsi="Arial" w:cs="Arial"/>
          <w:sz w:val="24"/>
        </w:rPr>
        <w:t>[1]</w:t>
      </w:r>
      <w:r w:rsidRPr="00283785">
        <w:rPr>
          <w:rFonts w:ascii="Arial" w:hAnsi="Arial" w:cs="Arial"/>
          <w:sz w:val="24"/>
        </w:rPr>
        <w:tab/>
        <w:t xml:space="preserve">The court had to determine an application for rescission of a rule 108 order. The plaintiff obtained default judgment against the defendant on 16 October 2016. The writ of execution was issued on 18 November 2017 but a </w:t>
      </w:r>
      <w:r w:rsidRPr="00283785">
        <w:rPr>
          <w:rFonts w:ascii="Arial" w:hAnsi="Arial" w:cs="Arial"/>
          <w:i/>
          <w:sz w:val="24"/>
        </w:rPr>
        <w:t xml:space="preserve">nulla bona </w:t>
      </w:r>
      <w:r w:rsidRPr="00283785">
        <w:rPr>
          <w:rFonts w:ascii="Arial" w:hAnsi="Arial" w:cs="Arial"/>
          <w:sz w:val="24"/>
        </w:rPr>
        <w:t xml:space="preserve">return was provided by the Deputy </w:t>
      </w:r>
      <w:r w:rsidR="00D67242" w:rsidRPr="00283785">
        <w:rPr>
          <w:rFonts w:ascii="Arial" w:hAnsi="Arial" w:cs="Arial"/>
          <w:sz w:val="24"/>
        </w:rPr>
        <w:t>Sheriff</w:t>
      </w:r>
      <w:r w:rsidRPr="00283785">
        <w:rPr>
          <w:rFonts w:ascii="Arial" w:hAnsi="Arial" w:cs="Arial"/>
          <w:sz w:val="24"/>
        </w:rPr>
        <w:t xml:space="preserve">.  </w:t>
      </w:r>
    </w:p>
    <w:p w:rsidR="001B1374" w:rsidRPr="00283785" w:rsidRDefault="001B1374" w:rsidP="00787E43">
      <w:pPr>
        <w:spacing w:after="0" w:line="360" w:lineRule="auto"/>
        <w:jc w:val="both"/>
        <w:rPr>
          <w:rFonts w:ascii="Arial" w:hAnsi="Arial" w:cs="Arial"/>
          <w:sz w:val="24"/>
        </w:rPr>
      </w:pPr>
    </w:p>
    <w:p w:rsidR="001B1374" w:rsidRPr="00283785" w:rsidRDefault="001B1374" w:rsidP="00787E43">
      <w:pPr>
        <w:spacing w:after="0" w:line="360" w:lineRule="auto"/>
        <w:jc w:val="both"/>
        <w:rPr>
          <w:rFonts w:ascii="Arial" w:hAnsi="Arial" w:cs="Arial"/>
          <w:sz w:val="24"/>
        </w:rPr>
      </w:pPr>
      <w:r w:rsidRPr="00283785">
        <w:rPr>
          <w:rFonts w:ascii="Arial" w:hAnsi="Arial" w:cs="Arial"/>
          <w:sz w:val="24"/>
        </w:rPr>
        <w:t>[2]</w:t>
      </w:r>
      <w:r w:rsidRPr="00283785">
        <w:rPr>
          <w:rFonts w:ascii="Arial" w:hAnsi="Arial" w:cs="Arial"/>
          <w:sz w:val="24"/>
        </w:rPr>
        <w:tab/>
        <w:t xml:space="preserve">The plaintiff proceeded with the rule 108 application, which has since become opposed, bringing us to this ruling. Parties were called upon to argue the matter, however, and unfortunately it may be added, only the plaintiff was ready to argue the matter. Counsel acting on behalf of the Defendant indicated that there is no objection that the </w:t>
      </w:r>
      <w:r w:rsidRPr="00283785">
        <w:rPr>
          <w:rFonts w:ascii="Arial" w:hAnsi="Arial" w:cs="Arial"/>
          <w:sz w:val="24"/>
        </w:rPr>
        <w:lastRenderedPageBreak/>
        <w:t>bare dominium, which his client held, is sold however he foresaw difficulty in securing a willing buyer as the relevant property is encumbered with a usufruct.</w:t>
      </w:r>
    </w:p>
    <w:p w:rsidR="001B1374" w:rsidRPr="00283785" w:rsidRDefault="001B1374" w:rsidP="00787E43">
      <w:pPr>
        <w:spacing w:after="0" w:line="360" w:lineRule="auto"/>
        <w:jc w:val="both"/>
        <w:rPr>
          <w:rFonts w:ascii="Arial" w:hAnsi="Arial" w:cs="Arial"/>
          <w:sz w:val="24"/>
        </w:rPr>
      </w:pPr>
    </w:p>
    <w:p w:rsidR="001B1374" w:rsidRDefault="001B1374" w:rsidP="00787E43">
      <w:pPr>
        <w:spacing w:after="0" w:line="360" w:lineRule="auto"/>
        <w:jc w:val="both"/>
        <w:rPr>
          <w:rFonts w:ascii="Arial" w:hAnsi="Arial" w:cs="Arial"/>
          <w:sz w:val="24"/>
          <w:u w:val="single"/>
        </w:rPr>
      </w:pPr>
      <w:r w:rsidRPr="00283785">
        <w:rPr>
          <w:rFonts w:ascii="Arial" w:hAnsi="Arial" w:cs="Arial"/>
          <w:sz w:val="24"/>
          <w:u w:val="single"/>
        </w:rPr>
        <w:t>Submissions by the plaintiff</w:t>
      </w:r>
    </w:p>
    <w:p w:rsidR="00787E43" w:rsidRPr="00283785" w:rsidRDefault="00787E43" w:rsidP="00787E43">
      <w:pPr>
        <w:spacing w:after="0" w:line="360" w:lineRule="auto"/>
        <w:jc w:val="both"/>
        <w:rPr>
          <w:rFonts w:ascii="Arial" w:hAnsi="Arial" w:cs="Arial"/>
          <w:sz w:val="24"/>
          <w:u w:val="single"/>
        </w:rPr>
      </w:pPr>
    </w:p>
    <w:p w:rsidR="001B1374" w:rsidRDefault="001B1374" w:rsidP="00787E43">
      <w:pPr>
        <w:spacing w:after="0" w:line="360" w:lineRule="auto"/>
        <w:jc w:val="both"/>
        <w:rPr>
          <w:rFonts w:ascii="Arial" w:hAnsi="Arial" w:cs="Arial"/>
          <w:sz w:val="24"/>
        </w:rPr>
      </w:pPr>
      <w:r w:rsidRPr="00283785">
        <w:rPr>
          <w:rFonts w:ascii="Arial" w:hAnsi="Arial" w:cs="Arial"/>
          <w:sz w:val="24"/>
        </w:rPr>
        <w:t>[3]</w:t>
      </w:r>
      <w:r w:rsidRPr="00283785">
        <w:rPr>
          <w:rFonts w:ascii="Arial" w:hAnsi="Arial" w:cs="Arial"/>
          <w:sz w:val="24"/>
        </w:rPr>
        <w:tab/>
        <w:t>The plaintiff holds the position that the defendant merely opposed the rule 108 application for purposes of delaying the application and buying time while awaiting another source of income to be paid in order to settle the debt owed to the plaintiff. The plaintiff refers to the answering affidavit of the defendant under para 4 where she clearly states that:</w:t>
      </w:r>
    </w:p>
    <w:p w:rsidR="00787E43" w:rsidRDefault="00787E43" w:rsidP="00787E43">
      <w:pPr>
        <w:spacing w:after="0" w:line="360" w:lineRule="auto"/>
        <w:ind w:right="674"/>
        <w:contextualSpacing/>
        <w:jc w:val="both"/>
        <w:rPr>
          <w:rFonts w:ascii="Arial" w:hAnsi="Arial" w:cs="Arial"/>
          <w:sz w:val="24"/>
        </w:rPr>
      </w:pPr>
    </w:p>
    <w:p w:rsidR="001B1374" w:rsidRPr="00283785" w:rsidRDefault="00283785" w:rsidP="00787E43">
      <w:pPr>
        <w:spacing w:after="0" w:line="360" w:lineRule="auto"/>
        <w:ind w:right="674"/>
        <w:contextualSpacing/>
        <w:jc w:val="both"/>
        <w:rPr>
          <w:rFonts w:ascii="Arial" w:eastAsia="Times New Roman" w:hAnsi="Arial" w:cs="Arial"/>
          <w:szCs w:val="24"/>
        </w:rPr>
      </w:pPr>
      <w:r w:rsidRPr="00283785">
        <w:rPr>
          <w:rFonts w:ascii="Arial" w:eastAsia="Times New Roman" w:hAnsi="Arial" w:cs="Arial"/>
          <w:szCs w:val="24"/>
        </w:rPr>
        <w:t>‘</w:t>
      </w:r>
      <w:r w:rsidR="001B1374" w:rsidRPr="00283785">
        <w:rPr>
          <w:rFonts w:ascii="Arial" w:eastAsia="Times New Roman" w:hAnsi="Arial" w:cs="Arial"/>
          <w:szCs w:val="24"/>
        </w:rPr>
        <w:t>I am expecting a substantial sum from South Africa within the next days and hopefully be able to settle the debt to the Plaintiff/Applicant before 6</w:t>
      </w:r>
      <w:r w:rsidR="001B1374" w:rsidRPr="00283785">
        <w:rPr>
          <w:rFonts w:ascii="Arial" w:eastAsia="Times New Roman" w:hAnsi="Arial" w:cs="Arial"/>
          <w:szCs w:val="24"/>
          <w:vertAlign w:val="superscript"/>
        </w:rPr>
        <w:t>th</w:t>
      </w:r>
      <w:r w:rsidRPr="00283785">
        <w:rPr>
          <w:rFonts w:ascii="Arial" w:eastAsia="Times New Roman" w:hAnsi="Arial" w:cs="Arial"/>
          <w:szCs w:val="24"/>
        </w:rPr>
        <w:t xml:space="preserve"> December 2017’</w:t>
      </w:r>
    </w:p>
    <w:p w:rsidR="001B1374" w:rsidRPr="00283785" w:rsidRDefault="001B1374" w:rsidP="00787E43">
      <w:pPr>
        <w:spacing w:after="0" w:line="360" w:lineRule="auto"/>
        <w:ind w:right="674"/>
        <w:contextualSpacing/>
        <w:jc w:val="both"/>
        <w:rPr>
          <w:rFonts w:ascii="Arial" w:eastAsia="Times New Roman" w:hAnsi="Arial" w:cs="Arial"/>
          <w:szCs w:val="24"/>
        </w:rPr>
      </w:pPr>
    </w:p>
    <w:p w:rsidR="001B1374" w:rsidRPr="00283785" w:rsidRDefault="001B1374" w:rsidP="00787E43">
      <w:pPr>
        <w:spacing w:after="0" w:line="360" w:lineRule="auto"/>
        <w:ind w:right="674"/>
        <w:contextualSpacing/>
        <w:jc w:val="both"/>
        <w:rPr>
          <w:rFonts w:ascii="Arial" w:eastAsia="Times New Roman" w:hAnsi="Arial" w:cs="Arial"/>
          <w:sz w:val="24"/>
          <w:szCs w:val="24"/>
        </w:rPr>
      </w:pPr>
      <w:r w:rsidRPr="00283785">
        <w:rPr>
          <w:rFonts w:ascii="Arial" w:eastAsia="Times New Roman" w:hAnsi="Arial" w:cs="Arial"/>
          <w:sz w:val="24"/>
          <w:szCs w:val="24"/>
        </w:rPr>
        <w:t>[4]</w:t>
      </w:r>
      <w:r w:rsidRPr="00283785">
        <w:rPr>
          <w:rFonts w:ascii="Arial" w:eastAsia="Times New Roman" w:hAnsi="Arial" w:cs="Arial"/>
          <w:sz w:val="24"/>
          <w:szCs w:val="24"/>
        </w:rPr>
        <w:tab/>
        <w:t xml:space="preserve">In the answering affidavit of the defendant she conceded to owing the plaintiff as per the agreement entered into between the parties. The defendant therefor does not disputes that she owes the plaintiff. </w:t>
      </w:r>
    </w:p>
    <w:p w:rsidR="001B1374" w:rsidRPr="00283785" w:rsidRDefault="001B1374" w:rsidP="00787E43">
      <w:pPr>
        <w:spacing w:after="0" w:line="360" w:lineRule="auto"/>
        <w:ind w:right="674"/>
        <w:contextualSpacing/>
        <w:jc w:val="both"/>
        <w:rPr>
          <w:rFonts w:ascii="Arial" w:eastAsia="Times New Roman" w:hAnsi="Arial" w:cs="Arial"/>
          <w:sz w:val="24"/>
          <w:szCs w:val="24"/>
        </w:rPr>
      </w:pPr>
    </w:p>
    <w:p w:rsidR="001B1374" w:rsidRPr="00283785" w:rsidRDefault="001B1374" w:rsidP="00787E43">
      <w:pPr>
        <w:spacing w:after="0" w:line="360" w:lineRule="auto"/>
        <w:ind w:right="674"/>
        <w:contextualSpacing/>
        <w:jc w:val="both"/>
        <w:rPr>
          <w:rFonts w:ascii="Arial" w:eastAsia="Times New Roman" w:hAnsi="Arial" w:cs="Arial"/>
          <w:sz w:val="24"/>
          <w:szCs w:val="24"/>
        </w:rPr>
      </w:pPr>
      <w:r w:rsidRPr="00283785">
        <w:rPr>
          <w:rFonts w:ascii="Arial" w:eastAsia="Times New Roman" w:hAnsi="Arial" w:cs="Arial"/>
          <w:sz w:val="24"/>
          <w:szCs w:val="24"/>
        </w:rPr>
        <w:t>[5]   The defendant has on numerous occasions offered to settle the debt owed, and the plaintiff submitted that the defendant was using this as a delay tactic ensuring that the plaintiff takes no further steps in satisfying its judgment against the defendant.</w:t>
      </w:r>
    </w:p>
    <w:p w:rsidR="001B1374" w:rsidRPr="00283785" w:rsidRDefault="001B1374" w:rsidP="00787E43">
      <w:pPr>
        <w:spacing w:after="0" w:line="360" w:lineRule="auto"/>
        <w:jc w:val="both"/>
        <w:rPr>
          <w:rFonts w:ascii="Arial" w:hAnsi="Arial" w:cs="Arial"/>
          <w:sz w:val="24"/>
        </w:rPr>
      </w:pPr>
      <w:r w:rsidRPr="00283785">
        <w:rPr>
          <w:rFonts w:ascii="Arial" w:hAnsi="Arial" w:cs="Arial"/>
          <w:sz w:val="24"/>
        </w:rPr>
        <w:t xml:space="preserve"> </w:t>
      </w:r>
    </w:p>
    <w:p w:rsidR="001B1374" w:rsidRDefault="001B1374" w:rsidP="00787E43">
      <w:pPr>
        <w:spacing w:after="0" w:line="360" w:lineRule="auto"/>
        <w:jc w:val="both"/>
        <w:rPr>
          <w:rFonts w:ascii="Arial" w:hAnsi="Arial" w:cs="Arial"/>
          <w:i/>
          <w:sz w:val="24"/>
        </w:rPr>
      </w:pPr>
      <w:r w:rsidRPr="00283785">
        <w:rPr>
          <w:rFonts w:ascii="Arial" w:hAnsi="Arial" w:cs="Arial"/>
          <w:i/>
          <w:sz w:val="24"/>
        </w:rPr>
        <w:t>The rule 108 application</w:t>
      </w:r>
    </w:p>
    <w:p w:rsidR="00787E43" w:rsidRPr="00283785" w:rsidRDefault="00787E43" w:rsidP="00787E43">
      <w:pPr>
        <w:spacing w:after="0" w:line="360" w:lineRule="auto"/>
        <w:jc w:val="both"/>
        <w:rPr>
          <w:rFonts w:ascii="Arial" w:hAnsi="Arial" w:cs="Arial"/>
          <w:i/>
          <w:sz w:val="24"/>
        </w:rPr>
      </w:pPr>
    </w:p>
    <w:p w:rsidR="001B1374" w:rsidRPr="00283785" w:rsidRDefault="001B1374" w:rsidP="00787E43">
      <w:pPr>
        <w:spacing w:after="0" w:line="360" w:lineRule="auto"/>
        <w:ind w:right="674"/>
        <w:contextualSpacing/>
        <w:jc w:val="both"/>
        <w:rPr>
          <w:rFonts w:ascii="Arial" w:eastAsia="Times New Roman" w:hAnsi="Arial" w:cs="Arial"/>
          <w:sz w:val="24"/>
          <w:szCs w:val="24"/>
        </w:rPr>
      </w:pPr>
      <w:r w:rsidRPr="00283785">
        <w:rPr>
          <w:rFonts w:ascii="Arial" w:hAnsi="Arial" w:cs="Arial"/>
          <w:sz w:val="24"/>
        </w:rPr>
        <w:t>[6]</w:t>
      </w:r>
      <w:r w:rsidRPr="00283785">
        <w:rPr>
          <w:rFonts w:ascii="Arial" w:hAnsi="Arial" w:cs="Arial"/>
          <w:sz w:val="24"/>
        </w:rPr>
        <w:tab/>
        <w:t>S</w:t>
      </w:r>
      <w:r w:rsidRPr="00283785">
        <w:rPr>
          <w:rFonts w:ascii="Arial" w:eastAsia="Times New Roman" w:hAnsi="Arial" w:cs="Arial"/>
          <w:sz w:val="24"/>
          <w:szCs w:val="24"/>
        </w:rPr>
        <w:t>ervice of the Rule 108</w:t>
      </w:r>
      <w:r w:rsidR="00B21EF4" w:rsidRPr="00283785">
        <w:rPr>
          <w:rFonts w:ascii="Arial" w:eastAsia="Times New Roman" w:hAnsi="Arial" w:cs="Arial"/>
          <w:sz w:val="24"/>
          <w:szCs w:val="24"/>
        </w:rPr>
        <w:t xml:space="preserve"> </w:t>
      </w:r>
      <w:r w:rsidRPr="00283785">
        <w:rPr>
          <w:rFonts w:ascii="Arial" w:eastAsia="Times New Roman" w:hAnsi="Arial" w:cs="Arial"/>
          <w:sz w:val="24"/>
          <w:szCs w:val="24"/>
        </w:rPr>
        <w:t>(2)</w:t>
      </w:r>
      <w:r w:rsidR="00B21EF4" w:rsidRPr="00283785">
        <w:rPr>
          <w:rFonts w:ascii="Arial" w:eastAsia="Times New Roman" w:hAnsi="Arial" w:cs="Arial"/>
          <w:sz w:val="24"/>
          <w:szCs w:val="24"/>
        </w:rPr>
        <w:t xml:space="preserve"> </w:t>
      </w:r>
      <w:r w:rsidRPr="00283785">
        <w:rPr>
          <w:rFonts w:ascii="Arial" w:eastAsia="Times New Roman" w:hAnsi="Arial" w:cs="Arial"/>
          <w:sz w:val="24"/>
          <w:szCs w:val="24"/>
        </w:rPr>
        <w:t>(a) notice was effected on the defendant on 30</w:t>
      </w:r>
      <w:r w:rsidRPr="00283785">
        <w:rPr>
          <w:rFonts w:ascii="Arial" w:eastAsia="Times New Roman" w:hAnsi="Arial" w:cs="Arial"/>
          <w:sz w:val="24"/>
          <w:szCs w:val="24"/>
          <w:vertAlign w:val="superscript"/>
        </w:rPr>
        <w:t>th</w:t>
      </w:r>
      <w:r w:rsidR="00787E43">
        <w:rPr>
          <w:rFonts w:ascii="Arial" w:eastAsia="Times New Roman" w:hAnsi="Arial" w:cs="Arial"/>
          <w:sz w:val="24"/>
          <w:szCs w:val="24"/>
        </w:rPr>
        <w:t xml:space="preserve"> May 2017 </w:t>
      </w:r>
      <w:r w:rsidRPr="00283785">
        <w:rPr>
          <w:rFonts w:ascii="Arial" w:eastAsia="Times New Roman" w:hAnsi="Arial" w:cs="Arial"/>
          <w:sz w:val="24"/>
          <w:szCs w:val="24"/>
        </w:rPr>
        <w:t>and she hereafter gave her reasons as to why the property should not be declared specially executable. The defendant submitted that it is her belief that no person would be prepared to make an offer for a bare dominium ownership of a farm where there is a lifelong usufruct registered in the name of her father.</w:t>
      </w:r>
    </w:p>
    <w:p w:rsidR="001B1374" w:rsidRPr="00283785" w:rsidRDefault="001B1374" w:rsidP="00787E43">
      <w:pPr>
        <w:spacing w:after="0" w:line="360" w:lineRule="auto"/>
        <w:ind w:right="674"/>
        <w:contextualSpacing/>
        <w:jc w:val="both"/>
        <w:rPr>
          <w:rFonts w:ascii="Arial" w:eastAsia="Times New Roman" w:hAnsi="Arial" w:cs="Arial"/>
          <w:sz w:val="24"/>
          <w:szCs w:val="24"/>
        </w:rPr>
      </w:pPr>
    </w:p>
    <w:p w:rsidR="001B1374" w:rsidRPr="00283785" w:rsidRDefault="001B1374" w:rsidP="00787E43">
      <w:pPr>
        <w:spacing w:after="0" w:line="360" w:lineRule="auto"/>
        <w:ind w:right="674"/>
        <w:contextualSpacing/>
        <w:jc w:val="both"/>
        <w:rPr>
          <w:rFonts w:ascii="Arial" w:eastAsia="Times New Roman" w:hAnsi="Arial" w:cs="Arial"/>
          <w:sz w:val="24"/>
          <w:szCs w:val="24"/>
        </w:rPr>
      </w:pPr>
      <w:r w:rsidRPr="00283785">
        <w:rPr>
          <w:rFonts w:ascii="Arial" w:eastAsia="Times New Roman" w:hAnsi="Arial" w:cs="Arial"/>
          <w:sz w:val="24"/>
          <w:szCs w:val="24"/>
        </w:rPr>
        <w:lastRenderedPageBreak/>
        <w:t>[7]</w:t>
      </w:r>
      <w:r w:rsidRPr="00283785">
        <w:rPr>
          <w:rFonts w:ascii="Arial" w:eastAsia="Times New Roman" w:hAnsi="Arial" w:cs="Arial"/>
          <w:sz w:val="24"/>
          <w:szCs w:val="24"/>
        </w:rPr>
        <w:tab/>
        <w:t>For all intents and purposes the application before me is undefended.</w:t>
      </w:r>
    </w:p>
    <w:p w:rsidR="001B1374" w:rsidRPr="00283785" w:rsidRDefault="001B1374" w:rsidP="00787E43">
      <w:pPr>
        <w:spacing w:after="0" w:line="360" w:lineRule="auto"/>
        <w:ind w:right="674"/>
        <w:contextualSpacing/>
        <w:jc w:val="both"/>
        <w:rPr>
          <w:rFonts w:ascii="Arial" w:eastAsia="Times New Roman" w:hAnsi="Arial" w:cs="Arial"/>
          <w:sz w:val="24"/>
          <w:szCs w:val="24"/>
        </w:rPr>
      </w:pPr>
    </w:p>
    <w:p w:rsidR="001B1374" w:rsidRDefault="001B1374" w:rsidP="00787E43">
      <w:pPr>
        <w:spacing w:after="0" w:line="360" w:lineRule="auto"/>
        <w:ind w:right="674"/>
        <w:jc w:val="both"/>
        <w:rPr>
          <w:rFonts w:ascii="Arial" w:eastAsia="Times New Roman" w:hAnsi="Arial" w:cs="Arial"/>
          <w:sz w:val="24"/>
          <w:szCs w:val="24"/>
        </w:rPr>
      </w:pPr>
      <w:r w:rsidRPr="00283785">
        <w:rPr>
          <w:rFonts w:ascii="Arial" w:eastAsia="Times New Roman" w:hAnsi="Arial" w:cs="Arial"/>
          <w:sz w:val="24"/>
          <w:szCs w:val="24"/>
        </w:rPr>
        <w:t>[8]</w:t>
      </w:r>
      <w:r w:rsidRPr="00283785">
        <w:rPr>
          <w:rFonts w:ascii="Arial" w:eastAsia="Times New Roman" w:hAnsi="Arial" w:cs="Arial"/>
          <w:sz w:val="24"/>
          <w:szCs w:val="24"/>
        </w:rPr>
        <w:tab/>
        <w:t>The plaintiff submitted that the grounds for opposing the rule 108 application  does not fall within the criteria that this court must consider in terms of Rule 108(2) as the immovable property to be executed is neither:-</w:t>
      </w:r>
    </w:p>
    <w:p w:rsidR="00787E43" w:rsidRPr="00283785" w:rsidRDefault="00787E43" w:rsidP="00787E43">
      <w:pPr>
        <w:spacing w:after="0" w:line="360" w:lineRule="auto"/>
        <w:ind w:right="674"/>
        <w:jc w:val="both"/>
        <w:rPr>
          <w:rFonts w:ascii="Arial" w:eastAsia="Times New Roman" w:hAnsi="Arial" w:cs="Arial"/>
          <w:sz w:val="24"/>
          <w:szCs w:val="24"/>
        </w:rPr>
      </w:pPr>
    </w:p>
    <w:p w:rsidR="001B1374" w:rsidRPr="00283785" w:rsidRDefault="001B1374" w:rsidP="00787E43">
      <w:pPr>
        <w:numPr>
          <w:ilvl w:val="0"/>
          <w:numId w:val="3"/>
        </w:numPr>
        <w:spacing w:after="0" w:line="360" w:lineRule="auto"/>
        <w:ind w:left="720" w:right="674" w:hanging="720"/>
        <w:contextualSpacing/>
        <w:jc w:val="both"/>
        <w:rPr>
          <w:rFonts w:ascii="Arial" w:eastAsia="Times New Roman" w:hAnsi="Arial" w:cs="Arial"/>
          <w:sz w:val="24"/>
          <w:szCs w:val="24"/>
        </w:rPr>
      </w:pPr>
      <w:r w:rsidRPr="00283785">
        <w:rPr>
          <w:rFonts w:ascii="Arial" w:eastAsia="Times New Roman" w:hAnsi="Arial" w:cs="Arial"/>
          <w:sz w:val="24"/>
          <w:szCs w:val="24"/>
        </w:rPr>
        <w:t xml:space="preserve">a primary residence; nor </w:t>
      </w:r>
    </w:p>
    <w:p w:rsidR="001B1374" w:rsidRPr="00283785" w:rsidRDefault="001B1374" w:rsidP="00787E43">
      <w:pPr>
        <w:spacing w:after="0" w:line="360" w:lineRule="auto"/>
        <w:ind w:left="720" w:right="674" w:hanging="720"/>
        <w:contextualSpacing/>
        <w:jc w:val="both"/>
        <w:rPr>
          <w:rFonts w:ascii="Arial" w:eastAsia="Times New Roman" w:hAnsi="Arial" w:cs="Arial"/>
          <w:sz w:val="24"/>
          <w:szCs w:val="24"/>
        </w:rPr>
      </w:pPr>
    </w:p>
    <w:p w:rsidR="001B1374" w:rsidRPr="00283785" w:rsidRDefault="001B1374" w:rsidP="00787E43">
      <w:pPr>
        <w:spacing w:after="0" w:line="360" w:lineRule="auto"/>
        <w:ind w:left="720" w:right="674" w:hanging="720"/>
        <w:contextualSpacing/>
        <w:jc w:val="both"/>
        <w:rPr>
          <w:rFonts w:ascii="Arial" w:eastAsia="Times New Roman" w:hAnsi="Arial" w:cs="Arial"/>
          <w:sz w:val="24"/>
          <w:szCs w:val="24"/>
        </w:rPr>
      </w:pPr>
      <w:r w:rsidRPr="00283785">
        <w:rPr>
          <w:rFonts w:ascii="Arial" w:eastAsia="Times New Roman" w:hAnsi="Arial" w:cs="Arial"/>
          <w:sz w:val="24"/>
          <w:szCs w:val="24"/>
        </w:rPr>
        <w:t xml:space="preserve">(b) </w:t>
      </w:r>
      <w:r w:rsidR="00787E43">
        <w:rPr>
          <w:rFonts w:ascii="Arial" w:eastAsia="Times New Roman" w:hAnsi="Arial" w:cs="Arial"/>
          <w:sz w:val="24"/>
          <w:szCs w:val="24"/>
        </w:rPr>
        <w:tab/>
      </w:r>
      <w:r w:rsidRPr="00283785">
        <w:rPr>
          <w:rFonts w:ascii="Arial" w:eastAsia="Times New Roman" w:hAnsi="Arial" w:cs="Arial"/>
          <w:sz w:val="24"/>
          <w:szCs w:val="24"/>
        </w:rPr>
        <w:t xml:space="preserve">is it leased to a third party as home. </w:t>
      </w:r>
    </w:p>
    <w:p w:rsidR="001B1374" w:rsidRPr="00283785" w:rsidRDefault="001B1374" w:rsidP="00787E43">
      <w:pPr>
        <w:spacing w:after="0" w:line="360" w:lineRule="auto"/>
        <w:ind w:left="792" w:right="674"/>
        <w:contextualSpacing/>
        <w:jc w:val="both"/>
        <w:rPr>
          <w:rFonts w:ascii="Arial" w:eastAsia="Times New Roman" w:hAnsi="Arial" w:cs="Arial"/>
          <w:sz w:val="24"/>
          <w:szCs w:val="24"/>
        </w:rPr>
      </w:pPr>
    </w:p>
    <w:p w:rsidR="001B1374" w:rsidRPr="00283785" w:rsidRDefault="001B1374" w:rsidP="00787E43">
      <w:pPr>
        <w:spacing w:after="0" w:line="360" w:lineRule="auto"/>
        <w:ind w:right="674"/>
        <w:contextualSpacing/>
        <w:jc w:val="both"/>
        <w:rPr>
          <w:rFonts w:ascii="Arial" w:eastAsia="Times New Roman" w:hAnsi="Arial" w:cs="Arial"/>
          <w:sz w:val="24"/>
          <w:szCs w:val="24"/>
        </w:rPr>
      </w:pPr>
      <w:r w:rsidRPr="00283785">
        <w:rPr>
          <w:rFonts w:ascii="Arial" w:eastAsia="Times New Roman" w:hAnsi="Arial" w:cs="Arial"/>
          <w:sz w:val="24"/>
          <w:szCs w:val="24"/>
        </w:rPr>
        <w:t>[9]</w:t>
      </w:r>
      <w:r w:rsidRPr="00283785">
        <w:rPr>
          <w:rFonts w:ascii="Arial" w:eastAsia="Times New Roman" w:hAnsi="Arial" w:cs="Arial"/>
          <w:sz w:val="24"/>
          <w:szCs w:val="24"/>
        </w:rPr>
        <w:tab/>
        <w:t>In the premises, the plaintiff submits that the remainder of Fa</w:t>
      </w:r>
      <w:r w:rsidR="00E47332" w:rsidRPr="00283785">
        <w:rPr>
          <w:rFonts w:ascii="Arial" w:eastAsia="Times New Roman" w:hAnsi="Arial" w:cs="Arial"/>
          <w:sz w:val="24"/>
          <w:szCs w:val="24"/>
        </w:rPr>
        <w:t>r</w:t>
      </w:r>
      <w:r w:rsidRPr="00283785">
        <w:rPr>
          <w:rFonts w:ascii="Arial" w:eastAsia="Times New Roman" w:hAnsi="Arial" w:cs="Arial"/>
          <w:sz w:val="24"/>
          <w:szCs w:val="24"/>
        </w:rPr>
        <w:t>m Frischgewaagd No. 289 measuring 2720,8233 is suitable to be sold in execution of the Judgment Debt.</w:t>
      </w:r>
    </w:p>
    <w:p w:rsidR="001B1374" w:rsidRPr="00787E43" w:rsidRDefault="001B1374" w:rsidP="00787E43">
      <w:pPr>
        <w:spacing w:after="0" w:line="360" w:lineRule="auto"/>
        <w:ind w:right="674"/>
        <w:contextualSpacing/>
        <w:jc w:val="both"/>
        <w:rPr>
          <w:rFonts w:ascii="Arial" w:eastAsia="Times New Roman" w:hAnsi="Arial" w:cs="Arial"/>
          <w:sz w:val="24"/>
          <w:szCs w:val="24"/>
        </w:rPr>
      </w:pPr>
    </w:p>
    <w:p w:rsidR="001B1374" w:rsidRPr="00277362" w:rsidRDefault="00277362" w:rsidP="00787E43">
      <w:pPr>
        <w:spacing w:after="0" w:line="360" w:lineRule="auto"/>
        <w:ind w:right="674"/>
        <w:contextualSpacing/>
        <w:jc w:val="both"/>
        <w:rPr>
          <w:rFonts w:ascii="Arial" w:eastAsia="Times New Roman" w:hAnsi="Arial" w:cs="Arial"/>
          <w:sz w:val="24"/>
          <w:szCs w:val="24"/>
          <w:u w:val="single"/>
        </w:rPr>
      </w:pPr>
      <w:r>
        <w:rPr>
          <w:rFonts w:ascii="Arial" w:eastAsia="Times New Roman" w:hAnsi="Arial" w:cs="Arial"/>
          <w:sz w:val="24"/>
          <w:szCs w:val="24"/>
          <w:u w:val="single"/>
        </w:rPr>
        <w:t>Discussion</w:t>
      </w:r>
    </w:p>
    <w:p w:rsidR="00E47332" w:rsidRPr="00283785" w:rsidRDefault="00E47332" w:rsidP="00787E43">
      <w:pPr>
        <w:spacing w:after="0" w:line="360" w:lineRule="auto"/>
        <w:ind w:right="674"/>
        <w:contextualSpacing/>
        <w:jc w:val="both"/>
        <w:rPr>
          <w:rFonts w:ascii="Arial" w:eastAsia="Times New Roman" w:hAnsi="Arial" w:cs="Arial"/>
          <w:i/>
          <w:sz w:val="24"/>
          <w:szCs w:val="24"/>
          <w:u w:val="single"/>
        </w:rPr>
      </w:pPr>
    </w:p>
    <w:p w:rsidR="001B1374" w:rsidRDefault="001B1374" w:rsidP="00787E43">
      <w:pPr>
        <w:spacing w:after="0" w:line="360" w:lineRule="auto"/>
        <w:jc w:val="both"/>
        <w:rPr>
          <w:rFonts w:ascii="Arial" w:hAnsi="Arial" w:cs="Arial"/>
          <w:sz w:val="24"/>
          <w:szCs w:val="24"/>
        </w:rPr>
      </w:pPr>
      <w:r w:rsidRPr="00283785">
        <w:rPr>
          <w:rFonts w:ascii="Arial" w:eastAsia="Times New Roman" w:hAnsi="Arial" w:cs="Arial"/>
          <w:sz w:val="24"/>
          <w:szCs w:val="24"/>
        </w:rPr>
        <w:t>[10]</w:t>
      </w:r>
      <w:r w:rsidRPr="00283785">
        <w:rPr>
          <w:rFonts w:ascii="Arial" w:eastAsia="Times New Roman" w:hAnsi="Arial" w:cs="Arial"/>
          <w:sz w:val="24"/>
          <w:szCs w:val="24"/>
        </w:rPr>
        <w:tab/>
        <w:t xml:space="preserve"> </w:t>
      </w:r>
      <w:r w:rsidRPr="00283785">
        <w:rPr>
          <w:rFonts w:ascii="Arial" w:hAnsi="Arial" w:cs="Arial"/>
          <w:sz w:val="24"/>
          <w:szCs w:val="24"/>
        </w:rPr>
        <w:t>Upon application to declare property specially executable, the onus is on the execution debtor to make the court aware of the status of the property or the third party, who may be residing therein. More specifically the execution creditor has a duty to bring to the personal attention of the execution debtor or the third party residing in his or her house of the application for the said declaration and it would be for the latter to bring the status of the property in question to the court before it makes an appropriate order regarding the declaration sought</w:t>
      </w:r>
      <w:r w:rsidR="00B21EF4" w:rsidRPr="00283785">
        <w:rPr>
          <w:rFonts w:ascii="Arial" w:hAnsi="Arial" w:cs="Arial"/>
          <w:sz w:val="24"/>
          <w:szCs w:val="24"/>
        </w:rPr>
        <w:t>.</w:t>
      </w:r>
      <w:r w:rsidRPr="00283785">
        <w:rPr>
          <w:rStyle w:val="FootnoteReference"/>
          <w:rFonts w:ascii="Arial" w:hAnsi="Arial" w:cs="Arial"/>
          <w:sz w:val="24"/>
          <w:szCs w:val="24"/>
        </w:rPr>
        <w:footnoteReference w:id="1"/>
      </w:r>
      <w:r w:rsidRPr="00283785">
        <w:rPr>
          <w:rFonts w:ascii="Arial" w:hAnsi="Arial" w:cs="Arial"/>
          <w:sz w:val="24"/>
          <w:szCs w:val="24"/>
        </w:rPr>
        <w:t xml:space="preserve"> The notice must be served by an independent person in the form of the deputy sheriff.</w:t>
      </w:r>
    </w:p>
    <w:p w:rsidR="00787E43" w:rsidRPr="00283785" w:rsidRDefault="00787E43" w:rsidP="00787E43">
      <w:pPr>
        <w:spacing w:after="0" w:line="360" w:lineRule="auto"/>
        <w:jc w:val="both"/>
        <w:rPr>
          <w:rFonts w:ascii="Arial" w:eastAsia="Times New Roman" w:hAnsi="Arial" w:cs="Arial"/>
          <w:sz w:val="24"/>
          <w:szCs w:val="24"/>
        </w:rPr>
      </w:pPr>
    </w:p>
    <w:p w:rsidR="001B1374" w:rsidRPr="00283785" w:rsidRDefault="001B1374" w:rsidP="00787E43">
      <w:pPr>
        <w:spacing w:after="0" w:line="360" w:lineRule="auto"/>
        <w:ind w:right="674"/>
        <w:contextualSpacing/>
        <w:jc w:val="both"/>
        <w:rPr>
          <w:rFonts w:ascii="Arial" w:eastAsia="Times New Roman" w:hAnsi="Arial" w:cs="Arial"/>
          <w:sz w:val="24"/>
          <w:szCs w:val="24"/>
        </w:rPr>
      </w:pPr>
      <w:r w:rsidRPr="00283785">
        <w:rPr>
          <w:rFonts w:ascii="Arial" w:eastAsia="Times New Roman" w:hAnsi="Arial" w:cs="Arial"/>
          <w:sz w:val="24"/>
          <w:szCs w:val="24"/>
        </w:rPr>
        <w:t>[11]</w:t>
      </w:r>
      <w:r w:rsidRPr="00283785">
        <w:rPr>
          <w:rFonts w:ascii="Arial" w:eastAsia="Times New Roman" w:hAnsi="Arial" w:cs="Arial"/>
          <w:sz w:val="24"/>
          <w:szCs w:val="24"/>
        </w:rPr>
        <w:tab/>
        <w:t xml:space="preserve">The Form 24 Notice inviting the Defendant to show cause within 10 days from the date of service of this application why the immovable property should not be declared specially </w:t>
      </w:r>
      <w:r w:rsidR="00CB35DA" w:rsidRPr="00283785">
        <w:rPr>
          <w:rFonts w:ascii="Arial" w:eastAsia="Times New Roman" w:hAnsi="Arial" w:cs="Arial"/>
          <w:sz w:val="24"/>
          <w:szCs w:val="24"/>
        </w:rPr>
        <w:t>executable was</w:t>
      </w:r>
      <w:r w:rsidRPr="00283785">
        <w:rPr>
          <w:rFonts w:ascii="Arial" w:eastAsia="Times New Roman" w:hAnsi="Arial" w:cs="Arial"/>
          <w:sz w:val="24"/>
          <w:szCs w:val="24"/>
        </w:rPr>
        <w:t xml:space="preserve"> served on the Defendant on 23</w:t>
      </w:r>
      <w:r w:rsidRPr="00283785">
        <w:rPr>
          <w:rFonts w:ascii="Arial" w:eastAsia="Times New Roman" w:hAnsi="Arial" w:cs="Arial"/>
          <w:sz w:val="24"/>
          <w:szCs w:val="24"/>
          <w:vertAlign w:val="superscript"/>
        </w:rPr>
        <w:t>rd</w:t>
      </w:r>
      <w:r w:rsidRPr="00283785">
        <w:rPr>
          <w:rFonts w:ascii="Arial" w:eastAsia="Times New Roman" w:hAnsi="Arial" w:cs="Arial"/>
          <w:sz w:val="24"/>
          <w:szCs w:val="24"/>
        </w:rPr>
        <w:t xml:space="preserve"> May 2017.</w:t>
      </w:r>
    </w:p>
    <w:p w:rsidR="001B1374" w:rsidRPr="00283785" w:rsidRDefault="001B1374" w:rsidP="00787E43">
      <w:pPr>
        <w:spacing w:after="0" w:line="360" w:lineRule="auto"/>
        <w:ind w:right="674"/>
        <w:contextualSpacing/>
        <w:jc w:val="both"/>
        <w:rPr>
          <w:rFonts w:ascii="Arial" w:eastAsia="Times New Roman" w:hAnsi="Arial" w:cs="Arial"/>
          <w:sz w:val="24"/>
          <w:szCs w:val="24"/>
        </w:rPr>
      </w:pPr>
    </w:p>
    <w:p w:rsidR="00550BDA" w:rsidRPr="00283785" w:rsidRDefault="001B1374" w:rsidP="00787E43">
      <w:pPr>
        <w:spacing w:after="0" w:line="360" w:lineRule="auto"/>
        <w:ind w:right="674"/>
        <w:contextualSpacing/>
        <w:jc w:val="both"/>
        <w:rPr>
          <w:rFonts w:ascii="Arial" w:eastAsia="Times New Roman" w:hAnsi="Arial" w:cs="Arial"/>
          <w:sz w:val="24"/>
          <w:szCs w:val="24"/>
        </w:rPr>
      </w:pPr>
      <w:r w:rsidRPr="00283785">
        <w:rPr>
          <w:rFonts w:ascii="Arial" w:eastAsia="Times New Roman" w:hAnsi="Arial" w:cs="Arial"/>
          <w:sz w:val="24"/>
          <w:szCs w:val="24"/>
        </w:rPr>
        <w:lastRenderedPageBreak/>
        <w:t>[1</w:t>
      </w:r>
      <w:r w:rsidR="00550BDA" w:rsidRPr="00283785">
        <w:rPr>
          <w:rFonts w:ascii="Arial" w:eastAsia="Times New Roman" w:hAnsi="Arial" w:cs="Arial"/>
          <w:sz w:val="24"/>
          <w:szCs w:val="24"/>
        </w:rPr>
        <w:t>2</w:t>
      </w:r>
      <w:r w:rsidRPr="00283785">
        <w:rPr>
          <w:rFonts w:ascii="Arial" w:eastAsia="Times New Roman" w:hAnsi="Arial" w:cs="Arial"/>
          <w:sz w:val="24"/>
          <w:szCs w:val="24"/>
        </w:rPr>
        <w:t>]</w:t>
      </w:r>
      <w:r w:rsidRPr="00283785">
        <w:rPr>
          <w:rFonts w:ascii="Arial" w:eastAsia="Times New Roman" w:hAnsi="Arial" w:cs="Arial"/>
          <w:sz w:val="24"/>
          <w:szCs w:val="24"/>
        </w:rPr>
        <w:tab/>
      </w:r>
      <w:r w:rsidR="00550BDA" w:rsidRPr="00283785">
        <w:rPr>
          <w:rFonts w:ascii="Arial" w:eastAsia="Times New Roman" w:hAnsi="Arial" w:cs="Arial"/>
          <w:sz w:val="24"/>
          <w:szCs w:val="24"/>
        </w:rPr>
        <w:t xml:space="preserve">A notice in terms of Rule 108(2) was served on the father of the Defendant </w:t>
      </w:r>
      <w:r w:rsidR="00CB35DA" w:rsidRPr="00283785">
        <w:rPr>
          <w:rFonts w:ascii="Arial" w:eastAsia="Times New Roman" w:hAnsi="Arial" w:cs="Arial"/>
          <w:sz w:val="24"/>
          <w:szCs w:val="24"/>
        </w:rPr>
        <w:t>(the usufruct</w:t>
      </w:r>
      <w:r w:rsidR="006C7EDD" w:rsidRPr="00283785">
        <w:rPr>
          <w:rFonts w:ascii="Arial" w:eastAsia="Times New Roman" w:hAnsi="Arial" w:cs="Arial"/>
          <w:sz w:val="24"/>
          <w:szCs w:val="24"/>
        </w:rPr>
        <w:t>u</w:t>
      </w:r>
      <w:r w:rsidR="00CB35DA" w:rsidRPr="00283785">
        <w:rPr>
          <w:rFonts w:ascii="Arial" w:eastAsia="Times New Roman" w:hAnsi="Arial" w:cs="Arial"/>
          <w:sz w:val="24"/>
          <w:szCs w:val="24"/>
        </w:rPr>
        <w:t xml:space="preserve">ary) </w:t>
      </w:r>
      <w:r w:rsidR="00550BDA" w:rsidRPr="00283785">
        <w:rPr>
          <w:rFonts w:ascii="Arial" w:eastAsia="Times New Roman" w:hAnsi="Arial" w:cs="Arial"/>
          <w:sz w:val="24"/>
          <w:szCs w:val="24"/>
        </w:rPr>
        <w:t>on 14 February 2018.</w:t>
      </w:r>
    </w:p>
    <w:p w:rsidR="00550BDA" w:rsidRPr="00283785" w:rsidRDefault="00550BDA" w:rsidP="00787E43">
      <w:pPr>
        <w:spacing w:after="0" w:line="360" w:lineRule="auto"/>
        <w:ind w:right="674"/>
        <w:contextualSpacing/>
        <w:jc w:val="both"/>
        <w:rPr>
          <w:rFonts w:ascii="Arial" w:eastAsia="Times New Roman" w:hAnsi="Arial" w:cs="Arial"/>
          <w:sz w:val="24"/>
          <w:szCs w:val="24"/>
        </w:rPr>
      </w:pPr>
    </w:p>
    <w:p w:rsidR="00550BDA" w:rsidRPr="00283785" w:rsidRDefault="00550BDA" w:rsidP="00787E43">
      <w:pPr>
        <w:spacing w:after="0" w:line="360" w:lineRule="auto"/>
        <w:ind w:right="674"/>
        <w:contextualSpacing/>
        <w:jc w:val="both"/>
        <w:rPr>
          <w:rFonts w:ascii="Arial" w:eastAsia="Times New Roman" w:hAnsi="Arial" w:cs="Arial"/>
          <w:sz w:val="24"/>
          <w:szCs w:val="24"/>
        </w:rPr>
      </w:pPr>
      <w:r w:rsidRPr="00283785">
        <w:rPr>
          <w:rFonts w:ascii="Arial" w:eastAsia="Times New Roman" w:hAnsi="Arial" w:cs="Arial"/>
          <w:sz w:val="24"/>
          <w:szCs w:val="24"/>
        </w:rPr>
        <w:t>[13]</w:t>
      </w:r>
      <w:r w:rsidRPr="00283785">
        <w:rPr>
          <w:rFonts w:ascii="Arial" w:eastAsia="Times New Roman" w:hAnsi="Arial" w:cs="Arial"/>
          <w:sz w:val="24"/>
          <w:szCs w:val="24"/>
        </w:rPr>
        <w:tab/>
        <w:t>In spite of personal service the current application was not opposed by usufruct</w:t>
      </w:r>
      <w:r w:rsidR="00B21EF4" w:rsidRPr="00283785">
        <w:rPr>
          <w:rFonts w:ascii="Arial" w:eastAsia="Times New Roman" w:hAnsi="Arial" w:cs="Arial"/>
          <w:sz w:val="24"/>
          <w:szCs w:val="24"/>
        </w:rPr>
        <w:t>u</w:t>
      </w:r>
      <w:r w:rsidRPr="00283785">
        <w:rPr>
          <w:rFonts w:ascii="Arial" w:eastAsia="Times New Roman" w:hAnsi="Arial" w:cs="Arial"/>
          <w:sz w:val="24"/>
          <w:szCs w:val="24"/>
        </w:rPr>
        <w:t xml:space="preserve">ary. </w:t>
      </w:r>
    </w:p>
    <w:p w:rsidR="00550BDA" w:rsidRPr="00283785" w:rsidRDefault="00550BDA" w:rsidP="00787E43">
      <w:pPr>
        <w:spacing w:after="0" w:line="360" w:lineRule="auto"/>
        <w:ind w:right="674"/>
        <w:contextualSpacing/>
        <w:jc w:val="both"/>
        <w:rPr>
          <w:rFonts w:ascii="Arial" w:eastAsia="Times New Roman" w:hAnsi="Arial" w:cs="Arial"/>
          <w:sz w:val="24"/>
          <w:szCs w:val="24"/>
        </w:rPr>
      </w:pPr>
    </w:p>
    <w:p w:rsidR="00550BDA" w:rsidRPr="00283785" w:rsidRDefault="00550BDA" w:rsidP="00787E43">
      <w:pPr>
        <w:spacing w:after="0" w:line="360" w:lineRule="auto"/>
        <w:ind w:right="674"/>
        <w:contextualSpacing/>
        <w:jc w:val="both"/>
        <w:rPr>
          <w:rFonts w:ascii="Arial" w:eastAsia="Times New Roman" w:hAnsi="Arial" w:cs="Arial"/>
          <w:sz w:val="24"/>
          <w:szCs w:val="24"/>
        </w:rPr>
      </w:pPr>
      <w:r w:rsidRPr="00283785">
        <w:rPr>
          <w:rFonts w:ascii="Arial" w:eastAsia="Times New Roman" w:hAnsi="Arial" w:cs="Arial"/>
          <w:sz w:val="24"/>
          <w:szCs w:val="24"/>
        </w:rPr>
        <w:t>[14]</w:t>
      </w:r>
      <w:r w:rsidRPr="00283785">
        <w:rPr>
          <w:rFonts w:ascii="Arial" w:eastAsia="Times New Roman" w:hAnsi="Arial" w:cs="Arial"/>
          <w:sz w:val="24"/>
          <w:szCs w:val="24"/>
        </w:rPr>
        <w:tab/>
        <w:t>There can be no issue that the bare dominium that is held by the defendant can be sold in execution. Even if the bare dominium is sold it would not affect the rights of the usufruct</w:t>
      </w:r>
      <w:r w:rsidR="00B21EF4" w:rsidRPr="00283785">
        <w:rPr>
          <w:rFonts w:ascii="Arial" w:eastAsia="Times New Roman" w:hAnsi="Arial" w:cs="Arial"/>
          <w:sz w:val="24"/>
          <w:szCs w:val="24"/>
        </w:rPr>
        <w:t>u</w:t>
      </w:r>
      <w:r w:rsidRPr="00283785">
        <w:rPr>
          <w:rFonts w:ascii="Arial" w:eastAsia="Times New Roman" w:hAnsi="Arial" w:cs="Arial"/>
          <w:sz w:val="24"/>
          <w:szCs w:val="24"/>
        </w:rPr>
        <w:t xml:space="preserve">ary. </w:t>
      </w:r>
      <w:r w:rsidR="00E93913" w:rsidRPr="00283785">
        <w:rPr>
          <w:rFonts w:ascii="Arial" w:eastAsia="Times New Roman" w:hAnsi="Arial" w:cs="Arial"/>
          <w:sz w:val="24"/>
          <w:szCs w:val="24"/>
        </w:rPr>
        <w:t xml:space="preserve">Should the dominium be sold it will be transferred subject to the </w:t>
      </w:r>
      <w:r w:rsidR="00C761BB" w:rsidRPr="00283785">
        <w:rPr>
          <w:rFonts w:ascii="Arial" w:eastAsia="Times New Roman" w:hAnsi="Arial" w:cs="Arial"/>
          <w:sz w:val="24"/>
          <w:szCs w:val="24"/>
        </w:rPr>
        <w:t>personal servitude (usufruct).</w:t>
      </w:r>
    </w:p>
    <w:p w:rsidR="00550BDA" w:rsidRPr="00283785" w:rsidRDefault="00550BDA" w:rsidP="00787E43">
      <w:pPr>
        <w:spacing w:after="0" w:line="360" w:lineRule="auto"/>
        <w:ind w:right="674"/>
        <w:contextualSpacing/>
        <w:jc w:val="both"/>
        <w:rPr>
          <w:rFonts w:ascii="Arial" w:eastAsia="Times New Roman" w:hAnsi="Arial" w:cs="Arial"/>
          <w:sz w:val="24"/>
          <w:szCs w:val="24"/>
        </w:rPr>
      </w:pPr>
    </w:p>
    <w:p w:rsidR="008F7581" w:rsidRPr="00283785" w:rsidRDefault="00C761BB" w:rsidP="00787E43">
      <w:pPr>
        <w:spacing w:after="0" w:line="360" w:lineRule="auto"/>
        <w:ind w:right="674"/>
        <w:contextualSpacing/>
        <w:jc w:val="both"/>
        <w:rPr>
          <w:rFonts w:ascii="Arial" w:hAnsi="Arial" w:cs="Arial"/>
          <w:sz w:val="24"/>
        </w:rPr>
      </w:pPr>
      <w:r w:rsidRPr="00283785">
        <w:rPr>
          <w:rFonts w:ascii="Arial" w:eastAsia="Times New Roman" w:hAnsi="Arial" w:cs="Arial"/>
          <w:sz w:val="24"/>
          <w:szCs w:val="24"/>
        </w:rPr>
        <w:t>[15]</w:t>
      </w:r>
      <w:r w:rsidRPr="00283785">
        <w:rPr>
          <w:rFonts w:ascii="Arial" w:eastAsia="Times New Roman" w:hAnsi="Arial" w:cs="Arial"/>
          <w:sz w:val="24"/>
          <w:szCs w:val="24"/>
        </w:rPr>
        <w:tab/>
      </w:r>
      <w:r w:rsidR="008F7581" w:rsidRPr="00283785">
        <w:rPr>
          <w:rFonts w:ascii="Arial" w:hAnsi="Arial" w:cs="Arial"/>
          <w:sz w:val="24"/>
        </w:rPr>
        <w:t>In most instances this will not be ideal to the purchaser, as the newly acquired ownership is not unencumbered. This means that a third party has rights of use and enjoyment to the property, even to the exclusion of the new owner.</w:t>
      </w:r>
    </w:p>
    <w:p w:rsidR="008F7581" w:rsidRPr="00283785" w:rsidRDefault="008F7581" w:rsidP="00787E43">
      <w:pPr>
        <w:spacing w:after="0" w:line="360" w:lineRule="auto"/>
        <w:ind w:right="674"/>
        <w:contextualSpacing/>
        <w:jc w:val="both"/>
        <w:rPr>
          <w:rFonts w:ascii="Arial" w:hAnsi="Arial" w:cs="Arial"/>
          <w:sz w:val="24"/>
        </w:rPr>
      </w:pPr>
    </w:p>
    <w:p w:rsidR="00E47332" w:rsidRDefault="008F7581" w:rsidP="00787E43">
      <w:pPr>
        <w:spacing w:after="0" w:line="360" w:lineRule="auto"/>
        <w:ind w:right="674"/>
        <w:jc w:val="both"/>
        <w:rPr>
          <w:rFonts w:ascii="Arial" w:eastAsia="Times New Roman" w:hAnsi="Arial" w:cs="Arial"/>
          <w:sz w:val="24"/>
          <w:szCs w:val="24"/>
        </w:rPr>
      </w:pPr>
      <w:r w:rsidRPr="00283785">
        <w:rPr>
          <w:rFonts w:ascii="Arial" w:eastAsia="Times New Roman" w:hAnsi="Arial" w:cs="Arial"/>
          <w:sz w:val="24"/>
          <w:szCs w:val="24"/>
        </w:rPr>
        <w:t>[16]</w:t>
      </w:r>
      <w:r w:rsidRPr="00283785">
        <w:rPr>
          <w:rFonts w:ascii="Arial" w:eastAsia="Times New Roman" w:hAnsi="Arial" w:cs="Arial"/>
          <w:sz w:val="24"/>
          <w:szCs w:val="24"/>
        </w:rPr>
        <w:tab/>
      </w:r>
      <w:r w:rsidR="001B1374" w:rsidRPr="00283785">
        <w:rPr>
          <w:rFonts w:ascii="Arial" w:eastAsia="Times New Roman" w:hAnsi="Arial" w:cs="Arial"/>
          <w:sz w:val="24"/>
          <w:szCs w:val="24"/>
        </w:rPr>
        <w:t>I</w:t>
      </w:r>
      <w:r w:rsidRPr="00283785">
        <w:rPr>
          <w:rFonts w:ascii="Arial" w:eastAsia="Times New Roman" w:hAnsi="Arial" w:cs="Arial"/>
          <w:sz w:val="24"/>
          <w:szCs w:val="24"/>
        </w:rPr>
        <w:t xml:space="preserve">n conclusion, </w:t>
      </w:r>
      <w:r w:rsidR="00CB35DA" w:rsidRPr="00283785">
        <w:rPr>
          <w:rFonts w:ascii="Arial" w:eastAsia="Times New Roman" w:hAnsi="Arial" w:cs="Arial"/>
          <w:sz w:val="24"/>
          <w:szCs w:val="24"/>
        </w:rPr>
        <w:t>the right of the usufruct</w:t>
      </w:r>
      <w:r w:rsidR="00B21EF4" w:rsidRPr="00283785">
        <w:rPr>
          <w:rFonts w:ascii="Arial" w:eastAsia="Times New Roman" w:hAnsi="Arial" w:cs="Arial"/>
          <w:sz w:val="24"/>
          <w:szCs w:val="24"/>
        </w:rPr>
        <w:t>u</w:t>
      </w:r>
      <w:r w:rsidR="00CB35DA" w:rsidRPr="00283785">
        <w:rPr>
          <w:rFonts w:ascii="Arial" w:eastAsia="Times New Roman" w:hAnsi="Arial" w:cs="Arial"/>
          <w:sz w:val="24"/>
          <w:szCs w:val="24"/>
        </w:rPr>
        <w:t xml:space="preserve">ary is therefore not equivalent to that of a lessee. </w:t>
      </w:r>
      <w:r w:rsidR="00E47332" w:rsidRPr="00283785">
        <w:rPr>
          <w:rFonts w:ascii="Arial" w:eastAsia="Times New Roman" w:hAnsi="Arial" w:cs="Arial"/>
          <w:sz w:val="24"/>
          <w:szCs w:val="24"/>
        </w:rPr>
        <w:t xml:space="preserve">The matter </w:t>
      </w:r>
      <w:r w:rsidR="00E47332" w:rsidRPr="00283785">
        <w:rPr>
          <w:rFonts w:ascii="Arial" w:eastAsia="Times New Roman" w:hAnsi="Arial" w:cs="Arial"/>
          <w:i/>
          <w:sz w:val="24"/>
          <w:szCs w:val="24"/>
        </w:rPr>
        <w:t>in casu</w:t>
      </w:r>
      <w:r w:rsidR="00E47332" w:rsidRPr="00283785">
        <w:rPr>
          <w:rFonts w:ascii="Arial" w:eastAsia="Times New Roman" w:hAnsi="Arial" w:cs="Arial"/>
          <w:sz w:val="24"/>
          <w:szCs w:val="24"/>
        </w:rPr>
        <w:t xml:space="preserve"> does not fall within the criteria the Court considers in terms of Rule 108(2). </w:t>
      </w:r>
    </w:p>
    <w:p w:rsidR="00787E43" w:rsidRPr="00283785" w:rsidRDefault="00787E43" w:rsidP="00787E43">
      <w:pPr>
        <w:spacing w:after="0" w:line="360" w:lineRule="auto"/>
        <w:ind w:right="674"/>
        <w:jc w:val="both"/>
        <w:rPr>
          <w:rFonts w:ascii="Arial" w:eastAsia="Times New Roman" w:hAnsi="Arial" w:cs="Arial"/>
          <w:sz w:val="24"/>
          <w:szCs w:val="24"/>
        </w:rPr>
      </w:pPr>
    </w:p>
    <w:p w:rsidR="00E47332" w:rsidRPr="00283785" w:rsidRDefault="00E47332" w:rsidP="00787E43">
      <w:pPr>
        <w:spacing w:after="0" w:line="360" w:lineRule="auto"/>
        <w:ind w:right="674"/>
        <w:contextualSpacing/>
        <w:jc w:val="both"/>
        <w:rPr>
          <w:rFonts w:ascii="Arial" w:eastAsia="Times New Roman" w:hAnsi="Arial" w:cs="Arial"/>
          <w:sz w:val="24"/>
          <w:szCs w:val="24"/>
        </w:rPr>
      </w:pPr>
      <w:r w:rsidRPr="00283785">
        <w:rPr>
          <w:rFonts w:ascii="Arial" w:eastAsia="Times New Roman" w:hAnsi="Arial" w:cs="Arial"/>
          <w:sz w:val="24"/>
          <w:szCs w:val="24"/>
        </w:rPr>
        <w:t>[17]</w:t>
      </w:r>
      <w:r w:rsidRPr="00283785">
        <w:rPr>
          <w:rFonts w:ascii="Arial" w:eastAsia="Times New Roman" w:hAnsi="Arial" w:cs="Arial"/>
          <w:sz w:val="24"/>
          <w:szCs w:val="24"/>
        </w:rPr>
        <w:tab/>
        <w:t>In the premises, the remainder of Farm Frischgewaagd No. 289 measuring 2720,8233 is indeed suitable to be sold in execution of the Judgment Debt (subject to the usufruct of Mr. Peter Kellner).</w:t>
      </w:r>
    </w:p>
    <w:p w:rsidR="00E47332" w:rsidRPr="00283785" w:rsidRDefault="00E47332" w:rsidP="00787E43">
      <w:pPr>
        <w:spacing w:after="0" w:line="360" w:lineRule="auto"/>
        <w:ind w:right="674"/>
        <w:contextualSpacing/>
        <w:jc w:val="both"/>
        <w:rPr>
          <w:rFonts w:ascii="Arial" w:eastAsia="Times New Roman" w:hAnsi="Arial" w:cs="Arial"/>
          <w:sz w:val="24"/>
          <w:szCs w:val="24"/>
        </w:rPr>
      </w:pPr>
    </w:p>
    <w:p w:rsidR="00E47332" w:rsidRPr="00283785" w:rsidRDefault="00E47332" w:rsidP="00787E43">
      <w:pPr>
        <w:spacing w:after="0" w:line="360" w:lineRule="auto"/>
        <w:ind w:right="674"/>
        <w:contextualSpacing/>
        <w:jc w:val="both"/>
        <w:rPr>
          <w:rFonts w:ascii="Arial" w:eastAsia="Times New Roman" w:hAnsi="Arial" w:cs="Arial"/>
          <w:i/>
          <w:sz w:val="24"/>
          <w:szCs w:val="24"/>
        </w:rPr>
      </w:pPr>
      <w:r w:rsidRPr="00283785">
        <w:rPr>
          <w:rFonts w:ascii="Arial" w:eastAsia="Times New Roman" w:hAnsi="Arial" w:cs="Arial"/>
          <w:i/>
          <w:sz w:val="24"/>
          <w:szCs w:val="24"/>
        </w:rPr>
        <w:t>Does the defendant have other means of settling the debt?</w:t>
      </w:r>
    </w:p>
    <w:p w:rsidR="008F7581" w:rsidRPr="00283785" w:rsidRDefault="008F7581" w:rsidP="00787E43">
      <w:pPr>
        <w:spacing w:after="0" w:line="360" w:lineRule="auto"/>
        <w:ind w:right="674"/>
        <w:contextualSpacing/>
        <w:jc w:val="both"/>
        <w:rPr>
          <w:rFonts w:ascii="Arial" w:eastAsia="Times New Roman" w:hAnsi="Arial" w:cs="Arial"/>
          <w:sz w:val="24"/>
          <w:szCs w:val="24"/>
        </w:rPr>
      </w:pPr>
    </w:p>
    <w:p w:rsidR="008F7581" w:rsidRPr="00283785" w:rsidRDefault="008F7581" w:rsidP="00787E43">
      <w:pPr>
        <w:spacing w:after="0" w:line="360" w:lineRule="auto"/>
        <w:ind w:right="674"/>
        <w:contextualSpacing/>
        <w:jc w:val="both"/>
        <w:rPr>
          <w:rFonts w:ascii="Arial" w:eastAsia="Times New Roman" w:hAnsi="Arial" w:cs="Arial"/>
          <w:sz w:val="24"/>
          <w:szCs w:val="24"/>
        </w:rPr>
      </w:pPr>
      <w:r w:rsidRPr="00283785">
        <w:rPr>
          <w:rFonts w:ascii="Arial" w:eastAsia="Times New Roman" w:hAnsi="Arial" w:cs="Arial"/>
          <w:sz w:val="24"/>
          <w:szCs w:val="24"/>
        </w:rPr>
        <w:t>[1</w:t>
      </w:r>
      <w:r w:rsidR="00E47332" w:rsidRPr="00283785">
        <w:rPr>
          <w:rFonts w:ascii="Arial" w:eastAsia="Times New Roman" w:hAnsi="Arial" w:cs="Arial"/>
          <w:sz w:val="24"/>
          <w:szCs w:val="24"/>
        </w:rPr>
        <w:t>8</w:t>
      </w:r>
      <w:r w:rsidRPr="00283785">
        <w:rPr>
          <w:rFonts w:ascii="Arial" w:eastAsia="Times New Roman" w:hAnsi="Arial" w:cs="Arial"/>
          <w:sz w:val="24"/>
          <w:szCs w:val="24"/>
        </w:rPr>
        <w:t>]</w:t>
      </w:r>
      <w:r w:rsidRPr="00283785">
        <w:rPr>
          <w:rFonts w:ascii="Arial" w:eastAsia="Times New Roman" w:hAnsi="Arial" w:cs="Arial"/>
          <w:sz w:val="24"/>
          <w:szCs w:val="24"/>
        </w:rPr>
        <w:tab/>
        <w:t>Reference was again made in court of funds that are due to be transferred in favor of the defendant but same has not come to fruition and there is nothing in support of the contentions of the legal practitioner action on behalf of the defendant. Therefore there appears to exist no other reasonable way in which the Respondent can settle the Judgment debt</w:t>
      </w:r>
      <w:r w:rsidR="00822229" w:rsidRPr="00283785">
        <w:rPr>
          <w:rFonts w:ascii="Arial" w:eastAsia="Times New Roman" w:hAnsi="Arial" w:cs="Arial"/>
          <w:sz w:val="24"/>
          <w:szCs w:val="24"/>
        </w:rPr>
        <w:t>.</w:t>
      </w:r>
    </w:p>
    <w:p w:rsidR="001B1374" w:rsidRPr="00283785" w:rsidRDefault="001B1374" w:rsidP="00787E43">
      <w:pPr>
        <w:spacing w:after="0" w:line="360" w:lineRule="auto"/>
        <w:ind w:right="674"/>
        <w:contextualSpacing/>
        <w:jc w:val="both"/>
        <w:rPr>
          <w:rFonts w:ascii="Arial" w:eastAsia="Times New Roman" w:hAnsi="Arial" w:cs="Arial"/>
          <w:sz w:val="24"/>
          <w:szCs w:val="24"/>
        </w:rPr>
      </w:pPr>
    </w:p>
    <w:p w:rsidR="00003B7F" w:rsidRDefault="001B1374" w:rsidP="00787E43">
      <w:pPr>
        <w:spacing w:after="0" w:line="360" w:lineRule="auto"/>
        <w:ind w:right="674"/>
        <w:contextualSpacing/>
        <w:jc w:val="both"/>
        <w:rPr>
          <w:rFonts w:ascii="Arial" w:eastAsia="Times New Roman" w:hAnsi="Arial" w:cs="Arial"/>
          <w:sz w:val="24"/>
          <w:szCs w:val="24"/>
        </w:rPr>
      </w:pPr>
      <w:r w:rsidRPr="00283785">
        <w:rPr>
          <w:rFonts w:ascii="Arial" w:eastAsia="Times New Roman" w:hAnsi="Arial" w:cs="Arial"/>
          <w:sz w:val="24"/>
          <w:szCs w:val="24"/>
        </w:rPr>
        <w:lastRenderedPageBreak/>
        <w:t>[1</w:t>
      </w:r>
      <w:r w:rsidR="00E47332" w:rsidRPr="00283785">
        <w:rPr>
          <w:rFonts w:ascii="Arial" w:eastAsia="Times New Roman" w:hAnsi="Arial" w:cs="Arial"/>
          <w:sz w:val="24"/>
          <w:szCs w:val="24"/>
        </w:rPr>
        <w:t>9</w:t>
      </w:r>
      <w:r w:rsidRPr="00283785">
        <w:rPr>
          <w:rFonts w:ascii="Arial" w:eastAsia="Times New Roman" w:hAnsi="Arial" w:cs="Arial"/>
          <w:sz w:val="24"/>
          <w:szCs w:val="24"/>
        </w:rPr>
        <w:t>]</w:t>
      </w:r>
      <w:r w:rsidRPr="00283785">
        <w:rPr>
          <w:rFonts w:ascii="Arial" w:eastAsia="Times New Roman" w:hAnsi="Arial" w:cs="Arial"/>
          <w:sz w:val="24"/>
          <w:szCs w:val="24"/>
        </w:rPr>
        <w:tab/>
        <w:t xml:space="preserve">Without any submissions made to the contrary, this court </w:t>
      </w:r>
      <w:r w:rsidR="00C761BB" w:rsidRPr="00283785">
        <w:rPr>
          <w:rFonts w:ascii="Arial" w:eastAsia="Times New Roman" w:hAnsi="Arial" w:cs="Arial"/>
          <w:sz w:val="24"/>
          <w:szCs w:val="24"/>
        </w:rPr>
        <w:t xml:space="preserve">orders as follows: </w:t>
      </w:r>
    </w:p>
    <w:p w:rsidR="00787E43" w:rsidRPr="00283785" w:rsidRDefault="00787E43" w:rsidP="00787E43">
      <w:pPr>
        <w:spacing w:after="0" w:line="360" w:lineRule="auto"/>
        <w:ind w:right="674"/>
        <w:contextualSpacing/>
        <w:jc w:val="both"/>
        <w:rPr>
          <w:rFonts w:ascii="Arial" w:eastAsia="Times New Roman" w:hAnsi="Arial" w:cs="Arial"/>
          <w:sz w:val="24"/>
          <w:szCs w:val="24"/>
        </w:rPr>
      </w:pPr>
    </w:p>
    <w:p w:rsidR="00C761BB" w:rsidRDefault="00C761BB" w:rsidP="00787E43">
      <w:pPr>
        <w:pStyle w:val="bold"/>
        <w:numPr>
          <w:ilvl w:val="0"/>
          <w:numId w:val="5"/>
        </w:numPr>
        <w:spacing w:before="0" w:beforeAutospacing="0" w:after="0" w:afterAutospacing="0" w:line="360" w:lineRule="auto"/>
        <w:ind w:hanging="825"/>
        <w:jc w:val="both"/>
        <w:rPr>
          <w:rFonts w:ascii="Arial" w:hAnsi="Arial" w:cs="Arial"/>
        </w:rPr>
      </w:pPr>
      <w:r w:rsidRPr="00283785">
        <w:rPr>
          <w:rFonts w:ascii="Arial" w:hAnsi="Arial" w:cs="Arial"/>
        </w:rPr>
        <w:t>The property known as the Remainder of Farm Frischgewaagd No. 289, Registration Division "K" measuring:  2720,8233 Hectares held by Deed of Transfer No. T411/2000 is declared as specially executable.</w:t>
      </w:r>
    </w:p>
    <w:p w:rsidR="00787E43" w:rsidRPr="00283785" w:rsidRDefault="00787E43" w:rsidP="00787E43">
      <w:pPr>
        <w:pStyle w:val="bold"/>
        <w:spacing w:before="0" w:beforeAutospacing="0" w:after="0" w:afterAutospacing="0" w:line="360" w:lineRule="auto"/>
        <w:ind w:left="825"/>
        <w:jc w:val="both"/>
        <w:rPr>
          <w:rFonts w:ascii="Arial" w:hAnsi="Arial" w:cs="Arial"/>
        </w:rPr>
      </w:pPr>
    </w:p>
    <w:p w:rsidR="00C761BB" w:rsidRDefault="00C761BB" w:rsidP="00787E43">
      <w:pPr>
        <w:pStyle w:val="bold"/>
        <w:numPr>
          <w:ilvl w:val="0"/>
          <w:numId w:val="5"/>
        </w:numPr>
        <w:spacing w:before="0" w:beforeAutospacing="0" w:after="0" w:afterAutospacing="0" w:line="360" w:lineRule="auto"/>
        <w:ind w:hanging="825"/>
        <w:jc w:val="both"/>
        <w:rPr>
          <w:rFonts w:ascii="Arial" w:hAnsi="Arial" w:cs="Arial"/>
        </w:rPr>
      </w:pPr>
      <w:r w:rsidRPr="00283785">
        <w:rPr>
          <w:rFonts w:ascii="Arial" w:hAnsi="Arial" w:cs="Arial"/>
        </w:rPr>
        <w:t>Costs of suit.</w:t>
      </w:r>
    </w:p>
    <w:p w:rsidR="00787E43" w:rsidRPr="00283785" w:rsidRDefault="00787E43" w:rsidP="00787E43">
      <w:pPr>
        <w:pStyle w:val="bold"/>
        <w:spacing w:before="0" w:beforeAutospacing="0" w:after="0" w:afterAutospacing="0" w:line="360" w:lineRule="auto"/>
        <w:jc w:val="both"/>
        <w:rPr>
          <w:rFonts w:ascii="Arial" w:hAnsi="Arial" w:cs="Arial"/>
        </w:rPr>
      </w:pPr>
    </w:p>
    <w:p w:rsidR="00C761BB" w:rsidRPr="00283785" w:rsidRDefault="00C761BB" w:rsidP="00787E43">
      <w:pPr>
        <w:pStyle w:val="bold"/>
        <w:spacing w:before="0" w:beforeAutospacing="0" w:after="0" w:afterAutospacing="0" w:line="360" w:lineRule="auto"/>
        <w:ind w:left="900" w:hanging="900"/>
        <w:jc w:val="both"/>
        <w:rPr>
          <w:rFonts w:ascii="Arial" w:hAnsi="Arial" w:cs="Arial"/>
        </w:rPr>
      </w:pPr>
      <w:r w:rsidRPr="00283785">
        <w:rPr>
          <w:rFonts w:ascii="Arial" w:hAnsi="Arial" w:cs="Arial"/>
        </w:rPr>
        <w:t xml:space="preserve">3.    </w:t>
      </w:r>
      <w:r w:rsidR="00787E43">
        <w:rPr>
          <w:rFonts w:ascii="Arial" w:hAnsi="Arial" w:cs="Arial"/>
        </w:rPr>
        <w:tab/>
      </w:r>
      <w:r w:rsidRPr="00283785">
        <w:rPr>
          <w:rFonts w:ascii="Arial" w:hAnsi="Arial" w:cs="Arial"/>
        </w:rPr>
        <w:t>Matter is removed from the roll</w:t>
      </w:r>
      <w:r w:rsidR="00822229" w:rsidRPr="00283785">
        <w:rPr>
          <w:rFonts w:ascii="Arial" w:hAnsi="Arial" w:cs="Arial"/>
        </w:rPr>
        <w:t>.</w:t>
      </w:r>
    </w:p>
    <w:p w:rsidR="00C761BB" w:rsidRPr="00283785" w:rsidRDefault="00C761BB" w:rsidP="00787E43">
      <w:pPr>
        <w:spacing w:after="0" w:line="360" w:lineRule="auto"/>
        <w:ind w:right="674"/>
        <w:contextualSpacing/>
        <w:jc w:val="both"/>
        <w:rPr>
          <w:rFonts w:ascii="Arial" w:eastAsia="Times New Roman" w:hAnsi="Arial" w:cs="Arial"/>
          <w:sz w:val="24"/>
          <w:szCs w:val="24"/>
        </w:rPr>
      </w:pPr>
    </w:p>
    <w:p w:rsidR="00C464C8" w:rsidRPr="00C464C8" w:rsidRDefault="00C464C8" w:rsidP="00D343F0">
      <w:pPr>
        <w:spacing w:after="0" w:line="360" w:lineRule="auto"/>
        <w:jc w:val="right"/>
        <w:rPr>
          <w:rFonts w:ascii="Arial" w:eastAsia="Calibri" w:hAnsi="Arial" w:cs="Arial"/>
          <w:sz w:val="24"/>
          <w:szCs w:val="24"/>
        </w:rPr>
      </w:pPr>
      <w:r w:rsidRPr="00C464C8">
        <w:rPr>
          <w:rFonts w:ascii="Arial" w:eastAsia="Calibri" w:hAnsi="Arial" w:cs="Arial"/>
          <w:sz w:val="24"/>
          <w:szCs w:val="24"/>
        </w:rPr>
        <w:t>----------------------------------</w:t>
      </w:r>
    </w:p>
    <w:p w:rsidR="00C464C8" w:rsidRPr="00C464C8" w:rsidRDefault="00C464C8" w:rsidP="00D343F0">
      <w:pPr>
        <w:tabs>
          <w:tab w:val="left" w:pos="6300"/>
        </w:tabs>
        <w:spacing w:after="0" w:line="360" w:lineRule="auto"/>
        <w:ind w:left="4320" w:firstLine="720"/>
        <w:rPr>
          <w:rFonts w:ascii="Arial" w:eastAsia="Calibri" w:hAnsi="Arial" w:cs="Arial"/>
          <w:sz w:val="24"/>
          <w:szCs w:val="24"/>
        </w:rPr>
      </w:pPr>
      <w:r w:rsidRPr="00C464C8">
        <w:rPr>
          <w:rFonts w:ascii="Arial" w:eastAsia="Calibri" w:hAnsi="Arial" w:cs="Arial"/>
          <w:sz w:val="24"/>
          <w:szCs w:val="24"/>
        </w:rPr>
        <w:t xml:space="preserve">                   </w:t>
      </w:r>
      <w:r>
        <w:rPr>
          <w:rFonts w:ascii="Arial" w:eastAsia="Calibri" w:hAnsi="Arial" w:cs="Arial"/>
          <w:sz w:val="24"/>
          <w:szCs w:val="24"/>
        </w:rPr>
        <w:t xml:space="preserve">     </w:t>
      </w:r>
      <w:r w:rsidRPr="00C464C8">
        <w:rPr>
          <w:rFonts w:ascii="Arial" w:eastAsia="Calibri" w:hAnsi="Arial" w:cs="Arial"/>
          <w:sz w:val="24"/>
          <w:szCs w:val="24"/>
        </w:rPr>
        <w:t>JS Prinsloo</w:t>
      </w:r>
    </w:p>
    <w:p w:rsidR="00C464C8" w:rsidRPr="00C464C8" w:rsidRDefault="00C464C8" w:rsidP="00D343F0">
      <w:pPr>
        <w:tabs>
          <w:tab w:val="left" w:pos="6300"/>
          <w:tab w:val="left" w:pos="6390"/>
          <w:tab w:val="left" w:pos="6480"/>
        </w:tabs>
        <w:spacing w:after="0" w:line="360" w:lineRule="auto"/>
        <w:ind w:left="4320" w:firstLine="720"/>
        <w:rPr>
          <w:rFonts w:ascii="Arial" w:eastAsia="Calibri" w:hAnsi="Arial" w:cs="Arial"/>
          <w:sz w:val="24"/>
          <w:szCs w:val="24"/>
        </w:rPr>
      </w:pPr>
      <w:r w:rsidRPr="00C464C8">
        <w:rPr>
          <w:rFonts w:ascii="Arial" w:eastAsia="Calibri" w:hAnsi="Arial" w:cs="Arial"/>
          <w:sz w:val="24"/>
          <w:szCs w:val="24"/>
        </w:rPr>
        <w:t xml:space="preserve">                   </w:t>
      </w:r>
      <w:r>
        <w:rPr>
          <w:rFonts w:ascii="Arial" w:eastAsia="Calibri" w:hAnsi="Arial" w:cs="Arial"/>
          <w:sz w:val="24"/>
          <w:szCs w:val="24"/>
        </w:rPr>
        <w:t xml:space="preserve">     </w:t>
      </w:r>
      <w:r w:rsidRPr="00C464C8">
        <w:rPr>
          <w:rFonts w:ascii="Arial" w:eastAsia="Calibri" w:hAnsi="Arial" w:cs="Arial"/>
          <w:sz w:val="24"/>
          <w:szCs w:val="24"/>
        </w:rPr>
        <w:t>Judge</w:t>
      </w:r>
    </w:p>
    <w:p w:rsidR="00B27F6D" w:rsidRDefault="00787E43" w:rsidP="00787E43">
      <w:pPr>
        <w:spacing w:after="0" w:line="360" w:lineRule="auto"/>
        <w:ind w:right="674"/>
        <w:contextualSpacing/>
        <w:jc w:val="right"/>
        <w:rPr>
          <w:rFonts w:ascii="Arial" w:hAnsi="Arial" w:cs="Arial"/>
        </w:rPr>
      </w:pPr>
      <w:r>
        <w:rPr>
          <w:rFonts w:ascii="Arial" w:hAnsi="Arial" w:cs="Arial"/>
        </w:rPr>
        <w:t xml:space="preserve"> </w:t>
      </w:r>
    </w:p>
    <w:p w:rsidR="007F56FC" w:rsidRDefault="007F56FC" w:rsidP="00787E43">
      <w:pPr>
        <w:spacing w:after="0" w:line="360" w:lineRule="auto"/>
        <w:ind w:right="674"/>
        <w:contextualSpacing/>
        <w:jc w:val="right"/>
        <w:rPr>
          <w:rFonts w:ascii="Arial" w:hAnsi="Arial" w:cs="Arial"/>
        </w:rPr>
      </w:pPr>
    </w:p>
    <w:p w:rsidR="007F56FC" w:rsidRDefault="007F56FC" w:rsidP="00787E43">
      <w:pPr>
        <w:spacing w:after="0" w:line="360" w:lineRule="auto"/>
        <w:ind w:right="674"/>
        <w:contextualSpacing/>
        <w:rPr>
          <w:rFonts w:ascii="Arial" w:hAnsi="Arial" w:cs="Arial"/>
        </w:rPr>
      </w:pPr>
    </w:p>
    <w:p w:rsidR="007F56FC" w:rsidRDefault="007F56FC" w:rsidP="00787E43">
      <w:pPr>
        <w:spacing w:after="0" w:line="360" w:lineRule="auto"/>
        <w:ind w:right="674"/>
        <w:contextualSpacing/>
        <w:rPr>
          <w:rFonts w:ascii="Arial" w:hAnsi="Arial" w:cs="Arial"/>
        </w:rPr>
      </w:pPr>
    </w:p>
    <w:p w:rsidR="007F56FC" w:rsidRDefault="007F56FC" w:rsidP="00787E43">
      <w:pPr>
        <w:spacing w:after="0" w:line="360" w:lineRule="auto"/>
        <w:ind w:right="674"/>
        <w:contextualSpacing/>
        <w:rPr>
          <w:rFonts w:ascii="Arial" w:hAnsi="Arial" w:cs="Arial"/>
        </w:rPr>
      </w:pPr>
    </w:p>
    <w:p w:rsidR="007F56FC" w:rsidRDefault="007F56FC" w:rsidP="00787E43">
      <w:pPr>
        <w:spacing w:after="0" w:line="360" w:lineRule="auto"/>
        <w:ind w:right="674"/>
        <w:contextualSpacing/>
        <w:rPr>
          <w:rFonts w:ascii="Arial" w:hAnsi="Arial" w:cs="Arial"/>
        </w:rPr>
      </w:pPr>
    </w:p>
    <w:p w:rsidR="007F56FC" w:rsidRDefault="007F56FC" w:rsidP="00787E43">
      <w:pPr>
        <w:spacing w:after="0" w:line="360" w:lineRule="auto"/>
        <w:ind w:right="674"/>
        <w:contextualSpacing/>
        <w:rPr>
          <w:rFonts w:ascii="Arial" w:hAnsi="Arial" w:cs="Arial"/>
        </w:rPr>
      </w:pPr>
    </w:p>
    <w:p w:rsidR="007F56FC" w:rsidRDefault="007F56FC" w:rsidP="00787E43">
      <w:pPr>
        <w:spacing w:after="0" w:line="360" w:lineRule="auto"/>
        <w:ind w:right="674"/>
        <w:contextualSpacing/>
        <w:rPr>
          <w:rFonts w:ascii="Arial" w:hAnsi="Arial" w:cs="Arial"/>
        </w:rPr>
      </w:pPr>
    </w:p>
    <w:p w:rsidR="007F56FC" w:rsidRDefault="007F56FC" w:rsidP="00787E43">
      <w:pPr>
        <w:spacing w:after="0" w:line="360" w:lineRule="auto"/>
        <w:ind w:right="674"/>
        <w:contextualSpacing/>
        <w:rPr>
          <w:rFonts w:ascii="Arial" w:hAnsi="Arial" w:cs="Arial"/>
        </w:rPr>
      </w:pPr>
    </w:p>
    <w:p w:rsidR="007F56FC" w:rsidRDefault="007F56FC" w:rsidP="00787E43">
      <w:pPr>
        <w:spacing w:after="0" w:line="360" w:lineRule="auto"/>
        <w:ind w:right="674"/>
        <w:contextualSpacing/>
        <w:rPr>
          <w:rFonts w:ascii="Arial" w:hAnsi="Arial" w:cs="Arial"/>
        </w:rPr>
      </w:pPr>
    </w:p>
    <w:p w:rsidR="007F56FC" w:rsidRDefault="007F56FC" w:rsidP="00787E43">
      <w:pPr>
        <w:spacing w:after="0" w:line="360" w:lineRule="auto"/>
        <w:ind w:right="674"/>
        <w:contextualSpacing/>
        <w:rPr>
          <w:rFonts w:ascii="Arial" w:hAnsi="Arial" w:cs="Arial"/>
        </w:rPr>
      </w:pPr>
    </w:p>
    <w:p w:rsidR="007F56FC" w:rsidRDefault="007F56FC" w:rsidP="00787E43">
      <w:pPr>
        <w:spacing w:after="0" w:line="360" w:lineRule="auto"/>
        <w:ind w:right="674"/>
        <w:contextualSpacing/>
        <w:rPr>
          <w:rFonts w:ascii="Arial" w:hAnsi="Arial" w:cs="Arial"/>
        </w:rPr>
      </w:pPr>
    </w:p>
    <w:p w:rsidR="007F56FC" w:rsidRDefault="007F56FC" w:rsidP="00787E43">
      <w:pPr>
        <w:spacing w:after="0" w:line="360" w:lineRule="auto"/>
        <w:ind w:right="674"/>
        <w:contextualSpacing/>
        <w:rPr>
          <w:rFonts w:ascii="Arial" w:hAnsi="Arial" w:cs="Arial"/>
        </w:rPr>
      </w:pPr>
    </w:p>
    <w:p w:rsidR="007F56FC" w:rsidRDefault="007F56FC" w:rsidP="00787E43">
      <w:pPr>
        <w:spacing w:after="0" w:line="360" w:lineRule="auto"/>
        <w:ind w:right="674"/>
        <w:contextualSpacing/>
        <w:rPr>
          <w:rFonts w:ascii="Arial" w:hAnsi="Arial" w:cs="Arial"/>
        </w:rPr>
      </w:pPr>
    </w:p>
    <w:p w:rsidR="007F56FC" w:rsidRDefault="007F56FC" w:rsidP="00787E43">
      <w:pPr>
        <w:spacing w:after="0" w:line="360" w:lineRule="auto"/>
        <w:ind w:right="674"/>
        <w:contextualSpacing/>
        <w:rPr>
          <w:rFonts w:ascii="Arial" w:hAnsi="Arial" w:cs="Arial"/>
        </w:rPr>
      </w:pPr>
    </w:p>
    <w:p w:rsidR="007F56FC" w:rsidRDefault="007F56FC" w:rsidP="00787E43">
      <w:pPr>
        <w:spacing w:after="0" w:line="360" w:lineRule="auto"/>
        <w:ind w:right="674"/>
        <w:contextualSpacing/>
        <w:rPr>
          <w:rFonts w:ascii="Arial" w:hAnsi="Arial" w:cs="Arial"/>
        </w:rPr>
      </w:pPr>
    </w:p>
    <w:p w:rsidR="007F56FC" w:rsidRDefault="007F56FC" w:rsidP="00787E43">
      <w:pPr>
        <w:spacing w:after="0" w:line="360" w:lineRule="auto"/>
        <w:ind w:right="674"/>
        <w:contextualSpacing/>
        <w:rPr>
          <w:rFonts w:ascii="Arial" w:hAnsi="Arial" w:cs="Arial"/>
        </w:rPr>
      </w:pPr>
    </w:p>
    <w:p w:rsidR="007F56FC" w:rsidRDefault="007F56FC" w:rsidP="00787E43">
      <w:pPr>
        <w:spacing w:after="0" w:line="360" w:lineRule="auto"/>
        <w:ind w:right="674"/>
        <w:contextualSpacing/>
        <w:rPr>
          <w:rFonts w:ascii="Arial" w:hAnsi="Arial" w:cs="Arial"/>
        </w:rPr>
      </w:pPr>
    </w:p>
    <w:p w:rsidR="007F56FC" w:rsidRDefault="007F56FC" w:rsidP="00787E43">
      <w:pPr>
        <w:spacing w:after="0" w:line="360" w:lineRule="auto"/>
        <w:ind w:right="674"/>
        <w:contextualSpacing/>
        <w:rPr>
          <w:rFonts w:ascii="Arial" w:hAnsi="Arial" w:cs="Arial"/>
        </w:rPr>
      </w:pPr>
    </w:p>
    <w:p w:rsidR="007F56FC" w:rsidRDefault="007F56FC" w:rsidP="00787E43">
      <w:pPr>
        <w:spacing w:after="0" w:line="360" w:lineRule="auto"/>
        <w:ind w:right="674"/>
        <w:contextualSpacing/>
        <w:rPr>
          <w:rFonts w:ascii="Arial" w:hAnsi="Arial" w:cs="Arial"/>
        </w:rPr>
      </w:pPr>
    </w:p>
    <w:p w:rsidR="007F56FC" w:rsidRDefault="007F56FC" w:rsidP="00787E43">
      <w:pPr>
        <w:spacing w:after="0" w:line="360" w:lineRule="auto"/>
        <w:ind w:right="674"/>
        <w:contextualSpacing/>
        <w:rPr>
          <w:rFonts w:ascii="Arial" w:hAnsi="Arial" w:cs="Arial"/>
        </w:rPr>
      </w:pPr>
    </w:p>
    <w:p w:rsidR="007F56FC" w:rsidRDefault="007F56FC" w:rsidP="00787E43">
      <w:pPr>
        <w:spacing w:after="0" w:line="360" w:lineRule="auto"/>
        <w:ind w:right="674"/>
        <w:contextualSpacing/>
        <w:rPr>
          <w:rFonts w:ascii="Arial" w:hAnsi="Arial" w:cs="Arial"/>
        </w:rPr>
      </w:pPr>
    </w:p>
    <w:p w:rsidR="007F56FC" w:rsidRDefault="007F56FC" w:rsidP="00787E43">
      <w:pPr>
        <w:spacing w:after="0" w:line="360" w:lineRule="auto"/>
        <w:ind w:right="674"/>
        <w:contextualSpacing/>
        <w:rPr>
          <w:rFonts w:ascii="Arial" w:hAnsi="Arial" w:cs="Arial"/>
        </w:rPr>
      </w:pPr>
    </w:p>
    <w:p w:rsidR="007F56FC" w:rsidRDefault="007F56FC" w:rsidP="00787E43">
      <w:pPr>
        <w:spacing w:after="0" w:line="360" w:lineRule="auto"/>
        <w:ind w:right="674"/>
        <w:contextualSpacing/>
        <w:rPr>
          <w:rFonts w:ascii="Arial" w:hAnsi="Arial" w:cs="Arial"/>
        </w:rPr>
      </w:pPr>
    </w:p>
    <w:p w:rsidR="007F56FC" w:rsidRPr="00787E43" w:rsidRDefault="007F56FC" w:rsidP="00787E43">
      <w:pPr>
        <w:spacing w:after="0" w:line="360" w:lineRule="auto"/>
        <w:ind w:right="674"/>
        <w:contextualSpacing/>
        <w:jc w:val="both"/>
        <w:rPr>
          <w:rFonts w:ascii="Arial" w:hAnsi="Arial" w:cs="Arial"/>
          <w:sz w:val="24"/>
          <w:szCs w:val="24"/>
        </w:rPr>
      </w:pPr>
      <w:r w:rsidRPr="00787E43">
        <w:rPr>
          <w:rFonts w:ascii="Arial" w:hAnsi="Arial" w:cs="Arial"/>
          <w:sz w:val="24"/>
          <w:szCs w:val="24"/>
        </w:rPr>
        <w:t>APPEARANCES:</w:t>
      </w:r>
    </w:p>
    <w:p w:rsidR="007F56FC" w:rsidRPr="00787E43" w:rsidRDefault="007F56FC" w:rsidP="00787E43">
      <w:pPr>
        <w:spacing w:after="0" w:line="360" w:lineRule="auto"/>
        <w:ind w:right="674"/>
        <w:contextualSpacing/>
        <w:jc w:val="both"/>
        <w:rPr>
          <w:rFonts w:ascii="Arial" w:hAnsi="Arial" w:cs="Arial"/>
          <w:sz w:val="24"/>
          <w:szCs w:val="24"/>
        </w:rPr>
      </w:pPr>
    </w:p>
    <w:p w:rsidR="007F56FC" w:rsidRPr="00787E43" w:rsidRDefault="007F56FC" w:rsidP="00787E43">
      <w:pPr>
        <w:spacing w:after="0" w:line="360" w:lineRule="auto"/>
        <w:contextualSpacing/>
        <w:jc w:val="both"/>
        <w:rPr>
          <w:rFonts w:ascii="Arial" w:hAnsi="Arial" w:cs="Arial"/>
          <w:sz w:val="24"/>
          <w:szCs w:val="24"/>
        </w:rPr>
      </w:pPr>
      <w:r w:rsidRPr="00787E43">
        <w:rPr>
          <w:rFonts w:ascii="Arial" w:hAnsi="Arial" w:cs="Arial"/>
          <w:sz w:val="24"/>
          <w:szCs w:val="24"/>
        </w:rPr>
        <w:t>APPLICANT:</w:t>
      </w:r>
      <w:r w:rsidR="00787E43" w:rsidRPr="00787E43">
        <w:rPr>
          <w:rFonts w:ascii="Arial" w:hAnsi="Arial" w:cs="Arial"/>
          <w:sz w:val="24"/>
          <w:szCs w:val="24"/>
        </w:rPr>
        <w:tab/>
      </w:r>
      <w:r w:rsidR="00787E43" w:rsidRPr="00787E43">
        <w:rPr>
          <w:rFonts w:ascii="Arial" w:hAnsi="Arial" w:cs="Arial"/>
          <w:sz w:val="24"/>
          <w:szCs w:val="24"/>
        </w:rPr>
        <w:tab/>
      </w:r>
      <w:r w:rsidR="00787E43" w:rsidRPr="00787E43">
        <w:rPr>
          <w:rFonts w:ascii="Arial" w:hAnsi="Arial" w:cs="Arial"/>
          <w:sz w:val="24"/>
          <w:szCs w:val="24"/>
        </w:rPr>
        <w:tab/>
      </w:r>
      <w:r w:rsidR="00787E43" w:rsidRPr="00787E43">
        <w:rPr>
          <w:rFonts w:ascii="Arial" w:hAnsi="Arial" w:cs="Arial"/>
          <w:sz w:val="24"/>
          <w:szCs w:val="24"/>
        </w:rPr>
        <w:tab/>
      </w:r>
      <w:r w:rsidR="00277362" w:rsidRPr="00787E43">
        <w:rPr>
          <w:rFonts w:ascii="Arial" w:hAnsi="Arial" w:cs="Arial"/>
          <w:sz w:val="24"/>
          <w:szCs w:val="24"/>
        </w:rPr>
        <w:t>C J T H</w:t>
      </w:r>
      <w:r w:rsidR="00787E43" w:rsidRPr="00787E43">
        <w:rPr>
          <w:rFonts w:ascii="Arial" w:hAnsi="Arial" w:cs="Arial"/>
          <w:sz w:val="24"/>
          <w:szCs w:val="24"/>
        </w:rPr>
        <w:t>arases</w:t>
      </w:r>
    </w:p>
    <w:p w:rsidR="00277362" w:rsidRPr="00787E43" w:rsidRDefault="00787E43" w:rsidP="00787E43">
      <w:pPr>
        <w:spacing w:after="0" w:line="360" w:lineRule="auto"/>
        <w:ind w:left="2880" w:firstLine="720"/>
        <w:contextualSpacing/>
        <w:jc w:val="both"/>
        <w:rPr>
          <w:rFonts w:ascii="Arial" w:hAnsi="Arial" w:cs="Arial"/>
          <w:sz w:val="24"/>
          <w:szCs w:val="24"/>
        </w:rPr>
      </w:pPr>
      <w:r w:rsidRPr="00787E43">
        <w:rPr>
          <w:rFonts w:ascii="Arial" w:hAnsi="Arial" w:cs="Arial"/>
          <w:sz w:val="24"/>
          <w:szCs w:val="24"/>
        </w:rPr>
        <w:t xml:space="preserve">Of </w:t>
      </w:r>
      <w:r w:rsidR="00277362" w:rsidRPr="00787E43">
        <w:rPr>
          <w:rFonts w:ascii="Arial" w:hAnsi="Arial" w:cs="Arial"/>
          <w:sz w:val="24"/>
          <w:szCs w:val="24"/>
        </w:rPr>
        <w:t>Kangueehi &amp; Kavendjii Inc.</w:t>
      </w:r>
      <w:r w:rsidRPr="00787E43">
        <w:rPr>
          <w:rFonts w:ascii="Arial" w:hAnsi="Arial" w:cs="Arial"/>
          <w:sz w:val="24"/>
          <w:szCs w:val="24"/>
        </w:rPr>
        <w:t>, Windhoek</w:t>
      </w:r>
    </w:p>
    <w:p w:rsidR="007F56FC" w:rsidRPr="00787E43" w:rsidRDefault="007F56FC" w:rsidP="00787E43">
      <w:pPr>
        <w:spacing w:after="0" w:line="360" w:lineRule="auto"/>
        <w:ind w:right="674"/>
        <w:contextualSpacing/>
        <w:jc w:val="both"/>
        <w:rPr>
          <w:rFonts w:ascii="Arial" w:hAnsi="Arial" w:cs="Arial"/>
          <w:sz w:val="24"/>
          <w:szCs w:val="24"/>
        </w:rPr>
      </w:pPr>
    </w:p>
    <w:p w:rsidR="007F56FC" w:rsidRPr="00787E43" w:rsidRDefault="007F56FC" w:rsidP="00787E43">
      <w:pPr>
        <w:spacing w:after="0" w:line="360" w:lineRule="auto"/>
        <w:ind w:right="674"/>
        <w:contextualSpacing/>
        <w:jc w:val="both"/>
        <w:rPr>
          <w:rFonts w:ascii="Arial" w:hAnsi="Arial" w:cs="Arial"/>
          <w:sz w:val="24"/>
          <w:szCs w:val="24"/>
        </w:rPr>
      </w:pPr>
    </w:p>
    <w:p w:rsidR="007F56FC" w:rsidRPr="00787E43" w:rsidRDefault="007F56FC" w:rsidP="00787E43">
      <w:pPr>
        <w:spacing w:after="0" w:line="360" w:lineRule="auto"/>
        <w:ind w:right="674"/>
        <w:contextualSpacing/>
        <w:jc w:val="both"/>
        <w:rPr>
          <w:rFonts w:ascii="Arial" w:hAnsi="Arial" w:cs="Arial"/>
          <w:sz w:val="24"/>
          <w:szCs w:val="24"/>
        </w:rPr>
      </w:pPr>
    </w:p>
    <w:p w:rsidR="007F56FC" w:rsidRPr="00787E43" w:rsidRDefault="007F56FC" w:rsidP="00787E43">
      <w:pPr>
        <w:spacing w:after="0" w:line="360" w:lineRule="auto"/>
        <w:contextualSpacing/>
        <w:jc w:val="both"/>
        <w:rPr>
          <w:rFonts w:ascii="Arial" w:hAnsi="Arial" w:cs="Arial"/>
          <w:sz w:val="24"/>
          <w:szCs w:val="24"/>
        </w:rPr>
      </w:pPr>
      <w:r w:rsidRPr="00787E43">
        <w:rPr>
          <w:rFonts w:ascii="Arial" w:hAnsi="Arial" w:cs="Arial"/>
          <w:sz w:val="24"/>
          <w:szCs w:val="24"/>
        </w:rPr>
        <w:t xml:space="preserve">RESPONDENT: </w:t>
      </w:r>
      <w:r w:rsidR="00787E43">
        <w:rPr>
          <w:rFonts w:ascii="Arial" w:hAnsi="Arial" w:cs="Arial"/>
          <w:sz w:val="24"/>
          <w:szCs w:val="24"/>
        </w:rPr>
        <w:tab/>
      </w:r>
      <w:r w:rsidR="00787E43">
        <w:rPr>
          <w:rFonts w:ascii="Arial" w:hAnsi="Arial" w:cs="Arial"/>
          <w:sz w:val="24"/>
          <w:szCs w:val="24"/>
        </w:rPr>
        <w:tab/>
      </w:r>
      <w:r w:rsidR="00787E43">
        <w:rPr>
          <w:rFonts w:ascii="Arial" w:hAnsi="Arial" w:cs="Arial"/>
          <w:sz w:val="24"/>
          <w:szCs w:val="24"/>
        </w:rPr>
        <w:tab/>
      </w:r>
      <w:r w:rsidR="0070028A" w:rsidRPr="00787E43">
        <w:rPr>
          <w:rFonts w:ascii="Arial" w:hAnsi="Arial" w:cs="Arial"/>
          <w:sz w:val="24"/>
          <w:szCs w:val="24"/>
        </w:rPr>
        <w:t>F B</w:t>
      </w:r>
      <w:r w:rsidR="00787E43" w:rsidRPr="00787E43">
        <w:rPr>
          <w:rFonts w:ascii="Arial" w:hAnsi="Arial" w:cs="Arial"/>
          <w:sz w:val="24"/>
          <w:szCs w:val="24"/>
        </w:rPr>
        <w:t>randt</w:t>
      </w:r>
    </w:p>
    <w:p w:rsidR="0070028A" w:rsidRPr="00283785" w:rsidRDefault="0076681E" w:rsidP="00787E43">
      <w:pPr>
        <w:spacing w:after="0" w:line="360" w:lineRule="auto"/>
        <w:contextualSpacing/>
        <w:jc w:val="both"/>
        <w:rPr>
          <w:rFonts w:ascii="Arial" w:hAnsi="Arial" w:cs="Arial"/>
        </w:rPr>
      </w:pPr>
      <w:r w:rsidRPr="00787E43">
        <w:rPr>
          <w:rFonts w:ascii="Arial" w:hAnsi="Arial" w:cs="Arial"/>
          <w:sz w:val="24"/>
          <w:szCs w:val="24"/>
        </w:rPr>
        <w:t xml:space="preserve">                                    </w:t>
      </w:r>
      <w:r w:rsidR="00787E43">
        <w:rPr>
          <w:rFonts w:ascii="Arial" w:hAnsi="Arial" w:cs="Arial"/>
          <w:sz w:val="24"/>
          <w:szCs w:val="24"/>
        </w:rPr>
        <w:t xml:space="preserve">                  Of </w:t>
      </w:r>
      <w:r w:rsidRPr="00787E43">
        <w:rPr>
          <w:rFonts w:ascii="Arial" w:hAnsi="Arial" w:cs="Arial"/>
          <w:sz w:val="24"/>
          <w:szCs w:val="24"/>
        </w:rPr>
        <w:t>Chris Brandt Attorneys</w:t>
      </w:r>
      <w:r w:rsidR="00787E43">
        <w:rPr>
          <w:rFonts w:ascii="Arial" w:hAnsi="Arial" w:cs="Arial"/>
          <w:sz w:val="24"/>
          <w:szCs w:val="24"/>
        </w:rPr>
        <w:t>, Windhoek</w:t>
      </w:r>
    </w:p>
    <w:sectPr w:rsidR="0070028A" w:rsidRPr="00283785" w:rsidSect="001C484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CEE" w:rsidRDefault="00826CEE" w:rsidP="001B1374">
      <w:pPr>
        <w:spacing w:after="0" w:line="240" w:lineRule="auto"/>
      </w:pPr>
      <w:r>
        <w:separator/>
      </w:r>
    </w:p>
  </w:endnote>
  <w:endnote w:type="continuationSeparator" w:id="0">
    <w:p w:rsidR="00826CEE" w:rsidRDefault="00826CEE" w:rsidP="001B1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CEE" w:rsidRDefault="00826CEE" w:rsidP="001B1374">
      <w:pPr>
        <w:spacing w:after="0" w:line="240" w:lineRule="auto"/>
      </w:pPr>
      <w:r>
        <w:separator/>
      </w:r>
    </w:p>
  </w:footnote>
  <w:footnote w:type="continuationSeparator" w:id="0">
    <w:p w:rsidR="00826CEE" w:rsidRDefault="00826CEE" w:rsidP="001B1374">
      <w:pPr>
        <w:spacing w:after="0" w:line="240" w:lineRule="auto"/>
      </w:pPr>
      <w:r>
        <w:continuationSeparator/>
      </w:r>
    </w:p>
  </w:footnote>
  <w:footnote w:id="1">
    <w:p w:rsidR="001B1374" w:rsidRPr="00787E43" w:rsidRDefault="001B1374" w:rsidP="00787E43">
      <w:pPr>
        <w:pStyle w:val="FootnoteText"/>
        <w:jc w:val="both"/>
        <w:rPr>
          <w:rFonts w:ascii="Arial" w:hAnsi="Arial" w:cs="Arial"/>
        </w:rPr>
      </w:pPr>
      <w:r w:rsidRPr="00787E43">
        <w:rPr>
          <w:rStyle w:val="FootnoteReference"/>
          <w:rFonts w:ascii="Arial" w:hAnsi="Arial" w:cs="Arial"/>
        </w:rPr>
        <w:footnoteRef/>
      </w:r>
      <w:r w:rsidRPr="00787E43">
        <w:rPr>
          <w:rFonts w:ascii="Arial" w:hAnsi="Arial" w:cs="Arial"/>
        </w:rPr>
        <w:t xml:space="preserve"> </w:t>
      </w:r>
      <w:r w:rsidRPr="00787E43">
        <w:rPr>
          <w:rFonts w:ascii="Arial" w:hAnsi="Arial" w:cs="Arial"/>
          <w:i/>
        </w:rPr>
        <w:t xml:space="preserve">Futeni Collections (Pty) Ltd v De Duine </w:t>
      </w:r>
      <w:r w:rsidRPr="00787E43">
        <w:rPr>
          <w:rFonts w:ascii="Arial" w:hAnsi="Arial" w:cs="Arial"/>
        </w:rPr>
        <w:t>(</w:t>
      </w:r>
      <w:r w:rsidRPr="00787E43">
        <w:rPr>
          <w:rFonts w:ascii="Arial" w:hAnsi="Arial" w:cs="Arial"/>
          <w:iCs/>
          <w:spacing w:val="-2"/>
        </w:rPr>
        <w:t>I 3044-</w:t>
      </w:r>
      <w:r w:rsidRPr="00787E43">
        <w:rPr>
          <w:rFonts w:ascii="Arial" w:hAnsi="Arial" w:cs="Arial"/>
          <w:iCs/>
          <w:spacing w:val="-3"/>
          <w:lang w:val="en-GB"/>
        </w:rPr>
        <w:t>2014</w:t>
      </w:r>
      <w:r w:rsidRPr="00787E43">
        <w:rPr>
          <w:rFonts w:ascii="Arial" w:hAnsi="Arial" w:cs="Arial"/>
        </w:rPr>
        <w:t>) [2015] NAHCMD 119 (27 May 2015)</w:t>
      </w:r>
      <w:r w:rsidRPr="00787E43">
        <w:rPr>
          <w:rFonts w:ascii="Arial" w:hAnsi="Arial" w:cs="Arial"/>
          <w:i/>
        </w:rPr>
        <w:t xml:space="preserve"> </w:t>
      </w:r>
      <w:r w:rsidR="00B27F6D" w:rsidRPr="00787E43">
        <w:rPr>
          <w:rFonts w:ascii="Arial" w:hAnsi="Arial" w:cs="Arial"/>
        </w:rPr>
        <w:t>at para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136830"/>
      <w:docPartObj>
        <w:docPartGallery w:val="Page Numbers (Top of Page)"/>
        <w:docPartUnique/>
      </w:docPartObj>
    </w:sdtPr>
    <w:sdtEndPr>
      <w:rPr>
        <w:noProof/>
      </w:rPr>
    </w:sdtEndPr>
    <w:sdtContent>
      <w:p w:rsidR="001C484B" w:rsidRDefault="00E47332">
        <w:pPr>
          <w:pStyle w:val="Header"/>
          <w:jc w:val="right"/>
        </w:pPr>
        <w:r>
          <w:fldChar w:fldCharType="begin"/>
        </w:r>
        <w:r>
          <w:instrText xml:space="preserve"> PAGE   \* MERGEFORMAT </w:instrText>
        </w:r>
        <w:r>
          <w:fldChar w:fldCharType="separate"/>
        </w:r>
        <w:r w:rsidR="00DC0FA6">
          <w:rPr>
            <w:noProof/>
          </w:rPr>
          <w:t>2</w:t>
        </w:r>
        <w:r>
          <w:rPr>
            <w:noProof/>
          </w:rPr>
          <w:fldChar w:fldCharType="end"/>
        </w:r>
      </w:p>
    </w:sdtContent>
  </w:sdt>
  <w:p w:rsidR="001C484B" w:rsidRDefault="00826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B7A6F"/>
    <w:multiLevelType w:val="hybridMultilevel"/>
    <w:tmpl w:val="0C266BE6"/>
    <w:lvl w:ilvl="0" w:tplc="47FCDCFA">
      <w:start w:val="1"/>
      <w:numFmt w:val="lowerLetter"/>
      <w:lvlText w:val="(%1)"/>
      <w:lvlJc w:val="left"/>
      <w:pPr>
        <w:ind w:left="1164" w:hanging="372"/>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 w15:restartNumberingAfterBreak="0">
    <w:nsid w:val="48BF1223"/>
    <w:multiLevelType w:val="multilevel"/>
    <w:tmpl w:val="0526C06A"/>
    <w:lvl w:ilvl="0">
      <w:start w:val="19"/>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657685C"/>
    <w:multiLevelType w:val="multilevel"/>
    <w:tmpl w:val="F51E4C0E"/>
    <w:lvl w:ilvl="0">
      <w:start w:val="1"/>
      <w:numFmt w:val="decimal"/>
      <w:lvlText w:val="%1."/>
      <w:lvlJc w:val="left"/>
      <w:pPr>
        <w:ind w:left="786" w:hanging="360"/>
      </w:pPr>
      <w:rPr>
        <w:rFonts w:cs="Times New Roman" w:hint="default"/>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6972016C"/>
    <w:multiLevelType w:val="hybridMultilevel"/>
    <w:tmpl w:val="6FDE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084621"/>
    <w:multiLevelType w:val="hybridMultilevel"/>
    <w:tmpl w:val="0F80E24E"/>
    <w:lvl w:ilvl="0" w:tplc="34D2ED88">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74"/>
    <w:rsid w:val="00003B7F"/>
    <w:rsid w:val="000D173A"/>
    <w:rsid w:val="00142314"/>
    <w:rsid w:val="001B1374"/>
    <w:rsid w:val="001E3A55"/>
    <w:rsid w:val="00277362"/>
    <w:rsid w:val="00283785"/>
    <w:rsid w:val="003947AF"/>
    <w:rsid w:val="004B52A0"/>
    <w:rsid w:val="00550BDA"/>
    <w:rsid w:val="005B4EEE"/>
    <w:rsid w:val="006C7EDD"/>
    <w:rsid w:val="0070028A"/>
    <w:rsid w:val="0076681E"/>
    <w:rsid w:val="00787E43"/>
    <w:rsid w:val="007D0B6E"/>
    <w:rsid w:val="007F56FC"/>
    <w:rsid w:val="00803280"/>
    <w:rsid w:val="00822229"/>
    <w:rsid w:val="00826CEE"/>
    <w:rsid w:val="008F7581"/>
    <w:rsid w:val="009253C9"/>
    <w:rsid w:val="009652D4"/>
    <w:rsid w:val="00994FD5"/>
    <w:rsid w:val="00B11231"/>
    <w:rsid w:val="00B21EF4"/>
    <w:rsid w:val="00B27F6D"/>
    <w:rsid w:val="00B46D51"/>
    <w:rsid w:val="00B52F1E"/>
    <w:rsid w:val="00B77F65"/>
    <w:rsid w:val="00C464C8"/>
    <w:rsid w:val="00C761BB"/>
    <w:rsid w:val="00C971D3"/>
    <w:rsid w:val="00CB35DA"/>
    <w:rsid w:val="00D343F0"/>
    <w:rsid w:val="00D67242"/>
    <w:rsid w:val="00DB61F3"/>
    <w:rsid w:val="00DC0FA6"/>
    <w:rsid w:val="00DD71E8"/>
    <w:rsid w:val="00E01F81"/>
    <w:rsid w:val="00E47332"/>
    <w:rsid w:val="00E93913"/>
    <w:rsid w:val="00EC6C29"/>
    <w:rsid w:val="00F46DC6"/>
    <w:rsid w:val="00F81457"/>
    <w:rsid w:val="00FE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3C2D6-021B-4D1A-B7D1-ED0B5C96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374"/>
    <w:pPr>
      <w:ind w:left="720"/>
      <w:contextualSpacing/>
    </w:pPr>
  </w:style>
  <w:style w:type="paragraph" w:styleId="Header">
    <w:name w:val="header"/>
    <w:basedOn w:val="Normal"/>
    <w:link w:val="HeaderChar"/>
    <w:uiPriority w:val="99"/>
    <w:unhideWhenUsed/>
    <w:rsid w:val="001B1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374"/>
  </w:style>
  <w:style w:type="paragraph" w:styleId="FootnoteText">
    <w:name w:val="footnote text"/>
    <w:basedOn w:val="Normal"/>
    <w:link w:val="FootnoteTextChar"/>
    <w:uiPriority w:val="99"/>
    <w:semiHidden/>
    <w:unhideWhenUsed/>
    <w:rsid w:val="001B13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374"/>
    <w:rPr>
      <w:sz w:val="20"/>
      <w:szCs w:val="20"/>
    </w:rPr>
  </w:style>
  <w:style w:type="character" w:styleId="FootnoteReference">
    <w:name w:val="footnote reference"/>
    <w:basedOn w:val="DefaultParagraphFont"/>
    <w:uiPriority w:val="99"/>
    <w:semiHidden/>
    <w:unhideWhenUsed/>
    <w:rsid w:val="001B1374"/>
    <w:rPr>
      <w:vertAlign w:val="superscript"/>
    </w:rPr>
  </w:style>
  <w:style w:type="paragraph" w:customStyle="1" w:styleId="bold">
    <w:name w:val="bold"/>
    <w:basedOn w:val="Normal"/>
    <w:rsid w:val="00C761B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B35DA"/>
    <w:rPr>
      <w:sz w:val="16"/>
      <w:szCs w:val="16"/>
    </w:rPr>
  </w:style>
  <w:style w:type="paragraph" w:styleId="CommentText">
    <w:name w:val="annotation text"/>
    <w:basedOn w:val="Normal"/>
    <w:link w:val="CommentTextChar"/>
    <w:uiPriority w:val="99"/>
    <w:semiHidden/>
    <w:unhideWhenUsed/>
    <w:rsid w:val="00CB35DA"/>
    <w:pPr>
      <w:spacing w:line="240" w:lineRule="auto"/>
    </w:pPr>
    <w:rPr>
      <w:sz w:val="20"/>
      <w:szCs w:val="20"/>
    </w:rPr>
  </w:style>
  <w:style w:type="character" w:customStyle="1" w:styleId="CommentTextChar">
    <w:name w:val="Comment Text Char"/>
    <w:basedOn w:val="DefaultParagraphFont"/>
    <w:link w:val="CommentText"/>
    <w:uiPriority w:val="99"/>
    <w:semiHidden/>
    <w:rsid w:val="00CB35DA"/>
    <w:rPr>
      <w:sz w:val="20"/>
      <w:szCs w:val="20"/>
    </w:rPr>
  </w:style>
  <w:style w:type="paragraph" w:styleId="CommentSubject">
    <w:name w:val="annotation subject"/>
    <w:basedOn w:val="CommentText"/>
    <w:next w:val="CommentText"/>
    <w:link w:val="CommentSubjectChar"/>
    <w:uiPriority w:val="99"/>
    <w:semiHidden/>
    <w:unhideWhenUsed/>
    <w:rsid w:val="00CB35DA"/>
    <w:rPr>
      <w:b/>
      <w:bCs/>
    </w:rPr>
  </w:style>
  <w:style w:type="character" w:customStyle="1" w:styleId="CommentSubjectChar">
    <w:name w:val="Comment Subject Char"/>
    <w:basedOn w:val="CommentTextChar"/>
    <w:link w:val="CommentSubject"/>
    <w:uiPriority w:val="99"/>
    <w:semiHidden/>
    <w:rsid w:val="00CB35DA"/>
    <w:rPr>
      <w:b/>
      <w:bCs/>
      <w:sz w:val="20"/>
      <w:szCs w:val="20"/>
    </w:rPr>
  </w:style>
  <w:style w:type="paragraph" w:styleId="BalloonText">
    <w:name w:val="Balloon Text"/>
    <w:basedOn w:val="Normal"/>
    <w:link w:val="BalloonTextChar"/>
    <w:uiPriority w:val="99"/>
    <w:semiHidden/>
    <w:unhideWhenUsed/>
    <w:rsid w:val="00CB3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2018-03-13T18:30:00+00:00</Judgment_x0020_Date>
    <Year xmlns="c1afb1bd-f2fb-40fd-9abb-aea55b4d7662">2018</Year>
  </documentManagement>
</p:properties>
</file>

<file path=customXml/itemProps1.xml><?xml version="1.0" encoding="utf-8"?>
<ds:datastoreItem xmlns:ds="http://schemas.openxmlformats.org/officeDocument/2006/customXml" ds:itemID="{51A3BD72-AD08-488D-83EA-DC0A4587EC6A}"/>
</file>

<file path=customXml/itemProps2.xml><?xml version="1.0" encoding="utf-8"?>
<ds:datastoreItem xmlns:ds="http://schemas.openxmlformats.org/officeDocument/2006/customXml" ds:itemID="{8B1DC47F-7106-4434-BABA-AC53129AE43F}"/>
</file>

<file path=customXml/itemProps3.xml><?xml version="1.0" encoding="utf-8"?>
<ds:datastoreItem xmlns:ds="http://schemas.openxmlformats.org/officeDocument/2006/customXml" ds:itemID="{404C3605-2F45-4B02-93DF-35FEA46D1EAF}"/>
</file>

<file path=docProps/app.xml><?xml version="1.0" encoding="utf-8"?>
<Properties xmlns="http://schemas.openxmlformats.org/officeDocument/2006/extended-properties" xmlns:vt="http://schemas.openxmlformats.org/officeDocument/2006/docPropsVTypes">
  <Template>Normal</Template>
  <TotalTime>7</TotalTime>
  <Pages>7</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Mungunda v Barth</dc:title>
  <dc:creator>Prinsloo Hannelie</dc:creator>
  <cp:lastModifiedBy>Nicole Januarie</cp:lastModifiedBy>
  <cp:revision>6</cp:revision>
  <dcterms:created xsi:type="dcterms:W3CDTF">2018-03-26T07:22:00Z</dcterms:created>
  <dcterms:modified xsi:type="dcterms:W3CDTF">2018-03-26T07:48:00Z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