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4" w:rsidRPr="003D5FF3" w:rsidRDefault="00C73154" w:rsidP="00C73154">
      <w:pPr>
        <w:spacing w:after="0" w:line="360" w:lineRule="auto"/>
        <w:jc w:val="center"/>
        <w:rPr>
          <w:rFonts w:ascii="Arial Narrow" w:hAnsi="Arial Narrow"/>
          <w:sz w:val="28"/>
          <w:szCs w:val="28"/>
        </w:rPr>
      </w:pPr>
      <w:r w:rsidRPr="003D5FF3">
        <w:rPr>
          <w:rFonts w:ascii="Arial Narrow" w:hAnsi="Arial Narrow"/>
          <w:sz w:val="28"/>
          <w:szCs w:val="28"/>
        </w:rPr>
        <w:t>“ANNEXURE 11”</w:t>
      </w:r>
    </w:p>
    <w:p w:rsidR="00C73154" w:rsidRPr="003D5FF3" w:rsidRDefault="00C73154" w:rsidP="00C73154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C73154" w:rsidRPr="009B096F" w:rsidRDefault="00C73154" w:rsidP="00C7315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096F">
        <w:rPr>
          <w:rFonts w:ascii="Arial Narrow" w:hAnsi="Arial Narrow"/>
          <w:b/>
          <w:sz w:val="24"/>
          <w:szCs w:val="24"/>
        </w:rPr>
        <w:t>IN THE HIGH COURT OF NAMIBIA</w:t>
      </w:r>
    </w:p>
    <w:p w:rsidR="00281FAB" w:rsidRPr="006475B1" w:rsidRDefault="00281FAB" w:rsidP="00EB27A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73154" w:rsidRPr="00C73154" w:rsidTr="005403D8">
        <w:trPr>
          <w:trHeight w:val="744"/>
        </w:trPr>
        <w:tc>
          <w:tcPr>
            <w:tcW w:w="5397" w:type="dxa"/>
            <w:gridSpan w:val="2"/>
            <w:vMerge w:val="restart"/>
          </w:tcPr>
          <w:p w:rsidR="00C73154" w:rsidRPr="00C73154" w:rsidRDefault="00C73154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:rsidR="00C73154" w:rsidRPr="00C73154" w:rsidRDefault="00C73154" w:rsidP="006D2D84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C73154">
              <w:rPr>
                <w:rFonts w:ascii="Arial Narrow" w:hAnsi="Arial Narrow" w:cs="Arial"/>
                <w:sz w:val="24"/>
                <w:szCs w:val="24"/>
              </w:rPr>
              <w:t>Rouc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Auto Manufacturers (Pty) Ltd //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 Erf Two Four Walvis Bay CC</w:t>
            </w:r>
          </w:p>
          <w:p w:rsidR="00C73154" w:rsidRPr="00C73154" w:rsidRDefault="00C73154" w:rsidP="006D2D84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C73154" w:rsidRDefault="00C73154" w:rsidP="00905A48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73154">
              <w:rPr>
                <w:rFonts w:ascii="Arial Narrow" w:hAnsi="Arial Narrow"/>
                <w:b/>
                <w:sz w:val="24"/>
                <w:szCs w:val="24"/>
              </w:rPr>
              <w:t>Case No:</w:t>
            </w:r>
          </w:p>
          <w:p w:rsidR="00C73154" w:rsidRPr="00C73154" w:rsidRDefault="00C73154" w:rsidP="00905A48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73154">
              <w:rPr>
                <w:rFonts w:ascii="Arial Narrow" w:hAnsi="Arial Narrow"/>
                <w:sz w:val="24"/>
                <w:szCs w:val="24"/>
              </w:rPr>
              <w:t>I 2112/2013</w:t>
            </w:r>
          </w:p>
        </w:tc>
      </w:tr>
      <w:tr w:rsidR="00C73154" w:rsidRPr="00C73154" w:rsidTr="005403D8">
        <w:trPr>
          <w:trHeight w:val="844"/>
        </w:trPr>
        <w:tc>
          <w:tcPr>
            <w:tcW w:w="5397" w:type="dxa"/>
            <w:gridSpan w:val="2"/>
            <w:vMerge/>
          </w:tcPr>
          <w:p w:rsidR="00C73154" w:rsidRPr="00C73154" w:rsidRDefault="00C73154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C73154" w:rsidRPr="00C73154" w:rsidRDefault="00C73154" w:rsidP="00EB27A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73154">
              <w:rPr>
                <w:rFonts w:ascii="Arial Narrow" w:hAnsi="Arial Narrow"/>
                <w:b/>
                <w:sz w:val="24"/>
                <w:szCs w:val="24"/>
              </w:rPr>
              <w:t>Division of Court:</w:t>
            </w:r>
          </w:p>
          <w:p w:rsidR="00C73154" w:rsidRPr="00C73154" w:rsidRDefault="00C73154" w:rsidP="00EB27A0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73154">
              <w:rPr>
                <w:rFonts w:ascii="Arial Narrow" w:hAnsi="Arial Narrow"/>
                <w:sz w:val="24"/>
                <w:szCs w:val="24"/>
              </w:rPr>
              <w:t>High Court</w:t>
            </w:r>
          </w:p>
        </w:tc>
      </w:tr>
      <w:tr w:rsidR="005403D8" w:rsidRPr="00C73154" w:rsidTr="005403D8">
        <w:trPr>
          <w:trHeight w:val="645"/>
        </w:trPr>
        <w:tc>
          <w:tcPr>
            <w:tcW w:w="5397" w:type="dxa"/>
            <w:gridSpan w:val="2"/>
            <w:vMerge w:val="restart"/>
          </w:tcPr>
          <w:p w:rsidR="005403D8" w:rsidRPr="00C73154" w:rsidRDefault="005403D8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Heard before:</w:t>
            </w:r>
          </w:p>
          <w:p w:rsidR="005403D8" w:rsidRPr="00C73154" w:rsidRDefault="005403D8" w:rsidP="006D2D84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Honourable Mr Justice </w:t>
            </w:r>
            <w:proofErr w:type="spellStart"/>
            <w:r w:rsidRPr="00C73154">
              <w:rPr>
                <w:rFonts w:ascii="Arial Narrow" w:hAnsi="Arial Narrow" w:cs="Arial"/>
                <w:sz w:val="24"/>
                <w:szCs w:val="24"/>
              </w:rPr>
              <w:t>Angula</w:t>
            </w:r>
            <w:proofErr w:type="spellEnd"/>
            <w:r w:rsidRPr="00C73154">
              <w:rPr>
                <w:rFonts w:ascii="Arial Narrow" w:hAnsi="Arial Narrow" w:cs="Arial"/>
                <w:sz w:val="24"/>
                <w:szCs w:val="24"/>
              </w:rPr>
              <w:t>, Deputy Judge-President</w:t>
            </w:r>
          </w:p>
        </w:tc>
        <w:tc>
          <w:tcPr>
            <w:tcW w:w="4323" w:type="dxa"/>
          </w:tcPr>
          <w:p w:rsidR="005403D8" w:rsidRPr="00C73154" w:rsidRDefault="005403D8" w:rsidP="00EB27A0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73154">
              <w:rPr>
                <w:rFonts w:ascii="Arial Narrow" w:hAnsi="Arial Narrow"/>
                <w:b/>
                <w:sz w:val="24"/>
                <w:szCs w:val="24"/>
              </w:rPr>
              <w:t>Date of hearing:</w:t>
            </w:r>
          </w:p>
          <w:p w:rsidR="005403D8" w:rsidRPr="00C73154" w:rsidRDefault="005403D8" w:rsidP="008C0AC7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73154">
              <w:rPr>
                <w:rFonts w:ascii="Arial Narrow" w:hAnsi="Arial Narrow"/>
                <w:sz w:val="24"/>
                <w:szCs w:val="24"/>
              </w:rPr>
              <w:t>14 February 2018</w:t>
            </w:r>
          </w:p>
        </w:tc>
      </w:tr>
      <w:tr w:rsidR="005403D8" w:rsidRPr="00C73154" w:rsidTr="00FD38C2">
        <w:trPr>
          <w:trHeight w:val="588"/>
        </w:trPr>
        <w:tc>
          <w:tcPr>
            <w:tcW w:w="5397" w:type="dxa"/>
            <w:gridSpan w:val="2"/>
            <w:vMerge/>
          </w:tcPr>
          <w:p w:rsidR="005403D8" w:rsidRPr="00C73154" w:rsidRDefault="005403D8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403D8" w:rsidRPr="00C73154" w:rsidRDefault="005403D8" w:rsidP="005403D8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Delivered on</w:t>
            </w:r>
            <w:r w:rsidRPr="00C7315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5403D8" w:rsidRPr="00C73154" w:rsidRDefault="005403D8" w:rsidP="005403D8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March</w:t>
            </w:r>
            <w:r w:rsidRPr="00C73154">
              <w:rPr>
                <w:rFonts w:ascii="Arial Narrow" w:hAnsi="Arial Narrow"/>
                <w:sz w:val="24"/>
                <w:szCs w:val="24"/>
              </w:rPr>
              <w:t xml:space="preserve"> 2018</w:t>
            </w:r>
          </w:p>
        </w:tc>
      </w:tr>
      <w:tr w:rsidR="005955B1" w:rsidRPr="00C73154" w:rsidTr="00EB27A0">
        <w:tc>
          <w:tcPr>
            <w:tcW w:w="9720" w:type="dxa"/>
            <w:gridSpan w:val="3"/>
          </w:tcPr>
          <w:p w:rsidR="005955B1" w:rsidRPr="005955B1" w:rsidRDefault="005955B1" w:rsidP="005955B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55B1">
              <w:rPr>
                <w:rFonts w:ascii="Arial Narrow" w:hAnsi="Arial Narrow" w:cs="Arial"/>
                <w:b/>
                <w:sz w:val="24"/>
                <w:szCs w:val="24"/>
              </w:rPr>
              <w:t>Neutral citation: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4"/>
                <w:szCs w:val="24"/>
              </w:rPr>
              <w:t>Rouco</w:t>
            </w:r>
            <w:proofErr w:type="spellEnd"/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Auto Manufacturers (Pty) Ltd</w:t>
            </w:r>
            <w:r w:rsidRPr="005955B1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777156">
              <w:rPr>
                <w:rFonts w:ascii="Arial Narrow" w:hAnsi="Arial Narrow" w:cs="Arial"/>
                <w:i/>
                <w:sz w:val="24"/>
                <w:szCs w:val="24"/>
              </w:rPr>
              <w:t>v Erf Two Four Walvis Bay CC</w:t>
            </w:r>
            <w:r w:rsidRPr="005955B1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ZA"/>
              </w:rPr>
              <w:t xml:space="preserve">I </w:t>
            </w:r>
            <w:r w:rsidRPr="00C73154">
              <w:rPr>
                <w:rFonts w:ascii="Arial Narrow" w:hAnsi="Arial Narrow"/>
                <w:sz w:val="24"/>
                <w:szCs w:val="24"/>
              </w:rPr>
              <w:t>2112/2013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 xml:space="preserve">) [2018] NAHCMD </w:t>
            </w:r>
            <w:r>
              <w:rPr>
                <w:rFonts w:ascii="Arial Narrow" w:hAnsi="Arial Narrow" w:cs="Arial"/>
                <w:sz w:val="24"/>
                <w:szCs w:val="24"/>
              </w:rPr>
              <w:t>69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5955B1">
              <w:rPr>
                <w:rFonts w:ascii="Arial Narrow" w:hAnsi="Arial Narrow" w:cs="Arial"/>
                <w:sz w:val="24"/>
                <w:szCs w:val="24"/>
              </w:rPr>
              <w:t xml:space="preserve"> March 2018)</w:t>
            </w:r>
          </w:p>
        </w:tc>
      </w:tr>
      <w:tr w:rsidR="00281FAB" w:rsidRPr="00C73154" w:rsidTr="005955B1">
        <w:trPr>
          <w:trHeight w:val="947"/>
        </w:trPr>
        <w:tc>
          <w:tcPr>
            <w:tcW w:w="9720" w:type="dxa"/>
            <w:gridSpan w:val="3"/>
          </w:tcPr>
          <w:p w:rsidR="00281FAB" w:rsidRPr="00C73154" w:rsidRDefault="00281FAB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Result on merits:</w:t>
            </w:r>
          </w:p>
          <w:p w:rsidR="00686B3F" w:rsidRPr="00C73154" w:rsidRDefault="00A14435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>Merits not considered</w:t>
            </w:r>
            <w:r w:rsidR="00396AF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81FAB" w:rsidRPr="00C73154" w:rsidTr="00EB27A0">
        <w:tc>
          <w:tcPr>
            <w:tcW w:w="9720" w:type="dxa"/>
            <w:gridSpan w:val="3"/>
          </w:tcPr>
          <w:p w:rsidR="00281FAB" w:rsidRPr="00C73154" w:rsidRDefault="00281FAB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:rsidR="00C73154" w:rsidRPr="00C73154" w:rsidRDefault="00C73154" w:rsidP="00EB27A0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281FAB" w:rsidRPr="00C73154" w:rsidRDefault="00FD38C2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>Having heard</w:t>
            </w:r>
            <w:r w:rsidR="00C731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73154" w:rsidRPr="00C73154">
              <w:rPr>
                <w:rFonts w:ascii="Arial Narrow" w:hAnsi="Arial Narrow" w:cs="Arial"/>
                <w:b/>
                <w:sz w:val="24"/>
                <w:szCs w:val="24"/>
              </w:rPr>
              <w:t>Mr</w:t>
            </w: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05A48" w:rsidRPr="00C73154">
              <w:rPr>
                <w:rFonts w:ascii="Arial Narrow" w:hAnsi="Arial Narrow" w:cs="Arial"/>
                <w:b/>
                <w:sz w:val="24"/>
                <w:szCs w:val="24"/>
              </w:rPr>
              <w:t>Barnard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FF561E" w:rsidRPr="00C73154">
              <w:rPr>
                <w:rFonts w:ascii="Arial Narrow" w:hAnsi="Arial Narrow" w:cs="Arial"/>
                <w:sz w:val="24"/>
                <w:szCs w:val="24"/>
              </w:rPr>
              <w:t>counsel for the applicant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, and </w:t>
            </w:r>
            <w:r w:rsidR="00905A48" w:rsidRPr="00C73154">
              <w:rPr>
                <w:rFonts w:ascii="Arial Narrow" w:hAnsi="Arial Narrow" w:cs="Arial"/>
                <w:b/>
                <w:sz w:val="24"/>
                <w:szCs w:val="24"/>
              </w:rPr>
              <w:t>M</w:t>
            </w:r>
            <w:r w:rsidR="00C73154" w:rsidRPr="00C73154">
              <w:rPr>
                <w:rFonts w:ascii="Arial Narrow" w:hAnsi="Arial Narrow" w:cs="Arial"/>
                <w:b/>
                <w:sz w:val="24"/>
                <w:szCs w:val="24"/>
              </w:rPr>
              <w:t>r M</w:t>
            </w:r>
            <w:r w:rsidR="00905A48" w:rsidRPr="00C73154">
              <w:rPr>
                <w:rFonts w:ascii="Arial Narrow" w:hAnsi="Arial Narrow" w:cs="Arial"/>
                <w:b/>
                <w:sz w:val="24"/>
                <w:szCs w:val="24"/>
              </w:rPr>
              <w:t>etcalfe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FF561E" w:rsidRPr="00C73154">
              <w:rPr>
                <w:rFonts w:ascii="Arial Narrow" w:hAnsi="Arial Narrow" w:cs="Arial"/>
                <w:sz w:val="24"/>
                <w:szCs w:val="24"/>
              </w:rPr>
              <w:t xml:space="preserve"> counsel for the 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>respondent, and having read</w:t>
            </w:r>
            <w:r w:rsidR="006D2D84" w:rsidRPr="00C73154">
              <w:rPr>
                <w:rFonts w:ascii="Arial Narrow" w:hAnsi="Arial Narrow" w:cs="Arial"/>
                <w:sz w:val="24"/>
                <w:szCs w:val="24"/>
              </w:rPr>
              <w:t xml:space="preserve"> the documents filed of record:</w:t>
            </w:r>
          </w:p>
          <w:p w:rsidR="00EB27A0" w:rsidRPr="00C73154" w:rsidRDefault="00EB27A0" w:rsidP="00EB27A0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EB27A0" w:rsidRPr="00C73154" w:rsidRDefault="00EB27A0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IT IS ORDERED THAT:</w:t>
            </w:r>
          </w:p>
          <w:p w:rsidR="008D65E9" w:rsidRPr="00C73154" w:rsidRDefault="008D65E9" w:rsidP="00EB27A0">
            <w:pPr>
              <w:spacing w:line="36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05A48" w:rsidRPr="00C73154" w:rsidRDefault="00905A48" w:rsidP="00C7315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>Condonation is grated to the respondent for the late filing of the notice to oppose.</w:t>
            </w:r>
          </w:p>
          <w:p w:rsidR="00B337FC" w:rsidRPr="00C73154" w:rsidRDefault="00B337FC" w:rsidP="00B337F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06FD8" w:rsidRPr="00C73154" w:rsidRDefault="00B337FC" w:rsidP="00C7315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>The applicant</w:t>
            </w:r>
            <w:r w:rsidR="00905A48" w:rsidRPr="00C73154">
              <w:rPr>
                <w:rFonts w:ascii="Arial Narrow" w:hAnsi="Arial Narrow" w:cs="Arial"/>
                <w:sz w:val="24"/>
                <w:szCs w:val="24"/>
              </w:rPr>
              <w:t xml:space="preserve">’s application for an order declaring the </w:t>
            </w:r>
            <w:r w:rsidR="00A258AF" w:rsidRPr="00C73154">
              <w:rPr>
                <w:rFonts w:ascii="Arial Narrow" w:hAnsi="Arial Narrow" w:cs="Arial"/>
                <w:sz w:val="24"/>
                <w:szCs w:val="24"/>
              </w:rPr>
              <w:t>immo</w:t>
            </w:r>
            <w:r w:rsidR="00C73154">
              <w:rPr>
                <w:rFonts w:ascii="Arial Narrow" w:hAnsi="Arial Narrow" w:cs="Arial"/>
                <w:sz w:val="24"/>
                <w:szCs w:val="24"/>
              </w:rPr>
              <w:t>vable property being a certain E</w:t>
            </w:r>
            <w:r w:rsidR="00A258AF" w:rsidRPr="00C73154">
              <w:rPr>
                <w:rFonts w:ascii="Arial Narrow" w:hAnsi="Arial Narrow" w:cs="Arial"/>
                <w:sz w:val="24"/>
                <w:szCs w:val="24"/>
              </w:rPr>
              <w:t>rf No</w:t>
            </w:r>
            <w:r w:rsidR="00C73154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A258AF" w:rsidRPr="00C73154">
              <w:rPr>
                <w:rFonts w:ascii="Arial Narrow" w:hAnsi="Arial Narrow" w:cs="Arial"/>
                <w:sz w:val="24"/>
                <w:szCs w:val="24"/>
              </w:rPr>
              <w:t xml:space="preserve"> 244, situated in the Municipality of Walvis Bay, Registration Division “F”</w:t>
            </w:r>
            <w:r w:rsidR="00C73154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A258AF" w:rsidRPr="00C731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A258AF" w:rsidRPr="00C73154">
              <w:rPr>
                <w:rFonts w:ascii="Arial Narrow" w:hAnsi="Arial Narrow" w:cs="Arial"/>
                <w:sz w:val="24"/>
                <w:szCs w:val="24"/>
              </w:rPr>
              <w:t>Erongo</w:t>
            </w:r>
            <w:proofErr w:type="spellEnd"/>
            <w:r w:rsidR="00A258AF" w:rsidRPr="00C73154">
              <w:rPr>
                <w:rFonts w:ascii="Arial Narrow" w:hAnsi="Arial Narrow" w:cs="Arial"/>
                <w:sz w:val="24"/>
                <w:szCs w:val="24"/>
              </w:rPr>
              <w:t xml:space="preserve"> Region is struck from the roll</w:t>
            </w:r>
            <w:r w:rsidR="00CC5024" w:rsidRPr="00C73154">
              <w:rPr>
                <w:rFonts w:ascii="Arial Narrow" w:hAnsi="Arial Narrow" w:cs="Arial"/>
                <w:sz w:val="24"/>
                <w:szCs w:val="24"/>
              </w:rPr>
              <w:t xml:space="preserve"> f</w:t>
            </w:r>
            <w:r w:rsidR="00C73154">
              <w:rPr>
                <w:rFonts w:ascii="Arial Narrow" w:hAnsi="Arial Narrow" w:cs="Arial"/>
                <w:sz w:val="24"/>
                <w:szCs w:val="24"/>
              </w:rPr>
              <w:t>or non-compliance with Rule 108</w:t>
            </w:r>
            <w:r w:rsidR="00CC5024" w:rsidRPr="00C73154">
              <w:rPr>
                <w:rFonts w:ascii="Arial Narrow" w:hAnsi="Arial Narrow" w:cs="Arial"/>
                <w:sz w:val="24"/>
                <w:szCs w:val="24"/>
              </w:rPr>
              <w:t>(2</w:t>
            </w:r>
            <w:proofErr w:type="gramStart"/>
            <w:r w:rsidR="00CC5024" w:rsidRPr="00C73154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CC5024" w:rsidRPr="00C73154">
              <w:rPr>
                <w:rFonts w:ascii="Arial Narrow" w:hAnsi="Arial Narrow" w:cs="Arial"/>
                <w:i/>
                <w:sz w:val="24"/>
                <w:szCs w:val="24"/>
              </w:rPr>
              <w:t>(</w:t>
            </w:r>
            <w:proofErr w:type="gramEnd"/>
            <w:r w:rsidR="008D65E9" w:rsidRPr="00C73154">
              <w:rPr>
                <w:rFonts w:ascii="Arial Narrow" w:hAnsi="Arial Narrow" w:cs="Arial"/>
                <w:i/>
                <w:sz w:val="24"/>
                <w:szCs w:val="24"/>
              </w:rPr>
              <w:t>b</w:t>
            </w:r>
            <w:r w:rsidR="00CC5024" w:rsidRPr="00C73154">
              <w:rPr>
                <w:rFonts w:ascii="Arial Narrow" w:hAnsi="Arial Narrow" w:cs="Arial"/>
                <w:i/>
                <w:sz w:val="24"/>
                <w:szCs w:val="24"/>
              </w:rPr>
              <w:t>)</w:t>
            </w:r>
            <w:r w:rsidR="00A258AF" w:rsidRPr="00C73154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A258AF" w:rsidRPr="00C73154" w:rsidRDefault="00A258AF" w:rsidP="00B337F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06FD8" w:rsidRPr="00C73154" w:rsidRDefault="00A06FD8" w:rsidP="00C7315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The </w:t>
            </w:r>
            <w:r w:rsidR="00A258AF" w:rsidRPr="00C73154">
              <w:rPr>
                <w:rFonts w:ascii="Arial Narrow" w:hAnsi="Arial Narrow" w:cs="Arial"/>
                <w:sz w:val="24"/>
                <w:szCs w:val="24"/>
              </w:rPr>
              <w:t>applica</w:t>
            </w:r>
            <w:r w:rsidR="00CC5024" w:rsidRPr="00C73154">
              <w:rPr>
                <w:rFonts w:ascii="Arial Narrow" w:hAnsi="Arial Narrow" w:cs="Arial"/>
                <w:sz w:val="24"/>
                <w:szCs w:val="24"/>
              </w:rPr>
              <w:t>nt is ordered to pay the costs of the application.</w:t>
            </w:r>
            <w:r w:rsidR="00A258AF" w:rsidRPr="00C731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86B3F" w:rsidRPr="005955B1" w:rsidRDefault="00686B3F" w:rsidP="00A258AF">
            <w:pPr>
              <w:spacing w:line="360" w:lineRule="auto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81FAB" w:rsidRPr="00C73154" w:rsidTr="00EB27A0">
        <w:tc>
          <w:tcPr>
            <w:tcW w:w="9720" w:type="dxa"/>
            <w:gridSpan w:val="3"/>
          </w:tcPr>
          <w:p w:rsidR="00281FAB" w:rsidRPr="00C73154" w:rsidRDefault="00EB27A0" w:rsidP="00864008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 xml:space="preserve">Reasons for </w:t>
            </w:r>
            <w:r w:rsidR="00864008" w:rsidRPr="00C73154">
              <w:rPr>
                <w:rFonts w:ascii="Arial Narrow" w:hAnsi="Arial Narrow" w:cs="Arial"/>
                <w:b/>
                <w:sz w:val="24"/>
                <w:szCs w:val="24"/>
              </w:rPr>
              <w:t>orders</w:t>
            </w:r>
            <w:r w:rsidR="00A14435" w:rsidRPr="00C73154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</w:tr>
      <w:tr w:rsidR="00281FAB" w:rsidRPr="00C73154" w:rsidTr="00EB27A0">
        <w:tc>
          <w:tcPr>
            <w:tcW w:w="9720" w:type="dxa"/>
            <w:gridSpan w:val="3"/>
          </w:tcPr>
          <w:p w:rsidR="00FD38C2" w:rsidRPr="00A81926" w:rsidRDefault="00FD38C2" w:rsidP="00FD38C2">
            <w:pPr>
              <w:spacing w:line="360" w:lineRule="auto"/>
              <w:jc w:val="both"/>
              <w:rPr>
                <w:rFonts w:ascii="Arial Narrow" w:hAnsi="Arial Narrow" w:cs="Arial"/>
                <w:sz w:val="10"/>
                <w:szCs w:val="10"/>
                <w:u w:val="single"/>
              </w:rPr>
            </w:pPr>
          </w:p>
          <w:p w:rsidR="006D2D84" w:rsidRPr="00A81926" w:rsidRDefault="00300CF7" w:rsidP="0011332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A81926">
              <w:rPr>
                <w:rFonts w:ascii="Arial Narrow" w:hAnsi="Arial Narrow" w:cs="Arial"/>
                <w:sz w:val="24"/>
                <w:szCs w:val="24"/>
                <w:u w:val="single"/>
              </w:rPr>
              <w:t>No personal s</w:t>
            </w:r>
            <w:r w:rsidR="00A258AF" w:rsidRPr="00A81926">
              <w:rPr>
                <w:rFonts w:ascii="Arial Narrow" w:hAnsi="Arial Narrow" w:cs="Arial"/>
                <w:sz w:val="24"/>
                <w:szCs w:val="24"/>
                <w:u w:val="single"/>
              </w:rPr>
              <w:t>ervice of the application</w:t>
            </w:r>
            <w:r w:rsidR="00806B14" w:rsidRPr="00A81926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on the judgment debtor</w:t>
            </w:r>
            <w:r w:rsidR="00A258AF" w:rsidRPr="00A81926">
              <w:rPr>
                <w:rFonts w:ascii="Arial Narrow" w:hAnsi="Arial Narrow" w:cs="Arial"/>
                <w:sz w:val="24"/>
                <w:szCs w:val="24"/>
                <w:u w:val="single"/>
              </w:rPr>
              <w:t>.</w:t>
            </w:r>
          </w:p>
          <w:p w:rsidR="003F52A2" w:rsidRPr="00C73154" w:rsidRDefault="003F52A2" w:rsidP="00FF561E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C06B39" w:rsidRPr="00C73154" w:rsidRDefault="00300CF7" w:rsidP="00A772D3">
            <w:pPr>
              <w:spacing w:line="360" w:lineRule="auto"/>
              <w:ind w:left="4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The </w:t>
            </w:r>
            <w:r w:rsidR="00A258AF" w:rsidRPr="00C73154">
              <w:rPr>
                <w:rFonts w:ascii="Arial Narrow" w:hAnsi="Arial Narrow" w:cs="Arial"/>
                <w:sz w:val="24"/>
                <w:szCs w:val="24"/>
              </w:rPr>
              <w:t xml:space="preserve">judgment 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>debtor in the present matter is a Close Corporation, thus a body co</w:t>
            </w:r>
            <w:r w:rsidR="00C73154">
              <w:rPr>
                <w:rFonts w:ascii="Arial Narrow" w:hAnsi="Arial Narrow" w:cs="Arial"/>
                <w:sz w:val="24"/>
                <w:szCs w:val="24"/>
              </w:rPr>
              <w:t>rporate, therefore rule 108(2</w:t>
            </w:r>
            <w:proofErr w:type="gramStart"/>
            <w:r w:rsidR="00C73154">
              <w:rPr>
                <w:rFonts w:ascii="Arial Narrow" w:hAnsi="Arial Narrow" w:cs="Arial"/>
                <w:sz w:val="24"/>
                <w:szCs w:val="24"/>
              </w:rPr>
              <w:t>)</w:t>
            </w:r>
            <w:r w:rsidRPr="00C73154">
              <w:rPr>
                <w:rFonts w:ascii="Arial Narrow" w:hAnsi="Arial Narrow" w:cs="Arial"/>
                <w:i/>
                <w:sz w:val="24"/>
                <w:szCs w:val="24"/>
              </w:rPr>
              <w:t>(</w:t>
            </w:r>
            <w:proofErr w:type="gramEnd"/>
            <w:r w:rsidRPr="00C73154">
              <w:rPr>
                <w:rFonts w:ascii="Arial Narrow" w:hAnsi="Arial Narrow" w:cs="Arial"/>
                <w:i/>
                <w:sz w:val="24"/>
                <w:szCs w:val="24"/>
              </w:rPr>
              <w:t>a)</w:t>
            </w:r>
            <w:r w:rsidR="00C731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403D8">
              <w:rPr>
                <w:rFonts w:ascii="Arial Narrow" w:hAnsi="Arial Narrow" w:cs="Arial"/>
                <w:sz w:val="24"/>
                <w:szCs w:val="24"/>
              </w:rPr>
              <w:t xml:space="preserve">with regard to personal service </w:t>
            </w:r>
            <w:r w:rsidR="00C73154">
              <w:rPr>
                <w:rFonts w:ascii="Arial Narrow" w:hAnsi="Arial Narrow" w:cs="Arial"/>
                <w:sz w:val="24"/>
                <w:szCs w:val="24"/>
              </w:rPr>
              <w:t xml:space="preserve">does not apply to it. </w:t>
            </w:r>
            <w:r w:rsidR="00C06B39" w:rsidRPr="00C73154">
              <w:rPr>
                <w:rFonts w:ascii="Arial Narrow" w:hAnsi="Arial Narrow" w:cs="Arial"/>
                <w:sz w:val="24"/>
                <w:szCs w:val="24"/>
              </w:rPr>
              <w:t xml:space="preserve">The rule 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applies only to individual judgment 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lastRenderedPageBreak/>
              <w:t>debtors</w:t>
            </w:r>
            <w:r w:rsidR="00C06B39" w:rsidRPr="00C73154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 The immovable property in question </w:t>
            </w:r>
            <w:r w:rsidR="005403D8">
              <w:rPr>
                <w:rFonts w:ascii="Arial Narrow" w:hAnsi="Arial Narrow" w:cs="Arial"/>
                <w:sz w:val="24"/>
                <w:szCs w:val="24"/>
              </w:rPr>
              <w:t>is not of being</w:t>
            </w:r>
            <w:r w:rsidR="00C06B39" w:rsidRPr="00C73154">
              <w:rPr>
                <w:rFonts w:ascii="Arial Narrow" w:hAnsi="Arial Narrow" w:cs="Arial"/>
                <w:sz w:val="24"/>
                <w:szCs w:val="24"/>
              </w:rPr>
              <w:t xml:space="preserve"> be 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>a primary home of the judgment debtor</w:t>
            </w:r>
            <w:r w:rsidR="00C06B39" w:rsidRPr="00C73154">
              <w:rPr>
                <w:rFonts w:ascii="Arial Narrow" w:hAnsi="Arial Narrow" w:cs="Arial"/>
                <w:sz w:val="24"/>
                <w:szCs w:val="24"/>
              </w:rPr>
              <w:t xml:space="preserve"> within the meaning of the rule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>. Personal service is therefore not required. Therefore the judgment debtor point of opposition in this regard cannot be sustained.</w:t>
            </w:r>
          </w:p>
          <w:p w:rsidR="00652595" w:rsidRPr="00A81926" w:rsidRDefault="00652595" w:rsidP="00FF561E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3F52A2" w:rsidRPr="00A81926" w:rsidRDefault="00806B14" w:rsidP="0011332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A81926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Non service of the application on the </w:t>
            </w:r>
            <w:r w:rsidR="00C06B39" w:rsidRPr="00A81926">
              <w:rPr>
                <w:rFonts w:ascii="Arial Narrow" w:hAnsi="Arial Narrow" w:cs="Arial"/>
                <w:sz w:val="24"/>
                <w:szCs w:val="24"/>
                <w:u w:val="single"/>
              </w:rPr>
              <w:t>person occupying</w:t>
            </w:r>
            <w:r w:rsidR="0062225A" w:rsidRPr="00A81926"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the immovable property</w:t>
            </w:r>
            <w:r w:rsidRPr="00A81926">
              <w:rPr>
                <w:rFonts w:ascii="Arial Narrow" w:hAnsi="Arial Narrow" w:cs="Arial"/>
                <w:sz w:val="24"/>
                <w:szCs w:val="24"/>
                <w:u w:val="single"/>
              </w:rPr>
              <w:t>.</w:t>
            </w:r>
          </w:p>
          <w:p w:rsidR="003F52A2" w:rsidRPr="00C73154" w:rsidRDefault="003F52A2" w:rsidP="00FF561E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806B14" w:rsidRPr="00113321" w:rsidRDefault="00806B14" w:rsidP="00A772D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13321">
              <w:rPr>
                <w:rFonts w:ascii="Arial Narrow" w:hAnsi="Arial Narrow" w:cs="Arial"/>
                <w:sz w:val="24"/>
                <w:szCs w:val="24"/>
              </w:rPr>
              <w:t xml:space="preserve">Rule 108(2) </w:t>
            </w:r>
            <w:r w:rsidR="003A0103" w:rsidRPr="00113321">
              <w:rPr>
                <w:rFonts w:ascii="Arial Narrow" w:hAnsi="Arial Narrow" w:cs="Arial"/>
                <w:sz w:val="24"/>
                <w:szCs w:val="24"/>
              </w:rPr>
              <w:t>provides</w:t>
            </w:r>
            <w:r w:rsidRPr="00113321">
              <w:rPr>
                <w:rFonts w:ascii="Arial Narrow" w:hAnsi="Arial Narrow" w:cs="Arial"/>
                <w:sz w:val="24"/>
                <w:szCs w:val="24"/>
              </w:rPr>
              <w:t xml:space="preserve"> that if the property sough to be declared executable is leased to a third party as a home</w:t>
            </w:r>
            <w:r w:rsidR="0062225A" w:rsidRPr="00113321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113321">
              <w:rPr>
                <w:rFonts w:ascii="Arial Narrow" w:hAnsi="Arial Narrow" w:cs="Arial"/>
                <w:sz w:val="24"/>
                <w:szCs w:val="24"/>
              </w:rPr>
              <w:t xml:space="preserve"> the court may not declare the property </w:t>
            </w:r>
            <w:r w:rsidR="003A0103" w:rsidRPr="00113321">
              <w:rPr>
                <w:rFonts w:ascii="Arial Narrow" w:hAnsi="Arial Narrow" w:cs="Arial"/>
                <w:sz w:val="24"/>
                <w:szCs w:val="24"/>
              </w:rPr>
              <w:t>executable</w:t>
            </w:r>
            <w:r w:rsidRPr="00113321">
              <w:rPr>
                <w:rFonts w:ascii="Arial Narrow" w:hAnsi="Arial Narrow" w:cs="Arial"/>
                <w:sz w:val="24"/>
                <w:szCs w:val="24"/>
              </w:rPr>
              <w:t xml:space="preserve"> unless the </w:t>
            </w:r>
            <w:r w:rsidR="003A0103" w:rsidRPr="00113321">
              <w:rPr>
                <w:rFonts w:ascii="Arial Narrow" w:hAnsi="Arial Narrow" w:cs="Arial"/>
                <w:sz w:val="24"/>
                <w:szCs w:val="24"/>
              </w:rPr>
              <w:t>execution</w:t>
            </w:r>
            <w:r w:rsidRPr="001133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A0103" w:rsidRPr="00113321">
              <w:rPr>
                <w:rFonts w:ascii="Arial Narrow" w:hAnsi="Arial Narrow" w:cs="Arial"/>
                <w:sz w:val="24"/>
                <w:szCs w:val="24"/>
              </w:rPr>
              <w:t>creditor</w:t>
            </w:r>
            <w:r w:rsidRPr="00113321">
              <w:rPr>
                <w:rFonts w:ascii="Arial Narrow" w:hAnsi="Arial Narrow" w:cs="Arial"/>
                <w:sz w:val="24"/>
                <w:szCs w:val="24"/>
              </w:rPr>
              <w:t xml:space="preserve"> has caused a the </w:t>
            </w:r>
            <w:r w:rsidR="003A0103" w:rsidRPr="00113321">
              <w:rPr>
                <w:rFonts w:ascii="Arial Narrow" w:hAnsi="Arial Narrow" w:cs="Arial"/>
                <w:sz w:val="24"/>
                <w:szCs w:val="24"/>
              </w:rPr>
              <w:t>notice</w:t>
            </w:r>
            <w:r w:rsidRPr="00113321">
              <w:rPr>
                <w:rFonts w:ascii="Arial Narrow" w:hAnsi="Arial Narrow" w:cs="Arial"/>
                <w:sz w:val="24"/>
                <w:szCs w:val="24"/>
              </w:rPr>
              <w:t xml:space="preserve"> in terms of rule 108(2</w:t>
            </w:r>
            <w:proofErr w:type="gramStart"/>
            <w:r w:rsidRPr="00113321">
              <w:rPr>
                <w:rFonts w:ascii="Arial Narrow" w:hAnsi="Arial Narrow" w:cs="Arial"/>
                <w:sz w:val="24"/>
                <w:szCs w:val="24"/>
              </w:rPr>
              <w:t>)</w:t>
            </w:r>
            <w:r w:rsidRPr="00113321">
              <w:rPr>
                <w:rFonts w:ascii="Arial Narrow" w:hAnsi="Arial Narrow" w:cs="Arial"/>
                <w:i/>
                <w:sz w:val="24"/>
                <w:szCs w:val="24"/>
              </w:rPr>
              <w:t>(</w:t>
            </w:r>
            <w:proofErr w:type="gramEnd"/>
            <w:r w:rsidRPr="00113321">
              <w:rPr>
                <w:rFonts w:ascii="Arial Narrow" w:hAnsi="Arial Narrow" w:cs="Arial"/>
                <w:i/>
                <w:sz w:val="24"/>
                <w:szCs w:val="24"/>
              </w:rPr>
              <w:t>a)</w:t>
            </w:r>
            <w:r w:rsidRPr="00113321">
              <w:rPr>
                <w:rFonts w:ascii="Arial Narrow" w:hAnsi="Arial Narrow" w:cs="Arial"/>
                <w:sz w:val="24"/>
                <w:szCs w:val="24"/>
              </w:rPr>
              <w:t xml:space="preserve"> to be served personally</w:t>
            </w:r>
            <w:r w:rsidR="0062225A" w:rsidRPr="00113321">
              <w:rPr>
                <w:rFonts w:ascii="Arial Narrow" w:hAnsi="Arial Narrow" w:cs="Arial"/>
                <w:sz w:val="24"/>
                <w:szCs w:val="24"/>
              </w:rPr>
              <w:t xml:space="preserve"> on</w:t>
            </w:r>
            <w:r w:rsidRPr="001133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A0103" w:rsidRPr="00113321">
              <w:rPr>
                <w:rFonts w:ascii="Arial Narrow" w:hAnsi="Arial Narrow" w:cs="Arial"/>
                <w:sz w:val="24"/>
                <w:szCs w:val="24"/>
              </w:rPr>
              <w:t>any lessee of the property so sought to be declared executable.</w:t>
            </w:r>
          </w:p>
          <w:p w:rsidR="00A14435" w:rsidRPr="0050338C" w:rsidRDefault="00A14435" w:rsidP="002D4C2A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5D6172" w:rsidRPr="00A772D3" w:rsidRDefault="003A0103" w:rsidP="00A772D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It </w:t>
            </w:r>
            <w:r w:rsidR="0062225A" w:rsidRPr="00A772D3">
              <w:rPr>
                <w:rFonts w:ascii="Arial Narrow" w:hAnsi="Arial Narrow" w:cs="Arial"/>
                <w:sz w:val="24"/>
                <w:szCs w:val="24"/>
              </w:rPr>
              <w:t>is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not in dispute that the</w:t>
            </w:r>
            <w:r w:rsidR="00C06B39" w:rsidRPr="00A772D3">
              <w:rPr>
                <w:rFonts w:ascii="Arial Narrow" w:hAnsi="Arial Narrow" w:cs="Arial"/>
                <w:sz w:val="24"/>
                <w:szCs w:val="24"/>
              </w:rPr>
              <w:t xml:space="preserve"> judgment debtor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C06B39" w:rsidRPr="00A772D3">
              <w:rPr>
                <w:rFonts w:ascii="Arial Narrow" w:hAnsi="Arial Narrow" w:cs="Arial"/>
                <w:sz w:val="24"/>
                <w:szCs w:val="24"/>
              </w:rPr>
              <w:t xml:space="preserve"> which is the registered owner of the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06B39" w:rsidRPr="00A772D3">
              <w:rPr>
                <w:rFonts w:ascii="Arial Narrow" w:hAnsi="Arial Narrow" w:cs="Arial"/>
                <w:sz w:val="24"/>
                <w:szCs w:val="24"/>
              </w:rPr>
              <w:t>immovable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06B39" w:rsidRPr="00A772D3">
              <w:rPr>
                <w:rFonts w:ascii="Arial Narrow" w:hAnsi="Arial Narrow" w:cs="Arial"/>
                <w:sz w:val="24"/>
                <w:szCs w:val="24"/>
              </w:rPr>
              <w:t xml:space="preserve">sought to be declared 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>executable</w:t>
            </w:r>
            <w:r w:rsidR="00C06B39" w:rsidRPr="00A772D3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is 100</w:t>
            </w:r>
            <w:r w:rsidR="00C73154" w:rsidRPr="00A772D3">
              <w:rPr>
                <w:rFonts w:ascii="Arial Narrow" w:hAnsi="Arial Narrow" w:cs="Arial"/>
                <w:sz w:val="24"/>
                <w:szCs w:val="24"/>
              </w:rPr>
              <w:t xml:space="preserve"> percent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owned by M</w:t>
            </w:r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Knowledge </w:t>
            </w:r>
            <w:proofErr w:type="spellStart"/>
            <w:r w:rsidRPr="00A772D3">
              <w:rPr>
                <w:rFonts w:ascii="Arial Narrow" w:hAnsi="Arial Narrow" w:cs="Arial"/>
                <w:sz w:val="24"/>
                <w:szCs w:val="24"/>
              </w:rPr>
              <w:t>Katti</w:t>
            </w:r>
            <w:proofErr w:type="spellEnd"/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; that his mother is </w:t>
            </w:r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>residing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in the property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5D6172" w:rsidRPr="00A772D3">
              <w:rPr>
                <w:rFonts w:ascii="Arial Narrow" w:hAnsi="Arial Narrow" w:cs="Arial"/>
                <w:sz w:val="24"/>
                <w:szCs w:val="24"/>
              </w:rPr>
              <w:t xml:space="preserve"> as her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D6172" w:rsidRPr="00A772D3">
              <w:rPr>
                <w:rFonts w:ascii="Arial Narrow" w:hAnsi="Arial Narrow" w:cs="Arial"/>
                <w:sz w:val="24"/>
                <w:szCs w:val="24"/>
              </w:rPr>
              <w:t>home,</w:t>
            </w:r>
            <w:r w:rsidR="00C06B39" w:rsidRPr="00A772D3">
              <w:rPr>
                <w:rFonts w:ascii="Arial Narrow" w:hAnsi="Arial Narrow" w:cs="Arial"/>
                <w:sz w:val="24"/>
                <w:szCs w:val="24"/>
              </w:rPr>
              <w:t xml:space="preserve"> which she occup</w:t>
            </w:r>
            <w:r w:rsidR="005D6172" w:rsidRPr="00A772D3">
              <w:rPr>
                <w:rFonts w:ascii="Arial Narrow" w:hAnsi="Arial Narrow" w:cs="Arial"/>
                <w:sz w:val="24"/>
                <w:szCs w:val="24"/>
              </w:rPr>
              <w:t>ies</w:t>
            </w:r>
            <w:r w:rsidR="00C06B39" w:rsidRPr="00A772D3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on a rent-free basis.</w:t>
            </w:r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 xml:space="preserve"> It is</w:t>
            </w:r>
            <w:r w:rsidR="00C06B39" w:rsidRPr="00A772D3">
              <w:rPr>
                <w:rFonts w:ascii="Arial Narrow" w:hAnsi="Arial Narrow" w:cs="Arial"/>
                <w:sz w:val="24"/>
                <w:szCs w:val="24"/>
              </w:rPr>
              <w:t xml:space="preserve"> further </w:t>
            </w:r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 xml:space="preserve">common cause that Form 24 notice was not served on Ms </w:t>
            </w:r>
            <w:proofErr w:type="spellStart"/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>Katti</w:t>
            </w:r>
            <w:proofErr w:type="spellEnd"/>
            <w:r w:rsidR="0030287B" w:rsidRPr="00A772D3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 xml:space="preserve"> What </w:t>
            </w:r>
            <w:r w:rsidR="00C06B39" w:rsidRPr="00A772D3">
              <w:rPr>
                <w:rFonts w:ascii="Arial Narrow" w:hAnsi="Arial Narrow" w:cs="Arial"/>
                <w:sz w:val="24"/>
                <w:szCs w:val="24"/>
              </w:rPr>
              <w:t xml:space="preserve">is 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 xml:space="preserve">in </w:t>
            </w:r>
            <w:r w:rsidR="00C06B39" w:rsidRPr="00A772D3">
              <w:rPr>
                <w:rFonts w:ascii="Arial Narrow" w:hAnsi="Arial Narrow" w:cs="Arial"/>
                <w:sz w:val="24"/>
                <w:szCs w:val="24"/>
              </w:rPr>
              <w:t>dispute</w:t>
            </w:r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 xml:space="preserve"> is that Mr </w:t>
            </w:r>
            <w:proofErr w:type="spellStart"/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>Katti’s</w:t>
            </w:r>
            <w:proofErr w:type="spellEnd"/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 xml:space="preserve"> mother is 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 xml:space="preserve">not </w:t>
            </w:r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>or can, in law</w:t>
            </w:r>
            <w:r w:rsidR="005D6172" w:rsidRPr="00A772D3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78341F" w:rsidRPr="00A772D3">
              <w:rPr>
                <w:rFonts w:ascii="Arial Narrow" w:hAnsi="Arial Narrow" w:cs="Arial"/>
                <w:sz w:val="24"/>
                <w:szCs w:val="24"/>
              </w:rPr>
              <w:t xml:space="preserve"> be said to be a lessee</w:t>
            </w:r>
            <w:r w:rsidR="0062225A" w:rsidRPr="00A772D3">
              <w:rPr>
                <w:rFonts w:ascii="Arial Narrow" w:hAnsi="Arial Narrow" w:cs="Arial"/>
                <w:sz w:val="24"/>
                <w:szCs w:val="24"/>
              </w:rPr>
              <w:t xml:space="preserve"> and was therefore necessary to serves her with the notice of application as per rule 108(2)</w:t>
            </w:r>
            <w:r w:rsidR="0062225A" w:rsidRPr="00A772D3">
              <w:rPr>
                <w:rFonts w:ascii="Arial Narrow" w:hAnsi="Arial Narrow" w:cs="Arial"/>
                <w:i/>
                <w:sz w:val="24"/>
                <w:szCs w:val="24"/>
              </w:rPr>
              <w:t>(b)</w:t>
            </w:r>
            <w:r w:rsidR="0050338C" w:rsidRPr="00A772D3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5D6172" w:rsidRPr="0050338C" w:rsidRDefault="005D6172" w:rsidP="002D4C2A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B388A" w:rsidRPr="00A772D3" w:rsidRDefault="005D6172" w:rsidP="00A772D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It was </w:t>
            </w:r>
            <w:r w:rsidR="00C50A1F" w:rsidRPr="00A772D3">
              <w:rPr>
                <w:rFonts w:ascii="Arial Narrow" w:hAnsi="Arial Narrow" w:cs="Arial"/>
                <w:sz w:val="24"/>
                <w:szCs w:val="24"/>
              </w:rPr>
              <w:t>contended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on</w:t>
            </w:r>
            <w:r w:rsidR="00C50A1F" w:rsidRPr="00A7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>behalf of the judgment debtor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0A1F" w:rsidRPr="00A772D3">
              <w:rPr>
                <w:rFonts w:ascii="Arial Narrow" w:hAnsi="Arial Narrow" w:cs="Arial"/>
                <w:sz w:val="24"/>
                <w:szCs w:val="24"/>
              </w:rPr>
              <w:t xml:space="preserve">relying on Grotius 3.19 56 ‘that rent besides being payable in money may consists in other things which can be </w:t>
            </w:r>
            <w:r w:rsidR="00D40029" w:rsidRPr="00A772D3">
              <w:rPr>
                <w:rFonts w:ascii="Arial Narrow" w:hAnsi="Arial Narrow" w:cs="Arial"/>
                <w:sz w:val="24"/>
                <w:szCs w:val="24"/>
              </w:rPr>
              <w:t>measured,</w:t>
            </w:r>
            <w:r w:rsidR="00C50A1F" w:rsidRPr="00A772D3">
              <w:rPr>
                <w:rFonts w:ascii="Arial Narrow" w:hAnsi="Arial Narrow" w:cs="Arial"/>
                <w:sz w:val="24"/>
                <w:szCs w:val="24"/>
              </w:rPr>
              <w:t xml:space="preserve"> counted or paid’. 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>Professor</w:t>
            </w:r>
            <w:r w:rsidR="00C50A1F" w:rsidRPr="00A772D3">
              <w:rPr>
                <w:rFonts w:ascii="Arial Narrow" w:hAnsi="Arial Narrow" w:cs="Arial"/>
                <w:sz w:val="24"/>
                <w:szCs w:val="24"/>
              </w:rPr>
              <w:t xml:space="preserve"> Kerr in his book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C50A1F" w:rsidRPr="00A7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0A1F" w:rsidRPr="00B160EB">
              <w:rPr>
                <w:rFonts w:ascii="Arial Narrow" w:hAnsi="Arial Narrow" w:cs="Arial"/>
                <w:i/>
                <w:sz w:val="24"/>
                <w:szCs w:val="24"/>
              </w:rPr>
              <w:t>The Law of Sale and Lease</w:t>
            </w:r>
            <w:r w:rsidR="00C50A1F" w:rsidRPr="00A772D3">
              <w:rPr>
                <w:rFonts w:ascii="Arial Narrow" w:hAnsi="Arial Narrow" w:cs="Arial"/>
                <w:sz w:val="24"/>
                <w:szCs w:val="24"/>
              </w:rPr>
              <w:t xml:space="preserve"> at page 179 discusses 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 xml:space="preserve">the matter and referred to the </w:t>
            </w:r>
            <w:r w:rsidR="003C4613" w:rsidRPr="00A772D3">
              <w:rPr>
                <w:rFonts w:ascii="Arial Narrow" w:hAnsi="Arial Narrow" w:cs="Arial"/>
                <w:i/>
                <w:sz w:val="24"/>
                <w:szCs w:val="24"/>
              </w:rPr>
              <w:t>Rubin v Botha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 xml:space="preserve"> 1911 AD 569.</w:t>
            </w:r>
            <w:r w:rsidR="00BB388A" w:rsidRPr="00A772D3">
              <w:rPr>
                <w:rFonts w:ascii="Arial Narrow" w:hAnsi="Arial Narrow" w:cs="Arial"/>
                <w:sz w:val="24"/>
                <w:szCs w:val="24"/>
              </w:rPr>
              <w:t xml:space="preserve"> In that matter it was 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>submitted</w:t>
            </w:r>
            <w:r w:rsidR="00BB388A" w:rsidRPr="00A772D3">
              <w:rPr>
                <w:rFonts w:ascii="Arial Narrow" w:hAnsi="Arial Narrow" w:cs="Arial"/>
                <w:sz w:val="24"/>
                <w:szCs w:val="24"/>
              </w:rPr>
              <w:t xml:space="preserve"> that. A tenant at will under the Roman Dutch law may be so by contract or without contract. If there is a contract he is a </w:t>
            </w:r>
            <w:r w:rsidR="00BB388A" w:rsidRPr="00A772D3">
              <w:rPr>
                <w:rFonts w:ascii="Arial Narrow" w:hAnsi="Arial Narrow" w:cs="Arial"/>
                <w:i/>
                <w:sz w:val="24"/>
                <w:szCs w:val="24"/>
              </w:rPr>
              <w:t>bona fide possessor</w:t>
            </w:r>
            <w:r w:rsidR="00BB388A" w:rsidRPr="00A772D3">
              <w:rPr>
                <w:rFonts w:ascii="Arial Narrow" w:hAnsi="Arial Narrow" w:cs="Arial"/>
                <w:sz w:val="24"/>
                <w:szCs w:val="24"/>
              </w:rPr>
              <w:t xml:space="preserve"> or a </w:t>
            </w:r>
            <w:r w:rsidR="00BB388A" w:rsidRPr="00A772D3">
              <w:rPr>
                <w:rFonts w:ascii="Arial Narrow" w:hAnsi="Arial Narrow" w:cs="Arial"/>
                <w:i/>
                <w:sz w:val="24"/>
                <w:szCs w:val="24"/>
              </w:rPr>
              <w:t>bona fide</w:t>
            </w:r>
            <w:r w:rsidR="00BB388A" w:rsidRPr="00A772D3">
              <w:rPr>
                <w:rFonts w:ascii="Arial Narrow" w:hAnsi="Arial Narrow" w:cs="Arial"/>
                <w:sz w:val="24"/>
                <w:szCs w:val="24"/>
              </w:rPr>
              <w:t xml:space="preserve"> occ</w:t>
            </w:r>
            <w:r w:rsidR="0050338C" w:rsidRPr="00A772D3">
              <w:rPr>
                <w:rFonts w:ascii="Arial Narrow" w:hAnsi="Arial Narrow" w:cs="Arial"/>
                <w:sz w:val="24"/>
                <w:szCs w:val="24"/>
              </w:rPr>
              <w:t>upier, it does not matter which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B388A" w:rsidRPr="00A772D3">
              <w:rPr>
                <w:rFonts w:ascii="Arial Narrow" w:hAnsi="Arial Narrow" w:cs="Arial"/>
                <w:sz w:val="24"/>
                <w:szCs w:val="24"/>
              </w:rPr>
              <w:t xml:space="preserve"> Kerr 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 xml:space="preserve">went on to say: </w:t>
            </w:r>
            <w:r w:rsidR="005D7161" w:rsidRPr="00A772D3">
              <w:rPr>
                <w:rFonts w:ascii="Arial Narrow" w:hAnsi="Arial Narrow" w:cs="Arial"/>
                <w:sz w:val="24"/>
                <w:szCs w:val="24"/>
              </w:rPr>
              <w:t xml:space="preserve">In it respondent purported to 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 xml:space="preserve">lease to the </w:t>
            </w:r>
            <w:r w:rsidR="005D7161" w:rsidRPr="00A772D3">
              <w:rPr>
                <w:rFonts w:ascii="Arial Narrow" w:hAnsi="Arial Narrow" w:cs="Arial"/>
                <w:sz w:val="24"/>
                <w:szCs w:val="24"/>
              </w:rPr>
              <w:t>appellant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 xml:space="preserve"> and his partner a piece of land for a period of ten years. No money was pass but the purported </w:t>
            </w:r>
            <w:r w:rsidR="005D7161" w:rsidRPr="00A772D3">
              <w:rPr>
                <w:rFonts w:ascii="Arial Narrow" w:hAnsi="Arial Narrow" w:cs="Arial"/>
                <w:sz w:val="24"/>
                <w:szCs w:val="24"/>
              </w:rPr>
              <w:t>lessee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 xml:space="preserve"> was to erect a </w:t>
            </w:r>
            <w:r w:rsidR="005D7161" w:rsidRPr="00A772D3">
              <w:rPr>
                <w:rFonts w:ascii="Arial Narrow" w:hAnsi="Arial Narrow" w:cs="Arial"/>
                <w:sz w:val="24"/>
                <w:szCs w:val="24"/>
              </w:rPr>
              <w:t>dwelling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 xml:space="preserve"> house, stable and fowl-run for which no compensation was </w:t>
            </w:r>
            <w:r w:rsidR="005D7161" w:rsidRPr="00A772D3">
              <w:rPr>
                <w:rFonts w:ascii="Arial Narrow" w:hAnsi="Arial Narrow" w:cs="Arial"/>
                <w:sz w:val="24"/>
                <w:szCs w:val="24"/>
              </w:rPr>
              <w:t>claimable and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 xml:space="preserve"> the end of </w:t>
            </w:r>
            <w:r w:rsidR="00BB388A" w:rsidRPr="00A772D3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 xml:space="preserve">he </w:t>
            </w:r>
            <w:r w:rsidR="005D7161" w:rsidRPr="00A772D3">
              <w:rPr>
                <w:rFonts w:ascii="Arial Narrow" w:hAnsi="Arial Narrow" w:cs="Arial"/>
                <w:sz w:val="24"/>
                <w:szCs w:val="24"/>
              </w:rPr>
              <w:t>lease.</w:t>
            </w:r>
            <w:r w:rsidR="0050338C" w:rsidRPr="00A7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>In the court a quo Smith J said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 xml:space="preserve"> the following</w:t>
            </w:r>
            <w:r w:rsidR="003C4613" w:rsidRPr="00A772D3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62225A" w:rsidRPr="00B160EB" w:rsidRDefault="0062225A" w:rsidP="002D4C2A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62225A" w:rsidRPr="00C73154" w:rsidRDefault="00BB388A" w:rsidP="00A772D3">
            <w:pPr>
              <w:spacing w:line="360" w:lineRule="auto"/>
              <w:ind w:left="10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‘In my opinion the plaintiff is not a </w:t>
            </w:r>
            <w:r w:rsidRPr="00C73154">
              <w:rPr>
                <w:rFonts w:ascii="Arial Narrow" w:hAnsi="Arial Narrow" w:cs="Arial"/>
                <w:i/>
                <w:sz w:val="24"/>
                <w:szCs w:val="24"/>
              </w:rPr>
              <w:t>bona fide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 pos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>sessor, but is a tenant at will . . .  I do.</w:t>
            </w:r>
          </w:p>
          <w:p w:rsidR="003A0103" w:rsidRPr="00C73154" w:rsidRDefault="00CC4E7A" w:rsidP="00A772D3">
            <w:pPr>
              <w:spacing w:line="360" w:lineRule="auto"/>
              <w:ind w:left="1013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3C4613" w:rsidRPr="00C73154">
              <w:rPr>
                <w:rFonts w:ascii="Arial Narrow" w:hAnsi="Arial Narrow" w:cs="Arial"/>
                <w:sz w:val="24"/>
                <w:szCs w:val="24"/>
              </w:rPr>
              <w:t xml:space="preserve"> do not think that the plaintiff can be </w:t>
            </w:r>
            <w:r w:rsidR="005D7161" w:rsidRPr="00C73154">
              <w:rPr>
                <w:rFonts w:ascii="Arial Narrow" w:hAnsi="Arial Narrow" w:cs="Arial"/>
                <w:sz w:val="24"/>
                <w:szCs w:val="24"/>
              </w:rPr>
              <w:t>regards</w:t>
            </w:r>
            <w:r w:rsidR="003C4613" w:rsidRPr="00C73154">
              <w:rPr>
                <w:rFonts w:ascii="Arial Narrow" w:hAnsi="Arial Narrow" w:cs="Arial"/>
                <w:sz w:val="24"/>
                <w:szCs w:val="24"/>
              </w:rPr>
              <w:t xml:space="preserve"> otherwise 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>than a</w:t>
            </w:r>
            <w:r w:rsidR="003C4613" w:rsidRPr="00C73154">
              <w:rPr>
                <w:rFonts w:ascii="Arial Narrow" w:hAnsi="Arial Narrow" w:cs="Arial"/>
                <w:sz w:val="24"/>
                <w:szCs w:val="24"/>
              </w:rPr>
              <w:t xml:space="preserve"> tenant merely because he was under no obligation to pay rent</w:t>
            </w:r>
            <w:r w:rsidR="005D7161" w:rsidRPr="00C731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C4613" w:rsidRPr="00C73154">
              <w:rPr>
                <w:rFonts w:ascii="Arial Narrow" w:hAnsi="Arial Narrow" w:cs="Arial"/>
                <w:sz w:val="24"/>
                <w:szCs w:val="24"/>
              </w:rPr>
              <w:t>[in mone</w:t>
            </w:r>
            <w:r w:rsidR="005D7161" w:rsidRPr="00C73154">
              <w:rPr>
                <w:rFonts w:ascii="Arial Narrow" w:hAnsi="Arial Narrow" w:cs="Arial"/>
                <w:sz w:val="24"/>
                <w:szCs w:val="24"/>
              </w:rPr>
              <w:t>y</w:t>
            </w:r>
            <w:r w:rsidR="003C4613" w:rsidRPr="00C73154">
              <w:rPr>
                <w:rFonts w:ascii="Arial Narrow" w:hAnsi="Arial Narrow" w:cs="Arial"/>
                <w:sz w:val="24"/>
                <w:szCs w:val="24"/>
              </w:rPr>
              <w:t>], but intended that the buildings he erected should become the property of the lessor</w:t>
            </w:r>
            <w:r w:rsidR="005D7161" w:rsidRPr="00C73154">
              <w:rPr>
                <w:rFonts w:ascii="Arial Narrow" w:hAnsi="Arial Narrow" w:cs="Arial"/>
                <w:sz w:val="24"/>
                <w:szCs w:val="24"/>
              </w:rPr>
              <w:t xml:space="preserve"> at the expiration of 10 years and so to compensate the latter for use and occupation of the land on which the building were erected.</w:t>
            </w:r>
            <w:r w:rsidR="0050338C">
              <w:rPr>
                <w:rFonts w:ascii="Arial Narrow" w:hAnsi="Arial Narrow" w:cs="Arial"/>
                <w:sz w:val="24"/>
                <w:szCs w:val="24"/>
              </w:rPr>
              <w:t>’</w:t>
            </w:r>
          </w:p>
          <w:p w:rsidR="00D40029" w:rsidRPr="00C73154" w:rsidRDefault="00D40029" w:rsidP="002D4C2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40029" w:rsidRPr="00A772D3" w:rsidRDefault="00D40029" w:rsidP="00A772D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772D3">
              <w:rPr>
                <w:rFonts w:ascii="Arial Narrow" w:hAnsi="Arial Narrow" w:cs="Arial"/>
                <w:sz w:val="24"/>
                <w:szCs w:val="24"/>
              </w:rPr>
              <w:lastRenderedPageBreak/>
              <w:t>On the basis of foregoing authorit</w:t>
            </w:r>
            <w:r w:rsidR="00851B88" w:rsidRPr="00A772D3">
              <w:rPr>
                <w:rFonts w:ascii="Arial Narrow" w:hAnsi="Arial Narrow" w:cs="Arial"/>
                <w:sz w:val="24"/>
                <w:szCs w:val="24"/>
              </w:rPr>
              <w:t>ies</w:t>
            </w:r>
            <w:r w:rsidR="0050338C" w:rsidRPr="00A772D3">
              <w:rPr>
                <w:rFonts w:ascii="Arial Narrow" w:hAnsi="Arial Narrow" w:cs="Arial"/>
                <w:sz w:val="24"/>
                <w:szCs w:val="24"/>
              </w:rPr>
              <w:t xml:space="preserve"> it would appear to me that M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s </w:t>
            </w:r>
            <w:proofErr w:type="spellStart"/>
            <w:r w:rsidRPr="00A772D3">
              <w:rPr>
                <w:rFonts w:ascii="Arial Narrow" w:hAnsi="Arial Narrow" w:cs="Arial"/>
                <w:sz w:val="24"/>
                <w:szCs w:val="24"/>
              </w:rPr>
              <w:t>Katti</w:t>
            </w:r>
            <w:proofErr w:type="spellEnd"/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would qualify as a </w:t>
            </w:r>
            <w:r w:rsidR="00BB388A" w:rsidRPr="00A772D3">
              <w:rPr>
                <w:rFonts w:ascii="Arial Narrow" w:hAnsi="Arial Narrow" w:cs="Arial"/>
                <w:sz w:val="24"/>
                <w:szCs w:val="24"/>
              </w:rPr>
              <w:t>tenant at will or ‘</w:t>
            </w:r>
            <w:r w:rsidRPr="00A772D3">
              <w:rPr>
                <w:rFonts w:ascii="Arial Narrow" w:hAnsi="Arial Narrow" w:cs="Arial"/>
                <w:i/>
                <w:sz w:val="24"/>
                <w:szCs w:val="24"/>
              </w:rPr>
              <w:t>lessee</w:t>
            </w:r>
            <w:r w:rsidR="00BB388A" w:rsidRPr="00A772D3">
              <w:rPr>
                <w:rFonts w:ascii="Arial Narrow" w:hAnsi="Arial Narrow" w:cs="Arial"/>
                <w:i/>
                <w:sz w:val="24"/>
                <w:szCs w:val="24"/>
              </w:rPr>
              <w:t xml:space="preserve"> at will’</w:t>
            </w:r>
            <w:r w:rsidR="00BB388A" w:rsidRPr="00A772D3">
              <w:rPr>
                <w:rFonts w:ascii="Arial Narrow" w:hAnsi="Arial Narrow" w:cs="Arial"/>
                <w:sz w:val="24"/>
                <w:szCs w:val="24"/>
              </w:rPr>
              <w:t xml:space="preserve"> if one may call he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BB388A" w:rsidRPr="00A772D3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BB388A" w:rsidRPr="00A772D3">
              <w:rPr>
                <w:rFonts w:ascii="Arial Narrow" w:hAnsi="Arial Narrow" w:cs="Arial"/>
                <w:sz w:val="24"/>
                <w:szCs w:val="24"/>
              </w:rPr>
              <w:t xml:space="preserve"> such,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for the purpose rule 108(2)</w:t>
            </w:r>
            <w:r w:rsidRPr="00A772D3">
              <w:rPr>
                <w:rFonts w:ascii="Arial Narrow" w:hAnsi="Arial Narrow" w:cs="Arial"/>
                <w:i/>
                <w:sz w:val="24"/>
                <w:szCs w:val="24"/>
              </w:rPr>
              <w:t>(</w:t>
            </w:r>
            <w:r w:rsidR="00851B88" w:rsidRPr="00A772D3">
              <w:rPr>
                <w:rFonts w:ascii="Arial Narrow" w:hAnsi="Arial Narrow" w:cs="Arial"/>
                <w:i/>
                <w:sz w:val="24"/>
                <w:szCs w:val="24"/>
              </w:rPr>
              <w:t>b</w:t>
            </w:r>
            <w:r w:rsidRPr="00A772D3">
              <w:rPr>
                <w:rFonts w:ascii="Arial Narrow" w:hAnsi="Arial Narrow" w:cs="Arial"/>
                <w:i/>
                <w:sz w:val="24"/>
                <w:szCs w:val="24"/>
              </w:rPr>
              <w:t>)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depending on the considerations</w:t>
            </w:r>
            <w:r w:rsidR="00A5758F" w:rsidRPr="00A772D3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other than money</w:t>
            </w:r>
            <w:r w:rsidR="00A5758F" w:rsidRPr="00A772D3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5758F" w:rsidRPr="00A772D3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851B88" w:rsidRPr="00A772D3">
              <w:rPr>
                <w:rFonts w:ascii="Arial Narrow" w:hAnsi="Arial Narrow" w:cs="Arial"/>
                <w:sz w:val="24"/>
                <w:szCs w:val="24"/>
              </w:rPr>
              <w:t xml:space="preserve">greed between her and Mr </w:t>
            </w:r>
            <w:proofErr w:type="spellStart"/>
            <w:r w:rsidR="00851B88" w:rsidRPr="00A772D3">
              <w:rPr>
                <w:rFonts w:ascii="Arial Narrow" w:hAnsi="Arial Narrow" w:cs="Arial"/>
                <w:sz w:val="24"/>
                <w:szCs w:val="24"/>
              </w:rPr>
              <w:t>Katti</w:t>
            </w:r>
            <w:proofErr w:type="spellEnd"/>
            <w:r w:rsidR="00851B88" w:rsidRPr="00A772D3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as </w:t>
            </w:r>
            <w:r w:rsidRPr="00A772D3">
              <w:rPr>
                <w:rFonts w:ascii="Arial Narrow" w:hAnsi="Arial Narrow" w:cs="Arial"/>
                <w:i/>
                <w:sz w:val="24"/>
                <w:szCs w:val="24"/>
              </w:rPr>
              <w:t>quid-pro-quo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>for</w:t>
            </w:r>
            <w:r w:rsidR="00851B88" w:rsidRPr="00A772D3">
              <w:rPr>
                <w:rFonts w:ascii="Arial Narrow" w:hAnsi="Arial Narrow" w:cs="Arial"/>
                <w:sz w:val="24"/>
                <w:szCs w:val="24"/>
              </w:rPr>
              <w:t xml:space="preserve"> her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occupying the house.</w:t>
            </w:r>
          </w:p>
          <w:p w:rsidR="00D40029" w:rsidRPr="00B160EB" w:rsidRDefault="00D40029" w:rsidP="002D4C2A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40029" w:rsidRPr="00A772D3" w:rsidRDefault="00D40029" w:rsidP="00A772D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013" w:hanging="567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772D3">
              <w:rPr>
                <w:rFonts w:ascii="Arial Narrow" w:hAnsi="Arial Narrow" w:cs="Arial"/>
                <w:sz w:val="24"/>
                <w:szCs w:val="24"/>
              </w:rPr>
              <w:t>The other reason why as an occupier</w:t>
            </w:r>
            <w:r w:rsidR="00CC4E7A" w:rsidRPr="00A772D3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Ms </w:t>
            </w:r>
            <w:proofErr w:type="spellStart"/>
            <w:r w:rsidRPr="00A772D3">
              <w:rPr>
                <w:rFonts w:ascii="Arial Narrow" w:hAnsi="Arial Narrow" w:cs="Arial"/>
                <w:sz w:val="24"/>
                <w:szCs w:val="24"/>
              </w:rPr>
              <w:t>Katti</w:t>
            </w:r>
            <w:proofErr w:type="spellEnd"/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was entitled to be served with the application, was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 xml:space="preserve"> as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explained by the court </w:t>
            </w:r>
            <w:proofErr w:type="spellStart"/>
            <w:r w:rsidRPr="00A772D3">
              <w:rPr>
                <w:rFonts w:ascii="Arial Narrow" w:hAnsi="Arial Narrow" w:cs="Arial"/>
                <w:sz w:val="24"/>
                <w:szCs w:val="24"/>
              </w:rPr>
              <w:t>Futeni</w:t>
            </w:r>
            <w:proofErr w:type="spellEnd"/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Collections</w:t>
            </w:r>
            <w:r w:rsidR="00A5758F" w:rsidRPr="00A772D3">
              <w:rPr>
                <w:rFonts w:ascii="Arial Narrow" w:hAnsi="Arial Narrow" w:cs="Arial"/>
                <w:sz w:val="24"/>
                <w:szCs w:val="24"/>
              </w:rPr>
              <w:t xml:space="preserve"> (Pty) Ltd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v De </w:t>
            </w:r>
            <w:proofErr w:type="spellStart"/>
            <w:r w:rsidRPr="00A772D3">
              <w:rPr>
                <w:rFonts w:ascii="Arial Narrow" w:hAnsi="Arial Narrow" w:cs="Arial"/>
                <w:sz w:val="24"/>
                <w:szCs w:val="24"/>
              </w:rPr>
              <w:t>Duine</w:t>
            </w:r>
            <w:proofErr w:type="spellEnd"/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5758F" w:rsidRPr="00A772D3">
              <w:rPr>
                <w:rFonts w:ascii="Arial Narrow" w:hAnsi="Arial Narrow" w:cs="Arial"/>
                <w:sz w:val="24"/>
                <w:szCs w:val="24"/>
              </w:rPr>
              <w:t xml:space="preserve">(Pty) Ltd 2015 (3) NR 829 (HC) 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 xml:space="preserve">at para 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 xml:space="preserve">41 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>the notice should be given to the occupier for her or him to provide reasons within 10</w:t>
            </w:r>
            <w:r w:rsidR="00947BEE" w:rsidRPr="00A77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772D3">
              <w:rPr>
                <w:rFonts w:ascii="Arial Narrow" w:hAnsi="Arial Narrow" w:cs="Arial"/>
                <w:sz w:val="24"/>
                <w:szCs w:val="24"/>
              </w:rPr>
              <w:t>days on receipt of the notice as to why the</w:t>
            </w:r>
            <w:r w:rsidR="00947BEE" w:rsidRPr="00A772D3">
              <w:rPr>
                <w:rFonts w:ascii="Arial Narrow" w:hAnsi="Arial Narrow" w:cs="Arial"/>
                <w:sz w:val="24"/>
                <w:szCs w:val="24"/>
              </w:rPr>
              <w:t xml:space="preserve"> property should not be declared executable</w:t>
            </w:r>
            <w:r w:rsidR="00CC4E7A" w:rsidRPr="00A772D3">
              <w:rPr>
                <w:rFonts w:ascii="Arial Narrow" w:hAnsi="Arial Narrow" w:cs="Arial"/>
                <w:sz w:val="24"/>
                <w:szCs w:val="24"/>
              </w:rPr>
              <w:t xml:space="preserve">. If the occupier is not served with the notice he or she might not be able to bring the application 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 xml:space="preserve">to declare the property executable </w:t>
            </w:r>
            <w:r w:rsidR="00CC4E7A" w:rsidRPr="00A772D3">
              <w:rPr>
                <w:rFonts w:ascii="Arial Narrow" w:hAnsi="Arial Narrow" w:cs="Arial"/>
                <w:sz w:val="24"/>
                <w:szCs w:val="24"/>
              </w:rPr>
              <w:t>to the notice of the owner so that the latter can take the necessary action and for the occupier to make the necessary arrangements to find alternative accommodation.</w:t>
            </w:r>
          </w:p>
          <w:p w:rsidR="004E7D33" w:rsidRPr="00A81926" w:rsidRDefault="004E7D33" w:rsidP="00BA3715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u w:val="single"/>
              </w:rPr>
            </w:pPr>
          </w:p>
          <w:p w:rsidR="003E50E8" w:rsidRPr="00A81926" w:rsidRDefault="003E50E8" w:rsidP="00A772D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46" w:hanging="426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A81926">
              <w:rPr>
                <w:rFonts w:ascii="Arial Narrow" w:hAnsi="Arial Narrow" w:cs="Arial"/>
                <w:sz w:val="24"/>
                <w:szCs w:val="24"/>
                <w:u w:val="single"/>
              </w:rPr>
              <w:t>Costs</w:t>
            </w:r>
          </w:p>
          <w:p w:rsidR="006039AA" w:rsidRPr="0050338C" w:rsidRDefault="006039AA" w:rsidP="002D4C2A">
            <w:pPr>
              <w:spacing w:line="360" w:lineRule="auto"/>
              <w:ind w:hanging="18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3E50E8" w:rsidRPr="00C73154" w:rsidRDefault="00CC4E7A" w:rsidP="00A772D3">
            <w:pPr>
              <w:spacing w:line="360" w:lineRule="auto"/>
              <w:ind w:left="446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The court could not </w:t>
            </w:r>
            <w:r w:rsidR="00B160EB">
              <w:rPr>
                <w:rFonts w:ascii="Arial Narrow" w:hAnsi="Arial Narrow" w:cs="Arial"/>
                <w:sz w:val="24"/>
                <w:szCs w:val="24"/>
              </w:rPr>
              <w:t>find</w:t>
            </w: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 the reason why the normal rule, namely costs follow the result, should not apply. The applicant had been unsuccessful. It must pay the respondent</w:t>
            </w:r>
            <w:r w:rsidR="00FD3814" w:rsidRPr="00C73154">
              <w:rPr>
                <w:rFonts w:ascii="Arial Narrow" w:hAnsi="Arial Narrow" w:cs="Arial"/>
                <w:sz w:val="24"/>
                <w:szCs w:val="24"/>
              </w:rPr>
              <w:t xml:space="preserve"> costs.</w:t>
            </w:r>
          </w:p>
          <w:p w:rsidR="00A23F8A" w:rsidRPr="00C73154" w:rsidRDefault="00A23F8A" w:rsidP="00E3339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E5489" w:rsidRPr="00C73154" w:rsidTr="00C04EBD">
        <w:tc>
          <w:tcPr>
            <w:tcW w:w="4770" w:type="dxa"/>
          </w:tcPr>
          <w:p w:rsidR="00BE5489" w:rsidRPr="00C73154" w:rsidRDefault="00EB27A0" w:rsidP="00503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C73154" w:rsidRDefault="00EB27A0" w:rsidP="0050338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Note to the parties:</w:t>
            </w:r>
          </w:p>
        </w:tc>
      </w:tr>
      <w:tr w:rsidR="00BE5489" w:rsidRPr="00C73154" w:rsidTr="0050338C">
        <w:trPr>
          <w:trHeight w:val="1114"/>
        </w:trPr>
        <w:tc>
          <w:tcPr>
            <w:tcW w:w="4770" w:type="dxa"/>
          </w:tcPr>
          <w:p w:rsidR="00BE5489" w:rsidRPr="00C73154" w:rsidRDefault="00BE5489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D2D84" w:rsidRPr="00C73154" w:rsidRDefault="006D2D84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6C8B" w:rsidRPr="00C73154" w:rsidRDefault="009F6C8B" w:rsidP="00EB27A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BE5489" w:rsidRPr="00C73154" w:rsidRDefault="00BE5489" w:rsidP="0095219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23F8A" w:rsidRPr="00C73154" w:rsidTr="00B530B4">
        <w:tc>
          <w:tcPr>
            <w:tcW w:w="9720" w:type="dxa"/>
            <w:gridSpan w:val="3"/>
          </w:tcPr>
          <w:p w:rsidR="00A23F8A" w:rsidRPr="00C73154" w:rsidRDefault="00A23F8A" w:rsidP="00A23F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Counsel:</w:t>
            </w:r>
          </w:p>
        </w:tc>
      </w:tr>
      <w:tr w:rsidR="00FD38C2" w:rsidRPr="00C73154" w:rsidTr="00FD38C2">
        <w:tc>
          <w:tcPr>
            <w:tcW w:w="4770" w:type="dxa"/>
          </w:tcPr>
          <w:p w:rsidR="00FD38C2" w:rsidRPr="00C73154" w:rsidRDefault="00FD38C2" w:rsidP="00FD38C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b/>
                <w:sz w:val="24"/>
                <w:szCs w:val="24"/>
              </w:rPr>
              <w:t>Applicant(s)</w:t>
            </w:r>
          </w:p>
        </w:tc>
        <w:tc>
          <w:tcPr>
            <w:tcW w:w="4950" w:type="dxa"/>
            <w:gridSpan w:val="2"/>
          </w:tcPr>
          <w:p w:rsidR="00FD38C2" w:rsidRPr="00C73154" w:rsidRDefault="0050338C" w:rsidP="00FF561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Respondent</w:t>
            </w:r>
          </w:p>
        </w:tc>
      </w:tr>
      <w:tr w:rsidR="00A23F8A" w:rsidRPr="00C73154" w:rsidTr="00FD38C2">
        <w:tc>
          <w:tcPr>
            <w:tcW w:w="4770" w:type="dxa"/>
          </w:tcPr>
          <w:p w:rsidR="00A23F8A" w:rsidRDefault="00B160EB" w:rsidP="0050338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Mr Barnard</w:t>
            </w:r>
          </w:p>
          <w:p w:rsidR="00B160EB" w:rsidRPr="00A81926" w:rsidRDefault="00B160EB" w:rsidP="0050338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1926">
              <w:rPr>
                <w:rFonts w:ascii="Arial Narrow" w:hAnsi="Arial Narrow" w:cs="Arial"/>
                <w:sz w:val="24"/>
                <w:szCs w:val="24"/>
              </w:rPr>
              <w:t>instructed by</w:t>
            </w:r>
          </w:p>
          <w:p w:rsidR="00A23F8A" w:rsidRPr="00C73154" w:rsidRDefault="000C0A07" w:rsidP="0050338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>Van der Merwe-</w:t>
            </w:r>
            <w:proofErr w:type="spellStart"/>
            <w:r w:rsidRPr="00C73154">
              <w:rPr>
                <w:rFonts w:ascii="Arial Narrow" w:hAnsi="Arial Narrow" w:cs="Arial"/>
                <w:sz w:val="24"/>
                <w:szCs w:val="24"/>
              </w:rPr>
              <w:t>Greeff</w:t>
            </w:r>
            <w:proofErr w:type="spellEnd"/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C73154">
              <w:rPr>
                <w:rFonts w:ascii="Arial Narrow" w:hAnsi="Arial Narrow" w:cs="Arial"/>
                <w:sz w:val="24"/>
                <w:szCs w:val="24"/>
              </w:rPr>
              <w:t>Andima</w:t>
            </w:r>
            <w:proofErr w:type="spellEnd"/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 Inc.</w:t>
            </w:r>
          </w:p>
          <w:p w:rsidR="006D2D84" w:rsidRPr="00C73154" w:rsidRDefault="006D2D84" w:rsidP="0050338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A23F8A" w:rsidRDefault="00B160EB" w:rsidP="0050338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Mr Metcalfe</w:t>
            </w:r>
          </w:p>
          <w:p w:rsidR="00B160EB" w:rsidRPr="00A81926" w:rsidRDefault="00B160EB" w:rsidP="0050338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1926">
              <w:rPr>
                <w:rFonts w:ascii="Arial Narrow" w:hAnsi="Arial Narrow" w:cs="Arial"/>
                <w:sz w:val="24"/>
                <w:szCs w:val="24"/>
              </w:rPr>
              <w:t>corresponden</w:t>
            </w:r>
            <w:r w:rsidR="00F16C57" w:rsidRPr="00A81926">
              <w:rPr>
                <w:rFonts w:ascii="Arial Narrow" w:hAnsi="Arial Narrow" w:cs="Arial"/>
                <w:sz w:val="24"/>
                <w:szCs w:val="24"/>
              </w:rPr>
              <w:t>t</w:t>
            </w:r>
            <w:r w:rsidRPr="00A81926">
              <w:rPr>
                <w:rFonts w:ascii="Arial Narrow" w:hAnsi="Arial Narrow" w:cs="Arial"/>
                <w:sz w:val="24"/>
                <w:szCs w:val="24"/>
              </w:rPr>
              <w:t xml:space="preserve"> of</w:t>
            </w:r>
          </w:p>
          <w:p w:rsidR="00FD38C2" w:rsidRPr="00C73154" w:rsidRDefault="000C0A07" w:rsidP="0050338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Louis </w:t>
            </w:r>
            <w:proofErr w:type="spellStart"/>
            <w:r w:rsidRPr="00C73154">
              <w:rPr>
                <w:rFonts w:ascii="Arial Narrow" w:hAnsi="Arial Narrow" w:cs="Arial"/>
                <w:sz w:val="24"/>
                <w:szCs w:val="24"/>
              </w:rPr>
              <w:t>Karsten</w:t>
            </w:r>
            <w:proofErr w:type="spellEnd"/>
            <w:r w:rsidRPr="00C73154">
              <w:rPr>
                <w:rFonts w:ascii="Arial Narrow" w:hAnsi="Arial Narrow" w:cs="Arial"/>
                <w:sz w:val="24"/>
                <w:szCs w:val="24"/>
              </w:rPr>
              <w:t xml:space="preserve"> Legal Practitioners</w:t>
            </w:r>
            <w:bookmarkStart w:id="0" w:name="_GoBack"/>
            <w:bookmarkEnd w:id="0"/>
          </w:p>
        </w:tc>
      </w:tr>
    </w:tbl>
    <w:p w:rsidR="009B096F" w:rsidRDefault="009B096F" w:rsidP="00EB27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9B096F" w:rsidSect="0050338C">
      <w:footerReference w:type="default" r:id="rId8"/>
      <w:pgSz w:w="11906" w:h="16838"/>
      <w:pgMar w:top="1080" w:right="1440" w:bottom="1560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92" w:rsidRDefault="00E92692" w:rsidP="00A23F8A">
      <w:pPr>
        <w:spacing w:after="0" w:line="240" w:lineRule="auto"/>
      </w:pPr>
      <w:r>
        <w:separator/>
      </w:r>
    </w:p>
  </w:endnote>
  <w:endnote w:type="continuationSeparator" w:id="0">
    <w:p w:rsidR="00E92692" w:rsidRDefault="00E92692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7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F8A" w:rsidRDefault="00A23F8A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A81926">
          <w:rPr>
            <w:rFonts w:ascii="Arial Narrow" w:hAnsi="Arial Narrow"/>
            <w:noProof/>
            <w:sz w:val="18"/>
            <w:szCs w:val="18"/>
          </w:rPr>
          <w:t>1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92" w:rsidRDefault="00E92692" w:rsidP="00A23F8A">
      <w:pPr>
        <w:spacing w:after="0" w:line="240" w:lineRule="auto"/>
      </w:pPr>
      <w:r>
        <w:separator/>
      </w:r>
    </w:p>
  </w:footnote>
  <w:footnote w:type="continuationSeparator" w:id="0">
    <w:p w:rsidR="00E92692" w:rsidRDefault="00E92692" w:rsidP="00A2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676"/>
    <w:multiLevelType w:val="hybridMultilevel"/>
    <w:tmpl w:val="DC88FBD4"/>
    <w:lvl w:ilvl="0" w:tplc="A0904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3676F"/>
    <w:multiLevelType w:val="hybridMultilevel"/>
    <w:tmpl w:val="0F5456CA"/>
    <w:lvl w:ilvl="0" w:tplc="76D411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3512E"/>
    <w:multiLevelType w:val="hybridMultilevel"/>
    <w:tmpl w:val="1E40EB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007708"/>
    <w:rsid w:val="000C0A07"/>
    <w:rsid w:val="000D5FE9"/>
    <w:rsid w:val="00112D50"/>
    <w:rsid w:val="00113321"/>
    <w:rsid w:val="00124EC8"/>
    <w:rsid w:val="00165FEE"/>
    <w:rsid w:val="001804AD"/>
    <w:rsid w:val="001F1ECD"/>
    <w:rsid w:val="001F4A48"/>
    <w:rsid w:val="002002FA"/>
    <w:rsid w:val="00203E3D"/>
    <w:rsid w:val="00281A10"/>
    <w:rsid w:val="00281FAB"/>
    <w:rsid w:val="002D4C2A"/>
    <w:rsid w:val="00300CF7"/>
    <w:rsid w:val="0030287B"/>
    <w:rsid w:val="00323762"/>
    <w:rsid w:val="00334EC0"/>
    <w:rsid w:val="00347DBC"/>
    <w:rsid w:val="00371CD0"/>
    <w:rsid w:val="00396AF1"/>
    <w:rsid w:val="003A0103"/>
    <w:rsid w:val="003C4613"/>
    <w:rsid w:val="003E3D0D"/>
    <w:rsid w:val="003E50E8"/>
    <w:rsid w:val="003F52A2"/>
    <w:rsid w:val="00425554"/>
    <w:rsid w:val="00431CC4"/>
    <w:rsid w:val="004546CC"/>
    <w:rsid w:val="00456199"/>
    <w:rsid w:val="004E7D33"/>
    <w:rsid w:val="0050338C"/>
    <w:rsid w:val="005234EE"/>
    <w:rsid w:val="005403D8"/>
    <w:rsid w:val="005955B1"/>
    <w:rsid w:val="005D0592"/>
    <w:rsid w:val="005D6172"/>
    <w:rsid w:val="005D7161"/>
    <w:rsid w:val="005E5A8F"/>
    <w:rsid w:val="006039AA"/>
    <w:rsid w:val="00621EE8"/>
    <w:rsid w:val="0062225A"/>
    <w:rsid w:val="006475B1"/>
    <w:rsid w:val="00652595"/>
    <w:rsid w:val="00686B3F"/>
    <w:rsid w:val="006D22F9"/>
    <w:rsid w:val="006D2D84"/>
    <w:rsid w:val="006D3624"/>
    <w:rsid w:val="006E2964"/>
    <w:rsid w:val="00715AD2"/>
    <w:rsid w:val="0073012B"/>
    <w:rsid w:val="00777156"/>
    <w:rsid w:val="0078341F"/>
    <w:rsid w:val="0079456D"/>
    <w:rsid w:val="007C2DFE"/>
    <w:rsid w:val="00806B14"/>
    <w:rsid w:val="00823237"/>
    <w:rsid w:val="00851B88"/>
    <w:rsid w:val="00864008"/>
    <w:rsid w:val="00864FC2"/>
    <w:rsid w:val="008930A5"/>
    <w:rsid w:val="008A14A9"/>
    <w:rsid w:val="008C0AC7"/>
    <w:rsid w:val="008D65E9"/>
    <w:rsid w:val="008D79D4"/>
    <w:rsid w:val="00905A48"/>
    <w:rsid w:val="00912D4E"/>
    <w:rsid w:val="00947BEE"/>
    <w:rsid w:val="00952193"/>
    <w:rsid w:val="009B096F"/>
    <w:rsid w:val="009F6C8B"/>
    <w:rsid w:val="00A06FD8"/>
    <w:rsid w:val="00A14435"/>
    <w:rsid w:val="00A23F8A"/>
    <w:rsid w:val="00A258AF"/>
    <w:rsid w:val="00A5758F"/>
    <w:rsid w:val="00A635A8"/>
    <w:rsid w:val="00A772D3"/>
    <w:rsid w:val="00A81203"/>
    <w:rsid w:val="00A81926"/>
    <w:rsid w:val="00A82F94"/>
    <w:rsid w:val="00AB5193"/>
    <w:rsid w:val="00AC4198"/>
    <w:rsid w:val="00AD2963"/>
    <w:rsid w:val="00B160EB"/>
    <w:rsid w:val="00B1649C"/>
    <w:rsid w:val="00B30012"/>
    <w:rsid w:val="00B337FC"/>
    <w:rsid w:val="00BA213D"/>
    <w:rsid w:val="00BA3715"/>
    <w:rsid w:val="00BB388A"/>
    <w:rsid w:val="00BC4D4A"/>
    <w:rsid w:val="00BE5489"/>
    <w:rsid w:val="00BE7DE8"/>
    <w:rsid w:val="00BF2258"/>
    <w:rsid w:val="00C04EBD"/>
    <w:rsid w:val="00C06B39"/>
    <w:rsid w:val="00C249D9"/>
    <w:rsid w:val="00C332BE"/>
    <w:rsid w:val="00C50A1F"/>
    <w:rsid w:val="00C73154"/>
    <w:rsid w:val="00CA4320"/>
    <w:rsid w:val="00CC4E7A"/>
    <w:rsid w:val="00CC5024"/>
    <w:rsid w:val="00D22ACF"/>
    <w:rsid w:val="00D40029"/>
    <w:rsid w:val="00D862BF"/>
    <w:rsid w:val="00E3339B"/>
    <w:rsid w:val="00E92692"/>
    <w:rsid w:val="00EB27A0"/>
    <w:rsid w:val="00F16C57"/>
    <w:rsid w:val="00F53DDE"/>
    <w:rsid w:val="00F571A4"/>
    <w:rsid w:val="00F66EB8"/>
    <w:rsid w:val="00FD3814"/>
    <w:rsid w:val="00FD38C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4E541-DE00-4FA1-AA74-B0CA521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2018-03-07T18:30:00+00:00</Judgment_x0020_Date>
    <Year xmlns="c1afb1bd-f2fb-40fd-9abb-aea55b4d7662">2018</Year>
  </documentManagement>
</p:properties>
</file>

<file path=customXml/itemProps1.xml><?xml version="1.0" encoding="utf-8"?>
<ds:datastoreItem xmlns:ds="http://schemas.openxmlformats.org/officeDocument/2006/customXml" ds:itemID="{9A709729-5494-455D-B631-4337CD44EEAB}"/>
</file>

<file path=customXml/itemProps2.xml><?xml version="1.0" encoding="utf-8"?>
<ds:datastoreItem xmlns:ds="http://schemas.openxmlformats.org/officeDocument/2006/customXml" ds:itemID="{43C7AE69-6C99-4EA8-8635-B7F35363D1F3}"/>
</file>

<file path=customXml/itemProps3.xml><?xml version="1.0" encoding="utf-8"?>
<ds:datastoreItem xmlns:ds="http://schemas.openxmlformats.org/officeDocument/2006/customXml" ds:itemID="{C85D12BF-EE62-4570-A5FB-71D959736B81}"/>
</file>

<file path=customXml/itemProps4.xml><?xml version="1.0" encoding="utf-8"?>
<ds:datastoreItem xmlns:ds="http://schemas.openxmlformats.org/officeDocument/2006/customXml" ds:itemID="{83388C56-6221-455D-A224-8AE77E8FA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Rouco Auto Manufacturers (Pty) Ltd v Erf Two Four Walvis Bay CC</dc:title>
  <dc:subject/>
  <dc:creator>E. Kharases</dc:creator>
  <cp:keywords/>
  <dc:description/>
  <cp:lastModifiedBy>Nicole Januarie</cp:lastModifiedBy>
  <cp:revision>3</cp:revision>
  <cp:lastPrinted>2018-03-08T14:15:00Z</cp:lastPrinted>
  <dcterms:created xsi:type="dcterms:W3CDTF">2018-03-26T07:23:00Z</dcterms:created>
  <dcterms:modified xsi:type="dcterms:W3CDTF">2018-03-26T07:39:00Z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