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08" w:rsidRDefault="000B5B08" w:rsidP="000539BA">
      <w:pPr>
        <w:spacing w:line="360" w:lineRule="auto"/>
        <w:jc w:val="center"/>
        <w:rPr>
          <w:rFonts w:ascii="Arial" w:hAnsi="Arial" w:cs="Arial"/>
          <w:b/>
          <w:szCs w:val="24"/>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B5B08" w:rsidRDefault="000B5B08" w:rsidP="000B5B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0B5B08" w:rsidRDefault="000B5B08" w:rsidP="000B5B08">
                      <w:pPr>
                        <w:jc w:val="center"/>
                      </w:pPr>
                    </w:p>
                  </w:txbxContent>
                </v:textbox>
              </v:shape>
            </w:pict>
          </mc:Fallback>
        </mc:AlternateContent>
      </w:r>
      <w:r>
        <w:rPr>
          <w:rFonts w:ascii="Arial" w:hAnsi="Arial" w:cs="Arial"/>
          <w:b/>
          <w:szCs w:val="24"/>
        </w:rPr>
        <w:t>REPUBLIC OF NAMIBIA</w:t>
      </w:r>
    </w:p>
    <w:p w:rsidR="000B5B08" w:rsidRDefault="000B5B08" w:rsidP="000B5B08">
      <w:pPr>
        <w:spacing w:line="360" w:lineRule="auto"/>
        <w:ind w:left="864" w:hanging="864"/>
        <w:jc w:val="center"/>
        <w:rPr>
          <w:rFonts w:ascii="Arial" w:hAnsi="Arial" w:cs="Arial"/>
          <w:b/>
        </w:rPr>
      </w:pPr>
      <w:r>
        <w:rPr>
          <w:b/>
          <w:noProof/>
          <w:sz w:val="32"/>
          <w:szCs w:val="32"/>
        </w:rPr>
        <w:drawing>
          <wp:inline distT="0" distB="0" distL="0" distR="0" wp14:anchorId="1B64D4D5" wp14:editId="0645A269">
            <wp:extent cx="1590675" cy="1343025"/>
            <wp:effectExtent l="0" t="0" r="9525"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srcRect/>
                    <a:stretch>
                      <a:fillRect/>
                    </a:stretch>
                  </pic:blipFill>
                  <pic:spPr bwMode="auto">
                    <a:xfrm>
                      <a:off x="0" y="0"/>
                      <a:ext cx="1590675" cy="1343025"/>
                    </a:xfrm>
                    <a:prstGeom prst="rect">
                      <a:avLst/>
                    </a:prstGeom>
                    <a:noFill/>
                    <a:ln w="9525">
                      <a:noFill/>
                      <a:miter lim="800000"/>
                      <a:headEnd/>
                      <a:tailEnd/>
                    </a:ln>
                  </pic:spPr>
                </pic:pic>
              </a:graphicData>
            </a:graphic>
          </wp:inline>
        </w:drawing>
      </w:r>
    </w:p>
    <w:p w:rsidR="000B5B08" w:rsidRDefault="000B5B08" w:rsidP="000B5B08">
      <w:pPr>
        <w:spacing w:line="360" w:lineRule="auto"/>
        <w:ind w:left="864" w:hanging="864"/>
        <w:jc w:val="center"/>
        <w:rPr>
          <w:rFonts w:ascii="Arial" w:hAnsi="Arial" w:cs="Arial"/>
          <w:b/>
        </w:rPr>
      </w:pPr>
      <w:r>
        <w:rPr>
          <w:rFonts w:ascii="Arial" w:hAnsi="Arial" w:cs="Arial"/>
          <w:b/>
        </w:rPr>
        <w:t>HIGH COURT OF NAMIBIA MAIN DIVISION, WINDHOEK</w:t>
      </w:r>
    </w:p>
    <w:p w:rsidR="000B5B08" w:rsidRDefault="000B5B08" w:rsidP="000B5B08">
      <w:pPr>
        <w:spacing w:line="360" w:lineRule="auto"/>
        <w:ind w:left="864" w:hanging="864"/>
        <w:jc w:val="center"/>
        <w:rPr>
          <w:rFonts w:ascii="Arial" w:hAnsi="Arial" w:cs="Arial"/>
          <w:b/>
        </w:rPr>
      </w:pPr>
      <w:r>
        <w:rPr>
          <w:rFonts w:ascii="Arial" w:hAnsi="Arial" w:cs="Arial"/>
          <w:b/>
        </w:rPr>
        <w:t>JUDGMENT</w:t>
      </w:r>
    </w:p>
    <w:p w:rsidR="000B5B08" w:rsidRDefault="000B5B08" w:rsidP="000B5B08">
      <w:pPr>
        <w:spacing w:line="360" w:lineRule="auto"/>
        <w:ind w:left="864" w:hanging="864"/>
        <w:jc w:val="both"/>
        <w:rPr>
          <w:rFonts w:ascii="Arial" w:hAnsi="Arial" w:cs="Arial"/>
          <w:b/>
        </w:rPr>
      </w:pPr>
    </w:p>
    <w:p w:rsidR="000B5B08" w:rsidRPr="00D14E25" w:rsidRDefault="000B5B08" w:rsidP="00D14E25">
      <w:pPr>
        <w:tabs>
          <w:tab w:val="right" w:pos="9000"/>
        </w:tabs>
        <w:spacing w:after="0" w:line="360" w:lineRule="auto"/>
        <w:rPr>
          <w:rFonts w:ascii="Arial" w:hAnsi="Arial" w:cs="Arial"/>
          <w:sz w:val="24"/>
          <w:szCs w:val="24"/>
          <w:lang w:val="en-GB"/>
        </w:rPr>
      </w:pPr>
      <w:r>
        <w:rPr>
          <w:rFonts w:ascii="Arial" w:hAnsi="Arial" w:cs="Arial"/>
          <w:b/>
        </w:rPr>
        <w:tab/>
      </w:r>
      <w:r w:rsidR="00D14E25">
        <w:rPr>
          <w:rFonts w:ascii="Arial" w:hAnsi="Arial" w:cs="Arial"/>
          <w:sz w:val="24"/>
          <w:szCs w:val="24"/>
          <w:lang w:val="en-GB"/>
        </w:rPr>
        <w:t>Case no: I 2551/2014</w:t>
      </w:r>
    </w:p>
    <w:p w:rsidR="000B5B08" w:rsidRPr="00D92BFE" w:rsidRDefault="000B5B08" w:rsidP="00407689">
      <w:pPr>
        <w:spacing w:line="360" w:lineRule="auto"/>
        <w:ind w:left="864" w:hanging="864"/>
        <w:jc w:val="both"/>
        <w:rPr>
          <w:rFonts w:ascii="Arial" w:hAnsi="Arial" w:cs="Arial"/>
          <w:sz w:val="24"/>
          <w:szCs w:val="24"/>
        </w:rPr>
      </w:pPr>
    </w:p>
    <w:p w:rsidR="000B5B08" w:rsidRPr="00D92BFE" w:rsidRDefault="000B5B08" w:rsidP="000B5B08">
      <w:pPr>
        <w:tabs>
          <w:tab w:val="left" w:pos="1980"/>
        </w:tabs>
        <w:spacing w:line="360" w:lineRule="auto"/>
        <w:jc w:val="both"/>
        <w:rPr>
          <w:rFonts w:ascii="Arial" w:hAnsi="Arial" w:cs="Arial"/>
          <w:sz w:val="24"/>
          <w:szCs w:val="24"/>
        </w:rPr>
      </w:pPr>
      <w:r w:rsidRPr="00D92BFE">
        <w:rPr>
          <w:rFonts w:ascii="Arial" w:hAnsi="Arial" w:cs="Arial"/>
          <w:sz w:val="24"/>
          <w:szCs w:val="24"/>
        </w:rPr>
        <w:t>In the matter between:</w:t>
      </w:r>
    </w:p>
    <w:p w:rsidR="00407689" w:rsidRPr="00D92BFE" w:rsidRDefault="00407689" w:rsidP="000B5B08">
      <w:pPr>
        <w:tabs>
          <w:tab w:val="left" w:pos="1980"/>
        </w:tabs>
        <w:spacing w:line="360" w:lineRule="auto"/>
        <w:jc w:val="both"/>
        <w:rPr>
          <w:rFonts w:ascii="Arial" w:hAnsi="Arial" w:cs="Arial"/>
          <w:sz w:val="24"/>
          <w:szCs w:val="24"/>
        </w:rPr>
      </w:pPr>
    </w:p>
    <w:p w:rsidR="000B5B08" w:rsidRPr="00D92BFE" w:rsidRDefault="00D14E25" w:rsidP="000B5B08">
      <w:pPr>
        <w:tabs>
          <w:tab w:val="left" w:pos="1980"/>
        </w:tabs>
        <w:spacing w:line="360" w:lineRule="auto"/>
        <w:jc w:val="both"/>
        <w:rPr>
          <w:rFonts w:ascii="Arial" w:hAnsi="Arial" w:cs="Arial"/>
          <w:b/>
          <w:sz w:val="24"/>
          <w:szCs w:val="24"/>
        </w:rPr>
      </w:pPr>
      <w:r w:rsidRPr="006454F1">
        <w:rPr>
          <w:rFonts w:ascii="Arial" w:eastAsia="Times New Roman" w:hAnsi="Arial" w:cs="Arial"/>
          <w:b/>
          <w:sz w:val="24"/>
          <w:szCs w:val="24"/>
          <w:lang w:val="en-GB"/>
        </w:rPr>
        <w:t>COLIA LOUIS FAMILY TRUST</w:t>
      </w:r>
      <w:r w:rsidR="000B5B08" w:rsidRPr="00D92BFE">
        <w:rPr>
          <w:rFonts w:ascii="Arial" w:hAnsi="Arial" w:cs="Arial"/>
          <w:sz w:val="24"/>
          <w:szCs w:val="24"/>
        </w:rPr>
        <w:tab/>
      </w:r>
      <w:r w:rsidR="000B5B08" w:rsidRPr="00D92BFE">
        <w:rPr>
          <w:rFonts w:ascii="Arial" w:hAnsi="Arial" w:cs="Arial"/>
          <w:sz w:val="24"/>
          <w:szCs w:val="24"/>
        </w:rPr>
        <w:tab/>
      </w:r>
      <w:r w:rsidR="000B5B08" w:rsidRPr="00D92BFE">
        <w:rPr>
          <w:rFonts w:ascii="Arial" w:hAnsi="Arial" w:cs="Arial"/>
          <w:sz w:val="24"/>
          <w:szCs w:val="24"/>
        </w:rPr>
        <w:tab/>
      </w:r>
      <w:r w:rsidR="000B5B08" w:rsidRPr="00D92BFE">
        <w:rPr>
          <w:rFonts w:ascii="Arial" w:hAnsi="Arial" w:cs="Arial"/>
          <w:sz w:val="24"/>
          <w:szCs w:val="24"/>
        </w:rPr>
        <w:tab/>
      </w:r>
      <w:r w:rsidR="000B5B08" w:rsidRPr="00D92BFE">
        <w:rPr>
          <w:rFonts w:ascii="Arial" w:hAnsi="Arial" w:cs="Arial"/>
          <w:sz w:val="24"/>
          <w:szCs w:val="24"/>
        </w:rPr>
        <w:tab/>
      </w:r>
      <w:r w:rsidR="000B5B08" w:rsidRPr="00D92BFE">
        <w:rPr>
          <w:rFonts w:ascii="Arial" w:hAnsi="Arial" w:cs="Arial"/>
          <w:sz w:val="24"/>
          <w:szCs w:val="24"/>
        </w:rPr>
        <w:tab/>
      </w:r>
      <w:r>
        <w:rPr>
          <w:rFonts w:ascii="Arial" w:hAnsi="Arial" w:cs="Arial"/>
          <w:sz w:val="24"/>
          <w:szCs w:val="24"/>
        </w:rPr>
        <w:t xml:space="preserve">      </w:t>
      </w:r>
      <w:r>
        <w:rPr>
          <w:rFonts w:ascii="Arial" w:hAnsi="Arial" w:cs="Arial"/>
          <w:b/>
          <w:sz w:val="24"/>
          <w:szCs w:val="24"/>
        </w:rPr>
        <w:t>APPLICANT</w:t>
      </w:r>
    </w:p>
    <w:p w:rsidR="000B5B08" w:rsidRPr="00D92BFE" w:rsidRDefault="000B5B08" w:rsidP="000B5B08">
      <w:pPr>
        <w:tabs>
          <w:tab w:val="left" w:pos="1980"/>
        </w:tabs>
        <w:spacing w:line="360" w:lineRule="auto"/>
        <w:jc w:val="both"/>
        <w:rPr>
          <w:rFonts w:ascii="Arial" w:hAnsi="Arial" w:cs="Arial"/>
          <w:sz w:val="24"/>
          <w:szCs w:val="24"/>
        </w:rPr>
      </w:pPr>
      <w:proofErr w:type="gramStart"/>
      <w:r w:rsidRPr="00D92BFE">
        <w:rPr>
          <w:rFonts w:ascii="Arial" w:hAnsi="Arial" w:cs="Arial"/>
          <w:sz w:val="24"/>
          <w:szCs w:val="24"/>
        </w:rPr>
        <w:t>and</w:t>
      </w:r>
      <w:proofErr w:type="gramEnd"/>
    </w:p>
    <w:p w:rsidR="000B5B08" w:rsidRPr="00D92BFE" w:rsidRDefault="00D14E25" w:rsidP="000B5B08">
      <w:pPr>
        <w:tabs>
          <w:tab w:val="left" w:pos="1980"/>
        </w:tabs>
        <w:spacing w:line="360" w:lineRule="auto"/>
        <w:jc w:val="both"/>
        <w:rPr>
          <w:rFonts w:ascii="Arial" w:hAnsi="Arial" w:cs="Arial"/>
          <w:sz w:val="24"/>
          <w:szCs w:val="24"/>
        </w:rPr>
      </w:pPr>
      <w:r w:rsidRPr="006454F1">
        <w:rPr>
          <w:rFonts w:ascii="Arial" w:eastAsia="Times New Roman" w:hAnsi="Arial" w:cs="Arial"/>
          <w:b/>
          <w:sz w:val="24"/>
          <w:szCs w:val="24"/>
          <w:lang w:val="en-GB"/>
        </w:rPr>
        <w:t>KOMSBERG FARMING (PTY) LTD (in Liquidation)</w:t>
      </w:r>
      <w:r>
        <w:rPr>
          <w:rFonts w:ascii="Arial" w:hAnsi="Arial" w:cs="Arial"/>
          <w:sz w:val="24"/>
          <w:szCs w:val="24"/>
        </w:rPr>
        <w:tab/>
      </w:r>
      <w:r>
        <w:rPr>
          <w:rFonts w:ascii="Arial" w:hAnsi="Arial" w:cs="Arial"/>
          <w:sz w:val="24"/>
          <w:szCs w:val="24"/>
        </w:rPr>
        <w:tab/>
        <w:t xml:space="preserve">       </w:t>
      </w:r>
      <w:r w:rsidR="000B5B08" w:rsidRPr="00D92BFE">
        <w:rPr>
          <w:rFonts w:ascii="Arial" w:hAnsi="Arial" w:cs="Arial"/>
          <w:b/>
          <w:sz w:val="24"/>
          <w:szCs w:val="24"/>
        </w:rPr>
        <w:t>1</w:t>
      </w:r>
      <w:r w:rsidR="000B5B08" w:rsidRPr="00D92BFE">
        <w:rPr>
          <w:rFonts w:ascii="Arial" w:hAnsi="Arial" w:cs="Arial"/>
          <w:b/>
          <w:sz w:val="24"/>
          <w:szCs w:val="24"/>
          <w:vertAlign w:val="superscript"/>
        </w:rPr>
        <w:t>ST</w:t>
      </w:r>
      <w:r w:rsidR="000B5B08" w:rsidRPr="00D92BFE">
        <w:rPr>
          <w:rFonts w:ascii="Arial" w:hAnsi="Arial" w:cs="Arial"/>
          <w:b/>
          <w:sz w:val="24"/>
          <w:szCs w:val="24"/>
        </w:rPr>
        <w:t xml:space="preserve"> </w:t>
      </w:r>
      <w:r>
        <w:rPr>
          <w:rFonts w:ascii="Arial" w:hAnsi="Arial" w:cs="Arial"/>
          <w:b/>
          <w:sz w:val="24"/>
          <w:szCs w:val="24"/>
        </w:rPr>
        <w:t>RESPONDENT</w:t>
      </w:r>
    </w:p>
    <w:p w:rsidR="000B5B08" w:rsidRPr="00D92BFE" w:rsidRDefault="00D14E25" w:rsidP="000B5B08">
      <w:pPr>
        <w:tabs>
          <w:tab w:val="left" w:pos="1980"/>
        </w:tabs>
        <w:spacing w:line="360" w:lineRule="auto"/>
        <w:jc w:val="both"/>
        <w:rPr>
          <w:rFonts w:ascii="Arial" w:hAnsi="Arial" w:cs="Arial"/>
          <w:sz w:val="24"/>
          <w:szCs w:val="24"/>
        </w:rPr>
      </w:pPr>
      <w:r w:rsidRPr="006454F1">
        <w:rPr>
          <w:rFonts w:ascii="Arial" w:eastAsia="Times New Roman" w:hAnsi="Arial" w:cs="Arial"/>
          <w:b/>
          <w:sz w:val="24"/>
          <w:szCs w:val="24"/>
        </w:rPr>
        <w:t>THE MASTER OF THE HIGH COURT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0B5B08" w:rsidRPr="00D92BFE">
        <w:rPr>
          <w:rFonts w:ascii="Arial" w:hAnsi="Arial" w:cs="Arial"/>
          <w:b/>
          <w:sz w:val="24"/>
          <w:szCs w:val="24"/>
        </w:rPr>
        <w:t>2</w:t>
      </w:r>
      <w:r w:rsidR="000B5B08" w:rsidRPr="00D92BFE">
        <w:rPr>
          <w:rFonts w:ascii="Arial" w:hAnsi="Arial" w:cs="Arial"/>
          <w:b/>
          <w:sz w:val="24"/>
          <w:szCs w:val="24"/>
          <w:vertAlign w:val="superscript"/>
        </w:rPr>
        <w:t>ND</w:t>
      </w:r>
      <w:r w:rsidR="000B5B08" w:rsidRPr="00D92BFE">
        <w:rPr>
          <w:rFonts w:ascii="Arial" w:hAnsi="Arial" w:cs="Arial"/>
          <w:b/>
          <w:sz w:val="24"/>
          <w:szCs w:val="24"/>
        </w:rPr>
        <w:t xml:space="preserve"> </w:t>
      </w:r>
      <w:r>
        <w:rPr>
          <w:rFonts w:ascii="Arial" w:hAnsi="Arial" w:cs="Arial"/>
          <w:b/>
          <w:sz w:val="24"/>
          <w:szCs w:val="24"/>
        </w:rPr>
        <w:t>RESPONDENT</w:t>
      </w:r>
    </w:p>
    <w:p w:rsidR="000B5B08" w:rsidRPr="00D92BFE" w:rsidRDefault="000B5B08" w:rsidP="00407689">
      <w:pPr>
        <w:spacing w:after="0" w:line="360" w:lineRule="auto"/>
        <w:ind w:left="864" w:hanging="864"/>
        <w:jc w:val="both"/>
        <w:rPr>
          <w:rFonts w:ascii="Arial" w:hAnsi="Arial" w:cs="Arial"/>
          <w:b/>
          <w:sz w:val="24"/>
          <w:szCs w:val="24"/>
        </w:rPr>
      </w:pPr>
    </w:p>
    <w:p w:rsidR="00D14E25" w:rsidRPr="006454F1" w:rsidRDefault="00D14E25" w:rsidP="00D14E25">
      <w:pPr>
        <w:spacing w:after="0" w:line="360" w:lineRule="auto"/>
        <w:ind w:left="2160" w:hanging="2160"/>
        <w:jc w:val="both"/>
        <w:rPr>
          <w:rFonts w:ascii="Arial" w:hAnsi="Arial" w:cs="Arial"/>
          <w:sz w:val="24"/>
          <w:szCs w:val="24"/>
          <w:lang w:val="en-GB"/>
        </w:rPr>
      </w:pPr>
      <w:r w:rsidRPr="006454F1">
        <w:rPr>
          <w:rFonts w:ascii="Arial" w:hAnsi="Arial" w:cs="Arial"/>
          <w:b/>
          <w:sz w:val="24"/>
          <w:szCs w:val="24"/>
          <w:lang w:val="en-GB"/>
        </w:rPr>
        <w:t>Neutral citation:</w:t>
      </w:r>
      <w:r w:rsidRPr="006454F1">
        <w:rPr>
          <w:rFonts w:ascii="Arial" w:hAnsi="Arial" w:cs="Arial"/>
          <w:b/>
          <w:sz w:val="24"/>
          <w:szCs w:val="24"/>
          <w:lang w:val="en-GB"/>
        </w:rPr>
        <w:tab/>
      </w:r>
      <w:proofErr w:type="spellStart"/>
      <w:r w:rsidRPr="006454F1">
        <w:rPr>
          <w:rFonts w:ascii="Arial" w:hAnsi="Arial" w:cs="Arial"/>
          <w:i/>
          <w:sz w:val="24"/>
          <w:szCs w:val="24"/>
          <w:lang w:val="en-GB"/>
        </w:rPr>
        <w:t>Colia</w:t>
      </w:r>
      <w:proofErr w:type="spellEnd"/>
      <w:r w:rsidRPr="006454F1">
        <w:rPr>
          <w:rFonts w:ascii="Arial" w:hAnsi="Arial" w:cs="Arial"/>
          <w:i/>
          <w:sz w:val="24"/>
          <w:szCs w:val="24"/>
          <w:lang w:val="en-GB"/>
        </w:rPr>
        <w:t xml:space="preserve"> Louis Family Trust v </w:t>
      </w:r>
      <w:proofErr w:type="spellStart"/>
      <w:r w:rsidRPr="006454F1">
        <w:rPr>
          <w:rFonts w:ascii="Arial" w:hAnsi="Arial" w:cs="Arial"/>
          <w:i/>
          <w:sz w:val="24"/>
          <w:szCs w:val="24"/>
          <w:lang w:val="en-GB"/>
        </w:rPr>
        <w:t>Komsberg</w:t>
      </w:r>
      <w:proofErr w:type="spellEnd"/>
      <w:r w:rsidRPr="006454F1">
        <w:rPr>
          <w:rFonts w:ascii="Arial" w:hAnsi="Arial" w:cs="Arial"/>
          <w:i/>
          <w:sz w:val="24"/>
          <w:szCs w:val="24"/>
          <w:lang w:val="en-GB"/>
        </w:rPr>
        <w:t xml:space="preserve"> Farming (Pty) Ltd (in Liquidation) </w:t>
      </w:r>
      <w:r w:rsidRPr="006454F1">
        <w:rPr>
          <w:rFonts w:ascii="Arial" w:hAnsi="Arial" w:cs="Arial"/>
          <w:sz w:val="24"/>
          <w:szCs w:val="24"/>
          <w:lang w:val="en-GB"/>
        </w:rPr>
        <w:t xml:space="preserve">(I </w:t>
      </w:r>
      <w:r>
        <w:rPr>
          <w:rFonts w:ascii="Arial" w:hAnsi="Arial" w:cs="Arial"/>
          <w:sz w:val="24"/>
          <w:szCs w:val="24"/>
          <w:lang w:val="en-GB"/>
        </w:rPr>
        <w:t>2551/2014) [2018</w:t>
      </w:r>
      <w:r w:rsidRPr="006454F1">
        <w:rPr>
          <w:rFonts w:ascii="Arial" w:hAnsi="Arial" w:cs="Arial"/>
          <w:sz w:val="24"/>
          <w:szCs w:val="24"/>
          <w:lang w:val="en-GB"/>
        </w:rPr>
        <w:t>] NAHCMD</w:t>
      </w:r>
      <w:r>
        <w:rPr>
          <w:rFonts w:ascii="Arial" w:hAnsi="Arial" w:cs="Arial"/>
          <w:sz w:val="24"/>
          <w:szCs w:val="24"/>
          <w:lang w:val="en-GB"/>
        </w:rPr>
        <w:t xml:space="preserve"> 9 </w:t>
      </w:r>
      <w:r w:rsidRPr="006454F1">
        <w:rPr>
          <w:rFonts w:ascii="Arial" w:hAnsi="Arial" w:cs="Arial"/>
          <w:sz w:val="24"/>
          <w:szCs w:val="24"/>
          <w:lang w:val="en-GB"/>
        </w:rPr>
        <w:t>(</w:t>
      </w:r>
      <w:r>
        <w:rPr>
          <w:rFonts w:ascii="Arial" w:hAnsi="Arial" w:cs="Arial"/>
          <w:sz w:val="24"/>
          <w:szCs w:val="24"/>
          <w:lang w:val="en-GB"/>
        </w:rPr>
        <w:t>2</w:t>
      </w:r>
      <w:r w:rsidRPr="006454F1">
        <w:rPr>
          <w:rFonts w:ascii="Arial" w:hAnsi="Arial" w:cs="Arial"/>
          <w:sz w:val="24"/>
          <w:szCs w:val="24"/>
          <w:lang w:val="en-GB"/>
        </w:rPr>
        <w:t xml:space="preserve">9 </w:t>
      </w:r>
      <w:r>
        <w:rPr>
          <w:rFonts w:ascii="Arial" w:hAnsi="Arial" w:cs="Arial"/>
          <w:sz w:val="24"/>
          <w:szCs w:val="24"/>
          <w:lang w:val="en-GB"/>
        </w:rPr>
        <w:t>January 2018</w:t>
      </w:r>
      <w:r w:rsidRPr="006454F1">
        <w:rPr>
          <w:rFonts w:ascii="Arial" w:hAnsi="Arial" w:cs="Arial"/>
          <w:sz w:val="24"/>
          <w:szCs w:val="24"/>
          <w:lang w:val="en-GB"/>
        </w:rPr>
        <w:t>)</w:t>
      </w:r>
    </w:p>
    <w:p w:rsidR="00D14E25" w:rsidRPr="006454F1" w:rsidRDefault="00D14E25" w:rsidP="00D14E25">
      <w:pPr>
        <w:spacing w:after="0" w:line="360" w:lineRule="auto"/>
        <w:ind w:left="2160" w:hanging="2160"/>
        <w:jc w:val="both"/>
        <w:rPr>
          <w:rFonts w:ascii="Arial" w:hAnsi="Arial" w:cs="Arial"/>
          <w:sz w:val="24"/>
          <w:szCs w:val="24"/>
          <w:lang w:val="en-GB"/>
        </w:rPr>
      </w:pPr>
    </w:p>
    <w:p w:rsidR="00D14E25" w:rsidRPr="006454F1" w:rsidRDefault="00D14E25" w:rsidP="00D14E25">
      <w:pPr>
        <w:spacing w:after="0" w:line="360" w:lineRule="auto"/>
        <w:ind w:left="2160" w:hanging="2160"/>
        <w:jc w:val="both"/>
        <w:rPr>
          <w:rFonts w:ascii="Arial" w:hAnsi="Arial" w:cs="Arial"/>
          <w:sz w:val="4"/>
          <w:szCs w:val="4"/>
          <w:lang w:val="en-GB"/>
        </w:rPr>
      </w:pPr>
    </w:p>
    <w:p w:rsidR="00D14E25" w:rsidRPr="006454F1" w:rsidRDefault="00D14E25" w:rsidP="00D14E25">
      <w:pPr>
        <w:spacing w:after="0" w:line="360" w:lineRule="auto"/>
        <w:ind w:left="1440" w:hanging="1440"/>
        <w:jc w:val="both"/>
        <w:rPr>
          <w:rFonts w:ascii="Arial" w:hAnsi="Arial" w:cs="Arial"/>
          <w:b/>
          <w:i/>
          <w:sz w:val="24"/>
          <w:szCs w:val="24"/>
          <w:lang w:val="en-GB"/>
        </w:rPr>
      </w:pPr>
      <w:r w:rsidRPr="006454F1">
        <w:rPr>
          <w:rFonts w:ascii="Arial" w:hAnsi="Arial" w:cs="Arial"/>
          <w:b/>
          <w:sz w:val="24"/>
          <w:szCs w:val="24"/>
          <w:lang w:val="en-GB"/>
        </w:rPr>
        <w:t>Coram:</w:t>
      </w:r>
      <w:r w:rsidRPr="006454F1">
        <w:rPr>
          <w:rFonts w:ascii="Arial" w:hAnsi="Arial" w:cs="Arial"/>
          <w:sz w:val="24"/>
          <w:szCs w:val="24"/>
          <w:lang w:val="en-GB"/>
        </w:rPr>
        <w:tab/>
      </w:r>
      <w:r w:rsidRPr="006454F1">
        <w:rPr>
          <w:rFonts w:ascii="Arial" w:hAnsi="Arial" w:cs="Arial"/>
          <w:sz w:val="24"/>
          <w:szCs w:val="24"/>
          <w:lang w:val="en-GB"/>
        </w:rPr>
        <w:tab/>
        <w:t>OOSTHUIZEN J</w:t>
      </w:r>
    </w:p>
    <w:p w:rsidR="00D14E25" w:rsidRPr="006454F1" w:rsidRDefault="00D14E25" w:rsidP="00D14E25">
      <w:pPr>
        <w:spacing w:after="0" w:line="360" w:lineRule="auto"/>
        <w:ind w:left="1440" w:hanging="1440"/>
        <w:rPr>
          <w:rFonts w:ascii="Arial" w:hAnsi="Arial" w:cs="Arial"/>
          <w:b/>
          <w:sz w:val="24"/>
          <w:szCs w:val="24"/>
          <w:lang w:val="en-GB"/>
        </w:rPr>
      </w:pPr>
      <w:r w:rsidRPr="006454F1">
        <w:rPr>
          <w:rFonts w:ascii="Arial" w:hAnsi="Arial" w:cs="Arial"/>
          <w:b/>
          <w:bCs/>
          <w:sz w:val="24"/>
          <w:szCs w:val="24"/>
          <w:lang w:val="en-GB"/>
        </w:rPr>
        <w:t>Heard</w:t>
      </w:r>
      <w:r w:rsidRPr="006454F1">
        <w:rPr>
          <w:rFonts w:ascii="Arial" w:hAnsi="Arial" w:cs="Arial"/>
          <w:sz w:val="24"/>
          <w:szCs w:val="24"/>
          <w:lang w:val="en-GB"/>
        </w:rPr>
        <w:t>:</w:t>
      </w:r>
      <w:r w:rsidRPr="006454F1">
        <w:rPr>
          <w:rFonts w:ascii="Arial" w:hAnsi="Arial" w:cs="Arial"/>
          <w:sz w:val="24"/>
          <w:szCs w:val="24"/>
          <w:lang w:val="en-GB"/>
        </w:rPr>
        <w:tab/>
      </w:r>
      <w:r w:rsidRPr="006454F1">
        <w:rPr>
          <w:rFonts w:ascii="Arial" w:hAnsi="Arial" w:cs="Arial"/>
          <w:sz w:val="24"/>
          <w:szCs w:val="24"/>
          <w:lang w:val="en-GB"/>
        </w:rPr>
        <w:tab/>
      </w:r>
      <w:r w:rsidRPr="00D14E25">
        <w:rPr>
          <w:rFonts w:ascii="Arial" w:hAnsi="Arial" w:cs="Arial"/>
          <w:b/>
          <w:sz w:val="24"/>
          <w:szCs w:val="24"/>
          <w:lang w:val="en-GB"/>
        </w:rPr>
        <w:t>27 OCTOBER 2017</w:t>
      </w:r>
    </w:p>
    <w:p w:rsidR="00D14E25" w:rsidRPr="006454F1" w:rsidRDefault="00D14E25" w:rsidP="00D14E25">
      <w:pPr>
        <w:spacing w:after="0" w:line="360" w:lineRule="auto"/>
        <w:jc w:val="both"/>
        <w:rPr>
          <w:rFonts w:ascii="Arial" w:hAnsi="Arial" w:cs="Arial"/>
          <w:sz w:val="24"/>
          <w:szCs w:val="24"/>
          <w:lang w:val="en-GB"/>
        </w:rPr>
      </w:pPr>
      <w:r>
        <w:rPr>
          <w:rFonts w:ascii="Arial" w:hAnsi="Arial" w:cs="Arial"/>
          <w:b/>
          <w:bCs/>
          <w:sz w:val="24"/>
          <w:szCs w:val="24"/>
          <w:lang w:val="en-GB"/>
        </w:rPr>
        <w:t>D</w:t>
      </w:r>
      <w:r w:rsidRPr="006454F1">
        <w:rPr>
          <w:rFonts w:ascii="Arial" w:hAnsi="Arial" w:cs="Arial"/>
          <w:b/>
          <w:bCs/>
          <w:sz w:val="24"/>
          <w:szCs w:val="24"/>
          <w:lang w:val="en-GB"/>
        </w:rPr>
        <w:t>elivered</w:t>
      </w:r>
      <w:r w:rsidRPr="006454F1">
        <w:rPr>
          <w:rFonts w:ascii="Arial" w:hAnsi="Arial" w:cs="Arial"/>
          <w:sz w:val="24"/>
          <w:szCs w:val="24"/>
          <w:lang w:val="en-GB"/>
        </w:rPr>
        <w:t>:</w:t>
      </w:r>
      <w:r w:rsidRPr="006454F1">
        <w:rPr>
          <w:rFonts w:ascii="Arial" w:hAnsi="Arial" w:cs="Arial"/>
          <w:sz w:val="24"/>
          <w:szCs w:val="24"/>
          <w:lang w:val="en-GB"/>
        </w:rPr>
        <w:tab/>
      </w:r>
      <w:r>
        <w:rPr>
          <w:rFonts w:ascii="Arial" w:hAnsi="Arial" w:cs="Arial"/>
          <w:sz w:val="24"/>
          <w:szCs w:val="24"/>
          <w:lang w:val="en-GB"/>
        </w:rPr>
        <w:tab/>
      </w:r>
      <w:r w:rsidRPr="00D14E25">
        <w:rPr>
          <w:rFonts w:ascii="Arial" w:hAnsi="Arial" w:cs="Arial"/>
          <w:b/>
          <w:sz w:val="24"/>
          <w:szCs w:val="24"/>
          <w:lang w:val="en-GB"/>
        </w:rPr>
        <w:t>29 JANUARY 2018</w:t>
      </w:r>
    </w:p>
    <w:p w:rsidR="00D14E25" w:rsidRPr="006454F1" w:rsidRDefault="00D14E25" w:rsidP="00D14E25">
      <w:pPr>
        <w:spacing w:after="0" w:line="360" w:lineRule="auto"/>
        <w:jc w:val="both"/>
        <w:rPr>
          <w:rFonts w:ascii="Arial" w:hAnsi="Arial" w:cs="Arial"/>
          <w:b/>
          <w:sz w:val="24"/>
          <w:szCs w:val="24"/>
          <w:lang w:val="en-GB"/>
        </w:rPr>
      </w:pPr>
    </w:p>
    <w:p w:rsidR="00544B51" w:rsidRDefault="00D14E25" w:rsidP="00D14E25">
      <w:pPr>
        <w:spacing w:after="0" w:line="360" w:lineRule="auto"/>
        <w:jc w:val="both"/>
        <w:rPr>
          <w:rFonts w:ascii="Arial" w:hAnsi="Arial" w:cs="Arial"/>
          <w:sz w:val="24"/>
          <w:szCs w:val="24"/>
          <w:lang w:val="en-GB"/>
        </w:rPr>
      </w:pPr>
      <w:proofErr w:type="spellStart"/>
      <w:r>
        <w:rPr>
          <w:rFonts w:ascii="Arial" w:hAnsi="Arial" w:cs="Arial"/>
          <w:b/>
          <w:sz w:val="24"/>
          <w:szCs w:val="24"/>
          <w:lang w:val="en-GB"/>
        </w:rPr>
        <w:t>Flynote</w:t>
      </w:r>
      <w:proofErr w:type="spellEnd"/>
      <w:r>
        <w:rPr>
          <w:rFonts w:ascii="Arial" w:hAnsi="Arial" w:cs="Arial"/>
          <w:b/>
          <w:sz w:val="24"/>
          <w:szCs w:val="24"/>
          <w:lang w:val="en-GB"/>
        </w:rPr>
        <w:t>:</w:t>
      </w:r>
      <w:r>
        <w:rPr>
          <w:rFonts w:ascii="Arial" w:hAnsi="Arial" w:cs="Arial"/>
          <w:b/>
          <w:sz w:val="24"/>
          <w:szCs w:val="24"/>
          <w:lang w:val="en-GB"/>
        </w:rPr>
        <w:tab/>
      </w:r>
      <w:r>
        <w:rPr>
          <w:rFonts w:ascii="Arial" w:hAnsi="Arial" w:cs="Arial"/>
          <w:sz w:val="24"/>
          <w:szCs w:val="24"/>
          <w:lang w:val="en-GB"/>
        </w:rPr>
        <w:t>Application for leave to appeal – application for condoning late filing of the leave to appeal – prospects of success on appeal – bona fide defence.</w:t>
      </w:r>
    </w:p>
    <w:p w:rsidR="00D14E25" w:rsidRPr="004E25F4" w:rsidRDefault="00D14E25" w:rsidP="00D14E25">
      <w:pPr>
        <w:spacing w:after="0" w:line="360" w:lineRule="auto"/>
        <w:jc w:val="both"/>
        <w:rPr>
          <w:rFonts w:ascii="Arial" w:hAnsi="Arial" w:cs="Arial"/>
          <w:sz w:val="24"/>
          <w:szCs w:val="24"/>
          <w:lang w:val="en-GB"/>
        </w:rPr>
      </w:pPr>
      <w:r>
        <w:rPr>
          <w:rFonts w:ascii="Arial" w:hAnsi="Arial" w:cs="Arial"/>
          <w:b/>
          <w:sz w:val="24"/>
          <w:szCs w:val="24"/>
          <w:lang w:val="en-GB"/>
        </w:rPr>
        <w:lastRenderedPageBreak/>
        <w:t>Summary:</w:t>
      </w:r>
      <w:r>
        <w:rPr>
          <w:rFonts w:ascii="Arial" w:hAnsi="Arial" w:cs="Arial"/>
          <w:b/>
          <w:sz w:val="24"/>
          <w:szCs w:val="24"/>
          <w:lang w:val="en-GB"/>
        </w:rPr>
        <w:tab/>
      </w:r>
      <w:r>
        <w:rPr>
          <w:rFonts w:ascii="Arial" w:hAnsi="Arial" w:cs="Arial"/>
          <w:sz w:val="24"/>
          <w:szCs w:val="24"/>
          <w:lang w:val="en-GB"/>
        </w:rPr>
        <w:t xml:space="preserve">Applicant applied for condonation of its failure to comply with a court order. Rule 54 (3) of the Namibian High Court Rules automatically bar a litigant in the event it did not plea timeously. Rule 55 requires a party to show good cause in condonation application. Rule 56 (2) requires evidence under oath. Good cause requires a party to fully explain </w:t>
      </w:r>
      <w:proofErr w:type="gramStart"/>
      <w:r>
        <w:rPr>
          <w:rFonts w:ascii="Arial" w:hAnsi="Arial" w:cs="Arial"/>
          <w:sz w:val="24"/>
          <w:szCs w:val="24"/>
          <w:lang w:val="en-GB"/>
        </w:rPr>
        <w:t>its</w:t>
      </w:r>
      <w:proofErr w:type="gramEnd"/>
      <w:r>
        <w:rPr>
          <w:rFonts w:ascii="Arial" w:hAnsi="Arial" w:cs="Arial"/>
          <w:sz w:val="24"/>
          <w:szCs w:val="24"/>
          <w:lang w:val="en-GB"/>
        </w:rPr>
        <w:t xml:space="preserve"> remiss under oath.</w:t>
      </w:r>
    </w:p>
    <w:p w:rsidR="00D14E25" w:rsidRPr="00ED5F05" w:rsidRDefault="00D14E25" w:rsidP="00D14E25">
      <w:pPr>
        <w:spacing w:after="0" w:line="360" w:lineRule="auto"/>
        <w:jc w:val="both"/>
        <w:rPr>
          <w:rFonts w:ascii="Arial" w:hAnsi="Arial" w:cs="Arial"/>
          <w:sz w:val="24"/>
          <w:szCs w:val="24"/>
          <w:lang w:val="en-GB"/>
        </w:rPr>
      </w:pPr>
    </w:p>
    <w:p w:rsidR="00D14E25" w:rsidRPr="00ED5F05" w:rsidRDefault="00D14E25" w:rsidP="00D14E25">
      <w:pPr>
        <w:spacing w:after="0" w:line="360" w:lineRule="auto"/>
        <w:jc w:val="both"/>
        <w:rPr>
          <w:rFonts w:ascii="Arial" w:hAnsi="Arial" w:cs="Arial"/>
          <w:sz w:val="24"/>
          <w:szCs w:val="24"/>
          <w:lang w:val="en-GB"/>
        </w:rPr>
      </w:pPr>
      <w:r w:rsidRPr="004E25F4">
        <w:rPr>
          <w:rFonts w:ascii="Arial" w:hAnsi="Arial" w:cs="Arial"/>
          <w:i/>
          <w:sz w:val="24"/>
          <w:szCs w:val="24"/>
          <w:lang w:val="en-GB"/>
        </w:rPr>
        <w:t>Held</w:t>
      </w:r>
      <w:r>
        <w:rPr>
          <w:rFonts w:ascii="Arial" w:hAnsi="Arial" w:cs="Arial"/>
          <w:sz w:val="24"/>
          <w:szCs w:val="24"/>
          <w:lang w:val="en-GB"/>
        </w:rPr>
        <w:t>, applicant failed to satisfy the court that it had a bona fide defence.</w:t>
      </w:r>
    </w:p>
    <w:p w:rsidR="00D14E25" w:rsidRPr="006454F1" w:rsidRDefault="00D14E25" w:rsidP="00D14E25">
      <w:pPr>
        <w:spacing w:after="0" w:line="360" w:lineRule="auto"/>
        <w:jc w:val="both"/>
        <w:rPr>
          <w:rFonts w:ascii="Arial" w:hAnsi="Arial" w:cs="Arial"/>
          <w:sz w:val="24"/>
          <w:szCs w:val="24"/>
          <w:lang w:val="en-GB"/>
        </w:rPr>
      </w:pPr>
    </w:p>
    <w:p w:rsidR="00D14E25" w:rsidRPr="006454F1" w:rsidRDefault="00D14E25" w:rsidP="00D14E25">
      <w:pPr>
        <w:spacing w:after="0" w:line="360" w:lineRule="auto"/>
        <w:jc w:val="center"/>
        <w:rPr>
          <w:rFonts w:ascii="Arial" w:hAnsi="Arial" w:cs="Arial"/>
          <w:bCs/>
          <w:sz w:val="24"/>
          <w:szCs w:val="24"/>
          <w:lang w:val="en-GB"/>
        </w:rPr>
      </w:pPr>
      <w:r w:rsidRPr="006454F1">
        <w:rPr>
          <w:rFonts w:ascii="Arial" w:hAnsi="Arial" w:cs="Arial"/>
          <w:bCs/>
          <w:sz w:val="24"/>
          <w:szCs w:val="24"/>
          <w:lang w:val="en-GB"/>
        </w:rPr>
        <w:pict>
          <v:rect id="_x0000_i1025" style="width:468pt;height:1.5pt" o:hralign="center" o:hrstd="t" o:hr="t" fillcolor="#a0a0a0" stroked="f"/>
        </w:pict>
      </w:r>
    </w:p>
    <w:p w:rsidR="00D14E25" w:rsidRPr="006454F1" w:rsidRDefault="00D14E25" w:rsidP="00D14E25">
      <w:pPr>
        <w:spacing w:after="0" w:line="360" w:lineRule="auto"/>
        <w:jc w:val="center"/>
        <w:rPr>
          <w:rFonts w:ascii="Arial" w:hAnsi="Arial" w:cs="Arial"/>
          <w:b/>
          <w:bCs/>
          <w:sz w:val="24"/>
          <w:szCs w:val="24"/>
          <w:lang w:val="en-GB"/>
        </w:rPr>
      </w:pPr>
      <w:r w:rsidRPr="006454F1">
        <w:rPr>
          <w:rFonts w:ascii="Arial" w:hAnsi="Arial" w:cs="Arial"/>
          <w:b/>
          <w:bCs/>
          <w:sz w:val="24"/>
          <w:szCs w:val="24"/>
          <w:lang w:val="en-GB"/>
        </w:rPr>
        <w:t>ORDER</w:t>
      </w:r>
    </w:p>
    <w:p w:rsidR="00D14E25" w:rsidRPr="006454F1" w:rsidRDefault="00D14E25" w:rsidP="00D14E25">
      <w:pPr>
        <w:spacing w:after="0" w:line="360" w:lineRule="auto"/>
        <w:jc w:val="center"/>
        <w:rPr>
          <w:rFonts w:ascii="Arial" w:hAnsi="Arial" w:cs="Arial"/>
          <w:bCs/>
          <w:sz w:val="24"/>
          <w:szCs w:val="24"/>
          <w:lang w:val="en-GB"/>
        </w:rPr>
      </w:pPr>
      <w:r w:rsidRPr="006454F1">
        <w:rPr>
          <w:rFonts w:ascii="Arial" w:hAnsi="Arial" w:cs="Arial"/>
          <w:bCs/>
          <w:sz w:val="24"/>
          <w:szCs w:val="24"/>
          <w:lang w:val="en-GB"/>
        </w:rPr>
        <w:pict>
          <v:rect id="_x0000_i1026" style="width:468pt;height:1.5pt" o:hralign="center" o:hrstd="t" o:hr="t" fillcolor="#a0a0a0" stroked="f"/>
        </w:pict>
      </w:r>
    </w:p>
    <w:p w:rsidR="00D14E25" w:rsidRPr="006454F1" w:rsidRDefault="00D14E25" w:rsidP="00544B51">
      <w:pPr>
        <w:spacing w:after="0" w:line="360" w:lineRule="auto"/>
        <w:jc w:val="both"/>
        <w:rPr>
          <w:rFonts w:ascii="Arial" w:hAnsi="Arial" w:cs="Arial"/>
          <w:sz w:val="24"/>
          <w:szCs w:val="24"/>
          <w:lang w:val="en-GB"/>
        </w:rPr>
      </w:pPr>
      <w:r>
        <w:rPr>
          <w:rFonts w:ascii="Arial" w:hAnsi="Arial" w:cs="Arial"/>
          <w:sz w:val="24"/>
          <w:szCs w:val="24"/>
          <w:lang w:val="en-GB"/>
        </w:rPr>
        <w:t xml:space="preserve">Having heard argument from counsel for applicant and respondent on 27 October 2017 and after reading their heads of argument and the relevant documents filed of record – </w:t>
      </w:r>
    </w:p>
    <w:p w:rsidR="00D14E25" w:rsidRPr="00ED5F05" w:rsidRDefault="00D14E25" w:rsidP="00544B51">
      <w:pPr>
        <w:spacing w:after="0" w:line="360" w:lineRule="auto"/>
        <w:ind w:left="630" w:hanging="630"/>
        <w:jc w:val="both"/>
        <w:rPr>
          <w:rFonts w:ascii="Arial" w:hAnsi="Arial" w:cs="Arial"/>
          <w:sz w:val="24"/>
          <w:szCs w:val="24"/>
          <w:lang w:val="en-GB"/>
        </w:rPr>
      </w:pPr>
    </w:p>
    <w:p w:rsidR="00D14E25" w:rsidRPr="00ED5F05" w:rsidRDefault="00D14E25" w:rsidP="00544B51">
      <w:pPr>
        <w:spacing w:after="0" w:line="360" w:lineRule="auto"/>
        <w:ind w:left="630" w:hanging="630"/>
        <w:jc w:val="both"/>
        <w:rPr>
          <w:rFonts w:ascii="Arial" w:hAnsi="Arial" w:cs="Arial"/>
          <w:sz w:val="24"/>
          <w:szCs w:val="24"/>
          <w:lang w:val="en-GB"/>
        </w:rPr>
      </w:pPr>
      <w:r w:rsidRPr="00ED5F05">
        <w:rPr>
          <w:rFonts w:ascii="Arial" w:hAnsi="Arial" w:cs="Arial"/>
          <w:sz w:val="24"/>
          <w:szCs w:val="24"/>
          <w:lang w:val="en-GB"/>
        </w:rPr>
        <w:t xml:space="preserve">IT IS ORDERED THAT – </w:t>
      </w:r>
    </w:p>
    <w:p w:rsidR="00D14E25" w:rsidRPr="004A3AC3" w:rsidRDefault="00D14E25" w:rsidP="00544B51">
      <w:pPr>
        <w:spacing w:after="0" w:line="360" w:lineRule="auto"/>
        <w:ind w:left="630" w:hanging="630"/>
        <w:jc w:val="both"/>
        <w:rPr>
          <w:rFonts w:ascii="Arial" w:hAnsi="Arial" w:cs="Arial"/>
          <w:sz w:val="24"/>
          <w:szCs w:val="24"/>
          <w:lang w:val="en-GB"/>
        </w:rPr>
      </w:pPr>
    </w:p>
    <w:p w:rsidR="00D14E25" w:rsidRDefault="00D14E25" w:rsidP="00544B51">
      <w:pPr>
        <w:numPr>
          <w:ilvl w:val="0"/>
          <w:numId w:val="1"/>
        </w:numPr>
        <w:spacing w:after="0" w:line="360" w:lineRule="auto"/>
        <w:ind w:hanging="720"/>
        <w:jc w:val="both"/>
        <w:rPr>
          <w:rFonts w:ascii="Arial" w:hAnsi="Arial" w:cs="Arial"/>
          <w:sz w:val="24"/>
          <w:szCs w:val="24"/>
        </w:rPr>
      </w:pPr>
      <w:r>
        <w:rPr>
          <w:rFonts w:ascii="Arial" w:hAnsi="Arial" w:cs="Arial"/>
          <w:sz w:val="24"/>
          <w:szCs w:val="24"/>
        </w:rPr>
        <w:t>Annexures “TG 1”, “TG 2” and “TG 3” be disregarded as being inadmissible for want of compliance with Rule 128(2).</w:t>
      </w:r>
    </w:p>
    <w:p w:rsidR="00D14E25" w:rsidRDefault="00D14E25" w:rsidP="00544B51">
      <w:pPr>
        <w:spacing w:after="0" w:line="360" w:lineRule="auto"/>
        <w:ind w:left="720" w:hanging="720"/>
        <w:jc w:val="both"/>
        <w:rPr>
          <w:rFonts w:ascii="Arial" w:hAnsi="Arial" w:cs="Arial"/>
          <w:sz w:val="24"/>
          <w:szCs w:val="24"/>
        </w:rPr>
      </w:pPr>
    </w:p>
    <w:p w:rsidR="00D14E25" w:rsidRDefault="00D14E25" w:rsidP="00544B51">
      <w:pPr>
        <w:numPr>
          <w:ilvl w:val="0"/>
          <w:numId w:val="1"/>
        </w:numPr>
        <w:spacing w:after="0" w:line="360" w:lineRule="auto"/>
        <w:ind w:hanging="720"/>
        <w:jc w:val="both"/>
        <w:rPr>
          <w:rFonts w:ascii="Arial" w:hAnsi="Arial" w:cs="Arial"/>
          <w:sz w:val="24"/>
          <w:szCs w:val="24"/>
        </w:rPr>
      </w:pPr>
      <w:r w:rsidRPr="004A3AC3">
        <w:rPr>
          <w:rFonts w:ascii="Arial" w:hAnsi="Arial" w:cs="Arial"/>
          <w:sz w:val="24"/>
          <w:szCs w:val="24"/>
        </w:rPr>
        <w:t>Paragraphs 16, 19, 20, 20.2, 20.3, 20.4, 22, 23, 24, 26, 26.1, 26.2, 26.3</w:t>
      </w:r>
      <w:r>
        <w:rPr>
          <w:rFonts w:ascii="Arial" w:hAnsi="Arial" w:cs="Arial"/>
          <w:sz w:val="24"/>
          <w:szCs w:val="24"/>
        </w:rPr>
        <w:t>,</w:t>
      </w:r>
      <w:r w:rsidRPr="004A3AC3">
        <w:rPr>
          <w:rFonts w:ascii="Arial" w:hAnsi="Arial" w:cs="Arial"/>
          <w:sz w:val="24"/>
          <w:szCs w:val="24"/>
        </w:rPr>
        <w:t xml:space="preserve"> 26.3.1, 41, 42, 43, 44, 44.1, 44.2, 57, 57.1, 57.2, 57.3, 57.4, 57.5, 58, 59, 59.1, 59.2, 84, 84.1, - 99, inclusive of annexures “TG 13.1’ to “TG 13.3”, “TG 14”, “TG 15”, “TG 18”, “TG 22”, “TG 23” to “TG 32.3” be struck out as being irrelevant.</w:t>
      </w:r>
    </w:p>
    <w:p w:rsidR="00D14E25" w:rsidRDefault="00D14E25" w:rsidP="00544B51">
      <w:pPr>
        <w:pStyle w:val="ListParagraph"/>
        <w:spacing w:after="0" w:line="360" w:lineRule="auto"/>
        <w:ind w:hanging="720"/>
        <w:rPr>
          <w:rFonts w:ascii="Arial" w:hAnsi="Arial" w:cs="Arial"/>
          <w:sz w:val="24"/>
          <w:szCs w:val="24"/>
        </w:rPr>
      </w:pPr>
    </w:p>
    <w:p w:rsidR="00D14E25" w:rsidRDefault="00D14E25" w:rsidP="00544B51">
      <w:pPr>
        <w:numPr>
          <w:ilvl w:val="0"/>
          <w:numId w:val="1"/>
        </w:numPr>
        <w:spacing w:after="0" w:line="360" w:lineRule="auto"/>
        <w:ind w:hanging="720"/>
        <w:jc w:val="both"/>
        <w:rPr>
          <w:rFonts w:ascii="Arial" w:hAnsi="Arial" w:cs="Arial"/>
          <w:sz w:val="24"/>
          <w:szCs w:val="24"/>
        </w:rPr>
      </w:pPr>
      <w:r w:rsidRPr="004A3AC3">
        <w:rPr>
          <w:rFonts w:ascii="Arial" w:hAnsi="Arial" w:cs="Arial"/>
          <w:sz w:val="24"/>
          <w:szCs w:val="24"/>
        </w:rPr>
        <w:t>Paragraphs 26, 26.1, 43, 57, 58, 59 be struck out as being frivolous and/or vexatious.</w:t>
      </w:r>
    </w:p>
    <w:p w:rsidR="00D14E25" w:rsidRDefault="00D14E25" w:rsidP="00544B51">
      <w:pPr>
        <w:pStyle w:val="ListParagraph"/>
        <w:spacing w:after="0" w:line="360" w:lineRule="auto"/>
        <w:ind w:hanging="720"/>
        <w:rPr>
          <w:rFonts w:ascii="Arial" w:hAnsi="Arial" w:cs="Arial"/>
          <w:sz w:val="24"/>
          <w:szCs w:val="24"/>
        </w:rPr>
      </w:pPr>
    </w:p>
    <w:p w:rsidR="00D14E25" w:rsidRDefault="00D14E25" w:rsidP="00544B51">
      <w:pPr>
        <w:numPr>
          <w:ilvl w:val="0"/>
          <w:numId w:val="1"/>
        </w:numPr>
        <w:spacing w:after="0" w:line="360" w:lineRule="auto"/>
        <w:ind w:hanging="720"/>
        <w:jc w:val="both"/>
        <w:rPr>
          <w:rFonts w:ascii="Arial" w:hAnsi="Arial" w:cs="Arial"/>
          <w:sz w:val="24"/>
          <w:szCs w:val="24"/>
        </w:rPr>
      </w:pPr>
      <w:r w:rsidRPr="004A3AC3">
        <w:rPr>
          <w:rFonts w:ascii="Arial" w:hAnsi="Arial" w:cs="Arial"/>
          <w:sz w:val="24"/>
          <w:szCs w:val="24"/>
        </w:rPr>
        <w:t>The condonation application for the late filing of applicant’s leave to appeal and the leave to appeal are refused and dismissed.</w:t>
      </w:r>
    </w:p>
    <w:p w:rsidR="00D14E25" w:rsidRDefault="00D14E25" w:rsidP="00544B51">
      <w:pPr>
        <w:pStyle w:val="ListParagraph"/>
        <w:spacing w:after="0" w:line="360" w:lineRule="auto"/>
        <w:ind w:hanging="720"/>
        <w:rPr>
          <w:rFonts w:ascii="Arial" w:hAnsi="Arial" w:cs="Arial"/>
          <w:sz w:val="24"/>
          <w:szCs w:val="24"/>
        </w:rPr>
      </w:pPr>
    </w:p>
    <w:p w:rsidR="00D14E25" w:rsidRPr="00544B51" w:rsidRDefault="00D14E25" w:rsidP="00544B51">
      <w:pPr>
        <w:numPr>
          <w:ilvl w:val="0"/>
          <w:numId w:val="1"/>
        </w:numPr>
        <w:spacing w:after="0" w:line="360" w:lineRule="auto"/>
        <w:ind w:hanging="720"/>
        <w:jc w:val="both"/>
        <w:rPr>
          <w:rFonts w:ascii="Arial" w:hAnsi="Arial" w:cs="Arial"/>
          <w:sz w:val="24"/>
          <w:szCs w:val="24"/>
        </w:rPr>
      </w:pPr>
      <w:r w:rsidRPr="004A3AC3">
        <w:rPr>
          <w:rFonts w:ascii="Arial" w:hAnsi="Arial" w:cs="Arial"/>
          <w:sz w:val="24"/>
          <w:szCs w:val="24"/>
        </w:rPr>
        <w:t>Applicant to pay the costs of the respondent, inclusive of the costs of one instructing and two instructed counsel, which costs shall not be capped as provided for in rule 32 (11) of the Rules of Court.</w:t>
      </w:r>
    </w:p>
    <w:p w:rsidR="00D14E25" w:rsidRPr="006454F1" w:rsidRDefault="00D14E25" w:rsidP="00544B51">
      <w:pPr>
        <w:spacing w:after="0" w:line="360" w:lineRule="auto"/>
        <w:jc w:val="center"/>
        <w:rPr>
          <w:rFonts w:ascii="Arial" w:hAnsi="Arial" w:cs="Arial"/>
          <w:bCs/>
          <w:sz w:val="24"/>
          <w:szCs w:val="24"/>
          <w:lang w:val="en-GB"/>
        </w:rPr>
      </w:pPr>
      <w:r w:rsidRPr="006454F1">
        <w:rPr>
          <w:rFonts w:ascii="Arial" w:hAnsi="Arial" w:cs="Arial"/>
          <w:bCs/>
          <w:sz w:val="24"/>
          <w:szCs w:val="24"/>
          <w:lang w:val="en-GB"/>
        </w:rPr>
        <w:lastRenderedPageBreak/>
        <w:pict>
          <v:rect id="_x0000_i1027" style="width:468pt;height:1.5pt" o:hralign="center" o:hrstd="t" o:hr="t" fillcolor="#a0a0a0" stroked="f"/>
        </w:pict>
      </w:r>
    </w:p>
    <w:p w:rsidR="00D14E25" w:rsidRPr="006454F1" w:rsidRDefault="00D14E25" w:rsidP="00544B51">
      <w:pPr>
        <w:spacing w:after="0" w:line="360" w:lineRule="auto"/>
        <w:jc w:val="center"/>
        <w:rPr>
          <w:rFonts w:ascii="Arial" w:hAnsi="Arial" w:cs="Arial"/>
          <w:b/>
          <w:sz w:val="24"/>
          <w:szCs w:val="24"/>
          <w:lang w:val="en-GB"/>
        </w:rPr>
      </w:pPr>
      <w:r>
        <w:rPr>
          <w:rFonts w:ascii="Arial" w:hAnsi="Arial" w:cs="Arial"/>
          <w:b/>
          <w:sz w:val="24"/>
          <w:szCs w:val="24"/>
          <w:lang w:val="en-GB"/>
        </w:rPr>
        <w:t>JUDGMENT</w:t>
      </w:r>
    </w:p>
    <w:p w:rsidR="00D14E25" w:rsidRPr="006454F1" w:rsidRDefault="00D14E25" w:rsidP="00544B51">
      <w:pPr>
        <w:spacing w:after="0" w:line="360" w:lineRule="auto"/>
        <w:jc w:val="center"/>
        <w:rPr>
          <w:rFonts w:ascii="Arial" w:hAnsi="Arial" w:cs="Arial"/>
          <w:bCs/>
          <w:sz w:val="24"/>
          <w:szCs w:val="24"/>
          <w:lang w:val="en-GB"/>
        </w:rPr>
      </w:pPr>
      <w:r w:rsidRPr="006454F1">
        <w:rPr>
          <w:rFonts w:ascii="Arial" w:hAnsi="Arial" w:cs="Arial"/>
          <w:bCs/>
          <w:sz w:val="24"/>
          <w:szCs w:val="24"/>
          <w:lang w:val="en-GB"/>
        </w:rPr>
        <w:pict>
          <v:rect id="_x0000_i1028" style="width:468pt;height:1.5pt" o:hralign="center" o:hrstd="t" o:hr="t" fillcolor="#a0a0a0" stroked="f"/>
        </w:pict>
      </w:r>
    </w:p>
    <w:p w:rsidR="00D14E25" w:rsidRPr="006454F1" w:rsidRDefault="00D14E25" w:rsidP="00544B51">
      <w:pPr>
        <w:spacing w:after="0" w:line="360" w:lineRule="auto"/>
        <w:ind w:left="1440" w:hanging="1440"/>
        <w:jc w:val="both"/>
        <w:rPr>
          <w:rFonts w:ascii="Arial" w:hAnsi="Arial" w:cs="Arial"/>
          <w:sz w:val="24"/>
          <w:szCs w:val="24"/>
          <w:lang w:val="en-GB"/>
        </w:rPr>
      </w:pPr>
    </w:p>
    <w:p w:rsidR="00D14E25" w:rsidRPr="006454F1" w:rsidRDefault="00D14E25" w:rsidP="00544B51">
      <w:pPr>
        <w:spacing w:after="0" w:line="360" w:lineRule="auto"/>
        <w:ind w:left="1440" w:hanging="1440"/>
        <w:jc w:val="both"/>
        <w:rPr>
          <w:rFonts w:ascii="Arial" w:hAnsi="Arial" w:cs="Arial"/>
          <w:sz w:val="24"/>
          <w:szCs w:val="24"/>
          <w:lang w:val="en-GB"/>
        </w:rPr>
      </w:pPr>
      <w:r w:rsidRPr="006454F1">
        <w:rPr>
          <w:rFonts w:ascii="Arial" w:hAnsi="Arial" w:cs="Arial"/>
          <w:sz w:val="24"/>
          <w:szCs w:val="24"/>
          <w:lang w:val="en-GB"/>
        </w:rPr>
        <w:t>OOSTHUIZEN J:</w:t>
      </w:r>
    </w:p>
    <w:p w:rsidR="00D14E25" w:rsidRDefault="00D14E25" w:rsidP="00544B51">
      <w:pPr>
        <w:spacing w:after="0" w:line="360" w:lineRule="auto"/>
        <w:jc w:val="both"/>
        <w:rPr>
          <w:rFonts w:ascii="Arial" w:hAnsi="Arial" w:cs="Arial"/>
          <w:sz w:val="24"/>
          <w:szCs w:val="24"/>
        </w:rPr>
      </w:pPr>
    </w:p>
    <w:p w:rsidR="00D14E25" w:rsidRDefault="00D14E25" w:rsidP="00544B51">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In this judgment “respondent” refer to first respondent.</w:t>
      </w:r>
    </w:p>
    <w:p w:rsidR="00D14E25" w:rsidRDefault="00D14E25" w:rsidP="00544B51">
      <w:pPr>
        <w:spacing w:after="0" w:line="360" w:lineRule="auto"/>
        <w:jc w:val="both"/>
        <w:rPr>
          <w:rFonts w:ascii="Arial" w:hAnsi="Arial" w:cs="Arial"/>
          <w:sz w:val="24"/>
          <w:szCs w:val="24"/>
        </w:rPr>
      </w:pPr>
    </w:p>
    <w:p w:rsidR="00D14E25" w:rsidRDefault="00D14E25" w:rsidP="00544B51">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26 June 2017 the applicant applied for – </w:t>
      </w:r>
    </w:p>
    <w:p w:rsidR="00544B51" w:rsidRDefault="00544B51" w:rsidP="00544B51">
      <w:pPr>
        <w:spacing w:after="0" w:line="360" w:lineRule="auto"/>
        <w:jc w:val="both"/>
        <w:rPr>
          <w:rFonts w:ascii="Arial" w:hAnsi="Arial" w:cs="Arial"/>
          <w:sz w:val="24"/>
          <w:szCs w:val="24"/>
        </w:rPr>
      </w:pPr>
    </w:p>
    <w:p w:rsidR="00D14E25" w:rsidRPr="00544B51" w:rsidRDefault="00D14E25" w:rsidP="00544B51">
      <w:pPr>
        <w:pStyle w:val="ListParagraph"/>
        <w:numPr>
          <w:ilvl w:val="0"/>
          <w:numId w:val="2"/>
        </w:numPr>
        <w:spacing w:after="0" w:line="360" w:lineRule="auto"/>
        <w:jc w:val="both"/>
        <w:rPr>
          <w:rFonts w:ascii="Arial" w:hAnsi="Arial" w:cs="Arial"/>
          <w:sz w:val="24"/>
          <w:szCs w:val="24"/>
        </w:rPr>
      </w:pPr>
      <w:r w:rsidRPr="00544B51">
        <w:rPr>
          <w:rFonts w:ascii="Arial" w:hAnsi="Arial" w:cs="Arial"/>
          <w:sz w:val="24"/>
          <w:szCs w:val="24"/>
        </w:rPr>
        <w:t>leave to appeal against the whole order, inclusive of costs handed down by Miller AJ in the High Court of Namibia, Main Division, Windhoek on 31 July 2015, and</w:t>
      </w:r>
    </w:p>
    <w:p w:rsidR="00544B51" w:rsidRPr="00544B51" w:rsidRDefault="00544B51" w:rsidP="00544B51">
      <w:pPr>
        <w:pStyle w:val="ListParagraph"/>
        <w:spacing w:after="0" w:line="360" w:lineRule="auto"/>
        <w:ind w:left="1440"/>
        <w:jc w:val="both"/>
        <w:rPr>
          <w:rFonts w:ascii="Arial" w:hAnsi="Arial" w:cs="Arial"/>
          <w:sz w:val="24"/>
          <w:szCs w:val="24"/>
        </w:rPr>
      </w:pPr>
    </w:p>
    <w:p w:rsidR="00D14E25" w:rsidRDefault="00D14E25" w:rsidP="00544B51">
      <w:pPr>
        <w:spacing w:after="0" w:line="360" w:lineRule="auto"/>
        <w:ind w:firstLine="720"/>
        <w:jc w:val="both"/>
        <w:rPr>
          <w:rFonts w:ascii="Arial" w:hAnsi="Arial" w:cs="Arial"/>
          <w:sz w:val="24"/>
          <w:szCs w:val="24"/>
        </w:rPr>
      </w:pPr>
      <w:r>
        <w:rPr>
          <w:rFonts w:ascii="Arial" w:hAnsi="Arial" w:cs="Arial"/>
          <w:sz w:val="24"/>
          <w:szCs w:val="24"/>
        </w:rPr>
        <w:t>(b)</w:t>
      </w:r>
      <w:r>
        <w:rPr>
          <w:rFonts w:ascii="Arial" w:hAnsi="Arial" w:cs="Arial"/>
          <w:sz w:val="24"/>
          <w:szCs w:val="24"/>
        </w:rPr>
        <w:tab/>
        <w:t>Condonation for the late filing for leave to appeal.</w:t>
      </w:r>
    </w:p>
    <w:p w:rsidR="00D14E25" w:rsidRDefault="00D14E25" w:rsidP="00544B51">
      <w:pPr>
        <w:spacing w:after="0" w:line="360" w:lineRule="auto"/>
        <w:jc w:val="both"/>
        <w:rPr>
          <w:rFonts w:ascii="Arial" w:hAnsi="Arial" w:cs="Arial"/>
          <w:sz w:val="24"/>
          <w:szCs w:val="24"/>
        </w:rPr>
      </w:pPr>
    </w:p>
    <w:p w:rsidR="00D14E25" w:rsidRDefault="00D14E25" w:rsidP="00544B51">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order by Miller AJ on 31 July 2015 dismissed applicant’s application for condonation and </w:t>
      </w:r>
      <w:proofErr w:type="spellStart"/>
      <w:r>
        <w:rPr>
          <w:rFonts w:ascii="Arial" w:hAnsi="Arial" w:cs="Arial"/>
          <w:sz w:val="24"/>
          <w:szCs w:val="24"/>
        </w:rPr>
        <w:t>upliftment</w:t>
      </w:r>
      <w:proofErr w:type="spellEnd"/>
      <w:r>
        <w:rPr>
          <w:rFonts w:ascii="Arial" w:hAnsi="Arial" w:cs="Arial"/>
          <w:sz w:val="24"/>
          <w:szCs w:val="24"/>
        </w:rPr>
        <w:t xml:space="preserve"> of the automatic bar to file a plea (in terms of rule 54(3) of the High Court Rules) and costs, including the costs of one instructing and two instructed counsel.</w:t>
      </w:r>
    </w:p>
    <w:p w:rsidR="00D14E25" w:rsidRDefault="00D14E25" w:rsidP="00544B51">
      <w:pPr>
        <w:spacing w:after="0" w:line="360" w:lineRule="auto"/>
        <w:jc w:val="both"/>
        <w:rPr>
          <w:rFonts w:ascii="Arial" w:hAnsi="Arial" w:cs="Arial"/>
          <w:sz w:val="24"/>
          <w:szCs w:val="24"/>
        </w:rPr>
      </w:pPr>
    </w:p>
    <w:p w:rsidR="00D14E25" w:rsidRDefault="00D14E25" w:rsidP="00544B51">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Applicant has failed to deliver its plea to the respondent’s counterclaim on or before 30 October 2014 as ordered by the Court.</w:t>
      </w:r>
    </w:p>
    <w:p w:rsidR="00D14E25" w:rsidRDefault="00D14E25" w:rsidP="00544B51">
      <w:pPr>
        <w:spacing w:after="0" w:line="360" w:lineRule="auto"/>
        <w:jc w:val="both"/>
        <w:rPr>
          <w:rFonts w:ascii="Arial" w:hAnsi="Arial" w:cs="Arial"/>
          <w:sz w:val="24"/>
          <w:szCs w:val="24"/>
        </w:rPr>
      </w:pPr>
    </w:p>
    <w:p w:rsidR="00D14E25" w:rsidRDefault="00D14E25" w:rsidP="00544B51">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Applicant has erroneously </w:t>
      </w:r>
      <w:proofErr w:type="spellStart"/>
      <w:r>
        <w:rPr>
          <w:rFonts w:ascii="Arial" w:hAnsi="Arial" w:cs="Arial"/>
          <w:sz w:val="24"/>
          <w:szCs w:val="24"/>
        </w:rPr>
        <w:t>laboured</w:t>
      </w:r>
      <w:proofErr w:type="spellEnd"/>
      <w:r>
        <w:rPr>
          <w:rFonts w:ascii="Arial" w:hAnsi="Arial" w:cs="Arial"/>
          <w:sz w:val="24"/>
          <w:szCs w:val="24"/>
        </w:rPr>
        <w:t xml:space="preserve"> under the impression that the Namibian Court Rules are not different from the South African Court Rules which require a notice of bar before barring a litigant to plea. Applicant is a South African entity represented by South African attorneys (who instructed Namibian attorneys as their representatives for issuing and receiving court process).</w:t>
      </w:r>
    </w:p>
    <w:p w:rsidR="00D14E25" w:rsidRDefault="00D14E25" w:rsidP="00544B51">
      <w:pPr>
        <w:spacing w:after="0" w:line="360" w:lineRule="auto"/>
        <w:jc w:val="both"/>
        <w:rPr>
          <w:rFonts w:ascii="Arial" w:hAnsi="Arial" w:cs="Arial"/>
          <w:sz w:val="24"/>
          <w:szCs w:val="24"/>
        </w:rPr>
      </w:pPr>
    </w:p>
    <w:p w:rsidR="00D14E25" w:rsidRDefault="00D14E25" w:rsidP="00544B51">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dismissal of applicant’s application has the effect that the automatic bar to file a plea, remains in place.</w:t>
      </w:r>
    </w:p>
    <w:p w:rsidR="00D14E25" w:rsidRDefault="00D14E25" w:rsidP="00544B51">
      <w:pPr>
        <w:spacing w:after="0" w:line="360" w:lineRule="auto"/>
        <w:jc w:val="both"/>
        <w:rPr>
          <w:rFonts w:ascii="Arial" w:hAnsi="Arial" w:cs="Arial"/>
          <w:sz w:val="24"/>
          <w:szCs w:val="24"/>
        </w:rPr>
      </w:pPr>
    </w:p>
    <w:p w:rsidR="00D14E25" w:rsidRDefault="00D14E25" w:rsidP="00544B51">
      <w:pPr>
        <w:spacing w:after="0" w:line="36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t>Applicant filed a notice to appeal with the Supreme Court on 25 August 2015 because applicant maintains that the order by Miller AJ was final in effect and as of right appealable.</w:t>
      </w:r>
    </w:p>
    <w:p w:rsidR="00D14E25" w:rsidRDefault="00D14E25" w:rsidP="00544B51">
      <w:pPr>
        <w:spacing w:after="0" w:line="360" w:lineRule="auto"/>
        <w:jc w:val="both"/>
        <w:rPr>
          <w:rFonts w:ascii="Arial" w:hAnsi="Arial" w:cs="Arial"/>
          <w:sz w:val="24"/>
          <w:szCs w:val="24"/>
        </w:rPr>
      </w:pPr>
    </w:p>
    <w:p w:rsidR="00D14E25" w:rsidRDefault="00D14E25" w:rsidP="00544B51">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Registrar of the Supreme Court did not place the appeal on the roll and allocate a hearing date due to her view, shared by respondent, that Miller AJ made an interlocutory order for which leave to appeal is required by section 18(3) of the High Court Act of 1990.</w:t>
      </w:r>
    </w:p>
    <w:p w:rsidR="00D14E25" w:rsidRDefault="00D14E25" w:rsidP="00544B51">
      <w:pPr>
        <w:spacing w:after="0" w:line="360" w:lineRule="auto"/>
        <w:jc w:val="both"/>
        <w:rPr>
          <w:rFonts w:ascii="Arial" w:hAnsi="Arial" w:cs="Arial"/>
          <w:sz w:val="24"/>
          <w:szCs w:val="24"/>
        </w:rPr>
      </w:pPr>
    </w:p>
    <w:p w:rsidR="00D14E25" w:rsidRDefault="00D14E25" w:rsidP="00544B51">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Applicant persisted with its view that leave to appeal was not required, but filed the present application for condonation and leave to appeal on 26 June 2017 in order to move the matter forward.</w:t>
      </w:r>
    </w:p>
    <w:p w:rsidR="00D14E25" w:rsidRDefault="00D14E25" w:rsidP="00544B51">
      <w:pPr>
        <w:spacing w:after="0" w:line="360" w:lineRule="auto"/>
        <w:jc w:val="both"/>
        <w:rPr>
          <w:rFonts w:ascii="Arial" w:hAnsi="Arial" w:cs="Arial"/>
          <w:sz w:val="24"/>
          <w:szCs w:val="24"/>
        </w:rPr>
      </w:pPr>
    </w:p>
    <w:p w:rsidR="00D14E25" w:rsidRDefault="00D14E25" w:rsidP="00544B51">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Applicant explained the delay in bringing the leave to appeal application in its founding papers. Applicant also explained the delay for timeously filing its plea in the condonation application before Miller AJ. Both explanations did not escape severe criticism from the respondent.</w:t>
      </w:r>
    </w:p>
    <w:p w:rsidR="00D14E25" w:rsidRDefault="00D14E25" w:rsidP="00544B51">
      <w:pPr>
        <w:spacing w:after="0" w:line="360" w:lineRule="auto"/>
        <w:jc w:val="both"/>
        <w:rPr>
          <w:rFonts w:ascii="Arial" w:hAnsi="Arial" w:cs="Arial"/>
          <w:sz w:val="24"/>
          <w:szCs w:val="24"/>
        </w:rPr>
      </w:pPr>
    </w:p>
    <w:p w:rsidR="00D14E25" w:rsidRDefault="00D14E25" w:rsidP="00544B51">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Due to the view this court take of the present condonation application and leave to appeal application, this court refrains from discussing the delay in the present application and of making any findings thereon.</w:t>
      </w:r>
    </w:p>
    <w:p w:rsidR="00D14E25" w:rsidRDefault="00D14E25" w:rsidP="00544B51">
      <w:pPr>
        <w:spacing w:after="0" w:line="360" w:lineRule="auto"/>
        <w:jc w:val="both"/>
        <w:rPr>
          <w:rFonts w:ascii="Arial" w:hAnsi="Arial" w:cs="Arial"/>
          <w:sz w:val="24"/>
          <w:szCs w:val="24"/>
        </w:rPr>
      </w:pPr>
    </w:p>
    <w:p w:rsidR="00D14E25" w:rsidRDefault="00D14E25" w:rsidP="00544B51">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“The enquiry into prospects of success applies to condonation and an application for leave, and both should fail if there are no prospects that an applicant will succeed in the appeal”.</w:t>
      </w:r>
      <w:r>
        <w:rPr>
          <w:rStyle w:val="FootnoteReference"/>
          <w:rFonts w:ascii="Arial" w:hAnsi="Arial" w:cs="Arial"/>
          <w:sz w:val="24"/>
          <w:szCs w:val="24"/>
        </w:rPr>
        <w:footnoteReference w:id="1"/>
      </w:r>
      <w:r>
        <w:rPr>
          <w:rFonts w:ascii="Arial" w:hAnsi="Arial" w:cs="Arial"/>
          <w:sz w:val="24"/>
          <w:szCs w:val="24"/>
        </w:rPr>
        <w:t xml:space="preserve"> This court concurs.</w:t>
      </w:r>
    </w:p>
    <w:p w:rsidR="00D14E25" w:rsidRDefault="00D14E25" w:rsidP="00544B51">
      <w:pPr>
        <w:spacing w:after="0" w:line="360" w:lineRule="auto"/>
        <w:jc w:val="both"/>
        <w:rPr>
          <w:rFonts w:ascii="Arial" w:hAnsi="Arial" w:cs="Arial"/>
          <w:sz w:val="24"/>
          <w:szCs w:val="24"/>
        </w:rPr>
      </w:pPr>
    </w:p>
    <w:p w:rsidR="00D14E25" w:rsidRDefault="00D14E25" w:rsidP="00544B51">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Applicant is bound by the case it made out in its founding affidavit for the </w:t>
      </w:r>
      <w:proofErr w:type="spellStart"/>
      <w:r>
        <w:rPr>
          <w:rFonts w:ascii="Arial" w:hAnsi="Arial" w:cs="Arial"/>
          <w:sz w:val="24"/>
          <w:szCs w:val="24"/>
        </w:rPr>
        <w:t>upliftment</w:t>
      </w:r>
      <w:proofErr w:type="spellEnd"/>
      <w:r>
        <w:rPr>
          <w:rFonts w:ascii="Arial" w:hAnsi="Arial" w:cs="Arial"/>
          <w:sz w:val="24"/>
          <w:szCs w:val="24"/>
        </w:rPr>
        <w:t xml:space="preserve"> of bar and condonation for late filing of its plea in 2014 before Miller AJ. It is trite law that an applicant bears the onus to show in his founding affidavit the reasons </w:t>
      </w:r>
      <w:r>
        <w:rPr>
          <w:rFonts w:ascii="Arial" w:hAnsi="Arial" w:cs="Arial"/>
          <w:sz w:val="24"/>
          <w:szCs w:val="24"/>
        </w:rPr>
        <w:lastRenderedPageBreak/>
        <w:t>for non-compliance with the rules and remiss to comply with a court order timeously in condonation applications</w:t>
      </w:r>
      <w:r>
        <w:rPr>
          <w:rStyle w:val="FootnoteReference"/>
          <w:rFonts w:ascii="Arial" w:hAnsi="Arial" w:cs="Arial"/>
          <w:sz w:val="24"/>
          <w:szCs w:val="24"/>
        </w:rPr>
        <w:footnoteReference w:id="2"/>
      </w:r>
      <w:r>
        <w:rPr>
          <w:rFonts w:ascii="Arial" w:hAnsi="Arial" w:cs="Arial"/>
          <w:sz w:val="24"/>
          <w:szCs w:val="24"/>
        </w:rPr>
        <w:t xml:space="preserve">, as well as a bona fide </w:t>
      </w:r>
      <w:proofErr w:type="spellStart"/>
      <w:r>
        <w:rPr>
          <w:rFonts w:ascii="Arial" w:hAnsi="Arial" w:cs="Arial"/>
          <w:sz w:val="24"/>
          <w:szCs w:val="24"/>
        </w:rPr>
        <w:t>defence</w:t>
      </w:r>
      <w:proofErr w:type="spellEnd"/>
      <w:r>
        <w:rPr>
          <w:rFonts w:ascii="Arial" w:hAnsi="Arial" w:cs="Arial"/>
          <w:sz w:val="24"/>
          <w:szCs w:val="24"/>
        </w:rPr>
        <w:t xml:space="preserve"> to the claim</w:t>
      </w:r>
      <w:r>
        <w:rPr>
          <w:rStyle w:val="FootnoteReference"/>
          <w:rFonts w:ascii="Arial" w:hAnsi="Arial" w:cs="Arial"/>
          <w:sz w:val="24"/>
          <w:szCs w:val="24"/>
        </w:rPr>
        <w:footnoteReference w:id="3"/>
      </w:r>
      <w:r>
        <w:rPr>
          <w:rFonts w:ascii="Arial" w:hAnsi="Arial" w:cs="Arial"/>
          <w:sz w:val="24"/>
          <w:szCs w:val="24"/>
        </w:rPr>
        <w:t>.</w:t>
      </w:r>
    </w:p>
    <w:p w:rsidR="00544B51" w:rsidRDefault="00544B51" w:rsidP="00544B51">
      <w:pPr>
        <w:spacing w:after="0" w:line="360" w:lineRule="auto"/>
        <w:jc w:val="both"/>
        <w:rPr>
          <w:rFonts w:ascii="Arial" w:hAnsi="Arial" w:cs="Arial"/>
          <w:sz w:val="24"/>
          <w:szCs w:val="24"/>
        </w:rPr>
      </w:pPr>
    </w:p>
    <w:p w:rsidR="00D14E25" w:rsidRDefault="00D14E25" w:rsidP="00544B51">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Applicant did not show good cause in its 2014 founding affidavit in the sense that it failed to satisfy the court on oath that it had a bona fide </w:t>
      </w:r>
      <w:proofErr w:type="spellStart"/>
      <w:r>
        <w:rPr>
          <w:rFonts w:ascii="Arial" w:hAnsi="Arial" w:cs="Arial"/>
          <w:sz w:val="24"/>
          <w:szCs w:val="24"/>
        </w:rPr>
        <w:t>defence</w:t>
      </w:r>
      <w:proofErr w:type="spellEnd"/>
      <w:r>
        <w:rPr>
          <w:rFonts w:ascii="Arial" w:hAnsi="Arial" w:cs="Arial"/>
          <w:sz w:val="24"/>
          <w:szCs w:val="24"/>
        </w:rPr>
        <w:t xml:space="preserve">. Apart from saying under oath it has a bona fide </w:t>
      </w:r>
      <w:proofErr w:type="spellStart"/>
      <w:r>
        <w:rPr>
          <w:rFonts w:ascii="Arial" w:hAnsi="Arial" w:cs="Arial"/>
          <w:sz w:val="24"/>
          <w:szCs w:val="24"/>
        </w:rPr>
        <w:t>defence</w:t>
      </w:r>
      <w:proofErr w:type="spellEnd"/>
      <w:r>
        <w:rPr>
          <w:rFonts w:ascii="Arial" w:hAnsi="Arial" w:cs="Arial"/>
          <w:sz w:val="24"/>
          <w:szCs w:val="24"/>
        </w:rPr>
        <w:t>, it failed to support it with evidence</w:t>
      </w:r>
      <w:r>
        <w:rPr>
          <w:rStyle w:val="FootnoteReference"/>
          <w:rFonts w:ascii="Arial" w:hAnsi="Arial" w:cs="Arial"/>
          <w:sz w:val="24"/>
          <w:szCs w:val="24"/>
        </w:rPr>
        <w:footnoteReference w:id="4"/>
      </w:r>
      <w:r>
        <w:rPr>
          <w:rFonts w:ascii="Arial" w:hAnsi="Arial" w:cs="Arial"/>
          <w:sz w:val="24"/>
          <w:szCs w:val="24"/>
        </w:rPr>
        <w:t xml:space="preserve">. Respondent could not deal with the alleged bona fide </w:t>
      </w:r>
      <w:proofErr w:type="spellStart"/>
      <w:r>
        <w:rPr>
          <w:rFonts w:ascii="Arial" w:hAnsi="Arial" w:cs="Arial"/>
          <w:sz w:val="24"/>
          <w:szCs w:val="24"/>
        </w:rPr>
        <w:t>defence</w:t>
      </w:r>
      <w:proofErr w:type="spellEnd"/>
      <w:r>
        <w:rPr>
          <w:rFonts w:ascii="Arial" w:hAnsi="Arial" w:cs="Arial"/>
          <w:sz w:val="24"/>
          <w:szCs w:val="24"/>
        </w:rPr>
        <w:t xml:space="preserve"> in answer and the court could not consider it.</w:t>
      </w:r>
    </w:p>
    <w:p w:rsidR="00D14E25" w:rsidRDefault="00D14E25" w:rsidP="00544B51">
      <w:pPr>
        <w:spacing w:after="0" w:line="360" w:lineRule="auto"/>
        <w:jc w:val="both"/>
        <w:rPr>
          <w:rFonts w:ascii="Arial" w:hAnsi="Arial" w:cs="Arial"/>
          <w:sz w:val="24"/>
          <w:szCs w:val="24"/>
        </w:rPr>
      </w:pPr>
    </w:p>
    <w:p w:rsidR="00D14E25" w:rsidRDefault="00D14E25" w:rsidP="00544B51">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On appeal the applicant will be faced with the very same dilemma. All the new matter not included in the first application before Miller AJ is irrelevant and should not form part of the appeal record. Respondent applied for the striking out thereof and it is so ordered.</w:t>
      </w:r>
    </w:p>
    <w:p w:rsidR="00D14E25" w:rsidRDefault="00D14E25" w:rsidP="00544B51">
      <w:pPr>
        <w:spacing w:after="0" w:line="360" w:lineRule="auto"/>
        <w:jc w:val="both"/>
        <w:rPr>
          <w:rFonts w:ascii="Arial" w:hAnsi="Arial" w:cs="Arial"/>
          <w:sz w:val="24"/>
          <w:szCs w:val="24"/>
        </w:rPr>
      </w:pPr>
    </w:p>
    <w:p w:rsidR="00D14E25" w:rsidRDefault="00D14E25" w:rsidP="00544B51">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This court can come to no other conclusion as that applicant has failed to show that it had reasonable prospects on appeal in that it failed to set out a bona fide </w:t>
      </w:r>
      <w:proofErr w:type="spellStart"/>
      <w:r>
        <w:rPr>
          <w:rFonts w:ascii="Arial" w:hAnsi="Arial" w:cs="Arial"/>
          <w:sz w:val="24"/>
          <w:szCs w:val="24"/>
        </w:rPr>
        <w:t>defence</w:t>
      </w:r>
      <w:proofErr w:type="spellEnd"/>
      <w:r>
        <w:rPr>
          <w:rFonts w:ascii="Arial" w:hAnsi="Arial" w:cs="Arial"/>
          <w:sz w:val="24"/>
          <w:szCs w:val="24"/>
        </w:rPr>
        <w:t>.</w:t>
      </w:r>
    </w:p>
    <w:p w:rsidR="00D14E25" w:rsidRDefault="00D14E25" w:rsidP="00544B51">
      <w:pPr>
        <w:spacing w:after="0" w:line="360" w:lineRule="auto"/>
        <w:jc w:val="both"/>
        <w:rPr>
          <w:rFonts w:ascii="Arial" w:hAnsi="Arial" w:cs="Arial"/>
          <w:sz w:val="24"/>
          <w:szCs w:val="24"/>
        </w:rPr>
      </w:pPr>
    </w:p>
    <w:p w:rsidR="00D14E25" w:rsidRDefault="00D14E25" w:rsidP="00544B51">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In the result, it is ordered that – </w:t>
      </w:r>
    </w:p>
    <w:p w:rsidR="00D14E25" w:rsidRDefault="00D14E25" w:rsidP="00544B51">
      <w:pPr>
        <w:spacing w:after="0" w:line="360" w:lineRule="auto"/>
        <w:jc w:val="both"/>
        <w:rPr>
          <w:rFonts w:ascii="Arial" w:hAnsi="Arial" w:cs="Arial"/>
          <w:sz w:val="24"/>
          <w:szCs w:val="24"/>
        </w:rPr>
      </w:pPr>
    </w:p>
    <w:p w:rsidR="00D14E25" w:rsidRDefault="00D14E25" w:rsidP="00544B51">
      <w:pPr>
        <w:spacing w:after="0" w:line="360" w:lineRule="auto"/>
        <w:ind w:left="1440" w:hanging="720"/>
        <w:jc w:val="both"/>
        <w:rPr>
          <w:rFonts w:ascii="Arial" w:hAnsi="Arial" w:cs="Arial"/>
          <w:sz w:val="24"/>
          <w:szCs w:val="24"/>
        </w:rPr>
      </w:pPr>
      <w:r>
        <w:rPr>
          <w:rFonts w:ascii="Arial" w:hAnsi="Arial" w:cs="Arial"/>
          <w:sz w:val="24"/>
          <w:szCs w:val="24"/>
        </w:rPr>
        <w:t>17.1</w:t>
      </w:r>
      <w:r>
        <w:rPr>
          <w:rFonts w:ascii="Arial" w:hAnsi="Arial" w:cs="Arial"/>
          <w:sz w:val="24"/>
          <w:szCs w:val="24"/>
        </w:rPr>
        <w:tab/>
        <w:t>Annexures “TG 1”, “TG 2” and “TG 3” be disregarded as being inadmissible for want of compliance with Rule 128(2).</w:t>
      </w:r>
    </w:p>
    <w:p w:rsidR="00D14E25" w:rsidRDefault="00D14E25" w:rsidP="00544B51">
      <w:pPr>
        <w:spacing w:after="0" w:line="360" w:lineRule="auto"/>
        <w:ind w:left="1440" w:hanging="720"/>
        <w:jc w:val="both"/>
        <w:rPr>
          <w:rFonts w:ascii="Arial" w:hAnsi="Arial" w:cs="Arial"/>
          <w:sz w:val="24"/>
          <w:szCs w:val="24"/>
        </w:rPr>
      </w:pPr>
    </w:p>
    <w:p w:rsidR="00D14E25" w:rsidRDefault="00D14E25" w:rsidP="00544B51">
      <w:pPr>
        <w:spacing w:after="0" w:line="360" w:lineRule="auto"/>
        <w:ind w:left="1440" w:hanging="720"/>
        <w:jc w:val="both"/>
        <w:rPr>
          <w:rFonts w:ascii="Arial" w:hAnsi="Arial" w:cs="Arial"/>
          <w:sz w:val="24"/>
          <w:szCs w:val="24"/>
        </w:rPr>
      </w:pPr>
      <w:r>
        <w:rPr>
          <w:rFonts w:ascii="Arial" w:hAnsi="Arial" w:cs="Arial"/>
          <w:sz w:val="24"/>
          <w:szCs w:val="24"/>
        </w:rPr>
        <w:t>17.2</w:t>
      </w:r>
      <w:r>
        <w:rPr>
          <w:rFonts w:ascii="Arial" w:hAnsi="Arial" w:cs="Arial"/>
          <w:sz w:val="24"/>
          <w:szCs w:val="24"/>
        </w:rPr>
        <w:tab/>
        <w:t xml:space="preserve">Paragraphs 16, 19, 20, 20.2, 20.3, 20.4, 22, 23, 24, 26, 26.1, 26.2, 26.3, 26.3.1, 41, 42, 43, 44, 44.1, 44.2, 57, 57.1, 57.2, 57.3, 57.4, 57.5, 58, 59, 59.1, 59.2, 84, 84.1, - 99, inclusive of annexures “TG 13.1’ to “TG </w:t>
      </w:r>
      <w:r>
        <w:rPr>
          <w:rFonts w:ascii="Arial" w:hAnsi="Arial" w:cs="Arial"/>
          <w:sz w:val="24"/>
          <w:szCs w:val="24"/>
        </w:rPr>
        <w:lastRenderedPageBreak/>
        <w:t>13.3”, “TG 14”, “TG 15”, “TG 18”, “TG 22”, “TG 23” to “TG 32.3” be struck out as being irrelevant.</w:t>
      </w:r>
    </w:p>
    <w:p w:rsidR="00D14E25" w:rsidRDefault="00D14E25" w:rsidP="00544B51">
      <w:pPr>
        <w:spacing w:after="0" w:line="360" w:lineRule="auto"/>
        <w:ind w:left="1440" w:hanging="720"/>
        <w:jc w:val="both"/>
        <w:rPr>
          <w:rFonts w:ascii="Arial" w:hAnsi="Arial" w:cs="Arial"/>
          <w:sz w:val="24"/>
          <w:szCs w:val="24"/>
        </w:rPr>
      </w:pPr>
    </w:p>
    <w:p w:rsidR="00D14E25" w:rsidRDefault="00D14E25" w:rsidP="00544B51">
      <w:pPr>
        <w:spacing w:after="0" w:line="360" w:lineRule="auto"/>
        <w:ind w:left="1440" w:hanging="720"/>
        <w:jc w:val="both"/>
        <w:rPr>
          <w:rFonts w:ascii="Arial" w:hAnsi="Arial" w:cs="Arial"/>
          <w:sz w:val="24"/>
          <w:szCs w:val="24"/>
        </w:rPr>
      </w:pPr>
      <w:r>
        <w:rPr>
          <w:rFonts w:ascii="Arial" w:hAnsi="Arial" w:cs="Arial"/>
          <w:sz w:val="24"/>
          <w:szCs w:val="24"/>
        </w:rPr>
        <w:t>17.3</w:t>
      </w:r>
      <w:r>
        <w:rPr>
          <w:rFonts w:ascii="Arial" w:hAnsi="Arial" w:cs="Arial"/>
          <w:sz w:val="24"/>
          <w:szCs w:val="24"/>
        </w:rPr>
        <w:tab/>
        <w:t xml:space="preserve">Paragraphs 26, 26.1, 43, 57, 58, </w:t>
      </w:r>
      <w:proofErr w:type="gramStart"/>
      <w:r>
        <w:rPr>
          <w:rFonts w:ascii="Arial" w:hAnsi="Arial" w:cs="Arial"/>
          <w:sz w:val="24"/>
          <w:szCs w:val="24"/>
        </w:rPr>
        <w:t>59</w:t>
      </w:r>
      <w:proofErr w:type="gramEnd"/>
      <w:r>
        <w:rPr>
          <w:rFonts w:ascii="Arial" w:hAnsi="Arial" w:cs="Arial"/>
          <w:sz w:val="24"/>
          <w:szCs w:val="24"/>
        </w:rPr>
        <w:t xml:space="preserve"> be struck out as being frivolous and/or vexatious.</w:t>
      </w:r>
    </w:p>
    <w:p w:rsidR="00D14E25" w:rsidRDefault="00D14E25" w:rsidP="00544B51">
      <w:pPr>
        <w:spacing w:after="0" w:line="360" w:lineRule="auto"/>
        <w:ind w:left="1440" w:hanging="720"/>
        <w:jc w:val="both"/>
        <w:rPr>
          <w:rFonts w:ascii="Arial" w:hAnsi="Arial" w:cs="Arial"/>
          <w:sz w:val="24"/>
          <w:szCs w:val="24"/>
        </w:rPr>
      </w:pPr>
    </w:p>
    <w:p w:rsidR="00D14E25" w:rsidRDefault="00D14E25" w:rsidP="00544B51">
      <w:pPr>
        <w:spacing w:after="0" w:line="360" w:lineRule="auto"/>
        <w:ind w:left="1440" w:hanging="720"/>
        <w:jc w:val="both"/>
        <w:rPr>
          <w:rFonts w:ascii="Arial" w:hAnsi="Arial" w:cs="Arial"/>
          <w:sz w:val="24"/>
          <w:szCs w:val="24"/>
        </w:rPr>
      </w:pPr>
      <w:r>
        <w:rPr>
          <w:rFonts w:ascii="Arial" w:hAnsi="Arial" w:cs="Arial"/>
          <w:sz w:val="24"/>
          <w:szCs w:val="24"/>
        </w:rPr>
        <w:t>17.4</w:t>
      </w:r>
      <w:r>
        <w:rPr>
          <w:rFonts w:ascii="Arial" w:hAnsi="Arial" w:cs="Arial"/>
          <w:sz w:val="24"/>
          <w:szCs w:val="24"/>
        </w:rPr>
        <w:tab/>
        <w:t>The condonation application for the late filing of applicant’s leave to appeal and the leave to appeal are refused and dismissed.</w:t>
      </w:r>
    </w:p>
    <w:p w:rsidR="00D14E25" w:rsidRDefault="00D14E25" w:rsidP="00544B51">
      <w:pPr>
        <w:spacing w:after="0" w:line="360" w:lineRule="auto"/>
        <w:ind w:left="1440" w:hanging="720"/>
        <w:jc w:val="both"/>
        <w:rPr>
          <w:rFonts w:ascii="Arial" w:hAnsi="Arial" w:cs="Arial"/>
          <w:sz w:val="24"/>
          <w:szCs w:val="24"/>
        </w:rPr>
      </w:pPr>
    </w:p>
    <w:p w:rsidR="00D14E25" w:rsidRDefault="00D14E25" w:rsidP="00544B51">
      <w:pPr>
        <w:spacing w:after="0" w:line="360" w:lineRule="auto"/>
        <w:ind w:left="1440" w:hanging="720"/>
        <w:jc w:val="both"/>
        <w:rPr>
          <w:rFonts w:ascii="Arial" w:hAnsi="Arial" w:cs="Arial"/>
          <w:sz w:val="24"/>
          <w:szCs w:val="24"/>
        </w:rPr>
      </w:pPr>
      <w:r>
        <w:rPr>
          <w:rFonts w:ascii="Arial" w:hAnsi="Arial" w:cs="Arial"/>
          <w:sz w:val="24"/>
          <w:szCs w:val="24"/>
        </w:rPr>
        <w:t>17.5</w:t>
      </w:r>
      <w:r>
        <w:rPr>
          <w:rFonts w:ascii="Arial" w:hAnsi="Arial" w:cs="Arial"/>
          <w:sz w:val="24"/>
          <w:szCs w:val="24"/>
        </w:rPr>
        <w:tab/>
        <w:t>Applicant to pay the costs of the respondent, inclusive of the costs of one instructing and two instructed counsel, which costs shall not be capped as provided for in rule 32 (11) of the Rules of Court.</w:t>
      </w:r>
    </w:p>
    <w:p w:rsidR="00D14E25" w:rsidRDefault="00D14E25" w:rsidP="00544B51">
      <w:pPr>
        <w:spacing w:after="0" w:line="360" w:lineRule="auto"/>
        <w:jc w:val="both"/>
        <w:rPr>
          <w:rFonts w:ascii="Arial" w:hAnsi="Arial" w:cs="Arial"/>
          <w:sz w:val="24"/>
          <w:szCs w:val="24"/>
        </w:rPr>
      </w:pPr>
    </w:p>
    <w:p w:rsidR="00D14E25" w:rsidRDefault="00D14E25" w:rsidP="00544B51">
      <w:pPr>
        <w:spacing w:after="0" w:line="360" w:lineRule="auto"/>
        <w:jc w:val="both"/>
        <w:rPr>
          <w:rFonts w:ascii="Arial" w:hAnsi="Arial" w:cs="Arial"/>
          <w:sz w:val="24"/>
          <w:szCs w:val="24"/>
        </w:rPr>
      </w:pPr>
    </w:p>
    <w:p w:rsidR="00D14E25" w:rsidRDefault="00D14E25" w:rsidP="00544B51">
      <w:pPr>
        <w:spacing w:after="0" w:line="360" w:lineRule="auto"/>
        <w:jc w:val="both"/>
        <w:rPr>
          <w:rFonts w:ascii="Arial" w:hAnsi="Arial" w:cs="Arial"/>
          <w:sz w:val="24"/>
          <w:szCs w:val="24"/>
        </w:rPr>
      </w:pPr>
    </w:p>
    <w:p w:rsidR="00D14E25" w:rsidRPr="001F2A65" w:rsidRDefault="00D14E25" w:rsidP="00544B51">
      <w:pPr>
        <w:spacing w:after="0" w:line="360" w:lineRule="auto"/>
        <w:jc w:val="right"/>
        <w:rPr>
          <w:rFonts w:ascii="Arial" w:hAnsi="Arial" w:cs="Arial"/>
          <w:sz w:val="24"/>
          <w:szCs w:val="24"/>
        </w:rPr>
      </w:pPr>
      <w:r w:rsidRPr="001F2A65">
        <w:rPr>
          <w:rFonts w:ascii="Arial" w:hAnsi="Arial" w:cs="Arial"/>
          <w:sz w:val="24"/>
          <w:szCs w:val="24"/>
        </w:rPr>
        <w:t>---------------------</w:t>
      </w:r>
    </w:p>
    <w:p w:rsidR="00D14E25" w:rsidRPr="001F2A65" w:rsidRDefault="00D14E25" w:rsidP="00544B51">
      <w:pPr>
        <w:spacing w:after="0" w:line="360" w:lineRule="auto"/>
        <w:jc w:val="right"/>
        <w:rPr>
          <w:rFonts w:ascii="Arial" w:hAnsi="Arial" w:cs="Arial"/>
          <w:sz w:val="24"/>
          <w:szCs w:val="24"/>
        </w:rPr>
      </w:pPr>
      <w:r w:rsidRPr="001F2A65">
        <w:rPr>
          <w:rFonts w:ascii="Arial" w:hAnsi="Arial" w:cs="Arial"/>
          <w:sz w:val="24"/>
          <w:szCs w:val="24"/>
        </w:rPr>
        <w:t xml:space="preserve">GH </w:t>
      </w:r>
      <w:proofErr w:type="spellStart"/>
      <w:r w:rsidRPr="001F2A65">
        <w:rPr>
          <w:rFonts w:ascii="Arial" w:hAnsi="Arial" w:cs="Arial"/>
          <w:sz w:val="24"/>
          <w:szCs w:val="24"/>
        </w:rPr>
        <w:t>Oosthuizen</w:t>
      </w:r>
      <w:proofErr w:type="spellEnd"/>
    </w:p>
    <w:p w:rsidR="00D14E25" w:rsidRPr="001F2A65" w:rsidRDefault="00D14E25" w:rsidP="00544B51">
      <w:pPr>
        <w:spacing w:after="0" w:line="360" w:lineRule="auto"/>
        <w:jc w:val="right"/>
        <w:rPr>
          <w:rFonts w:ascii="Arial" w:hAnsi="Arial" w:cs="Arial"/>
          <w:sz w:val="24"/>
          <w:szCs w:val="24"/>
        </w:rPr>
      </w:pPr>
      <w:r w:rsidRPr="001F2A65">
        <w:rPr>
          <w:rFonts w:ascii="Arial" w:hAnsi="Arial" w:cs="Arial"/>
          <w:sz w:val="24"/>
          <w:szCs w:val="24"/>
        </w:rPr>
        <w:t>Judge</w:t>
      </w:r>
    </w:p>
    <w:p w:rsidR="00D14E25" w:rsidRPr="001F2A65" w:rsidRDefault="00D14E25" w:rsidP="00544B51">
      <w:pPr>
        <w:spacing w:after="0" w:line="360" w:lineRule="auto"/>
        <w:jc w:val="both"/>
        <w:rPr>
          <w:rFonts w:ascii="Arial" w:hAnsi="Arial" w:cs="Arial"/>
          <w:sz w:val="2"/>
          <w:szCs w:val="2"/>
        </w:rPr>
      </w:pPr>
      <w:r w:rsidRPr="001F2A65">
        <w:rPr>
          <w:rFonts w:ascii="Arial" w:hAnsi="Arial" w:cs="Arial"/>
          <w:sz w:val="2"/>
          <w:szCs w:val="2"/>
        </w:rPr>
        <w:br w:type="page"/>
      </w:r>
    </w:p>
    <w:p w:rsidR="00D14E25" w:rsidRPr="001F2A65" w:rsidRDefault="00D14E25" w:rsidP="00544B51">
      <w:pPr>
        <w:autoSpaceDE w:val="0"/>
        <w:autoSpaceDN w:val="0"/>
        <w:adjustRightInd w:val="0"/>
        <w:spacing w:after="0" w:line="360" w:lineRule="auto"/>
        <w:jc w:val="both"/>
        <w:rPr>
          <w:rFonts w:ascii="Arial" w:eastAsia="Times New Roman" w:hAnsi="Arial" w:cs="Arial"/>
          <w:sz w:val="24"/>
          <w:szCs w:val="24"/>
          <w:lang w:val="en-GB"/>
        </w:rPr>
      </w:pPr>
      <w:r w:rsidRPr="001F2A65">
        <w:rPr>
          <w:rFonts w:ascii="Arial" w:eastAsia="Times New Roman" w:hAnsi="Arial" w:cs="Arial"/>
          <w:sz w:val="24"/>
          <w:szCs w:val="24"/>
          <w:lang w:val="en-GB"/>
        </w:rPr>
        <w:lastRenderedPageBreak/>
        <w:t>APPEARANCES</w:t>
      </w:r>
    </w:p>
    <w:p w:rsidR="00D14E25" w:rsidRPr="001F2A65" w:rsidRDefault="00D14E25" w:rsidP="00544B51">
      <w:pPr>
        <w:autoSpaceDE w:val="0"/>
        <w:autoSpaceDN w:val="0"/>
        <w:adjustRightInd w:val="0"/>
        <w:spacing w:after="0" w:line="360" w:lineRule="auto"/>
        <w:jc w:val="both"/>
        <w:rPr>
          <w:rFonts w:ascii="Arial" w:eastAsia="Times New Roman" w:hAnsi="Arial" w:cs="Arial"/>
          <w:sz w:val="24"/>
          <w:szCs w:val="24"/>
          <w:lang w:val="en-GB"/>
        </w:rPr>
      </w:pPr>
    </w:p>
    <w:p w:rsidR="00D14E25" w:rsidRPr="001F2A65" w:rsidRDefault="00D14E25" w:rsidP="00544B51">
      <w:pPr>
        <w:autoSpaceDE w:val="0"/>
        <w:autoSpaceDN w:val="0"/>
        <w:adjustRightInd w:val="0"/>
        <w:spacing w:after="0" w:line="360" w:lineRule="auto"/>
        <w:jc w:val="both"/>
        <w:rPr>
          <w:rFonts w:ascii="Arial" w:eastAsia="Times New Roman" w:hAnsi="Arial" w:cs="Arial"/>
          <w:sz w:val="24"/>
          <w:szCs w:val="24"/>
          <w:lang w:val="en-GB"/>
        </w:rPr>
      </w:pPr>
    </w:p>
    <w:p w:rsidR="00D14E25" w:rsidRPr="001F2A65" w:rsidRDefault="00D14E25" w:rsidP="00544B51">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APPLICANT</w:t>
      </w:r>
      <w:r w:rsidRPr="001F2A65">
        <w:rPr>
          <w:rFonts w:ascii="Arial" w:hAnsi="Arial" w:cs="Arial"/>
          <w:sz w:val="24"/>
          <w:szCs w:val="24"/>
        </w:rPr>
        <w:t>:</w:t>
      </w:r>
      <w:r w:rsidRPr="001F2A65">
        <w:rPr>
          <w:rFonts w:ascii="Arial" w:hAnsi="Arial" w:cs="Arial"/>
          <w:sz w:val="24"/>
          <w:szCs w:val="24"/>
        </w:rPr>
        <w:tab/>
      </w:r>
      <w:r w:rsidRPr="001F2A65">
        <w:rPr>
          <w:rFonts w:ascii="Arial" w:hAnsi="Arial" w:cs="Arial"/>
          <w:sz w:val="24"/>
          <w:szCs w:val="24"/>
        </w:rPr>
        <w:tab/>
      </w:r>
      <w:proofErr w:type="spellStart"/>
      <w:r w:rsidRPr="001F2A65">
        <w:rPr>
          <w:rFonts w:ascii="Arial" w:hAnsi="Arial" w:cs="Arial"/>
          <w:sz w:val="24"/>
          <w:szCs w:val="24"/>
        </w:rPr>
        <w:t>Mr</w:t>
      </w:r>
      <w:proofErr w:type="spellEnd"/>
      <w:r w:rsidRPr="001F2A65">
        <w:rPr>
          <w:rFonts w:ascii="Arial" w:hAnsi="Arial" w:cs="Arial"/>
          <w:sz w:val="24"/>
          <w:szCs w:val="24"/>
        </w:rPr>
        <w:t xml:space="preserve"> De </w:t>
      </w:r>
      <w:proofErr w:type="spellStart"/>
      <w:r w:rsidRPr="001F2A65">
        <w:rPr>
          <w:rFonts w:ascii="Arial" w:hAnsi="Arial" w:cs="Arial"/>
          <w:sz w:val="24"/>
          <w:szCs w:val="24"/>
        </w:rPr>
        <w:t>Friz</w:t>
      </w:r>
      <w:proofErr w:type="spellEnd"/>
      <w:r w:rsidRPr="001F2A65">
        <w:rPr>
          <w:rFonts w:ascii="Arial" w:hAnsi="Arial" w:cs="Arial"/>
          <w:sz w:val="24"/>
          <w:szCs w:val="24"/>
        </w:rPr>
        <w:tab/>
      </w:r>
      <w:r w:rsidRPr="001F2A65">
        <w:rPr>
          <w:rFonts w:ascii="Arial" w:hAnsi="Arial" w:cs="Arial"/>
          <w:sz w:val="24"/>
          <w:szCs w:val="24"/>
        </w:rPr>
        <w:tab/>
        <w:t xml:space="preserve"> </w:t>
      </w:r>
    </w:p>
    <w:p w:rsidR="00D14E25" w:rsidRPr="001F2A65" w:rsidRDefault="00D14E25" w:rsidP="00544B51">
      <w:pPr>
        <w:tabs>
          <w:tab w:val="left" w:pos="2250"/>
        </w:tabs>
        <w:autoSpaceDE w:val="0"/>
        <w:autoSpaceDN w:val="0"/>
        <w:adjustRightInd w:val="0"/>
        <w:spacing w:after="0" w:line="360" w:lineRule="auto"/>
        <w:ind w:left="1440" w:firstLine="720"/>
        <w:jc w:val="both"/>
        <w:rPr>
          <w:rFonts w:ascii="Arial" w:hAnsi="Arial" w:cs="Arial"/>
          <w:sz w:val="24"/>
          <w:szCs w:val="24"/>
        </w:rPr>
      </w:pPr>
      <w:r w:rsidRPr="001F2A65">
        <w:rPr>
          <w:rFonts w:ascii="Arial" w:hAnsi="Arial" w:cs="Arial"/>
          <w:sz w:val="24"/>
          <w:szCs w:val="24"/>
        </w:rPr>
        <w:tab/>
      </w:r>
      <w:r w:rsidRPr="001F2A65">
        <w:rPr>
          <w:rFonts w:ascii="Arial" w:hAnsi="Arial" w:cs="Arial"/>
          <w:sz w:val="24"/>
          <w:szCs w:val="24"/>
        </w:rPr>
        <w:tab/>
      </w:r>
      <w:r>
        <w:rPr>
          <w:rFonts w:ascii="Arial" w:hAnsi="Arial" w:cs="Arial"/>
          <w:sz w:val="24"/>
          <w:szCs w:val="24"/>
        </w:rPr>
        <w:t xml:space="preserve">Instructed by </w:t>
      </w:r>
      <w:r w:rsidRPr="001F2A65">
        <w:rPr>
          <w:rFonts w:ascii="Arial" w:hAnsi="Arial" w:cs="Arial"/>
          <w:sz w:val="24"/>
          <w:szCs w:val="24"/>
        </w:rPr>
        <w:t>Francois Erasmus &amp; Partners</w:t>
      </w:r>
      <w:r>
        <w:rPr>
          <w:rFonts w:ascii="Arial" w:hAnsi="Arial" w:cs="Arial"/>
          <w:sz w:val="24"/>
          <w:szCs w:val="24"/>
        </w:rPr>
        <w:t>, Windhoek</w:t>
      </w:r>
    </w:p>
    <w:p w:rsidR="00D14E25" w:rsidRPr="001F2A65" w:rsidRDefault="00D14E25" w:rsidP="00544B51">
      <w:pPr>
        <w:tabs>
          <w:tab w:val="left" w:pos="1394"/>
          <w:tab w:val="left" w:pos="2528"/>
          <w:tab w:val="left" w:pos="3780"/>
        </w:tabs>
        <w:spacing w:after="0" w:line="360" w:lineRule="auto"/>
        <w:jc w:val="both"/>
        <w:rPr>
          <w:rFonts w:ascii="Arial" w:eastAsia="Times New Roman" w:hAnsi="Arial" w:cs="Arial"/>
          <w:sz w:val="24"/>
          <w:szCs w:val="24"/>
          <w:lang w:val="en-GB"/>
        </w:rPr>
      </w:pPr>
    </w:p>
    <w:p w:rsidR="00D14E25" w:rsidRPr="001F2A65" w:rsidRDefault="00D14E25" w:rsidP="00544B51">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RESPONDENTS</w:t>
      </w:r>
      <w:r w:rsidRPr="001F2A65">
        <w:rPr>
          <w:rFonts w:ascii="Arial" w:hAnsi="Arial" w:cs="Arial"/>
          <w:sz w:val="24"/>
          <w:szCs w:val="24"/>
        </w:rPr>
        <w:t>:</w:t>
      </w:r>
      <w:r w:rsidRPr="001F2A65">
        <w:rPr>
          <w:rFonts w:ascii="Arial" w:hAnsi="Arial" w:cs="Arial"/>
          <w:sz w:val="24"/>
          <w:szCs w:val="24"/>
        </w:rPr>
        <w:tab/>
      </w:r>
      <w:r w:rsidRPr="001F2A65">
        <w:rPr>
          <w:rFonts w:ascii="Arial" w:hAnsi="Arial" w:cs="Arial"/>
          <w:sz w:val="24"/>
          <w:szCs w:val="24"/>
        </w:rPr>
        <w:tab/>
      </w:r>
      <w:proofErr w:type="spellStart"/>
      <w:r w:rsidRPr="001F2A65">
        <w:rPr>
          <w:rFonts w:ascii="Arial" w:hAnsi="Arial" w:cs="Arial"/>
          <w:sz w:val="24"/>
          <w:szCs w:val="24"/>
        </w:rPr>
        <w:t>Mssrs</w:t>
      </w:r>
      <w:proofErr w:type="spellEnd"/>
      <w:r w:rsidRPr="001F2A65">
        <w:rPr>
          <w:rFonts w:ascii="Arial" w:hAnsi="Arial" w:cs="Arial"/>
          <w:sz w:val="24"/>
          <w:szCs w:val="24"/>
        </w:rPr>
        <w:t xml:space="preserve"> Heathcote and </w:t>
      </w:r>
      <w:proofErr w:type="spellStart"/>
      <w:r w:rsidRPr="001F2A65">
        <w:rPr>
          <w:rFonts w:ascii="Arial" w:hAnsi="Arial" w:cs="Arial"/>
          <w:sz w:val="24"/>
          <w:szCs w:val="24"/>
        </w:rPr>
        <w:t>Schickerling</w:t>
      </w:r>
      <w:proofErr w:type="spellEnd"/>
    </w:p>
    <w:p w:rsidR="00D14E25" w:rsidRPr="001F2A65" w:rsidRDefault="00D14E25" w:rsidP="00544B51">
      <w:pPr>
        <w:autoSpaceDE w:val="0"/>
        <w:autoSpaceDN w:val="0"/>
        <w:adjustRightInd w:val="0"/>
        <w:spacing w:after="0" w:line="360" w:lineRule="auto"/>
        <w:ind w:left="2880"/>
        <w:jc w:val="both"/>
        <w:rPr>
          <w:rFonts w:ascii="Arial" w:hAnsi="Arial" w:cs="Arial"/>
          <w:sz w:val="24"/>
          <w:szCs w:val="24"/>
        </w:rPr>
      </w:pPr>
      <w:r>
        <w:rPr>
          <w:rFonts w:ascii="Arial" w:hAnsi="Arial" w:cs="Arial"/>
          <w:sz w:val="24"/>
          <w:szCs w:val="24"/>
        </w:rPr>
        <w:t xml:space="preserve">Instructed by </w:t>
      </w:r>
      <w:r w:rsidR="00544B51">
        <w:rPr>
          <w:rFonts w:ascii="Arial" w:hAnsi="Arial" w:cs="Arial"/>
          <w:sz w:val="24"/>
          <w:szCs w:val="24"/>
        </w:rPr>
        <w:t>Van Der Merwe-</w:t>
      </w:r>
      <w:proofErr w:type="spellStart"/>
      <w:r w:rsidR="00544B51">
        <w:rPr>
          <w:rFonts w:ascii="Arial" w:hAnsi="Arial" w:cs="Arial"/>
          <w:sz w:val="24"/>
          <w:szCs w:val="24"/>
        </w:rPr>
        <w:t>Greef</w:t>
      </w:r>
      <w:proofErr w:type="spellEnd"/>
      <w:r w:rsidR="00544B51">
        <w:rPr>
          <w:rFonts w:ascii="Arial" w:hAnsi="Arial" w:cs="Arial"/>
          <w:sz w:val="24"/>
          <w:szCs w:val="24"/>
        </w:rPr>
        <w:t xml:space="preserve"> </w:t>
      </w:r>
      <w:proofErr w:type="spellStart"/>
      <w:r w:rsidR="00544B51">
        <w:rPr>
          <w:rFonts w:ascii="Arial" w:hAnsi="Arial" w:cs="Arial"/>
          <w:sz w:val="24"/>
          <w:szCs w:val="24"/>
        </w:rPr>
        <w:t>Andima</w:t>
      </w:r>
      <w:proofErr w:type="spellEnd"/>
      <w:r w:rsidR="00544B51">
        <w:rPr>
          <w:rFonts w:ascii="Arial" w:hAnsi="Arial" w:cs="Arial"/>
          <w:sz w:val="24"/>
          <w:szCs w:val="24"/>
        </w:rPr>
        <w:t xml:space="preserve"> Inc</w:t>
      </w:r>
      <w:bookmarkStart w:id="0" w:name="_GoBack"/>
      <w:bookmarkEnd w:id="0"/>
      <w:r>
        <w:rPr>
          <w:rFonts w:ascii="Arial" w:hAnsi="Arial" w:cs="Arial"/>
          <w:sz w:val="24"/>
          <w:szCs w:val="24"/>
        </w:rPr>
        <w:t>, Windhoek</w:t>
      </w:r>
    </w:p>
    <w:p w:rsidR="00D14E25" w:rsidRPr="001F2A65" w:rsidRDefault="00D14E25" w:rsidP="00544B51">
      <w:pPr>
        <w:tabs>
          <w:tab w:val="left" w:pos="1394"/>
          <w:tab w:val="left" w:pos="2528"/>
          <w:tab w:val="left" w:pos="3780"/>
        </w:tabs>
        <w:spacing w:after="0" w:line="360" w:lineRule="auto"/>
        <w:jc w:val="both"/>
        <w:rPr>
          <w:rFonts w:ascii="Arial" w:eastAsia="Times New Roman" w:hAnsi="Arial" w:cs="Arial"/>
          <w:sz w:val="24"/>
          <w:szCs w:val="24"/>
          <w:lang w:val="en-GB"/>
        </w:rPr>
      </w:pPr>
    </w:p>
    <w:p w:rsidR="00D14E25" w:rsidRPr="00F01855" w:rsidRDefault="00D14E25" w:rsidP="00544B51">
      <w:pPr>
        <w:spacing w:after="0" w:line="360" w:lineRule="auto"/>
        <w:jc w:val="both"/>
        <w:rPr>
          <w:rFonts w:ascii="Arial" w:hAnsi="Arial" w:cs="Arial"/>
          <w:sz w:val="24"/>
          <w:szCs w:val="24"/>
        </w:rPr>
      </w:pPr>
    </w:p>
    <w:p w:rsidR="00C70010" w:rsidRPr="00B7077B" w:rsidRDefault="00C70010" w:rsidP="00544B51">
      <w:pPr>
        <w:spacing w:after="0" w:line="360" w:lineRule="auto"/>
        <w:jc w:val="both"/>
        <w:rPr>
          <w:rFonts w:ascii="Arial" w:hAnsi="Arial" w:cs="Arial"/>
          <w:sz w:val="24"/>
          <w:szCs w:val="24"/>
        </w:rPr>
      </w:pPr>
    </w:p>
    <w:sectPr w:rsidR="00C70010" w:rsidRPr="00B7077B" w:rsidSect="00A86DA4">
      <w:headerReference w:type="default" r:id="rId9"/>
      <w:footerReference w:type="default" r:id="rId10"/>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521" w:rsidRDefault="00BE4521" w:rsidP="00757476">
      <w:pPr>
        <w:spacing w:after="0" w:line="240" w:lineRule="auto"/>
      </w:pPr>
      <w:r>
        <w:separator/>
      </w:r>
    </w:p>
  </w:endnote>
  <w:endnote w:type="continuationSeparator" w:id="0">
    <w:p w:rsidR="00BE4521" w:rsidRDefault="00BE4521" w:rsidP="0075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9AE" w:rsidRDefault="00B069AE">
    <w:pPr>
      <w:pStyle w:val="Footer"/>
      <w:jc w:val="right"/>
    </w:pPr>
  </w:p>
  <w:p w:rsidR="00B069AE" w:rsidRDefault="00B06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521" w:rsidRDefault="00BE4521" w:rsidP="00757476">
      <w:pPr>
        <w:spacing w:after="0" w:line="240" w:lineRule="auto"/>
      </w:pPr>
      <w:r>
        <w:separator/>
      </w:r>
    </w:p>
  </w:footnote>
  <w:footnote w:type="continuationSeparator" w:id="0">
    <w:p w:rsidR="00BE4521" w:rsidRDefault="00BE4521" w:rsidP="00757476">
      <w:pPr>
        <w:spacing w:after="0" w:line="240" w:lineRule="auto"/>
      </w:pPr>
      <w:r>
        <w:continuationSeparator/>
      </w:r>
    </w:p>
  </w:footnote>
  <w:footnote w:id="1">
    <w:p w:rsidR="00D14E25" w:rsidRPr="00544B51" w:rsidRDefault="00D14E25" w:rsidP="00544B51">
      <w:pPr>
        <w:pStyle w:val="FootnoteText"/>
        <w:jc w:val="both"/>
        <w:rPr>
          <w:rFonts w:ascii="Arial" w:hAnsi="Arial" w:cs="Arial"/>
          <w:lang w:val="en-ZA"/>
        </w:rPr>
      </w:pPr>
      <w:r w:rsidRPr="00544B51">
        <w:rPr>
          <w:rStyle w:val="FootnoteReference"/>
          <w:rFonts w:ascii="Arial" w:hAnsi="Arial" w:cs="Arial"/>
        </w:rPr>
        <w:footnoteRef/>
      </w:r>
      <w:r w:rsidRPr="00544B51">
        <w:rPr>
          <w:rFonts w:ascii="Arial" w:hAnsi="Arial" w:cs="Arial"/>
        </w:rPr>
        <w:t xml:space="preserve"> </w:t>
      </w:r>
      <w:proofErr w:type="spellStart"/>
      <w:r w:rsidRPr="00544B51">
        <w:rPr>
          <w:rFonts w:ascii="Arial" w:hAnsi="Arial" w:cs="Arial"/>
          <w:i/>
          <w:lang w:val="en-ZA"/>
        </w:rPr>
        <w:t>Ethekwini</w:t>
      </w:r>
      <w:proofErr w:type="spellEnd"/>
      <w:r w:rsidRPr="00544B51">
        <w:rPr>
          <w:rFonts w:ascii="Arial" w:hAnsi="Arial" w:cs="Arial"/>
          <w:i/>
          <w:lang w:val="en-ZA"/>
        </w:rPr>
        <w:t xml:space="preserve"> Municipality v </w:t>
      </w:r>
      <w:proofErr w:type="spellStart"/>
      <w:r w:rsidRPr="00544B51">
        <w:rPr>
          <w:rFonts w:ascii="Arial" w:hAnsi="Arial" w:cs="Arial"/>
          <w:i/>
          <w:lang w:val="en-ZA"/>
        </w:rPr>
        <w:t>Ingonyama</w:t>
      </w:r>
      <w:proofErr w:type="spellEnd"/>
      <w:r w:rsidRPr="00544B51">
        <w:rPr>
          <w:rFonts w:ascii="Arial" w:hAnsi="Arial" w:cs="Arial"/>
          <w:i/>
          <w:lang w:val="en-ZA"/>
        </w:rPr>
        <w:t xml:space="preserve"> Trust</w:t>
      </w:r>
      <w:r w:rsidRPr="00544B51">
        <w:rPr>
          <w:rFonts w:ascii="Arial" w:hAnsi="Arial" w:cs="Arial"/>
          <w:lang w:val="en-ZA"/>
        </w:rPr>
        <w:t xml:space="preserve"> 2014 (3) SA 240 (CC) para [33].</w:t>
      </w:r>
    </w:p>
  </w:footnote>
  <w:footnote w:id="2">
    <w:p w:rsidR="00D14E25" w:rsidRPr="00544B51" w:rsidRDefault="00D14E25" w:rsidP="00544B51">
      <w:pPr>
        <w:pStyle w:val="FootnoteText"/>
        <w:spacing w:after="0" w:line="240" w:lineRule="auto"/>
        <w:jc w:val="both"/>
        <w:rPr>
          <w:rFonts w:ascii="Arial" w:hAnsi="Arial" w:cs="Arial"/>
          <w:lang w:val="en-ZA"/>
        </w:rPr>
      </w:pPr>
      <w:r w:rsidRPr="00544B51">
        <w:rPr>
          <w:rStyle w:val="FootnoteReference"/>
          <w:rFonts w:ascii="Arial" w:hAnsi="Arial" w:cs="Arial"/>
        </w:rPr>
        <w:footnoteRef/>
      </w:r>
      <w:r w:rsidRPr="00544B51">
        <w:rPr>
          <w:rFonts w:ascii="Arial" w:hAnsi="Arial" w:cs="Arial"/>
        </w:rPr>
        <w:t xml:space="preserve"> </w:t>
      </w:r>
      <w:r w:rsidRPr="00544B51">
        <w:rPr>
          <w:rFonts w:ascii="Arial" w:hAnsi="Arial" w:cs="Arial"/>
          <w:i/>
          <w:lang w:val="en-ZA"/>
        </w:rPr>
        <w:t>Uitenhage Transitional Local Council v South African Revenue Service</w:t>
      </w:r>
      <w:r w:rsidRPr="00544B51">
        <w:rPr>
          <w:rFonts w:ascii="Arial" w:hAnsi="Arial" w:cs="Arial"/>
          <w:lang w:val="en-ZA"/>
        </w:rPr>
        <w:t xml:space="preserve"> 2004 (1) SA 292 (SCA) at 297. Also </w:t>
      </w:r>
      <w:r w:rsidRPr="00544B51">
        <w:rPr>
          <w:rFonts w:ascii="Arial" w:hAnsi="Arial" w:cs="Arial"/>
          <w:i/>
          <w:lang w:val="en-ZA"/>
        </w:rPr>
        <w:t>Namib Plains Farming and Tourism CC v Valencia Uranium (Pty) Ltd &amp; others</w:t>
      </w:r>
      <w:r w:rsidRPr="00544B51">
        <w:rPr>
          <w:rFonts w:ascii="Arial" w:hAnsi="Arial" w:cs="Arial"/>
          <w:lang w:val="en-ZA"/>
        </w:rPr>
        <w:t xml:space="preserve"> 2011 (2) NR 469 (SC) at 479 par [24].</w:t>
      </w:r>
    </w:p>
  </w:footnote>
  <w:footnote w:id="3">
    <w:p w:rsidR="00D14E25" w:rsidRPr="00544B51" w:rsidRDefault="00D14E25" w:rsidP="00544B51">
      <w:pPr>
        <w:pStyle w:val="FootnoteText"/>
        <w:spacing w:after="0" w:line="240" w:lineRule="auto"/>
        <w:jc w:val="both"/>
        <w:rPr>
          <w:rFonts w:ascii="Arial" w:hAnsi="Arial" w:cs="Arial"/>
          <w:lang w:val="en-ZA"/>
        </w:rPr>
      </w:pPr>
      <w:r w:rsidRPr="00544B51">
        <w:rPr>
          <w:rStyle w:val="FootnoteReference"/>
          <w:rFonts w:ascii="Arial" w:hAnsi="Arial" w:cs="Arial"/>
        </w:rPr>
        <w:footnoteRef/>
      </w:r>
      <w:r w:rsidRPr="00544B51">
        <w:rPr>
          <w:rFonts w:ascii="Arial" w:hAnsi="Arial" w:cs="Arial"/>
        </w:rPr>
        <w:t xml:space="preserve"> </w:t>
      </w:r>
      <w:r w:rsidRPr="00544B51">
        <w:rPr>
          <w:rFonts w:ascii="Arial" w:hAnsi="Arial" w:cs="Arial"/>
          <w:i/>
          <w:lang w:val="en-ZA"/>
        </w:rPr>
        <w:t>Solomon v De Klerk</w:t>
      </w:r>
      <w:r w:rsidRPr="00544B51">
        <w:rPr>
          <w:rFonts w:ascii="Arial" w:hAnsi="Arial" w:cs="Arial"/>
          <w:lang w:val="en-ZA"/>
        </w:rPr>
        <w:t xml:space="preserve"> 2009 (1) NR 77 (HC) at 79 G – H. Rule 55 (1) of the High Court rules.</w:t>
      </w:r>
    </w:p>
  </w:footnote>
  <w:footnote w:id="4">
    <w:p w:rsidR="00D14E25" w:rsidRPr="00544B51" w:rsidRDefault="00D14E25" w:rsidP="00544B51">
      <w:pPr>
        <w:pStyle w:val="FootnoteText"/>
        <w:spacing w:after="0" w:line="240" w:lineRule="auto"/>
        <w:jc w:val="both"/>
        <w:rPr>
          <w:rFonts w:ascii="Arial" w:hAnsi="Arial" w:cs="Arial"/>
          <w:lang w:val="en-ZA"/>
        </w:rPr>
      </w:pPr>
      <w:r w:rsidRPr="00544B51">
        <w:rPr>
          <w:rStyle w:val="FootnoteReference"/>
          <w:rFonts w:ascii="Arial" w:hAnsi="Arial" w:cs="Arial"/>
        </w:rPr>
        <w:footnoteRef/>
      </w:r>
      <w:r w:rsidRPr="00544B51">
        <w:rPr>
          <w:rFonts w:ascii="Arial" w:hAnsi="Arial" w:cs="Arial"/>
        </w:rPr>
        <w:t xml:space="preserve"> </w:t>
      </w:r>
      <w:r w:rsidRPr="00544B51">
        <w:rPr>
          <w:rFonts w:ascii="Arial" w:hAnsi="Arial" w:cs="Arial"/>
          <w:lang w:val="en-ZA"/>
        </w:rPr>
        <w:t xml:space="preserve">As required by Rule 56 (2). See also </w:t>
      </w:r>
      <w:r w:rsidRPr="00544B51">
        <w:rPr>
          <w:rFonts w:ascii="Arial" w:hAnsi="Arial" w:cs="Arial"/>
          <w:i/>
          <w:lang w:val="en-ZA"/>
        </w:rPr>
        <w:t>Salomon v De Klerk</w:t>
      </w:r>
      <w:r w:rsidRPr="00544B51">
        <w:rPr>
          <w:rFonts w:ascii="Arial" w:hAnsi="Arial" w:cs="Arial"/>
          <w:lang w:val="en-ZA"/>
        </w:rPr>
        <w:t xml:space="preserve">, op </w:t>
      </w:r>
      <w:proofErr w:type="spellStart"/>
      <w:r w:rsidRPr="00544B51">
        <w:rPr>
          <w:rFonts w:ascii="Arial" w:hAnsi="Arial" w:cs="Arial"/>
          <w:lang w:val="en-ZA"/>
        </w:rPr>
        <w:t>cit</w:t>
      </w:r>
      <w:proofErr w:type="spellEnd"/>
      <w:r w:rsidRPr="00544B51">
        <w:rPr>
          <w:rFonts w:ascii="Arial" w:hAnsi="Arial" w:cs="Arial"/>
          <w:lang w:val="en-ZA"/>
        </w:rPr>
        <w:t xml:space="preserve">, at 81, par [14], D – F. “With reference to the requirements of a bona fide defence, it has been held that the minimum that the applicant must show is that his defence is not patently unfounded; that it is based on facts (which must be set out in outline) which, if proved, would constitute a defence; and that the application has not been made with the intention of delaying the action. See </w:t>
      </w:r>
      <w:proofErr w:type="spellStart"/>
      <w:r w:rsidRPr="00544B51">
        <w:rPr>
          <w:rFonts w:ascii="Arial" w:hAnsi="Arial" w:cs="Arial"/>
          <w:i/>
          <w:lang w:val="en-ZA"/>
        </w:rPr>
        <w:t>Motaung</w:t>
      </w:r>
      <w:proofErr w:type="spellEnd"/>
      <w:r w:rsidRPr="00544B51">
        <w:rPr>
          <w:rFonts w:ascii="Arial" w:hAnsi="Arial" w:cs="Arial"/>
          <w:i/>
          <w:lang w:val="en-ZA"/>
        </w:rPr>
        <w:t xml:space="preserve"> v </w:t>
      </w:r>
      <w:proofErr w:type="spellStart"/>
      <w:r w:rsidRPr="00544B51">
        <w:rPr>
          <w:rFonts w:ascii="Arial" w:hAnsi="Arial" w:cs="Arial"/>
          <w:i/>
          <w:lang w:val="en-ZA"/>
        </w:rPr>
        <w:t>Mukubela</w:t>
      </w:r>
      <w:proofErr w:type="spellEnd"/>
      <w:r w:rsidRPr="00544B51">
        <w:rPr>
          <w:rFonts w:ascii="Arial" w:hAnsi="Arial" w:cs="Arial"/>
          <w:i/>
          <w:lang w:val="en-ZA"/>
        </w:rPr>
        <w:t xml:space="preserve"> and Another</w:t>
      </w:r>
      <w:r w:rsidRPr="00544B51">
        <w:rPr>
          <w:rFonts w:ascii="Arial" w:hAnsi="Arial" w:cs="Arial"/>
          <w:lang w:val="en-ZA"/>
        </w:rPr>
        <w:t xml:space="preserve">, NNO; </w:t>
      </w:r>
      <w:proofErr w:type="spellStart"/>
      <w:r w:rsidRPr="00544B51">
        <w:rPr>
          <w:rFonts w:ascii="Arial" w:hAnsi="Arial" w:cs="Arial"/>
          <w:i/>
          <w:lang w:val="en-ZA"/>
        </w:rPr>
        <w:t>Motaung</w:t>
      </w:r>
      <w:proofErr w:type="spellEnd"/>
      <w:r w:rsidRPr="00544B51">
        <w:rPr>
          <w:rFonts w:ascii="Arial" w:hAnsi="Arial" w:cs="Arial"/>
          <w:i/>
          <w:lang w:val="en-ZA"/>
        </w:rPr>
        <w:t xml:space="preserve"> v </w:t>
      </w:r>
      <w:proofErr w:type="spellStart"/>
      <w:r w:rsidRPr="00544B51">
        <w:rPr>
          <w:rFonts w:ascii="Arial" w:hAnsi="Arial" w:cs="Arial"/>
          <w:i/>
          <w:lang w:val="en-ZA"/>
        </w:rPr>
        <w:t>Mothiba</w:t>
      </w:r>
      <w:proofErr w:type="spellEnd"/>
      <w:r w:rsidRPr="00544B51">
        <w:rPr>
          <w:rFonts w:ascii="Arial" w:hAnsi="Arial" w:cs="Arial"/>
          <w:lang w:val="en-ZA"/>
        </w:rPr>
        <w:t xml:space="preserve">, NO 1975 (1) SA 618 (O) at 624E–G; </w:t>
      </w:r>
      <w:r w:rsidRPr="00544B51">
        <w:rPr>
          <w:rFonts w:ascii="Arial" w:hAnsi="Arial" w:cs="Arial"/>
          <w:i/>
          <w:lang w:val="en-ZA"/>
        </w:rPr>
        <w:t>Ford v Groenewald</w:t>
      </w:r>
      <w:r w:rsidRPr="00544B51">
        <w:rPr>
          <w:rFonts w:ascii="Arial" w:hAnsi="Arial" w:cs="Arial"/>
          <w:lang w:val="en-ZA"/>
        </w:rPr>
        <w:t xml:space="preserve"> 1977 (4) SA 224 (T) at 226G–H; </w:t>
      </w:r>
      <w:proofErr w:type="spellStart"/>
      <w:r w:rsidRPr="00544B51">
        <w:rPr>
          <w:rFonts w:ascii="Arial" w:hAnsi="Arial" w:cs="Arial"/>
          <w:i/>
          <w:lang w:val="en-ZA"/>
        </w:rPr>
        <w:t>Flugel</w:t>
      </w:r>
      <w:proofErr w:type="spellEnd"/>
      <w:r w:rsidRPr="00544B51">
        <w:rPr>
          <w:rFonts w:ascii="Arial" w:hAnsi="Arial" w:cs="Arial"/>
          <w:i/>
          <w:lang w:val="en-ZA"/>
        </w:rPr>
        <w:t xml:space="preserve"> v Swart</w:t>
      </w:r>
      <w:r w:rsidRPr="00544B51">
        <w:rPr>
          <w:rFonts w:ascii="Arial" w:hAnsi="Arial" w:cs="Arial"/>
          <w:lang w:val="en-ZA"/>
        </w:rPr>
        <w:t xml:space="preserve"> 1979 (4) SA 493 (E) at 497F; </w:t>
      </w:r>
      <w:r w:rsidRPr="00544B51">
        <w:rPr>
          <w:rFonts w:ascii="Arial" w:hAnsi="Arial" w:cs="Arial"/>
          <w:i/>
          <w:lang w:val="en-ZA"/>
        </w:rPr>
        <w:t xml:space="preserve">Du Plooy v </w:t>
      </w:r>
      <w:proofErr w:type="spellStart"/>
      <w:r w:rsidRPr="00544B51">
        <w:rPr>
          <w:rFonts w:ascii="Arial" w:hAnsi="Arial" w:cs="Arial"/>
          <w:i/>
          <w:lang w:val="en-ZA"/>
        </w:rPr>
        <w:t>Anwes</w:t>
      </w:r>
      <w:proofErr w:type="spellEnd"/>
      <w:r w:rsidRPr="00544B51">
        <w:rPr>
          <w:rFonts w:ascii="Arial" w:hAnsi="Arial" w:cs="Arial"/>
          <w:i/>
          <w:lang w:val="en-ZA"/>
        </w:rPr>
        <w:t xml:space="preserve"> Motors</w:t>
      </w:r>
      <w:r w:rsidRPr="00544B51">
        <w:rPr>
          <w:rFonts w:ascii="Arial" w:hAnsi="Arial" w:cs="Arial"/>
          <w:lang w:val="en-ZA"/>
        </w:rPr>
        <w:t xml:space="preserve"> </w:t>
      </w:r>
      <w:r w:rsidRPr="00544B51">
        <w:rPr>
          <w:rFonts w:ascii="Arial" w:hAnsi="Arial" w:cs="Arial"/>
          <w:i/>
          <w:lang w:val="en-ZA"/>
        </w:rPr>
        <w:t>(</w:t>
      </w:r>
      <w:proofErr w:type="spellStart"/>
      <w:r w:rsidRPr="00544B51">
        <w:rPr>
          <w:rFonts w:ascii="Arial" w:hAnsi="Arial" w:cs="Arial"/>
          <w:i/>
          <w:lang w:val="en-ZA"/>
        </w:rPr>
        <w:t>Edms</w:t>
      </w:r>
      <w:proofErr w:type="spellEnd"/>
      <w:r w:rsidRPr="00544B51">
        <w:rPr>
          <w:rFonts w:ascii="Arial" w:hAnsi="Arial" w:cs="Arial"/>
          <w:i/>
          <w:lang w:val="en-ZA"/>
        </w:rPr>
        <w:t xml:space="preserve">) </w:t>
      </w:r>
      <w:proofErr w:type="spellStart"/>
      <w:r w:rsidRPr="00544B51">
        <w:rPr>
          <w:rFonts w:ascii="Arial" w:hAnsi="Arial" w:cs="Arial"/>
          <w:i/>
          <w:lang w:val="en-ZA"/>
        </w:rPr>
        <w:t>Bpk</w:t>
      </w:r>
      <w:proofErr w:type="spellEnd"/>
      <w:r w:rsidRPr="00544B51">
        <w:rPr>
          <w:rFonts w:ascii="Arial" w:hAnsi="Arial" w:cs="Arial"/>
          <w:lang w:val="en-ZA"/>
        </w:rPr>
        <w:t xml:space="preserve"> 1983 (4) SA 212 (O) at 214G–H and 216D–E.”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681404"/>
      <w:docPartObj>
        <w:docPartGallery w:val="Page Numbers (Top of Page)"/>
        <w:docPartUnique/>
      </w:docPartObj>
    </w:sdtPr>
    <w:sdtEndPr>
      <w:rPr>
        <w:noProof/>
      </w:rPr>
    </w:sdtEndPr>
    <w:sdtContent>
      <w:p w:rsidR="00D92BFE" w:rsidRDefault="00D92BFE">
        <w:pPr>
          <w:pStyle w:val="Header"/>
          <w:jc w:val="right"/>
        </w:pPr>
        <w:r>
          <w:fldChar w:fldCharType="begin"/>
        </w:r>
        <w:r>
          <w:instrText xml:space="preserve"> PAGE   \* MERGEFORMAT </w:instrText>
        </w:r>
        <w:r>
          <w:fldChar w:fldCharType="separate"/>
        </w:r>
        <w:r w:rsidR="00544B51">
          <w:rPr>
            <w:noProof/>
          </w:rPr>
          <w:t>7</w:t>
        </w:r>
        <w:r>
          <w:rPr>
            <w:noProof/>
          </w:rPr>
          <w:fldChar w:fldCharType="end"/>
        </w:r>
      </w:p>
    </w:sdtContent>
  </w:sdt>
  <w:p w:rsidR="00D92BFE" w:rsidRDefault="00D92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53B33"/>
    <w:multiLevelType w:val="hybridMultilevel"/>
    <w:tmpl w:val="F3582F5E"/>
    <w:lvl w:ilvl="0" w:tplc="6D4EDE9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C97765"/>
    <w:multiLevelType w:val="hybridMultilevel"/>
    <w:tmpl w:val="63FC41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E2"/>
    <w:rsid w:val="000539BA"/>
    <w:rsid w:val="00064ACC"/>
    <w:rsid w:val="00073C41"/>
    <w:rsid w:val="0008069F"/>
    <w:rsid w:val="00091EEC"/>
    <w:rsid w:val="000B5B08"/>
    <w:rsid w:val="000C35DA"/>
    <w:rsid w:val="001116BE"/>
    <w:rsid w:val="001331B1"/>
    <w:rsid w:val="001457C4"/>
    <w:rsid w:val="001649F4"/>
    <w:rsid w:val="001770DE"/>
    <w:rsid w:val="001C0777"/>
    <w:rsid w:val="001C4C37"/>
    <w:rsid w:val="001C7CB2"/>
    <w:rsid w:val="001D158C"/>
    <w:rsid w:val="001F0EBF"/>
    <w:rsid w:val="00214D6F"/>
    <w:rsid w:val="00235958"/>
    <w:rsid w:val="00245109"/>
    <w:rsid w:val="002822DD"/>
    <w:rsid w:val="0028523E"/>
    <w:rsid w:val="002C4AC5"/>
    <w:rsid w:val="002D45A3"/>
    <w:rsid w:val="002E7546"/>
    <w:rsid w:val="00335703"/>
    <w:rsid w:val="003857E0"/>
    <w:rsid w:val="003A44E5"/>
    <w:rsid w:val="003B63D5"/>
    <w:rsid w:val="003C25CF"/>
    <w:rsid w:val="003D4D8D"/>
    <w:rsid w:val="003D718D"/>
    <w:rsid w:val="003F4E4E"/>
    <w:rsid w:val="00407689"/>
    <w:rsid w:val="00487093"/>
    <w:rsid w:val="004D6C61"/>
    <w:rsid w:val="00516439"/>
    <w:rsid w:val="00516F8A"/>
    <w:rsid w:val="00523B0B"/>
    <w:rsid w:val="00544B51"/>
    <w:rsid w:val="00590624"/>
    <w:rsid w:val="00605EE4"/>
    <w:rsid w:val="00610869"/>
    <w:rsid w:val="00637B20"/>
    <w:rsid w:val="00652BE0"/>
    <w:rsid w:val="00661707"/>
    <w:rsid w:val="006645C1"/>
    <w:rsid w:val="00665E43"/>
    <w:rsid w:val="00667AD8"/>
    <w:rsid w:val="00693F97"/>
    <w:rsid w:val="006A6AE9"/>
    <w:rsid w:val="00713463"/>
    <w:rsid w:val="00740016"/>
    <w:rsid w:val="0075643C"/>
    <w:rsid w:val="00757476"/>
    <w:rsid w:val="00767E7C"/>
    <w:rsid w:val="007B5E28"/>
    <w:rsid w:val="00801C87"/>
    <w:rsid w:val="0081021D"/>
    <w:rsid w:val="00812298"/>
    <w:rsid w:val="0081751B"/>
    <w:rsid w:val="0083798C"/>
    <w:rsid w:val="00872913"/>
    <w:rsid w:val="008B4372"/>
    <w:rsid w:val="008C1349"/>
    <w:rsid w:val="008F4A0D"/>
    <w:rsid w:val="00912E3B"/>
    <w:rsid w:val="00933AD0"/>
    <w:rsid w:val="009628E3"/>
    <w:rsid w:val="00964A4B"/>
    <w:rsid w:val="009B3470"/>
    <w:rsid w:val="009B5EC6"/>
    <w:rsid w:val="009D101A"/>
    <w:rsid w:val="009E7C14"/>
    <w:rsid w:val="00A14269"/>
    <w:rsid w:val="00A16B47"/>
    <w:rsid w:val="00A67BD7"/>
    <w:rsid w:val="00A859B5"/>
    <w:rsid w:val="00A86DA4"/>
    <w:rsid w:val="00A87E7D"/>
    <w:rsid w:val="00AD757D"/>
    <w:rsid w:val="00B069AE"/>
    <w:rsid w:val="00B12218"/>
    <w:rsid w:val="00B14E18"/>
    <w:rsid w:val="00B428E2"/>
    <w:rsid w:val="00B7077B"/>
    <w:rsid w:val="00B7208B"/>
    <w:rsid w:val="00B83C27"/>
    <w:rsid w:val="00B91F93"/>
    <w:rsid w:val="00BA74DA"/>
    <w:rsid w:val="00BD1EB0"/>
    <w:rsid w:val="00BE4521"/>
    <w:rsid w:val="00C05881"/>
    <w:rsid w:val="00C23772"/>
    <w:rsid w:val="00C36883"/>
    <w:rsid w:val="00C4686D"/>
    <w:rsid w:val="00C5249F"/>
    <w:rsid w:val="00C70010"/>
    <w:rsid w:val="00C70D73"/>
    <w:rsid w:val="00C72373"/>
    <w:rsid w:val="00CA6174"/>
    <w:rsid w:val="00CB66E6"/>
    <w:rsid w:val="00D100A0"/>
    <w:rsid w:val="00D12148"/>
    <w:rsid w:val="00D14E25"/>
    <w:rsid w:val="00D52D3A"/>
    <w:rsid w:val="00D63C42"/>
    <w:rsid w:val="00D76C30"/>
    <w:rsid w:val="00D92BFE"/>
    <w:rsid w:val="00DB1DEC"/>
    <w:rsid w:val="00DC3872"/>
    <w:rsid w:val="00DC4CEB"/>
    <w:rsid w:val="00DD237C"/>
    <w:rsid w:val="00E42A82"/>
    <w:rsid w:val="00E6298C"/>
    <w:rsid w:val="00E62CA2"/>
    <w:rsid w:val="00E70BD5"/>
    <w:rsid w:val="00E70E10"/>
    <w:rsid w:val="00EB0DF0"/>
    <w:rsid w:val="00EF0958"/>
    <w:rsid w:val="00F07FAA"/>
    <w:rsid w:val="00F3314A"/>
    <w:rsid w:val="00F35C6F"/>
    <w:rsid w:val="00F53F7D"/>
    <w:rsid w:val="00F66201"/>
    <w:rsid w:val="00F67A8D"/>
    <w:rsid w:val="00F9241C"/>
    <w:rsid w:val="00FB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4BFF5E-533D-4B3A-80B6-6E877897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14A"/>
    <w:rPr>
      <w:color w:val="808080"/>
    </w:rPr>
  </w:style>
  <w:style w:type="paragraph" w:styleId="BalloonText">
    <w:name w:val="Balloon Text"/>
    <w:basedOn w:val="Normal"/>
    <w:link w:val="BalloonTextChar"/>
    <w:uiPriority w:val="99"/>
    <w:semiHidden/>
    <w:unhideWhenUsed/>
    <w:rsid w:val="00F33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14A"/>
    <w:rPr>
      <w:rFonts w:ascii="Tahoma" w:hAnsi="Tahoma" w:cs="Tahoma"/>
      <w:sz w:val="16"/>
      <w:szCs w:val="16"/>
    </w:rPr>
  </w:style>
  <w:style w:type="paragraph" w:styleId="Header">
    <w:name w:val="header"/>
    <w:basedOn w:val="Normal"/>
    <w:link w:val="HeaderChar"/>
    <w:uiPriority w:val="99"/>
    <w:unhideWhenUsed/>
    <w:rsid w:val="00757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476"/>
  </w:style>
  <w:style w:type="paragraph" w:styleId="Footer">
    <w:name w:val="footer"/>
    <w:basedOn w:val="Normal"/>
    <w:link w:val="FooterChar"/>
    <w:uiPriority w:val="99"/>
    <w:unhideWhenUsed/>
    <w:rsid w:val="00757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476"/>
  </w:style>
  <w:style w:type="character" w:styleId="LineNumber">
    <w:name w:val="line number"/>
    <w:basedOn w:val="DefaultParagraphFont"/>
    <w:uiPriority w:val="99"/>
    <w:semiHidden/>
    <w:unhideWhenUsed/>
    <w:rsid w:val="00B069AE"/>
  </w:style>
  <w:style w:type="paragraph" w:styleId="ListParagraph">
    <w:name w:val="List Paragraph"/>
    <w:basedOn w:val="Normal"/>
    <w:uiPriority w:val="34"/>
    <w:qFormat/>
    <w:rsid w:val="000539BA"/>
    <w:pPr>
      <w:ind w:left="720"/>
      <w:contextualSpacing/>
    </w:pPr>
  </w:style>
  <w:style w:type="paragraph" w:styleId="FootnoteText">
    <w:name w:val="footnote text"/>
    <w:basedOn w:val="Normal"/>
    <w:link w:val="FootnoteTextChar"/>
    <w:uiPriority w:val="99"/>
    <w:semiHidden/>
    <w:unhideWhenUsed/>
    <w:rsid w:val="00D14E25"/>
    <w:pPr>
      <w:spacing w:after="160" w:line="259"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14E25"/>
    <w:rPr>
      <w:rFonts w:ascii="Calibri" w:eastAsia="Calibri" w:hAnsi="Calibri" w:cs="Times New Roman"/>
      <w:sz w:val="20"/>
      <w:szCs w:val="20"/>
    </w:rPr>
  </w:style>
  <w:style w:type="character" w:styleId="FootnoteReference">
    <w:name w:val="footnote reference"/>
    <w:uiPriority w:val="99"/>
    <w:semiHidden/>
    <w:unhideWhenUsed/>
    <w:rsid w:val="00D14E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2018-01-28T18:30:00+00:00</Judgment_x0020_Date>
    <Year xmlns="c1afb1bd-f2fb-40fd-9abb-aea55b4d7662">2018</Year>
  </documentManagement>
</p:properties>
</file>

<file path=customXml/itemProps1.xml><?xml version="1.0" encoding="utf-8"?>
<ds:datastoreItem xmlns:ds="http://schemas.openxmlformats.org/officeDocument/2006/customXml" ds:itemID="{6D36E44C-E400-4AAD-A840-8300E87C2B02}"/>
</file>

<file path=customXml/itemProps2.xml><?xml version="1.0" encoding="utf-8"?>
<ds:datastoreItem xmlns:ds="http://schemas.openxmlformats.org/officeDocument/2006/customXml" ds:itemID="{1646C7DD-0278-4DA1-95F6-AE2519CA1EC7}"/>
</file>

<file path=customXml/itemProps3.xml><?xml version="1.0" encoding="utf-8"?>
<ds:datastoreItem xmlns:ds="http://schemas.openxmlformats.org/officeDocument/2006/customXml" ds:itemID="{2C0348A4-560C-430D-8899-4DB0E679D27B}"/>
</file>

<file path=customXml/itemProps4.xml><?xml version="1.0" encoding="utf-8"?>
<ds:datastoreItem xmlns:ds="http://schemas.openxmlformats.org/officeDocument/2006/customXml" ds:itemID="{0168B4FF-24FB-4DC4-991B-8A2D1492927F}"/>
</file>

<file path=docProps/app.xml><?xml version="1.0" encoding="utf-8"?>
<Properties xmlns="http://schemas.openxmlformats.org/officeDocument/2006/extended-properties" xmlns:vt="http://schemas.openxmlformats.org/officeDocument/2006/docPropsVTypes">
  <Template>Normal</Template>
  <TotalTime>6</TotalTime>
  <Pages>7</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Colia Louis Family Trust v Komsberg Farming (Pty) Ltd (in Liquidation)</dc:title>
  <dc:creator>Rosa Iteta</dc:creator>
  <cp:lastModifiedBy>Nicole Januarie</cp:lastModifiedBy>
  <cp:revision>3</cp:revision>
  <cp:lastPrinted>2018-01-22T08:32:00Z</cp:lastPrinted>
  <dcterms:created xsi:type="dcterms:W3CDTF">2018-02-06T07:18:00Z</dcterms:created>
  <dcterms:modified xsi:type="dcterms:W3CDTF">2018-02-06T07:24:00Z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