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D454" w14:textId="77777777" w:rsidR="0091708A" w:rsidRPr="00A60CCD" w:rsidRDefault="00815D0C" w:rsidP="00A60CCD">
      <w:pPr>
        <w:spacing w:after="0" w:line="360" w:lineRule="auto"/>
        <w:jc w:val="center"/>
        <w:rPr>
          <w:b/>
          <w:szCs w:val="24"/>
        </w:rPr>
      </w:pPr>
      <w:r w:rsidRPr="00A60CCD">
        <w:rPr>
          <w:b/>
          <w:szCs w:val="24"/>
        </w:rPr>
        <w:t>REPUBLIC OF NAMIBIA</w:t>
      </w:r>
    </w:p>
    <w:p w14:paraId="7F776571" w14:textId="77777777" w:rsidR="0091708A" w:rsidRPr="00A60CCD" w:rsidRDefault="00815D0C" w:rsidP="00A60CCD">
      <w:pPr>
        <w:spacing w:after="0" w:line="360" w:lineRule="auto"/>
        <w:ind w:right="37"/>
        <w:jc w:val="center"/>
        <w:rPr>
          <w:szCs w:val="24"/>
        </w:rPr>
      </w:pPr>
      <w:r w:rsidRPr="00A60CCD">
        <w:rPr>
          <w:noProof/>
          <w:szCs w:val="24"/>
        </w:rPr>
        <w:drawing>
          <wp:inline distT="0" distB="0" distL="0" distR="0" wp14:anchorId="61675E2F" wp14:editId="559511F5">
            <wp:extent cx="1275588" cy="132588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1275588" cy="1325880"/>
                    </a:xfrm>
                    <a:prstGeom prst="rect">
                      <a:avLst/>
                    </a:prstGeom>
                  </pic:spPr>
                </pic:pic>
              </a:graphicData>
            </a:graphic>
          </wp:inline>
        </w:drawing>
      </w:r>
    </w:p>
    <w:p w14:paraId="227B9278" w14:textId="77777777" w:rsidR="0091708A" w:rsidRPr="00A60CCD" w:rsidRDefault="0091708A" w:rsidP="00A60CCD">
      <w:pPr>
        <w:spacing w:after="0" w:line="360" w:lineRule="auto"/>
        <w:jc w:val="center"/>
        <w:rPr>
          <w:szCs w:val="24"/>
        </w:rPr>
      </w:pPr>
    </w:p>
    <w:p w14:paraId="79AEC727" w14:textId="77777777" w:rsidR="00536480" w:rsidRPr="00A60CCD" w:rsidRDefault="00C576EF" w:rsidP="00A60CCD">
      <w:pPr>
        <w:spacing w:after="0" w:line="360" w:lineRule="auto"/>
        <w:jc w:val="center"/>
        <w:rPr>
          <w:szCs w:val="24"/>
        </w:rPr>
      </w:pPr>
      <w:r w:rsidRPr="00A60CCD">
        <w:rPr>
          <w:b/>
          <w:szCs w:val="24"/>
        </w:rPr>
        <w:t>HIGH</w:t>
      </w:r>
      <w:r w:rsidR="00741764" w:rsidRPr="00A60CCD">
        <w:rPr>
          <w:b/>
          <w:szCs w:val="24"/>
        </w:rPr>
        <w:t xml:space="preserve"> </w:t>
      </w:r>
      <w:r w:rsidR="00815D0C" w:rsidRPr="00A60CCD">
        <w:rPr>
          <w:b/>
          <w:szCs w:val="24"/>
        </w:rPr>
        <w:t>COURT OF NAMIBIA MAIN DIVISION, WINDHOEK</w:t>
      </w:r>
    </w:p>
    <w:p w14:paraId="411B20E6" w14:textId="77777777" w:rsidR="0091708A" w:rsidRPr="00A60CCD" w:rsidRDefault="00815D0C" w:rsidP="00A60CCD">
      <w:pPr>
        <w:spacing w:after="0" w:line="360" w:lineRule="auto"/>
        <w:ind w:right="37"/>
        <w:jc w:val="center"/>
        <w:rPr>
          <w:szCs w:val="24"/>
        </w:rPr>
      </w:pPr>
      <w:r w:rsidRPr="00A60CCD">
        <w:rPr>
          <w:b/>
          <w:szCs w:val="24"/>
        </w:rPr>
        <w:t>JUDGMENT</w:t>
      </w:r>
    </w:p>
    <w:p w14:paraId="48C9E99A" w14:textId="77777777" w:rsidR="0091708A" w:rsidRPr="00A60CCD" w:rsidRDefault="0091708A" w:rsidP="00A60CCD">
      <w:pPr>
        <w:spacing w:after="0" w:line="360" w:lineRule="auto"/>
        <w:rPr>
          <w:szCs w:val="24"/>
        </w:rPr>
      </w:pPr>
    </w:p>
    <w:p w14:paraId="05138ED1" w14:textId="4EC4DA2B" w:rsidR="0091708A" w:rsidRPr="00A60CCD" w:rsidRDefault="00197A98" w:rsidP="00197A98">
      <w:pPr>
        <w:spacing w:after="0" w:line="360" w:lineRule="auto"/>
        <w:ind w:left="4330" w:right="37" w:firstLine="0"/>
        <w:rPr>
          <w:szCs w:val="24"/>
        </w:rPr>
      </w:pPr>
      <w:r>
        <w:rPr>
          <w:b/>
          <w:szCs w:val="24"/>
        </w:rPr>
        <w:t xml:space="preserve">       </w:t>
      </w:r>
      <w:r w:rsidR="00815D0C" w:rsidRPr="00A60CCD">
        <w:rPr>
          <w:b/>
          <w:szCs w:val="24"/>
        </w:rPr>
        <w:t>Case no:</w:t>
      </w:r>
      <w:r w:rsidR="00815D0C" w:rsidRPr="00A60CCD">
        <w:rPr>
          <w:szCs w:val="24"/>
        </w:rPr>
        <w:t xml:space="preserve">  </w:t>
      </w:r>
      <w:r>
        <w:rPr>
          <w:szCs w:val="24"/>
        </w:rPr>
        <w:t>HC-MD-CIV-MOT-GEN-2016/00315</w:t>
      </w:r>
      <w:r w:rsidR="00C576EF" w:rsidRPr="00A60CCD">
        <w:rPr>
          <w:szCs w:val="24"/>
        </w:rPr>
        <w:t xml:space="preserve">       </w:t>
      </w:r>
    </w:p>
    <w:p w14:paraId="5A5AA18B" w14:textId="77777777" w:rsidR="00EC6663" w:rsidRDefault="00EC6663" w:rsidP="00A60CCD">
      <w:pPr>
        <w:spacing w:after="0" w:line="360" w:lineRule="auto"/>
        <w:rPr>
          <w:szCs w:val="24"/>
        </w:rPr>
      </w:pPr>
    </w:p>
    <w:p w14:paraId="2EBAA583" w14:textId="77777777" w:rsidR="00197A98" w:rsidRPr="00A60CCD" w:rsidRDefault="00197A98" w:rsidP="00A60CCD">
      <w:pPr>
        <w:spacing w:after="0" w:line="360" w:lineRule="auto"/>
        <w:rPr>
          <w:szCs w:val="24"/>
        </w:rPr>
      </w:pPr>
    </w:p>
    <w:p w14:paraId="61F4457C" w14:textId="77777777" w:rsidR="00EC6663" w:rsidRPr="00A60CCD" w:rsidRDefault="00EC6663" w:rsidP="00A60CCD">
      <w:pPr>
        <w:spacing w:after="0" w:line="360" w:lineRule="auto"/>
        <w:rPr>
          <w:szCs w:val="24"/>
        </w:rPr>
      </w:pPr>
      <w:r w:rsidRPr="00A60CCD">
        <w:rPr>
          <w:szCs w:val="24"/>
        </w:rPr>
        <w:t>In the matter between:</w:t>
      </w:r>
    </w:p>
    <w:p w14:paraId="731A86C7" w14:textId="77777777" w:rsidR="00697C46" w:rsidRPr="00A60CCD" w:rsidRDefault="00697C46" w:rsidP="00A60CCD">
      <w:pPr>
        <w:spacing w:after="0" w:line="360" w:lineRule="auto"/>
        <w:rPr>
          <w:szCs w:val="24"/>
        </w:rPr>
      </w:pPr>
    </w:p>
    <w:p w14:paraId="5BB16D3D" w14:textId="70F28553" w:rsidR="00C576EF" w:rsidRPr="00A60CCD" w:rsidRDefault="00697C46" w:rsidP="00A60CCD">
      <w:pPr>
        <w:tabs>
          <w:tab w:val="left" w:pos="720"/>
          <w:tab w:val="left" w:pos="7560"/>
          <w:tab w:val="left" w:pos="7650"/>
        </w:tabs>
        <w:spacing w:after="0" w:line="360" w:lineRule="auto"/>
        <w:ind w:left="0" w:right="37" w:firstLine="0"/>
        <w:rPr>
          <w:b/>
          <w:szCs w:val="24"/>
        </w:rPr>
      </w:pPr>
      <w:r w:rsidRPr="00A60CCD">
        <w:rPr>
          <w:b/>
          <w:szCs w:val="24"/>
        </w:rPr>
        <w:t>GERSHON BEN-TOVIM</w:t>
      </w:r>
      <w:r w:rsidR="007750B3" w:rsidRPr="00A60CCD">
        <w:rPr>
          <w:b/>
          <w:szCs w:val="24"/>
        </w:rPr>
        <w:tab/>
      </w:r>
      <w:r w:rsidR="00197A98">
        <w:rPr>
          <w:b/>
          <w:szCs w:val="24"/>
        </w:rPr>
        <w:t xml:space="preserve">           </w:t>
      </w:r>
      <w:r w:rsidRPr="00A60CCD">
        <w:rPr>
          <w:b/>
          <w:szCs w:val="24"/>
        </w:rPr>
        <w:t>APPLICANT</w:t>
      </w:r>
    </w:p>
    <w:p w14:paraId="40B89B32" w14:textId="77777777" w:rsidR="00697C46" w:rsidRPr="00A60CCD" w:rsidRDefault="00697C46" w:rsidP="00A60CCD">
      <w:pPr>
        <w:tabs>
          <w:tab w:val="left" w:pos="720"/>
          <w:tab w:val="left" w:pos="7560"/>
        </w:tabs>
        <w:spacing w:after="0" w:line="360" w:lineRule="auto"/>
        <w:ind w:left="734" w:right="37" w:hanging="734"/>
        <w:rPr>
          <w:b/>
          <w:szCs w:val="24"/>
        </w:rPr>
      </w:pPr>
    </w:p>
    <w:p w14:paraId="0526A56F" w14:textId="77777777" w:rsidR="00697C46" w:rsidRPr="00A60CCD" w:rsidRDefault="00697C46" w:rsidP="00A60CCD">
      <w:pPr>
        <w:tabs>
          <w:tab w:val="left" w:pos="720"/>
          <w:tab w:val="left" w:pos="7560"/>
        </w:tabs>
        <w:spacing w:after="0" w:line="360" w:lineRule="auto"/>
        <w:ind w:left="734" w:right="37" w:hanging="734"/>
        <w:rPr>
          <w:szCs w:val="24"/>
        </w:rPr>
      </w:pPr>
      <w:proofErr w:type="gramStart"/>
      <w:r w:rsidRPr="00A60CCD">
        <w:rPr>
          <w:szCs w:val="24"/>
        </w:rPr>
        <w:t>and</w:t>
      </w:r>
      <w:proofErr w:type="gramEnd"/>
      <w:r w:rsidRPr="00A60CCD">
        <w:rPr>
          <w:szCs w:val="24"/>
        </w:rPr>
        <w:t xml:space="preserve"> </w:t>
      </w:r>
    </w:p>
    <w:p w14:paraId="36A545C0" w14:textId="77777777" w:rsidR="00697C46" w:rsidRPr="00A60CCD" w:rsidRDefault="00697C46" w:rsidP="00A60CCD">
      <w:pPr>
        <w:tabs>
          <w:tab w:val="left" w:pos="720"/>
          <w:tab w:val="left" w:pos="7560"/>
        </w:tabs>
        <w:spacing w:after="0" w:line="360" w:lineRule="auto"/>
        <w:ind w:left="734" w:right="37" w:hanging="734"/>
        <w:rPr>
          <w:szCs w:val="24"/>
        </w:rPr>
      </w:pPr>
    </w:p>
    <w:p w14:paraId="7D71B9F4" w14:textId="256011FF" w:rsidR="00741764" w:rsidRPr="00A60CCD" w:rsidRDefault="00F403F1" w:rsidP="00A60CCD">
      <w:pPr>
        <w:tabs>
          <w:tab w:val="left" w:pos="720"/>
          <w:tab w:val="left" w:pos="7200"/>
        </w:tabs>
        <w:spacing w:after="0" w:line="360" w:lineRule="auto"/>
        <w:ind w:left="734" w:right="37" w:hanging="734"/>
        <w:rPr>
          <w:b/>
          <w:szCs w:val="24"/>
        </w:rPr>
      </w:pPr>
      <w:r w:rsidRPr="00A60CCD">
        <w:rPr>
          <w:b/>
          <w:szCs w:val="24"/>
        </w:rPr>
        <w:t>CHRISTOPER PETER VAN ZYL N.O</w:t>
      </w:r>
      <w:r w:rsidR="007750B3" w:rsidRPr="00A60CCD">
        <w:rPr>
          <w:b/>
          <w:szCs w:val="24"/>
        </w:rPr>
        <w:tab/>
      </w:r>
      <w:r w:rsidR="00197A98">
        <w:rPr>
          <w:b/>
          <w:szCs w:val="24"/>
        </w:rPr>
        <w:t xml:space="preserve">          </w:t>
      </w:r>
      <w:r w:rsidR="00697C46" w:rsidRPr="00A60CCD">
        <w:rPr>
          <w:b/>
          <w:szCs w:val="24"/>
        </w:rPr>
        <w:t>1</w:t>
      </w:r>
      <w:r w:rsidR="00697C46" w:rsidRPr="00A60CCD">
        <w:rPr>
          <w:b/>
          <w:szCs w:val="24"/>
          <w:vertAlign w:val="superscript"/>
        </w:rPr>
        <w:t>st</w:t>
      </w:r>
      <w:r w:rsidR="007750B3" w:rsidRPr="00A60CCD">
        <w:rPr>
          <w:b/>
          <w:szCs w:val="24"/>
        </w:rPr>
        <w:t xml:space="preserve"> RESPONDENT</w:t>
      </w:r>
    </w:p>
    <w:p w14:paraId="0EF7B25D" w14:textId="06C5F5AC" w:rsidR="006617E7" w:rsidRPr="00A60CCD" w:rsidRDefault="00F403F1" w:rsidP="00A60CCD">
      <w:pPr>
        <w:tabs>
          <w:tab w:val="left" w:pos="7020"/>
        </w:tabs>
        <w:spacing w:after="0" w:line="360" w:lineRule="auto"/>
        <w:ind w:left="734" w:hanging="734"/>
        <w:rPr>
          <w:b/>
          <w:szCs w:val="24"/>
        </w:rPr>
      </w:pPr>
      <w:r w:rsidRPr="00A60CCD">
        <w:rPr>
          <w:b/>
          <w:szCs w:val="24"/>
        </w:rPr>
        <w:t>RYNO ENGELBRECHT N.O</w:t>
      </w:r>
      <w:r w:rsidRPr="00A60CCD">
        <w:rPr>
          <w:b/>
          <w:szCs w:val="24"/>
        </w:rPr>
        <w:tab/>
      </w:r>
      <w:r w:rsidRPr="00A60CCD">
        <w:rPr>
          <w:b/>
          <w:szCs w:val="24"/>
        </w:rPr>
        <w:tab/>
      </w:r>
      <w:r w:rsidR="00197A98">
        <w:rPr>
          <w:b/>
          <w:szCs w:val="24"/>
        </w:rPr>
        <w:t xml:space="preserve">         </w:t>
      </w:r>
      <w:r w:rsidR="007750B3" w:rsidRPr="00A60CCD">
        <w:rPr>
          <w:b/>
          <w:szCs w:val="24"/>
        </w:rPr>
        <w:t>2</w:t>
      </w:r>
      <w:r w:rsidR="00697C46" w:rsidRPr="00A60CCD">
        <w:rPr>
          <w:b/>
          <w:szCs w:val="24"/>
          <w:vertAlign w:val="superscript"/>
        </w:rPr>
        <w:t>ND</w:t>
      </w:r>
      <w:r w:rsidR="00697C46" w:rsidRPr="00A60CCD">
        <w:rPr>
          <w:b/>
          <w:szCs w:val="24"/>
        </w:rPr>
        <w:t xml:space="preserve"> </w:t>
      </w:r>
      <w:r w:rsidR="007750B3" w:rsidRPr="00A60CCD">
        <w:rPr>
          <w:b/>
          <w:szCs w:val="24"/>
        </w:rPr>
        <w:t>RESPONDENT</w:t>
      </w:r>
    </w:p>
    <w:p w14:paraId="4F8262D7" w14:textId="736E84A0" w:rsidR="00C576EF" w:rsidRPr="00A60CCD" w:rsidRDefault="00F403F1" w:rsidP="00A60CCD">
      <w:pPr>
        <w:tabs>
          <w:tab w:val="left" w:pos="6840"/>
        </w:tabs>
        <w:spacing w:after="0" w:line="360" w:lineRule="auto"/>
        <w:rPr>
          <w:b/>
          <w:szCs w:val="24"/>
        </w:rPr>
      </w:pPr>
      <w:r w:rsidRPr="00A60CCD">
        <w:rPr>
          <w:b/>
          <w:szCs w:val="24"/>
        </w:rPr>
        <w:t>EUGENE JANUARIE N.O</w:t>
      </w:r>
      <w:r w:rsidRPr="00A60CCD">
        <w:rPr>
          <w:b/>
          <w:szCs w:val="24"/>
        </w:rPr>
        <w:tab/>
      </w:r>
      <w:r w:rsidRPr="00A60CCD">
        <w:rPr>
          <w:b/>
          <w:szCs w:val="24"/>
        </w:rPr>
        <w:tab/>
      </w:r>
      <w:r w:rsidR="00197A98">
        <w:rPr>
          <w:b/>
          <w:szCs w:val="24"/>
        </w:rPr>
        <w:t xml:space="preserve">         </w:t>
      </w:r>
      <w:r w:rsidR="00697C46" w:rsidRPr="00A60CCD">
        <w:rPr>
          <w:b/>
          <w:szCs w:val="24"/>
        </w:rPr>
        <w:t>3</w:t>
      </w:r>
      <w:r w:rsidR="00697C46" w:rsidRPr="00A60CCD">
        <w:rPr>
          <w:b/>
          <w:szCs w:val="24"/>
          <w:vertAlign w:val="superscript"/>
        </w:rPr>
        <w:t>RD</w:t>
      </w:r>
      <w:r w:rsidR="007750B3" w:rsidRPr="00A60CCD">
        <w:rPr>
          <w:b/>
          <w:szCs w:val="24"/>
        </w:rPr>
        <w:t xml:space="preserve"> RESPONDENT</w:t>
      </w:r>
    </w:p>
    <w:p w14:paraId="5816AFC4" w14:textId="77777777" w:rsidR="00697C46" w:rsidRPr="00A60CCD" w:rsidRDefault="00697C46" w:rsidP="00A60CCD">
      <w:pPr>
        <w:spacing w:after="0" w:line="360" w:lineRule="auto"/>
        <w:ind w:left="2160" w:hanging="2160"/>
        <w:rPr>
          <w:b/>
          <w:szCs w:val="24"/>
        </w:rPr>
      </w:pPr>
    </w:p>
    <w:p w14:paraId="7961CDFD" w14:textId="77777777" w:rsidR="00F403F1" w:rsidRPr="00A60CCD" w:rsidRDefault="00F403F1" w:rsidP="00A60CCD">
      <w:pPr>
        <w:spacing w:after="0" w:line="360" w:lineRule="auto"/>
        <w:ind w:left="2160" w:hanging="2160"/>
        <w:rPr>
          <w:b/>
          <w:szCs w:val="24"/>
        </w:rPr>
      </w:pPr>
    </w:p>
    <w:p w14:paraId="3828504E" w14:textId="67A266CC" w:rsidR="0091708A" w:rsidRPr="0087242A" w:rsidRDefault="00815D0C" w:rsidP="00A60CCD">
      <w:pPr>
        <w:spacing w:after="0" w:line="360" w:lineRule="auto"/>
        <w:ind w:left="2160" w:hanging="2160"/>
        <w:rPr>
          <w:szCs w:val="24"/>
        </w:rPr>
      </w:pPr>
      <w:r w:rsidRPr="00A60CCD">
        <w:rPr>
          <w:b/>
          <w:i/>
          <w:szCs w:val="24"/>
        </w:rPr>
        <w:t xml:space="preserve">Neutral citation:  </w:t>
      </w:r>
      <w:r w:rsidRPr="00A60CCD">
        <w:rPr>
          <w:b/>
          <w:i/>
          <w:szCs w:val="24"/>
        </w:rPr>
        <w:tab/>
      </w:r>
      <w:r w:rsidR="0087242A" w:rsidRPr="0087242A">
        <w:rPr>
          <w:i/>
          <w:szCs w:val="24"/>
        </w:rPr>
        <w:t>Ben-</w:t>
      </w:r>
      <w:proofErr w:type="spellStart"/>
      <w:r w:rsidR="0087242A" w:rsidRPr="0087242A">
        <w:rPr>
          <w:i/>
          <w:szCs w:val="24"/>
        </w:rPr>
        <w:t>Tovim</w:t>
      </w:r>
      <w:proofErr w:type="spellEnd"/>
      <w:r w:rsidR="0087242A" w:rsidRPr="0087242A">
        <w:rPr>
          <w:i/>
          <w:szCs w:val="24"/>
        </w:rPr>
        <w:t xml:space="preserve"> v Van Zyl N.O</w:t>
      </w:r>
      <w:r w:rsidR="0087242A">
        <w:rPr>
          <w:szCs w:val="24"/>
        </w:rPr>
        <w:t xml:space="preserve"> </w:t>
      </w:r>
      <w:r w:rsidR="009B1474">
        <w:rPr>
          <w:szCs w:val="24"/>
        </w:rPr>
        <w:t>(HC-MD-CIV-MOT-GEN-</w:t>
      </w:r>
      <w:r w:rsidR="00197A98">
        <w:rPr>
          <w:szCs w:val="24"/>
        </w:rPr>
        <w:t xml:space="preserve">2016/00315) [2018] NAHCMD 95 </w:t>
      </w:r>
      <w:r w:rsidR="009B1474">
        <w:rPr>
          <w:szCs w:val="24"/>
        </w:rPr>
        <w:t>(13 April 2018)</w:t>
      </w:r>
    </w:p>
    <w:p w14:paraId="7D9DA1AA" w14:textId="77777777" w:rsidR="00027F47" w:rsidRPr="00A60CCD" w:rsidRDefault="00027F47" w:rsidP="00A60CCD">
      <w:pPr>
        <w:spacing w:after="0" w:line="360" w:lineRule="auto"/>
        <w:rPr>
          <w:szCs w:val="24"/>
        </w:rPr>
      </w:pPr>
    </w:p>
    <w:p w14:paraId="234FF517" w14:textId="77777777" w:rsidR="00027F47" w:rsidRPr="00A60CCD" w:rsidRDefault="00751729" w:rsidP="00A60CCD">
      <w:pPr>
        <w:spacing w:after="0" w:line="360" w:lineRule="auto"/>
        <w:rPr>
          <w:b/>
          <w:szCs w:val="24"/>
        </w:rPr>
      </w:pPr>
      <w:r w:rsidRPr="00A60CCD">
        <w:rPr>
          <w:b/>
          <w:szCs w:val="24"/>
        </w:rPr>
        <w:t>Coram:</w:t>
      </w:r>
      <w:r w:rsidRPr="00A60CCD">
        <w:rPr>
          <w:b/>
          <w:szCs w:val="24"/>
        </w:rPr>
        <w:tab/>
      </w:r>
      <w:r w:rsidR="00A42D6B" w:rsidRPr="00A60CCD">
        <w:rPr>
          <w:szCs w:val="24"/>
        </w:rPr>
        <w:t>UEITELE J</w:t>
      </w:r>
    </w:p>
    <w:p w14:paraId="4D7A306C" w14:textId="77777777" w:rsidR="00027F47" w:rsidRPr="00B87FA7" w:rsidRDefault="00027F47" w:rsidP="00A60CCD">
      <w:pPr>
        <w:spacing w:after="0" w:line="360" w:lineRule="auto"/>
        <w:ind w:left="734" w:right="187" w:hanging="734"/>
        <w:rPr>
          <w:b/>
          <w:szCs w:val="24"/>
        </w:rPr>
      </w:pPr>
      <w:r w:rsidRPr="00A60CCD">
        <w:rPr>
          <w:b/>
          <w:bCs/>
          <w:szCs w:val="24"/>
        </w:rPr>
        <w:t>Heard</w:t>
      </w:r>
      <w:r w:rsidR="00751729" w:rsidRPr="00A60CCD">
        <w:rPr>
          <w:b/>
          <w:szCs w:val="24"/>
        </w:rPr>
        <w:t>:</w:t>
      </w:r>
      <w:r w:rsidR="00751729" w:rsidRPr="00A60CCD">
        <w:rPr>
          <w:b/>
          <w:szCs w:val="24"/>
        </w:rPr>
        <w:tab/>
      </w:r>
      <w:r w:rsidR="00751729" w:rsidRPr="00B87FA7">
        <w:rPr>
          <w:b/>
          <w:szCs w:val="24"/>
        </w:rPr>
        <w:t>28 November 2017</w:t>
      </w:r>
    </w:p>
    <w:p w14:paraId="63A07A7F" w14:textId="77777777" w:rsidR="009830B0" w:rsidRPr="00B87FA7" w:rsidRDefault="00027F47" w:rsidP="00A60CCD">
      <w:pPr>
        <w:spacing w:after="0" w:line="360" w:lineRule="auto"/>
        <w:ind w:left="734" w:right="187" w:hanging="734"/>
        <w:rPr>
          <w:b/>
          <w:szCs w:val="24"/>
        </w:rPr>
      </w:pPr>
      <w:r w:rsidRPr="00B87FA7">
        <w:rPr>
          <w:b/>
          <w:bCs/>
          <w:szCs w:val="24"/>
        </w:rPr>
        <w:t>Delivered</w:t>
      </w:r>
      <w:r w:rsidR="00751729" w:rsidRPr="00B87FA7">
        <w:rPr>
          <w:b/>
          <w:szCs w:val="24"/>
        </w:rPr>
        <w:t>:</w:t>
      </w:r>
      <w:r w:rsidR="00751729" w:rsidRPr="00B87FA7">
        <w:rPr>
          <w:b/>
          <w:szCs w:val="24"/>
        </w:rPr>
        <w:tab/>
      </w:r>
      <w:r w:rsidR="007750B3" w:rsidRPr="00B87FA7">
        <w:rPr>
          <w:b/>
          <w:szCs w:val="24"/>
        </w:rPr>
        <w:t>13</w:t>
      </w:r>
      <w:r w:rsidR="00F403F1" w:rsidRPr="00B87FA7">
        <w:rPr>
          <w:b/>
          <w:szCs w:val="24"/>
        </w:rPr>
        <w:t xml:space="preserve"> April</w:t>
      </w:r>
      <w:r w:rsidR="005A5D31" w:rsidRPr="00B87FA7">
        <w:rPr>
          <w:b/>
          <w:szCs w:val="24"/>
        </w:rPr>
        <w:t xml:space="preserve"> 2018</w:t>
      </w:r>
    </w:p>
    <w:p w14:paraId="1E883D1F" w14:textId="77777777" w:rsidR="00027F47" w:rsidRPr="00A60CCD" w:rsidRDefault="00027F47" w:rsidP="00A60CCD">
      <w:pPr>
        <w:spacing w:after="0" w:line="360" w:lineRule="auto"/>
        <w:rPr>
          <w:b/>
          <w:szCs w:val="24"/>
        </w:rPr>
      </w:pPr>
    </w:p>
    <w:p w14:paraId="6B9D7FB6" w14:textId="466AD7DB" w:rsidR="001F0883" w:rsidRDefault="00027F47" w:rsidP="00A60CCD">
      <w:pPr>
        <w:spacing w:after="0" w:line="360" w:lineRule="auto"/>
        <w:ind w:left="0" w:right="37" w:firstLine="0"/>
      </w:pPr>
      <w:proofErr w:type="spellStart"/>
      <w:r w:rsidRPr="00A60CCD">
        <w:rPr>
          <w:b/>
          <w:szCs w:val="24"/>
        </w:rPr>
        <w:t>Flynote</w:t>
      </w:r>
      <w:proofErr w:type="spellEnd"/>
      <w:r w:rsidRPr="00A60CCD">
        <w:rPr>
          <w:b/>
          <w:szCs w:val="24"/>
        </w:rPr>
        <w:t>:</w:t>
      </w:r>
      <w:r w:rsidRPr="00A60CCD">
        <w:rPr>
          <w:b/>
          <w:szCs w:val="24"/>
        </w:rPr>
        <w:tab/>
      </w:r>
      <w:r w:rsidR="00A44314" w:rsidRPr="00A44314">
        <w:rPr>
          <w:i/>
        </w:rPr>
        <w:t>Practice</w:t>
      </w:r>
      <w:r w:rsidR="00A44314" w:rsidRPr="009E4F16">
        <w:t>- Rule 59</w:t>
      </w:r>
      <w:r w:rsidR="006D30EA">
        <w:t xml:space="preserve"> </w:t>
      </w:r>
      <w:r w:rsidR="00A44314" w:rsidRPr="009E4F16">
        <w:t>- Security for costs</w:t>
      </w:r>
      <w:r w:rsidR="006D30EA">
        <w:t xml:space="preserve"> </w:t>
      </w:r>
      <w:r w:rsidR="00A44314" w:rsidRPr="009E4F16">
        <w:t>- Liability to pay security for costs</w:t>
      </w:r>
      <w:r w:rsidR="006D30EA">
        <w:t xml:space="preserve"> </w:t>
      </w:r>
      <w:r w:rsidR="00A44314" w:rsidRPr="009E4F16">
        <w:t>- Determination of quantum</w:t>
      </w:r>
      <w:r w:rsidR="006D30EA">
        <w:t xml:space="preserve"> </w:t>
      </w:r>
      <w:r w:rsidR="00A44314" w:rsidRPr="009E4F16">
        <w:t>- whether it is proper for it to be done by a judge</w:t>
      </w:r>
      <w:r w:rsidR="006D30EA">
        <w:t xml:space="preserve"> </w:t>
      </w:r>
      <w:r w:rsidR="00A44314" w:rsidRPr="009E4F16">
        <w:t>- Delay in filing a demand for security for costs</w:t>
      </w:r>
      <w:r w:rsidR="00F2398F">
        <w:t xml:space="preserve">. </w:t>
      </w:r>
    </w:p>
    <w:p w14:paraId="533EE3EC" w14:textId="77777777" w:rsidR="00197A98" w:rsidRPr="00A60CCD" w:rsidRDefault="00197A98" w:rsidP="00A60CCD">
      <w:pPr>
        <w:spacing w:after="0" w:line="360" w:lineRule="auto"/>
        <w:ind w:left="0" w:right="37" w:firstLine="0"/>
        <w:rPr>
          <w:i/>
          <w:szCs w:val="24"/>
        </w:rPr>
      </w:pPr>
    </w:p>
    <w:p w14:paraId="143964D4" w14:textId="77777777" w:rsidR="00A44314" w:rsidRDefault="00A44314" w:rsidP="00A60CCD">
      <w:pPr>
        <w:spacing w:after="0" w:line="360" w:lineRule="auto"/>
        <w:ind w:left="0" w:right="37" w:firstLine="0"/>
        <w:rPr>
          <w:b/>
          <w:szCs w:val="24"/>
        </w:rPr>
      </w:pPr>
    </w:p>
    <w:p w14:paraId="78DDC84B" w14:textId="485B0F44" w:rsidR="002048C1" w:rsidRDefault="00027F47" w:rsidP="00A60CCD">
      <w:pPr>
        <w:spacing w:after="0" w:line="360" w:lineRule="auto"/>
        <w:ind w:left="0" w:right="37" w:firstLine="0"/>
        <w:rPr>
          <w:szCs w:val="24"/>
        </w:rPr>
      </w:pPr>
      <w:r w:rsidRPr="00A60CCD">
        <w:rPr>
          <w:b/>
          <w:szCs w:val="24"/>
        </w:rPr>
        <w:lastRenderedPageBreak/>
        <w:t>Summary:</w:t>
      </w:r>
      <w:r w:rsidRPr="00A60CCD">
        <w:rPr>
          <w:szCs w:val="24"/>
        </w:rPr>
        <w:t xml:space="preserve"> </w:t>
      </w:r>
      <w:r w:rsidR="003E5D75">
        <w:rPr>
          <w:szCs w:val="24"/>
        </w:rPr>
        <w:tab/>
      </w:r>
      <w:r w:rsidR="003E5D75" w:rsidRPr="003E5D75">
        <w:rPr>
          <w:szCs w:val="24"/>
        </w:rPr>
        <w:t>The respondents, as applicants, commenced proceedings in this Court on 13 October 2016 in terms of whi</w:t>
      </w:r>
      <w:r w:rsidR="003E5D75">
        <w:rPr>
          <w:szCs w:val="24"/>
        </w:rPr>
        <w:t>ch they sought the provisional</w:t>
      </w:r>
      <w:r w:rsidR="003E5D75" w:rsidRPr="003E5D75">
        <w:rPr>
          <w:szCs w:val="24"/>
        </w:rPr>
        <w:t xml:space="preserve"> sequestration of </w:t>
      </w:r>
      <w:proofErr w:type="spellStart"/>
      <w:r w:rsidR="003E5D75">
        <w:rPr>
          <w:szCs w:val="24"/>
        </w:rPr>
        <w:t>Mr</w:t>
      </w:r>
      <w:proofErr w:type="spellEnd"/>
      <w:r w:rsidR="003E5D75">
        <w:rPr>
          <w:szCs w:val="24"/>
        </w:rPr>
        <w:t xml:space="preserve"> Ben-</w:t>
      </w:r>
      <w:proofErr w:type="spellStart"/>
      <w:r w:rsidR="003E5D75" w:rsidRPr="003E5D75">
        <w:rPr>
          <w:szCs w:val="24"/>
        </w:rPr>
        <w:t>Tovim</w:t>
      </w:r>
      <w:proofErr w:type="spellEnd"/>
      <w:r w:rsidR="003E5D75" w:rsidRPr="003E5D75">
        <w:rPr>
          <w:szCs w:val="24"/>
        </w:rPr>
        <w:t xml:space="preserve">, as respondent in that application, and the placing of his assets in the hands of the Master of the High Court. On 28 November 2016 </w:t>
      </w:r>
      <w:r w:rsidR="007A43EC">
        <w:rPr>
          <w:szCs w:val="24"/>
        </w:rPr>
        <w:t xml:space="preserve">Mr. </w:t>
      </w:r>
      <w:r w:rsidR="00B87FA7">
        <w:rPr>
          <w:szCs w:val="24"/>
        </w:rPr>
        <w:t>Ben</w:t>
      </w:r>
      <w:r w:rsidR="003E5D75" w:rsidRPr="003E5D75">
        <w:rPr>
          <w:szCs w:val="24"/>
        </w:rPr>
        <w:t>–</w:t>
      </w:r>
      <w:proofErr w:type="spellStart"/>
      <w:r w:rsidR="003E5D75" w:rsidRPr="003E5D75">
        <w:rPr>
          <w:szCs w:val="24"/>
        </w:rPr>
        <w:t>Tovim</w:t>
      </w:r>
      <w:proofErr w:type="spellEnd"/>
      <w:r w:rsidR="003E5D75" w:rsidRPr="003E5D75">
        <w:rPr>
          <w:szCs w:val="24"/>
        </w:rPr>
        <w:t xml:space="preserve"> gave notice that he will oppos</w:t>
      </w:r>
      <w:r w:rsidR="002048C1">
        <w:rPr>
          <w:szCs w:val="24"/>
        </w:rPr>
        <w:t xml:space="preserve">e the applicants’ application. </w:t>
      </w:r>
      <w:r w:rsidR="002048C1" w:rsidRPr="002048C1">
        <w:rPr>
          <w:szCs w:val="24"/>
        </w:rPr>
        <w:t>This is an application in terms of which the court is required to determine an application for security for costs at two different levels. First, the court is required to determine the issue of the respondents’ liability to pay security for the applicant’s costs. Second, and if the court finds that the respondents are so liable, the court is required to determine the amount of security for costs to be paid by the respondents.</w:t>
      </w:r>
      <w:r w:rsidR="002048C1">
        <w:rPr>
          <w:szCs w:val="24"/>
        </w:rPr>
        <w:t xml:space="preserve"> </w:t>
      </w:r>
      <w:r w:rsidR="00380660" w:rsidRPr="00380660">
        <w:rPr>
          <w:szCs w:val="24"/>
        </w:rPr>
        <w:t xml:space="preserve">On 7 November 2017 </w:t>
      </w:r>
      <w:proofErr w:type="spellStart"/>
      <w:r w:rsidR="00380660" w:rsidRPr="00380660">
        <w:rPr>
          <w:szCs w:val="24"/>
        </w:rPr>
        <w:t>Mr</w:t>
      </w:r>
      <w:proofErr w:type="spellEnd"/>
      <w:r w:rsidR="00380660" w:rsidRPr="00380660">
        <w:rPr>
          <w:szCs w:val="24"/>
        </w:rPr>
        <w:t xml:space="preserve"> Ben-</w:t>
      </w:r>
      <w:proofErr w:type="spellStart"/>
      <w:r w:rsidR="00380660" w:rsidRPr="00380660">
        <w:rPr>
          <w:szCs w:val="24"/>
        </w:rPr>
        <w:t>Tovim</w:t>
      </w:r>
      <w:proofErr w:type="spellEnd"/>
      <w:r w:rsidR="00380660" w:rsidRPr="00380660">
        <w:rPr>
          <w:szCs w:val="24"/>
        </w:rPr>
        <w:t xml:space="preserve"> gave the respondents notice under Rule 59(1) that he requires the respondents to furnish him with security for costs in the amount of N$ 500 000. He gave his reason for requiring the respondents to furnish security for costs, being the fact that the respondents are peregrines of this court.</w:t>
      </w:r>
      <w:r w:rsidR="00380660">
        <w:rPr>
          <w:szCs w:val="24"/>
        </w:rPr>
        <w:t xml:space="preserve"> The respondents oppose the applicant’s application for security of costs on the</w:t>
      </w:r>
      <w:r w:rsidR="002048C1">
        <w:rPr>
          <w:szCs w:val="24"/>
        </w:rPr>
        <w:t xml:space="preserve"> following grounds:</w:t>
      </w:r>
      <w:r w:rsidR="00380660" w:rsidRPr="00380660">
        <w:rPr>
          <w:szCs w:val="24"/>
        </w:rPr>
        <w:t xml:space="preserve"> that the application for security for costs must be dismissed because of the delay in bringing the application. </w:t>
      </w:r>
      <w:r w:rsidR="002048C1" w:rsidRPr="002048C1">
        <w:rPr>
          <w:szCs w:val="24"/>
        </w:rPr>
        <w:t>The respondents furthermore oppose the application on the basis that the application had been launched for improper purpose, namely to delay the adjudication of the sequestration application.</w:t>
      </w:r>
      <w:r w:rsidR="002048C1">
        <w:rPr>
          <w:szCs w:val="24"/>
        </w:rPr>
        <w:t xml:space="preserve"> </w:t>
      </w:r>
      <w:r w:rsidR="002048C1" w:rsidRPr="002048C1">
        <w:rPr>
          <w:szCs w:val="24"/>
        </w:rPr>
        <w:t>The third basis o</w:t>
      </w:r>
      <w:r w:rsidR="002048C1">
        <w:rPr>
          <w:szCs w:val="24"/>
        </w:rPr>
        <w:t>n which the respondents urged the court</w:t>
      </w:r>
      <w:r w:rsidR="002048C1" w:rsidRPr="002048C1">
        <w:rPr>
          <w:szCs w:val="24"/>
        </w:rPr>
        <w:t xml:space="preserve"> to dismiss the application for security for costs is the contention by the respondents that, the amount claimed as security, being the sum of N$ 500 000 is unreasonable and unsubstantiated.</w:t>
      </w:r>
    </w:p>
    <w:p w14:paraId="6F59D6AF" w14:textId="77777777" w:rsidR="002048C1" w:rsidRDefault="002048C1" w:rsidP="00A60CCD">
      <w:pPr>
        <w:spacing w:after="0" w:line="360" w:lineRule="auto"/>
        <w:ind w:left="0" w:right="37" w:firstLine="0"/>
        <w:rPr>
          <w:szCs w:val="24"/>
        </w:rPr>
      </w:pPr>
    </w:p>
    <w:p w14:paraId="648DF813" w14:textId="4E13723B" w:rsidR="002048C1" w:rsidRDefault="002048C1" w:rsidP="00A60CCD">
      <w:pPr>
        <w:spacing w:after="0" w:line="360" w:lineRule="auto"/>
        <w:ind w:left="0" w:right="37" w:firstLine="0"/>
        <w:rPr>
          <w:szCs w:val="24"/>
        </w:rPr>
      </w:pPr>
      <w:r w:rsidRPr="006D30EA">
        <w:rPr>
          <w:i/>
          <w:szCs w:val="24"/>
        </w:rPr>
        <w:t>Held that</w:t>
      </w:r>
      <w:r>
        <w:rPr>
          <w:szCs w:val="24"/>
        </w:rPr>
        <w:t xml:space="preserve"> </w:t>
      </w:r>
      <w:r w:rsidR="00E81C36">
        <w:rPr>
          <w:szCs w:val="24"/>
        </w:rPr>
        <w:t>– M</w:t>
      </w:r>
      <w:r w:rsidR="00A669AA">
        <w:rPr>
          <w:szCs w:val="24"/>
        </w:rPr>
        <w:t xml:space="preserve">r. </w:t>
      </w:r>
      <w:r w:rsidR="00D03358">
        <w:rPr>
          <w:szCs w:val="24"/>
        </w:rPr>
        <w:t>Ben-</w:t>
      </w:r>
      <w:proofErr w:type="spellStart"/>
      <w:r w:rsidR="00D03358" w:rsidRPr="00D03358">
        <w:rPr>
          <w:szCs w:val="24"/>
        </w:rPr>
        <w:t>Tovim</w:t>
      </w:r>
      <w:proofErr w:type="spellEnd"/>
      <w:r w:rsidR="00D03358" w:rsidRPr="00D03358">
        <w:rPr>
          <w:szCs w:val="24"/>
        </w:rPr>
        <w:t xml:space="preserve"> is entitled to demand security for his costs, but whether the Court will order the party from whom security of costs is demanded to provide the security depends on how the Court will exercise its discretion.</w:t>
      </w:r>
    </w:p>
    <w:p w14:paraId="4F468C5D" w14:textId="77777777" w:rsidR="00D03358" w:rsidRDefault="00D03358" w:rsidP="00A60CCD">
      <w:pPr>
        <w:spacing w:after="0" w:line="360" w:lineRule="auto"/>
        <w:ind w:left="0" w:right="37" w:firstLine="0"/>
        <w:rPr>
          <w:szCs w:val="24"/>
        </w:rPr>
      </w:pPr>
    </w:p>
    <w:p w14:paraId="61F4E517" w14:textId="699952B4" w:rsidR="0013048E" w:rsidRDefault="00D03358" w:rsidP="00A60CCD">
      <w:pPr>
        <w:spacing w:after="0" w:line="360" w:lineRule="auto"/>
        <w:ind w:left="0" w:right="37" w:firstLine="0"/>
        <w:rPr>
          <w:szCs w:val="24"/>
        </w:rPr>
      </w:pPr>
      <w:r w:rsidRPr="00A669AA">
        <w:rPr>
          <w:i/>
          <w:szCs w:val="24"/>
        </w:rPr>
        <w:t>Held that</w:t>
      </w:r>
      <w:r w:rsidR="00E81C36">
        <w:rPr>
          <w:szCs w:val="24"/>
        </w:rPr>
        <w:t xml:space="preserve"> – t</w:t>
      </w:r>
      <w:r w:rsidR="00A669AA" w:rsidRPr="00A669AA">
        <w:rPr>
          <w:szCs w:val="24"/>
        </w:rPr>
        <w:t xml:space="preserve">here is no indication that </w:t>
      </w:r>
      <w:r w:rsidR="00A669AA">
        <w:rPr>
          <w:szCs w:val="24"/>
        </w:rPr>
        <w:t xml:space="preserve">Mr. </w:t>
      </w:r>
      <w:r w:rsidR="00B87FA7">
        <w:rPr>
          <w:szCs w:val="24"/>
        </w:rPr>
        <w:t>Ben–</w:t>
      </w:r>
      <w:proofErr w:type="spellStart"/>
      <w:r w:rsidR="00A669AA" w:rsidRPr="00A669AA">
        <w:rPr>
          <w:szCs w:val="24"/>
        </w:rPr>
        <w:t>Tovim</w:t>
      </w:r>
      <w:proofErr w:type="spellEnd"/>
      <w:r w:rsidR="00A669AA" w:rsidRPr="00A669AA">
        <w:rPr>
          <w:szCs w:val="24"/>
        </w:rPr>
        <w:t xml:space="preserve"> has waived his right to ask for security for costs. The respondents have not demonstrated how they are prejudiced or will be prejudiced by the alleged delayed request for security for costs.</w:t>
      </w:r>
      <w:r w:rsidR="00A669AA">
        <w:rPr>
          <w:szCs w:val="24"/>
        </w:rPr>
        <w:t xml:space="preserve"> </w:t>
      </w:r>
    </w:p>
    <w:p w14:paraId="7143E36C" w14:textId="77777777" w:rsidR="0013048E" w:rsidRDefault="0013048E" w:rsidP="00A60CCD">
      <w:pPr>
        <w:spacing w:after="0" w:line="360" w:lineRule="auto"/>
        <w:ind w:left="0" w:right="37" w:firstLine="0"/>
        <w:rPr>
          <w:szCs w:val="24"/>
        </w:rPr>
      </w:pPr>
    </w:p>
    <w:p w14:paraId="6B15001C" w14:textId="039BEC5B" w:rsidR="0013048E" w:rsidRDefault="00A669AA" w:rsidP="00A60CCD">
      <w:pPr>
        <w:spacing w:after="0" w:line="360" w:lineRule="auto"/>
        <w:ind w:left="0" w:right="37" w:firstLine="0"/>
        <w:rPr>
          <w:szCs w:val="24"/>
        </w:rPr>
      </w:pPr>
      <w:r w:rsidRPr="00A669AA">
        <w:rPr>
          <w:i/>
          <w:szCs w:val="24"/>
        </w:rPr>
        <w:t>Held further</w:t>
      </w:r>
      <w:r>
        <w:rPr>
          <w:szCs w:val="24"/>
        </w:rPr>
        <w:t xml:space="preserve"> </w:t>
      </w:r>
      <w:r w:rsidRPr="0013048E">
        <w:rPr>
          <w:i/>
          <w:szCs w:val="24"/>
        </w:rPr>
        <w:t>that</w:t>
      </w:r>
      <w:r w:rsidR="0013048E">
        <w:rPr>
          <w:szCs w:val="24"/>
        </w:rPr>
        <w:t xml:space="preserve"> – t</w:t>
      </w:r>
      <w:r w:rsidRPr="00A669AA">
        <w:rPr>
          <w:szCs w:val="24"/>
        </w:rPr>
        <w:t>he respondents</w:t>
      </w:r>
      <w:r w:rsidR="00B87FA7">
        <w:rPr>
          <w:szCs w:val="24"/>
        </w:rPr>
        <w:t xml:space="preserve"> referred to the failure by Ben-</w:t>
      </w:r>
      <w:proofErr w:type="spellStart"/>
      <w:r w:rsidRPr="00A669AA">
        <w:rPr>
          <w:szCs w:val="24"/>
        </w:rPr>
        <w:t>Tovim</w:t>
      </w:r>
      <w:proofErr w:type="spellEnd"/>
      <w:r w:rsidRPr="00A669AA">
        <w:rPr>
          <w:szCs w:val="24"/>
        </w:rPr>
        <w:t xml:space="preserve"> to comply with certain court orders relating to the filing of his answering affidavits. The delays were explained and on the bas</w:t>
      </w:r>
      <w:r>
        <w:rPr>
          <w:szCs w:val="24"/>
        </w:rPr>
        <w:t>is of the explanation provided</w:t>
      </w:r>
      <w:r w:rsidR="006D30EA">
        <w:rPr>
          <w:szCs w:val="24"/>
        </w:rPr>
        <w:t>,</w:t>
      </w:r>
      <w:r>
        <w:rPr>
          <w:szCs w:val="24"/>
        </w:rPr>
        <w:t xml:space="preserve"> the court condoned his</w:t>
      </w:r>
      <w:r w:rsidRPr="00A669AA">
        <w:rPr>
          <w:szCs w:val="24"/>
        </w:rPr>
        <w:t xml:space="preserve"> non</w:t>
      </w:r>
      <w:r w:rsidR="0013048E">
        <w:rPr>
          <w:szCs w:val="24"/>
        </w:rPr>
        <w:t>-</w:t>
      </w:r>
      <w:r w:rsidRPr="00A669AA">
        <w:rPr>
          <w:szCs w:val="24"/>
        </w:rPr>
        <w:t>complia</w:t>
      </w:r>
      <w:r>
        <w:rPr>
          <w:szCs w:val="24"/>
        </w:rPr>
        <w:t xml:space="preserve">nce with the court orders. The court is </w:t>
      </w:r>
      <w:r w:rsidRPr="00A669AA">
        <w:rPr>
          <w:szCs w:val="24"/>
        </w:rPr>
        <w:t>therefore unable to find, as urged b</w:t>
      </w:r>
      <w:r>
        <w:rPr>
          <w:szCs w:val="24"/>
        </w:rPr>
        <w:t xml:space="preserve">y the respondents’ </w:t>
      </w:r>
      <w:r w:rsidRPr="00A669AA">
        <w:rPr>
          <w:szCs w:val="24"/>
        </w:rPr>
        <w:t>that the application was brought solely to frustrate or delay the sequestration application.</w:t>
      </w:r>
      <w:r>
        <w:rPr>
          <w:szCs w:val="24"/>
        </w:rPr>
        <w:t xml:space="preserve"> </w:t>
      </w:r>
    </w:p>
    <w:p w14:paraId="0F2A0252" w14:textId="77777777" w:rsidR="0013048E" w:rsidRDefault="0013048E" w:rsidP="00A60CCD">
      <w:pPr>
        <w:spacing w:after="0" w:line="360" w:lineRule="auto"/>
        <w:ind w:left="0" w:right="37" w:firstLine="0"/>
        <w:rPr>
          <w:szCs w:val="24"/>
        </w:rPr>
      </w:pPr>
    </w:p>
    <w:p w14:paraId="6083A639" w14:textId="378E6023" w:rsidR="00D03358" w:rsidRDefault="00A669AA" w:rsidP="00A60CCD">
      <w:pPr>
        <w:spacing w:after="0" w:line="360" w:lineRule="auto"/>
        <w:ind w:left="0" w:right="37" w:firstLine="0"/>
        <w:rPr>
          <w:szCs w:val="24"/>
        </w:rPr>
      </w:pPr>
      <w:r w:rsidRPr="00A669AA">
        <w:rPr>
          <w:i/>
          <w:szCs w:val="24"/>
        </w:rPr>
        <w:t>Held furthermore</w:t>
      </w:r>
      <w:r w:rsidR="0013048E">
        <w:rPr>
          <w:szCs w:val="24"/>
        </w:rPr>
        <w:t xml:space="preserve"> – t</w:t>
      </w:r>
      <w:r w:rsidRPr="00A669AA">
        <w:rPr>
          <w:szCs w:val="24"/>
        </w:rPr>
        <w:t>he fact that the amount demanded as security for co</w:t>
      </w:r>
      <w:r>
        <w:rPr>
          <w:szCs w:val="24"/>
        </w:rPr>
        <w:t>sts is unsubstantiated can in the court’s</w:t>
      </w:r>
      <w:r w:rsidRPr="00A669AA">
        <w:rPr>
          <w:szCs w:val="24"/>
        </w:rPr>
        <w:t xml:space="preserve"> view never be basis for the dismissal of the application.</w:t>
      </w:r>
    </w:p>
    <w:p w14:paraId="3572DE86" w14:textId="77777777" w:rsidR="002048C1" w:rsidRDefault="002048C1" w:rsidP="00A60CCD">
      <w:pPr>
        <w:spacing w:after="0" w:line="360" w:lineRule="auto"/>
        <w:ind w:left="0" w:right="37" w:firstLine="0"/>
        <w:rPr>
          <w:szCs w:val="24"/>
        </w:rPr>
      </w:pPr>
    </w:p>
    <w:p w14:paraId="4F3C5F3B" w14:textId="593E786A" w:rsidR="00697C46" w:rsidRPr="00D427A9" w:rsidRDefault="00F2398F" w:rsidP="00A60CCD">
      <w:pPr>
        <w:spacing w:after="0" w:line="360" w:lineRule="auto"/>
        <w:ind w:left="0" w:right="37" w:firstLine="0"/>
        <w:rPr>
          <w:szCs w:val="24"/>
        </w:rPr>
      </w:pPr>
      <w:r w:rsidRPr="00F2398F">
        <w:rPr>
          <w:i/>
          <w:szCs w:val="24"/>
        </w:rPr>
        <w:t>Held that</w:t>
      </w:r>
      <w:r w:rsidR="0013048E">
        <w:rPr>
          <w:szCs w:val="24"/>
        </w:rPr>
        <w:t xml:space="preserve"> – t</w:t>
      </w:r>
      <w:r>
        <w:rPr>
          <w:szCs w:val="24"/>
        </w:rPr>
        <w:t>he court has</w:t>
      </w:r>
      <w:r w:rsidRPr="00F2398F">
        <w:rPr>
          <w:szCs w:val="24"/>
        </w:rPr>
        <w:t xml:space="preserve"> to </w:t>
      </w:r>
      <w:r>
        <w:rPr>
          <w:szCs w:val="24"/>
        </w:rPr>
        <w:t xml:space="preserve">carry out a balancing act. The court is </w:t>
      </w:r>
      <w:r w:rsidRPr="00F2398F">
        <w:rPr>
          <w:szCs w:val="24"/>
        </w:rPr>
        <w:t xml:space="preserve">of the view that the scale must tilt in </w:t>
      </w:r>
      <w:proofErr w:type="spellStart"/>
      <w:r w:rsidRPr="00F2398F">
        <w:rPr>
          <w:szCs w:val="24"/>
        </w:rPr>
        <w:t>favour</w:t>
      </w:r>
      <w:proofErr w:type="spellEnd"/>
      <w:r>
        <w:rPr>
          <w:szCs w:val="24"/>
        </w:rPr>
        <w:t xml:space="preserve"> of </w:t>
      </w:r>
      <w:proofErr w:type="spellStart"/>
      <w:r>
        <w:rPr>
          <w:szCs w:val="24"/>
        </w:rPr>
        <w:t>Mr</w:t>
      </w:r>
      <w:proofErr w:type="spellEnd"/>
      <w:r>
        <w:rPr>
          <w:szCs w:val="24"/>
        </w:rPr>
        <w:t xml:space="preserve"> Ben-</w:t>
      </w:r>
      <w:proofErr w:type="spellStart"/>
      <w:r>
        <w:rPr>
          <w:szCs w:val="24"/>
        </w:rPr>
        <w:t>Tovim</w:t>
      </w:r>
      <w:proofErr w:type="spellEnd"/>
      <w:r>
        <w:rPr>
          <w:szCs w:val="24"/>
        </w:rPr>
        <w:t xml:space="preserve"> for the court </w:t>
      </w:r>
      <w:r w:rsidRPr="00F2398F">
        <w:rPr>
          <w:szCs w:val="24"/>
        </w:rPr>
        <w:t xml:space="preserve">to order the respondents (the applicants in the main application for sequestration) to provide </w:t>
      </w:r>
      <w:r>
        <w:rPr>
          <w:szCs w:val="24"/>
        </w:rPr>
        <w:t xml:space="preserve">Mr. </w:t>
      </w:r>
      <w:r w:rsidR="00B87FA7">
        <w:rPr>
          <w:szCs w:val="24"/>
        </w:rPr>
        <w:t>Ben-</w:t>
      </w:r>
      <w:proofErr w:type="spellStart"/>
      <w:r w:rsidRPr="00F2398F">
        <w:rPr>
          <w:szCs w:val="24"/>
        </w:rPr>
        <w:t>Tovim</w:t>
      </w:r>
      <w:proofErr w:type="spellEnd"/>
      <w:r w:rsidRPr="00F2398F">
        <w:rPr>
          <w:szCs w:val="24"/>
        </w:rPr>
        <w:t xml:space="preserve"> with the s</w:t>
      </w:r>
      <w:r>
        <w:rPr>
          <w:szCs w:val="24"/>
        </w:rPr>
        <w:t>ecurity of costs he demands.</w:t>
      </w:r>
      <w:r w:rsidR="00B87FA7">
        <w:rPr>
          <w:szCs w:val="24"/>
        </w:rPr>
        <w:t xml:space="preserve"> In his application Ben-</w:t>
      </w:r>
      <w:proofErr w:type="spellStart"/>
      <w:r w:rsidRPr="00F2398F">
        <w:rPr>
          <w:szCs w:val="24"/>
        </w:rPr>
        <w:t>Tovim</w:t>
      </w:r>
      <w:proofErr w:type="spellEnd"/>
      <w:r w:rsidRPr="00F2398F">
        <w:rPr>
          <w:szCs w:val="24"/>
        </w:rPr>
        <w:t xml:space="preserve"> alleges that there is a probability that if he successfully opposes the sequestration application it may be difficult, if not impossible, for him to recoup his costs. The respondents do not dispute this allegation by </w:t>
      </w:r>
      <w:r w:rsidR="0013048E">
        <w:rPr>
          <w:szCs w:val="24"/>
        </w:rPr>
        <w:t xml:space="preserve">Mr. </w:t>
      </w:r>
      <w:r w:rsidRPr="00F2398F">
        <w:rPr>
          <w:szCs w:val="24"/>
        </w:rPr>
        <w:t>Ben-</w:t>
      </w:r>
      <w:proofErr w:type="spellStart"/>
      <w:r w:rsidRPr="00F2398F">
        <w:rPr>
          <w:szCs w:val="24"/>
        </w:rPr>
        <w:t>Tovim</w:t>
      </w:r>
      <w:proofErr w:type="spellEnd"/>
      <w:r w:rsidRPr="00F2398F">
        <w:rPr>
          <w:szCs w:val="24"/>
        </w:rPr>
        <w:t>. The respondents furthermore do not establish that an order directing them to provide security for costs might well result in them being unable to pursue the litigation in t</w:t>
      </w:r>
      <w:r>
        <w:rPr>
          <w:szCs w:val="24"/>
        </w:rPr>
        <w:t>his Court. Consequently, the court is of the view that Mr.</w:t>
      </w:r>
      <w:r w:rsidRPr="00F2398F">
        <w:rPr>
          <w:szCs w:val="24"/>
        </w:rPr>
        <w:t xml:space="preserve"> Ben - </w:t>
      </w:r>
      <w:proofErr w:type="spellStart"/>
      <w:r w:rsidRPr="00F2398F">
        <w:rPr>
          <w:szCs w:val="24"/>
        </w:rPr>
        <w:t>Tovim</w:t>
      </w:r>
      <w:proofErr w:type="spellEnd"/>
      <w:r w:rsidRPr="00F2398F">
        <w:rPr>
          <w:szCs w:val="24"/>
        </w:rPr>
        <w:t xml:space="preserve"> is entitled to demand security for costs from the respondents.</w:t>
      </w:r>
    </w:p>
    <w:p w14:paraId="6ED5BDA9" w14:textId="0E5F0030" w:rsidR="00B87FA7" w:rsidRPr="00A60CCD" w:rsidRDefault="00B87FA7" w:rsidP="00B87FA7">
      <w:pPr>
        <w:tabs>
          <w:tab w:val="left" w:pos="720"/>
        </w:tabs>
        <w:spacing w:after="0" w:line="360" w:lineRule="auto"/>
        <w:ind w:left="0" w:right="37" w:firstLine="0"/>
        <w:rPr>
          <w:szCs w:val="24"/>
        </w:rPr>
      </w:pPr>
      <w:r w:rsidRPr="00A60CCD">
        <w:rPr>
          <w:b/>
          <w:szCs w:val="24"/>
        </w:rPr>
        <w:t>_____________________________________________________________________</w:t>
      </w:r>
      <w:r>
        <w:rPr>
          <w:b/>
          <w:szCs w:val="24"/>
        </w:rPr>
        <w:t>______</w:t>
      </w:r>
    </w:p>
    <w:p w14:paraId="18D9ED3D" w14:textId="14437859" w:rsidR="00B87FA7" w:rsidRPr="00A60CCD" w:rsidRDefault="00B87FA7" w:rsidP="00B87FA7">
      <w:pPr>
        <w:spacing w:after="0" w:line="360" w:lineRule="auto"/>
        <w:jc w:val="center"/>
        <w:rPr>
          <w:szCs w:val="24"/>
        </w:rPr>
      </w:pPr>
      <w:r>
        <w:rPr>
          <w:b/>
          <w:szCs w:val="24"/>
        </w:rPr>
        <w:t>ORDER</w:t>
      </w:r>
    </w:p>
    <w:p w14:paraId="3CA03D7E" w14:textId="77777777" w:rsidR="00B87FA7" w:rsidRPr="00A60CCD" w:rsidRDefault="00B87FA7" w:rsidP="00B87FA7">
      <w:pPr>
        <w:tabs>
          <w:tab w:val="left" w:pos="720"/>
        </w:tabs>
        <w:spacing w:after="0" w:line="360" w:lineRule="auto"/>
        <w:ind w:left="0" w:right="37" w:firstLine="0"/>
        <w:rPr>
          <w:szCs w:val="24"/>
        </w:rPr>
      </w:pPr>
      <w:r w:rsidRPr="00A60CCD">
        <w:rPr>
          <w:b/>
          <w:szCs w:val="24"/>
        </w:rPr>
        <w:t>_____________________________________________________________________</w:t>
      </w:r>
      <w:r>
        <w:rPr>
          <w:b/>
          <w:szCs w:val="24"/>
        </w:rPr>
        <w:t>______</w:t>
      </w:r>
    </w:p>
    <w:p w14:paraId="0773E0C0" w14:textId="77777777" w:rsidR="007750B3" w:rsidRPr="00A60CCD" w:rsidRDefault="007750B3" w:rsidP="00A60CCD">
      <w:pPr>
        <w:spacing w:after="0" w:line="360" w:lineRule="auto"/>
        <w:rPr>
          <w:szCs w:val="24"/>
        </w:rPr>
      </w:pPr>
    </w:p>
    <w:p w14:paraId="0381D855" w14:textId="03822085" w:rsidR="00CD3CAD" w:rsidRPr="00CD3CAD" w:rsidRDefault="00CD3CAD" w:rsidP="00CD3CAD">
      <w:pPr>
        <w:pStyle w:val="ListParagraph"/>
        <w:numPr>
          <w:ilvl w:val="0"/>
          <w:numId w:val="6"/>
        </w:numPr>
        <w:spacing w:after="0" w:line="360" w:lineRule="auto"/>
        <w:ind w:left="0" w:firstLine="0"/>
        <w:jc w:val="both"/>
        <w:rPr>
          <w:rFonts w:ascii="Arial" w:hAnsi="Arial" w:cs="Arial"/>
          <w:i/>
          <w:sz w:val="24"/>
          <w:szCs w:val="24"/>
        </w:rPr>
      </w:pPr>
      <w:r w:rsidRPr="001151DB">
        <w:rPr>
          <w:rFonts w:ascii="Arial" w:hAnsi="Arial" w:cs="Arial"/>
          <w:sz w:val="24"/>
          <w:szCs w:val="24"/>
        </w:rPr>
        <w:t xml:space="preserve">The </w:t>
      </w:r>
      <w:r>
        <w:rPr>
          <w:rFonts w:ascii="Arial" w:hAnsi="Arial" w:cs="Arial"/>
          <w:sz w:val="24"/>
          <w:szCs w:val="24"/>
        </w:rPr>
        <w:t>respondents are</w:t>
      </w:r>
      <w:r w:rsidRPr="001151DB">
        <w:rPr>
          <w:rFonts w:ascii="Arial" w:hAnsi="Arial" w:cs="Arial"/>
          <w:sz w:val="24"/>
          <w:szCs w:val="24"/>
        </w:rPr>
        <w:t xml:space="preserve"> ordered to furnish security for costs to the </w:t>
      </w:r>
      <w:r>
        <w:rPr>
          <w:rFonts w:ascii="Arial" w:hAnsi="Arial" w:cs="Arial"/>
          <w:sz w:val="24"/>
          <w:szCs w:val="24"/>
        </w:rPr>
        <w:t>applicant (</w:t>
      </w:r>
      <w:r w:rsidR="0013048E" w:rsidRPr="0013048E">
        <w:rPr>
          <w:rFonts w:ascii="Arial" w:hAnsi="Arial" w:cs="Arial"/>
          <w:sz w:val="24"/>
          <w:szCs w:val="24"/>
        </w:rPr>
        <w:t xml:space="preserve">Mr. </w:t>
      </w:r>
      <w:r w:rsidR="00B87FA7">
        <w:rPr>
          <w:rFonts w:ascii="Arial" w:hAnsi="Arial" w:cs="Arial"/>
          <w:sz w:val="24"/>
          <w:szCs w:val="24"/>
        </w:rPr>
        <w:t>Ben–</w:t>
      </w:r>
      <w:proofErr w:type="spellStart"/>
      <w:r>
        <w:rPr>
          <w:rFonts w:ascii="Arial" w:hAnsi="Arial" w:cs="Arial"/>
          <w:sz w:val="24"/>
          <w:szCs w:val="24"/>
        </w:rPr>
        <w:t>Tovim</w:t>
      </w:r>
      <w:proofErr w:type="spellEnd"/>
      <w:r>
        <w:rPr>
          <w:rFonts w:ascii="Arial" w:hAnsi="Arial" w:cs="Arial"/>
          <w:sz w:val="24"/>
          <w:szCs w:val="24"/>
        </w:rPr>
        <w:t xml:space="preserve">) </w:t>
      </w:r>
      <w:r w:rsidRPr="001151DB">
        <w:rPr>
          <w:rFonts w:ascii="Arial" w:hAnsi="Arial" w:cs="Arial"/>
          <w:sz w:val="24"/>
          <w:szCs w:val="24"/>
        </w:rPr>
        <w:t xml:space="preserve">in a manner, form and quantity to be assessed by the </w:t>
      </w:r>
      <w:r>
        <w:rPr>
          <w:rFonts w:ascii="Arial" w:hAnsi="Arial" w:cs="Arial"/>
          <w:sz w:val="24"/>
          <w:szCs w:val="24"/>
        </w:rPr>
        <w:t>R</w:t>
      </w:r>
      <w:r w:rsidRPr="001151DB">
        <w:rPr>
          <w:rFonts w:ascii="Arial" w:hAnsi="Arial" w:cs="Arial"/>
          <w:sz w:val="24"/>
          <w:szCs w:val="24"/>
        </w:rPr>
        <w:t>egistrar.</w:t>
      </w:r>
    </w:p>
    <w:p w14:paraId="2754D94C" w14:textId="77777777" w:rsidR="00CD3CAD" w:rsidRDefault="00CD3CAD" w:rsidP="00CD3CAD">
      <w:pPr>
        <w:pStyle w:val="ListParagraph"/>
        <w:spacing w:after="0" w:line="360" w:lineRule="auto"/>
        <w:ind w:left="0"/>
        <w:jc w:val="both"/>
        <w:rPr>
          <w:rFonts w:ascii="Arial" w:hAnsi="Arial" w:cs="Arial"/>
          <w:i/>
          <w:sz w:val="24"/>
          <w:szCs w:val="24"/>
        </w:rPr>
      </w:pPr>
    </w:p>
    <w:p w14:paraId="7D20F6B9" w14:textId="77777777" w:rsidR="00CD3CAD" w:rsidRDefault="00CD3CAD" w:rsidP="00CD3CAD">
      <w:pPr>
        <w:pStyle w:val="ListParagraph"/>
        <w:numPr>
          <w:ilvl w:val="0"/>
          <w:numId w:val="6"/>
        </w:numPr>
        <w:spacing w:after="0" w:line="360" w:lineRule="auto"/>
        <w:ind w:left="0" w:firstLine="0"/>
        <w:jc w:val="both"/>
        <w:rPr>
          <w:rFonts w:ascii="Arial" w:hAnsi="Arial" w:cs="Arial"/>
          <w:i/>
          <w:sz w:val="24"/>
          <w:szCs w:val="24"/>
        </w:rPr>
      </w:pPr>
      <w:r w:rsidRPr="00CD3CAD">
        <w:rPr>
          <w:rFonts w:ascii="Arial" w:hAnsi="Arial" w:cs="Arial"/>
          <w:sz w:val="24"/>
          <w:szCs w:val="24"/>
        </w:rPr>
        <w:t>The parties must, not later than 7 days from the date that this judgment is issued, approach the Registrar to request a meeting where at the assessment of the nature, form and quantum of the security for costs is to be made.</w:t>
      </w:r>
    </w:p>
    <w:p w14:paraId="74A6074C" w14:textId="77777777" w:rsidR="00CD3CAD" w:rsidRPr="00CD3CAD" w:rsidRDefault="00CD3CAD" w:rsidP="00CD3CAD">
      <w:pPr>
        <w:pStyle w:val="ListParagraph"/>
        <w:rPr>
          <w:rFonts w:ascii="Arial" w:hAnsi="Arial" w:cs="Arial"/>
          <w:sz w:val="24"/>
          <w:szCs w:val="24"/>
        </w:rPr>
      </w:pPr>
    </w:p>
    <w:p w14:paraId="2072E4A0" w14:textId="77777777" w:rsidR="00CD3CAD" w:rsidRPr="00CD3CAD" w:rsidRDefault="00CD3CAD" w:rsidP="00CD3CAD">
      <w:pPr>
        <w:pStyle w:val="ListParagraph"/>
        <w:numPr>
          <w:ilvl w:val="0"/>
          <w:numId w:val="6"/>
        </w:numPr>
        <w:spacing w:after="0" w:line="360" w:lineRule="auto"/>
        <w:ind w:left="0" w:firstLine="0"/>
        <w:jc w:val="both"/>
        <w:rPr>
          <w:rFonts w:ascii="Arial" w:hAnsi="Arial" w:cs="Arial"/>
          <w:i/>
          <w:sz w:val="24"/>
          <w:szCs w:val="24"/>
        </w:rPr>
      </w:pPr>
      <w:r w:rsidRPr="00CD3CAD">
        <w:rPr>
          <w:rFonts w:ascii="Arial" w:hAnsi="Arial" w:cs="Arial"/>
          <w:sz w:val="24"/>
          <w:szCs w:val="24"/>
        </w:rPr>
        <w:t xml:space="preserve">The matter is postponed to </w:t>
      </w:r>
      <w:r w:rsidRPr="00CD3CAD">
        <w:rPr>
          <w:rFonts w:ascii="Arial" w:hAnsi="Arial" w:cs="Arial"/>
          <w:b/>
          <w:sz w:val="24"/>
          <w:szCs w:val="24"/>
        </w:rPr>
        <w:t>30 May 2018 at 08:30</w:t>
      </w:r>
      <w:r w:rsidRPr="00CD3CAD">
        <w:rPr>
          <w:rFonts w:ascii="Arial" w:hAnsi="Arial" w:cs="Arial"/>
          <w:sz w:val="24"/>
          <w:szCs w:val="24"/>
        </w:rPr>
        <w:t xml:space="preserve"> for status hearing on the case management roll of Justice </w:t>
      </w:r>
      <w:proofErr w:type="spellStart"/>
      <w:r w:rsidRPr="00CD3CAD">
        <w:rPr>
          <w:rFonts w:ascii="Arial" w:hAnsi="Arial" w:cs="Arial"/>
          <w:sz w:val="24"/>
          <w:szCs w:val="24"/>
        </w:rPr>
        <w:t>Geier</w:t>
      </w:r>
      <w:proofErr w:type="spellEnd"/>
      <w:r w:rsidRPr="00CD3CAD">
        <w:rPr>
          <w:rFonts w:ascii="Arial" w:hAnsi="Arial" w:cs="Arial"/>
          <w:sz w:val="24"/>
          <w:szCs w:val="24"/>
        </w:rPr>
        <w:t>.</w:t>
      </w:r>
    </w:p>
    <w:p w14:paraId="72B984E5" w14:textId="77777777" w:rsidR="00CD3CAD" w:rsidRPr="00CD3CAD" w:rsidRDefault="00CD3CAD" w:rsidP="00CD3CAD">
      <w:pPr>
        <w:pStyle w:val="ListParagraph"/>
        <w:rPr>
          <w:rFonts w:ascii="Arial" w:hAnsi="Arial" w:cs="Arial"/>
          <w:i/>
          <w:sz w:val="24"/>
          <w:szCs w:val="24"/>
        </w:rPr>
      </w:pPr>
    </w:p>
    <w:p w14:paraId="522C3CED" w14:textId="77777777" w:rsidR="00CD3CAD" w:rsidRPr="00CD3CAD" w:rsidRDefault="00CD3CAD" w:rsidP="00CD3CAD">
      <w:pPr>
        <w:pStyle w:val="ListParagraph"/>
        <w:numPr>
          <w:ilvl w:val="0"/>
          <w:numId w:val="6"/>
        </w:numPr>
        <w:spacing w:after="0" w:line="360" w:lineRule="auto"/>
        <w:ind w:left="0" w:firstLine="0"/>
        <w:jc w:val="both"/>
        <w:rPr>
          <w:rFonts w:ascii="Arial" w:hAnsi="Arial" w:cs="Arial"/>
          <w:i/>
          <w:sz w:val="24"/>
          <w:szCs w:val="24"/>
        </w:rPr>
      </w:pPr>
      <w:r>
        <w:rPr>
          <w:rFonts w:ascii="Arial" w:hAnsi="Arial" w:cs="Arial"/>
          <w:sz w:val="24"/>
          <w:szCs w:val="24"/>
        </w:rPr>
        <w:t>The respondents must subject to Rule 32(11) pay the applicant’s costs of the application for security of costs.</w:t>
      </w:r>
    </w:p>
    <w:p w14:paraId="062A3421" w14:textId="3226319C" w:rsidR="0091708A" w:rsidRPr="00A60CCD" w:rsidRDefault="00815D0C" w:rsidP="00CD3CAD">
      <w:pPr>
        <w:tabs>
          <w:tab w:val="left" w:pos="720"/>
        </w:tabs>
        <w:spacing w:after="0" w:line="360" w:lineRule="auto"/>
        <w:ind w:left="0" w:right="37" w:firstLine="0"/>
        <w:rPr>
          <w:szCs w:val="24"/>
        </w:rPr>
      </w:pPr>
      <w:r w:rsidRPr="00A60CCD">
        <w:rPr>
          <w:b/>
          <w:szCs w:val="24"/>
        </w:rPr>
        <w:t>________________________________</w:t>
      </w:r>
      <w:r w:rsidR="00027F47" w:rsidRPr="00A60CCD">
        <w:rPr>
          <w:b/>
          <w:szCs w:val="24"/>
        </w:rPr>
        <w:t>_____________________________________</w:t>
      </w:r>
      <w:r w:rsidR="00B87FA7">
        <w:rPr>
          <w:b/>
          <w:szCs w:val="24"/>
        </w:rPr>
        <w:t>______</w:t>
      </w:r>
    </w:p>
    <w:p w14:paraId="1C1E9C46" w14:textId="77777777" w:rsidR="0091708A" w:rsidRPr="00A60CCD" w:rsidRDefault="00027F47" w:rsidP="00A60CCD">
      <w:pPr>
        <w:spacing w:after="0" w:line="360" w:lineRule="auto"/>
        <w:jc w:val="center"/>
        <w:rPr>
          <w:szCs w:val="24"/>
        </w:rPr>
      </w:pPr>
      <w:r w:rsidRPr="00A60CCD">
        <w:rPr>
          <w:b/>
          <w:szCs w:val="24"/>
        </w:rPr>
        <w:t>JUDGMENT</w:t>
      </w:r>
    </w:p>
    <w:p w14:paraId="0535DAAD" w14:textId="77777777" w:rsidR="00B87FA7" w:rsidRPr="00A60CCD" w:rsidRDefault="00B87FA7" w:rsidP="00B87FA7">
      <w:pPr>
        <w:tabs>
          <w:tab w:val="left" w:pos="720"/>
        </w:tabs>
        <w:spacing w:after="0" w:line="360" w:lineRule="auto"/>
        <w:ind w:left="0" w:right="37" w:firstLine="0"/>
        <w:rPr>
          <w:szCs w:val="24"/>
        </w:rPr>
      </w:pPr>
      <w:r w:rsidRPr="00A60CCD">
        <w:rPr>
          <w:b/>
          <w:szCs w:val="24"/>
        </w:rPr>
        <w:t>_____________________________________________________________________</w:t>
      </w:r>
      <w:r>
        <w:rPr>
          <w:b/>
          <w:szCs w:val="24"/>
        </w:rPr>
        <w:t>______</w:t>
      </w:r>
    </w:p>
    <w:p w14:paraId="5B1285D1" w14:textId="62947850" w:rsidR="0091708A" w:rsidRPr="00B87FA7" w:rsidRDefault="00B87FA7" w:rsidP="00A60CCD">
      <w:pPr>
        <w:spacing w:after="0" w:line="360" w:lineRule="auto"/>
        <w:rPr>
          <w:szCs w:val="24"/>
        </w:rPr>
      </w:pPr>
      <w:r>
        <w:rPr>
          <w:szCs w:val="24"/>
        </w:rPr>
        <w:t xml:space="preserve">UEITELE </w:t>
      </w:r>
      <w:r w:rsidR="00815D0C" w:rsidRPr="00B87FA7">
        <w:rPr>
          <w:szCs w:val="24"/>
        </w:rPr>
        <w:t>J</w:t>
      </w:r>
      <w:r>
        <w:rPr>
          <w:szCs w:val="24"/>
        </w:rPr>
        <w:t>:</w:t>
      </w:r>
      <w:r w:rsidR="00815D0C" w:rsidRPr="00B87FA7">
        <w:rPr>
          <w:szCs w:val="24"/>
        </w:rPr>
        <w:t xml:space="preserve">  </w:t>
      </w:r>
    </w:p>
    <w:p w14:paraId="70A4938A" w14:textId="77777777" w:rsidR="0091708A" w:rsidRPr="00A60CCD" w:rsidRDefault="0091708A" w:rsidP="00A60CCD">
      <w:pPr>
        <w:spacing w:after="0" w:line="360" w:lineRule="auto"/>
        <w:rPr>
          <w:szCs w:val="24"/>
        </w:rPr>
      </w:pPr>
    </w:p>
    <w:p w14:paraId="74BD158F" w14:textId="77777777" w:rsidR="0091708A" w:rsidRPr="00A60CCD" w:rsidRDefault="007750B3" w:rsidP="00A60CCD">
      <w:pPr>
        <w:spacing w:after="0" w:line="360" w:lineRule="auto"/>
        <w:rPr>
          <w:szCs w:val="24"/>
          <w:u w:val="single" w:color="000000"/>
        </w:rPr>
      </w:pPr>
      <w:r w:rsidRPr="00A60CCD">
        <w:rPr>
          <w:szCs w:val="24"/>
          <w:u w:val="single" w:color="000000"/>
        </w:rPr>
        <w:t>Introduction</w:t>
      </w:r>
    </w:p>
    <w:p w14:paraId="14F0F5AE" w14:textId="77777777" w:rsidR="00027F47" w:rsidRPr="00A60CCD" w:rsidRDefault="00027F47" w:rsidP="00A60CCD">
      <w:pPr>
        <w:spacing w:after="0" w:line="360" w:lineRule="auto"/>
        <w:rPr>
          <w:b/>
          <w:szCs w:val="24"/>
        </w:rPr>
      </w:pPr>
    </w:p>
    <w:p w14:paraId="7B0DC8E2" w14:textId="77777777" w:rsidR="00A52038" w:rsidRDefault="00BA2EED" w:rsidP="00A60CCD">
      <w:pPr>
        <w:spacing w:after="0" w:line="360" w:lineRule="auto"/>
        <w:ind w:left="0" w:right="37" w:firstLine="0"/>
      </w:pPr>
      <w:r w:rsidRPr="00A60CCD">
        <w:rPr>
          <w:szCs w:val="24"/>
        </w:rPr>
        <w:t>[1]</w:t>
      </w:r>
      <w:r w:rsidRPr="00A60CCD">
        <w:rPr>
          <w:szCs w:val="24"/>
        </w:rPr>
        <w:tab/>
      </w:r>
      <w:r w:rsidR="006E48C3" w:rsidRPr="00A60CCD">
        <w:rPr>
          <w:szCs w:val="24"/>
        </w:rPr>
        <w:t xml:space="preserve">This </w:t>
      </w:r>
      <w:r w:rsidRPr="00A60CCD">
        <w:rPr>
          <w:szCs w:val="24"/>
        </w:rPr>
        <w:t xml:space="preserve">is an application </w:t>
      </w:r>
      <w:r w:rsidR="006E48C3" w:rsidRPr="00A60CCD">
        <w:rPr>
          <w:szCs w:val="24"/>
        </w:rPr>
        <w:t xml:space="preserve">in terms of which </w:t>
      </w:r>
      <w:r w:rsidRPr="00A60CCD">
        <w:rPr>
          <w:szCs w:val="24"/>
        </w:rPr>
        <w:t xml:space="preserve">the court is required to determine </w:t>
      </w:r>
      <w:r w:rsidR="00A52038" w:rsidRPr="007F2EF5">
        <w:t xml:space="preserve">an application for security for costs at two different levels. First, the court is required to determine the issue of the </w:t>
      </w:r>
      <w:r w:rsidR="00A52038">
        <w:t>respondents’</w:t>
      </w:r>
      <w:r w:rsidR="00A52038" w:rsidRPr="007F2EF5">
        <w:t xml:space="preserve"> liability to pay security for the </w:t>
      </w:r>
      <w:r w:rsidR="00A52038">
        <w:t>applicant</w:t>
      </w:r>
      <w:r w:rsidR="00A52038" w:rsidRPr="007F2EF5">
        <w:t xml:space="preserve">’s costs. Second, and if the court finds </w:t>
      </w:r>
      <w:r w:rsidR="00A52038" w:rsidRPr="007F2EF5">
        <w:lastRenderedPageBreak/>
        <w:t xml:space="preserve">that the </w:t>
      </w:r>
      <w:r w:rsidR="00A52038">
        <w:t>respondents</w:t>
      </w:r>
      <w:r w:rsidR="00A52038" w:rsidRPr="007F2EF5">
        <w:t xml:space="preserve"> are so liable, the court is required to determine the amount of security for costs to be paid by the </w:t>
      </w:r>
      <w:r w:rsidR="00A52038">
        <w:t>respondents.</w:t>
      </w:r>
    </w:p>
    <w:p w14:paraId="5AE07A8A" w14:textId="77777777" w:rsidR="00A52038" w:rsidRDefault="00A52038" w:rsidP="00A60CCD">
      <w:pPr>
        <w:spacing w:after="0" w:line="360" w:lineRule="auto"/>
        <w:ind w:left="0" w:right="37" w:firstLine="0"/>
      </w:pPr>
    </w:p>
    <w:p w14:paraId="70C9E476" w14:textId="77777777" w:rsidR="006E48C3" w:rsidRPr="00A60CCD" w:rsidRDefault="00A52038" w:rsidP="00A60CCD">
      <w:pPr>
        <w:spacing w:after="0" w:line="360" w:lineRule="auto"/>
        <w:ind w:left="0" w:right="37" w:firstLine="0"/>
        <w:rPr>
          <w:rFonts w:eastAsiaTheme="minorHAnsi"/>
          <w:color w:val="auto"/>
          <w:szCs w:val="24"/>
          <w:lang w:val="en-ZA"/>
        </w:rPr>
      </w:pPr>
      <w:r>
        <w:t>[2]</w:t>
      </w:r>
      <w:r>
        <w:tab/>
      </w:r>
      <w:r w:rsidR="006E48C3" w:rsidRPr="00A60CCD">
        <w:rPr>
          <w:szCs w:val="24"/>
        </w:rPr>
        <w:t>The applicant in th</w:t>
      </w:r>
      <w:r>
        <w:rPr>
          <w:szCs w:val="24"/>
        </w:rPr>
        <w:t>is</w:t>
      </w:r>
      <w:r w:rsidR="006E48C3" w:rsidRPr="00A60CCD">
        <w:rPr>
          <w:szCs w:val="24"/>
        </w:rPr>
        <w:t xml:space="preserve"> application for security of costs is a certain </w:t>
      </w:r>
      <w:proofErr w:type="spellStart"/>
      <w:r w:rsidR="006E48C3" w:rsidRPr="00A60CCD">
        <w:rPr>
          <w:rFonts w:eastAsiaTheme="minorHAnsi"/>
          <w:color w:val="auto"/>
          <w:szCs w:val="24"/>
          <w:lang w:val="en-ZA"/>
        </w:rPr>
        <w:t>Gershon</w:t>
      </w:r>
      <w:proofErr w:type="spellEnd"/>
      <w:r w:rsidR="006E48C3" w:rsidRPr="00A60CCD">
        <w:rPr>
          <w:rFonts w:eastAsiaTheme="minorHAnsi"/>
          <w:color w:val="auto"/>
          <w:szCs w:val="24"/>
          <w:lang w:val="en-ZA"/>
        </w:rPr>
        <w:t xml:space="preserve"> Ben-</w:t>
      </w:r>
      <w:proofErr w:type="spellStart"/>
      <w:r w:rsidR="006E48C3" w:rsidRPr="00A60CCD">
        <w:rPr>
          <w:rFonts w:eastAsiaTheme="minorHAnsi"/>
          <w:color w:val="auto"/>
          <w:szCs w:val="24"/>
          <w:lang w:val="en-ZA"/>
        </w:rPr>
        <w:t>Tovim</w:t>
      </w:r>
      <w:proofErr w:type="spellEnd"/>
      <w:r w:rsidR="006E48C3" w:rsidRPr="00A60CCD">
        <w:rPr>
          <w:rFonts w:eastAsiaTheme="minorHAnsi"/>
          <w:color w:val="auto"/>
          <w:szCs w:val="24"/>
          <w:lang w:val="en-ZA"/>
        </w:rPr>
        <w:t xml:space="preserve">, an adult male businessman and an entrepreneur who resides on Farm </w:t>
      </w:r>
      <w:proofErr w:type="spellStart"/>
      <w:r w:rsidR="006E48C3" w:rsidRPr="00A60CCD">
        <w:rPr>
          <w:rFonts w:eastAsiaTheme="minorHAnsi"/>
          <w:color w:val="auto"/>
          <w:szCs w:val="24"/>
          <w:lang w:val="en-ZA"/>
        </w:rPr>
        <w:t>Ehuiro</w:t>
      </w:r>
      <w:proofErr w:type="spellEnd"/>
      <w:r w:rsidR="006E48C3" w:rsidRPr="00A60CCD">
        <w:rPr>
          <w:rFonts w:eastAsiaTheme="minorHAnsi"/>
          <w:color w:val="auto"/>
          <w:szCs w:val="24"/>
          <w:lang w:val="en-ZA"/>
        </w:rPr>
        <w:t xml:space="preserve"> No. 120 in the </w:t>
      </w:r>
      <w:proofErr w:type="spellStart"/>
      <w:r w:rsidR="006E48C3" w:rsidRPr="00A60CCD">
        <w:rPr>
          <w:rFonts w:eastAsiaTheme="minorHAnsi"/>
          <w:color w:val="auto"/>
          <w:szCs w:val="24"/>
          <w:lang w:val="en-ZA"/>
        </w:rPr>
        <w:t>Erongo</w:t>
      </w:r>
      <w:proofErr w:type="spellEnd"/>
      <w:r w:rsidR="006E48C3" w:rsidRPr="00A60CCD">
        <w:rPr>
          <w:rFonts w:eastAsiaTheme="minorHAnsi"/>
          <w:color w:val="auto"/>
          <w:szCs w:val="24"/>
          <w:lang w:val="en-ZA"/>
        </w:rPr>
        <w:t xml:space="preserve"> Region of Namibia. The applicant is thus an </w:t>
      </w:r>
      <w:proofErr w:type="spellStart"/>
      <w:r w:rsidR="006E48C3" w:rsidRPr="00A60CCD">
        <w:rPr>
          <w:rFonts w:eastAsiaTheme="minorHAnsi"/>
          <w:i/>
          <w:color w:val="auto"/>
          <w:szCs w:val="24"/>
          <w:lang w:val="en-ZA"/>
        </w:rPr>
        <w:t>incola</w:t>
      </w:r>
      <w:proofErr w:type="spellEnd"/>
      <w:r w:rsidR="006E48C3" w:rsidRPr="00A60CCD">
        <w:rPr>
          <w:rFonts w:eastAsiaTheme="minorHAnsi"/>
          <w:color w:val="auto"/>
          <w:szCs w:val="24"/>
          <w:lang w:val="en-ZA"/>
        </w:rPr>
        <w:t xml:space="preserve"> of this Court. (I will for purposes of this judgment refer to the applicant as ‘Mr Ben-</w:t>
      </w:r>
      <w:proofErr w:type="spellStart"/>
      <w:r w:rsidR="006E48C3" w:rsidRPr="00A60CCD">
        <w:rPr>
          <w:rFonts w:eastAsiaTheme="minorHAnsi"/>
          <w:color w:val="auto"/>
          <w:szCs w:val="24"/>
          <w:lang w:val="en-ZA"/>
        </w:rPr>
        <w:t>Tovim</w:t>
      </w:r>
      <w:proofErr w:type="spellEnd"/>
      <w:r w:rsidR="006E48C3" w:rsidRPr="00A60CCD">
        <w:rPr>
          <w:rFonts w:eastAsiaTheme="minorHAnsi"/>
          <w:color w:val="auto"/>
          <w:szCs w:val="24"/>
          <w:lang w:val="en-ZA"/>
        </w:rPr>
        <w:t xml:space="preserve">’). </w:t>
      </w:r>
    </w:p>
    <w:p w14:paraId="0C4E6507" w14:textId="77777777" w:rsidR="00F403F1" w:rsidRPr="00A60CCD" w:rsidRDefault="00F403F1" w:rsidP="00A60CCD">
      <w:pPr>
        <w:spacing w:after="0" w:line="360" w:lineRule="auto"/>
        <w:ind w:left="0" w:right="37" w:firstLine="0"/>
        <w:rPr>
          <w:rFonts w:eastAsiaTheme="minorHAnsi"/>
          <w:color w:val="auto"/>
          <w:szCs w:val="24"/>
          <w:lang w:val="en-ZA"/>
        </w:rPr>
      </w:pPr>
    </w:p>
    <w:p w14:paraId="36866F39" w14:textId="31DA1CFA" w:rsidR="00F403F1" w:rsidRPr="00A60CCD" w:rsidRDefault="00F403F1" w:rsidP="00A60CCD">
      <w:pPr>
        <w:spacing w:after="0" w:line="360" w:lineRule="auto"/>
        <w:ind w:left="0" w:right="37" w:firstLine="0"/>
        <w:rPr>
          <w:rFonts w:eastAsiaTheme="minorHAnsi"/>
          <w:color w:val="auto"/>
          <w:szCs w:val="24"/>
          <w:lang w:val="en-ZA"/>
        </w:rPr>
      </w:pPr>
      <w:r w:rsidRPr="00A60CCD">
        <w:rPr>
          <w:rFonts w:eastAsiaTheme="minorHAnsi"/>
          <w:color w:val="auto"/>
          <w:szCs w:val="24"/>
          <w:lang w:val="en-ZA"/>
        </w:rPr>
        <w:t>[</w:t>
      </w:r>
      <w:r w:rsidR="00A52038">
        <w:rPr>
          <w:rFonts w:eastAsiaTheme="minorHAnsi"/>
          <w:color w:val="auto"/>
          <w:szCs w:val="24"/>
          <w:lang w:val="en-ZA"/>
        </w:rPr>
        <w:t>3</w:t>
      </w:r>
      <w:r w:rsidRPr="00A60CCD">
        <w:rPr>
          <w:rFonts w:eastAsiaTheme="minorHAnsi"/>
          <w:color w:val="auto"/>
          <w:szCs w:val="24"/>
          <w:lang w:val="en-ZA"/>
        </w:rPr>
        <w:t>]</w:t>
      </w:r>
      <w:r w:rsidRPr="00A60CCD">
        <w:rPr>
          <w:rFonts w:eastAsiaTheme="minorHAnsi"/>
          <w:color w:val="auto"/>
          <w:szCs w:val="24"/>
          <w:lang w:val="en-ZA"/>
        </w:rPr>
        <w:tab/>
      </w:r>
      <w:r w:rsidR="00666945" w:rsidRPr="00A60CCD">
        <w:rPr>
          <w:rFonts w:eastAsiaTheme="minorHAnsi"/>
          <w:color w:val="auto"/>
          <w:szCs w:val="24"/>
          <w:lang w:val="en-ZA"/>
        </w:rPr>
        <w:t>The respondents</w:t>
      </w:r>
      <w:r w:rsidR="006E48C3" w:rsidRPr="00A60CCD">
        <w:rPr>
          <w:rFonts w:eastAsiaTheme="minorHAnsi"/>
          <w:color w:val="auto"/>
          <w:szCs w:val="24"/>
          <w:lang w:val="en-ZA"/>
        </w:rPr>
        <w:t xml:space="preserve">, </w:t>
      </w:r>
      <w:r w:rsidR="006E48C3" w:rsidRPr="00A60CCD">
        <w:rPr>
          <w:szCs w:val="24"/>
        </w:rPr>
        <w:t>in the application for security of costs</w:t>
      </w:r>
      <w:r w:rsidR="00A000AD" w:rsidRPr="00A60CCD">
        <w:rPr>
          <w:szCs w:val="24"/>
        </w:rPr>
        <w:t>,</w:t>
      </w:r>
      <w:r w:rsidR="006E48C3" w:rsidRPr="00A60CCD">
        <w:rPr>
          <w:szCs w:val="24"/>
        </w:rPr>
        <w:t xml:space="preserve"> </w:t>
      </w:r>
      <w:r w:rsidR="00666945" w:rsidRPr="00A60CCD">
        <w:rPr>
          <w:rFonts w:eastAsiaTheme="minorHAnsi"/>
          <w:color w:val="auto"/>
          <w:szCs w:val="24"/>
          <w:lang w:val="en-ZA"/>
        </w:rPr>
        <w:t>are Christopher Peter Van Zyl</w:t>
      </w:r>
      <w:r w:rsidR="00A000AD" w:rsidRPr="00A60CCD">
        <w:rPr>
          <w:rFonts w:eastAsiaTheme="minorHAnsi"/>
          <w:color w:val="auto"/>
          <w:szCs w:val="24"/>
          <w:lang w:val="en-ZA"/>
        </w:rPr>
        <w:t xml:space="preserve"> as first respondent</w:t>
      </w:r>
      <w:r w:rsidR="00666945" w:rsidRPr="00A60CCD">
        <w:rPr>
          <w:rFonts w:eastAsiaTheme="minorHAnsi"/>
          <w:color w:val="auto"/>
          <w:szCs w:val="24"/>
          <w:lang w:val="en-ZA"/>
        </w:rPr>
        <w:t xml:space="preserve">, Mr </w:t>
      </w:r>
      <w:proofErr w:type="spellStart"/>
      <w:r w:rsidR="00666945" w:rsidRPr="00A60CCD">
        <w:rPr>
          <w:rFonts w:eastAsiaTheme="minorHAnsi"/>
          <w:color w:val="auto"/>
          <w:szCs w:val="24"/>
          <w:lang w:val="en-ZA"/>
        </w:rPr>
        <w:t>Ryno</w:t>
      </w:r>
      <w:proofErr w:type="spellEnd"/>
      <w:r w:rsidR="00666945" w:rsidRPr="00A60CCD">
        <w:rPr>
          <w:rFonts w:eastAsiaTheme="minorHAnsi"/>
          <w:color w:val="auto"/>
          <w:szCs w:val="24"/>
          <w:lang w:val="en-ZA"/>
        </w:rPr>
        <w:t xml:space="preserve"> Engelbrecht</w:t>
      </w:r>
      <w:r w:rsidR="00A000AD" w:rsidRPr="00A60CCD">
        <w:rPr>
          <w:rFonts w:eastAsiaTheme="minorHAnsi"/>
          <w:color w:val="auto"/>
          <w:szCs w:val="24"/>
          <w:lang w:val="en-ZA"/>
        </w:rPr>
        <w:t xml:space="preserve"> as second respondent</w:t>
      </w:r>
      <w:r w:rsidR="00666945" w:rsidRPr="00A60CCD">
        <w:rPr>
          <w:rFonts w:eastAsiaTheme="minorHAnsi"/>
          <w:color w:val="auto"/>
          <w:szCs w:val="24"/>
          <w:lang w:val="en-ZA"/>
        </w:rPr>
        <w:t xml:space="preserve"> and Mr Eugene Januarie</w:t>
      </w:r>
      <w:r w:rsidR="0087242A">
        <w:rPr>
          <w:rFonts w:eastAsiaTheme="minorHAnsi"/>
          <w:color w:val="auto"/>
          <w:szCs w:val="24"/>
          <w:lang w:val="en-ZA"/>
        </w:rPr>
        <w:t xml:space="preserve"> as the third respondent</w:t>
      </w:r>
      <w:r w:rsidR="00666945" w:rsidRPr="00A60CCD">
        <w:rPr>
          <w:rFonts w:eastAsiaTheme="minorHAnsi"/>
          <w:color w:val="auto"/>
          <w:szCs w:val="24"/>
          <w:lang w:val="en-ZA"/>
        </w:rPr>
        <w:t xml:space="preserve">. The respondents </w:t>
      </w:r>
      <w:r w:rsidR="00A000AD" w:rsidRPr="00A60CCD">
        <w:rPr>
          <w:rFonts w:eastAsiaTheme="minorHAnsi"/>
          <w:color w:val="auto"/>
          <w:szCs w:val="24"/>
          <w:lang w:val="en-ZA"/>
        </w:rPr>
        <w:t>are</w:t>
      </w:r>
      <w:r w:rsidR="00666945" w:rsidRPr="00A60CCD">
        <w:rPr>
          <w:rFonts w:eastAsiaTheme="minorHAnsi"/>
          <w:color w:val="auto"/>
          <w:szCs w:val="24"/>
          <w:lang w:val="en-ZA"/>
        </w:rPr>
        <w:t xml:space="preserve"> all </w:t>
      </w:r>
      <w:r w:rsidR="00A000AD" w:rsidRPr="00A60CCD">
        <w:rPr>
          <w:rFonts w:eastAsiaTheme="minorHAnsi"/>
          <w:color w:val="auto"/>
          <w:szCs w:val="24"/>
          <w:lang w:val="en-ZA"/>
        </w:rPr>
        <w:t xml:space="preserve">adult male insolvency practitioners practicing under the name and style of </w:t>
      </w:r>
      <w:proofErr w:type="spellStart"/>
      <w:r w:rsidR="00A000AD" w:rsidRPr="00A60CCD">
        <w:rPr>
          <w:rFonts w:eastAsiaTheme="minorHAnsi"/>
          <w:color w:val="auto"/>
          <w:szCs w:val="24"/>
          <w:lang w:val="en-ZA"/>
        </w:rPr>
        <w:t>Mazars</w:t>
      </w:r>
      <w:proofErr w:type="spellEnd"/>
      <w:r w:rsidR="00A000AD" w:rsidRPr="00A60CCD">
        <w:rPr>
          <w:rFonts w:eastAsiaTheme="minorHAnsi"/>
          <w:color w:val="auto"/>
          <w:szCs w:val="24"/>
          <w:lang w:val="en-ZA"/>
        </w:rPr>
        <w:t xml:space="preserve"> Recovery and Restructuring, at </w:t>
      </w:r>
      <w:proofErr w:type="spellStart"/>
      <w:r w:rsidR="00A000AD" w:rsidRPr="00A60CCD">
        <w:rPr>
          <w:rFonts w:eastAsiaTheme="minorHAnsi"/>
          <w:color w:val="auto"/>
          <w:szCs w:val="24"/>
          <w:lang w:val="en-ZA"/>
        </w:rPr>
        <w:t>Mazars</w:t>
      </w:r>
      <w:proofErr w:type="spellEnd"/>
      <w:r w:rsidR="00A000AD" w:rsidRPr="00A60CCD">
        <w:rPr>
          <w:rFonts w:eastAsiaTheme="minorHAnsi"/>
          <w:color w:val="auto"/>
          <w:szCs w:val="24"/>
          <w:lang w:val="en-ZA"/>
        </w:rPr>
        <w:t xml:space="preserve"> House, </w:t>
      </w:r>
      <w:proofErr w:type="spellStart"/>
      <w:r w:rsidR="00A000AD" w:rsidRPr="00A60CCD">
        <w:rPr>
          <w:rFonts w:eastAsiaTheme="minorHAnsi"/>
          <w:color w:val="auto"/>
          <w:szCs w:val="24"/>
          <w:lang w:val="en-ZA"/>
        </w:rPr>
        <w:t>Railto</w:t>
      </w:r>
      <w:proofErr w:type="spellEnd"/>
      <w:r w:rsidR="00A000AD" w:rsidRPr="00A60CCD">
        <w:rPr>
          <w:rFonts w:eastAsiaTheme="minorHAnsi"/>
          <w:color w:val="auto"/>
          <w:szCs w:val="24"/>
          <w:lang w:val="en-ZA"/>
        </w:rPr>
        <w:t xml:space="preserve"> Road, Century City, Cape Town, Western Cape</w:t>
      </w:r>
      <w:r w:rsidR="0087242A">
        <w:rPr>
          <w:rFonts w:eastAsiaTheme="minorHAnsi"/>
          <w:color w:val="auto"/>
          <w:szCs w:val="24"/>
          <w:lang w:val="en-ZA"/>
        </w:rPr>
        <w:t>,</w:t>
      </w:r>
      <w:r w:rsidR="00A000AD" w:rsidRPr="00A60CCD">
        <w:rPr>
          <w:rFonts w:eastAsiaTheme="minorHAnsi"/>
          <w:color w:val="auto"/>
          <w:szCs w:val="24"/>
          <w:lang w:val="en-ZA"/>
        </w:rPr>
        <w:t xml:space="preserve"> </w:t>
      </w:r>
      <w:proofErr w:type="gramStart"/>
      <w:r w:rsidR="00A000AD" w:rsidRPr="00A60CCD">
        <w:rPr>
          <w:rFonts w:eastAsiaTheme="minorHAnsi"/>
          <w:color w:val="auto"/>
          <w:szCs w:val="24"/>
          <w:lang w:val="en-ZA"/>
        </w:rPr>
        <w:t>Republic</w:t>
      </w:r>
      <w:proofErr w:type="gramEnd"/>
      <w:r w:rsidR="00A000AD" w:rsidRPr="00A60CCD">
        <w:rPr>
          <w:rFonts w:eastAsiaTheme="minorHAnsi"/>
          <w:color w:val="auto"/>
          <w:szCs w:val="24"/>
          <w:lang w:val="en-ZA"/>
        </w:rPr>
        <w:t xml:space="preserve"> of South Africa. The respondents were appointed</w:t>
      </w:r>
      <w:r w:rsidR="00666945" w:rsidRPr="00A60CCD">
        <w:rPr>
          <w:rFonts w:eastAsiaTheme="minorHAnsi"/>
          <w:color w:val="auto"/>
          <w:szCs w:val="24"/>
          <w:lang w:val="en-ZA"/>
        </w:rPr>
        <w:t xml:space="preserve"> liquidators of </w:t>
      </w:r>
      <w:proofErr w:type="spellStart"/>
      <w:r w:rsidR="00666945" w:rsidRPr="00A60CCD">
        <w:rPr>
          <w:rFonts w:eastAsiaTheme="minorHAnsi"/>
          <w:color w:val="auto"/>
          <w:szCs w:val="24"/>
          <w:lang w:val="en-ZA"/>
        </w:rPr>
        <w:t>Greencoal</w:t>
      </w:r>
      <w:proofErr w:type="spellEnd"/>
      <w:r w:rsidR="00666945" w:rsidRPr="00A60CCD">
        <w:rPr>
          <w:rFonts w:eastAsiaTheme="minorHAnsi"/>
          <w:color w:val="auto"/>
          <w:szCs w:val="24"/>
          <w:lang w:val="en-ZA"/>
        </w:rPr>
        <w:t xml:space="preserve"> Holdings</w:t>
      </w:r>
      <w:r w:rsidR="0075394A" w:rsidRPr="00A60CCD">
        <w:rPr>
          <w:rFonts w:eastAsiaTheme="minorHAnsi"/>
          <w:color w:val="auto"/>
          <w:szCs w:val="24"/>
          <w:lang w:val="en-ZA"/>
        </w:rPr>
        <w:t xml:space="preserve"> </w:t>
      </w:r>
      <w:r w:rsidR="0013048E">
        <w:rPr>
          <w:rFonts w:eastAsiaTheme="minorHAnsi"/>
          <w:color w:val="auto"/>
          <w:szCs w:val="24"/>
          <w:lang w:val="en-ZA"/>
        </w:rPr>
        <w:t xml:space="preserve">(Pty) Ltd, </w:t>
      </w:r>
      <w:r w:rsidR="0075394A" w:rsidRPr="00A60CCD">
        <w:rPr>
          <w:rFonts w:eastAsiaTheme="minorHAnsi"/>
          <w:color w:val="auto"/>
          <w:szCs w:val="24"/>
          <w:lang w:val="en-ZA"/>
        </w:rPr>
        <w:t xml:space="preserve">a company with limited liability incorporated in accordance with the company laws of the Republic of South Africa. </w:t>
      </w:r>
      <w:r w:rsidR="005D73D4" w:rsidRPr="00A60CCD">
        <w:rPr>
          <w:rFonts w:eastAsiaTheme="minorHAnsi"/>
          <w:color w:val="auto"/>
          <w:szCs w:val="24"/>
          <w:lang w:val="en-ZA"/>
        </w:rPr>
        <w:t xml:space="preserve">I will for purposes of this judgment refer to the respondents jointly as ‘the respondents’. </w:t>
      </w:r>
    </w:p>
    <w:p w14:paraId="5E65A197" w14:textId="77777777" w:rsidR="00F403F1" w:rsidRPr="00A60CCD" w:rsidRDefault="00F403F1" w:rsidP="00A60CCD">
      <w:pPr>
        <w:spacing w:after="0" w:line="360" w:lineRule="auto"/>
        <w:ind w:left="0" w:right="37" w:firstLine="0"/>
        <w:rPr>
          <w:rFonts w:eastAsiaTheme="minorHAnsi"/>
          <w:color w:val="auto"/>
          <w:szCs w:val="24"/>
          <w:lang w:val="en-ZA"/>
        </w:rPr>
      </w:pPr>
    </w:p>
    <w:p w14:paraId="7BF50D6C" w14:textId="77777777" w:rsidR="00FC6237" w:rsidRPr="00A60CCD" w:rsidRDefault="00FC6237" w:rsidP="00A60CCD">
      <w:pPr>
        <w:spacing w:after="0" w:line="360" w:lineRule="auto"/>
        <w:ind w:left="0" w:right="37" w:firstLine="0"/>
        <w:rPr>
          <w:rFonts w:eastAsiaTheme="minorHAnsi"/>
          <w:color w:val="auto"/>
          <w:szCs w:val="24"/>
          <w:u w:val="single"/>
          <w:lang w:val="en-ZA"/>
        </w:rPr>
      </w:pPr>
      <w:r w:rsidRPr="00A60CCD">
        <w:rPr>
          <w:rFonts w:eastAsiaTheme="minorHAnsi"/>
          <w:color w:val="auto"/>
          <w:szCs w:val="24"/>
          <w:u w:val="single"/>
          <w:lang w:val="en-ZA"/>
        </w:rPr>
        <w:t xml:space="preserve">The Background to this application </w:t>
      </w:r>
    </w:p>
    <w:p w14:paraId="0310D3D6" w14:textId="77777777" w:rsidR="00FC6237" w:rsidRPr="00A60CCD" w:rsidRDefault="00FC6237" w:rsidP="003E5D75">
      <w:pPr>
        <w:spacing w:after="0" w:line="360" w:lineRule="auto"/>
        <w:ind w:left="0" w:right="14" w:firstLine="0"/>
        <w:rPr>
          <w:rFonts w:eastAsiaTheme="minorHAnsi"/>
          <w:color w:val="auto"/>
          <w:szCs w:val="24"/>
          <w:lang w:val="en-ZA"/>
        </w:rPr>
      </w:pPr>
    </w:p>
    <w:p w14:paraId="379B65ED" w14:textId="620B641F" w:rsidR="00B70ED0" w:rsidRPr="00A60CCD" w:rsidRDefault="00F403F1" w:rsidP="00A60CCD">
      <w:pPr>
        <w:spacing w:after="0" w:line="360" w:lineRule="auto"/>
        <w:ind w:left="0" w:right="37" w:firstLine="0"/>
        <w:rPr>
          <w:rFonts w:eastAsiaTheme="minorHAnsi"/>
          <w:color w:val="auto"/>
          <w:szCs w:val="24"/>
          <w:lang w:val="en-ZA"/>
        </w:rPr>
      </w:pPr>
      <w:r w:rsidRPr="00A60CCD">
        <w:rPr>
          <w:rFonts w:eastAsiaTheme="minorHAnsi"/>
          <w:color w:val="auto"/>
          <w:szCs w:val="24"/>
          <w:lang w:val="en-ZA"/>
        </w:rPr>
        <w:t>[</w:t>
      </w:r>
      <w:r w:rsidR="00A52038">
        <w:rPr>
          <w:rFonts w:eastAsiaTheme="minorHAnsi"/>
          <w:color w:val="auto"/>
          <w:szCs w:val="24"/>
          <w:lang w:val="en-ZA"/>
        </w:rPr>
        <w:t>4</w:t>
      </w:r>
      <w:r w:rsidRPr="00A60CCD">
        <w:rPr>
          <w:rFonts w:eastAsiaTheme="minorHAnsi"/>
          <w:color w:val="auto"/>
          <w:szCs w:val="24"/>
          <w:lang w:val="en-ZA"/>
        </w:rPr>
        <w:t>]</w:t>
      </w:r>
      <w:r w:rsidRPr="00A60CCD">
        <w:rPr>
          <w:rFonts w:eastAsiaTheme="minorHAnsi"/>
          <w:color w:val="auto"/>
          <w:szCs w:val="24"/>
          <w:lang w:val="en-ZA"/>
        </w:rPr>
        <w:tab/>
      </w:r>
      <w:r w:rsidR="00B70ED0" w:rsidRPr="00A60CCD">
        <w:rPr>
          <w:rFonts w:eastAsiaTheme="minorHAnsi"/>
          <w:color w:val="auto"/>
          <w:szCs w:val="24"/>
          <w:lang w:val="en-ZA"/>
        </w:rPr>
        <w:t xml:space="preserve">A brief background of this matter is this. </w:t>
      </w:r>
      <w:r w:rsidR="00666945" w:rsidRPr="00A60CCD">
        <w:rPr>
          <w:rFonts w:eastAsiaTheme="minorHAnsi"/>
          <w:color w:val="auto"/>
          <w:szCs w:val="24"/>
          <w:lang w:val="en-ZA"/>
        </w:rPr>
        <w:t>The respondents</w:t>
      </w:r>
      <w:r w:rsidR="00B70ED0" w:rsidRPr="00A60CCD">
        <w:rPr>
          <w:rFonts w:eastAsiaTheme="minorHAnsi"/>
          <w:color w:val="auto"/>
          <w:szCs w:val="24"/>
          <w:lang w:val="en-ZA"/>
        </w:rPr>
        <w:t>, as applicants,</w:t>
      </w:r>
      <w:r w:rsidR="00BD5E9F" w:rsidRPr="00A60CCD">
        <w:rPr>
          <w:rFonts w:eastAsiaTheme="minorHAnsi"/>
          <w:color w:val="auto"/>
          <w:szCs w:val="24"/>
          <w:lang w:val="en-ZA"/>
        </w:rPr>
        <w:t xml:space="preserve"> commenced proceedings</w:t>
      </w:r>
      <w:r w:rsidR="00B70ED0" w:rsidRPr="00A60CCD">
        <w:rPr>
          <w:rFonts w:eastAsiaTheme="minorHAnsi"/>
          <w:color w:val="auto"/>
          <w:szCs w:val="24"/>
          <w:lang w:val="en-ZA"/>
        </w:rPr>
        <w:t xml:space="preserve"> in this Court on</w:t>
      </w:r>
      <w:r w:rsidR="00BD5E9F" w:rsidRPr="00A60CCD">
        <w:rPr>
          <w:rFonts w:eastAsiaTheme="minorHAnsi"/>
          <w:color w:val="auto"/>
          <w:szCs w:val="24"/>
          <w:lang w:val="en-ZA"/>
        </w:rPr>
        <w:t xml:space="preserve"> 13 October 2016</w:t>
      </w:r>
      <w:r w:rsidR="00B70ED0" w:rsidRPr="00A60CCD">
        <w:rPr>
          <w:rFonts w:eastAsiaTheme="minorHAnsi"/>
          <w:color w:val="auto"/>
          <w:szCs w:val="24"/>
          <w:lang w:val="en-ZA"/>
        </w:rPr>
        <w:t xml:space="preserve"> in terms of which they sought the</w:t>
      </w:r>
      <w:r w:rsidR="0087242A">
        <w:rPr>
          <w:rFonts w:eastAsiaTheme="minorHAnsi"/>
          <w:color w:val="auto"/>
          <w:szCs w:val="24"/>
          <w:lang w:val="en-ZA"/>
        </w:rPr>
        <w:t xml:space="preserve"> provisional</w:t>
      </w:r>
      <w:r w:rsidR="0075394A" w:rsidRPr="00A60CCD">
        <w:rPr>
          <w:rFonts w:eastAsiaTheme="minorHAnsi"/>
          <w:color w:val="auto"/>
          <w:szCs w:val="24"/>
          <w:lang w:val="en-ZA"/>
        </w:rPr>
        <w:t xml:space="preserve"> </w:t>
      </w:r>
      <w:r w:rsidR="00B70ED0" w:rsidRPr="00A60CCD">
        <w:rPr>
          <w:rFonts w:eastAsiaTheme="minorHAnsi"/>
          <w:color w:val="auto"/>
          <w:szCs w:val="24"/>
          <w:lang w:val="en-ZA"/>
        </w:rPr>
        <w:t xml:space="preserve">sequestration of </w:t>
      </w:r>
      <w:r w:rsidR="0013048E">
        <w:rPr>
          <w:szCs w:val="24"/>
        </w:rPr>
        <w:t xml:space="preserve">Mr. </w:t>
      </w:r>
      <w:r w:rsidR="00A52038">
        <w:rPr>
          <w:rFonts w:eastAsiaTheme="minorHAnsi"/>
          <w:color w:val="auto"/>
          <w:szCs w:val="24"/>
          <w:lang w:val="en-ZA"/>
        </w:rPr>
        <w:t>Ben-</w:t>
      </w:r>
      <w:proofErr w:type="spellStart"/>
      <w:r w:rsidR="00A52038">
        <w:rPr>
          <w:rFonts w:eastAsiaTheme="minorHAnsi"/>
          <w:color w:val="auto"/>
          <w:szCs w:val="24"/>
          <w:lang w:val="en-ZA"/>
        </w:rPr>
        <w:t>Tovim</w:t>
      </w:r>
      <w:proofErr w:type="spellEnd"/>
      <w:r w:rsidR="00B70ED0" w:rsidRPr="00A60CCD">
        <w:rPr>
          <w:rFonts w:eastAsiaTheme="minorHAnsi"/>
          <w:color w:val="auto"/>
          <w:szCs w:val="24"/>
          <w:lang w:val="en-ZA"/>
        </w:rPr>
        <w:t xml:space="preserve">, as respondent in that application, </w:t>
      </w:r>
      <w:r w:rsidR="0075394A" w:rsidRPr="00A60CCD">
        <w:rPr>
          <w:rFonts w:eastAsiaTheme="minorHAnsi"/>
          <w:color w:val="auto"/>
          <w:szCs w:val="24"/>
          <w:lang w:val="en-ZA"/>
        </w:rPr>
        <w:t xml:space="preserve">and the </w:t>
      </w:r>
      <w:r w:rsidR="00B70ED0" w:rsidRPr="00A60CCD">
        <w:rPr>
          <w:rFonts w:eastAsiaTheme="minorHAnsi"/>
          <w:color w:val="auto"/>
          <w:szCs w:val="24"/>
          <w:lang w:val="en-ZA"/>
        </w:rPr>
        <w:t xml:space="preserve">placing of his assets </w:t>
      </w:r>
      <w:r w:rsidR="0075394A" w:rsidRPr="00A60CCD">
        <w:rPr>
          <w:rFonts w:eastAsiaTheme="minorHAnsi"/>
          <w:color w:val="auto"/>
          <w:szCs w:val="24"/>
          <w:lang w:val="en-ZA"/>
        </w:rPr>
        <w:t>in the hands of the Master of the High Court.</w:t>
      </w:r>
      <w:r w:rsidR="00B70ED0" w:rsidRPr="00A60CCD">
        <w:rPr>
          <w:rFonts w:eastAsiaTheme="minorHAnsi"/>
          <w:color w:val="auto"/>
          <w:szCs w:val="24"/>
          <w:lang w:val="en-ZA"/>
        </w:rPr>
        <w:t xml:space="preserve"> </w:t>
      </w:r>
      <w:r w:rsidR="00BD5E9F" w:rsidRPr="00A60CCD">
        <w:rPr>
          <w:rFonts w:eastAsiaTheme="minorHAnsi"/>
          <w:color w:val="auto"/>
          <w:szCs w:val="24"/>
          <w:lang w:val="en-ZA"/>
        </w:rPr>
        <w:t xml:space="preserve">On 28 November 2016 </w:t>
      </w:r>
      <w:r w:rsidR="0013048E">
        <w:rPr>
          <w:szCs w:val="24"/>
        </w:rPr>
        <w:t xml:space="preserve">Mr. </w:t>
      </w:r>
      <w:r w:rsidR="00B87FA7">
        <w:rPr>
          <w:rFonts w:eastAsiaTheme="minorHAnsi"/>
          <w:color w:val="auto"/>
          <w:szCs w:val="24"/>
          <w:lang w:val="en-ZA"/>
        </w:rPr>
        <w:t>Ben</w:t>
      </w:r>
      <w:r w:rsidR="00BD5E9F" w:rsidRPr="00A60CCD">
        <w:rPr>
          <w:rFonts w:eastAsiaTheme="minorHAnsi"/>
          <w:color w:val="auto"/>
          <w:szCs w:val="24"/>
          <w:lang w:val="en-ZA"/>
        </w:rPr>
        <w:t>–</w:t>
      </w:r>
      <w:proofErr w:type="spellStart"/>
      <w:r w:rsidR="00BD5E9F" w:rsidRPr="00A60CCD">
        <w:rPr>
          <w:rFonts w:eastAsiaTheme="minorHAnsi"/>
          <w:color w:val="auto"/>
          <w:szCs w:val="24"/>
          <w:lang w:val="en-ZA"/>
        </w:rPr>
        <w:t>Tovim</w:t>
      </w:r>
      <w:proofErr w:type="spellEnd"/>
      <w:r w:rsidR="00BD5E9F" w:rsidRPr="00A60CCD">
        <w:rPr>
          <w:rFonts w:eastAsiaTheme="minorHAnsi"/>
          <w:color w:val="auto"/>
          <w:szCs w:val="24"/>
          <w:lang w:val="en-ZA"/>
        </w:rPr>
        <w:t xml:space="preserve"> gave notice that he will oppose the applicants</w:t>
      </w:r>
      <w:r w:rsidR="007F1838" w:rsidRPr="00A60CCD">
        <w:rPr>
          <w:rFonts w:eastAsiaTheme="minorHAnsi"/>
          <w:color w:val="auto"/>
          <w:szCs w:val="24"/>
          <w:lang w:val="en-ZA"/>
        </w:rPr>
        <w:t>’</w:t>
      </w:r>
      <w:r w:rsidR="00BD5E9F" w:rsidRPr="00A60CCD">
        <w:rPr>
          <w:rFonts w:eastAsiaTheme="minorHAnsi"/>
          <w:color w:val="auto"/>
          <w:szCs w:val="24"/>
          <w:lang w:val="en-ZA"/>
        </w:rPr>
        <w:t xml:space="preserve"> application. </w:t>
      </w:r>
      <w:r w:rsidR="00B70ED0" w:rsidRPr="00A60CCD">
        <w:rPr>
          <w:rFonts w:eastAsiaTheme="minorHAnsi"/>
          <w:color w:val="auto"/>
          <w:szCs w:val="24"/>
          <w:lang w:val="en-ZA"/>
        </w:rPr>
        <w:t xml:space="preserve"> When he filed his notice of intention to oppose the application for the sequestration of his estate, </w:t>
      </w:r>
      <w:r w:rsidR="0013048E">
        <w:rPr>
          <w:szCs w:val="24"/>
        </w:rPr>
        <w:t xml:space="preserve">Mr. </w:t>
      </w:r>
      <w:r w:rsidR="00B87FA7">
        <w:rPr>
          <w:rFonts w:eastAsiaTheme="minorHAnsi"/>
          <w:color w:val="auto"/>
          <w:szCs w:val="24"/>
          <w:lang w:val="en-ZA"/>
        </w:rPr>
        <w:t>Ben</w:t>
      </w:r>
      <w:r w:rsidR="00B70ED0" w:rsidRPr="00A60CCD">
        <w:rPr>
          <w:rFonts w:eastAsiaTheme="minorHAnsi"/>
          <w:color w:val="auto"/>
          <w:szCs w:val="24"/>
          <w:lang w:val="en-ZA"/>
        </w:rPr>
        <w:t>–</w:t>
      </w:r>
      <w:proofErr w:type="spellStart"/>
      <w:r w:rsidR="00B70ED0" w:rsidRPr="00A60CCD">
        <w:rPr>
          <w:rFonts w:eastAsiaTheme="minorHAnsi"/>
          <w:color w:val="auto"/>
          <w:szCs w:val="24"/>
          <w:lang w:val="en-ZA"/>
        </w:rPr>
        <w:t>Tovim</w:t>
      </w:r>
      <w:proofErr w:type="spellEnd"/>
      <w:r w:rsidR="00B70ED0" w:rsidRPr="00A60CCD">
        <w:rPr>
          <w:rFonts w:eastAsiaTheme="minorHAnsi"/>
          <w:color w:val="auto"/>
          <w:szCs w:val="24"/>
          <w:lang w:val="en-ZA"/>
        </w:rPr>
        <w:t xml:space="preserve"> was </w:t>
      </w:r>
      <w:r w:rsidR="00465AE7" w:rsidRPr="00A60CCD">
        <w:rPr>
          <w:rFonts w:eastAsiaTheme="minorHAnsi"/>
          <w:color w:val="auto"/>
          <w:szCs w:val="24"/>
          <w:lang w:val="en-ZA"/>
        </w:rPr>
        <w:t>represented</w:t>
      </w:r>
      <w:r w:rsidR="00B70ED0" w:rsidRPr="00A60CCD">
        <w:rPr>
          <w:rFonts w:eastAsiaTheme="minorHAnsi"/>
          <w:color w:val="auto"/>
          <w:szCs w:val="24"/>
          <w:lang w:val="en-ZA"/>
        </w:rPr>
        <w:t xml:space="preserve"> </w:t>
      </w:r>
      <w:r w:rsidR="00465AE7" w:rsidRPr="00A60CCD">
        <w:rPr>
          <w:rFonts w:eastAsiaTheme="minorHAnsi"/>
          <w:color w:val="auto"/>
          <w:szCs w:val="24"/>
          <w:lang w:val="en-ZA"/>
        </w:rPr>
        <w:t>by</w:t>
      </w:r>
      <w:r w:rsidR="00B70ED0" w:rsidRPr="00A60CCD">
        <w:rPr>
          <w:rFonts w:eastAsiaTheme="minorHAnsi"/>
          <w:color w:val="auto"/>
          <w:szCs w:val="24"/>
          <w:lang w:val="en-ZA"/>
        </w:rPr>
        <w:t xml:space="preserve"> the law </w:t>
      </w:r>
      <w:r w:rsidR="00465AE7" w:rsidRPr="00A60CCD">
        <w:rPr>
          <w:rFonts w:eastAsiaTheme="minorHAnsi"/>
          <w:color w:val="auto"/>
          <w:szCs w:val="24"/>
          <w:lang w:val="en-ZA"/>
        </w:rPr>
        <w:t xml:space="preserve">firm Francois Erasmus &amp; Partners. </w:t>
      </w:r>
      <w:r w:rsidR="00B70ED0" w:rsidRPr="00A60CCD">
        <w:rPr>
          <w:rFonts w:eastAsiaTheme="minorHAnsi"/>
          <w:color w:val="auto"/>
          <w:szCs w:val="24"/>
          <w:lang w:val="en-ZA"/>
        </w:rPr>
        <w:t xml:space="preserve"> </w:t>
      </w:r>
    </w:p>
    <w:p w14:paraId="5FA1FCE1" w14:textId="77777777" w:rsidR="00B70ED0" w:rsidRPr="00A60CCD" w:rsidRDefault="00B70ED0" w:rsidP="00A60CCD">
      <w:pPr>
        <w:spacing w:after="0" w:line="360" w:lineRule="auto"/>
        <w:ind w:left="0" w:right="37" w:firstLine="0"/>
        <w:rPr>
          <w:rFonts w:eastAsiaTheme="minorHAnsi"/>
          <w:color w:val="auto"/>
          <w:szCs w:val="24"/>
          <w:lang w:val="en-ZA"/>
        </w:rPr>
      </w:pPr>
    </w:p>
    <w:p w14:paraId="646F3507" w14:textId="3E2A2CBB" w:rsidR="00F403F1" w:rsidRPr="00A60CCD" w:rsidRDefault="00B70ED0" w:rsidP="00A60CCD">
      <w:pPr>
        <w:spacing w:after="0" w:line="360" w:lineRule="auto"/>
        <w:ind w:left="0" w:right="37" w:firstLine="0"/>
        <w:rPr>
          <w:rFonts w:eastAsiaTheme="minorHAnsi"/>
          <w:color w:val="auto"/>
          <w:szCs w:val="24"/>
          <w:lang w:val="en-ZA"/>
        </w:rPr>
      </w:pPr>
      <w:r w:rsidRPr="00A60CCD">
        <w:rPr>
          <w:rFonts w:eastAsiaTheme="minorHAnsi"/>
          <w:color w:val="auto"/>
          <w:szCs w:val="24"/>
          <w:lang w:val="en-ZA"/>
        </w:rPr>
        <w:t>[</w:t>
      </w:r>
      <w:r w:rsidR="00A52038">
        <w:rPr>
          <w:rFonts w:eastAsiaTheme="minorHAnsi"/>
          <w:color w:val="auto"/>
          <w:szCs w:val="24"/>
          <w:lang w:val="en-ZA"/>
        </w:rPr>
        <w:t>5</w:t>
      </w:r>
      <w:r w:rsidRPr="00A60CCD">
        <w:rPr>
          <w:rFonts w:eastAsiaTheme="minorHAnsi"/>
          <w:color w:val="auto"/>
          <w:szCs w:val="24"/>
          <w:lang w:val="en-ZA"/>
        </w:rPr>
        <w:t>]</w:t>
      </w:r>
      <w:r w:rsidRPr="00A60CCD">
        <w:rPr>
          <w:rFonts w:eastAsiaTheme="minorHAnsi"/>
          <w:color w:val="auto"/>
          <w:szCs w:val="24"/>
          <w:lang w:val="en-ZA"/>
        </w:rPr>
        <w:tab/>
      </w:r>
      <w:r w:rsidR="00465AE7" w:rsidRPr="00A60CCD">
        <w:rPr>
          <w:rFonts w:eastAsiaTheme="minorHAnsi"/>
          <w:color w:val="auto"/>
          <w:szCs w:val="24"/>
          <w:lang w:val="en-ZA"/>
        </w:rPr>
        <w:t xml:space="preserve">The matter was docket allocated to me during January 2017 and I case managed the matter for the period between February 2017 </w:t>
      </w:r>
      <w:r w:rsidRPr="00A60CCD">
        <w:rPr>
          <w:rFonts w:eastAsiaTheme="minorHAnsi"/>
          <w:color w:val="auto"/>
          <w:szCs w:val="24"/>
          <w:lang w:val="en-ZA"/>
        </w:rPr>
        <w:t>and November 2017</w:t>
      </w:r>
      <w:r w:rsidR="00465AE7" w:rsidRPr="00A60CCD">
        <w:rPr>
          <w:rFonts w:eastAsiaTheme="minorHAnsi"/>
          <w:color w:val="auto"/>
          <w:szCs w:val="24"/>
          <w:lang w:val="en-ZA"/>
        </w:rPr>
        <w:t xml:space="preserve">. During </w:t>
      </w:r>
      <w:r w:rsidR="008E3F5D" w:rsidRPr="00A60CCD">
        <w:rPr>
          <w:rFonts w:eastAsiaTheme="minorHAnsi"/>
          <w:color w:val="auto"/>
          <w:szCs w:val="24"/>
          <w:lang w:val="en-ZA"/>
        </w:rPr>
        <w:t xml:space="preserve">one of the case management conferences that was held during </w:t>
      </w:r>
      <w:r w:rsidR="00465AE7" w:rsidRPr="00A60CCD">
        <w:rPr>
          <w:rFonts w:eastAsiaTheme="minorHAnsi"/>
          <w:color w:val="auto"/>
          <w:szCs w:val="24"/>
          <w:lang w:val="en-ZA"/>
        </w:rPr>
        <w:t>that period, that is February 2017 to November 2017</w:t>
      </w:r>
      <w:r w:rsidR="008E3F5D" w:rsidRPr="00A60CCD">
        <w:rPr>
          <w:rFonts w:eastAsiaTheme="minorHAnsi"/>
          <w:color w:val="auto"/>
          <w:szCs w:val="24"/>
          <w:lang w:val="en-ZA"/>
        </w:rPr>
        <w:t xml:space="preserve">, </w:t>
      </w:r>
      <w:r w:rsidR="0013048E">
        <w:rPr>
          <w:szCs w:val="24"/>
        </w:rPr>
        <w:t xml:space="preserve">Mr. </w:t>
      </w:r>
      <w:r w:rsidR="00B87FA7">
        <w:rPr>
          <w:rFonts w:eastAsiaTheme="minorHAnsi"/>
          <w:color w:val="auto"/>
          <w:szCs w:val="24"/>
          <w:lang w:val="en-ZA"/>
        </w:rPr>
        <w:t>Ben–</w:t>
      </w:r>
      <w:proofErr w:type="spellStart"/>
      <w:r w:rsidR="008E3F5D" w:rsidRPr="00A60CCD">
        <w:rPr>
          <w:rFonts w:eastAsiaTheme="minorHAnsi"/>
          <w:color w:val="auto"/>
          <w:szCs w:val="24"/>
          <w:lang w:val="en-ZA"/>
        </w:rPr>
        <w:t>Tovim</w:t>
      </w:r>
      <w:proofErr w:type="spellEnd"/>
      <w:r w:rsidR="008E3F5D" w:rsidRPr="00A60CCD">
        <w:rPr>
          <w:rFonts w:eastAsiaTheme="minorHAnsi"/>
          <w:color w:val="auto"/>
          <w:szCs w:val="24"/>
          <w:lang w:val="en-ZA"/>
        </w:rPr>
        <w:t xml:space="preserve"> made the allegations that prior to the sequestration application he was married in </w:t>
      </w:r>
      <w:r w:rsidR="00F100ED" w:rsidRPr="00A60CCD">
        <w:rPr>
          <w:rFonts w:eastAsiaTheme="minorHAnsi"/>
          <w:color w:val="auto"/>
          <w:szCs w:val="24"/>
          <w:lang w:val="en-ZA"/>
        </w:rPr>
        <w:t xml:space="preserve">community of property </w:t>
      </w:r>
      <w:r w:rsidR="0013048E">
        <w:rPr>
          <w:rFonts w:eastAsiaTheme="minorHAnsi"/>
          <w:color w:val="auto"/>
          <w:szCs w:val="24"/>
          <w:lang w:val="en-ZA"/>
        </w:rPr>
        <w:t>to a certain Sarah Ben-</w:t>
      </w:r>
      <w:proofErr w:type="spellStart"/>
      <w:r w:rsidR="008E3F5D" w:rsidRPr="00A60CCD">
        <w:rPr>
          <w:rFonts w:eastAsiaTheme="minorHAnsi"/>
          <w:color w:val="auto"/>
          <w:szCs w:val="24"/>
          <w:lang w:val="en-ZA"/>
        </w:rPr>
        <w:t>Tovim</w:t>
      </w:r>
      <w:proofErr w:type="spellEnd"/>
      <w:r w:rsidR="008E3F5D" w:rsidRPr="00A60CCD">
        <w:rPr>
          <w:rFonts w:eastAsiaTheme="minorHAnsi"/>
          <w:color w:val="auto"/>
          <w:szCs w:val="24"/>
          <w:lang w:val="en-ZA"/>
        </w:rPr>
        <w:t xml:space="preserve">. This </w:t>
      </w:r>
      <w:r w:rsidR="00F100ED" w:rsidRPr="00A60CCD">
        <w:rPr>
          <w:rFonts w:eastAsiaTheme="minorHAnsi"/>
          <w:color w:val="auto"/>
          <w:szCs w:val="24"/>
          <w:lang w:val="en-ZA"/>
        </w:rPr>
        <w:t>allegation</w:t>
      </w:r>
      <w:r w:rsidR="008E3F5D" w:rsidRPr="00A60CCD">
        <w:rPr>
          <w:rFonts w:eastAsiaTheme="minorHAnsi"/>
          <w:color w:val="auto"/>
          <w:szCs w:val="24"/>
          <w:lang w:val="en-ZA"/>
        </w:rPr>
        <w:t xml:space="preserve"> led to the matter being postponed to enable the respondents to file an application for the joinder of Sarah Ben</w:t>
      </w:r>
      <w:r w:rsidR="0013048E">
        <w:rPr>
          <w:rFonts w:eastAsiaTheme="minorHAnsi"/>
          <w:color w:val="auto"/>
          <w:szCs w:val="24"/>
          <w:lang w:val="en-ZA"/>
        </w:rPr>
        <w:t>-</w:t>
      </w:r>
      <w:proofErr w:type="spellStart"/>
      <w:r w:rsidR="008E3F5D" w:rsidRPr="00A60CCD">
        <w:rPr>
          <w:rFonts w:eastAsiaTheme="minorHAnsi"/>
          <w:color w:val="auto"/>
          <w:szCs w:val="24"/>
          <w:lang w:val="en-ZA"/>
        </w:rPr>
        <w:t>Tovim</w:t>
      </w:r>
      <w:proofErr w:type="spellEnd"/>
      <w:r w:rsidR="008E3F5D" w:rsidRPr="00A60CCD">
        <w:rPr>
          <w:rFonts w:eastAsiaTheme="minorHAnsi"/>
          <w:color w:val="auto"/>
          <w:szCs w:val="24"/>
          <w:lang w:val="en-ZA"/>
        </w:rPr>
        <w:t xml:space="preserve"> </w:t>
      </w:r>
      <w:r w:rsidR="00F100ED" w:rsidRPr="00A60CCD">
        <w:rPr>
          <w:rFonts w:eastAsiaTheme="minorHAnsi"/>
          <w:color w:val="auto"/>
          <w:szCs w:val="24"/>
          <w:lang w:val="en-ZA"/>
        </w:rPr>
        <w:t>as a second respondent</w:t>
      </w:r>
      <w:r w:rsidR="007F1838" w:rsidRPr="00A60CCD">
        <w:rPr>
          <w:rFonts w:eastAsiaTheme="minorHAnsi"/>
          <w:color w:val="auto"/>
          <w:szCs w:val="24"/>
          <w:lang w:val="en-ZA"/>
        </w:rPr>
        <w:t xml:space="preserve">. </w:t>
      </w:r>
    </w:p>
    <w:p w14:paraId="19523FF6" w14:textId="77777777" w:rsidR="007F1838" w:rsidRPr="00A60CCD" w:rsidRDefault="007F1838" w:rsidP="00A60CCD">
      <w:pPr>
        <w:spacing w:after="0" w:line="360" w:lineRule="auto"/>
        <w:ind w:left="0" w:right="37" w:firstLine="0"/>
        <w:rPr>
          <w:rFonts w:eastAsiaTheme="minorHAnsi"/>
          <w:color w:val="auto"/>
          <w:szCs w:val="24"/>
          <w:lang w:val="en-ZA"/>
        </w:rPr>
      </w:pPr>
    </w:p>
    <w:p w14:paraId="036C81DC" w14:textId="23D25676" w:rsidR="00887F9E" w:rsidRPr="00A60CCD" w:rsidRDefault="007F1838" w:rsidP="00A60CCD">
      <w:pPr>
        <w:spacing w:after="0" w:line="360" w:lineRule="auto"/>
        <w:ind w:left="0" w:right="37" w:firstLine="0"/>
        <w:rPr>
          <w:rFonts w:eastAsiaTheme="minorHAnsi"/>
          <w:color w:val="auto"/>
          <w:szCs w:val="24"/>
          <w:lang w:val="en-ZA"/>
        </w:rPr>
      </w:pPr>
      <w:r w:rsidRPr="00A60CCD">
        <w:rPr>
          <w:rFonts w:eastAsiaTheme="minorHAnsi"/>
          <w:color w:val="auto"/>
          <w:szCs w:val="24"/>
          <w:lang w:val="en-ZA"/>
        </w:rPr>
        <w:lastRenderedPageBreak/>
        <w:t>[</w:t>
      </w:r>
      <w:r w:rsidR="00A52038">
        <w:rPr>
          <w:rFonts w:eastAsiaTheme="minorHAnsi"/>
          <w:color w:val="auto"/>
          <w:szCs w:val="24"/>
          <w:lang w:val="en-ZA"/>
        </w:rPr>
        <w:t>6</w:t>
      </w:r>
      <w:r w:rsidRPr="00A60CCD">
        <w:rPr>
          <w:rFonts w:eastAsiaTheme="minorHAnsi"/>
          <w:color w:val="auto"/>
          <w:szCs w:val="24"/>
          <w:lang w:val="en-ZA"/>
        </w:rPr>
        <w:t>]</w:t>
      </w:r>
      <w:r w:rsidRPr="00A60CCD">
        <w:rPr>
          <w:rFonts w:eastAsiaTheme="minorHAnsi"/>
          <w:color w:val="auto"/>
          <w:szCs w:val="24"/>
          <w:lang w:val="en-ZA"/>
        </w:rPr>
        <w:tab/>
      </w:r>
      <w:r w:rsidR="0013048E">
        <w:rPr>
          <w:rFonts w:eastAsiaTheme="minorHAnsi"/>
          <w:color w:val="auto"/>
          <w:szCs w:val="24"/>
          <w:lang w:val="en-ZA"/>
        </w:rPr>
        <w:t>After Sarah Ben-</w:t>
      </w:r>
      <w:proofErr w:type="spellStart"/>
      <w:r w:rsidR="00F100ED" w:rsidRPr="00A60CCD">
        <w:rPr>
          <w:rFonts w:eastAsiaTheme="minorHAnsi"/>
          <w:color w:val="auto"/>
          <w:szCs w:val="24"/>
          <w:lang w:val="en-ZA"/>
        </w:rPr>
        <w:t>Tovim</w:t>
      </w:r>
      <w:proofErr w:type="spellEnd"/>
      <w:r w:rsidR="00F100ED" w:rsidRPr="00A60CCD">
        <w:rPr>
          <w:rFonts w:eastAsiaTheme="minorHAnsi"/>
          <w:color w:val="auto"/>
          <w:szCs w:val="24"/>
          <w:lang w:val="en-ZA"/>
        </w:rPr>
        <w:t xml:space="preserve"> was joined as a second respondent to the sequestration </w:t>
      </w:r>
      <w:r w:rsidR="00A52038">
        <w:rPr>
          <w:rFonts w:eastAsiaTheme="minorHAnsi"/>
          <w:color w:val="auto"/>
          <w:szCs w:val="24"/>
          <w:lang w:val="en-ZA"/>
        </w:rPr>
        <w:t>application</w:t>
      </w:r>
      <w:r w:rsidR="00F100ED" w:rsidRPr="00A60CCD">
        <w:rPr>
          <w:rFonts w:eastAsiaTheme="minorHAnsi"/>
          <w:color w:val="auto"/>
          <w:szCs w:val="24"/>
          <w:lang w:val="en-ZA"/>
        </w:rPr>
        <w:t xml:space="preserve"> and after all the pleadings were served on her</w:t>
      </w:r>
      <w:r w:rsidR="00A52038">
        <w:rPr>
          <w:rFonts w:eastAsiaTheme="minorHAnsi"/>
          <w:color w:val="auto"/>
          <w:szCs w:val="24"/>
          <w:lang w:val="en-ZA"/>
        </w:rPr>
        <w:t>,</w:t>
      </w:r>
      <w:r w:rsidR="00F100ED" w:rsidRPr="00A60CCD">
        <w:rPr>
          <w:rFonts w:eastAsiaTheme="minorHAnsi"/>
          <w:color w:val="auto"/>
          <w:szCs w:val="24"/>
          <w:lang w:val="en-ZA"/>
        </w:rPr>
        <w:t xml:space="preserve"> I postponed the matter </w:t>
      </w:r>
      <w:r w:rsidR="00887F9E" w:rsidRPr="00A60CCD">
        <w:rPr>
          <w:rFonts w:eastAsiaTheme="minorHAnsi"/>
          <w:color w:val="auto"/>
          <w:szCs w:val="24"/>
          <w:lang w:val="en-ZA"/>
        </w:rPr>
        <w:t xml:space="preserve">to 7 June 2017 for a status hearing </w:t>
      </w:r>
      <w:r w:rsidR="00F100ED" w:rsidRPr="00A60CCD">
        <w:rPr>
          <w:rFonts w:eastAsiaTheme="minorHAnsi"/>
          <w:color w:val="auto"/>
          <w:szCs w:val="24"/>
          <w:lang w:val="en-ZA"/>
        </w:rPr>
        <w:t xml:space="preserve">in order to determine hearing dates for the sequestration application. </w:t>
      </w:r>
      <w:r w:rsidR="00887F9E" w:rsidRPr="00A60CCD">
        <w:rPr>
          <w:rFonts w:eastAsiaTheme="minorHAnsi"/>
          <w:color w:val="auto"/>
          <w:szCs w:val="24"/>
          <w:lang w:val="en-ZA"/>
        </w:rPr>
        <w:t>At the status hearing of 7 June 2017 I granted leave</w:t>
      </w:r>
      <w:r w:rsidR="00E12563">
        <w:rPr>
          <w:rFonts w:eastAsiaTheme="minorHAnsi"/>
          <w:color w:val="auto"/>
          <w:szCs w:val="24"/>
          <w:lang w:val="en-ZA"/>
        </w:rPr>
        <w:t>,</w:t>
      </w:r>
      <w:r w:rsidR="00887F9E" w:rsidRPr="00A60CCD">
        <w:rPr>
          <w:rFonts w:eastAsiaTheme="minorHAnsi"/>
          <w:color w:val="auto"/>
          <w:szCs w:val="24"/>
          <w:lang w:val="en-ZA"/>
        </w:rPr>
        <w:t xml:space="preserve"> to </w:t>
      </w:r>
      <w:r w:rsidR="0013048E">
        <w:rPr>
          <w:szCs w:val="24"/>
        </w:rPr>
        <w:t xml:space="preserve">Mr. </w:t>
      </w:r>
      <w:r w:rsidR="00887F9E" w:rsidRPr="00A60CCD">
        <w:rPr>
          <w:rFonts w:eastAsiaTheme="minorHAnsi"/>
          <w:color w:val="auto"/>
          <w:szCs w:val="24"/>
          <w:lang w:val="en-ZA"/>
        </w:rPr>
        <w:t>Ben-</w:t>
      </w:r>
      <w:proofErr w:type="spellStart"/>
      <w:r w:rsidR="00887F9E" w:rsidRPr="00A60CCD">
        <w:rPr>
          <w:rFonts w:eastAsiaTheme="minorHAnsi"/>
          <w:color w:val="auto"/>
          <w:szCs w:val="24"/>
          <w:lang w:val="en-ZA"/>
        </w:rPr>
        <w:t>Tovim</w:t>
      </w:r>
      <w:proofErr w:type="spellEnd"/>
      <w:r w:rsidR="00887F9E" w:rsidRPr="00A60CCD">
        <w:rPr>
          <w:rFonts w:eastAsiaTheme="minorHAnsi"/>
          <w:color w:val="auto"/>
          <w:szCs w:val="24"/>
          <w:lang w:val="en-ZA"/>
        </w:rPr>
        <w:t xml:space="preserve"> to file his </w:t>
      </w:r>
      <w:r w:rsidR="00F100ED" w:rsidRPr="00A60CCD">
        <w:rPr>
          <w:rFonts w:eastAsiaTheme="minorHAnsi"/>
          <w:color w:val="auto"/>
          <w:szCs w:val="24"/>
          <w:lang w:val="en-ZA"/>
        </w:rPr>
        <w:t>answering</w:t>
      </w:r>
      <w:r w:rsidR="00887F9E" w:rsidRPr="00A60CCD">
        <w:rPr>
          <w:rFonts w:eastAsiaTheme="minorHAnsi"/>
          <w:color w:val="auto"/>
          <w:szCs w:val="24"/>
          <w:lang w:val="en-ZA"/>
        </w:rPr>
        <w:t xml:space="preserve"> affidavit on 7 July 2017 and </w:t>
      </w:r>
      <w:r w:rsidR="00E12563">
        <w:rPr>
          <w:rFonts w:eastAsiaTheme="minorHAnsi"/>
          <w:color w:val="auto"/>
          <w:szCs w:val="24"/>
          <w:lang w:val="en-ZA"/>
        </w:rPr>
        <w:t xml:space="preserve">to </w:t>
      </w:r>
      <w:r w:rsidR="00887F9E" w:rsidRPr="00A60CCD">
        <w:rPr>
          <w:rFonts w:eastAsiaTheme="minorHAnsi"/>
          <w:color w:val="auto"/>
          <w:szCs w:val="24"/>
          <w:lang w:val="en-ZA"/>
        </w:rPr>
        <w:t xml:space="preserve">the </w:t>
      </w:r>
      <w:r w:rsidR="00E12563">
        <w:rPr>
          <w:rFonts w:eastAsiaTheme="minorHAnsi"/>
          <w:color w:val="auto"/>
          <w:szCs w:val="24"/>
          <w:lang w:val="en-ZA"/>
        </w:rPr>
        <w:t>respondents</w:t>
      </w:r>
      <w:r w:rsidR="00887F9E" w:rsidRPr="00A60CCD">
        <w:rPr>
          <w:rFonts w:eastAsiaTheme="minorHAnsi"/>
          <w:color w:val="auto"/>
          <w:szCs w:val="24"/>
          <w:lang w:val="en-ZA"/>
        </w:rPr>
        <w:t xml:space="preserve">’ </w:t>
      </w:r>
      <w:r w:rsidR="00E12563">
        <w:rPr>
          <w:rFonts w:eastAsiaTheme="minorHAnsi"/>
          <w:color w:val="auto"/>
          <w:szCs w:val="24"/>
          <w:lang w:val="en-ZA"/>
        </w:rPr>
        <w:t>to</w:t>
      </w:r>
      <w:r w:rsidR="00887F9E" w:rsidRPr="00A60CCD">
        <w:rPr>
          <w:rFonts w:eastAsiaTheme="minorHAnsi"/>
          <w:color w:val="auto"/>
          <w:szCs w:val="24"/>
          <w:lang w:val="en-ZA"/>
        </w:rPr>
        <w:t xml:space="preserve"> file their replying affidavit</w:t>
      </w:r>
      <w:r w:rsidR="00F100ED" w:rsidRPr="00A60CCD">
        <w:rPr>
          <w:rFonts w:eastAsiaTheme="minorHAnsi"/>
          <w:color w:val="auto"/>
          <w:szCs w:val="24"/>
          <w:lang w:val="en-ZA"/>
        </w:rPr>
        <w:t xml:space="preserve">s if they so wished by not later than </w:t>
      </w:r>
      <w:r w:rsidR="00887F9E" w:rsidRPr="00A60CCD">
        <w:rPr>
          <w:rFonts w:eastAsiaTheme="minorHAnsi"/>
          <w:color w:val="auto"/>
          <w:szCs w:val="24"/>
          <w:lang w:val="en-ZA"/>
        </w:rPr>
        <w:t xml:space="preserve">28 July 2017. I further ordered that </w:t>
      </w:r>
      <w:r w:rsidR="00E12563" w:rsidRPr="00A60CCD">
        <w:rPr>
          <w:rFonts w:eastAsiaTheme="minorHAnsi"/>
          <w:color w:val="auto"/>
          <w:szCs w:val="24"/>
          <w:lang w:val="en-ZA"/>
        </w:rPr>
        <w:t>that the respondents</w:t>
      </w:r>
      <w:r w:rsidR="00887F9E" w:rsidRPr="00A60CCD">
        <w:rPr>
          <w:rFonts w:eastAsiaTheme="minorHAnsi"/>
          <w:color w:val="auto"/>
          <w:szCs w:val="24"/>
          <w:lang w:val="en-ZA"/>
        </w:rPr>
        <w:t xml:space="preserve"> must file their heads of argument</w:t>
      </w:r>
      <w:r w:rsidR="00E12563">
        <w:rPr>
          <w:rFonts w:eastAsiaTheme="minorHAnsi"/>
          <w:color w:val="auto"/>
          <w:szCs w:val="24"/>
          <w:lang w:val="en-ZA"/>
        </w:rPr>
        <w:t>s</w:t>
      </w:r>
      <w:r w:rsidR="00887F9E" w:rsidRPr="00A60CCD">
        <w:rPr>
          <w:rFonts w:eastAsiaTheme="minorHAnsi"/>
          <w:color w:val="auto"/>
          <w:szCs w:val="24"/>
          <w:lang w:val="en-ZA"/>
        </w:rPr>
        <w:t xml:space="preserve"> </w:t>
      </w:r>
      <w:r w:rsidR="00E12563">
        <w:rPr>
          <w:rFonts w:eastAsiaTheme="minorHAnsi"/>
          <w:color w:val="auto"/>
          <w:szCs w:val="24"/>
          <w:lang w:val="en-ZA"/>
        </w:rPr>
        <w:t xml:space="preserve">by </w:t>
      </w:r>
      <w:r w:rsidR="00887F9E" w:rsidRPr="00A60CCD">
        <w:rPr>
          <w:rFonts w:eastAsiaTheme="minorHAnsi"/>
          <w:color w:val="auto"/>
          <w:szCs w:val="24"/>
          <w:lang w:val="en-ZA"/>
        </w:rPr>
        <w:t xml:space="preserve">no later than 4 August 2017 </w:t>
      </w:r>
      <w:r w:rsidR="00444688" w:rsidRPr="00A60CCD">
        <w:rPr>
          <w:rFonts w:eastAsiaTheme="minorHAnsi"/>
          <w:color w:val="auto"/>
          <w:szCs w:val="24"/>
          <w:lang w:val="en-ZA"/>
        </w:rPr>
        <w:t xml:space="preserve">and that </w:t>
      </w:r>
      <w:r w:rsidR="0013048E">
        <w:rPr>
          <w:szCs w:val="24"/>
        </w:rPr>
        <w:t xml:space="preserve">Mr. </w:t>
      </w:r>
      <w:r w:rsidR="0013048E">
        <w:rPr>
          <w:rFonts w:eastAsiaTheme="minorHAnsi"/>
          <w:color w:val="auto"/>
          <w:szCs w:val="24"/>
          <w:lang w:val="en-ZA"/>
        </w:rPr>
        <w:t>Ben-</w:t>
      </w:r>
      <w:proofErr w:type="spellStart"/>
      <w:r w:rsidR="00E12563">
        <w:rPr>
          <w:rFonts w:eastAsiaTheme="minorHAnsi"/>
          <w:color w:val="auto"/>
          <w:szCs w:val="24"/>
          <w:lang w:val="en-ZA"/>
        </w:rPr>
        <w:t>Tovim</w:t>
      </w:r>
      <w:proofErr w:type="spellEnd"/>
      <w:r w:rsidR="00E12563">
        <w:rPr>
          <w:rFonts w:eastAsiaTheme="minorHAnsi"/>
          <w:color w:val="auto"/>
          <w:szCs w:val="24"/>
          <w:lang w:val="en-ZA"/>
        </w:rPr>
        <w:t xml:space="preserve"> </w:t>
      </w:r>
      <w:r w:rsidR="00444688" w:rsidRPr="00A60CCD">
        <w:rPr>
          <w:rFonts w:eastAsiaTheme="minorHAnsi"/>
          <w:color w:val="auto"/>
          <w:szCs w:val="24"/>
          <w:lang w:val="en-ZA"/>
        </w:rPr>
        <w:t xml:space="preserve">file </w:t>
      </w:r>
      <w:r w:rsidR="00E12563">
        <w:rPr>
          <w:rFonts w:eastAsiaTheme="minorHAnsi"/>
          <w:color w:val="auto"/>
          <w:szCs w:val="24"/>
          <w:lang w:val="en-ZA"/>
        </w:rPr>
        <w:t>his</w:t>
      </w:r>
      <w:r w:rsidR="00444688" w:rsidRPr="00A60CCD">
        <w:rPr>
          <w:rFonts w:eastAsiaTheme="minorHAnsi"/>
          <w:color w:val="auto"/>
          <w:szCs w:val="24"/>
          <w:lang w:val="en-ZA"/>
        </w:rPr>
        <w:t xml:space="preserve"> heads of arguments by 11 August 2017</w:t>
      </w:r>
      <w:r w:rsidR="00E12563">
        <w:rPr>
          <w:rFonts w:eastAsiaTheme="minorHAnsi"/>
          <w:color w:val="auto"/>
          <w:szCs w:val="24"/>
          <w:lang w:val="en-ZA"/>
        </w:rPr>
        <w:t>,</w:t>
      </w:r>
      <w:r w:rsidR="00444688" w:rsidRPr="00A60CCD">
        <w:rPr>
          <w:rFonts w:eastAsiaTheme="minorHAnsi"/>
          <w:color w:val="auto"/>
          <w:szCs w:val="24"/>
          <w:lang w:val="en-ZA"/>
        </w:rPr>
        <w:t xml:space="preserve"> I then postponed the matter to 17 August 2017 for hearing</w:t>
      </w:r>
      <w:r w:rsidR="00F100ED" w:rsidRPr="00A60CCD">
        <w:rPr>
          <w:rFonts w:eastAsiaTheme="minorHAnsi"/>
          <w:color w:val="auto"/>
          <w:szCs w:val="24"/>
          <w:lang w:val="en-ZA"/>
        </w:rPr>
        <w:t xml:space="preserve"> the main sequestration application</w:t>
      </w:r>
      <w:r w:rsidR="00444688" w:rsidRPr="00A60CCD">
        <w:rPr>
          <w:rFonts w:eastAsiaTheme="minorHAnsi"/>
          <w:color w:val="auto"/>
          <w:szCs w:val="24"/>
          <w:lang w:val="en-ZA"/>
        </w:rPr>
        <w:t>.</w:t>
      </w:r>
    </w:p>
    <w:p w14:paraId="74BE7EF4" w14:textId="77777777" w:rsidR="00444688" w:rsidRPr="00A60CCD" w:rsidRDefault="00444688" w:rsidP="00A60CCD">
      <w:pPr>
        <w:spacing w:after="0" w:line="360" w:lineRule="auto"/>
        <w:ind w:left="0" w:right="37" w:firstLine="0"/>
        <w:rPr>
          <w:rFonts w:eastAsiaTheme="minorHAnsi"/>
          <w:color w:val="auto"/>
          <w:szCs w:val="24"/>
          <w:lang w:val="en-ZA"/>
        </w:rPr>
      </w:pPr>
    </w:p>
    <w:p w14:paraId="4B195305" w14:textId="77777777" w:rsidR="00DF6424" w:rsidRPr="00A60CCD" w:rsidRDefault="00444688" w:rsidP="00A60CCD">
      <w:pPr>
        <w:spacing w:after="0" w:line="360" w:lineRule="auto"/>
        <w:ind w:left="0" w:right="37" w:firstLine="0"/>
        <w:rPr>
          <w:rFonts w:eastAsiaTheme="minorHAnsi"/>
          <w:color w:val="auto"/>
          <w:szCs w:val="24"/>
          <w:lang w:val="en-ZA"/>
        </w:rPr>
      </w:pPr>
      <w:r w:rsidRPr="00A60CCD">
        <w:rPr>
          <w:rFonts w:eastAsiaTheme="minorHAnsi"/>
          <w:color w:val="auto"/>
          <w:szCs w:val="24"/>
          <w:lang w:val="en-ZA"/>
        </w:rPr>
        <w:t>[</w:t>
      </w:r>
      <w:r w:rsidR="00E12563">
        <w:rPr>
          <w:rFonts w:eastAsiaTheme="minorHAnsi"/>
          <w:color w:val="auto"/>
          <w:szCs w:val="24"/>
          <w:lang w:val="en-ZA"/>
        </w:rPr>
        <w:t>7</w:t>
      </w:r>
      <w:r w:rsidRPr="00A60CCD">
        <w:rPr>
          <w:rFonts w:eastAsiaTheme="minorHAnsi"/>
          <w:color w:val="auto"/>
          <w:szCs w:val="24"/>
          <w:lang w:val="en-ZA"/>
        </w:rPr>
        <w:t>]</w:t>
      </w:r>
      <w:r w:rsidRPr="00A60CCD">
        <w:rPr>
          <w:rFonts w:eastAsiaTheme="minorHAnsi"/>
          <w:color w:val="auto"/>
          <w:szCs w:val="24"/>
          <w:lang w:val="en-ZA"/>
        </w:rPr>
        <w:tab/>
        <w:t>At the hearing of the application on 17 August 2017 Mr Ben-</w:t>
      </w:r>
      <w:proofErr w:type="spellStart"/>
      <w:r w:rsidRPr="00A60CCD">
        <w:rPr>
          <w:rFonts w:eastAsiaTheme="minorHAnsi"/>
          <w:color w:val="auto"/>
          <w:szCs w:val="24"/>
          <w:lang w:val="en-ZA"/>
        </w:rPr>
        <w:t>Tovim</w:t>
      </w:r>
      <w:proofErr w:type="spellEnd"/>
      <w:r w:rsidRPr="00A60CCD">
        <w:rPr>
          <w:rFonts w:eastAsiaTheme="minorHAnsi"/>
          <w:color w:val="auto"/>
          <w:szCs w:val="24"/>
          <w:lang w:val="en-ZA"/>
        </w:rPr>
        <w:t xml:space="preserve"> who appeared in person indicated that his legal practitioners </w:t>
      </w:r>
      <w:r w:rsidR="00F100ED" w:rsidRPr="00A60CCD">
        <w:rPr>
          <w:rFonts w:eastAsiaTheme="minorHAnsi"/>
          <w:color w:val="auto"/>
          <w:szCs w:val="24"/>
          <w:lang w:val="en-ZA"/>
        </w:rPr>
        <w:t>of</w:t>
      </w:r>
      <w:r w:rsidRPr="00A60CCD">
        <w:rPr>
          <w:rFonts w:eastAsiaTheme="minorHAnsi"/>
          <w:color w:val="auto"/>
          <w:szCs w:val="24"/>
          <w:lang w:val="en-ZA"/>
        </w:rPr>
        <w:t xml:space="preserve"> record</w:t>
      </w:r>
      <w:r w:rsidR="00F100ED" w:rsidRPr="00A60CCD">
        <w:rPr>
          <w:rFonts w:eastAsiaTheme="minorHAnsi"/>
          <w:color w:val="auto"/>
          <w:szCs w:val="24"/>
          <w:lang w:val="en-ZA"/>
        </w:rPr>
        <w:t>, Francois Erasmus &amp; Partner,</w:t>
      </w:r>
      <w:r w:rsidRPr="00A60CCD">
        <w:rPr>
          <w:rFonts w:eastAsiaTheme="minorHAnsi"/>
          <w:color w:val="auto"/>
          <w:szCs w:val="24"/>
          <w:lang w:val="en-ZA"/>
        </w:rPr>
        <w:t xml:space="preserve"> ha</w:t>
      </w:r>
      <w:r w:rsidR="00F100ED" w:rsidRPr="00A60CCD">
        <w:rPr>
          <w:rFonts w:eastAsiaTheme="minorHAnsi"/>
          <w:color w:val="auto"/>
          <w:szCs w:val="24"/>
          <w:lang w:val="en-ZA"/>
        </w:rPr>
        <w:t>d</w:t>
      </w:r>
      <w:r w:rsidRPr="00A60CCD">
        <w:rPr>
          <w:rFonts w:eastAsiaTheme="minorHAnsi"/>
          <w:color w:val="auto"/>
          <w:szCs w:val="24"/>
          <w:lang w:val="en-ZA"/>
        </w:rPr>
        <w:t xml:space="preserve"> withdrawn as his legal practitioner off record and he asked the court to postpone the matter in order for him to secure legal representation. I accordingly postponed the matter to 6 September 2017</w:t>
      </w:r>
      <w:r w:rsidR="002D5BF2" w:rsidRPr="00A60CCD">
        <w:rPr>
          <w:rFonts w:eastAsiaTheme="minorHAnsi"/>
          <w:color w:val="auto"/>
          <w:szCs w:val="24"/>
          <w:lang w:val="en-ZA"/>
        </w:rPr>
        <w:t xml:space="preserve"> for a status hearing</w:t>
      </w:r>
      <w:r w:rsidR="00DF6424" w:rsidRPr="00A60CCD">
        <w:rPr>
          <w:rFonts w:eastAsiaTheme="minorHAnsi"/>
          <w:color w:val="auto"/>
          <w:szCs w:val="24"/>
          <w:lang w:val="en-ZA"/>
        </w:rPr>
        <w:t>.</w:t>
      </w:r>
      <w:r w:rsidR="002D5BF2" w:rsidRPr="00A60CCD">
        <w:rPr>
          <w:rFonts w:eastAsiaTheme="minorHAnsi"/>
          <w:color w:val="auto"/>
          <w:szCs w:val="24"/>
          <w:lang w:val="en-ZA"/>
        </w:rPr>
        <w:t xml:space="preserve"> </w:t>
      </w:r>
      <w:r w:rsidR="00DF6424" w:rsidRPr="00A60CCD">
        <w:rPr>
          <w:rFonts w:eastAsiaTheme="minorHAnsi"/>
          <w:color w:val="auto"/>
          <w:szCs w:val="24"/>
          <w:lang w:val="en-ZA"/>
        </w:rPr>
        <w:t xml:space="preserve">At the hearing of the 6 September 2017 I granted </w:t>
      </w:r>
      <w:r w:rsidR="002D5BF2" w:rsidRPr="00A60CCD">
        <w:rPr>
          <w:rFonts w:eastAsiaTheme="minorHAnsi"/>
          <w:color w:val="auto"/>
          <w:szCs w:val="24"/>
          <w:lang w:val="en-ZA"/>
        </w:rPr>
        <w:t xml:space="preserve">leave to the parties to file additional affidavits and I thereafter </w:t>
      </w:r>
      <w:r w:rsidR="00DF6424" w:rsidRPr="00A60CCD">
        <w:rPr>
          <w:rFonts w:eastAsiaTheme="minorHAnsi"/>
          <w:color w:val="auto"/>
          <w:szCs w:val="24"/>
          <w:lang w:val="en-ZA"/>
        </w:rPr>
        <w:t xml:space="preserve">postponed the matter to </w:t>
      </w:r>
      <w:r w:rsidR="00E12563">
        <w:rPr>
          <w:rFonts w:eastAsiaTheme="minorHAnsi"/>
          <w:color w:val="auto"/>
          <w:szCs w:val="24"/>
          <w:lang w:val="en-ZA"/>
        </w:rPr>
        <w:t>28</w:t>
      </w:r>
      <w:r w:rsidR="00DF6424" w:rsidRPr="00A60CCD">
        <w:rPr>
          <w:rFonts w:eastAsiaTheme="minorHAnsi"/>
          <w:color w:val="auto"/>
          <w:szCs w:val="24"/>
          <w:lang w:val="en-ZA"/>
        </w:rPr>
        <w:t xml:space="preserve"> November 2017 for </w:t>
      </w:r>
      <w:r w:rsidR="00E12563">
        <w:rPr>
          <w:rFonts w:eastAsiaTheme="minorHAnsi"/>
          <w:color w:val="auto"/>
          <w:szCs w:val="24"/>
          <w:lang w:val="en-ZA"/>
        </w:rPr>
        <w:t>hearing the main sequestration application</w:t>
      </w:r>
      <w:r w:rsidR="00DF6424" w:rsidRPr="00A60CCD">
        <w:rPr>
          <w:rFonts w:eastAsiaTheme="minorHAnsi"/>
          <w:color w:val="auto"/>
          <w:szCs w:val="24"/>
          <w:lang w:val="en-ZA"/>
        </w:rPr>
        <w:t xml:space="preserve">. </w:t>
      </w:r>
      <w:r w:rsidR="00A425F6" w:rsidRPr="00A60CCD">
        <w:rPr>
          <w:rFonts w:eastAsiaTheme="minorHAnsi"/>
          <w:color w:val="auto"/>
          <w:szCs w:val="24"/>
          <w:lang w:val="en-ZA"/>
        </w:rPr>
        <w:t>On 7 November 2017 Mr Ben-</w:t>
      </w:r>
      <w:proofErr w:type="spellStart"/>
      <w:r w:rsidR="00A425F6" w:rsidRPr="00A60CCD">
        <w:rPr>
          <w:rFonts w:eastAsiaTheme="minorHAnsi"/>
          <w:color w:val="auto"/>
          <w:szCs w:val="24"/>
          <w:lang w:val="en-ZA"/>
        </w:rPr>
        <w:t>Tovim</w:t>
      </w:r>
      <w:proofErr w:type="spellEnd"/>
      <w:r w:rsidR="00A425F6" w:rsidRPr="00A60CCD">
        <w:rPr>
          <w:rFonts w:eastAsiaTheme="minorHAnsi"/>
          <w:color w:val="auto"/>
          <w:szCs w:val="24"/>
          <w:lang w:val="en-ZA"/>
        </w:rPr>
        <w:t xml:space="preserve"> gave the </w:t>
      </w:r>
      <w:r w:rsidR="00E12563">
        <w:rPr>
          <w:rFonts w:eastAsiaTheme="minorHAnsi"/>
          <w:color w:val="auto"/>
          <w:szCs w:val="24"/>
          <w:lang w:val="en-ZA"/>
        </w:rPr>
        <w:t>respondents</w:t>
      </w:r>
      <w:r w:rsidR="00A425F6" w:rsidRPr="00A60CCD">
        <w:rPr>
          <w:rFonts w:eastAsiaTheme="minorHAnsi"/>
          <w:color w:val="auto"/>
          <w:szCs w:val="24"/>
          <w:lang w:val="en-ZA"/>
        </w:rPr>
        <w:t xml:space="preserve"> notice under Rule </w:t>
      </w:r>
      <w:r w:rsidR="002D5BF2" w:rsidRPr="00A60CCD">
        <w:rPr>
          <w:rFonts w:eastAsiaTheme="minorHAnsi"/>
          <w:color w:val="auto"/>
          <w:szCs w:val="24"/>
          <w:lang w:val="en-ZA"/>
        </w:rPr>
        <w:t>59</w:t>
      </w:r>
      <w:r w:rsidR="00A425F6" w:rsidRPr="00A60CCD">
        <w:rPr>
          <w:rFonts w:eastAsiaTheme="minorHAnsi"/>
          <w:color w:val="auto"/>
          <w:szCs w:val="24"/>
          <w:lang w:val="en-ZA"/>
        </w:rPr>
        <w:t xml:space="preserve">(1) that he requires the </w:t>
      </w:r>
      <w:r w:rsidR="001437B7" w:rsidRPr="00A60CCD">
        <w:rPr>
          <w:rFonts w:eastAsiaTheme="minorHAnsi"/>
          <w:color w:val="auto"/>
          <w:szCs w:val="24"/>
          <w:lang w:val="en-ZA"/>
        </w:rPr>
        <w:t>respondents</w:t>
      </w:r>
      <w:r w:rsidR="00A425F6" w:rsidRPr="00A60CCD">
        <w:rPr>
          <w:rFonts w:eastAsiaTheme="minorHAnsi"/>
          <w:color w:val="auto"/>
          <w:szCs w:val="24"/>
          <w:lang w:val="en-ZA"/>
        </w:rPr>
        <w:t xml:space="preserve"> to furnish him with security for costs in the amount of N$ 500 000. </w:t>
      </w:r>
      <w:r w:rsidR="004630CB" w:rsidRPr="00A60CCD">
        <w:rPr>
          <w:rFonts w:eastAsiaTheme="minorHAnsi"/>
          <w:color w:val="auto"/>
          <w:szCs w:val="24"/>
          <w:lang w:val="en-ZA"/>
        </w:rPr>
        <w:t xml:space="preserve">He gave his reason for requiring the </w:t>
      </w:r>
      <w:r w:rsidR="001437B7" w:rsidRPr="00A60CCD">
        <w:rPr>
          <w:rFonts w:eastAsiaTheme="minorHAnsi"/>
          <w:color w:val="auto"/>
          <w:szCs w:val="24"/>
          <w:lang w:val="en-ZA"/>
        </w:rPr>
        <w:t>respondents</w:t>
      </w:r>
      <w:r w:rsidR="004630CB" w:rsidRPr="00A60CCD">
        <w:rPr>
          <w:rFonts w:eastAsiaTheme="minorHAnsi"/>
          <w:color w:val="auto"/>
          <w:szCs w:val="24"/>
          <w:lang w:val="en-ZA"/>
        </w:rPr>
        <w:t xml:space="preserve"> to furnish security for costs, being </w:t>
      </w:r>
      <w:r w:rsidR="00E12563">
        <w:rPr>
          <w:rFonts w:eastAsiaTheme="minorHAnsi"/>
          <w:color w:val="auto"/>
          <w:szCs w:val="24"/>
          <w:lang w:val="en-ZA"/>
        </w:rPr>
        <w:t xml:space="preserve">the fact </w:t>
      </w:r>
      <w:r w:rsidR="004630CB" w:rsidRPr="00A60CCD">
        <w:rPr>
          <w:rFonts w:eastAsiaTheme="minorHAnsi"/>
          <w:color w:val="auto"/>
          <w:szCs w:val="24"/>
          <w:lang w:val="en-ZA"/>
        </w:rPr>
        <w:t xml:space="preserve">that the </w:t>
      </w:r>
      <w:r w:rsidR="001437B7" w:rsidRPr="00A60CCD">
        <w:rPr>
          <w:rFonts w:eastAsiaTheme="minorHAnsi"/>
          <w:color w:val="auto"/>
          <w:szCs w:val="24"/>
          <w:lang w:val="en-ZA"/>
        </w:rPr>
        <w:t xml:space="preserve">respondents are </w:t>
      </w:r>
      <w:r w:rsidR="004630CB" w:rsidRPr="00A60CCD">
        <w:rPr>
          <w:rFonts w:eastAsiaTheme="minorHAnsi"/>
          <w:i/>
          <w:color w:val="auto"/>
          <w:szCs w:val="24"/>
          <w:lang w:val="en-ZA"/>
        </w:rPr>
        <w:t>peregrine</w:t>
      </w:r>
      <w:r w:rsidR="001437B7" w:rsidRPr="00A60CCD">
        <w:rPr>
          <w:rFonts w:eastAsiaTheme="minorHAnsi"/>
          <w:i/>
          <w:color w:val="auto"/>
          <w:szCs w:val="24"/>
          <w:lang w:val="en-ZA"/>
        </w:rPr>
        <w:t>s</w:t>
      </w:r>
      <w:r w:rsidR="004630CB" w:rsidRPr="00A60CCD">
        <w:rPr>
          <w:rFonts w:eastAsiaTheme="minorHAnsi"/>
          <w:color w:val="auto"/>
          <w:szCs w:val="24"/>
          <w:lang w:val="en-ZA"/>
        </w:rPr>
        <w:t xml:space="preserve"> of this court. </w:t>
      </w:r>
    </w:p>
    <w:p w14:paraId="2592D4BD" w14:textId="77777777" w:rsidR="004630CB" w:rsidRPr="00A60CCD" w:rsidRDefault="004630CB" w:rsidP="00A60CCD">
      <w:pPr>
        <w:spacing w:after="0" w:line="360" w:lineRule="auto"/>
        <w:ind w:left="0" w:right="37" w:firstLine="0"/>
        <w:rPr>
          <w:rFonts w:eastAsiaTheme="minorHAnsi"/>
          <w:color w:val="auto"/>
          <w:szCs w:val="24"/>
          <w:lang w:val="en-ZA"/>
        </w:rPr>
      </w:pPr>
    </w:p>
    <w:p w14:paraId="0CF81C0C" w14:textId="51B5299B" w:rsidR="00E12563" w:rsidRDefault="00470277" w:rsidP="00A60CCD">
      <w:pPr>
        <w:spacing w:after="0" w:line="360" w:lineRule="auto"/>
        <w:ind w:left="0" w:right="37" w:firstLine="0"/>
        <w:rPr>
          <w:rFonts w:eastAsiaTheme="minorHAnsi"/>
          <w:color w:val="auto"/>
          <w:szCs w:val="24"/>
          <w:lang w:val="en-ZA"/>
        </w:rPr>
      </w:pPr>
      <w:r w:rsidRPr="00A60CCD">
        <w:rPr>
          <w:rFonts w:eastAsiaTheme="minorHAnsi"/>
          <w:color w:val="auto"/>
          <w:szCs w:val="24"/>
          <w:lang w:val="en-ZA"/>
        </w:rPr>
        <w:t>[</w:t>
      </w:r>
      <w:r w:rsidR="00E12563">
        <w:rPr>
          <w:rFonts w:eastAsiaTheme="minorHAnsi"/>
          <w:color w:val="auto"/>
          <w:szCs w:val="24"/>
          <w:lang w:val="en-ZA"/>
        </w:rPr>
        <w:t>8</w:t>
      </w:r>
      <w:r w:rsidRPr="00A60CCD">
        <w:rPr>
          <w:rFonts w:eastAsiaTheme="minorHAnsi"/>
          <w:color w:val="auto"/>
          <w:szCs w:val="24"/>
          <w:lang w:val="en-ZA"/>
        </w:rPr>
        <w:t>]</w:t>
      </w:r>
      <w:r w:rsidRPr="00A60CCD">
        <w:rPr>
          <w:rFonts w:eastAsiaTheme="minorHAnsi"/>
          <w:color w:val="auto"/>
          <w:szCs w:val="24"/>
          <w:lang w:val="en-ZA"/>
        </w:rPr>
        <w:tab/>
        <w:t>O</w:t>
      </w:r>
      <w:r w:rsidR="004630CB" w:rsidRPr="00A60CCD">
        <w:rPr>
          <w:rFonts w:eastAsiaTheme="minorHAnsi"/>
          <w:color w:val="auto"/>
          <w:szCs w:val="24"/>
          <w:lang w:val="en-ZA"/>
        </w:rPr>
        <w:t xml:space="preserve">n 24 November 2017 the </w:t>
      </w:r>
      <w:r w:rsidR="001437B7" w:rsidRPr="00A60CCD">
        <w:rPr>
          <w:rFonts w:eastAsiaTheme="minorHAnsi"/>
          <w:color w:val="auto"/>
          <w:szCs w:val="24"/>
          <w:lang w:val="en-ZA"/>
        </w:rPr>
        <w:t>respondents</w:t>
      </w:r>
      <w:r w:rsidR="004630CB" w:rsidRPr="00A60CCD">
        <w:rPr>
          <w:rFonts w:eastAsiaTheme="minorHAnsi"/>
          <w:color w:val="auto"/>
          <w:szCs w:val="24"/>
          <w:lang w:val="en-ZA"/>
        </w:rPr>
        <w:t xml:space="preserve"> gave notice to </w:t>
      </w:r>
      <w:r w:rsidR="00066494">
        <w:rPr>
          <w:szCs w:val="24"/>
        </w:rPr>
        <w:t xml:space="preserve">Mr. </w:t>
      </w:r>
      <w:r w:rsidR="004630CB" w:rsidRPr="00A60CCD">
        <w:rPr>
          <w:rFonts w:eastAsiaTheme="minorHAnsi"/>
          <w:color w:val="auto"/>
          <w:szCs w:val="24"/>
          <w:lang w:val="en-ZA"/>
        </w:rPr>
        <w:t>Ben-</w:t>
      </w:r>
      <w:proofErr w:type="spellStart"/>
      <w:r w:rsidR="004630CB" w:rsidRPr="00A60CCD">
        <w:rPr>
          <w:rFonts w:eastAsiaTheme="minorHAnsi"/>
          <w:color w:val="auto"/>
          <w:szCs w:val="24"/>
          <w:lang w:val="en-ZA"/>
        </w:rPr>
        <w:t>Tovim</w:t>
      </w:r>
      <w:proofErr w:type="spellEnd"/>
      <w:r w:rsidR="004630CB" w:rsidRPr="00A60CCD">
        <w:rPr>
          <w:rFonts w:eastAsiaTheme="minorHAnsi"/>
          <w:color w:val="auto"/>
          <w:szCs w:val="24"/>
          <w:lang w:val="en-ZA"/>
        </w:rPr>
        <w:t xml:space="preserve"> that they dispute </w:t>
      </w:r>
      <w:r w:rsidR="00066494">
        <w:rPr>
          <w:szCs w:val="24"/>
        </w:rPr>
        <w:t xml:space="preserve">Mr. </w:t>
      </w:r>
      <w:r w:rsidR="004630CB" w:rsidRPr="00A60CCD">
        <w:rPr>
          <w:rFonts w:eastAsiaTheme="minorHAnsi"/>
          <w:color w:val="auto"/>
          <w:szCs w:val="24"/>
          <w:lang w:val="en-ZA"/>
        </w:rPr>
        <w:t>Ben-</w:t>
      </w:r>
      <w:proofErr w:type="spellStart"/>
      <w:r w:rsidR="004630CB" w:rsidRPr="00A60CCD">
        <w:rPr>
          <w:rFonts w:eastAsiaTheme="minorHAnsi"/>
          <w:color w:val="auto"/>
          <w:szCs w:val="24"/>
          <w:lang w:val="en-ZA"/>
        </w:rPr>
        <w:t>Tovim’s</w:t>
      </w:r>
      <w:proofErr w:type="spellEnd"/>
      <w:r w:rsidR="004630CB" w:rsidRPr="00A60CCD">
        <w:rPr>
          <w:rFonts w:eastAsiaTheme="minorHAnsi"/>
          <w:color w:val="auto"/>
          <w:szCs w:val="24"/>
          <w:lang w:val="en-ZA"/>
        </w:rPr>
        <w:t xml:space="preserve"> entitlement to security for costs.</w:t>
      </w:r>
      <w:r w:rsidR="00B41F61" w:rsidRPr="00A60CCD">
        <w:rPr>
          <w:rFonts w:eastAsiaTheme="minorHAnsi"/>
          <w:color w:val="auto"/>
          <w:szCs w:val="24"/>
          <w:lang w:val="en-ZA"/>
        </w:rPr>
        <w:t xml:space="preserve"> The contention that </w:t>
      </w:r>
      <w:r w:rsidR="00066494">
        <w:rPr>
          <w:szCs w:val="24"/>
        </w:rPr>
        <w:t xml:space="preserve">Mr. </w:t>
      </w:r>
      <w:r w:rsidR="00B41F61" w:rsidRPr="00A60CCD">
        <w:rPr>
          <w:rFonts w:eastAsiaTheme="minorHAnsi"/>
          <w:color w:val="auto"/>
          <w:szCs w:val="24"/>
          <w:lang w:val="en-ZA"/>
        </w:rPr>
        <w:t>Ben</w:t>
      </w:r>
      <w:r w:rsidR="00066494">
        <w:rPr>
          <w:rFonts w:eastAsiaTheme="minorHAnsi"/>
          <w:color w:val="auto"/>
          <w:szCs w:val="24"/>
          <w:lang w:val="en-ZA"/>
        </w:rPr>
        <w:t>-</w:t>
      </w:r>
      <w:proofErr w:type="spellStart"/>
      <w:r w:rsidR="00B41F61" w:rsidRPr="00A60CCD">
        <w:rPr>
          <w:rFonts w:eastAsiaTheme="minorHAnsi"/>
          <w:color w:val="auto"/>
          <w:szCs w:val="24"/>
          <w:lang w:val="en-ZA"/>
        </w:rPr>
        <w:t>Tovim</w:t>
      </w:r>
      <w:proofErr w:type="spellEnd"/>
      <w:r w:rsidR="00B41F61" w:rsidRPr="00A60CCD">
        <w:rPr>
          <w:rFonts w:eastAsiaTheme="minorHAnsi"/>
          <w:color w:val="auto"/>
          <w:szCs w:val="24"/>
          <w:lang w:val="en-ZA"/>
        </w:rPr>
        <w:t xml:space="preserve"> was not entitled to security for costs led to this application which </w:t>
      </w:r>
      <w:r w:rsidR="00A56FAF" w:rsidRPr="00A60CCD">
        <w:rPr>
          <w:rFonts w:eastAsiaTheme="minorHAnsi"/>
          <w:color w:val="auto"/>
          <w:szCs w:val="24"/>
          <w:lang w:val="en-ZA"/>
        </w:rPr>
        <w:t xml:space="preserve">I sat </w:t>
      </w:r>
      <w:r w:rsidR="00E12563" w:rsidRPr="00A60CCD">
        <w:rPr>
          <w:rFonts w:eastAsiaTheme="minorHAnsi"/>
          <w:color w:val="auto"/>
          <w:szCs w:val="24"/>
          <w:lang w:val="en-ZA"/>
        </w:rPr>
        <w:t>down</w:t>
      </w:r>
      <w:r w:rsidR="00E12563">
        <w:rPr>
          <w:rFonts w:eastAsiaTheme="minorHAnsi"/>
          <w:color w:val="auto"/>
          <w:szCs w:val="24"/>
          <w:lang w:val="en-ZA"/>
        </w:rPr>
        <w:t xml:space="preserve"> for security of costs </w:t>
      </w:r>
      <w:r w:rsidR="00E12563" w:rsidRPr="00A60CCD">
        <w:rPr>
          <w:rFonts w:eastAsiaTheme="minorHAnsi"/>
          <w:color w:val="auto"/>
          <w:szCs w:val="24"/>
          <w:lang w:val="en-ZA"/>
        </w:rPr>
        <w:t>for</w:t>
      </w:r>
      <w:r w:rsidR="00A56FAF" w:rsidRPr="00A60CCD">
        <w:rPr>
          <w:rFonts w:eastAsiaTheme="minorHAnsi"/>
          <w:color w:val="auto"/>
          <w:szCs w:val="24"/>
          <w:lang w:val="en-ZA"/>
        </w:rPr>
        <w:t xml:space="preserve"> hearing on </w:t>
      </w:r>
      <w:r w:rsidRPr="00A60CCD">
        <w:rPr>
          <w:rFonts w:eastAsiaTheme="minorHAnsi"/>
          <w:color w:val="auto"/>
          <w:szCs w:val="24"/>
          <w:lang w:val="en-ZA"/>
        </w:rPr>
        <w:t>28 November 2017</w:t>
      </w:r>
      <w:r w:rsidR="00E12563">
        <w:rPr>
          <w:rFonts w:eastAsiaTheme="minorHAnsi"/>
          <w:color w:val="auto"/>
          <w:szCs w:val="24"/>
          <w:lang w:val="en-ZA"/>
        </w:rPr>
        <w:t xml:space="preserve"> (this was the day that was initially reserved for hearing the main sequestration application)</w:t>
      </w:r>
      <w:r w:rsidRPr="00A60CCD">
        <w:rPr>
          <w:rFonts w:eastAsiaTheme="minorHAnsi"/>
          <w:color w:val="auto"/>
          <w:szCs w:val="24"/>
          <w:lang w:val="en-ZA"/>
        </w:rPr>
        <w:t>.</w:t>
      </w:r>
    </w:p>
    <w:p w14:paraId="2558B37B" w14:textId="77777777" w:rsidR="00E12563" w:rsidRDefault="00E12563" w:rsidP="00A60CCD">
      <w:pPr>
        <w:spacing w:after="0" w:line="360" w:lineRule="auto"/>
        <w:ind w:left="0" w:right="37" w:firstLine="0"/>
        <w:rPr>
          <w:rFonts w:eastAsiaTheme="minorHAnsi"/>
          <w:color w:val="auto"/>
          <w:szCs w:val="24"/>
          <w:lang w:val="en-ZA"/>
        </w:rPr>
      </w:pPr>
    </w:p>
    <w:p w14:paraId="56EA3539" w14:textId="2E0A0716" w:rsidR="00470277" w:rsidRPr="00A60CCD" w:rsidRDefault="00E12563" w:rsidP="00A60CCD">
      <w:pPr>
        <w:spacing w:after="0" w:line="360" w:lineRule="auto"/>
        <w:ind w:left="0" w:right="37" w:firstLine="0"/>
        <w:rPr>
          <w:rFonts w:eastAsiaTheme="minorHAnsi"/>
          <w:color w:val="auto"/>
          <w:szCs w:val="24"/>
          <w:lang w:val="en-ZA"/>
        </w:rPr>
      </w:pPr>
      <w:r>
        <w:rPr>
          <w:rFonts w:eastAsiaTheme="minorHAnsi"/>
          <w:color w:val="auto"/>
          <w:szCs w:val="24"/>
          <w:lang w:val="en-ZA"/>
        </w:rPr>
        <w:t>[9]</w:t>
      </w:r>
      <w:r>
        <w:rPr>
          <w:rFonts w:eastAsiaTheme="minorHAnsi"/>
          <w:color w:val="auto"/>
          <w:szCs w:val="24"/>
          <w:lang w:val="en-ZA"/>
        </w:rPr>
        <w:tab/>
      </w:r>
      <w:r w:rsidR="006F01E1" w:rsidRPr="00A60CCD">
        <w:rPr>
          <w:rFonts w:eastAsiaTheme="minorHAnsi"/>
          <w:color w:val="auto"/>
          <w:szCs w:val="24"/>
          <w:lang w:val="en-ZA"/>
        </w:rPr>
        <w:t>After hearing arguments from counsel</w:t>
      </w:r>
      <w:r w:rsidR="00066494">
        <w:rPr>
          <w:rFonts w:eastAsiaTheme="minorHAnsi"/>
          <w:color w:val="auto"/>
          <w:szCs w:val="24"/>
          <w:lang w:val="en-ZA"/>
        </w:rPr>
        <w:t>,</w:t>
      </w:r>
      <w:r w:rsidR="006F01E1" w:rsidRPr="00A60CCD">
        <w:rPr>
          <w:rFonts w:eastAsiaTheme="minorHAnsi"/>
          <w:color w:val="auto"/>
          <w:szCs w:val="24"/>
          <w:lang w:val="en-ZA"/>
        </w:rPr>
        <w:t xml:space="preserve"> I postponed the matter to </w:t>
      </w:r>
      <w:r w:rsidR="00294804" w:rsidRPr="00A60CCD">
        <w:rPr>
          <w:rFonts w:eastAsiaTheme="minorHAnsi"/>
          <w:color w:val="auto"/>
          <w:szCs w:val="24"/>
          <w:lang w:val="en-ZA"/>
        </w:rPr>
        <w:t xml:space="preserve">1 December 2017 for </w:t>
      </w:r>
      <w:r w:rsidR="00A56FAF" w:rsidRPr="00A60CCD">
        <w:rPr>
          <w:rFonts w:eastAsiaTheme="minorHAnsi"/>
          <w:color w:val="auto"/>
          <w:szCs w:val="24"/>
          <w:lang w:val="en-ZA"/>
        </w:rPr>
        <w:t>judgment</w:t>
      </w:r>
      <w:r w:rsidR="00294804" w:rsidRPr="00A60CCD">
        <w:rPr>
          <w:rFonts w:eastAsiaTheme="minorHAnsi"/>
          <w:color w:val="auto"/>
          <w:szCs w:val="24"/>
          <w:lang w:val="en-ZA"/>
        </w:rPr>
        <w:t xml:space="preserve">. On 1 December 2017 </w:t>
      </w:r>
      <w:r w:rsidR="00A56FAF" w:rsidRPr="00A60CCD">
        <w:rPr>
          <w:rFonts w:eastAsiaTheme="minorHAnsi"/>
          <w:color w:val="auto"/>
          <w:szCs w:val="24"/>
          <w:lang w:val="en-ZA"/>
        </w:rPr>
        <w:t>judgment</w:t>
      </w:r>
      <w:r w:rsidR="00294804" w:rsidRPr="00A60CCD">
        <w:rPr>
          <w:rFonts w:eastAsiaTheme="minorHAnsi"/>
          <w:color w:val="auto"/>
          <w:szCs w:val="24"/>
          <w:lang w:val="en-ZA"/>
        </w:rPr>
        <w:t xml:space="preserve"> was not ready and I further postponed th</w:t>
      </w:r>
      <w:r w:rsidR="00A56FAF" w:rsidRPr="00A60CCD">
        <w:rPr>
          <w:rFonts w:eastAsiaTheme="minorHAnsi"/>
          <w:color w:val="auto"/>
          <w:szCs w:val="24"/>
          <w:lang w:val="en-ZA"/>
        </w:rPr>
        <w:t xml:space="preserve">e matter to 28 March 2018. </w:t>
      </w:r>
      <w:r w:rsidR="00294804" w:rsidRPr="00A60CCD">
        <w:rPr>
          <w:rFonts w:eastAsiaTheme="minorHAnsi"/>
          <w:color w:val="auto"/>
          <w:szCs w:val="24"/>
          <w:lang w:val="en-ZA"/>
        </w:rPr>
        <w:t xml:space="preserve">On that day the </w:t>
      </w:r>
      <w:r w:rsidR="00A56FAF" w:rsidRPr="00A60CCD">
        <w:rPr>
          <w:rFonts w:eastAsiaTheme="minorHAnsi"/>
          <w:color w:val="auto"/>
          <w:szCs w:val="24"/>
          <w:lang w:val="en-ZA"/>
        </w:rPr>
        <w:t>judgment</w:t>
      </w:r>
      <w:r w:rsidR="00294804" w:rsidRPr="00A60CCD">
        <w:rPr>
          <w:rFonts w:eastAsiaTheme="minorHAnsi"/>
          <w:color w:val="auto"/>
          <w:szCs w:val="24"/>
          <w:lang w:val="en-ZA"/>
        </w:rPr>
        <w:t xml:space="preserve"> was still not ready and I postponed the matter to 20 April 2018</w:t>
      </w:r>
      <w:r w:rsidR="00D11036">
        <w:rPr>
          <w:rFonts w:eastAsiaTheme="minorHAnsi"/>
          <w:color w:val="auto"/>
          <w:szCs w:val="24"/>
          <w:lang w:val="en-ZA"/>
        </w:rPr>
        <w:t>.</w:t>
      </w:r>
      <w:r w:rsidR="00A56FAF" w:rsidRPr="00A60CCD">
        <w:rPr>
          <w:rFonts w:eastAsiaTheme="minorHAnsi"/>
          <w:color w:val="auto"/>
          <w:szCs w:val="24"/>
          <w:lang w:val="en-ZA"/>
        </w:rPr>
        <w:t xml:space="preserve"> M</w:t>
      </w:r>
      <w:r w:rsidR="00D11036">
        <w:rPr>
          <w:rFonts w:eastAsiaTheme="minorHAnsi"/>
          <w:color w:val="auto"/>
          <w:szCs w:val="24"/>
          <w:lang w:val="en-ZA"/>
        </w:rPr>
        <w:t>a</w:t>
      </w:r>
      <w:r w:rsidR="00A56FAF" w:rsidRPr="00A60CCD">
        <w:rPr>
          <w:rFonts w:eastAsiaTheme="minorHAnsi"/>
          <w:color w:val="auto"/>
          <w:szCs w:val="24"/>
          <w:lang w:val="en-ZA"/>
        </w:rPr>
        <w:t xml:space="preserve">y I pause here to tender my apology to the parties for the delay in rendering this </w:t>
      </w:r>
      <w:proofErr w:type="gramStart"/>
      <w:r w:rsidR="00A56FAF" w:rsidRPr="00A60CCD">
        <w:rPr>
          <w:rFonts w:eastAsiaTheme="minorHAnsi"/>
          <w:color w:val="auto"/>
          <w:szCs w:val="24"/>
          <w:lang w:val="en-ZA"/>
        </w:rPr>
        <w:t>judgment.</w:t>
      </w:r>
      <w:proofErr w:type="gramEnd"/>
      <w:r w:rsidR="001C7182" w:rsidRPr="00A60CCD">
        <w:rPr>
          <w:rFonts w:eastAsiaTheme="minorHAnsi"/>
          <w:color w:val="auto"/>
          <w:szCs w:val="24"/>
          <w:lang w:val="en-ZA"/>
        </w:rPr>
        <w:t xml:space="preserve"> With this brief background I now proceed </w:t>
      </w:r>
      <w:r w:rsidR="00250B23" w:rsidRPr="00A60CCD">
        <w:rPr>
          <w:rFonts w:eastAsiaTheme="minorHAnsi"/>
          <w:color w:val="auto"/>
          <w:szCs w:val="24"/>
          <w:lang w:val="en-ZA"/>
        </w:rPr>
        <w:t>t</w:t>
      </w:r>
      <w:r w:rsidR="001C7182" w:rsidRPr="00A60CCD">
        <w:rPr>
          <w:rFonts w:eastAsiaTheme="minorHAnsi"/>
          <w:color w:val="auto"/>
          <w:szCs w:val="24"/>
          <w:lang w:val="en-ZA"/>
        </w:rPr>
        <w:t xml:space="preserve">o consider the application </w:t>
      </w:r>
      <w:r w:rsidR="00250B23" w:rsidRPr="00A60CCD">
        <w:rPr>
          <w:rFonts w:eastAsiaTheme="minorHAnsi"/>
          <w:color w:val="auto"/>
          <w:szCs w:val="24"/>
          <w:lang w:val="en-ZA"/>
        </w:rPr>
        <w:t>for security of costs.</w:t>
      </w:r>
    </w:p>
    <w:p w14:paraId="7208A6BE" w14:textId="77777777" w:rsidR="00250B23" w:rsidRDefault="00250B23" w:rsidP="00A60CCD">
      <w:pPr>
        <w:spacing w:after="0" w:line="360" w:lineRule="auto"/>
        <w:ind w:left="0" w:right="37" w:firstLine="0"/>
        <w:rPr>
          <w:rFonts w:eastAsiaTheme="minorHAnsi"/>
          <w:color w:val="auto"/>
          <w:szCs w:val="24"/>
          <w:u w:val="single"/>
          <w:lang w:val="en-ZA"/>
        </w:rPr>
      </w:pPr>
    </w:p>
    <w:p w14:paraId="3BFE9C4B" w14:textId="77777777" w:rsidR="00764A93" w:rsidRDefault="00764A93" w:rsidP="00A60CCD">
      <w:pPr>
        <w:spacing w:after="0" w:line="360" w:lineRule="auto"/>
        <w:ind w:left="0" w:right="37" w:firstLine="0"/>
        <w:rPr>
          <w:rFonts w:eastAsiaTheme="minorHAnsi"/>
          <w:color w:val="auto"/>
          <w:szCs w:val="24"/>
          <w:u w:val="single"/>
          <w:lang w:val="en-ZA"/>
        </w:rPr>
      </w:pPr>
    </w:p>
    <w:p w14:paraId="31BEC975" w14:textId="77777777" w:rsidR="00764A93" w:rsidRPr="00A60CCD" w:rsidRDefault="00764A93" w:rsidP="00A60CCD">
      <w:pPr>
        <w:spacing w:after="0" w:line="360" w:lineRule="auto"/>
        <w:ind w:left="0" w:right="37" w:firstLine="0"/>
        <w:rPr>
          <w:rFonts w:eastAsiaTheme="minorHAnsi"/>
          <w:color w:val="auto"/>
          <w:szCs w:val="24"/>
          <w:u w:val="single"/>
          <w:lang w:val="en-ZA"/>
        </w:rPr>
      </w:pPr>
    </w:p>
    <w:p w14:paraId="50F1BB76" w14:textId="3AA3E8C8" w:rsidR="00250B23" w:rsidRDefault="00250B23" w:rsidP="00A60CCD">
      <w:pPr>
        <w:spacing w:after="0" w:line="360" w:lineRule="auto"/>
        <w:ind w:left="0" w:right="37" w:firstLine="0"/>
        <w:rPr>
          <w:rFonts w:eastAsiaTheme="minorHAnsi"/>
          <w:color w:val="auto"/>
          <w:szCs w:val="24"/>
          <w:u w:val="single"/>
          <w:lang w:val="en-ZA"/>
        </w:rPr>
      </w:pPr>
      <w:r w:rsidRPr="00A60CCD">
        <w:rPr>
          <w:rFonts w:eastAsiaTheme="minorHAnsi"/>
          <w:color w:val="auto"/>
          <w:szCs w:val="24"/>
          <w:u w:val="single"/>
          <w:lang w:val="en-ZA"/>
        </w:rPr>
        <w:lastRenderedPageBreak/>
        <w:t>The application for security of costs</w:t>
      </w:r>
    </w:p>
    <w:p w14:paraId="64B18232" w14:textId="77777777" w:rsidR="00A60CCD" w:rsidRPr="00A60CCD" w:rsidRDefault="00A60CCD" w:rsidP="00A60CCD">
      <w:pPr>
        <w:spacing w:after="0" w:line="360" w:lineRule="auto"/>
        <w:ind w:left="0" w:right="37" w:firstLine="0"/>
        <w:rPr>
          <w:rFonts w:eastAsiaTheme="minorHAnsi"/>
          <w:color w:val="auto"/>
          <w:szCs w:val="24"/>
          <w:u w:val="single"/>
          <w:lang w:val="en-ZA"/>
        </w:rPr>
      </w:pPr>
    </w:p>
    <w:p w14:paraId="08DC9A53" w14:textId="167F6ED8" w:rsidR="00A61028" w:rsidRDefault="00A60CCD" w:rsidP="00A61028">
      <w:pPr>
        <w:spacing w:after="0" w:line="360" w:lineRule="auto"/>
        <w:ind w:left="0" w:right="37" w:firstLine="0"/>
        <w:rPr>
          <w:rFonts w:eastAsiaTheme="minorHAnsi"/>
          <w:color w:val="auto"/>
          <w:szCs w:val="24"/>
          <w:lang w:val="en-ZA"/>
        </w:rPr>
      </w:pPr>
      <w:r>
        <w:rPr>
          <w:rFonts w:eastAsiaTheme="minorHAnsi"/>
          <w:color w:val="auto"/>
          <w:szCs w:val="24"/>
          <w:lang w:val="en-ZA"/>
        </w:rPr>
        <w:t>[</w:t>
      </w:r>
      <w:r w:rsidR="00E12563">
        <w:rPr>
          <w:rFonts w:eastAsiaTheme="minorHAnsi"/>
          <w:color w:val="auto"/>
          <w:szCs w:val="24"/>
          <w:lang w:val="en-ZA"/>
        </w:rPr>
        <w:t>10</w:t>
      </w:r>
      <w:r>
        <w:rPr>
          <w:rFonts w:eastAsiaTheme="minorHAnsi"/>
          <w:color w:val="auto"/>
          <w:szCs w:val="24"/>
          <w:lang w:val="en-ZA"/>
        </w:rPr>
        <w:t>]</w:t>
      </w:r>
      <w:r>
        <w:rPr>
          <w:rFonts w:eastAsiaTheme="minorHAnsi"/>
          <w:color w:val="auto"/>
          <w:szCs w:val="24"/>
          <w:lang w:val="en-ZA"/>
        </w:rPr>
        <w:tab/>
        <w:t>The affidavit in support of the application for security for costs was</w:t>
      </w:r>
      <w:r w:rsidR="00314ACF">
        <w:rPr>
          <w:rFonts w:eastAsiaTheme="minorHAnsi"/>
          <w:color w:val="auto"/>
          <w:szCs w:val="24"/>
          <w:lang w:val="en-ZA"/>
        </w:rPr>
        <w:t xml:space="preserve"> deposed to by Ms Eva </w:t>
      </w:r>
      <w:proofErr w:type="spellStart"/>
      <w:r w:rsidR="00314ACF">
        <w:rPr>
          <w:rFonts w:eastAsiaTheme="minorHAnsi"/>
          <w:color w:val="auto"/>
          <w:szCs w:val="24"/>
          <w:lang w:val="en-ZA"/>
        </w:rPr>
        <w:t>Shifotoka</w:t>
      </w:r>
      <w:proofErr w:type="spellEnd"/>
      <w:r w:rsidR="00314ACF">
        <w:rPr>
          <w:rFonts w:eastAsiaTheme="minorHAnsi"/>
          <w:color w:val="auto"/>
          <w:szCs w:val="24"/>
          <w:lang w:val="en-ZA"/>
        </w:rPr>
        <w:t xml:space="preserve">, </w:t>
      </w:r>
      <w:r>
        <w:rPr>
          <w:rFonts w:eastAsiaTheme="minorHAnsi"/>
          <w:color w:val="auto"/>
          <w:szCs w:val="24"/>
          <w:lang w:val="en-ZA"/>
        </w:rPr>
        <w:t>the legal practitioner representing Mr Ben-</w:t>
      </w:r>
      <w:proofErr w:type="spellStart"/>
      <w:r>
        <w:rPr>
          <w:rFonts w:eastAsiaTheme="minorHAnsi"/>
          <w:color w:val="auto"/>
          <w:szCs w:val="24"/>
          <w:lang w:val="en-ZA"/>
        </w:rPr>
        <w:t>Tovim</w:t>
      </w:r>
      <w:proofErr w:type="spellEnd"/>
      <w:r>
        <w:rPr>
          <w:rFonts w:eastAsiaTheme="minorHAnsi"/>
          <w:color w:val="auto"/>
          <w:szCs w:val="24"/>
          <w:lang w:val="en-ZA"/>
        </w:rPr>
        <w:t xml:space="preserve">. In the supporting affidavit Ms </w:t>
      </w:r>
      <w:proofErr w:type="spellStart"/>
      <w:r>
        <w:rPr>
          <w:rFonts w:eastAsiaTheme="minorHAnsi"/>
          <w:color w:val="auto"/>
          <w:szCs w:val="24"/>
          <w:lang w:val="en-ZA"/>
        </w:rPr>
        <w:t>Shifotoka</w:t>
      </w:r>
      <w:proofErr w:type="spellEnd"/>
      <w:r>
        <w:rPr>
          <w:rFonts w:eastAsiaTheme="minorHAnsi"/>
          <w:color w:val="auto"/>
          <w:szCs w:val="24"/>
          <w:lang w:val="en-ZA"/>
        </w:rPr>
        <w:t xml:space="preserve"> advanced the following reasons for demanding security from the applicants. </w:t>
      </w:r>
      <w:r w:rsidR="00A61028">
        <w:rPr>
          <w:rFonts w:eastAsiaTheme="minorHAnsi"/>
          <w:color w:val="auto"/>
          <w:szCs w:val="24"/>
          <w:lang w:val="en-ZA"/>
        </w:rPr>
        <w:t>T</w:t>
      </w:r>
      <w:r w:rsidR="00250B23" w:rsidRPr="00A60CCD">
        <w:rPr>
          <w:bCs/>
          <w:szCs w:val="24"/>
        </w:rPr>
        <w:t xml:space="preserve">he </w:t>
      </w:r>
      <w:r w:rsidR="00A61028">
        <w:rPr>
          <w:bCs/>
          <w:szCs w:val="24"/>
        </w:rPr>
        <w:t xml:space="preserve">respondents are </w:t>
      </w:r>
      <w:r w:rsidR="00250B23" w:rsidRPr="00A61028">
        <w:rPr>
          <w:bCs/>
          <w:i/>
          <w:szCs w:val="24"/>
        </w:rPr>
        <w:t>peregrines</w:t>
      </w:r>
      <w:r w:rsidR="00250B23" w:rsidRPr="00A60CCD">
        <w:rPr>
          <w:bCs/>
          <w:szCs w:val="24"/>
        </w:rPr>
        <w:t xml:space="preserve">, resident </w:t>
      </w:r>
      <w:r w:rsidR="00A61028" w:rsidRPr="00A60CCD">
        <w:rPr>
          <w:bCs/>
          <w:szCs w:val="24"/>
        </w:rPr>
        <w:t xml:space="preserve">in </w:t>
      </w:r>
      <w:r w:rsidR="00A61028">
        <w:rPr>
          <w:bCs/>
          <w:szCs w:val="24"/>
        </w:rPr>
        <w:t>Cape Town</w:t>
      </w:r>
      <w:r w:rsidR="00A61028" w:rsidRPr="00A60CCD">
        <w:rPr>
          <w:bCs/>
          <w:szCs w:val="24"/>
        </w:rPr>
        <w:t xml:space="preserve"> </w:t>
      </w:r>
      <w:r w:rsidR="00A61028" w:rsidRPr="00A60CCD">
        <w:rPr>
          <w:rFonts w:eastAsiaTheme="minorHAnsi"/>
          <w:szCs w:val="24"/>
          <w:lang w:val="en-ZA"/>
        </w:rPr>
        <w:t xml:space="preserve">and that no security for his legal costs have been tendered. </w:t>
      </w:r>
      <w:r w:rsidR="00A61028">
        <w:rPr>
          <w:rFonts w:eastAsiaTheme="minorHAnsi"/>
          <w:szCs w:val="24"/>
          <w:lang w:val="en-ZA"/>
        </w:rPr>
        <w:t xml:space="preserve">He further contends that </w:t>
      </w:r>
      <w:r w:rsidR="00A61028" w:rsidRPr="00A60CCD">
        <w:rPr>
          <w:rFonts w:eastAsiaTheme="minorHAnsi"/>
          <w:color w:val="auto"/>
          <w:szCs w:val="24"/>
          <w:lang w:val="en-ZA"/>
        </w:rPr>
        <w:t>in the event that he manages to successfully oppose the sequestration application against him</w:t>
      </w:r>
      <w:r w:rsidR="00A61028">
        <w:rPr>
          <w:rFonts w:eastAsiaTheme="minorHAnsi"/>
          <w:color w:val="auto"/>
          <w:szCs w:val="24"/>
          <w:lang w:val="en-ZA"/>
        </w:rPr>
        <w:t>, it may be difficult if not impossible to recoup his costs of opposing the application</w:t>
      </w:r>
      <w:r w:rsidR="00A61028" w:rsidRPr="00A60CCD">
        <w:rPr>
          <w:rFonts w:eastAsiaTheme="minorHAnsi"/>
          <w:color w:val="auto"/>
          <w:szCs w:val="24"/>
          <w:lang w:val="en-ZA"/>
        </w:rPr>
        <w:t xml:space="preserve">. </w:t>
      </w:r>
    </w:p>
    <w:p w14:paraId="121913AF" w14:textId="77777777" w:rsidR="00A61028" w:rsidRDefault="00A61028" w:rsidP="00A61028">
      <w:pPr>
        <w:spacing w:after="0" w:line="360" w:lineRule="auto"/>
        <w:ind w:left="0" w:right="37" w:firstLine="0"/>
        <w:rPr>
          <w:rFonts w:eastAsiaTheme="minorHAnsi"/>
          <w:color w:val="auto"/>
          <w:szCs w:val="24"/>
          <w:lang w:val="en-ZA"/>
        </w:rPr>
      </w:pPr>
    </w:p>
    <w:p w14:paraId="6714D685" w14:textId="4F209353" w:rsidR="00250B23" w:rsidRPr="00A60CCD" w:rsidRDefault="00A61028" w:rsidP="00380DD9">
      <w:pPr>
        <w:spacing w:after="0" w:line="360" w:lineRule="auto"/>
        <w:ind w:left="0" w:right="37" w:firstLine="0"/>
        <w:rPr>
          <w:rFonts w:eastAsiaTheme="minorHAnsi"/>
          <w:color w:val="auto"/>
          <w:szCs w:val="24"/>
          <w:lang w:val="en-ZA"/>
        </w:rPr>
      </w:pPr>
      <w:r>
        <w:rPr>
          <w:rFonts w:eastAsiaTheme="minorHAnsi"/>
          <w:color w:val="auto"/>
          <w:szCs w:val="24"/>
          <w:lang w:val="en-ZA"/>
        </w:rPr>
        <w:t>[11]</w:t>
      </w:r>
      <w:r>
        <w:rPr>
          <w:rFonts w:eastAsiaTheme="minorHAnsi"/>
          <w:color w:val="auto"/>
          <w:szCs w:val="24"/>
          <w:lang w:val="en-ZA"/>
        </w:rPr>
        <w:tab/>
      </w:r>
      <w:r w:rsidR="00250B23" w:rsidRPr="00A60CCD">
        <w:rPr>
          <w:bCs/>
          <w:szCs w:val="24"/>
        </w:rPr>
        <w:t xml:space="preserve">The </w:t>
      </w:r>
      <w:r>
        <w:rPr>
          <w:bCs/>
          <w:szCs w:val="24"/>
        </w:rPr>
        <w:t xml:space="preserve">respondents </w:t>
      </w:r>
      <w:r w:rsidR="00250B23" w:rsidRPr="00A60CCD">
        <w:rPr>
          <w:bCs/>
          <w:szCs w:val="24"/>
        </w:rPr>
        <w:t>opposed the application on three grounds.</w:t>
      </w:r>
      <w:r>
        <w:rPr>
          <w:bCs/>
          <w:szCs w:val="24"/>
        </w:rPr>
        <w:t xml:space="preserve"> </w:t>
      </w:r>
      <w:r w:rsidR="00250B23" w:rsidRPr="00A60CCD">
        <w:rPr>
          <w:bCs/>
          <w:szCs w:val="24"/>
        </w:rPr>
        <w:t xml:space="preserve">Firstly, </w:t>
      </w:r>
      <w:r w:rsidR="00314ACF" w:rsidRPr="00314ACF">
        <w:rPr>
          <w:bCs/>
          <w:szCs w:val="24"/>
        </w:rPr>
        <w:t xml:space="preserve">Mr. </w:t>
      </w:r>
      <w:r w:rsidR="00B87FA7">
        <w:rPr>
          <w:bCs/>
          <w:szCs w:val="24"/>
        </w:rPr>
        <w:t>Ben</w:t>
      </w:r>
      <w:r w:rsidR="00D11036">
        <w:rPr>
          <w:bCs/>
          <w:szCs w:val="24"/>
        </w:rPr>
        <w:t>-</w:t>
      </w:r>
      <w:proofErr w:type="spellStart"/>
      <w:r>
        <w:rPr>
          <w:bCs/>
          <w:szCs w:val="24"/>
        </w:rPr>
        <w:t>Tovim</w:t>
      </w:r>
      <w:proofErr w:type="spellEnd"/>
      <w:r>
        <w:rPr>
          <w:bCs/>
          <w:szCs w:val="24"/>
        </w:rPr>
        <w:t xml:space="preserve"> allegedly delayed in requesting security for costs from them. Secondly</w:t>
      </w:r>
      <w:r w:rsidR="00D11036">
        <w:rPr>
          <w:bCs/>
          <w:szCs w:val="24"/>
        </w:rPr>
        <w:t>,</w:t>
      </w:r>
      <w:r>
        <w:rPr>
          <w:bCs/>
          <w:szCs w:val="24"/>
        </w:rPr>
        <w:t xml:space="preserve"> the respondents were appointed by the High Court of South Africa (Western Cape Division</w:t>
      </w:r>
      <w:r w:rsidR="00380DD9">
        <w:rPr>
          <w:bCs/>
          <w:szCs w:val="24"/>
        </w:rPr>
        <w:t>) and</w:t>
      </w:r>
      <w:r w:rsidR="006E208F">
        <w:rPr>
          <w:bCs/>
          <w:szCs w:val="24"/>
        </w:rPr>
        <w:t xml:space="preserve"> as court appointed liquidators, </w:t>
      </w:r>
      <w:r w:rsidR="00380DD9">
        <w:rPr>
          <w:bCs/>
          <w:szCs w:val="24"/>
        </w:rPr>
        <w:t>they must not be discouraged to pursue claims against persons who are alleged to have cause</w:t>
      </w:r>
      <w:r w:rsidR="00D11036">
        <w:rPr>
          <w:bCs/>
          <w:szCs w:val="24"/>
        </w:rPr>
        <w:t>d</w:t>
      </w:r>
      <w:r w:rsidR="00380DD9">
        <w:rPr>
          <w:bCs/>
          <w:szCs w:val="24"/>
        </w:rPr>
        <w:t xml:space="preserve"> the financial ruin of a company that is the subject of liquidation. Thirdly</w:t>
      </w:r>
      <w:r w:rsidR="00D11036">
        <w:rPr>
          <w:bCs/>
          <w:szCs w:val="24"/>
        </w:rPr>
        <w:t>,</w:t>
      </w:r>
      <w:r w:rsidR="00380DD9" w:rsidRPr="00A60CCD">
        <w:rPr>
          <w:bCs/>
          <w:szCs w:val="24"/>
        </w:rPr>
        <w:t xml:space="preserve"> the</w:t>
      </w:r>
      <w:r w:rsidR="00250B23" w:rsidRPr="00A60CCD">
        <w:rPr>
          <w:bCs/>
          <w:szCs w:val="24"/>
        </w:rPr>
        <w:t xml:space="preserve"> amount claimed as security, being the sum of </w:t>
      </w:r>
      <w:r w:rsidR="00380DD9">
        <w:rPr>
          <w:bCs/>
          <w:szCs w:val="24"/>
        </w:rPr>
        <w:t>N$ 500 00</w:t>
      </w:r>
      <w:r w:rsidR="00250B23" w:rsidRPr="00A60CCD">
        <w:rPr>
          <w:bCs/>
          <w:szCs w:val="24"/>
        </w:rPr>
        <w:t xml:space="preserve"> is unreasonable and </w:t>
      </w:r>
      <w:r w:rsidR="00380DD9">
        <w:rPr>
          <w:bCs/>
          <w:szCs w:val="24"/>
        </w:rPr>
        <w:t xml:space="preserve">unsubstantiated. </w:t>
      </w:r>
    </w:p>
    <w:p w14:paraId="2576A421" w14:textId="77777777" w:rsidR="00294804" w:rsidRPr="00A60CCD" w:rsidRDefault="00294804" w:rsidP="00A60CCD">
      <w:pPr>
        <w:spacing w:after="0" w:line="360" w:lineRule="auto"/>
        <w:ind w:left="0" w:right="37" w:firstLine="0"/>
        <w:rPr>
          <w:rFonts w:eastAsiaTheme="minorHAnsi"/>
          <w:color w:val="auto"/>
          <w:szCs w:val="24"/>
          <w:lang w:val="en-ZA"/>
        </w:rPr>
      </w:pPr>
    </w:p>
    <w:p w14:paraId="53834A79" w14:textId="77777777" w:rsidR="00380DD9" w:rsidRPr="007F2EF5" w:rsidRDefault="00380DD9" w:rsidP="00380DD9">
      <w:pPr>
        <w:spacing w:line="360" w:lineRule="auto"/>
        <w:rPr>
          <w:u w:val="single"/>
        </w:rPr>
      </w:pPr>
      <w:r w:rsidRPr="007F2EF5">
        <w:rPr>
          <w:u w:val="single"/>
        </w:rPr>
        <w:t>The relevant legal provisions on security for costs</w:t>
      </w:r>
    </w:p>
    <w:p w14:paraId="6ECCDE8B" w14:textId="77777777" w:rsidR="00294804" w:rsidRDefault="00294804" w:rsidP="00A60CCD">
      <w:pPr>
        <w:spacing w:after="0" w:line="360" w:lineRule="auto"/>
        <w:ind w:left="0" w:right="37" w:firstLine="0"/>
        <w:rPr>
          <w:rFonts w:eastAsiaTheme="minorHAnsi"/>
          <w:color w:val="auto"/>
          <w:szCs w:val="24"/>
          <w:lang w:val="en-ZA"/>
        </w:rPr>
      </w:pPr>
    </w:p>
    <w:p w14:paraId="44826B7D" w14:textId="77777777" w:rsidR="00380DD9" w:rsidRPr="007F2EF5" w:rsidRDefault="00380DD9" w:rsidP="00380DD9">
      <w:pPr>
        <w:spacing w:line="360" w:lineRule="auto"/>
        <w:ind w:left="0" w:firstLine="0"/>
      </w:pPr>
      <w:r>
        <w:rPr>
          <w:rFonts w:eastAsiaTheme="minorHAnsi"/>
          <w:color w:val="auto"/>
          <w:szCs w:val="24"/>
          <w:lang w:val="en-ZA"/>
        </w:rPr>
        <w:t>[12]</w:t>
      </w:r>
      <w:r>
        <w:rPr>
          <w:rFonts w:eastAsiaTheme="minorHAnsi"/>
          <w:color w:val="auto"/>
          <w:szCs w:val="24"/>
          <w:lang w:val="en-ZA"/>
        </w:rPr>
        <w:tab/>
      </w:r>
      <w:r w:rsidRPr="007F2EF5">
        <w:t xml:space="preserve">Questions related to the issue of security for costs, are governed by the provisions of rule 59 of this </w:t>
      </w:r>
      <w:r>
        <w:t>C</w:t>
      </w:r>
      <w:r w:rsidRPr="007F2EF5">
        <w:t>ourt’s rules</w:t>
      </w:r>
      <w:r>
        <w:t>. The relevant parts of rule 59 read as follows:</w:t>
      </w:r>
    </w:p>
    <w:p w14:paraId="5A6270F3" w14:textId="77777777" w:rsidR="00380DD9" w:rsidRPr="007F2EF5" w:rsidRDefault="00380DD9" w:rsidP="00380DD9">
      <w:pPr>
        <w:spacing w:line="360" w:lineRule="auto"/>
      </w:pPr>
    </w:p>
    <w:p w14:paraId="0D94129E" w14:textId="77777777" w:rsidR="00380DD9" w:rsidRPr="007F2EF5" w:rsidRDefault="00380DD9" w:rsidP="00764A93">
      <w:pPr>
        <w:spacing w:line="360" w:lineRule="auto"/>
        <w:ind w:left="0" w:firstLine="0"/>
        <w:rPr>
          <w:sz w:val="22"/>
        </w:rPr>
      </w:pPr>
      <w:r w:rsidRPr="007F2EF5">
        <w:rPr>
          <w:sz w:val="22"/>
        </w:rPr>
        <w:t>‘(1)</w:t>
      </w:r>
      <w:r>
        <w:rPr>
          <w:sz w:val="22"/>
        </w:rPr>
        <w:tab/>
      </w:r>
      <w:r w:rsidRPr="007F2EF5">
        <w:rPr>
          <w:sz w:val="22"/>
        </w:rPr>
        <w:t>A party entitled to demand security for costs from another must, if he or she so desires, as soon as is practicable after the commencement of proceedings, deliver a notice setting out the grounds upon which the security is demanded and the amount claimed.</w:t>
      </w:r>
    </w:p>
    <w:p w14:paraId="049ADFF0" w14:textId="77777777" w:rsidR="00380DD9" w:rsidRPr="007F2EF5" w:rsidRDefault="00380DD9" w:rsidP="00380DD9">
      <w:pPr>
        <w:spacing w:line="360" w:lineRule="auto"/>
        <w:rPr>
          <w:sz w:val="22"/>
        </w:rPr>
      </w:pPr>
    </w:p>
    <w:p w14:paraId="448DB7EE" w14:textId="77777777" w:rsidR="00380DD9" w:rsidRPr="007F2EF5" w:rsidRDefault="00A64A86" w:rsidP="00764A93">
      <w:pPr>
        <w:spacing w:line="360" w:lineRule="auto"/>
        <w:ind w:left="0" w:firstLine="0"/>
        <w:rPr>
          <w:sz w:val="22"/>
        </w:rPr>
      </w:pPr>
      <w:r>
        <w:rPr>
          <w:sz w:val="22"/>
        </w:rPr>
        <w:t>(2)</w:t>
      </w:r>
      <w:r w:rsidR="00380DD9" w:rsidRPr="007F2EF5">
        <w:rPr>
          <w:sz w:val="22"/>
        </w:rPr>
        <w:tab/>
        <w:t xml:space="preserve">If a party contests the amount of security only that party so objecting must, within three days after the notice contemplated in </w:t>
      </w:r>
      <w:proofErr w:type="spellStart"/>
      <w:r w:rsidR="00380DD9" w:rsidRPr="007F2EF5">
        <w:rPr>
          <w:sz w:val="22"/>
        </w:rPr>
        <w:t>subrule</w:t>
      </w:r>
      <w:proofErr w:type="spellEnd"/>
      <w:r w:rsidR="00380DD9" w:rsidRPr="007F2EF5">
        <w:rPr>
          <w:sz w:val="22"/>
        </w:rPr>
        <w:t xml:space="preserve"> (1) is received, give notice to the requesting party to meet the objecting party at the office of the registrar on a date pre-arranged with the registrar and that notice must state the date of the meeting and the date must not be more than three days after the notice of objection to the amount of security is delivered to the party requesting the security.</w:t>
      </w:r>
    </w:p>
    <w:p w14:paraId="0BD5F2B7" w14:textId="77777777" w:rsidR="00380DD9" w:rsidRPr="007F2EF5" w:rsidRDefault="00380DD9" w:rsidP="00380DD9">
      <w:pPr>
        <w:spacing w:line="360" w:lineRule="auto"/>
        <w:rPr>
          <w:sz w:val="22"/>
        </w:rPr>
      </w:pPr>
    </w:p>
    <w:p w14:paraId="29CD145F" w14:textId="77777777" w:rsidR="00380DD9" w:rsidRPr="007F2EF5" w:rsidRDefault="00380DD9" w:rsidP="00764A93">
      <w:pPr>
        <w:spacing w:line="360" w:lineRule="auto"/>
        <w:rPr>
          <w:sz w:val="22"/>
        </w:rPr>
      </w:pPr>
      <w:r w:rsidRPr="007F2EF5">
        <w:rPr>
          <w:sz w:val="22"/>
        </w:rPr>
        <w:t>(3)</w:t>
      </w:r>
      <w:r w:rsidRPr="007F2EF5">
        <w:rPr>
          <w:sz w:val="22"/>
        </w:rPr>
        <w:tab/>
        <w:t>The registrar must determine the amount of security.</w:t>
      </w:r>
    </w:p>
    <w:p w14:paraId="3B935BB3" w14:textId="77777777" w:rsidR="00380DD9" w:rsidRPr="007F2EF5" w:rsidRDefault="00380DD9" w:rsidP="00380DD9">
      <w:pPr>
        <w:spacing w:line="360" w:lineRule="auto"/>
        <w:ind w:left="720" w:hanging="720"/>
        <w:rPr>
          <w:sz w:val="22"/>
        </w:rPr>
      </w:pPr>
    </w:p>
    <w:p w14:paraId="1F31BE0B" w14:textId="77777777" w:rsidR="00A64A86" w:rsidRDefault="00380DD9" w:rsidP="00764A93">
      <w:pPr>
        <w:spacing w:line="360" w:lineRule="auto"/>
        <w:ind w:left="0" w:firstLine="0"/>
        <w:rPr>
          <w:sz w:val="22"/>
        </w:rPr>
      </w:pPr>
      <w:r w:rsidRPr="007F2EF5">
        <w:rPr>
          <w:sz w:val="22"/>
        </w:rPr>
        <w:t>(4)</w:t>
      </w:r>
      <w:r w:rsidRPr="007F2EF5">
        <w:rPr>
          <w:sz w:val="22"/>
        </w:rPr>
        <w:tab/>
        <w:t xml:space="preserve">If the party from whom security is demanded contests his or her liability to give security or if he or she fails or refuses to furnish security in the amount demanded or the amount fixed by the registrar within 10 days of the demand or the registrar’s decision, the other party may apply to the managing </w:t>
      </w:r>
      <w:r w:rsidRPr="007F2EF5">
        <w:rPr>
          <w:sz w:val="22"/>
        </w:rPr>
        <w:lastRenderedPageBreak/>
        <w:t>judge on notice for an order that such security be given and that the proceedings be stayed until the order is complied with</w:t>
      </w:r>
      <w:r w:rsidR="00A64A86">
        <w:rPr>
          <w:sz w:val="22"/>
        </w:rPr>
        <w:t>.</w:t>
      </w:r>
    </w:p>
    <w:p w14:paraId="52546192" w14:textId="77777777" w:rsidR="00A64A86" w:rsidRPr="007F2EF5" w:rsidRDefault="00A64A86" w:rsidP="00A64A86">
      <w:pPr>
        <w:spacing w:line="360" w:lineRule="auto"/>
        <w:ind w:left="0" w:firstLine="720"/>
        <w:rPr>
          <w:sz w:val="22"/>
        </w:rPr>
      </w:pPr>
    </w:p>
    <w:p w14:paraId="0A2FF303" w14:textId="77777777" w:rsidR="00380DD9" w:rsidRPr="007F2EF5" w:rsidRDefault="00A64A86" w:rsidP="00764A93">
      <w:pPr>
        <w:spacing w:line="360" w:lineRule="auto"/>
        <w:rPr>
          <w:sz w:val="22"/>
        </w:rPr>
      </w:pPr>
      <w:r>
        <w:rPr>
          <w:sz w:val="22"/>
        </w:rPr>
        <w:t>(5)</w:t>
      </w:r>
      <w:r>
        <w:rPr>
          <w:sz w:val="22"/>
        </w:rPr>
        <w:tab/>
        <w:t>…</w:t>
      </w:r>
      <w:r w:rsidR="00380DD9" w:rsidRPr="007F2EF5">
        <w:rPr>
          <w:sz w:val="22"/>
        </w:rPr>
        <w:t xml:space="preserve">’ </w:t>
      </w:r>
    </w:p>
    <w:p w14:paraId="6C8A6CD0" w14:textId="77777777" w:rsidR="00A64A86" w:rsidRDefault="00A64A86" w:rsidP="00A60CCD">
      <w:pPr>
        <w:spacing w:after="0" w:line="360" w:lineRule="auto"/>
        <w:ind w:left="0" w:right="37" w:firstLine="0"/>
        <w:rPr>
          <w:rFonts w:eastAsiaTheme="minorHAnsi"/>
          <w:color w:val="auto"/>
          <w:szCs w:val="24"/>
          <w:lang w:val="en-ZA"/>
        </w:rPr>
      </w:pPr>
    </w:p>
    <w:p w14:paraId="157D66A5" w14:textId="5A6EA4B8" w:rsidR="00137A54" w:rsidRDefault="00A64A86" w:rsidP="00D6470D">
      <w:pPr>
        <w:spacing w:line="360" w:lineRule="auto"/>
        <w:ind w:left="0" w:firstLine="0"/>
      </w:pPr>
      <w:r>
        <w:rPr>
          <w:rFonts w:eastAsiaTheme="minorHAnsi"/>
          <w:color w:val="auto"/>
          <w:szCs w:val="24"/>
          <w:lang w:val="en-ZA"/>
        </w:rPr>
        <w:t>[13]</w:t>
      </w:r>
      <w:r>
        <w:rPr>
          <w:rFonts w:eastAsiaTheme="minorHAnsi"/>
          <w:color w:val="auto"/>
          <w:szCs w:val="24"/>
          <w:lang w:val="en-ZA"/>
        </w:rPr>
        <w:tab/>
      </w:r>
      <w:r w:rsidRPr="007F2EF5">
        <w:t xml:space="preserve">A reading </w:t>
      </w:r>
      <w:r>
        <w:t>of</w:t>
      </w:r>
      <w:r w:rsidRPr="007F2EF5">
        <w:t xml:space="preserve"> rule </w:t>
      </w:r>
      <w:r>
        <w:t>59(1)</w:t>
      </w:r>
      <w:r w:rsidRPr="007F2EF5">
        <w:t xml:space="preserve"> suggests that there are normally two aspects to an application for security for costs. The first is the </w:t>
      </w:r>
      <w:r>
        <w:t xml:space="preserve">question of liability to pay </w:t>
      </w:r>
      <w:r w:rsidRPr="007F2EF5">
        <w:t>security for costs</w:t>
      </w:r>
      <w:r>
        <w:t xml:space="preserve">. In short the first question is whether or not a party is entitled to demand </w:t>
      </w:r>
      <w:r w:rsidRPr="007F2EF5">
        <w:t>security for costs</w:t>
      </w:r>
      <w:r>
        <w:t xml:space="preserve"> from the other party</w:t>
      </w:r>
      <w:r w:rsidRPr="007F2EF5">
        <w:t>. The second</w:t>
      </w:r>
      <w:r>
        <w:t xml:space="preserve"> is</w:t>
      </w:r>
      <w:r w:rsidRPr="007F2EF5">
        <w:t xml:space="preserve">, if the </w:t>
      </w:r>
      <w:r>
        <w:t>party party’s liability to provide security for costs is determine</w:t>
      </w:r>
      <w:r w:rsidR="00D11036">
        <w:t>d</w:t>
      </w:r>
      <w:r>
        <w:t>,</w:t>
      </w:r>
      <w:r w:rsidRPr="007F2EF5">
        <w:t xml:space="preserve"> the amount of security payable</w:t>
      </w:r>
      <w:r w:rsidR="00137A54" w:rsidRPr="007F2EF5">
        <w:t>.</w:t>
      </w:r>
    </w:p>
    <w:p w14:paraId="06D77DD2" w14:textId="77777777" w:rsidR="00137A54" w:rsidRDefault="00137A54" w:rsidP="00D6470D">
      <w:pPr>
        <w:spacing w:line="360" w:lineRule="auto"/>
        <w:ind w:left="0" w:firstLine="0"/>
      </w:pPr>
    </w:p>
    <w:p w14:paraId="14028568" w14:textId="06B3F586" w:rsidR="00137A54" w:rsidRDefault="00137A54" w:rsidP="00D6470D">
      <w:pPr>
        <w:spacing w:line="360" w:lineRule="auto"/>
        <w:ind w:left="0" w:firstLine="0"/>
      </w:pPr>
      <w:r>
        <w:t>[14]</w:t>
      </w:r>
      <w:r>
        <w:tab/>
        <w:t xml:space="preserve">An </w:t>
      </w:r>
      <w:proofErr w:type="spellStart"/>
      <w:r w:rsidRPr="00137A54">
        <w:rPr>
          <w:i/>
        </w:rPr>
        <w:t>incola</w:t>
      </w:r>
      <w:proofErr w:type="spellEnd"/>
      <w:r>
        <w:t xml:space="preserve"> respondent does not, however, have a </w:t>
      </w:r>
      <w:r w:rsidRPr="00137A54">
        <w:rPr>
          <w:i/>
        </w:rPr>
        <w:t>prima facie</w:t>
      </w:r>
      <w:r>
        <w:t xml:space="preserve"> right to be furnished with security for costs by a </w:t>
      </w:r>
      <w:r w:rsidRPr="00137A54">
        <w:rPr>
          <w:i/>
        </w:rPr>
        <w:t xml:space="preserve">peregrine </w:t>
      </w:r>
      <w:r>
        <w:t xml:space="preserve">applicant. Whether or not the latter should furnish an </w:t>
      </w:r>
      <w:proofErr w:type="spellStart"/>
      <w:r w:rsidRPr="00137A54">
        <w:rPr>
          <w:i/>
        </w:rPr>
        <w:t>incola</w:t>
      </w:r>
      <w:proofErr w:type="spellEnd"/>
      <w:r>
        <w:t xml:space="preserve"> with security for its costs lies within the discretion of the court</w:t>
      </w:r>
      <w:r w:rsidR="00D11036" w:rsidRPr="006E208F">
        <w:t>.</w:t>
      </w:r>
      <w:r w:rsidRPr="006E208F">
        <w:rPr>
          <w:rStyle w:val="FootnoteReference"/>
          <w:rFonts w:eastAsiaTheme="minorHAnsi"/>
          <w:color w:val="auto"/>
          <w:szCs w:val="24"/>
          <w:lang w:val="en-ZA"/>
        </w:rPr>
        <w:footnoteReference w:id="1"/>
      </w:r>
      <w:r>
        <w:rPr>
          <w:rFonts w:eastAsiaTheme="minorHAnsi"/>
          <w:color w:val="auto"/>
          <w:szCs w:val="24"/>
          <w:lang w:val="en-ZA"/>
        </w:rPr>
        <w:t xml:space="preserve"> </w:t>
      </w:r>
      <w:r>
        <w:t xml:space="preserve">In exercising its discretion, the court must have regard to the particular circumstances of the case as well as considerations of equity and fairness to both the </w:t>
      </w:r>
      <w:proofErr w:type="spellStart"/>
      <w:r w:rsidRPr="00137A54">
        <w:rPr>
          <w:i/>
        </w:rPr>
        <w:t>incola</w:t>
      </w:r>
      <w:proofErr w:type="spellEnd"/>
      <w:r>
        <w:t xml:space="preserve"> and the </w:t>
      </w:r>
      <w:r w:rsidRPr="00137A54">
        <w:rPr>
          <w:i/>
        </w:rPr>
        <w:t>peregrine</w:t>
      </w:r>
      <w:r>
        <w:t>.</w:t>
      </w:r>
      <w:r>
        <w:rPr>
          <w:rStyle w:val="FootnoteReference"/>
        </w:rPr>
        <w:footnoteReference w:id="2"/>
      </w:r>
      <w:r>
        <w:t xml:space="preserve"> Factors that our courts have taken into account when deciding whether or not to order a peregrine to provide security are his impecuniosity and whether an order compelling him to furnish security would deprive him of the right to litigate against an </w:t>
      </w:r>
      <w:proofErr w:type="spellStart"/>
      <w:r w:rsidRPr="00137A54">
        <w:rPr>
          <w:i/>
        </w:rPr>
        <w:t>incola</w:t>
      </w:r>
      <w:proofErr w:type="spellEnd"/>
      <w:r>
        <w:t xml:space="preserve">; whether he is economically active within the jurisdiction of the court; and whether execution of the court’s judgment is possible in the jurisdiction in which he resides. None of these factors are, however, decisive. </w:t>
      </w:r>
    </w:p>
    <w:p w14:paraId="3FC4AF63" w14:textId="77777777" w:rsidR="00137A54" w:rsidRDefault="00137A54" w:rsidP="00D6470D">
      <w:pPr>
        <w:spacing w:line="360" w:lineRule="auto"/>
        <w:ind w:left="0" w:firstLine="0"/>
      </w:pPr>
    </w:p>
    <w:p w14:paraId="7789432D" w14:textId="77777777" w:rsidR="0057481B" w:rsidRDefault="00137A54" w:rsidP="00D6470D">
      <w:pPr>
        <w:spacing w:line="360" w:lineRule="auto"/>
        <w:ind w:left="0" w:firstLine="0"/>
      </w:pPr>
      <w:r>
        <w:t>[15]</w:t>
      </w:r>
      <w:r>
        <w:tab/>
        <w:t xml:space="preserve">Historically, our courts were predisposed in applications for security for costs against a </w:t>
      </w:r>
      <w:r w:rsidRPr="00137A54">
        <w:rPr>
          <w:i/>
        </w:rPr>
        <w:t>peregrine</w:t>
      </w:r>
      <w:r>
        <w:t xml:space="preserve"> to protect the </w:t>
      </w:r>
      <w:proofErr w:type="spellStart"/>
      <w:r w:rsidRPr="00137A54">
        <w:rPr>
          <w:i/>
        </w:rPr>
        <w:t>incola</w:t>
      </w:r>
      <w:proofErr w:type="spellEnd"/>
      <w:r>
        <w:t xml:space="preserve"> ‘to the fullest extent’.</w:t>
      </w:r>
      <w:r>
        <w:rPr>
          <w:rStyle w:val="FootnoteReference"/>
        </w:rPr>
        <w:footnoteReference w:id="3"/>
      </w:r>
      <w:r>
        <w:t xml:space="preserve"> As such, it found in </w:t>
      </w:r>
      <w:proofErr w:type="spellStart"/>
      <w:r>
        <w:t>favour</w:t>
      </w:r>
      <w:proofErr w:type="spellEnd"/>
      <w:r>
        <w:t xml:space="preserve"> of a peregrine ‘only sparingly and in exceptional circumstances’. The general rule was that unless the </w:t>
      </w:r>
      <w:r w:rsidRPr="00137A54">
        <w:rPr>
          <w:i/>
        </w:rPr>
        <w:t>peregrine</w:t>
      </w:r>
      <w:r>
        <w:t xml:space="preserve"> had unburdened immovable property within the jurisdiction of the court to satisfy any costs order, security had to be furnished. The South African Supreme Court of Appeal in </w:t>
      </w:r>
      <w:r w:rsidRPr="00137A54">
        <w:rPr>
          <w:i/>
        </w:rPr>
        <w:t>Shepstone &amp; Wylie &amp; Others v Geyser NO</w:t>
      </w:r>
      <w:r>
        <w:rPr>
          <w:rStyle w:val="FootnoteReference"/>
          <w:i/>
        </w:rPr>
        <w:footnoteReference w:id="4"/>
      </w:r>
      <w:r>
        <w:t xml:space="preserve"> rejected this approach to security for costs applications, and gave guidance on the proper exercise of the court’s discretion in such applications. In so doing, it said this: </w:t>
      </w:r>
    </w:p>
    <w:p w14:paraId="2FC0C72C" w14:textId="77777777" w:rsidR="00B87FA7" w:rsidRDefault="00B87FA7" w:rsidP="00D6470D">
      <w:pPr>
        <w:spacing w:line="360" w:lineRule="auto"/>
        <w:ind w:left="0" w:firstLine="0"/>
      </w:pPr>
    </w:p>
    <w:p w14:paraId="0BFE2826" w14:textId="77777777" w:rsidR="0057481B" w:rsidRDefault="00137A54" w:rsidP="00764A93">
      <w:pPr>
        <w:spacing w:line="360" w:lineRule="auto"/>
        <w:ind w:left="0" w:firstLine="0"/>
      </w:pPr>
      <w:r w:rsidRPr="0057481B">
        <w:rPr>
          <w:sz w:val="22"/>
        </w:rPr>
        <w:lastRenderedPageBreak/>
        <w:t xml:space="preserve">‘In my judgment, this is not how an application for security should be approached. Because a Court should not fetter its own discretion in any manner and particularly not by adopting an approach which brooks of no departure except in special circumstances, it must decide each case upon a consideration of all the relevant features, without adopting a predisposition either in </w:t>
      </w:r>
      <w:proofErr w:type="spellStart"/>
      <w:r w:rsidRPr="0057481B">
        <w:rPr>
          <w:sz w:val="22"/>
        </w:rPr>
        <w:t>favour</w:t>
      </w:r>
      <w:proofErr w:type="spellEnd"/>
      <w:r w:rsidRPr="0057481B">
        <w:rPr>
          <w:sz w:val="22"/>
        </w:rPr>
        <w:t xml:space="preserve"> of or against granting security … I prefer the approach in </w:t>
      </w:r>
      <w:proofErr w:type="spellStart"/>
      <w:r w:rsidRPr="0057481B">
        <w:rPr>
          <w:i/>
          <w:sz w:val="22"/>
        </w:rPr>
        <w:t>Keary</w:t>
      </w:r>
      <w:proofErr w:type="spellEnd"/>
      <w:r w:rsidRPr="0057481B">
        <w:rPr>
          <w:i/>
          <w:sz w:val="22"/>
        </w:rPr>
        <w:t xml:space="preserve"> Developments Ltd v Tarmac Construction Ltd and Another</w:t>
      </w:r>
      <w:r w:rsidRPr="0057481B">
        <w:rPr>
          <w:sz w:val="22"/>
        </w:rPr>
        <w:t xml:space="preserve"> [1995] 3 All ER (CA) at 540 A-B where Peter Gibson LJ said:</w:t>
      </w:r>
      <w:r>
        <w:t xml:space="preserve"> </w:t>
      </w:r>
    </w:p>
    <w:p w14:paraId="3056EA82" w14:textId="77777777" w:rsidR="0057481B" w:rsidRDefault="0057481B" w:rsidP="0057481B">
      <w:pPr>
        <w:spacing w:line="360" w:lineRule="auto"/>
        <w:ind w:left="0" w:firstLine="720"/>
      </w:pPr>
    </w:p>
    <w:p w14:paraId="116F599E" w14:textId="77777777" w:rsidR="00BF08A8" w:rsidRDefault="00137A54" w:rsidP="00B87FA7">
      <w:pPr>
        <w:spacing w:line="360" w:lineRule="auto"/>
        <w:ind w:left="0" w:firstLine="720"/>
      </w:pPr>
      <w:r w:rsidRPr="0057481B">
        <w:rPr>
          <w:sz w:val="22"/>
        </w:rPr>
        <w:t xml:space="preserve">“The court must carry out a balancing exercise. On the one hand it must weigh the injustice to the plaintiff if prevented from pursuing a proper claim by an order for security. Against that, it must weigh the injustice to the defendant if no security is ordered and at the trial the plaintiff’s claim fails and the defendant finds himself unable to recover from the plaintiff the costs which have been incurred by him in his </w:t>
      </w:r>
      <w:proofErr w:type="spellStart"/>
      <w:r w:rsidRPr="0057481B">
        <w:rPr>
          <w:sz w:val="22"/>
        </w:rPr>
        <w:t>defence</w:t>
      </w:r>
      <w:proofErr w:type="spellEnd"/>
      <w:r w:rsidRPr="0057481B">
        <w:rPr>
          <w:sz w:val="22"/>
        </w:rPr>
        <w:t xml:space="preserve"> of the claim</w:t>
      </w:r>
      <w:r>
        <w:t>.”</w:t>
      </w:r>
    </w:p>
    <w:p w14:paraId="77CDB473" w14:textId="77777777" w:rsidR="00BF08A8" w:rsidRDefault="00BF08A8" w:rsidP="0057481B">
      <w:pPr>
        <w:spacing w:line="360" w:lineRule="auto"/>
        <w:ind w:left="720" w:firstLine="0"/>
      </w:pPr>
    </w:p>
    <w:p w14:paraId="29908681" w14:textId="2FDA9C90" w:rsidR="00F403F1" w:rsidRDefault="00BF08A8" w:rsidP="00BF08A8">
      <w:pPr>
        <w:spacing w:line="360" w:lineRule="auto"/>
        <w:ind w:left="0" w:firstLine="0"/>
        <w:rPr>
          <w:rFonts w:eastAsiaTheme="minorHAnsi"/>
          <w:color w:val="auto"/>
          <w:szCs w:val="24"/>
          <w:lang w:val="en-ZA"/>
        </w:rPr>
      </w:pPr>
      <w:r>
        <w:t>[16]</w:t>
      </w:r>
      <w:r>
        <w:tab/>
        <w:t xml:space="preserve">This approach was subsequently endorsed by the Supreme Court in </w:t>
      </w:r>
      <w:proofErr w:type="spellStart"/>
      <w:r w:rsidR="00297A80" w:rsidRPr="00A60CCD">
        <w:rPr>
          <w:rFonts w:eastAsiaTheme="minorHAnsi"/>
          <w:i/>
          <w:color w:val="auto"/>
          <w:szCs w:val="24"/>
          <w:lang w:val="en-ZA"/>
        </w:rPr>
        <w:t>Hepute</w:t>
      </w:r>
      <w:proofErr w:type="spellEnd"/>
      <w:r w:rsidR="00297A80" w:rsidRPr="00A60CCD">
        <w:rPr>
          <w:rFonts w:eastAsiaTheme="minorHAnsi"/>
          <w:i/>
          <w:color w:val="auto"/>
          <w:szCs w:val="24"/>
          <w:lang w:val="en-ZA"/>
        </w:rPr>
        <w:t xml:space="preserve"> and Others v Minister of Mines and Energy and Another</w:t>
      </w:r>
      <w:r w:rsidR="00D11036">
        <w:rPr>
          <w:rFonts w:eastAsiaTheme="minorHAnsi"/>
          <w:i/>
          <w:color w:val="auto"/>
          <w:szCs w:val="24"/>
          <w:lang w:val="en-ZA"/>
        </w:rPr>
        <w:t>.</w:t>
      </w:r>
      <w:r w:rsidR="00297A80" w:rsidRPr="00A60CCD">
        <w:rPr>
          <w:rStyle w:val="FootnoteReference"/>
          <w:rFonts w:eastAsiaTheme="minorHAnsi"/>
          <w:color w:val="auto"/>
          <w:szCs w:val="24"/>
          <w:lang w:val="en-ZA"/>
        </w:rPr>
        <w:footnoteReference w:id="5"/>
      </w:r>
    </w:p>
    <w:p w14:paraId="2884DDE7" w14:textId="77777777" w:rsidR="00BF08A8" w:rsidRPr="00A60CCD" w:rsidRDefault="00BF08A8" w:rsidP="00BF08A8">
      <w:pPr>
        <w:spacing w:line="360" w:lineRule="auto"/>
        <w:ind w:left="0" w:firstLine="0"/>
        <w:rPr>
          <w:rFonts w:eastAsiaTheme="minorHAnsi"/>
          <w:color w:val="auto"/>
          <w:szCs w:val="24"/>
          <w:lang w:val="en-ZA"/>
        </w:rPr>
      </w:pPr>
    </w:p>
    <w:p w14:paraId="0C41B4FF" w14:textId="77777777" w:rsidR="00306E82" w:rsidRPr="00A60CCD" w:rsidRDefault="00306E82" w:rsidP="00A60CCD">
      <w:pPr>
        <w:spacing w:after="0" w:line="360" w:lineRule="auto"/>
        <w:ind w:left="0" w:right="37" w:firstLine="0"/>
        <w:rPr>
          <w:rFonts w:eastAsiaTheme="minorHAnsi"/>
          <w:color w:val="auto"/>
          <w:szCs w:val="24"/>
          <w:u w:val="single"/>
          <w:lang w:val="en-ZA"/>
        </w:rPr>
      </w:pPr>
      <w:r w:rsidRPr="00A60CCD">
        <w:rPr>
          <w:rFonts w:eastAsiaTheme="minorHAnsi"/>
          <w:color w:val="auto"/>
          <w:szCs w:val="24"/>
          <w:u w:val="single"/>
          <w:lang w:val="en-ZA"/>
        </w:rPr>
        <w:t>Is the applicant entitled to the order for security for costs?</w:t>
      </w:r>
    </w:p>
    <w:p w14:paraId="4FC95874" w14:textId="77777777" w:rsidR="00306E82" w:rsidRPr="00A60CCD" w:rsidRDefault="00306E82" w:rsidP="00A60CCD">
      <w:pPr>
        <w:spacing w:after="0" w:line="360" w:lineRule="auto"/>
        <w:ind w:left="0" w:right="37" w:firstLine="0"/>
        <w:rPr>
          <w:rFonts w:eastAsiaTheme="minorHAnsi"/>
          <w:color w:val="auto"/>
          <w:szCs w:val="24"/>
          <w:lang w:val="en-ZA"/>
        </w:rPr>
      </w:pPr>
    </w:p>
    <w:p w14:paraId="64265F8E" w14:textId="300B6CC0" w:rsidR="00F46FE9" w:rsidRPr="00B87FA7" w:rsidRDefault="00306E82" w:rsidP="00A60CCD">
      <w:pPr>
        <w:spacing w:after="0" w:line="360" w:lineRule="auto"/>
        <w:ind w:left="0" w:right="37" w:firstLine="0"/>
        <w:rPr>
          <w:rFonts w:eastAsiaTheme="minorHAnsi"/>
          <w:color w:val="auto"/>
          <w:szCs w:val="24"/>
          <w:lang w:val="en-ZA"/>
        </w:rPr>
      </w:pPr>
      <w:r w:rsidRPr="00A60CCD">
        <w:rPr>
          <w:rFonts w:eastAsiaTheme="minorHAnsi"/>
          <w:color w:val="auto"/>
          <w:szCs w:val="24"/>
          <w:lang w:val="en-ZA"/>
        </w:rPr>
        <w:t>[1</w:t>
      </w:r>
      <w:r w:rsidR="00F46FE9">
        <w:rPr>
          <w:rFonts w:eastAsiaTheme="minorHAnsi"/>
          <w:color w:val="auto"/>
          <w:szCs w:val="24"/>
          <w:lang w:val="en-ZA"/>
        </w:rPr>
        <w:t>7</w:t>
      </w:r>
      <w:r w:rsidRPr="00A60CCD">
        <w:rPr>
          <w:rFonts w:eastAsiaTheme="minorHAnsi"/>
          <w:color w:val="auto"/>
          <w:szCs w:val="24"/>
          <w:lang w:val="en-ZA"/>
        </w:rPr>
        <w:t>]</w:t>
      </w:r>
      <w:r w:rsidRPr="00A60CCD">
        <w:rPr>
          <w:rFonts w:eastAsiaTheme="minorHAnsi"/>
          <w:color w:val="auto"/>
          <w:szCs w:val="24"/>
          <w:lang w:val="en-ZA"/>
        </w:rPr>
        <w:tab/>
      </w:r>
      <w:r w:rsidR="00F46FE9">
        <w:rPr>
          <w:rFonts w:eastAsiaTheme="minorHAnsi"/>
          <w:color w:val="auto"/>
          <w:szCs w:val="24"/>
          <w:lang w:val="en-ZA"/>
        </w:rPr>
        <w:t xml:space="preserve">From the above stated principles I am satisfied that </w:t>
      </w:r>
      <w:r w:rsidR="006E208F" w:rsidRPr="006E208F">
        <w:rPr>
          <w:rFonts w:eastAsiaTheme="minorHAnsi"/>
          <w:color w:val="auto"/>
          <w:szCs w:val="24"/>
        </w:rPr>
        <w:t xml:space="preserve">Mr. </w:t>
      </w:r>
      <w:r w:rsidR="00F46FE9">
        <w:rPr>
          <w:rFonts w:eastAsiaTheme="minorHAnsi"/>
          <w:color w:val="auto"/>
          <w:szCs w:val="24"/>
          <w:lang w:val="en-ZA"/>
        </w:rPr>
        <w:t xml:space="preserve">Ben </w:t>
      </w:r>
      <w:proofErr w:type="spellStart"/>
      <w:r w:rsidR="00F46FE9">
        <w:rPr>
          <w:rFonts w:eastAsiaTheme="minorHAnsi"/>
          <w:color w:val="auto"/>
          <w:szCs w:val="24"/>
          <w:lang w:val="en-ZA"/>
        </w:rPr>
        <w:t>Tovim</w:t>
      </w:r>
      <w:proofErr w:type="spellEnd"/>
      <w:r w:rsidR="00F46FE9">
        <w:rPr>
          <w:rFonts w:eastAsiaTheme="minorHAnsi"/>
          <w:color w:val="auto"/>
          <w:szCs w:val="24"/>
          <w:lang w:val="en-ZA"/>
        </w:rPr>
        <w:t xml:space="preserve"> is entitled to demand security for his costs, but whether the Court will order the party from whom security of costs is demanded to provide the security depends on how the Court will exercise its discretion.</w:t>
      </w:r>
      <w:r w:rsidR="00B87FA7">
        <w:rPr>
          <w:rFonts w:eastAsiaTheme="minorHAnsi"/>
          <w:color w:val="auto"/>
          <w:szCs w:val="24"/>
          <w:lang w:val="en-ZA"/>
        </w:rPr>
        <w:t xml:space="preserve"> </w:t>
      </w:r>
      <w:r w:rsidR="00F46FE9">
        <w:t xml:space="preserve">The South African Constitutional Court in </w:t>
      </w:r>
      <w:proofErr w:type="spellStart"/>
      <w:r w:rsidR="00F46FE9" w:rsidRPr="00F46FE9">
        <w:rPr>
          <w:i/>
        </w:rPr>
        <w:t>Giddey</w:t>
      </w:r>
      <w:proofErr w:type="spellEnd"/>
      <w:r w:rsidR="00F46FE9" w:rsidRPr="00F46FE9">
        <w:rPr>
          <w:i/>
        </w:rPr>
        <w:t xml:space="preserve"> NO v JC Barnard and Partners</w:t>
      </w:r>
      <w:r w:rsidR="00F46FE9">
        <w:rPr>
          <w:rStyle w:val="FootnoteReference"/>
          <w:i/>
        </w:rPr>
        <w:footnoteReference w:id="6"/>
      </w:r>
      <w:r w:rsidR="00F46FE9">
        <w:t xml:space="preserve">, stated as follows in relation to the balancing exercise: </w:t>
      </w:r>
    </w:p>
    <w:p w14:paraId="2F2CA639" w14:textId="77777777" w:rsidR="00F46FE9" w:rsidRDefault="00F46FE9" w:rsidP="00A60CCD">
      <w:pPr>
        <w:spacing w:after="0" w:line="360" w:lineRule="auto"/>
        <w:ind w:left="0" w:right="37" w:firstLine="0"/>
      </w:pPr>
    </w:p>
    <w:p w14:paraId="5EF1B82A" w14:textId="77777777" w:rsidR="00F46FE9" w:rsidRDefault="00F46FE9" w:rsidP="00764A93">
      <w:pPr>
        <w:spacing w:after="0" w:line="360" w:lineRule="auto"/>
        <w:ind w:left="0" w:right="37" w:firstLine="0"/>
        <w:rPr>
          <w:rFonts w:eastAsiaTheme="minorHAnsi"/>
          <w:color w:val="auto"/>
          <w:szCs w:val="24"/>
          <w:lang w:val="en-ZA"/>
        </w:rPr>
      </w:pPr>
      <w:r w:rsidRPr="00F46FE9">
        <w:rPr>
          <w:sz w:val="22"/>
        </w:rPr>
        <w:t xml:space="preserve">‘To do this balancing exercise correctly, a court needs to be apprised of all the relevant information. An application for security will therefore need to show that there is a probability that the plaintiff company will be unable to pay costs. The respondent company, on the other hand, must establish that the order for costs might well result in it being unable to pursue the litigation and should indicate the nature and importance of the litigation to rebut a suggestion that it may be vexatious or without prospect of success. Equipped with this information, a court will need to balance the interest of the plaintiff in pursuing the litigation against the risks to the defendant of an </w:t>
      </w:r>
      <w:proofErr w:type="spellStart"/>
      <w:r w:rsidRPr="00F46FE9">
        <w:rPr>
          <w:sz w:val="22"/>
        </w:rPr>
        <w:t>unrealisable</w:t>
      </w:r>
      <w:proofErr w:type="spellEnd"/>
      <w:r w:rsidRPr="00F46FE9">
        <w:rPr>
          <w:sz w:val="22"/>
        </w:rPr>
        <w:t xml:space="preserve"> costs order.’</w:t>
      </w:r>
      <w:r>
        <w:rPr>
          <w:rFonts w:eastAsiaTheme="minorHAnsi"/>
          <w:color w:val="auto"/>
          <w:szCs w:val="24"/>
          <w:lang w:val="en-ZA"/>
        </w:rPr>
        <w:t xml:space="preserve"> </w:t>
      </w:r>
    </w:p>
    <w:p w14:paraId="7A330CD4" w14:textId="77777777" w:rsidR="00F46FE9" w:rsidRDefault="00F46FE9" w:rsidP="00F46FE9">
      <w:pPr>
        <w:spacing w:after="0" w:line="360" w:lineRule="auto"/>
        <w:ind w:left="0" w:right="37" w:firstLine="720"/>
        <w:rPr>
          <w:rFonts w:eastAsiaTheme="minorHAnsi"/>
          <w:color w:val="auto"/>
          <w:szCs w:val="24"/>
          <w:lang w:val="en-ZA"/>
        </w:rPr>
      </w:pPr>
    </w:p>
    <w:p w14:paraId="13801E99" w14:textId="7C565BD4" w:rsidR="0038231C" w:rsidRDefault="00F46FE9" w:rsidP="0038231C">
      <w:pPr>
        <w:spacing w:after="0" w:line="360" w:lineRule="auto"/>
        <w:ind w:left="0" w:right="37" w:firstLine="0"/>
      </w:pPr>
      <w:r>
        <w:t>[18]</w:t>
      </w:r>
      <w:r>
        <w:tab/>
        <w:t xml:space="preserve">I now turn to consider the specific circumstances of this case. </w:t>
      </w:r>
      <w:r w:rsidR="008F6CB5">
        <w:t xml:space="preserve"> But before I consider the spec</w:t>
      </w:r>
      <w:r w:rsidR="006E208F">
        <w:t xml:space="preserve">ific circumstances of this case, </w:t>
      </w:r>
      <w:r w:rsidR="008F6CB5">
        <w:t xml:space="preserve">I will briefly deal with the grounds of objections raised by the respondents. </w:t>
      </w:r>
      <w:r>
        <w:t>The respondents</w:t>
      </w:r>
      <w:r w:rsidR="00847C74">
        <w:t>’ first basis of opposition is the contention that the application for</w:t>
      </w:r>
      <w:r w:rsidR="00847C74" w:rsidRPr="00847C74">
        <w:t xml:space="preserve"> </w:t>
      </w:r>
      <w:r w:rsidR="00847C74" w:rsidRPr="00847C74">
        <w:lastRenderedPageBreak/>
        <w:t xml:space="preserve">security for costs </w:t>
      </w:r>
      <w:r w:rsidR="00847C74">
        <w:t>must</w:t>
      </w:r>
      <w:r w:rsidR="00847C74" w:rsidRPr="00847C74">
        <w:t xml:space="preserve"> be dismissed because of the delay in bringing th</w:t>
      </w:r>
      <w:r w:rsidR="00847C74">
        <w:t>e</w:t>
      </w:r>
      <w:r w:rsidR="00847C74" w:rsidRPr="00847C74">
        <w:t xml:space="preserve"> application</w:t>
      </w:r>
      <w:r w:rsidR="00847C74">
        <w:t>.</w:t>
      </w:r>
      <w:r w:rsidR="00847C74" w:rsidRPr="00847C74">
        <w:t xml:space="preserve"> </w:t>
      </w:r>
      <w:r w:rsidR="006E208F">
        <w:rPr>
          <w:szCs w:val="24"/>
        </w:rPr>
        <w:t xml:space="preserve">Mr. </w:t>
      </w:r>
      <w:r w:rsidR="00B87FA7">
        <w:t>Ben-</w:t>
      </w:r>
      <w:proofErr w:type="spellStart"/>
      <w:r w:rsidR="00847C74">
        <w:t>Tovim</w:t>
      </w:r>
      <w:proofErr w:type="spellEnd"/>
      <w:r w:rsidR="00847C74">
        <w:t xml:space="preserve"> alleges in his affidavit that he gave instruction to his erstwhile legal practitioners to demand security for costs as early as February 2017 and they neglected to execute his instruction. </w:t>
      </w:r>
      <w:r w:rsidR="00EF4C9E">
        <w:t>T</w:t>
      </w:r>
      <w:r w:rsidR="00847C74" w:rsidRPr="00847C74">
        <w:t xml:space="preserve">here is no indication that </w:t>
      </w:r>
      <w:r w:rsidR="006E208F">
        <w:rPr>
          <w:szCs w:val="24"/>
        </w:rPr>
        <w:t xml:space="preserve">Mr. </w:t>
      </w:r>
      <w:r w:rsidR="00B87FA7">
        <w:t>Ben–</w:t>
      </w:r>
      <w:proofErr w:type="spellStart"/>
      <w:r w:rsidR="00847C74">
        <w:t>Tovim</w:t>
      </w:r>
      <w:proofErr w:type="spellEnd"/>
      <w:r w:rsidR="00847C74">
        <w:t xml:space="preserve"> </w:t>
      </w:r>
      <w:r w:rsidR="00847C74" w:rsidRPr="00847C74">
        <w:t>has waived</w:t>
      </w:r>
      <w:r w:rsidR="00847C74">
        <w:t xml:space="preserve"> his</w:t>
      </w:r>
      <w:r w:rsidR="00847C74" w:rsidRPr="00847C74">
        <w:t xml:space="preserve"> right to ask for security for costs. </w:t>
      </w:r>
      <w:r w:rsidR="00EF4C9E">
        <w:t>T</w:t>
      </w:r>
      <w:r w:rsidR="00847C74">
        <w:t>he respondents have not demonstrated how they are</w:t>
      </w:r>
      <w:r w:rsidR="00847C74" w:rsidRPr="00847C74">
        <w:t xml:space="preserve"> prejudiced </w:t>
      </w:r>
      <w:r w:rsidR="00847C74">
        <w:t>or will be prejudiced by the alleged delayed request for security for costs</w:t>
      </w:r>
      <w:r w:rsidR="00847C74" w:rsidRPr="00847C74">
        <w:t xml:space="preserve">. </w:t>
      </w:r>
      <w:r w:rsidR="00847C74">
        <w:t xml:space="preserve">I am therefore </w:t>
      </w:r>
      <w:r w:rsidR="00847C74" w:rsidRPr="00847C74">
        <w:t>not prepared to dismiss the application for the security for costs for that reason.</w:t>
      </w:r>
      <w:r>
        <w:t xml:space="preserve"> </w:t>
      </w:r>
    </w:p>
    <w:p w14:paraId="3522978B" w14:textId="77777777" w:rsidR="0038231C" w:rsidRDefault="0038231C" w:rsidP="0038231C">
      <w:pPr>
        <w:spacing w:after="0" w:line="360" w:lineRule="auto"/>
        <w:ind w:left="0" w:right="37" w:firstLine="0"/>
      </w:pPr>
    </w:p>
    <w:p w14:paraId="0B1C7FAC" w14:textId="71055042" w:rsidR="00EF4C9E" w:rsidRDefault="0038231C" w:rsidP="00EF4C9E">
      <w:pPr>
        <w:widowControl w:val="0"/>
        <w:tabs>
          <w:tab w:val="left" w:pos="720"/>
          <w:tab w:val="right" w:pos="8280"/>
        </w:tabs>
        <w:spacing w:after="0" w:line="360" w:lineRule="auto"/>
        <w:ind w:left="0" w:right="0" w:firstLine="0"/>
        <w:rPr>
          <w:bCs/>
        </w:rPr>
      </w:pPr>
      <w:r>
        <w:t>[19]</w:t>
      </w:r>
      <w:r>
        <w:tab/>
      </w:r>
      <w:r>
        <w:tab/>
      </w:r>
      <w:r w:rsidR="00EF4C9E">
        <w:rPr>
          <w:bCs/>
        </w:rPr>
        <w:t>T</w:t>
      </w:r>
      <w:r>
        <w:rPr>
          <w:bCs/>
        </w:rPr>
        <w:t xml:space="preserve">he respondents </w:t>
      </w:r>
      <w:r w:rsidR="00EF4C9E">
        <w:rPr>
          <w:bCs/>
        </w:rPr>
        <w:t xml:space="preserve">furthermore </w:t>
      </w:r>
      <w:r>
        <w:rPr>
          <w:bCs/>
        </w:rPr>
        <w:t xml:space="preserve">oppose the application on the basis that the application had been launched for improper purpose, </w:t>
      </w:r>
      <w:r w:rsidR="00EF4C9E">
        <w:rPr>
          <w:bCs/>
        </w:rPr>
        <w:t xml:space="preserve">namely to delay the adjudication of the sequestration application. The respondents referred to the failure by </w:t>
      </w:r>
      <w:r w:rsidR="006E208F">
        <w:rPr>
          <w:szCs w:val="24"/>
        </w:rPr>
        <w:t xml:space="preserve">Mr. </w:t>
      </w:r>
      <w:r w:rsidR="00B87FA7">
        <w:rPr>
          <w:bCs/>
        </w:rPr>
        <w:t>Ben-</w:t>
      </w:r>
      <w:proofErr w:type="spellStart"/>
      <w:r w:rsidR="00EF4C9E">
        <w:rPr>
          <w:bCs/>
        </w:rPr>
        <w:t>Tovim</w:t>
      </w:r>
      <w:proofErr w:type="spellEnd"/>
      <w:r w:rsidR="00EF4C9E">
        <w:rPr>
          <w:bCs/>
        </w:rPr>
        <w:t xml:space="preserve"> to comply with certain court orders relating to the filing of his answering affidavits. The delays were explained and on the basis of the explanation provided</w:t>
      </w:r>
      <w:r w:rsidR="006E208F">
        <w:rPr>
          <w:bCs/>
        </w:rPr>
        <w:t>,</w:t>
      </w:r>
      <w:r w:rsidR="00EF4C9E">
        <w:rPr>
          <w:bCs/>
        </w:rPr>
        <w:t xml:space="preserve"> I condoned </w:t>
      </w:r>
      <w:r w:rsidR="00097E72">
        <w:rPr>
          <w:bCs/>
        </w:rPr>
        <w:t>t</w:t>
      </w:r>
      <w:r w:rsidR="00EF4C9E">
        <w:rPr>
          <w:bCs/>
        </w:rPr>
        <w:t xml:space="preserve">he </w:t>
      </w:r>
      <w:r w:rsidR="00034EB1">
        <w:rPr>
          <w:bCs/>
        </w:rPr>
        <w:t>non</w:t>
      </w:r>
      <w:r w:rsidR="006E208F">
        <w:rPr>
          <w:bCs/>
        </w:rPr>
        <w:t>-</w:t>
      </w:r>
      <w:r w:rsidR="00034EB1">
        <w:rPr>
          <w:bCs/>
        </w:rPr>
        <w:t>compliance with the court orders.</w:t>
      </w:r>
      <w:r w:rsidR="00034EB1" w:rsidRPr="00034EB1">
        <w:rPr>
          <w:bCs/>
        </w:rPr>
        <w:t xml:space="preserve"> </w:t>
      </w:r>
      <w:r w:rsidR="00034EB1">
        <w:rPr>
          <w:bCs/>
        </w:rPr>
        <w:t>I am therefore unable to find, as urged by the respondents’ counsel that the application was brought solely to frustrate or delay the sequestration application.</w:t>
      </w:r>
    </w:p>
    <w:p w14:paraId="5F5AAA98" w14:textId="77777777" w:rsidR="00EF4C9E" w:rsidRDefault="00EF4C9E" w:rsidP="00EF4C9E">
      <w:pPr>
        <w:widowControl w:val="0"/>
        <w:tabs>
          <w:tab w:val="left" w:pos="720"/>
          <w:tab w:val="right" w:pos="8280"/>
        </w:tabs>
        <w:spacing w:after="0" w:line="360" w:lineRule="auto"/>
        <w:ind w:left="0" w:right="0" w:firstLine="0"/>
        <w:rPr>
          <w:bCs/>
        </w:rPr>
      </w:pPr>
    </w:p>
    <w:p w14:paraId="298CD55F" w14:textId="10B91690" w:rsidR="00D11036" w:rsidRDefault="00CD333A" w:rsidP="00D11036">
      <w:pPr>
        <w:tabs>
          <w:tab w:val="left" w:pos="720"/>
        </w:tabs>
        <w:spacing w:line="360" w:lineRule="auto"/>
        <w:ind w:left="0" w:firstLine="0"/>
        <w:rPr>
          <w:i/>
        </w:rPr>
      </w:pPr>
      <w:r w:rsidRPr="00A60CCD">
        <w:rPr>
          <w:rFonts w:eastAsiaTheme="minorHAnsi"/>
          <w:color w:val="auto"/>
          <w:szCs w:val="24"/>
          <w:lang w:val="en-ZA"/>
        </w:rPr>
        <w:t>[20]</w:t>
      </w:r>
      <w:r w:rsidRPr="00A60CCD">
        <w:rPr>
          <w:rFonts w:eastAsiaTheme="minorHAnsi"/>
          <w:color w:val="auto"/>
          <w:szCs w:val="24"/>
          <w:lang w:val="en-ZA"/>
        </w:rPr>
        <w:tab/>
      </w:r>
      <w:r w:rsidR="00034EB1">
        <w:rPr>
          <w:rFonts w:eastAsiaTheme="minorHAnsi"/>
          <w:color w:val="auto"/>
          <w:szCs w:val="24"/>
          <w:lang w:val="en-ZA"/>
        </w:rPr>
        <w:t xml:space="preserve">The third basis on which the respondents urged me to dismiss the application for security for costs is the contention by the respondents </w:t>
      </w:r>
      <w:r w:rsidR="00034EB1">
        <w:rPr>
          <w:bCs/>
        </w:rPr>
        <w:t>that, the amount claimed as security, being the sum of N$ 500 000 is unreasonable and unsubstantiated. The fact that the amount demanded as security for costs is unsubstantiated can in my view never be</w:t>
      </w:r>
      <w:r w:rsidR="000D240F">
        <w:rPr>
          <w:bCs/>
        </w:rPr>
        <w:t xml:space="preserve"> a</w:t>
      </w:r>
      <w:r w:rsidR="00034EB1">
        <w:rPr>
          <w:bCs/>
        </w:rPr>
        <w:t xml:space="preserve"> basis for the dismissal of the application.</w:t>
      </w:r>
      <w:r w:rsidR="008F6CB5">
        <w:rPr>
          <w:bCs/>
        </w:rPr>
        <w:t xml:space="preserve"> I say so for the following reason. In the matter of </w:t>
      </w:r>
      <w:proofErr w:type="spellStart"/>
      <w:r w:rsidR="008F6CB5">
        <w:rPr>
          <w:i/>
        </w:rPr>
        <w:t>Martucci</w:t>
      </w:r>
      <w:proofErr w:type="spellEnd"/>
      <w:r w:rsidR="008F6CB5">
        <w:rPr>
          <w:i/>
        </w:rPr>
        <w:t xml:space="preserve"> v Mountain View Game Lodge (Pty) Ltd</w:t>
      </w:r>
      <w:r w:rsidR="008F6CB5">
        <w:rPr>
          <w:rStyle w:val="FootnoteReference"/>
          <w:i/>
        </w:rPr>
        <w:footnoteReference w:id="7"/>
      </w:r>
      <w:r w:rsidR="008F6CB5">
        <w:rPr>
          <w:i/>
        </w:rPr>
        <w:t xml:space="preserve"> </w:t>
      </w:r>
      <w:proofErr w:type="spellStart"/>
      <w:r w:rsidR="008F6CB5" w:rsidRPr="008F6CB5">
        <w:t>Masuku</w:t>
      </w:r>
      <w:proofErr w:type="spellEnd"/>
      <w:r w:rsidR="008F6CB5" w:rsidRPr="008F6CB5">
        <w:t xml:space="preserve"> J said</w:t>
      </w:r>
      <w:r w:rsidR="008F6CB5">
        <w:rPr>
          <w:i/>
        </w:rPr>
        <w:t>:</w:t>
      </w:r>
    </w:p>
    <w:p w14:paraId="23A40610" w14:textId="77777777" w:rsidR="00D11036" w:rsidRDefault="00D11036" w:rsidP="00D11036">
      <w:pPr>
        <w:tabs>
          <w:tab w:val="left" w:pos="720"/>
        </w:tabs>
        <w:spacing w:line="360" w:lineRule="auto"/>
        <w:ind w:left="0" w:firstLine="0"/>
        <w:rPr>
          <w:i/>
        </w:rPr>
      </w:pPr>
    </w:p>
    <w:p w14:paraId="3C95814F" w14:textId="2C44BD20" w:rsidR="008F6CB5" w:rsidRPr="00D11036" w:rsidRDefault="00D11036" w:rsidP="00D11036">
      <w:pPr>
        <w:tabs>
          <w:tab w:val="left" w:pos="720"/>
        </w:tabs>
        <w:spacing w:line="360" w:lineRule="auto"/>
        <w:ind w:left="0" w:firstLine="0"/>
        <w:rPr>
          <w:i/>
        </w:rPr>
      </w:pPr>
      <w:r w:rsidRPr="00D11036">
        <w:rPr>
          <w:i/>
        </w:rPr>
        <w:t>’</w:t>
      </w:r>
      <w:r>
        <w:t xml:space="preserve"> </w:t>
      </w:r>
      <w:r w:rsidRPr="00D11036">
        <w:t>[12]</w:t>
      </w:r>
      <w:r w:rsidRPr="00D11036">
        <w:tab/>
      </w:r>
      <w:r>
        <w:rPr>
          <w:sz w:val="22"/>
        </w:rPr>
        <w:t>F</w:t>
      </w:r>
      <w:r w:rsidR="008F6CB5" w:rsidRPr="008F6CB5">
        <w:rPr>
          <w:sz w:val="22"/>
        </w:rPr>
        <w:t xml:space="preserve">rom a reading of the relevant </w:t>
      </w:r>
      <w:proofErr w:type="spellStart"/>
      <w:r w:rsidR="008F6CB5" w:rsidRPr="008F6CB5">
        <w:rPr>
          <w:sz w:val="22"/>
        </w:rPr>
        <w:t>subrules</w:t>
      </w:r>
      <w:proofErr w:type="spellEnd"/>
      <w:r w:rsidR="008F6CB5" w:rsidRPr="008F6CB5">
        <w:rPr>
          <w:sz w:val="22"/>
        </w:rPr>
        <w:t xml:space="preserve">, I am of the view that the matter of the nature, form and amount of security is ordinarily a matter exclusively for the decision of the registrar. That this is the case is plain from reading </w:t>
      </w:r>
      <w:proofErr w:type="spellStart"/>
      <w:r w:rsidR="008F6CB5" w:rsidRPr="008F6CB5">
        <w:rPr>
          <w:sz w:val="22"/>
        </w:rPr>
        <w:t>subrule</w:t>
      </w:r>
      <w:proofErr w:type="spellEnd"/>
      <w:r w:rsidR="008F6CB5" w:rsidRPr="008F6CB5">
        <w:rPr>
          <w:sz w:val="22"/>
        </w:rPr>
        <w:t xml:space="preserve"> (3). This suggests that it is only in exceptional circumstances, probably envisaged in </w:t>
      </w:r>
      <w:proofErr w:type="spellStart"/>
      <w:r w:rsidR="008F6CB5" w:rsidRPr="008F6CB5">
        <w:rPr>
          <w:sz w:val="22"/>
        </w:rPr>
        <w:t>subrule</w:t>
      </w:r>
      <w:proofErr w:type="spellEnd"/>
      <w:r w:rsidR="008F6CB5" w:rsidRPr="008F6CB5">
        <w:rPr>
          <w:sz w:val="22"/>
        </w:rPr>
        <w:t xml:space="preserve"> (6) that the managing judge would prescribe the form, amount and manner of giving security to be furnished.</w:t>
      </w:r>
    </w:p>
    <w:p w14:paraId="4E8E8AB1" w14:textId="77777777" w:rsidR="008F6CB5" w:rsidRPr="008F6CB5" w:rsidRDefault="008F6CB5" w:rsidP="00764A93">
      <w:pPr>
        <w:spacing w:line="360" w:lineRule="auto"/>
        <w:rPr>
          <w:sz w:val="22"/>
        </w:rPr>
      </w:pPr>
    </w:p>
    <w:p w14:paraId="4D6B7DB8" w14:textId="77777777" w:rsidR="008F6CB5" w:rsidRPr="008F6CB5" w:rsidRDefault="008F6CB5" w:rsidP="00764A93">
      <w:pPr>
        <w:spacing w:line="360" w:lineRule="auto"/>
        <w:ind w:left="0" w:firstLine="0"/>
        <w:rPr>
          <w:sz w:val="22"/>
        </w:rPr>
      </w:pPr>
      <w:r w:rsidRPr="008F6CB5">
        <w:rPr>
          <w:sz w:val="22"/>
        </w:rPr>
        <w:t>[13]</w:t>
      </w:r>
      <w:r w:rsidRPr="008F6CB5">
        <w:rPr>
          <w:sz w:val="22"/>
        </w:rPr>
        <w:tab/>
        <w:t xml:space="preserve">I am of the considered opinion that there is a policy reason behind primarily giving the </w:t>
      </w:r>
      <w:r w:rsidR="001151DB" w:rsidRPr="008F6CB5">
        <w:rPr>
          <w:sz w:val="22"/>
        </w:rPr>
        <w:t>license</w:t>
      </w:r>
      <w:r w:rsidRPr="008F6CB5">
        <w:rPr>
          <w:sz w:val="22"/>
        </w:rPr>
        <w:t xml:space="preserve"> to determine the form, amount and manner of the security for costs should assume, to the registrar.  The registrar is the hands and feet of the court and in a sense, an expert when it comes to matters of costs, the tariffs and other related technical matters. For that reason, it would seem to me, it is on that basis that the ordinary office fitting to determine the amount, form and manner of the security to be furnished, once liability to pay costs has been established, is that of the registrar.</w:t>
      </w:r>
      <w:r>
        <w:rPr>
          <w:sz w:val="22"/>
        </w:rPr>
        <w:t>’</w:t>
      </w:r>
    </w:p>
    <w:p w14:paraId="2FC2D862" w14:textId="77777777" w:rsidR="008F6CB5" w:rsidRPr="008F6CB5" w:rsidRDefault="008F6CB5" w:rsidP="008F6CB5">
      <w:pPr>
        <w:tabs>
          <w:tab w:val="left" w:pos="720"/>
        </w:tabs>
        <w:spacing w:line="360" w:lineRule="auto"/>
        <w:ind w:left="0" w:firstLine="0"/>
      </w:pPr>
    </w:p>
    <w:p w14:paraId="60F3E797" w14:textId="4DF121F7" w:rsidR="00E43037" w:rsidRPr="00A60CCD" w:rsidRDefault="00CD333A" w:rsidP="00D427A9">
      <w:pPr>
        <w:spacing w:after="0" w:line="360" w:lineRule="auto"/>
        <w:ind w:left="0" w:right="14" w:firstLine="0"/>
        <w:rPr>
          <w:rFonts w:eastAsiaTheme="minorHAnsi"/>
          <w:szCs w:val="24"/>
          <w:lang w:val="en-ZA"/>
        </w:rPr>
      </w:pPr>
      <w:r w:rsidRPr="00A60CCD">
        <w:rPr>
          <w:rFonts w:eastAsiaTheme="minorHAnsi"/>
          <w:color w:val="auto"/>
          <w:szCs w:val="24"/>
          <w:lang w:val="en-ZA"/>
        </w:rPr>
        <w:t>[21]</w:t>
      </w:r>
      <w:r w:rsidRPr="00A60CCD">
        <w:rPr>
          <w:rFonts w:eastAsiaTheme="minorHAnsi"/>
          <w:color w:val="auto"/>
          <w:szCs w:val="24"/>
          <w:lang w:val="en-ZA"/>
        </w:rPr>
        <w:tab/>
      </w:r>
      <w:r w:rsidR="008F6CB5">
        <w:rPr>
          <w:rFonts w:eastAsiaTheme="minorHAnsi"/>
          <w:color w:val="auto"/>
          <w:szCs w:val="24"/>
          <w:lang w:val="en-ZA"/>
        </w:rPr>
        <w:t xml:space="preserve">I now return to the specific circumstances of this matter. </w:t>
      </w:r>
      <w:r w:rsidR="00E24E16" w:rsidRPr="00A60CCD">
        <w:rPr>
          <w:rFonts w:eastAsiaTheme="minorHAnsi"/>
          <w:color w:val="auto"/>
          <w:szCs w:val="24"/>
          <w:lang w:val="en-ZA"/>
        </w:rPr>
        <w:t xml:space="preserve">In the present matter the facts </w:t>
      </w:r>
      <w:r w:rsidR="00C40D56">
        <w:rPr>
          <w:rFonts w:eastAsiaTheme="minorHAnsi"/>
          <w:color w:val="auto"/>
          <w:szCs w:val="24"/>
          <w:lang w:val="en-ZA"/>
        </w:rPr>
        <w:t xml:space="preserve">are that the respondents </w:t>
      </w:r>
      <w:r w:rsidR="00E43037" w:rsidRPr="00A60CCD">
        <w:rPr>
          <w:rFonts w:eastAsiaTheme="minorHAnsi"/>
          <w:color w:val="auto"/>
          <w:szCs w:val="24"/>
          <w:lang w:val="en-ZA"/>
        </w:rPr>
        <w:t xml:space="preserve">are </w:t>
      </w:r>
      <w:r w:rsidR="00E43037" w:rsidRPr="00C40D56">
        <w:rPr>
          <w:rFonts w:eastAsiaTheme="minorHAnsi"/>
          <w:i/>
          <w:color w:val="auto"/>
          <w:szCs w:val="24"/>
          <w:lang w:val="en-ZA"/>
        </w:rPr>
        <w:t>peregrine</w:t>
      </w:r>
      <w:r w:rsidR="00E43037" w:rsidRPr="00A60CCD">
        <w:rPr>
          <w:rFonts w:eastAsiaTheme="minorHAnsi"/>
          <w:color w:val="auto"/>
          <w:szCs w:val="24"/>
          <w:lang w:val="en-ZA"/>
        </w:rPr>
        <w:t xml:space="preserve"> of this court, they all reside in South Africa</w:t>
      </w:r>
      <w:r w:rsidR="00C40D56">
        <w:rPr>
          <w:rFonts w:eastAsiaTheme="minorHAnsi"/>
          <w:color w:val="auto"/>
          <w:szCs w:val="24"/>
          <w:lang w:val="en-ZA"/>
        </w:rPr>
        <w:t xml:space="preserve"> and they were appointed as </w:t>
      </w:r>
      <w:r w:rsidR="00E43037" w:rsidRPr="00A60CCD">
        <w:rPr>
          <w:rFonts w:eastAsiaTheme="minorHAnsi"/>
          <w:color w:val="auto"/>
          <w:szCs w:val="24"/>
          <w:lang w:val="en-ZA"/>
        </w:rPr>
        <w:t xml:space="preserve">liquidators of </w:t>
      </w:r>
      <w:proofErr w:type="spellStart"/>
      <w:r w:rsidR="00E43037" w:rsidRPr="00A60CCD">
        <w:rPr>
          <w:rFonts w:eastAsiaTheme="minorHAnsi"/>
          <w:color w:val="auto"/>
          <w:szCs w:val="24"/>
          <w:lang w:val="en-ZA"/>
        </w:rPr>
        <w:t>Greencoal</w:t>
      </w:r>
      <w:proofErr w:type="spellEnd"/>
      <w:r w:rsidR="00E43037" w:rsidRPr="00A60CCD">
        <w:rPr>
          <w:rFonts w:eastAsiaTheme="minorHAnsi"/>
          <w:color w:val="auto"/>
          <w:szCs w:val="24"/>
          <w:lang w:val="en-ZA"/>
        </w:rPr>
        <w:t xml:space="preserve"> Holdings </w:t>
      </w:r>
      <w:r w:rsidR="005D73D4" w:rsidRPr="00A60CCD">
        <w:rPr>
          <w:rFonts w:eastAsiaTheme="minorHAnsi"/>
          <w:color w:val="auto"/>
          <w:szCs w:val="24"/>
          <w:lang w:val="en-ZA"/>
        </w:rPr>
        <w:t xml:space="preserve">(Pty) Ltd </w:t>
      </w:r>
      <w:r w:rsidR="00E43037" w:rsidRPr="00A60CCD">
        <w:rPr>
          <w:rFonts w:eastAsiaTheme="minorHAnsi"/>
          <w:color w:val="auto"/>
          <w:szCs w:val="24"/>
          <w:lang w:val="en-ZA"/>
        </w:rPr>
        <w:t>by virtue of a certificate of appointment issued by the Master of the High Court of South Africa dated 27 November 2014.</w:t>
      </w:r>
      <w:r w:rsidR="00C40D56">
        <w:rPr>
          <w:rFonts w:eastAsiaTheme="minorHAnsi"/>
          <w:color w:val="auto"/>
          <w:szCs w:val="24"/>
          <w:lang w:val="en-ZA"/>
        </w:rPr>
        <w:t xml:space="preserve"> The carry their profession in South Africa. They have not alleged in their affidavit whether they lodged any security for the performance of their duties with the Master of the High Court in South Africa (Western Cape Division).</w:t>
      </w:r>
      <w:r w:rsidR="007951B5">
        <w:rPr>
          <w:rFonts w:eastAsiaTheme="minorHAnsi"/>
          <w:color w:val="auto"/>
          <w:szCs w:val="24"/>
          <w:lang w:val="en-ZA"/>
        </w:rPr>
        <w:t xml:space="preserve"> </w:t>
      </w:r>
      <w:r w:rsidR="000D240F">
        <w:rPr>
          <w:szCs w:val="24"/>
        </w:rPr>
        <w:t xml:space="preserve">Mr. </w:t>
      </w:r>
      <w:r w:rsidR="00B87FA7">
        <w:rPr>
          <w:rFonts w:eastAsiaTheme="minorHAnsi"/>
          <w:szCs w:val="24"/>
          <w:lang w:val="en-ZA"/>
        </w:rPr>
        <w:t>Ben-</w:t>
      </w:r>
      <w:proofErr w:type="spellStart"/>
      <w:r w:rsidR="00E43037" w:rsidRPr="00A60CCD">
        <w:rPr>
          <w:rFonts w:eastAsiaTheme="minorHAnsi"/>
          <w:szCs w:val="24"/>
          <w:lang w:val="en-ZA"/>
        </w:rPr>
        <w:t>Tovim</w:t>
      </w:r>
      <w:proofErr w:type="spellEnd"/>
      <w:r w:rsidR="00E43037" w:rsidRPr="00A60CCD">
        <w:rPr>
          <w:rFonts w:eastAsiaTheme="minorHAnsi"/>
          <w:szCs w:val="24"/>
          <w:lang w:val="en-ZA"/>
        </w:rPr>
        <w:t xml:space="preserve"> is an </w:t>
      </w:r>
      <w:proofErr w:type="spellStart"/>
      <w:r w:rsidR="00E43037" w:rsidRPr="00C40D56">
        <w:rPr>
          <w:rFonts w:eastAsiaTheme="minorHAnsi"/>
          <w:i/>
          <w:szCs w:val="24"/>
          <w:lang w:val="en-ZA"/>
        </w:rPr>
        <w:t>incola</w:t>
      </w:r>
      <w:proofErr w:type="spellEnd"/>
      <w:r w:rsidR="00E43037" w:rsidRPr="00A60CCD">
        <w:rPr>
          <w:rFonts w:eastAsiaTheme="minorHAnsi"/>
          <w:szCs w:val="24"/>
          <w:lang w:val="en-ZA"/>
        </w:rPr>
        <w:t xml:space="preserve"> of this court. </w:t>
      </w:r>
    </w:p>
    <w:p w14:paraId="08086A58" w14:textId="77777777" w:rsidR="00CD333A" w:rsidRPr="00A60CCD" w:rsidRDefault="00CD333A" w:rsidP="00A60CCD">
      <w:pPr>
        <w:spacing w:after="0" w:line="360" w:lineRule="auto"/>
        <w:ind w:left="0" w:right="37" w:firstLine="0"/>
        <w:rPr>
          <w:rFonts w:eastAsiaTheme="minorHAnsi"/>
          <w:color w:val="auto"/>
          <w:szCs w:val="24"/>
          <w:lang w:val="en-ZA"/>
        </w:rPr>
      </w:pPr>
    </w:p>
    <w:p w14:paraId="45E46751" w14:textId="14A0E961" w:rsidR="00753A10" w:rsidRDefault="00753A10" w:rsidP="001151DB">
      <w:pPr>
        <w:widowControl w:val="0"/>
        <w:tabs>
          <w:tab w:val="left" w:pos="720"/>
          <w:tab w:val="right" w:pos="8280"/>
        </w:tabs>
        <w:spacing w:after="0" w:line="360" w:lineRule="auto"/>
        <w:ind w:left="0" w:right="0" w:firstLine="0"/>
        <w:rPr>
          <w:bCs/>
        </w:rPr>
      </w:pPr>
      <w:r>
        <w:rPr>
          <w:rFonts w:eastAsiaTheme="minorHAnsi"/>
          <w:color w:val="auto"/>
          <w:szCs w:val="24"/>
          <w:lang w:val="en-ZA"/>
        </w:rPr>
        <w:t>[</w:t>
      </w:r>
      <w:r w:rsidR="00E43037" w:rsidRPr="00C40D56">
        <w:rPr>
          <w:rFonts w:eastAsiaTheme="minorHAnsi"/>
          <w:color w:val="auto"/>
          <w:szCs w:val="24"/>
          <w:lang w:val="en-ZA"/>
        </w:rPr>
        <w:t>22]</w:t>
      </w:r>
      <w:r>
        <w:rPr>
          <w:rFonts w:eastAsiaTheme="minorHAnsi"/>
          <w:color w:val="auto"/>
          <w:szCs w:val="24"/>
          <w:lang w:val="en-ZA"/>
        </w:rPr>
        <w:tab/>
      </w:r>
      <w:r w:rsidR="00E43037" w:rsidRPr="00C40D56">
        <w:rPr>
          <w:rFonts w:eastAsiaTheme="minorHAnsi"/>
          <w:color w:val="auto"/>
          <w:szCs w:val="24"/>
          <w:lang w:val="en-ZA"/>
        </w:rPr>
        <w:tab/>
      </w:r>
      <w:r w:rsidR="00D9601F" w:rsidRPr="00C40D56">
        <w:rPr>
          <w:rFonts w:eastAsiaTheme="minorHAnsi"/>
          <w:color w:val="auto"/>
          <w:szCs w:val="24"/>
          <w:lang w:val="en-ZA"/>
        </w:rPr>
        <w:t xml:space="preserve">It is against this </w:t>
      </w:r>
      <w:r w:rsidR="003D2870" w:rsidRPr="00C40D56">
        <w:rPr>
          <w:rFonts w:eastAsiaTheme="minorHAnsi"/>
          <w:color w:val="auto"/>
          <w:szCs w:val="24"/>
          <w:lang w:val="en-ZA"/>
        </w:rPr>
        <w:t>background</w:t>
      </w:r>
      <w:r w:rsidR="00D9601F" w:rsidRPr="00C40D56">
        <w:rPr>
          <w:rFonts w:eastAsiaTheme="minorHAnsi"/>
          <w:color w:val="auto"/>
          <w:szCs w:val="24"/>
          <w:lang w:val="en-ZA"/>
        </w:rPr>
        <w:t xml:space="preserve"> of these facts that, I have to carry out a balancing act. I am of the view that the scale must tilt in favour of Mr Ben-</w:t>
      </w:r>
      <w:proofErr w:type="spellStart"/>
      <w:r w:rsidR="00D9601F" w:rsidRPr="00C40D56">
        <w:rPr>
          <w:rFonts w:eastAsiaTheme="minorHAnsi"/>
          <w:color w:val="auto"/>
          <w:szCs w:val="24"/>
          <w:lang w:val="en-ZA"/>
        </w:rPr>
        <w:t>Tovim</w:t>
      </w:r>
      <w:proofErr w:type="spellEnd"/>
      <w:r w:rsidR="00D9601F" w:rsidRPr="00C40D56">
        <w:rPr>
          <w:rFonts w:eastAsiaTheme="minorHAnsi"/>
          <w:color w:val="auto"/>
          <w:szCs w:val="24"/>
          <w:lang w:val="en-ZA"/>
        </w:rPr>
        <w:t xml:space="preserve"> for me to order the respondents (the applicants in the main applicatio</w:t>
      </w:r>
      <w:r w:rsidR="00C40D56" w:rsidRPr="00C40D56">
        <w:rPr>
          <w:rFonts w:eastAsiaTheme="minorHAnsi"/>
          <w:color w:val="auto"/>
          <w:szCs w:val="24"/>
          <w:lang w:val="en-ZA"/>
        </w:rPr>
        <w:t xml:space="preserve">n for sequestration) to provide </w:t>
      </w:r>
      <w:r w:rsidR="000D240F">
        <w:rPr>
          <w:szCs w:val="24"/>
        </w:rPr>
        <w:t xml:space="preserve">Mr. </w:t>
      </w:r>
      <w:r w:rsidR="00D9601F" w:rsidRPr="00C40D56">
        <w:rPr>
          <w:rFonts w:eastAsiaTheme="minorHAnsi"/>
          <w:color w:val="auto"/>
          <w:szCs w:val="24"/>
          <w:lang w:val="en-ZA"/>
        </w:rPr>
        <w:t>Ben-</w:t>
      </w:r>
      <w:proofErr w:type="spellStart"/>
      <w:r w:rsidR="00D9601F" w:rsidRPr="00C40D56">
        <w:rPr>
          <w:rFonts w:eastAsiaTheme="minorHAnsi"/>
          <w:color w:val="auto"/>
          <w:szCs w:val="24"/>
          <w:lang w:val="en-ZA"/>
        </w:rPr>
        <w:t>Tovim</w:t>
      </w:r>
      <w:proofErr w:type="spellEnd"/>
      <w:r w:rsidR="00D9601F" w:rsidRPr="00C40D56">
        <w:rPr>
          <w:rFonts w:eastAsiaTheme="minorHAnsi"/>
          <w:color w:val="auto"/>
          <w:szCs w:val="24"/>
          <w:lang w:val="en-ZA"/>
        </w:rPr>
        <w:t xml:space="preserve"> </w:t>
      </w:r>
      <w:r w:rsidR="00C40D56" w:rsidRPr="00C40D56">
        <w:rPr>
          <w:rFonts w:eastAsiaTheme="minorHAnsi"/>
          <w:color w:val="auto"/>
          <w:szCs w:val="24"/>
          <w:lang w:val="en-ZA"/>
        </w:rPr>
        <w:t xml:space="preserve">with </w:t>
      </w:r>
      <w:r w:rsidR="00D9601F" w:rsidRPr="00C40D56">
        <w:rPr>
          <w:rFonts w:eastAsiaTheme="minorHAnsi"/>
          <w:color w:val="auto"/>
          <w:szCs w:val="24"/>
          <w:lang w:val="en-ZA"/>
        </w:rPr>
        <w:t>the security of co</w:t>
      </w:r>
      <w:r w:rsidR="003D2870" w:rsidRPr="00C40D56">
        <w:rPr>
          <w:rFonts w:eastAsiaTheme="minorHAnsi"/>
          <w:color w:val="auto"/>
          <w:szCs w:val="24"/>
          <w:lang w:val="en-ZA"/>
        </w:rPr>
        <w:t>s</w:t>
      </w:r>
      <w:r w:rsidR="00D9601F" w:rsidRPr="00C40D56">
        <w:rPr>
          <w:rFonts w:eastAsiaTheme="minorHAnsi"/>
          <w:color w:val="auto"/>
          <w:szCs w:val="24"/>
          <w:lang w:val="en-ZA"/>
        </w:rPr>
        <w:t xml:space="preserve">ts he </w:t>
      </w:r>
      <w:r w:rsidR="00C40D56">
        <w:rPr>
          <w:rFonts w:eastAsiaTheme="minorHAnsi"/>
          <w:color w:val="auto"/>
          <w:szCs w:val="24"/>
          <w:lang w:val="en-ZA"/>
        </w:rPr>
        <w:t>demands</w:t>
      </w:r>
      <w:r w:rsidR="00D9601F" w:rsidRPr="00C40D56">
        <w:rPr>
          <w:rFonts w:eastAsiaTheme="minorHAnsi"/>
          <w:color w:val="auto"/>
          <w:szCs w:val="24"/>
          <w:lang w:val="en-ZA"/>
        </w:rPr>
        <w:t>. I say so for the following reasons.</w:t>
      </w:r>
      <w:r w:rsidR="00C40D56">
        <w:rPr>
          <w:rFonts w:eastAsiaTheme="minorHAnsi"/>
          <w:color w:val="auto"/>
          <w:szCs w:val="24"/>
          <w:lang w:val="en-ZA"/>
        </w:rPr>
        <w:t xml:space="preserve"> In his application</w:t>
      </w:r>
      <w:r w:rsidR="00D9601F" w:rsidRPr="00C40D56">
        <w:rPr>
          <w:rFonts w:eastAsiaTheme="minorHAnsi"/>
          <w:color w:val="auto"/>
          <w:szCs w:val="24"/>
          <w:lang w:val="en-ZA"/>
        </w:rPr>
        <w:t xml:space="preserve"> </w:t>
      </w:r>
      <w:r w:rsidR="000D240F">
        <w:rPr>
          <w:szCs w:val="24"/>
        </w:rPr>
        <w:t xml:space="preserve">Mr. </w:t>
      </w:r>
      <w:r w:rsidR="00B87FA7">
        <w:rPr>
          <w:rFonts w:eastAsiaTheme="minorHAnsi"/>
          <w:color w:val="auto"/>
          <w:szCs w:val="24"/>
          <w:lang w:val="en-ZA"/>
        </w:rPr>
        <w:t>Ben-</w:t>
      </w:r>
      <w:proofErr w:type="spellStart"/>
      <w:r w:rsidR="00C40D56" w:rsidRPr="00C40D56">
        <w:rPr>
          <w:rFonts w:eastAsiaTheme="minorHAnsi"/>
          <w:color w:val="auto"/>
          <w:szCs w:val="24"/>
          <w:lang w:val="en-ZA"/>
        </w:rPr>
        <w:t>Tovim</w:t>
      </w:r>
      <w:proofErr w:type="spellEnd"/>
      <w:r w:rsidR="00C40D56" w:rsidRPr="00C40D56">
        <w:rPr>
          <w:rFonts w:eastAsiaTheme="minorHAnsi"/>
          <w:color w:val="auto"/>
          <w:szCs w:val="24"/>
          <w:lang w:val="en-ZA"/>
        </w:rPr>
        <w:t xml:space="preserve"> </w:t>
      </w:r>
      <w:r w:rsidR="00C40D56">
        <w:rPr>
          <w:szCs w:val="24"/>
        </w:rPr>
        <w:t xml:space="preserve">alleges </w:t>
      </w:r>
      <w:r w:rsidR="00C40D56" w:rsidRPr="00C40D56">
        <w:rPr>
          <w:szCs w:val="24"/>
        </w:rPr>
        <w:t xml:space="preserve">that </w:t>
      </w:r>
      <w:r w:rsidR="00C40D56">
        <w:rPr>
          <w:szCs w:val="24"/>
        </w:rPr>
        <w:t xml:space="preserve">there is a probability that if he successfully opposes the sequestration application it may be difficult, if not impossible, </w:t>
      </w:r>
      <w:r w:rsidR="00A96752">
        <w:rPr>
          <w:szCs w:val="24"/>
        </w:rPr>
        <w:t xml:space="preserve">for him to </w:t>
      </w:r>
      <w:r w:rsidR="00C40D56">
        <w:rPr>
          <w:szCs w:val="24"/>
        </w:rPr>
        <w:t>recoup his costs.</w:t>
      </w:r>
      <w:r w:rsidR="00C40D56" w:rsidRPr="00C40D56">
        <w:rPr>
          <w:szCs w:val="24"/>
        </w:rPr>
        <w:t xml:space="preserve"> </w:t>
      </w:r>
      <w:r w:rsidR="00A96752">
        <w:rPr>
          <w:szCs w:val="24"/>
        </w:rPr>
        <w:t xml:space="preserve">The respondents </w:t>
      </w:r>
      <w:r w:rsidR="00A96752" w:rsidRPr="00C40D56">
        <w:rPr>
          <w:rFonts w:eastAsiaTheme="minorHAnsi"/>
          <w:color w:val="auto"/>
          <w:szCs w:val="24"/>
          <w:lang w:val="en-ZA"/>
        </w:rPr>
        <w:t xml:space="preserve">do not dispute </w:t>
      </w:r>
      <w:r w:rsidR="00A96752">
        <w:rPr>
          <w:rFonts w:eastAsiaTheme="minorHAnsi"/>
          <w:color w:val="auto"/>
          <w:szCs w:val="24"/>
          <w:lang w:val="en-ZA"/>
        </w:rPr>
        <w:t xml:space="preserve">this allegation by </w:t>
      </w:r>
      <w:r w:rsidR="000D240F">
        <w:rPr>
          <w:szCs w:val="24"/>
        </w:rPr>
        <w:t xml:space="preserve">Mr. </w:t>
      </w:r>
      <w:r w:rsidR="00A96752" w:rsidRPr="00C40D56">
        <w:rPr>
          <w:rFonts w:eastAsiaTheme="minorHAnsi"/>
          <w:color w:val="auto"/>
          <w:szCs w:val="24"/>
          <w:lang w:val="en-ZA"/>
        </w:rPr>
        <w:t>Ben-</w:t>
      </w:r>
      <w:proofErr w:type="spellStart"/>
      <w:r w:rsidR="00A96752" w:rsidRPr="00C40D56">
        <w:rPr>
          <w:rFonts w:eastAsiaTheme="minorHAnsi"/>
          <w:color w:val="auto"/>
          <w:szCs w:val="24"/>
          <w:lang w:val="en-ZA"/>
        </w:rPr>
        <w:t>Tovim</w:t>
      </w:r>
      <w:proofErr w:type="spellEnd"/>
      <w:r w:rsidR="00A96752">
        <w:rPr>
          <w:rFonts w:eastAsiaTheme="minorHAnsi"/>
          <w:color w:val="auto"/>
          <w:szCs w:val="24"/>
          <w:lang w:val="en-ZA"/>
        </w:rPr>
        <w:t>.</w:t>
      </w:r>
      <w:r w:rsidR="00A96752" w:rsidRPr="00C40D56">
        <w:rPr>
          <w:rFonts w:eastAsiaTheme="minorHAnsi"/>
          <w:color w:val="auto"/>
          <w:szCs w:val="24"/>
          <w:lang w:val="en-ZA"/>
        </w:rPr>
        <w:t xml:space="preserve"> </w:t>
      </w:r>
      <w:r w:rsidR="00C40D56" w:rsidRPr="00C40D56">
        <w:rPr>
          <w:szCs w:val="24"/>
        </w:rPr>
        <w:t>The respondent</w:t>
      </w:r>
      <w:r w:rsidR="00C40D56">
        <w:rPr>
          <w:szCs w:val="24"/>
        </w:rPr>
        <w:t>s</w:t>
      </w:r>
      <w:r w:rsidR="00C40D56" w:rsidRPr="00C40D56">
        <w:rPr>
          <w:szCs w:val="24"/>
        </w:rPr>
        <w:t xml:space="preserve"> </w:t>
      </w:r>
      <w:r w:rsidR="00A96752">
        <w:rPr>
          <w:szCs w:val="24"/>
        </w:rPr>
        <w:t>furthermore do not</w:t>
      </w:r>
      <w:r w:rsidR="00C40D56" w:rsidRPr="00C40D56">
        <w:rPr>
          <w:szCs w:val="24"/>
        </w:rPr>
        <w:t xml:space="preserve"> establish that </w:t>
      </w:r>
      <w:r w:rsidR="00A96752">
        <w:rPr>
          <w:szCs w:val="24"/>
        </w:rPr>
        <w:t xml:space="preserve">an order directing them to provide security </w:t>
      </w:r>
      <w:r w:rsidR="00C40D56" w:rsidRPr="00C40D56">
        <w:rPr>
          <w:szCs w:val="24"/>
        </w:rPr>
        <w:t xml:space="preserve">for costs might well result in </w:t>
      </w:r>
      <w:r>
        <w:rPr>
          <w:szCs w:val="24"/>
        </w:rPr>
        <w:t xml:space="preserve">them </w:t>
      </w:r>
      <w:r w:rsidR="00C40D56" w:rsidRPr="00C40D56">
        <w:rPr>
          <w:szCs w:val="24"/>
        </w:rPr>
        <w:t xml:space="preserve">being unable to pursue the litigation </w:t>
      </w:r>
      <w:r>
        <w:rPr>
          <w:szCs w:val="24"/>
        </w:rPr>
        <w:t xml:space="preserve">in this Court. </w:t>
      </w:r>
      <w:r>
        <w:rPr>
          <w:bCs/>
        </w:rPr>
        <w:t>Consequ</w:t>
      </w:r>
      <w:r w:rsidR="007951B5">
        <w:rPr>
          <w:bCs/>
        </w:rPr>
        <w:t>ently, I am of the view that</w:t>
      </w:r>
      <w:r>
        <w:rPr>
          <w:bCs/>
        </w:rPr>
        <w:t xml:space="preserve"> </w:t>
      </w:r>
      <w:r w:rsidR="000D240F">
        <w:rPr>
          <w:szCs w:val="24"/>
        </w:rPr>
        <w:t xml:space="preserve">Mr. </w:t>
      </w:r>
      <w:r w:rsidR="00B87FA7">
        <w:rPr>
          <w:bCs/>
        </w:rPr>
        <w:t>Ben-</w:t>
      </w:r>
      <w:proofErr w:type="spellStart"/>
      <w:r w:rsidR="001151DB">
        <w:rPr>
          <w:bCs/>
        </w:rPr>
        <w:t>Tovim</w:t>
      </w:r>
      <w:proofErr w:type="spellEnd"/>
      <w:r>
        <w:rPr>
          <w:bCs/>
        </w:rPr>
        <w:t xml:space="preserve"> is entitled to </w:t>
      </w:r>
      <w:r w:rsidR="001151DB">
        <w:rPr>
          <w:bCs/>
        </w:rPr>
        <w:t xml:space="preserve">demand </w:t>
      </w:r>
      <w:r>
        <w:rPr>
          <w:bCs/>
        </w:rPr>
        <w:t>security for costs</w:t>
      </w:r>
      <w:r w:rsidR="001151DB">
        <w:rPr>
          <w:bCs/>
        </w:rPr>
        <w:t xml:space="preserve"> from the respondents</w:t>
      </w:r>
      <w:r>
        <w:rPr>
          <w:bCs/>
        </w:rPr>
        <w:t>.</w:t>
      </w:r>
    </w:p>
    <w:p w14:paraId="665C74DA" w14:textId="77777777" w:rsidR="00C40D56" w:rsidRDefault="00C40D56" w:rsidP="001151DB">
      <w:pPr>
        <w:spacing w:after="0" w:line="360" w:lineRule="auto"/>
        <w:ind w:left="0" w:right="37" w:firstLine="0"/>
        <w:rPr>
          <w:szCs w:val="24"/>
        </w:rPr>
      </w:pPr>
    </w:p>
    <w:p w14:paraId="03FBB4A7" w14:textId="6B2D16F8" w:rsidR="00CD333A" w:rsidRPr="001151DB" w:rsidRDefault="005232F3" w:rsidP="001151DB">
      <w:pPr>
        <w:spacing w:after="0" w:line="360" w:lineRule="auto"/>
        <w:ind w:left="0" w:right="37" w:firstLine="0"/>
        <w:rPr>
          <w:rFonts w:eastAsiaTheme="minorHAnsi"/>
          <w:color w:val="auto"/>
          <w:szCs w:val="24"/>
          <w:lang w:val="en-ZA"/>
        </w:rPr>
      </w:pPr>
      <w:r w:rsidRPr="001151DB">
        <w:rPr>
          <w:rFonts w:eastAsiaTheme="minorHAnsi"/>
          <w:color w:val="auto"/>
          <w:szCs w:val="24"/>
          <w:lang w:val="en-ZA"/>
        </w:rPr>
        <w:t>[23]</w:t>
      </w:r>
      <w:r w:rsidRPr="001151DB">
        <w:rPr>
          <w:rFonts w:eastAsiaTheme="minorHAnsi"/>
          <w:color w:val="auto"/>
          <w:szCs w:val="24"/>
          <w:lang w:val="en-ZA"/>
        </w:rPr>
        <w:tab/>
      </w:r>
      <w:r w:rsidR="001151DB" w:rsidRPr="001151DB">
        <w:rPr>
          <w:rFonts w:eastAsiaTheme="minorHAnsi"/>
          <w:color w:val="auto"/>
          <w:szCs w:val="24"/>
          <w:lang w:val="en-ZA"/>
        </w:rPr>
        <w:t xml:space="preserve">For the reasons set out in this judgment I </w:t>
      </w:r>
      <w:r w:rsidR="007951B5">
        <w:rPr>
          <w:rFonts w:eastAsiaTheme="minorHAnsi"/>
          <w:color w:val="auto"/>
          <w:szCs w:val="24"/>
          <w:lang w:val="en-ZA"/>
        </w:rPr>
        <w:t xml:space="preserve">make </w:t>
      </w:r>
      <w:r w:rsidR="00FC6237" w:rsidRPr="001151DB">
        <w:rPr>
          <w:rFonts w:eastAsiaTheme="minorHAnsi"/>
          <w:color w:val="auto"/>
          <w:szCs w:val="24"/>
          <w:lang w:val="en-ZA"/>
        </w:rPr>
        <w:t xml:space="preserve">the following order: </w:t>
      </w:r>
    </w:p>
    <w:p w14:paraId="6A4E1BE5" w14:textId="77777777" w:rsidR="00FC6237" w:rsidRPr="001151DB" w:rsidRDefault="00FC6237" w:rsidP="001151DB">
      <w:pPr>
        <w:spacing w:after="0" w:line="360" w:lineRule="auto"/>
        <w:ind w:left="0" w:right="37" w:firstLine="0"/>
        <w:rPr>
          <w:rFonts w:eastAsiaTheme="minorHAnsi"/>
          <w:color w:val="auto"/>
          <w:szCs w:val="24"/>
          <w:lang w:val="en-ZA"/>
        </w:rPr>
      </w:pPr>
    </w:p>
    <w:p w14:paraId="519106FE" w14:textId="0261149F" w:rsidR="001151DB" w:rsidRPr="0023528D" w:rsidRDefault="001151DB" w:rsidP="0023528D">
      <w:pPr>
        <w:pStyle w:val="ListParagraph"/>
        <w:numPr>
          <w:ilvl w:val="0"/>
          <w:numId w:val="5"/>
        </w:numPr>
        <w:spacing w:after="0" w:line="360" w:lineRule="auto"/>
        <w:ind w:left="0" w:firstLine="0"/>
        <w:jc w:val="both"/>
        <w:rPr>
          <w:rFonts w:ascii="Arial" w:hAnsi="Arial" w:cs="Arial"/>
          <w:i/>
          <w:sz w:val="24"/>
          <w:szCs w:val="24"/>
        </w:rPr>
      </w:pPr>
      <w:r w:rsidRPr="001151DB">
        <w:rPr>
          <w:rFonts w:ascii="Arial" w:hAnsi="Arial" w:cs="Arial"/>
          <w:sz w:val="24"/>
          <w:szCs w:val="24"/>
        </w:rPr>
        <w:t xml:space="preserve">The </w:t>
      </w:r>
      <w:r>
        <w:rPr>
          <w:rFonts w:ascii="Arial" w:hAnsi="Arial" w:cs="Arial"/>
          <w:sz w:val="24"/>
          <w:szCs w:val="24"/>
        </w:rPr>
        <w:t>respondents are</w:t>
      </w:r>
      <w:r w:rsidRPr="001151DB">
        <w:rPr>
          <w:rFonts w:ascii="Arial" w:hAnsi="Arial" w:cs="Arial"/>
          <w:sz w:val="24"/>
          <w:szCs w:val="24"/>
        </w:rPr>
        <w:t xml:space="preserve"> ordered to furnish security for costs to the </w:t>
      </w:r>
      <w:r w:rsidR="0023528D">
        <w:rPr>
          <w:rFonts w:ascii="Arial" w:hAnsi="Arial" w:cs="Arial"/>
          <w:sz w:val="24"/>
          <w:szCs w:val="24"/>
        </w:rPr>
        <w:t>applicant (</w:t>
      </w:r>
      <w:r w:rsidR="000D240F" w:rsidRPr="000D240F">
        <w:rPr>
          <w:rFonts w:ascii="Arial" w:hAnsi="Arial" w:cs="Arial"/>
          <w:sz w:val="24"/>
          <w:szCs w:val="24"/>
        </w:rPr>
        <w:t xml:space="preserve">Mr. </w:t>
      </w:r>
      <w:r w:rsidR="00B87FA7">
        <w:rPr>
          <w:rFonts w:ascii="Arial" w:hAnsi="Arial" w:cs="Arial"/>
          <w:sz w:val="24"/>
          <w:szCs w:val="24"/>
        </w:rPr>
        <w:t>Ben–</w:t>
      </w:r>
      <w:proofErr w:type="spellStart"/>
      <w:r w:rsidR="0023528D">
        <w:rPr>
          <w:rFonts w:ascii="Arial" w:hAnsi="Arial" w:cs="Arial"/>
          <w:sz w:val="24"/>
          <w:szCs w:val="24"/>
        </w:rPr>
        <w:t>Tovim</w:t>
      </w:r>
      <w:proofErr w:type="spellEnd"/>
      <w:r w:rsidR="0023528D">
        <w:rPr>
          <w:rFonts w:ascii="Arial" w:hAnsi="Arial" w:cs="Arial"/>
          <w:sz w:val="24"/>
          <w:szCs w:val="24"/>
        </w:rPr>
        <w:t xml:space="preserve">) </w:t>
      </w:r>
      <w:r w:rsidRPr="001151DB">
        <w:rPr>
          <w:rFonts w:ascii="Arial" w:hAnsi="Arial" w:cs="Arial"/>
          <w:sz w:val="24"/>
          <w:szCs w:val="24"/>
        </w:rPr>
        <w:t xml:space="preserve">in a manner, form and quantity to be assessed by the </w:t>
      </w:r>
      <w:r w:rsidR="0023528D">
        <w:rPr>
          <w:rFonts w:ascii="Arial" w:hAnsi="Arial" w:cs="Arial"/>
          <w:sz w:val="24"/>
          <w:szCs w:val="24"/>
        </w:rPr>
        <w:t>R</w:t>
      </w:r>
      <w:r w:rsidRPr="001151DB">
        <w:rPr>
          <w:rFonts w:ascii="Arial" w:hAnsi="Arial" w:cs="Arial"/>
          <w:sz w:val="24"/>
          <w:szCs w:val="24"/>
        </w:rPr>
        <w:t>egistrar.</w:t>
      </w:r>
    </w:p>
    <w:p w14:paraId="43C62034" w14:textId="77777777" w:rsidR="0023528D" w:rsidRPr="001151DB" w:rsidRDefault="0023528D" w:rsidP="0023528D">
      <w:pPr>
        <w:pStyle w:val="ListParagraph"/>
        <w:spacing w:after="0" w:line="360" w:lineRule="auto"/>
        <w:ind w:left="0"/>
        <w:jc w:val="both"/>
        <w:rPr>
          <w:rFonts w:ascii="Arial" w:hAnsi="Arial" w:cs="Arial"/>
          <w:i/>
          <w:sz w:val="24"/>
          <w:szCs w:val="24"/>
        </w:rPr>
      </w:pPr>
    </w:p>
    <w:p w14:paraId="22CE543E" w14:textId="77777777" w:rsidR="001151DB" w:rsidRPr="0023528D" w:rsidRDefault="001151DB" w:rsidP="0023528D">
      <w:pPr>
        <w:pStyle w:val="ListParagraph"/>
        <w:numPr>
          <w:ilvl w:val="0"/>
          <w:numId w:val="5"/>
        </w:numPr>
        <w:spacing w:after="0" w:line="360" w:lineRule="auto"/>
        <w:ind w:left="0" w:firstLine="0"/>
        <w:jc w:val="both"/>
        <w:rPr>
          <w:rFonts w:ascii="Arial" w:hAnsi="Arial" w:cs="Arial"/>
          <w:i/>
          <w:sz w:val="24"/>
          <w:szCs w:val="24"/>
        </w:rPr>
      </w:pPr>
      <w:r w:rsidRPr="001151DB">
        <w:rPr>
          <w:rFonts w:ascii="Arial" w:hAnsi="Arial" w:cs="Arial"/>
          <w:sz w:val="24"/>
          <w:szCs w:val="24"/>
        </w:rPr>
        <w:t xml:space="preserve">The </w:t>
      </w:r>
      <w:r w:rsidR="0023528D">
        <w:rPr>
          <w:rFonts w:ascii="Arial" w:hAnsi="Arial" w:cs="Arial"/>
          <w:sz w:val="24"/>
          <w:szCs w:val="24"/>
        </w:rPr>
        <w:t>parties must</w:t>
      </w:r>
      <w:r w:rsidRPr="001151DB">
        <w:rPr>
          <w:rFonts w:ascii="Arial" w:hAnsi="Arial" w:cs="Arial"/>
          <w:sz w:val="24"/>
          <w:szCs w:val="24"/>
        </w:rPr>
        <w:t xml:space="preserve">, </w:t>
      </w:r>
      <w:r w:rsidR="0023528D">
        <w:rPr>
          <w:rFonts w:ascii="Arial" w:hAnsi="Arial" w:cs="Arial"/>
          <w:sz w:val="24"/>
          <w:szCs w:val="24"/>
        </w:rPr>
        <w:t>not later than 7 days from the date that this judgment is issued,</w:t>
      </w:r>
      <w:r w:rsidRPr="001151DB">
        <w:rPr>
          <w:rFonts w:ascii="Arial" w:hAnsi="Arial" w:cs="Arial"/>
          <w:sz w:val="24"/>
          <w:szCs w:val="24"/>
        </w:rPr>
        <w:t xml:space="preserve"> </w:t>
      </w:r>
      <w:r w:rsidR="0023528D">
        <w:rPr>
          <w:rFonts w:ascii="Arial" w:hAnsi="Arial" w:cs="Arial"/>
          <w:sz w:val="24"/>
          <w:szCs w:val="24"/>
        </w:rPr>
        <w:t xml:space="preserve">approach the Registrar to request a </w:t>
      </w:r>
      <w:r w:rsidRPr="001151DB">
        <w:rPr>
          <w:rFonts w:ascii="Arial" w:hAnsi="Arial" w:cs="Arial"/>
          <w:sz w:val="24"/>
          <w:szCs w:val="24"/>
        </w:rPr>
        <w:t>meeting where at the assessment of the nature, form and quantum of the security for costs is to be made.</w:t>
      </w:r>
    </w:p>
    <w:p w14:paraId="608290D5" w14:textId="77777777" w:rsidR="0023528D" w:rsidRPr="0023528D" w:rsidRDefault="0023528D" w:rsidP="0023528D">
      <w:pPr>
        <w:pStyle w:val="ListParagraph"/>
        <w:rPr>
          <w:rFonts w:ascii="Arial" w:hAnsi="Arial" w:cs="Arial"/>
          <w:i/>
          <w:sz w:val="24"/>
          <w:szCs w:val="24"/>
        </w:rPr>
      </w:pPr>
    </w:p>
    <w:p w14:paraId="0BFB3212" w14:textId="77777777" w:rsidR="001151DB" w:rsidRPr="001151DB" w:rsidRDefault="001151DB" w:rsidP="00CD3CAD">
      <w:pPr>
        <w:pStyle w:val="ListParagraph"/>
        <w:numPr>
          <w:ilvl w:val="0"/>
          <w:numId w:val="5"/>
        </w:numPr>
        <w:spacing w:after="0" w:line="360" w:lineRule="auto"/>
        <w:ind w:left="0" w:firstLine="0"/>
        <w:jc w:val="both"/>
        <w:rPr>
          <w:rFonts w:ascii="Arial" w:hAnsi="Arial" w:cs="Arial"/>
          <w:sz w:val="24"/>
          <w:szCs w:val="24"/>
        </w:rPr>
      </w:pPr>
      <w:r w:rsidRPr="001151DB">
        <w:rPr>
          <w:rFonts w:ascii="Arial" w:hAnsi="Arial" w:cs="Arial"/>
          <w:sz w:val="24"/>
          <w:szCs w:val="24"/>
        </w:rPr>
        <w:t xml:space="preserve">The matter is postponed to </w:t>
      </w:r>
      <w:r w:rsidR="0023528D" w:rsidRPr="00CD3CAD">
        <w:rPr>
          <w:rFonts w:ascii="Arial" w:hAnsi="Arial" w:cs="Arial"/>
          <w:b/>
          <w:sz w:val="24"/>
          <w:szCs w:val="24"/>
        </w:rPr>
        <w:t>30 May 2018 at 08:30</w:t>
      </w:r>
      <w:r w:rsidR="0023528D">
        <w:rPr>
          <w:rFonts w:ascii="Arial" w:hAnsi="Arial" w:cs="Arial"/>
          <w:sz w:val="24"/>
          <w:szCs w:val="24"/>
        </w:rPr>
        <w:t xml:space="preserve"> for status hearing on the case management roll of Justice </w:t>
      </w:r>
      <w:proofErr w:type="spellStart"/>
      <w:r w:rsidR="0023528D">
        <w:rPr>
          <w:rFonts w:ascii="Arial" w:hAnsi="Arial" w:cs="Arial"/>
          <w:sz w:val="24"/>
          <w:szCs w:val="24"/>
        </w:rPr>
        <w:t>Geier</w:t>
      </w:r>
      <w:proofErr w:type="spellEnd"/>
      <w:r w:rsidR="0023528D">
        <w:rPr>
          <w:rFonts w:ascii="Arial" w:hAnsi="Arial" w:cs="Arial"/>
          <w:sz w:val="24"/>
          <w:szCs w:val="24"/>
        </w:rPr>
        <w:t>.</w:t>
      </w:r>
    </w:p>
    <w:p w14:paraId="3EBC853A" w14:textId="77777777" w:rsidR="001151DB" w:rsidRPr="009215B3" w:rsidRDefault="001151DB" w:rsidP="001151DB">
      <w:pPr>
        <w:pStyle w:val="ListParagraph"/>
        <w:spacing w:line="360" w:lineRule="auto"/>
        <w:ind w:left="1080"/>
        <w:jc w:val="both"/>
        <w:rPr>
          <w:rFonts w:ascii="Arial" w:hAnsi="Arial" w:cs="Arial"/>
        </w:rPr>
      </w:pPr>
    </w:p>
    <w:p w14:paraId="68BE0E7A" w14:textId="57C98733" w:rsidR="00CD333A" w:rsidRPr="002D3926" w:rsidRDefault="00CD3CAD" w:rsidP="002D3926">
      <w:pPr>
        <w:pStyle w:val="ListParagraph"/>
        <w:numPr>
          <w:ilvl w:val="0"/>
          <w:numId w:val="6"/>
        </w:numPr>
        <w:tabs>
          <w:tab w:val="left" w:pos="0"/>
        </w:tabs>
        <w:spacing w:after="0" w:line="360" w:lineRule="auto"/>
        <w:ind w:left="0" w:firstLine="0"/>
        <w:rPr>
          <w:rFonts w:ascii="Arial" w:hAnsi="Arial" w:cs="Arial"/>
          <w:sz w:val="24"/>
          <w:szCs w:val="24"/>
        </w:rPr>
      </w:pPr>
      <w:r w:rsidRPr="002D3926">
        <w:rPr>
          <w:rFonts w:ascii="Arial" w:hAnsi="Arial" w:cs="Arial"/>
          <w:sz w:val="24"/>
          <w:szCs w:val="24"/>
        </w:rPr>
        <w:t>The respondents must subject to Rule 32(11) pay the applicant’s costs of the application for security of costs.</w:t>
      </w:r>
      <w:bookmarkStart w:id="0" w:name="_GoBack"/>
      <w:bookmarkEnd w:id="0"/>
    </w:p>
    <w:p w14:paraId="6160C099" w14:textId="77777777" w:rsidR="00B87FA7" w:rsidRDefault="00B87FA7" w:rsidP="00B87FA7">
      <w:pPr>
        <w:pStyle w:val="ListParagraph"/>
        <w:tabs>
          <w:tab w:val="left" w:pos="720"/>
        </w:tabs>
        <w:spacing w:after="0" w:line="360" w:lineRule="auto"/>
        <w:rPr>
          <w:i/>
          <w:szCs w:val="24"/>
        </w:rPr>
      </w:pPr>
    </w:p>
    <w:p w14:paraId="178B1CF0" w14:textId="77777777" w:rsidR="00B87FA7" w:rsidRPr="00B87FA7" w:rsidRDefault="00B87FA7" w:rsidP="00B87FA7">
      <w:pPr>
        <w:pStyle w:val="ListParagraph"/>
        <w:tabs>
          <w:tab w:val="left" w:pos="720"/>
        </w:tabs>
        <w:spacing w:after="0" w:line="360" w:lineRule="auto"/>
        <w:rPr>
          <w:i/>
          <w:szCs w:val="24"/>
        </w:rPr>
      </w:pPr>
    </w:p>
    <w:p w14:paraId="5E3E58D4" w14:textId="77777777" w:rsidR="0091708A" w:rsidRPr="00A60CCD" w:rsidRDefault="00422E59" w:rsidP="0023528D">
      <w:pPr>
        <w:autoSpaceDE w:val="0"/>
        <w:autoSpaceDN w:val="0"/>
        <w:adjustRightInd w:val="0"/>
        <w:spacing w:after="0" w:line="240" w:lineRule="auto"/>
        <w:ind w:left="0" w:right="0" w:firstLine="0"/>
        <w:jc w:val="right"/>
        <w:rPr>
          <w:color w:val="auto"/>
          <w:szCs w:val="24"/>
        </w:rPr>
      </w:pPr>
      <w:r w:rsidRPr="00A60CCD">
        <w:rPr>
          <w:rFonts w:eastAsiaTheme="minorEastAsia"/>
          <w:color w:val="auto"/>
          <w:szCs w:val="24"/>
        </w:rPr>
        <w:lastRenderedPageBreak/>
        <w:t>.</w:t>
      </w:r>
      <w:r w:rsidR="00815D0C" w:rsidRPr="00A60CCD">
        <w:rPr>
          <w:color w:val="auto"/>
          <w:szCs w:val="24"/>
        </w:rPr>
        <w:t xml:space="preserve">---------------------------------  </w:t>
      </w:r>
    </w:p>
    <w:p w14:paraId="18E2962F" w14:textId="4EE1DD2E" w:rsidR="0091708A" w:rsidRPr="00A60CCD" w:rsidRDefault="00B87FA7" w:rsidP="00B87FA7">
      <w:pPr>
        <w:spacing w:after="0" w:line="240" w:lineRule="auto"/>
        <w:jc w:val="center"/>
        <w:rPr>
          <w:szCs w:val="24"/>
        </w:rPr>
      </w:pPr>
      <w:r>
        <w:rPr>
          <w:szCs w:val="24"/>
        </w:rPr>
        <w:t xml:space="preserve">                                                                                             </w:t>
      </w:r>
      <w:r w:rsidR="00815D0C" w:rsidRPr="00A60CCD">
        <w:rPr>
          <w:szCs w:val="24"/>
        </w:rPr>
        <w:t xml:space="preserve">SFI </w:t>
      </w:r>
      <w:proofErr w:type="spellStart"/>
      <w:r w:rsidR="00815D0C" w:rsidRPr="00A60CCD">
        <w:rPr>
          <w:szCs w:val="24"/>
        </w:rPr>
        <w:t>Ueitele</w:t>
      </w:r>
      <w:proofErr w:type="spellEnd"/>
      <w:r w:rsidR="00815D0C" w:rsidRPr="00A60CCD">
        <w:rPr>
          <w:szCs w:val="24"/>
        </w:rPr>
        <w:t xml:space="preserve">  </w:t>
      </w:r>
    </w:p>
    <w:p w14:paraId="1D07F4CF" w14:textId="49EF1E2E" w:rsidR="0023528D" w:rsidRDefault="00B87FA7" w:rsidP="00B87FA7">
      <w:pPr>
        <w:spacing w:after="0" w:line="240" w:lineRule="auto"/>
        <w:jc w:val="center"/>
        <w:rPr>
          <w:szCs w:val="24"/>
        </w:rPr>
      </w:pPr>
      <w:r>
        <w:rPr>
          <w:szCs w:val="24"/>
        </w:rPr>
        <w:t xml:space="preserve">                                                                                    </w:t>
      </w:r>
      <w:r w:rsidR="00815D0C" w:rsidRPr="00A60CCD">
        <w:rPr>
          <w:szCs w:val="24"/>
        </w:rPr>
        <w:t xml:space="preserve">Judge </w:t>
      </w:r>
    </w:p>
    <w:p w14:paraId="5547740D" w14:textId="77777777" w:rsidR="00F403F1" w:rsidRPr="00A60CCD" w:rsidRDefault="00815D0C" w:rsidP="0023528D">
      <w:pPr>
        <w:spacing w:after="0" w:line="240" w:lineRule="auto"/>
        <w:jc w:val="right"/>
        <w:rPr>
          <w:szCs w:val="24"/>
        </w:rPr>
      </w:pPr>
      <w:r w:rsidRPr="00A60CCD">
        <w:rPr>
          <w:szCs w:val="24"/>
        </w:rPr>
        <w:t xml:space="preserve"> </w:t>
      </w:r>
    </w:p>
    <w:p w14:paraId="756596D6" w14:textId="77777777" w:rsidR="00B87FA7" w:rsidRDefault="00B87FA7" w:rsidP="00A60CCD">
      <w:pPr>
        <w:spacing w:after="0" w:line="360" w:lineRule="auto"/>
        <w:rPr>
          <w:b/>
          <w:szCs w:val="24"/>
        </w:rPr>
      </w:pPr>
    </w:p>
    <w:p w14:paraId="55587E8F" w14:textId="77777777" w:rsidR="00B87FA7" w:rsidRDefault="00B87FA7" w:rsidP="00A60CCD">
      <w:pPr>
        <w:spacing w:after="0" w:line="360" w:lineRule="auto"/>
        <w:rPr>
          <w:b/>
          <w:szCs w:val="24"/>
        </w:rPr>
      </w:pPr>
    </w:p>
    <w:p w14:paraId="3EFC26AA" w14:textId="77777777" w:rsidR="00B87FA7" w:rsidRDefault="00B87FA7" w:rsidP="00A60CCD">
      <w:pPr>
        <w:spacing w:after="0" w:line="360" w:lineRule="auto"/>
        <w:rPr>
          <w:b/>
          <w:szCs w:val="24"/>
        </w:rPr>
      </w:pPr>
    </w:p>
    <w:p w14:paraId="6A64251E" w14:textId="77777777" w:rsidR="00B87FA7" w:rsidRDefault="00B87FA7" w:rsidP="00A60CCD">
      <w:pPr>
        <w:spacing w:after="0" w:line="360" w:lineRule="auto"/>
        <w:rPr>
          <w:b/>
          <w:szCs w:val="24"/>
        </w:rPr>
      </w:pPr>
    </w:p>
    <w:p w14:paraId="1EF0D62E" w14:textId="77777777" w:rsidR="00B87FA7" w:rsidRDefault="00B87FA7" w:rsidP="00A60CCD">
      <w:pPr>
        <w:spacing w:after="0" w:line="360" w:lineRule="auto"/>
        <w:rPr>
          <w:b/>
          <w:szCs w:val="24"/>
        </w:rPr>
      </w:pPr>
    </w:p>
    <w:p w14:paraId="185553DE" w14:textId="77777777" w:rsidR="00B87FA7" w:rsidRDefault="00B87FA7" w:rsidP="00A60CCD">
      <w:pPr>
        <w:spacing w:after="0" w:line="360" w:lineRule="auto"/>
        <w:rPr>
          <w:b/>
          <w:szCs w:val="24"/>
        </w:rPr>
      </w:pPr>
    </w:p>
    <w:p w14:paraId="1C7F251F" w14:textId="77777777" w:rsidR="00B87FA7" w:rsidRDefault="00B87FA7" w:rsidP="00A60CCD">
      <w:pPr>
        <w:spacing w:after="0" w:line="360" w:lineRule="auto"/>
        <w:rPr>
          <w:b/>
          <w:szCs w:val="24"/>
        </w:rPr>
      </w:pPr>
    </w:p>
    <w:p w14:paraId="54BFD5F3" w14:textId="77777777" w:rsidR="00B87FA7" w:rsidRDefault="00B87FA7" w:rsidP="00A60CCD">
      <w:pPr>
        <w:spacing w:after="0" w:line="360" w:lineRule="auto"/>
        <w:rPr>
          <w:b/>
          <w:szCs w:val="24"/>
        </w:rPr>
      </w:pPr>
    </w:p>
    <w:p w14:paraId="5E7FB440" w14:textId="77777777" w:rsidR="00B87FA7" w:rsidRDefault="00B87FA7" w:rsidP="00A60CCD">
      <w:pPr>
        <w:spacing w:after="0" w:line="360" w:lineRule="auto"/>
        <w:rPr>
          <w:b/>
          <w:szCs w:val="24"/>
        </w:rPr>
      </w:pPr>
    </w:p>
    <w:p w14:paraId="6432E772" w14:textId="77777777" w:rsidR="00B87FA7" w:rsidRDefault="00B87FA7" w:rsidP="00A60CCD">
      <w:pPr>
        <w:spacing w:after="0" w:line="360" w:lineRule="auto"/>
        <w:rPr>
          <w:b/>
          <w:szCs w:val="24"/>
        </w:rPr>
      </w:pPr>
    </w:p>
    <w:p w14:paraId="0FE5E559" w14:textId="77777777" w:rsidR="00B87FA7" w:rsidRDefault="00B87FA7" w:rsidP="00A60CCD">
      <w:pPr>
        <w:spacing w:after="0" w:line="360" w:lineRule="auto"/>
        <w:rPr>
          <w:b/>
          <w:szCs w:val="24"/>
        </w:rPr>
      </w:pPr>
    </w:p>
    <w:p w14:paraId="019C2E26" w14:textId="77777777" w:rsidR="00B87FA7" w:rsidRDefault="00B87FA7" w:rsidP="00A60CCD">
      <w:pPr>
        <w:spacing w:after="0" w:line="360" w:lineRule="auto"/>
        <w:rPr>
          <w:b/>
          <w:szCs w:val="24"/>
        </w:rPr>
      </w:pPr>
    </w:p>
    <w:p w14:paraId="5FA31EBA" w14:textId="77777777" w:rsidR="00B87FA7" w:rsidRDefault="00B87FA7" w:rsidP="00A60CCD">
      <w:pPr>
        <w:spacing w:after="0" w:line="360" w:lineRule="auto"/>
        <w:rPr>
          <w:b/>
          <w:szCs w:val="24"/>
        </w:rPr>
      </w:pPr>
    </w:p>
    <w:p w14:paraId="0FDEA4E2" w14:textId="77777777" w:rsidR="00B87FA7" w:rsidRDefault="00B87FA7" w:rsidP="00A60CCD">
      <w:pPr>
        <w:spacing w:after="0" w:line="360" w:lineRule="auto"/>
        <w:rPr>
          <w:b/>
          <w:szCs w:val="24"/>
        </w:rPr>
      </w:pPr>
    </w:p>
    <w:p w14:paraId="6B6832D6" w14:textId="77777777" w:rsidR="00B87FA7" w:rsidRDefault="00B87FA7" w:rsidP="00A60CCD">
      <w:pPr>
        <w:spacing w:after="0" w:line="360" w:lineRule="auto"/>
        <w:rPr>
          <w:b/>
          <w:szCs w:val="24"/>
        </w:rPr>
      </w:pPr>
    </w:p>
    <w:p w14:paraId="1773398D" w14:textId="77777777" w:rsidR="00B87FA7" w:rsidRDefault="00B87FA7" w:rsidP="00A60CCD">
      <w:pPr>
        <w:spacing w:after="0" w:line="360" w:lineRule="auto"/>
        <w:rPr>
          <w:b/>
          <w:szCs w:val="24"/>
        </w:rPr>
      </w:pPr>
    </w:p>
    <w:p w14:paraId="3A7388CD" w14:textId="77777777" w:rsidR="00B87FA7" w:rsidRDefault="00B87FA7" w:rsidP="00A60CCD">
      <w:pPr>
        <w:spacing w:after="0" w:line="360" w:lineRule="auto"/>
        <w:rPr>
          <w:b/>
          <w:szCs w:val="24"/>
        </w:rPr>
      </w:pPr>
    </w:p>
    <w:p w14:paraId="7D53EB3F" w14:textId="77777777" w:rsidR="00B87FA7" w:rsidRDefault="00B87FA7" w:rsidP="00A60CCD">
      <w:pPr>
        <w:spacing w:after="0" w:line="360" w:lineRule="auto"/>
        <w:rPr>
          <w:b/>
          <w:szCs w:val="24"/>
        </w:rPr>
      </w:pPr>
    </w:p>
    <w:p w14:paraId="1774DABB" w14:textId="77777777" w:rsidR="00B87FA7" w:rsidRDefault="00B87FA7" w:rsidP="00A60CCD">
      <w:pPr>
        <w:spacing w:after="0" w:line="360" w:lineRule="auto"/>
        <w:rPr>
          <w:b/>
          <w:szCs w:val="24"/>
        </w:rPr>
      </w:pPr>
    </w:p>
    <w:p w14:paraId="78F801BC" w14:textId="77777777" w:rsidR="00B87FA7" w:rsidRDefault="00B87FA7" w:rsidP="00A60CCD">
      <w:pPr>
        <w:spacing w:after="0" w:line="360" w:lineRule="auto"/>
        <w:rPr>
          <w:b/>
          <w:szCs w:val="24"/>
        </w:rPr>
      </w:pPr>
    </w:p>
    <w:p w14:paraId="5D678647" w14:textId="77777777" w:rsidR="00B87FA7" w:rsidRDefault="00B87FA7" w:rsidP="00A60CCD">
      <w:pPr>
        <w:spacing w:after="0" w:line="360" w:lineRule="auto"/>
        <w:rPr>
          <w:b/>
          <w:szCs w:val="24"/>
        </w:rPr>
      </w:pPr>
    </w:p>
    <w:p w14:paraId="67972ABB" w14:textId="77777777" w:rsidR="00B87FA7" w:rsidRDefault="00B87FA7" w:rsidP="00A60CCD">
      <w:pPr>
        <w:spacing w:after="0" w:line="360" w:lineRule="auto"/>
        <w:rPr>
          <w:b/>
          <w:szCs w:val="24"/>
        </w:rPr>
      </w:pPr>
    </w:p>
    <w:p w14:paraId="2D4F3914" w14:textId="77777777" w:rsidR="00B87FA7" w:rsidRDefault="00B87FA7" w:rsidP="00A60CCD">
      <w:pPr>
        <w:spacing w:after="0" w:line="360" w:lineRule="auto"/>
        <w:rPr>
          <w:b/>
          <w:szCs w:val="24"/>
        </w:rPr>
      </w:pPr>
    </w:p>
    <w:p w14:paraId="534D7261" w14:textId="77777777" w:rsidR="00B87FA7" w:rsidRDefault="00B87FA7" w:rsidP="00A60CCD">
      <w:pPr>
        <w:spacing w:after="0" w:line="360" w:lineRule="auto"/>
        <w:rPr>
          <w:b/>
          <w:szCs w:val="24"/>
        </w:rPr>
      </w:pPr>
    </w:p>
    <w:p w14:paraId="5D29E354" w14:textId="77777777" w:rsidR="00B87FA7" w:rsidRDefault="00B87FA7" w:rsidP="00A60CCD">
      <w:pPr>
        <w:spacing w:after="0" w:line="360" w:lineRule="auto"/>
        <w:rPr>
          <w:b/>
          <w:szCs w:val="24"/>
        </w:rPr>
      </w:pPr>
    </w:p>
    <w:p w14:paraId="2B030387" w14:textId="77777777" w:rsidR="00B87FA7" w:rsidRDefault="00B87FA7" w:rsidP="00A60CCD">
      <w:pPr>
        <w:spacing w:after="0" w:line="360" w:lineRule="auto"/>
        <w:rPr>
          <w:b/>
          <w:szCs w:val="24"/>
        </w:rPr>
      </w:pPr>
    </w:p>
    <w:p w14:paraId="2DAB2F1B" w14:textId="77777777" w:rsidR="00B87FA7" w:rsidRDefault="00B87FA7" w:rsidP="00A60CCD">
      <w:pPr>
        <w:spacing w:after="0" w:line="360" w:lineRule="auto"/>
        <w:rPr>
          <w:b/>
          <w:szCs w:val="24"/>
        </w:rPr>
      </w:pPr>
    </w:p>
    <w:p w14:paraId="1B3AE937" w14:textId="77777777" w:rsidR="00B87FA7" w:rsidRDefault="00B87FA7" w:rsidP="00A60CCD">
      <w:pPr>
        <w:spacing w:after="0" w:line="360" w:lineRule="auto"/>
        <w:rPr>
          <w:b/>
          <w:szCs w:val="24"/>
        </w:rPr>
      </w:pPr>
    </w:p>
    <w:p w14:paraId="3E11A49E" w14:textId="77777777" w:rsidR="00B87FA7" w:rsidRDefault="00B87FA7" w:rsidP="00A60CCD">
      <w:pPr>
        <w:spacing w:after="0" w:line="360" w:lineRule="auto"/>
        <w:rPr>
          <w:b/>
          <w:szCs w:val="24"/>
        </w:rPr>
      </w:pPr>
    </w:p>
    <w:p w14:paraId="45E51FBC" w14:textId="77777777" w:rsidR="00B87FA7" w:rsidRDefault="00B87FA7" w:rsidP="00A60CCD">
      <w:pPr>
        <w:spacing w:after="0" w:line="360" w:lineRule="auto"/>
        <w:rPr>
          <w:b/>
          <w:szCs w:val="24"/>
        </w:rPr>
      </w:pPr>
    </w:p>
    <w:p w14:paraId="01FF3D14" w14:textId="77777777" w:rsidR="00B87FA7" w:rsidRDefault="00B87FA7" w:rsidP="00A60CCD">
      <w:pPr>
        <w:spacing w:after="0" w:line="360" w:lineRule="auto"/>
        <w:rPr>
          <w:b/>
          <w:szCs w:val="24"/>
        </w:rPr>
      </w:pPr>
    </w:p>
    <w:p w14:paraId="37D6CA35" w14:textId="77777777" w:rsidR="00B87FA7" w:rsidRDefault="00B87FA7" w:rsidP="00A60CCD">
      <w:pPr>
        <w:spacing w:after="0" w:line="360" w:lineRule="auto"/>
        <w:rPr>
          <w:b/>
          <w:szCs w:val="24"/>
        </w:rPr>
      </w:pPr>
    </w:p>
    <w:p w14:paraId="4E571F29" w14:textId="77777777" w:rsidR="00B87FA7" w:rsidRDefault="00B87FA7" w:rsidP="00A60CCD">
      <w:pPr>
        <w:spacing w:after="0" w:line="360" w:lineRule="auto"/>
        <w:rPr>
          <w:b/>
          <w:szCs w:val="24"/>
        </w:rPr>
      </w:pPr>
    </w:p>
    <w:p w14:paraId="313C022C" w14:textId="77777777" w:rsidR="00CB1823" w:rsidRPr="00B87FA7" w:rsidRDefault="00C617C8" w:rsidP="00A60CCD">
      <w:pPr>
        <w:spacing w:after="0" w:line="360" w:lineRule="auto"/>
        <w:rPr>
          <w:szCs w:val="24"/>
        </w:rPr>
      </w:pPr>
      <w:r w:rsidRPr="00B87FA7">
        <w:rPr>
          <w:szCs w:val="24"/>
        </w:rPr>
        <w:lastRenderedPageBreak/>
        <w:t>APPE</w:t>
      </w:r>
      <w:r w:rsidR="00F441A3" w:rsidRPr="00B87FA7">
        <w:rPr>
          <w:szCs w:val="24"/>
        </w:rPr>
        <w:t>A</w:t>
      </w:r>
      <w:r w:rsidRPr="00B87FA7">
        <w:rPr>
          <w:szCs w:val="24"/>
        </w:rPr>
        <w:t xml:space="preserve">RANCES: </w:t>
      </w:r>
    </w:p>
    <w:p w14:paraId="662C1797" w14:textId="77777777" w:rsidR="00C617C8" w:rsidRPr="00B87FA7" w:rsidRDefault="00C617C8" w:rsidP="00A60CCD">
      <w:pPr>
        <w:tabs>
          <w:tab w:val="left" w:pos="1394"/>
          <w:tab w:val="left" w:pos="2528"/>
          <w:tab w:val="left" w:pos="6390"/>
          <w:tab w:val="left" w:pos="7920"/>
        </w:tabs>
        <w:spacing w:after="0" w:line="360" w:lineRule="auto"/>
        <w:rPr>
          <w:szCs w:val="24"/>
        </w:rPr>
      </w:pPr>
    </w:p>
    <w:p w14:paraId="4491F23E" w14:textId="35A95158" w:rsidR="00FC6237" w:rsidRPr="00B87FA7" w:rsidRDefault="00DF2026" w:rsidP="004E2CE2">
      <w:pPr>
        <w:tabs>
          <w:tab w:val="left" w:pos="1394"/>
          <w:tab w:val="left" w:pos="2528"/>
          <w:tab w:val="left" w:pos="7920"/>
        </w:tabs>
        <w:spacing w:after="0" w:line="360" w:lineRule="auto"/>
        <w:ind w:left="5400" w:hanging="5400"/>
        <w:rPr>
          <w:szCs w:val="24"/>
        </w:rPr>
      </w:pPr>
      <w:r w:rsidRPr="00B87FA7">
        <w:rPr>
          <w:szCs w:val="24"/>
        </w:rPr>
        <w:t>APPLICANT</w:t>
      </w:r>
      <w:r w:rsidR="00CB1823" w:rsidRPr="00B87FA7">
        <w:rPr>
          <w:szCs w:val="24"/>
        </w:rPr>
        <w:t xml:space="preserve">: </w:t>
      </w:r>
      <w:r w:rsidR="00C617C8" w:rsidRPr="00B87FA7">
        <w:rPr>
          <w:szCs w:val="24"/>
        </w:rPr>
        <w:tab/>
      </w:r>
      <w:r w:rsidR="00B87FA7">
        <w:rPr>
          <w:szCs w:val="24"/>
        </w:rPr>
        <w:t xml:space="preserve">                            </w:t>
      </w:r>
      <w:r w:rsidR="004E2CE2" w:rsidRPr="00B87FA7">
        <w:rPr>
          <w:szCs w:val="24"/>
        </w:rPr>
        <w:t xml:space="preserve">W </w:t>
      </w:r>
      <w:proofErr w:type="spellStart"/>
      <w:r w:rsidR="0023528D" w:rsidRPr="00B87FA7">
        <w:rPr>
          <w:szCs w:val="24"/>
        </w:rPr>
        <w:t>B</w:t>
      </w:r>
      <w:r w:rsidR="002D3926" w:rsidRPr="00B87FA7">
        <w:rPr>
          <w:szCs w:val="24"/>
        </w:rPr>
        <w:t>oesak</w:t>
      </w:r>
      <w:proofErr w:type="spellEnd"/>
      <w:r w:rsidR="0023528D" w:rsidRPr="00B87FA7">
        <w:rPr>
          <w:szCs w:val="24"/>
        </w:rPr>
        <w:t xml:space="preserve"> </w:t>
      </w:r>
    </w:p>
    <w:p w14:paraId="7E42D554" w14:textId="1EB8857D" w:rsidR="00C83D73" w:rsidRPr="00B87FA7" w:rsidRDefault="00B87FA7" w:rsidP="00B87FA7">
      <w:pPr>
        <w:tabs>
          <w:tab w:val="left" w:pos="1394"/>
          <w:tab w:val="left" w:pos="2528"/>
          <w:tab w:val="left" w:pos="5400"/>
          <w:tab w:val="left" w:pos="6390"/>
        </w:tabs>
        <w:spacing w:after="0" w:line="360" w:lineRule="auto"/>
        <w:ind w:left="5490" w:hanging="5490"/>
        <w:rPr>
          <w:szCs w:val="24"/>
        </w:rPr>
      </w:pPr>
      <w:r>
        <w:rPr>
          <w:szCs w:val="24"/>
        </w:rPr>
        <w:tab/>
        <w:t xml:space="preserve">                                             I</w:t>
      </w:r>
      <w:r w:rsidR="007951B5" w:rsidRPr="00B87FA7">
        <w:rPr>
          <w:szCs w:val="24"/>
        </w:rPr>
        <w:t xml:space="preserve">nstructed by </w:t>
      </w:r>
      <w:proofErr w:type="spellStart"/>
      <w:r>
        <w:rPr>
          <w:szCs w:val="24"/>
        </w:rPr>
        <w:t>Conradie</w:t>
      </w:r>
      <w:proofErr w:type="spellEnd"/>
      <w:r>
        <w:rPr>
          <w:szCs w:val="24"/>
        </w:rPr>
        <w:t xml:space="preserve"> &amp; </w:t>
      </w:r>
      <w:proofErr w:type="spellStart"/>
      <w:r>
        <w:rPr>
          <w:szCs w:val="24"/>
        </w:rPr>
        <w:t>Damaseb</w:t>
      </w:r>
      <w:proofErr w:type="spellEnd"/>
      <w:r>
        <w:rPr>
          <w:szCs w:val="24"/>
        </w:rPr>
        <w:t xml:space="preserve">, </w:t>
      </w:r>
      <w:r w:rsidR="0023528D" w:rsidRPr="00B87FA7">
        <w:rPr>
          <w:szCs w:val="24"/>
        </w:rPr>
        <w:t>W</w:t>
      </w:r>
      <w:r w:rsidRPr="00B87FA7">
        <w:rPr>
          <w:szCs w:val="24"/>
        </w:rPr>
        <w:t xml:space="preserve">indhoek </w:t>
      </w:r>
    </w:p>
    <w:p w14:paraId="64FEEA9B" w14:textId="77777777" w:rsidR="00F41195" w:rsidRPr="00B87FA7" w:rsidRDefault="00F41195" w:rsidP="00A60CCD">
      <w:pPr>
        <w:tabs>
          <w:tab w:val="left" w:pos="1394"/>
          <w:tab w:val="left" w:pos="2528"/>
          <w:tab w:val="left" w:pos="6390"/>
          <w:tab w:val="left" w:pos="7920"/>
        </w:tabs>
        <w:spacing w:after="0" w:line="360" w:lineRule="auto"/>
        <w:ind w:left="0" w:firstLine="0"/>
        <w:jc w:val="left"/>
        <w:rPr>
          <w:szCs w:val="24"/>
        </w:rPr>
      </w:pPr>
    </w:p>
    <w:p w14:paraId="227B1626" w14:textId="77777777" w:rsidR="00F41195" w:rsidRPr="00B87FA7" w:rsidRDefault="00F41195" w:rsidP="00A60CCD">
      <w:pPr>
        <w:tabs>
          <w:tab w:val="left" w:pos="4320"/>
        </w:tabs>
        <w:autoSpaceDE w:val="0"/>
        <w:autoSpaceDN w:val="0"/>
        <w:adjustRightInd w:val="0"/>
        <w:spacing w:after="0" w:line="360" w:lineRule="auto"/>
        <w:ind w:left="0" w:firstLine="0"/>
        <w:rPr>
          <w:szCs w:val="24"/>
        </w:rPr>
      </w:pPr>
    </w:p>
    <w:p w14:paraId="670D8179" w14:textId="32DB2872" w:rsidR="00F41195" w:rsidRPr="00A60CCD" w:rsidRDefault="00FC6237" w:rsidP="00421F9A">
      <w:pPr>
        <w:tabs>
          <w:tab w:val="left" w:pos="5400"/>
          <w:tab w:val="left" w:pos="9360"/>
        </w:tabs>
        <w:autoSpaceDE w:val="0"/>
        <w:autoSpaceDN w:val="0"/>
        <w:adjustRightInd w:val="0"/>
        <w:spacing w:after="0" w:line="360" w:lineRule="auto"/>
        <w:ind w:right="37"/>
        <w:rPr>
          <w:szCs w:val="24"/>
        </w:rPr>
      </w:pPr>
      <w:r w:rsidRPr="00B87FA7">
        <w:rPr>
          <w:szCs w:val="24"/>
        </w:rPr>
        <w:t>1</w:t>
      </w:r>
      <w:r w:rsidRPr="00B87FA7">
        <w:rPr>
          <w:szCs w:val="24"/>
          <w:vertAlign w:val="superscript"/>
        </w:rPr>
        <w:t>st</w:t>
      </w:r>
      <w:r w:rsidRPr="00B87FA7">
        <w:rPr>
          <w:szCs w:val="24"/>
        </w:rPr>
        <w:t xml:space="preserve"> to 3</w:t>
      </w:r>
      <w:r w:rsidRPr="00B87FA7">
        <w:rPr>
          <w:szCs w:val="24"/>
          <w:vertAlign w:val="superscript"/>
        </w:rPr>
        <w:t>rd</w:t>
      </w:r>
      <w:r w:rsidRPr="00B87FA7">
        <w:rPr>
          <w:szCs w:val="24"/>
        </w:rPr>
        <w:t xml:space="preserve"> </w:t>
      </w:r>
      <w:r w:rsidR="00F41195" w:rsidRPr="00B87FA7">
        <w:rPr>
          <w:szCs w:val="24"/>
        </w:rPr>
        <w:t>RESPONDENT</w:t>
      </w:r>
      <w:r w:rsidRPr="00B87FA7">
        <w:rPr>
          <w:szCs w:val="24"/>
        </w:rPr>
        <w:t>S</w:t>
      </w:r>
      <w:r w:rsidR="00F41195" w:rsidRPr="00B87FA7">
        <w:rPr>
          <w:szCs w:val="24"/>
        </w:rPr>
        <w:t>:</w:t>
      </w:r>
      <w:r w:rsidR="00B87FA7">
        <w:rPr>
          <w:szCs w:val="24"/>
        </w:rPr>
        <w:t xml:space="preserve">                         </w:t>
      </w:r>
      <w:r w:rsidR="004E2CE2">
        <w:rPr>
          <w:szCs w:val="24"/>
        </w:rPr>
        <w:t>A</w:t>
      </w:r>
      <w:r w:rsidR="0023528D">
        <w:rPr>
          <w:szCs w:val="24"/>
        </w:rPr>
        <w:t xml:space="preserve"> C</w:t>
      </w:r>
      <w:r w:rsidR="002D3926">
        <w:rPr>
          <w:szCs w:val="24"/>
        </w:rPr>
        <w:t>orbett</w:t>
      </w:r>
    </w:p>
    <w:p w14:paraId="347AADB9" w14:textId="071C109B" w:rsidR="00FC6BD7" w:rsidRPr="00A60CCD" w:rsidRDefault="004E2CE2" w:rsidP="00B87FA7">
      <w:pPr>
        <w:tabs>
          <w:tab w:val="left" w:pos="4410"/>
          <w:tab w:val="left" w:pos="5400"/>
          <w:tab w:val="left" w:pos="9360"/>
        </w:tabs>
        <w:spacing w:after="0" w:line="360" w:lineRule="auto"/>
        <w:ind w:right="37"/>
        <w:rPr>
          <w:szCs w:val="24"/>
        </w:rPr>
      </w:pPr>
      <w:r>
        <w:rPr>
          <w:szCs w:val="24"/>
        </w:rPr>
        <w:t xml:space="preserve">                                          </w:t>
      </w:r>
      <w:r w:rsidR="00B87FA7">
        <w:rPr>
          <w:szCs w:val="24"/>
        </w:rPr>
        <w:t xml:space="preserve">                         </w:t>
      </w:r>
      <w:proofErr w:type="gramStart"/>
      <w:r w:rsidR="00B87FA7">
        <w:rPr>
          <w:szCs w:val="24"/>
        </w:rPr>
        <w:t>i</w:t>
      </w:r>
      <w:r w:rsidR="0023528D" w:rsidRPr="0023528D">
        <w:rPr>
          <w:szCs w:val="24"/>
        </w:rPr>
        <w:t>nstructed</w:t>
      </w:r>
      <w:proofErr w:type="gramEnd"/>
      <w:r w:rsidR="0023528D" w:rsidRPr="0023528D">
        <w:rPr>
          <w:szCs w:val="24"/>
        </w:rPr>
        <w:t xml:space="preserve"> </w:t>
      </w:r>
      <w:r w:rsidR="007951B5">
        <w:rPr>
          <w:szCs w:val="24"/>
        </w:rPr>
        <w:t xml:space="preserve">by </w:t>
      </w:r>
      <w:r w:rsidR="00B87FA7">
        <w:rPr>
          <w:szCs w:val="24"/>
        </w:rPr>
        <w:t xml:space="preserve">Fischer, </w:t>
      </w:r>
      <w:proofErr w:type="spellStart"/>
      <w:r w:rsidR="00B87FA7">
        <w:rPr>
          <w:szCs w:val="24"/>
        </w:rPr>
        <w:t>Quarmby</w:t>
      </w:r>
      <w:proofErr w:type="spellEnd"/>
      <w:r w:rsidR="00B87FA7">
        <w:rPr>
          <w:szCs w:val="24"/>
        </w:rPr>
        <w:t xml:space="preserve"> &amp; Pfeifer, Windhoek </w:t>
      </w:r>
    </w:p>
    <w:sectPr w:rsidR="00FC6BD7" w:rsidRPr="00A60CCD" w:rsidSect="00197A98">
      <w:headerReference w:type="even" r:id="rId9"/>
      <w:headerReference w:type="default" r:id="rId10"/>
      <w:headerReference w:type="first" r:id="rId11"/>
      <w:pgSz w:w="11906" w:h="16838"/>
      <w:pgMar w:top="726" w:right="907" w:bottom="720" w:left="90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C55B5" w14:textId="77777777" w:rsidR="006A672F" w:rsidRDefault="006A672F">
      <w:pPr>
        <w:spacing w:after="0" w:line="240" w:lineRule="auto"/>
      </w:pPr>
      <w:r>
        <w:separator/>
      </w:r>
    </w:p>
  </w:endnote>
  <w:endnote w:type="continuationSeparator" w:id="0">
    <w:p w14:paraId="0A1C8EA9" w14:textId="77777777" w:rsidR="006A672F" w:rsidRDefault="006A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B4720" w14:textId="77777777" w:rsidR="006A672F" w:rsidRDefault="006A672F">
      <w:pPr>
        <w:tabs>
          <w:tab w:val="center" w:pos="1477"/>
          <w:tab w:val="center" w:pos="2916"/>
        </w:tabs>
        <w:spacing w:after="9" w:line="259" w:lineRule="auto"/>
        <w:ind w:left="0" w:right="0" w:firstLine="0"/>
        <w:jc w:val="left"/>
      </w:pPr>
      <w:r>
        <w:separator/>
      </w:r>
    </w:p>
  </w:footnote>
  <w:footnote w:type="continuationSeparator" w:id="0">
    <w:p w14:paraId="6895613F" w14:textId="77777777" w:rsidR="006A672F" w:rsidRDefault="006A672F">
      <w:pPr>
        <w:tabs>
          <w:tab w:val="center" w:pos="1477"/>
          <w:tab w:val="center" w:pos="2916"/>
        </w:tabs>
        <w:spacing w:after="9" w:line="259" w:lineRule="auto"/>
        <w:ind w:left="0" w:right="0" w:firstLine="0"/>
        <w:jc w:val="left"/>
      </w:pPr>
      <w:r>
        <w:continuationSeparator/>
      </w:r>
    </w:p>
  </w:footnote>
  <w:footnote w:id="1">
    <w:p w14:paraId="58A5B2B0" w14:textId="40DEC6E8" w:rsidR="00847C74" w:rsidRDefault="00847C74" w:rsidP="00137A54">
      <w:pPr>
        <w:pStyle w:val="FootnoteText"/>
        <w:tabs>
          <w:tab w:val="left" w:pos="360"/>
        </w:tabs>
      </w:pPr>
      <w:r>
        <w:rPr>
          <w:rStyle w:val="FootnoteReference"/>
        </w:rPr>
        <w:footnoteRef/>
      </w:r>
      <w:r>
        <w:t xml:space="preserve"> </w:t>
      </w:r>
      <w:r>
        <w:tab/>
      </w:r>
      <w:r w:rsidRPr="0059450C">
        <w:rPr>
          <w:rFonts w:eastAsiaTheme="minorHAnsi"/>
          <w:i/>
          <w:color w:val="auto"/>
          <w:szCs w:val="24"/>
          <w:lang w:val="en-ZA"/>
        </w:rPr>
        <w:t xml:space="preserve">Schutz v Pirker and </w:t>
      </w:r>
      <w:proofErr w:type="gramStart"/>
      <w:r w:rsidRPr="0059450C">
        <w:rPr>
          <w:rFonts w:eastAsiaTheme="minorHAnsi"/>
          <w:i/>
          <w:color w:val="auto"/>
          <w:szCs w:val="24"/>
          <w:lang w:val="en-ZA"/>
        </w:rPr>
        <w:t>Another</w:t>
      </w:r>
      <w:proofErr w:type="gramEnd"/>
      <w:r>
        <w:rPr>
          <w:rFonts w:eastAsiaTheme="minorHAnsi"/>
          <w:i/>
          <w:color w:val="auto"/>
          <w:szCs w:val="24"/>
          <w:lang w:val="en-ZA"/>
        </w:rPr>
        <w:t xml:space="preserve"> </w:t>
      </w:r>
      <w:r w:rsidRPr="00137A54">
        <w:rPr>
          <w:rFonts w:eastAsiaTheme="minorHAnsi"/>
          <w:color w:val="auto"/>
          <w:szCs w:val="24"/>
          <w:lang w:val="en-ZA"/>
        </w:rPr>
        <w:t>2</w:t>
      </w:r>
      <w:r w:rsidRPr="00137A54">
        <w:t>014</w:t>
      </w:r>
      <w:r>
        <w:t xml:space="preserve"> NAHCMD 341 delivered on 12 November 2014. </w:t>
      </w:r>
    </w:p>
  </w:footnote>
  <w:footnote w:id="2">
    <w:p w14:paraId="67C50232" w14:textId="77777777" w:rsidR="00847C74" w:rsidRDefault="00847C74" w:rsidP="00137A54">
      <w:pPr>
        <w:pStyle w:val="FootnoteText"/>
        <w:tabs>
          <w:tab w:val="left" w:pos="360"/>
        </w:tabs>
      </w:pPr>
      <w:r>
        <w:rPr>
          <w:rStyle w:val="FootnoteReference"/>
        </w:rPr>
        <w:footnoteRef/>
      </w:r>
      <w:r>
        <w:t xml:space="preserve"> </w:t>
      </w:r>
      <w:r>
        <w:tab/>
      </w:r>
      <w:proofErr w:type="spellStart"/>
      <w:r w:rsidRPr="00137A54">
        <w:rPr>
          <w:i/>
        </w:rPr>
        <w:t>Magida</w:t>
      </w:r>
      <w:proofErr w:type="spellEnd"/>
      <w:r w:rsidRPr="00137A54">
        <w:rPr>
          <w:i/>
        </w:rPr>
        <w:t xml:space="preserve"> v Minister of Police</w:t>
      </w:r>
      <w:r>
        <w:t xml:space="preserve"> 1987 (1) SA 1 (A) at 14E-F.</w:t>
      </w:r>
    </w:p>
  </w:footnote>
  <w:footnote w:id="3">
    <w:p w14:paraId="0BF22676" w14:textId="77777777" w:rsidR="00847C74" w:rsidRPr="00137A54" w:rsidRDefault="00847C74" w:rsidP="00137A54">
      <w:pPr>
        <w:pStyle w:val="FootnoteText"/>
        <w:tabs>
          <w:tab w:val="left" w:pos="360"/>
        </w:tabs>
        <w:ind w:left="360" w:hanging="360"/>
      </w:pPr>
      <w:r>
        <w:rPr>
          <w:rStyle w:val="FootnoteReference"/>
        </w:rPr>
        <w:footnoteRef/>
      </w:r>
      <w:r>
        <w:t xml:space="preserve"> </w:t>
      </w:r>
      <w:r>
        <w:tab/>
      </w:r>
      <w:r w:rsidRPr="00137A54">
        <w:rPr>
          <w:i/>
        </w:rPr>
        <w:t xml:space="preserve">Wilderness Air Namibia (Pty) Ltd v Van </w:t>
      </w:r>
      <w:proofErr w:type="spellStart"/>
      <w:r w:rsidRPr="00137A54">
        <w:rPr>
          <w:i/>
        </w:rPr>
        <w:t>Rensburg</w:t>
      </w:r>
      <w:proofErr w:type="spellEnd"/>
      <w:r w:rsidRPr="00137A54">
        <w:rPr>
          <w:i/>
        </w:rPr>
        <w:t xml:space="preserve"> </w:t>
      </w:r>
      <w:r w:rsidRPr="00137A54">
        <w:t>(LC 66/2011) [2013] NALCMD 44 (28 November 2013)</w:t>
      </w:r>
      <w:r>
        <w:t xml:space="preserve"> and </w:t>
      </w:r>
      <w:proofErr w:type="spellStart"/>
      <w:r w:rsidRPr="00137A54">
        <w:rPr>
          <w:i/>
        </w:rPr>
        <w:t>Saker</w:t>
      </w:r>
      <w:proofErr w:type="spellEnd"/>
      <w:r w:rsidRPr="00137A54">
        <w:rPr>
          <w:i/>
        </w:rPr>
        <w:t xml:space="preserve"> &amp; Co Ltd v Grainger</w:t>
      </w:r>
      <w:r w:rsidRPr="00137A54">
        <w:t xml:space="preserve"> 1937 AD 223 at 227.</w:t>
      </w:r>
    </w:p>
  </w:footnote>
  <w:footnote w:id="4">
    <w:p w14:paraId="63BA3EBA" w14:textId="77777777" w:rsidR="00847C74" w:rsidRDefault="00847C74" w:rsidP="00137A54">
      <w:pPr>
        <w:pStyle w:val="FootnoteText"/>
        <w:tabs>
          <w:tab w:val="left" w:pos="360"/>
        </w:tabs>
      </w:pPr>
      <w:r>
        <w:rPr>
          <w:rStyle w:val="FootnoteReference"/>
        </w:rPr>
        <w:footnoteRef/>
      </w:r>
      <w:r>
        <w:t xml:space="preserve"> </w:t>
      </w:r>
      <w:r>
        <w:tab/>
      </w:r>
      <w:r w:rsidRPr="00137A54">
        <w:rPr>
          <w:i/>
        </w:rPr>
        <w:t xml:space="preserve">Shepstone &amp; Wylie &amp; Others v Geyser NO </w:t>
      </w:r>
      <w:r>
        <w:t>1998 (3) SA 1036 (SCA) at 1045I-1046C.</w:t>
      </w:r>
    </w:p>
  </w:footnote>
  <w:footnote w:id="5">
    <w:p w14:paraId="7B0558CF" w14:textId="77777777" w:rsidR="00847C74" w:rsidRDefault="00847C74" w:rsidP="00F46FE9">
      <w:pPr>
        <w:pStyle w:val="FootnoteText"/>
        <w:tabs>
          <w:tab w:val="left" w:pos="360"/>
        </w:tabs>
        <w:ind w:left="360" w:hanging="360"/>
      </w:pPr>
      <w:r>
        <w:rPr>
          <w:rStyle w:val="FootnoteReference"/>
        </w:rPr>
        <w:footnoteRef/>
      </w:r>
      <w:r>
        <w:t xml:space="preserve"> </w:t>
      </w:r>
      <w:r>
        <w:tab/>
      </w:r>
      <w:proofErr w:type="spellStart"/>
      <w:r w:rsidRPr="00F46FE9">
        <w:rPr>
          <w:i/>
        </w:rPr>
        <w:t>Hepute</w:t>
      </w:r>
      <w:proofErr w:type="spellEnd"/>
      <w:r w:rsidRPr="00F46FE9">
        <w:rPr>
          <w:i/>
        </w:rPr>
        <w:t xml:space="preserve"> and </w:t>
      </w:r>
      <w:proofErr w:type="gramStart"/>
      <w:r w:rsidRPr="00F46FE9">
        <w:rPr>
          <w:i/>
        </w:rPr>
        <w:t>Others</w:t>
      </w:r>
      <w:proofErr w:type="gramEnd"/>
      <w:r w:rsidRPr="00F46FE9">
        <w:rPr>
          <w:i/>
        </w:rPr>
        <w:t xml:space="preserve"> v Minister of Mines and Energy and Another</w:t>
      </w:r>
      <w:r w:rsidRPr="00F46FE9">
        <w:t xml:space="preserve"> 2008 (2) NR 399 (SC) </w:t>
      </w:r>
      <w:r>
        <w:t xml:space="preserve">2007 (1) NR 124 (HC). </w:t>
      </w:r>
    </w:p>
  </w:footnote>
  <w:footnote w:id="6">
    <w:p w14:paraId="172CE4FA" w14:textId="77777777" w:rsidR="00847C74" w:rsidRDefault="00847C74" w:rsidP="00F46FE9">
      <w:pPr>
        <w:pStyle w:val="FootnoteText"/>
        <w:tabs>
          <w:tab w:val="left" w:pos="360"/>
        </w:tabs>
      </w:pPr>
      <w:r>
        <w:rPr>
          <w:rStyle w:val="FootnoteReference"/>
        </w:rPr>
        <w:footnoteRef/>
      </w:r>
      <w:r>
        <w:t xml:space="preserve"> </w:t>
      </w:r>
      <w:r>
        <w:tab/>
      </w:r>
      <w:proofErr w:type="spellStart"/>
      <w:r w:rsidRPr="00F46FE9">
        <w:rPr>
          <w:i/>
        </w:rPr>
        <w:t>Giddey</w:t>
      </w:r>
      <w:proofErr w:type="spellEnd"/>
      <w:r w:rsidRPr="00F46FE9">
        <w:rPr>
          <w:i/>
        </w:rPr>
        <w:t xml:space="preserve"> NO v JC Barnard and Partners</w:t>
      </w:r>
      <w:r>
        <w:t xml:space="preserve"> 2007 (5) SA 525 (CC) para 8.</w:t>
      </w:r>
    </w:p>
  </w:footnote>
  <w:footnote w:id="7">
    <w:p w14:paraId="30591454" w14:textId="197EAC57" w:rsidR="008F6CB5" w:rsidRDefault="008F6CB5" w:rsidP="008F6CB5">
      <w:pPr>
        <w:pStyle w:val="FootnoteText"/>
        <w:tabs>
          <w:tab w:val="left" w:pos="360"/>
        </w:tabs>
        <w:ind w:left="360" w:hanging="360"/>
      </w:pPr>
      <w:r>
        <w:rPr>
          <w:rStyle w:val="FootnoteReference"/>
        </w:rPr>
        <w:footnoteRef/>
      </w:r>
      <w:r>
        <w:t xml:space="preserve"> </w:t>
      </w:r>
      <w:r>
        <w:tab/>
      </w:r>
      <w:proofErr w:type="spellStart"/>
      <w:r w:rsidRPr="00097E72">
        <w:t>Martucci</w:t>
      </w:r>
      <w:proofErr w:type="spellEnd"/>
      <w:r w:rsidRPr="00097E72">
        <w:t xml:space="preserve"> v Mountain View Game Lodge (Pty) Ltd</w:t>
      </w:r>
      <w:r>
        <w:rPr>
          <w:i/>
        </w:rPr>
        <w:t xml:space="preserve"> </w:t>
      </w:r>
      <w:r w:rsidRPr="00097E72">
        <w:t>(I 2295-2015) [2016] NAHCMD 217 (22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8EC8A" w14:textId="77777777" w:rsidR="00847C74" w:rsidRDefault="00847C74">
    <w:pPr>
      <w:spacing w:after="20" w:line="259" w:lineRule="auto"/>
      <w:ind w:left="0" w:right="19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 </w:t>
    </w:r>
  </w:p>
  <w:p w14:paraId="19574EC4" w14:textId="77777777" w:rsidR="00847C74" w:rsidRDefault="00847C74">
    <w:pPr>
      <w:spacing w:after="0" w:line="259" w:lineRule="auto"/>
      <w:ind w:left="14" w:right="0" w:firstLine="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50A2" w14:textId="77777777" w:rsidR="00847C74" w:rsidRDefault="00847C74">
    <w:pPr>
      <w:spacing w:after="20" w:line="259" w:lineRule="auto"/>
      <w:ind w:left="0" w:right="198" w:firstLine="0"/>
      <w:jc w:val="right"/>
    </w:pPr>
    <w:r>
      <w:fldChar w:fldCharType="begin"/>
    </w:r>
    <w:r>
      <w:instrText xml:space="preserve"> PAGE   \* MERGEFORMAT </w:instrText>
    </w:r>
    <w:r>
      <w:fldChar w:fldCharType="separate"/>
    </w:r>
    <w:r w:rsidR="002D3926" w:rsidRPr="002D3926">
      <w:rPr>
        <w:noProof/>
        <w:sz w:val="22"/>
      </w:rPr>
      <w:t>12</w:t>
    </w:r>
    <w:r>
      <w:rPr>
        <w:sz w:val="22"/>
      </w:rPr>
      <w:fldChar w:fldCharType="end"/>
    </w:r>
    <w:r>
      <w:rPr>
        <w:sz w:val="22"/>
      </w:rPr>
      <w:t xml:space="preserve"> </w:t>
    </w:r>
    <w:r>
      <w:t xml:space="preserve"> </w:t>
    </w:r>
  </w:p>
  <w:p w14:paraId="0F2434AA" w14:textId="77777777" w:rsidR="00847C74" w:rsidRDefault="00847C74">
    <w:pPr>
      <w:spacing w:after="0" w:line="259" w:lineRule="auto"/>
      <w:ind w:left="14" w:right="0" w:firstLine="0"/>
      <w:jc w:val="left"/>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610E" w14:textId="77777777" w:rsidR="00847C74" w:rsidRDefault="00847C7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397B"/>
    <w:multiLevelType w:val="multilevel"/>
    <w:tmpl w:val="E5C090E2"/>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2268"/>
        </w:tabs>
        <w:ind w:left="2268" w:hanging="1134"/>
      </w:pPr>
      <w:rPr>
        <w:rFonts w:cs="Times New Roman" w:hint="default"/>
        <w:b w:val="0"/>
      </w:rPr>
    </w:lvl>
    <w:lvl w:ilvl="2">
      <w:start w:val="1"/>
      <w:numFmt w:val="decimal"/>
      <w:lvlText w:val="%1.%2.%3."/>
      <w:lvlJc w:val="left"/>
      <w:pPr>
        <w:tabs>
          <w:tab w:val="num" w:pos="3402"/>
        </w:tabs>
        <w:ind w:left="3402" w:hanging="1134"/>
      </w:pPr>
      <w:rPr>
        <w:rFonts w:cs="Times New Roman" w:hint="default"/>
      </w:rPr>
    </w:lvl>
    <w:lvl w:ilvl="3">
      <w:start w:val="1"/>
      <w:numFmt w:val="decimal"/>
      <w:lvlText w:val="%1.%2.%3.%4."/>
      <w:lvlJc w:val="left"/>
      <w:pPr>
        <w:tabs>
          <w:tab w:val="num" w:pos="4535"/>
        </w:tabs>
        <w:ind w:left="4535" w:hanging="1133"/>
      </w:pPr>
      <w:rPr>
        <w:rFonts w:cs="Times New Roman" w:hint="default"/>
      </w:rPr>
    </w:lvl>
    <w:lvl w:ilvl="4">
      <w:start w:val="1"/>
      <w:numFmt w:val="decimal"/>
      <w:lvlText w:val="%1.%2.%3.%4.%5."/>
      <w:lvlJc w:val="left"/>
      <w:pPr>
        <w:tabs>
          <w:tab w:val="num" w:pos="5669"/>
        </w:tabs>
        <w:ind w:left="5669" w:hanging="1134"/>
      </w:pPr>
      <w:rPr>
        <w:rFonts w:cs="Times New Roman" w:hint="default"/>
      </w:rPr>
    </w:lvl>
    <w:lvl w:ilvl="5">
      <w:start w:val="1"/>
      <w:numFmt w:val="decimal"/>
      <w:lvlText w:val="%1.%2.%3.%4.%5.%6."/>
      <w:lvlJc w:val="left"/>
      <w:pPr>
        <w:tabs>
          <w:tab w:val="num" w:pos="3237"/>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4320"/>
        </w:tabs>
        <w:ind w:left="3742" w:hanging="1225"/>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6EE0905"/>
    <w:multiLevelType w:val="multilevel"/>
    <w:tmpl w:val="E90E3DF6"/>
    <w:lvl w:ilvl="0">
      <w:start w:val="1"/>
      <w:numFmt w:val="decimal"/>
      <w:pStyle w:val="HCR-Numberingnormal"/>
      <w:lvlText w:val="[%1.]"/>
      <w:lvlJc w:val="left"/>
      <w:pPr>
        <w:tabs>
          <w:tab w:val="num" w:pos="851"/>
        </w:tabs>
        <w:ind w:left="0" w:firstLine="0"/>
      </w:pPr>
      <w:rPr>
        <w:b w:val="0"/>
        <w:i w:val="0"/>
        <w:strike w:val="0"/>
        <w:dstrike w:val="0"/>
        <w:u w:val="none"/>
        <w:effect w:val="none"/>
      </w:rPr>
    </w:lvl>
    <w:lvl w:ilvl="1">
      <w:start w:val="1"/>
      <w:numFmt w:val="decimal"/>
      <w:lvlText w:val="[%1.%2]"/>
      <w:lvlJc w:val="left"/>
      <w:pPr>
        <w:tabs>
          <w:tab w:val="num" w:pos="1701"/>
        </w:tabs>
        <w:ind w:left="851" w:firstLine="0"/>
      </w:pPr>
      <w:rPr>
        <w:b w:val="0"/>
        <w:i w:val="0"/>
      </w:rPr>
    </w:lvl>
    <w:lvl w:ilvl="2">
      <w:start w:val="1"/>
      <w:numFmt w:val="decimal"/>
      <w:lvlText w:val="[%1.%2.%3]"/>
      <w:lvlJc w:val="left"/>
      <w:pPr>
        <w:tabs>
          <w:tab w:val="num" w:pos="2552"/>
        </w:tabs>
        <w:ind w:left="1701"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B0A28"/>
    <w:multiLevelType w:val="multilevel"/>
    <w:tmpl w:val="DFCC3718"/>
    <w:lvl w:ilvl="0">
      <w:start w:val="1"/>
      <w:numFmt w:val="decimal"/>
      <w:suff w:val="nothing"/>
      <w:lvlText w:val="%1"/>
      <w:lvlJc w:val="center"/>
      <w:pPr>
        <w:ind w:left="0" w:firstLine="4320"/>
      </w:pPr>
      <w:rPr>
        <w:rFonts w:hint="default"/>
      </w:rPr>
    </w:lvl>
    <w:lvl w:ilvl="1">
      <w:start w:val="1"/>
      <w:numFmt w:val="decimal"/>
      <w:pStyle w:val="HCR-Numberingaffidavit"/>
      <w:lvlText w:val="%1.%2."/>
      <w:lvlJc w:val="left"/>
      <w:pPr>
        <w:tabs>
          <w:tab w:val="num" w:pos="851"/>
        </w:tabs>
        <w:ind w:left="0" w:firstLine="0"/>
      </w:pPr>
      <w:rPr>
        <w:rFonts w:ascii="Arial" w:hAnsi="Arial" w:hint="default"/>
        <w:b w:val="0"/>
        <w:strike w:val="0"/>
        <w:sz w:val="24"/>
        <w:szCs w:val="20"/>
      </w:rPr>
    </w:lvl>
    <w:lvl w:ilvl="2">
      <w:start w:val="1"/>
      <w:numFmt w:val="decimal"/>
      <w:lvlText w:val="%1.%2.%3."/>
      <w:lvlJc w:val="left"/>
      <w:pPr>
        <w:tabs>
          <w:tab w:val="num" w:pos="1814"/>
        </w:tabs>
        <w:ind w:left="851" w:firstLine="0"/>
      </w:pPr>
      <w:rPr>
        <w:rFonts w:ascii="Arial" w:hAnsi="Arial" w:hint="default"/>
        <w:sz w:val="24"/>
      </w:rPr>
    </w:lvl>
    <w:lvl w:ilvl="3">
      <w:start w:val="1"/>
      <w:numFmt w:val="decimal"/>
      <w:lvlText w:val="%1.%2.%3.%4."/>
      <w:lvlJc w:val="left"/>
      <w:pPr>
        <w:tabs>
          <w:tab w:val="num" w:pos="2552"/>
        </w:tabs>
        <w:ind w:left="1701" w:firstLine="0"/>
      </w:pPr>
      <w:rPr>
        <w:rFonts w:ascii="Arial" w:hAnsi="Arial" w:hint="default"/>
        <w:sz w:val="24"/>
      </w:rPr>
    </w:lvl>
    <w:lvl w:ilvl="4">
      <w:start w:val="1"/>
      <w:numFmt w:val="decimal"/>
      <w:lvlText w:val="%1.%2.%3.%4.%5."/>
      <w:lvlJc w:val="left"/>
      <w:pPr>
        <w:tabs>
          <w:tab w:val="num" w:pos="3402"/>
        </w:tabs>
        <w:ind w:left="2552" w:firstLine="0"/>
      </w:pPr>
      <w:rPr>
        <w:rFonts w:ascii="Arial" w:hAnsi="Arial" w:hint="default"/>
        <w:sz w:val="20"/>
      </w:rPr>
    </w:lvl>
    <w:lvl w:ilvl="5">
      <w:start w:val="1"/>
      <w:numFmt w:val="decimal"/>
      <w:lvlText w:val="%1.%2.%3.%4.%5.%6."/>
      <w:lvlJc w:val="left"/>
      <w:pPr>
        <w:tabs>
          <w:tab w:val="num" w:pos="4253"/>
        </w:tabs>
        <w:ind w:left="3402" w:firstLine="0"/>
      </w:pPr>
      <w:rPr>
        <w:rFonts w:ascii="Arial" w:hAnsi="Arial" w:hint="default"/>
        <w:sz w:val="20"/>
      </w:rPr>
    </w:lvl>
    <w:lvl w:ilvl="6">
      <w:start w:val="1"/>
      <w:numFmt w:val="decimal"/>
      <w:lvlText w:val="%1.%2.%3.%4.%5.%6.%7."/>
      <w:lvlJc w:val="left"/>
      <w:pPr>
        <w:tabs>
          <w:tab w:val="num" w:pos="6480"/>
        </w:tabs>
        <w:ind w:left="6480" w:hanging="1440"/>
      </w:pPr>
      <w:rPr>
        <w:rFonts w:ascii="Arial" w:hAnsi="Aria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E83773A"/>
    <w:multiLevelType w:val="hybridMultilevel"/>
    <w:tmpl w:val="0506F680"/>
    <w:lvl w:ilvl="0" w:tplc="553EB90C">
      <w:start w:val="1"/>
      <w:numFmt w:val="decimal"/>
      <w:lvlText w:val="%1"/>
      <w:lvlJc w:val="left"/>
      <w:pPr>
        <w:ind w:left="720" w:hanging="360"/>
      </w:pPr>
      <w:rPr>
        <w:rFonts w:ascii="Arial" w:eastAsiaTheme="minorEastAsia"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375EA"/>
    <w:multiLevelType w:val="hybridMultilevel"/>
    <w:tmpl w:val="22D0DE0A"/>
    <w:lvl w:ilvl="0" w:tplc="3FB806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B382F"/>
    <w:multiLevelType w:val="hybridMultilevel"/>
    <w:tmpl w:val="BEA44C9C"/>
    <w:lvl w:ilvl="0" w:tplc="49D845E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8A"/>
    <w:rsid w:val="0000247D"/>
    <w:rsid w:val="00002E08"/>
    <w:rsid w:val="0000390A"/>
    <w:rsid w:val="00007E21"/>
    <w:rsid w:val="00012409"/>
    <w:rsid w:val="00015719"/>
    <w:rsid w:val="00016CBD"/>
    <w:rsid w:val="00017E56"/>
    <w:rsid w:val="00023DE0"/>
    <w:rsid w:val="0002488A"/>
    <w:rsid w:val="00026482"/>
    <w:rsid w:val="00027F47"/>
    <w:rsid w:val="00031D82"/>
    <w:rsid w:val="00034EB1"/>
    <w:rsid w:val="0004073E"/>
    <w:rsid w:val="000407F6"/>
    <w:rsid w:val="00040F01"/>
    <w:rsid w:val="00044C52"/>
    <w:rsid w:val="000452A7"/>
    <w:rsid w:val="000537CD"/>
    <w:rsid w:val="000538BB"/>
    <w:rsid w:val="00055F96"/>
    <w:rsid w:val="0006031A"/>
    <w:rsid w:val="00066494"/>
    <w:rsid w:val="000729CC"/>
    <w:rsid w:val="00074CA0"/>
    <w:rsid w:val="000763FA"/>
    <w:rsid w:val="00077539"/>
    <w:rsid w:val="00080842"/>
    <w:rsid w:val="00081F50"/>
    <w:rsid w:val="00085038"/>
    <w:rsid w:val="00085650"/>
    <w:rsid w:val="00097E72"/>
    <w:rsid w:val="000A4D80"/>
    <w:rsid w:val="000A6C10"/>
    <w:rsid w:val="000B19E1"/>
    <w:rsid w:val="000B3834"/>
    <w:rsid w:val="000B5F0D"/>
    <w:rsid w:val="000C20F4"/>
    <w:rsid w:val="000D240F"/>
    <w:rsid w:val="000D2A58"/>
    <w:rsid w:val="000D33AD"/>
    <w:rsid w:val="000D3E31"/>
    <w:rsid w:val="000D792F"/>
    <w:rsid w:val="000E34E3"/>
    <w:rsid w:val="000F00A4"/>
    <w:rsid w:val="000F1AD0"/>
    <w:rsid w:val="000F1D52"/>
    <w:rsid w:val="000F302D"/>
    <w:rsid w:val="0010557E"/>
    <w:rsid w:val="00114C72"/>
    <w:rsid w:val="00114D6D"/>
    <w:rsid w:val="001151DB"/>
    <w:rsid w:val="00117081"/>
    <w:rsid w:val="00117649"/>
    <w:rsid w:val="00126474"/>
    <w:rsid w:val="0013048E"/>
    <w:rsid w:val="001307A8"/>
    <w:rsid w:val="00132239"/>
    <w:rsid w:val="00133CB6"/>
    <w:rsid w:val="00137A54"/>
    <w:rsid w:val="001419ED"/>
    <w:rsid w:val="001437B7"/>
    <w:rsid w:val="0014391B"/>
    <w:rsid w:val="00144E3C"/>
    <w:rsid w:val="00147D58"/>
    <w:rsid w:val="0015482C"/>
    <w:rsid w:val="001562CB"/>
    <w:rsid w:val="001639F2"/>
    <w:rsid w:val="00167C89"/>
    <w:rsid w:val="00170405"/>
    <w:rsid w:val="00172D45"/>
    <w:rsid w:val="001760D4"/>
    <w:rsid w:val="00176897"/>
    <w:rsid w:val="00180DAB"/>
    <w:rsid w:val="00184414"/>
    <w:rsid w:val="00196B01"/>
    <w:rsid w:val="00197A98"/>
    <w:rsid w:val="001A386B"/>
    <w:rsid w:val="001B23DC"/>
    <w:rsid w:val="001B27A1"/>
    <w:rsid w:val="001C1022"/>
    <w:rsid w:val="001C586F"/>
    <w:rsid w:val="001C7182"/>
    <w:rsid w:val="001D3EE9"/>
    <w:rsid w:val="001F04F8"/>
    <w:rsid w:val="001F0883"/>
    <w:rsid w:val="001F1AAD"/>
    <w:rsid w:val="001F25EF"/>
    <w:rsid w:val="001F2D55"/>
    <w:rsid w:val="001F68AE"/>
    <w:rsid w:val="002048C1"/>
    <w:rsid w:val="00217CF6"/>
    <w:rsid w:val="00222352"/>
    <w:rsid w:val="00224423"/>
    <w:rsid w:val="00231667"/>
    <w:rsid w:val="0023191B"/>
    <w:rsid w:val="00232340"/>
    <w:rsid w:val="0023528D"/>
    <w:rsid w:val="00237718"/>
    <w:rsid w:val="002453FA"/>
    <w:rsid w:val="00250B23"/>
    <w:rsid w:val="00251D71"/>
    <w:rsid w:val="00256E7D"/>
    <w:rsid w:val="00262031"/>
    <w:rsid w:val="0026627F"/>
    <w:rsid w:val="00267DA2"/>
    <w:rsid w:val="002765C2"/>
    <w:rsid w:val="00280457"/>
    <w:rsid w:val="00285FC4"/>
    <w:rsid w:val="00291F77"/>
    <w:rsid w:val="00294804"/>
    <w:rsid w:val="0029793E"/>
    <w:rsid w:val="00297A80"/>
    <w:rsid w:val="002A301F"/>
    <w:rsid w:val="002A6A2A"/>
    <w:rsid w:val="002B2D87"/>
    <w:rsid w:val="002C5136"/>
    <w:rsid w:val="002D2708"/>
    <w:rsid w:val="002D2F0B"/>
    <w:rsid w:val="002D3926"/>
    <w:rsid w:val="002D5BF2"/>
    <w:rsid w:val="002E0D26"/>
    <w:rsid w:val="002E2E3B"/>
    <w:rsid w:val="002E5788"/>
    <w:rsid w:val="002F3547"/>
    <w:rsid w:val="00300253"/>
    <w:rsid w:val="0030653D"/>
    <w:rsid w:val="00306E82"/>
    <w:rsid w:val="00314ACF"/>
    <w:rsid w:val="00315BE1"/>
    <w:rsid w:val="00321671"/>
    <w:rsid w:val="003444B9"/>
    <w:rsid w:val="0034481E"/>
    <w:rsid w:val="00350856"/>
    <w:rsid w:val="0035247D"/>
    <w:rsid w:val="003544A4"/>
    <w:rsid w:val="00355431"/>
    <w:rsid w:val="00357881"/>
    <w:rsid w:val="00357CB6"/>
    <w:rsid w:val="00367037"/>
    <w:rsid w:val="0037797C"/>
    <w:rsid w:val="00380660"/>
    <w:rsid w:val="00380DD9"/>
    <w:rsid w:val="0038231C"/>
    <w:rsid w:val="00393654"/>
    <w:rsid w:val="00395A41"/>
    <w:rsid w:val="003A2B8A"/>
    <w:rsid w:val="003A41AC"/>
    <w:rsid w:val="003A4D15"/>
    <w:rsid w:val="003B5A96"/>
    <w:rsid w:val="003B754A"/>
    <w:rsid w:val="003D0392"/>
    <w:rsid w:val="003D0ABB"/>
    <w:rsid w:val="003D1DCB"/>
    <w:rsid w:val="003D2870"/>
    <w:rsid w:val="003D3FE4"/>
    <w:rsid w:val="003E0D45"/>
    <w:rsid w:val="003E36D5"/>
    <w:rsid w:val="003E5D75"/>
    <w:rsid w:val="003E62EE"/>
    <w:rsid w:val="003F17C9"/>
    <w:rsid w:val="003F1EED"/>
    <w:rsid w:val="003F63FB"/>
    <w:rsid w:val="003F67AE"/>
    <w:rsid w:val="003F7BD1"/>
    <w:rsid w:val="004051D5"/>
    <w:rsid w:val="00411D66"/>
    <w:rsid w:val="00413262"/>
    <w:rsid w:val="00421F9A"/>
    <w:rsid w:val="00422E59"/>
    <w:rsid w:val="0042331C"/>
    <w:rsid w:val="0042646C"/>
    <w:rsid w:val="00443435"/>
    <w:rsid w:val="00444688"/>
    <w:rsid w:val="00446A36"/>
    <w:rsid w:val="00447FC9"/>
    <w:rsid w:val="004513C6"/>
    <w:rsid w:val="004630CB"/>
    <w:rsid w:val="00465AE7"/>
    <w:rsid w:val="00466BF9"/>
    <w:rsid w:val="00470277"/>
    <w:rsid w:val="00472421"/>
    <w:rsid w:val="00473142"/>
    <w:rsid w:val="00476E34"/>
    <w:rsid w:val="004815F1"/>
    <w:rsid w:val="00490747"/>
    <w:rsid w:val="00492FEC"/>
    <w:rsid w:val="004963AC"/>
    <w:rsid w:val="0049753D"/>
    <w:rsid w:val="004B1095"/>
    <w:rsid w:val="004B196C"/>
    <w:rsid w:val="004C36D2"/>
    <w:rsid w:val="004C4FE3"/>
    <w:rsid w:val="004D1F9E"/>
    <w:rsid w:val="004D4CCB"/>
    <w:rsid w:val="004E1BF8"/>
    <w:rsid w:val="004E2CE2"/>
    <w:rsid w:val="004E4FD6"/>
    <w:rsid w:val="004F7719"/>
    <w:rsid w:val="00500C29"/>
    <w:rsid w:val="0050220E"/>
    <w:rsid w:val="0051295D"/>
    <w:rsid w:val="00513C6D"/>
    <w:rsid w:val="0051487E"/>
    <w:rsid w:val="005232F3"/>
    <w:rsid w:val="00523BD3"/>
    <w:rsid w:val="005243AD"/>
    <w:rsid w:val="00524DD1"/>
    <w:rsid w:val="00532C37"/>
    <w:rsid w:val="00536480"/>
    <w:rsid w:val="00540524"/>
    <w:rsid w:val="0054303F"/>
    <w:rsid w:val="00543222"/>
    <w:rsid w:val="00545301"/>
    <w:rsid w:val="00570503"/>
    <w:rsid w:val="005717FE"/>
    <w:rsid w:val="0057481B"/>
    <w:rsid w:val="005749DE"/>
    <w:rsid w:val="00574D3A"/>
    <w:rsid w:val="005801AE"/>
    <w:rsid w:val="00581D91"/>
    <w:rsid w:val="0058337A"/>
    <w:rsid w:val="0059450C"/>
    <w:rsid w:val="00595731"/>
    <w:rsid w:val="0059723D"/>
    <w:rsid w:val="0059782E"/>
    <w:rsid w:val="005A14A6"/>
    <w:rsid w:val="005A3A7D"/>
    <w:rsid w:val="005A5D31"/>
    <w:rsid w:val="005B2CA4"/>
    <w:rsid w:val="005B5EE4"/>
    <w:rsid w:val="005C46D1"/>
    <w:rsid w:val="005D6E28"/>
    <w:rsid w:val="005D73D4"/>
    <w:rsid w:val="005E4D27"/>
    <w:rsid w:val="005E63F1"/>
    <w:rsid w:val="005F5538"/>
    <w:rsid w:val="005F73A7"/>
    <w:rsid w:val="00602FFD"/>
    <w:rsid w:val="00610500"/>
    <w:rsid w:val="00616B11"/>
    <w:rsid w:val="00617019"/>
    <w:rsid w:val="0061740E"/>
    <w:rsid w:val="006202BD"/>
    <w:rsid w:val="00624484"/>
    <w:rsid w:val="006254C1"/>
    <w:rsid w:val="00633166"/>
    <w:rsid w:val="00634341"/>
    <w:rsid w:val="00634C2A"/>
    <w:rsid w:val="00636C95"/>
    <w:rsid w:val="00640A85"/>
    <w:rsid w:val="00640D6C"/>
    <w:rsid w:val="006419F1"/>
    <w:rsid w:val="00642789"/>
    <w:rsid w:val="00642904"/>
    <w:rsid w:val="0064543B"/>
    <w:rsid w:val="006500F2"/>
    <w:rsid w:val="006505E4"/>
    <w:rsid w:val="0065778C"/>
    <w:rsid w:val="006617E7"/>
    <w:rsid w:val="006647ED"/>
    <w:rsid w:val="00666945"/>
    <w:rsid w:val="0067354A"/>
    <w:rsid w:val="00680B43"/>
    <w:rsid w:val="00697587"/>
    <w:rsid w:val="00697C46"/>
    <w:rsid w:val="006A08F0"/>
    <w:rsid w:val="006A5AE3"/>
    <w:rsid w:val="006A672F"/>
    <w:rsid w:val="006B2362"/>
    <w:rsid w:val="006B55AE"/>
    <w:rsid w:val="006B72F9"/>
    <w:rsid w:val="006C15E1"/>
    <w:rsid w:val="006C4B12"/>
    <w:rsid w:val="006D30EA"/>
    <w:rsid w:val="006E208F"/>
    <w:rsid w:val="006E2E49"/>
    <w:rsid w:val="006E4433"/>
    <w:rsid w:val="006E48C3"/>
    <w:rsid w:val="006E4B6F"/>
    <w:rsid w:val="006E5ACD"/>
    <w:rsid w:val="006E67E6"/>
    <w:rsid w:val="006F01E1"/>
    <w:rsid w:val="006F204B"/>
    <w:rsid w:val="006F4144"/>
    <w:rsid w:val="00702B3F"/>
    <w:rsid w:val="00706109"/>
    <w:rsid w:val="007120B8"/>
    <w:rsid w:val="00714F78"/>
    <w:rsid w:val="007229D1"/>
    <w:rsid w:val="00722A23"/>
    <w:rsid w:val="00722C8E"/>
    <w:rsid w:val="007252C4"/>
    <w:rsid w:val="00726F04"/>
    <w:rsid w:val="00730E50"/>
    <w:rsid w:val="007324C3"/>
    <w:rsid w:val="00736C4C"/>
    <w:rsid w:val="00741764"/>
    <w:rsid w:val="00742203"/>
    <w:rsid w:val="00751729"/>
    <w:rsid w:val="0075394A"/>
    <w:rsid w:val="00753A10"/>
    <w:rsid w:val="00754B92"/>
    <w:rsid w:val="00764A93"/>
    <w:rsid w:val="007660D1"/>
    <w:rsid w:val="0077051E"/>
    <w:rsid w:val="007750B3"/>
    <w:rsid w:val="007754DE"/>
    <w:rsid w:val="00782D6B"/>
    <w:rsid w:val="00784588"/>
    <w:rsid w:val="00790EDE"/>
    <w:rsid w:val="007951B5"/>
    <w:rsid w:val="00796750"/>
    <w:rsid w:val="00796F12"/>
    <w:rsid w:val="007A0E29"/>
    <w:rsid w:val="007A2013"/>
    <w:rsid w:val="007A43EC"/>
    <w:rsid w:val="007C2FFC"/>
    <w:rsid w:val="007C6476"/>
    <w:rsid w:val="007C6489"/>
    <w:rsid w:val="007E164D"/>
    <w:rsid w:val="007E1B60"/>
    <w:rsid w:val="007E57AF"/>
    <w:rsid w:val="007E6006"/>
    <w:rsid w:val="007E6F2F"/>
    <w:rsid w:val="007F129C"/>
    <w:rsid w:val="007F1838"/>
    <w:rsid w:val="007F48B9"/>
    <w:rsid w:val="00812D8C"/>
    <w:rsid w:val="00814BB7"/>
    <w:rsid w:val="00815D0C"/>
    <w:rsid w:val="00820963"/>
    <w:rsid w:val="008242C6"/>
    <w:rsid w:val="0082637E"/>
    <w:rsid w:val="00827DB1"/>
    <w:rsid w:val="00827DD0"/>
    <w:rsid w:val="00837601"/>
    <w:rsid w:val="008456C5"/>
    <w:rsid w:val="00847C74"/>
    <w:rsid w:val="008539B0"/>
    <w:rsid w:val="00855EFB"/>
    <w:rsid w:val="00860578"/>
    <w:rsid w:val="00864789"/>
    <w:rsid w:val="0087242A"/>
    <w:rsid w:val="00874CA7"/>
    <w:rsid w:val="008817A1"/>
    <w:rsid w:val="0088347B"/>
    <w:rsid w:val="00883DEF"/>
    <w:rsid w:val="00884F56"/>
    <w:rsid w:val="00886762"/>
    <w:rsid w:val="00887F9E"/>
    <w:rsid w:val="00890F77"/>
    <w:rsid w:val="00891C67"/>
    <w:rsid w:val="008A224E"/>
    <w:rsid w:val="008A32EA"/>
    <w:rsid w:val="008A3693"/>
    <w:rsid w:val="008A397D"/>
    <w:rsid w:val="008C39FA"/>
    <w:rsid w:val="008C6F05"/>
    <w:rsid w:val="008D5E8B"/>
    <w:rsid w:val="008D6105"/>
    <w:rsid w:val="008D78AC"/>
    <w:rsid w:val="008E2E88"/>
    <w:rsid w:val="008E3F5D"/>
    <w:rsid w:val="008E52C4"/>
    <w:rsid w:val="008F0E75"/>
    <w:rsid w:val="008F3E01"/>
    <w:rsid w:val="008F51B1"/>
    <w:rsid w:val="008F6313"/>
    <w:rsid w:val="008F66C5"/>
    <w:rsid w:val="008F6CB5"/>
    <w:rsid w:val="009015BA"/>
    <w:rsid w:val="009048E1"/>
    <w:rsid w:val="0090569A"/>
    <w:rsid w:val="00905A46"/>
    <w:rsid w:val="00905D60"/>
    <w:rsid w:val="00914414"/>
    <w:rsid w:val="0091708A"/>
    <w:rsid w:val="009217CF"/>
    <w:rsid w:val="009333CA"/>
    <w:rsid w:val="009348DC"/>
    <w:rsid w:val="00937464"/>
    <w:rsid w:val="0094102C"/>
    <w:rsid w:val="009422D9"/>
    <w:rsid w:val="0094398A"/>
    <w:rsid w:val="00943B42"/>
    <w:rsid w:val="00953F46"/>
    <w:rsid w:val="009830B0"/>
    <w:rsid w:val="00986B22"/>
    <w:rsid w:val="009878FD"/>
    <w:rsid w:val="009907B7"/>
    <w:rsid w:val="00994B1D"/>
    <w:rsid w:val="009A2E7E"/>
    <w:rsid w:val="009A6FAD"/>
    <w:rsid w:val="009A7F0B"/>
    <w:rsid w:val="009B1474"/>
    <w:rsid w:val="009B3036"/>
    <w:rsid w:val="009C470B"/>
    <w:rsid w:val="009D206C"/>
    <w:rsid w:val="009D468C"/>
    <w:rsid w:val="009D6890"/>
    <w:rsid w:val="009E0DC2"/>
    <w:rsid w:val="009E425A"/>
    <w:rsid w:val="009F5310"/>
    <w:rsid w:val="009F6DC3"/>
    <w:rsid w:val="00A000AD"/>
    <w:rsid w:val="00A00DA1"/>
    <w:rsid w:val="00A037BC"/>
    <w:rsid w:val="00A0586C"/>
    <w:rsid w:val="00A059E2"/>
    <w:rsid w:val="00A152B2"/>
    <w:rsid w:val="00A20D26"/>
    <w:rsid w:val="00A213B4"/>
    <w:rsid w:val="00A220F0"/>
    <w:rsid w:val="00A31F63"/>
    <w:rsid w:val="00A31F96"/>
    <w:rsid w:val="00A321D5"/>
    <w:rsid w:val="00A36C0D"/>
    <w:rsid w:val="00A376C4"/>
    <w:rsid w:val="00A425F6"/>
    <w:rsid w:val="00A42D6B"/>
    <w:rsid w:val="00A44314"/>
    <w:rsid w:val="00A52038"/>
    <w:rsid w:val="00A54A0F"/>
    <w:rsid w:val="00A56FAF"/>
    <w:rsid w:val="00A609CC"/>
    <w:rsid w:val="00A60CCD"/>
    <w:rsid w:val="00A61028"/>
    <w:rsid w:val="00A616A7"/>
    <w:rsid w:val="00A6311E"/>
    <w:rsid w:val="00A64A86"/>
    <w:rsid w:val="00A669AA"/>
    <w:rsid w:val="00A73A64"/>
    <w:rsid w:val="00A77A8E"/>
    <w:rsid w:val="00A804D7"/>
    <w:rsid w:val="00A82EB2"/>
    <w:rsid w:val="00A82FA0"/>
    <w:rsid w:val="00A8541A"/>
    <w:rsid w:val="00A90967"/>
    <w:rsid w:val="00A963F3"/>
    <w:rsid w:val="00A96752"/>
    <w:rsid w:val="00A9771F"/>
    <w:rsid w:val="00AA67B2"/>
    <w:rsid w:val="00AC0BEC"/>
    <w:rsid w:val="00AC4FBF"/>
    <w:rsid w:val="00AC6989"/>
    <w:rsid w:val="00AD0B0B"/>
    <w:rsid w:val="00AE2F82"/>
    <w:rsid w:val="00AE347C"/>
    <w:rsid w:val="00AE5447"/>
    <w:rsid w:val="00AE6CC9"/>
    <w:rsid w:val="00AE7D49"/>
    <w:rsid w:val="00AF51D4"/>
    <w:rsid w:val="00AF56D8"/>
    <w:rsid w:val="00B00CE3"/>
    <w:rsid w:val="00B24C13"/>
    <w:rsid w:val="00B264F0"/>
    <w:rsid w:val="00B26896"/>
    <w:rsid w:val="00B26D0A"/>
    <w:rsid w:val="00B332D2"/>
    <w:rsid w:val="00B339FE"/>
    <w:rsid w:val="00B349E7"/>
    <w:rsid w:val="00B41F61"/>
    <w:rsid w:val="00B47753"/>
    <w:rsid w:val="00B50E44"/>
    <w:rsid w:val="00B54B81"/>
    <w:rsid w:val="00B56F62"/>
    <w:rsid w:val="00B57111"/>
    <w:rsid w:val="00B65413"/>
    <w:rsid w:val="00B655D3"/>
    <w:rsid w:val="00B67247"/>
    <w:rsid w:val="00B70ED0"/>
    <w:rsid w:val="00B73B08"/>
    <w:rsid w:val="00B770F6"/>
    <w:rsid w:val="00B80131"/>
    <w:rsid w:val="00B8059B"/>
    <w:rsid w:val="00B87FA7"/>
    <w:rsid w:val="00B9344C"/>
    <w:rsid w:val="00BA1AA6"/>
    <w:rsid w:val="00BA2EED"/>
    <w:rsid w:val="00BA40E8"/>
    <w:rsid w:val="00BA4F10"/>
    <w:rsid w:val="00BB05D6"/>
    <w:rsid w:val="00BB0FB1"/>
    <w:rsid w:val="00BC2CD6"/>
    <w:rsid w:val="00BC74E5"/>
    <w:rsid w:val="00BD5E9F"/>
    <w:rsid w:val="00BD7C67"/>
    <w:rsid w:val="00BE780C"/>
    <w:rsid w:val="00BE7F48"/>
    <w:rsid w:val="00BF08A8"/>
    <w:rsid w:val="00BF1EC3"/>
    <w:rsid w:val="00C0274C"/>
    <w:rsid w:val="00C02D5E"/>
    <w:rsid w:val="00C0415D"/>
    <w:rsid w:val="00C17CB9"/>
    <w:rsid w:val="00C21CBD"/>
    <w:rsid w:val="00C25495"/>
    <w:rsid w:val="00C40D56"/>
    <w:rsid w:val="00C4166F"/>
    <w:rsid w:val="00C47180"/>
    <w:rsid w:val="00C56AB7"/>
    <w:rsid w:val="00C576EF"/>
    <w:rsid w:val="00C617C8"/>
    <w:rsid w:val="00C6463B"/>
    <w:rsid w:val="00C6537F"/>
    <w:rsid w:val="00C65AAB"/>
    <w:rsid w:val="00C664A5"/>
    <w:rsid w:val="00C6698D"/>
    <w:rsid w:val="00C67CA3"/>
    <w:rsid w:val="00C826F1"/>
    <w:rsid w:val="00C83D73"/>
    <w:rsid w:val="00C8677F"/>
    <w:rsid w:val="00C95025"/>
    <w:rsid w:val="00C96227"/>
    <w:rsid w:val="00C9698E"/>
    <w:rsid w:val="00C96E24"/>
    <w:rsid w:val="00CA395C"/>
    <w:rsid w:val="00CA7BED"/>
    <w:rsid w:val="00CA7E37"/>
    <w:rsid w:val="00CB1823"/>
    <w:rsid w:val="00CC03F3"/>
    <w:rsid w:val="00CC1CB0"/>
    <w:rsid w:val="00CC2D98"/>
    <w:rsid w:val="00CD333A"/>
    <w:rsid w:val="00CD3CAD"/>
    <w:rsid w:val="00CE0C75"/>
    <w:rsid w:val="00CF0E8D"/>
    <w:rsid w:val="00CF26E8"/>
    <w:rsid w:val="00CF739F"/>
    <w:rsid w:val="00D03358"/>
    <w:rsid w:val="00D048F9"/>
    <w:rsid w:val="00D04941"/>
    <w:rsid w:val="00D071DE"/>
    <w:rsid w:val="00D11036"/>
    <w:rsid w:val="00D1422D"/>
    <w:rsid w:val="00D16317"/>
    <w:rsid w:val="00D213F5"/>
    <w:rsid w:val="00D22E91"/>
    <w:rsid w:val="00D25C2F"/>
    <w:rsid w:val="00D25DA0"/>
    <w:rsid w:val="00D34795"/>
    <w:rsid w:val="00D4046F"/>
    <w:rsid w:val="00D41185"/>
    <w:rsid w:val="00D427A9"/>
    <w:rsid w:val="00D47D47"/>
    <w:rsid w:val="00D6470D"/>
    <w:rsid w:val="00D75B22"/>
    <w:rsid w:val="00D819F3"/>
    <w:rsid w:val="00D86378"/>
    <w:rsid w:val="00D94CBE"/>
    <w:rsid w:val="00D96009"/>
    <w:rsid w:val="00D9601F"/>
    <w:rsid w:val="00D97064"/>
    <w:rsid w:val="00DA56A9"/>
    <w:rsid w:val="00DB2A0D"/>
    <w:rsid w:val="00DC6DF0"/>
    <w:rsid w:val="00DD3BA1"/>
    <w:rsid w:val="00DE2427"/>
    <w:rsid w:val="00DE5438"/>
    <w:rsid w:val="00DE60A2"/>
    <w:rsid w:val="00DF2026"/>
    <w:rsid w:val="00DF3379"/>
    <w:rsid w:val="00DF6424"/>
    <w:rsid w:val="00E06C6B"/>
    <w:rsid w:val="00E077B9"/>
    <w:rsid w:val="00E12048"/>
    <w:rsid w:val="00E12563"/>
    <w:rsid w:val="00E157CE"/>
    <w:rsid w:val="00E2136C"/>
    <w:rsid w:val="00E24E16"/>
    <w:rsid w:val="00E24E1D"/>
    <w:rsid w:val="00E26667"/>
    <w:rsid w:val="00E278B2"/>
    <w:rsid w:val="00E43037"/>
    <w:rsid w:val="00E43FB0"/>
    <w:rsid w:val="00E534A9"/>
    <w:rsid w:val="00E721B3"/>
    <w:rsid w:val="00E74A71"/>
    <w:rsid w:val="00E76963"/>
    <w:rsid w:val="00E81C36"/>
    <w:rsid w:val="00E83986"/>
    <w:rsid w:val="00E9006A"/>
    <w:rsid w:val="00E90660"/>
    <w:rsid w:val="00E906AA"/>
    <w:rsid w:val="00E912BA"/>
    <w:rsid w:val="00E92895"/>
    <w:rsid w:val="00E93531"/>
    <w:rsid w:val="00EA22BD"/>
    <w:rsid w:val="00EA25AF"/>
    <w:rsid w:val="00EA5162"/>
    <w:rsid w:val="00EB0C04"/>
    <w:rsid w:val="00EB1949"/>
    <w:rsid w:val="00EB4C66"/>
    <w:rsid w:val="00EC6663"/>
    <w:rsid w:val="00EC6A24"/>
    <w:rsid w:val="00EC712F"/>
    <w:rsid w:val="00EE0674"/>
    <w:rsid w:val="00EE59B7"/>
    <w:rsid w:val="00EE6D52"/>
    <w:rsid w:val="00EF4C9E"/>
    <w:rsid w:val="00F0178A"/>
    <w:rsid w:val="00F02862"/>
    <w:rsid w:val="00F03F56"/>
    <w:rsid w:val="00F04584"/>
    <w:rsid w:val="00F076FF"/>
    <w:rsid w:val="00F100ED"/>
    <w:rsid w:val="00F2398F"/>
    <w:rsid w:val="00F31037"/>
    <w:rsid w:val="00F3476C"/>
    <w:rsid w:val="00F34B8D"/>
    <w:rsid w:val="00F403F1"/>
    <w:rsid w:val="00F4092D"/>
    <w:rsid w:val="00F41195"/>
    <w:rsid w:val="00F441A3"/>
    <w:rsid w:val="00F46FE9"/>
    <w:rsid w:val="00F63357"/>
    <w:rsid w:val="00F634CF"/>
    <w:rsid w:val="00F64A4B"/>
    <w:rsid w:val="00F763AA"/>
    <w:rsid w:val="00F76E11"/>
    <w:rsid w:val="00F81D53"/>
    <w:rsid w:val="00F83ED1"/>
    <w:rsid w:val="00F8588D"/>
    <w:rsid w:val="00F92E67"/>
    <w:rsid w:val="00FA5A11"/>
    <w:rsid w:val="00FB0EA3"/>
    <w:rsid w:val="00FB2246"/>
    <w:rsid w:val="00FB3C21"/>
    <w:rsid w:val="00FB6A3D"/>
    <w:rsid w:val="00FC6237"/>
    <w:rsid w:val="00FC6BD7"/>
    <w:rsid w:val="00FD2927"/>
    <w:rsid w:val="00FE190B"/>
    <w:rsid w:val="00FE38F1"/>
    <w:rsid w:val="00FF277A"/>
    <w:rsid w:val="00FF321F"/>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62D6"/>
  <w15:docId w15:val="{E0008B1A-A5AA-4A26-B8AD-BC9E6325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75" w:lineRule="auto"/>
      <w:ind w:left="730" w:right="189"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4"/>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aliases w:val="HCR: - Footnote text"/>
    <w:basedOn w:val="Normal"/>
    <w:link w:val="FootnoteTextChar"/>
    <w:uiPriority w:val="99"/>
    <w:unhideWhenUsed/>
    <w:qFormat/>
    <w:rsid w:val="0082637E"/>
    <w:pPr>
      <w:spacing w:after="0" w:line="240" w:lineRule="auto"/>
    </w:pPr>
    <w:rPr>
      <w:sz w:val="20"/>
      <w:szCs w:val="20"/>
    </w:rPr>
  </w:style>
  <w:style w:type="character" w:customStyle="1" w:styleId="FootnoteTextChar">
    <w:name w:val="Footnote Text Char"/>
    <w:aliases w:val="HCR: - Footnote text Char"/>
    <w:basedOn w:val="DefaultParagraphFont"/>
    <w:link w:val="FootnoteText"/>
    <w:uiPriority w:val="99"/>
    <w:rsid w:val="0082637E"/>
    <w:rPr>
      <w:rFonts w:ascii="Arial" w:eastAsia="Arial" w:hAnsi="Arial" w:cs="Arial"/>
      <w:color w:val="000000"/>
      <w:sz w:val="20"/>
      <w:szCs w:val="20"/>
    </w:rPr>
  </w:style>
  <w:style w:type="character" w:styleId="FootnoteReference">
    <w:name w:val="footnote reference"/>
    <w:basedOn w:val="DefaultParagraphFont"/>
    <w:uiPriority w:val="99"/>
    <w:unhideWhenUsed/>
    <w:rsid w:val="0082637E"/>
    <w:rPr>
      <w:vertAlign w:val="superscript"/>
    </w:rPr>
  </w:style>
  <w:style w:type="paragraph" w:styleId="ListParagraph">
    <w:name w:val="List Paragraph"/>
    <w:basedOn w:val="Normal"/>
    <w:uiPriority w:val="34"/>
    <w:qFormat/>
    <w:rsid w:val="00027F47"/>
    <w:pPr>
      <w:spacing w:after="200" w:line="276" w:lineRule="auto"/>
      <w:ind w:left="720" w:right="0" w:firstLine="0"/>
      <w:contextualSpacing/>
      <w:jc w:val="left"/>
    </w:pPr>
    <w:rPr>
      <w:rFonts w:ascii="Calibri" w:eastAsia="Times New Roman" w:hAnsi="Calibri" w:cs="Times New Roman"/>
      <w:color w:val="auto"/>
      <w:sz w:val="22"/>
    </w:rPr>
  </w:style>
  <w:style w:type="paragraph" w:customStyle="1" w:styleId="Default">
    <w:name w:val="Default"/>
    <w:rsid w:val="00027F47"/>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A224E"/>
    <w:rPr>
      <w:sz w:val="16"/>
      <w:szCs w:val="16"/>
    </w:rPr>
  </w:style>
  <w:style w:type="paragraph" w:styleId="CommentText">
    <w:name w:val="annotation text"/>
    <w:basedOn w:val="Normal"/>
    <w:link w:val="CommentTextChar"/>
    <w:uiPriority w:val="99"/>
    <w:semiHidden/>
    <w:unhideWhenUsed/>
    <w:rsid w:val="008A224E"/>
    <w:pPr>
      <w:spacing w:line="240" w:lineRule="auto"/>
    </w:pPr>
    <w:rPr>
      <w:sz w:val="20"/>
      <w:szCs w:val="20"/>
    </w:rPr>
  </w:style>
  <w:style w:type="character" w:customStyle="1" w:styleId="CommentTextChar">
    <w:name w:val="Comment Text Char"/>
    <w:basedOn w:val="DefaultParagraphFont"/>
    <w:link w:val="CommentText"/>
    <w:uiPriority w:val="99"/>
    <w:semiHidden/>
    <w:rsid w:val="008A224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A224E"/>
    <w:rPr>
      <w:b/>
      <w:bCs/>
    </w:rPr>
  </w:style>
  <w:style w:type="character" w:customStyle="1" w:styleId="CommentSubjectChar">
    <w:name w:val="Comment Subject Char"/>
    <w:basedOn w:val="CommentTextChar"/>
    <w:link w:val="CommentSubject"/>
    <w:uiPriority w:val="99"/>
    <w:semiHidden/>
    <w:rsid w:val="008A224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A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4E"/>
    <w:rPr>
      <w:rFonts w:ascii="Segoe UI" w:eastAsia="Arial" w:hAnsi="Segoe UI" w:cs="Segoe UI"/>
      <w:color w:val="000000"/>
      <w:sz w:val="18"/>
      <w:szCs w:val="18"/>
    </w:rPr>
  </w:style>
  <w:style w:type="paragraph" w:customStyle="1" w:styleId="HCR-Numberingnormal">
    <w:name w:val="HCR: - Numbering: normal"/>
    <w:basedOn w:val="Normal"/>
    <w:qFormat/>
    <w:rsid w:val="002E2E3B"/>
    <w:pPr>
      <w:numPr>
        <w:numId w:val="1"/>
      </w:numPr>
      <w:spacing w:before="240" w:after="240" w:line="360" w:lineRule="auto"/>
      <w:ind w:right="0"/>
    </w:pPr>
    <w:rPr>
      <w:rFonts w:cs="Times New Roman"/>
      <w:color w:val="auto"/>
      <w:lang w:val="en-GB"/>
    </w:rPr>
  </w:style>
  <w:style w:type="paragraph" w:customStyle="1" w:styleId="HCR-Quote2">
    <w:name w:val="HCR: - Quote 2"/>
    <w:basedOn w:val="Normal"/>
    <w:qFormat/>
    <w:rsid w:val="002E2E3B"/>
    <w:pPr>
      <w:spacing w:before="240" w:after="240" w:line="360" w:lineRule="auto"/>
      <w:ind w:left="851" w:right="0" w:firstLine="0"/>
    </w:pPr>
    <w:rPr>
      <w:rFonts w:cs="Times New Roman"/>
      <w:color w:val="auto"/>
      <w:sz w:val="22"/>
    </w:rPr>
  </w:style>
  <w:style w:type="paragraph" w:customStyle="1" w:styleId="HCR-Header-partyname">
    <w:name w:val="HCR: - Header - party name"/>
    <w:basedOn w:val="Normal"/>
    <w:qFormat/>
    <w:rsid w:val="00741764"/>
    <w:pPr>
      <w:tabs>
        <w:tab w:val="right" w:pos="9000"/>
      </w:tabs>
      <w:spacing w:before="720" w:after="720" w:line="360" w:lineRule="auto"/>
      <w:ind w:left="0" w:right="0" w:firstLine="0"/>
      <w:contextualSpacing/>
    </w:pPr>
    <w:rPr>
      <w:rFonts w:cs="Times New Roman"/>
      <w:b/>
      <w:caps/>
      <w:color w:val="auto"/>
      <w:lang w:val="en-GB"/>
    </w:rPr>
  </w:style>
  <w:style w:type="paragraph" w:customStyle="1" w:styleId="HCR-Numberingaffidavit">
    <w:name w:val="HCR: - Numbering: affidavit"/>
    <w:qFormat/>
    <w:rsid w:val="008F3E01"/>
    <w:pPr>
      <w:numPr>
        <w:ilvl w:val="1"/>
        <w:numId w:val="2"/>
      </w:numPr>
      <w:spacing w:before="240" w:after="240" w:line="360" w:lineRule="auto"/>
      <w:jc w:val="both"/>
      <w:outlineLvl w:val="1"/>
    </w:pPr>
    <w:rPr>
      <w:rFonts w:ascii="Arial" w:eastAsia="Times New Roman" w:hAnsi="Arial" w:cs="Times New Roman"/>
      <w:sz w:val="24"/>
      <w:szCs w:val="20"/>
    </w:rPr>
  </w:style>
  <w:style w:type="character" w:styleId="Hyperlink">
    <w:name w:val="Hyperlink"/>
    <w:basedOn w:val="DefaultParagraphFont"/>
    <w:uiPriority w:val="99"/>
    <w:semiHidden/>
    <w:unhideWhenUsed/>
    <w:rsid w:val="00D4046F"/>
    <w:rPr>
      <w:b/>
      <w:bCs/>
      <w:i w:val="0"/>
      <w:iCs w:val="0"/>
      <w:color w:val="0B4B0B"/>
      <w:u w:val="single"/>
    </w:rPr>
  </w:style>
  <w:style w:type="paragraph" w:customStyle="1" w:styleId="western">
    <w:name w:val="western"/>
    <w:basedOn w:val="Normal"/>
    <w:rsid w:val="00D4046F"/>
    <w:pPr>
      <w:spacing w:before="144" w:after="288" w:line="240" w:lineRule="auto"/>
      <w:ind w:left="0" w:right="0" w:firstLine="0"/>
      <w:jc w:val="left"/>
    </w:pPr>
    <w:rPr>
      <w:rFonts w:ascii="Times New Roman" w:eastAsia="Times New Roman" w:hAnsi="Times New Roman" w:cs="Times New Roman"/>
      <w:color w:val="auto"/>
      <w:szCs w:val="24"/>
      <w:lang w:val="en-ZA" w:eastAsia="en-ZA"/>
    </w:rPr>
  </w:style>
  <w:style w:type="paragraph" w:styleId="BodyTextIndent">
    <w:name w:val="Body Text Indent"/>
    <w:basedOn w:val="Normal"/>
    <w:link w:val="BodyTextIndentChar"/>
    <w:rsid w:val="00F41195"/>
    <w:pPr>
      <w:spacing w:after="0" w:line="240" w:lineRule="auto"/>
      <w:ind w:left="1440" w:right="0" w:firstLine="0"/>
      <w:jc w:val="left"/>
    </w:pPr>
    <w:rPr>
      <w:rFonts w:ascii="Times New Roman" w:eastAsia="Times New Roman" w:hAnsi="Times New Roman" w:cs="Times New Roman"/>
      <w:color w:val="auto"/>
      <w:szCs w:val="24"/>
      <w:lang w:val="en-GB"/>
    </w:rPr>
  </w:style>
  <w:style w:type="character" w:customStyle="1" w:styleId="BodyTextIndentChar">
    <w:name w:val="Body Text Indent Char"/>
    <w:basedOn w:val="DefaultParagraphFont"/>
    <w:link w:val="BodyTextIndent"/>
    <w:rsid w:val="00F4119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2552">
      <w:bodyDiv w:val="1"/>
      <w:marLeft w:val="0"/>
      <w:marRight w:val="0"/>
      <w:marTop w:val="0"/>
      <w:marBottom w:val="0"/>
      <w:divBdr>
        <w:top w:val="none" w:sz="0" w:space="0" w:color="auto"/>
        <w:left w:val="none" w:sz="0" w:space="0" w:color="auto"/>
        <w:bottom w:val="none" w:sz="0" w:space="0" w:color="auto"/>
        <w:right w:val="none" w:sz="0" w:space="0" w:color="auto"/>
      </w:divBdr>
    </w:div>
    <w:div w:id="902645787">
      <w:bodyDiv w:val="1"/>
      <w:marLeft w:val="0"/>
      <w:marRight w:val="0"/>
      <w:marTop w:val="0"/>
      <w:marBottom w:val="0"/>
      <w:divBdr>
        <w:top w:val="none" w:sz="0" w:space="0" w:color="auto"/>
        <w:left w:val="none" w:sz="0" w:space="0" w:color="auto"/>
        <w:bottom w:val="none" w:sz="0" w:space="0" w:color="auto"/>
        <w:right w:val="none" w:sz="0" w:space="0" w:color="auto"/>
      </w:divBdr>
    </w:div>
    <w:div w:id="971863724">
      <w:bodyDiv w:val="1"/>
      <w:marLeft w:val="0"/>
      <w:marRight w:val="0"/>
      <w:marTop w:val="0"/>
      <w:marBottom w:val="0"/>
      <w:divBdr>
        <w:top w:val="none" w:sz="0" w:space="0" w:color="auto"/>
        <w:left w:val="none" w:sz="0" w:space="0" w:color="auto"/>
        <w:bottom w:val="none" w:sz="0" w:space="0" w:color="auto"/>
        <w:right w:val="none" w:sz="0" w:space="0" w:color="auto"/>
      </w:divBdr>
    </w:div>
    <w:div w:id="1206024762">
      <w:bodyDiv w:val="1"/>
      <w:marLeft w:val="0"/>
      <w:marRight w:val="0"/>
      <w:marTop w:val="0"/>
      <w:marBottom w:val="0"/>
      <w:divBdr>
        <w:top w:val="none" w:sz="0" w:space="0" w:color="auto"/>
        <w:left w:val="none" w:sz="0" w:space="0" w:color="auto"/>
        <w:bottom w:val="none" w:sz="0" w:space="0" w:color="auto"/>
        <w:right w:val="none" w:sz="0" w:space="0" w:color="auto"/>
      </w:divBdr>
    </w:div>
    <w:div w:id="1627395902">
      <w:bodyDiv w:val="1"/>
      <w:marLeft w:val="0"/>
      <w:marRight w:val="0"/>
      <w:marTop w:val="0"/>
      <w:marBottom w:val="0"/>
      <w:divBdr>
        <w:top w:val="none" w:sz="0" w:space="0" w:color="auto"/>
        <w:left w:val="none" w:sz="0" w:space="0" w:color="auto"/>
        <w:bottom w:val="none" w:sz="0" w:space="0" w:color="auto"/>
        <w:right w:val="none" w:sz="0" w:space="0" w:color="auto"/>
      </w:divBdr>
    </w:div>
    <w:div w:id="1974671662">
      <w:bodyDiv w:val="1"/>
      <w:marLeft w:val="0"/>
      <w:marRight w:val="0"/>
      <w:marTop w:val="0"/>
      <w:marBottom w:val="0"/>
      <w:divBdr>
        <w:top w:val="none" w:sz="0" w:space="0" w:color="auto"/>
        <w:left w:val="none" w:sz="0" w:space="0" w:color="auto"/>
        <w:bottom w:val="none" w:sz="0" w:space="0" w:color="auto"/>
        <w:right w:val="none" w:sz="0" w:space="0" w:color="auto"/>
      </w:divBdr>
    </w:div>
    <w:div w:id="2086339742">
      <w:bodyDiv w:val="1"/>
      <w:marLeft w:val="0"/>
      <w:marRight w:val="0"/>
      <w:marTop w:val="0"/>
      <w:marBottom w:val="0"/>
      <w:divBdr>
        <w:top w:val="none" w:sz="0" w:space="0" w:color="auto"/>
        <w:left w:val="none" w:sz="0" w:space="0" w:color="auto"/>
        <w:bottom w:val="none" w:sz="0" w:space="0" w:color="auto"/>
        <w:right w:val="none" w:sz="0" w:space="0" w:color="auto"/>
      </w:divBdr>
    </w:div>
    <w:div w:id="210648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2018-04-12T18:30:00+00:00</Judgment_x0020_Date>
    <Year xmlns="c1afb1bd-f2fb-40fd-9abb-aea55b4d7662">2018</Year>
  </documentManagement>
</p:properties>
</file>

<file path=customXml/itemProps1.xml><?xml version="1.0" encoding="utf-8"?>
<ds:datastoreItem xmlns:ds="http://schemas.openxmlformats.org/officeDocument/2006/customXml" ds:itemID="{211069B8-66F8-40F3-B8BC-527CD2812937}"/>
</file>

<file path=customXml/itemProps2.xml><?xml version="1.0" encoding="utf-8"?>
<ds:datastoreItem xmlns:ds="http://schemas.openxmlformats.org/officeDocument/2006/customXml" ds:itemID="{E493D498-F719-4572-91C8-5C00F8477FB2}"/>
</file>

<file path=customXml/itemProps3.xml><?xml version="1.0" encoding="utf-8"?>
<ds:datastoreItem xmlns:ds="http://schemas.openxmlformats.org/officeDocument/2006/customXml" ds:itemID="{58D29AEF-A863-474D-9DA1-0D94F9A0CEE8}"/>
</file>

<file path=customXml/itemProps4.xml><?xml version="1.0" encoding="utf-8"?>
<ds:datastoreItem xmlns:ds="http://schemas.openxmlformats.org/officeDocument/2006/customXml" ds:itemID="{30010B36-DA1E-4A34-9418-9ABA32844E01}"/>
</file>

<file path=docProps/app.xml><?xml version="1.0" encoding="utf-8"?>
<Properties xmlns="http://schemas.openxmlformats.org/officeDocument/2006/extended-properties" xmlns:vt="http://schemas.openxmlformats.org/officeDocument/2006/docPropsVTypes">
  <Template>Normal</Template>
  <TotalTime>14</TotalTime>
  <Pages>12</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Ben-Tovim v Van Zyl N.O</dc:title>
  <dc:subject/>
  <dc:creator>ybasson</dc:creator>
  <cp:keywords/>
  <dc:description/>
  <cp:lastModifiedBy>Nicole Januarie</cp:lastModifiedBy>
  <cp:revision>4</cp:revision>
  <cp:lastPrinted>2018-04-13T06:40:00Z</cp:lastPrinted>
  <dcterms:created xsi:type="dcterms:W3CDTF">2018-04-17T06:43:00Z</dcterms:created>
  <dcterms:modified xsi:type="dcterms:W3CDTF">2018-04-17T06:56:00Z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