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E2D3" w14:textId="77777777" w:rsidR="00A70993" w:rsidRPr="001329E3" w:rsidRDefault="00A70993" w:rsidP="00A70993">
      <w:pPr>
        <w:tabs>
          <w:tab w:val="right" w:pos="8222"/>
        </w:tabs>
        <w:rPr>
          <w:rFonts w:ascii="Calibri" w:hAnsi="Calibri" w:cs="Calibri"/>
          <w:sz w:val="22"/>
          <w:szCs w:val="22"/>
        </w:rPr>
      </w:pPr>
      <w:r>
        <w:rPr>
          <w:rFonts w:ascii="Arial" w:hAnsi="Arial" w:cs="Arial"/>
          <w:b/>
        </w:rPr>
        <w:tab/>
      </w:r>
      <w:r w:rsidRPr="001329E3">
        <w:rPr>
          <w:rFonts w:ascii="Calibri" w:hAnsi="Calibri" w:cs="Calibri"/>
          <w:sz w:val="22"/>
          <w:szCs w:val="22"/>
        </w:rPr>
        <w:t>REPORTABLE</w:t>
      </w:r>
    </w:p>
    <w:p w14:paraId="08C791F3" w14:textId="6B36C2BC" w:rsidR="00A70993" w:rsidRDefault="00A70993" w:rsidP="00A70993">
      <w:pPr>
        <w:tabs>
          <w:tab w:val="right" w:pos="8222"/>
        </w:tabs>
        <w:jc w:val="center"/>
        <w:rPr>
          <w:rFonts w:ascii="Arial" w:hAnsi="Arial" w:cs="Arial"/>
          <w:b/>
        </w:rPr>
      </w:pPr>
    </w:p>
    <w:p w14:paraId="54750F11" w14:textId="20614C40" w:rsidR="00894A7A" w:rsidRDefault="00894A7A" w:rsidP="00894A7A">
      <w:pPr>
        <w:jc w:val="center"/>
        <w:rPr>
          <w:rFonts w:ascii="Arial" w:hAnsi="Arial" w:cs="Arial"/>
          <w:b/>
        </w:rPr>
      </w:pPr>
      <w:r>
        <w:rPr>
          <w:rFonts w:ascii="Arial" w:hAnsi="Arial" w:cs="Arial"/>
          <w:b/>
        </w:rPr>
        <w:t>REPUBLIC OF NAMIBIA</w:t>
      </w:r>
      <w:r w:rsidR="00A70993">
        <w:rPr>
          <w:rFonts w:ascii="Arial" w:hAnsi="Arial" w:cs="Arial"/>
          <w:b/>
        </w:rPr>
        <w:t xml:space="preserve">                               </w:t>
      </w:r>
    </w:p>
    <w:p w14:paraId="29CFE501" w14:textId="77777777" w:rsidR="00894A7A" w:rsidRDefault="00894A7A" w:rsidP="00894A7A">
      <w:pPr>
        <w:jc w:val="center"/>
        <w:rPr>
          <w:rFonts w:ascii="Arial" w:hAnsi="Arial" w:cs="Arial"/>
          <w:b/>
        </w:rPr>
      </w:pPr>
    </w:p>
    <w:p w14:paraId="27912B6F" w14:textId="77777777" w:rsidR="00894A7A" w:rsidRPr="005A0363" w:rsidRDefault="00894A7A" w:rsidP="00894A7A">
      <w:pPr>
        <w:jc w:val="center"/>
        <w:rPr>
          <w:rFonts w:ascii="Arial" w:hAnsi="Arial" w:cs="Arial"/>
          <w:b/>
        </w:rPr>
      </w:pPr>
      <w:r w:rsidRPr="005A0363">
        <w:rPr>
          <w:rFonts w:ascii="Arial" w:hAnsi="Arial" w:cs="Arial"/>
          <w:b/>
          <w:noProof/>
          <w:lang w:eastAsia="en-GB"/>
        </w:rPr>
        <w:drawing>
          <wp:inline distT="0" distB="0" distL="0" distR="0" wp14:anchorId="073C1386" wp14:editId="26C5B91F">
            <wp:extent cx="1274445" cy="13290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1329055"/>
                    </a:xfrm>
                    <a:prstGeom prst="rect">
                      <a:avLst/>
                    </a:prstGeom>
                    <a:noFill/>
                  </pic:spPr>
                </pic:pic>
              </a:graphicData>
            </a:graphic>
          </wp:inline>
        </w:drawing>
      </w:r>
    </w:p>
    <w:p w14:paraId="0FCC3C3C" w14:textId="77777777" w:rsidR="006E486A" w:rsidRPr="00894A7A" w:rsidRDefault="00355400" w:rsidP="00894A7A">
      <w:pPr>
        <w:jc w:val="center"/>
        <w:rPr>
          <w:rFonts w:ascii="Arial" w:hAnsi="Arial" w:cs="Arial"/>
          <w:b/>
        </w:rPr>
      </w:pPr>
      <w:r w:rsidRPr="00894A7A">
        <w:rPr>
          <w:rFonts w:ascii="Arial" w:hAnsi="Arial" w:cs="Arial"/>
          <w:b/>
        </w:rPr>
        <w:t>HIGH COURT OF NAMIBIA, WINDHOEK, MAIN DIVISION</w:t>
      </w:r>
    </w:p>
    <w:p w14:paraId="292F8AD6" w14:textId="77777777" w:rsidR="00355400" w:rsidRPr="00894A7A" w:rsidRDefault="00355400" w:rsidP="00894A7A">
      <w:pPr>
        <w:jc w:val="center"/>
        <w:rPr>
          <w:rFonts w:ascii="Arial" w:hAnsi="Arial" w:cs="Arial"/>
          <w:b/>
        </w:rPr>
      </w:pPr>
    </w:p>
    <w:p w14:paraId="1FEE00B2" w14:textId="77777777" w:rsidR="00355400" w:rsidRPr="00894A7A" w:rsidRDefault="00355400" w:rsidP="00894A7A">
      <w:pPr>
        <w:jc w:val="center"/>
        <w:rPr>
          <w:rFonts w:ascii="Arial" w:hAnsi="Arial" w:cs="Arial"/>
          <w:b/>
        </w:rPr>
      </w:pPr>
      <w:r w:rsidRPr="00894A7A">
        <w:rPr>
          <w:rFonts w:ascii="Arial" w:hAnsi="Arial" w:cs="Arial"/>
          <w:b/>
        </w:rPr>
        <w:t>JUDGMENT</w:t>
      </w:r>
    </w:p>
    <w:p w14:paraId="089D750C" w14:textId="77777777" w:rsidR="00355400" w:rsidRPr="00894A7A" w:rsidRDefault="00355400" w:rsidP="00894A7A">
      <w:pPr>
        <w:spacing w:line="360" w:lineRule="auto"/>
        <w:jc w:val="center"/>
        <w:rPr>
          <w:rFonts w:ascii="Arial" w:hAnsi="Arial" w:cs="Arial"/>
          <w:b/>
        </w:rPr>
      </w:pPr>
    </w:p>
    <w:p w14:paraId="1BA012AC" w14:textId="77777777" w:rsidR="00355400" w:rsidRPr="00894A7A" w:rsidRDefault="00355400" w:rsidP="00894A7A">
      <w:pPr>
        <w:spacing w:line="360" w:lineRule="auto"/>
        <w:jc w:val="center"/>
        <w:rPr>
          <w:rFonts w:ascii="Arial" w:hAnsi="Arial" w:cs="Arial"/>
          <w:b/>
        </w:rPr>
      </w:pPr>
    </w:p>
    <w:p w14:paraId="66F904A2" w14:textId="77777777" w:rsidR="00355400" w:rsidRPr="00894A7A" w:rsidRDefault="00355400" w:rsidP="00894A7A">
      <w:pPr>
        <w:spacing w:line="360" w:lineRule="auto"/>
        <w:jc w:val="right"/>
        <w:rPr>
          <w:rFonts w:ascii="Arial" w:hAnsi="Arial" w:cs="Arial"/>
        </w:rPr>
      </w:pPr>
      <w:bookmarkStart w:id="0" w:name="_GoBack"/>
      <w:bookmarkEnd w:id="0"/>
      <w:r w:rsidRPr="00894A7A">
        <w:rPr>
          <w:rFonts w:ascii="Arial" w:hAnsi="Arial" w:cs="Arial"/>
        </w:rPr>
        <w:t>CASE NO. I 2705/2015</w:t>
      </w:r>
    </w:p>
    <w:p w14:paraId="7A33A4DF" w14:textId="77777777" w:rsidR="00355400" w:rsidRPr="00894A7A" w:rsidRDefault="00355400" w:rsidP="00894A7A">
      <w:pPr>
        <w:spacing w:line="360" w:lineRule="auto"/>
        <w:jc w:val="right"/>
        <w:rPr>
          <w:rFonts w:ascii="Arial" w:hAnsi="Arial" w:cs="Arial"/>
        </w:rPr>
      </w:pPr>
    </w:p>
    <w:p w14:paraId="2A49000A" w14:textId="77777777" w:rsidR="00355400" w:rsidRPr="00894A7A" w:rsidRDefault="00355400" w:rsidP="00894A7A">
      <w:pPr>
        <w:spacing w:line="360" w:lineRule="auto"/>
        <w:rPr>
          <w:rFonts w:ascii="Arial" w:hAnsi="Arial" w:cs="Arial"/>
        </w:rPr>
      </w:pPr>
      <w:r w:rsidRPr="00894A7A">
        <w:rPr>
          <w:rFonts w:ascii="Arial" w:hAnsi="Arial" w:cs="Arial"/>
        </w:rPr>
        <w:t>In the matter between:</w:t>
      </w:r>
    </w:p>
    <w:p w14:paraId="4D935161" w14:textId="77777777" w:rsidR="00355400" w:rsidRPr="00894A7A" w:rsidRDefault="00355400" w:rsidP="00894A7A">
      <w:pPr>
        <w:spacing w:line="360" w:lineRule="auto"/>
        <w:rPr>
          <w:rFonts w:ascii="Arial" w:hAnsi="Arial" w:cs="Arial"/>
        </w:rPr>
      </w:pPr>
    </w:p>
    <w:p w14:paraId="27A5D699" w14:textId="77777777" w:rsidR="00355400" w:rsidRPr="00894A7A" w:rsidRDefault="00355400" w:rsidP="00894A7A">
      <w:pPr>
        <w:spacing w:line="360" w:lineRule="auto"/>
        <w:rPr>
          <w:rFonts w:ascii="Arial" w:hAnsi="Arial" w:cs="Arial"/>
          <w:b/>
        </w:rPr>
      </w:pPr>
      <w:r w:rsidRPr="00894A7A">
        <w:rPr>
          <w:rFonts w:ascii="Arial" w:hAnsi="Arial" w:cs="Arial"/>
          <w:b/>
        </w:rPr>
        <w:t xml:space="preserve">GUNNAR JENSEN, ACTING IN HIS CAPACITY AS A </w:t>
      </w:r>
    </w:p>
    <w:p w14:paraId="202675B0" w14:textId="77777777" w:rsidR="00355400" w:rsidRPr="00894A7A" w:rsidRDefault="00355400" w:rsidP="00894A7A">
      <w:pPr>
        <w:spacing w:line="360" w:lineRule="auto"/>
        <w:rPr>
          <w:rFonts w:ascii="Arial" w:hAnsi="Arial" w:cs="Arial"/>
          <w:b/>
        </w:rPr>
      </w:pPr>
      <w:r w:rsidRPr="00894A7A">
        <w:rPr>
          <w:rFonts w:ascii="Arial" w:hAnsi="Arial" w:cs="Arial"/>
          <w:b/>
        </w:rPr>
        <w:t xml:space="preserve">TRUSTEE OF THE GUNNAR JENSEN BUILDING </w:t>
      </w:r>
    </w:p>
    <w:p w14:paraId="7E7DAD10" w14:textId="77777777" w:rsidR="00355400" w:rsidRPr="00894A7A" w:rsidRDefault="00355400" w:rsidP="00894A7A">
      <w:pPr>
        <w:spacing w:line="360" w:lineRule="auto"/>
        <w:rPr>
          <w:rFonts w:ascii="Arial" w:hAnsi="Arial" w:cs="Arial"/>
          <w:b/>
        </w:rPr>
      </w:pPr>
      <w:r w:rsidRPr="00894A7A">
        <w:rPr>
          <w:rFonts w:ascii="Arial" w:hAnsi="Arial" w:cs="Arial"/>
          <w:b/>
        </w:rPr>
        <w:t xml:space="preserve">MATERIALS TRUST T/A PENNYPINCHERS </w:t>
      </w:r>
    </w:p>
    <w:p w14:paraId="36652DA2" w14:textId="4C264BB6" w:rsidR="00355400" w:rsidRPr="00894A7A" w:rsidRDefault="00355400" w:rsidP="00894A7A">
      <w:pPr>
        <w:tabs>
          <w:tab w:val="right" w:pos="8222"/>
        </w:tabs>
        <w:spacing w:line="360" w:lineRule="auto"/>
        <w:rPr>
          <w:rFonts w:ascii="Arial" w:hAnsi="Arial" w:cs="Arial"/>
          <w:b/>
        </w:rPr>
      </w:pPr>
      <w:r w:rsidRPr="00894A7A">
        <w:rPr>
          <w:rFonts w:ascii="Arial" w:hAnsi="Arial" w:cs="Arial"/>
          <w:b/>
        </w:rPr>
        <w:t xml:space="preserve">TIMBERCITY WINDHOEK                                               </w:t>
      </w:r>
      <w:r w:rsidR="00894A7A">
        <w:rPr>
          <w:rFonts w:ascii="Arial" w:hAnsi="Arial" w:cs="Arial"/>
          <w:b/>
        </w:rPr>
        <w:t xml:space="preserve">    </w:t>
      </w:r>
      <w:r w:rsidR="00894A7A">
        <w:rPr>
          <w:rFonts w:ascii="Arial" w:hAnsi="Arial" w:cs="Arial"/>
          <w:b/>
        </w:rPr>
        <w:tab/>
      </w:r>
      <w:r w:rsidRPr="00894A7A">
        <w:rPr>
          <w:rFonts w:ascii="Arial" w:hAnsi="Arial" w:cs="Arial"/>
          <w:b/>
        </w:rPr>
        <w:t>PLAINTIFF</w:t>
      </w:r>
    </w:p>
    <w:p w14:paraId="62946C34" w14:textId="77777777" w:rsidR="00355400" w:rsidRPr="00894A7A" w:rsidRDefault="00355400" w:rsidP="00894A7A">
      <w:pPr>
        <w:spacing w:line="360" w:lineRule="auto"/>
        <w:rPr>
          <w:rFonts w:ascii="Arial" w:hAnsi="Arial" w:cs="Arial"/>
          <w:b/>
        </w:rPr>
      </w:pPr>
    </w:p>
    <w:p w14:paraId="7307E440" w14:textId="77777777" w:rsidR="00355400" w:rsidRPr="00894A7A" w:rsidRDefault="00355400" w:rsidP="00894A7A">
      <w:pPr>
        <w:spacing w:line="360" w:lineRule="auto"/>
        <w:rPr>
          <w:rFonts w:ascii="Arial" w:hAnsi="Arial" w:cs="Arial"/>
        </w:rPr>
      </w:pPr>
      <w:r w:rsidRPr="00894A7A">
        <w:rPr>
          <w:rFonts w:ascii="Arial" w:hAnsi="Arial" w:cs="Arial"/>
        </w:rPr>
        <w:t>and</w:t>
      </w:r>
    </w:p>
    <w:p w14:paraId="10CC5188" w14:textId="77777777" w:rsidR="00355400" w:rsidRPr="00894A7A" w:rsidRDefault="00355400" w:rsidP="00894A7A">
      <w:pPr>
        <w:spacing w:line="360" w:lineRule="auto"/>
        <w:rPr>
          <w:rFonts w:ascii="Arial" w:hAnsi="Arial" w:cs="Arial"/>
        </w:rPr>
      </w:pPr>
    </w:p>
    <w:p w14:paraId="012C506E" w14:textId="31141D58" w:rsidR="00894A7A" w:rsidRDefault="00355400" w:rsidP="00894A7A">
      <w:pPr>
        <w:spacing w:line="360" w:lineRule="auto"/>
        <w:rPr>
          <w:rFonts w:ascii="Arial" w:hAnsi="Arial" w:cs="Arial"/>
          <w:b/>
        </w:rPr>
      </w:pPr>
      <w:r w:rsidRPr="00894A7A">
        <w:rPr>
          <w:rFonts w:ascii="Arial" w:hAnsi="Arial" w:cs="Arial"/>
          <w:b/>
        </w:rPr>
        <w:t>AMSWOHL AND LGA CON</w:t>
      </w:r>
      <w:r w:rsidR="00EA0B23">
        <w:rPr>
          <w:rFonts w:ascii="Arial" w:hAnsi="Arial" w:cs="Arial"/>
          <w:b/>
        </w:rPr>
        <w:t xml:space="preserve">STRUCTION </w:t>
      </w:r>
    </w:p>
    <w:p w14:paraId="560D50A7" w14:textId="7BC02D36" w:rsidR="00355400" w:rsidRPr="00894A7A" w:rsidRDefault="00EA0B23" w:rsidP="00894A7A">
      <w:pPr>
        <w:tabs>
          <w:tab w:val="right" w:pos="8222"/>
        </w:tabs>
        <w:spacing w:line="360" w:lineRule="auto"/>
        <w:rPr>
          <w:rFonts w:ascii="Arial" w:hAnsi="Arial" w:cs="Arial"/>
          <w:b/>
        </w:rPr>
      </w:pPr>
      <w:r>
        <w:rPr>
          <w:rFonts w:ascii="Arial" w:hAnsi="Arial" w:cs="Arial"/>
          <w:b/>
        </w:rPr>
        <w:t>J</w:t>
      </w:r>
      <w:r w:rsidR="00894A7A">
        <w:rPr>
          <w:rFonts w:ascii="Arial" w:hAnsi="Arial" w:cs="Arial"/>
          <w:b/>
        </w:rPr>
        <w:t xml:space="preserve">OINT VENTURE CC  </w:t>
      </w:r>
      <w:r w:rsidR="00894A7A">
        <w:rPr>
          <w:rFonts w:ascii="Arial" w:hAnsi="Arial" w:cs="Arial"/>
          <w:b/>
        </w:rPr>
        <w:tab/>
      </w:r>
      <w:r w:rsidR="00355400" w:rsidRPr="00894A7A">
        <w:rPr>
          <w:rFonts w:ascii="Arial" w:hAnsi="Arial" w:cs="Arial"/>
          <w:b/>
        </w:rPr>
        <w:t>1</w:t>
      </w:r>
      <w:r w:rsidR="00355400" w:rsidRPr="00894A7A">
        <w:rPr>
          <w:rFonts w:ascii="Arial" w:hAnsi="Arial" w:cs="Arial"/>
          <w:b/>
          <w:vertAlign w:val="superscript"/>
        </w:rPr>
        <w:t>ST</w:t>
      </w:r>
      <w:r w:rsidR="00355400" w:rsidRPr="00894A7A">
        <w:rPr>
          <w:rFonts w:ascii="Arial" w:hAnsi="Arial" w:cs="Arial"/>
          <w:b/>
        </w:rPr>
        <w:t xml:space="preserve"> DEFENDANT</w:t>
      </w:r>
    </w:p>
    <w:p w14:paraId="2CDCEEEF" w14:textId="6779A570" w:rsidR="00355400" w:rsidRPr="00894A7A" w:rsidRDefault="00355400" w:rsidP="00894A7A">
      <w:pPr>
        <w:tabs>
          <w:tab w:val="right" w:pos="8222"/>
        </w:tabs>
        <w:spacing w:line="360" w:lineRule="auto"/>
        <w:rPr>
          <w:rFonts w:ascii="Arial" w:hAnsi="Arial" w:cs="Arial"/>
          <w:b/>
        </w:rPr>
      </w:pPr>
      <w:r w:rsidRPr="00894A7A">
        <w:rPr>
          <w:rFonts w:ascii="Arial" w:hAnsi="Arial" w:cs="Arial"/>
          <w:b/>
        </w:rPr>
        <w:t xml:space="preserve">GARETH RAY </w:t>
      </w:r>
      <w:proofErr w:type="spellStart"/>
      <w:r w:rsidRPr="00894A7A">
        <w:rPr>
          <w:rFonts w:ascii="Arial" w:hAnsi="Arial" w:cs="Arial"/>
          <w:b/>
        </w:rPr>
        <w:t>McNAB</w:t>
      </w:r>
      <w:proofErr w:type="spellEnd"/>
      <w:r w:rsidRPr="00894A7A">
        <w:rPr>
          <w:rFonts w:ascii="Arial" w:hAnsi="Arial" w:cs="Arial"/>
          <w:b/>
        </w:rPr>
        <w:t xml:space="preserve">                                               </w:t>
      </w:r>
      <w:r w:rsidR="00894A7A">
        <w:rPr>
          <w:rFonts w:ascii="Arial" w:hAnsi="Arial" w:cs="Arial"/>
          <w:b/>
        </w:rPr>
        <w:tab/>
      </w:r>
      <w:r w:rsidRPr="00894A7A">
        <w:rPr>
          <w:rFonts w:ascii="Arial" w:hAnsi="Arial" w:cs="Arial"/>
          <w:b/>
        </w:rPr>
        <w:t>2</w:t>
      </w:r>
      <w:r w:rsidRPr="00894A7A">
        <w:rPr>
          <w:rFonts w:ascii="Arial" w:hAnsi="Arial" w:cs="Arial"/>
          <w:b/>
          <w:vertAlign w:val="superscript"/>
        </w:rPr>
        <w:t>ND</w:t>
      </w:r>
      <w:r w:rsidRPr="00894A7A">
        <w:rPr>
          <w:rFonts w:ascii="Arial" w:hAnsi="Arial" w:cs="Arial"/>
          <w:b/>
        </w:rPr>
        <w:t xml:space="preserve"> DEFENDANT</w:t>
      </w:r>
    </w:p>
    <w:p w14:paraId="32C70923" w14:textId="0974F8CE" w:rsidR="00355400" w:rsidRPr="00894A7A" w:rsidRDefault="00355400" w:rsidP="00894A7A">
      <w:pPr>
        <w:tabs>
          <w:tab w:val="right" w:pos="8222"/>
        </w:tabs>
        <w:spacing w:line="360" w:lineRule="auto"/>
        <w:rPr>
          <w:rFonts w:ascii="Arial" w:hAnsi="Arial" w:cs="Arial"/>
          <w:b/>
        </w:rPr>
      </w:pPr>
      <w:r w:rsidRPr="00894A7A">
        <w:rPr>
          <w:rFonts w:ascii="Arial" w:hAnsi="Arial" w:cs="Arial"/>
          <w:b/>
        </w:rPr>
        <w:t xml:space="preserve">DAVID MBAKO-KARINGOMBE                           </w:t>
      </w:r>
      <w:r w:rsidR="00894A7A">
        <w:rPr>
          <w:rFonts w:ascii="Arial" w:hAnsi="Arial" w:cs="Arial"/>
          <w:b/>
        </w:rPr>
        <w:t xml:space="preserve">  </w:t>
      </w:r>
      <w:r w:rsidR="00894A7A">
        <w:rPr>
          <w:rFonts w:ascii="Arial" w:hAnsi="Arial" w:cs="Arial"/>
          <w:b/>
        </w:rPr>
        <w:tab/>
      </w:r>
      <w:r w:rsidRPr="00894A7A">
        <w:rPr>
          <w:rFonts w:ascii="Arial" w:hAnsi="Arial" w:cs="Arial"/>
          <w:b/>
        </w:rPr>
        <w:t xml:space="preserve"> 3</w:t>
      </w:r>
      <w:r w:rsidRPr="00894A7A">
        <w:rPr>
          <w:rFonts w:ascii="Arial" w:hAnsi="Arial" w:cs="Arial"/>
          <w:b/>
          <w:vertAlign w:val="superscript"/>
        </w:rPr>
        <w:t>RD</w:t>
      </w:r>
      <w:r w:rsidRPr="00894A7A">
        <w:rPr>
          <w:rFonts w:ascii="Arial" w:hAnsi="Arial" w:cs="Arial"/>
          <w:b/>
        </w:rPr>
        <w:t xml:space="preserve"> DEFENDANT</w:t>
      </w:r>
    </w:p>
    <w:p w14:paraId="18B6540A" w14:textId="77777777" w:rsidR="00355400" w:rsidRPr="00894A7A" w:rsidRDefault="00355400" w:rsidP="00894A7A">
      <w:pPr>
        <w:spacing w:line="360" w:lineRule="auto"/>
        <w:rPr>
          <w:rFonts w:ascii="Arial" w:hAnsi="Arial" w:cs="Arial"/>
          <w:b/>
        </w:rPr>
      </w:pPr>
    </w:p>
    <w:p w14:paraId="3E85E018" w14:textId="3679CB64" w:rsidR="00A70993" w:rsidRPr="0010656B" w:rsidRDefault="00A70993" w:rsidP="00A70993">
      <w:pPr>
        <w:spacing w:line="360" w:lineRule="auto"/>
        <w:jc w:val="both"/>
        <w:rPr>
          <w:rFonts w:ascii="Arial" w:hAnsi="Arial" w:cs="Arial"/>
        </w:rPr>
      </w:pPr>
      <w:r>
        <w:rPr>
          <w:rFonts w:ascii="Arial" w:hAnsi="Arial" w:cs="Arial"/>
          <w:b/>
        </w:rPr>
        <w:t>Neutral Citation:</w:t>
      </w:r>
      <w:r>
        <w:rPr>
          <w:rFonts w:ascii="Arial" w:hAnsi="Arial" w:cs="Arial"/>
          <w:b/>
        </w:rPr>
        <w:tab/>
      </w:r>
      <w:r>
        <w:rPr>
          <w:rFonts w:ascii="Arial" w:hAnsi="Arial" w:cs="Arial"/>
          <w:i/>
        </w:rPr>
        <w:t>Jensen</w:t>
      </w:r>
      <w:r>
        <w:rPr>
          <w:rFonts w:ascii="Arial" w:hAnsi="Arial" w:cs="Arial"/>
          <w:b/>
        </w:rPr>
        <w:t xml:space="preserve"> </w:t>
      </w:r>
      <w:r>
        <w:rPr>
          <w:rFonts w:ascii="Arial" w:hAnsi="Arial" w:cs="Arial"/>
          <w:i/>
        </w:rPr>
        <w:t xml:space="preserve">v </w:t>
      </w:r>
      <w:proofErr w:type="spellStart"/>
      <w:r>
        <w:rPr>
          <w:rFonts w:ascii="Arial" w:hAnsi="Arial" w:cs="Arial"/>
          <w:i/>
        </w:rPr>
        <w:t>Amswohl</w:t>
      </w:r>
      <w:proofErr w:type="spellEnd"/>
      <w:r>
        <w:rPr>
          <w:rFonts w:ascii="Arial" w:hAnsi="Arial" w:cs="Arial"/>
          <w:i/>
        </w:rPr>
        <w:t xml:space="preserve"> and LGA Construction </w:t>
      </w:r>
      <w:r>
        <w:rPr>
          <w:rFonts w:ascii="Arial" w:hAnsi="Arial" w:cs="Arial"/>
        </w:rPr>
        <w:t xml:space="preserve">(I 2705/2015) [2019] NAHCMD </w:t>
      </w:r>
      <w:r w:rsidR="00E51697">
        <w:rPr>
          <w:rFonts w:ascii="Arial" w:hAnsi="Arial" w:cs="Arial"/>
        </w:rPr>
        <w:t>129</w:t>
      </w:r>
      <w:r>
        <w:rPr>
          <w:rFonts w:ascii="Arial" w:hAnsi="Arial" w:cs="Arial"/>
        </w:rPr>
        <w:t xml:space="preserve"> (29 April 2019)</w:t>
      </w:r>
      <w:r w:rsidR="00D74323">
        <w:rPr>
          <w:rFonts w:ascii="Arial" w:hAnsi="Arial" w:cs="Arial"/>
        </w:rPr>
        <w:t>.</w:t>
      </w:r>
      <w:r>
        <w:rPr>
          <w:rFonts w:ascii="Arial" w:hAnsi="Arial" w:cs="Arial"/>
        </w:rPr>
        <w:tab/>
      </w:r>
    </w:p>
    <w:p w14:paraId="6C02359F" w14:textId="77777777" w:rsidR="00355400" w:rsidRPr="00894A7A" w:rsidRDefault="00355400" w:rsidP="00894A7A">
      <w:pPr>
        <w:spacing w:line="360" w:lineRule="auto"/>
        <w:rPr>
          <w:rFonts w:ascii="Arial" w:hAnsi="Arial" w:cs="Arial"/>
          <w:i/>
        </w:rPr>
      </w:pPr>
    </w:p>
    <w:p w14:paraId="7520377E" w14:textId="383A306B" w:rsidR="00355400" w:rsidRPr="00894A7A" w:rsidRDefault="00355400" w:rsidP="00894A7A">
      <w:pPr>
        <w:spacing w:line="360" w:lineRule="auto"/>
        <w:rPr>
          <w:rFonts w:ascii="Arial" w:hAnsi="Arial" w:cs="Arial"/>
          <w:b/>
        </w:rPr>
      </w:pPr>
      <w:r w:rsidRPr="00894A7A">
        <w:rPr>
          <w:rFonts w:ascii="Arial" w:hAnsi="Arial" w:cs="Arial"/>
          <w:b/>
        </w:rPr>
        <w:t xml:space="preserve">CORAM: </w:t>
      </w:r>
      <w:r w:rsidR="00046195">
        <w:rPr>
          <w:rFonts w:ascii="Arial" w:hAnsi="Arial" w:cs="Arial"/>
          <w:b/>
        </w:rPr>
        <w:tab/>
      </w:r>
      <w:r w:rsidRPr="00894A7A">
        <w:rPr>
          <w:rFonts w:ascii="Arial" w:hAnsi="Arial" w:cs="Arial"/>
          <w:b/>
        </w:rPr>
        <w:t>MASUKU J</w:t>
      </w:r>
    </w:p>
    <w:p w14:paraId="79F36A7A" w14:textId="11DDDBF5" w:rsidR="00355400" w:rsidRPr="00894A7A" w:rsidRDefault="00894A7A" w:rsidP="00894A7A">
      <w:pPr>
        <w:spacing w:line="360" w:lineRule="auto"/>
        <w:rPr>
          <w:rFonts w:ascii="Arial" w:hAnsi="Arial" w:cs="Arial"/>
        </w:rPr>
      </w:pPr>
      <w:r>
        <w:rPr>
          <w:rFonts w:ascii="Arial" w:hAnsi="Arial" w:cs="Arial"/>
        </w:rPr>
        <w:t>Heard:</w:t>
      </w:r>
      <w:r>
        <w:rPr>
          <w:rFonts w:ascii="Arial" w:hAnsi="Arial" w:cs="Arial"/>
        </w:rPr>
        <w:tab/>
      </w:r>
      <w:r w:rsidR="00E35115">
        <w:rPr>
          <w:rFonts w:ascii="Arial" w:hAnsi="Arial" w:cs="Arial"/>
        </w:rPr>
        <w:t xml:space="preserve">30 November </w:t>
      </w:r>
      <w:r w:rsidR="00355400" w:rsidRPr="00894A7A">
        <w:rPr>
          <w:rFonts w:ascii="Arial" w:hAnsi="Arial" w:cs="Arial"/>
        </w:rPr>
        <w:t>2018.</w:t>
      </w:r>
    </w:p>
    <w:p w14:paraId="0A48C295" w14:textId="0B2718E8" w:rsidR="00355400" w:rsidRPr="00894A7A" w:rsidRDefault="00E35115" w:rsidP="00894A7A">
      <w:pPr>
        <w:spacing w:line="360" w:lineRule="auto"/>
        <w:rPr>
          <w:rFonts w:ascii="Arial" w:hAnsi="Arial" w:cs="Arial"/>
        </w:rPr>
      </w:pPr>
      <w:r>
        <w:rPr>
          <w:rFonts w:ascii="Arial" w:hAnsi="Arial" w:cs="Arial"/>
        </w:rPr>
        <w:t>Delivered:</w:t>
      </w:r>
      <w:r>
        <w:rPr>
          <w:rFonts w:ascii="Arial" w:hAnsi="Arial" w:cs="Arial"/>
        </w:rPr>
        <w:tab/>
      </w:r>
      <w:r w:rsidR="00EA0B23">
        <w:rPr>
          <w:rFonts w:ascii="Arial" w:hAnsi="Arial" w:cs="Arial"/>
        </w:rPr>
        <w:t>29 April 2019.</w:t>
      </w:r>
    </w:p>
    <w:p w14:paraId="245D9623" w14:textId="77777777" w:rsidR="00355400" w:rsidRPr="00894A7A" w:rsidRDefault="00355400" w:rsidP="00894A7A">
      <w:pPr>
        <w:spacing w:line="360" w:lineRule="auto"/>
        <w:rPr>
          <w:rFonts w:ascii="Arial" w:hAnsi="Arial" w:cs="Arial"/>
        </w:rPr>
      </w:pPr>
    </w:p>
    <w:p w14:paraId="3555858C" w14:textId="77777777" w:rsidR="00355400" w:rsidRPr="00894A7A" w:rsidRDefault="00355400" w:rsidP="00894A7A">
      <w:pPr>
        <w:spacing w:line="360" w:lineRule="auto"/>
        <w:rPr>
          <w:rFonts w:ascii="Arial" w:hAnsi="Arial" w:cs="Arial"/>
        </w:rPr>
      </w:pPr>
    </w:p>
    <w:p w14:paraId="2CF1149E" w14:textId="6AA5A8C3" w:rsidR="00355400" w:rsidRPr="00BB31CD" w:rsidRDefault="00355400" w:rsidP="00D3429E">
      <w:pPr>
        <w:spacing w:line="360" w:lineRule="auto"/>
        <w:jc w:val="both"/>
        <w:rPr>
          <w:rFonts w:ascii="Arial" w:hAnsi="Arial" w:cs="Arial"/>
        </w:rPr>
      </w:pPr>
      <w:proofErr w:type="spellStart"/>
      <w:r w:rsidRPr="00046195">
        <w:rPr>
          <w:rFonts w:ascii="Arial" w:hAnsi="Arial" w:cs="Arial"/>
          <w:b/>
        </w:rPr>
        <w:lastRenderedPageBreak/>
        <w:t>Flynote</w:t>
      </w:r>
      <w:proofErr w:type="spellEnd"/>
      <w:r w:rsidRPr="00894A7A">
        <w:rPr>
          <w:rFonts w:ascii="Arial" w:hAnsi="Arial" w:cs="Arial"/>
        </w:rPr>
        <w:t>:</w:t>
      </w:r>
      <w:r w:rsidR="00BB31CD">
        <w:rPr>
          <w:rFonts w:ascii="Arial" w:hAnsi="Arial" w:cs="Arial"/>
        </w:rPr>
        <w:t xml:space="preserve"> Rule 108 application – service thereof – personal service of application on spouse married in community of property mandatory – court may </w:t>
      </w:r>
      <w:r w:rsidR="00BB31CD" w:rsidRPr="00BB31CD">
        <w:rPr>
          <w:rFonts w:ascii="Arial" w:hAnsi="Arial" w:cs="Arial"/>
          <w:i/>
        </w:rPr>
        <w:t>mero motu</w:t>
      </w:r>
      <w:r w:rsidR="00BB31CD">
        <w:rPr>
          <w:rFonts w:ascii="Arial" w:hAnsi="Arial" w:cs="Arial"/>
          <w:i/>
        </w:rPr>
        <w:t xml:space="preserve"> </w:t>
      </w:r>
      <w:r w:rsidR="00BB31CD">
        <w:rPr>
          <w:rFonts w:ascii="Arial" w:hAnsi="Arial" w:cs="Arial"/>
        </w:rPr>
        <w:t>raise non-compliance with the provisions of section 7 of the Married Persons Equality Act – abdication</w:t>
      </w:r>
      <w:r w:rsidR="00056B3F">
        <w:rPr>
          <w:rFonts w:ascii="Arial" w:hAnsi="Arial" w:cs="Arial"/>
        </w:rPr>
        <w:t xml:space="preserve"> of the court</w:t>
      </w:r>
      <w:r w:rsidR="00BB31CD">
        <w:rPr>
          <w:rFonts w:ascii="Arial" w:hAnsi="Arial" w:cs="Arial"/>
        </w:rPr>
        <w:t xml:space="preserve"> from its constitutional duty not an option</w:t>
      </w:r>
      <w:r w:rsidR="00056B3F">
        <w:rPr>
          <w:rFonts w:ascii="Arial" w:hAnsi="Arial" w:cs="Arial"/>
        </w:rPr>
        <w:t xml:space="preserve"> – Rule 108 application not an interlocutory application and compliance with Rule 32 (9) and (10) therefore not necessary – application in terms of Rule 108 to be resorted to where all else has failed and where the amount </w:t>
      </w:r>
      <w:r w:rsidR="00EA0B23">
        <w:rPr>
          <w:rFonts w:ascii="Arial" w:hAnsi="Arial" w:cs="Arial"/>
        </w:rPr>
        <w:t>owed is staggering</w:t>
      </w:r>
      <w:r w:rsidR="00056B3F">
        <w:rPr>
          <w:rFonts w:ascii="Arial" w:hAnsi="Arial" w:cs="Arial"/>
        </w:rPr>
        <w:t>.</w:t>
      </w:r>
    </w:p>
    <w:p w14:paraId="37B0B330" w14:textId="77777777" w:rsidR="00355400" w:rsidRPr="00894A7A" w:rsidRDefault="00355400" w:rsidP="00D3429E">
      <w:pPr>
        <w:spacing w:line="360" w:lineRule="auto"/>
        <w:jc w:val="both"/>
        <w:rPr>
          <w:rFonts w:ascii="Arial" w:hAnsi="Arial" w:cs="Arial"/>
        </w:rPr>
      </w:pPr>
    </w:p>
    <w:p w14:paraId="10D6FE59" w14:textId="6FDBB19A" w:rsidR="00355400" w:rsidRDefault="00355400" w:rsidP="00D3429E">
      <w:pPr>
        <w:spacing w:line="360" w:lineRule="auto"/>
        <w:jc w:val="both"/>
        <w:rPr>
          <w:rFonts w:ascii="Arial" w:hAnsi="Arial" w:cs="Arial"/>
        </w:rPr>
      </w:pPr>
      <w:r w:rsidRPr="00046195">
        <w:rPr>
          <w:rFonts w:ascii="Arial" w:hAnsi="Arial" w:cs="Arial"/>
          <w:b/>
        </w:rPr>
        <w:t>Summary:</w:t>
      </w:r>
      <w:r w:rsidR="00056B3F">
        <w:rPr>
          <w:rFonts w:ascii="Arial" w:hAnsi="Arial" w:cs="Arial"/>
        </w:rPr>
        <w:t xml:space="preserve"> The application before the court is an application in terms of Rule 108 wherein </w:t>
      </w:r>
      <w:r w:rsidR="00F02F39">
        <w:rPr>
          <w:rFonts w:ascii="Arial" w:hAnsi="Arial" w:cs="Arial"/>
        </w:rPr>
        <w:t xml:space="preserve">the </w:t>
      </w:r>
      <w:r w:rsidR="00056B3F">
        <w:rPr>
          <w:rFonts w:ascii="Arial" w:hAnsi="Arial" w:cs="Arial"/>
        </w:rPr>
        <w:t xml:space="preserve">applicant seeks to have a certain immovable property declared </w:t>
      </w:r>
      <w:proofErr w:type="gramStart"/>
      <w:r w:rsidR="00056B3F">
        <w:rPr>
          <w:rFonts w:ascii="Arial" w:hAnsi="Arial" w:cs="Arial"/>
        </w:rPr>
        <w:t>specially</w:t>
      </w:r>
      <w:proofErr w:type="gramEnd"/>
      <w:r w:rsidR="00056B3F">
        <w:rPr>
          <w:rFonts w:ascii="Arial" w:hAnsi="Arial" w:cs="Arial"/>
        </w:rPr>
        <w:t xml:space="preserve"> executable.</w:t>
      </w:r>
      <w:r w:rsidR="000462EA">
        <w:rPr>
          <w:rFonts w:ascii="Arial" w:hAnsi="Arial" w:cs="Arial"/>
        </w:rPr>
        <w:t xml:space="preserve"> </w:t>
      </w:r>
      <w:r w:rsidR="00F02F39">
        <w:rPr>
          <w:rFonts w:ascii="Arial" w:hAnsi="Arial" w:cs="Arial"/>
        </w:rPr>
        <w:t xml:space="preserve">The </w:t>
      </w:r>
      <w:r w:rsidR="000462EA">
        <w:rPr>
          <w:rFonts w:ascii="Arial" w:hAnsi="Arial" w:cs="Arial"/>
        </w:rPr>
        <w:t>2</w:t>
      </w:r>
      <w:r w:rsidR="000462EA" w:rsidRPr="000462EA">
        <w:rPr>
          <w:rFonts w:ascii="Arial" w:hAnsi="Arial" w:cs="Arial"/>
          <w:vertAlign w:val="superscript"/>
        </w:rPr>
        <w:t>nd</w:t>
      </w:r>
      <w:r w:rsidR="000462EA">
        <w:rPr>
          <w:rFonts w:ascii="Arial" w:hAnsi="Arial" w:cs="Arial"/>
        </w:rPr>
        <w:t xml:space="preserve"> respondent </w:t>
      </w:r>
      <w:r w:rsidR="00770CCF">
        <w:rPr>
          <w:rFonts w:ascii="Arial" w:hAnsi="Arial" w:cs="Arial"/>
        </w:rPr>
        <w:t xml:space="preserve">is </w:t>
      </w:r>
      <w:r w:rsidR="000462EA">
        <w:rPr>
          <w:rFonts w:ascii="Arial" w:hAnsi="Arial" w:cs="Arial"/>
        </w:rPr>
        <w:t>married in community of property</w:t>
      </w:r>
      <w:r w:rsidR="009D4813">
        <w:rPr>
          <w:rFonts w:ascii="Arial" w:hAnsi="Arial" w:cs="Arial"/>
        </w:rPr>
        <w:t xml:space="preserve">, </w:t>
      </w:r>
      <w:r w:rsidR="000462EA">
        <w:rPr>
          <w:rFonts w:ascii="Arial" w:hAnsi="Arial" w:cs="Arial"/>
        </w:rPr>
        <w:t>his spouse was not served</w:t>
      </w:r>
      <w:r w:rsidR="00F02F39">
        <w:rPr>
          <w:rFonts w:ascii="Arial" w:hAnsi="Arial" w:cs="Arial"/>
        </w:rPr>
        <w:t xml:space="preserve"> with the process and there appears to have been</w:t>
      </w:r>
      <w:r w:rsidR="009D4813">
        <w:rPr>
          <w:rFonts w:ascii="Arial" w:hAnsi="Arial" w:cs="Arial"/>
        </w:rPr>
        <w:t xml:space="preserve"> non-compliance with the provisions of section 7 of the Married Persons Equality Act.</w:t>
      </w:r>
    </w:p>
    <w:p w14:paraId="5A3942F3" w14:textId="77777777" w:rsidR="00F02F39" w:rsidRDefault="00F02F39" w:rsidP="00D3429E">
      <w:pPr>
        <w:spacing w:line="360" w:lineRule="auto"/>
        <w:jc w:val="both"/>
        <w:rPr>
          <w:rFonts w:ascii="Arial" w:hAnsi="Arial" w:cs="Arial"/>
        </w:rPr>
      </w:pPr>
    </w:p>
    <w:p w14:paraId="7399CBF8" w14:textId="2A1C2FC6" w:rsidR="00056B3F" w:rsidRDefault="00056B3F" w:rsidP="00D3429E">
      <w:pPr>
        <w:spacing w:line="360" w:lineRule="auto"/>
        <w:jc w:val="both"/>
        <w:rPr>
          <w:rFonts w:ascii="Arial" w:hAnsi="Arial" w:cs="Arial"/>
        </w:rPr>
      </w:pPr>
      <w:r>
        <w:rPr>
          <w:rFonts w:ascii="Arial" w:hAnsi="Arial" w:cs="Arial"/>
        </w:rPr>
        <w:t>Held</w:t>
      </w:r>
      <w:r w:rsidR="000462EA">
        <w:rPr>
          <w:rFonts w:ascii="Arial" w:hAnsi="Arial" w:cs="Arial"/>
        </w:rPr>
        <w:t xml:space="preserve"> that: The 2</w:t>
      </w:r>
      <w:r w:rsidR="000462EA" w:rsidRPr="000462EA">
        <w:rPr>
          <w:rFonts w:ascii="Arial" w:hAnsi="Arial" w:cs="Arial"/>
          <w:vertAlign w:val="superscript"/>
        </w:rPr>
        <w:t>nd</w:t>
      </w:r>
      <w:r w:rsidR="000462EA">
        <w:rPr>
          <w:rFonts w:ascii="Arial" w:hAnsi="Arial" w:cs="Arial"/>
        </w:rPr>
        <w:t xml:space="preserve"> respondent’s wife</w:t>
      </w:r>
      <w:r w:rsidR="00770CCF">
        <w:rPr>
          <w:rFonts w:ascii="Arial" w:hAnsi="Arial" w:cs="Arial"/>
        </w:rPr>
        <w:t xml:space="preserve"> has an interest in the property and must not be de</w:t>
      </w:r>
      <w:r w:rsidR="00F02F39">
        <w:rPr>
          <w:rFonts w:ascii="Arial" w:hAnsi="Arial" w:cs="Arial"/>
        </w:rPr>
        <w:t>p</w:t>
      </w:r>
      <w:r w:rsidR="00770CCF">
        <w:rPr>
          <w:rFonts w:ascii="Arial" w:hAnsi="Arial" w:cs="Arial"/>
        </w:rPr>
        <w:t xml:space="preserve">rived </w:t>
      </w:r>
      <w:r w:rsidR="00F02F39">
        <w:rPr>
          <w:rFonts w:ascii="Arial" w:hAnsi="Arial" w:cs="Arial"/>
        </w:rPr>
        <w:t xml:space="preserve">of </w:t>
      </w:r>
      <w:r w:rsidR="00770CCF">
        <w:rPr>
          <w:rFonts w:ascii="Arial" w:hAnsi="Arial" w:cs="Arial"/>
        </w:rPr>
        <w:t>an opportunity to make her own representations</w:t>
      </w:r>
      <w:r w:rsidR="009D4813">
        <w:rPr>
          <w:rFonts w:ascii="Arial" w:hAnsi="Arial" w:cs="Arial"/>
        </w:rPr>
        <w:t>.</w:t>
      </w:r>
    </w:p>
    <w:p w14:paraId="2B6049B8" w14:textId="77777777" w:rsidR="00046195" w:rsidRDefault="00046195" w:rsidP="00D3429E">
      <w:pPr>
        <w:spacing w:line="360" w:lineRule="auto"/>
        <w:jc w:val="both"/>
        <w:rPr>
          <w:rFonts w:ascii="Arial" w:hAnsi="Arial" w:cs="Arial"/>
        </w:rPr>
      </w:pPr>
    </w:p>
    <w:p w14:paraId="55483D97" w14:textId="6E7DD9C5" w:rsidR="009D4813" w:rsidRDefault="009D4813" w:rsidP="00D3429E">
      <w:pPr>
        <w:spacing w:line="360" w:lineRule="auto"/>
        <w:jc w:val="both"/>
        <w:rPr>
          <w:rFonts w:ascii="Arial" w:hAnsi="Arial" w:cs="Arial"/>
        </w:rPr>
      </w:pPr>
      <w:r>
        <w:rPr>
          <w:rFonts w:ascii="Arial" w:hAnsi="Arial" w:cs="Arial"/>
        </w:rPr>
        <w:t xml:space="preserve">Held further that: The court may </w:t>
      </w:r>
      <w:r w:rsidRPr="009D4813">
        <w:rPr>
          <w:rFonts w:ascii="Arial" w:hAnsi="Arial" w:cs="Arial"/>
          <w:i/>
        </w:rPr>
        <w:t>mero motu</w:t>
      </w:r>
      <w:r>
        <w:rPr>
          <w:rFonts w:ascii="Arial" w:hAnsi="Arial" w:cs="Arial"/>
          <w:i/>
        </w:rPr>
        <w:t xml:space="preserve"> </w:t>
      </w:r>
      <w:r>
        <w:rPr>
          <w:rFonts w:ascii="Arial" w:hAnsi="Arial" w:cs="Arial"/>
        </w:rPr>
        <w:t>raise non-compliance with the provisions of section 7 to avoid an abdication from its constitutional duty.</w:t>
      </w:r>
    </w:p>
    <w:p w14:paraId="27F8F14F" w14:textId="77777777" w:rsidR="00046195" w:rsidRDefault="00046195" w:rsidP="00D3429E">
      <w:pPr>
        <w:spacing w:line="360" w:lineRule="auto"/>
        <w:jc w:val="both"/>
        <w:rPr>
          <w:rFonts w:ascii="Arial" w:hAnsi="Arial" w:cs="Arial"/>
        </w:rPr>
      </w:pPr>
    </w:p>
    <w:p w14:paraId="3FE0F87C" w14:textId="1CAC8EEC" w:rsidR="009D4813" w:rsidRDefault="009D4813" w:rsidP="00D3429E">
      <w:pPr>
        <w:spacing w:line="360" w:lineRule="auto"/>
        <w:jc w:val="both"/>
        <w:rPr>
          <w:rFonts w:ascii="Arial" w:hAnsi="Arial" w:cs="Arial"/>
        </w:rPr>
      </w:pPr>
      <w:r>
        <w:rPr>
          <w:rFonts w:ascii="Arial" w:hAnsi="Arial" w:cs="Arial"/>
        </w:rPr>
        <w:t xml:space="preserve">Held </w:t>
      </w:r>
      <w:r w:rsidR="00D3429E">
        <w:rPr>
          <w:rFonts w:ascii="Arial" w:hAnsi="Arial" w:cs="Arial"/>
        </w:rPr>
        <w:t>that: G</w:t>
      </w:r>
      <w:r>
        <w:rPr>
          <w:rFonts w:ascii="Arial" w:hAnsi="Arial" w:cs="Arial"/>
        </w:rPr>
        <w:t>ranting the application would be tantamount to defeating the legislative</w:t>
      </w:r>
      <w:r w:rsidR="00EA0B23">
        <w:rPr>
          <w:rFonts w:ascii="Arial" w:hAnsi="Arial" w:cs="Arial"/>
        </w:rPr>
        <w:t xml:space="preserve"> solicitudes which birthed the</w:t>
      </w:r>
      <w:r>
        <w:rPr>
          <w:rFonts w:ascii="Arial" w:hAnsi="Arial" w:cs="Arial"/>
        </w:rPr>
        <w:t xml:space="preserve"> provisions </w:t>
      </w:r>
      <w:r w:rsidR="00F02F39">
        <w:rPr>
          <w:rFonts w:ascii="Arial" w:hAnsi="Arial" w:cs="Arial"/>
        </w:rPr>
        <w:t xml:space="preserve">relating to judicial oversight of execution relating to immovable property </w:t>
      </w:r>
      <w:r>
        <w:rPr>
          <w:rFonts w:ascii="Arial" w:hAnsi="Arial" w:cs="Arial"/>
        </w:rPr>
        <w:t>and that rule 108 applications should not be invoked as a weapon of oppression and to induce fear in judgment debtors.</w:t>
      </w:r>
    </w:p>
    <w:p w14:paraId="144E38E5" w14:textId="77777777" w:rsidR="00046195" w:rsidRDefault="00046195" w:rsidP="00D3429E">
      <w:pPr>
        <w:spacing w:line="360" w:lineRule="auto"/>
        <w:jc w:val="both"/>
        <w:rPr>
          <w:rFonts w:ascii="Arial" w:hAnsi="Arial" w:cs="Arial"/>
        </w:rPr>
      </w:pPr>
    </w:p>
    <w:p w14:paraId="37CFDF04" w14:textId="53A0AA34" w:rsidR="00F02F39" w:rsidRDefault="00F02F39" w:rsidP="00D3429E">
      <w:pPr>
        <w:spacing w:line="360" w:lineRule="auto"/>
        <w:jc w:val="both"/>
        <w:rPr>
          <w:rFonts w:ascii="Arial" w:hAnsi="Arial" w:cs="Arial"/>
        </w:rPr>
      </w:pPr>
      <w:r>
        <w:rPr>
          <w:rFonts w:ascii="Arial" w:hAnsi="Arial" w:cs="Arial"/>
        </w:rPr>
        <w:t xml:space="preserve">Held further that: In applying the rules of court, practitioners must </w:t>
      </w:r>
      <w:r w:rsidR="00EA0B23">
        <w:rPr>
          <w:rFonts w:ascii="Arial" w:hAnsi="Arial" w:cs="Arial"/>
        </w:rPr>
        <w:t xml:space="preserve">ensure they </w:t>
      </w:r>
      <w:r>
        <w:rPr>
          <w:rFonts w:ascii="Arial" w:hAnsi="Arial" w:cs="Arial"/>
        </w:rPr>
        <w:t>derive the highest benefit that is in line with the objectives of judicial case management, such that the parties may invoke rule 32 (9) and (10) even if the matter is not strictly interlocutory. The object must be forging a way forward that is quick and cheap for the parties, rather than slavish avoidance of a rule that can assist the parties</w:t>
      </w:r>
      <w:r w:rsidR="00EA0B23">
        <w:rPr>
          <w:rFonts w:ascii="Arial" w:hAnsi="Arial" w:cs="Arial"/>
        </w:rPr>
        <w:t xml:space="preserve"> resolve their dispute cheaply and speedily</w:t>
      </w:r>
      <w:r>
        <w:rPr>
          <w:rFonts w:ascii="Arial" w:hAnsi="Arial" w:cs="Arial"/>
        </w:rPr>
        <w:t>.</w:t>
      </w:r>
    </w:p>
    <w:p w14:paraId="2993AC2B" w14:textId="77777777" w:rsidR="00EA0B23" w:rsidRDefault="00D3429E" w:rsidP="00D3429E">
      <w:pPr>
        <w:spacing w:line="360" w:lineRule="auto"/>
        <w:jc w:val="both"/>
        <w:rPr>
          <w:rFonts w:ascii="Arial" w:hAnsi="Arial" w:cs="Arial"/>
        </w:rPr>
      </w:pPr>
      <w:r>
        <w:rPr>
          <w:rFonts w:ascii="Arial" w:hAnsi="Arial" w:cs="Arial"/>
        </w:rPr>
        <w:lastRenderedPageBreak/>
        <w:t xml:space="preserve">Held that: Rule 108 application is not an interlocutory application and rule 32 (9) and (10) not applicable to it, </w:t>
      </w:r>
      <w:r w:rsidR="00EA0B23">
        <w:rPr>
          <w:rFonts w:ascii="Arial" w:hAnsi="Arial" w:cs="Arial"/>
        </w:rPr>
        <w:t xml:space="preserve">save as discussed that parties may themselves utilise the benefits of rule 32 (9). </w:t>
      </w:r>
    </w:p>
    <w:p w14:paraId="17E970D3" w14:textId="77777777" w:rsidR="00046195" w:rsidRDefault="00046195" w:rsidP="00D3429E">
      <w:pPr>
        <w:spacing w:line="360" w:lineRule="auto"/>
        <w:jc w:val="both"/>
        <w:rPr>
          <w:rFonts w:ascii="Arial" w:hAnsi="Arial" w:cs="Arial"/>
        </w:rPr>
      </w:pPr>
    </w:p>
    <w:p w14:paraId="719A1B00" w14:textId="77777777" w:rsidR="00046195" w:rsidRDefault="00EA0B23" w:rsidP="00D3429E">
      <w:pPr>
        <w:spacing w:line="360" w:lineRule="auto"/>
        <w:jc w:val="both"/>
        <w:rPr>
          <w:rFonts w:ascii="Arial" w:hAnsi="Arial" w:cs="Arial"/>
        </w:rPr>
      </w:pPr>
      <w:r>
        <w:rPr>
          <w:rFonts w:ascii="Arial" w:hAnsi="Arial" w:cs="Arial"/>
        </w:rPr>
        <w:t>Held further that: the amount of N$ 49.332.22 owed by the defendants does not warrant the granting of the application, which is serious and has debilitating consequences to the judgment creditor and others connected to him or her.</w:t>
      </w:r>
    </w:p>
    <w:p w14:paraId="7A42E9A1" w14:textId="77777777" w:rsidR="00046195" w:rsidRDefault="00046195" w:rsidP="00D3429E">
      <w:pPr>
        <w:spacing w:line="360" w:lineRule="auto"/>
        <w:jc w:val="both"/>
        <w:rPr>
          <w:rFonts w:ascii="Arial" w:hAnsi="Arial" w:cs="Arial"/>
        </w:rPr>
      </w:pPr>
    </w:p>
    <w:p w14:paraId="2094C86C" w14:textId="7409D14D" w:rsidR="00D3429E" w:rsidRDefault="00EA0B23" w:rsidP="00D3429E">
      <w:pPr>
        <w:spacing w:line="360" w:lineRule="auto"/>
        <w:jc w:val="both"/>
        <w:rPr>
          <w:rFonts w:ascii="Arial" w:hAnsi="Arial" w:cs="Arial"/>
        </w:rPr>
      </w:pPr>
      <w:r>
        <w:rPr>
          <w:rFonts w:ascii="Arial" w:hAnsi="Arial" w:cs="Arial"/>
        </w:rPr>
        <w:t xml:space="preserve">The </w:t>
      </w:r>
      <w:r w:rsidR="00D3429E">
        <w:rPr>
          <w:rFonts w:ascii="Arial" w:hAnsi="Arial" w:cs="Arial"/>
        </w:rPr>
        <w:t xml:space="preserve">application in terms of rule 108 </w:t>
      </w:r>
      <w:r>
        <w:rPr>
          <w:rFonts w:ascii="Arial" w:hAnsi="Arial" w:cs="Arial"/>
        </w:rPr>
        <w:t xml:space="preserve">was </w:t>
      </w:r>
      <w:r w:rsidR="00D3429E">
        <w:rPr>
          <w:rFonts w:ascii="Arial" w:hAnsi="Arial" w:cs="Arial"/>
        </w:rPr>
        <w:t>therefore dismissed</w:t>
      </w:r>
      <w:r>
        <w:rPr>
          <w:rFonts w:ascii="Arial" w:hAnsi="Arial" w:cs="Arial"/>
        </w:rPr>
        <w:t xml:space="preserve"> with costs</w:t>
      </w:r>
      <w:r w:rsidR="00D3429E">
        <w:rPr>
          <w:rFonts w:ascii="Arial" w:hAnsi="Arial" w:cs="Arial"/>
        </w:rPr>
        <w:t>.</w:t>
      </w:r>
    </w:p>
    <w:p w14:paraId="22E861DE" w14:textId="77777777" w:rsidR="00355400" w:rsidRPr="00894A7A" w:rsidRDefault="00355400" w:rsidP="00894A7A">
      <w:pPr>
        <w:pBdr>
          <w:bottom w:val="single" w:sz="6" w:space="1" w:color="auto"/>
        </w:pBdr>
        <w:spacing w:line="360" w:lineRule="auto"/>
        <w:rPr>
          <w:rFonts w:ascii="Arial" w:hAnsi="Arial" w:cs="Arial"/>
        </w:rPr>
      </w:pPr>
    </w:p>
    <w:p w14:paraId="47FF4AB4" w14:textId="77777777" w:rsidR="00355400" w:rsidRPr="00894A7A" w:rsidRDefault="00355400" w:rsidP="00894A7A">
      <w:pPr>
        <w:rPr>
          <w:rFonts w:ascii="Arial" w:hAnsi="Arial" w:cs="Arial"/>
        </w:rPr>
      </w:pPr>
    </w:p>
    <w:p w14:paraId="27E1B90E" w14:textId="77777777" w:rsidR="00355400" w:rsidRPr="00894A7A" w:rsidRDefault="00355400" w:rsidP="00894A7A">
      <w:pPr>
        <w:jc w:val="center"/>
        <w:rPr>
          <w:rFonts w:ascii="Arial" w:hAnsi="Arial" w:cs="Arial"/>
          <w:b/>
        </w:rPr>
      </w:pPr>
      <w:r w:rsidRPr="00894A7A">
        <w:rPr>
          <w:rFonts w:ascii="Arial" w:hAnsi="Arial" w:cs="Arial"/>
          <w:b/>
        </w:rPr>
        <w:t>ORDER</w:t>
      </w:r>
    </w:p>
    <w:p w14:paraId="19850383" w14:textId="77777777" w:rsidR="00355400" w:rsidRPr="00894A7A" w:rsidRDefault="00355400" w:rsidP="00894A7A">
      <w:pPr>
        <w:pBdr>
          <w:bottom w:val="single" w:sz="6" w:space="1" w:color="auto"/>
        </w:pBdr>
        <w:jc w:val="center"/>
        <w:rPr>
          <w:rFonts w:ascii="Arial" w:hAnsi="Arial" w:cs="Arial"/>
          <w:b/>
        </w:rPr>
      </w:pPr>
    </w:p>
    <w:p w14:paraId="1EE47FA0" w14:textId="77777777" w:rsidR="00355400" w:rsidRPr="00894A7A" w:rsidRDefault="00355400" w:rsidP="00894A7A">
      <w:pPr>
        <w:spacing w:line="360" w:lineRule="auto"/>
        <w:rPr>
          <w:rFonts w:ascii="Arial" w:hAnsi="Arial" w:cs="Arial"/>
        </w:rPr>
      </w:pPr>
    </w:p>
    <w:p w14:paraId="623C64DE" w14:textId="6F6F9B40" w:rsidR="00514323" w:rsidRPr="00E948E9" w:rsidRDefault="00E948E9" w:rsidP="00E948E9">
      <w:pPr>
        <w:spacing w:line="360" w:lineRule="auto"/>
        <w:ind w:left="720" w:hanging="360"/>
        <w:jc w:val="both"/>
        <w:rPr>
          <w:rFonts w:ascii="Arial" w:hAnsi="Arial" w:cs="Arial"/>
        </w:rPr>
      </w:pPr>
      <w:r w:rsidRPr="00894A7A">
        <w:rPr>
          <w:rFonts w:ascii="Arial" w:hAnsi="Arial" w:cs="Arial"/>
        </w:rPr>
        <w:t>1.</w:t>
      </w:r>
      <w:r w:rsidRPr="00894A7A">
        <w:rPr>
          <w:rFonts w:ascii="Arial" w:hAnsi="Arial" w:cs="Arial"/>
        </w:rPr>
        <w:tab/>
      </w:r>
      <w:r w:rsidR="00514323" w:rsidRPr="00E948E9">
        <w:rPr>
          <w:rFonts w:ascii="Arial" w:hAnsi="Arial" w:cs="Arial"/>
        </w:rPr>
        <w:t xml:space="preserve">The application for declaring the property described as Erf. 870 </w:t>
      </w:r>
      <w:proofErr w:type="spellStart"/>
      <w:r w:rsidR="00514323" w:rsidRPr="00E948E9">
        <w:rPr>
          <w:rFonts w:ascii="Arial" w:hAnsi="Arial" w:cs="Arial"/>
        </w:rPr>
        <w:t>Hochland</w:t>
      </w:r>
      <w:proofErr w:type="spellEnd"/>
      <w:r w:rsidR="00514323" w:rsidRPr="00E948E9">
        <w:rPr>
          <w:rFonts w:ascii="Arial" w:hAnsi="Arial" w:cs="Arial"/>
        </w:rPr>
        <w:t xml:space="preserve"> Park, Municipality of Windhoek, Registration K, is hereby refused.</w:t>
      </w:r>
    </w:p>
    <w:p w14:paraId="41F695EE" w14:textId="55038627" w:rsidR="00514323" w:rsidRPr="00E948E9" w:rsidRDefault="00E948E9" w:rsidP="00E948E9">
      <w:pPr>
        <w:spacing w:line="360" w:lineRule="auto"/>
        <w:ind w:left="720" w:hanging="360"/>
        <w:jc w:val="both"/>
        <w:rPr>
          <w:rFonts w:ascii="Arial" w:hAnsi="Arial" w:cs="Arial"/>
        </w:rPr>
      </w:pPr>
      <w:r w:rsidRPr="00894A7A">
        <w:rPr>
          <w:rFonts w:ascii="Arial" w:hAnsi="Arial" w:cs="Arial"/>
        </w:rPr>
        <w:t>2.</w:t>
      </w:r>
      <w:r w:rsidRPr="00894A7A">
        <w:rPr>
          <w:rFonts w:ascii="Arial" w:hAnsi="Arial" w:cs="Arial"/>
        </w:rPr>
        <w:tab/>
      </w:r>
      <w:r w:rsidR="00514323" w:rsidRPr="00E948E9">
        <w:rPr>
          <w:rFonts w:ascii="Arial" w:hAnsi="Arial" w:cs="Arial"/>
        </w:rPr>
        <w:t>The applicant is ordered to pay the costs of the application, consequent upon the employment of one instructing and one instructed counsel.</w:t>
      </w:r>
    </w:p>
    <w:p w14:paraId="1FE164DB" w14:textId="6F9E1F8A" w:rsidR="00355400" w:rsidRPr="00E948E9" w:rsidRDefault="00E948E9" w:rsidP="00E948E9">
      <w:pPr>
        <w:spacing w:line="360" w:lineRule="auto"/>
        <w:ind w:left="720" w:hanging="360"/>
        <w:jc w:val="both"/>
        <w:rPr>
          <w:rFonts w:ascii="Arial" w:hAnsi="Arial" w:cs="Arial"/>
        </w:rPr>
      </w:pPr>
      <w:r w:rsidRPr="00514323">
        <w:rPr>
          <w:rFonts w:ascii="Arial" w:hAnsi="Arial" w:cs="Arial"/>
        </w:rPr>
        <w:t>3.</w:t>
      </w:r>
      <w:r w:rsidRPr="00514323">
        <w:rPr>
          <w:rFonts w:ascii="Arial" w:hAnsi="Arial" w:cs="Arial"/>
        </w:rPr>
        <w:tab/>
      </w:r>
      <w:r w:rsidR="00514323" w:rsidRPr="00E948E9">
        <w:rPr>
          <w:rFonts w:ascii="Arial" w:hAnsi="Arial" w:cs="Arial"/>
        </w:rPr>
        <w:t xml:space="preserve">The matter is removed from the roll and is regarded as finalised. </w:t>
      </w:r>
    </w:p>
    <w:p w14:paraId="24E6F2E3" w14:textId="77777777" w:rsidR="00355400" w:rsidRPr="00894A7A" w:rsidRDefault="00355400" w:rsidP="00894A7A">
      <w:pPr>
        <w:pBdr>
          <w:bottom w:val="single" w:sz="6" w:space="1" w:color="auto"/>
        </w:pBdr>
        <w:spacing w:line="360" w:lineRule="auto"/>
        <w:rPr>
          <w:rFonts w:ascii="Arial" w:hAnsi="Arial" w:cs="Arial"/>
        </w:rPr>
      </w:pPr>
    </w:p>
    <w:p w14:paraId="4B00B353" w14:textId="77777777" w:rsidR="00355400" w:rsidRPr="00894A7A" w:rsidRDefault="00355400" w:rsidP="00894A7A">
      <w:pPr>
        <w:rPr>
          <w:rFonts w:ascii="Arial" w:hAnsi="Arial" w:cs="Arial"/>
        </w:rPr>
      </w:pPr>
    </w:p>
    <w:p w14:paraId="74EC4E37" w14:textId="77777777" w:rsidR="00355400" w:rsidRPr="00894A7A" w:rsidRDefault="00355400" w:rsidP="00894A7A">
      <w:pPr>
        <w:jc w:val="center"/>
        <w:rPr>
          <w:rFonts w:ascii="Arial" w:hAnsi="Arial" w:cs="Arial"/>
          <w:b/>
        </w:rPr>
      </w:pPr>
      <w:r w:rsidRPr="00894A7A">
        <w:rPr>
          <w:rFonts w:ascii="Arial" w:hAnsi="Arial" w:cs="Arial"/>
          <w:b/>
        </w:rPr>
        <w:t>JUDGMENT</w:t>
      </w:r>
    </w:p>
    <w:p w14:paraId="288196BB" w14:textId="77777777" w:rsidR="00355400" w:rsidRPr="00894A7A" w:rsidRDefault="00355400" w:rsidP="00894A7A">
      <w:pPr>
        <w:pBdr>
          <w:bottom w:val="single" w:sz="6" w:space="1" w:color="auto"/>
        </w:pBdr>
        <w:jc w:val="center"/>
        <w:rPr>
          <w:rFonts w:ascii="Arial" w:hAnsi="Arial" w:cs="Arial"/>
          <w:b/>
        </w:rPr>
      </w:pPr>
    </w:p>
    <w:p w14:paraId="0E805C6D" w14:textId="77777777" w:rsidR="00CF4B84" w:rsidRPr="00894A7A" w:rsidRDefault="00CF4B84" w:rsidP="00894A7A">
      <w:pPr>
        <w:spacing w:line="360" w:lineRule="auto"/>
        <w:rPr>
          <w:rFonts w:ascii="Arial" w:hAnsi="Arial" w:cs="Arial"/>
        </w:rPr>
      </w:pPr>
    </w:p>
    <w:p w14:paraId="6D6688ED" w14:textId="77777777" w:rsidR="00726A7B" w:rsidRPr="00894A7A" w:rsidRDefault="00726A7B" w:rsidP="00894A7A">
      <w:pPr>
        <w:spacing w:line="360" w:lineRule="auto"/>
        <w:rPr>
          <w:rFonts w:ascii="Arial" w:hAnsi="Arial" w:cs="Arial"/>
          <w:b/>
        </w:rPr>
      </w:pPr>
      <w:r w:rsidRPr="00894A7A">
        <w:rPr>
          <w:rFonts w:ascii="Arial" w:hAnsi="Arial" w:cs="Arial"/>
          <w:b/>
        </w:rPr>
        <w:t>MASUKU J:</w:t>
      </w:r>
    </w:p>
    <w:p w14:paraId="23BFE2C2" w14:textId="77777777" w:rsidR="00C223DB" w:rsidRPr="00894A7A" w:rsidRDefault="00C223DB" w:rsidP="00894A7A">
      <w:pPr>
        <w:spacing w:line="360" w:lineRule="auto"/>
        <w:rPr>
          <w:rFonts w:ascii="Arial" w:hAnsi="Arial" w:cs="Arial"/>
          <w:b/>
        </w:rPr>
      </w:pPr>
    </w:p>
    <w:p w14:paraId="07C7D22D" w14:textId="4091BFEC" w:rsidR="00C223DB" w:rsidRPr="00894A7A" w:rsidRDefault="00C223DB" w:rsidP="00894A7A">
      <w:pPr>
        <w:spacing w:line="360" w:lineRule="auto"/>
        <w:rPr>
          <w:rFonts w:ascii="Arial" w:hAnsi="Arial" w:cs="Arial"/>
          <w:u w:val="single"/>
        </w:rPr>
      </w:pPr>
      <w:r w:rsidRPr="00894A7A">
        <w:rPr>
          <w:rFonts w:ascii="Arial" w:hAnsi="Arial" w:cs="Arial"/>
          <w:u w:val="single"/>
        </w:rPr>
        <w:t>Preliminary comment</w:t>
      </w:r>
    </w:p>
    <w:p w14:paraId="24749961" w14:textId="77777777" w:rsidR="00C223DB" w:rsidRPr="00894A7A" w:rsidRDefault="00C223DB" w:rsidP="00894A7A">
      <w:pPr>
        <w:spacing w:line="360" w:lineRule="auto"/>
        <w:rPr>
          <w:rFonts w:ascii="Arial" w:hAnsi="Arial" w:cs="Arial"/>
        </w:rPr>
      </w:pPr>
    </w:p>
    <w:p w14:paraId="7EEA4063" w14:textId="603405E2" w:rsidR="00EA0B23" w:rsidRPr="00894A7A" w:rsidRDefault="00C223DB" w:rsidP="00894A7A">
      <w:pPr>
        <w:spacing w:line="360" w:lineRule="auto"/>
        <w:jc w:val="both"/>
        <w:rPr>
          <w:rFonts w:ascii="Arial" w:hAnsi="Arial" w:cs="Arial"/>
        </w:rPr>
      </w:pPr>
      <w:r w:rsidRPr="00894A7A">
        <w:rPr>
          <w:rFonts w:ascii="Arial" w:hAnsi="Arial" w:cs="Arial"/>
        </w:rPr>
        <w:t>[1]</w:t>
      </w:r>
      <w:r w:rsidRPr="00894A7A">
        <w:rPr>
          <w:rFonts w:ascii="Arial" w:hAnsi="Arial" w:cs="Arial"/>
        </w:rPr>
        <w:tab/>
        <w:t xml:space="preserve">This judgment has been delivered much later than the period prescribed in the Rules of Court. There are two primary reasons for the delay. First, it occurred to the court, after the parties had finalised argument and the court was already preparing judgment that there </w:t>
      </w:r>
      <w:r w:rsidR="00E84596" w:rsidRPr="00E84596">
        <w:rPr>
          <w:rFonts w:ascii="Arial" w:hAnsi="Arial" w:cs="Arial"/>
        </w:rPr>
        <w:t>were</w:t>
      </w:r>
      <w:r w:rsidRPr="00E84596">
        <w:rPr>
          <w:rFonts w:ascii="Arial" w:hAnsi="Arial" w:cs="Arial"/>
        </w:rPr>
        <w:t xml:space="preserve"> additional issue</w:t>
      </w:r>
      <w:r w:rsidR="00E84596" w:rsidRPr="00E84596">
        <w:rPr>
          <w:rFonts w:ascii="Arial" w:hAnsi="Arial" w:cs="Arial"/>
        </w:rPr>
        <w:t>s</w:t>
      </w:r>
      <w:r w:rsidRPr="00E84596">
        <w:rPr>
          <w:rFonts w:ascii="Arial" w:hAnsi="Arial" w:cs="Arial"/>
        </w:rPr>
        <w:t xml:space="preserve"> </w:t>
      </w:r>
      <w:r w:rsidRPr="00894A7A">
        <w:rPr>
          <w:rFonts w:ascii="Arial" w:hAnsi="Arial" w:cs="Arial"/>
        </w:rPr>
        <w:t>upon which assistance was required from the legal practitioners</w:t>
      </w:r>
      <w:r w:rsidR="00EA0B23">
        <w:rPr>
          <w:rFonts w:ascii="Arial" w:hAnsi="Arial" w:cs="Arial"/>
        </w:rPr>
        <w:t xml:space="preserve"> who appeared</w:t>
      </w:r>
      <w:r w:rsidRPr="00894A7A">
        <w:rPr>
          <w:rFonts w:ascii="Arial" w:hAnsi="Arial" w:cs="Arial"/>
        </w:rPr>
        <w:t xml:space="preserve">. Second, I went on long leave at the beginning of the year until mid-April 2019. The </w:t>
      </w:r>
      <w:r w:rsidRPr="00894A7A">
        <w:rPr>
          <w:rFonts w:ascii="Arial" w:hAnsi="Arial" w:cs="Arial"/>
        </w:rPr>
        <w:lastRenderedPageBreak/>
        <w:t>judgment is delivered much later than would have been the case and I accordingly record my apologies to the parties for the delay.</w:t>
      </w:r>
    </w:p>
    <w:p w14:paraId="3F8F8DA6" w14:textId="77777777" w:rsidR="00894A7A" w:rsidRDefault="00894A7A" w:rsidP="00894A7A">
      <w:pPr>
        <w:spacing w:line="360" w:lineRule="auto"/>
        <w:rPr>
          <w:rFonts w:ascii="Arial" w:hAnsi="Arial" w:cs="Arial"/>
          <w:u w:val="single"/>
        </w:rPr>
      </w:pPr>
    </w:p>
    <w:p w14:paraId="3EC61CE5" w14:textId="77777777" w:rsidR="00726A7B" w:rsidRPr="00894A7A" w:rsidRDefault="00726A7B" w:rsidP="00894A7A">
      <w:pPr>
        <w:spacing w:line="360" w:lineRule="auto"/>
        <w:rPr>
          <w:rFonts w:ascii="Arial" w:hAnsi="Arial" w:cs="Arial"/>
          <w:u w:val="single"/>
        </w:rPr>
      </w:pPr>
      <w:r w:rsidRPr="00894A7A">
        <w:rPr>
          <w:rFonts w:ascii="Arial" w:hAnsi="Arial" w:cs="Arial"/>
          <w:u w:val="single"/>
        </w:rPr>
        <w:t>Introduction</w:t>
      </w:r>
    </w:p>
    <w:p w14:paraId="68B9E2E2" w14:textId="77777777" w:rsidR="00726A7B" w:rsidRPr="00894A7A" w:rsidRDefault="00726A7B" w:rsidP="00894A7A">
      <w:pPr>
        <w:spacing w:line="360" w:lineRule="auto"/>
        <w:rPr>
          <w:rFonts w:ascii="Arial" w:hAnsi="Arial" w:cs="Arial"/>
          <w:u w:val="single"/>
        </w:rPr>
      </w:pPr>
    </w:p>
    <w:p w14:paraId="3E41DE01" w14:textId="38EA8FB4" w:rsidR="00726A7B" w:rsidRPr="00894A7A" w:rsidRDefault="00C223DB" w:rsidP="00894A7A">
      <w:pPr>
        <w:spacing w:line="360" w:lineRule="auto"/>
        <w:jc w:val="both"/>
        <w:rPr>
          <w:rFonts w:ascii="Arial" w:hAnsi="Arial" w:cs="Arial"/>
        </w:rPr>
      </w:pPr>
      <w:r w:rsidRPr="00894A7A">
        <w:rPr>
          <w:rFonts w:ascii="Arial" w:hAnsi="Arial" w:cs="Arial"/>
        </w:rPr>
        <w:t>[2</w:t>
      </w:r>
      <w:r w:rsidR="00726A7B" w:rsidRPr="00894A7A">
        <w:rPr>
          <w:rFonts w:ascii="Arial" w:hAnsi="Arial" w:cs="Arial"/>
        </w:rPr>
        <w:t>]</w:t>
      </w:r>
      <w:r w:rsidR="00726A7B" w:rsidRPr="00894A7A">
        <w:rPr>
          <w:rFonts w:ascii="Arial" w:hAnsi="Arial" w:cs="Arial"/>
        </w:rPr>
        <w:tab/>
        <w:t xml:space="preserve">Presently serving before court is an application in terms of the provisions of rule 108 of this court’s rules in which the applicant seeks an order declaring certain immovable property </w:t>
      </w:r>
      <w:r w:rsidR="00F02F39">
        <w:rPr>
          <w:rFonts w:ascii="Arial" w:hAnsi="Arial" w:cs="Arial"/>
        </w:rPr>
        <w:t>registered in the 2</w:t>
      </w:r>
      <w:r w:rsidR="00F02F39" w:rsidRPr="00F02F39">
        <w:rPr>
          <w:rFonts w:ascii="Arial" w:hAnsi="Arial" w:cs="Arial"/>
          <w:vertAlign w:val="superscript"/>
        </w:rPr>
        <w:t>nd</w:t>
      </w:r>
      <w:r w:rsidR="00F02F39">
        <w:rPr>
          <w:rFonts w:ascii="Arial" w:hAnsi="Arial" w:cs="Arial"/>
        </w:rPr>
        <w:t xml:space="preserve"> respondent’s name </w:t>
      </w:r>
      <w:r w:rsidR="00726A7B" w:rsidRPr="00894A7A">
        <w:rPr>
          <w:rFonts w:ascii="Arial" w:hAnsi="Arial" w:cs="Arial"/>
        </w:rPr>
        <w:t xml:space="preserve">specially executable. </w:t>
      </w:r>
    </w:p>
    <w:p w14:paraId="7FEEA766" w14:textId="77777777" w:rsidR="00726A7B" w:rsidRPr="00894A7A" w:rsidRDefault="00726A7B" w:rsidP="00894A7A">
      <w:pPr>
        <w:spacing w:line="360" w:lineRule="auto"/>
        <w:jc w:val="both"/>
        <w:rPr>
          <w:rFonts w:ascii="Arial" w:hAnsi="Arial" w:cs="Arial"/>
        </w:rPr>
      </w:pPr>
    </w:p>
    <w:p w14:paraId="0198E87F" w14:textId="162A7113" w:rsidR="00726A7B" w:rsidRPr="00894A7A" w:rsidRDefault="00C223DB" w:rsidP="00894A7A">
      <w:pPr>
        <w:spacing w:line="360" w:lineRule="auto"/>
        <w:jc w:val="both"/>
        <w:rPr>
          <w:rFonts w:ascii="Arial" w:hAnsi="Arial" w:cs="Arial"/>
        </w:rPr>
      </w:pPr>
      <w:r w:rsidRPr="00894A7A">
        <w:rPr>
          <w:rFonts w:ascii="Arial" w:hAnsi="Arial" w:cs="Arial"/>
        </w:rPr>
        <w:t>[3</w:t>
      </w:r>
      <w:r w:rsidR="00726A7B" w:rsidRPr="00894A7A">
        <w:rPr>
          <w:rFonts w:ascii="Arial" w:hAnsi="Arial" w:cs="Arial"/>
        </w:rPr>
        <w:t>]</w:t>
      </w:r>
      <w:r w:rsidR="00726A7B" w:rsidRPr="00894A7A">
        <w:rPr>
          <w:rFonts w:ascii="Arial" w:hAnsi="Arial" w:cs="Arial"/>
        </w:rPr>
        <w:tab/>
        <w:t>Needless to say, this applica</w:t>
      </w:r>
      <w:r w:rsidR="00F02F39">
        <w:rPr>
          <w:rFonts w:ascii="Arial" w:hAnsi="Arial" w:cs="Arial"/>
        </w:rPr>
        <w:t>tion is opposed by the 2</w:t>
      </w:r>
      <w:r w:rsidR="00F02F39" w:rsidRPr="00F02F39">
        <w:rPr>
          <w:rFonts w:ascii="Arial" w:hAnsi="Arial" w:cs="Arial"/>
          <w:vertAlign w:val="superscript"/>
        </w:rPr>
        <w:t>nd</w:t>
      </w:r>
      <w:r w:rsidR="00F02F39">
        <w:rPr>
          <w:rFonts w:ascii="Arial" w:hAnsi="Arial" w:cs="Arial"/>
        </w:rPr>
        <w:t xml:space="preserve"> respondent</w:t>
      </w:r>
      <w:r w:rsidR="00726A7B" w:rsidRPr="00894A7A">
        <w:rPr>
          <w:rFonts w:ascii="Arial" w:hAnsi="Arial" w:cs="Arial"/>
        </w:rPr>
        <w:t xml:space="preserve"> on grounds that will be adverted to as the judgment unfolds. Suffice it to mention that some of the grounds of opposition raised by the respondents are points of law </w:t>
      </w:r>
      <w:r w:rsidR="00726A7B" w:rsidRPr="00894A7A">
        <w:rPr>
          <w:rFonts w:ascii="Arial" w:hAnsi="Arial" w:cs="Arial"/>
          <w:i/>
        </w:rPr>
        <w:t xml:space="preserve">in </w:t>
      </w:r>
      <w:proofErr w:type="spellStart"/>
      <w:r w:rsidR="00726A7B" w:rsidRPr="00894A7A">
        <w:rPr>
          <w:rFonts w:ascii="Arial" w:hAnsi="Arial" w:cs="Arial"/>
          <w:i/>
        </w:rPr>
        <w:t>limine</w:t>
      </w:r>
      <w:proofErr w:type="spellEnd"/>
      <w:r w:rsidR="00726A7B" w:rsidRPr="00894A7A">
        <w:rPr>
          <w:rFonts w:ascii="Arial" w:hAnsi="Arial" w:cs="Arial"/>
          <w:i/>
        </w:rPr>
        <w:t xml:space="preserve">. </w:t>
      </w:r>
      <w:r w:rsidR="00726A7B" w:rsidRPr="00894A7A">
        <w:rPr>
          <w:rFonts w:ascii="Arial" w:hAnsi="Arial" w:cs="Arial"/>
        </w:rPr>
        <w:t>The respondents do also raise a defence on the merits</w:t>
      </w:r>
      <w:r w:rsidR="00D204FE" w:rsidRPr="00894A7A">
        <w:rPr>
          <w:rFonts w:ascii="Arial" w:hAnsi="Arial" w:cs="Arial"/>
        </w:rPr>
        <w:t>,</w:t>
      </w:r>
      <w:r w:rsidR="00726A7B" w:rsidRPr="00894A7A">
        <w:rPr>
          <w:rFonts w:ascii="Arial" w:hAnsi="Arial" w:cs="Arial"/>
        </w:rPr>
        <w:t xml:space="preserve"> which will be considered in the event the court does not uphold the points of law raised </w:t>
      </w:r>
      <w:r w:rsidR="00726A7B" w:rsidRPr="00894A7A">
        <w:rPr>
          <w:rFonts w:ascii="Arial" w:hAnsi="Arial" w:cs="Arial"/>
          <w:i/>
        </w:rPr>
        <w:t xml:space="preserve">in </w:t>
      </w:r>
      <w:proofErr w:type="spellStart"/>
      <w:r w:rsidR="00726A7B" w:rsidRPr="00894A7A">
        <w:rPr>
          <w:rFonts w:ascii="Arial" w:hAnsi="Arial" w:cs="Arial"/>
          <w:i/>
        </w:rPr>
        <w:t>limine</w:t>
      </w:r>
      <w:proofErr w:type="spellEnd"/>
      <w:r w:rsidR="00726A7B" w:rsidRPr="00894A7A">
        <w:rPr>
          <w:rFonts w:ascii="Arial" w:hAnsi="Arial" w:cs="Arial"/>
          <w:i/>
        </w:rPr>
        <w:t xml:space="preserve"> </w:t>
      </w:r>
      <w:r w:rsidR="00726A7B" w:rsidRPr="00894A7A">
        <w:rPr>
          <w:rFonts w:ascii="Arial" w:hAnsi="Arial" w:cs="Arial"/>
        </w:rPr>
        <w:t>by the respondents.</w:t>
      </w:r>
    </w:p>
    <w:p w14:paraId="621C0E1A" w14:textId="77777777" w:rsidR="00726A7B" w:rsidRPr="00894A7A" w:rsidRDefault="00726A7B" w:rsidP="00894A7A">
      <w:pPr>
        <w:spacing w:line="360" w:lineRule="auto"/>
        <w:jc w:val="both"/>
        <w:rPr>
          <w:rFonts w:ascii="Arial" w:hAnsi="Arial" w:cs="Arial"/>
        </w:rPr>
      </w:pPr>
    </w:p>
    <w:p w14:paraId="6955DD9A" w14:textId="77777777" w:rsidR="00AD36E2" w:rsidRPr="00894A7A" w:rsidRDefault="00726A7B" w:rsidP="00894A7A">
      <w:pPr>
        <w:spacing w:line="360" w:lineRule="auto"/>
        <w:jc w:val="both"/>
        <w:rPr>
          <w:rFonts w:ascii="Arial" w:hAnsi="Arial" w:cs="Arial"/>
          <w:u w:val="single"/>
        </w:rPr>
      </w:pPr>
      <w:r w:rsidRPr="00894A7A">
        <w:rPr>
          <w:rFonts w:ascii="Arial" w:hAnsi="Arial" w:cs="Arial"/>
          <w:u w:val="single"/>
        </w:rPr>
        <w:t>Background</w:t>
      </w:r>
    </w:p>
    <w:p w14:paraId="1E23404D" w14:textId="77777777" w:rsidR="00AD36E2" w:rsidRPr="00894A7A" w:rsidRDefault="00AD36E2" w:rsidP="00894A7A">
      <w:pPr>
        <w:spacing w:line="360" w:lineRule="auto"/>
        <w:jc w:val="both"/>
        <w:rPr>
          <w:rFonts w:ascii="Arial" w:hAnsi="Arial" w:cs="Arial"/>
          <w:u w:val="single"/>
        </w:rPr>
      </w:pPr>
    </w:p>
    <w:p w14:paraId="49669E44" w14:textId="17C71F01" w:rsidR="00726A7B" w:rsidRPr="00894A7A" w:rsidRDefault="00C223DB" w:rsidP="00894A7A">
      <w:pPr>
        <w:spacing w:line="360" w:lineRule="auto"/>
        <w:jc w:val="both"/>
        <w:rPr>
          <w:rFonts w:ascii="Arial" w:hAnsi="Arial" w:cs="Arial"/>
        </w:rPr>
      </w:pPr>
      <w:r w:rsidRPr="00894A7A">
        <w:rPr>
          <w:rFonts w:ascii="Arial" w:hAnsi="Arial" w:cs="Arial"/>
        </w:rPr>
        <w:t>[4</w:t>
      </w:r>
      <w:r w:rsidR="00AD36E2" w:rsidRPr="00894A7A">
        <w:rPr>
          <w:rFonts w:ascii="Arial" w:hAnsi="Arial" w:cs="Arial"/>
        </w:rPr>
        <w:t>]</w:t>
      </w:r>
      <w:r w:rsidR="00AD36E2" w:rsidRPr="00894A7A">
        <w:rPr>
          <w:rFonts w:ascii="Arial" w:hAnsi="Arial" w:cs="Arial"/>
        </w:rPr>
        <w:tab/>
        <w:t>By combined summons dated 17 August 2015, the plaintiff sued the defendants named above, jointly and severally for payment of an amount of N$ 49 332.22 in respect of goods sold and delivered by the plaintiff to the 1</w:t>
      </w:r>
      <w:r w:rsidR="00AD36E2" w:rsidRPr="00894A7A">
        <w:rPr>
          <w:rFonts w:ascii="Arial" w:hAnsi="Arial" w:cs="Arial"/>
          <w:vertAlign w:val="superscript"/>
        </w:rPr>
        <w:t>st</w:t>
      </w:r>
      <w:r w:rsidR="00AD36E2" w:rsidRPr="00894A7A">
        <w:rPr>
          <w:rFonts w:ascii="Arial" w:hAnsi="Arial" w:cs="Arial"/>
        </w:rPr>
        <w:t xml:space="preserve"> defendant. The 2</w:t>
      </w:r>
      <w:r w:rsidR="00AD36E2" w:rsidRPr="00894A7A">
        <w:rPr>
          <w:rFonts w:ascii="Arial" w:hAnsi="Arial" w:cs="Arial"/>
          <w:vertAlign w:val="superscript"/>
        </w:rPr>
        <w:t>nd</w:t>
      </w:r>
      <w:r w:rsidR="00AD36E2" w:rsidRPr="00894A7A">
        <w:rPr>
          <w:rFonts w:ascii="Arial" w:hAnsi="Arial" w:cs="Arial"/>
        </w:rPr>
        <w:t xml:space="preserve"> and 3</w:t>
      </w:r>
      <w:r w:rsidR="00AD36E2" w:rsidRPr="00894A7A">
        <w:rPr>
          <w:rFonts w:ascii="Arial" w:hAnsi="Arial" w:cs="Arial"/>
          <w:vertAlign w:val="superscript"/>
        </w:rPr>
        <w:t>rd</w:t>
      </w:r>
      <w:r w:rsidR="00AD36E2" w:rsidRPr="00894A7A">
        <w:rPr>
          <w:rFonts w:ascii="Arial" w:hAnsi="Arial" w:cs="Arial"/>
        </w:rPr>
        <w:t xml:space="preserve"> defendants were sued in their capacity as sureties and co-principal debtors with the 1</w:t>
      </w:r>
      <w:r w:rsidR="00AD36E2" w:rsidRPr="00894A7A">
        <w:rPr>
          <w:rFonts w:ascii="Arial" w:hAnsi="Arial" w:cs="Arial"/>
          <w:vertAlign w:val="superscript"/>
        </w:rPr>
        <w:t>st</w:t>
      </w:r>
      <w:r w:rsidR="00AD36E2" w:rsidRPr="00894A7A">
        <w:rPr>
          <w:rFonts w:ascii="Arial" w:hAnsi="Arial" w:cs="Arial"/>
        </w:rPr>
        <w:t xml:space="preserve"> defendant.</w:t>
      </w:r>
    </w:p>
    <w:p w14:paraId="00D27DCF" w14:textId="77777777" w:rsidR="00AD36E2" w:rsidRPr="00894A7A" w:rsidRDefault="00AD36E2" w:rsidP="00894A7A">
      <w:pPr>
        <w:spacing w:line="360" w:lineRule="auto"/>
        <w:jc w:val="both"/>
        <w:rPr>
          <w:rFonts w:ascii="Arial" w:hAnsi="Arial" w:cs="Arial"/>
        </w:rPr>
      </w:pPr>
    </w:p>
    <w:p w14:paraId="26311F47" w14:textId="565AC389" w:rsidR="00AD36E2" w:rsidRPr="00894A7A" w:rsidRDefault="00C223DB" w:rsidP="00894A7A">
      <w:pPr>
        <w:spacing w:line="360" w:lineRule="auto"/>
        <w:jc w:val="both"/>
        <w:rPr>
          <w:rFonts w:ascii="Arial" w:hAnsi="Arial" w:cs="Arial"/>
        </w:rPr>
      </w:pPr>
      <w:r w:rsidRPr="00894A7A">
        <w:rPr>
          <w:rFonts w:ascii="Arial" w:hAnsi="Arial" w:cs="Arial"/>
        </w:rPr>
        <w:t>[5</w:t>
      </w:r>
      <w:r w:rsidR="00AD36E2" w:rsidRPr="00894A7A">
        <w:rPr>
          <w:rFonts w:ascii="Arial" w:hAnsi="Arial" w:cs="Arial"/>
        </w:rPr>
        <w:t>]</w:t>
      </w:r>
      <w:r w:rsidR="00AD36E2" w:rsidRPr="00894A7A">
        <w:rPr>
          <w:rFonts w:ascii="Arial" w:hAnsi="Arial" w:cs="Arial"/>
        </w:rPr>
        <w:tab/>
        <w:t>Despite being served with the summons in this matter, the defendants did not defend the suit, culminating in this court, on 1 October 2015</w:t>
      </w:r>
      <w:r w:rsidR="00EA0B23">
        <w:rPr>
          <w:rFonts w:ascii="Arial" w:hAnsi="Arial" w:cs="Arial"/>
        </w:rPr>
        <w:t>,</w:t>
      </w:r>
      <w:r w:rsidR="00AD36E2" w:rsidRPr="00894A7A">
        <w:rPr>
          <w:rFonts w:ascii="Arial" w:hAnsi="Arial" w:cs="Arial"/>
        </w:rPr>
        <w:t xml:space="preserve"> granting judgment in the amount claimed</w:t>
      </w:r>
      <w:r w:rsidR="00EA0B23">
        <w:rPr>
          <w:rFonts w:ascii="Arial" w:hAnsi="Arial" w:cs="Arial"/>
        </w:rPr>
        <w:t>,</w:t>
      </w:r>
      <w:r w:rsidR="00AD36E2" w:rsidRPr="00894A7A">
        <w:rPr>
          <w:rFonts w:ascii="Arial" w:hAnsi="Arial" w:cs="Arial"/>
        </w:rPr>
        <w:t xml:space="preserve"> with interest at the customary rate, in favour of the plaintiff against all the defendants. Costs were levied on the attorney and client scale.</w:t>
      </w:r>
    </w:p>
    <w:p w14:paraId="4589BFA9" w14:textId="77777777" w:rsidR="00AD36E2" w:rsidRPr="00894A7A" w:rsidRDefault="00AD36E2" w:rsidP="00894A7A">
      <w:pPr>
        <w:spacing w:line="360" w:lineRule="auto"/>
        <w:jc w:val="both"/>
        <w:rPr>
          <w:rFonts w:ascii="Arial" w:hAnsi="Arial" w:cs="Arial"/>
        </w:rPr>
      </w:pPr>
    </w:p>
    <w:p w14:paraId="508A85B5" w14:textId="730C40EC" w:rsidR="00AD36E2" w:rsidRDefault="00C223DB" w:rsidP="00894A7A">
      <w:pPr>
        <w:spacing w:line="360" w:lineRule="auto"/>
        <w:jc w:val="both"/>
        <w:rPr>
          <w:rFonts w:ascii="Arial" w:hAnsi="Arial" w:cs="Arial"/>
        </w:rPr>
      </w:pPr>
      <w:r w:rsidRPr="00894A7A">
        <w:rPr>
          <w:rFonts w:ascii="Arial" w:hAnsi="Arial" w:cs="Arial"/>
        </w:rPr>
        <w:t>[6</w:t>
      </w:r>
      <w:r w:rsidR="00AD36E2" w:rsidRPr="00894A7A">
        <w:rPr>
          <w:rFonts w:ascii="Arial" w:hAnsi="Arial" w:cs="Arial"/>
        </w:rPr>
        <w:t>]</w:t>
      </w:r>
      <w:r w:rsidR="00AD36E2" w:rsidRPr="00894A7A">
        <w:rPr>
          <w:rFonts w:ascii="Arial" w:hAnsi="Arial" w:cs="Arial"/>
        </w:rPr>
        <w:tab/>
        <w:t>Thereafter, the execution processes commenced in earnest</w:t>
      </w:r>
      <w:r w:rsidR="00D204FE" w:rsidRPr="00894A7A">
        <w:rPr>
          <w:rFonts w:ascii="Arial" w:hAnsi="Arial" w:cs="Arial"/>
        </w:rPr>
        <w:t>,</w:t>
      </w:r>
      <w:r w:rsidR="00AD36E2" w:rsidRPr="00894A7A">
        <w:rPr>
          <w:rFonts w:ascii="Arial" w:hAnsi="Arial" w:cs="Arial"/>
        </w:rPr>
        <w:t xml:space="preserve"> </w:t>
      </w:r>
      <w:r w:rsidR="00EA0B23">
        <w:rPr>
          <w:rFonts w:ascii="Arial" w:hAnsi="Arial" w:cs="Arial"/>
        </w:rPr>
        <w:t xml:space="preserve">eventually </w:t>
      </w:r>
      <w:r w:rsidR="00AD36E2" w:rsidRPr="00894A7A">
        <w:rPr>
          <w:rFonts w:ascii="Arial" w:hAnsi="Arial" w:cs="Arial"/>
        </w:rPr>
        <w:t>culminating in the provisions of rule 108 being invoked by the plaintiff.</w:t>
      </w:r>
      <w:r w:rsidR="00C65F87" w:rsidRPr="00894A7A">
        <w:rPr>
          <w:rFonts w:ascii="Arial" w:hAnsi="Arial" w:cs="Arial"/>
        </w:rPr>
        <w:t xml:space="preserve"> In particular, the plaintiff seeks that immovable property, described as Erf 870 </w:t>
      </w:r>
      <w:proofErr w:type="spellStart"/>
      <w:r w:rsidR="00C65F87" w:rsidRPr="00894A7A">
        <w:rPr>
          <w:rFonts w:ascii="Arial" w:hAnsi="Arial" w:cs="Arial"/>
        </w:rPr>
        <w:lastRenderedPageBreak/>
        <w:t>Hochland</w:t>
      </w:r>
      <w:proofErr w:type="spellEnd"/>
      <w:r w:rsidR="00C65F87" w:rsidRPr="00894A7A">
        <w:rPr>
          <w:rFonts w:ascii="Arial" w:hAnsi="Arial" w:cs="Arial"/>
        </w:rPr>
        <w:t xml:space="preserve"> Park in the Municipality of Windhoek</w:t>
      </w:r>
      <w:r w:rsidR="00D204FE" w:rsidRPr="00894A7A">
        <w:rPr>
          <w:rFonts w:ascii="Arial" w:hAnsi="Arial" w:cs="Arial"/>
        </w:rPr>
        <w:t>,</w:t>
      </w:r>
      <w:r w:rsidR="00C65F87" w:rsidRPr="00894A7A">
        <w:rPr>
          <w:rFonts w:ascii="Arial" w:hAnsi="Arial" w:cs="Arial"/>
        </w:rPr>
        <w:t xml:space="preserve"> be declared </w:t>
      </w:r>
      <w:proofErr w:type="gramStart"/>
      <w:r w:rsidR="00C65F87" w:rsidRPr="00894A7A">
        <w:rPr>
          <w:rFonts w:ascii="Arial" w:hAnsi="Arial" w:cs="Arial"/>
        </w:rPr>
        <w:t>specially</w:t>
      </w:r>
      <w:proofErr w:type="gramEnd"/>
      <w:r w:rsidR="00C65F87" w:rsidRPr="00894A7A">
        <w:rPr>
          <w:rFonts w:ascii="Arial" w:hAnsi="Arial" w:cs="Arial"/>
        </w:rPr>
        <w:t xml:space="preserve"> executable. The defendants strongly object to the relief sought in that regard.</w:t>
      </w:r>
    </w:p>
    <w:p w14:paraId="0139DE51" w14:textId="77777777" w:rsidR="00894A7A" w:rsidRDefault="00894A7A" w:rsidP="00894A7A">
      <w:pPr>
        <w:spacing w:line="360" w:lineRule="auto"/>
        <w:jc w:val="both"/>
        <w:rPr>
          <w:rFonts w:ascii="Arial" w:hAnsi="Arial" w:cs="Arial"/>
          <w:u w:val="single"/>
        </w:rPr>
      </w:pPr>
    </w:p>
    <w:p w14:paraId="6D3841AD" w14:textId="77777777" w:rsidR="00C65F87" w:rsidRPr="00894A7A" w:rsidRDefault="00C65F87" w:rsidP="00894A7A">
      <w:pPr>
        <w:spacing w:line="360" w:lineRule="auto"/>
        <w:jc w:val="both"/>
        <w:rPr>
          <w:rFonts w:ascii="Arial" w:hAnsi="Arial" w:cs="Arial"/>
          <w:u w:val="single"/>
        </w:rPr>
      </w:pPr>
      <w:r w:rsidRPr="00894A7A">
        <w:rPr>
          <w:rFonts w:ascii="Arial" w:hAnsi="Arial" w:cs="Arial"/>
          <w:u w:val="single"/>
        </w:rPr>
        <w:t>Bases for opposition</w:t>
      </w:r>
    </w:p>
    <w:p w14:paraId="223C6A48" w14:textId="77777777" w:rsidR="00C65F87" w:rsidRPr="00894A7A" w:rsidRDefault="00C65F87" w:rsidP="00894A7A">
      <w:pPr>
        <w:spacing w:line="360" w:lineRule="auto"/>
        <w:jc w:val="both"/>
        <w:rPr>
          <w:rFonts w:ascii="Arial" w:hAnsi="Arial" w:cs="Arial"/>
          <w:u w:val="single"/>
        </w:rPr>
      </w:pPr>
    </w:p>
    <w:p w14:paraId="02C61D4F" w14:textId="643496BD" w:rsidR="00132D24" w:rsidRPr="00894A7A" w:rsidRDefault="00C223DB" w:rsidP="00894A7A">
      <w:pPr>
        <w:spacing w:line="360" w:lineRule="auto"/>
        <w:jc w:val="both"/>
        <w:rPr>
          <w:rFonts w:ascii="Arial" w:hAnsi="Arial" w:cs="Arial"/>
        </w:rPr>
      </w:pPr>
      <w:r w:rsidRPr="00894A7A">
        <w:rPr>
          <w:rFonts w:ascii="Arial" w:hAnsi="Arial" w:cs="Arial"/>
        </w:rPr>
        <w:t>[7</w:t>
      </w:r>
      <w:r w:rsidR="00C65F87" w:rsidRPr="00894A7A">
        <w:rPr>
          <w:rFonts w:ascii="Arial" w:hAnsi="Arial" w:cs="Arial"/>
        </w:rPr>
        <w:t>]</w:t>
      </w:r>
      <w:r w:rsidR="00C65F87" w:rsidRPr="00894A7A">
        <w:rPr>
          <w:rFonts w:ascii="Arial" w:hAnsi="Arial" w:cs="Arial"/>
        </w:rPr>
        <w:tab/>
        <w:t xml:space="preserve">As intimated in the preceding paragraphs, the respondents have raised defences, including points of law </w:t>
      </w:r>
      <w:r w:rsidR="00C65F87" w:rsidRPr="00894A7A">
        <w:rPr>
          <w:rFonts w:ascii="Arial" w:hAnsi="Arial" w:cs="Arial"/>
          <w:i/>
        </w:rPr>
        <w:t xml:space="preserve">in </w:t>
      </w:r>
      <w:proofErr w:type="spellStart"/>
      <w:r w:rsidR="00C65F87" w:rsidRPr="00894A7A">
        <w:rPr>
          <w:rFonts w:ascii="Arial" w:hAnsi="Arial" w:cs="Arial"/>
          <w:i/>
        </w:rPr>
        <w:t>limine</w:t>
      </w:r>
      <w:proofErr w:type="spellEnd"/>
      <w:r w:rsidR="00C65F87" w:rsidRPr="00894A7A">
        <w:rPr>
          <w:rFonts w:ascii="Arial" w:hAnsi="Arial" w:cs="Arial"/>
          <w:i/>
        </w:rPr>
        <w:t xml:space="preserve">. </w:t>
      </w:r>
      <w:r w:rsidR="00C65F87" w:rsidRPr="00894A7A">
        <w:rPr>
          <w:rFonts w:ascii="Arial" w:hAnsi="Arial" w:cs="Arial"/>
        </w:rPr>
        <w:t>The latter include the non-compliance by the applicant with the provisions of rule 108(2) (</w:t>
      </w:r>
      <w:r w:rsidR="00C65F87" w:rsidRPr="00894A7A">
        <w:rPr>
          <w:rFonts w:ascii="Arial" w:hAnsi="Arial" w:cs="Arial"/>
          <w:i/>
        </w:rPr>
        <w:t>a</w:t>
      </w:r>
      <w:r w:rsidR="00C65F87" w:rsidRPr="00894A7A">
        <w:rPr>
          <w:rFonts w:ascii="Arial" w:hAnsi="Arial" w:cs="Arial"/>
        </w:rPr>
        <w:t>) and (</w:t>
      </w:r>
      <w:r w:rsidR="00C65F87" w:rsidRPr="00894A7A">
        <w:rPr>
          <w:rFonts w:ascii="Arial" w:hAnsi="Arial" w:cs="Arial"/>
          <w:i/>
        </w:rPr>
        <w:t>b</w:t>
      </w:r>
      <w:r w:rsidR="00C65F87" w:rsidRPr="00894A7A">
        <w:rPr>
          <w:rFonts w:ascii="Arial" w:hAnsi="Arial" w:cs="Arial"/>
        </w:rPr>
        <w:t>) in respect of service on the 2</w:t>
      </w:r>
      <w:r w:rsidR="00C65F87" w:rsidRPr="00894A7A">
        <w:rPr>
          <w:rFonts w:ascii="Arial" w:hAnsi="Arial" w:cs="Arial"/>
          <w:vertAlign w:val="superscript"/>
        </w:rPr>
        <w:t>nd</w:t>
      </w:r>
      <w:r w:rsidR="00C65F87" w:rsidRPr="00894A7A">
        <w:rPr>
          <w:rFonts w:ascii="Arial" w:hAnsi="Arial" w:cs="Arial"/>
        </w:rPr>
        <w:t xml:space="preserve"> respondent’s wife; the non-compliance with the provisions of rule 32(9) and (10). I intend to deal with these preliminary issues before I deal, if a</w:t>
      </w:r>
      <w:r w:rsidR="00132D24" w:rsidRPr="00894A7A">
        <w:rPr>
          <w:rFonts w:ascii="Arial" w:hAnsi="Arial" w:cs="Arial"/>
        </w:rPr>
        <w:t>t all necessary, with the defence on the main issue.</w:t>
      </w:r>
    </w:p>
    <w:p w14:paraId="055F0850" w14:textId="77777777" w:rsidR="00132D24" w:rsidRPr="00894A7A" w:rsidRDefault="00132D24" w:rsidP="00894A7A">
      <w:pPr>
        <w:spacing w:line="360" w:lineRule="auto"/>
        <w:jc w:val="both"/>
        <w:rPr>
          <w:rFonts w:ascii="Arial" w:hAnsi="Arial" w:cs="Arial"/>
        </w:rPr>
      </w:pPr>
    </w:p>
    <w:p w14:paraId="29CEA9C7" w14:textId="77777777" w:rsidR="00C65F87" w:rsidRPr="00894A7A" w:rsidRDefault="00AE40FE" w:rsidP="00894A7A">
      <w:pPr>
        <w:spacing w:line="360" w:lineRule="auto"/>
        <w:jc w:val="both"/>
        <w:rPr>
          <w:rFonts w:ascii="Arial" w:hAnsi="Arial" w:cs="Arial"/>
        </w:rPr>
      </w:pPr>
      <w:r w:rsidRPr="00894A7A">
        <w:rPr>
          <w:rFonts w:ascii="Arial" w:hAnsi="Arial" w:cs="Arial"/>
          <w:i/>
        </w:rPr>
        <w:t>Non-</w:t>
      </w:r>
      <w:r w:rsidR="00132D24" w:rsidRPr="00894A7A">
        <w:rPr>
          <w:rFonts w:ascii="Arial" w:hAnsi="Arial" w:cs="Arial"/>
          <w:i/>
        </w:rPr>
        <w:t>service on Mrs. McNab</w:t>
      </w:r>
      <w:r w:rsidR="00C65F87" w:rsidRPr="00894A7A">
        <w:rPr>
          <w:rFonts w:ascii="Arial" w:hAnsi="Arial" w:cs="Arial"/>
        </w:rPr>
        <w:t xml:space="preserve">  </w:t>
      </w:r>
    </w:p>
    <w:p w14:paraId="7853F10D" w14:textId="77777777" w:rsidR="00AE40FE" w:rsidRPr="00894A7A" w:rsidRDefault="00AE40FE" w:rsidP="00894A7A">
      <w:pPr>
        <w:spacing w:line="360" w:lineRule="auto"/>
        <w:jc w:val="both"/>
        <w:rPr>
          <w:rFonts w:ascii="Arial" w:hAnsi="Arial" w:cs="Arial"/>
        </w:rPr>
      </w:pPr>
    </w:p>
    <w:p w14:paraId="47537266" w14:textId="02E65CAC" w:rsidR="00AE40FE" w:rsidRPr="00894A7A" w:rsidRDefault="00C223DB" w:rsidP="00894A7A">
      <w:pPr>
        <w:spacing w:line="360" w:lineRule="auto"/>
        <w:jc w:val="both"/>
        <w:rPr>
          <w:rFonts w:ascii="Arial" w:hAnsi="Arial" w:cs="Arial"/>
        </w:rPr>
      </w:pPr>
      <w:r w:rsidRPr="00894A7A">
        <w:rPr>
          <w:rFonts w:ascii="Arial" w:hAnsi="Arial" w:cs="Arial"/>
        </w:rPr>
        <w:t>[8</w:t>
      </w:r>
      <w:r w:rsidR="00AE40FE" w:rsidRPr="00894A7A">
        <w:rPr>
          <w:rFonts w:ascii="Arial" w:hAnsi="Arial" w:cs="Arial"/>
        </w:rPr>
        <w:t>]</w:t>
      </w:r>
      <w:r w:rsidR="00AE40FE" w:rsidRPr="00894A7A">
        <w:rPr>
          <w:rFonts w:ascii="Arial" w:hAnsi="Arial" w:cs="Arial"/>
        </w:rPr>
        <w:tab/>
        <w:t>It appears to be common cause that the 2</w:t>
      </w:r>
      <w:r w:rsidR="00AE40FE" w:rsidRPr="00894A7A">
        <w:rPr>
          <w:rFonts w:ascii="Arial" w:hAnsi="Arial" w:cs="Arial"/>
          <w:vertAlign w:val="superscript"/>
        </w:rPr>
        <w:t>nd</w:t>
      </w:r>
      <w:r w:rsidR="00AE40FE" w:rsidRPr="00894A7A">
        <w:rPr>
          <w:rFonts w:ascii="Arial" w:hAnsi="Arial" w:cs="Arial"/>
        </w:rPr>
        <w:t xml:space="preserve"> defendant is married in community of property and that he and his spouse are the joint owners of the property, which is earmarked for declaration as specially executable</w:t>
      </w:r>
      <w:r w:rsidR="00D204FE" w:rsidRPr="00894A7A">
        <w:rPr>
          <w:rFonts w:ascii="Arial" w:hAnsi="Arial" w:cs="Arial"/>
        </w:rPr>
        <w:t xml:space="preserve"> in this application</w:t>
      </w:r>
      <w:r w:rsidR="00AE40FE" w:rsidRPr="00894A7A">
        <w:rPr>
          <w:rFonts w:ascii="Arial" w:hAnsi="Arial" w:cs="Arial"/>
        </w:rPr>
        <w:t>. In this regard, it is argued, on behalf of the 2</w:t>
      </w:r>
      <w:r w:rsidR="00AE40FE" w:rsidRPr="00894A7A">
        <w:rPr>
          <w:rFonts w:ascii="Arial" w:hAnsi="Arial" w:cs="Arial"/>
          <w:vertAlign w:val="superscript"/>
        </w:rPr>
        <w:t>nd</w:t>
      </w:r>
      <w:r w:rsidR="00AE40FE" w:rsidRPr="00894A7A">
        <w:rPr>
          <w:rFonts w:ascii="Arial" w:hAnsi="Arial" w:cs="Arial"/>
        </w:rPr>
        <w:t xml:space="preserve"> respondent that the non-service of the 2</w:t>
      </w:r>
      <w:r w:rsidR="00AE40FE" w:rsidRPr="00894A7A">
        <w:rPr>
          <w:rFonts w:ascii="Arial" w:hAnsi="Arial" w:cs="Arial"/>
          <w:vertAlign w:val="superscript"/>
        </w:rPr>
        <w:t>nd</w:t>
      </w:r>
      <w:r w:rsidR="00AE40FE" w:rsidRPr="00894A7A">
        <w:rPr>
          <w:rFonts w:ascii="Arial" w:hAnsi="Arial" w:cs="Arial"/>
        </w:rPr>
        <w:t xml:space="preserve"> respondent’s spouse and the fact that she did not consent to the 2</w:t>
      </w:r>
      <w:r w:rsidR="00AE40FE" w:rsidRPr="00894A7A">
        <w:rPr>
          <w:rFonts w:ascii="Arial" w:hAnsi="Arial" w:cs="Arial"/>
          <w:vertAlign w:val="superscript"/>
        </w:rPr>
        <w:t>nd</w:t>
      </w:r>
      <w:r w:rsidR="00AE40FE" w:rsidRPr="00894A7A">
        <w:rPr>
          <w:rFonts w:ascii="Arial" w:hAnsi="Arial" w:cs="Arial"/>
        </w:rPr>
        <w:t xml:space="preserve"> respondent entering into the suretyship agreement makes the application bad for non-service of the application on Mrs. McNab, as an interested party in the proceedings.</w:t>
      </w:r>
    </w:p>
    <w:p w14:paraId="6758A039" w14:textId="77777777" w:rsidR="00AE40FE" w:rsidRPr="00894A7A" w:rsidRDefault="00AE40FE" w:rsidP="00894A7A">
      <w:pPr>
        <w:spacing w:line="360" w:lineRule="auto"/>
        <w:jc w:val="both"/>
        <w:rPr>
          <w:rFonts w:ascii="Arial" w:hAnsi="Arial" w:cs="Arial"/>
        </w:rPr>
      </w:pPr>
    </w:p>
    <w:p w14:paraId="4E079D7F" w14:textId="56EA403E" w:rsidR="00AE40FE" w:rsidRPr="00894A7A" w:rsidRDefault="00C223DB" w:rsidP="00894A7A">
      <w:pPr>
        <w:spacing w:line="360" w:lineRule="auto"/>
        <w:jc w:val="both"/>
        <w:rPr>
          <w:rFonts w:ascii="Arial" w:hAnsi="Arial" w:cs="Arial"/>
        </w:rPr>
      </w:pPr>
      <w:r w:rsidRPr="00894A7A">
        <w:rPr>
          <w:rFonts w:ascii="Arial" w:hAnsi="Arial" w:cs="Arial"/>
        </w:rPr>
        <w:t>[9</w:t>
      </w:r>
      <w:r w:rsidR="00AE40FE" w:rsidRPr="00894A7A">
        <w:rPr>
          <w:rFonts w:ascii="Arial" w:hAnsi="Arial" w:cs="Arial"/>
        </w:rPr>
        <w:t>]</w:t>
      </w:r>
      <w:r w:rsidR="00AE40FE" w:rsidRPr="00894A7A">
        <w:rPr>
          <w:rFonts w:ascii="Arial" w:hAnsi="Arial" w:cs="Arial"/>
        </w:rPr>
        <w:tab/>
        <w:t>It cannot be doubted that the property in question is registered in the name of the 2</w:t>
      </w:r>
      <w:r w:rsidR="00AE40FE" w:rsidRPr="00894A7A">
        <w:rPr>
          <w:rFonts w:ascii="Arial" w:hAnsi="Arial" w:cs="Arial"/>
          <w:vertAlign w:val="superscript"/>
        </w:rPr>
        <w:t>nd</w:t>
      </w:r>
      <w:r w:rsidR="00AE40FE" w:rsidRPr="00894A7A">
        <w:rPr>
          <w:rFonts w:ascii="Arial" w:hAnsi="Arial" w:cs="Arial"/>
        </w:rPr>
        <w:t xml:space="preserve"> respondent in this matter. It is also </w:t>
      </w:r>
      <w:r w:rsidR="00EA0B23">
        <w:rPr>
          <w:rFonts w:ascii="Arial" w:hAnsi="Arial" w:cs="Arial"/>
        </w:rPr>
        <w:t>appear</w:t>
      </w:r>
      <w:r w:rsidR="00AE40FE" w:rsidRPr="00894A7A">
        <w:rPr>
          <w:rFonts w:ascii="Arial" w:hAnsi="Arial" w:cs="Arial"/>
        </w:rPr>
        <w:t>, in that regard, that the 2</w:t>
      </w:r>
      <w:r w:rsidR="00AE40FE" w:rsidRPr="00894A7A">
        <w:rPr>
          <w:rFonts w:ascii="Arial" w:hAnsi="Arial" w:cs="Arial"/>
          <w:vertAlign w:val="superscript"/>
        </w:rPr>
        <w:t>nd</w:t>
      </w:r>
      <w:r w:rsidR="00AE40FE" w:rsidRPr="00894A7A">
        <w:rPr>
          <w:rFonts w:ascii="Arial" w:hAnsi="Arial" w:cs="Arial"/>
        </w:rPr>
        <w:t xml:space="preserve"> respondent is married in community of property. S 7 of the Married Persons Equality Act states that a spouse married in community of property shall no</w:t>
      </w:r>
      <w:r w:rsidR="00D204FE" w:rsidRPr="00894A7A">
        <w:rPr>
          <w:rFonts w:ascii="Arial" w:hAnsi="Arial" w:cs="Arial"/>
        </w:rPr>
        <w:t>t</w:t>
      </w:r>
      <w:r w:rsidR="00AE40FE" w:rsidRPr="00894A7A">
        <w:rPr>
          <w:rFonts w:ascii="Arial" w:hAnsi="Arial" w:cs="Arial"/>
        </w:rPr>
        <w:t>, without the consent of the other</w:t>
      </w:r>
      <w:r w:rsidR="00D204FE" w:rsidRPr="00894A7A">
        <w:rPr>
          <w:rFonts w:ascii="Arial" w:hAnsi="Arial" w:cs="Arial"/>
        </w:rPr>
        <w:t>,</w:t>
      </w:r>
      <w:r w:rsidR="00AE40FE" w:rsidRPr="00894A7A">
        <w:rPr>
          <w:rFonts w:ascii="Arial" w:hAnsi="Arial" w:cs="Arial"/>
        </w:rPr>
        <w:t xml:space="preserve"> do certain acts, which for purposes of this case, include alienating, mortgaging </w:t>
      </w:r>
      <w:r w:rsidR="00B8157F" w:rsidRPr="00894A7A">
        <w:rPr>
          <w:rFonts w:ascii="Arial" w:hAnsi="Arial" w:cs="Arial"/>
        </w:rPr>
        <w:t>o</w:t>
      </w:r>
      <w:r w:rsidR="00AE40FE" w:rsidRPr="00894A7A">
        <w:rPr>
          <w:rFonts w:ascii="Arial" w:hAnsi="Arial" w:cs="Arial"/>
        </w:rPr>
        <w:t>r conferring any real right to immovable property forming part of the joint estate. It does no</w:t>
      </w:r>
      <w:r w:rsidR="00D204FE" w:rsidRPr="00894A7A">
        <w:rPr>
          <w:rFonts w:ascii="Arial" w:hAnsi="Arial" w:cs="Arial"/>
        </w:rPr>
        <w:t>t</w:t>
      </w:r>
      <w:r w:rsidR="00AE40FE" w:rsidRPr="00894A7A">
        <w:rPr>
          <w:rFonts w:ascii="Arial" w:hAnsi="Arial" w:cs="Arial"/>
        </w:rPr>
        <w:t xml:space="preserve"> appear that these provisions were complied with</w:t>
      </w:r>
      <w:r w:rsidR="00C17AEB">
        <w:rPr>
          <w:rFonts w:ascii="Arial" w:hAnsi="Arial" w:cs="Arial"/>
        </w:rPr>
        <w:t xml:space="preserve"> but I will make no authoritative finding in that regard</w:t>
      </w:r>
      <w:r w:rsidR="00AE40FE" w:rsidRPr="00894A7A">
        <w:rPr>
          <w:rFonts w:ascii="Arial" w:hAnsi="Arial" w:cs="Arial"/>
        </w:rPr>
        <w:t>.</w:t>
      </w:r>
    </w:p>
    <w:p w14:paraId="0F4E46B0" w14:textId="77777777" w:rsidR="00B8157F" w:rsidRPr="00894A7A" w:rsidRDefault="00B8157F" w:rsidP="00894A7A">
      <w:pPr>
        <w:spacing w:line="360" w:lineRule="auto"/>
        <w:jc w:val="both"/>
        <w:rPr>
          <w:rFonts w:ascii="Arial" w:hAnsi="Arial" w:cs="Arial"/>
        </w:rPr>
      </w:pPr>
    </w:p>
    <w:p w14:paraId="558885DB" w14:textId="73AF77FE" w:rsidR="00A5386D" w:rsidRDefault="00C223DB" w:rsidP="00894A7A">
      <w:pPr>
        <w:spacing w:line="360" w:lineRule="auto"/>
        <w:jc w:val="both"/>
        <w:rPr>
          <w:rFonts w:ascii="Arial" w:hAnsi="Arial" w:cs="Arial"/>
        </w:rPr>
      </w:pPr>
      <w:r w:rsidRPr="00894A7A">
        <w:rPr>
          <w:rFonts w:ascii="Arial" w:hAnsi="Arial" w:cs="Arial"/>
        </w:rPr>
        <w:t>[10</w:t>
      </w:r>
      <w:r w:rsidR="00B8157F" w:rsidRPr="00894A7A">
        <w:rPr>
          <w:rFonts w:ascii="Arial" w:hAnsi="Arial" w:cs="Arial"/>
        </w:rPr>
        <w:t>]</w:t>
      </w:r>
      <w:r w:rsidR="00B8157F" w:rsidRPr="00894A7A">
        <w:rPr>
          <w:rFonts w:ascii="Arial" w:hAnsi="Arial" w:cs="Arial"/>
        </w:rPr>
        <w:tab/>
      </w:r>
      <w:r w:rsidR="00C17AEB">
        <w:rPr>
          <w:rFonts w:ascii="Arial" w:hAnsi="Arial" w:cs="Arial"/>
        </w:rPr>
        <w:t xml:space="preserve">All I can say is that with the possible applicability of the Act referred to above, it becomes clear that it was necessary to serve Mrs. McNab with the </w:t>
      </w:r>
      <w:r w:rsidR="00C17AEB">
        <w:rPr>
          <w:rFonts w:ascii="Arial" w:hAnsi="Arial" w:cs="Arial"/>
        </w:rPr>
        <w:lastRenderedPageBreak/>
        <w:t>application. This would have enabled her to raise whatever defences and privileges extended to her by the Act. The reason why I find that she was entitled to service follow below.</w:t>
      </w:r>
    </w:p>
    <w:p w14:paraId="37AF7514" w14:textId="77777777" w:rsidR="00046195" w:rsidRPr="00EA0B23" w:rsidRDefault="00046195" w:rsidP="00894A7A">
      <w:pPr>
        <w:spacing w:line="360" w:lineRule="auto"/>
        <w:jc w:val="both"/>
        <w:rPr>
          <w:rFonts w:ascii="Arial" w:hAnsi="Arial" w:cs="Arial"/>
          <w:sz w:val="22"/>
          <w:szCs w:val="22"/>
        </w:rPr>
      </w:pPr>
    </w:p>
    <w:p w14:paraId="7183FEDE" w14:textId="526DDE22" w:rsidR="00AE40FE" w:rsidRPr="00894A7A" w:rsidRDefault="00C17AEB" w:rsidP="00894A7A">
      <w:pPr>
        <w:spacing w:line="360" w:lineRule="auto"/>
        <w:jc w:val="both"/>
        <w:rPr>
          <w:rFonts w:ascii="Arial" w:hAnsi="Arial" w:cs="Arial"/>
        </w:rPr>
      </w:pPr>
      <w:r>
        <w:rPr>
          <w:rFonts w:ascii="Arial" w:hAnsi="Arial" w:cs="Arial"/>
        </w:rPr>
        <w:t>[11]</w:t>
      </w:r>
      <w:r>
        <w:rPr>
          <w:rFonts w:ascii="Arial" w:hAnsi="Arial" w:cs="Arial"/>
        </w:rPr>
        <w:tab/>
      </w:r>
      <w:r w:rsidR="00A5386D" w:rsidRPr="00894A7A">
        <w:rPr>
          <w:rFonts w:ascii="Arial" w:hAnsi="Arial" w:cs="Arial"/>
        </w:rPr>
        <w:t xml:space="preserve">Rule </w:t>
      </w:r>
      <w:proofErr w:type="gramStart"/>
      <w:r w:rsidR="00A5386D" w:rsidRPr="00894A7A">
        <w:rPr>
          <w:rFonts w:ascii="Arial" w:hAnsi="Arial" w:cs="Arial"/>
        </w:rPr>
        <w:t xml:space="preserve">108 </w:t>
      </w:r>
      <w:r w:rsidR="00AE40FE" w:rsidRPr="00894A7A">
        <w:rPr>
          <w:rFonts w:ascii="Arial" w:hAnsi="Arial" w:cs="Arial"/>
        </w:rPr>
        <w:t xml:space="preserve"> </w:t>
      </w:r>
      <w:r w:rsidR="00D204FE" w:rsidRPr="00894A7A">
        <w:rPr>
          <w:rFonts w:ascii="Arial" w:hAnsi="Arial" w:cs="Arial"/>
        </w:rPr>
        <w:t>(</w:t>
      </w:r>
      <w:proofErr w:type="gramEnd"/>
      <w:r w:rsidR="00D204FE" w:rsidRPr="00894A7A">
        <w:rPr>
          <w:rFonts w:ascii="Arial" w:hAnsi="Arial" w:cs="Arial"/>
        </w:rPr>
        <w:t>2) reads as follows:</w:t>
      </w:r>
    </w:p>
    <w:p w14:paraId="739992E9" w14:textId="77777777" w:rsidR="00D204FE" w:rsidRPr="00894A7A" w:rsidRDefault="00D204FE" w:rsidP="00894A7A">
      <w:pPr>
        <w:spacing w:line="360" w:lineRule="auto"/>
        <w:jc w:val="both"/>
        <w:rPr>
          <w:rFonts w:ascii="Arial" w:hAnsi="Arial" w:cs="Arial"/>
        </w:rPr>
      </w:pPr>
    </w:p>
    <w:p w14:paraId="27D4DB6E" w14:textId="107AF85E" w:rsidR="00D204FE" w:rsidRPr="00894A7A" w:rsidRDefault="00D204FE" w:rsidP="00894A7A">
      <w:pPr>
        <w:spacing w:line="360" w:lineRule="auto"/>
        <w:jc w:val="both"/>
        <w:rPr>
          <w:rFonts w:ascii="Arial" w:hAnsi="Arial" w:cs="Arial"/>
          <w:sz w:val="22"/>
          <w:szCs w:val="22"/>
        </w:rPr>
      </w:pPr>
      <w:r w:rsidRPr="00894A7A">
        <w:rPr>
          <w:rFonts w:ascii="Arial" w:hAnsi="Arial" w:cs="Arial"/>
        </w:rPr>
        <w:tab/>
      </w:r>
      <w:r w:rsidRPr="00894A7A">
        <w:rPr>
          <w:rFonts w:ascii="Arial" w:hAnsi="Arial" w:cs="Arial"/>
          <w:sz w:val="22"/>
          <w:szCs w:val="22"/>
        </w:rPr>
        <w:t>‘If the immovable property sought to be attached is the primary home of the debtor or is leased to a third party as home the court may not declare that property to be specially executable unless –</w:t>
      </w:r>
    </w:p>
    <w:p w14:paraId="1E33B935" w14:textId="77777777" w:rsidR="00D204FE" w:rsidRPr="00894A7A" w:rsidRDefault="00D204FE" w:rsidP="00894A7A">
      <w:pPr>
        <w:spacing w:line="360" w:lineRule="auto"/>
        <w:jc w:val="both"/>
        <w:rPr>
          <w:rFonts w:ascii="Arial" w:hAnsi="Arial" w:cs="Arial"/>
          <w:sz w:val="22"/>
          <w:szCs w:val="22"/>
        </w:rPr>
      </w:pPr>
    </w:p>
    <w:p w14:paraId="5896E705" w14:textId="29A63C46" w:rsidR="00D204FE" w:rsidRPr="00E948E9" w:rsidRDefault="00E948E9" w:rsidP="00E948E9">
      <w:pPr>
        <w:spacing w:line="360" w:lineRule="auto"/>
        <w:ind w:left="720" w:hanging="360"/>
        <w:jc w:val="both"/>
        <w:rPr>
          <w:rFonts w:ascii="Arial" w:hAnsi="Arial" w:cs="Arial"/>
          <w:sz w:val="22"/>
          <w:szCs w:val="22"/>
        </w:rPr>
      </w:pPr>
      <w:r w:rsidRPr="00894A7A">
        <w:rPr>
          <w:rFonts w:ascii="Arial" w:hAnsi="Arial" w:cs="Arial"/>
          <w:i/>
          <w:sz w:val="22"/>
          <w:szCs w:val="22"/>
        </w:rPr>
        <w:t>(a)</w:t>
      </w:r>
      <w:r w:rsidRPr="00894A7A">
        <w:rPr>
          <w:rFonts w:ascii="Arial" w:hAnsi="Arial" w:cs="Arial"/>
          <w:i/>
          <w:sz w:val="22"/>
          <w:szCs w:val="22"/>
        </w:rPr>
        <w:tab/>
      </w:r>
      <w:r w:rsidR="00D204FE" w:rsidRPr="00E948E9">
        <w:rPr>
          <w:rFonts w:ascii="Arial" w:hAnsi="Arial" w:cs="Arial"/>
          <w:sz w:val="22"/>
          <w:szCs w:val="22"/>
        </w:rPr>
        <w:t xml:space="preserve">the execution creditor has </w:t>
      </w:r>
      <w:proofErr w:type="gramStart"/>
      <w:r w:rsidR="00D204FE" w:rsidRPr="00E948E9">
        <w:rPr>
          <w:rFonts w:ascii="Arial" w:hAnsi="Arial" w:cs="Arial"/>
          <w:sz w:val="22"/>
          <w:szCs w:val="22"/>
        </w:rPr>
        <w:t>be</w:t>
      </w:r>
      <w:proofErr w:type="gramEnd"/>
      <w:r w:rsidR="00D204FE" w:rsidRPr="00E948E9">
        <w:rPr>
          <w:rFonts w:ascii="Arial" w:hAnsi="Arial" w:cs="Arial"/>
          <w:sz w:val="22"/>
          <w:szCs w:val="22"/>
        </w:rPr>
        <w:t xml:space="preserve"> means of personal service effected by the deputy sheriff given notice on Form 24 to the execution creditor that the application will be made to the court for an order declaring the property executable and calling on the execution debtor to provide reasons to the court why such an order should not be granted.</w:t>
      </w:r>
    </w:p>
    <w:p w14:paraId="517F2E51" w14:textId="51C9EE97" w:rsidR="00D204FE" w:rsidRPr="00E948E9" w:rsidRDefault="00E948E9" w:rsidP="00E948E9">
      <w:pPr>
        <w:spacing w:line="360" w:lineRule="auto"/>
        <w:ind w:left="720" w:hanging="360"/>
        <w:jc w:val="both"/>
        <w:rPr>
          <w:rFonts w:ascii="Arial" w:hAnsi="Arial" w:cs="Arial"/>
          <w:sz w:val="22"/>
          <w:szCs w:val="22"/>
        </w:rPr>
      </w:pPr>
      <w:r w:rsidRPr="00894A7A">
        <w:rPr>
          <w:rFonts w:ascii="Arial" w:hAnsi="Arial" w:cs="Arial"/>
          <w:i/>
          <w:sz w:val="22"/>
          <w:szCs w:val="22"/>
        </w:rPr>
        <w:t>(b)</w:t>
      </w:r>
      <w:r w:rsidRPr="00894A7A">
        <w:rPr>
          <w:rFonts w:ascii="Arial" w:hAnsi="Arial" w:cs="Arial"/>
          <w:i/>
          <w:sz w:val="22"/>
          <w:szCs w:val="22"/>
        </w:rPr>
        <w:tab/>
      </w:r>
      <w:r w:rsidR="00D23007" w:rsidRPr="00E948E9">
        <w:rPr>
          <w:rFonts w:ascii="Arial" w:hAnsi="Arial" w:cs="Arial"/>
          <w:sz w:val="22"/>
          <w:szCs w:val="22"/>
        </w:rPr>
        <w:t>The execution creditor has caused the notice referred to in paragraph (</w:t>
      </w:r>
      <w:r w:rsidR="00D23007" w:rsidRPr="00E948E9">
        <w:rPr>
          <w:rFonts w:ascii="Arial" w:hAnsi="Arial" w:cs="Arial"/>
          <w:i/>
          <w:sz w:val="22"/>
          <w:szCs w:val="22"/>
        </w:rPr>
        <w:t>a</w:t>
      </w:r>
      <w:r w:rsidR="00D23007" w:rsidRPr="00E948E9">
        <w:rPr>
          <w:rFonts w:ascii="Arial" w:hAnsi="Arial" w:cs="Arial"/>
          <w:sz w:val="22"/>
          <w:szCs w:val="22"/>
        </w:rPr>
        <w:t>) to be served personally on any lessee of the property so sought to be declared executable: and</w:t>
      </w:r>
    </w:p>
    <w:p w14:paraId="1CDA8D4A" w14:textId="5D7F76DE" w:rsidR="00D204FE" w:rsidRPr="00E948E9" w:rsidRDefault="00E948E9" w:rsidP="00E948E9">
      <w:pPr>
        <w:spacing w:line="360" w:lineRule="auto"/>
        <w:ind w:left="720" w:hanging="360"/>
        <w:jc w:val="both"/>
        <w:rPr>
          <w:rFonts w:ascii="Arial" w:hAnsi="Arial" w:cs="Arial"/>
          <w:sz w:val="22"/>
          <w:szCs w:val="22"/>
        </w:rPr>
      </w:pPr>
      <w:r w:rsidRPr="00894A7A">
        <w:rPr>
          <w:rFonts w:ascii="Arial" w:hAnsi="Arial" w:cs="Arial"/>
          <w:i/>
          <w:sz w:val="22"/>
          <w:szCs w:val="22"/>
        </w:rPr>
        <w:t>(c)</w:t>
      </w:r>
      <w:r w:rsidRPr="00894A7A">
        <w:rPr>
          <w:rFonts w:ascii="Arial" w:hAnsi="Arial" w:cs="Arial"/>
          <w:i/>
          <w:sz w:val="22"/>
          <w:szCs w:val="22"/>
        </w:rPr>
        <w:tab/>
      </w:r>
      <w:r w:rsidR="00D204FE" w:rsidRPr="00E948E9">
        <w:rPr>
          <w:rFonts w:ascii="Arial" w:hAnsi="Arial" w:cs="Arial"/>
          <w:sz w:val="22"/>
          <w:szCs w:val="22"/>
        </w:rPr>
        <w:t>*’</w:t>
      </w:r>
    </w:p>
    <w:p w14:paraId="4616293C" w14:textId="77777777" w:rsidR="00D204FE" w:rsidRPr="00894A7A" w:rsidRDefault="00D204FE" w:rsidP="00894A7A">
      <w:pPr>
        <w:spacing w:line="360" w:lineRule="auto"/>
        <w:jc w:val="both"/>
        <w:rPr>
          <w:rFonts w:ascii="Arial" w:hAnsi="Arial" w:cs="Arial"/>
        </w:rPr>
      </w:pPr>
    </w:p>
    <w:p w14:paraId="14C02BA6" w14:textId="310D0DCC" w:rsidR="00D204FE" w:rsidRPr="00894A7A" w:rsidRDefault="00D81345" w:rsidP="00894A7A">
      <w:pPr>
        <w:spacing w:line="360" w:lineRule="auto"/>
        <w:jc w:val="both"/>
        <w:rPr>
          <w:rFonts w:ascii="Arial" w:hAnsi="Arial" w:cs="Arial"/>
        </w:rPr>
      </w:pPr>
      <w:r>
        <w:rPr>
          <w:rFonts w:ascii="Arial" w:hAnsi="Arial" w:cs="Arial"/>
        </w:rPr>
        <w:t>[12</w:t>
      </w:r>
      <w:r w:rsidR="00D204FE" w:rsidRPr="00894A7A">
        <w:rPr>
          <w:rFonts w:ascii="Arial" w:hAnsi="Arial" w:cs="Arial"/>
        </w:rPr>
        <w:t>]</w:t>
      </w:r>
      <w:r w:rsidR="00D204FE" w:rsidRPr="00894A7A">
        <w:rPr>
          <w:rFonts w:ascii="Arial" w:hAnsi="Arial" w:cs="Arial"/>
        </w:rPr>
        <w:tab/>
        <w:t xml:space="preserve">It is clear that the rule in question requires personal service of the application to have the property declared </w:t>
      </w:r>
      <w:proofErr w:type="gramStart"/>
      <w:r w:rsidR="00D204FE" w:rsidRPr="00894A7A">
        <w:rPr>
          <w:rFonts w:ascii="Arial" w:hAnsi="Arial" w:cs="Arial"/>
        </w:rPr>
        <w:t>specially</w:t>
      </w:r>
      <w:proofErr w:type="gramEnd"/>
      <w:r w:rsidR="00D204FE" w:rsidRPr="00894A7A">
        <w:rPr>
          <w:rFonts w:ascii="Arial" w:hAnsi="Arial" w:cs="Arial"/>
        </w:rPr>
        <w:t xml:space="preserve"> executabl</w:t>
      </w:r>
      <w:r w:rsidR="00D23007" w:rsidRPr="00894A7A">
        <w:rPr>
          <w:rFonts w:ascii="Arial" w:hAnsi="Arial" w:cs="Arial"/>
        </w:rPr>
        <w:t xml:space="preserve">e </w:t>
      </w:r>
      <w:r w:rsidR="00D204FE" w:rsidRPr="00894A7A">
        <w:rPr>
          <w:rFonts w:ascii="Arial" w:hAnsi="Arial" w:cs="Arial"/>
        </w:rPr>
        <w:t>on the execution debtor. It is important in</w:t>
      </w:r>
      <w:r w:rsidR="00D23007" w:rsidRPr="00894A7A">
        <w:rPr>
          <w:rFonts w:ascii="Arial" w:hAnsi="Arial" w:cs="Arial"/>
        </w:rPr>
        <w:t xml:space="preserve"> this regard to notice the meta</w:t>
      </w:r>
      <w:r w:rsidR="00D204FE" w:rsidRPr="00894A7A">
        <w:rPr>
          <w:rFonts w:ascii="Arial" w:hAnsi="Arial" w:cs="Arial"/>
        </w:rPr>
        <w:t xml:space="preserve">morphosis that the rule giver gives </w:t>
      </w:r>
      <w:r w:rsidR="00EA0B23">
        <w:rPr>
          <w:rFonts w:ascii="Arial" w:hAnsi="Arial" w:cs="Arial"/>
        </w:rPr>
        <w:t xml:space="preserve">by reference </w:t>
      </w:r>
      <w:r w:rsidR="00D204FE" w:rsidRPr="00894A7A">
        <w:rPr>
          <w:rFonts w:ascii="Arial" w:hAnsi="Arial" w:cs="Arial"/>
        </w:rPr>
        <w:t>to the words used. The text no long</w:t>
      </w:r>
      <w:r w:rsidR="00EA0B23">
        <w:rPr>
          <w:rFonts w:ascii="Arial" w:hAnsi="Arial" w:cs="Arial"/>
        </w:rPr>
        <w:t>er ref</w:t>
      </w:r>
      <w:r w:rsidR="00D204FE" w:rsidRPr="00894A7A">
        <w:rPr>
          <w:rFonts w:ascii="Arial" w:hAnsi="Arial" w:cs="Arial"/>
        </w:rPr>
        <w:t>e</w:t>
      </w:r>
      <w:r w:rsidR="00EA0B23">
        <w:rPr>
          <w:rFonts w:ascii="Arial" w:hAnsi="Arial" w:cs="Arial"/>
        </w:rPr>
        <w:t>r</w:t>
      </w:r>
      <w:r w:rsidR="00D204FE" w:rsidRPr="00894A7A">
        <w:rPr>
          <w:rFonts w:ascii="Arial" w:hAnsi="Arial" w:cs="Arial"/>
        </w:rPr>
        <w:t xml:space="preserve">s to a judgment debtor – but to an execution debtor, meaning that it is possible that the application for property to be declared </w:t>
      </w:r>
      <w:proofErr w:type="gramStart"/>
      <w:r w:rsidR="00D204FE" w:rsidRPr="00894A7A">
        <w:rPr>
          <w:rFonts w:ascii="Arial" w:hAnsi="Arial" w:cs="Arial"/>
        </w:rPr>
        <w:t>specially</w:t>
      </w:r>
      <w:proofErr w:type="gramEnd"/>
      <w:r w:rsidR="00D204FE" w:rsidRPr="00894A7A">
        <w:rPr>
          <w:rFonts w:ascii="Arial" w:hAnsi="Arial" w:cs="Arial"/>
        </w:rPr>
        <w:t xml:space="preserve"> executable, may affect persons other than the </w:t>
      </w:r>
      <w:r w:rsidR="00EA0B23">
        <w:rPr>
          <w:rFonts w:ascii="Arial" w:hAnsi="Arial" w:cs="Arial"/>
        </w:rPr>
        <w:t xml:space="preserve">original </w:t>
      </w:r>
      <w:r w:rsidR="00D204FE" w:rsidRPr="00894A7A">
        <w:rPr>
          <w:rFonts w:ascii="Arial" w:hAnsi="Arial" w:cs="Arial"/>
        </w:rPr>
        <w:t>judgment debtor</w:t>
      </w:r>
      <w:r w:rsidR="00D23007" w:rsidRPr="00894A7A">
        <w:rPr>
          <w:rFonts w:ascii="Arial" w:hAnsi="Arial" w:cs="Arial"/>
        </w:rPr>
        <w:t>. It is in that context that lessees are mentioned in rule 108 (2) (</w:t>
      </w:r>
      <w:r w:rsidR="00D23007" w:rsidRPr="00894A7A">
        <w:rPr>
          <w:rFonts w:ascii="Arial" w:hAnsi="Arial" w:cs="Arial"/>
          <w:i/>
        </w:rPr>
        <w:t>c</w:t>
      </w:r>
      <w:r w:rsidR="00D23007" w:rsidRPr="00894A7A">
        <w:rPr>
          <w:rFonts w:ascii="Arial" w:hAnsi="Arial" w:cs="Arial"/>
        </w:rPr>
        <w:t>) as entitled to personal service of the application</w:t>
      </w:r>
      <w:r w:rsidR="00EA0B23">
        <w:rPr>
          <w:rFonts w:ascii="Arial" w:hAnsi="Arial" w:cs="Arial"/>
        </w:rPr>
        <w:t xml:space="preserve"> for declaration of property specially executable</w:t>
      </w:r>
      <w:r w:rsidR="00D23007" w:rsidRPr="00894A7A">
        <w:rPr>
          <w:rFonts w:ascii="Arial" w:hAnsi="Arial" w:cs="Arial"/>
        </w:rPr>
        <w:t>.</w:t>
      </w:r>
    </w:p>
    <w:p w14:paraId="59859C02" w14:textId="77777777" w:rsidR="00D23007" w:rsidRPr="00894A7A" w:rsidRDefault="00D23007" w:rsidP="00894A7A">
      <w:pPr>
        <w:spacing w:line="360" w:lineRule="auto"/>
        <w:jc w:val="both"/>
        <w:rPr>
          <w:rFonts w:ascii="Arial" w:hAnsi="Arial" w:cs="Arial"/>
        </w:rPr>
      </w:pPr>
    </w:p>
    <w:p w14:paraId="36F99B52" w14:textId="5CD715E3" w:rsidR="00D23007" w:rsidRPr="00894A7A" w:rsidRDefault="00D81345" w:rsidP="00894A7A">
      <w:pPr>
        <w:spacing w:line="360" w:lineRule="auto"/>
        <w:jc w:val="both"/>
        <w:rPr>
          <w:rFonts w:ascii="Arial" w:hAnsi="Arial" w:cs="Arial"/>
        </w:rPr>
      </w:pPr>
      <w:r>
        <w:rPr>
          <w:rFonts w:ascii="Arial" w:hAnsi="Arial" w:cs="Arial"/>
        </w:rPr>
        <w:t>[13</w:t>
      </w:r>
      <w:r w:rsidR="00D23007" w:rsidRPr="00894A7A">
        <w:rPr>
          <w:rFonts w:ascii="Arial" w:hAnsi="Arial" w:cs="Arial"/>
        </w:rPr>
        <w:t>]</w:t>
      </w:r>
      <w:r w:rsidR="00D23007" w:rsidRPr="00894A7A">
        <w:rPr>
          <w:rFonts w:ascii="Arial" w:hAnsi="Arial" w:cs="Arial"/>
        </w:rPr>
        <w:tab/>
        <w:t xml:space="preserve">This then leads me to the conclusion that it is not only </w:t>
      </w:r>
      <w:r w:rsidR="00EA0B23">
        <w:rPr>
          <w:rFonts w:ascii="Arial" w:hAnsi="Arial" w:cs="Arial"/>
        </w:rPr>
        <w:t xml:space="preserve">the original </w:t>
      </w:r>
      <w:r w:rsidR="00D23007" w:rsidRPr="00894A7A">
        <w:rPr>
          <w:rFonts w:ascii="Arial" w:hAnsi="Arial" w:cs="Arial"/>
        </w:rPr>
        <w:t xml:space="preserve">judgment debtors that are entitled by law to personal service. The term execution debtor may be wider than just the </w:t>
      </w:r>
      <w:r w:rsidR="00C17AEB">
        <w:rPr>
          <w:rFonts w:ascii="Arial" w:hAnsi="Arial" w:cs="Arial"/>
        </w:rPr>
        <w:t xml:space="preserve">original </w:t>
      </w:r>
      <w:r w:rsidR="00D23007" w:rsidRPr="00894A7A">
        <w:rPr>
          <w:rFonts w:ascii="Arial" w:hAnsi="Arial" w:cs="Arial"/>
        </w:rPr>
        <w:t xml:space="preserve">judgment debtor. In this regard, a spouse of a judgment debtor may, if the parties are married in community of property, be entitled to personal service of the application as he or she clearly has an interest in the matter, probably more than a lessee, who </w:t>
      </w:r>
      <w:r w:rsidR="00D23007" w:rsidRPr="00894A7A">
        <w:rPr>
          <w:rFonts w:ascii="Arial" w:hAnsi="Arial" w:cs="Arial"/>
        </w:rPr>
        <w:lastRenderedPageBreak/>
        <w:t>is also entitled to service in terms of the rule, may have in the property</w:t>
      </w:r>
      <w:r w:rsidR="00C17AEB">
        <w:rPr>
          <w:rFonts w:ascii="Arial" w:hAnsi="Arial" w:cs="Arial"/>
        </w:rPr>
        <w:t xml:space="preserve"> sought to be so declared</w:t>
      </w:r>
      <w:r w:rsidR="00D23007" w:rsidRPr="00894A7A">
        <w:rPr>
          <w:rFonts w:ascii="Arial" w:hAnsi="Arial" w:cs="Arial"/>
        </w:rPr>
        <w:t>.</w:t>
      </w:r>
    </w:p>
    <w:p w14:paraId="053BC026" w14:textId="77777777" w:rsidR="00D23007" w:rsidRPr="00894A7A" w:rsidRDefault="00D23007" w:rsidP="00894A7A">
      <w:pPr>
        <w:spacing w:line="360" w:lineRule="auto"/>
        <w:jc w:val="both"/>
        <w:rPr>
          <w:rFonts w:ascii="Arial" w:hAnsi="Arial" w:cs="Arial"/>
        </w:rPr>
      </w:pPr>
    </w:p>
    <w:p w14:paraId="32B3C4DA" w14:textId="06A93F71" w:rsidR="00F01DDC" w:rsidRPr="00894A7A" w:rsidRDefault="00D81345" w:rsidP="00894A7A">
      <w:pPr>
        <w:spacing w:line="360" w:lineRule="auto"/>
        <w:jc w:val="both"/>
        <w:rPr>
          <w:rFonts w:ascii="Arial" w:hAnsi="Arial" w:cs="Arial"/>
        </w:rPr>
      </w:pPr>
      <w:r>
        <w:rPr>
          <w:rFonts w:ascii="Arial" w:hAnsi="Arial" w:cs="Arial"/>
        </w:rPr>
        <w:t>[14</w:t>
      </w:r>
      <w:r w:rsidR="00D23007" w:rsidRPr="00894A7A">
        <w:rPr>
          <w:rFonts w:ascii="Arial" w:hAnsi="Arial" w:cs="Arial"/>
        </w:rPr>
        <w:t>]</w:t>
      </w:r>
      <w:r w:rsidR="00D23007" w:rsidRPr="00894A7A">
        <w:rPr>
          <w:rFonts w:ascii="Arial" w:hAnsi="Arial" w:cs="Arial"/>
        </w:rPr>
        <w:tab/>
        <w:t>In this particular matter, it is clear that Mrs. McNab, the 2</w:t>
      </w:r>
      <w:r w:rsidR="00D23007" w:rsidRPr="00894A7A">
        <w:rPr>
          <w:rFonts w:ascii="Arial" w:hAnsi="Arial" w:cs="Arial"/>
          <w:vertAlign w:val="superscript"/>
        </w:rPr>
        <w:t>nd</w:t>
      </w:r>
      <w:r w:rsidR="00D23007" w:rsidRPr="00894A7A">
        <w:rPr>
          <w:rFonts w:ascii="Arial" w:hAnsi="Arial" w:cs="Arial"/>
        </w:rPr>
        <w:t xml:space="preserve"> respondent’s wife, who is, according to the papers, married to him in community of property, was not served with the application and this is fatal to the granting of the application to have the property declared </w:t>
      </w:r>
      <w:proofErr w:type="gramStart"/>
      <w:r w:rsidR="00D23007" w:rsidRPr="00894A7A">
        <w:rPr>
          <w:rFonts w:ascii="Arial" w:hAnsi="Arial" w:cs="Arial"/>
        </w:rPr>
        <w:t>specially</w:t>
      </w:r>
      <w:proofErr w:type="gramEnd"/>
      <w:r w:rsidR="00D23007" w:rsidRPr="00894A7A">
        <w:rPr>
          <w:rFonts w:ascii="Arial" w:hAnsi="Arial" w:cs="Arial"/>
        </w:rPr>
        <w:t xml:space="preserve"> executable. By so saying, I must not be understood to mean that the application should necessarily be dismissed therefor. </w:t>
      </w:r>
    </w:p>
    <w:p w14:paraId="36033675" w14:textId="77777777" w:rsidR="001B5DCD" w:rsidRPr="00894A7A" w:rsidRDefault="001B5DCD" w:rsidP="00894A7A">
      <w:pPr>
        <w:spacing w:line="360" w:lineRule="auto"/>
        <w:jc w:val="both"/>
        <w:rPr>
          <w:rFonts w:ascii="Arial" w:hAnsi="Arial" w:cs="Arial"/>
        </w:rPr>
      </w:pPr>
    </w:p>
    <w:p w14:paraId="60471C96" w14:textId="276E24EB" w:rsidR="00D23007" w:rsidRPr="00894A7A" w:rsidRDefault="00D81345" w:rsidP="00894A7A">
      <w:pPr>
        <w:spacing w:line="360" w:lineRule="auto"/>
        <w:jc w:val="both"/>
        <w:rPr>
          <w:rFonts w:ascii="Arial" w:hAnsi="Arial" w:cs="Arial"/>
        </w:rPr>
      </w:pPr>
      <w:r>
        <w:rPr>
          <w:rFonts w:ascii="Arial" w:hAnsi="Arial" w:cs="Arial"/>
        </w:rPr>
        <w:t>[15</w:t>
      </w:r>
      <w:r w:rsidR="00F01DDC" w:rsidRPr="00894A7A">
        <w:rPr>
          <w:rFonts w:ascii="Arial" w:hAnsi="Arial" w:cs="Arial"/>
        </w:rPr>
        <w:t>]</w:t>
      </w:r>
      <w:r w:rsidR="00F01DDC" w:rsidRPr="00894A7A">
        <w:rPr>
          <w:rFonts w:ascii="Arial" w:hAnsi="Arial" w:cs="Arial"/>
        </w:rPr>
        <w:tab/>
        <w:t>It is clear that Mrs. McNab has an interest in the property as a spouse married in community of property and she must not be denied the opportunity to make her own representations, which may be separate and distinct from those of the 2</w:t>
      </w:r>
      <w:r w:rsidR="00F01DDC" w:rsidRPr="00894A7A">
        <w:rPr>
          <w:rFonts w:ascii="Arial" w:hAnsi="Arial" w:cs="Arial"/>
          <w:vertAlign w:val="superscript"/>
        </w:rPr>
        <w:t>nd</w:t>
      </w:r>
      <w:r w:rsidR="00F01DDC" w:rsidRPr="00894A7A">
        <w:rPr>
          <w:rFonts w:ascii="Arial" w:hAnsi="Arial" w:cs="Arial"/>
        </w:rPr>
        <w:t xml:space="preserve"> respondent</w:t>
      </w:r>
      <w:r w:rsidR="00EA0B23">
        <w:rPr>
          <w:rFonts w:ascii="Arial" w:hAnsi="Arial" w:cs="Arial"/>
        </w:rPr>
        <w:t>,</w:t>
      </w:r>
      <w:r w:rsidR="00F01DDC" w:rsidRPr="00894A7A">
        <w:rPr>
          <w:rFonts w:ascii="Arial" w:hAnsi="Arial" w:cs="Arial"/>
        </w:rPr>
        <w:t xml:space="preserve"> as her position may be quite peculiar. It is not correct that she be tarred with the same brush as her husband</w:t>
      </w:r>
      <w:r w:rsidR="00EA0B23">
        <w:rPr>
          <w:rFonts w:ascii="Arial" w:hAnsi="Arial" w:cs="Arial"/>
        </w:rPr>
        <w:t xml:space="preserve"> or that personal service upon her husband should be regarded as good as service upon her as well</w:t>
      </w:r>
      <w:r w:rsidR="00F01DDC" w:rsidRPr="00894A7A">
        <w:rPr>
          <w:rFonts w:ascii="Arial" w:hAnsi="Arial" w:cs="Arial"/>
        </w:rPr>
        <w:t>.</w:t>
      </w:r>
    </w:p>
    <w:p w14:paraId="780BD9DD" w14:textId="77777777" w:rsidR="00F01DDC" w:rsidRPr="00894A7A" w:rsidRDefault="00F01DDC" w:rsidP="00894A7A">
      <w:pPr>
        <w:spacing w:line="360" w:lineRule="auto"/>
        <w:jc w:val="both"/>
        <w:rPr>
          <w:rFonts w:ascii="Arial" w:hAnsi="Arial" w:cs="Arial"/>
        </w:rPr>
      </w:pPr>
    </w:p>
    <w:p w14:paraId="3B440F3E" w14:textId="478B15ED" w:rsidR="00F01DDC" w:rsidRPr="00894A7A" w:rsidRDefault="00D81345" w:rsidP="00894A7A">
      <w:pPr>
        <w:spacing w:line="360" w:lineRule="auto"/>
        <w:jc w:val="both"/>
        <w:rPr>
          <w:rFonts w:ascii="Arial" w:hAnsi="Arial" w:cs="Arial"/>
          <w:i/>
        </w:rPr>
      </w:pPr>
      <w:r>
        <w:rPr>
          <w:rFonts w:ascii="Arial" w:hAnsi="Arial" w:cs="Arial"/>
        </w:rPr>
        <w:t>[16</w:t>
      </w:r>
      <w:r w:rsidR="00F01DDC" w:rsidRPr="00894A7A">
        <w:rPr>
          <w:rFonts w:ascii="Arial" w:hAnsi="Arial" w:cs="Arial"/>
        </w:rPr>
        <w:t>]</w:t>
      </w:r>
      <w:r w:rsidR="00F01DDC" w:rsidRPr="00894A7A">
        <w:rPr>
          <w:rFonts w:ascii="Arial" w:hAnsi="Arial" w:cs="Arial"/>
        </w:rPr>
        <w:tab/>
        <w:t>Service of the application on her would have other advantages as well. It could afford her a proper opportunity to invoke</w:t>
      </w:r>
      <w:r>
        <w:rPr>
          <w:rFonts w:ascii="Arial" w:hAnsi="Arial" w:cs="Arial"/>
        </w:rPr>
        <w:t xml:space="preserve"> whatever defences she has, including</w:t>
      </w:r>
      <w:r w:rsidR="00F01DDC" w:rsidRPr="00894A7A">
        <w:rPr>
          <w:rFonts w:ascii="Arial" w:hAnsi="Arial" w:cs="Arial"/>
        </w:rPr>
        <w:t xml:space="preserve"> the provisions of the Married Persons Equality Act. I say so recognising the argument raised on behalf of the applicant, namely that the court is not entitled to </w:t>
      </w:r>
      <w:r>
        <w:rPr>
          <w:rFonts w:ascii="Arial" w:hAnsi="Arial" w:cs="Arial"/>
        </w:rPr>
        <w:t xml:space="preserve">have </w:t>
      </w:r>
      <w:r w:rsidR="00F01DDC" w:rsidRPr="00894A7A">
        <w:rPr>
          <w:rFonts w:ascii="Arial" w:hAnsi="Arial" w:cs="Arial"/>
        </w:rPr>
        <w:t>raise</w:t>
      </w:r>
      <w:r>
        <w:rPr>
          <w:rFonts w:ascii="Arial" w:hAnsi="Arial" w:cs="Arial"/>
        </w:rPr>
        <w:t>d</w:t>
      </w:r>
      <w:r w:rsidR="00F01DDC" w:rsidRPr="00894A7A">
        <w:rPr>
          <w:rFonts w:ascii="Arial" w:hAnsi="Arial" w:cs="Arial"/>
        </w:rPr>
        <w:t xml:space="preserve"> the issue of the applicability of the</w:t>
      </w:r>
      <w:r w:rsidR="00EA0B23">
        <w:rPr>
          <w:rFonts w:ascii="Arial" w:hAnsi="Arial" w:cs="Arial"/>
        </w:rPr>
        <w:t xml:space="preserve"> said</w:t>
      </w:r>
      <w:r w:rsidR="00F01DDC" w:rsidRPr="00894A7A">
        <w:rPr>
          <w:rFonts w:ascii="Arial" w:hAnsi="Arial" w:cs="Arial"/>
        </w:rPr>
        <w:t xml:space="preserve"> Act </w:t>
      </w:r>
      <w:r w:rsidR="00F01DDC" w:rsidRPr="00894A7A">
        <w:rPr>
          <w:rFonts w:ascii="Arial" w:hAnsi="Arial" w:cs="Arial"/>
          <w:i/>
        </w:rPr>
        <w:t>mero motu.</w:t>
      </w:r>
    </w:p>
    <w:p w14:paraId="6AFB67CC" w14:textId="77777777" w:rsidR="00F01DDC" w:rsidRPr="00894A7A" w:rsidRDefault="00F01DDC" w:rsidP="00894A7A">
      <w:pPr>
        <w:spacing w:line="360" w:lineRule="auto"/>
        <w:jc w:val="both"/>
        <w:rPr>
          <w:rFonts w:ascii="Arial" w:hAnsi="Arial" w:cs="Arial"/>
          <w:i/>
        </w:rPr>
      </w:pPr>
    </w:p>
    <w:p w14:paraId="61C05D92" w14:textId="0298C850" w:rsidR="00F01DDC" w:rsidRPr="00894A7A" w:rsidRDefault="00D81345" w:rsidP="00894A7A">
      <w:pPr>
        <w:spacing w:line="360" w:lineRule="auto"/>
        <w:jc w:val="both"/>
        <w:rPr>
          <w:rFonts w:ascii="Arial" w:hAnsi="Arial" w:cs="Arial"/>
        </w:rPr>
      </w:pPr>
      <w:r>
        <w:rPr>
          <w:rFonts w:ascii="Arial" w:hAnsi="Arial" w:cs="Arial"/>
        </w:rPr>
        <w:t>[17</w:t>
      </w:r>
      <w:r w:rsidR="00F01DDC" w:rsidRPr="00894A7A">
        <w:rPr>
          <w:rFonts w:ascii="Arial" w:hAnsi="Arial" w:cs="Arial"/>
        </w:rPr>
        <w:t>]</w:t>
      </w:r>
      <w:r w:rsidR="00F01DDC" w:rsidRPr="00894A7A">
        <w:rPr>
          <w:rFonts w:ascii="Arial" w:hAnsi="Arial" w:cs="Arial"/>
        </w:rPr>
        <w:tab/>
        <w:t xml:space="preserve">In this regard, Ms. Campbell directed the attention of the court to the writings of </w:t>
      </w:r>
      <w:proofErr w:type="spellStart"/>
      <w:r w:rsidR="00F01DDC" w:rsidRPr="00894A7A">
        <w:rPr>
          <w:rFonts w:ascii="Arial" w:hAnsi="Arial" w:cs="Arial"/>
        </w:rPr>
        <w:t>Voet</w:t>
      </w:r>
      <w:proofErr w:type="spellEnd"/>
      <w:r w:rsidR="00F01DDC" w:rsidRPr="00894A7A">
        <w:rPr>
          <w:rFonts w:ascii="Arial" w:hAnsi="Arial" w:cs="Arial"/>
        </w:rPr>
        <w:t xml:space="preserve"> as quoted in </w:t>
      </w:r>
      <w:r w:rsidR="00F01DDC" w:rsidRPr="00894A7A">
        <w:rPr>
          <w:rFonts w:ascii="Arial" w:hAnsi="Arial" w:cs="Arial"/>
          <w:i/>
        </w:rPr>
        <w:t>Director of Hospital S</w:t>
      </w:r>
      <w:r w:rsidR="001B5DCD" w:rsidRPr="00894A7A">
        <w:rPr>
          <w:rFonts w:ascii="Arial" w:hAnsi="Arial" w:cs="Arial"/>
          <w:i/>
        </w:rPr>
        <w:t>e</w:t>
      </w:r>
      <w:r w:rsidR="00F01DDC" w:rsidRPr="00894A7A">
        <w:rPr>
          <w:rFonts w:ascii="Arial" w:hAnsi="Arial" w:cs="Arial"/>
          <w:i/>
        </w:rPr>
        <w:t>rvices v Mistry</w:t>
      </w:r>
      <w:r w:rsidR="00F01DDC" w:rsidRPr="00894A7A">
        <w:rPr>
          <w:rStyle w:val="FootnoteReference"/>
          <w:rFonts w:ascii="Arial" w:hAnsi="Arial" w:cs="Arial"/>
          <w:i/>
        </w:rPr>
        <w:footnoteReference w:id="1"/>
      </w:r>
      <w:r w:rsidR="00F01DDC" w:rsidRPr="00894A7A">
        <w:rPr>
          <w:rFonts w:ascii="Arial" w:hAnsi="Arial" w:cs="Arial"/>
          <w:i/>
        </w:rPr>
        <w:t xml:space="preserve">, </w:t>
      </w:r>
      <w:r w:rsidR="00F01DDC" w:rsidRPr="00894A7A">
        <w:rPr>
          <w:rFonts w:ascii="Arial" w:hAnsi="Arial" w:cs="Arial"/>
        </w:rPr>
        <w:t>where the court stated that in civil proceedings, the court must decide matters on the issues or disputes raised by the parties and not further.</w:t>
      </w:r>
    </w:p>
    <w:p w14:paraId="11E56E9D" w14:textId="77777777" w:rsidR="00F01DDC" w:rsidRPr="00894A7A" w:rsidRDefault="00F01DDC" w:rsidP="00894A7A">
      <w:pPr>
        <w:spacing w:line="360" w:lineRule="auto"/>
        <w:jc w:val="both"/>
        <w:rPr>
          <w:rFonts w:ascii="Arial" w:hAnsi="Arial" w:cs="Arial"/>
        </w:rPr>
      </w:pPr>
    </w:p>
    <w:p w14:paraId="46D86A78" w14:textId="28AE90A4" w:rsidR="00F01DDC" w:rsidRPr="00894A7A" w:rsidRDefault="00D81345" w:rsidP="00894A7A">
      <w:pPr>
        <w:spacing w:line="360" w:lineRule="auto"/>
        <w:jc w:val="both"/>
        <w:rPr>
          <w:rFonts w:ascii="Arial" w:hAnsi="Arial" w:cs="Arial"/>
        </w:rPr>
      </w:pPr>
      <w:r>
        <w:rPr>
          <w:rFonts w:ascii="Arial" w:hAnsi="Arial" w:cs="Arial"/>
        </w:rPr>
        <w:t>[18</w:t>
      </w:r>
      <w:r w:rsidR="00F01DDC" w:rsidRPr="00894A7A">
        <w:rPr>
          <w:rFonts w:ascii="Arial" w:hAnsi="Arial" w:cs="Arial"/>
        </w:rPr>
        <w:t>]</w:t>
      </w:r>
      <w:r w:rsidR="00F01DDC" w:rsidRPr="00894A7A">
        <w:rPr>
          <w:rFonts w:ascii="Arial" w:hAnsi="Arial" w:cs="Arial"/>
        </w:rPr>
        <w:tab/>
        <w:t>This is very good authority in certain circumsta</w:t>
      </w:r>
      <w:r w:rsidR="001B5DCD" w:rsidRPr="00894A7A">
        <w:rPr>
          <w:rFonts w:ascii="Arial" w:hAnsi="Arial" w:cs="Arial"/>
        </w:rPr>
        <w:t xml:space="preserve">nces, this one explicitly </w:t>
      </w:r>
      <w:r>
        <w:rPr>
          <w:rFonts w:ascii="Arial" w:hAnsi="Arial" w:cs="Arial"/>
        </w:rPr>
        <w:t>ex</w:t>
      </w:r>
      <w:r w:rsidR="00E84596" w:rsidRPr="00E84596">
        <w:rPr>
          <w:rFonts w:ascii="Arial" w:hAnsi="Arial" w:cs="Arial"/>
        </w:rPr>
        <w:t>cepted</w:t>
      </w:r>
      <w:r w:rsidR="00F01DDC" w:rsidRPr="00894A7A">
        <w:rPr>
          <w:rFonts w:ascii="Arial" w:hAnsi="Arial" w:cs="Arial"/>
        </w:rPr>
        <w:t xml:space="preserve"> in my view. First, the court did not breach the notorious </w:t>
      </w:r>
      <w:r w:rsidR="00F01DDC" w:rsidRPr="00894A7A">
        <w:rPr>
          <w:rFonts w:ascii="Arial" w:hAnsi="Arial" w:cs="Arial"/>
          <w:i/>
        </w:rPr>
        <w:t xml:space="preserve">Kauesa </w:t>
      </w:r>
      <w:r w:rsidR="00F01DDC" w:rsidRPr="00894A7A">
        <w:rPr>
          <w:rFonts w:ascii="Arial" w:hAnsi="Arial" w:cs="Arial"/>
        </w:rPr>
        <w:t xml:space="preserve">principle in this matter. The court drew the </w:t>
      </w:r>
      <w:r w:rsidR="00684F29" w:rsidRPr="00894A7A">
        <w:rPr>
          <w:rFonts w:ascii="Arial" w:hAnsi="Arial" w:cs="Arial"/>
        </w:rPr>
        <w:t>parties’</w:t>
      </w:r>
      <w:r w:rsidR="00F01DDC" w:rsidRPr="00894A7A">
        <w:rPr>
          <w:rFonts w:ascii="Arial" w:hAnsi="Arial" w:cs="Arial"/>
        </w:rPr>
        <w:t xml:space="preserve"> attention to the possible </w:t>
      </w:r>
      <w:r w:rsidR="00F01DDC" w:rsidRPr="00894A7A">
        <w:rPr>
          <w:rFonts w:ascii="Arial" w:hAnsi="Arial" w:cs="Arial"/>
        </w:rPr>
        <w:lastRenderedPageBreak/>
        <w:t>applicability of the Act and requested them to make representations. Secondly, the issue raised by the court is a question of law</w:t>
      </w:r>
      <w:r>
        <w:rPr>
          <w:rFonts w:ascii="Arial" w:hAnsi="Arial" w:cs="Arial"/>
        </w:rPr>
        <w:t>. It arises from a legislative enactment promulgated</w:t>
      </w:r>
      <w:r w:rsidR="00ED4458" w:rsidRPr="00894A7A">
        <w:rPr>
          <w:rFonts w:ascii="Arial" w:hAnsi="Arial" w:cs="Arial"/>
        </w:rPr>
        <w:t xml:space="preserve"> for good purposes and the court may not in good or any other conscience, for that matter, deliberately close its eyes to it and hide behind the façade that the matter was not raised by the parties. Abdication of responsibility should not be an option</w:t>
      </w:r>
      <w:r w:rsidR="001B5DCD" w:rsidRPr="00894A7A">
        <w:rPr>
          <w:rFonts w:ascii="Arial" w:hAnsi="Arial" w:cs="Arial"/>
        </w:rPr>
        <w:t xml:space="preserve"> that must be associated </w:t>
      </w:r>
      <w:r w:rsidR="002B4C51">
        <w:rPr>
          <w:rFonts w:ascii="Arial" w:hAnsi="Arial" w:cs="Arial"/>
        </w:rPr>
        <w:t>with this court and no reason</w:t>
      </w:r>
      <w:r w:rsidR="001B5DCD" w:rsidRPr="00894A7A">
        <w:rPr>
          <w:rFonts w:ascii="Arial" w:hAnsi="Arial" w:cs="Arial"/>
        </w:rPr>
        <w:t xml:space="preserve"> good enough has been proffered for the court to abdicate its constitutional duty</w:t>
      </w:r>
      <w:r>
        <w:rPr>
          <w:rFonts w:ascii="Arial" w:hAnsi="Arial" w:cs="Arial"/>
        </w:rPr>
        <w:t xml:space="preserve"> in this regard</w:t>
      </w:r>
      <w:r w:rsidR="00ED4458" w:rsidRPr="00894A7A">
        <w:rPr>
          <w:rFonts w:ascii="Arial" w:hAnsi="Arial" w:cs="Arial"/>
        </w:rPr>
        <w:t>.</w:t>
      </w:r>
    </w:p>
    <w:p w14:paraId="344CE49F" w14:textId="77777777" w:rsidR="001B5DCD" w:rsidRDefault="001B5DCD" w:rsidP="00894A7A">
      <w:pPr>
        <w:spacing w:line="360" w:lineRule="auto"/>
        <w:jc w:val="both"/>
        <w:rPr>
          <w:rFonts w:ascii="Arial" w:hAnsi="Arial" w:cs="Arial"/>
        </w:rPr>
      </w:pPr>
    </w:p>
    <w:p w14:paraId="03A93C4B" w14:textId="17B7BF16" w:rsidR="00D42DBA" w:rsidRDefault="00D42DBA" w:rsidP="00894A7A">
      <w:pPr>
        <w:spacing w:line="360" w:lineRule="auto"/>
        <w:jc w:val="both"/>
        <w:rPr>
          <w:rFonts w:ascii="Arial" w:hAnsi="Arial" w:cs="Arial"/>
          <w:u w:val="single"/>
        </w:rPr>
      </w:pPr>
      <w:r>
        <w:rPr>
          <w:rFonts w:ascii="Arial" w:hAnsi="Arial" w:cs="Arial"/>
          <w:u w:val="single"/>
        </w:rPr>
        <w:t>The merits</w:t>
      </w:r>
    </w:p>
    <w:p w14:paraId="0E7ACA83" w14:textId="77777777" w:rsidR="00D42DBA" w:rsidRPr="00D42DBA" w:rsidRDefault="00D42DBA" w:rsidP="00894A7A">
      <w:pPr>
        <w:spacing w:line="360" w:lineRule="auto"/>
        <w:jc w:val="both"/>
        <w:rPr>
          <w:rFonts w:ascii="Arial" w:hAnsi="Arial" w:cs="Arial"/>
          <w:u w:val="single"/>
        </w:rPr>
      </w:pPr>
    </w:p>
    <w:p w14:paraId="04EB717F" w14:textId="19581886" w:rsidR="001B5DCD" w:rsidRPr="00894A7A" w:rsidRDefault="00D81345" w:rsidP="00894A7A">
      <w:pPr>
        <w:spacing w:line="360" w:lineRule="auto"/>
        <w:jc w:val="both"/>
        <w:rPr>
          <w:rFonts w:ascii="Arial" w:hAnsi="Arial" w:cs="Arial"/>
        </w:rPr>
      </w:pPr>
      <w:r>
        <w:rPr>
          <w:rFonts w:ascii="Arial" w:hAnsi="Arial" w:cs="Arial"/>
        </w:rPr>
        <w:t>[</w:t>
      </w:r>
      <w:r w:rsidR="00C223DB" w:rsidRPr="00894A7A">
        <w:rPr>
          <w:rFonts w:ascii="Arial" w:hAnsi="Arial" w:cs="Arial"/>
        </w:rPr>
        <w:t>1</w:t>
      </w:r>
      <w:r>
        <w:rPr>
          <w:rFonts w:ascii="Arial" w:hAnsi="Arial" w:cs="Arial"/>
        </w:rPr>
        <w:t>9</w:t>
      </w:r>
      <w:r w:rsidR="001B5DCD" w:rsidRPr="00894A7A">
        <w:rPr>
          <w:rFonts w:ascii="Arial" w:hAnsi="Arial" w:cs="Arial"/>
        </w:rPr>
        <w:t>]</w:t>
      </w:r>
      <w:r w:rsidR="001B5DCD" w:rsidRPr="00894A7A">
        <w:rPr>
          <w:rFonts w:ascii="Arial" w:hAnsi="Arial" w:cs="Arial"/>
        </w:rPr>
        <w:tab/>
        <w:t xml:space="preserve">I must also mention that over and above the issues </w:t>
      </w:r>
      <w:r w:rsidR="00D42DBA">
        <w:rPr>
          <w:rFonts w:ascii="Arial" w:hAnsi="Arial" w:cs="Arial"/>
        </w:rPr>
        <w:t xml:space="preserve">already </w:t>
      </w:r>
      <w:r w:rsidR="001B5DCD" w:rsidRPr="00894A7A">
        <w:rPr>
          <w:rFonts w:ascii="Arial" w:hAnsi="Arial" w:cs="Arial"/>
        </w:rPr>
        <w:t>adverted to in this judgment, I expressed certain reservation</w:t>
      </w:r>
      <w:r w:rsidR="000E4E80">
        <w:rPr>
          <w:rFonts w:ascii="Arial" w:hAnsi="Arial" w:cs="Arial"/>
        </w:rPr>
        <w:t>s</w:t>
      </w:r>
      <w:r w:rsidR="001B5DCD" w:rsidRPr="00894A7A">
        <w:rPr>
          <w:rFonts w:ascii="Arial" w:hAnsi="Arial" w:cs="Arial"/>
        </w:rPr>
        <w:t xml:space="preserve"> to the parties’ representatives about the propriety of bringing the application especially in view of the amount sought to</w:t>
      </w:r>
      <w:r w:rsidR="000E4E80">
        <w:rPr>
          <w:rFonts w:ascii="Arial" w:hAnsi="Arial" w:cs="Arial"/>
        </w:rPr>
        <w:t xml:space="preserve"> be</w:t>
      </w:r>
      <w:r w:rsidR="001B5DCD" w:rsidRPr="00894A7A">
        <w:rPr>
          <w:rFonts w:ascii="Arial" w:hAnsi="Arial" w:cs="Arial"/>
        </w:rPr>
        <w:t xml:space="preserve"> satisfied by this extremely serious and devastating procedure. The amount owed, as one will have seen</w:t>
      </w:r>
      <w:r>
        <w:rPr>
          <w:rFonts w:ascii="Arial" w:hAnsi="Arial" w:cs="Arial"/>
        </w:rPr>
        <w:t xml:space="preserve"> in the earlier paragraphs</w:t>
      </w:r>
      <w:r w:rsidR="00D42DBA">
        <w:rPr>
          <w:rFonts w:ascii="Arial" w:hAnsi="Arial" w:cs="Arial"/>
        </w:rPr>
        <w:t xml:space="preserve"> of this judgment</w:t>
      </w:r>
      <w:r w:rsidR="001B5DCD" w:rsidRPr="00894A7A">
        <w:rPr>
          <w:rFonts w:ascii="Arial" w:hAnsi="Arial" w:cs="Arial"/>
        </w:rPr>
        <w:t xml:space="preserve">, is only N$ 49 332. 22. </w:t>
      </w:r>
    </w:p>
    <w:p w14:paraId="5B9552A8" w14:textId="77777777" w:rsidR="001B5DCD" w:rsidRPr="00894A7A" w:rsidRDefault="001B5DCD" w:rsidP="00894A7A">
      <w:pPr>
        <w:spacing w:line="360" w:lineRule="auto"/>
        <w:jc w:val="both"/>
        <w:rPr>
          <w:rFonts w:ascii="Arial" w:hAnsi="Arial" w:cs="Arial"/>
        </w:rPr>
      </w:pPr>
    </w:p>
    <w:p w14:paraId="730B3144" w14:textId="1E8DB793" w:rsidR="001B5DCD" w:rsidRPr="00894A7A" w:rsidRDefault="00D81345" w:rsidP="00894A7A">
      <w:pPr>
        <w:spacing w:line="360" w:lineRule="auto"/>
        <w:jc w:val="both"/>
        <w:rPr>
          <w:rFonts w:ascii="Arial" w:hAnsi="Arial" w:cs="Arial"/>
        </w:rPr>
      </w:pPr>
      <w:r>
        <w:rPr>
          <w:rFonts w:ascii="Arial" w:hAnsi="Arial" w:cs="Arial"/>
        </w:rPr>
        <w:t>[20</w:t>
      </w:r>
      <w:r w:rsidR="001B5DCD" w:rsidRPr="00894A7A">
        <w:rPr>
          <w:rFonts w:ascii="Arial" w:hAnsi="Arial" w:cs="Arial"/>
        </w:rPr>
        <w:t>]</w:t>
      </w:r>
      <w:r w:rsidR="001B5DCD" w:rsidRPr="00894A7A">
        <w:rPr>
          <w:rFonts w:ascii="Arial" w:hAnsi="Arial" w:cs="Arial"/>
        </w:rPr>
        <w:tab/>
        <w:t>The question is whether the amount owed</w:t>
      </w:r>
      <w:r w:rsidR="0064457E" w:rsidRPr="00894A7A">
        <w:rPr>
          <w:rFonts w:ascii="Arial" w:hAnsi="Arial" w:cs="Arial"/>
        </w:rPr>
        <w:t xml:space="preserve">, being even less than N$ 50 000, </w:t>
      </w:r>
      <w:r w:rsidR="001B5DCD" w:rsidRPr="00894A7A">
        <w:rPr>
          <w:rFonts w:ascii="Arial" w:hAnsi="Arial" w:cs="Arial"/>
        </w:rPr>
        <w:t xml:space="preserve">would justify the </w:t>
      </w:r>
      <w:r w:rsidR="0064457E" w:rsidRPr="00894A7A">
        <w:rPr>
          <w:rFonts w:ascii="Arial" w:hAnsi="Arial" w:cs="Arial"/>
        </w:rPr>
        <w:t>invocation of such a serious procedure</w:t>
      </w:r>
      <w:r>
        <w:rPr>
          <w:rFonts w:ascii="Arial" w:hAnsi="Arial" w:cs="Arial"/>
        </w:rPr>
        <w:t>, which carries in its bosom</w:t>
      </w:r>
      <w:r w:rsidR="0064457E" w:rsidRPr="00894A7A">
        <w:rPr>
          <w:rFonts w:ascii="Arial" w:hAnsi="Arial" w:cs="Arial"/>
        </w:rPr>
        <w:t xml:space="preserve"> such final and</w:t>
      </w:r>
      <w:r w:rsidR="001B5DCD" w:rsidRPr="00894A7A">
        <w:rPr>
          <w:rFonts w:ascii="Arial" w:hAnsi="Arial" w:cs="Arial"/>
        </w:rPr>
        <w:t xml:space="preserve"> debilitating</w:t>
      </w:r>
      <w:r w:rsidR="0064457E" w:rsidRPr="00894A7A">
        <w:rPr>
          <w:rFonts w:ascii="Arial" w:hAnsi="Arial" w:cs="Arial"/>
        </w:rPr>
        <w:t xml:space="preserve"> consequences</w:t>
      </w:r>
      <w:r w:rsidR="00D42DBA">
        <w:rPr>
          <w:rFonts w:ascii="Arial" w:hAnsi="Arial" w:cs="Arial"/>
        </w:rPr>
        <w:t xml:space="preserve"> as loss of a place of abode</w:t>
      </w:r>
      <w:r w:rsidR="0064457E" w:rsidRPr="00894A7A">
        <w:rPr>
          <w:rFonts w:ascii="Arial" w:hAnsi="Arial" w:cs="Arial"/>
        </w:rPr>
        <w:t xml:space="preserve">? If the court were to grant the application in this case, would that not be tantamount to defeating the legislative </w:t>
      </w:r>
      <w:r w:rsidR="00684F29" w:rsidRPr="00894A7A">
        <w:rPr>
          <w:rFonts w:ascii="Arial" w:hAnsi="Arial" w:cs="Arial"/>
        </w:rPr>
        <w:t>solicitudes, which</w:t>
      </w:r>
      <w:r w:rsidR="00D42DBA">
        <w:rPr>
          <w:rFonts w:ascii="Arial" w:hAnsi="Arial" w:cs="Arial"/>
        </w:rPr>
        <w:t xml:space="preserve"> birthed the</w:t>
      </w:r>
      <w:r w:rsidR="0064457E" w:rsidRPr="00894A7A">
        <w:rPr>
          <w:rFonts w:ascii="Arial" w:hAnsi="Arial" w:cs="Arial"/>
        </w:rPr>
        <w:t xml:space="preserve"> provisions</w:t>
      </w:r>
      <w:r>
        <w:rPr>
          <w:rFonts w:ascii="Arial" w:hAnsi="Arial" w:cs="Arial"/>
        </w:rPr>
        <w:t xml:space="preserve"> granting the court a measure of </w:t>
      </w:r>
      <w:r w:rsidR="00D42DBA">
        <w:rPr>
          <w:rFonts w:ascii="Arial" w:hAnsi="Arial" w:cs="Arial"/>
        </w:rPr>
        <w:t xml:space="preserve">judicial </w:t>
      </w:r>
      <w:r>
        <w:rPr>
          <w:rFonts w:ascii="Arial" w:hAnsi="Arial" w:cs="Arial"/>
        </w:rPr>
        <w:t xml:space="preserve">oversight in the </w:t>
      </w:r>
      <w:r w:rsidR="00D42DBA">
        <w:rPr>
          <w:rFonts w:ascii="Arial" w:hAnsi="Arial" w:cs="Arial"/>
        </w:rPr>
        <w:t xml:space="preserve">sale in </w:t>
      </w:r>
      <w:r>
        <w:rPr>
          <w:rFonts w:ascii="Arial" w:hAnsi="Arial" w:cs="Arial"/>
        </w:rPr>
        <w:t>execution of immovable property</w:t>
      </w:r>
      <w:r w:rsidR="0064457E" w:rsidRPr="00894A7A">
        <w:rPr>
          <w:rFonts w:ascii="Arial" w:hAnsi="Arial" w:cs="Arial"/>
        </w:rPr>
        <w:t>?</w:t>
      </w:r>
    </w:p>
    <w:p w14:paraId="463374A6" w14:textId="77777777" w:rsidR="0064457E" w:rsidRPr="00894A7A" w:rsidRDefault="0064457E" w:rsidP="00894A7A">
      <w:pPr>
        <w:spacing w:line="360" w:lineRule="auto"/>
        <w:jc w:val="both"/>
        <w:rPr>
          <w:rFonts w:ascii="Arial" w:hAnsi="Arial" w:cs="Arial"/>
        </w:rPr>
      </w:pPr>
    </w:p>
    <w:p w14:paraId="35BD35F8" w14:textId="66797208" w:rsidR="00D81345" w:rsidRDefault="00D81345" w:rsidP="00894A7A">
      <w:pPr>
        <w:spacing w:line="360" w:lineRule="auto"/>
        <w:jc w:val="both"/>
        <w:rPr>
          <w:rFonts w:ascii="Arial" w:hAnsi="Arial" w:cs="Arial"/>
        </w:rPr>
      </w:pPr>
      <w:r>
        <w:rPr>
          <w:rFonts w:ascii="Arial" w:hAnsi="Arial" w:cs="Arial"/>
        </w:rPr>
        <w:t>[21</w:t>
      </w:r>
      <w:r w:rsidR="0064457E" w:rsidRPr="00894A7A">
        <w:rPr>
          <w:rFonts w:ascii="Arial" w:hAnsi="Arial" w:cs="Arial"/>
        </w:rPr>
        <w:t>]</w:t>
      </w:r>
      <w:r w:rsidR="0064457E" w:rsidRPr="00894A7A">
        <w:rPr>
          <w:rFonts w:ascii="Arial" w:hAnsi="Arial" w:cs="Arial"/>
        </w:rPr>
        <w:tab/>
        <w:t xml:space="preserve">I raised the issue with the parties </w:t>
      </w:r>
      <w:r>
        <w:rPr>
          <w:rFonts w:ascii="Arial" w:hAnsi="Arial" w:cs="Arial"/>
        </w:rPr>
        <w:t xml:space="preserve">during argument </w:t>
      </w:r>
      <w:r w:rsidR="0064457E" w:rsidRPr="00894A7A">
        <w:rPr>
          <w:rFonts w:ascii="Arial" w:hAnsi="Arial" w:cs="Arial"/>
        </w:rPr>
        <w:t>as I have said and it became apparent to me that no</w:t>
      </w:r>
      <w:r w:rsidR="0081547A">
        <w:rPr>
          <w:rFonts w:ascii="Arial" w:hAnsi="Arial" w:cs="Arial"/>
        </w:rPr>
        <w:t>t</w:t>
      </w:r>
      <w:r w:rsidR="0064457E" w:rsidRPr="00894A7A">
        <w:rPr>
          <w:rFonts w:ascii="Arial" w:hAnsi="Arial" w:cs="Arial"/>
        </w:rPr>
        <w:t xml:space="preserve"> enough </w:t>
      </w:r>
      <w:r>
        <w:rPr>
          <w:rFonts w:ascii="Arial" w:hAnsi="Arial" w:cs="Arial"/>
        </w:rPr>
        <w:t xml:space="preserve">effort </w:t>
      </w:r>
      <w:r w:rsidR="0064457E" w:rsidRPr="00894A7A">
        <w:rPr>
          <w:rFonts w:ascii="Arial" w:hAnsi="Arial" w:cs="Arial"/>
        </w:rPr>
        <w:t xml:space="preserve">was </w:t>
      </w:r>
      <w:r>
        <w:rPr>
          <w:rFonts w:ascii="Arial" w:hAnsi="Arial" w:cs="Arial"/>
        </w:rPr>
        <w:t xml:space="preserve">expended </w:t>
      </w:r>
      <w:r w:rsidR="0064457E" w:rsidRPr="00894A7A">
        <w:rPr>
          <w:rFonts w:ascii="Arial" w:hAnsi="Arial" w:cs="Arial"/>
        </w:rPr>
        <w:t>to try and resolve the issue of indebtedness</w:t>
      </w:r>
      <w:r w:rsidR="00D42DBA">
        <w:rPr>
          <w:rFonts w:ascii="Arial" w:hAnsi="Arial" w:cs="Arial"/>
        </w:rPr>
        <w:t xml:space="preserve"> and to decide the proper relief to be applied in the panoply availed by the rules of court</w:t>
      </w:r>
      <w:r w:rsidR="0064457E" w:rsidRPr="00894A7A">
        <w:rPr>
          <w:rFonts w:ascii="Arial" w:hAnsi="Arial" w:cs="Arial"/>
        </w:rPr>
        <w:t xml:space="preserve">. </w:t>
      </w:r>
    </w:p>
    <w:p w14:paraId="52895882" w14:textId="77777777" w:rsidR="00D81345" w:rsidRDefault="00D81345" w:rsidP="00894A7A">
      <w:pPr>
        <w:spacing w:line="360" w:lineRule="auto"/>
        <w:jc w:val="both"/>
        <w:rPr>
          <w:rFonts w:ascii="Arial" w:hAnsi="Arial" w:cs="Arial"/>
        </w:rPr>
      </w:pPr>
    </w:p>
    <w:p w14:paraId="393ED9AC" w14:textId="6DF691D3" w:rsidR="0064457E" w:rsidRPr="00894A7A" w:rsidRDefault="00D81345" w:rsidP="00894A7A">
      <w:pPr>
        <w:spacing w:line="360" w:lineRule="auto"/>
        <w:jc w:val="both"/>
        <w:rPr>
          <w:rFonts w:ascii="Arial" w:hAnsi="Arial" w:cs="Arial"/>
        </w:rPr>
      </w:pPr>
      <w:r>
        <w:rPr>
          <w:rFonts w:ascii="Arial" w:hAnsi="Arial" w:cs="Arial"/>
        </w:rPr>
        <w:t>[22]</w:t>
      </w:r>
      <w:r>
        <w:rPr>
          <w:rFonts w:ascii="Arial" w:hAnsi="Arial" w:cs="Arial"/>
        </w:rPr>
        <w:tab/>
      </w:r>
      <w:r w:rsidR="0064457E" w:rsidRPr="00894A7A">
        <w:rPr>
          <w:rFonts w:ascii="Arial" w:hAnsi="Arial" w:cs="Arial"/>
        </w:rPr>
        <w:t>Rule 108 must have appeared to be the knobkerrie that the applicant decided to employ, probably without considering all the pertinent issues. When I raised the issue of payment of the money in instalments, particularly considering that an innocent party, the 2</w:t>
      </w:r>
      <w:r w:rsidR="0064457E" w:rsidRPr="00894A7A">
        <w:rPr>
          <w:rFonts w:ascii="Arial" w:hAnsi="Arial" w:cs="Arial"/>
          <w:vertAlign w:val="superscript"/>
        </w:rPr>
        <w:t>nd</w:t>
      </w:r>
      <w:r w:rsidR="0064457E" w:rsidRPr="00894A7A">
        <w:rPr>
          <w:rFonts w:ascii="Arial" w:hAnsi="Arial" w:cs="Arial"/>
        </w:rPr>
        <w:t xml:space="preserve"> respondent’s wife, who does not </w:t>
      </w:r>
      <w:r w:rsidR="0064457E" w:rsidRPr="00894A7A">
        <w:rPr>
          <w:rFonts w:ascii="Arial" w:hAnsi="Arial" w:cs="Arial"/>
        </w:rPr>
        <w:lastRenderedPageBreak/>
        <w:t>appear to be involved in the business may lose the roof over he</w:t>
      </w:r>
      <w:r w:rsidR="0081547A">
        <w:rPr>
          <w:rFonts w:ascii="Arial" w:hAnsi="Arial" w:cs="Arial"/>
        </w:rPr>
        <w:t>r</w:t>
      </w:r>
      <w:r w:rsidR="0064457E" w:rsidRPr="00894A7A">
        <w:rPr>
          <w:rFonts w:ascii="Arial" w:hAnsi="Arial" w:cs="Arial"/>
        </w:rPr>
        <w:t xml:space="preserve"> head without any contributory action on her part, Ms. Campbell argued that the respondents did not make any offer in that regard.</w:t>
      </w:r>
      <w:r>
        <w:rPr>
          <w:rFonts w:ascii="Arial" w:hAnsi="Arial" w:cs="Arial"/>
        </w:rPr>
        <w:t xml:space="preserve"> I would have expected more from the parties, particularly the officers of the court, who must assist the court in properly applying the judicial oversight mechanisms in such matters.</w:t>
      </w:r>
    </w:p>
    <w:p w14:paraId="7C0D1CA7" w14:textId="77777777" w:rsidR="0064457E" w:rsidRPr="00894A7A" w:rsidRDefault="0064457E" w:rsidP="00894A7A">
      <w:pPr>
        <w:spacing w:line="360" w:lineRule="auto"/>
        <w:jc w:val="both"/>
        <w:rPr>
          <w:rFonts w:ascii="Arial" w:hAnsi="Arial" w:cs="Arial"/>
        </w:rPr>
      </w:pPr>
    </w:p>
    <w:p w14:paraId="29B0EFF8" w14:textId="34F747E0" w:rsidR="00E77BFB" w:rsidRPr="00894A7A" w:rsidRDefault="00D81345" w:rsidP="00894A7A">
      <w:pPr>
        <w:spacing w:line="360" w:lineRule="auto"/>
        <w:jc w:val="both"/>
        <w:rPr>
          <w:rFonts w:ascii="Arial" w:hAnsi="Arial" w:cs="Arial"/>
        </w:rPr>
      </w:pPr>
      <w:r>
        <w:rPr>
          <w:rFonts w:ascii="Arial" w:hAnsi="Arial" w:cs="Arial"/>
        </w:rPr>
        <w:t>[23</w:t>
      </w:r>
      <w:r w:rsidR="0064457E" w:rsidRPr="00894A7A">
        <w:rPr>
          <w:rFonts w:ascii="Arial" w:hAnsi="Arial" w:cs="Arial"/>
        </w:rPr>
        <w:t>]</w:t>
      </w:r>
      <w:r w:rsidR="0064457E" w:rsidRPr="00894A7A">
        <w:rPr>
          <w:rFonts w:ascii="Arial" w:hAnsi="Arial" w:cs="Arial"/>
        </w:rPr>
        <w:tab/>
        <w:t xml:space="preserve">I must caution parties and their legal representatives that although this provision is available to </w:t>
      </w:r>
      <w:r w:rsidR="004426E3">
        <w:rPr>
          <w:rFonts w:ascii="Arial" w:hAnsi="Arial" w:cs="Arial"/>
        </w:rPr>
        <w:t xml:space="preserve">execution </w:t>
      </w:r>
      <w:r w:rsidR="0064457E" w:rsidRPr="00894A7A">
        <w:rPr>
          <w:rFonts w:ascii="Arial" w:hAnsi="Arial" w:cs="Arial"/>
        </w:rPr>
        <w:t xml:space="preserve">creditors, </w:t>
      </w:r>
      <w:r w:rsidR="0081547A">
        <w:rPr>
          <w:rFonts w:ascii="Arial" w:hAnsi="Arial" w:cs="Arial"/>
        </w:rPr>
        <w:t>ru</w:t>
      </w:r>
      <w:r w:rsidR="0064457E" w:rsidRPr="00894A7A">
        <w:rPr>
          <w:rFonts w:ascii="Arial" w:hAnsi="Arial" w:cs="Arial"/>
        </w:rPr>
        <w:t xml:space="preserve">le 108 should be resorted to in appropriate matters, where all else has failed and where the amount owed is </w:t>
      </w:r>
      <w:r w:rsidR="004426E3">
        <w:rPr>
          <w:rFonts w:ascii="Arial" w:hAnsi="Arial" w:cs="Arial"/>
        </w:rPr>
        <w:t xml:space="preserve">from all accounts, </w:t>
      </w:r>
      <w:r w:rsidR="0064457E" w:rsidRPr="00894A7A">
        <w:rPr>
          <w:rFonts w:ascii="Arial" w:hAnsi="Arial" w:cs="Arial"/>
        </w:rPr>
        <w:t xml:space="preserve">staggering. It must not be invoked </w:t>
      </w:r>
      <w:r w:rsidR="00D42DBA">
        <w:rPr>
          <w:rFonts w:ascii="Arial" w:hAnsi="Arial" w:cs="Arial"/>
        </w:rPr>
        <w:t xml:space="preserve">willy-nilly </w:t>
      </w:r>
      <w:r w:rsidR="0064457E" w:rsidRPr="00894A7A">
        <w:rPr>
          <w:rFonts w:ascii="Arial" w:hAnsi="Arial" w:cs="Arial"/>
        </w:rPr>
        <w:t xml:space="preserve">as a weapon of oppression and to induce fear in judgment debtors. It is a procedure to be invoked responsibly and in deserving cases, as I have said, after all that is required by law </w:t>
      </w:r>
      <w:r w:rsidR="004426E3">
        <w:rPr>
          <w:rFonts w:ascii="Arial" w:hAnsi="Arial" w:cs="Arial"/>
        </w:rPr>
        <w:t xml:space="preserve">to execute the judgment, </w:t>
      </w:r>
      <w:r w:rsidR="0064457E" w:rsidRPr="00894A7A">
        <w:rPr>
          <w:rFonts w:ascii="Arial" w:hAnsi="Arial" w:cs="Arial"/>
        </w:rPr>
        <w:t xml:space="preserve">has failed. The overriding objectives of attempting to settle matters without expending </w:t>
      </w:r>
      <w:r w:rsidR="00D42DBA">
        <w:rPr>
          <w:rFonts w:ascii="Arial" w:hAnsi="Arial" w:cs="Arial"/>
        </w:rPr>
        <w:t xml:space="preserve">much </w:t>
      </w:r>
      <w:r w:rsidR="0064457E" w:rsidRPr="00894A7A">
        <w:rPr>
          <w:rFonts w:ascii="Arial" w:hAnsi="Arial" w:cs="Arial"/>
        </w:rPr>
        <w:t>time and finance must be given a very good chance in these matters.</w:t>
      </w:r>
    </w:p>
    <w:p w14:paraId="12440D81" w14:textId="77777777" w:rsidR="00E77BFB" w:rsidRPr="00894A7A" w:rsidRDefault="00E77BFB" w:rsidP="00894A7A">
      <w:pPr>
        <w:spacing w:line="360" w:lineRule="auto"/>
        <w:jc w:val="both"/>
        <w:rPr>
          <w:rFonts w:ascii="Arial" w:hAnsi="Arial" w:cs="Arial"/>
        </w:rPr>
      </w:pPr>
    </w:p>
    <w:p w14:paraId="14804AB2" w14:textId="01161FB6" w:rsidR="0064457E" w:rsidRPr="00894A7A" w:rsidRDefault="00E77BFB" w:rsidP="00894A7A">
      <w:pPr>
        <w:spacing w:line="360" w:lineRule="auto"/>
        <w:jc w:val="both"/>
        <w:rPr>
          <w:rFonts w:ascii="Arial" w:hAnsi="Arial" w:cs="Arial"/>
          <w:u w:val="single"/>
        </w:rPr>
      </w:pPr>
      <w:r w:rsidRPr="00894A7A">
        <w:rPr>
          <w:rFonts w:ascii="Arial" w:hAnsi="Arial" w:cs="Arial"/>
          <w:u w:val="single"/>
        </w:rPr>
        <w:t>Applicability of Rule 32 (9) and (10)</w:t>
      </w:r>
      <w:r w:rsidR="0064457E" w:rsidRPr="00894A7A">
        <w:rPr>
          <w:rFonts w:ascii="Arial" w:hAnsi="Arial" w:cs="Arial"/>
          <w:u w:val="single"/>
        </w:rPr>
        <w:t xml:space="preserve"> </w:t>
      </w:r>
    </w:p>
    <w:p w14:paraId="48CB2C69" w14:textId="77777777" w:rsidR="00E77BFB" w:rsidRPr="00894A7A" w:rsidRDefault="00E77BFB" w:rsidP="00894A7A">
      <w:pPr>
        <w:spacing w:line="360" w:lineRule="auto"/>
        <w:jc w:val="both"/>
        <w:rPr>
          <w:rFonts w:ascii="Arial" w:hAnsi="Arial" w:cs="Arial"/>
          <w:u w:val="single"/>
        </w:rPr>
      </w:pPr>
    </w:p>
    <w:p w14:paraId="298F0886" w14:textId="444B76C9" w:rsidR="00E77BFB" w:rsidRPr="00894A7A" w:rsidRDefault="004426E3" w:rsidP="00894A7A">
      <w:pPr>
        <w:spacing w:line="360" w:lineRule="auto"/>
        <w:jc w:val="both"/>
        <w:rPr>
          <w:rFonts w:ascii="Arial" w:hAnsi="Arial" w:cs="Arial"/>
        </w:rPr>
      </w:pPr>
      <w:r>
        <w:rPr>
          <w:rFonts w:ascii="Arial" w:hAnsi="Arial" w:cs="Arial"/>
        </w:rPr>
        <w:t>[24</w:t>
      </w:r>
      <w:r w:rsidR="00E77BFB" w:rsidRPr="00894A7A">
        <w:rPr>
          <w:rFonts w:ascii="Arial" w:hAnsi="Arial" w:cs="Arial"/>
        </w:rPr>
        <w:t>]</w:t>
      </w:r>
      <w:r w:rsidR="00E77BFB" w:rsidRPr="00894A7A">
        <w:rPr>
          <w:rFonts w:ascii="Arial" w:hAnsi="Arial" w:cs="Arial"/>
        </w:rPr>
        <w:tab/>
        <w:t xml:space="preserve">Mr. </w:t>
      </w:r>
      <w:r w:rsidR="00684F29" w:rsidRPr="00894A7A">
        <w:rPr>
          <w:rFonts w:ascii="Arial" w:hAnsi="Arial" w:cs="Arial"/>
        </w:rPr>
        <w:t>Ravenscroft</w:t>
      </w:r>
      <w:r w:rsidR="00E77BFB" w:rsidRPr="00894A7A">
        <w:rPr>
          <w:rFonts w:ascii="Arial" w:hAnsi="Arial" w:cs="Arial"/>
        </w:rPr>
        <w:t xml:space="preserve">-Jones had another arrow at his disposal. He argued that the applicant had jumped the gun by bringing the rule 108 application </w:t>
      </w:r>
      <w:r w:rsidR="0081547A">
        <w:rPr>
          <w:rFonts w:ascii="Arial" w:hAnsi="Arial" w:cs="Arial"/>
        </w:rPr>
        <w:t>without first complying with</w:t>
      </w:r>
      <w:r w:rsidR="00E77BFB" w:rsidRPr="00894A7A">
        <w:rPr>
          <w:rFonts w:ascii="Arial" w:hAnsi="Arial" w:cs="Arial"/>
        </w:rPr>
        <w:t xml:space="preserve"> rule 32(9) and (10). The above sub rules have recei</w:t>
      </w:r>
      <w:r>
        <w:rPr>
          <w:rFonts w:ascii="Arial" w:hAnsi="Arial" w:cs="Arial"/>
        </w:rPr>
        <w:t>ved very generous comment in numerous</w:t>
      </w:r>
      <w:r w:rsidR="00E77BFB" w:rsidRPr="00894A7A">
        <w:rPr>
          <w:rFonts w:ascii="Arial" w:hAnsi="Arial" w:cs="Arial"/>
        </w:rPr>
        <w:t xml:space="preserve"> judgments of this court. Stripped to the bare bones, it requires parties to try and amicably resolve interlocutory matters before launching same for hearing. This is in line with the ethos of judicial case management, as encapsulated in rule 1(3).</w:t>
      </w:r>
    </w:p>
    <w:p w14:paraId="0944D926" w14:textId="77777777" w:rsidR="00E77BFB" w:rsidRPr="00894A7A" w:rsidRDefault="00E77BFB" w:rsidP="00894A7A">
      <w:pPr>
        <w:spacing w:line="360" w:lineRule="auto"/>
        <w:jc w:val="both"/>
        <w:rPr>
          <w:rFonts w:ascii="Arial" w:hAnsi="Arial" w:cs="Arial"/>
        </w:rPr>
      </w:pPr>
    </w:p>
    <w:p w14:paraId="357380D4" w14:textId="7A2CB2C4" w:rsidR="00E77BFB" w:rsidRPr="00894A7A" w:rsidRDefault="004426E3" w:rsidP="00894A7A">
      <w:pPr>
        <w:spacing w:line="360" w:lineRule="auto"/>
        <w:jc w:val="both"/>
        <w:rPr>
          <w:rFonts w:ascii="Arial" w:hAnsi="Arial" w:cs="Arial"/>
        </w:rPr>
      </w:pPr>
      <w:r>
        <w:rPr>
          <w:rFonts w:ascii="Arial" w:hAnsi="Arial" w:cs="Arial"/>
        </w:rPr>
        <w:t>[25</w:t>
      </w:r>
      <w:r w:rsidR="00E77BFB" w:rsidRPr="00894A7A">
        <w:rPr>
          <w:rFonts w:ascii="Arial" w:hAnsi="Arial" w:cs="Arial"/>
        </w:rPr>
        <w:t>]</w:t>
      </w:r>
      <w:r w:rsidR="00E77BFB" w:rsidRPr="00894A7A">
        <w:rPr>
          <w:rFonts w:ascii="Arial" w:hAnsi="Arial" w:cs="Arial"/>
        </w:rPr>
        <w:tab/>
        <w:t xml:space="preserve">The judgment that got the ball rolling was </w:t>
      </w:r>
      <w:proofErr w:type="spellStart"/>
      <w:r w:rsidR="00E77BFB" w:rsidRPr="00894A7A">
        <w:rPr>
          <w:rFonts w:ascii="Arial" w:hAnsi="Arial" w:cs="Arial"/>
          <w:i/>
        </w:rPr>
        <w:t>Mukata</w:t>
      </w:r>
      <w:proofErr w:type="spellEnd"/>
      <w:r w:rsidR="00A23C61">
        <w:rPr>
          <w:rFonts w:ascii="Arial" w:hAnsi="Arial" w:cs="Arial"/>
          <w:i/>
        </w:rPr>
        <w:t xml:space="preserve"> v </w:t>
      </w:r>
      <w:proofErr w:type="spellStart"/>
      <w:r w:rsidR="00A23C61">
        <w:rPr>
          <w:rFonts w:ascii="Arial" w:hAnsi="Arial" w:cs="Arial"/>
          <w:i/>
        </w:rPr>
        <w:t>Appolus</w:t>
      </w:r>
      <w:proofErr w:type="spellEnd"/>
      <w:r w:rsidR="00A23C61">
        <w:rPr>
          <w:rFonts w:ascii="Arial" w:hAnsi="Arial" w:cs="Arial"/>
          <w:i/>
        </w:rPr>
        <w:t xml:space="preserve"> </w:t>
      </w:r>
      <w:r w:rsidR="00E77BFB" w:rsidRPr="00894A7A">
        <w:rPr>
          <w:rStyle w:val="FootnoteReference"/>
          <w:rFonts w:ascii="Arial" w:hAnsi="Arial" w:cs="Arial"/>
          <w:i/>
        </w:rPr>
        <w:footnoteReference w:id="2"/>
      </w:r>
      <w:r w:rsidR="00E77BFB" w:rsidRPr="00894A7A">
        <w:rPr>
          <w:rFonts w:ascii="Arial" w:hAnsi="Arial" w:cs="Arial"/>
        </w:rPr>
        <w:t xml:space="preserve"> followed by others including </w:t>
      </w:r>
      <w:proofErr w:type="spellStart"/>
      <w:r w:rsidR="00E77BFB" w:rsidRPr="00894A7A">
        <w:rPr>
          <w:rFonts w:ascii="Arial" w:hAnsi="Arial" w:cs="Arial"/>
          <w:i/>
        </w:rPr>
        <w:t>Nkandi</w:t>
      </w:r>
      <w:proofErr w:type="spellEnd"/>
      <w:r w:rsidR="00E77BFB" w:rsidRPr="00894A7A">
        <w:rPr>
          <w:rFonts w:ascii="Arial" w:hAnsi="Arial" w:cs="Arial"/>
          <w:i/>
        </w:rPr>
        <w:t xml:space="preserve"> v Namibia Airports Company</w:t>
      </w:r>
      <w:r w:rsidR="00AA042B" w:rsidRPr="00894A7A">
        <w:rPr>
          <w:rFonts w:ascii="Arial" w:hAnsi="Arial" w:cs="Arial"/>
          <w:i/>
        </w:rPr>
        <w:t xml:space="preserve"> Ltd</w:t>
      </w:r>
      <w:r w:rsidR="00AA042B" w:rsidRPr="00894A7A">
        <w:rPr>
          <w:rStyle w:val="FootnoteReference"/>
          <w:rFonts w:ascii="Arial" w:hAnsi="Arial" w:cs="Arial"/>
          <w:i/>
        </w:rPr>
        <w:footnoteReference w:id="3"/>
      </w:r>
      <w:r w:rsidR="00E77BFB" w:rsidRPr="00894A7A">
        <w:rPr>
          <w:rFonts w:ascii="Arial" w:hAnsi="Arial" w:cs="Arial"/>
          <w:i/>
        </w:rPr>
        <w:t xml:space="preserve"> </w:t>
      </w:r>
      <w:r w:rsidR="00E77BFB" w:rsidRPr="00894A7A">
        <w:rPr>
          <w:rFonts w:ascii="Arial" w:hAnsi="Arial" w:cs="Arial"/>
        </w:rPr>
        <w:t xml:space="preserve">and </w:t>
      </w:r>
      <w:r w:rsidR="00E77BFB" w:rsidRPr="00894A7A">
        <w:rPr>
          <w:rFonts w:ascii="Arial" w:hAnsi="Arial" w:cs="Arial"/>
          <w:i/>
        </w:rPr>
        <w:t xml:space="preserve">Bank </w:t>
      </w:r>
      <w:r w:rsidR="0081547A">
        <w:rPr>
          <w:rFonts w:ascii="Arial" w:hAnsi="Arial" w:cs="Arial"/>
          <w:i/>
        </w:rPr>
        <w:t>Windhoek Limite</w:t>
      </w:r>
      <w:r>
        <w:rPr>
          <w:rFonts w:ascii="Arial" w:hAnsi="Arial" w:cs="Arial"/>
          <w:i/>
        </w:rPr>
        <w:t>d</w:t>
      </w:r>
      <w:r w:rsidR="0081547A">
        <w:rPr>
          <w:rFonts w:ascii="Arial" w:hAnsi="Arial" w:cs="Arial"/>
          <w:i/>
        </w:rPr>
        <w:t xml:space="preserve"> </w:t>
      </w:r>
      <w:r w:rsidR="00E77BFB" w:rsidRPr="00894A7A">
        <w:rPr>
          <w:rFonts w:ascii="Arial" w:hAnsi="Arial" w:cs="Arial"/>
          <w:i/>
        </w:rPr>
        <w:t xml:space="preserve">v </w:t>
      </w:r>
      <w:proofErr w:type="spellStart"/>
      <w:r w:rsidR="0081547A">
        <w:rPr>
          <w:rFonts w:ascii="Arial" w:hAnsi="Arial" w:cs="Arial"/>
          <w:i/>
        </w:rPr>
        <w:t>Ben</w:t>
      </w:r>
      <w:r w:rsidR="00AA042B" w:rsidRPr="00894A7A">
        <w:rPr>
          <w:rFonts w:ascii="Arial" w:hAnsi="Arial" w:cs="Arial"/>
          <w:i/>
        </w:rPr>
        <w:t>lin</w:t>
      </w:r>
      <w:proofErr w:type="spellEnd"/>
      <w:r w:rsidR="00AA042B" w:rsidRPr="00894A7A">
        <w:rPr>
          <w:rFonts w:ascii="Arial" w:hAnsi="Arial" w:cs="Arial"/>
          <w:i/>
        </w:rPr>
        <w:t xml:space="preserve"> Investments</w:t>
      </w:r>
      <w:r w:rsidR="0081547A">
        <w:rPr>
          <w:rFonts w:ascii="Arial" w:hAnsi="Arial" w:cs="Arial"/>
          <w:i/>
        </w:rPr>
        <w:t xml:space="preserve"> CC</w:t>
      </w:r>
      <w:r w:rsidR="00E77BFB" w:rsidRPr="00894A7A">
        <w:rPr>
          <w:rFonts w:ascii="Arial" w:hAnsi="Arial" w:cs="Arial"/>
          <w:i/>
        </w:rPr>
        <w:t>.</w:t>
      </w:r>
      <w:r w:rsidR="00AA042B" w:rsidRPr="00894A7A">
        <w:rPr>
          <w:rStyle w:val="FootnoteReference"/>
          <w:rFonts w:ascii="Arial" w:hAnsi="Arial" w:cs="Arial"/>
          <w:i/>
        </w:rPr>
        <w:footnoteReference w:id="4"/>
      </w:r>
      <w:r w:rsidR="00E77BFB" w:rsidRPr="00894A7A">
        <w:rPr>
          <w:rFonts w:ascii="Arial" w:hAnsi="Arial" w:cs="Arial"/>
          <w:i/>
        </w:rPr>
        <w:t xml:space="preserve"> </w:t>
      </w:r>
      <w:r w:rsidR="00E77BFB" w:rsidRPr="00894A7A">
        <w:rPr>
          <w:rFonts w:ascii="Arial" w:hAnsi="Arial" w:cs="Arial"/>
        </w:rPr>
        <w:t xml:space="preserve">Essentially, the </w:t>
      </w:r>
      <w:r w:rsidR="00E77BFB" w:rsidRPr="00894A7A">
        <w:rPr>
          <w:rFonts w:ascii="Arial" w:hAnsi="Arial" w:cs="Arial"/>
          <w:i/>
        </w:rPr>
        <w:t xml:space="preserve">ratio decidendi </w:t>
      </w:r>
      <w:r w:rsidR="00E77BFB" w:rsidRPr="00894A7A">
        <w:rPr>
          <w:rFonts w:ascii="Arial" w:hAnsi="Arial" w:cs="Arial"/>
        </w:rPr>
        <w:t>is that where a party has failed to comply with the above said rules, the court should strike the matter off from the roll for non-compliance</w:t>
      </w:r>
      <w:r w:rsidR="00D42DBA">
        <w:rPr>
          <w:rFonts w:ascii="Arial" w:hAnsi="Arial" w:cs="Arial"/>
        </w:rPr>
        <w:t xml:space="preserve"> therewith</w:t>
      </w:r>
      <w:r w:rsidR="00E77BFB" w:rsidRPr="00894A7A">
        <w:rPr>
          <w:rFonts w:ascii="Arial" w:hAnsi="Arial" w:cs="Arial"/>
        </w:rPr>
        <w:t>.</w:t>
      </w:r>
    </w:p>
    <w:p w14:paraId="2FF627C4" w14:textId="77777777" w:rsidR="00E77BFB" w:rsidRPr="00894A7A" w:rsidRDefault="00E77BFB" w:rsidP="00894A7A">
      <w:pPr>
        <w:spacing w:line="360" w:lineRule="auto"/>
        <w:jc w:val="both"/>
        <w:rPr>
          <w:rFonts w:ascii="Arial" w:hAnsi="Arial" w:cs="Arial"/>
        </w:rPr>
      </w:pPr>
    </w:p>
    <w:p w14:paraId="45ED9BE7" w14:textId="43337437" w:rsidR="00D82864" w:rsidRPr="00894A7A" w:rsidRDefault="004426E3" w:rsidP="00894A7A">
      <w:pPr>
        <w:spacing w:line="360" w:lineRule="auto"/>
        <w:jc w:val="both"/>
        <w:rPr>
          <w:rFonts w:ascii="Arial" w:hAnsi="Arial" w:cs="Arial"/>
        </w:rPr>
      </w:pPr>
      <w:r>
        <w:rPr>
          <w:rFonts w:ascii="Arial" w:hAnsi="Arial" w:cs="Arial"/>
        </w:rPr>
        <w:lastRenderedPageBreak/>
        <w:t>[26</w:t>
      </w:r>
      <w:r w:rsidR="00E77BFB" w:rsidRPr="00894A7A">
        <w:rPr>
          <w:rFonts w:ascii="Arial" w:hAnsi="Arial" w:cs="Arial"/>
        </w:rPr>
        <w:t>]</w:t>
      </w:r>
      <w:r w:rsidR="00E77BFB" w:rsidRPr="00894A7A">
        <w:rPr>
          <w:rFonts w:ascii="Arial" w:hAnsi="Arial" w:cs="Arial"/>
        </w:rPr>
        <w:tab/>
        <w:t>The question is whether the said provisions apply to this matter. Put differently, the question is whether an application in terms of rule 108 can be properly be described as falling within what are called interlocutor</w:t>
      </w:r>
      <w:r w:rsidR="00D82864" w:rsidRPr="00894A7A">
        <w:rPr>
          <w:rFonts w:ascii="Arial" w:hAnsi="Arial" w:cs="Arial"/>
        </w:rPr>
        <w:t>y applications? In the case</w:t>
      </w:r>
      <w:r>
        <w:rPr>
          <w:rFonts w:ascii="Arial" w:hAnsi="Arial" w:cs="Arial"/>
        </w:rPr>
        <w:t xml:space="preserve"> of</w:t>
      </w:r>
      <w:r w:rsidR="00D82864" w:rsidRPr="00894A7A">
        <w:rPr>
          <w:rFonts w:ascii="Arial" w:hAnsi="Arial" w:cs="Arial"/>
        </w:rPr>
        <w:t xml:space="preserve"> </w:t>
      </w:r>
      <w:proofErr w:type="spellStart"/>
      <w:r w:rsidR="00D82864" w:rsidRPr="00894A7A">
        <w:rPr>
          <w:rFonts w:ascii="Arial" w:hAnsi="Arial" w:cs="Arial"/>
          <w:i/>
        </w:rPr>
        <w:t>Soltec</w:t>
      </w:r>
      <w:proofErr w:type="spellEnd"/>
      <w:r w:rsidR="00D82864" w:rsidRPr="00894A7A">
        <w:rPr>
          <w:rFonts w:ascii="Arial" w:hAnsi="Arial" w:cs="Arial"/>
          <w:i/>
        </w:rPr>
        <w:t xml:space="preserve"> CC v Swakopmund Super Spar</w:t>
      </w:r>
      <w:r w:rsidR="00D82864" w:rsidRPr="00894A7A">
        <w:rPr>
          <w:rStyle w:val="FootnoteReference"/>
          <w:rFonts w:ascii="Arial" w:hAnsi="Arial" w:cs="Arial"/>
          <w:i/>
        </w:rPr>
        <w:footnoteReference w:id="5"/>
      </w:r>
      <w:r w:rsidR="00E77BFB" w:rsidRPr="00894A7A">
        <w:rPr>
          <w:rFonts w:ascii="Arial" w:hAnsi="Arial" w:cs="Arial"/>
        </w:rPr>
        <w:t xml:space="preserve"> this court </w:t>
      </w:r>
      <w:r w:rsidR="00E23E43" w:rsidRPr="00894A7A">
        <w:rPr>
          <w:rFonts w:ascii="Arial" w:hAnsi="Arial" w:cs="Arial"/>
        </w:rPr>
        <w:t>attempted to define what the import of the word interlocutory entails</w:t>
      </w:r>
      <w:r w:rsidR="003A40C5" w:rsidRPr="00894A7A">
        <w:rPr>
          <w:rFonts w:ascii="Arial" w:hAnsi="Arial" w:cs="Arial"/>
        </w:rPr>
        <w:t xml:space="preserve"> in reference to rule 32 (9) and (10)</w:t>
      </w:r>
      <w:r w:rsidR="00E23E43" w:rsidRPr="00894A7A">
        <w:rPr>
          <w:rFonts w:ascii="Arial" w:hAnsi="Arial" w:cs="Arial"/>
        </w:rPr>
        <w:t xml:space="preserve">. </w:t>
      </w:r>
    </w:p>
    <w:p w14:paraId="014058EF" w14:textId="77777777" w:rsidR="00D82864" w:rsidRPr="00894A7A" w:rsidRDefault="00D82864" w:rsidP="00894A7A">
      <w:pPr>
        <w:spacing w:line="360" w:lineRule="auto"/>
        <w:jc w:val="both"/>
        <w:rPr>
          <w:rFonts w:ascii="Arial" w:hAnsi="Arial" w:cs="Arial"/>
        </w:rPr>
      </w:pPr>
    </w:p>
    <w:p w14:paraId="1CA07DE0" w14:textId="5EC29F0A" w:rsidR="00D82864" w:rsidRPr="00894A7A" w:rsidRDefault="00D82864" w:rsidP="00894A7A">
      <w:pPr>
        <w:spacing w:line="360" w:lineRule="auto"/>
        <w:jc w:val="both"/>
        <w:rPr>
          <w:rFonts w:ascii="Arial" w:hAnsi="Arial" w:cs="Arial"/>
        </w:rPr>
      </w:pPr>
      <w:r w:rsidRPr="00894A7A">
        <w:rPr>
          <w:rFonts w:ascii="Arial" w:hAnsi="Arial" w:cs="Arial"/>
        </w:rPr>
        <w:t>[27]</w:t>
      </w:r>
      <w:r w:rsidRPr="00894A7A">
        <w:rPr>
          <w:rFonts w:ascii="Arial" w:hAnsi="Arial" w:cs="Arial"/>
        </w:rPr>
        <w:tab/>
        <w:t>In answering the question, the court quoted with approval the reasoning of the Supreme Court in</w:t>
      </w:r>
      <w:r w:rsidRPr="00894A7A">
        <w:rPr>
          <w:rFonts w:ascii="Arial" w:hAnsi="Arial" w:cs="Arial"/>
          <w:i/>
        </w:rPr>
        <w:t xml:space="preserve"> Di Savino v Nedbank Namibia Ltd,</w:t>
      </w:r>
      <w:r w:rsidRPr="00894A7A">
        <w:rPr>
          <w:rStyle w:val="FootnoteReference"/>
          <w:rFonts w:ascii="Arial" w:hAnsi="Arial" w:cs="Arial"/>
          <w:i/>
        </w:rPr>
        <w:footnoteReference w:id="6"/>
      </w:r>
      <w:r w:rsidRPr="00894A7A">
        <w:rPr>
          <w:rFonts w:ascii="Arial" w:hAnsi="Arial" w:cs="Arial"/>
          <w:i/>
        </w:rPr>
        <w:t xml:space="preserve"> </w:t>
      </w:r>
      <w:r w:rsidRPr="00894A7A">
        <w:rPr>
          <w:rFonts w:ascii="Arial" w:hAnsi="Arial" w:cs="Arial"/>
        </w:rPr>
        <w:t>where the Supreme Court, with the learned Chief Justice writing for the Court said:</w:t>
      </w:r>
    </w:p>
    <w:p w14:paraId="41649AC6" w14:textId="77777777" w:rsidR="00D82864" w:rsidRPr="00894A7A" w:rsidRDefault="00D82864" w:rsidP="00894A7A">
      <w:pPr>
        <w:spacing w:line="360" w:lineRule="auto"/>
        <w:jc w:val="both"/>
        <w:rPr>
          <w:rFonts w:ascii="Arial" w:hAnsi="Arial" w:cs="Arial"/>
        </w:rPr>
      </w:pPr>
    </w:p>
    <w:p w14:paraId="0ABBC497" w14:textId="7064EF78" w:rsidR="00D82864" w:rsidRPr="00894A7A" w:rsidRDefault="00D82864" w:rsidP="00894A7A">
      <w:pPr>
        <w:spacing w:line="360" w:lineRule="auto"/>
        <w:jc w:val="both"/>
        <w:rPr>
          <w:rFonts w:ascii="Arial" w:hAnsi="Arial" w:cs="Arial"/>
          <w:sz w:val="22"/>
          <w:szCs w:val="22"/>
        </w:rPr>
      </w:pPr>
      <w:r w:rsidRPr="00894A7A">
        <w:rPr>
          <w:rFonts w:ascii="Arial" w:hAnsi="Arial" w:cs="Arial"/>
        </w:rPr>
        <w:tab/>
      </w:r>
      <w:r w:rsidRPr="00894A7A">
        <w:rPr>
          <w:rFonts w:ascii="Arial" w:hAnsi="Arial" w:cs="Arial"/>
          <w:sz w:val="22"/>
          <w:szCs w:val="22"/>
        </w:rPr>
        <w:t xml:space="preserve">‘The order given by Miller AJ refusing leave to amend is interlocutory. According to the </w:t>
      </w:r>
      <w:r w:rsidRPr="00894A7A">
        <w:rPr>
          <w:rFonts w:ascii="Arial" w:hAnsi="Arial" w:cs="Arial"/>
          <w:i/>
          <w:sz w:val="22"/>
          <w:szCs w:val="22"/>
        </w:rPr>
        <w:t xml:space="preserve">South Cape </w:t>
      </w:r>
      <w:r w:rsidRPr="00894A7A">
        <w:rPr>
          <w:rFonts w:ascii="Arial" w:hAnsi="Arial" w:cs="Arial"/>
          <w:sz w:val="22"/>
          <w:szCs w:val="22"/>
        </w:rPr>
        <w:t>case, the term “interlocutory” refers to all orders pronounced by the court, upon matters incidental to the main dispute, preparatory to or during the progress of litigation.’</w:t>
      </w:r>
    </w:p>
    <w:p w14:paraId="63593577" w14:textId="77777777" w:rsidR="00D82864" w:rsidRPr="00894A7A" w:rsidRDefault="00D82864" w:rsidP="00894A7A">
      <w:pPr>
        <w:spacing w:line="360" w:lineRule="auto"/>
        <w:jc w:val="both"/>
        <w:rPr>
          <w:rFonts w:ascii="Arial" w:hAnsi="Arial" w:cs="Arial"/>
        </w:rPr>
      </w:pPr>
    </w:p>
    <w:p w14:paraId="38C878BB" w14:textId="03AE773E" w:rsidR="00E77BFB" w:rsidRPr="00894A7A" w:rsidRDefault="00D82864" w:rsidP="00894A7A">
      <w:pPr>
        <w:spacing w:line="360" w:lineRule="auto"/>
        <w:jc w:val="both"/>
        <w:rPr>
          <w:rFonts w:ascii="Arial" w:hAnsi="Arial" w:cs="Arial"/>
        </w:rPr>
      </w:pPr>
      <w:r w:rsidRPr="00894A7A">
        <w:rPr>
          <w:rFonts w:ascii="Arial" w:hAnsi="Arial" w:cs="Arial"/>
        </w:rPr>
        <w:t>[28]</w:t>
      </w:r>
      <w:r w:rsidRPr="00894A7A">
        <w:rPr>
          <w:rFonts w:ascii="Arial" w:hAnsi="Arial" w:cs="Arial"/>
        </w:rPr>
        <w:tab/>
      </w:r>
      <w:r w:rsidR="00E23E43" w:rsidRPr="00894A7A">
        <w:rPr>
          <w:rFonts w:ascii="Arial" w:hAnsi="Arial" w:cs="Arial"/>
        </w:rPr>
        <w:t xml:space="preserve">The court </w:t>
      </w:r>
      <w:r w:rsidR="004426E3">
        <w:rPr>
          <w:rFonts w:ascii="Arial" w:hAnsi="Arial" w:cs="Arial"/>
        </w:rPr>
        <w:t xml:space="preserve">in </w:t>
      </w:r>
      <w:proofErr w:type="spellStart"/>
      <w:r w:rsidR="004426E3">
        <w:rPr>
          <w:rFonts w:ascii="Arial" w:hAnsi="Arial" w:cs="Arial"/>
          <w:i/>
        </w:rPr>
        <w:t>Soltec</w:t>
      </w:r>
      <w:proofErr w:type="spellEnd"/>
      <w:r w:rsidR="004426E3">
        <w:rPr>
          <w:rFonts w:ascii="Arial" w:hAnsi="Arial" w:cs="Arial"/>
          <w:i/>
        </w:rPr>
        <w:t xml:space="preserve"> CC </w:t>
      </w:r>
      <w:r w:rsidR="00E23E43" w:rsidRPr="00894A7A">
        <w:rPr>
          <w:rFonts w:ascii="Arial" w:hAnsi="Arial" w:cs="Arial"/>
        </w:rPr>
        <w:t xml:space="preserve">did not stop there but it enumerated the </w:t>
      </w:r>
      <w:r w:rsidR="00E77BFB" w:rsidRPr="00894A7A">
        <w:rPr>
          <w:rFonts w:ascii="Arial" w:hAnsi="Arial" w:cs="Arial"/>
        </w:rPr>
        <w:t>classes of cases fall</w:t>
      </w:r>
      <w:r w:rsidR="00947B7C">
        <w:rPr>
          <w:rFonts w:ascii="Arial" w:hAnsi="Arial" w:cs="Arial"/>
        </w:rPr>
        <w:t>ing</w:t>
      </w:r>
      <w:r w:rsidR="00E77BFB" w:rsidRPr="00894A7A">
        <w:rPr>
          <w:rFonts w:ascii="Arial" w:hAnsi="Arial" w:cs="Arial"/>
        </w:rPr>
        <w:t xml:space="preserve"> under this category and even listed some of those matters</w:t>
      </w:r>
      <w:r w:rsidR="004426E3">
        <w:rPr>
          <w:rFonts w:ascii="Arial" w:hAnsi="Arial" w:cs="Arial"/>
        </w:rPr>
        <w:t xml:space="preserve"> with reference to the applicable rules, where appropriate</w:t>
      </w:r>
      <w:r w:rsidR="00E77BFB" w:rsidRPr="00894A7A">
        <w:rPr>
          <w:rFonts w:ascii="Arial" w:hAnsi="Arial" w:cs="Arial"/>
        </w:rPr>
        <w:t xml:space="preserve">. </w:t>
      </w:r>
      <w:r w:rsidR="00E23E43" w:rsidRPr="00894A7A">
        <w:rPr>
          <w:rFonts w:ascii="Arial" w:hAnsi="Arial" w:cs="Arial"/>
        </w:rPr>
        <w:t xml:space="preserve">An application in terms </w:t>
      </w:r>
      <w:r w:rsidR="00E35115">
        <w:rPr>
          <w:rFonts w:ascii="Arial" w:hAnsi="Arial" w:cs="Arial"/>
        </w:rPr>
        <w:t>of rule 108 is starkly absent from</w:t>
      </w:r>
      <w:r w:rsidR="00E23E43" w:rsidRPr="00894A7A">
        <w:rPr>
          <w:rFonts w:ascii="Arial" w:hAnsi="Arial" w:cs="Arial"/>
        </w:rPr>
        <w:t xml:space="preserve"> that list.</w:t>
      </w:r>
      <w:r w:rsidRPr="00894A7A">
        <w:rPr>
          <w:rFonts w:ascii="Arial" w:hAnsi="Arial" w:cs="Arial"/>
        </w:rPr>
        <w:t xml:space="preserve"> I can confirm that although the court said the list was not exhaustive, it did not escape the court’s mind to include a rule 108 application. It was omitted because it just does not belong to the category of matters to which rule 32 (9) and (10) applies.  </w:t>
      </w:r>
    </w:p>
    <w:p w14:paraId="037533BA" w14:textId="77777777" w:rsidR="00E23E43" w:rsidRPr="00894A7A" w:rsidRDefault="00E23E43" w:rsidP="00894A7A">
      <w:pPr>
        <w:spacing w:line="360" w:lineRule="auto"/>
        <w:jc w:val="both"/>
        <w:rPr>
          <w:rFonts w:ascii="Arial" w:hAnsi="Arial" w:cs="Arial"/>
        </w:rPr>
      </w:pPr>
    </w:p>
    <w:p w14:paraId="5CAC7473" w14:textId="7D1158A0" w:rsidR="004426E3" w:rsidRDefault="00D82864" w:rsidP="00894A7A">
      <w:pPr>
        <w:spacing w:line="360" w:lineRule="auto"/>
        <w:jc w:val="both"/>
        <w:rPr>
          <w:rFonts w:ascii="Arial" w:hAnsi="Arial" w:cs="Arial"/>
        </w:rPr>
      </w:pPr>
      <w:r w:rsidRPr="00894A7A">
        <w:rPr>
          <w:rFonts w:ascii="Arial" w:hAnsi="Arial" w:cs="Arial"/>
        </w:rPr>
        <w:t>[29</w:t>
      </w:r>
      <w:r w:rsidR="00E23E43" w:rsidRPr="00894A7A">
        <w:rPr>
          <w:rFonts w:ascii="Arial" w:hAnsi="Arial" w:cs="Arial"/>
        </w:rPr>
        <w:t>]</w:t>
      </w:r>
      <w:r w:rsidR="00E23E43" w:rsidRPr="00894A7A">
        <w:rPr>
          <w:rFonts w:ascii="Arial" w:hAnsi="Arial" w:cs="Arial"/>
        </w:rPr>
        <w:tab/>
        <w:t>I am of the view that an application</w:t>
      </w:r>
      <w:r w:rsidR="00947B7C">
        <w:rPr>
          <w:rFonts w:ascii="Arial" w:hAnsi="Arial" w:cs="Arial"/>
        </w:rPr>
        <w:t xml:space="preserve"> in terms of rule 108 is not </w:t>
      </w:r>
      <w:r w:rsidRPr="00894A7A">
        <w:rPr>
          <w:rFonts w:ascii="Arial" w:hAnsi="Arial" w:cs="Arial"/>
        </w:rPr>
        <w:t xml:space="preserve">an interlocutory matter within the meaning ascribed in the </w:t>
      </w:r>
      <w:r w:rsidRPr="00894A7A">
        <w:rPr>
          <w:rFonts w:ascii="Arial" w:hAnsi="Arial" w:cs="Arial"/>
          <w:i/>
        </w:rPr>
        <w:t xml:space="preserve">Di Savino </w:t>
      </w:r>
      <w:r w:rsidRPr="00894A7A">
        <w:rPr>
          <w:rFonts w:ascii="Arial" w:hAnsi="Arial" w:cs="Arial"/>
        </w:rPr>
        <w:t>case. It cannot be described as an incidental matter</w:t>
      </w:r>
      <w:r w:rsidR="00D42DBA">
        <w:rPr>
          <w:rFonts w:ascii="Arial" w:hAnsi="Arial" w:cs="Arial"/>
        </w:rPr>
        <w:t xml:space="preserve"> or one that is</w:t>
      </w:r>
      <w:r w:rsidRPr="00894A7A">
        <w:rPr>
          <w:rFonts w:ascii="Arial" w:hAnsi="Arial" w:cs="Arial"/>
        </w:rPr>
        <w:t xml:space="preserve"> preparatory to the main dispute</w:t>
      </w:r>
      <w:r w:rsidR="004426E3">
        <w:rPr>
          <w:rFonts w:ascii="Arial" w:hAnsi="Arial" w:cs="Arial"/>
        </w:rPr>
        <w:t>, incidental</w:t>
      </w:r>
      <w:r w:rsidRPr="00894A7A">
        <w:rPr>
          <w:rFonts w:ascii="Arial" w:hAnsi="Arial" w:cs="Arial"/>
        </w:rPr>
        <w:t xml:space="preserve"> or one resorted to during the progress of litigation.</w:t>
      </w:r>
      <w:r w:rsidR="00E23E43" w:rsidRPr="00894A7A">
        <w:rPr>
          <w:rFonts w:ascii="Arial" w:hAnsi="Arial" w:cs="Arial"/>
        </w:rPr>
        <w:t xml:space="preserve"> It is a </w:t>
      </w:r>
      <w:r w:rsidR="004426E3">
        <w:rPr>
          <w:rFonts w:ascii="Arial" w:hAnsi="Arial" w:cs="Arial"/>
        </w:rPr>
        <w:t xml:space="preserve">self-contained </w:t>
      </w:r>
      <w:r w:rsidR="00E23E43" w:rsidRPr="00894A7A">
        <w:rPr>
          <w:rFonts w:ascii="Arial" w:hAnsi="Arial" w:cs="Arial"/>
        </w:rPr>
        <w:t xml:space="preserve">post judgment procedure prescribed by the rules and open to a party which has complied with all the preceding execution measures but has not received joy in those endeavours. </w:t>
      </w:r>
    </w:p>
    <w:p w14:paraId="0D57F2C8" w14:textId="77777777" w:rsidR="004426E3" w:rsidRDefault="004426E3" w:rsidP="00894A7A">
      <w:pPr>
        <w:spacing w:line="360" w:lineRule="auto"/>
        <w:jc w:val="both"/>
        <w:rPr>
          <w:rFonts w:ascii="Arial" w:hAnsi="Arial" w:cs="Arial"/>
        </w:rPr>
      </w:pPr>
    </w:p>
    <w:p w14:paraId="483BDC30" w14:textId="4397F76F" w:rsidR="00E23E43" w:rsidRPr="00894A7A" w:rsidRDefault="004426E3" w:rsidP="00894A7A">
      <w:pPr>
        <w:spacing w:line="360" w:lineRule="auto"/>
        <w:jc w:val="both"/>
        <w:rPr>
          <w:rFonts w:ascii="Arial" w:hAnsi="Arial" w:cs="Arial"/>
        </w:rPr>
      </w:pPr>
      <w:r>
        <w:rPr>
          <w:rFonts w:ascii="Arial" w:hAnsi="Arial" w:cs="Arial"/>
        </w:rPr>
        <w:lastRenderedPageBreak/>
        <w:t>[30]</w:t>
      </w:r>
      <w:r>
        <w:rPr>
          <w:rFonts w:ascii="Arial" w:hAnsi="Arial" w:cs="Arial"/>
        </w:rPr>
        <w:tab/>
      </w:r>
      <w:r w:rsidR="00E23E43" w:rsidRPr="00894A7A">
        <w:rPr>
          <w:rFonts w:ascii="Arial" w:hAnsi="Arial" w:cs="Arial"/>
        </w:rPr>
        <w:t>On a strict interpretation, I am of the view that a rule 108 application is a substantive application standing on its own as there is no dispute existing at that juncture that may be said to be</w:t>
      </w:r>
      <w:r>
        <w:rPr>
          <w:rFonts w:ascii="Arial" w:hAnsi="Arial" w:cs="Arial"/>
        </w:rPr>
        <w:t xml:space="preserve"> ”</w:t>
      </w:r>
      <w:r w:rsidR="00E23E43" w:rsidRPr="00894A7A">
        <w:rPr>
          <w:rFonts w:ascii="Arial" w:hAnsi="Arial" w:cs="Arial"/>
        </w:rPr>
        <w:t>the main dispute” and to which rule 108 can be said to be subservient</w:t>
      </w:r>
      <w:r w:rsidR="00811F31">
        <w:rPr>
          <w:rFonts w:ascii="Arial" w:hAnsi="Arial" w:cs="Arial"/>
        </w:rPr>
        <w:t xml:space="preserve"> or peripheral</w:t>
      </w:r>
      <w:r w:rsidR="00E23E43" w:rsidRPr="00894A7A">
        <w:rPr>
          <w:rFonts w:ascii="Arial" w:hAnsi="Arial" w:cs="Arial"/>
        </w:rPr>
        <w:t>. Mr. Jones is accordingly not correct in his argument.</w:t>
      </w:r>
    </w:p>
    <w:p w14:paraId="00F0764F" w14:textId="77777777" w:rsidR="00E23E43" w:rsidRPr="00894A7A" w:rsidRDefault="00E23E43" w:rsidP="00894A7A">
      <w:pPr>
        <w:spacing w:line="360" w:lineRule="auto"/>
        <w:jc w:val="both"/>
        <w:rPr>
          <w:rFonts w:ascii="Arial" w:hAnsi="Arial" w:cs="Arial"/>
        </w:rPr>
      </w:pPr>
    </w:p>
    <w:p w14:paraId="64B4FFE8" w14:textId="17787AC7" w:rsidR="00E23E43" w:rsidRPr="00894A7A" w:rsidRDefault="004426E3" w:rsidP="00894A7A">
      <w:pPr>
        <w:spacing w:line="360" w:lineRule="auto"/>
        <w:jc w:val="both"/>
        <w:rPr>
          <w:rFonts w:ascii="Arial" w:hAnsi="Arial" w:cs="Arial"/>
        </w:rPr>
      </w:pPr>
      <w:r>
        <w:rPr>
          <w:rFonts w:ascii="Arial" w:hAnsi="Arial" w:cs="Arial"/>
        </w:rPr>
        <w:t>[31</w:t>
      </w:r>
      <w:r w:rsidR="00E23E43" w:rsidRPr="00894A7A">
        <w:rPr>
          <w:rFonts w:ascii="Arial" w:hAnsi="Arial" w:cs="Arial"/>
        </w:rPr>
        <w:t>]</w:t>
      </w:r>
      <w:r w:rsidR="00E23E43" w:rsidRPr="00894A7A">
        <w:rPr>
          <w:rFonts w:ascii="Arial" w:hAnsi="Arial" w:cs="Arial"/>
        </w:rPr>
        <w:tab/>
        <w:t>Having said this, I sense that there is a</w:t>
      </w:r>
      <w:r>
        <w:rPr>
          <w:rFonts w:ascii="Arial" w:hAnsi="Arial" w:cs="Arial"/>
        </w:rPr>
        <w:t>t times a slavish and</w:t>
      </w:r>
      <w:r w:rsidR="00E23E43" w:rsidRPr="00894A7A">
        <w:rPr>
          <w:rFonts w:ascii="Arial" w:hAnsi="Arial" w:cs="Arial"/>
        </w:rPr>
        <w:t xml:space="preserve"> regimented approach to the rules of this court, especially rule 32 (9) and (10). There is no need, in my considered view for parties to adopt a dogmatic </w:t>
      </w:r>
      <w:r w:rsidR="00C223DB" w:rsidRPr="00894A7A">
        <w:rPr>
          <w:rFonts w:ascii="Arial" w:hAnsi="Arial" w:cs="Arial"/>
        </w:rPr>
        <w:t xml:space="preserve">and mechanical </w:t>
      </w:r>
      <w:r w:rsidR="00E23E43" w:rsidRPr="00894A7A">
        <w:rPr>
          <w:rFonts w:ascii="Arial" w:hAnsi="Arial" w:cs="Arial"/>
        </w:rPr>
        <w:t>approach to particular rules in the same ways</w:t>
      </w:r>
      <w:r w:rsidR="00C223DB" w:rsidRPr="00894A7A">
        <w:rPr>
          <w:rFonts w:ascii="Arial" w:hAnsi="Arial" w:cs="Arial"/>
        </w:rPr>
        <w:t xml:space="preserve"> the</w:t>
      </w:r>
      <w:r w:rsidR="00E23E43" w:rsidRPr="00894A7A">
        <w:rPr>
          <w:rFonts w:ascii="Arial" w:hAnsi="Arial" w:cs="Arial"/>
        </w:rPr>
        <w:t xml:space="preserve"> Pharisees in the Bible </w:t>
      </w:r>
      <w:r w:rsidR="00AA042B" w:rsidRPr="00894A7A">
        <w:rPr>
          <w:rFonts w:ascii="Arial" w:hAnsi="Arial" w:cs="Arial"/>
        </w:rPr>
        <w:t xml:space="preserve">interpreted scripture, without due regard to sense, </w:t>
      </w:r>
      <w:r w:rsidR="00C223DB" w:rsidRPr="00894A7A">
        <w:rPr>
          <w:rFonts w:ascii="Arial" w:hAnsi="Arial" w:cs="Arial"/>
        </w:rPr>
        <w:t>substance or</w:t>
      </w:r>
      <w:r w:rsidR="00E23E43" w:rsidRPr="00894A7A">
        <w:rPr>
          <w:rFonts w:ascii="Arial" w:hAnsi="Arial" w:cs="Arial"/>
        </w:rPr>
        <w:t xml:space="preserve"> context. I would </w:t>
      </w:r>
      <w:r w:rsidR="00C223DB" w:rsidRPr="00894A7A">
        <w:rPr>
          <w:rFonts w:ascii="Arial" w:hAnsi="Arial" w:cs="Arial"/>
        </w:rPr>
        <w:t>only urge</w:t>
      </w:r>
      <w:r w:rsidR="009870E3" w:rsidRPr="00894A7A">
        <w:rPr>
          <w:rFonts w:ascii="Arial" w:hAnsi="Arial" w:cs="Arial"/>
        </w:rPr>
        <w:t xml:space="preserve"> that we consider the application of </w:t>
      </w:r>
      <w:r w:rsidR="00811F31">
        <w:rPr>
          <w:rFonts w:ascii="Arial" w:hAnsi="Arial" w:cs="Arial"/>
        </w:rPr>
        <w:t xml:space="preserve">all the </w:t>
      </w:r>
      <w:r w:rsidR="009870E3" w:rsidRPr="00894A7A">
        <w:rPr>
          <w:rFonts w:ascii="Arial" w:hAnsi="Arial" w:cs="Arial"/>
        </w:rPr>
        <w:t xml:space="preserve">rules </w:t>
      </w:r>
      <w:r w:rsidR="00811F31">
        <w:rPr>
          <w:rFonts w:ascii="Arial" w:hAnsi="Arial" w:cs="Arial"/>
        </w:rPr>
        <w:t xml:space="preserve">of court </w:t>
      </w:r>
      <w:r w:rsidR="009870E3" w:rsidRPr="00894A7A">
        <w:rPr>
          <w:rFonts w:ascii="Arial" w:hAnsi="Arial" w:cs="Arial"/>
        </w:rPr>
        <w:t>in the</w:t>
      </w:r>
      <w:r w:rsidR="00811F31">
        <w:rPr>
          <w:rFonts w:ascii="Arial" w:hAnsi="Arial" w:cs="Arial"/>
        </w:rPr>
        <w:t xml:space="preserve"> spirit particularly</w:t>
      </w:r>
      <w:r w:rsidR="009870E3" w:rsidRPr="00894A7A">
        <w:rPr>
          <w:rFonts w:ascii="Arial" w:hAnsi="Arial" w:cs="Arial"/>
        </w:rPr>
        <w:t xml:space="preserve"> of the overriding objectives of judicial case management</w:t>
      </w:r>
      <w:r>
        <w:rPr>
          <w:rFonts w:ascii="Arial" w:hAnsi="Arial" w:cs="Arial"/>
        </w:rPr>
        <w:t>,</w:t>
      </w:r>
      <w:r w:rsidR="009870E3" w:rsidRPr="00894A7A">
        <w:rPr>
          <w:rFonts w:ascii="Arial" w:hAnsi="Arial" w:cs="Arial"/>
        </w:rPr>
        <w:t xml:space="preserve"> rather than looking at isolated rules and fighting for their implementation or otherwise</w:t>
      </w:r>
      <w:r w:rsidR="00811F31">
        <w:rPr>
          <w:rFonts w:ascii="Arial" w:hAnsi="Arial" w:cs="Arial"/>
        </w:rPr>
        <w:t>,</w:t>
      </w:r>
      <w:r w:rsidR="009870E3" w:rsidRPr="00894A7A">
        <w:rPr>
          <w:rFonts w:ascii="Arial" w:hAnsi="Arial" w:cs="Arial"/>
        </w:rPr>
        <w:t xml:space="preserve"> in an </w:t>
      </w:r>
      <w:r w:rsidR="00C223DB" w:rsidRPr="00894A7A">
        <w:rPr>
          <w:rFonts w:ascii="Arial" w:hAnsi="Arial" w:cs="Arial"/>
        </w:rPr>
        <w:t xml:space="preserve">absolutist </w:t>
      </w:r>
      <w:r w:rsidR="009870E3" w:rsidRPr="00894A7A">
        <w:rPr>
          <w:rFonts w:ascii="Arial" w:hAnsi="Arial" w:cs="Arial"/>
        </w:rPr>
        <w:t>all or nothing approach.</w:t>
      </w:r>
    </w:p>
    <w:p w14:paraId="39D56254" w14:textId="77777777" w:rsidR="009870E3" w:rsidRPr="00894A7A" w:rsidRDefault="009870E3" w:rsidP="00894A7A">
      <w:pPr>
        <w:spacing w:line="360" w:lineRule="auto"/>
        <w:jc w:val="both"/>
        <w:rPr>
          <w:rFonts w:ascii="Arial" w:hAnsi="Arial" w:cs="Arial"/>
        </w:rPr>
      </w:pPr>
    </w:p>
    <w:p w14:paraId="48946579" w14:textId="43CE916E" w:rsidR="009870E3" w:rsidRPr="00894A7A" w:rsidRDefault="004426E3" w:rsidP="00894A7A">
      <w:pPr>
        <w:spacing w:line="360" w:lineRule="auto"/>
        <w:jc w:val="both"/>
        <w:rPr>
          <w:rFonts w:ascii="Arial" w:hAnsi="Arial" w:cs="Arial"/>
        </w:rPr>
      </w:pPr>
      <w:r>
        <w:rPr>
          <w:rFonts w:ascii="Arial" w:hAnsi="Arial" w:cs="Arial"/>
        </w:rPr>
        <w:t>[32</w:t>
      </w:r>
      <w:r w:rsidR="009870E3" w:rsidRPr="00894A7A">
        <w:rPr>
          <w:rFonts w:ascii="Arial" w:hAnsi="Arial" w:cs="Arial"/>
        </w:rPr>
        <w:t>]</w:t>
      </w:r>
      <w:r w:rsidR="009870E3" w:rsidRPr="00894A7A">
        <w:rPr>
          <w:rFonts w:ascii="Arial" w:hAnsi="Arial" w:cs="Arial"/>
        </w:rPr>
        <w:tab/>
        <w:t xml:space="preserve">The correct and mature approach, in my view should be </w:t>
      </w:r>
      <w:r w:rsidR="00811F31">
        <w:rPr>
          <w:rFonts w:ascii="Arial" w:hAnsi="Arial" w:cs="Arial"/>
        </w:rPr>
        <w:t xml:space="preserve">considering </w:t>
      </w:r>
      <w:r w:rsidR="009870E3" w:rsidRPr="00894A7A">
        <w:rPr>
          <w:rFonts w:ascii="Arial" w:hAnsi="Arial" w:cs="Arial"/>
        </w:rPr>
        <w:t>whether there is anything to be gained by the parties employing rule 32 (9) and (10), even if the issue at hand is not one that can be proper</w:t>
      </w:r>
      <w:r w:rsidR="00811F31">
        <w:rPr>
          <w:rFonts w:ascii="Arial" w:hAnsi="Arial" w:cs="Arial"/>
        </w:rPr>
        <w:t>ly assigned to the pigeonhole of</w:t>
      </w:r>
      <w:r w:rsidR="009870E3" w:rsidRPr="00894A7A">
        <w:rPr>
          <w:rFonts w:ascii="Arial" w:hAnsi="Arial" w:cs="Arial"/>
        </w:rPr>
        <w:t xml:space="preserve"> interlocutory matters. I have in mind, for instance, special pleas, which are not, strictly speaking interlocutory. That notwithstanding, a party can employ the provisions of the rule 32 (9) and (10) to good effect. The approach should be towards </w:t>
      </w:r>
      <w:r w:rsidR="00E35115">
        <w:rPr>
          <w:rFonts w:ascii="Arial" w:hAnsi="Arial" w:cs="Arial"/>
        </w:rPr>
        <w:t xml:space="preserve">the </w:t>
      </w:r>
      <w:r w:rsidR="009870E3" w:rsidRPr="00894A7A">
        <w:rPr>
          <w:rFonts w:ascii="Arial" w:hAnsi="Arial" w:cs="Arial"/>
        </w:rPr>
        <w:t>gains</w:t>
      </w:r>
      <w:r w:rsidR="00E35115">
        <w:rPr>
          <w:rFonts w:ascii="Arial" w:hAnsi="Arial" w:cs="Arial"/>
        </w:rPr>
        <w:t xml:space="preserve"> at hand,</w:t>
      </w:r>
      <w:r w:rsidR="009870E3" w:rsidRPr="00894A7A">
        <w:rPr>
          <w:rFonts w:ascii="Arial" w:hAnsi="Arial" w:cs="Arial"/>
        </w:rPr>
        <w:t xml:space="preserve"> rather than</w:t>
      </w:r>
      <w:r w:rsidR="00E35115">
        <w:rPr>
          <w:rFonts w:ascii="Arial" w:hAnsi="Arial" w:cs="Arial"/>
        </w:rPr>
        <w:t xml:space="preserve"> the</w:t>
      </w:r>
      <w:r w:rsidR="009870E3" w:rsidRPr="00894A7A">
        <w:rPr>
          <w:rFonts w:ascii="Arial" w:hAnsi="Arial" w:cs="Arial"/>
        </w:rPr>
        <w:t xml:space="preserve"> strict characterisation of</w:t>
      </w:r>
      <w:r w:rsidR="00E35115">
        <w:rPr>
          <w:rFonts w:ascii="Arial" w:hAnsi="Arial" w:cs="Arial"/>
        </w:rPr>
        <w:t xml:space="preserve"> types of cases along the unyielding</w:t>
      </w:r>
      <w:r w:rsidR="009870E3" w:rsidRPr="00894A7A">
        <w:rPr>
          <w:rFonts w:ascii="Arial" w:hAnsi="Arial" w:cs="Arial"/>
        </w:rPr>
        <w:t xml:space="preserve"> lines of whether they are interlocutory or not. In this regard, there may be cases where the parties may engage in rule 32 procedures before launching a rule 108 application</w:t>
      </w:r>
      <w:r w:rsidR="00D82864" w:rsidRPr="00894A7A">
        <w:rPr>
          <w:rFonts w:ascii="Arial" w:hAnsi="Arial" w:cs="Arial"/>
        </w:rPr>
        <w:t>,</w:t>
      </w:r>
      <w:r w:rsidR="009870E3" w:rsidRPr="00894A7A">
        <w:rPr>
          <w:rFonts w:ascii="Arial" w:hAnsi="Arial" w:cs="Arial"/>
        </w:rPr>
        <w:t xml:space="preserve"> and to good effect</w:t>
      </w:r>
      <w:r>
        <w:rPr>
          <w:rFonts w:ascii="Arial" w:hAnsi="Arial" w:cs="Arial"/>
        </w:rPr>
        <w:t xml:space="preserve"> to the benefit of their clients, the court and the litigating public</w:t>
      </w:r>
      <w:r w:rsidR="009870E3" w:rsidRPr="00894A7A">
        <w:rPr>
          <w:rFonts w:ascii="Arial" w:hAnsi="Arial" w:cs="Arial"/>
        </w:rPr>
        <w:t>.</w:t>
      </w:r>
    </w:p>
    <w:p w14:paraId="541B1E6D" w14:textId="77777777" w:rsidR="009870E3" w:rsidRPr="00894A7A" w:rsidRDefault="009870E3" w:rsidP="00894A7A">
      <w:pPr>
        <w:spacing w:line="360" w:lineRule="auto"/>
        <w:jc w:val="both"/>
        <w:rPr>
          <w:rFonts w:ascii="Arial" w:hAnsi="Arial" w:cs="Arial"/>
        </w:rPr>
      </w:pPr>
    </w:p>
    <w:p w14:paraId="390E47C6" w14:textId="6918985F" w:rsidR="009870E3" w:rsidRDefault="00D82864" w:rsidP="00894A7A">
      <w:pPr>
        <w:spacing w:line="360" w:lineRule="auto"/>
        <w:jc w:val="both"/>
        <w:rPr>
          <w:rFonts w:ascii="Arial" w:hAnsi="Arial" w:cs="Arial"/>
        </w:rPr>
      </w:pPr>
      <w:r w:rsidRPr="00894A7A">
        <w:rPr>
          <w:rFonts w:ascii="Arial" w:hAnsi="Arial" w:cs="Arial"/>
        </w:rPr>
        <w:t>[32</w:t>
      </w:r>
      <w:r w:rsidR="009870E3" w:rsidRPr="00894A7A">
        <w:rPr>
          <w:rFonts w:ascii="Arial" w:hAnsi="Arial" w:cs="Arial"/>
        </w:rPr>
        <w:t>]</w:t>
      </w:r>
      <w:r w:rsidR="009870E3" w:rsidRPr="00894A7A">
        <w:rPr>
          <w:rFonts w:ascii="Arial" w:hAnsi="Arial" w:cs="Arial"/>
        </w:rPr>
        <w:tab/>
        <w:t xml:space="preserve">In this case, for instance, it is clear that some attachment of movable goods was done and the amount claimed still remained unpaid. Although this is not an interlocutory application, the parties’ meeting in the form of a rule 32 (9) fashion, could have yielded results that may have obviated the need to bring the rule 108 application. </w:t>
      </w:r>
    </w:p>
    <w:p w14:paraId="1896863E" w14:textId="77777777" w:rsidR="004426E3" w:rsidRDefault="004426E3" w:rsidP="00894A7A">
      <w:pPr>
        <w:spacing w:line="360" w:lineRule="auto"/>
        <w:jc w:val="both"/>
        <w:rPr>
          <w:rFonts w:ascii="Arial" w:hAnsi="Arial" w:cs="Arial"/>
        </w:rPr>
      </w:pPr>
    </w:p>
    <w:p w14:paraId="61A8AC86" w14:textId="75C232AA" w:rsidR="004426E3" w:rsidRDefault="004426E3" w:rsidP="00894A7A">
      <w:pPr>
        <w:spacing w:line="360" w:lineRule="auto"/>
        <w:jc w:val="both"/>
        <w:rPr>
          <w:rFonts w:ascii="Arial" w:hAnsi="Arial" w:cs="Arial"/>
        </w:rPr>
      </w:pPr>
      <w:r>
        <w:rPr>
          <w:rFonts w:ascii="Arial" w:hAnsi="Arial" w:cs="Arial"/>
        </w:rPr>
        <w:lastRenderedPageBreak/>
        <w:t>[33]</w:t>
      </w:r>
      <w:r>
        <w:rPr>
          <w:rFonts w:ascii="Arial" w:hAnsi="Arial" w:cs="Arial"/>
        </w:rPr>
        <w:tab/>
        <w:t>In retrospect, it would seem that this view has been expressed in an earlier case, namely,</w:t>
      </w:r>
      <w:r w:rsidR="00EE66A1">
        <w:rPr>
          <w:rFonts w:ascii="Arial" w:hAnsi="Arial" w:cs="Arial"/>
        </w:rPr>
        <w:t xml:space="preserve"> </w:t>
      </w:r>
      <w:proofErr w:type="spellStart"/>
      <w:r w:rsidR="00EE66A1">
        <w:rPr>
          <w:rFonts w:ascii="Arial" w:hAnsi="Arial" w:cs="Arial"/>
          <w:i/>
        </w:rPr>
        <w:t>Husselmann</w:t>
      </w:r>
      <w:proofErr w:type="spellEnd"/>
      <w:r w:rsidR="00EE66A1">
        <w:rPr>
          <w:rFonts w:ascii="Arial" w:hAnsi="Arial" w:cs="Arial"/>
          <w:i/>
        </w:rPr>
        <w:t xml:space="preserve"> v </w:t>
      </w:r>
      <w:proofErr w:type="spellStart"/>
      <w:r w:rsidR="00EE66A1">
        <w:rPr>
          <w:rFonts w:ascii="Arial" w:hAnsi="Arial" w:cs="Arial"/>
          <w:i/>
        </w:rPr>
        <w:t>Saem</w:t>
      </w:r>
      <w:proofErr w:type="spellEnd"/>
      <w:r w:rsidR="00EE66A1">
        <w:rPr>
          <w:rFonts w:ascii="Arial" w:hAnsi="Arial" w:cs="Arial"/>
          <w:i/>
        </w:rPr>
        <w:t>.</w:t>
      </w:r>
      <w:r w:rsidR="00EE66A1">
        <w:rPr>
          <w:rStyle w:val="FootnoteReference"/>
          <w:rFonts w:ascii="Arial" w:hAnsi="Arial" w:cs="Arial"/>
          <w:i/>
        </w:rPr>
        <w:footnoteReference w:id="7"/>
      </w:r>
      <w:r w:rsidR="00EE66A1">
        <w:rPr>
          <w:rFonts w:ascii="Arial" w:hAnsi="Arial" w:cs="Arial"/>
        </w:rPr>
        <w:t xml:space="preserve"> In that case, the court exp</w:t>
      </w:r>
      <w:r w:rsidR="00811F31">
        <w:rPr>
          <w:rFonts w:ascii="Arial" w:hAnsi="Arial" w:cs="Arial"/>
        </w:rPr>
        <w:t>ressed itself as follows on the liberal application of rule 32 (9) and (10)</w:t>
      </w:r>
      <w:r w:rsidR="00EE66A1">
        <w:rPr>
          <w:rFonts w:ascii="Arial" w:hAnsi="Arial" w:cs="Arial"/>
        </w:rPr>
        <w:t>:</w:t>
      </w:r>
    </w:p>
    <w:p w14:paraId="7378501F" w14:textId="77777777" w:rsidR="00EE66A1" w:rsidRDefault="00EE66A1" w:rsidP="00894A7A">
      <w:pPr>
        <w:spacing w:line="360" w:lineRule="auto"/>
        <w:jc w:val="both"/>
        <w:rPr>
          <w:rFonts w:ascii="Arial" w:hAnsi="Arial" w:cs="Arial"/>
        </w:rPr>
      </w:pPr>
    </w:p>
    <w:p w14:paraId="25A1DEBE" w14:textId="2619EDB0" w:rsidR="00EE66A1" w:rsidRDefault="00EE66A1" w:rsidP="00894A7A">
      <w:pPr>
        <w:spacing w:line="360" w:lineRule="auto"/>
        <w:jc w:val="both"/>
        <w:rPr>
          <w:rFonts w:ascii="Arial" w:hAnsi="Arial" w:cs="Arial"/>
          <w:sz w:val="22"/>
          <w:szCs w:val="22"/>
        </w:rPr>
      </w:pPr>
      <w:r>
        <w:rPr>
          <w:rFonts w:ascii="Arial" w:hAnsi="Arial" w:cs="Arial"/>
        </w:rPr>
        <w:tab/>
        <w:t>‘</w:t>
      </w:r>
      <w:r>
        <w:rPr>
          <w:rFonts w:ascii="Arial" w:hAnsi="Arial" w:cs="Arial"/>
          <w:sz w:val="22"/>
          <w:szCs w:val="22"/>
        </w:rPr>
        <w:t>In this regard, the overriding principles of judicial case management must take effective sway in informing the direction the matter ought to take. For instance, even if it can be held that the special plea of non-joinder or misjoinder is not interlocutory in nature, the legal practitioners should still explore and take advantage of submitting same to rule 32 (9) and (10) in a bid to cut out the chuff and go for the grain proper, so to speak. This is clearly inexpensive and conduces to the early determination of the real issues, enabling the parties to apply a sieve to the proceedings, allowing the liquids to pass, so to speak, in order to deal properly with the solids that remain as it were.’</w:t>
      </w:r>
    </w:p>
    <w:p w14:paraId="4BC051F4" w14:textId="77777777" w:rsidR="00EE66A1" w:rsidRDefault="00EE66A1" w:rsidP="00894A7A">
      <w:pPr>
        <w:spacing w:line="360" w:lineRule="auto"/>
        <w:jc w:val="both"/>
        <w:rPr>
          <w:rFonts w:ascii="Arial" w:hAnsi="Arial" w:cs="Arial"/>
          <w:sz w:val="22"/>
          <w:szCs w:val="22"/>
        </w:rPr>
      </w:pPr>
    </w:p>
    <w:p w14:paraId="2C14CF64" w14:textId="26A6FB84" w:rsidR="00EE66A1" w:rsidRPr="00EE66A1" w:rsidRDefault="00EE66A1" w:rsidP="00894A7A">
      <w:pPr>
        <w:spacing w:line="360" w:lineRule="auto"/>
        <w:jc w:val="both"/>
        <w:rPr>
          <w:rFonts w:ascii="Arial" w:hAnsi="Arial" w:cs="Arial"/>
        </w:rPr>
      </w:pPr>
      <w:r>
        <w:rPr>
          <w:rFonts w:ascii="Arial" w:hAnsi="Arial" w:cs="Arial"/>
        </w:rPr>
        <w:t>[34]</w:t>
      </w:r>
      <w:r>
        <w:rPr>
          <w:rFonts w:ascii="Arial" w:hAnsi="Arial" w:cs="Arial"/>
        </w:rPr>
        <w:tab/>
        <w:t xml:space="preserve">It is my fervent hope that a new litigation culture will be inculcated that will avoid taking cheap </w:t>
      </w:r>
      <w:r w:rsidR="00811F31">
        <w:rPr>
          <w:rFonts w:ascii="Arial" w:hAnsi="Arial" w:cs="Arial"/>
        </w:rPr>
        <w:t xml:space="preserve">and </w:t>
      </w:r>
      <w:r>
        <w:rPr>
          <w:rFonts w:ascii="Arial" w:hAnsi="Arial" w:cs="Arial"/>
        </w:rPr>
        <w:t xml:space="preserve">technical points but focus on dealing with the main issues </w:t>
      </w:r>
      <w:r w:rsidR="007030BF">
        <w:rPr>
          <w:rFonts w:ascii="Arial" w:hAnsi="Arial" w:cs="Arial"/>
        </w:rPr>
        <w:t xml:space="preserve">on the merits, </w:t>
      </w:r>
      <w:r>
        <w:rPr>
          <w:rFonts w:ascii="Arial" w:hAnsi="Arial" w:cs="Arial"/>
        </w:rPr>
        <w:t>speedily and cheaply. This is what ju</w:t>
      </w:r>
      <w:r w:rsidR="007030BF">
        <w:rPr>
          <w:rFonts w:ascii="Arial" w:hAnsi="Arial" w:cs="Arial"/>
        </w:rPr>
        <w:t>dicial case management and its overriding objects are</w:t>
      </w:r>
      <w:r>
        <w:rPr>
          <w:rFonts w:ascii="Arial" w:hAnsi="Arial" w:cs="Arial"/>
        </w:rPr>
        <w:t xml:space="preserve"> all about.</w:t>
      </w:r>
      <w:r w:rsidR="00811F31">
        <w:rPr>
          <w:rFonts w:ascii="Arial" w:hAnsi="Arial" w:cs="Arial"/>
        </w:rPr>
        <w:t xml:space="preserve"> We can depart therefrom to our detriment and do great disservice to the litigating public in the process. </w:t>
      </w:r>
    </w:p>
    <w:p w14:paraId="3609BD14" w14:textId="77777777" w:rsidR="009870E3" w:rsidRPr="00894A7A" w:rsidRDefault="009870E3" w:rsidP="00894A7A">
      <w:pPr>
        <w:spacing w:line="360" w:lineRule="auto"/>
        <w:jc w:val="both"/>
        <w:rPr>
          <w:rFonts w:ascii="Arial" w:hAnsi="Arial" w:cs="Arial"/>
        </w:rPr>
      </w:pPr>
    </w:p>
    <w:p w14:paraId="2EA77D03" w14:textId="3EB3ACDE" w:rsidR="009870E3" w:rsidRPr="00894A7A" w:rsidRDefault="007030BF" w:rsidP="00894A7A">
      <w:pPr>
        <w:spacing w:line="360" w:lineRule="auto"/>
        <w:jc w:val="both"/>
        <w:rPr>
          <w:rFonts w:ascii="Arial" w:hAnsi="Arial" w:cs="Arial"/>
        </w:rPr>
      </w:pPr>
      <w:r>
        <w:rPr>
          <w:rFonts w:ascii="Arial" w:hAnsi="Arial" w:cs="Arial"/>
        </w:rPr>
        <w:t>[35</w:t>
      </w:r>
      <w:r w:rsidR="009870E3" w:rsidRPr="00894A7A">
        <w:rPr>
          <w:rFonts w:ascii="Arial" w:hAnsi="Arial" w:cs="Arial"/>
        </w:rPr>
        <w:t>]</w:t>
      </w:r>
      <w:r w:rsidR="009870E3" w:rsidRPr="00894A7A">
        <w:rPr>
          <w:rFonts w:ascii="Arial" w:hAnsi="Arial" w:cs="Arial"/>
        </w:rPr>
        <w:tab/>
        <w:t>In the premises, although the p</w:t>
      </w:r>
      <w:r w:rsidR="00C223DB" w:rsidRPr="00894A7A">
        <w:rPr>
          <w:rFonts w:ascii="Arial" w:hAnsi="Arial" w:cs="Arial"/>
        </w:rPr>
        <w:t xml:space="preserve">oint of non-joinder is good, I </w:t>
      </w:r>
      <w:r w:rsidR="009870E3" w:rsidRPr="00894A7A">
        <w:rPr>
          <w:rFonts w:ascii="Arial" w:hAnsi="Arial" w:cs="Arial"/>
        </w:rPr>
        <w:t xml:space="preserve">am of the considered opinion that this is not a matter that should have </w:t>
      </w:r>
      <w:r w:rsidR="00684F29" w:rsidRPr="00894A7A">
        <w:rPr>
          <w:rFonts w:ascii="Arial" w:hAnsi="Arial" w:cs="Arial"/>
        </w:rPr>
        <w:t>been the subject of a rule 108 application in view of the amount owed</w:t>
      </w:r>
      <w:r>
        <w:rPr>
          <w:rFonts w:ascii="Arial" w:hAnsi="Arial" w:cs="Arial"/>
        </w:rPr>
        <w:t xml:space="preserve"> and the avenues for settlement of the amount that were open and glaring</w:t>
      </w:r>
      <w:r w:rsidR="00684F29" w:rsidRPr="00894A7A">
        <w:rPr>
          <w:rFonts w:ascii="Arial" w:hAnsi="Arial" w:cs="Arial"/>
        </w:rPr>
        <w:t>. This is more the case, considering that there was no attempt to discuss the matter with a view to liquidating the amount in instalments. This resulted in the rule 108 application being launched where objectively viewed, the circumstances called for less drastic measures</w:t>
      </w:r>
      <w:r w:rsidR="00E35115">
        <w:rPr>
          <w:rFonts w:ascii="Arial" w:hAnsi="Arial" w:cs="Arial"/>
        </w:rPr>
        <w:t xml:space="preserve"> of execution of the debt, in line with the legislative solicitudes, which resulted in the enactment of the relevant provisions granting this court judicial oversight in such matters</w:t>
      </w:r>
      <w:r w:rsidR="00684F29" w:rsidRPr="00894A7A">
        <w:rPr>
          <w:rFonts w:ascii="Arial" w:hAnsi="Arial" w:cs="Arial"/>
        </w:rPr>
        <w:t>.</w:t>
      </w:r>
    </w:p>
    <w:p w14:paraId="3AB0DC0F" w14:textId="77777777" w:rsidR="00684F29" w:rsidRDefault="00684F29" w:rsidP="00894A7A">
      <w:pPr>
        <w:spacing w:line="360" w:lineRule="auto"/>
        <w:jc w:val="both"/>
        <w:rPr>
          <w:rFonts w:ascii="Arial" w:hAnsi="Arial" w:cs="Arial"/>
        </w:rPr>
      </w:pPr>
    </w:p>
    <w:p w14:paraId="0DFB8D27" w14:textId="77777777" w:rsidR="00E35115" w:rsidRDefault="00E35115" w:rsidP="00894A7A">
      <w:pPr>
        <w:spacing w:line="360" w:lineRule="auto"/>
        <w:jc w:val="both"/>
        <w:rPr>
          <w:rFonts w:ascii="Arial" w:hAnsi="Arial" w:cs="Arial"/>
        </w:rPr>
      </w:pPr>
    </w:p>
    <w:p w14:paraId="0662D61B" w14:textId="77777777" w:rsidR="00E35115" w:rsidRDefault="00E35115" w:rsidP="00894A7A">
      <w:pPr>
        <w:spacing w:line="360" w:lineRule="auto"/>
        <w:jc w:val="both"/>
        <w:rPr>
          <w:rFonts w:ascii="Arial" w:hAnsi="Arial" w:cs="Arial"/>
        </w:rPr>
      </w:pPr>
    </w:p>
    <w:p w14:paraId="18BC817C" w14:textId="77777777" w:rsidR="00E35115" w:rsidRPr="00894A7A" w:rsidRDefault="00E35115" w:rsidP="00894A7A">
      <w:pPr>
        <w:spacing w:line="360" w:lineRule="auto"/>
        <w:jc w:val="both"/>
        <w:rPr>
          <w:rFonts w:ascii="Arial" w:hAnsi="Arial" w:cs="Arial"/>
        </w:rPr>
      </w:pPr>
    </w:p>
    <w:p w14:paraId="2DF704EA" w14:textId="78845A33" w:rsidR="00684F29" w:rsidRPr="00894A7A" w:rsidRDefault="00684F29" w:rsidP="00894A7A">
      <w:pPr>
        <w:spacing w:line="360" w:lineRule="auto"/>
        <w:jc w:val="both"/>
        <w:rPr>
          <w:rFonts w:ascii="Arial" w:hAnsi="Arial" w:cs="Arial"/>
          <w:u w:val="single"/>
        </w:rPr>
      </w:pPr>
      <w:r w:rsidRPr="00894A7A">
        <w:rPr>
          <w:rFonts w:ascii="Arial" w:hAnsi="Arial" w:cs="Arial"/>
          <w:u w:val="single"/>
        </w:rPr>
        <w:lastRenderedPageBreak/>
        <w:t>Conclusion</w:t>
      </w:r>
    </w:p>
    <w:p w14:paraId="08854487" w14:textId="77777777" w:rsidR="00684F29" w:rsidRPr="00894A7A" w:rsidRDefault="00684F29" w:rsidP="00894A7A">
      <w:pPr>
        <w:spacing w:line="360" w:lineRule="auto"/>
        <w:jc w:val="both"/>
        <w:rPr>
          <w:rFonts w:ascii="Arial" w:hAnsi="Arial" w:cs="Arial"/>
          <w:u w:val="single"/>
        </w:rPr>
      </w:pPr>
    </w:p>
    <w:p w14:paraId="235A5BA3" w14:textId="3036B15F" w:rsidR="00C223DB" w:rsidRPr="00811F31" w:rsidRDefault="007030BF" w:rsidP="00894A7A">
      <w:pPr>
        <w:spacing w:line="360" w:lineRule="auto"/>
        <w:jc w:val="both"/>
        <w:rPr>
          <w:rFonts w:ascii="Arial" w:hAnsi="Arial" w:cs="Arial"/>
        </w:rPr>
      </w:pPr>
      <w:r>
        <w:rPr>
          <w:rFonts w:ascii="Arial" w:hAnsi="Arial" w:cs="Arial"/>
        </w:rPr>
        <w:t>[36</w:t>
      </w:r>
      <w:r w:rsidR="00684F29" w:rsidRPr="00894A7A">
        <w:rPr>
          <w:rFonts w:ascii="Arial" w:hAnsi="Arial" w:cs="Arial"/>
        </w:rPr>
        <w:t>]</w:t>
      </w:r>
      <w:r w:rsidR="00684F29" w:rsidRPr="00894A7A">
        <w:rPr>
          <w:rFonts w:ascii="Arial" w:hAnsi="Arial" w:cs="Arial"/>
        </w:rPr>
        <w:tab/>
        <w:t>In view of the for</w:t>
      </w:r>
      <w:r w:rsidR="00811F31">
        <w:rPr>
          <w:rFonts w:ascii="Arial" w:hAnsi="Arial" w:cs="Arial"/>
        </w:rPr>
        <w:t>e</w:t>
      </w:r>
      <w:r w:rsidR="00684F29" w:rsidRPr="00894A7A">
        <w:rPr>
          <w:rFonts w:ascii="Arial" w:hAnsi="Arial" w:cs="Arial"/>
        </w:rPr>
        <w:t>going considerations, I am of the considered view that this is not a proper case in which to grant the application in terms of rule 108.</w:t>
      </w:r>
    </w:p>
    <w:p w14:paraId="12C023F4" w14:textId="77777777" w:rsidR="00E35115" w:rsidRDefault="00E35115" w:rsidP="00894A7A">
      <w:pPr>
        <w:spacing w:line="360" w:lineRule="auto"/>
        <w:jc w:val="both"/>
        <w:rPr>
          <w:rFonts w:ascii="Arial" w:hAnsi="Arial" w:cs="Arial"/>
          <w:u w:val="single"/>
        </w:rPr>
      </w:pPr>
    </w:p>
    <w:p w14:paraId="2D4EAB71" w14:textId="50848A2B" w:rsidR="00684F29" w:rsidRPr="00894A7A" w:rsidRDefault="00684F29" w:rsidP="00894A7A">
      <w:pPr>
        <w:spacing w:line="360" w:lineRule="auto"/>
        <w:jc w:val="both"/>
        <w:rPr>
          <w:rFonts w:ascii="Arial" w:hAnsi="Arial" w:cs="Arial"/>
          <w:u w:val="single"/>
        </w:rPr>
      </w:pPr>
      <w:r w:rsidRPr="00894A7A">
        <w:rPr>
          <w:rFonts w:ascii="Arial" w:hAnsi="Arial" w:cs="Arial"/>
          <w:u w:val="single"/>
        </w:rPr>
        <w:t>Order</w:t>
      </w:r>
    </w:p>
    <w:p w14:paraId="1C5DAB62" w14:textId="77777777" w:rsidR="00684F29" w:rsidRPr="00894A7A" w:rsidRDefault="00684F29" w:rsidP="00894A7A">
      <w:pPr>
        <w:spacing w:line="360" w:lineRule="auto"/>
        <w:jc w:val="both"/>
        <w:rPr>
          <w:rFonts w:ascii="Arial" w:hAnsi="Arial" w:cs="Arial"/>
          <w:u w:val="single"/>
        </w:rPr>
      </w:pPr>
    </w:p>
    <w:p w14:paraId="07B57CF9" w14:textId="76142B9C" w:rsidR="00684F29" w:rsidRPr="00894A7A" w:rsidRDefault="007030BF" w:rsidP="00894A7A">
      <w:pPr>
        <w:spacing w:line="360" w:lineRule="auto"/>
        <w:jc w:val="both"/>
        <w:rPr>
          <w:rFonts w:ascii="Arial" w:hAnsi="Arial" w:cs="Arial"/>
        </w:rPr>
      </w:pPr>
      <w:r>
        <w:rPr>
          <w:rFonts w:ascii="Arial" w:hAnsi="Arial" w:cs="Arial"/>
        </w:rPr>
        <w:t>[37]</w:t>
      </w:r>
      <w:r>
        <w:rPr>
          <w:rFonts w:ascii="Arial" w:hAnsi="Arial" w:cs="Arial"/>
        </w:rPr>
        <w:tab/>
      </w:r>
      <w:r w:rsidR="00684F29" w:rsidRPr="00894A7A">
        <w:rPr>
          <w:rFonts w:ascii="Arial" w:hAnsi="Arial" w:cs="Arial"/>
        </w:rPr>
        <w:t>In the premises, I issue the following order:</w:t>
      </w:r>
    </w:p>
    <w:p w14:paraId="253368E1" w14:textId="77777777" w:rsidR="00684F29" w:rsidRPr="00894A7A" w:rsidRDefault="00684F29" w:rsidP="00894A7A">
      <w:pPr>
        <w:spacing w:line="360" w:lineRule="auto"/>
        <w:jc w:val="both"/>
        <w:rPr>
          <w:rFonts w:ascii="Arial" w:hAnsi="Arial" w:cs="Arial"/>
        </w:rPr>
      </w:pPr>
    </w:p>
    <w:p w14:paraId="4E92B55F" w14:textId="0C6CA5EB" w:rsidR="00684F29" w:rsidRPr="00E948E9" w:rsidRDefault="00E948E9" w:rsidP="00E948E9">
      <w:pPr>
        <w:spacing w:line="360" w:lineRule="auto"/>
        <w:ind w:left="720" w:hanging="360"/>
        <w:jc w:val="both"/>
        <w:rPr>
          <w:rFonts w:ascii="Arial" w:hAnsi="Arial" w:cs="Arial"/>
        </w:rPr>
      </w:pPr>
      <w:r w:rsidRPr="00894A7A">
        <w:rPr>
          <w:rFonts w:ascii="Arial" w:hAnsi="Arial" w:cs="Arial"/>
        </w:rPr>
        <w:t>1.</w:t>
      </w:r>
      <w:r w:rsidRPr="00894A7A">
        <w:rPr>
          <w:rFonts w:ascii="Arial" w:hAnsi="Arial" w:cs="Arial"/>
        </w:rPr>
        <w:tab/>
      </w:r>
      <w:r w:rsidR="00684F29" w:rsidRPr="00E948E9">
        <w:rPr>
          <w:rFonts w:ascii="Arial" w:hAnsi="Arial" w:cs="Arial"/>
        </w:rPr>
        <w:t xml:space="preserve">The application for declaring the property described as Erf. 870 </w:t>
      </w:r>
      <w:proofErr w:type="spellStart"/>
      <w:r w:rsidR="00684F29" w:rsidRPr="00E948E9">
        <w:rPr>
          <w:rFonts w:ascii="Arial" w:hAnsi="Arial" w:cs="Arial"/>
        </w:rPr>
        <w:t>Hochland</w:t>
      </w:r>
      <w:proofErr w:type="spellEnd"/>
      <w:r w:rsidR="00684F29" w:rsidRPr="00E948E9">
        <w:rPr>
          <w:rFonts w:ascii="Arial" w:hAnsi="Arial" w:cs="Arial"/>
        </w:rPr>
        <w:t xml:space="preserve"> Park, Municipality of Windhoek, Registration K, is hereby refused.</w:t>
      </w:r>
    </w:p>
    <w:p w14:paraId="51F436CC" w14:textId="1E54834A" w:rsidR="00684F29" w:rsidRPr="00E948E9" w:rsidRDefault="00E948E9" w:rsidP="00E948E9">
      <w:pPr>
        <w:spacing w:line="360" w:lineRule="auto"/>
        <w:ind w:left="720" w:hanging="360"/>
        <w:jc w:val="both"/>
        <w:rPr>
          <w:rFonts w:ascii="Arial" w:hAnsi="Arial" w:cs="Arial"/>
        </w:rPr>
      </w:pPr>
      <w:r w:rsidRPr="00894A7A">
        <w:rPr>
          <w:rFonts w:ascii="Arial" w:hAnsi="Arial" w:cs="Arial"/>
        </w:rPr>
        <w:t>2.</w:t>
      </w:r>
      <w:r w:rsidRPr="00894A7A">
        <w:rPr>
          <w:rFonts w:ascii="Arial" w:hAnsi="Arial" w:cs="Arial"/>
        </w:rPr>
        <w:tab/>
      </w:r>
      <w:r w:rsidR="00684F29" w:rsidRPr="00E948E9">
        <w:rPr>
          <w:rFonts w:ascii="Arial" w:hAnsi="Arial" w:cs="Arial"/>
        </w:rPr>
        <w:t>The applicant is ordered to pay the costs of the application, consequent upon the employment of one instructing and one instructed counsel.</w:t>
      </w:r>
    </w:p>
    <w:p w14:paraId="239BECC1" w14:textId="4E806BE3" w:rsidR="00684F29" w:rsidRPr="00E948E9" w:rsidRDefault="00E948E9" w:rsidP="00E948E9">
      <w:pPr>
        <w:spacing w:line="360" w:lineRule="auto"/>
        <w:ind w:left="720" w:hanging="360"/>
        <w:jc w:val="both"/>
        <w:rPr>
          <w:rFonts w:ascii="Arial" w:hAnsi="Arial" w:cs="Arial"/>
        </w:rPr>
      </w:pPr>
      <w:r>
        <w:rPr>
          <w:rFonts w:ascii="Arial" w:hAnsi="Arial" w:cs="Arial"/>
        </w:rPr>
        <w:t>3.</w:t>
      </w:r>
      <w:r>
        <w:rPr>
          <w:rFonts w:ascii="Arial" w:hAnsi="Arial" w:cs="Arial"/>
        </w:rPr>
        <w:tab/>
      </w:r>
      <w:r w:rsidR="00684F29" w:rsidRPr="00E948E9">
        <w:rPr>
          <w:rFonts w:ascii="Arial" w:hAnsi="Arial" w:cs="Arial"/>
        </w:rPr>
        <w:t xml:space="preserve">The matter is removed from the roll and is regarded as finalised. </w:t>
      </w:r>
    </w:p>
    <w:p w14:paraId="626C586D" w14:textId="77777777" w:rsidR="00894A7A" w:rsidRPr="00894A7A" w:rsidRDefault="00894A7A" w:rsidP="00894A7A">
      <w:pPr>
        <w:spacing w:line="360" w:lineRule="auto"/>
        <w:jc w:val="both"/>
        <w:rPr>
          <w:rFonts w:ascii="Arial" w:hAnsi="Arial" w:cs="Arial"/>
        </w:rPr>
      </w:pPr>
    </w:p>
    <w:p w14:paraId="2FB33752" w14:textId="77777777" w:rsidR="00894A7A" w:rsidRDefault="00894A7A" w:rsidP="00894A7A">
      <w:pPr>
        <w:spacing w:line="360" w:lineRule="auto"/>
        <w:jc w:val="both"/>
        <w:rPr>
          <w:rFonts w:ascii="Arial" w:hAnsi="Arial" w:cs="Arial"/>
        </w:rPr>
      </w:pPr>
    </w:p>
    <w:p w14:paraId="14EF6777" w14:textId="77777777" w:rsidR="00894A7A" w:rsidRPr="004A63A9" w:rsidRDefault="00894A7A" w:rsidP="00894A7A">
      <w:pPr>
        <w:spacing w:line="360" w:lineRule="auto"/>
        <w:jc w:val="right"/>
        <w:rPr>
          <w:rFonts w:ascii="Arial" w:hAnsi="Arial" w:cs="Arial"/>
        </w:rPr>
      </w:pPr>
      <w:r w:rsidRPr="004A63A9">
        <w:rPr>
          <w:rFonts w:ascii="Arial" w:hAnsi="Arial" w:cs="Arial"/>
        </w:rPr>
        <w:t>___________</w:t>
      </w:r>
    </w:p>
    <w:p w14:paraId="3F60F834" w14:textId="77777777" w:rsidR="00894A7A" w:rsidRPr="0008787C" w:rsidRDefault="00894A7A" w:rsidP="00894A7A">
      <w:pPr>
        <w:pStyle w:val="ListParagraph"/>
        <w:spacing w:line="360" w:lineRule="auto"/>
        <w:ind w:left="3600"/>
        <w:jc w:val="right"/>
        <w:rPr>
          <w:rFonts w:ascii="Arial" w:hAnsi="Arial" w:cs="Arial"/>
        </w:rPr>
      </w:pPr>
      <w:r w:rsidRPr="0008787C">
        <w:rPr>
          <w:rFonts w:ascii="Arial" w:hAnsi="Arial" w:cs="Arial"/>
        </w:rPr>
        <w:t>T.S. Masuku</w:t>
      </w:r>
    </w:p>
    <w:p w14:paraId="061EB0AC" w14:textId="77777777" w:rsidR="00894A7A" w:rsidRDefault="00894A7A" w:rsidP="00894A7A">
      <w:pPr>
        <w:pStyle w:val="ListParagraph"/>
        <w:tabs>
          <w:tab w:val="right" w:pos="9356"/>
        </w:tabs>
        <w:spacing w:line="360" w:lineRule="auto"/>
        <w:ind w:left="6480" w:firstLine="720"/>
        <w:jc w:val="right"/>
        <w:rPr>
          <w:rFonts w:ascii="Arial" w:hAnsi="Arial" w:cs="Arial"/>
        </w:rPr>
      </w:pPr>
      <w:r>
        <w:rPr>
          <w:rFonts w:ascii="Arial" w:hAnsi="Arial" w:cs="Arial"/>
        </w:rPr>
        <w:t>Judge</w:t>
      </w:r>
    </w:p>
    <w:p w14:paraId="7682D9EE" w14:textId="77777777" w:rsidR="00894A7A" w:rsidRPr="00894A7A" w:rsidRDefault="00894A7A" w:rsidP="00894A7A">
      <w:pPr>
        <w:spacing w:line="360" w:lineRule="auto"/>
        <w:jc w:val="both"/>
        <w:rPr>
          <w:rFonts w:ascii="Arial" w:hAnsi="Arial" w:cs="Arial"/>
        </w:rPr>
      </w:pPr>
    </w:p>
    <w:p w14:paraId="3B1FB022" w14:textId="77777777" w:rsidR="00894A7A" w:rsidRDefault="00894A7A" w:rsidP="00894A7A">
      <w:pPr>
        <w:spacing w:line="360" w:lineRule="auto"/>
        <w:jc w:val="both"/>
        <w:rPr>
          <w:rFonts w:ascii="Arial" w:hAnsi="Arial" w:cs="Arial"/>
        </w:rPr>
      </w:pPr>
    </w:p>
    <w:p w14:paraId="558D5336" w14:textId="77777777" w:rsidR="00894A7A" w:rsidRDefault="00894A7A" w:rsidP="00894A7A">
      <w:pPr>
        <w:spacing w:line="360" w:lineRule="auto"/>
        <w:jc w:val="both"/>
        <w:rPr>
          <w:rFonts w:ascii="Arial" w:hAnsi="Arial" w:cs="Arial"/>
        </w:rPr>
      </w:pPr>
    </w:p>
    <w:p w14:paraId="29BE2C9D" w14:textId="7FC24F62" w:rsidR="00894A7A" w:rsidRDefault="00894A7A">
      <w:pPr>
        <w:rPr>
          <w:rFonts w:ascii="Arial" w:hAnsi="Arial" w:cs="Arial"/>
        </w:rPr>
      </w:pPr>
      <w:r>
        <w:rPr>
          <w:rFonts w:ascii="Arial" w:hAnsi="Arial" w:cs="Arial"/>
        </w:rPr>
        <w:br w:type="page"/>
      </w:r>
    </w:p>
    <w:p w14:paraId="459E6494" w14:textId="77777777" w:rsidR="00894A7A" w:rsidRDefault="00894A7A" w:rsidP="00894A7A">
      <w:pPr>
        <w:spacing w:after="160" w:line="259" w:lineRule="auto"/>
        <w:rPr>
          <w:rFonts w:ascii="Arial" w:hAnsi="Arial" w:cs="Arial"/>
        </w:rPr>
      </w:pPr>
      <w:r>
        <w:rPr>
          <w:rFonts w:ascii="Arial" w:hAnsi="Arial" w:cs="Arial"/>
        </w:rPr>
        <w:lastRenderedPageBreak/>
        <w:t>APPEARANCES</w:t>
      </w:r>
    </w:p>
    <w:p w14:paraId="278C2C22" w14:textId="0FE7B0E4" w:rsidR="00894A7A" w:rsidRDefault="00A70993" w:rsidP="00894A7A">
      <w:pPr>
        <w:spacing w:line="360" w:lineRule="auto"/>
        <w:rPr>
          <w:rFonts w:ascii="Arial" w:hAnsi="Arial" w:cs="Arial"/>
        </w:rPr>
      </w:pPr>
      <w:r>
        <w:rPr>
          <w:rFonts w:ascii="Arial" w:hAnsi="Arial" w:cs="Arial"/>
        </w:rPr>
        <w:t>PLAINTIFF</w:t>
      </w:r>
      <w:r w:rsidR="00894A7A">
        <w:rPr>
          <w:rFonts w:ascii="Arial" w:hAnsi="Arial" w:cs="Arial"/>
        </w:rPr>
        <w:t>:</w:t>
      </w:r>
      <w:r>
        <w:rPr>
          <w:rFonts w:ascii="Arial" w:hAnsi="Arial" w:cs="Arial"/>
        </w:rPr>
        <w:tab/>
      </w:r>
      <w:r>
        <w:rPr>
          <w:rFonts w:ascii="Arial" w:hAnsi="Arial" w:cs="Arial"/>
        </w:rPr>
        <w:tab/>
      </w:r>
      <w:r>
        <w:rPr>
          <w:rFonts w:ascii="Arial" w:hAnsi="Arial" w:cs="Arial"/>
        </w:rPr>
        <w:tab/>
        <w:t>Y. Campbell</w:t>
      </w:r>
    </w:p>
    <w:p w14:paraId="7F72059F" w14:textId="4C6D5B2B" w:rsidR="00894A7A" w:rsidRDefault="00894A7A" w:rsidP="00894A7A">
      <w:pPr>
        <w:spacing w:line="360" w:lineRule="auto"/>
        <w:rPr>
          <w:rFonts w:ascii="Arial" w:hAnsi="Arial" w:cs="Arial"/>
        </w:rPr>
      </w:pPr>
      <w:r>
        <w:rPr>
          <w:rFonts w:ascii="Arial" w:hAnsi="Arial" w:cs="Arial"/>
        </w:rPr>
        <w:t>Instructed by:</w:t>
      </w:r>
      <w:r>
        <w:rPr>
          <w:rFonts w:ascii="Arial" w:hAnsi="Arial" w:cs="Arial"/>
        </w:rPr>
        <w:tab/>
      </w:r>
      <w:r w:rsidR="00A70993">
        <w:rPr>
          <w:rFonts w:ascii="Arial" w:hAnsi="Arial" w:cs="Arial"/>
        </w:rPr>
        <w:tab/>
        <w:t>Behrens &amp; Pfeiffer</w:t>
      </w:r>
      <w:r>
        <w:rPr>
          <w:rFonts w:ascii="Arial" w:hAnsi="Arial" w:cs="Arial"/>
        </w:rPr>
        <w:tab/>
      </w:r>
    </w:p>
    <w:p w14:paraId="48A8C249" w14:textId="77777777" w:rsidR="00894A7A" w:rsidRDefault="00894A7A" w:rsidP="00894A7A">
      <w:pPr>
        <w:spacing w:line="360" w:lineRule="auto"/>
        <w:rPr>
          <w:rFonts w:ascii="Arial" w:hAnsi="Arial" w:cs="Arial"/>
        </w:rPr>
      </w:pPr>
    </w:p>
    <w:p w14:paraId="544EAD0E" w14:textId="7DEA848D" w:rsidR="00894A7A" w:rsidRDefault="00A70993" w:rsidP="00894A7A">
      <w:pPr>
        <w:spacing w:line="360" w:lineRule="auto"/>
        <w:rPr>
          <w:rFonts w:ascii="Arial" w:hAnsi="Arial" w:cs="Arial"/>
        </w:rPr>
      </w:pPr>
      <w:r>
        <w:rPr>
          <w:rFonts w:ascii="Arial" w:hAnsi="Arial" w:cs="Arial"/>
        </w:rPr>
        <w:t>DEFENDANTS</w:t>
      </w:r>
      <w:r w:rsidR="00894A7A">
        <w:rPr>
          <w:rFonts w:ascii="Arial" w:hAnsi="Arial" w:cs="Arial"/>
        </w:rPr>
        <w:t>:</w:t>
      </w:r>
      <w:r>
        <w:rPr>
          <w:rFonts w:ascii="Arial" w:hAnsi="Arial" w:cs="Arial"/>
        </w:rPr>
        <w:tab/>
      </w:r>
      <w:r>
        <w:rPr>
          <w:rFonts w:ascii="Arial" w:hAnsi="Arial" w:cs="Arial"/>
        </w:rPr>
        <w:tab/>
        <w:t>J.P. Ravenscroft-Jones</w:t>
      </w:r>
      <w:r w:rsidR="00894A7A">
        <w:rPr>
          <w:rFonts w:ascii="Arial" w:hAnsi="Arial" w:cs="Arial"/>
        </w:rPr>
        <w:tab/>
      </w:r>
      <w:r w:rsidR="00894A7A">
        <w:rPr>
          <w:rFonts w:ascii="Arial" w:hAnsi="Arial" w:cs="Arial"/>
        </w:rPr>
        <w:tab/>
      </w:r>
    </w:p>
    <w:p w14:paraId="5C6C6653" w14:textId="715A20CC" w:rsidR="00894A7A" w:rsidRPr="00894A7A" w:rsidRDefault="00894A7A" w:rsidP="00894A7A">
      <w:pPr>
        <w:spacing w:line="360" w:lineRule="auto"/>
        <w:jc w:val="both"/>
        <w:rPr>
          <w:rFonts w:ascii="Arial" w:hAnsi="Arial" w:cs="Arial"/>
        </w:rPr>
      </w:pPr>
      <w:r>
        <w:rPr>
          <w:rFonts w:ascii="Arial" w:hAnsi="Arial" w:cs="Arial"/>
        </w:rPr>
        <w:t>Instructed by:</w:t>
      </w:r>
      <w:r>
        <w:rPr>
          <w:rFonts w:ascii="Arial" w:hAnsi="Arial" w:cs="Arial"/>
        </w:rPr>
        <w:tab/>
      </w:r>
      <w:r w:rsidR="00A70993">
        <w:rPr>
          <w:rFonts w:ascii="Arial" w:hAnsi="Arial" w:cs="Arial"/>
        </w:rPr>
        <w:tab/>
        <w:t>Van Wyk Legal Practitioners</w:t>
      </w:r>
      <w:r>
        <w:rPr>
          <w:rFonts w:ascii="Arial" w:hAnsi="Arial" w:cs="Arial"/>
        </w:rPr>
        <w:tab/>
      </w:r>
    </w:p>
    <w:p w14:paraId="6FD58275" w14:textId="77777777" w:rsidR="00355400" w:rsidRPr="00894A7A" w:rsidRDefault="00355400" w:rsidP="00894A7A">
      <w:pPr>
        <w:spacing w:line="360" w:lineRule="auto"/>
        <w:jc w:val="center"/>
        <w:rPr>
          <w:rFonts w:ascii="Arial" w:hAnsi="Arial" w:cs="Arial"/>
          <w:b/>
        </w:rPr>
      </w:pPr>
    </w:p>
    <w:p w14:paraId="6CFAAD6D" w14:textId="77777777" w:rsidR="00355400" w:rsidRPr="00894A7A" w:rsidRDefault="00355400" w:rsidP="00894A7A">
      <w:pPr>
        <w:spacing w:line="360" w:lineRule="auto"/>
        <w:rPr>
          <w:rFonts w:ascii="Arial" w:hAnsi="Arial" w:cs="Arial"/>
        </w:rPr>
      </w:pPr>
    </w:p>
    <w:p w14:paraId="67DC103A" w14:textId="77777777" w:rsidR="00355400" w:rsidRPr="00894A7A" w:rsidRDefault="00355400" w:rsidP="00894A7A">
      <w:pPr>
        <w:spacing w:line="360" w:lineRule="auto"/>
        <w:rPr>
          <w:rFonts w:ascii="Arial" w:hAnsi="Arial" w:cs="Arial"/>
        </w:rPr>
      </w:pPr>
    </w:p>
    <w:sectPr w:rsidR="00355400" w:rsidRPr="00894A7A" w:rsidSect="00894A7A">
      <w:headerReference w:type="even" r:id="rId12"/>
      <w:headerReference w:type="default" r:id="rId13"/>
      <w:pgSz w:w="11900" w:h="16840"/>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152C" w14:textId="77777777" w:rsidR="009F5F84" w:rsidRDefault="009F5F84" w:rsidP="00F01DDC">
      <w:r>
        <w:separator/>
      </w:r>
    </w:p>
  </w:endnote>
  <w:endnote w:type="continuationSeparator" w:id="0">
    <w:p w14:paraId="53CC7062" w14:textId="77777777" w:rsidR="009F5F84" w:rsidRDefault="009F5F84" w:rsidP="00F0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C43B7" w14:textId="77777777" w:rsidR="009F5F84" w:rsidRDefault="009F5F84" w:rsidP="00F01DDC">
      <w:r>
        <w:separator/>
      </w:r>
    </w:p>
  </w:footnote>
  <w:footnote w:type="continuationSeparator" w:id="0">
    <w:p w14:paraId="1D752774" w14:textId="77777777" w:rsidR="009F5F84" w:rsidRDefault="009F5F84" w:rsidP="00F01DDC">
      <w:r>
        <w:continuationSeparator/>
      </w:r>
    </w:p>
  </w:footnote>
  <w:footnote w:id="1">
    <w:p w14:paraId="1E57C186" w14:textId="68CDAA03" w:rsidR="00D42DBA" w:rsidRPr="00894A7A" w:rsidRDefault="00D42DBA">
      <w:pPr>
        <w:pStyle w:val="FootnoteText"/>
        <w:rPr>
          <w:rFonts w:ascii="Arial" w:hAnsi="Arial" w:cs="Arial"/>
          <w:sz w:val="20"/>
          <w:szCs w:val="20"/>
          <w:lang w:val="en-US"/>
        </w:rPr>
      </w:pPr>
      <w:r w:rsidRPr="00894A7A">
        <w:rPr>
          <w:rStyle w:val="FootnoteReference"/>
          <w:rFonts w:ascii="Arial" w:hAnsi="Arial" w:cs="Arial"/>
          <w:sz w:val="20"/>
          <w:szCs w:val="20"/>
        </w:rPr>
        <w:footnoteRef/>
      </w:r>
      <w:r w:rsidRPr="00894A7A">
        <w:rPr>
          <w:rFonts w:ascii="Arial" w:hAnsi="Arial" w:cs="Arial"/>
          <w:sz w:val="20"/>
          <w:szCs w:val="20"/>
        </w:rPr>
        <w:t xml:space="preserve"> </w:t>
      </w:r>
      <w:r w:rsidRPr="00894A7A">
        <w:rPr>
          <w:rFonts w:ascii="Arial" w:hAnsi="Arial" w:cs="Arial"/>
          <w:sz w:val="20"/>
          <w:szCs w:val="20"/>
          <w:lang w:val="en-US"/>
        </w:rPr>
        <w:t>1979 (1) SA 626 (A).</w:t>
      </w:r>
    </w:p>
  </w:footnote>
  <w:footnote w:id="2">
    <w:p w14:paraId="61A06486" w14:textId="40002D35" w:rsidR="00D42DBA" w:rsidRPr="00894A7A" w:rsidRDefault="00D42DBA">
      <w:pPr>
        <w:pStyle w:val="FootnoteText"/>
        <w:rPr>
          <w:rFonts w:ascii="Arial" w:hAnsi="Arial" w:cs="Arial"/>
          <w:sz w:val="20"/>
          <w:szCs w:val="20"/>
          <w:lang w:val="en-US"/>
        </w:rPr>
      </w:pPr>
      <w:r w:rsidRPr="00894A7A">
        <w:rPr>
          <w:rStyle w:val="FootnoteReference"/>
          <w:rFonts w:ascii="Arial" w:hAnsi="Arial" w:cs="Arial"/>
          <w:sz w:val="20"/>
          <w:szCs w:val="20"/>
        </w:rPr>
        <w:footnoteRef/>
      </w:r>
      <w:r w:rsidRPr="00894A7A">
        <w:rPr>
          <w:rFonts w:ascii="Arial" w:hAnsi="Arial" w:cs="Arial"/>
          <w:sz w:val="20"/>
          <w:szCs w:val="20"/>
        </w:rPr>
        <w:t xml:space="preserve"> </w:t>
      </w:r>
      <w:r>
        <w:rPr>
          <w:rFonts w:ascii="Arial" w:hAnsi="Arial" w:cs="Arial"/>
          <w:sz w:val="20"/>
          <w:szCs w:val="20"/>
        </w:rPr>
        <w:t>(I3396/2014) [2015] NAHCMD 54 (12 March 2015).</w:t>
      </w:r>
    </w:p>
  </w:footnote>
  <w:footnote w:id="3">
    <w:p w14:paraId="16F53796" w14:textId="61D32118" w:rsidR="00D42DBA" w:rsidRPr="00894A7A" w:rsidRDefault="00D42DBA">
      <w:pPr>
        <w:pStyle w:val="FootnoteText"/>
        <w:rPr>
          <w:rFonts w:ascii="Arial" w:hAnsi="Arial" w:cs="Arial"/>
          <w:sz w:val="20"/>
          <w:szCs w:val="20"/>
          <w:lang w:val="en-US"/>
        </w:rPr>
      </w:pPr>
      <w:r w:rsidRPr="00894A7A">
        <w:rPr>
          <w:rStyle w:val="FootnoteReference"/>
          <w:rFonts w:ascii="Arial" w:hAnsi="Arial" w:cs="Arial"/>
          <w:sz w:val="20"/>
          <w:szCs w:val="20"/>
        </w:rPr>
        <w:footnoteRef/>
      </w:r>
      <w:r w:rsidRPr="00894A7A">
        <w:rPr>
          <w:rFonts w:ascii="Arial" w:hAnsi="Arial" w:cs="Arial"/>
          <w:sz w:val="20"/>
          <w:szCs w:val="20"/>
        </w:rPr>
        <w:t xml:space="preserve"> </w:t>
      </w:r>
      <w:r>
        <w:rPr>
          <w:rFonts w:ascii="Arial" w:hAnsi="Arial" w:cs="Arial"/>
          <w:sz w:val="20"/>
          <w:szCs w:val="20"/>
        </w:rPr>
        <w:t>(I3622/2014) [2018] NAHCMD 274 (31 August 2018).</w:t>
      </w:r>
    </w:p>
  </w:footnote>
  <w:footnote w:id="4">
    <w:p w14:paraId="4FFABB98" w14:textId="4D5CB539" w:rsidR="00D42DBA" w:rsidRPr="00894A7A" w:rsidRDefault="00D42DBA">
      <w:pPr>
        <w:pStyle w:val="FootnoteText"/>
        <w:rPr>
          <w:rFonts w:ascii="Arial" w:hAnsi="Arial" w:cs="Arial"/>
          <w:sz w:val="20"/>
          <w:szCs w:val="20"/>
          <w:lang w:val="en-US"/>
        </w:rPr>
      </w:pPr>
      <w:r w:rsidRPr="00894A7A">
        <w:rPr>
          <w:rStyle w:val="FootnoteReference"/>
          <w:rFonts w:ascii="Arial" w:hAnsi="Arial" w:cs="Arial"/>
          <w:sz w:val="20"/>
          <w:szCs w:val="20"/>
        </w:rPr>
        <w:footnoteRef/>
      </w:r>
      <w:r w:rsidRPr="00894A7A">
        <w:rPr>
          <w:rFonts w:ascii="Arial" w:hAnsi="Arial" w:cs="Arial"/>
          <w:sz w:val="20"/>
          <w:szCs w:val="20"/>
        </w:rPr>
        <w:t xml:space="preserve"> </w:t>
      </w:r>
      <w:r>
        <w:rPr>
          <w:rFonts w:ascii="Arial" w:hAnsi="Arial" w:cs="Arial"/>
          <w:sz w:val="20"/>
          <w:szCs w:val="20"/>
        </w:rPr>
        <w:t>2017 (2) NR 403.</w:t>
      </w:r>
    </w:p>
  </w:footnote>
  <w:footnote w:id="5">
    <w:p w14:paraId="5E21B136" w14:textId="62A6A321" w:rsidR="00D42DBA" w:rsidRPr="00894A7A" w:rsidRDefault="00D42DBA">
      <w:pPr>
        <w:pStyle w:val="FootnoteText"/>
        <w:rPr>
          <w:rFonts w:ascii="Arial" w:hAnsi="Arial" w:cs="Arial"/>
          <w:sz w:val="20"/>
          <w:szCs w:val="20"/>
          <w:lang w:val="en-US"/>
        </w:rPr>
      </w:pPr>
      <w:r w:rsidRPr="00894A7A">
        <w:rPr>
          <w:rStyle w:val="FootnoteReference"/>
          <w:rFonts w:ascii="Arial" w:hAnsi="Arial" w:cs="Arial"/>
          <w:sz w:val="20"/>
          <w:szCs w:val="20"/>
        </w:rPr>
        <w:footnoteRef/>
      </w:r>
      <w:r w:rsidRPr="00894A7A">
        <w:rPr>
          <w:rFonts w:ascii="Arial" w:hAnsi="Arial" w:cs="Arial"/>
          <w:sz w:val="20"/>
          <w:szCs w:val="20"/>
        </w:rPr>
        <w:t xml:space="preserve"> </w:t>
      </w:r>
      <w:r w:rsidRPr="00894A7A">
        <w:rPr>
          <w:rFonts w:ascii="Arial" w:hAnsi="Arial" w:cs="Arial"/>
          <w:sz w:val="20"/>
          <w:szCs w:val="20"/>
          <w:lang w:val="en-US"/>
        </w:rPr>
        <w:t>(Case No. I 160/2015 [2018] NAHCMD 265 (31 August 2018)</w:t>
      </w:r>
      <w:r>
        <w:rPr>
          <w:rFonts w:ascii="Arial" w:hAnsi="Arial" w:cs="Arial"/>
          <w:sz w:val="20"/>
          <w:szCs w:val="20"/>
          <w:lang w:val="en-US"/>
        </w:rPr>
        <w:t>.</w:t>
      </w:r>
    </w:p>
  </w:footnote>
  <w:footnote w:id="6">
    <w:p w14:paraId="368D9E0E" w14:textId="31C938F3" w:rsidR="00D42DBA" w:rsidRPr="00894A7A" w:rsidRDefault="00D42DBA">
      <w:pPr>
        <w:pStyle w:val="FootnoteText"/>
        <w:rPr>
          <w:rFonts w:ascii="Arial" w:hAnsi="Arial" w:cs="Arial"/>
          <w:sz w:val="20"/>
          <w:szCs w:val="20"/>
          <w:lang w:val="en-US"/>
        </w:rPr>
      </w:pPr>
      <w:r w:rsidRPr="00894A7A">
        <w:rPr>
          <w:rStyle w:val="FootnoteReference"/>
          <w:rFonts w:ascii="Arial" w:hAnsi="Arial" w:cs="Arial"/>
          <w:sz w:val="20"/>
          <w:szCs w:val="20"/>
        </w:rPr>
        <w:footnoteRef/>
      </w:r>
      <w:r w:rsidRPr="00894A7A">
        <w:rPr>
          <w:rFonts w:ascii="Arial" w:hAnsi="Arial" w:cs="Arial"/>
          <w:sz w:val="20"/>
          <w:szCs w:val="20"/>
        </w:rPr>
        <w:t xml:space="preserve"> </w:t>
      </w:r>
      <w:r>
        <w:rPr>
          <w:rFonts w:ascii="Arial" w:hAnsi="Arial" w:cs="Arial"/>
          <w:sz w:val="20"/>
          <w:szCs w:val="20"/>
        </w:rPr>
        <w:t>2017 (3) NR 880 SC.</w:t>
      </w:r>
    </w:p>
  </w:footnote>
  <w:footnote w:id="7">
    <w:p w14:paraId="26C68FA5" w14:textId="005723AE" w:rsidR="00D42DBA" w:rsidRPr="00A70993" w:rsidRDefault="00D42DBA">
      <w:pPr>
        <w:pStyle w:val="FootnoteText"/>
        <w:rPr>
          <w:rFonts w:ascii="Arial" w:hAnsi="Arial" w:cs="Arial"/>
          <w:sz w:val="20"/>
          <w:szCs w:val="20"/>
          <w:lang w:val="en-US"/>
        </w:rPr>
      </w:pPr>
      <w:r w:rsidRPr="00A70993">
        <w:rPr>
          <w:rStyle w:val="FootnoteReference"/>
          <w:rFonts w:ascii="Arial" w:hAnsi="Arial" w:cs="Arial"/>
          <w:sz w:val="20"/>
          <w:szCs w:val="20"/>
        </w:rPr>
        <w:footnoteRef/>
      </w:r>
      <w:r w:rsidRPr="00A70993">
        <w:rPr>
          <w:rFonts w:ascii="Arial" w:hAnsi="Arial" w:cs="Arial"/>
          <w:sz w:val="20"/>
          <w:szCs w:val="20"/>
        </w:rPr>
        <w:t xml:space="preserve"> </w:t>
      </w:r>
      <w:r w:rsidRPr="00A70993">
        <w:rPr>
          <w:rFonts w:ascii="Arial" w:hAnsi="Arial" w:cs="Arial"/>
          <w:sz w:val="20"/>
          <w:szCs w:val="20"/>
          <w:lang w:val="en-US"/>
        </w:rPr>
        <w:t>2017 (3) NR 761 (HC) at p65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8668" w14:textId="77777777" w:rsidR="00D42DBA" w:rsidRDefault="00D42DBA" w:rsidP="00F02F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A8D4C" w14:textId="77777777" w:rsidR="00D42DBA" w:rsidRDefault="00D42DBA" w:rsidP="003A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1F0A" w14:textId="77777777" w:rsidR="00D42DBA" w:rsidRDefault="00D42DBA" w:rsidP="00F02F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195">
      <w:rPr>
        <w:rStyle w:val="PageNumber"/>
        <w:noProof/>
      </w:rPr>
      <w:t>2</w:t>
    </w:r>
    <w:r>
      <w:rPr>
        <w:rStyle w:val="PageNumber"/>
      </w:rPr>
      <w:fldChar w:fldCharType="end"/>
    </w:r>
  </w:p>
  <w:p w14:paraId="216A8EE1" w14:textId="77777777" w:rsidR="00D42DBA" w:rsidRDefault="00D42DBA" w:rsidP="003A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1557"/>
    <w:multiLevelType w:val="hybridMultilevel"/>
    <w:tmpl w:val="01A0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D3F45"/>
    <w:multiLevelType w:val="hybridMultilevel"/>
    <w:tmpl w:val="01FC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A2C1A"/>
    <w:multiLevelType w:val="hybridMultilevel"/>
    <w:tmpl w:val="1B84F5C2"/>
    <w:lvl w:ilvl="0" w:tplc="1CA0931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00"/>
    <w:rsid w:val="00046195"/>
    <w:rsid w:val="000462EA"/>
    <w:rsid w:val="00056B3F"/>
    <w:rsid w:val="00095383"/>
    <w:rsid w:val="000E4E80"/>
    <w:rsid w:val="00132D24"/>
    <w:rsid w:val="001B5DCD"/>
    <w:rsid w:val="00290B5C"/>
    <w:rsid w:val="002A55BE"/>
    <w:rsid w:val="002B4C51"/>
    <w:rsid w:val="00355400"/>
    <w:rsid w:val="003A40C5"/>
    <w:rsid w:val="004426E3"/>
    <w:rsid w:val="00514323"/>
    <w:rsid w:val="0064457E"/>
    <w:rsid w:val="00650B46"/>
    <w:rsid w:val="00684F29"/>
    <w:rsid w:val="006E486A"/>
    <w:rsid w:val="007030BF"/>
    <w:rsid w:val="00726A7B"/>
    <w:rsid w:val="00770CCF"/>
    <w:rsid w:val="007D4A2C"/>
    <w:rsid w:val="00811F31"/>
    <w:rsid w:val="0081547A"/>
    <w:rsid w:val="00894A7A"/>
    <w:rsid w:val="00947B7C"/>
    <w:rsid w:val="009870E3"/>
    <w:rsid w:val="009D4813"/>
    <w:rsid w:val="009F5F84"/>
    <w:rsid w:val="00A21C38"/>
    <w:rsid w:val="00A23C61"/>
    <w:rsid w:val="00A5386D"/>
    <w:rsid w:val="00A70993"/>
    <w:rsid w:val="00AA042B"/>
    <w:rsid w:val="00AC59FC"/>
    <w:rsid w:val="00AD36E2"/>
    <w:rsid w:val="00AE40FE"/>
    <w:rsid w:val="00B8157F"/>
    <w:rsid w:val="00BB31CD"/>
    <w:rsid w:val="00C17AEB"/>
    <w:rsid w:val="00C223DB"/>
    <w:rsid w:val="00C65F87"/>
    <w:rsid w:val="00CF4B84"/>
    <w:rsid w:val="00D204FE"/>
    <w:rsid w:val="00D23007"/>
    <w:rsid w:val="00D3429E"/>
    <w:rsid w:val="00D42DBA"/>
    <w:rsid w:val="00D74323"/>
    <w:rsid w:val="00D81345"/>
    <w:rsid w:val="00D82864"/>
    <w:rsid w:val="00DA669F"/>
    <w:rsid w:val="00DE1BBF"/>
    <w:rsid w:val="00E01F45"/>
    <w:rsid w:val="00E20B1E"/>
    <w:rsid w:val="00E23E43"/>
    <w:rsid w:val="00E35115"/>
    <w:rsid w:val="00E51697"/>
    <w:rsid w:val="00E77BFB"/>
    <w:rsid w:val="00E84596"/>
    <w:rsid w:val="00E948E9"/>
    <w:rsid w:val="00EA0B23"/>
    <w:rsid w:val="00ED4458"/>
    <w:rsid w:val="00EE66A1"/>
    <w:rsid w:val="00F0075E"/>
    <w:rsid w:val="00F01DDC"/>
    <w:rsid w:val="00F02F39"/>
    <w:rsid w:val="00F77E28"/>
    <w:rsid w:val="00FB75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FC150"/>
  <w14:defaultImageDpi w14:val="330"/>
  <w15:docId w15:val="{7FAE3400-1678-44F0-B613-CD98A022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400"/>
    <w:pPr>
      <w:ind w:left="720"/>
      <w:contextualSpacing/>
    </w:pPr>
  </w:style>
  <w:style w:type="paragraph" w:styleId="FootnoteText">
    <w:name w:val="footnote text"/>
    <w:basedOn w:val="Normal"/>
    <w:link w:val="FootnoteTextChar"/>
    <w:uiPriority w:val="99"/>
    <w:unhideWhenUsed/>
    <w:rsid w:val="00F01DDC"/>
  </w:style>
  <w:style w:type="character" w:customStyle="1" w:styleId="FootnoteTextChar">
    <w:name w:val="Footnote Text Char"/>
    <w:basedOn w:val="DefaultParagraphFont"/>
    <w:link w:val="FootnoteText"/>
    <w:uiPriority w:val="99"/>
    <w:rsid w:val="00F01DDC"/>
  </w:style>
  <w:style w:type="character" w:styleId="FootnoteReference">
    <w:name w:val="footnote reference"/>
    <w:basedOn w:val="DefaultParagraphFont"/>
    <w:uiPriority w:val="99"/>
    <w:unhideWhenUsed/>
    <w:rsid w:val="00F01DDC"/>
    <w:rPr>
      <w:vertAlign w:val="superscript"/>
    </w:rPr>
  </w:style>
  <w:style w:type="paragraph" w:styleId="Header">
    <w:name w:val="header"/>
    <w:basedOn w:val="Normal"/>
    <w:link w:val="HeaderChar"/>
    <w:uiPriority w:val="99"/>
    <w:unhideWhenUsed/>
    <w:rsid w:val="003A40C5"/>
    <w:pPr>
      <w:tabs>
        <w:tab w:val="center" w:pos="4320"/>
        <w:tab w:val="right" w:pos="8640"/>
      </w:tabs>
    </w:pPr>
  </w:style>
  <w:style w:type="character" w:customStyle="1" w:styleId="HeaderChar">
    <w:name w:val="Header Char"/>
    <w:basedOn w:val="DefaultParagraphFont"/>
    <w:link w:val="Header"/>
    <w:uiPriority w:val="99"/>
    <w:rsid w:val="003A40C5"/>
  </w:style>
  <w:style w:type="character" w:styleId="PageNumber">
    <w:name w:val="page number"/>
    <w:basedOn w:val="DefaultParagraphFont"/>
    <w:uiPriority w:val="99"/>
    <w:semiHidden/>
    <w:unhideWhenUsed/>
    <w:rsid w:val="003A40C5"/>
  </w:style>
  <w:style w:type="paragraph" w:styleId="Footer">
    <w:name w:val="footer"/>
    <w:basedOn w:val="Normal"/>
    <w:link w:val="FooterChar"/>
    <w:uiPriority w:val="99"/>
    <w:unhideWhenUsed/>
    <w:rsid w:val="00894A7A"/>
    <w:pPr>
      <w:tabs>
        <w:tab w:val="center" w:pos="4513"/>
        <w:tab w:val="right" w:pos="9026"/>
      </w:tabs>
    </w:pPr>
  </w:style>
  <w:style w:type="character" w:customStyle="1" w:styleId="FooterChar">
    <w:name w:val="Footer Char"/>
    <w:basedOn w:val="DefaultParagraphFont"/>
    <w:link w:val="Footer"/>
    <w:uiPriority w:val="99"/>
    <w:rsid w:val="00894A7A"/>
  </w:style>
  <w:style w:type="paragraph" w:styleId="BalloonText">
    <w:name w:val="Balloon Text"/>
    <w:basedOn w:val="Normal"/>
    <w:link w:val="BalloonTextChar"/>
    <w:uiPriority w:val="99"/>
    <w:semiHidden/>
    <w:unhideWhenUsed/>
    <w:rsid w:val="00290B5C"/>
    <w:rPr>
      <w:rFonts w:ascii="Tahoma" w:hAnsi="Tahoma" w:cs="Tahoma"/>
      <w:sz w:val="16"/>
      <w:szCs w:val="16"/>
    </w:rPr>
  </w:style>
  <w:style w:type="character" w:customStyle="1" w:styleId="BalloonTextChar">
    <w:name w:val="Balloon Text Char"/>
    <w:basedOn w:val="DefaultParagraphFont"/>
    <w:link w:val="BalloonText"/>
    <w:uiPriority w:val="99"/>
    <w:semiHidden/>
    <w:rsid w:val="00290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2019-04-28T18:30:00+00:00</Judgment_x0020_Date>
    <Year xmlns="c1afb1bd-f2fb-40fd-9abb-aea55b4d7662">2019</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B19F-819C-482D-B4FA-694999777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3256F-AA1D-41C2-BFDC-818465223B55}">
  <ds:schemaRefs>
    <ds:schemaRef ds:uri="http://schemas.microsoft.com/sharepoint/v3/contenttype/forms"/>
  </ds:schemaRefs>
</ds:datastoreItem>
</file>

<file path=customXml/itemProps3.xml><?xml version="1.0" encoding="utf-8"?>
<ds:datastoreItem xmlns:ds="http://schemas.openxmlformats.org/officeDocument/2006/customXml" ds:itemID="{2C1015EB-425B-404D-96CB-31EF33FC7EB9}">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84B39807-FA82-4CF4-B466-841681CC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Mariya Badeva-Bright</cp:lastModifiedBy>
  <cp:revision>3</cp:revision>
  <cp:lastPrinted>2019-04-30T07:25:00Z</cp:lastPrinted>
  <dcterms:created xsi:type="dcterms:W3CDTF">2019-05-02T14:13:00Z</dcterms:created>
  <dcterms:modified xsi:type="dcterms:W3CDTF">2019-05-02T21:10:00Z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