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275" w:type="dxa"/>
        <w:tblLook w:val="04A0" w:firstRow="1" w:lastRow="0" w:firstColumn="1" w:lastColumn="0" w:noHBand="0" w:noVBand="1"/>
      </w:tblPr>
      <w:tblGrid>
        <w:gridCol w:w="4770"/>
        <w:gridCol w:w="627"/>
        <w:gridCol w:w="4323"/>
      </w:tblGrid>
      <w:tr w:rsidR="00D35047" w:rsidRPr="001B0FDD" w:rsidTr="00A76DBA">
        <w:trPr>
          <w:trHeight w:val="744"/>
        </w:trPr>
        <w:tc>
          <w:tcPr>
            <w:tcW w:w="5397" w:type="dxa"/>
            <w:gridSpan w:val="2"/>
          </w:tcPr>
          <w:p w:rsidR="00D35047" w:rsidRPr="00370E0F" w:rsidRDefault="00D35047" w:rsidP="00A76DBA">
            <w:pPr>
              <w:spacing w:line="360" w:lineRule="auto"/>
              <w:jc w:val="both"/>
              <w:rPr>
                <w:rFonts w:ascii="Arial Narrow" w:hAnsi="Arial Narrow" w:cs="Arial"/>
                <w:sz w:val="24"/>
                <w:szCs w:val="24"/>
              </w:rPr>
            </w:pPr>
            <w:r w:rsidRPr="00370E0F">
              <w:rPr>
                <w:rFonts w:ascii="Arial Narrow" w:hAnsi="Arial Narrow" w:cs="Arial"/>
                <w:b/>
                <w:sz w:val="24"/>
                <w:szCs w:val="24"/>
              </w:rPr>
              <w:t>Case Title:</w:t>
            </w:r>
          </w:p>
          <w:p w:rsidR="00D35047" w:rsidRPr="00370E0F" w:rsidRDefault="00290365" w:rsidP="00A32185">
            <w:pPr>
              <w:spacing w:line="360" w:lineRule="auto"/>
              <w:jc w:val="both"/>
              <w:rPr>
                <w:rFonts w:ascii="Arial Narrow" w:hAnsi="Arial Narrow" w:cs="Arial"/>
                <w:i/>
                <w:sz w:val="24"/>
                <w:szCs w:val="24"/>
              </w:rPr>
            </w:pPr>
            <w:r w:rsidRPr="00370E0F">
              <w:rPr>
                <w:rFonts w:ascii="Arial Narrow" w:hAnsi="Arial Narrow" w:cs="Arial"/>
                <w:i/>
                <w:sz w:val="24"/>
                <w:szCs w:val="24"/>
              </w:rPr>
              <w:t xml:space="preserve">The State v </w:t>
            </w:r>
            <w:r w:rsidR="009A0F10">
              <w:rPr>
                <w:rFonts w:ascii="Arial Narrow" w:hAnsi="Arial Narrow" w:cs="Arial"/>
                <w:i/>
                <w:sz w:val="24"/>
                <w:szCs w:val="24"/>
              </w:rPr>
              <w:t>Turitjo Mavetarakune</w:t>
            </w:r>
          </w:p>
        </w:tc>
        <w:tc>
          <w:tcPr>
            <w:tcW w:w="4323" w:type="dxa"/>
          </w:tcPr>
          <w:p w:rsidR="00D35047" w:rsidRPr="001B0FDD" w:rsidRDefault="00D35047" w:rsidP="00A76DBA">
            <w:pPr>
              <w:spacing w:line="360" w:lineRule="auto"/>
              <w:jc w:val="both"/>
              <w:rPr>
                <w:rFonts w:ascii="Arial Narrow" w:hAnsi="Arial Narrow" w:cs="Arial"/>
                <w:b/>
                <w:sz w:val="24"/>
                <w:szCs w:val="24"/>
              </w:rPr>
            </w:pPr>
            <w:r w:rsidRPr="001B0FDD">
              <w:rPr>
                <w:rFonts w:ascii="Arial Narrow" w:hAnsi="Arial Narrow" w:cs="Arial"/>
                <w:b/>
                <w:sz w:val="24"/>
                <w:szCs w:val="24"/>
              </w:rPr>
              <w:t>Case No:</w:t>
            </w:r>
          </w:p>
          <w:p w:rsidR="00D35047" w:rsidRPr="001B0FDD" w:rsidRDefault="00B13BE8" w:rsidP="00A76DBA">
            <w:pPr>
              <w:spacing w:line="360" w:lineRule="auto"/>
              <w:jc w:val="both"/>
              <w:rPr>
                <w:rFonts w:ascii="Arial Narrow" w:hAnsi="Arial Narrow" w:cs="Arial"/>
                <w:sz w:val="24"/>
                <w:szCs w:val="24"/>
              </w:rPr>
            </w:pPr>
            <w:r>
              <w:rPr>
                <w:rFonts w:ascii="Arial Narrow" w:hAnsi="Arial Narrow" w:cs="Arial"/>
                <w:sz w:val="24"/>
                <w:szCs w:val="24"/>
              </w:rPr>
              <w:t xml:space="preserve">CR </w:t>
            </w:r>
            <w:r w:rsidR="00A72D0A">
              <w:rPr>
                <w:rFonts w:ascii="Arial Narrow" w:hAnsi="Arial Narrow" w:cs="Arial"/>
                <w:sz w:val="24"/>
                <w:szCs w:val="24"/>
              </w:rPr>
              <w:t>37</w:t>
            </w:r>
            <w:r>
              <w:rPr>
                <w:rFonts w:ascii="Arial Narrow" w:hAnsi="Arial Narrow" w:cs="Arial"/>
                <w:sz w:val="24"/>
                <w:szCs w:val="24"/>
              </w:rPr>
              <w:t>/2019</w:t>
            </w:r>
          </w:p>
        </w:tc>
      </w:tr>
      <w:tr w:rsidR="00D35047" w:rsidRPr="001B0FDD" w:rsidTr="00A76DBA">
        <w:trPr>
          <w:trHeight w:val="844"/>
        </w:trPr>
        <w:tc>
          <w:tcPr>
            <w:tcW w:w="5397" w:type="dxa"/>
            <w:gridSpan w:val="2"/>
          </w:tcPr>
          <w:p w:rsidR="00D35047" w:rsidRPr="00370E0F" w:rsidRDefault="00B13BE8" w:rsidP="00B13BE8">
            <w:pPr>
              <w:spacing w:line="360" w:lineRule="auto"/>
              <w:jc w:val="both"/>
              <w:rPr>
                <w:rFonts w:ascii="Arial Narrow" w:hAnsi="Arial Narrow" w:cs="Arial"/>
                <w:b/>
                <w:sz w:val="24"/>
                <w:szCs w:val="24"/>
              </w:rPr>
            </w:pPr>
            <w:r w:rsidRPr="00370E0F">
              <w:rPr>
                <w:rFonts w:ascii="Arial Narrow" w:hAnsi="Arial Narrow" w:cs="Arial"/>
                <w:b/>
                <w:sz w:val="24"/>
                <w:szCs w:val="24"/>
              </w:rPr>
              <w:t>High Court MD Review No:</w:t>
            </w:r>
          </w:p>
          <w:p w:rsidR="00B13BE8" w:rsidRPr="00370E0F" w:rsidRDefault="009A0F10" w:rsidP="00B13BE8">
            <w:pPr>
              <w:spacing w:line="360" w:lineRule="auto"/>
              <w:jc w:val="both"/>
              <w:rPr>
                <w:rFonts w:ascii="Arial Narrow" w:hAnsi="Arial Narrow" w:cs="Arial"/>
                <w:sz w:val="24"/>
                <w:szCs w:val="24"/>
              </w:rPr>
            </w:pPr>
            <w:r>
              <w:rPr>
                <w:rFonts w:ascii="Arial Narrow" w:hAnsi="Arial Narrow" w:cs="Arial"/>
                <w:sz w:val="24"/>
                <w:szCs w:val="24"/>
              </w:rPr>
              <w:t>165/2019</w:t>
            </w:r>
          </w:p>
        </w:tc>
        <w:tc>
          <w:tcPr>
            <w:tcW w:w="4323" w:type="dxa"/>
          </w:tcPr>
          <w:p w:rsidR="00D35047" w:rsidRPr="001B0FDD" w:rsidRDefault="00D35047" w:rsidP="00A76DBA">
            <w:pPr>
              <w:spacing w:line="360" w:lineRule="auto"/>
              <w:jc w:val="both"/>
              <w:rPr>
                <w:rFonts w:ascii="Arial Narrow" w:hAnsi="Arial Narrow" w:cs="Arial"/>
                <w:sz w:val="24"/>
                <w:szCs w:val="24"/>
              </w:rPr>
            </w:pPr>
            <w:r w:rsidRPr="001B0FDD">
              <w:rPr>
                <w:rFonts w:ascii="Arial Narrow" w:hAnsi="Arial Narrow" w:cs="Arial"/>
                <w:b/>
                <w:sz w:val="24"/>
                <w:szCs w:val="24"/>
              </w:rPr>
              <w:t>Division of Court:</w:t>
            </w:r>
          </w:p>
          <w:p w:rsidR="00D35047" w:rsidRPr="001B0FDD" w:rsidRDefault="00D35047" w:rsidP="00A76DBA">
            <w:pPr>
              <w:spacing w:line="360" w:lineRule="auto"/>
              <w:jc w:val="both"/>
              <w:rPr>
                <w:rFonts w:ascii="Arial Narrow" w:hAnsi="Arial Narrow" w:cs="Arial"/>
                <w:sz w:val="24"/>
                <w:szCs w:val="24"/>
              </w:rPr>
            </w:pPr>
            <w:r w:rsidRPr="001B0FDD">
              <w:rPr>
                <w:rFonts w:ascii="Arial Narrow" w:hAnsi="Arial Narrow" w:cs="Arial"/>
                <w:sz w:val="24"/>
                <w:szCs w:val="24"/>
              </w:rPr>
              <w:t>Main Division</w:t>
            </w:r>
          </w:p>
        </w:tc>
      </w:tr>
      <w:tr w:rsidR="00D35047" w:rsidRPr="001B0FDD" w:rsidTr="00A76DBA">
        <w:trPr>
          <w:trHeight w:val="1662"/>
        </w:trPr>
        <w:tc>
          <w:tcPr>
            <w:tcW w:w="5397" w:type="dxa"/>
            <w:gridSpan w:val="2"/>
          </w:tcPr>
          <w:p w:rsidR="00D35047" w:rsidRPr="00370E0F" w:rsidRDefault="00D35047" w:rsidP="00A76DBA">
            <w:pPr>
              <w:spacing w:line="360" w:lineRule="auto"/>
              <w:jc w:val="both"/>
              <w:rPr>
                <w:rFonts w:ascii="Arial Narrow" w:hAnsi="Arial Narrow" w:cs="Arial"/>
                <w:b/>
                <w:sz w:val="24"/>
                <w:szCs w:val="24"/>
              </w:rPr>
            </w:pPr>
            <w:r w:rsidRPr="00370E0F">
              <w:rPr>
                <w:rFonts w:ascii="Arial Narrow" w:hAnsi="Arial Narrow" w:cs="Arial"/>
                <w:b/>
                <w:sz w:val="24"/>
                <w:szCs w:val="24"/>
              </w:rPr>
              <w:t>Heard before:</w:t>
            </w:r>
          </w:p>
          <w:p w:rsidR="00D35047" w:rsidRPr="00370E0F" w:rsidRDefault="00D35047" w:rsidP="00A76DBA">
            <w:pPr>
              <w:spacing w:line="360" w:lineRule="auto"/>
              <w:jc w:val="both"/>
              <w:rPr>
                <w:rFonts w:ascii="Arial Narrow" w:hAnsi="Arial Narrow" w:cs="Arial"/>
                <w:i/>
                <w:sz w:val="24"/>
                <w:szCs w:val="24"/>
              </w:rPr>
            </w:pPr>
            <w:r w:rsidRPr="00370E0F">
              <w:rPr>
                <w:rFonts w:ascii="Arial Narrow" w:hAnsi="Arial Narrow" w:cs="Arial"/>
                <w:sz w:val="24"/>
                <w:szCs w:val="24"/>
              </w:rPr>
              <w:t xml:space="preserve">Mr Justice </w:t>
            </w:r>
            <w:r w:rsidR="00EC6886" w:rsidRPr="00370E0F">
              <w:rPr>
                <w:rFonts w:ascii="Arial Narrow" w:hAnsi="Arial Narrow" w:cs="Arial"/>
                <w:sz w:val="24"/>
                <w:szCs w:val="24"/>
              </w:rPr>
              <w:t>Liebenberg</w:t>
            </w:r>
            <w:r w:rsidRPr="00370E0F">
              <w:rPr>
                <w:rFonts w:ascii="Arial Narrow" w:hAnsi="Arial Narrow" w:cs="Arial"/>
                <w:sz w:val="24"/>
                <w:szCs w:val="24"/>
              </w:rPr>
              <w:t xml:space="preserve"> </w:t>
            </w:r>
            <w:r w:rsidRPr="00370E0F">
              <w:rPr>
                <w:rFonts w:ascii="Arial Narrow" w:hAnsi="Arial Narrow" w:cs="Arial"/>
                <w:i/>
                <w:sz w:val="24"/>
                <w:szCs w:val="24"/>
              </w:rPr>
              <w:t>et</w:t>
            </w:r>
          </w:p>
          <w:p w:rsidR="00D35047" w:rsidRPr="00370E0F" w:rsidRDefault="009A0F10" w:rsidP="00B13BE8">
            <w:pPr>
              <w:spacing w:line="360" w:lineRule="auto"/>
              <w:jc w:val="both"/>
              <w:rPr>
                <w:rFonts w:ascii="Arial Narrow" w:hAnsi="Arial Narrow" w:cs="Arial"/>
                <w:sz w:val="24"/>
                <w:szCs w:val="24"/>
              </w:rPr>
            </w:pPr>
            <w:r>
              <w:rPr>
                <w:rFonts w:ascii="Arial Narrow" w:hAnsi="Arial Narrow" w:cs="Arial"/>
                <w:sz w:val="24"/>
                <w:szCs w:val="24"/>
              </w:rPr>
              <w:t>Mr Justice Miller (Acting</w:t>
            </w:r>
            <w:r w:rsidR="003C070D" w:rsidRPr="00370E0F">
              <w:rPr>
                <w:rFonts w:ascii="Arial Narrow" w:hAnsi="Arial Narrow" w:cs="Arial"/>
                <w:sz w:val="24"/>
                <w:szCs w:val="24"/>
              </w:rPr>
              <w:t>)</w:t>
            </w:r>
          </w:p>
        </w:tc>
        <w:tc>
          <w:tcPr>
            <w:tcW w:w="4323" w:type="dxa"/>
          </w:tcPr>
          <w:p w:rsidR="00D35047" w:rsidRPr="001B0FDD" w:rsidRDefault="00D35047" w:rsidP="00A76DBA">
            <w:pPr>
              <w:spacing w:line="360" w:lineRule="auto"/>
              <w:jc w:val="both"/>
              <w:rPr>
                <w:rFonts w:ascii="Arial Narrow" w:hAnsi="Arial Narrow" w:cs="Arial"/>
                <w:b/>
                <w:sz w:val="24"/>
                <w:szCs w:val="24"/>
              </w:rPr>
            </w:pPr>
            <w:r w:rsidRPr="001B0FDD">
              <w:rPr>
                <w:rFonts w:ascii="Arial Narrow" w:hAnsi="Arial Narrow" w:cs="Arial"/>
                <w:b/>
                <w:sz w:val="24"/>
                <w:szCs w:val="24"/>
              </w:rPr>
              <w:t>Delivered on:</w:t>
            </w:r>
          </w:p>
          <w:p w:rsidR="00D35047" w:rsidRPr="001B0FDD" w:rsidRDefault="00B13BE8" w:rsidP="00A52DB4">
            <w:pPr>
              <w:spacing w:line="360" w:lineRule="auto"/>
              <w:jc w:val="both"/>
              <w:rPr>
                <w:rFonts w:ascii="Arial Narrow" w:hAnsi="Arial Narrow" w:cs="Arial"/>
                <w:sz w:val="24"/>
                <w:szCs w:val="24"/>
              </w:rPr>
            </w:pPr>
            <w:r>
              <w:rPr>
                <w:rFonts w:ascii="Arial Narrow" w:hAnsi="Arial Narrow" w:cs="Arial"/>
                <w:sz w:val="24"/>
                <w:szCs w:val="24"/>
              </w:rPr>
              <w:t xml:space="preserve"> </w:t>
            </w:r>
            <w:r w:rsidR="00A72D0A">
              <w:rPr>
                <w:rFonts w:ascii="Arial Narrow" w:hAnsi="Arial Narrow" w:cs="Arial"/>
                <w:sz w:val="24"/>
                <w:szCs w:val="24"/>
              </w:rPr>
              <w:t xml:space="preserve">13 </w:t>
            </w:r>
            <w:r w:rsidR="003C070D">
              <w:rPr>
                <w:rFonts w:ascii="Arial Narrow" w:hAnsi="Arial Narrow" w:cs="Arial"/>
                <w:sz w:val="24"/>
                <w:szCs w:val="24"/>
              </w:rPr>
              <w:t>May</w:t>
            </w:r>
            <w:r w:rsidR="000141CC">
              <w:rPr>
                <w:rFonts w:ascii="Arial Narrow" w:hAnsi="Arial Narrow" w:cs="Arial"/>
                <w:sz w:val="24"/>
                <w:szCs w:val="24"/>
              </w:rPr>
              <w:t xml:space="preserve"> </w:t>
            </w:r>
            <w:r>
              <w:rPr>
                <w:rFonts w:ascii="Arial Narrow" w:hAnsi="Arial Narrow" w:cs="Arial"/>
                <w:sz w:val="24"/>
                <w:szCs w:val="24"/>
              </w:rPr>
              <w:t>2019</w:t>
            </w:r>
          </w:p>
        </w:tc>
      </w:tr>
      <w:tr w:rsidR="00D35047" w:rsidRPr="001B0FDD" w:rsidTr="00A76DBA">
        <w:tc>
          <w:tcPr>
            <w:tcW w:w="9720" w:type="dxa"/>
            <w:gridSpan w:val="3"/>
          </w:tcPr>
          <w:p w:rsidR="00D35047" w:rsidRPr="00370E0F" w:rsidRDefault="00D35047" w:rsidP="00A76DBA">
            <w:pPr>
              <w:spacing w:line="360" w:lineRule="auto"/>
              <w:jc w:val="both"/>
              <w:rPr>
                <w:rFonts w:ascii="Arial Narrow" w:hAnsi="Arial Narrow" w:cs="Arial"/>
                <w:sz w:val="24"/>
                <w:szCs w:val="24"/>
              </w:rPr>
            </w:pPr>
            <w:r w:rsidRPr="00370E0F">
              <w:rPr>
                <w:rFonts w:ascii="Arial Narrow" w:hAnsi="Arial Narrow" w:cs="Arial"/>
                <w:b/>
                <w:sz w:val="24"/>
                <w:szCs w:val="24"/>
              </w:rPr>
              <w:t xml:space="preserve">Neutral citation: </w:t>
            </w:r>
            <w:bookmarkStart w:id="0" w:name="_GoBack"/>
            <w:r w:rsidRPr="00370E0F">
              <w:rPr>
                <w:rFonts w:ascii="Arial Narrow" w:hAnsi="Arial Narrow" w:cs="Arial"/>
                <w:i/>
                <w:sz w:val="24"/>
                <w:szCs w:val="24"/>
              </w:rPr>
              <w:t>S v</w:t>
            </w:r>
            <w:r w:rsidR="00290365" w:rsidRPr="00370E0F">
              <w:rPr>
                <w:rFonts w:ascii="Arial Narrow" w:hAnsi="Arial Narrow" w:cs="Arial"/>
                <w:i/>
                <w:sz w:val="24"/>
                <w:szCs w:val="24"/>
              </w:rPr>
              <w:t xml:space="preserve"> </w:t>
            </w:r>
            <w:r w:rsidR="009A0F10">
              <w:rPr>
                <w:rFonts w:ascii="Arial Narrow" w:hAnsi="Arial Narrow" w:cs="Arial"/>
                <w:i/>
                <w:sz w:val="24"/>
                <w:szCs w:val="24"/>
              </w:rPr>
              <w:t>Mavetarakune</w:t>
            </w:r>
            <w:r w:rsidR="00A32185">
              <w:rPr>
                <w:rFonts w:ascii="Arial Narrow" w:hAnsi="Arial Narrow" w:cs="Arial"/>
                <w:i/>
                <w:sz w:val="24"/>
                <w:szCs w:val="24"/>
              </w:rPr>
              <w:t>i</w:t>
            </w:r>
            <w:r w:rsidRPr="00370E0F">
              <w:rPr>
                <w:rFonts w:ascii="Arial Narrow" w:hAnsi="Arial Narrow" w:cs="Arial"/>
                <w:sz w:val="24"/>
                <w:szCs w:val="24"/>
              </w:rPr>
              <w:t xml:space="preserve"> (</w:t>
            </w:r>
            <w:r w:rsidR="00EC6886" w:rsidRPr="00370E0F">
              <w:rPr>
                <w:rFonts w:ascii="Arial Narrow" w:hAnsi="Arial Narrow" w:cs="Arial"/>
                <w:sz w:val="24"/>
                <w:szCs w:val="24"/>
              </w:rPr>
              <w:t>CR</w:t>
            </w:r>
            <w:r w:rsidR="00B13BE8" w:rsidRPr="00370E0F">
              <w:rPr>
                <w:rFonts w:ascii="Arial Narrow" w:hAnsi="Arial Narrow" w:cs="Arial"/>
                <w:sz w:val="24"/>
                <w:szCs w:val="24"/>
              </w:rPr>
              <w:t xml:space="preserve"> </w:t>
            </w:r>
            <w:r w:rsidR="00A72D0A">
              <w:rPr>
                <w:rFonts w:ascii="Arial Narrow" w:hAnsi="Arial Narrow" w:cs="Arial"/>
                <w:sz w:val="24"/>
                <w:szCs w:val="24"/>
              </w:rPr>
              <w:t>37</w:t>
            </w:r>
            <w:r w:rsidR="00A52DB4" w:rsidRPr="00370E0F">
              <w:rPr>
                <w:rFonts w:ascii="Arial Narrow" w:hAnsi="Arial Narrow" w:cs="Arial"/>
                <w:sz w:val="24"/>
                <w:szCs w:val="24"/>
              </w:rPr>
              <w:t>/2019</w:t>
            </w:r>
            <w:r w:rsidR="00B13BE8" w:rsidRPr="00370E0F">
              <w:rPr>
                <w:rFonts w:ascii="Arial Narrow" w:hAnsi="Arial Narrow" w:cs="Arial"/>
                <w:sz w:val="24"/>
                <w:szCs w:val="24"/>
              </w:rPr>
              <w:t>) [2019] NAHCMD</w:t>
            </w:r>
            <w:r w:rsidR="00A72D0A">
              <w:rPr>
                <w:rFonts w:ascii="Arial Narrow" w:hAnsi="Arial Narrow" w:cs="Arial"/>
                <w:sz w:val="24"/>
                <w:szCs w:val="24"/>
              </w:rPr>
              <w:t xml:space="preserve"> 144</w:t>
            </w:r>
            <w:r w:rsidR="00B13BE8" w:rsidRPr="00370E0F">
              <w:rPr>
                <w:rFonts w:ascii="Arial Narrow" w:hAnsi="Arial Narrow" w:cs="Arial"/>
                <w:sz w:val="24"/>
                <w:szCs w:val="24"/>
              </w:rPr>
              <w:t xml:space="preserve"> </w:t>
            </w:r>
            <w:r w:rsidRPr="00370E0F">
              <w:rPr>
                <w:rFonts w:ascii="Arial Narrow" w:hAnsi="Arial Narrow" w:cs="Arial"/>
                <w:sz w:val="24"/>
                <w:szCs w:val="24"/>
              </w:rPr>
              <w:t>(</w:t>
            </w:r>
            <w:r w:rsidR="00A72D0A">
              <w:rPr>
                <w:rFonts w:ascii="Arial Narrow" w:hAnsi="Arial Narrow" w:cs="Arial"/>
                <w:sz w:val="24"/>
                <w:szCs w:val="24"/>
              </w:rPr>
              <w:t>13</w:t>
            </w:r>
            <w:r w:rsidRPr="00370E0F">
              <w:rPr>
                <w:rFonts w:ascii="Arial Narrow" w:hAnsi="Arial Narrow" w:cs="Arial"/>
                <w:sz w:val="24"/>
                <w:szCs w:val="24"/>
              </w:rPr>
              <w:t xml:space="preserve"> </w:t>
            </w:r>
            <w:r w:rsidR="003C070D" w:rsidRPr="00370E0F">
              <w:rPr>
                <w:rFonts w:ascii="Arial Narrow" w:hAnsi="Arial Narrow" w:cs="Arial"/>
                <w:sz w:val="24"/>
                <w:szCs w:val="24"/>
              </w:rPr>
              <w:t>May</w:t>
            </w:r>
            <w:r w:rsidR="00290365" w:rsidRPr="00370E0F">
              <w:rPr>
                <w:rFonts w:ascii="Arial Narrow" w:hAnsi="Arial Narrow" w:cs="Arial"/>
                <w:sz w:val="24"/>
                <w:szCs w:val="24"/>
              </w:rPr>
              <w:t xml:space="preserve"> </w:t>
            </w:r>
            <w:r w:rsidR="00B13BE8" w:rsidRPr="00370E0F">
              <w:rPr>
                <w:rFonts w:ascii="Arial Narrow" w:hAnsi="Arial Narrow" w:cs="Arial"/>
                <w:sz w:val="24"/>
                <w:szCs w:val="24"/>
              </w:rPr>
              <w:t>2019</w:t>
            </w:r>
            <w:r w:rsidRPr="00370E0F">
              <w:rPr>
                <w:rFonts w:ascii="Arial Narrow" w:hAnsi="Arial Narrow" w:cs="Arial"/>
                <w:sz w:val="24"/>
                <w:szCs w:val="24"/>
              </w:rPr>
              <w:t>)</w:t>
            </w:r>
            <w:bookmarkEnd w:id="0"/>
          </w:p>
          <w:p w:rsidR="00D35047" w:rsidRPr="00370E0F" w:rsidRDefault="00D35047" w:rsidP="00A76DBA">
            <w:pPr>
              <w:spacing w:line="360" w:lineRule="auto"/>
              <w:jc w:val="both"/>
              <w:rPr>
                <w:rFonts w:ascii="Arial Narrow" w:hAnsi="Arial Narrow" w:cs="Arial"/>
                <w:b/>
                <w:sz w:val="24"/>
                <w:szCs w:val="24"/>
              </w:rPr>
            </w:pPr>
          </w:p>
        </w:tc>
      </w:tr>
      <w:tr w:rsidR="00D35047" w:rsidRPr="00ED330E" w:rsidTr="00A76DBA">
        <w:tc>
          <w:tcPr>
            <w:tcW w:w="9720" w:type="dxa"/>
            <w:gridSpan w:val="3"/>
          </w:tcPr>
          <w:p w:rsidR="00421539" w:rsidRPr="00370E0F" w:rsidRDefault="00D35047" w:rsidP="00A52DB4">
            <w:pPr>
              <w:spacing w:line="360" w:lineRule="auto"/>
              <w:jc w:val="both"/>
              <w:rPr>
                <w:rFonts w:ascii="Arial Narrow" w:hAnsi="Arial Narrow" w:cs="Arial"/>
                <w:b/>
                <w:sz w:val="24"/>
                <w:szCs w:val="24"/>
              </w:rPr>
            </w:pPr>
            <w:r w:rsidRPr="00370E0F">
              <w:rPr>
                <w:rFonts w:ascii="Arial Narrow" w:hAnsi="Arial Narrow" w:cs="Arial"/>
                <w:b/>
                <w:sz w:val="24"/>
                <w:szCs w:val="24"/>
              </w:rPr>
              <w:t>The order:</w:t>
            </w:r>
          </w:p>
          <w:p w:rsidR="00217C27" w:rsidRPr="00283D64" w:rsidRDefault="00217C27" w:rsidP="00217C27">
            <w:pPr>
              <w:pStyle w:val="ListParagraph"/>
              <w:numPr>
                <w:ilvl w:val="0"/>
                <w:numId w:val="13"/>
              </w:numPr>
              <w:spacing w:line="360" w:lineRule="auto"/>
              <w:jc w:val="both"/>
              <w:rPr>
                <w:rFonts w:ascii="Arial Narrow" w:hAnsi="Arial Narrow" w:cs="Arial"/>
                <w:sz w:val="24"/>
                <w:szCs w:val="24"/>
              </w:rPr>
            </w:pPr>
            <w:r w:rsidRPr="00283D64">
              <w:rPr>
                <w:rFonts w:ascii="Arial Narrow" w:hAnsi="Arial Narrow" w:cs="Arial"/>
                <w:sz w:val="24"/>
                <w:szCs w:val="24"/>
              </w:rPr>
              <w:t>The conviction is confirmed</w:t>
            </w:r>
            <w:r>
              <w:rPr>
                <w:rFonts w:ascii="Arial Narrow" w:hAnsi="Arial Narrow" w:cs="Arial"/>
                <w:sz w:val="24"/>
                <w:szCs w:val="24"/>
              </w:rPr>
              <w:t>.</w:t>
            </w:r>
          </w:p>
          <w:p w:rsidR="00217C27" w:rsidRDefault="00217C27" w:rsidP="00217C27">
            <w:pPr>
              <w:pStyle w:val="ListParagraph"/>
              <w:numPr>
                <w:ilvl w:val="0"/>
                <w:numId w:val="13"/>
              </w:numPr>
              <w:spacing w:line="360" w:lineRule="auto"/>
              <w:jc w:val="both"/>
              <w:rPr>
                <w:rFonts w:ascii="Arial Narrow" w:hAnsi="Arial Narrow" w:cs="Arial"/>
                <w:sz w:val="24"/>
                <w:szCs w:val="24"/>
              </w:rPr>
            </w:pPr>
            <w:r w:rsidRPr="00283D64">
              <w:rPr>
                <w:rFonts w:ascii="Arial Narrow" w:hAnsi="Arial Narrow" w:cs="Arial"/>
                <w:sz w:val="24"/>
                <w:szCs w:val="24"/>
              </w:rPr>
              <w:t>Sentence is set aside</w:t>
            </w:r>
            <w:r>
              <w:rPr>
                <w:rFonts w:ascii="Arial Narrow" w:hAnsi="Arial Narrow" w:cs="Arial"/>
                <w:sz w:val="24"/>
                <w:szCs w:val="24"/>
              </w:rPr>
              <w:t xml:space="preserve"> and substituted with the following: </w:t>
            </w:r>
            <w:r w:rsidRPr="00217C27">
              <w:rPr>
                <w:rFonts w:ascii="Arial Narrow" w:hAnsi="Arial Narrow" w:cs="Arial"/>
                <w:sz w:val="24"/>
                <w:szCs w:val="24"/>
              </w:rPr>
              <w:t xml:space="preserve">The accused is </w:t>
            </w:r>
            <w:r>
              <w:rPr>
                <w:rFonts w:ascii="Arial Narrow" w:hAnsi="Arial Narrow" w:cs="Arial"/>
                <w:sz w:val="24"/>
                <w:szCs w:val="24"/>
              </w:rPr>
              <w:t>sentenced to</w:t>
            </w:r>
            <w:r w:rsidRPr="00217C27">
              <w:rPr>
                <w:rFonts w:ascii="Arial Narrow" w:hAnsi="Arial Narrow" w:cs="Arial"/>
                <w:sz w:val="24"/>
                <w:szCs w:val="24"/>
              </w:rPr>
              <w:t xml:space="preserve"> a fine of </w:t>
            </w:r>
            <w:r>
              <w:rPr>
                <w:rFonts w:ascii="Arial Narrow" w:hAnsi="Arial Narrow" w:cs="Arial"/>
                <w:sz w:val="24"/>
                <w:szCs w:val="24"/>
              </w:rPr>
              <w:t xml:space="preserve"> </w:t>
            </w:r>
          </w:p>
          <w:p w:rsidR="00217C27" w:rsidRDefault="00217C27" w:rsidP="00217C27">
            <w:pPr>
              <w:pStyle w:val="ListParagraph"/>
              <w:spacing w:line="360" w:lineRule="auto"/>
              <w:ind w:left="1080"/>
              <w:jc w:val="both"/>
              <w:rPr>
                <w:rFonts w:ascii="Arial Narrow" w:hAnsi="Arial Narrow" w:cs="Arial"/>
                <w:sz w:val="24"/>
                <w:szCs w:val="24"/>
              </w:rPr>
            </w:pPr>
            <w:r w:rsidRPr="00217C27">
              <w:rPr>
                <w:rFonts w:ascii="Arial Narrow" w:hAnsi="Arial Narrow" w:cs="Arial"/>
                <w:sz w:val="24"/>
                <w:szCs w:val="24"/>
              </w:rPr>
              <w:t>N$ 1 500 or</w:t>
            </w:r>
            <w:r>
              <w:rPr>
                <w:rFonts w:ascii="Arial Narrow" w:hAnsi="Arial Narrow" w:cs="Arial"/>
                <w:sz w:val="24"/>
                <w:szCs w:val="24"/>
              </w:rPr>
              <w:t xml:space="preserve">, in default of payment, to </w:t>
            </w:r>
            <w:r w:rsidRPr="00217C27">
              <w:rPr>
                <w:rFonts w:ascii="Arial Narrow" w:hAnsi="Arial Narrow" w:cs="Arial"/>
                <w:sz w:val="24"/>
                <w:szCs w:val="24"/>
              </w:rPr>
              <w:t>four (4) months’ im</w:t>
            </w:r>
            <w:r>
              <w:rPr>
                <w:rFonts w:ascii="Arial Narrow" w:hAnsi="Arial Narrow" w:cs="Arial"/>
                <w:sz w:val="24"/>
                <w:szCs w:val="24"/>
              </w:rPr>
              <w:t>prisonment</w:t>
            </w:r>
            <w:r w:rsidRPr="00217C27">
              <w:rPr>
                <w:rFonts w:ascii="Arial Narrow" w:hAnsi="Arial Narrow" w:cs="Arial"/>
                <w:sz w:val="24"/>
                <w:szCs w:val="24"/>
              </w:rPr>
              <w:t xml:space="preserve">. </w:t>
            </w:r>
          </w:p>
          <w:p w:rsidR="00D35047" w:rsidRPr="00217C27" w:rsidRDefault="00217C27" w:rsidP="00217C27">
            <w:pPr>
              <w:pStyle w:val="ListParagraph"/>
              <w:numPr>
                <w:ilvl w:val="0"/>
                <w:numId w:val="13"/>
              </w:numPr>
              <w:spacing w:line="360" w:lineRule="auto"/>
              <w:jc w:val="both"/>
              <w:rPr>
                <w:rFonts w:ascii="Arial Narrow" w:hAnsi="Arial Narrow" w:cs="Arial"/>
                <w:sz w:val="24"/>
                <w:szCs w:val="24"/>
              </w:rPr>
            </w:pPr>
            <w:r w:rsidRPr="00217C27">
              <w:rPr>
                <w:rFonts w:ascii="Arial Narrow" w:hAnsi="Arial Narrow" w:cs="Arial"/>
                <w:sz w:val="24"/>
                <w:szCs w:val="24"/>
              </w:rPr>
              <w:t>Sentence is antedated to 30/04/2019.</w:t>
            </w:r>
          </w:p>
        </w:tc>
      </w:tr>
      <w:tr w:rsidR="00D35047" w:rsidRPr="001B0FDD" w:rsidTr="00A76DBA">
        <w:tc>
          <w:tcPr>
            <w:tcW w:w="9720" w:type="dxa"/>
            <w:gridSpan w:val="3"/>
          </w:tcPr>
          <w:p w:rsidR="000D3FC6" w:rsidRPr="00370E0F" w:rsidRDefault="00D35047" w:rsidP="00A76DBA">
            <w:pPr>
              <w:spacing w:line="360" w:lineRule="auto"/>
              <w:jc w:val="both"/>
              <w:rPr>
                <w:rFonts w:ascii="Arial Narrow" w:hAnsi="Arial Narrow" w:cs="Arial"/>
                <w:b/>
                <w:sz w:val="24"/>
                <w:szCs w:val="24"/>
              </w:rPr>
            </w:pPr>
            <w:r w:rsidRPr="00370E0F">
              <w:rPr>
                <w:rFonts w:ascii="Arial Narrow" w:hAnsi="Arial Narrow" w:cs="Arial"/>
                <w:b/>
                <w:sz w:val="24"/>
                <w:szCs w:val="24"/>
              </w:rPr>
              <w:t>Reasons for order:</w:t>
            </w:r>
          </w:p>
        </w:tc>
      </w:tr>
      <w:tr w:rsidR="00D35047" w:rsidRPr="00FE65E1" w:rsidTr="00A76DBA">
        <w:tc>
          <w:tcPr>
            <w:tcW w:w="9720" w:type="dxa"/>
            <w:gridSpan w:val="3"/>
          </w:tcPr>
          <w:p w:rsidR="00D35047" w:rsidRPr="00370E0F" w:rsidRDefault="00D35047" w:rsidP="00A76DBA">
            <w:pPr>
              <w:spacing w:line="360" w:lineRule="auto"/>
              <w:jc w:val="both"/>
              <w:rPr>
                <w:rFonts w:ascii="Arial Narrow" w:hAnsi="Arial Narrow" w:cs="Arial"/>
                <w:sz w:val="24"/>
                <w:szCs w:val="24"/>
              </w:rPr>
            </w:pPr>
            <w:r w:rsidRPr="00370E0F">
              <w:rPr>
                <w:rFonts w:ascii="Arial Narrow" w:hAnsi="Arial Narrow" w:cs="Arial"/>
                <w:sz w:val="24"/>
                <w:szCs w:val="24"/>
              </w:rPr>
              <w:t xml:space="preserve">LIEBENBERG J (concurring </w:t>
            </w:r>
            <w:r w:rsidR="009A0F10">
              <w:rPr>
                <w:rFonts w:ascii="Arial Narrow" w:hAnsi="Arial Narrow" w:cs="Arial"/>
                <w:sz w:val="24"/>
                <w:szCs w:val="24"/>
              </w:rPr>
              <w:t>MILLER</w:t>
            </w:r>
            <w:r w:rsidR="00BE21EF" w:rsidRPr="00370E0F">
              <w:rPr>
                <w:rFonts w:ascii="Arial Narrow" w:hAnsi="Arial Narrow" w:cs="Arial"/>
                <w:sz w:val="24"/>
                <w:szCs w:val="24"/>
              </w:rPr>
              <w:t xml:space="preserve"> </w:t>
            </w:r>
            <w:r w:rsidR="009A0F10">
              <w:rPr>
                <w:rFonts w:ascii="Arial Narrow" w:hAnsi="Arial Narrow" w:cs="Arial"/>
                <w:sz w:val="24"/>
                <w:szCs w:val="24"/>
              </w:rPr>
              <w:t>A</w:t>
            </w:r>
            <w:r w:rsidR="00BE21EF" w:rsidRPr="00370E0F">
              <w:rPr>
                <w:rFonts w:ascii="Arial Narrow" w:hAnsi="Arial Narrow" w:cs="Arial"/>
                <w:sz w:val="24"/>
                <w:szCs w:val="24"/>
              </w:rPr>
              <w:t>J</w:t>
            </w:r>
            <w:r w:rsidRPr="00370E0F">
              <w:rPr>
                <w:rFonts w:ascii="Arial Narrow" w:hAnsi="Arial Narrow" w:cs="Arial"/>
                <w:sz w:val="24"/>
                <w:szCs w:val="24"/>
              </w:rPr>
              <w:t>)</w:t>
            </w:r>
          </w:p>
          <w:p w:rsidR="00D35047" w:rsidRPr="00370E0F" w:rsidRDefault="00D35047" w:rsidP="00A76DBA">
            <w:pPr>
              <w:spacing w:line="360" w:lineRule="auto"/>
              <w:jc w:val="both"/>
              <w:rPr>
                <w:rFonts w:ascii="Arial Narrow" w:hAnsi="Arial Narrow" w:cs="Arial"/>
                <w:sz w:val="24"/>
                <w:szCs w:val="24"/>
              </w:rPr>
            </w:pPr>
          </w:p>
          <w:p w:rsidR="00C77991" w:rsidRDefault="005D5006" w:rsidP="00283D64">
            <w:pPr>
              <w:pStyle w:val="ListParagraph"/>
              <w:numPr>
                <w:ilvl w:val="0"/>
                <w:numId w:val="8"/>
              </w:numPr>
              <w:spacing w:line="360" w:lineRule="auto"/>
              <w:jc w:val="both"/>
              <w:rPr>
                <w:rFonts w:ascii="Arial Narrow" w:hAnsi="Arial Narrow" w:cs="Arial"/>
                <w:sz w:val="24"/>
                <w:szCs w:val="24"/>
                <w:lang w:val="en-GB"/>
              </w:rPr>
            </w:pPr>
            <w:r w:rsidRPr="00370E0F">
              <w:rPr>
                <w:rFonts w:ascii="Arial Narrow" w:hAnsi="Arial Narrow" w:cs="Arial"/>
                <w:sz w:val="24"/>
                <w:szCs w:val="24"/>
                <w:lang w:val="en-GB"/>
              </w:rPr>
              <w:t>T</w:t>
            </w:r>
            <w:r w:rsidR="00D35047" w:rsidRPr="00370E0F">
              <w:rPr>
                <w:rFonts w:ascii="Arial Narrow" w:hAnsi="Arial Narrow" w:cs="Arial"/>
                <w:sz w:val="24"/>
                <w:szCs w:val="24"/>
                <w:lang w:val="en-GB"/>
              </w:rPr>
              <w:t>his is a review in terms of s</w:t>
            </w:r>
            <w:r w:rsidR="00EC6886" w:rsidRPr="00370E0F">
              <w:rPr>
                <w:rFonts w:ascii="Arial Narrow" w:hAnsi="Arial Narrow" w:cs="Arial"/>
                <w:sz w:val="24"/>
                <w:szCs w:val="24"/>
                <w:lang w:val="en-GB"/>
              </w:rPr>
              <w:t xml:space="preserve"> 30</w:t>
            </w:r>
            <w:r w:rsidR="00C77991">
              <w:rPr>
                <w:rFonts w:ascii="Arial Narrow" w:hAnsi="Arial Narrow" w:cs="Arial"/>
                <w:sz w:val="24"/>
                <w:szCs w:val="24"/>
                <w:lang w:val="en-GB"/>
              </w:rPr>
              <w:t>2(1)</w:t>
            </w:r>
            <w:r w:rsidR="00A32185">
              <w:rPr>
                <w:rFonts w:ascii="Arial Narrow" w:hAnsi="Arial Narrow" w:cs="Arial"/>
                <w:sz w:val="24"/>
                <w:szCs w:val="24"/>
                <w:lang w:val="en-GB"/>
              </w:rPr>
              <w:t xml:space="preserve"> </w:t>
            </w:r>
            <w:r w:rsidR="003C070D" w:rsidRPr="00370E0F">
              <w:rPr>
                <w:rFonts w:ascii="Arial Narrow" w:hAnsi="Arial Narrow" w:cs="Arial"/>
                <w:sz w:val="24"/>
                <w:szCs w:val="24"/>
                <w:lang w:val="en-GB"/>
              </w:rPr>
              <w:t>of the Criminal Procedure Act</w:t>
            </w:r>
            <w:r w:rsidR="00C77991">
              <w:rPr>
                <w:rFonts w:ascii="Arial Narrow" w:hAnsi="Arial Narrow" w:cs="Arial"/>
                <w:sz w:val="24"/>
                <w:szCs w:val="24"/>
                <w:lang w:val="en-GB"/>
              </w:rPr>
              <w:t xml:space="preserve"> 51 of 1977 (the Act</w:t>
            </w:r>
            <w:r w:rsidR="005A3949" w:rsidRPr="00370E0F">
              <w:rPr>
                <w:rFonts w:ascii="Arial Narrow" w:hAnsi="Arial Narrow" w:cs="Arial"/>
                <w:sz w:val="24"/>
                <w:szCs w:val="24"/>
                <w:lang w:val="en-GB"/>
              </w:rPr>
              <w:t>)</w:t>
            </w:r>
            <w:r w:rsidR="003C070D" w:rsidRPr="00370E0F">
              <w:rPr>
                <w:rFonts w:ascii="Arial Narrow" w:hAnsi="Arial Narrow" w:cs="Arial"/>
                <w:sz w:val="24"/>
                <w:szCs w:val="24"/>
                <w:lang w:val="en-GB"/>
              </w:rPr>
              <w:t xml:space="preserve">. </w:t>
            </w:r>
          </w:p>
          <w:p w:rsidR="00283D64" w:rsidRPr="008F151B" w:rsidRDefault="00283D64" w:rsidP="008F151B">
            <w:pPr>
              <w:spacing w:line="360" w:lineRule="auto"/>
              <w:jc w:val="both"/>
              <w:rPr>
                <w:rFonts w:ascii="Arial Narrow" w:hAnsi="Arial Narrow" w:cs="Arial"/>
                <w:sz w:val="24"/>
                <w:szCs w:val="24"/>
                <w:lang w:val="en-GB"/>
              </w:rPr>
            </w:pPr>
          </w:p>
          <w:p w:rsidR="00CB007B" w:rsidRDefault="00C77991" w:rsidP="00283D64">
            <w:pPr>
              <w:pStyle w:val="ListParagraph"/>
              <w:numPr>
                <w:ilvl w:val="0"/>
                <w:numId w:val="8"/>
              </w:numPr>
              <w:spacing w:line="360" w:lineRule="auto"/>
              <w:jc w:val="both"/>
              <w:rPr>
                <w:rFonts w:ascii="Arial Narrow" w:hAnsi="Arial Narrow" w:cs="Arial"/>
                <w:sz w:val="24"/>
                <w:szCs w:val="24"/>
                <w:lang w:val="en-GB"/>
              </w:rPr>
            </w:pPr>
            <w:r>
              <w:rPr>
                <w:rFonts w:ascii="Arial Narrow" w:hAnsi="Arial Narrow" w:cs="Arial"/>
                <w:sz w:val="24"/>
                <w:szCs w:val="24"/>
                <w:lang w:val="en-GB"/>
              </w:rPr>
              <w:t xml:space="preserve">The accused was charged </w:t>
            </w:r>
            <w:r w:rsidR="00196138">
              <w:rPr>
                <w:rFonts w:ascii="Arial Narrow" w:hAnsi="Arial Narrow" w:cs="Arial"/>
                <w:sz w:val="24"/>
                <w:szCs w:val="24"/>
                <w:lang w:val="en-GB"/>
              </w:rPr>
              <w:t>with one</w:t>
            </w:r>
            <w:r w:rsidR="00E20720">
              <w:rPr>
                <w:rFonts w:ascii="Arial Narrow" w:hAnsi="Arial Narrow" w:cs="Arial"/>
                <w:sz w:val="24"/>
                <w:szCs w:val="24"/>
                <w:lang w:val="en-GB"/>
              </w:rPr>
              <w:t xml:space="preserve"> count of theft </w:t>
            </w:r>
            <w:r>
              <w:rPr>
                <w:rFonts w:ascii="Arial Narrow" w:hAnsi="Arial Narrow" w:cs="Arial"/>
                <w:sz w:val="24"/>
                <w:szCs w:val="24"/>
                <w:lang w:val="en-GB"/>
              </w:rPr>
              <w:t xml:space="preserve">in the magistrate’s court for the district </w:t>
            </w:r>
            <w:r w:rsidR="00DC58ED">
              <w:rPr>
                <w:rFonts w:ascii="Arial Narrow" w:hAnsi="Arial Narrow" w:cs="Arial"/>
                <w:sz w:val="24"/>
                <w:szCs w:val="24"/>
                <w:lang w:val="en-GB"/>
              </w:rPr>
              <w:t xml:space="preserve">of </w:t>
            </w:r>
            <w:r w:rsidR="00196138">
              <w:rPr>
                <w:rFonts w:ascii="Arial Narrow" w:hAnsi="Arial Narrow" w:cs="Arial"/>
                <w:sz w:val="24"/>
                <w:szCs w:val="24"/>
                <w:lang w:val="en-GB"/>
              </w:rPr>
              <w:t>Okakarara i</w:t>
            </w:r>
            <w:r w:rsidR="00E20720">
              <w:rPr>
                <w:rFonts w:ascii="Arial Narrow" w:hAnsi="Arial Narrow" w:cs="Arial"/>
                <w:sz w:val="24"/>
                <w:szCs w:val="24"/>
                <w:lang w:val="en-GB"/>
              </w:rPr>
              <w:t>n that t</w:t>
            </w:r>
            <w:r>
              <w:rPr>
                <w:rFonts w:ascii="Arial Narrow" w:hAnsi="Arial Narrow" w:cs="Arial"/>
                <w:sz w:val="24"/>
                <w:szCs w:val="24"/>
                <w:lang w:val="en-GB"/>
              </w:rPr>
              <w:t>he accused unlawfully and intentionally stole items fro</w:t>
            </w:r>
            <w:r w:rsidR="00E20720">
              <w:rPr>
                <w:rFonts w:ascii="Arial Narrow" w:hAnsi="Arial Narrow" w:cs="Arial"/>
                <w:sz w:val="24"/>
                <w:szCs w:val="24"/>
                <w:lang w:val="en-GB"/>
              </w:rPr>
              <w:t>m Pep Stores valued at N$ 169.97. The accused</w:t>
            </w:r>
            <w:r>
              <w:rPr>
                <w:rFonts w:ascii="Arial Narrow" w:hAnsi="Arial Narrow" w:cs="Arial"/>
                <w:sz w:val="24"/>
                <w:szCs w:val="24"/>
                <w:lang w:val="en-GB"/>
              </w:rPr>
              <w:t xml:space="preserve"> pleaded guilty and the </w:t>
            </w:r>
            <w:r w:rsidR="00196138">
              <w:rPr>
                <w:rFonts w:ascii="Arial Narrow" w:hAnsi="Arial Narrow" w:cs="Arial"/>
                <w:sz w:val="24"/>
                <w:szCs w:val="24"/>
                <w:lang w:val="en-GB"/>
              </w:rPr>
              <w:t>accused was convicted</w:t>
            </w:r>
            <w:r w:rsidR="00261686">
              <w:rPr>
                <w:rFonts w:ascii="Arial Narrow" w:hAnsi="Arial Narrow" w:cs="Arial"/>
                <w:sz w:val="24"/>
                <w:szCs w:val="24"/>
                <w:lang w:val="en-GB"/>
              </w:rPr>
              <w:t xml:space="preserve"> on his bare</w:t>
            </w:r>
            <w:r w:rsidR="00E20720">
              <w:rPr>
                <w:rFonts w:ascii="Arial Narrow" w:hAnsi="Arial Narrow" w:cs="Arial"/>
                <w:sz w:val="24"/>
                <w:szCs w:val="24"/>
                <w:lang w:val="en-GB"/>
              </w:rPr>
              <w:t xml:space="preserve"> plea by </w:t>
            </w:r>
            <w:r>
              <w:rPr>
                <w:rFonts w:ascii="Arial Narrow" w:hAnsi="Arial Narrow" w:cs="Arial"/>
                <w:sz w:val="24"/>
                <w:szCs w:val="24"/>
                <w:lang w:val="en-GB"/>
              </w:rPr>
              <w:t>in</w:t>
            </w:r>
            <w:r w:rsidR="00E20720">
              <w:rPr>
                <w:rFonts w:ascii="Arial Narrow" w:hAnsi="Arial Narrow" w:cs="Arial"/>
                <w:sz w:val="24"/>
                <w:szCs w:val="24"/>
                <w:lang w:val="en-GB"/>
              </w:rPr>
              <w:t>voking</w:t>
            </w:r>
            <w:r w:rsidR="000C4569">
              <w:rPr>
                <w:rFonts w:ascii="Arial Narrow" w:hAnsi="Arial Narrow" w:cs="Arial"/>
                <w:sz w:val="24"/>
                <w:szCs w:val="24"/>
                <w:lang w:val="en-GB"/>
              </w:rPr>
              <w:t xml:space="preserve"> the provisions of s</w:t>
            </w:r>
            <w:r>
              <w:rPr>
                <w:rFonts w:ascii="Arial Narrow" w:hAnsi="Arial Narrow" w:cs="Arial"/>
                <w:sz w:val="24"/>
                <w:szCs w:val="24"/>
                <w:lang w:val="en-GB"/>
              </w:rPr>
              <w:t xml:space="preserve"> 112(1</w:t>
            </w:r>
            <w:r w:rsidR="00E20720">
              <w:rPr>
                <w:rFonts w:ascii="Arial Narrow" w:hAnsi="Arial Narrow" w:cs="Arial"/>
                <w:sz w:val="24"/>
                <w:szCs w:val="24"/>
                <w:lang w:val="en-GB"/>
              </w:rPr>
              <w:t>)</w:t>
            </w:r>
            <w:r w:rsidR="00E20720" w:rsidRPr="00C77991">
              <w:rPr>
                <w:rFonts w:ascii="Arial Narrow" w:hAnsi="Arial Narrow" w:cs="Arial"/>
                <w:i/>
                <w:sz w:val="24"/>
                <w:szCs w:val="24"/>
                <w:lang w:val="en-GB"/>
              </w:rPr>
              <w:t xml:space="preserve"> (</w:t>
            </w:r>
            <w:r w:rsidRPr="00C77991">
              <w:rPr>
                <w:rFonts w:ascii="Arial Narrow" w:hAnsi="Arial Narrow" w:cs="Arial"/>
                <w:i/>
                <w:sz w:val="24"/>
                <w:szCs w:val="24"/>
                <w:lang w:val="en-GB"/>
              </w:rPr>
              <w:t>a)</w:t>
            </w:r>
            <w:r>
              <w:rPr>
                <w:rFonts w:ascii="Arial Narrow" w:hAnsi="Arial Narrow" w:cs="Arial"/>
                <w:i/>
                <w:sz w:val="24"/>
                <w:szCs w:val="24"/>
                <w:lang w:val="en-GB"/>
              </w:rPr>
              <w:t xml:space="preserve"> </w:t>
            </w:r>
            <w:r>
              <w:rPr>
                <w:rFonts w:ascii="Arial Narrow" w:hAnsi="Arial Narrow" w:cs="Arial"/>
                <w:sz w:val="24"/>
                <w:szCs w:val="24"/>
                <w:lang w:val="en-GB"/>
              </w:rPr>
              <w:t>of the Act</w:t>
            </w:r>
            <w:r w:rsidR="000C4569">
              <w:rPr>
                <w:rFonts w:ascii="Arial Narrow" w:hAnsi="Arial Narrow" w:cs="Arial"/>
                <w:sz w:val="24"/>
                <w:szCs w:val="24"/>
                <w:lang w:val="en-GB"/>
              </w:rPr>
              <w:t>.</w:t>
            </w:r>
          </w:p>
          <w:p w:rsidR="00283D64" w:rsidRPr="008F151B" w:rsidRDefault="00283D64" w:rsidP="008F151B">
            <w:pPr>
              <w:spacing w:line="360" w:lineRule="auto"/>
              <w:jc w:val="both"/>
              <w:rPr>
                <w:rFonts w:ascii="Arial Narrow" w:hAnsi="Arial Narrow" w:cs="Arial"/>
                <w:sz w:val="24"/>
                <w:szCs w:val="24"/>
                <w:lang w:val="en-GB"/>
              </w:rPr>
            </w:pPr>
          </w:p>
          <w:p w:rsidR="00872684" w:rsidRDefault="007A0BF8" w:rsidP="00283D64">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T</w:t>
            </w:r>
            <w:r w:rsidR="00196138">
              <w:rPr>
                <w:rFonts w:ascii="Arial Narrow" w:hAnsi="Arial Narrow" w:cs="Arial"/>
                <w:sz w:val="24"/>
                <w:szCs w:val="24"/>
              </w:rPr>
              <w:t>he State proved one</w:t>
            </w:r>
            <w:r>
              <w:rPr>
                <w:rFonts w:ascii="Arial Narrow" w:hAnsi="Arial Narrow" w:cs="Arial"/>
                <w:sz w:val="24"/>
                <w:szCs w:val="24"/>
              </w:rPr>
              <w:t xml:space="preserve"> previous conviction of theft, which </w:t>
            </w:r>
            <w:r w:rsidR="00196138">
              <w:rPr>
                <w:rFonts w:ascii="Arial Narrow" w:hAnsi="Arial Narrow" w:cs="Arial"/>
                <w:sz w:val="24"/>
                <w:szCs w:val="24"/>
              </w:rPr>
              <w:t>was admitted</w:t>
            </w:r>
            <w:r>
              <w:rPr>
                <w:rFonts w:ascii="Arial Narrow" w:hAnsi="Arial Narrow" w:cs="Arial"/>
                <w:sz w:val="24"/>
                <w:szCs w:val="24"/>
              </w:rPr>
              <w:t xml:space="preserve"> by the accused. S</w:t>
            </w:r>
            <w:r w:rsidR="000C4569">
              <w:rPr>
                <w:rFonts w:ascii="Arial Narrow" w:hAnsi="Arial Narrow" w:cs="Arial"/>
                <w:sz w:val="24"/>
                <w:szCs w:val="24"/>
              </w:rPr>
              <w:t>ubsequently</w:t>
            </w:r>
            <w:r>
              <w:rPr>
                <w:rFonts w:ascii="Arial Narrow" w:hAnsi="Arial Narrow" w:cs="Arial"/>
                <w:sz w:val="24"/>
                <w:szCs w:val="24"/>
              </w:rPr>
              <w:t xml:space="preserve"> thereto, the accused was</w:t>
            </w:r>
            <w:r w:rsidR="00C00876">
              <w:rPr>
                <w:rFonts w:ascii="Arial Narrow" w:hAnsi="Arial Narrow" w:cs="Arial"/>
                <w:sz w:val="24"/>
                <w:szCs w:val="24"/>
              </w:rPr>
              <w:t xml:space="preserve"> sentenced to a fine of N$</w:t>
            </w:r>
            <w:r w:rsidR="000C4569">
              <w:rPr>
                <w:rFonts w:ascii="Arial Narrow" w:hAnsi="Arial Narrow" w:cs="Arial"/>
                <w:sz w:val="24"/>
                <w:szCs w:val="24"/>
              </w:rPr>
              <w:t xml:space="preserve">5 000 or, in </w:t>
            </w:r>
            <w:r w:rsidR="00A9197C">
              <w:rPr>
                <w:rFonts w:ascii="Arial Narrow" w:hAnsi="Arial Narrow" w:cs="Arial"/>
                <w:sz w:val="24"/>
                <w:szCs w:val="24"/>
              </w:rPr>
              <w:t>default of</w:t>
            </w:r>
            <w:r w:rsidR="000C4569">
              <w:rPr>
                <w:rFonts w:ascii="Arial Narrow" w:hAnsi="Arial Narrow" w:cs="Arial"/>
                <w:sz w:val="24"/>
                <w:szCs w:val="24"/>
              </w:rPr>
              <w:t xml:space="preserve"> payment, to 4 (four) months’ imprisonment. </w:t>
            </w:r>
            <w:r w:rsidR="00272214">
              <w:rPr>
                <w:rFonts w:ascii="Arial Narrow" w:hAnsi="Arial Narrow" w:cs="Arial"/>
                <w:sz w:val="24"/>
                <w:szCs w:val="24"/>
              </w:rPr>
              <w:t>Though, t</w:t>
            </w:r>
            <w:r w:rsidR="00196138">
              <w:rPr>
                <w:rFonts w:ascii="Arial Narrow" w:hAnsi="Arial Narrow" w:cs="Arial"/>
                <w:sz w:val="24"/>
                <w:szCs w:val="24"/>
              </w:rPr>
              <w:t>he conviction is in order</w:t>
            </w:r>
            <w:r w:rsidR="00A9197C">
              <w:rPr>
                <w:rFonts w:ascii="Arial Narrow" w:hAnsi="Arial Narrow" w:cs="Arial"/>
                <w:sz w:val="24"/>
                <w:szCs w:val="24"/>
              </w:rPr>
              <w:t xml:space="preserve"> a</w:t>
            </w:r>
            <w:r w:rsidR="00272214">
              <w:rPr>
                <w:rFonts w:ascii="Arial Narrow" w:hAnsi="Arial Narrow" w:cs="Arial"/>
                <w:sz w:val="24"/>
                <w:szCs w:val="24"/>
              </w:rPr>
              <w:t xml:space="preserve">nd </w:t>
            </w:r>
            <w:r w:rsidR="00196138">
              <w:rPr>
                <w:rFonts w:ascii="Arial Narrow" w:hAnsi="Arial Narrow" w:cs="Arial"/>
                <w:sz w:val="24"/>
                <w:szCs w:val="24"/>
              </w:rPr>
              <w:t>will</w:t>
            </w:r>
            <w:r w:rsidR="00272214">
              <w:rPr>
                <w:rFonts w:ascii="Arial Narrow" w:hAnsi="Arial Narrow" w:cs="Arial"/>
                <w:sz w:val="24"/>
                <w:szCs w:val="24"/>
              </w:rPr>
              <w:t xml:space="preserve"> be confirmed,</w:t>
            </w:r>
            <w:r w:rsidR="00E20720">
              <w:rPr>
                <w:rFonts w:ascii="Arial Narrow" w:hAnsi="Arial Narrow" w:cs="Arial"/>
                <w:sz w:val="24"/>
                <w:szCs w:val="24"/>
              </w:rPr>
              <w:t xml:space="preserve"> this court</w:t>
            </w:r>
            <w:r w:rsidR="00272214">
              <w:rPr>
                <w:rFonts w:ascii="Arial Narrow" w:hAnsi="Arial Narrow" w:cs="Arial"/>
                <w:sz w:val="24"/>
                <w:szCs w:val="24"/>
              </w:rPr>
              <w:t xml:space="preserve"> takes</w:t>
            </w:r>
            <w:r w:rsidR="00A9197C">
              <w:rPr>
                <w:rFonts w:ascii="Arial Narrow" w:hAnsi="Arial Narrow" w:cs="Arial"/>
                <w:sz w:val="24"/>
                <w:szCs w:val="24"/>
              </w:rPr>
              <w:t xml:space="preserve"> issue </w:t>
            </w:r>
            <w:r w:rsidR="00272214">
              <w:rPr>
                <w:rFonts w:ascii="Arial Narrow" w:hAnsi="Arial Narrow" w:cs="Arial"/>
                <w:sz w:val="24"/>
                <w:szCs w:val="24"/>
              </w:rPr>
              <w:t>with the</w:t>
            </w:r>
            <w:r w:rsidR="00A9197C">
              <w:rPr>
                <w:rFonts w:ascii="Arial Narrow" w:hAnsi="Arial Narrow" w:cs="Arial"/>
                <w:sz w:val="24"/>
                <w:szCs w:val="24"/>
              </w:rPr>
              <w:t xml:space="preserve"> sentence </w:t>
            </w:r>
            <w:r w:rsidR="00272214">
              <w:rPr>
                <w:rFonts w:ascii="Arial Narrow" w:hAnsi="Arial Narrow" w:cs="Arial"/>
                <w:sz w:val="24"/>
                <w:szCs w:val="24"/>
              </w:rPr>
              <w:t>imposed</w:t>
            </w:r>
            <w:r w:rsidR="00A9197C">
              <w:rPr>
                <w:rFonts w:ascii="Arial Narrow" w:hAnsi="Arial Narrow" w:cs="Arial"/>
                <w:sz w:val="24"/>
                <w:szCs w:val="24"/>
              </w:rPr>
              <w:t xml:space="preserve"> in the circumstances.</w:t>
            </w:r>
          </w:p>
          <w:p w:rsidR="00872684" w:rsidRPr="00872684" w:rsidRDefault="00872684" w:rsidP="00283D64">
            <w:pPr>
              <w:pStyle w:val="ListParagraph"/>
              <w:spacing w:line="360" w:lineRule="auto"/>
              <w:rPr>
                <w:rFonts w:ascii="Arial Narrow" w:hAnsi="Arial Narrow" w:cs="Arial"/>
                <w:sz w:val="24"/>
                <w:szCs w:val="24"/>
              </w:rPr>
            </w:pPr>
          </w:p>
          <w:p w:rsidR="008F151B" w:rsidRDefault="008F151B" w:rsidP="008F151B">
            <w:pPr>
              <w:pStyle w:val="ListParagraph"/>
              <w:spacing w:line="360" w:lineRule="auto"/>
              <w:jc w:val="both"/>
              <w:rPr>
                <w:rFonts w:ascii="Arial Narrow" w:hAnsi="Arial Narrow" w:cs="Arial"/>
                <w:sz w:val="24"/>
                <w:szCs w:val="24"/>
              </w:rPr>
            </w:pPr>
          </w:p>
          <w:p w:rsidR="008F151B" w:rsidRPr="008F151B" w:rsidRDefault="008F151B" w:rsidP="008F151B">
            <w:pPr>
              <w:pStyle w:val="ListParagraph"/>
              <w:rPr>
                <w:rFonts w:ascii="Arial Narrow" w:hAnsi="Arial Narrow" w:cs="Arial"/>
                <w:sz w:val="24"/>
                <w:szCs w:val="24"/>
              </w:rPr>
            </w:pPr>
          </w:p>
          <w:p w:rsidR="008F151B" w:rsidRDefault="008F151B" w:rsidP="008F151B">
            <w:pPr>
              <w:pStyle w:val="ListParagraph"/>
              <w:spacing w:line="360" w:lineRule="auto"/>
              <w:jc w:val="both"/>
              <w:rPr>
                <w:rFonts w:ascii="Arial Narrow" w:hAnsi="Arial Narrow" w:cs="Arial"/>
                <w:sz w:val="24"/>
                <w:szCs w:val="24"/>
              </w:rPr>
            </w:pPr>
          </w:p>
          <w:p w:rsidR="006B359A" w:rsidRPr="008F151B" w:rsidRDefault="00272214" w:rsidP="008F151B">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Notwithstanding the fact that i</w:t>
            </w:r>
            <w:r w:rsidR="00872684">
              <w:rPr>
                <w:rFonts w:ascii="Arial Narrow" w:hAnsi="Arial Narrow" w:cs="Arial"/>
                <w:sz w:val="24"/>
                <w:szCs w:val="24"/>
              </w:rPr>
              <w:t>n terms of s</w:t>
            </w:r>
            <w:r w:rsidR="00651C6C">
              <w:rPr>
                <w:rFonts w:ascii="Arial Narrow" w:hAnsi="Arial Narrow" w:cs="Arial"/>
                <w:sz w:val="24"/>
                <w:szCs w:val="24"/>
              </w:rPr>
              <w:t xml:space="preserve"> 304(2) of the Act</w:t>
            </w:r>
            <w:r>
              <w:rPr>
                <w:rFonts w:ascii="Arial Narrow" w:hAnsi="Arial Narrow" w:cs="Arial"/>
                <w:sz w:val="24"/>
                <w:szCs w:val="24"/>
              </w:rPr>
              <w:t xml:space="preserve"> a query </w:t>
            </w:r>
            <w:r w:rsidRPr="00651C6C">
              <w:rPr>
                <w:rFonts w:ascii="Arial Narrow" w:hAnsi="Arial Narrow" w:cs="Arial"/>
                <w:i/>
                <w:sz w:val="24"/>
                <w:szCs w:val="24"/>
              </w:rPr>
              <w:t>shall</w:t>
            </w:r>
            <w:r w:rsidR="00872684">
              <w:rPr>
                <w:rFonts w:ascii="Arial Narrow" w:hAnsi="Arial Narrow" w:cs="Arial"/>
                <w:sz w:val="24"/>
                <w:szCs w:val="24"/>
              </w:rPr>
              <w:t xml:space="preserve"> be delivered to the trial magistrate to furnish reasons for convicting</w:t>
            </w:r>
            <w:r w:rsidR="00651C6C">
              <w:rPr>
                <w:rFonts w:ascii="Arial Narrow" w:hAnsi="Arial Narrow" w:cs="Arial"/>
                <w:sz w:val="24"/>
                <w:szCs w:val="24"/>
              </w:rPr>
              <w:t>,</w:t>
            </w:r>
            <w:r w:rsidR="00872684">
              <w:rPr>
                <w:rFonts w:ascii="Arial Narrow" w:hAnsi="Arial Narrow" w:cs="Arial"/>
                <w:sz w:val="24"/>
                <w:szCs w:val="24"/>
              </w:rPr>
              <w:t xml:space="preserve"> or for imposing a certain sentence</w:t>
            </w:r>
            <w:r>
              <w:rPr>
                <w:rFonts w:ascii="Arial Narrow" w:hAnsi="Arial Narrow" w:cs="Arial"/>
                <w:sz w:val="24"/>
                <w:szCs w:val="24"/>
              </w:rPr>
              <w:t xml:space="preserve"> if it appears to the Judge that the proceedings are not in accordance with justice</w:t>
            </w:r>
            <w:r w:rsidR="005541C3">
              <w:rPr>
                <w:rFonts w:ascii="Arial Narrow" w:hAnsi="Arial Narrow" w:cs="Arial"/>
                <w:sz w:val="24"/>
                <w:szCs w:val="24"/>
              </w:rPr>
              <w:t>,</w:t>
            </w:r>
            <w:r>
              <w:rPr>
                <w:rFonts w:ascii="Arial Narrow" w:hAnsi="Arial Narrow" w:cs="Arial"/>
                <w:sz w:val="24"/>
                <w:szCs w:val="24"/>
              </w:rPr>
              <w:t xml:space="preserve"> or doubt thereto exists, this </w:t>
            </w:r>
            <w:r w:rsidR="00FD5943">
              <w:rPr>
                <w:rFonts w:ascii="Arial Narrow" w:hAnsi="Arial Narrow" w:cs="Arial"/>
                <w:sz w:val="24"/>
                <w:szCs w:val="24"/>
              </w:rPr>
              <w:t xml:space="preserve">requisite </w:t>
            </w:r>
            <w:r>
              <w:rPr>
                <w:rFonts w:ascii="Arial Narrow" w:hAnsi="Arial Narrow" w:cs="Arial"/>
                <w:sz w:val="24"/>
                <w:szCs w:val="24"/>
              </w:rPr>
              <w:t xml:space="preserve">may be </w:t>
            </w:r>
            <w:r w:rsidRPr="008F151B">
              <w:rPr>
                <w:rFonts w:ascii="Arial Narrow" w:hAnsi="Arial Narrow" w:cs="Arial"/>
                <w:sz w:val="24"/>
                <w:szCs w:val="24"/>
              </w:rPr>
              <w:t xml:space="preserve">dispensed with </w:t>
            </w:r>
            <w:r w:rsidR="00FD5943" w:rsidRPr="008F151B">
              <w:rPr>
                <w:rFonts w:ascii="Arial Narrow" w:hAnsi="Arial Narrow" w:cs="Arial"/>
                <w:sz w:val="24"/>
                <w:szCs w:val="24"/>
              </w:rPr>
              <w:t>where the J</w:t>
            </w:r>
            <w:r w:rsidR="00DC58ED" w:rsidRPr="008F151B">
              <w:rPr>
                <w:rFonts w:ascii="Arial Narrow" w:hAnsi="Arial Narrow" w:cs="Arial"/>
                <w:sz w:val="24"/>
                <w:szCs w:val="24"/>
              </w:rPr>
              <w:t>udge concerned is of the view</w:t>
            </w:r>
            <w:r w:rsidR="00FD5943" w:rsidRPr="008F151B">
              <w:rPr>
                <w:rFonts w:ascii="Arial Narrow" w:hAnsi="Arial Narrow" w:cs="Arial"/>
                <w:sz w:val="24"/>
                <w:szCs w:val="24"/>
              </w:rPr>
              <w:t xml:space="preserve"> that the </w:t>
            </w:r>
            <w:r w:rsidR="00FF6EBB" w:rsidRPr="008F151B">
              <w:rPr>
                <w:rFonts w:ascii="Arial Narrow" w:hAnsi="Arial Narrow" w:cs="Arial"/>
                <w:sz w:val="24"/>
                <w:szCs w:val="24"/>
              </w:rPr>
              <w:t>conviction and sentence is clearly not in accordance with justice and the</w:t>
            </w:r>
            <w:r w:rsidR="00DC58ED" w:rsidRPr="008F151B">
              <w:rPr>
                <w:rFonts w:ascii="Arial Narrow" w:hAnsi="Arial Narrow" w:cs="Arial"/>
                <w:sz w:val="24"/>
                <w:szCs w:val="24"/>
              </w:rPr>
              <w:t xml:space="preserve"> court is of the opinion</w:t>
            </w:r>
            <w:r w:rsidR="00247CF9" w:rsidRPr="008F151B">
              <w:rPr>
                <w:rFonts w:ascii="Arial Narrow" w:hAnsi="Arial Narrow" w:cs="Arial"/>
                <w:sz w:val="24"/>
                <w:szCs w:val="24"/>
              </w:rPr>
              <w:t xml:space="preserve"> that </w:t>
            </w:r>
            <w:r w:rsidR="00FF6EBB" w:rsidRPr="008F151B">
              <w:rPr>
                <w:rFonts w:ascii="Arial Narrow" w:hAnsi="Arial Narrow" w:cs="Arial"/>
                <w:sz w:val="24"/>
                <w:szCs w:val="24"/>
              </w:rPr>
              <w:t>the convicted person may be prejudiced</w:t>
            </w:r>
            <w:r w:rsidR="005541C3">
              <w:rPr>
                <w:rFonts w:ascii="Arial Narrow" w:hAnsi="Arial Narrow" w:cs="Arial"/>
                <w:sz w:val="24"/>
                <w:szCs w:val="24"/>
              </w:rPr>
              <w:t xml:space="preserve"> by requesting a statement from the presiding officer</w:t>
            </w:r>
            <w:r w:rsidR="00FF6EBB" w:rsidRPr="008F151B">
              <w:rPr>
                <w:rFonts w:ascii="Arial Narrow" w:hAnsi="Arial Narrow" w:cs="Arial"/>
                <w:sz w:val="24"/>
                <w:szCs w:val="24"/>
              </w:rPr>
              <w:t>.</w:t>
            </w:r>
          </w:p>
          <w:p w:rsidR="006B359A" w:rsidRPr="008F151B" w:rsidRDefault="006B359A" w:rsidP="008F151B">
            <w:pPr>
              <w:spacing w:line="360" w:lineRule="auto"/>
              <w:rPr>
                <w:rFonts w:ascii="Arial Narrow" w:hAnsi="Arial Narrow" w:cs="Arial"/>
                <w:sz w:val="24"/>
                <w:szCs w:val="24"/>
              </w:rPr>
            </w:pPr>
          </w:p>
          <w:p w:rsidR="00D90A31" w:rsidRDefault="00DC58ED" w:rsidP="00283D64">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F</w:t>
            </w:r>
            <w:r w:rsidR="005541C3">
              <w:rPr>
                <w:rFonts w:ascii="Arial Narrow" w:hAnsi="Arial Narrow" w:cs="Arial"/>
                <w:sz w:val="24"/>
                <w:szCs w:val="24"/>
              </w:rPr>
              <w:t>or</w:t>
            </w:r>
            <w:r>
              <w:rPr>
                <w:rFonts w:ascii="Arial Narrow" w:hAnsi="Arial Narrow" w:cs="Arial"/>
                <w:sz w:val="24"/>
                <w:szCs w:val="24"/>
              </w:rPr>
              <w:t xml:space="preserve"> reasons to follow, a statement from the magistrate </w:t>
            </w:r>
            <w:r w:rsidR="00F44E1B">
              <w:rPr>
                <w:rFonts w:ascii="Arial Narrow" w:hAnsi="Arial Narrow" w:cs="Arial"/>
                <w:sz w:val="24"/>
                <w:szCs w:val="24"/>
              </w:rPr>
              <w:t>will not be required</w:t>
            </w:r>
            <w:r w:rsidR="006B359A">
              <w:rPr>
                <w:rFonts w:ascii="Arial Narrow" w:hAnsi="Arial Narrow" w:cs="Arial"/>
                <w:sz w:val="24"/>
                <w:szCs w:val="24"/>
              </w:rPr>
              <w:t>.</w:t>
            </w:r>
          </w:p>
          <w:p w:rsidR="00283D64" w:rsidRPr="008F151B" w:rsidRDefault="00283D64" w:rsidP="008F151B">
            <w:pPr>
              <w:spacing w:line="360" w:lineRule="auto"/>
              <w:rPr>
                <w:rFonts w:ascii="Arial Narrow" w:hAnsi="Arial Narrow" w:cs="Arial"/>
                <w:sz w:val="24"/>
                <w:szCs w:val="24"/>
              </w:rPr>
            </w:pPr>
          </w:p>
          <w:p w:rsidR="00AA0B82" w:rsidRDefault="00D90A31" w:rsidP="00283D64">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The procedure ad</w:t>
            </w:r>
            <w:r w:rsidR="00F44E1B">
              <w:rPr>
                <w:rFonts w:ascii="Arial Narrow" w:hAnsi="Arial Narrow" w:cs="Arial"/>
                <w:sz w:val="24"/>
                <w:szCs w:val="24"/>
              </w:rPr>
              <w:t>opted by the trial court was the invoking of</w:t>
            </w:r>
            <w:r>
              <w:rPr>
                <w:rFonts w:ascii="Arial Narrow" w:hAnsi="Arial Narrow" w:cs="Arial"/>
                <w:sz w:val="24"/>
                <w:szCs w:val="24"/>
              </w:rPr>
              <w:t xml:space="preserve"> s 112(1</w:t>
            </w:r>
            <w:r w:rsidR="0000244F">
              <w:rPr>
                <w:rFonts w:ascii="Arial Narrow" w:hAnsi="Arial Narrow" w:cs="Arial"/>
                <w:sz w:val="24"/>
                <w:szCs w:val="24"/>
              </w:rPr>
              <w:t xml:space="preserve">) </w:t>
            </w:r>
            <w:r w:rsidR="0000244F" w:rsidRPr="008F151B">
              <w:rPr>
                <w:rFonts w:ascii="Arial Narrow" w:hAnsi="Arial Narrow" w:cs="Arial"/>
                <w:i/>
                <w:sz w:val="24"/>
                <w:szCs w:val="24"/>
              </w:rPr>
              <w:t>(</w:t>
            </w:r>
            <w:r w:rsidRPr="008F151B">
              <w:rPr>
                <w:rFonts w:ascii="Arial Narrow" w:hAnsi="Arial Narrow" w:cs="Arial"/>
                <w:i/>
                <w:sz w:val="24"/>
                <w:szCs w:val="24"/>
              </w:rPr>
              <w:t>a)</w:t>
            </w:r>
            <w:r>
              <w:rPr>
                <w:rFonts w:ascii="Arial Narrow" w:hAnsi="Arial Narrow" w:cs="Arial"/>
                <w:sz w:val="24"/>
                <w:szCs w:val="24"/>
              </w:rPr>
              <w:t xml:space="preserve"> of the Act. It is trite </w:t>
            </w:r>
            <w:r w:rsidR="00F44E1B">
              <w:rPr>
                <w:rFonts w:ascii="Arial Narrow" w:hAnsi="Arial Narrow" w:cs="Arial"/>
                <w:sz w:val="24"/>
                <w:szCs w:val="24"/>
              </w:rPr>
              <w:t>law that such a procedure is invoked</w:t>
            </w:r>
            <w:r>
              <w:rPr>
                <w:rFonts w:ascii="Arial Narrow" w:hAnsi="Arial Narrow" w:cs="Arial"/>
                <w:sz w:val="24"/>
                <w:szCs w:val="24"/>
              </w:rPr>
              <w:t xml:space="preserve"> for</w:t>
            </w:r>
            <w:r w:rsidR="00F44E1B">
              <w:rPr>
                <w:rFonts w:ascii="Arial Narrow" w:hAnsi="Arial Narrow" w:cs="Arial"/>
                <w:sz w:val="24"/>
                <w:szCs w:val="24"/>
              </w:rPr>
              <w:t xml:space="preserve"> purposes of</w:t>
            </w:r>
            <w:r>
              <w:rPr>
                <w:rFonts w:ascii="Arial Narrow" w:hAnsi="Arial Narrow" w:cs="Arial"/>
                <w:sz w:val="24"/>
                <w:szCs w:val="24"/>
              </w:rPr>
              <w:t xml:space="preserve"> </w:t>
            </w:r>
            <w:r w:rsidR="00F44E1B">
              <w:rPr>
                <w:rFonts w:ascii="Arial Narrow" w:hAnsi="Arial Narrow" w:cs="Arial"/>
                <w:sz w:val="24"/>
                <w:szCs w:val="24"/>
              </w:rPr>
              <w:t>the speed</w:t>
            </w:r>
            <w:r w:rsidR="00015F3A">
              <w:rPr>
                <w:rFonts w:ascii="Arial Narrow" w:hAnsi="Arial Narrow" w:cs="Arial"/>
                <w:sz w:val="24"/>
                <w:szCs w:val="24"/>
              </w:rPr>
              <w:t xml:space="preserve">y disposal of </w:t>
            </w:r>
            <w:r>
              <w:rPr>
                <w:rFonts w:ascii="Arial Narrow" w:hAnsi="Arial Narrow" w:cs="Arial"/>
                <w:sz w:val="24"/>
                <w:szCs w:val="24"/>
              </w:rPr>
              <w:t xml:space="preserve">minor offences where </w:t>
            </w:r>
            <w:r w:rsidR="00261686">
              <w:rPr>
                <w:rFonts w:ascii="Arial Narrow" w:hAnsi="Arial Narrow" w:cs="Arial"/>
                <w:sz w:val="24"/>
                <w:szCs w:val="24"/>
              </w:rPr>
              <w:t xml:space="preserve">the accused pleaded guilty </w:t>
            </w:r>
            <w:r>
              <w:rPr>
                <w:rFonts w:ascii="Arial Narrow" w:hAnsi="Arial Narrow" w:cs="Arial"/>
                <w:sz w:val="24"/>
                <w:szCs w:val="24"/>
              </w:rPr>
              <w:t xml:space="preserve">and the accused is </w:t>
            </w:r>
            <w:r w:rsidR="005541C3">
              <w:rPr>
                <w:rFonts w:ascii="Arial Narrow" w:hAnsi="Arial Narrow" w:cs="Arial"/>
                <w:sz w:val="24"/>
                <w:szCs w:val="24"/>
              </w:rPr>
              <w:t>not exposed to any serious form</w:t>
            </w:r>
            <w:r>
              <w:rPr>
                <w:rFonts w:ascii="Arial Narrow" w:hAnsi="Arial Narrow" w:cs="Arial"/>
                <w:sz w:val="24"/>
                <w:szCs w:val="24"/>
              </w:rPr>
              <w:t xml:space="preserve"> of punishment.</w:t>
            </w:r>
            <w:r>
              <w:rPr>
                <w:rStyle w:val="FootnoteReference"/>
                <w:rFonts w:ascii="Arial Narrow" w:hAnsi="Arial Narrow" w:cs="Arial"/>
                <w:sz w:val="24"/>
                <w:szCs w:val="24"/>
              </w:rPr>
              <w:footnoteReference w:id="1"/>
            </w:r>
            <w:r>
              <w:rPr>
                <w:rFonts w:ascii="Arial Narrow" w:hAnsi="Arial Narrow" w:cs="Arial"/>
                <w:sz w:val="24"/>
                <w:szCs w:val="24"/>
              </w:rPr>
              <w:t xml:space="preserve"> </w:t>
            </w:r>
            <w:r w:rsidR="00015F3A">
              <w:rPr>
                <w:rFonts w:ascii="Arial Narrow" w:hAnsi="Arial Narrow" w:cs="Arial"/>
                <w:sz w:val="24"/>
                <w:szCs w:val="24"/>
              </w:rPr>
              <w:t>I</w:t>
            </w:r>
            <w:r w:rsidR="0000244F">
              <w:rPr>
                <w:rFonts w:ascii="Arial Narrow" w:hAnsi="Arial Narrow" w:cs="Arial"/>
                <w:sz w:val="24"/>
                <w:szCs w:val="24"/>
              </w:rPr>
              <w:t>n</w:t>
            </w:r>
            <w:r w:rsidR="00BB37FC">
              <w:rPr>
                <w:rFonts w:ascii="Arial Narrow" w:hAnsi="Arial Narrow" w:cs="Arial"/>
                <w:sz w:val="24"/>
                <w:szCs w:val="24"/>
              </w:rPr>
              <w:t xml:space="preserve"> </w:t>
            </w:r>
            <w:r w:rsidR="00BB37FC" w:rsidRPr="00BB37FC">
              <w:rPr>
                <w:rFonts w:ascii="Arial Narrow" w:hAnsi="Arial Narrow" w:cs="Arial"/>
                <w:i/>
                <w:sz w:val="24"/>
                <w:szCs w:val="24"/>
              </w:rPr>
              <w:t>S v Onemus</w:t>
            </w:r>
            <w:r w:rsidR="00BB37FC">
              <w:rPr>
                <w:rStyle w:val="FootnoteReference"/>
                <w:rFonts w:ascii="Arial Narrow" w:hAnsi="Arial Narrow" w:cs="Arial"/>
                <w:i/>
                <w:sz w:val="24"/>
                <w:szCs w:val="24"/>
              </w:rPr>
              <w:footnoteReference w:id="2"/>
            </w:r>
            <w:r w:rsidR="00C8006D">
              <w:rPr>
                <w:rFonts w:ascii="Arial Narrow" w:hAnsi="Arial Narrow" w:cs="Arial"/>
                <w:i/>
                <w:sz w:val="24"/>
                <w:szCs w:val="24"/>
              </w:rPr>
              <w:t xml:space="preserve"> </w:t>
            </w:r>
            <w:r w:rsidR="00C8006D">
              <w:rPr>
                <w:rFonts w:ascii="Arial Narrow" w:hAnsi="Arial Narrow" w:cs="Arial"/>
                <w:sz w:val="24"/>
                <w:szCs w:val="24"/>
              </w:rPr>
              <w:t>the</w:t>
            </w:r>
            <w:r w:rsidR="00AA0B82">
              <w:rPr>
                <w:rFonts w:ascii="Arial Narrow" w:hAnsi="Arial Narrow" w:cs="Arial"/>
                <w:sz w:val="24"/>
                <w:szCs w:val="24"/>
              </w:rPr>
              <w:t xml:space="preserve"> court predicted the implications that the amendment to s 112(1)</w:t>
            </w:r>
            <w:r w:rsidR="00AA0B82" w:rsidRPr="00AA0B82">
              <w:rPr>
                <w:rFonts w:ascii="Arial Narrow" w:hAnsi="Arial Narrow" w:cs="Arial"/>
                <w:i/>
                <w:sz w:val="24"/>
                <w:szCs w:val="24"/>
              </w:rPr>
              <w:t>(a)</w:t>
            </w:r>
            <w:r w:rsidR="00AA0B82">
              <w:rPr>
                <w:rFonts w:ascii="Arial Narrow" w:hAnsi="Arial Narrow" w:cs="Arial"/>
                <w:sz w:val="24"/>
                <w:szCs w:val="24"/>
              </w:rPr>
              <w:t xml:space="preserve"> has:</w:t>
            </w:r>
          </w:p>
          <w:p w:rsidR="00C8006D" w:rsidRPr="00AA0B82" w:rsidRDefault="00AA0B82" w:rsidP="00283D64">
            <w:pPr>
              <w:spacing w:line="360" w:lineRule="auto"/>
              <w:jc w:val="both"/>
              <w:rPr>
                <w:rFonts w:ascii="Arial Narrow" w:hAnsi="Arial Narrow" w:cs="Arial"/>
                <w:sz w:val="24"/>
                <w:szCs w:val="24"/>
              </w:rPr>
            </w:pPr>
            <w:r w:rsidRPr="00AA0B82">
              <w:rPr>
                <w:rFonts w:ascii="Arial Narrow" w:hAnsi="Arial Narrow" w:cs="Arial"/>
                <w:sz w:val="24"/>
                <w:szCs w:val="24"/>
              </w:rPr>
              <w:t xml:space="preserve"> </w:t>
            </w:r>
          </w:p>
          <w:p w:rsidR="00015F3A" w:rsidRPr="005541C3" w:rsidRDefault="00AA0B82" w:rsidP="005541C3">
            <w:pPr>
              <w:pStyle w:val="ListParagraph"/>
              <w:spacing w:line="360" w:lineRule="auto"/>
              <w:jc w:val="both"/>
              <w:rPr>
                <w:rFonts w:ascii="Arial Narrow" w:hAnsi="Arial Narrow" w:cs="Arial"/>
              </w:rPr>
            </w:pPr>
            <w:r>
              <w:rPr>
                <w:rFonts w:ascii="Arial Narrow" w:hAnsi="Arial Narrow" w:cs="Arial"/>
              </w:rPr>
              <w:t xml:space="preserve">        </w:t>
            </w:r>
            <w:r w:rsidR="00C8006D">
              <w:rPr>
                <w:rFonts w:ascii="Arial Narrow" w:hAnsi="Arial Narrow" w:cs="Arial"/>
              </w:rPr>
              <w:t xml:space="preserve">‘. . </w:t>
            </w:r>
            <w:r w:rsidR="0000244F">
              <w:rPr>
                <w:rFonts w:ascii="Arial Narrow" w:hAnsi="Arial Narrow" w:cs="Arial"/>
              </w:rPr>
              <w:t>. because</w:t>
            </w:r>
            <w:r w:rsidR="00C8006D" w:rsidRPr="00C8006D">
              <w:rPr>
                <w:rFonts w:ascii="Arial Narrow" w:hAnsi="Arial Narrow" w:cs="Arial"/>
              </w:rPr>
              <w:t xml:space="preserve"> of the amendment of s 112 of the</w:t>
            </w:r>
            <w:r w:rsidR="00C8006D">
              <w:rPr>
                <w:rFonts w:ascii="Arial Narrow" w:hAnsi="Arial Narrow" w:cs="Arial"/>
              </w:rPr>
              <w:t xml:space="preserve"> Act</w:t>
            </w:r>
            <w:r w:rsidR="00651C6C">
              <w:rPr>
                <w:rFonts w:ascii="Arial Narrow" w:hAnsi="Arial Narrow" w:cs="Arial"/>
              </w:rPr>
              <w:t xml:space="preserve"> </w:t>
            </w:r>
            <w:r w:rsidR="00C8006D">
              <w:rPr>
                <w:rFonts w:ascii="Arial Narrow" w:hAnsi="Arial Narrow" w:cs="Arial"/>
              </w:rPr>
              <w:t>. . .</w:t>
            </w:r>
            <w:r w:rsidR="00C8006D" w:rsidRPr="00C8006D">
              <w:rPr>
                <w:rFonts w:ascii="Arial Narrow" w:hAnsi="Arial Narrow" w:cs="Arial"/>
              </w:rPr>
              <w:t xml:space="preserve"> the maximum fine has been increased to N$6000. This ultimately brought about an increase</w:t>
            </w:r>
            <w:r w:rsidR="00C8006D">
              <w:rPr>
                <w:rFonts w:ascii="Arial Narrow" w:hAnsi="Arial Narrow" w:cs="Arial"/>
              </w:rPr>
              <w:t xml:space="preserve">d risk that an accused could </w:t>
            </w:r>
            <w:r w:rsidR="00C8006D" w:rsidRPr="00C8006D">
              <w:rPr>
                <w:rFonts w:ascii="Arial Narrow" w:hAnsi="Arial Narrow" w:cs="Arial"/>
              </w:rPr>
              <w:t>now be fined far beyond his means, resulting in him having to serve the alternative imprisonment; which often are lengthy terms. The reason for this is because of the legal principle that there should be a relation between the fine imposed and the alternative imprisonment.</w:t>
            </w:r>
            <w:r w:rsidR="00C8006D">
              <w:rPr>
                <w:rFonts w:ascii="Arial Narrow" w:hAnsi="Arial Narrow" w:cs="Arial"/>
              </w:rPr>
              <w:t xml:space="preserve"> I</w:t>
            </w:r>
            <w:r w:rsidR="00C8006D" w:rsidRPr="00C8006D">
              <w:rPr>
                <w:rFonts w:ascii="Arial Narrow" w:hAnsi="Arial Narrow" w:cs="Arial"/>
              </w:rPr>
              <w:t>n other words, an increase in fines would impact on the alternative imprisonment as there should be a relation between the two.</w:t>
            </w:r>
            <w:r w:rsidR="00283D64">
              <w:rPr>
                <w:rFonts w:ascii="Arial Narrow" w:hAnsi="Arial Narrow" w:cs="Arial"/>
              </w:rPr>
              <w:t xml:space="preserve"> . .</w:t>
            </w:r>
          </w:p>
          <w:p w:rsidR="00015F3A" w:rsidRPr="00015F3A" w:rsidRDefault="00015F3A" w:rsidP="00283D64">
            <w:pPr>
              <w:pStyle w:val="ListParagraph"/>
              <w:spacing w:line="360" w:lineRule="auto"/>
              <w:jc w:val="both"/>
              <w:rPr>
                <w:rFonts w:ascii="Arial Narrow" w:hAnsi="Arial Narrow" w:cs="Arial"/>
              </w:rPr>
            </w:pPr>
            <w:r w:rsidRPr="00651C6C">
              <w:rPr>
                <w:rFonts w:ascii="Arial Narrow" w:hAnsi="Arial Narrow" w:cs="Arial"/>
                <w:u w:val="single"/>
              </w:rPr>
              <w:t>The presiding officer therefore has a discretion which must be exercised judiciously</w:t>
            </w:r>
            <w:r w:rsidRPr="00015F3A">
              <w:rPr>
                <w:rFonts w:ascii="Arial Narrow" w:hAnsi="Arial Narrow" w:cs="Arial"/>
              </w:rPr>
              <w:t xml:space="preserve">. This discretion will mainly </w:t>
            </w:r>
            <w:r>
              <w:rPr>
                <w:rFonts w:ascii="Arial Narrow" w:hAnsi="Arial Narrow" w:cs="Arial"/>
              </w:rPr>
              <w:t xml:space="preserve">          </w:t>
            </w:r>
            <w:r w:rsidRPr="00015F3A">
              <w:rPr>
                <w:rFonts w:ascii="Arial Narrow" w:hAnsi="Arial Narrow" w:cs="Arial"/>
              </w:rPr>
              <w:t>be influenced and determined by the circumstances of any particular case and the information available to the presiding officer, allowing him or her to form an opinion. It seems to me that in order to make a judicial discretion at all possible, there has to be sufficient information before the court to rely on, which would enable it to reach a decision as to the procedure to be followed.</w:t>
            </w:r>
            <w:r>
              <w:rPr>
                <w:rFonts w:ascii="Arial" w:hAnsi="Arial" w:cs="Arial"/>
              </w:rPr>
              <w:t>’</w:t>
            </w:r>
          </w:p>
          <w:p w:rsidR="00015F3A" w:rsidRPr="00651C6C" w:rsidRDefault="00651C6C" w:rsidP="00283D64">
            <w:pPr>
              <w:pStyle w:val="ListParagraph"/>
              <w:spacing w:line="360" w:lineRule="auto"/>
              <w:jc w:val="both"/>
              <w:rPr>
                <w:rFonts w:ascii="Arial Narrow" w:hAnsi="Arial Narrow" w:cs="Arial"/>
                <w:sz w:val="24"/>
                <w:szCs w:val="24"/>
              </w:rPr>
            </w:pPr>
            <w:r>
              <w:rPr>
                <w:rFonts w:ascii="Arial Narrow" w:hAnsi="Arial Narrow" w:cs="Arial"/>
                <w:sz w:val="24"/>
                <w:szCs w:val="24"/>
              </w:rPr>
              <w:t>(Emphasis provided)</w:t>
            </w:r>
          </w:p>
          <w:p w:rsidR="008F151B" w:rsidRDefault="008F151B" w:rsidP="005541C3">
            <w:pPr>
              <w:pStyle w:val="ListParagraph"/>
              <w:spacing w:line="360" w:lineRule="auto"/>
              <w:jc w:val="both"/>
              <w:rPr>
                <w:rFonts w:ascii="Arial Narrow" w:hAnsi="Arial Narrow" w:cs="Arial"/>
                <w:sz w:val="24"/>
                <w:szCs w:val="24"/>
              </w:rPr>
            </w:pPr>
          </w:p>
          <w:p w:rsidR="008F151B" w:rsidRDefault="008F151B" w:rsidP="008F151B">
            <w:pPr>
              <w:pStyle w:val="ListParagraph"/>
              <w:spacing w:line="360" w:lineRule="auto"/>
              <w:jc w:val="both"/>
              <w:rPr>
                <w:rFonts w:ascii="Arial Narrow" w:hAnsi="Arial Narrow" w:cs="Arial"/>
                <w:sz w:val="24"/>
                <w:szCs w:val="24"/>
              </w:rPr>
            </w:pPr>
          </w:p>
          <w:p w:rsidR="00651C6C" w:rsidRDefault="00651C6C" w:rsidP="00651C6C">
            <w:pPr>
              <w:pStyle w:val="ListParagraph"/>
              <w:spacing w:line="360" w:lineRule="auto"/>
              <w:jc w:val="both"/>
              <w:rPr>
                <w:rFonts w:ascii="Arial Narrow" w:hAnsi="Arial Narrow" w:cs="Arial"/>
                <w:sz w:val="24"/>
                <w:szCs w:val="24"/>
              </w:rPr>
            </w:pPr>
          </w:p>
          <w:p w:rsidR="00015F3A" w:rsidRDefault="005541C3" w:rsidP="00283D64">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I</w:t>
            </w:r>
            <w:r w:rsidR="00015F3A" w:rsidRPr="00283D64">
              <w:rPr>
                <w:rFonts w:ascii="Arial Narrow" w:hAnsi="Arial Narrow" w:cs="Arial"/>
                <w:sz w:val="24"/>
                <w:szCs w:val="24"/>
              </w:rPr>
              <w:t xml:space="preserve"> hasten</w:t>
            </w:r>
            <w:r w:rsidR="00910736" w:rsidRPr="00283D64">
              <w:rPr>
                <w:rFonts w:ascii="Arial Narrow" w:hAnsi="Arial Narrow" w:cs="Arial"/>
                <w:sz w:val="24"/>
                <w:szCs w:val="24"/>
              </w:rPr>
              <w:t xml:space="preserve"> to mention that it is not only the magistrate who should exercise its duty judiciously but so too does the State Prosecutor bear a duty to guide the court and place all necessary information before it so that the provision of section 112 (1)(a) is not utilised for serious offences</w:t>
            </w:r>
            <w:r w:rsidR="00261686" w:rsidRPr="00283D64">
              <w:rPr>
                <w:rFonts w:ascii="Arial Narrow" w:hAnsi="Arial Narrow" w:cs="Arial"/>
                <w:sz w:val="24"/>
                <w:szCs w:val="24"/>
              </w:rPr>
              <w:t xml:space="preserve"> or circumstances</w:t>
            </w:r>
            <w:r w:rsidR="00910736" w:rsidRPr="00283D64">
              <w:rPr>
                <w:rFonts w:ascii="Arial Narrow" w:hAnsi="Arial Narrow" w:cs="Arial"/>
                <w:sz w:val="24"/>
                <w:szCs w:val="24"/>
              </w:rPr>
              <w:t xml:space="preserve">. </w:t>
            </w:r>
            <w:r w:rsidR="00015F3A" w:rsidRPr="00283D64">
              <w:rPr>
                <w:rFonts w:ascii="Arial Narrow" w:hAnsi="Arial Narrow" w:cs="Arial"/>
                <w:sz w:val="24"/>
                <w:szCs w:val="24"/>
              </w:rPr>
              <w:t xml:space="preserve"> </w:t>
            </w:r>
          </w:p>
          <w:p w:rsidR="00C00876" w:rsidRDefault="00C00876" w:rsidP="00C00876">
            <w:pPr>
              <w:pStyle w:val="ListParagraph"/>
              <w:spacing w:line="360" w:lineRule="auto"/>
              <w:jc w:val="both"/>
              <w:rPr>
                <w:rFonts w:ascii="Arial Narrow" w:hAnsi="Arial Narrow" w:cs="Arial"/>
                <w:sz w:val="24"/>
                <w:szCs w:val="24"/>
              </w:rPr>
            </w:pPr>
          </w:p>
          <w:p w:rsidR="00C00876" w:rsidRPr="00283D64" w:rsidRDefault="00C00876" w:rsidP="00283D64">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 xml:space="preserve">The State Prosecutor should in circumstances, as the present, where the State intends on proving a previous conviction on the same or similar offence to that which the accused had pleaded guilty to, the State ought to have requested the court to invoke the provisions of section 112 (1)(b) of the Act. </w:t>
            </w:r>
          </w:p>
          <w:p w:rsidR="006D5E9B" w:rsidRPr="00283D64" w:rsidRDefault="006D5E9B" w:rsidP="00283D64">
            <w:pPr>
              <w:spacing w:line="360" w:lineRule="auto"/>
              <w:jc w:val="both"/>
              <w:rPr>
                <w:rFonts w:ascii="Arial Narrow" w:hAnsi="Arial Narrow" w:cs="Arial"/>
                <w:sz w:val="24"/>
                <w:szCs w:val="24"/>
              </w:rPr>
            </w:pPr>
          </w:p>
          <w:p w:rsidR="006D5E9B" w:rsidRPr="00283D64" w:rsidRDefault="006D5E9B" w:rsidP="00283D64">
            <w:pPr>
              <w:pStyle w:val="ListParagraph"/>
              <w:numPr>
                <w:ilvl w:val="0"/>
                <w:numId w:val="8"/>
              </w:numPr>
              <w:spacing w:line="360" w:lineRule="auto"/>
              <w:jc w:val="both"/>
              <w:rPr>
                <w:rFonts w:ascii="Arial Narrow" w:hAnsi="Arial Narrow" w:cs="Arial"/>
                <w:sz w:val="24"/>
                <w:szCs w:val="24"/>
              </w:rPr>
            </w:pPr>
            <w:r w:rsidRPr="00283D64">
              <w:rPr>
                <w:rFonts w:ascii="Arial Narrow" w:hAnsi="Arial Narrow" w:cs="Arial"/>
                <w:sz w:val="24"/>
                <w:szCs w:val="24"/>
              </w:rPr>
              <w:t xml:space="preserve">Furthermore in </w:t>
            </w:r>
            <w:r w:rsidR="0000244F" w:rsidRPr="00283D64">
              <w:rPr>
                <w:rFonts w:ascii="Arial Narrow" w:hAnsi="Arial Narrow" w:cs="Arial"/>
                <w:sz w:val="24"/>
                <w:szCs w:val="24"/>
              </w:rPr>
              <w:t xml:space="preserve">an </w:t>
            </w:r>
            <w:r w:rsidR="00AA10C7" w:rsidRPr="00283D64">
              <w:rPr>
                <w:rFonts w:ascii="Arial Narrow" w:hAnsi="Arial Narrow" w:cs="Arial"/>
                <w:sz w:val="24"/>
                <w:szCs w:val="24"/>
              </w:rPr>
              <w:t xml:space="preserve">unreported judgment </w:t>
            </w:r>
            <w:r w:rsidRPr="00283D64">
              <w:rPr>
                <w:rFonts w:ascii="Arial Narrow" w:hAnsi="Arial Narrow" w:cs="Arial"/>
                <w:i/>
                <w:sz w:val="24"/>
                <w:szCs w:val="24"/>
              </w:rPr>
              <w:t>S v Luish</w:t>
            </w:r>
            <w:r w:rsidR="00C00876">
              <w:rPr>
                <w:rFonts w:ascii="Arial Narrow" w:hAnsi="Arial Narrow" w:cs="Arial"/>
                <w:i/>
                <w:sz w:val="24"/>
                <w:szCs w:val="24"/>
              </w:rPr>
              <w:t>,</w:t>
            </w:r>
            <w:r w:rsidR="00AA10C7" w:rsidRPr="00283D64">
              <w:rPr>
                <w:rStyle w:val="FootnoteReference"/>
                <w:rFonts w:ascii="Arial Narrow" w:hAnsi="Arial Narrow" w:cs="Arial"/>
                <w:i/>
                <w:sz w:val="24"/>
                <w:szCs w:val="24"/>
              </w:rPr>
              <w:footnoteReference w:id="3"/>
            </w:r>
            <w:r w:rsidR="00C00876">
              <w:rPr>
                <w:rFonts w:ascii="Arial Narrow" w:hAnsi="Arial Narrow" w:cs="Arial"/>
                <w:i/>
                <w:sz w:val="24"/>
                <w:szCs w:val="24"/>
              </w:rPr>
              <w:t xml:space="preserve"> </w:t>
            </w:r>
            <w:r w:rsidR="00C00876">
              <w:rPr>
                <w:rFonts w:ascii="Arial Narrow" w:hAnsi="Arial Narrow" w:cs="Arial"/>
                <w:sz w:val="24"/>
                <w:szCs w:val="24"/>
              </w:rPr>
              <w:t>it was said that</w:t>
            </w:r>
            <w:r w:rsidR="00AA10C7" w:rsidRPr="00283D64">
              <w:rPr>
                <w:rFonts w:ascii="Arial Narrow" w:hAnsi="Arial Narrow" w:cs="Arial"/>
                <w:i/>
                <w:sz w:val="24"/>
                <w:szCs w:val="24"/>
              </w:rPr>
              <w:t xml:space="preserve"> </w:t>
            </w:r>
            <w:r w:rsidR="00AA10C7" w:rsidRPr="00283D64">
              <w:rPr>
                <w:rFonts w:ascii="Arial Narrow" w:eastAsia="Times New Roman" w:hAnsi="Arial Narrow" w:cs="Times New Roman"/>
                <w:sz w:val="24"/>
                <w:szCs w:val="24"/>
                <w:lang w:val="en-GB"/>
              </w:rPr>
              <w:t>whe</w:t>
            </w:r>
            <w:r w:rsidR="00283D64" w:rsidRPr="00283D64">
              <w:rPr>
                <w:rFonts w:ascii="Arial Narrow" w:eastAsia="Times New Roman" w:hAnsi="Arial Narrow" w:cs="Times New Roman"/>
                <w:sz w:val="24"/>
                <w:szCs w:val="24"/>
                <w:lang w:val="en-GB"/>
              </w:rPr>
              <w:t>n a presiding magistrate decides</w:t>
            </w:r>
            <w:r w:rsidR="00AA10C7" w:rsidRPr="00283D64">
              <w:rPr>
                <w:rFonts w:ascii="Arial Narrow" w:eastAsia="Times New Roman" w:hAnsi="Arial Narrow" w:cs="Times New Roman"/>
                <w:sz w:val="24"/>
                <w:szCs w:val="24"/>
                <w:lang w:val="en-GB"/>
              </w:rPr>
              <w:t xml:space="preserve"> to impose a fine, then, as a general rule, the offender must either be capable of paying the fine or getting the fine paid on his or her behalf. Thus, the court must purposefully inquire into the accused’s ability to pay a</w:t>
            </w:r>
            <w:r w:rsidR="000B1388" w:rsidRPr="00283D64">
              <w:rPr>
                <w:rFonts w:ascii="Arial Narrow" w:eastAsia="Times New Roman" w:hAnsi="Arial Narrow" w:cs="Times New Roman"/>
                <w:sz w:val="24"/>
                <w:szCs w:val="24"/>
                <w:lang w:val="en-GB"/>
              </w:rPr>
              <w:t xml:space="preserve"> fine,</w:t>
            </w:r>
            <w:r w:rsidR="00AA10C7" w:rsidRPr="00283D64">
              <w:rPr>
                <w:rStyle w:val="FootnoteReference"/>
                <w:rFonts w:ascii="Arial Narrow" w:eastAsia="Times New Roman" w:hAnsi="Arial Narrow" w:cs="Times New Roman"/>
                <w:sz w:val="24"/>
                <w:szCs w:val="24"/>
                <w:lang w:val="en-GB"/>
              </w:rPr>
              <w:footnoteReference w:id="4"/>
            </w:r>
            <w:r w:rsidR="000B1388" w:rsidRPr="00283D64">
              <w:rPr>
                <w:rFonts w:ascii="Arial Narrow" w:eastAsia="Times New Roman" w:hAnsi="Arial Narrow" w:cs="Times New Roman"/>
                <w:sz w:val="24"/>
                <w:szCs w:val="24"/>
                <w:lang w:val="en-GB"/>
              </w:rPr>
              <w:t xml:space="preserve"> failure of which a review court may remit the matter to the trial court for this inquiry.</w:t>
            </w:r>
            <w:r w:rsidR="00AA10C7" w:rsidRPr="00283D64">
              <w:rPr>
                <w:rFonts w:ascii="Arial Narrow" w:eastAsia="Times New Roman" w:hAnsi="Arial Narrow" w:cs="Times New Roman"/>
                <w:sz w:val="24"/>
                <w:szCs w:val="24"/>
                <w:lang w:val="en-GB"/>
              </w:rPr>
              <w:t xml:space="preserve"> The imposition of an alternative punishment of imprisonment is just there to induce the accused to pay the fine. </w:t>
            </w:r>
            <w:r w:rsidR="00357928" w:rsidRPr="00283D64">
              <w:rPr>
                <w:rFonts w:ascii="Arial Narrow" w:eastAsia="Times New Roman" w:hAnsi="Arial Narrow" w:cs="Times New Roman"/>
                <w:sz w:val="24"/>
                <w:szCs w:val="24"/>
                <w:lang w:val="en-GB"/>
              </w:rPr>
              <w:t>(See</w:t>
            </w:r>
            <w:r w:rsidR="00AA10C7" w:rsidRPr="00283D64">
              <w:rPr>
                <w:rFonts w:ascii="Arial Narrow" w:eastAsia="Times New Roman" w:hAnsi="Arial Narrow" w:cs="Times New Roman"/>
                <w:sz w:val="24"/>
                <w:szCs w:val="24"/>
                <w:lang w:val="en-GB"/>
              </w:rPr>
              <w:t xml:space="preserve"> </w:t>
            </w:r>
            <w:r w:rsidR="00AA10C7" w:rsidRPr="00283D64">
              <w:rPr>
                <w:rFonts w:ascii="Arial Narrow" w:hAnsi="Arial Narrow" w:cs="Arial"/>
                <w:i/>
                <w:sz w:val="24"/>
                <w:szCs w:val="24"/>
              </w:rPr>
              <w:t>S v Smith</w:t>
            </w:r>
            <w:r w:rsidR="00AA10C7" w:rsidRPr="00283D64">
              <w:rPr>
                <w:rFonts w:ascii="Arial Narrow" w:hAnsi="Arial Narrow"/>
                <w:sz w:val="24"/>
                <w:szCs w:val="24"/>
              </w:rPr>
              <w:t xml:space="preserve"> 1990 (2) SACR 363).</w:t>
            </w:r>
          </w:p>
          <w:p w:rsidR="00283D64" w:rsidRPr="00283D64" w:rsidRDefault="00283D64" w:rsidP="00283D64">
            <w:pPr>
              <w:pStyle w:val="ListParagraph"/>
              <w:spacing w:line="360" w:lineRule="auto"/>
              <w:jc w:val="both"/>
              <w:rPr>
                <w:rFonts w:ascii="Arial Narrow" w:hAnsi="Arial Narrow" w:cs="Arial"/>
                <w:sz w:val="24"/>
                <w:szCs w:val="24"/>
              </w:rPr>
            </w:pPr>
          </w:p>
          <w:p w:rsidR="00910736" w:rsidRPr="00283D64" w:rsidRDefault="00910736" w:rsidP="00283D64">
            <w:pPr>
              <w:spacing w:line="360" w:lineRule="auto"/>
              <w:rPr>
                <w:rFonts w:ascii="Arial Narrow" w:hAnsi="Arial Narrow" w:cs="Arial"/>
                <w:sz w:val="24"/>
                <w:szCs w:val="24"/>
              </w:rPr>
            </w:pPr>
          </w:p>
          <w:p w:rsidR="00B305FE" w:rsidRDefault="00910736" w:rsidP="00283D64">
            <w:pPr>
              <w:pStyle w:val="ListParagraph"/>
              <w:numPr>
                <w:ilvl w:val="0"/>
                <w:numId w:val="8"/>
              </w:numPr>
              <w:spacing w:line="360" w:lineRule="auto"/>
              <w:jc w:val="both"/>
              <w:rPr>
                <w:rFonts w:ascii="Arial Narrow" w:hAnsi="Arial Narrow" w:cs="Arial"/>
                <w:sz w:val="24"/>
                <w:szCs w:val="24"/>
              </w:rPr>
            </w:pPr>
            <w:r w:rsidRPr="00283D64">
              <w:rPr>
                <w:rFonts w:ascii="Arial Narrow" w:hAnsi="Arial Narrow" w:cs="Arial"/>
                <w:sz w:val="24"/>
                <w:szCs w:val="24"/>
              </w:rPr>
              <w:t xml:space="preserve">The record in this instance is silent on any enquiry made on whether </w:t>
            </w:r>
            <w:r w:rsidR="00C00876">
              <w:rPr>
                <w:rFonts w:ascii="Arial Narrow" w:hAnsi="Arial Narrow" w:cs="Arial"/>
                <w:sz w:val="24"/>
                <w:szCs w:val="24"/>
              </w:rPr>
              <w:t>t</w:t>
            </w:r>
            <w:r w:rsidRPr="00283D64">
              <w:rPr>
                <w:rFonts w:ascii="Arial Narrow" w:hAnsi="Arial Narrow" w:cs="Arial"/>
                <w:sz w:val="24"/>
                <w:szCs w:val="24"/>
              </w:rPr>
              <w:t xml:space="preserve">he </w:t>
            </w:r>
            <w:r w:rsidR="00C00876">
              <w:rPr>
                <w:rFonts w:ascii="Arial Narrow" w:hAnsi="Arial Narrow" w:cs="Arial"/>
                <w:sz w:val="24"/>
                <w:szCs w:val="24"/>
              </w:rPr>
              <w:t xml:space="preserve">accused </w:t>
            </w:r>
            <w:r w:rsidRPr="00283D64">
              <w:rPr>
                <w:rFonts w:ascii="Arial Narrow" w:hAnsi="Arial Narrow" w:cs="Arial"/>
                <w:sz w:val="24"/>
                <w:szCs w:val="24"/>
              </w:rPr>
              <w:t>can afford a fine and what amount. The court when dealing with the stage before sentence is imposed</w:t>
            </w:r>
            <w:r w:rsidR="00283D64" w:rsidRPr="00283D64">
              <w:rPr>
                <w:rFonts w:ascii="Arial Narrow" w:hAnsi="Arial Narrow" w:cs="Arial"/>
                <w:sz w:val="24"/>
                <w:szCs w:val="24"/>
              </w:rPr>
              <w:t>,</w:t>
            </w:r>
            <w:r w:rsidRPr="00283D64">
              <w:rPr>
                <w:rFonts w:ascii="Arial Narrow" w:hAnsi="Arial Narrow" w:cs="Arial"/>
                <w:sz w:val="24"/>
                <w:szCs w:val="24"/>
              </w:rPr>
              <w:t xml:space="preserve"> should assist an unrepresented accused and establish his ability to pay a fine as provided for in section 112 (1)</w:t>
            </w:r>
            <w:r w:rsidRPr="008F151B">
              <w:rPr>
                <w:rFonts w:ascii="Arial Narrow" w:hAnsi="Arial Narrow" w:cs="Arial"/>
                <w:i/>
                <w:sz w:val="24"/>
                <w:szCs w:val="24"/>
              </w:rPr>
              <w:t>(a)</w:t>
            </w:r>
            <w:r w:rsidR="00B305FE" w:rsidRPr="008F151B">
              <w:rPr>
                <w:rFonts w:ascii="Arial Narrow" w:hAnsi="Arial Narrow" w:cs="Arial"/>
                <w:i/>
                <w:sz w:val="24"/>
                <w:szCs w:val="24"/>
              </w:rPr>
              <w:t>,</w:t>
            </w:r>
            <w:r w:rsidR="00B305FE" w:rsidRPr="00283D64">
              <w:rPr>
                <w:rFonts w:ascii="Arial Narrow" w:hAnsi="Arial Narrow" w:cs="Arial"/>
                <w:sz w:val="24"/>
                <w:szCs w:val="24"/>
              </w:rPr>
              <w:t xml:space="preserve"> even more so when</w:t>
            </w:r>
            <w:r w:rsidR="00B8111E" w:rsidRPr="00283D64">
              <w:rPr>
                <w:rFonts w:ascii="Arial Narrow" w:hAnsi="Arial Narrow" w:cs="Arial"/>
                <w:sz w:val="24"/>
                <w:szCs w:val="24"/>
              </w:rPr>
              <w:t xml:space="preserve"> in this matter </w:t>
            </w:r>
            <w:r w:rsidR="00B305FE" w:rsidRPr="00283D64">
              <w:rPr>
                <w:rFonts w:ascii="Arial Narrow" w:hAnsi="Arial Narrow" w:cs="Arial"/>
                <w:sz w:val="24"/>
                <w:szCs w:val="24"/>
              </w:rPr>
              <w:t xml:space="preserve"> the record reflects th</w:t>
            </w:r>
            <w:r w:rsidR="00C00876">
              <w:rPr>
                <w:rFonts w:ascii="Arial Narrow" w:hAnsi="Arial Narrow" w:cs="Arial"/>
                <w:sz w:val="24"/>
                <w:szCs w:val="24"/>
              </w:rPr>
              <w:t xml:space="preserve">at the accused indicated in </w:t>
            </w:r>
            <w:r w:rsidR="00B305FE" w:rsidRPr="00283D64">
              <w:rPr>
                <w:rFonts w:ascii="Arial Narrow" w:hAnsi="Arial Narrow" w:cs="Arial"/>
                <w:sz w:val="24"/>
                <w:szCs w:val="24"/>
              </w:rPr>
              <w:t>mitigation that he is unemployed</w:t>
            </w:r>
            <w:r w:rsidRPr="00283D64">
              <w:rPr>
                <w:rFonts w:ascii="Arial Narrow" w:hAnsi="Arial Narrow" w:cs="Arial"/>
                <w:sz w:val="24"/>
                <w:szCs w:val="24"/>
              </w:rPr>
              <w:t xml:space="preserve">. The magistrate having not done this cannot be said to have applied his discretion judiciously </w:t>
            </w:r>
            <w:r w:rsidR="00B305FE" w:rsidRPr="00283D64">
              <w:rPr>
                <w:rFonts w:ascii="Arial Narrow" w:hAnsi="Arial Narrow" w:cs="Arial"/>
                <w:sz w:val="24"/>
                <w:szCs w:val="24"/>
              </w:rPr>
              <w:t>i</w:t>
            </w:r>
            <w:r w:rsidRPr="00283D64">
              <w:rPr>
                <w:rFonts w:ascii="Arial Narrow" w:hAnsi="Arial Narrow" w:cs="Arial"/>
                <w:sz w:val="24"/>
                <w:szCs w:val="24"/>
              </w:rPr>
              <w:t>n arrivi</w:t>
            </w:r>
            <w:r w:rsidR="00C00876">
              <w:rPr>
                <w:rFonts w:ascii="Arial Narrow" w:hAnsi="Arial Narrow" w:cs="Arial"/>
                <w:sz w:val="24"/>
                <w:szCs w:val="24"/>
              </w:rPr>
              <w:t>ng at the amount of N$</w:t>
            </w:r>
            <w:r w:rsidR="00261686" w:rsidRPr="00283D64">
              <w:rPr>
                <w:rFonts w:ascii="Arial Narrow" w:hAnsi="Arial Narrow" w:cs="Arial"/>
                <w:sz w:val="24"/>
                <w:szCs w:val="24"/>
              </w:rPr>
              <w:t>5</w:t>
            </w:r>
            <w:r w:rsidR="00C00876">
              <w:rPr>
                <w:rFonts w:ascii="Arial Narrow" w:hAnsi="Arial Narrow" w:cs="Arial"/>
                <w:sz w:val="24"/>
                <w:szCs w:val="24"/>
              </w:rPr>
              <w:t xml:space="preserve"> 000</w:t>
            </w:r>
            <w:r w:rsidR="00261686" w:rsidRPr="00283D64">
              <w:rPr>
                <w:rFonts w:ascii="Arial Narrow" w:hAnsi="Arial Narrow" w:cs="Arial"/>
                <w:sz w:val="24"/>
                <w:szCs w:val="24"/>
              </w:rPr>
              <w:t xml:space="preserve"> and therefore</w:t>
            </w:r>
            <w:r w:rsidR="00C00876">
              <w:rPr>
                <w:rFonts w:ascii="Arial Narrow" w:hAnsi="Arial Narrow" w:cs="Arial"/>
                <w:sz w:val="24"/>
                <w:szCs w:val="24"/>
              </w:rPr>
              <w:t xml:space="preserve"> the sentence imposed</w:t>
            </w:r>
            <w:r w:rsidR="00261686" w:rsidRPr="00283D64">
              <w:rPr>
                <w:rFonts w:ascii="Arial Narrow" w:hAnsi="Arial Narrow" w:cs="Arial"/>
                <w:sz w:val="24"/>
                <w:szCs w:val="24"/>
              </w:rPr>
              <w:t xml:space="preserve"> cannot be said to be in accordance with justice</w:t>
            </w:r>
          </w:p>
          <w:p w:rsidR="00283D64" w:rsidRDefault="00283D64" w:rsidP="00283D64">
            <w:pPr>
              <w:pStyle w:val="ListParagraph"/>
              <w:spacing w:line="360" w:lineRule="auto"/>
              <w:jc w:val="both"/>
              <w:rPr>
                <w:rFonts w:ascii="Arial Narrow" w:hAnsi="Arial Narrow" w:cs="Arial"/>
                <w:sz w:val="24"/>
                <w:szCs w:val="24"/>
              </w:rPr>
            </w:pPr>
          </w:p>
          <w:p w:rsidR="00B305FE" w:rsidRPr="00283D64" w:rsidRDefault="00B305FE" w:rsidP="00283D64">
            <w:pPr>
              <w:spacing w:line="360" w:lineRule="auto"/>
              <w:rPr>
                <w:rFonts w:ascii="Arial Narrow" w:hAnsi="Arial Narrow" w:cs="Arial"/>
                <w:sz w:val="24"/>
                <w:szCs w:val="24"/>
              </w:rPr>
            </w:pPr>
          </w:p>
          <w:p w:rsidR="008F151B" w:rsidRPr="008F151B" w:rsidRDefault="00B305FE" w:rsidP="008F151B">
            <w:pPr>
              <w:pStyle w:val="ListParagraph"/>
              <w:numPr>
                <w:ilvl w:val="0"/>
                <w:numId w:val="8"/>
              </w:numPr>
              <w:spacing w:line="360" w:lineRule="auto"/>
              <w:jc w:val="both"/>
              <w:rPr>
                <w:rFonts w:ascii="Arial Narrow" w:hAnsi="Arial Narrow" w:cs="Arial"/>
                <w:sz w:val="24"/>
                <w:szCs w:val="24"/>
              </w:rPr>
            </w:pPr>
            <w:r w:rsidRPr="00283D64">
              <w:rPr>
                <w:rFonts w:ascii="Arial Narrow" w:hAnsi="Arial Narrow" w:cs="Arial"/>
                <w:sz w:val="24"/>
                <w:szCs w:val="24"/>
              </w:rPr>
              <w:t>N</w:t>
            </w:r>
            <w:r w:rsidR="00C00876">
              <w:rPr>
                <w:rFonts w:ascii="Arial Narrow" w:hAnsi="Arial Narrow" w:cs="Arial"/>
                <w:sz w:val="24"/>
                <w:szCs w:val="24"/>
              </w:rPr>
              <w:t>ot only does the amount of N$</w:t>
            </w:r>
            <w:r w:rsidR="00283D64">
              <w:rPr>
                <w:rFonts w:ascii="Arial Narrow" w:hAnsi="Arial Narrow" w:cs="Arial"/>
                <w:sz w:val="24"/>
                <w:szCs w:val="24"/>
              </w:rPr>
              <w:t>5000-00</w:t>
            </w:r>
            <w:r w:rsidRPr="00283D64">
              <w:rPr>
                <w:rFonts w:ascii="Arial Narrow" w:hAnsi="Arial Narrow" w:cs="Arial"/>
                <w:sz w:val="24"/>
                <w:szCs w:val="24"/>
              </w:rPr>
              <w:t xml:space="preserve"> bear diminutive relation to the corresponding impri</w:t>
            </w:r>
            <w:r w:rsidR="00B8111E" w:rsidRPr="00283D64">
              <w:rPr>
                <w:rFonts w:ascii="Arial Narrow" w:hAnsi="Arial Narrow" w:cs="Arial"/>
                <w:sz w:val="24"/>
                <w:szCs w:val="24"/>
              </w:rPr>
              <w:t xml:space="preserve">sonment term of 4 months, it is </w:t>
            </w:r>
            <w:r w:rsidRPr="00283D64">
              <w:rPr>
                <w:rFonts w:ascii="Arial Narrow" w:hAnsi="Arial Narrow" w:cs="Arial"/>
                <w:sz w:val="24"/>
                <w:szCs w:val="24"/>
              </w:rPr>
              <w:t>tantamount</w:t>
            </w:r>
            <w:r w:rsidR="00B8111E" w:rsidRPr="00283D64">
              <w:rPr>
                <w:rFonts w:ascii="Arial Narrow" w:hAnsi="Arial Narrow" w:cs="Arial"/>
                <w:sz w:val="24"/>
                <w:szCs w:val="24"/>
              </w:rPr>
              <w:t xml:space="preserve"> in the circumstances of this matter,</w:t>
            </w:r>
            <w:r w:rsidRPr="00283D64">
              <w:rPr>
                <w:rFonts w:ascii="Arial Narrow" w:hAnsi="Arial Narrow" w:cs="Arial"/>
                <w:sz w:val="24"/>
                <w:szCs w:val="24"/>
              </w:rPr>
              <w:t xml:space="preserve"> to a terms of direct imprisonment. </w:t>
            </w:r>
            <w:r w:rsidR="00283D64">
              <w:rPr>
                <w:rFonts w:ascii="Arial Narrow" w:hAnsi="Arial Narrow" w:cs="Arial"/>
                <w:sz w:val="24"/>
                <w:szCs w:val="24"/>
              </w:rPr>
              <w:t>As a result, this</w:t>
            </w:r>
            <w:r w:rsidR="00B8111E" w:rsidRPr="00283D64">
              <w:rPr>
                <w:rFonts w:ascii="Arial Narrow" w:hAnsi="Arial Narrow" w:cs="Arial"/>
                <w:sz w:val="24"/>
                <w:szCs w:val="24"/>
              </w:rPr>
              <w:t xml:space="preserve"> offend</w:t>
            </w:r>
            <w:r w:rsidR="00217C27">
              <w:rPr>
                <w:rFonts w:ascii="Arial Narrow" w:hAnsi="Arial Narrow" w:cs="Arial"/>
                <w:sz w:val="24"/>
                <w:szCs w:val="24"/>
              </w:rPr>
              <w:t xml:space="preserve">s the purpose </w:t>
            </w:r>
            <w:r w:rsidRPr="00283D64">
              <w:rPr>
                <w:rFonts w:ascii="Arial Narrow" w:hAnsi="Arial Narrow" w:cs="Arial"/>
                <w:sz w:val="24"/>
                <w:szCs w:val="24"/>
              </w:rPr>
              <w:t>behind section 112 (1</w:t>
            </w:r>
            <w:r w:rsidR="00261686" w:rsidRPr="00283D64">
              <w:rPr>
                <w:rFonts w:ascii="Arial Narrow" w:hAnsi="Arial Narrow" w:cs="Arial"/>
                <w:sz w:val="24"/>
                <w:szCs w:val="24"/>
              </w:rPr>
              <w:t>) (</w:t>
            </w:r>
            <w:r w:rsidRPr="00283D64">
              <w:rPr>
                <w:rFonts w:ascii="Arial Narrow" w:hAnsi="Arial Narrow" w:cs="Arial"/>
                <w:sz w:val="24"/>
                <w:szCs w:val="24"/>
              </w:rPr>
              <w:t>a)</w:t>
            </w:r>
            <w:r w:rsidR="00261686" w:rsidRPr="00283D64">
              <w:rPr>
                <w:rFonts w:ascii="Arial Narrow" w:hAnsi="Arial Narrow" w:cs="Arial"/>
                <w:sz w:val="24"/>
                <w:szCs w:val="24"/>
              </w:rPr>
              <w:t xml:space="preserve"> of the Act</w:t>
            </w:r>
            <w:r w:rsidRPr="00283D64">
              <w:rPr>
                <w:rFonts w:ascii="Arial Narrow" w:hAnsi="Arial Narrow" w:cs="Arial"/>
                <w:sz w:val="24"/>
                <w:szCs w:val="24"/>
              </w:rPr>
              <w:t>.</w:t>
            </w:r>
          </w:p>
          <w:p w:rsidR="008F151B" w:rsidRPr="00217C27" w:rsidRDefault="008F151B" w:rsidP="00217C27">
            <w:pPr>
              <w:spacing w:line="360" w:lineRule="auto"/>
              <w:jc w:val="both"/>
              <w:rPr>
                <w:rFonts w:ascii="Arial Narrow" w:hAnsi="Arial Narrow" w:cs="Arial"/>
                <w:sz w:val="24"/>
                <w:szCs w:val="24"/>
              </w:rPr>
            </w:pPr>
          </w:p>
          <w:p w:rsidR="008F151B" w:rsidRDefault="008F151B" w:rsidP="008F151B">
            <w:pPr>
              <w:pStyle w:val="ListParagraph"/>
              <w:spacing w:line="360" w:lineRule="auto"/>
              <w:jc w:val="both"/>
              <w:rPr>
                <w:rFonts w:ascii="Arial Narrow" w:hAnsi="Arial Narrow" w:cs="Arial"/>
                <w:sz w:val="24"/>
                <w:szCs w:val="24"/>
              </w:rPr>
            </w:pPr>
          </w:p>
          <w:p w:rsidR="00283D64" w:rsidRPr="00217C27" w:rsidRDefault="00D05CED" w:rsidP="00283D64">
            <w:pPr>
              <w:pStyle w:val="ListParagraph"/>
              <w:numPr>
                <w:ilvl w:val="0"/>
                <w:numId w:val="8"/>
              </w:numPr>
              <w:spacing w:line="360" w:lineRule="auto"/>
              <w:jc w:val="both"/>
              <w:rPr>
                <w:rFonts w:ascii="Arial Narrow" w:hAnsi="Arial Narrow" w:cs="Arial"/>
                <w:sz w:val="24"/>
                <w:szCs w:val="24"/>
              </w:rPr>
            </w:pPr>
            <w:r w:rsidRPr="00217C27">
              <w:rPr>
                <w:rFonts w:ascii="Arial Narrow" w:hAnsi="Arial Narrow" w:cs="Arial"/>
                <w:sz w:val="24"/>
                <w:szCs w:val="24"/>
              </w:rPr>
              <w:t>For the aforesaid reasons</w:t>
            </w:r>
            <w:r w:rsidR="007A0BF8" w:rsidRPr="00217C27">
              <w:rPr>
                <w:rFonts w:ascii="Arial Narrow" w:hAnsi="Arial Narrow" w:cs="Arial"/>
                <w:sz w:val="24"/>
                <w:szCs w:val="24"/>
              </w:rPr>
              <w:t>, albeit the accused being a second offender,</w:t>
            </w:r>
            <w:r w:rsidRPr="00217C27">
              <w:rPr>
                <w:rFonts w:ascii="Arial Narrow" w:hAnsi="Arial Narrow" w:cs="Arial"/>
                <w:sz w:val="24"/>
                <w:szCs w:val="24"/>
              </w:rPr>
              <w:t xml:space="preserve"> the fine imposed of N$5</w:t>
            </w:r>
            <w:r w:rsidR="008F151B" w:rsidRPr="00217C27">
              <w:rPr>
                <w:rFonts w:ascii="Arial Narrow" w:hAnsi="Arial Narrow" w:cs="Arial"/>
                <w:sz w:val="24"/>
                <w:szCs w:val="24"/>
              </w:rPr>
              <w:t xml:space="preserve"> 000</w:t>
            </w:r>
            <w:r w:rsidRPr="00217C27">
              <w:rPr>
                <w:rFonts w:ascii="Arial Narrow" w:hAnsi="Arial Narrow" w:cs="Arial"/>
                <w:sz w:val="24"/>
                <w:szCs w:val="24"/>
              </w:rPr>
              <w:t xml:space="preserve"> is</w:t>
            </w:r>
            <w:r w:rsidR="00217C27" w:rsidRPr="00217C27">
              <w:rPr>
                <w:rFonts w:ascii="Arial Narrow" w:hAnsi="Arial Narrow" w:cs="Arial"/>
                <w:sz w:val="24"/>
                <w:szCs w:val="24"/>
              </w:rPr>
              <w:t xml:space="preserve"> too harsh and shockingly inappropriate</w:t>
            </w:r>
            <w:r w:rsidR="00217C27">
              <w:rPr>
                <w:rFonts w:ascii="Arial Narrow" w:hAnsi="Arial Narrow" w:cs="Arial"/>
                <w:sz w:val="24"/>
                <w:szCs w:val="24"/>
              </w:rPr>
              <w:t xml:space="preserve"> under the circumstances.</w:t>
            </w:r>
          </w:p>
          <w:p w:rsidR="00261686" w:rsidRPr="00283D64" w:rsidRDefault="00261686" w:rsidP="00283D64">
            <w:pPr>
              <w:spacing w:line="360" w:lineRule="auto"/>
              <w:rPr>
                <w:rFonts w:ascii="Arial Narrow" w:hAnsi="Arial Narrow" w:cs="Arial"/>
                <w:sz w:val="24"/>
                <w:szCs w:val="24"/>
              </w:rPr>
            </w:pPr>
          </w:p>
          <w:p w:rsidR="00261686" w:rsidRPr="00283D64" w:rsidRDefault="00261686" w:rsidP="00283D64">
            <w:pPr>
              <w:pStyle w:val="ListParagraph"/>
              <w:numPr>
                <w:ilvl w:val="0"/>
                <w:numId w:val="8"/>
              </w:numPr>
              <w:spacing w:line="360" w:lineRule="auto"/>
              <w:jc w:val="both"/>
              <w:rPr>
                <w:rFonts w:ascii="Arial Narrow" w:hAnsi="Arial Narrow" w:cs="Arial"/>
                <w:sz w:val="24"/>
                <w:szCs w:val="24"/>
              </w:rPr>
            </w:pPr>
            <w:r w:rsidRPr="00283D64">
              <w:rPr>
                <w:rFonts w:ascii="Arial Narrow" w:hAnsi="Arial Narrow" w:cs="Arial"/>
                <w:sz w:val="24"/>
                <w:szCs w:val="24"/>
              </w:rPr>
              <w:t>In the result the following order is made:</w:t>
            </w:r>
          </w:p>
          <w:p w:rsidR="00261686" w:rsidRPr="00283D64" w:rsidRDefault="00261686" w:rsidP="00217C27">
            <w:pPr>
              <w:pStyle w:val="ListParagraph"/>
              <w:numPr>
                <w:ilvl w:val="0"/>
                <w:numId w:val="14"/>
              </w:numPr>
              <w:spacing w:line="360" w:lineRule="auto"/>
              <w:jc w:val="both"/>
              <w:rPr>
                <w:rFonts w:ascii="Arial Narrow" w:hAnsi="Arial Narrow" w:cs="Arial"/>
                <w:sz w:val="24"/>
                <w:szCs w:val="24"/>
              </w:rPr>
            </w:pPr>
            <w:r w:rsidRPr="00283D64">
              <w:rPr>
                <w:rFonts w:ascii="Arial Narrow" w:hAnsi="Arial Narrow" w:cs="Arial"/>
                <w:sz w:val="24"/>
                <w:szCs w:val="24"/>
              </w:rPr>
              <w:t>The conviction is confirmed</w:t>
            </w:r>
            <w:r w:rsidR="00217C27">
              <w:rPr>
                <w:rFonts w:ascii="Arial Narrow" w:hAnsi="Arial Narrow" w:cs="Arial"/>
                <w:sz w:val="24"/>
                <w:szCs w:val="24"/>
              </w:rPr>
              <w:t>.</w:t>
            </w:r>
          </w:p>
          <w:p w:rsidR="00217C27" w:rsidRDefault="00261686" w:rsidP="00217C27">
            <w:pPr>
              <w:pStyle w:val="ListParagraph"/>
              <w:numPr>
                <w:ilvl w:val="0"/>
                <w:numId w:val="14"/>
              </w:numPr>
              <w:spacing w:line="360" w:lineRule="auto"/>
              <w:jc w:val="both"/>
              <w:rPr>
                <w:rFonts w:ascii="Arial Narrow" w:hAnsi="Arial Narrow" w:cs="Arial"/>
                <w:sz w:val="24"/>
                <w:szCs w:val="24"/>
              </w:rPr>
            </w:pPr>
            <w:r w:rsidRPr="00283D64">
              <w:rPr>
                <w:rFonts w:ascii="Arial Narrow" w:hAnsi="Arial Narrow" w:cs="Arial"/>
                <w:sz w:val="24"/>
                <w:szCs w:val="24"/>
              </w:rPr>
              <w:t>Sentence is set aside</w:t>
            </w:r>
            <w:r w:rsidR="00217C27">
              <w:rPr>
                <w:rFonts w:ascii="Arial Narrow" w:hAnsi="Arial Narrow" w:cs="Arial"/>
                <w:sz w:val="24"/>
                <w:szCs w:val="24"/>
              </w:rPr>
              <w:t xml:space="preserve"> and substituted with the following: </w:t>
            </w:r>
            <w:r w:rsidR="00D05CED" w:rsidRPr="00217C27">
              <w:rPr>
                <w:rFonts w:ascii="Arial Narrow" w:hAnsi="Arial Narrow" w:cs="Arial"/>
                <w:sz w:val="24"/>
                <w:szCs w:val="24"/>
              </w:rPr>
              <w:t xml:space="preserve">The accused is </w:t>
            </w:r>
            <w:r w:rsidR="00217C27">
              <w:rPr>
                <w:rFonts w:ascii="Arial Narrow" w:hAnsi="Arial Narrow" w:cs="Arial"/>
                <w:sz w:val="24"/>
                <w:szCs w:val="24"/>
              </w:rPr>
              <w:t>sentenced to</w:t>
            </w:r>
            <w:r w:rsidR="008F151B" w:rsidRPr="00217C27">
              <w:rPr>
                <w:rFonts w:ascii="Arial Narrow" w:hAnsi="Arial Narrow" w:cs="Arial"/>
                <w:sz w:val="24"/>
                <w:szCs w:val="24"/>
              </w:rPr>
              <w:t xml:space="preserve"> a fine of </w:t>
            </w:r>
            <w:r w:rsidR="00217C27">
              <w:rPr>
                <w:rFonts w:ascii="Arial Narrow" w:hAnsi="Arial Narrow" w:cs="Arial"/>
                <w:sz w:val="24"/>
                <w:szCs w:val="24"/>
              </w:rPr>
              <w:t xml:space="preserve"> </w:t>
            </w:r>
          </w:p>
          <w:p w:rsidR="008F151B" w:rsidRPr="00217C27" w:rsidRDefault="008F151B" w:rsidP="00217C27">
            <w:pPr>
              <w:pStyle w:val="ListParagraph"/>
              <w:spacing w:line="360" w:lineRule="auto"/>
              <w:ind w:left="1080"/>
              <w:jc w:val="both"/>
              <w:rPr>
                <w:rFonts w:ascii="Arial Narrow" w:hAnsi="Arial Narrow" w:cs="Arial"/>
                <w:sz w:val="24"/>
                <w:szCs w:val="24"/>
              </w:rPr>
            </w:pPr>
            <w:r w:rsidRPr="00217C27">
              <w:rPr>
                <w:rFonts w:ascii="Arial Narrow" w:hAnsi="Arial Narrow" w:cs="Arial"/>
                <w:sz w:val="24"/>
                <w:szCs w:val="24"/>
              </w:rPr>
              <w:t xml:space="preserve">N$ 1 500 </w:t>
            </w:r>
            <w:r w:rsidR="00D05CED" w:rsidRPr="00217C27">
              <w:rPr>
                <w:rFonts w:ascii="Arial Narrow" w:hAnsi="Arial Narrow" w:cs="Arial"/>
                <w:sz w:val="24"/>
                <w:szCs w:val="24"/>
              </w:rPr>
              <w:t>or</w:t>
            </w:r>
            <w:r w:rsidR="00217C27">
              <w:rPr>
                <w:rFonts w:ascii="Arial Narrow" w:hAnsi="Arial Narrow" w:cs="Arial"/>
                <w:sz w:val="24"/>
                <w:szCs w:val="24"/>
              </w:rPr>
              <w:t xml:space="preserve">, in default of payment, to </w:t>
            </w:r>
            <w:r w:rsidRPr="00217C27">
              <w:rPr>
                <w:rFonts w:ascii="Arial Narrow" w:hAnsi="Arial Narrow" w:cs="Arial"/>
                <w:sz w:val="24"/>
                <w:szCs w:val="24"/>
              </w:rPr>
              <w:t>four (</w:t>
            </w:r>
            <w:r w:rsidR="00D05CED" w:rsidRPr="00217C27">
              <w:rPr>
                <w:rFonts w:ascii="Arial Narrow" w:hAnsi="Arial Narrow" w:cs="Arial"/>
                <w:sz w:val="24"/>
                <w:szCs w:val="24"/>
              </w:rPr>
              <w:t>4</w:t>
            </w:r>
            <w:r w:rsidRPr="00217C27">
              <w:rPr>
                <w:rFonts w:ascii="Arial Narrow" w:hAnsi="Arial Narrow" w:cs="Arial"/>
                <w:sz w:val="24"/>
                <w:szCs w:val="24"/>
              </w:rPr>
              <w:t>)</w:t>
            </w:r>
            <w:r w:rsidR="00D05CED" w:rsidRPr="00217C27">
              <w:rPr>
                <w:rFonts w:ascii="Arial Narrow" w:hAnsi="Arial Narrow" w:cs="Arial"/>
                <w:sz w:val="24"/>
                <w:szCs w:val="24"/>
              </w:rPr>
              <w:t xml:space="preserve"> months</w:t>
            </w:r>
            <w:r w:rsidRPr="00217C27">
              <w:rPr>
                <w:rFonts w:ascii="Arial Narrow" w:hAnsi="Arial Narrow" w:cs="Arial"/>
                <w:sz w:val="24"/>
                <w:szCs w:val="24"/>
              </w:rPr>
              <w:t>’</w:t>
            </w:r>
            <w:r w:rsidR="00D05CED" w:rsidRPr="00217C27">
              <w:rPr>
                <w:rFonts w:ascii="Arial Narrow" w:hAnsi="Arial Narrow" w:cs="Arial"/>
                <w:sz w:val="24"/>
                <w:szCs w:val="24"/>
              </w:rPr>
              <w:t xml:space="preserve"> im</w:t>
            </w:r>
            <w:r w:rsidR="00217C27">
              <w:rPr>
                <w:rFonts w:ascii="Arial Narrow" w:hAnsi="Arial Narrow" w:cs="Arial"/>
                <w:sz w:val="24"/>
                <w:szCs w:val="24"/>
              </w:rPr>
              <w:t>prisonment</w:t>
            </w:r>
            <w:r w:rsidR="00D05CED" w:rsidRPr="00217C27">
              <w:rPr>
                <w:rFonts w:ascii="Arial Narrow" w:hAnsi="Arial Narrow" w:cs="Arial"/>
                <w:sz w:val="24"/>
                <w:szCs w:val="24"/>
              </w:rPr>
              <w:t xml:space="preserve">. </w:t>
            </w:r>
          </w:p>
          <w:p w:rsidR="00261686" w:rsidRPr="00C8006D" w:rsidRDefault="001C0AAB" w:rsidP="00217C27">
            <w:pPr>
              <w:pStyle w:val="ListParagraph"/>
              <w:numPr>
                <w:ilvl w:val="0"/>
                <w:numId w:val="14"/>
              </w:numPr>
              <w:spacing w:line="360" w:lineRule="auto"/>
              <w:jc w:val="both"/>
              <w:rPr>
                <w:rFonts w:ascii="Arial Narrow" w:hAnsi="Arial Narrow" w:cs="Arial"/>
              </w:rPr>
            </w:pPr>
            <w:r w:rsidRPr="00283D64">
              <w:rPr>
                <w:rFonts w:ascii="Arial Narrow" w:hAnsi="Arial Narrow" w:cs="Arial"/>
                <w:sz w:val="24"/>
                <w:szCs w:val="24"/>
              </w:rPr>
              <w:t>S</w:t>
            </w:r>
            <w:r w:rsidR="00217C27">
              <w:rPr>
                <w:rFonts w:ascii="Arial Narrow" w:hAnsi="Arial Narrow" w:cs="Arial"/>
                <w:sz w:val="24"/>
                <w:szCs w:val="24"/>
              </w:rPr>
              <w:t>entence is antedated</w:t>
            </w:r>
            <w:r w:rsidRPr="00283D64">
              <w:rPr>
                <w:rFonts w:ascii="Arial Narrow" w:hAnsi="Arial Narrow" w:cs="Arial"/>
                <w:sz w:val="24"/>
                <w:szCs w:val="24"/>
              </w:rPr>
              <w:t xml:space="preserve"> to 30/04/2019</w:t>
            </w:r>
            <w:r w:rsidR="00217C27">
              <w:rPr>
                <w:rFonts w:ascii="Arial Narrow" w:hAnsi="Arial Narrow" w:cs="Arial"/>
                <w:sz w:val="24"/>
                <w:szCs w:val="24"/>
              </w:rPr>
              <w:t>.</w:t>
            </w:r>
          </w:p>
        </w:tc>
      </w:tr>
      <w:tr w:rsidR="00D35047" w:rsidRPr="001B0FDD" w:rsidTr="00A76DBA">
        <w:tc>
          <w:tcPr>
            <w:tcW w:w="4770" w:type="dxa"/>
          </w:tcPr>
          <w:p w:rsidR="00D35047" w:rsidRPr="001B0FDD" w:rsidRDefault="00D35047" w:rsidP="00A76DBA">
            <w:pPr>
              <w:spacing w:line="360" w:lineRule="auto"/>
              <w:jc w:val="center"/>
              <w:rPr>
                <w:rFonts w:ascii="Arial Narrow" w:hAnsi="Arial Narrow" w:cs="Arial"/>
                <w:b/>
                <w:sz w:val="24"/>
                <w:szCs w:val="24"/>
              </w:rPr>
            </w:pPr>
          </w:p>
        </w:tc>
        <w:tc>
          <w:tcPr>
            <w:tcW w:w="4950" w:type="dxa"/>
            <w:gridSpan w:val="2"/>
          </w:tcPr>
          <w:p w:rsidR="00D35047" w:rsidRPr="001B0FDD" w:rsidRDefault="00D35047" w:rsidP="00A76DBA">
            <w:pPr>
              <w:spacing w:line="360" w:lineRule="auto"/>
              <w:jc w:val="center"/>
              <w:rPr>
                <w:rFonts w:ascii="Arial Narrow" w:hAnsi="Arial Narrow" w:cs="Arial"/>
                <w:b/>
                <w:sz w:val="24"/>
                <w:szCs w:val="24"/>
              </w:rPr>
            </w:pPr>
          </w:p>
          <w:p w:rsidR="00D35047" w:rsidRPr="001B0FDD" w:rsidRDefault="00D35047" w:rsidP="00D92DB9">
            <w:pPr>
              <w:spacing w:line="360" w:lineRule="auto"/>
              <w:rPr>
                <w:rFonts w:ascii="Arial Narrow" w:hAnsi="Arial Narrow" w:cs="Arial"/>
                <w:b/>
                <w:sz w:val="24"/>
                <w:szCs w:val="24"/>
              </w:rPr>
            </w:pPr>
          </w:p>
        </w:tc>
      </w:tr>
      <w:tr w:rsidR="00D35047" w:rsidRPr="001B0FDD" w:rsidTr="00A76DBA">
        <w:trPr>
          <w:trHeight w:val="827"/>
        </w:trPr>
        <w:tc>
          <w:tcPr>
            <w:tcW w:w="4770" w:type="dxa"/>
          </w:tcPr>
          <w:p w:rsidR="00D35047" w:rsidRPr="001B0FDD" w:rsidRDefault="00D35047" w:rsidP="00A76DBA">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D35047" w:rsidRPr="001B0FDD" w:rsidRDefault="00D35047" w:rsidP="00A76DBA">
            <w:pPr>
              <w:spacing w:line="360" w:lineRule="auto"/>
              <w:jc w:val="center"/>
              <w:rPr>
                <w:rFonts w:ascii="Arial Narrow" w:hAnsi="Arial Narrow" w:cs="Arial"/>
                <w:b/>
                <w:sz w:val="24"/>
                <w:szCs w:val="24"/>
              </w:rPr>
            </w:pPr>
            <w:r w:rsidRPr="001B0FDD">
              <w:rPr>
                <w:rFonts w:ascii="Arial Narrow" w:hAnsi="Arial Narrow" w:cs="Arial"/>
                <w:b/>
                <w:sz w:val="24"/>
                <w:szCs w:val="24"/>
              </w:rPr>
              <w:t>JUDGE</w:t>
            </w:r>
          </w:p>
        </w:tc>
        <w:tc>
          <w:tcPr>
            <w:tcW w:w="4950" w:type="dxa"/>
            <w:gridSpan w:val="2"/>
          </w:tcPr>
          <w:p w:rsidR="00D35047" w:rsidRPr="001B0FDD" w:rsidRDefault="003C070D" w:rsidP="00A76DBA">
            <w:pPr>
              <w:spacing w:line="360" w:lineRule="auto"/>
              <w:jc w:val="center"/>
              <w:rPr>
                <w:rFonts w:ascii="Arial Narrow" w:hAnsi="Arial Narrow" w:cs="Arial"/>
                <w:b/>
                <w:sz w:val="24"/>
                <w:szCs w:val="24"/>
              </w:rPr>
            </w:pPr>
            <w:r>
              <w:rPr>
                <w:rFonts w:ascii="Arial Narrow" w:hAnsi="Arial Narrow" w:cs="Arial"/>
                <w:b/>
                <w:sz w:val="24"/>
                <w:szCs w:val="24"/>
              </w:rPr>
              <w:t>K MILLER</w:t>
            </w:r>
          </w:p>
          <w:p w:rsidR="00D35047" w:rsidRPr="001B0FDD" w:rsidRDefault="009A0F10" w:rsidP="00A76DBA">
            <w:pPr>
              <w:spacing w:line="360" w:lineRule="auto"/>
              <w:jc w:val="center"/>
              <w:rPr>
                <w:rFonts w:ascii="Arial Narrow" w:hAnsi="Arial Narrow" w:cs="Arial"/>
                <w:sz w:val="24"/>
                <w:szCs w:val="24"/>
              </w:rPr>
            </w:pPr>
            <w:r>
              <w:rPr>
                <w:rFonts w:ascii="Arial Narrow" w:hAnsi="Arial Narrow" w:cs="Arial"/>
                <w:b/>
                <w:sz w:val="24"/>
                <w:szCs w:val="24"/>
              </w:rPr>
              <w:t xml:space="preserve">ACTING </w:t>
            </w:r>
            <w:r w:rsidR="00D35047" w:rsidRPr="001B0FDD">
              <w:rPr>
                <w:rFonts w:ascii="Arial Narrow" w:hAnsi="Arial Narrow" w:cs="Arial"/>
                <w:b/>
                <w:sz w:val="24"/>
                <w:szCs w:val="24"/>
              </w:rPr>
              <w:t>JUDGE</w:t>
            </w:r>
          </w:p>
        </w:tc>
      </w:tr>
    </w:tbl>
    <w:p w:rsidR="00B97A95" w:rsidRDefault="00B97A95" w:rsidP="00D92DB9"/>
    <w:sectPr w:rsidR="00B97A95" w:rsidSect="0019613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01" w:rsidRDefault="00C63401" w:rsidP="00436FB0">
      <w:pPr>
        <w:spacing w:after="0" w:line="240" w:lineRule="auto"/>
      </w:pPr>
      <w:r>
        <w:separator/>
      </w:r>
    </w:p>
  </w:endnote>
  <w:endnote w:type="continuationSeparator" w:id="0">
    <w:p w:rsidR="00C63401" w:rsidRDefault="00C63401"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01" w:rsidRDefault="00C63401" w:rsidP="00436FB0">
      <w:pPr>
        <w:spacing w:after="0" w:line="240" w:lineRule="auto"/>
      </w:pPr>
      <w:r>
        <w:separator/>
      </w:r>
    </w:p>
  </w:footnote>
  <w:footnote w:type="continuationSeparator" w:id="0">
    <w:p w:rsidR="00C63401" w:rsidRDefault="00C63401" w:rsidP="00436FB0">
      <w:pPr>
        <w:spacing w:after="0" w:line="240" w:lineRule="auto"/>
      </w:pPr>
      <w:r>
        <w:continuationSeparator/>
      </w:r>
    </w:p>
  </w:footnote>
  <w:footnote w:id="1">
    <w:p w:rsidR="00D90A31" w:rsidRPr="00AA10C7" w:rsidRDefault="00D90A31">
      <w:pPr>
        <w:pStyle w:val="FootnoteText"/>
        <w:rPr>
          <w:rFonts w:ascii="Arial Narrow" w:hAnsi="Arial Narrow"/>
        </w:rPr>
      </w:pPr>
      <w:r w:rsidRPr="00AA10C7">
        <w:rPr>
          <w:rStyle w:val="FootnoteReference"/>
          <w:rFonts w:ascii="Arial Narrow" w:hAnsi="Arial Narrow"/>
        </w:rPr>
        <w:footnoteRef/>
      </w:r>
      <w:r w:rsidRPr="00AA10C7">
        <w:rPr>
          <w:rFonts w:ascii="Arial Narrow" w:hAnsi="Arial Narrow"/>
        </w:rPr>
        <w:t xml:space="preserve"> </w:t>
      </w:r>
      <w:r w:rsidRPr="00AA10C7">
        <w:rPr>
          <w:rFonts w:ascii="Arial Narrow" w:hAnsi="Arial Narrow"/>
          <w:i/>
        </w:rPr>
        <w:t>S v Aniseb and Another</w:t>
      </w:r>
      <w:r w:rsidRPr="00AA10C7">
        <w:rPr>
          <w:rFonts w:ascii="Arial Narrow" w:hAnsi="Arial Narrow"/>
        </w:rPr>
        <w:t xml:space="preserve"> 1991 NR 203 (HC) (1991 (2) SACR 413) at 415g – i</w:t>
      </w:r>
      <w:r w:rsidR="005541C3">
        <w:rPr>
          <w:rFonts w:ascii="Arial Narrow" w:hAnsi="Arial Narrow"/>
        </w:rPr>
        <w:t>)</w:t>
      </w:r>
    </w:p>
  </w:footnote>
  <w:footnote w:id="2">
    <w:p w:rsidR="00BB37FC" w:rsidRPr="00AA10C7" w:rsidRDefault="00BB37FC">
      <w:pPr>
        <w:pStyle w:val="FootnoteText"/>
        <w:rPr>
          <w:rFonts w:ascii="Arial Narrow" w:hAnsi="Arial Narrow"/>
        </w:rPr>
      </w:pPr>
      <w:r w:rsidRPr="00AA10C7">
        <w:rPr>
          <w:rStyle w:val="FootnoteReference"/>
          <w:rFonts w:ascii="Arial Narrow" w:hAnsi="Arial Narrow"/>
        </w:rPr>
        <w:footnoteRef/>
      </w:r>
      <w:r w:rsidRPr="00AA10C7">
        <w:rPr>
          <w:rFonts w:ascii="Arial Narrow" w:hAnsi="Arial Narrow"/>
        </w:rPr>
        <w:t xml:space="preserve"> </w:t>
      </w:r>
      <w:r w:rsidRPr="00AA10C7">
        <w:rPr>
          <w:rFonts w:ascii="Arial Narrow" w:hAnsi="Arial Narrow"/>
          <w:i/>
        </w:rPr>
        <w:t>S v Onesmus; S v Amukoto;S v Mweshipange</w:t>
      </w:r>
      <w:r w:rsidRPr="00AA10C7">
        <w:rPr>
          <w:rFonts w:ascii="Arial Narrow" w:hAnsi="Arial Narrow"/>
        </w:rPr>
        <w:t xml:space="preserve"> 2011 (2) NR 461 (HC).</w:t>
      </w:r>
    </w:p>
  </w:footnote>
  <w:footnote w:id="3">
    <w:p w:rsidR="00AA10C7" w:rsidRPr="00AA10C7" w:rsidRDefault="00AA10C7">
      <w:pPr>
        <w:pStyle w:val="FootnoteText"/>
        <w:rPr>
          <w:rFonts w:ascii="Arial Narrow" w:hAnsi="Arial Narrow"/>
          <w:i/>
        </w:rPr>
      </w:pPr>
      <w:r w:rsidRPr="00AA10C7">
        <w:rPr>
          <w:rStyle w:val="FootnoteReference"/>
          <w:rFonts w:ascii="Arial Narrow" w:hAnsi="Arial Narrow"/>
        </w:rPr>
        <w:footnoteRef/>
      </w:r>
      <w:r w:rsidRPr="00AA10C7">
        <w:rPr>
          <w:rFonts w:ascii="Arial Narrow" w:hAnsi="Arial Narrow"/>
        </w:rPr>
        <w:t xml:space="preserve"> </w:t>
      </w:r>
      <w:r w:rsidRPr="00AA10C7">
        <w:rPr>
          <w:rFonts w:ascii="Arial Narrow" w:hAnsi="Arial Narrow"/>
          <w:i/>
        </w:rPr>
        <w:t>S v Luish (CR 22-2013) [2013] NAHCMD 79 (27 March 2013) at para 11.</w:t>
      </w:r>
    </w:p>
  </w:footnote>
  <w:footnote w:id="4">
    <w:p w:rsidR="00AA10C7" w:rsidRDefault="00AA10C7">
      <w:pPr>
        <w:pStyle w:val="FootnoteText"/>
      </w:pPr>
      <w:r w:rsidRPr="00AA10C7">
        <w:rPr>
          <w:rStyle w:val="FootnoteReference"/>
          <w:rFonts w:ascii="Arial Narrow" w:hAnsi="Arial Narrow"/>
        </w:rPr>
        <w:footnoteRef/>
      </w:r>
      <w:r w:rsidRPr="00AA10C7">
        <w:rPr>
          <w:rFonts w:ascii="Arial Narrow" w:hAnsi="Arial Narrow"/>
        </w:rPr>
        <w:t xml:space="preserve"> S v Sithole 1979 (2) SA 67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479763"/>
      <w:docPartObj>
        <w:docPartGallery w:val="Page Numbers (Top of Page)"/>
        <w:docPartUnique/>
      </w:docPartObj>
    </w:sdtPr>
    <w:sdtEndPr>
      <w:rPr>
        <w:noProof/>
      </w:rPr>
    </w:sdtEndPr>
    <w:sdtContent>
      <w:p w:rsidR="00196138" w:rsidRDefault="00196138">
        <w:pPr>
          <w:pStyle w:val="Header"/>
          <w:jc w:val="right"/>
        </w:pPr>
        <w:r>
          <w:fldChar w:fldCharType="begin"/>
        </w:r>
        <w:r>
          <w:instrText xml:space="preserve"> PAGE   \* MERGEFORMAT </w:instrText>
        </w:r>
        <w:r>
          <w:fldChar w:fldCharType="separate"/>
        </w:r>
        <w:r w:rsidR="00837022">
          <w:rPr>
            <w:noProof/>
          </w:rPr>
          <w:t>4</w:t>
        </w:r>
        <w:r>
          <w:rPr>
            <w:noProof/>
          </w:rPr>
          <w:fldChar w:fldCharType="end"/>
        </w:r>
      </w:p>
    </w:sdtContent>
  </w:sdt>
  <w:p w:rsidR="00196138" w:rsidRDefault="0019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026"/>
    <w:multiLevelType w:val="hybridMultilevel"/>
    <w:tmpl w:val="C4DA7E8C"/>
    <w:lvl w:ilvl="0" w:tplc="04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2FA6BBC"/>
    <w:multiLevelType w:val="hybridMultilevel"/>
    <w:tmpl w:val="C062201A"/>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0BE7"/>
    <w:multiLevelType w:val="hybridMultilevel"/>
    <w:tmpl w:val="3376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634E"/>
    <w:multiLevelType w:val="hybridMultilevel"/>
    <w:tmpl w:val="C4DA7E8C"/>
    <w:lvl w:ilvl="0" w:tplc="04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966419"/>
    <w:multiLevelType w:val="hybridMultilevel"/>
    <w:tmpl w:val="96CEE4FA"/>
    <w:lvl w:ilvl="0" w:tplc="303C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108AD"/>
    <w:multiLevelType w:val="hybridMultilevel"/>
    <w:tmpl w:val="E9088AE2"/>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5676A"/>
    <w:multiLevelType w:val="hybridMultilevel"/>
    <w:tmpl w:val="831A248A"/>
    <w:lvl w:ilvl="0" w:tplc="1808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2A1BC2"/>
    <w:multiLevelType w:val="hybridMultilevel"/>
    <w:tmpl w:val="6EC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75E84"/>
    <w:multiLevelType w:val="hybridMultilevel"/>
    <w:tmpl w:val="7D8A9F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446D24"/>
    <w:multiLevelType w:val="hybridMultilevel"/>
    <w:tmpl w:val="A226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5C09A1"/>
    <w:multiLevelType w:val="hybridMultilevel"/>
    <w:tmpl w:val="A1747E8A"/>
    <w:lvl w:ilvl="0" w:tplc="04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3"/>
  </w:num>
  <w:num w:numId="5">
    <w:abstractNumId w:val="6"/>
  </w:num>
  <w:num w:numId="6">
    <w:abstractNumId w:val="1"/>
  </w:num>
  <w:num w:numId="7">
    <w:abstractNumId w:val="7"/>
  </w:num>
  <w:num w:numId="8">
    <w:abstractNumId w:val="3"/>
  </w:num>
  <w:num w:numId="9">
    <w:abstractNumId w:val="10"/>
  </w:num>
  <w:num w:numId="10">
    <w:abstractNumId w:val="8"/>
  </w:num>
  <w:num w:numId="11">
    <w:abstractNumId w:val="1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244F"/>
    <w:rsid w:val="00005DC5"/>
    <w:rsid w:val="000141CC"/>
    <w:rsid w:val="00015F3A"/>
    <w:rsid w:val="00026264"/>
    <w:rsid w:val="00060560"/>
    <w:rsid w:val="0007693F"/>
    <w:rsid w:val="000B1388"/>
    <w:rsid w:val="000C4569"/>
    <w:rsid w:val="000D3FC6"/>
    <w:rsid w:val="001846BA"/>
    <w:rsid w:val="00196138"/>
    <w:rsid w:val="001C0AAB"/>
    <w:rsid w:val="001F4D98"/>
    <w:rsid w:val="00210372"/>
    <w:rsid w:val="00217C27"/>
    <w:rsid w:val="00223FBB"/>
    <w:rsid w:val="00233A67"/>
    <w:rsid w:val="00247CF9"/>
    <w:rsid w:val="00247E6B"/>
    <w:rsid w:val="00252DCB"/>
    <w:rsid w:val="00261686"/>
    <w:rsid w:val="00272214"/>
    <w:rsid w:val="002745F1"/>
    <w:rsid w:val="00283D64"/>
    <w:rsid w:val="00290365"/>
    <w:rsid w:val="0031055E"/>
    <w:rsid w:val="0031127C"/>
    <w:rsid w:val="003523F7"/>
    <w:rsid w:val="00357928"/>
    <w:rsid w:val="00370E0F"/>
    <w:rsid w:val="00373553"/>
    <w:rsid w:val="00383BA9"/>
    <w:rsid w:val="00387CB1"/>
    <w:rsid w:val="003C070D"/>
    <w:rsid w:val="003C1BA2"/>
    <w:rsid w:val="003D4293"/>
    <w:rsid w:val="003F2177"/>
    <w:rsid w:val="00421539"/>
    <w:rsid w:val="00436FB0"/>
    <w:rsid w:val="004429FE"/>
    <w:rsid w:val="00470F56"/>
    <w:rsid w:val="004B6940"/>
    <w:rsid w:val="0050248C"/>
    <w:rsid w:val="005541C3"/>
    <w:rsid w:val="00585FD6"/>
    <w:rsid w:val="005A3949"/>
    <w:rsid w:val="005D5006"/>
    <w:rsid w:val="005D7CD3"/>
    <w:rsid w:val="005E213F"/>
    <w:rsid w:val="00637AA2"/>
    <w:rsid w:val="00651C6C"/>
    <w:rsid w:val="006A5B17"/>
    <w:rsid w:val="006B359A"/>
    <w:rsid w:val="006C501A"/>
    <w:rsid w:val="006D43D3"/>
    <w:rsid w:val="006D5E9B"/>
    <w:rsid w:val="006E0F94"/>
    <w:rsid w:val="006F1BE0"/>
    <w:rsid w:val="007106DC"/>
    <w:rsid w:val="00794AA7"/>
    <w:rsid w:val="007A0BF8"/>
    <w:rsid w:val="00817483"/>
    <w:rsid w:val="0082025B"/>
    <w:rsid w:val="00837022"/>
    <w:rsid w:val="00872684"/>
    <w:rsid w:val="0089711E"/>
    <w:rsid w:val="008B0460"/>
    <w:rsid w:val="008F151B"/>
    <w:rsid w:val="00910736"/>
    <w:rsid w:val="00976788"/>
    <w:rsid w:val="009850EE"/>
    <w:rsid w:val="009A0F10"/>
    <w:rsid w:val="009E3C38"/>
    <w:rsid w:val="00A32185"/>
    <w:rsid w:val="00A52DB4"/>
    <w:rsid w:val="00A675EE"/>
    <w:rsid w:val="00A72D0A"/>
    <w:rsid w:val="00A76DBA"/>
    <w:rsid w:val="00A9197C"/>
    <w:rsid w:val="00AA0B82"/>
    <w:rsid w:val="00AA10C7"/>
    <w:rsid w:val="00AA3631"/>
    <w:rsid w:val="00B13BE8"/>
    <w:rsid w:val="00B305FE"/>
    <w:rsid w:val="00B45CEA"/>
    <w:rsid w:val="00B8111E"/>
    <w:rsid w:val="00B8321C"/>
    <w:rsid w:val="00B97A95"/>
    <w:rsid w:val="00BB37FC"/>
    <w:rsid w:val="00BE21EF"/>
    <w:rsid w:val="00BF6D42"/>
    <w:rsid w:val="00BF6FF3"/>
    <w:rsid w:val="00C00876"/>
    <w:rsid w:val="00C23FE5"/>
    <w:rsid w:val="00C53729"/>
    <w:rsid w:val="00C62494"/>
    <w:rsid w:val="00C63401"/>
    <w:rsid w:val="00C77991"/>
    <w:rsid w:val="00C8006D"/>
    <w:rsid w:val="00CA70E5"/>
    <w:rsid w:val="00CB007B"/>
    <w:rsid w:val="00CC5B0A"/>
    <w:rsid w:val="00CF3570"/>
    <w:rsid w:val="00D05CED"/>
    <w:rsid w:val="00D35047"/>
    <w:rsid w:val="00D37E2C"/>
    <w:rsid w:val="00D90A31"/>
    <w:rsid w:val="00D92DB9"/>
    <w:rsid w:val="00D9375F"/>
    <w:rsid w:val="00DC58ED"/>
    <w:rsid w:val="00E0209D"/>
    <w:rsid w:val="00E20720"/>
    <w:rsid w:val="00E35B3A"/>
    <w:rsid w:val="00E445D2"/>
    <w:rsid w:val="00E607E6"/>
    <w:rsid w:val="00E63192"/>
    <w:rsid w:val="00EC6886"/>
    <w:rsid w:val="00F06035"/>
    <w:rsid w:val="00F44320"/>
    <w:rsid w:val="00F44E1B"/>
    <w:rsid w:val="00F50E38"/>
    <w:rsid w:val="00F510D3"/>
    <w:rsid w:val="00F74C8E"/>
    <w:rsid w:val="00FD5943"/>
    <w:rsid w:val="00FD651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291FF-C682-4EF0-86EB-7C74430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character" w:styleId="Emphasis">
    <w:name w:val="Emphasis"/>
    <w:basedOn w:val="DefaultParagraphFont"/>
    <w:uiPriority w:val="20"/>
    <w:qFormat/>
    <w:rsid w:val="005A3949"/>
    <w:rPr>
      <w:i/>
      <w:iCs/>
    </w:rPr>
  </w:style>
  <w:style w:type="paragraph" w:styleId="Header">
    <w:name w:val="header"/>
    <w:basedOn w:val="Normal"/>
    <w:link w:val="HeaderChar"/>
    <w:uiPriority w:val="99"/>
    <w:unhideWhenUsed/>
    <w:rsid w:val="0019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8"/>
  </w:style>
  <w:style w:type="paragraph" w:styleId="Footer">
    <w:name w:val="footer"/>
    <w:basedOn w:val="Normal"/>
    <w:link w:val="FooterChar"/>
    <w:uiPriority w:val="99"/>
    <w:unhideWhenUsed/>
    <w:rsid w:val="0019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38"/>
  </w:style>
  <w:style w:type="paragraph" w:styleId="BalloonText">
    <w:name w:val="Balloon Text"/>
    <w:basedOn w:val="Normal"/>
    <w:link w:val="BalloonTextChar"/>
    <w:uiPriority w:val="99"/>
    <w:semiHidden/>
    <w:unhideWhenUsed/>
    <w:rsid w:val="00A7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2019-05-12T18:30:00+00:00</Judgment_x0020_Date>
  </documentManagement>
</p:properties>
</file>

<file path=customXml/itemProps1.xml><?xml version="1.0" encoding="utf-8"?>
<ds:datastoreItem xmlns:ds="http://schemas.openxmlformats.org/officeDocument/2006/customXml" ds:itemID="{B5CBC118-DBE4-4633-B666-9A2A56E40E7F}"/>
</file>

<file path=customXml/itemProps2.xml><?xml version="1.0" encoding="utf-8"?>
<ds:datastoreItem xmlns:ds="http://schemas.openxmlformats.org/officeDocument/2006/customXml" ds:itemID="{6C9CCA1F-7C51-4327-B041-35D5F749DA46}"/>
</file>

<file path=customXml/itemProps3.xml><?xml version="1.0" encoding="utf-8"?>
<ds:datastoreItem xmlns:ds="http://schemas.openxmlformats.org/officeDocument/2006/customXml" ds:itemID="{482131EE-D861-47A6-8429-C5CCD583BFE7}"/>
</file>

<file path=customXml/itemProps4.xml><?xml version="1.0" encoding="utf-8"?>
<ds:datastoreItem xmlns:ds="http://schemas.openxmlformats.org/officeDocument/2006/customXml" ds:itemID="{442DA719-A60C-40BF-A57E-F3CAF3961D0A}"/>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Lotta N. Ambunda</cp:lastModifiedBy>
  <cp:revision>2</cp:revision>
  <cp:lastPrinted>2019-05-13T06:27:00Z</cp:lastPrinted>
  <dcterms:created xsi:type="dcterms:W3CDTF">2019-06-21T10:58:00Z</dcterms:created>
  <dcterms:modified xsi:type="dcterms:W3CDTF">2019-06-21T10:58:00Z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