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center"/>
        <w:rPr>
          <w:rFonts w:ascii="Arial Narrow" w:hAnsi="Arial Narrow"/>
          <w:sz w:val="28"/>
          <w:szCs w:val="28"/>
        </w:rPr>
      </w:pPr>
      <w:bookmarkStart w:id="0" w:name="_GoBack"/>
      <w:bookmarkEnd w:id="0"/>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5E47F9" w:rsidTr="005403D8">
        <w:trPr>
          <w:trHeight w:val="744"/>
        </w:trPr>
        <w:tc>
          <w:tcPr>
            <w:tcW w:w="5397" w:type="dxa"/>
            <w:gridSpan w:val="2"/>
            <w:vMerge w:val="restart"/>
          </w:tcPr>
          <w:p w:rsidR="00C73154" w:rsidRPr="008B1288" w:rsidRDefault="00C73154" w:rsidP="00EB27A0">
            <w:pPr>
              <w:spacing w:line="360" w:lineRule="auto"/>
              <w:jc w:val="both"/>
              <w:rPr>
                <w:rFonts w:ascii="Arial" w:hAnsi="Arial" w:cs="Arial"/>
                <w:sz w:val="24"/>
                <w:szCs w:val="24"/>
              </w:rPr>
            </w:pPr>
            <w:r w:rsidRPr="005E47F9">
              <w:rPr>
                <w:rFonts w:ascii="Arial" w:hAnsi="Arial" w:cs="Arial"/>
                <w:b/>
                <w:sz w:val="24"/>
                <w:szCs w:val="24"/>
              </w:rPr>
              <w:t>Case Title:</w:t>
            </w:r>
            <w:r w:rsidR="008B1288">
              <w:rPr>
                <w:rFonts w:ascii="Arial" w:hAnsi="Arial" w:cs="Arial"/>
                <w:b/>
                <w:sz w:val="24"/>
                <w:szCs w:val="24"/>
              </w:rPr>
              <w:t xml:space="preserve">  </w:t>
            </w:r>
            <w:r w:rsidR="008B1288" w:rsidRPr="008B1288">
              <w:rPr>
                <w:rFonts w:ascii="Arial" w:hAnsi="Arial" w:cs="Arial"/>
                <w:sz w:val="24"/>
                <w:szCs w:val="24"/>
              </w:rPr>
              <w:t>Development Bank of Namibia Limited vs Benlin Investment Close Corporation.</w:t>
            </w:r>
          </w:p>
          <w:p w:rsidR="00C73154" w:rsidRPr="005E47F9" w:rsidRDefault="00C73154" w:rsidP="00B07404">
            <w:pPr>
              <w:pStyle w:val="form-control-static"/>
              <w:shd w:val="clear" w:color="auto" w:fill="FFFFFF"/>
              <w:spacing w:before="0" w:beforeAutospacing="0" w:after="0" w:afterAutospacing="0"/>
              <w:rPr>
                <w:rFonts w:ascii="Arial" w:hAnsi="Arial" w:cs="Arial"/>
              </w:rPr>
            </w:pPr>
          </w:p>
        </w:tc>
        <w:tc>
          <w:tcPr>
            <w:tcW w:w="4323" w:type="dxa"/>
          </w:tcPr>
          <w:p w:rsidR="00C73154" w:rsidRPr="005E47F9" w:rsidRDefault="00C73154" w:rsidP="00905A48">
            <w:pPr>
              <w:spacing w:line="360" w:lineRule="auto"/>
              <w:jc w:val="both"/>
              <w:rPr>
                <w:rFonts w:ascii="Arial" w:hAnsi="Arial" w:cs="Arial"/>
                <w:b/>
                <w:sz w:val="24"/>
                <w:szCs w:val="24"/>
              </w:rPr>
            </w:pPr>
            <w:r w:rsidRPr="005E47F9">
              <w:rPr>
                <w:rFonts w:ascii="Arial" w:hAnsi="Arial" w:cs="Arial"/>
                <w:b/>
                <w:sz w:val="24"/>
                <w:szCs w:val="24"/>
              </w:rPr>
              <w:t>Case No:</w:t>
            </w:r>
          </w:p>
          <w:p w:rsidR="00676F46" w:rsidRPr="005E47F9" w:rsidRDefault="00F5564C" w:rsidP="00B07404">
            <w:pPr>
              <w:spacing w:line="360" w:lineRule="auto"/>
              <w:jc w:val="both"/>
              <w:rPr>
                <w:rFonts w:ascii="Arial" w:hAnsi="Arial" w:cs="Arial"/>
                <w:sz w:val="24"/>
                <w:szCs w:val="24"/>
              </w:rPr>
            </w:pPr>
            <w:r w:rsidRPr="005E47F9">
              <w:rPr>
                <w:rFonts w:ascii="Arial" w:hAnsi="Arial" w:cs="Arial"/>
                <w:sz w:val="24"/>
                <w:szCs w:val="24"/>
              </w:rPr>
              <w:t>HC-MD-CIV-ACT-CON-</w:t>
            </w:r>
            <w:r w:rsidR="009C501F" w:rsidRPr="005E47F9">
              <w:rPr>
                <w:rFonts w:ascii="Arial" w:hAnsi="Arial" w:cs="Arial"/>
                <w:sz w:val="24"/>
                <w:szCs w:val="24"/>
              </w:rPr>
              <w:t>2018/00428</w:t>
            </w:r>
          </w:p>
        </w:tc>
      </w:tr>
      <w:tr w:rsidR="00C73154" w:rsidRPr="005E47F9" w:rsidTr="005403D8">
        <w:trPr>
          <w:trHeight w:val="844"/>
        </w:trPr>
        <w:tc>
          <w:tcPr>
            <w:tcW w:w="5397" w:type="dxa"/>
            <w:gridSpan w:val="2"/>
            <w:vMerge/>
          </w:tcPr>
          <w:p w:rsidR="00C73154" w:rsidRPr="005E47F9" w:rsidRDefault="00C73154" w:rsidP="00EB27A0">
            <w:pPr>
              <w:spacing w:line="360" w:lineRule="auto"/>
              <w:jc w:val="both"/>
              <w:rPr>
                <w:rFonts w:ascii="Arial" w:hAnsi="Arial" w:cs="Arial"/>
                <w:sz w:val="24"/>
                <w:szCs w:val="24"/>
              </w:rPr>
            </w:pPr>
          </w:p>
        </w:tc>
        <w:tc>
          <w:tcPr>
            <w:tcW w:w="4323" w:type="dxa"/>
          </w:tcPr>
          <w:p w:rsidR="00C73154" w:rsidRPr="005E47F9" w:rsidRDefault="00C73154" w:rsidP="00EB27A0">
            <w:pPr>
              <w:spacing w:line="360" w:lineRule="auto"/>
              <w:jc w:val="both"/>
              <w:rPr>
                <w:rFonts w:ascii="Arial" w:hAnsi="Arial" w:cs="Arial"/>
                <w:sz w:val="24"/>
                <w:szCs w:val="24"/>
              </w:rPr>
            </w:pPr>
            <w:r w:rsidRPr="005E47F9">
              <w:rPr>
                <w:rFonts w:ascii="Arial" w:hAnsi="Arial" w:cs="Arial"/>
                <w:b/>
                <w:sz w:val="24"/>
                <w:szCs w:val="24"/>
              </w:rPr>
              <w:t>Division of Court:</w:t>
            </w:r>
          </w:p>
          <w:p w:rsidR="00C73154" w:rsidRPr="005E47F9" w:rsidRDefault="00C73154" w:rsidP="00EB27A0">
            <w:pPr>
              <w:spacing w:line="360" w:lineRule="auto"/>
              <w:jc w:val="both"/>
              <w:rPr>
                <w:rFonts w:ascii="Arial" w:hAnsi="Arial" w:cs="Arial"/>
                <w:sz w:val="24"/>
                <w:szCs w:val="24"/>
              </w:rPr>
            </w:pPr>
            <w:r w:rsidRPr="005E47F9">
              <w:rPr>
                <w:rFonts w:ascii="Arial" w:hAnsi="Arial" w:cs="Arial"/>
                <w:sz w:val="24"/>
                <w:szCs w:val="24"/>
              </w:rPr>
              <w:t>High Court</w:t>
            </w:r>
            <w:r w:rsidR="009C501F" w:rsidRPr="005E47F9">
              <w:rPr>
                <w:rFonts w:ascii="Arial" w:hAnsi="Arial" w:cs="Arial"/>
                <w:sz w:val="24"/>
                <w:szCs w:val="24"/>
              </w:rPr>
              <w:t>, Main Division</w:t>
            </w:r>
          </w:p>
        </w:tc>
      </w:tr>
      <w:tr w:rsidR="005403D8" w:rsidRPr="005E47F9" w:rsidTr="005403D8">
        <w:trPr>
          <w:trHeight w:val="645"/>
        </w:trPr>
        <w:tc>
          <w:tcPr>
            <w:tcW w:w="5397" w:type="dxa"/>
            <w:gridSpan w:val="2"/>
            <w:vMerge w:val="restart"/>
          </w:tcPr>
          <w:p w:rsidR="005403D8" w:rsidRPr="005E47F9" w:rsidRDefault="005403D8" w:rsidP="00EB27A0">
            <w:pPr>
              <w:spacing w:line="360" w:lineRule="auto"/>
              <w:jc w:val="both"/>
              <w:rPr>
                <w:rFonts w:ascii="Arial" w:hAnsi="Arial" w:cs="Arial"/>
                <w:b/>
                <w:sz w:val="24"/>
                <w:szCs w:val="24"/>
              </w:rPr>
            </w:pPr>
            <w:r w:rsidRPr="005E47F9">
              <w:rPr>
                <w:rFonts w:ascii="Arial" w:hAnsi="Arial" w:cs="Arial"/>
                <w:b/>
                <w:sz w:val="24"/>
                <w:szCs w:val="24"/>
              </w:rPr>
              <w:t>Heard before:</w:t>
            </w:r>
          </w:p>
          <w:p w:rsidR="005403D8" w:rsidRPr="005E47F9" w:rsidRDefault="005403D8" w:rsidP="006A0DA3">
            <w:pPr>
              <w:spacing w:line="360" w:lineRule="auto"/>
              <w:jc w:val="both"/>
              <w:rPr>
                <w:rFonts w:ascii="Arial" w:hAnsi="Arial" w:cs="Arial"/>
                <w:sz w:val="24"/>
                <w:szCs w:val="24"/>
              </w:rPr>
            </w:pPr>
            <w:r w:rsidRPr="005E47F9">
              <w:rPr>
                <w:rFonts w:ascii="Arial" w:hAnsi="Arial" w:cs="Arial"/>
                <w:sz w:val="24"/>
                <w:szCs w:val="24"/>
              </w:rPr>
              <w:t xml:space="preserve">Honourable </w:t>
            </w:r>
            <w:r w:rsidR="006A0DA3" w:rsidRPr="005E47F9">
              <w:rPr>
                <w:rFonts w:ascii="Arial" w:hAnsi="Arial" w:cs="Arial"/>
                <w:sz w:val="24"/>
                <w:szCs w:val="24"/>
              </w:rPr>
              <w:t>Justice</w:t>
            </w:r>
            <w:r w:rsidRPr="005E47F9">
              <w:rPr>
                <w:rFonts w:ascii="Arial" w:hAnsi="Arial" w:cs="Arial"/>
                <w:sz w:val="24"/>
                <w:szCs w:val="24"/>
              </w:rPr>
              <w:t xml:space="preserve"> </w:t>
            </w:r>
            <w:r w:rsidR="00D217B7" w:rsidRPr="005E47F9">
              <w:rPr>
                <w:rFonts w:ascii="Arial" w:hAnsi="Arial" w:cs="Arial"/>
                <w:sz w:val="24"/>
                <w:szCs w:val="24"/>
              </w:rPr>
              <w:t>Herman Oosthuizen</w:t>
            </w:r>
          </w:p>
        </w:tc>
        <w:tc>
          <w:tcPr>
            <w:tcW w:w="4323" w:type="dxa"/>
          </w:tcPr>
          <w:p w:rsidR="00DD21FA" w:rsidRPr="005E47F9" w:rsidRDefault="005403D8" w:rsidP="00DD21FA">
            <w:pPr>
              <w:spacing w:line="360" w:lineRule="auto"/>
              <w:jc w:val="both"/>
              <w:rPr>
                <w:rFonts w:ascii="Arial" w:hAnsi="Arial" w:cs="Arial"/>
                <w:b/>
                <w:sz w:val="24"/>
                <w:szCs w:val="24"/>
              </w:rPr>
            </w:pPr>
            <w:r w:rsidRPr="005E47F9">
              <w:rPr>
                <w:rFonts w:ascii="Arial" w:hAnsi="Arial" w:cs="Arial"/>
                <w:b/>
                <w:sz w:val="24"/>
                <w:szCs w:val="24"/>
              </w:rPr>
              <w:t>Date of hearing:</w:t>
            </w:r>
          </w:p>
          <w:p w:rsidR="00DD21FA" w:rsidRPr="005E47F9" w:rsidRDefault="008C78F7" w:rsidP="008C0AC7">
            <w:pPr>
              <w:spacing w:line="360" w:lineRule="auto"/>
              <w:rPr>
                <w:rFonts w:ascii="Arial" w:hAnsi="Arial" w:cs="Arial"/>
                <w:sz w:val="24"/>
                <w:szCs w:val="24"/>
              </w:rPr>
            </w:pPr>
            <w:r>
              <w:rPr>
                <w:rFonts w:ascii="Arial" w:hAnsi="Arial" w:cs="Arial"/>
                <w:sz w:val="24"/>
                <w:szCs w:val="24"/>
              </w:rPr>
              <w:t>25 March 2019</w:t>
            </w:r>
          </w:p>
        </w:tc>
      </w:tr>
      <w:tr w:rsidR="005403D8" w:rsidRPr="005E47F9" w:rsidTr="00FD38C2">
        <w:trPr>
          <w:trHeight w:val="588"/>
        </w:trPr>
        <w:tc>
          <w:tcPr>
            <w:tcW w:w="5397" w:type="dxa"/>
            <w:gridSpan w:val="2"/>
            <w:vMerge/>
          </w:tcPr>
          <w:p w:rsidR="005403D8" w:rsidRPr="005E47F9" w:rsidRDefault="005403D8" w:rsidP="00EB27A0">
            <w:pPr>
              <w:spacing w:line="360" w:lineRule="auto"/>
              <w:jc w:val="both"/>
              <w:rPr>
                <w:rFonts w:ascii="Arial" w:hAnsi="Arial" w:cs="Arial"/>
                <w:b/>
                <w:sz w:val="24"/>
                <w:szCs w:val="24"/>
              </w:rPr>
            </w:pPr>
          </w:p>
        </w:tc>
        <w:tc>
          <w:tcPr>
            <w:tcW w:w="4323" w:type="dxa"/>
          </w:tcPr>
          <w:p w:rsidR="005403D8" w:rsidRPr="005E47F9" w:rsidRDefault="005403D8" w:rsidP="005403D8">
            <w:pPr>
              <w:spacing w:line="360" w:lineRule="auto"/>
              <w:jc w:val="both"/>
              <w:rPr>
                <w:rFonts w:ascii="Arial" w:hAnsi="Arial" w:cs="Arial"/>
                <w:b/>
                <w:sz w:val="24"/>
                <w:szCs w:val="24"/>
              </w:rPr>
            </w:pPr>
            <w:r w:rsidRPr="005E47F9">
              <w:rPr>
                <w:rFonts w:ascii="Arial" w:hAnsi="Arial" w:cs="Arial"/>
                <w:b/>
                <w:sz w:val="24"/>
                <w:szCs w:val="24"/>
              </w:rPr>
              <w:t>Delivered on:</w:t>
            </w:r>
          </w:p>
          <w:p w:rsidR="005403D8" w:rsidRPr="005E47F9" w:rsidRDefault="009C501F" w:rsidP="00186226">
            <w:pPr>
              <w:spacing w:line="360" w:lineRule="auto"/>
              <w:jc w:val="both"/>
              <w:rPr>
                <w:rFonts w:ascii="Arial" w:hAnsi="Arial" w:cs="Arial"/>
                <w:sz w:val="24"/>
                <w:szCs w:val="24"/>
              </w:rPr>
            </w:pPr>
            <w:r w:rsidRPr="005E47F9">
              <w:rPr>
                <w:rFonts w:ascii="Arial" w:hAnsi="Arial" w:cs="Arial"/>
                <w:sz w:val="24"/>
                <w:szCs w:val="24"/>
              </w:rPr>
              <w:t>16 May 2019</w:t>
            </w:r>
          </w:p>
        </w:tc>
      </w:tr>
      <w:tr w:rsidR="005955B1" w:rsidRPr="005E47F9" w:rsidTr="00EB27A0">
        <w:tc>
          <w:tcPr>
            <w:tcW w:w="9720" w:type="dxa"/>
            <w:gridSpan w:val="3"/>
          </w:tcPr>
          <w:p w:rsidR="005955B1" w:rsidRPr="005E47F9" w:rsidRDefault="005955B1" w:rsidP="00B07404">
            <w:pPr>
              <w:pStyle w:val="form-control-static"/>
              <w:shd w:val="clear" w:color="auto" w:fill="FFFFFF"/>
              <w:spacing w:before="0" w:beforeAutospacing="0" w:after="0" w:afterAutospacing="0"/>
              <w:rPr>
                <w:rFonts w:ascii="Arial" w:hAnsi="Arial" w:cs="Arial"/>
                <w:i/>
                <w:color w:val="333333"/>
              </w:rPr>
            </w:pPr>
            <w:r w:rsidRPr="005E47F9">
              <w:rPr>
                <w:rFonts w:ascii="Arial" w:hAnsi="Arial" w:cs="Arial"/>
                <w:b/>
              </w:rPr>
              <w:t>Neutral citation:</w:t>
            </w:r>
            <w:r w:rsidR="00677240" w:rsidRPr="005E47F9">
              <w:rPr>
                <w:rFonts w:ascii="Arial" w:hAnsi="Arial" w:cs="Arial"/>
                <w:b/>
              </w:rPr>
              <w:t xml:space="preserve"> </w:t>
            </w:r>
            <w:r w:rsidRPr="005E47F9">
              <w:rPr>
                <w:rFonts w:ascii="Arial" w:hAnsi="Arial" w:cs="Arial"/>
                <w:b/>
              </w:rPr>
              <w:t xml:space="preserve"> </w:t>
            </w:r>
            <w:r w:rsidR="00313EC3">
              <w:rPr>
                <w:rFonts w:ascii="Arial" w:hAnsi="Arial" w:cs="Arial"/>
                <w:i/>
              </w:rPr>
              <w:t>Development Bank of Namibia Limited</w:t>
            </w:r>
            <w:r w:rsidR="00313EC3" w:rsidRPr="00361001">
              <w:rPr>
                <w:rFonts w:ascii="Arial" w:hAnsi="Arial" w:cs="Arial"/>
                <w:i/>
              </w:rPr>
              <w:t xml:space="preserve"> vs </w:t>
            </w:r>
            <w:r w:rsidR="00313EC3">
              <w:rPr>
                <w:rFonts w:ascii="Arial" w:hAnsi="Arial" w:cs="Arial"/>
                <w:i/>
              </w:rPr>
              <w:t>Benlin Investment Close Corporation</w:t>
            </w:r>
            <w:r w:rsidR="00313EC3">
              <w:rPr>
                <w:rFonts w:ascii="Arial" w:hAnsi="Arial" w:cs="Arial"/>
              </w:rPr>
              <w:t xml:space="preserve"> (HC-MD-CIV-ACT-CON-2018/00428) [2019] NAHCMD </w:t>
            </w:r>
            <w:r w:rsidR="00DC3824">
              <w:rPr>
                <w:rFonts w:ascii="Arial" w:hAnsi="Arial" w:cs="Arial"/>
              </w:rPr>
              <w:t>150</w:t>
            </w:r>
            <w:r w:rsidR="00313EC3">
              <w:rPr>
                <w:rFonts w:ascii="Arial" w:hAnsi="Arial" w:cs="Arial"/>
              </w:rPr>
              <w:t xml:space="preserve"> (16 May 2019).</w:t>
            </w:r>
          </w:p>
          <w:p w:rsidR="00B07404" w:rsidRPr="005E47F9" w:rsidRDefault="00B07404" w:rsidP="00B07404">
            <w:pPr>
              <w:pStyle w:val="form-control-static"/>
              <w:shd w:val="clear" w:color="auto" w:fill="FFFFFF"/>
              <w:spacing w:before="0" w:beforeAutospacing="0" w:after="0" w:afterAutospacing="0"/>
              <w:rPr>
                <w:rFonts w:ascii="Arial" w:hAnsi="Arial" w:cs="Arial"/>
                <w:i/>
                <w:color w:val="333333"/>
              </w:rPr>
            </w:pPr>
          </w:p>
          <w:p w:rsidR="00B07404" w:rsidRPr="005E47F9" w:rsidRDefault="00B07404" w:rsidP="00B07404">
            <w:pPr>
              <w:pStyle w:val="form-control-static"/>
              <w:shd w:val="clear" w:color="auto" w:fill="FFFFFF"/>
              <w:spacing w:before="0" w:beforeAutospacing="0" w:after="0" w:afterAutospacing="0"/>
              <w:rPr>
                <w:rFonts w:ascii="Arial" w:hAnsi="Arial" w:cs="Arial"/>
                <w:b/>
              </w:rPr>
            </w:pPr>
          </w:p>
        </w:tc>
      </w:tr>
      <w:tr w:rsidR="00281FAB" w:rsidRPr="005E47F9" w:rsidTr="005955B1">
        <w:trPr>
          <w:trHeight w:val="947"/>
        </w:trPr>
        <w:tc>
          <w:tcPr>
            <w:tcW w:w="9720" w:type="dxa"/>
            <w:gridSpan w:val="3"/>
          </w:tcPr>
          <w:p w:rsidR="00281FAB" w:rsidRPr="005E47F9" w:rsidRDefault="00281FAB" w:rsidP="00EB27A0">
            <w:pPr>
              <w:spacing w:line="360" w:lineRule="auto"/>
              <w:jc w:val="both"/>
              <w:rPr>
                <w:rFonts w:ascii="Arial" w:hAnsi="Arial" w:cs="Arial"/>
                <w:b/>
                <w:sz w:val="24"/>
                <w:szCs w:val="24"/>
              </w:rPr>
            </w:pPr>
            <w:r w:rsidRPr="005E47F9">
              <w:rPr>
                <w:rFonts w:ascii="Arial" w:hAnsi="Arial" w:cs="Arial"/>
                <w:b/>
                <w:sz w:val="24"/>
                <w:szCs w:val="24"/>
              </w:rPr>
              <w:t xml:space="preserve">Result on </w:t>
            </w:r>
            <w:r w:rsidR="009C7BA7">
              <w:rPr>
                <w:rFonts w:ascii="Arial" w:hAnsi="Arial" w:cs="Arial"/>
                <w:b/>
                <w:sz w:val="24"/>
                <w:szCs w:val="24"/>
              </w:rPr>
              <w:t>procedure</w:t>
            </w:r>
            <w:r w:rsidRPr="005E47F9">
              <w:rPr>
                <w:rFonts w:ascii="Arial" w:hAnsi="Arial" w:cs="Arial"/>
                <w:b/>
                <w:sz w:val="24"/>
                <w:szCs w:val="24"/>
              </w:rPr>
              <w:t>:</w:t>
            </w:r>
            <w:r w:rsidR="009C7BA7">
              <w:rPr>
                <w:rFonts w:ascii="Arial" w:hAnsi="Arial" w:cs="Arial"/>
                <w:b/>
                <w:sz w:val="24"/>
                <w:szCs w:val="24"/>
              </w:rPr>
              <w:t xml:space="preserve"> </w:t>
            </w:r>
            <w:r w:rsidR="00B02B92">
              <w:rPr>
                <w:rFonts w:ascii="Arial" w:hAnsi="Arial" w:cs="Arial"/>
                <w:sz w:val="24"/>
                <w:szCs w:val="24"/>
              </w:rPr>
              <w:t xml:space="preserve"> S</w:t>
            </w:r>
            <w:r w:rsidR="009C7BA7" w:rsidRPr="009C7BA7">
              <w:rPr>
                <w:rFonts w:ascii="Arial" w:hAnsi="Arial" w:cs="Arial"/>
                <w:sz w:val="24"/>
                <w:szCs w:val="24"/>
              </w:rPr>
              <w:t>truck from the roll with costs against plaintiff.</w:t>
            </w:r>
          </w:p>
          <w:p w:rsidR="00686B3F" w:rsidRPr="005E47F9" w:rsidRDefault="00686B3F" w:rsidP="00EB27A0">
            <w:pPr>
              <w:spacing w:line="360" w:lineRule="auto"/>
              <w:jc w:val="both"/>
              <w:rPr>
                <w:rFonts w:ascii="Arial" w:hAnsi="Arial" w:cs="Arial"/>
                <w:sz w:val="24"/>
                <w:szCs w:val="24"/>
              </w:rPr>
            </w:pPr>
          </w:p>
        </w:tc>
      </w:tr>
      <w:tr w:rsidR="00281FAB" w:rsidRPr="005E47F9" w:rsidTr="00EB27A0">
        <w:tc>
          <w:tcPr>
            <w:tcW w:w="9720" w:type="dxa"/>
            <w:gridSpan w:val="3"/>
          </w:tcPr>
          <w:p w:rsidR="00281FAB" w:rsidRPr="005E47F9" w:rsidRDefault="00281FAB" w:rsidP="00EB27A0">
            <w:pPr>
              <w:spacing w:line="360" w:lineRule="auto"/>
              <w:jc w:val="both"/>
              <w:rPr>
                <w:rFonts w:ascii="Arial" w:hAnsi="Arial" w:cs="Arial"/>
                <w:b/>
                <w:sz w:val="24"/>
                <w:szCs w:val="24"/>
              </w:rPr>
            </w:pPr>
            <w:r w:rsidRPr="005E47F9">
              <w:rPr>
                <w:rFonts w:ascii="Arial" w:hAnsi="Arial" w:cs="Arial"/>
                <w:b/>
                <w:sz w:val="24"/>
                <w:szCs w:val="24"/>
              </w:rPr>
              <w:t>The order:</w:t>
            </w:r>
          </w:p>
          <w:p w:rsidR="00C73154" w:rsidRPr="005E47F9" w:rsidRDefault="00C73154" w:rsidP="00EB27A0">
            <w:pPr>
              <w:spacing w:line="360" w:lineRule="auto"/>
              <w:jc w:val="both"/>
              <w:rPr>
                <w:rFonts w:ascii="Arial" w:hAnsi="Arial" w:cs="Arial"/>
                <w:sz w:val="16"/>
                <w:szCs w:val="16"/>
              </w:rPr>
            </w:pPr>
          </w:p>
          <w:p w:rsidR="00281FAB" w:rsidRPr="005E47F9" w:rsidRDefault="00FD38C2" w:rsidP="00EB27A0">
            <w:pPr>
              <w:spacing w:line="360" w:lineRule="auto"/>
              <w:jc w:val="both"/>
              <w:rPr>
                <w:rFonts w:ascii="Arial" w:hAnsi="Arial" w:cs="Arial"/>
                <w:sz w:val="24"/>
                <w:szCs w:val="24"/>
              </w:rPr>
            </w:pPr>
            <w:r w:rsidRPr="005E47F9">
              <w:rPr>
                <w:rFonts w:ascii="Arial" w:hAnsi="Arial" w:cs="Arial"/>
                <w:sz w:val="24"/>
                <w:szCs w:val="24"/>
              </w:rPr>
              <w:t>Having heard</w:t>
            </w:r>
            <w:r w:rsidR="00C73154" w:rsidRPr="005E47F9">
              <w:rPr>
                <w:rFonts w:ascii="Arial" w:hAnsi="Arial" w:cs="Arial"/>
                <w:sz w:val="24"/>
                <w:szCs w:val="24"/>
              </w:rPr>
              <w:t xml:space="preserve"> </w:t>
            </w:r>
            <w:r w:rsidR="009C7BA7">
              <w:rPr>
                <w:rFonts w:ascii="Arial" w:hAnsi="Arial" w:cs="Arial"/>
                <w:b/>
                <w:sz w:val="24"/>
                <w:szCs w:val="24"/>
              </w:rPr>
              <w:t xml:space="preserve">Mercy Kuzeeko </w:t>
            </w:r>
            <w:r w:rsidR="00FF561E" w:rsidRPr="005E47F9">
              <w:rPr>
                <w:rFonts w:ascii="Arial" w:hAnsi="Arial" w:cs="Arial"/>
                <w:sz w:val="24"/>
                <w:szCs w:val="24"/>
              </w:rPr>
              <w:t xml:space="preserve">counsel for the </w:t>
            </w:r>
            <w:r w:rsidR="00FB2B08" w:rsidRPr="005E47F9">
              <w:rPr>
                <w:rFonts w:ascii="Arial" w:hAnsi="Arial" w:cs="Arial"/>
                <w:sz w:val="24"/>
                <w:szCs w:val="24"/>
              </w:rPr>
              <w:t>plaintiff</w:t>
            </w:r>
            <w:r w:rsidRPr="005E47F9">
              <w:rPr>
                <w:rFonts w:ascii="Arial" w:hAnsi="Arial" w:cs="Arial"/>
                <w:sz w:val="24"/>
                <w:szCs w:val="24"/>
              </w:rPr>
              <w:t xml:space="preserve">, </w:t>
            </w:r>
            <w:r w:rsidR="009C7BA7">
              <w:rPr>
                <w:rFonts w:ascii="Arial" w:hAnsi="Arial" w:cs="Arial"/>
                <w:b/>
                <w:sz w:val="24"/>
                <w:szCs w:val="24"/>
              </w:rPr>
              <w:t>Norman Tjombe</w:t>
            </w:r>
            <w:r w:rsidRPr="005E47F9">
              <w:rPr>
                <w:rFonts w:ascii="Arial" w:hAnsi="Arial" w:cs="Arial"/>
                <w:b/>
                <w:sz w:val="24"/>
                <w:szCs w:val="24"/>
              </w:rPr>
              <w:t>,</w:t>
            </w:r>
            <w:r w:rsidR="00FF561E" w:rsidRPr="005E47F9">
              <w:rPr>
                <w:rFonts w:ascii="Arial" w:hAnsi="Arial" w:cs="Arial"/>
                <w:sz w:val="24"/>
                <w:szCs w:val="24"/>
              </w:rPr>
              <w:t xml:space="preserve"> counsel for the </w:t>
            </w:r>
            <w:r w:rsidR="00FE7BE9" w:rsidRPr="005E47F9">
              <w:rPr>
                <w:rFonts w:ascii="Arial" w:hAnsi="Arial" w:cs="Arial"/>
                <w:sz w:val="24"/>
                <w:szCs w:val="24"/>
              </w:rPr>
              <w:t>defendant</w:t>
            </w:r>
            <w:r w:rsidR="009C7BA7">
              <w:rPr>
                <w:rFonts w:ascii="Arial" w:hAnsi="Arial" w:cs="Arial"/>
                <w:sz w:val="24"/>
                <w:szCs w:val="24"/>
              </w:rPr>
              <w:t>s</w:t>
            </w:r>
            <w:r w:rsidRPr="005E47F9">
              <w:rPr>
                <w:rFonts w:ascii="Arial" w:hAnsi="Arial" w:cs="Arial"/>
                <w:sz w:val="24"/>
                <w:szCs w:val="24"/>
              </w:rPr>
              <w:t>,</w:t>
            </w:r>
            <w:r w:rsidR="00DD21FA" w:rsidRPr="005E47F9">
              <w:rPr>
                <w:rFonts w:ascii="Arial" w:hAnsi="Arial" w:cs="Arial"/>
                <w:sz w:val="24"/>
                <w:szCs w:val="24"/>
              </w:rPr>
              <w:t xml:space="preserve"> </w:t>
            </w:r>
            <w:r w:rsidRPr="005E47F9">
              <w:rPr>
                <w:rFonts w:ascii="Arial" w:hAnsi="Arial" w:cs="Arial"/>
                <w:sz w:val="24"/>
                <w:szCs w:val="24"/>
              </w:rPr>
              <w:t>and having read</w:t>
            </w:r>
            <w:r w:rsidR="006D2D84" w:rsidRPr="005E47F9">
              <w:rPr>
                <w:rFonts w:ascii="Arial" w:hAnsi="Arial" w:cs="Arial"/>
                <w:sz w:val="24"/>
                <w:szCs w:val="24"/>
              </w:rPr>
              <w:t xml:space="preserve"> the documents filed of record:</w:t>
            </w:r>
          </w:p>
          <w:p w:rsidR="00EB27A0" w:rsidRPr="005E47F9" w:rsidRDefault="00EB27A0" w:rsidP="00EB27A0">
            <w:pPr>
              <w:spacing w:line="360" w:lineRule="auto"/>
              <w:jc w:val="both"/>
              <w:rPr>
                <w:rFonts w:ascii="Arial" w:hAnsi="Arial" w:cs="Arial"/>
                <w:sz w:val="16"/>
                <w:szCs w:val="16"/>
              </w:rPr>
            </w:pPr>
          </w:p>
          <w:p w:rsidR="00EB27A0" w:rsidRDefault="00EB27A0" w:rsidP="00EB27A0">
            <w:pPr>
              <w:spacing w:line="360" w:lineRule="auto"/>
              <w:jc w:val="both"/>
              <w:rPr>
                <w:rFonts w:ascii="Arial" w:hAnsi="Arial" w:cs="Arial"/>
                <w:b/>
                <w:sz w:val="24"/>
                <w:szCs w:val="24"/>
              </w:rPr>
            </w:pPr>
            <w:r w:rsidRPr="005E47F9">
              <w:rPr>
                <w:rFonts w:ascii="Arial" w:hAnsi="Arial" w:cs="Arial"/>
                <w:b/>
                <w:sz w:val="24"/>
                <w:szCs w:val="24"/>
              </w:rPr>
              <w:t>IT IS ORDERED THAT:</w:t>
            </w:r>
          </w:p>
          <w:p w:rsidR="00F40EAE" w:rsidRPr="005E47F9" w:rsidRDefault="00F40EAE" w:rsidP="00EB27A0">
            <w:pPr>
              <w:spacing w:line="360" w:lineRule="auto"/>
              <w:jc w:val="both"/>
              <w:rPr>
                <w:rFonts w:ascii="Arial" w:hAnsi="Arial" w:cs="Arial"/>
                <w:b/>
                <w:sz w:val="24"/>
                <w:szCs w:val="24"/>
              </w:rPr>
            </w:pPr>
          </w:p>
          <w:p w:rsidR="00F40EAE" w:rsidRPr="005E47F9" w:rsidRDefault="00F40EAE" w:rsidP="00F40EA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Plaintiff's exceptions are struck from the roll with costs against plaintiff.</w:t>
            </w:r>
          </w:p>
          <w:p w:rsidR="00F40EAE" w:rsidRPr="005E47F9" w:rsidRDefault="00F40EAE" w:rsidP="00F40EAE">
            <w:pPr>
              <w:spacing w:line="360" w:lineRule="auto"/>
              <w:jc w:val="both"/>
              <w:rPr>
                <w:rFonts w:ascii="Arial" w:hAnsi="Arial" w:cs="Arial"/>
                <w:sz w:val="24"/>
                <w:szCs w:val="24"/>
              </w:rPr>
            </w:pPr>
          </w:p>
          <w:p w:rsidR="00F40EAE" w:rsidRPr="005E47F9" w:rsidRDefault="00F40EAE" w:rsidP="00F40EA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Plaintiff shall replicate to defendants' plea and plea to the counterclaim on or before </w:t>
            </w:r>
            <w:r w:rsidRPr="00860562">
              <w:rPr>
                <w:rFonts w:ascii="Arial" w:hAnsi="Arial" w:cs="Arial"/>
                <w:b/>
                <w:sz w:val="24"/>
                <w:szCs w:val="24"/>
              </w:rPr>
              <w:t>30 May 2019</w:t>
            </w:r>
            <w:r>
              <w:rPr>
                <w:rFonts w:ascii="Arial" w:hAnsi="Arial" w:cs="Arial"/>
                <w:sz w:val="24"/>
                <w:szCs w:val="24"/>
              </w:rPr>
              <w:t>.</w:t>
            </w:r>
          </w:p>
          <w:p w:rsidR="00F40EAE" w:rsidRPr="005E47F9" w:rsidRDefault="00F40EAE" w:rsidP="00F40EAE">
            <w:pPr>
              <w:spacing w:line="360" w:lineRule="auto"/>
              <w:jc w:val="both"/>
              <w:rPr>
                <w:rFonts w:ascii="Arial" w:hAnsi="Arial" w:cs="Arial"/>
                <w:sz w:val="24"/>
                <w:szCs w:val="24"/>
              </w:rPr>
            </w:pPr>
          </w:p>
          <w:p w:rsidR="00F40EAE" w:rsidRDefault="00F40EAE" w:rsidP="00F40EA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Defendants shall replicate to plaintiff's plea to the counterclaim on or before </w:t>
            </w:r>
            <w:r w:rsidR="00860562">
              <w:rPr>
                <w:rFonts w:ascii="Arial" w:hAnsi="Arial" w:cs="Arial"/>
                <w:sz w:val="24"/>
                <w:szCs w:val="24"/>
              </w:rPr>
              <w:br/>
            </w:r>
            <w:r w:rsidRPr="00860562">
              <w:rPr>
                <w:rFonts w:ascii="Arial" w:hAnsi="Arial" w:cs="Arial"/>
                <w:b/>
                <w:sz w:val="24"/>
                <w:szCs w:val="24"/>
              </w:rPr>
              <w:t>12 June 2019</w:t>
            </w:r>
            <w:r>
              <w:rPr>
                <w:rFonts w:ascii="Arial" w:hAnsi="Arial" w:cs="Arial"/>
                <w:sz w:val="24"/>
                <w:szCs w:val="24"/>
              </w:rPr>
              <w:t>.</w:t>
            </w:r>
          </w:p>
          <w:p w:rsidR="00F40EAE" w:rsidRDefault="00F40EAE" w:rsidP="00F40EAE">
            <w:pPr>
              <w:spacing w:line="360" w:lineRule="auto"/>
              <w:jc w:val="both"/>
              <w:rPr>
                <w:rFonts w:ascii="Arial" w:hAnsi="Arial" w:cs="Arial"/>
                <w:sz w:val="24"/>
                <w:szCs w:val="24"/>
              </w:rPr>
            </w:pPr>
          </w:p>
          <w:p w:rsidR="00F40EAE" w:rsidRDefault="00F40EAE" w:rsidP="00F40EA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parties shall file their joint or individual case management reports, Rule 24(1) compliant, on or before </w:t>
            </w:r>
            <w:r w:rsidRPr="00860562">
              <w:rPr>
                <w:rFonts w:ascii="Arial" w:hAnsi="Arial" w:cs="Arial"/>
                <w:b/>
                <w:sz w:val="24"/>
                <w:szCs w:val="24"/>
              </w:rPr>
              <w:t>20 June 2019</w:t>
            </w:r>
            <w:r>
              <w:rPr>
                <w:rFonts w:ascii="Arial" w:hAnsi="Arial" w:cs="Arial"/>
                <w:sz w:val="24"/>
                <w:szCs w:val="24"/>
              </w:rPr>
              <w:t>.</w:t>
            </w:r>
          </w:p>
          <w:p w:rsidR="00F40EAE" w:rsidRDefault="00F40EAE" w:rsidP="00F40EAE">
            <w:pPr>
              <w:spacing w:line="360" w:lineRule="auto"/>
              <w:jc w:val="both"/>
              <w:rPr>
                <w:rFonts w:ascii="Arial" w:hAnsi="Arial" w:cs="Arial"/>
                <w:sz w:val="24"/>
                <w:szCs w:val="24"/>
              </w:rPr>
            </w:pPr>
          </w:p>
          <w:p w:rsidR="00F40EAE" w:rsidRPr="005E47F9" w:rsidRDefault="00F40EAE" w:rsidP="00F40EAE">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A case management conference shall be conducted on </w:t>
            </w:r>
            <w:r w:rsidRPr="00F40EAE">
              <w:rPr>
                <w:rFonts w:ascii="Arial" w:hAnsi="Arial" w:cs="Arial"/>
                <w:b/>
                <w:sz w:val="24"/>
                <w:szCs w:val="24"/>
              </w:rPr>
              <w:t>24 June 2019</w:t>
            </w:r>
            <w:r w:rsidR="00EF1B61" w:rsidRPr="00EF1B61">
              <w:rPr>
                <w:rFonts w:ascii="Arial" w:hAnsi="Arial" w:cs="Arial"/>
                <w:sz w:val="24"/>
                <w:szCs w:val="24"/>
              </w:rPr>
              <w:t xml:space="preserve"> at</w:t>
            </w:r>
            <w:r w:rsidR="00EF1B61">
              <w:rPr>
                <w:rFonts w:ascii="Arial" w:hAnsi="Arial" w:cs="Arial"/>
                <w:b/>
                <w:sz w:val="24"/>
                <w:szCs w:val="24"/>
              </w:rPr>
              <w:t xml:space="preserve"> 14H00</w:t>
            </w:r>
            <w:r>
              <w:rPr>
                <w:rFonts w:ascii="Arial" w:hAnsi="Arial" w:cs="Arial"/>
                <w:sz w:val="24"/>
                <w:szCs w:val="24"/>
              </w:rPr>
              <w:t>.</w:t>
            </w:r>
          </w:p>
          <w:p w:rsidR="00B07404" w:rsidRPr="005E47F9" w:rsidRDefault="00B07404" w:rsidP="00B07404">
            <w:pPr>
              <w:spacing w:line="360" w:lineRule="auto"/>
              <w:jc w:val="both"/>
              <w:rPr>
                <w:rFonts w:ascii="Arial" w:hAnsi="Arial" w:cs="Arial"/>
                <w:sz w:val="24"/>
                <w:szCs w:val="24"/>
              </w:rPr>
            </w:pPr>
          </w:p>
        </w:tc>
      </w:tr>
      <w:tr w:rsidR="00281FAB" w:rsidRPr="005E47F9" w:rsidTr="00EB27A0">
        <w:tc>
          <w:tcPr>
            <w:tcW w:w="9720" w:type="dxa"/>
            <w:gridSpan w:val="3"/>
          </w:tcPr>
          <w:p w:rsidR="00281FAB" w:rsidRPr="005E47F9" w:rsidRDefault="00EB27A0" w:rsidP="00864008">
            <w:pPr>
              <w:spacing w:line="360" w:lineRule="auto"/>
              <w:jc w:val="both"/>
              <w:rPr>
                <w:rFonts w:ascii="Arial" w:hAnsi="Arial" w:cs="Arial"/>
                <w:b/>
                <w:sz w:val="24"/>
                <w:szCs w:val="24"/>
              </w:rPr>
            </w:pPr>
            <w:r w:rsidRPr="005E47F9">
              <w:rPr>
                <w:rFonts w:ascii="Arial" w:hAnsi="Arial" w:cs="Arial"/>
                <w:b/>
                <w:sz w:val="24"/>
                <w:szCs w:val="24"/>
              </w:rPr>
              <w:lastRenderedPageBreak/>
              <w:t xml:space="preserve">Reasons for </w:t>
            </w:r>
            <w:r w:rsidR="00864008" w:rsidRPr="005E47F9">
              <w:rPr>
                <w:rFonts w:ascii="Arial" w:hAnsi="Arial" w:cs="Arial"/>
                <w:b/>
                <w:sz w:val="24"/>
                <w:szCs w:val="24"/>
              </w:rPr>
              <w:t>orders</w:t>
            </w:r>
            <w:r w:rsidR="00A14435" w:rsidRPr="005E47F9">
              <w:rPr>
                <w:rFonts w:ascii="Arial" w:hAnsi="Arial" w:cs="Arial"/>
                <w:b/>
                <w:sz w:val="24"/>
                <w:szCs w:val="24"/>
              </w:rPr>
              <w:t>:</w:t>
            </w:r>
          </w:p>
        </w:tc>
      </w:tr>
      <w:tr w:rsidR="00281FAB" w:rsidRPr="005E47F9" w:rsidTr="00EB27A0">
        <w:tc>
          <w:tcPr>
            <w:tcW w:w="9720" w:type="dxa"/>
            <w:gridSpan w:val="3"/>
          </w:tcPr>
          <w:p w:rsidR="004378C5" w:rsidRPr="005E47F9" w:rsidRDefault="004378C5" w:rsidP="004378C5">
            <w:pPr>
              <w:spacing w:line="360" w:lineRule="auto"/>
              <w:jc w:val="both"/>
              <w:rPr>
                <w:rFonts w:ascii="Arial" w:hAnsi="Arial" w:cs="Arial"/>
                <w:sz w:val="24"/>
                <w:szCs w:val="24"/>
              </w:rPr>
            </w:pPr>
          </w:p>
          <w:p w:rsidR="004378C5"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[1]</w:t>
            </w:r>
            <w:r w:rsidRPr="005E47F9">
              <w:rPr>
                <w:rFonts w:ascii="Arial" w:hAnsi="Arial" w:cs="Arial"/>
                <w:sz w:val="24"/>
                <w:szCs w:val="24"/>
              </w:rPr>
              <w:tab/>
            </w:r>
            <w:r w:rsidR="00CB4F64">
              <w:rPr>
                <w:rFonts w:ascii="Arial" w:hAnsi="Arial" w:cs="Arial"/>
                <w:sz w:val="24"/>
                <w:szCs w:val="24"/>
              </w:rPr>
              <w:t>Plaintiff filed 2 documents</w:t>
            </w:r>
            <w:r w:rsidRPr="005E47F9">
              <w:rPr>
                <w:rFonts w:ascii="Arial" w:hAnsi="Arial" w:cs="Arial"/>
                <w:sz w:val="24"/>
                <w:szCs w:val="24"/>
              </w:rPr>
              <w:t xml:space="preserve"> on 7 December 2018 both containing exceptions in relation to the plea filed by defendants.</w:t>
            </w:r>
          </w:p>
          <w:p w:rsidR="00B07404" w:rsidRPr="005E47F9" w:rsidRDefault="00B07404" w:rsidP="00B07404">
            <w:pPr>
              <w:spacing w:line="360" w:lineRule="auto"/>
              <w:jc w:val="both"/>
              <w:rPr>
                <w:rFonts w:ascii="Arial" w:hAnsi="Arial" w:cs="Arial"/>
                <w:sz w:val="24"/>
                <w:szCs w:val="24"/>
              </w:rPr>
            </w:pPr>
          </w:p>
          <w:p w:rsidR="00B07404"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[2]</w:t>
            </w:r>
            <w:r w:rsidRPr="005E47F9">
              <w:rPr>
                <w:rFonts w:ascii="Arial" w:hAnsi="Arial" w:cs="Arial"/>
                <w:sz w:val="24"/>
                <w:szCs w:val="24"/>
              </w:rPr>
              <w:tab/>
              <w:t>First document relating to the exception contained three exceptions on the grounds that defendan</w:t>
            </w:r>
            <w:r w:rsidR="00CB4F64">
              <w:rPr>
                <w:rFonts w:ascii="Arial" w:hAnsi="Arial" w:cs="Arial"/>
                <w:sz w:val="24"/>
                <w:szCs w:val="24"/>
              </w:rPr>
              <w:t>ts' plea is</w:t>
            </w:r>
            <w:r w:rsidRPr="005E47F9">
              <w:rPr>
                <w:rFonts w:ascii="Arial" w:hAnsi="Arial" w:cs="Arial"/>
                <w:sz w:val="24"/>
                <w:szCs w:val="24"/>
              </w:rPr>
              <w:t xml:space="preserve"> vague and embarrassing and consequently lacking necessary averments to sustain a cause of action.</w:t>
            </w:r>
          </w:p>
          <w:p w:rsidR="00F52EE9" w:rsidRPr="005E47F9" w:rsidRDefault="00F52EE9" w:rsidP="00B07404">
            <w:pPr>
              <w:spacing w:line="360" w:lineRule="auto"/>
              <w:jc w:val="both"/>
              <w:rPr>
                <w:rFonts w:ascii="Arial" w:hAnsi="Arial" w:cs="Arial"/>
                <w:sz w:val="24"/>
                <w:szCs w:val="24"/>
              </w:rPr>
            </w:pPr>
          </w:p>
          <w:p w:rsidR="00F52EE9"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[3]</w:t>
            </w:r>
            <w:r w:rsidRPr="005E47F9">
              <w:rPr>
                <w:rFonts w:ascii="Arial" w:hAnsi="Arial" w:cs="Arial"/>
                <w:sz w:val="24"/>
                <w:szCs w:val="24"/>
              </w:rPr>
              <w:tab/>
              <w:t>Second document relating to exception contained two exceptions (same as first two in first document) o</w:t>
            </w:r>
            <w:r w:rsidR="00EF1B61">
              <w:rPr>
                <w:rFonts w:ascii="Arial" w:hAnsi="Arial" w:cs="Arial"/>
                <w:sz w:val="24"/>
                <w:szCs w:val="24"/>
              </w:rPr>
              <w:t>n the grounds that defendant</w:t>
            </w:r>
            <w:r w:rsidRPr="005E47F9">
              <w:rPr>
                <w:rFonts w:ascii="Arial" w:hAnsi="Arial" w:cs="Arial"/>
                <w:sz w:val="24"/>
                <w:szCs w:val="24"/>
              </w:rPr>
              <w:t>s</w:t>
            </w:r>
            <w:r w:rsidR="00EF1B61">
              <w:rPr>
                <w:rFonts w:ascii="Arial" w:hAnsi="Arial" w:cs="Arial"/>
                <w:sz w:val="24"/>
                <w:szCs w:val="24"/>
              </w:rPr>
              <w:t>'</w:t>
            </w:r>
            <w:r w:rsidRPr="005E47F9">
              <w:rPr>
                <w:rFonts w:ascii="Arial" w:hAnsi="Arial" w:cs="Arial"/>
                <w:sz w:val="24"/>
                <w:szCs w:val="24"/>
              </w:rPr>
              <w:t xml:space="preserve"> plea is vague and embarrassing, alternatively lacking averments to sustain a cause of action.</w:t>
            </w:r>
          </w:p>
          <w:p w:rsidR="00B07404" w:rsidRPr="005E47F9" w:rsidRDefault="00B07404" w:rsidP="00B07404">
            <w:pPr>
              <w:spacing w:line="360" w:lineRule="auto"/>
              <w:jc w:val="both"/>
              <w:rPr>
                <w:rFonts w:ascii="Arial" w:hAnsi="Arial" w:cs="Arial"/>
                <w:sz w:val="24"/>
                <w:szCs w:val="24"/>
              </w:rPr>
            </w:pPr>
          </w:p>
          <w:p w:rsidR="00B07404"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[4]</w:t>
            </w:r>
            <w:r w:rsidRPr="005E47F9">
              <w:rPr>
                <w:rFonts w:ascii="Arial" w:hAnsi="Arial" w:cs="Arial"/>
                <w:sz w:val="24"/>
                <w:szCs w:val="24"/>
              </w:rPr>
              <w:tab/>
              <w:t>Another document was filed by plaintiff on 7 December 2018, purporting to be a report in terms of Rule 32(10) of the Court Rules, stating that plaintiff engaged defendants' legal practitioners relating to the intended exception to defendants' plea and counterclaim.</w:t>
            </w:r>
          </w:p>
          <w:p w:rsidR="00F52EE9" w:rsidRPr="005E47F9" w:rsidRDefault="00F52EE9" w:rsidP="00B07404">
            <w:pPr>
              <w:spacing w:line="360" w:lineRule="auto"/>
              <w:jc w:val="both"/>
              <w:rPr>
                <w:rFonts w:ascii="Arial" w:hAnsi="Arial" w:cs="Arial"/>
                <w:sz w:val="24"/>
                <w:szCs w:val="24"/>
              </w:rPr>
            </w:pPr>
          </w:p>
          <w:p w:rsidR="00F52EE9"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[5]</w:t>
            </w:r>
            <w:r w:rsidRPr="005E47F9">
              <w:rPr>
                <w:rFonts w:ascii="Arial" w:hAnsi="Arial" w:cs="Arial"/>
                <w:sz w:val="24"/>
                <w:szCs w:val="24"/>
              </w:rPr>
              <w:tab/>
              <w:t xml:space="preserve">On 30 January 2019 a rather confusing joint status report was filed in the sense that paragraph 2 thereof convey ostensible </w:t>
            </w:r>
            <w:r w:rsidR="00DC3824">
              <w:rPr>
                <w:rFonts w:ascii="Arial" w:hAnsi="Arial" w:cs="Arial"/>
                <w:sz w:val="24"/>
                <w:szCs w:val="24"/>
              </w:rPr>
              <w:t>‛consensus’</w:t>
            </w:r>
            <w:r w:rsidRPr="005E47F9">
              <w:rPr>
                <w:rFonts w:ascii="Arial" w:hAnsi="Arial" w:cs="Arial"/>
                <w:sz w:val="24"/>
                <w:szCs w:val="24"/>
              </w:rPr>
              <w:t xml:space="preserve"> between the parties that plaintiff did not comply with rule 32(9) in respect of defendants' counterclaim.</w:t>
            </w:r>
          </w:p>
          <w:p w:rsidR="00F52EE9" w:rsidRPr="005E47F9" w:rsidRDefault="00F52EE9" w:rsidP="00B07404">
            <w:pPr>
              <w:spacing w:line="360" w:lineRule="auto"/>
              <w:jc w:val="both"/>
              <w:rPr>
                <w:rFonts w:ascii="Arial" w:hAnsi="Arial" w:cs="Arial"/>
                <w:sz w:val="24"/>
                <w:szCs w:val="24"/>
              </w:rPr>
            </w:pPr>
          </w:p>
          <w:p w:rsidR="00F52EE9"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[6]</w:t>
            </w:r>
            <w:r w:rsidRPr="005E47F9">
              <w:rPr>
                <w:rFonts w:ascii="Arial" w:hAnsi="Arial" w:cs="Arial"/>
                <w:sz w:val="24"/>
                <w:szCs w:val="24"/>
              </w:rPr>
              <w:tab/>
              <w:t>I repeat that both exception documents only refer to the plea of defendants.</w:t>
            </w:r>
          </w:p>
          <w:p w:rsidR="00B07404" w:rsidRPr="005E47F9" w:rsidRDefault="00B07404" w:rsidP="00B07404">
            <w:pPr>
              <w:spacing w:line="360" w:lineRule="auto"/>
              <w:jc w:val="both"/>
              <w:rPr>
                <w:rFonts w:ascii="Arial" w:hAnsi="Arial" w:cs="Arial"/>
                <w:sz w:val="24"/>
                <w:szCs w:val="24"/>
              </w:rPr>
            </w:pPr>
          </w:p>
          <w:p w:rsidR="00B07404"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[7]</w:t>
            </w:r>
            <w:r w:rsidRPr="005E47F9">
              <w:rPr>
                <w:rFonts w:ascii="Arial" w:hAnsi="Arial" w:cs="Arial"/>
                <w:sz w:val="24"/>
                <w:szCs w:val="24"/>
              </w:rPr>
              <w:tab/>
              <w:t>Plaintiff's status report of 12 November 2018 say nothing about an intended exception and only address the issue of condonation for its failure to file a replication to defendants' plea and plea to the counterclaim as ordered on 1 October 2018.  It further indicated that defendants would not oppose the application for condonation.</w:t>
            </w:r>
          </w:p>
          <w:p w:rsidR="00B07404" w:rsidRPr="005E47F9" w:rsidRDefault="00B07404" w:rsidP="00B07404">
            <w:pPr>
              <w:spacing w:line="360" w:lineRule="auto"/>
              <w:jc w:val="both"/>
              <w:rPr>
                <w:rFonts w:ascii="Arial" w:hAnsi="Arial" w:cs="Arial"/>
                <w:sz w:val="24"/>
                <w:szCs w:val="24"/>
              </w:rPr>
            </w:pPr>
          </w:p>
          <w:p w:rsidR="00B07404"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t>[8]</w:t>
            </w:r>
            <w:r w:rsidRPr="005E47F9">
              <w:rPr>
                <w:rFonts w:ascii="Arial" w:hAnsi="Arial" w:cs="Arial"/>
                <w:sz w:val="24"/>
                <w:szCs w:val="24"/>
              </w:rPr>
              <w:tab/>
              <w:t>During the case management proceedings of 12 November 2018 in the afternoon plaintiff and defendants were represented by legal practitioners.</w:t>
            </w:r>
          </w:p>
          <w:p w:rsidR="00F52EE9" w:rsidRPr="005E47F9" w:rsidRDefault="00F52EE9" w:rsidP="00B07404">
            <w:pPr>
              <w:spacing w:line="360" w:lineRule="auto"/>
              <w:jc w:val="both"/>
              <w:rPr>
                <w:rFonts w:ascii="Arial" w:hAnsi="Arial" w:cs="Arial"/>
                <w:sz w:val="24"/>
                <w:szCs w:val="24"/>
              </w:rPr>
            </w:pPr>
          </w:p>
          <w:p w:rsidR="00F52EE9" w:rsidRPr="005E47F9" w:rsidRDefault="00F52EE9" w:rsidP="00B07404">
            <w:pPr>
              <w:spacing w:line="360" w:lineRule="auto"/>
              <w:jc w:val="both"/>
              <w:rPr>
                <w:rFonts w:ascii="Arial" w:hAnsi="Arial" w:cs="Arial"/>
                <w:sz w:val="24"/>
                <w:szCs w:val="24"/>
              </w:rPr>
            </w:pPr>
            <w:r w:rsidRPr="005E47F9">
              <w:rPr>
                <w:rFonts w:ascii="Arial" w:hAnsi="Arial" w:cs="Arial"/>
                <w:sz w:val="24"/>
                <w:szCs w:val="24"/>
              </w:rPr>
              <w:lastRenderedPageBreak/>
              <w:t>[9]</w:t>
            </w:r>
            <w:r w:rsidRPr="005E47F9">
              <w:rPr>
                <w:rFonts w:ascii="Arial" w:hAnsi="Arial" w:cs="Arial"/>
                <w:sz w:val="24"/>
                <w:szCs w:val="24"/>
              </w:rPr>
              <w:tab/>
              <w:t xml:space="preserve">Plaintiff's legal practitioner indicated to the court (after condonation was dealt with </w:t>
            </w:r>
            <w:r w:rsidRPr="00DC3824">
              <w:rPr>
                <w:rFonts w:ascii="Arial" w:hAnsi="Arial" w:cs="Arial"/>
                <w:i/>
                <w:sz w:val="24"/>
                <w:szCs w:val="24"/>
              </w:rPr>
              <w:t>instanter</w:t>
            </w:r>
            <w:r w:rsidRPr="005E47F9">
              <w:rPr>
                <w:rFonts w:ascii="Arial" w:hAnsi="Arial" w:cs="Arial"/>
                <w:sz w:val="24"/>
                <w:szCs w:val="24"/>
              </w:rPr>
              <w:t>) that plaintiff wants to except against defendants' counterclaim.  The audio record evidenced two distinct conveyances of the aforementioned.</w:t>
            </w:r>
          </w:p>
          <w:p w:rsidR="00B07404" w:rsidRPr="005E47F9" w:rsidRDefault="00B07404" w:rsidP="00B07404">
            <w:pPr>
              <w:spacing w:line="360" w:lineRule="auto"/>
              <w:jc w:val="both"/>
              <w:rPr>
                <w:rFonts w:ascii="Arial" w:hAnsi="Arial" w:cs="Arial"/>
                <w:sz w:val="24"/>
                <w:szCs w:val="24"/>
              </w:rPr>
            </w:pPr>
          </w:p>
          <w:p w:rsidR="005E47F9" w:rsidRDefault="005E47F9" w:rsidP="00B07404">
            <w:pPr>
              <w:spacing w:line="360" w:lineRule="auto"/>
              <w:jc w:val="both"/>
              <w:rPr>
                <w:rFonts w:ascii="Arial" w:hAnsi="Arial" w:cs="Arial"/>
                <w:sz w:val="24"/>
                <w:szCs w:val="24"/>
              </w:rPr>
            </w:pPr>
            <w:r w:rsidRPr="005E47F9">
              <w:rPr>
                <w:rFonts w:ascii="Arial" w:hAnsi="Arial" w:cs="Arial"/>
                <w:sz w:val="24"/>
                <w:szCs w:val="24"/>
              </w:rPr>
              <w:t>[10]</w:t>
            </w:r>
            <w:r w:rsidRPr="005E47F9">
              <w:rPr>
                <w:rFonts w:ascii="Arial" w:hAnsi="Arial" w:cs="Arial"/>
                <w:sz w:val="24"/>
                <w:szCs w:val="24"/>
              </w:rPr>
              <w:tab/>
              <w:t>The Court consequently made the order it made dated 12 November 2018 and filed on 13 November 2018 in the following terms:</w:t>
            </w:r>
          </w:p>
          <w:p w:rsidR="0028682F" w:rsidRDefault="0028682F" w:rsidP="00B07404">
            <w:pPr>
              <w:spacing w:line="360" w:lineRule="auto"/>
              <w:jc w:val="both"/>
              <w:rPr>
                <w:rFonts w:ascii="Arial" w:hAnsi="Arial" w:cs="Arial"/>
                <w:sz w:val="24"/>
                <w:szCs w:val="24"/>
              </w:rPr>
            </w:pPr>
          </w:p>
          <w:p w:rsidR="0028682F" w:rsidRDefault="0028682F" w:rsidP="000533D7">
            <w:pPr>
              <w:spacing w:line="360" w:lineRule="auto"/>
              <w:jc w:val="both"/>
              <w:rPr>
                <w:rFonts w:ascii="Arial" w:hAnsi="Arial" w:cs="Arial"/>
              </w:rPr>
            </w:pPr>
            <w:r>
              <w:rPr>
                <w:rFonts w:ascii="Arial" w:hAnsi="Arial" w:cs="Arial"/>
              </w:rPr>
              <w:tab/>
            </w:r>
            <w:r w:rsidR="000533D7">
              <w:rPr>
                <w:rFonts w:ascii="Arial" w:hAnsi="Arial" w:cs="Arial"/>
              </w:rPr>
              <w:t>‛</w:t>
            </w:r>
            <w:r w:rsidRPr="00C7275E">
              <w:rPr>
                <w:rFonts w:ascii="Arial" w:hAnsi="Arial" w:cs="Arial"/>
              </w:rPr>
              <w:t>1</w:t>
            </w:r>
            <w:r>
              <w:rPr>
                <w:rFonts w:ascii="Arial" w:hAnsi="Arial" w:cs="Arial"/>
              </w:rPr>
              <w:t>.</w:t>
            </w:r>
            <w:r>
              <w:rPr>
                <w:rFonts w:ascii="Arial" w:hAnsi="Arial" w:cs="Arial"/>
              </w:rPr>
              <w:tab/>
            </w:r>
            <w:r w:rsidRPr="00C7275E">
              <w:rPr>
                <w:rFonts w:ascii="Arial" w:hAnsi="Arial" w:cs="Arial"/>
              </w:rPr>
              <w:t>Plaintiff shall replicate to defendants plea on or before 28/11/2018.</w:t>
            </w:r>
          </w:p>
          <w:p w:rsidR="0028682F" w:rsidRDefault="0028682F" w:rsidP="000533D7">
            <w:pPr>
              <w:spacing w:line="360" w:lineRule="auto"/>
              <w:jc w:val="both"/>
              <w:rPr>
                <w:rFonts w:ascii="Arial" w:hAnsi="Arial" w:cs="Arial"/>
              </w:rPr>
            </w:pPr>
          </w:p>
          <w:p w:rsidR="0028682F" w:rsidRDefault="0028682F" w:rsidP="000533D7">
            <w:pPr>
              <w:spacing w:line="360" w:lineRule="auto"/>
              <w:jc w:val="both"/>
              <w:rPr>
                <w:rFonts w:ascii="Arial" w:hAnsi="Arial" w:cs="Arial"/>
              </w:rPr>
            </w:pPr>
            <w:r>
              <w:rPr>
                <w:rFonts w:ascii="Arial" w:hAnsi="Arial" w:cs="Arial"/>
              </w:rPr>
              <w:tab/>
              <w:t>2.</w:t>
            </w:r>
            <w:r>
              <w:rPr>
                <w:rFonts w:ascii="Arial" w:hAnsi="Arial" w:cs="Arial"/>
              </w:rPr>
              <w:tab/>
            </w:r>
            <w:r w:rsidRPr="00C7275E">
              <w:rPr>
                <w:rFonts w:ascii="Arial" w:hAnsi="Arial" w:cs="Arial"/>
              </w:rPr>
              <w:t xml:space="preserve">Plaintiff shall engage defendant ito rule 32(9) iro defendants counterclaim on or </w:t>
            </w:r>
            <w:r>
              <w:rPr>
                <w:rFonts w:ascii="Arial" w:hAnsi="Arial" w:cs="Arial"/>
              </w:rPr>
              <w:tab/>
            </w:r>
            <w:r>
              <w:rPr>
                <w:rFonts w:ascii="Arial" w:hAnsi="Arial" w:cs="Arial"/>
              </w:rPr>
              <w:tab/>
            </w:r>
            <w:r>
              <w:rPr>
                <w:rFonts w:ascii="Arial" w:hAnsi="Arial" w:cs="Arial"/>
              </w:rPr>
              <w:tab/>
            </w:r>
            <w:r w:rsidRPr="00C7275E">
              <w:rPr>
                <w:rFonts w:ascii="Arial" w:hAnsi="Arial" w:cs="Arial"/>
              </w:rPr>
              <w:t>before 28/11/2018.</w:t>
            </w:r>
          </w:p>
          <w:p w:rsidR="0028682F" w:rsidRDefault="0028682F" w:rsidP="000533D7">
            <w:pPr>
              <w:spacing w:line="360" w:lineRule="auto"/>
              <w:jc w:val="both"/>
              <w:rPr>
                <w:rFonts w:ascii="Arial" w:hAnsi="Arial" w:cs="Arial"/>
              </w:rPr>
            </w:pPr>
          </w:p>
          <w:p w:rsidR="0028682F" w:rsidRDefault="0028682F" w:rsidP="000533D7">
            <w:pPr>
              <w:spacing w:line="360" w:lineRule="auto"/>
              <w:jc w:val="both"/>
              <w:rPr>
                <w:rFonts w:ascii="Arial" w:hAnsi="Arial" w:cs="Arial"/>
              </w:rPr>
            </w:pPr>
            <w:r>
              <w:rPr>
                <w:rFonts w:ascii="Arial" w:hAnsi="Arial" w:cs="Arial"/>
              </w:rPr>
              <w:tab/>
              <w:t>3.</w:t>
            </w:r>
            <w:r>
              <w:rPr>
                <w:rFonts w:ascii="Arial" w:hAnsi="Arial" w:cs="Arial"/>
              </w:rPr>
              <w:tab/>
            </w:r>
            <w:r w:rsidRPr="00C7275E">
              <w:rPr>
                <w:rFonts w:ascii="Arial" w:hAnsi="Arial" w:cs="Arial"/>
              </w:rPr>
              <w:t xml:space="preserve">Plaintiff shall file its intended exception to defendant's counterclaim on or before </w:t>
            </w:r>
            <w:r>
              <w:rPr>
                <w:rFonts w:ascii="Arial" w:hAnsi="Arial" w:cs="Arial"/>
              </w:rPr>
              <w:tab/>
            </w:r>
            <w:r>
              <w:rPr>
                <w:rFonts w:ascii="Arial" w:hAnsi="Arial" w:cs="Arial"/>
              </w:rPr>
              <w:tab/>
            </w:r>
            <w:r>
              <w:rPr>
                <w:rFonts w:ascii="Arial" w:hAnsi="Arial" w:cs="Arial"/>
              </w:rPr>
              <w:tab/>
            </w:r>
            <w:r w:rsidRPr="00C7275E">
              <w:rPr>
                <w:rFonts w:ascii="Arial" w:hAnsi="Arial" w:cs="Arial"/>
              </w:rPr>
              <w:t>7/12/2018.</w:t>
            </w:r>
          </w:p>
          <w:p w:rsidR="0028682F" w:rsidRDefault="0028682F" w:rsidP="000533D7">
            <w:pPr>
              <w:spacing w:line="360" w:lineRule="auto"/>
              <w:jc w:val="both"/>
              <w:rPr>
                <w:rFonts w:ascii="Arial" w:hAnsi="Arial" w:cs="Arial"/>
              </w:rPr>
            </w:pPr>
          </w:p>
          <w:p w:rsidR="0028682F" w:rsidRDefault="0028682F" w:rsidP="000533D7">
            <w:pPr>
              <w:spacing w:line="360" w:lineRule="auto"/>
              <w:jc w:val="both"/>
              <w:rPr>
                <w:rFonts w:ascii="Arial" w:hAnsi="Arial" w:cs="Arial"/>
              </w:rPr>
            </w:pPr>
            <w:r>
              <w:rPr>
                <w:rFonts w:ascii="Arial" w:hAnsi="Arial" w:cs="Arial"/>
              </w:rPr>
              <w:tab/>
              <w:t>4</w:t>
            </w:r>
            <w:r>
              <w:rPr>
                <w:rFonts w:ascii="Arial" w:hAnsi="Arial" w:cs="Arial"/>
              </w:rPr>
              <w:tab/>
            </w:r>
            <w:r w:rsidRPr="00C7275E">
              <w:rPr>
                <w:rFonts w:ascii="Arial" w:hAnsi="Arial" w:cs="Arial"/>
              </w:rPr>
              <w:t>Parties shall discover on or before 14/12/2018.</w:t>
            </w:r>
          </w:p>
          <w:p w:rsidR="0028682F" w:rsidRDefault="0028682F" w:rsidP="000533D7">
            <w:pPr>
              <w:spacing w:line="360" w:lineRule="auto"/>
              <w:jc w:val="both"/>
              <w:rPr>
                <w:rFonts w:ascii="Arial" w:hAnsi="Arial" w:cs="Arial"/>
              </w:rPr>
            </w:pPr>
          </w:p>
          <w:p w:rsidR="0028682F" w:rsidRDefault="0028682F" w:rsidP="000533D7">
            <w:pPr>
              <w:spacing w:line="360" w:lineRule="auto"/>
              <w:jc w:val="both"/>
              <w:rPr>
                <w:rFonts w:ascii="Arial" w:hAnsi="Arial" w:cs="Arial"/>
              </w:rPr>
            </w:pPr>
            <w:r>
              <w:rPr>
                <w:rFonts w:ascii="Arial" w:hAnsi="Arial" w:cs="Arial"/>
              </w:rPr>
              <w:tab/>
              <w:t>5.</w:t>
            </w:r>
            <w:r>
              <w:rPr>
                <w:rFonts w:ascii="Arial" w:hAnsi="Arial" w:cs="Arial"/>
              </w:rPr>
              <w:tab/>
            </w:r>
            <w:r w:rsidRPr="00C7275E">
              <w:rPr>
                <w:rFonts w:ascii="Arial" w:hAnsi="Arial" w:cs="Arial"/>
              </w:rPr>
              <w:t xml:space="preserve">The case is postponed to 04/02/2019 at 14:00 for Status hearing (Reason: </w:t>
            </w:r>
            <w:r>
              <w:rPr>
                <w:rFonts w:ascii="Arial" w:hAnsi="Arial" w:cs="Arial"/>
              </w:rPr>
              <w:tab/>
            </w:r>
            <w:r>
              <w:rPr>
                <w:rFonts w:ascii="Arial" w:hAnsi="Arial" w:cs="Arial"/>
              </w:rPr>
              <w:tab/>
            </w:r>
            <w:r>
              <w:rPr>
                <w:rFonts w:ascii="Arial" w:hAnsi="Arial" w:cs="Arial"/>
              </w:rPr>
              <w:tab/>
            </w:r>
            <w:r w:rsidRPr="00C7275E">
              <w:rPr>
                <w:rFonts w:ascii="Arial" w:hAnsi="Arial" w:cs="Arial"/>
              </w:rPr>
              <w:t>Agreement By Parties).</w:t>
            </w:r>
          </w:p>
          <w:p w:rsidR="0028682F" w:rsidRDefault="0028682F" w:rsidP="000533D7">
            <w:pPr>
              <w:spacing w:line="360" w:lineRule="auto"/>
              <w:jc w:val="both"/>
              <w:rPr>
                <w:rFonts w:ascii="Arial" w:hAnsi="Arial" w:cs="Arial"/>
              </w:rPr>
            </w:pPr>
          </w:p>
          <w:p w:rsidR="0028682F" w:rsidRPr="00C7275E" w:rsidRDefault="0028682F" w:rsidP="000533D7">
            <w:pPr>
              <w:spacing w:line="360" w:lineRule="auto"/>
              <w:jc w:val="both"/>
              <w:rPr>
                <w:rFonts w:ascii="Arial" w:hAnsi="Arial" w:cs="Arial"/>
              </w:rPr>
            </w:pPr>
            <w:r>
              <w:rPr>
                <w:rFonts w:ascii="Arial" w:hAnsi="Arial" w:cs="Arial"/>
              </w:rPr>
              <w:tab/>
            </w:r>
            <w:r w:rsidR="00D128AB">
              <w:rPr>
                <w:rFonts w:ascii="Arial" w:hAnsi="Arial" w:cs="Arial"/>
              </w:rPr>
              <w:t>6.</w:t>
            </w:r>
            <w:r w:rsidR="00D128AB">
              <w:rPr>
                <w:rFonts w:ascii="Arial" w:hAnsi="Arial" w:cs="Arial"/>
              </w:rPr>
              <w:tab/>
            </w:r>
            <w:r w:rsidRPr="00C7275E">
              <w:rPr>
                <w:rFonts w:ascii="Arial" w:hAnsi="Arial" w:cs="Arial"/>
              </w:rPr>
              <w:t xml:space="preserve">The parties' attention is drawn to the provisions contained in Part 6 of the Rules of </w:t>
            </w:r>
            <w:r w:rsidR="00D128AB">
              <w:rPr>
                <w:rFonts w:ascii="Arial" w:hAnsi="Arial" w:cs="Arial"/>
              </w:rPr>
              <w:tab/>
            </w:r>
            <w:r w:rsidR="00D128AB">
              <w:rPr>
                <w:rFonts w:ascii="Arial" w:hAnsi="Arial" w:cs="Arial"/>
              </w:rPr>
              <w:tab/>
            </w:r>
            <w:r w:rsidRPr="00C7275E">
              <w:rPr>
                <w:rFonts w:ascii="Arial" w:hAnsi="Arial" w:cs="Arial"/>
              </w:rPr>
              <w:t>High Court.</w:t>
            </w:r>
            <w:r w:rsidR="000533D7">
              <w:rPr>
                <w:rFonts w:ascii="Arial" w:hAnsi="Arial" w:cs="Arial"/>
              </w:rPr>
              <w:t>’</w:t>
            </w:r>
          </w:p>
          <w:p w:rsidR="00B07404" w:rsidRPr="005E47F9" w:rsidRDefault="00B07404" w:rsidP="00B07404">
            <w:pPr>
              <w:spacing w:line="360" w:lineRule="auto"/>
              <w:jc w:val="both"/>
              <w:rPr>
                <w:rFonts w:ascii="Arial" w:hAnsi="Arial" w:cs="Arial"/>
                <w:sz w:val="24"/>
                <w:szCs w:val="24"/>
              </w:rPr>
            </w:pPr>
          </w:p>
          <w:p w:rsidR="00B07404" w:rsidRPr="005E47F9" w:rsidRDefault="005E47F9" w:rsidP="00B0740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There was no application for the rectification of the aforesaid order, nor a condonation application for non-compliance in respect of the replication to the plea.</w:t>
            </w:r>
          </w:p>
          <w:p w:rsidR="00B07404" w:rsidRPr="005E47F9" w:rsidRDefault="00B07404" w:rsidP="00B07404">
            <w:pPr>
              <w:spacing w:line="360" w:lineRule="auto"/>
              <w:jc w:val="both"/>
              <w:rPr>
                <w:rFonts w:ascii="Arial" w:hAnsi="Arial" w:cs="Arial"/>
                <w:sz w:val="24"/>
                <w:szCs w:val="24"/>
              </w:rPr>
            </w:pPr>
          </w:p>
          <w:p w:rsidR="00B07404" w:rsidRPr="005E47F9" w:rsidRDefault="005E47F9" w:rsidP="00B0740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Rule 57(1) of the Court Rules applied to the Court Order of 12 November 2018 required from plaintiff to deliver an exception to the plea on or before 28 November 2018 and Rule 32(9) and (10) compliance in respect of defendants' plea on or before </w:t>
            </w:r>
            <w:r w:rsidR="00BC5C58">
              <w:rPr>
                <w:rFonts w:ascii="Arial" w:hAnsi="Arial" w:cs="Arial"/>
                <w:sz w:val="24"/>
                <w:szCs w:val="24"/>
              </w:rPr>
              <w:br/>
            </w:r>
            <w:r>
              <w:rPr>
                <w:rFonts w:ascii="Arial" w:hAnsi="Arial" w:cs="Arial"/>
                <w:sz w:val="24"/>
                <w:szCs w:val="24"/>
              </w:rPr>
              <w:t xml:space="preserve">28 November 2018.  The directions sought and given by the Court </w:t>
            </w:r>
            <w:r w:rsidRPr="00DC3824">
              <w:rPr>
                <w:rFonts w:ascii="Arial" w:hAnsi="Arial" w:cs="Arial"/>
                <w:i/>
                <w:sz w:val="24"/>
                <w:szCs w:val="24"/>
              </w:rPr>
              <w:t>in curiam</w:t>
            </w:r>
            <w:r>
              <w:rPr>
                <w:rFonts w:ascii="Arial" w:hAnsi="Arial" w:cs="Arial"/>
                <w:sz w:val="24"/>
                <w:szCs w:val="24"/>
              </w:rPr>
              <w:t xml:space="preserve"> on </w:t>
            </w:r>
            <w:r w:rsidR="00BC5C58">
              <w:rPr>
                <w:rFonts w:ascii="Arial" w:hAnsi="Arial" w:cs="Arial"/>
                <w:sz w:val="24"/>
                <w:szCs w:val="24"/>
              </w:rPr>
              <w:br/>
            </w:r>
            <w:r>
              <w:rPr>
                <w:rFonts w:ascii="Arial" w:hAnsi="Arial" w:cs="Arial"/>
                <w:sz w:val="24"/>
                <w:szCs w:val="24"/>
              </w:rPr>
              <w:t>12 November 2018 clearly was on the intended exception to the counterclaim.</w:t>
            </w:r>
          </w:p>
          <w:p w:rsidR="00B07404" w:rsidRPr="005E47F9" w:rsidRDefault="00B07404" w:rsidP="00B07404">
            <w:pPr>
              <w:spacing w:line="360" w:lineRule="auto"/>
              <w:jc w:val="both"/>
              <w:rPr>
                <w:rFonts w:ascii="Arial" w:hAnsi="Arial" w:cs="Arial"/>
                <w:sz w:val="24"/>
                <w:szCs w:val="24"/>
              </w:rPr>
            </w:pPr>
          </w:p>
          <w:p w:rsidR="00B07404" w:rsidRPr="005E47F9" w:rsidRDefault="005E47F9" w:rsidP="00B0740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In the premises, it is ordered that - </w:t>
            </w:r>
          </w:p>
          <w:p w:rsidR="00B07404" w:rsidRPr="005E47F9" w:rsidRDefault="00B07404" w:rsidP="00B07404">
            <w:pPr>
              <w:spacing w:line="360" w:lineRule="auto"/>
              <w:jc w:val="both"/>
              <w:rPr>
                <w:rFonts w:ascii="Arial" w:hAnsi="Arial" w:cs="Arial"/>
                <w:sz w:val="24"/>
                <w:szCs w:val="24"/>
              </w:rPr>
            </w:pPr>
          </w:p>
          <w:p w:rsidR="00B07404" w:rsidRPr="005E47F9" w:rsidRDefault="005E47F9" w:rsidP="00B07404">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t>Plaintiff's exceptions are struck from the roll with costs against plaintiff.</w:t>
            </w:r>
          </w:p>
          <w:p w:rsidR="00B07404" w:rsidRPr="005E47F9" w:rsidRDefault="00B07404" w:rsidP="00B07404">
            <w:pPr>
              <w:spacing w:line="360" w:lineRule="auto"/>
              <w:jc w:val="both"/>
              <w:rPr>
                <w:rFonts w:ascii="Arial" w:hAnsi="Arial" w:cs="Arial"/>
                <w:sz w:val="24"/>
                <w:szCs w:val="24"/>
              </w:rPr>
            </w:pPr>
          </w:p>
          <w:p w:rsidR="00B07404" w:rsidRPr="005E47F9" w:rsidRDefault="005E47F9" w:rsidP="00B07404">
            <w:pPr>
              <w:spacing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t xml:space="preserve">Plaintiff shall replicate to defendants' plea and plea to the counterclaim on or before </w:t>
            </w:r>
            <w:r w:rsidRPr="00BC5C58">
              <w:rPr>
                <w:rFonts w:ascii="Arial" w:hAnsi="Arial" w:cs="Arial"/>
                <w:b/>
                <w:sz w:val="24"/>
                <w:szCs w:val="24"/>
              </w:rPr>
              <w:t>30 May 2019</w:t>
            </w:r>
            <w:r>
              <w:rPr>
                <w:rFonts w:ascii="Arial" w:hAnsi="Arial" w:cs="Arial"/>
                <w:sz w:val="24"/>
                <w:szCs w:val="24"/>
              </w:rPr>
              <w:t>.</w:t>
            </w:r>
          </w:p>
          <w:p w:rsidR="00B07404" w:rsidRPr="005E47F9" w:rsidRDefault="00B07404" w:rsidP="00B07404">
            <w:pPr>
              <w:spacing w:line="360" w:lineRule="auto"/>
              <w:jc w:val="both"/>
              <w:rPr>
                <w:rFonts w:ascii="Arial" w:hAnsi="Arial" w:cs="Arial"/>
                <w:sz w:val="24"/>
                <w:szCs w:val="24"/>
              </w:rPr>
            </w:pPr>
          </w:p>
          <w:p w:rsidR="00B07404" w:rsidRDefault="005E47F9" w:rsidP="00B07404">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t xml:space="preserve">Defendants shall replicate to plaintiff's plea to the counterclaim on or before </w:t>
            </w:r>
            <w:r w:rsidR="00BC5C58">
              <w:rPr>
                <w:rFonts w:ascii="Arial" w:hAnsi="Arial" w:cs="Arial"/>
                <w:sz w:val="24"/>
                <w:szCs w:val="24"/>
              </w:rPr>
              <w:br/>
            </w:r>
            <w:r w:rsidRPr="00BC5C58">
              <w:rPr>
                <w:rFonts w:ascii="Arial" w:hAnsi="Arial" w:cs="Arial"/>
                <w:b/>
                <w:sz w:val="24"/>
                <w:szCs w:val="24"/>
              </w:rPr>
              <w:t>12 June 2019</w:t>
            </w:r>
            <w:r>
              <w:rPr>
                <w:rFonts w:ascii="Arial" w:hAnsi="Arial" w:cs="Arial"/>
                <w:sz w:val="24"/>
                <w:szCs w:val="24"/>
              </w:rPr>
              <w:t>.</w:t>
            </w:r>
          </w:p>
          <w:p w:rsidR="005E47F9" w:rsidRDefault="005E47F9" w:rsidP="00B07404">
            <w:pPr>
              <w:spacing w:line="360" w:lineRule="auto"/>
              <w:jc w:val="both"/>
              <w:rPr>
                <w:rFonts w:ascii="Arial" w:hAnsi="Arial" w:cs="Arial"/>
                <w:sz w:val="24"/>
                <w:szCs w:val="24"/>
              </w:rPr>
            </w:pPr>
          </w:p>
          <w:p w:rsidR="005E47F9" w:rsidRDefault="005E47F9" w:rsidP="00B07404">
            <w:pPr>
              <w:spacing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F40EAE">
              <w:rPr>
                <w:rFonts w:ascii="Arial" w:hAnsi="Arial" w:cs="Arial"/>
                <w:sz w:val="24"/>
                <w:szCs w:val="24"/>
              </w:rPr>
              <w:t xml:space="preserve">The parties shall file their joint or individual case management reports, Rule 24(1) compliant, on or before </w:t>
            </w:r>
            <w:r w:rsidR="00F40EAE" w:rsidRPr="00BC5C58">
              <w:rPr>
                <w:rFonts w:ascii="Arial" w:hAnsi="Arial" w:cs="Arial"/>
                <w:b/>
                <w:sz w:val="24"/>
                <w:szCs w:val="24"/>
              </w:rPr>
              <w:t>20 June 2019</w:t>
            </w:r>
            <w:r w:rsidR="00F40EAE">
              <w:rPr>
                <w:rFonts w:ascii="Arial" w:hAnsi="Arial" w:cs="Arial"/>
                <w:sz w:val="24"/>
                <w:szCs w:val="24"/>
              </w:rPr>
              <w:t>.</w:t>
            </w:r>
          </w:p>
          <w:p w:rsidR="00F40EAE" w:rsidRDefault="00F40EAE" w:rsidP="00B07404">
            <w:pPr>
              <w:spacing w:line="360" w:lineRule="auto"/>
              <w:jc w:val="both"/>
              <w:rPr>
                <w:rFonts w:ascii="Arial" w:hAnsi="Arial" w:cs="Arial"/>
                <w:sz w:val="24"/>
                <w:szCs w:val="24"/>
              </w:rPr>
            </w:pPr>
          </w:p>
          <w:p w:rsidR="00F40EAE" w:rsidRPr="005E47F9" w:rsidRDefault="00F40EAE" w:rsidP="00B07404">
            <w:pPr>
              <w:spacing w:line="360" w:lineRule="auto"/>
              <w:jc w:val="both"/>
              <w:rPr>
                <w:rFonts w:ascii="Arial" w:hAnsi="Arial" w:cs="Arial"/>
                <w:sz w:val="24"/>
                <w:szCs w:val="24"/>
              </w:rPr>
            </w:pPr>
            <w:r>
              <w:rPr>
                <w:rFonts w:ascii="Arial" w:hAnsi="Arial" w:cs="Arial"/>
                <w:sz w:val="24"/>
                <w:szCs w:val="24"/>
              </w:rPr>
              <w:t>[13.5]</w:t>
            </w:r>
            <w:r>
              <w:rPr>
                <w:rFonts w:ascii="Arial" w:hAnsi="Arial" w:cs="Arial"/>
                <w:sz w:val="24"/>
                <w:szCs w:val="24"/>
              </w:rPr>
              <w:tab/>
              <w:t xml:space="preserve">A case management conference shall be conducted on </w:t>
            </w:r>
            <w:r w:rsidRPr="00F40EAE">
              <w:rPr>
                <w:rFonts w:ascii="Arial" w:hAnsi="Arial" w:cs="Arial"/>
                <w:b/>
                <w:sz w:val="24"/>
                <w:szCs w:val="24"/>
              </w:rPr>
              <w:t>24 June 2019</w:t>
            </w:r>
            <w:r w:rsidR="005E6D54">
              <w:rPr>
                <w:rFonts w:ascii="Arial" w:hAnsi="Arial" w:cs="Arial"/>
                <w:sz w:val="24"/>
                <w:szCs w:val="24"/>
              </w:rPr>
              <w:t xml:space="preserve"> at </w:t>
            </w:r>
            <w:r w:rsidR="005E6D54" w:rsidRPr="005E6D54">
              <w:rPr>
                <w:rFonts w:ascii="Arial" w:hAnsi="Arial" w:cs="Arial"/>
                <w:b/>
                <w:sz w:val="24"/>
                <w:szCs w:val="24"/>
              </w:rPr>
              <w:t>14H00</w:t>
            </w:r>
            <w:r w:rsidR="005E6D54">
              <w:rPr>
                <w:rFonts w:ascii="Arial" w:hAnsi="Arial" w:cs="Arial"/>
                <w:sz w:val="24"/>
                <w:szCs w:val="24"/>
              </w:rPr>
              <w:t>.</w:t>
            </w: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p w:rsidR="00B07404" w:rsidRPr="005E47F9" w:rsidRDefault="00B07404" w:rsidP="00B07404">
            <w:pPr>
              <w:spacing w:line="360" w:lineRule="auto"/>
              <w:jc w:val="both"/>
              <w:rPr>
                <w:rFonts w:ascii="Arial" w:hAnsi="Arial" w:cs="Arial"/>
                <w:sz w:val="24"/>
                <w:szCs w:val="24"/>
              </w:rPr>
            </w:pPr>
          </w:p>
        </w:tc>
      </w:tr>
      <w:tr w:rsidR="00BE5489" w:rsidRPr="005E47F9" w:rsidTr="00C04EBD">
        <w:tc>
          <w:tcPr>
            <w:tcW w:w="4770" w:type="dxa"/>
          </w:tcPr>
          <w:p w:rsidR="00BE5489" w:rsidRPr="005E47F9" w:rsidRDefault="00EB27A0" w:rsidP="0050338C">
            <w:pPr>
              <w:spacing w:line="360" w:lineRule="auto"/>
              <w:jc w:val="center"/>
              <w:rPr>
                <w:rFonts w:ascii="Arial" w:hAnsi="Arial" w:cs="Arial"/>
                <w:b/>
                <w:sz w:val="24"/>
                <w:szCs w:val="24"/>
              </w:rPr>
            </w:pPr>
            <w:r w:rsidRPr="005E47F9">
              <w:rPr>
                <w:rFonts w:ascii="Arial" w:hAnsi="Arial" w:cs="Arial"/>
                <w:b/>
                <w:sz w:val="24"/>
                <w:szCs w:val="24"/>
              </w:rPr>
              <w:lastRenderedPageBreak/>
              <w:t>Judge’s signature:</w:t>
            </w:r>
          </w:p>
        </w:tc>
        <w:tc>
          <w:tcPr>
            <w:tcW w:w="4950" w:type="dxa"/>
            <w:gridSpan w:val="2"/>
          </w:tcPr>
          <w:p w:rsidR="00BE5489" w:rsidRPr="005E47F9" w:rsidRDefault="00EB27A0" w:rsidP="0050338C">
            <w:pPr>
              <w:spacing w:line="360" w:lineRule="auto"/>
              <w:jc w:val="center"/>
              <w:rPr>
                <w:rFonts w:ascii="Arial" w:hAnsi="Arial" w:cs="Arial"/>
                <w:b/>
                <w:sz w:val="24"/>
                <w:szCs w:val="24"/>
              </w:rPr>
            </w:pPr>
            <w:r w:rsidRPr="005E47F9">
              <w:rPr>
                <w:rFonts w:ascii="Arial" w:hAnsi="Arial" w:cs="Arial"/>
                <w:b/>
                <w:sz w:val="24"/>
                <w:szCs w:val="24"/>
              </w:rPr>
              <w:t>Note to the parties:</w:t>
            </w:r>
          </w:p>
        </w:tc>
      </w:tr>
      <w:tr w:rsidR="00BE5489" w:rsidRPr="005E47F9" w:rsidTr="00B45D29">
        <w:trPr>
          <w:trHeight w:val="835"/>
        </w:trPr>
        <w:tc>
          <w:tcPr>
            <w:tcW w:w="4770" w:type="dxa"/>
          </w:tcPr>
          <w:p w:rsidR="009F6C8B" w:rsidRPr="005E47F9" w:rsidRDefault="009F6C8B" w:rsidP="00EB27A0">
            <w:pPr>
              <w:spacing w:line="360" w:lineRule="auto"/>
              <w:jc w:val="both"/>
              <w:rPr>
                <w:rFonts w:ascii="Arial" w:hAnsi="Arial" w:cs="Arial"/>
                <w:sz w:val="24"/>
                <w:szCs w:val="24"/>
              </w:rPr>
            </w:pPr>
          </w:p>
        </w:tc>
        <w:tc>
          <w:tcPr>
            <w:tcW w:w="4950" w:type="dxa"/>
            <w:gridSpan w:val="2"/>
          </w:tcPr>
          <w:p w:rsidR="00BE5489" w:rsidRPr="005E47F9" w:rsidRDefault="00BE5489" w:rsidP="00952193">
            <w:pPr>
              <w:spacing w:line="360" w:lineRule="auto"/>
              <w:jc w:val="both"/>
              <w:rPr>
                <w:rFonts w:ascii="Arial" w:hAnsi="Arial" w:cs="Arial"/>
                <w:sz w:val="24"/>
                <w:szCs w:val="24"/>
              </w:rPr>
            </w:pPr>
          </w:p>
        </w:tc>
      </w:tr>
      <w:tr w:rsidR="00A23F8A" w:rsidRPr="005E47F9" w:rsidTr="00B530B4">
        <w:tc>
          <w:tcPr>
            <w:tcW w:w="9720" w:type="dxa"/>
            <w:gridSpan w:val="3"/>
          </w:tcPr>
          <w:p w:rsidR="00A23F8A" w:rsidRPr="005E47F9" w:rsidRDefault="00A23F8A" w:rsidP="00A23F8A">
            <w:pPr>
              <w:spacing w:line="360" w:lineRule="auto"/>
              <w:jc w:val="center"/>
              <w:rPr>
                <w:rFonts w:ascii="Arial" w:hAnsi="Arial" w:cs="Arial"/>
                <w:b/>
                <w:sz w:val="24"/>
                <w:szCs w:val="24"/>
              </w:rPr>
            </w:pPr>
            <w:r w:rsidRPr="005E47F9">
              <w:rPr>
                <w:rFonts w:ascii="Arial" w:hAnsi="Arial" w:cs="Arial"/>
                <w:b/>
                <w:sz w:val="24"/>
                <w:szCs w:val="24"/>
              </w:rPr>
              <w:t>Counsel:</w:t>
            </w:r>
          </w:p>
        </w:tc>
      </w:tr>
      <w:tr w:rsidR="00FD38C2" w:rsidRPr="005E47F9" w:rsidTr="00FD38C2">
        <w:tc>
          <w:tcPr>
            <w:tcW w:w="4770" w:type="dxa"/>
          </w:tcPr>
          <w:p w:rsidR="00FD38C2" w:rsidRPr="005E47F9" w:rsidRDefault="00FB2B08" w:rsidP="00FD38C2">
            <w:pPr>
              <w:spacing w:line="360" w:lineRule="auto"/>
              <w:jc w:val="center"/>
              <w:rPr>
                <w:rFonts w:ascii="Arial" w:hAnsi="Arial" w:cs="Arial"/>
                <w:b/>
                <w:sz w:val="24"/>
                <w:szCs w:val="24"/>
              </w:rPr>
            </w:pPr>
            <w:r w:rsidRPr="005E47F9">
              <w:rPr>
                <w:rFonts w:ascii="Arial" w:hAnsi="Arial" w:cs="Arial"/>
                <w:b/>
                <w:sz w:val="24"/>
                <w:szCs w:val="24"/>
              </w:rPr>
              <w:t>Plaintiff</w:t>
            </w:r>
            <w:r w:rsidR="00FD38C2" w:rsidRPr="005E47F9">
              <w:rPr>
                <w:rFonts w:ascii="Arial" w:hAnsi="Arial" w:cs="Arial"/>
                <w:b/>
                <w:sz w:val="24"/>
                <w:szCs w:val="24"/>
              </w:rPr>
              <w:t>(s)</w:t>
            </w:r>
          </w:p>
        </w:tc>
        <w:tc>
          <w:tcPr>
            <w:tcW w:w="4950" w:type="dxa"/>
            <w:gridSpan w:val="2"/>
          </w:tcPr>
          <w:p w:rsidR="00FD38C2" w:rsidRPr="005E47F9" w:rsidRDefault="00FB2B08" w:rsidP="00FF561E">
            <w:pPr>
              <w:spacing w:line="360" w:lineRule="auto"/>
              <w:jc w:val="center"/>
              <w:rPr>
                <w:rFonts w:ascii="Arial" w:hAnsi="Arial" w:cs="Arial"/>
                <w:b/>
                <w:sz w:val="24"/>
                <w:szCs w:val="24"/>
              </w:rPr>
            </w:pPr>
            <w:r w:rsidRPr="005E47F9">
              <w:rPr>
                <w:rFonts w:ascii="Arial" w:hAnsi="Arial" w:cs="Arial"/>
                <w:b/>
                <w:sz w:val="24"/>
                <w:szCs w:val="24"/>
              </w:rPr>
              <w:t>Defendant (s)</w:t>
            </w:r>
          </w:p>
        </w:tc>
      </w:tr>
      <w:tr w:rsidR="00F5564C" w:rsidRPr="005E47F9" w:rsidTr="009C5AA9">
        <w:trPr>
          <w:trHeight w:val="1591"/>
        </w:trPr>
        <w:tc>
          <w:tcPr>
            <w:tcW w:w="4770" w:type="dxa"/>
          </w:tcPr>
          <w:p w:rsidR="00F5564C" w:rsidRDefault="00DC3824" w:rsidP="00F5564C">
            <w:pPr>
              <w:spacing w:line="360" w:lineRule="auto"/>
              <w:jc w:val="center"/>
              <w:rPr>
                <w:rFonts w:ascii="Arial" w:hAnsi="Arial" w:cs="Arial"/>
                <w:sz w:val="24"/>
                <w:szCs w:val="24"/>
              </w:rPr>
            </w:pPr>
            <w:r>
              <w:rPr>
                <w:rFonts w:ascii="Arial" w:hAnsi="Arial" w:cs="Arial"/>
                <w:sz w:val="24"/>
                <w:szCs w:val="24"/>
              </w:rPr>
              <w:t>Mercy Kuzeeko</w:t>
            </w:r>
          </w:p>
          <w:p w:rsidR="00D361F4" w:rsidRDefault="00D361F4" w:rsidP="00F5564C">
            <w:pPr>
              <w:spacing w:line="360" w:lineRule="auto"/>
              <w:jc w:val="center"/>
              <w:rPr>
                <w:rFonts w:ascii="Arial" w:hAnsi="Arial" w:cs="Arial"/>
                <w:sz w:val="24"/>
                <w:szCs w:val="24"/>
              </w:rPr>
            </w:pPr>
          </w:p>
          <w:p w:rsidR="00DC3824" w:rsidRPr="005E47F9" w:rsidRDefault="00DC3824" w:rsidP="00F5564C">
            <w:pPr>
              <w:spacing w:line="360" w:lineRule="auto"/>
              <w:jc w:val="center"/>
              <w:rPr>
                <w:rFonts w:ascii="Arial" w:hAnsi="Arial" w:cs="Arial"/>
                <w:sz w:val="24"/>
                <w:szCs w:val="24"/>
              </w:rPr>
            </w:pPr>
            <w:r>
              <w:rPr>
                <w:rFonts w:ascii="Arial" w:hAnsi="Arial" w:cs="Arial"/>
                <w:sz w:val="24"/>
                <w:szCs w:val="24"/>
              </w:rPr>
              <w:t>DR WEDER, KAUTA &amp; HOVEKA INC</w:t>
            </w:r>
          </w:p>
        </w:tc>
        <w:tc>
          <w:tcPr>
            <w:tcW w:w="4950" w:type="dxa"/>
            <w:gridSpan w:val="2"/>
          </w:tcPr>
          <w:p w:rsidR="00C14336" w:rsidRDefault="00DC3824" w:rsidP="0050338C">
            <w:pPr>
              <w:spacing w:line="360" w:lineRule="auto"/>
              <w:jc w:val="center"/>
              <w:rPr>
                <w:rFonts w:ascii="Arial" w:hAnsi="Arial" w:cs="Arial"/>
                <w:sz w:val="24"/>
                <w:szCs w:val="24"/>
              </w:rPr>
            </w:pPr>
            <w:r>
              <w:rPr>
                <w:rFonts w:ascii="Arial" w:hAnsi="Arial" w:cs="Arial"/>
                <w:sz w:val="24"/>
                <w:szCs w:val="24"/>
              </w:rPr>
              <w:t>Norman Tjombe</w:t>
            </w:r>
          </w:p>
          <w:p w:rsidR="00D361F4" w:rsidRDefault="00D361F4" w:rsidP="0050338C">
            <w:pPr>
              <w:spacing w:line="360" w:lineRule="auto"/>
              <w:jc w:val="center"/>
              <w:rPr>
                <w:rFonts w:ascii="Arial" w:hAnsi="Arial" w:cs="Arial"/>
                <w:sz w:val="24"/>
                <w:szCs w:val="24"/>
              </w:rPr>
            </w:pPr>
          </w:p>
          <w:p w:rsidR="00DC3824" w:rsidRPr="00DC3824" w:rsidRDefault="00DC3824" w:rsidP="0050338C">
            <w:pPr>
              <w:spacing w:line="360" w:lineRule="auto"/>
              <w:jc w:val="center"/>
              <w:rPr>
                <w:rFonts w:ascii="Arial" w:hAnsi="Arial" w:cs="Arial"/>
                <w:sz w:val="24"/>
                <w:szCs w:val="24"/>
              </w:rPr>
            </w:pPr>
            <w:r w:rsidRPr="00DC3824">
              <w:rPr>
                <w:rFonts w:ascii="Arial" w:hAnsi="Arial" w:cs="Arial"/>
                <w:sz w:val="24"/>
                <w:szCs w:val="24"/>
              </w:rPr>
              <w:t>TJOMBE-ELAGO INC</w:t>
            </w: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4F" w:rsidRDefault="00DB624F" w:rsidP="00A23F8A">
      <w:pPr>
        <w:spacing w:after="0" w:line="240" w:lineRule="auto"/>
      </w:pPr>
      <w:r>
        <w:separator/>
      </w:r>
    </w:p>
  </w:endnote>
  <w:endnote w:type="continuationSeparator" w:id="0">
    <w:p w:rsidR="00DB624F" w:rsidRDefault="00DB624F"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6E0271">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4F" w:rsidRDefault="00DB624F" w:rsidP="00A23F8A">
      <w:pPr>
        <w:spacing w:after="0" w:line="240" w:lineRule="auto"/>
      </w:pPr>
      <w:r>
        <w:separator/>
      </w:r>
    </w:p>
  </w:footnote>
  <w:footnote w:type="continuationSeparator" w:id="0">
    <w:p w:rsidR="00DB624F" w:rsidRDefault="00DB624F"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533D7"/>
    <w:rsid w:val="00067546"/>
    <w:rsid w:val="000B30DE"/>
    <w:rsid w:val="000C0A07"/>
    <w:rsid w:val="000D5FE9"/>
    <w:rsid w:val="00112D50"/>
    <w:rsid w:val="00113321"/>
    <w:rsid w:val="00124EC8"/>
    <w:rsid w:val="00165FEE"/>
    <w:rsid w:val="001804AD"/>
    <w:rsid w:val="00186226"/>
    <w:rsid w:val="001A6B2B"/>
    <w:rsid w:val="001B1B81"/>
    <w:rsid w:val="001C56D6"/>
    <w:rsid w:val="001C6FDA"/>
    <w:rsid w:val="001F1ECD"/>
    <w:rsid w:val="001F353F"/>
    <w:rsid w:val="001F4A48"/>
    <w:rsid w:val="002002FA"/>
    <w:rsid w:val="00203E3D"/>
    <w:rsid w:val="00230420"/>
    <w:rsid w:val="00252CA4"/>
    <w:rsid w:val="0025406A"/>
    <w:rsid w:val="00262FD3"/>
    <w:rsid w:val="00281A10"/>
    <w:rsid w:val="00281FAB"/>
    <w:rsid w:val="002830F4"/>
    <w:rsid w:val="0028682F"/>
    <w:rsid w:val="002B51EF"/>
    <w:rsid w:val="002B7BBD"/>
    <w:rsid w:val="002C6C89"/>
    <w:rsid w:val="002D4C2A"/>
    <w:rsid w:val="002E19E0"/>
    <w:rsid w:val="00300CF7"/>
    <w:rsid w:val="0030287B"/>
    <w:rsid w:val="00313EC3"/>
    <w:rsid w:val="00323762"/>
    <w:rsid w:val="00325B5B"/>
    <w:rsid w:val="00334EC0"/>
    <w:rsid w:val="00347DBC"/>
    <w:rsid w:val="00371CD0"/>
    <w:rsid w:val="00391905"/>
    <w:rsid w:val="00396AF1"/>
    <w:rsid w:val="003A0103"/>
    <w:rsid w:val="003A7B58"/>
    <w:rsid w:val="003B267A"/>
    <w:rsid w:val="003C4613"/>
    <w:rsid w:val="003D3115"/>
    <w:rsid w:val="003E09FF"/>
    <w:rsid w:val="003E3D0D"/>
    <w:rsid w:val="003E50E8"/>
    <w:rsid w:val="003F52A2"/>
    <w:rsid w:val="004005B8"/>
    <w:rsid w:val="00425554"/>
    <w:rsid w:val="00431CC4"/>
    <w:rsid w:val="004378C5"/>
    <w:rsid w:val="00447B52"/>
    <w:rsid w:val="004546CC"/>
    <w:rsid w:val="00456199"/>
    <w:rsid w:val="004708B1"/>
    <w:rsid w:val="004756D8"/>
    <w:rsid w:val="004E7D33"/>
    <w:rsid w:val="0050338C"/>
    <w:rsid w:val="005076B5"/>
    <w:rsid w:val="005234EE"/>
    <w:rsid w:val="005403D8"/>
    <w:rsid w:val="0055240C"/>
    <w:rsid w:val="00560E2E"/>
    <w:rsid w:val="00574A92"/>
    <w:rsid w:val="005955B1"/>
    <w:rsid w:val="005B4E4D"/>
    <w:rsid w:val="005D0592"/>
    <w:rsid w:val="005D6172"/>
    <w:rsid w:val="005D7161"/>
    <w:rsid w:val="005E1C51"/>
    <w:rsid w:val="005E47F9"/>
    <w:rsid w:val="005E5A8F"/>
    <w:rsid w:val="005E6D54"/>
    <w:rsid w:val="006039AA"/>
    <w:rsid w:val="0061566E"/>
    <w:rsid w:val="00621EE8"/>
    <w:rsid w:val="0062225A"/>
    <w:rsid w:val="0064073E"/>
    <w:rsid w:val="006475B1"/>
    <w:rsid w:val="00652595"/>
    <w:rsid w:val="00676F46"/>
    <w:rsid w:val="00677240"/>
    <w:rsid w:val="00685B9E"/>
    <w:rsid w:val="00686347"/>
    <w:rsid w:val="00686B3F"/>
    <w:rsid w:val="0068770A"/>
    <w:rsid w:val="006A0DA3"/>
    <w:rsid w:val="006A18F2"/>
    <w:rsid w:val="006C3D3B"/>
    <w:rsid w:val="006D22F9"/>
    <w:rsid w:val="006D2D84"/>
    <w:rsid w:val="006D3624"/>
    <w:rsid w:val="006E0271"/>
    <w:rsid w:val="006E1F3B"/>
    <w:rsid w:val="006E2964"/>
    <w:rsid w:val="00715AD2"/>
    <w:rsid w:val="00717C42"/>
    <w:rsid w:val="0072576E"/>
    <w:rsid w:val="0073012B"/>
    <w:rsid w:val="00777156"/>
    <w:rsid w:val="0078341F"/>
    <w:rsid w:val="0079456D"/>
    <w:rsid w:val="007A6546"/>
    <w:rsid w:val="007C2DFE"/>
    <w:rsid w:val="007C549D"/>
    <w:rsid w:val="00806B14"/>
    <w:rsid w:val="00823237"/>
    <w:rsid w:val="00831485"/>
    <w:rsid w:val="00844CA5"/>
    <w:rsid w:val="00851B88"/>
    <w:rsid w:val="00860562"/>
    <w:rsid w:val="00864008"/>
    <w:rsid w:val="00864464"/>
    <w:rsid w:val="00864FC2"/>
    <w:rsid w:val="008930A5"/>
    <w:rsid w:val="008A14A9"/>
    <w:rsid w:val="008B1288"/>
    <w:rsid w:val="008C0AC7"/>
    <w:rsid w:val="008C78F7"/>
    <w:rsid w:val="008D10AA"/>
    <w:rsid w:val="008D65E9"/>
    <w:rsid w:val="008D79D4"/>
    <w:rsid w:val="008F023C"/>
    <w:rsid w:val="008F37B5"/>
    <w:rsid w:val="008F39C3"/>
    <w:rsid w:val="00902C34"/>
    <w:rsid w:val="00905A48"/>
    <w:rsid w:val="00912D4E"/>
    <w:rsid w:val="009452EB"/>
    <w:rsid w:val="00947BEE"/>
    <w:rsid w:val="00952193"/>
    <w:rsid w:val="00953C0B"/>
    <w:rsid w:val="00993C44"/>
    <w:rsid w:val="009B0702"/>
    <w:rsid w:val="009B096F"/>
    <w:rsid w:val="009C501F"/>
    <w:rsid w:val="009C7BA7"/>
    <w:rsid w:val="009F6C8B"/>
    <w:rsid w:val="00A059C8"/>
    <w:rsid w:val="00A06FD8"/>
    <w:rsid w:val="00A14435"/>
    <w:rsid w:val="00A23F8A"/>
    <w:rsid w:val="00A258AF"/>
    <w:rsid w:val="00A50B01"/>
    <w:rsid w:val="00A5758F"/>
    <w:rsid w:val="00A635A8"/>
    <w:rsid w:val="00A772D3"/>
    <w:rsid w:val="00A81203"/>
    <w:rsid w:val="00A81926"/>
    <w:rsid w:val="00A82F94"/>
    <w:rsid w:val="00A838E1"/>
    <w:rsid w:val="00AB0A0B"/>
    <w:rsid w:val="00AB5193"/>
    <w:rsid w:val="00AC132B"/>
    <w:rsid w:val="00AC277C"/>
    <w:rsid w:val="00AC4198"/>
    <w:rsid w:val="00AD2963"/>
    <w:rsid w:val="00B02B92"/>
    <w:rsid w:val="00B06E05"/>
    <w:rsid w:val="00B07404"/>
    <w:rsid w:val="00B160EB"/>
    <w:rsid w:val="00B1649C"/>
    <w:rsid w:val="00B25D07"/>
    <w:rsid w:val="00B30012"/>
    <w:rsid w:val="00B318D1"/>
    <w:rsid w:val="00B32773"/>
    <w:rsid w:val="00B337FC"/>
    <w:rsid w:val="00B45D29"/>
    <w:rsid w:val="00B942B6"/>
    <w:rsid w:val="00BA213D"/>
    <w:rsid w:val="00BA3715"/>
    <w:rsid w:val="00BB388A"/>
    <w:rsid w:val="00BC4D4A"/>
    <w:rsid w:val="00BC5C58"/>
    <w:rsid w:val="00BC745A"/>
    <w:rsid w:val="00BE5489"/>
    <w:rsid w:val="00BE6621"/>
    <w:rsid w:val="00BE7DE8"/>
    <w:rsid w:val="00BF2258"/>
    <w:rsid w:val="00C04EBD"/>
    <w:rsid w:val="00C06B39"/>
    <w:rsid w:val="00C14336"/>
    <w:rsid w:val="00C210B9"/>
    <w:rsid w:val="00C249D9"/>
    <w:rsid w:val="00C332BE"/>
    <w:rsid w:val="00C50A1F"/>
    <w:rsid w:val="00C72ABD"/>
    <w:rsid w:val="00C73154"/>
    <w:rsid w:val="00C80393"/>
    <w:rsid w:val="00C86149"/>
    <w:rsid w:val="00CA4320"/>
    <w:rsid w:val="00CB4F64"/>
    <w:rsid w:val="00CC4E7A"/>
    <w:rsid w:val="00CC5024"/>
    <w:rsid w:val="00CF688F"/>
    <w:rsid w:val="00D128AB"/>
    <w:rsid w:val="00D17199"/>
    <w:rsid w:val="00D217B7"/>
    <w:rsid w:val="00D22ACF"/>
    <w:rsid w:val="00D23152"/>
    <w:rsid w:val="00D361F4"/>
    <w:rsid w:val="00D40029"/>
    <w:rsid w:val="00D56E93"/>
    <w:rsid w:val="00D778A7"/>
    <w:rsid w:val="00D862BF"/>
    <w:rsid w:val="00DB624F"/>
    <w:rsid w:val="00DC3824"/>
    <w:rsid w:val="00DD21FA"/>
    <w:rsid w:val="00E3339B"/>
    <w:rsid w:val="00E45691"/>
    <w:rsid w:val="00E92692"/>
    <w:rsid w:val="00EB27A0"/>
    <w:rsid w:val="00EE0D02"/>
    <w:rsid w:val="00EF1B61"/>
    <w:rsid w:val="00EF1EEC"/>
    <w:rsid w:val="00F01AA1"/>
    <w:rsid w:val="00F16C57"/>
    <w:rsid w:val="00F40EAE"/>
    <w:rsid w:val="00F446CF"/>
    <w:rsid w:val="00F52EE9"/>
    <w:rsid w:val="00F53DDE"/>
    <w:rsid w:val="00F5564C"/>
    <w:rsid w:val="00F571A4"/>
    <w:rsid w:val="00F66EB8"/>
    <w:rsid w:val="00F7300B"/>
    <w:rsid w:val="00FB2B08"/>
    <w:rsid w:val="00FD3814"/>
    <w:rsid w:val="00FD38C2"/>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2019-05-15T18:30:00+00:00</Judgment_x0020_Date>
    <Year xmlns="c1afb1bd-f2fb-40fd-9abb-aea55b4d7662">2019</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8C56-6221-455D-A224-8AE77E8FAAC7}"/>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90BB1CB3-21C7-4743-AC15-D198217C717F}"/>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DBN vs Benlin Investment CC (HC-MD-CIV-ACT-CON-20180-0428) [2019] NAHCMD 150 (16 May 2019)</dc:title>
  <dc:creator>E. Kharases</dc:creator>
  <cp:lastModifiedBy>Eklien E.P. Kharases</cp:lastModifiedBy>
  <cp:revision>2</cp:revision>
  <cp:lastPrinted>2019-05-16T12:40:00Z</cp:lastPrinted>
  <dcterms:created xsi:type="dcterms:W3CDTF">2019-05-24T09:27:00Z</dcterms:created>
  <dcterms:modified xsi:type="dcterms:W3CDTF">2019-05-24T09:27:00Z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