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40" w:rsidRPr="00675940" w:rsidRDefault="00675940" w:rsidP="00675940">
      <w:pPr>
        <w:spacing w:after="0" w:line="360" w:lineRule="auto"/>
        <w:jc w:val="center"/>
        <w:rPr>
          <w:rFonts w:ascii="Arial" w:eastAsia="Calibri" w:hAnsi="Arial" w:cs="Arial"/>
          <w:b/>
          <w:sz w:val="24"/>
          <w:szCs w:val="24"/>
          <w:lang w:val="en-US"/>
        </w:rPr>
      </w:pPr>
    </w:p>
    <w:p w:rsidR="00675940" w:rsidRPr="00675940" w:rsidRDefault="00675940" w:rsidP="00675940">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54AE181A" wp14:editId="35DF7796">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75940" w:rsidRDefault="00675940" w:rsidP="00675940">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E181A"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75940" w:rsidRDefault="00675940" w:rsidP="00675940">
                      <w:pPr>
                        <w:jc w:val="center"/>
                      </w:pPr>
                      <w:r>
                        <w:t>NOT REPORTABLE</w:t>
                      </w:r>
                    </w:p>
                  </w:txbxContent>
                </v:textbox>
              </v:shape>
            </w:pict>
          </mc:Fallback>
        </mc:AlternateContent>
      </w:r>
      <w:r w:rsidRPr="00675940">
        <w:rPr>
          <w:rFonts w:ascii="Arial" w:eastAsia="Calibri" w:hAnsi="Arial" w:cs="Arial"/>
          <w:b/>
          <w:sz w:val="24"/>
          <w:szCs w:val="24"/>
          <w:lang w:val="en-US"/>
        </w:rPr>
        <w:t>REPUBLIC OF NAMIBIA</w:t>
      </w:r>
    </w:p>
    <w:p w:rsidR="00675940" w:rsidRPr="00675940" w:rsidRDefault="00675940" w:rsidP="00675940">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58FB7CAC" wp14:editId="42EAC1C1">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75940" w:rsidRPr="00675940" w:rsidRDefault="00675940" w:rsidP="00675940">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675940" w:rsidRPr="00675940" w:rsidRDefault="00675940" w:rsidP="00675940">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675940" w:rsidRPr="00675940" w:rsidRDefault="00675940" w:rsidP="00675940">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675940" w:rsidRPr="00675940" w:rsidRDefault="00675940" w:rsidP="00675940">
      <w:pPr>
        <w:tabs>
          <w:tab w:val="right" w:pos="9000"/>
        </w:tabs>
        <w:spacing w:after="0" w:line="276" w:lineRule="auto"/>
        <w:jc w:val="right"/>
        <w:rPr>
          <w:rFonts w:ascii="Arial" w:eastAsia="Calibri" w:hAnsi="Arial" w:cs="Arial"/>
          <w:b/>
          <w:sz w:val="24"/>
          <w:szCs w:val="24"/>
          <w:lang w:val="en-US"/>
        </w:rPr>
      </w:pPr>
      <w:r w:rsidRPr="00675940">
        <w:rPr>
          <w:rFonts w:ascii="Arial" w:eastAsia="Calibri" w:hAnsi="Arial" w:cs="Arial"/>
          <w:sz w:val="24"/>
          <w:szCs w:val="24"/>
          <w:lang w:val="en-US"/>
        </w:rPr>
        <w:t xml:space="preserve">Case No: </w:t>
      </w:r>
      <w:r w:rsidR="002730E0">
        <w:rPr>
          <w:rFonts w:ascii="Arial" w:eastAsia="Calibri" w:hAnsi="Arial" w:cs="Arial"/>
          <w:sz w:val="24"/>
          <w:szCs w:val="24"/>
          <w:lang w:val="en-US"/>
        </w:rPr>
        <w:t>HC-MD-CIV-ACT</w:t>
      </w:r>
      <w:r>
        <w:rPr>
          <w:rFonts w:ascii="Arial" w:eastAsia="Calibri" w:hAnsi="Arial" w:cs="Arial"/>
          <w:sz w:val="24"/>
          <w:szCs w:val="24"/>
          <w:lang w:val="en-US"/>
        </w:rPr>
        <w:t>-CON-2017/00121</w:t>
      </w:r>
    </w:p>
    <w:p w:rsidR="00675940" w:rsidRPr="00675940" w:rsidRDefault="00675940" w:rsidP="00675940">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675940" w:rsidRPr="00675940" w:rsidRDefault="00675940" w:rsidP="00675940">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675940" w:rsidRPr="00675940" w:rsidRDefault="00675940" w:rsidP="00675940">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WINDHOEK RENOVATIONS CC </w:t>
      </w:r>
      <w:r w:rsidRPr="00675940">
        <w:rPr>
          <w:rFonts w:ascii="Arial" w:eastAsia="Calibri" w:hAnsi="Arial" w:cs="Arial"/>
          <w:b/>
          <w:sz w:val="24"/>
          <w:szCs w:val="24"/>
          <w:lang w:val="en-US"/>
        </w:rPr>
        <w:tab/>
        <w:t>PLAINTIFF</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675940" w:rsidRPr="00675940" w:rsidRDefault="00675940" w:rsidP="00675940">
      <w:pPr>
        <w:tabs>
          <w:tab w:val="right" w:pos="9000"/>
        </w:tabs>
        <w:spacing w:after="0" w:line="276" w:lineRule="auto"/>
        <w:jc w:val="both"/>
        <w:rPr>
          <w:rFonts w:ascii="Arial" w:eastAsia="Calibri" w:hAnsi="Arial" w:cs="Arial"/>
          <w:b/>
          <w:sz w:val="24"/>
          <w:szCs w:val="24"/>
          <w:lang w:val="en-US"/>
        </w:rPr>
      </w:pPr>
    </w:p>
    <w:p w:rsidR="00675940" w:rsidRPr="00675940" w:rsidRDefault="00675940" w:rsidP="0067594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SOUTHERN AFRICA CIVILS CC</w:t>
      </w:r>
      <w:r w:rsidRPr="00675940">
        <w:rPr>
          <w:rFonts w:ascii="Arial" w:eastAsia="Calibri" w:hAnsi="Arial" w:cs="Arial"/>
          <w:b/>
          <w:sz w:val="24"/>
          <w:szCs w:val="24"/>
          <w:lang w:val="en-US"/>
        </w:rPr>
        <w:t xml:space="preserve"> </w:t>
      </w:r>
      <w:r w:rsidRPr="00675940">
        <w:rPr>
          <w:rFonts w:ascii="Arial" w:eastAsia="Calibri" w:hAnsi="Arial" w:cs="Arial"/>
          <w:b/>
          <w:sz w:val="24"/>
          <w:szCs w:val="24"/>
          <w:lang w:val="en-US"/>
        </w:rPr>
        <w:tab/>
        <w:t>DEFENDANT</w:t>
      </w:r>
    </w:p>
    <w:p w:rsidR="00675940" w:rsidRPr="00675940" w:rsidRDefault="00675940" w:rsidP="00675940">
      <w:pPr>
        <w:spacing w:after="0" w:line="360" w:lineRule="auto"/>
        <w:jc w:val="both"/>
        <w:rPr>
          <w:rFonts w:ascii="Arial" w:eastAsia="Calibri" w:hAnsi="Arial" w:cs="Arial"/>
          <w:sz w:val="24"/>
          <w:szCs w:val="24"/>
          <w:lang w:val="en-US"/>
        </w:rPr>
      </w:pPr>
    </w:p>
    <w:p w:rsidR="00675940" w:rsidRPr="00675940" w:rsidRDefault="00675940" w:rsidP="00675940">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Windhoek Renovation CC</w:t>
      </w:r>
      <w:r w:rsidRPr="00675940">
        <w:rPr>
          <w:rFonts w:ascii="Arial" w:eastAsia="Calibri" w:hAnsi="Arial" w:cs="Arial"/>
          <w:i/>
          <w:sz w:val="24"/>
          <w:szCs w:val="24"/>
          <w:lang w:val="en-US"/>
        </w:rPr>
        <w:t xml:space="preserve"> v </w:t>
      </w:r>
      <w:r>
        <w:rPr>
          <w:rFonts w:ascii="Arial" w:eastAsia="Calibri" w:hAnsi="Arial" w:cs="Arial"/>
          <w:i/>
          <w:sz w:val="24"/>
          <w:szCs w:val="24"/>
          <w:lang w:val="en-US"/>
        </w:rPr>
        <w:t>Southern Africa Civils CC</w:t>
      </w:r>
      <w:r w:rsidRPr="00675940">
        <w:rPr>
          <w:rFonts w:ascii="Arial" w:eastAsia="Calibri" w:hAnsi="Arial" w:cs="Arial"/>
          <w:i/>
          <w:sz w:val="24"/>
          <w:szCs w:val="24"/>
          <w:lang w:val="en-US"/>
        </w:rPr>
        <w:t xml:space="preserve"> (</w:t>
      </w:r>
      <w:r w:rsidR="002730E0">
        <w:rPr>
          <w:rFonts w:ascii="Arial" w:eastAsia="Calibri" w:hAnsi="Arial" w:cs="Arial"/>
          <w:sz w:val="24"/>
          <w:szCs w:val="24"/>
          <w:lang w:val="en-US"/>
        </w:rPr>
        <w:t>HC-MD-CIV-ACT</w:t>
      </w:r>
      <w:r>
        <w:rPr>
          <w:rFonts w:ascii="Arial" w:eastAsia="Calibri" w:hAnsi="Arial" w:cs="Arial"/>
          <w:sz w:val="24"/>
          <w:szCs w:val="24"/>
          <w:lang w:val="en-US"/>
        </w:rPr>
        <w:t>-CON-2017/0</w:t>
      </w:r>
      <w:r w:rsidR="00F1754F">
        <w:rPr>
          <w:rFonts w:ascii="Arial" w:eastAsia="Calibri" w:hAnsi="Arial" w:cs="Arial"/>
          <w:sz w:val="24"/>
          <w:szCs w:val="24"/>
          <w:lang w:val="en-US"/>
        </w:rPr>
        <w:t>0</w:t>
      </w:r>
      <w:r>
        <w:rPr>
          <w:rFonts w:ascii="Arial" w:eastAsia="Calibri" w:hAnsi="Arial" w:cs="Arial"/>
          <w:sz w:val="24"/>
          <w:szCs w:val="24"/>
          <w:lang w:val="en-US"/>
        </w:rPr>
        <w:t>121</w:t>
      </w:r>
      <w:r w:rsidRPr="00675940">
        <w:rPr>
          <w:rFonts w:ascii="Arial" w:eastAsia="Calibri" w:hAnsi="Arial" w:cs="Arial"/>
          <w:sz w:val="24"/>
          <w:szCs w:val="24"/>
          <w:lang w:val="en-US"/>
        </w:rPr>
        <w:t xml:space="preserve">) [2019] NAHCMD </w:t>
      </w:r>
      <w:r w:rsidR="006935FF">
        <w:rPr>
          <w:rFonts w:ascii="Arial" w:eastAsia="Calibri" w:hAnsi="Arial" w:cs="Arial"/>
          <w:sz w:val="24"/>
          <w:szCs w:val="24"/>
          <w:lang w:val="en-US"/>
        </w:rPr>
        <w:t>15</w:t>
      </w:r>
      <w:r w:rsidR="00E71C95">
        <w:rPr>
          <w:rFonts w:ascii="Arial" w:eastAsia="Calibri" w:hAnsi="Arial" w:cs="Arial"/>
          <w:sz w:val="24"/>
          <w:szCs w:val="24"/>
          <w:lang w:val="en-US"/>
        </w:rPr>
        <w:t>3</w:t>
      </w:r>
      <w:bookmarkStart w:id="0" w:name="_GoBack"/>
      <w:bookmarkEnd w:id="0"/>
      <w:r w:rsidRPr="00675940">
        <w:rPr>
          <w:rFonts w:ascii="Arial" w:eastAsia="Calibri" w:hAnsi="Arial" w:cs="Arial"/>
          <w:sz w:val="24"/>
          <w:szCs w:val="24"/>
          <w:lang w:val="en-US"/>
        </w:rPr>
        <w:t xml:space="preserve"> (17 May 2019)</w:t>
      </w:r>
    </w:p>
    <w:p w:rsidR="00675940" w:rsidRPr="00675940" w:rsidRDefault="00675940" w:rsidP="00675940">
      <w:pPr>
        <w:spacing w:after="0" w:line="360" w:lineRule="auto"/>
        <w:ind w:left="2160" w:hanging="2160"/>
        <w:jc w:val="both"/>
        <w:rPr>
          <w:rFonts w:ascii="Arial" w:eastAsia="Calibri" w:hAnsi="Arial" w:cs="Arial"/>
          <w:sz w:val="24"/>
          <w:szCs w:val="24"/>
          <w:lang w:val="en-US"/>
        </w:rPr>
      </w:pPr>
    </w:p>
    <w:p w:rsidR="00675940" w:rsidRPr="00675940" w:rsidRDefault="00675940" w:rsidP="00675940">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r>
      <w:r w:rsidR="004E421F">
        <w:rPr>
          <w:rFonts w:ascii="Arial" w:eastAsia="Calibri" w:hAnsi="Arial" w:cs="Arial"/>
          <w:sz w:val="24"/>
          <w:szCs w:val="24"/>
          <w:lang w:val="en-US"/>
        </w:rPr>
        <w:tab/>
      </w:r>
      <w:r w:rsidRPr="00675940">
        <w:rPr>
          <w:rFonts w:ascii="Arial" w:eastAsia="Calibri" w:hAnsi="Arial" w:cs="Arial"/>
          <w:sz w:val="24"/>
          <w:szCs w:val="24"/>
          <w:lang w:val="en-US"/>
        </w:rPr>
        <w:t>USIKU, J</w:t>
      </w:r>
      <w:r w:rsidRPr="00675940">
        <w:rPr>
          <w:rFonts w:ascii="Arial" w:eastAsia="Calibri" w:hAnsi="Arial" w:cs="Arial"/>
          <w:i/>
          <w:sz w:val="24"/>
          <w:szCs w:val="24"/>
          <w:lang w:val="en-US"/>
        </w:rPr>
        <w:t xml:space="preserve"> </w:t>
      </w:r>
    </w:p>
    <w:p w:rsidR="00675940" w:rsidRPr="00675940" w:rsidRDefault="00675940" w:rsidP="00675940">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sidR="004E421F">
        <w:rPr>
          <w:rFonts w:ascii="Arial" w:eastAsia="Calibri" w:hAnsi="Arial" w:cs="Arial"/>
          <w:b/>
          <w:sz w:val="24"/>
          <w:szCs w:val="24"/>
          <w:lang w:val="en-US"/>
        </w:rPr>
        <w:tab/>
      </w:r>
      <w:r>
        <w:rPr>
          <w:rFonts w:ascii="Arial" w:eastAsia="Calibri" w:hAnsi="Arial" w:cs="Arial"/>
          <w:b/>
          <w:sz w:val="24"/>
          <w:szCs w:val="24"/>
          <w:lang w:val="en-US"/>
        </w:rPr>
        <w:t>23 April 2018, 06 September 2018 and 21 January 2019</w:t>
      </w:r>
    </w:p>
    <w:p w:rsidR="00675940" w:rsidRPr="00675940" w:rsidRDefault="00675940" w:rsidP="00675940">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sidR="004E421F">
        <w:rPr>
          <w:rFonts w:ascii="Arial" w:eastAsia="Calibri" w:hAnsi="Arial" w:cs="Arial"/>
          <w:sz w:val="24"/>
          <w:szCs w:val="24"/>
          <w:lang w:val="en-US"/>
        </w:rPr>
        <w:tab/>
      </w:r>
      <w:r w:rsidRPr="00675940">
        <w:rPr>
          <w:rFonts w:ascii="Arial" w:eastAsia="Calibri" w:hAnsi="Arial" w:cs="Arial"/>
          <w:b/>
          <w:sz w:val="24"/>
          <w:szCs w:val="24"/>
          <w:lang w:val="en-US"/>
        </w:rPr>
        <w:t>17 May 2019</w:t>
      </w:r>
    </w:p>
    <w:p w:rsidR="00675940" w:rsidRPr="00675940" w:rsidRDefault="00675940" w:rsidP="00675940">
      <w:pPr>
        <w:spacing w:after="0" w:line="360" w:lineRule="auto"/>
        <w:jc w:val="both"/>
        <w:rPr>
          <w:rFonts w:ascii="Arial" w:eastAsia="Calibri" w:hAnsi="Arial" w:cs="Arial"/>
          <w:b/>
          <w:sz w:val="24"/>
          <w:szCs w:val="24"/>
          <w:lang w:val="en-US"/>
        </w:rPr>
      </w:pPr>
    </w:p>
    <w:p w:rsidR="00675940" w:rsidRPr="00952F8D" w:rsidRDefault="00675940" w:rsidP="00675940">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sidR="00952F8D">
        <w:rPr>
          <w:rFonts w:ascii="Arial" w:eastAsia="Calibri" w:hAnsi="Arial" w:cs="Arial"/>
          <w:b/>
          <w:sz w:val="24"/>
          <w:szCs w:val="24"/>
          <w:lang w:val="en-US"/>
        </w:rPr>
        <w:t xml:space="preserve"> </w:t>
      </w:r>
      <w:r w:rsidR="00952F8D">
        <w:rPr>
          <w:rFonts w:ascii="Arial" w:eastAsia="Calibri" w:hAnsi="Arial" w:cs="Arial"/>
          <w:b/>
          <w:sz w:val="24"/>
          <w:szCs w:val="24"/>
          <w:lang w:val="en-US"/>
        </w:rPr>
        <w:tab/>
      </w:r>
      <w:r w:rsidR="00952F8D">
        <w:rPr>
          <w:rFonts w:ascii="Arial" w:eastAsia="Calibri" w:hAnsi="Arial" w:cs="Arial"/>
          <w:sz w:val="24"/>
          <w:szCs w:val="24"/>
          <w:lang w:val="en-US"/>
        </w:rPr>
        <w:t>Law of contract ‒ Agreement of letting and hiring of machinery ‒</w:t>
      </w:r>
      <w:r w:rsidR="00543895">
        <w:rPr>
          <w:rFonts w:ascii="Arial" w:eastAsia="Calibri" w:hAnsi="Arial" w:cs="Arial"/>
          <w:sz w:val="24"/>
          <w:szCs w:val="24"/>
          <w:lang w:val="en-US"/>
        </w:rPr>
        <w:t xml:space="preserve"> </w:t>
      </w:r>
      <w:r w:rsidR="00952F8D">
        <w:rPr>
          <w:rFonts w:ascii="Arial" w:eastAsia="Calibri" w:hAnsi="Arial" w:cs="Arial"/>
          <w:sz w:val="24"/>
          <w:szCs w:val="24"/>
          <w:lang w:val="en-US"/>
        </w:rPr>
        <w:t>Court’s approach when faced with two mutually destructive versions.</w:t>
      </w:r>
    </w:p>
    <w:p w:rsidR="00675940" w:rsidRDefault="00675940" w:rsidP="00675940">
      <w:pPr>
        <w:spacing w:after="0" w:line="360" w:lineRule="auto"/>
        <w:jc w:val="both"/>
        <w:rPr>
          <w:rFonts w:ascii="Arial" w:eastAsia="Calibri" w:hAnsi="Arial" w:cs="Arial"/>
          <w:sz w:val="24"/>
          <w:szCs w:val="24"/>
          <w:lang w:val="en-US"/>
        </w:rPr>
      </w:pPr>
    </w:p>
    <w:p w:rsidR="00675940" w:rsidRPr="00952F8D" w:rsidRDefault="00675940" w:rsidP="00675940">
      <w:pPr>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sidRPr="00675940">
        <w:rPr>
          <w:rFonts w:ascii="Arial" w:eastAsia="Calibri" w:hAnsi="Arial" w:cs="Arial"/>
          <w:b/>
          <w:bCs/>
          <w:sz w:val="24"/>
          <w:szCs w:val="24"/>
          <w:lang w:val="en-US"/>
        </w:rPr>
        <w:tab/>
      </w:r>
      <w:r w:rsidR="00952F8D">
        <w:rPr>
          <w:rFonts w:ascii="Arial" w:eastAsia="Calibri" w:hAnsi="Arial" w:cs="Arial"/>
          <w:bCs/>
          <w:sz w:val="24"/>
          <w:szCs w:val="24"/>
          <w:lang w:val="en-US"/>
        </w:rPr>
        <w:t xml:space="preserve"> The plaintiff hired certain machinery to the defendant in terms of an agreement.  The defendant failed or refused to pay the outstanding amount in respect of </w:t>
      </w:r>
      <w:r w:rsidR="00952F8D">
        <w:rPr>
          <w:rFonts w:ascii="Arial" w:eastAsia="Calibri" w:hAnsi="Arial" w:cs="Arial"/>
          <w:bCs/>
          <w:sz w:val="24"/>
          <w:szCs w:val="24"/>
          <w:lang w:val="en-US"/>
        </w:rPr>
        <w:lastRenderedPageBreak/>
        <w:t>t</w:t>
      </w:r>
      <w:r w:rsidR="00655D70">
        <w:rPr>
          <w:rFonts w:ascii="Arial" w:eastAsia="Calibri" w:hAnsi="Arial" w:cs="Arial"/>
          <w:bCs/>
          <w:sz w:val="24"/>
          <w:szCs w:val="24"/>
          <w:lang w:val="en-US"/>
        </w:rPr>
        <w:t>he machinery</w:t>
      </w:r>
      <w:r w:rsidR="002730E0">
        <w:rPr>
          <w:rFonts w:ascii="Arial" w:eastAsia="Calibri" w:hAnsi="Arial" w:cs="Arial"/>
          <w:bCs/>
          <w:sz w:val="24"/>
          <w:szCs w:val="24"/>
          <w:lang w:val="en-US"/>
        </w:rPr>
        <w:t xml:space="preserve"> – H</w:t>
      </w:r>
      <w:r w:rsidR="00655D70">
        <w:rPr>
          <w:rFonts w:ascii="Arial" w:eastAsia="Calibri" w:hAnsi="Arial" w:cs="Arial"/>
          <w:bCs/>
          <w:sz w:val="24"/>
          <w:szCs w:val="24"/>
          <w:lang w:val="en-US"/>
        </w:rPr>
        <w:t>ire services.  The court held the defendant liable for payment of the outstanding amount.</w:t>
      </w:r>
    </w:p>
    <w:p w:rsidR="00675940" w:rsidRPr="00675940" w:rsidRDefault="00F060AA" w:rsidP="0067594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75940" w:rsidRPr="00675940" w:rsidRDefault="00675940" w:rsidP="00675940">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675940" w:rsidRPr="00675940" w:rsidRDefault="00F060AA" w:rsidP="00675940">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75940"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a) </w:t>
      </w:r>
      <w:r w:rsidR="00675940" w:rsidRPr="00675940">
        <w:rPr>
          <w:rFonts w:ascii="Arial" w:eastAsia="Calibri" w:hAnsi="Arial" w:cs="Arial"/>
          <w:sz w:val="24"/>
          <w:szCs w:val="24"/>
          <w:lang w:val="en-US"/>
        </w:rPr>
        <w:tab/>
      </w:r>
      <w:r w:rsidR="009A06BB">
        <w:rPr>
          <w:rFonts w:ascii="Arial" w:eastAsia="Calibri" w:hAnsi="Arial" w:cs="Arial"/>
          <w:sz w:val="24"/>
          <w:szCs w:val="24"/>
          <w:lang w:val="en-US"/>
        </w:rPr>
        <w:t>Judgment is hereby granted in favour of the plaintiff against the defendant, in the following terms:</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w:t>
      </w:r>
      <w:r w:rsidR="009A06BB">
        <w:rPr>
          <w:rFonts w:ascii="Arial" w:eastAsia="Calibri" w:hAnsi="Arial" w:cs="Arial"/>
          <w:sz w:val="24"/>
          <w:szCs w:val="24"/>
          <w:lang w:val="en-US"/>
        </w:rPr>
        <w:tab/>
        <w:t>payment in the amount of N$ 1,504,576.75;</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w:t>
      </w:r>
      <w:r w:rsidR="009A06BB">
        <w:rPr>
          <w:rFonts w:ascii="Arial" w:eastAsia="Calibri" w:hAnsi="Arial" w:cs="Arial"/>
          <w:sz w:val="24"/>
          <w:szCs w:val="24"/>
          <w:lang w:val="en-US"/>
        </w:rPr>
        <w:tab/>
        <w:t>interest on the aforesaid amount at the rate of 20% per annum calculated from the date of judgment to the date of final payment;</w:t>
      </w:r>
    </w:p>
    <w:p w:rsidR="009A06BB"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iii)</w:t>
      </w:r>
      <w:r w:rsidR="009A06BB">
        <w:rPr>
          <w:rFonts w:ascii="Arial" w:eastAsia="Calibri" w:hAnsi="Arial" w:cs="Arial"/>
          <w:sz w:val="24"/>
          <w:szCs w:val="24"/>
          <w:lang w:val="en-US"/>
        </w:rPr>
        <w:tab/>
        <w:t xml:space="preserve">costs of suit, such costs to include costs occasioned </w:t>
      </w:r>
      <w:r>
        <w:rPr>
          <w:rFonts w:ascii="Arial" w:eastAsia="Calibri" w:hAnsi="Arial" w:cs="Arial"/>
          <w:sz w:val="24"/>
          <w:szCs w:val="24"/>
          <w:lang w:val="en-US"/>
        </w:rPr>
        <w:t xml:space="preserve">by the appointment of </w:t>
      </w:r>
      <w:r w:rsidR="009A06BB">
        <w:rPr>
          <w:rFonts w:ascii="Arial" w:eastAsia="Calibri" w:hAnsi="Arial" w:cs="Arial"/>
          <w:sz w:val="24"/>
          <w:szCs w:val="24"/>
          <w:lang w:val="en-US"/>
        </w:rPr>
        <w:t>one instructing and one instructed legal practitioner.</w:t>
      </w:r>
    </w:p>
    <w:p w:rsidR="009A06BB" w:rsidRPr="00675940" w:rsidRDefault="007438A7" w:rsidP="009A06BB">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b)</w:t>
      </w:r>
      <w:r w:rsidR="009A06BB">
        <w:rPr>
          <w:rFonts w:ascii="Arial" w:eastAsia="Calibri" w:hAnsi="Arial" w:cs="Arial"/>
          <w:sz w:val="24"/>
          <w:szCs w:val="24"/>
          <w:lang w:val="en-US"/>
        </w:rPr>
        <w:tab/>
        <w:t>The matter is removed fr</w:t>
      </w:r>
      <w:r w:rsidR="004E421F">
        <w:rPr>
          <w:rFonts w:ascii="Arial" w:eastAsia="Calibri" w:hAnsi="Arial" w:cs="Arial"/>
          <w:sz w:val="24"/>
          <w:szCs w:val="24"/>
          <w:lang w:val="en-US"/>
        </w:rPr>
        <w:t>om the roll and regarded finaliz</w:t>
      </w:r>
      <w:r w:rsidR="009A06BB">
        <w:rPr>
          <w:rFonts w:ascii="Arial" w:eastAsia="Calibri" w:hAnsi="Arial" w:cs="Arial"/>
          <w:sz w:val="24"/>
          <w:szCs w:val="24"/>
          <w:lang w:val="en-US"/>
        </w:rPr>
        <w:t>ed.</w:t>
      </w:r>
    </w:p>
    <w:p w:rsidR="00675940" w:rsidRPr="00675940" w:rsidRDefault="00675940" w:rsidP="00675940">
      <w:pPr>
        <w:spacing w:after="0" w:line="240" w:lineRule="auto"/>
        <w:ind w:left="576" w:hanging="576"/>
        <w:jc w:val="center"/>
        <w:rPr>
          <w:rFonts w:ascii="Arial" w:eastAsia="Calibri" w:hAnsi="Arial" w:cs="Arial"/>
          <w:sz w:val="24"/>
          <w:szCs w:val="24"/>
          <w:lang w:val="en-US"/>
        </w:rPr>
      </w:pPr>
      <w:r w:rsidRPr="00675940">
        <w:rPr>
          <w:rFonts w:ascii="Arial" w:eastAsia="Calibri" w:hAnsi="Arial" w:cs="Arial"/>
          <w:sz w:val="24"/>
          <w:szCs w:val="24"/>
          <w:lang w:val="en-US"/>
        </w:rPr>
        <w:t>______________________________________________________________________</w:t>
      </w:r>
    </w:p>
    <w:p w:rsidR="00675940" w:rsidRPr="00675940" w:rsidRDefault="009A06BB" w:rsidP="00675940">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675940" w:rsidRPr="00675940" w:rsidRDefault="00675940" w:rsidP="00675940">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675940" w:rsidRPr="00675940" w:rsidRDefault="00675940" w:rsidP="00675940">
      <w:pPr>
        <w:spacing w:after="0" w:line="240" w:lineRule="auto"/>
        <w:jc w:val="both"/>
        <w:rPr>
          <w:rFonts w:ascii="Arial" w:hAnsi="Arial" w:cs="Arial"/>
          <w:sz w:val="24"/>
          <w:szCs w:val="24"/>
        </w:rPr>
      </w:pPr>
    </w:p>
    <w:p w:rsidR="00675940" w:rsidRPr="00675940" w:rsidRDefault="004E421F" w:rsidP="00675940">
      <w:pPr>
        <w:spacing w:after="0" w:line="360" w:lineRule="auto"/>
        <w:jc w:val="both"/>
        <w:rPr>
          <w:rFonts w:ascii="Arial" w:hAnsi="Arial" w:cs="Arial"/>
          <w:sz w:val="24"/>
          <w:szCs w:val="24"/>
        </w:rPr>
      </w:pPr>
      <w:r>
        <w:rPr>
          <w:rFonts w:ascii="Arial" w:hAnsi="Arial" w:cs="Arial"/>
          <w:sz w:val="24"/>
          <w:szCs w:val="24"/>
        </w:rPr>
        <w:t>USIKU</w:t>
      </w:r>
      <w:r w:rsidR="00675940" w:rsidRPr="00675940">
        <w:rPr>
          <w:rFonts w:ascii="Arial" w:hAnsi="Arial" w:cs="Arial"/>
          <w:sz w:val="24"/>
          <w:szCs w:val="24"/>
        </w:rPr>
        <w:t xml:space="preserve"> J:</w:t>
      </w:r>
    </w:p>
    <w:p w:rsidR="00675940" w:rsidRPr="00675940" w:rsidRDefault="00675940" w:rsidP="00675940">
      <w:pPr>
        <w:spacing w:after="0" w:line="360" w:lineRule="auto"/>
        <w:jc w:val="both"/>
        <w:rPr>
          <w:rFonts w:ascii="Arial" w:hAnsi="Arial" w:cs="Arial"/>
          <w:sz w:val="24"/>
          <w:szCs w:val="24"/>
          <w:u w:val="single"/>
        </w:rPr>
      </w:pPr>
    </w:p>
    <w:p w:rsidR="00675940" w:rsidRPr="00675940" w:rsidRDefault="00675940" w:rsidP="00675940">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675940" w:rsidRPr="00675940" w:rsidRDefault="00675940" w:rsidP="00675940">
      <w:pPr>
        <w:spacing w:after="0" w:line="360" w:lineRule="auto"/>
        <w:jc w:val="both"/>
        <w:rPr>
          <w:rFonts w:ascii="Arial" w:hAnsi="Arial" w:cs="Arial"/>
          <w:sz w:val="24"/>
          <w:szCs w:val="24"/>
        </w:rPr>
      </w:pPr>
    </w:p>
    <w:p w:rsidR="00675940" w:rsidRDefault="00675940" w:rsidP="009A06BB">
      <w:pPr>
        <w:spacing w:after="0" w:line="360" w:lineRule="auto"/>
        <w:jc w:val="both"/>
        <w:rPr>
          <w:rFonts w:ascii="Arial" w:hAnsi="Arial" w:cs="Arial"/>
          <w:sz w:val="24"/>
          <w:szCs w:val="24"/>
        </w:rPr>
      </w:pPr>
      <w:r w:rsidRPr="00675940">
        <w:rPr>
          <w:rFonts w:ascii="Arial" w:hAnsi="Arial" w:cs="Arial"/>
          <w:sz w:val="24"/>
          <w:szCs w:val="24"/>
        </w:rPr>
        <w:t>[1]</w:t>
      </w:r>
      <w:r w:rsidRPr="00675940">
        <w:rPr>
          <w:rFonts w:ascii="Arial" w:hAnsi="Arial" w:cs="Arial"/>
          <w:sz w:val="24"/>
          <w:szCs w:val="24"/>
        </w:rPr>
        <w:tab/>
      </w:r>
      <w:r w:rsidR="009A06BB">
        <w:rPr>
          <w:rFonts w:ascii="Arial" w:hAnsi="Arial" w:cs="Arial"/>
          <w:sz w:val="24"/>
          <w:szCs w:val="24"/>
        </w:rPr>
        <w:t>In the present action the plaintiff prays for judgment against the defendant in the following terms:</w:t>
      </w:r>
    </w:p>
    <w:p w:rsidR="009A06BB" w:rsidRDefault="009A06BB" w:rsidP="009A06BB">
      <w:pPr>
        <w:spacing w:after="0" w:line="360" w:lineRule="auto"/>
        <w:jc w:val="both"/>
        <w:rPr>
          <w:rFonts w:ascii="Arial" w:hAnsi="Arial" w:cs="Arial"/>
        </w:rPr>
      </w:pPr>
      <w:r w:rsidRPr="009A06BB">
        <w:rPr>
          <w:rFonts w:ascii="Arial" w:hAnsi="Arial" w:cs="Arial"/>
        </w:rPr>
        <w:t>‘</w:t>
      </w:r>
      <w:r>
        <w:rPr>
          <w:rFonts w:ascii="Arial" w:hAnsi="Arial" w:cs="Arial"/>
        </w:rPr>
        <w:t>1.</w:t>
      </w:r>
      <w:r>
        <w:rPr>
          <w:rFonts w:ascii="Arial" w:hAnsi="Arial" w:cs="Arial"/>
        </w:rPr>
        <w:tab/>
        <w:t>Payment in the amount N$ 1,504,576.75;</w:t>
      </w:r>
    </w:p>
    <w:p w:rsidR="009A06BB" w:rsidRDefault="008D3197" w:rsidP="009A06BB">
      <w:pPr>
        <w:spacing w:after="0" w:line="360" w:lineRule="auto"/>
        <w:jc w:val="both"/>
        <w:rPr>
          <w:rFonts w:ascii="Arial" w:hAnsi="Arial" w:cs="Arial"/>
        </w:rPr>
      </w:pPr>
      <w:r>
        <w:rPr>
          <w:rFonts w:ascii="Arial" w:hAnsi="Arial" w:cs="Arial"/>
        </w:rPr>
        <w:t xml:space="preserve"> </w:t>
      </w:r>
      <w:r w:rsidR="009A06BB">
        <w:rPr>
          <w:rFonts w:ascii="Arial" w:hAnsi="Arial" w:cs="Arial"/>
        </w:rPr>
        <w:t>2.</w:t>
      </w:r>
      <w:r w:rsidR="009A06BB">
        <w:rPr>
          <w:rFonts w:ascii="Arial" w:hAnsi="Arial" w:cs="Arial"/>
        </w:rPr>
        <w:tab/>
        <w:t xml:space="preserve">Interest on the outstanding balance from time to time a </w:t>
      </w:r>
      <w:r w:rsidR="009A06BB" w:rsidRPr="009A06BB">
        <w:rPr>
          <w:rFonts w:ascii="Arial" w:hAnsi="Arial" w:cs="Arial"/>
          <w:i/>
        </w:rPr>
        <w:t>tempore morae</w:t>
      </w:r>
      <w:r w:rsidR="009A06BB">
        <w:rPr>
          <w:rFonts w:ascii="Arial" w:hAnsi="Arial" w:cs="Arial"/>
        </w:rPr>
        <w:t xml:space="preserve"> at the rate of 20% </w:t>
      </w:r>
      <w:r>
        <w:rPr>
          <w:rFonts w:ascii="Arial" w:hAnsi="Arial" w:cs="Arial"/>
        </w:rPr>
        <w:tab/>
      </w:r>
      <w:r w:rsidR="009A06BB">
        <w:rPr>
          <w:rFonts w:ascii="Arial" w:hAnsi="Arial" w:cs="Arial"/>
        </w:rPr>
        <w:t>per annum.</w:t>
      </w:r>
    </w:p>
    <w:p w:rsidR="009A06BB" w:rsidRDefault="009A06BB" w:rsidP="009A06BB">
      <w:pPr>
        <w:spacing w:after="0" w:line="360" w:lineRule="auto"/>
        <w:jc w:val="both"/>
        <w:rPr>
          <w:rFonts w:ascii="Arial" w:hAnsi="Arial" w:cs="Arial"/>
        </w:rPr>
      </w:pPr>
      <w:r>
        <w:rPr>
          <w:rFonts w:ascii="Arial" w:hAnsi="Arial" w:cs="Arial"/>
        </w:rPr>
        <w:t>3.</w:t>
      </w:r>
      <w:r>
        <w:rPr>
          <w:rFonts w:ascii="Arial" w:hAnsi="Arial" w:cs="Arial"/>
        </w:rPr>
        <w:tab/>
        <w:t>Costs of suit.</w:t>
      </w:r>
    </w:p>
    <w:p w:rsidR="009A06BB" w:rsidRPr="00675940" w:rsidRDefault="009A06BB" w:rsidP="009A06BB">
      <w:pPr>
        <w:spacing w:after="0" w:line="360" w:lineRule="auto"/>
        <w:jc w:val="both"/>
        <w:rPr>
          <w:rFonts w:ascii="Arial" w:eastAsia="Calibri" w:hAnsi="Arial" w:cs="Arial"/>
          <w:lang w:val="en-US"/>
        </w:rPr>
      </w:pPr>
      <w:r>
        <w:rPr>
          <w:rFonts w:ascii="Arial" w:hAnsi="Arial" w:cs="Arial"/>
        </w:rPr>
        <w:t>4.</w:t>
      </w:r>
      <w:r>
        <w:rPr>
          <w:rFonts w:ascii="Arial" w:hAnsi="Arial" w:cs="Arial"/>
        </w:rPr>
        <w:tab/>
        <w:t>Further or alternative relief’</w:t>
      </w:r>
    </w:p>
    <w:p w:rsidR="00675940" w:rsidRPr="00675940" w:rsidRDefault="00675940" w:rsidP="00675940">
      <w:pPr>
        <w:spacing w:after="0" w:line="360" w:lineRule="auto"/>
        <w:jc w:val="both"/>
        <w:rPr>
          <w:rFonts w:ascii="Arial" w:eastAsia="Calibri" w:hAnsi="Arial" w:cs="Arial"/>
          <w:sz w:val="24"/>
          <w:szCs w:val="24"/>
          <w:lang w:val="en-US"/>
        </w:rPr>
      </w:pPr>
    </w:p>
    <w:p w:rsidR="00675940" w:rsidRDefault="009A06B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plaintiff’s claim is based on an alleged contract between the plaintiff and the defendant in terms of which the plaintiff </w:t>
      </w:r>
      <w:r w:rsidR="008D3197">
        <w:rPr>
          <w:rFonts w:ascii="Arial" w:eastAsia="Calibri" w:hAnsi="Arial" w:cs="Arial"/>
          <w:sz w:val="24"/>
          <w:szCs w:val="24"/>
          <w:lang w:val="en-US"/>
        </w:rPr>
        <w:t>hired</w:t>
      </w:r>
      <w:r>
        <w:rPr>
          <w:rFonts w:ascii="Arial" w:eastAsia="Calibri" w:hAnsi="Arial" w:cs="Arial"/>
          <w:sz w:val="24"/>
          <w:szCs w:val="24"/>
          <w:lang w:val="en-US"/>
        </w:rPr>
        <w:t xml:space="preserve"> certain machinery to the defendant, and that the defendant failed or refused to pay for the services rendered.  The defendant had </w:t>
      </w:r>
      <w:r>
        <w:rPr>
          <w:rFonts w:ascii="Arial" w:eastAsia="Calibri" w:hAnsi="Arial" w:cs="Arial"/>
          <w:sz w:val="24"/>
          <w:szCs w:val="24"/>
          <w:lang w:val="en-US"/>
        </w:rPr>
        <w:lastRenderedPageBreak/>
        <w:t xml:space="preserve">entered appearance to defend and claims that it has paid </w:t>
      </w:r>
      <w:r w:rsidR="00AA39DF">
        <w:rPr>
          <w:rFonts w:ascii="Arial" w:eastAsia="Calibri" w:hAnsi="Arial" w:cs="Arial"/>
          <w:sz w:val="24"/>
          <w:szCs w:val="24"/>
          <w:lang w:val="en-US"/>
        </w:rPr>
        <w:t>for all services rendered and denies liability to pay the plaintiff.</w:t>
      </w:r>
    </w:p>
    <w:p w:rsidR="00AA39DF" w:rsidRDefault="00AA39DF" w:rsidP="00675940">
      <w:pPr>
        <w:spacing w:after="0" w:line="360" w:lineRule="auto"/>
        <w:jc w:val="both"/>
        <w:rPr>
          <w:rFonts w:ascii="Arial" w:eastAsia="Calibri" w:hAnsi="Arial" w:cs="Arial"/>
          <w:sz w:val="24"/>
          <w:szCs w:val="24"/>
          <w:lang w:val="en-US"/>
        </w:rPr>
      </w:pPr>
    </w:p>
    <w:p w:rsidR="00AA39DF" w:rsidRPr="00591C0E" w:rsidRDefault="00AA39DF" w:rsidP="00675940">
      <w:pPr>
        <w:spacing w:after="0" w:line="360" w:lineRule="auto"/>
        <w:jc w:val="both"/>
        <w:rPr>
          <w:rFonts w:ascii="Arial" w:eastAsia="Calibri" w:hAnsi="Arial" w:cs="Arial"/>
          <w:sz w:val="24"/>
          <w:szCs w:val="24"/>
          <w:u w:val="single"/>
          <w:lang w:val="en-US"/>
        </w:rPr>
      </w:pPr>
      <w:r w:rsidRPr="00591C0E">
        <w:rPr>
          <w:rFonts w:ascii="Arial" w:eastAsia="Calibri" w:hAnsi="Arial" w:cs="Arial"/>
          <w:sz w:val="24"/>
          <w:szCs w:val="24"/>
          <w:u w:val="single"/>
          <w:lang w:val="en-US"/>
        </w:rPr>
        <w:t>The plaintiff’s version</w:t>
      </w:r>
    </w:p>
    <w:p w:rsidR="00AA39DF" w:rsidRDefault="00AA39DF" w:rsidP="00675940">
      <w:pPr>
        <w:spacing w:after="0" w:line="360" w:lineRule="auto"/>
        <w:jc w:val="both"/>
        <w:rPr>
          <w:rFonts w:ascii="Arial" w:eastAsia="Calibri" w:hAnsi="Arial" w:cs="Arial"/>
          <w:sz w:val="24"/>
          <w:szCs w:val="24"/>
          <w:lang w:val="en-US"/>
        </w:rPr>
      </w:pPr>
    </w:p>
    <w:p w:rsidR="00AA39DF" w:rsidRDefault="00655D7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In</w:t>
      </w:r>
      <w:r w:rsidR="00AA39DF">
        <w:rPr>
          <w:rFonts w:ascii="Arial" w:eastAsia="Calibri" w:hAnsi="Arial" w:cs="Arial"/>
          <w:sz w:val="24"/>
          <w:szCs w:val="24"/>
          <w:lang w:val="en-US"/>
        </w:rPr>
        <w:t xml:space="preserve"> support of its claim</w:t>
      </w:r>
      <w:r>
        <w:rPr>
          <w:rFonts w:ascii="Arial" w:eastAsia="Calibri" w:hAnsi="Arial" w:cs="Arial"/>
          <w:sz w:val="24"/>
          <w:szCs w:val="24"/>
          <w:lang w:val="en-US"/>
        </w:rPr>
        <w:t>,</w:t>
      </w:r>
      <w:r w:rsidR="00AA39DF">
        <w:rPr>
          <w:rFonts w:ascii="Arial" w:eastAsia="Calibri" w:hAnsi="Arial" w:cs="Arial"/>
          <w:sz w:val="24"/>
          <w:szCs w:val="24"/>
          <w:lang w:val="en-US"/>
        </w:rPr>
        <w:t xml:space="preserve"> the plaintiff called three w</w:t>
      </w:r>
      <w:r w:rsidR="004E421F">
        <w:rPr>
          <w:rFonts w:ascii="Arial" w:eastAsia="Calibri" w:hAnsi="Arial" w:cs="Arial"/>
          <w:sz w:val="24"/>
          <w:szCs w:val="24"/>
          <w:lang w:val="en-US"/>
        </w:rPr>
        <w:t>itnesses namely Johan Van Wyk (</w:t>
      </w:r>
      <w:r w:rsidR="00AA39DF">
        <w:rPr>
          <w:rFonts w:ascii="Arial" w:eastAsia="Calibri" w:hAnsi="Arial" w:cs="Arial"/>
          <w:sz w:val="24"/>
          <w:szCs w:val="24"/>
          <w:lang w:val="en-US"/>
        </w:rPr>
        <w:t>Mr</w:t>
      </w:r>
      <w:r w:rsidR="004E421F">
        <w:rPr>
          <w:rFonts w:ascii="Arial" w:eastAsia="Calibri" w:hAnsi="Arial" w:cs="Arial"/>
          <w:sz w:val="24"/>
          <w:szCs w:val="24"/>
          <w:lang w:val="en-US"/>
        </w:rPr>
        <w:t xml:space="preserve"> Van Wyk), Alfeus Kamara (</w:t>
      </w:r>
      <w:r w:rsidR="00AA39DF">
        <w:rPr>
          <w:rFonts w:ascii="Arial" w:eastAsia="Calibri" w:hAnsi="Arial" w:cs="Arial"/>
          <w:sz w:val="24"/>
          <w:szCs w:val="24"/>
          <w:lang w:val="en-US"/>
        </w:rPr>
        <w:t>Mr</w:t>
      </w:r>
      <w:r w:rsidR="004E421F">
        <w:rPr>
          <w:rFonts w:ascii="Arial" w:eastAsia="Calibri" w:hAnsi="Arial" w:cs="Arial"/>
          <w:sz w:val="24"/>
          <w:szCs w:val="24"/>
          <w:lang w:val="en-US"/>
        </w:rPr>
        <w:t xml:space="preserve"> Kamara) and Erica Fourie (</w:t>
      </w:r>
      <w:r w:rsidR="00AA39DF">
        <w:rPr>
          <w:rFonts w:ascii="Arial" w:eastAsia="Calibri" w:hAnsi="Arial" w:cs="Arial"/>
          <w:sz w:val="24"/>
          <w:szCs w:val="24"/>
          <w:lang w:val="en-US"/>
        </w:rPr>
        <w:t>Ms</w:t>
      </w:r>
      <w:r w:rsidR="004E421F">
        <w:rPr>
          <w:rFonts w:ascii="Arial" w:eastAsia="Calibri" w:hAnsi="Arial" w:cs="Arial"/>
          <w:sz w:val="24"/>
          <w:szCs w:val="24"/>
          <w:lang w:val="en-US"/>
        </w:rPr>
        <w:t xml:space="preserve"> Fourie</w:t>
      </w:r>
      <w:r w:rsidR="00AA39DF">
        <w:rPr>
          <w:rFonts w:ascii="Arial" w:eastAsia="Calibri" w:hAnsi="Arial" w:cs="Arial"/>
          <w:sz w:val="24"/>
          <w:szCs w:val="24"/>
          <w:lang w:val="en-US"/>
        </w:rPr>
        <w:t>).</w:t>
      </w:r>
    </w:p>
    <w:p w:rsidR="00AA39DF" w:rsidRDefault="00AA39DF" w:rsidP="00675940">
      <w:pPr>
        <w:spacing w:after="0" w:line="360" w:lineRule="auto"/>
        <w:jc w:val="both"/>
        <w:rPr>
          <w:rFonts w:ascii="Arial" w:eastAsia="Calibri" w:hAnsi="Arial" w:cs="Arial"/>
          <w:sz w:val="24"/>
          <w:szCs w:val="24"/>
          <w:lang w:val="en-US"/>
        </w:rPr>
      </w:pPr>
    </w:p>
    <w:p w:rsidR="00AA39DF" w:rsidRPr="00675940" w:rsidRDefault="00AA39DF"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gist of Mr Van </w:t>
      </w:r>
      <w:r w:rsidR="00655D70">
        <w:rPr>
          <w:rFonts w:ascii="Arial" w:eastAsia="Calibri" w:hAnsi="Arial" w:cs="Arial"/>
          <w:sz w:val="24"/>
          <w:szCs w:val="24"/>
          <w:lang w:val="en-US"/>
        </w:rPr>
        <w:t>Wyk’</w:t>
      </w:r>
      <w:r w:rsidR="00FF5472">
        <w:rPr>
          <w:rFonts w:ascii="Arial" w:eastAsia="Calibri" w:hAnsi="Arial" w:cs="Arial"/>
          <w:sz w:val="24"/>
          <w:szCs w:val="24"/>
          <w:lang w:val="en-US"/>
        </w:rPr>
        <w:t>s</w:t>
      </w:r>
      <w:r>
        <w:rPr>
          <w:rFonts w:ascii="Arial" w:eastAsia="Calibri" w:hAnsi="Arial" w:cs="Arial"/>
          <w:sz w:val="24"/>
          <w:szCs w:val="24"/>
          <w:lang w:val="en-US"/>
        </w:rPr>
        <w:t xml:space="preserve"> testimony is that on or about 26 March 2015 the defendant (represented by Mr</w:t>
      </w:r>
      <w:r w:rsidR="004E421F">
        <w:rPr>
          <w:rFonts w:ascii="Arial" w:eastAsia="Calibri" w:hAnsi="Arial" w:cs="Arial"/>
          <w:sz w:val="24"/>
          <w:szCs w:val="24"/>
          <w:lang w:val="en-US"/>
        </w:rPr>
        <w:t xml:space="preserve"> Lazarus Emvula (</w:t>
      </w:r>
      <w:r>
        <w:rPr>
          <w:rFonts w:ascii="Arial" w:eastAsia="Calibri" w:hAnsi="Arial" w:cs="Arial"/>
          <w:sz w:val="24"/>
          <w:szCs w:val="24"/>
          <w:lang w:val="en-US"/>
        </w:rPr>
        <w:t>Mr</w:t>
      </w:r>
      <w:r w:rsidR="004E421F">
        <w:rPr>
          <w:rFonts w:ascii="Arial" w:eastAsia="Calibri" w:hAnsi="Arial" w:cs="Arial"/>
          <w:sz w:val="24"/>
          <w:szCs w:val="24"/>
          <w:lang w:val="en-US"/>
        </w:rPr>
        <w:t xml:space="preserve"> Emvula</w:t>
      </w:r>
      <w:r>
        <w:rPr>
          <w:rFonts w:ascii="Arial" w:eastAsia="Calibri" w:hAnsi="Arial" w:cs="Arial"/>
          <w:sz w:val="24"/>
          <w:szCs w:val="24"/>
          <w:lang w:val="en-US"/>
        </w:rPr>
        <w:t>)) requested a quotation from the plaintiff (represented</w:t>
      </w:r>
      <w:r w:rsidR="00655D70">
        <w:rPr>
          <w:rFonts w:ascii="Arial" w:eastAsia="Calibri" w:hAnsi="Arial" w:cs="Arial"/>
          <w:sz w:val="24"/>
          <w:szCs w:val="24"/>
          <w:lang w:val="en-US"/>
        </w:rPr>
        <w:t xml:space="preserve"> by Mr Van Wyk) for certain machinery</w:t>
      </w:r>
      <w:r>
        <w:rPr>
          <w:rFonts w:ascii="Arial" w:eastAsia="Calibri" w:hAnsi="Arial" w:cs="Arial"/>
          <w:sz w:val="24"/>
          <w:szCs w:val="24"/>
          <w:lang w:val="en-US"/>
        </w:rPr>
        <w:t xml:space="preserve"> hire services in respec</w:t>
      </w:r>
      <w:r w:rsidR="00591C0E">
        <w:rPr>
          <w:rFonts w:ascii="Arial" w:eastAsia="Calibri" w:hAnsi="Arial" w:cs="Arial"/>
          <w:sz w:val="24"/>
          <w:szCs w:val="24"/>
          <w:lang w:val="en-US"/>
        </w:rPr>
        <w:t>t of a site situated at Karibib</w:t>
      </w:r>
      <w:r>
        <w:rPr>
          <w:rFonts w:ascii="Arial" w:eastAsia="Calibri" w:hAnsi="Arial" w:cs="Arial"/>
          <w:sz w:val="24"/>
          <w:szCs w:val="24"/>
          <w:lang w:val="en-US"/>
        </w:rPr>
        <w:t>.  Thereafter, the plaintiff leased the required machinery to the defendant during the period of August 2015 to June 2016.  The defendant has paid for some of the services rendered in respect of the leased machinery.  However, the defendant failed to pay some of the invoices in respect of the aforesaid services.  The amount still outstanding is N$ 1,504,576.75.</w:t>
      </w:r>
    </w:p>
    <w:p w:rsidR="00675940" w:rsidRDefault="00675940" w:rsidP="00675940">
      <w:pPr>
        <w:spacing w:after="0" w:line="360" w:lineRule="auto"/>
        <w:jc w:val="both"/>
        <w:rPr>
          <w:rFonts w:ascii="Arial" w:eastAsia="Calibri" w:hAnsi="Arial" w:cs="Arial"/>
          <w:sz w:val="24"/>
          <w:szCs w:val="24"/>
          <w:lang w:val="en-US"/>
        </w:rPr>
      </w:pPr>
    </w:p>
    <w:p w:rsidR="00330D89" w:rsidRDefault="00330D89"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Mr Kamara testified that he is employed by the plaintiff as a machinery operator.  He related that he operated the leased machinery hired by the defendant at the </w:t>
      </w:r>
      <w:r w:rsidR="00591C0E">
        <w:rPr>
          <w:rFonts w:ascii="Arial" w:eastAsia="Calibri" w:hAnsi="Arial" w:cs="Arial"/>
          <w:sz w:val="24"/>
          <w:szCs w:val="24"/>
          <w:lang w:val="en-US"/>
        </w:rPr>
        <w:t>Karibib</w:t>
      </w:r>
      <w:r>
        <w:rPr>
          <w:rFonts w:ascii="Arial" w:eastAsia="Calibri" w:hAnsi="Arial" w:cs="Arial"/>
          <w:sz w:val="24"/>
          <w:szCs w:val="24"/>
          <w:lang w:val="en-US"/>
        </w:rPr>
        <w:t xml:space="preserve"> site during the period in quest</w:t>
      </w:r>
      <w:r w:rsidR="00883994">
        <w:rPr>
          <w:rFonts w:ascii="Arial" w:eastAsia="Calibri" w:hAnsi="Arial" w:cs="Arial"/>
          <w:sz w:val="24"/>
          <w:szCs w:val="24"/>
          <w:lang w:val="en-US"/>
        </w:rPr>
        <w:t xml:space="preserve">ion.  At all relevant times, he, representing the plaintiff, </w:t>
      </w:r>
      <w:r>
        <w:rPr>
          <w:rFonts w:ascii="Arial" w:eastAsia="Calibri" w:hAnsi="Arial" w:cs="Arial"/>
          <w:sz w:val="24"/>
          <w:szCs w:val="24"/>
          <w:lang w:val="en-US"/>
        </w:rPr>
        <w:t>together with certain John Khoeseb (and sometimes Mr Kameeta)</w:t>
      </w:r>
      <w:r w:rsidR="00E77BA7">
        <w:rPr>
          <w:rFonts w:ascii="Arial" w:eastAsia="Calibri" w:hAnsi="Arial" w:cs="Arial"/>
          <w:sz w:val="24"/>
          <w:szCs w:val="24"/>
          <w:lang w:val="en-US"/>
        </w:rPr>
        <w:t>,</w:t>
      </w:r>
      <w:r>
        <w:rPr>
          <w:rFonts w:ascii="Arial" w:eastAsia="Calibri" w:hAnsi="Arial" w:cs="Arial"/>
          <w:sz w:val="24"/>
          <w:szCs w:val="24"/>
          <w:lang w:val="en-US"/>
        </w:rPr>
        <w:t xml:space="preserve"> representing the defendant, signed job-cards at the commencement and at the end of each work day evidencing the type of services rendered as well as hours worked.  Such job-cards were given in evidence as exhibits</w:t>
      </w:r>
      <w:r w:rsidR="00870FE2">
        <w:rPr>
          <w:rFonts w:ascii="Arial" w:eastAsia="Calibri" w:hAnsi="Arial" w:cs="Arial"/>
          <w:sz w:val="24"/>
          <w:szCs w:val="24"/>
          <w:lang w:val="en-US"/>
        </w:rPr>
        <w:t xml:space="preserve"> during the trial</w:t>
      </w:r>
      <w:r>
        <w:rPr>
          <w:rFonts w:ascii="Arial" w:eastAsia="Calibri" w:hAnsi="Arial" w:cs="Arial"/>
          <w:sz w:val="24"/>
          <w:szCs w:val="24"/>
          <w:lang w:val="en-US"/>
        </w:rPr>
        <w:t xml:space="preserve">.  </w:t>
      </w:r>
      <w:r w:rsidR="007D0CC0">
        <w:rPr>
          <w:rFonts w:ascii="Arial" w:eastAsia="Calibri" w:hAnsi="Arial" w:cs="Arial"/>
          <w:sz w:val="24"/>
          <w:szCs w:val="24"/>
          <w:lang w:val="en-US"/>
        </w:rPr>
        <w:t>Mr Kama</w:t>
      </w:r>
      <w:r w:rsidR="00E551E2">
        <w:rPr>
          <w:rFonts w:ascii="Arial" w:eastAsia="Calibri" w:hAnsi="Arial" w:cs="Arial"/>
          <w:sz w:val="24"/>
          <w:szCs w:val="24"/>
          <w:lang w:val="en-US"/>
        </w:rPr>
        <w:t xml:space="preserve">ra further testified that </w:t>
      </w:r>
      <w:r w:rsidR="00870FE2">
        <w:rPr>
          <w:rFonts w:ascii="Arial" w:eastAsia="Calibri" w:hAnsi="Arial" w:cs="Arial"/>
          <w:sz w:val="24"/>
          <w:szCs w:val="24"/>
          <w:lang w:val="en-US"/>
        </w:rPr>
        <w:t xml:space="preserve">a </w:t>
      </w:r>
      <w:r w:rsidR="00E551E2">
        <w:rPr>
          <w:rFonts w:ascii="Arial" w:eastAsia="Calibri" w:hAnsi="Arial" w:cs="Arial"/>
          <w:sz w:val="24"/>
          <w:szCs w:val="24"/>
          <w:lang w:val="en-US"/>
        </w:rPr>
        <w:t>Liebhe</w:t>
      </w:r>
      <w:r w:rsidR="007D0CC0">
        <w:rPr>
          <w:rFonts w:ascii="Arial" w:eastAsia="Calibri" w:hAnsi="Arial" w:cs="Arial"/>
          <w:sz w:val="24"/>
          <w:szCs w:val="24"/>
          <w:lang w:val="en-US"/>
        </w:rPr>
        <w:t>rr R944 machinery was one of the machinery he operated during 2016, for the benefit of the defendant as evidenced in the relevant job cards.</w:t>
      </w:r>
    </w:p>
    <w:p w:rsidR="007D0CC0" w:rsidRDefault="007D0CC0" w:rsidP="00675940">
      <w:pPr>
        <w:spacing w:after="0" w:line="360" w:lineRule="auto"/>
        <w:jc w:val="both"/>
        <w:rPr>
          <w:rFonts w:ascii="Arial" w:eastAsia="Calibri" w:hAnsi="Arial" w:cs="Arial"/>
          <w:sz w:val="24"/>
          <w:szCs w:val="24"/>
          <w:lang w:val="en-US"/>
        </w:rPr>
      </w:pPr>
    </w:p>
    <w:p w:rsidR="007D0CC0" w:rsidRDefault="007D0CC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Ms Fourie, to a large extent corroborated the version of Mr Van Wyk on the issues such as the correctness of the invoices and the amount outstanding which is due, owing and payable by the defendant.</w:t>
      </w:r>
    </w:p>
    <w:p w:rsidR="007D0CC0" w:rsidRDefault="007D0CC0" w:rsidP="00675940">
      <w:pPr>
        <w:spacing w:after="0" w:line="360" w:lineRule="auto"/>
        <w:jc w:val="both"/>
        <w:rPr>
          <w:rFonts w:ascii="Arial" w:eastAsia="Calibri" w:hAnsi="Arial" w:cs="Arial"/>
          <w:sz w:val="24"/>
          <w:szCs w:val="24"/>
          <w:lang w:val="en-US"/>
        </w:rPr>
      </w:pPr>
    </w:p>
    <w:p w:rsidR="007D0CC0" w:rsidRDefault="007D0CC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[7]</w:t>
      </w:r>
      <w:r>
        <w:rPr>
          <w:rFonts w:ascii="Arial" w:eastAsia="Calibri" w:hAnsi="Arial" w:cs="Arial"/>
          <w:sz w:val="24"/>
          <w:szCs w:val="24"/>
          <w:lang w:val="en-US"/>
        </w:rPr>
        <w:tab/>
        <w:t xml:space="preserve">At the conclusion of the plaintiff’s case, the defendant applied </w:t>
      </w:r>
      <w:r w:rsidR="003824F3">
        <w:rPr>
          <w:rFonts w:ascii="Arial" w:eastAsia="Calibri" w:hAnsi="Arial" w:cs="Arial"/>
          <w:sz w:val="24"/>
          <w:szCs w:val="24"/>
          <w:lang w:val="en-US"/>
        </w:rPr>
        <w:t>for absolution f</w:t>
      </w:r>
      <w:r>
        <w:rPr>
          <w:rFonts w:ascii="Arial" w:eastAsia="Calibri" w:hAnsi="Arial" w:cs="Arial"/>
          <w:sz w:val="24"/>
          <w:szCs w:val="24"/>
          <w:lang w:val="en-US"/>
        </w:rPr>
        <w:t>r</w:t>
      </w:r>
      <w:r w:rsidR="003824F3">
        <w:rPr>
          <w:rFonts w:ascii="Arial" w:eastAsia="Calibri" w:hAnsi="Arial" w:cs="Arial"/>
          <w:sz w:val="24"/>
          <w:szCs w:val="24"/>
          <w:lang w:val="en-US"/>
        </w:rPr>
        <w:t>o</w:t>
      </w:r>
      <w:r>
        <w:rPr>
          <w:rFonts w:ascii="Arial" w:eastAsia="Calibri" w:hAnsi="Arial" w:cs="Arial"/>
          <w:sz w:val="24"/>
          <w:szCs w:val="24"/>
          <w:lang w:val="en-US"/>
        </w:rPr>
        <w:t>m the instance.  The court, after hearing both parties, dismissed the application for absolution from the instance with costs.</w:t>
      </w:r>
    </w:p>
    <w:p w:rsidR="00877E74" w:rsidRDefault="00877E74" w:rsidP="00675940">
      <w:pPr>
        <w:spacing w:after="0" w:line="360" w:lineRule="auto"/>
        <w:jc w:val="both"/>
        <w:rPr>
          <w:rFonts w:ascii="Arial" w:eastAsia="Calibri" w:hAnsi="Arial" w:cs="Arial"/>
          <w:sz w:val="24"/>
          <w:szCs w:val="24"/>
          <w:lang w:val="en-US"/>
        </w:rPr>
      </w:pPr>
    </w:p>
    <w:p w:rsidR="00924456" w:rsidRPr="00E551E2" w:rsidRDefault="00924456" w:rsidP="00675940">
      <w:pPr>
        <w:spacing w:after="0" w:line="360" w:lineRule="auto"/>
        <w:jc w:val="both"/>
        <w:rPr>
          <w:rFonts w:ascii="Arial" w:eastAsia="Calibri" w:hAnsi="Arial" w:cs="Arial"/>
          <w:sz w:val="24"/>
          <w:szCs w:val="24"/>
          <w:u w:val="single"/>
          <w:lang w:val="en-US"/>
        </w:rPr>
      </w:pPr>
      <w:r w:rsidRPr="00E551E2">
        <w:rPr>
          <w:rFonts w:ascii="Arial" w:eastAsia="Calibri" w:hAnsi="Arial" w:cs="Arial"/>
          <w:sz w:val="24"/>
          <w:szCs w:val="24"/>
          <w:u w:val="single"/>
          <w:lang w:val="en-US"/>
        </w:rPr>
        <w:t xml:space="preserve">The defendant’s version </w:t>
      </w:r>
    </w:p>
    <w:p w:rsidR="00E551E2" w:rsidRDefault="00E551E2" w:rsidP="00675940">
      <w:pPr>
        <w:spacing w:after="0" w:line="360" w:lineRule="auto"/>
        <w:jc w:val="both"/>
        <w:rPr>
          <w:rFonts w:ascii="Arial" w:eastAsia="Calibri" w:hAnsi="Arial" w:cs="Arial"/>
          <w:sz w:val="24"/>
          <w:szCs w:val="24"/>
          <w:lang w:val="en-US"/>
        </w:rPr>
      </w:pPr>
    </w:p>
    <w:p w:rsidR="00E551E2" w:rsidRDefault="00E551E2"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defendant calle</w:t>
      </w:r>
      <w:r w:rsidR="004E421F">
        <w:rPr>
          <w:rFonts w:ascii="Arial" w:eastAsia="Calibri" w:hAnsi="Arial" w:cs="Arial"/>
          <w:sz w:val="24"/>
          <w:szCs w:val="24"/>
          <w:lang w:val="en-US"/>
        </w:rPr>
        <w:t>d one witness, Lazarus Emvula (</w:t>
      </w:r>
      <w:r>
        <w:rPr>
          <w:rFonts w:ascii="Arial" w:eastAsia="Calibri" w:hAnsi="Arial" w:cs="Arial"/>
          <w:sz w:val="24"/>
          <w:szCs w:val="24"/>
          <w:lang w:val="en-US"/>
        </w:rPr>
        <w:t>Mr</w:t>
      </w:r>
      <w:r w:rsidR="004E421F">
        <w:rPr>
          <w:rFonts w:ascii="Arial" w:eastAsia="Calibri" w:hAnsi="Arial" w:cs="Arial"/>
          <w:sz w:val="24"/>
          <w:szCs w:val="24"/>
          <w:lang w:val="en-US"/>
        </w:rPr>
        <w:t xml:space="preserve"> Emvula</w:t>
      </w:r>
      <w:r>
        <w:rPr>
          <w:rFonts w:ascii="Arial" w:eastAsia="Calibri" w:hAnsi="Arial" w:cs="Arial"/>
          <w:sz w:val="24"/>
          <w:szCs w:val="24"/>
          <w:lang w:val="en-US"/>
        </w:rPr>
        <w:t>).  In his evidence Mr Emvula testified that the defendant did not order for and d</w:t>
      </w:r>
      <w:r w:rsidR="003824F3">
        <w:rPr>
          <w:rFonts w:ascii="Arial" w:eastAsia="Calibri" w:hAnsi="Arial" w:cs="Arial"/>
          <w:sz w:val="24"/>
          <w:szCs w:val="24"/>
          <w:lang w:val="en-US"/>
        </w:rPr>
        <w:t xml:space="preserve">id not receive the services of </w:t>
      </w:r>
      <w:r>
        <w:rPr>
          <w:rFonts w:ascii="Arial" w:eastAsia="Calibri" w:hAnsi="Arial" w:cs="Arial"/>
          <w:sz w:val="24"/>
          <w:szCs w:val="24"/>
          <w:lang w:val="en-US"/>
        </w:rPr>
        <w:t xml:space="preserve">the rental of machinery named Liebherr R944 during 2016.  He related that the defendant has settled in full the relevant invoices in respect of the machinery it hired.  Mr Emvula further deposed that it was standard practice and agreement between the plaintiff and the defendant that the defendant would not lease or hire any machinery without a written order.  In 2016 the defendant did not request for the hiring of a Liebherr </w:t>
      </w:r>
      <w:r w:rsidR="002730E0">
        <w:rPr>
          <w:rFonts w:ascii="Arial" w:eastAsia="Calibri" w:hAnsi="Arial" w:cs="Arial"/>
          <w:sz w:val="24"/>
          <w:szCs w:val="24"/>
          <w:lang w:val="en-US"/>
        </w:rPr>
        <w:t>R</w:t>
      </w:r>
      <w:r>
        <w:rPr>
          <w:rFonts w:ascii="Arial" w:eastAsia="Calibri" w:hAnsi="Arial" w:cs="Arial"/>
          <w:sz w:val="24"/>
          <w:szCs w:val="24"/>
          <w:lang w:val="en-US"/>
        </w:rPr>
        <w:t>944 nor did it receive such services.</w:t>
      </w:r>
    </w:p>
    <w:p w:rsidR="002C4A4E" w:rsidRDefault="002C4A4E" w:rsidP="00675940">
      <w:pPr>
        <w:spacing w:after="0" w:line="360" w:lineRule="auto"/>
        <w:jc w:val="both"/>
        <w:rPr>
          <w:rFonts w:ascii="Arial" w:eastAsia="Calibri" w:hAnsi="Arial" w:cs="Arial"/>
          <w:sz w:val="24"/>
          <w:szCs w:val="24"/>
          <w:lang w:val="en-US"/>
        </w:rPr>
      </w:pPr>
    </w:p>
    <w:p w:rsidR="002C4A4E" w:rsidRDefault="002C4A4E" w:rsidP="00675940">
      <w:pPr>
        <w:spacing w:after="0" w:line="360" w:lineRule="auto"/>
        <w:jc w:val="both"/>
        <w:rPr>
          <w:rFonts w:ascii="Arial" w:eastAsia="Calibri" w:hAnsi="Arial" w:cs="Arial"/>
          <w:sz w:val="24"/>
          <w:szCs w:val="24"/>
          <w:u w:val="single"/>
          <w:lang w:val="en-US"/>
        </w:rPr>
      </w:pPr>
      <w:r w:rsidRPr="002C4A4E">
        <w:rPr>
          <w:rFonts w:ascii="Arial" w:eastAsia="Calibri" w:hAnsi="Arial" w:cs="Arial"/>
          <w:sz w:val="24"/>
          <w:szCs w:val="24"/>
          <w:u w:val="single"/>
          <w:lang w:val="en-US"/>
        </w:rPr>
        <w:t>Analysis</w:t>
      </w:r>
    </w:p>
    <w:p w:rsidR="002C4A4E" w:rsidRDefault="002C4A4E" w:rsidP="00675940">
      <w:pPr>
        <w:spacing w:after="0" w:line="360" w:lineRule="auto"/>
        <w:jc w:val="both"/>
        <w:rPr>
          <w:rFonts w:ascii="Arial" w:eastAsia="Calibri" w:hAnsi="Arial" w:cs="Arial"/>
          <w:sz w:val="24"/>
          <w:szCs w:val="24"/>
          <w:u w:val="single"/>
          <w:lang w:val="en-US"/>
        </w:rPr>
      </w:pPr>
    </w:p>
    <w:p w:rsidR="002C4A4E" w:rsidRDefault="002C4A4E" w:rsidP="00675940">
      <w:pPr>
        <w:spacing w:after="0" w:line="360" w:lineRule="auto"/>
        <w:jc w:val="both"/>
        <w:rPr>
          <w:rFonts w:ascii="Arial" w:eastAsia="Calibri" w:hAnsi="Arial" w:cs="Arial"/>
          <w:sz w:val="24"/>
          <w:szCs w:val="24"/>
          <w:lang w:val="en-US"/>
        </w:rPr>
      </w:pPr>
      <w:r w:rsidRPr="002C4A4E">
        <w:rPr>
          <w:rFonts w:ascii="Arial" w:eastAsia="Calibri" w:hAnsi="Arial" w:cs="Arial"/>
          <w:sz w:val="24"/>
          <w:szCs w:val="24"/>
          <w:lang w:val="en-US"/>
        </w:rPr>
        <w:t>[9]</w:t>
      </w:r>
      <w:r w:rsidRPr="002C4A4E">
        <w:rPr>
          <w:rFonts w:ascii="Arial" w:eastAsia="Calibri" w:hAnsi="Arial" w:cs="Arial"/>
          <w:sz w:val="24"/>
          <w:szCs w:val="24"/>
          <w:lang w:val="en-US"/>
        </w:rPr>
        <w:tab/>
      </w:r>
      <w:r>
        <w:rPr>
          <w:rFonts w:ascii="Arial" w:eastAsia="Calibri" w:hAnsi="Arial" w:cs="Arial"/>
          <w:sz w:val="24"/>
          <w:szCs w:val="24"/>
          <w:lang w:val="en-US"/>
        </w:rPr>
        <w:t>In this matter</w:t>
      </w:r>
      <w:r w:rsidR="002730E0">
        <w:rPr>
          <w:rFonts w:ascii="Arial" w:eastAsia="Calibri" w:hAnsi="Arial" w:cs="Arial"/>
          <w:sz w:val="24"/>
          <w:szCs w:val="24"/>
          <w:lang w:val="en-US"/>
        </w:rPr>
        <w:t>,</w:t>
      </w:r>
      <w:r>
        <w:rPr>
          <w:rFonts w:ascii="Arial" w:eastAsia="Calibri" w:hAnsi="Arial" w:cs="Arial"/>
          <w:sz w:val="24"/>
          <w:szCs w:val="24"/>
          <w:lang w:val="en-US"/>
        </w:rPr>
        <w:t xml:space="preserve"> the plaintiff </w:t>
      </w:r>
      <w:r w:rsidR="00A4255B">
        <w:rPr>
          <w:rFonts w:ascii="Arial" w:eastAsia="Calibri" w:hAnsi="Arial" w:cs="Arial"/>
          <w:sz w:val="24"/>
          <w:szCs w:val="24"/>
          <w:lang w:val="en-US"/>
        </w:rPr>
        <w:t xml:space="preserve">relies for its claim on a partly </w:t>
      </w:r>
      <w:r w:rsidR="003824F3">
        <w:rPr>
          <w:rFonts w:ascii="Arial" w:eastAsia="Calibri" w:hAnsi="Arial" w:cs="Arial"/>
          <w:sz w:val="24"/>
          <w:szCs w:val="24"/>
          <w:lang w:val="en-US"/>
        </w:rPr>
        <w:t xml:space="preserve">written and partly </w:t>
      </w:r>
      <w:r w:rsidR="00A4255B">
        <w:rPr>
          <w:rFonts w:ascii="Arial" w:eastAsia="Calibri" w:hAnsi="Arial" w:cs="Arial"/>
          <w:sz w:val="24"/>
          <w:szCs w:val="24"/>
          <w:lang w:val="en-US"/>
        </w:rPr>
        <w:t>oral agreement entered into between the plaintiff (represented by Mr Van Wyk) and the defendant (represented by Mr Emvula).  According to the plaintiff, the written parts of the agreement comprises of</w:t>
      </w:r>
      <w:r w:rsidR="002730E0">
        <w:rPr>
          <w:rFonts w:ascii="Arial" w:eastAsia="Calibri" w:hAnsi="Arial" w:cs="Arial"/>
          <w:sz w:val="24"/>
          <w:szCs w:val="24"/>
          <w:lang w:val="en-US"/>
        </w:rPr>
        <w:t>;</w:t>
      </w:r>
      <w:r w:rsidR="00A4255B">
        <w:rPr>
          <w:rFonts w:ascii="Arial" w:eastAsia="Calibri" w:hAnsi="Arial" w:cs="Arial"/>
          <w:sz w:val="24"/>
          <w:szCs w:val="24"/>
          <w:lang w:val="en-US"/>
        </w:rPr>
        <w:t xml:space="preserve"> a letter from defendant requesting hire of certain</w:t>
      </w:r>
      <w:r w:rsidR="00562213">
        <w:rPr>
          <w:rFonts w:ascii="Arial" w:eastAsia="Calibri" w:hAnsi="Arial" w:cs="Arial"/>
          <w:sz w:val="24"/>
          <w:szCs w:val="24"/>
          <w:lang w:val="en-US"/>
        </w:rPr>
        <w:t xml:space="preserve"> equipment for hire (“Annexure </w:t>
      </w:r>
      <w:r w:rsidR="00A4255B">
        <w:rPr>
          <w:rFonts w:ascii="Arial" w:eastAsia="Calibri" w:hAnsi="Arial" w:cs="Arial"/>
          <w:sz w:val="24"/>
          <w:szCs w:val="24"/>
          <w:lang w:val="en-US"/>
        </w:rPr>
        <w:t>A”</w:t>
      </w:r>
      <w:r w:rsidR="003824F3">
        <w:rPr>
          <w:rFonts w:ascii="Arial" w:eastAsia="Calibri" w:hAnsi="Arial" w:cs="Arial"/>
          <w:sz w:val="24"/>
          <w:szCs w:val="24"/>
          <w:lang w:val="en-US"/>
        </w:rPr>
        <w:t>),</w:t>
      </w:r>
      <w:r w:rsidR="00A4255B">
        <w:rPr>
          <w:rFonts w:ascii="Arial" w:eastAsia="Calibri" w:hAnsi="Arial" w:cs="Arial"/>
          <w:sz w:val="24"/>
          <w:szCs w:val="24"/>
          <w:lang w:val="en-US"/>
        </w:rPr>
        <w:t xml:space="preserve"> certain quotations, invoices representing the amount outstanding </w:t>
      </w:r>
      <w:r w:rsidR="003824F3">
        <w:rPr>
          <w:rFonts w:ascii="Arial" w:eastAsia="Calibri" w:hAnsi="Arial" w:cs="Arial"/>
          <w:sz w:val="24"/>
          <w:szCs w:val="24"/>
          <w:lang w:val="en-US"/>
        </w:rPr>
        <w:t>(“</w:t>
      </w:r>
      <w:r w:rsidR="00562213">
        <w:rPr>
          <w:rFonts w:ascii="Arial" w:eastAsia="Calibri" w:hAnsi="Arial" w:cs="Arial"/>
          <w:sz w:val="24"/>
          <w:szCs w:val="24"/>
          <w:lang w:val="en-US"/>
        </w:rPr>
        <w:t xml:space="preserve">Annexure </w:t>
      </w:r>
      <w:r w:rsidR="00A4255B">
        <w:rPr>
          <w:rFonts w:ascii="Arial" w:eastAsia="Calibri" w:hAnsi="Arial" w:cs="Arial"/>
          <w:sz w:val="24"/>
          <w:szCs w:val="24"/>
          <w:lang w:val="en-US"/>
        </w:rPr>
        <w:t>B”</w:t>
      </w:r>
      <w:r w:rsidR="003824F3">
        <w:rPr>
          <w:rFonts w:ascii="Arial" w:eastAsia="Calibri" w:hAnsi="Arial" w:cs="Arial"/>
          <w:sz w:val="24"/>
          <w:szCs w:val="24"/>
          <w:lang w:val="en-US"/>
        </w:rPr>
        <w:t>)</w:t>
      </w:r>
      <w:r w:rsidR="00A4255B">
        <w:rPr>
          <w:rFonts w:ascii="Arial" w:eastAsia="Calibri" w:hAnsi="Arial" w:cs="Arial"/>
          <w:sz w:val="24"/>
          <w:szCs w:val="24"/>
          <w:lang w:val="en-US"/>
        </w:rPr>
        <w:t xml:space="preserve">, certain job cards (“Annexures C and D”).  These annexures are attached to the plaintiff’s particulars of claim.  The oral part of the agreement comprises the hiring of machinery by the plaintiff to the defendant by way of oral orders as well as some payment arrangements allegedly agreed </w:t>
      </w:r>
      <w:r w:rsidR="004B7637">
        <w:rPr>
          <w:rFonts w:ascii="Arial" w:eastAsia="Calibri" w:hAnsi="Arial" w:cs="Arial"/>
          <w:sz w:val="24"/>
          <w:szCs w:val="24"/>
          <w:lang w:val="en-US"/>
        </w:rPr>
        <w:t xml:space="preserve">to </w:t>
      </w:r>
      <w:r w:rsidR="00A4255B">
        <w:rPr>
          <w:rFonts w:ascii="Arial" w:eastAsia="Calibri" w:hAnsi="Arial" w:cs="Arial"/>
          <w:sz w:val="24"/>
          <w:szCs w:val="24"/>
          <w:lang w:val="en-US"/>
        </w:rPr>
        <w:t>between the pa</w:t>
      </w:r>
      <w:r w:rsidR="004B7637">
        <w:rPr>
          <w:rFonts w:ascii="Arial" w:eastAsia="Calibri" w:hAnsi="Arial" w:cs="Arial"/>
          <w:sz w:val="24"/>
          <w:szCs w:val="24"/>
          <w:lang w:val="en-US"/>
        </w:rPr>
        <w:t>rties</w:t>
      </w:r>
      <w:r w:rsidR="00A4255B">
        <w:rPr>
          <w:rFonts w:ascii="Arial" w:eastAsia="Calibri" w:hAnsi="Arial" w:cs="Arial"/>
          <w:sz w:val="24"/>
          <w:szCs w:val="24"/>
          <w:lang w:val="en-US"/>
        </w:rPr>
        <w:t>.</w:t>
      </w:r>
    </w:p>
    <w:p w:rsidR="00950A90" w:rsidRDefault="00950A90" w:rsidP="00675940">
      <w:pPr>
        <w:spacing w:after="0" w:line="360" w:lineRule="auto"/>
        <w:jc w:val="both"/>
        <w:rPr>
          <w:rFonts w:ascii="Arial" w:eastAsia="Calibri" w:hAnsi="Arial" w:cs="Arial"/>
          <w:sz w:val="24"/>
          <w:szCs w:val="24"/>
          <w:lang w:val="en-US"/>
        </w:rPr>
      </w:pPr>
    </w:p>
    <w:p w:rsidR="00950A90" w:rsidRDefault="00950A9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The defendant admits the written part of the agreement</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However the defendant claims that the parties also agreed that orders for machinery hire shall be in writing.</w:t>
      </w:r>
    </w:p>
    <w:p w:rsidR="00950A90" w:rsidRDefault="00950A90" w:rsidP="00675940">
      <w:pPr>
        <w:spacing w:after="0" w:line="360" w:lineRule="auto"/>
        <w:jc w:val="both"/>
        <w:rPr>
          <w:rFonts w:ascii="Arial" w:eastAsia="Calibri" w:hAnsi="Arial" w:cs="Arial"/>
          <w:sz w:val="24"/>
          <w:szCs w:val="24"/>
          <w:lang w:val="en-US"/>
        </w:rPr>
      </w:pPr>
    </w:p>
    <w:p w:rsidR="00950A90" w:rsidRDefault="00C3133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[11]</w:t>
      </w:r>
      <w:r>
        <w:rPr>
          <w:rFonts w:ascii="Arial" w:eastAsia="Calibri" w:hAnsi="Arial" w:cs="Arial"/>
          <w:sz w:val="24"/>
          <w:szCs w:val="24"/>
          <w:lang w:val="en-US"/>
        </w:rPr>
        <w:tab/>
        <w:t>The onus is on the plaintiff to prove on the balance of probabilities that it hired machinery to the defendant in terms of their agreement and that the defendant failed or refused to pay for such service.</w:t>
      </w:r>
    </w:p>
    <w:p w:rsidR="00C3133B" w:rsidRDefault="00C3133B" w:rsidP="00675940">
      <w:pPr>
        <w:spacing w:after="0" w:line="360" w:lineRule="auto"/>
        <w:jc w:val="both"/>
        <w:rPr>
          <w:rFonts w:ascii="Arial" w:eastAsia="Calibri" w:hAnsi="Arial" w:cs="Arial"/>
          <w:sz w:val="24"/>
          <w:szCs w:val="24"/>
          <w:lang w:val="en-US"/>
        </w:rPr>
      </w:pPr>
    </w:p>
    <w:p w:rsidR="00C3133B" w:rsidRDefault="00C3133B"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In this matter, the court is faced with two different version</w:t>
      </w:r>
      <w:r w:rsidR="00BE0558">
        <w:rPr>
          <w:rFonts w:ascii="Arial" w:eastAsia="Calibri" w:hAnsi="Arial" w:cs="Arial"/>
          <w:sz w:val="24"/>
          <w:szCs w:val="24"/>
          <w:lang w:val="en-US"/>
        </w:rPr>
        <w:t>s</w:t>
      </w:r>
      <w:r>
        <w:rPr>
          <w:rFonts w:ascii="Arial" w:eastAsia="Calibri" w:hAnsi="Arial" w:cs="Arial"/>
          <w:sz w:val="24"/>
          <w:szCs w:val="24"/>
          <w:lang w:val="en-US"/>
        </w:rPr>
        <w:t xml:space="preserve">, namely the version of the plaintiff and the version of the defendant.  This court has to deal with the two mutually destructive versions.  Both counsel for the plaintiff and for the defendant cited </w:t>
      </w:r>
      <w:r w:rsidR="00FD2AAD">
        <w:rPr>
          <w:rFonts w:ascii="Arial" w:eastAsia="Calibri" w:hAnsi="Arial" w:cs="Arial"/>
          <w:sz w:val="24"/>
          <w:szCs w:val="24"/>
          <w:lang w:val="en-US"/>
        </w:rPr>
        <w:t>authorities</w:t>
      </w:r>
      <w:r>
        <w:rPr>
          <w:rFonts w:ascii="Arial" w:eastAsia="Calibri" w:hAnsi="Arial" w:cs="Arial"/>
          <w:sz w:val="24"/>
          <w:szCs w:val="24"/>
          <w:lang w:val="en-US"/>
        </w:rPr>
        <w:t xml:space="preserve"> on the approach that the court has to follow in a situation as this.  Counsel for </w:t>
      </w:r>
      <w:r w:rsidR="004E421F">
        <w:rPr>
          <w:rFonts w:ascii="Arial" w:eastAsia="Calibri" w:hAnsi="Arial" w:cs="Arial"/>
          <w:sz w:val="24"/>
          <w:szCs w:val="24"/>
          <w:lang w:val="en-US"/>
        </w:rPr>
        <w:t xml:space="preserve">the plaintiff cited </w:t>
      </w:r>
      <w:r w:rsidRPr="00C3133B">
        <w:rPr>
          <w:rFonts w:ascii="Arial" w:eastAsia="Calibri" w:hAnsi="Arial" w:cs="Arial"/>
          <w:i/>
          <w:sz w:val="24"/>
          <w:szCs w:val="24"/>
          <w:lang w:val="en-US"/>
        </w:rPr>
        <w:t>Sakusheka and Another v Minister of Home Affairs 2009 (2) NR 524 (</w:t>
      </w:r>
      <w:r w:rsidR="00FD2AAD">
        <w:rPr>
          <w:rFonts w:ascii="Arial" w:eastAsia="Calibri" w:hAnsi="Arial" w:cs="Arial"/>
          <w:i/>
          <w:sz w:val="24"/>
          <w:szCs w:val="24"/>
          <w:lang w:val="en-US"/>
        </w:rPr>
        <w:t xml:space="preserve">HC).  </w:t>
      </w:r>
      <w:r w:rsidR="00FD2AAD">
        <w:rPr>
          <w:rFonts w:ascii="Arial" w:eastAsia="Calibri" w:hAnsi="Arial" w:cs="Arial"/>
          <w:sz w:val="24"/>
          <w:szCs w:val="24"/>
          <w:lang w:val="en-US"/>
        </w:rPr>
        <w:t xml:space="preserve">Counsel for </w:t>
      </w:r>
      <w:r w:rsidR="004E421F">
        <w:rPr>
          <w:rFonts w:ascii="Arial" w:eastAsia="Calibri" w:hAnsi="Arial" w:cs="Arial"/>
          <w:sz w:val="24"/>
          <w:szCs w:val="24"/>
          <w:lang w:val="en-US"/>
        </w:rPr>
        <w:t xml:space="preserve">the defendant cited </w:t>
      </w:r>
      <w:r w:rsidR="00FD2AAD" w:rsidRPr="00FD2AAD">
        <w:rPr>
          <w:rFonts w:ascii="Arial" w:eastAsia="Calibri" w:hAnsi="Arial" w:cs="Arial"/>
          <w:i/>
          <w:sz w:val="24"/>
          <w:szCs w:val="24"/>
          <w:lang w:val="en-US"/>
        </w:rPr>
        <w:t>National Employers Mutual General Insurance Association v Gany 1931 AD 187 at 199</w:t>
      </w:r>
      <w:r w:rsidR="00FD2AAD">
        <w:rPr>
          <w:rFonts w:ascii="Arial" w:eastAsia="Calibri" w:hAnsi="Arial" w:cs="Arial"/>
          <w:i/>
          <w:sz w:val="24"/>
          <w:szCs w:val="24"/>
          <w:lang w:val="en-US"/>
        </w:rPr>
        <w:t xml:space="preserve">.  </w:t>
      </w:r>
      <w:r w:rsidR="004E421F">
        <w:rPr>
          <w:rFonts w:ascii="Arial" w:eastAsia="Calibri" w:hAnsi="Arial" w:cs="Arial"/>
          <w:sz w:val="24"/>
          <w:szCs w:val="24"/>
          <w:lang w:val="en-US"/>
        </w:rPr>
        <w:t xml:space="preserve">In </w:t>
      </w:r>
      <w:r w:rsidR="00FD2AAD" w:rsidRPr="00BE0558">
        <w:rPr>
          <w:rFonts w:ascii="Arial" w:eastAsia="Calibri" w:hAnsi="Arial" w:cs="Arial"/>
          <w:i/>
          <w:sz w:val="24"/>
          <w:szCs w:val="24"/>
          <w:lang w:val="en-US"/>
        </w:rPr>
        <w:t>National Employers v Jager 1984(4) SA 437 at 440-G</w:t>
      </w:r>
      <w:r w:rsidR="00471E4A">
        <w:rPr>
          <w:rFonts w:ascii="Arial" w:eastAsia="Calibri" w:hAnsi="Arial" w:cs="Arial"/>
          <w:i/>
          <w:sz w:val="24"/>
          <w:szCs w:val="24"/>
          <w:lang w:val="en-US"/>
        </w:rPr>
        <w:t>,</w:t>
      </w:r>
      <w:r w:rsidR="00FD2AAD">
        <w:rPr>
          <w:rFonts w:ascii="Arial" w:eastAsia="Calibri" w:hAnsi="Arial" w:cs="Arial"/>
          <w:sz w:val="24"/>
          <w:szCs w:val="24"/>
          <w:lang w:val="en-US"/>
        </w:rPr>
        <w:t xml:space="preserve"> the </w:t>
      </w:r>
      <w:r w:rsidR="00BE0558">
        <w:rPr>
          <w:rFonts w:ascii="Arial" w:eastAsia="Calibri" w:hAnsi="Arial" w:cs="Arial"/>
          <w:sz w:val="24"/>
          <w:szCs w:val="24"/>
          <w:lang w:val="en-US"/>
        </w:rPr>
        <w:t>court concisely formulated the approach to be taken</w:t>
      </w:r>
      <w:r w:rsidR="00FD2AAD">
        <w:rPr>
          <w:rFonts w:ascii="Arial" w:eastAsia="Calibri" w:hAnsi="Arial" w:cs="Arial"/>
          <w:sz w:val="24"/>
          <w:szCs w:val="24"/>
          <w:lang w:val="en-US"/>
        </w:rPr>
        <w:t xml:space="preserve"> when a court is faced with two mutually destructive versions, as follows:</w:t>
      </w:r>
    </w:p>
    <w:p w:rsidR="003761CB" w:rsidRDefault="003761CB" w:rsidP="00675940">
      <w:pPr>
        <w:spacing w:after="0" w:line="360" w:lineRule="auto"/>
        <w:jc w:val="both"/>
        <w:rPr>
          <w:rFonts w:ascii="Arial" w:eastAsia="Calibri" w:hAnsi="Arial" w:cs="Arial"/>
          <w:sz w:val="24"/>
          <w:szCs w:val="24"/>
          <w:lang w:val="en-US"/>
        </w:rPr>
      </w:pPr>
    </w:p>
    <w:p w:rsidR="00950A90" w:rsidRDefault="004E421F" w:rsidP="004E421F">
      <w:pPr>
        <w:spacing w:after="0" w:line="360" w:lineRule="auto"/>
        <w:ind w:firstLine="720"/>
        <w:jc w:val="both"/>
        <w:rPr>
          <w:rFonts w:ascii="Arial" w:eastAsia="Calibri" w:hAnsi="Arial" w:cs="Arial"/>
          <w:lang w:val="en-US"/>
        </w:rPr>
      </w:pPr>
      <w:r>
        <w:rPr>
          <w:rFonts w:ascii="Arial" w:eastAsia="Calibri" w:hAnsi="Arial" w:cs="Arial"/>
          <w:lang w:val="en-US"/>
        </w:rPr>
        <w:t>‘I</w:t>
      </w:r>
      <w:r w:rsidR="00F37FDD" w:rsidRPr="00F37FDD">
        <w:rPr>
          <w:rFonts w:ascii="Arial" w:eastAsia="Calibri" w:hAnsi="Arial" w:cs="Arial"/>
          <w:lang w:val="en-US"/>
        </w:rPr>
        <w:t xml:space="preserve">t seems </w:t>
      </w:r>
      <w:r w:rsidR="00F37FDD">
        <w:rPr>
          <w:rFonts w:ascii="Arial" w:eastAsia="Calibri" w:hAnsi="Arial" w:cs="Arial"/>
          <w:lang w:val="en-US"/>
        </w:rPr>
        <w:t xml:space="preserve">to me, with respect, that in any civil case, as in any criminal case, the onus can ordinarily only be </w:t>
      </w:r>
      <w:r w:rsidR="00591C0E">
        <w:rPr>
          <w:rFonts w:ascii="Arial" w:eastAsia="Calibri" w:hAnsi="Arial" w:cs="Arial"/>
          <w:lang w:val="en-US"/>
        </w:rPr>
        <w:t>discharged</w:t>
      </w:r>
      <w:r w:rsidR="00F37FDD">
        <w:rPr>
          <w:rFonts w:ascii="Arial" w:eastAsia="Calibri" w:hAnsi="Arial" w:cs="Arial"/>
          <w:lang w:val="en-US"/>
        </w:rPr>
        <w:t xml:space="preserve">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the satisfies the court on a preponderance of probabilities</w:t>
      </w:r>
      <w:r w:rsidR="00FF5472">
        <w:rPr>
          <w:rFonts w:ascii="Arial" w:eastAsia="Calibri" w:hAnsi="Arial" w:cs="Arial"/>
          <w:lang w:val="en-US"/>
        </w:rPr>
        <w:t xml:space="preserve"> </w:t>
      </w:r>
      <w:r w:rsidR="00F37FDD">
        <w:rPr>
          <w:rFonts w:ascii="Arial" w:eastAsia="Calibri" w:hAnsi="Arial" w:cs="Arial"/>
          <w:lang w:val="en-US"/>
        </w:rPr>
        <w:t>that his version is true and accurate and therefore acceptable, and that the other version advanced by the defendant is therefore false or mistaken and falls to be rejected.  In deciding whether that evidence is t</w:t>
      </w:r>
      <w:r w:rsidR="00BE0558">
        <w:rPr>
          <w:rFonts w:ascii="Arial" w:eastAsia="Calibri" w:hAnsi="Arial" w:cs="Arial"/>
          <w:lang w:val="en-US"/>
        </w:rPr>
        <w:t>rue or not the court will weigh</w:t>
      </w:r>
      <w:r w:rsidR="00F37FDD">
        <w:rPr>
          <w:rFonts w:ascii="Arial" w:eastAsia="Calibri" w:hAnsi="Arial" w:cs="Arial"/>
          <w:lang w:val="en-US"/>
        </w:rPr>
        <w:t xml:space="preserve"> up and test the plaintiff’s allegation</w:t>
      </w:r>
      <w:r w:rsidR="00BE0558">
        <w:rPr>
          <w:rFonts w:ascii="Arial" w:eastAsia="Calibri" w:hAnsi="Arial" w:cs="Arial"/>
          <w:lang w:val="en-US"/>
        </w:rPr>
        <w:t>s</w:t>
      </w:r>
      <w:r w:rsidR="00F37FDD">
        <w:rPr>
          <w:rFonts w:ascii="Arial" w:eastAsia="Calibri" w:hAnsi="Arial" w:cs="Arial"/>
          <w:lang w:val="en-US"/>
        </w:rPr>
        <w:t xml:space="preserve"> against the general probabilities</w:t>
      </w:r>
      <w:r w:rsidR="00F5288F">
        <w:rPr>
          <w:rFonts w:ascii="Arial" w:eastAsia="Calibri" w:hAnsi="Arial" w:cs="Arial"/>
          <w:lang w:val="en-US"/>
        </w:rPr>
        <w:t>.  The estimate of the credibility of a witness will therefore be inextricably bound up with a consideration of the probabilities</w:t>
      </w:r>
      <w:r w:rsidR="00F37FDD">
        <w:rPr>
          <w:rFonts w:ascii="Arial" w:eastAsia="Calibri" w:hAnsi="Arial" w:cs="Arial"/>
          <w:lang w:val="en-US"/>
        </w:rPr>
        <w:t xml:space="preserve"> of the case and, if the balance of probabilities favours the plaintiff, then the court </w:t>
      </w:r>
      <w:r w:rsidR="00FA56FD">
        <w:rPr>
          <w:rFonts w:ascii="Arial" w:eastAsia="Calibri" w:hAnsi="Arial" w:cs="Arial"/>
          <w:lang w:val="en-US"/>
        </w:rPr>
        <w:t>will accept his version as being probably true.  If however the probabilities are evenly balanced in the sense that they do not favour the plaintiff’s case any more than they do the defendant’s, the plaintiff can only succeed if the court nevertheless believe him and is satisfied that his evidence is true and the defendant’s version is false.’</w:t>
      </w:r>
    </w:p>
    <w:p w:rsidR="00F37FDD" w:rsidRPr="00F37FDD" w:rsidRDefault="00F37FDD" w:rsidP="00F37FDD">
      <w:pPr>
        <w:spacing w:after="0" w:line="360" w:lineRule="auto"/>
        <w:ind w:firstLine="720"/>
        <w:jc w:val="both"/>
        <w:rPr>
          <w:rFonts w:ascii="Arial" w:eastAsia="Calibri" w:hAnsi="Arial" w:cs="Arial"/>
          <w:lang w:val="en-US"/>
        </w:rPr>
      </w:pPr>
    </w:p>
    <w:p w:rsidR="00950A90" w:rsidRDefault="00CE4470"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546AB2">
        <w:rPr>
          <w:rFonts w:ascii="Arial" w:eastAsia="Calibri" w:hAnsi="Arial" w:cs="Arial"/>
          <w:sz w:val="24"/>
          <w:szCs w:val="24"/>
          <w:lang w:val="en-US"/>
        </w:rPr>
        <w:t xml:space="preserve">I agree with the approach formulated above and </w:t>
      </w:r>
      <w:r w:rsidR="00BE0558">
        <w:rPr>
          <w:rFonts w:ascii="Arial" w:eastAsia="Calibri" w:hAnsi="Arial" w:cs="Arial"/>
          <w:sz w:val="24"/>
          <w:szCs w:val="24"/>
          <w:lang w:val="en-US"/>
        </w:rPr>
        <w:t xml:space="preserve">I </w:t>
      </w:r>
      <w:r w:rsidR="00546AB2">
        <w:rPr>
          <w:rFonts w:ascii="Arial" w:eastAsia="Calibri" w:hAnsi="Arial" w:cs="Arial"/>
          <w:sz w:val="24"/>
          <w:szCs w:val="24"/>
          <w:lang w:val="en-US"/>
        </w:rPr>
        <w:t>am of the view that it should be followed in this case.</w:t>
      </w:r>
    </w:p>
    <w:p w:rsidR="00950A90" w:rsidRDefault="00950A90" w:rsidP="00675940">
      <w:pPr>
        <w:spacing w:after="0" w:line="360" w:lineRule="auto"/>
        <w:jc w:val="both"/>
        <w:rPr>
          <w:rFonts w:ascii="Arial" w:eastAsia="Calibri" w:hAnsi="Arial" w:cs="Arial"/>
          <w:sz w:val="24"/>
          <w:szCs w:val="24"/>
          <w:lang w:val="en-US"/>
        </w:rPr>
      </w:pPr>
    </w:p>
    <w:p w:rsidR="00950A90" w:rsidRDefault="00546AB2"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I shall first deal with the issue of the partly written and partly oral</w:t>
      </w:r>
      <w:r w:rsidR="007D5016">
        <w:rPr>
          <w:rFonts w:ascii="Arial" w:eastAsia="Calibri" w:hAnsi="Arial" w:cs="Arial"/>
          <w:sz w:val="24"/>
          <w:szCs w:val="24"/>
          <w:lang w:val="en-US"/>
        </w:rPr>
        <w:t xml:space="preserve"> agreement</w:t>
      </w:r>
      <w:r>
        <w:rPr>
          <w:rFonts w:ascii="Arial" w:eastAsia="Calibri" w:hAnsi="Arial" w:cs="Arial"/>
          <w:sz w:val="24"/>
          <w:szCs w:val="24"/>
          <w:lang w:val="en-US"/>
        </w:rPr>
        <w:t xml:space="preserve"> in terms of which the Liebherr </w:t>
      </w:r>
      <w:r w:rsidR="00471E4A">
        <w:rPr>
          <w:rFonts w:ascii="Arial" w:eastAsia="Calibri" w:hAnsi="Arial" w:cs="Arial"/>
          <w:sz w:val="24"/>
          <w:szCs w:val="24"/>
          <w:lang w:val="en-US"/>
        </w:rPr>
        <w:t>R</w:t>
      </w:r>
      <w:r>
        <w:rPr>
          <w:rFonts w:ascii="Arial" w:eastAsia="Calibri" w:hAnsi="Arial" w:cs="Arial"/>
          <w:sz w:val="24"/>
          <w:szCs w:val="24"/>
          <w:lang w:val="en-US"/>
        </w:rPr>
        <w:t>944 machinery was allegedly hired by the defendant.  Mr Van Wyk testified that the parties agreed orally during 2016 for the hire of the Liebherr 944 to the defendant.  According to Mr Van Wyk</w:t>
      </w:r>
      <w:r w:rsidR="007D5016">
        <w:rPr>
          <w:rFonts w:ascii="Arial" w:eastAsia="Calibri" w:hAnsi="Arial" w:cs="Arial"/>
          <w:sz w:val="24"/>
          <w:szCs w:val="24"/>
          <w:lang w:val="en-US"/>
        </w:rPr>
        <w:t>,</w:t>
      </w:r>
      <w:r>
        <w:rPr>
          <w:rFonts w:ascii="Arial" w:eastAsia="Calibri" w:hAnsi="Arial" w:cs="Arial"/>
          <w:sz w:val="24"/>
          <w:szCs w:val="24"/>
          <w:lang w:val="en-US"/>
        </w:rPr>
        <w:t xml:space="preserve"> at times the defendant</w:t>
      </w:r>
      <w:r w:rsidR="007D5016">
        <w:rPr>
          <w:rFonts w:ascii="Arial" w:eastAsia="Calibri" w:hAnsi="Arial" w:cs="Arial"/>
          <w:sz w:val="24"/>
          <w:szCs w:val="24"/>
          <w:lang w:val="en-US"/>
        </w:rPr>
        <w:t>,</w:t>
      </w:r>
      <w:r>
        <w:rPr>
          <w:rFonts w:ascii="Arial" w:eastAsia="Calibri" w:hAnsi="Arial" w:cs="Arial"/>
          <w:sz w:val="24"/>
          <w:szCs w:val="24"/>
          <w:lang w:val="en-US"/>
        </w:rPr>
        <w:t xml:space="preserve"> represented by Mr Emvula</w:t>
      </w:r>
      <w:r w:rsidR="007D5016">
        <w:rPr>
          <w:rFonts w:ascii="Arial" w:eastAsia="Calibri" w:hAnsi="Arial" w:cs="Arial"/>
          <w:sz w:val="24"/>
          <w:szCs w:val="24"/>
          <w:lang w:val="en-US"/>
        </w:rPr>
        <w:t>,</w:t>
      </w:r>
      <w:r>
        <w:rPr>
          <w:rFonts w:ascii="Arial" w:eastAsia="Calibri" w:hAnsi="Arial" w:cs="Arial"/>
          <w:sz w:val="24"/>
          <w:szCs w:val="24"/>
          <w:lang w:val="en-US"/>
        </w:rPr>
        <w:t xml:space="preserve"> w</w:t>
      </w:r>
      <w:r w:rsidR="007D5016">
        <w:rPr>
          <w:rFonts w:ascii="Arial" w:eastAsia="Calibri" w:hAnsi="Arial" w:cs="Arial"/>
          <w:sz w:val="24"/>
          <w:szCs w:val="24"/>
          <w:lang w:val="en-US"/>
        </w:rPr>
        <w:t>ould request some machinery via</w:t>
      </w:r>
      <w:r>
        <w:rPr>
          <w:rFonts w:ascii="Arial" w:eastAsia="Calibri" w:hAnsi="Arial" w:cs="Arial"/>
          <w:sz w:val="24"/>
          <w:szCs w:val="24"/>
          <w:lang w:val="en-US"/>
        </w:rPr>
        <w:t xml:space="preserve"> telephone call and the machinery was then availed to the defendant.  On this score Mr Kamara who operated the Liebherr </w:t>
      </w:r>
      <w:r w:rsidR="00471E4A">
        <w:rPr>
          <w:rFonts w:ascii="Arial" w:eastAsia="Calibri" w:hAnsi="Arial" w:cs="Arial"/>
          <w:sz w:val="24"/>
          <w:szCs w:val="24"/>
          <w:lang w:val="en-US"/>
        </w:rPr>
        <w:t>R</w:t>
      </w:r>
      <w:r>
        <w:rPr>
          <w:rFonts w:ascii="Arial" w:eastAsia="Calibri" w:hAnsi="Arial" w:cs="Arial"/>
          <w:sz w:val="24"/>
          <w:szCs w:val="24"/>
          <w:lang w:val="en-US"/>
        </w:rPr>
        <w:t>944 during the period in question, confirmed having person</w:t>
      </w:r>
      <w:r w:rsidR="00591C0E">
        <w:rPr>
          <w:rFonts w:ascii="Arial" w:eastAsia="Calibri" w:hAnsi="Arial" w:cs="Arial"/>
          <w:sz w:val="24"/>
          <w:szCs w:val="24"/>
          <w:lang w:val="en-US"/>
        </w:rPr>
        <w:t>ally operated the machinery in question at the defendant’s Karibib site.  There is also documentary evidence in the form of job-card</w:t>
      </w:r>
      <w:r w:rsidR="009C2DC5">
        <w:rPr>
          <w:rFonts w:ascii="Arial" w:eastAsia="Calibri" w:hAnsi="Arial" w:cs="Arial"/>
          <w:sz w:val="24"/>
          <w:szCs w:val="24"/>
          <w:lang w:val="en-US"/>
        </w:rPr>
        <w:t>s</w:t>
      </w:r>
      <w:r w:rsidR="00591C0E">
        <w:rPr>
          <w:rFonts w:ascii="Arial" w:eastAsia="Calibri" w:hAnsi="Arial" w:cs="Arial"/>
          <w:sz w:val="24"/>
          <w:szCs w:val="24"/>
          <w:lang w:val="en-US"/>
        </w:rPr>
        <w:t>, which according to the evidence, are counter-signed by a representative of the defendant, verifying the correctness of the information appearing thereon.</w:t>
      </w:r>
    </w:p>
    <w:p w:rsidR="00591C0E" w:rsidRDefault="00591C0E" w:rsidP="00675940">
      <w:pPr>
        <w:spacing w:after="0" w:line="360" w:lineRule="auto"/>
        <w:jc w:val="both"/>
        <w:rPr>
          <w:rFonts w:ascii="Arial" w:eastAsia="Calibri" w:hAnsi="Arial" w:cs="Arial"/>
          <w:sz w:val="24"/>
          <w:szCs w:val="24"/>
          <w:lang w:val="en-US"/>
        </w:rPr>
      </w:pPr>
    </w:p>
    <w:p w:rsidR="00591C0E" w:rsidRDefault="00591C0E"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The aforesaid evidence is to be weighed against that of the defendant.  I must underline that nobody else other than Mr Emvula testified that the services in question were not rendered. Mr Emvula’s version on this aspect is not credible when weighed against the testimony of Mr Kamara who was present at the Karibib site and actually operated the machinery in question.</w:t>
      </w:r>
    </w:p>
    <w:p w:rsidR="00591C0E" w:rsidRDefault="00591C0E" w:rsidP="00675940">
      <w:pPr>
        <w:spacing w:after="0" w:line="360" w:lineRule="auto"/>
        <w:jc w:val="both"/>
        <w:rPr>
          <w:rFonts w:ascii="Arial" w:eastAsia="Calibri" w:hAnsi="Arial" w:cs="Arial"/>
          <w:sz w:val="24"/>
          <w:szCs w:val="24"/>
          <w:lang w:val="en-US"/>
        </w:rPr>
      </w:pPr>
    </w:p>
    <w:p w:rsidR="00591C0E" w:rsidRDefault="00591C0E"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662069">
        <w:rPr>
          <w:rFonts w:ascii="Arial" w:eastAsia="Calibri" w:hAnsi="Arial" w:cs="Arial"/>
          <w:sz w:val="24"/>
          <w:szCs w:val="24"/>
          <w:lang w:val="en-US"/>
        </w:rPr>
        <w:t xml:space="preserve">The defendant alleged an agreement entered into by the parties that all orders for equipment </w:t>
      </w:r>
      <w:r w:rsidR="009C2DC5">
        <w:rPr>
          <w:rFonts w:ascii="Arial" w:eastAsia="Calibri" w:hAnsi="Arial" w:cs="Arial"/>
          <w:sz w:val="24"/>
          <w:szCs w:val="24"/>
          <w:lang w:val="en-US"/>
        </w:rPr>
        <w:t xml:space="preserve">shall be in writing.  However, the defendant </w:t>
      </w:r>
      <w:r w:rsidR="00662069">
        <w:rPr>
          <w:rFonts w:ascii="Arial" w:eastAsia="Calibri" w:hAnsi="Arial" w:cs="Arial"/>
          <w:sz w:val="24"/>
          <w:szCs w:val="24"/>
          <w:lang w:val="en-US"/>
        </w:rPr>
        <w:t>did not lead evidence as to when, where and how (whether oral/written) such agreement wa</w:t>
      </w:r>
      <w:r w:rsidR="00471E4A">
        <w:rPr>
          <w:rFonts w:ascii="Arial" w:eastAsia="Calibri" w:hAnsi="Arial" w:cs="Arial"/>
          <w:sz w:val="24"/>
          <w:szCs w:val="24"/>
          <w:lang w:val="en-US"/>
        </w:rPr>
        <w:t>s concluded.  Furthermore, the ‘written order’</w:t>
      </w:r>
      <w:r w:rsidR="00662069">
        <w:rPr>
          <w:rFonts w:ascii="Arial" w:eastAsia="Calibri" w:hAnsi="Arial" w:cs="Arial"/>
          <w:sz w:val="24"/>
          <w:szCs w:val="24"/>
          <w:lang w:val="en-US"/>
        </w:rPr>
        <w:t xml:space="preserve"> defence of the defendant does not appear in the pre-trial defence as an issue in dispute for determination by the court at trial and should therefore not be available to the defendant.</w:t>
      </w:r>
    </w:p>
    <w:p w:rsidR="00863B7C" w:rsidRDefault="00863B7C" w:rsidP="00675940">
      <w:pPr>
        <w:spacing w:after="0" w:line="360" w:lineRule="auto"/>
        <w:jc w:val="both"/>
        <w:rPr>
          <w:rFonts w:ascii="Arial" w:eastAsia="Calibri" w:hAnsi="Arial" w:cs="Arial"/>
          <w:sz w:val="24"/>
          <w:szCs w:val="24"/>
          <w:lang w:val="en-US"/>
        </w:rPr>
      </w:pPr>
    </w:p>
    <w:p w:rsidR="00863B7C" w:rsidRDefault="00863B7C"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When I consider all the evidence both oral and documentary, I am satisfied on the preponderance of probabilities that the version of the plaintiff is true and acceptable and that the version of the defendant is false or mistaken and falls to the rejected.  I am convinced that there was </w:t>
      </w:r>
      <w:r w:rsidR="00471E4A">
        <w:rPr>
          <w:rFonts w:ascii="Arial" w:eastAsia="Calibri" w:hAnsi="Arial" w:cs="Arial"/>
          <w:sz w:val="24"/>
          <w:szCs w:val="24"/>
          <w:lang w:val="en-US"/>
        </w:rPr>
        <w:t xml:space="preserve">an </w:t>
      </w:r>
      <w:r>
        <w:rPr>
          <w:rFonts w:ascii="Arial" w:eastAsia="Calibri" w:hAnsi="Arial" w:cs="Arial"/>
          <w:sz w:val="24"/>
          <w:szCs w:val="24"/>
          <w:lang w:val="en-US"/>
        </w:rPr>
        <w:t>agreement in terms of which the plaintiff hired the machinery</w:t>
      </w:r>
      <w:r w:rsidR="007F4657">
        <w:rPr>
          <w:rFonts w:ascii="Arial" w:eastAsia="Calibri" w:hAnsi="Arial" w:cs="Arial"/>
          <w:sz w:val="24"/>
          <w:szCs w:val="24"/>
          <w:lang w:val="en-US"/>
        </w:rPr>
        <w:t>,</w:t>
      </w:r>
      <w:r>
        <w:rPr>
          <w:rFonts w:ascii="Arial" w:eastAsia="Calibri" w:hAnsi="Arial" w:cs="Arial"/>
          <w:sz w:val="24"/>
          <w:szCs w:val="24"/>
          <w:lang w:val="en-US"/>
        </w:rPr>
        <w:t xml:space="preserve"> including the Liebherr </w:t>
      </w:r>
      <w:r w:rsidR="00471E4A">
        <w:rPr>
          <w:rFonts w:ascii="Arial" w:eastAsia="Calibri" w:hAnsi="Arial" w:cs="Arial"/>
          <w:sz w:val="24"/>
          <w:szCs w:val="24"/>
          <w:lang w:val="en-US"/>
        </w:rPr>
        <w:t>R</w:t>
      </w:r>
      <w:r>
        <w:rPr>
          <w:rFonts w:ascii="Arial" w:eastAsia="Calibri" w:hAnsi="Arial" w:cs="Arial"/>
          <w:sz w:val="24"/>
          <w:szCs w:val="24"/>
          <w:lang w:val="en-US"/>
        </w:rPr>
        <w:t>944</w:t>
      </w:r>
      <w:r w:rsidR="00F951CA">
        <w:rPr>
          <w:rFonts w:ascii="Arial" w:eastAsia="Calibri" w:hAnsi="Arial" w:cs="Arial"/>
          <w:sz w:val="24"/>
          <w:szCs w:val="24"/>
          <w:lang w:val="en-US"/>
        </w:rPr>
        <w:t>,</w:t>
      </w:r>
      <w:r>
        <w:rPr>
          <w:rFonts w:ascii="Arial" w:eastAsia="Calibri" w:hAnsi="Arial" w:cs="Arial"/>
          <w:sz w:val="24"/>
          <w:szCs w:val="24"/>
          <w:lang w:val="en-US"/>
        </w:rPr>
        <w:t xml:space="preserve"> to the defendant at the defendant’s request.  The defendant </w:t>
      </w:r>
      <w:r>
        <w:rPr>
          <w:rFonts w:ascii="Arial" w:eastAsia="Calibri" w:hAnsi="Arial" w:cs="Arial"/>
          <w:sz w:val="24"/>
          <w:szCs w:val="24"/>
          <w:lang w:val="en-US"/>
        </w:rPr>
        <w:lastRenderedPageBreak/>
        <w:t>failed or refused to pay for the service rendered</w:t>
      </w:r>
      <w:r w:rsidR="00F951CA">
        <w:rPr>
          <w:rFonts w:ascii="Arial" w:eastAsia="Calibri" w:hAnsi="Arial" w:cs="Arial"/>
          <w:sz w:val="24"/>
          <w:szCs w:val="24"/>
          <w:lang w:val="en-US"/>
        </w:rPr>
        <w:t>.  Such payment is due, ow</w:t>
      </w:r>
      <w:r>
        <w:rPr>
          <w:rFonts w:ascii="Arial" w:eastAsia="Calibri" w:hAnsi="Arial" w:cs="Arial"/>
          <w:sz w:val="24"/>
          <w:szCs w:val="24"/>
          <w:lang w:val="en-US"/>
        </w:rPr>
        <w:t>ing and payable by the defendant to the plaintiff.</w:t>
      </w:r>
    </w:p>
    <w:p w:rsidR="00863B7C" w:rsidRDefault="00863B7C" w:rsidP="00675940">
      <w:pPr>
        <w:spacing w:after="0" w:line="360" w:lineRule="auto"/>
        <w:jc w:val="both"/>
        <w:rPr>
          <w:rFonts w:ascii="Arial" w:eastAsia="Calibri" w:hAnsi="Arial" w:cs="Arial"/>
          <w:sz w:val="24"/>
          <w:szCs w:val="24"/>
          <w:lang w:val="en-US"/>
        </w:rPr>
      </w:pPr>
    </w:p>
    <w:p w:rsidR="00863B7C" w:rsidRDefault="00863B7C" w:rsidP="006759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In the result I make</w:t>
      </w:r>
      <w:r w:rsidR="00F951CA">
        <w:rPr>
          <w:rFonts w:ascii="Arial" w:eastAsia="Calibri" w:hAnsi="Arial" w:cs="Arial"/>
          <w:sz w:val="24"/>
          <w:szCs w:val="24"/>
          <w:lang w:val="en-US"/>
        </w:rPr>
        <w:t xml:space="preserve"> the following order:</w:t>
      </w:r>
    </w:p>
    <w:p w:rsidR="00863B7C" w:rsidRDefault="00863B7C" w:rsidP="00675940">
      <w:pPr>
        <w:spacing w:after="0" w:line="360" w:lineRule="auto"/>
        <w:jc w:val="both"/>
        <w:rPr>
          <w:rFonts w:ascii="Arial" w:eastAsia="Calibri" w:hAnsi="Arial" w:cs="Arial"/>
          <w:sz w:val="24"/>
          <w:szCs w:val="24"/>
          <w:lang w:val="en-US"/>
        </w:rPr>
      </w:pP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w:t>
      </w:r>
      <w:r w:rsidR="00176775" w:rsidRPr="00675940">
        <w:rPr>
          <w:rFonts w:ascii="Arial" w:eastAsia="Calibri" w:hAnsi="Arial" w:cs="Arial"/>
          <w:sz w:val="24"/>
          <w:szCs w:val="24"/>
          <w:lang w:val="en-US"/>
        </w:rPr>
        <w:tab/>
      </w:r>
      <w:r w:rsidR="00176775">
        <w:rPr>
          <w:rFonts w:ascii="Arial" w:eastAsia="Calibri" w:hAnsi="Arial" w:cs="Arial"/>
          <w:sz w:val="24"/>
          <w:szCs w:val="24"/>
          <w:lang w:val="en-US"/>
        </w:rPr>
        <w:t>Judgment is hereby granted in favour of the plaintiff against the defendant, in the following terms:</w:t>
      </w: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w:t>
      </w:r>
      <w:r w:rsidR="00176775">
        <w:rPr>
          <w:rFonts w:ascii="Arial" w:eastAsia="Calibri" w:hAnsi="Arial" w:cs="Arial"/>
          <w:sz w:val="24"/>
          <w:szCs w:val="24"/>
          <w:lang w:val="en-US"/>
        </w:rPr>
        <w:tab/>
        <w:t>payment in the amount of N$ 1,504,576.75;</w:t>
      </w:r>
    </w:p>
    <w:p w:rsidR="00176775" w:rsidRDefault="00471E4A" w:rsidP="00176775">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ii)</w:t>
      </w:r>
      <w:r w:rsidR="00176775">
        <w:rPr>
          <w:rFonts w:ascii="Arial" w:eastAsia="Calibri" w:hAnsi="Arial" w:cs="Arial"/>
          <w:sz w:val="24"/>
          <w:szCs w:val="24"/>
          <w:lang w:val="en-US"/>
        </w:rPr>
        <w:tab/>
        <w:t>interest on the aforesaid amount at the rate</w:t>
      </w:r>
      <w:r>
        <w:rPr>
          <w:rFonts w:ascii="Arial" w:eastAsia="Calibri" w:hAnsi="Arial" w:cs="Arial"/>
          <w:sz w:val="24"/>
          <w:szCs w:val="24"/>
          <w:lang w:val="en-US"/>
        </w:rPr>
        <w:t xml:space="preserve"> of 20% per annum calculated </w:t>
      </w:r>
      <w:r w:rsidR="00176775">
        <w:rPr>
          <w:rFonts w:ascii="Arial" w:eastAsia="Calibri" w:hAnsi="Arial" w:cs="Arial"/>
          <w:sz w:val="24"/>
          <w:szCs w:val="24"/>
          <w:lang w:val="en-US"/>
        </w:rPr>
        <w:t>from the date of judgment to the date of final payment;</w:t>
      </w:r>
    </w:p>
    <w:p w:rsidR="00176775" w:rsidRDefault="00471E4A" w:rsidP="00471E4A">
      <w:pPr>
        <w:tabs>
          <w:tab w:val="left" w:pos="540"/>
        </w:tabs>
        <w:spacing w:after="0" w:line="360" w:lineRule="auto"/>
        <w:ind w:left="540" w:hanging="540"/>
        <w:jc w:val="both"/>
        <w:rPr>
          <w:rFonts w:ascii="Arial" w:eastAsia="Calibri" w:hAnsi="Arial" w:cs="Arial"/>
          <w:sz w:val="24"/>
          <w:szCs w:val="24"/>
          <w:lang w:val="en-US"/>
        </w:rPr>
      </w:pPr>
      <w:r>
        <w:rPr>
          <w:rFonts w:ascii="Arial" w:eastAsia="Calibri" w:hAnsi="Arial" w:cs="Arial"/>
          <w:sz w:val="24"/>
          <w:szCs w:val="24"/>
          <w:lang w:val="en-US"/>
        </w:rPr>
        <w:t>iii)</w:t>
      </w:r>
      <w:r>
        <w:rPr>
          <w:rFonts w:ascii="Arial" w:eastAsia="Calibri" w:hAnsi="Arial" w:cs="Arial"/>
          <w:sz w:val="24"/>
          <w:szCs w:val="24"/>
          <w:lang w:val="en-US"/>
        </w:rPr>
        <w:tab/>
      </w:r>
      <w:r w:rsidR="00176775">
        <w:rPr>
          <w:rFonts w:ascii="Arial" w:eastAsia="Calibri" w:hAnsi="Arial" w:cs="Arial"/>
          <w:sz w:val="24"/>
          <w:szCs w:val="24"/>
          <w:lang w:val="en-US"/>
        </w:rPr>
        <w:t>costs of suit, such costs to include costs occas</w:t>
      </w:r>
      <w:r>
        <w:rPr>
          <w:rFonts w:ascii="Arial" w:eastAsia="Calibri" w:hAnsi="Arial" w:cs="Arial"/>
          <w:sz w:val="24"/>
          <w:szCs w:val="24"/>
          <w:lang w:val="en-US"/>
        </w:rPr>
        <w:t xml:space="preserve">ioned by the appointment of one </w:t>
      </w:r>
      <w:r w:rsidR="00176775">
        <w:rPr>
          <w:rFonts w:ascii="Arial" w:eastAsia="Calibri" w:hAnsi="Arial" w:cs="Arial"/>
          <w:sz w:val="24"/>
          <w:szCs w:val="24"/>
          <w:lang w:val="en-US"/>
        </w:rPr>
        <w:t>instructing and one instructed legal practitioner.</w:t>
      </w:r>
    </w:p>
    <w:p w:rsidR="004C74C4" w:rsidRDefault="004C74C4" w:rsidP="00176775">
      <w:pPr>
        <w:spacing w:after="0" w:line="360" w:lineRule="auto"/>
        <w:ind w:left="1440" w:hanging="870"/>
        <w:jc w:val="both"/>
        <w:rPr>
          <w:rFonts w:ascii="Arial" w:eastAsia="Calibri" w:hAnsi="Arial" w:cs="Arial"/>
          <w:sz w:val="24"/>
          <w:szCs w:val="24"/>
          <w:lang w:val="en-US"/>
        </w:rPr>
      </w:pPr>
    </w:p>
    <w:p w:rsidR="00863B7C" w:rsidRDefault="00471E4A" w:rsidP="0017677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176775">
        <w:rPr>
          <w:rFonts w:ascii="Arial" w:eastAsia="Calibri" w:hAnsi="Arial" w:cs="Arial"/>
          <w:sz w:val="24"/>
          <w:szCs w:val="24"/>
          <w:lang w:val="en-US"/>
        </w:rPr>
        <w:tab/>
        <w:t xml:space="preserve">The matter is removed from the </w:t>
      </w:r>
      <w:r w:rsidR="004E421F">
        <w:rPr>
          <w:rFonts w:ascii="Arial" w:eastAsia="Calibri" w:hAnsi="Arial" w:cs="Arial"/>
          <w:sz w:val="24"/>
          <w:szCs w:val="24"/>
          <w:lang w:val="en-US"/>
        </w:rPr>
        <w:t>roll and regarded finaliz</w:t>
      </w:r>
      <w:r w:rsidR="00176775">
        <w:rPr>
          <w:rFonts w:ascii="Arial" w:eastAsia="Calibri" w:hAnsi="Arial" w:cs="Arial"/>
          <w:sz w:val="24"/>
          <w:szCs w:val="24"/>
          <w:lang w:val="en-US"/>
        </w:rPr>
        <w:t>ed</w:t>
      </w:r>
    </w:p>
    <w:p w:rsidR="00950A90" w:rsidRPr="00675940" w:rsidRDefault="00950A90" w:rsidP="00675940">
      <w:pPr>
        <w:spacing w:after="0" w:line="360" w:lineRule="auto"/>
        <w:jc w:val="both"/>
        <w:rPr>
          <w:rFonts w:ascii="Arial" w:eastAsia="Calibri" w:hAnsi="Arial" w:cs="Arial"/>
          <w:sz w:val="24"/>
          <w:szCs w:val="24"/>
          <w:lang w:val="en-US"/>
        </w:rPr>
      </w:pPr>
    </w:p>
    <w:p w:rsidR="00675940" w:rsidRPr="00675940" w:rsidRDefault="00675940" w:rsidP="00675940">
      <w:pPr>
        <w:spacing w:after="0" w:line="240" w:lineRule="auto"/>
        <w:ind w:left="720" w:hanging="720"/>
        <w:jc w:val="right"/>
        <w:rPr>
          <w:rFonts w:ascii="Arial" w:hAnsi="Arial" w:cs="Arial"/>
          <w:sz w:val="24"/>
          <w:szCs w:val="24"/>
        </w:rPr>
      </w:pPr>
      <w:r w:rsidRPr="00675940">
        <w:rPr>
          <w:rFonts w:ascii="Arial" w:hAnsi="Arial" w:cs="Arial"/>
          <w:sz w:val="24"/>
          <w:szCs w:val="24"/>
        </w:rPr>
        <w:t>_____________</w:t>
      </w:r>
    </w:p>
    <w:p w:rsidR="00675940" w:rsidRPr="00675940" w:rsidRDefault="00471E4A" w:rsidP="00675940">
      <w:pPr>
        <w:spacing w:after="0" w:line="240" w:lineRule="auto"/>
        <w:ind w:left="720" w:hanging="720"/>
        <w:jc w:val="right"/>
        <w:rPr>
          <w:rFonts w:ascii="Arial" w:hAnsi="Arial" w:cs="Arial"/>
          <w:sz w:val="24"/>
          <w:szCs w:val="24"/>
        </w:rPr>
      </w:pPr>
      <w:r>
        <w:rPr>
          <w:rFonts w:ascii="Arial" w:hAnsi="Arial" w:cs="Arial"/>
          <w:sz w:val="24"/>
          <w:szCs w:val="24"/>
        </w:rPr>
        <w:t xml:space="preserve">B </w:t>
      </w:r>
      <w:r w:rsidR="00675940" w:rsidRPr="00675940">
        <w:rPr>
          <w:rFonts w:ascii="Arial" w:hAnsi="Arial" w:cs="Arial"/>
          <w:sz w:val="24"/>
          <w:szCs w:val="24"/>
        </w:rPr>
        <w:t>Usiku</w:t>
      </w:r>
    </w:p>
    <w:p w:rsidR="00675940" w:rsidRPr="00675940" w:rsidRDefault="00675940" w:rsidP="00675940">
      <w:pPr>
        <w:spacing w:after="0" w:line="240" w:lineRule="auto"/>
        <w:ind w:left="720" w:hanging="720"/>
        <w:jc w:val="right"/>
        <w:rPr>
          <w:rFonts w:ascii="Arial" w:hAnsi="Arial" w:cs="Arial"/>
          <w:sz w:val="24"/>
          <w:szCs w:val="24"/>
        </w:rPr>
      </w:pPr>
      <w:r w:rsidRPr="00675940">
        <w:rPr>
          <w:rFonts w:ascii="Arial" w:hAnsi="Arial" w:cs="Arial"/>
          <w:sz w:val="24"/>
          <w:szCs w:val="24"/>
        </w:rPr>
        <w:t xml:space="preserve">Judge </w:t>
      </w: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Pr="00675940" w:rsidRDefault="00675940" w:rsidP="00675940">
      <w:pPr>
        <w:spacing w:after="0" w:line="240" w:lineRule="auto"/>
        <w:jc w:val="both"/>
        <w:rPr>
          <w:rFonts w:ascii="Arial" w:hAnsi="Arial" w:cs="Arial"/>
          <w:sz w:val="24"/>
          <w:szCs w:val="24"/>
        </w:rPr>
      </w:pPr>
    </w:p>
    <w:p w:rsidR="00675940" w:rsidRDefault="00675940"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Default="003F2BAC" w:rsidP="00675940">
      <w:pPr>
        <w:spacing w:after="0" w:line="240" w:lineRule="auto"/>
        <w:jc w:val="both"/>
        <w:rPr>
          <w:rFonts w:ascii="Arial" w:hAnsi="Arial" w:cs="Arial"/>
          <w:sz w:val="24"/>
          <w:szCs w:val="24"/>
        </w:rPr>
      </w:pPr>
    </w:p>
    <w:p w:rsidR="003F2BAC" w:rsidRPr="00675940" w:rsidRDefault="003F2BAC" w:rsidP="00675940">
      <w:pPr>
        <w:spacing w:after="0" w:line="240" w:lineRule="auto"/>
        <w:jc w:val="both"/>
        <w:rPr>
          <w:rFonts w:ascii="Arial" w:hAnsi="Arial" w:cs="Arial"/>
          <w:sz w:val="24"/>
          <w:szCs w:val="24"/>
        </w:rPr>
      </w:pPr>
    </w:p>
    <w:p w:rsidR="00675940" w:rsidRPr="00675940" w:rsidRDefault="007438A7" w:rsidP="00675940">
      <w:pPr>
        <w:spacing w:after="0" w:line="360" w:lineRule="auto"/>
        <w:ind w:left="720" w:hanging="720"/>
        <w:jc w:val="both"/>
        <w:rPr>
          <w:rFonts w:ascii="Arial" w:hAnsi="Arial" w:cs="Arial"/>
          <w:sz w:val="24"/>
          <w:szCs w:val="24"/>
        </w:rPr>
      </w:pPr>
      <w:r>
        <w:rPr>
          <w:rFonts w:ascii="Arial" w:hAnsi="Arial" w:cs="Arial"/>
          <w:sz w:val="24"/>
          <w:szCs w:val="24"/>
        </w:rPr>
        <w:t>APPEARENCES</w:t>
      </w:r>
    </w:p>
    <w:p w:rsidR="00675940" w:rsidRPr="00675940" w:rsidRDefault="00675940" w:rsidP="00675940">
      <w:pPr>
        <w:spacing w:after="0" w:line="360" w:lineRule="auto"/>
        <w:ind w:left="720" w:hanging="720"/>
        <w:jc w:val="both"/>
        <w:rPr>
          <w:rFonts w:ascii="Arial" w:hAnsi="Arial" w:cs="Arial"/>
          <w:sz w:val="24"/>
          <w:szCs w:val="24"/>
        </w:rPr>
      </w:pPr>
    </w:p>
    <w:p w:rsidR="00675940" w:rsidRPr="00675940" w:rsidRDefault="00675940" w:rsidP="00675940">
      <w:pPr>
        <w:spacing w:after="0" w:line="360" w:lineRule="auto"/>
        <w:jc w:val="both"/>
        <w:rPr>
          <w:rFonts w:ascii="Arial" w:hAnsi="Arial" w:cs="Arial"/>
          <w:sz w:val="24"/>
          <w:szCs w:val="24"/>
        </w:rPr>
      </w:pP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822055">
        <w:rPr>
          <w:rFonts w:ascii="Arial" w:hAnsi="Arial" w:cs="Arial"/>
          <w:sz w:val="24"/>
          <w:szCs w:val="24"/>
        </w:rPr>
        <w:t>C V</w:t>
      </w:r>
      <w:r w:rsidR="00471E4A">
        <w:rPr>
          <w:rFonts w:ascii="Arial" w:hAnsi="Arial" w:cs="Arial"/>
          <w:sz w:val="24"/>
          <w:szCs w:val="24"/>
        </w:rPr>
        <w:t>an Der Westhuizen</w:t>
      </w: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sidR="00471E4A">
        <w:rPr>
          <w:rFonts w:ascii="Arial" w:hAnsi="Arial" w:cs="Arial"/>
          <w:sz w:val="24"/>
          <w:szCs w:val="24"/>
        </w:rPr>
        <w:t>by</w:t>
      </w:r>
      <w:r w:rsidR="00661A03">
        <w:rPr>
          <w:rFonts w:ascii="Arial" w:hAnsi="Arial" w:cs="Arial"/>
          <w:sz w:val="24"/>
          <w:szCs w:val="24"/>
        </w:rPr>
        <w:t xml:space="preserve"> Dr Weder, Kauta &amp; Hoveka</w:t>
      </w:r>
      <w:r w:rsidR="007438A7">
        <w:rPr>
          <w:rFonts w:ascii="Arial" w:hAnsi="Arial" w:cs="Arial"/>
          <w:sz w:val="24"/>
          <w:szCs w:val="24"/>
        </w:rPr>
        <w:t>,</w:t>
      </w: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675940" w:rsidRPr="00675940" w:rsidRDefault="00675940" w:rsidP="00675940">
      <w:pPr>
        <w:spacing w:after="0" w:line="360" w:lineRule="auto"/>
        <w:ind w:left="720" w:hanging="720"/>
        <w:jc w:val="both"/>
        <w:rPr>
          <w:rFonts w:ascii="Arial" w:hAnsi="Arial" w:cs="Arial"/>
          <w:sz w:val="24"/>
          <w:szCs w:val="24"/>
        </w:rPr>
      </w:pPr>
    </w:p>
    <w:p w:rsidR="00675940" w:rsidRPr="00675940" w:rsidRDefault="00675940" w:rsidP="00675940">
      <w:pPr>
        <w:spacing w:after="0" w:line="360" w:lineRule="auto"/>
        <w:ind w:left="720" w:hanging="720"/>
        <w:jc w:val="both"/>
        <w:rPr>
          <w:rFonts w:ascii="Arial" w:hAnsi="Arial" w:cs="Arial"/>
          <w:sz w:val="24"/>
          <w:szCs w:val="24"/>
        </w:rPr>
      </w:pPr>
      <w:r w:rsidRPr="00675940">
        <w:rPr>
          <w:rFonts w:ascii="Arial" w:hAnsi="Arial" w:cs="Arial"/>
          <w:sz w:val="24"/>
          <w:szCs w:val="24"/>
        </w:rPr>
        <w:t>DEFENDANTS:</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661A03">
        <w:rPr>
          <w:rFonts w:ascii="Arial" w:hAnsi="Arial" w:cs="Arial"/>
          <w:sz w:val="24"/>
          <w:szCs w:val="24"/>
        </w:rPr>
        <w:t xml:space="preserve">N Mhata </w:t>
      </w:r>
    </w:p>
    <w:p w:rsidR="00675940" w:rsidRPr="007438A7" w:rsidRDefault="007438A7" w:rsidP="007438A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w:t>
      </w:r>
      <w:r w:rsidR="00675940" w:rsidRPr="00675940">
        <w:rPr>
          <w:rFonts w:ascii="Arial" w:hAnsi="Arial" w:cs="Arial"/>
          <w:sz w:val="24"/>
          <w:szCs w:val="24"/>
        </w:rPr>
        <w:t xml:space="preserve"> </w:t>
      </w:r>
      <w:r w:rsidR="00661A03" w:rsidRPr="00675940">
        <w:rPr>
          <w:rFonts w:ascii="Arial" w:hAnsi="Arial" w:cs="Arial"/>
          <w:sz w:val="24"/>
          <w:szCs w:val="24"/>
        </w:rPr>
        <w:t>Sisa Namandje and Co Inc</w:t>
      </w:r>
      <w:r>
        <w:t xml:space="preserve">, </w:t>
      </w:r>
      <w:r w:rsidR="00675940" w:rsidRPr="00675940">
        <w:rPr>
          <w:rFonts w:ascii="Arial" w:hAnsi="Arial" w:cs="Arial"/>
          <w:sz w:val="24"/>
          <w:szCs w:val="24"/>
        </w:rPr>
        <w:t>Windhoek</w:t>
      </w:r>
    </w:p>
    <w:p w:rsidR="00675940" w:rsidRPr="00675940" w:rsidRDefault="00675940" w:rsidP="00675940">
      <w:pPr>
        <w:spacing w:after="0" w:line="360" w:lineRule="auto"/>
        <w:jc w:val="both"/>
      </w:pPr>
    </w:p>
    <w:p w:rsidR="00675940" w:rsidRPr="00675940" w:rsidRDefault="00675940" w:rsidP="00675940"/>
    <w:sectPr w:rsidR="00675940" w:rsidRPr="00675940" w:rsidSect="007D62A3">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AA" w:rsidRDefault="00F060AA" w:rsidP="00675940">
      <w:pPr>
        <w:spacing w:after="0" w:line="240" w:lineRule="auto"/>
      </w:pPr>
      <w:r>
        <w:separator/>
      </w:r>
    </w:p>
  </w:endnote>
  <w:endnote w:type="continuationSeparator" w:id="0">
    <w:p w:rsidR="00F060AA" w:rsidRDefault="00F060AA" w:rsidP="0067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AA" w:rsidRDefault="00F060AA" w:rsidP="00675940">
      <w:pPr>
        <w:spacing w:after="0" w:line="240" w:lineRule="auto"/>
      </w:pPr>
      <w:r>
        <w:separator/>
      </w:r>
    </w:p>
  </w:footnote>
  <w:footnote w:type="continuationSeparator" w:id="0">
    <w:p w:rsidR="00F060AA" w:rsidRDefault="00F060AA" w:rsidP="00675940">
      <w:pPr>
        <w:spacing w:after="0" w:line="240" w:lineRule="auto"/>
      </w:pPr>
      <w:r>
        <w:continuationSeparator/>
      </w:r>
    </w:p>
  </w:footnote>
  <w:footnote w:id="1">
    <w:p w:rsidR="00950A90" w:rsidRPr="00950A90" w:rsidRDefault="00950A90">
      <w:pPr>
        <w:pStyle w:val="FootnoteText"/>
        <w:rPr>
          <w:rFonts w:ascii="Arial" w:hAnsi="Arial" w:cs="Arial"/>
          <w:lang w:val="en-US"/>
        </w:rPr>
      </w:pPr>
      <w:r w:rsidRPr="00950A90">
        <w:rPr>
          <w:rStyle w:val="FootnoteReference"/>
          <w:rFonts w:ascii="Arial" w:hAnsi="Arial" w:cs="Arial"/>
        </w:rPr>
        <w:footnoteRef/>
      </w:r>
      <w:r w:rsidRPr="00950A90">
        <w:rPr>
          <w:rFonts w:ascii="Arial" w:hAnsi="Arial" w:cs="Arial"/>
        </w:rPr>
        <w:t xml:space="preserve"> </w:t>
      </w:r>
      <w:r>
        <w:rPr>
          <w:rFonts w:ascii="Arial" w:hAnsi="Arial" w:cs="Arial"/>
        </w:rPr>
        <w:t>Para 2.2 of the defendant’s plea.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7D62A3" w:rsidRDefault="0057038A">
        <w:pPr>
          <w:pStyle w:val="Header"/>
          <w:jc w:val="right"/>
        </w:pPr>
        <w:r>
          <w:fldChar w:fldCharType="begin"/>
        </w:r>
        <w:r>
          <w:instrText xml:space="preserve"> PAGE   \* MERGEFORMAT </w:instrText>
        </w:r>
        <w:r>
          <w:fldChar w:fldCharType="separate"/>
        </w:r>
        <w:r w:rsidR="00E71C95">
          <w:rPr>
            <w:noProof/>
          </w:rPr>
          <w:t>2</w:t>
        </w:r>
        <w:r>
          <w:rPr>
            <w:noProof/>
          </w:rPr>
          <w:fldChar w:fldCharType="end"/>
        </w:r>
      </w:p>
    </w:sdtContent>
  </w:sdt>
  <w:p w:rsidR="007D62A3" w:rsidRDefault="00F06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40"/>
    <w:rsid w:val="000D7D21"/>
    <w:rsid w:val="00176067"/>
    <w:rsid w:val="00176775"/>
    <w:rsid w:val="002730E0"/>
    <w:rsid w:val="002C4A4E"/>
    <w:rsid w:val="0030493E"/>
    <w:rsid w:val="00316119"/>
    <w:rsid w:val="00330D89"/>
    <w:rsid w:val="003761CB"/>
    <w:rsid w:val="003824F3"/>
    <w:rsid w:val="003F2BAC"/>
    <w:rsid w:val="00471E4A"/>
    <w:rsid w:val="004B7637"/>
    <w:rsid w:val="004C74C4"/>
    <w:rsid w:val="004E421F"/>
    <w:rsid w:val="00543895"/>
    <w:rsid w:val="00544F79"/>
    <w:rsid w:val="00546AB2"/>
    <w:rsid w:val="00554E51"/>
    <w:rsid w:val="00562213"/>
    <w:rsid w:val="00562FF6"/>
    <w:rsid w:val="0057038A"/>
    <w:rsid w:val="00591C0E"/>
    <w:rsid w:val="00655D70"/>
    <w:rsid w:val="00661A03"/>
    <w:rsid w:val="00662069"/>
    <w:rsid w:val="00675940"/>
    <w:rsid w:val="006935FF"/>
    <w:rsid w:val="007438A7"/>
    <w:rsid w:val="007B4044"/>
    <w:rsid w:val="007D0CC0"/>
    <w:rsid w:val="007D5016"/>
    <w:rsid w:val="007E1674"/>
    <w:rsid w:val="007F4657"/>
    <w:rsid w:val="00822055"/>
    <w:rsid w:val="00847D69"/>
    <w:rsid w:val="008600BF"/>
    <w:rsid w:val="00863B7C"/>
    <w:rsid w:val="00870FE2"/>
    <w:rsid w:val="00877E74"/>
    <w:rsid w:val="00883994"/>
    <w:rsid w:val="008D3197"/>
    <w:rsid w:val="00923B3B"/>
    <w:rsid w:val="00924456"/>
    <w:rsid w:val="00950A90"/>
    <w:rsid w:val="00952F8D"/>
    <w:rsid w:val="009828EC"/>
    <w:rsid w:val="009A06BB"/>
    <w:rsid w:val="009C2DC5"/>
    <w:rsid w:val="00A4255B"/>
    <w:rsid w:val="00AA39DF"/>
    <w:rsid w:val="00BE0558"/>
    <w:rsid w:val="00C13275"/>
    <w:rsid w:val="00C3133B"/>
    <w:rsid w:val="00CE4470"/>
    <w:rsid w:val="00CF6039"/>
    <w:rsid w:val="00DF26DB"/>
    <w:rsid w:val="00E551E2"/>
    <w:rsid w:val="00E71C95"/>
    <w:rsid w:val="00E77BA7"/>
    <w:rsid w:val="00F01CF7"/>
    <w:rsid w:val="00F060AA"/>
    <w:rsid w:val="00F1754F"/>
    <w:rsid w:val="00F37FDD"/>
    <w:rsid w:val="00F5288F"/>
    <w:rsid w:val="00F951CA"/>
    <w:rsid w:val="00FA56FD"/>
    <w:rsid w:val="00FD2AAD"/>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A107-3A20-4D05-ADEC-1E9C0F3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940"/>
    <w:rPr>
      <w:lang w:val="en-GB"/>
    </w:rPr>
  </w:style>
  <w:style w:type="paragraph" w:styleId="FootnoteText">
    <w:name w:val="footnote text"/>
    <w:basedOn w:val="Normal"/>
    <w:link w:val="FootnoteTextChar"/>
    <w:uiPriority w:val="99"/>
    <w:semiHidden/>
    <w:unhideWhenUsed/>
    <w:rsid w:val="00675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940"/>
    <w:rPr>
      <w:sz w:val="20"/>
      <w:szCs w:val="20"/>
      <w:lang w:val="en-GB"/>
    </w:rPr>
  </w:style>
  <w:style w:type="character" w:styleId="FootnoteReference">
    <w:name w:val="footnote reference"/>
    <w:basedOn w:val="DefaultParagraphFont"/>
    <w:uiPriority w:val="99"/>
    <w:semiHidden/>
    <w:unhideWhenUsed/>
    <w:rsid w:val="00675940"/>
    <w:rPr>
      <w:vertAlign w:val="superscript"/>
    </w:rPr>
  </w:style>
  <w:style w:type="paragraph" w:styleId="BalloonText">
    <w:name w:val="Balloon Text"/>
    <w:basedOn w:val="Normal"/>
    <w:link w:val="BalloonTextChar"/>
    <w:uiPriority w:val="99"/>
    <w:semiHidden/>
    <w:unhideWhenUsed/>
    <w:rsid w:val="0098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E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2019-05-16T18:30:00+00:00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66CE-E6F0-4C0F-B0C6-912F8BD1E947}"/>
</file>

<file path=customXml/itemProps2.xml><?xml version="1.0" encoding="utf-8"?>
<ds:datastoreItem xmlns:ds="http://schemas.openxmlformats.org/officeDocument/2006/customXml" ds:itemID="{5991CE0F-2EE8-4096-A69C-75FE535B8E9D}"/>
</file>

<file path=customXml/itemProps3.xml><?xml version="1.0" encoding="utf-8"?>
<ds:datastoreItem xmlns:ds="http://schemas.openxmlformats.org/officeDocument/2006/customXml" ds:itemID="{2707F645-DC3B-4FE4-A0AB-85BD707D6380}"/>
</file>

<file path=customXml/itemProps4.xml><?xml version="1.0" encoding="utf-8"?>
<ds:datastoreItem xmlns:ds="http://schemas.openxmlformats.org/officeDocument/2006/customXml" ds:itemID="{0DAF4092-5644-4923-9D87-29B26AAB1543}"/>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Windhoek Renovation CC v Southern Africa Civils CC (HC-MD-CIV-ACT-CON-2017-00121) [2019] NAHCMD 152 (17 May 2019)</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Windhoek Renovation CC v Southern Africa Civils CC (HC-MD-CIV-ACT-CON-2017-00121) [2019] NAHCMD 152 (17 May 2019)</dc:title>
  <dc:subject/>
  <dc:creator>Loide Shilongo</dc:creator>
  <cp:keywords/>
  <dc:description/>
  <cp:lastModifiedBy>Lotta N. Ambunda</cp:lastModifiedBy>
  <cp:revision>2</cp:revision>
  <cp:lastPrinted>2019-05-17T13:33:00Z</cp:lastPrinted>
  <dcterms:created xsi:type="dcterms:W3CDTF">2019-06-04T10:53:00Z</dcterms:created>
  <dcterms:modified xsi:type="dcterms:W3CDTF">2019-06-04T10:53:00Z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