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49" w:rsidRPr="004B6249" w:rsidRDefault="004B6249" w:rsidP="004B6249">
      <w:pPr>
        <w:jc w:val="center"/>
        <w:rPr>
          <w:rFonts w:ascii="Arial" w:hAnsi="Arial" w:cs="Arial"/>
          <w:sz w:val="24"/>
          <w:szCs w:val="24"/>
          <w:lang w:val="en-US"/>
        </w:rPr>
      </w:pPr>
      <w:bookmarkStart w:id="0" w:name="_GoBack"/>
      <w:bookmarkEnd w:id="0"/>
      <w:r w:rsidRPr="004B6249">
        <w:rPr>
          <w:lang w:val="en-US"/>
        </w:rPr>
        <w:t>“</w:t>
      </w:r>
      <w:r w:rsidRPr="004B6249">
        <w:rPr>
          <w:rFonts w:ascii="Arial" w:hAnsi="Arial" w:cs="Arial"/>
          <w:sz w:val="24"/>
          <w:szCs w:val="24"/>
          <w:lang w:val="en-US"/>
        </w:rPr>
        <w:t>ANNEXURE 11”</w:t>
      </w:r>
    </w:p>
    <w:p w:rsidR="004B6249" w:rsidRPr="004B6249" w:rsidRDefault="004B6249" w:rsidP="004B6249">
      <w:pPr>
        <w:jc w:val="center"/>
        <w:rPr>
          <w:rFonts w:ascii="Arial" w:hAnsi="Arial" w:cs="Arial"/>
          <w:sz w:val="24"/>
          <w:szCs w:val="24"/>
          <w:lang w:val="en-US"/>
        </w:rPr>
      </w:pPr>
      <w:r w:rsidRPr="004B6249">
        <w:rPr>
          <w:rFonts w:ascii="Arial" w:hAnsi="Arial" w:cs="Arial"/>
          <w:sz w:val="24"/>
          <w:szCs w:val="24"/>
          <w:lang w:val="en-US"/>
        </w:rPr>
        <w:t>Practice Direction 61</w:t>
      </w:r>
    </w:p>
    <w:p w:rsidR="004B6249" w:rsidRPr="004B6249" w:rsidRDefault="004B6249" w:rsidP="004B6249">
      <w:pPr>
        <w:jc w:val="center"/>
        <w:rPr>
          <w:rFonts w:ascii="Arial" w:hAnsi="Arial" w:cs="Arial"/>
          <w:b/>
          <w:sz w:val="24"/>
          <w:szCs w:val="24"/>
          <w:lang w:val="en-US"/>
        </w:rPr>
      </w:pPr>
      <w:r w:rsidRPr="004B6249">
        <w:rPr>
          <w:rFonts w:ascii="Arial" w:hAnsi="Arial" w:cs="Arial"/>
          <w:b/>
          <w:sz w:val="24"/>
          <w:szCs w:val="24"/>
          <w:lang w:val="en-US"/>
        </w:rPr>
        <w:t>IN THE HIGH COURT OF NAMIBIA</w:t>
      </w:r>
    </w:p>
    <w:p w:rsidR="004B6249" w:rsidRPr="004B6249" w:rsidRDefault="004B6249" w:rsidP="004B6249">
      <w:pPr>
        <w:jc w:val="center"/>
        <w:rPr>
          <w:rFonts w:ascii="Arial" w:hAnsi="Arial" w:cs="Arial"/>
          <w:sz w:val="24"/>
          <w:szCs w:val="24"/>
          <w:lang w:val="en-US"/>
        </w:rPr>
      </w:pPr>
    </w:p>
    <w:tbl>
      <w:tblPr>
        <w:tblStyle w:val="TableGrid"/>
        <w:tblW w:w="10080" w:type="dxa"/>
        <w:tblInd w:w="-275" w:type="dxa"/>
        <w:tblLook w:val="04A0" w:firstRow="1" w:lastRow="0" w:firstColumn="1" w:lastColumn="0" w:noHBand="0" w:noVBand="1"/>
      </w:tblPr>
      <w:tblGrid>
        <w:gridCol w:w="4950"/>
        <w:gridCol w:w="5130"/>
      </w:tblGrid>
      <w:tr w:rsidR="004B6249" w:rsidRPr="004B6249" w:rsidTr="00ED4ACF">
        <w:tc>
          <w:tcPr>
            <w:tcW w:w="4950" w:type="dxa"/>
            <w:vMerge w:val="restart"/>
          </w:tcPr>
          <w:p w:rsidR="004B6249" w:rsidRDefault="004B6249" w:rsidP="004B6249">
            <w:pPr>
              <w:spacing w:line="360" w:lineRule="auto"/>
              <w:rPr>
                <w:rFonts w:ascii="Arial" w:hAnsi="Arial" w:cs="Arial"/>
                <w:b/>
                <w:sz w:val="24"/>
                <w:szCs w:val="24"/>
                <w:lang w:val="en-US"/>
              </w:rPr>
            </w:pPr>
            <w:r w:rsidRPr="004B6249">
              <w:rPr>
                <w:rFonts w:ascii="Arial" w:hAnsi="Arial" w:cs="Arial"/>
                <w:b/>
                <w:sz w:val="24"/>
                <w:szCs w:val="24"/>
                <w:lang w:val="en-US"/>
              </w:rPr>
              <w:t>Case Title:</w:t>
            </w:r>
          </w:p>
          <w:p w:rsidR="004B6249" w:rsidRPr="004B6249" w:rsidRDefault="00E10835" w:rsidP="005622F6">
            <w:pPr>
              <w:spacing w:line="360" w:lineRule="auto"/>
              <w:rPr>
                <w:rFonts w:ascii="Arial" w:hAnsi="Arial" w:cs="Arial"/>
                <w:b/>
                <w:sz w:val="24"/>
                <w:szCs w:val="24"/>
                <w:lang w:val="en-US"/>
              </w:rPr>
            </w:pPr>
            <w:r>
              <w:rPr>
                <w:rFonts w:ascii="Arial" w:hAnsi="Arial" w:cs="Arial"/>
                <w:i/>
                <w:sz w:val="24"/>
                <w:szCs w:val="24"/>
                <w:lang w:val="en-US"/>
              </w:rPr>
              <w:t xml:space="preserve">Power-Oyeno Construction </w:t>
            </w:r>
            <w:r w:rsidR="00C94CA8">
              <w:rPr>
                <w:rFonts w:ascii="Arial" w:hAnsi="Arial" w:cs="Arial"/>
                <w:i/>
                <w:sz w:val="24"/>
                <w:szCs w:val="24"/>
                <w:lang w:val="en-US"/>
              </w:rPr>
              <w:t>(Pty) Ltd</w:t>
            </w:r>
            <w:r w:rsidR="004B6249">
              <w:rPr>
                <w:rFonts w:ascii="Arial" w:hAnsi="Arial" w:cs="Arial"/>
                <w:i/>
                <w:sz w:val="24"/>
                <w:szCs w:val="24"/>
                <w:lang w:val="en-US"/>
              </w:rPr>
              <w:t xml:space="preserve"> </w:t>
            </w:r>
            <w:r w:rsidR="004B6249" w:rsidRPr="004B6249">
              <w:rPr>
                <w:rFonts w:ascii="Arial" w:hAnsi="Arial" w:cs="Arial"/>
                <w:i/>
                <w:sz w:val="24"/>
                <w:szCs w:val="24"/>
                <w:lang w:val="en-US"/>
              </w:rPr>
              <w:t xml:space="preserve">v </w:t>
            </w:r>
            <w:r w:rsidR="004B6249">
              <w:rPr>
                <w:rFonts w:ascii="Arial" w:hAnsi="Arial" w:cs="Arial"/>
                <w:i/>
                <w:sz w:val="24"/>
                <w:szCs w:val="24"/>
                <w:lang w:val="en-US"/>
              </w:rPr>
              <w:t xml:space="preserve">National Housing </w:t>
            </w:r>
            <w:r w:rsidR="00C94CA8">
              <w:rPr>
                <w:rFonts w:ascii="Arial" w:hAnsi="Arial" w:cs="Arial"/>
                <w:i/>
                <w:sz w:val="24"/>
                <w:szCs w:val="24"/>
                <w:lang w:val="en-US"/>
              </w:rPr>
              <w:t xml:space="preserve">Enterprise </w:t>
            </w:r>
          </w:p>
        </w:tc>
        <w:tc>
          <w:tcPr>
            <w:tcW w:w="5130" w:type="dxa"/>
          </w:tcPr>
          <w:p w:rsidR="004B6249" w:rsidRPr="004B6249" w:rsidRDefault="004B6249" w:rsidP="004B6249">
            <w:pPr>
              <w:spacing w:line="360" w:lineRule="auto"/>
              <w:rPr>
                <w:rFonts w:ascii="Arial" w:hAnsi="Arial" w:cs="Arial"/>
                <w:b/>
                <w:sz w:val="24"/>
                <w:szCs w:val="24"/>
                <w:lang w:val="en-US"/>
              </w:rPr>
            </w:pPr>
            <w:r w:rsidRPr="004B6249">
              <w:rPr>
                <w:rFonts w:ascii="Arial" w:hAnsi="Arial" w:cs="Arial"/>
                <w:b/>
                <w:sz w:val="24"/>
                <w:szCs w:val="24"/>
                <w:lang w:val="en-US"/>
              </w:rPr>
              <w:t>Case No.:</w:t>
            </w:r>
          </w:p>
          <w:p w:rsidR="004B6249" w:rsidRPr="004B6249" w:rsidRDefault="004B6249" w:rsidP="004B6249">
            <w:pPr>
              <w:spacing w:line="360" w:lineRule="auto"/>
              <w:rPr>
                <w:rFonts w:ascii="Arial" w:hAnsi="Arial" w:cs="Arial"/>
                <w:sz w:val="24"/>
                <w:szCs w:val="24"/>
                <w:lang w:val="en-US"/>
              </w:rPr>
            </w:pPr>
            <w:r>
              <w:rPr>
                <w:rFonts w:ascii="Arial" w:hAnsi="Arial" w:cs="Arial"/>
                <w:sz w:val="24"/>
                <w:szCs w:val="24"/>
                <w:lang w:val="en-US"/>
              </w:rPr>
              <w:t>HC-MD-CIV-ACT-CON</w:t>
            </w:r>
            <w:r w:rsidRPr="004B6249">
              <w:rPr>
                <w:rFonts w:ascii="Arial" w:hAnsi="Arial" w:cs="Arial"/>
                <w:sz w:val="24"/>
                <w:szCs w:val="24"/>
                <w:lang w:val="en-US"/>
              </w:rPr>
              <w:t>-</w:t>
            </w:r>
            <w:r>
              <w:rPr>
                <w:rFonts w:ascii="Arial" w:hAnsi="Arial" w:cs="Arial"/>
                <w:sz w:val="24"/>
                <w:szCs w:val="24"/>
                <w:lang w:val="en-US"/>
              </w:rPr>
              <w:t>2018/01993</w:t>
            </w:r>
          </w:p>
          <w:p w:rsidR="004B6249" w:rsidRPr="004B6249" w:rsidRDefault="004B6249" w:rsidP="004B6249">
            <w:pPr>
              <w:spacing w:line="360" w:lineRule="auto"/>
              <w:rPr>
                <w:rFonts w:ascii="Arial" w:hAnsi="Arial" w:cs="Arial"/>
                <w:sz w:val="24"/>
                <w:szCs w:val="24"/>
                <w:lang w:val="en-US"/>
              </w:rPr>
            </w:pPr>
          </w:p>
        </w:tc>
      </w:tr>
      <w:tr w:rsidR="004B6249" w:rsidRPr="004B6249" w:rsidTr="00ED4ACF">
        <w:tc>
          <w:tcPr>
            <w:tcW w:w="4950" w:type="dxa"/>
            <w:vMerge/>
          </w:tcPr>
          <w:p w:rsidR="004B6249" w:rsidRPr="004B6249" w:rsidRDefault="004B6249" w:rsidP="004B6249">
            <w:pPr>
              <w:spacing w:line="360" w:lineRule="auto"/>
              <w:rPr>
                <w:rFonts w:ascii="Arial" w:hAnsi="Arial" w:cs="Arial"/>
                <w:sz w:val="24"/>
                <w:szCs w:val="24"/>
                <w:lang w:val="en-US"/>
              </w:rPr>
            </w:pPr>
          </w:p>
        </w:tc>
        <w:tc>
          <w:tcPr>
            <w:tcW w:w="5130" w:type="dxa"/>
          </w:tcPr>
          <w:p w:rsidR="004B6249" w:rsidRPr="004B6249" w:rsidRDefault="004B6249" w:rsidP="004B6249">
            <w:pPr>
              <w:spacing w:line="360" w:lineRule="auto"/>
              <w:rPr>
                <w:rFonts w:ascii="Arial" w:hAnsi="Arial" w:cs="Arial"/>
                <w:sz w:val="24"/>
                <w:szCs w:val="24"/>
                <w:lang w:val="en-US"/>
              </w:rPr>
            </w:pPr>
            <w:r w:rsidRPr="004B6249">
              <w:rPr>
                <w:rFonts w:ascii="Arial" w:hAnsi="Arial" w:cs="Arial"/>
                <w:b/>
                <w:sz w:val="24"/>
                <w:szCs w:val="24"/>
                <w:lang w:val="en-US"/>
              </w:rPr>
              <w:t>Division of Court</w:t>
            </w:r>
            <w:r w:rsidRPr="004B6249">
              <w:rPr>
                <w:rFonts w:ascii="Arial" w:hAnsi="Arial" w:cs="Arial"/>
                <w:sz w:val="24"/>
                <w:szCs w:val="24"/>
                <w:lang w:val="en-US"/>
              </w:rPr>
              <w:t>:</w:t>
            </w:r>
          </w:p>
          <w:p w:rsidR="004B6249" w:rsidRPr="004B6249" w:rsidRDefault="004B6249" w:rsidP="004B6249">
            <w:pPr>
              <w:spacing w:line="360" w:lineRule="auto"/>
              <w:rPr>
                <w:rFonts w:ascii="Arial" w:hAnsi="Arial" w:cs="Arial"/>
                <w:sz w:val="24"/>
                <w:szCs w:val="24"/>
                <w:lang w:val="en-US"/>
              </w:rPr>
            </w:pPr>
            <w:r w:rsidRPr="004B6249">
              <w:rPr>
                <w:rFonts w:ascii="Arial" w:hAnsi="Arial" w:cs="Arial"/>
                <w:sz w:val="24"/>
                <w:szCs w:val="24"/>
                <w:lang w:val="en-US"/>
              </w:rPr>
              <w:t>High Court (Main Division)</w:t>
            </w:r>
          </w:p>
          <w:p w:rsidR="004B6249" w:rsidRPr="004B6249" w:rsidRDefault="004B6249" w:rsidP="004B6249">
            <w:pPr>
              <w:spacing w:line="360" w:lineRule="auto"/>
              <w:rPr>
                <w:rFonts w:ascii="Arial" w:hAnsi="Arial" w:cs="Arial"/>
                <w:sz w:val="24"/>
                <w:szCs w:val="24"/>
                <w:lang w:val="en-US"/>
              </w:rPr>
            </w:pPr>
          </w:p>
        </w:tc>
      </w:tr>
      <w:tr w:rsidR="004B6249" w:rsidRPr="004B6249" w:rsidTr="00ED4ACF">
        <w:tc>
          <w:tcPr>
            <w:tcW w:w="4950" w:type="dxa"/>
            <w:vMerge w:val="restart"/>
          </w:tcPr>
          <w:p w:rsidR="004B6249" w:rsidRPr="004B6249" w:rsidRDefault="004B6249" w:rsidP="004B6249">
            <w:pPr>
              <w:spacing w:line="360" w:lineRule="auto"/>
              <w:rPr>
                <w:rFonts w:ascii="Arial" w:hAnsi="Arial" w:cs="Arial"/>
                <w:b/>
                <w:sz w:val="24"/>
                <w:szCs w:val="24"/>
                <w:lang w:val="en-US"/>
              </w:rPr>
            </w:pPr>
            <w:r w:rsidRPr="004B6249">
              <w:rPr>
                <w:rFonts w:ascii="Arial" w:hAnsi="Arial" w:cs="Arial"/>
                <w:b/>
                <w:sz w:val="24"/>
                <w:szCs w:val="24"/>
                <w:lang w:val="en-US"/>
              </w:rPr>
              <w:t>Heard/tried before:</w:t>
            </w:r>
          </w:p>
          <w:p w:rsidR="004B6249" w:rsidRPr="004B6249" w:rsidRDefault="004B6249" w:rsidP="004B6249">
            <w:pPr>
              <w:spacing w:line="360" w:lineRule="auto"/>
              <w:rPr>
                <w:rFonts w:ascii="Arial" w:hAnsi="Arial" w:cs="Arial"/>
                <w:sz w:val="24"/>
                <w:szCs w:val="24"/>
                <w:lang w:val="en-US"/>
              </w:rPr>
            </w:pPr>
            <w:r w:rsidRPr="004B6249">
              <w:rPr>
                <w:rFonts w:ascii="Arial" w:hAnsi="Arial" w:cs="Arial"/>
                <w:sz w:val="24"/>
                <w:szCs w:val="24"/>
                <w:lang w:val="en-US"/>
              </w:rPr>
              <w:t>Honourable Mr Justice B Usiku J</w:t>
            </w:r>
          </w:p>
        </w:tc>
        <w:tc>
          <w:tcPr>
            <w:tcW w:w="5130" w:type="dxa"/>
          </w:tcPr>
          <w:p w:rsidR="004B6249" w:rsidRPr="004B6249" w:rsidRDefault="004B6249" w:rsidP="004B6249">
            <w:pPr>
              <w:spacing w:line="360" w:lineRule="auto"/>
              <w:rPr>
                <w:rFonts w:ascii="Arial" w:hAnsi="Arial" w:cs="Arial"/>
                <w:b/>
                <w:sz w:val="24"/>
                <w:szCs w:val="24"/>
                <w:lang w:val="en-US"/>
              </w:rPr>
            </w:pPr>
            <w:r w:rsidRPr="004B6249">
              <w:rPr>
                <w:rFonts w:ascii="Arial" w:hAnsi="Arial" w:cs="Arial"/>
                <w:b/>
                <w:sz w:val="24"/>
                <w:szCs w:val="24"/>
                <w:lang w:val="en-US"/>
              </w:rPr>
              <w:t>Date of hearing:</w:t>
            </w:r>
          </w:p>
          <w:p w:rsidR="004B6249" w:rsidRPr="004B6249" w:rsidRDefault="004B6249" w:rsidP="004B6249">
            <w:pPr>
              <w:spacing w:line="360" w:lineRule="auto"/>
              <w:rPr>
                <w:rFonts w:ascii="Arial" w:hAnsi="Arial" w:cs="Arial"/>
                <w:sz w:val="24"/>
                <w:szCs w:val="24"/>
                <w:lang w:val="en-US"/>
              </w:rPr>
            </w:pPr>
            <w:r>
              <w:rPr>
                <w:rFonts w:ascii="Arial" w:hAnsi="Arial" w:cs="Arial"/>
                <w:sz w:val="24"/>
                <w:szCs w:val="24"/>
                <w:lang w:val="en-US"/>
              </w:rPr>
              <w:t>16</w:t>
            </w:r>
            <w:r w:rsidRPr="004B6249">
              <w:rPr>
                <w:rFonts w:ascii="Arial" w:hAnsi="Arial" w:cs="Arial"/>
                <w:sz w:val="24"/>
                <w:szCs w:val="24"/>
                <w:lang w:val="en-US"/>
              </w:rPr>
              <w:t xml:space="preserve"> May 2019</w:t>
            </w:r>
          </w:p>
          <w:p w:rsidR="004B6249" w:rsidRPr="004B6249" w:rsidRDefault="004B6249" w:rsidP="004B6249">
            <w:pPr>
              <w:spacing w:line="360" w:lineRule="auto"/>
              <w:rPr>
                <w:rFonts w:ascii="Arial" w:hAnsi="Arial" w:cs="Arial"/>
                <w:sz w:val="24"/>
                <w:szCs w:val="24"/>
                <w:lang w:val="en-US"/>
              </w:rPr>
            </w:pPr>
          </w:p>
        </w:tc>
      </w:tr>
      <w:tr w:rsidR="004B6249" w:rsidRPr="004B6249" w:rsidTr="00ED4ACF">
        <w:tc>
          <w:tcPr>
            <w:tcW w:w="4950" w:type="dxa"/>
            <w:vMerge/>
          </w:tcPr>
          <w:p w:rsidR="004B6249" w:rsidRPr="004B6249" w:rsidRDefault="004B6249" w:rsidP="004B6249">
            <w:pPr>
              <w:rPr>
                <w:rFonts w:ascii="Arial" w:hAnsi="Arial" w:cs="Arial"/>
                <w:b/>
                <w:sz w:val="24"/>
                <w:szCs w:val="24"/>
                <w:lang w:val="en-US"/>
              </w:rPr>
            </w:pPr>
          </w:p>
        </w:tc>
        <w:tc>
          <w:tcPr>
            <w:tcW w:w="5130" w:type="dxa"/>
          </w:tcPr>
          <w:p w:rsidR="004B6249" w:rsidRPr="004B6249" w:rsidRDefault="004B6249" w:rsidP="004B6249">
            <w:pPr>
              <w:spacing w:line="360" w:lineRule="auto"/>
              <w:rPr>
                <w:rFonts w:ascii="Arial" w:hAnsi="Arial" w:cs="Arial"/>
                <w:b/>
                <w:sz w:val="24"/>
                <w:szCs w:val="24"/>
                <w:lang w:val="en-US"/>
              </w:rPr>
            </w:pPr>
            <w:r w:rsidRPr="004B6249">
              <w:rPr>
                <w:rFonts w:ascii="Arial" w:hAnsi="Arial" w:cs="Arial"/>
                <w:b/>
                <w:sz w:val="24"/>
                <w:szCs w:val="24"/>
                <w:lang w:val="en-US"/>
              </w:rPr>
              <w:t>Delivered on:</w:t>
            </w:r>
          </w:p>
          <w:p w:rsidR="004B6249" w:rsidRDefault="004B6249" w:rsidP="004B6249">
            <w:pPr>
              <w:spacing w:line="360" w:lineRule="auto"/>
              <w:rPr>
                <w:rFonts w:ascii="Arial" w:hAnsi="Arial" w:cs="Arial"/>
                <w:sz w:val="24"/>
                <w:szCs w:val="24"/>
                <w:lang w:val="en-US"/>
              </w:rPr>
            </w:pPr>
            <w:r>
              <w:rPr>
                <w:rFonts w:ascii="Arial" w:hAnsi="Arial" w:cs="Arial"/>
                <w:sz w:val="24"/>
                <w:szCs w:val="24"/>
                <w:lang w:val="en-US"/>
              </w:rPr>
              <w:t>16</w:t>
            </w:r>
            <w:r w:rsidRPr="004B6249">
              <w:rPr>
                <w:rFonts w:ascii="Arial" w:hAnsi="Arial" w:cs="Arial"/>
                <w:sz w:val="24"/>
                <w:szCs w:val="24"/>
                <w:lang w:val="en-US"/>
              </w:rPr>
              <w:t xml:space="preserve"> May 2019</w:t>
            </w:r>
          </w:p>
          <w:p w:rsidR="004B6249" w:rsidRPr="004B6249" w:rsidRDefault="004B6249" w:rsidP="004B6249">
            <w:pPr>
              <w:spacing w:line="360" w:lineRule="auto"/>
              <w:rPr>
                <w:rFonts w:ascii="Arial" w:hAnsi="Arial" w:cs="Arial"/>
                <w:sz w:val="24"/>
                <w:szCs w:val="24"/>
                <w:lang w:val="en-US"/>
              </w:rPr>
            </w:pPr>
          </w:p>
          <w:p w:rsidR="004B6249" w:rsidRPr="004B6249" w:rsidRDefault="004B6249" w:rsidP="004B6249">
            <w:pPr>
              <w:spacing w:line="360" w:lineRule="auto"/>
              <w:rPr>
                <w:rFonts w:ascii="Arial" w:hAnsi="Arial" w:cs="Arial"/>
                <w:b/>
                <w:sz w:val="24"/>
                <w:szCs w:val="24"/>
                <w:lang w:val="en-US"/>
              </w:rPr>
            </w:pPr>
            <w:r>
              <w:rPr>
                <w:rFonts w:ascii="Arial" w:hAnsi="Arial" w:cs="Arial"/>
                <w:b/>
                <w:sz w:val="24"/>
                <w:szCs w:val="24"/>
                <w:lang w:val="en-US"/>
              </w:rPr>
              <w:t xml:space="preserve">Reasons released </w:t>
            </w:r>
            <w:r w:rsidRPr="004B6249">
              <w:rPr>
                <w:rFonts w:ascii="Arial" w:hAnsi="Arial" w:cs="Arial"/>
                <w:b/>
                <w:sz w:val="24"/>
                <w:szCs w:val="24"/>
                <w:lang w:val="en-US"/>
              </w:rPr>
              <w:t>on:</w:t>
            </w:r>
          </w:p>
          <w:p w:rsidR="004B6249" w:rsidRPr="004B6249" w:rsidRDefault="00C94CA8" w:rsidP="004B6249">
            <w:pPr>
              <w:spacing w:line="360" w:lineRule="auto"/>
              <w:rPr>
                <w:rFonts w:ascii="Arial" w:hAnsi="Arial" w:cs="Arial"/>
                <w:sz w:val="24"/>
                <w:szCs w:val="24"/>
                <w:lang w:val="en-US"/>
              </w:rPr>
            </w:pPr>
            <w:r w:rsidRPr="00C94CA8">
              <w:rPr>
                <w:rFonts w:ascii="Arial" w:hAnsi="Arial" w:cs="Arial"/>
                <w:sz w:val="24"/>
                <w:szCs w:val="24"/>
                <w:lang w:val="en-US"/>
              </w:rPr>
              <w:t>21 May 2019</w:t>
            </w:r>
          </w:p>
        </w:tc>
      </w:tr>
      <w:tr w:rsidR="004B6249" w:rsidRPr="004B6249" w:rsidTr="00ED4ACF">
        <w:tc>
          <w:tcPr>
            <w:tcW w:w="10080" w:type="dxa"/>
            <w:gridSpan w:val="2"/>
          </w:tcPr>
          <w:p w:rsidR="004B6249" w:rsidRPr="004B6249" w:rsidRDefault="004B6249" w:rsidP="004B6249">
            <w:pPr>
              <w:spacing w:line="360" w:lineRule="auto"/>
              <w:rPr>
                <w:rFonts w:ascii="Arial" w:hAnsi="Arial" w:cs="Arial"/>
                <w:sz w:val="24"/>
                <w:szCs w:val="24"/>
                <w:lang w:val="en-US"/>
              </w:rPr>
            </w:pPr>
            <w:r w:rsidRPr="004B6249">
              <w:rPr>
                <w:rFonts w:ascii="Arial" w:hAnsi="Arial" w:cs="Arial"/>
                <w:b/>
                <w:sz w:val="24"/>
                <w:szCs w:val="24"/>
                <w:lang w:val="en-US"/>
              </w:rPr>
              <w:t xml:space="preserve">Neutral citation:  </w:t>
            </w:r>
            <w:r w:rsidR="00C94CA8">
              <w:rPr>
                <w:rFonts w:ascii="Arial" w:hAnsi="Arial" w:cs="Arial"/>
                <w:i/>
                <w:sz w:val="24"/>
                <w:szCs w:val="24"/>
                <w:lang w:val="en-US"/>
              </w:rPr>
              <w:t xml:space="preserve">Power-Oyeno Construction (Pty) Ltd </w:t>
            </w:r>
            <w:r w:rsidRPr="004B6249">
              <w:rPr>
                <w:rFonts w:ascii="Arial" w:hAnsi="Arial" w:cs="Arial"/>
                <w:i/>
                <w:sz w:val="24"/>
                <w:szCs w:val="24"/>
                <w:lang w:val="en-US"/>
              </w:rPr>
              <w:t xml:space="preserve">v </w:t>
            </w:r>
            <w:r w:rsidR="00C17860">
              <w:rPr>
                <w:rFonts w:ascii="Arial" w:hAnsi="Arial" w:cs="Arial"/>
                <w:i/>
                <w:sz w:val="24"/>
                <w:szCs w:val="24"/>
                <w:lang w:val="en-US"/>
              </w:rPr>
              <w:t>National Housing Enterpri</w:t>
            </w:r>
            <w:r w:rsidR="00C94CA8">
              <w:rPr>
                <w:rFonts w:ascii="Arial" w:hAnsi="Arial" w:cs="Arial"/>
                <w:i/>
                <w:sz w:val="24"/>
                <w:szCs w:val="24"/>
                <w:lang w:val="en-US"/>
              </w:rPr>
              <w:t xml:space="preserve">ses </w:t>
            </w:r>
            <w:r w:rsidR="00C94CA8" w:rsidRPr="004B6249">
              <w:rPr>
                <w:rFonts w:ascii="Arial" w:hAnsi="Arial" w:cs="Arial"/>
                <w:i/>
                <w:sz w:val="24"/>
                <w:szCs w:val="24"/>
                <w:lang w:val="en-US"/>
              </w:rPr>
              <w:t>(</w:t>
            </w:r>
            <w:r w:rsidRPr="004B6249">
              <w:rPr>
                <w:rFonts w:ascii="Arial" w:hAnsi="Arial" w:cs="Arial"/>
                <w:sz w:val="24"/>
                <w:szCs w:val="24"/>
                <w:lang w:val="en-US"/>
              </w:rPr>
              <w:t>HC-MD-CIV-ACT-</w:t>
            </w:r>
            <w:r w:rsidR="008C1D23">
              <w:rPr>
                <w:rFonts w:ascii="Arial" w:hAnsi="Arial" w:cs="Arial"/>
                <w:sz w:val="24"/>
                <w:szCs w:val="24"/>
                <w:lang w:val="en-US"/>
              </w:rPr>
              <w:t xml:space="preserve"> CON</w:t>
            </w:r>
            <w:r w:rsidRPr="004B6249">
              <w:rPr>
                <w:rFonts w:ascii="Arial" w:hAnsi="Arial" w:cs="Arial"/>
                <w:sz w:val="24"/>
                <w:szCs w:val="24"/>
                <w:lang w:val="en-US"/>
              </w:rPr>
              <w:t>-</w:t>
            </w:r>
            <w:r w:rsidR="008C1D23">
              <w:rPr>
                <w:rFonts w:ascii="Arial" w:hAnsi="Arial" w:cs="Arial"/>
                <w:sz w:val="24"/>
                <w:szCs w:val="24"/>
                <w:lang w:val="en-US"/>
              </w:rPr>
              <w:t>2018/019</w:t>
            </w:r>
            <w:r w:rsidR="00C17860">
              <w:rPr>
                <w:rFonts w:ascii="Arial" w:hAnsi="Arial" w:cs="Arial"/>
                <w:sz w:val="24"/>
                <w:szCs w:val="24"/>
                <w:lang w:val="en-US"/>
              </w:rPr>
              <w:t>93) [2019] NA</w:t>
            </w:r>
            <w:r w:rsidR="00913E9D">
              <w:rPr>
                <w:rFonts w:ascii="Arial" w:hAnsi="Arial" w:cs="Arial"/>
                <w:sz w:val="24"/>
                <w:szCs w:val="24"/>
                <w:lang w:val="en-US"/>
              </w:rPr>
              <w:t>H</w:t>
            </w:r>
            <w:r w:rsidR="00C17860">
              <w:rPr>
                <w:rFonts w:ascii="Arial" w:hAnsi="Arial" w:cs="Arial"/>
                <w:sz w:val="24"/>
                <w:szCs w:val="24"/>
                <w:lang w:val="en-US"/>
              </w:rPr>
              <w:t>C</w:t>
            </w:r>
            <w:r w:rsidRPr="004B6249">
              <w:rPr>
                <w:rFonts w:ascii="Arial" w:hAnsi="Arial" w:cs="Arial"/>
                <w:sz w:val="24"/>
                <w:szCs w:val="24"/>
                <w:lang w:val="en-US"/>
              </w:rPr>
              <w:t xml:space="preserve">MD </w:t>
            </w:r>
            <w:r w:rsidR="007D773B">
              <w:rPr>
                <w:rFonts w:ascii="Arial" w:hAnsi="Arial" w:cs="Arial"/>
                <w:sz w:val="24"/>
                <w:szCs w:val="24"/>
                <w:lang w:val="en-US"/>
              </w:rPr>
              <w:t>159</w:t>
            </w:r>
            <w:r w:rsidRPr="004B6249">
              <w:rPr>
                <w:rFonts w:ascii="Arial" w:hAnsi="Arial" w:cs="Arial"/>
                <w:sz w:val="24"/>
                <w:szCs w:val="24"/>
                <w:lang w:val="en-US"/>
              </w:rPr>
              <w:t xml:space="preserve"> (</w:t>
            </w:r>
            <w:r w:rsidR="00C94CA8">
              <w:rPr>
                <w:rFonts w:ascii="Arial" w:hAnsi="Arial" w:cs="Arial"/>
                <w:sz w:val="24"/>
                <w:szCs w:val="24"/>
                <w:lang w:val="en-US"/>
              </w:rPr>
              <w:t>21</w:t>
            </w:r>
            <w:r w:rsidRPr="004B6249">
              <w:rPr>
                <w:rFonts w:ascii="Arial" w:hAnsi="Arial" w:cs="Arial"/>
                <w:sz w:val="24"/>
                <w:szCs w:val="24"/>
                <w:lang w:val="en-US"/>
              </w:rPr>
              <w:t xml:space="preserve"> May 2019)</w:t>
            </w:r>
          </w:p>
          <w:p w:rsidR="004B6249" w:rsidRPr="004B6249" w:rsidRDefault="004B6249" w:rsidP="004B6249">
            <w:pPr>
              <w:rPr>
                <w:rFonts w:ascii="Arial" w:hAnsi="Arial" w:cs="Arial"/>
                <w:sz w:val="24"/>
                <w:szCs w:val="24"/>
                <w:lang w:val="en-US"/>
              </w:rPr>
            </w:pPr>
          </w:p>
        </w:tc>
      </w:tr>
      <w:tr w:rsidR="004B6249" w:rsidRPr="004B6249" w:rsidTr="00ED4ACF">
        <w:tc>
          <w:tcPr>
            <w:tcW w:w="10080" w:type="dxa"/>
            <w:gridSpan w:val="2"/>
          </w:tcPr>
          <w:p w:rsidR="004B6249" w:rsidRPr="004B6249" w:rsidRDefault="004B6249" w:rsidP="004B6249">
            <w:pPr>
              <w:spacing w:line="360" w:lineRule="auto"/>
              <w:rPr>
                <w:rFonts w:ascii="Arial" w:hAnsi="Arial" w:cs="Arial"/>
                <w:b/>
                <w:sz w:val="24"/>
                <w:szCs w:val="24"/>
                <w:lang w:val="en-US"/>
              </w:rPr>
            </w:pPr>
          </w:p>
          <w:p w:rsidR="004B6249" w:rsidRPr="004B6249" w:rsidRDefault="004B6249" w:rsidP="004B6249">
            <w:pPr>
              <w:tabs>
                <w:tab w:val="left" w:pos="687"/>
              </w:tabs>
              <w:spacing w:line="360" w:lineRule="auto"/>
              <w:rPr>
                <w:rFonts w:ascii="Arial" w:hAnsi="Arial" w:cs="Arial"/>
                <w:b/>
                <w:sz w:val="24"/>
                <w:szCs w:val="24"/>
                <w:lang w:val="en-US"/>
              </w:rPr>
            </w:pPr>
            <w:r w:rsidRPr="004B6249">
              <w:rPr>
                <w:rFonts w:ascii="Arial" w:hAnsi="Arial" w:cs="Arial"/>
                <w:b/>
                <w:sz w:val="24"/>
                <w:szCs w:val="24"/>
                <w:lang w:val="en-US"/>
              </w:rPr>
              <w:t>The Order:</w:t>
            </w:r>
          </w:p>
          <w:p w:rsidR="004B6249" w:rsidRPr="004B6249" w:rsidRDefault="00F21FB1" w:rsidP="004B6249">
            <w:pPr>
              <w:spacing w:line="360" w:lineRule="auto"/>
              <w:rPr>
                <w:rFonts w:ascii="Arial" w:hAnsi="Arial" w:cs="Arial"/>
                <w:sz w:val="24"/>
                <w:szCs w:val="24"/>
                <w:lang w:val="en-US"/>
              </w:rPr>
            </w:pPr>
            <w:r>
              <w:rPr>
                <w:rFonts w:ascii="Arial" w:hAnsi="Arial" w:cs="Arial"/>
                <w:sz w:val="24"/>
                <w:szCs w:val="24"/>
                <w:lang w:val="en-US"/>
              </w:rPr>
              <w:t>Having heard counsel for both parties and having</w:t>
            </w:r>
            <w:r w:rsidR="004B6249" w:rsidRPr="004B6249">
              <w:rPr>
                <w:rFonts w:ascii="Arial" w:hAnsi="Arial" w:cs="Arial"/>
                <w:sz w:val="24"/>
                <w:szCs w:val="24"/>
                <w:lang w:val="en-US"/>
              </w:rPr>
              <w:t xml:space="preserve"> read documents filed of record:</w:t>
            </w:r>
          </w:p>
          <w:p w:rsidR="004B6249" w:rsidRPr="004B6249" w:rsidRDefault="004B6249" w:rsidP="004B6249">
            <w:pPr>
              <w:spacing w:line="360" w:lineRule="auto"/>
              <w:rPr>
                <w:rFonts w:ascii="Arial" w:hAnsi="Arial" w:cs="Arial"/>
                <w:sz w:val="24"/>
                <w:szCs w:val="24"/>
                <w:lang w:val="en-US"/>
              </w:rPr>
            </w:pPr>
          </w:p>
          <w:p w:rsidR="004B6249" w:rsidRPr="004B6249" w:rsidRDefault="004B6249" w:rsidP="004B6249">
            <w:pPr>
              <w:spacing w:line="360" w:lineRule="auto"/>
              <w:rPr>
                <w:rFonts w:ascii="Arial" w:hAnsi="Arial" w:cs="Arial"/>
                <w:b/>
                <w:sz w:val="24"/>
                <w:szCs w:val="24"/>
                <w:lang w:val="en-US"/>
              </w:rPr>
            </w:pPr>
            <w:r w:rsidRPr="004B6249">
              <w:rPr>
                <w:rFonts w:ascii="Arial" w:hAnsi="Arial" w:cs="Arial"/>
                <w:b/>
                <w:sz w:val="24"/>
                <w:szCs w:val="24"/>
                <w:lang w:val="en-US"/>
              </w:rPr>
              <w:t>IT IS ORDERED THAT:</w:t>
            </w:r>
          </w:p>
          <w:p w:rsidR="00F21FB1" w:rsidRDefault="004B6249" w:rsidP="00F21FB1">
            <w:pPr>
              <w:tabs>
                <w:tab w:val="left" w:pos="432"/>
              </w:tabs>
              <w:spacing w:line="360" w:lineRule="auto"/>
              <w:rPr>
                <w:rFonts w:ascii="Arial" w:hAnsi="Arial" w:cs="Arial"/>
                <w:sz w:val="24"/>
                <w:szCs w:val="24"/>
                <w:lang w:val="en-US"/>
              </w:rPr>
            </w:pPr>
            <w:r w:rsidRPr="004B6249">
              <w:rPr>
                <w:rFonts w:ascii="Arial" w:hAnsi="Arial" w:cs="Arial"/>
                <w:sz w:val="24"/>
                <w:szCs w:val="24"/>
                <w:lang w:val="en-US"/>
              </w:rPr>
              <w:t>1.</w:t>
            </w:r>
            <w:r w:rsidRPr="004B6249">
              <w:rPr>
                <w:rFonts w:ascii="Arial" w:hAnsi="Arial" w:cs="Arial"/>
                <w:sz w:val="24"/>
                <w:szCs w:val="24"/>
                <w:lang w:val="en-US"/>
              </w:rPr>
              <w:tab/>
            </w:r>
            <w:r w:rsidR="00AB1933">
              <w:rPr>
                <w:rFonts w:ascii="Arial" w:hAnsi="Arial" w:cs="Arial"/>
                <w:sz w:val="24"/>
                <w:szCs w:val="24"/>
                <w:lang w:val="en-US"/>
              </w:rPr>
              <w:t>The second defendant’s excep</w:t>
            </w:r>
            <w:r w:rsidR="00F21FB1">
              <w:rPr>
                <w:rFonts w:ascii="Arial" w:hAnsi="Arial" w:cs="Arial"/>
                <w:sz w:val="24"/>
                <w:szCs w:val="24"/>
                <w:lang w:val="en-US"/>
              </w:rPr>
              <w:t xml:space="preserve">tions to the plaintiff’s particulars of </w:t>
            </w:r>
            <w:r w:rsidR="00263500">
              <w:rPr>
                <w:rFonts w:ascii="Arial" w:hAnsi="Arial" w:cs="Arial"/>
                <w:sz w:val="24"/>
                <w:szCs w:val="24"/>
                <w:lang w:val="en-US"/>
              </w:rPr>
              <w:t>claim, are dismissed</w:t>
            </w:r>
            <w:r w:rsidR="00F21FB1">
              <w:rPr>
                <w:rFonts w:ascii="Arial" w:hAnsi="Arial" w:cs="Arial"/>
                <w:sz w:val="24"/>
                <w:szCs w:val="24"/>
                <w:lang w:val="en-US"/>
              </w:rPr>
              <w:t>.</w:t>
            </w:r>
          </w:p>
          <w:p w:rsidR="00F21FB1" w:rsidRDefault="00F21FB1" w:rsidP="00F21FB1">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second defendant is ordered to pay the plaintiff’s costs occasioned by the </w:t>
            </w:r>
            <w:r>
              <w:rPr>
                <w:rFonts w:ascii="Arial" w:hAnsi="Arial" w:cs="Arial"/>
                <w:sz w:val="24"/>
                <w:szCs w:val="24"/>
                <w:lang w:val="en-US"/>
              </w:rPr>
              <w:tab/>
              <w:t xml:space="preserve">exceptions, and such costs include costs of one instructing and two instructed legal </w:t>
            </w:r>
            <w:r>
              <w:rPr>
                <w:rFonts w:ascii="Arial" w:hAnsi="Arial" w:cs="Arial"/>
                <w:sz w:val="24"/>
                <w:szCs w:val="24"/>
                <w:lang w:val="en-US"/>
              </w:rPr>
              <w:tab/>
              <w:t xml:space="preserve">practitioners. It is hereby directed the costs referred to herein shall not be limited in </w:t>
            </w:r>
            <w:r>
              <w:rPr>
                <w:rFonts w:ascii="Arial" w:hAnsi="Arial" w:cs="Arial"/>
                <w:sz w:val="24"/>
                <w:szCs w:val="24"/>
                <w:lang w:val="en-US"/>
              </w:rPr>
              <w:tab/>
              <w:t>terms of rule 32(11).</w:t>
            </w:r>
          </w:p>
          <w:p w:rsidR="00F21FB1" w:rsidRDefault="00F21FB1" w:rsidP="00F21FB1">
            <w:pPr>
              <w:tabs>
                <w:tab w:val="left" w:pos="432"/>
              </w:tabs>
              <w:spacing w:line="360" w:lineRule="auto"/>
              <w:rPr>
                <w:rFonts w:ascii="Arial" w:hAnsi="Arial" w:cs="Arial"/>
                <w:sz w:val="24"/>
                <w:szCs w:val="24"/>
                <w:lang w:val="en-US"/>
              </w:rPr>
            </w:pPr>
            <w:r>
              <w:rPr>
                <w:rFonts w:ascii="Arial" w:hAnsi="Arial" w:cs="Arial"/>
                <w:sz w:val="24"/>
                <w:szCs w:val="24"/>
                <w:lang w:val="en-US"/>
              </w:rPr>
              <w:lastRenderedPageBreak/>
              <w:t>3.</w:t>
            </w:r>
            <w:r>
              <w:rPr>
                <w:rFonts w:ascii="Arial" w:hAnsi="Arial" w:cs="Arial"/>
                <w:sz w:val="24"/>
                <w:szCs w:val="24"/>
                <w:lang w:val="en-US"/>
              </w:rPr>
              <w:tab/>
              <w:t>The matte</w:t>
            </w:r>
            <w:r w:rsidR="007A5EF0">
              <w:rPr>
                <w:rFonts w:ascii="Arial" w:hAnsi="Arial" w:cs="Arial"/>
                <w:sz w:val="24"/>
                <w:szCs w:val="24"/>
                <w:lang w:val="en-US"/>
              </w:rPr>
              <w:t>r</w:t>
            </w:r>
            <w:r>
              <w:rPr>
                <w:rFonts w:ascii="Arial" w:hAnsi="Arial" w:cs="Arial"/>
                <w:sz w:val="24"/>
                <w:szCs w:val="24"/>
                <w:lang w:val="en-US"/>
              </w:rPr>
              <w:t xml:space="preserve"> is postponed to 27 July 2019 at 15:15 for </w:t>
            </w:r>
            <w:r w:rsidR="00C17860">
              <w:rPr>
                <w:rFonts w:ascii="Arial" w:hAnsi="Arial" w:cs="Arial"/>
                <w:sz w:val="24"/>
                <w:szCs w:val="24"/>
                <w:lang w:val="en-US"/>
              </w:rPr>
              <w:t xml:space="preserve">a </w:t>
            </w:r>
            <w:r>
              <w:rPr>
                <w:rFonts w:ascii="Arial" w:hAnsi="Arial" w:cs="Arial"/>
                <w:sz w:val="24"/>
                <w:szCs w:val="24"/>
                <w:lang w:val="en-US"/>
              </w:rPr>
              <w:t>Case Planning Conference.</w:t>
            </w:r>
          </w:p>
          <w:p w:rsidR="004B6249" w:rsidRPr="004B6249" w:rsidRDefault="00F21FB1" w:rsidP="004C114D">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 a joint case plan on or before 18 July 2019.</w:t>
            </w:r>
          </w:p>
        </w:tc>
      </w:tr>
      <w:tr w:rsidR="004B6249" w:rsidRPr="004B6249" w:rsidTr="00ED4ACF">
        <w:tc>
          <w:tcPr>
            <w:tcW w:w="10080" w:type="dxa"/>
            <w:gridSpan w:val="2"/>
          </w:tcPr>
          <w:p w:rsidR="004B6249" w:rsidRPr="004B6249" w:rsidRDefault="004B6249" w:rsidP="004B6249">
            <w:pPr>
              <w:jc w:val="center"/>
              <w:rPr>
                <w:rFonts w:ascii="Arial" w:hAnsi="Arial" w:cs="Arial"/>
                <w:b/>
                <w:sz w:val="24"/>
                <w:szCs w:val="24"/>
                <w:lang w:val="en-US"/>
              </w:rPr>
            </w:pPr>
            <w:r w:rsidRPr="004B6249">
              <w:rPr>
                <w:rFonts w:ascii="Arial" w:hAnsi="Arial" w:cs="Arial"/>
                <w:b/>
                <w:sz w:val="24"/>
                <w:szCs w:val="24"/>
                <w:lang w:val="en-US"/>
              </w:rPr>
              <w:lastRenderedPageBreak/>
              <w:t>Reasons:  Practice Direction 61(9)</w:t>
            </w:r>
          </w:p>
          <w:p w:rsidR="004B6249" w:rsidRPr="004B6249" w:rsidRDefault="004B6249" w:rsidP="004B6249">
            <w:pPr>
              <w:rPr>
                <w:rFonts w:ascii="Arial" w:hAnsi="Arial" w:cs="Arial"/>
                <w:b/>
                <w:sz w:val="24"/>
                <w:szCs w:val="24"/>
                <w:lang w:val="en-US"/>
              </w:rPr>
            </w:pPr>
          </w:p>
        </w:tc>
      </w:tr>
      <w:tr w:rsidR="004B6249" w:rsidRPr="004B6249" w:rsidTr="00ED4ACF">
        <w:tc>
          <w:tcPr>
            <w:tcW w:w="10080" w:type="dxa"/>
            <w:gridSpan w:val="2"/>
          </w:tcPr>
          <w:p w:rsidR="004B6249" w:rsidRPr="004B6249" w:rsidRDefault="004B6249" w:rsidP="004B6249">
            <w:pPr>
              <w:spacing w:line="360" w:lineRule="auto"/>
              <w:jc w:val="both"/>
              <w:rPr>
                <w:rFonts w:ascii="Arial" w:hAnsi="Arial" w:cs="Arial"/>
                <w:sz w:val="24"/>
                <w:szCs w:val="24"/>
                <w:u w:val="single"/>
                <w:lang w:val="en-US"/>
              </w:rPr>
            </w:pPr>
          </w:p>
          <w:p w:rsidR="004B6249" w:rsidRDefault="004B6249" w:rsidP="00CF2CFE">
            <w:pPr>
              <w:tabs>
                <w:tab w:val="left" w:pos="927"/>
              </w:tabs>
              <w:spacing w:line="360" w:lineRule="auto"/>
              <w:jc w:val="both"/>
              <w:rPr>
                <w:rFonts w:ascii="Arial" w:hAnsi="Arial" w:cs="Arial"/>
                <w:sz w:val="24"/>
                <w:szCs w:val="24"/>
                <w:lang w:val="en-US"/>
              </w:rPr>
            </w:pPr>
            <w:r w:rsidRPr="004B6249">
              <w:rPr>
                <w:rFonts w:ascii="Arial" w:hAnsi="Arial" w:cs="Arial"/>
                <w:sz w:val="24"/>
                <w:szCs w:val="24"/>
                <w:lang w:val="en-US"/>
              </w:rPr>
              <w:t>[1]</w:t>
            </w:r>
            <w:r w:rsidRPr="004B6249">
              <w:rPr>
                <w:rFonts w:ascii="Arial" w:hAnsi="Arial" w:cs="Arial"/>
                <w:sz w:val="24"/>
                <w:szCs w:val="24"/>
                <w:lang w:val="en-US"/>
              </w:rPr>
              <w:tab/>
            </w:r>
            <w:r w:rsidR="007A5EF0">
              <w:rPr>
                <w:rFonts w:ascii="Arial" w:hAnsi="Arial" w:cs="Arial"/>
                <w:sz w:val="24"/>
                <w:szCs w:val="24"/>
                <w:lang w:val="en-US"/>
              </w:rPr>
              <w:t>This matter concerns a</w:t>
            </w:r>
            <w:r w:rsidR="00CF2CFE">
              <w:rPr>
                <w:rFonts w:ascii="Arial" w:hAnsi="Arial" w:cs="Arial"/>
                <w:sz w:val="24"/>
                <w:szCs w:val="24"/>
                <w:lang w:val="en-US"/>
              </w:rPr>
              <w:t>n exception launched by the second defendant to the plaintiff’s particulars of claim on the basis that the particulars of claim do not disclose a cause of action, alternatively are vague and embarrassing.</w:t>
            </w:r>
          </w:p>
          <w:p w:rsidR="00CF2CFE" w:rsidRDefault="00CF2CFE" w:rsidP="00CF2CFE">
            <w:pPr>
              <w:tabs>
                <w:tab w:val="left" w:pos="927"/>
              </w:tabs>
              <w:spacing w:line="360" w:lineRule="auto"/>
              <w:jc w:val="both"/>
              <w:rPr>
                <w:rFonts w:ascii="Arial" w:hAnsi="Arial" w:cs="Arial"/>
                <w:sz w:val="24"/>
                <w:szCs w:val="24"/>
                <w:lang w:val="en-US"/>
              </w:rPr>
            </w:pPr>
          </w:p>
          <w:p w:rsidR="00CF2CFE" w:rsidRDefault="00CF2CFE" w:rsidP="00CF2CFE">
            <w:pPr>
              <w:tabs>
                <w:tab w:val="left" w:pos="927"/>
              </w:tabs>
              <w:spacing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second defendant </w:t>
            </w:r>
            <w:r w:rsidR="00997895">
              <w:rPr>
                <w:rFonts w:ascii="Arial" w:hAnsi="Arial" w:cs="Arial"/>
                <w:sz w:val="24"/>
                <w:szCs w:val="24"/>
                <w:lang w:val="en-US"/>
              </w:rPr>
              <w:t>raises two grounds of exception</w:t>
            </w:r>
            <w:r>
              <w:rPr>
                <w:rFonts w:ascii="Arial" w:hAnsi="Arial" w:cs="Arial"/>
                <w:sz w:val="24"/>
                <w:szCs w:val="24"/>
                <w:lang w:val="en-US"/>
              </w:rPr>
              <w:t>.</w:t>
            </w:r>
          </w:p>
          <w:p w:rsidR="00CF2CFE" w:rsidRDefault="00CF2CFE" w:rsidP="00CF2CFE">
            <w:pPr>
              <w:tabs>
                <w:tab w:val="left" w:pos="927"/>
              </w:tabs>
              <w:spacing w:line="360" w:lineRule="auto"/>
              <w:jc w:val="both"/>
              <w:rPr>
                <w:rFonts w:ascii="Arial" w:hAnsi="Arial" w:cs="Arial"/>
                <w:sz w:val="24"/>
                <w:szCs w:val="24"/>
                <w:lang w:val="en-US"/>
              </w:rPr>
            </w:pPr>
          </w:p>
          <w:p w:rsidR="00CF2CFE" w:rsidRDefault="00CF2CFE"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In its first ground of exception the second defendant contends that the plaintiff relies for its cause of action on payment certificates</w:t>
            </w:r>
            <w:r w:rsidR="00F56A46">
              <w:rPr>
                <w:rFonts w:ascii="Arial" w:hAnsi="Arial" w:cs="Arial"/>
                <w:sz w:val="24"/>
                <w:szCs w:val="24"/>
                <w:lang w:val="en-US"/>
              </w:rPr>
              <w:t>.</w:t>
            </w:r>
            <w:r w:rsidR="00997895">
              <w:rPr>
                <w:rFonts w:ascii="Arial" w:hAnsi="Arial" w:cs="Arial"/>
                <w:sz w:val="24"/>
                <w:szCs w:val="24"/>
                <w:lang w:val="en-US"/>
              </w:rPr>
              <w:t xml:space="preserve">  The second defendant argues that a</w:t>
            </w:r>
            <w:r>
              <w:rPr>
                <w:rFonts w:ascii="Arial" w:hAnsi="Arial" w:cs="Arial"/>
                <w:sz w:val="24"/>
                <w:szCs w:val="24"/>
                <w:lang w:val="en-US"/>
              </w:rPr>
              <w:t xml:space="preserve"> document reflecting an amount payable does not constitute a cause of action unless </w:t>
            </w:r>
            <w:r w:rsidR="009F3B8F">
              <w:rPr>
                <w:rFonts w:ascii="Arial" w:hAnsi="Arial" w:cs="Arial"/>
                <w:sz w:val="24"/>
                <w:szCs w:val="24"/>
                <w:lang w:val="en-US"/>
              </w:rPr>
              <w:t>it is a liquid document or unless the parties to the agreement agreed that a payment certificate meeting certain requirements shall be payable.</w:t>
            </w:r>
            <w:r w:rsidR="007A5EF0">
              <w:rPr>
                <w:rFonts w:ascii="Arial" w:hAnsi="Arial" w:cs="Arial"/>
                <w:sz w:val="24"/>
                <w:szCs w:val="24"/>
                <w:lang w:val="en-US"/>
              </w:rPr>
              <w:t xml:space="preserve">  The second defendant also points out that payment certificate</w:t>
            </w:r>
            <w:r w:rsidR="00F0300B">
              <w:rPr>
                <w:rFonts w:ascii="Arial" w:hAnsi="Arial" w:cs="Arial"/>
                <w:sz w:val="24"/>
                <w:szCs w:val="24"/>
                <w:lang w:val="en-US"/>
              </w:rPr>
              <w:t>s</w:t>
            </w:r>
            <w:r w:rsidR="007A5EF0">
              <w:rPr>
                <w:rFonts w:ascii="Arial" w:hAnsi="Arial" w:cs="Arial"/>
                <w:sz w:val="24"/>
                <w:szCs w:val="24"/>
                <w:lang w:val="en-US"/>
              </w:rPr>
              <w:t xml:space="preserve"> relied upon are unsigned.</w:t>
            </w:r>
            <w:r w:rsidR="009F3B8F">
              <w:rPr>
                <w:rFonts w:ascii="Arial" w:hAnsi="Arial" w:cs="Arial"/>
                <w:sz w:val="24"/>
                <w:szCs w:val="24"/>
                <w:lang w:val="en-US"/>
              </w:rPr>
              <w:t xml:space="preserve">  The second defendant argues that the plaintiff has not attached to its particulars of claim an agreement authorizing the payment certificate</w:t>
            </w:r>
            <w:r w:rsidR="00F0300B">
              <w:rPr>
                <w:rFonts w:ascii="Arial" w:hAnsi="Arial" w:cs="Arial"/>
                <w:sz w:val="24"/>
                <w:szCs w:val="24"/>
                <w:lang w:val="en-US"/>
              </w:rPr>
              <w:t>s</w:t>
            </w:r>
            <w:r w:rsidR="009F3B8F">
              <w:rPr>
                <w:rFonts w:ascii="Arial" w:hAnsi="Arial" w:cs="Arial"/>
                <w:sz w:val="24"/>
                <w:szCs w:val="24"/>
                <w:lang w:val="en-US"/>
              </w:rPr>
              <w:t xml:space="preserve"> relied on.  Therefore, the second defendant argues, among other things, the particulars of claim do not disclose a cause of action, alternatively are vague and embarrassing in that it is not clear on what basis the plaintiff relies for elevating payment certificates to a cause of action.</w:t>
            </w:r>
          </w:p>
          <w:p w:rsidR="009F3B8F" w:rsidRDefault="009F3B8F" w:rsidP="009F3B8F">
            <w:pPr>
              <w:tabs>
                <w:tab w:val="left" w:pos="927"/>
              </w:tabs>
              <w:spacing w:line="360" w:lineRule="auto"/>
              <w:jc w:val="both"/>
              <w:rPr>
                <w:rFonts w:ascii="Arial" w:hAnsi="Arial" w:cs="Arial"/>
                <w:sz w:val="24"/>
                <w:szCs w:val="24"/>
                <w:lang w:val="en-US"/>
              </w:rPr>
            </w:pPr>
          </w:p>
          <w:p w:rsidR="009F3B8F" w:rsidRDefault="009F3B8F"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 xml:space="preserve">As regards its </w:t>
            </w:r>
            <w:r w:rsidR="00F0300B">
              <w:rPr>
                <w:rFonts w:ascii="Arial" w:hAnsi="Arial" w:cs="Arial"/>
                <w:sz w:val="24"/>
                <w:szCs w:val="24"/>
                <w:lang w:val="en-US"/>
              </w:rPr>
              <w:t>second ground of exception</w:t>
            </w:r>
            <w:r>
              <w:rPr>
                <w:rFonts w:ascii="Arial" w:hAnsi="Arial" w:cs="Arial"/>
                <w:sz w:val="24"/>
                <w:szCs w:val="24"/>
                <w:lang w:val="en-US"/>
              </w:rPr>
              <w:t xml:space="preserve"> the second defendant argues that the plaintiff has annexed to its particulars of claim two settlement agreements marked “D” and “E”.  The second defendant contends that the plaintiff’s claim against both defendants “is clearly” precluded by those agreements, alternatively the agreements demonstrate that no claim lies against the second defendant.  In the further alternative the settlement agreement </w:t>
            </w:r>
            <w:r w:rsidR="00827772">
              <w:rPr>
                <w:rFonts w:ascii="Arial" w:hAnsi="Arial" w:cs="Arial"/>
                <w:sz w:val="24"/>
                <w:szCs w:val="24"/>
                <w:lang w:val="en-US"/>
              </w:rPr>
              <w:t>render paragraph 12 of the particulars of claim vague and embarrassing.</w:t>
            </w:r>
          </w:p>
          <w:p w:rsidR="00827772" w:rsidRDefault="00827772" w:rsidP="009F3B8F">
            <w:pPr>
              <w:tabs>
                <w:tab w:val="left" w:pos="927"/>
              </w:tabs>
              <w:spacing w:line="360" w:lineRule="auto"/>
              <w:jc w:val="both"/>
              <w:rPr>
                <w:rFonts w:ascii="Arial" w:hAnsi="Arial" w:cs="Arial"/>
                <w:sz w:val="24"/>
                <w:szCs w:val="24"/>
                <w:lang w:val="en-US"/>
              </w:rPr>
            </w:pPr>
          </w:p>
          <w:p w:rsidR="00827772" w:rsidRDefault="00827772"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t xml:space="preserve">In response to the second defendant’s first ground of exception, the plaintiff argues that the particulars of claim indicate that the plaintiff delivered services for the first defendant </w:t>
            </w:r>
            <w:r>
              <w:rPr>
                <w:rFonts w:ascii="Arial" w:hAnsi="Arial" w:cs="Arial"/>
                <w:sz w:val="24"/>
                <w:szCs w:val="24"/>
                <w:lang w:val="en-US"/>
              </w:rPr>
              <w:lastRenderedPageBreak/>
              <w:t>during the period of 25 May 2015 to 3 June 2015.  As a result thereof the amount claimed became due, owing and payable by the first defendant to the plaintiff for the services rendered.  The payment certificates indicate that the amount claimed is due, owing and payable by the first defendant to the plaintiff and the first defendant promised on various occasions to pay the amount.</w:t>
            </w:r>
          </w:p>
          <w:p w:rsidR="00827772" w:rsidRDefault="00827772" w:rsidP="009F3B8F">
            <w:pPr>
              <w:tabs>
                <w:tab w:val="left" w:pos="927"/>
              </w:tabs>
              <w:spacing w:line="360" w:lineRule="auto"/>
              <w:jc w:val="both"/>
              <w:rPr>
                <w:rFonts w:ascii="Arial" w:hAnsi="Arial" w:cs="Arial"/>
                <w:sz w:val="24"/>
                <w:szCs w:val="24"/>
                <w:lang w:val="en-US"/>
              </w:rPr>
            </w:pPr>
          </w:p>
          <w:p w:rsidR="00827772" w:rsidRDefault="00827772"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t>In respect of the second ground of exception, the plaintiff contends that the particulars of claim expressly indicate the amount currently being claimed</w:t>
            </w:r>
            <w:r w:rsidR="0000646A">
              <w:rPr>
                <w:rFonts w:ascii="Arial" w:hAnsi="Arial" w:cs="Arial"/>
                <w:sz w:val="24"/>
                <w:szCs w:val="24"/>
                <w:lang w:val="en-US"/>
              </w:rPr>
              <w:t>,</w:t>
            </w:r>
            <w:r>
              <w:rPr>
                <w:rFonts w:ascii="Arial" w:hAnsi="Arial" w:cs="Arial"/>
                <w:sz w:val="24"/>
                <w:szCs w:val="24"/>
                <w:lang w:val="en-US"/>
              </w:rPr>
              <w:t xml:space="preserve"> as reflected in the payment certificates</w:t>
            </w:r>
            <w:r w:rsidR="004B4562">
              <w:rPr>
                <w:rFonts w:ascii="Arial" w:hAnsi="Arial" w:cs="Arial"/>
                <w:sz w:val="24"/>
                <w:szCs w:val="24"/>
                <w:lang w:val="en-US"/>
              </w:rPr>
              <w:t>,</w:t>
            </w:r>
            <w:r>
              <w:rPr>
                <w:rFonts w:ascii="Arial" w:hAnsi="Arial" w:cs="Arial"/>
                <w:sz w:val="24"/>
                <w:szCs w:val="24"/>
                <w:lang w:val="en-US"/>
              </w:rPr>
              <w:t xml:space="preserve"> were not part of the claim settled in annexures “D” and “E”.</w:t>
            </w:r>
          </w:p>
          <w:p w:rsidR="00827772" w:rsidRDefault="00827772" w:rsidP="009F3B8F">
            <w:pPr>
              <w:tabs>
                <w:tab w:val="left" w:pos="927"/>
              </w:tabs>
              <w:spacing w:line="360" w:lineRule="auto"/>
              <w:jc w:val="both"/>
              <w:rPr>
                <w:rFonts w:ascii="Arial" w:hAnsi="Arial" w:cs="Arial"/>
                <w:sz w:val="24"/>
                <w:szCs w:val="24"/>
                <w:lang w:val="en-US"/>
              </w:rPr>
            </w:pPr>
          </w:p>
          <w:p w:rsidR="00827772" w:rsidRDefault="00827772"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t>The plaintiff further submits that the particulars of claim expressly set out that the amount being claimed is claimed from the first defendant and is claimed from</w:t>
            </w:r>
            <w:r w:rsidR="00F11328">
              <w:rPr>
                <w:rFonts w:ascii="Arial" w:hAnsi="Arial" w:cs="Arial"/>
                <w:sz w:val="24"/>
                <w:szCs w:val="24"/>
                <w:lang w:val="en-US"/>
              </w:rPr>
              <w:t xml:space="preserve"> the second defendant only in the alternative, insofar as the first defendant alleged, and the second defendant accepts, that the obligations of the first defendant were taken over by the second defendant.</w:t>
            </w:r>
          </w:p>
          <w:p w:rsidR="00F11328" w:rsidRDefault="00F11328" w:rsidP="009F3B8F">
            <w:pPr>
              <w:tabs>
                <w:tab w:val="left" w:pos="927"/>
              </w:tabs>
              <w:spacing w:line="360" w:lineRule="auto"/>
              <w:jc w:val="both"/>
              <w:rPr>
                <w:rFonts w:ascii="Arial" w:hAnsi="Arial" w:cs="Arial"/>
                <w:sz w:val="24"/>
                <w:szCs w:val="24"/>
                <w:lang w:val="en-US"/>
              </w:rPr>
            </w:pPr>
          </w:p>
          <w:p w:rsidR="00F11328" w:rsidRDefault="00001C51"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t xml:space="preserve">The legal principles regarding exceptions were succinctly spelt out in </w:t>
            </w:r>
            <w:r w:rsidR="004B4562">
              <w:rPr>
                <w:rFonts w:ascii="Arial" w:hAnsi="Arial" w:cs="Arial"/>
                <w:i/>
                <w:sz w:val="24"/>
                <w:szCs w:val="24"/>
                <w:lang w:val="en-US"/>
              </w:rPr>
              <w:t>Van Straten and A</w:t>
            </w:r>
            <w:r w:rsidRPr="00001C51">
              <w:rPr>
                <w:rFonts w:ascii="Arial" w:hAnsi="Arial" w:cs="Arial"/>
                <w:i/>
                <w:sz w:val="24"/>
                <w:szCs w:val="24"/>
                <w:lang w:val="en-US"/>
              </w:rPr>
              <w:t xml:space="preserve">nother v Namibia Financial Institutions Supervising Authority and Another 2016 NR 747 </w:t>
            </w:r>
            <w:r>
              <w:rPr>
                <w:rFonts w:ascii="Arial" w:hAnsi="Arial" w:cs="Arial"/>
                <w:sz w:val="24"/>
                <w:szCs w:val="24"/>
                <w:lang w:val="en-US"/>
              </w:rPr>
              <w:t xml:space="preserve">in the following terms: </w:t>
            </w:r>
          </w:p>
          <w:p w:rsidR="00F34E96" w:rsidRDefault="00F34E96" w:rsidP="00F34E96">
            <w:pPr>
              <w:spacing w:line="360" w:lineRule="auto"/>
              <w:jc w:val="both"/>
              <w:rPr>
                <w:rFonts w:ascii="Arial" w:eastAsia="Calibri" w:hAnsi="Arial" w:cs="Arial"/>
                <w:lang w:val="en-US"/>
              </w:rPr>
            </w:pPr>
            <w:r>
              <w:rPr>
                <w:rFonts w:ascii="Arial" w:eastAsia="Calibri" w:hAnsi="Arial" w:cs="Arial"/>
                <w:sz w:val="24"/>
                <w:szCs w:val="24"/>
                <w:lang w:val="en-US"/>
              </w:rPr>
              <w:t>“</w:t>
            </w:r>
            <w:r>
              <w:rPr>
                <w:rFonts w:ascii="Arial" w:eastAsia="Calibri" w:hAnsi="Arial" w:cs="Arial"/>
                <w:lang w:val="en-US"/>
              </w:rPr>
              <w:t>[18]</w:t>
            </w:r>
            <w:r>
              <w:rPr>
                <w:rFonts w:ascii="Arial" w:eastAsia="Calibri" w:hAnsi="Arial" w:cs="Arial"/>
                <w:lang w:val="en-US"/>
              </w:rPr>
              <w:tab/>
              <w:t>Where an exception is taken on the grounds that no cause of action is disclosed or is sustainable on the particulars of claim, two aspects are to be emphasized.  Firstly, for the purpose of deciding the exception, the facts as alleged in the plaintiff’s pleadings are taken as correct.  In the second place, it is incumbent upon an excipient to persuade this court that upon every interpretation which the pleading can reasonably bear, no cause of action is disclosed.  Stated otherwise, only if no possible evidence led on the pleadings can disclose a cause of action, will the particulars of claim be found to be excipiable.</w:t>
            </w:r>
          </w:p>
          <w:p w:rsidR="00F34E96" w:rsidRDefault="00F34E96" w:rsidP="00F34E96">
            <w:pPr>
              <w:spacing w:line="360" w:lineRule="auto"/>
              <w:jc w:val="both"/>
              <w:rPr>
                <w:rFonts w:ascii="Arial" w:eastAsia="Calibri" w:hAnsi="Arial" w:cs="Arial"/>
                <w:lang w:val="en-US"/>
              </w:rPr>
            </w:pPr>
          </w:p>
          <w:p w:rsidR="00F34E96" w:rsidRPr="00843DF1" w:rsidRDefault="00F34E96" w:rsidP="00F34E96">
            <w:pPr>
              <w:spacing w:line="360" w:lineRule="auto"/>
              <w:jc w:val="both"/>
              <w:rPr>
                <w:rFonts w:ascii="Arial" w:eastAsia="Calibri" w:hAnsi="Arial" w:cs="Arial"/>
                <w:lang w:val="en-US"/>
              </w:rPr>
            </w:pPr>
            <w:r>
              <w:rPr>
                <w:rFonts w:ascii="Arial" w:eastAsia="Calibri" w:hAnsi="Arial" w:cs="Arial"/>
                <w:lang w:val="en-US"/>
              </w:rPr>
              <w:t>[19]</w:t>
            </w:r>
            <w:r>
              <w:rPr>
                <w:rFonts w:ascii="Arial" w:eastAsia="Calibri" w:hAnsi="Arial" w:cs="Arial"/>
                <w:lang w:val="en-US"/>
              </w:rPr>
              <w:tab/>
              <w:t>Whether an exception on the ground of being vague and embarrassing is established would depend upon whether it complies with rule 45(5) of the High Court Rules.  This rule requires that every pleading must contain a clear and concise statement of the material facts on which the pleader relies for his or her claim with sufficient particularity to enab</w:t>
            </w:r>
            <w:r w:rsidR="001638EF">
              <w:rPr>
                <w:rFonts w:ascii="Arial" w:eastAsia="Calibri" w:hAnsi="Arial" w:cs="Arial"/>
                <w:lang w:val="en-US"/>
              </w:rPr>
              <w:t>le the opposite party to identif</w:t>
            </w:r>
            <w:r>
              <w:rPr>
                <w:rFonts w:ascii="Arial" w:eastAsia="Calibri" w:hAnsi="Arial" w:cs="Arial"/>
                <w:lang w:val="en-US"/>
              </w:rPr>
              <w:t>y the case that the pleading requires him or her to meet.  Assessing whether a plead</w:t>
            </w:r>
            <w:r w:rsidR="001638EF">
              <w:rPr>
                <w:rFonts w:ascii="Arial" w:eastAsia="Calibri" w:hAnsi="Arial" w:cs="Arial"/>
                <w:lang w:val="en-US"/>
              </w:rPr>
              <w:t>ing is vague and embarrassing is</w:t>
            </w:r>
            <w:r>
              <w:rPr>
                <w:rFonts w:ascii="Arial" w:eastAsia="Calibri" w:hAnsi="Arial" w:cs="Arial"/>
                <w:lang w:val="en-US"/>
              </w:rPr>
              <w:t xml:space="preserve"> </w:t>
            </w:r>
            <w:r>
              <w:rPr>
                <w:rFonts w:ascii="Arial" w:eastAsia="Calibri" w:hAnsi="Arial" w:cs="Arial"/>
                <w:lang w:val="en-US"/>
              </w:rPr>
              <w:lastRenderedPageBreak/>
              <w:t>now to be undertaken in the context of rule 45 and the overriding objective of judicial case management.  Those objectives include the facilitation of the resolution of the real issues in dispute justly and speedily, efficiently and cost effectively as far as practicable by saving costs by, among others, limiting interlocutory proceedings to what is strictly necessary in order to achieve a fair and timely disposal of a cause or matter.</w:t>
            </w:r>
          </w:p>
          <w:p w:rsidR="00F34E96" w:rsidRDefault="00F34E96" w:rsidP="00F34E96">
            <w:pPr>
              <w:spacing w:line="360" w:lineRule="auto"/>
              <w:jc w:val="both"/>
              <w:rPr>
                <w:rFonts w:ascii="Arial" w:eastAsia="Calibri" w:hAnsi="Arial" w:cs="Arial"/>
                <w:sz w:val="24"/>
                <w:szCs w:val="24"/>
                <w:lang w:val="en-US"/>
              </w:rPr>
            </w:pPr>
          </w:p>
          <w:p w:rsidR="00F34E96" w:rsidRDefault="00F34E96" w:rsidP="00F34E96">
            <w:pPr>
              <w:spacing w:line="360" w:lineRule="auto"/>
              <w:jc w:val="both"/>
              <w:rPr>
                <w:rFonts w:ascii="Arial" w:eastAsia="Calibri" w:hAnsi="Arial" w:cs="Arial"/>
                <w:lang w:val="en-US"/>
              </w:rPr>
            </w:pPr>
            <w:r w:rsidRPr="00557A7A">
              <w:rPr>
                <w:rFonts w:ascii="Arial" w:eastAsia="Calibri" w:hAnsi="Arial" w:cs="Arial"/>
                <w:lang w:val="en-US"/>
              </w:rPr>
              <w:t>[20]</w:t>
            </w:r>
            <w:r w:rsidRPr="00557A7A">
              <w:rPr>
                <w:rFonts w:ascii="Arial" w:eastAsia="Calibri" w:hAnsi="Arial" w:cs="Arial"/>
                <w:lang w:val="en-US"/>
              </w:rPr>
              <w:tab/>
            </w:r>
            <w:r>
              <w:rPr>
                <w:rFonts w:ascii="Arial" w:eastAsia="Calibri" w:hAnsi="Arial" w:cs="Arial"/>
                <w:lang w:val="en-US"/>
              </w:rPr>
              <w:t>The two-fold exercise in considering whether a pleading in vague and embarrasing entails firstly determining wether the pleading lacks particularity to the extent that it is vague.  The second is determining whether the vagueness causes prejudice.  The nature of the prejudice would relate to an ability to plead to and properly prepare and meet an opponent’s case.  This consideration is also powerfully underpinned by the overriding objects of judicial case management in order to ensure that the real issues in dispute are resolved and that parties are sufficiently apprised as to the case that they are to meet.”</w:t>
            </w:r>
          </w:p>
          <w:p w:rsidR="00001C51" w:rsidRDefault="00001C51" w:rsidP="009F3B8F">
            <w:pPr>
              <w:tabs>
                <w:tab w:val="left" w:pos="927"/>
              </w:tabs>
              <w:spacing w:line="360" w:lineRule="auto"/>
              <w:jc w:val="both"/>
              <w:rPr>
                <w:rFonts w:ascii="Arial" w:hAnsi="Arial" w:cs="Arial"/>
                <w:sz w:val="24"/>
                <w:szCs w:val="24"/>
                <w:lang w:val="en-US"/>
              </w:rPr>
            </w:pPr>
          </w:p>
          <w:p w:rsidR="00F34E96" w:rsidRDefault="00F34E96"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t>I am in agreement with the above legal principles and those principles find application in the present case.</w:t>
            </w:r>
          </w:p>
          <w:p w:rsidR="00F34E96" w:rsidRDefault="00F34E96" w:rsidP="009F3B8F">
            <w:pPr>
              <w:tabs>
                <w:tab w:val="left" w:pos="927"/>
              </w:tabs>
              <w:spacing w:line="360" w:lineRule="auto"/>
              <w:jc w:val="both"/>
              <w:rPr>
                <w:rFonts w:ascii="Arial" w:hAnsi="Arial" w:cs="Arial"/>
                <w:sz w:val="24"/>
                <w:szCs w:val="24"/>
                <w:lang w:val="en-US"/>
              </w:rPr>
            </w:pPr>
          </w:p>
          <w:p w:rsidR="00582B16" w:rsidRDefault="00F34E96"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t>Insofar as the second defendant’s first ground of exception is concerned, I fail to see the second defendant’s reasons for claiming that the particulars of claim do not disclose a cause of action.</w:t>
            </w:r>
            <w:r w:rsidR="003F0298">
              <w:rPr>
                <w:rFonts w:ascii="Arial" w:hAnsi="Arial" w:cs="Arial"/>
                <w:sz w:val="24"/>
                <w:szCs w:val="24"/>
                <w:lang w:val="en-US"/>
              </w:rPr>
              <w:t xml:space="preserve">  On this issue, the second defendant argues that in terms of the relevant settlement agreement, the plaintiff has no claim against the first defendant (or second defendant) as the parties had agreed that the settlement agreement extinguished any claim the plaintiff may have against the first defendant in terms of the written agreement between the plaintiff and the first defendant.</w:t>
            </w:r>
            <w:r>
              <w:rPr>
                <w:rFonts w:ascii="Arial" w:hAnsi="Arial" w:cs="Arial"/>
                <w:sz w:val="24"/>
                <w:szCs w:val="24"/>
                <w:lang w:val="en-US"/>
              </w:rPr>
              <w:t xml:space="preserve">  The particulars of claim reflect that the plaintiff’s claim is based, among other things, on the payment certificate</w:t>
            </w:r>
            <w:r w:rsidR="00F33466">
              <w:rPr>
                <w:rFonts w:ascii="Arial" w:hAnsi="Arial" w:cs="Arial"/>
                <w:sz w:val="24"/>
                <w:szCs w:val="24"/>
                <w:lang w:val="en-US"/>
              </w:rPr>
              <w:t>s</w:t>
            </w:r>
            <w:r>
              <w:rPr>
                <w:rFonts w:ascii="Arial" w:hAnsi="Arial" w:cs="Arial"/>
                <w:sz w:val="24"/>
                <w:szCs w:val="24"/>
                <w:lang w:val="en-US"/>
              </w:rPr>
              <w:t xml:space="preserve"> furnished by the first defendant to the plaintiff.  In addition the first defendant had, according to the particulars of claim</w:t>
            </w:r>
            <w:r w:rsidR="00F33466">
              <w:rPr>
                <w:rFonts w:ascii="Arial" w:hAnsi="Arial" w:cs="Arial"/>
                <w:sz w:val="24"/>
                <w:szCs w:val="24"/>
                <w:lang w:val="en-US"/>
              </w:rPr>
              <w:t>, promised on numerous occasions to settle the amounts outstanding as set out in the payment certificates.  Furthermore, the particular of claim</w:t>
            </w:r>
            <w:r>
              <w:rPr>
                <w:rFonts w:ascii="Arial" w:hAnsi="Arial" w:cs="Arial"/>
                <w:sz w:val="24"/>
                <w:szCs w:val="24"/>
                <w:lang w:val="en-US"/>
              </w:rPr>
              <w:t xml:space="preserve"> indicate that the written agreement entered into about January 2014</w:t>
            </w:r>
            <w:r w:rsidR="00F33466">
              <w:rPr>
                <w:rFonts w:ascii="Arial" w:hAnsi="Arial" w:cs="Arial"/>
                <w:sz w:val="24"/>
                <w:szCs w:val="24"/>
                <w:lang w:val="en-US"/>
              </w:rPr>
              <w:t xml:space="preserve"> is not being relied upon and</w:t>
            </w:r>
            <w:r>
              <w:rPr>
                <w:rFonts w:ascii="Arial" w:hAnsi="Arial" w:cs="Arial"/>
                <w:sz w:val="24"/>
                <w:szCs w:val="24"/>
                <w:lang w:val="en-US"/>
              </w:rPr>
              <w:t xml:space="preserve"> is merely referred to for </w:t>
            </w:r>
            <w:r w:rsidR="00582B16">
              <w:rPr>
                <w:rFonts w:ascii="Arial" w:hAnsi="Arial" w:cs="Arial"/>
                <w:sz w:val="24"/>
                <w:szCs w:val="24"/>
                <w:lang w:val="en-US"/>
              </w:rPr>
              <w:t>background purposes.</w:t>
            </w:r>
            <w:r w:rsidR="00F33466">
              <w:rPr>
                <w:rFonts w:ascii="Arial" w:hAnsi="Arial" w:cs="Arial"/>
                <w:sz w:val="24"/>
                <w:szCs w:val="24"/>
                <w:lang w:val="en-US"/>
              </w:rPr>
              <w:t xml:space="preserve">  On the strength of the </w:t>
            </w:r>
            <w:r w:rsidR="00F33466" w:rsidRPr="00081823">
              <w:rPr>
                <w:rFonts w:ascii="Arial" w:hAnsi="Arial" w:cs="Arial"/>
                <w:i/>
                <w:sz w:val="24"/>
                <w:szCs w:val="24"/>
                <w:lang w:val="en-US"/>
              </w:rPr>
              <w:t>Van Straten’s</w:t>
            </w:r>
            <w:r w:rsidR="00F33466">
              <w:rPr>
                <w:rFonts w:ascii="Arial" w:hAnsi="Arial" w:cs="Arial"/>
                <w:sz w:val="24"/>
                <w:szCs w:val="24"/>
                <w:lang w:val="en-US"/>
              </w:rPr>
              <w:t xml:space="preserve"> case (supra) this court must proceed, at this stage, on the assumption that each and every averment in the particulars of claim </w:t>
            </w:r>
            <w:r w:rsidR="00081823">
              <w:rPr>
                <w:rFonts w:ascii="Arial" w:hAnsi="Arial" w:cs="Arial"/>
                <w:sz w:val="24"/>
                <w:szCs w:val="24"/>
                <w:lang w:val="en-US"/>
              </w:rPr>
              <w:t>is</w:t>
            </w:r>
            <w:r w:rsidR="00F33466">
              <w:rPr>
                <w:rFonts w:ascii="Arial" w:hAnsi="Arial" w:cs="Arial"/>
                <w:sz w:val="24"/>
                <w:szCs w:val="24"/>
                <w:lang w:val="en-US"/>
              </w:rPr>
              <w:t xml:space="preserve"> true.  With this approach, as more fully set out in the </w:t>
            </w:r>
            <w:r w:rsidR="00F33466" w:rsidRPr="00081823">
              <w:rPr>
                <w:rFonts w:ascii="Arial" w:hAnsi="Arial" w:cs="Arial"/>
                <w:i/>
                <w:sz w:val="24"/>
                <w:szCs w:val="24"/>
                <w:lang w:val="en-US"/>
              </w:rPr>
              <w:t>Van Straten’s</w:t>
            </w:r>
            <w:r w:rsidR="00F33466">
              <w:rPr>
                <w:rFonts w:ascii="Arial" w:hAnsi="Arial" w:cs="Arial"/>
                <w:sz w:val="24"/>
                <w:szCs w:val="24"/>
                <w:lang w:val="en-US"/>
              </w:rPr>
              <w:t xml:space="preserve"> case in mind,</w:t>
            </w:r>
            <w:r w:rsidR="004A5DF2">
              <w:rPr>
                <w:rFonts w:ascii="Arial" w:hAnsi="Arial" w:cs="Arial"/>
                <w:sz w:val="24"/>
                <w:szCs w:val="24"/>
                <w:lang w:val="en-US"/>
              </w:rPr>
              <w:t xml:space="preserve"> </w:t>
            </w:r>
            <w:r w:rsidR="00582B16">
              <w:rPr>
                <w:rFonts w:ascii="Arial" w:hAnsi="Arial" w:cs="Arial"/>
                <w:sz w:val="24"/>
                <w:szCs w:val="24"/>
                <w:lang w:val="en-US"/>
              </w:rPr>
              <w:t xml:space="preserve">I am not persuaded that </w:t>
            </w:r>
            <w:r w:rsidR="00582B16">
              <w:rPr>
                <w:rFonts w:ascii="Arial" w:hAnsi="Arial" w:cs="Arial"/>
                <w:sz w:val="24"/>
                <w:szCs w:val="24"/>
                <w:lang w:val="en-US"/>
              </w:rPr>
              <w:lastRenderedPageBreak/>
              <w:t xml:space="preserve">upon every interpretation that the particulars of claim can reasonably bear, no cause of action is disclosed.  I am further not satisfied </w:t>
            </w:r>
            <w:r w:rsidR="00F33466">
              <w:rPr>
                <w:rFonts w:ascii="Arial" w:hAnsi="Arial" w:cs="Arial"/>
                <w:sz w:val="24"/>
                <w:szCs w:val="24"/>
                <w:lang w:val="en-US"/>
              </w:rPr>
              <w:t xml:space="preserve">that </w:t>
            </w:r>
            <w:r w:rsidR="00582B16">
              <w:rPr>
                <w:rFonts w:ascii="Arial" w:hAnsi="Arial" w:cs="Arial"/>
                <w:sz w:val="24"/>
                <w:szCs w:val="24"/>
                <w:lang w:val="en-US"/>
              </w:rPr>
              <w:t xml:space="preserve">the particulars of claim run foul of rule 45.  The </w:t>
            </w:r>
            <w:r w:rsidR="00791F8D">
              <w:rPr>
                <w:rFonts w:ascii="Arial" w:hAnsi="Arial" w:cs="Arial"/>
                <w:sz w:val="24"/>
                <w:szCs w:val="24"/>
                <w:lang w:val="en-US"/>
              </w:rPr>
              <w:t>second</w:t>
            </w:r>
            <w:r w:rsidR="00582B16">
              <w:rPr>
                <w:rFonts w:ascii="Arial" w:hAnsi="Arial" w:cs="Arial"/>
                <w:sz w:val="24"/>
                <w:szCs w:val="24"/>
                <w:lang w:val="en-US"/>
              </w:rPr>
              <w:t xml:space="preserve"> defendant’s first ground of exception</w:t>
            </w:r>
            <w:r w:rsidR="00F33466">
              <w:rPr>
                <w:rFonts w:ascii="Arial" w:hAnsi="Arial" w:cs="Arial"/>
                <w:sz w:val="24"/>
                <w:szCs w:val="24"/>
                <w:lang w:val="en-US"/>
              </w:rPr>
              <w:t>,</w:t>
            </w:r>
            <w:r w:rsidR="00582B16">
              <w:rPr>
                <w:rFonts w:ascii="Arial" w:hAnsi="Arial" w:cs="Arial"/>
                <w:sz w:val="24"/>
                <w:szCs w:val="24"/>
                <w:lang w:val="en-US"/>
              </w:rPr>
              <w:t xml:space="preserve"> therefore</w:t>
            </w:r>
            <w:r w:rsidR="00F33466">
              <w:rPr>
                <w:rFonts w:ascii="Arial" w:hAnsi="Arial" w:cs="Arial"/>
                <w:sz w:val="24"/>
                <w:szCs w:val="24"/>
                <w:lang w:val="en-US"/>
              </w:rPr>
              <w:t>,</w:t>
            </w:r>
            <w:r w:rsidR="00582B16">
              <w:rPr>
                <w:rFonts w:ascii="Arial" w:hAnsi="Arial" w:cs="Arial"/>
                <w:sz w:val="24"/>
                <w:szCs w:val="24"/>
                <w:lang w:val="en-US"/>
              </w:rPr>
              <w:t xml:space="preserve"> falls to be dismissed.</w:t>
            </w:r>
          </w:p>
          <w:p w:rsidR="00582B16" w:rsidRDefault="00582B16" w:rsidP="009F3B8F">
            <w:pPr>
              <w:tabs>
                <w:tab w:val="left" w:pos="927"/>
              </w:tabs>
              <w:spacing w:line="360" w:lineRule="auto"/>
              <w:jc w:val="both"/>
              <w:rPr>
                <w:rFonts w:ascii="Arial" w:hAnsi="Arial" w:cs="Arial"/>
                <w:sz w:val="24"/>
                <w:szCs w:val="24"/>
                <w:lang w:val="en-US"/>
              </w:rPr>
            </w:pPr>
          </w:p>
          <w:p w:rsidR="00582B16" w:rsidRDefault="00582B16"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t xml:space="preserve">In regard to the second ground of exception, it appears from the particulars of claim that the amounts being claimed by the </w:t>
            </w:r>
            <w:r w:rsidR="0084631D">
              <w:rPr>
                <w:rFonts w:ascii="Arial" w:hAnsi="Arial" w:cs="Arial"/>
                <w:sz w:val="24"/>
                <w:szCs w:val="24"/>
                <w:lang w:val="en-US"/>
              </w:rPr>
              <w:t>by the plaintiff as set out in the payment certificates are not part of the claim</w:t>
            </w:r>
            <w:r w:rsidR="004A5DF2">
              <w:rPr>
                <w:rFonts w:ascii="Arial" w:hAnsi="Arial" w:cs="Arial"/>
                <w:sz w:val="24"/>
                <w:szCs w:val="24"/>
                <w:lang w:val="en-US"/>
              </w:rPr>
              <w:t>s</w:t>
            </w:r>
            <w:r w:rsidR="0084631D">
              <w:rPr>
                <w:rFonts w:ascii="Arial" w:hAnsi="Arial" w:cs="Arial"/>
                <w:sz w:val="24"/>
                <w:szCs w:val="24"/>
                <w:lang w:val="en-US"/>
              </w:rPr>
              <w:t xml:space="preserve"> settled in annexures “D” and “E”.</w:t>
            </w:r>
            <w:r w:rsidR="004A5DF2">
              <w:rPr>
                <w:rFonts w:ascii="Arial" w:hAnsi="Arial" w:cs="Arial"/>
                <w:sz w:val="24"/>
                <w:szCs w:val="24"/>
                <w:lang w:val="en-US"/>
              </w:rPr>
              <w:t xml:space="preserve">  Under the second ground, the second defendant also contends, in the alternative</w:t>
            </w:r>
            <w:r w:rsidR="00081823">
              <w:rPr>
                <w:rFonts w:ascii="Arial" w:hAnsi="Arial" w:cs="Arial"/>
                <w:sz w:val="24"/>
                <w:szCs w:val="24"/>
                <w:lang w:val="en-US"/>
              </w:rPr>
              <w:t>,</w:t>
            </w:r>
            <w:r w:rsidR="004A5DF2">
              <w:rPr>
                <w:rFonts w:ascii="Arial" w:hAnsi="Arial" w:cs="Arial"/>
                <w:sz w:val="24"/>
                <w:szCs w:val="24"/>
                <w:lang w:val="en-US"/>
              </w:rPr>
              <w:t xml:space="preserve"> that the particulars of claim do not establish a cla</w:t>
            </w:r>
            <w:r w:rsidR="00081823">
              <w:rPr>
                <w:rFonts w:ascii="Arial" w:hAnsi="Arial" w:cs="Arial"/>
                <w:sz w:val="24"/>
                <w:szCs w:val="24"/>
                <w:lang w:val="en-US"/>
              </w:rPr>
              <w:t xml:space="preserve">im against the second defendant.  In the particulars of claim (para 13 thereof) it is stated that the claim against the second defendant </w:t>
            </w:r>
            <w:r w:rsidR="004A5DF2">
              <w:rPr>
                <w:rFonts w:ascii="Arial" w:hAnsi="Arial" w:cs="Arial"/>
                <w:sz w:val="24"/>
                <w:szCs w:val="24"/>
                <w:lang w:val="en-US"/>
              </w:rPr>
              <w:t>is raised in the alternative, insofar as the first defendant alleges, and the second defendant accepts, that the obligations of the first defendant was taken over by the second defendant.  I fail to see the basis of the second defendant for claiming that the particulars of claim do not “clearly demonstrate” a claim against it.  Furthermore, the second defendant has not spelt-out averments that the plaintiff should have</w:t>
            </w:r>
            <w:r w:rsidR="00F43E06">
              <w:rPr>
                <w:rFonts w:ascii="Arial" w:hAnsi="Arial" w:cs="Arial"/>
                <w:sz w:val="24"/>
                <w:szCs w:val="24"/>
                <w:lang w:val="en-US"/>
              </w:rPr>
              <w:t xml:space="preserve"> made in its particulars of c</w:t>
            </w:r>
            <w:r w:rsidR="0075180D">
              <w:rPr>
                <w:rFonts w:ascii="Arial" w:hAnsi="Arial" w:cs="Arial"/>
                <w:sz w:val="24"/>
                <w:szCs w:val="24"/>
                <w:lang w:val="en-US"/>
              </w:rPr>
              <w:t>laim to cure the alleged defect</w:t>
            </w:r>
            <w:r w:rsidR="00F43E06">
              <w:rPr>
                <w:rFonts w:ascii="Arial" w:hAnsi="Arial" w:cs="Arial"/>
                <w:sz w:val="24"/>
                <w:szCs w:val="24"/>
                <w:lang w:val="en-US"/>
              </w:rPr>
              <w:t xml:space="preserve"> complained of.</w:t>
            </w:r>
            <w:r w:rsidR="0084631D">
              <w:rPr>
                <w:rFonts w:ascii="Arial" w:hAnsi="Arial" w:cs="Arial"/>
                <w:sz w:val="24"/>
                <w:szCs w:val="24"/>
                <w:lang w:val="en-US"/>
              </w:rPr>
              <w:t xml:space="preserve">  I am not persuaded that no possible evidence can be led on the particulars of claim</w:t>
            </w:r>
            <w:r w:rsidR="00857C88">
              <w:rPr>
                <w:rFonts w:ascii="Arial" w:hAnsi="Arial" w:cs="Arial"/>
                <w:sz w:val="24"/>
                <w:szCs w:val="24"/>
                <w:lang w:val="en-US"/>
              </w:rPr>
              <w:t xml:space="preserve"> on this aspect</w:t>
            </w:r>
            <w:r w:rsidR="0084631D">
              <w:rPr>
                <w:rFonts w:ascii="Arial" w:hAnsi="Arial" w:cs="Arial"/>
                <w:sz w:val="24"/>
                <w:szCs w:val="24"/>
                <w:lang w:val="en-US"/>
              </w:rPr>
              <w:t xml:space="preserve"> to disclose a cause of action.  In any event, on this score</w:t>
            </w:r>
            <w:r w:rsidR="0075180D">
              <w:rPr>
                <w:rFonts w:ascii="Arial" w:hAnsi="Arial" w:cs="Arial"/>
                <w:sz w:val="24"/>
                <w:szCs w:val="24"/>
                <w:lang w:val="en-US"/>
              </w:rPr>
              <w:t>,</w:t>
            </w:r>
            <w:r w:rsidR="0084631D">
              <w:rPr>
                <w:rFonts w:ascii="Arial" w:hAnsi="Arial" w:cs="Arial"/>
                <w:sz w:val="24"/>
                <w:szCs w:val="24"/>
                <w:lang w:val="en-US"/>
              </w:rPr>
              <w:t xml:space="preserve"> I am satisfied that the particulars of claim disclose a cause of action.  Furthermore, the particulars of claim, in my opinion are not vague and embarrassing.  The second defendant’s second ground of exception also falls to be dismissed.</w:t>
            </w:r>
          </w:p>
          <w:p w:rsidR="0084631D" w:rsidRDefault="0084631D" w:rsidP="009F3B8F">
            <w:pPr>
              <w:tabs>
                <w:tab w:val="left" w:pos="927"/>
              </w:tabs>
              <w:spacing w:line="360" w:lineRule="auto"/>
              <w:jc w:val="both"/>
              <w:rPr>
                <w:rFonts w:ascii="Arial" w:hAnsi="Arial" w:cs="Arial"/>
                <w:sz w:val="24"/>
                <w:szCs w:val="24"/>
                <w:lang w:val="en-US"/>
              </w:rPr>
            </w:pPr>
          </w:p>
          <w:p w:rsidR="006046A2" w:rsidRDefault="006046A2"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[12]</w:t>
            </w:r>
            <w:r>
              <w:rPr>
                <w:rFonts w:ascii="Arial" w:hAnsi="Arial" w:cs="Arial"/>
                <w:sz w:val="24"/>
                <w:szCs w:val="24"/>
                <w:lang w:val="en-US"/>
              </w:rPr>
              <w:tab/>
              <w:t xml:space="preserve">As regards the issue of costs, the general </w:t>
            </w:r>
            <w:r w:rsidR="00960B16">
              <w:rPr>
                <w:rFonts w:ascii="Arial" w:hAnsi="Arial" w:cs="Arial"/>
                <w:sz w:val="24"/>
                <w:szCs w:val="24"/>
                <w:lang w:val="en-US"/>
              </w:rPr>
              <w:t>principle</w:t>
            </w:r>
            <w:r>
              <w:rPr>
                <w:rFonts w:ascii="Arial" w:hAnsi="Arial" w:cs="Arial"/>
                <w:sz w:val="24"/>
                <w:szCs w:val="24"/>
                <w:lang w:val="en-US"/>
              </w:rPr>
              <w:t xml:space="preserve"> that the successful party is entitled to costs, must apply.  I am of the opinion that the complexity of the case justifies the costs of one instructing and two instructed legal practitioners.  In this matter, counsel on both sides submitted that the costs to be awarded in this matter should not be limited in terms of rule 32(11).  I am in agreement with that submission. More so because I am of the view that the second defendant’s exceptions are clearly uncalled for, especially when measured against the approach to exceptions as set out in the </w:t>
            </w:r>
            <w:r w:rsidRPr="00960B16">
              <w:rPr>
                <w:rFonts w:ascii="Arial" w:hAnsi="Arial" w:cs="Arial"/>
                <w:i/>
                <w:sz w:val="24"/>
                <w:szCs w:val="24"/>
                <w:lang w:val="en-US"/>
              </w:rPr>
              <w:t xml:space="preserve">Van Straten’s </w:t>
            </w:r>
            <w:r>
              <w:rPr>
                <w:rFonts w:ascii="Arial" w:hAnsi="Arial" w:cs="Arial"/>
                <w:sz w:val="24"/>
                <w:szCs w:val="24"/>
                <w:lang w:val="en-US"/>
              </w:rPr>
              <w:t>case.  I shall therefore order that costs in this matter not be limited in terms of rule 32(11).</w:t>
            </w:r>
          </w:p>
          <w:p w:rsidR="006046A2" w:rsidRDefault="006046A2" w:rsidP="009F3B8F">
            <w:pPr>
              <w:tabs>
                <w:tab w:val="left" w:pos="927"/>
              </w:tabs>
              <w:spacing w:line="360" w:lineRule="auto"/>
              <w:jc w:val="both"/>
              <w:rPr>
                <w:rFonts w:ascii="Arial" w:hAnsi="Arial" w:cs="Arial"/>
                <w:sz w:val="24"/>
                <w:szCs w:val="24"/>
                <w:lang w:val="en-US"/>
              </w:rPr>
            </w:pPr>
          </w:p>
          <w:p w:rsidR="0084631D" w:rsidRDefault="006046A2" w:rsidP="009F3B8F">
            <w:pPr>
              <w:tabs>
                <w:tab w:val="left" w:pos="927"/>
              </w:tabs>
              <w:spacing w:line="360" w:lineRule="auto"/>
              <w:jc w:val="both"/>
              <w:rPr>
                <w:rFonts w:ascii="Arial" w:hAnsi="Arial" w:cs="Arial"/>
                <w:sz w:val="24"/>
                <w:szCs w:val="24"/>
                <w:lang w:val="en-US"/>
              </w:rPr>
            </w:pPr>
            <w:r>
              <w:rPr>
                <w:rFonts w:ascii="Arial" w:hAnsi="Arial" w:cs="Arial"/>
                <w:sz w:val="24"/>
                <w:szCs w:val="24"/>
                <w:lang w:val="en-US"/>
              </w:rPr>
              <w:t>[13</w:t>
            </w:r>
            <w:r w:rsidR="0084631D">
              <w:rPr>
                <w:rFonts w:ascii="Arial" w:hAnsi="Arial" w:cs="Arial"/>
                <w:sz w:val="24"/>
                <w:szCs w:val="24"/>
                <w:lang w:val="en-US"/>
              </w:rPr>
              <w:t>]</w:t>
            </w:r>
            <w:r w:rsidR="0084631D">
              <w:rPr>
                <w:rFonts w:ascii="Arial" w:hAnsi="Arial" w:cs="Arial"/>
                <w:sz w:val="24"/>
                <w:szCs w:val="24"/>
                <w:lang w:val="en-US"/>
              </w:rPr>
              <w:tab/>
              <w:t xml:space="preserve">In the result, I make the following order: </w:t>
            </w:r>
          </w:p>
          <w:p w:rsidR="0084631D" w:rsidRDefault="0084631D" w:rsidP="009F3B8F">
            <w:pPr>
              <w:tabs>
                <w:tab w:val="left" w:pos="927"/>
              </w:tabs>
              <w:spacing w:line="360" w:lineRule="auto"/>
              <w:jc w:val="both"/>
              <w:rPr>
                <w:rFonts w:ascii="Arial" w:hAnsi="Arial" w:cs="Arial"/>
                <w:sz w:val="24"/>
                <w:szCs w:val="24"/>
                <w:lang w:val="en-US"/>
              </w:rPr>
            </w:pPr>
          </w:p>
          <w:p w:rsidR="007B14E2" w:rsidRDefault="007B14E2" w:rsidP="007B14E2">
            <w:pPr>
              <w:tabs>
                <w:tab w:val="left" w:pos="432"/>
              </w:tabs>
              <w:spacing w:line="360" w:lineRule="auto"/>
              <w:rPr>
                <w:rFonts w:ascii="Arial" w:hAnsi="Arial" w:cs="Arial"/>
                <w:sz w:val="24"/>
                <w:szCs w:val="24"/>
                <w:lang w:val="en-US"/>
              </w:rPr>
            </w:pPr>
            <w:r w:rsidRPr="004B6249">
              <w:rPr>
                <w:rFonts w:ascii="Arial" w:hAnsi="Arial" w:cs="Arial"/>
                <w:sz w:val="24"/>
                <w:szCs w:val="24"/>
                <w:lang w:val="en-US"/>
              </w:rPr>
              <w:t>1.</w:t>
            </w:r>
            <w:r w:rsidRPr="004B6249">
              <w:rPr>
                <w:rFonts w:ascii="Arial" w:hAnsi="Arial" w:cs="Arial"/>
                <w:sz w:val="24"/>
                <w:szCs w:val="24"/>
                <w:lang w:val="en-US"/>
              </w:rPr>
              <w:tab/>
            </w:r>
            <w:r w:rsidR="002B0FCB">
              <w:rPr>
                <w:rFonts w:ascii="Arial" w:hAnsi="Arial" w:cs="Arial"/>
                <w:sz w:val="24"/>
                <w:szCs w:val="24"/>
                <w:lang w:val="en-US"/>
              </w:rPr>
              <w:t>The second defendant’s excep</w:t>
            </w:r>
            <w:r>
              <w:rPr>
                <w:rFonts w:ascii="Arial" w:hAnsi="Arial" w:cs="Arial"/>
                <w:sz w:val="24"/>
                <w:szCs w:val="24"/>
                <w:lang w:val="en-US"/>
              </w:rPr>
              <w:t>tions to the plaintiff’s par</w:t>
            </w:r>
            <w:r w:rsidR="000A4F66">
              <w:rPr>
                <w:rFonts w:ascii="Arial" w:hAnsi="Arial" w:cs="Arial"/>
                <w:sz w:val="24"/>
                <w:szCs w:val="24"/>
                <w:lang w:val="en-US"/>
              </w:rPr>
              <w:t>ticulars of claim, are dismissed</w:t>
            </w:r>
            <w:r>
              <w:rPr>
                <w:rFonts w:ascii="Arial" w:hAnsi="Arial" w:cs="Arial"/>
                <w:sz w:val="24"/>
                <w:szCs w:val="24"/>
                <w:lang w:val="en-US"/>
              </w:rPr>
              <w:t>.</w:t>
            </w:r>
          </w:p>
          <w:p w:rsidR="007B14E2" w:rsidRDefault="007B14E2" w:rsidP="007B14E2">
            <w:pPr>
              <w:tabs>
                <w:tab w:val="left" w:pos="432"/>
              </w:tabs>
              <w:spacing w:line="360" w:lineRule="auto"/>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second defendant is ordered to pay the plaintiff’s costs occasioned by the </w:t>
            </w:r>
            <w:r>
              <w:rPr>
                <w:rFonts w:ascii="Arial" w:hAnsi="Arial" w:cs="Arial"/>
                <w:sz w:val="24"/>
                <w:szCs w:val="24"/>
                <w:lang w:val="en-US"/>
              </w:rPr>
              <w:tab/>
              <w:t xml:space="preserve">exceptions, and such costs include costs of one instructing and two instructed legal </w:t>
            </w:r>
            <w:r>
              <w:rPr>
                <w:rFonts w:ascii="Arial" w:hAnsi="Arial" w:cs="Arial"/>
                <w:sz w:val="24"/>
                <w:szCs w:val="24"/>
                <w:lang w:val="en-US"/>
              </w:rPr>
              <w:tab/>
              <w:t xml:space="preserve">practitioners. It is hereby directed the costs referred to herein shall not be limited in </w:t>
            </w:r>
            <w:r>
              <w:rPr>
                <w:rFonts w:ascii="Arial" w:hAnsi="Arial" w:cs="Arial"/>
                <w:sz w:val="24"/>
                <w:szCs w:val="24"/>
                <w:lang w:val="en-US"/>
              </w:rPr>
              <w:tab/>
              <w:t>terms of rule 32(11).</w:t>
            </w:r>
          </w:p>
          <w:p w:rsidR="007B14E2" w:rsidRDefault="007B14E2" w:rsidP="007B14E2">
            <w:pPr>
              <w:tabs>
                <w:tab w:val="left" w:pos="432"/>
              </w:tabs>
              <w:spacing w:line="360" w:lineRule="auto"/>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t>The matte</w:t>
            </w:r>
            <w:r w:rsidR="00DA37FC">
              <w:rPr>
                <w:rFonts w:ascii="Arial" w:hAnsi="Arial" w:cs="Arial"/>
                <w:sz w:val="24"/>
                <w:szCs w:val="24"/>
                <w:lang w:val="en-US"/>
              </w:rPr>
              <w:t>r</w:t>
            </w:r>
            <w:r>
              <w:rPr>
                <w:rFonts w:ascii="Arial" w:hAnsi="Arial" w:cs="Arial"/>
                <w:sz w:val="24"/>
                <w:szCs w:val="24"/>
                <w:lang w:val="en-US"/>
              </w:rPr>
              <w:t xml:space="preserve"> is postponed to 27 July 2019 at 15:15 for Case Planning Conference.</w:t>
            </w:r>
          </w:p>
          <w:p w:rsidR="007B14E2" w:rsidRDefault="007B14E2" w:rsidP="007B14E2">
            <w:pPr>
              <w:tabs>
                <w:tab w:val="left" w:pos="432"/>
              </w:tabs>
              <w:spacing w:line="360" w:lineRule="auto"/>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t>The parties are directed to file a joint case plan on or before 18 July 2019.</w:t>
            </w:r>
          </w:p>
          <w:p w:rsidR="00582B16" w:rsidRPr="004B6249" w:rsidRDefault="00582B16" w:rsidP="009F3B8F">
            <w:pPr>
              <w:tabs>
                <w:tab w:val="left" w:pos="927"/>
              </w:tabs>
              <w:spacing w:line="360" w:lineRule="auto"/>
              <w:jc w:val="both"/>
              <w:rPr>
                <w:rFonts w:ascii="Arial" w:hAnsi="Arial" w:cs="Arial"/>
                <w:sz w:val="24"/>
                <w:szCs w:val="24"/>
                <w:lang w:val="en-US"/>
              </w:rPr>
            </w:pPr>
          </w:p>
        </w:tc>
      </w:tr>
      <w:tr w:rsidR="004B6249" w:rsidRPr="004B6249" w:rsidTr="00ED4ACF">
        <w:tc>
          <w:tcPr>
            <w:tcW w:w="4950" w:type="dxa"/>
          </w:tcPr>
          <w:p w:rsidR="004B6249" w:rsidRPr="004B6249" w:rsidRDefault="00145EE9" w:rsidP="004B6249">
            <w:pPr>
              <w:rPr>
                <w:rFonts w:ascii="Arial" w:hAnsi="Arial" w:cs="Arial"/>
                <w:b/>
                <w:sz w:val="24"/>
                <w:szCs w:val="24"/>
                <w:lang w:val="en-US"/>
              </w:rPr>
            </w:pPr>
            <w:r>
              <w:rPr>
                <w:rFonts w:ascii="Arial" w:hAnsi="Arial" w:cs="Arial"/>
                <w:b/>
                <w:sz w:val="24"/>
                <w:szCs w:val="24"/>
                <w:lang w:val="en-US"/>
              </w:rPr>
              <w:lastRenderedPageBreak/>
              <w:t>Judge’s signature</w:t>
            </w:r>
          </w:p>
          <w:p w:rsidR="004B6249" w:rsidRPr="004B6249" w:rsidRDefault="004B6249" w:rsidP="004B6249">
            <w:pPr>
              <w:rPr>
                <w:rFonts w:ascii="Arial" w:hAnsi="Arial" w:cs="Arial"/>
                <w:b/>
                <w:sz w:val="24"/>
                <w:szCs w:val="24"/>
                <w:lang w:val="en-US"/>
              </w:rPr>
            </w:pPr>
          </w:p>
        </w:tc>
        <w:tc>
          <w:tcPr>
            <w:tcW w:w="5130" w:type="dxa"/>
          </w:tcPr>
          <w:p w:rsidR="004B6249" w:rsidRPr="004B6249" w:rsidRDefault="004B6249" w:rsidP="004B6249">
            <w:pPr>
              <w:rPr>
                <w:rFonts w:ascii="Arial" w:hAnsi="Arial" w:cs="Arial"/>
                <w:b/>
                <w:sz w:val="24"/>
                <w:szCs w:val="24"/>
                <w:lang w:val="en-US"/>
              </w:rPr>
            </w:pPr>
            <w:r w:rsidRPr="004B6249">
              <w:rPr>
                <w:rFonts w:ascii="Arial" w:hAnsi="Arial" w:cs="Arial"/>
                <w:b/>
                <w:sz w:val="24"/>
                <w:szCs w:val="24"/>
                <w:lang w:val="en-US"/>
              </w:rPr>
              <w:t>Note to the parties:</w:t>
            </w:r>
          </w:p>
        </w:tc>
      </w:tr>
      <w:tr w:rsidR="004B6249" w:rsidRPr="004B6249" w:rsidTr="00ED4ACF">
        <w:tc>
          <w:tcPr>
            <w:tcW w:w="4950" w:type="dxa"/>
          </w:tcPr>
          <w:p w:rsidR="004B6249" w:rsidRPr="004B6249" w:rsidRDefault="004B6249" w:rsidP="004B6249">
            <w:pPr>
              <w:rPr>
                <w:rFonts w:ascii="Arial" w:hAnsi="Arial" w:cs="Arial"/>
                <w:sz w:val="24"/>
                <w:szCs w:val="24"/>
                <w:lang w:val="en-US"/>
              </w:rPr>
            </w:pPr>
          </w:p>
          <w:p w:rsidR="004B6249" w:rsidRPr="004B6249" w:rsidRDefault="004B6249" w:rsidP="004B6249">
            <w:pPr>
              <w:rPr>
                <w:rFonts w:ascii="Arial" w:hAnsi="Arial" w:cs="Arial"/>
                <w:sz w:val="24"/>
                <w:szCs w:val="24"/>
                <w:lang w:val="en-US"/>
              </w:rPr>
            </w:pPr>
          </w:p>
          <w:p w:rsidR="004B6249" w:rsidRPr="004B6249" w:rsidRDefault="004B6249" w:rsidP="004B6249">
            <w:pPr>
              <w:rPr>
                <w:rFonts w:ascii="Arial" w:hAnsi="Arial" w:cs="Arial"/>
                <w:sz w:val="24"/>
                <w:szCs w:val="24"/>
                <w:lang w:val="en-US"/>
              </w:rPr>
            </w:pPr>
          </w:p>
          <w:p w:rsidR="004B6249" w:rsidRPr="004B6249" w:rsidRDefault="004B6249" w:rsidP="004B6249">
            <w:pPr>
              <w:rPr>
                <w:rFonts w:ascii="Arial" w:hAnsi="Arial" w:cs="Arial"/>
                <w:sz w:val="24"/>
                <w:szCs w:val="24"/>
                <w:lang w:val="en-US"/>
              </w:rPr>
            </w:pPr>
          </w:p>
        </w:tc>
        <w:tc>
          <w:tcPr>
            <w:tcW w:w="5130" w:type="dxa"/>
          </w:tcPr>
          <w:p w:rsidR="004B6249" w:rsidRPr="004B6249" w:rsidRDefault="004B6249" w:rsidP="004B6249">
            <w:pPr>
              <w:rPr>
                <w:rFonts w:ascii="Arial" w:hAnsi="Arial" w:cs="Arial"/>
                <w:sz w:val="24"/>
                <w:szCs w:val="24"/>
                <w:lang w:val="en-US"/>
              </w:rPr>
            </w:pPr>
            <w:r w:rsidRPr="004B6249">
              <w:rPr>
                <w:rFonts w:ascii="Arial" w:hAnsi="Arial" w:cs="Arial"/>
                <w:sz w:val="24"/>
                <w:szCs w:val="24"/>
                <w:lang w:val="en-US"/>
              </w:rPr>
              <w:t xml:space="preserve">Not applicable </w:t>
            </w:r>
          </w:p>
        </w:tc>
      </w:tr>
      <w:tr w:rsidR="004B6249" w:rsidRPr="004B6249" w:rsidTr="00ED4ACF">
        <w:tc>
          <w:tcPr>
            <w:tcW w:w="10080" w:type="dxa"/>
            <w:gridSpan w:val="2"/>
          </w:tcPr>
          <w:p w:rsidR="004B6249" w:rsidRPr="004B6249" w:rsidRDefault="004B6249" w:rsidP="004B6249">
            <w:pPr>
              <w:jc w:val="center"/>
              <w:rPr>
                <w:rFonts w:ascii="Arial" w:hAnsi="Arial" w:cs="Arial"/>
                <w:b/>
                <w:sz w:val="24"/>
                <w:szCs w:val="24"/>
                <w:lang w:val="en-US"/>
              </w:rPr>
            </w:pPr>
            <w:r w:rsidRPr="004B6249">
              <w:rPr>
                <w:rFonts w:ascii="Arial" w:hAnsi="Arial" w:cs="Arial"/>
                <w:b/>
                <w:sz w:val="24"/>
                <w:szCs w:val="24"/>
                <w:lang w:val="en-US"/>
              </w:rPr>
              <w:t>Counsel:</w:t>
            </w:r>
          </w:p>
        </w:tc>
      </w:tr>
      <w:tr w:rsidR="004B6249" w:rsidRPr="004B6249" w:rsidTr="00ED4ACF">
        <w:tc>
          <w:tcPr>
            <w:tcW w:w="4950" w:type="dxa"/>
          </w:tcPr>
          <w:p w:rsidR="004B6249" w:rsidRPr="004B6249" w:rsidRDefault="001938F8" w:rsidP="004B6249">
            <w:pPr>
              <w:rPr>
                <w:rFonts w:ascii="Arial" w:hAnsi="Arial" w:cs="Arial"/>
                <w:b/>
                <w:sz w:val="24"/>
                <w:szCs w:val="24"/>
                <w:lang w:val="en-US"/>
              </w:rPr>
            </w:pPr>
            <w:r>
              <w:rPr>
                <w:rFonts w:ascii="Arial" w:hAnsi="Arial" w:cs="Arial"/>
                <w:b/>
                <w:sz w:val="24"/>
                <w:szCs w:val="24"/>
                <w:lang w:val="en-US"/>
              </w:rPr>
              <w:t>Plaintiff</w:t>
            </w:r>
          </w:p>
        </w:tc>
        <w:tc>
          <w:tcPr>
            <w:tcW w:w="5130" w:type="dxa"/>
          </w:tcPr>
          <w:p w:rsidR="004B6249" w:rsidRPr="004B6249" w:rsidRDefault="005B2823" w:rsidP="004B6249">
            <w:pPr>
              <w:rPr>
                <w:rFonts w:ascii="Arial" w:hAnsi="Arial" w:cs="Arial"/>
                <w:b/>
                <w:sz w:val="24"/>
                <w:szCs w:val="24"/>
                <w:lang w:val="en-US"/>
              </w:rPr>
            </w:pPr>
            <w:r>
              <w:rPr>
                <w:rFonts w:ascii="Arial" w:hAnsi="Arial" w:cs="Arial"/>
                <w:b/>
                <w:sz w:val="24"/>
                <w:szCs w:val="24"/>
                <w:lang w:val="en-US"/>
              </w:rPr>
              <w:t xml:space="preserve">Second </w:t>
            </w:r>
            <w:r w:rsidR="004B6249" w:rsidRPr="004B6249">
              <w:rPr>
                <w:rFonts w:ascii="Arial" w:hAnsi="Arial" w:cs="Arial"/>
                <w:b/>
                <w:sz w:val="24"/>
                <w:szCs w:val="24"/>
                <w:lang w:val="en-US"/>
              </w:rPr>
              <w:t>Defendant</w:t>
            </w:r>
          </w:p>
          <w:p w:rsidR="004B6249" w:rsidRPr="004B6249" w:rsidRDefault="004B6249" w:rsidP="004B6249">
            <w:pPr>
              <w:rPr>
                <w:rFonts w:ascii="Arial" w:hAnsi="Arial" w:cs="Arial"/>
                <w:sz w:val="24"/>
                <w:szCs w:val="24"/>
                <w:lang w:val="en-US"/>
              </w:rPr>
            </w:pPr>
          </w:p>
        </w:tc>
      </w:tr>
      <w:tr w:rsidR="004B6249" w:rsidRPr="004B6249" w:rsidTr="00ED4ACF">
        <w:tc>
          <w:tcPr>
            <w:tcW w:w="4950" w:type="dxa"/>
          </w:tcPr>
          <w:p w:rsidR="004B6249" w:rsidRDefault="001938F8" w:rsidP="004B6249">
            <w:pPr>
              <w:rPr>
                <w:rFonts w:ascii="Arial" w:hAnsi="Arial" w:cs="Arial"/>
                <w:sz w:val="24"/>
                <w:szCs w:val="24"/>
                <w:lang w:val="en-US"/>
              </w:rPr>
            </w:pPr>
            <w:r>
              <w:rPr>
                <w:rFonts w:ascii="Arial" w:hAnsi="Arial" w:cs="Arial"/>
                <w:sz w:val="24"/>
                <w:szCs w:val="24"/>
                <w:lang w:val="en-US"/>
              </w:rPr>
              <w:t>R Heathcote</w:t>
            </w:r>
            <w:r w:rsidR="00C17860">
              <w:rPr>
                <w:rFonts w:ascii="Arial" w:hAnsi="Arial" w:cs="Arial"/>
                <w:sz w:val="24"/>
                <w:szCs w:val="24"/>
                <w:lang w:val="en-US"/>
              </w:rPr>
              <w:t xml:space="preserve"> SC</w:t>
            </w:r>
            <w:r>
              <w:rPr>
                <w:rFonts w:ascii="Arial" w:hAnsi="Arial" w:cs="Arial"/>
                <w:sz w:val="24"/>
                <w:szCs w:val="24"/>
                <w:lang w:val="en-US"/>
              </w:rPr>
              <w:t xml:space="preserve"> </w:t>
            </w:r>
            <w:r w:rsidR="00C17860">
              <w:rPr>
                <w:rFonts w:ascii="Arial" w:hAnsi="Arial" w:cs="Arial"/>
                <w:sz w:val="24"/>
                <w:szCs w:val="24"/>
                <w:lang w:val="en-US"/>
              </w:rPr>
              <w:t>(</w:t>
            </w:r>
            <w:r>
              <w:rPr>
                <w:rFonts w:ascii="Arial" w:hAnsi="Arial" w:cs="Arial"/>
                <w:sz w:val="24"/>
                <w:szCs w:val="24"/>
                <w:lang w:val="en-US"/>
              </w:rPr>
              <w:t xml:space="preserve">with him </w:t>
            </w:r>
            <w:r w:rsidR="004A0BFE">
              <w:rPr>
                <w:rFonts w:ascii="Arial" w:hAnsi="Arial" w:cs="Arial"/>
                <w:sz w:val="24"/>
                <w:szCs w:val="24"/>
                <w:lang w:val="en-US"/>
              </w:rPr>
              <w:t>SJ Jacobs</w:t>
            </w:r>
            <w:r w:rsidR="00C17860">
              <w:rPr>
                <w:rFonts w:ascii="Arial" w:hAnsi="Arial" w:cs="Arial"/>
                <w:sz w:val="24"/>
                <w:szCs w:val="24"/>
                <w:lang w:val="en-US"/>
              </w:rPr>
              <w:t>)</w:t>
            </w:r>
          </w:p>
          <w:p w:rsidR="008E6E44" w:rsidRPr="004B6249" w:rsidRDefault="001938F8" w:rsidP="004B6249">
            <w:pPr>
              <w:rPr>
                <w:rFonts w:ascii="Arial" w:hAnsi="Arial" w:cs="Arial"/>
                <w:sz w:val="24"/>
                <w:szCs w:val="24"/>
                <w:lang w:val="en-US"/>
              </w:rPr>
            </w:pPr>
            <w:r>
              <w:rPr>
                <w:rFonts w:ascii="Arial" w:hAnsi="Arial" w:cs="Arial"/>
                <w:sz w:val="24"/>
                <w:szCs w:val="24"/>
                <w:lang w:val="en-US"/>
              </w:rPr>
              <w:t xml:space="preserve">Instructed by </w:t>
            </w:r>
            <w:r w:rsidR="008E6E44">
              <w:rPr>
                <w:rFonts w:ascii="Arial" w:hAnsi="Arial" w:cs="Arial"/>
                <w:sz w:val="24"/>
                <w:szCs w:val="24"/>
                <w:lang w:val="en-US"/>
              </w:rPr>
              <w:t>Lo</w:t>
            </w:r>
            <w:r w:rsidR="004A0BFE">
              <w:rPr>
                <w:rFonts w:ascii="Arial" w:hAnsi="Arial" w:cs="Arial"/>
                <w:sz w:val="24"/>
                <w:szCs w:val="24"/>
                <w:lang w:val="en-US"/>
              </w:rPr>
              <w:t>uis Karsten legal practitioners, Windhoek</w:t>
            </w:r>
          </w:p>
        </w:tc>
        <w:tc>
          <w:tcPr>
            <w:tcW w:w="5130" w:type="dxa"/>
          </w:tcPr>
          <w:p w:rsidR="005B2823" w:rsidRDefault="001E75D9" w:rsidP="004B6249">
            <w:pPr>
              <w:rPr>
                <w:rFonts w:ascii="Arial" w:hAnsi="Arial" w:cs="Arial"/>
                <w:sz w:val="24"/>
                <w:szCs w:val="24"/>
              </w:rPr>
            </w:pPr>
            <w:r>
              <w:rPr>
                <w:rFonts w:ascii="Arial" w:hAnsi="Arial" w:cs="Arial"/>
                <w:sz w:val="24"/>
                <w:szCs w:val="24"/>
              </w:rPr>
              <w:t xml:space="preserve">G </w:t>
            </w:r>
            <w:r w:rsidR="005B2823">
              <w:rPr>
                <w:rFonts w:ascii="Arial" w:hAnsi="Arial" w:cs="Arial"/>
                <w:sz w:val="24"/>
                <w:szCs w:val="24"/>
              </w:rPr>
              <w:t xml:space="preserve">Coleman </w:t>
            </w:r>
            <w:r w:rsidR="00C17860">
              <w:rPr>
                <w:rFonts w:ascii="Arial" w:hAnsi="Arial" w:cs="Arial"/>
                <w:sz w:val="24"/>
                <w:szCs w:val="24"/>
              </w:rPr>
              <w:t>(</w:t>
            </w:r>
            <w:r w:rsidR="005B2823">
              <w:rPr>
                <w:rFonts w:ascii="Arial" w:hAnsi="Arial" w:cs="Arial"/>
                <w:sz w:val="24"/>
                <w:szCs w:val="24"/>
              </w:rPr>
              <w:t xml:space="preserve">with him </w:t>
            </w:r>
            <w:r w:rsidR="004A0BFE">
              <w:rPr>
                <w:rFonts w:ascii="Arial" w:hAnsi="Arial" w:cs="Arial"/>
                <w:sz w:val="24"/>
                <w:szCs w:val="24"/>
              </w:rPr>
              <w:t xml:space="preserve">MS </w:t>
            </w:r>
            <w:r w:rsidR="00C17860">
              <w:rPr>
                <w:rFonts w:ascii="Arial" w:hAnsi="Arial" w:cs="Arial"/>
                <w:sz w:val="24"/>
                <w:szCs w:val="24"/>
              </w:rPr>
              <w:t>Kashindi)</w:t>
            </w:r>
          </w:p>
          <w:p w:rsidR="008E6E44" w:rsidRPr="005B2823" w:rsidRDefault="005B2823" w:rsidP="004B6249">
            <w:pPr>
              <w:rPr>
                <w:rFonts w:ascii="Arial" w:hAnsi="Arial" w:cs="Arial"/>
                <w:sz w:val="24"/>
                <w:szCs w:val="24"/>
              </w:rPr>
            </w:pPr>
            <w:r>
              <w:rPr>
                <w:rFonts w:ascii="Arial" w:hAnsi="Arial" w:cs="Arial"/>
                <w:sz w:val="24"/>
                <w:szCs w:val="24"/>
              </w:rPr>
              <w:t xml:space="preserve">Instructed by </w:t>
            </w:r>
            <w:r w:rsidR="008E6E44">
              <w:rPr>
                <w:rFonts w:ascii="Arial" w:hAnsi="Arial" w:cs="Arial"/>
                <w:sz w:val="24"/>
                <w:szCs w:val="24"/>
              </w:rPr>
              <w:t>Government Attorneys</w:t>
            </w:r>
            <w:r w:rsidR="004A0BFE">
              <w:rPr>
                <w:rFonts w:ascii="Arial" w:hAnsi="Arial" w:cs="Arial"/>
                <w:sz w:val="24"/>
                <w:szCs w:val="24"/>
              </w:rPr>
              <w:t>, Windhoek</w:t>
            </w:r>
          </w:p>
        </w:tc>
      </w:tr>
    </w:tbl>
    <w:p w:rsidR="004B6249" w:rsidRPr="004B6249" w:rsidRDefault="004B6249" w:rsidP="004B6249">
      <w:pPr>
        <w:rPr>
          <w:rFonts w:ascii="Arial" w:hAnsi="Arial" w:cs="Arial"/>
          <w:sz w:val="24"/>
          <w:szCs w:val="24"/>
          <w:lang w:val="en-US"/>
        </w:rPr>
      </w:pPr>
    </w:p>
    <w:p w:rsidR="004B6249" w:rsidRPr="004B6249" w:rsidRDefault="004B6249" w:rsidP="004B6249">
      <w:pPr>
        <w:rPr>
          <w:lang w:val="en-US"/>
        </w:rPr>
      </w:pPr>
    </w:p>
    <w:p w:rsidR="004B6249" w:rsidRPr="004B6249" w:rsidRDefault="004B6249" w:rsidP="004B6249"/>
    <w:p w:rsidR="00923B3B" w:rsidRDefault="00923B3B"/>
    <w:sectPr w:rsidR="00923B3B" w:rsidSect="000F1496">
      <w:headerReference w:type="default" r:id="rId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9F0" w:rsidRDefault="000C49F0">
      <w:pPr>
        <w:spacing w:after="0" w:line="240" w:lineRule="auto"/>
      </w:pPr>
      <w:r>
        <w:separator/>
      </w:r>
    </w:p>
  </w:endnote>
  <w:endnote w:type="continuationSeparator" w:id="0">
    <w:p w:rsidR="000C49F0" w:rsidRDefault="000C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9F0" w:rsidRDefault="000C49F0">
      <w:pPr>
        <w:spacing w:after="0" w:line="240" w:lineRule="auto"/>
      </w:pPr>
      <w:r>
        <w:separator/>
      </w:r>
    </w:p>
  </w:footnote>
  <w:footnote w:type="continuationSeparator" w:id="0">
    <w:p w:rsidR="000C49F0" w:rsidRDefault="000C4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879081"/>
      <w:docPartObj>
        <w:docPartGallery w:val="Page Numbers (Top of Page)"/>
        <w:docPartUnique/>
      </w:docPartObj>
    </w:sdtPr>
    <w:sdtEndPr>
      <w:rPr>
        <w:noProof/>
      </w:rPr>
    </w:sdtEndPr>
    <w:sdtContent>
      <w:p w:rsidR="005D23B0" w:rsidRDefault="00DA37FC">
        <w:pPr>
          <w:pStyle w:val="Header"/>
          <w:jc w:val="center"/>
        </w:pPr>
        <w:r>
          <w:fldChar w:fldCharType="begin"/>
        </w:r>
        <w:r>
          <w:instrText xml:space="preserve"> PAGE   \* MERGEFORMAT </w:instrText>
        </w:r>
        <w:r>
          <w:fldChar w:fldCharType="separate"/>
        </w:r>
        <w:r w:rsidR="00CD2E04">
          <w:rPr>
            <w:noProof/>
          </w:rPr>
          <w:t>6</w:t>
        </w:r>
        <w:r>
          <w:rPr>
            <w:noProof/>
          </w:rPr>
          <w:fldChar w:fldCharType="end"/>
        </w:r>
      </w:p>
    </w:sdtContent>
  </w:sdt>
  <w:p w:rsidR="005D23B0" w:rsidRDefault="000C4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49"/>
    <w:rsid w:val="00001C51"/>
    <w:rsid w:val="0000646A"/>
    <w:rsid w:val="00081823"/>
    <w:rsid w:val="000A4F66"/>
    <w:rsid w:val="000C49F0"/>
    <w:rsid w:val="00107FBC"/>
    <w:rsid w:val="00145EE9"/>
    <w:rsid w:val="001638EF"/>
    <w:rsid w:val="001938F8"/>
    <w:rsid w:val="001E75D9"/>
    <w:rsid w:val="00263500"/>
    <w:rsid w:val="002B0FCB"/>
    <w:rsid w:val="003F0298"/>
    <w:rsid w:val="004A0BFE"/>
    <w:rsid w:val="004A5DF2"/>
    <w:rsid w:val="004B4562"/>
    <w:rsid w:val="004B6249"/>
    <w:rsid w:val="004C114D"/>
    <w:rsid w:val="005622F6"/>
    <w:rsid w:val="00582B16"/>
    <w:rsid w:val="005B2823"/>
    <w:rsid w:val="006006E5"/>
    <w:rsid w:val="006046A2"/>
    <w:rsid w:val="00646C22"/>
    <w:rsid w:val="0075180D"/>
    <w:rsid w:val="00780502"/>
    <w:rsid w:val="00791F8D"/>
    <w:rsid w:val="007A5EF0"/>
    <w:rsid w:val="007B14E2"/>
    <w:rsid w:val="007D773B"/>
    <w:rsid w:val="007F1739"/>
    <w:rsid w:val="00827772"/>
    <w:rsid w:val="0084631D"/>
    <w:rsid w:val="00857C88"/>
    <w:rsid w:val="008C1D23"/>
    <w:rsid w:val="008E6E44"/>
    <w:rsid w:val="00913E9D"/>
    <w:rsid w:val="00923B3B"/>
    <w:rsid w:val="00960B16"/>
    <w:rsid w:val="00991058"/>
    <w:rsid w:val="00997895"/>
    <w:rsid w:val="009F3B8F"/>
    <w:rsid w:val="00AB1933"/>
    <w:rsid w:val="00C17860"/>
    <w:rsid w:val="00C94CA8"/>
    <w:rsid w:val="00CD2E04"/>
    <w:rsid w:val="00CF084D"/>
    <w:rsid w:val="00CF2CFE"/>
    <w:rsid w:val="00D36324"/>
    <w:rsid w:val="00DA37FC"/>
    <w:rsid w:val="00DB3B00"/>
    <w:rsid w:val="00DB76E6"/>
    <w:rsid w:val="00E10835"/>
    <w:rsid w:val="00E44F4E"/>
    <w:rsid w:val="00F0300B"/>
    <w:rsid w:val="00F11328"/>
    <w:rsid w:val="00F21FB1"/>
    <w:rsid w:val="00F33466"/>
    <w:rsid w:val="00F34E96"/>
    <w:rsid w:val="00F43E06"/>
    <w:rsid w:val="00F56A46"/>
    <w:rsid w:val="00FB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58111-0E67-41E5-8E61-675DA69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24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4B6249"/>
  </w:style>
  <w:style w:type="paragraph" w:styleId="BalloonText">
    <w:name w:val="Balloon Text"/>
    <w:basedOn w:val="Normal"/>
    <w:link w:val="BalloonTextChar"/>
    <w:uiPriority w:val="99"/>
    <w:semiHidden/>
    <w:unhideWhenUsed/>
    <w:rsid w:val="007F1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3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2019-05-20T18:30:00+00:00</Judgment_x0020_Date>
    <Year xmlns="c1afb1bd-f2fb-40fd-9abb-aea55b4d7662">2019</Year>
  </documentManagement>
</p:properties>
</file>

<file path=customXml/itemProps1.xml><?xml version="1.0" encoding="utf-8"?>
<ds:datastoreItem xmlns:ds="http://schemas.openxmlformats.org/officeDocument/2006/customXml" ds:itemID="{5DFC837F-3480-43C2-9D6E-4EAF892048A1}"/>
</file>

<file path=customXml/itemProps2.xml><?xml version="1.0" encoding="utf-8"?>
<ds:datastoreItem xmlns:ds="http://schemas.openxmlformats.org/officeDocument/2006/customXml" ds:itemID="{90EE7C84-A19B-48DB-B2E8-E6B0D12D6195}"/>
</file>

<file path=customXml/itemProps3.xml><?xml version="1.0" encoding="utf-8"?>
<ds:datastoreItem xmlns:ds="http://schemas.openxmlformats.org/officeDocument/2006/customXml" ds:itemID="{A1CB93B1-1CCA-4968-A426-11389F89A015}"/>
</file>

<file path=docProps/app.xml><?xml version="1.0" encoding="utf-8"?>
<Properties xmlns="http://schemas.openxmlformats.org/officeDocument/2006/extended-properties" xmlns:vt="http://schemas.openxmlformats.org/officeDocument/2006/docPropsVTypes">
  <Template>Normal</Template>
  <TotalTime>0</TotalTime>
  <Pages>6</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Power-Oyeno Construction (Pty) Ltd v NHE (HC-MD-CIV-ACT- CON-2018-01993) [2019] NAHCMD 159 (21 May 2019)</dc:title>
  <dc:subject/>
  <dc:creator>Loide Shilongo</dc:creator>
  <cp:keywords/>
  <dc:description/>
  <cp:lastModifiedBy>Eklien E.P. Kharases</cp:lastModifiedBy>
  <cp:revision>2</cp:revision>
  <cp:lastPrinted>2019-05-21T09:57:00Z</cp:lastPrinted>
  <dcterms:created xsi:type="dcterms:W3CDTF">2019-05-24T09:23:00Z</dcterms:created>
  <dcterms:modified xsi:type="dcterms:W3CDTF">2019-05-24T09:23:00Z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