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B8" w:rsidRPr="005E4C36" w:rsidRDefault="00B13EE6" w:rsidP="000F1C25">
      <w:pPr>
        <w:jc w:val="center"/>
        <w:rPr>
          <w:rFonts w:ascii="Arial Narrow" w:hAnsi="Arial Narrow" w:cs="Arial"/>
          <w:b/>
          <w:sz w:val="24"/>
          <w:szCs w:val="24"/>
        </w:rPr>
      </w:pPr>
      <w:r w:rsidRPr="005E4C36">
        <w:rPr>
          <w:rFonts w:ascii="Arial Narrow" w:hAnsi="Arial Narrow" w:cs="Arial"/>
          <w:b/>
          <w:sz w:val="24"/>
          <w:szCs w:val="24"/>
        </w:rPr>
        <w:t>IN THE HIGH COURT OF NAMIBIA</w:t>
      </w:r>
    </w:p>
    <w:tbl>
      <w:tblPr>
        <w:tblStyle w:val="TableGrid"/>
        <w:tblW w:w="9720" w:type="dxa"/>
        <w:tblInd w:w="-275" w:type="dxa"/>
        <w:tblLook w:val="04A0" w:firstRow="1" w:lastRow="0" w:firstColumn="1" w:lastColumn="0" w:noHBand="0" w:noVBand="1"/>
      </w:tblPr>
      <w:tblGrid>
        <w:gridCol w:w="4770"/>
        <w:gridCol w:w="627"/>
        <w:gridCol w:w="4323"/>
      </w:tblGrid>
      <w:tr w:rsidR="00AE7087" w:rsidRPr="005E4C36" w:rsidTr="00B13EE6">
        <w:trPr>
          <w:trHeight w:val="1088"/>
        </w:trPr>
        <w:tc>
          <w:tcPr>
            <w:tcW w:w="5397" w:type="dxa"/>
            <w:gridSpan w:val="2"/>
          </w:tcPr>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Case Title:</w:t>
            </w:r>
          </w:p>
          <w:p w:rsidR="00AE7087" w:rsidRPr="005E4C36" w:rsidRDefault="00B13EE6" w:rsidP="00B13EE6">
            <w:pPr>
              <w:spacing w:line="360" w:lineRule="auto"/>
              <w:jc w:val="both"/>
              <w:rPr>
                <w:rFonts w:ascii="Arial Narrow" w:hAnsi="Arial Narrow" w:cs="Arial"/>
                <w:i/>
                <w:sz w:val="24"/>
                <w:szCs w:val="24"/>
              </w:rPr>
            </w:pPr>
            <w:r w:rsidRPr="005E4C36">
              <w:rPr>
                <w:rFonts w:ascii="Arial Narrow" w:hAnsi="Arial Narrow" w:cs="Arial"/>
                <w:i/>
                <w:sz w:val="24"/>
                <w:szCs w:val="24"/>
              </w:rPr>
              <w:t>Ignatius Shidumifa Kelly Nghixulifa v The State</w:t>
            </w:r>
          </w:p>
        </w:tc>
        <w:tc>
          <w:tcPr>
            <w:tcW w:w="4323" w:type="dxa"/>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Case No:</w:t>
            </w:r>
          </w:p>
          <w:p w:rsidR="00AE7087" w:rsidRPr="005E4C36" w:rsidRDefault="000F1C25" w:rsidP="0088732C">
            <w:pPr>
              <w:spacing w:line="360" w:lineRule="auto"/>
              <w:jc w:val="both"/>
              <w:rPr>
                <w:rFonts w:ascii="Arial Narrow" w:hAnsi="Arial Narrow" w:cs="Arial"/>
                <w:sz w:val="24"/>
                <w:szCs w:val="24"/>
              </w:rPr>
            </w:pPr>
            <w:r w:rsidRPr="005E4C36">
              <w:rPr>
                <w:rFonts w:ascii="Arial Narrow" w:hAnsi="Arial Narrow" w:cs="Arial"/>
                <w:sz w:val="24"/>
                <w:szCs w:val="24"/>
              </w:rPr>
              <w:t>CC 02/2014</w:t>
            </w:r>
          </w:p>
        </w:tc>
      </w:tr>
      <w:tr w:rsidR="00AE7087" w:rsidRPr="005E4C36" w:rsidTr="00B13EE6">
        <w:trPr>
          <w:trHeight w:val="872"/>
        </w:trPr>
        <w:tc>
          <w:tcPr>
            <w:tcW w:w="5397" w:type="dxa"/>
            <w:gridSpan w:val="2"/>
          </w:tcPr>
          <w:p w:rsidR="00AE7087" w:rsidRPr="005E4C36" w:rsidRDefault="00B13EE6" w:rsidP="00527948">
            <w:pPr>
              <w:spacing w:after="160" w:line="360" w:lineRule="auto"/>
              <w:jc w:val="both"/>
              <w:rPr>
                <w:rFonts w:ascii="Arial Narrow" w:hAnsi="Arial Narrow" w:cs="Arial"/>
                <w:b/>
                <w:sz w:val="24"/>
                <w:szCs w:val="24"/>
                <w:lang w:val="en-US"/>
              </w:rPr>
            </w:pPr>
            <w:r w:rsidRPr="005E4C36">
              <w:rPr>
                <w:rFonts w:ascii="Arial Narrow" w:hAnsi="Arial Narrow" w:cs="Arial"/>
                <w:b/>
                <w:sz w:val="24"/>
                <w:szCs w:val="24"/>
              </w:rPr>
              <w:t>Ruling on Application for leave to Appeal</w:t>
            </w:r>
          </w:p>
        </w:tc>
        <w:tc>
          <w:tcPr>
            <w:tcW w:w="4323" w:type="dxa"/>
          </w:tcPr>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Division of Court:</w:t>
            </w:r>
          </w:p>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sz w:val="24"/>
                <w:szCs w:val="24"/>
              </w:rPr>
              <w:t>Main Division</w:t>
            </w:r>
          </w:p>
        </w:tc>
      </w:tr>
      <w:tr w:rsidR="00AE7087" w:rsidRPr="005E4C36" w:rsidTr="00B13EE6">
        <w:trPr>
          <w:trHeight w:val="881"/>
        </w:trPr>
        <w:tc>
          <w:tcPr>
            <w:tcW w:w="5397" w:type="dxa"/>
            <w:gridSpan w:val="2"/>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Heard before:</w:t>
            </w:r>
          </w:p>
          <w:p w:rsidR="00AE7087" w:rsidRPr="005E4C36" w:rsidRDefault="00AE7087" w:rsidP="0088732C">
            <w:pPr>
              <w:spacing w:line="360" w:lineRule="auto"/>
              <w:jc w:val="both"/>
              <w:rPr>
                <w:rFonts w:ascii="Arial Narrow" w:hAnsi="Arial Narrow" w:cs="Arial"/>
                <w:i/>
                <w:sz w:val="24"/>
                <w:szCs w:val="24"/>
              </w:rPr>
            </w:pPr>
            <w:r w:rsidRPr="005E4C36">
              <w:rPr>
                <w:rFonts w:ascii="Arial Narrow" w:hAnsi="Arial Narrow" w:cs="Arial"/>
                <w:sz w:val="24"/>
                <w:szCs w:val="24"/>
              </w:rPr>
              <w:t xml:space="preserve">Mr Justice Liebenberg </w:t>
            </w:r>
          </w:p>
        </w:tc>
        <w:tc>
          <w:tcPr>
            <w:tcW w:w="4323" w:type="dxa"/>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Delivered on:</w:t>
            </w:r>
          </w:p>
          <w:p w:rsidR="00AE7087" w:rsidRPr="005E4C36" w:rsidRDefault="000F1C25" w:rsidP="0088732C">
            <w:pPr>
              <w:spacing w:line="360" w:lineRule="auto"/>
              <w:jc w:val="both"/>
              <w:rPr>
                <w:rFonts w:ascii="Arial Narrow" w:hAnsi="Arial Narrow" w:cs="Arial"/>
                <w:sz w:val="24"/>
                <w:szCs w:val="24"/>
              </w:rPr>
            </w:pPr>
            <w:r w:rsidRPr="005E4C36">
              <w:rPr>
                <w:rFonts w:ascii="Arial Narrow" w:hAnsi="Arial Narrow" w:cs="Arial"/>
                <w:sz w:val="24"/>
                <w:szCs w:val="24"/>
              </w:rPr>
              <w:t>27 Ma</w:t>
            </w:r>
            <w:r w:rsidR="00AE7087" w:rsidRPr="005E4C36">
              <w:rPr>
                <w:rFonts w:ascii="Arial Narrow" w:hAnsi="Arial Narrow" w:cs="Arial"/>
                <w:sz w:val="24"/>
                <w:szCs w:val="24"/>
              </w:rPr>
              <w:t>y 2019</w:t>
            </w:r>
          </w:p>
        </w:tc>
      </w:tr>
      <w:tr w:rsidR="00AE7087" w:rsidRPr="005E4C36" w:rsidTr="0088732C">
        <w:tc>
          <w:tcPr>
            <w:tcW w:w="9720" w:type="dxa"/>
            <w:gridSpan w:val="3"/>
          </w:tcPr>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 xml:space="preserve">Neutral citation: </w:t>
            </w:r>
            <w:r w:rsidRPr="005E4C36">
              <w:rPr>
                <w:rFonts w:ascii="Arial Narrow" w:hAnsi="Arial Narrow" w:cs="Arial"/>
                <w:i/>
                <w:sz w:val="24"/>
                <w:szCs w:val="24"/>
              </w:rPr>
              <w:t xml:space="preserve">S v </w:t>
            </w:r>
            <w:r w:rsidR="001C10EF" w:rsidRPr="005E4C36">
              <w:rPr>
                <w:rFonts w:ascii="Arial Narrow" w:hAnsi="Arial Narrow" w:cs="Arial"/>
                <w:i/>
                <w:sz w:val="24"/>
                <w:szCs w:val="24"/>
              </w:rPr>
              <w:t xml:space="preserve">Nghixulifa </w:t>
            </w:r>
            <w:r w:rsidR="000F1C25" w:rsidRPr="005E4C36">
              <w:rPr>
                <w:rFonts w:ascii="Arial Narrow" w:hAnsi="Arial Narrow" w:cs="Arial"/>
                <w:sz w:val="24"/>
                <w:szCs w:val="24"/>
              </w:rPr>
              <w:t>(CC 02/2014</w:t>
            </w:r>
            <w:r w:rsidRPr="005E4C36">
              <w:rPr>
                <w:rFonts w:ascii="Arial Narrow" w:hAnsi="Arial Narrow" w:cs="Arial"/>
                <w:sz w:val="24"/>
                <w:szCs w:val="24"/>
              </w:rPr>
              <w:t xml:space="preserve">) </w:t>
            </w:r>
            <w:r w:rsidR="000F1C25" w:rsidRPr="005E4C36">
              <w:rPr>
                <w:rFonts w:ascii="Arial Narrow" w:hAnsi="Arial Narrow" w:cs="Arial"/>
                <w:sz w:val="24"/>
                <w:szCs w:val="24"/>
              </w:rPr>
              <w:t xml:space="preserve">[2018] NAHCMD </w:t>
            </w:r>
            <w:r w:rsidR="004440B9">
              <w:rPr>
                <w:rFonts w:ascii="Arial Narrow" w:hAnsi="Arial Narrow" w:cs="Arial"/>
                <w:sz w:val="24"/>
                <w:szCs w:val="24"/>
              </w:rPr>
              <w:t>168</w:t>
            </w:r>
            <w:r w:rsidR="000F1C25" w:rsidRPr="005E4C36">
              <w:rPr>
                <w:rFonts w:ascii="Arial Narrow" w:hAnsi="Arial Narrow" w:cs="Arial"/>
                <w:sz w:val="24"/>
                <w:szCs w:val="24"/>
              </w:rPr>
              <w:t xml:space="preserve"> (27 May</w:t>
            </w:r>
            <w:r w:rsidRPr="005E4C36">
              <w:rPr>
                <w:rFonts w:ascii="Arial Narrow" w:hAnsi="Arial Narrow" w:cs="Arial"/>
                <w:sz w:val="24"/>
                <w:szCs w:val="24"/>
              </w:rPr>
              <w:t xml:space="preserve"> 2019)</w:t>
            </w:r>
          </w:p>
          <w:p w:rsidR="00AE7087" w:rsidRPr="005E4C36" w:rsidRDefault="00AE7087" w:rsidP="0088732C">
            <w:pPr>
              <w:spacing w:line="360" w:lineRule="auto"/>
              <w:jc w:val="both"/>
              <w:rPr>
                <w:rFonts w:ascii="Arial Narrow" w:hAnsi="Arial Narrow" w:cs="Arial"/>
                <w:b/>
                <w:sz w:val="24"/>
                <w:szCs w:val="24"/>
              </w:rPr>
            </w:pPr>
          </w:p>
        </w:tc>
      </w:tr>
      <w:tr w:rsidR="00AE7087" w:rsidRPr="005E4C36" w:rsidTr="0088732C">
        <w:tc>
          <w:tcPr>
            <w:tcW w:w="9720" w:type="dxa"/>
            <w:gridSpan w:val="3"/>
          </w:tcPr>
          <w:p w:rsidR="00AE7087" w:rsidRDefault="00AE7087" w:rsidP="00D041D2">
            <w:pPr>
              <w:spacing w:line="360" w:lineRule="auto"/>
              <w:jc w:val="both"/>
              <w:rPr>
                <w:rFonts w:ascii="Arial Narrow" w:hAnsi="Arial Narrow" w:cs="Arial"/>
                <w:b/>
                <w:sz w:val="24"/>
                <w:szCs w:val="24"/>
              </w:rPr>
            </w:pPr>
            <w:r w:rsidRPr="005E4C36">
              <w:rPr>
                <w:rFonts w:ascii="Arial Narrow" w:hAnsi="Arial Narrow" w:cs="Arial"/>
                <w:b/>
                <w:sz w:val="24"/>
                <w:szCs w:val="24"/>
              </w:rPr>
              <w:t>The order:</w:t>
            </w:r>
          </w:p>
          <w:p w:rsidR="00CA59CB" w:rsidRPr="00CA59CB" w:rsidRDefault="00CA59CB" w:rsidP="00CA59CB">
            <w:pPr>
              <w:pStyle w:val="ListParagraph"/>
              <w:numPr>
                <w:ilvl w:val="0"/>
                <w:numId w:val="4"/>
              </w:numPr>
              <w:spacing w:line="360" w:lineRule="auto"/>
              <w:jc w:val="both"/>
              <w:rPr>
                <w:rFonts w:ascii="Arial Narrow" w:hAnsi="Arial Narrow" w:cs="Arial"/>
                <w:sz w:val="24"/>
                <w:szCs w:val="24"/>
              </w:rPr>
            </w:pPr>
            <w:r w:rsidRPr="00CA59CB">
              <w:rPr>
                <w:rFonts w:ascii="Arial Narrow" w:hAnsi="Arial Narrow" w:cs="Arial"/>
                <w:sz w:val="24"/>
                <w:szCs w:val="24"/>
              </w:rPr>
              <w:t>The application for condonation is refused.</w:t>
            </w:r>
          </w:p>
          <w:p w:rsidR="00CA59CB" w:rsidRPr="00CA59CB" w:rsidRDefault="00CA59CB" w:rsidP="00CA59CB">
            <w:pPr>
              <w:pStyle w:val="ListParagraph"/>
              <w:numPr>
                <w:ilvl w:val="0"/>
                <w:numId w:val="4"/>
              </w:numPr>
              <w:spacing w:line="360" w:lineRule="auto"/>
              <w:jc w:val="both"/>
              <w:rPr>
                <w:rFonts w:ascii="Arial Narrow" w:hAnsi="Arial Narrow" w:cs="Arial"/>
                <w:sz w:val="24"/>
                <w:szCs w:val="24"/>
              </w:rPr>
            </w:pPr>
            <w:r w:rsidRPr="00CA59CB">
              <w:rPr>
                <w:rFonts w:ascii="Arial Narrow" w:hAnsi="Arial Narrow" w:cs="Arial"/>
                <w:sz w:val="24"/>
                <w:szCs w:val="24"/>
              </w:rPr>
              <w:t>The matter is struck from the roll.</w:t>
            </w:r>
            <w:bookmarkStart w:id="0" w:name="_GoBack"/>
            <w:bookmarkEnd w:id="0"/>
          </w:p>
          <w:p w:rsidR="00AE7087" w:rsidRPr="005E4C36" w:rsidRDefault="00AE7087" w:rsidP="00AE7087">
            <w:pPr>
              <w:spacing w:line="360" w:lineRule="auto"/>
              <w:jc w:val="both"/>
              <w:rPr>
                <w:rFonts w:ascii="Arial Narrow" w:hAnsi="Arial Narrow" w:cs="Arial"/>
                <w:sz w:val="24"/>
                <w:szCs w:val="24"/>
              </w:rPr>
            </w:pPr>
          </w:p>
        </w:tc>
      </w:tr>
      <w:tr w:rsidR="00AE7087" w:rsidRPr="005E4C36" w:rsidTr="0088732C">
        <w:tc>
          <w:tcPr>
            <w:tcW w:w="9720" w:type="dxa"/>
            <w:gridSpan w:val="3"/>
          </w:tcPr>
          <w:p w:rsidR="00AE7087" w:rsidRPr="005E4C36" w:rsidRDefault="00D8238D" w:rsidP="0088732C">
            <w:pPr>
              <w:spacing w:line="360" w:lineRule="auto"/>
              <w:jc w:val="both"/>
              <w:rPr>
                <w:rFonts w:ascii="Arial Narrow" w:hAnsi="Arial Narrow" w:cs="Arial"/>
                <w:b/>
                <w:sz w:val="24"/>
                <w:szCs w:val="24"/>
              </w:rPr>
            </w:pPr>
            <w:r>
              <w:rPr>
                <w:rFonts w:ascii="Arial Narrow" w:hAnsi="Arial Narrow" w:cs="Arial"/>
                <w:b/>
                <w:sz w:val="24"/>
                <w:szCs w:val="24"/>
              </w:rPr>
              <w:t>Reasons for decision</w:t>
            </w:r>
            <w:r w:rsidR="00AE7087" w:rsidRPr="005E4C36">
              <w:rPr>
                <w:rFonts w:ascii="Arial Narrow" w:hAnsi="Arial Narrow" w:cs="Arial"/>
                <w:b/>
                <w:sz w:val="24"/>
                <w:szCs w:val="24"/>
              </w:rPr>
              <w:t>:</w:t>
            </w:r>
          </w:p>
        </w:tc>
      </w:tr>
      <w:tr w:rsidR="00AE7087" w:rsidRPr="005E4C36" w:rsidTr="0088732C">
        <w:tc>
          <w:tcPr>
            <w:tcW w:w="9720" w:type="dxa"/>
            <w:gridSpan w:val="3"/>
          </w:tcPr>
          <w:p w:rsidR="00D041D2" w:rsidRPr="005E4C36" w:rsidRDefault="00D041D2" w:rsidP="0088732C">
            <w:pPr>
              <w:spacing w:line="360" w:lineRule="auto"/>
              <w:jc w:val="both"/>
              <w:rPr>
                <w:rFonts w:ascii="Arial Narrow" w:hAnsi="Arial Narrow" w:cs="Arial"/>
                <w:sz w:val="24"/>
                <w:szCs w:val="24"/>
              </w:rPr>
            </w:pPr>
          </w:p>
          <w:p w:rsidR="00AE7087" w:rsidRPr="005E4C36" w:rsidRDefault="001C10EF" w:rsidP="0088732C">
            <w:pPr>
              <w:spacing w:line="360" w:lineRule="auto"/>
              <w:jc w:val="both"/>
              <w:rPr>
                <w:rFonts w:ascii="Arial Narrow" w:hAnsi="Arial Narrow" w:cs="Arial"/>
                <w:sz w:val="24"/>
                <w:szCs w:val="24"/>
              </w:rPr>
            </w:pPr>
            <w:r w:rsidRPr="005E4C36">
              <w:rPr>
                <w:rFonts w:ascii="Arial Narrow" w:hAnsi="Arial Narrow" w:cs="Arial"/>
                <w:sz w:val="24"/>
                <w:szCs w:val="24"/>
              </w:rPr>
              <w:t xml:space="preserve">LIEBENBERG J </w:t>
            </w:r>
          </w:p>
          <w:p w:rsidR="00D11E47" w:rsidRPr="00CA59CB" w:rsidRDefault="00D11E47" w:rsidP="00F3286D">
            <w:pPr>
              <w:pStyle w:val="ListParagraph"/>
              <w:numPr>
                <w:ilvl w:val="0"/>
                <w:numId w:val="5"/>
              </w:numPr>
              <w:spacing w:line="360" w:lineRule="auto"/>
              <w:ind w:left="522"/>
              <w:jc w:val="both"/>
              <w:rPr>
                <w:rFonts w:ascii="Arial Narrow" w:hAnsi="Arial Narrow" w:cs="Arial"/>
                <w:sz w:val="24"/>
                <w:szCs w:val="24"/>
              </w:rPr>
            </w:pPr>
            <w:r w:rsidRPr="00CA59CB">
              <w:rPr>
                <w:rFonts w:ascii="Arial Narrow" w:hAnsi="Arial Narrow" w:cs="Arial"/>
                <w:sz w:val="24"/>
                <w:szCs w:val="24"/>
              </w:rPr>
              <w:t xml:space="preserve">This is an application for leave to </w:t>
            </w:r>
            <w:r w:rsidR="00466B8E" w:rsidRPr="00CA59CB">
              <w:rPr>
                <w:rFonts w:ascii="Arial Narrow" w:hAnsi="Arial Narrow" w:cs="Arial"/>
                <w:sz w:val="24"/>
                <w:szCs w:val="24"/>
              </w:rPr>
              <w:t>appeal against</w:t>
            </w:r>
            <w:r w:rsidRPr="00CA59CB">
              <w:rPr>
                <w:rFonts w:ascii="Arial Narrow" w:hAnsi="Arial Narrow" w:cs="Arial"/>
                <w:sz w:val="24"/>
                <w:szCs w:val="24"/>
              </w:rPr>
              <w:t xml:space="preserve"> the Court’s ruling delivered on 17 October 2018 refusing an application by accused no’s 1 – 3 made in terms of ss 85 and 86 of the Criminal Procedure Act 51 of 1977 </w:t>
            </w:r>
            <w:r w:rsidR="005E4C36" w:rsidRPr="00CA59CB">
              <w:rPr>
                <w:rFonts w:ascii="Arial Narrow" w:hAnsi="Arial Narrow" w:cs="Arial"/>
                <w:sz w:val="24"/>
                <w:szCs w:val="24"/>
              </w:rPr>
              <w:t xml:space="preserve">for the quashing of charges </w:t>
            </w:r>
            <w:r w:rsidR="00466B8E" w:rsidRPr="00CA59CB">
              <w:rPr>
                <w:rFonts w:ascii="Arial Narrow" w:hAnsi="Arial Narrow" w:cs="Arial"/>
                <w:sz w:val="24"/>
                <w:szCs w:val="24"/>
              </w:rPr>
              <w:t xml:space="preserve">set out </w:t>
            </w:r>
            <w:r w:rsidR="005E4C36" w:rsidRPr="00CA59CB">
              <w:rPr>
                <w:rFonts w:ascii="Arial Narrow" w:hAnsi="Arial Narrow" w:cs="Arial"/>
                <w:sz w:val="24"/>
                <w:szCs w:val="24"/>
              </w:rPr>
              <w:t>in</w:t>
            </w:r>
            <w:r w:rsidRPr="00CA59CB">
              <w:rPr>
                <w:rFonts w:ascii="Arial Narrow" w:hAnsi="Arial Narrow" w:cs="Arial"/>
                <w:sz w:val="24"/>
                <w:szCs w:val="24"/>
              </w:rPr>
              <w:t xml:space="preserve"> counts 1, 2, 5, 6, 7, 9, 10 and 11</w:t>
            </w:r>
            <w:r w:rsidR="005E4C36" w:rsidRPr="00CA59CB">
              <w:rPr>
                <w:rFonts w:ascii="Arial Narrow" w:hAnsi="Arial Narrow" w:cs="Arial"/>
                <w:sz w:val="24"/>
                <w:szCs w:val="24"/>
              </w:rPr>
              <w:t>,</w:t>
            </w:r>
            <w:r w:rsidRPr="00CA59CB">
              <w:rPr>
                <w:rFonts w:ascii="Arial Narrow" w:hAnsi="Arial Narrow" w:cs="Arial"/>
                <w:sz w:val="24"/>
                <w:szCs w:val="24"/>
              </w:rPr>
              <w:t xml:space="preserve"> preferred against the accused persons.</w:t>
            </w:r>
            <w:r w:rsidR="005E4C36" w:rsidRPr="00CA59CB">
              <w:rPr>
                <w:rFonts w:ascii="Arial Narrow" w:hAnsi="Arial Narrow" w:cs="Arial"/>
                <w:sz w:val="24"/>
                <w:szCs w:val="24"/>
              </w:rPr>
              <w:t xml:space="preserve"> The present application is brought solely by accused no 1 (hereinafter ‘the applicant’).</w:t>
            </w:r>
          </w:p>
          <w:p w:rsidR="005E4C36" w:rsidRPr="005E4C36" w:rsidRDefault="005E4C36" w:rsidP="00D041D2">
            <w:pPr>
              <w:spacing w:line="360" w:lineRule="auto"/>
              <w:jc w:val="both"/>
              <w:rPr>
                <w:rFonts w:ascii="Arial Narrow" w:hAnsi="Arial Narrow" w:cs="Arial"/>
                <w:sz w:val="24"/>
                <w:szCs w:val="24"/>
              </w:rPr>
            </w:pPr>
          </w:p>
          <w:p w:rsidR="005E4C36" w:rsidRPr="00CA59CB" w:rsidRDefault="00ED20A7" w:rsidP="00CA59CB">
            <w:pPr>
              <w:pStyle w:val="ListParagraph"/>
              <w:numPr>
                <w:ilvl w:val="0"/>
                <w:numId w:val="5"/>
              </w:numPr>
              <w:spacing w:line="360" w:lineRule="auto"/>
              <w:jc w:val="both"/>
              <w:rPr>
                <w:rFonts w:ascii="Arial Narrow" w:hAnsi="Arial Narrow" w:cs="Arial"/>
                <w:sz w:val="24"/>
                <w:szCs w:val="24"/>
              </w:rPr>
            </w:pPr>
            <w:r w:rsidRPr="00CA59CB">
              <w:rPr>
                <w:rFonts w:ascii="Arial Narrow" w:hAnsi="Arial Narrow" w:cs="Arial"/>
                <w:sz w:val="24"/>
                <w:szCs w:val="24"/>
              </w:rPr>
              <w:t xml:space="preserve">The application for leave to appeal was however filed out of time. The applicant </w:t>
            </w:r>
            <w:r w:rsidR="00466B8E" w:rsidRPr="00CA59CB">
              <w:rPr>
                <w:rFonts w:ascii="Arial Narrow" w:hAnsi="Arial Narrow" w:cs="Arial"/>
                <w:sz w:val="24"/>
                <w:szCs w:val="24"/>
              </w:rPr>
              <w:t xml:space="preserve">subsequently </w:t>
            </w:r>
            <w:r w:rsidRPr="00CA59CB">
              <w:rPr>
                <w:rFonts w:ascii="Arial Narrow" w:hAnsi="Arial Narrow" w:cs="Arial"/>
                <w:sz w:val="24"/>
                <w:szCs w:val="24"/>
              </w:rPr>
              <w:t xml:space="preserve">filed a condonation application. </w:t>
            </w:r>
            <w:r w:rsidR="00DA5ED1" w:rsidRPr="00CA59CB">
              <w:rPr>
                <w:rFonts w:ascii="Arial Narrow" w:hAnsi="Arial Narrow" w:cs="Arial"/>
                <w:sz w:val="24"/>
                <w:szCs w:val="24"/>
              </w:rPr>
              <w:t>The State (</w:t>
            </w:r>
            <w:r w:rsidRPr="00CA59CB">
              <w:rPr>
                <w:rFonts w:ascii="Arial Narrow" w:hAnsi="Arial Narrow" w:cs="Arial"/>
                <w:sz w:val="24"/>
                <w:szCs w:val="24"/>
              </w:rPr>
              <w:t xml:space="preserve">hereinafter ‘the respondent’), </w:t>
            </w:r>
            <w:r w:rsidR="00466B8E" w:rsidRPr="00CA59CB">
              <w:rPr>
                <w:rFonts w:ascii="Arial Narrow" w:hAnsi="Arial Narrow" w:cs="Arial"/>
                <w:sz w:val="24"/>
                <w:szCs w:val="24"/>
              </w:rPr>
              <w:t>submitted</w:t>
            </w:r>
            <w:r w:rsidRPr="00CA59CB">
              <w:rPr>
                <w:rFonts w:ascii="Arial Narrow" w:hAnsi="Arial Narrow" w:cs="Arial"/>
                <w:sz w:val="24"/>
                <w:szCs w:val="24"/>
              </w:rPr>
              <w:t xml:space="preserve"> </w:t>
            </w:r>
            <w:r w:rsidR="00DA5ED1" w:rsidRPr="00CA59CB">
              <w:rPr>
                <w:rFonts w:ascii="Arial Narrow" w:hAnsi="Arial Narrow" w:cs="Arial"/>
                <w:sz w:val="24"/>
                <w:szCs w:val="24"/>
              </w:rPr>
              <w:t xml:space="preserve">that the explanation </w:t>
            </w:r>
            <w:r w:rsidR="00466B8E" w:rsidRPr="00CA59CB">
              <w:rPr>
                <w:rFonts w:ascii="Arial Narrow" w:hAnsi="Arial Narrow" w:cs="Arial"/>
                <w:sz w:val="24"/>
                <w:szCs w:val="24"/>
              </w:rPr>
              <w:t>proffered explaining the delay was</w:t>
            </w:r>
            <w:r w:rsidRPr="00CA59CB">
              <w:rPr>
                <w:rFonts w:ascii="Arial Narrow" w:hAnsi="Arial Narrow" w:cs="Arial"/>
                <w:sz w:val="24"/>
                <w:szCs w:val="24"/>
              </w:rPr>
              <w:t xml:space="preserve"> satisfactory in filing the application for leave to appeal. However, the respondent </w:t>
            </w:r>
            <w:r w:rsidR="0095500A" w:rsidRPr="00CA59CB">
              <w:rPr>
                <w:rFonts w:ascii="Arial Narrow" w:hAnsi="Arial Narrow" w:cs="Arial"/>
                <w:sz w:val="24"/>
                <w:szCs w:val="24"/>
              </w:rPr>
              <w:t>maintains</w:t>
            </w:r>
            <w:r w:rsidR="00DA5ED1" w:rsidRPr="00CA59CB">
              <w:rPr>
                <w:rFonts w:ascii="Arial Narrow" w:hAnsi="Arial Narrow" w:cs="Arial"/>
                <w:sz w:val="24"/>
                <w:szCs w:val="24"/>
              </w:rPr>
              <w:t xml:space="preserve"> that the application for leave to appeal </w:t>
            </w:r>
            <w:r w:rsidR="0095500A" w:rsidRPr="00CA59CB">
              <w:rPr>
                <w:rFonts w:ascii="Arial Narrow" w:hAnsi="Arial Narrow" w:cs="Arial"/>
                <w:sz w:val="24"/>
                <w:szCs w:val="24"/>
              </w:rPr>
              <w:t>has no</w:t>
            </w:r>
            <w:r w:rsidR="00DA5ED1" w:rsidRPr="00CA59CB">
              <w:rPr>
                <w:rFonts w:ascii="Arial Narrow" w:hAnsi="Arial Narrow" w:cs="Arial"/>
                <w:sz w:val="24"/>
                <w:szCs w:val="24"/>
              </w:rPr>
              <w:t xml:space="preserve"> prospects of success on appeal. The court</w:t>
            </w:r>
            <w:r w:rsidR="00466B8E" w:rsidRPr="00CA59CB">
              <w:rPr>
                <w:rFonts w:ascii="Arial Narrow" w:hAnsi="Arial Narrow" w:cs="Arial"/>
                <w:sz w:val="24"/>
                <w:szCs w:val="24"/>
              </w:rPr>
              <w:t xml:space="preserve"> thus</w:t>
            </w:r>
            <w:r w:rsidR="00DA5ED1" w:rsidRPr="00CA59CB">
              <w:rPr>
                <w:rFonts w:ascii="Arial Narrow" w:hAnsi="Arial Narrow" w:cs="Arial"/>
                <w:sz w:val="24"/>
                <w:szCs w:val="24"/>
              </w:rPr>
              <w:t xml:space="preserve"> reserved its ruling on the condonation application.</w:t>
            </w:r>
          </w:p>
          <w:p w:rsidR="00DA5ED1" w:rsidRPr="005E4C36" w:rsidRDefault="00DA5ED1" w:rsidP="00D041D2">
            <w:pPr>
              <w:spacing w:line="360" w:lineRule="auto"/>
              <w:jc w:val="both"/>
              <w:rPr>
                <w:rFonts w:ascii="Arial Narrow" w:hAnsi="Arial Narrow" w:cs="Arial"/>
                <w:sz w:val="24"/>
                <w:szCs w:val="24"/>
              </w:rPr>
            </w:pPr>
          </w:p>
          <w:p w:rsidR="00CA59CB" w:rsidRDefault="00DA5ED1" w:rsidP="00CA59CB">
            <w:pPr>
              <w:pStyle w:val="ListParagraph"/>
              <w:numPr>
                <w:ilvl w:val="0"/>
                <w:numId w:val="5"/>
              </w:numPr>
              <w:spacing w:line="360" w:lineRule="auto"/>
              <w:jc w:val="both"/>
              <w:rPr>
                <w:rFonts w:ascii="Arial Narrow" w:hAnsi="Arial Narrow" w:cs="Arial"/>
                <w:sz w:val="24"/>
                <w:szCs w:val="24"/>
              </w:rPr>
            </w:pPr>
            <w:r w:rsidRPr="00CA59CB">
              <w:rPr>
                <w:rFonts w:ascii="Arial Narrow" w:hAnsi="Arial Narrow" w:cs="Arial"/>
                <w:sz w:val="24"/>
                <w:szCs w:val="24"/>
              </w:rPr>
              <w:t xml:space="preserve">In applications of this nature the test is whether the applicant has shown on a balance of probabilities that, on the strength of the grounds of appeal raised, there is a reasonable prospect of </w:t>
            </w:r>
          </w:p>
          <w:p w:rsidR="00CA59CB" w:rsidRPr="00CA59CB" w:rsidRDefault="00CA59CB" w:rsidP="00CA59CB">
            <w:pPr>
              <w:pStyle w:val="ListParagraph"/>
              <w:rPr>
                <w:rFonts w:ascii="Arial Narrow" w:hAnsi="Arial Narrow" w:cs="Arial"/>
                <w:sz w:val="24"/>
                <w:szCs w:val="24"/>
              </w:rPr>
            </w:pPr>
          </w:p>
          <w:p w:rsidR="00DA5ED1" w:rsidRPr="00CA59CB" w:rsidRDefault="00DA5ED1" w:rsidP="00CA59CB">
            <w:pPr>
              <w:pStyle w:val="ListParagraph"/>
              <w:spacing w:line="360" w:lineRule="auto"/>
              <w:jc w:val="both"/>
              <w:rPr>
                <w:rFonts w:ascii="Arial Narrow" w:hAnsi="Arial Narrow" w:cs="Arial"/>
                <w:sz w:val="24"/>
                <w:szCs w:val="24"/>
              </w:rPr>
            </w:pPr>
            <w:r w:rsidRPr="00CA59CB">
              <w:rPr>
                <w:rFonts w:ascii="Arial Narrow" w:hAnsi="Arial Narrow" w:cs="Arial"/>
                <w:sz w:val="24"/>
                <w:szCs w:val="24"/>
              </w:rPr>
              <w:lastRenderedPageBreak/>
              <w:t>success on appeal. The mere possibility that another Court might come to a different conclusion is insufficient to justify the granting of leave to appeal (</w:t>
            </w:r>
            <w:r w:rsidRPr="00CA59CB">
              <w:rPr>
                <w:rFonts w:ascii="Arial Narrow" w:hAnsi="Arial Narrow" w:cs="Arial"/>
                <w:i/>
                <w:sz w:val="24"/>
                <w:szCs w:val="24"/>
              </w:rPr>
              <w:t xml:space="preserve">S v Ceasar </w:t>
            </w:r>
            <w:r w:rsidRPr="00CA59CB">
              <w:rPr>
                <w:rFonts w:ascii="Arial Narrow" w:hAnsi="Arial Narrow" w:cs="Arial"/>
                <w:sz w:val="24"/>
                <w:szCs w:val="24"/>
              </w:rPr>
              <w:t xml:space="preserve">1977 (2) SA 348 (AD) at 350E; </w:t>
            </w:r>
            <w:r w:rsidRPr="00CA59CB">
              <w:rPr>
                <w:rFonts w:ascii="Arial Narrow" w:hAnsi="Arial Narrow" w:cs="Arial"/>
                <w:i/>
                <w:sz w:val="24"/>
                <w:szCs w:val="24"/>
              </w:rPr>
              <w:t xml:space="preserve">S v Nowaseb </w:t>
            </w:r>
            <w:r w:rsidRPr="00CA59CB">
              <w:rPr>
                <w:rFonts w:ascii="Arial Narrow" w:hAnsi="Arial Narrow" w:cs="Arial"/>
                <w:sz w:val="24"/>
                <w:szCs w:val="24"/>
              </w:rPr>
              <w:t>2007 (2) NR 640 (HC)).</w:t>
            </w:r>
          </w:p>
          <w:p w:rsidR="00DA5ED1" w:rsidRPr="005E4C36" w:rsidRDefault="00DA5ED1" w:rsidP="00DA5ED1">
            <w:pPr>
              <w:rPr>
                <w:rFonts w:ascii="Arial Narrow" w:hAnsi="Arial Narrow" w:cs="Arial"/>
                <w:sz w:val="24"/>
                <w:szCs w:val="24"/>
              </w:rPr>
            </w:pPr>
          </w:p>
          <w:p w:rsidR="00AE7087" w:rsidRPr="005E4C36" w:rsidRDefault="00AE7087" w:rsidP="00D11E47">
            <w:pPr>
              <w:spacing w:line="360" w:lineRule="auto"/>
              <w:jc w:val="both"/>
              <w:rPr>
                <w:rFonts w:ascii="Arial Narrow" w:hAnsi="Arial Narrow" w:cs="Arial"/>
                <w:sz w:val="24"/>
                <w:szCs w:val="24"/>
              </w:rPr>
            </w:pPr>
          </w:p>
          <w:p w:rsidR="00AE7087" w:rsidRPr="00CA59CB" w:rsidRDefault="0095500A" w:rsidP="00CA59CB">
            <w:pPr>
              <w:pStyle w:val="ListParagraph"/>
              <w:numPr>
                <w:ilvl w:val="0"/>
                <w:numId w:val="5"/>
              </w:numPr>
              <w:spacing w:line="360" w:lineRule="auto"/>
              <w:jc w:val="both"/>
              <w:rPr>
                <w:rFonts w:ascii="Arial Narrow" w:hAnsi="Arial Narrow" w:cs="Arial"/>
                <w:sz w:val="24"/>
                <w:szCs w:val="24"/>
              </w:rPr>
            </w:pPr>
            <w:r w:rsidRPr="00CA59CB">
              <w:rPr>
                <w:rFonts w:ascii="Arial Narrow" w:hAnsi="Arial Narrow" w:cs="Arial"/>
                <w:sz w:val="24"/>
                <w:szCs w:val="24"/>
              </w:rPr>
              <w:t xml:space="preserve">The grounds on which the application is are enumerated in applicant’s application and </w:t>
            </w:r>
            <w:r w:rsidR="00897051" w:rsidRPr="00CA59CB">
              <w:rPr>
                <w:rFonts w:ascii="Arial Narrow" w:hAnsi="Arial Narrow" w:cs="Arial"/>
                <w:sz w:val="24"/>
                <w:szCs w:val="24"/>
              </w:rPr>
              <w:t>address the same issues raised in the main application to quash the charges. Whereas the court already extensively discussed and decided the issues raised in the judgment, there is no need to rehash w</w:t>
            </w:r>
            <w:r w:rsidR="00E43408" w:rsidRPr="00CA59CB">
              <w:rPr>
                <w:rFonts w:ascii="Arial Narrow" w:hAnsi="Arial Narrow" w:cs="Arial"/>
                <w:sz w:val="24"/>
                <w:szCs w:val="24"/>
              </w:rPr>
              <w:t>hat has been stated or</w:t>
            </w:r>
            <w:r w:rsidR="00897051" w:rsidRPr="00CA59CB">
              <w:rPr>
                <w:rFonts w:ascii="Arial Narrow" w:hAnsi="Arial Narrow" w:cs="Arial"/>
                <w:sz w:val="24"/>
                <w:szCs w:val="24"/>
              </w:rPr>
              <w:t xml:space="preserve"> the court’s reasoning and findings made.</w:t>
            </w:r>
          </w:p>
          <w:p w:rsidR="00897051" w:rsidRDefault="00897051" w:rsidP="00D11E47">
            <w:pPr>
              <w:spacing w:line="360" w:lineRule="auto"/>
              <w:jc w:val="both"/>
              <w:rPr>
                <w:rFonts w:ascii="Arial Narrow" w:hAnsi="Arial Narrow" w:cs="Arial"/>
                <w:sz w:val="24"/>
                <w:szCs w:val="24"/>
              </w:rPr>
            </w:pPr>
          </w:p>
          <w:p w:rsidR="00897051" w:rsidRPr="00CA59CB" w:rsidRDefault="00897051" w:rsidP="00CA59CB">
            <w:pPr>
              <w:pStyle w:val="ListParagraph"/>
              <w:numPr>
                <w:ilvl w:val="0"/>
                <w:numId w:val="5"/>
              </w:numPr>
              <w:spacing w:line="360" w:lineRule="auto"/>
              <w:jc w:val="both"/>
              <w:rPr>
                <w:rFonts w:ascii="Arial Narrow" w:hAnsi="Arial Narrow" w:cs="Arial"/>
                <w:sz w:val="24"/>
                <w:szCs w:val="24"/>
              </w:rPr>
            </w:pPr>
            <w:r w:rsidRPr="00CA59CB">
              <w:rPr>
                <w:rFonts w:ascii="Arial Narrow" w:hAnsi="Arial Narrow" w:cs="Arial"/>
                <w:sz w:val="24"/>
                <w:szCs w:val="24"/>
              </w:rPr>
              <w:t xml:space="preserve">Applicant’s contention that the Court rejected the approach laid down in </w:t>
            </w:r>
            <w:r w:rsidRPr="00CA59CB">
              <w:rPr>
                <w:rFonts w:ascii="Arial Narrow" w:hAnsi="Arial Narrow" w:cs="Arial"/>
                <w:i/>
                <w:sz w:val="24"/>
                <w:szCs w:val="24"/>
              </w:rPr>
              <w:t xml:space="preserve">S v Nathaniel </w:t>
            </w:r>
            <w:r>
              <w:rPr>
                <w:rStyle w:val="FootnoteReference"/>
                <w:rFonts w:ascii="Arial Narrow" w:hAnsi="Arial Narrow" w:cs="Arial"/>
                <w:i/>
                <w:sz w:val="24"/>
                <w:szCs w:val="24"/>
              </w:rPr>
              <w:footnoteReference w:id="1"/>
            </w:r>
            <w:r w:rsidR="006B3851" w:rsidRPr="00CA59CB">
              <w:rPr>
                <w:rFonts w:ascii="Arial Narrow" w:hAnsi="Arial Narrow" w:cs="Arial"/>
                <w:i/>
                <w:sz w:val="24"/>
                <w:szCs w:val="24"/>
              </w:rPr>
              <w:t xml:space="preserve"> </w:t>
            </w:r>
            <w:r w:rsidR="006B3851" w:rsidRPr="00CA59CB">
              <w:rPr>
                <w:rFonts w:ascii="Arial Narrow" w:hAnsi="Arial Narrow" w:cs="Arial"/>
                <w:sz w:val="24"/>
                <w:szCs w:val="24"/>
              </w:rPr>
              <w:t xml:space="preserve">is not consistent with the Court’s finding that the facts of </w:t>
            </w:r>
            <w:r w:rsidR="006B3851" w:rsidRPr="00CA59CB">
              <w:rPr>
                <w:rFonts w:ascii="Arial Narrow" w:hAnsi="Arial Narrow" w:cs="Arial"/>
                <w:i/>
                <w:sz w:val="24"/>
                <w:szCs w:val="24"/>
              </w:rPr>
              <w:t xml:space="preserve">Nathaniel </w:t>
            </w:r>
            <w:r w:rsidR="006B3851" w:rsidRPr="00CA59CB">
              <w:rPr>
                <w:rFonts w:ascii="Arial Narrow" w:hAnsi="Arial Narrow" w:cs="Arial"/>
                <w:sz w:val="24"/>
                <w:szCs w:val="24"/>
              </w:rPr>
              <w:t>are clearly distinguishable from the present. In that case the court concluded tha</w:t>
            </w:r>
            <w:r w:rsidR="00DE6E04" w:rsidRPr="00CA59CB">
              <w:rPr>
                <w:rFonts w:ascii="Arial Narrow" w:hAnsi="Arial Narrow" w:cs="Arial"/>
                <w:sz w:val="24"/>
                <w:szCs w:val="24"/>
              </w:rPr>
              <w:t>t, based on the charge and the c</w:t>
            </w:r>
            <w:r w:rsidR="006B3851" w:rsidRPr="00CA59CB">
              <w:rPr>
                <w:rFonts w:ascii="Arial Narrow" w:hAnsi="Arial Narrow" w:cs="Arial"/>
                <w:sz w:val="24"/>
                <w:szCs w:val="24"/>
              </w:rPr>
              <w:t xml:space="preserve">onstitution of the organisation (SWAPO) which the State provided as further particulars to the charge, the State was bound by </w:t>
            </w:r>
            <w:r w:rsidR="00DE6E04" w:rsidRPr="00CA59CB">
              <w:rPr>
                <w:rFonts w:ascii="Arial Narrow" w:hAnsi="Arial Narrow" w:cs="Arial"/>
                <w:sz w:val="24"/>
                <w:szCs w:val="24"/>
              </w:rPr>
              <w:t>such particulars, amplifying the charge. From a reading of the organisation’s constitution it was clear to the court that the interests of the organisation and its objectives, essentially invalidates the charge under s 2 of Act 22 of 1981. As a result thereof, the charge did not disclose an offence and the charge was quashed. I respectfully associate myself with the court’s finding.</w:t>
            </w:r>
          </w:p>
          <w:p w:rsidR="00DE6E04" w:rsidRDefault="00DE6E04" w:rsidP="00D11E47">
            <w:pPr>
              <w:spacing w:line="360" w:lineRule="auto"/>
              <w:jc w:val="both"/>
              <w:rPr>
                <w:rFonts w:ascii="Arial Narrow" w:hAnsi="Arial Narrow" w:cs="Arial"/>
                <w:sz w:val="24"/>
                <w:szCs w:val="24"/>
              </w:rPr>
            </w:pPr>
          </w:p>
          <w:p w:rsidR="00C57D10" w:rsidRPr="00CA59CB" w:rsidRDefault="0003066F" w:rsidP="00CA59CB">
            <w:pPr>
              <w:pStyle w:val="ListParagraph"/>
              <w:numPr>
                <w:ilvl w:val="0"/>
                <w:numId w:val="5"/>
              </w:numPr>
              <w:spacing w:line="360" w:lineRule="auto"/>
              <w:jc w:val="both"/>
              <w:rPr>
                <w:rFonts w:ascii="Arial Narrow" w:hAnsi="Arial Narrow" w:cs="Arial"/>
                <w:sz w:val="24"/>
                <w:szCs w:val="24"/>
              </w:rPr>
            </w:pPr>
            <w:r w:rsidRPr="00CA59CB">
              <w:rPr>
                <w:rFonts w:ascii="Arial Narrow" w:hAnsi="Arial Narrow" w:cs="Arial"/>
                <w:sz w:val="24"/>
                <w:szCs w:val="24"/>
              </w:rPr>
              <w:t xml:space="preserve">The </w:t>
            </w:r>
            <w:r w:rsidR="00E43408" w:rsidRPr="00CA59CB">
              <w:rPr>
                <w:rFonts w:ascii="Arial Narrow" w:hAnsi="Arial Narrow" w:cs="Arial"/>
                <w:sz w:val="24"/>
                <w:szCs w:val="24"/>
              </w:rPr>
              <w:t>thrust of the present applica</w:t>
            </w:r>
            <w:r w:rsidR="00055FA7" w:rsidRPr="00CA59CB">
              <w:rPr>
                <w:rFonts w:ascii="Arial Narrow" w:hAnsi="Arial Narrow" w:cs="Arial"/>
                <w:sz w:val="24"/>
                <w:szCs w:val="24"/>
              </w:rPr>
              <w:t>t</w:t>
            </w:r>
            <w:r w:rsidR="00E43408" w:rsidRPr="00CA59CB">
              <w:rPr>
                <w:rFonts w:ascii="Arial Narrow" w:hAnsi="Arial Narrow" w:cs="Arial"/>
                <w:sz w:val="24"/>
                <w:szCs w:val="24"/>
              </w:rPr>
              <w:t>ion</w:t>
            </w:r>
            <w:r w:rsidRPr="00CA59CB">
              <w:rPr>
                <w:rFonts w:ascii="Arial Narrow" w:hAnsi="Arial Narrow" w:cs="Arial"/>
                <w:sz w:val="24"/>
                <w:szCs w:val="24"/>
              </w:rPr>
              <w:t xml:space="preserve"> is that the Court </w:t>
            </w:r>
            <w:r w:rsidR="00055FA7" w:rsidRPr="00CA59CB">
              <w:rPr>
                <w:rFonts w:ascii="Arial Narrow" w:hAnsi="Arial Narrow" w:cs="Arial"/>
                <w:sz w:val="24"/>
                <w:szCs w:val="24"/>
              </w:rPr>
              <w:t>misdirected itself by failing</w:t>
            </w:r>
            <w:r w:rsidRPr="00CA59CB">
              <w:rPr>
                <w:rFonts w:ascii="Arial Narrow" w:hAnsi="Arial Narrow" w:cs="Arial"/>
                <w:sz w:val="24"/>
                <w:szCs w:val="24"/>
              </w:rPr>
              <w:t xml:space="preserve"> to adopt a </w:t>
            </w:r>
            <w:r w:rsidR="00E43408" w:rsidRPr="00CA59CB">
              <w:rPr>
                <w:rFonts w:ascii="Arial Narrow" w:hAnsi="Arial Narrow" w:cs="Arial"/>
                <w:sz w:val="24"/>
                <w:szCs w:val="24"/>
              </w:rPr>
              <w:t>‘</w:t>
            </w:r>
            <w:r w:rsidRPr="00CA59CB">
              <w:rPr>
                <w:rFonts w:ascii="Arial Narrow" w:hAnsi="Arial Narrow" w:cs="Arial"/>
                <w:sz w:val="24"/>
                <w:szCs w:val="24"/>
              </w:rPr>
              <w:t xml:space="preserve">narrow </w:t>
            </w:r>
            <w:r w:rsidR="00055FA7" w:rsidRPr="00CA59CB">
              <w:rPr>
                <w:rFonts w:ascii="Arial Narrow" w:hAnsi="Arial Narrow" w:cs="Arial"/>
                <w:sz w:val="24"/>
                <w:szCs w:val="24"/>
              </w:rPr>
              <w:t>approach</w:t>
            </w:r>
            <w:r w:rsidR="00E43408" w:rsidRPr="00CA59CB">
              <w:rPr>
                <w:rFonts w:ascii="Arial Narrow" w:hAnsi="Arial Narrow" w:cs="Arial"/>
                <w:sz w:val="24"/>
                <w:szCs w:val="24"/>
              </w:rPr>
              <w:t>’</w:t>
            </w:r>
            <w:r w:rsidR="00055FA7" w:rsidRPr="00CA59CB">
              <w:rPr>
                <w:rFonts w:ascii="Arial Narrow" w:hAnsi="Arial Narrow" w:cs="Arial"/>
                <w:sz w:val="24"/>
                <w:szCs w:val="24"/>
              </w:rPr>
              <w:t xml:space="preserve">, as was done in </w:t>
            </w:r>
            <w:r w:rsidR="00055FA7" w:rsidRPr="00CA59CB">
              <w:rPr>
                <w:rFonts w:ascii="Arial Narrow" w:hAnsi="Arial Narrow" w:cs="Arial"/>
                <w:i/>
                <w:sz w:val="24"/>
                <w:szCs w:val="24"/>
              </w:rPr>
              <w:t>Nathaniel,</w:t>
            </w:r>
            <w:r w:rsidR="00055FA7" w:rsidRPr="00CA59CB">
              <w:rPr>
                <w:rFonts w:ascii="Arial Narrow" w:hAnsi="Arial Narrow" w:cs="Arial"/>
                <w:sz w:val="24"/>
                <w:szCs w:val="24"/>
              </w:rPr>
              <w:t xml:space="preserve"> </w:t>
            </w:r>
            <w:r w:rsidR="00E43408" w:rsidRPr="00CA59CB">
              <w:rPr>
                <w:rFonts w:ascii="Arial Narrow" w:hAnsi="Arial Narrow" w:cs="Arial"/>
                <w:sz w:val="24"/>
                <w:szCs w:val="24"/>
              </w:rPr>
              <w:t>and rather took the</w:t>
            </w:r>
            <w:r w:rsidR="003E24F4" w:rsidRPr="00CA59CB">
              <w:rPr>
                <w:rFonts w:ascii="Arial Narrow" w:hAnsi="Arial Narrow" w:cs="Arial"/>
                <w:sz w:val="24"/>
                <w:szCs w:val="24"/>
              </w:rPr>
              <w:t xml:space="preserve"> approach as was done in </w:t>
            </w:r>
            <w:r w:rsidR="003E24F4" w:rsidRPr="00CA59CB">
              <w:rPr>
                <w:rFonts w:ascii="Arial Narrow" w:hAnsi="Arial Narrow" w:cs="Arial"/>
                <w:i/>
                <w:sz w:val="24"/>
                <w:szCs w:val="24"/>
              </w:rPr>
              <w:t>S v Conradie &amp; Another</w:t>
            </w:r>
            <w:r w:rsidR="003E24F4">
              <w:rPr>
                <w:rStyle w:val="FootnoteReference"/>
                <w:rFonts w:ascii="Arial Narrow" w:hAnsi="Arial Narrow" w:cs="Arial"/>
                <w:i/>
                <w:sz w:val="24"/>
                <w:szCs w:val="24"/>
              </w:rPr>
              <w:footnoteReference w:id="2"/>
            </w:r>
            <w:r w:rsidRPr="00CA59CB">
              <w:rPr>
                <w:rFonts w:ascii="Arial Narrow" w:hAnsi="Arial Narrow" w:cs="Arial"/>
                <w:sz w:val="24"/>
                <w:szCs w:val="24"/>
              </w:rPr>
              <w:t xml:space="preserve">. The applicant further </w:t>
            </w:r>
            <w:r w:rsidR="00055FA7" w:rsidRPr="00CA59CB">
              <w:rPr>
                <w:rFonts w:ascii="Arial Narrow" w:hAnsi="Arial Narrow" w:cs="Arial"/>
                <w:sz w:val="24"/>
                <w:szCs w:val="24"/>
              </w:rPr>
              <w:t xml:space="preserve">contended that the Court was to </w:t>
            </w:r>
            <w:r w:rsidRPr="00CA59CB">
              <w:rPr>
                <w:rFonts w:ascii="Arial Narrow" w:hAnsi="Arial Narrow" w:cs="Arial"/>
                <w:sz w:val="24"/>
                <w:szCs w:val="24"/>
              </w:rPr>
              <w:t xml:space="preserve">concern itself </w:t>
            </w:r>
            <w:r w:rsidR="00055FA7" w:rsidRPr="00CA59CB">
              <w:rPr>
                <w:rFonts w:ascii="Arial Narrow" w:hAnsi="Arial Narrow" w:cs="Arial"/>
                <w:sz w:val="24"/>
                <w:szCs w:val="24"/>
              </w:rPr>
              <w:t xml:space="preserve">only </w:t>
            </w:r>
            <w:r w:rsidRPr="00CA59CB">
              <w:rPr>
                <w:rFonts w:ascii="Arial Narrow" w:hAnsi="Arial Narrow" w:cs="Arial"/>
                <w:sz w:val="24"/>
                <w:szCs w:val="24"/>
              </w:rPr>
              <w:t xml:space="preserve">with the indictment and the memorandum of association in order to ascertain whether the </w:t>
            </w:r>
            <w:r w:rsidR="008C6C5C" w:rsidRPr="00CA59CB">
              <w:rPr>
                <w:rFonts w:ascii="Arial Narrow" w:hAnsi="Arial Narrow" w:cs="Arial"/>
                <w:sz w:val="24"/>
                <w:szCs w:val="24"/>
              </w:rPr>
              <w:t>Road Contractor</w:t>
            </w:r>
            <w:r w:rsidR="003E24F4" w:rsidRPr="00CA59CB">
              <w:rPr>
                <w:rFonts w:ascii="Arial Narrow" w:hAnsi="Arial Narrow" w:cs="Arial"/>
                <w:sz w:val="24"/>
                <w:szCs w:val="24"/>
              </w:rPr>
              <w:t xml:space="preserve"> Company (</w:t>
            </w:r>
            <w:r w:rsidRPr="00CA59CB">
              <w:rPr>
                <w:rFonts w:ascii="Arial Narrow" w:hAnsi="Arial Narrow" w:cs="Arial"/>
                <w:sz w:val="24"/>
                <w:szCs w:val="24"/>
              </w:rPr>
              <w:t>RCC</w:t>
            </w:r>
            <w:r w:rsidR="003E24F4" w:rsidRPr="00CA59CB">
              <w:rPr>
                <w:rFonts w:ascii="Arial Narrow" w:hAnsi="Arial Narrow" w:cs="Arial"/>
                <w:sz w:val="24"/>
                <w:szCs w:val="24"/>
              </w:rPr>
              <w:t>)</w:t>
            </w:r>
            <w:r w:rsidRPr="00CA59CB">
              <w:rPr>
                <w:rFonts w:ascii="Arial Narrow" w:hAnsi="Arial Narrow" w:cs="Arial"/>
                <w:sz w:val="24"/>
                <w:szCs w:val="24"/>
              </w:rPr>
              <w:t xml:space="preserve"> was a public body</w:t>
            </w:r>
            <w:r w:rsidR="00C57D10" w:rsidRPr="00CA59CB">
              <w:rPr>
                <w:rFonts w:ascii="Arial Narrow" w:hAnsi="Arial Narrow" w:cs="Arial"/>
                <w:sz w:val="24"/>
                <w:szCs w:val="24"/>
              </w:rPr>
              <w:t xml:space="preserve"> as expressly defined in s 32 of the Anti-Corruption Act 8 of 2003</w:t>
            </w:r>
            <w:r w:rsidR="008C6C5C" w:rsidRPr="00CA59CB">
              <w:rPr>
                <w:rFonts w:ascii="Arial Narrow" w:hAnsi="Arial Narrow" w:cs="Arial"/>
                <w:sz w:val="24"/>
                <w:szCs w:val="24"/>
              </w:rPr>
              <w:t xml:space="preserve"> (ACA)</w:t>
            </w:r>
            <w:r w:rsidR="00F3672D" w:rsidRPr="00CA59CB">
              <w:rPr>
                <w:rFonts w:ascii="Arial Narrow" w:hAnsi="Arial Narrow" w:cs="Arial"/>
                <w:sz w:val="24"/>
                <w:szCs w:val="24"/>
              </w:rPr>
              <w:t xml:space="preserve">. </w:t>
            </w:r>
            <w:r w:rsidR="0003449C" w:rsidRPr="00CA59CB">
              <w:rPr>
                <w:rFonts w:ascii="Arial Narrow" w:hAnsi="Arial Narrow" w:cs="Arial"/>
                <w:sz w:val="24"/>
                <w:szCs w:val="24"/>
              </w:rPr>
              <w:t>Whereas the meaning of public body is defined to include</w:t>
            </w:r>
            <w:r w:rsidR="0003449C" w:rsidRPr="00CA59CB">
              <w:t xml:space="preserve"> </w:t>
            </w:r>
            <w:r w:rsidR="0003449C" w:rsidRPr="00CA59CB">
              <w:rPr>
                <w:rFonts w:ascii="Arial Narrow" w:hAnsi="Arial Narrow"/>
                <w:sz w:val="24"/>
                <w:szCs w:val="24"/>
              </w:rPr>
              <w:t>‘</w:t>
            </w:r>
            <w:r w:rsidR="0003449C" w:rsidRPr="00CA59CB">
              <w:rPr>
                <w:rFonts w:ascii="Arial Narrow" w:hAnsi="Arial Narrow"/>
                <w:i/>
                <w:sz w:val="24"/>
                <w:szCs w:val="24"/>
              </w:rPr>
              <w:t xml:space="preserve">exercising a public power or performing a public function in terms of </w:t>
            </w:r>
            <w:r w:rsidR="0003449C" w:rsidRPr="00CA59CB">
              <w:rPr>
                <w:rFonts w:ascii="Arial Narrow" w:hAnsi="Arial Narrow"/>
                <w:i/>
                <w:sz w:val="24"/>
                <w:szCs w:val="24"/>
                <w:u w:val="single"/>
              </w:rPr>
              <w:t>any law or the common law</w:t>
            </w:r>
            <w:r w:rsidR="0003449C" w:rsidRPr="00CA59CB">
              <w:rPr>
                <w:rFonts w:ascii="Arial Narrow" w:hAnsi="Arial Narrow"/>
                <w:i/>
                <w:sz w:val="24"/>
                <w:szCs w:val="24"/>
              </w:rPr>
              <w:t>’</w:t>
            </w:r>
            <w:r w:rsidR="0003449C" w:rsidRPr="00CA59CB">
              <w:rPr>
                <w:rFonts w:ascii="Arial Narrow" w:hAnsi="Arial Narrow" w:cs="Arial"/>
                <w:sz w:val="24"/>
                <w:szCs w:val="24"/>
              </w:rPr>
              <w:t xml:space="preserve"> (underlining provided) counsel contended that the RCC is neither a creation of law or common law; but </w:t>
            </w:r>
            <w:r w:rsidR="008C6C5C" w:rsidRPr="00CA59CB">
              <w:rPr>
                <w:rFonts w:ascii="Arial Narrow" w:hAnsi="Arial Narrow" w:cs="Arial"/>
                <w:sz w:val="24"/>
                <w:szCs w:val="24"/>
              </w:rPr>
              <w:t>is created by the memorandum of association provided for in terms of s 2(3) of the Roads Contractor Company Act 14 of 1999.</w:t>
            </w:r>
            <w:r w:rsidR="0003449C" w:rsidRPr="00CA59CB">
              <w:rPr>
                <w:rFonts w:ascii="Arial Narrow" w:hAnsi="Arial Narrow" w:cs="Arial"/>
                <w:sz w:val="24"/>
                <w:szCs w:val="24"/>
              </w:rPr>
              <w:t xml:space="preserve"> </w:t>
            </w:r>
            <w:r w:rsidR="00C57D10" w:rsidRPr="00CA59CB">
              <w:rPr>
                <w:rFonts w:ascii="Arial Narrow" w:hAnsi="Arial Narrow" w:cs="Arial"/>
                <w:sz w:val="24"/>
                <w:szCs w:val="24"/>
              </w:rPr>
              <w:t xml:space="preserve">It was </w:t>
            </w:r>
            <w:r w:rsidR="008C6C5C" w:rsidRPr="00CA59CB">
              <w:rPr>
                <w:rFonts w:ascii="Arial Narrow" w:hAnsi="Arial Narrow" w:cs="Arial"/>
                <w:sz w:val="24"/>
                <w:szCs w:val="24"/>
              </w:rPr>
              <w:t xml:space="preserve">further </w:t>
            </w:r>
            <w:r w:rsidR="00C57D10" w:rsidRPr="00CA59CB">
              <w:rPr>
                <w:rFonts w:ascii="Arial Narrow" w:hAnsi="Arial Narrow" w:cs="Arial"/>
                <w:sz w:val="24"/>
                <w:szCs w:val="24"/>
              </w:rPr>
              <w:t xml:space="preserve">submitted that there was </w:t>
            </w:r>
            <w:r w:rsidR="00C57D10" w:rsidRPr="00CA59CB">
              <w:rPr>
                <w:rFonts w:ascii="Arial Narrow" w:hAnsi="Arial Narrow" w:cs="Arial"/>
                <w:sz w:val="24"/>
                <w:szCs w:val="24"/>
              </w:rPr>
              <w:lastRenderedPageBreak/>
              <w:t xml:space="preserve">accordingly no need for the Court to find that evidence need to be led to decide what the ambit of the terms ‘public body’ and ‘public officer’ is. </w:t>
            </w:r>
          </w:p>
          <w:p w:rsidR="00C57D10" w:rsidRDefault="00C57D10" w:rsidP="00C12AFB">
            <w:pPr>
              <w:spacing w:line="360" w:lineRule="auto"/>
              <w:jc w:val="both"/>
              <w:rPr>
                <w:rFonts w:ascii="Arial Narrow" w:hAnsi="Arial Narrow" w:cs="Arial"/>
                <w:sz w:val="24"/>
                <w:szCs w:val="24"/>
              </w:rPr>
            </w:pPr>
          </w:p>
          <w:p w:rsidR="008E7114" w:rsidRPr="00F3286D" w:rsidRDefault="008E7114" w:rsidP="00F3286D">
            <w:pPr>
              <w:pStyle w:val="ListParagraph"/>
              <w:numPr>
                <w:ilvl w:val="0"/>
                <w:numId w:val="5"/>
              </w:numPr>
              <w:spacing w:line="360" w:lineRule="auto"/>
              <w:jc w:val="both"/>
              <w:rPr>
                <w:rFonts w:ascii="Arial Narrow" w:hAnsi="Arial Narrow" w:cs="Arial"/>
                <w:sz w:val="24"/>
                <w:szCs w:val="24"/>
              </w:rPr>
            </w:pPr>
            <w:r w:rsidRPr="00F3286D">
              <w:rPr>
                <w:rFonts w:ascii="Arial Narrow" w:hAnsi="Arial Narrow" w:cs="Arial"/>
                <w:sz w:val="24"/>
                <w:szCs w:val="24"/>
              </w:rPr>
              <w:t xml:space="preserve">The Respondent’s argument, however, is that the RCC is a public body as defined in s </w:t>
            </w:r>
            <w:r w:rsidR="00E43408" w:rsidRPr="00F3286D">
              <w:rPr>
                <w:rFonts w:ascii="Arial Narrow" w:hAnsi="Arial Narrow" w:cs="Arial"/>
                <w:color w:val="000000" w:themeColor="text1"/>
                <w:sz w:val="24"/>
                <w:szCs w:val="24"/>
              </w:rPr>
              <w:t>32 of the ACA</w:t>
            </w:r>
            <w:r w:rsidRPr="00F3286D">
              <w:rPr>
                <w:rFonts w:ascii="Arial Narrow" w:hAnsi="Arial Narrow" w:cs="Arial"/>
                <w:color w:val="FF0000"/>
                <w:sz w:val="24"/>
                <w:szCs w:val="24"/>
              </w:rPr>
              <w:t xml:space="preserve"> </w:t>
            </w:r>
            <w:r w:rsidRPr="00F3286D">
              <w:rPr>
                <w:rFonts w:ascii="Arial Narrow" w:hAnsi="Arial Narrow" w:cs="Arial"/>
                <w:sz w:val="24"/>
                <w:szCs w:val="24"/>
              </w:rPr>
              <w:t>because it is a creature of statute</w:t>
            </w:r>
            <w:r w:rsidR="008C6C5C" w:rsidRPr="00F3286D">
              <w:rPr>
                <w:rFonts w:ascii="Arial Narrow" w:hAnsi="Arial Narrow" w:cs="Arial"/>
                <w:sz w:val="24"/>
                <w:szCs w:val="24"/>
              </w:rPr>
              <w:t xml:space="preserve"> as the memorandum of association and article trace their legitimacy from the RCC Act itself</w:t>
            </w:r>
            <w:r w:rsidRPr="00F3286D">
              <w:rPr>
                <w:rFonts w:ascii="Arial Narrow" w:hAnsi="Arial Narrow" w:cs="Arial"/>
                <w:sz w:val="24"/>
                <w:szCs w:val="24"/>
              </w:rPr>
              <w:t>.</w:t>
            </w:r>
          </w:p>
          <w:p w:rsidR="008E7114" w:rsidRPr="00E43408" w:rsidRDefault="008E7114" w:rsidP="00C12AFB">
            <w:pPr>
              <w:spacing w:line="360" w:lineRule="auto"/>
              <w:jc w:val="both"/>
              <w:rPr>
                <w:rFonts w:ascii="Arial Narrow" w:hAnsi="Arial Narrow" w:cs="Arial"/>
                <w:sz w:val="24"/>
                <w:szCs w:val="24"/>
              </w:rPr>
            </w:pPr>
          </w:p>
          <w:p w:rsidR="00951E1F" w:rsidRDefault="00951E1F" w:rsidP="008E7114">
            <w:pPr>
              <w:spacing w:line="360" w:lineRule="auto"/>
              <w:jc w:val="both"/>
              <w:rPr>
                <w:rFonts w:ascii="Arial Narrow" w:hAnsi="Arial Narrow" w:cs="Arial"/>
                <w:sz w:val="24"/>
                <w:szCs w:val="24"/>
              </w:rPr>
            </w:pPr>
          </w:p>
          <w:p w:rsidR="007A1DB9" w:rsidRPr="00F3286D" w:rsidRDefault="007A1DB9" w:rsidP="00F3286D">
            <w:pPr>
              <w:pStyle w:val="ListParagraph"/>
              <w:numPr>
                <w:ilvl w:val="0"/>
                <w:numId w:val="5"/>
              </w:numPr>
              <w:spacing w:line="360" w:lineRule="auto"/>
              <w:jc w:val="both"/>
              <w:rPr>
                <w:rFonts w:ascii="Arial Narrow" w:hAnsi="Arial Narrow" w:cs="Arial"/>
                <w:color w:val="000000" w:themeColor="text1"/>
                <w:sz w:val="24"/>
                <w:szCs w:val="24"/>
              </w:rPr>
            </w:pPr>
            <w:r w:rsidRPr="00F3286D">
              <w:rPr>
                <w:rFonts w:ascii="Arial Narrow" w:hAnsi="Arial Narrow" w:cs="Arial"/>
                <w:color w:val="000000" w:themeColor="text1"/>
                <w:sz w:val="24"/>
                <w:szCs w:val="24"/>
              </w:rPr>
              <w:t>For the reasons set out in paragraph 19 of the judgement, the memorandum of association was unilaterally handed up during argument and</w:t>
            </w:r>
            <w:r w:rsidR="00534546" w:rsidRPr="00F3286D">
              <w:rPr>
                <w:rFonts w:ascii="Arial Narrow" w:hAnsi="Arial Narrow" w:cs="Arial"/>
                <w:color w:val="000000" w:themeColor="text1"/>
                <w:sz w:val="24"/>
                <w:szCs w:val="24"/>
              </w:rPr>
              <w:t xml:space="preserve"> found</w:t>
            </w:r>
            <w:r w:rsidRPr="00F3286D">
              <w:rPr>
                <w:rFonts w:ascii="Arial Narrow" w:hAnsi="Arial Narrow" w:cs="Arial"/>
                <w:color w:val="000000" w:themeColor="text1"/>
                <w:sz w:val="24"/>
                <w:szCs w:val="24"/>
              </w:rPr>
              <w:t xml:space="preserve"> not </w:t>
            </w:r>
            <w:r w:rsidR="00534546" w:rsidRPr="00F3286D">
              <w:rPr>
                <w:rFonts w:ascii="Arial Narrow" w:hAnsi="Arial Narrow" w:cs="Arial"/>
                <w:color w:val="000000" w:themeColor="text1"/>
                <w:sz w:val="24"/>
                <w:szCs w:val="24"/>
              </w:rPr>
              <w:t xml:space="preserve">to be </w:t>
            </w:r>
            <w:r w:rsidRPr="00F3286D">
              <w:rPr>
                <w:rFonts w:ascii="Arial Narrow" w:hAnsi="Arial Narrow" w:cs="Arial"/>
                <w:color w:val="000000" w:themeColor="text1"/>
                <w:sz w:val="24"/>
                <w:szCs w:val="24"/>
              </w:rPr>
              <w:t>properly before the Court for purposes of deciding the question at</w:t>
            </w:r>
            <w:r w:rsidR="00534546" w:rsidRPr="00F3286D">
              <w:rPr>
                <w:rFonts w:ascii="Arial Narrow" w:hAnsi="Arial Narrow" w:cs="Arial"/>
                <w:color w:val="000000" w:themeColor="text1"/>
                <w:sz w:val="24"/>
                <w:szCs w:val="24"/>
              </w:rPr>
              <w:t xml:space="preserve"> hand. Had the Court been wrong in disallowing the memorandum of association in support of the application, it is my considered opinion that the applicant's position remains unchanged</w:t>
            </w:r>
            <w:r w:rsidR="00F5274F" w:rsidRPr="00F3286D">
              <w:rPr>
                <w:rFonts w:ascii="Arial Narrow" w:hAnsi="Arial Narrow" w:cs="Arial"/>
                <w:color w:val="000000" w:themeColor="text1"/>
                <w:sz w:val="24"/>
                <w:szCs w:val="24"/>
              </w:rPr>
              <w:t>,</w:t>
            </w:r>
            <w:r w:rsidR="00534546" w:rsidRPr="00F3286D">
              <w:rPr>
                <w:rFonts w:ascii="Arial Narrow" w:hAnsi="Arial Narrow" w:cs="Arial"/>
                <w:color w:val="000000" w:themeColor="text1"/>
                <w:sz w:val="24"/>
                <w:szCs w:val="24"/>
              </w:rPr>
              <w:t xml:space="preserve"> given the wide ambit of the definition of a public body set out in the ACA</w:t>
            </w:r>
            <w:r w:rsidR="00F5274F" w:rsidRPr="00F3286D">
              <w:rPr>
                <w:rFonts w:ascii="Arial Narrow" w:hAnsi="Arial Narrow" w:cs="Arial"/>
                <w:color w:val="000000" w:themeColor="text1"/>
                <w:sz w:val="24"/>
                <w:szCs w:val="24"/>
              </w:rPr>
              <w:t>,</w:t>
            </w:r>
            <w:r w:rsidR="00534546" w:rsidRPr="00F3286D">
              <w:rPr>
                <w:rFonts w:ascii="Arial Narrow" w:hAnsi="Arial Narrow" w:cs="Arial"/>
                <w:color w:val="000000" w:themeColor="text1"/>
                <w:sz w:val="24"/>
                <w:szCs w:val="24"/>
              </w:rPr>
              <w:t xml:space="preserve"> an</w:t>
            </w:r>
            <w:r w:rsidR="00951E1F" w:rsidRPr="00F3286D">
              <w:rPr>
                <w:rFonts w:ascii="Arial Narrow" w:hAnsi="Arial Narrow" w:cs="Arial"/>
                <w:color w:val="000000" w:themeColor="text1"/>
                <w:sz w:val="24"/>
                <w:szCs w:val="24"/>
              </w:rPr>
              <w:t xml:space="preserve">d </w:t>
            </w:r>
            <w:r w:rsidR="00F5274F" w:rsidRPr="00F3286D">
              <w:rPr>
                <w:rFonts w:ascii="Arial Narrow" w:hAnsi="Arial Narrow" w:cs="Arial"/>
                <w:color w:val="000000" w:themeColor="text1"/>
                <w:sz w:val="24"/>
                <w:szCs w:val="24"/>
              </w:rPr>
              <w:t xml:space="preserve">the </w:t>
            </w:r>
            <w:r w:rsidR="00951E1F" w:rsidRPr="00F3286D">
              <w:rPr>
                <w:rFonts w:ascii="Arial Narrow" w:hAnsi="Arial Narrow" w:cs="Arial"/>
                <w:color w:val="000000" w:themeColor="text1"/>
                <w:sz w:val="24"/>
                <w:szCs w:val="24"/>
              </w:rPr>
              <w:t xml:space="preserve">memorandum of association </w:t>
            </w:r>
            <w:r w:rsidR="00F5274F" w:rsidRPr="00F3286D">
              <w:rPr>
                <w:rFonts w:ascii="Arial Narrow" w:hAnsi="Arial Narrow" w:cs="Arial"/>
                <w:color w:val="000000" w:themeColor="text1"/>
                <w:sz w:val="24"/>
                <w:szCs w:val="24"/>
              </w:rPr>
              <w:t>deriving from</w:t>
            </w:r>
            <w:r w:rsidR="00951E1F" w:rsidRPr="00F3286D">
              <w:rPr>
                <w:rFonts w:ascii="Arial Narrow" w:hAnsi="Arial Narrow" w:cs="Arial"/>
                <w:color w:val="000000" w:themeColor="text1"/>
                <w:sz w:val="24"/>
                <w:szCs w:val="24"/>
              </w:rPr>
              <w:t xml:space="preserve"> </w:t>
            </w:r>
            <w:r w:rsidR="00F5274F" w:rsidRPr="00F3286D">
              <w:rPr>
                <w:rFonts w:ascii="Arial Narrow" w:hAnsi="Arial Narrow" w:cs="Arial"/>
                <w:color w:val="000000" w:themeColor="text1"/>
                <w:sz w:val="24"/>
                <w:szCs w:val="24"/>
              </w:rPr>
              <w:t xml:space="preserve">powers given under </w:t>
            </w:r>
            <w:r w:rsidR="00951E1F" w:rsidRPr="00F3286D">
              <w:rPr>
                <w:rFonts w:ascii="Arial Narrow" w:hAnsi="Arial Narrow" w:cs="Arial"/>
                <w:color w:val="000000" w:themeColor="text1"/>
                <w:sz w:val="24"/>
                <w:szCs w:val="24"/>
              </w:rPr>
              <w:t>the RCC Act.</w:t>
            </w:r>
            <w:r w:rsidR="00804396" w:rsidRPr="00F3286D">
              <w:rPr>
                <w:rFonts w:ascii="Arial Narrow" w:hAnsi="Arial Narrow" w:cs="Arial"/>
                <w:color w:val="000000" w:themeColor="text1"/>
                <w:sz w:val="24"/>
                <w:szCs w:val="24"/>
              </w:rPr>
              <w:t xml:space="preserve"> </w:t>
            </w:r>
          </w:p>
          <w:p w:rsidR="007A1DB9" w:rsidRDefault="007A1DB9" w:rsidP="008E7114">
            <w:pPr>
              <w:spacing w:line="360" w:lineRule="auto"/>
              <w:jc w:val="both"/>
              <w:rPr>
                <w:rFonts w:ascii="Arial Narrow" w:hAnsi="Arial Narrow" w:cs="Arial"/>
                <w:color w:val="000000" w:themeColor="text1"/>
                <w:sz w:val="24"/>
                <w:szCs w:val="24"/>
              </w:rPr>
            </w:pPr>
          </w:p>
          <w:p w:rsidR="008E7114" w:rsidRPr="00F3286D" w:rsidRDefault="00804396" w:rsidP="00F3286D">
            <w:pPr>
              <w:pStyle w:val="ListParagraph"/>
              <w:numPr>
                <w:ilvl w:val="0"/>
                <w:numId w:val="5"/>
              </w:numPr>
              <w:spacing w:line="360" w:lineRule="auto"/>
              <w:jc w:val="both"/>
              <w:rPr>
                <w:rFonts w:ascii="Arial Narrow" w:hAnsi="Arial Narrow" w:cs="Arial"/>
                <w:sz w:val="24"/>
                <w:szCs w:val="24"/>
              </w:rPr>
            </w:pPr>
            <w:r w:rsidRPr="00F3286D">
              <w:rPr>
                <w:rFonts w:ascii="Arial Narrow" w:hAnsi="Arial Narrow" w:cs="Arial"/>
                <w:color w:val="000000" w:themeColor="text1"/>
                <w:sz w:val="24"/>
                <w:szCs w:val="24"/>
              </w:rPr>
              <w:t>In order to decide whether or not the RCC exercises a public power or performing a public function and guided by what was said by the Supreme Court in</w:t>
            </w:r>
            <w:r w:rsidRPr="00F3286D">
              <w:rPr>
                <w:rFonts w:ascii="Arial Narrow" w:hAnsi="Arial Narrow" w:cs="Arial"/>
                <w:sz w:val="24"/>
                <w:szCs w:val="24"/>
              </w:rPr>
              <w:t xml:space="preserve"> the</w:t>
            </w:r>
            <w:r w:rsidR="008E7114" w:rsidRPr="00F3286D">
              <w:rPr>
                <w:rFonts w:ascii="Arial Narrow" w:hAnsi="Arial Narrow" w:cs="Arial"/>
                <w:sz w:val="24"/>
                <w:szCs w:val="24"/>
              </w:rPr>
              <w:t xml:space="preserve"> case of </w:t>
            </w:r>
            <w:r w:rsidR="008E7114" w:rsidRPr="00F3286D">
              <w:rPr>
                <w:rFonts w:ascii="Arial Narrow" w:hAnsi="Arial Narrow" w:cs="Arial"/>
                <w:i/>
                <w:sz w:val="24"/>
                <w:szCs w:val="24"/>
              </w:rPr>
              <w:t>Permanent Secretary of the Ministry of Finance and Others v Ward</w:t>
            </w:r>
            <w:r w:rsidR="008E7114" w:rsidRPr="00E43408">
              <w:rPr>
                <w:rStyle w:val="FootnoteReference"/>
                <w:rFonts w:ascii="Arial Narrow" w:hAnsi="Arial Narrow" w:cs="Arial"/>
                <w:i/>
                <w:sz w:val="24"/>
                <w:szCs w:val="24"/>
              </w:rPr>
              <w:footnoteReference w:id="3"/>
            </w:r>
            <w:r w:rsidR="008E7114" w:rsidRPr="00F3286D">
              <w:rPr>
                <w:rFonts w:ascii="Arial Narrow" w:hAnsi="Arial Narrow" w:cs="Arial"/>
                <w:sz w:val="24"/>
                <w:szCs w:val="24"/>
              </w:rPr>
              <w:t xml:space="preserve"> </w:t>
            </w:r>
            <w:r w:rsidR="00B76926" w:rsidRPr="00F3286D">
              <w:rPr>
                <w:rFonts w:ascii="Arial Narrow" w:hAnsi="Arial Narrow" w:cs="Arial"/>
                <w:sz w:val="24"/>
                <w:szCs w:val="24"/>
              </w:rPr>
              <w:t>(</w:t>
            </w:r>
            <w:r w:rsidR="008E7114" w:rsidRPr="00F3286D">
              <w:rPr>
                <w:rFonts w:ascii="Arial Narrow" w:hAnsi="Arial Narrow" w:cs="Arial"/>
                <w:sz w:val="24"/>
                <w:szCs w:val="24"/>
              </w:rPr>
              <w:t>paras 20-21 of the judgment</w:t>
            </w:r>
            <w:r w:rsidR="00B76926" w:rsidRPr="00F3286D">
              <w:rPr>
                <w:rFonts w:ascii="Arial Narrow" w:hAnsi="Arial Narrow" w:cs="Arial"/>
                <w:sz w:val="24"/>
                <w:szCs w:val="24"/>
              </w:rPr>
              <w:t>)</w:t>
            </w:r>
            <w:r w:rsidR="00E43408" w:rsidRPr="00F3286D">
              <w:rPr>
                <w:rFonts w:ascii="Arial Narrow" w:hAnsi="Arial Narrow" w:cs="Arial"/>
                <w:sz w:val="24"/>
                <w:szCs w:val="24"/>
              </w:rPr>
              <w:t>,</w:t>
            </w:r>
            <w:r w:rsidR="008E7114" w:rsidRPr="00F3286D">
              <w:rPr>
                <w:rFonts w:ascii="Arial Narrow" w:hAnsi="Arial Narrow" w:cs="Arial"/>
                <w:sz w:val="24"/>
                <w:szCs w:val="24"/>
              </w:rPr>
              <w:t xml:space="preserve"> this court came to the conclusion that </w:t>
            </w:r>
            <w:r w:rsidR="00B76926" w:rsidRPr="00F3286D">
              <w:rPr>
                <w:rFonts w:ascii="Arial Narrow" w:hAnsi="Arial Narrow" w:cs="Arial"/>
                <w:sz w:val="24"/>
                <w:szCs w:val="24"/>
              </w:rPr>
              <w:t xml:space="preserve">this vexed question could only be decided once evidence has been led as regards the factors identified in the </w:t>
            </w:r>
            <w:r w:rsidR="00B76926" w:rsidRPr="00F3286D">
              <w:rPr>
                <w:rFonts w:ascii="Arial Narrow" w:hAnsi="Arial Narrow" w:cs="Arial"/>
                <w:i/>
                <w:sz w:val="24"/>
                <w:szCs w:val="24"/>
              </w:rPr>
              <w:t xml:space="preserve">Chirwa </w:t>
            </w:r>
            <w:r w:rsidR="00B76926" w:rsidRPr="00F3286D">
              <w:rPr>
                <w:rFonts w:ascii="Arial Narrow" w:hAnsi="Arial Narrow" w:cs="Arial"/>
                <w:sz w:val="24"/>
                <w:szCs w:val="24"/>
              </w:rPr>
              <w:t>case</w:t>
            </w:r>
            <w:r w:rsidR="0099113E" w:rsidRPr="00F3286D">
              <w:rPr>
                <w:rFonts w:ascii="Arial Narrow" w:hAnsi="Arial Narrow" w:cs="Arial"/>
                <w:sz w:val="24"/>
                <w:szCs w:val="24"/>
              </w:rPr>
              <w:t xml:space="preserve"> (</w:t>
            </w:r>
            <w:r w:rsidR="00B76926" w:rsidRPr="00F3286D">
              <w:rPr>
                <w:rFonts w:ascii="Arial Narrow" w:hAnsi="Arial Narrow" w:cs="Arial"/>
                <w:sz w:val="24"/>
                <w:szCs w:val="24"/>
              </w:rPr>
              <w:t>See para 20 of the judgement). I respectfully maintain thi</w:t>
            </w:r>
            <w:r w:rsidR="0099113E" w:rsidRPr="00F3286D">
              <w:rPr>
                <w:rFonts w:ascii="Arial Narrow" w:hAnsi="Arial Narrow" w:cs="Arial"/>
                <w:sz w:val="24"/>
                <w:szCs w:val="24"/>
              </w:rPr>
              <w:t>s view and I am not satisfied that the applicant has shown on a balance of probabilities that there are prospects of success on appeal on this ground.</w:t>
            </w:r>
          </w:p>
          <w:p w:rsidR="008E7114" w:rsidRDefault="008E7114" w:rsidP="008E7114">
            <w:pPr>
              <w:spacing w:line="360" w:lineRule="auto"/>
              <w:jc w:val="both"/>
              <w:rPr>
                <w:rFonts w:ascii="Arial Narrow" w:hAnsi="Arial Narrow" w:cs="Arial"/>
                <w:sz w:val="24"/>
                <w:szCs w:val="24"/>
              </w:rPr>
            </w:pPr>
          </w:p>
          <w:p w:rsidR="00AE7087" w:rsidRPr="00F3286D" w:rsidRDefault="0099113E" w:rsidP="00F3286D">
            <w:pPr>
              <w:pStyle w:val="ListParagraph"/>
              <w:numPr>
                <w:ilvl w:val="0"/>
                <w:numId w:val="5"/>
              </w:numPr>
              <w:spacing w:line="360" w:lineRule="auto"/>
              <w:jc w:val="both"/>
              <w:rPr>
                <w:rFonts w:ascii="Arial Narrow" w:hAnsi="Arial Narrow" w:cs="Arial"/>
                <w:sz w:val="24"/>
                <w:szCs w:val="24"/>
              </w:rPr>
            </w:pPr>
            <w:r w:rsidRPr="00F3286D">
              <w:rPr>
                <w:rFonts w:ascii="Arial Narrow" w:hAnsi="Arial Narrow" w:cs="Arial"/>
                <w:sz w:val="24"/>
                <w:szCs w:val="24"/>
              </w:rPr>
              <w:t>W</w:t>
            </w:r>
            <w:r w:rsidR="00C12AFB" w:rsidRPr="00F3286D">
              <w:rPr>
                <w:rFonts w:ascii="Arial Narrow" w:hAnsi="Arial Narrow" w:cs="Arial"/>
                <w:sz w:val="24"/>
                <w:szCs w:val="24"/>
              </w:rPr>
              <w:t xml:space="preserve">ith regards to s 332(5) of Act 51 </w:t>
            </w:r>
            <w:r w:rsidRPr="00F3286D">
              <w:rPr>
                <w:rFonts w:ascii="Arial Narrow" w:hAnsi="Arial Narrow" w:cs="Arial"/>
                <w:sz w:val="24"/>
                <w:szCs w:val="24"/>
              </w:rPr>
              <w:t>of 1977</w:t>
            </w:r>
            <w:r w:rsidR="00C12AFB" w:rsidRPr="00F3286D">
              <w:rPr>
                <w:rFonts w:ascii="Arial Narrow" w:hAnsi="Arial Narrow" w:cs="Arial"/>
                <w:sz w:val="24"/>
                <w:szCs w:val="24"/>
              </w:rPr>
              <w:t xml:space="preserve"> the</w:t>
            </w:r>
            <w:r w:rsidRPr="00F3286D">
              <w:rPr>
                <w:rFonts w:ascii="Arial Narrow" w:hAnsi="Arial Narrow" w:cs="Arial"/>
                <w:sz w:val="24"/>
                <w:szCs w:val="24"/>
              </w:rPr>
              <w:t xml:space="preserve"> argument advanced by the</w:t>
            </w:r>
            <w:r w:rsidR="00C12AFB" w:rsidRPr="00F3286D">
              <w:rPr>
                <w:rFonts w:ascii="Arial Narrow" w:hAnsi="Arial Narrow" w:cs="Arial"/>
                <w:sz w:val="24"/>
                <w:szCs w:val="24"/>
              </w:rPr>
              <w:t xml:space="preserve"> applicant</w:t>
            </w:r>
            <w:r w:rsidRPr="00F3286D">
              <w:rPr>
                <w:rFonts w:ascii="Arial Narrow" w:hAnsi="Arial Narrow" w:cs="Arial"/>
                <w:sz w:val="24"/>
                <w:szCs w:val="24"/>
              </w:rPr>
              <w:t xml:space="preserve"> in support of this application is merely a repetition of earlier submissions which have been discussed and considered in the main application.</w:t>
            </w:r>
            <w:r w:rsidR="00C12AFB" w:rsidRPr="00F3286D">
              <w:rPr>
                <w:rFonts w:ascii="Arial Narrow" w:hAnsi="Arial Narrow" w:cs="Arial"/>
                <w:sz w:val="24"/>
                <w:szCs w:val="24"/>
              </w:rPr>
              <w:t xml:space="preserve"> </w:t>
            </w:r>
            <w:r w:rsidR="002A6E69" w:rsidRPr="00F3286D">
              <w:rPr>
                <w:rFonts w:ascii="Arial Narrow" w:hAnsi="Arial Narrow" w:cs="Arial"/>
                <w:sz w:val="24"/>
                <w:szCs w:val="24"/>
              </w:rPr>
              <w:t>Nonetheless the</w:t>
            </w:r>
            <w:r w:rsidR="00762FB4" w:rsidRPr="00F3286D">
              <w:rPr>
                <w:rFonts w:ascii="Arial Narrow" w:hAnsi="Arial Narrow" w:cs="Arial"/>
                <w:sz w:val="24"/>
                <w:szCs w:val="24"/>
              </w:rPr>
              <w:t xml:space="preserve"> Court</w:t>
            </w:r>
            <w:r w:rsidR="002A6E69" w:rsidRPr="00F3286D">
              <w:rPr>
                <w:rFonts w:ascii="Arial Narrow" w:hAnsi="Arial Narrow" w:cs="Arial"/>
                <w:sz w:val="24"/>
                <w:szCs w:val="24"/>
              </w:rPr>
              <w:t xml:space="preserve"> once more is of the view that the word director</w:t>
            </w:r>
            <w:r w:rsidR="00762FB4" w:rsidRPr="00F3286D">
              <w:rPr>
                <w:rFonts w:ascii="Arial Narrow" w:hAnsi="Arial Narrow" w:cs="Arial"/>
                <w:sz w:val="24"/>
                <w:szCs w:val="24"/>
              </w:rPr>
              <w:t xml:space="preserve"> has a ‘wide</w:t>
            </w:r>
            <w:r w:rsidRPr="00F3286D">
              <w:rPr>
                <w:rFonts w:ascii="Arial Narrow" w:hAnsi="Arial Narrow" w:cs="Arial"/>
                <w:sz w:val="24"/>
                <w:szCs w:val="24"/>
              </w:rPr>
              <w:t>’ meaning which would include</w:t>
            </w:r>
            <w:r w:rsidR="00762FB4" w:rsidRPr="00F3286D">
              <w:rPr>
                <w:rFonts w:ascii="Arial Narrow" w:hAnsi="Arial Narrow" w:cs="Arial"/>
                <w:sz w:val="24"/>
                <w:szCs w:val="24"/>
              </w:rPr>
              <w:t xml:space="preserve"> persons</w:t>
            </w:r>
            <w:r w:rsidR="00845DE3" w:rsidRPr="00F3286D">
              <w:rPr>
                <w:rFonts w:ascii="Arial Narrow" w:hAnsi="Arial Narrow" w:cs="Arial"/>
                <w:sz w:val="24"/>
                <w:szCs w:val="24"/>
              </w:rPr>
              <w:t xml:space="preserve"> who manage or</w:t>
            </w:r>
            <w:r w:rsidR="00762FB4" w:rsidRPr="00F3286D">
              <w:rPr>
                <w:rFonts w:ascii="Arial Narrow" w:hAnsi="Arial Narrow" w:cs="Arial"/>
                <w:sz w:val="24"/>
                <w:szCs w:val="24"/>
              </w:rPr>
              <w:t xml:space="preserve"> control </w:t>
            </w:r>
            <w:r w:rsidR="00845DE3" w:rsidRPr="00F3286D">
              <w:rPr>
                <w:rFonts w:ascii="Arial Narrow" w:hAnsi="Arial Narrow" w:cs="Arial"/>
                <w:sz w:val="24"/>
                <w:szCs w:val="24"/>
              </w:rPr>
              <w:t>the</w:t>
            </w:r>
            <w:r w:rsidR="00762FB4" w:rsidRPr="00F3286D">
              <w:rPr>
                <w:rFonts w:ascii="Arial Narrow" w:hAnsi="Arial Narrow" w:cs="Arial"/>
                <w:sz w:val="24"/>
                <w:szCs w:val="24"/>
              </w:rPr>
              <w:t xml:space="preserve"> </w:t>
            </w:r>
            <w:r w:rsidR="002A6E69" w:rsidRPr="00F3286D">
              <w:rPr>
                <w:rFonts w:ascii="Arial Narrow" w:hAnsi="Arial Narrow" w:cs="Arial"/>
                <w:sz w:val="24"/>
                <w:szCs w:val="24"/>
              </w:rPr>
              <w:t xml:space="preserve">corporate body. </w:t>
            </w:r>
            <w:r w:rsidR="00603CDE" w:rsidRPr="00F3286D">
              <w:rPr>
                <w:rFonts w:ascii="Arial Narrow" w:hAnsi="Arial Narrow" w:cs="Arial"/>
                <w:sz w:val="24"/>
                <w:szCs w:val="24"/>
              </w:rPr>
              <w:t xml:space="preserve">Whereas applicant was employed as the Chief Executive Officer of the RCC and accused no 2 a nominee shareholder on behalf of the applicant in a company called /Ae / / gams Engineering PTY Ltd </w:t>
            </w:r>
            <w:r w:rsidR="00CA59CB" w:rsidRPr="00F3286D">
              <w:rPr>
                <w:rFonts w:ascii="Arial Narrow" w:hAnsi="Arial Narrow" w:cs="Arial"/>
                <w:sz w:val="24"/>
                <w:szCs w:val="24"/>
              </w:rPr>
              <w:t xml:space="preserve">over which applicant had direct/indirect control, </w:t>
            </w:r>
            <w:r w:rsidR="00603CDE" w:rsidRPr="00F3286D">
              <w:rPr>
                <w:rFonts w:ascii="Arial Narrow" w:hAnsi="Arial Narrow" w:cs="Arial"/>
                <w:sz w:val="24"/>
                <w:szCs w:val="24"/>
              </w:rPr>
              <w:t>and it being alleged that the accused persons having</w:t>
            </w:r>
            <w:r w:rsidR="00CA59CB" w:rsidRPr="00F3286D">
              <w:rPr>
                <w:rFonts w:ascii="Arial Narrow" w:hAnsi="Arial Narrow" w:cs="Arial"/>
                <w:sz w:val="24"/>
                <w:szCs w:val="24"/>
              </w:rPr>
              <w:t xml:space="preserve"> acted with common purpose, </w:t>
            </w:r>
            <w:r w:rsidR="00CA59CB" w:rsidRPr="00F3286D">
              <w:rPr>
                <w:rFonts w:ascii="Arial Narrow" w:hAnsi="Arial Narrow" w:cs="Arial"/>
                <w:sz w:val="24"/>
                <w:szCs w:val="24"/>
              </w:rPr>
              <w:lastRenderedPageBreak/>
              <w:t>it is the respondent’s prerogative to cast the net as wide as possible in this circumstances.</w:t>
            </w:r>
            <w:r w:rsidR="00603CDE" w:rsidRPr="00F3286D">
              <w:rPr>
                <w:rFonts w:ascii="Arial Narrow" w:hAnsi="Arial Narrow" w:cs="Arial"/>
                <w:sz w:val="24"/>
                <w:szCs w:val="24"/>
              </w:rPr>
              <w:t xml:space="preserve">  </w:t>
            </w:r>
            <w:r w:rsidR="002A6E69" w:rsidRPr="00F3286D">
              <w:rPr>
                <w:rFonts w:ascii="Arial Narrow" w:hAnsi="Arial Narrow" w:cs="Arial"/>
                <w:sz w:val="24"/>
                <w:szCs w:val="24"/>
              </w:rPr>
              <w:t xml:space="preserve">In addition, the Court is of the view that the applicant </w:t>
            </w:r>
            <w:r w:rsidR="00CA59CB" w:rsidRPr="00F3286D">
              <w:rPr>
                <w:rFonts w:ascii="Arial Narrow" w:hAnsi="Arial Narrow" w:cs="Arial"/>
                <w:sz w:val="24"/>
                <w:szCs w:val="24"/>
              </w:rPr>
              <w:t>would not</w:t>
            </w:r>
            <w:r w:rsidR="002A6E69" w:rsidRPr="00F3286D">
              <w:rPr>
                <w:rFonts w:ascii="Arial Narrow" w:hAnsi="Arial Narrow" w:cs="Arial"/>
                <w:sz w:val="24"/>
                <w:szCs w:val="24"/>
              </w:rPr>
              <w:t xml:space="preserve"> be prejudiced if the charge</w:t>
            </w:r>
            <w:r w:rsidR="00CA59CB" w:rsidRPr="00F3286D">
              <w:rPr>
                <w:rFonts w:ascii="Arial Narrow" w:hAnsi="Arial Narrow" w:cs="Arial"/>
                <w:sz w:val="24"/>
                <w:szCs w:val="24"/>
              </w:rPr>
              <w:t xml:space="preserve"> remains on the indictment in its current form</w:t>
            </w:r>
            <w:r w:rsidR="002A6E69" w:rsidRPr="00F3286D">
              <w:rPr>
                <w:rFonts w:ascii="Arial Narrow" w:hAnsi="Arial Narrow" w:cs="Arial"/>
                <w:sz w:val="24"/>
                <w:szCs w:val="24"/>
              </w:rPr>
              <w:t>.</w:t>
            </w:r>
          </w:p>
          <w:p w:rsidR="002A6E69" w:rsidRDefault="002A6E69" w:rsidP="002A6E69">
            <w:pPr>
              <w:spacing w:line="360" w:lineRule="auto"/>
              <w:jc w:val="both"/>
              <w:rPr>
                <w:rFonts w:ascii="Arial Narrow" w:hAnsi="Arial Narrow" w:cs="Arial"/>
                <w:sz w:val="24"/>
                <w:szCs w:val="24"/>
              </w:rPr>
            </w:pPr>
          </w:p>
          <w:p w:rsidR="00CA59CB" w:rsidRPr="00F3286D" w:rsidRDefault="002A6E69" w:rsidP="00F3286D">
            <w:pPr>
              <w:pStyle w:val="ListParagraph"/>
              <w:numPr>
                <w:ilvl w:val="0"/>
                <w:numId w:val="5"/>
              </w:numPr>
              <w:spacing w:line="360" w:lineRule="auto"/>
              <w:jc w:val="both"/>
              <w:rPr>
                <w:rFonts w:ascii="Arial Narrow" w:hAnsi="Arial Narrow" w:cs="Arial"/>
                <w:sz w:val="24"/>
                <w:szCs w:val="24"/>
              </w:rPr>
            </w:pPr>
            <w:r w:rsidRPr="00F3286D">
              <w:rPr>
                <w:rFonts w:ascii="Arial Narrow" w:hAnsi="Arial Narrow" w:cs="Arial"/>
                <w:sz w:val="24"/>
                <w:szCs w:val="24"/>
              </w:rPr>
              <w:t xml:space="preserve">As a result, the applicant failed to prove on a balance of probabilities that he has </w:t>
            </w:r>
            <w:r w:rsidR="000E4FE2" w:rsidRPr="00F3286D">
              <w:rPr>
                <w:rFonts w:ascii="Arial Narrow" w:hAnsi="Arial Narrow" w:cs="Arial"/>
                <w:sz w:val="24"/>
                <w:szCs w:val="24"/>
              </w:rPr>
              <w:t>prospects of success on appeal</w:t>
            </w:r>
            <w:r w:rsidR="00CA59CB" w:rsidRPr="00F3286D">
              <w:rPr>
                <w:rFonts w:ascii="Arial Narrow" w:hAnsi="Arial Narrow" w:cs="Arial"/>
                <w:sz w:val="24"/>
                <w:szCs w:val="24"/>
              </w:rPr>
              <w:t>.</w:t>
            </w:r>
          </w:p>
          <w:p w:rsidR="002A6E69" w:rsidRDefault="00CA59CB" w:rsidP="00F3286D">
            <w:pPr>
              <w:pStyle w:val="ListParagraph"/>
              <w:numPr>
                <w:ilvl w:val="0"/>
                <w:numId w:val="5"/>
              </w:numPr>
              <w:spacing w:line="360" w:lineRule="auto"/>
              <w:jc w:val="both"/>
              <w:rPr>
                <w:rFonts w:ascii="Arial Narrow" w:hAnsi="Arial Narrow" w:cs="Arial"/>
                <w:sz w:val="24"/>
                <w:szCs w:val="24"/>
              </w:rPr>
            </w:pPr>
            <w:r w:rsidRPr="00F3286D">
              <w:rPr>
                <w:rFonts w:ascii="Arial Narrow" w:hAnsi="Arial Narrow" w:cs="Arial"/>
                <w:sz w:val="24"/>
                <w:szCs w:val="24"/>
              </w:rPr>
              <w:t>Consequently</w:t>
            </w:r>
            <w:r w:rsidR="000E4FE2" w:rsidRPr="00F3286D">
              <w:rPr>
                <w:rFonts w:ascii="Arial Narrow" w:hAnsi="Arial Narrow" w:cs="Arial"/>
                <w:sz w:val="24"/>
                <w:szCs w:val="24"/>
              </w:rPr>
              <w:t xml:space="preserve"> </w:t>
            </w:r>
            <w:r w:rsidR="002A6E69" w:rsidRPr="00F3286D">
              <w:rPr>
                <w:rFonts w:ascii="Arial Narrow" w:hAnsi="Arial Narrow" w:cs="Arial"/>
                <w:sz w:val="24"/>
                <w:szCs w:val="24"/>
              </w:rPr>
              <w:t>the con</w:t>
            </w:r>
            <w:r w:rsidRPr="00F3286D">
              <w:rPr>
                <w:rFonts w:ascii="Arial Narrow" w:hAnsi="Arial Narrow" w:cs="Arial"/>
                <w:sz w:val="24"/>
                <w:szCs w:val="24"/>
              </w:rPr>
              <w:t xml:space="preserve">donation application is refused and the matter is struck from the roll. </w:t>
            </w:r>
          </w:p>
          <w:p w:rsidR="004A3A13" w:rsidRPr="00F3286D" w:rsidRDefault="004A3A13" w:rsidP="004A3A13">
            <w:pPr>
              <w:pStyle w:val="ListParagraph"/>
              <w:spacing w:line="360" w:lineRule="auto"/>
              <w:ind w:left="540"/>
              <w:jc w:val="both"/>
              <w:rPr>
                <w:rFonts w:ascii="Arial Narrow" w:hAnsi="Arial Narrow" w:cs="Arial"/>
                <w:sz w:val="24"/>
                <w:szCs w:val="24"/>
              </w:rPr>
            </w:pPr>
          </w:p>
        </w:tc>
      </w:tr>
      <w:tr w:rsidR="00F3286D" w:rsidRPr="001B0FDD" w:rsidTr="00D8238D">
        <w:trPr>
          <w:trHeight w:val="557"/>
        </w:trPr>
        <w:tc>
          <w:tcPr>
            <w:tcW w:w="4770" w:type="dxa"/>
            <w:vMerge w:val="restart"/>
          </w:tcPr>
          <w:p w:rsidR="00F3286D" w:rsidRDefault="00F3286D" w:rsidP="00D8238D">
            <w:pPr>
              <w:spacing w:line="360" w:lineRule="auto"/>
              <w:jc w:val="both"/>
              <w:rPr>
                <w:rFonts w:ascii="Arial Narrow" w:hAnsi="Arial Narrow"/>
                <w:b/>
              </w:rPr>
            </w:pPr>
            <w:r>
              <w:rPr>
                <w:rFonts w:ascii="Arial Narrow" w:hAnsi="Arial Narrow"/>
                <w:b/>
              </w:rPr>
              <w:lastRenderedPageBreak/>
              <w:t>NOTE TO THE PARTIES</w:t>
            </w:r>
          </w:p>
          <w:p w:rsidR="00F3286D" w:rsidRPr="001B0FDD" w:rsidRDefault="00F3286D" w:rsidP="00D8238D">
            <w:pPr>
              <w:spacing w:line="360" w:lineRule="auto"/>
              <w:jc w:val="both"/>
              <w:rPr>
                <w:rFonts w:ascii="Arial Narrow" w:hAnsi="Arial Narrow" w:cs="Arial"/>
                <w:b/>
                <w:sz w:val="24"/>
                <w:szCs w:val="24"/>
              </w:rPr>
            </w:pPr>
            <w:r w:rsidRPr="00F3286D">
              <w:rPr>
                <w:rFonts w:ascii="Arial Narrow" w:hAnsi="Arial Narrow"/>
                <w:b/>
              </w:rPr>
              <w:t>The reason(s) hereby provided should be lodged together with any Petition made to the Chief Justice of the Supreme Court</w:t>
            </w:r>
          </w:p>
        </w:tc>
        <w:tc>
          <w:tcPr>
            <w:tcW w:w="4950" w:type="dxa"/>
            <w:gridSpan w:val="2"/>
          </w:tcPr>
          <w:p w:rsidR="00F3286D" w:rsidRDefault="00F3286D" w:rsidP="001C10EF">
            <w:pPr>
              <w:spacing w:line="360" w:lineRule="auto"/>
              <w:jc w:val="center"/>
              <w:rPr>
                <w:rFonts w:ascii="Arial Narrow" w:hAnsi="Arial Narrow" w:cs="Arial"/>
                <w:b/>
                <w:sz w:val="24"/>
                <w:szCs w:val="24"/>
              </w:rPr>
            </w:pPr>
          </w:p>
          <w:p w:rsidR="00F3286D" w:rsidRPr="001B0FDD" w:rsidRDefault="00F3286D" w:rsidP="001C10EF">
            <w:pPr>
              <w:spacing w:line="360" w:lineRule="auto"/>
              <w:jc w:val="center"/>
              <w:rPr>
                <w:rFonts w:ascii="Arial Narrow" w:hAnsi="Arial Narrow" w:cs="Arial"/>
                <w:b/>
                <w:sz w:val="24"/>
                <w:szCs w:val="24"/>
              </w:rPr>
            </w:pPr>
          </w:p>
        </w:tc>
      </w:tr>
      <w:tr w:rsidR="00F3286D" w:rsidRPr="001B0FDD" w:rsidTr="00D8238D">
        <w:trPr>
          <w:trHeight w:val="719"/>
        </w:trPr>
        <w:tc>
          <w:tcPr>
            <w:tcW w:w="4770" w:type="dxa"/>
            <w:vMerge/>
          </w:tcPr>
          <w:p w:rsidR="00F3286D" w:rsidRPr="00F3286D" w:rsidRDefault="00F3286D" w:rsidP="00D8238D">
            <w:pPr>
              <w:spacing w:line="360" w:lineRule="auto"/>
              <w:jc w:val="both"/>
              <w:rPr>
                <w:rFonts w:ascii="Arial Narrow" w:hAnsi="Arial Narrow" w:cs="Arial"/>
                <w:b/>
                <w:sz w:val="24"/>
                <w:szCs w:val="24"/>
              </w:rPr>
            </w:pPr>
          </w:p>
        </w:tc>
        <w:tc>
          <w:tcPr>
            <w:tcW w:w="4950" w:type="dxa"/>
            <w:gridSpan w:val="2"/>
          </w:tcPr>
          <w:p w:rsidR="00F3286D" w:rsidRPr="001B0FDD" w:rsidRDefault="00F3286D" w:rsidP="001C10EF">
            <w:pPr>
              <w:spacing w:line="360" w:lineRule="auto"/>
              <w:jc w:val="center"/>
              <w:rPr>
                <w:rFonts w:ascii="Arial Narrow" w:hAnsi="Arial Narrow" w:cs="Arial"/>
                <w:b/>
                <w:sz w:val="24"/>
                <w:szCs w:val="24"/>
              </w:rPr>
            </w:pPr>
            <w:r w:rsidRPr="001B0FDD">
              <w:rPr>
                <w:rFonts w:ascii="Arial Narrow" w:hAnsi="Arial Narrow" w:cs="Arial"/>
                <w:b/>
                <w:sz w:val="24"/>
                <w:szCs w:val="24"/>
              </w:rPr>
              <w:t>J C LIEBENBERG</w:t>
            </w:r>
          </w:p>
          <w:p w:rsidR="00F3286D" w:rsidRPr="001B0FDD" w:rsidRDefault="00F3286D" w:rsidP="001C10EF">
            <w:pPr>
              <w:spacing w:line="360" w:lineRule="auto"/>
              <w:jc w:val="center"/>
              <w:rPr>
                <w:rFonts w:ascii="Arial Narrow" w:hAnsi="Arial Narrow" w:cs="Arial"/>
                <w:sz w:val="24"/>
                <w:szCs w:val="24"/>
              </w:rPr>
            </w:pPr>
            <w:r w:rsidRPr="001B0FDD">
              <w:rPr>
                <w:rFonts w:ascii="Arial Narrow" w:hAnsi="Arial Narrow" w:cs="Arial"/>
                <w:b/>
                <w:sz w:val="24"/>
                <w:szCs w:val="24"/>
              </w:rPr>
              <w:t>JUDGE</w:t>
            </w:r>
          </w:p>
        </w:tc>
      </w:tr>
    </w:tbl>
    <w:p w:rsidR="00AE7087" w:rsidRDefault="00AE7087"/>
    <w:sectPr w:rsidR="00AE7087" w:rsidSect="000E4FE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083" w:rsidRDefault="00545083" w:rsidP="00897051">
      <w:pPr>
        <w:spacing w:after="0" w:line="240" w:lineRule="auto"/>
      </w:pPr>
      <w:r>
        <w:separator/>
      </w:r>
    </w:p>
  </w:endnote>
  <w:endnote w:type="continuationSeparator" w:id="0">
    <w:p w:rsidR="00545083" w:rsidRDefault="00545083" w:rsidP="0089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083" w:rsidRDefault="00545083" w:rsidP="00897051">
      <w:pPr>
        <w:spacing w:after="0" w:line="240" w:lineRule="auto"/>
      </w:pPr>
      <w:r>
        <w:separator/>
      </w:r>
    </w:p>
  </w:footnote>
  <w:footnote w:type="continuationSeparator" w:id="0">
    <w:p w:rsidR="00545083" w:rsidRDefault="00545083" w:rsidP="00897051">
      <w:pPr>
        <w:spacing w:after="0" w:line="240" w:lineRule="auto"/>
      </w:pPr>
      <w:r>
        <w:continuationSeparator/>
      </w:r>
    </w:p>
  </w:footnote>
  <w:footnote w:id="1">
    <w:p w:rsidR="00897051" w:rsidRDefault="00897051">
      <w:pPr>
        <w:pStyle w:val="FootnoteText"/>
      </w:pPr>
      <w:r>
        <w:rPr>
          <w:rStyle w:val="FootnoteReference"/>
        </w:rPr>
        <w:footnoteRef/>
      </w:r>
      <w:r>
        <w:t xml:space="preserve"> </w:t>
      </w:r>
      <w:r w:rsidRPr="00897051">
        <w:rPr>
          <w:rFonts w:ascii="Arial Narrow" w:hAnsi="Arial Narrow" w:cs="Arial"/>
        </w:rPr>
        <w:t>1987 (2) SA 225 (SWA).</w:t>
      </w:r>
    </w:p>
  </w:footnote>
  <w:footnote w:id="2">
    <w:p w:rsidR="003E24F4" w:rsidRDefault="003E24F4">
      <w:pPr>
        <w:pStyle w:val="FootnoteText"/>
      </w:pPr>
      <w:r>
        <w:rPr>
          <w:rStyle w:val="FootnoteReference"/>
        </w:rPr>
        <w:footnoteRef/>
      </w:r>
      <w:r>
        <w:t xml:space="preserve"> </w:t>
      </w:r>
      <w:r w:rsidRPr="008C6C5C">
        <w:rPr>
          <w:rFonts w:ascii="Arial Narrow" w:hAnsi="Arial Narrow"/>
        </w:rPr>
        <w:t>2016 (2) NR 438 (HC).</w:t>
      </w:r>
    </w:p>
  </w:footnote>
  <w:footnote w:id="3">
    <w:p w:rsidR="008E7114" w:rsidRDefault="008E7114">
      <w:pPr>
        <w:pStyle w:val="FootnoteText"/>
      </w:pPr>
      <w:r>
        <w:rPr>
          <w:rStyle w:val="FootnoteReference"/>
        </w:rPr>
        <w:footnoteRef/>
      </w:r>
      <w:r>
        <w:t>2009 (1) NR 314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90021"/>
      <w:docPartObj>
        <w:docPartGallery w:val="Page Numbers (Top of Page)"/>
        <w:docPartUnique/>
      </w:docPartObj>
    </w:sdtPr>
    <w:sdtEndPr>
      <w:rPr>
        <w:noProof/>
      </w:rPr>
    </w:sdtEndPr>
    <w:sdtContent>
      <w:p w:rsidR="000E4FE2" w:rsidRDefault="000E4FE2">
        <w:pPr>
          <w:pStyle w:val="Header"/>
          <w:jc w:val="right"/>
        </w:pPr>
        <w:r>
          <w:fldChar w:fldCharType="begin"/>
        </w:r>
        <w:r>
          <w:instrText xml:space="preserve"> PAGE   \* MERGEFORMAT </w:instrText>
        </w:r>
        <w:r>
          <w:fldChar w:fldCharType="separate"/>
        </w:r>
        <w:r w:rsidR="004440B9">
          <w:rPr>
            <w:noProof/>
          </w:rPr>
          <w:t>4</w:t>
        </w:r>
        <w:r>
          <w:rPr>
            <w:noProof/>
          </w:rPr>
          <w:fldChar w:fldCharType="end"/>
        </w:r>
      </w:p>
    </w:sdtContent>
  </w:sdt>
  <w:p w:rsidR="000E4FE2" w:rsidRDefault="000E4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33B34"/>
    <w:multiLevelType w:val="hybridMultilevel"/>
    <w:tmpl w:val="08F6FEA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8CF169A"/>
    <w:multiLevelType w:val="hybridMultilevel"/>
    <w:tmpl w:val="6A28D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3D1340"/>
    <w:multiLevelType w:val="hybridMultilevel"/>
    <w:tmpl w:val="10B8E9E2"/>
    <w:lvl w:ilvl="0" w:tplc="1B6C61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7"/>
    <w:rsid w:val="0003066F"/>
    <w:rsid w:val="0003449C"/>
    <w:rsid w:val="00055FA7"/>
    <w:rsid w:val="000E4FE2"/>
    <w:rsid w:val="000F1C25"/>
    <w:rsid w:val="000F25A4"/>
    <w:rsid w:val="00180CB3"/>
    <w:rsid w:val="001C10EF"/>
    <w:rsid w:val="001C5CB2"/>
    <w:rsid w:val="00250D8F"/>
    <w:rsid w:val="002A6E69"/>
    <w:rsid w:val="003C2D51"/>
    <w:rsid w:val="003E24F4"/>
    <w:rsid w:val="004440B9"/>
    <w:rsid w:val="00466B8E"/>
    <w:rsid w:val="004A3A13"/>
    <w:rsid w:val="00527948"/>
    <w:rsid w:val="00534546"/>
    <w:rsid w:val="00545083"/>
    <w:rsid w:val="005E4C36"/>
    <w:rsid w:val="00602432"/>
    <w:rsid w:val="00603CDE"/>
    <w:rsid w:val="006A5EAA"/>
    <w:rsid w:val="006B3851"/>
    <w:rsid w:val="00762FB4"/>
    <w:rsid w:val="007A1DB9"/>
    <w:rsid w:val="007C6223"/>
    <w:rsid w:val="00804396"/>
    <w:rsid w:val="00845DE3"/>
    <w:rsid w:val="008764C5"/>
    <w:rsid w:val="00897051"/>
    <w:rsid w:val="008C6C5C"/>
    <w:rsid w:val="008E7114"/>
    <w:rsid w:val="00951E1F"/>
    <w:rsid w:val="0095500A"/>
    <w:rsid w:val="0099113E"/>
    <w:rsid w:val="00AE7087"/>
    <w:rsid w:val="00B13EE6"/>
    <w:rsid w:val="00B76926"/>
    <w:rsid w:val="00C12AFB"/>
    <w:rsid w:val="00C57D10"/>
    <w:rsid w:val="00CA59CB"/>
    <w:rsid w:val="00CC52B1"/>
    <w:rsid w:val="00D041D2"/>
    <w:rsid w:val="00D11E47"/>
    <w:rsid w:val="00D8238D"/>
    <w:rsid w:val="00DA5ED1"/>
    <w:rsid w:val="00DE6E04"/>
    <w:rsid w:val="00E43408"/>
    <w:rsid w:val="00ED20A7"/>
    <w:rsid w:val="00F3286D"/>
    <w:rsid w:val="00F3672D"/>
    <w:rsid w:val="00F5274F"/>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F40CB-2EA4-4618-B027-4F33E640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FootnoteText">
    <w:name w:val="footnote text"/>
    <w:basedOn w:val="Normal"/>
    <w:link w:val="FootnoteTextChar"/>
    <w:uiPriority w:val="99"/>
    <w:semiHidden/>
    <w:unhideWhenUsed/>
    <w:rsid w:val="00897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051"/>
    <w:rPr>
      <w:sz w:val="20"/>
      <w:szCs w:val="20"/>
    </w:rPr>
  </w:style>
  <w:style w:type="character" w:styleId="FootnoteReference">
    <w:name w:val="footnote reference"/>
    <w:basedOn w:val="DefaultParagraphFont"/>
    <w:uiPriority w:val="99"/>
    <w:semiHidden/>
    <w:unhideWhenUsed/>
    <w:rsid w:val="00897051"/>
    <w:rPr>
      <w:vertAlign w:val="superscript"/>
    </w:rPr>
  </w:style>
  <w:style w:type="paragraph" w:styleId="Header">
    <w:name w:val="header"/>
    <w:basedOn w:val="Normal"/>
    <w:link w:val="HeaderChar"/>
    <w:uiPriority w:val="99"/>
    <w:unhideWhenUsed/>
    <w:rsid w:val="000E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E2"/>
  </w:style>
  <w:style w:type="paragraph" w:styleId="Footer">
    <w:name w:val="footer"/>
    <w:basedOn w:val="Normal"/>
    <w:link w:val="FooterChar"/>
    <w:uiPriority w:val="99"/>
    <w:unhideWhenUsed/>
    <w:rsid w:val="000E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2019-05-26T18:30:00+00:00</Judgment_x0020_Date>
  </documentManagement>
</p:properties>
</file>

<file path=customXml/itemProps1.xml><?xml version="1.0" encoding="utf-8"?>
<ds:datastoreItem xmlns:ds="http://schemas.openxmlformats.org/officeDocument/2006/customXml" ds:itemID="{AF583EAF-27E1-48A6-A529-BB910D5E2291}"/>
</file>

<file path=customXml/itemProps2.xml><?xml version="1.0" encoding="utf-8"?>
<ds:datastoreItem xmlns:ds="http://schemas.openxmlformats.org/officeDocument/2006/customXml" ds:itemID="{B9A7BD88-9D05-43AD-B135-5D20982A6DB2}"/>
</file>

<file path=customXml/itemProps3.xml><?xml version="1.0" encoding="utf-8"?>
<ds:datastoreItem xmlns:ds="http://schemas.openxmlformats.org/officeDocument/2006/customXml" ds:itemID="{5BF83279-06B9-470A-8336-B721C0F7786C}"/>
</file>

<file path=customXml/itemProps4.xml><?xml version="1.0" encoding="utf-8"?>
<ds:datastoreItem xmlns:ds="http://schemas.openxmlformats.org/officeDocument/2006/customXml" ds:itemID="{D94CFBF5-0ECC-4195-93D0-3B0CC8FC18C9}"/>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Liebenberg</dc:creator>
  <cp:keywords/>
  <dc:description/>
  <cp:lastModifiedBy>Lotta N. Ambunda</cp:lastModifiedBy>
  <cp:revision>3</cp:revision>
  <dcterms:created xsi:type="dcterms:W3CDTF">2019-06-21T11:00:00Z</dcterms:created>
  <dcterms:modified xsi:type="dcterms:W3CDTF">2019-06-21T11:02:00Z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