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9AB" w:rsidRDefault="009F29AB" w:rsidP="00066702">
      <w:pPr>
        <w:jc w:val="center"/>
        <w:rPr>
          <w:rFonts w:ascii="Arial" w:hAnsi="Arial"/>
          <w:b/>
        </w:rPr>
      </w:pPr>
    </w:p>
    <w:p w:rsidR="009F29AB" w:rsidRPr="009F29AB" w:rsidRDefault="009F29AB" w:rsidP="009F29AB">
      <w:pPr>
        <w:jc w:val="center"/>
        <w:rPr>
          <w:rFonts w:ascii="Arial" w:eastAsia="Calibri" w:hAnsi="Arial" w:cs="Arial"/>
          <w:b/>
          <w:noProof/>
          <w:lang w:val="en-US"/>
        </w:rPr>
      </w:pPr>
      <w:r w:rsidRPr="009F29AB">
        <w:rPr>
          <w:rFonts w:ascii="Arial" w:eastAsia="Calibri" w:hAnsi="Arial" w:cs="Arial"/>
          <w:b/>
          <w:noProof/>
          <w:lang w:val="en-US"/>
        </w:rPr>
        <w:t>REPUBLIC OF NAMIBIA</w:t>
      </w:r>
    </w:p>
    <w:p w:rsidR="009F29AB" w:rsidRPr="009F29AB" w:rsidRDefault="009F29AB" w:rsidP="009F29AB">
      <w:pPr>
        <w:jc w:val="center"/>
        <w:rPr>
          <w:rFonts w:ascii="Arial" w:eastAsia="MS Mincho" w:hAnsi="Arial" w:cs="Arial"/>
          <w:b/>
        </w:rPr>
      </w:pPr>
      <w:r w:rsidRPr="009F29AB">
        <w:rPr>
          <w:rFonts w:ascii="Calibri" w:eastAsia="Calibri" w:hAnsi="Calibri" w:cs="Times New Roman"/>
          <w:b/>
          <w:noProof/>
          <w:sz w:val="32"/>
          <w:szCs w:val="32"/>
          <w:lang w:eastAsia="en-GB"/>
        </w:rPr>
        <w:drawing>
          <wp:inline distT="0" distB="0" distL="0" distR="0" wp14:anchorId="5F4235EF" wp14:editId="0A1BF21C">
            <wp:extent cx="1273175" cy="1326515"/>
            <wp:effectExtent l="0" t="0" r="0" b="0"/>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rsidR="009F29AB" w:rsidRPr="009F29AB" w:rsidRDefault="009F29AB" w:rsidP="009F29AB">
      <w:pPr>
        <w:jc w:val="center"/>
        <w:rPr>
          <w:rFonts w:ascii="Arial" w:eastAsia="MS Mincho" w:hAnsi="Arial" w:cs="Arial"/>
          <w:b/>
        </w:rPr>
      </w:pPr>
    </w:p>
    <w:p w:rsidR="009F29AB" w:rsidRPr="009F29AB" w:rsidRDefault="009F29AB" w:rsidP="009F29AB">
      <w:pPr>
        <w:jc w:val="center"/>
        <w:rPr>
          <w:rFonts w:ascii="Arial" w:eastAsia="MS Mincho" w:hAnsi="Arial" w:cs="Arial"/>
          <w:b/>
        </w:rPr>
      </w:pPr>
      <w:r w:rsidRPr="009F29AB">
        <w:rPr>
          <w:rFonts w:ascii="Arial" w:eastAsia="MS Mincho" w:hAnsi="Arial" w:cs="Arial"/>
          <w:b/>
        </w:rPr>
        <w:t>HIGH COURT OF NAMIBIA, MAIN DIVISION, WINDHOEK</w:t>
      </w:r>
    </w:p>
    <w:p w:rsidR="00066702" w:rsidRPr="001F682F" w:rsidRDefault="00066702" w:rsidP="00066702">
      <w:pPr>
        <w:jc w:val="center"/>
        <w:rPr>
          <w:rFonts w:ascii="Arial" w:hAnsi="Arial"/>
          <w:b/>
        </w:rPr>
      </w:pPr>
    </w:p>
    <w:p w:rsidR="00066702" w:rsidRPr="001F682F" w:rsidRDefault="00066702" w:rsidP="00066702">
      <w:pPr>
        <w:jc w:val="center"/>
        <w:rPr>
          <w:rFonts w:ascii="Arial" w:hAnsi="Arial"/>
          <w:b/>
        </w:rPr>
      </w:pPr>
      <w:r w:rsidRPr="001F682F">
        <w:rPr>
          <w:rFonts w:ascii="Arial" w:hAnsi="Arial"/>
          <w:b/>
        </w:rPr>
        <w:t xml:space="preserve">RULING </w:t>
      </w:r>
      <w:r w:rsidRPr="001F682F">
        <w:rPr>
          <w:rFonts w:ascii="Arial" w:hAnsi="Arial"/>
          <w:i/>
        </w:rPr>
        <w:t>I.T</w:t>
      </w:r>
      <w:r w:rsidR="00C101F7">
        <w:rPr>
          <w:rFonts w:ascii="Arial" w:hAnsi="Arial"/>
          <w:i/>
        </w:rPr>
        <w:t>.</w:t>
      </w:r>
      <w:r w:rsidRPr="001F682F">
        <w:rPr>
          <w:rFonts w:ascii="Arial" w:hAnsi="Arial"/>
          <w:i/>
        </w:rPr>
        <w:t xml:space="preserve">O. </w:t>
      </w:r>
      <w:r w:rsidRPr="001F682F">
        <w:rPr>
          <w:rFonts w:ascii="Arial" w:hAnsi="Arial"/>
          <w:b/>
        </w:rPr>
        <w:t>P. D. 61</w:t>
      </w:r>
    </w:p>
    <w:p w:rsidR="00066702" w:rsidRPr="001F682F" w:rsidRDefault="00066702" w:rsidP="00066702">
      <w:pPr>
        <w:jc w:val="center"/>
        <w:rPr>
          <w:rFonts w:ascii="Arial" w:hAnsi="Arial"/>
          <w:b/>
        </w:rPr>
      </w:pPr>
    </w:p>
    <w:p w:rsidR="00066702" w:rsidRPr="001F682F" w:rsidRDefault="00066702" w:rsidP="00066702">
      <w:pPr>
        <w:jc w:val="right"/>
        <w:rPr>
          <w:rFonts w:ascii="Arial" w:hAnsi="Arial"/>
        </w:rPr>
      </w:pPr>
      <w:r w:rsidRPr="001F682F">
        <w:rPr>
          <w:rFonts w:ascii="Arial" w:hAnsi="Arial"/>
        </w:rPr>
        <w:t>HC-MD-CIV-MOT-GEN-2019/00169</w:t>
      </w:r>
    </w:p>
    <w:p w:rsidR="00066702" w:rsidRPr="001F682F" w:rsidRDefault="00066702" w:rsidP="00066702">
      <w:pPr>
        <w:jc w:val="right"/>
        <w:rPr>
          <w:rFonts w:ascii="Arial" w:hAnsi="Arial"/>
        </w:rPr>
      </w:pPr>
    </w:p>
    <w:p w:rsidR="00066702" w:rsidRPr="001F682F" w:rsidRDefault="00066702" w:rsidP="00066702">
      <w:pPr>
        <w:rPr>
          <w:rFonts w:ascii="Arial" w:hAnsi="Arial"/>
        </w:rPr>
      </w:pPr>
      <w:r w:rsidRPr="001F682F">
        <w:rPr>
          <w:rFonts w:ascii="Arial" w:hAnsi="Arial"/>
        </w:rPr>
        <w:t>In the matter between:</w:t>
      </w:r>
    </w:p>
    <w:p w:rsidR="00066702" w:rsidRPr="001F682F" w:rsidRDefault="00066702" w:rsidP="00066702">
      <w:pPr>
        <w:rPr>
          <w:rFonts w:ascii="Arial" w:hAnsi="Arial"/>
        </w:rPr>
      </w:pPr>
    </w:p>
    <w:p w:rsidR="00066702" w:rsidRPr="001F682F" w:rsidRDefault="00066702" w:rsidP="00066702">
      <w:pPr>
        <w:rPr>
          <w:rFonts w:ascii="Arial" w:hAnsi="Arial"/>
          <w:b/>
        </w:rPr>
      </w:pPr>
      <w:r w:rsidRPr="001F682F">
        <w:rPr>
          <w:rFonts w:ascii="Arial" w:hAnsi="Arial"/>
          <w:b/>
        </w:rPr>
        <w:t xml:space="preserve">TELECOM NAMIBIA LIMITED   </w:t>
      </w:r>
      <w:r w:rsidR="003034BE">
        <w:rPr>
          <w:rFonts w:ascii="Arial" w:hAnsi="Arial"/>
          <w:b/>
        </w:rPr>
        <w:t xml:space="preserve">              </w:t>
      </w:r>
      <w:r w:rsidRPr="001F682F">
        <w:rPr>
          <w:rFonts w:ascii="Arial" w:hAnsi="Arial"/>
          <w:b/>
        </w:rPr>
        <w:t xml:space="preserve">                                     APPLICANT</w:t>
      </w:r>
    </w:p>
    <w:p w:rsidR="00066702" w:rsidRPr="001F682F" w:rsidRDefault="00066702" w:rsidP="00066702">
      <w:pPr>
        <w:rPr>
          <w:rFonts w:ascii="Arial" w:hAnsi="Arial"/>
          <w:b/>
        </w:rPr>
      </w:pPr>
    </w:p>
    <w:p w:rsidR="00066702" w:rsidRPr="001F682F" w:rsidRDefault="00066702" w:rsidP="00066702">
      <w:pPr>
        <w:rPr>
          <w:rFonts w:ascii="Arial" w:hAnsi="Arial"/>
        </w:rPr>
      </w:pPr>
      <w:proofErr w:type="gramStart"/>
      <w:r w:rsidRPr="001F682F">
        <w:rPr>
          <w:rFonts w:ascii="Arial" w:hAnsi="Arial"/>
        </w:rPr>
        <w:t>and</w:t>
      </w:r>
      <w:proofErr w:type="gramEnd"/>
    </w:p>
    <w:p w:rsidR="00066702" w:rsidRPr="001F682F" w:rsidRDefault="00066702" w:rsidP="00066702">
      <w:pPr>
        <w:rPr>
          <w:rFonts w:ascii="Arial" w:hAnsi="Arial"/>
        </w:rPr>
      </w:pPr>
    </w:p>
    <w:p w:rsidR="00066702" w:rsidRPr="001F682F" w:rsidRDefault="00066702" w:rsidP="00066702">
      <w:pPr>
        <w:rPr>
          <w:rFonts w:ascii="Arial" w:hAnsi="Arial"/>
          <w:b/>
        </w:rPr>
      </w:pPr>
      <w:r w:rsidRPr="001F682F">
        <w:rPr>
          <w:rFonts w:ascii="Arial" w:hAnsi="Arial"/>
          <w:b/>
        </w:rPr>
        <w:t>GOVERNMENT OF THE REPUBLIC OF NAMIBIA           1</w:t>
      </w:r>
      <w:r w:rsidRPr="001F682F">
        <w:rPr>
          <w:rFonts w:ascii="Arial" w:hAnsi="Arial"/>
          <w:b/>
          <w:vertAlign w:val="superscript"/>
        </w:rPr>
        <w:t>ST</w:t>
      </w:r>
      <w:r w:rsidRPr="001F682F">
        <w:rPr>
          <w:rFonts w:ascii="Arial" w:hAnsi="Arial"/>
          <w:b/>
        </w:rPr>
        <w:t xml:space="preserve"> RESPONDENT</w:t>
      </w:r>
    </w:p>
    <w:p w:rsidR="00066702" w:rsidRPr="001F682F" w:rsidRDefault="00066702" w:rsidP="00066702">
      <w:pPr>
        <w:rPr>
          <w:rFonts w:ascii="Arial" w:hAnsi="Arial"/>
          <w:b/>
        </w:rPr>
      </w:pPr>
    </w:p>
    <w:p w:rsidR="00066702" w:rsidRPr="001F682F" w:rsidRDefault="00066702" w:rsidP="00066702">
      <w:pPr>
        <w:rPr>
          <w:rFonts w:ascii="Arial" w:hAnsi="Arial"/>
          <w:b/>
        </w:rPr>
      </w:pPr>
      <w:r w:rsidRPr="001F682F">
        <w:rPr>
          <w:rFonts w:ascii="Arial" w:hAnsi="Arial"/>
          <w:b/>
        </w:rPr>
        <w:t>THE CABINET OF THE REPUBLIC OF NAMIBIA            2</w:t>
      </w:r>
      <w:r w:rsidRPr="001F682F">
        <w:rPr>
          <w:rFonts w:ascii="Arial" w:hAnsi="Arial"/>
          <w:b/>
          <w:vertAlign w:val="superscript"/>
        </w:rPr>
        <w:t>ND</w:t>
      </w:r>
      <w:r w:rsidRPr="001F682F">
        <w:rPr>
          <w:rFonts w:ascii="Arial" w:hAnsi="Arial"/>
          <w:b/>
        </w:rPr>
        <w:t xml:space="preserve"> RESPONDENT</w:t>
      </w:r>
    </w:p>
    <w:p w:rsidR="00066702" w:rsidRPr="001F682F" w:rsidRDefault="00066702" w:rsidP="00066702">
      <w:pPr>
        <w:rPr>
          <w:rFonts w:ascii="Arial" w:hAnsi="Arial"/>
          <w:b/>
        </w:rPr>
      </w:pPr>
    </w:p>
    <w:p w:rsidR="00066702" w:rsidRPr="001F682F" w:rsidRDefault="00066702" w:rsidP="00066702">
      <w:pPr>
        <w:rPr>
          <w:rFonts w:ascii="Arial" w:hAnsi="Arial"/>
          <w:b/>
        </w:rPr>
      </w:pPr>
      <w:r w:rsidRPr="001F682F">
        <w:rPr>
          <w:rFonts w:ascii="Arial" w:hAnsi="Arial"/>
          <w:b/>
        </w:rPr>
        <w:t>THE MINISTER OF INFORMATION AND</w:t>
      </w:r>
    </w:p>
    <w:p w:rsidR="00066702" w:rsidRPr="001F682F" w:rsidRDefault="00066702" w:rsidP="00066702">
      <w:pPr>
        <w:rPr>
          <w:rFonts w:ascii="Arial" w:hAnsi="Arial"/>
          <w:b/>
        </w:rPr>
      </w:pPr>
      <w:r w:rsidRPr="001F682F">
        <w:rPr>
          <w:rFonts w:ascii="Arial" w:hAnsi="Arial"/>
          <w:b/>
        </w:rPr>
        <w:t>COMMUNICATION                                                             3</w:t>
      </w:r>
      <w:r w:rsidRPr="001F682F">
        <w:rPr>
          <w:rFonts w:ascii="Arial" w:hAnsi="Arial"/>
          <w:b/>
          <w:vertAlign w:val="superscript"/>
        </w:rPr>
        <w:t>RD</w:t>
      </w:r>
      <w:r w:rsidRPr="001F682F">
        <w:rPr>
          <w:rFonts w:ascii="Arial" w:hAnsi="Arial"/>
          <w:b/>
        </w:rPr>
        <w:t xml:space="preserve"> RESPONDENT</w:t>
      </w:r>
    </w:p>
    <w:p w:rsidR="00066702" w:rsidRPr="001F682F" w:rsidRDefault="00066702" w:rsidP="00066702">
      <w:pPr>
        <w:rPr>
          <w:rFonts w:ascii="Arial" w:hAnsi="Arial"/>
          <w:b/>
        </w:rPr>
      </w:pPr>
    </w:p>
    <w:p w:rsidR="00066702" w:rsidRPr="001F682F" w:rsidRDefault="00066702" w:rsidP="00066702">
      <w:pPr>
        <w:rPr>
          <w:rFonts w:ascii="Arial" w:hAnsi="Arial"/>
          <w:b/>
        </w:rPr>
      </w:pPr>
      <w:r w:rsidRPr="001F682F">
        <w:rPr>
          <w:rFonts w:ascii="Arial" w:hAnsi="Arial"/>
          <w:b/>
        </w:rPr>
        <w:t>THE MINISTER OF PUBLLIC ENTERPRISES                  4</w:t>
      </w:r>
      <w:r w:rsidRPr="001F682F">
        <w:rPr>
          <w:rFonts w:ascii="Arial" w:hAnsi="Arial"/>
          <w:b/>
          <w:vertAlign w:val="superscript"/>
        </w:rPr>
        <w:t>TH</w:t>
      </w:r>
      <w:r w:rsidRPr="001F682F">
        <w:rPr>
          <w:rFonts w:ascii="Arial" w:hAnsi="Arial"/>
          <w:b/>
        </w:rPr>
        <w:t xml:space="preserve"> RESPONDENT</w:t>
      </w:r>
    </w:p>
    <w:p w:rsidR="00066702" w:rsidRPr="001F682F" w:rsidRDefault="00066702" w:rsidP="00066702">
      <w:pPr>
        <w:rPr>
          <w:rFonts w:ascii="Arial" w:hAnsi="Arial"/>
          <w:b/>
        </w:rPr>
      </w:pPr>
    </w:p>
    <w:p w:rsidR="00066702" w:rsidRPr="001F682F" w:rsidRDefault="00066702" w:rsidP="00066702">
      <w:pPr>
        <w:rPr>
          <w:rFonts w:ascii="Arial" w:hAnsi="Arial"/>
          <w:b/>
        </w:rPr>
      </w:pPr>
      <w:r w:rsidRPr="001F682F">
        <w:rPr>
          <w:rFonts w:ascii="Arial" w:hAnsi="Arial"/>
          <w:b/>
        </w:rPr>
        <w:t>NAMIBIA POST AND TELECO</w:t>
      </w:r>
      <w:r w:rsidR="00C308F6">
        <w:rPr>
          <w:rFonts w:ascii="Arial" w:hAnsi="Arial"/>
          <w:b/>
        </w:rPr>
        <w:t xml:space="preserve">M HOLDINGS LIMITED    </w:t>
      </w:r>
      <w:r w:rsidRPr="001F682F">
        <w:rPr>
          <w:rFonts w:ascii="Arial" w:hAnsi="Arial"/>
          <w:b/>
        </w:rPr>
        <w:t>5</w:t>
      </w:r>
      <w:r w:rsidRPr="001F682F">
        <w:rPr>
          <w:rFonts w:ascii="Arial" w:hAnsi="Arial"/>
          <w:b/>
          <w:vertAlign w:val="superscript"/>
        </w:rPr>
        <w:t>TH</w:t>
      </w:r>
      <w:r w:rsidRPr="001F682F">
        <w:rPr>
          <w:rFonts w:ascii="Arial" w:hAnsi="Arial"/>
          <w:b/>
        </w:rPr>
        <w:t xml:space="preserve"> RESPONDENT</w:t>
      </w:r>
    </w:p>
    <w:p w:rsidR="00066702" w:rsidRPr="001F682F" w:rsidRDefault="00066702" w:rsidP="00066702">
      <w:pPr>
        <w:rPr>
          <w:rFonts w:ascii="Arial" w:hAnsi="Arial"/>
          <w:b/>
        </w:rPr>
      </w:pPr>
    </w:p>
    <w:p w:rsidR="00066702" w:rsidRPr="001F682F" w:rsidRDefault="00066702" w:rsidP="00066702">
      <w:pPr>
        <w:rPr>
          <w:rFonts w:ascii="Arial" w:hAnsi="Arial"/>
          <w:b/>
        </w:rPr>
      </w:pPr>
      <w:r w:rsidRPr="001F682F">
        <w:rPr>
          <w:rFonts w:ascii="Arial" w:hAnsi="Arial"/>
          <w:b/>
        </w:rPr>
        <w:t>FERNANDO SOMAEB                                                        6</w:t>
      </w:r>
      <w:r w:rsidRPr="001F682F">
        <w:rPr>
          <w:rFonts w:ascii="Arial" w:hAnsi="Arial"/>
          <w:b/>
          <w:vertAlign w:val="superscript"/>
        </w:rPr>
        <w:t>TH</w:t>
      </w:r>
      <w:r w:rsidRPr="001F682F">
        <w:rPr>
          <w:rFonts w:ascii="Arial" w:hAnsi="Arial"/>
          <w:b/>
        </w:rPr>
        <w:t xml:space="preserve"> RESPONDENT</w:t>
      </w:r>
    </w:p>
    <w:p w:rsidR="00066702" w:rsidRPr="001F682F" w:rsidRDefault="00066702" w:rsidP="00066702">
      <w:pPr>
        <w:rPr>
          <w:rFonts w:ascii="Arial" w:hAnsi="Arial"/>
          <w:b/>
        </w:rPr>
      </w:pPr>
    </w:p>
    <w:p w:rsidR="005C1CBA" w:rsidRDefault="00066702" w:rsidP="00066702">
      <w:pPr>
        <w:rPr>
          <w:rFonts w:ascii="Arial" w:hAnsi="Arial"/>
          <w:b/>
        </w:rPr>
      </w:pPr>
      <w:r w:rsidRPr="001F682F">
        <w:rPr>
          <w:rFonts w:ascii="Arial" w:hAnsi="Arial"/>
          <w:b/>
        </w:rPr>
        <w:t>WILLEM TITUS                                                                   7</w:t>
      </w:r>
      <w:r w:rsidRPr="001F682F">
        <w:rPr>
          <w:rFonts w:ascii="Arial" w:hAnsi="Arial"/>
          <w:b/>
          <w:vertAlign w:val="superscript"/>
        </w:rPr>
        <w:t>TH</w:t>
      </w:r>
      <w:r w:rsidR="005C1CBA">
        <w:rPr>
          <w:rFonts w:ascii="Arial" w:hAnsi="Arial"/>
          <w:b/>
        </w:rPr>
        <w:t xml:space="preserve"> RESPONDEN</w:t>
      </w:r>
      <w:r w:rsidR="009F29AB">
        <w:rPr>
          <w:rFonts w:ascii="Arial" w:hAnsi="Arial"/>
          <w:b/>
        </w:rPr>
        <w:t>T</w:t>
      </w:r>
    </w:p>
    <w:p w:rsidR="005C1CBA" w:rsidRDefault="005C1CBA" w:rsidP="00066702">
      <w:pPr>
        <w:rPr>
          <w:rFonts w:ascii="Arial" w:hAnsi="Arial"/>
          <w:b/>
        </w:rPr>
      </w:pPr>
    </w:p>
    <w:p w:rsidR="009F29AB" w:rsidRPr="009F29AB" w:rsidRDefault="009F29AB" w:rsidP="00FE4752">
      <w:pPr>
        <w:spacing w:line="360" w:lineRule="auto"/>
        <w:jc w:val="both"/>
        <w:rPr>
          <w:rFonts w:ascii="Arial" w:hAnsi="Arial"/>
        </w:rPr>
      </w:pPr>
      <w:r w:rsidRPr="00FE4752">
        <w:rPr>
          <w:rFonts w:ascii="Arial" w:hAnsi="Arial"/>
          <w:b/>
        </w:rPr>
        <w:t>Neutral Citation</w:t>
      </w:r>
      <w:r>
        <w:rPr>
          <w:rFonts w:ascii="Arial" w:hAnsi="Arial"/>
        </w:rPr>
        <w:t xml:space="preserve">: </w:t>
      </w:r>
      <w:bookmarkStart w:id="0" w:name="_GoBack"/>
      <w:r w:rsidRPr="009F29AB">
        <w:rPr>
          <w:rFonts w:ascii="Arial" w:hAnsi="Arial"/>
          <w:i/>
        </w:rPr>
        <w:t>Telecom Namibia Limited v The Government of the Republic of Namibia</w:t>
      </w:r>
      <w:r>
        <w:rPr>
          <w:rFonts w:ascii="Arial" w:hAnsi="Arial"/>
        </w:rPr>
        <w:t xml:space="preserve"> (HC-MD-CIV-MOT-GEN-2019-</w:t>
      </w:r>
      <w:r w:rsidRPr="009F29AB">
        <w:rPr>
          <w:rFonts w:ascii="Arial" w:hAnsi="Arial"/>
        </w:rPr>
        <w:t>00169</w:t>
      </w:r>
      <w:r>
        <w:rPr>
          <w:rFonts w:ascii="Arial" w:hAnsi="Arial"/>
        </w:rPr>
        <w:t>) [2019] NAHCMD 169 (27 May 2019)</w:t>
      </w:r>
    </w:p>
    <w:bookmarkEnd w:id="0"/>
    <w:p w:rsidR="009F29AB" w:rsidRPr="009F29AB" w:rsidRDefault="009F29AB" w:rsidP="009F29AB">
      <w:pPr>
        <w:spacing w:line="360" w:lineRule="auto"/>
        <w:rPr>
          <w:rFonts w:ascii="Arial" w:hAnsi="Arial"/>
        </w:rPr>
      </w:pPr>
    </w:p>
    <w:p w:rsidR="005C1CBA" w:rsidRDefault="009F29AB" w:rsidP="009F29AB">
      <w:pPr>
        <w:spacing w:line="360" w:lineRule="auto"/>
        <w:rPr>
          <w:rFonts w:ascii="Arial" w:hAnsi="Arial"/>
        </w:rPr>
      </w:pPr>
      <w:r>
        <w:rPr>
          <w:rFonts w:ascii="Arial" w:hAnsi="Arial"/>
        </w:rPr>
        <w:t xml:space="preserve">Coram: </w:t>
      </w:r>
      <w:r w:rsidRPr="009F29AB">
        <w:rPr>
          <w:rFonts w:ascii="Arial" w:hAnsi="Arial"/>
          <w:b/>
        </w:rPr>
        <w:t>Masuku J</w:t>
      </w:r>
    </w:p>
    <w:p w:rsidR="009F29AB" w:rsidRDefault="009F29AB" w:rsidP="009F29AB">
      <w:pPr>
        <w:spacing w:line="360" w:lineRule="auto"/>
        <w:rPr>
          <w:rFonts w:ascii="Arial" w:hAnsi="Arial"/>
        </w:rPr>
      </w:pPr>
      <w:r>
        <w:rPr>
          <w:rFonts w:ascii="Arial" w:hAnsi="Arial"/>
        </w:rPr>
        <w:t>Heard on: 24 May 2019</w:t>
      </w:r>
    </w:p>
    <w:p w:rsidR="009F29AB" w:rsidRPr="009F29AB" w:rsidRDefault="009F29AB" w:rsidP="009F29AB">
      <w:pPr>
        <w:spacing w:line="360" w:lineRule="auto"/>
        <w:rPr>
          <w:rFonts w:ascii="Arial" w:hAnsi="Arial"/>
        </w:rPr>
      </w:pPr>
      <w:r>
        <w:rPr>
          <w:rFonts w:ascii="Arial" w:hAnsi="Arial"/>
        </w:rPr>
        <w:t>Delivered on: 27 May 2019</w:t>
      </w:r>
    </w:p>
    <w:p w:rsidR="005C1CBA" w:rsidRDefault="005C1CBA" w:rsidP="00066702">
      <w:pPr>
        <w:rPr>
          <w:rFonts w:ascii="Arial" w:hAnsi="Arial"/>
          <w:b/>
        </w:rPr>
      </w:pPr>
    </w:p>
    <w:p w:rsidR="009F29AB" w:rsidRDefault="009F29AB" w:rsidP="00066702">
      <w:pPr>
        <w:rPr>
          <w:rFonts w:ascii="Arial" w:hAnsi="Arial"/>
          <w:b/>
        </w:rPr>
      </w:pPr>
    </w:p>
    <w:p w:rsidR="005C1CBA" w:rsidRDefault="005C1CBA" w:rsidP="00066702">
      <w:pPr>
        <w:pBdr>
          <w:bottom w:val="single" w:sz="12" w:space="1" w:color="auto"/>
        </w:pBdr>
        <w:rPr>
          <w:rFonts w:ascii="Arial" w:hAnsi="Arial"/>
          <w:b/>
        </w:rPr>
      </w:pPr>
    </w:p>
    <w:p w:rsidR="009F29AB" w:rsidRDefault="009F29AB" w:rsidP="009F29AB">
      <w:pPr>
        <w:jc w:val="center"/>
        <w:rPr>
          <w:rFonts w:ascii="Arial" w:hAnsi="Arial"/>
          <w:b/>
        </w:rPr>
      </w:pPr>
    </w:p>
    <w:p w:rsidR="009F29AB" w:rsidRDefault="009F29AB" w:rsidP="009F29AB">
      <w:pPr>
        <w:jc w:val="center"/>
        <w:rPr>
          <w:rFonts w:ascii="Arial" w:hAnsi="Arial"/>
          <w:b/>
        </w:rPr>
      </w:pPr>
      <w:r>
        <w:rPr>
          <w:rFonts w:ascii="Arial" w:hAnsi="Arial"/>
          <w:b/>
        </w:rPr>
        <w:t>ORDER</w:t>
      </w:r>
    </w:p>
    <w:p w:rsidR="009F29AB" w:rsidRDefault="009F29AB" w:rsidP="00066702">
      <w:pPr>
        <w:rPr>
          <w:rFonts w:ascii="Arial" w:hAnsi="Arial"/>
          <w:b/>
        </w:rPr>
      </w:pPr>
      <w:r>
        <w:rPr>
          <w:rFonts w:ascii="Arial" w:hAnsi="Arial"/>
          <w:b/>
        </w:rPr>
        <w:t>______________________________________________________________</w:t>
      </w:r>
    </w:p>
    <w:p w:rsidR="009F7F3A" w:rsidRDefault="009F7F3A" w:rsidP="009F7F3A">
      <w:pPr>
        <w:pStyle w:val="ListParagraph"/>
        <w:rPr>
          <w:rFonts w:ascii="Arial" w:hAnsi="Arial"/>
        </w:rPr>
      </w:pPr>
    </w:p>
    <w:p w:rsidR="009F7F3A" w:rsidRDefault="009F7F3A" w:rsidP="009F7F3A">
      <w:pPr>
        <w:pStyle w:val="ListParagraph"/>
        <w:spacing w:line="360" w:lineRule="auto"/>
        <w:jc w:val="both"/>
        <w:rPr>
          <w:rFonts w:ascii="Arial" w:hAnsi="Arial"/>
        </w:rPr>
      </w:pPr>
    </w:p>
    <w:p w:rsidR="009F7F3A" w:rsidRDefault="005C1CBA" w:rsidP="009F7F3A">
      <w:pPr>
        <w:pStyle w:val="ListParagraph"/>
        <w:numPr>
          <w:ilvl w:val="0"/>
          <w:numId w:val="1"/>
        </w:numPr>
        <w:spacing w:line="360" w:lineRule="auto"/>
        <w:jc w:val="both"/>
        <w:rPr>
          <w:rFonts w:ascii="Arial" w:hAnsi="Arial"/>
        </w:rPr>
      </w:pPr>
      <w:r w:rsidRPr="009F7F3A">
        <w:rPr>
          <w:rFonts w:ascii="Arial" w:hAnsi="Arial"/>
        </w:rPr>
        <w:t>The</w:t>
      </w:r>
      <w:r w:rsidR="009F7F3A">
        <w:rPr>
          <w:rFonts w:ascii="Arial" w:hAnsi="Arial"/>
        </w:rPr>
        <w:t xml:space="preserve"> application for enrolment of the matter as one of urgency is refused.</w:t>
      </w:r>
      <w:r w:rsidRPr="009F7F3A">
        <w:rPr>
          <w:rFonts w:ascii="Arial" w:hAnsi="Arial"/>
        </w:rPr>
        <w:t xml:space="preserve"> </w:t>
      </w:r>
    </w:p>
    <w:p w:rsidR="005C1CBA" w:rsidRPr="009F7F3A" w:rsidRDefault="009F7F3A" w:rsidP="009F7F3A">
      <w:pPr>
        <w:pStyle w:val="ListParagraph"/>
        <w:numPr>
          <w:ilvl w:val="0"/>
          <w:numId w:val="1"/>
        </w:numPr>
        <w:spacing w:line="360" w:lineRule="auto"/>
        <w:jc w:val="both"/>
        <w:rPr>
          <w:rFonts w:ascii="Arial" w:hAnsi="Arial"/>
        </w:rPr>
      </w:pPr>
      <w:r>
        <w:rPr>
          <w:rFonts w:ascii="Arial" w:hAnsi="Arial"/>
        </w:rPr>
        <w:t xml:space="preserve">The </w:t>
      </w:r>
      <w:r w:rsidR="007D4A29">
        <w:rPr>
          <w:rFonts w:ascii="Arial" w:hAnsi="Arial"/>
        </w:rPr>
        <w:t>Fifth R</w:t>
      </w:r>
      <w:r w:rsidR="005C1CBA" w:rsidRPr="009F7F3A">
        <w:rPr>
          <w:rFonts w:ascii="Arial" w:hAnsi="Arial"/>
        </w:rPr>
        <w:t xml:space="preserve">espondents’ points of law in </w:t>
      </w:r>
      <w:proofErr w:type="spellStart"/>
      <w:r w:rsidR="005C1CBA" w:rsidRPr="009F7F3A">
        <w:rPr>
          <w:rFonts w:ascii="Arial" w:hAnsi="Arial"/>
        </w:rPr>
        <w:t>limine</w:t>
      </w:r>
      <w:proofErr w:type="spellEnd"/>
      <w:r w:rsidR="005C1CBA" w:rsidRPr="009F7F3A">
        <w:rPr>
          <w:rFonts w:ascii="Arial" w:hAnsi="Arial"/>
        </w:rPr>
        <w:t xml:space="preserve"> are upheld.</w:t>
      </w:r>
    </w:p>
    <w:p w:rsidR="005C1CBA" w:rsidRDefault="007D4A29" w:rsidP="009F7F3A">
      <w:pPr>
        <w:pStyle w:val="ListParagraph"/>
        <w:numPr>
          <w:ilvl w:val="0"/>
          <w:numId w:val="1"/>
        </w:numPr>
        <w:spacing w:line="360" w:lineRule="auto"/>
        <w:jc w:val="both"/>
        <w:rPr>
          <w:rFonts w:ascii="Arial" w:hAnsi="Arial"/>
        </w:rPr>
      </w:pPr>
      <w:r>
        <w:rPr>
          <w:rFonts w:ascii="Arial" w:hAnsi="Arial"/>
        </w:rPr>
        <w:t>The A</w:t>
      </w:r>
      <w:r w:rsidR="005C1CBA">
        <w:rPr>
          <w:rFonts w:ascii="Arial" w:hAnsi="Arial"/>
        </w:rPr>
        <w:t>pplicant is ordered to pay the costs of the application.</w:t>
      </w:r>
    </w:p>
    <w:p w:rsidR="009F7F3A" w:rsidRPr="005C1CBA" w:rsidRDefault="009F7F3A" w:rsidP="009F7F3A">
      <w:pPr>
        <w:pStyle w:val="ListParagraph"/>
        <w:numPr>
          <w:ilvl w:val="0"/>
          <w:numId w:val="1"/>
        </w:numPr>
        <w:spacing w:line="360" w:lineRule="auto"/>
        <w:jc w:val="both"/>
        <w:rPr>
          <w:rFonts w:ascii="Arial" w:hAnsi="Arial"/>
        </w:rPr>
      </w:pPr>
      <w:r>
        <w:rPr>
          <w:rFonts w:ascii="Arial" w:hAnsi="Arial"/>
        </w:rPr>
        <w:t>The matter is removed from the roll and regarded as finalised.</w:t>
      </w:r>
    </w:p>
    <w:p w:rsidR="009F29AB" w:rsidRPr="001F682F" w:rsidRDefault="009F29AB" w:rsidP="00066702">
      <w:pPr>
        <w:pBdr>
          <w:bottom w:val="single" w:sz="6" w:space="1" w:color="auto"/>
        </w:pBdr>
        <w:rPr>
          <w:rFonts w:ascii="Arial" w:hAnsi="Arial"/>
          <w:b/>
        </w:rPr>
      </w:pPr>
    </w:p>
    <w:p w:rsidR="00066702" w:rsidRPr="001F682F" w:rsidRDefault="00066702" w:rsidP="00066702">
      <w:pPr>
        <w:rPr>
          <w:rFonts w:ascii="Arial" w:hAnsi="Arial"/>
          <w:b/>
        </w:rPr>
      </w:pPr>
    </w:p>
    <w:p w:rsidR="00066702" w:rsidRPr="001F682F" w:rsidRDefault="00CD16F0" w:rsidP="00CD16F0">
      <w:pPr>
        <w:jc w:val="center"/>
        <w:rPr>
          <w:rFonts w:ascii="Arial" w:hAnsi="Arial"/>
          <w:b/>
        </w:rPr>
      </w:pPr>
      <w:r w:rsidRPr="001F682F">
        <w:rPr>
          <w:rFonts w:ascii="Arial" w:hAnsi="Arial"/>
          <w:b/>
        </w:rPr>
        <w:t>REASONS FOR THE ORDER</w:t>
      </w:r>
    </w:p>
    <w:p w:rsidR="00CD16F0" w:rsidRPr="001F682F" w:rsidRDefault="00CD16F0" w:rsidP="00CD16F0">
      <w:pPr>
        <w:pBdr>
          <w:bottom w:val="single" w:sz="6" w:space="1" w:color="auto"/>
        </w:pBdr>
        <w:jc w:val="center"/>
        <w:rPr>
          <w:rFonts w:ascii="Arial" w:hAnsi="Arial"/>
          <w:b/>
        </w:rPr>
      </w:pPr>
    </w:p>
    <w:p w:rsidR="00CD16F0" w:rsidRPr="001F682F" w:rsidRDefault="00CD16F0" w:rsidP="00CD16F0">
      <w:pPr>
        <w:rPr>
          <w:rFonts w:ascii="Arial" w:hAnsi="Arial"/>
          <w:b/>
        </w:rPr>
      </w:pPr>
    </w:p>
    <w:p w:rsidR="00CD16F0" w:rsidRPr="00C308F6" w:rsidRDefault="00CD16F0" w:rsidP="00CD16F0">
      <w:pPr>
        <w:rPr>
          <w:rFonts w:ascii="Arial" w:hAnsi="Arial"/>
          <w:b/>
        </w:rPr>
      </w:pPr>
      <w:r w:rsidRPr="00C308F6">
        <w:rPr>
          <w:rFonts w:ascii="Arial" w:hAnsi="Arial"/>
          <w:b/>
        </w:rPr>
        <w:t>MASUKU J:</w:t>
      </w:r>
    </w:p>
    <w:p w:rsidR="00CD16F0" w:rsidRPr="00C308F6" w:rsidRDefault="00CD16F0" w:rsidP="00CD16F0">
      <w:pPr>
        <w:rPr>
          <w:rFonts w:ascii="Arial" w:hAnsi="Arial"/>
          <w:b/>
        </w:rPr>
      </w:pPr>
    </w:p>
    <w:p w:rsidR="00CD16F0" w:rsidRPr="00C308F6" w:rsidRDefault="00CD16F0" w:rsidP="00CD16F0">
      <w:pPr>
        <w:rPr>
          <w:rFonts w:ascii="Arial" w:hAnsi="Arial"/>
          <w:u w:val="single"/>
        </w:rPr>
      </w:pPr>
      <w:r w:rsidRPr="00C308F6">
        <w:rPr>
          <w:rFonts w:ascii="Arial" w:hAnsi="Arial"/>
          <w:u w:val="single"/>
        </w:rPr>
        <w:t>Introduction</w:t>
      </w:r>
    </w:p>
    <w:p w:rsidR="00CD16F0" w:rsidRPr="00C308F6" w:rsidRDefault="00CD16F0" w:rsidP="00CD16F0">
      <w:pPr>
        <w:rPr>
          <w:rFonts w:ascii="Arial" w:hAnsi="Arial"/>
          <w:b/>
        </w:rPr>
      </w:pPr>
    </w:p>
    <w:p w:rsidR="00CD16F0" w:rsidRPr="00C308F6" w:rsidRDefault="003034BE" w:rsidP="00CD16F0">
      <w:pPr>
        <w:spacing w:line="360" w:lineRule="auto"/>
        <w:jc w:val="both"/>
        <w:rPr>
          <w:rFonts w:ascii="Arial" w:hAnsi="Arial"/>
        </w:rPr>
      </w:pPr>
      <w:r>
        <w:rPr>
          <w:rFonts w:ascii="Arial" w:hAnsi="Arial"/>
        </w:rPr>
        <w:t>[1]</w:t>
      </w:r>
      <w:r>
        <w:rPr>
          <w:rFonts w:ascii="Arial" w:hAnsi="Arial"/>
        </w:rPr>
        <w:tab/>
        <w:t>After reading the papers file</w:t>
      </w:r>
      <w:r w:rsidR="00A9773E">
        <w:rPr>
          <w:rFonts w:ascii="Arial" w:hAnsi="Arial"/>
        </w:rPr>
        <w:t>d</w:t>
      </w:r>
      <w:r>
        <w:rPr>
          <w:rFonts w:ascii="Arial" w:hAnsi="Arial"/>
        </w:rPr>
        <w:t xml:space="preserve"> of record</w:t>
      </w:r>
      <w:r w:rsidR="00CD16F0" w:rsidRPr="00C308F6">
        <w:rPr>
          <w:rFonts w:ascii="Arial" w:hAnsi="Arial"/>
        </w:rPr>
        <w:t>, and upon</w:t>
      </w:r>
      <w:r>
        <w:rPr>
          <w:rFonts w:ascii="Arial" w:hAnsi="Arial"/>
        </w:rPr>
        <w:t xml:space="preserve"> consideration of the</w:t>
      </w:r>
      <w:r w:rsidR="00CD16F0" w:rsidRPr="00C308F6">
        <w:rPr>
          <w:rFonts w:ascii="Arial" w:hAnsi="Arial"/>
        </w:rPr>
        <w:t xml:space="preserve"> argument advanced, on behalf of the parties, I refused the application that the matter be heard as one of urgency</w:t>
      </w:r>
      <w:r>
        <w:rPr>
          <w:rFonts w:ascii="Arial" w:hAnsi="Arial"/>
        </w:rPr>
        <w:t>. I accordingly</w:t>
      </w:r>
      <w:r w:rsidR="00CD16F0" w:rsidRPr="00C308F6">
        <w:rPr>
          <w:rFonts w:ascii="Arial" w:hAnsi="Arial"/>
        </w:rPr>
        <w:t xml:space="preserve"> struck the matter from the roll and granted consequential relief. The reasons for the order follow below:</w:t>
      </w:r>
    </w:p>
    <w:p w:rsidR="00CD16F0" w:rsidRPr="00C308F6" w:rsidRDefault="00CD16F0" w:rsidP="00CD16F0">
      <w:pPr>
        <w:spacing w:line="360" w:lineRule="auto"/>
        <w:jc w:val="both"/>
        <w:rPr>
          <w:rFonts w:ascii="Arial" w:hAnsi="Arial"/>
        </w:rPr>
      </w:pPr>
    </w:p>
    <w:p w:rsidR="00CD16F0" w:rsidRDefault="00CD16F0" w:rsidP="00CD16F0">
      <w:pPr>
        <w:spacing w:line="360" w:lineRule="auto"/>
        <w:jc w:val="both"/>
        <w:rPr>
          <w:rFonts w:ascii="Arial" w:hAnsi="Arial"/>
          <w:u w:val="single"/>
        </w:rPr>
      </w:pPr>
      <w:r>
        <w:rPr>
          <w:rFonts w:ascii="Arial" w:hAnsi="Arial"/>
          <w:u w:val="single"/>
        </w:rPr>
        <w:t>Urgency</w:t>
      </w:r>
    </w:p>
    <w:p w:rsidR="00CD16F0" w:rsidRDefault="00CD16F0" w:rsidP="00CD16F0">
      <w:pPr>
        <w:spacing w:line="360" w:lineRule="auto"/>
        <w:jc w:val="both"/>
        <w:rPr>
          <w:rFonts w:ascii="Arial" w:hAnsi="Arial"/>
          <w:u w:val="single"/>
        </w:rPr>
      </w:pPr>
    </w:p>
    <w:p w:rsidR="00CD16F0" w:rsidRDefault="00CD16F0" w:rsidP="00CD16F0">
      <w:pPr>
        <w:spacing w:line="360" w:lineRule="auto"/>
        <w:jc w:val="both"/>
        <w:rPr>
          <w:rFonts w:ascii="Arial" w:hAnsi="Arial"/>
          <w:i/>
        </w:rPr>
      </w:pPr>
      <w:r>
        <w:rPr>
          <w:rFonts w:ascii="Arial" w:hAnsi="Arial"/>
        </w:rPr>
        <w:t xml:space="preserve">[2] </w:t>
      </w:r>
      <w:r>
        <w:rPr>
          <w:rFonts w:ascii="Arial" w:hAnsi="Arial"/>
        </w:rPr>
        <w:tab/>
        <w:t xml:space="preserve">The applicant, </w:t>
      </w:r>
      <w:r w:rsidR="003034BE">
        <w:rPr>
          <w:rFonts w:ascii="Arial" w:hAnsi="Arial"/>
        </w:rPr>
        <w:t xml:space="preserve">as argued by both Ms. </w:t>
      </w:r>
      <w:proofErr w:type="spellStart"/>
      <w:r w:rsidR="003034BE">
        <w:rPr>
          <w:rFonts w:ascii="Arial" w:hAnsi="Arial"/>
        </w:rPr>
        <w:t>Tja</w:t>
      </w:r>
      <w:r w:rsidR="00C308F6">
        <w:rPr>
          <w:rFonts w:ascii="Arial" w:hAnsi="Arial"/>
        </w:rPr>
        <w:t>hikika</w:t>
      </w:r>
      <w:proofErr w:type="spellEnd"/>
      <w:r w:rsidR="00C308F6">
        <w:rPr>
          <w:rFonts w:ascii="Arial" w:hAnsi="Arial"/>
        </w:rPr>
        <w:t xml:space="preserve"> and Mr. </w:t>
      </w:r>
      <w:proofErr w:type="spellStart"/>
      <w:r w:rsidR="00767637">
        <w:rPr>
          <w:rFonts w:ascii="Arial" w:hAnsi="Arial"/>
        </w:rPr>
        <w:t>Namandje</w:t>
      </w:r>
      <w:proofErr w:type="spellEnd"/>
      <w:r w:rsidR="00C308F6">
        <w:rPr>
          <w:rFonts w:ascii="Arial" w:hAnsi="Arial"/>
        </w:rPr>
        <w:t xml:space="preserve">, for the respondents, </w:t>
      </w:r>
      <w:r>
        <w:rPr>
          <w:rFonts w:ascii="Arial" w:hAnsi="Arial"/>
        </w:rPr>
        <w:t>on a proper and close reading of its papers</w:t>
      </w:r>
      <w:r w:rsidR="009F7F3A">
        <w:rPr>
          <w:rFonts w:ascii="Arial" w:hAnsi="Arial"/>
        </w:rPr>
        <w:t>,</w:t>
      </w:r>
      <w:r>
        <w:rPr>
          <w:rFonts w:ascii="Arial" w:hAnsi="Arial"/>
        </w:rPr>
        <w:t xml:space="preserve"> has failed to comply with the mandatory provisions of rule 73(4)(</w:t>
      </w:r>
      <w:r>
        <w:rPr>
          <w:rFonts w:ascii="Arial" w:hAnsi="Arial"/>
          <w:i/>
        </w:rPr>
        <w:t>a</w:t>
      </w:r>
      <w:r>
        <w:rPr>
          <w:rFonts w:ascii="Arial" w:hAnsi="Arial"/>
        </w:rPr>
        <w:t>) and (</w:t>
      </w:r>
      <w:r>
        <w:rPr>
          <w:rFonts w:ascii="Arial" w:hAnsi="Arial"/>
          <w:i/>
        </w:rPr>
        <w:t>b</w:t>
      </w:r>
      <w:r>
        <w:rPr>
          <w:rFonts w:ascii="Arial" w:hAnsi="Arial"/>
        </w:rPr>
        <w:t xml:space="preserve">), namely, it failed to set out explicitly and with fullness, the circumstances which it avers render the matter urgent and why it claims it cannot be afforded substantial relief at a hearing in due course, in line with </w:t>
      </w:r>
      <w:proofErr w:type="spellStart"/>
      <w:r>
        <w:rPr>
          <w:rFonts w:ascii="Arial" w:hAnsi="Arial"/>
          <w:i/>
        </w:rPr>
        <w:t>Nghiimbwasha</w:t>
      </w:r>
      <w:proofErr w:type="spellEnd"/>
      <w:r>
        <w:rPr>
          <w:rFonts w:ascii="Arial" w:hAnsi="Arial"/>
          <w:i/>
        </w:rPr>
        <w:t xml:space="preserve"> v The Minister of Justice.</w:t>
      </w:r>
      <w:r>
        <w:rPr>
          <w:rStyle w:val="FootnoteReference"/>
          <w:rFonts w:ascii="Arial" w:hAnsi="Arial"/>
          <w:i/>
        </w:rPr>
        <w:footnoteReference w:id="1"/>
      </w:r>
    </w:p>
    <w:p w:rsidR="00CD16F0" w:rsidRDefault="00CD16F0" w:rsidP="00CD16F0">
      <w:pPr>
        <w:spacing w:line="360" w:lineRule="auto"/>
        <w:jc w:val="both"/>
        <w:rPr>
          <w:rFonts w:ascii="Arial" w:hAnsi="Arial"/>
          <w:i/>
        </w:rPr>
      </w:pPr>
    </w:p>
    <w:p w:rsidR="00CD16F0" w:rsidRDefault="00CD16F0" w:rsidP="00CD16F0">
      <w:pPr>
        <w:spacing w:line="360" w:lineRule="auto"/>
        <w:jc w:val="both"/>
        <w:rPr>
          <w:rFonts w:ascii="Arial" w:hAnsi="Arial"/>
        </w:rPr>
      </w:pPr>
      <w:r>
        <w:rPr>
          <w:rFonts w:ascii="Arial" w:hAnsi="Arial"/>
        </w:rPr>
        <w:t>[3]</w:t>
      </w:r>
      <w:r>
        <w:rPr>
          <w:rFonts w:ascii="Arial" w:hAnsi="Arial"/>
        </w:rPr>
        <w:tab/>
        <w:t xml:space="preserve">From the applicant’s papers, it is clear that the applicant became aware of the so-called impugned decision </w:t>
      </w:r>
      <w:r w:rsidR="00B4641C">
        <w:rPr>
          <w:rFonts w:ascii="Arial" w:hAnsi="Arial"/>
        </w:rPr>
        <w:t xml:space="preserve">on 11 February 2019 but the applicant did not take steps at the appropriate time to have the said decision set aside but </w:t>
      </w:r>
      <w:r w:rsidR="00B4641C">
        <w:rPr>
          <w:rFonts w:ascii="Arial" w:hAnsi="Arial"/>
        </w:rPr>
        <w:lastRenderedPageBreak/>
        <w:t>waited until it was late, thus serving the respondents with the application on less than 48 hours’ notice. To this extent, the urgency, if any, is of the applicant’s own creation.</w:t>
      </w:r>
    </w:p>
    <w:p w:rsidR="00B4641C" w:rsidRDefault="00B4641C" w:rsidP="00CD16F0">
      <w:pPr>
        <w:spacing w:line="360" w:lineRule="auto"/>
        <w:jc w:val="both"/>
        <w:rPr>
          <w:rFonts w:ascii="Arial" w:hAnsi="Arial"/>
        </w:rPr>
      </w:pPr>
    </w:p>
    <w:p w:rsidR="00B4641C" w:rsidRDefault="00B4641C" w:rsidP="00CD16F0">
      <w:pPr>
        <w:spacing w:line="360" w:lineRule="auto"/>
        <w:jc w:val="both"/>
        <w:rPr>
          <w:rFonts w:ascii="Arial" w:hAnsi="Arial"/>
        </w:rPr>
      </w:pPr>
      <w:r>
        <w:rPr>
          <w:rFonts w:ascii="Arial" w:hAnsi="Arial"/>
        </w:rPr>
        <w:t>[4]</w:t>
      </w:r>
      <w:r>
        <w:rPr>
          <w:rFonts w:ascii="Arial" w:hAnsi="Arial"/>
        </w:rPr>
        <w:tab/>
        <w:t>The applicant’s counsel, in argument, submitted that the reason for the urgency is that there is scheduled a</w:t>
      </w:r>
      <w:r w:rsidR="003034BE">
        <w:rPr>
          <w:rFonts w:ascii="Arial" w:hAnsi="Arial"/>
        </w:rPr>
        <w:t>n annual general meeting of the 5</w:t>
      </w:r>
      <w:r w:rsidR="003034BE" w:rsidRPr="003034BE">
        <w:rPr>
          <w:rFonts w:ascii="Arial" w:hAnsi="Arial"/>
          <w:vertAlign w:val="superscript"/>
        </w:rPr>
        <w:t>th</w:t>
      </w:r>
      <w:r w:rsidR="003034BE">
        <w:rPr>
          <w:rFonts w:ascii="Arial" w:hAnsi="Arial"/>
        </w:rPr>
        <w:t xml:space="preserve"> respondent and the applicant’s Boards </w:t>
      </w:r>
      <w:r>
        <w:rPr>
          <w:rFonts w:ascii="Arial" w:hAnsi="Arial"/>
        </w:rPr>
        <w:t>on 27 May 2019. Curiously, there is no order sought in the notice of motion seeking the interdiction of that meeting. It would, in the circumstances, be improper for the court to resort to its plenary powers under ‘further and/alternative relief” to gr</w:t>
      </w:r>
      <w:r w:rsidR="009F7F3A">
        <w:rPr>
          <w:rFonts w:ascii="Arial" w:hAnsi="Arial"/>
        </w:rPr>
        <w:t>ant the applicant such an order. No basis for urgency in this regard can properly be resorted to.</w:t>
      </w:r>
    </w:p>
    <w:p w:rsidR="001176A0" w:rsidRDefault="001176A0" w:rsidP="00CD16F0">
      <w:pPr>
        <w:spacing w:line="360" w:lineRule="auto"/>
        <w:jc w:val="both"/>
        <w:rPr>
          <w:rFonts w:ascii="Arial" w:hAnsi="Arial"/>
        </w:rPr>
      </w:pPr>
    </w:p>
    <w:p w:rsidR="001176A0" w:rsidRPr="003034BE" w:rsidRDefault="001176A0" w:rsidP="00CD16F0">
      <w:pPr>
        <w:spacing w:line="360" w:lineRule="auto"/>
        <w:jc w:val="both"/>
        <w:rPr>
          <w:rFonts w:ascii="Arial" w:hAnsi="Arial"/>
          <w:u w:val="single"/>
        </w:rPr>
      </w:pPr>
      <w:r w:rsidRPr="003034BE">
        <w:rPr>
          <w:rFonts w:ascii="Arial" w:hAnsi="Arial"/>
          <w:u w:val="single"/>
        </w:rPr>
        <w:t>Appointment allegedly made by the Cabinet of the GRN</w:t>
      </w:r>
    </w:p>
    <w:p w:rsidR="001176A0" w:rsidRDefault="001176A0" w:rsidP="00CD16F0">
      <w:pPr>
        <w:spacing w:line="360" w:lineRule="auto"/>
        <w:jc w:val="both"/>
        <w:rPr>
          <w:rFonts w:ascii="Arial" w:hAnsi="Arial"/>
        </w:rPr>
      </w:pPr>
    </w:p>
    <w:p w:rsidR="001F682F" w:rsidRDefault="001176A0" w:rsidP="00CD16F0">
      <w:pPr>
        <w:spacing w:line="360" w:lineRule="auto"/>
        <w:jc w:val="both"/>
        <w:rPr>
          <w:rFonts w:ascii="Arial" w:hAnsi="Arial"/>
        </w:rPr>
      </w:pPr>
      <w:r>
        <w:rPr>
          <w:rFonts w:ascii="Arial" w:hAnsi="Arial"/>
        </w:rPr>
        <w:t>[5]</w:t>
      </w:r>
      <w:r>
        <w:rPr>
          <w:rFonts w:ascii="Arial" w:hAnsi="Arial"/>
        </w:rPr>
        <w:tab/>
        <w:t>The 5</w:t>
      </w:r>
      <w:r w:rsidRPr="001176A0">
        <w:rPr>
          <w:rFonts w:ascii="Arial" w:hAnsi="Arial"/>
          <w:vertAlign w:val="superscript"/>
        </w:rPr>
        <w:t>th</w:t>
      </w:r>
      <w:r>
        <w:rPr>
          <w:rFonts w:ascii="Arial" w:hAnsi="Arial"/>
        </w:rPr>
        <w:t xml:space="preserve"> respondent, in its answering affidavit, filed under very oppressive and stringent time limits, states that the appointment of the 6</w:t>
      </w:r>
      <w:r w:rsidRPr="001176A0">
        <w:rPr>
          <w:rFonts w:ascii="Arial" w:hAnsi="Arial"/>
          <w:vertAlign w:val="superscript"/>
        </w:rPr>
        <w:t>th</w:t>
      </w:r>
      <w:r>
        <w:rPr>
          <w:rFonts w:ascii="Arial" w:hAnsi="Arial"/>
        </w:rPr>
        <w:t xml:space="preserve"> respondent, was made by the 5</w:t>
      </w:r>
      <w:r w:rsidRPr="001176A0">
        <w:rPr>
          <w:rFonts w:ascii="Arial" w:hAnsi="Arial"/>
          <w:vertAlign w:val="superscript"/>
        </w:rPr>
        <w:t>th</w:t>
      </w:r>
      <w:r>
        <w:rPr>
          <w:rFonts w:ascii="Arial" w:hAnsi="Arial"/>
        </w:rPr>
        <w:t xml:space="preserve"> Respondent’s Board, as per annexure ‘LK2’ of the 5</w:t>
      </w:r>
      <w:r w:rsidRPr="001176A0">
        <w:rPr>
          <w:rFonts w:ascii="Arial" w:hAnsi="Arial"/>
          <w:vertAlign w:val="superscript"/>
        </w:rPr>
        <w:t>th</w:t>
      </w:r>
      <w:r>
        <w:rPr>
          <w:rFonts w:ascii="Arial" w:hAnsi="Arial"/>
        </w:rPr>
        <w:t xml:space="preserve"> respondent’s answering affidavit. This appears to negate the allegation that it was the 2</w:t>
      </w:r>
      <w:r w:rsidRPr="001176A0">
        <w:rPr>
          <w:rFonts w:ascii="Arial" w:hAnsi="Arial"/>
          <w:vertAlign w:val="superscript"/>
        </w:rPr>
        <w:t>nd</w:t>
      </w:r>
      <w:r>
        <w:rPr>
          <w:rFonts w:ascii="Arial" w:hAnsi="Arial"/>
        </w:rPr>
        <w:t xml:space="preserve"> respondent, which appointed the 5</w:t>
      </w:r>
      <w:r w:rsidRPr="001176A0">
        <w:rPr>
          <w:rFonts w:ascii="Arial" w:hAnsi="Arial"/>
          <w:vertAlign w:val="superscript"/>
        </w:rPr>
        <w:t>th</w:t>
      </w:r>
      <w:r>
        <w:rPr>
          <w:rFonts w:ascii="Arial" w:hAnsi="Arial"/>
        </w:rPr>
        <w:t xml:space="preserve"> respondent as the chairperson of the applicant’s board. This position, stated on affidavit deposed to on the 5</w:t>
      </w:r>
      <w:r w:rsidRPr="001176A0">
        <w:rPr>
          <w:rFonts w:ascii="Arial" w:hAnsi="Arial"/>
          <w:vertAlign w:val="superscript"/>
        </w:rPr>
        <w:t>th</w:t>
      </w:r>
      <w:r>
        <w:rPr>
          <w:rFonts w:ascii="Arial" w:hAnsi="Arial"/>
        </w:rPr>
        <w:t xml:space="preserve"> respondent’s behalf, has not been gainsaid by the applicant on affidavit and this fundamentally shakes the very foundations of the applicant’s case.</w:t>
      </w:r>
      <w:r w:rsidR="009F7F3A">
        <w:rPr>
          <w:rFonts w:ascii="Arial" w:hAnsi="Arial"/>
        </w:rPr>
        <w:t xml:space="preserve"> In any event, the </w:t>
      </w:r>
      <w:proofErr w:type="spellStart"/>
      <w:r w:rsidR="009F7F3A">
        <w:rPr>
          <w:rFonts w:ascii="Arial" w:hAnsi="Arial"/>
        </w:rPr>
        <w:t>Plascon</w:t>
      </w:r>
      <w:proofErr w:type="spellEnd"/>
      <w:r w:rsidR="009F7F3A">
        <w:rPr>
          <w:rFonts w:ascii="Arial" w:hAnsi="Arial"/>
        </w:rPr>
        <w:t xml:space="preserve"> Evans rule favours the respondents in this case.</w:t>
      </w:r>
    </w:p>
    <w:p w:rsidR="001F682F" w:rsidRDefault="001F682F" w:rsidP="00CD16F0">
      <w:pPr>
        <w:spacing w:line="360" w:lineRule="auto"/>
        <w:jc w:val="both"/>
        <w:rPr>
          <w:rFonts w:ascii="Arial" w:hAnsi="Arial"/>
        </w:rPr>
      </w:pPr>
    </w:p>
    <w:p w:rsidR="001176A0" w:rsidRDefault="001F682F" w:rsidP="00CD16F0">
      <w:pPr>
        <w:spacing w:line="360" w:lineRule="auto"/>
        <w:jc w:val="both"/>
        <w:rPr>
          <w:rFonts w:ascii="Arial" w:hAnsi="Arial"/>
        </w:rPr>
      </w:pPr>
      <w:r>
        <w:rPr>
          <w:rFonts w:ascii="Arial" w:hAnsi="Arial"/>
        </w:rPr>
        <w:t>[6]</w:t>
      </w:r>
      <w:r>
        <w:rPr>
          <w:rFonts w:ascii="Arial" w:hAnsi="Arial"/>
        </w:rPr>
        <w:tab/>
        <w:t xml:space="preserve">The argument by Mr. </w:t>
      </w:r>
      <w:proofErr w:type="spellStart"/>
      <w:r>
        <w:rPr>
          <w:rFonts w:ascii="Arial" w:hAnsi="Arial"/>
        </w:rPr>
        <w:t>Namandje</w:t>
      </w:r>
      <w:proofErr w:type="spellEnd"/>
      <w:r>
        <w:rPr>
          <w:rFonts w:ascii="Arial" w:hAnsi="Arial"/>
        </w:rPr>
        <w:t>, to the effect that the role of the 2</w:t>
      </w:r>
      <w:r w:rsidRPr="001F682F">
        <w:rPr>
          <w:rFonts w:ascii="Arial" w:hAnsi="Arial"/>
          <w:vertAlign w:val="superscript"/>
        </w:rPr>
        <w:t>nd</w:t>
      </w:r>
      <w:r>
        <w:rPr>
          <w:rFonts w:ascii="Arial" w:hAnsi="Arial"/>
        </w:rPr>
        <w:t xml:space="preserve"> respondent was merely preparatory to the appointment and </w:t>
      </w:r>
      <w:proofErr w:type="spellStart"/>
      <w:r>
        <w:rPr>
          <w:rFonts w:ascii="Arial" w:hAnsi="Arial"/>
        </w:rPr>
        <w:t>therefor</w:t>
      </w:r>
      <w:proofErr w:type="spellEnd"/>
      <w:r>
        <w:rPr>
          <w:rFonts w:ascii="Arial" w:hAnsi="Arial"/>
        </w:rPr>
        <w:t xml:space="preserve"> not amenable to review, appears, </w:t>
      </w:r>
      <w:r>
        <w:rPr>
          <w:rFonts w:ascii="Arial" w:hAnsi="Arial"/>
          <w:i/>
        </w:rPr>
        <w:t>prima facie</w:t>
      </w:r>
      <w:r>
        <w:rPr>
          <w:rFonts w:ascii="Arial" w:hAnsi="Arial"/>
        </w:rPr>
        <w:t xml:space="preserve"> to hold water, in the light of the case of </w:t>
      </w:r>
      <w:r>
        <w:rPr>
          <w:rFonts w:ascii="Arial" w:hAnsi="Arial"/>
          <w:i/>
        </w:rPr>
        <w:t>PG Group (Pty) Ltd and Others v National Energy Regulator of South Africa and Others.</w:t>
      </w:r>
      <w:r>
        <w:rPr>
          <w:rStyle w:val="FootnoteReference"/>
          <w:rFonts w:ascii="Arial" w:hAnsi="Arial"/>
          <w:i/>
        </w:rPr>
        <w:footnoteReference w:id="2"/>
      </w:r>
      <w:r>
        <w:rPr>
          <w:rFonts w:ascii="Arial" w:hAnsi="Arial"/>
          <w:i/>
        </w:rPr>
        <w:t xml:space="preserve"> </w:t>
      </w:r>
      <w:r>
        <w:rPr>
          <w:rFonts w:ascii="Arial" w:hAnsi="Arial"/>
        </w:rPr>
        <w:t>No compelling argument or otherwise, to the contrary, was advanced on behalf of the applicant in this regard.</w:t>
      </w:r>
      <w:r w:rsidR="001176A0">
        <w:rPr>
          <w:rFonts w:ascii="Arial" w:hAnsi="Arial"/>
        </w:rPr>
        <w:t xml:space="preserve"> </w:t>
      </w:r>
    </w:p>
    <w:p w:rsidR="00C308F6" w:rsidRDefault="00C308F6" w:rsidP="00CD16F0">
      <w:pPr>
        <w:spacing w:line="360" w:lineRule="auto"/>
        <w:jc w:val="both"/>
        <w:rPr>
          <w:rFonts w:ascii="Arial" w:hAnsi="Arial"/>
        </w:rPr>
      </w:pPr>
    </w:p>
    <w:p w:rsidR="00C101F7" w:rsidRDefault="00C101F7" w:rsidP="00CD16F0">
      <w:pPr>
        <w:spacing w:line="360" w:lineRule="auto"/>
        <w:jc w:val="both"/>
        <w:rPr>
          <w:rFonts w:ascii="Arial" w:hAnsi="Arial"/>
        </w:rPr>
      </w:pPr>
    </w:p>
    <w:p w:rsidR="00C308F6" w:rsidRDefault="00C308F6" w:rsidP="00CD16F0">
      <w:pPr>
        <w:spacing w:line="360" w:lineRule="auto"/>
        <w:jc w:val="both"/>
        <w:rPr>
          <w:rFonts w:ascii="Arial" w:hAnsi="Arial"/>
          <w:u w:val="single"/>
        </w:rPr>
      </w:pPr>
      <w:r>
        <w:rPr>
          <w:rFonts w:ascii="Arial" w:hAnsi="Arial"/>
          <w:u w:val="single"/>
        </w:rPr>
        <w:lastRenderedPageBreak/>
        <w:t>Withdrawal of the appointment of the 6</w:t>
      </w:r>
      <w:r w:rsidRPr="00C308F6">
        <w:rPr>
          <w:rFonts w:ascii="Arial" w:hAnsi="Arial"/>
          <w:u w:val="single"/>
          <w:vertAlign w:val="superscript"/>
        </w:rPr>
        <w:t>th</w:t>
      </w:r>
      <w:r>
        <w:rPr>
          <w:rFonts w:ascii="Arial" w:hAnsi="Arial"/>
          <w:u w:val="single"/>
        </w:rPr>
        <w:t xml:space="preserve"> Respondent</w:t>
      </w:r>
    </w:p>
    <w:p w:rsidR="00C308F6" w:rsidRDefault="00C308F6" w:rsidP="00CD16F0">
      <w:pPr>
        <w:spacing w:line="360" w:lineRule="auto"/>
        <w:jc w:val="both"/>
        <w:rPr>
          <w:rFonts w:ascii="Arial" w:hAnsi="Arial"/>
          <w:u w:val="single"/>
        </w:rPr>
      </w:pPr>
    </w:p>
    <w:p w:rsidR="00767637" w:rsidRDefault="00C308F6" w:rsidP="00CD16F0">
      <w:pPr>
        <w:spacing w:line="360" w:lineRule="auto"/>
        <w:jc w:val="both"/>
        <w:rPr>
          <w:rFonts w:ascii="Arial" w:hAnsi="Arial"/>
        </w:rPr>
      </w:pPr>
      <w:r>
        <w:rPr>
          <w:rFonts w:ascii="Arial" w:hAnsi="Arial"/>
        </w:rPr>
        <w:t>[7]</w:t>
      </w:r>
      <w:r>
        <w:rPr>
          <w:rFonts w:ascii="Arial" w:hAnsi="Arial"/>
        </w:rPr>
        <w:tab/>
        <w:t>Mr.</w:t>
      </w:r>
      <w:r w:rsidR="003034BE">
        <w:rPr>
          <w:rFonts w:ascii="Arial" w:hAnsi="Arial"/>
        </w:rPr>
        <w:t xml:space="preserve"> </w:t>
      </w:r>
      <w:proofErr w:type="spellStart"/>
      <w:r w:rsidR="003034BE">
        <w:rPr>
          <w:rFonts w:ascii="Arial" w:hAnsi="Arial"/>
        </w:rPr>
        <w:t>Namandje</w:t>
      </w:r>
      <w:proofErr w:type="spellEnd"/>
      <w:r w:rsidR="003034BE">
        <w:rPr>
          <w:rFonts w:ascii="Arial" w:hAnsi="Arial"/>
        </w:rPr>
        <w:t xml:space="preserve"> argued</w:t>
      </w:r>
      <w:r>
        <w:rPr>
          <w:rFonts w:ascii="Arial" w:hAnsi="Arial"/>
        </w:rPr>
        <w:t xml:space="preserve"> that the issue of the appointment of the 6</w:t>
      </w:r>
      <w:r w:rsidRPr="00C308F6">
        <w:rPr>
          <w:rFonts w:ascii="Arial" w:hAnsi="Arial"/>
          <w:vertAlign w:val="superscript"/>
        </w:rPr>
        <w:t>th</w:t>
      </w:r>
      <w:r>
        <w:rPr>
          <w:rFonts w:ascii="Arial" w:hAnsi="Arial"/>
        </w:rPr>
        <w:t xml:space="preserve"> respondent is not a live issue as it was countermanded by the 5</w:t>
      </w:r>
      <w:r w:rsidRPr="00C308F6">
        <w:rPr>
          <w:rFonts w:ascii="Arial" w:hAnsi="Arial"/>
          <w:vertAlign w:val="superscript"/>
        </w:rPr>
        <w:t>th</w:t>
      </w:r>
      <w:r>
        <w:rPr>
          <w:rFonts w:ascii="Arial" w:hAnsi="Arial"/>
        </w:rPr>
        <w:t xml:space="preserve"> respondent’s board of Directors via a letter dated 2</w:t>
      </w:r>
      <w:r>
        <w:rPr>
          <w:rFonts w:ascii="Arial" w:hAnsi="Arial"/>
          <w:vertAlign w:val="superscript"/>
        </w:rPr>
        <w:t xml:space="preserve">nd </w:t>
      </w:r>
      <w:r>
        <w:rPr>
          <w:rFonts w:ascii="Arial" w:hAnsi="Arial"/>
        </w:rPr>
        <w:t>instant, directed to the 5</w:t>
      </w:r>
      <w:r w:rsidRPr="00C308F6">
        <w:rPr>
          <w:rFonts w:ascii="Arial" w:hAnsi="Arial"/>
          <w:vertAlign w:val="superscript"/>
        </w:rPr>
        <w:t>th</w:t>
      </w:r>
      <w:r>
        <w:rPr>
          <w:rFonts w:ascii="Arial" w:hAnsi="Arial"/>
        </w:rPr>
        <w:t xml:space="preserve"> respondent’s Board, marked </w:t>
      </w:r>
      <w:r w:rsidR="00767637">
        <w:rPr>
          <w:rFonts w:ascii="Arial" w:hAnsi="Arial"/>
        </w:rPr>
        <w:t>‘LK4’ to the 5</w:t>
      </w:r>
      <w:r w:rsidR="00767637" w:rsidRPr="00767637">
        <w:rPr>
          <w:rFonts w:ascii="Arial" w:hAnsi="Arial"/>
          <w:vertAlign w:val="superscript"/>
        </w:rPr>
        <w:t>th</w:t>
      </w:r>
      <w:r w:rsidR="00767637">
        <w:rPr>
          <w:rFonts w:ascii="Arial" w:hAnsi="Arial"/>
        </w:rPr>
        <w:t xml:space="preserve"> respondent’s answering affidavit. The said letter reads as follows in part:</w:t>
      </w:r>
    </w:p>
    <w:p w:rsidR="00767637" w:rsidRDefault="00767637" w:rsidP="00CD16F0">
      <w:pPr>
        <w:spacing w:line="360" w:lineRule="auto"/>
        <w:jc w:val="both"/>
        <w:rPr>
          <w:rFonts w:ascii="Arial" w:hAnsi="Arial"/>
        </w:rPr>
      </w:pPr>
    </w:p>
    <w:p w:rsidR="00C308F6" w:rsidRDefault="00767637" w:rsidP="00CD16F0">
      <w:pPr>
        <w:spacing w:line="360" w:lineRule="auto"/>
        <w:jc w:val="both"/>
        <w:rPr>
          <w:rFonts w:ascii="Arial" w:hAnsi="Arial"/>
          <w:sz w:val="22"/>
          <w:szCs w:val="22"/>
        </w:rPr>
      </w:pPr>
      <w:r>
        <w:rPr>
          <w:rFonts w:ascii="Arial" w:hAnsi="Arial"/>
        </w:rPr>
        <w:tab/>
      </w:r>
      <w:r>
        <w:rPr>
          <w:rFonts w:ascii="Arial" w:hAnsi="Arial"/>
          <w:sz w:val="22"/>
          <w:szCs w:val="22"/>
        </w:rPr>
        <w:t>‘</w:t>
      </w:r>
      <w:r>
        <w:rPr>
          <w:rFonts w:ascii="Arial" w:hAnsi="Arial"/>
          <w:b/>
          <w:sz w:val="22"/>
          <w:szCs w:val="22"/>
        </w:rPr>
        <w:t xml:space="preserve">a. Appointment of TN Board Chairperson: </w:t>
      </w:r>
      <w:r>
        <w:rPr>
          <w:rFonts w:ascii="Arial" w:hAnsi="Arial"/>
          <w:sz w:val="22"/>
          <w:szCs w:val="22"/>
        </w:rPr>
        <w:t xml:space="preserve">With reference to our letter dated 12 April 2019, the NPTH Board is hereby directing the TN Board not to execute the instructions contained in </w:t>
      </w:r>
      <w:r w:rsidRPr="00767637">
        <w:rPr>
          <w:rFonts w:ascii="Arial" w:hAnsi="Arial"/>
          <w:b/>
          <w:i/>
          <w:sz w:val="22"/>
          <w:szCs w:val="22"/>
          <w:u w:val="single"/>
        </w:rPr>
        <w:t>paragraph</w:t>
      </w:r>
      <w:r>
        <w:rPr>
          <w:rFonts w:ascii="Arial" w:hAnsi="Arial"/>
          <w:b/>
          <w:sz w:val="22"/>
          <w:szCs w:val="22"/>
          <w:u w:val="single"/>
        </w:rPr>
        <w:t xml:space="preserve"> </w:t>
      </w:r>
      <w:r w:rsidRPr="00767637">
        <w:rPr>
          <w:rFonts w:ascii="Arial" w:hAnsi="Arial"/>
          <w:b/>
          <w:i/>
          <w:sz w:val="22"/>
          <w:szCs w:val="22"/>
          <w:u w:val="single"/>
        </w:rPr>
        <w:t>1</w:t>
      </w:r>
      <w:r w:rsidR="00C308F6" w:rsidRPr="00767637">
        <w:rPr>
          <w:rFonts w:ascii="Arial" w:hAnsi="Arial"/>
          <w:i/>
        </w:rPr>
        <w:t xml:space="preserve"> </w:t>
      </w:r>
      <w:r>
        <w:rPr>
          <w:rFonts w:ascii="Arial" w:hAnsi="Arial"/>
        </w:rPr>
        <w:t xml:space="preserve">therein. </w:t>
      </w:r>
      <w:r w:rsidRPr="00767637">
        <w:rPr>
          <w:rFonts w:ascii="Arial" w:hAnsi="Arial"/>
          <w:sz w:val="22"/>
          <w:szCs w:val="22"/>
        </w:rPr>
        <w:t>Accordingly</w:t>
      </w:r>
      <w:r>
        <w:rPr>
          <w:rFonts w:ascii="Arial" w:hAnsi="Arial"/>
          <w:sz w:val="22"/>
          <w:szCs w:val="22"/>
        </w:rPr>
        <w:t>, the matter should not be discussed at any TN Board meeting as it is envisaged to bring more disunity amongst the TN Board members.</w:t>
      </w:r>
    </w:p>
    <w:p w:rsidR="00767637" w:rsidRDefault="00767637" w:rsidP="00CD16F0">
      <w:pPr>
        <w:spacing w:line="360" w:lineRule="auto"/>
        <w:jc w:val="both"/>
        <w:rPr>
          <w:rFonts w:ascii="Arial" w:hAnsi="Arial"/>
          <w:sz w:val="22"/>
          <w:szCs w:val="22"/>
        </w:rPr>
      </w:pPr>
    </w:p>
    <w:p w:rsidR="00767637" w:rsidRDefault="00767637" w:rsidP="00CD16F0">
      <w:pPr>
        <w:spacing w:line="360" w:lineRule="auto"/>
        <w:jc w:val="both"/>
        <w:rPr>
          <w:rFonts w:ascii="Arial" w:hAnsi="Arial"/>
          <w:sz w:val="22"/>
          <w:szCs w:val="22"/>
        </w:rPr>
      </w:pPr>
      <w:r>
        <w:rPr>
          <w:rFonts w:ascii="Arial" w:hAnsi="Arial"/>
          <w:sz w:val="22"/>
          <w:szCs w:val="22"/>
        </w:rPr>
        <w:t>The NPTH and the TN Boards are expected to resolve this item at the upcoming Annual General Meeting as scheduled for 16 May 2019.’</w:t>
      </w:r>
    </w:p>
    <w:p w:rsidR="00767637" w:rsidRDefault="00767637" w:rsidP="00CD16F0">
      <w:pPr>
        <w:spacing w:line="360" w:lineRule="auto"/>
        <w:jc w:val="both"/>
        <w:rPr>
          <w:rFonts w:ascii="Arial" w:hAnsi="Arial"/>
          <w:sz w:val="22"/>
          <w:szCs w:val="22"/>
        </w:rPr>
      </w:pPr>
    </w:p>
    <w:p w:rsidR="00767637" w:rsidRPr="00767637" w:rsidRDefault="00767637" w:rsidP="00CD16F0">
      <w:pPr>
        <w:spacing w:line="360" w:lineRule="auto"/>
        <w:jc w:val="both"/>
        <w:rPr>
          <w:rFonts w:ascii="Arial" w:hAnsi="Arial"/>
        </w:rPr>
      </w:pPr>
      <w:r>
        <w:rPr>
          <w:rFonts w:ascii="Arial" w:hAnsi="Arial"/>
        </w:rPr>
        <w:t>[8]</w:t>
      </w:r>
      <w:r>
        <w:rPr>
          <w:rFonts w:ascii="Arial" w:hAnsi="Arial"/>
        </w:rPr>
        <w:tab/>
        <w:t xml:space="preserve">Again, the applicant has not dealt with this aspect of the matter, which suggests that the appointment in question is a matter </w:t>
      </w:r>
      <w:r w:rsidR="009F7F3A">
        <w:rPr>
          <w:rFonts w:ascii="Arial" w:hAnsi="Arial"/>
        </w:rPr>
        <w:t xml:space="preserve">yet </w:t>
      </w:r>
      <w:r>
        <w:rPr>
          <w:rFonts w:ascii="Arial" w:hAnsi="Arial"/>
        </w:rPr>
        <w:t>for discussion. The applicant could have applied for time to file an affidavit dealing with these issues but it did not, thus leaving the matters to be dealt with on the responden</w:t>
      </w:r>
      <w:r w:rsidR="003034BE">
        <w:rPr>
          <w:rFonts w:ascii="Arial" w:hAnsi="Arial"/>
        </w:rPr>
        <w:t>ts’ version, uncontested as it</w:t>
      </w:r>
      <w:r>
        <w:rPr>
          <w:rFonts w:ascii="Arial" w:hAnsi="Arial"/>
        </w:rPr>
        <w:t xml:space="preserve"> stand</w:t>
      </w:r>
      <w:r w:rsidR="003034BE">
        <w:rPr>
          <w:rFonts w:ascii="Arial" w:hAnsi="Arial"/>
        </w:rPr>
        <w:t>s</w:t>
      </w:r>
      <w:r>
        <w:rPr>
          <w:rFonts w:ascii="Arial" w:hAnsi="Arial"/>
        </w:rPr>
        <w:t>.</w:t>
      </w:r>
    </w:p>
    <w:p w:rsidR="001F682F" w:rsidRDefault="001F682F" w:rsidP="00CD16F0">
      <w:pPr>
        <w:spacing w:line="360" w:lineRule="auto"/>
        <w:jc w:val="both"/>
        <w:rPr>
          <w:rFonts w:ascii="Arial" w:hAnsi="Arial"/>
        </w:rPr>
      </w:pPr>
    </w:p>
    <w:p w:rsidR="00066702" w:rsidRDefault="00767637" w:rsidP="00875FB7">
      <w:pPr>
        <w:spacing w:line="360" w:lineRule="auto"/>
        <w:jc w:val="both"/>
        <w:rPr>
          <w:rFonts w:ascii="Arial" w:hAnsi="Arial"/>
        </w:rPr>
      </w:pPr>
      <w:r>
        <w:rPr>
          <w:rFonts w:ascii="Arial" w:hAnsi="Arial"/>
        </w:rPr>
        <w:t>[9</w:t>
      </w:r>
      <w:r w:rsidR="001F682F">
        <w:rPr>
          <w:rFonts w:ascii="Arial" w:hAnsi="Arial"/>
        </w:rPr>
        <w:t>]</w:t>
      </w:r>
      <w:r w:rsidR="001F682F">
        <w:rPr>
          <w:rFonts w:ascii="Arial" w:hAnsi="Arial"/>
        </w:rPr>
        <w:tab/>
        <w:t>It was on the basis of the foregoing considerations that the order has been issued.</w:t>
      </w:r>
    </w:p>
    <w:p w:rsidR="00875FB7" w:rsidRDefault="00875FB7" w:rsidP="00875FB7">
      <w:pPr>
        <w:spacing w:line="360" w:lineRule="auto"/>
        <w:jc w:val="both"/>
        <w:rPr>
          <w:rFonts w:ascii="Arial" w:hAnsi="Arial"/>
        </w:rPr>
      </w:pPr>
    </w:p>
    <w:p w:rsidR="00875FB7" w:rsidRDefault="00875FB7" w:rsidP="00875FB7">
      <w:pPr>
        <w:spacing w:line="360" w:lineRule="auto"/>
        <w:jc w:val="right"/>
        <w:rPr>
          <w:rFonts w:ascii="Arial" w:hAnsi="Arial"/>
        </w:rPr>
      </w:pPr>
      <w:r>
        <w:rPr>
          <w:rFonts w:ascii="Arial" w:hAnsi="Arial"/>
        </w:rPr>
        <w:t>________________</w:t>
      </w:r>
    </w:p>
    <w:p w:rsidR="00875FB7" w:rsidRDefault="00875FB7" w:rsidP="00875FB7">
      <w:pPr>
        <w:spacing w:line="360" w:lineRule="auto"/>
        <w:jc w:val="right"/>
        <w:rPr>
          <w:rFonts w:ascii="Arial" w:hAnsi="Arial"/>
        </w:rPr>
      </w:pPr>
      <w:r>
        <w:rPr>
          <w:rFonts w:ascii="Arial" w:hAnsi="Arial"/>
        </w:rPr>
        <w:t>T.S. Masuku</w:t>
      </w:r>
    </w:p>
    <w:p w:rsidR="00875FB7" w:rsidRDefault="00875FB7" w:rsidP="00875FB7">
      <w:pPr>
        <w:spacing w:line="360" w:lineRule="auto"/>
        <w:jc w:val="right"/>
        <w:rPr>
          <w:rFonts w:ascii="Arial" w:hAnsi="Arial"/>
        </w:rPr>
      </w:pPr>
      <w:r>
        <w:rPr>
          <w:rFonts w:ascii="Arial" w:hAnsi="Arial"/>
        </w:rPr>
        <w:t>Judge</w:t>
      </w:r>
    </w:p>
    <w:p w:rsidR="00875FB7" w:rsidRDefault="00875FB7" w:rsidP="00875FB7">
      <w:pPr>
        <w:spacing w:line="360" w:lineRule="auto"/>
        <w:rPr>
          <w:rFonts w:ascii="Arial" w:hAnsi="Arial"/>
        </w:rPr>
      </w:pPr>
    </w:p>
    <w:p w:rsidR="00143D3B" w:rsidRDefault="00143D3B" w:rsidP="00875FB7">
      <w:pPr>
        <w:spacing w:line="360" w:lineRule="auto"/>
        <w:rPr>
          <w:rFonts w:ascii="Arial" w:hAnsi="Arial"/>
        </w:rPr>
      </w:pPr>
    </w:p>
    <w:p w:rsidR="00143D3B" w:rsidRDefault="00143D3B" w:rsidP="00875FB7">
      <w:pPr>
        <w:spacing w:line="360" w:lineRule="auto"/>
        <w:rPr>
          <w:rFonts w:ascii="Arial" w:hAnsi="Arial"/>
        </w:rPr>
      </w:pPr>
    </w:p>
    <w:p w:rsidR="00875FB7" w:rsidRDefault="00875FB7" w:rsidP="00875FB7">
      <w:pPr>
        <w:spacing w:line="360" w:lineRule="auto"/>
        <w:rPr>
          <w:rFonts w:ascii="Arial" w:hAnsi="Arial"/>
        </w:rPr>
      </w:pPr>
    </w:p>
    <w:p w:rsidR="00875FB7" w:rsidRDefault="00875FB7" w:rsidP="00875FB7">
      <w:pPr>
        <w:spacing w:line="360" w:lineRule="auto"/>
        <w:rPr>
          <w:rFonts w:ascii="Arial" w:hAnsi="Arial"/>
        </w:rPr>
      </w:pPr>
    </w:p>
    <w:p w:rsidR="00875FB7" w:rsidRDefault="00875FB7" w:rsidP="00875FB7">
      <w:pPr>
        <w:spacing w:line="360" w:lineRule="auto"/>
        <w:rPr>
          <w:rFonts w:ascii="Arial" w:hAnsi="Arial"/>
        </w:rPr>
      </w:pPr>
    </w:p>
    <w:p w:rsidR="00875FB7" w:rsidRDefault="00875FB7" w:rsidP="00875FB7">
      <w:pPr>
        <w:spacing w:line="360" w:lineRule="auto"/>
        <w:rPr>
          <w:rFonts w:ascii="Arial" w:hAnsi="Arial"/>
        </w:rPr>
      </w:pPr>
    </w:p>
    <w:p w:rsidR="00875FB7" w:rsidRDefault="00875FB7" w:rsidP="00875FB7">
      <w:pPr>
        <w:spacing w:line="360" w:lineRule="auto"/>
        <w:rPr>
          <w:rFonts w:ascii="Arial" w:hAnsi="Arial"/>
        </w:rPr>
      </w:pPr>
      <w:r>
        <w:rPr>
          <w:rFonts w:ascii="Arial" w:hAnsi="Arial"/>
        </w:rPr>
        <w:t>APPEARANCES:</w:t>
      </w:r>
    </w:p>
    <w:p w:rsidR="00875FB7" w:rsidRDefault="00875FB7" w:rsidP="00875FB7">
      <w:pPr>
        <w:spacing w:line="360" w:lineRule="auto"/>
        <w:rPr>
          <w:rFonts w:ascii="Arial" w:hAnsi="Arial"/>
        </w:rPr>
      </w:pPr>
    </w:p>
    <w:p w:rsidR="00875FB7" w:rsidRDefault="00875FB7" w:rsidP="00875FB7">
      <w:pPr>
        <w:spacing w:line="360" w:lineRule="auto"/>
        <w:rPr>
          <w:rFonts w:ascii="Arial" w:hAnsi="Arial"/>
        </w:rPr>
      </w:pPr>
      <w:r>
        <w:rPr>
          <w:rFonts w:ascii="Arial" w:hAnsi="Arial"/>
        </w:rPr>
        <w:t>APPLICANT:</w:t>
      </w:r>
      <w:r>
        <w:rPr>
          <w:rFonts w:ascii="Arial" w:hAnsi="Arial"/>
        </w:rPr>
        <w:tab/>
      </w:r>
      <w:r>
        <w:rPr>
          <w:rFonts w:ascii="Arial" w:hAnsi="Arial"/>
        </w:rPr>
        <w:tab/>
      </w:r>
      <w:r w:rsidR="00BC2443">
        <w:rPr>
          <w:rFonts w:ascii="Arial" w:hAnsi="Arial"/>
        </w:rPr>
        <w:tab/>
      </w:r>
      <w:r w:rsidR="008F1A5B">
        <w:rPr>
          <w:rFonts w:ascii="Arial" w:hAnsi="Arial"/>
        </w:rPr>
        <w:t xml:space="preserve"> </w:t>
      </w:r>
      <w:r w:rsidR="008F1A5B">
        <w:rPr>
          <w:rFonts w:ascii="Arial" w:hAnsi="Arial"/>
        </w:rPr>
        <w:tab/>
      </w:r>
      <w:r>
        <w:rPr>
          <w:rFonts w:ascii="Arial" w:hAnsi="Arial"/>
        </w:rPr>
        <w:t xml:space="preserve">Mr. S. </w:t>
      </w:r>
      <w:proofErr w:type="spellStart"/>
      <w:r>
        <w:rPr>
          <w:rFonts w:ascii="Arial" w:hAnsi="Arial"/>
        </w:rPr>
        <w:t>Makando</w:t>
      </w:r>
      <w:proofErr w:type="spellEnd"/>
    </w:p>
    <w:p w:rsidR="00BC2443" w:rsidRDefault="00BC2443" w:rsidP="00875FB7">
      <w:pPr>
        <w:spacing w:line="360" w:lineRule="auto"/>
        <w:rPr>
          <w:rFonts w:ascii="Arial" w:hAnsi="Arial"/>
        </w:rPr>
      </w:pPr>
      <w:r>
        <w:rPr>
          <w:rFonts w:ascii="Arial" w:hAnsi="Arial"/>
        </w:rPr>
        <w:t xml:space="preserve">                                </w:t>
      </w:r>
      <w:r>
        <w:rPr>
          <w:rFonts w:ascii="Arial" w:hAnsi="Arial"/>
        </w:rPr>
        <w:tab/>
      </w:r>
      <w:r>
        <w:rPr>
          <w:rFonts w:ascii="Arial" w:hAnsi="Arial"/>
        </w:rPr>
        <w:tab/>
        <w:t xml:space="preserve"> </w:t>
      </w:r>
      <w:r w:rsidR="008F1A5B">
        <w:rPr>
          <w:rFonts w:ascii="Arial" w:hAnsi="Arial"/>
        </w:rPr>
        <w:tab/>
        <w:t xml:space="preserve">Instructed by </w:t>
      </w:r>
      <w:proofErr w:type="spellStart"/>
      <w:r w:rsidR="008F1A5B">
        <w:rPr>
          <w:rFonts w:ascii="Arial" w:hAnsi="Arial"/>
        </w:rPr>
        <w:t>Kwala</w:t>
      </w:r>
      <w:proofErr w:type="spellEnd"/>
      <w:r w:rsidR="008F1A5B">
        <w:rPr>
          <w:rFonts w:ascii="Arial" w:hAnsi="Arial"/>
        </w:rPr>
        <w:t xml:space="preserve"> &amp; Co, </w:t>
      </w:r>
      <w:r>
        <w:rPr>
          <w:rFonts w:ascii="Arial" w:hAnsi="Arial"/>
        </w:rPr>
        <w:t>Windhoek</w:t>
      </w:r>
      <w:r w:rsidR="008F1A5B">
        <w:rPr>
          <w:rFonts w:ascii="Arial" w:hAnsi="Arial"/>
        </w:rPr>
        <w:t>.</w:t>
      </w:r>
    </w:p>
    <w:p w:rsidR="00BC2443" w:rsidRDefault="00BC2443" w:rsidP="00875FB7">
      <w:pPr>
        <w:spacing w:line="360" w:lineRule="auto"/>
        <w:rPr>
          <w:rFonts w:ascii="Arial" w:hAnsi="Arial"/>
        </w:rPr>
      </w:pPr>
    </w:p>
    <w:p w:rsidR="00BC2443" w:rsidRDefault="00BC2443" w:rsidP="00875FB7">
      <w:pPr>
        <w:spacing w:line="360" w:lineRule="auto"/>
        <w:rPr>
          <w:rFonts w:ascii="Arial" w:hAnsi="Arial"/>
        </w:rPr>
      </w:pPr>
      <w:r>
        <w:rPr>
          <w:rFonts w:ascii="Arial" w:hAnsi="Arial"/>
        </w:rPr>
        <w:t>1</w:t>
      </w:r>
      <w:r w:rsidRPr="00BC2443">
        <w:rPr>
          <w:rFonts w:ascii="Arial" w:hAnsi="Arial"/>
          <w:vertAlign w:val="superscript"/>
        </w:rPr>
        <w:t>ST</w:t>
      </w:r>
      <w:r>
        <w:rPr>
          <w:rFonts w:ascii="Arial" w:hAnsi="Arial"/>
        </w:rPr>
        <w:t xml:space="preserve"> -4</w:t>
      </w:r>
      <w:r w:rsidRPr="00BC2443">
        <w:rPr>
          <w:rFonts w:ascii="Arial" w:hAnsi="Arial"/>
          <w:vertAlign w:val="superscript"/>
        </w:rPr>
        <w:t>TH</w:t>
      </w:r>
      <w:r>
        <w:rPr>
          <w:rFonts w:ascii="Arial" w:hAnsi="Arial"/>
        </w:rPr>
        <w:t xml:space="preserve"> RESPONDENTS:</w:t>
      </w:r>
      <w:r>
        <w:rPr>
          <w:rFonts w:ascii="Arial" w:hAnsi="Arial"/>
        </w:rPr>
        <w:tab/>
      </w:r>
      <w:r>
        <w:rPr>
          <w:rFonts w:ascii="Arial" w:hAnsi="Arial"/>
        </w:rPr>
        <w:tab/>
      </w:r>
    </w:p>
    <w:p w:rsidR="00BC2443" w:rsidRDefault="00BC2443" w:rsidP="00875FB7">
      <w:pPr>
        <w:spacing w:line="360" w:lineRule="auto"/>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sidR="008F1A5B">
        <w:rPr>
          <w:rFonts w:ascii="Arial" w:hAnsi="Arial"/>
        </w:rPr>
        <w:tab/>
      </w:r>
      <w:r w:rsidR="00FE4752">
        <w:rPr>
          <w:rFonts w:ascii="Arial" w:hAnsi="Arial"/>
        </w:rPr>
        <w:t>Ms</w:t>
      </w:r>
      <w:r>
        <w:rPr>
          <w:rFonts w:ascii="Arial" w:hAnsi="Arial"/>
        </w:rPr>
        <w:t xml:space="preserve">. N. </w:t>
      </w:r>
      <w:proofErr w:type="spellStart"/>
      <w:r>
        <w:rPr>
          <w:rFonts w:ascii="Arial" w:hAnsi="Arial"/>
        </w:rPr>
        <w:t>Tjahiki</w:t>
      </w:r>
      <w:r w:rsidR="008F1A5B">
        <w:rPr>
          <w:rFonts w:ascii="Arial" w:hAnsi="Arial"/>
        </w:rPr>
        <w:t>ka</w:t>
      </w:r>
      <w:proofErr w:type="spellEnd"/>
      <w:r w:rsidR="008F1A5B">
        <w:rPr>
          <w:rFonts w:ascii="Arial" w:hAnsi="Arial"/>
        </w:rPr>
        <w:t xml:space="preserve"> (With her S. </w:t>
      </w:r>
      <w:proofErr w:type="spellStart"/>
      <w:r w:rsidR="008F1A5B">
        <w:rPr>
          <w:rFonts w:ascii="Arial" w:hAnsi="Arial"/>
        </w:rPr>
        <w:t>Kahengombe</w:t>
      </w:r>
      <w:proofErr w:type="spellEnd"/>
      <w:r w:rsidR="008F1A5B">
        <w:rPr>
          <w:rFonts w:ascii="Arial" w:hAnsi="Arial"/>
        </w:rPr>
        <w:t>)</w:t>
      </w:r>
    </w:p>
    <w:p w:rsidR="008F1A5B" w:rsidRDefault="008F1A5B" w:rsidP="00875FB7">
      <w:pPr>
        <w:spacing w:line="360" w:lineRule="auto"/>
        <w:rPr>
          <w:rFonts w:ascii="Arial" w:hAnsi="Arial"/>
        </w:rPr>
      </w:pPr>
      <w:r>
        <w:rPr>
          <w:rFonts w:ascii="Arial" w:hAnsi="Arial"/>
        </w:rPr>
        <w:t xml:space="preserve">                                                      Of the Government Attorney</w:t>
      </w:r>
      <w:r w:rsidR="00FE4752">
        <w:rPr>
          <w:rFonts w:ascii="Arial" w:hAnsi="Arial"/>
        </w:rPr>
        <w:t>, Windhoek</w:t>
      </w:r>
    </w:p>
    <w:p w:rsidR="00FE4752" w:rsidRDefault="00FE4752" w:rsidP="00875FB7">
      <w:pPr>
        <w:spacing w:line="360" w:lineRule="auto"/>
        <w:rPr>
          <w:rFonts w:ascii="Arial" w:hAnsi="Arial"/>
        </w:rPr>
      </w:pPr>
    </w:p>
    <w:p w:rsidR="008F1A5B" w:rsidRDefault="008F1A5B" w:rsidP="00875FB7">
      <w:pPr>
        <w:spacing w:line="360" w:lineRule="auto"/>
        <w:rPr>
          <w:rFonts w:ascii="Arial" w:hAnsi="Arial"/>
        </w:rPr>
      </w:pPr>
      <w:r>
        <w:rPr>
          <w:rFonts w:ascii="Arial" w:hAnsi="Arial"/>
        </w:rPr>
        <w:t>5</w:t>
      </w:r>
      <w:r w:rsidRPr="008F1A5B">
        <w:rPr>
          <w:rFonts w:ascii="Arial" w:hAnsi="Arial"/>
          <w:vertAlign w:val="superscript"/>
        </w:rPr>
        <w:t>th</w:t>
      </w:r>
      <w:r>
        <w:rPr>
          <w:rFonts w:ascii="Arial" w:hAnsi="Arial"/>
        </w:rPr>
        <w:t xml:space="preserve"> RESPONDENT:</w:t>
      </w:r>
      <w:r>
        <w:rPr>
          <w:rFonts w:ascii="Arial" w:hAnsi="Arial"/>
        </w:rPr>
        <w:tab/>
      </w:r>
      <w:r>
        <w:rPr>
          <w:rFonts w:ascii="Arial" w:hAnsi="Arial"/>
        </w:rPr>
        <w:tab/>
      </w:r>
      <w:r>
        <w:rPr>
          <w:rFonts w:ascii="Arial" w:hAnsi="Arial"/>
        </w:rPr>
        <w:tab/>
        <w:t>M</w:t>
      </w:r>
      <w:r w:rsidR="00FE4752">
        <w:rPr>
          <w:rFonts w:ascii="Arial" w:hAnsi="Arial"/>
        </w:rPr>
        <w:t>r</w:t>
      </w:r>
      <w:r>
        <w:rPr>
          <w:rFonts w:ascii="Arial" w:hAnsi="Arial"/>
        </w:rPr>
        <w:t xml:space="preserve">. S. </w:t>
      </w:r>
      <w:proofErr w:type="spellStart"/>
      <w:r>
        <w:rPr>
          <w:rFonts w:ascii="Arial" w:hAnsi="Arial"/>
        </w:rPr>
        <w:t>Namandje</w:t>
      </w:r>
      <w:proofErr w:type="spellEnd"/>
      <w:r>
        <w:rPr>
          <w:rFonts w:ascii="Arial" w:hAnsi="Arial"/>
        </w:rPr>
        <w:t xml:space="preserve"> (with him T. </w:t>
      </w:r>
      <w:proofErr w:type="spellStart"/>
      <w:r>
        <w:rPr>
          <w:rFonts w:ascii="Arial" w:hAnsi="Arial"/>
        </w:rPr>
        <w:t>Ileka</w:t>
      </w:r>
      <w:proofErr w:type="spellEnd"/>
      <w:r>
        <w:rPr>
          <w:rFonts w:ascii="Arial" w:hAnsi="Arial"/>
        </w:rPr>
        <w:t>)</w:t>
      </w:r>
    </w:p>
    <w:p w:rsidR="008F1A5B" w:rsidRPr="00875FB7" w:rsidRDefault="008F1A5B" w:rsidP="00875FB7">
      <w:pPr>
        <w:spacing w:line="360" w:lineRule="auto"/>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Of </w:t>
      </w:r>
      <w:proofErr w:type="spellStart"/>
      <w:r>
        <w:rPr>
          <w:rFonts w:ascii="Arial" w:hAnsi="Arial"/>
        </w:rPr>
        <w:t>Sisa</w:t>
      </w:r>
      <w:proofErr w:type="spellEnd"/>
      <w:r>
        <w:rPr>
          <w:rFonts w:ascii="Arial" w:hAnsi="Arial"/>
        </w:rPr>
        <w:t xml:space="preserve"> </w:t>
      </w:r>
      <w:proofErr w:type="spellStart"/>
      <w:r>
        <w:rPr>
          <w:rFonts w:ascii="Arial" w:hAnsi="Arial"/>
        </w:rPr>
        <w:t>Namandje</w:t>
      </w:r>
      <w:proofErr w:type="spellEnd"/>
      <w:r>
        <w:rPr>
          <w:rFonts w:ascii="Arial" w:hAnsi="Arial"/>
        </w:rPr>
        <w:t xml:space="preserve"> </w:t>
      </w:r>
      <w:proofErr w:type="spellStart"/>
      <w:r>
        <w:rPr>
          <w:rFonts w:ascii="Arial" w:hAnsi="Arial"/>
        </w:rPr>
        <w:t>Inc</w:t>
      </w:r>
      <w:proofErr w:type="spellEnd"/>
      <w:r>
        <w:rPr>
          <w:rFonts w:ascii="Arial" w:hAnsi="Arial"/>
        </w:rPr>
        <w:t>, Windhoek.</w:t>
      </w:r>
    </w:p>
    <w:p w:rsidR="00066702" w:rsidRPr="00066702" w:rsidRDefault="00066702" w:rsidP="00066702"/>
    <w:sectPr w:rsidR="00066702" w:rsidRPr="00066702" w:rsidSect="009F29AB">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A23" w:rsidRDefault="00EB6A23" w:rsidP="00CD16F0">
      <w:r>
        <w:separator/>
      </w:r>
    </w:p>
  </w:endnote>
  <w:endnote w:type="continuationSeparator" w:id="0">
    <w:p w:rsidR="00EB6A23" w:rsidRDefault="00EB6A23" w:rsidP="00CD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A23" w:rsidRDefault="00EB6A23" w:rsidP="00CD16F0">
      <w:r>
        <w:separator/>
      </w:r>
    </w:p>
  </w:footnote>
  <w:footnote w:type="continuationSeparator" w:id="0">
    <w:p w:rsidR="00EB6A23" w:rsidRDefault="00EB6A23" w:rsidP="00CD16F0">
      <w:r>
        <w:continuationSeparator/>
      </w:r>
    </w:p>
  </w:footnote>
  <w:footnote w:id="1">
    <w:p w:rsidR="00C308F6" w:rsidRPr="00CD16F0" w:rsidRDefault="00C308F6">
      <w:pPr>
        <w:pStyle w:val="FootnoteText"/>
        <w:rPr>
          <w:lang w:val="en-US"/>
        </w:rPr>
      </w:pPr>
      <w:r>
        <w:rPr>
          <w:rStyle w:val="FootnoteReference"/>
        </w:rPr>
        <w:footnoteRef/>
      </w:r>
      <w:r>
        <w:t xml:space="preserve"> </w:t>
      </w:r>
      <w:r w:rsidRPr="003034BE">
        <w:rPr>
          <w:rFonts w:ascii="Arial" w:hAnsi="Arial" w:cs="Arial"/>
          <w:sz w:val="20"/>
          <w:szCs w:val="20"/>
          <w:lang w:val="en-US"/>
        </w:rPr>
        <w:t>(A 38/2015) [2015] NAHCMD 67 (20 March 2015).</w:t>
      </w:r>
    </w:p>
  </w:footnote>
  <w:footnote w:id="2">
    <w:p w:rsidR="00C308F6" w:rsidRPr="003034BE" w:rsidRDefault="00C308F6">
      <w:pPr>
        <w:pStyle w:val="FootnoteText"/>
        <w:rPr>
          <w:rFonts w:ascii="Arial" w:hAnsi="Arial" w:cs="Arial"/>
          <w:sz w:val="20"/>
          <w:szCs w:val="20"/>
          <w:lang w:val="en-US"/>
        </w:rPr>
      </w:pPr>
      <w:r w:rsidRPr="003034BE">
        <w:rPr>
          <w:rStyle w:val="FootnoteReference"/>
          <w:rFonts w:ascii="Arial" w:hAnsi="Arial" w:cs="Arial"/>
          <w:sz w:val="20"/>
          <w:szCs w:val="20"/>
        </w:rPr>
        <w:footnoteRef/>
      </w:r>
      <w:r w:rsidRPr="003034BE">
        <w:rPr>
          <w:rFonts w:ascii="Arial" w:hAnsi="Arial" w:cs="Arial"/>
          <w:sz w:val="20"/>
          <w:szCs w:val="20"/>
        </w:rPr>
        <w:t xml:space="preserve"> </w:t>
      </w:r>
      <w:r w:rsidRPr="003034BE">
        <w:rPr>
          <w:rFonts w:ascii="Arial" w:hAnsi="Arial" w:cs="Arial"/>
          <w:sz w:val="20"/>
          <w:szCs w:val="20"/>
          <w:lang w:val="en-US"/>
        </w:rPr>
        <w:t>Case No. 150/2</w:t>
      </w:r>
      <w:r w:rsidR="009F7F3A">
        <w:rPr>
          <w:rFonts w:ascii="Arial" w:hAnsi="Arial" w:cs="Arial"/>
          <w:sz w:val="20"/>
          <w:szCs w:val="20"/>
          <w:lang w:val="en-US"/>
        </w:rPr>
        <w:t>017 delivered on 10 May 2018,</w:t>
      </w:r>
      <w:r w:rsidRPr="003034BE">
        <w:rPr>
          <w:rFonts w:ascii="Arial" w:hAnsi="Arial" w:cs="Arial"/>
          <w:sz w:val="20"/>
          <w:szCs w:val="20"/>
          <w:lang w:val="en-US"/>
        </w:rPr>
        <w:t xml:space="preserve"> para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F6" w:rsidRDefault="00C308F6" w:rsidP="001F68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8F6" w:rsidRDefault="00C308F6" w:rsidP="001F68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947932"/>
      <w:docPartObj>
        <w:docPartGallery w:val="Page Numbers (Top of Page)"/>
        <w:docPartUnique/>
      </w:docPartObj>
    </w:sdtPr>
    <w:sdtEndPr>
      <w:rPr>
        <w:noProof/>
      </w:rPr>
    </w:sdtEndPr>
    <w:sdtContent>
      <w:p w:rsidR="00797C6A" w:rsidRDefault="00797C6A">
        <w:pPr>
          <w:pStyle w:val="Header"/>
          <w:jc w:val="right"/>
        </w:pPr>
        <w:r>
          <w:fldChar w:fldCharType="begin"/>
        </w:r>
        <w:r>
          <w:instrText xml:space="preserve"> PAGE   \* MERGEFORMAT </w:instrText>
        </w:r>
        <w:r>
          <w:fldChar w:fldCharType="separate"/>
        </w:r>
        <w:r w:rsidR="00FE4752">
          <w:rPr>
            <w:noProof/>
          </w:rPr>
          <w:t>2</w:t>
        </w:r>
        <w:r>
          <w:rPr>
            <w:noProof/>
          </w:rPr>
          <w:fldChar w:fldCharType="end"/>
        </w:r>
      </w:p>
    </w:sdtContent>
  </w:sdt>
  <w:p w:rsidR="00C308F6" w:rsidRDefault="00C308F6" w:rsidP="001F682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1BF2"/>
    <w:multiLevelType w:val="hybridMultilevel"/>
    <w:tmpl w:val="FC063EE6"/>
    <w:lvl w:ilvl="0" w:tplc="5F968CAC">
      <w:start w:val="1"/>
      <w:numFmt w:val="decimal"/>
      <w:lvlText w:val="%1."/>
      <w:lvlJc w:val="left"/>
      <w:pPr>
        <w:ind w:left="720" w:hanging="360"/>
      </w:pPr>
      <w:rPr>
        <w:rFonts w:ascii="Arial" w:eastAsiaTheme="minorEastAsia"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02"/>
    <w:rsid w:val="00066702"/>
    <w:rsid w:val="001176A0"/>
    <w:rsid w:val="00143D3B"/>
    <w:rsid w:val="001F682F"/>
    <w:rsid w:val="003034BE"/>
    <w:rsid w:val="005C1CBA"/>
    <w:rsid w:val="005D37BC"/>
    <w:rsid w:val="006E486A"/>
    <w:rsid w:val="00767637"/>
    <w:rsid w:val="00797C6A"/>
    <w:rsid w:val="007D4A29"/>
    <w:rsid w:val="00875FB7"/>
    <w:rsid w:val="008F1A5B"/>
    <w:rsid w:val="009F29AB"/>
    <w:rsid w:val="009F7F3A"/>
    <w:rsid w:val="00A9773E"/>
    <w:rsid w:val="00B4641C"/>
    <w:rsid w:val="00BC2443"/>
    <w:rsid w:val="00C101F7"/>
    <w:rsid w:val="00C308F6"/>
    <w:rsid w:val="00CD16F0"/>
    <w:rsid w:val="00D0663A"/>
    <w:rsid w:val="00DE4014"/>
    <w:rsid w:val="00EB6A23"/>
    <w:rsid w:val="00FE47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9E069E0-610E-4FB1-B471-47EAB7F8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D16F0"/>
  </w:style>
  <w:style w:type="character" w:customStyle="1" w:styleId="FootnoteTextChar">
    <w:name w:val="Footnote Text Char"/>
    <w:basedOn w:val="DefaultParagraphFont"/>
    <w:link w:val="FootnoteText"/>
    <w:uiPriority w:val="99"/>
    <w:rsid w:val="00CD16F0"/>
  </w:style>
  <w:style w:type="character" w:styleId="FootnoteReference">
    <w:name w:val="footnote reference"/>
    <w:basedOn w:val="DefaultParagraphFont"/>
    <w:uiPriority w:val="99"/>
    <w:unhideWhenUsed/>
    <w:rsid w:val="00CD16F0"/>
    <w:rPr>
      <w:vertAlign w:val="superscript"/>
    </w:rPr>
  </w:style>
  <w:style w:type="paragraph" w:styleId="Header">
    <w:name w:val="header"/>
    <w:basedOn w:val="Normal"/>
    <w:link w:val="HeaderChar"/>
    <w:uiPriority w:val="99"/>
    <w:unhideWhenUsed/>
    <w:rsid w:val="001F682F"/>
    <w:pPr>
      <w:tabs>
        <w:tab w:val="center" w:pos="4320"/>
        <w:tab w:val="right" w:pos="8640"/>
      </w:tabs>
    </w:pPr>
  </w:style>
  <w:style w:type="character" w:customStyle="1" w:styleId="HeaderChar">
    <w:name w:val="Header Char"/>
    <w:basedOn w:val="DefaultParagraphFont"/>
    <w:link w:val="Header"/>
    <w:uiPriority w:val="99"/>
    <w:rsid w:val="001F682F"/>
  </w:style>
  <w:style w:type="character" w:styleId="PageNumber">
    <w:name w:val="page number"/>
    <w:basedOn w:val="DefaultParagraphFont"/>
    <w:uiPriority w:val="99"/>
    <w:semiHidden/>
    <w:unhideWhenUsed/>
    <w:rsid w:val="001F682F"/>
  </w:style>
  <w:style w:type="paragraph" w:styleId="ListParagraph">
    <w:name w:val="List Paragraph"/>
    <w:basedOn w:val="Normal"/>
    <w:uiPriority w:val="34"/>
    <w:qFormat/>
    <w:rsid w:val="005C1CBA"/>
    <w:pPr>
      <w:ind w:left="720"/>
      <w:contextualSpacing/>
    </w:pPr>
  </w:style>
  <w:style w:type="paragraph" w:styleId="Footer">
    <w:name w:val="footer"/>
    <w:basedOn w:val="Normal"/>
    <w:link w:val="FooterChar"/>
    <w:uiPriority w:val="99"/>
    <w:unhideWhenUsed/>
    <w:rsid w:val="009F29AB"/>
    <w:pPr>
      <w:tabs>
        <w:tab w:val="center" w:pos="4680"/>
        <w:tab w:val="right" w:pos="9360"/>
      </w:tabs>
    </w:pPr>
  </w:style>
  <w:style w:type="character" w:customStyle="1" w:styleId="FooterChar">
    <w:name w:val="Footer Char"/>
    <w:basedOn w:val="DefaultParagraphFont"/>
    <w:link w:val="Footer"/>
    <w:uiPriority w:val="99"/>
    <w:rsid w:val="009F29AB"/>
  </w:style>
  <w:style w:type="paragraph" w:styleId="BalloonText">
    <w:name w:val="Balloon Text"/>
    <w:basedOn w:val="Normal"/>
    <w:link w:val="BalloonTextChar"/>
    <w:uiPriority w:val="99"/>
    <w:semiHidden/>
    <w:unhideWhenUsed/>
    <w:rsid w:val="009F29AB"/>
    <w:rPr>
      <w:rFonts w:ascii="Tahoma" w:hAnsi="Tahoma" w:cs="Tahoma"/>
      <w:sz w:val="16"/>
      <w:szCs w:val="16"/>
    </w:rPr>
  </w:style>
  <w:style w:type="character" w:customStyle="1" w:styleId="BalloonTextChar">
    <w:name w:val="Balloon Text Char"/>
    <w:basedOn w:val="DefaultParagraphFont"/>
    <w:link w:val="BalloonText"/>
    <w:uiPriority w:val="99"/>
    <w:semiHidden/>
    <w:rsid w:val="009F2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2019-05-26T18:30:00+00:00</Judgment_x0020_Date>
    <Year xmlns="c1afb1bd-f2fb-40fd-9abb-aea55b4d7662">2019</Year>
  </documentManagement>
</p:properties>
</file>

<file path=customXml/itemProps1.xml><?xml version="1.0" encoding="utf-8"?>
<ds:datastoreItem xmlns:ds="http://schemas.openxmlformats.org/officeDocument/2006/customXml" ds:itemID="{28F3E578-6D7F-41B4-95D5-6DC244312B42}"/>
</file>

<file path=customXml/itemProps2.xml><?xml version="1.0" encoding="utf-8"?>
<ds:datastoreItem xmlns:ds="http://schemas.openxmlformats.org/officeDocument/2006/customXml" ds:itemID="{5627BC54-EC2A-4035-A123-F3336A4A4658}"/>
</file>

<file path=customXml/itemProps3.xml><?xml version="1.0" encoding="utf-8"?>
<ds:datastoreItem xmlns:ds="http://schemas.openxmlformats.org/officeDocument/2006/customXml" ds:itemID="{A8056C89-0F49-4D75-9FF7-3F03EE24B79C}"/>
</file>

<file path=docProps/app.xml><?xml version="1.0" encoding="utf-8"?>
<Properties xmlns="http://schemas.openxmlformats.org/officeDocument/2006/extended-properties" xmlns:vt="http://schemas.openxmlformats.org/officeDocument/2006/docPropsVTypes">
  <Template>Normal</Template>
  <TotalTime>5</TotalTime>
  <Pages>5</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Lotta N. Ambunda</cp:lastModifiedBy>
  <cp:revision>3</cp:revision>
  <cp:lastPrinted>2019-05-27T12:53:00Z</cp:lastPrinted>
  <dcterms:created xsi:type="dcterms:W3CDTF">2019-06-03T12:40:00Z</dcterms:created>
  <dcterms:modified xsi:type="dcterms:W3CDTF">2019-06-04T13:25:00Z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