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1664CB" w:rsidRDefault="00C73154" w:rsidP="001664CB">
      <w:pPr>
        <w:spacing w:after="0" w:line="360" w:lineRule="auto"/>
        <w:jc w:val="center"/>
        <w:rPr>
          <w:rFonts w:ascii="Arial" w:hAnsi="Arial" w:cs="Arial"/>
          <w:sz w:val="24"/>
          <w:szCs w:val="24"/>
        </w:rPr>
      </w:pPr>
      <w:bookmarkStart w:id="0" w:name="_GoBack"/>
      <w:bookmarkEnd w:id="0"/>
      <w:r w:rsidRPr="001664CB">
        <w:rPr>
          <w:rFonts w:ascii="Arial" w:hAnsi="Arial" w:cs="Arial"/>
          <w:sz w:val="24"/>
          <w:szCs w:val="24"/>
        </w:rPr>
        <w:t>“ANNEXURE 11”</w:t>
      </w:r>
    </w:p>
    <w:p w:rsidR="009C7093" w:rsidRPr="001664CB" w:rsidRDefault="009C7093" w:rsidP="001664CB">
      <w:pPr>
        <w:spacing w:after="0" w:line="360" w:lineRule="auto"/>
        <w:jc w:val="center"/>
        <w:rPr>
          <w:rFonts w:ascii="Arial" w:hAnsi="Arial" w:cs="Arial"/>
          <w:sz w:val="24"/>
          <w:szCs w:val="24"/>
        </w:rPr>
      </w:pPr>
      <w:r w:rsidRPr="001664CB">
        <w:rPr>
          <w:rFonts w:ascii="Arial" w:hAnsi="Arial" w:cs="Arial"/>
          <w:sz w:val="24"/>
          <w:szCs w:val="24"/>
        </w:rPr>
        <w:t>Practice Directive 61</w:t>
      </w:r>
    </w:p>
    <w:p w:rsidR="00C73154" w:rsidRPr="001664CB" w:rsidRDefault="00C73154" w:rsidP="001664CB">
      <w:pPr>
        <w:spacing w:after="0" w:line="360" w:lineRule="auto"/>
        <w:jc w:val="both"/>
        <w:rPr>
          <w:rFonts w:ascii="Arial" w:hAnsi="Arial" w:cs="Arial"/>
          <w:sz w:val="24"/>
          <w:szCs w:val="24"/>
        </w:rPr>
      </w:pPr>
    </w:p>
    <w:p w:rsidR="00C73154" w:rsidRPr="001664CB" w:rsidRDefault="00C73154" w:rsidP="001664CB">
      <w:pPr>
        <w:spacing w:after="0" w:line="360" w:lineRule="auto"/>
        <w:jc w:val="center"/>
        <w:rPr>
          <w:rFonts w:ascii="Arial" w:hAnsi="Arial" w:cs="Arial"/>
          <w:b/>
          <w:sz w:val="24"/>
          <w:szCs w:val="24"/>
        </w:rPr>
      </w:pPr>
      <w:r w:rsidRPr="001664CB">
        <w:rPr>
          <w:rFonts w:ascii="Arial" w:hAnsi="Arial" w:cs="Arial"/>
          <w:b/>
          <w:sz w:val="24"/>
          <w:szCs w:val="24"/>
        </w:rPr>
        <w:t>IN THE HIGH COURT OF NAMIBIA</w:t>
      </w:r>
    </w:p>
    <w:p w:rsidR="00281FAB" w:rsidRPr="001664CB" w:rsidRDefault="00281FAB" w:rsidP="001664CB">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1664CB" w:rsidTr="005403D8">
        <w:trPr>
          <w:trHeight w:val="744"/>
        </w:trPr>
        <w:tc>
          <w:tcPr>
            <w:tcW w:w="5397" w:type="dxa"/>
            <w:gridSpan w:val="2"/>
            <w:vMerge w:val="restart"/>
          </w:tcPr>
          <w:p w:rsidR="00C73154" w:rsidRPr="001664CB" w:rsidRDefault="00C73154" w:rsidP="001664CB">
            <w:pPr>
              <w:spacing w:line="360" w:lineRule="auto"/>
              <w:jc w:val="both"/>
              <w:rPr>
                <w:rFonts w:ascii="Arial" w:hAnsi="Arial" w:cs="Arial"/>
                <w:sz w:val="24"/>
                <w:szCs w:val="24"/>
              </w:rPr>
            </w:pPr>
            <w:r w:rsidRPr="001664CB">
              <w:rPr>
                <w:rFonts w:ascii="Arial" w:hAnsi="Arial" w:cs="Arial"/>
                <w:b/>
                <w:sz w:val="24"/>
                <w:szCs w:val="24"/>
              </w:rPr>
              <w:t>Case Title:</w:t>
            </w:r>
          </w:p>
          <w:p w:rsidR="00C73154" w:rsidRPr="001664CB" w:rsidRDefault="001664CB" w:rsidP="001664CB">
            <w:pPr>
              <w:spacing w:line="360" w:lineRule="auto"/>
              <w:ind w:left="-18" w:right="519" w:firstLine="18"/>
              <w:jc w:val="both"/>
              <w:rPr>
                <w:rFonts w:ascii="Arial" w:hAnsi="Arial" w:cs="Arial"/>
                <w:sz w:val="24"/>
                <w:szCs w:val="24"/>
              </w:rPr>
            </w:pPr>
            <w:proofErr w:type="spellStart"/>
            <w:r w:rsidRPr="001664CB">
              <w:rPr>
                <w:rFonts w:ascii="Arial" w:eastAsia="Calibri" w:hAnsi="Arial" w:cs="Arial"/>
                <w:i/>
                <w:sz w:val="24"/>
                <w:szCs w:val="24"/>
                <w:lang w:val="en-US"/>
              </w:rPr>
              <w:t>Nghimutina</w:t>
            </w:r>
            <w:proofErr w:type="spellEnd"/>
            <w:r w:rsidRPr="001664CB">
              <w:rPr>
                <w:rFonts w:ascii="Arial" w:eastAsia="Calibri" w:hAnsi="Arial" w:cs="Arial"/>
                <w:i/>
                <w:sz w:val="24"/>
                <w:szCs w:val="24"/>
                <w:lang w:val="en-US"/>
              </w:rPr>
              <w:t xml:space="preserve"> v North-South Links Construction And Another</w:t>
            </w:r>
          </w:p>
        </w:tc>
        <w:tc>
          <w:tcPr>
            <w:tcW w:w="4323" w:type="dxa"/>
          </w:tcPr>
          <w:p w:rsidR="00C73154" w:rsidRPr="001664CB" w:rsidRDefault="00C73154" w:rsidP="001664CB">
            <w:pPr>
              <w:spacing w:line="360" w:lineRule="auto"/>
              <w:jc w:val="both"/>
              <w:rPr>
                <w:rFonts w:ascii="Arial" w:hAnsi="Arial" w:cs="Arial"/>
                <w:b/>
                <w:sz w:val="24"/>
                <w:szCs w:val="24"/>
              </w:rPr>
            </w:pPr>
            <w:r w:rsidRPr="001664CB">
              <w:rPr>
                <w:rFonts w:ascii="Arial" w:hAnsi="Arial" w:cs="Arial"/>
                <w:b/>
                <w:sz w:val="24"/>
                <w:szCs w:val="24"/>
              </w:rPr>
              <w:t>Case No:</w:t>
            </w:r>
          </w:p>
          <w:p w:rsidR="00C73154" w:rsidRPr="001664CB" w:rsidRDefault="001664CB" w:rsidP="001664CB">
            <w:pPr>
              <w:spacing w:line="360" w:lineRule="auto"/>
              <w:jc w:val="both"/>
              <w:rPr>
                <w:rFonts w:ascii="Arial" w:hAnsi="Arial" w:cs="Arial"/>
                <w:sz w:val="24"/>
                <w:szCs w:val="24"/>
              </w:rPr>
            </w:pPr>
            <w:r w:rsidRPr="001664CB">
              <w:rPr>
                <w:rFonts w:ascii="Arial" w:eastAsia="Calibri" w:hAnsi="Arial" w:cs="Arial"/>
                <w:sz w:val="24"/>
                <w:szCs w:val="24"/>
                <w:lang w:val="en-US"/>
              </w:rPr>
              <w:t>HC-MD-CIV-ACT-CON- 2018/00434</w:t>
            </w:r>
          </w:p>
        </w:tc>
      </w:tr>
      <w:tr w:rsidR="00C73154" w:rsidRPr="001664CB" w:rsidTr="005403D8">
        <w:trPr>
          <w:trHeight w:val="844"/>
        </w:trPr>
        <w:tc>
          <w:tcPr>
            <w:tcW w:w="5397" w:type="dxa"/>
            <w:gridSpan w:val="2"/>
            <w:vMerge/>
          </w:tcPr>
          <w:p w:rsidR="00C73154" w:rsidRPr="001664CB" w:rsidRDefault="00C73154" w:rsidP="001664CB">
            <w:pPr>
              <w:spacing w:line="360" w:lineRule="auto"/>
              <w:jc w:val="both"/>
              <w:rPr>
                <w:rFonts w:ascii="Arial" w:hAnsi="Arial" w:cs="Arial"/>
                <w:sz w:val="24"/>
                <w:szCs w:val="24"/>
              </w:rPr>
            </w:pPr>
          </w:p>
        </w:tc>
        <w:tc>
          <w:tcPr>
            <w:tcW w:w="4323" w:type="dxa"/>
          </w:tcPr>
          <w:p w:rsidR="00C73154" w:rsidRPr="001664CB" w:rsidRDefault="00C73154" w:rsidP="001664CB">
            <w:pPr>
              <w:spacing w:line="360" w:lineRule="auto"/>
              <w:jc w:val="both"/>
              <w:rPr>
                <w:rFonts w:ascii="Arial" w:hAnsi="Arial" w:cs="Arial"/>
                <w:sz w:val="24"/>
                <w:szCs w:val="24"/>
              </w:rPr>
            </w:pPr>
            <w:r w:rsidRPr="001664CB">
              <w:rPr>
                <w:rFonts w:ascii="Arial" w:hAnsi="Arial" w:cs="Arial"/>
                <w:b/>
                <w:sz w:val="24"/>
                <w:szCs w:val="24"/>
              </w:rPr>
              <w:t>Division of Court:</w:t>
            </w:r>
          </w:p>
          <w:p w:rsidR="00C73154" w:rsidRPr="001664CB" w:rsidRDefault="00C73154" w:rsidP="001664CB">
            <w:pPr>
              <w:spacing w:line="360" w:lineRule="auto"/>
              <w:jc w:val="both"/>
              <w:rPr>
                <w:rFonts w:ascii="Arial" w:hAnsi="Arial" w:cs="Arial"/>
                <w:sz w:val="24"/>
                <w:szCs w:val="24"/>
              </w:rPr>
            </w:pPr>
            <w:r w:rsidRPr="001664CB">
              <w:rPr>
                <w:rFonts w:ascii="Arial" w:hAnsi="Arial" w:cs="Arial"/>
                <w:sz w:val="24"/>
                <w:szCs w:val="24"/>
              </w:rPr>
              <w:t>H</w:t>
            </w:r>
            <w:r w:rsidR="004338C8" w:rsidRPr="001664CB">
              <w:rPr>
                <w:rFonts w:ascii="Arial" w:hAnsi="Arial" w:cs="Arial"/>
                <w:sz w:val="24"/>
                <w:szCs w:val="24"/>
              </w:rPr>
              <w:t>igh</w:t>
            </w:r>
            <w:r w:rsidR="00092FD2" w:rsidRPr="001664CB">
              <w:rPr>
                <w:rFonts w:ascii="Arial" w:hAnsi="Arial" w:cs="Arial"/>
                <w:sz w:val="24"/>
                <w:szCs w:val="24"/>
              </w:rPr>
              <w:t xml:space="preserve"> C</w:t>
            </w:r>
            <w:r w:rsidR="004338C8" w:rsidRPr="001664CB">
              <w:rPr>
                <w:rFonts w:ascii="Arial" w:hAnsi="Arial" w:cs="Arial"/>
                <w:sz w:val="24"/>
                <w:szCs w:val="24"/>
              </w:rPr>
              <w:t>ourt</w:t>
            </w:r>
            <w:r w:rsidR="00092FD2" w:rsidRPr="001664CB">
              <w:rPr>
                <w:rFonts w:ascii="Arial" w:hAnsi="Arial" w:cs="Arial"/>
                <w:sz w:val="24"/>
                <w:szCs w:val="24"/>
              </w:rPr>
              <w:t xml:space="preserve"> (M</w:t>
            </w:r>
            <w:r w:rsidR="004338C8" w:rsidRPr="001664CB">
              <w:rPr>
                <w:rFonts w:ascii="Arial" w:hAnsi="Arial" w:cs="Arial"/>
                <w:sz w:val="24"/>
                <w:szCs w:val="24"/>
              </w:rPr>
              <w:t>ain</w:t>
            </w:r>
            <w:r w:rsidR="00092FD2" w:rsidRPr="001664CB">
              <w:rPr>
                <w:rFonts w:ascii="Arial" w:hAnsi="Arial" w:cs="Arial"/>
                <w:sz w:val="24"/>
                <w:szCs w:val="24"/>
              </w:rPr>
              <w:t xml:space="preserve"> D</w:t>
            </w:r>
            <w:r w:rsidR="004338C8" w:rsidRPr="001664CB">
              <w:rPr>
                <w:rFonts w:ascii="Arial" w:hAnsi="Arial" w:cs="Arial"/>
                <w:sz w:val="24"/>
                <w:szCs w:val="24"/>
              </w:rPr>
              <w:t>ivision</w:t>
            </w:r>
            <w:r w:rsidR="00890143" w:rsidRPr="001664CB">
              <w:rPr>
                <w:rFonts w:ascii="Arial" w:hAnsi="Arial" w:cs="Arial"/>
                <w:sz w:val="24"/>
                <w:szCs w:val="24"/>
              </w:rPr>
              <w:t>)</w:t>
            </w:r>
          </w:p>
        </w:tc>
      </w:tr>
      <w:tr w:rsidR="005403D8" w:rsidRPr="001664CB" w:rsidTr="005403D8">
        <w:trPr>
          <w:trHeight w:val="645"/>
        </w:trPr>
        <w:tc>
          <w:tcPr>
            <w:tcW w:w="5397" w:type="dxa"/>
            <w:gridSpan w:val="2"/>
            <w:vMerge w:val="restart"/>
          </w:tcPr>
          <w:p w:rsidR="005403D8" w:rsidRPr="001664CB" w:rsidRDefault="005403D8" w:rsidP="001664CB">
            <w:pPr>
              <w:spacing w:line="360" w:lineRule="auto"/>
              <w:jc w:val="both"/>
              <w:rPr>
                <w:rFonts w:ascii="Arial" w:hAnsi="Arial" w:cs="Arial"/>
                <w:b/>
                <w:sz w:val="24"/>
                <w:szCs w:val="24"/>
              </w:rPr>
            </w:pPr>
            <w:r w:rsidRPr="001664CB">
              <w:rPr>
                <w:rFonts w:ascii="Arial" w:hAnsi="Arial" w:cs="Arial"/>
                <w:b/>
                <w:sz w:val="24"/>
                <w:szCs w:val="24"/>
              </w:rPr>
              <w:t>Heard before:</w:t>
            </w:r>
          </w:p>
          <w:p w:rsidR="005403D8" w:rsidRPr="001664CB" w:rsidRDefault="005403D8" w:rsidP="001664CB">
            <w:pPr>
              <w:spacing w:line="360" w:lineRule="auto"/>
              <w:jc w:val="both"/>
              <w:rPr>
                <w:rFonts w:ascii="Arial" w:hAnsi="Arial" w:cs="Arial"/>
                <w:sz w:val="24"/>
                <w:szCs w:val="24"/>
              </w:rPr>
            </w:pPr>
            <w:r w:rsidRPr="001664CB">
              <w:rPr>
                <w:rFonts w:ascii="Arial" w:hAnsi="Arial" w:cs="Arial"/>
                <w:sz w:val="24"/>
                <w:szCs w:val="24"/>
              </w:rPr>
              <w:t>H</w:t>
            </w:r>
            <w:r w:rsidR="004338C8" w:rsidRPr="001664CB">
              <w:rPr>
                <w:rFonts w:ascii="Arial" w:hAnsi="Arial" w:cs="Arial"/>
                <w:sz w:val="24"/>
                <w:szCs w:val="24"/>
              </w:rPr>
              <w:t>onourable Mr</w:t>
            </w:r>
            <w:r w:rsidR="00092FD2" w:rsidRPr="001664CB">
              <w:rPr>
                <w:rFonts w:ascii="Arial" w:hAnsi="Arial" w:cs="Arial"/>
                <w:sz w:val="24"/>
                <w:szCs w:val="24"/>
              </w:rPr>
              <w:t xml:space="preserve"> J</w:t>
            </w:r>
            <w:r w:rsidR="004338C8" w:rsidRPr="001664CB">
              <w:rPr>
                <w:rFonts w:ascii="Arial" w:hAnsi="Arial" w:cs="Arial"/>
                <w:sz w:val="24"/>
                <w:szCs w:val="24"/>
              </w:rPr>
              <w:t>ustice</w:t>
            </w:r>
            <w:r w:rsidR="00092FD2" w:rsidRPr="001664CB">
              <w:rPr>
                <w:rFonts w:ascii="Arial" w:hAnsi="Arial" w:cs="Arial"/>
                <w:sz w:val="24"/>
                <w:szCs w:val="24"/>
              </w:rPr>
              <w:t xml:space="preserve"> </w:t>
            </w:r>
            <w:proofErr w:type="spellStart"/>
            <w:r w:rsidR="001664CB" w:rsidRPr="001664CB">
              <w:rPr>
                <w:rFonts w:ascii="Arial" w:hAnsi="Arial" w:cs="Arial"/>
                <w:sz w:val="24"/>
                <w:szCs w:val="24"/>
              </w:rPr>
              <w:t>Usiku</w:t>
            </w:r>
            <w:proofErr w:type="spellEnd"/>
          </w:p>
        </w:tc>
        <w:tc>
          <w:tcPr>
            <w:tcW w:w="4323" w:type="dxa"/>
          </w:tcPr>
          <w:p w:rsidR="005403D8" w:rsidRPr="001664CB" w:rsidRDefault="005403D8" w:rsidP="001664CB">
            <w:pPr>
              <w:spacing w:line="360" w:lineRule="auto"/>
              <w:jc w:val="both"/>
              <w:rPr>
                <w:rFonts w:ascii="Arial" w:hAnsi="Arial" w:cs="Arial"/>
                <w:b/>
                <w:sz w:val="24"/>
                <w:szCs w:val="24"/>
              </w:rPr>
            </w:pPr>
            <w:r w:rsidRPr="001664CB">
              <w:rPr>
                <w:rFonts w:ascii="Arial" w:hAnsi="Arial" w:cs="Arial"/>
                <w:b/>
                <w:sz w:val="24"/>
                <w:szCs w:val="24"/>
              </w:rPr>
              <w:t>Date of hearing:</w:t>
            </w:r>
          </w:p>
          <w:p w:rsidR="001664CB" w:rsidRPr="001664CB" w:rsidRDefault="001664CB" w:rsidP="001664CB">
            <w:pPr>
              <w:spacing w:line="360" w:lineRule="auto"/>
              <w:jc w:val="both"/>
              <w:rPr>
                <w:rFonts w:ascii="Arial" w:eastAsia="Calibri" w:hAnsi="Arial" w:cs="Arial"/>
                <w:sz w:val="24"/>
                <w:szCs w:val="24"/>
                <w:lang w:val="en-US"/>
              </w:rPr>
            </w:pPr>
            <w:r w:rsidRPr="001664CB">
              <w:rPr>
                <w:rFonts w:ascii="Arial" w:eastAsia="Calibri" w:hAnsi="Arial" w:cs="Arial"/>
                <w:sz w:val="24"/>
                <w:szCs w:val="24"/>
                <w:lang w:val="en-US"/>
              </w:rPr>
              <w:t>21 September 2018 and 01 February 2019</w:t>
            </w:r>
          </w:p>
          <w:p w:rsidR="005403D8" w:rsidRPr="001664CB" w:rsidRDefault="005403D8" w:rsidP="001664CB">
            <w:pPr>
              <w:spacing w:line="360" w:lineRule="auto"/>
              <w:rPr>
                <w:rFonts w:ascii="Arial" w:hAnsi="Arial" w:cs="Arial"/>
                <w:sz w:val="24"/>
                <w:szCs w:val="24"/>
              </w:rPr>
            </w:pPr>
          </w:p>
        </w:tc>
      </w:tr>
      <w:tr w:rsidR="005403D8" w:rsidRPr="001664CB" w:rsidTr="00FD38C2">
        <w:trPr>
          <w:trHeight w:val="588"/>
        </w:trPr>
        <w:tc>
          <w:tcPr>
            <w:tcW w:w="5397" w:type="dxa"/>
            <w:gridSpan w:val="2"/>
            <w:vMerge/>
          </w:tcPr>
          <w:p w:rsidR="005403D8" w:rsidRPr="001664CB" w:rsidRDefault="005403D8" w:rsidP="001664CB">
            <w:pPr>
              <w:spacing w:line="360" w:lineRule="auto"/>
              <w:jc w:val="both"/>
              <w:rPr>
                <w:rFonts w:ascii="Arial" w:hAnsi="Arial" w:cs="Arial"/>
                <w:b/>
                <w:sz w:val="24"/>
                <w:szCs w:val="24"/>
              </w:rPr>
            </w:pPr>
          </w:p>
        </w:tc>
        <w:tc>
          <w:tcPr>
            <w:tcW w:w="4323" w:type="dxa"/>
          </w:tcPr>
          <w:p w:rsidR="005403D8" w:rsidRPr="001664CB" w:rsidRDefault="005403D8" w:rsidP="001664CB">
            <w:pPr>
              <w:spacing w:line="360" w:lineRule="auto"/>
              <w:jc w:val="both"/>
              <w:rPr>
                <w:rFonts w:ascii="Arial" w:hAnsi="Arial" w:cs="Arial"/>
                <w:b/>
                <w:sz w:val="24"/>
                <w:szCs w:val="24"/>
              </w:rPr>
            </w:pPr>
            <w:r w:rsidRPr="001664CB">
              <w:rPr>
                <w:rFonts w:ascii="Arial" w:hAnsi="Arial" w:cs="Arial"/>
                <w:b/>
                <w:sz w:val="24"/>
                <w:szCs w:val="24"/>
              </w:rPr>
              <w:t>Delivered on:</w:t>
            </w:r>
          </w:p>
          <w:p w:rsidR="005403D8" w:rsidRPr="001664CB" w:rsidRDefault="001664CB" w:rsidP="001664CB">
            <w:pPr>
              <w:spacing w:line="360" w:lineRule="auto"/>
              <w:jc w:val="both"/>
              <w:rPr>
                <w:rFonts w:ascii="Arial" w:hAnsi="Arial" w:cs="Arial"/>
                <w:sz w:val="24"/>
                <w:szCs w:val="24"/>
              </w:rPr>
            </w:pPr>
            <w:r w:rsidRPr="001664CB">
              <w:rPr>
                <w:rFonts w:ascii="Arial" w:hAnsi="Arial" w:cs="Arial"/>
                <w:sz w:val="24"/>
                <w:szCs w:val="24"/>
              </w:rPr>
              <w:t>01 February 2019</w:t>
            </w:r>
          </w:p>
          <w:p w:rsidR="001664CB" w:rsidRPr="001664CB" w:rsidRDefault="001664CB" w:rsidP="001664CB">
            <w:pPr>
              <w:spacing w:line="360" w:lineRule="auto"/>
              <w:jc w:val="both"/>
              <w:rPr>
                <w:rFonts w:ascii="Arial" w:hAnsi="Arial" w:cs="Arial"/>
                <w:b/>
                <w:sz w:val="24"/>
                <w:szCs w:val="24"/>
              </w:rPr>
            </w:pPr>
          </w:p>
          <w:p w:rsidR="001664CB" w:rsidRPr="001664CB" w:rsidRDefault="001664CB" w:rsidP="001664CB">
            <w:pPr>
              <w:spacing w:line="360" w:lineRule="auto"/>
              <w:jc w:val="both"/>
              <w:rPr>
                <w:rFonts w:ascii="Arial" w:hAnsi="Arial" w:cs="Arial"/>
                <w:b/>
                <w:sz w:val="24"/>
                <w:szCs w:val="24"/>
              </w:rPr>
            </w:pPr>
            <w:r w:rsidRPr="001664CB">
              <w:rPr>
                <w:rFonts w:ascii="Arial" w:hAnsi="Arial" w:cs="Arial"/>
                <w:b/>
                <w:sz w:val="24"/>
                <w:szCs w:val="24"/>
              </w:rPr>
              <w:t xml:space="preserve">Reasons: </w:t>
            </w:r>
          </w:p>
          <w:p w:rsidR="001664CB" w:rsidRPr="001664CB" w:rsidRDefault="001664CB" w:rsidP="001664CB">
            <w:pPr>
              <w:spacing w:line="360" w:lineRule="auto"/>
              <w:jc w:val="both"/>
              <w:rPr>
                <w:rFonts w:ascii="Arial" w:hAnsi="Arial" w:cs="Arial"/>
                <w:b/>
                <w:sz w:val="24"/>
                <w:szCs w:val="24"/>
              </w:rPr>
            </w:pPr>
            <w:r w:rsidRPr="001664CB">
              <w:rPr>
                <w:rFonts w:ascii="Arial" w:hAnsi="Arial" w:cs="Arial"/>
                <w:sz w:val="24"/>
                <w:szCs w:val="24"/>
              </w:rPr>
              <w:t>07 February 2019</w:t>
            </w:r>
          </w:p>
        </w:tc>
      </w:tr>
      <w:tr w:rsidR="005955B1" w:rsidRPr="001664CB" w:rsidTr="00EB27A0">
        <w:tc>
          <w:tcPr>
            <w:tcW w:w="9720" w:type="dxa"/>
            <w:gridSpan w:val="3"/>
          </w:tcPr>
          <w:p w:rsidR="00F71EB9" w:rsidRPr="001664CB" w:rsidRDefault="005955B1" w:rsidP="001664CB">
            <w:pPr>
              <w:spacing w:line="360" w:lineRule="auto"/>
              <w:jc w:val="both"/>
              <w:rPr>
                <w:rFonts w:ascii="Arial" w:hAnsi="Arial" w:cs="Arial"/>
                <w:sz w:val="24"/>
                <w:szCs w:val="24"/>
              </w:rPr>
            </w:pPr>
            <w:r w:rsidRPr="001664CB">
              <w:rPr>
                <w:rFonts w:ascii="Arial" w:hAnsi="Arial" w:cs="Arial"/>
                <w:b/>
                <w:sz w:val="24"/>
                <w:szCs w:val="24"/>
              </w:rPr>
              <w:t xml:space="preserve">Neutral citation: </w:t>
            </w:r>
            <w:proofErr w:type="spellStart"/>
            <w:r w:rsidR="001664CB" w:rsidRPr="001664CB">
              <w:rPr>
                <w:rFonts w:ascii="Arial" w:eastAsia="Calibri" w:hAnsi="Arial" w:cs="Arial"/>
                <w:i/>
                <w:sz w:val="24"/>
                <w:szCs w:val="24"/>
                <w:lang w:val="en-US"/>
              </w:rPr>
              <w:t>Nghimutina</w:t>
            </w:r>
            <w:proofErr w:type="spellEnd"/>
            <w:r w:rsidR="001664CB" w:rsidRPr="001664CB">
              <w:rPr>
                <w:rFonts w:ascii="Arial" w:eastAsia="Calibri" w:hAnsi="Arial" w:cs="Arial"/>
                <w:i/>
                <w:sz w:val="24"/>
                <w:szCs w:val="24"/>
                <w:lang w:val="en-US"/>
              </w:rPr>
              <w:t xml:space="preserve"> v North-South Links Construction And Another (</w:t>
            </w:r>
            <w:r w:rsidR="001664CB" w:rsidRPr="001664CB">
              <w:rPr>
                <w:rFonts w:ascii="Arial" w:eastAsia="Calibri" w:hAnsi="Arial" w:cs="Arial"/>
                <w:sz w:val="24"/>
                <w:szCs w:val="24"/>
                <w:lang w:val="en-US"/>
              </w:rPr>
              <w:t>HC-MD-CIV-ACT-CON- 2018/00434) [2019] NAHCMD 17 (07 February 2019)</w:t>
            </w:r>
          </w:p>
        </w:tc>
      </w:tr>
      <w:tr w:rsidR="00281FAB" w:rsidRPr="001664CB" w:rsidTr="00EB27A0">
        <w:tc>
          <w:tcPr>
            <w:tcW w:w="9720" w:type="dxa"/>
            <w:gridSpan w:val="3"/>
          </w:tcPr>
          <w:p w:rsidR="00281FAB" w:rsidRPr="001664CB" w:rsidRDefault="00281FAB" w:rsidP="001664CB">
            <w:pPr>
              <w:spacing w:line="360" w:lineRule="auto"/>
              <w:jc w:val="both"/>
              <w:rPr>
                <w:rFonts w:ascii="Arial" w:hAnsi="Arial" w:cs="Arial"/>
                <w:b/>
                <w:sz w:val="24"/>
                <w:szCs w:val="24"/>
              </w:rPr>
            </w:pPr>
            <w:r w:rsidRPr="001664CB">
              <w:rPr>
                <w:rFonts w:ascii="Arial" w:hAnsi="Arial" w:cs="Arial"/>
                <w:b/>
                <w:sz w:val="24"/>
                <w:szCs w:val="24"/>
              </w:rPr>
              <w:t>The order:</w:t>
            </w:r>
          </w:p>
          <w:p w:rsidR="00C73154" w:rsidRPr="001664CB" w:rsidRDefault="00C73154" w:rsidP="001664CB">
            <w:pPr>
              <w:spacing w:line="360" w:lineRule="auto"/>
              <w:jc w:val="both"/>
              <w:rPr>
                <w:rFonts w:ascii="Arial" w:hAnsi="Arial" w:cs="Arial"/>
                <w:sz w:val="24"/>
                <w:szCs w:val="24"/>
              </w:rPr>
            </w:pPr>
          </w:p>
          <w:p w:rsidR="00281FAB" w:rsidRPr="001664CB" w:rsidRDefault="00FD38C2" w:rsidP="001664CB">
            <w:pPr>
              <w:spacing w:line="360" w:lineRule="auto"/>
              <w:jc w:val="both"/>
              <w:rPr>
                <w:rFonts w:ascii="Arial" w:hAnsi="Arial" w:cs="Arial"/>
                <w:sz w:val="24"/>
                <w:szCs w:val="24"/>
              </w:rPr>
            </w:pPr>
            <w:r w:rsidRPr="001664CB">
              <w:rPr>
                <w:rFonts w:ascii="Arial" w:hAnsi="Arial" w:cs="Arial"/>
                <w:sz w:val="24"/>
                <w:szCs w:val="24"/>
              </w:rPr>
              <w:t>Having heard</w:t>
            </w:r>
            <w:r w:rsidR="00C73154" w:rsidRPr="001664CB">
              <w:rPr>
                <w:rFonts w:ascii="Arial" w:hAnsi="Arial" w:cs="Arial"/>
                <w:sz w:val="24"/>
                <w:szCs w:val="24"/>
              </w:rPr>
              <w:t xml:space="preserve"> </w:t>
            </w:r>
            <w:r w:rsidR="00C73154" w:rsidRPr="001664CB">
              <w:rPr>
                <w:rFonts w:ascii="Arial" w:hAnsi="Arial" w:cs="Arial"/>
                <w:b/>
                <w:sz w:val="24"/>
                <w:szCs w:val="24"/>
              </w:rPr>
              <w:t>Mr</w:t>
            </w:r>
            <w:r w:rsidR="001664CB">
              <w:rPr>
                <w:rFonts w:ascii="Arial" w:hAnsi="Arial" w:cs="Arial"/>
                <w:b/>
                <w:sz w:val="24"/>
                <w:szCs w:val="24"/>
              </w:rPr>
              <w:t xml:space="preserve">. </w:t>
            </w:r>
            <w:proofErr w:type="spellStart"/>
            <w:r w:rsidR="001664CB">
              <w:rPr>
                <w:rFonts w:ascii="Arial" w:hAnsi="Arial" w:cs="Arial"/>
                <w:b/>
                <w:sz w:val="24"/>
                <w:szCs w:val="24"/>
              </w:rPr>
              <w:t>Tjituri</w:t>
            </w:r>
            <w:proofErr w:type="spellEnd"/>
            <w:r w:rsidRPr="001664CB">
              <w:rPr>
                <w:rFonts w:ascii="Arial" w:hAnsi="Arial" w:cs="Arial"/>
                <w:sz w:val="24"/>
                <w:szCs w:val="24"/>
              </w:rPr>
              <w:t xml:space="preserve">, </w:t>
            </w:r>
            <w:r w:rsidR="001664CB">
              <w:rPr>
                <w:rFonts w:ascii="Arial" w:hAnsi="Arial" w:cs="Arial"/>
                <w:sz w:val="24"/>
                <w:szCs w:val="24"/>
              </w:rPr>
              <w:t>on behalf of the Plaintiff</w:t>
            </w:r>
            <w:r w:rsidR="00FF561E" w:rsidRPr="001664CB">
              <w:rPr>
                <w:rFonts w:ascii="Arial" w:hAnsi="Arial" w:cs="Arial"/>
                <w:sz w:val="24"/>
                <w:szCs w:val="24"/>
              </w:rPr>
              <w:t xml:space="preserve"> </w:t>
            </w:r>
            <w:r w:rsidRPr="001664CB">
              <w:rPr>
                <w:rFonts w:ascii="Arial" w:hAnsi="Arial" w:cs="Arial"/>
                <w:sz w:val="24"/>
                <w:szCs w:val="24"/>
              </w:rPr>
              <w:t>and having read</w:t>
            </w:r>
            <w:r w:rsidR="006D2D84" w:rsidRPr="001664CB">
              <w:rPr>
                <w:rFonts w:ascii="Arial" w:hAnsi="Arial" w:cs="Arial"/>
                <w:sz w:val="24"/>
                <w:szCs w:val="24"/>
              </w:rPr>
              <w:t xml:space="preserve"> the documents filed of record:</w:t>
            </w:r>
          </w:p>
          <w:p w:rsidR="00EB27A0" w:rsidRPr="001664CB" w:rsidRDefault="00EB27A0" w:rsidP="001664CB">
            <w:pPr>
              <w:spacing w:line="360" w:lineRule="auto"/>
              <w:jc w:val="both"/>
              <w:rPr>
                <w:rFonts w:ascii="Arial" w:hAnsi="Arial" w:cs="Arial"/>
                <w:sz w:val="24"/>
                <w:szCs w:val="24"/>
              </w:rPr>
            </w:pPr>
          </w:p>
          <w:p w:rsidR="00EB27A0" w:rsidRPr="001664CB" w:rsidRDefault="00EB27A0" w:rsidP="001664CB">
            <w:pPr>
              <w:spacing w:line="360" w:lineRule="auto"/>
              <w:jc w:val="both"/>
              <w:rPr>
                <w:rFonts w:ascii="Arial" w:hAnsi="Arial" w:cs="Arial"/>
                <w:b/>
                <w:sz w:val="24"/>
                <w:szCs w:val="24"/>
              </w:rPr>
            </w:pPr>
            <w:r w:rsidRPr="001664CB">
              <w:rPr>
                <w:rFonts w:ascii="Arial" w:hAnsi="Arial" w:cs="Arial"/>
                <w:b/>
                <w:sz w:val="24"/>
                <w:szCs w:val="24"/>
              </w:rPr>
              <w:t>IT IS ORDERED THAT:</w:t>
            </w:r>
          </w:p>
          <w:p w:rsidR="008D65E9" w:rsidRPr="001664CB" w:rsidRDefault="008D65E9" w:rsidP="001664CB">
            <w:pPr>
              <w:spacing w:line="360" w:lineRule="auto"/>
              <w:jc w:val="both"/>
              <w:rPr>
                <w:rFonts w:ascii="Arial" w:hAnsi="Arial" w:cs="Arial"/>
                <w:b/>
                <w:sz w:val="24"/>
                <w:szCs w:val="24"/>
              </w:rPr>
            </w:pPr>
          </w:p>
          <w:p w:rsidR="001664CB" w:rsidRPr="006F4EB1" w:rsidRDefault="001664CB" w:rsidP="001664CB">
            <w:pPr>
              <w:spacing w:line="360" w:lineRule="auto"/>
              <w:jc w:val="both"/>
              <w:rPr>
                <w:rFonts w:ascii="Arial" w:eastAsia="MS Mincho" w:hAnsi="Arial" w:cs="Arial"/>
                <w:b/>
                <w:sz w:val="24"/>
                <w:szCs w:val="24"/>
              </w:rPr>
            </w:pPr>
          </w:p>
          <w:p w:rsidR="001664CB" w:rsidRDefault="001664CB" w:rsidP="001664CB">
            <w:pPr>
              <w:spacing w:line="480" w:lineRule="auto"/>
              <w:ind w:left="576" w:hanging="576"/>
              <w:jc w:val="both"/>
              <w:rPr>
                <w:rFonts w:ascii="Arial" w:eastAsia="Calibri" w:hAnsi="Arial" w:cs="Arial"/>
                <w:sz w:val="24"/>
                <w:szCs w:val="24"/>
                <w:lang w:val="en-US"/>
              </w:rPr>
            </w:pPr>
            <w:r w:rsidRPr="006F4EB1">
              <w:rPr>
                <w:rFonts w:ascii="Arial" w:eastAsia="MS Mincho" w:hAnsi="Arial" w:cs="Arial"/>
                <w:sz w:val="24"/>
                <w:szCs w:val="24"/>
              </w:rPr>
              <w:t>1.</w:t>
            </w:r>
            <w:r>
              <w:rPr>
                <w:rFonts w:ascii="Arial" w:eastAsia="Calibri" w:hAnsi="Arial" w:cs="Arial"/>
                <w:sz w:val="24"/>
                <w:szCs w:val="24"/>
                <w:lang w:val="en-US"/>
              </w:rPr>
              <w:tab/>
              <w:t>The Plaintiff’s claim is dismissed.</w:t>
            </w:r>
          </w:p>
          <w:p w:rsidR="001664CB" w:rsidRDefault="001664CB" w:rsidP="001664CB">
            <w:pPr>
              <w:spacing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I make no order as to costs.</w:t>
            </w:r>
          </w:p>
          <w:p w:rsidR="001664CB" w:rsidRPr="006F4EB1" w:rsidRDefault="001664CB" w:rsidP="001664CB">
            <w:pPr>
              <w:spacing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finalized.</w:t>
            </w:r>
          </w:p>
          <w:p w:rsidR="00686B3F" w:rsidRPr="001664CB" w:rsidRDefault="00686B3F" w:rsidP="001664CB">
            <w:pPr>
              <w:spacing w:line="360" w:lineRule="auto"/>
              <w:jc w:val="both"/>
              <w:rPr>
                <w:rFonts w:ascii="Arial" w:hAnsi="Arial" w:cs="Arial"/>
                <w:sz w:val="24"/>
                <w:szCs w:val="24"/>
              </w:rPr>
            </w:pPr>
          </w:p>
        </w:tc>
      </w:tr>
      <w:tr w:rsidR="00281FAB" w:rsidRPr="001664CB" w:rsidTr="00EB27A0">
        <w:tc>
          <w:tcPr>
            <w:tcW w:w="9720" w:type="dxa"/>
            <w:gridSpan w:val="3"/>
          </w:tcPr>
          <w:p w:rsidR="00281FAB" w:rsidRPr="001664CB" w:rsidRDefault="00EB27A0" w:rsidP="001664CB">
            <w:pPr>
              <w:spacing w:line="360" w:lineRule="auto"/>
              <w:jc w:val="both"/>
              <w:rPr>
                <w:rFonts w:ascii="Arial" w:hAnsi="Arial" w:cs="Arial"/>
                <w:b/>
                <w:sz w:val="24"/>
                <w:szCs w:val="24"/>
              </w:rPr>
            </w:pPr>
            <w:r w:rsidRPr="001664CB">
              <w:rPr>
                <w:rFonts w:ascii="Arial" w:hAnsi="Arial" w:cs="Arial"/>
                <w:b/>
                <w:sz w:val="24"/>
                <w:szCs w:val="24"/>
              </w:rPr>
              <w:t xml:space="preserve">Reasons for </w:t>
            </w:r>
            <w:r w:rsidR="00864008" w:rsidRPr="001664CB">
              <w:rPr>
                <w:rFonts w:ascii="Arial" w:hAnsi="Arial" w:cs="Arial"/>
                <w:b/>
                <w:sz w:val="24"/>
                <w:szCs w:val="24"/>
              </w:rPr>
              <w:t>orders</w:t>
            </w:r>
            <w:r w:rsidR="00A14435" w:rsidRPr="001664CB">
              <w:rPr>
                <w:rFonts w:ascii="Arial" w:hAnsi="Arial" w:cs="Arial"/>
                <w:b/>
                <w:sz w:val="24"/>
                <w:szCs w:val="24"/>
              </w:rPr>
              <w:t>:</w:t>
            </w:r>
          </w:p>
        </w:tc>
      </w:tr>
      <w:tr w:rsidR="00281FAB" w:rsidRPr="001664CB" w:rsidTr="00EB27A0">
        <w:tc>
          <w:tcPr>
            <w:tcW w:w="9720" w:type="dxa"/>
            <w:gridSpan w:val="3"/>
          </w:tcPr>
          <w:p w:rsidR="00A6494E" w:rsidRPr="001664CB" w:rsidRDefault="00A6494E" w:rsidP="001664CB">
            <w:pPr>
              <w:spacing w:line="360" w:lineRule="auto"/>
              <w:jc w:val="both"/>
              <w:rPr>
                <w:rFonts w:ascii="Arial" w:hAnsi="Arial" w:cs="Arial"/>
                <w:sz w:val="24"/>
                <w:szCs w:val="24"/>
              </w:rPr>
            </w:pPr>
          </w:p>
          <w:p w:rsidR="001664CB" w:rsidRDefault="001664CB" w:rsidP="001664CB">
            <w:pPr>
              <w:spacing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1664CB" w:rsidRPr="006F4EB1" w:rsidRDefault="001664CB" w:rsidP="001664CB">
            <w:pPr>
              <w:spacing w:line="360" w:lineRule="auto"/>
              <w:jc w:val="both"/>
              <w:rPr>
                <w:rFonts w:ascii="Arial" w:eastAsia="Calibri" w:hAnsi="Arial" w:cs="Arial"/>
                <w:sz w:val="24"/>
                <w:szCs w:val="24"/>
                <w:u w:val="single"/>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Plaintiff instituted proceedings out of this court against the Defendants on 12 February 2018, in which she claims for the following relief:</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(a) Payment of the amount of N$ 116 465;</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(b) Interest at the rate of 20% per annum from date of judgment until date of final payment;</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(c) Costs of suit;</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(d) Further and/or alternative relief.</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averred that she and the First Defendant have entered into a partly written and partly oral agreement.  In terms of the aforesaid contract the First Defendant agreed to extend and renovate the Plaintiff’s house (namely:  certain erf No. 4023, Katutura, Windhoek).  The contract price was N$ 647 000.40.</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parties later agreed that the construction and renovation works be reduced, to bring the contract price to N$ 456 000.  [The total loan amount approved by the Plaintiff’s bank (“First Capital”) amounted to N$ 456 000].  The said reduction of the works entailed removal of interlock paving and reduction of the boundary-wall, as appeared in a quotation provided by the First Defendant.</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Plaintiff later informed the “Defendants” to proceed to include the interlock paving and boundary wall as per the first quotation.  Thereafter, the Defendants proceeded with the extension and renovation works.</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First Capital paid the Defendants the total amount of N$ 476 520.  The Defendants did not finish the works on account that the funds availed to them were not sufficient to complete the extension and renovations works.</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The Plaintiff obtained a quotation from other contractors indicating that the total amount required to complete the outstanding works amount to N$ 116 465.  Then the Plaintiff demanded payment of N$ 116 465, from the Defendants who declined to make such payment.  The Plaintiff thereafter instituted the present action.</w:t>
            </w:r>
          </w:p>
          <w:p w:rsidR="001664CB" w:rsidRDefault="001664CB" w:rsidP="001664CB">
            <w:pPr>
              <w:spacing w:line="360" w:lineRule="auto"/>
              <w:jc w:val="both"/>
              <w:rPr>
                <w:rFonts w:ascii="Arial" w:eastAsia="Calibri" w:hAnsi="Arial" w:cs="Arial"/>
                <w:sz w:val="24"/>
                <w:szCs w:val="24"/>
                <w:lang w:val="en-US"/>
              </w:rPr>
            </w:pPr>
          </w:p>
          <w:p w:rsidR="001664CB" w:rsidRPr="00C52E9F" w:rsidRDefault="001664CB" w:rsidP="001664CB">
            <w:pPr>
              <w:spacing w:line="360" w:lineRule="auto"/>
              <w:jc w:val="both"/>
              <w:rPr>
                <w:rFonts w:ascii="Arial" w:eastAsia="Calibri" w:hAnsi="Arial" w:cs="Arial"/>
                <w:sz w:val="24"/>
                <w:szCs w:val="24"/>
                <w:u w:val="single"/>
                <w:lang w:val="en-US"/>
              </w:rPr>
            </w:pPr>
            <w:r w:rsidRPr="00C52E9F">
              <w:rPr>
                <w:rFonts w:ascii="Arial" w:eastAsia="Calibri" w:hAnsi="Arial" w:cs="Arial"/>
                <w:sz w:val="24"/>
                <w:szCs w:val="24"/>
                <w:u w:val="single"/>
                <w:lang w:val="en-US"/>
              </w:rPr>
              <w:lastRenderedPageBreak/>
              <w:t>Court proceedings</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The First Defendant did not enter appearance to defend.  The Second Defendant entered appearance to defend.  However, later in the course of case management proceedings, sanctions were imposed on the Second Defendant in terms of which his pleadings were struck out in terms of Rule 53 (2) (b).  Thereafter, the Plaintiff prayed for default judgment.</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The court directed the Plaintiff to file an affidavit, setting out evidence in support of the relief sought:</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(a)  in view of her averments in paragraph 10 of the particulars of claim, that she had instructed the Defendants to proceed in terms of the first quotation of N$ 647 906.40 and in view of paragraph 19 of the particulars of claim, where she averred that First Capital paid the Defendants N$ 499 507.</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 xml:space="preserve">(b)  </w:t>
            </w:r>
            <w:proofErr w:type="gramStart"/>
            <w:r>
              <w:rPr>
                <w:rFonts w:ascii="Arial" w:eastAsia="Calibri" w:hAnsi="Arial" w:cs="Arial"/>
                <w:sz w:val="24"/>
                <w:szCs w:val="24"/>
                <w:lang w:val="en-US"/>
              </w:rPr>
              <w:t>in</w:t>
            </w:r>
            <w:proofErr w:type="gramEnd"/>
            <w:r>
              <w:rPr>
                <w:rFonts w:ascii="Arial" w:eastAsia="Calibri" w:hAnsi="Arial" w:cs="Arial"/>
                <w:sz w:val="24"/>
                <w:szCs w:val="24"/>
                <w:lang w:val="en-US"/>
              </w:rPr>
              <w:t xml:space="preserve"> view of her allegation that First Capital had paid the Defendants an amount of N$ 100 000.00 meant for the extra-work of interlock paving and boundary-wall as per the first quotation, over and above the amount of N$ 456 000 approved by First Capital.</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In her affidavit, the Plaintiff corrected her version, to the effect that the actual amount paid by First Capital to the Defendants was N$ 476 520 (and not N$ 499 507).  Besides that, the evidence in the affidavit is not helpful in clarifying the issues set out by the court above.</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After the hearing of 21 September 2018, the court allowed the Plaintiff further opportunity to address its concerns, in the following terms:</w:t>
            </w:r>
          </w:p>
          <w:p w:rsidR="001664CB" w:rsidRDefault="001664CB" w:rsidP="001664CB">
            <w:pPr>
              <w:spacing w:line="360" w:lineRule="auto"/>
              <w:jc w:val="both"/>
              <w:rPr>
                <w:rFonts w:ascii="Arial" w:eastAsia="Calibri" w:hAnsi="Arial" w:cs="Arial"/>
                <w:sz w:val="24"/>
                <w:szCs w:val="24"/>
                <w:lang w:val="en-US"/>
              </w:rPr>
            </w:pPr>
          </w:p>
          <w:p w:rsidR="001664CB" w:rsidRPr="00141EF3" w:rsidRDefault="001664CB" w:rsidP="001664CB">
            <w:pPr>
              <w:spacing w:line="360" w:lineRule="auto"/>
              <w:jc w:val="both"/>
              <w:rPr>
                <w:rFonts w:ascii="Arial" w:eastAsia="Calibri" w:hAnsi="Arial" w:cs="Arial"/>
                <w:b/>
                <w:lang w:val="en-US"/>
              </w:rPr>
            </w:pPr>
            <w:r w:rsidRPr="006419E0">
              <w:rPr>
                <w:rFonts w:ascii="Arial" w:eastAsia="Calibri" w:hAnsi="Arial" w:cs="Arial"/>
                <w:b/>
                <w:lang w:val="en-US"/>
              </w:rPr>
              <w:t>‘IT IS RECORDED THAT:</w:t>
            </w:r>
          </w:p>
          <w:p w:rsidR="001664CB" w:rsidRPr="00141EF3" w:rsidRDefault="001664CB" w:rsidP="001664CB">
            <w:pPr>
              <w:spacing w:line="360" w:lineRule="auto"/>
              <w:jc w:val="both"/>
              <w:rPr>
                <w:rFonts w:ascii="Arial" w:eastAsia="Calibri" w:hAnsi="Arial" w:cs="Arial"/>
                <w:b/>
                <w:i/>
                <w:sz w:val="24"/>
                <w:szCs w:val="24"/>
                <w:lang w:val="en-US"/>
              </w:rPr>
            </w:pPr>
            <w:r w:rsidRPr="00141EF3">
              <w:rPr>
                <w:rFonts w:ascii="Arial" w:eastAsia="Calibri" w:hAnsi="Arial" w:cs="Arial"/>
                <w:i/>
                <w:sz w:val="24"/>
                <w:szCs w:val="24"/>
                <w:lang w:val="en-US"/>
              </w:rPr>
              <w:t>In terms of paragraph 10 of the particulars of claim, the Plaintiff and the Defendants agreed that the</w:t>
            </w:r>
            <w:r w:rsidRPr="00141EF3">
              <w:rPr>
                <w:rFonts w:ascii="Arial" w:eastAsia="Calibri" w:hAnsi="Arial" w:cs="Arial"/>
                <w:b/>
                <w:i/>
                <w:sz w:val="24"/>
                <w:szCs w:val="24"/>
                <w:lang w:val="en-US"/>
              </w:rPr>
              <w:t xml:space="preserve"> </w:t>
            </w:r>
            <w:r w:rsidRPr="00141EF3">
              <w:rPr>
                <w:rFonts w:ascii="Arial" w:eastAsia="Calibri" w:hAnsi="Arial" w:cs="Arial"/>
                <w:i/>
                <w:sz w:val="24"/>
                <w:szCs w:val="24"/>
                <w:lang w:val="en-US"/>
              </w:rPr>
              <w:t xml:space="preserve">Defendants may proceed in terms of the first quotation.  The first quotation (which is the basis of the contract) provides that the Plaintiff would pay the Defendants N$ 647 906, for the works to be completed.  The Plaintiff, through First Capital, only paid N$ 476 520.  Now the Plaintiff seeks damages in respect of uncompleted works, though the agreed quoted amount of N$ 647,906 was not paid by Plaintiff to Defendant.  The Plaintiff has not </w:t>
            </w:r>
            <w:r w:rsidRPr="00141EF3">
              <w:rPr>
                <w:rFonts w:ascii="Arial" w:eastAsia="Calibri" w:hAnsi="Arial" w:cs="Arial"/>
                <w:i/>
                <w:sz w:val="24"/>
                <w:szCs w:val="24"/>
                <w:lang w:val="en-US"/>
              </w:rPr>
              <w:lastRenderedPageBreak/>
              <w:t>placed on record that the value of service/materials performed/delivered by the Defendants, fell below the value of N$ 476 520, which the Plaintiff paid to the Defendants.</w:t>
            </w:r>
          </w:p>
          <w:p w:rsidR="001664CB" w:rsidRPr="00141EF3" w:rsidRDefault="001664CB" w:rsidP="001664CB">
            <w:pPr>
              <w:spacing w:line="360" w:lineRule="auto"/>
              <w:jc w:val="both"/>
              <w:rPr>
                <w:rFonts w:ascii="Arial" w:eastAsia="Calibri" w:hAnsi="Arial" w:cs="Arial"/>
                <w:i/>
                <w:sz w:val="24"/>
                <w:szCs w:val="24"/>
                <w:lang w:val="en-US"/>
              </w:rPr>
            </w:pPr>
            <w:r w:rsidRPr="00141EF3">
              <w:rPr>
                <w:rFonts w:ascii="Arial" w:eastAsia="Calibri" w:hAnsi="Arial" w:cs="Arial"/>
                <w:b/>
                <w:i/>
                <w:lang w:val="en-US"/>
              </w:rPr>
              <w:t>IT IS HEREBY ORDERED THAT</w:t>
            </w:r>
            <w:r w:rsidRPr="00141EF3">
              <w:rPr>
                <w:rFonts w:ascii="Arial" w:eastAsia="Calibri" w:hAnsi="Arial" w:cs="Arial"/>
                <w:i/>
                <w:sz w:val="24"/>
                <w:szCs w:val="24"/>
                <w:lang w:val="en-US"/>
              </w:rPr>
              <w:t>:</w:t>
            </w:r>
          </w:p>
          <w:p w:rsidR="001664CB" w:rsidRPr="00141EF3" w:rsidRDefault="001664CB" w:rsidP="001664CB">
            <w:pPr>
              <w:spacing w:line="360" w:lineRule="auto"/>
              <w:jc w:val="both"/>
              <w:rPr>
                <w:rFonts w:ascii="Arial" w:eastAsia="Calibri" w:hAnsi="Arial" w:cs="Arial"/>
                <w:i/>
                <w:sz w:val="24"/>
                <w:szCs w:val="24"/>
                <w:lang w:val="en-US"/>
              </w:rPr>
            </w:pPr>
            <w:r w:rsidRPr="00141EF3">
              <w:rPr>
                <w:rFonts w:ascii="Arial" w:eastAsia="Calibri" w:hAnsi="Arial" w:cs="Arial"/>
                <w:i/>
                <w:sz w:val="24"/>
                <w:szCs w:val="24"/>
                <w:lang w:val="en-US"/>
              </w:rPr>
              <w:t>1 The Plaintiff may, by affidavit, place before court the missing evidence as set out above, on or before 28/01/2019;</w:t>
            </w:r>
          </w:p>
          <w:p w:rsidR="001664CB" w:rsidRPr="00141EF3" w:rsidRDefault="001664CB" w:rsidP="001664CB">
            <w:pPr>
              <w:spacing w:line="360" w:lineRule="auto"/>
              <w:jc w:val="both"/>
              <w:rPr>
                <w:rFonts w:ascii="Arial" w:eastAsia="Calibri" w:hAnsi="Arial" w:cs="Arial"/>
                <w:i/>
                <w:sz w:val="24"/>
                <w:szCs w:val="24"/>
                <w:lang w:val="en-US"/>
              </w:rPr>
            </w:pPr>
            <w:r w:rsidRPr="00141EF3">
              <w:rPr>
                <w:rFonts w:ascii="Arial" w:eastAsia="Calibri" w:hAnsi="Arial" w:cs="Arial"/>
                <w:i/>
                <w:sz w:val="24"/>
                <w:szCs w:val="24"/>
                <w:lang w:val="en-US"/>
              </w:rPr>
              <w:t>2. The case is postponed to 01/02/2019 at 09:00 for the hearing of the application in terms of which the Plaintiff seeks judgment in her favour.’</w:t>
            </w:r>
          </w:p>
          <w:p w:rsidR="001664CB" w:rsidRDefault="001664CB" w:rsidP="001664CB">
            <w:pPr>
              <w:spacing w:line="360" w:lineRule="auto"/>
              <w:jc w:val="both"/>
              <w:rPr>
                <w:rFonts w:ascii="Arial" w:eastAsia="Calibri" w:hAnsi="Arial" w:cs="Arial"/>
                <w:sz w:val="24"/>
                <w:szCs w:val="24"/>
                <w:u w:val="single"/>
                <w:lang w:val="en-US"/>
              </w:rPr>
            </w:pPr>
          </w:p>
          <w:p w:rsidR="001664CB" w:rsidRDefault="001664CB" w:rsidP="001664CB">
            <w:pPr>
              <w:spacing w:line="360" w:lineRule="auto"/>
              <w:jc w:val="both"/>
              <w:rPr>
                <w:rFonts w:ascii="Arial" w:eastAsia="Calibri" w:hAnsi="Arial" w:cs="Arial"/>
                <w:sz w:val="24"/>
                <w:szCs w:val="24"/>
                <w:lang w:val="en-US"/>
              </w:rPr>
            </w:pPr>
            <w:r w:rsidRPr="00920345">
              <w:rPr>
                <w:rFonts w:ascii="Arial" w:eastAsia="Calibri" w:hAnsi="Arial" w:cs="Arial"/>
                <w:sz w:val="24"/>
                <w:szCs w:val="24"/>
                <w:lang w:val="en-US"/>
              </w:rPr>
              <w:t>[11]</w:t>
            </w:r>
            <w:r w:rsidRPr="00920345">
              <w:rPr>
                <w:rFonts w:ascii="Arial" w:eastAsia="Calibri" w:hAnsi="Arial" w:cs="Arial"/>
                <w:sz w:val="24"/>
                <w:szCs w:val="24"/>
                <w:lang w:val="en-US"/>
              </w:rPr>
              <w:tab/>
            </w:r>
            <w:r>
              <w:rPr>
                <w:rFonts w:ascii="Arial" w:eastAsia="Calibri" w:hAnsi="Arial" w:cs="Arial"/>
                <w:sz w:val="24"/>
                <w:szCs w:val="24"/>
                <w:lang w:val="en-US"/>
              </w:rPr>
              <w:t>On the 01</w:t>
            </w:r>
            <w:r w:rsidRPr="00920345">
              <w:rPr>
                <w:rFonts w:ascii="Arial" w:eastAsia="Calibri" w:hAnsi="Arial" w:cs="Arial"/>
                <w:sz w:val="24"/>
                <w:szCs w:val="24"/>
                <w:vertAlign w:val="superscript"/>
                <w:lang w:val="en-US"/>
              </w:rPr>
              <w:t>st</w:t>
            </w:r>
            <w:r>
              <w:rPr>
                <w:rFonts w:ascii="Arial" w:eastAsia="Calibri" w:hAnsi="Arial" w:cs="Arial"/>
                <w:sz w:val="24"/>
                <w:szCs w:val="24"/>
                <w:lang w:val="en-US"/>
              </w:rPr>
              <w:t xml:space="preserve"> February 2019 the Plaintiff gave oral evidence.  In sum, her evidence was to the effect that she had informed the Defendants to proceed in terms of the first quotation on the understanding that she would pay for the interlock paving and boundary wall once she receives N$ 100 000 from her Veterans Benefit Project.  Beyond that, her evidence is not helpful in addressing the court’s concerns as set out above.  The Plaintiff did not offer evidence to the effect that the total value of the works done by the Defendants is less than the total amount of N$ 476,520 paid to them.</w:t>
            </w:r>
          </w:p>
          <w:p w:rsidR="001664CB" w:rsidRPr="00172B90" w:rsidRDefault="001664CB" w:rsidP="001664CB">
            <w:pPr>
              <w:spacing w:line="360" w:lineRule="auto"/>
              <w:jc w:val="both"/>
              <w:rPr>
                <w:rFonts w:ascii="Arial" w:eastAsia="Calibri" w:hAnsi="Arial" w:cs="Arial"/>
                <w:sz w:val="24"/>
                <w:szCs w:val="24"/>
                <w:lang w:val="en-US"/>
              </w:rPr>
            </w:pPr>
          </w:p>
          <w:p w:rsidR="001664CB" w:rsidRPr="006F4EB1" w:rsidRDefault="001664CB" w:rsidP="001664CB">
            <w:pPr>
              <w:spacing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Analysis</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In terms of paragraph 10 of the particulars of claim, the Plaintiff and the Defendants agreed that the Defendants should proceed with the construction/renovation works, in terms of the first quotation.  The first quotation which is the basis of the contract, provides that the Plaintiff would pay the Defendants N$ 647,906 for the works to be completed.</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The Plaintiff, through First Capital only paid N$ 476 520 to the Defendants.  The Defendants, the Plaintiff claims, did not finish the works.  Now the Plaintiff seeks damages in respect of uncompleted/unfinished works, even though the quoted amount of N$ 647 906 agreed by the parties was not paid by the Plaintiff to the Defendants.</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For the Plaintiff to succeed in her claim, she must prove that:</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(a) she performed her obligation in terms of the contract,</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(b) the Defendants breached the contract</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 xml:space="preserve">(c) she suffered damages as a result of the breach, and </w:t>
            </w: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 xml:space="preserve">(d) </w:t>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quantum of the damages.</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[15]</w:t>
            </w:r>
            <w:r>
              <w:rPr>
                <w:rFonts w:ascii="Arial" w:eastAsia="Calibri" w:hAnsi="Arial" w:cs="Arial"/>
                <w:sz w:val="24"/>
                <w:szCs w:val="24"/>
                <w:lang w:val="en-US"/>
              </w:rPr>
              <w:tab/>
              <w:t>The Plaintiff has not proved any of the above elements.  In my opinion, the agreement averred to by the Plaintiff that the Defendants were to proceed in terms of the first quotation of N$ 647 906 has the effect that the Plaintiff would have to pay the Defendants the total amount of N$ 647 906 for the works to be completed.  The Plaintiff did not pay such amount.  Furthermore, the Plaintiff has not placed on record evidence that the value of the services/materials performed/delivered by the Defendants fell below the value of N$ 476 520 which the Plaintiff paid to the Defendants.</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 xml:space="preserve">For the </w:t>
            </w:r>
            <w:proofErr w:type="spellStart"/>
            <w:r>
              <w:rPr>
                <w:rFonts w:ascii="Arial" w:eastAsia="Calibri" w:hAnsi="Arial" w:cs="Arial"/>
                <w:sz w:val="24"/>
                <w:szCs w:val="24"/>
                <w:lang w:val="en-US"/>
              </w:rPr>
              <w:t>aforegoing</w:t>
            </w:r>
            <w:proofErr w:type="spellEnd"/>
            <w:r>
              <w:rPr>
                <w:rFonts w:ascii="Arial" w:eastAsia="Calibri" w:hAnsi="Arial" w:cs="Arial"/>
                <w:sz w:val="24"/>
                <w:szCs w:val="24"/>
                <w:lang w:val="en-US"/>
              </w:rPr>
              <w:t xml:space="preserve"> reasons the claim of the Plaintiff stands to be dismissed.</w:t>
            </w:r>
          </w:p>
          <w:p w:rsidR="004B20CE" w:rsidRDefault="004B20CE" w:rsidP="001664CB">
            <w:pPr>
              <w:spacing w:line="360" w:lineRule="auto"/>
              <w:jc w:val="both"/>
              <w:rPr>
                <w:rFonts w:ascii="Arial" w:eastAsia="Calibri" w:hAnsi="Arial" w:cs="Arial"/>
                <w:sz w:val="24"/>
                <w:szCs w:val="24"/>
                <w:u w:val="single"/>
                <w:lang w:val="en-US"/>
              </w:rPr>
            </w:pPr>
          </w:p>
          <w:p w:rsidR="001664CB" w:rsidRPr="00851DD0" w:rsidRDefault="001664CB" w:rsidP="001664CB">
            <w:pPr>
              <w:spacing w:line="360" w:lineRule="auto"/>
              <w:jc w:val="both"/>
              <w:rPr>
                <w:rFonts w:ascii="Arial" w:eastAsia="Calibri" w:hAnsi="Arial" w:cs="Arial"/>
                <w:sz w:val="24"/>
                <w:szCs w:val="24"/>
                <w:u w:val="single"/>
                <w:lang w:val="en-US"/>
              </w:rPr>
            </w:pPr>
            <w:r w:rsidRPr="00851DD0">
              <w:rPr>
                <w:rFonts w:ascii="Arial" w:eastAsia="Calibri" w:hAnsi="Arial" w:cs="Arial"/>
                <w:sz w:val="24"/>
                <w:szCs w:val="24"/>
                <w:u w:val="single"/>
                <w:lang w:val="en-US"/>
              </w:rPr>
              <w:t>Order</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In the premises, I make the following order:</w:t>
            </w:r>
          </w:p>
          <w:p w:rsidR="001664CB" w:rsidRDefault="001664CB" w:rsidP="001664CB">
            <w:pPr>
              <w:spacing w:line="360" w:lineRule="auto"/>
              <w:jc w:val="both"/>
              <w:rPr>
                <w:rFonts w:ascii="Arial" w:eastAsia="Calibri" w:hAnsi="Arial" w:cs="Arial"/>
                <w:sz w:val="24"/>
                <w:szCs w:val="24"/>
                <w:lang w:val="en-US"/>
              </w:rPr>
            </w:pPr>
          </w:p>
          <w:p w:rsidR="001664CB" w:rsidRDefault="001664CB" w:rsidP="001664CB">
            <w:pPr>
              <w:spacing w:line="480" w:lineRule="auto"/>
              <w:ind w:left="576" w:hanging="576"/>
              <w:jc w:val="both"/>
              <w:rPr>
                <w:rFonts w:ascii="Arial" w:eastAsia="Calibri" w:hAnsi="Arial" w:cs="Arial"/>
                <w:sz w:val="24"/>
                <w:szCs w:val="24"/>
                <w:lang w:val="en-US"/>
              </w:rPr>
            </w:pPr>
            <w:r w:rsidRPr="006F4EB1">
              <w:rPr>
                <w:rFonts w:ascii="Arial" w:eastAsia="MS Mincho" w:hAnsi="Arial" w:cs="Arial"/>
                <w:sz w:val="24"/>
                <w:szCs w:val="24"/>
              </w:rPr>
              <w:t>1.</w:t>
            </w:r>
            <w:r>
              <w:rPr>
                <w:rFonts w:ascii="Arial" w:eastAsia="Calibri" w:hAnsi="Arial" w:cs="Arial"/>
                <w:sz w:val="24"/>
                <w:szCs w:val="24"/>
                <w:lang w:val="en-US"/>
              </w:rPr>
              <w:tab/>
              <w:t>The Plaintiff’s claim is dismissed.</w:t>
            </w:r>
          </w:p>
          <w:p w:rsidR="001664CB" w:rsidRDefault="001664CB" w:rsidP="001664CB">
            <w:pPr>
              <w:spacing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I make no order as to costs.</w:t>
            </w:r>
          </w:p>
          <w:p w:rsidR="001664CB" w:rsidRPr="006F4EB1" w:rsidRDefault="001664CB" w:rsidP="001664CB">
            <w:pPr>
              <w:spacing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finalized.</w:t>
            </w:r>
          </w:p>
          <w:p w:rsidR="00A23F8A" w:rsidRPr="001664CB" w:rsidRDefault="00A23F8A" w:rsidP="001664CB">
            <w:pPr>
              <w:spacing w:line="360" w:lineRule="auto"/>
              <w:jc w:val="both"/>
              <w:rPr>
                <w:rFonts w:ascii="Arial" w:hAnsi="Arial" w:cs="Arial"/>
                <w:sz w:val="24"/>
                <w:szCs w:val="24"/>
              </w:rPr>
            </w:pPr>
          </w:p>
        </w:tc>
      </w:tr>
      <w:tr w:rsidR="00BE5489" w:rsidRPr="001664CB" w:rsidTr="00C04EBD">
        <w:tc>
          <w:tcPr>
            <w:tcW w:w="4770" w:type="dxa"/>
          </w:tcPr>
          <w:p w:rsidR="00BE5489" w:rsidRPr="001664CB" w:rsidRDefault="00EB27A0" w:rsidP="001664CB">
            <w:pPr>
              <w:spacing w:line="360" w:lineRule="auto"/>
              <w:jc w:val="center"/>
              <w:rPr>
                <w:rFonts w:ascii="Arial" w:hAnsi="Arial" w:cs="Arial"/>
                <w:b/>
                <w:sz w:val="24"/>
                <w:szCs w:val="24"/>
              </w:rPr>
            </w:pPr>
            <w:r w:rsidRPr="001664CB">
              <w:rPr>
                <w:rFonts w:ascii="Arial" w:hAnsi="Arial" w:cs="Arial"/>
                <w:b/>
                <w:sz w:val="24"/>
                <w:szCs w:val="24"/>
              </w:rPr>
              <w:lastRenderedPageBreak/>
              <w:t>Judge’s signature:</w:t>
            </w:r>
          </w:p>
        </w:tc>
        <w:tc>
          <w:tcPr>
            <w:tcW w:w="4950" w:type="dxa"/>
            <w:gridSpan w:val="2"/>
          </w:tcPr>
          <w:p w:rsidR="00BE5489" w:rsidRPr="001664CB" w:rsidRDefault="00EB27A0" w:rsidP="001664CB">
            <w:pPr>
              <w:spacing w:line="360" w:lineRule="auto"/>
              <w:jc w:val="center"/>
              <w:rPr>
                <w:rFonts w:ascii="Arial" w:hAnsi="Arial" w:cs="Arial"/>
                <w:b/>
                <w:sz w:val="24"/>
                <w:szCs w:val="24"/>
              </w:rPr>
            </w:pPr>
            <w:r w:rsidRPr="001664CB">
              <w:rPr>
                <w:rFonts w:ascii="Arial" w:hAnsi="Arial" w:cs="Arial"/>
                <w:b/>
                <w:sz w:val="24"/>
                <w:szCs w:val="24"/>
              </w:rPr>
              <w:t>Note to the parties:</w:t>
            </w:r>
          </w:p>
        </w:tc>
      </w:tr>
      <w:tr w:rsidR="00BE5489" w:rsidRPr="001664CB" w:rsidTr="0050338C">
        <w:trPr>
          <w:trHeight w:val="1114"/>
        </w:trPr>
        <w:tc>
          <w:tcPr>
            <w:tcW w:w="4770" w:type="dxa"/>
          </w:tcPr>
          <w:p w:rsidR="00BE5489" w:rsidRPr="001664CB" w:rsidRDefault="00BE5489" w:rsidP="001664CB">
            <w:pPr>
              <w:spacing w:line="360" w:lineRule="auto"/>
              <w:jc w:val="both"/>
              <w:rPr>
                <w:rFonts w:ascii="Arial" w:hAnsi="Arial" w:cs="Arial"/>
                <w:sz w:val="24"/>
                <w:szCs w:val="24"/>
              </w:rPr>
            </w:pPr>
          </w:p>
          <w:p w:rsidR="006D2D84" w:rsidRPr="001664CB" w:rsidRDefault="006D2D84" w:rsidP="001664CB">
            <w:pPr>
              <w:spacing w:line="360" w:lineRule="auto"/>
              <w:jc w:val="both"/>
              <w:rPr>
                <w:rFonts w:ascii="Arial" w:hAnsi="Arial" w:cs="Arial"/>
                <w:sz w:val="24"/>
                <w:szCs w:val="24"/>
              </w:rPr>
            </w:pPr>
          </w:p>
          <w:p w:rsidR="009F6C8B" w:rsidRPr="001664CB" w:rsidRDefault="009F6C8B" w:rsidP="001664CB">
            <w:pPr>
              <w:spacing w:line="360" w:lineRule="auto"/>
              <w:jc w:val="both"/>
              <w:rPr>
                <w:rFonts w:ascii="Arial" w:hAnsi="Arial" w:cs="Arial"/>
                <w:sz w:val="24"/>
                <w:szCs w:val="24"/>
              </w:rPr>
            </w:pPr>
          </w:p>
        </w:tc>
        <w:tc>
          <w:tcPr>
            <w:tcW w:w="4950" w:type="dxa"/>
            <w:gridSpan w:val="2"/>
          </w:tcPr>
          <w:p w:rsidR="00BE5489" w:rsidRPr="001664CB" w:rsidRDefault="0060394A" w:rsidP="001664CB">
            <w:pPr>
              <w:spacing w:line="360" w:lineRule="auto"/>
              <w:jc w:val="both"/>
              <w:rPr>
                <w:rFonts w:ascii="Arial" w:hAnsi="Arial" w:cs="Arial"/>
                <w:sz w:val="24"/>
                <w:szCs w:val="24"/>
              </w:rPr>
            </w:pPr>
            <w:r w:rsidRPr="001664CB">
              <w:rPr>
                <w:rFonts w:ascii="Arial" w:hAnsi="Arial" w:cs="Arial"/>
                <w:sz w:val="24"/>
                <w:szCs w:val="24"/>
              </w:rPr>
              <w:t>Not applicable.</w:t>
            </w:r>
          </w:p>
        </w:tc>
      </w:tr>
      <w:tr w:rsidR="00A23F8A" w:rsidRPr="001664CB" w:rsidTr="00B530B4">
        <w:tc>
          <w:tcPr>
            <w:tcW w:w="9720" w:type="dxa"/>
            <w:gridSpan w:val="3"/>
          </w:tcPr>
          <w:p w:rsidR="00A23F8A" w:rsidRPr="001664CB" w:rsidRDefault="00A23F8A" w:rsidP="001664CB">
            <w:pPr>
              <w:spacing w:line="360" w:lineRule="auto"/>
              <w:jc w:val="center"/>
              <w:rPr>
                <w:rFonts w:ascii="Arial" w:hAnsi="Arial" w:cs="Arial"/>
                <w:b/>
                <w:sz w:val="24"/>
                <w:szCs w:val="24"/>
              </w:rPr>
            </w:pPr>
            <w:r w:rsidRPr="001664CB">
              <w:rPr>
                <w:rFonts w:ascii="Arial" w:hAnsi="Arial" w:cs="Arial"/>
                <w:b/>
                <w:sz w:val="24"/>
                <w:szCs w:val="24"/>
              </w:rPr>
              <w:t>Counsel:</w:t>
            </w:r>
          </w:p>
        </w:tc>
      </w:tr>
      <w:tr w:rsidR="00FD38C2" w:rsidRPr="001664CB" w:rsidTr="00FD38C2">
        <w:tc>
          <w:tcPr>
            <w:tcW w:w="4770" w:type="dxa"/>
          </w:tcPr>
          <w:p w:rsidR="00FD38C2" w:rsidRPr="001664CB" w:rsidRDefault="00890143" w:rsidP="001664CB">
            <w:pPr>
              <w:spacing w:line="360" w:lineRule="auto"/>
              <w:jc w:val="center"/>
              <w:rPr>
                <w:rFonts w:ascii="Arial" w:hAnsi="Arial" w:cs="Arial"/>
                <w:b/>
                <w:sz w:val="24"/>
                <w:szCs w:val="24"/>
              </w:rPr>
            </w:pPr>
            <w:r w:rsidRPr="001664CB">
              <w:rPr>
                <w:rFonts w:ascii="Arial" w:hAnsi="Arial" w:cs="Arial"/>
                <w:b/>
                <w:sz w:val="24"/>
                <w:szCs w:val="24"/>
              </w:rPr>
              <w:t>Applicant</w:t>
            </w:r>
            <w:r w:rsidR="002207D9" w:rsidRPr="001664CB">
              <w:rPr>
                <w:rFonts w:ascii="Arial" w:hAnsi="Arial" w:cs="Arial"/>
                <w:b/>
                <w:sz w:val="24"/>
                <w:szCs w:val="24"/>
              </w:rPr>
              <w:t>s</w:t>
            </w:r>
          </w:p>
        </w:tc>
        <w:tc>
          <w:tcPr>
            <w:tcW w:w="4950" w:type="dxa"/>
            <w:gridSpan w:val="2"/>
          </w:tcPr>
          <w:p w:rsidR="00FD38C2" w:rsidRPr="001664CB" w:rsidRDefault="004B20CE" w:rsidP="001664CB">
            <w:pPr>
              <w:spacing w:line="360" w:lineRule="auto"/>
              <w:jc w:val="center"/>
              <w:rPr>
                <w:rFonts w:ascii="Arial" w:hAnsi="Arial" w:cs="Arial"/>
                <w:b/>
                <w:sz w:val="24"/>
                <w:szCs w:val="24"/>
              </w:rPr>
            </w:pPr>
            <w:r>
              <w:rPr>
                <w:rFonts w:ascii="Arial" w:hAnsi="Arial" w:cs="Arial"/>
                <w:b/>
                <w:sz w:val="24"/>
                <w:szCs w:val="24"/>
              </w:rPr>
              <w:t>First Defendant</w:t>
            </w:r>
          </w:p>
        </w:tc>
      </w:tr>
      <w:tr w:rsidR="00A23F8A" w:rsidRPr="001664CB" w:rsidTr="00FD38C2">
        <w:tc>
          <w:tcPr>
            <w:tcW w:w="4770" w:type="dxa"/>
          </w:tcPr>
          <w:p w:rsidR="004B20CE" w:rsidRDefault="004B20CE" w:rsidP="004B20CE">
            <w:pPr>
              <w:ind w:firstLine="1602"/>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Tjituri</w:t>
            </w:r>
            <w:proofErr w:type="spellEnd"/>
          </w:p>
          <w:p w:rsidR="004B20CE" w:rsidRDefault="004B20CE" w:rsidP="004B20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Tjituri</w:t>
            </w:r>
            <w:proofErr w:type="spellEnd"/>
            <w:r>
              <w:rPr>
                <w:rFonts w:ascii="Arial" w:hAnsi="Arial" w:cs="Arial"/>
                <w:sz w:val="24"/>
                <w:szCs w:val="24"/>
              </w:rPr>
              <w:t xml:space="preserve"> Law Chambers, Windhoek</w:t>
            </w:r>
          </w:p>
          <w:p w:rsidR="006D2D84" w:rsidRPr="001664CB" w:rsidRDefault="006D2D84" w:rsidP="001664CB">
            <w:pPr>
              <w:spacing w:line="360" w:lineRule="auto"/>
              <w:jc w:val="center"/>
              <w:rPr>
                <w:rFonts w:ascii="Arial" w:hAnsi="Arial" w:cs="Arial"/>
                <w:sz w:val="24"/>
                <w:szCs w:val="24"/>
              </w:rPr>
            </w:pPr>
          </w:p>
        </w:tc>
        <w:tc>
          <w:tcPr>
            <w:tcW w:w="4950" w:type="dxa"/>
            <w:gridSpan w:val="2"/>
          </w:tcPr>
          <w:p w:rsidR="004B20CE" w:rsidRDefault="004B20CE" w:rsidP="004B20CE">
            <w:pPr>
              <w:ind w:firstLine="702"/>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Kasonsole-Mukungu</w:t>
            </w:r>
            <w:proofErr w:type="spellEnd"/>
          </w:p>
          <w:p w:rsidR="004B20CE" w:rsidRDefault="004B20CE" w:rsidP="004B20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No.29, Kingfisher Road</w:t>
            </w:r>
          </w:p>
          <w:p w:rsidR="004B20CE" w:rsidRDefault="004B20CE" w:rsidP="004B20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Hochland</w:t>
            </w:r>
            <w:proofErr w:type="spellEnd"/>
            <w:r>
              <w:rPr>
                <w:rFonts w:ascii="Arial" w:hAnsi="Arial" w:cs="Arial"/>
                <w:sz w:val="24"/>
                <w:szCs w:val="24"/>
              </w:rPr>
              <w:t xml:space="preserve"> Park, Windhoek</w:t>
            </w:r>
          </w:p>
          <w:p w:rsidR="00FD38C2" w:rsidRPr="001664CB" w:rsidRDefault="00FD38C2" w:rsidP="001664CB">
            <w:pPr>
              <w:spacing w:line="360" w:lineRule="auto"/>
              <w:jc w:val="center"/>
              <w:rPr>
                <w:rFonts w:ascii="Arial" w:hAnsi="Arial" w:cs="Arial"/>
                <w:sz w:val="24"/>
                <w:szCs w:val="24"/>
              </w:rPr>
            </w:pPr>
          </w:p>
        </w:tc>
      </w:tr>
    </w:tbl>
    <w:p w:rsidR="009B096F" w:rsidRPr="001664CB" w:rsidRDefault="009B096F" w:rsidP="001664CB">
      <w:pPr>
        <w:spacing w:after="0" w:line="360" w:lineRule="auto"/>
        <w:jc w:val="both"/>
        <w:rPr>
          <w:rFonts w:ascii="Arial" w:hAnsi="Arial" w:cs="Arial"/>
          <w:sz w:val="24"/>
          <w:szCs w:val="24"/>
        </w:rPr>
      </w:pPr>
    </w:p>
    <w:sectPr w:rsidR="009B096F" w:rsidRPr="001664CB" w:rsidSect="004338C8">
      <w:headerReference w:type="default" r:id="rId11"/>
      <w:footerReference w:type="default" r:id="rId12"/>
      <w:headerReference w:type="firs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AF" w:rsidRDefault="00683AAF" w:rsidP="00A23F8A">
      <w:pPr>
        <w:spacing w:after="0" w:line="240" w:lineRule="auto"/>
      </w:pPr>
      <w:r>
        <w:separator/>
      </w:r>
    </w:p>
  </w:endnote>
  <w:endnote w:type="continuationSeparator" w:id="0">
    <w:p w:rsidR="00683AAF" w:rsidRDefault="00683AAF"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AF" w:rsidRDefault="00683AAF" w:rsidP="00A23F8A">
      <w:pPr>
        <w:spacing w:after="0" w:line="240" w:lineRule="auto"/>
      </w:pPr>
      <w:r>
        <w:separator/>
      </w:r>
    </w:p>
  </w:footnote>
  <w:footnote w:type="continuationSeparator" w:id="0">
    <w:p w:rsidR="00683AAF" w:rsidRDefault="00683AAF" w:rsidP="00A23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8250"/>
      <w:docPartObj>
        <w:docPartGallery w:val="Page Numbers (Top of Page)"/>
        <w:docPartUnique/>
      </w:docPartObj>
    </w:sdtPr>
    <w:sdtEndPr>
      <w:rPr>
        <w:noProof/>
      </w:rPr>
    </w:sdtEndPr>
    <w:sdtContent>
      <w:p w:rsidR="004338C8" w:rsidRDefault="004338C8">
        <w:pPr>
          <w:pStyle w:val="Header"/>
          <w:jc w:val="right"/>
        </w:pPr>
        <w:r>
          <w:fldChar w:fldCharType="begin"/>
        </w:r>
        <w:r>
          <w:instrText xml:space="preserve"> PAGE   \* MERGEFORMAT </w:instrText>
        </w:r>
        <w:r>
          <w:fldChar w:fldCharType="separate"/>
        </w:r>
        <w:r w:rsidR="003A16E5">
          <w:rPr>
            <w:noProof/>
          </w:rPr>
          <w:t>5</w:t>
        </w:r>
        <w:r>
          <w:rPr>
            <w:noProof/>
          </w:rPr>
          <w:fldChar w:fldCharType="end"/>
        </w:r>
      </w:p>
    </w:sdtContent>
  </w:sdt>
  <w:p w:rsidR="004338C8" w:rsidRDefault="00433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C8" w:rsidRDefault="004338C8">
    <w:pPr>
      <w:pStyle w:val="Header"/>
      <w:jc w:val="right"/>
    </w:pPr>
  </w:p>
  <w:p w:rsidR="004338C8" w:rsidRDefault="00433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2FD2"/>
    <w:rsid w:val="000C0A07"/>
    <w:rsid w:val="000D5FE9"/>
    <w:rsid w:val="000E362A"/>
    <w:rsid w:val="000F1180"/>
    <w:rsid w:val="00112D50"/>
    <w:rsid w:val="00113321"/>
    <w:rsid w:val="00124EC8"/>
    <w:rsid w:val="00165FEE"/>
    <w:rsid w:val="001664CB"/>
    <w:rsid w:val="0017153C"/>
    <w:rsid w:val="001804AD"/>
    <w:rsid w:val="001B2FAD"/>
    <w:rsid w:val="001B710C"/>
    <w:rsid w:val="001D41D2"/>
    <w:rsid w:val="001E39EE"/>
    <w:rsid w:val="001F1ECD"/>
    <w:rsid w:val="001F4A48"/>
    <w:rsid w:val="002002FA"/>
    <w:rsid w:val="00203E3D"/>
    <w:rsid w:val="002207D9"/>
    <w:rsid w:val="00263A9B"/>
    <w:rsid w:val="00281A10"/>
    <w:rsid w:val="00281FAB"/>
    <w:rsid w:val="002B1C34"/>
    <w:rsid w:val="002C3150"/>
    <w:rsid w:val="002D4C2A"/>
    <w:rsid w:val="002E3BFB"/>
    <w:rsid w:val="00300CF7"/>
    <w:rsid w:val="0030287B"/>
    <w:rsid w:val="00323762"/>
    <w:rsid w:val="00334EC0"/>
    <w:rsid w:val="003375D1"/>
    <w:rsid w:val="00342AC5"/>
    <w:rsid w:val="00347DBC"/>
    <w:rsid w:val="00351687"/>
    <w:rsid w:val="00371CD0"/>
    <w:rsid w:val="00393E41"/>
    <w:rsid w:val="00396AF1"/>
    <w:rsid w:val="003A0103"/>
    <w:rsid w:val="003A16E5"/>
    <w:rsid w:val="003A7E2F"/>
    <w:rsid w:val="003C4613"/>
    <w:rsid w:val="003E3D0D"/>
    <w:rsid w:val="003E50E8"/>
    <w:rsid w:val="003F52A2"/>
    <w:rsid w:val="004110B4"/>
    <w:rsid w:val="00425554"/>
    <w:rsid w:val="004338C8"/>
    <w:rsid w:val="004514DE"/>
    <w:rsid w:val="004546CC"/>
    <w:rsid w:val="00456199"/>
    <w:rsid w:val="004B20CE"/>
    <w:rsid w:val="004B355E"/>
    <w:rsid w:val="004B5538"/>
    <w:rsid w:val="004E7D33"/>
    <w:rsid w:val="0050338C"/>
    <w:rsid w:val="005234EE"/>
    <w:rsid w:val="005403D8"/>
    <w:rsid w:val="00560857"/>
    <w:rsid w:val="005955B1"/>
    <w:rsid w:val="005A66F8"/>
    <w:rsid w:val="005D0592"/>
    <w:rsid w:val="005D6172"/>
    <w:rsid w:val="005D7161"/>
    <w:rsid w:val="005E5A8F"/>
    <w:rsid w:val="0060394A"/>
    <w:rsid w:val="006039AA"/>
    <w:rsid w:val="00621EE8"/>
    <w:rsid w:val="0062225A"/>
    <w:rsid w:val="006475B1"/>
    <w:rsid w:val="00652595"/>
    <w:rsid w:val="00683AAF"/>
    <w:rsid w:val="00686B3F"/>
    <w:rsid w:val="006C2872"/>
    <w:rsid w:val="006D1141"/>
    <w:rsid w:val="006D22F9"/>
    <w:rsid w:val="006D2D84"/>
    <w:rsid w:val="006E2964"/>
    <w:rsid w:val="00715AD2"/>
    <w:rsid w:val="00723F03"/>
    <w:rsid w:val="0072640A"/>
    <w:rsid w:val="0073012B"/>
    <w:rsid w:val="007447AE"/>
    <w:rsid w:val="0078341F"/>
    <w:rsid w:val="0079456D"/>
    <w:rsid w:val="00797188"/>
    <w:rsid w:val="00797247"/>
    <w:rsid w:val="00805BCE"/>
    <w:rsid w:val="00806B14"/>
    <w:rsid w:val="00812E09"/>
    <w:rsid w:val="0081352A"/>
    <w:rsid w:val="00823237"/>
    <w:rsid w:val="00825474"/>
    <w:rsid w:val="00837272"/>
    <w:rsid w:val="00851B88"/>
    <w:rsid w:val="00864008"/>
    <w:rsid w:val="00864FC2"/>
    <w:rsid w:val="00890143"/>
    <w:rsid w:val="008930A5"/>
    <w:rsid w:val="008A14A9"/>
    <w:rsid w:val="008B1C23"/>
    <w:rsid w:val="008C0AC7"/>
    <w:rsid w:val="008D2B93"/>
    <w:rsid w:val="008D5B8D"/>
    <w:rsid w:val="008D65E9"/>
    <w:rsid w:val="008D79D4"/>
    <w:rsid w:val="00905A48"/>
    <w:rsid w:val="00912D4E"/>
    <w:rsid w:val="00913A1D"/>
    <w:rsid w:val="00947BEE"/>
    <w:rsid w:val="00952193"/>
    <w:rsid w:val="009633A4"/>
    <w:rsid w:val="0098277A"/>
    <w:rsid w:val="00997334"/>
    <w:rsid w:val="009A5F60"/>
    <w:rsid w:val="009B096F"/>
    <w:rsid w:val="009C7093"/>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5193"/>
    <w:rsid w:val="00AC4198"/>
    <w:rsid w:val="00AE0F8E"/>
    <w:rsid w:val="00B07B4B"/>
    <w:rsid w:val="00B160EB"/>
    <w:rsid w:val="00B1649C"/>
    <w:rsid w:val="00B30012"/>
    <w:rsid w:val="00B337FC"/>
    <w:rsid w:val="00B40BBE"/>
    <w:rsid w:val="00B4625E"/>
    <w:rsid w:val="00B53D6D"/>
    <w:rsid w:val="00B66325"/>
    <w:rsid w:val="00B76671"/>
    <w:rsid w:val="00B8518D"/>
    <w:rsid w:val="00BA213D"/>
    <w:rsid w:val="00BA3715"/>
    <w:rsid w:val="00BA48EA"/>
    <w:rsid w:val="00BB388A"/>
    <w:rsid w:val="00BC4D4A"/>
    <w:rsid w:val="00BE5489"/>
    <w:rsid w:val="00BE7DE8"/>
    <w:rsid w:val="00BF539E"/>
    <w:rsid w:val="00BF6DAE"/>
    <w:rsid w:val="00C04EBD"/>
    <w:rsid w:val="00C06B39"/>
    <w:rsid w:val="00C10C58"/>
    <w:rsid w:val="00C249D9"/>
    <w:rsid w:val="00C332BE"/>
    <w:rsid w:val="00C356C5"/>
    <w:rsid w:val="00C50A1F"/>
    <w:rsid w:val="00C73154"/>
    <w:rsid w:val="00CA4320"/>
    <w:rsid w:val="00CC191C"/>
    <w:rsid w:val="00CC4D82"/>
    <w:rsid w:val="00CC4E7A"/>
    <w:rsid w:val="00CC5024"/>
    <w:rsid w:val="00CF6287"/>
    <w:rsid w:val="00D0287E"/>
    <w:rsid w:val="00D10858"/>
    <w:rsid w:val="00D22ACF"/>
    <w:rsid w:val="00D40029"/>
    <w:rsid w:val="00D64023"/>
    <w:rsid w:val="00D73FFF"/>
    <w:rsid w:val="00D862BF"/>
    <w:rsid w:val="00E1002B"/>
    <w:rsid w:val="00E256F6"/>
    <w:rsid w:val="00E3339B"/>
    <w:rsid w:val="00E44BBF"/>
    <w:rsid w:val="00E619CB"/>
    <w:rsid w:val="00E765F9"/>
    <w:rsid w:val="00EA06CF"/>
    <w:rsid w:val="00EB27A0"/>
    <w:rsid w:val="00F11950"/>
    <w:rsid w:val="00F16C57"/>
    <w:rsid w:val="00F3787E"/>
    <w:rsid w:val="00F53DDE"/>
    <w:rsid w:val="00F571A4"/>
    <w:rsid w:val="00F66EB8"/>
    <w:rsid w:val="00F71EB9"/>
    <w:rsid w:val="00F768C5"/>
    <w:rsid w:val="00FB2069"/>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2019-02-06T18:30:00+00:00</Judgment_x0020_Date>
    <Year xmlns="c1afb1bd-f2fb-40fd-9abb-aea55b4d7662">2019</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1E8D-4B34-4FE9-84C9-5CACB9E765A6}"/>
</file>

<file path=customXml/itemProps2.xml><?xml version="1.0" encoding="utf-8"?>
<ds:datastoreItem xmlns:ds="http://schemas.openxmlformats.org/officeDocument/2006/customXml" ds:itemID="{59F524DC-DB39-4799-B1D1-450B9FEBB04A}"/>
</file>

<file path=customXml/itemProps3.xml><?xml version="1.0" encoding="utf-8"?>
<ds:datastoreItem xmlns:ds="http://schemas.openxmlformats.org/officeDocument/2006/customXml" ds:itemID="{558A9B92-A23B-4078-A969-4B5C668CEF27}"/>
</file>

<file path=customXml/itemProps4.xml><?xml version="1.0" encoding="utf-8"?>
<ds:datastoreItem xmlns:ds="http://schemas.openxmlformats.org/officeDocument/2006/customXml" ds:itemID="{6333852A-E598-4151-BAD7-CE30BB90F669}"/>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Abduselam v Luxury Investment M.A (Pty) Ltd</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Abduselam v Luxury Investment M.A (Pty) Ltd</dc:title>
  <dc:subject/>
  <dc:creator>E. Kharases</dc:creator>
  <cp:keywords/>
  <dc:description/>
  <cp:lastModifiedBy>Lotta N. Ambunda</cp:lastModifiedBy>
  <cp:revision>2</cp:revision>
  <cp:lastPrinted>2018-11-05T09:07:00Z</cp:lastPrinted>
  <dcterms:created xsi:type="dcterms:W3CDTF">2019-02-08T13:55:00Z</dcterms:created>
  <dcterms:modified xsi:type="dcterms:W3CDTF">2019-02-08T13:55:00Z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